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C4FB22">
      <w:pPr>
        <w:widowControl w:val="0"/>
        <w:spacing w:before="120" w:beforeLines="50" w:after="120" w:afterLines="50"/>
        <w:jc w:val="center"/>
        <w:rPr>
          <w:rFonts w:ascii="Times New Roman" w:hAnsi="Times New Roman" w:cs="Times New Roman"/>
          <w:b/>
          <w:color w:val="auto"/>
          <w:kern w:val="2"/>
          <w:sz w:val="44"/>
          <w:szCs w:val="44"/>
          <w:highlight w:val="none"/>
        </w:rPr>
      </w:pPr>
      <w:bookmarkStart w:id="0" w:name="_Toc472585611"/>
      <w:bookmarkStart w:id="1" w:name="_Toc477190959"/>
      <w:bookmarkStart w:id="2" w:name="_Toc439236473"/>
    </w:p>
    <w:p w14:paraId="63E306D0">
      <w:pPr>
        <w:widowControl w:val="0"/>
        <w:spacing w:before="120" w:beforeLines="50" w:after="120" w:afterLines="50"/>
        <w:jc w:val="center"/>
        <w:rPr>
          <w:rFonts w:ascii="Times New Roman" w:hAnsi="Times New Roman" w:cs="Times New Roman"/>
          <w:b/>
          <w:color w:val="auto"/>
          <w:kern w:val="2"/>
          <w:sz w:val="44"/>
          <w:szCs w:val="44"/>
          <w:highlight w:val="none"/>
        </w:rPr>
      </w:pPr>
    </w:p>
    <w:p w14:paraId="17895400">
      <w:pPr>
        <w:widowControl w:val="0"/>
        <w:spacing w:before="120" w:beforeLines="50" w:after="120" w:afterLines="50"/>
        <w:jc w:val="center"/>
        <w:rPr>
          <w:rFonts w:ascii="Times New Roman" w:hAnsi="Times New Roman" w:cs="Times New Roman"/>
          <w:b/>
          <w:color w:val="auto"/>
          <w:kern w:val="2"/>
          <w:sz w:val="44"/>
          <w:szCs w:val="44"/>
          <w:highlight w:val="none"/>
        </w:rPr>
      </w:pPr>
    </w:p>
    <w:p w14:paraId="0A682FD6">
      <w:pPr>
        <w:widowControl w:val="0"/>
        <w:spacing w:before="120" w:beforeLines="50" w:after="120" w:afterLines="50"/>
        <w:jc w:val="center"/>
        <w:rPr>
          <w:rFonts w:ascii="Times New Roman" w:hAnsi="Times New Roman" w:cs="Times New Roman"/>
          <w:b/>
          <w:color w:val="auto"/>
          <w:kern w:val="2"/>
          <w:sz w:val="44"/>
          <w:szCs w:val="44"/>
          <w:highlight w:val="none"/>
        </w:rPr>
      </w:pPr>
      <w:r>
        <w:rPr>
          <w:rFonts w:hint="eastAsia" w:ascii="Times New Roman" w:hAnsi="Times New Roman" w:cs="Times New Roman"/>
          <w:b/>
          <w:color w:val="auto"/>
          <w:kern w:val="2"/>
          <w:sz w:val="44"/>
          <w:szCs w:val="44"/>
          <w:highlight w:val="none"/>
        </w:rPr>
        <w:t>徐深27-H1井地面工程项目</w:t>
      </w:r>
    </w:p>
    <w:p w14:paraId="59FFE22F">
      <w:pPr>
        <w:widowControl w:val="0"/>
        <w:jc w:val="center"/>
        <w:rPr>
          <w:rFonts w:ascii="Times New Roman" w:hAnsi="Times New Roman" w:cs="Times New Roman"/>
          <w:b/>
          <w:color w:val="auto"/>
          <w:kern w:val="2"/>
          <w:sz w:val="72"/>
          <w:szCs w:val="72"/>
          <w:highlight w:val="none"/>
        </w:rPr>
      </w:pPr>
      <w:r>
        <w:rPr>
          <w:rFonts w:ascii="Times New Roman" w:hAnsi="Times New Roman" w:cs="Times New Roman"/>
          <w:b/>
          <w:color w:val="auto"/>
          <w:kern w:val="2"/>
          <w:sz w:val="72"/>
          <w:szCs w:val="72"/>
          <w:highlight w:val="none"/>
        </w:rPr>
        <w:t>环境影响报告书</w:t>
      </w:r>
    </w:p>
    <w:p w14:paraId="4894FCD1">
      <w:pPr>
        <w:widowControl w:val="0"/>
        <w:jc w:val="center"/>
        <w:rPr>
          <w:rFonts w:ascii="Times New Roman" w:hAnsi="Times New Roman" w:cs="Times New Roman"/>
          <w:b/>
          <w:color w:val="auto"/>
          <w:kern w:val="2"/>
          <w:sz w:val="32"/>
          <w:highlight w:val="none"/>
        </w:rPr>
      </w:pPr>
      <w:r>
        <w:rPr>
          <w:rFonts w:hint="eastAsia" w:ascii="Times New Roman" w:hAnsi="Times New Roman" w:cs="Times New Roman"/>
          <w:b/>
          <w:color w:val="auto"/>
          <w:kern w:val="2"/>
          <w:sz w:val="32"/>
          <w:highlight w:val="none"/>
        </w:rPr>
        <w:t>（报审版）</w:t>
      </w:r>
    </w:p>
    <w:p w14:paraId="16B3AC4E">
      <w:pPr>
        <w:widowControl w:val="0"/>
        <w:ind w:firstLine="560"/>
        <w:rPr>
          <w:rFonts w:ascii="Times New Roman" w:hAnsi="Times New Roman" w:cs="Times New Roman"/>
          <w:snapToGrid w:val="0"/>
          <w:color w:val="auto"/>
          <w:sz w:val="28"/>
          <w:highlight w:val="none"/>
        </w:rPr>
      </w:pPr>
      <w:r>
        <w:rPr>
          <w:rFonts w:ascii="Times New Roman" w:hAnsi="Times New Roman" w:cs="Times New Roman"/>
          <w:snapToGrid w:val="0"/>
          <w:color w:val="auto"/>
          <w:sz w:val="28"/>
          <w:highlight w:val="none"/>
        </w:rPr>
        <w:t xml:space="preserve">  </w:t>
      </w:r>
    </w:p>
    <w:p w14:paraId="05E5DFAA">
      <w:pPr>
        <w:widowControl w:val="0"/>
        <w:ind w:firstLine="560"/>
        <w:rPr>
          <w:rFonts w:ascii="Times New Roman" w:hAnsi="Times New Roman" w:cs="Times New Roman"/>
          <w:snapToGrid w:val="0"/>
          <w:color w:val="auto"/>
          <w:sz w:val="28"/>
          <w:highlight w:val="none"/>
        </w:rPr>
      </w:pPr>
    </w:p>
    <w:p w14:paraId="5EC2407E">
      <w:pPr>
        <w:widowControl w:val="0"/>
        <w:ind w:firstLine="560"/>
        <w:rPr>
          <w:rFonts w:ascii="Times New Roman" w:hAnsi="Times New Roman" w:cs="Times New Roman"/>
          <w:snapToGrid w:val="0"/>
          <w:color w:val="auto"/>
          <w:sz w:val="28"/>
          <w:highlight w:val="none"/>
        </w:rPr>
      </w:pPr>
    </w:p>
    <w:p w14:paraId="5D310367">
      <w:pPr>
        <w:pStyle w:val="105"/>
        <w:rPr>
          <w:rFonts w:ascii="Times New Roman" w:hAnsi="Times New Roman" w:cs="Times New Roman"/>
          <w:color w:val="auto"/>
          <w:highlight w:val="none"/>
        </w:rPr>
      </w:pPr>
    </w:p>
    <w:p w14:paraId="3C5C7A42">
      <w:pPr>
        <w:pStyle w:val="105"/>
        <w:rPr>
          <w:rFonts w:ascii="Times New Roman" w:hAnsi="Times New Roman" w:cs="Times New Roman"/>
          <w:color w:val="auto"/>
          <w:highlight w:val="none"/>
        </w:rPr>
      </w:pPr>
    </w:p>
    <w:p w14:paraId="42CB08C6">
      <w:pPr>
        <w:pStyle w:val="105"/>
        <w:rPr>
          <w:rFonts w:ascii="Times New Roman" w:hAnsi="Times New Roman" w:cs="Times New Roman"/>
          <w:color w:val="auto"/>
          <w:highlight w:val="none"/>
        </w:rPr>
      </w:pPr>
    </w:p>
    <w:p w14:paraId="021C62C2">
      <w:pPr>
        <w:pStyle w:val="105"/>
        <w:rPr>
          <w:rFonts w:ascii="Times New Roman" w:hAnsi="Times New Roman" w:cs="Times New Roman"/>
          <w:color w:val="auto"/>
          <w:highlight w:val="none"/>
        </w:rPr>
      </w:pPr>
    </w:p>
    <w:p w14:paraId="16056341">
      <w:pPr>
        <w:pStyle w:val="105"/>
        <w:rPr>
          <w:rFonts w:ascii="Times New Roman" w:hAnsi="Times New Roman" w:cs="Times New Roman"/>
          <w:color w:val="auto"/>
          <w:highlight w:val="none"/>
        </w:rPr>
      </w:pPr>
    </w:p>
    <w:p w14:paraId="67BD5F9F">
      <w:pPr>
        <w:pStyle w:val="105"/>
        <w:tabs>
          <w:tab w:val="left" w:pos="5449"/>
        </w:tabs>
        <w:rPr>
          <w:rFonts w:ascii="Times New Roman" w:hAnsi="Times New Roman" w:cs="Times New Roman"/>
          <w:color w:val="auto"/>
          <w:highlight w:val="none"/>
        </w:rPr>
      </w:pPr>
      <w:r>
        <w:rPr>
          <w:rFonts w:ascii="Times New Roman" w:hAnsi="Times New Roman" w:cs="Times New Roman"/>
          <w:color w:val="auto"/>
          <w:highlight w:val="none"/>
        </w:rPr>
        <w:tab/>
      </w:r>
    </w:p>
    <w:p w14:paraId="670A51A4">
      <w:pPr>
        <w:pStyle w:val="105"/>
        <w:rPr>
          <w:rFonts w:ascii="Times New Roman" w:hAnsi="Times New Roman" w:cs="Times New Roman"/>
          <w:color w:val="auto"/>
          <w:highlight w:val="none"/>
        </w:rPr>
      </w:pPr>
    </w:p>
    <w:p w14:paraId="11EAFC96">
      <w:pPr>
        <w:pStyle w:val="105"/>
        <w:rPr>
          <w:rFonts w:ascii="Times New Roman" w:hAnsi="Times New Roman" w:cs="Times New Roman"/>
          <w:color w:val="auto"/>
          <w:highlight w:val="none"/>
        </w:rPr>
      </w:pPr>
    </w:p>
    <w:p w14:paraId="7EE8D191">
      <w:pPr>
        <w:widowControl w:val="0"/>
        <w:jc w:val="center"/>
        <w:rPr>
          <w:rFonts w:ascii="Times New Roman" w:hAnsi="Times New Roman" w:cs="Times New Roman"/>
          <w:b/>
          <w:color w:val="auto"/>
          <w:kern w:val="2"/>
          <w:sz w:val="30"/>
          <w:szCs w:val="30"/>
          <w:highlight w:val="none"/>
        </w:rPr>
      </w:pPr>
      <w:r>
        <w:rPr>
          <w:rFonts w:hint="eastAsia" w:ascii="Times New Roman" w:hAnsi="Times New Roman" w:cs="Times New Roman"/>
          <w:b/>
          <w:color w:val="auto"/>
          <w:kern w:val="2"/>
          <w:sz w:val="30"/>
          <w:szCs w:val="30"/>
          <w:highlight w:val="none"/>
        </w:rPr>
        <w:t xml:space="preserve">  </w:t>
      </w:r>
      <w:r>
        <w:rPr>
          <w:rFonts w:ascii="Times New Roman" w:hAnsi="Times New Roman" w:cs="Times New Roman"/>
          <w:b/>
          <w:color w:val="auto"/>
          <w:kern w:val="2"/>
          <w:sz w:val="30"/>
          <w:szCs w:val="30"/>
          <w:highlight w:val="none"/>
        </w:rPr>
        <w:t>建设单位：</w:t>
      </w:r>
      <w:r>
        <w:rPr>
          <w:rFonts w:hint="eastAsia" w:ascii="Times New Roman" w:hAnsi="Times New Roman" w:cs="Times New Roman"/>
          <w:b/>
          <w:color w:val="auto"/>
          <w:kern w:val="2"/>
          <w:sz w:val="30"/>
          <w:szCs w:val="30"/>
          <w:highlight w:val="none"/>
        </w:rPr>
        <w:t xml:space="preserve"> 大庆油田有限责任公司采气分公司</w:t>
      </w:r>
    </w:p>
    <w:p w14:paraId="44BCA807">
      <w:pPr>
        <w:widowControl w:val="0"/>
        <w:ind w:firstLine="1656" w:firstLineChars="550"/>
        <w:rPr>
          <w:rFonts w:ascii="Times New Roman" w:hAnsi="Times New Roman" w:cs="Times New Roman"/>
          <w:b/>
          <w:color w:val="auto"/>
          <w:kern w:val="2"/>
          <w:sz w:val="30"/>
          <w:szCs w:val="30"/>
          <w:highlight w:val="none"/>
        </w:rPr>
      </w:pPr>
      <w:r>
        <w:rPr>
          <w:rFonts w:ascii="Times New Roman" w:hAnsi="Times New Roman" w:cs="Times New Roman"/>
          <w:b/>
          <w:color w:val="auto"/>
          <w:kern w:val="2"/>
          <w:sz w:val="30"/>
          <w:szCs w:val="30"/>
          <w:highlight w:val="none"/>
        </w:rPr>
        <w:t xml:space="preserve">编制单位： </w:t>
      </w:r>
      <w:r>
        <w:rPr>
          <w:rFonts w:hint="eastAsia" w:ascii="Times New Roman" w:hAnsi="Times New Roman" w:cs="Times New Roman"/>
          <w:b/>
          <w:color w:val="auto"/>
          <w:kern w:val="2"/>
          <w:sz w:val="30"/>
          <w:szCs w:val="30"/>
          <w:highlight w:val="none"/>
        </w:rPr>
        <w:t>湖南葆华环保科技</w:t>
      </w:r>
      <w:r>
        <w:rPr>
          <w:rFonts w:ascii="Times New Roman" w:hAnsi="Times New Roman" w:cs="Times New Roman"/>
          <w:b/>
          <w:color w:val="auto"/>
          <w:kern w:val="2"/>
          <w:sz w:val="30"/>
          <w:szCs w:val="30"/>
          <w:highlight w:val="none"/>
        </w:rPr>
        <w:t>有限公司</w:t>
      </w:r>
    </w:p>
    <w:p w14:paraId="1486F43B">
      <w:pPr>
        <w:widowControl w:val="0"/>
        <w:ind w:firstLine="1656" w:firstLineChars="550"/>
        <w:rPr>
          <w:rFonts w:ascii="Times New Roman" w:hAnsi="Times New Roman" w:cs="Times New Roman"/>
          <w:b/>
          <w:color w:val="auto"/>
          <w:kern w:val="2"/>
          <w:sz w:val="30"/>
          <w:szCs w:val="30"/>
          <w:highlight w:val="none"/>
        </w:rPr>
      </w:pPr>
      <w:r>
        <w:rPr>
          <w:rFonts w:ascii="Times New Roman" w:hAnsi="Times New Roman" w:cs="Times New Roman"/>
          <w:b/>
          <w:color w:val="auto"/>
          <w:kern w:val="2"/>
          <w:sz w:val="30"/>
          <w:szCs w:val="30"/>
          <w:highlight w:val="none"/>
        </w:rPr>
        <w:t>编制日期：</w:t>
      </w:r>
      <w:r>
        <w:rPr>
          <w:rFonts w:hint="eastAsia" w:ascii="Times New Roman" w:hAnsi="Times New Roman" w:cs="Times New Roman"/>
          <w:b/>
          <w:color w:val="auto"/>
          <w:kern w:val="2"/>
          <w:sz w:val="30"/>
          <w:szCs w:val="30"/>
          <w:highlight w:val="none"/>
        </w:rPr>
        <w:t xml:space="preserve"> </w:t>
      </w:r>
      <w:r>
        <w:rPr>
          <w:rFonts w:ascii="Times New Roman" w:hAnsi="Times New Roman" w:cs="Times New Roman"/>
          <w:b/>
          <w:color w:val="auto"/>
          <w:kern w:val="2"/>
          <w:sz w:val="30"/>
          <w:szCs w:val="30"/>
          <w:highlight w:val="none"/>
        </w:rPr>
        <w:t>20</w:t>
      </w:r>
      <w:r>
        <w:rPr>
          <w:rFonts w:hint="eastAsia" w:ascii="Times New Roman" w:hAnsi="Times New Roman" w:cs="Times New Roman"/>
          <w:b/>
          <w:color w:val="auto"/>
          <w:kern w:val="2"/>
          <w:sz w:val="30"/>
          <w:szCs w:val="30"/>
          <w:highlight w:val="none"/>
        </w:rPr>
        <w:t>26</w:t>
      </w:r>
      <w:r>
        <w:rPr>
          <w:rFonts w:ascii="Times New Roman" w:hAnsi="Times New Roman" w:cs="Times New Roman"/>
          <w:b/>
          <w:color w:val="auto"/>
          <w:kern w:val="2"/>
          <w:sz w:val="30"/>
          <w:szCs w:val="30"/>
          <w:highlight w:val="none"/>
        </w:rPr>
        <w:t>年</w:t>
      </w:r>
      <w:r>
        <w:rPr>
          <w:rFonts w:hint="eastAsia" w:ascii="Times New Roman" w:hAnsi="Times New Roman" w:cs="Times New Roman"/>
          <w:b/>
          <w:color w:val="auto"/>
          <w:kern w:val="2"/>
          <w:sz w:val="30"/>
          <w:szCs w:val="30"/>
          <w:highlight w:val="none"/>
          <w:lang w:val="en-US" w:eastAsia="zh-CN"/>
        </w:rPr>
        <w:t>7</w:t>
      </w:r>
      <w:r>
        <w:rPr>
          <w:rFonts w:ascii="Times New Roman" w:hAnsi="Times New Roman" w:cs="Times New Roman"/>
          <w:b/>
          <w:color w:val="auto"/>
          <w:kern w:val="2"/>
          <w:sz w:val="30"/>
          <w:szCs w:val="30"/>
          <w:highlight w:val="none"/>
        </w:rPr>
        <w:t>月</w:t>
      </w:r>
    </w:p>
    <w:p w14:paraId="18542D30">
      <w:pPr>
        <w:pStyle w:val="32"/>
        <w:jc w:val="center"/>
        <w:rPr>
          <w:rFonts w:ascii="Times New Roman" w:hAnsi="Times New Roman" w:eastAsiaTheme="minorEastAsia"/>
          <w:color w:val="auto"/>
          <w:w w:val="99"/>
          <w:sz w:val="30"/>
          <w:szCs w:val="30"/>
          <w:highlight w:val="none"/>
        </w:rPr>
      </w:pPr>
    </w:p>
    <w:p w14:paraId="7056554A">
      <w:pPr>
        <w:pStyle w:val="74"/>
        <w:rPr>
          <w:rFonts w:hint="eastAsia"/>
          <w:color w:val="auto"/>
          <w:highlight w:val="none"/>
        </w:rPr>
      </w:pPr>
    </w:p>
    <w:p w14:paraId="3B12E355">
      <w:pPr>
        <w:rPr>
          <w:rFonts w:hint="eastAsia"/>
          <w:color w:val="auto"/>
          <w:highlight w:val="none"/>
        </w:rPr>
      </w:pPr>
    </w:p>
    <w:p w14:paraId="5EA7F9A3">
      <w:pPr>
        <w:rPr>
          <w:rFonts w:hint="eastAsia"/>
          <w:color w:val="auto"/>
          <w:highlight w:val="none"/>
        </w:rPr>
      </w:pPr>
    </w:p>
    <w:p w14:paraId="6D20C02C">
      <w:pPr>
        <w:pStyle w:val="153"/>
        <w:widowControl w:val="0"/>
        <w:spacing w:line="240" w:lineRule="auto"/>
        <w:ind w:firstLine="0" w:firstLineChars="0"/>
        <w:jc w:val="center"/>
        <w:rPr>
          <w:rFonts w:ascii="Times New Roman" w:hAnsi="Times New Roman"/>
          <w:b/>
          <w:snapToGrid w:val="0"/>
          <w:color w:val="auto"/>
          <w:w w:val="99"/>
          <w:sz w:val="32"/>
          <w:szCs w:val="32"/>
          <w:highlight w:val="none"/>
        </w:rPr>
      </w:pPr>
    </w:p>
    <w:p w14:paraId="1C794FA6">
      <w:pPr>
        <w:rPr>
          <w:rFonts w:ascii="Times New Roman" w:hAnsi="Times New Roman"/>
          <w:b/>
          <w:snapToGrid w:val="0"/>
          <w:color w:val="auto"/>
          <w:w w:val="99"/>
          <w:sz w:val="32"/>
          <w:szCs w:val="32"/>
          <w:highlight w:val="none"/>
        </w:rPr>
      </w:pPr>
    </w:p>
    <w:p w14:paraId="74F149ED">
      <w:pPr>
        <w:pStyle w:val="103"/>
        <w:rPr>
          <w:rFonts w:ascii="Times New Roman" w:hAnsi="Times New Roman"/>
          <w:b/>
          <w:snapToGrid w:val="0"/>
          <w:color w:val="auto"/>
          <w:w w:val="99"/>
          <w:sz w:val="32"/>
          <w:szCs w:val="32"/>
          <w:highlight w:val="none"/>
        </w:rPr>
      </w:pPr>
    </w:p>
    <w:p w14:paraId="67ADF2E5">
      <w:pPr>
        <w:rPr>
          <w:rFonts w:hint="eastAsia"/>
          <w:color w:val="auto"/>
          <w:highlight w:val="none"/>
        </w:rPr>
      </w:pPr>
    </w:p>
    <w:p w14:paraId="174C2751">
      <w:pPr>
        <w:pStyle w:val="153"/>
        <w:widowControl w:val="0"/>
        <w:spacing w:line="240" w:lineRule="auto"/>
        <w:ind w:firstLine="0" w:firstLineChars="0"/>
        <w:jc w:val="center"/>
        <w:rPr>
          <w:rFonts w:ascii="Times New Roman" w:hAnsi="Times New Roman"/>
          <w:b/>
          <w:snapToGrid w:val="0"/>
          <w:color w:val="auto"/>
          <w:w w:val="99"/>
          <w:sz w:val="32"/>
          <w:szCs w:val="32"/>
          <w:highlight w:val="none"/>
        </w:rPr>
      </w:pPr>
    </w:p>
    <w:p w14:paraId="5F8D0605">
      <w:pPr>
        <w:pStyle w:val="153"/>
        <w:widowControl w:val="0"/>
        <w:spacing w:line="240" w:lineRule="auto"/>
        <w:ind w:firstLine="0" w:firstLineChars="0"/>
        <w:jc w:val="center"/>
        <w:rPr>
          <w:rFonts w:hint="eastAsia" w:ascii="Times New Roman" w:hAnsi="Times New Roman" w:eastAsia="宋体"/>
          <w:b/>
          <w:snapToGrid w:val="0"/>
          <w:color w:val="auto"/>
          <w:w w:val="99"/>
          <w:sz w:val="32"/>
          <w:szCs w:val="32"/>
          <w:highlight w:val="none"/>
          <w:lang w:eastAsia="zh-CN"/>
        </w:rPr>
      </w:pPr>
      <w:r>
        <w:rPr>
          <w:rFonts w:hint="eastAsia" w:ascii="Times New Roman" w:hAnsi="Times New Roman" w:eastAsia="宋体"/>
          <w:b/>
          <w:snapToGrid w:val="0"/>
          <w:color w:val="auto"/>
          <w:w w:val="99"/>
          <w:sz w:val="32"/>
          <w:szCs w:val="32"/>
          <w:highlight w:val="none"/>
          <w:lang w:eastAsia="zh-CN"/>
        </w:rPr>
        <w:drawing>
          <wp:inline distT="0" distB="0" distL="114300" distR="114300">
            <wp:extent cx="5752465" cy="8134985"/>
            <wp:effectExtent l="0" t="0" r="635" b="18415"/>
            <wp:docPr id="43" name="图片 43" descr="doc02792520260710104840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doc02792520260710104840_001"/>
                    <pic:cNvPicPr>
                      <a:picLocks noChangeAspect="1"/>
                    </pic:cNvPicPr>
                  </pic:nvPicPr>
                  <pic:blipFill>
                    <a:blip r:embed="rId16"/>
                    <a:stretch>
                      <a:fillRect/>
                    </a:stretch>
                  </pic:blipFill>
                  <pic:spPr>
                    <a:xfrm>
                      <a:off x="0" y="0"/>
                      <a:ext cx="5752465" cy="8134985"/>
                    </a:xfrm>
                    <a:prstGeom prst="rect">
                      <a:avLst/>
                    </a:prstGeom>
                  </pic:spPr>
                </pic:pic>
              </a:graphicData>
            </a:graphic>
          </wp:inline>
        </w:drawing>
      </w:r>
    </w:p>
    <w:p w14:paraId="402CE57A">
      <w:pPr>
        <w:pStyle w:val="153"/>
        <w:widowControl w:val="0"/>
        <w:spacing w:line="240" w:lineRule="auto"/>
        <w:ind w:firstLine="0" w:firstLineChars="0"/>
        <w:jc w:val="center"/>
        <w:rPr>
          <w:rFonts w:ascii="Times New Roman" w:hAnsi="Times New Roman"/>
          <w:b/>
          <w:snapToGrid w:val="0"/>
          <w:color w:val="auto"/>
          <w:w w:val="99"/>
          <w:sz w:val="32"/>
          <w:szCs w:val="32"/>
          <w:highlight w:val="none"/>
        </w:rPr>
      </w:pPr>
    </w:p>
    <w:p w14:paraId="156C563C">
      <w:pPr>
        <w:pStyle w:val="153"/>
        <w:widowControl w:val="0"/>
        <w:spacing w:line="240" w:lineRule="auto"/>
        <w:ind w:firstLine="0" w:firstLineChars="0"/>
        <w:jc w:val="center"/>
        <w:rPr>
          <w:rFonts w:ascii="Times New Roman" w:hAnsi="Times New Roman"/>
          <w:b/>
          <w:snapToGrid w:val="0"/>
          <w:color w:val="auto"/>
          <w:w w:val="99"/>
          <w:sz w:val="32"/>
          <w:szCs w:val="32"/>
          <w:highlight w:val="none"/>
        </w:rPr>
      </w:pPr>
      <w:r>
        <w:rPr>
          <w:rFonts w:ascii="Times New Roman" w:hAnsi="Times New Roman"/>
          <w:b/>
          <w:snapToGrid w:val="0"/>
          <w:color w:val="auto"/>
          <w:w w:val="99"/>
          <w:sz w:val="32"/>
          <w:szCs w:val="32"/>
          <w:highlight w:val="none"/>
        </w:rPr>
        <w:t>目  录</w:t>
      </w:r>
    </w:p>
    <w:p w14:paraId="7834F843">
      <w:pPr>
        <w:rPr>
          <w:rFonts w:hint="eastAsia"/>
          <w:color w:val="auto"/>
          <w:highlight w:val="none"/>
        </w:rPr>
      </w:pPr>
    </w:p>
    <w:p w14:paraId="23251296">
      <w:pPr>
        <w:pStyle w:val="55"/>
        <w:tabs>
          <w:tab w:val="right" w:leader="dot" w:pos="9070"/>
        </w:tabs>
        <w:rPr>
          <w:rFonts w:hint="eastAsia"/>
          <w:color w:val="auto"/>
          <w:highlight w:val="none"/>
        </w:rPr>
      </w:pPr>
      <w:r>
        <w:rPr>
          <w:rFonts w:ascii="Times New Roman" w:hAnsi="Times New Roman" w:eastAsiaTheme="minorEastAsia"/>
          <w:b w:val="0"/>
          <w:smallCaps/>
          <w:color w:val="auto"/>
          <w:w w:val="99"/>
          <w:kern w:val="2"/>
          <w:sz w:val="24"/>
          <w:szCs w:val="24"/>
          <w:highlight w:val="none"/>
        </w:rPr>
        <w:fldChar w:fldCharType="begin"/>
      </w:r>
      <w:r>
        <w:rPr>
          <w:rFonts w:ascii="Times New Roman" w:hAnsi="Times New Roman" w:eastAsiaTheme="minorEastAsia"/>
          <w:b w:val="0"/>
          <w:smallCaps/>
          <w:color w:val="auto"/>
          <w:w w:val="99"/>
          <w:kern w:val="2"/>
          <w:sz w:val="24"/>
          <w:szCs w:val="24"/>
          <w:highlight w:val="none"/>
        </w:rPr>
        <w:instrText xml:space="preserve"> TOC \o "1-2" \h \z \u </w:instrText>
      </w:r>
      <w:r>
        <w:rPr>
          <w:rFonts w:ascii="Times New Roman" w:hAnsi="Times New Roman" w:eastAsiaTheme="minorEastAsia"/>
          <w:b w:val="0"/>
          <w:smallCaps/>
          <w:color w:val="auto"/>
          <w:w w:val="99"/>
          <w:kern w:val="2"/>
          <w:sz w:val="24"/>
          <w:szCs w:val="24"/>
          <w:highlight w:val="none"/>
        </w:rPr>
        <w:fldChar w:fldCharType="separate"/>
      </w:r>
      <w:r>
        <w:rPr>
          <w:color w:val="auto"/>
          <w:highlight w:val="none"/>
        </w:rPr>
        <w:fldChar w:fldCharType="begin"/>
      </w:r>
      <w:r>
        <w:rPr>
          <w:color w:val="auto"/>
          <w:highlight w:val="none"/>
        </w:rPr>
        <w:instrText xml:space="preserve"> HYPERLINK \l "_Toc24334" </w:instrText>
      </w:r>
      <w:r>
        <w:rPr>
          <w:color w:val="auto"/>
          <w:highlight w:val="none"/>
        </w:rPr>
        <w:fldChar w:fldCharType="separate"/>
      </w:r>
      <w:r>
        <w:rPr>
          <w:rFonts w:ascii="Times New Roman" w:hAnsi="Times New Roman"/>
          <w:snapToGrid w:val="0"/>
          <w:color w:val="auto"/>
          <w:w w:val="99"/>
          <w:szCs w:val="30"/>
          <w:highlight w:val="none"/>
        </w:rPr>
        <w:t>1概述</w:t>
      </w:r>
      <w:r>
        <w:rPr>
          <w:color w:val="auto"/>
          <w:highlight w:val="none"/>
        </w:rPr>
        <w:tab/>
      </w:r>
      <w:r>
        <w:rPr>
          <w:color w:val="auto"/>
          <w:highlight w:val="none"/>
        </w:rPr>
        <w:fldChar w:fldCharType="begin"/>
      </w:r>
      <w:r>
        <w:rPr>
          <w:color w:val="auto"/>
          <w:highlight w:val="none"/>
        </w:rPr>
        <w:instrText xml:space="preserve"> PAGEREF _Toc24334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6046BBDD">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"_Toc10819" </w:instrText>
      </w:r>
      <w:r>
        <w:rPr>
          <w:color w:val="auto"/>
          <w:highlight w:val="none"/>
        </w:rPr>
        <w:fldChar w:fldCharType="separate"/>
      </w:r>
      <w:r>
        <w:rPr>
          <w:rFonts w:ascii="Times New Roman" w:hAnsi="Times New Roman"/>
          <w:snapToGrid w:val="0"/>
          <w:color w:val="auto"/>
          <w:w w:val="99"/>
          <w:highlight w:val="none"/>
        </w:rPr>
        <w:t>1.1项目由来</w:t>
      </w:r>
      <w:r>
        <w:rPr>
          <w:color w:val="auto"/>
          <w:highlight w:val="none"/>
        </w:rPr>
        <w:tab/>
      </w:r>
      <w:r>
        <w:rPr>
          <w:color w:val="auto"/>
          <w:highlight w:val="none"/>
        </w:rPr>
        <w:fldChar w:fldCharType="begin"/>
      </w:r>
      <w:r>
        <w:rPr>
          <w:color w:val="auto"/>
          <w:highlight w:val="none"/>
        </w:rPr>
        <w:instrText xml:space="preserve"> PAGEREF _Toc10819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14A1F00B">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"_Toc26471" </w:instrText>
      </w:r>
      <w:r>
        <w:rPr>
          <w:color w:val="auto"/>
          <w:highlight w:val="none"/>
        </w:rPr>
        <w:fldChar w:fldCharType="separate"/>
      </w:r>
      <w:r>
        <w:rPr>
          <w:rFonts w:ascii="Times New Roman" w:hAnsi="Times New Roman"/>
          <w:snapToGrid w:val="0"/>
          <w:color w:val="auto"/>
          <w:w w:val="99"/>
          <w:highlight w:val="none"/>
        </w:rPr>
        <w:t>1.2项目特点</w:t>
      </w:r>
      <w:r>
        <w:rPr>
          <w:color w:val="auto"/>
          <w:highlight w:val="none"/>
        </w:rPr>
        <w:tab/>
      </w:r>
      <w:r>
        <w:rPr>
          <w:color w:val="auto"/>
          <w:highlight w:val="none"/>
        </w:rPr>
        <w:fldChar w:fldCharType="begin"/>
      </w:r>
      <w:r>
        <w:rPr>
          <w:color w:val="auto"/>
          <w:highlight w:val="none"/>
        </w:rPr>
        <w:instrText xml:space="preserve"> PAGEREF _Toc26471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14:paraId="238298E9">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"_Toc2083" </w:instrText>
      </w:r>
      <w:r>
        <w:rPr>
          <w:color w:val="auto"/>
          <w:highlight w:val="none"/>
        </w:rPr>
        <w:fldChar w:fldCharType="separate"/>
      </w:r>
      <w:r>
        <w:rPr>
          <w:rFonts w:ascii="Times New Roman" w:hAnsi="Times New Roman"/>
          <w:snapToGrid w:val="0"/>
          <w:color w:val="auto"/>
          <w:w w:val="99"/>
          <w:highlight w:val="none"/>
        </w:rPr>
        <w:t>1.3环境影响评价工作过程</w:t>
      </w:r>
      <w:r>
        <w:rPr>
          <w:color w:val="auto"/>
          <w:highlight w:val="none"/>
        </w:rPr>
        <w:tab/>
      </w:r>
      <w:r>
        <w:rPr>
          <w:color w:val="auto"/>
          <w:highlight w:val="none"/>
        </w:rPr>
        <w:fldChar w:fldCharType="begin"/>
      </w:r>
      <w:r>
        <w:rPr>
          <w:color w:val="auto"/>
          <w:highlight w:val="none"/>
        </w:rPr>
        <w:instrText xml:space="preserve"> PAGEREF _Toc2083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6430DDFC">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"_Toc16420" </w:instrText>
      </w:r>
      <w:r>
        <w:rPr>
          <w:color w:val="auto"/>
          <w:highlight w:val="none"/>
        </w:rPr>
        <w:fldChar w:fldCharType="separate"/>
      </w:r>
      <w:r>
        <w:rPr>
          <w:rFonts w:ascii="Times New Roman" w:hAnsi="Times New Roman"/>
          <w:snapToGrid w:val="0"/>
          <w:color w:val="auto"/>
          <w:w w:val="99"/>
          <w:highlight w:val="none"/>
        </w:rPr>
        <w:t>1.4分析判定相关情况</w:t>
      </w:r>
      <w:r>
        <w:rPr>
          <w:color w:val="auto"/>
          <w:highlight w:val="none"/>
        </w:rPr>
        <w:tab/>
      </w:r>
      <w:r>
        <w:rPr>
          <w:color w:val="auto"/>
          <w:highlight w:val="none"/>
        </w:rPr>
        <w:fldChar w:fldCharType="begin"/>
      </w:r>
      <w:r>
        <w:rPr>
          <w:color w:val="auto"/>
          <w:highlight w:val="none"/>
        </w:rPr>
        <w:instrText xml:space="preserve"> PAGEREF _Toc16420 \h </w:instrText>
      </w:r>
      <w:r>
        <w:rPr>
          <w:color w:val="auto"/>
          <w:highlight w:val="none"/>
        </w:rPr>
        <w:fldChar w:fldCharType="separate"/>
      </w:r>
      <w:r>
        <w:rPr>
          <w:color w:val="auto"/>
          <w:highlight w:val="none"/>
        </w:rPr>
        <w:t>7</w:t>
      </w:r>
      <w:r>
        <w:rPr>
          <w:color w:val="auto"/>
          <w:highlight w:val="none"/>
        </w:rPr>
        <w:fldChar w:fldCharType="end"/>
      </w:r>
      <w:r>
        <w:rPr>
          <w:color w:val="auto"/>
          <w:highlight w:val="none"/>
        </w:rPr>
        <w:fldChar w:fldCharType="end"/>
      </w:r>
    </w:p>
    <w:p w14:paraId="41C1075B">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"_Toc8562" </w:instrText>
      </w:r>
      <w:r>
        <w:rPr>
          <w:color w:val="auto"/>
          <w:highlight w:val="none"/>
        </w:rPr>
        <w:fldChar w:fldCharType="separate"/>
      </w:r>
      <w:r>
        <w:rPr>
          <w:rFonts w:ascii="Times New Roman" w:hAnsi="Times New Roman"/>
          <w:snapToGrid w:val="0"/>
          <w:color w:val="auto"/>
          <w:w w:val="99"/>
          <w:highlight w:val="none"/>
        </w:rPr>
        <w:t>1.5关注的主要环境问题及环境影响</w:t>
      </w:r>
      <w:r>
        <w:rPr>
          <w:color w:val="auto"/>
          <w:highlight w:val="none"/>
        </w:rPr>
        <w:tab/>
      </w:r>
      <w:r>
        <w:rPr>
          <w:color w:val="auto"/>
          <w:highlight w:val="none"/>
        </w:rPr>
        <w:fldChar w:fldCharType="begin"/>
      </w:r>
      <w:r>
        <w:rPr>
          <w:color w:val="auto"/>
          <w:highlight w:val="none"/>
        </w:rPr>
        <w:instrText xml:space="preserve"> PAGEREF _Toc8562 \h </w:instrText>
      </w:r>
      <w:r>
        <w:rPr>
          <w:color w:val="auto"/>
          <w:highlight w:val="none"/>
        </w:rPr>
        <w:fldChar w:fldCharType="separate"/>
      </w:r>
      <w:r>
        <w:rPr>
          <w:color w:val="auto"/>
          <w:highlight w:val="none"/>
        </w:rPr>
        <w:t>41</w:t>
      </w:r>
      <w:r>
        <w:rPr>
          <w:color w:val="auto"/>
          <w:highlight w:val="none"/>
        </w:rPr>
        <w:fldChar w:fldCharType="end"/>
      </w:r>
      <w:r>
        <w:rPr>
          <w:color w:val="auto"/>
          <w:highlight w:val="none"/>
        </w:rPr>
        <w:fldChar w:fldCharType="end"/>
      </w:r>
    </w:p>
    <w:p w14:paraId="2543FCBC">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"_Toc6598" </w:instrText>
      </w:r>
      <w:r>
        <w:rPr>
          <w:color w:val="auto"/>
          <w:highlight w:val="none"/>
        </w:rPr>
        <w:fldChar w:fldCharType="separate"/>
      </w:r>
      <w:r>
        <w:rPr>
          <w:rFonts w:ascii="Times New Roman" w:hAnsi="Times New Roman"/>
          <w:snapToGrid w:val="0"/>
          <w:color w:val="auto"/>
          <w:w w:val="99"/>
          <w:highlight w:val="none"/>
        </w:rPr>
        <w:t>1.6环境影响评价主要结论</w:t>
      </w:r>
      <w:r>
        <w:rPr>
          <w:color w:val="auto"/>
          <w:highlight w:val="none"/>
        </w:rPr>
        <w:tab/>
      </w:r>
      <w:r>
        <w:rPr>
          <w:color w:val="auto"/>
          <w:highlight w:val="none"/>
        </w:rPr>
        <w:fldChar w:fldCharType="begin"/>
      </w:r>
      <w:r>
        <w:rPr>
          <w:color w:val="auto"/>
          <w:highlight w:val="none"/>
        </w:rPr>
        <w:instrText xml:space="preserve"> PAGEREF _Toc6598 \h </w:instrText>
      </w:r>
      <w:r>
        <w:rPr>
          <w:color w:val="auto"/>
          <w:highlight w:val="none"/>
        </w:rPr>
        <w:fldChar w:fldCharType="separate"/>
      </w:r>
      <w:r>
        <w:rPr>
          <w:color w:val="auto"/>
          <w:highlight w:val="none"/>
        </w:rPr>
        <w:t>43</w:t>
      </w:r>
      <w:r>
        <w:rPr>
          <w:color w:val="auto"/>
          <w:highlight w:val="none"/>
        </w:rPr>
        <w:fldChar w:fldCharType="end"/>
      </w:r>
      <w:r>
        <w:rPr>
          <w:color w:val="auto"/>
          <w:highlight w:val="none"/>
        </w:rPr>
        <w:fldChar w:fldCharType="end"/>
      </w:r>
    </w:p>
    <w:p w14:paraId="3C43877F">
      <w:pPr>
        <w:pStyle w:val="55"/>
        <w:tabs>
          <w:tab w:val="right" w:leader="dot" w:pos="9070"/>
        </w:tabs>
        <w:rPr>
          <w:rFonts w:hint="eastAsia"/>
          <w:color w:val="auto"/>
          <w:highlight w:val="none"/>
        </w:rPr>
      </w:pPr>
      <w:r>
        <w:rPr>
          <w:color w:val="auto"/>
          <w:highlight w:val="none"/>
        </w:rPr>
        <w:fldChar w:fldCharType="begin"/>
      </w:r>
      <w:r>
        <w:rPr>
          <w:color w:val="auto"/>
          <w:highlight w:val="none"/>
        </w:rPr>
        <w:instrText xml:space="preserve"> HYPERLINK \l "_Toc29565" </w:instrText>
      </w:r>
      <w:r>
        <w:rPr>
          <w:color w:val="auto"/>
          <w:highlight w:val="none"/>
        </w:rPr>
        <w:fldChar w:fldCharType="separate"/>
      </w:r>
      <w:r>
        <w:rPr>
          <w:rFonts w:ascii="Times New Roman" w:hAnsi="Times New Roman"/>
          <w:snapToGrid w:val="0"/>
          <w:color w:val="auto"/>
          <w:w w:val="99"/>
          <w:szCs w:val="30"/>
          <w:highlight w:val="none"/>
        </w:rPr>
        <w:t>2总则</w:t>
      </w:r>
      <w:r>
        <w:rPr>
          <w:color w:val="auto"/>
          <w:highlight w:val="none"/>
        </w:rPr>
        <w:tab/>
      </w:r>
      <w:r>
        <w:rPr>
          <w:color w:val="auto"/>
          <w:highlight w:val="none"/>
        </w:rPr>
        <w:fldChar w:fldCharType="begin"/>
      </w:r>
      <w:r>
        <w:rPr>
          <w:color w:val="auto"/>
          <w:highlight w:val="none"/>
        </w:rPr>
        <w:instrText xml:space="preserve"> PAGEREF _Toc29565 \h </w:instrText>
      </w:r>
      <w:r>
        <w:rPr>
          <w:color w:val="auto"/>
          <w:highlight w:val="none"/>
        </w:rPr>
        <w:fldChar w:fldCharType="separate"/>
      </w:r>
      <w:r>
        <w:rPr>
          <w:color w:val="auto"/>
          <w:highlight w:val="none"/>
        </w:rPr>
        <w:t>44</w:t>
      </w:r>
      <w:r>
        <w:rPr>
          <w:color w:val="auto"/>
          <w:highlight w:val="none"/>
        </w:rPr>
        <w:fldChar w:fldCharType="end"/>
      </w:r>
      <w:r>
        <w:rPr>
          <w:color w:val="auto"/>
          <w:highlight w:val="none"/>
        </w:rPr>
        <w:fldChar w:fldCharType="end"/>
      </w:r>
    </w:p>
    <w:p w14:paraId="05B1ECC1">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"_Toc6128" </w:instrText>
      </w:r>
      <w:r>
        <w:rPr>
          <w:color w:val="auto"/>
          <w:highlight w:val="none"/>
        </w:rPr>
        <w:fldChar w:fldCharType="separate"/>
      </w:r>
      <w:r>
        <w:rPr>
          <w:rFonts w:ascii="Times New Roman" w:hAnsi="Times New Roman"/>
          <w:snapToGrid w:val="0"/>
          <w:color w:val="auto"/>
          <w:w w:val="99"/>
          <w:highlight w:val="none"/>
        </w:rPr>
        <w:t>2.1评价目的</w:t>
      </w:r>
      <w:r>
        <w:rPr>
          <w:color w:val="auto"/>
          <w:highlight w:val="none"/>
        </w:rPr>
        <w:tab/>
      </w:r>
      <w:r>
        <w:rPr>
          <w:color w:val="auto"/>
          <w:highlight w:val="none"/>
        </w:rPr>
        <w:fldChar w:fldCharType="begin"/>
      </w:r>
      <w:r>
        <w:rPr>
          <w:color w:val="auto"/>
          <w:highlight w:val="none"/>
        </w:rPr>
        <w:instrText xml:space="preserve"> PAGEREF _Toc6128 \h </w:instrText>
      </w:r>
      <w:r>
        <w:rPr>
          <w:color w:val="auto"/>
          <w:highlight w:val="none"/>
        </w:rPr>
        <w:fldChar w:fldCharType="separate"/>
      </w:r>
      <w:r>
        <w:rPr>
          <w:color w:val="auto"/>
          <w:highlight w:val="none"/>
        </w:rPr>
        <w:t>44</w:t>
      </w:r>
      <w:r>
        <w:rPr>
          <w:color w:val="auto"/>
          <w:highlight w:val="none"/>
        </w:rPr>
        <w:fldChar w:fldCharType="end"/>
      </w:r>
      <w:r>
        <w:rPr>
          <w:color w:val="auto"/>
          <w:highlight w:val="none"/>
        </w:rPr>
        <w:fldChar w:fldCharType="end"/>
      </w:r>
    </w:p>
    <w:p w14:paraId="15D464E2">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"_Toc26816" </w:instrText>
      </w:r>
      <w:r>
        <w:rPr>
          <w:color w:val="auto"/>
          <w:highlight w:val="none"/>
        </w:rPr>
        <w:fldChar w:fldCharType="separate"/>
      </w:r>
      <w:r>
        <w:rPr>
          <w:rFonts w:ascii="Times New Roman" w:hAnsi="Times New Roman"/>
          <w:snapToGrid w:val="0"/>
          <w:color w:val="auto"/>
          <w:w w:val="99"/>
          <w:highlight w:val="none"/>
        </w:rPr>
        <w:t>2.2评价原则</w:t>
      </w:r>
      <w:r>
        <w:rPr>
          <w:color w:val="auto"/>
          <w:highlight w:val="none"/>
        </w:rPr>
        <w:tab/>
      </w:r>
      <w:r>
        <w:rPr>
          <w:color w:val="auto"/>
          <w:highlight w:val="none"/>
        </w:rPr>
        <w:fldChar w:fldCharType="begin"/>
      </w:r>
      <w:r>
        <w:rPr>
          <w:color w:val="auto"/>
          <w:highlight w:val="none"/>
        </w:rPr>
        <w:instrText xml:space="preserve"> PAGEREF _Toc26816 \h </w:instrText>
      </w:r>
      <w:r>
        <w:rPr>
          <w:color w:val="auto"/>
          <w:highlight w:val="none"/>
        </w:rPr>
        <w:fldChar w:fldCharType="separate"/>
      </w:r>
      <w:r>
        <w:rPr>
          <w:color w:val="auto"/>
          <w:highlight w:val="none"/>
        </w:rPr>
        <w:t>44</w:t>
      </w:r>
      <w:r>
        <w:rPr>
          <w:color w:val="auto"/>
          <w:highlight w:val="none"/>
        </w:rPr>
        <w:fldChar w:fldCharType="end"/>
      </w:r>
      <w:r>
        <w:rPr>
          <w:color w:val="auto"/>
          <w:highlight w:val="none"/>
        </w:rPr>
        <w:fldChar w:fldCharType="end"/>
      </w:r>
    </w:p>
    <w:p w14:paraId="102EF17F">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"_Toc774" </w:instrText>
      </w:r>
      <w:r>
        <w:rPr>
          <w:color w:val="auto"/>
          <w:highlight w:val="none"/>
        </w:rPr>
        <w:fldChar w:fldCharType="separate"/>
      </w:r>
      <w:r>
        <w:rPr>
          <w:rFonts w:ascii="Times New Roman" w:hAnsi="Times New Roman"/>
          <w:snapToGrid w:val="0"/>
          <w:color w:val="auto"/>
          <w:w w:val="99"/>
          <w:highlight w:val="none"/>
        </w:rPr>
        <w:t>2.3编制依据</w:t>
      </w:r>
      <w:r>
        <w:rPr>
          <w:color w:val="auto"/>
          <w:highlight w:val="none"/>
        </w:rPr>
        <w:tab/>
      </w:r>
      <w:r>
        <w:rPr>
          <w:color w:val="auto"/>
          <w:highlight w:val="none"/>
        </w:rPr>
        <w:fldChar w:fldCharType="begin"/>
      </w:r>
      <w:r>
        <w:rPr>
          <w:color w:val="auto"/>
          <w:highlight w:val="none"/>
        </w:rPr>
        <w:instrText xml:space="preserve"> PAGEREF _Toc774 \h </w:instrText>
      </w:r>
      <w:r>
        <w:rPr>
          <w:color w:val="auto"/>
          <w:highlight w:val="none"/>
        </w:rPr>
        <w:fldChar w:fldCharType="separate"/>
      </w:r>
      <w:r>
        <w:rPr>
          <w:color w:val="auto"/>
          <w:highlight w:val="none"/>
        </w:rPr>
        <w:t>44</w:t>
      </w:r>
      <w:r>
        <w:rPr>
          <w:color w:val="auto"/>
          <w:highlight w:val="none"/>
        </w:rPr>
        <w:fldChar w:fldCharType="end"/>
      </w:r>
      <w:r>
        <w:rPr>
          <w:color w:val="auto"/>
          <w:highlight w:val="none"/>
        </w:rPr>
        <w:fldChar w:fldCharType="end"/>
      </w:r>
    </w:p>
    <w:p w14:paraId="73F33BDF">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"_Toc30845" </w:instrText>
      </w:r>
      <w:r>
        <w:rPr>
          <w:color w:val="auto"/>
          <w:highlight w:val="none"/>
        </w:rPr>
        <w:fldChar w:fldCharType="separate"/>
      </w:r>
      <w:r>
        <w:rPr>
          <w:rFonts w:ascii="Times New Roman" w:hAnsi="Times New Roman"/>
          <w:snapToGrid w:val="0"/>
          <w:color w:val="auto"/>
          <w:w w:val="99"/>
          <w:highlight w:val="none"/>
        </w:rPr>
        <w:t>2.5环境影响识别与评价因子筛选</w:t>
      </w:r>
      <w:r>
        <w:rPr>
          <w:color w:val="auto"/>
          <w:highlight w:val="none"/>
        </w:rPr>
        <w:tab/>
      </w:r>
      <w:r>
        <w:rPr>
          <w:color w:val="auto"/>
          <w:highlight w:val="none"/>
        </w:rPr>
        <w:fldChar w:fldCharType="begin"/>
      </w:r>
      <w:r>
        <w:rPr>
          <w:color w:val="auto"/>
          <w:highlight w:val="none"/>
        </w:rPr>
        <w:instrText xml:space="preserve"> PAGEREF _Toc30845 \h </w:instrText>
      </w:r>
      <w:r>
        <w:rPr>
          <w:color w:val="auto"/>
          <w:highlight w:val="none"/>
        </w:rPr>
        <w:fldChar w:fldCharType="separate"/>
      </w:r>
      <w:r>
        <w:rPr>
          <w:color w:val="auto"/>
          <w:highlight w:val="none"/>
        </w:rPr>
        <w:t>48</w:t>
      </w:r>
      <w:r>
        <w:rPr>
          <w:color w:val="auto"/>
          <w:highlight w:val="none"/>
        </w:rPr>
        <w:fldChar w:fldCharType="end"/>
      </w:r>
      <w:r>
        <w:rPr>
          <w:color w:val="auto"/>
          <w:highlight w:val="none"/>
        </w:rPr>
        <w:fldChar w:fldCharType="end"/>
      </w:r>
    </w:p>
    <w:p w14:paraId="554CD6B1">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"_Toc19439" </w:instrText>
      </w:r>
      <w:r>
        <w:rPr>
          <w:color w:val="auto"/>
          <w:highlight w:val="none"/>
        </w:rPr>
        <w:fldChar w:fldCharType="separate"/>
      </w:r>
      <w:r>
        <w:rPr>
          <w:rFonts w:ascii="Times New Roman" w:hAnsi="Times New Roman"/>
          <w:snapToGrid w:val="0"/>
          <w:color w:val="auto"/>
          <w:w w:val="99"/>
          <w:highlight w:val="none"/>
        </w:rPr>
        <w:t>2.6评价标准</w:t>
      </w:r>
      <w:r>
        <w:rPr>
          <w:color w:val="auto"/>
          <w:highlight w:val="none"/>
        </w:rPr>
        <w:tab/>
      </w:r>
      <w:r>
        <w:rPr>
          <w:color w:val="auto"/>
          <w:highlight w:val="none"/>
        </w:rPr>
        <w:fldChar w:fldCharType="begin"/>
      </w:r>
      <w:r>
        <w:rPr>
          <w:color w:val="auto"/>
          <w:highlight w:val="none"/>
        </w:rPr>
        <w:instrText xml:space="preserve"> PAGEREF _Toc19439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7FD527BA">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"_Toc29703" </w:instrText>
      </w:r>
      <w:r>
        <w:rPr>
          <w:color w:val="auto"/>
          <w:highlight w:val="none"/>
        </w:rPr>
        <w:fldChar w:fldCharType="separate"/>
      </w:r>
      <w:r>
        <w:rPr>
          <w:rFonts w:ascii="Times New Roman" w:hAnsi="Times New Roman"/>
          <w:snapToGrid w:val="0"/>
          <w:color w:val="auto"/>
          <w:w w:val="99"/>
          <w:highlight w:val="none"/>
        </w:rPr>
        <w:t>2.7评价等级及评价范围</w:t>
      </w:r>
      <w:r>
        <w:rPr>
          <w:color w:val="auto"/>
          <w:highlight w:val="none"/>
        </w:rPr>
        <w:tab/>
      </w:r>
      <w:r>
        <w:rPr>
          <w:color w:val="auto"/>
          <w:highlight w:val="none"/>
        </w:rPr>
        <w:fldChar w:fldCharType="begin"/>
      </w:r>
      <w:r>
        <w:rPr>
          <w:color w:val="auto"/>
          <w:highlight w:val="none"/>
        </w:rPr>
        <w:instrText xml:space="preserve"> PAGEREF _Toc29703 \h </w:instrText>
      </w:r>
      <w:r>
        <w:rPr>
          <w:color w:val="auto"/>
          <w:highlight w:val="none"/>
        </w:rPr>
        <w:fldChar w:fldCharType="separate"/>
      </w:r>
      <w:r>
        <w:rPr>
          <w:color w:val="auto"/>
          <w:highlight w:val="none"/>
        </w:rPr>
        <w:t>58</w:t>
      </w:r>
      <w:r>
        <w:rPr>
          <w:color w:val="auto"/>
          <w:highlight w:val="none"/>
        </w:rPr>
        <w:fldChar w:fldCharType="end"/>
      </w:r>
      <w:r>
        <w:rPr>
          <w:color w:val="auto"/>
          <w:highlight w:val="none"/>
        </w:rPr>
        <w:fldChar w:fldCharType="end"/>
      </w:r>
    </w:p>
    <w:p w14:paraId="2F620C33">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"_Toc6827" </w:instrText>
      </w:r>
      <w:r>
        <w:rPr>
          <w:color w:val="auto"/>
          <w:highlight w:val="none"/>
        </w:rPr>
        <w:fldChar w:fldCharType="separate"/>
      </w:r>
      <w:r>
        <w:rPr>
          <w:rFonts w:ascii="Times New Roman" w:hAnsi="Times New Roman"/>
          <w:snapToGrid w:val="0"/>
          <w:color w:val="auto"/>
          <w:w w:val="99"/>
          <w:highlight w:val="none"/>
        </w:rPr>
        <w:t>2.8环境保护目标</w:t>
      </w:r>
      <w:r>
        <w:rPr>
          <w:color w:val="auto"/>
          <w:highlight w:val="none"/>
        </w:rPr>
        <w:tab/>
      </w:r>
      <w:r>
        <w:rPr>
          <w:color w:val="auto"/>
          <w:highlight w:val="none"/>
        </w:rPr>
        <w:fldChar w:fldCharType="begin"/>
      </w:r>
      <w:r>
        <w:rPr>
          <w:color w:val="auto"/>
          <w:highlight w:val="none"/>
        </w:rPr>
        <w:instrText xml:space="preserve"> PAGEREF _Toc6827 \h </w:instrText>
      </w:r>
      <w:r>
        <w:rPr>
          <w:color w:val="auto"/>
          <w:highlight w:val="none"/>
        </w:rPr>
        <w:fldChar w:fldCharType="separate"/>
      </w:r>
      <w:r>
        <w:rPr>
          <w:color w:val="auto"/>
          <w:highlight w:val="none"/>
        </w:rPr>
        <w:t>70</w:t>
      </w:r>
      <w:r>
        <w:rPr>
          <w:color w:val="auto"/>
          <w:highlight w:val="none"/>
        </w:rPr>
        <w:fldChar w:fldCharType="end"/>
      </w:r>
      <w:r>
        <w:rPr>
          <w:color w:val="auto"/>
          <w:highlight w:val="none"/>
        </w:rPr>
        <w:fldChar w:fldCharType="end"/>
      </w:r>
    </w:p>
    <w:p w14:paraId="5F7ABD4B">
      <w:pPr>
        <w:pStyle w:val="55"/>
        <w:tabs>
          <w:tab w:val="right" w:leader="dot" w:pos="9070"/>
        </w:tabs>
        <w:rPr>
          <w:rFonts w:hint="eastAsia"/>
          <w:color w:val="auto"/>
          <w:highlight w:val="none"/>
        </w:rPr>
      </w:pPr>
      <w:r>
        <w:rPr>
          <w:color w:val="auto"/>
          <w:highlight w:val="none"/>
        </w:rPr>
        <w:fldChar w:fldCharType="begin"/>
      </w:r>
      <w:r>
        <w:rPr>
          <w:color w:val="auto"/>
          <w:highlight w:val="none"/>
        </w:rPr>
        <w:instrText xml:space="preserve"> HYPERLINK \l "_Toc30569" </w:instrText>
      </w:r>
      <w:r>
        <w:rPr>
          <w:color w:val="auto"/>
          <w:highlight w:val="none"/>
        </w:rPr>
        <w:fldChar w:fldCharType="separate"/>
      </w:r>
      <w:r>
        <w:rPr>
          <w:rFonts w:ascii="Times New Roman" w:hAnsi="Times New Roman"/>
          <w:snapToGrid w:val="0"/>
          <w:color w:val="auto"/>
          <w:w w:val="99"/>
          <w:szCs w:val="30"/>
          <w:highlight w:val="none"/>
        </w:rPr>
        <w:t>3建设项目工程分析</w:t>
      </w:r>
      <w:r>
        <w:rPr>
          <w:color w:val="auto"/>
          <w:highlight w:val="none"/>
        </w:rPr>
        <w:tab/>
      </w:r>
      <w:r>
        <w:rPr>
          <w:color w:val="auto"/>
          <w:highlight w:val="none"/>
        </w:rPr>
        <w:fldChar w:fldCharType="begin"/>
      </w:r>
      <w:r>
        <w:rPr>
          <w:color w:val="auto"/>
          <w:highlight w:val="none"/>
        </w:rPr>
        <w:instrText xml:space="preserve"> PAGEREF _Toc30569 \h </w:instrText>
      </w:r>
      <w:r>
        <w:rPr>
          <w:color w:val="auto"/>
          <w:highlight w:val="none"/>
        </w:rPr>
        <w:fldChar w:fldCharType="separate"/>
      </w:r>
      <w:r>
        <w:rPr>
          <w:color w:val="auto"/>
          <w:highlight w:val="none"/>
        </w:rPr>
        <w:t>74</w:t>
      </w:r>
      <w:r>
        <w:rPr>
          <w:color w:val="auto"/>
          <w:highlight w:val="none"/>
        </w:rPr>
        <w:fldChar w:fldCharType="end"/>
      </w:r>
      <w:r>
        <w:rPr>
          <w:color w:val="auto"/>
          <w:highlight w:val="none"/>
        </w:rPr>
        <w:fldChar w:fldCharType="end"/>
      </w:r>
    </w:p>
    <w:p w14:paraId="02BCCC01">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"_Toc9951" </w:instrText>
      </w:r>
      <w:r>
        <w:rPr>
          <w:color w:val="auto"/>
          <w:highlight w:val="none"/>
        </w:rPr>
        <w:fldChar w:fldCharType="separate"/>
      </w:r>
      <w:r>
        <w:rPr>
          <w:rFonts w:ascii="Times New Roman" w:hAnsi="Times New Roman"/>
          <w:bCs/>
          <w:snapToGrid w:val="0"/>
          <w:color w:val="auto"/>
          <w:w w:val="99"/>
          <w:szCs w:val="32"/>
          <w:highlight w:val="none"/>
        </w:rPr>
        <w:t>3.1现有工程分析</w:t>
      </w:r>
      <w:r>
        <w:rPr>
          <w:color w:val="auto"/>
          <w:highlight w:val="none"/>
        </w:rPr>
        <w:tab/>
      </w:r>
      <w:r>
        <w:rPr>
          <w:color w:val="auto"/>
          <w:highlight w:val="none"/>
        </w:rPr>
        <w:fldChar w:fldCharType="begin"/>
      </w:r>
      <w:r>
        <w:rPr>
          <w:color w:val="auto"/>
          <w:highlight w:val="none"/>
        </w:rPr>
        <w:instrText xml:space="preserve"> PAGEREF _Toc9951 \h </w:instrText>
      </w:r>
      <w:r>
        <w:rPr>
          <w:color w:val="auto"/>
          <w:highlight w:val="none"/>
        </w:rPr>
        <w:fldChar w:fldCharType="separate"/>
      </w:r>
      <w:r>
        <w:rPr>
          <w:color w:val="auto"/>
          <w:highlight w:val="none"/>
        </w:rPr>
        <w:t>74</w:t>
      </w:r>
      <w:r>
        <w:rPr>
          <w:color w:val="auto"/>
          <w:highlight w:val="none"/>
        </w:rPr>
        <w:fldChar w:fldCharType="end"/>
      </w:r>
      <w:r>
        <w:rPr>
          <w:color w:val="auto"/>
          <w:highlight w:val="none"/>
        </w:rPr>
        <w:fldChar w:fldCharType="end"/>
      </w:r>
    </w:p>
    <w:p w14:paraId="1FEAE91A">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"_Toc24664" </w:instrText>
      </w:r>
      <w:r>
        <w:rPr>
          <w:color w:val="auto"/>
          <w:highlight w:val="none"/>
        </w:rPr>
        <w:fldChar w:fldCharType="separate"/>
      </w:r>
      <w:r>
        <w:rPr>
          <w:rFonts w:ascii="Times New Roman" w:hAnsi="Times New Roman"/>
          <w:snapToGrid w:val="0"/>
          <w:color w:val="auto"/>
          <w:w w:val="99"/>
          <w:highlight w:val="none"/>
        </w:rPr>
        <w:t>3.2项目概况</w:t>
      </w:r>
      <w:r>
        <w:rPr>
          <w:color w:val="auto"/>
          <w:highlight w:val="none"/>
        </w:rPr>
        <w:tab/>
      </w:r>
      <w:r>
        <w:rPr>
          <w:color w:val="auto"/>
          <w:highlight w:val="none"/>
        </w:rPr>
        <w:fldChar w:fldCharType="begin"/>
      </w:r>
      <w:r>
        <w:rPr>
          <w:color w:val="auto"/>
          <w:highlight w:val="none"/>
        </w:rPr>
        <w:instrText xml:space="preserve"> PAGEREF _Toc24664 \h </w:instrText>
      </w:r>
      <w:r>
        <w:rPr>
          <w:color w:val="auto"/>
          <w:highlight w:val="none"/>
        </w:rPr>
        <w:fldChar w:fldCharType="separate"/>
      </w:r>
      <w:r>
        <w:rPr>
          <w:color w:val="auto"/>
          <w:highlight w:val="none"/>
        </w:rPr>
        <w:t>83</w:t>
      </w:r>
      <w:r>
        <w:rPr>
          <w:color w:val="auto"/>
          <w:highlight w:val="none"/>
        </w:rPr>
        <w:fldChar w:fldCharType="end"/>
      </w:r>
      <w:r>
        <w:rPr>
          <w:color w:val="auto"/>
          <w:highlight w:val="none"/>
        </w:rPr>
        <w:fldChar w:fldCharType="end"/>
      </w:r>
    </w:p>
    <w:p w14:paraId="11FD60C5">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"_Toc20875" </w:instrText>
      </w:r>
      <w:r>
        <w:rPr>
          <w:color w:val="auto"/>
          <w:highlight w:val="none"/>
        </w:rPr>
        <w:fldChar w:fldCharType="separate"/>
      </w:r>
      <w:r>
        <w:rPr>
          <w:rFonts w:ascii="Times New Roman" w:hAnsi="Times New Roman"/>
          <w:snapToGrid w:val="0"/>
          <w:color w:val="auto"/>
          <w:w w:val="99"/>
          <w:highlight w:val="none"/>
        </w:rPr>
        <w:t>3.</w:t>
      </w:r>
      <w:r>
        <w:rPr>
          <w:rFonts w:hint="eastAsia" w:ascii="Times New Roman" w:hAnsi="Times New Roman"/>
          <w:snapToGrid w:val="0"/>
          <w:color w:val="auto"/>
          <w:w w:val="99"/>
          <w:highlight w:val="none"/>
        </w:rPr>
        <w:t>3</w:t>
      </w:r>
      <w:r>
        <w:rPr>
          <w:rFonts w:ascii="Times New Roman" w:hAnsi="Times New Roman"/>
          <w:snapToGrid w:val="0"/>
          <w:color w:val="auto"/>
          <w:w w:val="99"/>
          <w:highlight w:val="none"/>
        </w:rPr>
        <w:t>工程组成</w:t>
      </w:r>
      <w:r>
        <w:rPr>
          <w:color w:val="auto"/>
          <w:highlight w:val="none"/>
        </w:rPr>
        <w:tab/>
      </w:r>
      <w:r>
        <w:rPr>
          <w:color w:val="auto"/>
          <w:highlight w:val="none"/>
        </w:rPr>
        <w:fldChar w:fldCharType="begin"/>
      </w:r>
      <w:r>
        <w:rPr>
          <w:color w:val="auto"/>
          <w:highlight w:val="none"/>
        </w:rPr>
        <w:instrText xml:space="preserve"> PAGEREF _Toc20875 \h </w:instrText>
      </w:r>
      <w:r>
        <w:rPr>
          <w:color w:val="auto"/>
          <w:highlight w:val="none"/>
        </w:rPr>
        <w:fldChar w:fldCharType="separate"/>
      </w:r>
      <w:r>
        <w:rPr>
          <w:color w:val="auto"/>
          <w:highlight w:val="none"/>
        </w:rPr>
        <w:t>84</w:t>
      </w:r>
      <w:r>
        <w:rPr>
          <w:color w:val="auto"/>
          <w:highlight w:val="none"/>
        </w:rPr>
        <w:fldChar w:fldCharType="end"/>
      </w:r>
      <w:r>
        <w:rPr>
          <w:color w:val="auto"/>
          <w:highlight w:val="none"/>
        </w:rPr>
        <w:fldChar w:fldCharType="end"/>
      </w:r>
    </w:p>
    <w:p w14:paraId="40761346">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"_Toc1417" </w:instrText>
      </w:r>
      <w:r>
        <w:rPr>
          <w:color w:val="auto"/>
          <w:highlight w:val="none"/>
        </w:rPr>
        <w:fldChar w:fldCharType="separate"/>
      </w:r>
      <w:r>
        <w:rPr>
          <w:rFonts w:ascii="Times New Roman" w:hAnsi="Times New Roman"/>
          <w:snapToGrid w:val="0"/>
          <w:color w:val="auto"/>
          <w:w w:val="99"/>
          <w:highlight w:val="none"/>
        </w:rPr>
        <w:t>3.</w:t>
      </w:r>
      <w:r>
        <w:rPr>
          <w:rFonts w:hint="eastAsia" w:ascii="Times New Roman" w:hAnsi="Times New Roman"/>
          <w:snapToGrid w:val="0"/>
          <w:color w:val="auto"/>
          <w:w w:val="99"/>
          <w:highlight w:val="none"/>
        </w:rPr>
        <w:t>4</w:t>
      </w:r>
      <w:r>
        <w:rPr>
          <w:rFonts w:ascii="Times New Roman" w:hAnsi="Times New Roman"/>
          <w:snapToGrid w:val="0"/>
          <w:color w:val="auto"/>
          <w:w w:val="99"/>
          <w:highlight w:val="none"/>
        </w:rPr>
        <w:t>开发方案</w:t>
      </w:r>
      <w:r>
        <w:rPr>
          <w:color w:val="auto"/>
          <w:highlight w:val="none"/>
        </w:rPr>
        <w:tab/>
      </w:r>
      <w:r>
        <w:rPr>
          <w:color w:val="auto"/>
          <w:highlight w:val="none"/>
        </w:rPr>
        <w:fldChar w:fldCharType="begin"/>
      </w:r>
      <w:r>
        <w:rPr>
          <w:color w:val="auto"/>
          <w:highlight w:val="none"/>
        </w:rPr>
        <w:instrText xml:space="preserve"> PAGEREF _Toc1417 \h </w:instrText>
      </w:r>
      <w:r>
        <w:rPr>
          <w:color w:val="auto"/>
          <w:highlight w:val="none"/>
        </w:rPr>
        <w:fldChar w:fldCharType="separate"/>
      </w:r>
      <w:r>
        <w:rPr>
          <w:color w:val="auto"/>
          <w:highlight w:val="none"/>
        </w:rPr>
        <w:t>89</w:t>
      </w:r>
      <w:r>
        <w:rPr>
          <w:color w:val="auto"/>
          <w:highlight w:val="none"/>
        </w:rPr>
        <w:fldChar w:fldCharType="end"/>
      </w:r>
      <w:r>
        <w:rPr>
          <w:color w:val="auto"/>
          <w:highlight w:val="none"/>
        </w:rPr>
        <w:fldChar w:fldCharType="end"/>
      </w:r>
    </w:p>
    <w:p w14:paraId="0CCE36A1">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"_Toc29048" </w:instrText>
      </w:r>
      <w:r>
        <w:rPr>
          <w:color w:val="auto"/>
          <w:highlight w:val="none"/>
        </w:rPr>
        <w:fldChar w:fldCharType="separate"/>
      </w:r>
      <w:r>
        <w:rPr>
          <w:rFonts w:ascii="Times New Roman" w:hAnsi="Times New Roman"/>
          <w:snapToGrid w:val="0"/>
          <w:color w:val="auto"/>
          <w:w w:val="99"/>
          <w:highlight w:val="none"/>
        </w:rPr>
        <w:t>3.6主要建设内容</w:t>
      </w:r>
      <w:r>
        <w:rPr>
          <w:color w:val="auto"/>
          <w:highlight w:val="none"/>
        </w:rPr>
        <w:tab/>
      </w:r>
      <w:r>
        <w:rPr>
          <w:color w:val="auto"/>
          <w:highlight w:val="none"/>
        </w:rPr>
        <w:fldChar w:fldCharType="begin"/>
      </w:r>
      <w:r>
        <w:rPr>
          <w:color w:val="auto"/>
          <w:highlight w:val="none"/>
        </w:rPr>
        <w:instrText xml:space="preserve"> PAGEREF _Toc29048 \h </w:instrText>
      </w:r>
      <w:r>
        <w:rPr>
          <w:color w:val="auto"/>
          <w:highlight w:val="none"/>
        </w:rPr>
        <w:fldChar w:fldCharType="separate"/>
      </w:r>
      <w:r>
        <w:rPr>
          <w:color w:val="auto"/>
          <w:highlight w:val="none"/>
        </w:rPr>
        <w:t>90</w:t>
      </w:r>
      <w:r>
        <w:rPr>
          <w:color w:val="auto"/>
          <w:highlight w:val="none"/>
        </w:rPr>
        <w:fldChar w:fldCharType="end"/>
      </w:r>
      <w:r>
        <w:rPr>
          <w:color w:val="auto"/>
          <w:highlight w:val="none"/>
        </w:rPr>
        <w:fldChar w:fldCharType="end"/>
      </w:r>
    </w:p>
    <w:p w14:paraId="5E127BEE">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"_Toc31204" </w:instrText>
      </w:r>
      <w:r>
        <w:rPr>
          <w:color w:val="auto"/>
          <w:highlight w:val="none"/>
        </w:rPr>
        <w:fldChar w:fldCharType="separate"/>
      </w:r>
      <w:r>
        <w:rPr>
          <w:rFonts w:ascii="Times New Roman" w:hAnsi="Times New Roman"/>
          <w:snapToGrid w:val="0"/>
          <w:color w:val="auto"/>
          <w:w w:val="99"/>
          <w:highlight w:val="none"/>
        </w:rPr>
        <w:t>3.7</w:t>
      </w:r>
      <w:r>
        <w:rPr>
          <w:rFonts w:hint="eastAsia" w:ascii="Times New Roman" w:hAnsi="Times New Roman"/>
          <w:snapToGrid w:val="0"/>
          <w:color w:val="auto"/>
          <w:w w:val="99"/>
          <w:highlight w:val="none"/>
        </w:rPr>
        <w:t>工程占地及土石方平衡</w:t>
      </w:r>
      <w:r>
        <w:rPr>
          <w:color w:val="auto"/>
          <w:highlight w:val="none"/>
        </w:rPr>
        <w:tab/>
      </w:r>
      <w:r>
        <w:rPr>
          <w:color w:val="auto"/>
          <w:highlight w:val="none"/>
        </w:rPr>
        <w:fldChar w:fldCharType="begin"/>
      </w:r>
      <w:r>
        <w:rPr>
          <w:color w:val="auto"/>
          <w:highlight w:val="none"/>
        </w:rPr>
        <w:instrText xml:space="preserve"> PAGEREF _Toc31204 \h </w:instrText>
      </w:r>
      <w:r>
        <w:rPr>
          <w:color w:val="auto"/>
          <w:highlight w:val="none"/>
        </w:rPr>
        <w:fldChar w:fldCharType="separate"/>
      </w:r>
      <w:r>
        <w:rPr>
          <w:color w:val="auto"/>
          <w:highlight w:val="none"/>
        </w:rPr>
        <w:t>98</w:t>
      </w:r>
      <w:r>
        <w:rPr>
          <w:color w:val="auto"/>
          <w:highlight w:val="none"/>
        </w:rPr>
        <w:fldChar w:fldCharType="end"/>
      </w:r>
      <w:r>
        <w:rPr>
          <w:color w:val="auto"/>
          <w:highlight w:val="none"/>
        </w:rPr>
        <w:fldChar w:fldCharType="end"/>
      </w:r>
    </w:p>
    <w:p w14:paraId="06293135">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"_Toc4136" </w:instrText>
      </w:r>
      <w:r>
        <w:rPr>
          <w:color w:val="auto"/>
          <w:highlight w:val="none"/>
        </w:rPr>
        <w:fldChar w:fldCharType="separate"/>
      </w:r>
      <w:r>
        <w:rPr>
          <w:rFonts w:ascii="Times New Roman" w:hAnsi="Times New Roman"/>
          <w:snapToGrid w:val="0"/>
          <w:color w:val="auto"/>
          <w:w w:val="99"/>
          <w:highlight w:val="none"/>
        </w:rPr>
        <w:t>3.8施工方式</w:t>
      </w:r>
      <w:r>
        <w:rPr>
          <w:color w:val="auto"/>
          <w:highlight w:val="none"/>
        </w:rPr>
        <w:tab/>
      </w:r>
      <w:r>
        <w:rPr>
          <w:color w:val="auto"/>
          <w:highlight w:val="none"/>
        </w:rPr>
        <w:fldChar w:fldCharType="begin"/>
      </w:r>
      <w:r>
        <w:rPr>
          <w:color w:val="auto"/>
          <w:highlight w:val="none"/>
        </w:rPr>
        <w:instrText xml:space="preserve"> PAGEREF _Toc4136 \h </w:instrText>
      </w:r>
      <w:r>
        <w:rPr>
          <w:color w:val="auto"/>
          <w:highlight w:val="none"/>
        </w:rPr>
        <w:fldChar w:fldCharType="separate"/>
      </w:r>
      <w:r>
        <w:rPr>
          <w:color w:val="auto"/>
          <w:highlight w:val="none"/>
        </w:rPr>
        <w:t>100</w:t>
      </w:r>
      <w:r>
        <w:rPr>
          <w:color w:val="auto"/>
          <w:highlight w:val="none"/>
        </w:rPr>
        <w:fldChar w:fldCharType="end"/>
      </w:r>
      <w:r>
        <w:rPr>
          <w:color w:val="auto"/>
          <w:highlight w:val="none"/>
        </w:rPr>
        <w:fldChar w:fldCharType="end"/>
      </w:r>
    </w:p>
    <w:p w14:paraId="75516643">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"_Toc16942" </w:instrText>
      </w:r>
      <w:r>
        <w:rPr>
          <w:color w:val="auto"/>
          <w:highlight w:val="none"/>
        </w:rPr>
        <w:fldChar w:fldCharType="separate"/>
      </w:r>
      <w:r>
        <w:rPr>
          <w:rFonts w:ascii="Times New Roman" w:hAnsi="Times New Roman"/>
          <w:snapToGrid w:val="0"/>
          <w:color w:val="auto"/>
          <w:w w:val="99"/>
          <w:highlight w:val="none"/>
        </w:rPr>
        <w:t>3.</w:t>
      </w:r>
      <w:r>
        <w:rPr>
          <w:rFonts w:hint="eastAsia" w:ascii="Times New Roman" w:hAnsi="Times New Roman"/>
          <w:snapToGrid w:val="0"/>
          <w:color w:val="auto"/>
          <w:w w:val="99"/>
          <w:highlight w:val="none"/>
        </w:rPr>
        <w:t>9</w:t>
      </w:r>
      <w:r>
        <w:rPr>
          <w:rFonts w:ascii="Times New Roman" w:hAnsi="Times New Roman"/>
          <w:snapToGrid w:val="0"/>
          <w:color w:val="auto"/>
          <w:w w:val="99"/>
          <w:highlight w:val="none"/>
        </w:rPr>
        <w:t>物料消耗</w:t>
      </w:r>
      <w:r>
        <w:rPr>
          <w:color w:val="auto"/>
          <w:highlight w:val="none"/>
        </w:rPr>
        <w:tab/>
      </w:r>
      <w:r>
        <w:rPr>
          <w:color w:val="auto"/>
          <w:highlight w:val="none"/>
        </w:rPr>
        <w:fldChar w:fldCharType="begin"/>
      </w:r>
      <w:r>
        <w:rPr>
          <w:color w:val="auto"/>
          <w:highlight w:val="none"/>
        </w:rPr>
        <w:instrText xml:space="preserve"> PAGEREF _Toc16942 \h </w:instrText>
      </w:r>
      <w:r>
        <w:rPr>
          <w:color w:val="auto"/>
          <w:highlight w:val="none"/>
        </w:rPr>
        <w:fldChar w:fldCharType="separate"/>
      </w:r>
      <w:r>
        <w:rPr>
          <w:color w:val="auto"/>
          <w:highlight w:val="none"/>
        </w:rPr>
        <w:t>103</w:t>
      </w:r>
      <w:r>
        <w:rPr>
          <w:color w:val="auto"/>
          <w:highlight w:val="none"/>
        </w:rPr>
        <w:fldChar w:fldCharType="end"/>
      </w:r>
      <w:r>
        <w:rPr>
          <w:color w:val="auto"/>
          <w:highlight w:val="none"/>
        </w:rPr>
        <w:fldChar w:fldCharType="end"/>
      </w:r>
    </w:p>
    <w:p w14:paraId="4ECD1864">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"_Toc855" </w:instrText>
      </w:r>
      <w:r>
        <w:rPr>
          <w:color w:val="auto"/>
          <w:highlight w:val="none"/>
        </w:rPr>
        <w:fldChar w:fldCharType="separate"/>
      </w:r>
      <w:r>
        <w:rPr>
          <w:rFonts w:ascii="Times New Roman" w:hAnsi="Times New Roman"/>
          <w:snapToGrid w:val="0"/>
          <w:color w:val="auto"/>
          <w:w w:val="99"/>
          <w:highlight w:val="none"/>
        </w:rPr>
        <w:t>3.1</w:t>
      </w:r>
      <w:r>
        <w:rPr>
          <w:rFonts w:hint="eastAsia" w:ascii="Times New Roman" w:hAnsi="Times New Roman"/>
          <w:snapToGrid w:val="0"/>
          <w:color w:val="auto"/>
          <w:w w:val="99"/>
          <w:highlight w:val="none"/>
        </w:rPr>
        <w:t>0</w:t>
      </w:r>
      <w:r>
        <w:rPr>
          <w:rFonts w:ascii="Times New Roman" w:hAnsi="Times New Roman"/>
          <w:snapToGrid w:val="0"/>
          <w:color w:val="auto"/>
          <w:w w:val="99"/>
          <w:highlight w:val="none"/>
        </w:rPr>
        <w:t>依托工程分析</w:t>
      </w:r>
      <w:r>
        <w:rPr>
          <w:color w:val="auto"/>
          <w:highlight w:val="none"/>
        </w:rPr>
        <w:tab/>
      </w:r>
      <w:r>
        <w:rPr>
          <w:color w:val="auto"/>
          <w:highlight w:val="none"/>
        </w:rPr>
        <w:fldChar w:fldCharType="begin"/>
      </w:r>
      <w:r>
        <w:rPr>
          <w:color w:val="auto"/>
          <w:highlight w:val="none"/>
        </w:rPr>
        <w:instrText xml:space="preserve"> PAGEREF _Toc855 \h </w:instrText>
      </w:r>
      <w:r>
        <w:rPr>
          <w:color w:val="auto"/>
          <w:highlight w:val="none"/>
        </w:rPr>
        <w:fldChar w:fldCharType="separate"/>
      </w:r>
      <w:r>
        <w:rPr>
          <w:color w:val="auto"/>
          <w:highlight w:val="none"/>
        </w:rPr>
        <w:t>103</w:t>
      </w:r>
      <w:r>
        <w:rPr>
          <w:color w:val="auto"/>
          <w:highlight w:val="none"/>
        </w:rPr>
        <w:fldChar w:fldCharType="end"/>
      </w:r>
      <w:r>
        <w:rPr>
          <w:color w:val="auto"/>
          <w:highlight w:val="none"/>
        </w:rPr>
        <w:fldChar w:fldCharType="end"/>
      </w:r>
    </w:p>
    <w:p w14:paraId="2D2D9E81">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"_Toc22813" </w:instrText>
      </w:r>
      <w:r>
        <w:rPr>
          <w:color w:val="auto"/>
          <w:highlight w:val="none"/>
        </w:rPr>
        <w:fldChar w:fldCharType="separate"/>
      </w:r>
      <w:r>
        <w:rPr>
          <w:rFonts w:hint="eastAsia" w:ascii="Times New Roman" w:hAnsi="Times New Roman"/>
          <w:snapToGrid w:val="0"/>
          <w:color w:val="auto"/>
          <w:w w:val="99"/>
          <w:highlight w:val="none"/>
        </w:rPr>
        <w:t>3.11</w:t>
      </w:r>
      <w:r>
        <w:rPr>
          <w:rFonts w:ascii="Times New Roman" w:hAnsi="Times New Roman"/>
          <w:snapToGrid w:val="0"/>
          <w:color w:val="auto"/>
          <w:w w:val="99"/>
          <w:highlight w:val="none"/>
        </w:rPr>
        <w:t>建设项目工程分析</w:t>
      </w:r>
      <w:r>
        <w:rPr>
          <w:color w:val="auto"/>
          <w:highlight w:val="none"/>
        </w:rPr>
        <w:tab/>
      </w:r>
      <w:r>
        <w:rPr>
          <w:color w:val="auto"/>
          <w:highlight w:val="none"/>
        </w:rPr>
        <w:fldChar w:fldCharType="begin"/>
      </w:r>
      <w:r>
        <w:rPr>
          <w:color w:val="auto"/>
          <w:highlight w:val="none"/>
        </w:rPr>
        <w:instrText xml:space="preserve"> PAGEREF _Toc22813 \h </w:instrText>
      </w:r>
      <w:r>
        <w:rPr>
          <w:color w:val="auto"/>
          <w:highlight w:val="none"/>
        </w:rPr>
        <w:fldChar w:fldCharType="separate"/>
      </w:r>
      <w:r>
        <w:rPr>
          <w:color w:val="auto"/>
          <w:highlight w:val="none"/>
        </w:rPr>
        <w:t>106</w:t>
      </w:r>
      <w:r>
        <w:rPr>
          <w:color w:val="auto"/>
          <w:highlight w:val="none"/>
        </w:rPr>
        <w:fldChar w:fldCharType="end"/>
      </w:r>
      <w:r>
        <w:rPr>
          <w:color w:val="auto"/>
          <w:highlight w:val="none"/>
        </w:rPr>
        <w:fldChar w:fldCharType="end"/>
      </w:r>
    </w:p>
    <w:p w14:paraId="4A267D19">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"_Toc28477" </w:instrText>
      </w:r>
      <w:r>
        <w:rPr>
          <w:color w:val="auto"/>
          <w:highlight w:val="none"/>
        </w:rPr>
        <w:fldChar w:fldCharType="separate"/>
      </w:r>
      <w:r>
        <w:rPr>
          <w:rFonts w:hint="eastAsia" w:ascii="Times New Roman" w:hAnsi="Times New Roman"/>
          <w:snapToGrid w:val="0"/>
          <w:color w:val="auto"/>
          <w:w w:val="99"/>
          <w:highlight w:val="none"/>
        </w:rPr>
        <w:t>3.12</w:t>
      </w:r>
      <w:r>
        <w:rPr>
          <w:rFonts w:ascii="Times New Roman" w:hAnsi="Times New Roman"/>
          <w:snapToGrid w:val="0"/>
          <w:color w:val="auto"/>
          <w:w w:val="99"/>
          <w:highlight w:val="none"/>
        </w:rPr>
        <w:t>清洁生产分析</w:t>
      </w:r>
      <w:r>
        <w:rPr>
          <w:color w:val="auto"/>
          <w:highlight w:val="none"/>
        </w:rPr>
        <w:tab/>
      </w:r>
      <w:r>
        <w:rPr>
          <w:color w:val="auto"/>
          <w:highlight w:val="none"/>
        </w:rPr>
        <w:fldChar w:fldCharType="begin"/>
      </w:r>
      <w:r>
        <w:rPr>
          <w:color w:val="auto"/>
          <w:highlight w:val="none"/>
        </w:rPr>
        <w:instrText xml:space="preserve"> PAGEREF _Toc28477 \h </w:instrText>
      </w:r>
      <w:r>
        <w:rPr>
          <w:color w:val="auto"/>
          <w:highlight w:val="none"/>
        </w:rPr>
        <w:fldChar w:fldCharType="separate"/>
      </w:r>
      <w:r>
        <w:rPr>
          <w:color w:val="auto"/>
          <w:highlight w:val="none"/>
        </w:rPr>
        <w:t>128</w:t>
      </w:r>
      <w:r>
        <w:rPr>
          <w:color w:val="auto"/>
          <w:highlight w:val="none"/>
        </w:rPr>
        <w:fldChar w:fldCharType="end"/>
      </w:r>
      <w:r>
        <w:rPr>
          <w:color w:val="auto"/>
          <w:highlight w:val="none"/>
        </w:rPr>
        <w:fldChar w:fldCharType="end"/>
      </w:r>
    </w:p>
    <w:p w14:paraId="419A17CD">
      <w:pPr>
        <w:pStyle w:val="55"/>
        <w:tabs>
          <w:tab w:val="right" w:leader="dot" w:pos="9070"/>
        </w:tabs>
        <w:rPr>
          <w:rFonts w:hint="eastAsia"/>
          <w:color w:val="auto"/>
          <w:highlight w:val="none"/>
        </w:rPr>
      </w:pPr>
      <w:r>
        <w:rPr>
          <w:color w:val="auto"/>
          <w:highlight w:val="none"/>
        </w:rPr>
        <w:fldChar w:fldCharType="begin"/>
      </w:r>
      <w:r>
        <w:rPr>
          <w:color w:val="auto"/>
          <w:highlight w:val="none"/>
        </w:rPr>
        <w:instrText xml:space="preserve"> HYPERLINK \l "_Toc31988" </w:instrText>
      </w:r>
      <w:r>
        <w:rPr>
          <w:color w:val="auto"/>
          <w:highlight w:val="none"/>
        </w:rPr>
        <w:fldChar w:fldCharType="separate"/>
      </w:r>
      <w:r>
        <w:rPr>
          <w:rFonts w:ascii="Times New Roman" w:hAnsi="Times New Roman"/>
          <w:bCs/>
          <w:color w:val="auto"/>
          <w:w w:val="99"/>
          <w:szCs w:val="30"/>
          <w:highlight w:val="none"/>
        </w:rPr>
        <w:t>4环境现状调查与评价</w:t>
      </w:r>
      <w:r>
        <w:rPr>
          <w:color w:val="auto"/>
          <w:highlight w:val="none"/>
        </w:rPr>
        <w:tab/>
      </w:r>
      <w:r>
        <w:rPr>
          <w:color w:val="auto"/>
          <w:highlight w:val="none"/>
        </w:rPr>
        <w:fldChar w:fldCharType="begin"/>
      </w:r>
      <w:r>
        <w:rPr>
          <w:color w:val="auto"/>
          <w:highlight w:val="none"/>
        </w:rPr>
        <w:instrText xml:space="preserve"> PAGEREF _Toc31988 \h </w:instrText>
      </w:r>
      <w:r>
        <w:rPr>
          <w:color w:val="auto"/>
          <w:highlight w:val="none"/>
        </w:rPr>
        <w:fldChar w:fldCharType="separate"/>
      </w:r>
      <w:r>
        <w:rPr>
          <w:color w:val="auto"/>
          <w:highlight w:val="none"/>
        </w:rPr>
        <w:t>130</w:t>
      </w:r>
      <w:r>
        <w:rPr>
          <w:color w:val="auto"/>
          <w:highlight w:val="none"/>
        </w:rPr>
        <w:fldChar w:fldCharType="end"/>
      </w:r>
      <w:r>
        <w:rPr>
          <w:color w:val="auto"/>
          <w:highlight w:val="none"/>
        </w:rPr>
        <w:fldChar w:fldCharType="end"/>
      </w:r>
    </w:p>
    <w:p w14:paraId="4F8FE6A4">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"_Toc24635" </w:instrText>
      </w:r>
      <w:r>
        <w:rPr>
          <w:color w:val="auto"/>
          <w:highlight w:val="none"/>
        </w:rPr>
        <w:fldChar w:fldCharType="separate"/>
      </w:r>
      <w:r>
        <w:rPr>
          <w:rFonts w:ascii="Times New Roman" w:hAnsi="Times New Roman"/>
          <w:snapToGrid w:val="0"/>
          <w:color w:val="auto"/>
          <w:w w:val="99"/>
          <w:highlight w:val="none"/>
        </w:rPr>
        <w:t>4.1自然环境状况</w:t>
      </w:r>
      <w:r>
        <w:rPr>
          <w:color w:val="auto"/>
          <w:highlight w:val="none"/>
        </w:rPr>
        <w:tab/>
      </w:r>
      <w:r>
        <w:rPr>
          <w:color w:val="auto"/>
          <w:highlight w:val="none"/>
        </w:rPr>
        <w:fldChar w:fldCharType="begin"/>
      </w:r>
      <w:r>
        <w:rPr>
          <w:color w:val="auto"/>
          <w:highlight w:val="none"/>
        </w:rPr>
        <w:instrText xml:space="preserve"> PAGEREF _Toc24635 \h </w:instrText>
      </w:r>
      <w:r>
        <w:rPr>
          <w:color w:val="auto"/>
          <w:highlight w:val="none"/>
        </w:rPr>
        <w:fldChar w:fldCharType="separate"/>
      </w:r>
      <w:r>
        <w:rPr>
          <w:color w:val="auto"/>
          <w:highlight w:val="none"/>
        </w:rPr>
        <w:t>130</w:t>
      </w:r>
      <w:r>
        <w:rPr>
          <w:color w:val="auto"/>
          <w:highlight w:val="none"/>
        </w:rPr>
        <w:fldChar w:fldCharType="end"/>
      </w:r>
      <w:r>
        <w:rPr>
          <w:color w:val="auto"/>
          <w:highlight w:val="none"/>
        </w:rPr>
        <w:fldChar w:fldCharType="end"/>
      </w:r>
    </w:p>
    <w:p w14:paraId="5E90133E">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"_Toc23320" </w:instrText>
      </w:r>
      <w:r>
        <w:rPr>
          <w:color w:val="auto"/>
          <w:highlight w:val="none"/>
        </w:rPr>
        <w:fldChar w:fldCharType="separate"/>
      </w:r>
      <w:r>
        <w:rPr>
          <w:rFonts w:ascii="Times New Roman" w:hAnsi="Times New Roman"/>
          <w:snapToGrid w:val="0"/>
          <w:color w:val="auto"/>
          <w:w w:val="99"/>
          <w:highlight w:val="none"/>
        </w:rPr>
        <w:t>4.2环境保护目标调查</w:t>
      </w:r>
      <w:r>
        <w:rPr>
          <w:color w:val="auto"/>
          <w:highlight w:val="none"/>
        </w:rPr>
        <w:tab/>
      </w:r>
      <w:r>
        <w:rPr>
          <w:color w:val="auto"/>
          <w:highlight w:val="none"/>
        </w:rPr>
        <w:fldChar w:fldCharType="begin"/>
      </w:r>
      <w:r>
        <w:rPr>
          <w:color w:val="auto"/>
          <w:highlight w:val="none"/>
        </w:rPr>
        <w:instrText xml:space="preserve"> PAGEREF _Toc23320 \h </w:instrText>
      </w:r>
      <w:r>
        <w:rPr>
          <w:color w:val="auto"/>
          <w:highlight w:val="none"/>
        </w:rPr>
        <w:fldChar w:fldCharType="separate"/>
      </w:r>
      <w:r>
        <w:rPr>
          <w:color w:val="auto"/>
          <w:highlight w:val="none"/>
        </w:rPr>
        <w:t>136</w:t>
      </w:r>
      <w:r>
        <w:rPr>
          <w:color w:val="auto"/>
          <w:highlight w:val="none"/>
        </w:rPr>
        <w:fldChar w:fldCharType="end"/>
      </w:r>
      <w:r>
        <w:rPr>
          <w:color w:val="auto"/>
          <w:highlight w:val="none"/>
        </w:rPr>
        <w:fldChar w:fldCharType="end"/>
      </w:r>
    </w:p>
    <w:p w14:paraId="583F206B">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"_Toc24215" </w:instrText>
      </w:r>
      <w:r>
        <w:rPr>
          <w:color w:val="auto"/>
          <w:highlight w:val="none"/>
        </w:rPr>
        <w:fldChar w:fldCharType="separate"/>
      </w:r>
      <w:r>
        <w:rPr>
          <w:rFonts w:ascii="Times New Roman" w:hAnsi="Times New Roman"/>
          <w:snapToGrid w:val="0"/>
          <w:color w:val="auto"/>
          <w:w w:val="99"/>
          <w:highlight w:val="none"/>
        </w:rPr>
        <w:t>4.3环境质量现状调查与评价</w:t>
      </w:r>
      <w:r>
        <w:rPr>
          <w:color w:val="auto"/>
          <w:highlight w:val="none"/>
        </w:rPr>
        <w:tab/>
      </w:r>
      <w:r>
        <w:rPr>
          <w:color w:val="auto"/>
          <w:highlight w:val="none"/>
        </w:rPr>
        <w:fldChar w:fldCharType="begin"/>
      </w:r>
      <w:r>
        <w:rPr>
          <w:color w:val="auto"/>
          <w:highlight w:val="none"/>
        </w:rPr>
        <w:instrText xml:space="preserve"> PAGEREF _Toc24215 \h </w:instrText>
      </w:r>
      <w:r>
        <w:rPr>
          <w:color w:val="auto"/>
          <w:highlight w:val="none"/>
        </w:rPr>
        <w:fldChar w:fldCharType="separate"/>
      </w:r>
      <w:r>
        <w:rPr>
          <w:color w:val="auto"/>
          <w:highlight w:val="none"/>
        </w:rPr>
        <w:t>137</w:t>
      </w:r>
      <w:r>
        <w:rPr>
          <w:color w:val="auto"/>
          <w:highlight w:val="none"/>
        </w:rPr>
        <w:fldChar w:fldCharType="end"/>
      </w:r>
      <w:r>
        <w:rPr>
          <w:color w:val="auto"/>
          <w:highlight w:val="none"/>
        </w:rPr>
        <w:fldChar w:fldCharType="end"/>
      </w:r>
    </w:p>
    <w:p w14:paraId="08CB7C1F">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"_Toc13683" </w:instrText>
      </w:r>
      <w:r>
        <w:rPr>
          <w:color w:val="auto"/>
          <w:highlight w:val="none"/>
        </w:rPr>
        <w:fldChar w:fldCharType="separate"/>
      </w:r>
      <w:r>
        <w:rPr>
          <w:rFonts w:ascii="Times New Roman" w:hAnsi="Times New Roman"/>
          <w:color w:val="auto"/>
          <w:w w:val="99"/>
          <w:highlight w:val="none"/>
        </w:rPr>
        <w:t>4.</w:t>
      </w:r>
      <w:r>
        <w:rPr>
          <w:rFonts w:hint="eastAsia" w:ascii="Times New Roman" w:hAnsi="Times New Roman"/>
          <w:color w:val="auto"/>
          <w:w w:val="99"/>
          <w:highlight w:val="none"/>
        </w:rPr>
        <w:t>4</w:t>
      </w:r>
      <w:r>
        <w:rPr>
          <w:rFonts w:ascii="Times New Roman" w:hAnsi="Times New Roman"/>
          <w:color w:val="auto"/>
          <w:w w:val="99"/>
          <w:highlight w:val="none"/>
        </w:rPr>
        <w:t>区域污染源调查</w:t>
      </w:r>
      <w:r>
        <w:rPr>
          <w:color w:val="auto"/>
          <w:highlight w:val="none"/>
        </w:rPr>
        <w:tab/>
      </w:r>
      <w:r>
        <w:rPr>
          <w:color w:val="auto"/>
          <w:highlight w:val="none"/>
        </w:rPr>
        <w:fldChar w:fldCharType="begin"/>
      </w:r>
      <w:r>
        <w:rPr>
          <w:color w:val="auto"/>
          <w:highlight w:val="none"/>
        </w:rPr>
        <w:instrText xml:space="preserve"> PAGEREF _Toc13683 \h </w:instrText>
      </w:r>
      <w:r>
        <w:rPr>
          <w:color w:val="auto"/>
          <w:highlight w:val="none"/>
        </w:rPr>
        <w:fldChar w:fldCharType="separate"/>
      </w:r>
      <w:r>
        <w:rPr>
          <w:color w:val="auto"/>
          <w:highlight w:val="none"/>
        </w:rPr>
        <w:t>170</w:t>
      </w:r>
      <w:r>
        <w:rPr>
          <w:color w:val="auto"/>
          <w:highlight w:val="none"/>
        </w:rPr>
        <w:fldChar w:fldCharType="end"/>
      </w:r>
      <w:r>
        <w:rPr>
          <w:color w:val="auto"/>
          <w:highlight w:val="none"/>
        </w:rPr>
        <w:fldChar w:fldCharType="end"/>
      </w:r>
    </w:p>
    <w:p w14:paraId="01655D2D">
      <w:pPr>
        <w:pStyle w:val="55"/>
        <w:tabs>
          <w:tab w:val="right" w:leader="dot" w:pos="9070"/>
        </w:tabs>
        <w:rPr>
          <w:rFonts w:hint="eastAsia"/>
          <w:color w:val="auto"/>
          <w:highlight w:val="none"/>
        </w:rPr>
      </w:pPr>
      <w:r>
        <w:rPr>
          <w:color w:val="auto"/>
          <w:highlight w:val="none"/>
        </w:rPr>
        <w:fldChar w:fldCharType="begin"/>
      </w:r>
      <w:r>
        <w:rPr>
          <w:color w:val="auto"/>
          <w:highlight w:val="none"/>
        </w:rPr>
        <w:instrText xml:space="preserve"> HYPERLINK \l "_Toc31030" </w:instrText>
      </w:r>
      <w:r>
        <w:rPr>
          <w:color w:val="auto"/>
          <w:highlight w:val="none"/>
        </w:rPr>
        <w:fldChar w:fldCharType="separate"/>
      </w:r>
      <w:r>
        <w:rPr>
          <w:rFonts w:ascii="Times New Roman" w:hAnsi="Times New Roman"/>
          <w:snapToGrid w:val="0"/>
          <w:color w:val="auto"/>
          <w:w w:val="99"/>
          <w:szCs w:val="30"/>
          <w:highlight w:val="none"/>
        </w:rPr>
        <w:t>5环境影响预测与评价</w:t>
      </w:r>
      <w:r>
        <w:rPr>
          <w:color w:val="auto"/>
          <w:highlight w:val="none"/>
        </w:rPr>
        <w:tab/>
      </w:r>
      <w:r>
        <w:rPr>
          <w:color w:val="auto"/>
          <w:highlight w:val="none"/>
        </w:rPr>
        <w:fldChar w:fldCharType="begin"/>
      </w:r>
      <w:r>
        <w:rPr>
          <w:color w:val="auto"/>
          <w:highlight w:val="none"/>
        </w:rPr>
        <w:instrText xml:space="preserve"> PAGEREF _Toc31030 \h </w:instrText>
      </w:r>
      <w:r>
        <w:rPr>
          <w:color w:val="auto"/>
          <w:highlight w:val="none"/>
        </w:rPr>
        <w:fldChar w:fldCharType="separate"/>
      </w:r>
      <w:r>
        <w:rPr>
          <w:color w:val="auto"/>
          <w:highlight w:val="none"/>
        </w:rPr>
        <w:t>172</w:t>
      </w:r>
      <w:r>
        <w:rPr>
          <w:color w:val="auto"/>
          <w:highlight w:val="none"/>
        </w:rPr>
        <w:fldChar w:fldCharType="end"/>
      </w:r>
      <w:r>
        <w:rPr>
          <w:color w:val="auto"/>
          <w:highlight w:val="none"/>
        </w:rPr>
        <w:fldChar w:fldCharType="end"/>
      </w:r>
    </w:p>
    <w:p w14:paraId="28B42565">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"_Toc11814" </w:instrText>
      </w:r>
      <w:r>
        <w:rPr>
          <w:color w:val="auto"/>
          <w:highlight w:val="none"/>
        </w:rPr>
        <w:fldChar w:fldCharType="separate"/>
      </w:r>
      <w:r>
        <w:rPr>
          <w:rFonts w:ascii="Times New Roman" w:hAnsi="Times New Roman"/>
          <w:snapToGrid w:val="0"/>
          <w:color w:val="auto"/>
          <w:w w:val="99"/>
          <w:highlight w:val="none"/>
        </w:rPr>
        <w:t>5.1大气环境影响预测与评价</w:t>
      </w:r>
      <w:r>
        <w:rPr>
          <w:color w:val="auto"/>
          <w:highlight w:val="none"/>
        </w:rPr>
        <w:tab/>
      </w:r>
      <w:r>
        <w:rPr>
          <w:color w:val="auto"/>
          <w:highlight w:val="none"/>
        </w:rPr>
        <w:fldChar w:fldCharType="begin"/>
      </w:r>
      <w:r>
        <w:rPr>
          <w:color w:val="auto"/>
          <w:highlight w:val="none"/>
        </w:rPr>
        <w:instrText xml:space="preserve"> PAGEREF _Toc11814 \h </w:instrText>
      </w:r>
      <w:r>
        <w:rPr>
          <w:color w:val="auto"/>
          <w:highlight w:val="none"/>
        </w:rPr>
        <w:fldChar w:fldCharType="separate"/>
      </w:r>
      <w:r>
        <w:rPr>
          <w:color w:val="auto"/>
          <w:highlight w:val="none"/>
        </w:rPr>
        <w:t>172</w:t>
      </w:r>
      <w:r>
        <w:rPr>
          <w:color w:val="auto"/>
          <w:highlight w:val="none"/>
        </w:rPr>
        <w:fldChar w:fldCharType="end"/>
      </w:r>
      <w:r>
        <w:rPr>
          <w:color w:val="auto"/>
          <w:highlight w:val="none"/>
        </w:rPr>
        <w:fldChar w:fldCharType="end"/>
      </w:r>
    </w:p>
    <w:p w14:paraId="220B6751">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"_Toc6940" </w:instrText>
      </w:r>
      <w:r>
        <w:rPr>
          <w:color w:val="auto"/>
          <w:highlight w:val="none"/>
        </w:rPr>
        <w:fldChar w:fldCharType="separate"/>
      </w:r>
      <w:r>
        <w:rPr>
          <w:rFonts w:ascii="Times New Roman" w:hAnsi="Times New Roman"/>
          <w:snapToGrid w:val="0"/>
          <w:color w:val="auto"/>
          <w:w w:val="99"/>
          <w:highlight w:val="none"/>
        </w:rPr>
        <w:t>5.2地表水环境影响评价</w:t>
      </w:r>
      <w:r>
        <w:rPr>
          <w:color w:val="auto"/>
          <w:highlight w:val="none"/>
        </w:rPr>
        <w:tab/>
      </w:r>
      <w:r>
        <w:rPr>
          <w:color w:val="auto"/>
          <w:highlight w:val="none"/>
        </w:rPr>
        <w:fldChar w:fldCharType="begin"/>
      </w:r>
      <w:r>
        <w:rPr>
          <w:color w:val="auto"/>
          <w:highlight w:val="none"/>
        </w:rPr>
        <w:instrText xml:space="preserve"> PAGEREF _Toc6940 \h </w:instrText>
      </w:r>
      <w:r>
        <w:rPr>
          <w:color w:val="auto"/>
          <w:highlight w:val="none"/>
        </w:rPr>
        <w:fldChar w:fldCharType="separate"/>
      </w:r>
      <w:r>
        <w:rPr>
          <w:color w:val="auto"/>
          <w:highlight w:val="none"/>
        </w:rPr>
        <w:t>186</w:t>
      </w:r>
      <w:r>
        <w:rPr>
          <w:color w:val="auto"/>
          <w:highlight w:val="none"/>
        </w:rPr>
        <w:fldChar w:fldCharType="end"/>
      </w:r>
      <w:r>
        <w:rPr>
          <w:color w:val="auto"/>
          <w:highlight w:val="none"/>
        </w:rPr>
        <w:fldChar w:fldCharType="end"/>
      </w:r>
    </w:p>
    <w:p w14:paraId="2A874251">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"_Toc19351" </w:instrText>
      </w:r>
      <w:r>
        <w:rPr>
          <w:color w:val="auto"/>
          <w:highlight w:val="none"/>
        </w:rPr>
        <w:fldChar w:fldCharType="separate"/>
      </w:r>
      <w:r>
        <w:rPr>
          <w:rFonts w:ascii="Times New Roman" w:hAnsi="Times New Roman"/>
          <w:snapToGrid w:val="0"/>
          <w:color w:val="auto"/>
          <w:w w:val="99"/>
          <w:highlight w:val="none"/>
        </w:rPr>
        <w:t>5.3地下水环境影响预测与评价</w:t>
      </w:r>
      <w:r>
        <w:rPr>
          <w:color w:val="auto"/>
          <w:highlight w:val="none"/>
        </w:rPr>
        <w:tab/>
      </w:r>
      <w:r>
        <w:rPr>
          <w:color w:val="auto"/>
          <w:highlight w:val="none"/>
        </w:rPr>
        <w:fldChar w:fldCharType="begin"/>
      </w:r>
      <w:r>
        <w:rPr>
          <w:color w:val="auto"/>
          <w:highlight w:val="none"/>
        </w:rPr>
        <w:instrText xml:space="preserve"> PAGEREF _Toc19351 \h </w:instrText>
      </w:r>
      <w:r>
        <w:rPr>
          <w:color w:val="auto"/>
          <w:highlight w:val="none"/>
        </w:rPr>
        <w:fldChar w:fldCharType="separate"/>
      </w:r>
      <w:r>
        <w:rPr>
          <w:color w:val="auto"/>
          <w:highlight w:val="none"/>
        </w:rPr>
        <w:t>189</w:t>
      </w:r>
      <w:r>
        <w:rPr>
          <w:color w:val="auto"/>
          <w:highlight w:val="none"/>
        </w:rPr>
        <w:fldChar w:fldCharType="end"/>
      </w:r>
      <w:r>
        <w:rPr>
          <w:color w:val="auto"/>
          <w:highlight w:val="none"/>
        </w:rPr>
        <w:fldChar w:fldCharType="end"/>
      </w:r>
    </w:p>
    <w:p w14:paraId="2207DBE1">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"_Toc17411" </w:instrText>
      </w:r>
      <w:r>
        <w:rPr>
          <w:color w:val="auto"/>
          <w:highlight w:val="none"/>
        </w:rPr>
        <w:fldChar w:fldCharType="separate"/>
      </w:r>
      <w:r>
        <w:rPr>
          <w:rFonts w:ascii="Times New Roman" w:hAnsi="Times New Roman"/>
          <w:snapToGrid w:val="0"/>
          <w:color w:val="auto"/>
          <w:w w:val="99"/>
          <w:highlight w:val="none"/>
        </w:rPr>
        <w:t>5.4声环境影响预测与评价</w:t>
      </w:r>
      <w:r>
        <w:rPr>
          <w:color w:val="auto"/>
          <w:highlight w:val="none"/>
        </w:rPr>
        <w:tab/>
      </w:r>
      <w:r>
        <w:rPr>
          <w:color w:val="auto"/>
          <w:highlight w:val="none"/>
        </w:rPr>
        <w:fldChar w:fldCharType="begin"/>
      </w:r>
      <w:r>
        <w:rPr>
          <w:color w:val="auto"/>
          <w:highlight w:val="none"/>
        </w:rPr>
        <w:instrText xml:space="preserve"> PAGEREF _Toc17411 \h </w:instrText>
      </w:r>
      <w:r>
        <w:rPr>
          <w:color w:val="auto"/>
          <w:highlight w:val="none"/>
        </w:rPr>
        <w:fldChar w:fldCharType="separate"/>
      </w:r>
      <w:r>
        <w:rPr>
          <w:color w:val="auto"/>
          <w:highlight w:val="none"/>
        </w:rPr>
        <w:t>194</w:t>
      </w:r>
      <w:r>
        <w:rPr>
          <w:color w:val="auto"/>
          <w:highlight w:val="none"/>
        </w:rPr>
        <w:fldChar w:fldCharType="end"/>
      </w:r>
      <w:r>
        <w:rPr>
          <w:color w:val="auto"/>
          <w:highlight w:val="none"/>
        </w:rPr>
        <w:fldChar w:fldCharType="end"/>
      </w:r>
    </w:p>
    <w:p w14:paraId="228B1CA5">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"_Toc11604" </w:instrText>
      </w:r>
      <w:r>
        <w:rPr>
          <w:color w:val="auto"/>
          <w:highlight w:val="none"/>
        </w:rPr>
        <w:fldChar w:fldCharType="separate"/>
      </w:r>
      <w:r>
        <w:rPr>
          <w:rFonts w:ascii="Times New Roman" w:hAnsi="Times New Roman"/>
          <w:snapToGrid w:val="0"/>
          <w:color w:val="auto"/>
          <w:w w:val="99"/>
          <w:highlight w:val="none"/>
        </w:rPr>
        <w:t>5.5固体废物环境影响分析</w:t>
      </w:r>
      <w:r>
        <w:rPr>
          <w:color w:val="auto"/>
          <w:highlight w:val="none"/>
        </w:rPr>
        <w:tab/>
      </w:r>
      <w:r>
        <w:rPr>
          <w:color w:val="auto"/>
          <w:highlight w:val="none"/>
        </w:rPr>
        <w:fldChar w:fldCharType="begin"/>
      </w:r>
      <w:r>
        <w:rPr>
          <w:color w:val="auto"/>
          <w:highlight w:val="none"/>
        </w:rPr>
        <w:instrText xml:space="preserve"> PAGEREF _Toc11604 \h </w:instrText>
      </w:r>
      <w:r>
        <w:rPr>
          <w:color w:val="auto"/>
          <w:highlight w:val="none"/>
        </w:rPr>
        <w:fldChar w:fldCharType="separate"/>
      </w:r>
      <w:r>
        <w:rPr>
          <w:color w:val="auto"/>
          <w:highlight w:val="none"/>
        </w:rPr>
        <w:t>197</w:t>
      </w:r>
      <w:r>
        <w:rPr>
          <w:color w:val="auto"/>
          <w:highlight w:val="none"/>
        </w:rPr>
        <w:fldChar w:fldCharType="end"/>
      </w:r>
      <w:r>
        <w:rPr>
          <w:color w:val="auto"/>
          <w:highlight w:val="none"/>
        </w:rPr>
        <w:fldChar w:fldCharType="end"/>
      </w:r>
    </w:p>
    <w:p w14:paraId="4DD6B63A">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"_Toc26898" </w:instrText>
      </w:r>
      <w:r>
        <w:rPr>
          <w:color w:val="auto"/>
          <w:highlight w:val="none"/>
        </w:rPr>
        <w:fldChar w:fldCharType="separate"/>
      </w:r>
      <w:r>
        <w:rPr>
          <w:rFonts w:ascii="Times New Roman" w:hAnsi="Times New Roman"/>
          <w:snapToGrid w:val="0"/>
          <w:color w:val="auto"/>
          <w:w w:val="99"/>
          <w:highlight w:val="none"/>
        </w:rPr>
        <w:t>5.6生态环境影响评价</w:t>
      </w:r>
      <w:r>
        <w:rPr>
          <w:color w:val="auto"/>
          <w:highlight w:val="none"/>
        </w:rPr>
        <w:tab/>
      </w:r>
      <w:r>
        <w:rPr>
          <w:color w:val="auto"/>
          <w:highlight w:val="none"/>
        </w:rPr>
        <w:fldChar w:fldCharType="begin"/>
      </w:r>
      <w:r>
        <w:rPr>
          <w:color w:val="auto"/>
          <w:highlight w:val="none"/>
        </w:rPr>
        <w:instrText xml:space="preserve"> PAGEREF _Toc26898 \h </w:instrText>
      </w:r>
      <w:r>
        <w:rPr>
          <w:color w:val="auto"/>
          <w:highlight w:val="none"/>
        </w:rPr>
        <w:fldChar w:fldCharType="separate"/>
      </w:r>
      <w:r>
        <w:rPr>
          <w:color w:val="auto"/>
          <w:highlight w:val="none"/>
        </w:rPr>
        <w:t>200</w:t>
      </w:r>
      <w:r>
        <w:rPr>
          <w:color w:val="auto"/>
          <w:highlight w:val="none"/>
        </w:rPr>
        <w:fldChar w:fldCharType="end"/>
      </w:r>
      <w:r>
        <w:rPr>
          <w:color w:val="auto"/>
          <w:highlight w:val="none"/>
        </w:rPr>
        <w:fldChar w:fldCharType="end"/>
      </w:r>
    </w:p>
    <w:p w14:paraId="4119ADD1">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"_Toc16503" </w:instrText>
      </w:r>
      <w:r>
        <w:rPr>
          <w:color w:val="auto"/>
          <w:highlight w:val="none"/>
        </w:rPr>
        <w:fldChar w:fldCharType="separate"/>
      </w:r>
      <w:r>
        <w:rPr>
          <w:rFonts w:ascii="Times New Roman" w:hAnsi="Times New Roman"/>
          <w:snapToGrid w:val="0"/>
          <w:color w:val="auto"/>
          <w:w w:val="99"/>
          <w:highlight w:val="none"/>
        </w:rPr>
        <w:t>5.7土壤环境影响预测与评价</w:t>
      </w:r>
      <w:r>
        <w:rPr>
          <w:color w:val="auto"/>
          <w:highlight w:val="none"/>
        </w:rPr>
        <w:tab/>
      </w:r>
      <w:r>
        <w:rPr>
          <w:color w:val="auto"/>
          <w:highlight w:val="none"/>
        </w:rPr>
        <w:fldChar w:fldCharType="begin"/>
      </w:r>
      <w:r>
        <w:rPr>
          <w:color w:val="auto"/>
          <w:highlight w:val="none"/>
        </w:rPr>
        <w:instrText xml:space="preserve"> PAGEREF _Toc16503 \h </w:instrText>
      </w:r>
      <w:r>
        <w:rPr>
          <w:color w:val="auto"/>
          <w:highlight w:val="none"/>
        </w:rPr>
        <w:fldChar w:fldCharType="separate"/>
      </w:r>
      <w:r>
        <w:rPr>
          <w:color w:val="auto"/>
          <w:highlight w:val="none"/>
        </w:rPr>
        <w:t>208</w:t>
      </w:r>
      <w:r>
        <w:rPr>
          <w:color w:val="auto"/>
          <w:highlight w:val="none"/>
        </w:rPr>
        <w:fldChar w:fldCharType="end"/>
      </w:r>
      <w:r>
        <w:rPr>
          <w:color w:val="auto"/>
          <w:highlight w:val="none"/>
        </w:rPr>
        <w:fldChar w:fldCharType="end"/>
      </w:r>
    </w:p>
    <w:p w14:paraId="112E0BE3">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"_Toc1374" </w:instrText>
      </w:r>
      <w:r>
        <w:rPr>
          <w:color w:val="auto"/>
          <w:highlight w:val="none"/>
        </w:rPr>
        <w:fldChar w:fldCharType="separate"/>
      </w:r>
      <w:r>
        <w:rPr>
          <w:rFonts w:ascii="Times New Roman" w:hAnsi="Times New Roman"/>
          <w:snapToGrid w:val="0"/>
          <w:color w:val="auto"/>
          <w:w w:val="99"/>
          <w:highlight w:val="none"/>
        </w:rPr>
        <w:t>5.8环境风险分析</w:t>
      </w:r>
      <w:r>
        <w:rPr>
          <w:color w:val="auto"/>
          <w:highlight w:val="none"/>
        </w:rPr>
        <w:tab/>
      </w:r>
      <w:r>
        <w:rPr>
          <w:color w:val="auto"/>
          <w:highlight w:val="none"/>
        </w:rPr>
        <w:fldChar w:fldCharType="begin"/>
      </w:r>
      <w:r>
        <w:rPr>
          <w:color w:val="auto"/>
          <w:highlight w:val="none"/>
        </w:rPr>
        <w:instrText xml:space="preserve"> PAGEREF _Toc1374 \h </w:instrText>
      </w:r>
      <w:r>
        <w:rPr>
          <w:color w:val="auto"/>
          <w:highlight w:val="none"/>
        </w:rPr>
        <w:fldChar w:fldCharType="separate"/>
      </w:r>
      <w:r>
        <w:rPr>
          <w:color w:val="auto"/>
          <w:highlight w:val="none"/>
        </w:rPr>
        <w:t>211</w:t>
      </w:r>
      <w:r>
        <w:rPr>
          <w:color w:val="auto"/>
          <w:highlight w:val="none"/>
        </w:rPr>
        <w:fldChar w:fldCharType="end"/>
      </w:r>
      <w:r>
        <w:rPr>
          <w:color w:val="auto"/>
          <w:highlight w:val="none"/>
        </w:rPr>
        <w:fldChar w:fldCharType="end"/>
      </w:r>
    </w:p>
    <w:p w14:paraId="2E8AB897">
      <w:pPr>
        <w:pStyle w:val="55"/>
        <w:tabs>
          <w:tab w:val="right" w:leader="dot" w:pos="9070"/>
        </w:tabs>
        <w:rPr>
          <w:rFonts w:hint="eastAsia"/>
          <w:color w:val="auto"/>
          <w:highlight w:val="none"/>
        </w:rPr>
      </w:pPr>
      <w:r>
        <w:rPr>
          <w:color w:val="auto"/>
          <w:highlight w:val="none"/>
        </w:rPr>
        <w:fldChar w:fldCharType="begin"/>
      </w:r>
      <w:r>
        <w:rPr>
          <w:color w:val="auto"/>
          <w:highlight w:val="none"/>
        </w:rPr>
        <w:instrText xml:space="preserve"> HYPERLINK \l "_Toc21653" </w:instrText>
      </w:r>
      <w:r>
        <w:rPr>
          <w:color w:val="auto"/>
          <w:highlight w:val="none"/>
        </w:rPr>
        <w:fldChar w:fldCharType="separate"/>
      </w:r>
      <w:r>
        <w:rPr>
          <w:rFonts w:ascii="Times New Roman" w:hAnsi="Times New Roman"/>
          <w:snapToGrid w:val="0"/>
          <w:color w:val="auto"/>
          <w:w w:val="99"/>
          <w:szCs w:val="30"/>
          <w:highlight w:val="none"/>
        </w:rPr>
        <w:t>6环境保护措施及其可行性论证</w:t>
      </w:r>
      <w:r>
        <w:rPr>
          <w:color w:val="auto"/>
          <w:highlight w:val="none"/>
        </w:rPr>
        <w:tab/>
      </w:r>
      <w:r>
        <w:rPr>
          <w:color w:val="auto"/>
          <w:highlight w:val="none"/>
        </w:rPr>
        <w:fldChar w:fldCharType="begin"/>
      </w:r>
      <w:r>
        <w:rPr>
          <w:color w:val="auto"/>
          <w:highlight w:val="none"/>
        </w:rPr>
        <w:instrText xml:space="preserve"> PAGEREF _Toc21653 \h </w:instrText>
      </w:r>
      <w:r>
        <w:rPr>
          <w:color w:val="auto"/>
          <w:highlight w:val="none"/>
        </w:rPr>
        <w:fldChar w:fldCharType="separate"/>
      </w:r>
      <w:r>
        <w:rPr>
          <w:color w:val="auto"/>
          <w:highlight w:val="none"/>
        </w:rPr>
        <w:t>220</w:t>
      </w:r>
      <w:r>
        <w:rPr>
          <w:color w:val="auto"/>
          <w:highlight w:val="none"/>
        </w:rPr>
        <w:fldChar w:fldCharType="end"/>
      </w:r>
      <w:r>
        <w:rPr>
          <w:color w:val="auto"/>
          <w:highlight w:val="none"/>
        </w:rPr>
        <w:fldChar w:fldCharType="end"/>
      </w:r>
    </w:p>
    <w:p w14:paraId="1AD84A61">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"_Toc20374" </w:instrText>
      </w:r>
      <w:r>
        <w:rPr>
          <w:color w:val="auto"/>
          <w:highlight w:val="none"/>
        </w:rPr>
        <w:fldChar w:fldCharType="separate"/>
      </w:r>
      <w:r>
        <w:rPr>
          <w:rFonts w:ascii="Times New Roman" w:hAnsi="Times New Roman"/>
          <w:snapToGrid w:val="0"/>
          <w:color w:val="auto"/>
          <w:w w:val="99"/>
          <w:highlight w:val="none"/>
        </w:rPr>
        <w:t>6.1污染防治措施</w:t>
      </w:r>
      <w:r>
        <w:rPr>
          <w:color w:val="auto"/>
          <w:highlight w:val="none"/>
        </w:rPr>
        <w:tab/>
      </w:r>
      <w:r>
        <w:rPr>
          <w:color w:val="auto"/>
          <w:highlight w:val="none"/>
        </w:rPr>
        <w:fldChar w:fldCharType="begin"/>
      </w:r>
      <w:r>
        <w:rPr>
          <w:color w:val="auto"/>
          <w:highlight w:val="none"/>
        </w:rPr>
        <w:instrText xml:space="preserve"> PAGEREF _Toc20374 \h </w:instrText>
      </w:r>
      <w:r>
        <w:rPr>
          <w:color w:val="auto"/>
          <w:highlight w:val="none"/>
        </w:rPr>
        <w:fldChar w:fldCharType="separate"/>
      </w:r>
      <w:r>
        <w:rPr>
          <w:color w:val="auto"/>
          <w:highlight w:val="none"/>
        </w:rPr>
        <w:t>220</w:t>
      </w:r>
      <w:r>
        <w:rPr>
          <w:color w:val="auto"/>
          <w:highlight w:val="none"/>
        </w:rPr>
        <w:fldChar w:fldCharType="end"/>
      </w:r>
      <w:r>
        <w:rPr>
          <w:color w:val="auto"/>
          <w:highlight w:val="none"/>
        </w:rPr>
        <w:fldChar w:fldCharType="end"/>
      </w:r>
    </w:p>
    <w:p w14:paraId="76AA36B0">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"_Toc7505" </w:instrText>
      </w:r>
      <w:r>
        <w:rPr>
          <w:color w:val="auto"/>
          <w:highlight w:val="none"/>
        </w:rPr>
        <w:fldChar w:fldCharType="separate"/>
      </w:r>
      <w:r>
        <w:rPr>
          <w:rFonts w:ascii="Times New Roman" w:hAnsi="Times New Roman" w:eastAsiaTheme="minorEastAsia"/>
          <w:snapToGrid w:val="0"/>
          <w:color w:val="auto"/>
          <w:w w:val="99"/>
          <w:highlight w:val="none"/>
        </w:rPr>
        <w:t>6.2“三同时”项目一览表</w:t>
      </w:r>
      <w:r>
        <w:rPr>
          <w:color w:val="auto"/>
          <w:highlight w:val="none"/>
        </w:rPr>
        <w:tab/>
      </w:r>
      <w:r>
        <w:rPr>
          <w:color w:val="auto"/>
          <w:highlight w:val="none"/>
        </w:rPr>
        <w:fldChar w:fldCharType="begin"/>
      </w:r>
      <w:r>
        <w:rPr>
          <w:color w:val="auto"/>
          <w:highlight w:val="none"/>
        </w:rPr>
        <w:instrText xml:space="preserve"> PAGEREF _Toc7505 \h </w:instrText>
      </w:r>
      <w:r>
        <w:rPr>
          <w:color w:val="auto"/>
          <w:highlight w:val="none"/>
        </w:rPr>
        <w:fldChar w:fldCharType="separate"/>
      </w:r>
      <w:r>
        <w:rPr>
          <w:color w:val="auto"/>
          <w:highlight w:val="none"/>
        </w:rPr>
        <w:t>249</w:t>
      </w:r>
      <w:r>
        <w:rPr>
          <w:color w:val="auto"/>
          <w:highlight w:val="none"/>
        </w:rPr>
        <w:fldChar w:fldCharType="end"/>
      </w:r>
      <w:r>
        <w:rPr>
          <w:color w:val="auto"/>
          <w:highlight w:val="none"/>
        </w:rPr>
        <w:fldChar w:fldCharType="end"/>
      </w:r>
    </w:p>
    <w:p w14:paraId="7B00FAC4">
      <w:pPr>
        <w:pStyle w:val="55"/>
        <w:tabs>
          <w:tab w:val="right" w:leader="dot" w:pos="9070"/>
        </w:tabs>
        <w:rPr>
          <w:rFonts w:hint="eastAsia"/>
          <w:color w:val="auto"/>
          <w:highlight w:val="none"/>
        </w:rPr>
      </w:pPr>
      <w:r>
        <w:rPr>
          <w:color w:val="auto"/>
          <w:highlight w:val="none"/>
        </w:rPr>
        <w:fldChar w:fldCharType="begin"/>
      </w:r>
      <w:r>
        <w:rPr>
          <w:color w:val="auto"/>
          <w:highlight w:val="none"/>
        </w:rPr>
        <w:instrText xml:space="preserve"> HYPERLINK \l "_Toc19931" </w:instrText>
      </w:r>
      <w:r>
        <w:rPr>
          <w:color w:val="auto"/>
          <w:highlight w:val="none"/>
        </w:rPr>
        <w:fldChar w:fldCharType="separate"/>
      </w:r>
      <w:r>
        <w:rPr>
          <w:rFonts w:ascii="Times New Roman" w:hAnsi="Times New Roman" w:eastAsiaTheme="minorEastAsia"/>
          <w:snapToGrid w:val="0"/>
          <w:color w:val="auto"/>
          <w:w w:val="99"/>
          <w:szCs w:val="30"/>
          <w:highlight w:val="none"/>
        </w:rPr>
        <w:t>7环境影响经济损益分析</w:t>
      </w:r>
      <w:r>
        <w:rPr>
          <w:color w:val="auto"/>
          <w:highlight w:val="none"/>
        </w:rPr>
        <w:tab/>
      </w:r>
      <w:r>
        <w:rPr>
          <w:color w:val="auto"/>
          <w:highlight w:val="none"/>
        </w:rPr>
        <w:fldChar w:fldCharType="begin"/>
      </w:r>
      <w:r>
        <w:rPr>
          <w:color w:val="auto"/>
          <w:highlight w:val="none"/>
        </w:rPr>
        <w:instrText xml:space="preserve"> PAGEREF _Toc19931 \h </w:instrText>
      </w:r>
      <w:r>
        <w:rPr>
          <w:color w:val="auto"/>
          <w:highlight w:val="none"/>
        </w:rPr>
        <w:fldChar w:fldCharType="separate"/>
      </w:r>
      <w:r>
        <w:rPr>
          <w:color w:val="auto"/>
          <w:highlight w:val="none"/>
        </w:rPr>
        <w:t>254</w:t>
      </w:r>
      <w:r>
        <w:rPr>
          <w:color w:val="auto"/>
          <w:highlight w:val="none"/>
        </w:rPr>
        <w:fldChar w:fldCharType="end"/>
      </w:r>
      <w:r>
        <w:rPr>
          <w:color w:val="auto"/>
          <w:highlight w:val="none"/>
        </w:rPr>
        <w:fldChar w:fldCharType="end"/>
      </w:r>
    </w:p>
    <w:p w14:paraId="6FA122B8">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"_Toc11584" </w:instrText>
      </w:r>
      <w:r>
        <w:rPr>
          <w:color w:val="auto"/>
          <w:highlight w:val="none"/>
        </w:rPr>
        <w:fldChar w:fldCharType="separate"/>
      </w:r>
      <w:r>
        <w:rPr>
          <w:rFonts w:ascii="Times New Roman" w:hAnsi="Times New Roman" w:eastAsiaTheme="minorEastAsia"/>
          <w:snapToGrid w:val="0"/>
          <w:color w:val="auto"/>
          <w:w w:val="99"/>
          <w:highlight w:val="none"/>
        </w:rPr>
        <w:t>7.1环境损失费估算</w:t>
      </w:r>
      <w:r>
        <w:rPr>
          <w:color w:val="auto"/>
          <w:highlight w:val="none"/>
        </w:rPr>
        <w:tab/>
      </w:r>
      <w:r>
        <w:rPr>
          <w:color w:val="auto"/>
          <w:highlight w:val="none"/>
        </w:rPr>
        <w:fldChar w:fldCharType="begin"/>
      </w:r>
      <w:r>
        <w:rPr>
          <w:color w:val="auto"/>
          <w:highlight w:val="none"/>
        </w:rPr>
        <w:instrText xml:space="preserve"> PAGEREF _Toc11584 \h </w:instrText>
      </w:r>
      <w:r>
        <w:rPr>
          <w:color w:val="auto"/>
          <w:highlight w:val="none"/>
        </w:rPr>
        <w:fldChar w:fldCharType="separate"/>
      </w:r>
      <w:r>
        <w:rPr>
          <w:color w:val="auto"/>
          <w:highlight w:val="none"/>
        </w:rPr>
        <w:t>254</w:t>
      </w:r>
      <w:r>
        <w:rPr>
          <w:color w:val="auto"/>
          <w:highlight w:val="none"/>
        </w:rPr>
        <w:fldChar w:fldCharType="end"/>
      </w:r>
      <w:r>
        <w:rPr>
          <w:color w:val="auto"/>
          <w:highlight w:val="none"/>
        </w:rPr>
        <w:fldChar w:fldCharType="end"/>
      </w:r>
    </w:p>
    <w:p w14:paraId="13BDCDE1">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"_Toc16760" </w:instrText>
      </w:r>
      <w:r>
        <w:rPr>
          <w:color w:val="auto"/>
          <w:highlight w:val="none"/>
        </w:rPr>
        <w:fldChar w:fldCharType="separate"/>
      </w:r>
      <w:r>
        <w:rPr>
          <w:rFonts w:ascii="Times New Roman" w:hAnsi="Times New Roman" w:eastAsiaTheme="minorEastAsia"/>
          <w:snapToGrid w:val="0"/>
          <w:color w:val="auto"/>
          <w:w w:val="99"/>
          <w:highlight w:val="none"/>
        </w:rPr>
        <w:t>7.2环保投资估算及环境效益分析</w:t>
      </w:r>
      <w:r>
        <w:rPr>
          <w:color w:val="auto"/>
          <w:highlight w:val="none"/>
        </w:rPr>
        <w:tab/>
      </w:r>
      <w:r>
        <w:rPr>
          <w:color w:val="auto"/>
          <w:highlight w:val="none"/>
        </w:rPr>
        <w:fldChar w:fldCharType="begin"/>
      </w:r>
      <w:r>
        <w:rPr>
          <w:color w:val="auto"/>
          <w:highlight w:val="none"/>
        </w:rPr>
        <w:instrText xml:space="preserve"> PAGEREF _Toc16760 \h </w:instrText>
      </w:r>
      <w:r>
        <w:rPr>
          <w:color w:val="auto"/>
          <w:highlight w:val="none"/>
        </w:rPr>
        <w:fldChar w:fldCharType="separate"/>
      </w:r>
      <w:r>
        <w:rPr>
          <w:color w:val="auto"/>
          <w:highlight w:val="none"/>
        </w:rPr>
        <w:t>254</w:t>
      </w:r>
      <w:r>
        <w:rPr>
          <w:color w:val="auto"/>
          <w:highlight w:val="none"/>
        </w:rPr>
        <w:fldChar w:fldCharType="end"/>
      </w:r>
      <w:r>
        <w:rPr>
          <w:color w:val="auto"/>
          <w:highlight w:val="none"/>
        </w:rPr>
        <w:fldChar w:fldCharType="end"/>
      </w:r>
    </w:p>
    <w:p w14:paraId="738FECE7">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"_Toc7495" </w:instrText>
      </w:r>
      <w:r>
        <w:rPr>
          <w:color w:val="auto"/>
          <w:highlight w:val="none"/>
        </w:rPr>
        <w:fldChar w:fldCharType="separate"/>
      </w:r>
      <w:r>
        <w:rPr>
          <w:rFonts w:ascii="Times New Roman" w:hAnsi="Times New Roman" w:eastAsiaTheme="minorEastAsia"/>
          <w:snapToGrid w:val="0"/>
          <w:color w:val="auto"/>
          <w:w w:val="99"/>
          <w:highlight w:val="none"/>
        </w:rPr>
        <w:t>7.3环境经济损益分析结论</w:t>
      </w:r>
      <w:r>
        <w:rPr>
          <w:color w:val="auto"/>
          <w:highlight w:val="none"/>
        </w:rPr>
        <w:tab/>
      </w:r>
      <w:r>
        <w:rPr>
          <w:color w:val="auto"/>
          <w:highlight w:val="none"/>
        </w:rPr>
        <w:fldChar w:fldCharType="begin"/>
      </w:r>
      <w:r>
        <w:rPr>
          <w:color w:val="auto"/>
          <w:highlight w:val="none"/>
        </w:rPr>
        <w:instrText xml:space="preserve"> PAGEREF _Toc7495 \h </w:instrText>
      </w:r>
      <w:r>
        <w:rPr>
          <w:color w:val="auto"/>
          <w:highlight w:val="none"/>
        </w:rPr>
        <w:fldChar w:fldCharType="separate"/>
      </w:r>
      <w:r>
        <w:rPr>
          <w:color w:val="auto"/>
          <w:highlight w:val="none"/>
        </w:rPr>
        <w:t>256</w:t>
      </w:r>
      <w:r>
        <w:rPr>
          <w:color w:val="auto"/>
          <w:highlight w:val="none"/>
        </w:rPr>
        <w:fldChar w:fldCharType="end"/>
      </w:r>
      <w:r>
        <w:rPr>
          <w:color w:val="auto"/>
          <w:highlight w:val="none"/>
        </w:rPr>
        <w:fldChar w:fldCharType="end"/>
      </w:r>
    </w:p>
    <w:p w14:paraId="738054A6">
      <w:pPr>
        <w:pStyle w:val="55"/>
        <w:tabs>
          <w:tab w:val="right" w:leader="dot" w:pos="9070"/>
        </w:tabs>
        <w:rPr>
          <w:rFonts w:hint="eastAsia"/>
          <w:color w:val="auto"/>
          <w:highlight w:val="none"/>
        </w:rPr>
      </w:pPr>
      <w:r>
        <w:rPr>
          <w:color w:val="auto"/>
          <w:highlight w:val="none"/>
        </w:rPr>
        <w:fldChar w:fldCharType="begin"/>
      </w:r>
      <w:r>
        <w:rPr>
          <w:color w:val="auto"/>
          <w:highlight w:val="none"/>
        </w:rPr>
        <w:instrText xml:space="preserve"> HYPERLINK \l "_Toc29029" </w:instrText>
      </w:r>
      <w:r>
        <w:rPr>
          <w:color w:val="auto"/>
          <w:highlight w:val="none"/>
        </w:rPr>
        <w:fldChar w:fldCharType="separate"/>
      </w:r>
      <w:r>
        <w:rPr>
          <w:rFonts w:ascii="Times New Roman" w:hAnsi="Times New Roman" w:eastAsiaTheme="minorEastAsia"/>
          <w:snapToGrid w:val="0"/>
          <w:color w:val="auto"/>
          <w:w w:val="99"/>
          <w:szCs w:val="30"/>
          <w:highlight w:val="none"/>
        </w:rPr>
        <w:t>8环境管理与监测计划</w:t>
      </w:r>
      <w:r>
        <w:rPr>
          <w:color w:val="auto"/>
          <w:highlight w:val="none"/>
        </w:rPr>
        <w:tab/>
      </w:r>
      <w:r>
        <w:rPr>
          <w:color w:val="auto"/>
          <w:highlight w:val="none"/>
        </w:rPr>
        <w:fldChar w:fldCharType="begin"/>
      </w:r>
      <w:r>
        <w:rPr>
          <w:color w:val="auto"/>
          <w:highlight w:val="none"/>
        </w:rPr>
        <w:instrText xml:space="preserve"> PAGEREF _Toc29029 \h </w:instrText>
      </w:r>
      <w:r>
        <w:rPr>
          <w:color w:val="auto"/>
          <w:highlight w:val="none"/>
        </w:rPr>
        <w:fldChar w:fldCharType="separate"/>
      </w:r>
      <w:r>
        <w:rPr>
          <w:color w:val="auto"/>
          <w:highlight w:val="none"/>
        </w:rPr>
        <w:t>257</w:t>
      </w:r>
      <w:r>
        <w:rPr>
          <w:color w:val="auto"/>
          <w:highlight w:val="none"/>
        </w:rPr>
        <w:fldChar w:fldCharType="end"/>
      </w:r>
      <w:r>
        <w:rPr>
          <w:color w:val="auto"/>
          <w:highlight w:val="none"/>
        </w:rPr>
        <w:fldChar w:fldCharType="end"/>
      </w:r>
    </w:p>
    <w:p w14:paraId="1D3C5287">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"_Toc27549" </w:instrText>
      </w:r>
      <w:r>
        <w:rPr>
          <w:color w:val="auto"/>
          <w:highlight w:val="none"/>
        </w:rPr>
        <w:fldChar w:fldCharType="separate"/>
      </w:r>
      <w:r>
        <w:rPr>
          <w:rFonts w:ascii="Times New Roman" w:hAnsi="Times New Roman" w:eastAsiaTheme="minorEastAsia"/>
          <w:snapToGrid w:val="0"/>
          <w:color w:val="auto"/>
          <w:w w:val="99"/>
          <w:highlight w:val="none"/>
        </w:rPr>
        <w:t>8.1 HSE管理体系的建立和运行</w:t>
      </w:r>
      <w:r>
        <w:rPr>
          <w:color w:val="auto"/>
          <w:highlight w:val="none"/>
        </w:rPr>
        <w:tab/>
      </w:r>
      <w:r>
        <w:rPr>
          <w:color w:val="auto"/>
          <w:highlight w:val="none"/>
        </w:rPr>
        <w:fldChar w:fldCharType="begin"/>
      </w:r>
      <w:r>
        <w:rPr>
          <w:color w:val="auto"/>
          <w:highlight w:val="none"/>
        </w:rPr>
        <w:instrText xml:space="preserve"> PAGEREF _Toc27549 \h </w:instrText>
      </w:r>
      <w:r>
        <w:rPr>
          <w:color w:val="auto"/>
          <w:highlight w:val="none"/>
        </w:rPr>
        <w:fldChar w:fldCharType="separate"/>
      </w:r>
      <w:r>
        <w:rPr>
          <w:color w:val="auto"/>
          <w:highlight w:val="none"/>
        </w:rPr>
        <w:t>257</w:t>
      </w:r>
      <w:r>
        <w:rPr>
          <w:color w:val="auto"/>
          <w:highlight w:val="none"/>
        </w:rPr>
        <w:fldChar w:fldCharType="end"/>
      </w:r>
      <w:r>
        <w:rPr>
          <w:color w:val="auto"/>
          <w:highlight w:val="none"/>
        </w:rPr>
        <w:fldChar w:fldCharType="end"/>
      </w:r>
    </w:p>
    <w:p w14:paraId="2E36C003">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"_Toc20907" </w:instrText>
      </w:r>
      <w:r>
        <w:rPr>
          <w:color w:val="auto"/>
          <w:highlight w:val="none"/>
        </w:rPr>
        <w:fldChar w:fldCharType="separate"/>
      </w:r>
      <w:r>
        <w:rPr>
          <w:rFonts w:ascii="Times New Roman" w:hAnsi="Times New Roman" w:eastAsiaTheme="minorEastAsia"/>
          <w:snapToGrid w:val="0"/>
          <w:color w:val="auto"/>
          <w:w w:val="99"/>
          <w:highlight w:val="none"/>
        </w:rPr>
        <w:t>8.2环境监控</w:t>
      </w:r>
      <w:r>
        <w:rPr>
          <w:color w:val="auto"/>
          <w:highlight w:val="none"/>
        </w:rPr>
        <w:tab/>
      </w:r>
      <w:r>
        <w:rPr>
          <w:color w:val="auto"/>
          <w:highlight w:val="none"/>
        </w:rPr>
        <w:fldChar w:fldCharType="begin"/>
      </w:r>
      <w:r>
        <w:rPr>
          <w:color w:val="auto"/>
          <w:highlight w:val="none"/>
        </w:rPr>
        <w:instrText xml:space="preserve"> PAGEREF _Toc20907 \h </w:instrText>
      </w:r>
      <w:r>
        <w:rPr>
          <w:color w:val="auto"/>
          <w:highlight w:val="none"/>
        </w:rPr>
        <w:fldChar w:fldCharType="separate"/>
      </w:r>
      <w:r>
        <w:rPr>
          <w:color w:val="auto"/>
          <w:highlight w:val="none"/>
        </w:rPr>
        <w:t>258</w:t>
      </w:r>
      <w:r>
        <w:rPr>
          <w:color w:val="auto"/>
          <w:highlight w:val="none"/>
        </w:rPr>
        <w:fldChar w:fldCharType="end"/>
      </w:r>
      <w:r>
        <w:rPr>
          <w:color w:val="auto"/>
          <w:highlight w:val="none"/>
        </w:rPr>
        <w:fldChar w:fldCharType="end"/>
      </w:r>
    </w:p>
    <w:p w14:paraId="05710B0F">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"_Toc14351" </w:instrText>
      </w:r>
      <w:r>
        <w:rPr>
          <w:color w:val="auto"/>
          <w:highlight w:val="none"/>
        </w:rPr>
        <w:fldChar w:fldCharType="separate"/>
      </w:r>
      <w:r>
        <w:rPr>
          <w:rFonts w:ascii="Times New Roman" w:hAnsi="Times New Roman" w:eastAsiaTheme="minorEastAsia"/>
          <w:snapToGrid w:val="0"/>
          <w:color w:val="auto"/>
          <w:w w:val="99"/>
          <w:highlight w:val="none"/>
        </w:rPr>
        <w:t>8.3占地审批流程</w:t>
      </w:r>
      <w:r>
        <w:rPr>
          <w:color w:val="auto"/>
          <w:highlight w:val="none"/>
        </w:rPr>
        <w:tab/>
      </w:r>
      <w:r>
        <w:rPr>
          <w:color w:val="auto"/>
          <w:highlight w:val="none"/>
        </w:rPr>
        <w:fldChar w:fldCharType="begin"/>
      </w:r>
      <w:r>
        <w:rPr>
          <w:color w:val="auto"/>
          <w:highlight w:val="none"/>
        </w:rPr>
        <w:instrText xml:space="preserve"> PAGEREF _Toc14351 \h </w:instrText>
      </w:r>
      <w:r>
        <w:rPr>
          <w:color w:val="auto"/>
          <w:highlight w:val="none"/>
        </w:rPr>
        <w:fldChar w:fldCharType="separate"/>
      </w:r>
      <w:r>
        <w:rPr>
          <w:color w:val="auto"/>
          <w:highlight w:val="none"/>
        </w:rPr>
        <w:t>265</w:t>
      </w:r>
      <w:r>
        <w:rPr>
          <w:color w:val="auto"/>
          <w:highlight w:val="none"/>
        </w:rPr>
        <w:fldChar w:fldCharType="end"/>
      </w:r>
      <w:r>
        <w:rPr>
          <w:color w:val="auto"/>
          <w:highlight w:val="none"/>
        </w:rPr>
        <w:fldChar w:fldCharType="end"/>
      </w:r>
    </w:p>
    <w:p w14:paraId="5CC1FB5D">
      <w:pPr>
        <w:pStyle w:val="55"/>
        <w:tabs>
          <w:tab w:val="right" w:leader="dot" w:pos="9070"/>
        </w:tabs>
        <w:rPr>
          <w:rFonts w:hint="eastAsia"/>
          <w:color w:val="auto"/>
          <w:highlight w:val="none"/>
        </w:rPr>
      </w:pPr>
      <w:r>
        <w:rPr>
          <w:color w:val="auto"/>
          <w:highlight w:val="none"/>
        </w:rPr>
        <w:fldChar w:fldCharType="begin"/>
      </w:r>
      <w:r>
        <w:rPr>
          <w:color w:val="auto"/>
          <w:highlight w:val="none"/>
        </w:rPr>
        <w:instrText xml:space="preserve"> HYPERLINK \l "_Toc14120" </w:instrText>
      </w:r>
      <w:r>
        <w:rPr>
          <w:color w:val="auto"/>
          <w:highlight w:val="none"/>
        </w:rPr>
        <w:fldChar w:fldCharType="separate"/>
      </w:r>
      <w:r>
        <w:rPr>
          <w:rFonts w:ascii="Times New Roman" w:hAnsi="Times New Roman" w:eastAsiaTheme="minorEastAsia"/>
          <w:snapToGrid w:val="0"/>
          <w:color w:val="auto"/>
          <w:w w:val="99"/>
          <w:szCs w:val="30"/>
          <w:highlight w:val="none"/>
        </w:rPr>
        <w:t>9环境影响评价结论</w:t>
      </w:r>
      <w:r>
        <w:rPr>
          <w:color w:val="auto"/>
          <w:highlight w:val="none"/>
        </w:rPr>
        <w:tab/>
      </w:r>
      <w:r>
        <w:rPr>
          <w:color w:val="auto"/>
          <w:highlight w:val="none"/>
        </w:rPr>
        <w:fldChar w:fldCharType="begin"/>
      </w:r>
      <w:r>
        <w:rPr>
          <w:color w:val="auto"/>
          <w:highlight w:val="none"/>
        </w:rPr>
        <w:instrText xml:space="preserve"> PAGEREF _Toc14120 \h </w:instrText>
      </w:r>
      <w:r>
        <w:rPr>
          <w:color w:val="auto"/>
          <w:highlight w:val="none"/>
        </w:rPr>
        <w:fldChar w:fldCharType="separate"/>
      </w:r>
      <w:r>
        <w:rPr>
          <w:color w:val="auto"/>
          <w:highlight w:val="none"/>
        </w:rPr>
        <w:t>267</w:t>
      </w:r>
      <w:r>
        <w:rPr>
          <w:color w:val="auto"/>
          <w:highlight w:val="none"/>
        </w:rPr>
        <w:fldChar w:fldCharType="end"/>
      </w:r>
      <w:r>
        <w:rPr>
          <w:color w:val="auto"/>
          <w:highlight w:val="none"/>
        </w:rPr>
        <w:fldChar w:fldCharType="end"/>
      </w:r>
    </w:p>
    <w:p w14:paraId="18D5127A">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"_Toc28479" </w:instrText>
      </w:r>
      <w:r>
        <w:rPr>
          <w:color w:val="auto"/>
          <w:highlight w:val="none"/>
        </w:rPr>
        <w:fldChar w:fldCharType="separate"/>
      </w:r>
      <w:r>
        <w:rPr>
          <w:rFonts w:ascii="Times New Roman" w:hAnsi="Times New Roman" w:eastAsiaTheme="minorEastAsia"/>
          <w:snapToGrid w:val="0"/>
          <w:color w:val="auto"/>
          <w:w w:val="99"/>
          <w:highlight w:val="none"/>
        </w:rPr>
        <w:t>9.1建设项目概况</w:t>
      </w:r>
      <w:r>
        <w:rPr>
          <w:color w:val="auto"/>
          <w:highlight w:val="none"/>
        </w:rPr>
        <w:tab/>
      </w:r>
      <w:r>
        <w:rPr>
          <w:color w:val="auto"/>
          <w:highlight w:val="none"/>
        </w:rPr>
        <w:fldChar w:fldCharType="begin"/>
      </w:r>
      <w:r>
        <w:rPr>
          <w:color w:val="auto"/>
          <w:highlight w:val="none"/>
        </w:rPr>
        <w:instrText xml:space="preserve"> PAGEREF _Toc28479 \h </w:instrText>
      </w:r>
      <w:r>
        <w:rPr>
          <w:color w:val="auto"/>
          <w:highlight w:val="none"/>
        </w:rPr>
        <w:fldChar w:fldCharType="separate"/>
      </w:r>
      <w:r>
        <w:rPr>
          <w:color w:val="auto"/>
          <w:highlight w:val="none"/>
        </w:rPr>
        <w:t>267</w:t>
      </w:r>
      <w:r>
        <w:rPr>
          <w:color w:val="auto"/>
          <w:highlight w:val="none"/>
        </w:rPr>
        <w:fldChar w:fldCharType="end"/>
      </w:r>
      <w:r>
        <w:rPr>
          <w:color w:val="auto"/>
          <w:highlight w:val="none"/>
        </w:rPr>
        <w:fldChar w:fldCharType="end"/>
      </w:r>
    </w:p>
    <w:p w14:paraId="4132972E">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"_Toc585" </w:instrText>
      </w:r>
      <w:r>
        <w:rPr>
          <w:color w:val="auto"/>
          <w:highlight w:val="none"/>
        </w:rPr>
        <w:fldChar w:fldCharType="separate"/>
      </w:r>
      <w:r>
        <w:rPr>
          <w:rFonts w:ascii="Times New Roman" w:hAnsi="Times New Roman" w:eastAsiaTheme="minorEastAsia"/>
          <w:snapToGrid w:val="0"/>
          <w:color w:val="auto"/>
          <w:w w:val="99"/>
          <w:highlight w:val="none"/>
        </w:rPr>
        <w:t>9.2环境质量现状评价结论</w:t>
      </w:r>
      <w:r>
        <w:rPr>
          <w:color w:val="auto"/>
          <w:highlight w:val="none"/>
        </w:rPr>
        <w:tab/>
      </w:r>
      <w:r>
        <w:rPr>
          <w:color w:val="auto"/>
          <w:highlight w:val="none"/>
        </w:rPr>
        <w:fldChar w:fldCharType="begin"/>
      </w:r>
      <w:r>
        <w:rPr>
          <w:color w:val="auto"/>
          <w:highlight w:val="none"/>
        </w:rPr>
        <w:instrText xml:space="preserve"> PAGEREF _Toc585 \h </w:instrText>
      </w:r>
      <w:r>
        <w:rPr>
          <w:color w:val="auto"/>
          <w:highlight w:val="none"/>
        </w:rPr>
        <w:fldChar w:fldCharType="separate"/>
      </w:r>
      <w:r>
        <w:rPr>
          <w:color w:val="auto"/>
          <w:highlight w:val="none"/>
        </w:rPr>
        <w:t>267</w:t>
      </w:r>
      <w:r>
        <w:rPr>
          <w:color w:val="auto"/>
          <w:highlight w:val="none"/>
        </w:rPr>
        <w:fldChar w:fldCharType="end"/>
      </w:r>
      <w:r>
        <w:rPr>
          <w:color w:val="auto"/>
          <w:highlight w:val="none"/>
        </w:rPr>
        <w:fldChar w:fldCharType="end"/>
      </w:r>
    </w:p>
    <w:p w14:paraId="4CDE96C7">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"_Toc17645" </w:instrText>
      </w:r>
      <w:r>
        <w:rPr>
          <w:color w:val="auto"/>
          <w:highlight w:val="none"/>
        </w:rPr>
        <w:fldChar w:fldCharType="separate"/>
      </w:r>
      <w:r>
        <w:rPr>
          <w:rFonts w:ascii="Times New Roman" w:hAnsi="Times New Roman" w:eastAsiaTheme="minorEastAsia"/>
          <w:snapToGrid w:val="0"/>
          <w:color w:val="auto"/>
          <w:w w:val="99"/>
          <w:highlight w:val="none"/>
        </w:rPr>
        <w:t>9.3环境影响分析和污染防治措施可行性结论</w:t>
      </w:r>
      <w:r>
        <w:rPr>
          <w:color w:val="auto"/>
          <w:highlight w:val="none"/>
        </w:rPr>
        <w:tab/>
      </w:r>
      <w:r>
        <w:rPr>
          <w:color w:val="auto"/>
          <w:highlight w:val="none"/>
        </w:rPr>
        <w:fldChar w:fldCharType="begin"/>
      </w:r>
      <w:r>
        <w:rPr>
          <w:color w:val="auto"/>
          <w:highlight w:val="none"/>
        </w:rPr>
        <w:instrText xml:space="preserve"> PAGEREF _Toc17645 \h </w:instrText>
      </w:r>
      <w:r>
        <w:rPr>
          <w:color w:val="auto"/>
          <w:highlight w:val="none"/>
        </w:rPr>
        <w:fldChar w:fldCharType="separate"/>
      </w:r>
      <w:r>
        <w:rPr>
          <w:color w:val="auto"/>
          <w:highlight w:val="none"/>
        </w:rPr>
        <w:t>268</w:t>
      </w:r>
      <w:r>
        <w:rPr>
          <w:color w:val="auto"/>
          <w:highlight w:val="none"/>
        </w:rPr>
        <w:fldChar w:fldCharType="end"/>
      </w:r>
      <w:r>
        <w:rPr>
          <w:color w:val="auto"/>
          <w:highlight w:val="none"/>
        </w:rPr>
        <w:fldChar w:fldCharType="end"/>
      </w:r>
    </w:p>
    <w:p w14:paraId="124B2CAF">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"_Toc16558" </w:instrText>
      </w:r>
      <w:r>
        <w:rPr>
          <w:color w:val="auto"/>
          <w:highlight w:val="none"/>
        </w:rPr>
        <w:fldChar w:fldCharType="separate"/>
      </w:r>
      <w:r>
        <w:rPr>
          <w:rFonts w:ascii="Times New Roman" w:hAnsi="Times New Roman" w:eastAsiaTheme="minorEastAsia"/>
          <w:snapToGrid w:val="0"/>
          <w:color w:val="auto"/>
          <w:w w:val="99"/>
          <w:highlight w:val="none"/>
        </w:rPr>
        <w:t>9.4公众意见采纳情况</w:t>
      </w:r>
      <w:r>
        <w:rPr>
          <w:color w:val="auto"/>
          <w:highlight w:val="none"/>
        </w:rPr>
        <w:tab/>
      </w:r>
      <w:r>
        <w:rPr>
          <w:color w:val="auto"/>
          <w:highlight w:val="none"/>
        </w:rPr>
        <w:fldChar w:fldCharType="begin"/>
      </w:r>
      <w:r>
        <w:rPr>
          <w:color w:val="auto"/>
          <w:highlight w:val="none"/>
        </w:rPr>
        <w:instrText xml:space="preserve"> PAGEREF _Toc16558 \h </w:instrText>
      </w:r>
      <w:r>
        <w:rPr>
          <w:color w:val="auto"/>
          <w:highlight w:val="none"/>
        </w:rPr>
        <w:fldChar w:fldCharType="separate"/>
      </w:r>
      <w:r>
        <w:rPr>
          <w:color w:val="auto"/>
          <w:highlight w:val="none"/>
        </w:rPr>
        <w:t>270</w:t>
      </w:r>
      <w:r>
        <w:rPr>
          <w:color w:val="auto"/>
          <w:highlight w:val="none"/>
        </w:rPr>
        <w:fldChar w:fldCharType="end"/>
      </w:r>
      <w:r>
        <w:rPr>
          <w:color w:val="auto"/>
          <w:highlight w:val="none"/>
        </w:rPr>
        <w:fldChar w:fldCharType="end"/>
      </w:r>
    </w:p>
    <w:p w14:paraId="68FDE7A0">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"_Toc7572" </w:instrText>
      </w:r>
      <w:r>
        <w:rPr>
          <w:color w:val="auto"/>
          <w:highlight w:val="none"/>
        </w:rPr>
        <w:fldChar w:fldCharType="separate"/>
      </w:r>
      <w:r>
        <w:rPr>
          <w:rFonts w:ascii="Times New Roman" w:hAnsi="Times New Roman" w:eastAsiaTheme="minorEastAsia"/>
          <w:snapToGrid w:val="0"/>
          <w:color w:val="auto"/>
          <w:w w:val="99"/>
          <w:highlight w:val="none"/>
        </w:rPr>
        <w:t>9.5环境经济损益分析结论</w:t>
      </w:r>
      <w:r>
        <w:rPr>
          <w:color w:val="auto"/>
          <w:highlight w:val="none"/>
        </w:rPr>
        <w:tab/>
      </w:r>
      <w:r>
        <w:rPr>
          <w:color w:val="auto"/>
          <w:highlight w:val="none"/>
        </w:rPr>
        <w:fldChar w:fldCharType="begin"/>
      </w:r>
      <w:r>
        <w:rPr>
          <w:color w:val="auto"/>
          <w:highlight w:val="none"/>
        </w:rPr>
        <w:instrText xml:space="preserve"> PAGEREF _Toc7572 \h </w:instrText>
      </w:r>
      <w:r>
        <w:rPr>
          <w:color w:val="auto"/>
          <w:highlight w:val="none"/>
        </w:rPr>
        <w:fldChar w:fldCharType="separate"/>
      </w:r>
      <w:r>
        <w:rPr>
          <w:color w:val="auto"/>
          <w:highlight w:val="none"/>
        </w:rPr>
        <w:t>271</w:t>
      </w:r>
      <w:r>
        <w:rPr>
          <w:color w:val="auto"/>
          <w:highlight w:val="none"/>
        </w:rPr>
        <w:fldChar w:fldCharType="end"/>
      </w:r>
      <w:r>
        <w:rPr>
          <w:color w:val="auto"/>
          <w:highlight w:val="none"/>
        </w:rPr>
        <w:fldChar w:fldCharType="end"/>
      </w:r>
    </w:p>
    <w:p w14:paraId="6FABCBD9">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"_Toc1238" </w:instrText>
      </w:r>
      <w:r>
        <w:rPr>
          <w:color w:val="auto"/>
          <w:highlight w:val="none"/>
        </w:rPr>
        <w:fldChar w:fldCharType="separate"/>
      </w:r>
      <w:r>
        <w:rPr>
          <w:rFonts w:ascii="Times New Roman" w:hAnsi="Times New Roman" w:eastAsiaTheme="minorEastAsia"/>
          <w:snapToGrid w:val="0"/>
          <w:color w:val="auto"/>
          <w:w w:val="99"/>
          <w:highlight w:val="none"/>
        </w:rPr>
        <w:t>9.6环境管理与监测计划结论</w:t>
      </w:r>
      <w:r>
        <w:rPr>
          <w:color w:val="auto"/>
          <w:highlight w:val="none"/>
        </w:rPr>
        <w:tab/>
      </w:r>
      <w:r>
        <w:rPr>
          <w:color w:val="auto"/>
          <w:highlight w:val="none"/>
        </w:rPr>
        <w:fldChar w:fldCharType="begin"/>
      </w:r>
      <w:r>
        <w:rPr>
          <w:color w:val="auto"/>
          <w:highlight w:val="none"/>
        </w:rPr>
        <w:instrText xml:space="preserve"> PAGEREF _Toc1238 \h </w:instrText>
      </w:r>
      <w:r>
        <w:rPr>
          <w:color w:val="auto"/>
          <w:highlight w:val="none"/>
        </w:rPr>
        <w:fldChar w:fldCharType="separate"/>
      </w:r>
      <w:r>
        <w:rPr>
          <w:color w:val="auto"/>
          <w:highlight w:val="none"/>
        </w:rPr>
        <w:t>271</w:t>
      </w:r>
      <w:r>
        <w:rPr>
          <w:color w:val="auto"/>
          <w:highlight w:val="none"/>
        </w:rPr>
        <w:fldChar w:fldCharType="end"/>
      </w:r>
      <w:r>
        <w:rPr>
          <w:color w:val="auto"/>
          <w:highlight w:val="none"/>
        </w:rPr>
        <w:fldChar w:fldCharType="end"/>
      </w:r>
    </w:p>
    <w:p w14:paraId="2CB84529">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"_Toc18910" </w:instrText>
      </w:r>
      <w:r>
        <w:rPr>
          <w:color w:val="auto"/>
          <w:highlight w:val="none"/>
        </w:rPr>
        <w:fldChar w:fldCharType="separate"/>
      </w:r>
      <w:r>
        <w:rPr>
          <w:rFonts w:ascii="Times New Roman" w:hAnsi="Times New Roman" w:eastAsiaTheme="minorEastAsia"/>
          <w:snapToGrid w:val="0"/>
          <w:color w:val="auto"/>
          <w:w w:val="99"/>
          <w:highlight w:val="none"/>
        </w:rPr>
        <w:t>9.7综合评价结论</w:t>
      </w:r>
      <w:r>
        <w:rPr>
          <w:color w:val="auto"/>
          <w:highlight w:val="none"/>
        </w:rPr>
        <w:tab/>
      </w:r>
      <w:r>
        <w:rPr>
          <w:color w:val="auto"/>
          <w:highlight w:val="none"/>
        </w:rPr>
        <w:fldChar w:fldCharType="begin"/>
      </w:r>
      <w:r>
        <w:rPr>
          <w:color w:val="auto"/>
          <w:highlight w:val="none"/>
        </w:rPr>
        <w:instrText xml:space="preserve"> PAGEREF _Toc18910 \h </w:instrText>
      </w:r>
      <w:r>
        <w:rPr>
          <w:color w:val="auto"/>
          <w:highlight w:val="none"/>
        </w:rPr>
        <w:fldChar w:fldCharType="separate"/>
      </w:r>
      <w:r>
        <w:rPr>
          <w:color w:val="auto"/>
          <w:highlight w:val="none"/>
        </w:rPr>
        <w:t>271</w:t>
      </w:r>
      <w:r>
        <w:rPr>
          <w:color w:val="auto"/>
          <w:highlight w:val="none"/>
        </w:rPr>
        <w:fldChar w:fldCharType="end"/>
      </w:r>
      <w:r>
        <w:rPr>
          <w:color w:val="auto"/>
          <w:highlight w:val="none"/>
        </w:rPr>
        <w:fldChar w:fldCharType="end"/>
      </w:r>
    </w:p>
    <w:p w14:paraId="3441FD27">
      <w:pPr>
        <w:pStyle w:val="55"/>
        <w:tabs>
          <w:tab w:val="right" w:leader="dot" w:pos="9070"/>
        </w:tabs>
        <w:rPr>
          <w:rFonts w:hint="eastAsia"/>
          <w:color w:val="auto"/>
          <w:highlight w:val="none"/>
        </w:rPr>
      </w:pPr>
      <w:r>
        <w:rPr>
          <w:color w:val="auto"/>
          <w:highlight w:val="none"/>
        </w:rPr>
        <w:fldChar w:fldCharType="begin"/>
      </w:r>
      <w:r>
        <w:rPr>
          <w:color w:val="auto"/>
          <w:highlight w:val="none"/>
        </w:rPr>
        <w:instrText xml:space="preserve"> HYPERLINK \l "_Toc27719" </w:instrText>
      </w:r>
      <w:r>
        <w:rPr>
          <w:color w:val="auto"/>
          <w:highlight w:val="none"/>
        </w:rPr>
        <w:fldChar w:fldCharType="separate"/>
      </w:r>
      <w:r>
        <w:rPr>
          <w:rFonts w:hint="eastAsia" w:ascii="Times New Roman" w:hAnsi="Times New Roman"/>
          <w:color w:val="auto"/>
          <w:w w:val="99"/>
          <w:szCs w:val="24"/>
          <w:highlight w:val="none"/>
          <w:lang w:bidi="zh-CN"/>
        </w:rPr>
        <w:t>附表</w:t>
      </w:r>
      <w:r>
        <w:rPr>
          <w:color w:val="auto"/>
          <w:highlight w:val="none"/>
        </w:rPr>
        <w:tab/>
      </w:r>
      <w:r>
        <w:rPr>
          <w:color w:val="auto"/>
          <w:highlight w:val="none"/>
        </w:rPr>
        <w:fldChar w:fldCharType="begin"/>
      </w:r>
      <w:r>
        <w:rPr>
          <w:color w:val="auto"/>
          <w:highlight w:val="none"/>
        </w:rPr>
        <w:instrText xml:space="preserve"> PAGEREF _Toc27719 \h </w:instrText>
      </w:r>
      <w:r>
        <w:rPr>
          <w:color w:val="auto"/>
          <w:highlight w:val="none"/>
        </w:rPr>
        <w:fldChar w:fldCharType="separate"/>
      </w:r>
      <w:r>
        <w:rPr>
          <w:color w:val="auto"/>
          <w:highlight w:val="none"/>
        </w:rPr>
        <w:t>272</w:t>
      </w:r>
      <w:r>
        <w:rPr>
          <w:color w:val="auto"/>
          <w:highlight w:val="none"/>
        </w:rPr>
        <w:fldChar w:fldCharType="end"/>
      </w:r>
      <w:r>
        <w:rPr>
          <w:color w:val="auto"/>
          <w:highlight w:val="none"/>
        </w:rPr>
        <w:fldChar w:fldCharType="end"/>
      </w:r>
    </w:p>
    <w:p w14:paraId="6299910A">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"_Toc19130" </w:instrText>
      </w:r>
      <w:r>
        <w:rPr>
          <w:color w:val="auto"/>
          <w:highlight w:val="none"/>
        </w:rPr>
        <w:fldChar w:fldCharType="separate"/>
      </w:r>
      <w:r>
        <w:rPr>
          <w:rFonts w:hint="eastAsia" w:ascii="Times New Roman" w:hAnsi="Times New Roman"/>
          <w:color w:val="auto"/>
          <w:w w:val="99"/>
          <w:kern w:val="0"/>
          <w:szCs w:val="24"/>
          <w:highlight w:val="none"/>
          <w:lang w:bidi="zh-CN"/>
        </w:rPr>
        <w:t>附表1：建设项目大气环境影响评价自查表</w:t>
      </w:r>
      <w:r>
        <w:rPr>
          <w:color w:val="auto"/>
          <w:highlight w:val="none"/>
        </w:rPr>
        <w:tab/>
      </w:r>
      <w:r>
        <w:rPr>
          <w:color w:val="auto"/>
          <w:highlight w:val="none"/>
        </w:rPr>
        <w:fldChar w:fldCharType="begin"/>
      </w:r>
      <w:r>
        <w:rPr>
          <w:color w:val="auto"/>
          <w:highlight w:val="none"/>
        </w:rPr>
        <w:instrText xml:space="preserve"> PAGEREF _Toc19130 \h </w:instrText>
      </w:r>
      <w:r>
        <w:rPr>
          <w:color w:val="auto"/>
          <w:highlight w:val="none"/>
        </w:rPr>
        <w:fldChar w:fldCharType="separate"/>
      </w:r>
      <w:r>
        <w:rPr>
          <w:color w:val="auto"/>
          <w:highlight w:val="none"/>
        </w:rPr>
        <w:t>272</w:t>
      </w:r>
      <w:r>
        <w:rPr>
          <w:color w:val="auto"/>
          <w:highlight w:val="none"/>
        </w:rPr>
        <w:fldChar w:fldCharType="end"/>
      </w:r>
      <w:r>
        <w:rPr>
          <w:color w:val="auto"/>
          <w:highlight w:val="none"/>
        </w:rPr>
        <w:fldChar w:fldCharType="end"/>
      </w:r>
    </w:p>
    <w:p w14:paraId="385E1E99">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"_Toc20425" </w:instrText>
      </w:r>
      <w:r>
        <w:rPr>
          <w:color w:val="auto"/>
          <w:highlight w:val="none"/>
        </w:rPr>
        <w:fldChar w:fldCharType="separate"/>
      </w:r>
      <w:r>
        <w:rPr>
          <w:rFonts w:hint="eastAsia" w:ascii="Times New Roman" w:hAnsi="Times New Roman"/>
          <w:color w:val="auto"/>
          <w:w w:val="99"/>
          <w:kern w:val="0"/>
          <w:szCs w:val="24"/>
          <w:highlight w:val="none"/>
          <w:lang w:bidi="zh-CN"/>
        </w:rPr>
        <w:t>附表2：建设项目环境风险评价自查表</w:t>
      </w:r>
      <w:r>
        <w:rPr>
          <w:color w:val="auto"/>
          <w:highlight w:val="none"/>
        </w:rPr>
        <w:tab/>
      </w:r>
      <w:r>
        <w:rPr>
          <w:color w:val="auto"/>
          <w:highlight w:val="none"/>
        </w:rPr>
        <w:fldChar w:fldCharType="begin"/>
      </w:r>
      <w:r>
        <w:rPr>
          <w:color w:val="auto"/>
          <w:highlight w:val="none"/>
        </w:rPr>
        <w:instrText xml:space="preserve"> PAGEREF _Toc20425 \h </w:instrText>
      </w:r>
      <w:r>
        <w:rPr>
          <w:color w:val="auto"/>
          <w:highlight w:val="none"/>
        </w:rPr>
        <w:fldChar w:fldCharType="separate"/>
      </w:r>
      <w:r>
        <w:rPr>
          <w:color w:val="auto"/>
          <w:highlight w:val="none"/>
        </w:rPr>
        <w:t>273</w:t>
      </w:r>
      <w:r>
        <w:rPr>
          <w:color w:val="auto"/>
          <w:highlight w:val="none"/>
        </w:rPr>
        <w:fldChar w:fldCharType="end"/>
      </w:r>
      <w:r>
        <w:rPr>
          <w:color w:val="auto"/>
          <w:highlight w:val="none"/>
        </w:rPr>
        <w:fldChar w:fldCharType="end"/>
      </w:r>
    </w:p>
    <w:p w14:paraId="0DC8B7FD">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"_Toc19222" </w:instrText>
      </w:r>
      <w:r>
        <w:rPr>
          <w:color w:val="auto"/>
          <w:highlight w:val="none"/>
        </w:rPr>
        <w:fldChar w:fldCharType="separate"/>
      </w:r>
      <w:r>
        <w:rPr>
          <w:rFonts w:hint="eastAsia" w:ascii="Times New Roman" w:hAnsi="Times New Roman"/>
          <w:color w:val="auto"/>
          <w:w w:val="99"/>
          <w:kern w:val="0"/>
          <w:szCs w:val="24"/>
          <w:highlight w:val="none"/>
          <w:lang w:bidi="zh-CN"/>
        </w:rPr>
        <w:t>附表3：建设项目土壤环境影响评价自查表</w:t>
      </w:r>
      <w:r>
        <w:rPr>
          <w:color w:val="auto"/>
          <w:highlight w:val="none"/>
        </w:rPr>
        <w:tab/>
      </w:r>
      <w:r>
        <w:rPr>
          <w:color w:val="auto"/>
          <w:highlight w:val="none"/>
        </w:rPr>
        <w:fldChar w:fldCharType="begin"/>
      </w:r>
      <w:r>
        <w:rPr>
          <w:color w:val="auto"/>
          <w:highlight w:val="none"/>
        </w:rPr>
        <w:instrText xml:space="preserve"> PAGEREF _Toc19222 \h </w:instrText>
      </w:r>
      <w:r>
        <w:rPr>
          <w:color w:val="auto"/>
          <w:highlight w:val="none"/>
        </w:rPr>
        <w:fldChar w:fldCharType="separate"/>
      </w:r>
      <w:r>
        <w:rPr>
          <w:color w:val="auto"/>
          <w:highlight w:val="none"/>
        </w:rPr>
        <w:t>274</w:t>
      </w:r>
      <w:r>
        <w:rPr>
          <w:color w:val="auto"/>
          <w:highlight w:val="none"/>
        </w:rPr>
        <w:fldChar w:fldCharType="end"/>
      </w:r>
      <w:r>
        <w:rPr>
          <w:color w:val="auto"/>
          <w:highlight w:val="none"/>
        </w:rPr>
        <w:fldChar w:fldCharType="end"/>
      </w:r>
    </w:p>
    <w:p w14:paraId="684727AB">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"_Toc13999" </w:instrText>
      </w:r>
      <w:r>
        <w:rPr>
          <w:color w:val="auto"/>
          <w:highlight w:val="none"/>
        </w:rPr>
        <w:fldChar w:fldCharType="separate"/>
      </w:r>
      <w:r>
        <w:rPr>
          <w:rFonts w:hint="eastAsia" w:ascii="Times New Roman" w:hAnsi="Times New Roman"/>
          <w:color w:val="auto"/>
          <w:w w:val="99"/>
          <w:kern w:val="0"/>
          <w:szCs w:val="24"/>
          <w:highlight w:val="none"/>
          <w:lang w:bidi="zh-CN"/>
        </w:rPr>
        <w:t>附表4：地表水自查表</w:t>
      </w:r>
      <w:r>
        <w:rPr>
          <w:color w:val="auto"/>
          <w:highlight w:val="none"/>
        </w:rPr>
        <w:tab/>
      </w:r>
      <w:r>
        <w:rPr>
          <w:color w:val="auto"/>
          <w:highlight w:val="none"/>
        </w:rPr>
        <w:fldChar w:fldCharType="begin"/>
      </w:r>
      <w:r>
        <w:rPr>
          <w:color w:val="auto"/>
          <w:highlight w:val="none"/>
        </w:rPr>
        <w:instrText xml:space="preserve"> PAGEREF _Toc13999 \h </w:instrText>
      </w:r>
      <w:r>
        <w:rPr>
          <w:color w:val="auto"/>
          <w:highlight w:val="none"/>
        </w:rPr>
        <w:fldChar w:fldCharType="separate"/>
      </w:r>
      <w:r>
        <w:rPr>
          <w:color w:val="auto"/>
          <w:highlight w:val="none"/>
        </w:rPr>
        <w:t>275</w:t>
      </w:r>
      <w:r>
        <w:rPr>
          <w:color w:val="auto"/>
          <w:highlight w:val="none"/>
        </w:rPr>
        <w:fldChar w:fldCharType="end"/>
      </w:r>
      <w:r>
        <w:rPr>
          <w:color w:val="auto"/>
          <w:highlight w:val="none"/>
        </w:rPr>
        <w:fldChar w:fldCharType="end"/>
      </w:r>
    </w:p>
    <w:p w14:paraId="0CC9C542">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"_Toc9364" </w:instrText>
      </w:r>
      <w:r>
        <w:rPr>
          <w:color w:val="auto"/>
          <w:highlight w:val="none"/>
        </w:rPr>
        <w:fldChar w:fldCharType="separate"/>
      </w:r>
      <w:r>
        <w:rPr>
          <w:rFonts w:hint="eastAsia" w:ascii="Times New Roman" w:hAnsi="Times New Roman"/>
          <w:color w:val="auto"/>
          <w:w w:val="99"/>
          <w:kern w:val="0"/>
          <w:szCs w:val="24"/>
          <w:highlight w:val="none"/>
          <w:lang w:bidi="zh-CN"/>
        </w:rPr>
        <w:t>附表5：生态影响评价自查表</w:t>
      </w:r>
      <w:r>
        <w:rPr>
          <w:color w:val="auto"/>
          <w:highlight w:val="none"/>
        </w:rPr>
        <w:tab/>
      </w:r>
      <w:r>
        <w:rPr>
          <w:color w:val="auto"/>
          <w:highlight w:val="none"/>
        </w:rPr>
        <w:fldChar w:fldCharType="begin"/>
      </w:r>
      <w:r>
        <w:rPr>
          <w:color w:val="auto"/>
          <w:highlight w:val="none"/>
        </w:rPr>
        <w:instrText xml:space="preserve"> PAGEREF _Toc9364 \h </w:instrText>
      </w:r>
      <w:r>
        <w:rPr>
          <w:color w:val="auto"/>
          <w:highlight w:val="none"/>
        </w:rPr>
        <w:fldChar w:fldCharType="separate"/>
      </w:r>
      <w:r>
        <w:rPr>
          <w:color w:val="auto"/>
          <w:highlight w:val="none"/>
        </w:rPr>
        <w:t>276</w:t>
      </w:r>
      <w:r>
        <w:rPr>
          <w:color w:val="auto"/>
          <w:highlight w:val="none"/>
        </w:rPr>
        <w:fldChar w:fldCharType="end"/>
      </w:r>
      <w:r>
        <w:rPr>
          <w:color w:val="auto"/>
          <w:highlight w:val="none"/>
        </w:rPr>
        <w:fldChar w:fldCharType="end"/>
      </w:r>
    </w:p>
    <w:p w14:paraId="33A12B4D">
      <w:pPr>
        <w:pStyle w:val="67"/>
        <w:tabs>
          <w:tab w:val="right" w:leader="dot" w:pos="9070"/>
        </w:tabs>
        <w:rPr>
          <w:color w:val="auto"/>
          <w:highlight w:val="none"/>
        </w:rPr>
      </w:pPr>
      <w:r>
        <w:rPr>
          <w:color w:val="auto"/>
          <w:highlight w:val="none"/>
        </w:rPr>
        <w:fldChar w:fldCharType="begin"/>
      </w:r>
      <w:r>
        <w:rPr>
          <w:color w:val="auto"/>
          <w:highlight w:val="none"/>
        </w:rPr>
        <w:instrText xml:space="preserve"> HYPERLINK \l "_Toc11592" </w:instrText>
      </w:r>
      <w:r>
        <w:rPr>
          <w:color w:val="auto"/>
          <w:highlight w:val="none"/>
        </w:rPr>
        <w:fldChar w:fldCharType="separate"/>
      </w:r>
      <w:r>
        <w:rPr>
          <w:rFonts w:hint="eastAsia" w:ascii="Times New Roman" w:hAnsi="Times New Roman"/>
          <w:color w:val="auto"/>
          <w:w w:val="99"/>
          <w:kern w:val="0"/>
          <w:szCs w:val="24"/>
          <w:highlight w:val="none"/>
          <w:lang w:bidi="zh-CN"/>
        </w:rPr>
        <w:t>附表6：声环境影响评价自查表</w:t>
      </w:r>
      <w:r>
        <w:rPr>
          <w:color w:val="auto"/>
          <w:highlight w:val="none"/>
        </w:rPr>
        <w:tab/>
      </w:r>
      <w:r>
        <w:rPr>
          <w:color w:val="auto"/>
          <w:highlight w:val="none"/>
        </w:rPr>
        <w:fldChar w:fldCharType="begin"/>
      </w:r>
      <w:r>
        <w:rPr>
          <w:color w:val="auto"/>
          <w:highlight w:val="none"/>
        </w:rPr>
        <w:instrText xml:space="preserve"> PAGEREF _Toc11592 \h </w:instrText>
      </w:r>
      <w:r>
        <w:rPr>
          <w:color w:val="auto"/>
          <w:highlight w:val="none"/>
        </w:rPr>
        <w:fldChar w:fldCharType="separate"/>
      </w:r>
      <w:r>
        <w:rPr>
          <w:color w:val="auto"/>
          <w:highlight w:val="none"/>
        </w:rPr>
        <w:t>278</w:t>
      </w:r>
      <w:r>
        <w:rPr>
          <w:color w:val="auto"/>
          <w:highlight w:val="none"/>
        </w:rPr>
        <w:fldChar w:fldCharType="end"/>
      </w:r>
      <w:r>
        <w:rPr>
          <w:color w:val="auto"/>
          <w:highlight w:val="none"/>
        </w:rPr>
        <w:fldChar w:fldCharType="end"/>
      </w:r>
    </w:p>
    <w:p w14:paraId="4906F6E6">
      <w:pPr>
        <w:pStyle w:val="55"/>
        <w:tabs>
          <w:tab w:val="left" w:pos="629"/>
        </w:tabs>
        <w:spacing w:before="0" w:after="0" w:line="440" w:lineRule="exact"/>
        <w:rPr>
          <w:rFonts w:ascii="Times New Roman" w:hAnsi="Times New Roman"/>
          <w:color w:val="auto"/>
          <w:w w:val="99"/>
          <w:szCs w:val="24"/>
          <w:highlight w:val="none"/>
          <w:lang w:bidi="zh-CN"/>
        </w:rPr>
      </w:pPr>
      <w:r>
        <w:rPr>
          <w:rFonts w:ascii="Times New Roman" w:hAnsi="Times New Roman" w:eastAsiaTheme="minorEastAsia"/>
          <w:smallCaps/>
          <w:color w:val="auto"/>
          <w:w w:val="99"/>
          <w:kern w:val="2"/>
          <w:szCs w:val="24"/>
          <w:highlight w:val="none"/>
        </w:rPr>
        <w:fldChar w:fldCharType="end"/>
      </w:r>
      <w:r>
        <w:rPr>
          <w:rFonts w:hint="eastAsia" w:ascii="Times New Roman" w:hAnsi="Times New Roman"/>
          <w:color w:val="auto"/>
          <w:w w:val="99"/>
          <w:szCs w:val="24"/>
          <w:highlight w:val="none"/>
          <w:lang w:bidi="zh-CN"/>
        </w:rPr>
        <w:t>附图</w:t>
      </w:r>
    </w:p>
    <w:p w14:paraId="2B3AABCC">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附图1：地理位置图</w:t>
      </w:r>
    </w:p>
    <w:p w14:paraId="04DD8D93">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附图2：平面布置图</w:t>
      </w:r>
    </w:p>
    <w:p w14:paraId="428CF96C">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附图3：</w:t>
      </w:r>
      <w:r>
        <w:rPr>
          <w:rFonts w:hint="eastAsia" w:ascii="Times New Roman" w:hAnsi="Times New Roman" w:cs="Times New Roman"/>
          <w:smallCaps/>
          <w:color w:val="auto"/>
          <w:w w:val="99"/>
          <w:sz w:val="20"/>
          <w:highlight w:val="none"/>
          <w:lang w:val="en" w:bidi="zh-CN"/>
        </w:rPr>
        <w:t>项目</w:t>
      </w:r>
      <w:r>
        <w:rPr>
          <w:rFonts w:hint="eastAsia" w:ascii="Times New Roman" w:hAnsi="Times New Roman" w:cs="Times New Roman"/>
          <w:smallCaps/>
          <w:color w:val="auto"/>
          <w:w w:val="99"/>
          <w:sz w:val="20"/>
          <w:highlight w:val="none"/>
          <w:lang w:bidi="zh-CN"/>
        </w:rPr>
        <w:t>与绥化市</w:t>
      </w:r>
      <w:r>
        <w:rPr>
          <w:rFonts w:hint="eastAsia" w:ascii="Times New Roman" w:hAnsi="Times New Roman" w:cs="Times New Roman"/>
          <w:smallCaps/>
          <w:color w:val="auto"/>
          <w:w w:val="99"/>
          <w:sz w:val="20"/>
          <w:highlight w:val="none"/>
          <w:lang w:val="en" w:bidi="zh-CN"/>
        </w:rPr>
        <w:t>水土保持</w:t>
      </w:r>
      <w:r>
        <w:rPr>
          <w:rFonts w:hint="eastAsia" w:ascii="Times New Roman" w:hAnsi="Times New Roman" w:cs="Times New Roman"/>
          <w:smallCaps/>
          <w:color w:val="auto"/>
          <w:w w:val="99"/>
          <w:sz w:val="20"/>
          <w:highlight w:val="none"/>
          <w:lang w:bidi="zh-CN"/>
        </w:rPr>
        <w:t>规划</w:t>
      </w:r>
      <w:r>
        <w:rPr>
          <w:rFonts w:hint="eastAsia" w:ascii="Times New Roman" w:hAnsi="Times New Roman" w:cs="Times New Roman"/>
          <w:smallCaps/>
          <w:color w:val="auto"/>
          <w:w w:val="99"/>
          <w:sz w:val="20"/>
          <w:highlight w:val="none"/>
          <w:lang w:val="en" w:bidi="zh-CN"/>
        </w:rPr>
        <w:t>位置关系</w:t>
      </w:r>
    </w:p>
    <w:p w14:paraId="354986D7">
      <w:pPr>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附图4：本项目与黑龙江省环境管控单元位置关系</w:t>
      </w:r>
    </w:p>
    <w:p w14:paraId="60C6C171">
      <w:pPr>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附图5：本项目与生态保护红线的位置关系</w:t>
      </w:r>
    </w:p>
    <w:p w14:paraId="43F7F600">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附图6-1：大气、环境风险评价范围、保护目标及现状监测点位分布图</w:t>
      </w:r>
    </w:p>
    <w:p w14:paraId="1AA531B3">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附图6-2：地下水、地表水评价范围及现状监测点位分布图</w:t>
      </w:r>
    </w:p>
    <w:p w14:paraId="4E704F62">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附图6-3：声环境、土壤环境评价范围及现状监测点位分布图</w:t>
      </w:r>
    </w:p>
    <w:p w14:paraId="45A234A6">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附图6-4：生态评价范围图</w:t>
      </w:r>
    </w:p>
    <w:p w14:paraId="7ACA9A2B">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附图7-1：运营期气井井场平面布置图</w:t>
      </w:r>
    </w:p>
    <w:p w14:paraId="498969F8">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附图7-2：徐深27集气站改建后平面布置图</w:t>
      </w:r>
    </w:p>
    <w:p w14:paraId="37B31CCC">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附图8：本项目区域土壤类型分布图</w:t>
      </w:r>
    </w:p>
    <w:p w14:paraId="6D647F72">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附图9：土地利用现状图</w:t>
      </w:r>
    </w:p>
    <w:p w14:paraId="437A213D">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附图10：地下水及土壤跟踪监测点位图</w:t>
      </w:r>
    </w:p>
    <w:p w14:paraId="3F59FF7F">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附图11-1：运营期井场分区防渗图</w:t>
      </w:r>
    </w:p>
    <w:p w14:paraId="7AAB78E9">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附图11-2：徐深27集气站本次新建内容分区防渗图</w:t>
      </w:r>
    </w:p>
    <w:p w14:paraId="1F4A7151">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附图12-1：典型生态保护措施平面布置图</w:t>
      </w:r>
    </w:p>
    <w:p w14:paraId="05E9EED8">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附图12-2：典型井场生态保护措施平面布置示意图</w:t>
      </w:r>
    </w:p>
    <w:p w14:paraId="7A7C93B4">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附图13：典型生态保护措施示意图</w:t>
      </w:r>
    </w:p>
    <w:p w14:paraId="183B6C49">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附图14：与永久基本农田位置关系图</w:t>
      </w:r>
    </w:p>
    <w:p w14:paraId="3AB5E4CB">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附图15：总体施工布置图</w:t>
      </w:r>
    </w:p>
    <w:p w14:paraId="6F170307">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附图16-1：区域综合水文地质图</w:t>
      </w:r>
    </w:p>
    <w:p w14:paraId="60DC2817">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附图16-2：区域水文地质剖面图</w:t>
      </w:r>
    </w:p>
    <w:p w14:paraId="78FAE0A1">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附图16-3：区域水文地质柱状图</w:t>
      </w:r>
    </w:p>
    <w:p w14:paraId="4B887E5E">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附图17-1：区域承压水等水位线图</w:t>
      </w:r>
    </w:p>
    <w:p w14:paraId="4E64BBFB">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附图17-2：区域潜水等水位线图</w:t>
      </w:r>
    </w:p>
    <w:p w14:paraId="098C723D">
      <w:pPr>
        <w:outlineLvl w:val="0"/>
        <w:rPr>
          <w:rFonts w:ascii="Times New Roman" w:hAnsi="Times New Roman" w:cs="Times New Roman" w:eastAsiaTheme="minorEastAsia"/>
          <w:b/>
          <w:color w:val="auto"/>
          <w:w w:val="99"/>
          <w:highlight w:val="none"/>
        </w:rPr>
      </w:pPr>
    </w:p>
    <w:p w14:paraId="6C0750C5">
      <w:pPr>
        <w:jc w:val="both"/>
        <w:rPr>
          <w:rFonts w:ascii="Times New Roman" w:hAnsi="Times New Roman" w:cs="Times New Roman"/>
          <w:smallCaps/>
          <w:color w:val="auto"/>
          <w:w w:val="99"/>
          <w:sz w:val="20"/>
          <w:highlight w:val="none"/>
          <w:lang w:bidi="zh-CN"/>
        </w:rPr>
      </w:pPr>
    </w:p>
    <w:p w14:paraId="6FB281C3">
      <w:pPr>
        <w:rPr>
          <w:rFonts w:hint="eastAsia"/>
          <w:color w:val="auto"/>
          <w:highlight w:val="none"/>
        </w:rPr>
      </w:pPr>
      <w:r>
        <w:rPr>
          <w:rFonts w:hint="eastAsia" w:ascii="Times New Roman" w:hAnsi="Times New Roman" w:cs="Times New Roman"/>
          <w:b/>
          <w:caps/>
          <w:color w:val="auto"/>
          <w:w w:val="99"/>
          <w:sz w:val="20"/>
          <w:highlight w:val="none"/>
          <w:lang w:bidi="zh-CN"/>
        </w:rPr>
        <w:t>附件</w:t>
      </w:r>
    </w:p>
    <w:p w14:paraId="2E28FAC5">
      <w:pPr>
        <w:jc w:val="both"/>
        <w:rPr>
          <w:rFonts w:ascii="Times New Roman" w:hAnsi="Times New Roman" w:cs="Times New Roman"/>
          <w:smallCaps/>
          <w:color w:val="auto"/>
          <w:w w:val="99"/>
          <w:sz w:val="20"/>
          <w:highlight w:val="none"/>
          <w:lang w:bidi="zh-CN"/>
        </w:rPr>
      </w:pPr>
      <w:r>
        <w:rPr>
          <w:rFonts w:ascii="Times New Roman" w:hAnsi="Times New Roman" w:cs="Times New Roman"/>
          <w:smallCaps/>
          <w:color w:val="auto"/>
          <w:w w:val="99"/>
          <w:sz w:val="20"/>
          <w:highlight w:val="none"/>
          <w:lang w:bidi="zh-CN"/>
        </w:rPr>
        <w:t>附件1：</w:t>
      </w:r>
      <w:r>
        <w:rPr>
          <w:rFonts w:hint="eastAsia" w:ascii="Times New Roman" w:hAnsi="Times New Roman" w:cs="Times New Roman"/>
          <w:smallCaps/>
          <w:color w:val="auto"/>
          <w:w w:val="99"/>
          <w:sz w:val="20"/>
          <w:highlight w:val="none"/>
          <w:lang w:bidi="zh-CN"/>
        </w:rPr>
        <w:t>企业投资项目备案承诺书</w:t>
      </w:r>
    </w:p>
    <w:p w14:paraId="752924D1">
      <w:pPr>
        <w:jc w:val="both"/>
        <w:rPr>
          <w:rFonts w:ascii="Times New Roman" w:hAnsi="Times New Roman" w:cs="Times New Roman"/>
          <w:smallCaps/>
          <w:color w:val="auto"/>
          <w:w w:val="99"/>
          <w:sz w:val="20"/>
          <w:highlight w:val="none"/>
          <w:lang w:bidi="zh-CN"/>
        </w:rPr>
      </w:pPr>
      <w:r>
        <w:rPr>
          <w:rFonts w:ascii="Times New Roman" w:hAnsi="Times New Roman" w:cs="Times New Roman"/>
          <w:smallCaps/>
          <w:color w:val="auto"/>
          <w:w w:val="99"/>
          <w:sz w:val="20"/>
          <w:highlight w:val="none"/>
          <w:lang w:bidi="zh-CN"/>
        </w:rPr>
        <w:t>附件</w:t>
      </w:r>
      <w:r>
        <w:rPr>
          <w:rFonts w:hint="eastAsia" w:ascii="Times New Roman" w:hAnsi="Times New Roman" w:cs="Times New Roman"/>
          <w:smallCaps/>
          <w:color w:val="auto"/>
          <w:w w:val="99"/>
          <w:sz w:val="20"/>
          <w:highlight w:val="none"/>
          <w:lang w:bidi="zh-CN"/>
        </w:rPr>
        <w:t>2</w:t>
      </w:r>
      <w:r>
        <w:rPr>
          <w:rFonts w:ascii="Times New Roman" w:hAnsi="Times New Roman" w:cs="Times New Roman"/>
          <w:smallCaps/>
          <w:color w:val="auto"/>
          <w:w w:val="99"/>
          <w:sz w:val="20"/>
          <w:highlight w:val="none"/>
          <w:lang w:bidi="zh-CN"/>
        </w:rPr>
        <w:t>：</w:t>
      </w:r>
      <w:r>
        <w:rPr>
          <w:rFonts w:hint="eastAsia" w:ascii="Times New Roman" w:hAnsi="Times New Roman" w:cs="Times New Roman"/>
          <w:smallCaps/>
          <w:color w:val="auto"/>
          <w:w w:val="99"/>
          <w:sz w:val="20"/>
          <w:highlight w:val="none"/>
          <w:lang w:bidi="zh-CN"/>
        </w:rPr>
        <w:t>区块环评批复及验收意见</w:t>
      </w:r>
    </w:p>
    <w:p w14:paraId="46764A2E">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附件3：依托场站环评批复及验收意见</w:t>
      </w:r>
    </w:p>
    <w:p w14:paraId="4308A20C">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附件4：排污许可登记回执</w:t>
      </w:r>
    </w:p>
    <w:p w14:paraId="3D3D904F">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附件5：突发环境事件应急预案备案</w:t>
      </w:r>
    </w:p>
    <w:p w14:paraId="7DD5FA64">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附件6：现有工程监测报告</w:t>
      </w:r>
    </w:p>
    <w:p w14:paraId="14F3CA6A">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附件7：本项目监测报告</w:t>
      </w:r>
    </w:p>
    <w:p w14:paraId="67A8F030">
      <w:pPr>
        <w:pStyle w:val="103"/>
        <w:ind w:left="0"/>
        <w:jc w:val="both"/>
        <w:rPr>
          <w:color w:val="auto"/>
          <w:highlight w:val="none"/>
        </w:rPr>
      </w:pPr>
      <w:r>
        <w:rPr>
          <w:rFonts w:hint="eastAsia" w:ascii="Times New Roman" w:hAnsi="Times New Roman"/>
          <w:color w:val="auto"/>
          <w:w w:val="99"/>
          <w:kern w:val="0"/>
          <w:szCs w:val="24"/>
          <w:highlight w:val="none"/>
          <w:lang w:bidi="zh-CN"/>
        </w:rPr>
        <w:t>附件8：大庆市水利规划设计研究院提供区域水文地质资料</w:t>
      </w:r>
    </w:p>
    <w:p w14:paraId="57135DAB">
      <w:pPr>
        <w:jc w:val="both"/>
        <w:rPr>
          <w:rFonts w:ascii="Times New Roman" w:hAnsi="Times New Roman" w:cs="Times New Roman"/>
          <w:smallCaps/>
          <w:color w:val="auto"/>
          <w:w w:val="99"/>
          <w:sz w:val="20"/>
          <w:highlight w:val="none"/>
          <w:lang w:bidi="zh-CN"/>
        </w:rPr>
      </w:pPr>
      <w:r>
        <w:rPr>
          <w:rFonts w:hint="eastAsia" w:ascii="Times New Roman" w:hAnsi="Times New Roman" w:cs="Times New Roman"/>
          <w:smallCaps/>
          <w:color w:val="auto"/>
          <w:w w:val="99"/>
          <w:sz w:val="20"/>
          <w:highlight w:val="none"/>
          <w:lang w:bidi="zh-CN"/>
        </w:rPr>
        <w:t>附件9：生态环境分区管控分析报告</w:t>
      </w:r>
    </w:p>
    <w:p w14:paraId="1CFD491B">
      <w:pPr>
        <w:jc w:val="both"/>
        <w:rPr>
          <w:rFonts w:ascii="Times New Roman" w:hAnsi="Times New Roman" w:cs="Times New Roman"/>
          <w:smallCaps/>
          <w:color w:val="auto"/>
          <w:w w:val="99"/>
          <w:sz w:val="20"/>
          <w:highlight w:val="none"/>
          <w:lang w:bidi="zh-CN"/>
        </w:rPr>
        <w:sectPr>
          <w:headerReference r:id="rId3" w:type="default"/>
          <w:footerReference r:id="rId4" w:type="default"/>
          <w:type w:val="nextColumn"/>
          <w:pgSz w:w="11906" w:h="16838"/>
          <w:pgMar w:top="1418" w:right="1418" w:bottom="1418" w:left="1418" w:header="851" w:footer="992" w:gutter="0"/>
          <w:pgNumType w:start="1"/>
          <w:cols w:space="720" w:num="1"/>
          <w:docGrid w:linePitch="312" w:charSpace="0"/>
        </w:sectPr>
      </w:pPr>
    </w:p>
    <w:p w14:paraId="2935A90F">
      <w:pPr>
        <w:pStyle w:val="4"/>
        <w:widowControl w:val="0"/>
        <w:spacing w:before="180" w:after="180" w:line="440" w:lineRule="exact"/>
        <w:rPr>
          <w:rFonts w:ascii="Times New Roman" w:hAnsi="Times New Roman" w:eastAsia="宋体"/>
          <w:b/>
          <w:snapToGrid w:val="0"/>
          <w:color w:val="auto"/>
          <w:w w:val="99"/>
          <w:sz w:val="30"/>
          <w:szCs w:val="30"/>
          <w:highlight w:val="none"/>
        </w:rPr>
      </w:pPr>
      <w:bookmarkStart w:id="1381" w:name="_GoBack"/>
      <w:bookmarkEnd w:id="1381"/>
      <w:bookmarkStart w:id="3" w:name="_Toc24334"/>
      <w:r>
        <w:rPr>
          <w:rFonts w:ascii="Times New Roman" w:hAnsi="Times New Roman" w:eastAsia="宋体"/>
          <w:b/>
          <w:snapToGrid w:val="0"/>
          <w:color w:val="auto"/>
          <w:w w:val="99"/>
          <w:sz w:val="30"/>
          <w:szCs w:val="30"/>
          <w:highlight w:val="none"/>
        </w:rPr>
        <w:t>1概述</w:t>
      </w:r>
      <w:bookmarkEnd w:id="0"/>
      <w:bookmarkEnd w:id="1"/>
      <w:bookmarkEnd w:id="2"/>
      <w:bookmarkEnd w:id="3"/>
    </w:p>
    <w:p w14:paraId="0AA36B09">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4" w:name="_Toc10819"/>
      <w:bookmarkStart w:id="5" w:name="_Toc3176"/>
      <w:bookmarkStart w:id="6" w:name="_Toc502736431"/>
      <w:r>
        <w:rPr>
          <w:rFonts w:ascii="Times New Roman" w:hAnsi="Times New Roman" w:eastAsia="宋体"/>
          <w:b/>
          <w:snapToGrid w:val="0"/>
          <w:color w:val="auto"/>
          <w:w w:val="99"/>
          <w:highlight w:val="none"/>
        </w:rPr>
        <w:t>1.1项目由来</w:t>
      </w:r>
      <w:bookmarkEnd w:id="4"/>
      <w:bookmarkEnd w:id="5"/>
    </w:p>
    <w:p w14:paraId="3A4DEFCB">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2021年3月2日黑龙江省人民政府发布的《黑龙江省国民经济和社会发展第十四个五年规划和二〇三五年远景目标纲要》中提出，要积极推动</w:t>
      </w:r>
      <w:r>
        <w:rPr>
          <w:rFonts w:hint="eastAsia" w:ascii="Times New Roman" w:hAnsi="Times New Roman"/>
          <w:color w:val="auto"/>
          <w:w w:val="99"/>
          <w:highlight w:val="none"/>
        </w:rPr>
        <w:t>“</w:t>
      </w:r>
      <w:r>
        <w:rPr>
          <w:rFonts w:ascii="Times New Roman" w:hAnsi="Times New Roman"/>
          <w:color w:val="auto"/>
          <w:w w:val="99"/>
          <w:highlight w:val="none"/>
        </w:rPr>
        <w:t>百年油田</w:t>
      </w:r>
      <w:r>
        <w:rPr>
          <w:rFonts w:hint="eastAsia" w:ascii="Times New Roman" w:hAnsi="Times New Roman"/>
          <w:color w:val="auto"/>
          <w:w w:val="99"/>
          <w:highlight w:val="none"/>
        </w:rPr>
        <w:t>”</w:t>
      </w:r>
      <w:r>
        <w:rPr>
          <w:rFonts w:ascii="Times New Roman" w:hAnsi="Times New Roman"/>
          <w:color w:val="auto"/>
          <w:w w:val="99"/>
          <w:highlight w:val="none"/>
        </w:rPr>
        <w:t>建设，支持大庆油田常规油气资源稳油增气。《大庆油田振兴发展纲要</w:t>
      </w:r>
      <w:r>
        <w:rPr>
          <w:rFonts w:hint="eastAsia" w:ascii="Times New Roman" w:hAnsi="Times New Roman"/>
          <w:color w:val="auto"/>
          <w:w w:val="99"/>
          <w:highlight w:val="none"/>
        </w:rPr>
        <w:t>（</w:t>
      </w:r>
      <w:r>
        <w:rPr>
          <w:rFonts w:ascii="Times New Roman" w:hAnsi="Times New Roman"/>
          <w:color w:val="auto"/>
          <w:w w:val="99"/>
          <w:highlight w:val="none"/>
        </w:rPr>
        <w:t>2020）版》提出“十四五”期间要重点做好加强长垣地区提高采收率工作，针对油气开发，纲要中强调，本土天然气开发筑牢松辽稳产、川渝上产、塔东评价、储气调峰</w:t>
      </w:r>
      <w:r>
        <w:rPr>
          <w:rFonts w:hint="eastAsia" w:ascii="Times New Roman" w:hAnsi="Times New Roman"/>
          <w:color w:val="auto"/>
          <w:w w:val="99"/>
          <w:highlight w:val="none"/>
        </w:rPr>
        <w:t>“</w:t>
      </w:r>
      <w:r>
        <w:rPr>
          <w:rFonts w:ascii="Times New Roman" w:hAnsi="Times New Roman"/>
          <w:color w:val="auto"/>
          <w:w w:val="99"/>
          <w:highlight w:val="none"/>
        </w:rPr>
        <w:t>四大支撑</w:t>
      </w:r>
      <w:r>
        <w:rPr>
          <w:rFonts w:hint="eastAsia" w:ascii="Times New Roman" w:hAnsi="Times New Roman"/>
          <w:color w:val="auto"/>
          <w:w w:val="99"/>
          <w:highlight w:val="none"/>
        </w:rPr>
        <w:t>”</w:t>
      </w:r>
      <w:r>
        <w:rPr>
          <w:rFonts w:ascii="Times New Roman" w:hAnsi="Times New Roman"/>
          <w:color w:val="auto"/>
          <w:w w:val="99"/>
          <w:highlight w:val="none"/>
        </w:rPr>
        <w:t>，力争到2025年，天然气产量达到70亿立方米以上。</w:t>
      </w:r>
    </w:p>
    <w:p w14:paraId="770EEEE9">
      <w:pPr>
        <w:pStyle w:val="153"/>
        <w:widowControl w:val="0"/>
        <w:spacing w:line="440" w:lineRule="exact"/>
        <w:ind w:firstLine="473"/>
        <w:jc w:val="both"/>
        <w:rPr>
          <w:rFonts w:hint="eastAsia" w:ascii="Times New Roman" w:hAnsi="Times New Roman"/>
          <w:color w:val="auto"/>
          <w:w w:val="99"/>
          <w:highlight w:val="none"/>
        </w:rPr>
      </w:pPr>
      <w:r>
        <w:rPr>
          <w:rFonts w:ascii="Times New Roman" w:hAnsi="Times New Roman"/>
          <w:color w:val="auto"/>
          <w:w w:val="99"/>
          <w:highlight w:val="none"/>
        </w:rPr>
        <w:t>根据大庆油田天然气开发规划，为进一步加</w:t>
      </w:r>
      <w:r>
        <w:rPr>
          <w:rFonts w:hint="eastAsia" w:ascii="Times New Roman" w:hAnsi="Times New Roman"/>
          <w:color w:val="auto"/>
          <w:w w:val="99"/>
          <w:highlight w:val="none"/>
        </w:rPr>
        <w:t>大徐深</w:t>
      </w:r>
      <w:r>
        <w:rPr>
          <w:rFonts w:ascii="Times New Roman" w:hAnsi="Times New Roman"/>
          <w:color w:val="auto"/>
          <w:w w:val="99"/>
          <w:highlight w:val="none"/>
        </w:rPr>
        <w:t>气田开采力度，增加天然气产能，保证大庆油田年天然气产量，</w:t>
      </w:r>
      <w:r>
        <w:rPr>
          <w:rFonts w:hint="eastAsia" w:ascii="Times New Roman" w:hAnsi="Times New Roman"/>
          <w:color w:val="auto"/>
          <w:w w:val="99"/>
          <w:highlight w:val="none"/>
        </w:rPr>
        <w:t>大庆油田有限责任公司采气分公司</w:t>
      </w:r>
      <w:r>
        <w:rPr>
          <w:rFonts w:ascii="Times New Roman" w:hAnsi="Times New Roman"/>
          <w:color w:val="auto"/>
          <w:w w:val="99"/>
          <w:highlight w:val="none"/>
        </w:rPr>
        <w:t>积极开展气田开发，计划投资</w:t>
      </w:r>
      <w:r>
        <w:rPr>
          <w:rFonts w:hint="eastAsia" w:ascii="Times New Roman" w:hAnsi="Times New Roman"/>
          <w:color w:val="auto"/>
          <w:w w:val="99"/>
          <w:highlight w:val="none"/>
        </w:rPr>
        <w:t>567</w:t>
      </w:r>
      <w:r>
        <w:rPr>
          <w:rFonts w:ascii="Times New Roman" w:hAnsi="Times New Roman"/>
          <w:color w:val="auto"/>
          <w:w w:val="99"/>
          <w:highlight w:val="none"/>
        </w:rPr>
        <w:t>万元进行</w:t>
      </w:r>
      <w:r>
        <w:rPr>
          <w:rFonts w:hint="eastAsia" w:ascii="Times New Roman" w:hAnsi="Times New Roman"/>
          <w:color w:val="auto"/>
          <w:w w:val="99"/>
          <w:highlight w:val="none"/>
        </w:rPr>
        <w:t>“徐深27-H1井地面工程项目”（</w:t>
      </w:r>
      <w:r>
        <w:rPr>
          <w:rFonts w:ascii="Times New Roman" w:hAnsi="Times New Roman"/>
          <w:color w:val="auto"/>
          <w:w w:val="99"/>
          <w:highlight w:val="none"/>
        </w:rPr>
        <w:t>以下简称</w:t>
      </w:r>
      <w:r>
        <w:rPr>
          <w:rFonts w:hint="eastAsia" w:ascii="Times New Roman" w:hAnsi="Times New Roman"/>
          <w:color w:val="auto"/>
          <w:w w:val="99"/>
          <w:highlight w:val="none"/>
        </w:rPr>
        <w:t>“</w:t>
      </w:r>
      <w:r>
        <w:rPr>
          <w:rFonts w:ascii="Times New Roman" w:hAnsi="Times New Roman"/>
          <w:color w:val="auto"/>
          <w:w w:val="99"/>
          <w:highlight w:val="none"/>
        </w:rPr>
        <w:t>本工程</w:t>
      </w:r>
      <w:r>
        <w:rPr>
          <w:rFonts w:hint="eastAsia" w:ascii="Times New Roman" w:hAnsi="Times New Roman"/>
          <w:color w:val="auto"/>
          <w:w w:val="99"/>
          <w:highlight w:val="none"/>
        </w:rPr>
        <w:t>”）</w:t>
      </w:r>
      <w:r>
        <w:rPr>
          <w:rFonts w:ascii="Times New Roman" w:hAnsi="Times New Roman"/>
          <w:color w:val="auto"/>
          <w:w w:val="99"/>
          <w:highlight w:val="none"/>
        </w:rPr>
        <w:t>，本工程</w:t>
      </w:r>
      <w:r>
        <w:rPr>
          <w:rFonts w:hint="eastAsia" w:ascii="Times New Roman" w:hAnsi="Times New Roman"/>
          <w:color w:val="auto"/>
          <w:w w:val="99"/>
          <w:highlight w:val="none"/>
        </w:rPr>
        <w:t>基建1</w:t>
      </w:r>
      <w:r>
        <w:rPr>
          <w:rFonts w:ascii="Times New Roman" w:hAnsi="Times New Roman"/>
          <w:color w:val="auto"/>
          <w:w w:val="99"/>
          <w:highlight w:val="none"/>
        </w:rPr>
        <w:t>口</w:t>
      </w:r>
      <w:r>
        <w:rPr>
          <w:rFonts w:hint="eastAsia" w:ascii="Times New Roman" w:hAnsi="Times New Roman"/>
          <w:color w:val="auto"/>
          <w:w w:val="99"/>
          <w:highlight w:val="none"/>
        </w:rPr>
        <w:t>气井</w:t>
      </w:r>
      <w:r>
        <w:rPr>
          <w:rFonts w:ascii="Times New Roman" w:hAnsi="Times New Roman"/>
          <w:color w:val="auto"/>
          <w:w w:val="99"/>
          <w:highlight w:val="none"/>
        </w:rPr>
        <w:t>，总产气量为</w:t>
      </w:r>
      <w:r>
        <w:rPr>
          <w:rFonts w:hint="eastAsia" w:ascii="Times New Roman" w:hAnsi="Times New Roman"/>
          <w:color w:val="auto"/>
          <w:w w:val="99"/>
          <w:highlight w:val="none"/>
        </w:rPr>
        <w:t>9.0×</w:t>
      </w:r>
      <w:r>
        <w:rPr>
          <w:rFonts w:ascii="Times New Roman" w:hAnsi="Times New Roman"/>
          <w:color w:val="auto"/>
          <w:w w:val="99"/>
          <w:highlight w:val="none"/>
        </w:rPr>
        <w:t>10</w:t>
      </w:r>
      <w:r>
        <w:rPr>
          <w:rFonts w:hint="eastAsia" w:ascii="Times New Roman" w:hAnsi="Times New Roman"/>
          <w:color w:val="auto"/>
          <w:w w:val="99"/>
          <w:highlight w:val="none"/>
          <w:vertAlign w:val="superscript"/>
        </w:rPr>
        <w:t>4</w:t>
      </w:r>
      <w:r>
        <w:rPr>
          <w:rFonts w:ascii="Times New Roman" w:hAnsi="Times New Roman"/>
          <w:color w:val="auto"/>
          <w:w w:val="99"/>
          <w:highlight w:val="none"/>
        </w:rPr>
        <w:t>m</w:t>
      </w:r>
      <w:r>
        <w:rPr>
          <w:rFonts w:ascii="Times New Roman" w:hAnsi="Times New Roman"/>
          <w:color w:val="auto"/>
          <w:w w:val="99"/>
          <w:highlight w:val="none"/>
          <w:vertAlign w:val="superscript"/>
        </w:rPr>
        <w:t>3</w:t>
      </w:r>
      <w:r>
        <w:rPr>
          <w:rFonts w:ascii="Times New Roman" w:hAnsi="Times New Roman"/>
          <w:color w:val="auto"/>
          <w:w w:val="99"/>
          <w:highlight w:val="none"/>
        </w:rPr>
        <w:t>/</w:t>
      </w:r>
      <w:r>
        <w:rPr>
          <w:rFonts w:hint="eastAsia" w:ascii="Times New Roman" w:hAnsi="Times New Roman"/>
          <w:color w:val="auto"/>
          <w:w w:val="99"/>
          <w:highlight w:val="none"/>
        </w:rPr>
        <w:t>d</w:t>
      </w:r>
      <w:r>
        <w:rPr>
          <w:rFonts w:ascii="Times New Roman" w:hAnsi="Times New Roman"/>
          <w:color w:val="auto"/>
          <w:w w:val="99"/>
          <w:highlight w:val="none"/>
        </w:rPr>
        <w:t>。</w:t>
      </w:r>
      <w:r>
        <w:rPr>
          <w:rFonts w:hint="eastAsia" w:ascii="Times New Roman" w:hAnsi="Times New Roman"/>
          <w:color w:val="auto"/>
          <w:w w:val="99"/>
          <w:highlight w:val="none"/>
        </w:rPr>
        <w:t>井场设电磁加热节流装置１套，</w:t>
      </w:r>
      <w:r>
        <w:rPr>
          <w:rFonts w:ascii="Times New Roman" w:hAnsi="Times New Roman"/>
          <w:color w:val="auto"/>
          <w:w w:val="99"/>
          <w:highlight w:val="none"/>
        </w:rPr>
        <w:t>新建采气管道</w:t>
      </w:r>
      <w:r>
        <w:rPr>
          <w:rFonts w:hint="eastAsia" w:ascii="Times New Roman" w:hAnsi="Times New Roman"/>
          <w:color w:val="auto"/>
          <w:w w:val="99"/>
          <w:highlight w:val="none"/>
        </w:rPr>
        <w:t>1.92</w:t>
      </w:r>
      <w:r>
        <w:rPr>
          <w:rFonts w:ascii="Times New Roman" w:hAnsi="Times New Roman"/>
          <w:color w:val="auto"/>
          <w:w w:val="99"/>
          <w:highlight w:val="none"/>
        </w:rPr>
        <w:t>km</w:t>
      </w:r>
      <w:r>
        <w:rPr>
          <w:rFonts w:hint="eastAsia" w:ascii="Times New Roman" w:hAnsi="Times New Roman"/>
          <w:color w:val="auto"/>
          <w:w w:val="99"/>
          <w:highlight w:val="none"/>
        </w:rPr>
        <w:t>，</w:t>
      </w:r>
      <w:r>
        <w:rPr>
          <w:rFonts w:ascii="Times New Roman" w:hAnsi="Times New Roman"/>
          <w:color w:val="auto"/>
          <w:w w:val="99"/>
          <w:highlight w:val="none"/>
        </w:rPr>
        <w:t>徐深</w:t>
      </w:r>
      <w:r>
        <w:rPr>
          <w:rFonts w:hint="eastAsia" w:ascii="Times New Roman" w:hAnsi="Times New Roman"/>
          <w:color w:val="auto"/>
          <w:w w:val="99"/>
          <w:highlight w:val="none"/>
        </w:rPr>
        <w:t>27</w:t>
      </w:r>
      <w:r>
        <w:rPr>
          <w:rFonts w:ascii="Times New Roman" w:hAnsi="Times New Roman"/>
          <w:color w:val="auto"/>
          <w:w w:val="99"/>
          <w:highlight w:val="none"/>
        </w:rPr>
        <w:t>集气站内</w:t>
      </w:r>
      <w:r>
        <w:rPr>
          <w:rFonts w:hint="eastAsia" w:ascii="Times New Roman" w:hAnsi="Times New Roman"/>
          <w:color w:val="auto"/>
          <w:w w:val="99"/>
          <w:highlight w:val="none"/>
        </w:rPr>
        <w:t>新建生产阀组、进站阀组各１套</w:t>
      </w:r>
      <w:r>
        <w:rPr>
          <w:rFonts w:ascii="Times New Roman" w:hAnsi="Times New Roman"/>
          <w:color w:val="auto"/>
          <w:w w:val="99"/>
          <w:highlight w:val="none"/>
        </w:rPr>
        <w:t>，</w:t>
      </w:r>
      <w:r>
        <w:rPr>
          <w:rFonts w:hint="eastAsia" w:ascii="Times New Roman" w:hAnsi="Times New Roman"/>
          <w:color w:val="auto"/>
          <w:w w:val="99"/>
          <w:highlight w:val="none"/>
        </w:rPr>
        <w:t>同时配套建设给供配电、自动控制、通信、道路等工程。本项目</w:t>
      </w:r>
      <w:r>
        <w:rPr>
          <w:rFonts w:hint="eastAsia" w:ascii="Times New Roman" w:hAnsi="Times New Roman"/>
          <w:color w:val="auto"/>
          <w:w w:val="99"/>
          <w:highlight w:val="none"/>
          <w:lang w:val="en-US" w:eastAsia="zh-CN"/>
        </w:rPr>
        <w:t>仅</w:t>
      </w:r>
      <w:r>
        <w:rPr>
          <w:rFonts w:hint="eastAsia" w:ascii="Times New Roman" w:hAnsi="Times New Roman"/>
          <w:color w:val="auto"/>
          <w:w w:val="99"/>
          <w:highlight w:val="none"/>
        </w:rPr>
        <w:t>为地面工程，不涉及钻井工程。</w:t>
      </w:r>
      <w:r>
        <w:rPr>
          <w:rFonts w:hint="eastAsia" w:ascii="Times New Roman" w:hAnsi="Times New Roman"/>
          <w:color w:val="auto"/>
          <w:w w:val="99"/>
          <w:highlight w:val="none"/>
          <w:lang w:val="en-US" w:eastAsia="zh-CN"/>
        </w:rPr>
        <w:t>项目涉及的</w:t>
      </w:r>
      <w:r>
        <w:rPr>
          <w:rFonts w:hint="eastAsia" w:ascii="Times New Roman" w:hAnsi="Times New Roman"/>
          <w:color w:val="auto"/>
          <w:w w:val="99"/>
          <w:highlight w:val="none"/>
        </w:rPr>
        <w:t>钻井工程在《</w:t>
      </w:r>
      <w:r>
        <w:rPr>
          <w:rFonts w:hint="eastAsia" w:ascii="Times New Roman" w:hAnsi="Times New Roman" w:eastAsia="宋体" w:cs="Times New Roman"/>
          <w:color w:val="auto"/>
          <w:w w:val="99"/>
          <w:sz w:val="24"/>
          <w:szCs w:val="24"/>
          <w:highlight w:val="none"/>
          <w:lang w:val="en-US" w:eastAsia="zh-CN" w:bidi="ar-SA"/>
        </w:rPr>
        <w:t>徐深27-H1井钻井工程项目</w:t>
      </w:r>
      <w:r>
        <w:rPr>
          <w:rFonts w:hint="eastAsia" w:ascii="Times New Roman" w:hAnsi="Times New Roman"/>
          <w:color w:val="auto"/>
          <w:w w:val="99"/>
          <w:highlight w:val="none"/>
        </w:rPr>
        <w:t>环境影响报告书》（绥环审〔2025〕67号）进行了评价</w:t>
      </w:r>
      <w:r>
        <w:rPr>
          <w:rFonts w:hint="eastAsia" w:ascii="Times New Roman" w:hAnsi="Times New Roman"/>
          <w:color w:val="auto"/>
          <w:w w:val="99"/>
          <w:highlight w:val="none"/>
          <w:lang w:eastAsia="zh-CN"/>
        </w:rPr>
        <w:t>，</w:t>
      </w:r>
      <w:r>
        <w:rPr>
          <w:rFonts w:hint="eastAsia" w:ascii="Times New Roman" w:hAnsi="Times New Roman"/>
          <w:color w:val="auto"/>
          <w:w w:val="99"/>
          <w:highlight w:val="none"/>
          <w:lang w:val="en-US" w:eastAsia="zh-CN"/>
        </w:rPr>
        <w:t>钻井工程正在建设中</w:t>
      </w:r>
      <w:r>
        <w:rPr>
          <w:rFonts w:hint="eastAsia" w:ascii="Times New Roman" w:hAnsi="Times New Roman"/>
          <w:color w:val="auto"/>
          <w:w w:val="99"/>
          <w:highlight w:val="none"/>
        </w:rPr>
        <w:t>。</w:t>
      </w:r>
    </w:p>
    <w:p w14:paraId="0569FEF0">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本项目为老区增产项目，项目占地范围内不涉及国家公园、自然保护区、风景名胜区、世界文化和自然遗产地、海洋特别保护区、基本草原、自然公园、重要湿地、天然林、重点保护野生动物栖息地、重点保护野生植物生长繁殖地、重要水生生物的自然产卵场、索饵场、越冬场和洄游通道、天然渔场、沙化土地封禁保护区、封闭及半封闭海域、以及以医疗卫生、文化教育、科研、行政办公为主要功能的区域、文物保护单位等环境敏感区，且项目不在生态保护红线内。</w:t>
      </w:r>
    </w:p>
    <w:p w14:paraId="4E65F948">
      <w:pPr>
        <w:pStyle w:val="153"/>
        <w:widowControl w:val="0"/>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建设区块附近涉及的村屯主要有邢家围子</w:t>
      </w:r>
      <w:r>
        <w:rPr>
          <w:rFonts w:ascii="Times New Roman" w:hAnsi="Times New Roman"/>
          <w:color w:val="auto"/>
          <w:w w:val="99"/>
          <w:highlight w:val="none"/>
        </w:rPr>
        <w:t>屯、</w:t>
      </w:r>
      <w:r>
        <w:rPr>
          <w:rFonts w:hint="eastAsia" w:ascii="Times New Roman" w:hAnsi="Times New Roman"/>
          <w:color w:val="auto"/>
          <w:w w:val="99"/>
          <w:highlight w:val="none"/>
        </w:rPr>
        <w:t>福龙村</w:t>
      </w:r>
      <w:r>
        <w:rPr>
          <w:rFonts w:ascii="Times New Roman" w:hAnsi="Times New Roman"/>
          <w:color w:val="auto"/>
          <w:w w:val="99"/>
          <w:highlight w:val="none"/>
        </w:rPr>
        <w:t>、</w:t>
      </w:r>
      <w:r>
        <w:rPr>
          <w:rFonts w:hint="eastAsia" w:ascii="Times New Roman" w:hAnsi="Times New Roman"/>
          <w:color w:val="auto"/>
          <w:w w:val="99"/>
          <w:highlight w:val="none"/>
        </w:rPr>
        <w:t>王家围子</w:t>
      </w:r>
      <w:r>
        <w:rPr>
          <w:rFonts w:ascii="Times New Roman" w:hAnsi="Times New Roman"/>
          <w:color w:val="auto"/>
          <w:w w:val="99"/>
          <w:highlight w:val="none"/>
        </w:rPr>
        <w:t>屯</w:t>
      </w:r>
      <w:r>
        <w:rPr>
          <w:rFonts w:hint="eastAsia" w:ascii="Times New Roman" w:hAnsi="Times New Roman"/>
          <w:color w:val="auto"/>
          <w:w w:val="99"/>
          <w:highlight w:val="none"/>
        </w:rPr>
        <w:t>等村屯。项目周边最近的敏感目标为项目东侧</w:t>
      </w:r>
      <w:r>
        <w:rPr>
          <w:rFonts w:hint="eastAsia" w:ascii="Times New Roman" w:hAnsi="Times New Roman" w:eastAsiaTheme="minorEastAsia"/>
          <w:color w:val="auto"/>
          <w:w w:val="99"/>
          <w:highlight w:val="none"/>
        </w:rPr>
        <w:t>300m处的邢家围子屯</w:t>
      </w:r>
      <w:r>
        <w:rPr>
          <w:rFonts w:hint="eastAsia" w:ascii="Times New Roman" w:hAnsi="Times New Roman"/>
          <w:color w:val="auto"/>
          <w:w w:val="99"/>
          <w:highlight w:val="none"/>
        </w:rPr>
        <w:t>。</w:t>
      </w:r>
    </w:p>
    <w:p w14:paraId="39190C8F">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根据</w:t>
      </w:r>
      <w:r>
        <w:rPr>
          <w:rFonts w:hint="eastAsia" w:ascii="Times New Roman" w:hAnsi="Times New Roman"/>
          <w:color w:val="auto"/>
          <w:w w:val="99"/>
          <w:highlight w:val="none"/>
        </w:rPr>
        <w:t>永久基本农田查询平台</w:t>
      </w:r>
      <w:r>
        <w:rPr>
          <w:rFonts w:ascii="Times New Roman" w:hAnsi="Times New Roman"/>
          <w:color w:val="auto"/>
          <w:w w:val="99"/>
          <w:highlight w:val="none"/>
        </w:rPr>
        <w:t>，本项目</w:t>
      </w:r>
      <w:r>
        <w:rPr>
          <w:rFonts w:hint="eastAsia" w:ascii="Times New Roman" w:hAnsi="Times New Roman"/>
          <w:color w:val="auto"/>
          <w:w w:val="99"/>
          <w:highlight w:val="none"/>
        </w:rPr>
        <w:t>新建气井及</w:t>
      </w:r>
      <w:r>
        <w:rPr>
          <w:rFonts w:ascii="Times New Roman" w:hAnsi="Times New Roman"/>
          <w:color w:val="auto"/>
          <w:w w:val="99"/>
          <w:highlight w:val="none"/>
        </w:rPr>
        <w:t>附属管线</w:t>
      </w:r>
      <w:r>
        <w:rPr>
          <w:rFonts w:hint="eastAsia" w:ascii="Times New Roman" w:hAnsi="Times New Roman"/>
          <w:color w:val="auto"/>
          <w:w w:val="99"/>
          <w:highlight w:val="none"/>
        </w:rPr>
        <w:t>、</w:t>
      </w:r>
      <w:r>
        <w:rPr>
          <w:rFonts w:ascii="Times New Roman" w:hAnsi="Times New Roman"/>
          <w:color w:val="auto"/>
          <w:w w:val="99"/>
          <w:highlight w:val="none"/>
        </w:rPr>
        <w:t>道路</w:t>
      </w:r>
      <w:r>
        <w:rPr>
          <w:rFonts w:hint="eastAsia" w:ascii="Times New Roman" w:hAnsi="Times New Roman"/>
          <w:color w:val="auto"/>
          <w:w w:val="99"/>
          <w:highlight w:val="none"/>
        </w:rPr>
        <w:t>等工程涉及</w:t>
      </w:r>
      <w:r>
        <w:rPr>
          <w:rFonts w:ascii="Times New Roman" w:hAnsi="Times New Roman"/>
          <w:color w:val="auto"/>
          <w:w w:val="99"/>
          <w:highlight w:val="none"/>
        </w:rPr>
        <w:t>占用永久基本农田</w:t>
      </w:r>
      <w:r>
        <w:rPr>
          <w:rFonts w:hint="eastAsia" w:ascii="Times New Roman" w:hAnsi="Times New Roman"/>
          <w:color w:val="auto"/>
          <w:w w:val="99"/>
          <w:highlight w:val="none"/>
        </w:rPr>
        <w:t>，属于敏感区。</w:t>
      </w:r>
      <w:r>
        <w:rPr>
          <w:rFonts w:ascii="Times New Roman" w:hAnsi="Times New Roman"/>
          <w:color w:val="auto"/>
          <w:w w:val="99"/>
          <w:highlight w:val="none"/>
        </w:rPr>
        <w:t>根据《国民经济行业分类》（GB/T4754-2017），本项目国民经济分类为B07</w:t>
      </w:r>
      <w:r>
        <w:rPr>
          <w:rFonts w:hint="eastAsia" w:ascii="Times New Roman" w:hAnsi="Times New Roman"/>
          <w:color w:val="auto"/>
          <w:w w:val="99"/>
          <w:highlight w:val="none"/>
        </w:rPr>
        <w:t>21</w:t>
      </w:r>
      <w:r>
        <w:rPr>
          <w:rFonts w:ascii="Times New Roman" w:hAnsi="Times New Roman"/>
          <w:color w:val="auto"/>
          <w:w w:val="99"/>
          <w:highlight w:val="none"/>
        </w:rPr>
        <w:t>陆地</w:t>
      </w:r>
      <w:r>
        <w:rPr>
          <w:rFonts w:hint="eastAsia" w:ascii="Times New Roman" w:hAnsi="Times New Roman"/>
          <w:color w:val="auto"/>
          <w:w w:val="99"/>
          <w:highlight w:val="none"/>
        </w:rPr>
        <w:t>天然气</w:t>
      </w:r>
      <w:r>
        <w:rPr>
          <w:rFonts w:ascii="Times New Roman" w:hAnsi="Times New Roman"/>
          <w:color w:val="auto"/>
          <w:w w:val="99"/>
          <w:highlight w:val="none"/>
        </w:rPr>
        <w:t>开采</w:t>
      </w:r>
      <w:r>
        <w:rPr>
          <w:rFonts w:hint="eastAsia" w:ascii="Times New Roman" w:hAnsi="Times New Roman"/>
          <w:color w:val="auto"/>
          <w:w w:val="99"/>
          <w:highlight w:val="none"/>
        </w:rPr>
        <w:t>。</w:t>
      </w:r>
      <w:r>
        <w:rPr>
          <w:rFonts w:ascii="Times New Roman" w:hAnsi="Times New Roman"/>
          <w:color w:val="auto"/>
          <w:w w:val="99"/>
          <w:highlight w:val="none"/>
        </w:rPr>
        <w:t>根据《建设项目环境影响评价分类管理名录（2021年版）》（</w:t>
      </w:r>
      <w:r>
        <w:rPr>
          <w:rFonts w:hint="eastAsia" w:ascii="Times New Roman" w:hAnsi="Times New Roman"/>
          <w:color w:val="auto"/>
          <w:w w:val="99"/>
          <w:highlight w:val="none"/>
        </w:rPr>
        <w:t>生态环境部令第</w:t>
      </w:r>
      <w:r>
        <w:rPr>
          <w:rFonts w:ascii="Times New Roman" w:hAnsi="Times New Roman"/>
          <w:color w:val="auto"/>
          <w:w w:val="99"/>
          <w:highlight w:val="none"/>
        </w:rPr>
        <w:t>16号），判定本项目为“五、石油和天然气开采业-0</w:t>
      </w:r>
      <w:r>
        <w:rPr>
          <w:rFonts w:hint="eastAsia" w:ascii="Times New Roman" w:hAnsi="Times New Roman"/>
          <w:color w:val="auto"/>
          <w:w w:val="99"/>
          <w:highlight w:val="none"/>
        </w:rPr>
        <w:t>8</w:t>
      </w:r>
      <w:r>
        <w:rPr>
          <w:rFonts w:ascii="Times New Roman" w:hAnsi="Times New Roman"/>
          <w:color w:val="auto"/>
          <w:w w:val="99"/>
          <w:highlight w:val="none"/>
        </w:rPr>
        <w:t>、陆地</w:t>
      </w:r>
      <w:r>
        <w:rPr>
          <w:rFonts w:hint="eastAsia" w:ascii="Times New Roman" w:hAnsi="Times New Roman"/>
          <w:color w:val="auto"/>
          <w:w w:val="99"/>
          <w:highlight w:val="none"/>
        </w:rPr>
        <w:t>天然气</w:t>
      </w:r>
      <w:r>
        <w:rPr>
          <w:rFonts w:ascii="Times New Roman" w:hAnsi="Times New Roman"/>
          <w:color w:val="auto"/>
          <w:w w:val="99"/>
          <w:highlight w:val="none"/>
        </w:rPr>
        <w:t>开采 07</w:t>
      </w:r>
      <w:r>
        <w:rPr>
          <w:rFonts w:hint="eastAsia" w:ascii="Times New Roman" w:hAnsi="Times New Roman"/>
          <w:color w:val="auto"/>
          <w:w w:val="99"/>
          <w:highlight w:val="none"/>
        </w:rPr>
        <w:t>2</w:t>
      </w:r>
      <w:r>
        <w:rPr>
          <w:rFonts w:ascii="Times New Roman" w:hAnsi="Times New Roman"/>
          <w:color w:val="auto"/>
          <w:w w:val="99"/>
          <w:highlight w:val="none"/>
        </w:rPr>
        <w:t>1”中“涉及环境敏感区的（含内部集输管线建设）”，应编制环境影响报告书。</w:t>
      </w:r>
    </w:p>
    <w:p w14:paraId="110395C8">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根据2017年7月16日《国务院关于修改〈建设项目环境保护管理条例〉的决定》（中华人民共和国国务院令第682号）、《中华人民共和国环境影响评价法》</w:t>
      </w:r>
      <w:r>
        <w:rPr>
          <w:rFonts w:hint="eastAsia" w:ascii="Times New Roman" w:hAnsi="Times New Roman"/>
          <w:color w:val="auto"/>
          <w:w w:val="99"/>
          <w:highlight w:val="none"/>
        </w:rPr>
        <w:t>（主席令[2018]第24号[2018年修正本]）</w:t>
      </w:r>
      <w:r>
        <w:rPr>
          <w:rFonts w:ascii="Times New Roman" w:hAnsi="Times New Roman"/>
          <w:color w:val="auto"/>
          <w:w w:val="99"/>
          <w:highlight w:val="none"/>
        </w:rPr>
        <w:t>、《建设项目环境影响评价分类管理名录（2021年版）》（生态环境部令第16号）及《关于进一步加强石油天然气行业环境影响评价管理的通知》（环办环评函[2019]910号）等法律法规，为保证建设项目与环境保护协调发展，从环境保护角度评价建设项目的可行性，</w:t>
      </w:r>
      <w:r>
        <w:rPr>
          <w:rFonts w:hint="eastAsia" w:ascii="Times New Roman" w:hAnsi="Times New Roman"/>
          <w:color w:val="auto"/>
          <w:w w:val="99"/>
          <w:highlight w:val="none"/>
        </w:rPr>
        <w:t>大庆油田有限责任公司采气分公司</w:t>
      </w:r>
      <w:r>
        <w:rPr>
          <w:rFonts w:ascii="Times New Roman" w:hAnsi="Times New Roman"/>
          <w:color w:val="auto"/>
          <w:w w:val="99"/>
          <w:highlight w:val="none"/>
        </w:rPr>
        <w:t>委托</w:t>
      </w:r>
      <w:r>
        <w:rPr>
          <w:rFonts w:hint="eastAsia" w:ascii="Times New Roman" w:hAnsi="Times New Roman"/>
          <w:color w:val="auto"/>
          <w:w w:val="99"/>
          <w:highlight w:val="none"/>
        </w:rPr>
        <w:t>湖南葆华环保科技有限公司</w:t>
      </w:r>
      <w:r>
        <w:rPr>
          <w:rFonts w:ascii="Times New Roman" w:hAnsi="Times New Roman"/>
          <w:color w:val="auto"/>
          <w:w w:val="99"/>
          <w:highlight w:val="none"/>
        </w:rPr>
        <w:t>编制环境影响报告书。接受委托后，项目负责人对项目的建设方案进行了详细分析，并对拟建井区域进行多次实地考察，并结合项目方案，分析了项目的类型、性质、建设规模及所在区域的环境状况，在详细研究了相关资料并进行类比调查分析的情况下，按照国家环境影响评价技术导则的要求，编制了《</w:t>
      </w:r>
      <w:r>
        <w:rPr>
          <w:rFonts w:hint="eastAsia" w:ascii="Times New Roman" w:hAnsi="Times New Roman"/>
          <w:color w:val="auto"/>
          <w:w w:val="99"/>
          <w:highlight w:val="none"/>
        </w:rPr>
        <w:t>徐深27-H1井地面工程项目</w:t>
      </w:r>
      <w:r>
        <w:rPr>
          <w:rFonts w:ascii="Times New Roman" w:hAnsi="Times New Roman"/>
          <w:color w:val="auto"/>
          <w:w w:val="99"/>
          <w:highlight w:val="none"/>
        </w:rPr>
        <w:t>环境影响报告书》。</w:t>
      </w:r>
    </w:p>
    <w:p w14:paraId="5195C63D">
      <w:pPr>
        <w:pStyle w:val="5"/>
        <w:keepNext w:val="0"/>
        <w:keepLines w:val="0"/>
        <w:widowControl w:val="0"/>
        <w:spacing w:before="120" w:after="120" w:line="440" w:lineRule="exact"/>
        <w:jc w:val="both"/>
        <w:rPr>
          <w:rFonts w:ascii="Times New Roman" w:hAnsi="Times New Roman" w:eastAsia="宋体"/>
          <w:b/>
          <w:snapToGrid w:val="0"/>
          <w:color w:val="auto"/>
          <w:w w:val="99"/>
          <w:highlight w:val="none"/>
        </w:rPr>
      </w:pPr>
      <w:bookmarkStart w:id="7" w:name="_Toc26471"/>
      <w:r>
        <w:rPr>
          <w:rFonts w:ascii="Times New Roman" w:hAnsi="Times New Roman" w:eastAsia="宋体"/>
          <w:b/>
          <w:snapToGrid w:val="0"/>
          <w:color w:val="auto"/>
          <w:w w:val="99"/>
          <w:highlight w:val="none"/>
        </w:rPr>
        <w:t>1.2项目特点</w:t>
      </w:r>
      <w:bookmarkEnd w:id="6"/>
      <w:bookmarkEnd w:id="7"/>
    </w:p>
    <w:p w14:paraId="79E2EEEB">
      <w:pPr>
        <w:pStyle w:val="7"/>
        <w:widowControl w:val="0"/>
        <w:spacing w:before="60" w:after="60" w:line="440" w:lineRule="exact"/>
        <w:jc w:val="both"/>
        <w:rPr>
          <w:rFonts w:eastAsiaTheme="minorEastAsia"/>
          <w:b/>
          <w:color w:val="auto"/>
          <w:w w:val="99"/>
          <w:kern w:val="2"/>
          <w:sz w:val="24"/>
          <w:szCs w:val="24"/>
          <w:highlight w:val="none"/>
        </w:rPr>
      </w:pPr>
      <w:bookmarkStart w:id="8" w:name="_Toc186444221"/>
      <w:bookmarkStart w:id="9" w:name="_Toc143099523"/>
      <w:bookmarkStart w:id="10" w:name="_Toc126863339"/>
      <w:bookmarkStart w:id="11" w:name="_Toc86141883"/>
      <w:bookmarkStart w:id="12" w:name="_Toc85640700"/>
      <w:bookmarkStart w:id="13" w:name="_Toc84929175"/>
      <w:bookmarkStart w:id="14" w:name="_Toc131167238"/>
      <w:bookmarkStart w:id="15" w:name="_Toc127192288"/>
      <w:bookmarkStart w:id="16" w:name="_Toc80588203"/>
      <w:bookmarkStart w:id="17" w:name="_Toc71371891"/>
      <w:bookmarkStart w:id="18" w:name="_Toc71371892"/>
      <w:bookmarkStart w:id="19" w:name="_Toc76976192"/>
      <w:bookmarkStart w:id="20" w:name="_Toc78816408"/>
      <w:bookmarkStart w:id="21" w:name="_Toc74812262"/>
      <w:bookmarkStart w:id="22" w:name="_Toc80588204"/>
      <w:bookmarkStart w:id="23" w:name="_Toc74812263"/>
      <w:bookmarkStart w:id="24" w:name="_Toc77067608"/>
      <w:bookmarkStart w:id="25" w:name="_Toc76976191"/>
      <w:bookmarkStart w:id="26" w:name="_Toc77067607"/>
      <w:bookmarkStart w:id="27" w:name="_Toc80971325"/>
      <w:bookmarkStart w:id="28" w:name="_Toc83209420"/>
      <w:bookmarkStart w:id="29" w:name="_Toc80971326"/>
      <w:bookmarkStart w:id="30" w:name="_Toc78816409"/>
      <w:bookmarkStart w:id="31" w:name="_Toc83209421"/>
      <w:bookmarkStart w:id="32" w:name="_Toc22290"/>
      <w:r>
        <w:rPr>
          <w:rFonts w:eastAsiaTheme="minorEastAsia"/>
          <w:b/>
          <w:color w:val="auto"/>
          <w:w w:val="99"/>
          <w:kern w:val="2"/>
          <w:sz w:val="24"/>
          <w:szCs w:val="24"/>
          <w:highlight w:val="none"/>
        </w:rPr>
        <w:t>1.2.1项目</w:t>
      </w:r>
      <w:bookmarkEnd w:id="8"/>
      <w:bookmarkEnd w:id="9"/>
      <w:r>
        <w:rPr>
          <w:rFonts w:hint="eastAsia" w:eastAsiaTheme="minorEastAsia"/>
          <w:b/>
          <w:color w:val="auto"/>
          <w:w w:val="99"/>
          <w:kern w:val="2"/>
          <w:sz w:val="24"/>
          <w:szCs w:val="24"/>
          <w:highlight w:val="none"/>
        </w:rPr>
        <w:t>特点</w:t>
      </w:r>
    </w:p>
    <w:p w14:paraId="11F4A8A2">
      <w:pPr>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本项目位于肇东市跃进乡，主要位于徐深其他徐深27井</w:t>
      </w:r>
      <w:r>
        <w:rPr>
          <w:rFonts w:ascii="Times New Roman" w:hAnsi="Times New Roman" w:cs="Times New Roman"/>
          <w:color w:val="auto"/>
          <w:w w:val="99"/>
          <w:highlight w:val="none"/>
        </w:rPr>
        <w:t>块</w:t>
      </w:r>
      <w:r>
        <w:rPr>
          <w:rFonts w:hint="eastAsia" w:ascii="Times New Roman" w:hAnsi="Times New Roman" w:cs="Times New Roman"/>
          <w:color w:val="auto"/>
          <w:w w:val="99"/>
          <w:highlight w:val="none"/>
        </w:rPr>
        <w:t>。区块内建有较为完善的油、气、水、电、路、信等工程，项目建设均可就近搭接，大大减少项目工程量，从环保角度可控；</w:t>
      </w:r>
      <w:r>
        <w:rPr>
          <w:rFonts w:ascii="Times New Roman" w:hAnsi="Times New Roman" w:eastAsiaTheme="minorEastAsia"/>
          <w:bCs/>
          <w:color w:val="auto"/>
          <w:w w:val="99"/>
          <w:highlight w:val="none"/>
        </w:rPr>
        <w:t>徐深27区块目前共辖井3口，集气站1座，</w:t>
      </w:r>
      <w:r>
        <w:rPr>
          <w:rFonts w:hint="eastAsia" w:ascii="Times New Roman" w:hAnsi="Times New Roman" w:eastAsiaTheme="minorEastAsia"/>
          <w:bCs/>
          <w:color w:val="auto"/>
          <w:w w:val="99"/>
          <w:highlight w:val="none"/>
        </w:rPr>
        <w:t>输气管线</w:t>
      </w:r>
      <w:r>
        <w:rPr>
          <w:rFonts w:ascii="Times New Roman" w:hAnsi="Times New Roman" w:eastAsiaTheme="minorEastAsia"/>
          <w:bCs/>
          <w:color w:val="auto"/>
          <w:w w:val="99"/>
          <w:highlight w:val="none"/>
        </w:rPr>
        <w:t>5.26km</w:t>
      </w:r>
      <w:r>
        <w:rPr>
          <w:rFonts w:hint="eastAsia" w:ascii="Times New Roman" w:hAnsi="Times New Roman" w:eastAsiaTheme="minorEastAsia"/>
          <w:bCs/>
          <w:color w:val="auto"/>
          <w:w w:val="99"/>
          <w:highlight w:val="none"/>
        </w:rPr>
        <w:t>，</w:t>
      </w:r>
      <w:r>
        <w:rPr>
          <w:rFonts w:ascii="Times New Roman" w:hAnsi="Times New Roman" w:eastAsiaTheme="minorEastAsia"/>
          <w:bCs/>
          <w:color w:val="auto"/>
          <w:w w:val="99"/>
          <w:highlight w:val="none"/>
        </w:rPr>
        <w:t>总产气规模9×10</w:t>
      </w:r>
      <w:r>
        <w:rPr>
          <w:rFonts w:ascii="Times New Roman" w:hAnsi="Times New Roman" w:eastAsiaTheme="minorEastAsia"/>
          <w:bCs/>
          <w:color w:val="auto"/>
          <w:w w:val="99"/>
          <w:highlight w:val="none"/>
          <w:vertAlign w:val="superscript"/>
        </w:rPr>
        <w:t>4</w:t>
      </w:r>
      <w:r>
        <w:rPr>
          <w:rFonts w:ascii="Times New Roman" w:hAnsi="Times New Roman" w:eastAsiaTheme="minorEastAsia"/>
          <w:bCs/>
          <w:color w:val="auto"/>
          <w:w w:val="99"/>
          <w:highlight w:val="none"/>
        </w:rPr>
        <w:t>m</w:t>
      </w:r>
      <w:r>
        <w:rPr>
          <w:rFonts w:ascii="Times New Roman" w:hAnsi="Times New Roman" w:eastAsiaTheme="minorEastAsia"/>
          <w:bCs/>
          <w:color w:val="auto"/>
          <w:w w:val="99"/>
          <w:highlight w:val="none"/>
          <w:vertAlign w:val="superscript"/>
        </w:rPr>
        <w:t>3</w:t>
      </w:r>
      <w:r>
        <w:rPr>
          <w:rFonts w:ascii="Times New Roman" w:hAnsi="Times New Roman" w:eastAsiaTheme="minorEastAsia"/>
          <w:bCs/>
          <w:color w:val="auto"/>
          <w:w w:val="99"/>
          <w:highlight w:val="none"/>
        </w:rPr>
        <w:t>/d，徐深27区块有完善的集气管网，</w:t>
      </w:r>
      <w:r>
        <w:rPr>
          <w:rFonts w:ascii="Times New Roman" w:hAnsi="Times New Roman" w:cs="Times New Roman"/>
          <w:color w:val="auto"/>
          <w:w w:val="99"/>
          <w:highlight w:val="none"/>
        </w:rPr>
        <w:t>区块内已建有气、水、电、道路等工程。</w:t>
      </w:r>
    </w:p>
    <w:p w14:paraId="71F5FAAF">
      <w:pPr>
        <w:pStyle w:val="153"/>
        <w:widowControl w:val="0"/>
        <w:spacing w:line="440" w:lineRule="exact"/>
        <w:ind w:firstLine="473"/>
        <w:jc w:val="both"/>
        <w:rPr>
          <w:rFonts w:ascii="Times New Roman" w:hAnsi="Times New Roman"/>
          <w:color w:val="auto"/>
          <w:w w:val="99"/>
          <w:highlight w:val="none"/>
        </w:rPr>
      </w:pPr>
      <w:r>
        <w:rPr>
          <w:rFonts w:hint="eastAsia" w:ascii="Times New Roman" w:hAnsi="Times New Roman"/>
          <w:bCs/>
          <w:color w:val="auto"/>
          <w:w w:val="99"/>
          <w:highlight w:val="none"/>
        </w:rPr>
        <w:t>区块内3口采气井，其中</w:t>
      </w:r>
      <w:r>
        <w:rPr>
          <w:rFonts w:hint="eastAsia" w:ascii="Times New Roman" w:hAnsi="Times New Roman" w:eastAsiaTheme="minorEastAsia"/>
          <w:bCs/>
          <w:color w:val="auto"/>
          <w:w w:val="99"/>
          <w:highlight w:val="none"/>
        </w:rPr>
        <w:t>徐深</w:t>
      </w:r>
      <w:r>
        <w:rPr>
          <w:rFonts w:ascii="Times New Roman" w:hAnsi="Times New Roman" w:eastAsiaTheme="minorEastAsia"/>
          <w:bCs/>
          <w:color w:val="auto"/>
          <w:w w:val="99"/>
          <w:highlight w:val="none"/>
        </w:rPr>
        <w:t>27</w:t>
      </w:r>
      <w:r>
        <w:rPr>
          <w:rFonts w:hint="eastAsia" w:ascii="Times New Roman" w:hAnsi="Times New Roman" w:eastAsiaTheme="minorEastAsia"/>
          <w:bCs/>
          <w:color w:val="auto"/>
          <w:w w:val="99"/>
          <w:highlight w:val="none"/>
        </w:rPr>
        <w:t>井、徐深2</w:t>
      </w:r>
      <w:r>
        <w:rPr>
          <w:rFonts w:ascii="Times New Roman" w:hAnsi="Times New Roman" w:eastAsiaTheme="minorEastAsia"/>
          <w:bCs/>
          <w:color w:val="auto"/>
          <w:w w:val="99"/>
          <w:highlight w:val="none"/>
        </w:rPr>
        <w:t>13</w:t>
      </w:r>
      <w:r>
        <w:rPr>
          <w:rFonts w:hint="eastAsia" w:ascii="Times New Roman" w:hAnsi="Times New Roman" w:eastAsiaTheme="minorEastAsia"/>
          <w:bCs/>
          <w:color w:val="auto"/>
          <w:w w:val="99"/>
          <w:highlight w:val="none"/>
        </w:rPr>
        <w:t>井钻井工程于</w:t>
      </w:r>
      <w:r>
        <w:rPr>
          <w:rFonts w:ascii="Times New Roman" w:hAnsi="Times New Roman" w:eastAsiaTheme="minorEastAsia"/>
          <w:bCs/>
          <w:color w:val="auto"/>
          <w:w w:val="99"/>
          <w:highlight w:val="none"/>
        </w:rPr>
        <w:t>1982</w:t>
      </w:r>
      <w:r>
        <w:rPr>
          <w:rFonts w:hint="eastAsia" w:ascii="Times New Roman" w:hAnsi="Times New Roman" w:eastAsiaTheme="minorEastAsia"/>
          <w:bCs/>
          <w:color w:val="auto"/>
          <w:w w:val="99"/>
          <w:highlight w:val="none"/>
        </w:rPr>
        <w:t>年完成了钻井工作，由于钻井时间太早，因此未进行环境影响评价工作；大庆油田工程有限公司于201</w:t>
      </w:r>
      <w:r>
        <w:rPr>
          <w:rFonts w:ascii="Times New Roman" w:hAnsi="Times New Roman" w:eastAsiaTheme="minorEastAsia"/>
          <w:bCs/>
          <w:color w:val="auto"/>
          <w:w w:val="99"/>
          <w:highlight w:val="none"/>
        </w:rPr>
        <w:t>5</w:t>
      </w:r>
      <w:r>
        <w:rPr>
          <w:rFonts w:hint="eastAsia" w:ascii="Times New Roman" w:hAnsi="Times New Roman" w:eastAsiaTheme="minorEastAsia"/>
          <w:bCs/>
          <w:color w:val="auto"/>
          <w:w w:val="99"/>
          <w:highlight w:val="none"/>
        </w:rPr>
        <w:t>年</w:t>
      </w:r>
      <w:r>
        <w:rPr>
          <w:rFonts w:ascii="Times New Roman" w:hAnsi="Times New Roman" w:eastAsiaTheme="minorEastAsia"/>
          <w:bCs/>
          <w:color w:val="auto"/>
          <w:w w:val="99"/>
          <w:highlight w:val="none"/>
        </w:rPr>
        <w:t>9</w:t>
      </w:r>
      <w:r>
        <w:rPr>
          <w:rFonts w:hint="eastAsia" w:ascii="Times New Roman" w:hAnsi="Times New Roman" w:eastAsiaTheme="minorEastAsia"/>
          <w:bCs/>
          <w:color w:val="auto"/>
          <w:w w:val="99"/>
          <w:highlight w:val="none"/>
        </w:rPr>
        <w:t>月份编制完成了《徐深2</w:t>
      </w:r>
      <w:r>
        <w:rPr>
          <w:rFonts w:ascii="Times New Roman" w:hAnsi="Times New Roman" w:eastAsiaTheme="minorEastAsia"/>
          <w:bCs/>
          <w:color w:val="auto"/>
          <w:w w:val="99"/>
          <w:highlight w:val="none"/>
        </w:rPr>
        <w:t>7-</w:t>
      </w:r>
      <w:r>
        <w:rPr>
          <w:rFonts w:hint="eastAsia" w:ascii="Times New Roman" w:hAnsi="Times New Roman" w:eastAsiaTheme="minorEastAsia"/>
          <w:bCs/>
          <w:color w:val="auto"/>
          <w:w w:val="99"/>
          <w:highlight w:val="none"/>
        </w:rPr>
        <w:t>平1井钻井工程</w:t>
      </w:r>
      <w:r>
        <w:rPr>
          <w:rFonts w:ascii="Times New Roman" w:hAnsi="Times New Roman" w:eastAsiaTheme="minorEastAsia"/>
          <w:bCs/>
          <w:color w:val="auto"/>
          <w:w w:val="99"/>
          <w:highlight w:val="none"/>
        </w:rPr>
        <w:t>环境影响报告表</w:t>
      </w:r>
      <w:r>
        <w:rPr>
          <w:rFonts w:hint="eastAsia" w:ascii="Times New Roman" w:hAnsi="Times New Roman" w:eastAsiaTheme="minorEastAsia"/>
          <w:bCs/>
          <w:color w:val="auto"/>
          <w:w w:val="99"/>
          <w:highlight w:val="none"/>
        </w:rPr>
        <w:t>》。大庆市环境保护局于</w:t>
      </w:r>
      <w:r>
        <w:rPr>
          <w:rFonts w:ascii="Times New Roman" w:hAnsi="Times New Roman" w:eastAsiaTheme="minorEastAsia"/>
          <w:bCs/>
          <w:color w:val="auto"/>
          <w:w w:val="99"/>
          <w:highlight w:val="none"/>
        </w:rPr>
        <w:t>20</w:t>
      </w:r>
      <w:r>
        <w:rPr>
          <w:rFonts w:hint="eastAsia" w:ascii="Times New Roman" w:hAnsi="Times New Roman" w:eastAsiaTheme="minorEastAsia"/>
          <w:bCs/>
          <w:color w:val="auto"/>
          <w:w w:val="99"/>
          <w:highlight w:val="none"/>
        </w:rPr>
        <w:t>1</w:t>
      </w:r>
      <w:r>
        <w:rPr>
          <w:rFonts w:ascii="Times New Roman" w:hAnsi="Times New Roman" w:eastAsiaTheme="minorEastAsia"/>
          <w:bCs/>
          <w:color w:val="auto"/>
          <w:w w:val="99"/>
          <w:highlight w:val="none"/>
        </w:rPr>
        <w:t>5年9月16日</w:t>
      </w:r>
      <w:r>
        <w:rPr>
          <w:rFonts w:hint="eastAsia" w:ascii="Times New Roman" w:hAnsi="Times New Roman" w:eastAsiaTheme="minorEastAsia"/>
          <w:bCs/>
          <w:color w:val="auto"/>
          <w:w w:val="99"/>
          <w:highlight w:val="none"/>
        </w:rPr>
        <w:t>以庆环审〔2015〕</w:t>
      </w:r>
      <w:r>
        <w:rPr>
          <w:rFonts w:ascii="Times New Roman" w:hAnsi="Times New Roman" w:eastAsiaTheme="minorEastAsia"/>
          <w:bCs/>
          <w:color w:val="auto"/>
          <w:w w:val="99"/>
          <w:highlight w:val="none"/>
        </w:rPr>
        <w:t>236号文件对</w:t>
      </w:r>
      <w:r>
        <w:rPr>
          <w:rFonts w:hint="eastAsia" w:ascii="Times New Roman" w:hAnsi="Times New Roman" w:eastAsiaTheme="minorEastAsia"/>
          <w:bCs/>
          <w:color w:val="auto"/>
          <w:w w:val="99"/>
          <w:highlight w:val="none"/>
        </w:rPr>
        <w:t>本工程</w:t>
      </w:r>
      <w:r>
        <w:rPr>
          <w:rFonts w:ascii="Times New Roman" w:hAnsi="Times New Roman" w:eastAsiaTheme="minorEastAsia"/>
          <w:bCs/>
          <w:color w:val="auto"/>
          <w:w w:val="99"/>
          <w:highlight w:val="none"/>
        </w:rPr>
        <w:t>予以了批复</w:t>
      </w:r>
      <w:r>
        <w:rPr>
          <w:rFonts w:hint="eastAsia" w:ascii="Times New Roman" w:hAnsi="Times New Roman" w:eastAsiaTheme="minorEastAsia"/>
          <w:bCs/>
          <w:color w:val="auto"/>
          <w:w w:val="99"/>
          <w:highlight w:val="none"/>
        </w:rPr>
        <w:t>；大庆油田工程有限公司于201</w:t>
      </w:r>
      <w:r>
        <w:rPr>
          <w:rFonts w:ascii="Times New Roman" w:hAnsi="Times New Roman" w:eastAsiaTheme="minorEastAsia"/>
          <w:bCs/>
          <w:color w:val="auto"/>
          <w:w w:val="99"/>
          <w:highlight w:val="none"/>
        </w:rPr>
        <w:t>7</w:t>
      </w:r>
      <w:r>
        <w:rPr>
          <w:rFonts w:hint="eastAsia" w:ascii="Times New Roman" w:hAnsi="Times New Roman" w:eastAsiaTheme="minorEastAsia"/>
          <w:bCs/>
          <w:color w:val="auto"/>
          <w:w w:val="99"/>
          <w:highlight w:val="none"/>
        </w:rPr>
        <w:t>年</w:t>
      </w:r>
      <w:r>
        <w:rPr>
          <w:rFonts w:ascii="Times New Roman" w:hAnsi="Times New Roman" w:eastAsiaTheme="minorEastAsia"/>
          <w:bCs/>
          <w:color w:val="auto"/>
          <w:w w:val="99"/>
          <w:highlight w:val="none"/>
        </w:rPr>
        <w:t>9</w:t>
      </w:r>
      <w:r>
        <w:rPr>
          <w:rFonts w:hint="eastAsia" w:ascii="Times New Roman" w:hAnsi="Times New Roman" w:eastAsiaTheme="minorEastAsia"/>
          <w:bCs/>
          <w:color w:val="auto"/>
          <w:w w:val="99"/>
          <w:highlight w:val="none"/>
        </w:rPr>
        <w:t>月份编制完成了《2</w:t>
      </w:r>
      <w:r>
        <w:rPr>
          <w:rFonts w:ascii="Times New Roman" w:hAnsi="Times New Roman" w:eastAsiaTheme="minorEastAsia"/>
          <w:bCs/>
          <w:color w:val="auto"/>
          <w:w w:val="99"/>
          <w:highlight w:val="none"/>
        </w:rPr>
        <w:t>017</w:t>
      </w:r>
      <w:r>
        <w:rPr>
          <w:rFonts w:hint="eastAsia" w:ascii="Times New Roman" w:hAnsi="Times New Roman" w:eastAsiaTheme="minorEastAsia"/>
          <w:bCs/>
          <w:color w:val="auto"/>
          <w:w w:val="99"/>
          <w:highlight w:val="none"/>
        </w:rPr>
        <w:t>年徐深气田徐深2</w:t>
      </w:r>
      <w:r>
        <w:rPr>
          <w:rFonts w:ascii="Times New Roman" w:hAnsi="Times New Roman" w:eastAsiaTheme="minorEastAsia"/>
          <w:bCs/>
          <w:color w:val="auto"/>
          <w:w w:val="99"/>
          <w:highlight w:val="none"/>
        </w:rPr>
        <w:t>7</w:t>
      </w:r>
      <w:r>
        <w:rPr>
          <w:rFonts w:hint="eastAsia" w:ascii="Times New Roman" w:hAnsi="Times New Roman" w:eastAsiaTheme="minorEastAsia"/>
          <w:bCs/>
          <w:color w:val="auto"/>
          <w:w w:val="99"/>
          <w:highlight w:val="none"/>
        </w:rPr>
        <w:t>井区产能建设工程环境影响报告书》。黑龙江省环境保护厅于2</w:t>
      </w:r>
      <w:r>
        <w:rPr>
          <w:rFonts w:ascii="Times New Roman" w:hAnsi="Times New Roman" w:eastAsiaTheme="minorEastAsia"/>
          <w:bCs/>
          <w:color w:val="auto"/>
          <w:w w:val="99"/>
          <w:highlight w:val="none"/>
        </w:rPr>
        <w:t>017</w:t>
      </w:r>
      <w:r>
        <w:rPr>
          <w:rFonts w:hint="eastAsia" w:ascii="Times New Roman" w:hAnsi="Times New Roman" w:eastAsiaTheme="minorEastAsia"/>
          <w:bCs/>
          <w:color w:val="auto"/>
          <w:w w:val="99"/>
          <w:highlight w:val="none"/>
        </w:rPr>
        <w:t>年9月2</w:t>
      </w:r>
      <w:r>
        <w:rPr>
          <w:rFonts w:ascii="Times New Roman" w:hAnsi="Times New Roman" w:eastAsiaTheme="minorEastAsia"/>
          <w:bCs/>
          <w:color w:val="auto"/>
          <w:w w:val="99"/>
          <w:highlight w:val="none"/>
        </w:rPr>
        <w:t>8</w:t>
      </w:r>
      <w:r>
        <w:rPr>
          <w:rFonts w:hint="eastAsia" w:ascii="Times New Roman" w:hAnsi="Times New Roman" w:eastAsiaTheme="minorEastAsia"/>
          <w:bCs/>
          <w:color w:val="auto"/>
          <w:w w:val="99"/>
          <w:highlight w:val="none"/>
        </w:rPr>
        <w:t>日以黑环审</w:t>
      </w:r>
      <w:r>
        <w:rPr>
          <w:rFonts w:ascii="Times New Roman" w:hAnsi="Times New Roman" w:eastAsiaTheme="minorEastAsia"/>
          <w:bCs/>
          <w:color w:val="auto"/>
          <w:w w:val="99"/>
          <w:highlight w:val="none"/>
        </w:rPr>
        <w:t>〔2017〕51</w:t>
      </w:r>
      <w:r>
        <w:rPr>
          <w:rFonts w:hint="eastAsia" w:ascii="Times New Roman" w:hAnsi="Times New Roman" w:eastAsiaTheme="minorEastAsia"/>
          <w:bCs/>
          <w:color w:val="auto"/>
          <w:w w:val="99"/>
          <w:highlight w:val="none"/>
        </w:rPr>
        <w:t>号文对本工程做出了批复；2019年11月《徐深2</w:t>
      </w:r>
      <w:r>
        <w:rPr>
          <w:rFonts w:ascii="Times New Roman" w:hAnsi="Times New Roman" w:eastAsiaTheme="minorEastAsia"/>
          <w:bCs/>
          <w:color w:val="auto"/>
          <w:w w:val="99"/>
          <w:highlight w:val="none"/>
        </w:rPr>
        <w:t>7-</w:t>
      </w:r>
      <w:r>
        <w:rPr>
          <w:rFonts w:hint="eastAsia" w:ascii="Times New Roman" w:hAnsi="Times New Roman" w:eastAsiaTheme="minorEastAsia"/>
          <w:bCs/>
          <w:color w:val="auto"/>
          <w:w w:val="99"/>
          <w:highlight w:val="none"/>
        </w:rPr>
        <w:t>平1井钻井工程》与《2</w:t>
      </w:r>
      <w:r>
        <w:rPr>
          <w:rFonts w:ascii="Times New Roman" w:hAnsi="Times New Roman" w:eastAsiaTheme="minorEastAsia"/>
          <w:bCs/>
          <w:color w:val="auto"/>
          <w:w w:val="99"/>
          <w:highlight w:val="none"/>
        </w:rPr>
        <w:t>017</w:t>
      </w:r>
      <w:r>
        <w:rPr>
          <w:rFonts w:hint="eastAsia" w:ascii="Times New Roman" w:hAnsi="Times New Roman" w:eastAsiaTheme="minorEastAsia"/>
          <w:bCs/>
          <w:color w:val="auto"/>
          <w:w w:val="99"/>
          <w:highlight w:val="none"/>
        </w:rPr>
        <w:t>年徐深气田徐深2</w:t>
      </w:r>
      <w:r>
        <w:rPr>
          <w:rFonts w:ascii="Times New Roman" w:hAnsi="Times New Roman" w:eastAsiaTheme="minorEastAsia"/>
          <w:bCs/>
          <w:color w:val="auto"/>
          <w:w w:val="99"/>
          <w:highlight w:val="none"/>
        </w:rPr>
        <w:t>7</w:t>
      </w:r>
      <w:r>
        <w:rPr>
          <w:rFonts w:hint="eastAsia" w:ascii="Times New Roman" w:hAnsi="Times New Roman" w:eastAsiaTheme="minorEastAsia"/>
          <w:bCs/>
          <w:color w:val="auto"/>
          <w:w w:val="99"/>
          <w:highlight w:val="none"/>
        </w:rPr>
        <w:t>井区产能建设工程》合并验收。</w:t>
      </w:r>
    </w:p>
    <w:p w14:paraId="049EEF62">
      <w:pPr>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本项目属于典型的生态与污染影响复合型建设项目。本项目生态环境影响主要体现在建设期占用土地、破坏植被、扰动土壤、加大水土流失强度及生态景观破坏等方面。污染影响中重点关注施工过程的各项污染物产生以及可能发生的风险对区域环境产生的影响、施工过程中产生的生态环境问题以及生态恢复措施，完井后进行压裂、试气工程，试气过程井场放空火炬燃烧废气、放空噪声、试气产液等对环境产生的影响。环境风险事故类型有井喷、泄漏、火灾与爆炸等，各类环境风险事故一旦发生，将产生一定的环境影响。</w:t>
      </w:r>
    </w:p>
    <w:bookmarkEnd w:id="10"/>
    <w:bookmarkEnd w:id="11"/>
    <w:bookmarkEnd w:id="12"/>
    <w:bookmarkEnd w:id="13"/>
    <w:bookmarkEnd w:id="14"/>
    <w:bookmarkEnd w:id="15"/>
    <w:p w14:paraId="605233FA">
      <w:pPr>
        <w:pStyle w:val="7"/>
        <w:widowControl w:val="0"/>
        <w:spacing w:before="60" w:after="60" w:line="440" w:lineRule="exact"/>
        <w:jc w:val="both"/>
        <w:rPr>
          <w:rFonts w:eastAsiaTheme="minorEastAsia"/>
          <w:b/>
          <w:color w:val="auto"/>
          <w:w w:val="99"/>
          <w:kern w:val="2"/>
          <w:sz w:val="24"/>
          <w:szCs w:val="24"/>
          <w:highlight w:val="none"/>
        </w:rPr>
      </w:pPr>
      <w:bookmarkStart w:id="33" w:name="_Toc126863340"/>
      <w:bookmarkStart w:id="34" w:name="_Toc143099526"/>
      <w:bookmarkStart w:id="35" w:name="_Toc84929176"/>
      <w:bookmarkStart w:id="36" w:name="_Toc131167239"/>
      <w:bookmarkStart w:id="37" w:name="_Toc86141884"/>
      <w:bookmarkStart w:id="38" w:name="_Toc85640701"/>
      <w:bookmarkStart w:id="39" w:name="_Toc127192289"/>
      <w:bookmarkStart w:id="40" w:name="_Toc186444224"/>
      <w:r>
        <w:rPr>
          <w:rFonts w:eastAsiaTheme="minorEastAsia"/>
          <w:b/>
          <w:color w:val="auto"/>
          <w:w w:val="99"/>
          <w:kern w:val="2"/>
          <w:sz w:val="24"/>
          <w:szCs w:val="24"/>
          <w:highlight w:val="none"/>
        </w:rPr>
        <w:t>1.2.</w:t>
      </w:r>
      <w:r>
        <w:rPr>
          <w:rFonts w:hint="eastAsia" w:eastAsiaTheme="minorEastAsia"/>
          <w:b/>
          <w:color w:val="auto"/>
          <w:w w:val="99"/>
          <w:kern w:val="2"/>
          <w:sz w:val="24"/>
          <w:szCs w:val="24"/>
          <w:highlight w:val="none"/>
        </w:rPr>
        <w:t>2</w:t>
      </w:r>
      <w:r>
        <w:rPr>
          <w:rFonts w:eastAsiaTheme="minorEastAsia"/>
          <w:b/>
          <w:color w:val="auto"/>
          <w:w w:val="99"/>
          <w:kern w:val="2"/>
          <w:sz w:val="24"/>
          <w:szCs w:val="24"/>
          <w:highlight w:val="none"/>
        </w:rPr>
        <w:t>工艺特点</w:t>
      </w:r>
      <w:bookmarkEnd w:id="33"/>
      <w:bookmarkEnd w:id="34"/>
      <w:bookmarkEnd w:id="35"/>
      <w:bookmarkEnd w:id="36"/>
      <w:bookmarkEnd w:id="37"/>
      <w:bookmarkEnd w:id="38"/>
      <w:bookmarkEnd w:id="39"/>
      <w:bookmarkEnd w:id="40"/>
    </w:p>
    <w:p w14:paraId="4CA0F28F">
      <w:pPr>
        <w:pStyle w:val="153"/>
        <w:widowControl w:val="0"/>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施工期，</w:t>
      </w:r>
      <w:r>
        <w:rPr>
          <w:rFonts w:ascii="Times New Roman" w:hAnsi="Times New Roman"/>
          <w:color w:val="auto"/>
          <w:w w:val="99"/>
          <w:highlight w:val="none"/>
        </w:rPr>
        <w:t>本工程</w:t>
      </w:r>
      <w:r>
        <w:rPr>
          <w:rFonts w:hint="eastAsia" w:ascii="Times New Roman" w:hAnsi="Times New Roman" w:eastAsiaTheme="minorEastAsia"/>
          <w:snapToGrid w:val="0"/>
          <w:color w:val="auto"/>
          <w:w w:val="99"/>
          <w:highlight w:val="none"/>
        </w:rPr>
        <w:t>基建1口气井，井场设置80kW电磁涡流加热装置1座</w:t>
      </w:r>
      <w:r>
        <w:rPr>
          <w:rFonts w:ascii="Times New Roman" w:hAnsi="Times New Roman" w:eastAsiaTheme="minorEastAsia"/>
          <w:snapToGrid w:val="0"/>
          <w:color w:val="auto"/>
          <w:w w:val="99"/>
          <w:highlight w:val="none"/>
        </w:rPr>
        <w:t>；</w:t>
      </w:r>
      <w:r>
        <w:rPr>
          <w:rFonts w:hint="eastAsia" w:ascii="Times New Roman" w:hAnsi="Times New Roman" w:eastAsiaTheme="minorEastAsia"/>
          <w:snapToGrid w:val="0"/>
          <w:color w:val="auto"/>
          <w:w w:val="99"/>
          <w:highlight w:val="none"/>
        </w:rPr>
        <w:t>新建采气管道1.92km，同时配套新建通信工程、自动控制工程、道路工程、供配电工程等内容。输气管道材质采用20#+316L内衬不锈钢材质。</w:t>
      </w:r>
      <w:r>
        <w:rPr>
          <w:rFonts w:ascii="Times New Roman" w:hAnsi="Times New Roman" w:eastAsiaTheme="minorEastAsia"/>
          <w:snapToGrid w:val="0"/>
          <w:color w:val="auto"/>
          <w:w w:val="99"/>
          <w:highlight w:val="none"/>
        </w:rPr>
        <w:t>采气管道均采用埋地敷设，管顶标高为-</w:t>
      </w:r>
      <w:r>
        <w:rPr>
          <w:rFonts w:hint="eastAsia" w:ascii="Times New Roman" w:hAnsi="Times New Roman" w:eastAsiaTheme="minorEastAsia"/>
          <w:snapToGrid w:val="0"/>
          <w:color w:val="auto"/>
          <w:w w:val="99"/>
          <w:highlight w:val="none"/>
        </w:rPr>
        <w:t>1.8</w:t>
      </w:r>
      <w:r>
        <w:rPr>
          <w:rFonts w:ascii="Times New Roman" w:hAnsi="Times New Roman" w:eastAsiaTheme="minorEastAsia"/>
          <w:snapToGrid w:val="0"/>
          <w:color w:val="auto"/>
          <w:w w:val="99"/>
          <w:highlight w:val="none"/>
        </w:rPr>
        <w:t>m。</w:t>
      </w:r>
      <w:r>
        <w:rPr>
          <w:rFonts w:hint="eastAsia" w:ascii="Times New Roman" w:hAnsi="Times New Roman" w:eastAsiaTheme="minorEastAsia"/>
          <w:snapToGrid w:val="0"/>
          <w:color w:val="auto"/>
          <w:w w:val="99"/>
          <w:highlight w:val="none"/>
        </w:rPr>
        <w:t>管沟开挖以机械开挖为主，管线施工涉及钢顶</w:t>
      </w:r>
      <w:r>
        <w:rPr>
          <w:rFonts w:ascii="Times New Roman" w:hAnsi="Times New Roman" w:eastAsiaTheme="minorEastAsia"/>
          <w:snapToGrid w:val="0"/>
          <w:color w:val="auto"/>
          <w:w w:val="99"/>
          <w:highlight w:val="none"/>
        </w:rPr>
        <w:t>穿越</w:t>
      </w:r>
      <w:r>
        <w:rPr>
          <w:rFonts w:hint="eastAsia" w:ascii="Times New Roman" w:hAnsi="Times New Roman" w:eastAsiaTheme="minorEastAsia"/>
          <w:snapToGrid w:val="0"/>
          <w:color w:val="auto"/>
          <w:w w:val="99"/>
          <w:highlight w:val="none"/>
        </w:rPr>
        <w:t>4处</w:t>
      </w:r>
      <w:r>
        <w:rPr>
          <w:rFonts w:ascii="Times New Roman" w:hAnsi="Times New Roman" w:eastAsiaTheme="minorEastAsia"/>
          <w:snapToGrid w:val="0"/>
          <w:color w:val="auto"/>
          <w:w w:val="99"/>
          <w:highlight w:val="none"/>
        </w:rPr>
        <w:t>。</w:t>
      </w:r>
    </w:p>
    <w:p w14:paraId="558631A3">
      <w:pPr>
        <w:pStyle w:val="153"/>
        <w:widowControl w:val="0"/>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运营期，</w:t>
      </w:r>
      <w:r>
        <w:rPr>
          <w:rFonts w:ascii="Times New Roman" w:hAnsi="Times New Roman"/>
          <w:color w:val="auto"/>
          <w:w w:val="99"/>
          <w:highlight w:val="none"/>
        </w:rPr>
        <w:t>站外系统采用</w:t>
      </w:r>
      <w:r>
        <w:rPr>
          <w:rFonts w:hint="eastAsia" w:ascii="Times New Roman" w:hAnsi="Times New Roman"/>
          <w:color w:val="auto"/>
          <w:w w:val="99"/>
          <w:highlight w:val="none"/>
        </w:rPr>
        <w:t>井场一级加热节流降压、采气管道</w:t>
      </w:r>
      <w:r>
        <w:rPr>
          <w:rFonts w:ascii="Times New Roman" w:hAnsi="Times New Roman"/>
          <w:color w:val="auto"/>
          <w:w w:val="99"/>
          <w:highlight w:val="none"/>
        </w:rPr>
        <w:t>高压集气工艺；集气和预处理系统采用多井集气，在集气站内</w:t>
      </w:r>
      <w:r>
        <w:rPr>
          <w:rFonts w:hint="eastAsia" w:ascii="Times New Roman" w:hAnsi="Times New Roman"/>
          <w:color w:val="auto"/>
          <w:w w:val="99"/>
          <w:highlight w:val="none"/>
        </w:rPr>
        <w:t>进行二级</w:t>
      </w:r>
      <w:r>
        <w:rPr>
          <w:rFonts w:ascii="Times New Roman" w:hAnsi="Times New Roman"/>
          <w:color w:val="auto"/>
          <w:w w:val="99"/>
          <w:highlight w:val="none"/>
        </w:rPr>
        <w:t>加热节流降压、多井轮换计量</w:t>
      </w:r>
      <w:r>
        <w:rPr>
          <w:rFonts w:hint="eastAsia" w:ascii="Times New Roman" w:hAnsi="Times New Roman"/>
          <w:color w:val="auto"/>
          <w:w w:val="99"/>
          <w:highlight w:val="none"/>
        </w:rPr>
        <w:t>、湿气外输工艺，湿气进入徐深27集气站集中脱水</w:t>
      </w:r>
      <w:r>
        <w:rPr>
          <w:rFonts w:ascii="Times New Roman" w:hAnsi="Times New Roman"/>
          <w:color w:val="auto"/>
          <w:w w:val="99"/>
          <w:highlight w:val="none"/>
        </w:rPr>
        <w:t>处理后计量外输。</w:t>
      </w:r>
    </w:p>
    <w:p w14:paraId="182B2451">
      <w:pPr>
        <w:pStyle w:val="153"/>
        <w:widowControl w:val="0"/>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退役期，将不具备开采价值的气井进行关停，拆除地面设备，并对气井进行封井，配套单井集气、输气管道清管后两端封堵直埋，同时</w:t>
      </w:r>
      <w:r>
        <w:rPr>
          <w:rFonts w:ascii="Times New Roman" w:hAnsi="Times New Roman"/>
          <w:color w:val="auto"/>
          <w:w w:val="99"/>
          <w:highlight w:val="none"/>
        </w:rPr>
        <w:t>开展场地土壤环境调查与评价，确定</w:t>
      </w:r>
      <w:r>
        <w:rPr>
          <w:rFonts w:hint="eastAsia" w:ascii="Times New Roman" w:hAnsi="Times New Roman"/>
          <w:color w:val="auto"/>
          <w:w w:val="99"/>
          <w:highlight w:val="none"/>
        </w:rPr>
        <w:t>未造成场地污染</w:t>
      </w:r>
      <w:r>
        <w:rPr>
          <w:rFonts w:ascii="Times New Roman" w:hAnsi="Times New Roman"/>
          <w:color w:val="auto"/>
          <w:w w:val="99"/>
          <w:highlight w:val="none"/>
        </w:rPr>
        <w:t>后，应及时对</w:t>
      </w:r>
      <w:r>
        <w:rPr>
          <w:rFonts w:hint="eastAsia" w:ascii="Times New Roman" w:hAnsi="Times New Roman"/>
          <w:color w:val="auto"/>
          <w:w w:val="99"/>
          <w:highlight w:val="none"/>
        </w:rPr>
        <w:t>退役期气井</w:t>
      </w:r>
      <w:r>
        <w:rPr>
          <w:rFonts w:ascii="Times New Roman" w:hAnsi="Times New Roman"/>
          <w:color w:val="auto"/>
          <w:w w:val="99"/>
          <w:highlight w:val="none"/>
        </w:rPr>
        <w:t>受扰动场地进行平整，对土地进行旋耕复垦</w:t>
      </w:r>
      <w:r>
        <w:rPr>
          <w:rFonts w:hint="eastAsia" w:ascii="Times New Roman" w:hAnsi="Times New Roman"/>
          <w:color w:val="auto"/>
          <w:w w:val="99"/>
          <w:highlight w:val="none"/>
        </w:rPr>
        <w:t>。</w:t>
      </w:r>
    </w:p>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14:paraId="4A1CF2B2">
      <w:pPr>
        <w:pStyle w:val="7"/>
        <w:widowControl w:val="0"/>
        <w:spacing w:before="60" w:after="60" w:line="440" w:lineRule="exact"/>
        <w:jc w:val="both"/>
        <w:rPr>
          <w:rFonts w:eastAsiaTheme="minorEastAsia"/>
          <w:b/>
          <w:color w:val="auto"/>
          <w:w w:val="99"/>
          <w:kern w:val="2"/>
          <w:sz w:val="24"/>
          <w:szCs w:val="24"/>
          <w:highlight w:val="none"/>
        </w:rPr>
      </w:pPr>
      <w:bookmarkStart w:id="41" w:name="_Toc131167241"/>
      <w:bookmarkStart w:id="42" w:name="_Toc143099528"/>
      <w:bookmarkStart w:id="43" w:name="_Toc86141885"/>
      <w:bookmarkStart w:id="44" w:name="_Toc127192290"/>
      <w:bookmarkStart w:id="45" w:name="_Toc84929177"/>
      <w:bookmarkStart w:id="46" w:name="_Toc85640702"/>
      <w:bookmarkStart w:id="47" w:name="_Toc126863341"/>
      <w:bookmarkStart w:id="48" w:name="_Toc186444225"/>
      <w:bookmarkStart w:id="49" w:name="_Toc83209422"/>
      <w:bookmarkStart w:id="50" w:name="_Toc69690760"/>
      <w:bookmarkStart w:id="51" w:name="_Toc80971327"/>
      <w:bookmarkStart w:id="52" w:name="_Toc78816410"/>
      <w:bookmarkStart w:id="53" w:name="_Toc67523542"/>
      <w:bookmarkStart w:id="54" w:name="_Toc71371893"/>
      <w:bookmarkStart w:id="55" w:name="_Toc80588205"/>
      <w:bookmarkStart w:id="56" w:name="_Toc76976193"/>
      <w:bookmarkStart w:id="57" w:name="_Toc74812264"/>
      <w:bookmarkStart w:id="58" w:name="_Toc77067609"/>
      <w:r>
        <w:rPr>
          <w:rFonts w:eastAsiaTheme="minorEastAsia"/>
          <w:b/>
          <w:color w:val="auto"/>
          <w:w w:val="99"/>
          <w:kern w:val="2"/>
          <w:sz w:val="24"/>
          <w:szCs w:val="24"/>
          <w:highlight w:val="none"/>
        </w:rPr>
        <w:t>1.2.</w:t>
      </w:r>
      <w:bookmarkEnd w:id="41"/>
      <w:bookmarkEnd w:id="42"/>
      <w:bookmarkEnd w:id="43"/>
      <w:bookmarkEnd w:id="44"/>
      <w:bookmarkEnd w:id="45"/>
      <w:bookmarkEnd w:id="46"/>
      <w:bookmarkEnd w:id="47"/>
      <w:r>
        <w:rPr>
          <w:rFonts w:eastAsiaTheme="minorEastAsia"/>
          <w:b/>
          <w:color w:val="auto"/>
          <w:w w:val="99"/>
          <w:kern w:val="2"/>
          <w:sz w:val="24"/>
          <w:szCs w:val="24"/>
          <w:highlight w:val="none"/>
        </w:rPr>
        <w:t>4产污特点及措施</w:t>
      </w:r>
      <w:bookmarkEnd w:id="48"/>
    </w:p>
    <w:p w14:paraId="53976424">
      <w:pPr>
        <w:pStyle w:val="153"/>
        <w:widowControl w:val="0"/>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本项目为典型气田产能建设项目，</w:t>
      </w:r>
      <w:r>
        <w:rPr>
          <w:rFonts w:ascii="Times New Roman" w:hAnsi="Times New Roman"/>
          <w:color w:val="auto"/>
          <w:w w:val="99"/>
          <w:highlight w:val="none"/>
        </w:rPr>
        <w:t>兼具生态影响和污染影响的特点。生态环境影响主要体现在建设期占用土地、压占植被、破坏土壤、加大水土流失强度及生态景观破坏等方面</w:t>
      </w:r>
      <w:r>
        <w:rPr>
          <w:rFonts w:hint="eastAsia" w:ascii="Times New Roman" w:hAnsi="Times New Roman"/>
          <w:color w:val="auto"/>
          <w:w w:val="99"/>
          <w:highlight w:val="none"/>
        </w:rPr>
        <w:t>，以及退役期场地清理和修复。</w:t>
      </w:r>
    </w:p>
    <w:p w14:paraId="71E98BDF">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污染影响中施工期主要</w:t>
      </w:r>
      <w:r>
        <w:rPr>
          <w:rFonts w:hint="eastAsia" w:ascii="Times New Roman" w:hAnsi="Times New Roman"/>
          <w:color w:val="auto"/>
          <w:w w:val="99"/>
          <w:highlight w:val="none"/>
        </w:rPr>
        <w:t>会产生</w:t>
      </w:r>
      <w:r>
        <w:rPr>
          <w:rFonts w:ascii="Times New Roman" w:hAnsi="Times New Roman"/>
          <w:color w:val="auto"/>
          <w:w w:val="99"/>
          <w:highlight w:val="none"/>
        </w:rPr>
        <w:t>扬尘、</w:t>
      </w:r>
      <w:r>
        <w:rPr>
          <w:rFonts w:hint="eastAsia" w:ascii="Times New Roman" w:hAnsi="Times New Roman"/>
          <w:color w:val="auto"/>
          <w:w w:val="99"/>
          <w:highlight w:val="none"/>
        </w:rPr>
        <w:t>车辆尾气、焊接烟尘</w:t>
      </w:r>
      <w:r>
        <w:rPr>
          <w:rFonts w:ascii="Times New Roman" w:hAnsi="Times New Roman"/>
          <w:color w:val="auto"/>
          <w:w w:val="99"/>
          <w:highlight w:val="none"/>
        </w:rPr>
        <w:t>，试压废水</w:t>
      </w:r>
      <w:r>
        <w:rPr>
          <w:rFonts w:hint="eastAsia" w:ascii="Times New Roman" w:hAnsi="Times New Roman"/>
          <w:color w:val="auto"/>
          <w:w w:val="99"/>
          <w:highlight w:val="none"/>
        </w:rPr>
        <w:t>、</w:t>
      </w:r>
      <w:r>
        <w:rPr>
          <w:rFonts w:ascii="Times New Roman" w:hAnsi="Times New Roman"/>
          <w:color w:val="auto"/>
          <w:w w:val="99"/>
          <w:highlight w:val="none"/>
        </w:rPr>
        <w:t>管道施工废料等，</w:t>
      </w:r>
      <w:r>
        <w:rPr>
          <w:rFonts w:hint="eastAsia" w:ascii="Times New Roman" w:hAnsi="Times New Roman"/>
          <w:color w:val="auto"/>
          <w:w w:val="99"/>
          <w:highlight w:val="none"/>
        </w:rPr>
        <w:t>施工</w:t>
      </w:r>
      <w:r>
        <w:rPr>
          <w:rFonts w:ascii="Times New Roman" w:hAnsi="Times New Roman"/>
          <w:color w:val="auto"/>
          <w:w w:val="99"/>
          <w:highlight w:val="none"/>
        </w:rPr>
        <w:t>设备运行噪声和交通噪声，施工人员产生的生活污水和生活垃圾</w:t>
      </w:r>
      <w:r>
        <w:rPr>
          <w:rFonts w:hint="eastAsia" w:ascii="Times New Roman" w:hAnsi="Times New Roman"/>
          <w:color w:val="auto"/>
          <w:w w:val="99"/>
          <w:highlight w:val="none"/>
        </w:rPr>
        <w:t>等。</w:t>
      </w:r>
    </w:p>
    <w:p w14:paraId="27A7DF34">
      <w:pPr>
        <w:pStyle w:val="153"/>
        <w:widowControl w:val="0"/>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运营</w:t>
      </w:r>
      <w:r>
        <w:rPr>
          <w:rFonts w:ascii="Times New Roman" w:hAnsi="Times New Roman"/>
          <w:color w:val="auto"/>
          <w:w w:val="99"/>
          <w:highlight w:val="none"/>
        </w:rPr>
        <w:t>期的主要环境影响因素为</w:t>
      </w:r>
      <w:r>
        <w:rPr>
          <w:rFonts w:hint="eastAsia" w:ascii="Times New Roman" w:hAnsi="Times New Roman"/>
          <w:color w:val="auto"/>
          <w:w w:val="99"/>
          <w:highlight w:val="none"/>
        </w:rPr>
        <w:t>依托徐深27集气站脱水工艺的加热装置</w:t>
      </w:r>
      <w:r>
        <w:rPr>
          <w:rFonts w:ascii="Times New Roman" w:hAnsi="Times New Roman"/>
          <w:color w:val="auto"/>
          <w:w w:val="99"/>
          <w:highlight w:val="none"/>
        </w:rPr>
        <w:t>产生的燃烧烟气</w:t>
      </w:r>
      <w:r>
        <w:rPr>
          <w:rFonts w:hint="eastAsia" w:ascii="Times New Roman" w:hAnsi="Times New Roman"/>
          <w:color w:val="auto"/>
          <w:w w:val="99"/>
          <w:highlight w:val="none"/>
        </w:rPr>
        <w:t>；</w:t>
      </w:r>
      <w:r>
        <w:rPr>
          <w:rFonts w:ascii="Times New Roman" w:hAnsi="Times New Roman"/>
          <w:color w:val="auto"/>
          <w:w w:val="99"/>
          <w:highlight w:val="none"/>
        </w:rPr>
        <w:t>徐深</w:t>
      </w:r>
      <w:r>
        <w:rPr>
          <w:rFonts w:hint="eastAsia" w:ascii="Times New Roman" w:hAnsi="Times New Roman"/>
          <w:color w:val="auto"/>
          <w:w w:val="99"/>
          <w:highlight w:val="none"/>
        </w:rPr>
        <w:t>27</w:t>
      </w:r>
      <w:r>
        <w:rPr>
          <w:rFonts w:ascii="Times New Roman" w:hAnsi="Times New Roman"/>
          <w:color w:val="auto"/>
          <w:w w:val="99"/>
          <w:highlight w:val="none"/>
        </w:rPr>
        <w:t>集气站和井场无组织排放的非甲烷总烃；</w:t>
      </w:r>
      <w:r>
        <w:rPr>
          <w:rFonts w:hint="eastAsia" w:ascii="Times New Roman" w:hAnsi="Times New Roman"/>
          <w:color w:val="auto"/>
          <w:w w:val="99"/>
          <w:highlight w:val="none"/>
        </w:rPr>
        <w:t>井场放空</w:t>
      </w:r>
      <w:r>
        <w:rPr>
          <w:rFonts w:ascii="Times New Roman" w:hAnsi="Times New Roman"/>
          <w:color w:val="auto"/>
          <w:w w:val="99"/>
          <w:highlight w:val="none"/>
        </w:rPr>
        <w:t>产生的噪声；气井</w:t>
      </w:r>
      <w:r>
        <w:rPr>
          <w:rFonts w:hint="eastAsia" w:ascii="Times New Roman" w:hAnsi="Times New Roman"/>
          <w:color w:val="auto"/>
          <w:w w:val="99"/>
          <w:highlight w:val="none"/>
        </w:rPr>
        <w:t>产气分离的气田采出水；气井检修过程可能产生井口含油</w:t>
      </w:r>
      <w:r>
        <w:rPr>
          <w:rFonts w:hint="eastAsia" w:ascii="Times New Roman" w:hAnsi="Times New Roman"/>
          <w:color w:val="auto"/>
          <w:w w:val="99"/>
          <w:highlight w:val="none"/>
          <w:lang w:eastAsia="zh-CN"/>
        </w:rPr>
        <w:t>砂粒</w:t>
      </w:r>
      <w:r>
        <w:rPr>
          <w:rFonts w:hint="eastAsia" w:ascii="Times New Roman" w:hAnsi="Times New Roman"/>
          <w:color w:val="auto"/>
          <w:w w:val="99"/>
          <w:highlight w:val="none"/>
        </w:rPr>
        <w:t>、以及井场柱上变检修产生的废变压器油。</w:t>
      </w:r>
    </w:p>
    <w:p w14:paraId="6E2A84A9">
      <w:pPr>
        <w:pStyle w:val="153"/>
        <w:widowControl w:val="0"/>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退役期包括退役期气井拆除设备、设备清洗废水、封井建筑垃圾、含油废防渗布。</w:t>
      </w:r>
    </w:p>
    <w:p w14:paraId="70303F21">
      <w:pPr>
        <w:spacing w:line="440" w:lineRule="exact"/>
        <w:jc w:val="both"/>
        <w:outlineLvl w:val="3"/>
        <w:rPr>
          <w:rFonts w:ascii="Times New Roman" w:hAnsi="Times New Roman" w:cs="Times New Roman" w:eastAsiaTheme="minorEastAsia"/>
          <w:b/>
          <w:color w:val="auto"/>
          <w:w w:val="99"/>
          <w:szCs w:val="20"/>
          <w:highlight w:val="none"/>
        </w:rPr>
      </w:pPr>
      <w:r>
        <w:rPr>
          <w:rFonts w:ascii="Times New Roman" w:hAnsi="Times New Roman" w:cs="Times New Roman" w:eastAsiaTheme="minorEastAsia"/>
          <w:b/>
          <w:color w:val="auto"/>
          <w:w w:val="99"/>
          <w:szCs w:val="20"/>
          <w:highlight w:val="none"/>
        </w:rPr>
        <w:t>1.2.4.1施工期</w:t>
      </w:r>
    </w:p>
    <w:p w14:paraId="05F2B905">
      <w:pPr>
        <w:pStyle w:val="153"/>
        <w:widowControl w:val="0"/>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（1）废气</w:t>
      </w:r>
    </w:p>
    <w:p w14:paraId="4BB0BB2C">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本项目施工期产生的废气主要为施工扬尘、管道焊接烟尘、运输车辆尾气。施工扬尘采取施工现场洒水抑尘、运输车辆及物料加盖防尘布等方式降低扬尘污染。</w:t>
      </w:r>
    </w:p>
    <w:p w14:paraId="56097654">
      <w:pPr>
        <w:pStyle w:val="153"/>
        <w:widowControl w:val="0"/>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（2）废水</w:t>
      </w:r>
    </w:p>
    <w:p w14:paraId="0569E32A">
      <w:pPr>
        <w:widowControl w:val="0"/>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olor w:val="auto"/>
          <w:w w:val="99"/>
          <w:highlight w:val="none"/>
        </w:rPr>
        <w:t>施工期废水主要为管线试压废水及施工人员生活污水。施工期新建管道试压废水由罐车拉运至</w:t>
      </w:r>
      <w:r>
        <w:rPr>
          <w:rFonts w:hint="eastAsia" w:ascii="Times New Roman" w:hAnsi="Times New Roman"/>
          <w:color w:val="auto"/>
          <w:w w:val="99"/>
          <w:highlight w:val="none"/>
        </w:rPr>
        <w:t>升一联气田污水预处理站</w:t>
      </w:r>
      <w:r>
        <w:rPr>
          <w:rFonts w:ascii="Times New Roman" w:hAnsi="Times New Roman"/>
          <w:color w:val="auto"/>
          <w:w w:val="99"/>
          <w:highlight w:val="none"/>
        </w:rPr>
        <w:t>，出水水质满足</w:t>
      </w:r>
      <w:r>
        <w:rPr>
          <w:rFonts w:ascii="Times New Roman" w:hAnsi="Times New Roman" w:cs="Times New Roman"/>
          <w:color w:val="auto"/>
          <w:w w:val="99"/>
          <w:kern w:val="2"/>
          <w:highlight w:val="none"/>
        </w:rPr>
        <w:t>《大庆油田地面工程建设设计规定》（Q/SYDQ 0639-2015）限值“含油量≤10mg/L、悬浮固体含量≤5mg/L、粒径中值≤2μm”</w:t>
      </w:r>
      <w:r>
        <w:rPr>
          <w:rFonts w:hint="eastAsia" w:ascii="Times New Roman" w:hAnsi="Times New Roman" w:cs="Times New Roman"/>
          <w:color w:val="auto"/>
          <w:w w:val="99"/>
          <w:kern w:val="2"/>
          <w:highlight w:val="none"/>
          <w:lang w:eastAsia="zh-CN"/>
        </w:rPr>
        <w:t>，</w:t>
      </w:r>
      <w:r>
        <w:rPr>
          <w:rFonts w:hint="eastAsia" w:ascii="Times New Roman" w:hAnsi="Times New Roman" w:cs="Times New Roman"/>
          <w:color w:val="auto"/>
          <w:w w:val="99"/>
          <w:kern w:val="2"/>
          <w:highlight w:val="none"/>
          <w:lang w:val="en-US" w:eastAsia="zh-CN"/>
        </w:rPr>
        <w:t>同时满足</w:t>
      </w:r>
      <w:r>
        <w:rPr>
          <w:rFonts w:ascii="Times New Roman" w:hAnsi="Times New Roman" w:cs="Times New Roman"/>
          <w:bCs/>
          <w:color w:val="auto"/>
          <w:w w:val="99"/>
          <w:highlight w:val="none"/>
        </w:rPr>
        <w:t>《碎屑岩油藏注水水质指标技术要求及分析方法》(SY/T5329-2022)中标准限值，回注地下。</w:t>
      </w:r>
    </w:p>
    <w:p w14:paraId="440D4B35">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lang w:val="zh-CN"/>
        </w:rPr>
        <w:t>施工期</w:t>
      </w:r>
      <w:r>
        <w:rPr>
          <w:rFonts w:hint="eastAsia" w:ascii="Times New Roman" w:hAnsi="Times New Roman"/>
          <w:color w:val="auto"/>
          <w:w w:val="99"/>
          <w:highlight w:val="none"/>
        </w:rPr>
        <w:t>生活污水排入本项目附近集气站已建生活污水收集设施，定期由大庆石油管理局有限公司庆南工矿服务公司红岗分公司拉运至大庆红岗区西巷污水回收站，管输至南区污水处理厂进行处理。</w:t>
      </w:r>
    </w:p>
    <w:p w14:paraId="4D0B1029">
      <w:pPr>
        <w:pStyle w:val="153"/>
        <w:widowControl w:val="0"/>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（3）噪声</w:t>
      </w:r>
    </w:p>
    <w:p w14:paraId="3C77E1EA">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本项目施工期噪声主要是施工机械产生的噪声和车辆运行噪声</w:t>
      </w:r>
      <w:r>
        <w:rPr>
          <w:rFonts w:hint="eastAsia" w:ascii="Times New Roman" w:hAnsi="Times New Roman"/>
          <w:color w:val="auto"/>
          <w:w w:val="99"/>
          <w:highlight w:val="none"/>
        </w:rPr>
        <w:t>。</w:t>
      </w:r>
      <w:r>
        <w:rPr>
          <w:rFonts w:ascii="Times New Roman" w:hAnsi="Times New Roman"/>
          <w:color w:val="auto"/>
          <w:w w:val="99"/>
          <w:highlight w:val="none"/>
        </w:rPr>
        <w:t>运输车辆应选择合理时间和路线，避开居民休息时段；严格限定施工范围，选用噪音低的设备；注意对设备的维护和保养，合理操作，保证施工机械保持在最佳状态，降低噪声源强度。</w:t>
      </w:r>
    </w:p>
    <w:p w14:paraId="5E22B2DC">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w:t>
      </w:r>
      <w:r>
        <w:rPr>
          <w:rFonts w:hint="eastAsia" w:ascii="Times New Roman" w:hAnsi="Times New Roman"/>
          <w:color w:val="auto"/>
          <w:w w:val="99"/>
          <w:highlight w:val="none"/>
        </w:rPr>
        <w:t>4</w:t>
      </w:r>
      <w:r>
        <w:rPr>
          <w:rFonts w:ascii="Times New Roman" w:hAnsi="Times New Roman"/>
          <w:color w:val="auto"/>
          <w:w w:val="99"/>
          <w:highlight w:val="none"/>
        </w:rPr>
        <w:t>）固体废物</w:t>
      </w:r>
    </w:p>
    <w:p w14:paraId="74348E7D">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施工期</w:t>
      </w:r>
      <w:r>
        <w:rPr>
          <w:rFonts w:hint="eastAsia" w:ascii="Times New Roman" w:hAnsi="Times New Roman"/>
          <w:color w:val="auto"/>
          <w:w w:val="99"/>
          <w:highlight w:val="none"/>
        </w:rPr>
        <w:t>施工废料拉运至第八采油厂工业固废填埋场进行填埋处理；</w:t>
      </w:r>
      <w:r>
        <w:rPr>
          <w:rFonts w:ascii="Times New Roman" w:hAnsi="Times New Roman"/>
          <w:color w:val="auto"/>
          <w:w w:val="99"/>
          <w:highlight w:val="none"/>
        </w:rPr>
        <w:t>生活垃圾</w:t>
      </w:r>
      <w:r>
        <w:rPr>
          <w:rFonts w:hint="eastAsia" w:ascii="Times New Roman" w:hAnsi="Times New Roman"/>
          <w:color w:val="auto"/>
          <w:w w:val="99"/>
          <w:highlight w:val="none"/>
        </w:rPr>
        <w:t>统一收集后拉运至肇东北控环境再生能源有限公司处理。</w:t>
      </w:r>
    </w:p>
    <w:p w14:paraId="1F4B592F">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w:t>
      </w:r>
      <w:r>
        <w:rPr>
          <w:rFonts w:hint="eastAsia" w:ascii="Times New Roman" w:hAnsi="Times New Roman"/>
          <w:color w:val="auto"/>
          <w:w w:val="99"/>
          <w:highlight w:val="none"/>
        </w:rPr>
        <w:t>5</w:t>
      </w:r>
      <w:r>
        <w:rPr>
          <w:rFonts w:ascii="Times New Roman" w:hAnsi="Times New Roman"/>
          <w:color w:val="auto"/>
          <w:w w:val="99"/>
          <w:highlight w:val="none"/>
        </w:rPr>
        <w:t>）</w:t>
      </w:r>
      <w:r>
        <w:rPr>
          <w:rFonts w:hint="eastAsia" w:ascii="Times New Roman" w:hAnsi="Times New Roman"/>
          <w:color w:val="auto"/>
          <w:w w:val="99"/>
          <w:highlight w:val="none"/>
        </w:rPr>
        <w:t>环境</w:t>
      </w:r>
      <w:r>
        <w:rPr>
          <w:rFonts w:ascii="Times New Roman" w:hAnsi="Times New Roman"/>
          <w:color w:val="auto"/>
          <w:w w:val="99"/>
          <w:highlight w:val="none"/>
        </w:rPr>
        <w:t>风险</w:t>
      </w:r>
    </w:p>
    <w:p w14:paraId="28A918A6">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本项目的施工期环境风险主要来自钻井过程中井喷、套管破损、井漏以及柴油储罐泄漏</w:t>
      </w:r>
      <w:r>
        <w:rPr>
          <w:rFonts w:hint="eastAsia" w:ascii="Times New Roman" w:hAnsi="Times New Roman"/>
          <w:color w:val="auto"/>
          <w:w w:val="99"/>
          <w:highlight w:val="none"/>
        </w:rPr>
        <w:t>；施工期项目</w:t>
      </w:r>
      <w:r>
        <w:rPr>
          <w:rFonts w:ascii="Times New Roman" w:hAnsi="Times New Roman"/>
          <w:color w:val="auto"/>
          <w:w w:val="99"/>
          <w:highlight w:val="none"/>
        </w:rPr>
        <w:t>钻井时安装防喷器，防止井喷事故的发生</w:t>
      </w:r>
      <w:r>
        <w:rPr>
          <w:rFonts w:hint="eastAsia" w:ascii="Times New Roman" w:hAnsi="Times New Roman"/>
          <w:color w:val="auto"/>
          <w:w w:val="99"/>
          <w:highlight w:val="none"/>
        </w:rPr>
        <w:t>；</w:t>
      </w:r>
      <w:r>
        <w:rPr>
          <w:rFonts w:ascii="Times New Roman" w:hAnsi="Times New Roman"/>
          <w:color w:val="auto"/>
          <w:w w:val="99"/>
          <w:highlight w:val="none"/>
        </w:rPr>
        <w:t>柴油储罐进行重点防渗</w:t>
      </w:r>
      <w:r>
        <w:rPr>
          <w:rFonts w:hint="eastAsia" w:ascii="Times New Roman" w:hAnsi="Times New Roman"/>
          <w:color w:val="auto"/>
          <w:w w:val="99"/>
          <w:highlight w:val="none"/>
        </w:rPr>
        <w:t>，</w:t>
      </w:r>
      <w:r>
        <w:rPr>
          <w:rFonts w:ascii="Times New Roman" w:hAnsi="Times New Roman"/>
          <w:color w:val="auto"/>
          <w:w w:val="99"/>
          <w:highlight w:val="none"/>
        </w:rPr>
        <w:t>采用地面碾压平整并铺设2mm厚高密度聚乙烯（HDPE）</w:t>
      </w:r>
      <w:r>
        <w:rPr>
          <w:rFonts w:hint="eastAsia" w:ascii="Times New Roman" w:hAnsi="Times New Roman"/>
          <w:color w:val="auto"/>
          <w:w w:val="99"/>
          <w:highlight w:val="none"/>
        </w:rPr>
        <w:t>膜，渗透</w:t>
      </w:r>
      <w:r>
        <w:rPr>
          <w:rFonts w:ascii="Times New Roman" w:hAnsi="Times New Roman"/>
          <w:color w:val="auto"/>
          <w:w w:val="99"/>
          <w:highlight w:val="none"/>
        </w:rPr>
        <w:t>系数</w:t>
      </w:r>
      <w:r>
        <w:rPr>
          <w:rFonts w:hint="eastAsia" w:ascii="Times New Roman" w:hAnsi="Times New Roman"/>
          <w:color w:val="auto"/>
          <w:w w:val="99"/>
          <w:highlight w:val="none"/>
        </w:rPr>
        <w:t>为</w:t>
      </w:r>
      <w:r>
        <w:rPr>
          <w:rFonts w:ascii="Times New Roman" w:hAnsi="Times New Roman"/>
          <w:color w:val="auto"/>
          <w:w w:val="99"/>
          <w:highlight w:val="none"/>
        </w:rPr>
        <w:t>1.0×10</w:t>
      </w:r>
      <w:r>
        <w:rPr>
          <w:rFonts w:ascii="Times New Roman" w:hAnsi="Times New Roman"/>
          <w:color w:val="auto"/>
          <w:w w:val="99"/>
          <w:highlight w:val="none"/>
          <w:vertAlign w:val="superscript"/>
        </w:rPr>
        <w:t>-1</w:t>
      </w:r>
      <w:r>
        <w:rPr>
          <w:rFonts w:hint="eastAsia" w:ascii="Times New Roman" w:hAnsi="Times New Roman"/>
          <w:color w:val="auto"/>
          <w:w w:val="99"/>
          <w:highlight w:val="none"/>
          <w:vertAlign w:val="superscript"/>
        </w:rPr>
        <w:t>3</w:t>
      </w:r>
      <w:r>
        <w:rPr>
          <w:rFonts w:ascii="Times New Roman" w:hAnsi="Times New Roman"/>
          <w:color w:val="auto"/>
          <w:w w:val="99"/>
          <w:highlight w:val="none"/>
        </w:rPr>
        <w:t>cm/s；</w:t>
      </w:r>
      <w:r>
        <w:rPr>
          <w:rFonts w:hint="eastAsia" w:ascii="Times New Roman" w:hAnsi="Times New Roman"/>
          <w:color w:val="auto"/>
          <w:w w:val="99"/>
          <w:highlight w:val="none"/>
        </w:rPr>
        <w:t>并且储罐周围</w:t>
      </w:r>
      <w:r>
        <w:rPr>
          <w:rFonts w:ascii="Times New Roman" w:hAnsi="Times New Roman"/>
          <w:color w:val="auto"/>
          <w:w w:val="99"/>
          <w:highlight w:val="none"/>
        </w:rPr>
        <w:t>设临时围堰，并要求储罐布置在明火、井口等安全距离内；</w:t>
      </w:r>
      <w:r>
        <w:rPr>
          <w:rFonts w:hint="eastAsia" w:ascii="Times New Roman" w:hAnsi="Times New Roman"/>
          <w:color w:val="auto"/>
          <w:w w:val="99"/>
          <w:highlight w:val="none"/>
        </w:rPr>
        <w:t xml:space="preserve">  </w:t>
      </w:r>
    </w:p>
    <w:p w14:paraId="7A235119">
      <w:pPr>
        <w:spacing w:line="440" w:lineRule="exact"/>
        <w:jc w:val="both"/>
        <w:outlineLvl w:val="3"/>
        <w:rPr>
          <w:rFonts w:ascii="Times New Roman" w:hAnsi="Times New Roman" w:cs="Times New Roman" w:eastAsiaTheme="minorEastAsia"/>
          <w:b/>
          <w:color w:val="auto"/>
          <w:w w:val="99"/>
          <w:szCs w:val="20"/>
          <w:highlight w:val="none"/>
        </w:rPr>
      </w:pPr>
      <w:r>
        <w:rPr>
          <w:rFonts w:ascii="Times New Roman" w:hAnsi="Times New Roman" w:cs="Times New Roman" w:eastAsiaTheme="minorEastAsia"/>
          <w:b/>
          <w:color w:val="auto"/>
          <w:w w:val="99"/>
          <w:szCs w:val="20"/>
          <w:highlight w:val="none"/>
        </w:rPr>
        <w:t>1.2.4.2运营期</w:t>
      </w:r>
    </w:p>
    <w:p w14:paraId="37EB2026">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（1）运营期废气主要为</w:t>
      </w:r>
      <w:r>
        <w:rPr>
          <w:rFonts w:hint="eastAsia" w:ascii="Times New Roman" w:hAnsi="Times New Roman"/>
          <w:color w:val="auto"/>
          <w:w w:val="99"/>
          <w:highlight w:val="none"/>
        </w:rPr>
        <w:t>依托场站（徐深27集气站）</w:t>
      </w:r>
      <w:r>
        <w:rPr>
          <w:rFonts w:ascii="Times New Roman" w:hAnsi="Times New Roman"/>
          <w:color w:val="auto"/>
          <w:w w:val="99"/>
          <w:highlight w:val="none"/>
        </w:rPr>
        <w:t>燃烧烟气，井场、场站</w:t>
      </w:r>
      <w:r>
        <w:rPr>
          <w:rFonts w:hint="eastAsia" w:ascii="Times New Roman" w:hAnsi="Times New Roman"/>
          <w:color w:val="auto"/>
          <w:w w:val="99"/>
          <w:highlight w:val="none"/>
        </w:rPr>
        <w:t>天然气</w:t>
      </w:r>
      <w:r>
        <w:rPr>
          <w:rFonts w:ascii="Times New Roman" w:hAnsi="Times New Roman"/>
          <w:color w:val="auto"/>
          <w:w w:val="99"/>
          <w:highlight w:val="none"/>
        </w:rPr>
        <w:t>集输处理过程中挥发的烃类气体</w:t>
      </w:r>
      <w:r>
        <w:rPr>
          <w:rFonts w:hint="eastAsia" w:ascii="Times New Roman" w:hAnsi="Times New Roman"/>
          <w:color w:val="auto"/>
          <w:w w:val="99"/>
          <w:highlight w:val="none"/>
        </w:rPr>
        <w:t>、温室气体</w:t>
      </w:r>
      <w:r>
        <w:rPr>
          <w:rFonts w:ascii="Times New Roman" w:hAnsi="Times New Roman"/>
          <w:color w:val="auto"/>
          <w:w w:val="99"/>
          <w:highlight w:val="none"/>
        </w:rPr>
        <w:t>。本项目徐深</w:t>
      </w:r>
      <w:r>
        <w:rPr>
          <w:rFonts w:hint="eastAsia" w:ascii="Times New Roman" w:hAnsi="Times New Roman"/>
          <w:color w:val="auto"/>
          <w:w w:val="99"/>
          <w:highlight w:val="none"/>
        </w:rPr>
        <w:t>27</w:t>
      </w:r>
      <w:r>
        <w:rPr>
          <w:rFonts w:ascii="Times New Roman" w:hAnsi="Times New Roman"/>
          <w:color w:val="auto"/>
          <w:w w:val="99"/>
          <w:highlight w:val="none"/>
        </w:rPr>
        <w:t>集气站使用清洁燃料天然气，同时站内采用数字化仪表监控，根据气温合理控制温度，减少天然气用量，减少了烟气排放量。</w:t>
      </w:r>
      <w:r>
        <w:rPr>
          <w:rFonts w:hint="eastAsia" w:ascii="Times New Roman" w:hAnsi="Times New Roman"/>
          <w:color w:val="auto"/>
          <w:w w:val="99"/>
          <w:highlight w:val="none"/>
        </w:rPr>
        <w:t>场站</w:t>
      </w:r>
      <w:r>
        <w:rPr>
          <w:rFonts w:ascii="Times New Roman" w:hAnsi="Times New Roman"/>
          <w:color w:val="auto"/>
          <w:w w:val="99"/>
          <w:highlight w:val="none"/>
        </w:rPr>
        <w:t>加热装置燃烧烟气可以满足《</w:t>
      </w:r>
      <w:r>
        <w:rPr>
          <w:rFonts w:hint="eastAsia" w:ascii="Times New Roman" w:hAnsi="Times New Roman"/>
          <w:color w:val="auto"/>
          <w:w w:val="99"/>
          <w:highlight w:val="none"/>
        </w:rPr>
        <w:t>锅炉</w:t>
      </w:r>
      <w:r>
        <w:rPr>
          <w:rFonts w:ascii="Times New Roman" w:hAnsi="Times New Roman"/>
          <w:color w:val="auto"/>
          <w:w w:val="99"/>
          <w:highlight w:val="none"/>
        </w:rPr>
        <w:t>大气污染物排放标准》（GB</w:t>
      </w:r>
      <w:r>
        <w:rPr>
          <w:rFonts w:hint="eastAsia" w:ascii="Times New Roman" w:hAnsi="Times New Roman"/>
          <w:color w:val="auto"/>
          <w:w w:val="99"/>
          <w:highlight w:val="none"/>
        </w:rPr>
        <w:t>13271</w:t>
      </w:r>
      <w:r>
        <w:rPr>
          <w:rFonts w:ascii="Times New Roman" w:hAnsi="Times New Roman"/>
          <w:color w:val="auto"/>
          <w:w w:val="99"/>
          <w:highlight w:val="none"/>
        </w:rPr>
        <w:t>-</w:t>
      </w:r>
      <w:r>
        <w:rPr>
          <w:rFonts w:hint="eastAsia" w:ascii="Times New Roman" w:hAnsi="Times New Roman"/>
          <w:color w:val="auto"/>
          <w:w w:val="99"/>
          <w:highlight w:val="none"/>
        </w:rPr>
        <w:t>2014</w:t>
      </w:r>
      <w:r>
        <w:rPr>
          <w:rFonts w:ascii="Times New Roman" w:hAnsi="Times New Roman"/>
          <w:color w:val="auto"/>
          <w:w w:val="99"/>
          <w:highlight w:val="none"/>
        </w:rPr>
        <w:t>）表</w:t>
      </w:r>
      <w:r>
        <w:rPr>
          <w:rFonts w:hint="eastAsia" w:ascii="Times New Roman" w:hAnsi="Times New Roman"/>
          <w:color w:val="auto"/>
          <w:w w:val="99"/>
          <w:highlight w:val="none"/>
        </w:rPr>
        <w:t>2新建燃气</w:t>
      </w:r>
      <w:r>
        <w:rPr>
          <w:rFonts w:ascii="Times New Roman" w:hAnsi="Times New Roman"/>
          <w:color w:val="auto"/>
          <w:w w:val="99"/>
          <w:highlight w:val="none"/>
        </w:rPr>
        <w:t>中</w:t>
      </w:r>
      <w:r>
        <w:rPr>
          <w:rFonts w:hint="eastAsia" w:ascii="Times New Roman" w:hAnsi="Times New Roman"/>
          <w:color w:val="auto"/>
          <w:w w:val="99"/>
          <w:highlight w:val="none"/>
        </w:rPr>
        <w:t>加热炉</w:t>
      </w:r>
      <w:r>
        <w:rPr>
          <w:rFonts w:ascii="Times New Roman" w:hAnsi="Times New Roman"/>
          <w:color w:val="auto"/>
          <w:w w:val="99"/>
          <w:highlight w:val="none"/>
        </w:rPr>
        <w:t>标准值要求。</w:t>
      </w:r>
      <w:r>
        <w:rPr>
          <w:rFonts w:hint="eastAsia" w:ascii="Times New Roman" w:hAnsi="Times New Roman"/>
          <w:color w:val="auto"/>
          <w:w w:val="99"/>
          <w:highlight w:val="none"/>
        </w:rPr>
        <w:t>气</w:t>
      </w:r>
      <w:r>
        <w:rPr>
          <w:rFonts w:ascii="Times New Roman" w:hAnsi="Times New Roman"/>
          <w:color w:val="auto"/>
          <w:w w:val="99"/>
          <w:highlight w:val="none"/>
        </w:rPr>
        <w:t>井井口均安装了密封垫，全部密闭；</w:t>
      </w:r>
      <w:r>
        <w:rPr>
          <w:rFonts w:hint="eastAsia" w:ascii="Times New Roman" w:hAnsi="Times New Roman"/>
          <w:color w:val="auto"/>
          <w:w w:val="99"/>
          <w:highlight w:val="none"/>
        </w:rPr>
        <w:t>场</w:t>
      </w:r>
      <w:r>
        <w:rPr>
          <w:rFonts w:ascii="Times New Roman" w:hAnsi="Times New Roman"/>
          <w:color w:val="auto"/>
          <w:w w:val="99"/>
          <w:highlight w:val="none"/>
        </w:rPr>
        <w:t>站内设备阀门进行密封、防腐处理，</w:t>
      </w:r>
      <w:r>
        <w:rPr>
          <w:rFonts w:hint="eastAsia" w:ascii="Times New Roman" w:hAnsi="Times New Roman"/>
          <w:color w:val="auto"/>
          <w:w w:val="99"/>
          <w:highlight w:val="none"/>
        </w:rPr>
        <w:t>气井产气</w:t>
      </w:r>
      <w:r>
        <w:rPr>
          <w:rFonts w:ascii="Times New Roman" w:hAnsi="Times New Roman"/>
          <w:color w:val="auto"/>
          <w:w w:val="99"/>
          <w:highlight w:val="none"/>
        </w:rPr>
        <w:t>经管道密闭集输，确保了</w:t>
      </w:r>
      <w:r>
        <w:rPr>
          <w:rFonts w:hint="eastAsia" w:ascii="Times New Roman" w:hAnsi="Times New Roman"/>
          <w:color w:val="auto"/>
          <w:w w:val="99"/>
          <w:highlight w:val="none"/>
        </w:rPr>
        <w:t>气田</w:t>
      </w:r>
      <w:r>
        <w:rPr>
          <w:rFonts w:ascii="Times New Roman" w:hAnsi="Times New Roman"/>
          <w:color w:val="auto"/>
          <w:w w:val="99"/>
          <w:highlight w:val="none"/>
        </w:rPr>
        <w:t>特征污染物非甲烷总烃挥发量降至最低，厂界非甲烷总烃浓度满足《陆上石油天然气开采工业大气污染物排放标准》（GB39728-2020）中无组织排放监控浓度限值要求。</w:t>
      </w:r>
    </w:p>
    <w:p w14:paraId="523D1337">
      <w:pPr>
        <w:pStyle w:val="153"/>
        <w:widowControl w:val="0"/>
        <w:spacing w:line="440" w:lineRule="exact"/>
        <w:ind w:firstLine="473"/>
        <w:jc w:val="both"/>
        <w:rPr>
          <w:rFonts w:ascii="Times New Roman" w:hAnsi="Times New Roman"/>
          <w:bCs/>
          <w:color w:val="auto"/>
          <w:w w:val="99"/>
          <w:highlight w:val="none"/>
        </w:rPr>
      </w:pPr>
      <w:r>
        <w:rPr>
          <w:rFonts w:hint="eastAsia" w:ascii="Times New Roman" w:hAnsi="Times New Roman"/>
          <w:color w:val="auto"/>
          <w:w w:val="99"/>
          <w:highlight w:val="none"/>
        </w:rPr>
        <w:t>（2）</w:t>
      </w:r>
      <w:r>
        <w:rPr>
          <w:rFonts w:ascii="Times New Roman" w:hAnsi="Times New Roman"/>
          <w:color w:val="auto"/>
          <w:w w:val="99"/>
          <w:highlight w:val="none"/>
        </w:rPr>
        <w:t>运营期正常工况下</w:t>
      </w:r>
      <w:r>
        <w:rPr>
          <w:rFonts w:hint="eastAsia" w:ascii="Times New Roman" w:hAnsi="Times New Roman"/>
          <w:color w:val="auto"/>
          <w:w w:val="99"/>
          <w:highlight w:val="none"/>
        </w:rPr>
        <w:t>集气站分离的</w:t>
      </w:r>
      <w:r>
        <w:rPr>
          <w:rFonts w:ascii="Times New Roman" w:hAnsi="Times New Roman"/>
          <w:color w:val="auto"/>
          <w:w w:val="99"/>
          <w:highlight w:val="none"/>
        </w:rPr>
        <w:t>气田采出水</w:t>
      </w:r>
      <w:r>
        <w:rPr>
          <w:rFonts w:hint="eastAsia" w:ascii="Times New Roman" w:hAnsi="Times New Roman"/>
          <w:color w:val="auto"/>
          <w:w w:val="99"/>
          <w:highlight w:val="none"/>
        </w:rPr>
        <w:t>、员工生活污水</w:t>
      </w:r>
      <w:r>
        <w:rPr>
          <w:rFonts w:ascii="Times New Roman" w:hAnsi="Times New Roman"/>
          <w:color w:val="auto"/>
          <w:w w:val="99"/>
          <w:highlight w:val="none"/>
        </w:rPr>
        <w:t>。运营期</w:t>
      </w:r>
      <w:r>
        <w:rPr>
          <w:rFonts w:hint="eastAsia" w:ascii="Times New Roman" w:hAnsi="Times New Roman"/>
          <w:color w:val="auto"/>
          <w:w w:val="99"/>
          <w:highlight w:val="none"/>
        </w:rPr>
        <w:t>徐深27集气站分离的采出水进入污水储罐中临时储存，</w:t>
      </w:r>
      <w:r>
        <w:rPr>
          <w:rFonts w:ascii="Times New Roman" w:hAnsi="Times New Roman"/>
          <w:color w:val="auto"/>
          <w:w w:val="99"/>
          <w:highlight w:val="none"/>
        </w:rPr>
        <w:t>再通过外输泵升压外输至气田采出水集输管网，外输至升一联气田污水预处理站处理后的水质执行《大庆油田地面工程建设设计</w:t>
      </w:r>
      <w:r>
        <w:rPr>
          <w:rFonts w:ascii="Times New Roman" w:hAnsi="Times New Roman"/>
          <w:bCs/>
          <w:color w:val="auto"/>
          <w:w w:val="99"/>
          <w:highlight w:val="none"/>
        </w:rPr>
        <w:t>规定》（Q/SYDQ  0639-2015） 限值“含油量≤10mg/L、悬浮固体含量≤5mg/L、粒径中值≤2μm” ，同时满足《碎屑岩油藏注水水质指标技术要求及分析方法》(SY/T5329-2022)中标准限值，回注地下</w:t>
      </w:r>
      <w:r>
        <w:rPr>
          <w:rFonts w:hint="eastAsia" w:ascii="Times New Roman" w:hAnsi="Times New Roman"/>
          <w:bCs/>
          <w:color w:val="auto"/>
          <w:w w:val="99"/>
          <w:highlight w:val="none"/>
        </w:rPr>
        <w:t>油层；不新增生活污水。</w:t>
      </w:r>
    </w:p>
    <w:p w14:paraId="0C1714C7">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（3）运营期噪声主要是</w:t>
      </w:r>
      <w:r>
        <w:rPr>
          <w:rFonts w:hint="eastAsia" w:ascii="Times New Roman" w:hAnsi="Times New Roman"/>
          <w:color w:val="auto"/>
          <w:w w:val="99"/>
          <w:highlight w:val="none"/>
        </w:rPr>
        <w:t>井场放空产生的</w:t>
      </w:r>
      <w:r>
        <w:rPr>
          <w:rFonts w:ascii="Times New Roman" w:hAnsi="Times New Roman"/>
          <w:color w:val="auto"/>
          <w:w w:val="99"/>
          <w:highlight w:val="none"/>
        </w:rPr>
        <w:t>噪声。</w:t>
      </w:r>
      <w:r>
        <w:rPr>
          <w:rFonts w:hint="eastAsia" w:ascii="Times New Roman" w:hAnsi="Times New Roman"/>
          <w:color w:val="auto"/>
          <w:w w:val="99"/>
          <w:highlight w:val="none"/>
        </w:rPr>
        <w:t>本项目</w:t>
      </w:r>
      <w:r>
        <w:rPr>
          <w:rFonts w:ascii="Times New Roman" w:hAnsi="Times New Roman"/>
          <w:color w:val="auto"/>
          <w:w w:val="99"/>
          <w:highlight w:val="none"/>
        </w:rPr>
        <w:t>尽可能选用低噪声设备，场站机泵等设备集中布置于室内，并安装减震基础。采取以上措施后井场及场站厂界噪声能够达到《工业企业厂界环境噪声排放标准》（GB12348-2008）2类标准的要求。</w:t>
      </w:r>
    </w:p>
    <w:p w14:paraId="6C84CA11">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（4）</w:t>
      </w:r>
      <w:r>
        <w:rPr>
          <w:rFonts w:hint="eastAsia" w:ascii="Times New Roman" w:hAnsi="Times New Roman"/>
          <w:color w:val="auto"/>
          <w:w w:val="99"/>
          <w:highlight w:val="none"/>
        </w:rPr>
        <w:t>运营期</w:t>
      </w:r>
      <w:r>
        <w:rPr>
          <w:rFonts w:ascii="Times New Roman" w:hAnsi="Times New Roman"/>
          <w:color w:val="auto"/>
          <w:w w:val="99"/>
          <w:highlight w:val="none"/>
        </w:rPr>
        <w:t>本工程气井井口安装有井口除砂器，投产初会定期检查井口除砂器</w:t>
      </w:r>
      <w:r>
        <w:rPr>
          <w:rFonts w:hint="eastAsia" w:ascii="Times New Roman" w:hAnsi="Times New Roman"/>
          <w:color w:val="auto"/>
          <w:w w:val="99"/>
          <w:highlight w:val="none"/>
        </w:rPr>
        <w:t>，</w:t>
      </w:r>
      <w:r>
        <w:rPr>
          <w:rFonts w:ascii="Times New Roman" w:hAnsi="Times New Roman"/>
          <w:color w:val="auto"/>
          <w:w w:val="99"/>
          <w:highlight w:val="none"/>
        </w:rPr>
        <w:t>产生</w:t>
      </w:r>
      <w:r>
        <w:rPr>
          <w:rFonts w:hint="eastAsia" w:ascii="Times New Roman" w:hAnsi="Times New Roman"/>
          <w:color w:val="auto"/>
          <w:w w:val="99"/>
          <w:highlight w:val="none"/>
        </w:rPr>
        <w:t>井口含油</w:t>
      </w:r>
      <w:r>
        <w:rPr>
          <w:rFonts w:hint="eastAsia" w:ascii="Times New Roman" w:hAnsi="Times New Roman"/>
          <w:color w:val="auto"/>
          <w:w w:val="99"/>
          <w:highlight w:val="none"/>
          <w:lang w:eastAsia="zh-CN"/>
        </w:rPr>
        <w:t>砂粒</w:t>
      </w:r>
      <w:r>
        <w:rPr>
          <w:rFonts w:ascii="Times New Roman" w:hAnsi="Times New Roman"/>
          <w:color w:val="auto"/>
          <w:w w:val="99"/>
          <w:highlight w:val="none"/>
        </w:rPr>
        <w:t>为危险废物</w:t>
      </w:r>
      <w:r>
        <w:rPr>
          <w:rFonts w:hint="eastAsia" w:ascii="Times New Roman" w:hAnsi="Times New Roman"/>
          <w:color w:val="auto"/>
          <w:w w:val="99"/>
          <w:highlight w:val="none"/>
        </w:rPr>
        <w:t xml:space="preserve">HW08 </w:t>
      </w:r>
      <w:r>
        <w:rPr>
          <w:rFonts w:ascii="Times New Roman" w:hAnsi="Times New Roman"/>
          <w:color w:val="auto"/>
          <w:w w:val="99"/>
          <w:highlight w:val="none"/>
        </w:rPr>
        <w:t>900-249-08，委托有资质单位处置</w:t>
      </w:r>
      <w:r>
        <w:rPr>
          <w:rFonts w:hint="eastAsia" w:ascii="Times New Roman" w:hAnsi="Times New Roman"/>
          <w:color w:val="auto"/>
          <w:w w:val="99"/>
          <w:highlight w:val="none"/>
        </w:rPr>
        <w:t>。柱上变检修可能产生废变压器油，收集后暂存于采气分公司危险废物贮存库，定期委托有资质单位处理。运营期不新增生活垃圾。</w:t>
      </w:r>
    </w:p>
    <w:p w14:paraId="3D48DBB9">
      <w:pPr>
        <w:spacing w:line="440" w:lineRule="exact"/>
        <w:jc w:val="both"/>
        <w:outlineLvl w:val="3"/>
        <w:rPr>
          <w:rFonts w:ascii="Times New Roman" w:hAnsi="Times New Roman" w:cs="Times New Roman" w:eastAsiaTheme="minorEastAsia"/>
          <w:b/>
          <w:color w:val="auto"/>
          <w:w w:val="99"/>
          <w:szCs w:val="20"/>
          <w:highlight w:val="none"/>
        </w:rPr>
      </w:pPr>
      <w:r>
        <w:rPr>
          <w:rFonts w:ascii="Times New Roman" w:hAnsi="Times New Roman" w:cs="Times New Roman" w:eastAsiaTheme="minorEastAsia"/>
          <w:b/>
          <w:color w:val="auto"/>
          <w:w w:val="99"/>
          <w:szCs w:val="20"/>
          <w:highlight w:val="none"/>
        </w:rPr>
        <w:t>1.2.4.3退役期</w:t>
      </w:r>
    </w:p>
    <w:p w14:paraId="2F221143">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（1）退役期</w:t>
      </w:r>
      <w:r>
        <w:rPr>
          <w:rFonts w:hint="eastAsia" w:ascii="Times New Roman" w:hAnsi="Times New Roman"/>
          <w:color w:val="auto"/>
          <w:w w:val="99"/>
          <w:highlight w:val="none"/>
        </w:rPr>
        <w:t>大气污染物主要为气井</w:t>
      </w:r>
      <w:r>
        <w:rPr>
          <w:rFonts w:ascii="Times New Roman" w:hAnsi="Times New Roman"/>
          <w:color w:val="auto"/>
          <w:w w:val="99"/>
          <w:highlight w:val="none"/>
        </w:rPr>
        <w:t>拆除过程中</w:t>
      </w:r>
      <w:r>
        <w:rPr>
          <w:rFonts w:hint="eastAsia" w:ascii="Times New Roman" w:hAnsi="Times New Roman"/>
          <w:color w:val="auto"/>
          <w:w w:val="99"/>
          <w:highlight w:val="none"/>
        </w:rPr>
        <w:t>产生的施工扬尘和运输车辆尾气，通过</w:t>
      </w:r>
      <w:r>
        <w:rPr>
          <w:rFonts w:ascii="Times New Roman" w:hAnsi="Times New Roman"/>
          <w:color w:val="auto"/>
          <w:w w:val="99"/>
          <w:highlight w:val="none"/>
        </w:rPr>
        <w:t>场地洒水抑尘</w:t>
      </w:r>
      <w:r>
        <w:rPr>
          <w:rFonts w:hint="eastAsia" w:ascii="Times New Roman" w:hAnsi="Times New Roman"/>
          <w:color w:val="auto"/>
          <w:w w:val="99"/>
          <w:highlight w:val="none"/>
        </w:rPr>
        <w:t>能够有效降低扬尘产生量，且退役期拆除过程持续时间较短，通过洒水抑尘后对环境空气的影响可接受</w:t>
      </w:r>
      <w:r>
        <w:rPr>
          <w:rFonts w:ascii="Times New Roman" w:hAnsi="Times New Roman"/>
          <w:color w:val="auto"/>
          <w:w w:val="99"/>
          <w:highlight w:val="none"/>
        </w:rPr>
        <w:t>。</w:t>
      </w:r>
    </w:p>
    <w:p w14:paraId="48FD1500">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（2）</w:t>
      </w:r>
      <w:r>
        <w:rPr>
          <w:rFonts w:hint="eastAsia" w:ascii="Times New Roman" w:hAnsi="Times New Roman"/>
          <w:color w:val="auto"/>
          <w:w w:val="99"/>
          <w:highlight w:val="none"/>
        </w:rPr>
        <w:t>退役期废水主要包括退役气井拆除设备清洗废水</w:t>
      </w:r>
      <w:r>
        <w:rPr>
          <w:rFonts w:ascii="Times New Roman" w:hAnsi="Times New Roman"/>
          <w:color w:val="auto"/>
          <w:w w:val="99"/>
          <w:highlight w:val="none"/>
        </w:rPr>
        <w:t>。</w:t>
      </w:r>
      <w:r>
        <w:rPr>
          <w:rFonts w:hint="eastAsia" w:ascii="Times New Roman" w:hAnsi="Times New Roman"/>
          <w:color w:val="auto"/>
          <w:w w:val="99"/>
          <w:highlight w:val="none"/>
        </w:rPr>
        <w:t>洗废水</w:t>
      </w:r>
      <w:r>
        <w:rPr>
          <w:rFonts w:ascii="Times New Roman" w:hAnsi="Times New Roman"/>
          <w:color w:val="auto"/>
          <w:w w:val="99"/>
          <w:highlight w:val="none"/>
        </w:rPr>
        <w:t>由罐车拉运至升一联气田污水预处理站</w:t>
      </w:r>
      <w:r>
        <w:rPr>
          <w:rFonts w:hint="eastAsia" w:ascii="Times New Roman" w:hAnsi="Times New Roman"/>
          <w:color w:val="auto"/>
          <w:w w:val="99"/>
          <w:highlight w:val="none"/>
        </w:rPr>
        <w:t>集中处理</w:t>
      </w:r>
      <w:r>
        <w:rPr>
          <w:rFonts w:ascii="Times New Roman" w:hAnsi="Times New Roman"/>
          <w:color w:val="auto"/>
          <w:w w:val="99"/>
          <w:highlight w:val="none"/>
        </w:rPr>
        <w:t>，达标后回注地下开采油层，不外排</w:t>
      </w:r>
      <w:r>
        <w:rPr>
          <w:rFonts w:hint="eastAsia" w:ascii="Times New Roman" w:hAnsi="Times New Roman"/>
          <w:color w:val="auto"/>
          <w:w w:val="99"/>
          <w:highlight w:val="none"/>
        </w:rPr>
        <w:t>。</w:t>
      </w:r>
    </w:p>
    <w:p w14:paraId="301B7CCA">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（3）</w:t>
      </w:r>
      <w:r>
        <w:rPr>
          <w:rFonts w:hint="eastAsia" w:ascii="Times New Roman" w:hAnsi="Times New Roman"/>
          <w:color w:val="auto"/>
          <w:w w:val="99"/>
          <w:highlight w:val="none"/>
        </w:rPr>
        <w:t>退役期噪声主要是设备拆除</w:t>
      </w:r>
      <w:r>
        <w:rPr>
          <w:rFonts w:ascii="Times New Roman" w:hAnsi="Times New Roman"/>
          <w:color w:val="auto"/>
          <w:w w:val="99"/>
          <w:highlight w:val="none"/>
        </w:rPr>
        <w:t>和车辆运行噪声。</w:t>
      </w:r>
      <w:r>
        <w:rPr>
          <w:rFonts w:hint="eastAsia" w:ascii="Times New Roman" w:hAnsi="Times New Roman"/>
          <w:color w:val="auto"/>
          <w:w w:val="99"/>
          <w:highlight w:val="none"/>
        </w:rPr>
        <w:t>施工时应</w:t>
      </w:r>
      <w:r>
        <w:rPr>
          <w:rFonts w:ascii="Times New Roman" w:hAnsi="Times New Roman"/>
          <w:color w:val="auto"/>
          <w:w w:val="99"/>
          <w:highlight w:val="none"/>
        </w:rPr>
        <w:t>加强施工管理工作，合理安排施工进度，避免大量高噪声设备同时施工；选用低噪声设备；运输车辆选择避开居民区的路线。</w:t>
      </w:r>
    </w:p>
    <w:p w14:paraId="298F186B">
      <w:pPr>
        <w:pStyle w:val="153"/>
        <w:widowControl w:val="0"/>
        <w:spacing w:line="440" w:lineRule="exact"/>
        <w:ind w:firstLine="473"/>
        <w:jc w:val="both"/>
        <w:rPr>
          <w:rFonts w:ascii="Times New Roman" w:hAnsi="Times New Roman"/>
          <w:bCs/>
          <w:color w:val="auto"/>
          <w:w w:val="99"/>
          <w:highlight w:val="none"/>
        </w:rPr>
      </w:pPr>
      <w:r>
        <w:rPr>
          <w:rFonts w:hint="eastAsia" w:ascii="Times New Roman" w:hAnsi="Times New Roman"/>
          <w:color w:val="auto"/>
          <w:w w:val="99"/>
          <w:highlight w:val="none"/>
        </w:rPr>
        <w:t>（4）退役期固体废物主要为拆除的废旧设备、封井垃圾、建筑垃圾、生活垃圾</w:t>
      </w:r>
      <w:r>
        <w:rPr>
          <w:rFonts w:ascii="Times New Roman" w:hAnsi="Times New Roman"/>
          <w:color w:val="auto"/>
          <w:w w:val="99"/>
          <w:highlight w:val="none"/>
        </w:rPr>
        <w:t>。</w:t>
      </w:r>
      <w:r>
        <w:rPr>
          <w:rFonts w:hint="eastAsia" w:ascii="Times New Roman" w:hAnsi="Times New Roman"/>
          <w:color w:val="auto"/>
          <w:w w:val="99"/>
          <w:highlight w:val="none"/>
        </w:rPr>
        <w:t>气</w:t>
      </w:r>
      <w:r>
        <w:rPr>
          <w:rFonts w:ascii="Times New Roman" w:hAnsi="Times New Roman"/>
          <w:color w:val="auto"/>
          <w:w w:val="99"/>
          <w:highlight w:val="none"/>
        </w:rPr>
        <w:t>井拆除设备废旧设备回收至</w:t>
      </w:r>
      <w:r>
        <w:rPr>
          <w:rFonts w:hint="eastAsia" w:ascii="Times New Roman" w:hAnsi="Times New Roman"/>
          <w:color w:val="auto"/>
          <w:w w:val="99"/>
          <w:highlight w:val="none"/>
        </w:rPr>
        <w:t>大庆油田有限责</w:t>
      </w:r>
      <w:r>
        <w:rPr>
          <w:rFonts w:hint="eastAsia" w:ascii="Times New Roman" w:hAnsi="Times New Roman"/>
          <w:bCs/>
          <w:color w:val="auto"/>
          <w:w w:val="99"/>
          <w:highlight w:val="none"/>
        </w:rPr>
        <w:t>任公司采气分公司</w:t>
      </w:r>
      <w:r>
        <w:rPr>
          <w:rFonts w:ascii="Times New Roman" w:hAnsi="Times New Roman"/>
          <w:bCs/>
          <w:color w:val="auto"/>
          <w:w w:val="99"/>
          <w:highlight w:val="none"/>
        </w:rPr>
        <w:t>资产回收库</w:t>
      </w:r>
      <w:r>
        <w:rPr>
          <w:rFonts w:hint="eastAsia" w:ascii="Times New Roman" w:hAnsi="Times New Roman"/>
          <w:bCs/>
          <w:color w:val="auto"/>
          <w:w w:val="99"/>
          <w:highlight w:val="none"/>
        </w:rPr>
        <w:t>；</w:t>
      </w:r>
      <w:r>
        <w:rPr>
          <w:rFonts w:ascii="Times New Roman" w:hAnsi="Times New Roman"/>
          <w:bCs/>
          <w:color w:val="auto"/>
          <w:w w:val="99"/>
          <w:highlight w:val="none"/>
        </w:rPr>
        <w:t>封井垃圾</w:t>
      </w:r>
      <w:r>
        <w:rPr>
          <w:rFonts w:ascii="Times New Roman" w:hAnsi="Times New Roman"/>
          <w:color w:val="auto"/>
          <w:w w:val="99"/>
          <w:highlight w:val="none"/>
        </w:rPr>
        <w:t>拉运至建筑垃圾</w:t>
      </w:r>
      <w:r>
        <w:rPr>
          <w:rFonts w:hint="eastAsia" w:ascii="Times New Roman" w:hAnsi="Times New Roman"/>
          <w:color w:val="auto"/>
          <w:w w:val="99"/>
          <w:highlight w:val="none"/>
        </w:rPr>
        <w:t>调配</w:t>
      </w:r>
      <w:r>
        <w:rPr>
          <w:rFonts w:ascii="Times New Roman" w:hAnsi="Times New Roman"/>
          <w:color w:val="auto"/>
          <w:w w:val="99"/>
          <w:highlight w:val="none"/>
        </w:rPr>
        <w:t>场处理</w:t>
      </w:r>
      <w:r>
        <w:rPr>
          <w:rFonts w:hint="eastAsia" w:ascii="Times New Roman" w:hAnsi="Times New Roman"/>
          <w:color w:val="auto"/>
          <w:w w:val="99"/>
          <w:highlight w:val="none"/>
        </w:rPr>
        <w:t>；</w:t>
      </w:r>
      <w:r>
        <w:rPr>
          <w:rFonts w:ascii="Times New Roman" w:hAnsi="Times New Roman"/>
          <w:bCs/>
          <w:color w:val="auto"/>
          <w:w w:val="99"/>
          <w:highlight w:val="none"/>
        </w:rPr>
        <w:t>生活垃圾统一收集后拉运至</w:t>
      </w:r>
      <w:r>
        <w:rPr>
          <w:rFonts w:hint="eastAsia" w:ascii="Times New Roman" w:hAnsi="Times New Roman"/>
          <w:bCs/>
          <w:color w:val="auto"/>
          <w:w w:val="99"/>
          <w:highlight w:val="none"/>
        </w:rPr>
        <w:t>肇东北控环境再生能源有限公司</w:t>
      </w:r>
      <w:r>
        <w:rPr>
          <w:rFonts w:ascii="Times New Roman" w:hAnsi="Times New Roman"/>
          <w:bCs/>
          <w:color w:val="auto"/>
          <w:w w:val="99"/>
          <w:highlight w:val="none"/>
        </w:rPr>
        <w:t>处理。</w:t>
      </w:r>
    </w:p>
    <w:bookmarkEnd w:id="32"/>
    <w:bookmarkEnd w:id="49"/>
    <w:bookmarkEnd w:id="50"/>
    <w:bookmarkEnd w:id="51"/>
    <w:bookmarkEnd w:id="52"/>
    <w:bookmarkEnd w:id="53"/>
    <w:bookmarkEnd w:id="54"/>
    <w:bookmarkEnd w:id="55"/>
    <w:bookmarkEnd w:id="56"/>
    <w:bookmarkEnd w:id="57"/>
    <w:bookmarkEnd w:id="58"/>
    <w:p w14:paraId="71A87BD6">
      <w:pPr>
        <w:pStyle w:val="5"/>
        <w:keepNext w:val="0"/>
        <w:keepLines w:val="0"/>
        <w:widowControl w:val="0"/>
        <w:spacing w:before="120" w:after="120" w:line="440" w:lineRule="exact"/>
        <w:jc w:val="both"/>
        <w:rPr>
          <w:rFonts w:ascii="Times New Roman" w:hAnsi="Times New Roman" w:eastAsia="宋体"/>
          <w:b/>
          <w:snapToGrid w:val="0"/>
          <w:color w:val="auto"/>
          <w:w w:val="99"/>
          <w:highlight w:val="none"/>
        </w:rPr>
      </w:pPr>
      <w:bookmarkStart w:id="59" w:name="_Toc2083"/>
      <w:bookmarkStart w:id="60" w:name="_Toc502736432"/>
      <w:r>
        <w:rPr>
          <w:rFonts w:ascii="Times New Roman" w:hAnsi="Times New Roman" w:eastAsia="宋体"/>
          <w:b/>
          <w:snapToGrid w:val="0"/>
          <w:color w:val="auto"/>
          <w:w w:val="99"/>
          <w:highlight w:val="none"/>
        </w:rPr>
        <w:t>1.3环境影响评价工作过程</w:t>
      </w:r>
      <w:bookmarkEnd w:id="59"/>
      <w:bookmarkEnd w:id="60"/>
    </w:p>
    <w:p w14:paraId="67A3BF12">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我单位在接受委托后，按照《建设项目环境影响评价技术导则总纲》（HJ2.1-2016）、《环境影响评价技术导则 陆地石油天然气开发建设项目》（HJ349-2023）等国家有关环境影响评价规范、技术导则及环境保护管理部门的要求，依次完成以下环境影响评价工作：</w:t>
      </w:r>
    </w:p>
    <w:p w14:paraId="0FE5F8F9">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第一阶段：首先，收集分析工程技术文件以及相关基础资料，依据《建设项目环境影响评价分类管理名录（2021年版）》（</w:t>
      </w:r>
      <w:r>
        <w:rPr>
          <w:rFonts w:hint="eastAsia" w:ascii="Times New Roman" w:hAnsi="Times New Roman"/>
          <w:color w:val="auto"/>
          <w:w w:val="99"/>
          <w:highlight w:val="none"/>
        </w:rPr>
        <w:t>生态环境部令</w:t>
      </w:r>
      <w:r>
        <w:rPr>
          <w:rFonts w:ascii="Times New Roman" w:hAnsi="Times New Roman"/>
          <w:color w:val="auto"/>
          <w:w w:val="99"/>
          <w:highlight w:val="none"/>
        </w:rPr>
        <w:t>第16号）规定，确定</w:t>
      </w:r>
      <w:r>
        <w:rPr>
          <w:rFonts w:hint="eastAsia" w:ascii="Times New Roman" w:hAnsi="Times New Roman"/>
          <w:color w:val="auto"/>
          <w:w w:val="99"/>
          <w:highlight w:val="none"/>
        </w:rPr>
        <w:t>徐深27-H1井地面工程项目</w:t>
      </w:r>
      <w:r>
        <w:rPr>
          <w:rFonts w:ascii="Times New Roman" w:hAnsi="Times New Roman"/>
          <w:color w:val="auto"/>
          <w:w w:val="99"/>
          <w:highlight w:val="none"/>
        </w:rPr>
        <w:t>环境影响评价技术文件类型为环境影响报告书。</w:t>
      </w:r>
    </w:p>
    <w:p w14:paraId="048D1D5C">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其次，在仔细研究工程技术文件的基础上，进行了工程分析，并对项目所在区域进行实地踏勘和调研，了解项目周围情况。在此基础上，识别环境影响并筛选评价因子，明确环境影响、评价工作重点和环境保护目标确定等工作。通过对项目概况、周围环境敏感性及导则要求分析确定：本项目大气环境影响评价工作等级为</w:t>
      </w:r>
      <w:r>
        <w:rPr>
          <w:rFonts w:hint="eastAsia" w:ascii="Times New Roman" w:hAnsi="Times New Roman"/>
          <w:color w:val="auto"/>
          <w:w w:val="99"/>
          <w:highlight w:val="none"/>
        </w:rPr>
        <w:t>一</w:t>
      </w:r>
      <w:r>
        <w:rPr>
          <w:rFonts w:ascii="Times New Roman" w:hAnsi="Times New Roman"/>
          <w:color w:val="auto"/>
          <w:w w:val="99"/>
          <w:highlight w:val="none"/>
        </w:rPr>
        <w:t>级；声环境影响评价工作等级确定为二级；地表水环境影响评价工作等级为三级B；地下水环境影响评价工作等级为</w:t>
      </w:r>
      <w:r>
        <w:rPr>
          <w:rFonts w:hint="eastAsia" w:ascii="Times New Roman" w:hAnsi="Times New Roman"/>
          <w:color w:val="auto"/>
          <w:w w:val="99"/>
          <w:highlight w:val="none"/>
        </w:rPr>
        <w:t>二</w:t>
      </w:r>
      <w:r>
        <w:rPr>
          <w:rFonts w:ascii="Times New Roman" w:hAnsi="Times New Roman"/>
          <w:color w:val="auto"/>
          <w:w w:val="99"/>
          <w:highlight w:val="none"/>
        </w:rPr>
        <w:t>级；生态环境影响评价工作等级为</w:t>
      </w:r>
      <w:r>
        <w:rPr>
          <w:rFonts w:hint="eastAsia" w:ascii="Times New Roman" w:hAnsi="Times New Roman"/>
          <w:color w:val="auto"/>
          <w:w w:val="99"/>
          <w:highlight w:val="none"/>
        </w:rPr>
        <w:t>三</w:t>
      </w:r>
      <w:r>
        <w:rPr>
          <w:rFonts w:ascii="Times New Roman" w:hAnsi="Times New Roman"/>
          <w:color w:val="auto"/>
          <w:w w:val="99"/>
          <w:highlight w:val="none"/>
        </w:rPr>
        <w:t>级；土壤环境影响评价工作等级井场为</w:t>
      </w:r>
      <w:r>
        <w:rPr>
          <w:rFonts w:hint="eastAsia" w:ascii="Times New Roman" w:hAnsi="Times New Roman"/>
          <w:color w:val="auto"/>
          <w:w w:val="99"/>
          <w:highlight w:val="none"/>
        </w:rPr>
        <w:t>二</w:t>
      </w:r>
      <w:r>
        <w:rPr>
          <w:rFonts w:ascii="Times New Roman" w:hAnsi="Times New Roman"/>
          <w:color w:val="auto"/>
          <w:w w:val="99"/>
          <w:highlight w:val="none"/>
        </w:rPr>
        <w:t>级，环境风险环境影响评价工作等级为简单分析。并以此确定评价范围和评价标准，制定了评价工作方案。</w:t>
      </w:r>
    </w:p>
    <w:p w14:paraId="34AC0F0A">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第二阶段：根据工作方案，针对各环境要素的评价工作等级，调查了评价范围内的环境状况，制定了监测方案，进行生态环境现状监测并进行调查与评价，在现状监测与评价的基础上，进行各环境要素的环境影响预测和评价，编制完成各环境要素环境影响分析与评价章节。</w:t>
      </w:r>
    </w:p>
    <w:p w14:paraId="47C9CA73">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第三阶段：通过工程分析、环境影响预测与评价的结果，确定科学合理、可行的工程方案，提出预防或减缓不利影响的环境保护措施，制定相应的环境管理或环境监测计划，从生态环境影响的角度给出工程建设项目是否可行的结论，完成报告的编制。</w:t>
      </w:r>
    </w:p>
    <w:p w14:paraId="2368731F">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具体环境影响评价工作程序见图1.3-1。</w:t>
      </w:r>
    </w:p>
    <w:p w14:paraId="791541D4">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202</w:t>
      </w:r>
      <w:r>
        <w:rPr>
          <w:rFonts w:hint="eastAsia" w:ascii="Times New Roman" w:hAnsi="Times New Roman"/>
          <w:color w:val="auto"/>
          <w:w w:val="99"/>
          <w:highlight w:val="none"/>
        </w:rPr>
        <w:t>6</w:t>
      </w:r>
      <w:r>
        <w:rPr>
          <w:rFonts w:ascii="Times New Roman" w:hAnsi="Times New Roman"/>
          <w:color w:val="auto"/>
          <w:w w:val="99"/>
          <w:highlight w:val="none"/>
        </w:rPr>
        <w:t>年</w:t>
      </w:r>
      <w:r>
        <w:rPr>
          <w:rFonts w:hint="eastAsia" w:ascii="Times New Roman" w:hAnsi="Times New Roman"/>
          <w:color w:val="auto"/>
          <w:w w:val="99"/>
          <w:highlight w:val="none"/>
        </w:rPr>
        <w:t>5</w:t>
      </w:r>
      <w:r>
        <w:rPr>
          <w:rFonts w:ascii="Times New Roman" w:hAnsi="Times New Roman"/>
          <w:color w:val="auto"/>
          <w:w w:val="99"/>
          <w:highlight w:val="none"/>
        </w:rPr>
        <w:t>月</w:t>
      </w:r>
      <w:r>
        <w:rPr>
          <w:rFonts w:hint="eastAsia" w:ascii="Times New Roman" w:hAnsi="Times New Roman"/>
          <w:color w:val="auto"/>
          <w:w w:val="99"/>
          <w:highlight w:val="none"/>
        </w:rPr>
        <w:t>10</w:t>
      </w:r>
      <w:r>
        <w:rPr>
          <w:rFonts w:ascii="Times New Roman" w:hAnsi="Times New Roman"/>
          <w:color w:val="auto"/>
          <w:w w:val="99"/>
          <w:highlight w:val="none"/>
        </w:rPr>
        <w:t>日，</w:t>
      </w:r>
      <w:r>
        <w:rPr>
          <w:rFonts w:hint="eastAsia" w:ascii="Times New Roman" w:hAnsi="Times New Roman"/>
          <w:color w:val="auto"/>
          <w:w w:val="99"/>
          <w:highlight w:val="none"/>
        </w:rPr>
        <w:t>大庆油田有限责任公司采气分公司</w:t>
      </w:r>
      <w:r>
        <w:rPr>
          <w:rFonts w:ascii="Times New Roman" w:hAnsi="Times New Roman"/>
          <w:color w:val="auto"/>
          <w:w w:val="99"/>
          <w:highlight w:val="none"/>
        </w:rPr>
        <w:t>委托</w:t>
      </w:r>
      <w:r>
        <w:rPr>
          <w:rFonts w:hint="eastAsia" w:ascii="Times New Roman" w:hAnsi="Times New Roman"/>
          <w:color w:val="auto"/>
          <w:w w:val="99"/>
          <w:highlight w:val="none"/>
        </w:rPr>
        <w:t>河北奇正环境科技有限公司</w:t>
      </w:r>
      <w:r>
        <w:rPr>
          <w:rFonts w:ascii="Times New Roman" w:hAnsi="Times New Roman"/>
          <w:color w:val="auto"/>
          <w:w w:val="99"/>
          <w:highlight w:val="none"/>
        </w:rPr>
        <w:t>编制《</w:t>
      </w:r>
      <w:r>
        <w:rPr>
          <w:rFonts w:hint="eastAsia" w:ascii="Times New Roman" w:hAnsi="Times New Roman"/>
          <w:color w:val="auto"/>
          <w:w w:val="99"/>
          <w:highlight w:val="none"/>
        </w:rPr>
        <w:t>徐深27-H1井地面工程项目</w:t>
      </w:r>
      <w:r>
        <w:rPr>
          <w:rFonts w:ascii="Times New Roman" w:hAnsi="Times New Roman"/>
          <w:color w:val="auto"/>
          <w:w w:val="99"/>
          <w:highlight w:val="none"/>
        </w:rPr>
        <w:t>环境影响报告书》，在本项目环境影响报告书编制过程及初稿完成后，建设单位依据《中华人民共和国环境影响评价法》</w:t>
      </w:r>
      <w:r>
        <w:rPr>
          <w:rFonts w:hint="eastAsia" w:ascii="Times New Roman" w:hAnsi="Times New Roman"/>
          <w:color w:val="auto"/>
          <w:w w:val="99"/>
          <w:highlight w:val="none"/>
        </w:rPr>
        <w:t>（主席令[2018]第24号[2018年修正本]）</w:t>
      </w:r>
      <w:r>
        <w:rPr>
          <w:rFonts w:ascii="Times New Roman" w:hAnsi="Times New Roman"/>
          <w:color w:val="auto"/>
          <w:w w:val="99"/>
          <w:highlight w:val="none"/>
        </w:rPr>
        <w:t>、《环境影响评价公众参与办法》（</w:t>
      </w:r>
      <w:r>
        <w:rPr>
          <w:rFonts w:hint="eastAsia" w:ascii="Times New Roman" w:hAnsi="Times New Roman"/>
          <w:color w:val="auto"/>
          <w:w w:val="99"/>
          <w:highlight w:val="none"/>
        </w:rPr>
        <w:t>生态环境部令〔</w:t>
      </w:r>
      <w:r>
        <w:rPr>
          <w:rFonts w:ascii="Times New Roman" w:hAnsi="Times New Roman"/>
          <w:color w:val="auto"/>
          <w:w w:val="99"/>
          <w:highlight w:val="none"/>
        </w:rPr>
        <w:t>2018〕第4号）及建设项目环境影响评价的相关规定开展项目的公众参与工作并单独出具环境影响评价公众参与说明。公众参与工作采用网络公示、报纸公示以及张贴公告等相结合的方式进行。本项目首次环境影响评价信息公开之日为202</w:t>
      </w:r>
      <w:r>
        <w:rPr>
          <w:rFonts w:hint="eastAsia" w:ascii="Times New Roman" w:hAnsi="Times New Roman"/>
          <w:color w:val="auto"/>
          <w:w w:val="99"/>
          <w:highlight w:val="none"/>
        </w:rPr>
        <w:t>6</w:t>
      </w:r>
      <w:r>
        <w:rPr>
          <w:rFonts w:ascii="Times New Roman" w:hAnsi="Times New Roman"/>
          <w:color w:val="auto"/>
          <w:w w:val="99"/>
          <w:highlight w:val="none"/>
        </w:rPr>
        <w:t>年</w:t>
      </w:r>
      <w:r>
        <w:rPr>
          <w:rFonts w:hint="eastAsia" w:ascii="Times New Roman" w:hAnsi="Times New Roman"/>
          <w:color w:val="auto"/>
          <w:w w:val="99"/>
          <w:highlight w:val="none"/>
        </w:rPr>
        <w:t>5</w:t>
      </w:r>
      <w:r>
        <w:rPr>
          <w:rFonts w:ascii="Times New Roman" w:hAnsi="Times New Roman"/>
          <w:color w:val="auto"/>
          <w:w w:val="99"/>
          <w:highlight w:val="none"/>
        </w:rPr>
        <w:t>月</w:t>
      </w:r>
      <w:r>
        <w:rPr>
          <w:rFonts w:hint="eastAsia" w:ascii="Times New Roman" w:hAnsi="Times New Roman"/>
          <w:color w:val="auto"/>
          <w:w w:val="99"/>
          <w:highlight w:val="none"/>
        </w:rPr>
        <w:t>11</w:t>
      </w:r>
      <w:r>
        <w:rPr>
          <w:rFonts w:ascii="Times New Roman" w:hAnsi="Times New Roman"/>
          <w:color w:val="auto"/>
          <w:w w:val="99"/>
          <w:highlight w:val="none"/>
        </w:rPr>
        <w:t>日（黑龙江环保技术服务网），征求意见稿公示日期为20</w:t>
      </w:r>
      <w:r>
        <w:rPr>
          <w:rFonts w:hint="eastAsia" w:ascii="Times New Roman" w:hAnsi="Times New Roman"/>
          <w:color w:val="auto"/>
          <w:w w:val="99"/>
          <w:highlight w:val="none"/>
        </w:rPr>
        <w:t>26</w:t>
      </w:r>
      <w:r>
        <w:rPr>
          <w:rFonts w:ascii="Times New Roman" w:hAnsi="Times New Roman"/>
          <w:color w:val="auto"/>
          <w:w w:val="99"/>
          <w:highlight w:val="none"/>
        </w:rPr>
        <w:t>年</w:t>
      </w:r>
      <w:r>
        <w:rPr>
          <w:rFonts w:hint="eastAsia" w:ascii="Times New Roman" w:hAnsi="Times New Roman"/>
          <w:color w:val="auto"/>
          <w:w w:val="99"/>
          <w:highlight w:val="none"/>
        </w:rPr>
        <w:t>6</w:t>
      </w:r>
      <w:r>
        <w:rPr>
          <w:rFonts w:ascii="Times New Roman" w:hAnsi="Times New Roman"/>
          <w:color w:val="auto"/>
          <w:w w:val="99"/>
          <w:highlight w:val="none"/>
        </w:rPr>
        <w:t>月</w:t>
      </w:r>
      <w:r>
        <w:rPr>
          <w:rFonts w:hint="eastAsia" w:ascii="Times New Roman" w:hAnsi="Times New Roman"/>
          <w:color w:val="auto"/>
          <w:w w:val="99"/>
          <w:highlight w:val="none"/>
        </w:rPr>
        <w:t>9</w:t>
      </w:r>
      <w:r>
        <w:rPr>
          <w:rFonts w:ascii="Times New Roman" w:hAnsi="Times New Roman"/>
          <w:color w:val="auto"/>
          <w:w w:val="99"/>
          <w:highlight w:val="none"/>
        </w:rPr>
        <w:t>日~</w:t>
      </w:r>
      <w:r>
        <w:rPr>
          <w:rFonts w:hint="eastAsia" w:ascii="Times New Roman" w:hAnsi="Times New Roman"/>
          <w:color w:val="auto"/>
          <w:w w:val="99"/>
          <w:highlight w:val="none"/>
        </w:rPr>
        <w:t>6</w:t>
      </w:r>
      <w:r>
        <w:rPr>
          <w:rFonts w:ascii="Times New Roman" w:hAnsi="Times New Roman"/>
          <w:color w:val="auto"/>
          <w:w w:val="99"/>
          <w:highlight w:val="none"/>
        </w:rPr>
        <w:t>月</w:t>
      </w:r>
      <w:r>
        <w:rPr>
          <w:rFonts w:hint="eastAsia" w:ascii="Times New Roman" w:hAnsi="Times New Roman"/>
          <w:color w:val="auto"/>
          <w:w w:val="99"/>
          <w:highlight w:val="none"/>
        </w:rPr>
        <w:t>23</w:t>
      </w:r>
      <w:r>
        <w:rPr>
          <w:rFonts w:ascii="Times New Roman" w:hAnsi="Times New Roman"/>
          <w:color w:val="auto"/>
          <w:w w:val="99"/>
          <w:highlight w:val="none"/>
        </w:rPr>
        <w:t>日（黑龙江环保技术服务网），报纸第一次公告日期为</w:t>
      </w:r>
      <w:r>
        <w:rPr>
          <w:rFonts w:hint="eastAsia" w:ascii="Times New Roman" w:hAnsi="Times New Roman"/>
          <w:color w:val="auto"/>
          <w:w w:val="99"/>
          <w:highlight w:val="none"/>
        </w:rPr>
        <w:t>2026</w:t>
      </w:r>
      <w:r>
        <w:rPr>
          <w:rFonts w:ascii="Times New Roman" w:hAnsi="Times New Roman"/>
          <w:color w:val="auto"/>
          <w:w w:val="99"/>
          <w:highlight w:val="none"/>
        </w:rPr>
        <w:t>年</w:t>
      </w:r>
      <w:r>
        <w:rPr>
          <w:rFonts w:hint="eastAsia" w:ascii="Times New Roman" w:hAnsi="Times New Roman"/>
          <w:color w:val="auto"/>
          <w:w w:val="99"/>
          <w:highlight w:val="none"/>
        </w:rPr>
        <w:t>6</w:t>
      </w:r>
      <w:r>
        <w:rPr>
          <w:rFonts w:ascii="Times New Roman" w:hAnsi="Times New Roman"/>
          <w:color w:val="auto"/>
          <w:w w:val="99"/>
          <w:highlight w:val="none"/>
        </w:rPr>
        <w:t>月</w:t>
      </w:r>
      <w:r>
        <w:rPr>
          <w:rFonts w:hint="eastAsia" w:ascii="Times New Roman" w:hAnsi="Times New Roman"/>
          <w:color w:val="auto"/>
          <w:w w:val="99"/>
          <w:highlight w:val="none"/>
        </w:rPr>
        <w:t>16</w:t>
      </w:r>
      <w:r>
        <w:rPr>
          <w:rFonts w:ascii="Times New Roman" w:hAnsi="Times New Roman"/>
          <w:color w:val="auto"/>
          <w:w w:val="99"/>
          <w:highlight w:val="none"/>
        </w:rPr>
        <w:t>日（</w:t>
      </w:r>
      <w:r>
        <w:rPr>
          <w:rFonts w:hint="eastAsia" w:ascii="Times New Roman" w:hAnsi="Times New Roman"/>
          <w:color w:val="auto"/>
          <w:w w:val="99"/>
          <w:highlight w:val="none"/>
        </w:rPr>
        <w:t>绥化日报</w:t>
      </w:r>
      <w:r>
        <w:rPr>
          <w:rFonts w:ascii="Times New Roman" w:hAnsi="Times New Roman"/>
          <w:color w:val="auto"/>
          <w:w w:val="99"/>
          <w:highlight w:val="none"/>
        </w:rPr>
        <w:t>），报纸第二次公告日期为</w:t>
      </w:r>
      <w:r>
        <w:rPr>
          <w:rFonts w:hint="eastAsia" w:ascii="Times New Roman" w:hAnsi="Times New Roman"/>
          <w:color w:val="auto"/>
          <w:w w:val="99"/>
          <w:highlight w:val="none"/>
        </w:rPr>
        <w:t>2026</w:t>
      </w:r>
      <w:r>
        <w:rPr>
          <w:rFonts w:ascii="Times New Roman" w:hAnsi="Times New Roman"/>
          <w:color w:val="auto"/>
          <w:w w:val="99"/>
          <w:highlight w:val="none"/>
        </w:rPr>
        <w:t>年</w:t>
      </w:r>
      <w:r>
        <w:rPr>
          <w:rFonts w:hint="eastAsia" w:ascii="Times New Roman" w:hAnsi="Times New Roman"/>
          <w:color w:val="auto"/>
          <w:w w:val="99"/>
          <w:highlight w:val="none"/>
        </w:rPr>
        <w:t>6</w:t>
      </w:r>
      <w:r>
        <w:rPr>
          <w:rFonts w:ascii="Times New Roman" w:hAnsi="Times New Roman"/>
          <w:color w:val="auto"/>
          <w:w w:val="99"/>
          <w:highlight w:val="none"/>
        </w:rPr>
        <w:t>月</w:t>
      </w:r>
      <w:r>
        <w:rPr>
          <w:rFonts w:hint="eastAsia" w:ascii="Times New Roman" w:hAnsi="Times New Roman"/>
          <w:color w:val="auto"/>
          <w:w w:val="99"/>
          <w:highlight w:val="none"/>
        </w:rPr>
        <w:t>17</w:t>
      </w:r>
      <w:r>
        <w:rPr>
          <w:rFonts w:ascii="Times New Roman" w:hAnsi="Times New Roman"/>
          <w:color w:val="auto"/>
          <w:w w:val="99"/>
          <w:highlight w:val="none"/>
        </w:rPr>
        <w:t>日（</w:t>
      </w:r>
      <w:r>
        <w:rPr>
          <w:rFonts w:hint="eastAsia" w:ascii="Times New Roman" w:hAnsi="Times New Roman"/>
          <w:color w:val="auto"/>
          <w:w w:val="99"/>
          <w:highlight w:val="none"/>
        </w:rPr>
        <w:t>绥化日报</w:t>
      </w:r>
      <w:r>
        <w:rPr>
          <w:rFonts w:ascii="Times New Roman" w:hAnsi="Times New Roman"/>
          <w:color w:val="auto"/>
          <w:w w:val="99"/>
          <w:highlight w:val="none"/>
        </w:rPr>
        <w:t>），现场张贴公示日期为20</w:t>
      </w:r>
      <w:r>
        <w:rPr>
          <w:rFonts w:hint="eastAsia" w:ascii="Times New Roman" w:hAnsi="Times New Roman"/>
          <w:color w:val="auto"/>
          <w:w w:val="99"/>
          <w:highlight w:val="none"/>
        </w:rPr>
        <w:t>26</w:t>
      </w:r>
      <w:r>
        <w:rPr>
          <w:rFonts w:ascii="Times New Roman" w:hAnsi="Times New Roman"/>
          <w:color w:val="auto"/>
          <w:w w:val="99"/>
          <w:highlight w:val="none"/>
        </w:rPr>
        <w:t>年</w:t>
      </w:r>
      <w:r>
        <w:rPr>
          <w:rFonts w:hint="eastAsia" w:ascii="Times New Roman" w:hAnsi="Times New Roman"/>
          <w:color w:val="auto"/>
          <w:w w:val="99"/>
          <w:highlight w:val="none"/>
        </w:rPr>
        <w:t>6</w:t>
      </w:r>
      <w:r>
        <w:rPr>
          <w:rFonts w:ascii="Times New Roman" w:hAnsi="Times New Roman"/>
          <w:color w:val="auto"/>
          <w:w w:val="99"/>
          <w:highlight w:val="none"/>
        </w:rPr>
        <w:t>月</w:t>
      </w:r>
      <w:r>
        <w:rPr>
          <w:rFonts w:hint="eastAsia" w:ascii="Times New Roman" w:hAnsi="Times New Roman"/>
          <w:color w:val="auto"/>
          <w:w w:val="99"/>
          <w:highlight w:val="none"/>
        </w:rPr>
        <w:t>9</w:t>
      </w:r>
      <w:r>
        <w:rPr>
          <w:rFonts w:ascii="Times New Roman" w:hAnsi="Times New Roman"/>
          <w:color w:val="auto"/>
          <w:w w:val="99"/>
          <w:highlight w:val="none"/>
        </w:rPr>
        <w:t>日~</w:t>
      </w:r>
      <w:r>
        <w:rPr>
          <w:rFonts w:hint="eastAsia" w:ascii="Times New Roman" w:hAnsi="Times New Roman"/>
          <w:color w:val="auto"/>
          <w:w w:val="99"/>
          <w:highlight w:val="none"/>
        </w:rPr>
        <w:t>6</w:t>
      </w:r>
      <w:r>
        <w:rPr>
          <w:rFonts w:ascii="Times New Roman" w:hAnsi="Times New Roman"/>
          <w:color w:val="auto"/>
          <w:w w:val="99"/>
          <w:highlight w:val="none"/>
        </w:rPr>
        <w:t>月</w:t>
      </w:r>
      <w:r>
        <w:rPr>
          <w:rFonts w:hint="eastAsia" w:ascii="Times New Roman" w:hAnsi="Times New Roman"/>
          <w:color w:val="auto"/>
          <w:w w:val="99"/>
          <w:highlight w:val="none"/>
        </w:rPr>
        <w:t>23</w:t>
      </w:r>
      <w:r>
        <w:rPr>
          <w:rFonts w:ascii="Times New Roman" w:hAnsi="Times New Roman"/>
          <w:color w:val="auto"/>
          <w:w w:val="99"/>
          <w:highlight w:val="none"/>
        </w:rPr>
        <w:t>日，公示地点为评价范围内村屯，并于</w:t>
      </w:r>
      <w:r>
        <w:rPr>
          <w:rFonts w:hint="eastAsia" w:ascii="Times New Roman" w:hAnsi="Times New Roman"/>
          <w:color w:val="auto"/>
          <w:w w:val="99"/>
          <w:highlight w:val="none"/>
        </w:rPr>
        <w:t>2026</w:t>
      </w:r>
      <w:r>
        <w:rPr>
          <w:rFonts w:ascii="Times New Roman" w:hAnsi="Times New Roman"/>
          <w:color w:val="auto"/>
          <w:w w:val="99"/>
          <w:highlight w:val="none"/>
        </w:rPr>
        <w:t>年</w:t>
      </w:r>
      <w:r>
        <w:rPr>
          <w:rFonts w:hint="eastAsia" w:ascii="Times New Roman" w:hAnsi="Times New Roman"/>
          <w:color w:val="auto"/>
          <w:w w:val="99"/>
          <w:highlight w:val="none"/>
          <w:lang w:val="en-US" w:eastAsia="zh-CN"/>
        </w:rPr>
        <w:t>7</w:t>
      </w:r>
      <w:r>
        <w:rPr>
          <w:rFonts w:ascii="Times New Roman" w:hAnsi="Times New Roman"/>
          <w:color w:val="auto"/>
          <w:w w:val="99"/>
          <w:highlight w:val="none"/>
        </w:rPr>
        <w:t>月</w:t>
      </w:r>
      <w:r>
        <w:rPr>
          <w:rFonts w:hint="eastAsia" w:ascii="Times New Roman" w:hAnsi="Times New Roman"/>
          <w:color w:val="auto"/>
          <w:w w:val="99"/>
          <w:highlight w:val="none"/>
          <w:lang w:val="en-US" w:eastAsia="zh-CN"/>
        </w:rPr>
        <w:t>10</w:t>
      </w:r>
      <w:r>
        <w:rPr>
          <w:rFonts w:ascii="Times New Roman" w:hAnsi="Times New Roman"/>
          <w:color w:val="auto"/>
          <w:w w:val="99"/>
          <w:highlight w:val="none"/>
        </w:rPr>
        <w:t>日在黑龙江环保技术服务网公开发布平台进行</w:t>
      </w:r>
      <w:r>
        <w:rPr>
          <w:rFonts w:hint="eastAsia" w:ascii="Times New Roman" w:hAnsi="Times New Roman"/>
          <w:color w:val="auto"/>
          <w:w w:val="99"/>
          <w:highlight w:val="none"/>
        </w:rPr>
        <w:t>徐深27-H1井地面工程项目</w:t>
      </w:r>
      <w:r>
        <w:rPr>
          <w:rFonts w:ascii="Times New Roman" w:hAnsi="Times New Roman"/>
          <w:color w:val="auto"/>
          <w:w w:val="99"/>
          <w:highlight w:val="none"/>
        </w:rPr>
        <w:t>环境影响报告书全本公示和项目公众参与说明全本公示。在公示期间建设单位及环评单位未收到相关反馈，建设单位承诺将加强企业环境管理，强化诚信意识，恪守环保信用，项目运行中主动公开环保信息，接受公众监督。</w:t>
      </w:r>
    </w:p>
    <w:p w14:paraId="3F8B4C7D">
      <w:pPr>
        <w:pStyle w:val="153"/>
        <w:widowControl w:val="0"/>
        <w:spacing w:line="240" w:lineRule="auto"/>
        <w:ind w:firstLine="0" w:firstLineChars="0"/>
        <w:jc w:val="center"/>
        <w:rPr>
          <w:rFonts w:ascii="Times New Roman" w:hAnsi="Times New Roman" w:eastAsiaTheme="minorEastAsia"/>
          <w:snapToGrid w:val="0"/>
          <w:color w:val="auto"/>
          <w:w w:val="99"/>
          <w:highlight w:val="none"/>
        </w:rPr>
      </w:pPr>
      <w:r>
        <w:rPr>
          <w:rFonts w:ascii="Times New Roman" w:hAnsi="Times New Roman"/>
          <w:color w:val="auto"/>
          <w:w w:val="99"/>
          <w:highlight w:val="none"/>
        </w:rPr>
        <w:drawing>
          <wp:inline distT="0" distB="0" distL="0" distR="0">
            <wp:extent cx="4733925" cy="5497830"/>
            <wp:effectExtent l="19050" t="19050" r="9525" b="2667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17"/>
                    <a:srcRect l="2610" t="1955" r="1995"/>
                    <a:stretch>
                      <a:fillRect/>
                    </a:stretch>
                  </pic:blipFill>
                  <pic:spPr>
                    <a:xfrm>
                      <a:off x="0" y="0"/>
                      <a:ext cx="4736534" cy="5500922"/>
                    </a:xfrm>
                    <a:prstGeom prst="rect">
                      <a:avLst/>
                    </a:prstGeom>
                    <a:ln w="6350">
                      <a:solidFill>
                        <a:schemeClr val="tx1"/>
                      </a:solidFill>
                    </a:ln>
                  </pic:spPr>
                </pic:pic>
              </a:graphicData>
            </a:graphic>
          </wp:inline>
        </w:drawing>
      </w:r>
    </w:p>
    <w:p w14:paraId="5E023598">
      <w:pPr>
        <w:pStyle w:val="153"/>
        <w:widowControl w:val="0"/>
        <w:spacing w:line="440" w:lineRule="exact"/>
        <w:ind w:firstLine="0" w:firstLineChars="0"/>
        <w:jc w:val="center"/>
        <w:rPr>
          <w:rFonts w:ascii="Times New Roman" w:hAnsi="Times New Roman" w:eastAsiaTheme="minorEastAsia"/>
          <w:b/>
          <w:snapToGrid w:val="0"/>
          <w:color w:val="auto"/>
          <w:w w:val="99"/>
          <w:highlight w:val="none"/>
        </w:rPr>
      </w:pPr>
      <w:r>
        <w:rPr>
          <w:rFonts w:ascii="Times New Roman" w:hAnsi="Times New Roman" w:eastAsiaTheme="minorEastAsia"/>
          <w:b/>
          <w:snapToGrid w:val="0"/>
          <w:color w:val="auto"/>
          <w:w w:val="99"/>
          <w:highlight w:val="none"/>
        </w:rPr>
        <w:t>图1.3-1    建设项目环境影响评价工作程序图</w:t>
      </w:r>
    </w:p>
    <w:p w14:paraId="15CEEE6D">
      <w:pPr>
        <w:pStyle w:val="5"/>
        <w:keepNext w:val="0"/>
        <w:keepLines w:val="0"/>
        <w:widowControl w:val="0"/>
        <w:spacing w:before="120" w:after="120" w:line="440" w:lineRule="exact"/>
        <w:jc w:val="both"/>
        <w:rPr>
          <w:rFonts w:ascii="Times New Roman" w:hAnsi="Times New Roman" w:eastAsia="宋体"/>
          <w:b/>
          <w:snapToGrid w:val="0"/>
          <w:color w:val="auto"/>
          <w:w w:val="99"/>
          <w:highlight w:val="none"/>
        </w:rPr>
      </w:pPr>
      <w:bookmarkStart w:id="61" w:name="_Toc502736433"/>
      <w:bookmarkStart w:id="62" w:name="_Toc16420"/>
      <w:r>
        <w:rPr>
          <w:rFonts w:ascii="Times New Roman" w:hAnsi="Times New Roman" w:eastAsia="宋体"/>
          <w:b/>
          <w:snapToGrid w:val="0"/>
          <w:color w:val="auto"/>
          <w:w w:val="99"/>
          <w:highlight w:val="none"/>
        </w:rPr>
        <w:t>1.4分析判定相关情况</w:t>
      </w:r>
      <w:bookmarkEnd w:id="61"/>
      <w:bookmarkEnd w:id="62"/>
    </w:p>
    <w:p w14:paraId="3E9D75C8">
      <w:pPr>
        <w:pStyle w:val="7"/>
        <w:widowControl w:val="0"/>
        <w:spacing w:before="60" w:after="60" w:line="440" w:lineRule="exact"/>
        <w:jc w:val="both"/>
        <w:rPr>
          <w:rFonts w:eastAsia="宋体"/>
          <w:b/>
          <w:color w:val="auto"/>
          <w:w w:val="99"/>
          <w:kern w:val="2"/>
          <w:sz w:val="24"/>
          <w:szCs w:val="24"/>
          <w:highlight w:val="none"/>
        </w:rPr>
      </w:pPr>
      <w:bookmarkStart w:id="63" w:name="_Toc57707873"/>
      <w:bookmarkStart w:id="64" w:name="_Toc502736434"/>
      <w:bookmarkStart w:id="65" w:name="_Toc70050123"/>
      <w:bookmarkStart w:id="66" w:name="_Toc80588208"/>
      <w:bookmarkStart w:id="67" w:name="_Toc61597173"/>
      <w:bookmarkStart w:id="68" w:name="_Toc17898120"/>
      <w:bookmarkStart w:id="69" w:name="_Toc78816413"/>
      <w:bookmarkStart w:id="70" w:name="_Toc83209425"/>
      <w:bookmarkStart w:id="71" w:name="_Toc77067612"/>
      <w:bookmarkStart w:id="72" w:name="_Toc76976196"/>
      <w:bookmarkStart w:id="73" w:name="_Toc67860081"/>
      <w:bookmarkStart w:id="74" w:name="_Toc57976628"/>
      <w:bookmarkStart w:id="75" w:name="_Toc29321"/>
      <w:bookmarkStart w:id="76" w:name="_Toc186444228"/>
      <w:bookmarkStart w:id="77" w:name="_Toc57203203"/>
      <w:bookmarkStart w:id="78" w:name="_Toc80971330"/>
      <w:r>
        <w:rPr>
          <w:rFonts w:eastAsia="宋体"/>
          <w:b/>
          <w:color w:val="auto"/>
          <w:w w:val="99"/>
          <w:kern w:val="2"/>
          <w:sz w:val="24"/>
          <w:szCs w:val="24"/>
          <w:highlight w:val="none"/>
        </w:rPr>
        <w:t>1.4.1产业政策符合性分析</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14:paraId="39BC5D9C">
      <w:pPr>
        <w:pStyle w:val="153"/>
        <w:widowControl w:val="0"/>
        <w:spacing w:line="440" w:lineRule="exact"/>
        <w:ind w:firstLine="473"/>
        <w:jc w:val="both"/>
        <w:rPr>
          <w:rFonts w:ascii="Times New Roman" w:hAnsi="Times New Roman"/>
          <w:color w:val="auto"/>
          <w:w w:val="99"/>
          <w:highlight w:val="none"/>
        </w:rPr>
      </w:pPr>
      <w:bookmarkStart w:id="79" w:name="_Toc502736435"/>
      <w:bookmarkStart w:id="80" w:name="_Toc17898121"/>
      <w:bookmarkStart w:id="81" w:name="_Toc3092"/>
      <w:r>
        <w:rPr>
          <w:rFonts w:ascii="Times New Roman" w:hAnsi="Times New Roman"/>
          <w:color w:val="auto"/>
          <w:w w:val="99"/>
          <w:highlight w:val="none"/>
        </w:rPr>
        <w:t>本项目为石油开采项目，根据《产业结构调整指导目录（2024 年本）》</w:t>
      </w:r>
      <w:r>
        <w:rPr>
          <w:rFonts w:hint="eastAsia" w:ascii="Times New Roman" w:hAnsi="Times New Roman"/>
          <w:color w:val="auto"/>
          <w:w w:val="99"/>
          <w:highlight w:val="none"/>
        </w:rPr>
        <w:t>（国家发展和改革委员会令</w:t>
      </w:r>
      <w:r>
        <w:rPr>
          <w:rFonts w:ascii="Times New Roman" w:hAnsi="Times New Roman"/>
          <w:color w:val="auto"/>
          <w:w w:val="99"/>
          <w:highlight w:val="none"/>
        </w:rPr>
        <w:t>[2023]第7号</w:t>
      </w:r>
      <w:r>
        <w:rPr>
          <w:rFonts w:hint="eastAsia" w:ascii="Times New Roman" w:hAnsi="Times New Roman"/>
          <w:color w:val="auto"/>
          <w:w w:val="99"/>
          <w:highlight w:val="none"/>
        </w:rPr>
        <w:t>）</w:t>
      </w:r>
      <w:r>
        <w:rPr>
          <w:rFonts w:ascii="Times New Roman" w:hAnsi="Times New Roman"/>
          <w:color w:val="auto"/>
          <w:w w:val="99"/>
          <w:highlight w:val="none"/>
        </w:rPr>
        <w:t>，本项目属于鼓励类“七、石油天然气”中“1.石油天然气开采：常规石油、天然气勘探与开采”，因此，本项目建设符合国家的产业政策。</w:t>
      </w:r>
    </w:p>
    <w:p w14:paraId="0A600F5A">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本项目不属于列入《淘汰落后生产能力、工艺和产品的目录》（第一批、第二批、第三批）和《工商投资领域制止重复建设目录》内的项目，因此本项目不违反国家有关产业政策。</w:t>
      </w:r>
    </w:p>
    <w:p w14:paraId="2239B5D5">
      <w:pPr>
        <w:pStyle w:val="7"/>
        <w:widowControl w:val="0"/>
        <w:spacing w:before="60" w:after="60" w:line="440" w:lineRule="exact"/>
        <w:jc w:val="both"/>
        <w:rPr>
          <w:rFonts w:eastAsiaTheme="minorEastAsia"/>
          <w:b/>
          <w:color w:val="auto"/>
          <w:w w:val="99"/>
          <w:kern w:val="2"/>
          <w:sz w:val="24"/>
          <w:szCs w:val="24"/>
          <w:highlight w:val="none"/>
        </w:rPr>
      </w:pPr>
      <w:bookmarkStart w:id="82" w:name="_Toc186444229"/>
      <w:bookmarkStart w:id="83" w:name="_Toc84929181"/>
      <w:bookmarkStart w:id="84" w:name="_Toc126863345"/>
      <w:bookmarkStart w:id="85" w:name="_Toc127192294"/>
      <w:bookmarkStart w:id="86" w:name="_Toc131167245"/>
      <w:bookmarkStart w:id="87" w:name="_Toc85640706"/>
      <w:bookmarkStart w:id="88" w:name="_Toc143099532"/>
      <w:bookmarkStart w:id="89" w:name="_Toc86141889"/>
      <w:r>
        <w:rPr>
          <w:rFonts w:eastAsiaTheme="minorEastAsia"/>
          <w:b/>
          <w:color w:val="auto"/>
          <w:w w:val="99"/>
          <w:kern w:val="2"/>
          <w:sz w:val="24"/>
          <w:szCs w:val="24"/>
          <w:highlight w:val="none"/>
        </w:rPr>
        <w:t>1.4.2相关规划符合性分析</w:t>
      </w:r>
      <w:bookmarkEnd w:id="82"/>
      <w:bookmarkEnd w:id="83"/>
      <w:bookmarkEnd w:id="84"/>
      <w:bookmarkEnd w:id="85"/>
      <w:bookmarkEnd w:id="86"/>
      <w:bookmarkEnd w:id="87"/>
      <w:bookmarkEnd w:id="88"/>
      <w:bookmarkEnd w:id="89"/>
    </w:p>
    <w:p w14:paraId="1B016075">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1.4.2.1与《黑龙江省主体功能区规划》（</w:t>
      </w:r>
      <w:r>
        <w:rPr>
          <w:rFonts w:hint="eastAsia" w:ascii="Times New Roman" w:hAnsi="Times New Roman" w:eastAsiaTheme="minorEastAsia"/>
          <w:b/>
          <w:color w:val="auto"/>
          <w:w w:val="99"/>
          <w:highlight w:val="none"/>
        </w:rPr>
        <w:t>黑政发〔2012〕29号</w:t>
      </w:r>
      <w:r>
        <w:rPr>
          <w:rFonts w:ascii="Times New Roman" w:hAnsi="Times New Roman" w:eastAsiaTheme="minorEastAsia"/>
          <w:b/>
          <w:color w:val="auto"/>
          <w:w w:val="99"/>
          <w:highlight w:val="none"/>
        </w:rPr>
        <w:t>）符合性分析</w:t>
      </w:r>
    </w:p>
    <w:p w14:paraId="1EDE2533">
      <w:pPr>
        <w:pStyle w:val="153"/>
        <w:spacing w:line="440" w:lineRule="exact"/>
        <w:ind w:firstLine="473"/>
        <w:jc w:val="both"/>
        <w:rPr>
          <w:rFonts w:ascii="Times New Roman" w:hAnsi="Times New Roman" w:eastAsiaTheme="minorEastAsia"/>
          <w:color w:val="auto"/>
          <w:w w:val="99"/>
          <w:highlight w:val="none"/>
        </w:rPr>
      </w:pPr>
      <w:r>
        <w:rPr>
          <w:rFonts w:ascii="Times New Roman" w:hAnsi="Times New Roman" w:eastAsiaTheme="minorEastAsia"/>
          <w:color w:val="auto"/>
          <w:w w:val="99"/>
          <w:highlight w:val="none"/>
        </w:rPr>
        <w:t>本项目位于黑龙江省</w:t>
      </w:r>
      <w:r>
        <w:rPr>
          <w:rFonts w:hint="eastAsia" w:ascii="Times New Roman" w:hAnsi="Times New Roman" w:eastAsiaTheme="minorEastAsia"/>
          <w:color w:val="auto"/>
          <w:w w:val="99"/>
          <w:highlight w:val="none"/>
        </w:rPr>
        <w:t>绥化市肇东市</w:t>
      </w:r>
      <w:r>
        <w:rPr>
          <w:rFonts w:ascii="Times New Roman" w:hAnsi="Times New Roman" w:eastAsiaTheme="minorEastAsia"/>
          <w:color w:val="auto"/>
          <w:w w:val="99"/>
          <w:highlight w:val="none"/>
        </w:rPr>
        <w:t>境内，根据《黑龙江省主体功能区规划》，工程所在区域定位为国家农产品主产区，属于限制开发区域。根据《黑龙江省主体功能区规划》中第八章能源与资源中提出：“位于限制开发区域的重点生态功能区的能源和矿产资源，在进行点状开发时，必须进行生态环境影响评估。尽可能减少对生态空间的占用，并同步修复生态环境。其中，在水资源严重短缺、环境容量很小、生态十分脆弱的地区，要严格控制能源和矿产资源开发”。</w:t>
      </w:r>
    </w:p>
    <w:p w14:paraId="4B45CDF3">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根据《黑龙江省主体功能区规划》</w:t>
      </w:r>
      <w:r>
        <w:rPr>
          <w:rFonts w:hint="eastAsia" w:ascii="Times New Roman" w:hAnsi="Times New Roman"/>
          <w:color w:val="auto"/>
          <w:w w:val="99"/>
          <w:highlight w:val="none"/>
        </w:rPr>
        <w:t>（黑政发〔</w:t>
      </w:r>
      <w:r>
        <w:rPr>
          <w:rFonts w:ascii="Times New Roman" w:hAnsi="Times New Roman"/>
          <w:color w:val="auto"/>
          <w:w w:val="99"/>
          <w:highlight w:val="none"/>
        </w:rPr>
        <w:t>2012〕29号）第五章保障措施中第八节环境政策，限制开发区要通过治理、限制或关闭污染物排放企业等手段，实现污染物排放总量持续下降；加大水资源保护力度，适度开发利用水资源，实行全面节水，满足基本的生态用水需求。</w:t>
      </w:r>
    </w:p>
    <w:p w14:paraId="4FFAB480">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①本项目属于天然气开采项目，不属于大规模、 高强度的工业和城镇建设，因此本项目不属于限制或禁止类项目。本报告书中的第五章“环境影响预测与评价”中的第</w:t>
      </w:r>
      <w:r>
        <w:rPr>
          <w:rFonts w:hint="eastAsia" w:ascii="Times New Roman" w:hAnsi="Times New Roman"/>
          <w:color w:val="auto"/>
          <w:w w:val="99"/>
          <w:highlight w:val="none"/>
        </w:rPr>
        <w:t>六</w:t>
      </w:r>
      <w:r>
        <w:rPr>
          <w:rFonts w:ascii="Times New Roman" w:hAnsi="Times New Roman"/>
          <w:color w:val="auto"/>
          <w:w w:val="99"/>
          <w:highlight w:val="none"/>
        </w:rPr>
        <w:t>节“生态环境影响分析”进行了生态环境影响评价，因此符合“位于限制开发区域的重点生态功能区的能源和矿产资源，在进行点状开发时，必须进行生态环境影响评估。”</w:t>
      </w:r>
    </w:p>
    <w:p w14:paraId="5FEB6871">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②本项目施工活动控制在施工作业带内进行，施工期间严格控制施工作业面积， 占地严格按照《石油天然气工程项目用地控制指标》（国土资规〔2016〕14 号），管线施工采用人工开挖和机械开挖相结合的方式，临时占用基本农田在施工结束后及时进行复垦，并在施工过程中加强水土保持措施，有效降低生态环境影响因此符合“尽可能减少对生态空间的占用，并同步修复生态环境。”</w:t>
      </w:r>
    </w:p>
    <w:p w14:paraId="65129E00">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③本项目区域不属于水资源严重短缺、环境容量很小、生态十分脆弱的地区。同时，本项目为天然气开采项目，因此符合“鼓励开采石油、天然气、煤层气、地热、油页岩 …等矿产资源”。</w:t>
      </w:r>
    </w:p>
    <w:p w14:paraId="164455DF">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本项目与黑龙江省主体功能区位置关系见图1.4-1。</w:t>
      </w:r>
    </w:p>
    <w:p w14:paraId="569F06C1">
      <w:pPr>
        <w:jc w:val="center"/>
        <w:rPr>
          <w:rFonts w:ascii="Times New Roman" w:hAnsi="Times New Roman" w:cs="Times New Roman"/>
          <w:color w:val="auto"/>
          <w:w w:val="99"/>
          <w:highlight w:val="none"/>
        </w:rPr>
      </w:pPr>
      <w:r>
        <w:rPr>
          <w:rFonts w:ascii="Times New Roman" w:hAnsi="Times New Roman" w:cs="Times New Roman"/>
          <w:color w:val="auto"/>
          <w:w w:val="99"/>
          <w:highlight w:val="none"/>
        </w:rPr>
        <mc:AlternateContent>
          <mc:Choice Requires="wps">
            <w:drawing>
              <wp:anchor distT="0" distB="0" distL="114300" distR="114300" simplePos="0" relativeHeight="251664384" behindDoc="0" locked="0" layoutInCell="1" allowOverlap="1">
                <wp:simplePos x="0" y="0"/>
                <wp:positionH relativeFrom="column">
                  <wp:posOffset>631190</wp:posOffset>
                </wp:positionH>
                <wp:positionV relativeFrom="paragraph">
                  <wp:posOffset>2514600</wp:posOffset>
                </wp:positionV>
                <wp:extent cx="1073150" cy="309245"/>
                <wp:effectExtent l="0" t="0" r="488950" b="319405"/>
                <wp:wrapNone/>
                <wp:docPr id="63" name="圆角矩形标注 63"/>
                <wp:cNvGraphicFramePr/>
                <a:graphic xmlns:a="http://schemas.openxmlformats.org/drawingml/2006/main">
                  <a:graphicData uri="http://schemas.microsoft.com/office/word/2010/wordprocessingShape">
                    <wps:wsp>
                      <wps:cNvSpPr/>
                      <wps:spPr>
                        <a:xfrm>
                          <a:off x="0" y="0"/>
                          <a:ext cx="1073150" cy="309245"/>
                        </a:xfrm>
                        <a:prstGeom prst="wedgeRoundRectCallout">
                          <a:avLst>
                            <a:gd name="adj1" fmla="val 88825"/>
                            <a:gd name="adj2" fmla="val 140946"/>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9FCDF70">
                            <w:pPr>
                              <w:jc w:val="center"/>
                              <w:rPr>
                                <w:rFonts w:hint="eastAsia"/>
                              </w:rPr>
                            </w:pPr>
                            <w:r>
                              <w:rPr>
                                <w:rFonts w:hint="eastAsia"/>
                              </w:rPr>
                              <w:t>本项目</w:t>
                            </w:r>
                            <w:r>
                              <w:t>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49.7pt;margin-top:198pt;height:24.35pt;width:84.5pt;z-index:251664384;v-text-anchor:middle;mso-width-relative:page;mso-height-relative:page;" fillcolor="#5B9BD5 [3204]" filled="t" stroked="t" coordsize="21600,21600" o:gfxdata="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" adj="29986,41244,14400">
                <v:fill on="t" focussize="0,0"/>
                <v:stroke weight="1pt" color="#41719C [3204]" miterlimit="8" joinstyle="miter"/>
                <v:imagedata o:title=""/>
                <o:lock v:ext="edit" aspectratio="f"/>
                <v:textbox>
                  <w:txbxContent>
                    <w:p w14:paraId="39FCDF70">
                      <w:pPr>
                        <w:jc w:val="center"/>
                        <w:rPr>
                          <w:rFonts w:hint="eastAsia"/>
                        </w:rPr>
                      </w:pPr>
                      <w:r>
                        <w:rPr>
                          <w:rFonts w:hint="eastAsia"/>
                        </w:rPr>
                        <w:t>本项目</w:t>
                      </w:r>
                      <w:r>
                        <w:t>位置</w:t>
                      </w:r>
                    </w:p>
                  </w:txbxContent>
                </v:textbox>
              </v:shape>
            </w:pict>
          </mc:Fallback>
        </mc:AlternateContent>
      </w:r>
      <w:r>
        <w:rPr>
          <w:rFonts w:ascii="Times New Roman" w:hAnsi="Times New Roman" w:cs="Times New Roman"/>
          <w:color w:val="auto"/>
          <w:w w:val="99"/>
          <w:highlight w:val="none"/>
        </w:rPr>
        <mc:AlternateContent>
          <mc:Choice Requires="wps">
            <w:drawing>
              <wp:anchor distT="0" distB="0" distL="114300" distR="114300" simplePos="0" relativeHeight="251663360" behindDoc="0" locked="0" layoutInCell="1" allowOverlap="1">
                <wp:simplePos x="0" y="0"/>
                <wp:positionH relativeFrom="column">
                  <wp:posOffset>2132330</wp:posOffset>
                </wp:positionH>
                <wp:positionV relativeFrom="paragraph">
                  <wp:posOffset>3094990</wp:posOffset>
                </wp:positionV>
                <wp:extent cx="76200" cy="76200"/>
                <wp:effectExtent l="22225" t="22225" r="34925" b="34925"/>
                <wp:wrapNone/>
                <wp:docPr id="499" name="矩形 499"/>
                <wp:cNvGraphicFramePr/>
                <a:graphic xmlns:a="http://schemas.openxmlformats.org/drawingml/2006/main">
                  <a:graphicData uri="http://schemas.microsoft.com/office/word/2010/wordprocessingShape">
                    <wps:wsp>
                      <wps:cNvSpPr/>
                      <wps:spPr>
                        <a:xfrm rot="3083878" flipH="1">
                          <a:off x="0" y="0"/>
                          <a:ext cx="76200" cy="76200"/>
                        </a:xfrm>
                        <a:prstGeom prst="rect">
                          <a:avLst/>
                        </a:prstGeom>
                        <a:no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flip:x;margin-left:167.9pt;margin-top:243.7pt;height:6pt;width:6pt;rotation:-3368417f;z-index:251663360;v-text-anchor:middle;mso-width-relative:page;mso-height-relative:page;" filled="f" stroked="t" coordsize="21600,21600" o:gfxdata="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ZN7CCdgAAAALAQAADwAAAAAAAAABACAAAAAiAAAAZHJz&#10;L2Rvd25yZXYueG1sUEsBAhQAFAAAAAgAh07iQIWhpyp2AgAA4wQAAA4AAAAAAAAAAQAgAAAAJwEA&#10;AGRycy9lMm9Eb2MueG1sUEsFBgAAAAAGAAYAWQEAAA8GAAAAAA==&#10;">
                <v:fill on="f" focussize="0,0"/>
                <v:stroke weight="0.5pt" color="#FF0000 [3204]" miterlimit="8" joinstyle="miter"/>
                <v:imagedata o:title=""/>
                <o:lock v:ext="edit" aspectratio="f"/>
              </v:rect>
            </w:pict>
          </mc:Fallback>
        </mc:AlternateContent>
      </w:r>
      <w:r>
        <w:rPr>
          <w:rFonts w:ascii="Times New Roman" w:hAnsi="Times New Roman" w:cs="Times New Roman"/>
          <w:color w:val="auto"/>
          <w:w w:val="99"/>
          <w:highlight w:val="none"/>
        </w:rPr>
        <w:drawing>
          <wp:inline distT="0" distB="0" distL="0" distR="0">
            <wp:extent cx="5759450" cy="4361815"/>
            <wp:effectExtent l="0" t="0" r="0" b="635"/>
            <wp:docPr id="500" name="图片 500" descr="21主体功能区分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图片 500" descr="21主体功能区分布图"/>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759450" cy="4362218"/>
                    </a:xfrm>
                    <a:prstGeom prst="rect">
                      <a:avLst/>
                    </a:prstGeom>
                    <a:noFill/>
                    <a:ln>
                      <a:noFill/>
                    </a:ln>
                  </pic:spPr>
                </pic:pic>
              </a:graphicData>
            </a:graphic>
          </wp:inline>
        </w:drawing>
      </w:r>
    </w:p>
    <w:p w14:paraId="2DD3038A">
      <w:pPr>
        <w:jc w:val="center"/>
        <w:rPr>
          <w:rFonts w:ascii="Times New Roman" w:hAnsi="Times New Roman" w:cs="Times New Roman"/>
          <w:b/>
          <w:color w:val="auto"/>
          <w:w w:val="99"/>
          <w:highlight w:val="none"/>
        </w:rPr>
      </w:pPr>
      <w:r>
        <w:rPr>
          <w:rFonts w:ascii="Times New Roman" w:hAnsi="Times New Roman" w:cs="Times New Roman" w:eastAsiaTheme="minorEastAsia"/>
          <w:b/>
          <w:color w:val="auto"/>
          <w:w w:val="99"/>
          <w:highlight w:val="none"/>
        </w:rPr>
        <w:t>图1.4-1    本项目与黑龙江省主体功能区位置关系图</w:t>
      </w:r>
    </w:p>
    <w:p w14:paraId="133B8E6A">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1.4.2.2与《黑龙江省生态功能区划》（黑政函〔2006〕75号）符合性分析</w:t>
      </w:r>
    </w:p>
    <w:p w14:paraId="6ED344B5">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根据《黑龙江省生态功能区划》（黑政函〔2006〕75号），本项目所在区域位于Ⅰ-6-1-1嫩江下游湿地保护与沙化和盐渍化控制生态功能区及Ⅰ-06-01-3 安达-肇东-肇州农、牧业与盐渍化控制生态功能区，该功能区的主要生态系统服务功能为盐渍化控制、生态系统产品提供。</w:t>
      </w:r>
    </w:p>
    <w:p w14:paraId="39FFC98B">
      <w:pPr>
        <w:pStyle w:val="153"/>
        <w:widowControl w:val="0"/>
        <w:spacing w:line="440" w:lineRule="exact"/>
        <w:ind w:firstLine="473"/>
        <w:jc w:val="both"/>
        <w:rPr>
          <w:rFonts w:ascii="Times New Roman" w:hAnsi="Times New Roman"/>
          <w:iCs/>
          <w:color w:val="auto"/>
          <w:w w:val="99"/>
          <w:highlight w:val="none"/>
        </w:rPr>
      </w:pPr>
      <w:r>
        <w:rPr>
          <w:rFonts w:ascii="Times New Roman" w:hAnsi="Times New Roman"/>
          <w:iCs/>
          <w:color w:val="auto"/>
          <w:w w:val="99"/>
          <w:highlight w:val="none"/>
        </w:rPr>
        <w:t>本项目属于</w:t>
      </w:r>
      <w:r>
        <w:rPr>
          <w:rFonts w:hint="eastAsia" w:ascii="Times New Roman" w:hAnsi="Times New Roman"/>
          <w:iCs/>
          <w:color w:val="auto"/>
          <w:w w:val="99"/>
          <w:highlight w:val="none"/>
        </w:rPr>
        <w:t>天然气</w:t>
      </w:r>
      <w:r>
        <w:rPr>
          <w:rFonts w:ascii="Times New Roman" w:hAnsi="Times New Roman"/>
          <w:iCs/>
          <w:color w:val="auto"/>
          <w:w w:val="99"/>
          <w:highlight w:val="none"/>
        </w:rPr>
        <w:t>开发项目，建成后新增总</w:t>
      </w:r>
      <w:r>
        <w:rPr>
          <w:rFonts w:ascii="Times New Roman" w:hAnsi="Times New Roman"/>
          <w:bCs/>
          <w:iCs/>
          <w:color w:val="auto"/>
          <w:w w:val="99"/>
          <w:highlight w:val="none"/>
        </w:rPr>
        <w:t>占地面积为</w:t>
      </w:r>
      <w:r>
        <w:rPr>
          <w:rFonts w:hint="eastAsia" w:ascii="Times New Roman" w:hAnsi="Times New Roman"/>
          <w:iCs/>
          <w:color w:val="auto"/>
          <w:w w:val="99"/>
          <w:highlight w:val="none"/>
        </w:rPr>
        <w:t>2.013</w:t>
      </w:r>
      <w:r>
        <w:rPr>
          <w:rFonts w:ascii="Times New Roman" w:hAnsi="Times New Roman"/>
          <w:bCs/>
          <w:iCs/>
          <w:color w:val="auto"/>
          <w:w w:val="99"/>
          <w:highlight w:val="none"/>
        </w:rPr>
        <w:t>hm</w:t>
      </w:r>
      <w:r>
        <w:rPr>
          <w:rFonts w:ascii="Times New Roman" w:hAnsi="Times New Roman"/>
          <w:bCs/>
          <w:iCs/>
          <w:color w:val="auto"/>
          <w:w w:val="99"/>
          <w:highlight w:val="none"/>
          <w:vertAlign w:val="superscript"/>
        </w:rPr>
        <w:t>2</w:t>
      </w:r>
      <w:r>
        <w:rPr>
          <w:rFonts w:ascii="Times New Roman" w:hAnsi="Times New Roman"/>
          <w:bCs/>
          <w:iCs/>
          <w:color w:val="auto"/>
          <w:w w:val="99"/>
          <w:highlight w:val="none"/>
        </w:rPr>
        <w:t>，其中永久占地面积为</w:t>
      </w:r>
      <w:r>
        <w:rPr>
          <w:rFonts w:hint="eastAsia" w:ascii="Times New Roman" w:hAnsi="Times New Roman"/>
          <w:iCs/>
          <w:color w:val="auto"/>
          <w:w w:val="99"/>
          <w:highlight w:val="none"/>
        </w:rPr>
        <w:t>0.0901</w:t>
      </w:r>
      <w:r>
        <w:rPr>
          <w:rFonts w:ascii="Times New Roman" w:hAnsi="Times New Roman"/>
          <w:bCs/>
          <w:iCs/>
          <w:color w:val="auto"/>
          <w:w w:val="99"/>
          <w:highlight w:val="none"/>
        </w:rPr>
        <w:t>hm</w:t>
      </w:r>
      <w:r>
        <w:rPr>
          <w:rFonts w:ascii="Times New Roman" w:hAnsi="Times New Roman"/>
          <w:bCs/>
          <w:iCs/>
          <w:color w:val="auto"/>
          <w:w w:val="99"/>
          <w:highlight w:val="none"/>
          <w:vertAlign w:val="superscript"/>
        </w:rPr>
        <w:t>2</w:t>
      </w:r>
      <w:r>
        <w:rPr>
          <w:rFonts w:ascii="Times New Roman" w:hAnsi="Times New Roman"/>
          <w:bCs/>
          <w:iCs/>
          <w:color w:val="auto"/>
          <w:w w:val="99"/>
          <w:highlight w:val="none"/>
        </w:rPr>
        <w:t>，临时占地面积为</w:t>
      </w:r>
      <w:r>
        <w:rPr>
          <w:rFonts w:hint="eastAsia" w:ascii="Times New Roman" w:hAnsi="Times New Roman"/>
          <w:iCs/>
          <w:color w:val="auto"/>
          <w:w w:val="99"/>
          <w:highlight w:val="none"/>
        </w:rPr>
        <w:t>1.9229</w:t>
      </w:r>
      <w:r>
        <w:rPr>
          <w:rFonts w:ascii="Times New Roman" w:hAnsi="Times New Roman"/>
          <w:bCs/>
          <w:iCs/>
          <w:color w:val="auto"/>
          <w:w w:val="99"/>
          <w:highlight w:val="none"/>
        </w:rPr>
        <w:t>hm</w:t>
      </w:r>
      <w:r>
        <w:rPr>
          <w:rFonts w:ascii="Times New Roman" w:hAnsi="Times New Roman"/>
          <w:bCs/>
          <w:iCs/>
          <w:color w:val="auto"/>
          <w:w w:val="99"/>
          <w:highlight w:val="none"/>
          <w:vertAlign w:val="superscript"/>
        </w:rPr>
        <w:t>2</w:t>
      </w:r>
      <w:r>
        <w:rPr>
          <w:rFonts w:ascii="Times New Roman" w:hAnsi="Times New Roman"/>
          <w:bCs/>
          <w:iCs/>
          <w:color w:val="auto"/>
          <w:w w:val="99"/>
          <w:highlight w:val="none"/>
        </w:rPr>
        <w:t>，</w:t>
      </w:r>
      <w:r>
        <w:rPr>
          <w:rFonts w:ascii="Times New Roman" w:hAnsi="Times New Roman"/>
          <w:iCs/>
          <w:color w:val="auto"/>
          <w:w w:val="99"/>
          <w:highlight w:val="none"/>
        </w:rPr>
        <w:t>占地类型为耕地（永久基本农田），占地面积不大。项目施工结束后对临时占地进行恢复，对永久占地进行补偿，且运营期作业均在井场永久占地内进行，不会造成大面积的土地退化，项目的建设不会对区域生态功能产生明显影响，在项目实施过程中，应加强防沙治沙措施的实施，如尽量减少施工作业范围，施工过程中力求做到挖填平衡，施工结束后对破坏的土地进行平整并覆土压实，及时进行植被恢复等，</w:t>
      </w:r>
      <w:r>
        <w:rPr>
          <w:rFonts w:hint="eastAsia" w:ascii="Times New Roman" w:hAnsi="Times New Roman"/>
          <w:iCs/>
          <w:color w:val="auto"/>
          <w:w w:val="99"/>
          <w:highlight w:val="none"/>
        </w:rPr>
        <w:t>本项目占用永久基本农田应按照《中华人民共和国土地管理法》（主席令〔</w:t>
      </w:r>
      <w:r>
        <w:rPr>
          <w:rFonts w:ascii="Times New Roman" w:hAnsi="Times New Roman"/>
          <w:iCs/>
          <w:color w:val="auto"/>
          <w:w w:val="99"/>
          <w:highlight w:val="none"/>
        </w:rPr>
        <w:t>2019〕第32号〔2019年修正本〕</w:t>
      </w:r>
      <w:r>
        <w:rPr>
          <w:rFonts w:hint="eastAsia" w:ascii="Times New Roman" w:hAnsi="Times New Roman"/>
          <w:iCs/>
          <w:color w:val="auto"/>
          <w:w w:val="99"/>
          <w:highlight w:val="none"/>
        </w:rPr>
        <w:t>）、《基本农田保护条例》（国务院令第</w:t>
      </w:r>
      <w:r>
        <w:rPr>
          <w:rFonts w:ascii="Times New Roman" w:hAnsi="Times New Roman"/>
          <w:iCs/>
          <w:color w:val="auto"/>
          <w:w w:val="99"/>
          <w:highlight w:val="none"/>
        </w:rPr>
        <w:t>257号</w:t>
      </w:r>
      <w:r>
        <w:rPr>
          <w:rFonts w:hint="eastAsia" w:ascii="Times New Roman" w:hAnsi="Times New Roman"/>
          <w:iCs/>
          <w:color w:val="auto"/>
          <w:w w:val="99"/>
          <w:highlight w:val="none"/>
        </w:rPr>
        <w:t>）的要求逐级上报土地管理部门批准，永久占用永久基本农田应由当地人民政府按照国务院的批准文件修改土地利用总体规划，并补充划入数量和质量相当的基本农田。采气分公司应当按照</w:t>
      </w:r>
      <w:r>
        <w:rPr>
          <w:rFonts w:ascii="Times New Roman" w:hAnsi="Times New Roman"/>
          <w:iCs/>
          <w:color w:val="auto"/>
          <w:w w:val="99"/>
          <w:highlight w:val="none"/>
        </w:rPr>
        <w:t>“</w:t>
      </w:r>
      <w:r>
        <w:rPr>
          <w:rFonts w:hint="eastAsia" w:ascii="Times New Roman" w:hAnsi="Times New Roman"/>
          <w:iCs/>
          <w:color w:val="auto"/>
          <w:w w:val="99"/>
          <w:highlight w:val="none"/>
        </w:rPr>
        <w:t>占多少、垦多少</w:t>
      </w:r>
      <w:r>
        <w:rPr>
          <w:rFonts w:ascii="Times New Roman" w:hAnsi="Times New Roman"/>
          <w:iCs/>
          <w:color w:val="auto"/>
          <w:w w:val="99"/>
          <w:highlight w:val="none"/>
        </w:rPr>
        <w:t>”</w:t>
      </w:r>
      <w:r>
        <w:rPr>
          <w:rFonts w:hint="eastAsia" w:ascii="Times New Roman" w:hAnsi="Times New Roman"/>
          <w:iCs/>
          <w:color w:val="auto"/>
          <w:w w:val="99"/>
          <w:highlight w:val="none"/>
        </w:rPr>
        <w:t>的原则，负责开垦与所占用的永久基本农田数量与质量相当的耕地；没有条件开垦或者开垦的耕地不符合的</w:t>
      </w:r>
      <w:r>
        <w:rPr>
          <w:rFonts w:ascii="Times New Roman" w:hAnsi="Times New Roman"/>
          <w:iCs/>
          <w:color w:val="auto"/>
          <w:w w:val="99"/>
          <w:highlight w:val="none"/>
        </w:rPr>
        <w:t xml:space="preserve"> </w:t>
      </w:r>
      <w:r>
        <w:rPr>
          <w:rFonts w:hint="eastAsia" w:ascii="Times New Roman" w:hAnsi="Times New Roman"/>
          <w:iCs/>
          <w:color w:val="auto"/>
          <w:w w:val="99"/>
          <w:highlight w:val="none"/>
        </w:rPr>
        <w:t>要求的，应当按照省、直辖市的规定缴纳耕地开垦费，专款用于开垦新的耕地。采气分公司应按照县级以上地方人民政府的要求，将所占用的永久基本农田耕作层的土壤用于新开垦耕地、劣质地或者其他耕地的土壤改良。</w:t>
      </w:r>
    </w:p>
    <w:p w14:paraId="24E3A1A7">
      <w:pPr>
        <w:pStyle w:val="153"/>
        <w:widowControl w:val="0"/>
        <w:spacing w:line="440" w:lineRule="exact"/>
        <w:ind w:firstLine="473"/>
        <w:jc w:val="both"/>
        <w:rPr>
          <w:rFonts w:ascii="Times New Roman" w:hAnsi="Times New Roman"/>
          <w:iCs/>
          <w:color w:val="auto"/>
          <w:w w:val="99"/>
          <w:highlight w:val="none"/>
        </w:rPr>
      </w:pPr>
      <w:r>
        <w:rPr>
          <w:rFonts w:ascii="Times New Roman" w:hAnsi="Times New Roman"/>
          <w:iCs/>
          <w:color w:val="auto"/>
          <w:w w:val="99"/>
          <w:highlight w:val="none"/>
        </w:rPr>
        <w:t>本项目的建设不会对区域生态功能产生明显影响，满足该区域生态系统服务功能需求。因此，本项目符合《黑龙江省生态功能区划》（黑政函〔2006〕75号）的要求。</w:t>
      </w:r>
      <w:bookmarkStart w:id="90" w:name="OLE_LINK205"/>
      <w:bookmarkStart w:id="91" w:name="OLE_LINK204"/>
    </w:p>
    <w:p w14:paraId="4BBD5A6F">
      <w:pPr>
        <w:jc w:val="center"/>
        <w:rPr>
          <w:rFonts w:ascii="Times New Roman" w:hAnsi="Times New Roman" w:cs="Times New Roman"/>
          <w:color w:val="auto"/>
          <w:w w:val="99"/>
          <w:highlight w:val="none"/>
        </w:rPr>
      </w:pPr>
      <w:r>
        <w:rPr>
          <w:rFonts w:ascii="Times New Roman" w:hAnsi="Times New Roman" w:cs="Times New Roman"/>
          <w:color w:val="auto"/>
          <w:w w:val="99"/>
          <w:highlight w:val="none"/>
        </w:rPr>
        <mc:AlternateContent>
          <mc:Choice Requires="wps">
            <w:drawing>
              <wp:anchor distT="0" distB="0" distL="114300" distR="114300" simplePos="0" relativeHeight="251665408" behindDoc="0" locked="0" layoutInCell="1" allowOverlap="1">
                <wp:simplePos x="0" y="0"/>
                <wp:positionH relativeFrom="column">
                  <wp:posOffset>2838450</wp:posOffset>
                </wp:positionH>
                <wp:positionV relativeFrom="paragraph">
                  <wp:posOffset>3136900</wp:posOffset>
                </wp:positionV>
                <wp:extent cx="76200" cy="76200"/>
                <wp:effectExtent l="22225" t="22225" r="34925" b="34925"/>
                <wp:wrapNone/>
                <wp:docPr id="503" name="矩形 503"/>
                <wp:cNvGraphicFramePr/>
                <a:graphic xmlns:a="http://schemas.openxmlformats.org/drawingml/2006/main">
                  <a:graphicData uri="http://schemas.microsoft.com/office/word/2010/wordprocessingShape">
                    <wps:wsp>
                      <wps:cNvSpPr/>
                      <wps:spPr>
                        <a:xfrm rot="2881194" flipH="1">
                          <a:off x="0" y="0"/>
                          <a:ext cx="76200" cy="76200"/>
                        </a:xfrm>
                        <a:prstGeom prst="rect">
                          <a:avLst/>
                        </a:prstGeom>
                        <a:no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flip:x;margin-left:223.5pt;margin-top:247pt;height:6pt;width:6pt;rotation:-3147032f;z-index:251665408;v-text-anchor:middle;mso-width-relative:page;mso-height-relative:page;" filled="f" stroked="t" coordsize="21600,21600" o:gfxdata="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C+i7Vg1wAAAAsBAAAPAAAAAAAAAAEAIAAAACIAAABkcnMv&#10;ZG93bnJldi54bWxQSwECFAAUAAAACACHTuJAmwMd53YCAADjBAAADgAAAAAAAAABACAAAAAmAQAA&#10;ZHJzL2Uyb0RvYy54bWxQSwUGAAAAAAYABgBZAQAADgYAAAAA&#10;">
                <v:fill on="f" focussize="0,0"/>
                <v:stroke weight="0.5pt" color="#FF0000 [3204]" miterlimit="8" joinstyle="miter"/>
                <v:imagedata o:title=""/>
                <o:lock v:ext="edit" aspectratio="f"/>
              </v:rect>
            </w:pict>
          </mc:Fallback>
        </mc:AlternateContent>
      </w:r>
      <w:r>
        <w:rPr>
          <w:rFonts w:ascii="Times New Roman" w:hAnsi="Times New Roman" w:cs="Times New Roman"/>
          <w:color w:val="auto"/>
          <w:w w:val="99"/>
          <w:highlight w:val="none"/>
        </w:rPr>
        <mc:AlternateContent>
          <mc:Choice Requires="wps">
            <w:drawing>
              <wp:anchor distT="0" distB="0" distL="114300" distR="114300" simplePos="0" relativeHeight="251666432" behindDoc="0" locked="0" layoutInCell="1" allowOverlap="1">
                <wp:simplePos x="0" y="0"/>
                <wp:positionH relativeFrom="column">
                  <wp:posOffset>1247140</wp:posOffset>
                </wp:positionH>
                <wp:positionV relativeFrom="paragraph">
                  <wp:posOffset>3326130</wp:posOffset>
                </wp:positionV>
                <wp:extent cx="1009015" cy="309245"/>
                <wp:effectExtent l="0" t="38100" r="534035" b="14605"/>
                <wp:wrapNone/>
                <wp:docPr id="504" name="圆角矩形标注 504"/>
                <wp:cNvGraphicFramePr/>
                <a:graphic xmlns:a="http://schemas.openxmlformats.org/drawingml/2006/main">
                  <a:graphicData uri="http://schemas.microsoft.com/office/word/2010/wordprocessingShape">
                    <wps:wsp>
                      <wps:cNvSpPr/>
                      <wps:spPr>
                        <a:xfrm>
                          <a:off x="0" y="0"/>
                          <a:ext cx="1009015" cy="309245"/>
                        </a:xfrm>
                        <a:prstGeom prst="wedgeRoundRectCallout">
                          <a:avLst>
                            <a:gd name="adj1" fmla="val 96068"/>
                            <a:gd name="adj2" fmla="val -54036"/>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532F14C">
                            <w:pPr>
                              <w:jc w:val="center"/>
                              <w:rPr>
                                <w:rFonts w:hint="eastAsia"/>
                              </w:rPr>
                            </w:pPr>
                            <w:r>
                              <w:rPr>
                                <w:rFonts w:hint="eastAsia"/>
                              </w:rPr>
                              <w:t>本项目</w:t>
                            </w:r>
                            <w:r>
                              <w:t>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98.2pt;margin-top:261.9pt;height:24.35pt;width:79.45pt;z-index:251666432;v-text-anchor:middle;mso-width-relative:page;mso-height-relative:page;" fillcolor="#5B9BD5 [3204]" filled="t" stroked="t" coordsize="21600,21600" o:gfxdata="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" adj="31551,-872,14400">
                <v:fill on="t" focussize="0,0"/>
                <v:stroke weight="1pt" color="#41719C [3204]" miterlimit="8" joinstyle="miter"/>
                <v:imagedata o:title=""/>
                <o:lock v:ext="edit" aspectratio="f"/>
                <v:textbox>
                  <w:txbxContent>
                    <w:p w14:paraId="7532F14C">
                      <w:pPr>
                        <w:jc w:val="center"/>
                        <w:rPr>
                          <w:rFonts w:hint="eastAsia"/>
                        </w:rPr>
                      </w:pPr>
                      <w:r>
                        <w:rPr>
                          <w:rFonts w:hint="eastAsia"/>
                        </w:rPr>
                        <w:t>本项目</w:t>
                      </w:r>
                      <w:r>
                        <w:t>位置</w:t>
                      </w:r>
                    </w:p>
                  </w:txbxContent>
                </v:textbox>
              </v:shape>
            </w:pict>
          </mc:Fallback>
        </mc:AlternateContent>
      </w:r>
      <w:r>
        <w:rPr>
          <w:rFonts w:ascii="Times New Roman" w:hAnsi="Times New Roman" w:cs="Times New Roman"/>
          <w:color w:val="auto"/>
          <w:w w:val="99"/>
          <w:highlight w:val="none"/>
        </w:rPr>
        <w:drawing>
          <wp:inline distT="0" distB="0" distL="0" distR="0">
            <wp:extent cx="5743575" cy="4019550"/>
            <wp:effectExtent l="0" t="0" r="9525" b="0"/>
            <wp:docPr id="130447746" name="图片 130447746" descr="C:\Users\1\AppData\Local\Microsoft\Windows\INetCache\Content.Wor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7746" name="图片 130447746" descr="C:\Users\1\AppData\Local\Microsoft\Windows\INetCache\Content.Word\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743575" cy="4019550"/>
                    </a:xfrm>
                    <a:prstGeom prst="rect">
                      <a:avLst/>
                    </a:prstGeom>
                    <a:noFill/>
                    <a:ln>
                      <a:noFill/>
                    </a:ln>
                  </pic:spPr>
                </pic:pic>
              </a:graphicData>
            </a:graphic>
          </wp:inline>
        </w:drawing>
      </w:r>
    </w:p>
    <w:p w14:paraId="3A433B34">
      <w:pPr>
        <w:jc w:val="center"/>
        <w:rPr>
          <w:rFonts w:ascii="Times New Roman" w:hAnsi="Times New Roman" w:cs="Times New Roman"/>
          <w:b/>
          <w:color w:val="auto"/>
          <w:w w:val="99"/>
          <w:highlight w:val="none"/>
        </w:rPr>
      </w:pPr>
      <w:r>
        <w:rPr>
          <w:rFonts w:ascii="Times New Roman" w:hAnsi="Times New Roman" w:cs="Times New Roman" w:eastAsiaTheme="minorEastAsia"/>
          <w:b/>
          <w:color w:val="auto"/>
          <w:w w:val="99"/>
          <w:highlight w:val="none"/>
        </w:rPr>
        <w:t xml:space="preserve">图1.4-2    </w:t>
      </w:r>
      <w:r>
        <w:rPr>
          <w:rFonts w:ascii="Times New Roman" w:hAnsi="Times New Roman" w:cs="Times New Roman" w:eastAsiaTheme="minorEastAsia"/>
          <w:b/>
          <w:iCs/>
          <w:color w:val="auto"/>
          <w:w w:val="99"/>
          <w:highlight w:val="none"/>
        </w:rPr>
        <w:t>本项目与《黑龙江省生态功能区划》位置关系</w:t>
      </w:r>
      <w:r>
        <w:rPr>
          <w:rFonts w:ascii="Times New Roman" w:hAnsi="Times New Roman" w:cs="Times New Roman" w:eastAsiaTheme="minorEastAsia"/>
          <w:b/>
          <w:color w:val="auto"/>
          <w:w w:val="99"/>
          <w:highlight w:val="none"/>
        </w:rPr>
        <w:t>图</w:t>
      </w:r>
    </w:p>
    <w:bookmarkEnd w:id="90"/>
    <w:bookmarkEnd w:id="91"/>
    <w:p w14:paraId="4042FC6D">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1.4.2.3与国土空间总体规划符合性分析</w:t>
      </w:r>
    </w:p>
    <w:p w14:paraId="64DAC6D3">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根据《自然资源部办公厅关于依据“三区三线”划定成果报批建设项目用地用海有关事宜的函》（自然资办函〔2022〕2072 号）、</w:t>
      </w:r>
      <w:r>
        <w:rPr>
          <w:rFonts w:ascii="Times New Roman" w:hAnsi="Times New Roman" w:eastAsiaTheme="minorEastAsia"/>
          <w:color w:val="auto"/>
          <w:w w:val="99"/>
          <w:highlight w:val="none"/>
        </w:rPr>
        <w:t>《</w:t>
      </w:r>
      <w:r>
        <w:rPr>
          <w:rFonts w:hint="eastAsia" w:ascii="Times New Roman" w:hAnsi="Times New Roman" w:eastAsiaTheme="minorEastAsia"/>
          <w:color w:val="auto"/>
          <w:w w:val="99"/>
          <w:highlight w:val="none"/>
        </w:rPr>
        <w:t>绥化</w:t>
      </w:r>
      <w:r>
        <w:rPr>
          <w:rFonts w:ascii="Times New Roman" w:hAnsi="Times New Roman" w:eastAsiaTheme="minorEastAsia"/>
          <w:color w:val="auto"/>
          <w:w w:val="99"/>
          <w:highlight w:val="none"/>
        </w:rPr>
        <w:t>市国土空间总体规划（2021-2035年）》</w:t>
      </w:r>
      <w:r>
        <w:rPr>
          <w:rFonts w:ascii="Times New Roman" w:hAnsi="Times New Roman"/>
          <w:color w:val="auto"/>
          <w:w w:val="99"/>
          <w:highlight w:val="none"/>
        </w:rPr>
        <w:t>、</w:t>
      </w:r>
      <w:r>
        <w:rPr>
          <w:rFonts w:ascii="Times New Roman" w:hAnsi="Times New Roman" w:eastAsiaTheme="minorEastAsia"/>
          <w:color w:val="auto"/>
          <w:w w:val="99"/>
          <w:highlight w:val="none"/>
        </w:rPr>
        <w:t>《</w:t>
      </w:r>
      <w:r>
        <w:rPr>
          <w:rFonts w:hint="eastAsia" w:ascii="Times New Roman" w:hAnsi="Times New Roman" w:eastAsiaTheme="minorEastAsia"/>
          <w:color w:val="auto"/>
          <w:w w:val="99"/>
          <w:highlight w:val="none"/>
        </w:rPr>
        <w:t>肇东</w:t>
      </w:r>
      <w:r>
        <w:rPr>
          <w:rFonts w:ascii="Times New Roman" w:hAnsi="Times New Roman" w:eastAsiaTheme="minorEastAsia"/>
          <w:color w:val="auto"/>
          <w:w w:val="99"/>
          <w:highlight w:val="none"/>
        </w:rPr>
        <w:t>市国土空间规划（2021-2035年）》</w:t>
      </w:r>
      <w:r>
        <w:rPr>
          <w:rFonts w:ascii="Times New Roman" w:hAnsi="Times New Roman"/>
          <w:color w:val="auto"/>
          <w:w w:val="99"/>
          <w:highlight w:val="none"/>
        </w:rPr>
        <w:t>，“三区”即城镇空间、农业空间、生态空间，“三线”分别对应划定的城镇开发边界、永久基本农田保护红线、生态保护红线三条控制线。本项目所在区域属于油气资源利用区，不涉及城镇开发边界，根据《</w:t>
      </w:r>
      <w:r>
        <w:rPr>
          <w:rFonts w:ascii="Times New Roman" w:hAnsi="Times New Roman" w:eastAsiaTheme="minorEastAsia"/>
          <w:color w:val="auto"/>
          <w:w w:val="99"/>
          <w:highlight w:val="none"/>
        </w:rPr>
        <w:t>《</w:t>
      </w:r>
      <w:r>
        <w:rPr>
          <w:rFonts w:hint="eastAsia" w:ascii="Times New Roman" w:hAnsi="Times New Roman" w:eastAsiaTheme="minorEastAsia"/>
          <w:color w:val="auto"/>
          <w:w w:val="99"/>
          <w:highlight w:val="none"/>
        </w:rPr>
        <w:t>绥化</w:t>
      </w:r>
      <w:r>
        <w:rPr>
          <w:rFonts w:ascii="Times New Roman" w:hAnsi="Times New Roman" w:eastAsiaTheme="minorEastAsia"/>
          <w:color w:val="auto"/>
          <w:w w:val="99"/>
          <w:highlight w:val="none"/>
        </w:rPr>
        <w:t>市国土空间总体规划（2021-2035年）》</w:t>
      </w:r>
      <w:r>
        <w:rPr>
          <w:rFonts w:ascii="Times New Roman" w:hAnsi="Times New Roman"/>
          <w:color w:val="auto"/>
          <w:w w:val="99"/>
          <w:highlight w:val="none"/>
        </w:rPr>
        <w:t>、</w:t>
      </w:r>
      <w:r>
        <w:rPr>
          <w:rFonts w:ascii="Times New Roman" w:hAnsi="Times New Roman" w:eastAsiaTheme="minorEastAsia"/>
          <w:color w:val="auto"/>
          <w:w w:val="99"/>
          <w:highlight w:val="none"/>
        </w:rPr>
        <w:t>《</w:t>
      </w:r>
      <w:r>
        <w:rPr>
          <w:rFonts w:hint="eastAsia" w:ascii="Times New Roman" w:hAnsi="Times New Roman" w:eastAsiaTheme="minorEastAsia"/>
          <w:color w:val="auto"/>
          <w:w w:val="99"/>
          <w:highlight w:val="none"/>
        </w:rPr>
        <w:t>肇东</w:t>
      </w:r>
      <w:r>
        <w:rPr>
          <w:rFonts w:ascii="Times New Roman" w:hAnsi="Times New Roman" w:eastAsiaTheme="minorEastAsia"/>
          <w:color w:val="auto"/>
          <w:w w:val="99"/>
          <w:highlight w:val="none"/>
        </w:rPr>
        <w:t>市国土空间规划（2021-2035年）》</w:t>
      </w:r>
      <w:r>
        <w:rPr>
          <w:rFonts w:ascii="Times New Roman" w:hAnsi="Times New Roman"/>
          <w:color w:val="auto"/>
          <w:w w:val="99"/>
          <w:highlight w:val="none"/>
        </w:rPr>
        <w:t>，结合《黑龙江省生态环境分区管控动态更新成果（2023年版）》</w:t>
      </w:r>
      <w:r>
        <w:rPr>
          <w:rFonts w:hint="eastAsia" w:ascii="Times New Roman" w:hAnsi="Times New Roman"/>
          <w:color w:val="auto"/>
          <w:w w:val="99"/>
          <w:highlight w:val="none"/>
        </w:rPr>
        <w:t>、</w:t>
      </w:r>
      <w:r>
        <w:rPr>
          <w:rFonts w:ascii="Times New Roman" w:hAnsi="Times New Roman"/>
          <w:color w:val="auto"/>
          <w:w w:val="99"/>
          <w:highlight w:val="none"/>
        </w:rPr>
        <w:t>《</w:t>
      </w:r>
      <w:r>
        <w:rPr>
          <w:rFonts w:hint="eastAsia" w:ascii="Times New Roman" w:hAnsi="Times New Roman"/>
          <w:color w:val="auto"/>
          <w:w w:val="99"/>
          <w:highlight w:val="none"/>
        </w:rPr>
        <w:t>绥化</w:t>
      </w:r>
      <w:r>
        <w:rPr>
          <w:rFonts w:ascii="Times New Roman" w:hAnsi="Times New Roman"/>
          <w:color w:val="auto"/>
          <w:w w:val="99"/>
          <w:highlight w:val="none"/>
        </w:rPr>
        <w:t>市生态环境准入清单》（2023年版）、永久基本农田查询平台及黑龙江省生态环境分区管控数据应用平台查询结果，本项目涉及永久基本农田，但不涉及</w:t>
      </w:r>
      <w:r>
        <w:rPr>
          <w:rFonts w:hint="eastAsia" w:ascii="Times New Roman" w:hAnsi="Times New Roman"/>
          <w:color w:val="auto"/>
          <w:w w:val="99"/>
          <w:highlight w:val="none"/>
        </w:rPr>
        <w:t>绥化</w:t>
      </w:r>
      <w:r>
        <w:rPr>
          <w:rFonts w:ascii="Times New Roman" w:hAnsi="Times New Roman"/>
          <w:color w:val="auto"/>
          <w:w w:val="99"/>
          <w:highlight w:val="none"/>
        </w:rPr>
        <w:t>市城镇空间和生态保护红线。</w:t>
      </w:r>
      <w:r>
        <w:rPr>
          <w:rFonts w:hint="eastAsia" w:ascii="Times New Roman" w:hAnsi="Times New Roman"/>
          <w:color w:val="auto"/>
          <w:w w:val="99"/>
          <w:highlight w:val="none"/>
        </w:rPr>
        <w:t>本项目与永久基本农田位置关系见附图14。</w:t>
      </w:r>
    </w:p>
    <w:p w14:paraId="380A75B4">
      <w:pPr>
        <w:pStyle w:val="153"/>
        <w:spacing w:line="440" w:lineRule="exact"/>
        <w:ind w:firstLine="473"/>
        <w:jc w:val="both"/>
        <w:rPr>
          <w:rFonts w:ascii="Times New Roman" w:hAnsi="Times New Roman" w:eastAsiaTheme="minorEastAsia"/>
          <w:color w:val="auto"/>
          <w:w w:val="99"/>
          <w:highlight w:val="none"/>
        </w:rPr>
      </w:pPr>
      <w:r>
        <w:rPr>
          <w:rFonts w:ascii="Times New Roman" w:hAnsi="Times New Roman" w:eastAsiaTheme="minorEastAsia"/>
          <w:color w:val="auto"/>
          <w:w w:val="99"/>
          <w:highlight w:val="none"/>
        </w:rPr>
        <w:t>（1）与《</w:t>
      </w:r>
      <w:r>
        <w:rPr>
          <w:rFonts w:hint="eastAsia" w:ascii="Times New Roman" w:hAnsi="Times New Roman" w:eastAsiaTheme="minorEastAsia"/>
          <w:color w:val="auto"/>
          <w:w w:val="99"/>
          <w:highlight w:val="none"/>
        </w:rPr>
        <w:t>绥化</w:t>
      </w:r>
      <w:r>
        <w:rPr>
          <w:rFonts w:ascii="Times New Roman" w:hAnsi="Times New Roman" w:eastAsiaTheme="minorEastAsia"/>
          <w:color w:val="auto"/>
          <w:w w:val="99"/>
          <w:highlight w:val="none"/>
        </w:rPr>
        <w:t>市国土空间总体规划（2021-2035年）》符合性分析</w:t>
      </w:r>
    </w:p>
    <w:p w14:paraId="04524732">
      <w:pPr>
        <w:pStyle w:val="153"/>
        <w:spacing w:line="440" w:lineRule="exact"/>
        <w:ind w:firstLine="473"/>
        <w:jc w:val="both"/>
        <w:rPr>
          <w:rFonts w:ascii="Times New Roman" w:hAnsi="Times New Roman" w:eastAsiaTheme="minorEastAsia"/>
          <w:iCs/>
          <w:color w:val="auto"/>
          <w:w w:val="99"/>
          <w:highlight w:val="none"/>
        </w:rPr>
      </w:pPr>
      <w:r>
        <w:rPr>
          <w:rFonts w:ascii="Times New Roman" w:hAnsi="Times New Roman" w:eastAsiaTheme="minorEastAsia"/>
          <w:color w:val="auto"/>
          <w:w w:val="99"/>
          <w:highlight w:val="none"/>
        </w:rPr>
        <w:t>根据《</w:t>
      </w:r>
      <w:r>
        <w:rPr>
          <w:rFonts w:hint="eastAsia" w:ascii="Times New Roman" w:hAnsi="Times New Roman" w:eastAsiaTheme="minorEastAsia"/>
          <w:color w:val="auto"/>
          <w:w w:val="99"/>
          <w:highlight w:val="none"/>
        </w:rPr>
        <w:t>绥化</w:t>
      </w:r>
      <w:r>
        <w:rPr>
          <w:rFonts w:ascii="Times New Roman" w:hAnsi="Times New Roman" w:eastAsiaTheme="minorEastAsia"/>
          <w:color w:val="auto"/>
          <w:w w:val="99"/>
          <w:highlight w:val="none"/>
        </w:rPr>
        <w:t>市国土空间总体规划（2021-2035年）》，</w:t>
      </w:r>
      <w:r>
        <w:rPr>
          <w:rFonts w:hint="eastAsia" w:ascii="Times New Roman" w:hAnsi="Times New Roman" w:eastAsiaTheme="minorEastAsia"/>
          <w:color w:val="auto"/>
          <w:w w:val="99"/>
          <w:highlight w:val="none"/>
        </w:rPr>
        <w:t>矿产能源发展区是适应国家能源安全与矿业发展的重要区域，包括重要陆域采矿区、战略性矿产储量区等区域。绥化市矿产能源发展区集中分布在绥棱、安达、庆安等县市，其他县市有零星分布。矿产能源发展区允许矿产资源的勘探、开采、初加工以及相关的配套设施建设，禁止大规模的城镇建设，“推进耕地“三位一体”保护，严守耕地红线，坚守“数量+质量+生态”并重，加强黑土地保护利用，优化耕地生态功能，耕地后备资源开发和战略储备，农业空间可持续利用”</w:t>
      </w:r>
      <w:r>
        <w:rPr>
          <w:rFonts w:ascii="Times New Roman" w:hAnsi="Times New Roman" w:eastAsiaTheme="minorEastAsia"/>
          <w:color w:val="auto"/>
          <w:w w:val="99"/>
          <w:highlight w:val="none"/>
        </w:rPr>
        <w:t>本项目为陆地</w:t>
      </w:r>
      <w:r>
        <w:rPr>
          <w:rFonts w:hint="eastAsia" w:ascii="Times New Roman" w:hAnsi="Times New Roman" w:eastAsiaTheme="minorEastAsia"/>
          <w:color w:val="auto"/>
          <w:w w:val="99"/>
          <w:highlight w:val="none"/>
        </w:rPr>
        <w:t>天然气</w:t>
      </w:r>
      <w:r>
        <w:rPr>
          <w:rFonts w:ascii="Times New Roman" w:hAnsi="Times New Roman" w:eastAsiaTheme="minorEastAsia"/>
          <w:color w:val="auto"/>
          <w:w w:val="99"/>
          <w:highlight w:val="none"/>
        </w:rPr>
        <w:t>开采项目，建设占用</w:t>
      </w:r>
      <w:r>
        <w:rPr>
          <w:rFonts w:hint="eastAsia" w:ascii="Times New Roman" w:hAnsi="Times New Roman" w:eastAsiaTheme="minorEastAsia"/>
          <w:color w:val="auto"/>
          <w:w w:val="99"/>
          <w:highlight w:val="none"/>
        </w:rPr>
        <w:t>永久基本农田</w:t>
      </w:r>
      <w:r>
        <w:rPr>
          <w:rFonts w:ascii="Times New Roman" w:hAnsi="Times New Roman" w:eastAsiaTheme="minorEastAsia"/>
          <w:color w:val="auto"/>
          <w:w w:val="99"/>
          <w:highlight w:val="none"/>
        </w:rPr>
        <w:t>，</w:t>
      </w:r>
      <w:r>
        <w:rPr>
          <w:rFonts w:ascii="Times New Roman" w:hAnsi="Times New Roman" w:eastAsiaTheme="minorEastAsia"/>
          <w:iCs/>
          <w:color w:val="auto"/>
          <w:w w:val="99"/>
          <w:highlight w:val="none"/>
        </w:rPr>
        <w:t>针对永久占地按当地相关规定缴纳土地补偿费，专款用于占地补偿，针对临时占地在将剥离的表土在施工结束后分层回填，确保恢复等质等量面积的草地。</w:t>
      </w:r>
    </w:p>
    <w:p w14:paraId="6382039B">
      <w:pPr>
        <w:pStyle w:val="153"/>
        <w:spacing w:line="440" w:lineRule="exact"/>
        <w:ind w:firstLine="473"/>
        <w:jc w:val="both"/>
        <w:rPr>
          <w:rFonts w:ascii="Times New Roman" w:hAnsi="Times New Roman" w:eastAsiaTheme="minorEastAsia"/>
          <w:color w:val="auto"/>
          <w:w w:val="99"/>
          <w:highlight w:val="none"/>
        </w:rPr>
      </w:pPr>
      <w:r>
        <w:rPr>
          <w:rFonts w:hint="eastAsia" w:ascii="Times New Roman" w:hAnsi="Times New Roman" w:eastAsiaTheme="minorEastAsia"/>
          <w:color w:val="auto"/>
          <w:w w:val="99"/>
          <w:highlight w:val="none"/>
        </w:rPr>
        <w:t>本项目属于矿产资源的勘探、开采建设，</w:t>
      </w:r>
      <w:r>
        <w:rPr>
          <w:rFonts w:ascii="Times New Roman" w:hAnsi="Times New Roman" w:eastAsiaTheme="minorEastAsia"/>
          <w:iCs/>
          <w:color w:val="auto"/>
          <w:w w:val="99"/>
          <w:highlight w:val="none"/>
        </w:rPr>
        <w:t>再采取以上措施的前提下，本项目满足《</w:t>
      </w:r>
      <w:r>
        <w:rPr>
          <w:rFonts w:hint="eastAsia" w:ascii="Times New Roman" w:hAnsi="Times New Roman" w:eastAsiaTheme="minorEastAsia"/>
          <w:color w:val="auto"/>
          <w:w w:val="99"/>
          <w:highlight w:val="none"/>
        </w:rPr>
        <w:t>绥化</w:t>
      </w:r>
      <w:r>
        <w:rPr>
          <w:rFonts w:ascii="Times New Roman" w:hAnsi="Times New Roman" w:eastAsiaTheme="minorEastAsia"/>
          <w:iCs/>
          <w:color w:val="auto"/>
          <w:w w:val="99"/>
          <w:highlight w:val="none"/>
        </w:rPr>
        <w:t>市国土空间总体规划（2021-2035年）》中的要求。</w:t>
      </w:r>
    </w:p>
    <w:p w14:paraId="0DD1453A">
      <w:pPr>
        <w:pStyle w:val="153"/>
        <w:spacing w:line="440" w:lineRule="exact"/>
        <w:ind w:left="480" w:leftChars="200" w:firstLine="0" w:firstLineChars="0"/>
        <w:jc w:val="both"/>
        <w:rPr>
          <w:rFonts w:ascii="Times New Roman" w:hAnsi="Times New Roman" w:eastAsiaTheme="minorEastAsia"/>
          <w:color w:val="auto"/>
          <w:w w:val="99"/>
          <w:highlight w:val="none"/>
        </w:rPr>
      </w:pPr>
      <w:r>
        <w:rPr>
          <w:rFonts w:hint="eastAsia" w:ascii="Times New Roman" w:hAnsi="Times New Roman" w:eastAsiaTheme="minorEastAsia"/>
          <w:color w:val="auto"/>
          <w:w w:val="99"/>
          <w:highlight w:val="none"/>
        </w:rPr>
        <w:t>（2）</w:t>
      </w:r>
      <w:r>
        <w:rPr>
          <w:rFonts w:ascii="Times New Roman" w:hAnsi="Times New Roman" w:eastAsiaTheme="minorEastAsia"/>
          <w:color w:val="auto"/>
          <w:w w:val="99"/>
          <w:highlight w:val="none"/>
        </w:rPr>
        <w:t>与《</w:t>
      </w:r>
      <w:r>
        <w:rPr>
          <w:rFonts w:hint="eastAsia" w:ascii="Times New Roman" w:hAnsi="Times New Roman" w:eastAsiaTheme="minorEastAsia"/>
          <w:color w:val="auto"/>
          <w:w w:val="99"/>
          <w:highlight w:val="none"/>
        </w:rPr>
        <w:t>肇东</w:t>
      </w:r>
      <w:r>
        <w:rPr>
          <w:rFonts w:ascii="Times New Roman" w:hAnsi="Times New Roman" w:eastAsiaTheme="minorEastAsia"/>
          <w:color w:val="auto"/>
          <w:w w:val="99"/>
          <w:highlight w:val="none"/>
        </w:rPr>
        <w:t>市国土空间规划（2021-2035年）》符合性分析</w:t>
      </w:r>
    </w:p>
    <w:p w14:paraId="30597579">
      <w:pPr>
        <w:pStyle w:val="32"/>
        <w:kinsoku w:val="0"/>
        <w:autoSpaceDE w:val="0"/>
        <w:autoSpaceDN w:val="0"/>
        <w:adjustRightInd w:val="0"/>
        <w:snapToGrid w:val="0"/>
        <w:spacing w:line="440" w:lineRule="exact"/>
        <w:ind w:firstLine="482"/>
        <w:jc w:val="both"/>
        <w:textAlignment w:val="baseline"/>
        <w:rPr>
          <w:rFonts w:ascii="Times New Roman" w:hAnsi="Times New Roman" w:eastAsiaTheme="minorEastAsia"/>
          <w:iCs/>
          <w:color w:val="auto"/>
          <w:w w:val="99"/>
          <w:highlight w:val="none"/>
        </w:rPr>
      </w:pPr>
      <w:r>
        <w:rPr>
          <w:rFonts w:ascii="Times New Roman" w:hAnsi="Times New Roman" w:eastAsiaTheme="minorEastAsia"/>
          <w:color w:val="auto"/>
          <w:w w:val="99"/>
          <w:szCs w:val="24"/>
          <w:highlight w:val="none"/>
        </w:rPr>
        <w:t>根据《</w:t>
      </w:r>
      <w:r>
        <w:rPr>
          <w:rFonts w:hint="eastAsia" w:ascii="Times New Roman" w:hAnsi="Times New Roman" w:eastAsiaTheme="minorEastAsia"/>
          <w:color w:val="auto"/>
          <w:w w:val="99"/>
          <w:highlight w:val="none"/>
        </w:rPr>
        <w:t>肇东</w:t>
      </w:r>
      <w:r>
        <w:rPr>
          <w:rFonts w:ascii="Times New Roman" w:hAnsi="Times New Roman" w:eastAsiaTheme="minorEastAsia"/>
          <w:color w:val="auto"/>
          <w:w w:val="99"/>
          <w:szCs w:val="24"/>
          <w:highlight w:val="none"/>
        </w:rPr>
        <w:t>市国土空间总体规划（2021-2035年）》，</w:t>
      </w:r>
      <w:r>
        <w:rPr>
          <w:rFonts w:hint="eastAsia" w:ascii="Times New Roman" w:hAnsi="Times New Roman" w:eastAsiaTheme="minorEastAsia"/>
          <w:color w:val="auto"/>
          <w:w w:val="99"/>
          <w:szCs w:val="24"/>
          <w:highlight w:val="none"/>
        </w:rPr>
        <w:t>“严格落实耕地藏粮于地、藏粮于技”战略，坚决守住耕地红线，做到耕地数量不减少、耕地质量有所提升。强化耕地保有量责任考核，进一步完善乡镇政府耕地保有量责任考核评价体系，夯实耕地保护主体责任。划定永久基本农田储备区不小于400公顷，达到优质耕地集中连片的目的，保障国家粮食安全。”</w:t>
      </w:r>
      <w:r>
        <w:rPr>
          <w:rFonts w:ascii="Times New Roman" w:hAnsi="Times New Roman" w:eastAsiaTheme="minorEastAsia"/>
          <w:color w:val="auto"/>
          <w:w w:val="99"/>
          <w:highlight w:val="none"/>
        </w:rPr>
        <w:t>本项目为陆地</w:t>
      </w:r>
      <w:r>
        <w:rPr>
          <w:rFonts w:hint="eastAsia" w:ascii="Times New Roman" w:hAnsi="Times New Roman" w:eastAsiaTheme="minorEastAsia"/>
          <w:color w:val="auto"/>
          <w:w w:val="99"/>
          <w:highlight w:val="none"/>
        </w:rPr>
        <w:t>天然气</w:t>
      </w:r>
      <w:r>
        <w:rPr>
          <w:rFonts w:ascii="Times New Roman" w:hAnsi="Times New Roman" w:eastAsiaTheme="minorEastAsia"/>
          <w:color w:val="auto"/>
          <w:w w:val="99"/>
          <w:highlight w:val="none"/>
        </w:rPr>
        <w:t>开采项目，</w:t>
      </w:r>
      <w:r>
        <w:rPr>
          <w:rFonts w:hint="eastAsia" w:ascii="Times New Roman" w:hAnsi="Times New Roman"/>
          <w:color w:val="auto"/>
          <w:w w:val="99"/>
          <w:szCs w:val="24"/>
          <w:highlight w:val="none"/>
        </w:rPr>
        <w:t>工程无法避让基本农田，因此应按有关土地管理办法的要求，逐级上报土地管理部门批准，对于永久占地，应纳入省土地利用规划，按有关土地管理部门要求认真执行。对占用的耕地，按照“占多少，垦多少”的原则，由建设单位负责开垦与所占用耕地的数量和质量相当的耕地；如果没有条件开垦，应当按照省的规定缴纳耕地开垦费，专款用于开垦新的耕地，基本农田的耕地恢复由当地政府负责开垦相应数量的耕地，进行耕地保护。</w:t>
      </w:r>
      <w:r>
        <w:rPr>
          <w:rFonts w:ascii="Times New Roman" w:hAnsi="Times New Roman" w:eastAsiaTheme="minorEastAsia"/>
          <w:iCs/>
          <w:color w:val="auto"/>
          <w:w w:val="99"/>
          <w:highlight w:val="none"/>
        </w:rPr>
        <w:t>本项目满足《</w:t>
      </w:r>
      <w:r>
        <w:rPr>
          <w:rFonts w:hint="eastAsia" w:ascii="Times New Roman" w:hAnsi="Times New Roman" w:eastAsiaTheme="minorEastAsia"/>
          <w:color w:val="auto"/>
          <w:w w:val="99"/>
          <w:highlight w:val="none"/>
        </w:rPr>
        <w:t>肇东</w:t>
      </w:r>
      <w:r>
        <w:rPr>
          <w:rFonts w:ascii="Times New Roman" w:hAnsi="Times New Roman" w:eastAsiaTheme="minorEastAsia"/>
          <w:iCs/>
          <w:color w:val="auto"/>
          <w:w w:val="99"/>
          <w:highlight w:val="none"/>
        </w:rPr>
        <w:t>市国土空间总体规划（2021-2035年）》中的要求。</w:t>
      </w:r>
    </w:p>
    <w:p w14:paraId="72FC6DA8">
      <w:pPr>
        <w:pStyle w:val="153"/>
        <w:widowControl w:val="0"/>
        <w:spacing w:line="440" w:lineRule="exact"/>
        <w:ind w:firstLine="0" w:firstLineChars="0"/>
        <w:jc w:val="both"/>
        <w:rPr>
          <w:rFonts w:ascii="Times New Roman" w:hAnsi="Times New Roman" w:eastAsiaTheme="minorEastAsia"/>
          <w:b/>
          <w:color w:val="auto"/>
          <w:w w:val="99"/>
          <w:highlight w:val="none"/>
        </w:rPr>
      </w:pPr>
      <w:r>
        <w:rPr>
          <w:rFonts w:hint="eastAsia" w:ascii="Times New Roman" w:hAnsi="Times New Roman" w:eastAsiaTheme="minorEastAsia"/>
          <w:iCs/>
          <w:color w:val="auto"/>
          <w:w w:val="99"/>
          <w:highlight w:val="none"/>
        </w:rPr>
        <w:t>（3）</w:t>
      </w:r>
      <w:r>
        <w:rPr>
          <w:rFonts w:ascii="Times New Roman" w:hAnsi="Times New Roman" w:eastAsiaTheme="minorEastAsia"/>
          <w:b/>
          <w:color w:val="auto"/>
          <w:w w:val="99"/>
          <w:highlight w:val="none"/>
        </w:rPr>
        <w:t>1.4.4.1</w:t>
      </w:r>
      <w:r>
        <w:rPr>
          <w:rFonts w:hint="eastAsia" w:ascii="Times New Roman" w:hAnsi="Times New Roman" w:eastAsiaTheme="minorEastAsia"/>
          <w:b/>
          <w:color w:val="auto"/>
          <w:w w:val="99"/>
          <w:highlight w:val="none"/>
        </w:rPr>
        <w:t>“三区三线”分析</w:t>
      </w:r>
    </w:p>
    <w:p w14:paraId="5907C9E7">
      <w:pPr>
        <w:pStyle w:val="153"/>
        <w:widowControl w:val="0"/>
        <w:spacing w:line="440" w:lineRule="exact"/>
        <w:ind w:firstLine="473"/>
        <w:jc w:val="both"/>
        <w:rPr>
          <w:rFonts w:ascii="Times New Roman" w:hAnsi="Times New Roman" w:eastAsiaTheme="minorEastAsia"/>
          <w:bCs/>
          <w:color w:val="auto"/>
          <w:w w:val="99"/>
          <w:highlight w:val="none"/>
        </w:rPr>
      </w:pPr>
      <w:r>
        <w:rPr>
          <w:rFonts w:hint="eastAsia" w:ascii="Times New Roman" w:hAnsi="Times New Roman" w:eastAsiaTheme="minorEastAsia"/>
          <w:bCs/>
          <w:color w:val="auto"/>
          <w:w w:val="99"/>
          <w:highlight w:val="none"/>
        </w:rPr>
        <w:t>根据《自然资源部办公厅辽宁等省启用“三区三线”划定成果作为报批建设项目用地用海依据的涵》，本项目位于黑龙江省绥化市，属于“三区三线”划定启用的区域，其中的“三区”分别为城镇空间、农业空间、生态空间三种类型的国土空间；“三线”分别为城镇开发边界、永久基本农田、生态保护红线三条控制线。</w:t>
      </w:r>
    </w:p>
    <w:p w14:paraId="1AD99722">
      <w:pPr>
        <w:pStyle w:val="153"/>
        <w:widowControl w:val="0"/>
        <w:spacing w:line="440" w:lineRule="exact"/>
        <w:ind w:firstLine="473"/>
        <w:jc w:val="both"/>
        <w:rPr>
          <w:rFonts w:ascii="Times New Roman" w:hAnsi="Times New Roman" w:eastAsiaTheme="minorEastAsia"/>
          <w:bCs/>
          <w:color w:val="auto"/>
          <w:w w:val="99"/>
          <w:highlight w:val="none"/>
        </w:rPr>
      </w:pPr>
      <w:r>
        <w:rPr>
          <w:rFonts w:hint="eastAsia" w:ascii="Times New Roman" w:hAnsi="Times New Roman" w:eastAsiaTheme="minorEastAsia"/>
          <w:bCs/>
          <w:color w:val="auto"/>
          <w:w w:val="99"/>
          <w:highlight w:val="none"/>
        </w:rPr>
        <w:t>①永久基本农田；根据永久基本农田查询平台查询结果，本项目拟建徐深27-H1井位于永久基本农田（地块编号</w:t>
      </w:r>
      <w:r>
        <w:rPr>
          <w:rFonts w:hint="eastAsia" w:ascii="Times New Roman" w:hAnsi="Times New Roman"/>
          <w:bCs/>
          <w:iCs/>
          <w:color w:val="auto"/>
          <w:highlight w:val="none"/>
          <w:lang w:bidi="en-US"/>
        </w:rPr>
        <w:t>231282211000005080</w:t>
      </w:r>
      <w:r>
        <w:rPr>
          <w:rFonts w:hint="eastAsia" w:ascii="Times New Roman" w:hAnsi="Times New Roman" w:eastAsiaTheme="minorEastAsia"/>
          <w:bCs/>
          <w:color w:val="auto"/>
          <w:w w:val="99"/>
          <w:highlight w:val="none"/>
        </w:rPr>
        <w:t>）。</w:t>
      </w:r>
    </w:p>
    <w:p w14:paraId="2887C2A1">
      <w:pPr>
        <w:pStyle w:val="153"/>
        <w:widowControl w:val="0"/>
        <w:spacing w:line="240" w:lineRule="auto"/>
        <w:ind w:firstLine="0" w:firstLineChars="0"/>
        <w:jc w:val="center"/>
        <w:rPr>
          <w:rFonts w:ascii="Times New Roman" w:hAnsi="Times New Roman" w:eastAsiaTheme="minorEastAsia"/>
          <w:bCs/>
          <w:color w:val="auto"/>
          <w:w w:val="99"/>
          <w:highlight w:val="none"/>
        </w:rPr>
      </w:pPr>
      <w:r>
        <w:rPr>
          <w:color w:val="auto"/>
          <w:highlight w:val="none"/>
        </w:rPr>
        <w:drawing>
          <wp:inline distT="0" distB="0" distL="114300" distR="114300">
            <wp:extent cx="5329555" cy="3195955"/>
            <wp:effectExtent l="0" t="0" r="4445"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0"/>
                    <a:stretch>
                      <a:fillRect/>
                    </a:stretch>
                  </pic:blipFill>
                  <pic:spPr>
                    <a:xfrm>
                      <a:off x="0" y="0"/>
                      <a:ext cx="5329555" cy="3195955"/>
                    </a:xfrm>
                    <a:prstGeom prst="rect">
                      <a:avLst/>
                    </a:prstGeom>
                    <a:noFill/>
                    <a:ln>
                      <a:noFill/>
                    </a:ln>
                  </pic:spPr>
                </pic:pic>
              </a:graphicData>
            </a:graphic>
          </wp:inline>
        </w:drawing>
      </w:r>
    </w:p>
    <w:p w14:paraId="7B4254B4">
      <w:pPr>
        <w:pStyle w:val="153"/>
        <w:widowControl w:val="0"/>
        <w:spacing w:line="440" w:lineRule="exact"/>
        <w:ind w:firstLine="0" w:firstLineChars="0"/>
        <w:jc w:val="center"/>
        <w:rPr>
          <w:rFonts w:ascii="Times New Roman" w:hAnsi="Times New Roman" w:eastAsiaTheme="minorEastAsia"/>
          <w:b/>
          <w:iCs/>
          <w:color w:val="auto"/>
          <w:w w:val="99"/>
          <w:highlight w:val="none"/>
        </w:rPr>
      </w:pPr>
      <w:r>
        <w:rPr>
          <w:rFonts w:hint="eastAsia" w:ascii="Times New Roman" w:hAnsi="Times New Roman" w:eastAsiaTheme="minorEastAsia"/>
          <w:b/>
          <w:iCs/>
          <w:color w:val="auto"/>
          <w:w w:val="99"/>
          <w:highlight w:val="none"/>
        </w:rPr>
        <w:t>图1.4-3  本项</w:t>
      </w:r>
      <w:r>
        <w:rPr>
          <w:rFonts w:ascii="Times New Roman" w:hAnsi="Times New Roman" w:eastAsiaTheme="minorEastAsia"/>
          <w:b/>
          <w:iCs/>
          <w:color w:val="auto"/>
          <w:w w:val="99"/>
          <w:highlight w:val="none"/>
        </w:rPr>
        <w:t>目与</w:t>
      </w:r>
      <w:r>
        <w:rPr>
          <w:rFonts w:hint="eastAsia" w:ascii="Times New Roman" w:hAnsi="Times New Roman" w:eastAsiaTheme="minorEastAsia"/>
          <w:b/>
          <w:iCs/>
          <w:color w:val="auto"/>
          <w:w w:val="99"/>
          <w:highlight w:val="none"/>
        </w:rPr>
        <w:t>永久基本农田位置</w:t>
      </w:r>
      <w:r>
        <w:rPr>
          <w:rFonts w:ascii="Times New Roman" w:hAnsi="Times New Roman" w:eastAsiaTheme="minorEastAsia"/>
          <w:b/>
          <w:iCs/>
          <w:color w:val="auto"/>
          <w:w w:val="99"/>
          <w:highlight w:val="none"/>
        </w:rPr>
        <w:t>图</w:t>
      </w:r>
    </w:p>
    <w:p w14:paraId="3AB882C3">
      <w:pPr>
        <w:pStyle w:val="153"/>
        <w:widowControl w:val="0"/>
        <w:spacing w:line="440" w:lineRule="exact"/>
        <w:ind w:firstLine="473"/>
        <w:jc w:val="both"/>
        <w:rPr>
          <w:rFonts w:ascii="Times New Roman" w:hAnsi="Times New Roman" w:eastAsiaTheme="minorEastAsia"/>
          <w:bCs/>
          <w:color w:val="auto"/>
          <w:w w:val="99"/>
          <w:highlight w:val="none"/>
        </w:rPr>
      </w:pPr>
      <w:r>
        <w:rPr>
          <w:rFonts w:hint="eastAsia" w:ascii="Times New Roman" w:hAnsi="Times New Roman" w:eastAsiaTheme="minorEastAsia"/>
          <w:bCs/>
          <w:color w:val="auto"/>
          <w:w w:val="99"/>
          <w:highlight w:val="none"/>
        </w:rPr>
        <w:t>②生态保护红线：根据《黑龙江省区域空间生态环境评价报告（绥化市部分）》、以及黑龙江省生态环境分区管控数据应用平台，本项目位于肇东市跃进乡，不涉及生态保护红线。 与本项目拟建井与最近生态保护红线距离为约18km（YS2312821110002肇东市松嫩平原生物多样性维护功能生态保护红线-水源涵养生态功能重要区）。</w:t>
      </w:r>
    </w:p>
    <w:p w14:paraId="537D58F7">
      <w:pPr>
        <w:pStyle w:val="153"/>
        <w:widowControl w:val="0"/>
        <w:spacing w:line="240" w:lineRule="auto"/>
        <w:ind w:firstLine="0" w:firstLineChars="0"/>
        <w:jc w:val="center"/>
        <w:rPr>
          <w:rFonts w:hint="eastAsia"/>
          <w:color w:val="auto"/>
          <w:highlight w:val="none"/>
        </w:rPr>
      </w:pPr>
      <w:r>
        <w:rPr>
          <w:color w:val="auto"/>
          <w:highlight w:val="none"/>
        </w:rPr>
        <mc:AlternateContent>
          <mc:Choice Requires="wps">
            <w:drawing>
              <wp:anchor distT="0" distB="0" distL="114300" distR="114300" simplePos="0" relativeHeight="251673600" behindDoc="0" locked="0" layoutInCell="1" allowOverlap="1">
                <wp:simplePos x="0" y="0"/>
                <wp:positionH relativeFrom="column">
                  <wp:posOffset>2125345</wp:posOffset>
                </wp:positionH>
                <wp:positionV relativeFrom="paragraph">
                  <wp:posOffset>1628775</wp:posOffset>
                </wp:positionV>
                <wp:extent cx="731520" cy="304800"/>
                <wp:effectExtent l="0" t="0" r="0" b="0"/>
                <wp:wrapNone/>
                <wp:docPr id="16" name="文本框 16"/>
                <wp:cNvGraphicFramePr/>
                <a:graphic xmlns:a="http://schemas.openxmlformats.org/drawingml/2006/main">
                  <a:graphicData uri="http://schemas.microsoft.com/office/word/2010/wordprocessingShape">
                    <wps:wsp>
                      <wps:cNvSpPr txBox="1"/>
                      <wps:spPr>
                        <a:xfrm>
                          <a:off x="2920365" y="7753985"/>
                          <a:ext cx="731520" cy="304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C902C6">
                            <w:pPr>
                              <w:rPr>
                                <w:rFonts w:hint="eastAsia"/>
                                <w:b/>
                                <w:bCs/>
                                <w:color w:val="FFC000"/>
                                <w:sz w:val="21"/>
                                <w:szCs w:val="21"/>
                              </w:rPr>
                            </w:pPr>
                            <w:r>
                              <w:rPr>
                                <w:rFonts w:hint="eastAsia"/>
                                <w:b/>
                                <w:bCs/>
                                <w:color w:val="FFC000"/>
                                <w:sz w:val="21"/>
                                <w:szCs w:val="21"/>
                              </w:rPr>
                              <w:t>18km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7.35pt;margin-top:128.25pt;height:24pt;width:57.6pt;z-index:251673600;mso-width-relative:page;mso-height-relative:page;" filled="f" stroked="f" coordsize="21600,21600" o:gfxdata="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LB0AGLcAAAACwEAAA8AAAAA&#10;AAAAAQAgAAAAIgAAAGRycy9kb3ducmV2LnhtbFBLAQIUABQAAAAIAIdO4kBX6RlySQIAAHMEAAAO&#10;AAAAAAAAAAEAIAAAACsBAABkcnMvZTJvRG9jLnhtbFBLBQYAAAAABgAGAFkBAADmBQAAAAA=&#10;">
                <v:fill on="f" focussize="0,0"/>
                <v:stroke on="f" weight="0.5pt"/>
                <v:imagedata o:title=""/>
                <o:lock v:ext="edit" aspectratio="f"/>
                <v:textbox>
                  <w:txbxContent>
                    <w:p w14:paraId="7FC902C6">
                      <w:pPr>
                        <w:rPr>
                          <w:rFonts w:hint="eastAsia"/>
                          <w:b/>
                          <w:bCs/>
                          <w:color w:val="FFC000"/>
                          <w:sz w:val="21"/>
                          <w:szCs w:val="21"/>
                        </w:rPr>
                      </w:pPr>
                      <w:r>
                        <w:rPr>
                          <w:rFonts w:hint="eastAsia"/>
                          <w:b/>
                          <w:bCs/>
                          <w:color w:val="FFC000"/>
                          <w:sz w:val="21"/>
                          <w:szCs w:val="21"/>
                        </w:rPr>
                        <w:t>18km</w:t>
                      </w:r>
                    </w:p>
                  </w:txbxContent>
                </v:textbox>
              </v:shape>
            </w:pict>
          </mc:Fallback>
        </mc:AlternateContent>
      </w:r>
      <w:r>
        <w:rPr>
          <w:color w:val="auto"/>
          <w:highlight w:val="none"/>
        </w:rPr>
        <mc:AlternateContent>
          <mc:Choice Requires="wps">
            <w:drawing>
              <wp:anchor distT="0" distB="0" distL="114300" distR="114300" simplePos="0" relativeHeight="251672576" behindDoc="0" locked="0" layoutInCell="1" allowOverlap="1">
                <wp:simplePos x="0" y="0"/>
                <wp:positionH relativeFrom="column">
                  <wp:posOffset>2152015</wp:posOffset>
                </wp:positionH>
                <wp:positionV relativeFrom="paragraph">
                  <wp:posOffset>1297305</wp:posOffset>
                </wp:positionV>
                <wp:extent cx="1170305" cy="1397635"/>
                <wp:effectExtent l="5080" t="3810" r="5715" b="8255"/>
                <wp:wrapNone/>
                <wp:docPr id="15" name="直接箭头连接符 15"/>
                <wp:cNvGraphicFramePr/>
                <a:graphic xmlns:a="http://schemas.openxmlformats.org/drawingml/2006/main">
                  <a:graphicData uri="http://schemas.microsoft.com/office/word/2010/wordprocessingShape">
                    <wps:wsp>
                      <wps:cNvCnPr/>
                      <wps:spPr>
                        <a:xfrm>
                          <a:off x="3052445" y="7353935"/>
                          <a:ext cx="1170305" cy="1397635"/>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69.45pt;margin-top:102.15pt;height:110.05pt;width:92.15pt;z-index:251672576;mso-width-relative:page;mso-height-relative:page;" filled="f" stroked="t" coordsize="21600,21600" o:gfxdata="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OKH5W7a&#10;AAAACwEAAA8AAAAAAAAAAQAgAAAAIgAAAGRycy9kb3ducmV2LnhtbFBLAQIUABQAAAAIAIdO4kB4&#10;8W+aHgIAAPMDAAAOAAAAAAAAAAEAIAAAACkBAABkcnMvZTJvRG9jLnhtbFBLBQYAAAAABgAGAFkB&#10;AAC5BQAAAAA=&#10;">
                <v:fill on="f" focussize="0,0"/>
                <v:stroke weight="1pt" color="#5B9BD5 [3204]" miterlimit="8" joinstyle="miter" endarrow="open"/>
                <v:imagedata o:title=""/>
                <o:lock v:ext="edit" aspectratio="f"/>
              </v:shape>
            </w:pict>
          </mc:Fallback>
        </mc:AlternateContent>
      </w:r>
      <w:r>
        <w:rPr>
          <w:color w:val="auto"/>
          <w:highlight w:val="none"/>
        </w:rPr>
        <mc:AlternateContent>
          <mc:Choice Requires="wps">
            <w:drawing>
              <wp:anchor distT="0" distB="0" distL="114300" distR="114300" simplePos="0" relativeHeight="251671552" behindDoc="0" locked="0" layoutInCell="1" allowOverlap="1">
                <wp:simplePos x="0" y="0"/>
                <wp:positionH relativeFrom="column">
                  <wp:posOffset>2359660</wp:posOffset>
                </wp:positionH>
                <wp:positionV relativeFrom="paragraph">
                  <wp:posOffset>784860</wp:posOffset>
                </wp:positionV>
                <wp:extent cx="716915" cy="269875"/>
                <wp:effectExtent l="212725" t="6350" r="22860" b="180975"/>
                <wp:wrapNone/>
                <wp:docPr id="14" name="矩形标注 14"/>
                <wp:cNvGraphicFramePr/>
                <a:graphic xmlns:a="http://schemas.openxmlformats.org/drawingml/2006/main">
                  <a:graphicData uri="http://schemas.microsoft.com/office/word/2010/wordprocessingShape">
                    <wps:wsp>
                      <wps:cNvSpPr/>
                      <wps:spPr>
                        <a:xfrm>
                          <a:off x="3061970" y="6913245"/>
                          <a:ext cx="716915" cy="269875"/>
                        </a:xfrm>
                        <a:prstGeom prst="wedgeRectCallout">
                          <a:avLst>
                            <a:gd name="adj1" fmla="val -73052"/>
                            <a:gd name="adj2" fmla="val 108461"/>
                          </a:avLst>
                        </a:prstGeom>
                        <a:noFill/>
                      </wps:spPr>
                      <wps:style>
                        <a:lnRef idx="2">
                          <a:schemeClr val="accent1">
                            <a:lumMod val="75000"/>
                          </a:schemeClr>
                        </a:lnRef>
                        <a:fillRef idx="1">
                          <a:schemeClr val="accent1"/>
                        </a:fillRef>
                        <a:effectRef idx="0">
                          <a:srgbClr val="FFFFFF"/>
                        </a:effectRef>
                        <a:fontRef idx="minor">
                          <a:schemeClr val="lt1"/>
                        </a:fontRef>
                      </wps:style>
                      <wps:txbx>
                        <w:txbxContent>
                          <w:p w14:paraId="0869D7E6">
                            <w:pPr>
                              <w:jc w:val="center"/>
                              <w:rPr>
                                <w:rFonts w:hint="eastAsia"/>
                                <w:b/>
                                <w:bCs/>
                                <w:color w:val="FFC000"/>
                                <w:sz w:val="21"/>
                                <w:szCs w:val="21"/>
                              </w:rPr>
                            </w:pPr>
                            <w:r>
                              <w:rPr>
                                <w:rFonts w:hint="eastAsia"/>
                                <w:b/>
                                <w:bCs/>
                                <w:color w:val="FFC000"/>
                                <w:sz w:val="21"/>
                                <w:szCs w:val="21"/>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85.8pt;margin-top:61.8pt;height:21.25pt;width:56.45pt;z-index:251671552;v-text-anchor:middle;mso-width-relative:page;mso-height-relative:page;" filled="f" stroked="t" coordsize="21600,21600" o:gfxdata="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D3/vBXb&#10;AAAACwEAAA8AAAAAAAAAAQAgAAAAIgAAAGRycy9kb3ducmV2LnhtbFBLAQIUABQAAAAIAIdO4kA9&#10;ECV+yAIAAGoFAAAOAAAAAAAAAAEAIAAAACoBAABkcnMvZTJvRG9jLnhtbFBLBQYAAAAABgAGAFkB&#10;AABkBgAAAAA=&#10;" adj="-4979,34228">
                <v:fill on="f" focussize="0,0"/>
                <v:stroke weight="1pt" color="#2E75B6 [2404]" miterlimit="8" joinstyle="miter"/>
                <v:imagedata o:title=""/>
                <o:lock v:ext="edit" aspectratio="f"/>
                <v:textbox>
                  <w:txbxContent>
                    <w:p w14:paraId="0869D7E6">
                      <w:pPr>
                        <w:jc w:val="center"/>
                        <w:rPr>
                          <w:rFonts w:hint="eastAsia"/>
                          <w:b/>
                          <w:bCs/>
                          <w:color w:val="FFC000"/>
                          <w:sz w:val="21"/>
                          <w:szCs w:val="21"/>
                        </w:rPr>
                      </w:pPr>
                      <w:r>
                        <w:rPr>
                          <w:rFonts w:hint="eastAsia"/>
                          <w:b/>
                          <w:bCs/>
                          <w:color w:val="FFC000"/>
                          <w:sz w:val="21"/>
                          <w:szCs w:val="21"/>
                        </w:rPr>
                        <w:t>本项目</w:t>
                      </w:r>
                    </w:p>
                  </w:txbxContent>
                </v:textbox>
              </v:shape>
            </w:pict>
          </mc:Fallback>
        </mc:AlternateContent>
      </w:r>
      <w:r>
        <w:rPr>
          <w:color w:val="auto"/>
          <w:highlight w:val="none"/>
        </w:rPr>
        <w:drawing>
          <wp:inline distT="0" distB="0" distL="114300" distR="114300">
            <wp:extent cx="5755005" cy="2877185"/>
            <wp:effectExtent l="0" t="0" r="17145" b="18415"/>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21"/>
                    <a:stretch>
                      <a:fillRect/>
                    </a:stretch>
                  </pic:blipFill>
                  <pic:spPr>
                    <a:xfrm>
                      <a:off x="0" y="0"/>
                      <a:ext cx="5755005" cy="2877185"/>
                    </a:xfrm>
                    <a:prstGeom prst="rect">
                      <a:avLst/>
                    </a:prstGeom>
                    <a:noFill/>
                    <a:ln>
                      <a:noFill/>
                    </a:ln>
                  </pic:spPr>
                </pic:pic>
              </a:graphicData>
            </a:graphic>
          </wp:inline>
        </w:drawing>
      </w:r>
    </w:p>
    <w:p w14:paraId="0ACAEBAD">
      <w:pPr>
        <w:pStyle w:val="153"/>
        <w:widowControl w:val="0"/>
        <w:spacing w:line="240" w:lineRule="auto"/>
        <w:ind w:firstLine="0" w:firstLineChars="0"/>
        <w:jc w:val="center"/>
        <w:rPr>
          <w:rFonts w:ascii="Times New Roman" w:hAnsi="Times New Roman" w:eastAsiaTheme="minorEastAsia"/>
          <w:b/>
          <w:iCs/>
          <w:color w:val="auto"/>
          <w:w w:val="99"/>
          <w:highlight w:val="none"/>
        </w:rPr>
      </w:pPr>
      <w:r>
        <w:rPr>
          <w:rFonts w:hint="eastAsia" w:ascii="Times New Roman" w:hAnsi="Times New Roman" w:eastAsiaTheme="minorEastAsia"/>
          <w:b/>
          <w:iCs/>
          <w:color w:val="auto"/>
          <w:w w:val="99"/>
          <w:highlight w:val="none"/>
        </w:rPr>
        <w:t>图1.4-3  本项</w:t>
      </w:r>
      <w:r>
        <w:rPr>
          <w:rFonts w:ascii="Times New Roman" w:hAnsi="Times New Roman" w:eastAsiaTheme="minorEastAsia"/>
          <w:b/>
          <w:iCs/>
          <w:color w:val="auto"/>
          <w:w w:val="99"/>
          <w:highlight w:val="none"/>
        </w:rPr>
        <w:t>目与</w:t>
      </w:r>
      <w:r>
        <w:rPr>
          <w:rFonts w:hint="eastAsia" w:ascii="Times New Roman" w:hAnsi="Times New Roman" w:eastAsiaTheme="minorEastAsia"/>
          <w:b/>
          <w:iCs/>
          <w:color w:val="auto"/>
          <w:w w:val="99"/>
          <w:highlight w:val="none"/>
        </w:rPr>
        <w:t>生态保护红线位置</w:t>
      </w:r>
      <w:r>
        <w:rPr>
          <w:rFonts w:ascii="Times New Roman" w:hAnsi="Times New Roman" w:eastAsiaTheme="minorEastAsia"/>
          <w:b/>
          <w:iCs/>
          <w:color w:val="auto"/>
          <w:w w:val="99"/>
          <w:highlight w:val="none"/>
        </w:rPr>
        <w:t>图</w:t>
      </w:r>
    </w:p>
    <w:p w14:paraId="25C00D90">
      <w:pPr>
        <w:pStyle w:val="153"/>
        <w:widowControl w:val="0"/>
        <w:spacing w:line="440" w:lineRule="exact"/>
        <w:ind w:firstLine="473"/>
        <w:jc w:val="both"/>
        <w:rPr>
          <w:rFonts w:ascii="Times New Roman" w:hAnsi="Times New Roman" w:eastAsiaTheme="minorEastAsia"/>
          <w:bCs/>
          <w:color w:val="auto"/>
          <w:w w:val="99"/>
          <w:highlight w:val="none"/>
        </w:rPr>
      </w:pPr>
      <w:r>
        <w:rPr>
          <w:rFonts w:hint="eastAsia" w:ascii="Times New Roman" w:hAnsi="Times New Roman" w:eastAsiaTheme="minorEastAsia"/>
          <w:bCs/>
          <w:color w:val="auto"/>
          <w:w w:val="99"/>
          <w:highlight w:val="none"/>
        </w:rPr>
        <w:t>③城镇开发边界：根据《黑龙江省国土空间总体规划（2021-2035年）》、《绥化市国土空间总体规划（2021-2035年）》，本项目不涉及城镇开发边界。</w:t>
      </w:r>
    </w:p>
    <w:p w14:paraId="53D50C40">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1.4.2.4国民经济和社会发展规划符合性分析</w:t>
      </w:r>
    </w:p>
    <w:p w14:paraId="2F43E345">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w:t>
      </w:r>
      <w:bookmarkStart w:id="92" w:name="OLE_LINK136"/>
      <w:bookmarkStart w:id="93" w:name="OLE_LINK135"/>
      <w:r>
        <w:rPr>
          <w:rFonts w:ascii="Times New Roman" w:hAnsi="Times New Roman"/>
          <w:color w:val="auto"/>
          <w:w w:val="99"/>
          <w:highlight w:val="none"/>
        </w:rPr>
        <w:t>黑龙江省国民经济和社会发展第十四个五年规划和二〇三五年远景目标纲要</w:t>
      </w:r>
      <w:bookmarkEnd w:id="92"/>
      <w:bookmarkEnd w:id="93"/>
      <w:r>
        <w:rPr>
          <w:rFonts w:ascii="Times New Roman" w:hAnsi="Times New Roman"/>
          <w:color w:val="auto"/>
          <w:w w:val="99"/>
          <w:highlight w:val="none"/>
        </w:rPr>
        <w:t>》（</w:t>
      </w:r>
      <w:r>
        <w:rPr>
          <w:rFonts w:hint="eastAsia" w:ascii="Times New Roman" w:hAnsi="Times New Roman"/>
          <w:color w:val="auto"/>
          <w:w w:val="99"/>
          <w:highlight w:val="none"/>
        </w:rPr>
        <w:t>黑政发〔</w:t>
      </w:r>
      <w:r>
        <w:rPr>
          <w:rFonts w:ascii="Times New Roman" w:hAnsi="Times New Roman"/>
          <w:color w:val="auto"/>
          <w:w w:val="99"/>
          <w:highlight w:val="none"/>
        </w:rPr>
        <w:t>2021〕5号）中提出：保障国家能源安全。当好标杆旗帜，建设百年油田，推进大庆油田常规油气资源稳油增气，建立地企共建共享机制，加快大庆页岩油气开发产业化商业化步伐，到2025年油气产量当量达到4500万吨以上，巩固石油大省地位。</w:t>
      </w:r>
    </w:p>
    <w:p w14:paraId="5A7296BF">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《大庆市国民经济和社会发展第十四个五年规划和二O三五年远景目标纲要》（</w:t>
      </w:r>
      <w:r>
        <w:rPr>
          <w:rFonts w:hint="eastAsia" w:ascii="Times New Roman" w:hAnsi="Times New Roman"/>
          <w:color w:val="auto"/>
          <w:w w:val="99"/>
          <w:highlight w:val="none"/>
        </w:rPr>
        <w:t>庆政发〔</w:t>
      </w:r>
      <w:r>
        <w:rPr>
          <w:rFonts w:ascii="Times New Roman" w:hAnsi="Times New Roman"/>
          <w:color w:val="auto"/>
          <w:w w:val="99"/>
          <w:highlight w:val="none"/>
        </w:rPr>
        <w:t>2021〕13号）第三章中提出加快体制机制创新，全力推动百年油田建设。力争到2025年，大庆油田国内外油气产量当量达到4500万吨以上，天然气产量70亿立方米，</w:t>
      </w:r>
    </w:p>
    <w:p w14:paraId="790DFE91">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本</w:t>
      </w:r>
      <w:r>
        <w:rPr>
          <w:rFonts w:hint="eastAsia" w:ascii="Times New Roman" w:hAnsi="Times New Roman"/>
          <w:color w:val="auto"/>
          <w:w w:val="99"/>
          <w:highlight w:val="none"/>
        </w:rPr>
        <w:t>项目</w:t>
      </w:r>
      <w:r>
        <w:rPr>
          <w:rFonts w:ascii="Times New Roman" w:hAnsi="Times New Roman"/>
          <w:color w:val="auto"/>
          <w:w w:val="99"/>
          <w:highlight w:val="none"/>
        </w:rPr>
        <w:t>为</w:t>
      </w:r>
      <w:r>
        <w:rPr>
          <w:rFonts w:hint="eastAsia" w:ascii="Times New Roman" w:hAnsi="Times New Roman"/>
          <w:color w:val="auto"/>
          <w:w w:val="99"/>
          <w:highlight w:val="none"/>
        </w:rPr>
        <w:t>天然气</w:t>
      </w:r>
      <w:r>
        <w:rPr>
          <w:rFonts w:ascii="Times New Roman" w:hAnsi="Times New Roman"/>
          <w:color w:val="auto"/>
          <w:w w:val="99"/>
          <w:highlight w:val="none"/>
        </w:rPr>
        <w:t>开采项目，项目建设有利于保障大庆天然气产量，因此本项目符合《黑龙江省国民经济和社会发展第十四个五年规划和二〇三五年远景目标纲要》（</w:t>
      </w:r>
      <w:r>
        <w:rPr>
          <w:rFonts w:hint="eastAsia" w:ascii="Times New Roman" w:hAnsi="Times New Roman"/>
          <w:color w:val="auto"/>
          <w:w w:val="99"/>
          <w:highlight w:val="none"/>
        </w:rPr>
        <w:t>黑政发〔</w:t>
      </w:r>
      <w:r>
        <w:rPr>
          <w:rFonts w:ascii="Times New Roman" w:hAnsi="Times New Roman"/>
          <w:color w:val="auto"/>
          <w:w w:val="99"/>
          <w:highlight w:val="none"/>
        </w:rPr>
        <w:t>2021〕5号）及《</w:t>
      </w:r>
      <w:bookmarkStart w:id="94" w:name="OLE_LINK140"/>
      <w:bookmarkStart w:id="95" w:name="OLE_LINK139"/>
      <w:r>
        <w:rPr>
          <w:rFonts w:ascii="Times New Roman" w:hAnsi="Times New Roman"/>
          <w:color w:val="auto"/>
          <w:w w:val="99"/>
          <w:highlight w:val="none"/>
        </w:rPr>
        <w:t>大庆市国民经济和社会发展第十四个五年规划和二O三五年远景目标纲要</w:t>
      </w:r>
      <w:bookmarkEnd w:id="94"/>
      <w:bookmarkEnd w:id="95"/>
      <w:r>
        <w:rPr>
          <w:rFonts w:ascii="Times New Roman" w:hAnsi="Times New Roman"/>
          <w:color w:val="auto"/>
          <w:w w:val="99"/>
          <w:highlight w:val="none"/>
        </w:rPr>
        <w:t>》（</w:t>
      </w:r>
      <w:r>
        <w:rPr>
          <w:rFonts w:hint="eastAsia" w:ascii="Times New Roman" w:hAnsi="Times New Roman"/>
          <w:color w:val="auto"/>
          <w:w w:val="99"/>
          <w:highlight w:val="none"/>
        </w:rPr>
        <w:t>庆政发〔</w:t>
      </w:r>
      <w:r>
        <w:rPr>
          <w:rFonts w:ascii="Times New Roman" w:hAnsi="Times New Roman"/>
          <w:color w:val="auto"/>
          <w:w w:val="99"/>
          <w:highlight w:val="none"/>
        </w:rPr>
        <w:t>2021〕13号）中要求。</w:t>
      </w:r>
    </w:p>
    <w:p w14:paraId="28EBF112">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1.4.2.</w:t>
      </w:r>
      <w:r>
        <w:rPr>
          <w:rFonts w:hint="eastAsia" w:ascii="Times New Roman" w:hAnsi="Times New Roman" w:eastAsiaTheme="minorEastAsia"/>
          <w:b/>
          <w:color w:val="auto"/>
          <w:w w:val="99"/>
          <w:highlight w:val="none"/>
        </w:rPr>
        <w:t>5</w:t>
      </w:r>
      <w:r>
        <w:rPr>
          <w:rFonts w:ascii="Times New Roman" w:hAnsi="Times New Roman" w:eastAsiaTheme="minorEastAsia"/>
          <w:b/>
          <w:color w:val="auto"/>
          <w:w w:val="99"/>
          <w:highlight w:val="none"/>
          <w:lang w:bidi="zh-CN"/>
        </w:rPr>
        <w:t>与《</w:t>
      </w:r>
      <w:bookmarkStart w:id="96" w:name="OLE_LINK142"/>
      <w:bookmarkStart w:id="97" w:name="OLE_LINK141"/>
      <w:r>
        <w:rPr>
          <w:rFonts w:ascii="Times New Roman" w:hAnsi="Times New Roman" w:eastAsiaTheme="minorEastAsia"/>
          <w:b/>
          <w:color w:val="auto"/>
          <w:w w:val="99"/>
          <w:highlight w:val="none"/>
          <w:lang w:bidi="zh-CN"/>
        </w:rPr>
        <w:t>黑龙江省“十四五”黑土地保护规划</w:t>
      </w:r>
      <w:bookmarkEnd w:id="96"/>
      <w:bookmarkEnd w:id="97"/>
      <w:r>
        <w:rPr>
          <w:rFonts w:ascii="Times New Roman" w:hAnsi="Times New Roman" w:eastAsiaTheme="minorEastAsia"/>
          <w:b/>
          <w:color w:val="auto"/>
          <w:w w:val="99"/>
          <w:highlight w:val="none"/>
          <w:lang w:bidi="zh-CN"/>
        </w:rPr>
        <w:t>》</w:t>
      </w:r>
      <w:r>
        <w:rPr>
          <w:rFonts w:hint="eastAsia" w:ascii="Times New Roman" w:hAnsi="Times New Roman" w:eastAsiaTheme="minorEastAsia"/>
          <w:b/>
          <w:color w:val="auto"/>
          <w:w w:val="99"/>
          <w:highlight w:val="none"/>
          <w:lang w:bidi="zh-CN"/>
        </w:rPr>
        <w:t>（黑政办规〔</w:t>
      </w:r>
      <w:r>
        <w:rPr>
          <w:rFonts w:ascii="Times New Roman" w:hAnsi="Times New Roman" w:eastAsiaTheme="minorEastAsia"/>
          <w:b/>
          <w:color w:val="auto"/>
          <w:w w:val="99"/>
          <w:highlight w:val="none"/>
          <w:lang w:bidi="zh-CN"/>
        </w:rPr>
        <w:t>2021〕48号</w:t>
      </w:r>
      <w:r>
        <w:rPr>
          <w:rFonts w:hint="eastAsia" w:ascii="Times New Roman" w:hAnsi="Times New Roman" w:eastAsiaTheme="minorEastAsia"/>
          <w:b/>
          <w:color w:val="auto"/>
          <w:w w:val="99"/>
          <w:highlight w:val="none"/>
          <w:lang w:bidi="zh-CN"/>
        </w:rPr>
        <w:t>）</w:t>
      </w:r>
      <w:r>
        <w:rPr>
          <w:rFonts w:ascii="Times New Roman" w:hAnsi="Times New Roman" w:eastAsiaTheme="minorEastAsia"/>
          <w:b/>
          <w:color w:val="auto"/>
          <w:w w:val="99"/>
          <w:highlight w:val="none"/>
          <w:lang w:bidi="zh-CN"/>
        </w:rPr>
        <w:t>符合性分析</w:t>
      </w:r>
    </w:p>
    <w:p w14:paraId="7E8C04B2">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本项目与《黑龙江省“十四五”黑土地保护规划》</w:t>
      </w:r>
      <w:r>
        <w:rPr>
          <w:rFonts w:hint="eastAsia" w:ascii="Times New Roman" w:hAnsi="Times New Roman"/>
          <w:color w:val="auto"/>
          <w:w w:val="99"/>
          <w:highlight w:val="none"/>
        </w:rPr>
        <w:t>（黑政办规〔</w:t>
      </w:r>
      <w:r>
        <w:rPr>
          <w:rFonts w:ascii="Times New Roman" w:hAnsi="Times New Roman"/>
          <w:color w:val="auto"/>
          <w:w w:val="99"/>
          <w:highlight w:val="none"/>
        </w:rPr>
        <w:t>2021〕48号</w:t>
      </w:r>
      <w:r>
        <w:rPr>
          <w:rFonts w:hint="eastAsia" w:ascii="Times New Roman" w:hAnsi="Times New Roman"/>
          <w:color w:val="auto"/>
          <w:w w:val="99"/>
          <w:highlight w:val="none"/>
        </w:rPr>
        <w:t>）</w:t>
      </w:r>
      <w:r>
        <w:rPr>
          <w:rFonts w:ascii="Times New Roman" w:hAnsi="Times New Roman"/>
          <w:color w:val="auto"/>
          <w:w w:val="99"/>
          <w:highlight w:val="none"/>
        </w:rPr>
        <w:t>符合性分析见表1.4-</w:t>
      </w:r>
      <w:r>
        <w:rPr>
          <w:rFonts w:hint="eastAsia" w:ascii="Times New Roman" w:hAnsi="Times New Roman"/>
          <w:color w:val="auto"/>
          <w:w w:val="99"/>
          <w:highlight w:val="none"/>
        </w:rPr>
        <w:t>1</w:t>
      </w:r>
      <w:r>
        <w:rPr>
          <w:rFonts w:ascii="Times New Roman" w:hAnsi="Times New Roman"/>
          <w:color w:val="auto"/>
          <w:w w:val="99"/>
          <w:highlight w:val="none"/>
        </w:rPr>
        <w:t>。</w:t>
      </w:r>
    </w:p>
    <w:p w14:paraId="5C9D139A">
      <w:pPr>
        <w:pStyle w:val="153"/>
        <w:widowControl w:val="0"/>
        <w:spacing w:line="440" w:lineRule="exact"/>
        <w:ind w:firstLine="474"/>
        <w:jc w:val="both"/>
        <w:rPr>
          <w:rFonts w:ascii="Times New Roman" w:hAnsi="Times New Roman" w:eastAsiaTheme="minorEastAsia"/>
          <w:color w:val="auto"/>
          <w:w w:val="99"/>
          <w:highlight w:val="none"/>
        </w:rPr>
      </w:pPr>
      <w:r>
        <w:rPr>
          <w:rFonts w:ascii="Times New Roman" w:hAnsi="Times New Roman"/>
          <w:b/>
          <w:bCs/>
          <w:color w:val="auto"/>
          <w:w w:val="99"/>
          <w:kern w:val="21"/>
          <w:szCs w:val="20"/>
          <w:highlight w:val="none"/>
        </w:rPr>
        <w:t>表1.4-</w:t>
      </w:r>
      <w:r>
        <w:rPr>
          <w:rFonts w:hint="eastAsia" w:ascii="Times New Roman" w:hAnsi="Times New Roman"/>
          <w:b/>
          <w:bCs/>
          <w:color w:val="auto"/>
          <w:w w:val="99"/>
          <w:kern w:val="21"/>
          <w:szCs w:val="20"/>
          <w:highlight w:val="none"/>
        </w:rPr>
        <w:t>1</w:t>
      </w:r>
      <w:r>
        <w:rPr>
          <w:rFonts w:ascii="Times New Roman" w:hAnsi="Times New Roman"/>
          <w:b/>
          <w:bCs/>
          <w:color w:val="auto"/>
          <w:w w:val="99"/>
          <w:kern w:val="21"/>
          <w:szCs w:val="20"/>
          <w:highlight w:val="none"/>
        </w:rPr>
        <w:t xml:space="preserve">    本项目与《黑龙江省“十四五”黑土地保护规划》</w:t>
      </w:r>
      <w:r>
        <w:rPr>
          <w:rFonts w:hint="eastAsia" w:ascii="Times New Roman" w:hAnsi="Times New Roman"/>
          <w:b/>
          <w:bCs/>
          <w:color w:val="auto"/>
          <w:w w:val="99"/>
          <w:kern w:val="21"/>
          <w:szCs w:val="20"/>
          <w:highlight w:val="none"/>
        </w:rPr>
        <w:t>（黑政办规〔</w:t>
      </w:r>
      <w:r>
        <w:rPr>
          <w:rFonts w:ascii="Times New Roman" w:hAnsi="Times New Roman"/>
          <w:b/>
          <w:bCs/>
          <w:color w:val="auto"/>
          <w:w w:val="99"/>
          <w:kern w:val="21"/>
          <w:szCs w:val="20"/>
          <w:highlight w:val="none"/>
        </w:rPr>
        <w:t>2021〕48号</w:t>
      </w:r>
      <w:r>
        <w:rPr>
          <w:rFonts w:hint="eastAsia" w:ascii="Times New Roman" w:hAnsi="Times New Roman"/>
          <w:b/>
          <w:bCs/>
          <w:color w:val="auto"/>
          <w:w w:val="99"/>
          <w:kern w:val="21"/>
          <w:szCs w:val="20"/>
          <w:highlight w:val="none"/>
        </w:rPr>
        <w:t>）</w:t>
      </w:r>
      <w:r>
        <w:rPr>
          <w:rFonts w:ascii="Times New Roman" w:hAnsi="Times New Roman"/>
          <w:b/>
          <w:bCs/>
          <w:color w:val="auto"/>
          <w:w w:val="99"/>
          <w:kern w:val="21"/>
          <w:szCs w:val="20"/>
          <w:highlight w:val="none"/>
        </w:rPr>
        <w:t>相关要求符合性</w:t>
      </w:r>
    </w:p>
    <w:tbl>
      <w:tblPr>
        <w:tblStyle w:val="82"/>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3468"/>
        <w:gridCol w:w="4082"/>
        <w:gridCol w:w="879"/>
      </w:tblGrid>
      <w:tr w14:paraId="3267D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1105ED5D">
            <w:pPr>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序号</w:t>
            </w:r>
          </w:p>
        </w:tc>
        <w:tc>
          <w:tcPr>
            <w:tcW w:w="3468" w:type="dxa"/>
            <w:vAlign w:val="center"/>
          </w:tcPr>
          <w:p w14:paraId="2B6FCA46">
            <w:pPr>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相关要求</w:t>
            </w:r>
          </w:p>
        </w:tc>
        <w:tc>
          <w:tcPr>
            <w:tcW w:w="4082" w:type="dxa"/>
            <w:vAlign w:val="center"/>
          </w:tcPr>
          <w:p w14:paraId="7AAFAFD3">
            <w:pPr>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符合性分析</w:t>
            </w:r>
          </w:p>
        </w:tc>
        <w:tc>
          <w:tcPr>
            <w:tcW w:w="879" w:type="dxa"/>
            <w:vAlign w:val="center"/>
          </w:tcPr>
          <w:p w14:paraId="40F92E09">
            <w:pPr>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符合性</w:t>
            </w:r>
          </w:p>
        </w:tc>
      </w:tr>
      <w:tr w14:paraId="624F8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54A94866">
            <w:pPr>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w:t>
            </w:r>
          </w:p>
        </w:tc>
        <w:tc>
          <w:tcPr>
            <w:tcW w:w="3468" w:type="dxa"/>
            <w:vAlign w:val="center"/>
          </w:tcPr>
          <w:p w14:paraId="7D4B5288">
            <w:pPr>
              <w:widowControl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严控耕地保护红线。实行最严格的耕地保护制度，划定耕地保护红线和永久基本农田控制线，严格落实耕地占补平衡、易地补充耕地、土地复垦等政策，确保完成规划期内黑土耕地保有量和永久基本农田保护任务。</w:t>
            </w:r>
          </w:p>
        </w:tc>
        <w:tc>
          <w:tcPr>
            <w:tcW w:w="4082" w:type="dxa"/>
            <w:vAlign w:val="center"/>
          </w:tcPr>
          <w:p w14:paraId="4DAA37AC">
            <w:pPr>
              <w:widowControl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本项目为</w:t>
            </w:r>
            <w:r>
              <w:rPr>
                <w:rFonts w:hint="eastAsia" w:ascii="Times New Roman" w:hAnsi="Times New Roman" w:cs="Times New Roman"/>
                <w:color w:val="auto"/>
                <w:w w:val="99"/>
                <w:sz w:val="21"/>
                <w:szCs w:val="21"/>
                <w:highlight w:val="none"/>
              </w:rPr>
              <w:t>天然气</w:t>
            </w:r>
            <w:r>
              <w:rPr>
                <w:rFonts w:ascii="Times New Roman" w:hAnsi="Times New Roman" w:cs="Times New Roman"/>
                <w:color w:val="auto"/>
                <w:w w:val="99"/>
                <w:sz w:val="21"/>
                <w:szCs w:val="21"/>
                <w:highlight w:val="none"/>
              </w:rPr>
              <w:t>开采项目，属于国家能源建设项目，项目部分建设内容位于耕地内，根据地下储层特性，项目选址无法避让耕地。项目在施工前需要征收土地，应报请相关主管部门同意，取得用地审批。本项目尽可能减少占地。本项目建设过程中，对占用的耕地，按照“占多少，垦多少”的原则，由建设单位负责开垦与所占用耕地的数量和质量相当的耕地，如果没有条件开垦时，按照省的规定缴纳耕地开垦费，专款用于开垦新的耕地。</w:t>
            </w:r>
          </w:p>
        </w:tc>
        <w:tc>
          <w:tcPr>
            <w:tcW w:w="879" w:type="dxa"/>
            <w:vAlign w:val="center"/>
          </w:tcPr>
          <w:p w14:paraId="16269C86">
            <w:pPr>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r w14:paraId="3B36A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2124664B">
            <w:pPr>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w:t>
            </w:r>
          </w:p>
        </w:tc>
        <w:tc>
          <w:tcPr>
            <w:tcW w:w="3468" w:type="dxa"/>
            <w:vAlign w:val="center"/>
          </w:tcPr>
          <w:p w14:paraId="0C751F78">
            <w:pPr>
              <w:widowControl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严格国土空间用途管制。划定一般农业区，把优质黑土耕地优先划入一般农业区。制定用途管制规则，实行严格的用途管制，严控非农建设用地规模，尽量少占优质黑土地。强化对占用黑土地的管控约束，使得城镇发展等非农建设尽量避让优质黑土地。</w:t>
            </w:r>
          </w:p>
        </w:tc>
        <w:tc>
          <w:tcPr>
            <w:tcW w:w="4082" w:type="dxa"/>
            <w:vAlign w:val="center"/>
          </w:tcPr>
          <w:p w14:paraId="0444F85E">
            <w:pPr>
              <w:widowControl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项目施工过程中，需遵守《大庆油（气）田建设工程用地规范》规定，严格控制施工作业面积，加强施工管理，尽量减少占地面积，并规范行车路线及施工人员行为，严禁随意践踏、碾压施工区范围外的植被及黑土耕地，不准乱挖、乱采野生植物，确保不影响周边黑土耕地。</w:t>
            </w:r>
          </w:p>
        </w:tc>
        <w:tc>
          <w:tcPr>
            <w:tcW w:w="879" w:type="dxa"/>
            <w:vAlign w:val="center"/>
          </w:tcPr>
          <w:p w14:paraId="64F8E358">
            <w:pPr>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r w14:paraId="06706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3A8456FC">
            <w:pPr>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w:t>
            </w:r>
          </w:p>
        </w:tc>
        <w:tc>
          <w:tcPr>
            <w:tcW w:w="3468" w:type="dxa"/>
            <w:vAlign w:val="center"/>
          </w:tcPr>
          <w:p w14:paraId="0209D865">
            <w:pPr>
              <w:widowControl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严格土地执法。建设项目占用耕地的，应当按规定进行表土剥离和利用。全面加大黑土耕地保护违法违规问题执法力度，及时发现、严肃查处土地违法特别是乱占耕地、破坏耕地、盗挖黑土等行为。</w:t>
            </w:r>
          </w:p>
        </w:tc>
        <w:tc>
          <w:tcPr>
            <w:tcW w:w="4082" w:type="dxa"/>
            <w:vAlign w:val="center"/>
          </w:tcPr>
          <w:p w14:paraId="4EBF3BCF">
            <w:pPr>
              <w:widowControl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本项目实施前</w:t>
            </w:r>
            <w:r>
              <w:rPr>
                <w:rFonts w:hint="eastAsia" w:ascii="Times New Roman" w:hAnsi="Times New Roman" w:cs="Times New Roman"/>
                <w:color w:val="auto"/>
                <w:w w:val="99"/>
                <w:sz w:val="21"/>
                <w:szCs w:val="21"/>
                <w:highlight w:val="none"/>
              </w:rPr>
              <w:t>采气分公司应</w:t>
            </w:r>
            <w:r>
              <w:rPr>
                <w:rFonts w:ascii="Times New Roman" w:hAnsi="Times New Roman" w:cs="Times New Roman"/>
                <w:color w:val="auto"/>
                <w:w w:val="99"/>
                <w:sz w:val="21"/>
                <w:szCs w:val="21"/>
                <w:highlight w:val="none"/>
              </w:rPr>
              <w:t>编制建设项目占用耕地耕作层土壤剥离利用方案，统筹安排剥离、储存和再利用。表土剥离和利用严格执行《建设占用耕地耕作层土壤剥离利用技术规范》（DB23/T2913-2021）。本项目施工前应剥离永久占地内的表土，</w:t>
            </w:r>
            <w:r>
              <w:rPr>
                <w:rFonts w:hint="eastAsia" w:ascii="Times New Roman" w:hAnsi="Times New Roman" w:cs="Times New Roman"/>
                <w:color w:val="auto"/>
                <w:w w:val="99"/>
                <w:sz w:val="21"/>
                <w:szCs w:val="21"/>
                <w:highlight w:val="none"/>
              </w:rPr>
              <w:t>耕地剥离厚度</w:t>
            </w:r>
            <w:r>
              <w:rPr>
                <w:rFonts w:ascii="Times New Roman" w:hAnsi="Times New Roman" w:cs="Times New Roman"/>
                <w:color w:val="auto"/>
                <w:w w:val="99"/>
                <w:sz w:val="21"/>
                <w:szCs w:val="21"/>
                <w:highlight w:val="none"/>
              </w:rPr>
              <w:t>0.3m，剥离的表土暂存于施工井场的表土剥离临时堆放区，并采取苫布遮盖，表土剥离临时堆放区周围设置排水沟等措施防止水土流失，并定期采取洒水抑尘措施，施工结束后，剥离表土用于周围区域土地复垦、土壤治理等用途。</w:t>
            </w:r>
          </w:p>
        </w:tc>
        <w:tc>
          <w:tcPr>
            <w:tcW w:w="879" w:type="dxa"/>
            <w:vAlign w:val="center"/>
          </w:tcPr>
          <w:p w14:paraId="196658FC">
            <w:pPr>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r w14:paraId="4DE29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21D61110">
            <w:pPr>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4</w:t>
            </w:r>
          </w:p>
        </w:tc>
        <w:tc>
          <w:tcPr>
            <w:tcW w:w="3468" w:type="dxa"/>
            <w:vAlign w:val="center"/>
          </w:tcPr>
          <w:p w14:paraId="2C594BD6">
            <w:pPr>
              <w:widowControl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实施耕地深松轮作。推行深松（翻）整地，打破犁底层，增加土壤通透性和耕层厚度，建立“土壤水库”，提高土壤抗旱防涝、蓄水保墒能力，实现春旱秋防。</w:t>
            </w:r>
          </w:p>
        </w:tc>
        <w:tc>
          <w:tcPr>
            <w:tcW w:w="4082" w:type="dxa"/>
            <w:vAlign w:val="center"/>
          </w:tcPr>
          <w:p w14:paraId="78BF0CFB">
            <w:pPr>
              <w:widowControl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对于临时占地采取分层开挖、分层堆放</w:t>
            </w:r>
            <w:r>
              <w:rPr>
                <w:rFonts w:hint="eastAsia" w:ascii="Times New Roman" w:hAnsi="Times New Roman" w:cs="Times New Roman"/>
                <w:color w:val="auto"/>
                <w:w w:val="99"/>
                <w:sz w:val="21"/>
                <w:szCs w:val="21"/>
                <w:highlight w:val="none"/>
              </w:rPr>
              <w:t>、分层回填</w:t>
            </w:r>
            <w:r>
              <w:rPr>
                <w:rFonts w:ascii="Times New Roman" w:hAnsi="Times New Roman" w:cs="Times New Roman"/>
                <w:color w:val="auto"/>
                <w:w w:val="99"/>
                <w:sz w:val="21"/>
                <w:szCs w:val="21"/>
                <w:highlight w:val="none"/>
              </w:rPr>
              <w:t>方式，剥离占地内的表土，</w:t>
            </w:r>
            <w:r>
              <w:rPr>
                <w:rFonts w:hint="eastAsia" w:ascii="Times New Roman" w:hAnsi="Times New Roman" w:cs="Times New Roman"/>
                <w:color w:val="auto"/>
                <w:w w:val="99"/>
                <w:sz w:val="21"/>
                <w:szCs w:val="21"/>
                <w:highlight w:val="none"/>
              </w:rPr>
              <w:t>耕地剥离厚度</w:t>
            </w:r>
            <w:r>
              <w:rPr>
                <w:rFonts w:ascii="Times New Roman" w:hAnsi="Times New Roman" w:cs="Times New Roman"/>
                <w:color w:val="auto"/>
                <w:w w:val="99"/>
                <w:sz w:val="21"/>
                <w:szCs w:val="21"/>
                <w:highlight w:val="none"/>
              </w:rPr>
              <w:t>0.3m，并对剥离表土采取苫布遮盖、定期洒水抑尘措施，施工结束后及时用于回填，分层回填压实，保护有耕作能力种植价值的表层土壤，并对临时占地进行深松深耕复垦，恢复地表植被。</w:t>
            </w:r>
          </w:p>
        </w:tc>
        <w:tc>
          <w:tcPr>
            <w:tcW w:w="879" w:type="dxa"/>
            <w:vAlign w:val="center"/>
          </w:tcPr>
          <w:p w14:paraId="5461FAE2">
            <w:pPr>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bl>
    <w:p w14:paraId="093F984B">
      <w:pPr>
        <w:widowControl w:val="0"/>
        <w:spacing w:line="440" w:lineRule="exact"/>
        <w:ind w:firstLine="474" w:firstLineChars="200"/>
        <w:rPr>
          <w:rFonts w:ascii="Times New Roman" w:hAnsi="Times New Roman" w:cs="Times New Roman"/>
          <w:color w:val="auto"/>
          <w:w w:val="99"/>
          <w:highlight w:val="none"/>
          <w:lang w:val="zh-CN" w:bidi="zh-CN"/>
        </w:rPr>
      </w:pPr>
      <w:r>
        <w:rPr>
          <w:rFonts w:ascii="Times New Roman" w:hAnsi="Times New Roman" w:cs="Times New Roman"/>
          <w:color w:val="auto"/>
          <w:w w:val="99"/>
          <w:highlight w:val="none"/>
        </w:rPr>
        <w:t>由上表可知</w:t>
      </w:r>
      <w:r>
        <w:rPr>
          <w:rFonts w:ascii="Times New Roman" w:hAnsi="Times New Roman" w:cs="Times New Roman"/>
          <w:color w:val="auto"/>
          <w:w w:val="99"/>
          <w:highlight w:val="none"/>
          <w:lang w:val="zh-CN" w:bidi="zh-CN"/>
        </w:rPr>
        <w:t>，本项目符合《黑龙江省“十四五”黑土地保护规划》</w:t>
      </w:r>
      <w:r>
        <w:rPr>
          <w:rFonts w:hint="eastAsia" w:ascii="Times New Roman" w:hAnsi="Times New Roman" w:cs="Times New Roman"/>
          <w:color w:val="auto"/>
          <w:w w:val="99"/>
          <w:highlight w:val="none"/>
          <w:lang w:bidi="zh-CN"/>
        </w:rPr>
        <w:t>（黑政办规〔</w:t>
      </w:r>
      <w:r>
        <w:rPr>
          <w:rFonts w:ascii="Times New Roman" w:hAnsi="Times New Roman" w:cs="Times New Roman"/>
          <w:color w:val="auto"/>
          <w:w w:val="99"/>
          <w:highlight w:val="none"/>
          <w:lang w:bidi="zh-CN"/>
        </w:rPr>
        <w:t>2021〕48号</w:t>
      </w:r>
      <w:r>
        <w:rPr>
          <w:rFonts w:hint="eastAsia" w:ascii="Times New Roman" w:hAnsi="Times New Roman" w:cs="Times New Roman"/>
          <w:color w:val="auto"/>
          <w:w w:val="99"/>
          <w:highlight w:val="none"/>
          <w:lang w:bidi="zh-CN"/>
        </w:rPr>
        <w:t>）</w:t>
      </w:r>
      <w:r>
        <w:rPr>
          <w:rFonts w:ascii="Times New Roman" w:hAnsi="Times New Roman" w:cs="Times New Roman"/>
          <w:color w:val="auto"/>
          <w:w w:val="99"/>
          <w:highlight w:val="none"/>
          <w:lang w:val="zh-CN" w:bidi="zh-CN"/>
        </w:rPr>
        <w:t>中相关规定。</w:t>
      </w:r>
    </w:p>
    <w:p w14:paraId="67C2207A">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1.4.2.</w:t>
      </w:r>
      <w:r>
        <w:rPr>
          <w:rFonts w:hint="eastAsia" w:ascii="Times New Roman" w:hAnsi="Times New Roman" w:eastAsiaTheme="minorEastAsia"/>
          <w:b/>
          <w:color w:val="auto"/>
          <w:w w:val="99"/>
          <w:highlight w:val="none"/>
        </w:rPr>
        <w:t>6</w:t>
      </w:r>
      <w:r>
        <w:rPr>
          <w:rFonts w:ascii="Times New Roman" w:hAnsi="Times New Roman" w:eastAsiaTheme="minorEastAsia"/>
          <w:b/>
          <w:color w:val="auto"/>
          <w:w w:val="99"/>
          <w:highlight w:val="none"/>
        </w:rPr>
        <w:t>《</w:t>
      </w:r>
      <w:r>
        <w:rPr>
          <w:rFonts w:hint="eastAsia" w:ascii="Times New Roman" w:hAnsi="Times New Roman" w:eastAsiaTheme="minorEastAsia"/>
          <w:b/>
          <w:color w:val="auto"/>
          <w:w w:val="99"/>
          <w:highlight w:val="none"/>
        </w:rPr>
        <w:t>绥化</w:t>
      </w:r>
      <w:r>
        <w:rPr>
          <w:rFonts w:ascii="Times New Roman" w:hAnsi="Times New Roman" w:eastAsiaTheme="minorEastAsia"/>
          <w:b/>
          <w:color w:val="auto"/>
          <w:w w:val="99"/>
          <w:highlight w:val="none"/>
        </w:rPr>
        <w:t>市水土保持规划》（201</w:t>
      </w:r>
      <w:r>
        <w:rPr>
          <w:rFonts w:hint="eastAsia" w:ascii="Times New Roman" w:hAnsi="Times New Roman" w:eastAsiaTheme="minorEastAsia"/>
          <w:b/>
          <w:color w:val="auto"/>
          <w:w w:val="99"/>
          <w:highlight w:val="none"/>
        </w:rPr>
        <w:t>9</w:t>
      </w:r>
      <w:r>
        <w:rPr>
          <w:rFonts w:ascii="Times New Roman" w:hAnsi="Times New Roman" w:eastAsiaTheme="minorEastAsia"/>
          <w:b/>
          <w:color w:val="auto"/>
          <w:w w:val="99"/>
          <w:highlight w:val="none"/>
        </w:rPr>
        <w:t>～2030年）符合性分析</w:t>
      </w:r>
    </w:p>
    <w:p w14:paraId="1D64E11B">
      <w:pPr>
        <w:pStyle w:val="153"/>
        <w:spacing w:line="440" w:lineRule="exact"/>
        <w:ind w:firstLine="473"/>
        <w:jc w:val="both"/>
        <w:rPr>
          <w:rFonts w:ascii="Times New Roman" w:hAnsi="Times New Roman" w:eastAsiaTheme="minorEastAsia"/>
          <w:color w:val="auto"/>
          <w:w w:val="99"/>
          <w:highlight w:val="none"/>
          <w:lang w:val="en"/>
        </w:rPr>
      </w:pPr>
      <w:bookmarkStart w:id="98" w:name="_Toc186444230"/>
      <w:bookmarkStart w:id="99" w:name="_Toc131167246"/>
      <w:bookmarkStart w:id="100" w:name="_Toc126863346"/>
      <w:bookmarkStart w:id="101" w:name="_Toc84929182"/>
      <w:bookmarkStart w:id="102" w:name="_Toc143099533"/>
      <w:bookmarkStart w:id="103" w:name="_Toc86141890"/>
      <w:bookmarkStart w:id="104" w:name="_Toc85640707"/>
      <w:bookmarkStart w:id="105" w:name="_Toc127192295"/>
      <w:r>
        <w:rPr>
          <w:rFonts w:ascii="Times New Roman" w:hAnsi="Times New Roman" w:eastAsiaTheme="minorEastAsia"/>
          <w:color w:val="auto"/>
          <w:w w:val="99"/>
          <w:highlight w:val="none"/>
        </w:rPr>
        <w:t>根据《</w:t>
      </w:r>
      <w:r>
        <w:rPr>
          <w:rFonts w:hint="eastAsia" w:ascii="Times New Roman" w:hAnsi="Times New Roman" w:eastAsiaTheme="minorEastAsia"/>
          <w:color w:val="auto"/>
          <w:w w:val="99"/>
          <w:highlight w:val="none"/>
        </w:rPr>
        <w:t>绥化</w:t>
      </w:r>
      <w:r>
        <w:rPr>
          <w:rFonts w:ascii="Times New Roman" w:hAnsi="Times New Roman" w:eastAsiaTheme="minorEastAsia"/>
          <w:color w:val="auto"/>
          <w:w w:val="99"/>
          <w:highlight w:val="none"/>
        </w:rPr>
        <w:t>市水土保持规划》（201</w:t>
      </w:r>
      <w:r>
        <w:rPr>
          <w:rFonts w:hint="eastAsia" w:ascii="Times New Roman" w:hAnsi="Times New Roman" w:eastAsiaTheme="minorEastAsia"/>
          <w:color w:val="auto"/>
          <w:w w:val="99"/>
          <w:highlight w:val="none"/>
        </w:rPr>
        <w:t>9</w:t>
      </w:r>
      <w:r>
        <w:rPr>
          <w:rFonts w:ascii="Times New Roman" w:hAnsi="Times New Roman" w:eastAsiaTheme="minorEastAsia"/>
          <w:color w:val="auto"/>
          <w:w w:val="99"/>
          <w:highlight w:val="none"/>
        </w:rPr>
        <w:t>～2030年），</w:t>
      </w:r>
      <w:r>
        <w:rPr>
          <w:rFonts w:hint="eastAsia" w:ascii="Times New Roman" w:hAnsi="Times New Roman" w:eastAsiaTheme="minorEastAsia"/>
          <w:color w:val="auto"/>
          <w:w w:val="99"/>
          <w:highlight w:val="none"/>
        </w:rPr>
        <w:t>绥化</w:t>
      </w:r>
      <w:r>
        <w:rPr>
          <w:rFonts w:ascii="Times New Roman" w:hAnsi="Times New Roman" w:eastAsiaTheme="minorEastAsia"/>
          <w:color w:val="auto"/>
          <w:w w:val="99"/>
          <w:highlight w:val="none"/>
          <w:lang w:val="en"/>
        </w:rPr>
        <w:t>市划定了市级水土流失重点预防区和重点治理区，本项目位于</w:t>
      </w:r>
      <w:r>
        <w:rPr>
          <w:rFonts w:hint="eastAsia" w:ascii="Times New Roman" w:hAnsi="Times New Roman" w:eastAsiaTheme="minorEastAsia"/>
          <w:color w:val="auto"/>
          <w:w w:val="99"/>
          <w:highlight w:val="none"/>
        </w:rPr>
        <w:t>绥化</w:t>
      </w:r>
      <w:r>
        <w:rPr>
          <w:rFonts w:ascii="Times New Roman" w:hAnsi="Times New Roman" w:eastAsiaTheme="minorEastAsia"/>
          <w:color w:val="auto"/>
          <w:w w:val="99"/>
          <w:highlight w:val="none"/>
          <w:lang w:val="en"/>
        </w:rPr>
        <w:t>市</w:t>
      </w:r>
      <w:r>
        <w:rPr>
          <w:rFonts w:hint="eastAsia" w:ascii="Times New Roman" w:hAnsi="Times New Roman" w:eastAsiaTheme="minorEastAsia"/>
          <w:color w:val="auto"/>
          <w:w w:val="99"/>
          <w:highlight w:val="none"/>
        </w:rPr>
        <w:t>肇东市</w:t>
      </w:r>
      <w:r>
        <w:rPr>
          <w:rFonts w:ascii="Times New Roman" w:hAnsi="Times New Roman" w:eastAsiaTheme="minorEastAsia"/>
          <w:color w:val="auto"/>
          <w:w w:val="99"/>
          <w:highlight w:val="none"/>
          <w:lang w:val="en"/>
        </w:rPr>
        <w:t>，</w:t>
      </w:r>
      <w:r>
        <w:rPr>
          <w:rFonts w:hint="eastAsia" w:ascii="Times New Roman" w:hAnsi="Times New Roman" w:eastAsiaTheme="minorEastAsia"/>
          <w:color w:val="auto"/>
          <w:w w:val="99"/>
          <w:highlight w:val="none"/>
        </w:rPr>
        <w:t>不</w:t>
      </w:r>
      <w:r>
        <w:rPr>
          <w:rFonts w:ascii="Times New Roman" w:hAnsi="Times New Roman" w:eastAsiaTheme="minorEastAsia"/>
          <w:color w:val="auto"/>
          <w:w w:val="99"/>
          <w:highlight w:val="none"/>
          <w:lang w:val="en"/>
        </w:rPr>
        <w:t>属于水土流失重点预防区和重点治理区。本项目</w:t>
      </w:r>
      <w:r>
        <w:rPr>
          <w:rFonts w:ascii="Times New Roman" w:hAnsi="Times New Roman" w:eastAsiaTheme="minorEastAsia"/>
          <w:color w:val="auto"/>
          <w:w w:val="99"/>
          <w:highlight w:val="none"/>
        </w:rPr>
        <w:t>开发区域与</w:t>
      </w:r>
      <w:r>
        <w:rPr>
          <w:rFonts w:ascii="Times New Roman" w:hAnsi="Times New Roman" w:eastAsiaTheme="minorEastAsia"/>
          <w:color w:val="auto"/>
          <w:w w:val="99"/>
          <w:highlight w:val="none"/>
          <w:lang w:val="en"/>
        </w:rPr>
        <w:t>水土保持重点治理区和重点预防区位置关系见附图</w:t>
      </w:r>
      <w:r>
        <w:rPr>
          <w:rFonts w:hint="eastAsia" w:ascii="Times New Roman" w:hAnsi="Times New Roman" w:eastAsiaTheme="minorEastAsia"/>
          <w:color w:val="auto"/>
          <w:w w:val="99"/>
          <w:highlight w:val="none"/>
        </w:rPr>
        <w:t>3</w:t>
      </w:r>
      <w:r>
        <w:rPr>
          <w:rFonts w:ascii="Times New Roman" w:hAnsi="Times New Roman" w:eastAsiaTheme="minorEastAsia"/>
          <w:color w:val="auto"/>
          <w:w w:val="99"/>
          <w:highlight w:val="none"/>
          <w:lang w:val="en"/>
        </w:rPr>
        <w:t>。</w:t>
      </w:r>
      <w:r>
        <w:rPr>
          <w:rFonts w:hint="eastAsia" w:ascii="Times New Roman" w:hAnsi="Times New Roman" w:eastAsiaTheme="minorEastAsia"/>
          <w:color w:val="auto"/>
          <w:w w:val="99"/>
          <w:highlight w:val="none"/>
          <w:lang w:val="en"/>
        </w:rPr>
        <w:t>项目在施工过程中，对堆放的分层土壤上覆盖苫布，周围利用重物压实，施工场界周围设置围挡，防止降雨期大量冲刷雨水携带</w:t>
      </w:r>
      <w:r>
        <w:rPr>
          <w:rFonts w:hint="eastAsia" w:ascii="Times New Roman" w:hAnsi="Times New Roman" w:eastAsiaTheme="minorEastAsia"/>
          <w:color w:val="auto"/>
          <w:w w:val="99"/>
          <w:highlight w:val="none"/>
          <w:lang w:val="en" w:eastAsia="zh-CN"/>
        </w:rPr>
        <w:t>砂粒</w:t>
      </w:r>
      <w:r>
        <w:rPr>
          <w:rFonts w:hint="eastAsia" w:ascii="Times New Roman" w:hAnsi="Times New Roman" w:eastAsiaTheme="minorEastAsia"/>
          <w:color w:val="auto"/>
          <w:w w:val="99"/>
          <w:highlight w:val="none"/>
          <w:lang w:val="en"/>
        </w:rPr>
        <w:t>进入周围耕地环境，导致耕地生产力下降，土壤沙漠化。施工结束后，优先对周围耕地进行复垦，防止松软土壤无植物根系的作用，在降雨期间，造成大量土壤流失。</w:t>
      </w:r>
    </w:p>
    <w:p w14:paraId="421C9B28">
      <w:pPr>
        <w:pStyle w:val="153"/>
        <w:spacing w:line="440" w:lineRule="exact"/>
        <w:ind w:firstLine="473"/>
        <w:jc w:val="both"/>
        <w:rPr>
          <w:rFonts w:ascii="Times New Roman" w:hAnsi="Times New Roman" w:eastAsiaTheme="minorEastAsia"/>
          <w:color w:val="auto"/>
          <w:w w:val="99"/>
          <w:highlight w:val="none"/>
          <w:lang w:val="en"/>
        </w:rPr>
      </w:pPr>
      <w:r>
        <w:rPr>
          <w:rFonts w:hint="eastAsia" w:ascii="Times New Roman" w:hAnsi="Times New Roman" w:eastAsiaTheme="minorEastAsia"/>
          <w:color w:val="auto"/>
          <w:w w:val="99"/>
          <w:highlight w:val="none"/>
          <w:lang w:val="en"/>
        </w:rPr>
        <w:t>综上，本项目建设符合</w:t>
      </w:r>
      <w:r>
        <w:rPr>
          <w:rFonts w:ascii="Times New Roman" w:hAnsi="Times New Roman" w:eastAsiaTheme="minorEastAsia"/>
          <w:color w:val="auto"/>
          <w:w w:val="99"/>
          <w:highlight w:val="none"/>
          <w:lang w:val="en"/>
        </w:rPr>
        <w:t>《绥化市水土保持规划》（2019～2030年）</w:t>
      </w:r>
      <w:r>
        <w:rPr>
          <w:rFonts w:hint="eastAsia" w:ascii="Times New Roman" w:hAnsi="Times New Roman" w:eastAsiaTheme="minorEastAsia"/>
          <w:color w:val="auto"/>
          <w:w w:val="99"/>
          <w:highlight w:val="none"/>
          <w:lang w:val="en"/>
        </w:rPr>
        <w:t>要求。</w:t>
      </w:r>
    </w:p>
    <w:p w14:paraId="5E7918E8">
      <w:pPr>
        <w:pStyle w:val="7"/>
        <w:widowControl w:val="0"/>
        <w:spacing w:before="60" w:after="60" w:line="440" w:lineRule="exact"/>
        <w:jc w:val="both"/>
        <w:rPr>
          <w:rFonts w:eastAsiaTheme="minorEastAsia"/>
          <w:b/>
          <w:color w:val="auto"/>
          <w:w w:val="99"/>
          <w:kern w:val="2"/>
          <w:sz w:val="24"/>
          <w:szCs w:val="24"/>
          <w:highlight w:val="none"/>
        </w:rPr>
      </w:pPr>
      <w:r>
        <w:rPr>
          <w:rFonts w:eastAsiaTheme="minorEastAsia"/>
          <w:b/>
          <w:color w:val="auto"/>
          <w:w w:val="99"/>
          <w:kern w:val="2"/>
          <w:sz w:val="24"/>
          <w:szCs w:val="24"/>
          <w:highlight w:val="none"/>
        </w:rPr>
        <w:t>1.4.3相关政策符合性分析</w:t>
      </w:r>
      <w:bookmarkEnd w:id="98"/>
      <w:bookmarkEnd w:id="99"/>
      <w:bookmarkEnd w:id="100"/>
      <w:bookmarkEnd w:id="101"/>
      <w:bookmarkEnd w:id="102"/>
      <w:bookmarkEnd w:id="103"/>
      <w:bookmarkEnd w:id="104"/>
      <w:bookmarkEnd w:id="105"/>
    </w:p>
    <w:p w14:paraId="66BD7224">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1.4.3.1与《关于进一步加强石油天然气行业环境影响评价管理的通知》</w:t>
      </w:r>
      <w:r>
        <w:rPr>
          <w:rFonts w:ascii="Times New Roman" w:hAnsi="Times New Roman" w:eastAsiaTheme="minorEastAsia"/>
          <w:color w:val="auto"/>
          <w:w w:val="99"/>
          <w:highlight w:val="none"/>
        </w:rPr>
        <w:t>（环办环评函[2019]910号）</w:t>
      </w:r>
      <w:r>
        <w:rPr>
          <w:rFonts w:ascii="Times New Roman" w:hAnsi="Times New Roman" w:eastAsiaTheme="minorEastAsia"/>
          <w:b/>
          <w:color w:val="auto"/>
          <w:w w:val="99"/>
          <w:highlight w:val="none"/>
        </w:rPr>
        <w:t>符合性分析</w:t>
      </w:r>
    </w:p>
    <w:p w14:paraId="0CD0C492">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本项目与《关于进一步加强石油天然气行业环境影响评价管理的通知》（环办环评函[2019]910号）符合性分析见表1.4-</w:t>
      </w:r>
      <w:r>
        <w:rPr>
          <w:rFonts w:hint="eastAsia" w:ascii="Times New Roman" w:hAnsi="Times New Roman"/>
          <w:color w:val="auto"/>
          <w:w w:val="99"/>
          <w:highlight w:val="none"/>
        </w:rPr>
        <w:t>2</w:t>
      </w:r>
      <w:r>
        <w:rPr>
          <w:rFonts w:ascii="Times New Roman" w:hAnsi="Times New Roman"/>
          <w:color w:val="auto"/>
          <w:w w:val="99"/>
          <w:highlight w:val="none"/>
        </w:rPr>
        <w:t>。</w:t>
      </w:r>
    </w:p>
    <w:p w14:paraId="4011C152">
      <w:pPr>
        <w:pStyle w:val="153"/>
        <w:widowControl w:val="0"/>
        <w:spacing w:line="440" w:lineRule="exact"/>
        <w:ind w:firstLine="474"/>
        <w:jc w:val="both"/>
        <w:rPr>
          <w:rFonts w:ascii="Times New Roman" w:hAnsi="Times New Roman" w:eastAsiaTheme="minorEastAsia"/>
          <w:color w:val="auto"/>
          <w:w w:val="99"/>
          <w:highlight w:val="none"/>
        </w:rPr>
      </w:pPr>
      <w:r>
        <w:rPr>
          <w:rFonts w:ascii="Times New Roman" w:hAnsi="Times New Roman" w:eastAsiaTheme="minorEastAsia"/>
          <w:b/>
          <w:bCs/>
          <w:color w:val="auto"/>
          <w:w w:val="99"/>
          <w:kern w:val="21"/>
          <w:szCs w:val="20"/>
          <w:highlight w:val="none"/>
        </w:rPr>
        <w:t>表1.4-</w:t>
      </w:r>
      <w:r>
        <w:rPr>
          <w:rFonts w:hint="eastAsia" w:ascii="Times New Roman" w:hAnsi="Times New Roman" w:eastAsiaTheme="minorEastAsia"/>
          <w:b/>
          <w:bCs/>
          <w:color w:val="auto"/>
          <w:w w:val="99"/>
          <w:kern w:val="21"/>
          <w:szCs w:val="20"/>
          <w:highlight w:val="none"/>
        </w:rPr>
        <w:t>2</w:t>
      </w:r>
      <w:r>
        <w:rPr>
          <w:rFonts w:ascii="Times New Roman" w:hAnsi="Times New Roman" w:eastAsiaTheme="minorEastAsia"/>
          <w:b/>
          <w:color w:val="auto"/>
          <w:w w:val="99"/>
          <w:highlight w:val="none"/>
        </w:rPr>
        <w:t>与</w:t>
      </w:r>
      <w:r>
        <w:rPr>
          <w:rFonts w:hint="eastAsia" w:ascii="Times New Roman" w:hAnsi="Times New Roman" w:eastAsiaTheme="minorEastAsia"/>
          <w:b/>
          <w:color w:val="auto"/>
          <w:w w:val="99"/>
          <w:highlight w:val="none"/>
        </w:rPr>
        <w:t>“（环办环评函</w:t>
      </w:r>
      <w:r>
        <w:rPr>
          <w:rFonts w:ascii="Times New Roman" w:hAnsi="Times New Roman" w:eastAsiaTheme="minorEastAsia"/>
          <w:b/>
          <w:color w:val="auto"/>
          <w:w w:val="99"/>
          <w:highlight w:val="none"/>
        </w:rPr>
        <w:t>[2019]910</w:t>
      </w:r>
      <w:r>
        <w:rPr>
          <w:rFonts w:hint="eastAsia" w:ascii="Times New Roman" w:hAnsi="Times New Roman" w:eastAsiaTheme="minorEastAsia"/>
          <w:b/>
          <w:color w:val="auto"/>
          <w:w w:val="99"/>
          <w:highlight w:val="none"/>
        </w:rPr>
        <w:t>号）”</w:t>
      </w:r>
      <w:r>
        <w:rPr>
          <w:rFonts w:ascii="Times New Roman" w:hAnsi="Times New Roman" w:eastAsiaTheme="minorEastAsia"/>
          <w:b/>
          <w:color w:val="auto"/>
          <w:w w:val="99"/>
          <w:highlight w:val="none"/>
        </w:rPr>
        <w:t>符合性分析</w:t>
      </w:r>
    </w:p>
    <w:tbl>
      <w:tblPr>
        <w:tblStyle w:val="8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9"/>
        <w:gridCol w:w="3029"/>
        <w:gridCol w:w="4537"/>
        <w:gridCol w:w="981"/>
      </w:tblGrid>
      <w:tr w14:paraId="6472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98" w:type="pct"/>
            <w:vAlign w:val="center"/>
          </w:tcPr>
          <w:p w14:paraId="04324E0B">
            <w:pPr>
              <w:keepNext w:val="0"/>
              <w:keepLines w:val="0"/>
              <w:pageBreakBefore w:val="0"/>
              <w:widowControl w:val="0"/>
              <w:kinsoku/>
              <w:wordWrap/>
              <w:overflowPunct/>
              <w:topLinePunct w:val="0"/>
              <w:bidi w:val="0"/>
              <w:adjustRightInd/>
              <w:snapToGrid/>
              <w:spacing w:line="360" w:lineRule="exact"/>
              <w:jc w:val="center"/>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序号</w:t>
            </w:r>
          </w:p>
        </w:tc>
        <w:tc>
          <w:tcPr>
            <w:tcW w:w="1630" w:type="pct"/>
            <w:vAlign w:val="center"/>
          </w:tcPr>
          <w:p w14:paraId="18E8BB03">
            <w:pPr>
              <w:keepNext w:val="0"/>
              <w:keepLines w:val="0"/>
              <w:pageBreakBefore w:val="0"/>
              <w:widowControl w:val="0"/>
              <w:kinsoku/>
              <w:wordWrap/>
              <w:overflowPunct/>
              <w:topLinePunct w:val="0"/>
              <w:bidi w:val="0"/>
              <w:adjustRightInd/>
              <w:snapToGrid/>
              <w:spacing w:line="360" w:lineRule="exact"/>
              <w:jc w:val="center"/>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文件要求</w:t>
            </w:r>
          </w:p>
        </w:tc>
        <w:tc>
          <w:tcPr>
            <w:tcW w:w="2442" w:type="pct"/>
            <w:vAlign w:val="center"/>
          </w:tcPr>
          <w:p w14:paraId="335B32B7">
            <w:pPr>
              <w:keepNext w:val="0"/>
              <w:keepLines w:val="0"/>
              <w:pageBreakBefore w:val="0"/>
              <w:widowControl w:val="0"/>
              <w:kinsoku/>
              <w:wordWrap/>
              <w:overflowPunct/>
              <w:topLinePunct w:val="0"/>
              <w:bidi w:val="0"/>
              <w:adjustRightInd/>
              <w:snapToGrid/>
              <w:spacing w:line="360" w:lineRule="exact"/>
              <w:jc w:val="center"/>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符合性分析</w:t>
            </w:r>
          </w:p>
        </w:tc>
        <w:tc>
          <w:tcPr>
            <w:tcW w:w="528" w:type="pct"/>
            <w:vAlign w:val="center"/>
          </w:tcPr>
          <w:p w14:paraId="4CB55B0A">
            <w:pPr>
              <w:keepNext w:val="0"/>
              <w:keepLines w:val="0"/>
              <w:pageBreakBefore w:val="0"/>
              <w:widowControl w:val="0"/>
              <w:kinsoku/>
              <w:wordWrap/>
              <w:overflowPunct/>
              <w:topLinePunct w:val="0"/>
              <w:bidi w:val="0"/>
              <w:adjustRightInd/>
              <w:snapToGrid/>
              <w:spacing w:line="360" w:lineRule="exact"/>
              <w:jc w:val="center"/>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符合性</w:t>
            </w:r>
          </w:p>
        </w:tc>
      </w:tr>
      <w:tr w14:paraId="7BDCA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98" w:type="pct"/>
            <w:vAlign w:val="center"/>
          </w:tcPr>
          <w:p w14:paraId="1546CE50">
            <w:pPr>
              <w:keepNext w:val="0"/>
              <w:keepLines w:val="0"/>
              <w:pageBreakBefore w:val="0"/>
              <w:widowControl w:val="0"/>
              <w:kinsoku/>
              <w:wordWrap/>
              <w:overflowPunct/>
              <w:topLinePunct w:val="0"/>
              <w:bidi w:val="0"/>
              <w:adjustRightInd/>
              <w:snapToGrid/>
              <w:spacing w:line="360" w:lineRule="exact"/>
              <w:jc w:val="center"/>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1</w:t>
            </w:r>
          </w:p>
        </w:tc>
        <w:tc>
          <w:tcPr>
            <w:tcW w:w="1630" w:type="pct"/>
            <w:vAlign w:val="center"/>
          </w:tcPr>
          <w:p w14:paraId="5865839D">
            <w:pPr>
              <w:keepNext w:val="0"/>
              <w:keepLines w:val="0"/>
              <w:pageBreakBefore w:val="0"/>
              <w:widowControl w:val="0"/>
              <w:kinsoku/>
              <w:wordWrap/>
              <w:overflowPunct/>
              <w:topLinePunct w:val="0"/>
              <w:bidi w:val="0"/>
              <w:adjustRightInd/>
              <w:snapToGrid/>
              <w:spacing w:line="360" w:lineRule="exact"/>
              <w:jc w:val="both"/>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油气开采项目（含新开发和滚动开发项目）原则上应当以区块为单位开展环评（以下简称区块环评），一般包括区块内拟建的新井、加密井、调整井、站场、设备、管道和电缆及其更换工程、弃置工程及配套工程等。项目环评应当深入评价项目建设、运营带来的环境影响和环境风险，提出有效的生态环境保护和环境风险防范措施。滚动开发区块产能建设项目环评文件中还应对现有工程环境影响进行回顾性评价，对存在的生态环境问题和环境风险隐患提出有效防治措施。依托其他防治设施的或者委托第三方处置的，应当论证其可行性和有效性。</w:t>
            </w:r>
          </w:p>
        </w:tc>
        <w:tc>
          <w:tcPr>
            <w:tcW w:w="2442" w:type="pct"/>
            <w:vAlign w:val="center"/>
          </w:tcPr>
          <w:p w14:paraId="497712D9">
            <w:pPr>
              <w:keepNext w:val="0"/>
              <w:keepLines w:val="0"/>
              <w:pageBreakBefore w:val="0"/>
              <w:widowControl w:val="0"/>
              <w:kinsoku/>
              <w:wordWrap/>
              <w:overflowPunct/>
              <w:topLinePunct w:val="0"/>
              <w:bidi w:val="0"/>
              <w:adjustRightInd/>
              <w:snapToGrid/>
              <w:spacing w:line="360" w:lineRule="exact"/>
              <w:jc w:val="both"/>
              <w:textAlignment w:val="auto"/>
              <w:rPr>
                <w:rFonts w:ascii="Times New Roman" w:hAnsi="Times New Roman" w:cs="Times New Roman" w:eastAsiaTheme="minorEastAsia"/>
                <w:color w:val="auto"/>
                <w:w w:val="99"/>
                <w:kern w:val="2"/>
                <w:sz w:val="21"/>
                <w:highlight w:val="none"/>
                <w:lang w:bidi="zh-CN"/>
              </w:rPr>
            </w:pPr>
            <w:r>
              <w:rPr>
                <w:rFonts w:ascii="Times New Roman" w:hAnsi="Times New Roman" w:cs="Times New Roman" w:eastAsiaTheme="minorEastAsia"/>
                <w:color w:val="auto"/>
                <w:w w:val="99"/>
                <w:kern w:val="2"/>
                <w:sz w:val="21"/>
                <w:highlight w:val="none"/>
                <w:lang w:bidi="zh-CN"/>
              </w:rPr>
              <w:t>①项目为徐深气田的滚动开发项目，以徐深气田徐深27区块为单位进行评价，本次评价内容主要为</w:t>
            </w:r>
            <w:r>
              <w:rPr>
                <w:rFonts w:hint="eastAsia" w:ascii="Times New Roman" w:hAnsi="Times New Roman" w:cs="Times New Roman" w:eastAsiaTheme="minorEastAsia"/>
                <w:color w:val="auto"/>
                <w:w w:val="99"/>
                <w:kern w:val="2"/>
                <w:sz w:val="21"/>
                <w:highlight w:val="none"/>
                <w:lang w:val="en-US" w:bidi="zh-CN"/>
              </w:rPr>
              <w:t>地面</w:t>
            </w:r>
            <w:r>
              <w:rPr>
                <w:rFonts w:ascii="Times New Roman" w:hAnsi="Times New Roman" w:cs="Times New Roman" w:eastAsiaTheme="minorEastAsia"/>
                <w:color w:val="auto"/>
                <w:w w:val="99"/>
                <w:kern w:val="2"/>
                <w:sz w:val="21"/>
                <w:highlight w:val="none"/>
                <w:lang w:bidi="zh-CN"/>
              </w:rPr>
              <w:t>工程；</w:t>
            </w:r>
            <w:r>
              <w:rPr>
                <w:rFonts w:hint="eastAsia" w:ascii="Times New Roman" w:hAnsi="Times New Roman" w:cs="Times New Roman" w:eastAsiaTheme="minorEastAsia"/>
                <w:color w:val="auto"/>
                <w:w w:val="99"/>
                <w:kern w:val="2"/>
                <w:sz w:val="21"/>
                <w:highlight w:val="none"/>
                <w:lang w:bidi="zh-CN"/>
              </w:rPr>
              <w:t>项目所在区块未开展规划环评，根据产能预测，区块内拟新建1口气井，井场设电磁加热节流装置１套，新建采气管道1.92km，徐深27集气站内新建生产阀组、进站阀组各１套，同时配套建设给供配电、自动控制、通信、道路等工程。可满足区块天然气开采要求。</w:t>
            </w:r>
          </w:p>
          <w:p w14:paraId="3C627463">
            <w:pPr>
              <w:keepNext w:val="0"/>
              <w:keepLines w:val="0"/>
              <w:pageBreakBefore w:val="0"/>
              <w:widowControl w:val="0"/>
              <w:kinsoku/>
              <w:wordWrap/>
              <w:overflowPunct/>
              <w:topLinePunct w:val="0"/>
              <w:bidi w:val="0"/>
              <w:adjustRightInd/>
              <w:snapToGrid/>
              <w:spacing w:line="360" w:lineRule="exact"/>
              <w:jc w:val="both"/>
              <w:textAlignment w:val="auto"/>
              <w:rPr>
                <w:rFonts w:ascii="Times New Roman" w:hAnsi="Times New Roman" w:cs="Times New Roman" w:eastAsiaTheme="minorEastAsia"/>
                <w:color w:val="auto"/>
                <w:w w:val="99"/>
                <w:kern w:val="2"/>
                <w:sz w:val="21"/>
                <w:highlight w:val="none"/>
                <w:lang w:bidi="zh-CN"/>
              </w:rPr>
            </w:pPr>
            <w:r>
              <w:rPr>
                <w:rFonts w:ascii="Times New Roman" w:hAnsi="Times New Roman" w:cs="Times New Roman" w:eastAsiaTheme="minorEastAsia"/>
                <w:color w:val="auto"/>
                <w:w w:val="99"/>
                <w:kern w:val="2"/>
                <w:sz w:val="21"/>
                <w:highlight w:val="none"/>
                <w:lang w:bidi="zh-CN"/>
              </w:rPr>
              <w:t>②本次环评在3.1章节中详述了徐深气田徐深27区现有工程环境影响进行回顾性评价针对徐深气田徐深27区块现有工程进行了回顾性的评价；废气主要为井场和集输管线逸散的非甲烷总烃气体、场站加热炉废气；废水主要为分离污水</w:t>
            </w:r>
            <w:r>
              <w:rPr>
                <w:rFonts w:hint="eastAsia" w:ascii="Times New Roman" w:hAnsi="Times New Roman" w:cs="Times New Roman" w:eastAsiaTheme="minorEastAsia"/>
                <w:color w:val="auto"/>
                <w:w w:val="99"/>
                <w:kern w:val="2"/>
                <w:sz w:val="21"/>
                <w:highlight w:val="none"/>
                <w:lang w:bidi="zh-CN"/>
              </w:rPr>
              <w:t>，</w:t>
            </w:r>
            <w:r>
              <w:rPr>
                <w:rFonts w:ascii="Times New Roman" w:hAnsi="Times New Roman" w:cs="Times New Roman" w:eastAsiaTheme="minorEastAsia"/>
                <w:color w:val="auto"/>
                <w:w w:val="99"/>
                <w:kern w:val="2"/>
                <w:sz w:val="21"/>
                <w:highlight w:val="none"/>
                <w:lang w:bidi="zh-CN"/>
              </w:rPr>
              <w:t>最终经升一联气田污水处理站</w:t>
            </w:r>
            <w:r>
              <w:rPr>
                <w:rFonts w:hint="eastAsia" w:ascii="Times New Roman" w:hAnsi="Times New Roman" w:cs="Times New Roman" w:eastAsiaTheme="minorEastAsia"/>
                <w:color w:val="auto"/>
                <w:w w:val="99"/>
                <w:kern w:val="2"/>
                <w:sz w:val="21"/>
                <w:highlight w:val="none"/>
                <w:lang w:bidi="zh-CN"/>
              </w:rPr>
              <w:t>处理</w:t>
            </w:r>
            <w:r>
              <w:rPr>
                <w:rFonts w:ascii="Times New Roman" w:hAnsi="Times New Roman" w:cs="Times New Roman" w:eastAsiaTheme="minorEastAsia"/>
                <w:color w:val="auto"/>
                <w:w w:val="99"/>
                <w:kern w:val="2"/>
                <w:sz w:val="21"/>
                <w:highlight w:val="none"/>
                <w:lang w:bidi="zh-CN"/>
              </w:rPr>
              <w:t>；噪声主要来自</w:t>
            </w:r>
            <w:r>
              <w:rPr>
                <w:rFonts w:hint="eastAsia" w:ascii="Times New Roman" w:hAnsi="Times New Roman" w:cs="Times New Roman" w:eastAsiaTheme="minorEastAsia"/>
                <w:color w:val="auto"/>
                <w:w w:val="99"/>
                <w:kern w:val="2"/>
                <w:sz w:val="21"/>
                <w:highlight w:val="none"/>
                <w:lang w:bidi="zh-CN"/>
              </w:rPr>
              <w:t>井场</w:t>
            </w:r>
            <w:r>
              <w:rPr>
                <w:rFonts w:ascii="Times New Roman" w:hAnsi="Times New Roman" w:cs="Times New Roman" w:eastAsiaTheme="minorEastAsia"/>
                <w:color w:val="auto"/>
                <w:w w:val="99"/>
                <w:kern w:val="2"/>
                <w:sz w:val="21"/>
                <w:highlight w:val="none"/>
                <w:lang w:bidi="zh-CN"/>
              </w:rPr>
              <w:t>及场站各类机泵噪声；固废主要为</w:t>
            </w:r>
            <w:r>
              <w:rPr>
                <w:rFonts w:hint="eastAsia" w:ascii="Times New Roman" w:hAnsi="Times New Roman" w:cs="Times New Roman" w:eastAsiaTheme="minorEastAsia"/>
                <w:color w:val="auto"/>
                <w:w w:val="99"/>
                <w:kern w:val="2"/>
                <w:sz w:val="21"/>
                <w:highlight w:val="none"/>
                <w:lang w:bidi="zh-CN"/>
              </w:rPr>
              <w:t>气井井口安装有井口除砂器，投产初会定期检查井口除砂器，如有砂粒，委托有资质单位处置。气井如产生这部分砂粒，单井产生量约为0.001t/a，这部分砂粒内会混有烃类物质，为危险废物，废物类别HW08废矿物油与含矿物油废物，危废代码为900-249-08。在井场产生后装入加盖钢制桶中，由检维修队送采气分公司危险废物贮存库内，定期委托有危废处置资质的单位处置；集气站三甘醇脱水装置内设置活性炭过滤器，活性炭更换频次约1次/年，徐深27区块内1座集气站产生废活性炭1.4t/a，属于危险废物“HW49其他废物”中的“900-041-49含有或沾染毒性、感染性危险废物的废弃包装物、容器、过滤吸附介质”。暂存采气分公司危险废物贮存库，定期委托有危废处置资质的单位处置；采出气通过三甘醇脱水装置进行脱水，由生产厂家来定期更换三甘醇，更换频次约1次/年，徐深27区块内1座集气站产生废三甘醇约70t/a。更换后产生的废三甘醇属于一般固废，委托相关单位处理；区块内场站员工产生的生活垃圾产生量约为0.365t/a，统一收集送周围垃圾点，由市政环卫部门统一清理。</w:t>
            </w:r>
          </w:p>
          <w:p w14:paraId="2817DC0C">
            <w:pPr>
              <w:keepNext w:val="0"/>
              <w:keepLines w:val="0"/>
              <w:pageBreakBefore w:val="0"/>
              <w:widowControl w:val="0"/>
              <w:kinsoku/>
              <w:wordWrap/>
              <w:overflowPunct/>
              <w:topLinePunct w:val="0"/>
              <w:bidi w:val="0"/>
              <w:adjustRightInd/>
              <w:snapToGrid/>
              <w:spacing w:line="360" w:lineRule="exact"/>
              <w:jc w:val="both"/>
              <w:textAlignment w:val="auto"/>
              <w:rPr>
                <w:rFonts w:ascii="Times New Roman" w:hAnsi="Times New Roman" w:cs="Times New Roman" w:eastAsiaTheme="minorEastAsia"/>
                <w:color w:val="auto"/>
                <w:w w:val="99"/>
                <w:kern w:val="2"/>
                <w:sz w:val="21"/>
                <w:highlight w:val="none"/>
                <w:lang w:bidi="zh-CN"/>
              </w:rPr>
            </w:pPr>
            <w:r>
              <w:rPr>
                <w:rFonts w:ascii="Times New Roman" w:hAnsi="Times New Roman" w:cs="Times New Roman" w:eastAsiaTheme="minorEastAsia"/>
                <w:color w:val="auto"/>
                <w:w w:val="99"/>
                <w:kern w:val="2"/>
                <w:sz w:val="21"/>
                <w:highlight w:val="none"/>
                <w:lang w:bidi="zh-CN"/>
              </w:rPr>
              <w:t>。区块内生态恢复良好，未发现生态环境问题和环境风险隐患。</w:t>
            </w:r>
          </w:p>
          <w:p w14:paraId="36618948">
            <w:pPr>
              <w:keepNext w:val="0"/>
              <w:keepLines w:val="0"/>
              <w:pageBreakBefore w:val="0"/>
              <w:widowControl w:val="0"/>
              <w:kinsoku/>
              <w:wordWrap/>
              <w:overflowPunct/>
              <w:topLinePunct w:val="0"/>
              <w:bidi w:val="0"/>
              <w:adjustRightInd/>
              <w:snapToGrid/>
              <w:spacing w:line="360" w:lineRule="exact"/>
              <w:jc w:val="both"/>
              <w:textAlignment w:val="auto"/>
              <w:rPr>
                <w:rFonts w:ascii="Times New Roman" w:hAnsi="Times New Roman" w:cs="Times New Roman" w:eastAsiaTheme="minorEastAsia"/>
                <w:color w:val="auto"/>
                <w:w w:val="99"/>
                <w:kern w:val="2"/>
                <w:sz w:val="21"/>
                <w:highlight w:val="none"/>
                <w:lang w:bidi="zh-CN"/>
              </w:rPr>
            </w:pPr>
            <w:r>
              <w:rPr>
                <w:rFonts w:ascii="Times New Roman" w:hAnsi="Times New Roman" w:cs="Times New Roman" w:eastAsiaTheme="minorEastAsia"/>
                <w:color w:val="auto"/>
                <w:w w:val="99"/>
                <w:kern w:val="2"/>
                <w:sz w:val="21"/>
                <w:highlight w:val="none"/>
                <w:lang w:bidi="zh-CN"/>
              </w:rPr>
              <w:t>③明确了现有区块的污染物排放情况，依托设施的对依托工程进行了依托可行性分析，包括升一联气田污水预处理站、</w:t>
            </w:r>
            <w:r>
              <w:rPr>
                <w:rFonts w:hint="eastAsia" w:ascii="Times New Roman" w:hAnsi="Times New Roman" w:cs="Times New Roman" w:eastAsiaTheme="minorEastAsia"/>
                <w:color w:val="auto"/>
                <w:w w:val="99"/>
                <w:kern w:val="2"/>
                <w:sz w:val="21"/>
                <w:highlight w:val="none"/>
                <w:lang w:bidi="zh-CN"/>
              </w:rPr>
              <w:t>第八采油厂工业固体废物填埋场</w:t>
            </w:r>
            <w:r>
              <w:rPr>
                <w:rFonts w:ascii="Times New Roman" w:hAnsi="Times New Roman" w:cs="Times New Roman" w:eastAsiaTheme="minorEastAsia"/>
                <w:color w:val="auto"/>
                <w:w w:val="99"/>
                <w:kern w:val="2"/>
                <w:sz w:val="21"/>
                <w:highlight w:val="none"/>
                <w:lang w:bidi="zh-CN"/>
              </w:rPr>
              <w:t>等。依托可行性及其污染物产生及排放情况，各依托设施均可有效依托。</w:t>
            </w:r>
          </w:p>
          <w:p w14:paraId="56DC6F97">
            <w:pPr>
              <w:keepNext w:val="0"/>
              <w:keepLines w:val="0"/>
              <w:pageBreakBefore w:val="0"/>
              <w:widowControl w:val="0"/>
              <w:kinsoku/>
              <w:wordWrap/>
              <w:overflowPunct/>
              <w:topLinePunct w:val="0"/>
              <w:bidi w:val="0"/>
              <w:adjustRightInd/>
              <w:snapToGrid/>
              <w:spacing w:line="360" w:lineRule="exact"/>
              <w:jc w:val="both"/>
              <w:textAlignment w:val="auto"/>
              <w:rPr>
                <w:rFonts w:ascii="Times New Roman" w:hAnsi="Times New Roman" w:cs="Times New Roman" w:eastAsiaTheme="minorEastAsia"/>
                <w:color w:val="auto"/>
                <w:w w:val="99"/>
                <w:kern w:val="2"/>
                <w:sz w:val="21"/>
                <w:highlight w:val="none"/>
                <w:lang w:bidi="zh-CN"/>
              </w:rPr>
            </w:pPr>
          </w:p>
        </w:tc>
        <w:tc>
          <w:tcPr>
            <w:tcW w:w="528" w:type="pct"/>
            <w:vAlign w:val="center"/>
          </w:tcPr>
          <w:p w14:paraId="61B1C4ED">
            <w:pPr>
              <w:keepNext w:val="0"/>
              <w:keepLines w:val="0"/>
              <w:pageBreakBefore w:val="0"/>
              <w:widowControl w:val="0"/>
              <w:kinsoku/>
              <w:wordWrap/>
              <w:overflowPunct/>
              <w:topLinePunct w:val="0"/>
              <w:bidi w:val="0"/>
              <w:adjustRightInd/>
              <w:snapToGrid/>
              <w:spacing w:line="360" w:lineRule="exact"/>
              <w:jc w:val="center"/>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符合</w:t>
            </w:r>
          </w:p>
        </w:tc>
      </w:tr>
      <w:tr w14:paraId="224EE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98" w:type="pct"/>
            <w:vAlign w:val="center"/>
          </w:tcPr>
          <w:p w14:paraId="5AEB126C">
            <w:pPr>
              <w:keepNext w:val="0"/>
              <w:keepLines w:val="0"/>
              <w:pageBreakBefore w:val="0"/>
              <w:widowControl w:val="0"/>
              <w:kinsoku/>
              <w:wordWrap/>
              <w:overflowPunct/>
              <w:topLinePunct w:val="0"/>
              <w:bidi w:val="0"/>
              <w:adjustRightInd/>
              <w:snapToGrid/>
              <w:spacing w:line="360" w:lineRule="exact"/>
              <w:jc w:val="center"/>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2</w:t>
            </w:r>
          </w:p>
        </w:tc>
        <w:tc>
          <w:tcPr>
            <w:tcW w:w="1630" w:type="pct"/>
            <w:vAlign w:val="center"/>
          </w:tcPr>
          <w:p w14:paraId="072EA85B">
            <w:pPr>
              <w:keepNext w:val="0"/>
              <w:keepLines w:val="0"/>
              <w:pageBreakBefore w:val="0"/>
              <w:widowControl w:val="0"/>
              <w:kinsoku/>
              <w:wordWrap/>
              <w:overflowPunct/>
              <w:topLinePunct w:val="0"/>
              <w:bidi w:val="0"/>
              <w:adjustRightInd/>
              <w:snapToGrid/>
              <w:spacing w:line="360" w:lineRule="exact"/>
              <w:jc w:val="both"/>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确定产能建设规模后，原则上不得以勘探名义继续开展单井环评。勘探井转为生产井的，可以纳入区块环评。自2021年1月1日起，原则上不以单井形式开展环评。</w:t>
            </w:r>
          </w:p>
        </w:tc>
        <w:tc>
          <w:tcPr>
            <w:tcW w:w="2442" w:type="pct"/>
            <w:vAlign w:val="center"/>
          </w:tcPr>
          <w:p w14:paraId="23FD6CD9">
            <w:pPr>
              <w:keepNext w:val="0"/>
              <w:keepLines w:val="0"/>
              <w:pageBreakBefore w:val="0"/>
              <w:widowControl w:val="0"/>
              <w:kinsoku/>
              <w:wordWrap/>
              <w:overflowPunct/>
              <w:topLinePunct w:val="0"/>
              <w:bidi w:val="0"/>
              <w:adjustRightInd/>
              <w:snapToGrid/>
              <w:spacing w:line="360" w:lineRule="exact"/>
              <w:jc w:val="both"/>
              <w:textAlignment w:val="auto"/>
              <w:rPr>
                <w:rFonts w:ascii="Times New Roman" w:hAnsi="Times New Roman" w:cs="Times New Roman" w:eastAsiaTheme="minorEastAsia"/>
                <w:color w:val="auto"/>
                <w:w w:val="99"/>
                <w:kern w:val="2"/>
                <w:sz w:val="21"/>
                <w:highlight w:val="none"/>
              </w:rPr>
            </w:pPr>
            <w:r>
              <w:rPr>
                <w:rFonts w:hint="eastAsia" w:ascii="Times New Roman" w:hAnsi="Times New Roman" w:cs="Times New Roman" w:eastAsiaTheme="minorEastAsia"/>
                <w:color w:val="auto"/>
                <w:w w:val="99"/>
                <w:kern w:val="2"/>
                <w:sz w:val="21"/>
                <w:highlight w:val="none"/>
              </w:rPr>
              <w:t>本项目为气田产能建设工程，非勘探项目，本项目涉及基建1口气井，</w:t>
            </w:r>
            <w:r>
              <w:rPr>
                <w:rFonts w:hint="eastAsia" w:ascii="Times New Roman" w:hAnsi="Times New Roman" w:cs="Times New Roman" w:eastAsiaTheme="minorEastAsia"/>
                <w:color w:val="auto"/>
                <w:w w:val="99"/>
                <w:kern w:val="2"/>
                <w:sz w:val="21"/>
                <w:highlight w:val="none"/>
                <w:lang w:val="en-US" w:eastAsia="zh-CN"/>
              </w:rPr>
              <w:t>新建采气管线1.92km，改造徐深27集气站</w:t>
            </w:r>
            <w:r>
              <w:rPr>
                <w:rFonts w:hint="eastAsia" w:ascii="Times New Roman" w:hAnsi="Times New Roman" w:cs="Times New Roman" w:eastAsiaTheme="minorEastAsia"/>
                <w:color w:val="auto"/>
                <w:w w:val="99"/>
                <w:kern w:val="2"/>
                <w:sz w:val="21"/>
                <w:highlight w:val="none"/>
                <w:lang w:eastAsia="zh-CN"/>
              </w:rPr>
              <w:t>，</w:t>
            </w:r>
            <w:r>
              <w:rPr>
                <w:rFonts w:hint="eastAsia" w:ascii="Times New Roman" w:hAnsi="Times New Roman" w:cs="Times New Roman" w:eastAsiaTheme="minorEastAsia"/>
                <w:color w:val="auto"/>
                <w:w w:val="99"/>
                <w:kern w:val="2"/>
                <w:sz w:val="21"/>
                <w:highlight w:val="none"/>
                <w:lang w:val="en-US" w:eastAsia="zh-CN"/>
              </w:rPr>
              <w:t>以及配套建设供电、道路、通信、</w:t>
            </w:r>
            <w:r>
              <w:rPr>
                <w:rFonts w:hint="eastAsia" w:ascii="Times New Roman" w:hAnsi="Times New Roman" w:cs="Times New Roman"/>
                <w:color w:val="auto"/>
                <w:w w:val="99"/>
                <w:kern w:val="2"/>
                <w:sz w:val="21"/>
                <w:szCs w:val="21"/>
                <w:highlight w:val="none"/>
                <w:lang w:eastAsia="zh-CN"/>
              </w:rPr>
              <w:t>自动控制</w:t>
            </w:r>
            <w:r>
              <w:rPr>
                <w:rFonts w:hint="eastAsia" w:ascii="Times New Roman" w:hAnsi="Times New Roman" w:cs="Times New Roman" w:eastAsiaTheme="minorEastAsia"/>
                <w:color w:val="auto"/>
                <w:w w:val="99"/>
                <w:kern w:val="2"/>
                <w:sz w:val="21"/>
                <w:highlight w:val="none"/>
                <w:lang w:val="en-US" w:eastAsia="zh-CN"/>
              </w:rPr>
              <w:t>工程等内容，符合要求</w:t>
            </w:r>
            <w:r>
              <w:rPr>
                <w:rFonts w:ascii="Times New Roman" w:hAnsi="Times New Roman" w:cs="Times New Roman" w:eastAsiaTheme="minorEastAsia"/>
                <w:color w:val="auto"/>
                <w:w w:val="99"/>
                <w:kern w:val="2"/>
                <w:sz w:val="21"/>
                <w:highlight w:val="none"/>
              </w:rPr>
              <w:t>。</w:t>
            </w:r>
          </w:p>
        </w:tc>
        <w:tc>
          <w:tcPr>
            <w:tcW w:w="528" w:type="pct"/>
            <w:vAlign w:val="center"/>
          </w:tcPr>
          <w:p w14:paraId="4C4586BD">
            <w:pPr>
              <w:keepNext w:val="0"/>
              <w:keepLines w:val="0"/>
              <w:pageBreakBefore w:val="0"/>
              <w:widowControl w:val="0"/>
              <w:kinsoku/>
              <w:wordWrap/>
              <w:overflowPunct/>
              <w:topLinePunct w:val="0"/>
              <w:bidi w:val="0"/>
              <w:adjustRightInd/>
              <w:snapToGrid/>
              <w:spacing w:line="360" w:lineRule="exact"/>
              <w:jc w:val="center"/>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符合</w:t>
            </w:r>
          </w:p>
        </w:tc>
      </w:tr>
      <w:tr w14:paraId="34173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98" w:type="pct"/>
            <w:vAlign w:val="center"/>
          </w:tcPr>
          <w:p w14:paraId="48D5F301">
            <w:pPr>
              <w:keepNext w:val="0"/>
              <w:keepLines w:val="0"/>
              <w:pageBreakBefore w:val="0"/>
              <w:widowControl w:val="0"/>
              <w:kinsoku/>
              <w:wordWrap/>
              <w:overflowPunct/>
              <w:topLinePunct w:val="0"/>
              <w:bidi w:val="0"/>
              <w:adjustRightInd/>
              <w:snapToGrid/>
              <w:spacing w:line="360" w:lineRule="exact"/>
              <w:jc w:val="center"/>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3</w:t>
            </w:r>
          </w:p>
        </w:tc>
        <w:tc>
          <w:tcPr>
            <w:tcW w:w="1630" w:type="pct"/>
            <w:vAlign w:val="center"/>
          </w:tcPr>
          <w:p w14:paraId="52D84B06">
            <w:pPr>
              <w:keepNext w:val="0"/>
              <w:keepLines w:val="0"/>
              <w:pageBreakBefore w:val="0"/>
              <w:widowControl w:val="0"/>
              <w:kinsoku/>
              <w:wordWrap/>
              <w:overflowPunct/>
              <w:topLinePunct w:val="0"/>
              <w:bidi w:val="0"/>
              <w:adjustRightInd/>
              <w:snapToGrid/>
              <w:spacing w:line="360" w:lineRule="exact"/>
              <w:jc w:val="both"/>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涉及向地表水体排放污染物的陆地油气开采项目，应当符合国家和地方污染物排放标准，满足重点污染物排放总量控制要求。</w:t>
            </w:r>
          </w:p>
        </w:tc>
        <w:tc>
          <w:tcPr>
            <w:tcW w:w="2442" w:type="pct"/>
            <w:vAlign w:val="center"/>
          </w:tcPr>
          <w:p w14:paraId="4EC300F7">
            <w:pPr>
              <w:keepNext w:val="0"/>
              <w:keepLines w:val="0"/>
              <w:pageBreakBefore w:val="0"/>
              <w:widowControl w:val="0"/>
              <w:kinsoku/>
              <w:wordWrap/>
              <w:overflowPunct/>
              <w:topLinePunct w:val="0"/>
              <w:bidi w:val="0"/>
              <w:adjustRightInd/>
              <w:snapToGrid/>
              <w:spacing w:line="360" w:lineRule="exact"/>
              <w:jc w:val="both"/>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本项目施工期及运营期产生的废水均不外排。</w:t>
            </w:r>
          </w:p>
        </w:tc>
        <w:tc>
          <w:tcPr>
            <w:tcW w:w="528" w:type="pct"/>
            <w:vAlign w:val="center"/>
          </w:tcPr>
          <w:p w14:paraId="2A08F121">
            <w:pPr>
              <w:keepNext w:val="0"/>
              <w:keepLines w:val="0"/>
              <w:pageBreakBefore w:val="0"/>
              <w:widowControl w:val="0"/>
              <w:kinsoku/>
              <w:wordWrap/>
              <w:overflowPunct/>
              <w:topLinePunct w:val="0"/>
              <w:bidi w:val="0"/>
              <w:adjustRightInd/>
              <w:snapToGrid/>
              <w:spacing w:line="360" w:lineRule="exact"/>
              <w:jc w:val="center"/>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符合</w:t>
            </w:r>
          </w:p>
        </w:tc>
      </w:tr>
      <w:tr w14:paraId="59FF9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98" w:type="pct"/>
            <w:vAlign w:val="center"/>
          </w:tcPr>
          <w:p w14:paraId="7A1743F7">
            <w:pPr>
              <w:keepNext w:val="0"/>
              <w:keepLines w:val="0"/>
              <w:pageBreakBefore w:val="0"/>
              <w:widowControl w:val="0"/>
              <w:kinsoku/>
              <w:wordWrap/>
              <w:overflowPunct/>
              <w:topLinePunct w:val="0"/>
              <w:bidi w:val="0"/>
              <w:adjustRightInd/>
              <w:snapToGrid/>
              <w:spacing w:line="360" w:lineRule="exact"/>
              <w:jc w:val="center"/>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4</w:t>
            </w:r>
          </w:p>
        </w:tc>
        <w:tc>
          <w:tcPr>
            <w:tcW w:w="1630" w:type="pct"/>
            <w:vAlign w:val="center"/>
          </w:tcPr>
          <w:p w14:paraId="6997645F">
            <w:pPr>
              <w:keepNext w:val="0"/>
              <w:keepLines w:val="0"/>
              <w:pageBreakBefore w:val="0"/>
              <w:widowControl w:val="0"/>
              <w:kinsoku/>
              <w:wordWrap/>
              <w:overflowPunct/>
              <w:topLinePunct w:val="0"/>
              <w:bidi w:val="0"/>
              <w:adjustRightInd/>
              <w:snapToGrid/>
              <w:spacing w:line="360" w:lineRule="exact"/>
              <w:jc w:val="both"/>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涉及废水回注的，应当论证回注的环境可行性，采取切实可行的地下水污染防治和监控措施，不得回注与油气开采无关的废水，严禁造成地下水污染。在相关行业污染控制标准发布前，回注的开采废水应当经处理并符合《</w:t>
            </w:r>
            <w:r>
              <w:rPr>
                <w:rFonts w:hint="eastAsia" w:ascii="Times New Roman" w:hAnsi="Times New Roman" w:cs="Times New Roman" w:eastAsiaTheme="minorEastAsia"/>
                <w:color w:val="auto"/>
                <w:w w:val="99"/>
                <w:kern w:val="2"/>
                <w:sz w:val="21"/>
                <w:highlight w:val="none"/>
              </w:rPr>
              <w:t>碎屑岩油藏注水水质指标技术要求及分析方法</w:t>
            </w:r>
            <w:r>
              <w:rPr>
                <w:rFonts w:ascii="Times New Roman" w:hAnsi="Times New Roman" w:cs="Times New Roman" w:eastAsiaTheme="minorEastAsia"/>
                <w:color w:val="auto"/>
                <w:w w:val="99"/>
                <w:kern w:val="2"/>
                <w:sz w:val="21"/>
                <w:highlight w:val="none"/>
              </w:rPr>
              <w:t>》（SY/T5329-2022）等相关标准要求后回注，同步采取切实可行措施防治污染。回注目的层应当为地质构造封闭地层，一般应当回注到现役油气藏或枯竭废弃油气藏。</w:t>
            </w:r>
          </w:p>
        </w:tc>
        <w:tc>
          <w:tcPr>
            <w:tcW w:w="2442" w:type="pct"/>
            <w:vAlign w:val="center"/>
          </w:tcPr>
          <w:p w14:paraId="6FF28446">
            <w:pPr>
              <w:keepNext w:val="0"/>
              <w:keepLines w:val="0"/>
              <w:pageBreakBefore w:val="0"/>
              <w:widowControl w:val="0"/>
              <w:kinsoku/>
              <w:wordWrap/>
              <w:overflowPunct/>
              <w:topLinePunct w:val="0"/>
              <w:bidi w:val="0"/>
              <w:adjustRightInd/>
              <w:snapToGrid/>
              <w:spacing w:line="360" w:lineRule="exact"/>
              <w:jc w:val="both"/>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施工期</w:t>
            </w:r>
            <w:r>
              <w:rPr>
                <w:rFonts w:hint="eastAsia" w:ascii="Times New Roman" w:hAnsi="Times New Roman" w:cs="Times New Roman" w:eastAsiaTheme="minorEastAsia"/>
                <w:color w:val="auto"/>
                <w:w w:val="99"/>
                <w:kern w:val="2"/>
                <w:sz w:val="21"/>
                <w:highlight w:val="none"/>
              </w:rPr>
              <w:t>试压废水拉运至升一联气田污水预处理站处理满足《</w:t>
            </w:r>
            <w:r>
              <w:rPr>
                <w:rFonts w:ascii="Times New Roman" w:hAnsi="Times New Roman" w:cs="Times New Roman" w:eastAsiaTheme="minorEastAsia"/>
                <w:color w:val="auto"/>
                <w:w w:val="99"/>
                <w:kern w:val="2"/>
                <w:sz w:val="21"/>
                <w:highlight w:val="none"/>
              </w:rPr>
              <w:t>大庆油田地面工程建设设计规定》（Q/SYDQ0639- 2015） 限值“含油量≤10mg/L、悬浮固体含量 ≤5mg/L、粒径 中值≤2μm” ，同时满足《碎屑岩油藏注水水质指标技术要求及分析方法》 (SY/T5329-2022)中标准限值，回注地 下；气田采出水暂存在污水罐内，经污水管线输送至升一联气田污水预处理站处理满足《大庆油田地面工程建设设计规 定》 （Q/SYDQ0639-2015） 限值“含油量≤10mg/L、悬浮固体含量≤5mg/L、粒径中值≤2μm” ，同时满足《碎屑岩油藏注水水质指标技术要求及分析方 法 》 (SY/T5329-2022) 中 标 准 限值，回注地下</w:t>
            </w:r>
            <w:r>
              <w:rPr>
                <w:rFonts w:hint="eastAsia" w:ascii="Times New Roman" w:hAnsi="Times New Roman" w:cs="Times New Roman" w:eastAsiaTheme="minorEastAsia"/>
                <w:color w:val="auto"/>
                <w:w w:val="99"/>
                <w:kern w:val="2"/>
                <w:sz w:val="21"/>
                <w:highlight w:val="none"/>
              </w:rPr>
              <w:t>油层</w:t>
            </w:r>
            <w:r>
              <w:rPr>
                <w:rFonts w:ascii="Times New Roman" w:hAnsi="Times New Roman" w:cs="Times New Roman" w:eastAsiaTheme="minorEastAsia"/>
                <w:color w:val="auto"/>
                <w:w w:val="99"/>
                <w:kern w:val="2"/>
                <w:sz w:val="21"/>
                <w:highlight w:val="none"/>
              </w:rPr>
              <w:t>。</w:t>
            </w:r>
          </w:p>
        </w:tc>
        <w:tc>
          <w:tcPr>
            <w:tcW w:w="528" w:type="pct"/>
            <w:vAlign w:val="center"/>
          </w:tcPr>
          <w:p w14:paraId="45C9639F">
            <w:pPr>
              <w:keepNext w:val="0"/>
              <w:keepLines w:val="0"/>
              <w:pageBreakBefore w:val="0"/>
              <w:widowControl w:val="0"/>
              <w:kinsoku/>
              <w:wordWrap/>
              <w:overflowPunct/>
              <w:topLinePunct w:val="0"/>
              <w:bidi w:val="0"/>
              <w:adjustRightInd/>
              <w:snapToGrid/>
              <w:spacing w:line="360" w:lineRule="exact"/>
              <w:jc w:val="center"/>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符合</w:t>
            </w:r>
          </w:p>
        </w:tc>
      </w:tr>
      <w:tr w14:paraId="2C142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8" w:type="pct"/>
            <w:vAlign w:val="center"/>
          </w:tcPr>
          <w:p w14:paraId="3E520584">
            <w:pPr>
              <w:keepNext w:val="0"/>
              <w:keepLines w:val="0"/>
              <w:pageBreakBefore w:val="0"/>
              <w:kinsoku/>
              <w:wordWrap/>
              <w:overflowPunct/>
              <w:topLinePunct w:val="0"/>
              <w:bidi w:val="0"/>
              <w:adjustRightInd/>
              <w:snapToGrid/>
              <w:spacing w:line="360" w:lineRule="exact"/>
              <w:jc w:val="center"/>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5</w:t>
            </w:r>
          </w:p>
        </w:tc>
        <w:tc>
          <w:tcPr>
            <w:tcW w:w="1630" w:type="pct"/>
            <w:vAlign w:val="center"/>
          </w:tcPr>
          <w:p w14:paraId="6BAA6DD8">
            <w:pPr>
              <w:keepNext w:val="0"/>
              <w:keepLines w:val="0"/>
              <w:pageBreakBefore w:val="0"/>
              <w:kinsoku/>
              <w:wordWrap/>
              <w:overflowPunct/>
              <w:topLinePunct w:val="0"/>
              <w:bidi w:val="0"/>
              <w:adjustRightInd/>
              <w:snapToGrid/>
              <w:spacing w:line="360" w:lineRule="exact"/>
              <w:jc w:val="both"/>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通过采取设备密闭、废气有效收集及配套高效末端处理设施等措施，有效控制挥发性有机物和恶臭气体无组织排放</w:t>
            </w:r>
            <w:r>
              <w:rPr>
                <w:rFonts w:hint="eastAsia" w:ascii="Times New Roman" w:hAnsi="Times New Roman" w:cs="Times New Roman" w:eastAsiaTheme="minorEastAsia"/>
                <w:color w:val="auto"/>
                <w:w w:val="99"/>
                <w:kern w:val="2"/>
                <w:sz w:val="21"/>
                <w:highlight w:val="none"/>
              </w:rPr>
              <w:t>。</w:t>
            </w:r>
          </w:p>
        </w:tc>
        <w:tc>
          <w:tcPr>
            <w:tcW w:w="2442" w:type="pct"/>
            <w:vAlign w:val="center"/>
          </w:tcPr>
          <w:p w14:paraId="0444EFF5">
            <w:pPr>
              <w:keepNext w:val="0"/>
              <w:keepLines w:val="0"/>
              <w:pageBreakBefore w:val="0"/>
              <w:kinsoku/>
              <w:wordWrap/>
              <w:overflowPunct/>
              <w:topLinePunct w:val="0"/>
              <w:bidi w:val="0"/>
              <w:adjustRightInd/>
              <w:snapToGrid/>
              <w:spacing w:line="360" w:lineRule="exact"/>
              <w:jc w:val="both"/>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本项目采用密闭集输工艺，大大降低了天然气的挥发量。</w:t>
            </w:r>
          </w:p>
          <w:p w14:paraId="63B6407A">
            <w:pPr>
              <w:keepNext w:val="0"/>
              <w:keepLines w:val="0"/>
              <w:pageBreakBefore w:val="0"/>
              <w:kinsoku/>
              <w:wordWrap/>
              <w:overflowPunct/>
              <w:topLinePunct w:val="0"/>
              <w:bidi w:val="0"/>
              <w:adjustRightInd/>
              <w:snapToGrid/>
              <w:spacing w:line="360" w:lineRule="exact"/>
              <w:jc w:val="both"/>
              <w:textAlignment w:val="auto"/>
              <w:rPr>
                <w:rFonts w:ascii="Times New Roman" w:hAnsi="Times New Roman" w:cs="Times New Roman" w:eastAsiaTheme="minorEastAsia"/>
                <w:color w:val="auto"/>
                <w:w w:val="99"/>
                <w:kern w:val="2"/>
                <w:sz w:val="21"/>
                <w:highlight w:val="none"/>
              </w:rPr>
            </w:pPr>
            <w:r>
              <w:rPr>
                <w:rFonts w:hint="eastAsia" w:ascii="Times New Roman" w:hAnsi="Times New Roman" w:cs="Times New Roman" w:eastAsiaTheme="minorEastAsia"/>
                <w:color w:val="auto"/>
                <w:w w:val="99"/>
                <w:kern w:val="2"/>
                <w:sz w:val="21"/>
                <w:highlight w:val="none"/>
              </w:rPr>
              <w:t>井场及</w:t>
            </w:r>
            <w:r>
              <w:rPr>
                <w:rFonts w:ascii="Times New Roman" w:hAnsi="Times New Roman" w:cs="Times New Roman" w:eastAsiaTheme="minorEastAsia"/>
                <w:color w:val="auto"/>
                <w:w w:val="99"/>
                <w:kern w:val="2"/>
                <w:sz w:val="21"/>
                <w:highlight w:val="none"/>
              </w:rPr>
              <w:t>徐深</w:t>
            </w:r>
            <w:r>
              <w:rPr>
                <w:rFonts w:hint="eastAsia" w:ascii="Times New Roman" w:hAnsi="Times New Roman" w:cs="Times New Roman" w:eastAsiaTheme="minorEastAsia"/>
                <w:color w:val="auto"/>
                <w:w w:val="99"/>
                <w:kern w:val="2"/>
                <w:sz w:val="21"/>
                <w:highlight w:val="none"/>
              </w:rPr>
              <w:t>27</w:t>
            </w:r>
            <w:r>
              <w:rPr>
                <w:rFonts w:ascii="Times New Roman" w:hAnsi="Times New Roman" w:cs="Times New Roman" w:eastAsiaTheme="minorEastAsia"/>
                <w:color w:val="auto"/>
                <w:w w:val="99"/>
                <w:kern w:val="2"/>
                <w:sz w:val="21"/>
                <w:highlight w:val="none"/>
              </w:rPr>
              <w:t>集气站厂界外非甲烷总烃无组织排放浓度监测结果可知，满足《陆上石油天然气开采工业大气污染物排放标准》（GB39728-2020）中的相关标准要求，可以有效控制挥发性有机物无组织排放。徐深</w:t>
            </w:r>
            <w:r>
              <w:rPr>
                <w:rFonts w:hint="eastAsia" w:ascii="Times New Roman" w:hAnsi="Times New Roman" w:cs="Times New Roman" w:eastAsiaTheme="minorEastAsia"/>
                <w:color w:val="auto"/>
                <w:w w:val="99"/>
                <w:kern w:val="2"/>
                <w:sz w:val="21"/>
                <w:highlight w:val="none"/>
              </w:rPr>
              <w:t>27</w:t>
            </w:r>
            <w:r>
              <w:rPr>
                <w:rFonts w:ascii="Times New Roman" w:hAnsi="Times New Roman" w:cs="Times New Roman" w:eastAsiaTheme="minorEastAsia"/>
                <w:color w:val="auto"/>
                <w:w w:val="99"/>
                <w:kern w:val="2"/>
                <w:sz w:val="21"/>
                <w:highlight w:val="none"/>
              </w:rPr>
              <w:t>集气站加热炉烟气</w:t>
            </w:r>
            <w:r>
              <w:rPr>
                <w:rFonts w:hint="eastAsia" w:ascii="Times New Roman" w:hAnsi="Times New Roman" w:cs="Times New Roman" w:eastAsiaTheme="minorEastAsia"/>
                <w:color w:val="auto"/>
                <w:w w:val="99"/>
                <w:kern w:val="2"/>
                <w:sz w:val="21"/>
                <w:highlight w:val="none"/>
              </w:rPr>
              <w:t>排放浓度可以</w:t>
            </w:r>
            <w:r>
              <w:rPr>
                <w:rFonts w:ascii="Times New Roman" w:hAnsi="Times New Roman" w:cs="Times New Roman" w:eastAsiaTheme="minorEastAsia"/>
                <w:color w:val="auto"/>
                <w:w w:val="99"/>
                <w:kern w:val="2"/>
                <w:sz w:val="21"/>
                <w:highlight w:val="none"/>
              </w:rPr>
              <w:t>达标排放。</w:t>
            </w:r>
          </w:p>
        </w:tc>
        <w:tc>
          <w:tcPr>
            <w:tcW w:w="528" w:type="pct"/>
            <w:vAlign w:val="center"/>
          </w:tcPr>
          <w:p w14:paraId="61D4642E">
            <w:pPr>
              <w:keepNext w:val="0"/>
              <w:keepLines w:val="0"/>
              <w:pageBreakBefore w:val="0"/>
              <w:kinsoku/>
              <w:wordWrap/>
              <w:overflowPunct/>
              <w:topLinePunct w:val="0"/>
              <w:bidi w:val="0"/>
              <w:adjustRightInd/>
              <w:snapToGrid/>
              <w:spacing w:line="360" w:lineRule="exact"/>
              <w:jc w:val="center"/>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符合</w:t>
            </w:r>
          </w:p>
        </w:tc>
      </w:tr>
      <w:tr w14:paraId="6FCF3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398" w:type="pct"/>
            <w:vAlign w:val="center"/>
          </w:tcPr>
          <w:p w14:paraId="1D120F1E">
            <w:pPr>
              <w:keepNext w:val="0"/>
              <w:keepLines w:val="0"/>
              <w:pageBreakBefore w:val="0"/>
              <w:kinsoku/>
              <w:wordWrap/>
              <w:overflowPunct/>
              <w:topLinePunct w:val="0"/>
              <w:bidi w:val="0"/>
              <w:adjustRightInd/>
              <w:snapToGrid/>
              <w:spacing w:line="360" w:lineRule="exact"/>
              <w:jc w:val="center"/>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6</w:t>
            </w:r>
          </w:p>
        </w:tc>
        <w:tc>
          <w:tcPr>
            <w:tcW w:w="1630" w:type="pct"/>
            <w:vAlign w:val="center"/>
          </w:tcPr>
          <w:p w14:paraId="58DAA3E0">
            <w:pPr>
              <w:keepNext w:val="0"/>
              <w:keepLines w:val="0"/>
              <w:pageBreakBefore w:val="0"/>
              <w:kinsoku/>
              <w:wordWrap/>
              <w:overflowPunct/>
              <w:topLinePunct w:val="0"/>
              <w:bidi w:val="0"/>
              <w:adjustRightInd/>
              <w:snapToGrid/>
              <w:spacing w:line="360" w:lineRule="exact"/>
              <w:jc w:val="both"/>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施工期应当尽量减少施工占地、缩短施工时间、选择合理施工方式、落实环境敏感区管控要求以及其他生态环境保护措施，降低生态环境影响。钻井和压裂设备应当优先使用网电、高标准清洁燃油，减少废气排放。</w:t>
            </w:r>
          </w:p>
        </w:tc>
        <w:tc>
          <w:tcPr>
            <w:tcW w:w="2442" w:type="pct"/>
            <w:vAlign w:val="center"/>
          </w:tcPr>
          <w:p w14:paraId="56CDA822">
            <w:pPr>
              <w:keepNext w:val="0"/>
              <w:keepLines w:val="0"/>
              <w:pageBreakBefore w:val="0"/>
              <w:widowControl w:val="0"/>
              <w:kinsoku/>
              <w:wordWrap/>
              <w:overflowPunct/>
              <w:topLinePunct w:val="0"/>
              <w:autoSpaceDE w:val="0"/>
              <w:autoSpaceDN w:val="0"/>
              <w:bidi w:val="0"/>
              <w:adjustRightInd/>
              <w:snapToGrid/>
              <w:spacing w:line="360" w:lineRule="exact"/>
              <w:jc w:val="both"/>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lang w:bidi="zh-CN"/>
              </w:rPr>
              <w:t>施工期井场、管线均在临时用地内进行施工，施工采用人工开挖和机械开挖相结合的方式。</w:t>
            </w:r>
            <w:r>
              <w:rPr>
                <w:rFonts w:ascii="Times New Roman" w:hAnsi="Times New Roman" w:cs="Times New Roman" w:eastAsiaTheme="minorEastAsia"/>
                <w:color w:val="auto"/>
                <w:w w:val="99"/>
                <w:kern w:val="2"/>
                <w:sz w:val="21"/>
                <w:highlight w:val="none"/>
              </w:rPr>
              <w:t>环评中已提出耕地的保护措施，本项目钻井及压裂用产品质量达标的低标号柴油，采用节能环保型柴油动力设备。</w:t>
            </w:r>
          </w:p>
        </w:tc>
        <w:tc>
          <w:tcPr>
            <w:tcW w:w="528" w:type="pct"/>
            <w:vAlign w:val="center"/>
          </w:tcPr>
          <w:p w14:paraId="2AB7FF70">
            <w:pPr>
              <w:keepNext w:val="0"/>
              <w:keepLines w:val="0"/>
              <w:pageBreakBefore w:val="0"/>
              <w:kinsoku/>
              <w:wordWrap/>
              <w:overflowPunct/>
              <w:topLinePunct w:val="0"/>
              <w:bidi w:val="0"/>
              <w:adjustRightInd/>
              <w:snapToGrid/>
              <w:spacing w:line="360" w:lineRule="exact"/>
              <w:jc w:val="center"/>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符合</w:t>
            </w:r>
          </w:p>
        </w:tc>
      </w:tr>
      <w:tr w14:paraId="73C68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8" w:type="pct"/>
            <w:vAlign w:val="center"/>
          </w:tcPr>
          <w:p w14:paraId="7ACE1EB1">
            <w:pPr>
              <w:keepNext w:val="0"/>
              <w:keepLines w:val="0"/>
              <w:pageBreakBefore w:val="0"/>
              <w:kinsoku/>
              <w:wordWrap/>
              <w:overflowPunct/>
              <w:topLinePunct w:val="0"/>
              <w:bidi w:val="0"/>
              <w:adjustRightInd/>
              <w:snapToGrid/>
              <w:spacing w:line="360" w:lineRule="exact"/>
              <w:jc w:val="center"/>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7</w:t>
            </w:r>
          </w:p>
        </w:tc>
        <w:tc>
          <w:tcPr>
            <w:tcW w:w="1630" w:type="pct"/>
            <w:vAlign w:val="center"/>
          </w:tcPr>
          <w:p w14:paraId="507C54D3">
            <w:pPr>
              <w:keepNext w:val="0"/>
              <w:keepLines w:val="0"/>
              <w:pageBreakBefore w:val="0"/>
              <w:kinsoku/>
              <w:wordWrap/>
              <w:overflowPunct/>
              <w:topLinePunct w:val="0"/>
              <w:bidi w:val="0"/>
              <w:adjustRightInd/>
              <w:snapToGrid/>
              <w:spacing w:line="360" w:lineRule="exact"/>
              <w:jc w:val="both"/>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油气企业应当加强风险防控，按规定编制突发环境事件应急预案，报所在地生态环境主管部门备案。</w:t>
            </w:r>
          </w:p>
        </w:tc>
        <w:tc>
          <w:tcPr>
            <w:tcW w:w="2442" w:type="pct"/>
            <w:vAlign w:val="center"/>
          </w:tcPr>
          <w:p w14:paraId="4CCF0B7A">
            <w:pPr>
              <w:keepNext w:val="0"/>
              <w:keepLines w:val="0"/>
              <w:pageBreakBefore w:val="0"/>
              <w:widowControl w:val="0"/>
              <w:kinsoku/>
              <w:wordWrap/>
              <w:overflowPunct/>
              <w:topLinePunct w:val="0"/>
              <w:autoSpaceDE w:val="0"/>
              <w:autoSpaceDN w:val="0"/>
              <w:bidi w:val="0"/>
              <w:adjustRightInd/>
              <w:snapToGrid/>
              <w:spacing w:line="360" w:lineRule="exact"/>
              <w:jc w:val="both"/>
              <w:textAlignment w:val="auto"/>
              <w:rPr>
                <w:rFonts w:ascii="Times New Roman" w:hAnsi="Times New Roman" w:cs="Times New Roman" w:eastAsiaTheme="minorEastAsia"/>
                <w:color w:val="auto"/>
                <w:w w:val="99"/>
                <w:kern w:val="2"/>
                <w:sz w:val="21"/>
                <w:highlight w:val="none"/>
              </w:rPr>
            </w:pPr>
            <w:r>
              <w:rPr>
                <w:rFonts w:hint="eastAsia" w:ascii="Times New Roman" w:hAnsi="Times New Roman" w:cs="Times New Roman"/>
                <w:color w:val="auto"/>
                <w:w w:val="99"/>
                <w:sz w:val="21"/>
                <w:szCs w:val="21"/>
                <w:highlight w:val="none"/>
              </w:rPr>
              <w:t>大庆</w:t>
            </w:r>
            <w:r>
              <w:rPr>
                <w:rFonts w:ascii="Times New Roman" w:hAnsi="Times New Roman" w:cs="Times New Roman"/>
                <w:color w:val="auto"/>
                <w:w w:val="99"/>
                <w:sz w:val="21"/>
                <w:szCs w:val="21"/>
                <w:highlight w:val="none"/>
              </w:rPr>
              <w:t>油田有限责任公司采气分公司于2024年10月23日在大庆市让胡路生态环境局备案了企业环境风险应急预案（备案号230604-2024-47-L），大庆油田有限责任公司采气分公司本项目建成后应将已备案的应急预案根据本次工程内容进行修订，包括相关工作人员的培训和演练等</w:t>
            </w:r>
            <w:r>
              <w:rPr>
                <w:rFonts w:ascii="Times New Roman" w:hAnsi="Times New Roman" w:cs="Times New Roman" w:eastAsiaTheme="minorEastAsia"/>
                <w:color w:val="auto"/>
                <w:w w:val="99"/>
                <w:kern w:val="2"/>
                <w:sz w:val="21"/>
                <w:highlight w:val="none"/>
              </w:rPr>
              <w:t>。</w:t>
            </w:r>
          </w:p>
        </w:tc>
        <w:tc>
          <w:tcPr>
            <w:tcW w:w="528" w:type="pct"/>
            <w:vAlign w:val="center"/>
          </w:tcPr>
          <w:p w14:paraId="3DF82595">
            <w:pPr>
              <w:keepNext w:val="0"/>
              <w:keepLines w:val="0"/>
              <w:pageBreakBefore w:val="0"/>
              <w:kinsoku/>
              <w:wordWrap/>
              <w:overflowPunct/>
              <w:topLinePunct w:val="0"/>
              <w:bidi w:val="0"/>
              <w:adjustRightInd/>
              <w:snapToGrid/>
              <w:spacing w:line="360" w:lineRule="exact"/>
              <w:jc w:val="center"/>
              <w:textAlignment w:val="auto"/>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符合</w:t>
            </w:r>
          </w:p>
        </w:tc>
      </w:tr>
    </w:tbl>
    <w:p w14:paraId="22F3429E">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由上表可知，本项目符合《关于进一步加强石油天然气行业环境影响评价管理的通知》（环办环评函[2019]910号）中要求。</w:t>
      </w:r>
    </w:p>
    <w:p w14:paraId="694F655D">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1.4.3.2 与《石油天然气开采业污染防治技术政策》（公告2012年第18号）符合性判定</w:t>
      </w:r>
    </w:p>
    <w:p w14:paraId="25F082F1">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本项目与《石油天然气开采业污染防治技术政策》（公告2012年第18号）符合性分析见表1.4-</w:t>
      </w:r>
      <w:r>
        <w:rPr>
          <w:rFonts w:hint="eastAsia" w:ascii="Times New Roman" w:hAnsi="Times New Roman"/>
          <w:color w:val="auto"/>
          <w:w w:val="99"/>
          <w:highlight w:val="none"/>
        </w:rPr>
        <w:t>3</w:t>
      </w:r>
      <w:r>
        <w:rPr>
          <w:rFonts w:ascii="Times New Roman" w:hAnsi="Times New Roman"/>
          <w:color w:val="auto"/>
          <w:w w:val="99"/>
          <w:highlight w:val="none"/>
        </w:rPr>
        <w:t>。</w:t>
      </w:r>
    </w:p>
    <w:p w14:paraId="16DC2F72">
      <w:pPr>
        <w:spacing w:line="440" w:lineRule="exact"/>
        <w:jc w:val="center"/>
        <w:rPr>
          <w:rFonts w:ascii="Times New Roman" w:hAnsi="Times New Roman" w:cs="Times New Roman" w:eastAsiaTheme="majorEastAsia"/>
          <w:b/>
          <w:color w:val="auto"/>
          <w:w w:val="99"/>
          <w:szCs w:val="32"/>
          <w:highlight w:val="none"/>
        </w:rPr>
      </w:pPr>
      <w:r>
        <w:rPr>
          <w:rFonts w:ascii="Times New Roman" w:hAnsi="Times New Roman" w:cs="Times New Roman" w:eastAsiaTheme="majorEastAsia"/>
          <w:b/>
          <w:color w:val="auto"/>
          <w:w w:val="99"/>
          <w:szCs w:val="32"/>
          <w:highlight w:val="none"/>
          <w:lang w:bidi="zh-CN"/>
        </w:rPr>
        <w:t>表1.4-</w:t>
      </w:r>
      <w:r>
        <w:rPr>
          <w:rFonts w:hint="eastAsia" w:ascii="Times New Roman" w:hAnsi="Times New Roman" w:cs="Times New Roman" w:eastAsiaTheme="majorEastAsia"/>
          <w:b/>
          <w:color w:val="auto"/>
          <w:w w:val="99"/>
          <w:szCs w:val="32"/>
          <w:highlight w:val="none"/>
          <w:lang w:bidi="zh-CN"/>
        </w:rPr>
        <w:t>3</w:t>
      </w:r>
      <w:r>
        <w:rPr>
          <w:rFonts w:ascii="Times New Roman" w:hAnsi="Times New Roman" w:cs="Times New Roman" w:eastAsiaTheme="majorEastAsia"/>
          <w:b/>
          <w:color w:val="auto"/>
          <w:w w:val="99"/>
          <w:szCs w:val="32"/>
          <w:highlight w:val="none"/>
          <w:lang w:bidi="zh-CN"/>
        </w:rPr>
        <w:t xml:space="preserve">    本工程与《石油天然气开采业污染防治技术政策》相关要求符合性</w:t>
      </w:r>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9"/>
        <w:gridCol w:w="3310"/>
        <w:gridCol w:w="4505"/>
        <w:gridCol w:w="980"/>
      </w:tblGrid>
      <w:tr w14:paraId="57161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9" w:type="dxa"/>
            <w:vAlign w:val="center"/>
          </w:tcPr>
          <w:p w14:paraId="1814DE5D">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序号</w:t>
            </w:r>
          </w:p>
        </w:tc>
        <w:tc>
          <w:tcPr>
            <w:tcW w:w="3310" w:type="dxa"/>
            <w:vAlign w:val="center"/>
          </w:tcPr>
          <w:p w14:paraId="73A3673B">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相关要求</w:t>
            </w:r>
          </w:p>
        </w:tc>
        <w:tc>
          <w:tcPr>
            <w:tcW w:w="4505" w:type="dxa"/>
            <w:vAlign w:val="center"/>
          </w:tcPr>
          <w:p w14:paraId="5EBC2D48">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本工程符合性</w:t>
            </w:r>
          </w:p>
        </w:tc>
        <w:tc>
          <w:tcPr>
            <w:tcW w:w="980" w:type="dxa"/>
            <w:vAlign w:val="center"/>
          </w:tcPr>
          <w:p w14:paraId="7421FDE4">
            <w:pPr>
              <w:adjustRightInd w:val="0"/>
              <w:snapToGrid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符合性</w:t>
            </w:r>
          </w:p>
        </w:tc>
      </w:tr>
      <w:tr w14:paraId="17699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9" w:type="dxa"/>
            <w:vAlign w:val="center"/>
          </w:tcPr>
          <w:p w14:paraId="04DA6AEE">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w:t>
            </w:r>
          </w:p>
        </w:tc>
        <w:tc>
          <w:tcPr>
            <w:tcW w:w="3310" w:type="dxa"/>
            <w:vAlign w:val="center"/>
          </w:tcPr>
          <w:p w14:paraId="4A44E6C1">
            <w:pPr>
              <w:adjustRightInd w:val="0"/>
              <w:snapToGrid w:val="0"/>
              <w:spacing w:line="360" w:lineRule="exac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到2015年末，行业新、改、扩建项目均采用清洁生产工艺和技术，工业废水回用率达到90%以上，工业固体废物资源化及无害化处理处置率达到100%。</w:t>
            </w:r>
          </w:p>
        </w:tc>
        <w:tc>
          <w:tcPr>
            <w:tcW w:w="4505" w:type="dxa"/>
            <w:vAlign w:val="center"/>
          </w:tcPr>
          <w:p w14:paraId="50556017">
            <w:pPr>
              <w:adjustRightInd w:val="0"/>
              <w:snapToGrid w:val="0"/>
              <w:spacing w:line="360" w:lineRule="exac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本项目施工期及运营期生产废水均经</w:t>
            </w:r>
            <w:r>
              <w:rPr>
                <w:rFonts w:ascii="Times New Roman" w:hAnsi="Times New Roman" w:cs="Times New Roman"/>
                <w:bCs/>
                <w:color w:val="auto"/>
                <w:w w:val="99"/>
                <w:sz w:val="21"/>
                <w:szCs w:val="21"/>
                <w:highlight w:val="none"/>
              </w:rPr>
              <w:t>污水处理站处理达标后回注油层，</w:t>
            </w:r>
            <w:r>
              <w:rPr>
                <w:rFonts w:ascii="Times New Roman" w:hAnsi="Times New Roman" w:cs="Times New Roman"/>
                <w:color w:val="auto"/>
                <w:w w:val="99"/>
                <w:sz w:val="21"/>
                <w:szCs w:val="21"/>
                <w:highlight w:val="none"/>
              </w:rPr>
              <w:t>回用率90%以上，工业固废（施工废料及运营期</w:t>
            </w:r>
            <w:r>
              <w:rPr>
                <w:rFonts w:hint="eastAsia" w:ascii="Times New Roman" w:hAnsi="Times New Roman" w:cs="Times New Roman" w:eastAsiaTheme="minorEastAsia"/>
                <w:color w:val="auto"/>
                <w:w w:val="99"/>
                <w:kern w:val="2"/>
                <w:sz w:val="21"/>
                <w:highlight w:val="none"/>
                <w:lang w:bidi="zh-CN"/>
              </w:rPr>
              <w:t>井口含油砂粒、废变压器油</w:t>
            </w:r>
            <w:r>
              <w:rPr>
                <w:rFonts w:ascii="Times New Roman" w:hAnsi="Times New Roman" w:cs="Times New Roman"/>
                <w:color w:val="auto"/>
                <w:w w:val="99"/>
                <w:sz w:val="21"/>
                <w:szCs w:val="21"/>
                <w:highlight w:val="none"/>
              </w:rPr>
              <w:t>）均得到妥善处置，处置率达到100%。</w:t>
            </w:r>
          </w:p>
        </w:tc>
        <w:tc>
          <w:tcPr>
            <w:tcW w:w="980" w:type="dxa"/>
            <w:vAlign w:val="center"/>
          </w:tcPr>
          <w:p w14:paraId="7654345C">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r w14:paraId="5A64A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9" w:type="dxa"/>
            <w:vAlign w:val="center"/>
          </w:tcPr>
          <w:p w14:paraId="49D5404A">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w:t>
            </w:r>
          </w:p>
        </w:tc>
        <w:tc>
          <w:tcPr>
            <w:tcW w:w="3310" w:type="dxa"/>
            <w:vAlign w:val="center"/>
          </w:tcPr>
          <w:p w14:paraId="15102E8D">
            <w:pPr>
              <w:adjustRightInd w:val="0"/>
              <w:snapToGrid w:val="0"/>
              <w:spacing w:line="360" w:lineRule="exac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油气田建设应总体规划，优化布局，整体开发，减少占地和油气损失，实现油气和废物的集中收集、处理处置。</w:t>
            </w:r>
          </w:p>
        </w:tc>
        <w:tc>
          <w:tcPr>
            <w:tcW w:w="4505" w:type="dxa"/>
            <w:vAlign w:val="center"/>
          </w:tcPr>
          <w:p w14:paraId="28D69EA2">
            <w:pPr>
              <w:adjustRightInd w:val="0"/>
              <w:snapToGrid w:val="0"/>
              <w:spacing w:line="360" w:lineRule="exac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本项目为现有区块的改扩建项目，油气处置和废物收集处置均依托现有集中处置站场。</w:t>
            </w:r>
          </w:p>
        </w:tc>
        <w:tc>
          <w:tcPr>
            <w:tcW w:w="980" w:type="dxa"/>
            <w:vAlign w:val="center"/>
          </w:tcPr>
          <w:p w14:paraId="4C90644C">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r w14:paraId="6B207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9" w:type="dxa"/>
            <w:vAlign w:val="center"/>
          </w:tcPr>
          <w:p w14:paraId="618E1F08">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w:t>
            </w:r>
          </w:p>
        </w:tc>
        <w:tc>
          <w:tcPr>
            <w:tcW w:w="3310" w:type="dxa"/>
            <w:vAlign w:val="center"/>
          </w:tcPr>
          <w:p w14:paraId="244957FD">
            <w:pPr>
              <w:adjustRightInd w:val="0"/>
              <w:snapToGrid w:val="0"/>
              <w:spacing w:line="360" w:lineRule="exac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井下作业过程中应配备泄油器、刮油器等。落地原油应及时回收，落地原油回收率应达到100%。</w:t>
            </w:r>
          </w:p>
        </w:tc>
        <w:tc>
          <w:tcPr>
            <w:tcW w:w="4505" w:type="dxa"/>
            <w:vAlign w:val="center"/>
          </w:tcPr>
          <w:p w14:paraId="2CC155D6">
            <w:pPr>
              <w:adjustRightInd w:val="0"/>
              <w:snapToGrid w:val="0"/>
              <w:spacing w:line="360" w:lineRule="exact"/>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本项目为天然气开采项目，井下作业不涉及落地油</w:t>
            </w:r>
            <w:r>
              <w:rPr>
                <w:rFonts w:ascii="Times New Roman" w:hAnsi="Times New Roman" w:cs="Times New Roman"/>
                <w:color w:val="auto"/>
                <w:w w:val="99"/>
                <w:sz w:val="21"/>
                <w:szCs w:val="21"/>
                <w:highlight w:val="none"/>
              </w:rPr>
              <w:t>。</w:t>
            </w:r>
          </w:p>
        </w:tc>
        <w:tc>
          <w:tcPr>
            <w:tcW w:w="980" w:type="dxa"/>
            <w:vAlign w:val="center"/>
          </w:tcPr>
          <w:p w14:paraId="1006ACD1">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r w14:paraId="710D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9" w:type="dxa"/>
            <w:vAlign w:val="center"/>
          </w:tcPr>
          <w:p w14:paraId="57C0CD38">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4</w:t>
            </w:r>
          </w:p>
        </w:tc>
        <w:tc>
          <w:tcPr>
            <w:tcW w:w="3310" w:type="dxa"/>
            <w:vAlign w:val="center"/>
          </w:tcPr>
          <w:p w14:paraId="1A8DCC9D">
            <w:pPr>
              <w:adjustRightInd w:val="0"/>
              <w:snapToGrid w:val="0"/>
              <w:spacing w:line="360" w:lineRule="exac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在开发过程中，适宜注水开采的油气田，应将采出水处理满足标准后回注；对于稠油注汽开采，鼓励采出水处理后回用于注汽锅炉。</w:t>
            </w:r>
          </w:p>
        </w:tc>
        <w:tc>
          <w:tcPr>
            <w:tcW w:w="4505" w:type="dxa"/>
            <w:vAlign w:val="center"/>
          </w:tcPr>
          <w:p w14:paraId="4CEF72C2">
            <w:pPr>
              <w:adjustRightInd w:val="0"/>
              <w:snapToGrid w:val="0"/>
              <w:spacing w:line="360" w:lineRule="exac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项目运营期气田采出水暂存在各集气站污水罐内，经污水管线输送至升一联气田污水预处理站处理满足《大庆油田地面工程建设设计规定》（Q/SYDQ0639-2015）限值“含油量≤10mg/L、悬浮固体含量≤5mg/L、粒径中值≤2μm”，同时满足《碎屑岩油藏注水水质指标技术要求及分析方法》(SY/T5329-2022)中标准限值，回注地下</w:t>
            </w:r>
            <w:r>
              <w:rPr>
                <w:rFonts w:hint="eastAsia" w:ascii="Times New Roman" w:hAnsi="Times New Roman" w:cs="Times New Roman"/>
                <w:color w:val="auto"/>
                <w:w w:val="99"/>
                <w:sz w:val="21"/>
                <w:szCs w:val="21"/>
                <w:highlight w:val="none"/>
              </w:rPr>
              <w:t>油层</w:t>
            </w:r>
            <w:r>
              <w:rPr>
                <w:rFonts w:ascii="Times New Roman" w:hAnsi="Times New Roman" w:cs="Times New Roman"/>
                <w:color w:val="auto"/>
                <w:w w:val="99"/>
                <w:sz w:val="21"/>
                <w:szCs w:val="21"/>
                <w:highlight w:val="none"/>
              </w:rPr>
              <w:t>。</w:t>
            </w:r>
          </w:p>
        </w:tc>
        <w:tc>
          <w:tcPr>
            <w:tcW w:w="980" w:type="dxa"/>
            <w:vAlign w:val="center"/>
          </w:tcPr>
          <w:p w14:paraId="19126082">
            <w:pPr>
              <w:adjustRightInd w:val="0"/>
              <w:snapToGrid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符合</w:t>
            </w:r>
          </w:p>
        </w:tc>
      </w:tr>
      <w:tr w14:paraId="4F26A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9" w:type="dxa"/>
            <w:vAlign w:val="center"/>
          </w:tcPr>
          <w:p w14:paraId="1FCB609B">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5</w:t>
            </w:r>
          </w:p>
        </w:tc>
        <w:tc>
          <w:tcPr>
            <w:tcW w:w="3310" w:type="dxa"/>
            <w:vAlign w:val="center"/>
          </w:tcPr>
          <w:p w14:paraId="5845CED5">
            <w:pPr>
              <w:adjustRightInd w:val="0"/>
              <w:snapToGrid w:val="0"/>
              <w:spacing w:line="360" w:lineRule="exac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在油气集输过程中，应采用密闭流程，减少烃类气体排放。新、改、扩建油气田油气集输损耗率不高于0.5%</w:t>
            </w:r>
          </w:p>
        </w:tc>
        <w:tc>
          <w:tcPr>
            <w:tcW w:w="4505" w:type="dxa"/>
            <w:vAlign w:val="center"/>
          </w:tcPr>
          <w:p w14:paraId="091CA7E2">
            <w:pPr>
              <w:adjustRightInd w:val="0"/>
              <w:snapToGrid w:val="0"/>
              <w:spacing w:line="360" w:lineRule="exac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符合。本项目油气集输均采用密闭流程，</w:t>
            </w:r>
            <w:r>
              <w:rPr>
                <w:rFonts w:hint="eastAsia" w:ascii="Times New Roman" w:hAnsi="Times New Roman" w:cs="Times New Roman"/>
                <w:color w:val="auto"/>
                <w:w w:val="99"/>
                <w:sz w:val="21"/>
                <w:szCs w:val="21"/>
                <w:highlight w:val="none"/>
                <w:lang w:val="en-US" w:eastAsia="zh-CN"/>
              </w:rPr>
              <w:t>根据《大气挥发性有机物源排放清单编制技术指南（试行）》中石油化工业天然原油和天然气开采，其中天然气开采挥发性有机物排放系数推荐值为0.5g/kg（</w:t>
            </w:r>
            <w:r>
              <w:rPr>
                <w:rFonts w:ascii="Times New Roman" w:hAnsi="Times New Roman" w:cs="Times New Roman"/>
                <w:color w:val="auto"/>
                <w:w w:val="99"/>
                <w:sz w:val="21"/>
                <w:szCs w:val="21"/>
                <w:highlight w:val="none"/>
              </w:rPr>
              <w:t>0.</w:t>
            </w:r>
            <w:r>
              <w:rPr>
                <w:rFonts w:hint="eastAsia" w:ascii="Times New Roman" w:hAnsi="Times New Roman" w:cs="Times New Roman"/>
                <w:color w:val="auto"/>
                <w:w w:val="99"/>
                <w:sz w:val="21"/>
                <w:szCs w:val="21"/>
                <w:highlight w:val="none"/>
                <w:lang w:val="en-US" w:eastAsia="zh-CN"/>
              </w:rPr>
              <w:t>0</w:t>
            </w:r>
            <w:r>
              <w:rPr>
                <w:rFonts w:ascii="Times New Roman" w:hAnsi="Times New Roman" w:cs="Times New Roman"/>
                <w:color w:val="auto"/>
                <w:w w:val="99"/>
                <w:sz w:val="21"/>
                <w:szCs w:val="21"/>
                <w:highlight w:val="none"/>
              </w:rPr>
              <w:t>5%</w:t>
            </w:r>
            <w:r>
              <w:rPr>
                <w:rFonts w:hint="eastAsia" w:ascii="Times New Roman" w:hAnsi="Times New Roman" w:cs="Times New Roman"/>
                <w:color w:val="auto"/>
                <w:w w:val="99"/>
                <w:sz w:val="21"/>
                <w:szCs w:val="21"/>
                <w:highlight w:val="none"/>
                <w:lang w:val="en-US" w:eastAsia="zh-CN"/>
              </w:rPr>
              <w:t>）</w:t>
            </w:r>
            <w:r>
              <w:rPr>
                <w:rFonts w:ascii="Times New Roman" w:hAnsi="Times New Roman" w:cs="Times New Roman"/>
                <w:color w:val="auto"/>
                <w:w w:val="99"/>
                <w:sz w:val="21"/>
                <w:szCs w:val="21"/>
                <w:highlight w:val="none"/>
              </w:rPr>
              <w:t>，不高于0.5%。</w:t>
            </w:r>
          </w:p>
        </w:tc>
        <w:tc>
          <w:tcPr>
            <w:tcW w:w="980" w:type="dxa"/>
            <w:vAlign w:val="center"/>
          </w:tcPr>
          <w:p w14:paraId="2B614F29">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r w14:paraId="0E885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9" w:type="dxa"/>
            <w:vAlign w:val="center"/>
          </w:tcPr>
          <w:p w14:paraId="1988F5F7">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6</w:t>
            </w:r>
          </w:p>
        </w:tc>
        <w:tc>
          <w:tcPr>
            <w:tcW w:w="3310" w:type="dxa"/>
            <w:vAlign w:val="center"/>
          </w:tcPr>
          <w:p w14:paraId="3650BCC7">
            <w:pPr>
              <w:adjustRightInd w:val="0"/>
              <w:snapToGrid w:val="0"/>
              <w:spacing w:line="360" w:lineRule="exac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应设立地下水水质监测井，加强对油气田地下水水质的监控，防止回注过程对地下水造成污染。</w:t>
            </w:r>
          </w:p>
        </w:tc>
        <w:tc>
          <w:tcPr>
            <w:tcW w:w="4505" w:type="dxa"/>
            <w:vAlign w:val="center"/>
          </w:tcPr>
          <w:p w14:paraId="5266F309">
            <w:pPr>
              <w:adjustRightInd w:val="0"/>
              <w:snapToGrid w:val="0"/>
              <w:spacing w:line="360" w:lineRule="exac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r>
              <w:rPr>
                <w:rFonts w:ascii="Times New Roman" w:hAnsi="Times New Roman" w:cs="Times New Roman"/>
                <w:bCs/>
                <w:color w:val="auto"/>
                <w:w w:val="99"/>
                <w:sz w:val="21"/>
                <w:szCs w:val="21"/>
                <w:highlight w:val="none"/>
              </w:rPr>
              <w:t>在本项目共布设</w:t>
            </w:r>
            <w:r>
              <w:rPr>
                <w:rFonts w:hint="eastAsia" w:ascii="Times New Roman" w:hAnsi="Times New Roman" w:cs="Times New Roman"/>
                <w:bCs/>
                <w:color w:val="auto"/>
                <w:w w:val="99"/>
                <w:sz w:val="21"/>
                <w:szCs w:val="21"/>
                <w:highlight w:val="none"/>
              </w:rPr>
              <w:t>3</w:t>
            </w:r>
            <w:r>
              <w:rPr>
                <w:rFonts w:ascii="Times New Roman" w:hAnsi="Times New Roman" w:cs="Times New Roman"/>
                <w:bCs/>
                <w:color w:val="auto"/>
                <w:w w:val="99"/>
                <w:sz w:val="21"/>
                <w:szCs w:val="21"/>
                <w:highlight w:val="none"/>
              </w:rPr>
              <w:t>口潜水跟踪监测水井，定期对地下水进行跟踪监测。</w:t>
            </w:r>
          </w:p>
        </w:tc>
        <w:tc>
          <w:tcPr>
            <w:tcW w:w="980" w:type="dxa"/>
            <w:vAlign w:val="center"/>
          </w:tcPr>
          <w:p w14:paraId="52868AD1">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bl>
    <w:p w14:paraId="1FCB567A">
      <w:pPr>
        <w:widowControl w:val="0"/>
        <w:spacing w:line="440" w:lineRule="exact"/>
        <w:jc w:val="both"/>
        <w:outlineLvl w:val="3"/>
        <w:rPr>
          <w:rFonts w:ascii="Times New Roman" w:hAnsi="Times New Roman" w:cs="Times New Roman"/>
          <w:b/>
          <w:color w:val="auto"/>
          <w:w w:val="99"/>
          <w:highlight w:val="none"/>
          <w:lang w:val="zh-CN" w:bidi="zh-CN"/>
        </w:rPr>
      </w:pPr>
      <w:r>
        <w:rPr>
          <w:rFonts w:ascii="Times New Roman" w:hAnsi="Times New Roman" w:cs="Times New Roman"/>
          <w:b/>
          <w:color w:val="auto"/>
          <w:w w:val="99"/>
          <w:highlight w:val="none"/>
          <w:lang w:val="zh-CN" w:bidi="zh-CN"/>
        </w:rPr>
        <w:t>1.4.3.</w:t>
      </w:r>
      <w:r>
        <w:rPr>
          <w:rFonts w:hint="eastAsia" w:ascii="Times New Roman" w:hAnsi="Times New Roman" w:cs="Times New Roman"/>
          <w:b/>
          <w:color w:val="auto"/>
          <w:w w:val="99"/>
          <w:highlight w:val="none"/>
          <w:lang w:bidi="zh-CN"/>
        </w:rPr>
        <w:t>3</w:t>
      </w:r>
      <w:r>
        <w:rPr>
          <w:rFonts w:ascii="Times New Roman" w:hAnsi="Times New Roman" w:cs="Times New Roman"/>
          <w:b/>
          <w:color w:val="auto"/>
          <w:w w:val="99"/>
          <w:highlight w:val="none"/>
          <w:lang w:val="zh-CN" w:bidi="zh-CN"/>
        </w:rPr>
        <w:t>与《</w:t>
      </w:r>
      <w:bookmarkStart w:id="106" w:name="OLE_LINK83"/>
      <w:bookmarkStart w:id="107" w:name="OLE_LINK71"/>
      <w:r>
        <w:rPr>
          <w:rFonts w:ascii="Times New Roman" w:hAnsi="Times New Roman" w:cs="Times New Roman"/>
          <w:b/>
          <w:color w:val="auto"/>
          <w:w w:val="99"/>
          <w:highlight w:val="none"/>
          <w:lang w:val="zh-CN" w:bidi="zh-CN"/>
        </w:rPr>
        <w:t>黑龙江省黑土地保护利用条例</w:t>
      </w:r>
      <w:bookmarkEnd w:id="106"/>
      <w:bookmarkEnd w:id="107"/>
      <w:r>
        <w:rPr>
          <w:rFonts w:ascii="Times New Roman" w:hAnsi="Times New Roman" w:cs="Times New Roman"/>
          <w:b/>
          <w:color w:val="auto"/>
          <w:w w:val="99"/>
          <w:highlight w:val="none"/>
          <w:lang w:val="zh-CN" w:bidi="zh-CN"/>
        </w:rPr>
        <w:t>》</w:t>
      </w:r>
      <w:r>
        <w:rPr>
          <w:rFonts w:hint="eastAsia" w:ascii="Times New Roman" w:hAnsi="Times New Roman" w:cs="Times New Roman"/>
          <w:b/>
          <w:color w:val="auto"/>
          <w:w w:val="99"/>
          <w:highlight w:val="none"/>
          <w:lang w:val="zh-CN" w:bidi="zh-CN"/>
        </w:rPr>
        <w:t>（黑人常〔</w:t>
      </w:r>
      <w:r>
        <w:rPr>
          <w:rFonts w:ascii="Times New Roman" w:hAnsi="Times New Roman" w:cs="Times New Roman"/>
          <w:b/>
          <w:color w:val="auto"/>
          <w:w w:val="99"/>
          <w:highlight w:val="none"/>
          <w:lang w:val="zh-CN" w:bidi="zh-CN"/>
        </w:rPr>
        <w:t>2024</w:t>
      </w:r>
      <w:r>
        <w:rPr>
          <w:rFonts w:hint="eastAsia" w:ascii="Times New Roman" w:hAnsi="Times New Roman" w:cs="Times New Roman"/>
          <w:b/>
          <w:color w:val="auto"/>
          <w:w w:val="99"/>
          <w:highlight w:val="none"/>
          <w:lang w:val="zh-CN" w:bidi="zh-CN"/>
        </w:rPr>
        <w:t>〕</w:t>
      </w:r>
      <w:r>
        <w:rPr>
          <w:rFonts w:ascii="Times New Roman" w:hAnsi="Times New Roman" w:cs="Times New Roman"/>
          <w:b/>
          <w:color w:val="auto"/>
          <w:w w:val="99"/>
          <w:highlight w:val="none"/>
          <w:lang w:val="zh-CN" w:bidi="zh-CN"/>
        </w:rPr>
        <w:t>17</w:t>
      </w:r>
      <w:r>
        <w:rPr>
          <w:rFonts w:hint="eastAsia" w:ascii="Times New Roman" w:hAnsi="Times New Roman" w:cs="Times New Roman"/>
          <w:b/>
          <w:color w:val="auto"/>
          <w:w w:val="99"/>
          <w:highlight w:val="none"/>
          <w:lang w:val="zh-CN" w:bidi="zh-CN"/>
        </w:rPr>
        <w:t>号）</w:t>
      </w:r>
      <w:r>
        <w:rPr>
          <w:rFonts w:ascii="Times New Roman" w:hAnsi="Times New Roman" w:cs="Times New Roman"/>
          <w:b/>
          <w:color w:val="auto"/>
          <w:w w:val="99"/>
          <w:highlight w:val="none"/>
          <w:lang w:val="zh-CN" w:bidi="zh-CN"/>
        </w:rPr>
        <w:t>符合性分析</w:t>
      </w:r>
    </w:p>
    <w:p w14:paraId="56C15B5D">
      <w:pPr>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iCs/>
          <w:color w:val="auto"/>
          <w:w w:val="99"/>
          <w:kern w:val="2"/>
          <w:highlight w:val="none"/>
        </w:rPr>
        <w:t>本项目与《</w:t>
      </w:r>
      <w:bookmarkStart w:id="108" w:name="OLE_LINK147"/>
      <w:bookmarkStart w:id="109" w:name="OLE_LINK145"/>
      <w:r>
        <w:rPr>
          <w:rFonts w:ascii="Times New Roman" w:hAnsi="Times New Roman" w:cs="Times New Roman"/>
          <w:iCs/>
          <w:color w:val="auto"/>
          <w:w w:val="99"/>
          <w:kern w:val="2"/>
          <w:highlight w:val="none"/>
        </w:rPr>
        <w:t>黑龙江省黑土地保护利用条例</w:t>
      </w:r>
      <w:bookmarkEnd w:id="108"/>
      <w:bookmarkEnd w:id="109"/>
      <w:r>
        <w:rPr>
          <w:rFonts w:ascii="Times New Roman" w:hAnsi="Times New Roman" w:cs="Times New Roman"/>
          <w:iCs/>
          <w:color w:val="auto"/>
          <w:w w:val="99"/>
          <w:kern w:val="2"/>
          <w:highlight w:val="none"/>
        </w:rPr>
        <w:t>》</w:t>
      </w:r>
      <w:r>
        <w:rPr>
          <w:rFonts w:hint="eastAsia" w:ascii="Times New Roman" w:hAnsi="Times New Roman" w:cs="Times New Roman"/>
          <w:iCs/>
          <w:color w:val="auto"/>
          <w:w w:val="99"/>
          <w:kern w:val="2"/>
          <w:highlight w:val="none"/>
        </w:rPr>
        <w:t>（黑人常〔</w:t>
      </w:r>
      <w:r>
        <w:rPr>
          <w:rFonts w:ascii="Times New Roman" w:hAnsi="Times New Roman" w:cs="Times New Roman"/>
          <w:iCs/>
          <w:color w:val="auto"/>
          <w:w w:val="99"/>
          <w:kern w:val="2"/>
          <w:highlight w:val="none"/>
        </w:rPr>
        <w:t>2024〕17号</w:t>
      </w:r>
      <w:r>
        <w:rPr>
          <w:rFonts w:hint="eastAsia" w:ascii="Times New Roman" w:hAnsi="Times New Roman" w:cs="Times New Roman"/>
          <w:iCs/>
          <w:color w:val="auto"/>
          <w:w w:val="99"/>
          <w:kern w:val="2"/>
          <w:highlight w:val="none"/>
        </w:rPr>
        <w:t>）</w:t>
      </w:r>
      <w:r>
        <w:rPr>
          <w:rFonts w:ascii="Times New Roman" w:hAnsi="Times New Roman" w:cs="Times New Roman"/>
          <w:iCs/>
          <w:color w:val="auto"/>
          <w:w w:val="99"/>
          <w:kern w:val="2"/>
          <w:highlight w:val="none"/>
        </w:rPr>
        <w:t>符合性分析见表1.4-</w:t>
      </w:r>
      <w:r>
        <w:rPr>
          <w:rFonts w:hint="eastAsia" w:ascii="Times New Roman" w:hAnsi="Times New Roman" w:cs="Times New Roman"/>
          <w:iCs/>
          <w:color w:val="auto"/>
          <w:w w:val="99"/>
          <w:kern w:val="2"/>
          <w:highlight w:val="none"/>
        </w:rPr>
        <w:t>4</w:t>
      </w:r>
      <w:r>
        <w:rPr>
          <w:rFonts w:ascii="Times New Roman" w:hAnsi="Times New Roman" w:cs="Times New Roman"/>
          <w:iCs/>
          <w:color w:val="auto"/>
          <w:w w:val="99"/>
          <w:kern w:val="2"/>
          <w:highlight w:val="none"/>
        </w:rPr>
        <w:t>。</w:t>
      </w:r>
    </w:p>
    <w:p w14:paraId="52DADED8">
      <w:pPr>
        <w:spacing w:line="440" w:lineRule="exact"/>
        <w:jc w:val="center"/>
        <w:rPr>
          <w:rFonts w:ascii="Times New Roman" w:hAnsi="Times New Roman" w:cs="Times New Roman"/>
          <w:b/>
          <w:iCs/>
          <w:color w:val="auto"/>
          <w:w w:val="99"/>
          <w:kern w:val="2"/>
          <w:highlight w:val="none"/>
        </w:rPr>
      </w:pPr>
      <w:r>
        <w:rPr>
          <w:rFonts w:ascii="Times New Roman" w:hAnsi="Times New Roman" w:cs="Times New Roman"/>
          <w:b/>
          <w:iCs/>
          <w:color w:val="auto"/>
          <w:w w:val="99"/>
          <w:kern w:val="2"/>
          <w:highlight w:val="none"/>
        </w:rPr>
        <w:t>表1.4-</w:t>
      </w:r>
      <w:r>
        <w:rPr>
          <w:rFonts w:hint="eastAsia" w:ascii="Times New Roman" w:hAnsi="Times New Roman" w:cs="Times New Roman"/>
          <w:b/>
          <w:iCs/>
          <w:color w:val="auto"/>
          <w:w w:val="99"/>
          <w:kern w:val="2"/>
          <w:highlight w:val="none"/>
        </w:rPr>
        <w:t>4</w:t>
      </w:r>
      <w:r>
        <w:rPr>
          <w:rFonts w:ascii="Times New Roman" w:hAnsi="Times New Roman" w:cs="Times New Roman"/>
          <w:b/>
          <w:iCs/>
          <w:color w:val="auto"/>
          <w:w w:val="99"/>
          <w:kern w:val="2"/>
          <w:highlight w:val="none"/>
        </w:rPr>
        <w:t xml:space="preserve">    本项目与《黑龙江省黑土地保护利用条例》</w:t>
      </w:r>
      <w:r>
        <w:rPr>
          <w:rFonts w:hint="eastAsia" w:ascii="Times New Roman" w:hAnsi="Times New Roman" w:cs="Times New Roman"/>
          <w:b/>
          <w:iCs/>
          <w:color w:val="auto"/>
          <w:w w:val="99"/>
          <w:kern w:val="2"/>
          <w:highlight w:val="none"/>
        </w:rPr>
        <w:t>（黑人常〔</w:t>
      </w:r>
      <w:r>
        <w:rPr>
          <w:rFonts w:ascii="Times New Roman" w:hAnsi="Times New Roman" w:cs="Times New Roman"/>
          <w:b/>
          <w:iCs/>
          <w:color w:val="auto"/>
          <w:w w:val="99"/>
          <w:kern w:val="2"/>
          <w:highlight w:val="none"/>
        </w:rPr>
        <w:t>2024</w:t>
      </w:r>
      <w:r>
        <w:rPr>
          <w:rFonts w:hint="eastAsia" w:ascii="Times New Roman" w:hAnsi="Times New Roman" w:cs="Times New Roman"/>
          <w:b/>
          <w:iCs/>
          <w:color w:val="auto"/>
          <w:w w:val="99"/>
          <w:kern w:val="2"/>
          <w:highlight w:val="none"/>
        </w:rPr>
        <w:t>〕</w:t>
      </w:r>
      <w:r>
        <w:rPr>
          <w:rFonts w:ascii="Times New Roman" w:hAnsi="Times New Roman" w:cs="Times New Roman"/>
          <w:b/>
          <w:iCs/>
          <w:color w:val="auto"/>
          <w:w w:val="99"/>
          <w:kern w:val="2"/>
          <w:highlight w:val="none"/>
        </w:rPr>
        <w:t>17</w:t>
      </w:r>
      <w:r>
        <w:rPr>
          <w:rFonts w:hint="eastAsia" w:ascii="Times New Roman" w:hAnsi="Times New Roman" w:cs="Times New Roman"/>
          <w:b/>
          <w:iCs/>
          <w:color w:val="auto"/>
          <w:w w:val="99"/>
          <w:kern w:val="2"/>
          <w:highlight w:val="none"/>
        </w:rPr>
        <w:t>号）</w:t>
      </w:r>
      <w:r>
        <w:rPr>
          <w:rFonts w:ascii="Times New Roman" w:hAnsi="Times New Roman" w:cs="Times New Roman"/>
          <w:b/>
          <w:iCs/>
          <w:color w:val="auto"/>
          <w:w w:val="99"/>
          <w:kern w:val="2"/>
          <w:highlight w:val="none"/>
        </w:rPr>
        <w:t>相关要求符合性一览表</w:t>
      </w:r>
    </w:p>
    <w:tbl>
      <w:tblPr>
        <w:tblStyle w:val="8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2051"/>
        <w:gridCol w:w="5587"/>
        <w:gridCol w:w="939"/>
      </w:tblGrid>
      <w:tr w14:paraId="1EF69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31A3D910">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序号</w:t>
            </w:r>
          </w:p>
        </w:tc>
        <w:tc>
          <w:tcPr>
            <w:tcW w:w="1105" w:type="pct"/>
            <w:vAlign w:val="center"/>
          </w:tcPr>
          <w:p w14:paraId="75CB176C">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文件要求</w:t>
            </w:r>
          </w:p>
        </w:tc>
        <w:tc>
          <w:tcPr>
            <w:tcW w:w="3010" w:type="pct"/>
            <w:vAlign w:val="center"/>
          </w:tcPr>
          <w:p w14:paraId="0B4E778F">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符合性分析</w:t>
            </w:r>
          </w:p>
        </w:tc>
        <w:tc>
          <w:tcPr>
            <w:tcW w:w="506" w:type="pct"/>
            <w:vAlign w:val="center"/>
          </w:tcPr>
          <w:p w14:paraId="5C4D5D06">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符合性</w:t>
            </w:r>
          </w:p>
        </w:tc>
      </w:tr>
      <w:tr w14:paraId="43C37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7454E694">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1</w:t>
            </w:r>
          </w:p>
        </w:tc>
        <w:tc>
          <w:tcPr>
            <w:tcW w:w="1105" w:type="pct"/>
            <w:vAlign w:val="center"/>
          </w:tcPr>
          <w:p w14:paraId="781EB359">
            <w:pPr>
              <w:widowControl w:val="0"/>
              <w:adjustRightInd w:val="0"/>
              <w:snapToGrid w:val="0"/>
              <w:spacing w:line="360" w:lineRule="exact"/>
              <w:jc w:val="both"/>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黑土地保护利用实行土地用途管制制度。严格限制农用地转为建设用地，严格控制耕地转为非耕地，禁止违法占用耕地。</w:t>
            </w:r>
          </w:p>
        </w:tc>
        <w:tc>
          <w:tcPr>
            <w:tcW w:w="3010" w:type="pct"/>
            <w:vAlign w:val="center"/>
          </w:tcPr>
          <w:p w14:paraId="4CD359A3">
            <w:pPr>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本项目建设无法避免占用耕地，在施工前需要征收土地，应报请相关主管部门同意，取得用地审批。对永久占用</w:t>
            </w:r>
            <w:r>
              <w:rPr>
                <w:rFonts w:hint="eastAsia" w:ascii="Times New Roman" w:hAnsi="Times New Roman" w:cs="Times New Roman"/>
                <w:color w:val="auto"/>
                <w:w w:val="99"/>
                <w:sz w:val="21"/>
                <w:szCs w:val="21"/>
                <w:highlight w:val="none"/>
              </w:rPr>
              <w:t>0.0901</w:t>
            </w:r>
            <w:r>
              <w:rPr>
                <w:rFonts w:ascii="Times New Roman" w:hAnsi="Times New Roman" w:cs="Times New Roman"/>
                <w:color w:val="auto"/>
                <w:w w:val="99"/>
                <w:sz w:val="21"/>
                <w:szCs w:val="21"/>
                <w:highlight w:val="none"/>
              </w:rPr>
              <w:t>hm</w:t>
            </w:r>
            <w:r>
              <w:rPr>
                <w:rFonts w:ascii="Times New Roman" w:hAnsi="Times New Roman" w:cs="Times New Roman"/>
                <w:color w:val="auto"/>
                <w:w w:val="99"/>
                <w:sz w:val="21"/>
                <w:szCs w:val="21"/>
                <w:highlight w:val="none"/>
                <w:vertAlign w:val="superscript"/>
              </w:rPr>
              <w:t>2</w:t>
            </w:r>
            <w:r>
              <w:rPr>
                <w:rFonts w:ascii="Times New Roman" w:hAnsi="Times New Roman" w:cs="Times New Roman"/>
                <w:color w:val="auto"/>
                <w:w w:val="99"/>
                <w:sz w:val="21"/>
                <w:szCs w:val="21"/>
                <w:highlight w:val="none"/>
              </w:rPr>
              <w:t>耕地（永久基本农田），按照“占一补一”原则进行占补平衡，由建设单位负责开垦与所占用耕地的数量和质量相当的耕地；如果没有条件开垦时，应当按照黑龙江省的规定缴纳耕地开垦费，专款用于开垦新的耕地。永久占用耕地的耕作层土壤集中堆放在施工井场或场站置土带区域，施工结束后用于</w:t>
            </w:r>
            <w:r>
              <w:rPr>
                <w:rFonts w:ascii="Times New Roman" w:hAnsi="Times New Roman" w:cs="Times New Roman"/>
                <w:bCs/>
                <w:color w:val="auto"/>
                <w:w w:val="99"/>
                <w:sz w:val="21"/>
                <w:szCs w:val="21"/>
                <w:highlight w:val="none"/>
              </w:rPr>
              <w:t>周围区域土地复垦、土壤治理等用途</w:t>
            </w:r>
            <w:r>
              <w:rPr>
                <w:rFonts w:ascii="Times New Roman" w:hAnsi="Times New Roman" w:cs="Times New Roman"/>
                <w:color w:val="auto"/>
                <w:w w:val="99"/>
                <w:sz w:val="21"/>
                <w:szCs w:val="21"/>
                <w:highlight w:val="none"/>
              </w:rPr>
              <w:t>。</w:t>
            </w:r>
          </w:p>
        </w:tc>
        <w:tc>
          <w:tcPr>
            <w:tcW w:w="506" w:type="pct"/>
            <w:vAlign w:val="center"/>
          </w:tcPr>
          <w:p w14:paraId="6322A93D">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2D399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0" w:hRule="atLeast"/>
          <w:jc w:val="center"/>
        </w:trPr>
        <w:tc>
          <w:tcPr>
            <w:tcW w:w="379" w:type="pct"/>
            <w:vAlign w:val="center"/>
          </w:tcPr>
          <w:p w14:paraId="3E1236A0">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2</w:t>
            </w:r>
          </w:p>
        </w:tc>
        <w:tc>
          <w:tcPr>
            <w:tcW w:w="1105" w:type="pct"/>
            <w:vAlign w:val="center"/>
          </w:tcPr>
          <w:p w14:paraId="5BC65B8F">
            <w:pPr>
              <w:widowControl w:val="0"/>
              <w:adjustRightInd w:val="0"/>
              <w:snapToGrid w:val="0"/>
              <w:spacing w:line="360" w:lineRule="exact"/>
              <w:jc w:val="both"/>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禁止向黑土地排放重金属或者其他有毒有害物质含量超标的污水、污泥，以及可能造成土壤污染的清淤底泥、尾矿、矿渣等；禁止将有毒有害废物用作肥料或者用于造田和土地复垦。</w:t>
            </w:r>
          </w:p>
        </w:tc>
        <w:tc>
          <w:tcPr>
            <w:tcW w:w="3010" w:type="pct"/>
            <w:vAlign w:val="center"/>
          </w:tcPr>
          <w:p w14:paraId="63B36912">
            <w:pPr>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本项目施工期</w:t>
            </w:r>
            <w:r>
              <w:rPr>
                <w:rFonts w:hint="eastAsia" w:ascii="Times New Roman" w:hAnsi="Times New Roman" w:cs="Times New Roman"/>
                <w:color w:val="auto"/>
                <w:w w:val="99"/>
                <w:sz w:val="21"/>
                <w:szCs w:val="21"/>
                <w:highlight w:val="none"/>
              </w:rPr>
              <w:t>管线试压废水</w:t>
            </w:r>
            <w:r>
              <w:rPr>
                <w:rFonts w:ascii="Times New Roman" w:hAnsi="Times New Roman" w:cs="Times New Roman"/>
                <w:color w:val="auto"/>
                <w:w w:val="99"/>
                <w:sz w:val="21"/>
                <w:szCs w:val="21"/>
                <w:highlight w:val="none"/>
              </w:rPr>
              <w:t>由罐车拉运至升一联气田污水预处理站处理</w:t>
            </w:r>
            <w:r>
              <w:rPr>
                <w:rFonts w:hint="eastAsia" w:ascii="Times New Roman" w:hAnsi="Times New Roman" w:cs="Times New Roman"/>
                <w:color w:val="auto"/>
                <w:w w:val="99"/>
                <w:sz w:val="21"/>
                <w:szCs w:val="21"/>
                <w:highlight w:val="none"/>
              </w:rPr>
              <w:t>达标后回注地下油层，不外排。</w:t>
            </w:r>
            <w:r>
              <w:rPr>
                <w:rFonts w:ascii="Times New Roman" w:hAnsi="Times New Roman" w:cs="Times New Roman"/>
                <w:color w:val="auto"/>
                <w:w w:val="99"/>
                <w:sz w:val="21"/>
                <w:szCs w:val="21"/>
                <w:highlight w:val="none"/>
              </w:rPr>
              <w:t>施工人员产生的</w:t>
            </w:r>
            <w:r>
              <w:rPr>
                <w:rFonts w:hint="eastAsia" w:ascii="Times New Roman" w:hAnsi="Times New Roman" w:cs="Times New Roman"/>
                <w:color w:val="auto"/>
                <w:w w:val="99"/>
                <w:sz w:val="21"/>
                <w:szCs w:val="21"/>
                <w:highlight w:val="none"/>
              </w:rPr>
              <w:t>生活污水排入附近场站已建生活污水收集设施，定期由大庆石油管理局有限公司庆南工矿服务公司红岗分公司拉运至大庆红岗区西巷污水回收站，管输至南区污水处理厂进行处理。</w:t>
            </w:r>
          </w:p>
          <w:p w14:paraId="74D2B57F">
            <w:pPr>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运营期产生的</w:t>
            </w:r>
            <w:r>
              <w:rPr>
                <w:rFonts w:hint="eastAsia" w:ascii="Times New Roman" w:hAnsi="Times New Roman" w:cs="Times New Roman"/>
                <w:color w:val="auto"/>
                <w:w w:val="99"/>
                <w:sz w:val="21"/>
                <w:szCs w:val="21"/>
                <w:highlight w:val="none"/>
              </w:rPr>
              <w:t>气田</w:t>
            </w:r>
            <w:r>
              <w:rPr>
                <w:rFonts w:ascii="Times New Roman" w:hAnsi="Times New Roman" w:cs="Times New Roman"/>
                <w:color w:val="auto"/>
                <w:w w:val="99"/>
                <w:sz w:val="21"/>
                <w:szCs w:val="21"/>
                <w:highlight w:val="none"/>
              </w:rPr>
              <w:t>采出水暂存于</w:t>
            </w:r>
            <w:r>
              <w:rPr>
                <w:rFonts w:hint="eastAsia" w:ascii="Times New Roman" w:hAnsi="Times New Roman" w:cs="Times New Roman"/>
                <w:color w:val="auto"/>
                <w:w w:val="99"/>
                <w:sz w:val="21"/>
                <w:szCs w:val="21"/>
                <w:highlight w:val="none"/>
              </w:rPr>
              <w:t>徐深27</w:t>
            </w:r>
            <w:r>
              <w:rPr>
                <w:rFonts w:ascii="Times New Roman" w:hAnsi="Times New Roman" w:cs="Times New Roman"/>
                <w:color w:val="auto"/>
                <w:w w:val="99"/>
                <w:sz w:val="21"/>
                <w:szCs w:val="21"/>
                <w:highlight w:val="none"/>
              </w:rPr>
              <w:t>集气站污水储罐，再定期通过外输泵升压外输至气田采出水集输管网，并统一外输至升一联气田污水预处理站处理</w:t>
            </w:r>
            <w:r>
              <w:rPr>
                <w:rFonts w:hint="eastAsia" w:ascii="Times New Roman" w:hAnsi="Times New Roman" w:cs="Times New Roman"/>
                <w:color w:val="auto"/>
                <w:w w:val="99"/>
                <w:sz w:val="21"/>
                <w:szCs w:val="21"/>
                <w:highlight w:val="none"/>
              </w:rPr>
              <w:t>达标后回注地下油层，不外排。</w:t>
            </w:r>
          </w:p>
          <w:p w14:paraId="5289C0CC">
            <w:pPr>
              <w:widowControl w:val="0"/>
              <w:spacing w:line="360" w:lineRule="exact"/>
              <w:jc w:val="both"/>
              <w:rPr>
                <w:rFonts w:ascii="Times New Roman" w:hAnsi="Times New Roman" w:cs="Times New Roman"/>
                <w:iCs/>
                <w:color w:val="auto"/>
                <w:w w:val="99"/>
                <w:kern w:val="28"/>
                <w:sz w:val="21"/>
                <w:szCs w:val="21"/>
                <w:highlight w:val="none"/>
              </w:rPr>
            </w:pPr>
            <w:r>
              <w:rPr>
                <w:rFonts w:hint="eastAsia" w:ascii="Times New Roman" w:hAnsi="Times New Roman" w:cs="Times New Roman"/>
                <w:color w:val="auto"/>
                <w:w w:val="99"/>
                <w:sz w:val="21"/>
                <w:szCs w:val="21"/>
                <w:highlight w:val="none"/>
              </w:rPr>
              <w:t>运营期</w:t>
            </w:r>
            <w:r>
              <w:rPr>
                <w:rFonts w:ascii="Times New Roman" w:hAnsi="Times New Roman" w:cs="Times New Roman"/>
                <w:color w:val="auto"/>
                <w:w w:val="99"/>
                <w:sz w:val="21"/>
                <w:szCs w:val="21"/>
                <w:highlight w:val="none"/>
              </w:rPr>
              <w:t>井口除砂器产生少量</w:t>
            </w:r>
            <w:r>
              <w:rPr>
                <w:rFonts w:hint="eastAsia" w:ascii="Times New Roman" w:hAnsi="Times New Roman" w:cs="Times New Roman"/>
                <w:color w:val="auto"/>
                <w:w w:val="99"/>
                <w:sz w:val="21"/>
                <w:szCs w:val="21"/>
                <w:highlight w:val="none"/>
              </w:rPr>
              <w:t>井口含油</w:t>
            </w:r>
            <w:r>
              <w:rPr>
                <w:rFonts w:hint="eastAsia" w:ascii="Times New Roman" w:hAnsi="Times New Roman" w:cs="Times New Roman"/>
                <w:color w:val="auto"/>
                <w:w w:val="99"/>
                <w:sz w:val="21"/>
                <w:szCs w:val="21"/>
                <w:highlight w:val="none"/>
                <w:lang w:eastAsia="zh-CN"/>
              </w:rPr>
              <w:t>砂粒</w:t>
            </w:r>
            <w:r>
              <w:rPr>
                <w:rFonts w:hint="eastAsia" w:ascii="Times New Roman" w:hAnsi="Times New Roman" w:cs="Times New Roman"/>
                <w:color w:val="auto"/>
                <w:w w:val="99"/>
                <w:sz w:val="21"/>
                <w:szCs w:val="21"/>
                <w:highlight w:val="none"/>
              </w:rPr>
              <w:t>及废变压器油属于危险废物，由检维修队送采气分公司危险废物贮存库内，定期委托有危废处置资质的单位处置。</w:t>
            </w:r>
          </w:p>
        </w:tc>
        <w:tc>
          <w:tcPr>
            <w:tcW w:w="506" w:type="pct"/>
            <w:vAlign w:val="center"/>
          </w:tcPr>
          <w:p w14:paraId="09B62F19">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4CF95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1529D514">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3</w:t>
            </w:r>
          </w:p>
        </w:tc>
        <w:tc>
          <w:tcPr>
            <w:tcW w:w="1105" w:type="pct"/>
            <w:vAlign w:val="center"/>
          </w:tcPr>
          <w:p w14:paraId="00E017DE">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因突发事件造成黑土地污染或者破坏的，当事人应当立即采取补救措施，并向当地县级人民政府生态环境或者自然资源、农业农村、林业和草原主管部门报告。</w:t>
            </w:r>
          </w:p>
        </w:tc>
        <w:tc>
          <w:tcPr>
            <w:tcW w:w="3010" w:type="pct"/>
            <w:vAlign w:val="center"/>
          </w:tcPr>
          <w:p w14:paraId="30004A95">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为避免事故状态下对周边黑土耕地的影响，</w:t>
            </w:r>
            <w:r>
              <w:rPr>
                <w:rFonts w:hint="eastAsia" w:ascii="Times New Roman" w:hAnsi="Times New Roman" w:cs="Times New Roman"/>
                <w:iCs/>
                <w:color w:val="auto"/>
                <w:w w:val="99"/>
                <w:kern w:val="28"/>
                <w:sz w:val="21"/>
                <w:szCs w:val="21"/>
                <w:highlight w:val="none"/>
              </w:rPr>
              <w:t>大庆油田有限责任公司采气分公司</w:t>
            </w:r>
            <w:r>
              <w:rPr>
                <w:rFonts w:ascii="Times New Roman" w:hAnsi="Times New Roman" w:cs="Times New Roman"/>
                <w:iCs/>
                <w:color w:val="auto"/>
                <w:w w:val="99"/>
                <w:kern w:val="28"/>
                <w:sz w:val="21"/>
                <w:szCs w:val="21"/>
                <w:highlight w:val="none"/>
              </w:rPr>
              <w:t>已针对项目运行过程中可能产生的突发环境污染事件制定了</w:t>
            </w:r>
            <w:r>
              <w:rPr>
                <w:rFonts w:ascii="Times New Roman" w:hAnsi="Times New Roman" w:cs="Times New Roman"/>
                <w:bCs/>
                <w:iCs/>
                <w:color w:val="auto"/>
                <w:w w:val="99"/>
                <w:kern w:val="28"/>
                <w:sz w:val="21"/>
                <w:szCs w:val="21"/>
                <w:highlight w:val="none"/>
              </w:rPr>
              <w:t>《环境突发事件专项应急预案》</w:t>
            </w:r>
            <w:r>
              <w:rPr>
                <w:rFonts w:ascii="Times New Roman" w:hAnsi="Times New Roman" w:cs="Times New Roman"/>
                <w:iCs/>
                <w:color w:val="auto"/>
                <w:w w:val="99"/>
                <w:kern w:val="28"/>
                <w:sz w:val="21"/>
                <w:szCs w:val="21"/>
                <w:highlight w:val="none"/>
              </w:rPr>
              <w:t>，预案内容包括应急组织机构及职责明确、监测与预警、应急处置与应急响应、恢复与重建、应急保障与培训、督查与奖惩等内容，应急预案于202</w:t>
            </w:r>
            <w:r>
              <w:rPr>
                <w:rFonts w:hint="eastAsia" w:ascii="Times New Roman" w:hAnsi="Times New Roman" w:cs="Times New Roman"/>
                <w:iCs/>
                <w:color w:val="auto"/>
                <w:w w:val="99"/>
                <w:kern w:val="28"/>
                <w:sz w:val="21"/>
                <w:szCs w:val="21"/>
                <w:highlight w:val="none"/>
              </w:rPr>
              <w:t>4</w:t>
            </w:r>
            <w:r>
              <w:rPr>
                <w:rFonts w:ascii="Times New Roman" w:hAnsi="Times New Roman" w:cs="Times New Roman"/>
                <w:iCs/>
                <w:color w:val="auto"/>
                <w:w w:val="99"/>
                <w:kern w:val="28"/>
                <w:sz w:val="21"/>
                <w:szCs w:val="21"/>
                <w:highlight w:val="none"/>
              </w:rPr>
              <w:t>年</w:t>
            </w:r>
            <w:r>
              <w:rPr>
                <w:rFonts w:hint="eastAsia" w:ascii="Times New Roman" w:hAnsi="Times New Roman" w:cs="Times New Roman"/>
                <w:iCs/>
                <w:color w:val="auto"/>
                <w:w w:val="99"/>
                <w:kern w:val="28"/>
                <w:sz w:val="21"/>
                <w:szCs w:val="21"/>
                <w:highlight w:val="none"/>
              </w:rPr>
              <w:t>10</w:t>
            </w:r>
            <w:r>
              <w:rPr>
                <w:rFonts w:ascii="Times New Roman" w:hAnsi="Times New Roman" w:cs="Times New Roman"/>
                <w:iCs/>
                <w:color w:val="auto"/>
                <w:w w:val="99"/>
                <w:kern w:val="28"/>
                <w:sz w:val="21"/>
                <w:szCs w:val="21"/>
                <w:highlight w:val="none"/>
              </w:rPr>
              <w:t>月</w:t>
            </w:r>
            <w:r>
              <w:rPr>
                <w:rFonts w:hint="eastAsia" w:ascii="Times New Roman" w:hAnsi="Times New Roman" w:cs="Times New Roman"/>
                <w:iCs/>
                <w:color w:val="auto"/>
                <w:w w:val="99"/>
                <w:kern w:val="28"/>
                <w:sz w:val="21"/>
                <w:szCs w:val="21"/>
                <w:highlight w:val="none"/>
              </w:rPr>
              <w:t>23</w:t>
            </w:r>
            <w:r>
              <w:rPr>
                <w:rFonts w:ascii="Times New Roman" w:hAnsi="Times New Roman" w:cs="Times New Roman"/>
                <w:iCs/>
                <w:color w:val="auto"/>
                <w:w w:val="99"/>
                <w:kern w:val="28"/>
                <w:sz w:val="21"/>
                <w:szCs w:val="21"/>
                <w:highlight w:val="none"/>
              </w:rPr>
              <w:t>日在大庆市</w:t>
            </w:r>
            <w:r>
              <w:rPr>
                <w:rFonts w:hint="eastAsia" w:ascii="Times New Roman" w:hAnsi="Times New Roman" w:cs="Times New Roman"/>
                <w:iCs/>
                <w:color w:val="auto"/>
                <w:w w:val="99"/>
                <w:kern w:val="28"/>
                <w:sz w:val="21"/>
                <w:szCs w:val="21"/>
                <w:highlight w:val="none"/>
              </w:rPr>
              <w:t>让胡路</w:t>
            </w:r>
            <w:r>
              <w:rPr>
                <w:rFonts w:ascii="Times New Roman" w:hAnsi="Times New Roman" w:cs="Times New Roman"/>
                <w:iCs/>
                <w:color w:val="auto"/>
                <w:w w:val="99"/>
                <w:kern w:val="28"/>
                <w:sz w:val="21"/>
                <w:szCs w:val="21"/>
                <w:highlight w:val="none"/>
              </w:rPr>
              <w:t>生态环境局进行了备案，备案编号为</w:t>
            </w:r>
            <w:r>
              <w:rPr>
                <w:rFonts w:ascii="Times New Roman" w:hAnsi="Times New Roman" w:cs="Times New Roman"/>
                <w:color w:val="auto"/>
                <w:w w:val="99"/>
                <w:sz w:val="21"/>
                <w:szCs w:val="21"/>
                <w:highlight w:val="none"/>
              </w:rPr>
              <w:t>230604-2024-47-L</w:t>
            </w:r>
            <w:r>
              <w:rPr>
                <w:rFonts w:ascii="Times New Roman" w:hAnsi="Times New Roman" w:cs="Times New Roman"/>
                <w:iCs/>
                <w:color w:val="auto"/>
                <w:w w:val="99"/>
                <w:kern w:val="28"/>
                <w:sz w:val="21"/>
                <w:szCs w:val="21"/>
                <w:highlight w:val="none"/>
              </w:rPr>
              <w:t>，具体见附件</w:t>
            </w:r>
            <w:r>
              <w:rPr>
                <w:rFonts w:hint="eastAsia" w:ascii="Times New Roman" w:hAnsi="Times New Roman" w:cs="Times New Roman"/>
                <w:iCs/>
                <w:color w:val="auto"/>
                <w:w w:val="99"/>
                <w:kern w:val="28"/>
                <w:sz w:val="21"/>
                <w:szCs w:val="21"/>
                <w:highlight w:val="none"/>
              </w:rPr>
              <w:t>5</w:t>
            </w:r>
            <w:r>
              <w:rPr>
                <w:rFonts w:ascii="Times New Roman" w:hAnsi="Times New Roman" w:cs="Times New Roman"/>
                <w:iCs/>
                <w:color w:val="auto"/>
                <w:w w:val="99"/>
                <w:kern w:val="28"/>
                <w:sz w:val="21"/>
                <w:szCs w:val="21"/>
                <w:highlight w:val="none"/>
              </w:rPr>
              <w:t>。</w:t>
            </w:r>
          </w:p>
        </w:tc>
        <w:tc>
          <w:tcPr>
            <w:tcW w:w="506" w:type="pct"/>
            <w:vAlign w:val="center"/>
          </w:tcPr>
          <w:p w14:paraId="163A130B">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4E4DD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143D6043">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rPr>
              <w:t>4</w:t>
            </w:r>
          </w:p>
        </w:tc>
        <w:tc>
          <w:tcPr>
            <w:tcW w:w="1105" w:type="pct"/>
            <w:vAlign w:val="center"/>
          </w:tcPr>
          <w:p w14:paraId="11A2A1F1">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rPr>
              <w:t>黑土地上禁止下列行为：（一）建窑、建坟；（二）擅自建房、挖砂、采石、采矿等；（三）向黑土地倾倒垃圾；（四）法律、法规规定的其他禁止行为。</w:t>
            </w:r>
          </w:p>
        </w:tc>
        <w:tc>
          <w:tcPr>
            <w:tcW w:w="3010" w:type="pct"/>
            <w:vAlign w:val="center"/>
          </w:tcPr>
          <w:p w14:paraId="24BD6F0A">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本项目为</w:t>
            </w:r>
            <w:r>
              <w:rPr>
                <w:rFonts w:hint="eastAsia" w:ascii="Times New Roman" w:hAnsi="Times New Roman" w:cs="Times New Roman"/>
                <w:iCs/>
                <w:color w:val="auto"/>
                <w:w w:val="99"/>
                <w:kern w:val="28"/>
                <w:sz w:val="21"/>
                <w:szCs w:val="21"/>
                <w:highlight w:val="none"/>
              </w:rPr>
              <w:t>天然气</w:t>
            </w:r>
            <w:r>
              <w:rPr>
                <w:rFonts w:ascii="Times New Roman" w:hAnsi="Times New Roman" w:cs="Times New Roman"/>
                <w:iCs/>
                <w:color w:val="auto"/>
                <w:w w:val="99"/>
                <w:kern w:val="28"/>
                <w:sz w:val="21"/>
                <w:szCs w:val="21"/>
                <w:highlight w:val="none"/>
              </w:rPr>
              <w:t>开采项目，</w:t>
            </w:r>
            <w:r>
              <w:rPr>
                <w:rFonts w:hint="eastAsia" w:ascii="Times New Roman" w:hAnsi="Times New Roman" w:cs="Times New Roman"/>
                <w:iCs/>
                <w:color w:val="auto"/>
                <w:w w:val="99"/>
                <w:kern w:val="28"/>
                <w:sz w:val="21"/>
                <w:szCs w:val="21"/>
                <w:highlight w:val="none"/>
                <w:lang w:val="en-US" w:eastAsia="zh-CN"/>
              </w:rPr>
              <w:t>采气井</w:t>
            </w:r>
            <w:r>
              <w:rPr>
                <w:rFonts w:ascii="Times New Roman" w:hAnsi="Times New Roman" w:cs="Times New Roman"/>
                <w:iCs/>
                <w:color w:val="auto"/>
                <w:w w:val="99"/>
                <w:kern w:val="28"/>
                <w:sz w:val="21"/>
                <w:szCs w:val="21"/>
                <w:highlight w:val="none"/>
              </w:rPr>
              <w:t>开钻前</w:t>
            </w:r>
            <w:r>
              <w:rPr>
                <w:rFonts w:hint="eastAsia" w:ascii="Times New Roman" w:hAnsi="Times New Roman" w:cs="Times New Roman"/>
                <w:iCs/>
                <w:color w:val="auto"/>
                <w:w w:val="99"/>
                <w:kern w:val="28"/>
                <w:sz w:val="21"/>
                <w:szCs w:val="21"/>
                <w:highlight w:val="none"/>
              </w:rPr>
              <w:t>采气分公司</w:t>
            </w:r>
            <w:r>
              <w:rPr>
                <w:rFonts w:ascii="Times New Roman" w:hAnsi="Times New Roman" w:cs="Times New Roman"/>
                <w:iCs/>
                <w:color w:val="auto"/>
                <w:w w:val="99"/>
                <w:kern w:val="28"/>
                <w:sz w:val="21"/>
                <w:szCs w:val="21"/>
                <w:highlight w:val="none"/>
              </w:rPr>
              <w:t>协同钻井公司对设计井进行矿权边界确认，确保设计井井口、目的层以及井眼轨道在所属的矿权边界范围内方可开钻，严禁在矿权边界范围外施工。</w:t>
            </w:r>
          </w:p>
          <w:p w14:paraId="272B457D">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项目施工及运营</w:t>
            </w:r>
            <w:r>
              <w:rPr>
                <w:rFonts w:hint="eastAsia" w:ascii="Times New Roman" w:hAnsi="Times New Roman" w:cs="Times New Roman"/>
                <w:iCs/>
                <w:color w:val="auto"/>
                <w:w w:val="99"/>
                <w:kern w:val="28"/>
                <w:sz w:val="21"/>
                <w:szCs w:val="21"/>
                <w:highlight w:val="none"/>
              </w:rPr>
              <w:t>产生</w:t>
            </w:r>
            <w:r>
              <w:rPr>
                <w:rFonts w:ascii="Times New Roman" w:hAnsi="Times New Roman" w:cs="Times New Roman"/>
                <w:iCs/>
                <w:color w:val="auto"/>
                <w:w w:val="99"/>
                <w:kern w:val="28"/>
                <w:sz w:val="21"/>
                <w:szCs w:val="21"/>
                <w:highlight w:val="none"/>
              </w:rPr>
              <w:t>的固体废物在固定地点集中存放，防止因暴雨、大风等冲入外环境，并及时清运，做到工完、料净、场地清。</w:t>
            </w:r>
          </w:p>
        </w:tc>
        <w:tc>
          <w:tcPr>
            <w:tcW w:w="506" w:type="pct"/>
            <w:vAlign w:val="center"/>
          </w:tcPr>
          <w:p w14:paraId="421582F5">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2316B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1AC482A0">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5</w:t>
            </w:r>
          </w:p>
        </w:tc>
        <w:tc>
          <w:tcPr>
            <w:tcW w:w="1105" w:type="pct"/>
            <w:vAlign w:val="center"/>
          </w:tcPr>
          <w:p w14:paraId="7FD3EB58">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建立和完善建设用地增减挂钩机制。建设项目应当节约、集约使用黑土地，不占或者少占黑土地。</w:t>
            </w:r>
          </w:p>
        </w:tc>
        <w:tc>
          <w:tcPr>
            <w:tcW w:w="3010" w:type="pct"/>
            <w:vAlign w:val="center"/>
          </w:tcPr>
          <w:p w14:paraId="7FF88A26">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本项目已尽量减少了占地，本项目建设无法避免占用耕地，在施工前需要征收土地，应报请相关主管部门同意，取得用地审批。对永久占用</w:t>
            </w:r>
            <w:r>
              <w:rPr>
                <w:rFonts w:hint="eastAsia" w:ascii="Times New Roman" w:hAnsi="Times New Roman" w:cs="Times New Roman"/>
                <w:iCs/>
                <w:color w:val="auto"/>
                <w:w w:val="99"/>
                <w:kern w:val="28"/>
                <w:sz w:val="21"/>
                <w:szCs w:val="21"/>
                <w:highlight w:val="none"/>
              </w:rPr>
              <w:t>0.0901</w:t>
            </w:r>
            <w:r>
              <w:rPr>
                <w:rFonts w:ascii="Times New Roman" w:hAnsi="Times New Roman" w:cs="Times New Roman"/>
                <w:iCs/>
                <w:color w:val="auto"/>
                <w:w w:val="99"/>
                <w:kern w:val="28"/>
                <w:sz w:val="21"/>
                <w:szCs w:val="21"/>
                <w:highlight w:val="none"/>
              </w:rPr>
              <w:t>hm</w:t>
            </w:r>
            <w:r>
              <w:rPr>
                <w:rFonts w:ascii="Times New Roman" w:hAnsi="Times New Roman" w:cs="Times New Roman"/>
                <w:iCs/>
                <w:color w:val="auto"/>
                <w:w w:val="99"/>
                <w:kern w:val="28"/>
                <w:sz w:val="21"/>
                <w:szCs w:val="21"/>
                <w:highlight w:val="none"/>
                <w:vertAlign w:val="superscript"/>
              </w:rPr>
              <w:t>2</w:t>
            </w:r>
            <w:r>
              <w:rPr>
                <w:rFonts w:ascii="Times New Roman" w:hAnsi="Times New Roman" w:cs="Times New Roman"/>
                <w:iCs/>
                <w:color w:val="auto"/>
                <w:w w:val="99"/>
                <w:kern w:val="28"/>
                <w:sz w:val="21"/>
                <w:szCs w:val="21"/>
                <w:highlight w:val="none"/>
              </w:rPr>
              <w:t>耕地（永久基本农田），按照“占一补一”原则进行占补平衡，由建设单位负责开垦与所占用耕地的数量和质量相当的耕地；如果没有条件开垦时，应当按照黑龙江省的规定缴纳耕地开垦费，专款用于开垦新的耕地。永久占用耕地的耕作层土壤集中堆放在施工井场或场站置土带区域，施工结束后用于</w:t>
            </w:r>
            <w:r>
              <w:rPr>
                <w:rFonts w:ascii="Times New Roman" w:hAnsi="Times New Roman" w:cs="Times New Roman"/>
                <w:bCs/>
                <w:iCs/>
                <w:color w:val="auto"/>
                <w:w w:val="99"/>
                <w:kern w:val="28"/>
                <w:sz w:val="21"/>
                <w:szCs w:val="21"/>
                <w:highlight w:val="none"/>
              </w:rPr>
              <w:t>周围区域土地复垦、土壤治理等用途</w:t>
            </w:r>
            <w:r>
              <w:rPr>
                <w:rFonts w:ascii="Times New Roman" w:hAnsi="Times New Roman" w:cs="Times New Roman"/>
                <w:iCs/>
                <w:color w:val="auto"/>
                <w:w w:val="99"/>
                <w:kern w:val="28"/>
                <w:sz w:val="21"/>
                <w:szCs w:val="21"/>
                <w:highlight w:val="none"/>
              </w:rPr>
              <w:t>。对于</w:t>
            </w:r>
            <w:r>
              <w:rPr>
                <w:rFonts w:hint="eastAsia" w:ascii="Times New Roman" w:hAnsi="Times New Roman" w:cs="Times New Roman"/>
                <w:color w:val="auto"/>
                <w:w w:val="99"/>
                <w:sz w:val="21"/>
                <w:szCs w:val="21"/>
                <w:highlight w:val="none"/>
              </w:rPr>
              <w:t>1.9229</w:t>
            </w:r>
            <w:r>
              <w:rPr>
                <w:rFonts w:ascii="Times New Roman" w:hAnsi="Times New Roman" w:cs="Times New Roman"/>
                <w:iCs/>
                <w:color w:val="auto"/>
                <w:w w:val="99"/>
                <w:kern w:val="28"/>
                <w:sz w:val="21"/>
                <w:szCs w:val="21"/>
                <w:highlight w:val="none"/>
              </w:rPr>
              <w:t>hm</w:t>
            </w:r>
            <w:r>
              <w:rPr>
                <w:rFonts w:ascii="Times New Roman" w:hAnsi="Times New Roman" w:cs="Times New Roman"/>
                <w:iCs/>
                <w:color w:val="auto"/>
                <w:w w:val="99"/>
                <w:kern w:val="28"/>
                <w:sz w:val="21"/>
                <w:szCs w:val="21"/>
                <w:highlight w:val="none"/>
                <w:vertAlign w:val="superscript"/>
              </w:rPr>
              <w:t>2</w:t>
            </w:r>
            <w:r>
              <w:rPr>
                <w:rFonts w:ascii="Times New Roman" w:hAnsi="Times New Roman" w:cs="Times New Roman"/>
                <w:iCs/>
                <w:color w:val="auto"/>
                <w:w w:val="99"/>
                <w:kern w:val="28"/>
                <w:sz w:val="21"/>
                <w:szCs w:val="21"/>
                <w:highlight w:val="none"/>
              </w:rPr>
              <w:t>临时占地，施工前应剥离占地内的表土，</w:t>
            </w:r>
            <w:r>
              <w:rPr>
                <w:rFonts w:hint="eastAsia" w:ascii="Times New Roman" w:hAnsi="Times New Roman" w:cs="Times New Roman"/>
                <w:iCs/>
                <w:color w:val="auto"/>
                <w:w w:val="99"/>
                <w:kern w:val="28"/>
                <w:sz w:val="21"/>
                <w:szCs w:val="21"/>
                <w:highlight w:val="none"/>
              </w:rPr>
              <w:t>耕地剥离厚度</w:t>
            </w:r>
            <w:r>
              <w:rPr>
                <w:rFonts w:ascii="Times New Roman" w:hAnsi="Times New Roman" w:cs="Times New Roman"/>
                <w:iCs/>
                <w:color w:val="auto"/>
                <w:w w:val="99"/>
                <w:kern w:val="28"/>
                <w:sz w:val="21"/>
                <w:szCs w:val="21"/>
                <w:highlight w:val="none"/>
              </w:rPr>
              <w:t>0.3m，采用分层开挖，分层堆放，暂存于占地内的表土剥离临时堆放区，并采取苫布遮盖，表土剥离临时堆放区周围设置排水沟等措施防止水土流失，并定期采取洒水抑尘措施，剥离的表土在施工结束后分层回填，及时恢复地表植被，并采取补播措施，对占用农田全部恢复为等质等量面积的耕地。</w:t>
            </w:r>
          </w:p>
        </w:tc>
        <w:tc>
          <w:tcPr>
            <w:tcW w:w="506" w:type="pct"/>
            <w:vAlign w:val="center"/>
          </w:tcPr>
          <w:p w14:paraId="7CD8C551">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596F5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3A3049D2">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6</w:t>
            </w:r>
          </w:p>
        </w:tc>
        <w:tc>
          <w:tcPr>
            <w:tcW w:w="1105" w:type="pct"/>
            <w:vAlign w:val="center"/>
          </w:tcPr>
          <w:p w14:paraId="698CD1A8">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生产建设活动占用黑土地的，应当按照有关标准、规范和管理规定剥离表土。</w:t>
            </w:r>
          </w:p>
        </w:tc>
        <w:tc>
          <w:tcPr>
            <w:tcW w:w="3010" w:type="pct"/>
            <w:vAlign w:val="center"/>
          </w:tcPr>
          <w:p w14:paraId="5A54081A">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ascii="Times New Roman" w:hAnsi="Times New Roman" w:cs="Times New Roman"/>
                <w:color w:val="auto"/>
                <w:w w:val="99"/>
                <w:sz w:val="21"/>
                <w:szCs w:val="21"/>
                <w:highlight w:val="none"/>
              </w:rPr>
              <w:t xml:space="preserve">对永久占用 </w:t>
            </w:r>
            <w:r>
              <w:rPr>
                <w:rFonts w:hint="eastAsia" w:ascii="Times New Roman" w:hAnsi="Times New Roman" w:cs="Times New Roman"/>
                <w:color w:val="auto"/>
                <w:w w:val="99"/>
                <w:sz w:val="21"/>
                <w:szCs w:val="21"/>
                <w:highlight w:val="none"/>
              </w:rPr>
              <w:t>0.0901</w:t>
            </w:r>
            <w:r>
              <w:rPr>
                <w:rFonts w:ascii="Times New Roman" w:hAnsi="Times New Roman" w:cs="Times New Roman"/>
                <w:color w:val="auto"/>
                <w:w w:val="99"/>
                <w:sz w:val="21"/>
                <w:szCs w:val="21"/>
                <w:highlight w:val="none"/>
              </w:rPr>
              <w:t>hm</w:t>
            </w:r>
            <w:r>
              <w:rPr>
                <w:rFonts w:ascii="Times New Roman" w:hAnsi="Times New Roman" w:cs="Times New Roman"/>
                <w:color w:val="auto"/>
                <w:w w:val="99"/>
                <w:sz w:val="21"/>
                <w:szCs w:val="21"/>
                <w:highlight w:val="none"/>
                <w:vertAlign w:val="superscript"/>
              </w:rPr>
              <w:t>2</w:t>
            </w:r>
            <w:r>
              <w:rPr>
                <w:rFonts w:ascii="Times New Roman" w:hAnsi="Times New Roman" w:cs="Times New Roman"/>
                <w:color w:val="auto"/>
                <w:w w:val="99"/>
                <w:sz w:val="21"/>
                <w:szCs w:val="21"/>
                <w:highlight w:val="none"/>
              </w:rPr>
              <w:t>耕地（永久基本农田），按照“占一补一”原则进行占补平衡，由建设单位负责开垦与所占用耕地的数量和质量相当的耕地；如果没有条件开垦时，应当按照黑龙江省的规定缴纳耕地开垦费，专款用于开垦新的耕地。永久占用耕地的耕作层土壤集中堆放在施工井场或场站置土带区域，施工结束后用于</w:t>
            </w:r>
            <w:r>
              <w:rPr>
                <w:rFonts w:ascii="Times New Roman" w:hAnsi="Times New Roman" w:cs="Times New Roman"/>
                <w:bCs/>
                <w:color w:val="auto"/>
                <w:w w:val="99"/>
                <w:sz w:val="21"/>
                <w:szCs w:val="21"/>
                <w:highlight w:val="none"/>
              </w:rPr>
              <w:t>周围区域土地复垦、土壤治理等用途</w:t>
            </w:r>
            <w:r>
              <w:rPr>
                <w:rFonts w:ascii="Times New Roman" w:hAnsi="Times New Roman" w:cs="Times New Roman"/>
                <w:color w:val="auto"/>
                <w:w w:val="99"/>
                <w:sz w:val="21"/>
                <w:szCs w:val="21"/>
                <w:highlight w:val="none"/>
              </w:rPr>
              <w:t>。对于</w:t>
            </w:r>
            <w:r>
              <w:rPr>
                <w:rFonts w:hint="eastAsia" w:ascii="Times New Roman" w:hAnsi="Times New Roman" w:cs="Times New Roman"/>
                <w:color w:val="auto"/>
                <w:w w:val="99"/>
                <w:sz w:val="21"/>
                <w:szCs w:val="21"/>
                <w:highlight w:val="none"/>
              </w:rPr>
              <w:t>1.9229</w:t>
            </w:r>
            <w:r>
              <w:rPr>
                <w:rFonts w:ascii="Times New Roman" w:hAnsi="Times New Roman" w:cs="Times New Roman"/>
                <w:color w:val="auto"/>
                <w:w w:val="99"/>
                <w:sz w:val="21"/>
                <w:szCs w:val="21"/>
                <w:highlight w:val="none"/>
              </w:rPr>
              <w:t>hm</w:t>
            </w:r>
            <w:r>
              <w:rPr>
                <w:rFonts w:ascii="Times New Roman" w:hAnsi="Times New Roman" w:cs="Times New Roman"/>
                <w:color w:val="auto"/>
                <w:w w:val="99"/>
                <w:sz w:val="21"/>
                <w:szCs w:val="21"/>
                <w:highlight w:val="none"/>
                <w:vertAlign w:val="superscript"/>
              </w:rPr>
              <w:t>2</w:t>
            </w:r>
            <w:r>
              <w:rPr>
                <w:rFonts w:ascii="Times New Roman" w:hAnsi="Times New Roman" w:cs="Times New Roman"/>
                <w:color w:val="auto"/>
                <w:w w:val="99"/>
                <w:sz w:val="21"/>
                <w:szCs w:val="21"/>
                <w:highlight w:val="none"/>
              </w:rPr>
              <w:t>临时占地，施工前应剥离占地内的表土，</w:t>
            </w:r>
            <w:r>
              <w:rPr>
                <w:rFonts w:hint="eastAsia" w:ascii="Times New Roman" w:hAnsi="Times New Roman" w:cs="Times New Roman"/>
                <w:color w:val="auto"/>
                <w:w w:val="99"/>
                <w:sz w:val="21"/>
                <w:szCs w:val="21"/>
                <w:highlight w:val="none"/>
              </w:rPr>
              <w:t>耕地剥离厚度</w:t>
            </w:r>
            <w:r>
              <w:rPr>
                <w:rFonts w:ascii="Times New Roman" w:hAnsi="Times New Roman" w:cs="Times New Roman"/>
                <w:color w:val="auto"/>
                <w:w w:val="99"/>
                <w:sz w:val="21"/>
                <w:szCs w:val="21"/>
                <w:highlight w:val="none"/>
              </w:rPr>
              <w:t>0.3m，采用分层开挖，分层堆放，暂存于占地内的表土剥离临时堆放区，并采取苫布遮盖，表土剥离临时堆放区周围设置排水沟等措施防止水土流失，并定期采取洒水抑尘措施，剥离的表土在施工结束后分层回填，及时恢复地表植被，并采取补播措施，对占用农田全部恢复为等质等量面积的耕地。</w:t>
            </w:r>
          </w:p>
        </w:tc>
        <w:tc>
          <w:tcPr>
            <w:tcW w:w="506" w:type="pct"/>
            <w:vAlign w:val="center"/>
          </w:tcPr>
          <w:p w14:paraId="64C7A0C3">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bl>
    <w:p w14:paraId="1FA0CDB4">
      <w:pPr>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iCs/>
          <w:color w:val="auto"/>
          <w:w w:val="99"/>
          <w:kern w:val="2"/>
          <w:highlight w:val="none"/>
        </w:rPr>
        <w:t>根据以上分析，本项目符合《黑龙江省黑土地保护利用条例》（</w:t>
      </w:r>
      <w:r>
        <w:rPr>
          <w:rFonts w:hint="eastAsia" w:ascii="Times New Roman" w:hAnsi="Times New Roman" w:cs="Times New Roman"/>
          <w:iCs/>
          <w:color w:val="auto"/>
          <w:w w:val="99"/>
          <w:kern w:val="2"/>
          <w:highlight w:val="none"/>
        </w:rPr>
        <w:t>黑人常〔</w:t>
      </w:r>
      <w:r>
        <w:rPr>
          <w:rFonts w:ascii="Times New Roman" w:hAnsi="Times New Roman" w:cs="Times New Roman"/>
          <w:iCs/>
          <w:color w:val="auto"/>
          <w:w w:val="99"/>
          <w:kern w:val="2"/>
          <w:highlight w:val="none"/>
        </w:rPr>
        <w:t>2024〕17号）中要求。</w:t>
      </w:r>
    </w:p>
    <w:p w14:paraId="77004662">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1.4.3.</w:t>
      </w:r>
      <w:r>
        <w:rPr>
          <w:rFonts w:hint="eastAsia" w:ascii="Times New Roman" w:hAnsi="Times New Roman" w:eastAsiaTheme="minorEastAsia"/>
          <w:b/>
          <w:color w:val="auto"/>
          <w:w w:val="99"/>
          <w:highlight w:val="none"/>
        </w:rPr>
        <w:t>4</w:t>
      </w:r>
      <w:r>
        <w:rPr>
          <w:rFonts w:ascii="Times New Roman" w:hAnsi="Times New Roman" w:eastAsiaTheme="minorEastAsia"/>
          <w:b/>
          <w:color w:val="auto"/>
          <w:w w:val="99"/>
          <w:highlight w:val="none"/>
        </w:rPr>
        <w:t>与</w:t>
      </w:r>
      <w:r>
        <w:rPr>
          <w:rFonts w:hint="eastAsia" w:ascii="Times New Roman" w:hAnsi="Times New Roman" w:eastAsiaTheme="minorEastAsia"/>
          <w:b/>
          <w:color w:val="auto"/>
          <w:w w:val="99"/>
          <w:highlight w:val="none"/>
        </w:rPr>
        <w:t>《自然资源部关于规范临时用地管理的通知》</w:t>
      </w:r>
      <w:r>
        <w:rPr>
          <w:rFonts w:hint="eastAsia" w:ascii="Times New Roman" w:hAnsi="Times New Roman"/>
          <w:iCs/>
          <w:color w:val="auto"/>
          <w:w w:val="99"/>
          <w:kern w:val="2"/>
          <w:highlight w:val="none"/>
        </w:rPr>
        <w:t>（</w:t>
      </w:r>
      <w:r>
        <w:rPr>
          <w:rFonts w:ascii="Times New Roman" w:hAnsi="Times New Roman" w:eastAsiaTheme="minorEastAsia"/>
          <w:b/>
          <w:color w:val="auto"/>
          <w:w w:val="99"/>
          <w:highlight w:val="none"/>
        </w:rPr>
        <w:t>自然资规〔2021〕2号</w:t>
      </w:r>
      <w:r>
        <w:rPr>
          <w:rFonts w:hint="eastAsia" w:ascii="Times New Roman" w:hAnsi="Times New Roman"/>
          <w:iCs/>
          <w:color w:val="auto"/>
          <w:w w:val="99"/>
          <w:kern w:val="2"/>
          <w:highlight w:val="none"/>
        </w:rPr>
        <w:t>）</w:t>
      </w:r>
      <w:r>
        <w:rPr>
          <w:rFonts w:ascii="Times New Roman" w:hAnsi="Times New Roman" w:eastAsiaTheme="minorEastAsia"/>
          <w:b/>
          <w:color w:val="auto"/>
          <w:w w:val="99"/>
          <w:highlight w:val="none"/>
        </w:rPr>
        <w:t>符合性分析</w:t>
      </w:r>
    </w:p>
    <w:p w14:paraId="60990F31">
      <w:pPr>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iCs/>
          <w:color w:val="auto"/>
          <w:w w:val="99"/>
          <w:kern w:val="2"/>
          <w:highlight w:val="none"/>
        </w:rPr>
        <w:t>本项目与《自然资源部关于规范临时用地管理的通知》（自然资规〔2021〕2号）符合性分析见表1.4-</w:t>
      </w:r>
      <w:r>
        <w:rPr>
          <w:rFonts w:hint="eastAsia" w:ascii="Times New Roman" w:hAnsi="Times New Roman" w:cs="Times New Roman"/>
          <w:iCs/>
          <w:color w:val="auto"/>
          <w:w w:val="99"/>
          <w:kern w:val="2"/>
          <w:highlight w:val="none"/>
        </w:rPr>
        <w:t>5</w:t>
      </w:r>
      <w:r>
        <w:rPr>
          <w:rFonts w:ascii="Times New Roman" w:hAnsi="Times New Roman" w:cs="Times New Roman"/>
          <w:iCs/>
          <w:color w:val="auto"/>
          <w:w w:val="99"/>
          <w:kern w:val="2"/>
          <w:highlight w:val="none"/>
        </w:rPr>
        <w:t>。</w:t>
      </w:r>
    </w:p>
    <w:p w14:paraId="6AE8B2B9">
      <w:pPr>
        <w:spacing w:line="440" w:lineRule="exact"/>
        <w:ind w:firstLine="476" w:firstLineChars="200"/>
        <w:rPr>
          <w:rFonts w:ascii="Times New Roman" w:hAnsi="Times New Roman" w:cs="Times New Roman"/>
          <w:b/>
          <w:iCs/>
          <w:color w:val="auto"/>
          <w:w w:val="99"/>
          <w:kern w:val="2"/>
          <w:highlight w:val="none"/>
        </w:rPr>
      </w:pPr>
      <w:r>
        <w:rPr>
          <w:rFonts w:ascii="Times New Roman" w:hAnsi="Times New Roman" w:cs="Times New Roman"/>
          <w:b/>
          <w:iCs/>
          <w:color w:val="auto"/>
          <w:w w:val="99"/>
          <w:kern w:val="2"/>
          <w:highlight w:val="none"/>
        </w:rPr>
        <w:t>表1.4-</w:t>
      </w:r>
      <w:r>
        <w:rPr>
          <w:rFonts w:hint="eastAsia" w:ascii="Times New Roman" w:hAnsi="Times New Roman" w:cs="Times New Roman"/>
          <w:b/>
          <w:iCs/>
          <w:color w:val="auto"/>
          <w:w w:val="99"/>
          <w:kern w:val="2"/>
          <w:highlight w:val="none"/>
        </w:rPr>
        <w:t>5</w:t>
      </w:r>
      <w:r>
        <w:rPr>
          <w:rFonts w:ascii="Times New Roman" w:hAnsi="Times New Roman" w:cs="Times New Roman"/>
          <w:b/>
          <w:iCs/>
          <w:color w:val="auto"/>
          <w:w w:val="99"/>
          <w:kern w:val="2"/>
          <w:highlight w:val="none"/>
        </w:rPr>
        <w:t xml:space="preserve">    本项目与</w:t>
      </w:r>
      <w:r>
        <w:rPr>
          <w:rFonts w:hint="eastAsia" w:ascii="Times New Roman" w:hAnsi="Times New Roman" w:cs="Times New Roman"/>
          <w:b/>
          <w:iCs/>
          <w:color w:val="auto"/>
          <w:w w:val="99"/>
          <w:kern w:val="2"/>
          <w:highlight w:val="none"/>
        </w:rPr>
        <w:t>“</w:t>
      </w:r>
      <w:r>
        <w:rPr>
          <w:rFonts w:ascii="Times New Roman" w:hAnsi="Times New Roman" w:cs="Times New Roman"/>
          <w:b/>
          <w:iCs/>
          <w:color w:val="auto"/>
          <w:w w:val="99"/>
          <w:kern w:val="2"/>
          <w:highlight w:val="none"/>
        </w:rPr>
        <w:t>自然资规〔2021〕2号</w:t>
      </w:r>
      <w:r>
        <w:rPr>
          <w:rFonts w:hint="eastAsia" w:ascii="Times New Roman" w:hAnsi="Times New Roman" w:cs="Times New Roman"/>
          <w:b/>
          <w:iCs/>
          <w:color w:val="auto"/>
          <w:w w:val="99"/>
          <w:kern w:val="2"/>
          <w:highlight w:val="none"/>
        </w:rPr>
        <w:t>”</w:t>
      </w:r>
      <w:r>
        <w:rPr>
          <w:rFonts w:ascii="Times New Roman" w:hAnsi="Times New Roman" w:cs="Times New Roman"/>
          <w:b/>
          <w:iCs/>
          <w:color w:val="auto"/>
          <w:w w:val="99"/>
          <w:kern w:val="2"/>
          <w:highlight w:val="none"/>
        </w:rPr>
        <w:t>相关要求符合性一览表</w:t>
      </w:r>
    </w:p>
    <w:tbl>
      <w:tblPr>
        <w:tblStyle w:val="8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3070"/>
        <w:gridCol w:w="4568"/>
        <w:gridCol w:w="939"/>
      </w:tblGrid>
      <w:tr w14:paraId="5B14F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7C1D60EF">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序号</w:t>
            </w:r>
          </w:p>
        </w:tc>
        <w:tc>
          <w:tcPr>
            <w:tcW w:w="1654" w:type="pct"/>
            <w:vAlign w:val="center"/>
          </w:tcPr>
          <w:p w14:paraId="0E1CA93D">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文件要求</w:t>
            </w:r>
          </w:p>
        </w:tc>
        <w:tc>
          <w:tcPr>
            <w:tcW w:w="2461" w:type="pct"/>
            <w:vAlign w:val="center"/>
          </w:tcPr>
          <w:p w14:paraId="7C9538BC">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符合性分析</w:t>
            </w:r>
          </w:p>
        </w:tc>
        <w:tc>
          <w:tcPr>
            <w:tcW w:w="506" w:type="pct"/>
            <w:vAlign w:val="center"/>
          </w:tcPr>
          <w:p w14:paraId="03AE919E">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符合性</w:t>
            </w:r>
          </w:p>
        </w:tc>
      </w:tr>
      <w:tr w14:paraId="5E01D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4F5537FB">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1</w:t>
            </w:r>
          </w:p>
        </w:tc>
        <w:tc>
          <w:tcPr>
            <w:tcW w:w="1654" w:type="pct"/>
            <w:vAlign w:val="center"/>
          </w:tcPr>
          <w:p w14:paraId="1351795E">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建设项目施工、地质勘查使用临时用地时应坚持“用多少、批多少、占多少、恢复多少”，尽量不占或者少占耕地。使用后土地复垦难度较大的临时用地，要严格控制占用耕地。</w:t>
            </w:r>
          </w:p>
        </w:tc>
        <w:tc>
          <w:tcPr>
            <w:tcW w:w="2461" w:type="pct"/>
            <w:vAlign w:val="center"/>
          </w:tcPr>
          <w:p w14:paraId="37A9D52E">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 xml:space="preserve">对永久占用 </w:t>
            </w:r>
            <w:r>
              <w:rPr>
                <w:rFonts w:hint="eastAsia" w:ascii="Times New Roman" w:hAnsi="Times New Roman" w:cs="Times New Roman"/>
                <w:iCs/>
                <w:color w:val="auto"/>
                <w:w w:val="99"/>
                <w:kern w:val="28"/>
                <w:sz w:val="21"/>
                <w:szCs w:val="21"/>
                <w:highlight w:val="none"/>
              </w:rPr>
              <w:t>0.0901</w:t>
            </w:r>
            <w:r>
              <w:rPr>
                <w:rFonts w:ascii="Times New Roman" w:hAnsi="Times New Roman" w:cs="Times New Roman"/>
                <w:iCs/>
                <w:color w:val="auto"/>
                <w:w w:val="99"/>
                <w:kern w:val="28"/>
                <w:sz w:val="21"/>
                <w:szCs w:val="21"/>
                <w:highlight w:val="none"/>
              </w:rPr>
              <w:t>hm</w:t>
            </w:r>
            <w:r>
              <w:rPr>
                <w:rFonts w:ascii="Times New Roman" w:hAnsi="Times New Roman" w:cs="Times New Roman"/>
                <w:iCs/>
                <w:color w:val="auto"/>
                <w:w w:val="99"/>
                <w:kern w:val="28"/>
                <w:sz w:val="21"/>
                <w:szCs w:val="21"/>
                <w:highlight w:val="none"/>
                <w:vertAlign w:val="superscript"/>
              </w:rPr>
              <w:t>2</w:t>
            </w:r>
            <w:r>
              <w:rPr>
                <w:rFonts w:ascii="Times New Roman" w:hAnsi="Times New Roman" w:cs="Times New Roman"/>
                <w:iCs/>
                <w:color w:val="auto"/>
                <w:w w:val="99"/>
                <w:kern w:val="28"/>
                <w:sz w:val="21"/>
                <w:szCs w:val="21"/>
                <w:highlight w:val="none"/>
              </w:rPr>
              <w:t>耕地（永久基本农田），按照“占一补一”原则进行占补平衡，由建设单位负责开垦与所占用耕地的数量和质量相当的耕地；如果没有条件开垦时，应当按照黑龙江省的规定缴纳耕地开垦费，专款用于开垦新的耕地。永久占用耕地的耕作层土壤集中堆放在施工井场或场站置土带区域，施工结束后用于</w:t>
            </w:r>
            <w:r>
              <w:rPr>
                <w:rFonts w:ascii="Times New Roman" w:hAnsi="Times New Roman" w:cs="Times New Roman"/>
                <w:bCs/>
                <w:iCs/>
                <w:color w:val="auto"/>
                <w:w w:val="99"/>
                <w:kern w:val="28"/>
                <w:sz w:val="21"/>
                <w:szCs w:val="21"/>
                <w:highlight w:val="none"/>
              </w:rPr>
              <w:t>周围区域土地复垦、土壤治理等用途</w:t>
            </w:r>
            <w:r>
              <w:rPr>
                <w:rFonts w:ascii="Times New Roman" w:hAnsi="Times New Roman" w:cs="Times New Roman"/>
                <w:iCs/>
                <w:color w:val="auto"/>
                <w:w w:val="99"/>
                <w:kern w:val="28"/>
                <w:sz w:val="21"/>
                <w:szCs w:val="21"/>
                <w:highlight w:val="none"/>
              </w:rPr>
              <w:t>。对于</w:t>
            </w:r>
            <w:r>
              <w:rPr>
                <w:rFonts w:hint="eastAsia" w:ascii="Times New Roman" w:hAnsi="Times New Roman" w:cs="Times New Roman"/>
                <w:iCs/>
                <w:color w:val="auto"/>
                <w:w w:val="99"/>
                <w:kern w:val="28"/>
                <w:sz w:val="21"/>
                <w:szCs w:val="21"/>
                <w:highlight w:val="none"/>
              </w:rPr>
              <w:t>1.9229</w:t>
            </w:r>
            <w:r>
              <w:rPr>
                <w:rFonts w:ascii="Times New Roman" w:hAnsi="Times New Roman" w:cs="Times New Roman"/>
                <w:iCs/>
                <w:color w:val="auto"/>
                <w:w w:val="99"/>
                <w:kern w:val="28"/>
                <w:sz w:val="21"/>
                <w:szCs w:val="21"/>
                <w:highlight w:val="none"/>
              </w:rPr>
              <w:t>hm</w:t>
            </w:r>
            <w:r>
              <w:rPr>
                <w:rFonts w:ascii="Times New Roman" w:hAnsi="Times New Roman" w:cs="Times New Roman"/>
                <w:iCs/>
                <w:color w:val="auto"/>
                <w:w w:val="99"/>
                <w:kern w:val="28"/>
                <w:sz w:val="21"/>
                <w:szCs w:val="21"/>
                <w:highlight w:val="none"/>
                <w:vertAlign w:val="superscript"/>
              </w:rPr>
              <w:t>2</w:t>
            </w:r>
            <w:r>
              <w:rPr>
                <w:rFonts w:ascii="Times New Roman" w:hAnsi="Times New Roman" w:cs="Times New Roman"/>
                <w:iCs/>
                <w:color w:val="auto"/>
                <w:w w:val="99"/>
                <w:kern w:val="28"/>
                <w:sz w:val="21"/>
                <w:szCs w:val="21"/>
                <w:highlight w:val="none"/>
              </w:rPr>
              <w:t>临时占地，施工前应剥离占地内的表土，</w:t>
            </w:r>
            <w:r>
              <w:rPr>
                <w:rFonts w:hint="eastAsia" w:ascii="Times New Roman" w:hAnsi="Times New Roman" w:cs="Times New Roman"/>
                <w:iCs/>
                <w:color w:val="auto"/>
                <w:w w:val="99"/>
                <w:kern w:val="28"/>
                <w:sz w:val="21"/>
                <w:szCs w:val="21"/>
                <w:highlight w:val="none"/>
              </w:rPr>
              <w:t>耕地剥离厚度</w:t>
            </w:r>
            <w:r>
              <w:rPr>
                <w:rFonts w:ascii="Times New Roman" w:hAnsi="Times New Roman" w:cs="Times New Roman"/>
                <w:iCs/>
                <w:color w:val="auto"/>
                <w:w w:val="99"/>
                <w:kern w:val="28"/>
                <w:sz w:val="21"/>
                <w:szCs w:val="21"/>
                <w:highlight w:val="none"/>
              </w:rPr>
              <w:t>0.3m，采用分层开挖，分层堆放，暂存于占地内的表土剥离临时堆放区，并采取苫布遮盖，表土剥离临时堆放区周围设置排水沟等措施防止水土流失，并定期采取洒水抑尘措施，剥离的表土在施工结束后分层回填，及时恢复地表植被，并采取补播措施，对占用农田全部恢复为等质等量面积的耕地。</w:t>
            </w:r>
          </w:p>
        </w:tc>
        <w:tc>
          <w:tcPr>
            <w:tcW w:w="506" w:type="pct"/>
            <w:vAlign w:val="center"/>
          </w:tcPr>
          <w:p w14:paraId="09640AE0">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7E1E8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080541C3">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2</w:t>
            </w:r>
          </w:p>
        </w:tc>
        <w:tc>
          <w:tcPr>
            <w:tcW w:w="1654" w:type="pct"/>
            <w:vAlign w:val="center"/>
          </w:tcPr>
          <w:p w14:paraId="4CB88964">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rPr>
              <w:t>制梁场、拌合站等难以恢复原种植条件的不得以临时用地方式占用耕地和永久基本农田，可以建设用地方式或者临时占用未利用地方式使用土地。</w:t>
            </w:r>
          </w:p>
        </w:tc>
        <w:tc>
          <w:tcPr>
            <w:tcW w:w="2461" w:type="pct"/>
            <w:vAlign w:val="center"/>
          </w:tcPr>
          <w:p w14:paraId="5E7B99F7">
            <w:pPr>
              <w:widowControl w:val="0"/>
              <w:adjustRightInd w:val="0"/>
              <w:snapToGrid w:val="0"/>
              <w:spacing w:line="360" w:lineRule="exact"/>
              <w:rPr>
                <w:rFonts w:ascii="Times New Roman" w:hAnsi="Times New Roman" w:cs="Times New Roman"/>
                <w:bCs/>
                <w:iCs/>
                <w:color w:val="auto"/>
                <w:w w:val="99"/>
                <w:kern w:val="28"/>
                <w:sz w:val="21"/>
                <w:szCs w:val="21"/>
                <w:highlight w:val="none"/>
              </w:rPr>
            </w:pPr>
            <w:r>
              <w:rPr>
                <w:rFonts w:ascii="Times New Roman" w:hAnsi="Times New Roman" w:cs="Times New Roman"/>
                <w:iCs/>
                <w:color w:val="auto"/>
                <w:w w:val="99"/>
                <w:kern w:val="28"/>
                <w:sz w:val="21"/>
                <w:szCs w:val="21"/>
                <w:highlight w:val="none"/>
              </w:rPr>
              <w:t>本项目不涉及建设</w:t>
            </w:r>
            <w:r>
              <w:rPr>
                <w:rFonts w:hint="eastAsia" w:ascii="Times New Roman" w:hAnsi="Times New Roman" w:cs="Times New Roman"/>
                <w:iCs/>
                <w:color w:val="auto"/>
                <w:w w:val="99"/>
                <w:kern w:val="28"/>
                <w:sz w:val="21"/>
                <w:szCs w:val="21"/>
                <w:highlight w:val="none"/>
              </w:rPr>
              <w:t>制梁场、拌合站、弃渣场等，项目固井采用外购的商品混凝土。本项目</w:t>
            </w:r>
            <w:r>
              <w:rPr>
                <w:rFonts w:ascii="Times New Roman" w:hAnsi="Times New Roman" w:cs="Times New Roman"/>
                <w:iCs/>
                <w:color w:val="auto"/>
                <w:w w:val="99"/>
                <w:kern w:val="28"/>
                <w:sz w:val="21"/>
                <w:szCs w:val="21"/>
                <w:highlight w:val="none"/>
              </w:rPr>
              <w:t>施工前应剥离占地内的表土，</w:t>
            </w:r>
            <w:r>
              <w:rPr>
                <w:rFonts w:hint="eastAsia" w:ascii="Times New Roman" w:hAnsi="Times New Roman" w:cs="Times New Roman"/>
                <w:iCs/>
                <w:color w:val="auto"/>
                <w:w w:val="99"/>
                <w:kern w:val="28"/>
                <w:sz w:val="21"/>
                <w:szCs w:val="21"/>
                <w:highlight w:val="none"/>
              </w:rPr>
              <w:t>耕地剥离厚度</w:t>
            </w:r>
            <w:r>
              <w:rPr>
                <w:rFonts w:ascii="Times New Roman" w:hAnsi="Times New Roman" w:cs="Times New Roman"/>
                <w:iCs/>
                <w:color w:val="auto"/>
                <w:w w:val="99"/>
                <w:kern w:val="28"/>
                <w:sz w:val="21"/>
                <w:szCs w:val="21"/>
                <w:highlight w:val="none"/>
              </w:rPr>
              <w:t>0.3m，采用分层开挖，分层堆放，暂存于占地内的表土剥离临时堆放区，并采取苫布遮盖，表土剥离临时堆放区周围设置排水沟等措施防止水土流失，并定期采取洒水抑尘措施，剥离的表土在施工结束后分层回填，及时恢复地表植被，并采取补播措施，对占用农田全部恢复为等质等量面积的耕地。</w:t>
            </w:r>
          </w:p>
        </w:tc>
        <w:tc>
          <w:tcPr>
            <w:tcW w:w="506" w:type="pct"/>
            <w:vAlign w:val="center"/>
          </w:tcPr>
          <w:p w14:paraId="46CE945D">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74C1C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737CD831">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2</w:t>
            </w:r>
          </w:p>
        </w:tc>
        <w:tc>
          <w:tcPr>
            <w:tcW w:w="1654" w:type="pct"/>
            <w:vAlign w:val="center"/>
          </w:tcPr>
          <w:p w14:paraId="177ED3E7">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临时用地使用期限一般不超过两年。建设周期较长的能源、交通、水利等基础设施建设项目施工使用的临时用地，期限不超过四年。</w:t>
            </w:r>
          </w:p>
        </w:tc>
        <w:tc>
          <w:tcPr>
            <w:tcW w:w="2461" w:type="pct"/>
            <w:vAlign w:val="center"/>
          </w:tcPr>
          <w:p w14:paraId="77940162">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ascii="Times New Roman" w:hAnsi="Times New Roman" w:cs="Times New Roman"/>
                <w:bCs/>
                <w:iCs/>
                <w:color w:val="auto"/>
                <w:w w:val="99"/>
                <w:kern w:val="28"/>
                <w:sz w:val="21"/>
                <w:szCs w:val="21"/>
                <w:highlight w:val="none"/>
              </w:rPr>
              <w:t>本项目为天然气开采</w:t>
            </w:r>
            <w:r>
              <w:rPr>
                <w:rFonts w:hint="eastAsia" w:ascii="Times New Roman" w:hAnsi="Times New Roman" w:cs="Times New Roman"/>
                <w:bCs/>
                <w:iCs/>
                <w:color w:val="auto"/>
                <w:w w:val="99"/>
                <w:kern w:val="28"/>
                <w:sz w:val="21"/>
                <w:szCs w:val="21"/>
                <w:highlight w:val="none"/>
              </w:rPr>
              <w:t>项目</w:t>
            </w:r>
            <w:r>
              <w:rPr>
                <w:rFonts w:ascii="Times New Roman" w:hAnsi="Times New Roman" w:cs="Times New Roman"/>
                <w:bCs/>
                <w:iCs/>
                <w:color w:val="auto"/>
                <w:w w:val="99"/>
                <w:kern w:val="28"/>
                <w:sz w:val="21"/>
                <w:szCs w:val="21"/>
                <w:highlight w:val="none"/>
              </w:rPr>
              <w:t>，</w:t>
            </w:r>
            <w:r>
              <w:rPr>
                <w:rFonts w:hint="eastAsia" w:ascii="Times New Roman" w:hAnsi="Times New Roman" w:cs="Times New Roman"/>
                <w:bCs/>
                <w:iCs/>
                <w:color w:val="auto"/>
                <w:w w:val="99"/>
                <w:kern w:val="28"/>
                <w:sz w:val="21"/>
                <w:szCs w:val="21"/>
                <w:highlight w:val="none"/>
              </w:rPr>
              <w:t>属于</w:t>
            </w:r>
            <w:r>
              <w:rPr>
                <w:rFonts w:ascii="Times New Roman" w:hAnsi="Times New Roman" w:cs="Times New Roman"/>
                <w:bCs/>
                <w:iCs/>
                <w:color w:val="auto"/>
                <w:w w:val="99"/>
                <w:kern w:val="28"/>
                <w:sz w:val="21"/>
                <w:szCs w:val="21"/>
                <w:highlight w:val="none"/>
              </w:rPr>
              <w:t>能源基础设施建设项目，本项目计划施工期不超过1年。</w:t>
            </w:r>
          </w:p>
        </w:tc>
        <w:tc>
          <w:tcPr>
            <w:tcW w:w="506" w:type="pct"/>
            <w:vAlign w:val="center"/>
          </w:tcPr>
          <w:p w14:paraId="0405FCD9">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78FEA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492A55A5">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3</w:t>
            </w:r>
          </w:p>
        </w:tc>
        <w:tc>
          <w:tcPr>
            <w:tcW w:w="1654" w:type="pct"/>
            <w:vAlign w:val="center"/>
          </w:tcPr>
          <w:p w14:paraId="7824845D">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严格落实临时用地恢复责任，临时用地期满后应当拆除临时建（构）筑物，使用耕地的应当复垦为耕地，确保耕地面积不减少、质量不降低；使用耕地以外的其他农用地的应当恢复为农用地；使用未利用地的，对于符合条件的鼓励复垦为耕地。</w:t>
            </w:r>
          </w:p>
        </w:tc>
        <w:tc>
          <w:tcPr>
            <w:tcW w:w="2461" w:type="pct"/>
            <w:vAlign w:val="center"/>
          </w:tcPr>
          <w:p w14:paraId="2BF6D36E">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本项目施工结束后拆除临时用地内临时建（构）筑物，并等质等量恢复临时占地内的耕地。</w:t>
            </w:r>
          </w:p>
        </w:tc>
        <w:tc>
          <w:tcPr>
            <w:tcW w:w="506" w:type="pct"/>
            <w:vAlign w:val="center"/>
          </w:tcPr>
          <w:p w14:paraId="3719EF50">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bl>
    <w:p w14:paraId="5D4FEE83">
      <w:pPr>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iCs/>
          <w:color w:val="auto"/>
          <w:w w:val="99"/>
          <w:kern w:val="2"/>
          <w:highlight w:val="none"/>
        </w:rPr>
        <w:t>根据以上分析，本项目符合《自然资源部关于规范临时用地管理的通知》（自然资规〔2021〕2号）中要求。</w:t>
      </w:r>
    </w:p>
    <w:p w14:paraId="5E7DEF2E">
      <w:pPr>
        <w:widowControl w:val="0"/>
        <w:spacing w:line="440" w:lineRule="exact"/>
        <w:jc w:val="both"/>
        <w:outlineLvl w:val="3"/>
        <w:rPr>
          <w:rFonts w:ascii="Times New Roman" w:hAnsi="Times New Roman" w:eastAsiaTheme="minorEastAsia"/>
          <w:b/>
          <w:color w:val="auto"/>
          <w:w w:val="99"/>
          <w:highlight w:val="none"/>
        </w:rPr>
      </w:pPr>
      <w:r>
        <w:rPr>
          <w:rFonts w:hint="eastAsia" w:ascii="Times New Roman" w:hAnsi="Times New Roman" w:eastAsiaTheme="minorEastAsia"/>
          <w:b/>
          <w:color w:val="auto"/>
          <w:w w:val="99"/>
          <w:highlight w:val="none"/>
        </w:rPr>
        <w:t>1.4.3.5与《永久基本农田保护红线管理办法》（2025年10月1日）符合性分析</w:t>
      </w:r>
    </w:p>
    <w:p w14:paraId="204D9E84">
      <w:pPr>
        <w:widowControl w:val="0"/>
        <w:spacing w:line="500" w:lineRule="exact"/>
        <w:ind w:firstLine="474" w:firstLineChars="200"/>
        <w:jc w:val="both"/>
        <w:rPr>
          <w:rFonts w:ascii="Times New Roman" w:hAnsi="Times New Roman" w:cs="Times New Roman" w:eastAsiaTheme="minorEastAsia"/>
          <w:color w:val="auto"/>
          <w:highlight w:val="none"/>
        </w:rPr>
      </w:pPr>
      <w:r>
        <w:rPr>
          <w:rFonts w:ascii="Times New Roman" w:hAnsi="Times New Roman" w:cs="Times New Roman" w:eastAsiaTheme="minorEastAsia"/>
          <w:color w:val="auto"/>
          <w:w w:val="99"/>
          <w:highlight w:val="none"/>
        </w:rPr>
        <w:t>本项</w:t>
      </w:r>
      <w:r>
        <w:rPr>
          <w:rFonts w:hint="eastAsia" w:ascii="Times New Roman" w:hAnsi="Times New Roman" w:cs="Times New Roman" w:eastAsiaTheme="minorEastAsia"/>
          <w:color w:val="auto"/>
          <w:w w:val="99"/>
          <w:highlight w:val="none"/>
        </w:rPr>
        <w:t>目与《永久基本农田保护红线管理办法》（2025年10月1日）相关要求符合性分析详见表</w:t>
      </w:r>
      <w:r>
        <w:rPr>
          <w:rFonts w:ascii="Times New Roman" w:hAnsi="Times New Roman" w:cs="Times New Roman" w:eastAsiaTheme="minorEastAsia"/>
          <w:color w:val="auto"/>
          <w:w w:val="99"/>
          <w:highlight w:val="none"/>
        </w:rPr>
        <w:t>1</w:t>
      </w:r>
      <w:r>
        <w:rPr>
          <w:rFonts w:hint="eastAsia" w:ascii="Times New Roman" w:hAnsi="Times New Roman" w:cs="Times New Roman" w:eastAsiaTheme="minorEastAsia"/>
          <w:color w:val="auto"/>
          <w:w w:val="99"/>
          <w:highlight w:val="none"/>
        </w:rPr>
        <w:t>.4</w:t>
      </w:r>
      <w:r>
        <w:rPr>
          <w:rFonts w:ascii="Times New Roman" w:hAnsi="Times New Roman" w:cs="Times New Roman" w:eastAsiaTheme="minorEastAsia"/>
          <w:color w:val="auto"/>
          <w:w w:val="99"/>
          <w:highlight w:val="none"/>
        </w:rPr>
        <w:t>-</w:t>
      </w:r>
      <w:r>
        <w:rPr>
          <w:rFonts w:hint="eastAsia" w:ascii="Times New Roman" w:hAnsi="Times New Roman" w:cs="Times New Roman" w:eastAsiaTheme="minorEastAsia"/>
          <w:color w:val="auto"/>
          <w:w w:val="99"/>
          <w:highlight w:val="none"/>
        </w:rPr>
        <w:t>6</w:t>
      </w:r>
      <w:r>
        <w:rPr>
          <w:rFonts w:ascii="Times New Roman" w:hAnsi="Times New Roman" w:cs="Times New Roman" w:eastAsiaTheme="minorEastAsia"/>
          <w:color w:val="auto"/>
          <w:w w:val="99"/>
          <w:highlight w:val="none"/>
        </w:rPr>
        <w:t>。</w:t>
      </w:r>
    </w:p>
    <w:p w14:paraId="5CC6E985">
      <w:pPr>
        <w:pStyle w:val="32"/>
        <w:spacing w:line="500" w:lineRule="exact"/>
        <w:jc w:val="center"/>
        <w:rPr>
          <w:rFonts w:ascii="Times New Roman" w:hAnsi="Times New Roman"/>
          <w:b/>
          <w:iCs/>
          <w:color w:val="auto"/>
          <w:w w:val="99"/>
          <w:szCs w:val="24"/>
          <w:highlight w:val="none"/>
        </w:rPr>
      </w:pPr>
      <w:r>
        <w:rPr>
          <w:rFonts w:ascii="Times New Roman" w:hAnsi="Times New Roman" w:eastAsiaTheme="minorEastAsia"/>
          <w:b/>
          <w:bCs/>
          <w:color w:val="auto"/>
          <w:kern w:val="21"/>
          <w:szCs w:val="20"/>
          <w:highlight w:val="none"/>
        </w:rPr>
        <w:t>表1.</w:t>
      </w:r>
      <w:r>
        <w:rPr>
          <w:rFonts w:hint="eastAsia" w:ascii="Times New Roman" w:hAnsi="Times New Roman" w:eastAsiaTheme="minorEastAsia"/>
          <w:b/>
          <w:bCs/>
          <w:color w:val="auto"/>
          <w:kern w:val="21"/>
          <w:szCs w:val="20"/>
          <w:highlight w:val="none"/>
        </w:rPr>
        <w:t>4</w:t>
      </w:r>
      <w:r>
        <w:rPr>
          <w:rFonts w:ascii="Times New Roman" w:hAnsi="Times New Roman" w:eastAsiaTheme="minorEastAsia"/>
          <w:b/>
          <w:bCs/>
          <w:color w:val="auto"/>
          <w:kern w:val="21"/>
          <w:szCs w:val="20"/>
          <w:highlight w:val="none"/>
        </w:rPr>
        <w:t>-</w:t>
      </w:r>
      <w:r>
        <w:rPr>
          <w:rFonts w:hint="eastAsia" w:ascii="Times New Roman" w:hAnsi="Times New Roman" w:eastAsiaTheme="minorEastAsia"/>
          <w:b/>
          <w:bCs/>
          <w:color w:val="auto"/>
          <w:kern w:val="21"/>
          <w:szCs w:val="20"/>
          <w:highlight w:val="none"/>
        </w:rPr>
        <w:t>6</w:t>
      </w:r>
      <w:r>
        <w:rPr>
          <w:rFonts w:ascii="Times New Roman" w:hAnsi="Times New Roman" w:eastAsiaTheme="minorEastAsia"/>
          <w:b/>
          <w:bCs/>
          <w:color w:val="auto"/>
          <w:kern w:val="21"/>
          <w:szCs w:val="20"/>
          <w:highlight w:val="none"/>
        </w:rPr>
        <w:t xml:space="preserve">   </w:t>
      </w:r>
      <w:r>
        <w:rPr>
          <w:rFonts w:ascii="Times New Roman" w:hAnsi="Times New Roman"/>
          <w:b/>
          <w:iCs/>
          <w:color w:val="auto"/>
          <w:w w:val="99"/>
          <w:szCs w:val="24"/>
          <w:highlight w:val="none"/>
        </w:rPr>
        <w:t xml:space="preserve"> 本项目与</w:t>
      </w:r>
      <w:r>
        <w:rPr>
          <w:rFonts w:hint="eastAsia" w:ascii="Times New Roman" w:hAnsi="Times New Roman"/>
          <w:b/>
          <w:iCs/>
          <w:color w:val="auto"/>
          <w:w w:val="99"/>
          <w:szCs w:val="24"/>
          <w:highlight w:val="none"/>
        </w:rPr>
        <w:t>《永久基本农田保护红线管理办法》</w:t>
      </w:r>
      <w:r>
        <w:rPr>
          <w:rFonts w:ascii="Times New Roman" w:hAnsi="Times New Roman"/>
          <w:b/>
          <w:iCs/>
          <w:color w:val="auto"/>
          <w:w w:val="99"/>
          <w:szCs w:val="24"/>
          <w:highlight w:val="none"/>
        </w:rPr>
        <w:t>符合性分析</w:t>
      </w:r>
    </w:p>
    <w:tbl>
      <w:tblPr>
        <w:tblStyle w:val="81"/>
        <w:tblW w:w="5000" w:type="pct"/>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747"/>
        <w:gridCol w:w="2938"/>
        <w:gridCol w:w="4547"/>
        <w:gridCol w:w="1054"/>
      </w:tblGrid>
      <w:tr w14:paraId="00EFA9BE">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742" w:type="dxa"/>
            <w:vAlign w:val="center"/>
          </w:tcPr>
          <w:p w14:paraId="55F97CAA">
            <w:pPr>
              <w:pStyle w:val="157"/>
              <w:widowControl w:val="0"/>
              <w:kinsoku w:val="0"/>
              <w:overflowPunct w:val="0"/>
              <w:spacing w:line="360" w:lineRule="exact"/>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序号</w:t>
            </w:r>
          </w:p>
        </w:tc>
        <w:tc>
          <w:tcPr>
            <w:tcW w:w="2940" w:type="dxa"/>
            <w:vAlign w:val="center"/>
          </w:tcPr>
          <w:p w14:paraId="5F306E6E">
            <w:pPr>
              <w:pStyle w:val="157"/>
              <w:widowControl w:val="0"/>
              <w:kinsoku w:val="0"/>
              <w:overflowPunct w:val="0"/>
              <w:spacing w:line="360" w:lineRule="exact"/>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相关要求</w:t>
            </w:r>
          </w:p>
        </w:tc>
        <w:tc>
          <w:tcPr>
            <w:tcW w:w="4553" w:type="dxa"/>
            <w:vAlign w:val="center"/>
          </w:tcPr>
          <w:p w14:paraId="600968A5">
            <w:pPr>
              <w:pStyle w:val="157"/>
              <w:widowControl w:val="0"/>
              <w:kinsoku w:val="0"/>
              <w:overflowPunct w:val="0"/>
              <w:spacing w:line="360" w:lineRule="exact"/>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符合性分析</w:t>
            </w:r>
          </w:p>
        </w:tc>
        <w:tc>
          <w:tcPr>
            <w:tcW w:w="1051" w:type="dxa"/>
            <w:vAlign w:val="center"/>
          </w:tcPr>
          <w:p w14:paraId="6400775A">
            <w:pPr>
              <w:pStyle w:val="157"/>
              <w:widowControl w:val="0"/>
              <w:kinsoku w:val="0"/>
              <w:overflowPunct w:val="0"/>
              <w:spacing w:line="360" w:lineRule="exact"/>
              <w:rPr>
                <w:rFonts w:ascii="Times New Roman" w:hAnsi="Times New Roman" w:eastAsiaTheme="minorEastAsia"/>
                <w:color w:val="auto"/>
                <w:w w:val="99"/>
                <w:szCs w:val="21"/>
                <w:highlight w:val="none"/>
                <w:lang w:val="en-US"/>
              </w:rPr>
            </w:pPr>
            <w:r>
              <w:rPr>
                <w:rFonts w:hint="eastAsia" w:ascii="Times New Roman" w:hAnsi="Times New Roman" w:eastAsiaTheme="minorEastAsia"/>
                <w:color w:val="auto"/>
                <w:w w:val="99"/>
                <w:szCs w:val="21"/>
                <w:highlight w:val="none"/>
                <w:lang w:val="en-US"/>
              </w:rPr>
              <w:t>符合性</w:t>
            </w:r>
          </w:p>
        </w:tc>
      </w:tr>
      <w:tr w14:paraId="4F7FB52D">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742" w:type="dxa"/>
            <w:vAlign w:val="center"/>
          </w:tcPr>
          <w:p w14:paraId="054F7CAC">
            <w:pPr>
              <w:pStyle w:val="157"/>
              <w:widowControl w:val="0"/>
              <w:kinsoku w:val="0"/>
              <w:overflowPunct w:val="0"/>
              <w:spacing w:line="360" w:lineRule="exact"/>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1</w:t>
            </w:r>
          </w:p>
        </w:tc>
        <w:tc>
          <w:tcPr>
            <w:tcW w:w="2940" w:type="dxa"/>
            <w:vAlign w:val="center"/>
          </w:tcPr>
          <w:p w14:paraId="556E9120">
            <w:pPr>
              <w:pStyle w:val="157"/>
              <w:widowControl w:val="0"/>
              <w:kinsoku w:val="0"/>
              <w:overflowPunct w:val="0"/>
              <w:spacing w:line="360" w:lineRule="exact"/>
              <w:jc w:val="left"/>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第四条</w:t>
            </w:r>
            <w:r>
              <w:rPr>
                <w:rFonts w:hint="eastAsia" w:ascii="Times New Roman" w:hAnsi="Times New Roman" w:eastAsiaTheme="minorEastAsia"/>
                <w:color w:val="auto"/>
                <w:w w:val="99"/>
                <w:szCs w:val="21"/>
                <w:highlight w:val="none"/>
                <w:lang w:val="en-US"/>
              </w:rPr>
              <w:t>永久基本农田划定落实到具体地块，并向社会公告。永久基本农田划定后，任何单位和个人不得擅自调整、占用或者改变用途。</w:t>
            </w:r>
          </w:p>
        </w:tc>
        <w:tc>
          <w:tcPr>
            <w:tcW w:w="4553" w:type="dxa"/>
            <w:vAlign w:val="center"/>
          </w:tcPr>
          <w:p w14:paraId="0DC25845">
            <w:pPr>
              <w:pStyle w:val="157"/>
              <w:widowControl w:val="0"/>
              <w:kinsoku w:val="0"/>
              <w:overflowPunct w:val="0"/>
              <w:spacing w:line="360" w:lineRule="exact"/>
              <w:jc w:val="left"/>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本项目</w:t>
            </w:r>
            <w:r>
              <w:rPr>
                <w:rFonts w:hint="eastAsia" w:ascii="Times New Roman" w:hAnsi="Times New Roman"/>
                <w:iCs/>
                <w:color w:val="auto"/>
                <w:w w:val="99"/>
                <w:highlight w:val="none"/>
                <w:lang w:val="en-US"/>
              </w:rPr>
              <w:t>气田</w:t>
            </w:r>
            <w:r>
              <w:rPr>
                <w:rFonts w:ascii="Times New Roman" w:hAnsi="Times New Roman"/>
                <w:iCs/>
                <w:color w:val="auto"/>
                <w:w w:val="99"/>
                <w:highlight w:val="none"/>
              </w:rPr>
              <w:t>开发工程占地完全避开永久基本农田的可能性较低，在不可避免的条件下需占用永久基本农田时，施工完毕后1年内，临时占地全部恢复原有植被类型，即占用农田全部恢复为耕地。临时占地恢复也可在征地过程中给予农民一定的费用补偿，由农民自行进行土地恢复。本项目井场及道路工程永久占用永久基本农田面积共</w:t>
            </w:r>
            <w:r>
              <w:rPr>
                <w:rFonts w:hint="eastAsia" w:ascii="Times New Roman" w:hAnsi="Times New Roman"/>
                <w:iCs/>
                <w:color w:val="auto"/>
                <w:w w:val="99"/>
                <w:highlight w:val="none"/>
                <w:lang w:val="en-US"/>
              </w:rPr>
              <w:t>0.0901</w:t>
            </w:r>
            <w:r>
              <w:rPr>
                <w:rFonts w:ascii="Times New Roman" w:hAnsi="Times New Roman"/>
                <w:iCs/>
                <w:color w:val="auto"/>
                <w:w w:val="99"/>
                <w:highlight w:val="none"/>
              </w:rPr>
              <w:t>hm</w:t>
            </w:r>
            <w:r>
              <w:rPr>
                <w:rFonts w:ascii="Times New Roman" w:hAnsi="Times New Roman"/>
                <w:iCs/>
                <w:color w:val="auto"/>
                <w:w w:val="99"/>
                <w:highlight w:val="none"/>
                <w:vertAlign w:val="superscript"/>
              </w:rPr>
              <w:t>2</w:t>
            </w:r>
            <w:r>
              <w:rPr>
                <w:rFonts w:ascii="Times New Roman" w:hAnsi="Times New Roman"/>
                <w:iCs/>
                <w:color w:val="auto"/>
                <w:w w:val="99"/>
                <w:highlight w:val="none"/>
              </w:rPr>
              <w:t>，应按照《中华人民共和国土地管理法》（</w:t>
            </w:r>
            <w:r>
              <w:rPr>
                <w:rFonts w:hint="eastAsia" w:ascii="Times New Roman" w:hAnsi="Times New Roman"/>
                <w:iCs/>
                <w:color w:val="auto"/>
                <w:w w:val="99"/>
                <w:highlight w:val="none"/>
              </w:rPr>
              <w:t>主席令〔</w:t>
            </w:r>
            <w:r>
              <w:rPr>
                <w:rFonts w:ascii="Times New Roman" w:hAnsi="Times New Roman"/>
                <w:iCs/>
                <w:color w:val="auto"/>
                <w:w w:val="99"/>
                <w:highlight w:val="none"/>
              </w:rPr>
              <w:t>2019〕第32号〔2019年修正本〕）中 “占一补一”原则进行占补平衡，由建设单位负责开垦补充数量和质量相当的永久基本农田；如果没有条件开垦时，应当按照黑龙江省的规定缴纳耕地开垦费，专款用于开垦新的耕地。永久占用耕地的耕作层土壤集中堆放在施工井场或场站置土带区域，施工结束后用于</w:t>
            </w:r>
            <w:r>
              <w:rPr>
                <w:rFonts w:ascii="Times New Roman" w:hAnsi="Times New Roman"/>
                <w:bCs/>
                <w:iCs/>
                <w:color w:val="auto"/>
                <w:w w:val="99"/>
                <w:highlight w:val="none"/>
              </w:rPr>
              <w:t>周围区域土地复垦、土壤治理等用</w:t>
            </w:r>
            <w:r>
              <w:rPr>
                <w:rFonts w:hint="eastAsia" w:ascii="Times New Roman" w:hAnsi="Times New Roman" w:eastAsiaTheme="minorEastAsia"/>
                <w:color w:val="auto"/>
                <w:w w:val="99"/>
                <w:szCs w:val="21"/>
                <w:highlight w:val="none"/>
              </w:rPr>
              <w:t>。</w:t>
            </w:r>
          </w:p>
        </w:tc>
        <w:tc>
          <w:tcPr>
            <w:tcW w:w="1051" w:type="dxa"/>
            <w:vAlign w:val="center"/>
          </w:tcPr>
          <w:p w14:paraId="73C108E9">
            <w:pPr>
              <w:pStyle w:val="157"/>
              <w:widowControl w:val="0"/>
              <w:kinsoku w:val="0"/>
              <w:overflowPunct w:val="0"/>
              <w:spacing w:line="360" w:lineRule="exact"/>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符合</w:t>
            </w:r>
          </w:p>
        </w:tc>
      </w:tr>
      <w:tr w14:paraId="339FF879">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42" w:type="dxa"/>
            <w:vAlign w:val="center"/>
          </w:tcPr>
          <w:p w14:paraId="715653CA">
            <w:pPr>
              <w:pStyle w:val="157"/>
              <w:widowControl w:val="0"/>
              <w:kinsoku w:val="0"/>
              <w:overflowPunct w:val="0"/>
              <w:spacing w:line="360" w:lineRule="exact"/>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2</w:t>
            </w:r>
          </w:p>
        </w:tc>
        <w:tc>
          <w:tcPr>
            <w:tcW w:w="2940" w:type="dxa"/>
            <w:vAlign w:val="center"/>
          </w:tcPr>
          <w:p w14:paraId="17D9616C">
            <w:pPr>
              <w:pStyle w:val="157"/>
              <w:widowControl w:val="0"/>
              <w:kinsoku w:val="0"/>
              <w:overflowPunct w:val="0"/>
              <w:spacing w:line="360" w:lineRule="exact"/>
              <w:jc w:val="left"/>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 第</w:t>
            </w:r>
            <w:r>
              <w:rPr>
                <w:rFonts w:hint="eastAsia" w:ascii="Times New Roman" w:hAnsi="Times New Roman" w:eastAsiaTheme="minorEastAsia"/>
                <w:color w:val="auto"/>
                <w:w w:val="99"/>
                <w:szCs w:val="21"/>
                <w:highlight w:val="none"/>
                <w:lang w:val="en-US"/>
              </w:rPr>
              <w:t>二十</w:t>
            </w:r>
            <w:r>
              <w:rPr>
                <w:rFonts w:hint="eastAsia" w:ascii="Times New Roman" w:hAnsi="Times New Roman" w:eastAsiaTheme="minorEastAsia"/>
                <w:color w:val="auto"/>
                <w:w w:val="99"/>
                <w:szCs w:val="21"/>
                <w:highlight w:val="none"/>
              </w:rPr>
              <w:t>条</w:t>
            </w:r>
            <w:r>
              <w:rPr>
                <w:rFonts w:hint="eastAsia" w:ascii="Times New Roman" w:hAnsi="Times New Roman" w:eastAsiaTheme="minorEastAsia"/>
                <w:color w:val="auto"/>
                <w:w w:val="99"/>
                <w:szCs w:val="21"/>
                <w:highlight w:val="none"/>
                <w:lang w:val="en-US"/>
              </w:rPr>
              <w:t xml:space="preserve">有下列情形之一，确实难以避让永久基本农田保护红线的，应当坚持节约集约原则，依法由国务院批准，办理农用地转用审批手续：（一）党中央、国务院明确支持的重大建设项目，中央军委及其有关部门批准的军事国防类项目，经国务院批准确需就地建设的遗址保护项目； </w:t>
            </w:r>
          </w:p>
          <w:p w14:paraId="097B3B96">
            <w:pPr>
              <w:pStyle w:val="157"/>
              <w:widowControl w:val="0"/>
              <w:kinsoku w:val="0"/>
              <w:overflowPunct w:val="0"/>
              <w:spacing w:line="360" w:lineRule="exact"/>
              <w:jc w:val="left"/>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lang w:val="en-US"/>
              </w:rPr>
              <w:t xml:space="preserve">（二）按程序纳入国务院投资主管部门重大项目清单的用地项目，纳入国务院审批国土空间规划的机场、铁路、公路、水运、能源、水利等基础设施项目； </w:t>
            </w:r>
          </w:p>
          <w:p w14:paraId="57A9AAAE">
            <w:pPr>
              <w:pStyle w:val="157"/>
              <w:widowControl w:val="0"/>
              <w:kinsoku w:val="0"/>
              <w:overflowPunct w:val="0"/>
              <w:spacing w:line="360" w:lineRule="exact"/>
              <w:jc w:val="left"/>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lang w:val="en-US"/>
              </w:rPr>
              <w:t xml:space="preserve"> （三）法律、行政法规以及国务院自然资源主管部门规定的其他情形。</w:t>
            </w:r>
          </w:p>
        </w:tc>
        <w:tc>
          <w:tcPr>
            <w:tcW w:w="4553" w:type="dxa"/>
            <w:vAlign w:val="center"/>
          </w:tcPr>
          <w:p w14:paraId="2305B01A">
            <w:pPr>
              <w:widowControl w:val="0"/>
              <w:spacing w:line="360" w:lineRule="exact"/>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本工程位于黑龙江省大庆市肇东市境内，共涉及永久占用基本农田为0.0901hm</w:t>
            </w:r>
            <w:r>
              <w:rPr>
                <w:rFonts w:hint="eastAsia" w:ascii="Times New Roman" w:hAnsi="Times New Roman" w:cs="Times New Roman" w:eastAsiaTheme="minorEastAsia"/>
                <w:snapToGrid w:val="0"/>
                <w:color w:val="auto"/>
                <w:w w:val="99"/>
                <w:sz w:val="21"/>
                <w:szCs w:val="21"/>
                <w:highlight w:val="none"/>
                <w:vertAlign w:val="superscript"/>
              </w:rPr>
              <w:t>2</w:t>
            </w:r>
            <w:r>
              <w:rPr>
                <w:rFonts w:hint="eastAsia" w:ascii="Times New Roman" w:hAnsi="Times New Roman" w:cs="Times New Roman" w:eastAsiaTheme="minorEastAsia"/>
                <w:snapToGrid w:val="0"/>
                <w:color w:val="auto"/>
                <w:w w:val="99"/>
                <w:sz w:val="21"/>
                <w:szCs w:val="21"/>
                <w:highlight w:val="none"/>
              </w:rPr>
              <w:t>，临时占用基本农田为1.9229hm</w:t>
            </w:r>
            <w:r>
              <w:rPr>
                <w:rFonts w:hint="eastAsia" w:ascii="Times New Roman" w:hAnsi="Times New Roman" w:cs="Times New Roman" w:eastAsiaTheme="minorEastAsia"/>
                <w:snapToGrid w:val="0"/>
                <w:color w:val="auto"/>
                <w:w w:val="99"/>
                <w:sz w:val="21"/>
                <w:szCs w:val="21"/>
                <w:highlight w:val="none"/>
                <w:vertAlign w:val="superscript"/>
              </w:rPr>
              <w:t>2</w:t>
            </w:r>
            <w:r>
              <w:rPr>
                <w:rFonts w:hint="eastAsia" w:ascii="Times New Roman" w:hAnsi="Times New Roman" w:cs="Times New Roman" w:eastAsiaTheme="minorEastAsia"/>
                <w:snapToGrid w:val="0"/>
                <w:color w:val="auto"/>
                <w:w w:val="99"/>
                <w:sz w:val="21"/>
                <w:szCs w:val="21"/>
                <w:highlight w:val="none"/>
              </w:rPr>
              <w:t>，基本农田征地工作相关流程如下：</w:t>
            </w:r>
          </w:p>
          <w:p w14:paraId="2C419596">
            <w:pPr>
              <w:widowControl w:val="0"/>
              <w:spacing w:line="360" w:lineRule="exact"/>
              <w:rPr>
                <w:rFonts w:ascii="Times New Roman" w:hAnsi="Times New Roman" w:cs="Times New Roman" w:eastAsiaTheme="minorEastAsia"/>
                <w:snapToGrid w:val="0"/>
                <w:color w:val="auto"/>
                <w:w w:val="99"/>
                <w:sz w:val="21"/>
                <w:szCs w:val="21"/>
                <w:highlight w:val="none"/>
              </w:rPr>
            </w:pPr>
            <w:r>
              <w:rPr>
                <w:rFonts w:hint="eastAsia"/>
                <w:snapToGrid w:val="0"/>
                <w:color w:val="auto"/>
                <w:w w:val="99"/>
                <w:sz w:val="21"/>
                <w:szCs w:val="21"/>
                <w:highlight w:val="none"/>
              </w:rPr>
              <w:t>①</w:t>
            </w:r>
            <w:r>
              <w:rPr>
                <w:rFonts w:hint="eastAsia" w:ascii="Times New Roman" w:hAnsi="Times New Roman" w:cs="Times New Roman" w:eastAsiaTheme="minorEastAsia"/>
                <w:snapToGrid w:val="0"/>
                <w:color w:val="auto"/>
                <w:w w:val="99"/>
                <w:sz w:val="21"/>
                <w:szCs w:val="21"/>
                <w:highlight w:val="none"/>
              </w:rPr>
              <w:t>建设单位组织临时用地申请材料。采气分公司依据项目设计资料、投资计划等基础资料，核实项目用地范围、面积、类型，准备临时用地申请、平面布置图、占地现状图、临时使用土地合同、土地复垦方案等相关材料。</w:t>
            </w:r>
          </w:p>
          <w:p w14:paraId="6B14618C">
            <w:pPr>
              <w:widowControl w:val="0"/>
              <w:spacing w:line="360" w:lineRule="exact"/>
              <w:rPr>
                <w:rFonts w:ascii="Times New Roman" w:hAnsi="Times New Roman" w:cs="Times New Roman" w:eastAsiaTheme="minorEastAsia"/>
                <w:snapToGrid w:val="0"/>
                <w:color w:val="auto"/>
                <w:w w:val="99"/>
                <w:sz w:val="21"/>
                <w:szCs w:val="21"/>
                <w:highlight w:val="none"/>
              </w:rPr>
            </w:pPr>
            <w:r>
              <w:rPr>
                <w:rFonts w:hint="eastAsia"/>
                <w:snapToGrid w:val="0"/>
                <w:color w:val="auto"/>
                <w:w w:val="99"/>
                <w:sz w:val="21"/>
                <w:szCs w:val="21"/>
                <w:highlight w:val="none"/>
              </w:rPr>
              <w:t>②</w:t>
            </w:r>
            <w:r>
              <w:rPr>
                <w:rFonts w:hint="eastAsia" w:ascii="Times New Roman" w:hAnsi="Times New Roman" w:cs="Times New Roman" w:eastAsiaTheme="minorEastAsia"/>
                <w:snapToGrid w:val="0"/>
                <w:color w:val="auto"/>
                <w:w w:val="99"/>
                <w:sz w:val="21"/>
                <w:szCs w:val="21"/>
                <w:highlight w:val="none"/>
              </w:rPr>
              <w:t>肇东市自然资源部门初审。肇东市自然资源部门组织对建设单位提交的临时用地申请资料进行初审，开展实地探勘核验，审查同意的出具审查意见。</w:t>
            </w:r>
          </w:p>
          <w:p w14:paraId="07EF31B2">
            <w:pPr>
              <w:pStyle w:val="157"/>
              <w:widowControl w:val="0"/>
              <w:kinsoku w:val="0"/>
              <w:overflowPunct w:val="0"/>
              <w:spacing w:line="360" w:lineRule="exact"/>
              <w:jc w:val="left"/>
              <w:rPr>
                <w:rFonts w:ascii="Times New Roman" w:hAnsi="Times New Roman" w:eastAsiaTheme="minorEastAsia"/>
                <w:color w:val="auto"/>
                <w:w w:val="99"/>
                <w:szCs w:val="21"/>
                <w:highlight w:val="none"/>
                <w:lang w:val="en-US"/>
              </w:rPr>
            </w:pPr>
            <w:r>
              <w:rPr>
                <w:rFonts w:hint="eastAsia" w:ascii="宋体" w:hAnsi="宋体" w:cs="宋体"/>
                <w:snapToGrid w:val="0"/>
                <w:color w:val="auto"/>
                <w:w w:val="99"/>
                <w:szCs w:val="21"/>
                <w:highlight w:val="none"/>
                <w:lang w:val="en-US"/>
              </w:rPr>
              <w:t>③绥化市</w:t>
            </w:r>
            <w:r>
              <w:rPr>
                <w:rFonts w:hint="eastAsia" w:ascii="Times New Roman" w:hAnsi="Times New Roman" w:eastAsiaTheme="minorEastAsia"/>
                <w:snapToGrid w:val="0"/>
                <w:color w:val="auto"/>
                <w:w w:val="99"/>
                <w:szCs w:val="21"/>
                <w:highlight w:val="none"/>
                <w:lang w:val="en-US"/>
              </w:rPr>
              <w:t>自然资源局审批。</w:t>
            </w:r>
            <w:r>
              <w:rPr>
                <w:rFonts w:hint="eastAsia" w:ascii="宋体" w:hAnsi="宋体" w:cs="宋体"/>
                <w:snapToGrid w:val="0"/>
                <w:color w:val="auto"/>
                <w:w w:val="99"/>
                <w:szCs w:val="21"/>
                <w:highlight w:val="none"/>
                <w:lang w:val="en-US"/>
              </w:rPr>
              <w:t>绥化市</w:t>
            </w:r>
            <w:r>
              <w:rPr>
                <w:rFonts w:hint="eastAsia" w:ascii="Times New Roman" w:hAnsi="Times New Roman" w:eastAsiaTheme="minorEastAsia"/>
                <w:snapToGrid w:val="0"/>
                <w:color w:val="auto"/>
                <w:w w:val="99"/>
                <w:szCs w:val="21"/>
                <w:highlight w:val="none"/>
                <w:lang w:val="en-US"/>
              </w:rPr>
              <w:t>自然资源局组织审查肇东市自然资源部门提交的临时用地申请是否已完成初审、是否符合相关要求，对满足要求的用地申请组织审批，下发临时用地批复文件。具体见8.3小节。</w:t>
            </w:r>
          </w:p>
        </w:tc>
        <w:tc>
          <w:tcPr>
            <w:tcW w:w="1051" w:type="dxa"/>
            <w:vAlign w:val="center"/>
          </w:tcPr>
          <w:p w14:paraId="7E523AA0">
            <w:pPr>
              <w:pStyle w:val="157"/>
              <w:widowControl w:val="0"/>
              <w:kinsoku w:val="0"/>
              <w:overflowPunct w:val="0"/>
              <w:spacing w:line="360" w:lineRule="exact"/>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符合</w:t>
            </w:r>
          </w:p>
        </w:tc>
      </w:tr>
    </w:tbl>
    <w:p w14:paraId="1B0C069C">
      <w:pPr>
        <w:pStyle w:val="102"/>
        <w:rPr>
          <w:rFonts w:hint="default"/>
          <w:color w:val="auto"/>
          <w:highlight w:val="none"/>
        </w:rPr>
      </w:pPr>
    </w:p>
    <w:p w14:paraId="3766618B">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1.4.3.</w:t>
      </w:r>
      <w:r>
        <w:rPr>
          <w:rFonts w:hint="eastAsia" w:ascii="Times New Roman" w:hAnsi="Times New Roman" w:eastAsiaTheme="minorEastAsia"/>
          <w:b/>
          <w:color w:val="auto"/>
          <w:w w:val="99"/>
          <w:highlight w:val="none"/>
        </w:rPr>
        <w:t>6</w:t>
      </w:r>
      <w:r>
        <w:rPr>
          <w:rFonts w:ascii="Times New Roman" w:hAnsi="Times New Roman" w:eastAsiaTheme="minorEastAsia"/>
          <w:b/>
          <w:color w:val="auto"/>
          <w:w w:val="99"/>
          <w:highlight w:val="none"/>
        </w:rPr>
        <w:t>与《基本农田保护条例》（</w:t>
      </w:r>
      <w:r>
        <w:rPr>
          <w:rFonts w:hint="eastAsia" w:ascii="Times New Roman" w:hAnsi="Times New Roman" w:eastAsiaTheme="minorEastAsia"/>
          <w:b/>
          <w:color w:val="auto"/>
          <w:w w:val="99"/>
          <w:highlight w:val="none"/>
        </w:rPr>
        <w:t>国务院令第</w:t>
      </w:r>
      <w:r>
        <w:rPr>
          <w:rFonts w:ascii="Times New Roman" w:hAnsi="Times New Roman" w:eastAsiaTheme="minorEastAsia"/>
          <w:b/>
          <w:color w:val="auto"/>
          <w:w w:val="99"/>
          <w:highlight w:val="none"/>
        </w:rPr>
        <w:t>257号）符合性判定</w:t>
      </w:r>
    </w:p>
    <w:p w14:paraId="6DB8E749">
      <w:pPr>
        <w:widowControl w:val="0"/>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iCs/>
          <w:color w:val="auto"/>
          <w:w w:val="99"/>
          <w:kern w:val="2"/>
          <w:highlight w:val="none"/>
        </w:rPr>
        <w:t>根据《基本农田保护条例》</w:t>
      </w:r>
      <w:r>
        <w:rPr>
          <w:rFonts w:hint="eastAsia" w:ascii="Times New Roman" w:hAnsi="Times New Roman" w:cs="Times New Roman"/>
          <w:iCs/>
          <w:color w:val="auto"/>
          <w:w w:val="99"/>
          <w:kern w:val="2"/>
          <w:highlight w:val="none"/>
        </w:rPr>
        <w:t>（国务院令第</w:t>
      </w:r>
      <w:r>
        <w:rPr>
          <w:rFonts w:ascii="Times New Roman" w:hAnsi="Times New Roman" w:cs="Times New Roman"/>
          <w:iCs/>
          <w:color w:val="auto"/>
          <w:w w:val="99"/>
          <w:kern w:val="2"/>
          <w:highlight w:val="none"/>
        </w:rPr>
        <w:t>257号），国家能源、交通、水利、军事设施等重点建设项目选址确实无法避开永久基本农田保护区，需要占用永久基本农田，涉及农用地转用或者征收土地的，应报请相关主管部门同意，并补充划入数量和质量相当的永久基本农田或按规定缴纳耕地开垦费，专款用于开垦新的耕地。</w:t>
      </w:r>
    </w:p>
    <w:p w14:paraId="698DDAE5">
      <w:pPr>
        <w:widowControl w:val="0"/>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bCs/>
          <w:iCs/>
          <w:color w:val="auto"/>
          <w:w w:val="99"/>
          <w:kern w:val="2"/>
          <w:highlight w:val="none"/>
        </w:rPr>
        <w:t>本项目按照“先临时、后永久”的政策，临时用地结束后，办理永久用地审批。</w:t>
      </w:r>
      <w:r>
        <w:rPr>
          <w:rFonts w:hint="eastAsia" w:ascii="Times New Roman" w:hAnsi="Times New Roman" w:cs="Times New Roman"/>
          <w:bCs/>
          <w:iCs/>
          <w:color w:val="auto"/>
          <w:w w:val="99"/>
          <w:kern w:val="2"/>
          <w:highlight w:val="none"/>
        </w:rPr>
        <w:t>大庆油田有限责任公司采气分公司</w:t>
      </w:r>
      <w:r>
        <w:rPr>
          <w:rFonts w:ascii="Times New Roman" w:hAnsi="Times New Roman" w:cs="Times New Roman"/>
          <w:bCs/>
          <w:iCs/>
          <w:color w:val="auto"/>
          <w:w w:val="99"/>
          <w:kern w:val="2"/>
          <w:highlight w:val="none"/>
        </w:rPr>
        <w:t>监督管理中心土地管理室由专业测绘队伍，组卷勘测定界成果，每年上报油田公司生态资源管理部，全油田全年组卷一次，经</w:t>
      </w:r>
      <w:r>
        <w:rPr>
          <w:rFonts w:hint="eastAsia" w:ascii="Times New Roman" w:hAnsi="Times New Roman" w:cs="Times New Roman"/>
          <w:bCs/>
          <w:iCs/>
          <w:color w:val="auto"/>
          <w:w w:val="99"/>
          <w:kern w:val="2"/>
          <w:highlight w:val="none"/>
        </w:rPr>
        <w:t>肇东市</w:t>
      </w:r>
      <w:r>
        <w:rPr>
          <w:rFonts w:ascii="Times New Roman" w:hAnsi="Times New Roman" w:cs="Times New Roman"/>
          <w:bCs/>
          <w:iCs/>
          <w:color w:val="auto"/>
          <w:w w:val="99"/>
          <w:kern w:val="2"/>
          <w:highlight w:val="none"/>
        </w:rPr>
        <w:t>自然资源局、</w:t>
      </w:r>
      <w:r>
        <w:rPr>
          <w:rFonts w:hint="eastAsia" w:ascii="Times New Roman" w:hAnsi="Times New Roman" w:cs="Times New Roman"/>
          <w:bCs/>
          <w:iCs/>
          <w:color w:val="auto"/>
          <w:w w:val="99"/>
          <w:kern w:val="2"/>
          <w:highlight w:val="none"/>
        </w:rPr>
        <w:t>肇东市</w:t>
      </w:r>
      <w:r>
        <w:rPr>
          <w:rFonts w:ascii="Times New Roman" w:hAnsi="Times New Roman" w:cs="Times New Roman"/>
          <w:bCs/>
          <w:iCs/>
          <w:color w:val="auto"/>
          <w:w w:val="99"/>
          <w:kern w:val="2"/>
          <w:highlight w:val="none"/>
        </w:rPr>
        <w:t>政府，</w:t>
      </w:r>
      <w:r>
        <w:rPr>
          <w:rFonts w:hint="eastAsia" w:ascii="Times New Roman" w:hAnsi="Times New Roman" w:cs="Times New Roman"/>
          <w:bCs/>
          <w:iCs/>
          <w:color w:val="auto"/>
          <w:w w:val="99"/>
          <w:kern w:val="2"/>
          <w:highlight w:val="none"/>
        </w:rPr>
        <w:t>绥化</w:t>
      </w:r>
      <w:r>
        <w:rPr>
          <w:rFonts w:ascii="Times New Roman" w:hAnsi="Times New Roman" w:cs="Times New Roman"/>
          <w:bCs/>
          <w:iCs/>
          <w:color w:val="auto"/>
          <w:w w:val="99"/>
          <w:kern w:val="2"/>
          <w:highlight w:val="none"/>
        </w:rPr>
        <w:t>市自然资源局、</w:t>
      </w:r>
      <w:r>
        <w:rPr>
          <w:rFonts w:hint="eastAsia" w:ascii="Times New Roman" w:hAnsi="Times New Roman" w:cs="Times New Roman"/>
          <w:bCs/>
          <w:iCs/>
          <w:color w:val="auto"/>
          <w:w w:val="99"/>
          <w:kern w:val="2"/>
          <w:highlight w:val="none"/>
        </w:rPr>
        <w:t>绥化</w:t>
      </w:r>
      <w:r>
        <w:rPr>
          <w:rFonts w:ascii="Times New Roman" w:hAnsi="Times New Roman" w:cs="Times New Roman"/>
          <w:bCs/>
          <w:iCs/>
          <w:color w:val="auto"/>
          <w:w w:val="99"/>
          <w:kern w:val="2"/>
          <w:highlight w:val="none"/>
        </w:rPr>
        <w:t>市政府，黑龙江省自然资源厅、黑龙江省政府，逐级上报自然资源部、国务院审批。</w:t>
      </w:r>
    </w:p>
    <w:p w14:paraId="02137B4E">
      <w:pPr>
        <w:widowControl w:val="0"/>
        <w:spacing w:line="440" w:lineRule="exact"/>
        <w:ind w:firstLine="474" w:firstLineChars="200"/>
        <w:jc w:val="both"/>
        <w:rPr>
          <w:rFonts w:ascii="Times New Roman" w:hAnsi="Times New Roman" w:cs="Times New Roman"/>
          <w:iCs/>
          <w:color w:val="auto"/>
          <w:w w:val="99"/>
          <w:kern w:val="2"/>
          <w:highlight w:val="none"/>
        </w:rPr>
      </w:pPr>
      <w:r>
        <w:rPr>
          <w:rFonts w:hint="eastAsia" w:ascii="Times New Roman" w:hAnsi="Times New Roman" w:cs="Times New Roman"/>
          <w:iCs/>
          <w:color w:val="auto"/>
          <w:w w:val="99"/>
          <w:kern w:val="2"/>
          <w:highlight w:val="none"/>
        </w:rPr>
        <w:t>气田</w:t>
      </w:r>
      <w:r>
        <w:rPr>
          <w:rFonts w:ascii="Times New Roman" w:hAnsi="Times New Roman" w:cs="Times New Roman"/>
          <w:iCs/>
          <w:color w:val="auto"/>
          <w:w w:val="99"/>
          <w:kern w:val="2"/>
          <w:highlight w:val="none"/>
        </w:rPr>
        <w:t>开发工程占地完全避开永久基本农田的可能性较低，在不可避免的条件下需占用永久基本农田时，施工完毕后1年内，临时占地全部恢复原有植被类型，即占用农田全部恢复为耕地。临时占地恢复也可在征地过程中给予农民一定的费用补偿，由农民自行进行土地恢复。本项目井场及道路工程永久占用永久基本农田面积共</w:t>
      </w:r>
      <w:r>
        <w:rPr>
          <w:rFonts w:hint="eastAsia" w:ascii="Times New Roman" w:hAnsi="Times New Roman" w:cs="Times New Roman"/>
          <w:iCs/>
          <w:color w:val="auto"/>
          <w:w w:val="99"/>
          <w:kern w:val="2"/>
          <w:highlight w:val="none"/>
        </w:rPr>
        <w:t>0.0901</w:t>
      </w:r>
      <w:r>
        <w:rPr>
          <w:rFonts w:ascii="Times New Roman" w:hAnsi="Times New Roman" w:cs="Times New Roman"/>
          <w:iCs/>
          <w:color w:val="auto"/>
          <w:w w:val="99"/>
          <w:kern w:val="2"/>
          <w:highlight w:val="none"/>
        </w:rPr>
        <w:t>hm</w:t>
      </w:r>
      <w:r>
        <w:rPr>
          <w:rFonts w:ascii="Times New Roman" w:hAnsi="Times New Roman" w:cs="Times New Roman"/>
          <w:iCs/>
          <w:color w:val="auto"/>
          <w:w w:val="99"/>
          <w:kern w:val="2"/>
          <w:highlight w:val="none"/>
          <w:vertAlign w:val="superscript"/>
        </w:rPr>
        <w:t>2</w:t>
      </w:r>
      <w:r>
        <w:rPr>
          <w:rFonts w:ascii="Times New Roman" w:hAnsi="Times New Roman" w:cs="Times New Roman"/>
          <w:iCs/>
          <w:color w:val="auto"/>
          <w:w w:val="99"/>
          <w:kern w:val="2"/>
          <w:highlight w:val="none"/>
        </w:rPr>
        <w:t>，应按照《中华人民共和国土地管理法》（</w:t>
      </w:r>
      <w:r>
        <w:rPr>
          <w:rFonts w:hint="eastAsia" w:ascii="Times New Roman" w:hAnsi="Times New Roman" w:cs="Times New Roman"/>
          <w:iCs/>
          <w:color w:val="auto"/>
          <w:w w:val="99"/>
          <w:kern w:val="2"/>
          <w:highlight w:val="none"/>
        </w:rPr>
        <w:t>主席令〔</w:t>
      </w:r>
      <w:r>
        <w:rPr>
          <w:rFonts w:ascii="Times New Roman" w:hAnsi="Times New Roman" w:cs="Times New Roman"/>
          <w:iCs/>
          <w:color w:val="auto"/>
          <w:w w:val="99"/>
          <w:kern w:val="2"/>
          <w:highlight w:val="none"/>
        </w:rPr>
        <w:t>2019〕第32号〔2019年修正本〕）中 “占一补一”原则进行占补平衡，由建设单位负责开垦补充数量和质量相当的永久基本农田；如果没有条件开垦时，应当按照黑龙江省的规定缴纳耕地开垦费，专款用于开垦新的耕地。永久占用耕地的耕作层土壤集中堆放在施工井场或场站置土带区域，施工结束后用于</w:t>
      </w:r>
      <w:r>
        <w:rPr>
          <w:rFonts w:ascii="Times New Roman" w:hAnsi="Times New Roman" w:cs="Times New Roman"/>
          <w:bCs/>
          <w:iCs/>
          <w:color w:val="auto"/>
          <w:w w:val="99"/>
          <w:kern w:val="2"/>
          <w:highlight w:val="none"/>
        </w:rPr>
        <w:t>周围区域土地复垦、土壤治理等用途</w:t>
      </w:r>
      <w:r>
        <w:rPr>
          <w:rFonts w:ascii="Times New Roman" w:hAnsi="Times New Roman" w:cs="Times New Roman"/>
          <w:iCs/>
          <w:color w:val="auto"/>
          <w:w w:val="99"/>
          <w:kern w:val="2"/>
          <w:highlight w:val="none"/>
        </w:rPr>
        <w:t>。</w:t>
      </w:r>
    </w:p>
    <w:p w14:paraId="406E1955">
      <w:pPr>
        <w:widowControl w:val="0"/>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bCs/>
          <w:iCs/>
          <w:color w:val="auto"/>
          <w:w w:val="99"/>
          <w:kern w:val="2"/>
          <w:highlight w:val="none"/>
        </w:rPr>
        <w:t>本项目对农业生产的直接影响主要体现为占用耕地而造成粮食减产，对于临时占地造成的农作物减产，除应对其进行经济补偿外，项目开工前，应剥离临时占地内的表土，</w:t>
      </w:r>
      <w:r>
        <w:rPr>
          <w:rFonts w:hint="eastAsia" w:ascii="Times New Roman" w:hAnsi="Times New Roman" w:cs="Times New Roman"/>
          <w:bCs/>
          <w:iCs/>
          <w:color w:val="auto"/>
          <w:w w:val="99"/>
          <w:kern w:val="2"/>
          <w:highlight w:val="none"/>
        </w:rPr>
        <w:t>耕地剥离厚度</w:t>
      </w:r>
      <w:r>
        <w:rPr>
          <w:rFonts w:ascii="Times New Roman" w:hAnsi="Times New Roman" w:cs="Times New Roman"/>
          <w:bCs/>
          <w:iCs/>
          <w:color w:val="auto"/>
          <w:w w:val="99"/>
          <w:kern w:val="2"/>
          <w:highlight w:val="none"/>
        </w:rPr>
        <w:t>0.3m，暂存于井场或管线两侧临时占地内的表土剥离临时堆放区，并采取苫布遮盖，表土剥离临时堆放区周围设置排水沟等措施防止水土流失，并定期采取洒水抑尘措施，待施工结束后，回填占地范围，并采用表土复耕，增肥作业，恢复临时占用耕地的生产力，本项目的建设对当地土地利用格局影响在可接受范围内。</w:t>
      </w:r>
      <w:r>
        <w:rPr>
          <w:rFonts w:ascii="Times New Roman" w:hAnsi="Times New Roman" w:cs="Times New Roman"/>
          <w:iCs/>
          <w:color w:val="auto"/>
          <w:w w:val="99"/>
          <w:kern w:val="2"/>
          <w:highlight w:val="none"/>
        </w:rPr>
        <w:t>因此本项目符合《基本农田保护条例》</w:t>
      </w:r>
      <w:r>
        <w:rPr>
          <w:rFonts w:hint="eastAsia" w:ascii="Times New Roman" w:hAnsi="Times New Roman" w:cs="Times New Roman"/>
          <w:iCs/>
          <w:color w:val="auto"/>
          <w:w w:val="99"/>
          <w:kern w:val="2"/>
          <w:highlight w:val="none"/>
        </w:rPr>
        <w:t>（国务院令第</w:t>
      </w:r>
      <w:r>
        <w:rPr>
          <w:rFonts w:ascii="Times New Roman" w:hAnsi="Times New Roman" w:cs="Times New Roman"/>
          <w:iCs/>
          <w:color w:val="auto"/>
          <w:w w:val="99"/>
          <w:kern w:val="2"/>
          <w:highlight w:val="none"/>
        </w:rPr>
        <w:t>257号）中要求。</w:t>
      </w:r>
    </w:p>
    <w:p w14:paraId="5ACE9BFC">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1.4.3.</w:t>
      </w:r>
      <w:r>
        <w:rPr>
          <w:rFonts w:hint="eastAsia" w:ascii="Times New Roman" w:hAnsi="Times New Roman" w:eastAsiaTheme="minorEastAsia"/>
          <w:b/>
          <w:color w:val="auto"/>
          <w:w w:val="99"/>
          <w:highlight w:val="none"/>
        </w:rPr>
        <w:t>7</w:t>
      </w:r>
      <w:r>
        <w:rPr>
          <w:rFonts w:ascii="Times New Roman" w:hAnsi="Times New Roman" w:eastAsiaTheme="minorEastAsia"/>
          <w:b/>
          <w:bCs/>
          <w:color w:val="auto"/>
          <w:w w:val="99"/>
          <w:highlight w:val="none"/>
        </w:rPr>
        <w:t>与《黑龙江省耕地保护条例》（</w:t>
      </w:r>
      <w:r>
        <w:rPr>
          <w:rFonts w:hint="eastAsia" w:ascii="Times New Roman" w:hAnsi="Times New Roman" w:eastAsiaTheme="minorEastAsia"/>
          <w:b/>
          <w:bCs/>
          <w:color w:val="auto"/>
          <w:w w:val="99"/>
          <w:highlight w:val="none"/>
        </w:rPr>
        <w:t>黑人常〔</w:t>
      </w:r>
      <w:r>
        <w:rPr>
          <w:rFonts w:ascii="Times New Roman" w:hAnsi="Times New Roman" w:eastAsiaTheme="minorEastAsia"/>
          <w:b/>
          <w:bCs/>
          <w:color w:val="auto"/>
          <w:w w:val="99"/>
          <w:highlight w:val="none"/>
        </w:rPr>
        <w:t>2021〕43号）符合性判定</w:t>
      </w:r>
    </w:p>
    <w:p w14:paraId="4342F5AD">
      <w:pPr>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bCs/>
          <w:iCs/>
          <w:color w:val="auto"/>
          <w:w w:val="99"/>
          <w:kern w:val="2"/>
          <w:highlight w:val="none"/>
        </w:rPr>
        <w:t>本项目与《黑龙江省耕地保护条例》（</w:t>
      </w:r>
      <w:r>
        <w:rPr>
          <w:rFonts w:hint="eastAsia" w:ascii="Times New Roman" w:hAnsi="Times New Roman" w:cs="Times New Roman"/>
          <w:bCs/>
          <w:iCs/>
          <w:color w:val="auto"/>
          <w:w w:val="99"/>
          <w:kern w:val="2"/>
          <w:highlight w:val="none"/>
        </w:rPr>
        <w:t>黑人常〔</w:t>
      </w:r>
      <w:r>
        <w:rPr>
          <w:rFonts w:ascii="Times New Roman" w:hAnsi="Times New Roman" w:cs="Times New Roman"/>
          <w:bCs/>
          <w:iCs/>
          <w:color w:val="auto"/>
          <w:w w:val="99"/>
          <w:kern w:val="2"/>
          <w:highlight w:val="none"/>
        </w:rPr>
        <w:t>2021〕43号）符合性分析见表</w:t>
      </w:r>
      <w:r>
        <w:rPr>
          <w:rFonts w:ascii="Times New Roman" w:hAnsi="Times New Roman" w:cs="Times New Roman"/>
          <w:iCs/>
          <w:color w:val="auto"/>
          <w:w w:val="99"/>
          <w:kern w:val="2"/>
          <w:highlight w:val="none"/>
        </w:rPr>
        <w:t>1.4-</w:t>
      </w:r>
      <w:r>
        <w:rPr>
          <w:rFonts w:hint="eastAsia" w:ascii="Times New Roman" w:hAnsi="Times New Roman" w:cs="Times New Roman"/>
          <w:iCs/>
          <w:color w:val="auto"/>
          <w:w w:val="99"/>
          <w:kern w:val="2"/>
          <w:highlight w:val="none"/>
        </w:rPr>
        <w:t>7</w:t>
      </w:r>
      <w:r>
        <w:rPr>
          <w:rFonts w:ascii="Times New Roman" w:hAnsi="Times New Roman" w:cs="Times New Roman"/>
          <w:iCs/>
          <w:color w:val="auto"/>
          <w:w w:val="99"/>
          <w:kern w:val="2"/>
          <w:highlight w:val="none"/>
        </w:rPr>
        <w:t>。</w:t>
      </w:r>
    </w:p>
    <w:p w14:paraId="7AD7D399">
      <w:pPr>
        <w:spacing w:line="440" w:lineRule="exact"/>
        <w:jc w:val="center"/>
        <w:rPr>
          <w:rFonts w:ascii="Times New Roman" w:hAnsi="Times New Roman" w:cs="Times New Roman"/>
          <w:b/>
          <w:iCs/>
          <w:color w:val="auto"/>
          <w:w w:val="99"/>
          <w:kern w:val="2"/>
          <w:highlight w:val="none"/>
        </w:rPr>
      </w:pPr>
      <w:r>
        <w:rPr>
          <w:rFonts w:ascii="Times New Roman" w:hAnsi="Times New Roman" w:cs="Times New Roman"/>
          <w:b/>
          <w:iCs/>
          <w:color w:val="auto"/>
          <w:w w:val="99"/>
          <w:kern w:val="2"/>
          <w:highlight w:val="none"/>
        </w:rPr>
        <w:t>表1.4-</w:t>
      </w:r>
      <w:r>
        <w:rPr>
          <w:rFonts w:hint="eastAsia" w:ascii="Times New Roman" w:hAnsi="Times New Roman" w:cs="Times New Roman"/>
          <w:b/>
          <w:iCs/>
          <w:color w:val="auto"/>
          <w:w w:val="99"/>
          <w:kern w:val="2"/>
          <w:highlight w:val="none"/>
        </w:rPr>
        <w:t>7</w:t>
      </w:r>
      <w:r>
        <w:rPr>
          <w:rFonts w:ascii="Times New Roman" w:hAnsi="Times New Roman" w:cs="Times New Roman"/>
          <w:b/>
          <w:iCs/>
          <w:color w:val="auto"/>
          <w:w w:val="99"/>
          <w:kern w:val="2"/>
          <w:highlight w:val="none"/>
        </w:rPr>
        <w:t xml:space="preserve">   本项目与《黑龙江省耕地保护条例》相关要求符合性一览表</w:t>
      </w:r>
    </w:p>
    <w:tbl>
      <w:tblPr>
        <w:tblStyle w:val="81"/>
        <w:tblW w:w="9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3560"/>
        <w:gridCol w:w="3892"/>
        <w:gridCol w:w="916"/>
      </w:tblGrid>
      <w:tr w14:paraId="72350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7" w:type="dxa"/>
            <w:vAlign w:val="center"/>
          </w:tcPr>
          <w:p w14:paraId="44DD880C">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序号</w:t>
            </w:r>
          </w:p>
        </w:tc>
        <w:tc>
          <w:tcPr>
            <w:tcW w:w="3560" w:type="dxa"/>
            <w:vAlign w:val="center"/>
          </w:tcPr>
          <w:p w14:paraId="01B90AC1">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文件要求</w:t>
            </w:r>
          </w:p>
        </w:tc>
        <w:tc>
          <w:tcPr>
            <w:tcW w:w="3892" w:type="dxa"/>
            <w:vAlign w:val="center"/>
          </w:tcPr>
          <w:p w14:paraId="32DE5226">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符合性分析</w:t>
            </w:r>
          </w:p>
        </w:tc>
        <w:tc>
          <w:tcPr>
            <w:tcW w:w="916" w:type="dxa"/>
            <w:vAlign w:val="center"/>
          </w:tcPr>
          <w:p w14:paraId="160252F4">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符合性</w:t>
            </w:r>
          </w:p>
        </w:tc>
      </w:tr>
      <w:tr w14:paraId="245A1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7" w:type="dxa"/>
            <w:vAlign w:val="center"/>
          </w:tcPr>
          <w:p w14:paraId="778B30A8">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1</w:t>
            </w:r>
          </w:p>
        </w:tc>
        <w:tc>
          <w:tcPr>
            <w:tcW w:w="3560" w:type="dxa"/>
            <w:vAlign w:val="center"/>
          </w:tcPr>
          <w:p w14:paraId="31D684F5">
            <w:pPr>
              <w:widowControl w:val="0"/>
              <w:adjustRightInd w:val="0"/>
              <w:snapToGrid w:val="0"/>
              <w:spacing w:line="360" w:lineRule="exact"/>
              <w:jc w:val="both"/>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第二十一条：非农业建设可以利用非耕地的，不得占用耕地。经依法批准占用耕地的，用地单位应当负责开垦与所占用耕地数量、质量相当的耕地；没有条件开垦或者开垦的耕地不符合要求的，应当向县以上自然资源行政主管部门缴纳耕地开垦费，专款用于开垦新的耕地；耕地后备资源不足的，依法实行易地占补。</w:t>
            </w:r>
          </w:p>
        </w:tc>
        <w:tc>
          <w:tcPr>
            <w:tcW w:w="3892" w:type="dxa"/>
            <w:vAlign w:val="center"/>
          </w:tcPr>
          <w:p w14:paraId="0DB78273">
            <w:pPr>
              <w:widowControl w:val="0"/>
              <w:adjustRightInd w:val="0"/>
              <w:snapToGrid w:val="0"/>
              <w:spacing w:line="360" w:lineRule="exact"/>
              <w:jc w:val="both"/>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根据工程方案情况，本项目施工无法避免占用耕地，本项目在施工前需要征收土地，应报请相关主管部门同意，取得用地审批。对于永久占耕地剥离表土就近用于新开垦耕地和低质耕地改良、被污染耕地的治理、高标准农田建设、土地复垦等。</w:t>
            </w:r>
          </w:p>
        </w:tc>
        <w:tc>
          <w:tcPr>
            <w:tcW w:w="916" w:type="dxa"/>
            <w:vAlign w:val="center"/>
          </w:tcPr>
          <w:p w14:paraId="54142847">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3E071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7" w:type="dxa"/>
            <w:vAlign w:val="center"/>
          </w:tcPr>
          <w:p w14:paraId="2F098D55">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2</w:t>
            </w:r>
          </w:p>
        </w:tc>
        <w:tc>
          <w:tcPr>
            <w:tcW w:w="3560" w:type="dxa"/>
            <w:vAlign w:val="center"/>
          </w:tcPr>
          <w:p w14:paraId="1C7FBF3C">
            <w:pPr>
              <w:widowControl w:val="0"/>
              <w:adjustRightInd w:val="0"/>
              <w:snapToGrid w:val="0"/>
              <w:spacing w:line="360" w:lineRule="exact"/>
              <w:jc w:val="both"/>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第三十六条：因事故或者其他突发事件，造成耕地环境污染的，当事人应当立即采取补救措施，并向当地县级农业农村或者生态环境行政主管部门报告。相关行政主管部门接到报告后，应当及时启动应急预案，并按照规定处理。</w:t>
            </w:r>
          </w:p>
        </w:tc>
        <w:tc>
          <w:tcPr>
            <w:tcW w:w="3892" w:type="dxa"/>
            <w:vAlign w:val="center"/>
          </w:tcPr>
          <w:p w14:paraId="6BD833F7">
            <w:pPr>
              <w:widowControl w:val="0"/>
              <w:adjustRightInd w:val="0"/>
              <w:snapToGrid w:val="0"/>
              <w:spacing w:line="360" w:lineRule="exact"/>
              <w:jc w:val="both"/>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本项目发现原油及含油污水泄漏渗入土壤时，针对工程可能发生的土壤污染，按照“源头控制、末端防治、污染监控、应急响应”相结合的原则，从污染物的产生、入渗、扩散、应急响应全阶段进行控制。</w:t>
            </w:r>
          </w:p>
        </w:tc>
        <w:tc>
          <w:tcPr>
            <w:tcW w:w="916" w:type="dxa"/>
            <w:vAlign w:val="center"/>
          </w:tcPr>
          <w:p w14:paraId="604E7C65">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09386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7" w:type="dxa"/>
            <w:vAlign w:val="center"/>
          </w:tcPr>
          <w:p w14:paraId="3209B69C">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3</w:t>
            </w:r>
          </w:p>
        </w:tc>
        <w:tc>
          <w:tcPr>
            <w:tcW w:w="3560" w:type="dxa"/>
            <w:vAlign w:val="center"/>
          </w:tcPr>
          <w:p w14:paraId="39AF4CD3">
            <w:pPr>
              <w:widowControl w:val="0"/>
              <w:adjustRightInd w:val="0"/>
              <w:snapToGrid w:val="0"/>
              <w:spacing w:line="360" w:lineRule="exact"/>
              <w:jc w:val="both"/>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第四十五条：耕地的耕作层土壤剥离按照国家和省有关规定执行。</w:t>
            </w:r>
          </w:p>
        </w:tc>
        <w:tc>
          <w:tcPr>
            <w:tcW w:w="3892" w:type="dxa"/>
            <w:vAlign w:val="center"/>
          </w:tcPr>
          <w:p w14:paraId="1522FF71">
            <w:pPr>
              <w:widowControl w:val="0"/>
              <w:adjustRightInd w:val="0"/>
              <w:snapToGrid w:val="0"/>
              <w:spacing w:line="360" w:lineRule="exact"/>
              <w:jc w:val="both"/>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本项目根据《黑龙江省人民政府办公厅关于建设占用耕地耕作层土壤剥离利用工作的指导意见（试行）》（黑政办规〔2021〕18号）要求实施表土剥离制度，本项目在施工过程中针对永久占地及临时占地，应剥离占地内的表土，</w:t>
            </w:r>
            <w:r>
              <w:rPr>
                <w:rFonts w:hint="eastAsia" w:ascii="Times New Roman" w:hAnsi="Times New Roman" w:cs="Times New Roman"/>
                <w:iCs/>
                <w:color w:val="auto"/>
                <w:w w:val="99"/>
                <w:kern w:val="28"/>
                <w:sz w:val="21"/>
                <w:szCs w:val="21"/>
                <w:highlight w:val="none"/>
              </w:rPr>
              <w:t>耕地剥离厚度</w:t>
            </w:r>
            <w:r>
              <w:rPr>
                <w:rFonts w:ascii="Times New Roman" w:hAnsi="Times New Roman" w:cs="Times New Roman"/>
                <w:iCs/>
                <w:color w:val="auto"/>
                <w:w w:val="99"/>
                <w:kern w:val="28"/>
                <w:sz w:val="21"/>
                <w:szCs w:val="21"/>
                <w:highlight w:val="none"/>
              </w:rPr>
              <w:t>0.3m，采用分层开挖，分层堆放，集中暂存于剥离表土临时堆放区，并采取苫布遮盖等措施防止水土流失，定期采取洒水抑尘措施。针对永久占地将剥离的表土就近用于新开垦耕地和低质耕地改良、被污染耕地的治理、高标准农田建设、土地复垦等，针对临时占地在将剥离的表土在施工结束后分层回填，并及时平整恢复。</w:t>
            </w:r>
          </w:p>
        </w:tc>
        <w:tc>
          <w:tcPr>
            <w:tcW w:w="916" w:type="dxa"/>
            <w:vAlign w:val="center"/>
          </w:tcPr>
          <w:p w14:paraId="7AAE3BC8">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71EEE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7" w:type="dxa"/>
            <w:vAlign w:val="center"/>
          </w:tcPr>
          <w:p w14:paraId="54F50915">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4</w:t>
            </w:r>
          </w:p>
        </w:tc>
        <w:tc>
          <w:tcPr>
            <w:tcW w:w="3560" w:type="dxa"/>
            <w:vAlign w:val="center"/>
          </w:tcPr>
          <w:p w14:paraId="576A54E0">
            <w:pPr>
              <w:widowControl w:val="0"/>
              <w:adjustRightInd w:val="0"/>
              <w:snapToGrid w:val="0"/>
              <w:spacing w:line="360" w:lineRule="exact"/>
              <w:jc w:val="both"/>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第四十六条：经批准占用耕地的非农业建设项目施工时，施工单位应当减少地表扰动范围，避免损坏周边耕地的耕作层。无法避免的，由建设单位及时进行整理、修复或者依法补偿。</w:t>
            </w:r>
          </w:p>
        </w:tc>
        <w:tc>
          <w:tcPr>
            <w:tcW w:w="3892" w:type="dxa"/>
            <w:vAlign w:val="center"/>
          </w:tcPr>
          <w:p w14:paraId="254704F2">
            <w:pPr>
              <w:widowControl w:val="0"/>
              <w:adjustRightInd w:val="0"/>
              <w:snapToGrid w:val="0"/>
              <w:spacing w:line="360" w:lineRule="exact"/>
              <w:jc w:val="both"/>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本项目在施工过程中严格控制施工作业面积，减少占地。加强施工管理，尽量减少占地面积，并规范行车路线及施工人员行为，严禁随意践踏、碾压施工区范围外的植被，确保尽量少占优质黑土地。针对永久占地及临时占地，应剥离占地内的表土，</w:t>
            </w:r>
            <w:r>
              <w:rPr>
                <w:rFonts w:hint="eastAsia" w:ascii="Times New Roman" w:hAnsi="Times New Roman" w:cs="Times New Roman"/>
                <w:iCs/>
                <w:color w:val="auto"/>
                <w:w w:val="99"/>
                <w:kern w:val="28"/>
                <w:sz w:val="21"/>
                <w:szCs w:val="21"/>
                <w:highlight w:val="none"/>
              </w:rPr>
              <w:t>耕地剥离厚度</w:t>
            </w:r>
            <w:r>
              <w:rPr>
                <w:rFonts w:ascii="Times New Roman" w:hAnsi="Times New Roman" w:cs="Times New Roman"/>
                <w:iCs/>
                <w:color w:val="auto"/>
                <w:w w:val="99"/>
                <w:kern w:val="28"/>
                <w:sz w:val="21"/>
                <w:szCs w:val="21"/>
                <w:highlight w:val="none"/>
              </w:rPr>
              <w:t>0.3m，采用分层开挖，分层堆放，集中暂存于剥离表土临时堆放区，并采取苫布遮盖等措施防止水土流失，定期采取洒水抑尘措施。针对永久占地将剥离的表土按照 “占一补一，质量相等”的要求进行补偿并易地补充耕地，永久占耕地剥离表土就近用于新开垦耕地和低质耕地改良、被污染耕地的治理、高标准农田建设、土地复垦等。针对临时占地在将剥离的表土在施工结束后分层回填，及时平整恢复。</w:t>
            </w:r>
          </w:p>
        </w:tc>
        <w:tc>
          <w:tcPr>
            <w:tcW w:w="916" w:type="dxa"/>
            <w:vAlign w:val="center"/>
          </w:tcPr>
          <w:p w14:paraId="30957D26">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bl>
    <w:p w14:paraId="763ABA79">
      <w:pPr>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iCs/>
          <w:color w:val="auto"/>
          <w:w w:val="99"/>
          <w:kern w:val="2"/>
          <w:highlight w:val="none"/>
        </w:rPr>
        <w:t>根据以上分析，本项目符合</w:t>
      </w:r>
      <w:r>
        <w:rPr>
          <w:rFonts w:ascii="Times New Roman" w:hAnsi="Times New Roman" w:cs="Times New Roman"/>
          <w:bCs/>
          <w:iCs/>
          <w:color w:val="auto"/>
          <w:w w:val="99"/>
          <w:kern w:val="2"/>
          <w:highlight w:val="none"/>
        </w:rPr>
        <w:t>《黑龙江省耕地保护条例》</w:t>
      </w:r>
      <w:r>
        <w:rPr>
          <w:rFonts w:hint="eastAsia" w:ascii="Times New Roman" w:hAnsi="Times New Roman" w:cs="Times New Roman"/>
          <w:bCs/>
          <w:iCs/>
          <w:color w:val="auto"/>
          <w:w w:val="99"/>
          <w:kern w:val="2"/>
          <w:highlight w:val="none"/>
        </w:rPr>
        <w:t>（黑人常〔</w:t>
      </w:r>
      <w:r>
        <w:rPr>
          <w:rFonts w:ascii="Times New Roman" w:hAnsi="Times New Roman" w:cs="Times New Roman"/>
          <w:bCs/>
          <w:iCs/>
          <w:color w:val="auto"/>
          <w:w w:val="99"/>
          <w:kern w:val="2"/>
          <w:highlight w:val="none"/>
        </w:rPr>
        <w:t>2021〕43号）</w:t>
      </w:r>
      <w:r>
        <w:rPr>
          <w:rFonts w:ascii="Times New Roman" w:hAnsi="Times New Roman" w:cs="Times New Roman"/>
          <w:iCs/>
          <w:color w:val="auto"/>
          <w:w w:val="99"/>
          <w:kern w:val="2"/>
          <w:highlight w:val="none"/>
        </w:rPr>
        <w:t>中要求。</w:t>
      </w:r>
    </w:p>
    <w:p w14:paraId="4610B4C2">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1.4.3.</w:t>
      </w:r>
      <w:r>
        <w:rPr>
          <w:rFonts w:hint="eastAsia" w:ascii="Times New Roman" w:hAnsi="Times New Roman" w:eastAsiaTheme="minorEastAsia"/>
          <w:b/>
          <w:color w:val="auto"/>
          <w:w w:val="99"/>
          <w:highlight w:val="none"/>
        </w:rPr>
        <w:t>8</w:t>
      </w:r>
      <w:r>
        <w:rPr>
          <w:rFonts w:ascii="Times New Roman" w:hAnsi="Times New Roman" w:eastAsiaTheme="minorEastAsia"/>
          <w:b/>
          <w:color w:val="auto"/>
          <w:w w:val="99"/>
          <w:highlight w:val="none"/>
        </w:rPr>
        <w:t>与《关于强化管控落实最严格耕地保护制度的通知》（国土资发〔2014〕18号）符合性判定</w:t>
      </w:r>
    </w:p>
    <w:p w14:paraId="09F3599C">
      <w:pPr>
        <w:widowControl w:val="0"/>
        <w:spacing w:line="440" w:lineRule="exact"/>
        <w:ind w:firstLine="474" w:firstLineChars="200"/>
        <w:jc w:val="both"/>
        <w:rPr>
          <w:rFonts w:ascii="Times New Roman" w:hAnsi="Times New Roman" w:cs="Times New Roman"/>
          <w:bCs/>
          <w:iCs/>
          <w:color w:val="auto"/>
          <w:w w:val="99"/>
          <w:kern w:val="2"/>
          <w:highlight w:val="none"/>
        </w:rPr>
      </w:pPr>
      <w:r>
        <w:rPr>
          <w:rFonts w:ascii="Times New Roman" w:hAnsi="Times New Roman" w:cs="Times New Roman"/>
          <w:bCs/>
          <w:iCs/>
          <w:color w:val="auto"/>
          <w:w w:val="99"/>
          <w:kern w:val="2"/>
          <w:highlight w:val="none"/>
        </w:rPr>
        <w:t>本项目与《关于强化管控落实最严格耕地保护制度的通知》（国土资发〔2014〕18号）符合性分析见表1.4</w:t>
      </w:r>
      <w:r>
        <w:rPr>
          <w:rFonts w:hint="eastAsia" w:ascii="Times New Roman" w:hAnsi="Times New Roman" w:cs="Times New Roman"/>
          <w:bCs/>
          <w:iCs/>
          <w:color w:val="auto"/>
          <w:w w:val="99"/>
          <w:kern w:val="2"/>
          <w:highlight w:val="none"/>
        </w:rPr>
        <w:t>-8</w:t>
      </w:r>
      <w:r>
        <w:rPr>
          <w:rFonts w:ascii="Times New Roman" w:hAnsi="Times New Roman" w:cs="Times New Roman"/>
          <w:bCs/>
          <w:iCs/>
          <w:color w:val="auto"/>
          <w:w w:val="99"/>
          <w:kern w:val="2"/>
          <w:highlight w:val="none"/>
        </w:rPr>
        <w:t>。</w:t>
      </w:r>
    </w:p>
    <w:p w14:paraId="57C1750F">
      <w:pPr>
        <w:spacing w:line="440" w:lineRule="exact"/>
        <w:ind w:firstLine="476" w:firstLineChars="200"/>
        <w:rPr>
          <w:rFonts w:ascii="Times New Roman" w:hAnsi="Times New Roman" w:cs="Times New Roman"/>
          <w:b/>
          <w:iCs/>
          <w:color w:val="auto"/>
          <w:w w:val="99"/>
          <w:kern w:val="2"/>
          <w:highlight w:val="none"/>
        </w:rPr>
      </w:pPr>
      <w:r>
        <w:rPr>
          <w:rFonts w:ascii="Times New Roman" w:hAnsi="Times New Roman" w:cs="Times New Roman"/>
          <w:b/>
          <w:iCs/>
          <w:color w:val="auto"/>
          <w:w w:val="99"/>
          <w:kern w:val="2"/>
          <w:highlight w:val="none"/>
        </w:rPr>
        <w:t>表1.4-</w:t>
      </w:r>
      <w:r>
        <w:rPr>
          <w:rFonts w:hint="eastAsia" w:ascii="Times New Roman" w:hAnsi="Times New Roman" w:cs="Times New Roman"/>
          <w:b/>
          <w:iCs/>
          <w:color w:val="auto"/>
          <w:w w:val="99"/>
          <w:kern w:val="2"/>
          <w:highlight w:val="none"/>
        </w:rPr>
        <w:t>8</w:t>
      </w:r>
      <w:r>
        <w:rPr>
          <w:rFonts w:ascii="Times New Roman" w:hAnsi="Times New Roman" w:cs="Times New Roman"/>
          <w:b/>
          <w:iCs/>
          <w:color w:val="auto"/>
          <w:w w:val="99"/>
          <w:kern w:val="2"/>
          <w:highlight w:val="none"/>
        </w:rPr>
        <w:t xml:space="preserve">  与</w:t>
      </w:r>
      <w:r>
        <w:rPr>
          <w:rFonts w:hint="eastAsia" w:ascii="Times New Roman" w:hAnsi="Times New Roman" w:cs="Times New Roman"/>
          <w:b/>
          <w:iCs/>
          <w:color w:val="auto"/>
          <w:w w:val="99"/>
          <w:kern w:val="2"/>
          <w:highlight w:val="none"/>
        </w:rPr>
        <w:t>“国土资发〔</w:t>
      </w:r>
      <w:r>
        <w:rPr>
          <w:rFonts w:ascii="Times New Roman" w:hAnsi="Times New Roman" w:cs="Times New Roman"/>
          <w:b/>
          <w:iCs/>
          <w:color w:val="auto"/>
          <w:w w:val="99"/>
          <w:kern w:val="2"/>
          <w:highlight w:val="none"/>
        </w:rPr>
        <w:t>2014</w:t>
      </w:r>
      <w:r>
        <w:rPr>
          <w:rFonts w:hint="eastAsia" w:ascii="Times New Roman" w:hAnsi="Times New Roman" w:cs="Times New Roman"/>
          <w:b/>
          <w:iCs/>
          <w:color w:val="auto"/>
          <w:w w:val="99"/>
          <w:kern w:val="2"/>
          <w:highlight w:val="none"/>
        </w:rPr>
        <w:t>〕</w:t>
      </w:r>
      <w:r>
        <w:rPr>
          <w:rFonts w:ascii="Times New Roman" w:hAnsi="Times New Roman" w:cs="Times New Roman"/>
          <w:b/>
          <w:iCs/>
          <w:color w:val="auto"/>
          <w:w w:val="99"/>
          <w:kern w:val="2"/>
          <w:highlight w:val="none"/>
        </w:rPr>
        <w:t>18</w:t>
      </w:r>
      <w:r>
        <w:rPr>
          <w:rFonts w:hint="eastAsia" w:ascii="Times New Roman" w:hAnsi="Times New Roman" w:cs="Times New Roman"/>
          <w:b/>
          <w:iCs/>
          <w:color w:val="auto"/>
          <w:w w:val="99"/>
          <w:kern w:val="2"/>
          <w:highlight w:val="none"/>
        </w:rPr>
        <w:t>号”</w:t>
      </w:r>
      <w:r>
        <w:rPr>
          <w:rFonts w:ascii="Times New Roman" w:hAnsi="Times New Roman" w:cs="Times New Roman"/>
          <w:b/>
          <w:iCs/>
          <w:color w:val="auto"/>
          <w:w w:val="99"/>
          <w:kern w:val="2"/>
          <w:highlight w:val="none"/>
        </w:rPr>
        <w:t>相关要求符合性判定</w:t>
      </w:r>
    </w:p>
    <w:tbl>
      <w:tblPr>
        <w:tblStyle w:val="81"/>
        <w:tblW w:w="9064"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548"/>
        <w:gridCol w:w="4269"/>
        <w:gridCol w:w="3242"/>
        <w:gridCol w:w="1005"/>
      </w:tblGrid>
      <w:tr w14:paraId="39F9C3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548" w:type="dxa"/>
            <w:vAlign w:val="center"/>
          </w:tcPr>
          <w:p w14:paraId="33B4B3EA">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序号</w:t>
            </w:r>
          </w:p>
        </w:tc>
        <w:tc>
          <w:tcPr>
            <w:tcW w:w="4269" w:type="dxa"/>
            <w:vAlign w:val="center"/>
          </w:tcPr>
          <w:p w14:paraId="3666EE53">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相关要求</w:t>
            </w:r>
          </w:p>
        </w:tc>
        <w:tc>
          <w:tcPr>
            <w:tcW w:w="3242" w:type="dxa"/>
            <w:vAlign w:val="center"/>
          </w:tcPr>
          <w:p w14:paraId="25D1C996">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符合性分析</w:t>
            </w:r>
          </w:p>
        </w:tc>
        <w:tc>
          <w:tcPr>
            <w:tcW w:w="1005" w:type="dxa"/>
            <w:vAlign w:val="center"/>
          </w:tcPr>
          <w:p w14:paraId="7C2F3463">
            <w:pPr>
              <w:widowControl w:val="0"/>
              <w:spacing w:line="360" w:lineRule="exact"/>
              <w:ind w:firstLine="29"/>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符合性</w:t>
            </w:r>
          </w:p>
        </w:tc>
      </w:tr>
      <w:tr w14:paraId="69DB9C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548" w:type="dxa"/>
            <w:vAlign w:val="center"/>
          </w:tcPr>
          <w:p w14:paraId="3DC68597">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1</w:t>
            </w:r>
          </w:p>
        </w:tc>
        <w:tc>
          <w:tcPr>
            <w:tcW w:w="4269" w:type="dxa"/>
            <w:vAlign w:val="center"/>
          </w:tcPr>
          <w:p w14:paraId="03FFCE2C">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进一步严格建设占用耕地审批。强化建设项目预审，严格项目选址把关。凡不符合土地利用总体规划、耕地占补平衡要求、征地补偿安置政策、用地标准、产业和供地政策的项目，不得通过用地预审。对线性工程占用耕地100公顷以上、块状工程70公顷以上的，省级国土资源部门必须组织实地踏勘论证，组织抽查核实；确需占用的，按照确保粮食生产能力不下降的要求，提出补充耕地安排，补充数量质量相当的耕地，并作为通过预审的必备条件。</w:t>
            </w:r>
          </w:p>
        </w:tc>
        <w:tc>
          <w:tcPr>
            <w:tcW w:w="3242" w:type="dxa"/>
            <w:vMerge w:val="restart"/>
            <w:vAlign w:val="center"/>
          </w:tcPr>
          <w:p w14:paraId="07951912">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针对临时占地及永久占地应剥离占地内的表土，</w:t>
            </w:r>
            <w:r>
              <w:rPr>
                <w:rFonts w:hint="eastAsia" w:ascii="Times New Roman" w:hAnsi="Times New Roman" w:cs="Times New Roman"/>
                <w:iCs/>
                <w:color w:val="auto"/>
                <w:w w:val="99"/>
                <w:kern w:val="28"/>
                <w:sz w:val="21"/>
                <w:szCs w:val="21"/>
                <w:highlight w:val="none"/>
              </w:rPr>
              <w:t>耕地剥离厚度</w:t>
            </w:r>
            <w:r>
              <w:rPr>
                <w:rFonts w:ascii="Times New Roman" w:hAnsi="Times New Roman" w:cs="Times New Roman"/>
                <w:iCs/>
                <w:color w:val="auto"/>
                <w:w w:val="99"/>
                <w:kern w:val="28"/>
                <w:sz w:val="21"/>
                <w:szCs w:val="21"/>
                <w:highlight w:val="none"/>
              </w:rPr>
              <w:t>0.3m，采用分层开挖，分层堆放，暂存于占地内的表土剥离临时堆放区，并采取苫布遮盖，表土剥离临时堆放区周围设置排水沟等措施防止水土流失，并定期采取洒水抑尘措施，临时占地剥离的表土在施工结束后分层回填，并及时恢复地表植被，临时占地恢复面积</w:t>
            </w:r>
            <w:r>
              <w:rPr>
                <w:rFonts w:hint="eastAsia" w:ascii="Times New Roman" w:hAnsi="Times New Roman" w:cs="Times New Roman"/>
                <w:iCs/>
                <w:color w:val="auto"/>
                <w:w w:val="99"/>
                <w:kern w:val="28"/>
                <w:sz w:val="21"/>
                <w:szCs w:val="21"/>
                <w:highlight w:val="none"/>
              </w:rPr>
              <w:t>1.9229</w:t>
            </w:r>
            <w:r>
              <w:rPr>
                <w:rFonts w:ascii="Times New Roman" w:hAnsi="Times New Roman" w:cs="Times New Roman"/>
                <w:iCs/>
                <w:color w:val="auto"/>
                <w:w w:val="99"/>
                <w:kern w:val="28"/>
                <w:sz w:val="21"/>
                <w:szCs w:val="21"/>
                <w:highlight w:val="none"/>
              </w:rPr>
              <w:t>hm</w:t>
            </w:r>
            <w:r>
              <w:rPr>
                <w:rFonts w:ascii="Times New Roman" w:hAnsi="Times New Roman" w:cs="Times New Roman"/>
                <w:iCs/>
                <w:color w:val="auto"/>
                <w:w w:val="99"/>
                <w:kern w:val="28"/>
                <w:sz w:val="21"/>
                <w:szCs w:val="21"/>
                <w:highlight w:val="none"/>
                <w:vertAlign w:val="superscript"/>
              </w:rPr>
              <w:t>2</w:t>
            </w:r>
            <w:r>
              <w:rPr>
                <w:rFonts w:ascii="Times New Roman" w:hAnsi="Times New Roman" w:cs="Times New Roman"/>
                <w:iCs/>
                <w:color w:val="auto"/>
                <w:w w:val="99"/>
                <w:kern w:val="28"/>
                <w:sz w:val="21"/>
                <w:szCs w:val="21"/>
                <w:highlight w:val="none"/>
              </w:rPr>
              <w:t>；永久占用耕地剥离的表土按照 “占一补一，质量相等”的要求用于易地补充耕地的表土，开垦新的耕地，对永久占地按照规定进行经济补偿，补偿面积</w:t>
            </w:r>
            <w:r>
              <w:rPr>
                <w:rFonts w:hint="eastAsia" w:ascii="Times New Roman" w:hAnsi="Times New Roman" w:cs="Times New Roman"/>
                <w:iCs/>
                <w:color w:val="auto"/>
                <w:w w:val="99"/>
                <w:kern w:val="28"/>
                <w:sz w:val="21"/>
                <w:szCs w:val="21"/>
                <w:highlight w:val="none"/>
              </w:rPr>
              <w:t>0.0901</w:t>
            </w:r>
            <w:r>
              <w:rPr>
                <w:rFonts w:ascii="Times New Roman" w:hAnsi="Times New Roman" w:cs="Times New Roman"/>
                <w:iCs/>
                <w:color w:val="auto"/>
                <w:w w:val="99"/>
                <w:kern w:val="28"/>
                <w:sz w:val="21"/>
                <w:szCs w:val="21"/>
                <w:highlight w:val="none"/>
              </w:rPr>
              <w:t>hm</w:t>
            </w:r>
            <w:r>
              <w:rPr>
                <w:rFonts w:ascii="Times New Roman" w:hAnsi="Times New Roman" w:cs="Times New Roman"/>
                <w:iCs/>
                <w:color w:val="auto"/>
                <w:w w:val="99"/>
                <w:kern w:val="28"/>
                <w:sz w:val="21"/>
                <w:szCs w:val="21"/>
                <w:highlight w:val="none"/>
                <w:vertAlign w:val="superscript"/>
              </w:rPr>
              <w:t>2</w:t>
            </w:r>
            <w:r>
              <w:rPr>
                <w:rFonts w:ascii="Times New Roman" w:hAnsi="Times New Roman" w:cs="Times New Roman"/>
                <w:iCs/>
                <w:color w:val="auto"/>
                <w:w w:val="99"/>
                <w:kern w:val="28"/>
                <w:sz w:val="21"/>
                <w:szCs w:val="21"/>
                <w:highlight w:val="none"/>
              </w:rPr>
              <w:t>。</w:t>
            </w:r>
          </w:p>
        </w:tc>
        <w:tc>
          <w:tcPr>
            <w:tcW w:w="1005" w:type="dxa"/>
            <w:vMerge w:val="restart"/>
            <w:vAlign w:val="center"/>
          </w:tcPr>
          <w:p w14:paraId="7DEF8C05">
            <w:pPr>
              <w:widowControl w:val="0"/>
              <w:spacing w:line="360" w:lineRule="exact"/>
              <w:ind w:firstLine="29"/>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符合</w:t>
            </w:r>
          </w:p>
        </w:tc>
      </w:tr>
      <w:tr w14:paraId="4F4486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548" w:type="dxa"/>
            <w:vAlign w:val="center"/>
          </w:tcPr>
          <w:p w14:paraId="2919FC46">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2</w:t>
            </w:r>
          </w:p>
        </w:tc>
        <w:tc>
          <w:tcPr>
            <w:tcW w:w="4269" w:type="dxa"/>
            <w:vAlign w:val="center"/>
          </w:tcPr>
          <w:p w14:paraId="64EFC093">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强化耕地数量和质量占补平衡。各地要严格执行以补定占、先补后占规定，引导建设不占或少占耕地。</w:t>
            </w:r>
          </w:p>
        </w:tc>
        <w:tc>
          <w:tcPr>
            <w:tcW w:w="3242" w:type="dxa"/>
            <w:vMerge w:val="continue"/>
            <w:vAlign w:val="center"/>
          </w:tcPr>
          <w:p w14:paraId="5CBBBB9D">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p>
        </w:tc>
        <w:tc>
          <w:tcPr>
            <w:tcW w:w="1005" w:type="dxa"/>
            <w:vMerge w:val="continue"/>
            <w:vAlign w:val="center"/>
          </w:tcPr>
          <w:p w14:paraId="29196BAD">
            <w:pPr>
              <w:widowControl w:val="0"/>
              <w:spacing w:line="360" w:lineRule="exact"/>
              <w:ind w:firstLine="29"/>
              <w:jc w:val="center"/>
              <w:rPr>
                <w:rFonts w:ascii="Times New Roman" w:hAnsi="Times New Roman" w:cs="Times New Roman" w:eastAsiaTheme="minorEastAsia"/>
                <w:color w:val="auto"/>
                <w:w w:val="99"/>
                <w:sz w:val="21"/>
                <w:szCs w:val="21"/>
                <w:highlight w:val="none"/>
              </w:rPr>
            </w:pPr>
          </w:p>
        </w:tc>
      </w:tr>
      <w:tr w14:paraId="1EA44E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548" w:type="dxa"/>
            <w:vAlign w:val="center"/>
          </w:tcPr>
          <w:p w14:paraId="12D81930">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3</w:t>
            </w:r>
          </w:p>
        </w:tc>
        <w:tc>
          <w:tcPr>
            <w:tcW w:w="4269" w:type="dxa"/>
            <w:vAlign w:val="center"/>
          </w:tcPr>
          <w:p w14:paraId="074B0635">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严格划定和永久保护基本农田。基本农田一经划定，实行严格管理、永久保护，任何单位和个人不得擅自占用或改变用途；建立和完善基本农田保护负面清单，符合法定条件和供地政策，确需占用和改变基本农田的，必须报国务院批准，并优先将同等面积的优质耕地补划为基本农田。</w:t>
            </w:r>
          </w:p>
        </w:tc>
        <w:tc>
          <w:tcPr>
            <w:tcW w:w="3242" w:type="dxa"/>
            <w:vMerge w:val="continue"/>
            <w:vAlign w:val="center"/>
          </w:tcPr>
          <w:p w14:paraId="6439C278">
            <w:pPr>
              <w:widowControl w:val="0"/>
              <w:spacing w:line="360" w:lineRule="exact"/>
              <w:ind w:firstLine="29"/>
              <w:jc w:val="center"/>
              <w:rPr>
                <w:rFonts w:ascii="Times New Roman" w:hAnsi="Times New Roman" w:cs="Times New Roman" w:eastAsiaTheme="minorEastAsia"/>
                <w:color w:val="auto"/>
                <w:w w:val="99"/>
                <w:sz w:val="21"/>
                <w:szCs w:val="21"/>
                <w:highlight w:val="none"/>
              </w:rPr>
            </w:pPr>
          </w:p>
        </w:tc>
        <w:tc>
          <w:tcPr>
            <w:tcW w:w="1005" w:type="dxa"/>
            <w:vMerge w:val="continue"/>
            <w:vAlign w:val="center"/>
          </w:tcPr>
          <w:p w14:paraId="16E65DAC">
            <w:pPr>
              <w:widowControl w:val="0"/>
              <w:spacing w:line="360" w:lineRule="exact"/>
              <w:ind w:firstLine="29"/>
              <w:jc w:val="center"/>
              <w:rPr>
                <w:rFonts w:ascii="Times New Roman" w:hAnsi="Times New Roman" w:cs="Times New Roman" w:eastAsiaTheme="minorEastAsia"/>
                <w:color w:val="auto"/>
                <w:w w:val="99"/>
                <w:sz w:val="21"/>
                <w:szCs w:val="21"/>
                <w:highlight w:val="none"/>
              </w:rPr>
            </w:pPr>
          </w:p>
        </w:tc>
      </w:tr>
    </w:tbl>
    <w:p w14:paraId="20617541">
      <w:pPr>
        <w:widowControl w:val="0"/>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iCs/>
          <w:color w:val="auto"/>
          <w:w w:val="99"/>
          <w:kern w:val="2"/>
          <w:highlight w:val="none"/>
        </w:rPr>
        <w:t>根据以上分析，本项目符合《关于强化管控落实最严格耕地保护制度的通知》</w:t>
      </w:r>
      <w:r>
        <w:rPr>
          <w:rFonts w:hint="eastAsia" w:ascii="Times New Roman" w:hAnsi="Times New Roman" w:cs="Times New Roman"/>
          <w:iCs/>
          <w:color w:val="auto"/>
          <w:w w:val="99"/>
          <w:kern w:val="2"/>
          <w:highlight w:val="none"/>
        </w:rPr>
        <w:t>（</w:t>
      </w:r>
      <w:r>
        <w:rPr>
          <w:rFonts w:ascii="Times New Roman" w:hAnsi="Times New Roman" w:cs="Times New Roman"/>
          <w:bCs/>
          <w:iCs/>
          <w:color w:val="auto"/>
          <w:w w:val="99"/>
          <w:kern w:val="2"/>
          <w:highlight w:val="none"/>
        </w:rPr>
        <w:t>国土资发〔2014〕18号</w:t>
      </w:r>
      <w:r>
        <w:rPr>
          <w:rFonts w:hint="eastAsia" w:ascii="Times New Roman" w:hAnsi="Times New Roman" w:cs="Times New Roman"/>
          <w:iCs/>
          <w:color w:val="auto"/>
          <w:w w:val="99"/>
          <w:kern w:val="2"/>
          <w:highlight w:val="none"/>
        </w:rPr>
        <w:t>）</w:t>
      </w:r>
      <w:r>
        <w:rPr>
          <w:rFonts w:ascii="Times New Roman" w:hAnsi="Times New Roman" w:cs="Times New Roman"/>
          <w:iCs/>
          <w:color w:val="auto"/>
          <w:w w:val="99"/>
          <w:kern w:val="2"/>
          <w:highlight w:val="none"/>
        </w:rPr>
        <w:t>中要求。</w:t>
      </w:r>
    </w:p>
    <w:p w14:paraId="55DC074B">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1.4.3.</w:t>
      </w:r>
      <w:r>
        <w:rPr>
          <w:rFonts w:hint="eastAsia" w:ascii="Times New Roman" w:hAnsi="Times New Roman" w:eastAsiaTheme="minorEastAsia"/>
          <w:b/>
          <w:color w:val="auto"/>
          <w:w w:val="99"/>
          <w:highlight w:val="none"/>
        </w:rPr>
        <w:t>9</w:t>
      </w:r>
      <w:r>
        <w:rPr>
          <w:rFonts w:ascii="Times New Roman" w:hAnsi="Times New Roman" w:eastAsiaTheme="minorEastAsia"/>
          <w:b/>
          <w:color w:val="auto"/>
          <w:w w:val="99"/>
          <w:highlight w:val="none"/>
        </w:rPr>
        <w:t>与</w:t>
      </w:r>
      <w:r>
        <w:rPr>
          <w:rFonts w:hint="eastAsia" w:ascii="Times New Roman" w:hAnsi="Times New Roman" w:eastAsiaTheme="minorEastAsia"/>
          <w:b/>
          <w:color w:val="auto"/>
          <w:w w:val="99"/>
          <w:highlight w:val="none"/>
        </w:rPr>
        <w:t>《黑龙江省水污染防治条例》</w:t>
      </w:r>
      <w:r>
        <w:rPr>
          <w:rFonts w:ascii="Times New Roman" w:hAnsi="Times New Roman" w:eastAsiaTheme="minorEastAsia"/>
          <w:b/>
          <w:color w:val="auto"/>
          <w:w w:val="99"/>
          <w:highlight w:val="none"/>
        </w:rPr>
        <w:t>（</w:t>
      </w:r>
      <w:r>
        <w:rPr>
          <w:rFonts w:hint="eastAsia" w:ascii="Times New Roman" w:hAnsi="Times New Roman" w:eastAsiaTheme="minorEastAsia"/>
          <w:b/>
          <w:color w:val="auto"/>
          <w:w w:val="99"/>
          <w:highlight w:val="none"/>
        </w:rPr>
        <w:t>黑人常〔</w:t>
      </w:r>
      <w:r>
        <w:rPr>
          <w:rFonts w:ascii="Times New Roman" w:hAnsi="Times New Roman" w:eastAsiaTheme="minorEastAsia"/>
          <w:b/>
          <w:color w:val="auto"/>
          <w:w w:val="99"/>
          <w:highlight w:val="none"/>
        </w:rPr>
        <w:t>2023〕13号）符合性分析</w:t>
      </w:r>
    </w:p>
    <w:p w14:paraId="7510A96D">
      <w:pPr>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iCs/>
          <w:color w:val="auto"/>
          <w:w w:val="99"/>
          <w:kern w:val="2"/>
          <w:highlight w:val="none"/>
        </w:rPr>
        <w:t>本项目与</w:t>
      </w:r>
      <w:r>
        <w:rPr>
          <w:rFonts w:hint="eastAsia" w:ascii="Times New Roman" w:hAnsi="Times New Roman" w:cs="Times New Roman"/>
          <w:iCs/>
          <w:color w:val="auto"/>
          <w:w w:val="99"/>
          <w:kern w:val="2"/>
          <w:highlight w:val="none"/>
        </w:rPr>
        <w:t>《黑龙江省水污染防治条例》</w:t>
      </w:r>
      <w:r>
        <w:rPr>
          <w:rFonts w:ascii="Times New Roman" w:hAnsi="Times New Roman" w:cs="Times New Roman"/>
          <w:iCs/>
          <w:color w:val="auto"/>
          <w:w w:val="99"/>
          <w:kern w:val="2"/>
          <w:highlight w:val="none"/>
        </w:rPr>
        <w:t>（</w:t>
      </w:r>
      <w:r>
        <w:rPr>
          <w:rFonts w:hint="eastAsia" w:ascii="Times New Roman" w:hAnsi="Times New Roman" w:cs="Times New Roman"/>
          <w:iCs/>
          <w:color w:val="auto"/>
          <w:w w:val="99"/>
          <w:kern w:val="2"/>
          <w:highlight w:val="none"/>
        </w:rPr>
        <w:t>黑人常〔</w:t>
      </w:r>
      <w:r>
        <w:rPr>
          <w:rFonts w:ascii="Times New Roman" w:hAnsi="Times New Roman" w:cs="Times New Roman"/>
          <w:iCs/>
          <w:color w:val="auto"/>
          <w:w w:val="99"/>
          <w:kern w:val="2"/>
          <w:highlight w:val="none"/>
        </w:rPr>
        <w:t>2023〕13号）符合性分析见表1.4-</w:t>
      </w:r>
      <w:r>
        <w:rPr>
          <w:rFonts w:hint="eastAsia" w:ascii="Times New Roman" w:hAnsi="Times New Roman" w:cs="Times New Roman"/>
          <w:iCs/>
          <w:color w:val="auto"/>
          <w:w w:val="99"/>
          <w:kern w:val="2"/>
          <w:highlight w:val="none"/>
        </w:rPr>
        <w:t>9</w:t>
      </w:r>
      <w:r>
        <w:rPr>
          <w:rFonts w:ascii="Times New Roman" w:hAnsi="Times New Roman" w:cs="Times New Roman"/>
          <w:iCs/>
          <w:color w:val="auto"/>
          <w:w w:val="99"/>
          <w:kern w:val="2"/>
          <w:highlight w:val="none"/>
        </w:rPr>
        <w:t>。</w:t>
      </w:r>
    </w:p>
    <w:p w14:paraId="1B40AAFE">
      <w:pPr>
        <w:spacing w:line="440" w:lineRule="exact"/>
        <w:jc w:val="center"/>
        <w:rPr>
          <w:rFonts w:ascii="Times New Roman" w:hAnsi="Times New Roman" w:cs="Times New Roman"/>
          <w:b/>
          <w:iCs/>
          <w:color w:val="auto"/>
          <w:w w:val="99"/>
          <w:kern w:val="2"/>
          <w:highlight w:val="none"/>
        </w:rPr>
      </w:pPr>
      <w:r>
        <w:rPr>
          <w:rFonts w:ascii="Times New Roman" w:hAnsi="Times New Roman" w:cs="Times New Roman"/>
          <w:b/>
          <w:iCs/>
          <w:color w:val="auto"/>
          <w:w w:val="99"/>
          <w:kern w:val="2"/>
          <w:highlight w:val="none"/>
        </w:rPr>
        <w:t>表1.4-</w:t>
      </w:r>
      <w:r>
        <w:rPr>
          <w:rFonts w:hint="eastAsia" w:ascii="Times New Roman" w:hAnsi="Times New Roman" w:cs="Times New Roman"/>
          <w:b/>
          <w:iCs/>
          <w:color w:val="auto"/>
          <w:w w:val="99"/>
          <w:kern w:val="2"/>
          <w:highlight w:val="none"/>
        </w:rPr>
        <w:t>9</w:t>
      </w:r>
      <w:r>
        <w:rPr>
          <w:rFonts w:ascii="Times New Roman" w:hAnsi="Times New Roman" w:cs="Times New Roman"/>
          <w:b/>
          <w:iCs/>
          <w:color w:val="auto"/>
          <w:w w:val="99"/>
          <w:kern w:val="2"/>
          <w:highlight w:val="none"/>
        </w:rPr>
        <w:t xml:space="preserve">    本项目与</w:t>
      </w:r>
      <w:r>
        <w:rPr>
          <w:rFonts w:hint="eastAsia" w:ascii="Times New Roman" w:hAnsi="Times New Roman" w:cs="Times New Roman"/>
          <w:b/>
          <w:iCs/>
          <w:color w:val="auto"/>
          <w:w w:val="99"/>
          <w:kern w:val="2"/>
          <w:highlight w:val="none"/>
        </w:rPr>
        <w:t>《黑龙江省水污染防治条例》</w:t>
      </w:r>
      <w:r>
        <w:rPr>
          <w:rFonts w:ascii="Times New Roman" w:hAnsi="Times New Roman" w:cs="Times New Roman"/>
          <w:b/>
          <w:iCs/>
          <w:color w:val="auto"/>
          <w:w w:val="99"/>
          <w:kern w:val="2"/>
          <w:highlight w:val="none"/>
        </w:rPr>
        <w:t>相关要求符合性一览表</w:t>
      </w:r>
    </w:p>
    <w:tbl>
      <w:tblPr>
        <w:tblStyle w:val="8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3652"/>
        <w:gridCol w:w="3992"/>
        <w:gridCol w:w="936"/>
      </w:tblGrid>
      <w:tr w14:paraId="79845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7" w:type="pct"/>
            <w:vAlign w:val="center"/>
          </w:tcPr>
          <w:p w14:paraId="1AEC976F">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序号</w:t>
            </w:r>
          </w:p>
        </w:tc>
        <w:tc>
          <w:tcPr>
            <w:tcW w:w="1967" w:type="pct"/>
            <w:vAlign w:val="center"/>
          </w:tcPr>
          <w:p w14:paraId="017A49E8">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文件要求</w:t>
            </w:r>
          </w:p>
        </w:tc>
        <w:tc>
          <w:tcPr>
            <w:tcW w:w="2150" w:type="pct"/>
            <w:vAlign w:val="center"/>
          </w:tcPr>
          <w:p w14:paraId="4B71EED2">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符合性分析</w:t>
            </w:r>
          </w:p>
        </w:tc>
        <w:tc>
          <w:tcPr>
            <w:tcW w:w="504" w:type="pct"/>
            <w:vAlign w:val="center"/>
          </w:tcPr>
          <w:p w14:paraId="6CE3C834">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符合性</w:t>
            </w:r>
          </w:p>
        </w:tc>
      </w:tr>
      <w:tr w14:paraId="69507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7" w:type="pct"/>
            <w:vAlign w:val="center"/>
          </w:tcPr>
          <w:p w14:paraId="650A41E3">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1</w:t>
            </w:r>
          </w:p>
        </w:tc>
        <w:tc>
          <w:tcPr>
            <w:tcW w:w="1967" w:type="pct"/>
            <w:vAlign w:val="center"/>
          </w:tcPr>
          <w:p w14:paraId="558E85CB">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rPr>
              <w:t>新建、改建、扩建直接或者间接向水体排放污染物的建设项目和其他水上设施，应当依法进行环境影响评价，并符合国家、省、市（地）有关生态保护红线、环境质量底线、资源利用上线和生态环境准入清单的要求。</w:t>
            </w:r>
          </w:p>
        </w:tc>
        <w:tc>
          <w:tcPr>
            <w:tcW w:w="2150" w:type="pct"/>
            <w:vAlign w:val="center"/>
          </w:tcPr>
          <w:p w14:paraId="57AF9EE7">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本项目生产废水均处理达标后回注油层，废水均不外排，同时根据三线一单分析，本项目</w:t>
            </w:r>
            <w:r>
              <w:rPr>
                <w:rFonts w:hint="eastAsia" w:ascii="Times New Roman" w:hAnsi="Times New Roman" w:cs="Times New Roman"/>
                <w:iCs/>
                <w:color w:val="auto"/>
                <w:w w:val="99"/>
                <w:kern w:val="28"/>
                <w:sz w:val="21"/>
                <w:szCs w:val="21"/>
                <w:highlight w:val="none"/>
              </w:rPr>
              <w:t>符合生态保护红线、环境质量底线、资源利用上线和生态环境准入清单的要求。</w:t>
            </w:r>
          </w:p>
        </w:tc>
        <w:tc>
          <w:tcPr>
            <w:tcW w:w="504" w:type="pct"/>
            <w:vAlign w:val="center"/>
          </w:tcPr>
          <w:p w14:paraId="076FDBD0">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179BC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7" w:type="pct"/>
            <w:vAlign w:val="center"/>
          </w:tcPr>
          <w:p w14:paraId="4DF92309">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rPr>
              <w:t>2</w:t>
            </w:r>
          </w:p>
        </w:tc>
        <w:tc>
          <w:tcPr>
            <w:tcW w:w="1967" w:type="pct"/>
            <w:vAlign w:val="center"/>
          </w:tcPr>
          <w:p w14:paraId="69C1FB1D">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rPr>
              <w:t>依照法律规定实行排污许可管理的企业事业单位和其他生产经营者，应当依照《排污许可管理条例》规定申请取得排污许可证，按照排污许可证要求排放污染物；未取得排污许可证的，不得排放污染物。</w:t>
            </w:r>
          </w:p>
        </w:tc>
        <w:tc>
          <w:tcPr>
            <w:tcW w:w="2150" w:type="pct"/>
            <w:vAlign w:val="center"/>
          </w:tcPr>
          <w:p w14:paraId="51CB887C">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hint="eastAsia" w:ascii="Times New Roman" w:hAnsi="Times New Roman" w:cs="Times New Roman"/>
                <w:bCs/>
                <w:iCs/>
                <w:color w:val="auto"/>
                <w:w w:val="99"/>
                <w:kern w:val="28"/>
                <w:sz w:val="21"/>
                <w:szCs w:val="21"/>
                <w:highlight w:val="none"/>
              </w:rPr>
              <w:t>大庆油田有限责任公司采气分公司已办理固定污染源排污许可证登记，登记编号：91230607716675409L007W。有效日期为 2024年10月24日至 2029 年10月23日，申报的排污许可内容主要包括各场站内加热炉、锅炉等。本项目依托的徐深27集气站已经纳入排污许可管理。</w:t>
            </w:r>
          </w:p>
        </w:tc>
        <w:tc>
          <w:tcPr>
            <w:tcW w:w="504" w:type="pct"/>
            <w:vAlign w:val="center"/>
          </w:tcPr>
          <w:p w14:paraId="083FEE0B">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70A26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7" w:type="pct"/>
            <w:vAlign w:val="center"/>
          </w:tcPr>
          <w:p w14:paraId="4EF4AC52">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rPr>
              <w:t>3</w:t>
            </w:r>
          </w:p>
        </w:tc>
        <w:tc>
          <w:tcPr>
            <w:tcW w:w="1967" w:type="pct"/>
            <w:vAlign w:val="center"/>
          </w:tcPr>
          <w:p w14:paraId="1B8394B1">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rPr>
              <w:t>排放工业废水的企业应当采取有效措施，收集和处理产生的全部废水，防止污染环境。含有毒有害水污染物的工业废水应当分类收集和处理，不得稀释排放。</w:t>
            </w:r>
          </w:p>
        </w:tc>
        <w:tc>
          <w:tcPr>
            <w:tcW w:w="2150" w:type="pct"/>
            <w:vAlign w:val="center"/>
          </w:tcPr>
          <w:p w14:paraId="21EC080B">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本项目生产废水均处理达标后回注油层，废水均不外排。</w:t>
            </w:r>
          </w:p>
        </w:tc>
        <w:tc>
          <w:tcPr>
            <w:tcW w:w="504" w:type="pct"/>
            <w:vAlign w:val="center"/>
          </w:tcPr>
          <w:p w14:paraId="76FD5B3E">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740DF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7" w:type="pct"/>
            <w:vAlign w:val="center"/>
          </w:tcPr>
          <w:p w14:paraId="20E8946B">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rPr>
              <w:t>4</w:t>
            </w:r>
          </w:p>
        </w:tc>
        <w:tc>
          <w:tcPr>
            <w:tcW w:w="1967" w:type="pct"/>
            <w:vAlign w:val="center"/>
          </w:tcPr>
          <w:p w14:paraId="15929089">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rPr>
              <w:t>禁止在饮用水水源一级保护区内新建、改建、扩建与供水设施和保护水源无关的建设项目；已建成的与供水设施和保护水源无关的建设项目，依照法律规定处理。</w:t>
            </w:r>
          </w:p>
        </w:tc>
        <w:tc>
          <w:tcPr>
            <w:tcW w:w="2150" w:type="pct"/>
            <w:vAlign w:val="center"/>
          </w:tcPr>
          <w:p w14:paraId="32BF8C12">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本项目的建设均不在</w:t>
            </w:r>
            <w:r>
              <w:rPr>
                <w:rFonts w:hint="eastAsia" w:ascii="Times New Roman" w:hAnsi="Times New Roman" w:cs="Times New Roman"/>
                <w:iCs/>
                <w:color w:val="auto"/>
                <w:w w:val="99"/>
                <w:kern w:val="28"/>
                <w:sz w:val="21"/>
                <w:szCs w:val="21"/>
                <w:highlight w:val="none"/>
              </w:rPr>
              <w:t>饮用水水源一级保护区、二级保护区。</w:t>
            </w:r>
          </w:p>
        </w:tc>
        <w:tc>
          <w:tcPr>
            <w:tcW w:w="504" w:type="pct"/>
            <w:vAlign w:val="center"/>
          </w:tcPr>
          <w:p w14:paraId="796D6022">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1317C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7" w:type="pct"/>
            <w:vAlign w:val="center"/>
          </w:tcPr>
          <w:p w14:paraId="55E89E0F">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rPr>
              <w:t>5</w:t>
            </w:r>
          </w:p>
        </w:tc>
        <w:tc>
          <w:tcPr>
            <w:tcW w:w="1967" w:type="pct"/>
            <w:vAlign w:val="center"/>
          </w:tcPr>
          <w:p w14:paraId="58049744">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rPr>
              <w:t>禁止在饮用水水源二级保护区内新建、改建、扩建排放污染物的建设项目；已建成的排放污染物的建设项目，依照法律规定处理。</w:t>
            </w:r>
          </w:p>
        </w:tc>
        <w:tc>
          <w:tcPr>
            <w:tcW w:w="2150" w:type="pct"/>
            <w:vMerge w:val="restart"/>
            <w:vAlign w:val="center"/>
          </w:tcPr>
          <w:p w14:paraId="432BE22C">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rPr>
              <w:t xml:space="preserve">大庆油田有限责任公司采气分公司 </w:t>
            </w:r>
            <w:r>
              <w:rPr>
                <w:rFonts w:ascii="Times New Roman" w:hAnsi="Times New Roman" w:cs="Times New Roman"/>
                <w:iCs/>
                <w:color w:val="auto"/>
                <w:w w:val="99"/>
                <w:kern w:val="28"/>
                <w:sz w:val="21"/>
                <w:szCs w:val="21"/>
                <w:highlight w:val="none"/>
              </w:rPr>
              <w:t>现有</w:t>
            </w:r>
            <w:r>
              <w:rPr>
                <w:rFonts w:ascii="Times New Roman" w:hAnsi="Times New Roman" w:cs="Times New Roman"/>
                <w:bCs/>
                <w:iCs/>
                <w:color w:val="auto"/>
                <w:w w:val="99"/>
                <w:kern w:val="28"/>
                <w:sz w:val="21"/>
                <w:szCs w:val="21"/>
                <w:highlight w:val="none"/>
              </w:rPr>
              <w:t>《环境突发事件专项应急预案》</w:t>
            </w:r>
            <w:r>
              <w:rPr>
                <w:rFonts w:ascii="Times New Roman" w:hAnsi="Times New Roman" w:cs="Times New Roman"/>
                <w:iCs/>
                <w:color w:val="auto"/>
                <w:w w:val="99"/>
                <w:kern w:val="28"/>
                <w:sz w:val="21"/>
                <w:szCs w:val="21"/>
                <w:highlight w:val="none"/>
              </w:rPr>
              <w:t>主要包括应急组织机构及职责明确、监测与预警、应急处置与应急响应、恢复与重建、应急保障与培训、督查与奖惩等内容。</w:t>
            </w:r>
            <w:r>
              <w:rPr>
                <w:rFonts w:hint="eastAsia" w:ascii="Times New Roman" w:hAnsi="Times New Roman" w:cs="Times New Roman"/>
                <w:iCs/>
                <w:color w:val="auto"/>
                <w:w w:val="99"/>
                <w:kern w:val="28"/>
                <w:sz w:val="21"/>
                <w:szCs w:val="21"/>
                <w:highlight w:val="none"/>
              </w:rPr>
              <w:t>并于</w:t>
            </w:r>
            <w:r>
              <w:rPr>
                <w:rFonts w:ascii="Times New Roman" w:hAnsi="Times New Roman" w:cs="Times New Roman"/>
                <w:iCs/>
                <w:color w:val="auto"/>
                <w:w w:val="99"/>
                <w:kern w:val="28"/>
                <w:sz w:val="21"/>
                <w:szCs w:val="21"/>
                <w:highlight w:val="none"/>
              </w:rPr>
              <w:t>202</w:t>
            </w:r>
            <w:r>
              <w:rPr>
                <w:rFonts w:hint="eastAsia" w:ascii="Times New Roman" w:hAnsi="Times New Roman" w:cs="Times New Roman"/>
                <w:iCs/>
                <w:color w:val="auto"/>
                <w:w w:val="99"/>
                <w:kern w:val="28"/>
                <w:sz w:val="21"/>
                <w:szCs w:val="21"/>
                <w:highlight w:val="none"/>
              </w:rPr>
              <w:t>4</w:t>
            </w:r>
            <w:r>
              <w:rPr>
                <w:rFonts w:ascii="Times New Roman" w:hAnsi="Times New Roman" w:cs="Times New Roman"/>
                <w:iCs/>
                <w:color w:val="auto"/>
                <w:w w:val="99"/>
                <w:kern w:val="28"/>
                <w:sz w:val="21"/>
                <w:szCs w:val="21"/>
                <w:highlight w:val="none"/>
              </w:rPr>
              <w:t>年</w:t>
            </w:r>
            <w:r>
              <w:rPr>
                <w:rFonts w:hint="eastAsia" w:ascii="Times New Roman" w:hAnsi="Times New Roman" w:cs="Times New Roman"/>
                <w:iCs/>
                <w:color w:val="auto"/>
                <w:w w:val="99"/>
                <w:kern w:val="28"/>
                <w:sz w:val="21"/>
                <w:szCs w:val="21"/>
                <w:highlight w:val="none"/>
              </w:rPr>
              <w:t>10</w:t>
            </w:r>
            <w:r>
              <w:rPr>
                <w:rFonts w:ascii="Times New Roman" w:hAnsi="Times New Roman" w:cs="Times New Roman"/>
                <w:iCs/>
                <w:color w:val="auto"/>
                <w:w w:val="99"/>
                <w:kern w:val="28"/>
                <w:sz w:val="21"/>
                <w:szCs w:val="21"/>
                <w:highlight w:val="none"/>
              </w:rPr>
              <w:t>月</w:t>
            </w:r>
            <w:r>
              <w:rPr>
                <w:rFonts w:hint="eastAsia" w:ascii="Times New Roman" w:hAnsi="Times New Roman" w:cs="Times New Roman"/>
                <w:iCs/>
                <w:color w:val="auto"/>
                <w:w w:val="99"/>
                <w:kern w:val="28"/>
                <w:sz w:val="21"/>
                <w:szCs w:val="21"/>
                <w:highlight w:val="none"/>
              </w:rPr>
              <w:t>23</w:t>
            </w:r>
            <w:r>
              <w:rPr>
                <w:rFonts w:ascii="Times New Roman" w:hAnsi="Times New Roman" w:cs="Times New Roman"/>
                <w:iCs/>
                <w:color w:val="auto"/>
                <w:w w:val="99"/>
                <w:kern w:val="28"/>
                <w:sz w:val="21"/>
                <w:szCs w:val="21"/>
                <w:highlight w:val="none"/>
              </w:rPr>
              <w:t>日在</w:t>
            </w:r>
            <w:r>
              <w:rPr>
                <w:rFonts w:ascii="Times New Roman" w:hAnsi="Times New Roman" w:cs="Times New Roman"/>
                <w:bCs/>
                <w:iCs/>
                <w:color w:val="auto"/>
                <w:w w:val="99"/>
                <w:kern w:val="28"/>
                <w:sz w:val="21"/>
                <w:szCs w:val="21"/>
                <w:highlight w:val="none"/>
              </w:rPr>
              <w:t>大庆市</w:t>
            </w:r>
            <w:r>
              <w:rPr>
                <w:rFonts w:hint="eastAsia" w:ascii="Times New Roman" w:hAnsi="Times New Roman" w:cs="Times New Roman"/>
                <w:bCs/>
                <w:iCs/>
                <w:color w:val="auto"/>
                <w:w w:val="99"/>
                <w:kern w:val="28"/>
                <w:sz w:val="21"/>
                <w:szCs w:val="21"/>
                <w:highlight w:val="none"/>
              </w:rPr>
              <w:t>让胡路</w:t>
            </w:r>
            <w:r>
              <w:rPr>
                <w:rFonts w:ascii="Times New Roman" w:hAnsi="Times New Roman" w:cs="Times New Roman"/>
                <w:bCs/>
                <w:iCs/>
                <w:color w:val="auto"/>
                <w:w w:val="99"/>
                <w:kern w:val="28"/>
                <w:sz w:val="21"/>
                <w:szCs w:val="21"/>
                <w:highlight w:val="none"/>
              </w:rPr>
              <w:t>生态环境局</w:t>
            </w:r>
            <w:r>
              <w:rPr>
                <w:rFonts w:ascii="Times New Roman" w:hAnsi="Times New Roman" w:cs="Times New Roman"/>
                <w:iCs/>
                <w:color w:val="auto"/>
                <w:w w:val="99"/>
                <w:kern w:val="28"/>
                <w:sz w:val="21"/>
                <w:szCs w:val="21"/>
                <w:highlight w:val="none"/>
              </w:rPr>
              <w:t>进行了备案，备案编</w:t>
            </w:r>
            <w:r>
              <w:rPr>
                <w:rFonts w:hint="eastAsia" w:ascii="Times New Roman" w:hAnsi="Times New Roman" w:cs="Times New Roman"/>
                <w:iCs/>
                <w:color w:val="auto"/>
                <w:w w:val="99"/>
                <w:kern w:val="28"/>
                <w:sz w:val="21"/>
                <w:szCs w:val="21"/>
                <w:highlight w:val="none"/>
              </w:rPr>
              <w:t>号为</w:t>
            </w:r>
            <w:r>
              <w:rPr>
                <w:rFonts w:ascii="Times New Roman" w:hAnsi="Times New Roman" w:cs="Times New Roman"/>
                <w:iCs/>
                <w:color w:val="auto"/>
                <w:w w:val="99"/>
                <w:kern w:val="28"/>
                <w:sz w:val="21"/>
                <w:szCs w:val="21"/>
                <w:highlight w:val="none"/>
              </w:rPr>
              <w:t xml:space="preserve"> </w:t>
            </w:r>
            <w:r>
              <w:rPr>
                <w:rFonts w:ascii="Times New Roman" w:hAnsi="Times New Roman" w:cs="Times New Roman"/>
                <w:color w:val="auto"/>
                <w:w w:val="99"/>
                <w:sz w:val="21"/>
                <w:szCs w:val="21"/>
                <w:highlight w:val="none"/>
              </w:rPr>
              <w:t>230604-2024-47-L</w:t>
            </w:r>
            <w:r>
              <w:rPr>
                <w:rFonts w:ascii="Times New Roman" w:hAnsi="Times New Roman" w:cs="Times New Roman"/>
                <w:iCs/>
                <w:color w:val="auto"/>
                <w:w w:val="99"/>
                <w:kern w:val="28"/>
                <w:sz w:val="21"/>
                <w:szCs w:val="21"/>
                <w:highlight w:val="none"/>
              </w:rPr>
              <w:t>。</w:t>
            </w:r>
          </w:p>
        </w:tc>
        <w:tc>
          <w:tcPr>
            <w:tcW w:w="504" w:type="pct"/>
            <w:vMerge w:val="restart"/>
            <w:vAlign w:val="center"/>
          </w:tcPr>
          <w:p w14:paraId="05907CFE">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3F216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7" w:type="pct"/>
            <w:vAlign w:val="center"/>
          </w:tcPr>
          <w:p w14:paraId="12843632">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rPr>
              <w:t>6</w:t>
            </w:r>
          </w:p>
        </w:tc>
        <w:tc>
          <w:tcPr>
            <w:tcW w:w="1967" w:type="pct"/>
            <w:vAlign w:val="center"/>
          </w:tcPr>
          <w:p w14:paraId="751FC692">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rPr>
              <w:t>可能发生水污染事故的企业事业单位，应当制定有关水污染事故的应急方案，做好应急物资储备等应急准备，并定期进行演练。</w:t>
            </w:r>
          </w:p>
        </w:tc>
        <w:tc>
          <w:tcPr>
            <w:tcW w:w="2150" w:type="pct"/>
            <w:vMerge w:val="continue"/>
            <w:vAlign w:val="center"/>
          </w:tcPr>
          <w:p w14:paraId="5F11C7E6">
            <w:pPr>
              <w:widowControl w:val="0"/>
              <w:adjustRightInd w:val="0"/>
              <w:snapToGrid w:val="0"/>
              <w:spacing w:line="360" w:lineRule="exact"/>
              <w:jc w:val="both"/>
              <w:rPr>
                <w:rFonts w:ascii="Times New Roman" w:hAnsi="Times New Roman" w:cs="Times New Roman"/>
                <w:iCs/>
                <w:color w:val="auto"/>
                <w:w w:val="99"/>
                <w:kern w:val="28"/>
                <w:sz w:val="21"/>
                <w:szCs w:val="21"/>
                <w:highlight w:val="none"/>
              </w:rPr>
            </w:pPr>
          </w:p>
        </w:tc>
        <w:tc>
          <w:tcPr>
            <w:tcW w:w="504" w:type="pct"/>
            <w:vMerge w:val="continue"/>
            <w:vAlign w:val="center"/>
          </w:tcPr>
          <w:p w14:paraId="482E9BF2">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p>
        </w:tc>
      </w:tr>
    </w:tbl>
    <w:p w14:paraId="7E986DD4">
      <w:pPr>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iCs/>
          <w:color w:val="auto"/>
          <w:w w:val="99"/>
          <w:kern w:val="2"/>
          <w:highlight w:val="none"/>
        </w:rPr>
        <w:t>根据以上分析，本项目符合</w:t>
      </w:r>
      <w:r>
        <w:rPr>
          <w:rFonts w:hint="eastAsia" w:ascii="Times New Roman" w:hAnsi="Times New Roman" w:cs="Times New Roman"/>
          <w:iCs/>
          <w:color w:val="auto"/>
          <w:w w:val="99"/>
          <w:kern w:val="2"/>
          <w:highlight w:val="none"/>
        </w:rPr>
        <w:t>《黑龙江省水污染防治条例》</w:t>
      </w:r>
      <w:r>
        <w:rPr>
          <w:rFonts w:ascii="Times New Roman" w:hAnsi="Times New Roman" w:cs="Times New Roman"/>
          <w:iCs/>
          <w:color w:val="auto"/>
          <w:w w:val="99"/>
          <w:kern w:val="2"/>
          <w:highlight w:val="none"/>
        </w:rPr>
        <w:t>（</w:t>
      </w:r>
      <w:r>
        <w:rPr>
          <w:rFonts w:hint="eastAsia" w:ascii="Times New Roman" w:hAnsi="Times New Roman" w:cs="Times New Roman"/>
          <w:iCs/>
          <w:color w:val="auto"/>
          <w:w w:val="99"/>
          <w:kern w:val="2"/>
          <w:highlight w:val="none"/>
        </w:rPr>
        <w:t>黑人常〔</w:t>
      </w:r>
      <w:r>
        <w:rPr>
          <w:rFonts w:ascii="Times New Roman" w:hAnsi="Times New Roman" w:cs="Times New Roman"/>
          <w:iCs/>
          <w:color w:val="auto"/>
          <w:w w:val="99"/>
          <w:kern w:val="2"/>
          <w:highlight w:val="none"/>
        </w:rPr>
        <w:t>2023〕13号）中要求。</w:t>
      </w:r>
    </w:p>
    <w:p w14:paraId="38BA505B">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1.4.3.1</w:t>
      </w:r>
      <w:r>
        <w:rPr>
          <w:rFonts w:hint="eastAsia" w:ascii="Times New Roman" w:hAnsi="Times New Roman" w:eastAsiaTheme="minorEastAsia"/>
          <w:b/>
          <w:color w:val="auto"/>
          <w:w w:val="99"/>
          <w:highlight w:val="none"/>
        </w:rPr>
        <w:t>0</w:t>
      </w:r>
      <w:r>
        <w:rPr>
          <w:rFonts w:ascii="Times New Roman" w:hAnsi="Times New Roman" w:eastAsiaTheme="minorEastAsia"/>
          <w:b/>
          <w:color w:val="auto"/>
          <w:w w:val="99"/>
          <w:highlight w:val="none"/>
        </w:rPr>
        <w:t>与《地下水管理条例》（</w:t>
      </w:r>
      <w:r>
        <w:rPr>
          <w:rFonts w:hint="eastAsia" w:ascii="Times New Roman" w:hAnsi="Times New Roman" w:eastAsiaTheme="minorEastAsia"/>
          <w:b/>
          <w:color w:val="auto"/>
          <w:w w:val="99"/>
          <w:highlight w:val="none"/>
        </w:rPr>
        <w:t>国令第</w:t>
      </w:r>
      <w:r>
        <w:rPr>
          <w:rFonts w:ascii="Times New Roman" w:hAnsi="Times New Roman" w:eastAsiaTheme="minorEastAsia"/>
          <w:b/>
          <w:color w:val="auto"/>
          <w:w w:val="99"/>
          <w:highlight w:val="none"/>
        </w:rPr>
        <w:t>748号）符合性分析</w:t>
      </w:r>
    </w:p>
    <w:p w14:paraId="5EA99417">
      <w:pPr>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iCs/>
          <w:color w:val="auto"/>
          <w:w w:val="99"/>
          <w:kern w:val="2"/>
          <w:highlight w:val="none"/>
        </w:rPr>
        <w:t>本项目与《地下水管理条例》（</w:t>
      </w:r>
      <w:r>
        <w:rPr>
          <w:rFonts w:hint="eastAsia" w:ascii="Times New Roman" w:hAnsi="Times New Roman" w:cs="Times New Roman"/>
          <w:iCs/>
          <w:color w:val="auto"/>
          <w:w w:val="99"/>
          <w:kern w:val="2"/>
          <w:highlight w:val="none"/>
        </w:rPr>
        <w:t>国令第</w:t>
      </w:r>
      <w:r>
        <w:rPr>
          <w:rFonts w:ascii="Times New Roman" w:hAnsi="Times New Roman" w:cs="Times New Roman"/>
          <w:iCs/>
          <w:color w:val="auto"/>
          <w:w w:val="99"/>
          <w:kern w:val="2"/>
          <w:highlight w:val="none"/>
        </w:rPr>
        <w:t>748号）符合性分析见表1.4-</w:t>
      </w:r>
      <w:r>
        <w:rPr>
          <w:rFonts w:hint="eastAsia" w:ascii="Times New Roman" w:hAnsi="Times New Roman" w:cs="Times New Roman"/>
          <w:iCs/>
          <w:color w:val="auto"/>
          <w:w w:val="99"/>
          <w:kern w:val="2"/>
          <w:highlight w:val="none"/>
        </w:rPr>
        <w:t>10</w:t>
      </w:r>
      <w:r>
        <w:rPr>
          <w:rFonts w:ascii="Times New Roman" w:hAnsi="Times New Roman" w:cs="Times New Roman"/>
          <w:iCs/>
          <w:color w:val="auto"/>
          <w:w w:val="99"/>
          <w:kern w:val="2"/>
          <w:highlight w:val="none"/>
        </w:rPr>
        <w:t>。</w:t>
      </w:r>
    </w:p>
    <w:p w14:paraId="2AA318D0">
      <w:pPr>
        <w:spacing w:line="440" w:lineRule="exact"/>
        <w:ind w:firstLine="476" w:firstLineChars="200"/>
        <w:jc w:val="both"/>
        <w:rPr>
          <w:rFonts w:ascii="Times New Roman" w:hAnsi="Times New Roman" w:cs="Times New Roman"/>
          <w:iCs/>
          <w:color w:val="auto"/>
          <w:w w:val="99"/>
          <w:kern w:val="2"/>
          <w:highlight w:val="none"/>
        </w:rPr>
      </w:pPr>
      <w:r>
        <w:rPr>
          <w:rFonts w:ascii="Times New Roman" w:hAnsi="Times New Roman" w:cs="Times New Roman"/>
          <w:b/>
          <w:iCs/>
          <w:color w:val="auto"/>
          <w:w w:val="99"/>
          <w:kern w:val="2"/>
          <w:highlight w:val="none"/>
        </w:rPr>
        <w:t>表1.4-1</w:t>
      </w:r>
      <w:r>
        <w:rPr>
          <w:rFonts w:hint="eastAsia" w:ascii="Times New Roman" w:hAnsi="Times New Roman" w:cs="Times New Roman"/>
          <w:b/>
          <w:iCs/>
          <w:color w:val="auto"/>
          <w:w w:val="99"/>
          <w:kern w:val="2"/>
          <w:highlight w:val="none"/>
        </w:rPr>
        <w:t>0</w:t>
      </w:r>
      <w:r>
        <w:rPr>
          <w:rFonts w:ascii="Times New Roman" w:hAnsi="Times New Roman" w:cs="Times New Roman"/>
          <w:b/>
          <w:iCs/>
          <w:color w:val="auto"/>
          <w:w w:val="99"/>
          <w:kern w:val="2"/>
          <w:highlight w:val="none"/>
        </w:rPr>
        <w:t xml:space="preserve">    本项目与</w:t>
      </w:r>
      <w:r>
        <w:rPr>
          <w:rFonts w:hint="eastAsia" w:ascii="Times New Roman" w:hAnsi="Times New Roman" w:cs="Times New Roman"/>
          <w:b/>
          <w:iCs/>
          <w:color w:val="auto"/>
          <w:w w:val="99"/>
          <w:kern w:val="2"/>
          <w:highlight w:val="none"/>
        </w:rPr>
        <w:t>“国令第</w:t>
      </w:r>
      <w:r>
        <w:rPr>
          <w:rFonts w:ascii="Times New Roman" w:hAnsi="Times New Roman" w:cs="Times New Roman"/>
          <w:b/>
          <w:iCs/>
          <w:color w:val="auto"/>
          <w:w w:val="99"/>
          <w:kern w:val="2"/>
          <w:highlight w:val="none"/>
        </w:rPr>
        <w:t>748号</w:t>
      </w:r>
      <w:r>
        <w:rPr>
          <w:rFonts w:hint="eastAsia" w:ascii="Times New Roman" w:hAnsi="Times New Roman" w:cs="Times New Roman"/>
          <w:b/>
          <w:iCs/>
          <w:color w:val="auto"/>
          <w:w w:val="99"/>
          <w:kern w:val="2"/>
          <w:highlight w:val="none"/>
        </w:rPr>
        <w:t>”</w:t>
      </w:r>
      <w:r>
        <w:rPr>
          <w:rFonts w:ascii="Times New Roman" w:hAnsi="Times New Roman" w:cs="Times New Roman"/>
          <w:b/>
          <w:iCs/>
          <w:color w:val="auto"/>
          <w:w w:val="99"/>
          <w:kern w:val="2"/>
          <w:highlight w:val="none"/>
        </w:rPr>
        <w:t>相关要求符合性一览表</w:t>
      </w:r>
    </w:p>
    <w:tbl>
      <w:tblPr>
        <w:tblStyle w:val="8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3504"/>
        <w:gridCol w:w="4133"/>
        <w:gridCol w:w="940"/>
      </w:tblGrid>
      <w:tr w14:paraId="5022B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4DFBB0F7">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序号</w:t>
            </w:r>
          </w:p>
        </w:tc>
        <w:tc>
          <w:tcPr>
            <w:tcW w:w="1888" w:type="pct"/>
            <w:vAlign w:val="center"/>
          </w:tcPr>
          <w:p w14:paraId="4BC0BF8F">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文件要求</w:t>
            </w:r>
          </w:p>
        </w:tc>
        <w:tc>
          <w:tcPr>
            <w:tcW w:w="2227" w:type="pct"/>
            <w:vAlign w:val="center"/>
          </w:tcPr>
          <w:p w14:paraId="3C81A3E5">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符合性分析</w:t>
            </w:r>
          </w:p>
        </w:tc>
        <w:tc>
          <w:tcPr>
            <w:tcW w:w="506" w:type="pct"/>
            <w:vAlign w:val="center"/>
          </w:tcPr>
          <w:p w14:paraId="547964F4">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符合性</w:t>
            </w:r>
          </w:p>
        </w:tc>
      </w:tr>
      <w:tr w14:paraId="19AB2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9" w:type="pct"/>
            <w:vAlign w:val="center"/>
          </w:tcPr>
          <w:p w14:paraId="5F348EE4">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1</w:t>
            </w:r>
          </w:p>
        </w:tc>
        <w:tc>
          <w:tcPr>
            <w:tcW w:w="1888" w:type="pct"/>
            <w:vAlign w:val="center"/>
          </w:tcPr>
          <w:p w14:paraId="7E5A9DA9">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兴建地下工程设施或者进行地下勘探、采矿等活动，依法编制的环境影响评价文件中，应当包括地下水污染防治的内容，并采取防护性措施；</w:t>
            </w:r>
          </w:p>
        </w:tc>
        <w:tc>
          <w:tcPr>
            <w:tcW w:w="2227" w:type="pct"/>
            <w:vMerge w:val="restart"/>
            <w:vAlign w:val="center"/>
          </w:tcPr>
          <w:p w14:paraId="755F5E9E">
            <w:pPr>
              <w:widowControl w:val="0"/>
              <w:adjustRightInd w:val="0"/>
              <w:snapToGrid w:val="0"/>
              <w:spacing w:line="360" w:lineRule="exact"/>
              <w:jc w:val="both"/>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本项目已针对项目特点提出针对性地下水污染防治措施，主要包括采取分区防渗措施，根据可能对地下水造成污染的污染源分布制定重点防渗区、一般防渗区；根据区域潜水流向，本项目在区域</w:t>
            </w:r>
            <w:r>
              <w:rPr>
                <w:rFonts w:hint="eastAsia" w:ascii="Times New Roman" w:hAnsi="Times New Roman" w:cs="Times New Roman"/>
                <w:iCs/>
                <w:color w:val="auto"/>
                <w:w w:val="99"/>
                <w:kern w:val="28"/>
                <w:sz w:val="21"/>
                <w:szCs w:val="21"/>
                <w:highlight w:val="none"/>
              </w:rPr>
              <w:t>、</w:t>
            </w:r>
            <w:r>
              <w:rPr>
                <w:rFonts w:ascii="Times New Roman" w:hAnsi="Times New Roman" w:cs="Times New Roman"/>
                <w:iCs/>
                <w:color w:val="auto"/>
                <w:w w:val="99"/>
                <w:kern w:val="28"/>
                <w:sz w:val="21"/>
                <w:szCs w:val="21"/>
                <w:highlight w:val="none"/>
              </w:rPr>
              <w:t>下游设</w:t>
            </w:r>
            <w:r>
              <w:rPr>
                <w:rFonts w:hint="eastAsia" w:ascii="Times New Roman" w:hAnsi="Times New Roman" w:cs="Times New Roman"/>
                <w:iCs/>
                <w:color w:val="auto"/>
                <w:w w:val="99"/>
                <w:kern w:val="28"/>
                <w:sz w:val="21"/>
                <w:szCs w:val="21"/>
                <w:highlight w:val="none"/>
              </w:rPr>
              <w:t>3</w:t>
            </w:r>
            <w:r>
              <w:rPr>
                <w:rFonts w:ascii="Times New Roman" w:hAnsi="Times New Roman" w:cs="Times New Roman"/>
                <w:iCs/>
                <w:color w:val="auto"/>
                <w:w w:val="99"/>
                <w:kern w:val="28"/>
                <w:sz w:val="21"/>
                <w:szCs w:val="21"/>
                <w:highlight w:val="none"/>
              </w:rPr>
              <w:t>个潜水跟踪监测点，定期对地下水进行跟踪监测。</w:t>
            </w:r>
          </w:p>
        </w:tc>
        <w:tc>
          <w:tcPr>
            <w:tcW w:w="506" w:type="pct"/>
            <w:vMerge w:val="restart"/>
            <w:vAlign w:val="center"/>
          </w:tcPr>
          <w:p w14:paraId="66BDC7E9">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5F0CF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5518BBB7">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2</w:t>
            </w:r>
          </w:p>
        </w:tc>
        <w:tc>
          <w:tcPr>
            <w:tcW w:w="1888" w:type="pct"/>
            <w:vAlign w:val="center"/>
          </w:tcPr>
          <w:p w14:paraId="30E637DE">
            <w:pPr>
              <w:widowControl w:val="0"/>
              <w:adjustRightInd w:val="0"/>
              <w:snapToGrid w:val="0"/>
              <w:spacing w:line="360" w:lineRule="exac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化学品生产企业以及工业集聚区、矿山开采区、尾矿库、危险废物处置场、垃圾填埋场等的运营、管理单位，应当采取防渗漏等措施，并建设地下水水质监测井进行监测；</w:t>
            </w:r>
          </w:p>
        </w:tc>
        <w:tc>
          <w:tcPr>
            <w:tcW w:w="2227" w:type="pct"/>
            <w:vMerge w:val="continue"/>
            <w:vAlign w:val="center"/>
          </w:tcPr>
          <w:p w14:paraId="0AFA1811">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p>
        </w:tc>
        <w:tc>
          <w:tcPr>
            <w:tcW w:w="506" w:type="pct"/>
            <w:vMerge w:val="continue"/>
            <w:vAlign w:val="center"/>
          </w:tcPr>
          <w:p w14:paraId="377A048A">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p>
        </w:tc>
      </w:tr>
    </w:tbl>
    <w:p w14:paraId="10566F31">
      <w:pPr>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iCs/>
          <w:color w:val="auto"/>
          <w:w w:val="99"/>
          <w:kern w:val="2"/>
          <w:highlight w:val="none"/>
        </w:rPr>
        <w:t>根据以上分析，本项目符合《地下水管理条例》（</w:t>
      </w:r>
      <w:r>
        <w:rPr>
          <w:rFonts w:hint="eastAsia" w:ascii="Times New Roman" w:hAnsi="Times New Roman" w:cs="Times New Roman"/>
          <w:iCs/>
          <w:color w:val="auto"/>
          <w:w w:val="99"/>
          <w:kern w:val="2"/>
          <w:highlight w:val="none"/>
        </w:rPr>
        <w:t>国令第</w:t>
      </w:r>
      <w:r>
        <w:rPr>
          <w:rFonts w:ascii="Times New Roman" w:hAnsi="Times New Roman" w:cs="Times New Roman"/>
          <w:iCs/>
          <w:color w:val="auto"/>
          <w:w w:val="99"/>
          <w:kern w:val="2"/>
          <w:highlight w:val="none"/>
        </w:rPr>
        <w:t>748号）中要求。</w:t>
      </w:r>
    </w:p>
    <w:p w14:paraId="5EF46CBC">
      <w:pPr>
        <w:widowControl w:val="0"/>
        <w:autoSpaceDE w:val="0"/>
        <w:autoSpaceDN w:val="0"/>
        <w:spacing w:line="440" w:lineRule="exact"/>
        <w:jc w:val="both"/>
        <w:outlineLvl w:val="3"/>
        <w:rPr>
          <w:rFonts w:ascii="Times New Roman" w:hAnsi="Times New Roman" w:cs="Times New Roman"/>
          <w:b/>
          <w:color w:val="auto"/>
          <w:w w:val="99"/>
          <w:highlight w:val="none"/>
          <w:lang w:val="zh-CN" w:bidi="zh-CN"/>
        </w:rPr>
      </w:pPr>
      <w:r>
        <w:rPr>
          <w:rFonts w:ascii="Times New Roman" w:hAnsi="Times New Roman" w:cs="Times New Roman"/>
          <w:b/>
          <w:color w:val="auto"/>
          <w:w w:val="99"/>
          <w:highlight w:val="none"/>
          <w:lang w:val="zh-CN" w:bidi="zh-CN"/>
        </w:rPr>
        <w:t>1.4.</w:t>
      </w:r>
      <w:r>
        <w:rPr>
          <w:rFonts w:ascii="Times New Roman" w:hAnsi="Times New Roman" w:cs="Times New Roman"/>
          <w:b/>
          <w:color w:val="auto"/>
          <w:w w:val="99"/>
          <w:highlight w:val="none"/>
          <w:lang w:bidi="zh-CN"/>
        </w:rPr>
        <w:t>3</w:t>
      </w:r>
      <w:r>
        <w:rPr>
          <w:rFonts w:ascii="Times New Roman" w:hAnsi="Times New Roman" w:cs="Times New Roman"/>
          <w:b/>
          <w:color w:val="auto"/>
          <w:w w:val="99"/>
          <w:highlight w:val="none"/>
          <w:lang w:val="zh-CN" w:bidi="zh-CN"/>
        </w:rPr>
        <w:t>.</w:t>
      </w:r>
      <w:r>
        <w:rPr>
          <w:rFonts w:ascii="Times New Roman" w:hAnsi="Times New Roman" w:cs="Times New Roman"/>
          <w:b/>
          <w:color w:val="auto"/>
          <w:w w:val="99"/>
          <w:highlight w:val="none"/>
          <w:lang w:bidi="zh-CN"/>
        </w:rPr>
        <w:t>1</w:t>
      </w:r>
      <w:r>
        <w:rPr>
          <w:rFonts w:hint="eastAsia" w:ascii="Times New Roman" w:hAnsi="Times New Roman" w:cs="Times New Roman"/>
          <w:b/>
          <w:color w:val="auto"/>
          <w:w w:val="99"/>
          <w:highlight w:val="none"/>
          <w:lang w:bidi="zh-CN"/>
        </w:rPr>
        <w:t>1</w:t>
      </w:r>
      <w:r>
        <w:rPr>
          <w:rFonts w:ascii="Times New Roman" w:hAnsi="Times New Roman" w:cs="Times New Roman"/>
          <w:b/>
          <w:color w:val="auto"/>
          <w:w w:val="99"/>
          <w:highlight w:val="none"/>
          <w:lang w:val="zh-CN" w:bidi="zh-CN"/>
        </w:rPr>
        <w:t>与</w:t>
      </w:r>
      <w:r>
        <w:rPr>
          <w:rFonts w:hint="eastAsia" w:ascii="Times New Roman" w:hAnsi="Times New Roman" w:cs="Times New Roman"/>
          <w:b/>
          <w:color w:val="auto"/>
          <w:w w:val="99"/>
          <w:highlight w:val="none"/>
          <w:lang w:val="zh-CN" w:bidi="zh-CN"/>
        </w:rPr>
        <w:t>《黑龙江省人民政府办公厅关于建设占用耕地耕作层土壤剥离利用工作的指导意见（试行）》（</w:t>
      </w:r>
      <w:r>
        <w:rPr>
          <w:rFonts w:ascii="Times New Roman" w:hAnsi="Times New Roman" w:cs="Times New Roman"/>
          <w:b/>
          <w:color w:val="auto"/>
          <w:w w:val="99"/>
          <w:highlight w:val="none"/>
          <w:lang w:val="zh-CN" w:bidi="zh-CN"/>
        </w:rPr>
        <w:t>黑政办规〔2021〕18号</w:t>
      </w:r>
      <w:r>
        <w:rPr>
          <w:rFonts w:hint="eastAsia" w:ascii="Times New Roman" w:hAnsi="Times New Roman" w:cs="Times New Roman"/>
          <w:b/>
          <w:color w:val="auto"/>
          <w:w w:val="99"/>
          <w:highlight w:val="none"/>
          <w:lang w:val="zh-CN" w:bidi="zh-CN"/>
        </w:rPr>
        <w:t>）</w:t>
      </w:r>
      <w:r>
        <w:rPr>
          <w:rFonts w:ascii="Times New Roman" w:hAnsi="Times New Roman" w:cs="Times New Roman"/>
          <w:b/>
          <w:color w:val="auto"/>
          <w:w w:val="99"/>
          <w:highlight w:val="none"/>
          <w:lang w:val="zh-CN" w:bidi="zh-CN"/>
        </w:rPr>
        <w:t>符合性分析</w:t>
      </w:r>
    </w:p>
    <w:p w14:paraId="61FC6281">
      <w:pPr>
        <w:widowControl w:val="0"/>
        <w:autoSpaceDE w:val="0"/>
        <w:autoSpaceDN w:val="0"/>
        <w:spacing w:line="440" w:lineRule="exact"/>
        <w:ind w:firstLine="474" w:firstLineChars="200"/>
        <w:jc w:val="both"/>
        <w:rPr>
          <w:rFonts w:ascii="Times New Roman" w:hAnsi="Times New Roman" w:cs="Times New Roman"/>
          <w:iCs/>
          <w:color w:val="auto"/>
          <w:w w:val="99"/>
          <w:kern w:val="2"/>
          <w:highlight w:val="none"/>
          <w:lang w:val="zh-CN" w:bidi="zh-CN"/>
        </w:rPr>
      </w:pPr>
      <w:r>
        <w:rPr>
          <w:rFonts w:ascii="Times New Roman" w:hAnsi="Times New Roman" w:cs="Times New Roman"/>
          <w:iCs/>
          <w:color w:val="auto"/>
          <w:w w:val="99"/>
          <w:kern w:val="2"/>
          <w:highlight w:val="none"/>
          <w:lang w:val="zh-CN" w:bidi="zh-CN"/>
        </w:rPr>
        <w:t>本项目与《黑龙江省人民政府办公厅关于建设占用耕地耕作层土壤剥离利用工作的指导意见（试行）》（黑政办规〔2021〕18号）符合性分析见表1.4-</w:t>
      </w:r>
      <w:r>
        <w:rPr>
          <w:rFonts w:ascii="Times New Roman" w:hAnsi="Times New Roman" w:cs="Times New Roman"/>
          <w:iCs/>
          <w:color w:val="auto"/>
          <w:w w:val="99"/>
          <w:kern w:val="2"/>
          <w:highlight w:val="none"/>
          <w:lang w:bidi="zh-CN"/>
        </w:rPr>
        <w:t>1</w:t>
      </w:r>
      <w:r>
        <w:rPr>
          <w:rFonts w:hint="eastAsia" w:ascii="Times New Roman" w:hAnsi="Times New Roman" w:cs="Times New Roman"/>
          <w:iCs/>
          <w:color w:val="auto"/>
          <w:w w:val="99"/>
          <w:kern w:val="2"/>
          <w:highlight w:val="none"/>
          <w:lang w:bidi="zh-CN"/>
        </w:rPr>
        <w:t>1</w:t>
      </w:r>
      <w:r>
        <w:rPr>
          <w:rFonts w:ascii="Times New Roman" w:hAnsi="Times New Roman" w:cs="Times New Roman"/>
          <w:iCs/>
          <w:color w:val="auto"/>
          <w:w w:val="99"/>
          <w:kern w:val="2"/>
          <w:highlight w:val="none"/>
          <w:lang w:val="zh-CN" w:bidi="zh-CN"/>
        </w:rPr>
        <w:t>。</w:t>
      </w:r>
    </w:p>
    <w:p w14:paraId="2A5BD285">
      <w:pPr>
        <w:widowControl w:val="0"/>
        <w:autoSpaceDE w:val="0"/>
        <w:autoSpaceDN w:val="0"/>
        <w:spacing w:line="440" w:lineRule="exact"/>
        <w:ind w:firstLine="476" w:firstLineChars="200"/>
        <w:jc w:val="both"/>
        <w:rPr>
          <w:rFonts w:ascii="Times New Roman" w:hAnsi="Times New Roman" w:cs="Times New Roman"/>
          <w:iCs/>
          <w:color w:val="auto"/>
          <w:w w:val="99"/>
          <w:kern w:val="2"/>
          <w:highlight w:val="none"/>
          <w:lang w:val="zh-CN" w:bidi="zh-CN"/>
        </w:rPr>
      </w:pPr>
      <w:r>
        <w:rPr>
          <w:rFonts w:ascii="Times New Roman" w:hAnsi="Times New Roman" w:cs="Times New Roman"/>
          <w:b/>
          <w:iCs/>
          <w:color w:val="auto"/>
          <w:w w:val="99"/>
          <w:kern w:val="2"/>
          <w:highlight w:val="none"/>
          <w:lang w:val="zh-CN" w:bidi="zh-CN"/>
        </w:rPr>
        <w:t>表1.4-</w:t>
      </w:r>
      <w:r>
        <w:rPr>
          <w:rFonts w:ascii="Times New Roman" w:hAnsi="Times New Roman" w:cs="Times New Roman"/>
          <w:b/>
          <w:iCs/>
          <w:color w:val="auto"/>
          <w:w w:val="99"/>
          <w:kern w:val="2"/>
          <w:highlight w:val="none"/>
          <w:lang w:bidi="zh-CN"/>
        </w:rPr>
        <w:t>1</w:t>
      </w:r>
      <w:r>
        <w:rPr>
          <w:rFonts w:hint="eastAsia" w:ascii="Times New Roman" w:hAnsi="Times New Roman" w:cs="Times New Roman"/>
          <w:b/>
          <w:iCs/>
          <w:color w:val="auto"/>
          <w:w w:val="99"/>
          <w:kern w:val="2"/>
          <w:highlight w:val="none"/>
          <w:lang w:bidi="zh-CN"/>
        </w:rPr>
        <w:t>1</w:t>
      </w:r>
      <w:r>
        <w:rPr>
          <w:rFonts w:ascii="Times New Roman" w:hAnsi="Times New Roman" w:cs="Times New Roman"/>
          <w:b/>
          <w:iCs/>
          <w:color w:val="auto"/>
          <w:w w:val="99"/>
          <w:kern w:val="2"/>
          <w:highlight w:val="none"/>
          <w:lang w:val="zh-CN" w:bidi="zh-CN"/>
        </w:rPr>
        <w:t xml:space="preserve">    本项目与</w:t>
      </w:r>
      <w:r>
        <w:rPr>
          <w:rFonts w:hint="eastAsia" w:ascii="Times New Roman" w:hAnsi="Times New Roman" w:cs="Times New Roman"/>
          <w:b/>
          <w:iCs/>
          <w:color w:val="auto"/>
          <w:w w:val="99"/>
          <w:kern w:val="2"/>
          <w:highlight w:val="none"/>
          <w:lang w:val="zh-CN" w:bidi="zh-CN"/>
        </w:rPr>
        <w:t>“</w:t>
      </w:r>
      <w:r>
        <w:rPr>
          <w:rFonts w:ascii="Times New Roman" w:hAnsi="Times New Roman" w:cs="Times New Roman"/>
          <w:b/>
          <w:color w:val="auto"/>
          <w:w w:val="99"/>
          <w:highlight w:val="none"/>
          <w:lang w:val="zh-CN" w:bidi="zh-CN"/>
        </w:rPr>
        <w:t>黑政办规〔2021〕18号</w:t>
      </w:r>
      <w:r>
        <w:rPr>
          <w:rFonts w:hint="eastAsia" w:ascii="Times New Roman" w:hAnsi="Times New Roman" w:cs="Times New Roman"/>
          <w:b/>
          <w:iCs/>
          <w:color w:val="auto"/>
          <w:w w:val="99"/>
          <w:kern w:val="2"/>
          <w:highlight w:val="none"/>
          <w:lang w:val="zh-CN" w:bidi="zh-CN"/>
        </w:rPr>
        <w:t>”</w:t>
      </w:r>
      <w:r>
        <w:rPr>
          <w:rFonts w:ascii="Times New Roman" w:hAnsi="Times New Roman" w:cs="Times New Roman"/>
          <w:b/>
          <w:iCs/>
          <w:color w:val="auto"/>
          <w:w w:val="99"/>
          <w:kern w:val="2"/>
          <w:highlight w:val="none"/>
          <w:lang w:val="zh-CN" w:bidi="zh-CN"/>
        </w:rPr>
        <w:t>相关要求符合性一览表</w:t>
      </w:r>
    </w:p>
    <w:tbl>
      <w:tblPr>
        <w:tblStyle w:val="8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3798"/>
        <w:gridCol w:w="3844"/>
        <w:gridCol w:w="940"/>
      </w:tblGrid>
      <w:tr w14:paraId="26653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79" w:type="pct"/>
            <w:vAlign w:val="center"/>
          </w:tcPr>
          <w:p w14:paraId="1FA80220">
            <w:pPr>
              <w:widowControl w:val="0"/>
              <w:autoSpaceDE w:val="0"/>
              <w:autoSpaceDN w:val="0"/>
              <w:adjustRightInd w:val="0"/>
              <w:snapToGrid w:val="0"/>
              <w:spacing w:line="360" w:lineRule="exact"/>
              <w:jc w:val="center"/>
              <w:rPr>
                <w:rFonts w:ascii="Times New Roman" w:hAnsi="Times New Roman" w:cs="Times New Roman"/>
                <w:iCs/>
                <w:color w:val="auto"/>
                <w:w w:val="99"/>
                <w:kern w:val="28"/>
                <w:sz w:val="21"/>
                <w:szCs w:val="21"/>
                <w:highlight w:val="none"/>
                <w:lang w:val="zh-CN" w:bidi="zh-CN"/>
              </w:rPr>
            </w:pPr>
            <w:r>
              <w:rPr>
                <w:rFonts w:ascii="Times New Roman" w:hAnsi="Times New Roman" w:cs="Times New Roman"/>
                <w:iCs/>
                <w:color w:val="auto"/>
                <w:w w:val="99"/>
                <w:kern w:val="28"/>
                <w:sz w:val="21"/>
                <w:szCs w:val="21"/>
                <w:highlight w:val="none"/>
                <w:lang w:val="zh-CN" w:bidi="zh-CN"/>
              </w:rPr>
              <w:t>序号</w:t>
            </w:r>
          </w:p>
        </w:tc>
        <w:tc>
          <w:tcPr>
            <w:tcW w:w="2045" w:type="pct"/>
            <w:vAlign w:val="center"/>
          </w:tcPr>
          <w:p w14:paraId="0B6635E2">
            <w:pPr>
              <w:widowControl w:val="0"/>
              <w:autoSpaceDE w:val="0"/>
              <w:autoSpaceDN w:val="0"/>
              <w:adjustRightInd w:val="0"/>
              <w:snapToGrid w:val="0"/>
              <w:spacing w:line="360" w:lineRule="exact"/>
              <w:jc w:val="center"/>
              <w:rPr>
                <w:rFonts w:ascii="Times New Roman" w:hAnsi="Times New Roman" w:cs="Times New Roman"/>
                <w:iCs/>
                <w:color w:val="auto"/>
                <w:w w:val="99"/>
                <w:kern w:val="28"/>
                <w:sz w:val="21"/>
                <w:szCs w:val="21"/>
                <w:highlight w:val="none"/>
                <w:lang w:val="zh-CN" w:bidi="zh-CN"/>
              </w:rPr>
            </w:pPr>
            <w:r>
              <w:rPr>
                <w:rFonts w:ascii="Times New Roman" w:hAnsi="Times New Roman" w:cs="Times New Roman"/>
                <w:iCs/>
                <w:color w:val="auto"/>
                <w:w w:val="99"/>
                <w:kern w:val="28"/>
                <w:sz w:val="21"/>
                <w:szCs w:val="21"/>
                <w:highlight w:val="none"/>
                <w:lang w:val="zh-CN" w:bidi="zh-CN"/>
              </w:rPr>
              <w:t>文件要求</w:t>
            </w:r>
          </w:p>
        </w:tc>
        <w:tc>
          <w:tcPr>
            <w:tcW w:w="2070" w:type="pct"/>
            <w:vAlign w:val="center"/>
          </w:tcPr>
          <w:p w14:paraId="6B2DD1AD">
            <w:pPr>
              <w:widowControl w:val="0"/>
              <w:autoSpaceDE w:val="0"/>
              <w:autoSpaceDN w:val="0"/>
              <w:adjustRightInd w:val="0"/>
              <w:snapToGrid w:val="0"/>
              <w:spacing w:line="360" w:lineRule="exact"/>
              <w:jc w:val="center"/>
              <w:rPr>
                <w:rFonts w:ascii="Times New Roman" w:hAnsi="Times New Roman" w:cs="Times New Roman"/>
                <w:iCs/>
                <w:color w:val="auto"/>
                <w:w w:val="99"/>
                <w:kern w:val="28"/>
                <w:sz w:val="21"/>
                <w:szCs w:val="21"/>
                <w:highlight w:val="none"/>
                <w:lang w:val="zh-CN" w:bidi="zh-CN"/>
              </w:rPr>
            </w:pPr>
            <w:r>
              <w:rPr>
                <w:rFonts w:ascii="Times New Roman" w:hAnsi="Times New Roman" w:cs="Times New Roman"/>
                <w:iCs/>
                <w:color w:val="auto"/>
                <w:w w:val="99"/>
                <w:kern w:val="28"/>
                <w:sz w:val="21"/>
                <w:szCs w:val="21"/>
                <w:highlight w:val="none"/>
                <w:lang w:val="zh-CN" w:bidi="zh-CN"/>
              </w:rPr>
              <w:t>符合性分析</w:t>
            </w:r>
          </w:p>
        </w:tc>
        <w:tc>
          <w:tcPr>
            <w:tcW w:w="506" w:type="pct"/>
            <w:vAlign w:val="center"/>
          </w:tcPr>
          <w:p w14:paraId="57D1CAFD">
            <w:pPr>
              <w:widowControl w:val="0"/>
              <w:autoSpaceDE w:val="0"/>
              <w:autoSpaceDN w:val="0"/>
              <w:adjustRightInd w:val="0"/>
              <w:snapToGrid w:val="0"/>
              <w:spacing w:line="360" w:lineRule="exact"/>
              <w:jc w:val="center"/>
              <w:rPr>
                <w:rFonts w:ascii="Times New Roman" w:hAnsi="Times New Roman" w:cs="Times New Roman"/>
                <w:iCs/>
                <w:color w:val="auto"/>
                <w:w w:val="99"/>
                <w:kern w:val="28"/>
                <w:sz w:val="21"/>
                <w:szCs w:val="21"/>
                <w:highlight w:val="none"/>
                <w:lang w:val="zh-CN" w:bidi="zh-CN"/>
              </w:rPr>
            </w:pPr>
            <w:r>
              <w:rPr>
                <w:rFonts w:ascii="Times New Roman" w:hAnsi="Times New Roman" w:cs="Times New Roman"/>
                <w:iCs/>
                <w:color w:val="auto"/>
                <w:w w:val="99"/>
                <w:kern w:val="28"/>
                <w:sz w:val="21"/>
                <w:szCs w:val="21"/>
                <w:highlight w:val="none"/>
                <w:lang w:val="zh-CN" w:bidi="zh-CN"/>
              </w:rPr>
              <w:t>符合性</w:t>
            </w:r>
          </w:p>
        </w:tc>
      </w:tr>
      <w:tr w14:paraId="52BE8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1303F5CD">
            <w:pPr>
              <w:widowControl w:val="0"/>
              <w:autoSpaceDE w:val="0"/>
              <w:autoSpaceDN w:val="0"/>
              <w:adjustRightInd w:val="0"/>
              <w:snapToGrid w:val="0"/>
              <w:spacing w:line="360" w:lineRule="exact"/>
              <w:jc w:val="center"/>
              <w:rPr>
                <w:rFonts w:ascii="Times New Roman" w:hAnsi="Times New Roman" w:cs="Times New Roman"/>
                <w:iCs/>
                <w:color w:val="auto"/>
                <w:w w:val="99"/>
                <w:kern w:val="28"/>
                <w:sz w:val="21"/>
                <w:szCs w:val="21"/>
                <w:highlight w:val="none"/>
                <w:lang w:val="zh-CN" w:bidi="zh-CN"/>
              </w:rPr>
            </w:pPr>
            <w:r>
              <w:rPr>
                <w:rFonts w:ascii="Times New Roman" w:hAnsi="Times New Roman" w:cs="Times New Roman"/>
                <w:iCs/>
                <w:color w:val="auto"/>
                <w:w w:val="99"/>
                <w:kern w:val="28"/>
                <w:sz w:val="21"/>
                <w:szCs w:val="21"/>
                <w:highlight w:val="none"/>
                <w:lang w:val="zh-CN" w:bidi="zh-CN"/>
              </w:rPr>
              <w:t>1</w:t>
            </w:r>
          </w:p>
        </w:tc>
        <w:tc>
          <w:tcPr>
            <w:tcW w:w="2045" w:type="pct"/>
            <w:vAlign w:val="center"/>
          </w:tcPr>
          <w:p w14:paraId="19F980E2">
            <w:pPr>
              <w:widowControl w:val="0"/>
              <w:autoSpaceDE w:val="0"/>
              <w:autoSpaceDN w:val="0"/>
              <w:adjustRightInd w:val="0"/>
              <w:snapToGrid w:val="0"/>
              <w:spacing w:line="360" w:lineRule="exact"/>
              <w:rPr>
                <w:rFonts w:ascii="Times New Roman" w:hAnsi="Times New Roman" w:cs="Times New Roman"/>
                <w:iCs/>
                <w:color w:val="auto"/>
                <w:w w:val="99"/>
                <w:kern w:val="28"/>
                <w:sz w:val="21"/>
                <w:szCs w:val="21"/>
                <w:highlight w:val="none"/>
                <w:lang w:val="zh-CN" w:bidi="zh-CN"/>
              </w:rPr>
            </w:pPr>
            <w:r>
              <w:rPr>
                <w:rFonts w:ascii="Times New Roman" w:hAnsi="Times New Roman" w:cs="Times New Roman"/>
                <w:iCs/>
                <w:color w:val="auto"/>
                <w:w w:val="99"/>
                <w:kern w:val="28"/>
                <w:sz w:val="21"/>
                <w:szCs w:val="21"/>
                <w:highlight w:val="none"/>
                <w:lang w:val="zh-CN" w:bidi="zh-CN"/>
              </w:rPr>
              <w:t>成片开发和城镇批次用地占用耕地的，应在供地前实施耕作层土壤剥离；单独选址项目及其他需要剥离的项目，应在开工建设前按照剥离利用方案要求实施耕作层土壤剥离，并将剥离土壤存储在指定地点或直接输送到再利用场所。耕作层土壤剥离及运输过程中，应采取水土保持和扬尘防治措施，防止土壤和环境污染。土壤存储点的选取应遵循就近存储、易于存放、专人管理的原则，尽量利用废弃土地、闲置建设用地和未利用地，避让永久基本农田和生态保护红线、水源地等敏感区域。土壤存储要采取必要的工程防护和保育措施，防止出现水土流失、土壤质量退化和安全隐患。</w:t>
            </w:r>
          </w:p>
        </w:tc>
        <w:tc>
          <w:tcPr>
            <w:tcW w:w="2070" w:type="pct"/>
            <w:vAlign w:val="center"/>
          </w:tcPr>
          <w:p w14:paraId="13D2158D">
            <w:pPr>
              <w:widowControl w:val="0"/>
              <w:autoSpaceDE w:val="0"/>
              <w:autoSpaceDN w:val="0"/>
              <w:adjustRightInd w:val="0"/>
              <w:snapToGrid w:val="0"/>
              <w:spacing w:line="360" w:lineRule="exact"/>
              <w:rPr>
                <w:rFonts w:ascii="Times New Roman" w:hAnsi="Times New Roman" w:cs="Times New Roman"/>
                <w:iCs/>
                <w:color w:val="auto"/>
                <w:w w:val="99"/>
                <w:kern w:val="28"/>
                <w:sz w:val="21"/>
                <w:szCs w:val="21"/>
                <w:highlight w:val="none"/>
                <w:lang w:val="zh-CN" w:bidi="zh-CN"/>
              </w:rPr>
            </w:pPr>
            <w:r>
              <w:rPr>
                <w:rFonts w:ascii="Times New Roman" w:hAnsi="Times New Roman" w:cs="Times New Roman"/>
                <w:iCs/>
                <w:color w:val="auto"/>
                <w:w w:val="99"/>
                <w:kern w:val="28"/>
                <w:sz w:val="21"/>
                <w:szCs w:val="21"/>
                <w:highlight w:val="none"/>
                <w:lang w:val="zh-CN" w:bidi="zh-CN"/>
              </w:rPr>
              <w:t>本项目建设占用耕地。项目在施工过程中针对临时占地，应剥离占地内的表土，</w:t>
            </w:r>
            <w:r>
              <w:rPr>
                <w:rFonts w:hint="eastAsia" w:ascii="Times New Roman" w:hAnsi="Times New Roman" w:cs="Times New Roman"/>
                <w:iCs/>
                <w:color w:val="auto"/>
                <w:w w:val="99"/>
                <w:kern w:val="28"/>
                <w:sz w:val="21"/>
                <w:szCs w:val="21"/>
                <w:highlight w:val="none"/>
                <w:lang w:bidi="zh-CN"/>
              </w:rPr>
              <w:t>耕地剥离厚度</w:t>
            </w:r>
            <w:r>
              <w:rPr>
                <w:rFonts w:ascii="Times New Roman" w:hAnsi="Times New Roman" w:cs="Times New Roman"/>
                <w:iCs/>
                <w:color w:val="auto"/>
                <w:w w:val="99"/>
                <w:kern w:val="28"/>
                <w:sz w:val="21"/>
                <w:szCs w:val="21"/>
                <w:highlight w:val="none"/>
                <w:lang w:bidi="zh-CN"/>
              </w:rPr>
              <w:t>0.3m，</w:t>
            </w:r>
            <w:r>
              <w:rPr>
                <w:rFonts w:ascii="Times New Roman" w:hAnsi="Times New Roman" w:cs="Times New Roman"/>
                <w:iCs/>
                <w:color w:val="auto"/>
                <w:w w:val="99"/>
                <w:kern w:val="28"/>
                <w:sz w:val="21"/>
                <w:szCs w:val="21"/>
                <w:highlight w:val="none"/>
                <w:lang w:val="zh-CN" w:bidi="zh-CN"/>
              </w:rPr>
              <w:t>采用分层开挖，分层堆放，集中暂存于施工井场或管线两侧临时占地内的表土剥离临时堆放区，并采取苫布遮盖，表土剥离临时堆放区周围设置排水沟等措施防止水土流失，并定期采取洒水抑尘措施，土壤剥离完成后，由当地自然资源主管部门会同农业农村主管部门组织验收，验收合格的方能实施项目建设。针对临时占地在将剥离的表土在施工结束后分层回填，并及时恢复地表植被。</w:t>
            </w:r>
          </w:p>
        </w:tc>
        <w:tc>
          <w:tcPr>
            <w:tcW w:w="506" w:type="pct"/>
            <w:vAlign w:val="center"/>
          </w:tcPr>
          <w:p w14:paraId="7D918594">
            <w:pPr>
              <w:widowControl w:val="0"/>
              <w:autoSpaceDE w:val="0"/>
              <w:autoSpaceDN w:val="0"/>
              <w:adjustRightInd w:val="0"/>
              <w:snapToGrid w:val="0"/>
              <w:spacing w:line="360" w:lineRule="exact"/>
              <w:jc w:val="center"/>
              <w:rPr>
                <w:rFonts w:ascii="Times New Roman" w:hAnsi="Times New Roman" w:cs="Times New Roman"/>
                <w:iCs/>
                <w:color w:val="auto"/>
                <w:w w:val="99"/>
                <w:kern w:val="28"/>
                <w:sz w:val="21"/>
                <w:szCs w:val="21"/>
                <w:highlight w:val="none"/>
                <w:lang w:val="zh-CN" w:bidi="zh-CN"/>
              </w:rPr>
            </w:pPr>
            <w:r>
              <w:rPr>
                <w:rFonts w:ascii="Times New Roman" w:hAnsi="Times New Roman" w:cs="Times New Roman"/>
                <w:iCs/>
                <w:color w:val="auto"/>
                <w:w w:val="99"/>
                <w:kern w:val="28"/>
                <w:sz w:val="21"/>
                <w:szCs w:val="21"/>
                <w:highlight w:val="none"/>
                <w:lang w:val="zh-CN" w:bidi="zh-CN"/>
              </w:rPr>
              <w:t>符合</w:t>
            </w:r>
          </w:p>
        </w:tc>
      </w:tr>
    </w:tbl>
    <w:p w14:paraId="72CBCE62">
      <w:pPr>
        <w:widowControl w:val="0"/>
        <w:autoSpaceDE w:val="0"/>
        <w:autoSpaceDN w:val="0"/>
        <w:spacing w:line="440" w:lineRule="exact"/>
        <w:ind w:firstLine="474" w:firstLineChars="200"/>
        <w:jc w:val="both"/>
        <w:rPr>
          <w:rFonts w:ascii="Times New Roman" w:hAnsi="Times New Roman" w:cs="Times New Roman"/>
          <w:iCs/>
          <w:color w:val="auto"/>
          <w:w w:val="99"/>
          <w:kern w:val="2"/>
          <w:highlight w:val="none"/>
          <w:lang w:val="zh-CN" w:bidi="zh-CN"/>
        </w:rPr>
      </w:pPr>
      <w:r>
        <w:rPr>
          <w:rFonts w:ascii="Times New Roman" w:hAnsi="Times New Roman" w:cs="Times New Roman"/>
          <w:iCs/>
          <w:color w:val="auto"/>
          <w:w w:val="99"/>
          <w:kern w:val="2"/>
          <w:highlight w:val="none"/>
          <w:lang w:val="zh-CN" w:bidi="zh-CN"/>
        </w:rPr>
        <w:t>根据以上分析，本项目符合《黑龙江省人民政府办公厅关于建设占用耕地耕作层土壤剥离利用工作的指导意见（试行）》（黑政办规〔2021〕18号）中要求。</w:t>
      </w:r>
    </w:p>
    <w:p w14:paraId="0FB98AD4">
      <w:pPr>
        <w:widowControl w:val="0"/>
        <w:spacing w:line="440" w:lineRule="exact"/>
        <w:jc w:val="both"/>
        <w:outlineLvl w:val="3"/>
        <w:rPr>
          <w:rFonts w:ascii="Times New Roman" w:hAnsi="Times New Roman" w:cs="Times New Roman" w:eastAsiaTheme="minorEastAsia"/>
          <w:b/>
          <w:color w:val="auto"/>
          <w:w w:val="99"/>
          <w:highlight w:val="none"/>
        </w:rPr>
      </w:pPr>
      <w:r>
        <w:rPr>
          <w:rFonts w:ascii="Times New Roman" w:hAnsi="Times New Roman" w:cs="Times New Roman" w:eastAsiaTheme="minorEastAsia"/>
          <w:b/>
          <w:color w:val="auto"/>
          <w:w w:val="99"/>
          <w:highlight w:val="none"/>
        </w:rPr>
        <w:t>1.4.3.1</w:t>
      </w:r>
      <w:r>
        <w:rPr>
          <w:rFonts w:hint="eastAsia" w:ascii="Times New Roman" w:hAnsi="Times New Roman" w:cs="Times New Roman" w:eastAsiaTheme="minorEastAsia"/>
          <w:b/>
          <w:color w:val="auto"/>
          <w:w w:val="99"/>
          <w:highlight w:val="none"/>
        </w:rPr>
        <w:t>2</w:t>
      </w:r>
      <w:r>
        <w:rPr>
          <w:rFonts w:ascii="Times New Roman" w:hAnsi="Times New Roman" w:cs="Times New Roman" w:eastAsiaTheme="minorEastAsia"/>
          <w:b/>
          <w:color w:val="auto"/>
          <w:w w:val="99"/>
          <w:highlight w:val="none"/>
        </w:rPr>
        <w:t>与《陆上石油天然气开采业绿色矿山建设规范》（DZ∕T 0317-2018）符合性判定</w:t>
      </w:r>
    </w:p>
    <w:p w14:paraId="5C0F98FE">
      <w:pPr>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本项目与《陆上石油天然气开采业绿色矿山建设规范》</w:t>
      </w:r>
      <w:r>
        <w:rPr>
          <w:rFonts w:hint="eastAsia" w:ascii="Times New Roman" w:hAnsi="Times New Roman" w:cs="Times New Roman"/>
          <w:color w:val="auto"/>
          <w:w w:val="99"/>
          <w:highlight w:val="none"/>
          <w:lang w:bidi="zh-CN"/>
        </w:rPr>
        <w:t>（</w:t>
      </w:r>
      <w:r>
        <w:rPr>
          <w:rFonts w:ascii="Times New Roman" w:hAnsi="Times New Roman" w:cs="Times New Roman"/>
          <w:color w:val="auto"/>
          <w:w w:val="99"/>
          <w:highlight w:val="none"/>
          <w:lang w:bidi="zh-CN"/>
        </w:rPr>
        <w:t>DZ</w:t>
      </w:r>
      <w:r>
        <w:rPr>
          <w:rFonts w:hint="eastAsia" w:ascii="Times New Roman" w:hAnsi="Times New Roman" w:cs="Times New Roman"/>
          <w:color w:val="auto"/>
          <w:w w:val="99"/>
          <w:highlight w:val="none"/>
          <w:lang w:bidi="zh-CN"/>
        </w:rPr>
        <w:t>∕</w:t>
      </w:r>
      <w:r>
        <w:rPr>
          <w:rFonts w:ascii="Times New Roman" w:hAnsi="Times New Roman" w:cs="Times New Roman"/>
          <w:color w:val="auto"/>
          <w:w w:val="99"/>
          <w:highlight w:val="none"/>
          <w:lang w:bidi="zh-CN"/>
        </w:rPr>
        <w:t>T 0317-2018</w:t>
      </w:r>
      <w:r>
        <w:rPr>
          <w:rFonts w:hint="eastAsia" w:ascii="Times New Roman" w:hAnsi="Times New Roman" w:cs="Times New Roman"/>
          <w:color w:val="auto"/>
          <w:w w:val="99"/>
          <w:highlight w:val="none"/>
          <w:lang w:bidi="zh-CN"/>
        </w:rPr>
        <w:t>）</w:t>
      </w:r>
      <w:r>
        <w:rPr>
          <w:rFonts w:ascii="Times New Roman" w:hAnsi="Times New Roman" w:cs="Times New Roman"/>
          <w:color w:val="auto"/>
          <w:w w:val="99"/>
          <w:highlight w:val="none"/>
          <w:lang w:bidi="zh-CN"/>
        </w:rPr>
        <w:t>符合性分析见表1.4-1</w:t>
      </w:r>
      <w:r>
        <w:rPr>
          <w:rFonts w:hint="eastAsia" w:ascii="Times New Roman" w:hAnsi="Times New Roman" w:cs="Times New Roman"/>
          <w:color w:val="auto"/>
          <w:w w:val="99"/>
          <w:highlight w:val="none"/>
          <w:lang w:bidi="zh-CN"/>
        </w:rPr>
        <w:t>2</w:t>
      </w:r>
      <w:r>
        <w:rPr>
          <w:rFonts w:ascii="Times New Roman" w:hAnsi="Times New Roman" w:cs="Times New Roman"/>
          <w:color w:val="auto"/>
          <w:w w:val="99"/>
          <w:highlight w:val="none"/>
          <w:lang w:bidi="zh-CN"/>
        </w:rPr>
        <w:t>。</w:t>
      </w:r>
    </w:p>
    <w:p w14:paraId="5D6D2808">
      <w:pPr>
        <w:spacing w:line="440" w:lineRule="exact"/>
        <w:ind w:firstLine="476" w:firstLineChars="200"/>
        <w:jc w:val="both"/>
        <w:rPr>
          <w:rFonts w:ascii="Times New Roman" w:hAnsi="Times New Roman" w:cs="Times New Roman"/>
          <w:color w:val="auto"/>
          <w:w w:val="99"/>
          <w:highlight w:val="none"/>
          <w:lang w:bidi="zh-CN"/>
        </w:rPr>
      </w:pPr>
      <w:r>
        <w:rPr>
          <w:rFonts w:ascii="Times New Roman" w:hAnsi="Times New Roman" w:cs="Times New Roman"/>
          <w:b/>
          <w:color w:val="auto"/>
          <w:w w:val="99"/>
          <w:highlight w:val="none"/>
          <w:lang w:bidi="zh-CN"/>
        </w:rPr>
        <w:t>表1.4-1</w:t>
      </w:r>
      <w:r>
        <w:rPr>
          <w:rFonts w:hint="eastAsia" w:ascii="Times New Roman" w:hAnsi="Times New Roman" w:cs="Times New Roman"/>
          <w:b/>
          <w:color w:val="auto"/>
          <w:w w:val="99"/>
          <w:highlight w:val="none"/>
          <w:lang w:bidi="zh-CN"/>
        </w:rPr>
        <w:t>2</w:t>
      </w:r>
      <w:r>
        <w:rPr>
          <w:rFonts w:ascii="Times New Roman" w:hAnsi="Times New Roman" w:cs="Times New Roman"/>
          <w:b/>
          <w:color w:val="auto"/>
          <w:w w:val="99"/>
          <w:highlight w:val="none"/>
          <w:lang w:bidi="zh-CN"/>
        </w:rPr>
        <w:t xml:space="preserve">    与</w:t>
      </w:r>
      <w:r>
        <w:rPr>
          <w:rFonts w:hint="eastAsia" w:ascii="Times New Roman" w:hAnsi="Times New Roman" w:cs="Times New Roman"/>
          <w:b/>
          <w:color w:val="auto"/>
          <w:w w:val="99"/>
          <w:highlight w:val="none"/>
          <w:lang w:bidi="zh-CN"/>
        </w:rPr>
        <w:t>“</w:t>
      </w:r>
      <w:r>
        <w:rPr>
          <w:rFonts w:ascii="Times New Roman" w:hAnsi="Times New Roman" w:cs="Times New Roman"/>
          <w:b/>
          <w:color w:val="auto"/>
          <w:w w:val="99"/>
          <w:highlight w:val="none"/>
          <w:lang w:bidi="zh-CN"/>
        </w:rPr>
        <w:t>DZ</w:t>
      </w:r>
      <w:r>
        <w:rPr>
          <w:rFonts w:hint="eastAsia" w:ascii="Times New Roman" w:hAnsi="Times New Roman" w:cs="Times New Roman"/>
          <w:b/>
          <w:color w:val="auto"/>
          <w:w w:val="99"/>
          <w:highlight w:val="none"/>
          <w:lang w:bidi="zh-CN"/>
        </w:rPr>
        <w:t>∕</w:t>
      </w:r>
      <w:r>
        <w:rPr>
          <w:rFonts w:ascii="Times New Roman" w:hAnsi="Times New Roman" w:cs="Times New Roman"/>
          <w:b/>
          <w:color w:val="auto"/>
          <w:w w:val="99"/>
          <w:highlight w:val="none"/>
          <w:lang w:bidi="zh-CN"/>
        </w:rPr>
        <w:t>T 0317-2018</w:t>
      </w:r>
      <w:r>
        <w:rPr>
          <w:rFonts w:hint="eastAsia" w:ascii="Times New Roman" w:hAnsi="Times New Roman" w:cs="Times New Roman"/>
          <w:b/>
          <w:color w:val="auto"/>
          <w:w w:val="99"/>
          <w:highlight w:val="none"/>
          <w:lang w:bidi="zh-CN"/>
        </w:rPr>
        <w:t>”</w:t>
      </w:r>
      <w:r>
        <w:rPr>
          <w:rFonts w:ascii="Times New Roman" w:hAnsi="Times New Roman" w:cs="Times New Roman"/>
          <w:b/>
          <w:color w:val="auto"/>
          <w:w w:val="99"/>
          <w:highlight w:val="none"/>
          <w:lang w:bidi="zh-CN"/>
        </w:rPr>
        <w:t>相关要求符合性判定</w:t>
      </w:r>
    </w:p>
    <w:tbl>
      <w:tblPr>
        <w:tblStyle w:val="8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6"/>
        <w:gridCol w:w="2519"/>
        <w:gridCol w:w="4989"/>
        <w:gridCol w:w="992"/>
      </w:tblGrid>
      <w:tr w14:paraId="64B67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3" w:type="pct"/>
            <w:vAlign w:val="center"/>
          </w:tcPr>
          <w:p w14:paraId="3FA599FE">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序号</w:t>
            </w:r>
          </w:p>
        </w:tc>
        <w:tc>
          <w:tcPr>
            <w:tcW w:w="1356" w:type="pct"/>
            <w:vAlign w:val="center"/>
          </w:tcPr>
          <w:p w14:paraId="4F116C01">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相关要求</w:t>
            </w:r>
          </w:p>
        </w:tc>
        <w:tc>
          <w:tcPr>
            <w:tcW w:w="2685" w:type="pct"/>
            <w:vAlign w:val="center"/>
          </w:tcPr>
          <w:p w14:paraId="6A694E2F">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符合性分析</w:t>
            </w:r>
          </w:p>
        </w:tc>
        <w:tc>
          <w:tcPr>
            <w:tcW w:w="534" w:type="pct"/>
            <w:vAlign w:val="center"/>
          </w:tcPr>
          <w:p w14:paraId="64E94986">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符合性</w:t>
            </w:r>
          </w:p>
        </w:tc>
      </w:tr>
      <w:tr w14:paraId="5AD84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3" w:type="pct"/>
            <w:vAlign w:val="center"/>
          </w:tcPr>
          <w:p w14:paraId="47AB3948">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w:t>
            </w:r>
          </w:p>
        </w:tc>
        <w:tc>
          <w:tcPr>
            <w:tcW w:w="1356" w:type="pct"/>
            <w:vAlign w:val="center"/>
          </w:tcPr>
          <w:p w14:paraId="0EC149B7">
            <w:pPr>
              <w:adjustRightInd w:val="0"/>
              <w:snapToGrid w:val="0"/>
              <w:spacing w:line="360" w:lineRule="exac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废液、废气、固体废物应建档分类管理，并清洁化、无害化处置，处置率应达到100%</w:t>
            </w:r>
          </w:p>
        </w:tc>
        <w:tc>
          <w:tcPr>
            <w:tcW w:w="2685" w:type="pct"/>
            <w:vAlign w:val="center"/>
          </w:tcPr>
          <w:p w14:paraId="28359AB1">
            <w:pPr>
              <w:adjustRightInd w:val="0"/>
              <w:snapToGrid w:val="0"/>
              <w:spacing w:line="360" w:lineRule="exac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本项目</w:t>
            </w:r>
            <w:r>
              <w:rPr>
                <w:rFonts w:ascii="Times New Roman" w:hAnsi="Times New Roman" w:cs="Times New Roman" w:eastAsiaTheme="minorEastAsia"/>
                <w:color w:val="auto"/>
                <w:w w:val="99"/>
                <w:sz w:val="21"/>
                <w:szCs w:val="21"/>
                <w:highlight w:val="none"/>
              </w:rPr>
              <w:t>施工期及运营期废水、固体废物均无害化处置，处置率100%，</w:t>
            </w:r>
            <w:r>
              <w:rPr>
                <w:rFonts w:ascii="Times New Roman" w:hAnsi="Times New Roman" w:cs="Times New Roman"/>
                <w:bCs/>
                <w:color w:val="auto"/>
                <w:w w:val="99"/>
                <w:sz w:val="21"/>
                <w:szCs w:val="21"/>
                <w:highlight w:val="none"/>
              </w:rPr>
              <w:t>运营期</w:t>
            </w:r>
            <w:r>
              <w:rPr>
                <w:rFonts w:hint="eastAsia" w:ascii="Times New Roman" w:hAnsi="Times New Roman" w:cs="Times New Roman"/>
                <w:bCs/>
                <w:color w:val="auto"/>
                <w:w w:val="99"/>
                <w:sz w:val="21"/>
                <w:szCs w:val="21"/>
                <w:highlight w:val="none"/>
              </w:rPr>
              <w:t>天然气</w:t>
            </w:r>
            <w:r>
              <w:rPr>
                <w:rFonts w:ascii="Times New Roman" w:hAnsi="Times New Roman" w:cs="Times New Roman"/>
                <w:bCs/>
                <w:color w:val="auto"/>
                <w:w w:val="99"/>
                <w:sz w:val="21"/>
                <w:szCs w:val="21"/>
                <w:highlight w:val="none"/>
              </w:rPr>
              <w:t>集输全部采用密闭集油工艺流程，井口安装密封垫，集输管线采用密闭管道，定期对设备和管道进行维修保养，保证油气处理设施的平稳运行，控制烃类气体、温室气体的无组织挥发。依托场站内加热炉采用清洁能源天然气作为燃料，并采用低氮燃烧器，加热炉燃烧产生的废气均经不低于8m的烟囱高空排放。</w:t>
            </w:r>
          </w:p>
        </w:tc>
        <w:tc>
          <w:tcPr>
            <w:tcW w:w="534" w:type="pct"/>
            <w:vAlign w:val="center"/>
          </w:tcPr>
          <w:p w14:paraId="2B7C4E65">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r w14:paraId="405AC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3" w:type="pct"/>
            <w:vAlign w:val="center"/>
          </w:tcPr>
          <w:p w14:paraId="3630F09B">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w:t>
            </w:r>
          </w:p>
        </w:tc>
        <w:tc>
          <w:tcPr>
            <w:tcW w:w="1356" w:type="pct"/>
            <w:vAlign w:val="center"/>
          </w:tcPr>
          <w:p w14:paraId="0E8B4C2B">
            <w:pPr>
              <w:adjustRightInd w:val="0"/>
              <w:snapToGrid w:val="0"/>
              <w:spacing w:line="360" w:lineRule="exac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油气生产过程中的采出水应清洁处理后循环利用；不能循环利用的，应达标排放、回注或采取其他有效利用方式。</w:t>
            </w:r>
          </w:p>
        </w:tc>
        <w:tc>
          <w:tcPr>
            <w:tcW w:w="2685" w:type="pct"/>
            <w:vAlign w:val="center"/>
          </w:tcPr>
          <w:p w14:paraId="10F5C9A4">
            <w:pPr>
              <w:adjustRightInd w:val="0"/>
              <w:snapToGrid w:val="0"/>
              <w:spacing w:line="360" w:lineRule="exac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本项目</w:t>
            </w:r>
            <w:r>
              <w:rPr>
                <w:rFonts w:hint="eastAsia" w:ascii="Times New Roman" w:hAnsi="Times New Roman" w:cs="Times New Roman"/>
                <w:color w:val="auto"/>
                <w:w w:val="99"/>
                <w:sz w:val="21"/>
                <w:szCs w:val="21"/>
                <w:highlight w:val="none"/>
              </w:rPr>
              <w:t>气田</w:t>
            </w:r>
            <w:r>
              <w:rPr>
                <w:rFonts w:ascii="Times New Roman" w:hAnsi="Times New Roman" w:cs="Times New Roman"/>
                <w:color w:val="auto"/>
                <w:w w:val="99"/>
                <w:sz w:val="21"/>
                <w:szCs w:val="21"/>
                <w:highlight w:val="none"/>
              </w:rPr>
              <w:t>采出水暂存于集气站污水储罐临时储存，再定期通过外输泵升压外输至气田采出水集输管网，并统一外输至升一联气田污水预处理站处理后的水质执行《大庆油田地面工程建设设计规定》（Q/SYDQ  0639-2015） 限值“含油量≤10mg/L 、悬浮固体含量≤5mg/L 、粒径中值≤2μm” ，同时满足《碎屑岩油藏注水水质指标技术要求及分析方法》(SY/T5329-2022)中标准限值，回注地下</w:t>
            </w:r>
            <w:r>
              <w:rPr>
                <w:rFonts w:hint="eastAsia" w:ascii="Times New Roman" w:hAnsi="Times New Roman" w:cs="Times New Roman"/>
                <w:color w:val="auto"/>
                <w:w w:val="99"/>
                <w:sz w:val="21"/>
                <w:szCs w:val="21"/>
                <w:highlight w:val="none"/>
              </w:rPr>
              <w:t>油层</w:t>
            </w:r>
            <w:r>
              <w:rPr>
                <w:rFonts w:ascii="Times New Roman" w:hAnsi="Times New Roman" w:cs="Times New Roman"/>
                <w:bCs/>
                <w:color w:val="auto"/>
                <w:w w:val="99"/>
                <w:sz w:val="21"/>
                <w:szCs w:val="21"/>
                <w:highlight w:val="none"/>
              </w:rPr>
              <w:t>。</w:t>
            </w:r>
          </w:p>
        </w:tc>
        <w:tc>
          <w:tcPr>
            <w:tcW w:w="534" w:type="pct"/>
            <w:vAlign w:val="center"/>
          </w:tcPr>
          <w:p w14:paraId="40455F03">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bl>
    <w:p w14:paraId="756C4033">
      <w:pPr>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根据以上分析，本项目符合《陆上石油天然气开采业绿色矿山建设规范》（DZ∕T 0317-2018）中要求。</w:t>
      </w:r>
    </w:p>
    <w:p w14:paraId="54E7EB2C">
      <w:pPr>
        <w:widowControl w:val="0"/>
        <w:spacing w:line="440" w:lineRule="exact"/>
        <w:jc w:val="both"/>
        <w:outlineLvl w:val="3"/>
        <w:rPr>
          <w:rFonts w:ascii="Times New Roman" w:hAnsi="Times New Roman" w:cs="Times New Roman" w:eastAsiaTheme="minorEastAsia"/>
          <w:b/>
          <w:color w:val="auto"/>
          <w:w w:val="99"/>
          <w:highlight w:val="none"/>
        </w:rPr>
      </w:pPr>
      <w:r>
        <w:rPr>
          <w:rFonts w:ascii="Times New Roman" w:hAnsi="Times New Roman" w:cs="Times New Roman" w:eastAsiaTheme="minorEastAsia"/>
          <w:b/>
          <w:color w:val="auto"/>
          <w:w w:val="99"/>
          <w:highlight w:val="none"/>
        </w:rPr>
        <w:t>1.4.3.</w:t>
      </w:r>
      <w:r>
        <w:rPr>
          <w:rFonts w:hint="eastAsia" w:ascii="Times New Roman" w:hAnsi="Times New Roman" w:cs="Times New Roman" w:eastAsiaTheme="minorEastAsia"/>
          <w:b/>
          <w:color w:val="auto"/>
          <w:w w:val="99"/>
          <w:highlight w:val="none"/>
        </w:rPr>
        <w:t>13</w:t>
      </w:r>
      <w:r>
        <w:rPr>
          <w:rFonts w:ascii="Times New Roman" w:hAnsi="Times New Roman" w:cs="Times New Roman" w:eastAsiaTheme="minorEastAsia"/>
          <w:b/>
          <w:color w:val="auto"/>
          <w:w w:val="99"/>
          <w:highlight w:val="none"/>
        </w:rPr>
        <w:t>与《空气质量持续改善行动计划》（国发〔2023〕24号）符合性判定</w:t>
      </w:r>
    </w:p>
    <w:p w14:paraId="6035E08F">
      <w:pPr>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本项目与《空气质量持续改善行动计划》（国发〔2023〕24号）符合性分析见表1.4-</w:t>
      </w:r>
      <w:r>
        <w:rPr>
          <w:rFonts w:hint="eastAsia" w:ascii="Times New Roman" w:hAnsi="Times New Roman" w:cs="Times New Roman"/>
          <w:color w:val="auto"/>
          <w:w w:val="99"/>
          <w:highlight w:val="none"/>
          <w:lang w:bidi="zh-CN"/>
        </w:rPr>
        <w:t>13</w:t>
      </w:r>
      <w:r>
        <w:rPr>
          <w:rFonts w:ascii="Times New Roman" w:hAnsi="Times New Roman" w:cs="Times New Roman"/>
          <w:color w:val="auto"/>
          <w:w w:val="99"/>
          <w:highlight w:val="none"/>
          <w:lang w:bidi="zh-CN"/>
        </w:rPr>
        <w:t>。</w:t>
      </w:r>
    </w:p>
    <w:p w14:paraId="0DF4A52B">
      <w:pPr>
        <w:spacing w:line="440" w:lineRule="exact"/>
        <w:ind w:firstLine="476" w:firstLineChars="200"/>
        <w:jc w:val="both"/>
        <w:rPr>
          <w:rFonts w:ascii="Times New Roman" w:hAnsi="Times New Roman" w:cs="Times New Roman"/>
          <w:color w:val="auto"/>
          <w:w w:val="99"/>
          <w:highlight w:val="none"/>
          <w:lang w:bidi="zh-CN"/>
        </w:rPr>
      </w:pPr>
      <w:r>
        <w:rPr>
          <w:rFonts w:ascii="Times New Roman" w:hAnsi="Times New Roman" w:cs="Times New Roman"/>
          <w:b/>
          <w:color w:val="auto"/>
          <w:w w:val="99"/>
          <w:highlight w:val="none"/>
          <w:lang w:bidi="zh-CN"/>
        </w:rPr>
        <w:t>表1.4-1</w:t>
      </w:r>
      <w:r>
        <w:rPr>
          <w:rFonts w:hint="eastAsia" w:ascii="Times New Roman" w:hAnsi="Times New Roman" w:cs="Times New Roman"/>
          <w:b/>
          <w:color w:val="auto"/>
          <w:w w:val="99"/>
          <w:highlight w:val="none"/>
          <w:lang w:bidi="zh-CN"/>
        </w:rPr>
        <w:t>3</w:t>
      </w:r>
      <w:r>
        <w:rPr>
          <w:rFonts w:ascii="Times New Roman" w:hAnsi="Times New Roman" w:cs="Times New Roman"/>
          <w:b/>
          <w:color w:val="auto"/>
          <w:w w:val="99"/>
          <w:highlight w:val="none"/>
          <w:lang w:bidi="zh-CN"/>
        </w:rPr>
        <w:t xml:space="preserve">   与</w:t>
      </w:r>
      <w:r>
        <w:rPr>
          <w:rFonts w:hint="eastAsia" w:ascii="Times New Roman" w:hAnsi="Times New Roman" w:cs="Times New Roman"/>
          <w:b/>
          <w:color w:val="auto"/>
          <w:w w:val="99"/>
          <w:highlight w:val="none"/>
          <w:lang w:bidi="zh-CN"/>
        </w:rPr>
        <w:t>“国发〔</w:t>
      </w:r>
      <w:r>
        <w:rPr>
          <w:rFonts w:ascii="Times New Roman" w:hAnsi="Times New Roman" w:cs="Times New Roman"/>
          <w:b/>
          <w:color w:val="auto"/>
          <w:w w:val="99"/>
          <w:highlight w:val="none"/>
          <w:lang w:bidi="zh-CN"/>
        </w:rPr>
        <w:t>2023</w:t>
      </w:r>
      <w:r>
        <w:rPr>
          <w:rFonts w:hint="eastAsia" w:ascii="Times New Roman" w:hAnsi="Times New Roman" w:cs="Times New Roman"/>
          <w:b/>
          <w:color w:val="auto"/>
          <w:w w:val="99"/>
          <w:highlight w:val="none"/>
          <w:lang w:bidi="zh-CN"/>
        </w:rPr>
        <w:t>〕</w:t>
      </w:r>
      <w:r>
        <w:rPr>
          <w:rFonts w:ascii="Times New Roman" w:hAnsi="Times New Roman" w:cs="Times New Roman"/>
          <w:b/>
          <w:color w:val="auto"/>
          <w:w w:val="99"/>
          <w:highlight w:val="none"/>
          <w:lang w:bidi="zh-CN"/>
        </w:rPr>
        <w:t>24</w:t>
      </w:r>
      <w:r>
        <w:rPr>
          <w:rFonts w:hint="eastAsia" w:ascii="Times New Roman" w:hAnsi="Times New Roman" w:cs="Times New Roman"/>
          <w:b/>
          <w:color w:val="auto"/>
          <w:w w:val="99"/>
          <w:highlight w:val="none"/>
          <w:lang w:bidi="zh-CN"/>
        </w:rPr>
        <w:t>号”</w:t>
      </w:r>
      <w:r>
        <w:rPr>
          <w:rFonts w:ascii="Times New Roman" w:hAnsi="Times New Roman" w:cs="Times New Roman"/>
          <w:b/>
          <w:color w:val="auto"/>
          <w:w w:val="99"/>
          <w:highlight w:val="none"/>
          <w:lang w:bidi="zh-CN"/>
        </w:rPr>
        <w:t>相关要求符合性判定</w:t>
      </w:r>
    </w:p>
    <w:tbl>
      <w:tblPr>
        <w:tblStyle w:val="8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2"/>
        <w:gridCol w:w="3602"/>
        <w:gridCol w:w="3940"/>
        <w:gridCol w:w="992"/>
      </w:tblGrid>
      <w:tr w14:paraId="3FF43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5" w:type="pct"/>
            <w:vAlign w:val="center"/>
          </w:tcPr>
          <w:p w14:paraId="7D712694">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序号</w:t>
            </w:r>
          </w:p>
        </w:tc>
        <w:tc>
          <w:tcPr>
            <w:tcW w:w="1938" w:type="pct"/>
            <w:vAlign w:val="center"/>
          </w:tcPr>
          <w:p w14:paraId="78E1F24D">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相关要求</w:t>
            </w:r>
          </w:p>
        </w:tc>
        <w:tc>
          <w:tcPr>
            <w:tcW w:w="2120" w:type="pct"/>
            <w:vAlign w:val="center"/>
          </w:tcPr>
          <w:p w14:paraId="0F195B9A">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符合性分析</w:t>
            </w:r>
          </w:p>
        </w:tc>
        <w:tc>
          <w:tcPr>
            <w:tcW w:w="534" w:type="pct"/>
            <w:vAlign w:val="center"/>
          </w:tcPr>
          <w:p w14:paraId="5ADBDE83">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符合性</w:t>
            </w:r>
          </w:p>
        </w:tc>
      </w:tr>
      <w:tr w14:paraId="0C5FC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5" w:type="pct"/>
            <w:vAlign w:val="center"/>
          </w:tcPr>
          <w:p w14:paraId="16064FDD">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w:t>
            </w:r>
          </w:p>
        </w:tc>
        <w:tc>
          <w:tcPr>
            <w:tcW w:w="1938" w:type="pct"/>
            <w:vAlign w:val="center"/>
          </w:tcPr>
          <w:p w14:paraId="0B32A19D">
            <w:pPr>
              <w:adjustRightInd w:val="0"/>
              <w:snapToGrid w:val="0"/>
              <w:spacing w:line="360" w:lineRule="exac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以习近平新时代中国特色社会主义思想为指导，全面贯彻党的二十大精神，深入贯彻习近平生态文明思想，落实全国生态环境保护大会部署，坚持稳中求进工作总基调，协同推进降碳、减污、扩绿、增长，以改善空气质量为核心，以减少重污染天气和解决人民群众身边的突出大气环境问题为重点，以降低细颗粒物（PM</w:t>
            </w:r>
            <w:r>
              <w:rPr>
                <w:rFonts w:ascii="Times New Roman" w:hAnsi="Times New Roman" w:cs="Times New Roman"/>
                <w:color w:val="auto"/>
                <w:w w:val="99"/>
                <w:sz w:val="21"/>
                <w:szCs w:val="21"/>
                <w:highlight w:val="none"/>
                <w:vertAlign w:val="subscript"/>
              </w:rPr>
              <w:t>2.5</w:t>
            </w:r>
            <w:r>
              <w:rPr>
                <w:rFonts w:ascii="Times New Roman" w:hAnsi="Times New Roman" w:cs="Times New Roman"/>
                <w:color w:val="auto"/>
                <w:w w:val="99"/>
                <w:sz w:val="21"/>
                <w:szCs w:val="21"/>
                <w:highlight w:val="none"/>
              </w:rPr>
              <w:t>）浓度为主线，大力推动氮氧化物和挥发性有机物（VOCs）减排；开展区域协同治理，突出精准、科学、依法治污，完善大气环境管理体系，提升污染防治能力；远近结合研究谋划大气污染防治路径，扎实推进产业、能源、交通绿色低碳转型，强化面源污染治理，加强源头防控，加快形成绿色低碳生产生活方式，实现环境效益、经济效益和社会效益多赢</w:t>
            </w:r>
          </w:p>
        </w:tc>
        <w:tc>
          <w:tcPr>
            <w:tcW w:w="2120" w:type="pct"/>
            <w:vAlign w:val="center"/>
          </w:tcPr>
          <w:p w14:paraId="306EACB9">
            <w:pPr>
              <w:adjustRightInd w:val="0"/>
              <w:snapToGrid w:val="0"/>
              <w:spacing w:line="360" w:lineRule="exact"/>
              <w:rPr>
                <w:rFonts w:ascii="Times New Roman" w:hAnsi="Times New Roman" w:cs="Times New Roman"/>
                <w:color w:val="auto"/>
                <w:w w:val="99"/>
                <w:sz w:val="21"/>
                <w:szCs w:val="21"/>
                <w:highlight w:val="none"/>
              </w:rPr>
            </w:pPr>
            <w:r>
              <w:rPr>
                <w:rFonts w:ascii="Times New Roman" w:hAnsi="Times New Roman" w:cs="Times New Roman"/>
                <w:bCs/>
                <w:color w:val="auto"/>
                <w:w w:val="99"/>
                <w:sz w:val="21"/>
                <w:szCs w:val="21"/>
                <w:highlight w:val="none"/>
              </w:rPr>
              <w:t>本项目施工过程中产生的施工扬尘采取运输道路及施工场地定时洒水抑尘，运输车辆采取苫布遮盖措施，土方开挖采取遮盖、围挡、洒水等防尘措施；施工车辆采用清洁燃料，降低污染物排放；柴油机采用节能环保型柴油动力设备，钻井发电机和钻井柴油机采用符合</w:t>
            </w:r>
            <w:r>
              <w:rPr>
                <w:rFonts w:hint="eastAsia" w:ascii="Times New Roman" w:hAnsi="Times New Roman" w:cs="Times New Roman"/>
                <w:bCs/>
                <w:color w:val="auto"/>
                <w:w w:val="99"/>
                <w:sz w:val="21"/>
                <w:szCs w:val="21"/>
                <w:highlight w:val="none"/>
              </w:rPr>
              <w:t>《车用柴油》（</w:t>
            </w:r>
            <w:r>
              <w:rPr>
                <w:rFonts w:ascii="Times New Roman" w:hAnsi="Times New Roman" w:cs="Times New Roman"/>
                <w:bCs/>
                <w:color w:val="auto"/>
                <w:w w:val="99"/>
                <w:sz w:val="21"/>
                <w:szCs w:val="21"/>
                <w:highlight w:val="none"/>
              </w:rPr>
              <w:t>GB 19147-2016）的柴油，加强对机械设备的维护、保养，减少不必要的运转时间，以控制尾气的排放。本项目运营期油气集输全部采用密闭集油工艺流程，井口安装密封垫，集输管线采用密闭管道，定期对设备和管道进行维修保养，保证油气处理设施的平稳运行，控制烃类气体、温室气体的无组织挥发。依托场站内加热炉采用清洁能源天然气作为燃料，并采用低氮燃烧器，加热炉燃烧产生的废气均经不低于8m的烟囱高空排放。</w:t>
            </w:r>
          </w:p>
        </w:tc>
        <w:tc>
          <w:tcPr>
            <w:tcW w:w="534" w:type="pct"/>
            <w:vAlign w:val="center"/>
          </w:tcPr>
          <w:p w14:paraId="20E500E3">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bl>
    <w:p w14:paraId="51C10BF6">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根据以上分析，本项目符合《空气质量持续改善行动计划》（国发〔2023〕24号）中要求。</w:t>
      </w:r>
    </w:p>
    <w:p w14:paraId="75F4B082">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1.4.3.</w:t>
      </w:r>
      <w:r>
        <w:rPr>
          <w:rFonts w:hint="eastAsia" w:ascii="Times New Roman" w:hAnsi="Times New Roman" w:eastAsiaTheme="minorEastAsia"/>
          <w:b/>
          <w:color w:val="auto"/>
          <w:w w:val="99"/>
          <w:highlight w:val="none"/>
        </w:rPr>
        <w:t>14</w:t>
      </w:r>
      <w:r>
        <w:rPr>
          <w:rFonts w:ascii="Times New Roman" w:hAnsi="Times New Roman" w:eastAsiaTheme="minorEastAsia"/>
          <w:b/>
          <w:color w:val="auto"/>
          <w:w w:val="99"/>
          <w:highlight w:val="none"/>
        </w:rPr>
        <w:t>与《中华人民共和国石油天然气管道保护法》</w:t>
      </w:r>
      <w:r>
        <w:rPr>
          <w:rFonts w:hint="eastAsia" w:ascii="Times New Roman" w:hAnsi="Times New Roman" w:eastAsiaTheme="minorEastAsia"/>
          <w:b/>
          <w:color w:val="auto"/>
          <w:w w:val="99"/>
          <w:highlight w:val="none"/>
        </w:rPr>
        <w:t>（主席令</w:t>
      </w:r>
      <w:r>
        <w:rPr>
          <w:rFonts w:ascii="Times New Roman" w:hAnsi="Times New Roman" w:eastAsiaTheme="minorEastAsia"/>
          <w:b/>
          <w:color w:val="auto"/>
          <w:w w:val="99"/>
          <w:highlight w:val="none"/>
        </w:rPr>
        <w:t>[2010]</w:t>
      </w:r>
      <w:r>
        <w:rPr>
          <w:rFonts w:hint="eastAsia" w:ascii="Times New Roman" w:hAnsi="Times New Roman" w:eastAsiaTheme="minorEastAsia"/>
          <w:b/>
          <w:color w:val="auto"/>
          <w:w w:val="99"/>
          <w:highlight w:val="none"/>
        </w:rPr>
        <w:t>第</w:t>
      </w:r>
      <w:r>
        <w:rPr>
          <w:rFonts w:ascii="Times New Roman" w:hAnsi="Times New Roman" w:eastAsiaTheme="minorEastAsia"/>
          <w:b/>
          <w:color w:val="auto"/>
          <w:w w:val="99"/>
          <w:highlight w:val="none"/>
        </w:rPr>
        <w:t>30</w:t>
      </w:r>
      <w:r>
        <w:rPr>
          <w:rFonts w:hint="eastAsia" w:ascii="Times New Roman" w:hAnsi="Times New Roman" w:eastAsiaTheme="minorEastAsia"/>
          <w:b/>
          <w:color w:val="auto"/>
          <w:w w:val="99"/>
          <w:highlight w:val="none"/>
        </w:rPr>
        <w:t>号）</w:t>
      </w:r>
      <w:r>
        <w:rPr>
          <w:rFonts w:ascii="Times New Roman" w:hAnsi="Times New Roman" w:eastAsiaTheme="minorEastAsia"/>
          <w:b/>
          <w:color w:val="auto"/>
          <w:w w:val="99"/>
          <w:highlight w:val="none"/>
        </w:rPr>
        <w:t>符合性分析</w:t>
      </w:r>
    </w:p>
    <w:p w14:paraId="47246AC1">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本项目与《中华人民共和国石油天然气管道保护法》（</w:t>
      </w:r>
      <w:r>
        <w:rPr>
          <w:rFonts w:hint="eastAsia" w:ascii="Times New Roman" w:hAnsi="Times New Roman"/>
          <w:color w:val="auto"/>
          <w:w w:val="99"/>
          <w:highlight w:val="none"/>
        </w:rPr>
        <w:t>主席令</w:t>
      </w:r>
      <w:r>
        <w:rPr>
          <w:rFonts w:ascii="Times New Roman" w:hAnsi="Times New Roman"/>
          <w:color w:val="auto"/>
          <w:w w:val="99"/>
          <w:highlight w:val="none"/>
        </w:rPr>
        <w:t>[2010]第30号）符合性分析见表1.4-</w:t>
      </w:r>
      <w:r>
        <w:rPr>
          <w:rFonts w:hint="eastAsia" w:ascii="Times New Roman" w:hAnsi="Times New Roman"/>
          <w:color w:val="auto"/>
          <w:w w:val="99"/>
          <w:highlight w:val="none"/>
        </w:rPr>
        <w:t>14</w:t>
      </w:r>
      <w:r>
        <w:rPr>
          <w:rFonts w:ascii="Times New Roman" w:hAnsi="Times New Roman"/>
          <w:color w:val="auto"/>
          <w:w w:val="99"/>
          <w:highlight w:val="none"/>
        </w:rPr>
        <w:t>。</w:t>
      </w:r>
    </w:p>
    <w:p w14:paraId="5B204DF2">
      <w:pPr>
        <w:spacing w:line="440" w:lineRule="exact"/>
        <w:ind w:firstLine="476" w:firstLineChars="200"/>
        <w:jc w:val="both"/>
        <w:rPr>
          <w:rFonts w:ascii="Times New Roman" w:hAnsi="Times New Roman" w:cs="Times New Roman"/>
          <w:b/>
          <w:iCs/>
          <w:color w:val="auto"/>
          <w:w w:val="99"/>
          <w:kern w:val="2"/>
          <w:highlight w:val="none"/>
        </w:rPr>
      </w:pPr>
      <w:r>
        <w:rPr>
          <w:rFonts w:ascii="Times New Roman" w:hAnsi="Times New Roman" w:cs="Times New Roman"/>
          <w:b/>
          <w:iCs/>
          <w:color w:val="auto"/>
          <w:w w:val="99"/>
          <w:kern w:val="2"/>
          <w:highlight w:val="none"/>
        </w:rPr>
        <w:t>表1.4-</w:t>
      </w:r>
      <w:r>
        <w:rPr>
          <w:rFonts w:hint="eastAsia" w:ascii="Times New Roman" w:hAnsi="Times New Roman" w:cs="Times New Roman"/>
          <w:b/>
          <w:iCs/>
          <w:color w:val="auto"/>
          <w:w w:val="99"/>
          <w:kern w:val="2"/>
          <w:highlight w:val="none"/>
        </w:rPr>
        <w:t>14</w:t>
      </w:r>
      <w:r>
        <w:rPr>
          <w:rFonts w:ascii="Times New Roman" w:hAnsi="Times New Roman" w:cs="Times New Roman"/>
          <w:b/>
          <w:iCs/>
          <w:color w:val="auto"/>
          <w:w w:val="99"/>
          <w:kern w:val="2"/>
          <w:highlight w:val="none"/>
        </w:rPr>
        <w:t xml:space="preserve">   本项目与</w:t>
      </w:r>
      <w:r>
        <w:rPr>
          <w:rFonts w:hint="eastAsia" w:ascii="Times New Roman" w:hAnsi="Times New Roman" w:cs="Times New Roman"/>
          <w:b/>
          <w:iCs/>
          <w:color w:val="auto"/>
          <w:w w:val="99"/>
          <w:kern w:val="2"/>
          <w:highlight w:val="none"/>
        </w:rPr>
        <w:t>“主席令</w:t>
      </w:r>
      <w:r>
        <w:rPr>
          <w:rFonts w:ascii="Times New Roman" w:hAnsi="Times New Roman" w:cs="Times New Roman"/>
          <w:b/>
          <w:iCs/>
          <w:color w:val="auto"/>
          <w:w w:val="99"/>
          <w:kern w:val="2"/>
          <w:highlight w:val="none"/>
        </w:rPr>
        <w:t>[2010]第30号</w:t>
      </w:r>
      <w:r>
        <w:rPr>
          <w:rFonts w:hint="eastAsia" w:ascii="Times New Roman" w:hAnsi="Times New Roman" w:cs="Times New Roman"/>
          <w:b/>
          <w:iCs/>
          <w:color w:val="auto"/>
          <w:w w:val="99"/>
          <w:kern w:val="2"/>
          <w:highlight w:val="none"/>
        </w:rPr>
        <w:t>”</w:t>
      </w:r>
      <w:r>
        <w:rPr>
          <w:rFonts w:ascii="Times New Roman" w:hAnsi="Times New Roman" w:cs="Times New Roman"/>
          <w:b/>
          <w:iCs/>
          <w:color w:val="auto"/>
          <w:w w:val="99"/>
          <w:kern w:val="2"/>
          <w:highlight w:val="none"/>
        </w:rPr>
        <w:t>符合性一览表</w:t>
      </w:r>
    </w:p>
    <w:tbl>
      <w:tblPr>
        <w:tblStyle w:val="8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4231"/>
        <w:gridCol w:w="3406"/>
        <w:gridCol w:w="939"/>
      </w:tblGrid>
      <w:tr w14:paraId="6C9BE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015B22F8">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序号</w:t>
            </w:r>
          </w:p>
        </w:tc>
        <w:tc>
          <w:tcPr>
            <w:tcW w:w="2279" w:type="pct"/>
            <w:vAlign w:val="center"/>
          </w:tcPr>
          <w:p w14:paraId="205946B5">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文件要求</w:t>
            </w:r>
          </w:p>
        </w:tc>
        <w:tc>
          <w:tcPr>
            <w:tcW w:w="1835" w:type="pct"/>
            <w:vAlign w:val="center"/>
          </w:tcPr>
          <w:p w14:paraId="1BFA5397">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符合性分析</w:t>
            </w:r>
          </w:p>
        </w:tc>
        <w:tc>
          <w:tcPr>
            <w:tcW w:w="506" w:type="pct"/>
            <w:vAlign w:val="center"/>
          </w:tcPr>
          <w:p w14:paraId="6D6591EB">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符合性</w:t>
            </w:r>
          </w:p>
        </w:tc>
      </w:tr>
      <w:tr w14:paraId="19A72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33E8D9B0">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w:t>
            </w:r>
          </w:p>
        </w:tc>
        <w:tc>
          <w:tcPr>
            <w:tcW w:w="2279" w:type="pct"/>
            <w:vAlign w:val="center"/>
          </w:tcPr>
          <w:p w14:paraId="06F3F169">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管道企业应当建立、健全管道巡护制度，配备专门人员对管道线路进行日常巡护。管道巡护人员发现危害管道安全的情形或者隐患，应当按照规定及时处理和报告。</w:t>
            </w:r>
          </w:p>
        </w:tc>
        <w:tc>
          <w:tcPr>
            <w:tcW w:w="1835" w:type="pct"/>
            <w:vMerge w:val="restart"/>
            <w:vAlign w:val="center"/>
          </w:tcPr>
          <w:p w14:paraId="5780ECA9">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项目管道由小队人员每日巡检，发现问题按程序上报处理。集输管道采用防腐无缝钢管，泄漏事故具有隐蔽性和灾难性，要加强监控，定期对集输管线防腐及腐蚀情况定期检测，及时维修或更新，防止泄漏事故的发生。</w:t>
            </w:r>
          </w:p>
        </w:tc>
        <w:tc>
          <w:tcPr>
            <w:tcW w:w="506" w:type="pct"/>
            <w:vMerge w:val="restart"/>
            <w:vAlign w:val="center"/>
          </w:tcPr>
          <w:p w14:paraId="0803ECFC">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r w14:paraId="27EF1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3D9CA784">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w:t>
            </w:r>
          </w:p>
        </w:tc>
        <w:tc>
          <w:tcPr>
            <w:tcW w:w="2279" w:type="pct"/>
            <w:vAlign w:val="center"/>
          </w:tcPr>
          <w:p w14:paraId="3DD353E9">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管道企业应当定期对管道进行检测、维修，确保其处于良好状态；对管道安全风险较大的区段和场所应当进行重点监测，采取有效措施防止管道事故的发生。</w:t>
            </w:r>
          </w:p>
        </w:tc>
        <w:tc>
          <w:tcPr>
            <w:tcW w:w="1835" w:type="pct"/>
            <w:vMerge w:val="continue"/>
            <w:vAlign w:val="center"/>
          </w:tcPr>
          <w:p w14:paraId="6F46ED21">
            <w:pPr>
              <w:adjustRightInd w:val="0"/>
              <w:snapToGrid w:val="0"/>
              <w:spacing w:line="360" w:lineRule="exact"/>
              <w:jc w:val="both"/>
              <w:rPr>
                <w:rFonts w:ascii="Times New Roman" w:hAnsi="Times New Roman" w:cs="Times New Roman"/>
                <w:color w:val="auto"/>
                <w:w w:val="99"/>
                <w:sz w:val="21"/>
                <w:szCs w:val="21"/>
                <w:highlight w:val="none"/>
              </w:rPr>
            </w:pPr>
          </w:p>
        </w:tc>
        <w:tc>
          <w:tcPr>
            <w:tcW w:w="506" w:type="pct"/>
            <w:vMerge w:val="continue"/>
            <w:vAlign w:val="center"/>
          </w:tcPr>
          <w:p w14:paraId="0F0402E0">
            <w:pPr>
              <w:adjustRightInd w:val="0"/>
              <w:snapToGrid w:val="0"/>
              <w:spacing w:line="360" w:lineRule="exact"/>
              <w:jc w:val="center"/>
              <w:rPr>
                <w:rFonts w:ascii="Times New Roman" w:hAnsi="Times New Roman" w:cs="Times New Roman"/>
                <w:color w:val="auto"/>
                <w:w w:val="99"/>
                <w:sz w:val="21"/>
                <w:szCs w:val="21"/>
                <w:highlight w:val="none"/>
              </w:rPr>
            </w:pPr>
          </w:p>
        </w:tc>
      </w:tr>
      <w:tr w14:paraId="6AC59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1A4B997C">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w:t>
            </w:r>
          </w:p>
        </w:tc>
        <w:tc>
          <w:tcPr>
            <w:tcW w:w="2279" w:type="pct"/>
            <w:vAlign w:val="center"/>
          </w:tcPr>
          <w:p w14:paraId="614BF50C">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管道企业应当制定本企业管道事故应急预案，并报管道所在地县级人民政府主管管道保护工作的部门备案；配备抢险救援人员和设备，并定期进行管道事故应急救援演练。</w:t>
            </w:r>
          </w:p>
        </w:tc>
        <w:tc>
          <w:tcPr>
            <w:tcW w:w="1835" w:type="pct"/>
            <w:vAlign w:val="center"/>
          </w:tcPr>
          <w:p w14:paraId="3A04C6BE">
            <w:pPr>
              <w:adjustRightInd w:val="0"/>
              <w:snapToGrid w:val="0"/>
              <w:spacing w:line="360" w:lineRule="exact"/>
              <w:jc w:val="both"/>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采气分公司</w:t>
            </w:r>
            <w:r>
              <w:rPr>
                <w:rFonts w:ascii="Times New Roman" w:hAnsi="Times New Roman" w:cs="Times New Roman"/>
                <w:color w:val="auto"/>
                <w:w w:val="99"/>
                <w:sz w:val="21"/>
                <w:szCs w:val="21"/>
                <w:highlight w:val="none"/>
              </w:rPr>
              <w:t>已制定油气集输管道突发环境事件专项应急预案，对油气集输管道可能发生的泄漏、火灾等各类事故制定了应急处置措施，并定期演练。应急预案已于</w:t>
            </w:r>
            <w:r>
              <w:rPr>
                <w:rFonts w:hint="eastAsia" w:ascii="Times New Roman" w:hAnsi="Times New Roman" w:cs="Times New Roman"/>
                <w:color w:val="auto"/>
                <w:w w:val="99"/>
                <w:sz w:val="21"/>
                <w:szCs w:val="21"/>
                <w:highlight w:val="none"/>
              </w:rPr>
              <w:t>2024年12月19日在大庆市让胡路生态环境局</w:t>
            </w:r>
            <w:r>
              <w:rPr>
                <w:rFonts w:ascii="Times New Roman" w:hAnsi="Times New Roman" w:cs="Times New Roman"/>
                <w:color w:val="auto"/>
                <w:w w:val="99"/>
                <w:sz w:val="21"/>
                <w:szCs w:val="21"/>
                <w:highlight w:val="none"/>
              </w:rPr>
              <w:t xml:space="preserve">进行了备案，备案编号为 </w:t>
            </w:r>
            <w:r>
              <w:rPr>
                <w:rFonts w:hint="eastAsia" w:ascii="Times New Roman" w:hAnsi="Times New Roman" w:cs="Times New Roman"/>
                <w:color w:val="auto"/>
                <w:w w:val="99"/>
                <w:sz w:val="21"/>
                <w:szCs w:val="21"/>
                <w:highlight w:val="none"/>
              </w:rPr>
              <w:t>230604-2024-47-L</w:t>
            </w:r>
            <w:r>
              <w:rPr>
                <w:rFonts w:ascii="Times New Roman" w:hAnsi="Times New Roman" w:cs="Times New Roman"/>
                <w:color w:val="auto"/>
                <w:w w:val="99"/>
                <w:sz w:val="21"/>
                <w:szCs w:val="21"/>
                <w:highlight w:val="none"/>
              </w:rPr>
              <w:t>。</w:t>
            </w:r>
          </w:p>
        </w:tc>
        <w:tc>
          <w:tcPr>
            <w:tcW w:w="506" w:type="pct"/>
            <w:vAlign w:val="center"/>
          </w:tcPr>
          <w:p w14:paraId="64494AC0">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bookmarkEnd w:id="79"/>
      <w:bookmarkEnd w:id="80"/>
      <w:bookmarkEnd w:id="81"/>
    </w:tbl>
    <w:p w14:paraId="3A6D3CF6">
      <w:pPr>
        <w:widowControl w:val="0"/>
        <w:spacing w:line="440" w:lineRule="exact"/>
        <w:jc w:val="both"/>
        <w:outlineLvl w:val="3"/>
        <w:rPr>
          <w:rFonts w:ascii="Times New Roman" w:hAnsi="Times New Roman" w:cs="Times New Roman" w:eastAsiaTheme="minorEastAsia"/>
          <w:b/>
          <w:color w:val="auto"/>
          <w:w w:val="99"/>
          <w:highlight w:val="none"/>
        </w:rPr>
      </w:pPr>
      <w:bookmarkStart w:id="110" w:name="_Toc57976631"/>
      <w:bookmarkStart w:id="111" w:name="_Toc57707876"/>
      <w:bookmarkStart w:id="112" w:name="_Toc61597175"/>
      <w:bookmarkStart w:id="113" w:name="_Toc57203206"/>
      <w:bookmarkStart w:id="114" w:name="_Toc80588210"/>
      <w:bookmarkStart w:id="115" w:name="_Toc83209427"/>
      <w:bookmarkStart w:id="116" w:name="_Toc186444231"/>
      <w:bookmarkStart w:id="117" w:name="_Toc78816415"/>
      <w:bookmarkStart w:id="118" w:name="_Toc80971332"/>
      <w:bookmarkStart w:id="119" w:name="_Toc67860083"/>
      <w:bookmarkStart w:id="120" w:name="_Toc77067614"/>
      <w:bookmarkStart w:id="121" w:name="_Toc70050130"/>
      <w:bookmarkStart w:id="122" w:name="_Toc76976198"/>
      <w:bookmarkStart w:id="123" w:name="_Toc527882715"/>
      <w:bookmarkStart w:id="124" w:name="_Toc11277"/>
      <w:bookmarkStart w:id="125" w:name="_Toc17898122"/>
      <w:bookmarkStart w:id="126" w:name="_Toc527121316"/>
      <w:bookmarkStart w:id="127" w:name="_Toc502736436"/>
      <w:r>
        <w:rPr>
          <w:rFonts w:hint="eastAsia" w:ascii="Times New Roman" w:hAnsi="Times New Roman" w:cs="Times New Roman" w:eastAsiaTheme="minorEastAsia"/>
          <w:b/>
          <w:color w:val="auto"/>
          <w:w w:val="99"/>
          <w:highlight w:val="none"/>
        </w:rPr>
        <w:t>1.</w:t>
      </w:r>
      <w:r>
        <w:rPr>
          <w:rFonts w:ascii="Times New Roman" w:hAnsi="Times New Roman" w:cs="Times New Roman" w:eastAsiaTheme="minorEastAsia"/>
          <w:b/>
          <w:color w:val="auto"/>
          <w:w w:val="99"/>
          <w:highlight w:val="none"/>
        </w:rPr>
        <w:t>4.3.</w:t>
      </w:r>
      <w:r>
        <w:rPr>
          <w:rFonts w:hint="eastAsia" w:ascii="Times New Roman" w:hAnsi="Times New Roman" w:cs="Times New Roman" w:eastAsiaTheme="minorEastAsia"/>
          <w:b/>
          <w:color w:val="auto"/>
          <w:w w:val="99"/>
          <w:highlight w:val="none"/>
        </w:rPr>
        <w:t>15</w:t>
      </w:r>
      <w:r>
        <w:rPr>
          <w:rFonts w:ascii="Times New Roman" w:hAnsi="Times New Roman" w:cs="Times New Roman" w:eastAsiaTheme="minorEastAsia"/>
          <w:b/>
          <w:color w:val="auto"/>
          <w:w w:val="99"/>
          <w:highlight w:val="none"/>
        </w:rPr>
        <w:t>与《土壤污染源头防控行动计划》（环土壤〔2024〕80号）符合性分析</w:t>
      </w:r>
    </w:p>
    <w:p w14:paraId="0BC882C3">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本项目与</w:t>
      </w:r>
      <w:r>
        <w:rPr>
          <w:rFonts w:hint="eastAsia" w:ascii="Times New Roman" w:hAnsi="Times New Roman"/>
          <w:color w:val="auto"/>
          <w:w w:val="99"/>
          <w:highlight w:val="none"/>
        </w:rPr>
        <w:t>《土壤污染源头防控行动计划》（环土壤〔</w:t>
      </w:r>
      <w:r>
        <w:rPr>
          <w:rFonts w:ascii="Times New Roman" w:hAnsi="Times New Roman"/>
          <w:color w:val="auto"/>
          <w:w w:val="99"/>
          <w:highlight w:val="none"/>
        </w:rPr>
        <w:t>2024〕80号）符合性分析见表</w:t>
      </w:r>
      <w:r>
        <w:rPr>
          <w:rFonts w:hint="eastAsia" w:ascii="Times New Roman" w:hAnsi="Times New Roman"/>
          <w:color w:val="auto"/>
          <w:w w:val="99"/>
          <w:highlight w:val="none"/>
        </w:rPr>
        <w:t>1</w:t>
      </w:r>
      <w:r>
        <w:rPr>
          <w:rFonts w:ascii="Times New Roman" w:hAnsi="Times New Roman"/>
          <w:color w:val="auto"/>
          <w:w w:val="99"/>
          <w:highlight w:val="none"/>
        </w:rPr>
        <w:t>.4-</w:t>
      </w:r>
      <w:r>
        <w:rPr>
          <w:rFonts w:hint="eastAsia" w:ascii="Times New Roman" w:hAnsi="Times New Roman"/>
          <w:color w:val="auto"/>
          <w:w w:val="99"/>
          <w:highlight w:val="none"/>
        </w:rPr>
        <w:t>15</w:t>
      </w:r>
      <w:r>
        <w:rPr>
          <w:rFonts w:ascii="Times New Roman" w:hAnsi="Times New Roman"/>
          <w:color w:val="auto"/>
          <w:w w:val="99"/>
          <w:highlight w:val="none"/>
        </w:rPr>
        <w:t>。</w:t>
      </w:r>
    </w:p>
    <w:p w14:paraId="264D1AB4">
      <w:pPr>
        <w:pStyle w:val="153"/>
        <w:widowControl w:val="0"/>
        <w:spacing w:line="440" w:lineRule="exact"/>
        <w:ind w:firstLine="474"/>
        <w:jc w:val="both"/>
        <w:rPr>
          <w:rFonts w:ascii="Times New Roman" w:hAnsi="Times New Roman"/>
          <w:b/>
          <w:bCs/>
          <w:color w:val="auto"/>
          <w:w w:val="99"/>
          <w:highlight w:val="none"/>
        </w:rPr>
      </w:pPr>
      <w:r>
        <w:rPr>
          <w:rFonts w:ascii="Times New Roman" w:hAnsi="Times New Roman"/>
          <w:b/>
          <w:bCs/>
          <w:color w:val="auto"/>
          <w:w w:val="99"/>
          <w:highlight w:val="none"/>
        </w:rPr>
        <w:t>表</w:t>
      </w:r>
      <w:r>
        <w:rPr>
          <w:rFonts w:hint="eastAsia" w:ascii="Times New Roman" w:hAnsi="Times New Roman"/>
          <w:b/>
          <w:bCs/>
          <w:color w:val="auto"/>
          <w:w w:val="99"/>
          <w:highlight w:val="none"/>
        </w:rPr>
        <w:t>1</w:t>
      </w:r>
      <w:r>
        <w:rPr>
          <w:rFonts w:ascii="Times New Roman" w:hAnsi="Times New Roman"/>
          <w:b/>
          <w:bCs/>
          <w:color w:val="auto"/>
          <w:w w:val="99"/>
          <w:highlight w:val="none"/>
        </w:rPr>
        <w:t>.4-</w:t>
      </w:r>
      <w:r>
        <w:rPr>
          <w:rFonts w:hint="eastAsia" w:ascii="Times New Roman" w:hAnsi="Times New Roman"/>
          <w:b/>
          <w:bCs/>
          <w:color w:val="auto"/>
          <w:w w:val="99"/>
          <w:highlight w:val="none"/>
        </w:rPr>
        <w:t>15</w:t>
      </w:r>
      <w:r>
        <w:rPr>
          <w:rFonts w:ascii="Times New Roman" w:hAnsi="Times New Roman"/>
          <w:b/>
          <w:bCs/>
          <w:color w:val="auto"/>
          <w:w w:val="99"/>
          <w:highlight w:val="none"/>
        </w:rPr>
        <w:t xml:space="preserve">  本项目与《土壤污染源头防控行动计划》符合性一览表</w:t>
      </w:r>
    </w:p>
    <w:tbl>
      <w:tblPr>
        <w:tblStyle w:val="81"/>
        <w:tblW w:w="48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3813"/>
        <w:gridCol w:w="3634"/>
        <w:gridCol w:w="916"/>
      </w:tblGrid>
      <w:tr w14:paraId="1D9C3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379" w:type="pct"/>
            <w:vAlign w:val="center"/>
          </w:tcPr>
          <w:p w14:paraId="77063724">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序号</w:t>
            </w:r>
          </w:p>
        </w:tc>
        <w:tc>
          <w:tcPr>
            <w:tcW w:w="2107" w:type="pct"/>
            <w:vAlign w:val="center"/>
          </w:tcPr>
          <w:p w14:paraId="447E526B">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文件要求</w:t>
            </w:r>
          </w:p>
        </w:tc>
        <w:tc>
          <w:tcPr>
            <w:tcW w:w="2008" w:type="pct"/>
            <w:vAlign w:val="center"/>
          </w:tcPr>
          <w:p w14:paraId="3D2CB3E7">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符合性分析</w:t>
            </w:r>
          </w:p>
        </w:tc>
        <w:tc>
          <w:tcPr>
            <w:tcW w:w="506" w:type="pct"/>
            <w:vAlign w:val="center"/>
          </w:tcPr>
          <w:p w14:paraId="76FE875F">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符合性</w:t>
            </w:r>
          </w:p>
        </w:tc>
      </w:tr>
      <w:tr w14:paraId="55683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379" w:type="pct"/>
            <w:vAlign w:val="center"/>
          </w:tcPr>
          <w:p w14:paraId="0D9ADEB3">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w:t>
            </w:r>
          </w:p>
        </w:tc>
        <w:tc>
          <w:tcPr>
            <w:tcW w:w="2107" w:type="pct"/>
            <w:vAlign w:val="center"/>
          </w:tcPr>
          <w:p w14:paraId="095E2C95">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落实生态环境分区管控。加强农用地分类管理，衔接国土空间规划，根据土壤污染程度和相关标准，动态调整优先保护类、安全利用类和严格管控类农用地的数量和边界，细化并落实分类管理措施。城镇开发边界外不得规划建设各类开发区，区内各类开发 建设活动应严格落实生态环境准入清单。严格重点建设用地安全利用。完善地下水环境风险管控划定技术要求，划定地下水污染防治重点区，精准编制差异化准入清单，提出土壤和地下水污染风险管控要求。</w:t>
            </w:r>
          </w:p>
        </w:tc>
        <w:tc>
          <w:tcPr>
            <w:tcW w:w="2008" w:type="pct"/>
            <w:vAlign w:val="center"/>
          </w:tcPr>
          <w:p w14:paraId="7CE10267">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项目符合生态环境分区管控准入要求，已针对项目特点提出针对性地下水污染防治措施，主要包括采取分区防渗措施，根据可能对地下水造成污染的污染源分布制定重点防渗区、简单防渗区；根据区域潜水流向，在区域</w:t>
            </w:r>
            <w:r>
              <w:rPr>
                <w:rFonts w:hint="eastAsia" w:ascii="Times New Roman" w:hAnsi="Times New Roman" w:cs="Times New Roman"/>
                <w:color w:val="auto"/>
                <w:w w:val="99"/>
                <w:sz w:val="21"/>
                <w:szCs w:val="21"/>
                <w:highlight w:val="none"/>
              </w:rPr>
              <w:t>、</w:t>
            </w:r>
            <w:r>
              <w:rPr>
                <w:rFonts w:ascii="Times New Roman" w:hAnsi="Times New Roman" w:cs="Times New Roman"/>
                <w:color w:val="auto"/>
                <w:w w:val="99"/>
                <w:sz w:val="21"/>
                <w:szCs w:val="21"/>
                <w:highlight w:val="none"/>
              </w:rPr>
              <w:t>下游设</w:t>
            </w:r>
            <w:r>
              <w:rPr>
                <w:rFonts w:hint="eastAsia" w:ascii="Times New Roman" w:hAnsi="Times New Roman" w:cs="Times New Roman"/>
                <w:color w:val="auto"/>
                <w:w w:val="99"/>
                <w:sz w:val="21"/>
                <w:szCs w:val="21"/>
                <w:highlight w:val="none"/>
              </w:rPr>
              <w:t>3</w:t>
            </w:r>
            <w:r>
              <w:rPr>
                <w:rFonts w:ascii="Times New Roman" w:hAnsi="Times New Roman" w:cs="Times New Roman"/>
                <w:color w:val="auto"/>
                <w:w w:val="99"/>
                <w:sz w:val="21"/>
                <w:szCs w:val="21"/>
                <w:highlight w:val="none"/>
              </w:rPr>
              <w:t>个潜水跟踪监测点，定期对地下水进行跟踪监测。</w:t>
            </w:r>
          </w:p>
        </w:tc>
        <w:tc>
          <w:tcPr>
            <w:tcW w:w="506" w:type="pct"/>
            <w:vAlign w:val="center"/>
          </w:tcPr>
          <w:p w14:paraId="5F26250C">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r w14:paraId="08D4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379" w:type="pct"/>
            <w:vAlign w:val="center"/>
          </w:tcPr>
          <w:p w14:paraId="19652221">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w:t>
            </w:r>
          </w:p>
        </w:tc>
        <w:tc>
          <w:tcPr>
            <w:tcW w:w="2107" w:type="pct"/>
            <w:vAlign w:val="center"/>
          </w:tcPr>
          <w:p w14:paraId="57DAFB1E">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加强未污染土壤保护。强化优先保护类耕地管理，加强土壤生态环境质量监测和保护。鼓励黑龙江等省份探索开展黑土地土壤生态环境保护监督管理。加强盐碱地生态环境保护。新建涉重金属排放企业，要在相关建设项目中加强重金属排放对周边耕地土壤的累积性风险分析，存在风险的，要采取防控措施。</w:t>
            </w:r>
          </w:p>
        </w:tc>
        <w:tc>
          <w:tcPr>
            <w:tcW w:w="2008" w:type="pct"/>
            <w:vAlign w:val="center"/>
          </w:tcPr>
          <w:p w14:paraId="06E09168">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bCs/>
                <w:color w:val="auto"/>
                <w:w w:val="99"/>
                <w:sz w:val="21"/>
                <w:szCs w:val="21"/>
                <w:highlight w:val="none"/>
              </w:rPr>
              <w:t>在施工过程中针对临时占地，应剥离占地内的表土，</w:t>
            </w:r>
            <w:r>
              <w:rPr>
                <w:rFonts w:hint="eastAsia" w:ascii="Times New Roman" w:hAnsi="Times New Roman" w:cs="Times New Roman"/>
                <w:bCs/>
                <w:color w:val="auto"/>
                <w:w w:val="99"/>
                <w:sz w:val="21"/>
                <w:szCs w:val="21"/>
                <w:highlight w:val="none"/>
              </w:rPr>
              <w:t>耕地剥离厚度</w:t>
            </w:r>
            <w:r>
              <w:rPr>
                <w:rFonts w:ascii="Times New Roman" w:hAnsi="Times New Roman" w:cs="Times New Roman"/>
                <w:bCs/>
                <w:color w:val="auto"/>
                <w:w w:val="99"/>
                <w:sz w:val="21"/>
                <w:szCs w:val="21"/>
                <w:highlight w:val="none"/>
              </w:rPr>
              <w:t>0.3m，采用分层开挖，分层堆放，暂存于占地内的表土剥离临时堆放区，并采取苫布遮盖，表土剥离临时堆放区周围设置排水沟等措施防止水土流失，并定期采取洒水抑尘措施，剥离的表土在施工结束后分层回填，并及时恢复地表植被</w:t>
            </w:r>
            <w:r>
              <w:rPr>
                <w:rFonts w:ascii="Times New Roman" w:hAnsi="Times New Roman" w:cs="Times New Roman"/>
                <w:color w:val="auto"/>
                <w:w w:val="99"/>
                <w:sz w:val="21"/>
                <w:szCs w:val="21"/>
                <w:highlight w:val="none"/>
              </w:rPr>
              <w:t>。</w:t>
            </w:r>
          </w:p>
        </w:tc>
        <w:tc>
          <w:tcPr>
            <w:tcW w:w="506" w:type="pct"/>
            <w:vAlign w:val="center"/>
          </w:tcPr>
          <w:p w14:paraId="7036FEA5">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r w14:paraId="0D5F5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379" w:type="pct"/>
            <w:vAlign w:val="center"/>
          </w:tcPr>
          <w:p w14:paraId="48D6F499">
            <w:pPr>
              <w:adjustRightInd w:val="0"/>
              <w:snapToGrid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3</w:t>
            </w:r>
          </w:p>
        </w:tc>
        <w:tc>
          <w:tcPr>
            <w:tcW w:w="2107" w:type="pct"/>
            <w:vAlign w:val="center"/>
          </w:tcPr>
          <w:p w14:paraId="79727156">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推进固体废物源头减量和综合利用。加强一般工业固体废物规范化环境管理，开展历史遗留固体废物堆存场摸底排查和分级分类整改，全面完善防渗漏、防流失、防扬散等措施。严密防控危险废物环境风险，深化危险废物规范化环境管理评估，推进全过程信息化环境管理，严格管控最终填埋处置。严厉打击非法排放、倾倒、转移、处置固体废物，尤其是危险废物环境违法犯罪行为。</w:t>
            </w:r>
          </w:p>
        </w:tc>
        <w:tc>
          <w:tcPr>
            <w:tcW w:w="2008" w:type="pct"/>
            <w:vAlign w:val="center"/>
          </w:tcPr>
          <w:p w14:paraId="3672F5B1">
            <w:pPr>
              <w:adjustRightInd w:val="0"/>
              <w:snapToGrid w:val="0"/>
              <w:spacing w:line="360" w:lineRule="exact"/>
              <w:jc w:val="both"/>
              <w:rPr>
                <w:rFonts w:ascii="Times New Roman" w:hAnsi="Times New Roman" w:cs="Times New Roman" w:eastAsiaTheme="minorEastAsia"/>
                <w:color w:val="auto"/>
                <w:w w:val="99"/>
                <w:kern w:val="2"/>
                <w:highlight w:val="none"/>
              </w:rPr>
            </w:pPr>
            <w:r>
              <w:rPr>
                <w:rFonts w:ascii="Times New Roman" w:hAnsi="Times New Roman" w:cs="Times New Roman"/>
                <w:color w:val="auto"/>
                <w:w w:val="99"/>
                <w:sz w:val="21"/>
                <w:szCs w:val="21"/>
                <w:highlight w:val="none"/>
              </w:rPr>
              <w:t>本项目</w:t>
            </w:r>
            <w:r>
              <w:rPr>
                <w:rFonts w:hint="eastAsia" w:ascii="Times New Roman" w:hAnsi="Times New Roman" w:cs="Times New Roman"/>
                <w:color w:val="auto"/>
                <w:w w:val="99"/>
                <w:sz w:val="21"/>
                <w:szCs w:val="21"/>
                <w:highlight w:val="none"/>
              </w:rPr>
              <w:t>施工期</w:t>
            </w:r>
            <w:r>
              <w:rPr>
                <w:rFonts w:ascii="Times New Roman" w:hAnsi="Times New Roman" w:cs="Times New Roman"/>
                <w:color w:val="auto"/>
                <w:w w:val="99"/>
                <w:sz w:val="21"/>
                <w:szCs w:val="21"/>
                <w:highlight w:val="none"/>
              </w:rPr>
              <w:t>施工废料</w:t>
            </w:r>
            <w:r>
              <w:rPr>
                <w:rFonts w:ascii="Times New Roman" w:hAnsi="Times New Roman" w:cs="Times New Roman"/>
                <w:bCs/>
                <w:color w:val="auto"/>
                <w:w w:val="99"/>
                <w:sz w:val="21"/>
                <w:szCs w:val="21"/>
                <w:highlight w:val="none"/>
              </w:rPr>
              <w:t>由施工单位拉运至第八采</w:t>
            </w:r>
            <w:r>
              <w:rPr>
                <w:rFonts w:hint="eastAsia" w:ascii="Times New Roman" w:hAnsi="Times New Roman" w:cs="Times New Roman"/>
                <w:bCs/>
                <w:color w:val="auto"/>
                <w:w w:val="99"/>
                <w:sz w:val="21"/>
                <w:szCs w:val="21"/>
                <w:highlight w:val="none"/>
              </w:rPr>
              <w:t>油厂工业固废填埋场处理；生活垃圾统一收集后运至肇东北控环境再生能源有限公司垃圾处理厂进行处理；</w:t>
            </w:r>
            <w:r>
              <w:rPr>
                <w:rFonts w:ascii="Times New Roman" w:hAnsi="Times New Roman" w:cs="Times New Roman"/>
                <w:color w:val="auto"/>
                <w:w w:val="99"/>
                <w:sz w:val="21"/>
                <w:szCs w:val="21"/>
                <w:highlight w:val="none"/>
              </w:rPr>
              <w:t>运营期产生</w:t>
            </w:r>
            <w:r>
              <w:rPr>
                <w:rFonts w:ascii="Times New Roman" w:hAnsi="Times New Roman" w:cs="Times New Roman"/>
                <w:bCs/>
                <w:color w:val="auto"/>
                <w:w w:val="99"/>
                <w:sz w:val="21"/>
                <w:szCs w:val="21"/>
                <w:highlight w:val="none"/>
              </w:rPr>
              <w:t>的</w:t>
            </w:r>
            <w:r>
              <w:rPr>
                <w:rFonts w:hint="eastAsia" w:ascii="Times New Roman" w:hAnsi="Times New Roman" w:cs="Times New Roman"/>
                <w:bCs/>
                <w:color w:val="auto"/>
                <w:w w:val="99"/>
                <w:sz w:val="21"/>
                <w:szCs w:val="21"/>
                <w:highlight w:val="none"/>
              </w:rPr>
              <w:t>井口含油</w:t>
            </w:r>
            <w:r>
              <w:rPr>
                <w:rFonts w:hint="eastAsia" w:ascii="Times New Roman" w:hAnsi="Times New Roman" w:cs="Times New Roman"/>
                <w:bCs/>
                <w:color w:val="auto"/>
                <w:w w:val="99"/>
                <w:sz w:val="21"/>
                <w:szCs w:val="21"/>
                <w:highlight w:val="none"/>
                <w:lang w:eastAsia="zh-CN"/>
              </w:rPr>
              <w:t>砂粒</w:t>
            </w:r>
            <w:r>
              <w:rPr>
                <w:rFonts w:hint="eastAsia" w:ascii="Times New Roman" w:hAnsi="Times New Roman" w:cs="Times New Roman"/>
                <w:bCs/>
                <w:color w:val="auto"/>
                <w:w w:val="99"/>
                <w:sz w:val="21"/>
                <w:szCs w:val="21"/>
                <w:highlight w:val="none"/>
              </w:rPr>
              <w:t>、废变压器油由检维修队送采气分公司危险废物贮存库内，定期委托有危废处置资质的单位处置。</w:t>
            </w:r>
          </w:p>
          <w:p w14:paraId="73484E1B">
            <w:pPr>
              <w:adjustRightInd w:val="0"/>
              <w:snapToGrid w:val="0"/>
              <w:spacing w:line="360" w:lineRule="exact"/>
              <w:jc w:val="both"/>
              <w:rPr>
                <w:rFonts w:ascii="Times New Roman" w:hAnsi="Times New Roman" w:cs="Times New Roman"/>
                <w:color w:val="auto"/>
                <w:w w:val="99"/>
                <w:sz w:val="21"/>
                <w:szCs w:val="21"/>
                <w:highlight w:val="none"/>
              </w:rPr>
            </w:pPr>
            <w:r>
              <w:rPr>
                <w:rFonts w:hint="eastAsia" w:ascii="Times New Roman" w:hAnsi="Times New Roman" w:cs="Times New Roman"/>
                <w:bCs/>
                <w:color w:val="auto"/>
                <w:w w:val="99"/>
                <w:sz w:val="21"/>
                <w:szCs w:val="21"/>
                <w:highlight w:val="none"/>
              </w:rPr>
              <w:t>综上，固体废物处置率100%。</w:t>
            </w:r>
          </w:p>
        </w:tc>
        <w:tc>
          <w:tcPr>
            <w:tcW w:w="506" w:type="pct"/>
            <w:vAlign w:val="center"/>
          </w:tcPr>
          <w:p w14:paraId="37E95499">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bl>
    <w:p w14:paraId="1D6FADCE">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根据以上分析，本项目</w:t>
      </w:r>
      <w:r>
        <w:rPr>
          <w:rFonts w:hint="eastAsia" w:ascii="Times New Roman" w:hAnsi="Times New Roman"/>
          <w:color w:val="auto"/>
          <w:w w:val="99"/>
          <w:highlight w:val="none"/>
        </w:rPr>
        <w:t>满足《土壤污染源头防控行动计划》（环土壤〔</w:t>
      </w:r>
      <w:r>
        <w:rPr>
          <w:rFonts w:ascii="Times New Roman" w:hAnsi="Times New Roman"/>
          <w:color w:val="auto"/>
          <w:w w:val="99"/>
          <w:highlight w:val="none"/>
        </w:rPr>
        <w:t>2024〕80号）</w:t>
      </w:r>
      <w:r>
        <w:rPr>
          <w:rFonts w:hint="eastAsia" w:ascii="Times New Roman" w:hAnsi="Times New Roman"/>
          <w:color w:val="auto"/>
          <w:w w:val="99"/>
          <w:highlight w:val="none"/>
        </w:rPr>
        <w:t>中</w:t>
      </w:r>
      <w:r>
        <w:rPr>
          <w:rFonts w:ascii="Times New Roman" w:hAnsi="Times New Roman"/>
          <w:color w:val="auto"/>
          <w:w w:val="99"/>
          <w:highlight w:val="none"/>
        </w:rPr>
        <w:t>要求。</w:t>
      </w:r>
    </w:p>
    <w:p w14:paraId="606B695D">
      <w:pPr>
        <w:widowControl w:val="0"/>
        <w:spacing w:line="440" w:lineRule="exact"/>
        <w:jc w:val="both"/>
        <w:outlineLvl w:val="3"/>
        <w:rPr>
          <w:rFonts w:ascii="Times New Roman" w:hAnsi="Times New Roman" w:eastAsiaTheme="minorEastAsia"/>
          <w:b/>
          <w:color w:val="auto"/>
          <w:w w:val="99"/>
          <w:highlight w:val="none"/>
        </w:rPr>
      </w:pPr>
      <w:r>
        <w:rPr>
          <w:rFonts w:hint="eastAsia" w:ascii="Times New Roman" w:hAnsi="Times New Roman" w:cs="Times New Roman" w:eastAsiaTheme="minorEastAsia"/>
          <w:b/>
          <w:color w:val="auto"/>
          <w:w w:val="99"/>
          <w:highlight w:val="none"/>
        </w:rPr>
        <w:t>1.</w:t>
      </w:r>
      <w:r>
        <w:rPr>
          <w:rFonts w:ascii="Times New Roman" w:hAnsi="Times New Roman" w:cs="Times New Roman" w:eastAsiaTheme="minorEastAsia"/>
          <w:b/>
          <w:color w:val="auto"/>
          <w:w w:val="99"/>
          <w:highlight w:val="none"/>
        </w:rPr>
        <w:t>4.3.</w:t>
      </w:r>
      <w:r>
        <w:rPr>
          <w:rFonts w:hint="eastAsia" w:ascii="Times New Roman" w:hAnsi="Times New Roman" w:cs="Times New Roman" w:eastAsiaTheme="minorEastAsia"/>
          <w:b/>
          <w:color w:val="auto"/>
          <w:w w:val="99"/>
          <w:highlight w:val="none"/>
        </w:rPr>
        <w:t>16</w:t>
      </w:r>
      <w:r>
        <w:rPr>
          <w:rFonts w:hint="eastAsia" w:ascii="Times New Roman" w:hAnsi="Times New Roman" w:eastAsiaTheme="minorEastAsia"/>
          <w:b/>
          <w:color w:val="auto"/>
          <w:w w:val="99"/>
          <w:highlight w:val="none"/>
        </w:rPr>
        <w:t>与《固体废物综合治理行动计划》的通知（国发〔2025〕14号）的符合性分析</w:t>
      </w:r>
    </w:p>
    <w:p w14:paraId="13B5F11A">
      <w:pPr>
        <w:pStyle w:val="153"/>
        <w:widowControl w:val="0"/>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本项目与《固体废物综合治理行动计划》的通知（国发〔2025〕14号）符合性分析见表1.4-16。</w:t>
      </w:r>
    </w:p>
    <w:p w14:paraId="45EF1D87">
      <w:pPr>
        <w:pStyle w:val="153"/>
        <w:widowControl w:val="0"/>
        <w:spacing w:line="440" w:lineRule="exact"/>
        <w:ind w:firstLine="474"/>
        <w:jc w:val="both"/>
        <w:rPr>
          <w:rFonts w:ascii="Times New Roman" w:hAnsi="Times New Roman"/>
          <w:b/>
          <w:bCs/>
          <w:color w:val="auto"/>
          <w:w w:val="99"/>
          <w:highlight w:val="none"/>
        </w:rPr>
      </w:pPr>
      <w:r>
        <w:rPr>
          <w:rFonts w:hint="eastAsia" w:ascii="Times New Roman" w:hAnsi="Times New Roman"/>
          <w:b/>
          <w:bCs/>
          <w:color w:val="auto"/>
          <w:w w:val="99"/>
          <w:highlight w:val="none"/>
        </w:rPr>
        <w:t>表1.4-16   本项目与“固体废物综合治理行动计划”符合性分析</w:t>
      </w:r>
    </w:p>
    <w:tbl>
      <w:tblPr>
        <w:tblStyle w:val="82"/>
        <w:tblW w:w="92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0"/>
        <w:gridCol w:w="4022"/>
        <w:gridCol w:w="866"/>
      </w:tblGrid>
      <w:tr w14:paraId="5DF60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0" w:type="dxa"/>
            <w:vAlign w:val="center"/>
          </w:tcPr>
          <w:p w14:paraId="014CAEE5">
            <w:pPr>
              <w:widowControl w:val="0"/>
              <w:adjustRightInd w:val="0"/>
              <w:snapToGrid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相关要求</w:t>
            </w:r>
          </w:p>
        </w:tc>
        <w:tc>
          <w:tcPr>
            <w:tcW w:w="4022" w:type="dxa"/>
            <w:vAlign w:val="center"/>
          </w:tcPr>
          <w:p w14:paraId="75DE3B6A">
            <w:pPr>
              <w:widowControl w:val="0"/>
              <w:adjustRightInd w:val="0"/>
              <w:snapToGrid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本项目</w:t>
            </w:r>
          </w:p>
        </w:tc>
        <w:tc>
          <w:tcPr>
            <w:tcW w:w="866" w:type="dxa"/>
            <w:vAlign w:val="center"/>
          </w:tcPr>
          <w:p w14:paraId="699A4280">
            <w:pPr>
              <w:widowControl w:val="0"/>
              <w:adjustRightInd w:val="0"/>
              <w:snapToGrid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符合性</w:t>
            </w:r>
          </w:p>
        </w:tc>
      </w:tr>
      <w:tr w14:paraId="4899C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0" w:type="dxa"/>
            <w:vAlign w:val="center"/>
          </w:tcPr>
          <w:p w14:paraId="4300C70D">
            <w:pPr>
              <w:widowControl w:val="0"/>
              <w:adjustRightInd w:val="0"/>
              <w:snapToGrid w:val="0"/>
              <w:spacing w:line="360" w:lineRule="exact"/>
              <w:jc w:val="left"/>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加强工业固体废物源头减量。严格落实产业、环保、节能等政策，依法依规淘汰落后产能。强化工业园区固体废物源头管控。大力推行绿色设计，支持企业改进生产工艺和装备，强化工业生产精细化管控，降低固体废物产生强度。推动重有色金属矿采选 一体化建设，促进尾矿就近充填回填，原则上不再批准建设无自建矿山、无配套尾矿利用处置设施的选矿项目。推动重点行业固体废物产生量与综合消纳量逐步实现动态平衡。</w:t>
            </w:r>
          </w:p>
        </w:tc>
        <w:tc>
          <w:tcPr>
            <w:tcW w:w="4022" w:type="dxa"/>
            <w:vMerge w:val="restart"/>
            <w:vAlign w:val="center"/>
          </w:tcPr>
          <w:p w14:paraId="0FE11E29">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color w:val="auto"/>
                <w:w w:val="99"/>
                <w:sz w:val="21"/>
                <w:szCs w:val="21"/>
                <w:highlight w:val="none"/>
              </w:rPr>
              <w:t>本项目施工过</w:t>
            </w:r>
            <w:r>
              <w:rPr>
                <w:rFonts w:hint="eastAsia" w:ascii="Times New Roman" w:hAnsi="Times New Roman" w:cs="Times New Roman"/>
                <w:color w:val="auto"/>
                <w:w w:val="99"/>
                <w:kern w:val="2"/>
                <w:sz w:val="21"/>
                <w:szCs w:val="21"/>
                <w:highlight w:val="none"/>
              </w:rPr>
              <w:t>程中产生的固体废物</w:t>
            </w:r>
            <w:r>
              <w:rPr>
                <w:rFonts w:ascii="Times New Roman" w:hAnsi="Times New Roman" w:cs="Times New Roman"/>
                <w:color w:val="auto"/>
                <w:w w:val="99"/>
                <w:kern w:val="2"/>
                <w:sz w:val="21"/>
                <w:szCs w:val="21"/>
                <w:highlight w:val="none"/>
              </w:rPr>
              <w:t>主要为管道施工废料</w:t>
            </w:r>
            <w:r>
              <w:rPr>
                <w:rFonts w:hint="eastAsia" w:ascii="Times New Roman" w:hAnsi="Times New Roman" w:cs="Times New Roman"/>
                <w:color w:val="auto"/>
                <w:w w:val="99"/>
                <w:kern w:val="2"/>
                <w:sz w:val="21"/>
                <w:szCs w:val="21"/>
                <w:highlight w:val="none"/>
              </w:rPr>
              <w:t>、</w:t>
            </w:r>
            <w:r>
              <w:rPr>
                <w:rFonts w:ascii="Times New Roman" w:hAnsi="Times New Roman" w:cs="Times New Roman"/>
                <w:color w:val="auto"/>
                <w:w w:val="99"/>
                <w:kern w:val="2"/>
                <w:sz w:val="21"/>
                <w:szCs w:val="21"/>
                <w:highlight w:val="none"/>
              </w:rPr>
              <w:t>施工人员生活垃圾</w:t>
            </w:r>
            <w:r>
              <w:rPr>
                <w:rFonts w:hint="eastAsia" w:ascii="Times New Roman" w:hAnsi="Times New Roman" w:cs="Times New Roman"/>
                <w:color w:val="auto"/>
                <w:w w:val="99"/>
                <w:kern w:val="2"/>
                <w:sz w:val="21"/>
                <w:szCs w:val="21"/>
                <w:highlight w:val="none"/>
              </w:rPr>
              <w:t>。</w:t>
            </w:r>
            <w:r>
              <w:rPr>
                <w:rFonts w:ascii="Times New Roman" w:hAnsi="Times New Roman" w:cs="Times New Roman"/>
                <w:color w:val="auto"/>
                <w:w w:val="99"/>
                <w:kern w:val="2"/>
                <w:sz w:val="21"/>
                <w:szCs w:val="21"/>
                <w:highlight w:val="none"/>
              </w:rPr>
              <w:t>施工废料</w:t>
            </w:r>
            <w:r>
              <w:rPr>
                <w:rFonts w:hint="eastAsia" w:ascii="Times New Roman" w:hAnsi="Times New Roman" w:cs="Times New Roman"/>
                <w:color w:val="auto"/>
                <w:w w:val="99"/>
                <w:kern w:val="2"/>
                <w:sz w:val="21"/>
                <w:szCs w:val="21"/>
                <w:highlight w:val="none"/>
              </w:rPr>
              <w:t>由施工单位</w:t>
            </w:r>
            <w:r>
              <w:rPr>
                <w:rFonts w:ascii="Times New Roman" w:hAnsi="Times New Roman" w:cs="Times New Roman" w:eastAsiaTheme="minorEastAsia"/>
                <w:color w:val="auto"/>
                <w:w w:val="99"/>
                <w:kern w:val="2"/>
                <w:sz w:val="21"/>
                <w:szCs w:val="21"/>
                <w:highlight w:val="none"/>
              </w:rPr>
              <w:t>拉运至第八采油厂工业固废填埋场处理</w:t>
            </w:r>
            <w:r>
              <w:rPr>
                <w:rFonts w:hint="eastAsia" w:ascii="Times New Roman" w:hAnsi="Times New Roman" w:cs="Times New Roman"/>
                <w:color w:val="auto"/>
                <w:w w:val="99"/>
                <w:kern w:val="2"/>
                <w:sz w:val="21"/>
                <w:szCs w:val="21"/>
                <w:highlight w:val="none"/>
              </w:rPr>
              <w:t>；</w:t>
            </w:r>
            <w:r>
              <w:rPr>
                <w:rFonts w:hint="eastAsia" w:ascii="Times New Roman" w:hAnsi="Times New Roman" w:cs="Times New Roman"/>
                <w:bCs/>
                <w:color w:val="auto"/>
                <w:w w:val="99"/>
                <w:sz w:val="21"/>
                <w:szCs w:val="21"/>
                <w:highlight w:val="none"/>
              </w:rPr>
              <w:t>生活垃圾统一收集后运至肇东北控环境再生能源有限公司垃圾处理厂进行处理；</w:t>
            </w:r>
            <w:r>
              <w:rPr>
                <w:rFonts w:hint="eastAsia" w:ascii="Times New Roman" w:hAnsi="Times New Roman" w:cs="Times New Roman" w:eastAsiaTheme="minorEastAsia"/>
                <w:color w:val="auto"/>
                <w:w w:val="99"/>
                <w:kern w:val="2"/>
                <w:sz w:val="21"/>
                <w:szCs w:val="21"/>
                <w:highlight w:val="none"/>
              </w:rPr>
              <w:t>。</w:t>
            </w:r>
          </w:p>
        </w:tc>
        <w:tc>
          <w:tcPr>
            <w:tcW w:w="866" w:type="dxa"/>
            <w:vAlign w:val="center"/>
          </w:tcPr>
          <w:p w14:paraId="4A4EB59A">
            <w:pPr>
              <w:widowControl w:val="0"/>
              <w:adjustRightInd w:val="0"/>
              <w:snapToGrid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符合</w:t>
            </w:r>
          </w:p>
        </w:tc>
      </w:tr>
      <w:tr w14:paraId="68E56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0" w:type="dxa"/>
            <w:vAlign w:val="center"/>
          </w:tcPr>
          <w:p w14:paraId="4DE6C341">
            <w:pPr>
              <w:widowControl w:val="0"/>
              <w:adjustRightInd w:val="0"/>
              <w:snapToGrid w:val="0"/>
              <w:spacing w:line="360" w:lineRule="exact"/>
              <w:jc w:val="left"/>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提升全过程无害化水平。加强大宗工业固体废物无害化预处理，降低贮存填埋量和环境污染风险。</w:t>
            </w:r>
          </w:p>
        </w:tc>
        <w:tc>
          <w:tcPr>
            <w:tcW w:w="4022" w:type="dxa"/>
            <w:vMerge w:val="continue"/>
            <w:vAlign w:val="center"/>
          </w:tcPr>
          <w:p w14:paraId="28DD83BC">
            <w:pPr>
              <w:widowControl w:val="0"/>
              <w:adjustRightInd w:val="0"/>
              <w:snapToGrid w:val="0"/>
              <w:spacing w:line="360" w:lineRule="exact"/>
              <w:jc w:val="center"/>
              <w:rPr>
                <w:rFonts w:ascii="Times New Roman" w:hAnsi="Times New Roman" w:cs="Times New Roman"/>
                <w:color w:val="auto"/>
                <w:w w:val="99"/>
                <w:sz w:val="21"/>
                <w:szCs w:val="21"/>
                <w:highlight w:val="none"/>
              </w:rPr>
            </w:pPr>
          </w:p>
        </w:tc>
        <w:tc>
          <w:tcPr>
            <w:tcW w:w="866" w:type="dxa"/>
            <w:vAlign w:val="center"/>
          </w:tcPr>
          <w:p w14:paraId="55138515">
            <w:pPr>
              <w:widowControl w:val="0"/>
              <w:adjustRightInd w:val="0"/>
              <w:snapToGrid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符合</w:t>
            </w:r>
          </w:p>
        </w:tc>
      </w:tr>
    </w:tbl>
    <w:p w14:paraId="430FFD74">
      <w:pPr>
        <w:spacing w:line="440" w:lineRule="exact"/>
        <w:ind w:firstLine="474" w:firstLineChars="200"/>
        <w:rPr>
          <w:rFonts w:ascii="Times New Roman" w:hAnsi="Times New Roman" w:cs="Times New Roman" w:eastAsiaTheme="minorEastAsia"/>
          <w:color w:val="auto"/>
          <w:w w:val="99"/>
          <w:highlight w:val="none"/>
        </w:rPr>
      </w:pPr>
      <w:r>
        <w:rPr>
          <w:rFonts w:hint="eastAsia" w:ascii="Times New Roman" w:hAnsi="Times New Roman" w:cs="Times New Roman" w:eastAsiaTheme="minorEastAsia"/>
          <w:color w:val="auto"/>
          <w:w w:val="99"/>
          <w:highlight w:val="none"/>
        </w:rPr>
        <w:t>根据以上分析，本项目符合《固体废物综合治理行动计划》的通知（国发〔2025〕14号）中要求。</w:t>
      </w:r>
    </w:p>
    <w:p w14:paraId="577B1432">
      <w:pPr>
        <w:widowControl w:val="0"/>
        <w:spacing w:line="440" w:lineRule="exact"/>
        <w:jc w:val="both"/>
        <w:outlineLvl w:val="3"/>
        <w:rPr>
          <w:rFonts w:ascii="Times New Roman" w:hAnsi="Times New Roman" w:eastAsiaTheme="minorEastAsia"/>
          <w:b/>
          <w:color w:val="auto"/>
          <w:w w:val="99"/>
          <w:highlight w:val="none"/>
        </w:rPr>
      </w:pPr>
      <w:r>
        <w:rPr>
          <w:rFonts w:hint="eastAsia" w:ascii="Times New Roman" w:hAnsi="Times New Roman" w:cs="Times New Roman" w:eastAsiaTheme="minorEastAsia"/>
          <w:b/>
          <w:color w:val="auto"/>
          <w:w w:val="99"/>
          <w:highlight w:val="none"/>
        </w:rPr>
        <w:t>1.</w:t>
      </w:r>
      <w:r>
        <w:rPr>
          <w:rFonts w:ascii="Times New Roman" w:hAnsi="Times New Roman" w:cs="Times New Roman" w:eastAsiaTheme="minorEastAsia"/>
          <w:b/>
          <w:color w:val="auto"/>
          <w:w w:val="99"/>
          <w:highlight w:val="none"/>
        </w:rPr>
        <w:t>4.3.</w:t>
      </w:r>
      <w:r>
        <w:rPr>
          <w:rFonts w:hint="eastAsia" w:ascii="Times New Roman" w:hAnsi="Times New Roman" w:cs="Times New Roman" w:eastAsiaTheme="minorEastAsia"/>
          <w:b/>
          <w:color w:val="auto"/>
          <w:w w:val="99"/>
          <w:highlight w:val="none"/>
        </w:rPr>
        <w:t>17</w:t>
      </w:r>
      <w:r>
        <w:rPr>
          <w:rFonts w:hint="eastAsia" w:ascii="Times New Roman" w:hAnsi="Times New Roman" w:eastAsiaTheme="minorEastAsia"/>
          <w:b/>
          <w:color w:val="auto"/>
          <w:w w:val="99"/>
          <w:highlight w:val="none"/>
        </w:rPr>
        <w:t>与《甲烷排放控制行动方案》的通知（环气候〔2023〕67号）的符合性分析</w:t>
      </w:r>
    </w:p>
    <w:p w14:paraId="27C29FD4">
      <w:pPr>
        <w:pStyle w:val="153"/>
        <w:widowControl w:val="0"/>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本项目与</w:t>
      </w:r>
      <w:r>
        <w:rPr>
          <w:rFonts w:hint="eastAsia" w:ascii="Times New Roman" w:hAnsi="Times New Roman"/>
          <w:color w:val="auto"/>
          <w:w w:val="99"/>
          <w:kern w:val="2"/>
          <w:sz w:val="21"/>
          <w:szCs w:val="21"/>
          <w:highlight w:val="none"/>
        </w:rPr>
        <w:t>《甲烷排放控制行动方案》的通知（环气候〔2023〕67号）</w:t>
      </w:r>
      <w:r>
        <w:rPr>
          <w:rFonts w:hint="eastAsia" w:ascii="Times New Roman" w:hAnsi="Times New Roman"/>
          <w:color w:val="auto"/>
          <w:w w:val="99"/>
          <w:highlight w:val="none"/>
        </w:rPr>
        <w:t>符合性分析见表1.4-21-17。</w:t>
      </w:r>
    </w:p>
    <w:p w14:paraId="707A3D70">
      <w:pPr>
        <w:pStyle w:val="153"/>
        <w:widowControl w:val="0"/>
        <w:spacing w:line="440" w:lineRule="exact"/>
        <w:ind w:firstLine="474"/>
        <w:jc w:val="both"/>
        <w:rPr>
          <w:rFonts w:ascii="Times New Roman" w:hAnsi="Times New Roman"/>
          <w:b/>
          <w:bCs/>
          <w:color w:val="auto"/>
          <w:w w:val="99"/>
          <w:highlight w:val="none"/>
        </w:rPr>
      </w:pPr>
      <w:r>
        <w:rPr>
          <w:rFonts w:hint="eastAsia" w:ascii="Times New Roman" w:hAnsi="Times New Roman"/>
          <w:b/>
          <w:bCs/>
          <w:color w:val="auto"/>
          <w:w w:val="99"/>
          <w:highlight w:val="none"/>
        </w:rPr>
        <w:t>表1.4-17   本项目与“</w:t>
      </w:r>
      <w:r>
        <w:rPr>
          <w:rFonts w:hint="eastAsia" w:ascii="Times New Roman" w:hAnsi="Times New Roman" w:cs="宋体" w:eastAsiaTheme="minorEastAsia"/>
          <w:b/>
          <w:color w:val="auto"/>
          <w:w w:val="99"/>
          <w:highlight w:val="none"/>
        </w:rPr>
        <w:t>甲烷排放控制行动方案</w:t>
      </w:r>
      <w:r>
        <w:rPr>
          <w:rFonts w:hint="eastAsia" w:ascii="Times New Roman" w:hAnsi="Times New Roman"/>
          <w:b/>
          <w:bCs/>
          <w:color w:val="auto"/>
          <w:w w:val="99"/>
          <w:highlight w:val="none"/>
        </w:rPr>
        <w:t>”符合性分析</w:t>
      </w:r>
    </w:p>
    <w:tbl>
      <w:tblPr>
        <w:tblStyle w:val="82"/>
        <w:tblW w:w="92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48"/>
        <w:gridCol w:w="2744"/>
        <w:gridCol w:w="866"/>
      </w:tblGrid>
      <w:tr w14:paraId="4D247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648" w:type="dxa"/>
            <w:vAlign w:val="center"/>
          </w:tcPr>
          <w:p w14:paraId="1C93DF16">
            <w:pPr>
              <w:widowControl w:val="0"/>
              <w:adjustRightInd w:val="0"/>
              <w:snapToGrid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相关要求</w:t>
            </w:r>
          </w:p>
        </w:tc>
        <w:tc>
          <w:tcPr>
            <w:tcW w:w="2744" w:type="dxa"/>
            <w:vAlign w:val="center"/>
          </w:tcPr>
          <w:p w14:paraId="6FE209F5">
            <w:pPr>
              <w:widowControl w:val="0"/>
              <w:adjustRightInd w:val="0"/>
              <w:snapToGrid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本项目</w:t>
            </w:r>
          </w:p>
        </w:tc>
        <w:tc>
          <w:tcPr>
            <w:tcW w:w="866" w:type="dxa"/>
            <w:vAlign w:val="center"/>
          </w:tcPr>
          <w:p w14:paraId="4DA4FA55">
            <w:pPr>
              <w:widowControl w:val="0"/>
              <w:adjustRightInd w:val="0"/>
              <w:snapToGrid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符合性</w:t>
            </w:r>
          </w:p>
        </w:tc>
      </w:tr>
      <w:tr w14:paraId="449B8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648" w:type="dxa"/>
            <w:vAlign w:val="center"/>
          </w:tcPr>
          <w:p w14:paraId="0A421BF7">
            <w:pPr>
              <w:widowControl w:val="0"/>
              <w:adjustRightInd w:val="0"/>
              <w:snapToGrid w:val="0"/>
              <w:spacing w:line="360" w:lineRule="exact"/>
              <w:jc w:val="left"/>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强化甲烷综合利用。促进油气田放空甲烷排放管控，鼓励企业因地制宜开展伴生气与放空气回收利用，不能回收或难以回收的，应经燃烧后放空。鼓励引导煤炭企业加大煤矿瓦斯抽采利用。到2025年，煤矿瓦斯年利用量达到60亿立方米；到2030年，油田伴生气集气率达到国际先进水平。</w:t>
            </w:r>
          </w:p>
        </w:tc>
        <w:tc>
          <w:tcPr>
            <w:tcW w:w="2744" w:type="dxa"/>
            <w:vMerge w:val="restart"/>
            <w:vAlign w:val="center"/>
          </w:tcPr>
          <w:p w14:paraId="25378F59">
            <w:pPr>
              <w:widowControl w:val="0"/>
              <w:adjustRightInd w:val="0"/>
              <w:snapToGrid w:val="0"/>
              <w:spacing w:line="360" w:lineRule="exact"/>
              <w:jc w:val="left"/>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项目天然气开采项目，</w:t>
            </w:r>
            <w:r>
              <w:rPr>
                <w:rFonts w:hint="eastAsia" w:ascii="Times New Roman" w:hAnsi="Times New Roman" w:cs="Times New Roman"/>
                <w:color w:val="auto"/>
                <w:w w:val="99"/>
                <w:kern w:val="2"/>
                <w:sz w:val="21"/>
                <w:szCs w:val="21"/>
                <w:highlight w:val="none"/>
              </w:rPr>
              <w:t>运营期，</w:t>
            </w:r>
            <w:r>
              <w:rPr>
                <w:rFonts w:hint="eastAsia" w:ascii="Times New Roman" w:hAnsi="Times New Roman" w:cs="Times New Roman" w:eastAsiaTheme="minorEastAsia"/>
                <w:color w:val="auto"/>
                <w:w w:val="99"/>
                <w:sz w:val="21"/>
                <w:szCs w:val="21"/>
                <w:highlight w:val="none"/>
              </w:rPr>
              <w:t>企业对多余伴生气均采用热放空方式进行放空，以减少甲烷直接排放量。</w:t>
            </w:r>
          </w:p>
        </w:tc>
        <w:tc>
          <w:tcPr>
            <w:tcW w:w="866" w:type="dxa"/>
            <w:vAlign w:val="center"/>
          </w:tcPr>
          <w:p w14:paraId="5F832125">
            <w:pPr>
              <w:widowControl w:val="0"/>
              <w:adjustRightInd w:val="0"/>
              <w:snapToGrid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符合</w:t>
            </w:r>
          </w:p>
        </w:tc>
      </w:tr>
      <w:tr w14:paraId="08B6C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648" w:type="dxa"/>
            <w:vAlign w:val="center"/>
          </w:tcPr>
          <w:p w14:paraId="1D297B60">
            <w:pPr>
              <w:widowControl w:val="0"/>
              <w:adjustRightInd w:val="0"/>
              <w:snapToGrid w:val="0"/>
              <w:spacing w:line="360" w:lineRule="exact"/>
              <w:jc w:val="left"/>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推动逐步减少油气系统常规火炬。优化油气田地面工程建设与管理，减少火炬系统天然气燃烧量。科学规划设计新建油气作业项目，在确保生产安全的基础上，努力逐步减少常规火炬燃放。</w:t>
            </w:r>
          </w:p>
        </w:tc>
        <w:tc>
          <w:tcPr>
            <w:tcW w:w="2744" w:type="dxa"/>
            <w:vMerge w:val="continue"/>
            <w:vAlign w:val="center"/>
          </w:tcPr>
          <w:p w14:paraId="5B6ED5FC">
            <w:pPr>
              <w:widowControl w:val="0"/>
              <w:adjustRightInd w:val="0"/>
              <w:snapToGrid w:val="0"/>
              <w:spacing w:line="360" w:lineRule="exact"/>
              <w:jc w:val="left"/>
              <w:rPr>
                <w:rFonts w:ascii="Times New Roman" w:hAnsi="Times New Roman" w:cs="Times New Roman"/>
                <w:color w:val="auto"/>
                <w:w w:val="99"/>
                <w:sz w:val="21"/>
                <w:szCs w:val="21"/>
                <w:highlight w:val="none"/>
              </w:rPr>
            </w:pPr>
          </w:p>
        </w:tc>
        <w:tc>
          <w:tcPr>
            <w:tcW w:w="866" w:type="dxa"/>
            <w:vAlign w:val="center"/>
          </w:tcPr>
          <w:p w14:paraId="461402A8">
            <w:pPr>
              <w:widowControl w:val="0"/>
              <w:adjustRightInd w:val="0"/>
              <w:snapToGrid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符合</w:t>
            </w:r>
          </w:p>
        </w:tc>
      </w:tr>
    </w:tbl>
    <w:p w14:paraId="66E0F35F">
      <w:pPr>
        <w:pStyle w:val="7"/>
        <w:widowControl w:val="0"/>
        <w:tabs>
          <w:tab w:val="left" w:pos="381"/>
        </w:tabs>
        <w:spacing w:before="60" w:after="60" w:line="440" w:lineRule="exact"/>
        <w:jc w:val="both"/>
        <w:rPr>
          <w:rFonts w:eastAsia="宋体"/>
          <w:b/>
          <w:color w:val="auto"/>
          <w:w w:val="99"/>
          <w:kern w:val="2"/>
          <w:sz w:val="24"/>
          <w:szCs w:val="24"/>
          <w:highlight w:val="none"/>
        </w:rPr>
      </w:pPr>
      <w:r>
        <w:rPr>
          <w:rFonts w:eastAsia="宋体"/>
          <w:b/>
          <w:color w:val="auto"/>
          <w:w w:val="99"/>
          <w:kern w:val="2"/>
          <w:sz w:val="24"/>
          <w:szCs w:val="24"/>
          <w:highlight w:val="none"/>
        </w:rPr>
        <w:t>1.4.</w:t>
      </w:r>
      <w:bookmarkEnd w:id="110"/>
      <w:bookmarkEnd w:id="111"/>
      <w:bookmarkEnd w:id="112"/>
      <w:bookmarkEnd w:id="113"/>
      <w:bookmarkStart w:id="128" w:name="_Toc61597176"/>
      <w:r>
        <w:rPr>
          <w:rFonts w:hint="eastAsia" w:eastAsia="宋体"/>
          <w:b/>
          <w:color w:val="auto"/>
          <w:w w:val="99"/>
          <w:kern w:val="2"/>
          <w:sz w:val="24"/>
          <w:szCs w:val="24"/>
          <w:highlight w:val="none"/>
        </w:rPr>
        <w:t>4</w:t>
      </w:r>
      <w:r>
        <w:rPr>
          <w:rFonts w:eastAsia="宋体"/>
          <w:b/>
          <w:color w:val="auto"/>
          <w:w w:val="99"/>
          <w:kern w:val="2"/>
          <w:sz w:val="24"/>
          <w:szCs w:val="24"/>
          <w:highlight w:val="none"/>
        </w:rPr>
        <w:t xml:space="preserve"> “三线一单”符合性分析</w:t>
      </w:r>
      <w:bookmarkEnd w:id="114"/>
      <w:bookmarkEnd w:id="115"/>
      <w:bookmarkEnd w:id="116"/>
      <w:bookmarkEnd w:id="117"/>
      <w:bookmarkEnd w:id="118"/>
      <w:bookmarkEnd w:id="119"/>
      <w:bookmarkEnd w:id="120"/>
      <w:bookmarkEnd w:id="121"/>
      <w:bookmarkEnd w:id="122"/>
      <w:bookmarkEnd w:id="128"/>
    </w:p>
    <w:p w14:paraId="5EE56717">
      <w:pPr>
        <w:pStyle w:val="153"/>
        <w:widowControl w:val="0"/>
        <w:tabs>
          <w:tab w:val="left" w:pos="399"/>
        </w:tabs>
        <w:spacing w:line="440" w:lineRule="exact"/>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1.4.</w:t>
      </w:r>
      <w:r>
        <w:rPr>
          <w:rFonts w:hint="eastAsia" w:ascii="Times New Roman" w:hAnsi="Times New Roman"/>
          <w:b/>
          <w:color w:val="auto"/>
          <w:w w:val="99"/>
          <w:highlight w:val="none"/>
        </w:rPr>
        <w:t>4</w:t>
      </w:r>
      <w:r>
        <w:rPr>
          <w:rFonts w:ascii="Times New Roman" w:hAnsi="Times New Roman"/>
          <w:b/>
          <w:color w:val="auto"/>
          <w:w w:val="99"/>
          <w:highlight w:val="none"/>
        </w:rPr>
        <w:t>.1生态保护红线</w:t>
      </w:r>
    </w:p>
    <w:p w14:paraId="21B0C68F">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根据《自然资源部办公厅关于辽宁等省启用“三区三线”划定成果作为报批建设项目用地用海依据的函》，本项目位于黑龙江省</w:t>
      </w:r>
      <w:r>
        <w:rPr>
          <w:rFonts w:hint="eastAsia" w:ascii="Times New Roman" w:hAnsi="Times New Roman" w:cs="Times New Roman"/>
          <w:color w:val="auto"/>
          <w:w w:val="99"/>
          <w:kern w:val="2"/>
          <w:highlight w:val="none"/>
        </w:rPr>
        <w:t>绥化市</w:t>
      </w:r>
      <w:r>
        <w:rPr>
          <w:rFonts w:ascii="Times New Roman" w:hAnsi="Times New Roman" w:cs="Times New Roman"/>
          <w:color w:val="auto"/>
          <w:w w:val="99"/>
          <w:kern w:val="2"/>
          <w:highlight w:val="none"/>
        </w:rPr>
        <w:t>市，属于“三区三线”划定启用的区域，其中的“三区”分别为城镇空间、农业空间、生态空间三种类型的国土空间；“三线”分别为城镇开发边界、永久基本农田、生态保护红线三条控制线。根据《</w:t>
      </w:r>
      <w:r>
        <w:rPr>
          <w:rFonts w:hint="eastAsia" w:ascii="Times New Roman" w:hAnsi="Times New Roman" w:cs="Times New Roman"/>
          <w:color w:val="auto"/>
          <w:w w:val="99"/>
          <w:kern w:val="2"/>
          <w:highlight w:val="none"/>
        </w:rPr>
        <w:t>绥化市</w:t>
      </w:r>
      <w:r>
        <w:rPr>
          <w:rFonts w:ascii="Times New Roman" w:hAnsi="Times New Roman" w:cs="Times New Roman"/>
          <w:color w:val="auto"/>
          <w:w w:val="99"/>
          <w:kern w:val="2"/>
          <w:highlight w:val="none"/>
        </w:rPr>
        <w:t>国土空间总体规划（2021-2035 年）》，以及黑龙江省生态环境分区管控数据应用平台、黑龙江省生态保护红线分布图、永久基本农田查询平台，本项目不在生态保护红线内，且本项目占地内不涉及国家、省、市级自然保护区、自然文化遗产、风景名胜区、文物古迹、饮用水水源保护区、重要湿地等区域，本项目与生态保护红线的位置关系见附图5。根据《黑龙江省生态环境分区管控动态更新成果（2023年版）》及《</w:t>
      </w:r>
      <w:r>
        <w:rPr>
          <w:rFonts w:hint="eastAsia" w:ascii="Times New Roman" w:hAnsi="Times New Roman" w:cs="Times New Roman"/>
          <w:color w:val="auto"/>
          <w:w w:val="99"/>
          <w:kern w:val="2"/>
          <w:highlight w:val="none"/>
        </w:rPr>
        <w:t>绥化</w:t>
      </w:r>
      <w:r>
        <w:rPr>
          <w:rFonts w:ascii="Times New Roman" w:hAnsi="Times New Roman" w:cs="Times New Roman"/>
          <w:color w:val="auto"/>
          <w:w w:val="99"/>
          <w:kern w:val="2"/>
          <w:highlight w:val="none"/>
        </w:rPr>
        <w:t>市生态环境准入清单（2023年版）》中划分的环境管控单元内容，本项目位于</w:t>
      </w:r>
      <w:r>
        <w:rPr>
          <w:rFonts w:hint="eastAsia" w:ascii="Times New Roman" w:hAnsi="Times New Roman" w:cs="Times New Roman"/>
          <w:color w:val="auto"/>
          <w:w w:val="99"/>
          <w:kern w:val="2"/>
          <w:highlight w:val="none"/>
        </w:rPr>
        <w:t>重点</w:t>
      </w:r>
      <w:r>
        <w:rPr>
          <w:rFonts w:ascii="Times New Roman" w:hAnsi="Times New Roman" w:cs="Times New Roman"/>
          <w:color w:val="auto"/>
          <w:w w:val="99"/>
          <w:kern w:val="2"/>
          <w:highlight w:val="none"/>
        </w:rPr>
        <w:t>管控单元，本项目与环境管控单元位置关系见附图</w:t>
      </w:r>
      <w:r>
        <w:rPr>
          <w:rFonts w:hint="eastAsia" w:ascii="Times New Roman" w:hAnsi="Times New Roman" w:cs="Times New Roman"/>
          <w:color w:val="auto"/>
          <w:w w:val="99"/>
          <w:kern w:val="2"/>
          <w:highlight w:val="none"/>
        </w:rPr>
        <w:t>4</w:t>
      </w:r>
      <w:r>
        <w:rPr>
          <w:rFonts w:ascii="Times New Roman" w:hAnsi="Times New Roman" w:cs="Times New Roman"/>
          <w:color w:val="auto"/>
          <w:w w:val="99"/>
          <w:kern w:val="2"/>
          <w:highlight w:val="none"/>
        </w:rPr>
        <w:t>，本项目与分区管控要求符合性分析见表1.4</w:t>
      </w:r>
      <w:r>
        <w:rPr>
          <w:rFonts w:hint="eastAsia" w:ascii="Times New Roman" w:hAnsi="Times New Roman" w:cs="Times New Roman"/>
          <w:color w:val="auto"/>
          <w:w w:val="99"/>
          <w:kern w:val="2"/>
          <w:highlight w:val="none"/>
        </w:rPr>
        <w:t>-18</w:t>
      </w:r>
      <w:r>
        <w:rPr>
          <w:rFonts w:ascii="Times New Roman" w:hAnsi="Times New Roman" w:cs="Times New Roman"/>
          <w:color w:val="auto"/>
          <w:w w:val="99"/>
          <w:kern w:val="2"/>
          <w:highlight w:val="none"/>
        </w:rPr>
        <w:t>。</w:t>
      </w:r>
    </w:p>
    <w:p w14:paraId="15BE1054">
      <w:pPr>
        <w:widowControl w:val="0"/>
        <w:snapToGrid w:val="0"/>
        <w:spacing w:line="440" w:lineRule="exact"/>
        <w:ind w:firstLine="476" w:firstLineChars="200"/>
        <w:jc w:val="both"/>
        <w:rPr>
          <w:rFonts w:ascii="Times New Roman" w:hAnsi="Times New Roman" w:cs="Times New Roman"/>
          <w:b/>
          <w:bCs/>
          <w:color w:val="auto"/>
          <w:w w:val="99"/>
          <w:kern w:val="2"/>
          <w:szCs w:val="20"/>
          <w:highlight w:val="none"/>
        </w:rPr>
      </w:pPr>
      <w:r>
        <w:rPr>
          <w:rFonts w:ascii="Times New Roman" w:hAnsi="Times New Roman" w:cs="Times New Roman"/>
          <w:b/>
          <w:bCs/>
          <w:color w:val="auto"/>
          <w:w w:val="99"/>
          <w:szCs w:val="20"/>
          <w:highlight w:val="none"/>
        </w:rPr>
        <w:t>表1.4-</w:t>
      </w:r>
      <w:r>
        <w:rPr>
          <w:rFonts w:hint="eastAsia" w:ascii="Times New Roman" w:hAnsi="Times New Roman" w:cs="Times New Roman"/>
          <w:b/>
          <w:bCs/>
          <w:color w:val="auto"/>
          <w:w w:val="99"/>
          <w:szCs w:val="20"/>
          <w:highlight w:val="none"/>
        </w:rPr>
        <w:t>18</w:t>
      </w:r>
      <w:r>
        <w:rPr>
          <w:rFonts w:ascii="Times New Roman" w:hAnsi="Times New Roman" w:cs="Times New Roman"/>
          <w:b/>
          <w:bCs/>
          <w:color w:val="auto"/>
          <w:w w:val="99"/>
          <w:szCs w:val="20"/>
          <w:highlight w:val="none"/>
        </w:rPr>
        <w:t xml:space="preserve">    本项目与分区管控要求符合性分析</w:t>
      </w:r>
    </w:p>
    <w:tbl>
      <w:tblPr>
        <w:tblStyle w:val="8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436"/>
        <w:gridCol w:w="2315"/>
        <w:gridCol w:w="4775"/>
        <w:gridCol w:w="714"/>
      </w:tblGrid>
      <w:tr w14:paraId="1F856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777" w:type="pct"/>
            <w:tcMar>
              <w:top w:w="0" w:type="dxa"/>
              <w:left w:w="85" w:type="dxa"/>
              <w:bottom w:w="0" w:type="dxa"/>
              <w:right w:w="85" w:type="dxa"/>
            </w:tcMar>
            <w:vAlign w:val="center"/>
          </w:tcPr>
          <w:p w14:paraId="378518B8">
            <w:pPr>
              <w:spacing w:line="32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环境管控单元</w:t>
            </w:r>
          </w:p>
        </w:tc>
        <w:tc>
          <w:tcPr>
            <w:tcW w:w="1252" w:type="pct"/>
            <w:tcMar>
              <w:top w:w="0" w:type="dxa"/>
              <w:left w:w="85" w:type="dxa"/>
              <w:bottom w:w="0" w:type="dxa"/>
              <w:right w:w="85" w:type="dxa"/>
            </w:tcMar>
            <w:vAlign w:val="center"/>
          </w:tcPr>
          <w:p w14:paraId="08121926">
            <w:pPr>
              <w:spacing w:line="32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分区管控要求</w:t>
            </w:r>
          </w:p>
        </w:tc>
        <w:tc>
          <w:tcPr>
            <w:tcW w:w="2583" w:type="pct"/>
            <w:tcMar>
              <w:top w:w="0" w:type="dxa"/>
              <w:left w:w="85" w:type="dxa"/>
              <w:bottom w:w="0" w:type="dxa"/>
              <w:right w:w="85" w:type="dxa"/>
            </w:tcMar>
            <w:vAlign w:val="center"/>
          </w:tcPr>
          <w:p w14:paraId="395B732A">
            <w:pPr>
              <w:spacing w:line="32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拟建项目情况</w:t>
            </w:r>
          </w:p>
        </w:tc>
        <w:tc>
          <w:tcPr>
            <w:tcW w:w="386" w:type="pct"/>
            <w:tcMar>
              <w:top w:w="0" w:type="dxa"/>
              <w:left w:w="85" w:type="dxa"/>
              <w:bottom w:w="0" w:type="dxa"/>
              <w:right w:w="85" w:type="dxa"/>
            </w:tcMar>
            <w:vAlign w:val="center"/>
          </w:tcPr>
          <w:p w14:paraId="045DDA1E">
            <w:pPr>
              <w:spacing w:line="32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符合性</w:t>
            </w:r>
          </w:p>
        </w:tc>
      </w:tr>
      <w:tr w14:paraId="4E948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77" w:type="pct"/>
            <w:tcMar>
              <w:top w:w="0" w:type="dxa"/>
              <w:left w:w="85" w:type="dxa"/>
              <w:bottom w:w="0" w:type="dxa"/>
              <w:right w:w="85" w:type="dxa"/>
            </w:tcMar>
            <w:vAlign w:val="center"/>
          </w:tcPr>
          <w:p w14:paraId="5C851BBE">
            <w:pPr>
              <w:spacing w:line="32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重点管控单元</w:t>
            </w:r>
          </w:p>
        </w:tc>
        <w:tc>
          <w:tcPr>
            <w:tcW w:w="1252" w:type="pct"/>
            <w:tcMar>
              <w:top w:w="0" w:type="dxa"/>
              <w:left w:w="85" w:type="dxa"/>
              <w:bottom w:w="0" w:type="dxa"/>
              <w:right w:w="85" w:type="dxa"/>
            </w:tcMar>
            <w:vAlign w:val="center"/>
          </w:tcPr>
          <w:p w14:paraId="79862F6C">
            <w:pPr>
              <w:spacing w:line="32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重点管控单元突出污染物排放控制和环境风险防控，按照差别化的生态环境准入要求，优化空间和产业布局，不断提升资源利用效率，强化环境质量改善目标约束，解决局部生态环境质量不达标、生态环境风险高的问题。</w:t>
            </w:r>
          </w:p>
        </w:tc>
        <w:tc>
          <w:tcPr>
            <w:tcW w:w="2583" w:type="pct"/>
            <w:tcMar>
              <w:top w:w="0" w:type="dxa"/>
              <w:left w:w="85" w:type="dxa"/>
              <w:bottom w:w="0" w:type="dxa"/>
              <w:right w:w="85" w:type="dxa"/>
            </w:tcMar>
            <w:vAlign w:val="center"/>
          </w:tcPr>
          <w:p w14:paraId="2BD6358D">
            <w:pPr>
              <w:spacing w:line="320" w:lineRule="exact"/>
              <w:ind w:firstLine="414" w:firstLineChars="200"/>
              <w:jc w:val="both"/>
              <w:rPr>
                <w:rFonts w:ascii="Times New Roman" w:hAnsi="Times New Roman" w:eastAsiaTheme="minorEastAsia"/>
                <w:iCs/>
                <w:color w:val="auto"/>
                <w:w w:val="99"/>
                <w:sz w:val="21"/>
                <w:szCs w:val="21"/>
                <w:highlight w:val="none"/>
              </w:rPr>
            </w:pPr>
            <w:r>
              <w:rPr>
                <w:rFonts w:ascii="Times New Roman" w:hAnsi="Times New Roman" w:cs="Times New Roman" w:eastAsiaTheme="minorEastAsia"/>
                <w:color w:val="auto"/>
                <w:w w:val="99"/>
                <w:sz w:val="21"/>
                <w:szCs w:val="21"/>
                <w:highlight w:val="none"/>
              </w:rPr>
              <w:t>本项目施工期及运营期产生的污染物均可得到有效治理，可控制污染物排放；废水、固体废物等均不外排</w:t>
            </w:r>
            <w:r>
              <w:rPr>
                <w:rFonts w:hint="eastAsia" w:ascii="Times New Roman" w:hAnsi="Times New Roman" w:cs="Times New Roman" w:eastAsiaTheme="minorEastAsia"/>
                <w:color w:val="auto"/>
                <w:w w:val="99"/>
                <w:sz w:val="21"/>
                <w:szCs w:val="21"/>
                <w:highlight w:val="none"/>
              </w:rPr>
              <w:t>；</w:t>
            </w:r>
            <w:r>
              <w:rPr>
                <w:rFonts w:ascii="Times New Roman" w:hAnsi="Times New Roman" w:cs="Times New Roman"/>
                <w:color w:val="auto"/>
                <w:w w:val="99"/>
                <w:sz w:val="21"/>
                <w:szCs w:val="21"/>
                <w:highlight w:val="none"/>
              </w:rPr>
              <w:t>本项目在施工过程中针对永久占地及临时占地，应剥离占地内的表土，</w:t>
            </w:r>
            <w:r>
              <w:rPr>
                <w:rFonts w:ascii="Times New Roman" w:hAnsi="Times New Roman" w:cs="Times New Roman"/>
                <w:iCs/>
                <w:color w:val="auto"/>
                <w:w w:val="99"/>
                <w:sz w:val="21"/>
                <w:szCs w:val="21"/>
                <w:highlight w:val="none"/>
              </w:rPr>
              <w:t>耕地剥离厚度0.3m，</w:t>
            </w:r>
            <w:r>
              <w:rPr>
                <w:rFonts w:ascii="Times New Roman" w:hAnsi="Times New Roman" w:cs="Times New Roman"/>
                <w:color w:val="auto"/>
                <w:w w:val="99"/>
                <w:sz w:val="21"/>
                <w:szCs w:val="21"/>
                <w:highlight w:val="none"/>
              </w:rPr>
              <w:t>采用分层开挖，分层堆放，暂存于表土剥离临时堆放区，并采取苫布遮盖，表土剥离临时堆放区周围设置排水沟等措施防止水土流失，并定期采取洒水抑尘措施，针对永久占地将剥离的表土按照“占一补一，质量相等”的要求进行易地补充耕地，针对临时占地在将剥离的表土在施工结束后分层回填，并及时恢复地表植被</w:t>
            </w:r>
            <w:r>
              <w:rPr>
                <w:rFonts w:ascii="Times New Roman" w:hAnsi="Times New Roman" w:cs="Times New Roman"/>
                <w:bCs/>
                <w:color w:val="auto"/>
                <w:w w:val="99"/>
                <w:sz w:val="21"/>
                <w:szCs w:val="21"/>
                <w:highlight w:val="none"/>
              </w:rPr>
              <w:t>。</w:t>
            </w:r>
            <w:r>
              <w:rPr>
                <w:rFonts w:ascii="Times New Roman" w:hAnsi="Times New Roman" w:cs="Times New Roman"/>
                <w:color w:val="auto"/>
                <w:w w:val="99"/>
                <w:sz w:val="21"/>
                <w:szCs w:val="21"/>
                <w:highlight w:val="none"/>
              </w:rPr>
              <w:t>在环境风险防控方面采取加强施工管理、制定岗位操作规程并定期培训学习、实行岗位责任制，及施工单位制定可行的突发环境事件环境应急预案等措施。在采取一系列生态保护措施下，项目建设不会使区域生态功能受损</w:t>
            </w:r>
            <w:r>
              <w:rPr>
                <w:rFonts w:hint="eastAsia" w:ascii="Times New Roman" w:hAnsi="Times New Roman" w:cs="Times New Roman"/>
                <w:color w:val="auto"/>
                <w:w w:val="99"/>
                <w:sz w:val="21"/>
                <w:szCs w:val="21"/>
                <w:highlight w:val="none"/>
              </w:rPr>
              <w:t>；</w:t>
            </w:r>
            <w:r>
              <w:rPr>
                <w:rFonts w:ascii="Times New Roman" w:hAnsi="Times New Roman" w:eastAsiaTheme="minorEastAsia"/>
                <w:iCs/>
                <w:color w:val="auto"/>
                <w:w w:val="99"/>
                <w:sz w:val="21"/>
                <w:szCs w:val="21"/>
                <w:highlight w:val="none"/>
              </w:rPr>
              <w:t>项目施工结束后对临时占地进行恢复，对永久占地进行补偿，且运营期作业均在井场永久占地内进行，不会造成大面积的土地退化，项目的建设不会对区域生态功能产生明显影响，在项目实施过程中，应加强防沙治沙措施的实施，如尽量减少施工作业范围，施工过程中力求做到挖填平衡，施工结束后对破坏的土地进行平整并覆土压实，及时进行植被恢复等，本项目的建设不会对区域生态功能产生明显影响，满足该区域生态系统服务功能需求。</w:t>
            </w:r>
          </w:p>
          <w:p w14:paraId="53D12AAD">
            <w:pPr>
              <w:spacing w:line="320" w:lineRule="exact"/>
              <w:jc w:val="center"/>
              <w:rPr>
                <w:rFonts w:ascii="Times New Roman" w:hAnsi="Times New Roman" w:cs="Times New Roman"/>
                <w:color w:val="auto"/>
                <w:w w:val="99"/>
                <w:sz w:val="21"/>
                <w:szCs w:val="21"/>
                <w:highlight w:val="none"/>
              </w:rPr>
            </w:pPr>
            <w:r>
              <w:rPr>
                <w:rFonts w:ascii="Times New Roman" w:hAnsi="Times New Roman" w:cs="Times New Roman" w:eastAsiaTheme="minorEastAsia"/>
                <w:iCs/>
                <w:color w:val="auto"/>
                <w:w w:val="99"/>
                <w:sz w:val="21"/>
                <w:szCs w:val="21"/>
                <w:highlight w:val="none"/>
              </w:rPr>
              <w:t>由以上分析，本项目满足</w:t>
            </w:r>
            <w:r>
              <w:rPr>
                <w:rFonts w:hint="eastAsia" w:ascii="Times New Roman" w:hAnsi="Times New Roman" w:cs="Times New Roman" w:eastAsiaTheme="minorEastAsia"/>
                <w:iCs/>
                <w:color w:val="auto"/>
                <w:w w:val="99"/>
                <w:sz w:val="21"/>
                <w:szCs w:val="21"/>
                <w:highlight w:val="none"/>
              </w:rPr>
              <w:t>重点</w:t>
            </w:r>
            <w:r>
              <w:rPr>
                <w:rFonts w:ascii="Times New Roman" w:hAnsi="Times New Roman" w:cs="Times New Roman" w:eastAsiaTheme="minorEastAsia"/>
                <w:iCs/>
                <w:color w:val="auto"/>
                <w:w w:val="99"/>
                <w:sz w:val="21"/>
                <w:szCs w:val="21"/>
                <w:highlight w:val="none"/>
              </w:rPr>
              <w:t>管控单元分区管控要求。</w:t>
            </w:r>
          </w:p>
        </w:tc>
        <w:tc>
          <w:tcPr>
            <w:tcW w:w="386" w:type="pct"/>
            <w:tcMar>
              <w:top w:w="0" w:type="dxa"/>
              <w:left w:w="85" w:type="dxa"/>
              <w:bottom w:w="0" w:type="dxa"/>
              <w:right w:w="85" w:type="dxa"/>
            </w:tcMar>
            <w:vAlign w:val="center"/>
          </w:tcPr>
          <w:p w14:paraId="1A5F217E">
            <w:pPr>
              <w:spacing w:line="320" w:lineRule="exact"/>
              <w:jc w:val="center"/>
              <w:rPr>
                <w:rFonts w:ascii="Times New Roman" w:hAnsi="Times New Roman" w:cs="Times New Roman"/>
                <w:color w:val="auto"/>
                <w:w w:val="99"/>
                <w:sz w:val="21"/>
                <w:szCs w:val="21"/>
                <w:highlight w:val="none"/>
              </w:rPr>
            </w:pPr>
          </w:p>
        </w:tc>
      </w:tr>
    </w:tbl>
    <w:p w14:paraId="343738DF">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根据以上分析，本项目满足</w:t>
      </w:r>
      <w:r>
        <w:rPr>
          <w:rFonts w:hint="eastAsia" w:ascii="Times New Roman" w:hAnsi="Times New Roman" w:cs="Times New Roman"/>
          <w:color w:val="auto"/>
          <w:w w:val="99"/>
          <w:kern w:val="2"/>
          <w:highlight w:val="none"/>
        </w:rPr>
        <w:t>重点</w:t>
      </w:r>
      <w:r>
        <w:rPr>
          <w:rFonts w:ascii="Times New Roman" w:hAnsi="Times New Roman" w:cs="Times New Roman"/>
          <w:color w:val="auto"/>
          <w:w w:val="99"/>
          <w:kern w:val="2"/>
          <w:highlight w:val="none"/>
        </w:rPr>
        <w:t>管控单元</w:t>
      </w:r>
      <w:r>
        <w:rPr>
          <w:rFonts w:hint="eastAsia" w:ascii="Times New Roman" w:hAnsi="Times New Roman" w:cs="Times New Roman"/>
          <w:color w:val="auto"/>
          <w:w w:val="99"/>
          <w:kern w:val="2"/>
          <w:highlight w:val="none"/>
        </w:rPr>
        <w:t>分区</w:t>
      </w:r>
      <w:r>
        <w:rPr>
          <w:rFonts w:ascii="Times New Roman" w:hAnsi="Times New Roman" w:cs="Times New Roman"/>
          <w:color w:val="auto"/>
          <w:w w:val="99"/>
          <w:kern w:val="2"/>
          <w:highlight w:val="none"/>
        </w:rPr>
        <w:t>管控要求。</w:t>
      </w:r>
    </w:p>
    <w:p w14:paraId="458D9A27">
      <w:pPr>
        <w:pStyle w:val="153"/>
        <w:widowControl w:val="0"/>
        <w:spacing w:line="440" w:lineRule="exact"/>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1.4.</w:t>
      </w:r>
      <w:r>
        <w:rPr>
          <w:rFonts w:hint="eastAsia" w:ascii="Times New Roman" w:hAnsi="Times New Roman"/>
          <w:b/>
          <w:color w:val="auto"/>
          <w:w w:val="99"/>
          <w:highlight w:val="none"/>
        </w:rPr>
        <w:t>4</w:t>
      </w:r>
      <w:r>
        <w:rPr>
          <w:rFonts w:ascii="Times New Roman" w:hAnsi="Times New Roman"/>
          <w:b/>
          <w:color w:val="auto"/>
          <w:w w:val="99"/>
          <w:highlight w:val="none"/>
        </w:rPr>
        <w:t>.2环境质量底线</w:t>
      </w:r>
    </w:p>
    <w:p w14:paraId="645FAD85">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highlight w:val="none"/>
        </w:rPr>
        <w:t>根据《环境影响评价技术导则 大气环境》（HJ2.2-2018）要求，依据评价所需环境空气质量现状、气象资料等数据的可获得性、数据质量、代表性等因素，选择近3年中数据相对完整的1个日历年作为评价基准年，根据</w:t>
      </w:r>
      <w:r>
        <w:rPr>
          <w:rFonts w:hint="eastAsia" w:ascii="Times New Roman" w:hAnsi="Times New Roman" w:cs="Times New Roman"/>
          <w:color w:val="auto"/>
          <w:w w:val="99"/>
          <w:highlight w:val="none"/>
        </w:rPr>
        <w:t>绥化</w:t>
      </w:r>
      <w:r>
        <w:rPr>
          <w:rFonts w:ascii="Times New Roman" w:hAnsi="Times New Roman" w:cs="Times New Roman"/>
          <w:color w:val="auto"/>
          <w:w w:val="99"/>
          <w:highlight w:val="none"/>
        </w:rPr>
        <w:t>市生态环境局公布</w:t>
      </w:r>
      <w:r>
        <w:rPr>
          <w:rFonts w:ascii="Times New Roman" w:hAnsi="Times New Roman" w:cs="Times New Roman" w:eastAsiaTheme="minorEastAsia"/>
          <w:color w:val="auto"/>
          <w:w w:val="99"/>
          <w:kern w:val="2"/>
          <w:szCs w:val="20"/>
          <w:highlight w:val="none"/>
          <w:lang w:val="en-GB"/>
        </w:rPr>
        <w:t>《绥化市环境质量年报》（202</w:t>
      </w:r>
      <w:r>
        <w:rPr>
          <w:rFonts w:hint="eastAsia" w:ascii="Times New Roman" w:hAnsi="Times New Roman" w:cs="Times New Roman" w:eastAsiaTheme="minorEastAsia"/>
          <w:color w:val="auto"/>
          <w:w w:val="99"/>
          <w:kern w:val="2"/>
          <w:szCs w:val="20"/>
          <w:highlight w:val="none"/>
          <w:lang w:val="en-GB"/>
        </w:rPr>
        <w:t>4</w:t>
      </w:r>
      <w:r>
        <w:rPr>
          <w:rFonts w:ascii="Times New Roman" w:hAnsi="Times New Roman" w:cs="Times New Roman" w:eastAsiaTheme="minorEastAsia"/>
          <w:color w:val="auto"/>
          <w:w w:val="99"/>
          <w:kern w:val="2"/>
          <w:szCs w:val="20"/>
          <w:highlight w:val="none"/>
          <w:lang w:val="en-GB"/>
        </w:rPr>
        <w:t>年度）</w:t>
      </w:r>
      <w:r>
        <w:rPr>
          <w:rFonts w:ascii="Times New Roman" w:hAnsi="Times New Roman" w:cs="Times New Roman"/>
          <w:color w:val="auto"/>
          <w:w w:val="99"/>
          <w:highlight w:val="none"/>
        </w:rPr>
        <w:t>，项目区域大气环境质量</w:t>
      </w:r>
      <w:r>
        <w:rPr>
          <w:rFonts w:hint="eastAsia" w:ascii="Times New Roman" w:hAnsi="Times New Roman" w:cs="Times New Roman"/>
          <w:color w:val="auto"/>
          <w:w w:val="99"/>
          <w:highlight w:val="none"/>
        </w:rPr>
        <w:t>除</w:t>
      </w:r>
      <w:r>
        <w:rPr>
          <w:rFonts w:ascii="Times New Roman" w:hAnsi="Times New Roman" w:cs="Times New Roman" w:eastAsiaTheme="minorEastAsia"/>
          <w:color w:val="auto"/>
          <w:w w:val="99"/>
          <w:kern w:val="2"/>
          <w:szCs w:val="20"/>
          <w:highlight w:val="none"/>
        </w:rPr>
        <w:t>PM</w:t>
      </w:r>
      <w:r>
        <w:rPr>
          <w:rFonts w:ascii="Times New Roman" w:hAnsi="Times New Roman" w:cs="Times New Roman" w:eastAsiaTheme="minorEastAsia"/>
          <w:color w:val="auto"/>
          <w:w w:val="99"/>
          <w:kern w:val="2"/>
          <w:szCs w:val="20"/>
          <w:highlight w:val="none"/>
          <w:vertAlign w:val="subscript"/>
        </w:rPr>
        <w:t>2.5</w:t>
      </w:r>
      <w:r>
        <w:rPr>
          <w:rFonts w:hint="eastAsia" w:ascii="Times New Roman" w:hAnsi="Times New Roman" w:cs="Times New Roman"/>
          <w:color w:val="auto"/>
          <w:w w:val="99"/>
          <w:highlight w:val="none"/>
        </w:rPr>
        <w:t>均</w:t>
      </w:r>
      <w:r>
        <w:rPr>
          <w:rFonts w:ascii="Times New Roman" w:hAnsi="Times New Roman" w:cs="Times New Roman"/>
          <w:color w:val="auto"/>
          <w:w w:val="99"/>
          <w:highlight w:val="none"/>
        </w:rPr>
        <w:t>优于《环境空气质量标准》（GB3095-20</w:t>
      </w:r>
      <w:r>
        <w:rPr>
          <w:rFonts w:hint="eastAsia" w:ascii="Times New Roman" w:hAnsi="Times New Roman" w:cs="Times New Roman"/>
          <w:color w:val="auto"/>
          <w:w w:val="99"/>
          <w:highlight w:val="none"/>
        </w:rPr>
        <w:t>26</w:t>
      </w:r>
      <w:r>
        <w:rPr>
          <w:rFonts w:ascii="Times New Roman" w:hAnsi="Times New Roman" w:cs="Times New Roman"/>
          <w:color w:val="auto"/>
          <w:w w:val="99"/>
          <w:highlight w:val="none"/>
        </w:rPr>
        <w:t>）</w:t>
      </w:r>
      <w:r>
        <w:rPr>
          <w:rFonts w:hint="eastAsia" w:ascii="Times New Roman" w:hAnsi="Times New Roman" w:cs="Times New Roman"/>
          <w:color w:val="auto"/>
          <w:w w:val="99"/>
          <w:highlight w:val="none"/>
        </w:rPr>
        <w:t>过渡阶段</w:t>
      </w:r>
      <w:r>
        <w:rPr>
          <w:rFonts w:ascii="Times New Roman" w:hAnsi="Times New Roman" w:cs="Times New Roman"/>
          <w:color w:val="auto"/>
          <w:w w:val="99"/>
          <w:highlight w:val="none"/>
        </w:rPr>
        <w:t>二级标准要求。根据补充现状监测结果：非甲烷总烃可以达到《大气污染物综合排放标准详解》中限值要求</w:t>
      </w:r>
      <w:r>
        <w:rPr>
          <w:rFonts w:hint="eastAsia" w:ascii="Times New Roman" w:hAnsi="Times New Roman" w:cs="Times New Roman"/>
          <w:color w:val="auto"/>
          <w:w w:val="99"/>
          <w:highlight w:val="none"/>
        </w:rPr>
        <w:t>，</w:t>
      </w:r>
      <w:r>
        <w:rPr>
          <w:rFonts w:ascii="Times New Roman" w:hAnsi="Times New Roman" w:cs="Times New Roman" w:eastAsiaTheme="minorEastAsia"/>
          <w:color w:val="auto"/>
          <w:w w:val="99"/>
          <w:szCs w:val="28"/>
          <w:highlight w:val="none"/>
        </w:rPr>
        <w:t>甲醇</w:t>
      </w:r>
      <w:r>
        <w:rPr>
          <w:rFonts w:hint="eastAsia" w:ascii="Times New Roman" w:hAnsi="Times New Roman" w:cs="Times New Roman" w:eastAsiaTheme="minorEastAsia"/>
          <w:color w:val="auto"/>
          <w:w w:val="99"/>
          <w:szCs w:val="28"/>
          <w:highlight w:val="none"/>
        </w:rPr>
        <w:t>满足</w:t>
      </w:r>
      <w:r>
        <w:rPr>
          <w:rFonts w:ascii="Times New Roman" w:hAnsi="Times New Roman" w:cs="Times New Roman" w:eastAsiaTheme="minorEastAsia"/>
          <w:color w:val="auto"/>
          <w:w w:val="99"/>
          <w:szCs w:val="28"/>
          <w:highlight w:val="none"/>
        </w:rPr>
        <w:t>标准《环境影响评价技术导则 大气环境》(HJ2.2-2018）附录 D</w:t>
      </w:r>
      <w:r>
        <w:rPr>
          <w:rFonts w:hint="eastAsia" w:ascii="Times New Roman" w:hAnsi="Times New Roman" w:cs="Times New Roman" w:eastAsiaTheme="minorEastAsia"/>
          <w:color w:val="auto"/>
          <w:w w:val="99"/>
          <w:szCs w:val="28"/>
          <w:highlight w:val="none"/>
        </w:rPr>
        <w:t>标准</w:t>
      </w:r>
      <w:r>
        <w:rPr>
          <w:rFonts w:ascii="Times New Roman" w:hAnsi="Times New Roman" w:cs="Times New Roman"/>
          <w:color w:val="auto"/>
          <w:w w:val="99"/>
          <w:highlight w:val="none"/>
        </w:rPr>
        <w:t>；本项目不排放废水，不会对周边地表水</w:t>
      </w:r>
      <w:r>
        <w:rPr>
          <w:rFonts w:hint="eastAsia" w:ascii="Times New Roman" w:hAnsi="Times New Roman" w:cs="Times New Roman"/>
          <w:color w:val="auto"/>
          <w:w w:val="99"/>
          <w:highlight w:val="none"/>
        </w:rPr>
        <w:t>北大干渠</w:t>
      </w:r>
      <w:r>
        <w:rPr>
          <w:rFonts w:ascii="Times New Roman" w:hAnsi="Times New Roman" w:cs="Times New Roman"/>
          <w:color w:val="auto"/>
          <w:w w:val="99"/>
          <w:highlight w:val="none"/>
        </w:rPr>
        <w:t>产生影响；本项目在采取措施</w:t>
      </w:r>
      <w:r>
        <w:rPr>
          <w:rFonts w:ascii="Times New Roman" w:hAnsi="Times New Roman" w:cs="Times New Roman"/>
          <w:color w:val="auto"/>
          <w:w w:val="99"/>
          <w:kern w:val="2"/>
          <w:highlight w:val="none"/>
        </w:rPr>
        <w:t>后不会对地下水及土壤环境产生影响，区域地下水质量除锰外可以满足《地下水质量标准》（GB/T14848-2017）III类标准，特征因子石油类可以满足《地表水环境质量标准》（GB3838-2002）表1中的</w:t>
      </w:r>
      <w:r>
        <w:rPr>
          <w:rFonts w:ascii="Times New Roman" w:hAnsi="Times New Roman" w:cs="Times New Roman"/>
          <w:color w:val="auto"/>
          <w:w w:val="99"/>
          <w:kern w:val="2"/>
          <w:highlight w:val="none"/>
        </w:rPr>
        <w:fldChar w:fldCharType="begin"/>
      </w:r>
      <w:r>
        <w:rPr>
          <w:rFonts w:ascii="Times New Roman" w:hAnsi="Times New Roman" w:cs="Times New Roman"/>
          <w:color w:val="auto"/>
          <w:w w:val="99"/>
          <w:kern w:val="2"/>
          <w:highlight w:val="none"/>
        </w:rPr>
        <w:instrText xml:space="preserve"> = 2 \* ROMAN </w:instrText>
      </w:r>
      <w:r>
        <w:rPr>
          <w:rFonts w:ascii="Times New Roman" w:hAnsi="Times New Roman" w:cs="Times New Roman"/>
          <w:color w:val="auto"/>
          <w:w w:val="99"/>
          <w:kern w:val="2"/>
          <w:highlight w:val="none"/>
        </w:rPr>
        <w:fldChar w:fldCharType="separate"/>
      </w:r>
      <w:r>
        <w:rPr>
          <w:rFonts w:ascii="Times New Roman" w:hAnsi="Times New Roman" w:cs="Times New Roman"/>
          <w:color w:val="auto"/>
          <w:w w:val="99"/>
          <w:kern w:val="2"/>
          <w:highlight w:val="none"/>
        </w:rPr>
        <w:t>II</w:t>
      </w:r>
      <w:r>
        <w:rPr>
          <w:rFonts w:ascii="Times New Roman" w:hAnsi="Times New Roman" w:cs="Times New Roman"/>
          <w:color w:val="auto"/>
          <w:w w:val="99"/>
          <w:kern w:val="2"/>
          <w:highlight w:val="none"/>
        </w:rPr>
        <w:fldChar w:fldCharType="end"/>
      </w:r>
      <w:r>
        <w:rPr>
          <w:rFonts w:ascii="Times New Roman" w:hAnsi="Times New Roman" w:cs="Times New Roman"/>
          <w:color w:val="auto"/>
          <w:w w:val="99"/>
          <w:kern w:val="2"/>
          <w:highlight w:val="none"/>
        </w:rPr>
        <w:t>类标准限值要求；本项目永久占地内、现有井场及场站土壤满足《土壤环境质量 建设用地土壤污染风险管控标准（试行）》（GB36600-2018）中第二类用地筛选值标准，评价范围内居住区土壤满足《土壤环境质量 建设用地土壤污染风险管控标准（试行）》（GB36600-2018）中第一类用地筛选值标准，评价范围内农用地土壤满足《土壤环境质量 农用地土壤污染风险管控标准（试行）》（GB15618-2018）表1农用地土壤风险筛选值。因此本项目建设符合环境质量底线要求。</w:t>
      </w:r>
    </w:p>
    <w:p w14:paraId="4590C1F9">
      <w:pPr>
        <w:pStyle w:val="153"/>
        <w:widowControl w:val="0"/>
        <w:spacing w:line="440" w:lineRule="exact"/>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1.4.</w:t>
      </w:r>
      <w:r>
        <w:rPr>
          <w:rFonts w:hint="eastAsia" w:ascii="Times New Roman" w:hAnsi="Times New Roman"/>
          <w:b/>
          <w:color w:val="auto"/>
          <w:w w:val="99"/>
          <w:highlight w:val="none"/>
        </w:rPr>
        <w:t>4</w:t>
      </w:r>
      <w:r>
        <w:rPr>
          <w:rFonts w:ascii="Times New Roman" w:hAnsi="Times New Roman"/>
          <w:b/>
          <w:color w:val="auto"/>
          <w:w w:val="99"/>
          <w:highlight w:val="none"/>
        </w:rPr>
        <w:t>.3资源利用上线</w:t>
      </w:r>
    </w:p>
    <w:p w14:paraId="5D6E548F">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本项目为</w:t>
      </w:r>
      <w:r>
        <w:rPr>
          <w:rFonts w:hint="eastAsia" w:ascii="Times New Roman" w:hAnsi="Times New Roman"/>
          <w:color w:val="auto"/>
          <w:w w:val="99"/>
          <w:highlight w:val="none"/>
        </w:rPr>
        <w:t>天然气</w:t>
      </w:r>
      <w:r>
        <w:rPr>
          <w:rFonts w:ascii="Times New Roman" w:hAnsi="Times New Roman"/>
          <w:color w:val="auto"/>
          <w:w w:val="99"/>
          <w:highlight w:val="none"/>
        </w:rPr>
        <w:t>开采项目，项目永久占地</w:t>
      </w:r>
      <w:r>
        <w:rPr>
          <w:rFonts w:hint="eastAsia" w:ascii="Times New Roman" w:hAnsi="Times New Roman"/>
          <w:color w:val="auto"/>
          <w:w w:val="99"/>
          <w:highlight w:val="none"/>
        </w:rPr>
        <w:t>0.0901</w:t>
      </w:r>
      <w:r>
        <w:rPr>
          <w:rFonts w:ascii="Times New Roman" w:hAnsi="Times New Roman"/>
          <w:color w:val="auto"/>
          <w:w w:val="99"/>
          <w:highlight w:val="none"/>
        </w:rPr>
        <w:t>hm</w:t>
      </w:r>
      <w:r>
        <w:rPr>
          <w:rFonts w:ascii="Times New Roman" w:hAnsi="Times New Roman"/>
          <w:color w:val="auto"/>
          <w:w w:val="99"/>
          <w:highlight w:val="none"/>
          <w:vertAlign w:val="superscript"/>
        </w:rPr>
        <w:t>2</w:t>
      </w:r>
      <w:r>
        <w:rPr>
          <w:rFonts w:ascii="Times New Roman" w:hAnsi="Times New Roman"/>
          <w:color w:val="auto"/>
          <w:w w:val="99"/>
          <w:highlight w:val="none"/>
        </w:rPr>
        <w:t>，临时占地面积</w:t>
      </w:r>
      <w:r>
        <w:rPr>
          <w:rFonts w:hint="eastAsia" w:ascii="Times New Roman" w:hAnsi="Times New Roman"/>
          <w:color w:val="auto"/>
          <w:w w:val="99"/>
          <w:highlight w:val="none"/>
        </w:rPr>
        <w:t>1.9229</w:t>
      </w:r>
      <w:r>
        <w:rPr>
          <w:rFonts w:ascii="Times New Roman" w:hAnsi="Times New Roman"/>
          <w:color w:val="auto"/>
          <w:w w:val="99"/>
          <w:highlight w:val="none"/>
        </w:rPr>
        <w:t>hm</w:t>
      </w:r>
      <w:r>
        <w:rPr>
          <w:rFonts w:ascii="Times New Roman" w:hAnsi="Times New Roman"/>
          <w:color w:val="auto"/>
          <w:w w:val="99"/>
          <w:highlight w:val="none"/>
          <w:vertAlign w:val="superscript"/>
        </w:rPr>
        <w:t>2</w:t>
      </w:r>
      <w:r>
        <w:rPr>
          <w:rFonts w:ascii="Times New Roman" w:hAnsi="Times New Roman"/>
          <w:color w:val="auto"/>
          <w:w w:val="99"/>
          <w:highlight w:val="none"/>
        </w:rPr>
        <w:t>，占地类型为耕地（永久基本农田），占地面积较少，针对永久占地按“占一补一”原则进行补偿，临时占地均为施工结束后进行生态恢复，土地资源消耗符合</w:t>
      </w:r>
      <w:r>
        <w:rPr>
          <w:rFonts w:hint="eastAsia" w:ascii="Times New Roman" w:hAnsi="Times New Roman"/>
          <w:color w:val="auto"/>
          <w:w w:val="99"/>
          <w:highlight w:val="none"/>
        </w:rPr>
        <w:t>绥化</w:t>
      </w:r>
      <w:r>
        <w:rPr>
          <w:rFonts w:ascii="Times New Roman" w:hAnsi="Times New Roman"/>
          <w:color w:val="auto"/>
          <w:w w:val="99"/>
          <w:highlight w:val="none"/>
        </w:rPr>
        <w:t>市土地资源利用上线要求；本项目施工期新鲜水消耗量为</w:t>
      </w:r>
      <w:r>
        <w:rPr>
          <w:rFonts w:hint="eastAsia" w:ascii="Times New Roman" w:hAnsi="Times New Roman"/>
          <w:color w:val="auto"/>
          <w:w w:val="99"/>
          <w:highlight w:val="none"/>
        </w:rPr>
        <w:t>724.39</w:t>
      </w:r>
      <w:r>
        <w:rPr>
          <w:rFonts w:ascii="Times New Roman" w:hAnsi="Times New Roman"/>
          <w:color w:val="auto"/>
          <w:w w:val="99"/>
          <w:highlight w:val="none"/>
        </w:rPr>
        <w:t>m</w:t>
      </w:r>
      <w:r>
        <w:rPr>
          <w:rFonts w:ascii="Times New Roman" w:hAnsi="Times New Roman"/>
          <w:color w:val="auto"/>
          <w:w w:val="99"/>
          <w:highlight w:val="none"/>
          <w:vertAlign w:val="superscript"/>
        </w:rPr>
        <w:t>3</w:t>
      </w:r>
      <w:r>
        <w:rPr>
          <w:rFonts w:ascii="Times New Roman" w:hAnsi="Times New Roman"/>
          <w:color w:val="auto"/>
          <w:w w:val="99"/>
          <w:highlight w:val="none"/>
        </w:rPr>
        <w:t>，消耗的水主要用于生活及生产需要，用量不大；运营期不新增新鲜水消耗，区域的水资源消耗不大；井场、场站设备能源主要依托油田的电网供电，生产用气主要为油田采出气，新增耗气量</w:t>
      </w:r>
      <w:r>
        <w:rPr>
          <w:rFonts w:hint="eastAsia" w:ascii="Times New Roman" w:hAnsi="Times New Roman"/>
          <w:color w:val="auto"/>
          <w:w w:val="99"/>
          <w:highlight w:val="none"/>
        </w:rPr>
        <w:t>77.09</w:t>
      </w:r>
      <w:r>
        <w:rPr>
          <w:rFonts w:ascii="Times New Roman" w:hAnsi="Times New Roman"/>
          <w:color w:val="auto"/>
          <w:w w:val="99"/>
          <w:highlight w:val="none"/>
        </w:rPr>
        <w:t>万m</w:t>
      </w:r>
      <w:r>
        <w:rPr>
          <w:rFonts w:ascii="Times New Roman" w:hAnsi="Times New Roman"/>
          <w:color w:val="auto"/>
          <w:w w:val="99"/>
          <w:highlight w:val="none"/>
          <w:vertAlign w:val="superscript"/>
        </w:rPr>
        <w:t>3</w:t>
      </w:r>
      <w:r>
        <w:rPr>
          <w:rFonts w:ascii="Times New Roman" w:hAnsi="Times New Roman"/>
          <w:color w:val="auto"/>
          <w:w w:val="99"/>
          <w:highlight w:val="none"/>
        </w:rPr>
        <w:t>/a</w:t>
      </w:r>
      <w:r>
        <w:rPr>
          <w:rFonts w:hint="eastAsia" w:ascii="Times New Roman" w:hAnsi="Times New Roman"/>
          <w:color w:val="auto"/>
          <w:w w:val="99"/>
          <w:highlight w:val="none"/>
        </w:rPr>
        <w:t>。</w:t>
      </w:r>
      <w:r>
        <w:rPr>
          <w:rFonts w:ascii="Times New Roman" w:hAnsi="Times New Roman"/>
          <w:color w:val="auto"/>
          <w:w w:val="99"/>
          <w:highlight w:val="none"/>
        </w:rPr>
        <w:t>本项目资源消耗较少，均能满足</w:t>
      </w:r>
      <w:r>
        <w:rPr>
          <w:rFonts w:hint="eastAsia" w:ascii="Times New Roman" w:hAnsi="Times New Roman"/>
          <w:color w:val="auto"/>
          <w:w w:val="99"/>
          <w:highlight w:val="none"/>
        </w:rPr>
        <w:t>绥化</w:t>
      </w:r>
      <w:r>
        <w:rPr>
          <w:rFonts w:ascii="Times New Roman" w:hAnsi="Times New Roman"/>
          <w:color w:val="auto"/>
          <w:w w:val="99"/>
          <w:highlight w:val="none"/>
        </w:rPr>
        <w:t>市资源利用上线及分区管控要求。因此本项目符合资源利用上限要求。</w:t>
      </w:r>
    </w:p>
    <w:p w14:paraId="6CAEC963">
      <w:pPr>
        <w:pStyle w:val="153"/>
        <w:widowControl w:val="0"/>
        <w:spacing w:line="440" w:lineRule="exact"/>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1.4.</w:t>
      </w:r>
      <w:r>
        <w:rPr>
          <w:rFonts w:hint="eastAsia" w:ascii="Times New Roman" w:hAnsi="Times New Roman"/>
          <w:b/>
          <w:color w:val="auto"/>
          <w:w w:val="99"/>
          <w:highlight w:val="none"/>
        </w:rPr>
        <w:t>4</w:t>
      </w:r>
      <w:r>
        <w:rPr>
          <w:rFonts w:ascii="Times New Roman" w:hAnsi="Times New Roman"/>
          <w:b/>
          <w:color w:val="auto"/>
          <w:w w:val="99"/>
          <w:highlight w:val="none"/>
        </w:rPr>
        <w:t xml:space="preserve">.4生态环境准入清单 </w:t>
      </w:r>
    </w:p>
    <w:p w14:paraId="0870DA32">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本项目与《</w:t>
      </w:r>
      <w:bookmarkStart w:id="129" w:name="OLE_LINK107"/>
      <w:bookmarkStart w:id="130" w:name="OLE_LINK108"/>
      <w:r>
        <w:rPr>
          <w:rFonts w:hint="eastAsia" w:ascii="Times New Roman" w:hAnsi="Times New Roman"/>
          <w:color w:val="auto"/>
          <w:w w:val="99"/>
          <w:highlight w:val="none"/>
        </w:rPr>
        <w:t>绥化</w:t>
      </w:r>
      <w:r>
        <w:rPr>
          <w:rFonts w:ascii="Times New Roman" w:hAnsi="Times New Roman"/>
          <w:color w:val="auto"/>
          <w:w w:val="99"/>
          <w:highlight w:val="none"/>
        </w:rPr>
        <w:t>市生态环境准入清单（2023年版）</w:t>
      </w:r>
      <w:bookmarkEnd w:id="129"/>
      <w:bookmarkEnd w:id="130"/>
      <w:r>
        <w:rPr>
          <w:rFonts w:ascii="Times New Roman" w:hAnsi="Times New Roman"/>
          <w:color w:val="auto"/>
          <w:w w:val="99"/>
          <w:highlight w:val="none"/>
        </w:rPr>
        <w:t>》中环境管控单元进行对照，本项目位于一般管控单元，根据黑龙江省生态环境分区管控数据应用平台生成的生态环境分区管控分析报告，本项目位于</w:t>
      </w:r>
      <w:bookmarkStart w:id="131" w:name="OLE_LINK48"/>
      <w:bookmarkStart w:id="132" w:name="OLE_LINK49"/>
      <w:r>
        <w:rPr>
          <w:rFonts w:ascii="Times New Roman" w:hAnsi="Times New Roman"/>
          <w:color w:val="auto"/>
          <w:w w:val="99"/>
          <w:highlight w:val="none"/>
        </w:rPr>
        <w:t>肇东市水环境农业污染重点管控区</w:t>
      </w:r>
      <w:bookmarkEnd w:id="131"/>
      <w:bookmarkEnd w:id="132"/>
      <w:r>
        <w:rPr>
          <w:rFonts w:hint="eastAsia" w:ascii="Times New Roman" w:hAnsi="Times New Roman"/>
          <w:color w:val="auto"/>
          <w:w w:val="99"/>
          <w:highlight w:val="none"/>
        </w:rPr>
        <w:t>（ZH23128220003）</w:t>
      </w:r>
      <w:r>
        <w:rPr>
          <w:rFonts w:ascii="Times New Roman" w:hAnsi="Times New Roman"/>
          <w:color w:val="auto"/>
          <w:w w:val="99"/>
          <w:highlight w:val="none"/>
        </w:rPr>
        <w:t>，本项目与生态环境准入清单管控体系符合性分析见表1.4-</w:t>
      </w:r>
      <w:r>
        <w:rPr>
          <w:rFonts w:hint="eastAsia" w:ascii="Times New Roman" w:hAnsi="Times New Roman"/>
          <w:color w:val="auto"/>
          <w:w w:val="99"/>
          <w:highlight w:val="none"/>
        </w:rPr>
        <w:t>19</w:t>
      </w:r>
      <w:r>
        <w:rPr>
          <w:rFonts w:ascii="Times New Roman" w:hAnsi="Times New Roman"/>
          <w:color w:val="auto"/>
          <w:w w:val="99"/>
          <w:highlight w:val="none"/>
        </w:rPr>
        <w:t>。</w:t>
      </w:r>
    </w:p>
    <w:p w14:paraId="6C6F741F">
      <w:pPr>
        <w:widowControl w:val="0"/>
        <w:spacing w:line="440" w:lineRule="exact"/>
        <w:ind w:firstLine="476" w:firstLineChars="200"/>
        <w:jc w:val="both"/>
        <w:rPr>
          <w:rFonts w:ascii="Times New Roman" w:hAnsi="Times New Roman" w:cs="Times New Roman"/>
          <w:b/>
          <w:color w:val="auto"/>
          <w:w w:val="99"/>
          <w:szCs w:val="20"/>
          <w:highlight w:val="none"/>
        </w:rPr>
      </w:pPr>
      <w:r>
        <w:rPr>
          <w:rFonts w:ascii="Times New Roman" w:hAnsi="Times New Roman" w:cs="Times New Roman"/>
          <w:b/>
          <w:color w:val="auto"/>
          <w:w w:val="99"/>
          <w:szCs w:val="20"/>
          <w:highlight w:val="none"/>
        </w:rPr>
        <w:t>表1.4-</w:t>
      </w:r>
      <w:r>
        <w:rPr>
          <w:rFonts w:hint="eastAsia" w:ascii="Times New Roman" w:hAnsi="Times New Roman" w:cs="Times New Roman"/>
          <w:b/>
          <w:color w:val="auto"/>
          <w:w w:val="99"/>
          <w:szCs w:val="20"/>
          <w:highlight w:val="none"/>
        </w:rPr>
        <w:t>19</w:t>
      </w:r>
      <w:r>
        <w:rPr>
          <w:rFonts w:ascii="Times New Roman" w:hAnsi="Times New Roman" w:cs="Times New Roman"/>
          <w:b/>
          <w:color w:val="auto"/>
          <w:w w:val="99"/>
          <w:szCs w:val="20"/>
          <w:highlight w:val="none"/>
        </w:rPr>
        <w:t xml:space="preserve">  本项目与生态环境准入清单管控体系符合性分析</w:t>
      </w:r>
    </w:p>
    <w:tbl>
      <w:tblPr>
        <w:tblStyle w:val="81"/>
        <w:tblW w:w="50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26"/>
        <w:gridCol w:w="744"/>
        <w:gridCol w:w="515"/>
        <w:gridCol w:w="447"/>
        <w:gridCol w:w="2671"/>
        <w:gridCol w:w="3346"/>
        <w:gridCol w:w="854"/>
      </w:tblGrid>
      <w:tr w14:paraId="05B8D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00" w:type="pct"/>
            <w:gridSpan w:val="7"/>
            <w:vAlign w:val="center"/>
          </w:tcPr>
          <w:p w14:paraId="0AC6BFCD">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绥化</w:t>
            </w:r>
            <w:r>
              <w:rPr>
                <w:rFonts w:ascii="Times New Roman" w:hAnsi="Times New Roman" w:cs="Times New Roman" w:eastAsiaTheme="minorEastAsia"/>
                <w:color w:val="auto"/>
                <w:w w:val="99"/>
                <w:sz w:val="21"/>
                <w:szCs w:val="21"/>
                <w:highlight w:val="none"/>
              </w:rPr>
              <w:t>市总体准入要求</w:t>
            </w:r>
          </w:p>
        </w:tc>
      </w:tr>
      <w:tr w14:paraId="022DC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0" w:type="pct"/>
            <w:vAlign w:val="center"/>
          </w:tcPr>
          <w:p w14:paraId="1FF8FA28">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适用范围</w:t>
            </w:r>
          </w:p>
        </w:tc>
        <w:tc>
          <w:tcPr>
            <w:tcW w:w="404" w:type="pct"/>
            <w:vAlign w:val="center"/>
          </w:tcPr>
          <w:p w14:paraId="2DA18C8D">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管控维度</w:t>
            </w:r>
          </w:p>
        </w:tc>
        <w:tc>
          <w:tcPr>
            <w:tcW w:w="1974" w:type="pct"/>
            <w:gridSpan w:val="3"/>
            <w:vAlign w:val="center"/>
          </w:tcPr>
          <w:p w14:paraId="2999C3A8">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管控要求</w:t>
            </w:r>
          </w:p>
        </w:tc>
        <w:tc>
          <w:tcPr>
            <w:tcW w:w="1817" w:type="pct"/>
            <w:vAlign w:val="center"/>
          </w:tcPr>
          <w:p w14:paraId="0AF3D3FC">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本项目符合性分析</w:t>
            </w:r>
          </w:p>
        </w:tc>
        <w:tc>
          <w:tcPr>
            <w:tcW w:w="463" w:type="pct"/>
            <w:vAlign w:val="center"/>
          </w:tcPr>
          <w:p w14:paraId="471816C1">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结论</w:t>
            </w:r>
          </w:p>
        </w:tc>
      </w:tr>
      <w:tr w14:paraId="1EB48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0" w:type="pct"/>
            <w:vMerge w:val="restart"/>
            <w:vAlign w:val="center"/>
          </w:tcPr>
          <w:p w14:paraId="31BA6E31">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总体要求</w:t>
            </w:r>
          </w:p>
        </w:tc>
        <w:tc>
          <w:tcPr>
            <w:tcW w:w="404" w:type="pct"/>
            <w:vAlign w:val="center"/>
          </w:tcPr>
          <w:p w14:paraId="58221E0D">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空间布局约束</w:t>
            </w:r>
          </w:p>
        </w:tc>
        <w:tc>
          <w:tcPr>
            <w:tcW w:w="1974" w:type="pct"/>
            <w:gridSpan w:val="3"/>
            <w:vAlign w:val="center"/>
          </w:tcPr>
          <w:p w14:paraId="2FE7B7CF">
            <w:pPr>
              <w:widowControl w:val="0"/>
              <w:tabs>
                <w:tab w:val="center" w:pos="4153"/>
                <w:tab w:val="right" w:pos="8306"/>
              </w:tabs>
              <w:spacing w:line="360" w:lineRule="exact"/>
              <w:ind w:firstLine="414" w:firstLineChars="200"/>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1、加大黑土地保护；农产品禁止生产区域，禁止种植食用农产品；禁止处理处置不达标的污泥进入耕地，取缔非法污泥堆放点。</w:t>
            </w:r>
          </w:p>
          <w:p w14:paraId="678346EE">
            <w:pPr>
              <w:widowControl w:val="0"/>
              <w:tabs>
                <w:tab w:val="center" w:pos="4153"/>
                <w:tab w:val="right" w:pos="8306"/>
              </w:tabs>
              <w:spacing w:line="360" w:lineRule="exact"/>
              <w:ind w:firstLine="414" w:firstLineChars="200"/>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严禁以任何名义、任何方式备案产能严重过剩行业的增加产能项目。对电力、钢铁、建材、有色、化工、石油石化、煤炭、印染、造纸、制革、染料、焦化、电镀等行业中，环保、能耗、安全、质量等不达标或生产、使用淘汰类产品的企业和产能，要依法依规有序退出。严控“两高”行业产能，严格执行钢铁、水泥等行业产能转换。</w:t>
            </w:r>
          </w:p>
          <w:p w14:paraId="32450449">
            <w:pPr>
              <w:pStyle w:val="47"/>
              <w:widowControl/>
              <w:adjustRightInd w:val="0"/>
              <w:snapToGrid w:val="0"/>
              <w:spacing w:after="0" w:line="360" w:lineRule="exact"/>
              <w:ind w:left="0" w:leftChars="0"/>
              <w:rPr>
                <w:color w:val="auto"/>
                <w:w w:val="99"/>
                <w:sz w:val="21"/>
                <w:szCs w:val="21"/>
                <w:highlight w:val="none"/>
              </w:rPr>
            </w:pPr>
            <w:r>
              <w:rPr>
                <w:color w:val="auto"/>
                <w:w w:val="99"/>
                <w:sz w:val="21"/>
                <w:szCs w:val="21"/>
                <w:highlight w:val="none"/>
              </w:rPr>
              <w:t>3.严格合理控制煤炭消费增长，逐步降低煤炭消费比重。大力推动煤电机组节能降耗改造、灵活性改造、供热改造“三改联动”，原则上不再新增煤电规模。</w:t>
            </w:r>
          </w:p>
          <w:p w14:paraId="1CC2269C">
            <w:pPr>
              <w:pStyle w:val="47"/>
              <w:widowControl/>
              <w:adjustRightInd w:val="0"/>
              <w:snapToGrid w:val="0"/>
              <w:spacing w:after="0" w:line="360" w:lineRule="exact"/>
              <w:ind w:left="0" w:leftChars="0"/>
              <w:rPr>
                <w:rFonts w:eastAsiaTheme="minorEastAsia"/>
                <w:color w:val="auto"/>
                <w:w w:val="99"/>
                <w:sz w:val="21"/>
                <w:szCs w:val="21"/>
                <w:highlight w:val="none"/>
              </w:rPr>
            </w:pPr>
            <w:r>
              <w:rPr>
                <w:color w:val="auto"/>
                <w:w w:val="99"/>
                <w:sz w:val="21"/>
                <w:szCs w:val="21"/>
                <w:highlight w:val="none"/>
              </w:rPr>
              <w:t>4.县级及以上城市建成区原则上不再新建35蒸吨/小时及以下燃煤锅炉，其他地区原则上不再新建10蒸吨小时以下燃煤锅炉。采取生物质锅炉替代的，需使用专用锅炉配套布袋等高效除尘设施，若氮氧化物排放不能达标的需配备脱硝设施，使用过程中严禁掺烧煤炭、垃圾等其他物料。实施工业炉窑清洁能源替代，大力推进电能替代煤炭，积极稳妥推进以气代煤。</w:t>
            </w:r>
          </w:p>
        </w:tc>
        <w:tc>
          <w:tcPr>
            <w:tcW w:w="1817" w:type="pct"/>
            <w:vAlign w:val="center"/>
          </w:tcPr>
          <w:p w14:paraId="5F4FEA17">
            <w:pPr>
              <w:pStyle w:val="2751"/>
              <w:spacing w:line="360" w:lineRule="exact"/>
              <w:ind w:firstLine="414" w:firstLineChars="200"/>
              <w:jc w:val="both"/>
              <w:rPr>
                <w:rFonts w:ascii="Times New Roman" w:hAnsi="Times New Roman" w:eastAsiaTheme="minorEastAsia"/>
                <w:color w:val="auto"/>
                <w:w w:val="99"/>
                <w:szCs w:val="21"/>
                <w:highlight w:val="none"/>
              </w:rPr>
            </w:pPr>
            <w:r>
              <w:rPr>
                <w:rFonts w:ascii="Times New Roman" w:hAnsi="Times New Roman"/>
                <w:color w:val="auto"/>
                <w:w w:val="99"/>
                <w:szCs w:val="21"/>
                <w:highlight w:val="none"/>
              </w:rPr>
              <w:t>1、</w:t>
            </w:r>
            <w:r>
              <w:rPr>
                <w:rFonts w:ascii="Times New Roman" w:hAnsi="Times New Roman" w:eastAsiaTheme="minorEastAsia"/>
                <w:color w:val="auto"/>
                <w:w w:val="99"/>
                <w:szCs w:val="21"/>
                <w:highlight w:val="none"/>
              </w:rPr>
              <w:t>本项目为</w:t>
            </w:r>
            <w:r>
              <w:rPr>
                <w:rFonts w:hint="eastAsia" w:ascii="Times New Roman" w:hAnsi="Times New Roman" w:eastAsiaTheme="minorEastAsia"/>
                <w:color w:val="auto"/>
                <w:w w:val="99"/>
                <w:szCs w:val="21"/>
                <w:highlight w:val="none"/>
              </w:rPr>
              <w:t>气田</w:t>
            </w:r>
            <w:r>
              <w:rPr>
                <w:rFonts w:ascii="Times New Roman" w:hAnsi="Times New Roman" w:eastAsiaTheme="minorEastAsia"/>
                <w:color w:val="auto"/>
                <w:w w:val="99"/>
                <w:szCs w:val="21"/>
                <w:highlight w:val="none"/>
              </w:rPr>
              <w:t>开发工程，属于国家能源建设项目，位于</w:t>
            </w:r>
            <w:r>
              <w:rPr>
                <w:rFonts w:hint="eastAsia" w:ascii="Times New Roman" w:hAnsi="Times New Roman" w:eastAsiaTheme="minorEastAsia"/>
                <w:color w:val="auto"/>
                <w:w w:val="99"/>
                <w:szCs w:val="21"/>
                <w:highlight w:val="none"/>
              </w:rPr>
              <w:t>肇东</w:t>
            </w:r>
            <w:r>
              <w:rPr>
                <w:rFonts w:ascii="Times New Roman" w:hAnsi="Times New Roman" w:eastAsiaTheme="minorEastAsia"/>
                <w:color w:val="auto"/>
                <w:w w:val="99"/>
                <w:szCs w:val="21"/>
                <w:highlight w:val="none"/>
              </w:rPr>
              <w:t>市境内耕地（基本农田）内，根据地下储层特性，项目选址无法避让耕地（黑土地）。</w:t>
            </w:r>
          </w:p>
          <w:p w14:paraId="17D44FC5">
            <w:pPr>
              <w:widowControl w:val="0"/>
              <w:tabs>
                <w:tab w:val="center" w:pos="4153"/>
                <w:tab w:val="right" w:pos="8306"/>
              </w:tabs>
              <w:spacing w:line="360" w:lineRule="exact"/>
              <w:ind w:firstLine="414" w:firstLineChars="200"/>
              <w:jc w:val="both"/>
              <w:rPr>
                <w:rFonts w:ascii="Times New Roman" w:hAnsi="Times New Roman" w:cs="Times New Roman"/>
                <w:color w:val="auto"/>
                <w:w w:val="99"/>
                <w:sz w:val="21"/>
                <w:szCs w:val="21"/>
                <w:highlight w:val="none"/>
              </w:rPr>
            </w:pPr>
            <w:r>
              <w:rPr>
                <w:rFonts w:hint="eastAsia" w:ascii="Times New Roman" w:hAnsi="Times New Roman" w:cs="Times New Roman" w:eastAsiaTheme="minorEastAsia"/>
                <w:color w:val="auto"/>
                <w:w w:val="99"/>
                <w:kern w:val="2"/>
                <w:sz w:val="21"/>
                <w:szCs w:val="21"/>
                <w:highlight w:val="none"/>
              </w:rPr>
              <w:t>本项目总占地面积为2.013</w:t>
            </w:r>
            <w:r>
              <w:rPr>
                <w:rFonts w:ascii="Times New Roman" w:hAnsi="Times New Roman" w:cs="Times New Roman" w:eastAsiaTheme="minorEastAsia"/>
                <w:color w:val="auto"/>
                <w:w w:val="99"/>
                <w:kern w:val="2"/>
                <w:sz w:val="21"/>
                <w:szCs w:val="21"/>
                <w:highlight w:val="none"/>
              </w:rPr>
              <w:t>hm</w:t>
            </w:r>
            <w:r>
              <w:rPr>
                <w:rFonts w:ascii="Times New Roman" w:hAnsi="Times New Roman" w:cs="Times New Roman" w:eastAsiaTheme="minorEastAsia"/>
                <w:color w:val="auto"/>
                <w:w w:val="99"/>
                <w:kern w:val="2"/>
                <w:sz w:val="21"/>
                <w:szCs w:val="21"/>
                <w:highlight w:val="none"/>
                <w:vertAlign w:val="superscript"/>
              </w:rPr>
              <w:t>2</w:t>
            </w:r>
            <w:r>
              <w:rPr>
                <w:rFonts w:ascii="Times New Roman" w:hAnsi="Times New Roman" w:cs="Times New Roman" w:eastAsiaTheme="minorEastAsia"/>
                <w:color w:val="auto"/>
                <w:w w:val="99"/>
                <w:kern w:val="2"/>
                <w:sz w:val="21"/>
                <w:szCs w:val="21"/>
                <w:highlight w:val="none"/>
              </w:rPr>
              <w:t>，</w:t>
            </w:r>
            <w:r>
              <w:rPr>
                <w:rFonts w:hint="eastAsia" w:ascii="Times New Roman" w:hAnsi="Times New Roman" w:cs="Times New Roman" w:eastAsiaTheme="minorEastAsia"/>
                <w:color w:val="auto"/>
                <w:w w:val="99"/>
                <w:kern w:val="2"/>
                <w:sz w:val="21"/>
                <w:szCs w:val="21"/>
                <w:highlight w:val="none"/>
              </w:rPr>
              <w:t>其中</w:t>
            </w:r>
            <w:r>
              <w:rPr>
                <w:rFonts w:ascii="Times New Roman" w:hAnsi="Times New Roman" w:cs="Times New Roman" w:eastAsiaTheme="minorEastAsia"/>
                <w:color w:val="auto"/>
                <w:w w:val="99"/>
                <w:kern w:val="2"/>
                <w:sz w:val="21"/>
                <w:szCs w:val="21"/>
                <w:highlight w:val="none"/>
              </w:rPr>
              <w:t>永久</w:t>
            </w:r>
            <w:r>
              <w:rPr>
                <w:rFonts w:hint="eastAsia" w:ascii="Times New Roman" w:hAnsi="Times New Roman" w:cs="Times New Roman" w:eastAsiaTheme="minorEastAsia"/>
                <w:color w:val="auto"/>
                <w:w w:val="99"/>
                <w:kern w:val="2"/>
                <w:sz w:val="21"/>
                <w:szCs w:val="21"/>
                <w:highlight w:val="none"/>
              </w:rPr>
              <w:t>占地0.0901</w:t>
            </w:r>
            <w:r>
              <w:rPr>
                <w:rFonts w:ascii="Times New Roman" w:hAnsi="Times New Roman" w:cs="Times New Roman" w:eastAsiaTheme="minorEastAsia"/>
                <w:color w:val="auto"/>
                <w:w w:val="99"/>
                <w:kern w:val="2"/>
                <w:sz w:val="21"/>
                <w:szCs w:val="21"/>
                <w:highlight w:val="none"/>
              </w:rPr>
              <w:t>hm</w:t>
            </w:r>
            <w:r>
              <w:rPr>
                <w:rFonts w:ascii="Times New Roman" w:hAnsi="Times New Roman" w:cs="Times New Roman" w:eastAsiaTheme="minorEastAsia"/>
                <w:color w:val="auto"/>
                <w:w w:val="99"/>
                <w:kern w:val="2"/>
                <w:sz w:val="21"/>
                <w:szCs w:val="21"/>
                <w:highlight w:val="none"/>
                <w:vertAlign w:val="superscript"/>
              </w:rPr>
              <w:t>2</w:t>
            </w:r>
            <w:r>
              <w:rPr>
                <w:rFonts w:hint="eastAsia" w:ascii="Times New Roman" w:hAnsi="Times New Roman" w:cs="Times New Roman" w:eastAsiaTheme="minorEastAsia"/>
                <w:color w:val="auto"/>
                <w:w w:val="99"/>
                <w:kern w:val="2"/>
                <w:sz w:val="21"/>
                <w:szCs w:val="21"/>
                <w:highlight w:val="none"/>
              </w:rPr>
              <w:t>，临时占地</w:t>
            </w:r>
            <w:r>
              <w:rPr>
                <w:rFonts w:hint="eastAsia" w:ascii="Times New Roman" w:hAnsi="Times New Roman" w:cs="Times New Roman"/>
                <w:color w:val="auto"/>
                <w:w w:val="99"/>
                <w:sz w:val="21"/>
                <w:szCs w:val="21"/>
                <w:highlight w:val="none"/>
              </w:rPr>
              <w:t>1.9229</w:t>
            </w:r>
            <w:r>
              <w:rPr>
                <w:rFonts w:ascii="Times New Roman" w:hAnsi="Times New Roman" w:cs="Times New Roman" w:eastAsiaTheme="minorEastAsia"/>
                <w:color w:val="auto"/>
                <w:w w:val="99"/>
                <w:kern w:val="2"/>
                <w:sz w:val="21"/>
                <w:szCs w:val="21"/>
                <w:highlight w:val="none"/>
              </w:rPr>
              <w:t>hm</w:t>
            </w:r>
            <w:r>
              <w:rPr>
                <w:rFonts w:ascii="Times New Roman" w:hAnsi="Times New Roman" w:cs="Times New Roman" w:eastAsiaTheme="minorEastAsia"/>
                <w:color w:val="auto"/>
                <w:w w:val="99"/>
                <w:kern w:val="2"/>
                <w:sz w:val="21"/>
                <w:szCs w:val="21"/>
                <w:highlight w:val="none"/>
                <w:vertAlign w:val="superscript"/>
              </w:rPr>
              <w:t>2</w:t>
            </w:r>
            <w:r>
              <w:rPr>
                <w:rFonts w:hint="eastAsia" w:ascii="Times New Roman" w:hAnsi="Times New Roman" w:cs="Times New Roman" w:eastAsiaTheme="minorEastAsia"/>
                <w:color w:val="auto"/>
                <w:w w:val="99"/>
                <w:kern w:val="2"/>
                <w:sz w:val="21"/>
                <w:szCs w:val="21"/>
                <w:highlight w:val="none"/>
              </w:rPr>
              <w:t>，占地类型为永久基本农田</w:t>
            </w:r>
            <w:r>
              <w:rPr>
                <w:rFonts w:ascii="Times New Roman" w:hAnsi="Times New Roman" w:cs="Times New Roman" w:eastAsiaTheme="minorEastAsia"/>
                <w:color w:val="auto"/>
                <w:w w:val="99"/>
                <w:kern w:val="2"/>
                <w:sz w:val="21"/>
                <w:szCs w:val="21"/>
                <w:highlight w:val="none"/>
              </w:rPr>
              <w:t>。本项目在施工前需要征收土地，应报请相关主管部门同意，取得用地审批。本工程尽可能减少占地。本工程建设过程中，无法避让基本农田，根据《基本农田保护条例》（2011年修订），国家能源、交通、水利、军事设施等重点建设项目选址确实无法避开基本农田保护区，需要占用基本农田，涉及农用地转用或者征收土地的，应报请相关主管部门同意，并补充划入数量和质量相当的基本农田或按规定缴纳耕地开垦费，专款用于开垦新的耕地。本工程实施前编制建设项目占用耕地耕作层土壤剥离利用方案，统筹安</w:t>
            </w:r>
            <w:r>
              <w:rPr>
                <w:rFonts w:ascii="Times New Roman" w:hAnsi="Times New Roman" w:cs="Times New Roman"/>
                <w:color w:val="auto"/>
                <w:w w:val="99"/>
                <w:sz w:val="21"/>
                <w:szCs w:val="21"/>
                <w:highlight w:val="none"/>
              </w:rPr>
              <w:t>排剥离、储存和再利用。表土剥离和利用严格执行《建设占用耕地耕作层土壤剥离利用技术规范》（DB23/T2913-2021）。</w:t>
            </w:r>
          </w:p>
          <w:p w14:paraId="4705031F">
            <w:pPr>
              <w:widowControl w:val="0"/>
              <w:numPr>
                <w:ilvl w:val="0"/>
                <w:numId w:val="7"/>
              </w:numPr>
              <w:tabs>
                <w:tab w:val="center" w:pos="4153"/>
                <w:tab w:val="right" w:pos="8306"/>
              </w:tabs>
              <w:spacing w:line="360" w:lineRule="exact"/>
              <w:ind w:firstLine="414" w:firstLineChars="200"/>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本项目为</w:t>
            </w:r>
            <w:r>
              <w:rPr>
                <w:rFonts w:hint="eastAsia" w:ascii="Times New Roman" w:hAnsi="Times New Roman" w:cs="Times New Roman"/>
                <w:color w:val="auto"/>
                <w:w w:val="99"/>
                <w:sz w:val="21"/>
                <w:szCs w:val="21"/>
                <w:highlight w:val="none"/>
              </w:rPr>
              <w:t>气</w:t>
            </w:r>
            <w:r>
              <w:rPr>
                <w:rFonts w:ascii="Times New Roman" w:hAnsi="Times New Roman" w:cs="Times New Roman"/>
                <w:color w:val="auto"/>
                <w:w w:val="99"/>
                <w:sz w:val="21"/>
                <w:szCs w:val="21"/>
                <w:highlight w:val="none"/>
              </w:rPr>
              <w:t>田产能开发，属于陆地</w:t>
            </w:r>
            <w:r>
              <w:rPr>
                <w:rFonts w:hint="eastAsia" w:ascii="Times New Roman" w:hAnsi="Times New Roman" w:cs="Times New Roman"/>
                <w:color w:val="auto"/>
                <w:w w:val="99"/>
                <w:sz w:val="21"/>
                <w:szCs w:val="21"/>
                <w:highlight w:val="none"/>
              </w:rPr>
              <w:t>天然气</w:t>
            </w:r>
            <w:r>
              <w:rPr>
                <w:rFonts w:ascii="Times New Roman" w:hAnsi="Times New Roman" w:cs="Times New Roman"/>
                <w:color w:val="auto"/>
                <w:w w:val="99"/>
                <w:sz w:val="21"/>
                <w:szCs w:val="21"/>
                <w:highlight w:val="none"/>
              </w:rPr>
              <w:t>项目，不属于有色、石油加工、化工、焦化、电镀、制革等行业企业。不属于高污染、高能耗行业。</w:t>
            </w:r>
          </w:p>
          <w:p w14:paraId="26558BD6">
            <w:pPr>
              <w:widowControl w:val="0"/>
              <w:numPr>
                <w:ilvl w:val="0"/>
                <w:numId w:val="7"/>
              </w:numPr>
              <w:tabs>
                <w:tab w:val="center" w:pos="4153"/>
                <w:tab w:val="right" w:pos="8306"/>
              </w:tabs>
              <w:spacing w:line="360" w:lineRule="exact"/>
              <w:ind w:firstLine="414" w:firstLineChars="200"/>
              <w:jc w:val="both"/>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项目不涉及煤炭消费。</w:t>
            </w:r>
          </w:p>
          <w:p w14:paraId="3AE266D6">
            <w:pPr>
              <w:widowControl w:val="0"/>
              <w:numPr>
                <w:ilvl w:val="0"/>
                <w:numId w:val="7"/>
              </w:numPr>
              <w:tabs>
                <w:tab w:val="center" w:pos="4153"/>
                <w:tab w:val="right" w:pos="8306"/>
              </w:tabs>
              <w:spacing w:line="360" w:lineRule="exact"/>
              <w:ind w:firstLine="414" w:firstLineChars="200"/>
              <w:jc w:val="both"/>
              <w:rPr>
                <w:rFonts w:ascii="Times New Roman" w:hAnsi="Times New Roman" w:cs="Times New Roman" w:eastAsiaTheme="minorEastAsia"/>
                <w:color w:val="auto"/>
                <w:w w:val="99"/>
                <w:sz w:val="21"/>
                <w:szCs w:val="21"/>
                <w:highlight w:val="none"/>
              </w:rPr>
            </w:pPr>
            <w:r>
              <w:rPr>
                <w:rFonts w:hint="eastAsia" w:ascii="Times New Roman" w:hAnsi="Times New Roman" w:cs="Times New Roman"/>
                <w:color w:val="auto"/>
                <w:w w:val="99"/>
                <w:sz w:val="21"/>
                <w:szCs w:val="21"/>
                <w:highlight w:val="none"/>
              </w:rPr>
              <w:t>项目依托场站加热装置燃料采用天然气，不涉及煤炭。</w:t>
            </w:r>
          </w:p>
        </w:tc>
        <w:tc>
          <w:tcPr>
            <w:tcW w:w="463" w:type="pct"/>
            <w:vAlign w:val="center"/>
          </w:tcPr>
          <w:p w14:paraId="1A8FEE45">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符合</w:t>
            </w:r>
          </w:p>
        </w:tc>
      </w:tr>
      <w:tr w14:paraId="06603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0" w:type="pct"/>
            <w:vMerge w:val="continue"/>
            <w:vAlign w:val="center"/>
          </w:tcPr>
          <w:p w14:paraId="0FC50E60">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404" w:type="pct"/>
            <w:vAlign w:val="center"/>
          </w:tcPr>
          <w:p w14:paraId="15C534E5">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污染物排放管控</w:t>
            </w:r>
          </w:p>
        </w:tc>
        <w:tc>
          <w:tcPr>
            <w:tcW w:w="1974" w:type="pct"/>
            <w:gridSpan w:val="3"/>
            <w:vAlign w:val="center"/>
          </w:tcPr>
          <w:p w14:paraId="498AFBA0">
            <w:pPr>
              <w:widowControl w:val="0"/>
              <w:spacing w:line="360" w:lineRule="exact"/>
              <w:ind w:firstLine="414" w:firstLineChars="200"/>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1.2025年和2035年全市大气污染物氮氧化物和VOCs重点工程削减量不低于省政府确定的削减量。</w:t>
            </w:r>
          </w:p>
          <w:p w14:paraId="73E3F912">
            <w:pPr>
              <w:widowControl w:val="0"/>
              <w:tabs>
                <w:tab w:val="center" w:pos="4153"/>
                <w:tab w:val="right" w:pos="8306"/>
              </w:tabs>
              <w:spacing w:line="360" w:lineRule="exact"/>
              <w:ind w:firstLine="414" w:firstLineChars="200"/>
              <w:jc w:val="both"/>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sz w:val="21"/>
                <w:szCs w:val="21"/>
                <w:highlight w:val="none"/>
              </w:rPr>
              <w:t>2.2025年和2035年全市水污染物化学需氧量和氨氮削减量不低于省政府确定的削减量。到2025年，化学需氧量、氨氮重点工程减排量分别达到10984.9吨、1200吨。</w:t>
            </w:r>
          </w:p>
        </w:tc>
        <w:tc>
          <w:tcPr>
            <w:tcW w:w="1817" w:type="pct"/>
            <w:vAlign w:val="center"/>
          </w:tcPr>
          <w:p w14:paraId="0BD7207A">
            <w:pPr>
              <w:pStyle w:val="2751"/>
              <w:spacing w:line="360" w:lineRule="exact"/>
              <w:ind w:firstLine="414" w:firstLineChars="200"/>
              <w:jc w:val="both"/>
              <w:rPr>
                <w:rFonts w:ascii="Times New Roman" w:hAnsi="Times New Roman"/>
                <w:color w:val="auto"/>
                <w:w w:val="99"/>
                <w:highlight w:val="none"/>
              </w:rPr>
            </w:pPr>
            <w:r>
              <w:rPr>
                <w:rFonts w:ascii="Times New Roman" w:hAnsi="Times New Roman"/>
                <w:color w:val="auto"/>
                <w:w w:val="99"/>
                <w:highlight w:val="none"/>
              </w:rPr>
              <w:t>1、施工扬尘采取施工现场洒水抑尘、运输车辆及物料加盖防尘布等方式降低扬尘污染。</w:t>
            </w:r>
          </w:p>
          <w:p w14:paraId="5705A263">
            <w:pPr>
              <w:pStyle w:val="2857"/>
              <w:kinsoku w:val="0"/>
              <w:autoSpaceDE w:val="0"/>
              <w:autoSpaceDN w:val="0"/>
              <w:adjustRightInd w:val="0"/>
              <w:snapToGrid w:val="0"/>
              <w:spacing w:line="360" w:lineRule="exact"/>
              <w:ind w:firstLine="414" w:firstLineChars="200"/>
              <w:jc w:val="both"/>
              <w:textAlignment w:val="baseline"/>
              <w:rPr>
                <w:rFonts w:ascii="Times New Roman" w:hAnsi="Times New Roman" w:cs="Times New Roman"/>
                <w:color w:val="auto"/>
                <w:w w:val="99"/>
                <w:kern w:val="2"/>
                <w:sz w:val="21"/>
                <w:highlight w:val="none"/>
                <w:lang w:eastAsia="zh-CN"/>
              </w:rPr>
            </w:pPr>
            <w:r>
              <w:rPr>
                <w:rFonts w:hint="eastAsia" w:ascii="Times New Roman" w:hAnsi="Times New Roman" w:cs="Times New Roman"/>
                <w:color w:val="auto"/>
                <w:w w:val="99"/>
                <w:kern w:val="2"/>
                <w:sz w:val="21"/>
                <w:highlight w:val="none"/>
                <w:lang w:eastAsia="zh-CN"/>
              </w:rPr>
              <w:t>2、本项目施工期管线试压废水通过罐车拉运至升一联气田污水预处理站处理，满足《大庆油田地面工程建设设计规定》（Q/SYDQ 0639-2015）限值“含油量≤10mg/L、悬浮固体含量≤5mg/L、粒径中值≤2μm”，</w:t>
            </w:r>
            <w:r>
              <w:rPr>
                <w:rFonts w:hint="eastAsia" w:ascii="Times New Roman" w:hAnsi="Times New Roman" w:cs="Times New Roman"/>
                <w:color w:val="auto"/>
                <w:w w:val="99"/>
                <w:kern w:val="2"/>
                <w:sz w:val="21"/>
                <w:highlight w:val="none"/>
                <w:lang w:val="en-US" w:eastAsia="zh-CN"/>
              </w:rPr>
              <w:t>同时满足</w:t>
            </w:r>
            <w:r>
              <w:rPr>
                <w:rFonts w:hint="eastAsia" w:ascii="Times New Roman" w:hAnsi="Times New Roman" w:cs="Times New Roman"/>
                <w:color w:val="auto"/>
                <w:w w:val="99"/>
                <w:kern w:val="2"/>
                <w:sz w:val="21"/>
                <w:highlight w:val="none"/>
                <w:lang w:eastAsia="zh-CN"/>
              </w:rPr>
              <w:t>《碎屑岩油藏注水水质指标技术要求及分析方法》(SY/T5329-2022)中标准限值，回注到现役油气藏层位。</w:t>
            </w:r>
          </w:p>
          <w:p w14:paraId="0E33A767">
            <w:pPr>
              <w:pStyle w:val="2751"/>
              <w:spacing w:line="360" w:lineRule="exact"/>
              <w:ind w:firstLine="414" w:firstLineChars="200"/>
              <w:jc w:val="both"/>
              <w:rPr>
                <w:rFonts w:ascii="Times New Roman" w:hAnsi="Times New Roman" w:eastAsiaTheme="minorEastAsia"/>
                <w:color w:val="auto"/>
                <w:w w:val="99"/>
                <w:szCs w:val="21"/>
                <w:highlight w:val="none"/>
              </w:rPr>
            </w:pPr>
            <w:r>
              <w:rPr>
                <w:rFonts w:hint="eastAsia" w:ascii="Times New Roman" w:hAnsi="Times New Roman"/>
                <w:color w:val="auto"/>
                <w:w w:val="99"/>
                <w:highlight w:val="none"/>
              </w:rPr>
              <w:t>3、生活污水排入附近场站已建生活污水收集设施，定期由大庆石油管理局有限公司庆南工矿服务公司红岗分公司拉运至大庆红岗区西巷污水回收站，管输至南区污水处理厂进行处理。</w:t>
            </w:r>
          </w:p>
        </w:tc>
        <w:tc>
          <w:tcPr>
            <w:tcW w:w="463" w:type="pct"/>
            <w:vAlign w:val="center"/>
          </w:tcPr>
          <w:p w14:paraId="6EA9E26C">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符合</w:t>
            </w:r>
          </w:p>
        </w:tc>
      </w:tr>
      <w:tr w14:paraId="4AAED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0" w:type="pct"/>
            <w:vMerge w:val="continue"/>
            <w:vAlign w:val="center"/>
          </w:tcPr>
          <w:p w14:paraId="34619CB8">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404" w:type="pct"/>
            <w:vAlign w:val="center"/>
          </w:tcPr>
          <w:p w14:paraId="1FC600A2">
            <w:pPr>
              <w:widowControl w:val="0"/>
              <w:tabs>
                <w:tab w:val="center" w:pos="4153"/>
                <w:tab w:val="right" w:pos="8306"/>
              </w:tabs>
              <w:spacing w:line="360" w:lineRule="exact"/>
              <w:jc w:val="center"/>
              <w:rPr>
                <w:rFonts w:ascii="Times New Roman" w:hAnsi="Times New Roman" w:cs="Times New Roman"/>
                <w:color w:val="auto"/>
                <w:szCs w:val="21"/>
                <w:highlight w:val="none"/>
              </w:rPr>
            </w:pPr>
            <w:r>
              <w:rPr>
                <w:rFonts w:ascii="Times New Roman" w:hAnsi="Times New Roman" w:cs="Times New Roman"/>
                <w:color w:val="auto"/>
                <w:w w:val="99"/>
                <w:sz w:val="21"/>
                <w:szCs w:val="21"/>
                <w:highlight w:val="none"/>
              </w:rPr>
              <w:t>环境风险防控</w:t>
            </w:r>
          </w:p>
        </w:tc>
        <w:tc>
          <w:tcPr>
            <w:tcW w:w="1974" w:type="pct"/>
            <w:gridSpan w:val="3"/>
            <w:vAlign w:val="center"/>
          </w:tcPr>
          <w:p w14:paraId="0A130CC3">
            <w:pPr>
              <w:widowControl w:val="0"/>
              <w:tabs>
                <w:tab w:val="center" w:pos="4153"/>
                <w:tab w:val="right" w:pos="8306"/>
              </w:tabs>
              <w:spacing w:line="360" w:lineRule="exact"/>
              <w:ind w:firstLine="414" w:firstLineChars="200"/>
              <w:rPr>
                <w:rFonts w:ascii="Times New Roman" w:hAnsi="Times New Roman" w:cs="Times New Roman"/>
                <w:color w:val="auto"/>
                <w:w w:val="99"/>
                <w:szCs w:val="21"/>
                <w:highlight w:val="none"/>
              </w:rPr>
            </w:pPr>
            <w:r>
              <w:rPr>
                <w:rFonts w:ascii="Times New Roman" w:hAnsi="Times New Roman" w:cs="Times New Roman"/>
                <w:color w:val="auto"/>
                <w:w w:val="99"/>
                <w:sz w:val="21"/>
                <w:szCs w:val="21"/>
                <w:highlight w:val="none"/>
              </w:rPr>
              <w:t>各级人民政府及其有关部门和企业事业单位，应当依照《中华人民共和国突发事件应对法》的规定，做好突发环境事件的风险控制、应急准备、应急处置和事后恢复等工作。</w:t>
            </w:r>
          </w:p>
        </w:tc>
        <w:tc>
          <w:tcPr>
            <w:tcW w:w="1817" w:type="pct"/>
            <w:vAlign w:val="center"/>
          </w:tcPr>
          <w:p w14:paraId="17DD5A60">
            <w:pPr>
              <w:pStyle w:val="2751"/>
              <w:spacing w:line="360" w:lineRule="exact"/>
              <w:ind w:firstLine="414" w:firstLineChars="200"/>
              <w:jc w:val="both"/>
              <w:rPr>
                <w:rFonts w:ascii="Times New Roman" w:hAnsi="Times New Roman"/>
                <w:color w:val="auto"/>
                <w:w w:val="99"/>
                <w:szCs w:val="21"/>
                <w:highlight w:val="none"/>
              </w:rPr>
            </w:pPr>
            <w:r>
              <w:rPr>
                <w:rFonts w:ascii="Times New Roman" w:hAnsi="Times New Roman"/>
                <w:color w:val="auto"/>
                <w:w w:val="99"/>
                <w:highlight w:val="none"/>
              </w:rPr>
              <w:t>大庆油田有限责任公司采气分公司于2024年10月23日在大庆市让胡路生态环境局备案了企业环境风险应急预案（备案号230604-2024-47-L），大庆油田有限责任公司采气分公司本项目建成后应将已备案的应急预案根据本次工程内容进行修订，包括相关工作人员的培训和演练等。</w:t>
            </w:r>
          </w:p>
        </w:tc>
        <w:tc>
          <w:tcPr>
            <w:tcW w:w="463" w:type="pct"/>
            <w:vAlign w:val="center"/>
          </w:tcPr>
          <w:p w14:paraId="21E0DDEF">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符合</w:t>
            </w:r>
          </w:p>
        </w:tc>
      </w:tr>
      <w:tr w14:paraId="5D887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0" w:type="pct"/>
            <w:vMerge w:val="continue"/>
            <w:vAlign w:val="center"/>
          </w:tcPr>
          <w:p w14:paraId="2F996E0D">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404" w:type="pct"/>
            <w:vAlign w:val="center"/>
          </w:tcPr>
          <w:p w14:paraId="2C1FAFC2">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资源利用效率要求</w:t>
            </w:r>
          </w:p>
        </w:tc>
        <w:tc>
          <w:tcPr>
            <w:tcW w:w="1974" w:type="pct"/>
            <w:gridSpan w:val="3"/>
            <w:vAlign w:val="center"/>
          </w:tcPr>
          <w:p w14:paraId="56A66072">
            <w:pPr>
              <w:widowControl w:val="0"/>
              <w:tabs>
                <w:tab w:val="center" w:pos="4153"/>
                <w:tab w:val="right" w:pos="8306"/>
              </w:tabs>
              <w:spacing w:line="360" w:lineRule="exact"/>
              <w:ind w:firstLine="414" w:firstLineChars="200"/>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1.水资源：</w:t>
            </w:r>
          </w:p>
          <w:p w14:paraId="47CECD61">
            <w:pPr>
              <w:widowControl w:val="0"/>
              <w:tabs>
                <w:tab w:val="center" w:pos="4153"/>
                <w:tab w:val="right" w:pos="8306"/>
              </w:tabs>
              <w:spacing w:line="360" w:lineRule="exact"/>
              <w:ind w:firstLine="414" w:firstLineChars="200"/>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全市2025年用水总量不得超过36.55亿立方米，2030年用水总量控制指标不高于省政府确定的指标。</w:t>
            </w:r>
          </w:p>
          <w:p w14:paraId="63A9E584">
            <w:pPr>
              <w:widowControl w:val="0"/>
              <w:tabs>
                <w:tab w:val="center" w:pos="4153"/>
                <w:tab w:val="right" w:pos="8306"/>
              </w:tabs>
              <w:spacing w:line="360" w:lineRule="exact"/>
              <w:ind w:firstLine="414" w:firstLineChars="200"/>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2.土地资源：</w:t>
            </w:r>
          </w:p>
          <w:p w14:paraId="07D6ECA5">
            <w:pPr>
              <w:widowControl w:val="0"/>
              <w:tabs>
                <w:tab w:val="center" w:pos="4153"/>
                <w:tab w:val="right" w:pos="8306"/>
              </w:tabs>
              <w:spacing w:line="360" w:lineRule="exact"/>
              <w:ind w:firstLine="414" w:firstLineChars="200"/>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全市2025和2035年耕地保有量不低于规划指标。</w:t>
            </w:r>
          </w:p>
          <w:p w14:paraId="5B413ACD">
            <w:pPr>
              <w:widowControl w:val="0"/>
              <w:tabs>
                <w:tab w:val="center" w:pos="4153"/>
                <w:tab w:val="right" w:pos="8306"/>
              </w:tabs>
              <w:spacing w:line="360" w:lineRule="exact"/>
              <w:ind w:firstLine="414" w:firstLineChars="200"/>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3.能源：</w:t>
            </w:r>
          </w:p>
          <w:p w14:paraId="7079A189">
            <w:pPr>
              <w:widowControl w:val="0"/>
              <w:tabs>
                <w:tab w:val="center" w:pos="4153"/>
                <w:tab w:val="right" w:pos="8306"/>
              </w:tabs>
              <w:spacing w:line="360" w:lineRule="exact"/>
              <w:ind w:firstLine="414" w:firstLineChars="200"/>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sz w:val="21"/>
                <w:szCs w:val="21"/>
                <w:highlight w:val="none"/>
              </w:rPr>
              <w:t>2025年和2035年，全市煤炭消费上线不高于省政府确定的指标。</w:t>
            </w:r>
          </w:p>
        </w:tc>
        <w:tc>
          <w:tcPr>
            <w:tcW w:w="1817" w:type="pct"/>
            <w:vAlign w:val="center"/>
          </w:tcPr>
          <w:p w14:paraId="05370786">
            <w:pPr>
              <w:pStyle w:val="2751"/>
              <w:spacing w:line="360" w:lineRule="exact"/>
              <w:ind w:firstLine="414" w:firstLineChars="200"/>
              <w:jc w:val="both"/>
              <w:rPr>
                <w:rFonts w:ascii="Times New Roman" w:hAnsi="Times New Roman"/>
                <w:color w:val="auto"/>
                <w:w w:val="99"/>
                <w:highlight w:val="none"/>
              </w:rPr>
            </w:pPr>
            <w:r>
              <w:rPr>
                <w:rFonts w:ascii="Times New Roman" w:hAnsi="Times New Roman"/>
                <w:color w:val="auto"/>
                <w:w w:val="99"/>
                <w:szCs w:val="21"/>
                <w:highlight w:val="none"/>
              </w:rPr>
              <w:t>1、本项目施工期新鲜水消耗量为724.39m</w:t>
            </w:r>
            <w:r>
              <w:rPr>
                <w:rFonts w:ascii="Times New Roman" w:hAnsi="Times New Roman"/>
                <w:color w:val="auto"/>
                <w:w w:val="99"/>
                <w:szCs w:val="21"/>
                <w:highlight w:val="none"/>
                <w:vertAlign w:val="superscript"/>
              </w:rPr>
              <w:t>3</w:t>
            </w:r>
            <w:r>
              <w:rPr>
                <w:rFonts w:ascii="Times New Roman" w:hAnsi="Times New Roman"/>
                <w:color w:val="auto"/>
                <w:w w:val="99"/>
                <w:szCs w:val="21"/>
                <w:highlight w:val="none"/>
              </w:rPr>
              <w:t>，消耗的水主要用于生活及生产需要，用量不大；运营期不新增新鲜水消耗，区域的水资源消耗不大</w:t>
            </w:r>
            <w:r>
              <w:rPr>
                <w:rFonts w:ascii="Times New Roman" w:hAnsi="Times New Roman"/>
                <w:color w:val="auto"/>
                <w:w w:val="99"/>
                <w:highlight w:val="none"/>
              </w:rPr>
              <w:t>。</w:t>
            </w:r>
          </w:p>
          <w:p w14:paraId="2B2851CF">
            <w:pPr>
              <w:pStyle w:val="2751"/>
              <w:spacing w:line="360" w:lineRule="exact"/>
              <w:ind w:firstLine="414" w:firstLineChars="200"/>
              <w:jc w:val="both"/>
              <w:rPr>
                <w:rFonts w:ascii="Times New Roman" w:hAnsi="Times New Roman"/>
                <w:color w:val="auto"/>
                <w:w w:val="99"/>
                <w:highlight w:val="none"/>
              </w:rPr>
            </w:pPr>
            <w:r>
              <w:rPr>
                <w:rFonts w:ascii="Times New Roman" w:hAnsi="Times New Roman"/>
                <w:color w:val="auto"/>
                <w:w w:val="99"/>
                <w:highlight w:val="none"/>
              </w:rPr>
              <w:t>2、本</w:t>
            </w:r>
            <w:r>
              <w:rPr>
                <w:rFonts w:hint="eastAsia" w:ascii="Times New Roman" w:hAnsi="Times New Roman" w:eastAsiaTheme="minorEastAsia"/>
                <w:color w:val="auto"/>
                <w:w w:val="99"/>
                <w:szCs w:val="21"/>
                <w:highlight w:val="none"/>
              </w:rPr>
              <w:t>项目总占地面积为2.013</w:t>
            </w:r>
            <w:r>
              <w:rPr>
                <w:rFonts w:ascii="Times New Roman" w:hAnsi="Times New Roman" w:eastAsiaTheme="minorEastAsia"/>
                <w:color w:val="auto"/>
                <w:w w:val="99"/>
                <w:szCs w:val="21"/>
                <w:highlight w:val="none"/>
              </w:rPr>
              <w:t>hm</w:t>
            </w:r>
            <w:r>
              <w:rPr>
                <w:rFonts w:ascii="Times New Roman" w:hAnsi="Times New Roman" w:eastAsiaTheme="minorEastAsia"/>
                <w:color w:val="auto"/>
                <w:w w:val="99"/>
                <w:szCs w:val="21"/>
                <w:highlight w:val="none"/>
                <w:vertAlign w:val="superscript"/>
              </w:rPr>
              <w:t>2</w:t>
            </w:r>
            <w:r>
              <w:rPr>
                <w:rFonts w:ascii="Times New Roman" w:hAnsi="Times New Roman" w:eastAsiaTheme="minorEastAsia"/>
                <w:color w:val="auto"/>
                <w:w w:val="99"/>
                <w:szCs w:val="21"/>
                <w:highlight w:val="none"/>
              </w:rPr>
              <w:t>，</w:t>
            </w:r>
            <w:r>
              <w:rPr>
                <w:rFonts w:hint="eastAsia" w:ascii="Times New Roman" w:hAnsi="Times New Roman" w:eastAsiaTheme="minorEastAsia"/>
                <w:color w:val="auto"/>
                <w:w w:val="99"/>
                <w:szCs w:val="21"/>
                <w:highlight w:val="none"/>
              </w:rPr>
              <w:t>其中</w:t>
            </w:r>
            <w:r>
              <w:rPr>
                <w:rFonts w:ascii="Times New Roman" w:hAnsi="Times New Roman" w:eastAsiaTheme="minorEastAsia"/>
                <w:color w:val="auto"/>
                <w:w w:val="99"/>
                <w:szCs w:val="21"/>
                <w:highlight w:val="none"/>
              </w:rPr>
              <w:t>永久</w:t>
            </w:r>
            <w:r>
              <w:rPr>
                <w:rFonts w:hint="eastAsia" w:ascii="Times New Roman" w:hAnsi="Times New Roman" w:eastAsiaTheme="minorEastAsia"/>
                <w:color w:val="auto"/>
                <w:w w:val="99"/>
                <w:szCs w:val="21"/>
                <w:highlight w:val="none"/>
              </w:rPr>
              <w:t>占地0.0901</w:t>
            </w:r>
            <w:r>
              <w:rPr>
                <w:rFonts w:ascii="Times New Roman" w:hAnsi="Times New Roman" w:eastAsiaTheme="minorEastAsia"/>
                <w:color w:val="auto"/>
                <w:w w:val="99"/>
                <w:szCs w:val="21"/>
                <w:highlight w:val="none"/>
              </w:rPr>
              <w:t>hm</w:t>
            </w:r>
            <w:r>
              <w:rPr>
                <w:rFonts w:ascii="Times New Roman" w:hAnsi="Times New Roman" w:eastAsiaTheme="minorEastAsia"/>
                <w:color w:val="auto"/>
                <w:w w:val="99"/>
                <w:szCs w:val="21"/>
                <w:highlight w:val="none"/>
                <w:vertAlign w:val="superscript"/>
              </w:rPr>
              <w:t>2</w:t>
            </w:r>
            <w:r>
              <w:rPr>
                <w:rFonts w:hint="eastAsia" w:ascii="Times New Roman" w:hAnsi="Times New Roman" w:eastAsiaTheme="minorEastAsia"/>
                <w:color w:val="auto"/>
                <w:w w:val="99"/>
                <w:szCs w:val="21"/>
                <w:highlight w:val="none"/>
              </w:rPr>
              <w:t>，临时占地1.9229</w:t>
            </w:r>
            <w:r>
              <w:rPr>
                <w:rFonts w:ascii="Times New Roman" w:hAnsi="Times New Roman" w:eastAsiaTheme="minorEastAsia"/>
                <w:color w:val="auto"/>
                <w:w w:val="99"/>
                <w:szCs w:val="21"/>
                <w:highlight w:val="none"/>
              </w:rPr>
              <w:t>hm</w:t>
            </w:r>
            <w:r>
              <w:rPr>
                <w:rFonts w:ascii="Times New Roman" w:hAnsi="Times New Roman" w:eastAsiaTheme="minorEastAsia"/>
                <w:color w:val="auto"/>
                <w:w w:val="99"/>
                <w:szCs w:val="21"/>
                <w:highlight w:val="none"/>
                <w:vertAlign w:val="superscript"/>
              </w:rPr>
              <w:t>2</w:t>
            </w:r>
            <w:r>
              <w:rPr>
                <w:rFonts w:ascii="Times New Roman" w:hAnsi="Times New Roman" w:eastAsiaTheme="minorEastAsia"/>
                <w:color w:val="auto"/>
                <w:w w:val="99"/>
                <w:szCs w:val="21"/>
                <w:highlight w:val="none"/>
              </w:rPr>
              <w:t>。新增基本农田</w:t>
            </w:r>
            <w:r>
              <w:rPr>
                <w:rFonts w:hint="eastAsia" w:ascii="Times New Roman" w:hAnsi="Times New Roman" w:eastAsiaTheme="minorEastAsia"/>
                <w:color w:val="auto"/>
                <w:w w:val="99"/>
                <w:szCs w:val="21"/>
                <w:highlight w:val="none"/>
              </w:rPr>
              <w:t>面积</w:t>
            </w:r>
            <w:r>
              <w:rPr>
                <w:rFonts w:ascii="Times New Roman" w:hAnsi="Times New Roman" w:eastAsiaTheme="minorEastAsia"/>
                <w:color w:val="auto"/>
                <w:w w:val="99"/>
                <w:szCs w:val="21"/>
                <w:highlight w:val="none"/>
              </w:rPr>
              <w:t>，满足省政府确定的指标。</w:t>
            </w:r>
          </w:p>
          <w:p w14:paraId="44D73988">
            <w:pPr>
              <w:pStyle w:val="2751"/>
              <w:spacing w:line="360" w:lineRule="exact"/>
              <w:ind w:firstLine="414" w:firstLineChars="200"/>
              <w:jc w:val="both"/>
              <w:rPr>
                <w:rFonts w:ascii="Times New Roman" w:hAnsi="Times New Roman" w:eastAsiaTheme="minorEastAsia"/>
                <w:color w:val="auto"/>
                <w:w w:val="99"/>
                <w:szCs w:val="21"/>
                <w:highlight w:val="none"/>
              </w:rPr>
            </w:pPr>
            <w:r>
              <w:rPr>
                <w:rFonts w:ascii="Times New Roman" w:hAnsi="Times New Roman"/>
                <w:color w:val="auto"/>
                <w:w w:val="99"/>
                <w:szCs w:val="21"/>
                <w:highlight w:val="none"/>
              </w:rPr>
              <w:t>3、本项目</w:t>
            </w:r>
            <w:r>
              <w:rPr>
                <w:rFonts w:hint="eastAsia" w:ascii="Times New Roman" w:hAnsi="Times New Roman"/>
                <w:color w:val="auto"/>
                <w:w w:val="99"/>
                <w:szCs w:val="21"/>
                <w:highlight w:val="none"/>
              </w:rPr>
              <w:t>依托场站加热装置均采用天然气，不涉及煤炭消耗</w:t>
            </w:r>
            <w:r>
              <w:rPr>
                <w:rFonts w:ascii="Times New Roman" w:hAnsi="Times New Roman"/>
                <w:color w:val="auto"/>
                <w:w w:val="99"/>
                <w:szCs w:val="21"/>
                <w:highlight w:val="none"/>
              </w:rPr>
              <w:t>。</w:t>
            </w:r>
          </w:p>
        </w:tc>
        <w:tc>
          <w:tcPr>
            <w:tcW w:w="463" w:type="pct"/>
            <w:vAlign w:val="center"/>
          </w:tcPr>
          <w:p w14:paraId="0FC6ED40">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符合</w:t>
            </w:r>
          </w:p>
        </w:tc>
      </w:tr>
      <w:tr w14:paraId="3F3B9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0" w:type="pct"/>
            <w:vAlign w:val="center"/>
          </w:tcPr>
          <w:p w14:paraId="576625B6">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404" w:type="pct"/>
            <w:vAlign w:val="center"/>
          </w:tcPr>
          <w:p w14:paraId="04C19CB9">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高污染</w:t>
            </w:r>
          </w:p>
          <w:p w14:paraId="12A62460">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燃料禁燃区资源利用效率要</w:t>
            </w:r>
          </w:p>
          <w:p w14:paraId="0ACE2F13">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求</w:t>
            </w:r>
          </w:p>
        </w:tc>
        <w:tc>
          <w:tcPr>
            <w:tcW w:w="1974" w:type="pct"/>
            <w:gridSpan w:val="3"/>
            <w:vAlign w:val="center"/>
          </w:tcPr>
          <w:p w14:paraId="22F0A839">
            <w:pPr>
              <w:widowControl w:val="0"/>
              <w:tabs>
                <w:tab w:val="center" w:pos="4153"/>
                <w:tab w:val="right" w:pos="8306"/>
              </w:tabs>
              <w:spacing w:line="360" w:lineRule="exact"/>
              <w:ind w:firstLine="414" w:firstLineChars="200"/>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1.禁燃区禁止燃用燃料组合类别确定为国环规大气〔2017〕2号中I类类别。</w:t>
            </w:r>
          </w:p>
          <w:p w14:paraId="05724EA7">
            <w:pPr>
              <w:widowControl w:val="0"/>
              <w:tabs>
                <w:tab w:val="center" w:pos="4153"/>
                <w:tab w:val="right" w:pos="8306"/>
              </w:tabs>
              <w:spacing w:line="360" w:lineRule="exact"/>
              <w:ind w:firstLine="414" w:firstLineChars="200"/>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2.禁燃区内禁止燃用石油焦、油页岩、原油、重油、渣油、煤焦油等燃料；单台出力小于20蒸吨/小时的锅炉禁止燃用煤炭及其制品（包括原煤、散煤、煤矸石、煤泥、煤粉、水煤浆、型煤、焦炭、兰炭等）。</w:t>
            </w:r>
          </w:p>
          <w:p w14:paraId="0D401C23">
            <w:pPr>
              <w:widowControl w:val="0"/>
              <w:tabs>
                <w:tab w:val="center" w:pos="4153"/>
                <w:tab w:val="right" w:pos="8306"/>
              </w:tabs>
              <w:spacing w:line="360" w:lineRule="exact"/>
              <w:ind w:firstLine="414" w:firstLineChars="200"/>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sz w:val="21"/>
                <w:szCs w:val="21"/>
                <w:highlight w:val="none"/>
              </w:rPr>
              <w:t>3.禁燃区内不得新建、扩建国环规大气〔2017〕2号Ⅱ类类别规定中禁止燃用高污染燃料的燃用设施，不得销售国环规大气〔2017〕2号Ⅱ类类别中规定的高污染燃料。</w:t>
            </w:r>
          </w:p>
        </w:tc>
        <w:tc>
          <w:tcPr>
            <w:tcW w:w="1817" w:type="pct"/>
            <w:vAlign w:val="center"/>
          </w:tcPr>
          <w:p w14:paraId="6F84186B">
            <w:pPr>
              <w:pStyle w:val="2751"/>
              <w:spacing w:line="360" w:lineRule="exact"/>
              <w:ind w:firstLine="414" w:firstLineChars="200"/>
              <w:jc w:val="both"/>
              <w:rPr>
                <w:rFonts w:ascii="Times New Roman" w:hAnsi="Times New Roman" w:eastAsiaTheme="minorEastAsia"/>
                <w:color w:val="auto"/>
                <w:w w:val="99"/>
                <w:szCs w:val="21"/>
                <w:highlight w:val="none"/>
              </w:rPr>
            </w:pPr>
            <w:r>
              <w:rPr>
                <w:rFonts w:hint="eastAsia" w:ascii="Times New Roman" w:hAnsi="Times New Roman"/>
                <w:color w:val="auto"/>
                <w:w w:val="99"/>
                <w:kern w:val="0"/>
                <w:szCs w:val="21"/>
                <w:highlight w:val="none"/>
              </w:rPr>
              <w:t>项目位于绥化市肇东市跃进乡邢家围子屯西侧300m处。不属于禁燃区</w:t>
            </w:r>
            <w:r>
              <w:rPr>
                <w:rFonts w:hint="eastAsia" w:ascii="Times New Roman" w:hAnsi="Times New Roman"/>
                <w:bCs/>
                <w:iCs/>
                <w:color w:val="auto"/>
                <w:w w:val="99"/>
                <w:sz w:val="24"/>
                <w:szCs w:val="24"/>
                <w:highlight w:val="none"/>
                <w:lang w:bidi="en-US"/>
              </w:rPr>
              <w:t>。</w:t>
            </w:r>
          </w:p>
        </w:tc>
        <w:tc>
          <w:tcPr>
            <w:tcW w:w="463" w:type="pct"/>
            <w:vAlign w:val="center"/>
          </w:tcPr>
          <w:p w14:paraId="39A9B96E">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符合</w:t>
            </w:r>
          </w:p>
        </w:tc>
      </w:tr>
      <w:tr w14:paraId="53B0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36" w:type="pct"/>
            <w:gridSpan w:val="6"/>
            <w:vAlign w:val="center"/>
          </w:tcPr>
          <w:p w14:paraId="6BC9DAD0">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肇东</w:t>
            </w:r>
            <w:r>
              <w:rPr>
                <w:rFonts w:ascii="Times New Roman" w:hAnsi="Times New Roman" w:cs="Times New Roman" w:eastAsiaTheme="minorEastAsia"/>
                <w:color w:val="auto"/>
                <w:w w:val="99"/>
                <w:sz w:val="21"/>
                <w:szCs w:val="21"/>
                <w:highlight w:val="none"/>
              </w:rPr>
              <w:t>市生态环境准入清单</w:t>
            </w:r>
          </w:p>
        </w:tc>
        <w:tc>
          <w:tcPr>
            <w:tcW w:w="463" w:type="pct"/>
            <w:vAlign w:val="center"/>
          </w:tcPr>
          <w:p w14:paraId="39DC4E2E">
            <w:pPr>
              <w:widowControl w:val="0"/>
              <w:spacing w:line="360" w:lineRule="exact"/>
              <w:jc w:val="center"/>
              <w:rPr>
                <w:rFonts w:ascii="Times New Roman" w:hAnsi="Times New Roman" w:cs="Times New Roman" w:eastAsiaTheme="minorEastAsia"/>
                <w:color w:val="auto"/>
                <w:w w:val="99"/>
                <w:sz w:val="21"/>
                <w:szCs w:val="21"/>
                <w:highlight w:val="none"/>
              </w:rPr>
            </w:pPr>
          </w:p>
        </w:tc>
      </w:tr>
      <w:tr w14:paraId="157DD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0" w:type="pct"/>
            <w:vAlign w:val="center"/>
          </w:tcPr>
          <w:p w14:paraId="251CB661">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环境管控单元编码</w:t>
            </w:r>
          </w:p>
        </w:tc>
        <w:tc>
          <w:tcPr>
            <w:tcW w:w="404" w:type="pct"/>
            <w:vAlign w:val="center"/>
          </w:tcPr>
          <w:p w14:paraId="598D7024">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环境管控单元名称</w:t>
            </w:r>
          </w:p>
        </w:tc>
        <w:tc>
          <w:tcPr>
            <w:tcW w:w="280" w:type="pct"/>
            <w:vAlign w:val="center"/>
          </w:tcPr>
          <w:p w14:paraId="22140B2B">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管控单元类别</w:t>
            </w:r>
          </w:p>
        </w:tc>
        <w:tc>
          <w:tcPr>
            <w:tcW w:w="1693" w:type="pct"/>
            <w:gridSpan w:val="2"/>
            <w:vAlign w:val="center"/>
          </w:tcPr>
          <w:p w14:paraId="75FD2E49">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管控要求</w:t>
            </w:r>
          </w:p>
        </w:tc>
        <w:tc>
          <w:tcPr>
            <w:tcW w:w="1817" w:type="pct"/>
            <w:vAlign w:val="center"/>
          </w:tcPr>
          <w:p w14:paraId="0CE5932B">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本项目符合性分析</w:t>
            </w:r>
          </w:p>
        </w:tc>
        <w:tc>
          <w:tcPr>
            <w:tcW w:w="463" w:type="pct"/>
            <w:vAlign w:val="center"/>
          </w:tcPr>
          <w:p w14:paraId="5E4B9AC8">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结论</w:t>
            </w:r>
          </w:p>
        </w:tc>
      </w:tr>
      <w:tr w14:paraId="10728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0" w:type="pct"/>
            <w:vAlign w:val="center"/>
          </w:tcPr>
          <w:p w14:paraId="1724141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ZH23128220003</w:t>
            </w:r>
          </w:p>
        </w:tc>
        <w:tc>
          <w:tcPr>
            <w:tcW w:w="404" w:type="pct"/>
          </w:tcPr>
          <w:p w14:paraId="5E22E7D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肇东市水环境农业污染重点管控区</w:t>
            </w:r>
          </w:p>
          <w:p w14:paraId="7C24A26E">
            <w:pPr>
              <w:spacing w:line="360" w:lineRule="exact"/>
              <w:jc w:val="center"/>
              <w:rPr>
                <w:rFonts w:ascii="Times New Roman" w:hAnsi="Times New Roman" w:cs="Times New Roman" w:eastAsiaTheme="minorEastAsia"/>
                <w:color w:val="auto"/>
                <w:w w:val="99"/>
                <w:sz w:val="21"/>
                <w:szCs w:val="21"/>
                <w:highlight w:val="none"/>
              </w:rPr>
            </w:pPr>
          </w:p>
        </w:tc>
        <w:tc>
          <w:tcPr>
            <w:tcW w:w="280" w:type="pct"/>
          </w:tcPr>
          <w:p w14:paraId="24783DD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重点管控单元</w:t>
            </w:r>
          </w:p>
        </w:tc>
        <w:tc>
          <w:tcPr>
            <w:tcW w:w="243" w:type="pct"/>
            <w:vAlign w:val="center"/>
          </w:tcPr>
          <w:p w14:paraId="33E8251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空间布局约束</w:t>
            </w:r>
          </w:p>
        </w:tc>
        <w:tc>
          <w:tcPr>
            <w:tcW w:w="1449" w:type="pct"/>
            <w:vAlign w:val="center"/>
          </w:tcPr>
          <w:p w14:paraId="6BE4872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执行（1）科学划定畜禽养殖禁养区。（2）加快农业结构调整。松嫩平原和三江平原等地下水易受污染地区优先种植需肥需药量低、环境效益突出的农作物；在西部干旱区发展谷子、高粱等耐旱杂粮种植；在北部四、五积温区开展米豆麦轮作，促进化肥需求低的农作物面积恢复性增长。2.大气环境布局敏感重点管控区同时执行（1）严控“两高”行业产能。严格执行钢铁、水泥、平板玻璃等行业产能置换实施办法。（2）利用水泥窑协同处置城市生活垃圾、危险废弃物、电石渣等固废伴生水泥项目，必须依托现有新型干法水泥熟料生产线进行不扩产能改造。</w:t>
            </w:r>
          </w:p>
        </w:tc>
        <w:tc>
          <w:tcPr>
            <w:tcW w:w="1817" w:type="pct"/>
            <w:vMerge w:val="restart"/>
            <w:vAlign w:val="center"/>
          </w:tcPr>
          <w:p w14:paraId="3920BC4E">
            <w:pPr>
              <w:pStyle w:val="2857"/>
              <w:kinsoku w:val="0"/>
              <w:autoSpaceDE w:val="0"/>
              <w:autoSpaceDN w:val="0"/>
              <w:adjustRightInd w:val="0"/>
              <w:snapToGrid w:val="0"/>
              <w:spacing w:line="360" w:lineRule="exact"/>
              <w:ind w:firstLine="414" w:firstLineChars="200"/>
              <w:jc w:val="both"/>
              <w:textAlignment w:val="baseline"/>
              <w:rPr>
                <w:rFonts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eastAsia="zh-CN"/>
              </w:rPr>
              <w:t>1.</w:t>
            </w:r>
            <w:r>
              <w:rPr>
                <w:rFonts w:ascii="Times New Roman" w:hAnsi="Times New Roman" w:cs="Times New Roman" w:eastAsiaTheme="minorEastAsia"/>
                <w:color w:val="auto"/>
                <w:w w:val="99"/>
                <w:sz w:val="21"/>
                <w:szCs w:val="21"/>
                <w:highlight w:val="none"/>
                <w:lang w:eastAsia="zh-CN"/>
              </w:rPr>
              <w:t>本项目为天然气</w:t>
            </w:r>
            <w:r>
              <w:rPr>
                <w:rFonts w:hint="eastAsia" w:ascii="Times New Roman" w:hAnsi="Times New Roman" w:cs="Times New Roman" w:eastAsiaTheme="minorEastAsia"/>
                <w:color w:val="auto"/>
                <w:w w:val="99"/>
                <w:sz w:val="21"/>
                <w:szCs w:val="21"/>
                <w:highlight w:val="none"/>
                <w:lang w:eastAsia="zh-CN"/>
              </w:rPr>
              <w:t>开采</w:t>
            </w:r>
            <w:r>
              <w:rPr>
                <w:rFonts w:ascii="Times New Roman" w:hAnsi="Times New Roman" w:cs="Times New Roman" w:eastAsiaTheme="minorEastAsia"/>
                <w:color w:val="auto"/>
                <w:w w:val="99"/>
                <w:sz w:val="21"/>
                <w:szCs w:val="21"/>
                <w:highlight w:val="none"/>
                <w:lang w:eastAsia="zh-CN"/>
              </w:rPr>
              <w:t>工程，本项目</w:t>
            </w:r>
            <w:r>
              <w:rPr>
                <w:rFonts w:hint="eastAsia" w:ascii="Times New Roman" w:hAnsi="Times New Roman" w:cs="Times New Roman" w:eastAsiaTheme="minorEastAsia"/>
                <w:color w:val="auto"/>
                <w:w w:val="99"/>
                <w:sz w:val="21"/>
                <w:szCs w:val="21"/>
                <w:highlight w:val="none"/>
                <w:lang w:eastAsia="zh-CN"/>
              </w:rPr>
              <w:t>不涉及</w:t>
            </w:r>
            <w:r>
              <w:rPr>
                <w:rFonts w:ascii="Times New Roman" w:hAnsi="Times New Roman" w:cs="Times New Roman" w:eastAsiaTheme="minorEastAsia"/>
                <w:color w:val="auto"/>
                <w:w w:val="99"/>
                <w:sz w:val="21"/>
                <w:szCs w:val="21"/>
                <w:highlight w:val="none"/>
                <w:lang w:eastAsia="zh-CN"/>
              </w:rPr>
              <w:t>畜禽养殖</w:t>
            </w:r>
            <w:r>
              <w:rPr>
                <w:rFonts w:hint="eastAsia" w:ascii="Times New Roman" w:hAnsi="Times New Roman" w:cs="Times New Roman" w:eastAsiaTheme="minorEastAsia"/>
                <w:color w:val="auto"/>
                <w:w w:val="99"/>
                <w:sz w:val="21"/>
                <w:szCs w:val="21"/>
                <w:highlight w:val="none"/>
                <w:lang w:eastAsia="zh-CN"/>
              </w:rPr>
              <w:t>；</w:t>
            </w:r>
          </w:p>
          <w:p w14:paraId="37E4C28B">
            <w:pPr>
              <w:pStyle w:val="2857"/>
              <w:kinsoku w:val="0"/>
              <w:autoSpaceDE w:val="0"/>
              <w:autoSpaceDN w:val="0"/>
              <w:adjustRightInd w:val="0"/>
              <w:snapToGrid w:val="0"/>
              <w:spacing w:line="360" w:lineRule="exact"/>
              <w:ind w:firstLine="414" w:firstLineChars="200"/>
              <w:jc w:val="both"/>
              <w:textAlignment w:val="baseline"/>
              <w:rPr>
                <w:rFonts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eastAsia="zh-CN"/>
              </w:rPr>
              <w:t>2.本项目基建，占地类型为永久基本农田，占地面积约2.013hm</w:t>
            </w:r>
            <w:r>
              <w:rPr>
                <w:rFonts w:hint="eastAsia" w:ascii="Times New Roman" w:hAnsi="Times New Roman" w:cs="Times New Roman" w:eastAsiaTheme="minorEastAsia"/>
                <w:color w:val="auto"/>
                <w:w w:val="99"/>
                <w:sz w:val="21"/>
                <w:szCs w:val="21"/>
                <w:highlight w:val="none"/>
                <w:vertAlign w:val="superscript"/>
                <w:lang w:eastAsia="zh-CN"/>
              </w:rPr>
              <w:t>2</w:t>
            </w:r>
            <w:r>
              <w:rPr>
                <w:rFonts w:hint="eastAsia" w:ascii="Times New Roman" w:hAnsi="Times New Roman" w:cs="Times New Roman" w:eastAsiaTheme="minorEastAsia"/>
                <w:color w:val="auto"/>
                <w:w w:val="99"/>
                <w:sz w:val="21"/>
                <w:szCs w:val="21"/>
                <w:highlight w:val="none"/>
                <w:lang w:eastAsia="zh-CN"/>
              </w:rPr>
              <w:t>，永久占地0.0901hm</w:t>
            </w:r>
            <w:r>
              <w:rPr>
                <w:rFonts w:hint="eastAsia" w:ascii="Times New Roman" w:hAnsi="Times New Roman" w:cs="Times New Roman" w:eastAsiaTheme="minorEastAsia"/>
                <w:color w:val="auto"/>
                <w:w w:val="99"/>
                <w:sz w:val="21"/>
                <w:szCs w:val="21"/>
                <w:highlight w:val="none"/>
                <w:vertAlign w:val="superscript"/>
                <w:lang w:eastAsia="zh-CN"/>
              </w:rPr>
              <w:t>2</w:t>
            </w:r>
            <w:r>
              <w:rPr>
                <w:rFonts w:hint="eastAsia" w:ascii="Times New Roman" w:hAnsi="Times New Roman" w:cs="Times New Roman" w:eastAsiaTheme="minorEastAsia"/>
                <w:color w:val="auto"/>
                <w:w w:val="99"/>
                <w:sz w:val="21"/>
                <w:szCs w:val="21"/>
                <w:highlight w:val="none"/>
                <w:lang w:eastAsia="zh-CN"/>
              </w:rPr>
              <w:t>，临时占地面积1.9229hm</w:t>
            </w:r>
            <w:r>
              <w:rPr>
                <w:rFonts w:hint="eastAsia" w:ascii="Times New Roman" w:hAnsi="Times New Roman" w:cs="Times New Roman" w:eastAsiaTheme="minorEastAsia"/>
                <w:color w:val="auto"/>
                <w:w w:val="99"/>
                <w:sz w:val="21"/>
                <w:szCs w:val="21"/>
                <w:highlight w:val="none"/>
                <w:vertAlign w:val="superscript"/>
                <w:lang w:eastAsia="zh-CN"/>
              </w:rPr>
              <w:t>2</w:t>
            </w:r>
            <w:r>
              <w:rPr>
                <w:rFonts w:hint="eastAsia" w:ascii="Times New Roman" w:hAnsi="Times New Roman" w:cs="Times New Roman" w:eastAsiaTheme="minorEastAsia"/>
                <w:color w:val="auto"/>
                <w:w w:val="99"/>
                <w:sz w:val="21"/>
                <w:szCs w:val="21"/>
                <w:highlight w:val="none"/>
                <w:lang w:eastAsia="zh-CN"/>
              </w:rPr>
              <w:t>，</w:t>
            </w:r>
            <w:r>
              <w:rPr>
                <w:rFonts w:ascii="Times New Roman" w:hAnsi="Times New Roman" w:cs="Times New Roman" w:eastAsiaTheme="minorEastAsia"/>
                <w:color w:val="auto"/>
                <w:w w:val="99"/>
                <w:sz w:val="21"/>
                <w:szCs w:val="21"/>
                <w:highlight w:val="none"/>
                <w:lang w:eastAsia="zh-CN"/>
              </w:rPr>
              <w:t>占地严格按照规范控制占地面积，占用基本农田均按照规定进行经济补偿，临时占用基本农田施工结束后及时恢复地表地貌，由农户自行复耕，不会对生态功能造成损害。</w:t>
            </w:r>
          </w:p>
          <w:p w14:paraId="5E082FE7">
            <w:pPr>
              <w:pStyle w:val="2857"/>
              <w:kinsoku w:val="0"/>
              <w:autoSpaceDE w:val="0"/>
              <w:autoSpaceDN w:val="0"/>
              <w:adjustRightInd w:val="0"/>
              <w:snapToGrid w:val="0"/>
              <w:spacing w:line="360" w:lineRule="exact"/>
              <w:ind w:firstLine="414" w:firstLineChars="200"/>
              <w:jc w:val="both"/>
              <w:textAlignment w:val="baseline"/>
              <w:rPr>
                <w:rFonts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eastAsia="zh-CN"/>
              </w:rPr>
              <w:t>3.项目不涉及</w:t>
            </w:r>
            <w:r>
              <w:rPr>
                <w:rFonts w:ascii="Times New Roman" w:hAnsi="Times New Roman" w:cs="Times New Roman" w:eastAsiaTheme="minorEastAsia"/>
                <w:color w:val="auto"/>
                <w:w w:val="99"/>
                <w:sz w:val="21"/>
                <w:szCs w:val="21"/>
                <w:highlight w:val="none"/>
                <w:lang w:eastAsia="zh-CN"/>
              </w:rPr>
              <w:t>大气环境布局敏感重点管控区</w:t>
            </w:r>
            <w:r>
              <w:rPr>
                <w:rFonts w:hint="eastAsia" w:ascii="Times New Roman" w:hAnsi="Times New Roman" w:cs="Times New Roman" w:eastAsiaTheme="minorEastAsia"/>
                <w:color w:val="auto"/>
                <w:w w:val="99"/>
                <w:sz w:val="21"/>
                <w:szCs w:val="21"/>
                <w:highlight w:val="none"/>
                <w:lang w:eastAsia="zh-CN"/>
              </w:rPr>
              <w:t>。</w:t>
            </w:r>
          </w:p>
          <w:p w14:paraId="7B228FD9">
            <w:pPr>
              <w:widowControl w:val="0"/>
              <w:spacing w:line="360" w:lineRule="exact"/>
              <w:ind w:firstLine="414" w:firstLineChars="200"/>
              <w:jc w:val="both"/>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4.项目不涉及燃煤锅炉。</w:t>
            </w:r>
          </w:p>
        </w:tc>
        <w:tc>
          <w:tcPr>
            <w:tcW w:w="463" w:type="pct"/>
            <w:vAlign w:val="center"/>
          </w:tcPr>
          <w:p w14:paraId="77F57D5A">
            <w:pPr>
              <w:widowControl w:val="0"/>
              <w:spacing w:line="360" w:lineRule="exact"/>
              <w:jc w:val="center"/>
              <w:rPr>
                <w:rFonts w:ascii="Times New Roman" w:hAnsi="Times New Roman" w:cs="Times New Roman" w:eastAsiaTheme="minorEastAsia"/>
                <w:color w:val="auto"/>
                <w:w w:val="99"/>
                <w:sz w:val="21"/>
                <w:szCs w:val="21"/>
                <w:highlight w:val="none"/>
              </w:rPr>
            </w:pPr>
          </w:p>
          <w:p w14:paraId="1FD6D9E9">
            <w:pPr>
              <w:pStyle w:val="51"/>
              <w:spacing w:line="360" w:lineRule="exact"/>
              <w:jc w:val="center"/>
              <w:rPr>
                <w:color w:val="auto"/>
                <w:highlight w:val="none"/>
              </w:rPr>
            </w:pPr>
            <w:r>
              <w:rPr>
                <w:rFonts w:hint="eastAsia" w:ascii="Times New Roman" w:hAnsi="Times New Roman" w:eastAsiaTheme="minorEastAsia"/>
                <w:color w:val="auto"/>
                <w:w w:val="99"/>
                <w:kern w:val="0"/>
                <w:sz w:val="21"/>
                <w:szCs w:val="21"/>
                <w:highlight w:val="none"/>
              </w:rPr>
              <w:t>符合</w:t>
            </w:r>
          </w:p>
        </w:tc>
      </w:tr>
      <w:tr w14:paraId="649B7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0" w:type="pct"/>
            <w:vAlign w:val="center"/>
          </w:tcPr>
          <w:p w14:paraId="15E48DD4">
            <w:pPr>
              <w:spacing w:line="360" w:lineRule="exact"/>
              <w:jc w:val="center"/>
              <w:rPr>
                <w:rFonts w:ascii="Times New Roman" w:hAnsi="Times New Roman" w:cs="Times New Roman" w:eastAsiaTheme="minorEastAsia"/>
                <w:color w:val="auto"/>
                <w:w w:val="99"/>
                <w:sz w:val="21"/>
                <w:szCs w:val="21"/>
                <w:highlight w:val="none"/>
              </w:rPr>
            </w:pPr>
          </w:p>
        </w:tc>
        <w:tc>
          <w:tcPr>
            <w:tcW w:w="404" w:type="pct"/>
          </w:tcPr>
          <w:p w14:paraId="7C21B289">
            <w:pPr>
              <w:spacing w:line="360" w:lineRule="exact"/>
              <w:jc w:val="center"/>
              <w:rPr>
                <w:rFonts w:ascii="Times New Roman" w:hAnsi="Times New Roman" w:cs="Times New Roman" w:eastAsiaTheme="minorEastAsia"/>
                <w:color w:val="auto"/>
                <w:w w:val="99"/>
                <w:sz w:val="21"/>
                <w:szCs w:val="21"/>
                <w:highlight w:val="none"/>
              </w:rPr>
            </w:pPr>
          </w:p>
        </w:tc>
        <w:tc>
          <w:tcPr>
            <w:tcW w:w="280" w:type="pct"/>
          </w:tcPr>
          <w:p w14:paraId="33CB3EA3">
            <w:pPr>
              <w:spacing w:line="360" w:lineRule="exact"/>
              <w:jc w:val="center"/>
              <w:rPr>
                <w:rFonts w:ascii="Times New Roman" w:hAnsi="Times New Roman" w:cs="Times New Roman" w:eastAsiaTheme="minorEastAsia"/>
                <w:color w:val="auto"/>
                <w:w w:val="99"/>
                <w:sz w:val="21"/>
                <w:szCs w:val="21"/>
                <w:highlight w:val="none"/>
              </w:rPr>
            </w:pPr>
          </w:p>
        </w:tc>
        <w:tc>
          <w:tcPr>
            <w:tcW w:w="243" w:type="pct"/>
          </w:tcPr>
          <w:p w14:paraId="172EB947">
            <w:pPr>
              <w:pStyle w:val="2857"/>
              <w:kinsoku w:val="0"/>
              <w:autoSpaceDE w:val="0"/>
              <w:autoSpaceDN w:val="0"/>
              <w:adjustRightInd w:val="0"/>
              <w:snapToGrid w:val="0"/>
              <w:spacing w:line="360" w:lineRule="exact"/>
              <w:jc w:val="center"/>
              <w:textAlignment w:val="baseline"/>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污染物排放管控</w:t>
            </w:r>
          </w:p>
          <w:p w14:paraId="768685E6">
            <w:pPr>
              <w:pStyle w:val="2857"/>
              <w:kinsoku w:val="0"/>
              <w:autoSpaceDE w:val="0"/>
              <w:autoSpaceDN w:val="0"/>
              <w:adjustRightInd w:val="0"/>
              <w:snapToGrid w:val="0"/>
              <w:spacing w:line="360" w:lineRule="exact"/>
              <w:jc w:val="center"/>
              <w:textAlignment w:val="baseline"/>
              <w:rPr>
                <w:rFonts w:ascii="Times New Roman" w:hAnsi="Times New Roman" w:cs="Times New Roman" w:eastAsiaTheme="minorEastAsia"/>
                <w:color w:val="auto"/>
                <w:w w:val="99"/>
                <w:sz w:val="21"/>
                <w:szCs w:val="21"/>
                <w:highlight w:val="none"/>
                <w:lang w:eastAsia="zh-CN"/>
              </w:rPr>
            </w:pPr>
          </w:p>
        </w:tc>
        <w:tc>
          <w:tcPr>
            <w:tcW w:w="1449" w:type="pct"/>
          </w:tcPr>
          <w:p w14:paraId="21CBAFBC">
            <w:pPr>
              <w:kinsoku w:val="0"/>
              <w:autoSpaceDE w:val="0"/>
              <w:autoSpaceDN w:val="0"/>
              <w:adjustRightInd w:val="0"/>
              <w:snapToGrid w:val="0"/>
              <w:spacing w:line="360" w:lineRule="exact"/>
              <w:jc w:val="center"/>
              <w:textAlignment w:val="baseline"/>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执行1）支持规模化畜禽养殖场（小区）开展标准化改造和建设，提高畜禽粪污收集和处理机械化水平，实施雨污分流、粪污资源化利用，控制畜禽养殖污染排放。（2）畜禽养殖户应当及时对畜禽粪便、污水进行收集、贮存、清运，或者进行无害化处理。县级人民政府应当组织对本行政区域的畜禽散养密集区畜禽粪便、污水进行集中处理利用，督促乡镇人民政府建设或者配备污染防治配套设施。（3）全面加强农业面源污染防控，科学合理使用农业投入品，提高使用效率，减少农业内源性污染。2.大气环境布局敏感重点管控区同时执行（1）对以煤、石焦油、渣油、重油等为燃料的锅炉和工业炉窑，加快使用清洁低碳能源以及工厂余热、电力热力等进行替代。（3）到2025年，在用65蒸吨/小时以上的燃煤锅炉（含电力）实现超低排放，钢铁企业基本实现超低排放。</w:t>
            </w:r>
          </w:p>
        </w:tc>
        <w:tc>
          <w:tcPr>
            <w:tcW w:w="1817" w:type="pct"/>
            <w:vMerge w:val="continue"/>
            <w:vAlign w:val="center"/>
          </w:tcPr>
          <w:p w14:paraId="1E21776C">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463" w:type="pct"/>
            <w:vAlign w:val="center"/>
          </w:tcPr>
          <w:p w14:paraId="04EF1F96">
            <w:pPr>
              <w:pStyle w:val="51"/>
              <w:spacing w:line="360" w:lineRule="exact"/>
              <w:jc w:val="center"/>
              <w:rPr>
                <w:color w:val="auto"/>
                <w:highlight w:val="none"/>
              </w:rPr>
            </w:pPr>
            <w:r>
              <w:rPr>
                <w:rFonts w:hint="eastAsia" w:ascii="Times New Roman" w:hAnsi="Times New Roman" w:eastAsiaTheme="minorEastAsia"/>
                <w:color w:val="auto"/>
                <w:w w:val="99"/>
                <w:kern w:val="0"/>
                <w:sz w:val="21"/>
                <w:szCs w:val="21"/>
                <w:highlight w:val="none"/>
              </w:rPr>
              <w:t>符合</w:t>
            </w:r>
          </w:p>
        </w:tc>
      </w:tr>
      <w:tr w14:paraId="2C6EE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0" w:type="pct"/>
            <w:vAlign w:val="center"/>
          </w:tcPr>
          <w:p w14:paraId="3C2C960A">
            <w:pPr>
              <w:spacing w:line="360" w:lineRule="exact"/>
              <w:jc w:val="center"/>
              <w:rPr>
                <w:rFonts w:ascii="Times New Roman" w:hAnsi="Times New Roman" w:cs="Times New Roman" w:eastAsiaTheme="minorEastAsia"/>
                <w:color w:val="auto"/>
                <w:w w:val="99"/>
                <w:sz w:val="21"/>
                <w:szCs w:val="21"/>
                <w:highlight w:val="none"/>
              </w:rPr>
            </w:pPr>
          </w:p>
        </w:tc>
        <w:tc>
          <w:tcPr>
            <w:tcW w:w="404" w:type="pct"/>
          </w:tcPr>
          <w:p w14:paraId="1584D53A">
            <w:pPr>
              <w:spacing w:line="360" w:lineRule="exact"/>
              <w:jc w:val="center"/>
              <w:rPr>
                <w:rFonts w:ascii="Times New Roman" w:hAnsi="Times New Roman" w:cs="Times New Roman" w:eastAsiaTheme="minorEastAsia"/>
                <w:color w:val="auto"/>
                <w:w w:val="99"/>
                <w:sz w:val="21"/>
                <w:szCs w:val="21"/>
                <w:highlight w:val="none"/>
              </w:rPr>
            </w:pPr>
          </w:p>
        </w:tc>
        <w:tc>
          <w:tcPr>
            <w:tcW w:w="280" w:type="pct"/>
          </w:tcPr>
          <w:p w14:paraId="23F4D283">
            <w:pPr>
              <w:spacing w:line="360" w:lineRule="exact"/>
              <w:jc w:val="center"/>
              <w:rPr>
                <w:rFonts w:ascii="Times New Roman" w:hAnsi="Times New Roman" w:cs="Times New Roman" w:eastAsiaTheme="minorEastAsia"/>
                <w:color w:val="auto"/>
                <w:w w:val="99"/>
                <w:sz w:val="21"/>
                <w:szCs w:val="21"/>
                <w:highlight w:val="none"/>
              </w:rPr>
            </w:pPr>
          </w:p>
        </w:tc>
        <w:tc>
          <w:tcPr>
            <w:tcW w:w="243" w:type="pct"/>
          </w:tcPr>
          <w:p w14:paraId="023CA72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环境风险防控</w:t>
            </w:r>
          </w:p>
          <w:p w14:paraId="6BE592E1">
            <w:pPr>
              <w:spacing w:line="360" w:lineRule="exact"/>
              <w:jc w:val="center"/>
              <w:rPr>
                <w:rFonts w:ascii="Times New Roman" w:hAnsi="Times New Roman" w:cs="Times New Roman" w:eastAsiaTheme="minorEastAsia"/>
                <w:color w:val="auto"/>
                <w:w w:val="99"/>
                <w:sz w:val="21"/>
                <w:szCs w:val="21"/>
                <w:highlight w:val="none"/>
              </w:rPr>
            </w:pPr>
          </w:p>
        </w:tc>
        <w:tc>
          <w:tcPr>
            <w:tcW w:w="1449" w:type="pct"/>
          </w:tcPr>
          <w:p w14:paraId="6140AA6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大气环境布局敏感重点管控区同时执行禁止在居民区、学校、医疗和养老机构等周边新建有色金属冶炼、焦化等行业企业。</w:t>
            </w:r>
          </w:p>
        </w:tc>
        <w:tc>
          <w:tcPr>
            <w:tcW w:w="1817" w:type="pct"/>
          </w:tcPr>
          <w:p w14:paraId="08D68BD6">
            <w:pPr>
              <w:pStyle w:val="2857"/>
              <w:kinsoku w:val="0"/>
              <w:autoSpaceDE w:val="0"/>
              <w:autoSpaceDN w:val="0"/>
              <w:adjustRightInd w:val="0"/>
              <w:snapToGrid w:val="0"/>
              <w:spacing w:line="360" w:lineRule="exact"/>
              <w:ind w:firstLine="414" w:firstLineChars="200"/>
              <w:jc w:val="both"/>
              <w:textAlignment w:val="baseline"/>
              <w:rPr>
                <w:rFonts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eastAsia="zh-CN"/>
              </w:rPr>
              <w:t>本项目属于天然气开采项目，不属于</w:t>
            </w:r>
            <w:r>
              <w:rPr>
                <w:rFonts w:ascii="Times New Roman" w:hAnsi="Times New Roman" w:cs="Times New Roman" w:eastAsiaTheme="minorEastAsia"/>
                <w:color w:val="auto"/>
                <w:w w:val="99"/>
                <w:sz w:val="21"/>
                <w:szCs w:val="21"/>
                <w:highlight w:val="none"/>
                <w:lang w:eastAsia="zh-CN"/>
              </w:rPr>
              <w:t>有色金属冶炼、焦化等行业企业</w:t>
            </w:r>
            <w:r>
              <w:rPr>
                <w:rFonts w:hint="eastAsia" w:ascii="Times New Roman" w:hAnsi="Times New Roman" w:cs="Times New Roman" w:eastAsiaTheme="minorEastAsia"/>
                <w:color w:val="auto"/>
                <w:w w:val="99"/>
                <w:sz w:val="21"/>
                <w:szCs w:val="21"/>
                <w:highlight w:val="none"/>
                <w:lang w:eastAsia="zh-CN"/>
              </w:rPr>
              <w:t>。</w:t>
            </w:r>
          </w:p>
        </w:tc>
        <w:tc>
          <w:tcPr>
            <w:tcW w:w="463" w:type="pct"/>
            <w:vAlign w:val="center"/>
          </w:tcPr>
          <w:p w14:paraId="29BF56BA">
            <w:pPr>
              <w:pStyle w:val="51"/>
              <w:spacing w:line="360" w:lineRule="exact"/>
              <w:jc w:val="center"/>
              <w:rPr>
                <w:color w:val="auto"/>
                <w:highlight w:val="none"/>
              </w:rPr>
            </w:pPr>
            <w:r>
              <w:rPr>
                <w:rFonts w:hint="eastAsia" w:ascii="Times New Roman" w:hAnsi="Times New Roman" w:eastAsiaTheme="minorEastAsia"/>
                <w:color w:val="auto"/>
                <w:w w:val="99"/>
                <w:kern w:val="0"/>
                <w:sz w:val="21"/>
                <w:szCs w:val="21"/>
                <w:highlight w:val="none"/>
              </w:rPr>
              <w:t>符合</w:t>
            </w:r>
          </w:p>
        </w:tc>
      </w:tr>
      <w:tr w14:paraId="6C432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0" w:type="pct"/>
            <w:vAlign w:val="center"/>
          </w:tcPr>
          <w:p w14:paraId="36169FD6">
            <w:pPr>
              <w:spacing w:line="360" w:lineRule="exact"/>
              <w:jc w:val="center"/>
              <w:rPr>
                <w:rFonts w:ascii="Times New Roman" w:hAnsi="Times New Roman" w:cs="Times New Roman" w:eastAsiaTheme="minorEastAsia"/>
                <w:color w:val="auto"/>
                <w:w w:val="99"/>
                <w:sz w:val="21"/>
                <w:szCs w:val="21"/>
                <w:highlight w:val="none"/>
              </w:rPr>
            </w:pPr>
          </w:p>
        </w:tc>
        <w:tc>
          <w:tcPr>
            <w:tcW w:w="404" w:type="pct"/>
          </w:tcPr>
          <w:p w14:paraId="1CFEB2C8">
            <w:pPr>
              <w:spacing w:line="360" w:lineRule="exact"/>
              <w:jc w:val="center"/>
              <w:rPr>
                <w:rFonts w:ascii="Times New Roman" w:hAnsi="Times New Roman" w:cs="Times New Roman" w:eastAsiaTheme="minorEastAsia"/>
                <w:color w:val="auto"/>
                <w:w w:val="99"/>
                <w:sz w:val="21"/>
                <w:szCs w:val="21"/>
                <w:highlight w:val="none"/>
              </w:rPr>
            </w:pPr>
          </w:p>
        </w:tc>
        <w:tc>
          <w:tcPr>
            <w:tcW w:w="280" w:type="pct"/>
          </w:tcPr>
          <w:p w14:paraId="721D548E">
            <w:pPr>
              <w:spacing w:line="360" w:lineRule="exact"/>
              <w:jc w:val="center"/>
              <w:rPr>
                <w:rFonts w:ascii="Times New Roman" w:hAnsi="Times New Roman" w:cs="Times New Roman" w:eastAsiaTheme="minorEastAsia"/>
                <w:color w:val="auto"/>
                <w:w w:val="99"/>
                <w:sz w:val="21"/>
                <w:szCs w:val="21"/>
                <w:highlight w:val="none"/>
              </w:rPr>
            </w:pPr>
          </w:p>
        </w:tc>
        <w:tc>
          <w:tcPr>
            <w:tcW w:w="243" w:type="pct"/>
          </w:tcPr>
          <w:p w14:paraId="6A41CABD">
            <w:pPr>
              <w:pStyle w:val="2857"/>
              <w:kinsoku w:val="0"/>
              <w:autoSpaceDE w:val="0"/>
              <w:autoSpaceDN w:val="0"/>
              <w:adjustRightInd w:val="0"/>
              <w:snapToGrid w:val="0"/>
              <w:spacing w:line="360" w:lineRule="exact"/>
              <w:jc w:val="center"/>
              <w:textAlignment w:val="baseline"/>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资源利用效率要求</w:t>
            </w:r>
          </w:p>
        </w:tc>
        <w:tc>
          <w:tcPr>
            <w:tcW w:w="1449" w:type="pct"/>
          </w:tcPr>
          <w:p w14:paraId="790B97F0">
            <w:pPr>
              <w:kinsoku w:val="0"/>
              <w:autoSpaceDE w:val="0"/>
              <w:autoSpaceDN w:val="0"/>
              <w:adjustRightInd w:val="0"/>
              <w:snapToGrid w:val="0"/>
              <w:spacing w:line="360" w:lineRule="exact"/>
              <w:jc w:val="center"/>
              <w:textAlignment w:val="baseline"/>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高污染燃料禁燃区同时执行1.在禁燃区内，禁止销售、燃用高污染燃料；禁止新建、扩建燃用高污染燃料的设施，已建成的，应当在城市人民政府规定的期限内改用天然气、页岩气、液化石油气、电或者其他清洁能源。2.城市建设应当统筹规划，在燃煤供热地区，推进热电联产和集中供热。在集中供热管网覆盖地区，禁止新建、扩建分散燃煤供热锅炉；已建成的不能达标排放的燃煤供热锅炉，应当在城市人民政府规定的期限内拆除。</w:t>
            </w:r>
          </w:p>
        </w:tc>
        <w:tc>
          <w:tcPr>
            <w:tcW w:w="1817" w:type="pct"/>
          </w:tcPr>
          <w:p w14:paraId="4CD0C5E0">
            <w:pPr>
              <w:pStyle w:val="2857"/>
              <w:numPr>
                <w:ilvl w:val="0"/>
                <w:numId w:val="8"/>
              </w:numPr>
              <w:kinsoku w:val="0"/>
              <w:autoSpaceDE w:val="0"/>
              <w:autoSpaceDN w:val="0"/>
              <w:adjustRightInd w:val="0"/>
              <w:snapToGrid w:val="0"/>
              <w:spacing w:line="360" w:lineRule="exact"/>
              <w:ind w:firstLine="414" w:firstLineChars="200"/>
              <w:jc w:val="both"/>
              <w:textAlignment w:val="baseline"/>
              <w:rPr>
                <w:rFonts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eastAsia="zh-CN"/>
              </w:rPr>
              <w:t>项目位于绥化市肇东市跃进乡境内，不属于</w:t>
            </w:r>
            <w:r>
              <w:rPr>
                <w:rFonts w:ascii="Times New Roman" w:hAnsi="Times New Roman" w:cs="Times New Roman" w:eastAsiaTheme="minorEastAsia"/>
                <w:color w:val="auto"/>
                <w:w w:val="99"/>
                <w:sz w:val="21"/>
                <w:szCs w:val="21"/>
                <w:highlight w:val="none"/>
                <w:lang w:eastAsia="zh-CN"/>
              </w:rPr>
              <w:t>高污染燃料禁燃区</w:t>
            </w:r>
            <w:r>
              <w:rPr>
                <w:rFonts w:hint="eastAsia" w:ascii="Times New Roman" w:hAnsi="Times New Roman" w:cs="Times New Roman" w:eastAsiaTheme="minorEastAsia"/>
                <w:color w:val="auto"/>
                <w:w w:val="99"/>
                <w:sz w:val="21"/>
                <w:szCs w:val="21"/>
                <w:highlight w:val="none"/>
                <w:lang w:eastAsia="zh-CN"/>
              </w:rPr>
              <w:t>；</w:t>
            </w:r>
          </w:p>
          <w:p w14:paraId="00440D9A">
            <w:pPr>
              <w:pStyle w:val="2857"/>
              <w:numPr>
                <w:ilvl w:val="0"/>
                <w:numId w:val="8"/>
              </w:numPr>
              <w:kinsoku w:val="0"/>
              <w:autoSpaceDE w:val="0"/>
              <w:autoSpaceDN w:val="0"/>
              <w:adjustRightInd w:val="0"/>
              <w:snapToGrid w:val="0"/>
              <w:spacing w:line="360" w:lineRule="exact"/>
              <w:ind w:firstLine="414" w:firstLineChars="200"/>
              <w:jc w:val="both"/>
              <w:textAlignment w:val="baseline"/>
              <w:rPr>
                <w:rFonts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eastAsia="zh-CN"/>
              </w:rPr>
              <w:t>项目不涉及燃煤供热锅炉。</w:t>
            </w:r>
          </w:p>
        </w:tc>
        <w:tc>
          <w:tcPr>
            <w:tcW w:w="463" w:type="pct"/>
            <w:vAlign w:val="center"/>
          </w:tcPr>
          <w:p w14:paraId="4DCA7DA6">
            <w:pPr>
              <w:pStyle w:val="51"/>
              <w:spacing w:line="360" w:lineRule="exact"/>
              <w:jc w:val="center"/>
              <w:rPr>
                <w:color w:val="auto"/>
                <w:highlight w:val="none"/>
              </w:rPr>
            </w:pPr>
            <w:r>
              <w:rPr>
                <w:rFonts w:hint="eastAsia" w:ascii="Times New Roman" w:hAnsi="Times New Roman" w:eastAsiaTheme="minorEastAsia"/>
                <w:color w:val="auto"/>
                <w:w w:val="99"/>
                <w:kern w:val="0"/>
                <w:sz w:val="21"/>
                <w:szCs w:val="21"/>
                <w:highlight w:val="none"/>
              </w:rPr>
              <w:t>符合</w:t>
            </w:r>
          </w:p>
        </w:tc>
      </w:tr>
    </w:tbl>
    <w:p w14:paraId="6709DE1A">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根据上表分析，本项目符合《</w:t>
      </w:r>
      <w:r>
        <w:rPr>
          <w:rFonts w:hint="eastAsia" w:ascii="Times New Roman" w:hAnsi="Times New Roman" w:cs="Times New Roman"/>
          <w:color w:val="auto"/>
          <w:w w:val="99"/>
          <w:kern w:val="2"/>
          <w:highlight w:val="none"/>
        </w:rPr>
        <w:t>绥化</w:t>
      </w:r>
      <w:r>
        <w:rPr>
          <w:rFonts w:ascii="Times New Roman" w:hAnsi="Times New Roman" w:cs="Times New Roman"/>
          <w:color w:val="auto"/>
          <w:w w:val="99"/>
          <w:kern w:val="2"/>
          <w:highlight w:val="none"/>
        </w:rPr>
        <w:t>市生态环境准入清单（2023年版）》中生态环境准入清单要求。</w:t>
      </w:r>
    </w:p>
    <w:p w14:paraId="009A6D61">
      <w:pPr>
        <w:pStyle w:val="7"/>
        <w:widowControl w:val="0"/>
        <w:spacing w:before="60" w:after="60" w:line="440" w:lineRule="exact"/>
        <w:jc w:val="both"/>
        <w:rPr>
          <w:rFonts w:eastAsia="宋体"/>
          <w:b/>
          <w:color w:val="auto"/>
          <w:w w:val="99"/>
          <w:kern w:val="2"/>
          <w:sz w:val="24"/>
          <w:szCs w:val="24"/>
          <w:highlight w:val="none"/>
        </w:rPr>
      </w:pPr>
      <w:bookmarkStart w:id="133" w:name="_Toc70050131"/>
      <w:bookmarkStart w:id="134" w:name="_Toc61597177"/>
      <w:bookmarkStart w:id="135" w:name="_Toc80971333"/>
      <w:bookmarkStart w:id="136" w:name="_Toc57203207"/>
      <w:bookmarkStart w:id="137" w:name="_Toc78816416"/>
      <w:bookmarkStart w:id="138" w:name="_Toc76976199"/>
      <w:bookmarkStart w:id="139" w:name="_Toc186444232"/>
      <w:bookmarkStart w:id="140" w:name="_Toc83209428"/>
      <w:bookmarkStart w:id="141" w:name="_Toc80588211"/>
      <w:bookmarkStart w:id="142" w:name="_Toc67860084"/>
      <w:bookmarkStart w:id="143" w:name="_Toc57976632"/>
      <w:bookmarkStart w:id="144" w:name="_Toc77067615"/>
      <w:bookmarkStart w:id="145" w:name="_Toc57707877"/>
      <w:r>
        <w:rPr>
          <w:rFonts w:eastAsia="宋体"/>
          <w:b/>
          <w:color w:val="auto"/>
          <w:w w:val="99"/>
          <w:kern w:val="2"/>
          <w:sz w:val="24"/>
          <w:szCs w:val="24"/>
          <w:highlight w:val="none"/>
        </w:rPr>
        <w:t>1.4.</w:t>
      </w:r>
      <w:r>
        <w:rPr>
          <w:rFonts w:hint="eastAsia" w:eastAsia="宋体"/>
          <w:b/>
          <w:color w:val="auto"/>
          <w:w w:val="99"/>
          <w:kern w:val="2"/>
          <w:sz w:val="24"/>
          <w:szCs w:val="24"/>
          <w:highlight w:val="none"/>
        </w:rPr>
        <w:t>5</w:t>
      </w:r>
      <w:r>
        <w:rPr>
          <w:rFonts w:eastAsia="宋体"/>
          <w:b/>
          <w:color w:val="auto"/>
          <w:w w:val="99"/>
          <w:kern w:val="2"/>
          <w:sz w:val="24"/>
          <w:szCs w:val="24"/>
          <w:highlight w:val="none"/>
        </w:rPr>
        <w:t>选址选线合理性分析</w:t>
      </w:r>
      <w:bookmarkEnd w:id="133"/>
      <w:bookmarkEnd w:id="134"/>
      <w:bookmarkEnd w:id="135"/>
      <w:bookmarkEnd w:id="136"/>
      <w:bookmarkEnd w:id="137"/>
      <w:bookmarkEnd w:id="138"/>
      <w:bookmarkEnd w:id="139"/>
      <w:bookmarkEnd w:id="140"/>
      <w:bookmarkEnd w:id="141"/>
      <w:bookmarkEnd w:id="142"/>
      <w:bookmarkEnd w:id="143"/>
      <w:bookmarkEnd w:id="144"/>
      <w:bookmarkEnd w:id="145"/>
    </w:p>
    <w:p w14:paraId="3F62E539">
      <w:pPr>
        <w:pStyle w:val="105"/>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本项目选址位于</w:t>
      </w:r>
      <w:r>
        <w:rPr>
          <w:rFonts w:hint="eastAsia" w:ascii="Times New Roman" w:hAnsi="Times New Roman" w:cs="Times New Roman"/>
          <w:color w:val="auto"/>
          <w:w w:val="99"/>
          <w:szCs w:val="24"/>
          <w:highlight w:val="none"/>
        </w:rPr>
        <w:t>黑龙江省绥化市肇东市跃进乡邢家围子屯西侧300m处</w:t>
      </w:r>
      <w:r>
        <w:rPr>
          <w:rFonts w:ascii="Times New Roman" w:hAnsi="Times New Roman" w:cs="Times New Roman"/>
          <w:bCs/>
          <w:color w:val="auto"/>
          <w:w w:val="99"/>
          <w:highlight w:val="none"/>
        </w:rPr>
        <w:t>，主要建设内容包括</w:t>
      </w:r>
      <w:r>
        <w:rPr>
          <w:rFonts w:hint="eastAsia" w:ascii="Times New Roman" w:hAnsi="Times New Roman" w:cs="Times New Roman"/>
          <w:bCs/>
          <w:color w:val="auto"/>
          <w:w w:val="99"/>
          <w:highlight w:val="none"/>
        </w:rPr>
        <w:t>地面工程</w:t>
      </w:r>
      <w:r>
        <w:rPr>
          <w:rFonts w:ascii="Times New Roman" w:hAnsi="Times New Roman" w:cs="Times New Roman"/>
          <w:bCs/>
          <w:color w:val="auto"/>
          <w:w w:val="99"/>
          <w:highlight w:val="none"/>
        </w:rPr>
        <w:t>，项目周围敏感点主要为居住区、耕地、草地。</w:t>
      </w:r>
    </w:p>
    <w:p w14:paraId="5000A462">
      <w:pPr>
        <w:pStyle w:val="105"/>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根据《黑龙江省国土空间规划（2021-2035年）》、</w:t>
      </w:r>
      <w:r>
        <w:rPr>
          <w:rFonts w:hint="eastAsia" w:ascii="Times New Roman" w:hAnsi="Times New Roman" w:cs="Times New Roman"/>
          <w:color w:val="auto"/>
          <w:w w:val="99"/>
          <w:szCs w:val="24"/>
          <w:highlight w:val="none"/>
        </w:rPr>
        <w:t>《绥化市国土空间总体规划（2021-2035年）》</w:t>
      </w:r>
      <w:r>
        <w:rPr>
          <w:rFonts w:ascii="Times New Roman" w:hAnsi="Times New Roman" w:cs="Times New Roman"/>
          <w:bCs/>
          <w:color w:val="auto"/>
          <w:w w:val="99"/>
          <w:highlight w:val="none"/>
        </w:rPr>
        <w:t>、黑龙江省生态环境分区管控数据应用平台和黑龙江省生态保护红线分布图，本项目占地范围内不涉及国家公园、自然保护区、风景名胜区、世界文化和自然遗产地、海洋特别保护区、基本草原、自然公园、重要湿地、天然林、重点保护野生动物栖息地、重点保护野生植物生长繁殖地、重要水生生物的自然产卵场、索饵场、越冬场和洄游通道、天然渔场、沙化土地封禁保护区、封闭及半封闭海域、以及以医疗卫生、文化教育、科研、行政办公为主要功能的区域、文物保护单位等环境敏感区，且项目不在生态保护红线内，项目周边分布有</w:t>
      </w:r>
      <w:r>
        <w:rPr>
          <w:rFonts w:hint="eastAsia" w:ascii="Times New Roman" w:hAnsi="Times New Roman" w:cs="Times New Roman"/>
          <w:bCs/>
          <w:color w:val="auto"/>
          <w:w w:val="99"/>
          <w:highlight w:val="none"/>
        </w:rPr>
        <w:t>邢家围子</w:t>
      </w:r>
      <w:r>
        <w:rPr>
          <w:rFonts w:ascii="Times New Roman" w:hAnsi="Times New Roman" w:cs="Times New Roman"/>
          <w:bCs/>
          <w:color w:val="auto"/>
          <w:w w:val="99"/>
          <w:highlight w:val="none"/>
        </w:rPr>
        <w:t>屯、</w:t>
      </w:r>
      <w:r>
        <w:rPr>
          <w:rFonts w:hint="eastAsia" w:ascii="Times New Roman" w:hAnsi="Times New Roman" w:cs="Times New Roman"/>
          <w:bCs/>
          <w:color w:val="auto"/>
          <w:w w:val="99"/>
          <w:highlight w:val="none"/>
        </w:rPr>
        <w:t>福龙村</w:t>
      </w:r>
      <w:r>
        <w:rPr>
          <w:rFonts w:ascii="Times New Roman" w:hAnsi="Times New Roman" w:cs="Times New Roman"/>
          <w:bCs/>
          <w:color w:val="auto"/>
          <w:w w:val="99"/>
          <w:highlight w:val="none"/>
        </w:rPr>
        <w:t>、</w:t>
      </w:r>
      <w:r>
        <w:rPr>
          <w:rFonts w:hint="eastAsia" w:ascii="Times New Roman" w:hAnsi="Times New Roman" w:cs="Times New Roman"/>
          <w:bCs/>
          <w:color w:val="auto"/>
          <w:w w:val="99"/>
          <w:highlight w:val="none"/>
        </w:rPr>
        <w:t>王家围子</w:t>
      </w:r>
      <w:r>
        <w:rPr>
          <w:rFonts w:ascii="Times New Roman" w:hAnsi="Times New Roman" w:cs="Times New Roman"/>
          <w:bCs/>
          <w:color w:val="auto"/>
          <w:w w:val="99"/>
          <w:highlight w:val="none"/>
        </w:rPr>
        <w:t>屯等居住区。项目区域周边地表水体主要为</w:t>
      </w:r>
      <w:r>
        <w:rPr>
          <w:rFonts w:hint="eastAsia" w:ascii="Times New Roman" w:hAnsi="Times New Roman" w:cs="Times New Roman"/>
          <w:bCs/>
          <w:color w:val="auto"/>
          <w:w w:val="99"/>
          <w:highlight w:val="none"/>
        </w:rPr>
        <w:t>北大干渠</w:t>
      </w:r>
      <w:r>
        <w:rPr>
          <w:rFonts w:ascii="Times New Roman" w:hAnsi="Times New Roman" w:cs="Times New Roman"/>
          <w:bCs/>
          <w:color w:val="auto"/>
          <w:w w:val="99"/>
          <w:highlight w:val="none"/>
        </w:rPr>
        <w:t>。在选址上满足</w:t>
      </w:r>
      <w:r>
        <w:rPr>
          <w:rFonts w:hint="eastAsia" w:ascii="Times New Roman" w:hAnsi="Times New Roman" w:cs="Times New Roman"/>
          <w:color w:val="auto"/>
          <w:w w:val="99"/>
          <w:szCs w:val="24"/>
          <w:highlight w:val="none"/>
        </w:rPr>
        <w:t>《绥化市国土空间总体规划（2021-2035年）》</w:t>
      </w:r>
      <w:r>
        <w:rPr>
          <w:rFonts w:ascii="Times New Roman" w:hAnsi="Times New Roman" w:cs="Times New Roman"/>
          <w:bCs/>
          <w:color w:val="auto"/>
          <w:w w:val="99"/>
          <w:highlight w:val="none"/>
        </w:rPr>
        <w:t>要求。</w:t>
      </w:r>
    </w:p>
    <w:p w14:paraId="43AF1F64">
      <w:pPr>
        <w:pStyle w:val="105"/>
        <w:spacing w:line="440" w:lineRule="exact"/>
        <w:ind w:firstLine="474" w:firstLineChars="200"/>
        <w:jc w:val="both"/>
        <w:rPr>
          <w:rFonts w:ascii="Times New Roman" w:hAnsi="Times New Roman" w:cs="Times New Roman" w:eastAsiaTheme="minorEastAsia"/>
          <w:bCs/>
          <w:iCs/>
          <w:color w:val="auto"/>
          <w:w w:val="99"/>
          <w:highlight w:val="none"/>
        </w:rPr>
      </w:pPr>
      <w:r>
        <w:rPr>
          <w:rFonts w:ascii="Times New Roman" w:hAnsi="Times New Roman" w:cs="Times New Roman" w:eastAsiaTheme="minorEastAsia"/>
          <w:bCs/>
          <w:color w:val="auto"/>
          <w:w w:val="99"/>
          <w:highlight w:val="none"/>
        </w:rPr>
        <w:t>根据《黑龙江省生态环境分区管控动态更新成果（2023年版）》及</w:t>
      </w:r>
      <w:r>
        <w:rPr>
          <w:rFonts w:hint="eastAsia" w:ascii="Times New Roman" w:hAnsi="Times New Roman" w:cs="Times New Roman"/>
          <w:color w:val="auto"/>
          <w:w w:val="99"/>
          <w:szCs w:val="24"/>
          <w:highlight w:val="none"/>
        </w:rPr>
        <w:t>《绥化市国土空间总体规划（2021-2035年）》</w:t>
      </w:r>
      <w:r>
        <w:rPr>
          <w:rFonts w:ascii="Times New Roman" w:hAnsi="Times New Roman" w:cs="Times New Roman" w:eastAsiaTheme="minorEastAsia"/>
          <w:bCs/>
          <w:color w:val="auto"/>
          <w:w w:val="99"/>
          <w:highlight w:val="none"/>
        </w:rPr>
        <w:t>中划分的环境管控单元内容，本项目</w:t>
      </w:r>
      <w:r>
        <w:rPr>
          <w:rFonts w:hint="eastAsia" w:ascii="Times New Roman" w:hAnsi="Times New Roman" w:cs="Times New Roman" w:eastAsiaTheme="minorEastAsia"/>
          <w:bCs/>
          <w:color w:val="auto"/>
          <w:w w:val="99"/>
          <w:highlight w:val="none"/>
        </w:rPr>
        <w:t>占用重点管控</w:t>
      </w:r>
      <w:r>
        <w:rPr>
          <w:rFonts w:ascii="Times New Roman" w:hAnsi="Times New Roman" w:cs="Times New Roman" w:eastAsiaTheme="minorEastAsia"/>
          <w:bCs/>
          <w:color w:val="auto"/>
          <w:w w:val="99"/>
          <w:highlight w:val="none"/>
        </w:rPr>
        <w:t>单元</w:t>
      </w:r>
      <w:r>
        <w:rPr>
          <w:rFonts w:hint="eastAsia" w:ascii="Times New Roman" w:hAnsi="Times New Roman" w:cs="Times New Roman" w:eastAsiaTheme="minorEastAsia"/>
          <w:bCs/>
          <w:color w:val="auto"/>
          <w:w w:val="99"/>
          <w:highlight w:val="none"/>
        </w:rPr>
        <w:t>。</w:t>
      </w:r>
      <w:r>
        <w:rPr>
          <w:rFonts w:ascii="Times New Roman" w:hAnsi="Times New Roman" w:cs="Times New Roman" w:eastAsiaTheme="minorEastAsia"/>
          <w:bCs/>
          <w:iCs/>
          <w:color w:val="auto"/>
          <w:w w:val="99"/>
          <w:highlight w:val="none"/>
        </w:rPr>
        <w:t>本项目不在生态保护红线内，本项目属于国家能源设施重点建设项目，不属于大规模、高强度工业建设，开工建设前依据《中华人民共和国土地管理法》（主席令〔2019〕第32号〔2019年修正本〕）、《基本农田保护条例》（国务院令第257号）等法律法规，到相关部门办理用地审批手续。同时本项目产生的污染物均可得到有效治理，可控制污染物排放；在环境风险防控方面采取加强施工管理、制定岗位操作规程并定期培训学习、实行岗位责任制，及施工单位制定可行的突发环境事件环境应急预案等措施。在施工过程中针对永久占地及临时占地，应剥离占地内的表土，施工结束后针对永久占地将剥离的表土按照“占一补一，质量相等”的要求进行易地补充耕地，针对临时占地在将剥离的表土在施工结束后分层回填，对占用农田全部恢复为等质等量面积的耕地</w:t>
      </w:r>
      <w:r>
        <w:rPr>
          <w:rFonts w:hint="eastAsia" w:ascii="Times New Roman" w:hAnsi="Times New Roman" w:cs="Times New Roman" w:eastAsiaTheme="minorEastAsia"/>
          <w:bCs/>
          <w:iCs/>
          <w:color w:val="auto"/>
          <w:w w:val="99"/>
          <w:highlight w:val="none"/>
        </w:rPr>
        <w:t>，</w:t>
      </w:r>
      <w:r>
        <w:rPr>
          <w:rFonts w:ascii="Times New Roman" w:hAnsi="Times New Roman" w:cs="Times New Roman" w:eastAsiaTheme="minorEastAsia"/>
          <w:bCs/>
          <w:iCs/>
          <w:color w:val="auto"/>
          <w:w w:val="99"/>
          <w:highlight w:val="none"/>
        </w:rPr>
        <w:t>本项目的建设不会对区域生态功能产生明显影响，对区域</w:t>
      </w:r>
      <w:r>
        <w:rPr>
          <w:rFonts w:hint="eastAsia" w:ascii="Times New Roman" w:hAnsi="Times New Roman" w:cs="Times New Roman" w:eastAsiaTheme="minorEastAsia"/>
          <w:bCs/>
          <w:iCs/>
          <w:color w:val="auto"/>
          <w:w w:val="99"/>
          <w:highlight w:val="none"/>
        </w:rPr>
        <w:t>一般管控单元的影响不大，选址可行。</w:t>
      </w:r>
    </w:p>
    <w:p w14:paraId="3054065D">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在选址和布局上根据“地下决定地上，地下顾及地上”的原则，本项目新增总占地面积为</w:t>
      </w:r>
      <w:r>
        <w:rPr>
          <w:rFonts w:hint="eastAsia" w:ascii="Times New Roman" w:hAnsi="Times New Roman"/>
          <w:color w:val="auto"/>
          <w:w w:val="99"/>
          <w:highlight w:val="none"/>
        </w:rPr>
        <w:t>2.013</w:t>
      </w:r>
      <w:r>
        <w:rPr>
          <w:rFonts w:ascii="Times New Roman" w:hAnsi="Times New Roman"/>
          <w:color w:val="auto"/>
          <w:w w:val="99"/>
          <w:highlight w:val="none"/>
        </w:rPr>
        <w:t>hm</w:t>
      </w:r>
      <w:r>
        <w:rPr>
          <w:rFonts w:ascii="Times New Roman" w:hAnsi="Times New Roman"/>
          <w:color w:val="auto"/>
          <w:w w:val="99"/>
          <w:highlight w:val="none"/>
          <w:vertAlign w:val="superscript"/>
        </w:rPr>
        <w:t>2</w:t>
      </w:r>
      <w:r>
        <w:rPr>
          <w:rFonts w:ascii="Times New Roman" w:hAnsi="Times New Roman"/>
          <w:color w:val="auto"/>
          <w:w w:val="99"/>
          <w:highlight w:val="none"/>
        </w:rPr>
        <w:t>，其中永久占地</w:t>
      </w:r>
      <w:r>
        <w:rPr>
          <w:rFonts w:hint="eastAsia" w:ascii="Times New Roman" w:hAnsi="Times New Roman"/>
          <w:color w:val="auto"/>
          <w:w w:val="99"/>
          <w:highlight w:val="none"/>
        </w:rPr>
        <w:t>0.0901</w:t>
      </w:r>
      <w:r>
        <w:rPr>
          <w:rFonts w:ascii="Times New Roman" w:hAnsi="Times New Roman"/>
          <w:color w:val="auto"/>
          <w:w w:val="99"/>
          <w:highlight w:val="none"/>
        </w:rPr>
        <w:t>hm</w:t>
      </w:r>
      <w:r>
        <w:rPr>
          <w:rFonts w:ascii="Times New Roman" w:hAnsi="Times New Roman"/>
          <w:color w:val="auto"/>
          <w:w w:val="99"/>
          <w:highlight w:val="none"/>
          <w:vertAlign w:val="superscript"/>
        </w:rPr>
        <w:t>2</w:t>
      </w:r>
      <w:r>
        <w:rPr>
          <w:rFonts w:ascii="Times New Roman" w:hAnsi="Times New Roman"/>
          <w:color w:val="auto"/>
          <w:w w:val="99"/>
          <w:highlight w:val="none"/>
        </w:rPr>
        <w:t>，临时占地</w:t>
      </w:r>
      <w:r>
        <w:rPr>
          <w:rFonts w:hint="eastAsia" w:ascii="Times New Roman" w:hAnsi="Times New Roman"/>
          <w:color w:val="auto"/>
          <w:w w:val="99"/>
          <w:highlight w:val="none"/>
        </w:rPr>
        <w:t>1.9229</w:t>
      </w:r>
      <w:r>
        <w:rPr>
          <w:rFonts w:ascii="Times New Roman" w:hAnsi="Times New Roman"/>
          <w:color w:val="auto"/>
          <w:w w:val="99"/>
          <w:highlight w:val="none"/>
        </w:rPr>
        <w:t>hm</w:t>
      </w:r>
      <w:r>
        <w:rPr>
          <w:rFonts w:ascii="Times New Roman" w:hAnsi="Times New Roman"/>
          <w:color w:val="auto"/>
          <w:w w:val="99"/>
          <w:highlight w:val="none"/>
          <w:vertAlign w:val="superscript"/>
        </w:rPr>
        <w:t>2</w:t>
      </w:r>
      <w:r>
        <w:rPr>
          <w:rFonts w:ascii="Times New Roman" w:hAnsi="Times New Roman"/>
          <w:color w:val="auto"/>
          <w:w w:val="99"/>
          <w:highlight w:val="none"/>
        </w:rPr>
        <w:t>，占地类型为耕地（永久基本农田）。根据《基本农田保护条例》</w:t>
      </w:r>
      <w:bookmarkStart w:id="146" w:name="OLE_LINK5"/>
      <w:bookmarkStart w:id="147" w:name="OLE_LINK4"/>
      <w:r>
        <w:rPr>
          <w:rFonts w:ascii="Times New Roman" w:hAnsi="Times New Roman"/>
          <w:color w:val="auto"/>
          <w:w w:val="99"/>
          <w:highlight w:val="none"/>
        </w:rPr>
        <w:t>（</w:t>
      </w:r>
      <w:r>
        <w:rPr>
          <w:rFonts w:hint="eastAsia" w:ascii="Times New Roman" w:hAnsi="Times New Roman"/>
          <w:color w:val="auto"/>
          <w:w w:val="99"/>
          <w:highlight w:val="none"/>
        </w:rPr>
        <w:t>国务院令第</w:t>
      </w:r>
      <w:r>
        <w:rPr>
          <w:rFonts w:ascii="Times New Roman" w:hAnsi="Times New Roman"/>
          <w:color w:val="auto"/>
          <w:w w:val="99"/>
          <w:highlight w:val="none"/>
        </w:rPr>
        <w:t>257号）</w:t>
      </w:r>
      <w:bookmarkEnd w:id="146"/>
      <w:bookmarkEnd w:id="147"/>
      <w:r>
        <w:rPr>
          <w:rFonts w:ascii="Times New Roman" w:hAnsi="Times New Roman"/>
          <w:color w:val="auto"/>
          <w:w w:val="99"/>
          <w:highlight w:val="none"/>
        </w:rPr>
        <w:t>，国家能源、交通、水利、军事设施等重点建设项目选址确实无法避开永久基本农田保护区，需要占用永久基本农田，涉及农用地转用或者征收土地的，应报请相关主管部门同意，并补充划入数量和质量相当的永久基本农田或按规定缴纳耕地开垦费，专款用于开垦新的耕地。</w:t>
      </w:r>
      <w:r>
        <w:rPr>
          <w:rFonts w:hint="eastAsia" w:ascii="Times New Roman" w:hAnsi="Times New Roman"/>
          <w:color w:val="auto"/>
          <w:w w:val="99"/>
          <w:highlight w:val="none"/>
        </w:rPr>
        <w:t>本项目为天然气开采项目，属于能源保障重点工程。</w:t>
      </w:r>
      <w:r>
        <w:rPr>
          <w:rFonts w:ascii="Times New Roman" w:hAnsi="Times New Roman"/>
          <w:color w:val="auto"/>
          <w:w w:val="99"/>
          <w:highlight w:val="none"/>
        </w:rPr>
        <w:t>采气井位由地下天然气藏分布、储层地质条件（埋深、厚度、渗透率）及开采工艺（直井、定向井、水平井）决定，井位需精准对准气藏富集区，无其他可替代的地质有利区域，调整井位将导致资源无法有效开采或开采效率大幅降低</w:t>
      </w:r>
      <w:r>
        <w:rPr>
          <w:rFonts w:hint="eastAsia" w:ascii="Times New Roman" w:hAnsi="Times New Roman"/>
          <w:color w:val="auto"/>
          <w:w w:val="99"/>
          <w:highlight w:val="none"/>
        </w:rPr>
        <w:t>；同时</w:t>
      </w:r>
      <w:r>
        <w:rPr>
          <w:rFonts w:ascii="Times New Roman" w:hAnsi="Times New Roman"/>
          <w:color w:val="auto"/>
          <w:w w:val="99"/>
          <w:highlight w:val="none"/>
        </w:rPr>
        <w:t>受现有钻井技术、地面集输系统布局限制，井位需与集输管线、站场形成合理衔接，无法随意偏移，偏移后将引发管线超长铺设、地形穿越难度增加、工程安全风险上升等问题，不具备技术可行性。</w:t>
      </w:r>
      <w:r>
        <w:rPr>
          <w:rFonts w:hint="eastAsia" w:ascii="Times New Roman" w:hAnsi="Times New Roman"/>
          <w:color w:val="auto"/>
          <w:w w:val="99"/>
          <w:highlight w:val="none"/>
        </w:rPr>
        <w:t>本项目外扩1.5km范围内均为永久基本农田，故</w:t>
      </w:r>
      <w:r>
        <w:rPr>
          <w:rFonts w:ascii="Times New Roman" w:hAnsi="Times New Roman"/>
          <w:color w:val="auto"/>
          <w:w w:val="99"/>
          <w:highlight w:val="none"/>
        </w:rPr>
        <w:t>本项目井位选址、管线选线确实无法避让永久基本农田</w:t>
      </w:r>
      <w:r>
        <w:rPr>
          <w:rFonts w:hint="eastAsia" w:ascii="Times New Roman" w:hAnsi="Times New Roman"/>
          <w:color w:val="auto"/>
          <w:w w:val="99"/>
          <w:highlight w:val="none"/>
        </w:rPr>
        <w:t>。</w:t>
      </w:r>
      <w:r>
        <w:rPr>
          <w:rFonts w:ascii="Times New Roman" w:hAnsi="Times New Roman"/>
          <w:color w:val="auto"/>
          <w:w w:val="99"/>
          <w:highlight w:val="none"/>
        </w:rPr>
        <w:t>本项目施工前应剥离永久占地内的表土，剥离面积</w:t>
      </w:r>
      <w:r>
        <w:rPr>
          <w:rFonts w:hint="eastAsia" w:ascii="Times New Roman" w:hAnsi="Times New Roman"/>
          <w:color w:val="auto"/>
          <w:w w:val="99"/>
          <w:highlight w:val="none"/>
        </w:rPr>
        <w:t>0.0901</w:t>
      </w:r>
      <w:r>
        <w:rPr>
          <w:rFonts w:ascii="Times New Roman" w:hAnsi="Times New Roman"/>
          <w:color w:val="auto"/>
          <w:w w:val="99"/>
          <w:highlight w:val="none"/>
        </w:rPr>
        <w:t>hm</w:t>
      </w:r>
      <w:r>
        <w:rPr>
          <w:rFonts w:ascii="Times New Roman" w:hAnsi="Times New Roman"/>
          <w:color w:val="auto"/>
          <w:w w:val="99"/>
          <w:highlight w:val="none"/>
          <w:vertAlign w:val="superscript"/>
        </w:rPr>
        <w:t>2</w:t>
      </w:r>
      <w:r>
        <w:rPr>
          <w:rFonts w:ascii="Times New Roman" w:hAnsi="Times New Roman"/>
          <w:color w:val="auto"/>
          <w:w w:val="99"/>
          <w:highlight w:val="none"/>
        </w:rPr>
        <w:t>，</w:t>
      </w:r>
      <w:r>
        <w:rPr>
          <w:rFonts w:hint="eastAsia" w:ascii="Times New Roman" w:hAnsi="Times New Roman"/>
          <w:color w:val="auto"/>
          <w:w w:val="99"/>
          <w:highlight w:val="none"/>
        </w:rPr>
        <w:t>耕地剥离厚度</w:t>
      </w:r>
      <w:r>
        <w:rPr>
          <w:rFonts w:ascii="Times New Roman" w:hAnsi="Times New Roman"/>
          <w:color w:val="auto"/>
          <w:w w:val="99"/>
          <w:highlight w:val="none"/>
        </w:rPr>
        <w:t>0.3m，剥离的表土暂存于施工井场的表土剥离临时堆放区，并采取苫布遮盖，表土剥离临时堆放区周围设置排水沟等措施防止水土流失，并定期采取洒水抑尘措施，施工结束后，剥离表土用于周围区域土地复垦、土壤治理等用途。对永久占用</w:t>
      </w:r>
      <w:r>
        <w:rPr>
          <w:rFonts w:hint="eastAsia" w:ascii="Times New Roman" w:hAnsi="Times New Roman"/>
          <w:color w:val="auto"/>
          <w:w w:val="99"/>
          <w:highlight w:val="none"/>
        </w:rPr>
        <w:t>0.0901</w:t>
      </w:r>
      <w:r>
        <w:rPr>
          <w:rFonts w:ascii="Times New Roman" w:hAnsi="Times New Roman"/>
          <w:color w:val="auto"/>
          <w:w w:val="99"/>
          <w:highlight w:val="none"/>
        </w:rPr>
        <w:t>hm</w:t>
      </w:r>
      <w:r>
        <w:rPr>
          <w:rFonts w:ascii="Times New Roman" w:hAnsi="Times New Roman"/>
          <w:color w:val="auto"/>
          <w:w w:val="99"/>
          <w:highlight w:val="none"/>
          <w:vertAlign w:val="superscript"/>
        </w:rPr>
        <w:t>2</w:t>
      </w:r>
      <w:r>
        <w:rPr>
          <w:rFonts w:ascii="Times New Roman" w:hAnsi="Times New Roman"/>
          <w:color w:val="auto"/>
          <w:w w:val="99"/>
          <w:highlight w:val="none"/>
        </w:rPr>
        <w:t>耕地（永久基本农田），按照“占一补一”原则进行占补平衡，由建设单位负责开垦与所占用耕地的数量和质量相当的耕地；如果没有条件开垦时，应当按照黑龙江省的规定缴纳耕地开垦费，专款用于开垦新的耕地。永久占用耕地的耕作层土壤集中堆放在施工井场或场站置土带区域，施工结束后用于周围区域土地复垦、土壤治理等用途。对于</w:t>
      </w:r>
      <w:r>
        <w:rPr>
          <w:rFonts w:hint="eastAsia" w:ascii="Times New Roman" w:hAnsi="Times New Roman"/>
          <w:color w:val="auto"/>
          <w:w w:val="99"/>
          <w:highlight w:val="none"/>
        </w:rPr>
        <w:t>1.9229</w:t>
      </w:r>
      <w:r>
        <w:rPr>
          <w:rFonts w:ascii="Times New Roman" w:hAnsi="Times New Roman"/>
          <w:color w:val="auto"/>
          <w:w w:val="99"/>
          <w:highlight w:val="none"/>
        </w:rPr>
        <w:t>hm</w:t>
      </w:r>
      <w:r>
        <w:rPr>
          <w:rFonts w:ascii="Times New Roman" w:hAnsi="Times New Roman"/>
          <w:color w:val="auto"/>
          <w:w w:val="99"/>
          <w:highlight w:val="none"/>
          <w:vertAlign w:val="superscript"/>
        </w:rPr>
        <w:t>2</w:t>
      </w:r>
      <w:r>
        <w:rPr>
          <w:rFonts w:ascii="Times New Roman" w:hAnsi="Times New Roman"/>
          <w:color w:val="auto"/>
          <w:w w:val="99"/>
          <w:highlight w:val="none"/>
        </w:rPr>
        <w:t>临时占地，施工前应剥离占地内的表土，</w:t>
      </w:r>
      <w:r>
        <w:rPr>
          <w:rFonts w:hint="eastAsia" w:ascii="Times New Roman" w:hAnsi="Times New Roman"/>
          <w:color w:val="auto"/>
          <w:w w:val="99"/>
          <w:highlight w:val="none"/>
        </w:rPr>
        <w:t>耕地剥离厚度</w:t>
      </w:r>
      <w:r>
        <w:rPr>
          <w:rFonts w:ascii="Times New Roman" w:hAnsi="Times New Roman"/>
          <w:color w:val="auto"/>
          <w:w w:val="99"/>
          <w:highlight w:val="none"/>
        </w:rPr>
        <w:t>0.3m，采用分层开挖，分层堆放，暂存于占地内的表土剥离临时堆放区（井场施工临时占地剥离表土暂存于井场内表土剥离临时堆放区，管线施工临时占地剥离表土暂存于管线一侧的表土剥离临时堆放区），并采取苫布遮盖，表土剥离临时堆放区周围设置排水沟等措施防止水土流失，并定期采取洒水抑尘措施，剥离的表土在施工结束后分层回填，及时恢复地表植被，并采取补播措施，对占用农田全部恢复为等质等量面积的耕地，对占用的草地进行植被恢复，采取以上措施，满足占用耕地及草地的选址要求。</w:t>
      </w:r>
    </w:p>
    <w:p w14:paraId="2284D8C1">
      <w:pPr>
        <w:pStyle w:val="153"/>
        <w:widowControl w:val="0"/>
        <w:spacing w:line="440" w:lineRule="exact"/>
        <w:ind w:firstLine="473"/>
        <w:jc w:val="both"/>
        <w:rPr>
          <w:rFonts w:ascii="Times New Roman" w:hAnsi="Times New Roman"/>
          <w:bCs/>
          <w:color w:val="auto"/>
          <w:w w:val="99"/>
          <w:highlight w:val="none"/>
        </w:rPr>
      </w:pPr>
      <w:r>
        <w:rPr>
          <w:rFonts w:ascii="Times New Roman" w:hAnsi="Times New Roman"/>
          <w:color w:val="auto"/>
          <w:w w:val="99"/>
          <w:highlight w:val="none"/>
        </w:rPr>
        <w:t>在新建管线选线方面，本项目管线已尽可能沿道路走向设计，已尽量沿最短路线且避开居民区等环境敏感点进行设计，以避免施工活动对土地和地表植被的扰动；管线</w:t>
      </w:r>
      <w:r>
        <w:rPr>
          <w:rFonts w:ascii="Times New Roman" w:hAnsi="Times New Roman"/>
          <w:bCs/>
          <w:color w:val="auto"/>
          <w:w w:val="99"/>
          <w:highlight w:val="none"/>
        </w:rPr>
        <w:t>穿越尽量选择顶管穿越，不对公路进行破坏，同时顶管穿越作业坑占地位于管道施工作业带内，减少了占地，做到了优化施工区域。同时管线选线满足</w:t>
      </w:r>
      <w:r>
        <w:rPr>
          <w:rFonts w:hint="eastAsia" w:ascii="Times New Roman" w:hAnsi="Times New Roman"/>
          <w:bCs/>
          <w:color w:val="auto"/>
          <w:w w:val="99"/>
          <w:highlight w:val="none"/>
        </w:rPr>
        <w:t>相关标准</w:t>
      </w:r>
      <w:r>
        <w:rPr>
          <w:rFonts w:ascii="Times New Roman" w:hAnsi="Times New Roman"/>
          <w:bCs/>
          <w:color w:val="auto"/>
          <w:w w:val="99"/>
          <w:highlight w:val="none"/>
        </w:rPr>
        <w:t>中与居民区、村镇、公共福利设施、工矿企业等防火距离要求。</w:t>
      </w:r>
    </w:p>
    <w:p w14:paraId="5D7C3C14">
      <w:pPr>
        <w:pStyle w:val="105"/>
        <w:spacing w:line="440" w:lineRule="exact"/>
        <w:ind w:firstLine="474" w:firstLineChars="200"/>
        <w:jc w:val="both"/>
        <w:rPr>
          <w:rFonts w:ascii="Times New Roman" w:hAnsi="Times New Roman" w:cs="Times New Roman"/>
          <w:bCs/>
          <w:color w:val="auto"/>
          <w:w w:val="99"/>
          <w:highlight w:val="none"/>
        </w:rPr>
      </w:pPr>
      <w:r>
        <w:rPr>
          <w:rFonts w:hint="eastAsia" w:ascii="Times New Roman" w:hAnsi="Times New Roman" w:cs="Times New Roman"/>
          <w:bCs/>
          <w:color w:val="auto"/>
          <w:w w:val="99"/>
          <w:highlight w:val="none"/>
        </w:rPr>
        <w:t>根据</w:t>
      </w:r>
      <w:r>
        <w:rPr>
          <w:rFonts w:hint="eastAsia" w:ascii="Times New Roman" w:hAnsi="Times New Roman" w:cs="Times New Roman"/>
          <w:color w:val="auto"/>
          <w:w w:val="99"/>
          <w:szCs w:val="24"/>
          <w:highlight w:val="none"/>
        </w:rPr>
        <w:t>《绥化市水土保持规划（2019-2030年）》</w:t>
      </w:r>
      <w:r>
        <w:rPr>
          <w:rFonts w:ascii="Times New Roman" w:hAnsi="Times New Roman" w:cs="Times New Roman"/>
          <w:bCs/>
          <w:color w:val="auto"/>
          <w:w w:val="99"/>
          <w:highlight w:val="none"/>
        </w:rPr>
        <w:t>，本项目所在</w:t>
      </w:r>
      <w:r>
        <w:rPr>
          <w:rFonts w:hint="eastAsia" w:ascii="Times New Roman" w:hAnsi="Times New Roman" w:cs="Times New Roman"/>
          <w:bCs/>
          <w:color w:val="auto"/>
          <w:w w:val="99"/>
          <w:highlight w:val="none"/>
        </w:rPr>
        <w:t>区域不</w:t>
      </w:r>
      <w:r>
        <w:rPr>
          <w:rFonts w:ascii="Times New Roman" w:hAnsi="Times New Roman" w:cs="Times New Roman"/>
          <w:bCs/>
          <w:color w:val="auto"/>
          <w:w w:val="99"/>
          <w:highlight w:val="none"/>
        </w:rPr>
        <w:t>属于市级水土流失重点治理区</w:t>
      </w:r>
      <w:r>
        <w:rPr>
          <w:rFonts w:hint="eastAsia" w:ascii="Times New Roman" w:hAnsi="Times New Roman" w:cs="Times New Roman"/>
          <w:bCs/>
          <w:color w:val="auto"/>
          <w:w w:val="99"/>
          <w:highlight w:val="none"/>
        </w:rPr>
        <w:t>及</w:t>
      </w:r>
      <w:r>
        <w:rPr>
          <w:rFonts w:ascii="Times New Roman" w:hAnsi="Times New Roman" w:cs="Times New Roman"/>
          <w:bCs/>
          <w:color w:val="auto"/>
          <w:w w:val="99"/>
          <w:highlight w:val="none"/>
        </w:rPr>
        <w:t>水土流失重点</w:t>
      </w:r>
      <w:r>
        <w:rPr>
          <w:rFonts w:hint="eastAsia" w:ascii="Times New Roman" w:hAnsi="Times New Roman" w:cs="Times New Roman"/>
          <w:bCs/>
          <w:color w:val="auto"/>
          <w:w w:val="99"/>
          <w:highlight w:val="none"/>
        </w:rPr>
        <w:t>预防</w:t>
      </w:r>
      <w:r>
        <w:rPr>
          <w:rFonts w:ascii="Times New Roman" w:hAnsi="Times New Roman" w:cs="Times New Roman"/>
          <w:bCs/>
          <w:color w:val="auto"/>
          <w:w w:val="99"/>
          <w:highlight w:val="none"/>
        </w:rPr>
        <w:t>区，属于县级水土流失重点</w:t>
      </w:r>
      <w:r>
        <w:rPr>
          <w:rFonts w:hint="eastAsia" w:ascii="Times New Roman" w:hAnsi="Times New Roman" w:cs="Times New Roman"/>
          <w:bCs/>
          <w:color w:val="auto"/>
          <w:w w:val="99"/>
          <w:highlight w:val="none"/>
        </w:rPr>
        <w:t>治理</w:t>
      </w:r>
      <w:r>
        <w:rPr>
          <w:rFonts w:ascii="Times New Roman" w:hAnsi="Times New Roman" w:cs="Times New Roman"/>
          <w:bCs/>
          <w:color w:val="auto"/>
          <w:w w:val="99"/>
          <w:highlight w:val="none"/>
        </w:rPr>
        <w:t>区</w:t>
      </w:r>
      <w:r>
        <w:rPr>
          <w:rFonts w:hint="eastAsia" w:ascii="Times New Roman" w:hAnsi="Times New Roman" w:cs="Times New Roman"/>
          <w:bCs/>
          <w:color w:val="auto"/>
          <w:w w:val="99"/>
          <w:highlight w:val="none"/>
          <w:lang w:val="en"/>
        </w:rPr>
        <w:t>。</w:t>
      </w:r>
      <w:r>
        <w:rPr>
          <w:rFonts w:ascii="Times New Roman" w:hAnsi="Times New Roman" w:cs="Times New Roman"/>
          <w:bCs/>
          <w:color w:val="auto"/>
          <w:w w:val="99"/>
          <w:highlight w:val="none"/>
          <w:lang w:val="en"/>
        </w:rPr>
        <w:t>针对可能造成的水土流失本项目采取</w:t>
      </w:r>
      <w:r>
        <w:rPr>
          <w:rFonts w:ascii="Times New Roman" w:hAnsi="Times New Roman" w:cs="Times New Roman"/>
          <w:bCs/>
          <w:color w:val="auto"/>
          <w:w w:val="99"/>
          <w:highlight w:val="none"/>
        </w:rPr>
        <w:t>井场予以平整、压实，以免发生水土流失。施工期尽量利用现有公路和已有便道行车，避免造成新的裸露地表；执行“无捷径”原则，规范车辆行驶路线，不在道路、井场以外的地方行驶和作业，禁止碾压和破坏地表植被。管道工程施工时，要特别注意保护原始地表与天然植被，应划定施工活动范围，严格控制和管理车辆及重型机械的运行范围，所有车辆采用“一”字型作业法，走同一车辙，避免加行开辟新路。管沟挖、填方作业应尽量做到互补平衡，以免造成弃土方堆积和过多借土，增加新的水土流失。管沟回填应按层回填，以利于施工带土壤和植被的尽早恢复。回填后应予以平整、压实，以免发生水土流失。在施工过程中针对临时占地，应剥离占地内的表土，</w:t>
      </w:r>
      <w:r>
        <w:rPr>
          <w:rFonts w:hint="eastAsia" w:ascii="Times New Roman" w:hAnsi="Times New Roman" w:cs="Times New Roman"/>
          <w:bCs/>
          <w:color w:val="auto"/>
          <w:w w:val="99"/>
          <w:highlight w:val="none"/>
        </w:rPr>
        <w:t>耕地剥离厚度</w:t>
      </w:r>
      <w:r>
        <w:rPr>
          <w:rFonts w:ascii="Times New Roman" w:hAnsi="Times New Roman" w:cs="Times New Roman"/>
          <w:bCs/>
          <w:color w:val="auto"/>
          <w:w w:val="99"/>
          <w:highlight w:val="none"/>
        </w:rPr>
        <w:t>0.3m，采用分层开挖，分层堆放，暂存于占地内的表土剥离临时堆放区，并采取苫布遮盖，表土剥离临时堆放区周围设置排水沟等措施防止水土流失，并定期采取洒水抑尘措施，剥离的表土在施工结束后分层回填，并及时恢复地表植被，在采取以上措施后，项目建设满足</w:t>
      </w:r>
      <w:r>
        <w:rPr>
          <w:rFonts w:hint="eastAsia" w:ascii="Times New Roman" w:hAnsi="Times New Roman" w:cs="Times New Roman"/>
          <w:color w:val="auto"/>
          <w:w w:val="99"/>
          <w:szCs w:val="24"/>
          <w:highlight w:val="none"/>
        </w:rPr>
        <w:t>《绥化市水土保持规划（2019-2030年）》</w:t>
      </w:r>
      <w:r>
        <w:rPr>
          <w:rFonts w:ascii="Times New Roman" w:hAnsi="Times New Roman" w:cs="Times New Roman"/>
          <w:bCs/>
          <w:color w:val="auto"/>
          <w:w w:val="99"/>
          <w:highlight w:val="none"/>
        </w:rPr>
        <w:t>要求。</w:t>
      </w:r>
    </w:p>
    <w:p w14:paraId="0219AE8D">
      <w:pPr>
        <w:pStyle w:val="105"/>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根据黑龙江省防沙治沙工作领导小组《关于印发&lt;关于贯彻落实《沙化土地封禁保护修复制度方案》的实施意见&gt;的通知》（黑防沙发〔</w:t>
      </w:r>
      <w:r>
        <w:rPr>
          <w:rFonts w:hint="eastAsia" w:ascii="Times New Roman" w:hAnsi="Times New Roman" w:cs="Times New Roman"/>
          <w:bCs/>
          <w:color w:val="auto"/>
          <w:w w:val="99"/>
          <w:highlight w:val="none"/>
        </w:rPr>
        <w:t>2</w:t>
      </w:r>
      <w:r>
        <w:rPr>
          <w:rFonts w:ascii="Times New Roman" w:hAnsi="Times New Roman" w:cs="Times New Roman"/>
          <w:bCs/>
          <w:color w:val="auto"/>
          <w:w w:val="99"/>
          <w:highlight w:val="none"/>
        </w:rPr>
        <w:t>020</w:t>
      </w:r>
      <w:r>
        <w:rPr>
          <w:rFonts w:hint="eastAsia" w:ascii="Times New Roman" w:hAnsi="Times New Roman" w:cs="Times New Roman"/>
          <w:bCs/>
          <w:color w:val="auto"/>
          <w:w w:val="99"/>
          <w:highlight w:val="none"/>
        </w:rPr>
        <w:t>〕3号</w:t>
      </w:r>
      <w:r>
        <w:rPr>
          <w:rFonts w:ascii="Times New Roman" w:hAnsi="Times New Roman" w:cs="Times New Roman"/>
          <w:bCs/>
          <w:color w:val="auto"/>
          <w:w w:val="99"/>
          <w:highlight w:val="none"/>
        </w:rPr>
        <w:t>），本项目所在</w:t>
      </w:r>
      <w:r>
        <w:rPr>
          <w:rFonts w:hint="eastAsia" w:ascii="Times New Roman" w:hAnsi="Times New Roman" w:cs="Times New Roman"/>
          <w:bCs/>
          <w:color w:val="auto"/>
          <w:w w:val="99"/>
          <w:highlight w:val="none"/>
        </w:rPr>
        <w:t>地不</w:t>
      </w:r>
      <w:r>
        <w:rPr>
          <w:rFonts w:ascii="Times New Roman" w:hAnsi="Times New Roman" w:cs="Times New Roman"/>
          <w:bCs/>
          <w:color w:val="auto"/>
          <w:w w:val="99"/>
          <w:highlight w:val="none"/>
        </w:rPr>
        <w:t>属于沙化土地所在县（区）。本项目施工结束后及时有效地对占地区域土地进行平整，并压实，利于植被自然恢复。施工尽量缩小占地面积，划定施工活动范围，严格控制和管理车辆及重型机械的运行范围，所有车辆采用“一”字型作业法，避免并行开辟新路，以减少风蚀沙化活动的范围。做好施工期开挖土方临时堆存的水土保持措施，确保土方水土流失得到有效控制。通过以上措施，可有效防止土地沙化。</w:t>
      </w:r>
    </w:p>
    <w:p w14:paraId="2E49FE30">
      <w:pPr>
        <w:pStyle w:val="105"/>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根据《</w:t>
      </w:r>
      <w:r>
        <w:rPr>
          <w:rFonts w:hint="eastAsia" w:ascii="Times New Roman" w:hAnsi="Times New Roman" w:cs="Times New Roman"/>
          <w:bCs/>
          <w:color w:val="auto"/>
          <w:w w:val="99"/>
          <w:highlight w:val="none"/>
        </w:rPr>
        <w:t>绥化</w:t>
      </w:r>
      <w:r>
        <w:rPr>
          <w:rFonts w:ascii="Times New Roman" w:hAnsi="Times New Roman" w:cs="Times New Roman"/>
          <w:bCs/>
          <w:color w:val="auto"/>
          <w:w w:val="99"/>
          <w:highlight w:val="none"/>
        </w:rPr>
        <w:t>市生态环境准入清单（2023年版）》，本项目位于</w:t>
      </w:r>
      <w:r>
        <w:rPr>
          <w:rFonts w:hint="eastAsia" w:ascii="Times New Roman" w:hAnsi="Times New Roman" w:cs="Times New Roman"/>
          <w:color w:val="auto"/>
          <w:w w:val="99"/>
          <w:szCs w:val="24"/>
          <w:highlight w:val="none"/>
        </w:rPr>
        <w:t>重点管控单元</w:t>
      </w:r>
      <w:r>
        <w:rPr>
          <w:rFonts w:ascii="Times New Roman" w:hAnsi="Times New Roman" w:cs="Times New Roman"/>
          <w:bCs/>
          <w:color w:val="auto"/>
          <w:w w:val="99"/>
          <w:highlight w:val="none"/>
        </w:rPr>
        <w:t>，根据黑龙江省生态环境分区管控数据应用平台生成的生态环境分区管控分析报告，本项目位于</w:t>
      </w:r>
      <w:r>
        <w:rPr>
          <w:rFonts w:ascii="Times New Roman" w:hAnsi="Times New Roman" w:cs="Times New Roman"/>
          <w:color w:val="auto"/>
          <w:w w:val="99"/>
          <w:szCs w:val="24"/>
          <w:highlight w:val="none"/>
        </w:rPr>
        <w:t>肇东市水环境农业污染重点管控区</w:t>
      </w:r>
      <w:r>
        <w:rPr>
          <w:rFonts w:hint="eastAsia" w:ascii="Times New Roman" w:hAnsi="Times New Roman" w:cs="Times New Roman"/>
          <w:color w:val="auto"/>
          <w:w w:val="99"/>
          <w:highlight w:val="none"/>
        </w:rPr>
        <w:t>（ZH23128220003）</w:t>
      </w:r>
      <w:r>
        <w:rPr>
          <w:rFonts w:ascii="Times New Roman" w:hAnsi="Times New Roman" w:cs="Times New Roman"/>
          <w:bCs/>
          <w:color w:val="auto"/>
          <w:w w:val="99"/>
          <w:highlight w:val="none"/>
        </w:rPr>
        <w:t>，根据项目与生态环境准入清单管控体系符合性分析，本项目建设符合分区管控要求。</w:t>
      </w:r>
    </w:p>
    <w:p w14:paraId="67A93C4C">
      <w:pPr>
        <w:pStyle w:val="105"/>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本项目井场布置采用占地面积最小、环境影响最小的布局方案，尽量避绕周围环境敏感目标，减少对耕地的占用，并对占地采取生态恢复及补偿措施，把对生态环境的影响降至最小。施工区布置尽量将高噪声机械布置远离环境敏感点一侧，同时，避免在同一地点安排较多的动力机械，避免大量高噪声设备同时施工影响周边环境敏感点。工程建设对周围的主要环境影响为生态环境影响、大气环境影响、地下水环境影响、声环境影响和固体废物对周围的环境影响。通过环境影响预测与环境影响分析，工程建设实施后，通过采取相应的废气、废水、噪声、固体废物等污染控制措施，周围环境质量均满足相关标准要求，工程建设对周围的环境影响均在可接受的范围。</w:t>
      </w:r>
    </w:p>
    <w:p w14:paraId="627B1DAD">
      <w:pPr>
        <w:pStyle w:val="105"/>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综合分析，项目周边不涉及制约本项目建设的环境影响因素，工程选址在环境保护方面较合理。</w:t>
      </w:r>
    </w:p>
    <w:bookmarkEnd w:id="123"/>
    <w:bookmarkEnd w:id="124"/>
    <w:bookmarkEnd w:id="125"/>
    <w:bookmarkEnd w:id="126"/>
    <w:bookmarkEnd w:id="127"/>
    <w:p w14:paraId="282E6F88">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148" w:name="_Toc8562"/>
      <w:bookmarkStart w:id="149" w:name="_Toc502736437"/>
      <w:bookmarkStart w:id="150" w:name="_Toc61597178"/>
      <w:r>
        <w:rPr>
          <w:rFonts w:ascii="Times New Roman" w:hAnsi="Times New Roman" w:eastAsia="宋体"/>
          <w:b/>
          <w:snapToGrid w:val="0"/>
          <w:color w:val="auto"/>
          <w:w w:val="99"/>
          <w:highlight w:val="none"/>
        </w:rPr>
        <w:t>1.5关注的主要环境问题及环境影响</w:t>
      </w:r>
      <w:bookmarkEnd w:id="148"/>
      <w:bookmarkEnd w:id="149"/>
      <w:bookmarkEnd w:id="150"/>
    </w:p>
    <w:p w14:paraId="18798DA6">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（1）施工期</w:t>
      </w:r>
    </w:p>
    <w:p w14:paraId="0A3BD999">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环境空气影响：主要体现在施工期施工机械及运输车辆尾气、施工扬尘</w:t>
      </w:r>
      <w:r>
        <w:rPr>
          <w:rFonts w:hint="eastAsia" w:ascii="Times New Roman" w:hAnsi="Times New Roman" w:cs="Times New Roman"/>
          <w:color w:val="auto"/>
          <w:w w:val="99"/>
          <w:highlight w:val="none"/>
        </w:rPr>
        <w:t>、</w:t>
      </w:r>
      <w:r>
        <w:rPr>
          <w:rFonts w:ascii="Times New Roman" w:hAnsi="Times New Roman" w:cs="Times New Roman"/>
          <w:color w:val="auto"/>
          <w:w w:val="99"/>
          <w:highlight w:val="none"/>
        </w:rPr>
        <w:t>管道焊接烟尘等对大气环境的影响，通过采用环保型机械设备，选用高品质燃油并加强设备保养维护，合理规划运输路线，临时堆存的土方加盖苫布、洒水抑尘等措施，减小对周围环境空气的影响。</w:t>
      </w:r>
    </w:p>
    <w:p w14:paraId="35177037">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水环境影响：主要关注施工生活污水以及管线施工过程产生的试压废水的处置措施及去向。施工期管线试压废水由罐车拉运至升一联气田污水预处理站处理，满足《大庆油田地面工程建设设计规定》（Q/SYDQ0639-2015）限值“含油量≤10mg/L 、悬浮固体含量≤5mg/L 、粒径中值≤2μm”，同时满足《碎屑岩油藏注水水质指标技术要求及分析方法》(SY/T5329-2022)中标准限值，回注地下，回注到现役油气藏层位。</w:t>
      </w:r>
      <w:r>
        <w:rPr>
          <w:rFonts w:hint="eastAsia" w:ascii="Times New Roman" w:hAnsi="Times New Roman"/>
          <w:color w:val="auto"/>
          <w:w w:val="99"/>
          <w:highlight w:val="none"/>
        </w:rPr>
        <w:t>生活污水排入附近集气站已建生活污水收集设施，定期由大庆石油管理局有限公司庆南工矿服务公司红岗分公司拉运至大庆红岗区西巷污水回收站，管输至南区污水处理厂进行处理。</w:t>
      </w:r>
    </w:p>
    <w:p w14:paraId="5F38B935">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声环境影响：主要体现在施工机械</w:t>
      </w:r>
      <w:r>
        <w:rPr>
          <w:rFonts w:hint="eastAsia" w:ascii="Times New Roman" w:hAnsi="Times New Roman"/>
          <w:color w:val="auto"/>
          <w:w w:val="99"/>
          <w:highlight w:val="none"/>
        </w:rPr>
        <w:t>产生的噪声</w:t>
      </w:r>
      <w:r>
        <w:rPr>
          <w:rFonts w:ascii="Times New Roman" w:hAnsi="Times New Roman"/>
          <w:color w:val="auto"/>
          <w:w w:val="99"/>
          <w:highlight w:val="none"/>
        </w:rPr>
        <w:t>及运输车辆噪声对声环境的影响，通过选用低噪声设备，采取隔声、基础减振等措施减小对周边声环境的影响。</w:t>
      </w:r>
    </w:p>
    <w:p w14:paraId="1E260E2F">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固废影响：施工期固体废物主要为施工废料、生活垃圾等。</w:t>
      </w:r>
    </w:p>
    <w:p w14:paraId="34FAD214">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rPr>
        <w:t>施工废料拉运至第八采油厂工业固废填埋场处理填埋处理，建筑垃圾拉运至建筑垃圾</w:t>
      </w:r>
      <w:r>
        <w:rPr>
          <w:rFonts w:hint="eastAsia" w:ascii="Times New Roman" w:hAnsi="Times New Roman"/>
          <w:color w:val="auto"/>
          <w:w w:val="99"/>
          <w:highlight w:val="none"/>
        </w:rPr>
        <w:t>调配</w:t>
      </w:r>
      <w:r>
        <w:rPr>
          <w:rFonts w:ascii="Times New Roman" w:hAnsi="Times New Roman"/>
          <w:color w:val="auto"/>
          <w:w w:val="99"/>
          <w:highlight w:val="none"/>
        </w:rPr>
        <w:t>处理</w:t>
      </w:r>
      <w:r>
        <w:rPr>
          <w:rFonts w:hint="eastAsia" w:ascii="Times New Roman" w:hAnsi="Times New Roman"/>
          <w:color w:val="auto"/>
          <w:w w:val="99"/>
          <w:highlight w:val="none"/>
        </w:rPr>
        <w:t>；</w:t>
      </w:r>
      <w:r>
        <w:rPr>
          <w:rFonts w:ascii="Times New Roman" w:hAnsi="Times New Roman"/>
          <w:color w:val="auto"/>
          <w:w w:val="99"/>
          <w:highlight w:val="none"/>
        </w:rPr>
        <w:t>生活垃圾</w:t>
      </w:r>
      <w:r>
        <w:rPr>
          <w:rFonts w:hint="eastAsia" w:ascii="Times New Roman" w:hAnsi="Times New Roman"/>
          <w:color w:val="auto"/>
          <w:w w:val="99"/>
          <w:highlight w:val="none"/>
        </w:rPr>
        <w:t>统一收集后拉运至肇东北控环境再生能源有限公司处理。</w:t>
      </w:r>
    </w:p>
    <w:p w14:paraId="155A1B2A">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生态环境影响：主要体现在施工期占地、破坏土壤、损毁植被、破坏生态景观等，通过采取相应的生态保护与恢复措施，对生态环境的影响可得到有效减缓。</w:t>
      </w:r>
    </w:p>
    <w:p w14:paraId="3CD0E231">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土壤影响：主要为施工期废水和固体废物对土壤产生的影响，本项目施工期废水与固体废物全部妥善处置，可有效降低工程对土壤环境的影响。</w:t>
      </w:r>
    </w:p>
    <w:p w14:paraId="348233AA">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环境风险：项目施工期涉及的风险物质为天然气（甲烷），主要关注井漏、天然气井喷及遇明火燃烧爆炸产生次生物质对环境的影响，在采取相应风险防控措施后，环境风险可防控。</w:t>
      </w:r>
    </w:p>
    <w:p w14:paraId="0204CDA3">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（2）运行期</w:t>
      </w:r>
    </w:p>
    <w:p w14:paraId="0D51A7A1">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环境空气影响：主要关注运行期天然气开采及集输处理过程无组织挥发的烃类气体、加热炉燃烧烟气排放，以及非正常状况下井场、站场放空燃烧烟气对大气环境的影响，通过采用密闭集输工艺，站和管线均采取密闭性良好的阀门，加强对设备与管道的检查和维护，最大限度减少无组织挥发烃类气体，减少对周围环境空气的影响。</w:t>
      </w:r>
    </w:p>
    <w:p w14:paraId="109894EC">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水环境影响：主要关注采出水的处置措施及去向，气田采出水暂存于集气站污水储罐临时储存，再定期通过外输泵升压外输至气田采出水集输管网，并统一外输至升一联气田污水预处理站处理，水质处理达到《大庆油田地面工程建设设计规定》（Q/SY DQ0639-2015）要求（石油类≤10.0mg/L ，悬浮固体≤5.0mg/L）， 同时满足《碎屑岩油藏注水水质指标技术要求及分析方法》 (SY/T5329-2022)中标准限值，回注地下</w:t>
      </w:r>
      <w:r>
        <w:rPr>
          <w:rFonts w:hint="eastAsia" w:ascii="Times New Roman" w:hAnsi="Times New Roman" w:cs="Times New Roman"/>
          <w:color w:val="auto"/>
          <w:w w:val="99"/>
          <w:highlight w:val="none"/>
        </w:rPr>
        <w:t>油层</w:t>
      </w:r>
      <w:r>
        <w:rPr>
          <w:rFonts w:ascii="Times New Roman" w:hAnsi="Times New Roman" w:cs="Times New Roman"/>
          <w:color w:val="auto"/>
          <w:w w:val="99"/>
          <w:highlight w:val="none"/>
        </w:rPr>
        <w:t>。</w:t>
      </w:r>
    </w:p>
    <w:p w14:paraId="4895EC81">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声环境影响：主要关注井场、站场站内设备机泵等设备噪声、以及非正常工况气井、站场放空噪声对周围声环境影响，通过采用基础减振、隔声等措施后，可有效减小对周边声环境的影响。</w:t>
      </w:r>
    </w:p>
    <w:p w14:paraId="3A9EE618">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固废影响：主要关注非正常工况时危险废物（</w:t>
      </w:r>
      <w:r>
        <w:rPr>
          <w:rFonts w:hint="eastAsia" w:ascii="Times New Roman" w:hAnsi="Times New Roman" w:cs="Times New Roman"/>
          <w:color w:val="auto"/>
          <w:w w:val="99"/>
          <w:highlight w:val="none"/>
        </w:rPr>
        <w:t>井口含油</w:t>
      </w:r>
      <w:r>
        <w:rPr>
          <w:rFonts w:hint="eastAsia" w:ascii="Times New Roman" w:hAnsi="Times New Roman" w:cs="Times New Roman"/>
          <w:color w:val="auto"/>
          <w:w w:val="99"/>
          <w:highlight w:val="none"/>
          <w:lang w:eastAsia="zh-CN"/>
        </w:rPr>
        <w:t>砂粒</w:t>
      </w:r>
      <w:r>
        <w:rPr>
          <w:rFonts w:hint="eastAsia" w:ascii="Times New Roman" w:hAnsi="Times New Roman" w:cs="Times New Roman"/>
          <w:color w:val="auto"/>
          <w:w w:val="99"/>
          <w:highlight w:val="none"/>
        </w:rPr>
        <w:t>、废变压器油</w:t>
      </w:r>
      <w:r>
        <w:rPr>
          <w:rFonts w:ascii="Times New Roman" w:hAnsi="Times New Roman" w:cs="Times New Roman"/>
          <w:color w:val="auto"/>
          <w:w w:val="99"/>
          <w:highlight w:val="none"/>
        </w:rPr>
        <w:t>）等固废处置去向。危险废物由检维修队送采气分公司危险废物贮存库内，定期委托有危废处置资质的单位处置。</w:t>
      </w:r>
    </w:p>
    <w:p w14:paraId="7CEE04FA">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土壤影响：主要关注运营期废水和固废对土壤的污染，井场及场站内分区进行防渗；气田采出水与固体废物妥善进行处置，降低对土壤产生的影响。</w:t>
      </w:r>
    </w:p>
    <w:p w14:paraId="5241D7FD">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环境风险：本项目涉及的风险物质为天然气（ 甲烷），主要关注天然气泄漏、井喷及遇明火燃烧爆炸产生次生物质对环境的影响，在采取相应风险防控措施后，环境风险可防控。</w:t>
      </w:r>
    </w:p>
    <w:p w14:paraId="4307F7C6">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（3）退役期</w:t>
      </w:r>
    </w:p>
    <w:p w14:paraId="23B9523B">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环境空气影响：主要为井场及站场地面设施拆除、封井、井场清理等，产生少量施工扬尘和气井在废弃阶段如果井口封闭不严，可能出现微量天然气泄漏。通过洒水抑尘等措施，同时注意规范操作和管理，减少废气的产生。</w:t>
      </w:r>
    </w:p>
    <w:p w14:paraId="1794591C">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水环境影响：</w:t>
      </w:r>
      <w:r>
        <w:rPr>
          <w:rFonts w:hint="eastAsia" w:ascii="Times New Roman" w:hAnsi="Times New Roman" w:cs="Times New Roman"/>
          <w:color w:val="auto"/>
          <w:w w:val="99"/>
          <w:highlight w:val="none"/>
        </w:rPr>
        <w:t>主要为退役气井拆除设备清洗废水。洗废水由罐车拉运至升一联气田污水预处理站集中处理，达标后回注地下开采油层，不外排。</w:t>
      </w:r>
    </w:p>
    <w:p w14:paraId="312B3913">
      <w:pPr>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color w:val="auto"/>
          <w:w w:val="99"/>
          <w:highlight w:val="none"/>
        </w:rPr>
        <w:t>固废影响：退役期在井场及站场清理过程主要会产生少量建筑垃圾，废弃建筑垃圾拉运至建筑垃圾</w:t>
      </w:r>
      <w:r>
        <w:rPr>
          <w:rFonts w:hint="eastAsia" w:ascii="Times New Roman" w:hAnsi="Times New Roman" w:cs="Times New Roman"/>
          <w:color w:val="auto"/>
          <w:w w:val="99"/>
          <w:highlight w:val="none"/>
        </w:rPr>
        <w:t>调配</w:t>
      </w:r>
      <w:r>
        <w:rPr>
          <w:rFonts w:ascii="Times New Roman" w:hAnsi="Times New Roman" w:cs="Times New Roman"/>
          <w:color w:val="auto"/>
          <w:w w:val="99"/>
          <w:highlight w:val="none"/>
        </w:rPr>
        <w:t>场处理</w:t>
      </w:r>
      <w:r>
        <w:rPr>
          <w:rFonts w:hint="eastAsia" w:ascii="Times New Roman" w:hAnsi="Times New Roman" w:cs="Times New Roman"/>
          <w:color w:val="auto"/>
          <w:w w:val="99"/>
          <w:highlight w:val="none"/>
        </w:rPr>
        <w:t>；</w:t>
      </w:r>
      <w:r>
        <w:rPr>
          <w:rFonts w:ascii="Times New Roman" w:hAnsi="Times New Roman" w:cs="Times New Roman"/>
          <w:bCs/>
          <w:color w:val="auto"/>
          <w:w w:val="99"/>
          <w:highlight w:val="none"/>
        </w:rPr>
        <w:t>拆除废旧设备回收至</w:t>
      </w:r>
      <w:r>
        <w:rPr>
          <w:rFonts w:hint="eastAsia" w:ascii="Times New Roman" w:hAnsi="Times New Roman" w:cs="Times New Roman"/>
          <w:bCs/>
          <w:color w:val="auto"/>
          <w:w w:val="99"/>
          <w:highlight w:val="none"/>
        </w:rPr>
        <w:t>大庆油田有限责任公司采气分公司</w:t>
      </w:r>
      <w:r>
        <w:rPr>
          <w:rFonts w:ascii="Times New Roman" w:hAnsi="Times New Roman" w:cs="Times New Roman"/>
          <w:bCs/>
          <w:color w:val="auto"/>
          <w:w w:val="99"/>
          <w:highlight w:val="none"/>
        </w:rPr>
        <w:t>资产回收库</w:t>
      </w:r>
      <w:r>
        <w:rPr>
          <w:rFonts w:hint="eastAsia" w:ascii="Times New Roman" w:hAnsi="Times New Roman" w:cs="Times New Roman"/>
          <w:bCs/>
          <w:color w:val="auto"/>
          <w:w w:val="99"/>
          <w:highlight w:val="none"/>
        </w:rPr>
        <w:t>；</w:t>
      </w:r>
      <w:r>
        <w:rPr>
          <w:rFonts w:ascii="Times New Roman" w:hAnsi="Times New Roman" w:cs="Times New Roman"/>
          <w:bCs/>
          <w:color w:val="auto"/>
          <w:w w:val="99"/>
          <w:highlight w:val="none"/>
        </w:rPr>
        <w:t>封井垃圾为一般工业固体废物，拉运至第</w:t>
      </w:r>
      <w:r>
        <w:rPr>
          <w:rFonts w:hint="eastAsia" w:ascii="Times New Roman" w:hAnsi="Times New Roman" w:cs="Times New Roman"/>
          <w:bCs/>
          <w:color w:val="auto"/>
          <w:w w:val="99"/>
          <w:highlight w:val="none"/>
        </w:rPr>
        <w:t>八</w:t>
      </w:r>
      <w:r>
        <w:rPr>
          <w:rFonts w:ascii="Times New Roman" w:hAnsi="Times New Roman" w:cs="Times New Roman"/>
          <w:bCs/>
          <w:color w:val="auto"/>
          <w:w w:val="99"/>
          <w:highlight w:val="none"/>
        </w:rPr>
        <w:t>采油厂工业固废填埋场处理</w:t>
      </w:r>
      <w:r>
        <w:rPr>
          <w:rFonts w:hint="eastAsia" w:ascii="Times New Roman" w:hAnsi="Times New Roman" w:cs="Times New Roman"/>
          <w:bCs/>
          <w:color w:val="auto"/>
          <w:w w:val="99"/>
          <w:highlight w:val="none"/>
        </w:rPr>
        <w:t>；</w:t>
      </w:r>
      <w:r>
        <w:rPr>
          <w:rFonts w:ascii="Times New Roman" w:hAnsi="Times New Roman" w:cs="Times New Roman"/>
          <w:bCs/>
          <w:color w:val="auto"/>
          <w:w w:val="99"/>
          <w:highlight w:val="none"/>
        </w:rPr>
        <w:t>生活垃圾统一收集后拉运至</w:t>
      </w:r>
      <w:r>
        <w:rPr>
          <w:rFonts w:hint="eastAsia" w:ascii="Times New Roman" w:hAnsi="Times New Roman" w:cs="Times New Roman"/>
          <w:bCs/>
          <w:color w:val="auto"/>
          <w:w w:val="99"/>
          <w:highlight w:val="none"/>
        </w:rPr>
        <w:t>肇东北控环境再生能源有限公司</w:t>
      </w:r>
      <w:r>
        <w:rPr>
          <w:rFonts w:ascii="Times New Roman" w:hAnsi="Times New Roman" w:cs="Times New Roman"/>
          <w:bCs/>
          <w:color w:val="auto"/>
          <w:w w:val="99"/>
          <w:highlight w:val="none"/>
        </w:rPr>
        <w:t>处理。</w:t>
      </w:r>
    </w:p>
    <w:p w14:paraId="623966B1">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151" w:name="_Toc6598"/>
      <w:bookmarkStart w:id="152" w:name="_Toc502736438"/>
      <w:r>
        <w:rPr>
          <w:rFonts w:ascii="Times New Roman" w:hAnsi="Times New Roman" w:eastAsia="宋体"/>
          <w:b/>
          <w:snapToGrid w:val="0"/>
          <w:color w:val="auto"/>
          <w:w w:val="99"/>
          <w:highlight w:val="none"/>
        </w:rPr>
        <w:t>1.6环境影响评价主要结论</w:t>
      </w:r>
      <w:bookmarkEnd w:id="151"/>
      <w:bookmarkEnd w:id="152"/>
    </w:p>
    <w:p w14:paraId="4F257781">
      <w:pPr>
        <w:pStyle w:val="153"/>
        <w:widowControl w:val="0"/>
        <w:spacing w:line="440" w:lineRule="exact"/>
        <w:ind w:firstLine="473"/>
        <w:jc w:val="both"/>
        <w:rPr>
          <w:rFonts w:ascii="Times New Roman" w:hAnsi="Times New Roman"/>
          <w:color w:val="auto"/>
          <w:w w:val="99"/>
          <w:highlight w:val="none"/>
        </w:rPr>
      </w:pPr>
      <w:bookmarkStart w:id="153" w:name="_Toc502736439"/>
      <w:r>
        <w:rPr>
          <w:rFonts w:ascii="Times New Roman" w:hAnsi="Times New Roman"/>
          <w:color w:val="auto"/>
          <w:w w:val="99"/>
          <w:highlight w:val="none"/>
        </w:rPr>
        <w:t>根据《产业结构调整指导目录（2024 年本）》</w:t>
      </w:r>
      <w:r>
        <w:rPr>
          <w:rFonts w:hint="eastAsia" w:ascii="Times New Roman" w:hAnsi="Times New Roman"/>
          <w:color w:val="auto"/>
          <w:w w:val="99"/>
          <w:highlight w:val="none"/>
        </w:rPr>
        <w:t>（国家发展和改革委员会令</w:t>
      </w:r>
      <w:r>
        <w:rPr>
          <w:rFonts w:ascii="Times New Roman" w:hAnsi="Times New Roman"/>
          <w:color w:val="auto"/>
          <w:w w:val="99"/>
          <w:highlight w:val="none"/>
        </w:rPr>
        <w:t>[2023]第7号</w:t>
      </w:r>
      <w:r>
        <w:rPr>
          <w:rFonts w:hint="eastAsia" w:ascii="Times New Roman" w:hAnsi="Times New Roman"/>
          <w:color w:val="auto"/>
          <w:w w:val="99"/>
          <w:highlight w:val="none"/>
        </w:rPr>
        <w:t>）</w:t>
      </w:r>
      <w:r>
        <w:rPr>
          <w:rFonts w:ascii="Times New Roman" w:hAnsi="Times New Roman"/>
          <w:color w:val="auto"/>
          <w:w w:val="99"/>
          <w:highlight w:val="none"/>
        </w:rPr>
        <w:t>，石油、天然气勘探及开采属于鼓励类项目，本工程符合国家产业政策。本项目符合《黑龙江省生态环境分区管控动态更新成果（2023年版）》及《</w:t>
      </w:r>
      <w:r>
        <w:rPr>
          <w:rFonts w:hint="eastAsia" w:ascii="Times New Roman" w:hAnsi="Times New Roman"/>
          <w:color w:val="auto"/>
          <w:w w:val="99"/>
          <w:highlight w:val="none"/>
        </w:rPr>
        <w:t>绥化</w:t>
      </w:r>
      <w:r>
        <w:rPr>
          <w:rFonts w:ascii="Times New Roman" w:hAnsi="Times New Roman"/>
          <w:color w:val="auto"/>
          <w:w w:val="99"/>
          <w:highlight w:val="none"/>
        </w:rPr>
        <w:t>市生态环境准入清单（2023年版）》中要求。按照《环境影响评价公众参与办法》（</w:t>
      </w:r>
      <w:r>
        <w:rPr>
          <w:rFonts w:hint="eastAsia" w:ascii="Times New Roman" w:hAnsi="Times New Roman"/>
          <w:color w:val="auto"/>
          <w:w w:val="99"/>
          <w:highlight w:val="none"/>
        </w:rPr>
        <w:t>生态环境部令〔</w:t>
      </w:r>
      <w:r>
        <w:rPr>
          <w:rFonts w:ascii="Times New Roman" w:hAnsi="Times New Roman"/>
          <w:color w:val="auto"/>
          <w:w w:val="99"/>
          <w:highlight w:val="none"/>
        </w:rPr>
        <w:t>2018〕第4号）的要求，本项目环评进行的过程中建设单位开展了公众参与调查，具体见《</w:t>
      </w:r>
      <w:r>
        <w:rPr>
          <w:rFonts w:hint="eastAsia" w:ascii="Times New Roman" w:hAnsi="Times New Roman"/>
          <w:color w:val="auto"/>
          <w:w w:val="99"/>
          <w:highlight w:val="none"/>
        </w:rPr>
        <w:t>徐深27-H1井地面工程项目</w:t>
      </w:r>
      <w:r>
        <w:rPr>
          <w:rFonts w:ascii="Times New Roman" w:hAnsi="Times New Roman"/>
          <w:color w:val="auto"/>
          <w:w w:val="99"/>
          <w:highlight w:val="none"/>
        </w:rPr>
        <w:t>环境影响评价公众参与说明》。</w:t>
      </w:r>
    </w:p>
    <w:p w14:paraId="6B667C95">
      <w:pPr>
        <w:pStyle w:val="153"/>
        <w:widowControl w:val="0"/>
        <w:spacing w:line="440" w:lineRule="exact"/>
        <w:ind w:firstLine="473"/>
        <w:jc w:val="both"/>
        <w:rPr>
          <w:rFonts w:ascii="Times New Roman" w:hAnsi="Times New Roman"/>
          <w:color w:val="auto"/>
          <w:w w:val="99"/>
          <w:highlight w:val="none"/>
        </w:rPr>
        <w:sectPr>
          <w:headerReference r:id="rId5" w:type="default"/>
          <w:footerReference r:id="rId6" w:type="default"/>
          <w:type w:val="nextColumn"/>
          <w:pgSz w:w="11906" w:h="16838"/>
          <w:pgMar w:top="1418" w:right="1418" w:bottom="1418" w:left="1418" w:header="851" w:footer="992" w:gutter="0"/>
          <w:pgNumType w:start="1"/>
          <w:cols w:space="720" w:num="1"/>
          <w:docGrid w:linePitch="312" w:charSpace="0"/>
        </w:sectPr>
      </w:pPr>
      <w:r>
        <w:rPr>
          <w:rFonts w:ascii="Times New Roman" w:hAnsi="Times New Roman"/>
          <w:color w:val="auto"/>
          <w:w w:val="99"/>
          <w:highlight w:val="none"/>
        </w:rPr>
        <w:t>本报告书较为详细地论述了建设项目环境概况、主要环境问题、主要环境影响和拟采取的环保措施。主要结论为：</w:t>
      </w:r>
      <w:r>
        <w:rPr>
          <w:rFonts w:hint="eastAsia" w:ascii="Times New Roman" w:hAnsi="Times New Roman"/>
          <w:color w:val="auto"/>
          <w:w w:val="99"/>
          <w:highlight w:val="none"/>
        </w:rPr>
        <w:t>徐深27-H1井地面工程项目</w:t>
      </w:r>
      <w:r>
        <w:rPr>
          <w:rFonts w:ascii="Times New Roman" w:hAnsi="Times New Roman"/>
          <w:color w:val="auto"/>
          <w:w w:val="99"/>
          <w:highlight w:val="none"/>
        </w:rPr>
        <w:t>选址于</w:t>
      </w:r>
      <w:r>
        <w:rPr>
          <w:rFonts w:hint="eastAsia" w:ascii="Times New Roman" w:hAnsi="Times New Roman"/>
          <w:color w:val="auto"/>
          <w:w w:val="99"/>
          <w:highlight w:val="none"/>
        </w:rPr>
        <w:t>绥化市肇东市跃进乡</w:t>
      </w:r>
      <w:r>
        <w:rPr>
          <w:rFonts w:ascii="Times New Roman" w:hAnsi="Times New Roman"/>
          <w:color w:val="auto"/>
          <w:w w:val="99"/>
          <w:highlight w:val="none"/>
        </w:rPr>
        <w:t>，项目选址合理；项目符合现行产业政策；对产生的污染物采取行之有效的环保措施后，可以做到达标排放，满足总量控制要求，环境风险可防控，对区域环境影响较小；公众参与调查结果表明，公众参与对该项目无反对意见。在确保落实好各项环保措施并保证其正常运行的前提下，从环境保护角度分析，本项目的建设可行。</w:t>
      </w:r>
    </w:p>
    <w:p w14:paraId="55C64F79">
      <w:pPr>
        <w:pStyle w:val="4"/>
        <w:widowControl w:val="0"/>
        <w:spacing w:before="180" w:after="180" w:line="440" w:lineRule="exact"/>
        <w:rPr>
          <w:rFonts w:ascii="Times New Roman" w:hAnsi="Times New Roman" w:eastAsia="宋体"/>
          <w:b/>
          <w:snapToGrid w:val="0"/>
          <w:color w:val="auto"/>
          <w:w w:val="99"/>
          <w:sz w:val="30"/>
          <w:szCs w:val="30"/>
          <w:highlight w:val="none"/>
        </w:rPr>
      </w:pPr>
      <w:bookmarkStart w:id="154" w:name="_Toc29565"/>
      <w:r>
        <w:rPr>
          <w:rFonts w:ascii="Times New Roman" w:hAnsi="Times New Roman" w:eastAsia="宋体"/>
          <w:b/>
          <w:snapToGrid w:val="0"/>
          <w:color w:val="auto"/>
          <w:w w:val="99"/>
          <w:sz w:val="30"/>
          <w:szCs w:val="30"/>
          <w:highlight w:val="none"/>
        </w:rPr>
        <w:t>2总则</w:t>
      </w:r>
      <w:bookmarkEnd w:id="154"/>
    </w:p>
    <w:p w14:paraId="33E3ABCD">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155" w:name="_Toc6128"/>
      <w:r>
        <w:rPr>
          <w:rFonts w:ascii="Times New Roman" w:hAnsi="Times New Roman" w:eastAsia="宋体"/>
          <w:b/>
          <w:snapToGrid w:val="0"/>
          <w:color w:val="auto"/>
          <w:w w:val="99"/>
          <w:highlight w:val="none"/>
        </w:rPr>
        <w:t>2.1评价目的</w:t>
      </w:r>
      <w:bookmarkEnd w:id="155"/>
    </w:p>
    <w:p w14:paraId="40429EF4">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根据本工程特性及工程所在地的环境特点，确定建设项目环境影响评价目的：</w:t>
      </w:r>
    </w:p>
    <w:p w14:paraId="56D8DB6B">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（1）贯彻“预防为主，防治结合，综合利用”环境管理方针，要求在开发建设活动实施之前预计可能产生的环境污染与破坏，再据此采取防治对策，做到防患于未然。</w:t>
      </w:r>
    </w:p>
    <w:p w14:paraId="58667D79">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（2）本次环评将在工程分析的基础上，分析论证本项目“三废”排放情况及从环保角度确认工艺过程的先进性，为环境影响预测提供基础数据，并为今后的环境管理工作提供科学依据。</w:t>
      </w:r>
    </w:p>
    <w:p w14:paraId="6EE8707B">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（3）通过对建设地点及周围环境的综合现状调查和现场监测，了解和掌握该地区的环境质量现状及污染现状，并确定环境保护目标。</w:t>
      </w:r>
    </w:p>
    <w:p w14:paraId="6630239B">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（4）采用适当的预测模式，预测和评价工程投产后对该地区的环境影响程度和范围，提出经济上合理，技术上可行的环境保护措施。</w:t>
      </w:r>
    </w:p>
    <w:p w14:paraId="5FD2D423">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（5）通过对环境、经济的损益分析，论证本工程社会效益、环境效益和经济效益的统一性。</w:t>
      </w:r>
    </w:p>
    <w:p w14:paraId="362132F5">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（6）从环境功能规划、环境容量及周围环境敏感保护目标等方面，论证本项目选址的合理性，为项目实现优化选址、合理布局、最佳设计提供科学依据。</w:t>
      </w:r>
    </w:p>
    <w:p w14:paraId="32ACBE97">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156" w:name="_Toc26816"/>
      <w:r>
        <w:rPr>
          <w:rFonts w:ascii="Times New Roman" w:hAnsi="Times New Roman" w:eastAsia="宋体"/>
          <w:b/>
          <w:snapToGrid w:val="0"/>
          <w:color w:val="auto"/>
          <w:w w:val="99"/>
          <w:highlight w:val="none"/>
        </w:rPr>
        <w:t>2.2评价原则</w:t>
      </w:r>
      <w:bookmarkEnd w:id="156"/>
    </w:p>
    <w:p w14:paraId="28187BAD">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 xml:space="preserve">突出环境影响评价的源头预防作用，坚持保护和改善环境质量。 </w:t>
      </w:r>
    </w:p>
    <w:p w14:paraId="4E4D6700">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（1）依法评价</w:t>
      </w:r>
    </w:p>
    <w:p w14:paraId="0A754BF6">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贯彻执行我国环境保护相关法律法规、标准、政策和规划等，优化项目建设，服务环境管理。</w:t>
      </w:r>
    </w:p>
    <w:p w14:paraId="50EFD17E">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（2）科学评价</w:t>
      </w:r>
    </w:p>
    <w:p w14:paraId="1B44A04C">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规范环境影响评价方法，科学分析项目建设对环境质量的影响。</w:t>
      </w:r>
    </w:p>
    <w:p w14:paraId="32C64F10">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（3）突出重点</w:t>
      </w:r>
    </w:p>
    <w:p w14:paraId="7CD3EF47">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根据建设项目的工程内容及其特点，明确与环境要素间的作用效应关系，充分利用符合时效的数据资料及成果，对建设项目主要环境影响予以重点分析和评价。</w:t>
      </w:r>
    </w:p>
    <w:p w14:paraId="698F6828">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157" w:name="_Toc774"/>
      <w:r>
        <w:rPr>
          <w:rFonts w:ascii="Times New Roman" w:hAnsi="Times New Roman" w:eastAsia="宋体"/>
          <w:b/>
          <w:snapToGrid w:val="0"/>
          <w:color w:val="auto"/>
          <w:w w:val="99"/>
          <w:highlight w:val="none"/>
        </w:rPr>
        <w:t>2.3编制依据</w:t>
      </w:r>
      <w:bookmarkEnd w:id="157"/>
    </w:p>
    <w:p w14:paraId="3D9BBFFE">
      <w:pPr>
        <w:pStyle w:val="7"/>
        <w:widowControl w:val="0"/>
        <w:spacing w:before="60" w:after="60" w:line="440" w:lineRule="exact"/>
        <w:jc w:val="both"/>
        <w:rPr>
          <w:rFonts w:hint="default" w:eastAsia="宋体"/>
          <w:b/>
          <w:color w:val="auto"/>
          <w:w w:val="99"/>
          <w:kern w:val="2"/>
          <w:sz w:val="24"/>
          <w:szCs w:val="24"/>
          <w:highlight w:val="none"/>
          <w:lang w:val="en-US" w:eastAsia="zh-CN"/>
        </w:rPr>
      </w:pPr>
      <w:bookmarkStart w:id="158" w:name="_Toc57203215"/>
      <w:bookmarkStart w:id="159" w:name="_Toc57976640"/>
      <w:bookmarkStart w:id="160" w:name="_Toc17898130"/>
      <w:bookmarkStart w:id="161" w:name="_Toc57707885"/>
      <w:bookmarkStart w:id="162" w:name="_Toc9305"/>
      <w:bookmarkStart w:id="163" w:name="_Toc76976206"/>
      <w:bookmarkStart w:id="164" w:name="_Toc67860091"/>
      <w:bookmarkStart w:id="165" w:name="_Toc70050138"/>
      <w:bookmarkStart w:id="166" w:name="_Toc80971340"/>
      <w:bookmarkStart w:id="167" w:name="_Toc78816423"/>
      <w:bookmarkStart w:id="168" w:name="_Toc80588218"/>
      <w:bookmarkStart w:id="169" w:name="_Toc83209435"/>
      <w:bookmarkStart w:id="170" w:name="_Toc77067622"/>
      <w:bookmarkStart w:id="171" w:name="_Toc186444239"/>
      <w:bookmarkStart w:id="172" w:name="_Toc61597184"/>
      <w:r>
        <w:rPr>
          <w:rFonts w:eastAsia="宋体"/>
          <w:b/>
          <w:color w:val="auto"/>
          <w:w w:val="99"/>
          <w:kern w:val="2"/>
          <w:sz w:val="24"/>
          <w:szCs w:val="24"/>
          <w:highlight w:val="none"/>
        </w:rPr>
        <w:t>2.3.1</w:t>
      </w:r>
      <w:bookmarkEnd w:id="158"/>
      <w:bookmarkEnd w:id="159"/>
      <w:bookmarkEnd w:id="160"/>
      <w:bookmarkEnd w:id="161"/>
      <w:bookmarkEnd w:id="162"/>
      <w:r>
        <w:rPr>
          <w:rFonts w:eastAsia="宋体"/>
          <w:b/>
          <w:color w:val="auto"/>
          <w:w w:val="99"/>
          <w:kern w:val="2"/>
          <w:sz w:val="24"/>
          <w:szCs w:val="24"/>
          <w:highlight w:val="none"/>
        </w:rPr>
        <w:t>环境保护相关法律</w:t>
      </w:r>
      <w:bookmarkEnd w:id="163"/>
      <w:bookmarkEnd w:id="164"/>
      <w:bookmarkEnd w:id="165"/>
      <w:bookmarkEnd w:id="166"/>
      <w:bookmarkEnd w:id="167"/>
      <w:bookmarkEnd w:id="168"/>
      <w:bookmarkEnd w:id="169"/>
      <w:bookmarkEnd w:id="170"/>
      <w:bookmarkEnd w:id="171"/>
      <w:bookmarkEnd w:id="172"/>
      <w:r>
        <w:rPr>
          <w:rFonts w:hint="eastAsia" w:eastAsia="宋体"/>
          <w:b/>
          <w:color w:val="auto"/>
          <w:w w:val="99"/>
          <w:kern w:val="2"/>
          <w:sz w:val="24"/>
          <w:szCs w:val="24"/>
          <w:highlight w:val="none"/>
          <w:lang w:eastAsia="zh-CN"/>
        </w:rPr>
        <w:t>、</w:t>
      </w:r>
      <w:r>
        <w:rPr>
          <w:rFonts w:hint="eastAsia" w:eastAsia="宋体"/>
          <w:b/>
          <w:color w:val="auto"/>
          <w:w w:val="99"/>
          <w:kern w:val="2"/>
          <w:sz w:val="24"/>
          <w:szCs w:val="24"/>
          <w:highlight w:val="none"/>
          <w:lang w:val="en-US" w:eastAsia="zh-CN"/>
        </w:rPr>
        <w:t>法规</w:t>
      </w:r>
    </w:p>
    <w:p w14:paraId="7077DFEC">
      <w:pPr>
        <w:pStyle w:val="153"/>
        <w:widowControl w:val="0"/>
        <w:spacing w:line="440" w:lineRule="exact"/>
        <w:ind w:firstLine="473"/>
        <w:rPr>
          <w:rFonts w:hint="eastAsia" w:ascii="Times New Roman" w:hAnsi="Times New Roman"/>
          <w:snapToGrid w:val="0"/>
          <w:color w:val="auto"/>
          <w:w w:val="99"/>
          <w:highlight w:val="none"/>
          <w:lang w:eastAsia="zh-CN"/>
        </w:rPr>
      </w:pPr>
      <w:r>
        <w:rPr>
          <w:rFonts w:ascii="Times New Roman" w:hAnsi="Times New Roman"/>
          <w:snapToGrid w:val="0"/>
          <w:color w:val="auto"/>
          <w:w w:val="99"/>
          <w:highlight w:val="none"/>
        </w:rPr>
        <w:t>（1）</w:t>
      </w:r>
      <w:r>
        <w:rPr>
          <w:rFonts w:hint="eastAsia" w:ascii="Times New Roman" w:hAnsi="Times New Roman"/>
          <w:snapToGrid w:val="0"/>
          <w:color w:val="auto"/>
          <w:w w:val="99"/>
          <w:highlight w:val="none"/>
          <w:lang w:eastAsia="zh-CN"/>
        </w:rPr>
        <w:t>《</w:t>
      </w:r>
      <w:r>
        <w:rPr>
          <w:rFonts w:hint="eastAsia" w:ascii="Times New Roman" w:hAnsi="Times New Roman"/>
          <w:snapToGrid w:val="0"/>
          <w:color w:val="auto"/>
          <w:w w:val="99"/>
          <w:highlight w:val="none"/>
        </w:rPr>
        <w:t>中华人民共和国生态环境法典》</w:t>
      </w:r>
      <w:r>
        <w:rPr>
          <w:rFonts w:ascii="Times New Roman" w:hAnsi="Times New Roman"/>
          <w:snapToGrid w:val="0"/>
          <w:color w:val="auto"/>
          <w:w w:val="99"/>
          <w:highlight w:val="none"/>
        </w:rPr>
        <w:t>（主席令第七十号）</w:t>
      </w:r>
    </w:p>
    <w:p w14:paraId="7E965085">
      <w:pPr>
        <w:pStyle w:val="153"/>
        <w:widowControl w:val="0"/>
        <w:spacing w:line="440" w:lineRule="exact"/>
        <w:ind w:firstLine="473"/>
        <w:rPr>
          <w:rFonts w:ascii="Times New Roman" w:hAnsi="Times New Roman"/>
          <w:snapToGrid w:val="0"/>
          <w:color w:val="auto"/>
          <w:w w:val="99"/>
          <w:highlight w:val="none"/>
        </w:rPr>
      </w:pPr>
    </w:p>
    <w:p w14:paraId="676496DA">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w:t>
      </w:r>
      <w:r>
        <w:rPr>
          <w:rFonts w:hint="eastAsia" w:ascii="Times New Roman" w:hAnsi="Times New Roman"/>
          <w:snapToGrid w:val="0"/>
          <w:color w:val="auto"/>
          <w:w w:val="99"/>
          <w:highlight w:val="none"/>
          <w:lang w:val="en-US" w:eastAsia="zh-CN"/>
        </w:rPr>
        <w:t>2</w:t>
      </w:r>
      <w:r>
        <w:rPr>
          <w:rFonts w:ascii="Times New Roman" w:hAnsi="Times New Roman"/>
          <w:snapToGrid w:val="0"/>
          <w:color w:val="auto"/>
          <w:w w:val="99"/>
          <w:highlight w:val="none"/>
        </w:rPr>
        <w:t>）《中华人民共和国黑土地保护法》（</w:t>
      </w:r>
      <w:r>
        <w:rPr>
          <w:rFonts w:hint="eastAsia" w:ascii="Times New Roman" w:hAnsi="Times New Roman"/>
          <w:snapToGrid w:val="0"/>
          <w:color w:val="auto"/>
          <w:w w:val="99"/>
          <w:highlight w:val="none"/>
        </w:rPr>
        <w:t>主席令〔</w:t>
      </w:r>
      <w:r>
        <w:rPr>
          <w:rFonts w:ascii="Times New Roman" w:hAnsi="Times New Roman"/>
          <w:snapToGrid w:val="0"/>
          <w:color w:val="auto"/>
          <w:w w:val="99"/>
          <w:highlight w:val="none"/>
        </w:rPr>
        <w:t>2022〕115号）；</w:t>
      </w:r>
    </w:p>
    <w:p w14:paraId="18FC1BB0">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w:t>
      </w:r>
      <w:r>
        <w:rPr>
          <w:rFonts w:hint="eastAsia" w:ascii="Times New Roman" w:hAnsi="Times New Roman"/>
          <w:snapToGrid w:val="0"/>
          <w:color w:val="auto"/>
          <w:w w:val="99"/>
          <w:highlight w:val="none"/>
          <w:lang w:val="en-US" w:eastAsia="zh-CN"/>
        </w:rPr>
        <w:t>3</w:t>
      </w:r>
      <w:r>
        <w:rPr>
          <w:rFonts w:ascii="Times New Roman" w:hAnsi="Times New Roman"/>
          <w:snapToGrid w:val="0"/>
          <w:color w:val="auto"/>
          <w:w w:val="99"/>
          <w:highlight w:val="none"/>
        </w:rPr>
        <w:t>）《中华人民共和国水土保持法》（</w:t>
      </w:r>
      <w:r>
        <w:rPr>
          <w:rFonts w:hint="eastAsia" w:ascii="Times New Roman" w:hAnsi="Times New Roman"/>
          <w:snapToGrid w:val="0"/>
          <w:color w:val="auto"/>
          <w:w w:val="99"/>
          <w:highlight w:val="none"/>
        </w:rPr>
        <w:t>主席令</w:t>
      </w:r>
      <w:r>
        <w:rPr>
          <w:rFonts w:ascii="Times New Roman" w:hAnsi="Times New Roman"/>
          <w:snapToGrid w:val="0"/>
          <w:color w:val="auto"/>
          <w:w w:val="99"/>
          <w:highlight w:val="none"/>
        </w:rPr>
        <w:t>[2010]第39号[2010年修订本]）。</w:t>
      </w:r>
    </w:p>
    <w:p w14:paraId="2B25A9F8">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w:t>
      </w:r>
      <w:r>
        <w:rPr>
          <w:rFonts w:hint="eastAsia" w:ascii="Times New Roman" w:hAnsi="Times New Roman"/>
          <w:snapToGrid w:val="0"/>
          <w:color w:val="auto"/>
          <w:w w:val="99"/>
          <w:highlight w:val="none"/>
          <w:lang w:val="en-US" w:eastAsia="zh-CN"/>
        </w:rPr>
        <w:t>4</w:t>
      </w:r>
      <w:r>
        <w:rPr>
          <w:rFonts w:ascii="Times New Roman" w:hAnsi="Times New Roman"/>
          <w:snapToGrid w:val="0"/>
          <w:color w:val="auto"/>
          <w:w w:val="99"/>
          <w:highlight w:val="none"/>
        </w:rPr>
        <w:t>）《中华人民共和国野生动物保护法》（</w:t>
      </w:r>
      <w:r>
        <w:rPr>
          <w:rFonts w:hint="eastAsia" w:ascii="Times New Roman" w:hAnsi="Times New Roman"/>
          <w:snapToGrid w:val="0"/>
          <w:color w:val="auto"/>
          <w:w w:val="99"/>
          <w:highlight w:val="none"/>
        </w:rPr>
        <w:t>主席令〔</w:t>
      </w:r>
      <w:r>
        <w:rPr>
          <w:rFonts w:ascii="Times New Roman" w:hAnsi="Times New Roman"/>
          <w:snapToGrid w:val="0"/>
          <w:color w:val="auto"/>
          <w:w w:val="99"/>
          <w:highlight w:val="none"/>
        </w:rPr>
        <w:t>2022〕126号）；</w:t>
      </w:r>
    </w:p>
    <w:p w14:paraId="5EF6657C">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w:t>
      </w:r>
      <w:r>
        <w:rPr>
          <w:rFonts w:hint="eastAsia" w:ascii="Times New Roman" w:hAnsi="Times New Roman"/>
          <w:snapToGrid w:val="0"/>
          <w:color w:val="auto"/>
          <w:w w:val="99"/>
          <w:highlight w:val="none"/>
          <w:lang w:val="en-US" w:eastAsia="zh-CN"/>
        </w:rPr>
        <w:t>5</w:t>
      </w:r>
      <w:r>
        <w:rPr>
          <w:rFonts w:ascii="Times New Roman" w:hAnsi="Times New Roman"/>
          <w:snapToGrid w:val="0"/>
          <w:color w:val="auto"/>
          <w:w w:val="99"/>
          <w:highlight w:val="none"/>
        </w:rPr>
        <w:t>）《中华人民共和国防沙治沙法》（</w:t>
      </w:r>
      <w:r>
        <w:rPr>
          <w:rFonts w:hint="eastAsia" w:ascii="Times New Roman" w:hAnsi="Times New Roman"/>
          <w:snapToGrid w:val="0"/>
          <w:color w:val="auto"/>
          <w:w w:val="99"/>
          <w:highlight w:val="none"/>
        </w:rPr>
        <w:t>第十三届全国人民代表大会常务委员会第六次会议通过</w:t>
      </w:r>
      <w:r>
        <w:rPr>
          <w:rFonts w:ascii="Times New Roman" w:hAnsi="Times New Roman"/>
          <w:snapToGrid w:val="0"/>
          <w:color w:val="auto"/>
          <w:w w:val="99"/>
          <w:highlight w:val="none"/>
        </w:rPr>
        <w:t>2018年10月26日实施）；</w:t>
      </w:r>
    </w:p>
    <w:p w14:paraId="2DA03072">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w:t>
      </w:r>
      <w:r>
        <w:rPr>
          <w:rFonts w:hint="eastAsia" w:ascii="Times New Roman" w:hAnsi="Times New Roman"/>
          <w:snapToGrid w:val="0"/>
          <w:color w:val="auto"/>
          <w:w w:val="99"/>
          <w:highlight w:val="none"/>
          <w:lang w:val="en-US" w:eastAsia="zh-CN"/>
        </w:rPr>
        <w:t>6</w:t>
      </w:r>
      <w:r>
        <w:rPr>
          <w:rFonts w:ascii="Times New Roman" w:hAnsi="Times New Roman"/>
          <w:snapToGrid w:val="0"/>
          <w:color w:val="auto"/>
          <w:w w:val="99"/>
          <w:highlight w:val="none"/>
        </w:rPr>
        <w:t>）《中华人民共和国石油天然气管道保护法》（</w:t>
      </w:r>
      <w:r>
        <w:rPr>
          <w:rFonts w:hint="eastAsia" w:ascii="Times New Roman" w:hAnsi="Times New Roman"/>
          <w:snapToGrid w:val="0"/>
          <w:color w:val="auto"/>
          <w:w w:val="99"/>
          <w:highlight w:val="none"/>
        </w:rPr>
        <w:t>主席令</w:t>
      </w:r>
      <w:r>
        <w:rPr>
          <w:rFonts w:ascii="Times New Roman" w:hAnsi="Times New Roman"/>
          <w:snapToGrid w:val="0"/>
          <w:color w:val="auto"/>
          <w:w w:val="99"/>
          <w:highlight w:val="none"/>
        </w:rPr>
        <w:t>[2010]第30号）。</w:t>
      </w:r>
    </w:p>
    <w:p w14:paraId="756F5C8D">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w:t>
      </w:r>
      <w:r>
        <w:rPr>
          <w:rFonts w:hint="eastAsia" w:ascii="Times New Roman" w:hAnsi="Times New Roman"/>
          <w:snapToGrid w:val="0"/>
          <w:color w:val="auto"/>
          <w:w w:val="99"/>
          <w:highlight w:val="none"/>
          <w:lang w:val="en-US" w:eastAsia="zh-CN"/>
        </w:rPr>
        <w:t>7</w:t>
      </w:r>
      <w:r>
        <w:rPr>
          <w:rFonts w:ascii="Times New Roman" w:hAnsi="Times New Roman"/>
          <w:snapToGrid w:val="0"/>
          <w:color w:val="auto"/>
          <w:w w:val="99"/>
          <w:highlight w:val="none"/>
        </w:rPr>
        <w:t>）《建设项目环境保护管理条例》（</w:t>
      </w:r>
      <w:r>
        <w:rPr>
          <w:rFonts w:hint="eastAsia" w:ascii="Times New Roman" w:hAnsi="Times New Roman"/>
          <w:snapToGrid w:val="0"/>
          <w:color w:val="auto"/>
          <w:w w:val="99"/>
          <w:highlight w:val="none"/>
        </w:rPr>
        <w:t>国务院令第</w:t>
      </w:r>
      <w:r>
        <w:rPr>
          <w:rFonts w:ascii="Times New Roman" w:hAnsi="Times New Roman"/>
          <w:snapToGrid w:val="0"/>
          <w:color w:val="auto"/>
          <w:w w:val="99"/>
          <w:highlight w:val="none"/>
        </w:rPr>
        <w:t>682号〔2017年修正本〕）；</w:t>
      </w:r>
    </w:p>
    <w:p w14:paraId="4C3E96F1">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w:t>
      </w:r>
      <w:r>
        <w:rPr>
          <w:rFonts w:hint="eastAsia" w:ascii="Times New Roman" w:hAnsi="Times New Roman"/>
          <w:snapToGrid w:val="0"/>
          <w:color w:val="auto"/>
          <w:w w:val="99"/>
          <w:highlight w:val="none"/>
          <w:lang w:val="en-US" w:eastAsia="zh-CN"/>
        </w:rPr>
        <w:t>8</w:t>
      </w:r>
      <w:r>
        <w:rPr>
          <w:rFonts w:ascii="Times New Roman" w:hAnsi="Times New Roman"/>
          <w:snapToGrid w:val="0"/>
          <w:color w:val="auto"/>
          <w:w w:val="99"/>
          <w:highlight w:val="none"/>
        </w:rPr>
        <w:t>）《排污许可管理条例》（</w:t>
      </w:r>
      <w:r>
        <w:rPr>
          <w:rFonts w:hint="eastAsia" w:ascii="Times New Roman" w:hAnsi="Times New Roman"/>
          <w:snapToGrid w:val="0"/>
          <w:color w:val="auto"/>
          <w:w w:val="99"/>
          <w:highlight w:val="none"/>
        </w:rPr>
        <w:t>中华人民共和国国务院令</w:t>
      </w:r>
      <w:r>
        <w:rPr>
          <w:rFonts w:ascii="Times New Roman" w:hAnsi="Times New Roman"/>
          <w:snapToGrid w:val="0"/>
          <w:color w:val="auto"/>
          <w:w w:val="99"/>
          <w:highlight w:val="none"/>
        </w:rPr>
        <w:t xml:space="preserve"> 第736号）；</w:t>
      </w:r>
    </w:p>
    <w:p w14:paraId="18316FFF">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w:t>
      </w:r>
      <w:r>
        <w:rPr>
          <w:rFonts w:hint="eastAsia" w:ascii="Times New Roman" w:hAnsi="Times New Roman"/>
          <w:snapToGrid w:val="0"/>
          <w:color w:val="auto"/>
          <w:w w:val="99"/>
          <w:highlight w:val="none"/>
          <w:lang w:val="en-US" w:eastAsia="zh-CN"/>
        </w:rPr>
        <w:t>9</w:t>
      </w:r>
      <w:r>
        <w:rPr>
          <w:rFonts w:ascii="Times New Roman" w:hAnsi="Times New Roman"/>
          <w:snapToGrid w:val="0"/>
          <w:color w:val="auto"/>
          <w:w w:val="99"/>
          <w:highlight w:val="none"/>
        </w:rPr>
        <w:t>）《中华人民共和国土地管理法》（</w:t>
      </w:r>
      <w:r>
        <w:rPr>
          <w:rFonts w:hint="eastAsia" w:ascii="Times New Roman" w:hAnsi="Times New Roman"/>
          <w:snapToGrid w:val="0"/>
          <w:color w:val="auto"/>
          <w:w w:val="99"/>
          <w:highlight w:val="none"/>
        </w:rPr>
        <w:t>主席令〔</w:t>
      </w:r>
      <w:r>
        <w:rPr>
          <w:rFonts w:ascii="Times New Roman" w:hAnsi="Times New Roman"/>
          <w:snapToGrid w:val="0"/>
          <w:color w:val="auto"/>
          <w:w w:val="99"/>
          <w:highlight w:val="none"/>
        </w:rPr>
        <w:t>2019〕第32号〔2019年修正本〕）；</w:t>
      </w:r>
    </w:p>
    <w:p w14:paraId="3BA25850">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（1</w:t>
      </w:r>
      <w:r>
        <w:rPr>
          <w:rFonts w:hint="eastAsia" w:ascii="Times New Roman" w:hAnsi="Times New Roman"/>
          <w:snapToGrid w:val="0"/>
          <w:color w:val="auto"/>
          <w:w w:val="99"/>
          <w:highlight w:val="none"/>
          <w:lang w:val="en-US" w:eastAsia="zh-CN"/>
        </w:rPr>
        <w:t>0</w:t>
      </w:r>
      <w:r>
        <w:rPr>
          <w:rFonts w:ascii="Times New Roman" w:hAnsi="Times New Roman"/>
          <w:snapToGrid w:val="0"/>
          <w:color w:val="auto"/>
          <w:w w:val="99"/>
          <w:highlight w:val="none"/>
        </w:rPr>
        <w:t>）《中华人民共和国湿地保护法》（</w:t>
      </w:r>
      <w:r>
        <w:rPr>
          <w:rFonts w:hint="eastAsia" w:ascii="Times New Roman" w:hAnsi="Times New Roman"/>
          <w:snapToGrid w:val="0"/>
          <w:color w:val="auto"/>
          <w:w w:val="99"/>
          <w:highlight w:val="none"/>
        </w:rPr>
        <w:t>主席令〔</w:t>
      </w:r>
      <w:r>
        <w:rPr>
          <w:rFonts w:ascii="Times New Roman" w:hAnsi="Times New Roman"/>
          <w:snapToGrid w:val="0"/>
          <w:color w:val="auto"/>
          <w:w w:val="99"/>
          <w:highlight w:val="none"/>
        </w:rPr>
        <w:t>2021〕102号）；</w:t>
      </w:r>
    </w:p>
    <w:p w14:paraId="5E22C443">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（1</w:t>
      </w:r>
      <w:r>
        <w:rPr>
          <w:rFonts w:hint="eastAsia" w:ascii="Times New Roman" w:hAnsi="Times New Roman"/>
          <w:snapToGrid w:val="0"/>
          <w:color w:val="auto"/>
          <w:w w:val="99"/>
          <w:highlight w:val="none"/>
          <w:lang w:val="en-US" w:eastAsia="zh-CN"/>
        </w:rPr>
        <w:t>1</w:t>
      </w:r>
      <w:r>
        <w:rPr>
          <w:rFonts w:ascii="Times New Roman" w:hAnsi="Times New Roman"/>
          <w:snapToGrid w:val="0"/>
          <w:color w:val="auto"/>
          <w:w w:val="99"/>
          <w:highlight w:val="none"/>
        </w:rPr>
        <w:t>）《地下水管理条例》（</w:t>
      </w:r>
      <w:r>
        <w:rPr>
          <w:rFonts w:hint="eastAsia" w:ascii="Times New Roman" w:hAnsi="Times New Roman"/>
          <w:snapToGrid w:val="0"/>
          <w:color w:val="auto"/>
          <w:w w:val="99"/>
          <w:highlight w:val="none"/>
        </w:rPr>
        <w:t>国令第</w:t>
      </w:r>
      <w:r>
        <w:rPr>
          <w:rFonts w:ascii="Times New Roman" w:hAnsi="Times New Roman"/>
          <w:snapToGrid w:val="0"/>
          <w:color w:val="auto"/>
          <w:w w:val="99"/>
          <w:highlight w:val="none"/>
        </w:rPr>
        <w:t>748号）；</w:t>
      </w:r>
    </w:p>
    <w:p w14:paraId="76D017F3">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w:t>
      </w:r>
      <w:r>
        <w:rPr>
          <w:rFonts w:hint="eastAsia" w:ascii="Times New Roman" w:hAnsi="Times New Roman"/>
          <w:snapToGrid w:val="0"/>
          <w:color w:val="auto"/>
          <w:w w:val="99"/>
          <w:highlight w:val="none"/>
        </w:rPr>
        <w:t>1</w:t>
      </w:r>
      <w:r>
        <w:rPr>
          <w:rFonts w:hint="eastAsia" w:ascii="Times New Roman" w:hAnsi="Times New Roman"/>
          <w:snapToGrid w:val="0"/>
          <w:color w:val="auto"/>
          <w:w w:val="99"/>
          <w:highlight w:val="none"/>
          <w:lang w:val="en-US" w:eastAsia="zh-CN"/>
        </w:rPr>
        <w:t>2</w:t>
      </w:r>
      <w:r>
        <w:rPr>
          <w:rFonts w:ascii="Times New Roman" w:hAnsi="Times New Roman"/>
          <w:snapToGrid w:val="0"/>
          <w:color w:val="auto"/>
          <w:w w:val="99"/>
          <w:highlight w:val="none"/>
        </w:rPr>
        <w:t>）《基本农田保护条例》（</w:t>
      </w:r>
      <w:r>
        <w:rPr>
          <w:rFonts w:hint="eastAsia" w:ascii="Times New Roman" w:hAnsi="Times New Roman"/>
          <w:snapToGrid w:val="0"/>
          <w:color w:val="auto"/>
          <w:w w:val="99"/>
          <w:highlight w:val="none"/>
        </w:rPr>
        <w:t>国务院令第</w:t>
      </w:r>
      <w:r>
        <w:rPr>
          <w:rFonts w:ascii="Times New Roman" w:hAnsi="Times New Roman"/>
          <w:snapToGrid w:val="0"/>
          <w:color w:val="auto"/>
          <w:w w:val="99"/>
          <w:highlight w:val="none"/>
        </w:rPr>
        <w:t>257号）；</w:t>
      </w:r>
    </w:p>
    <w:p w14:paraId="2833CEC6">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w:t>
      </w:r>
      <w:r>
        <w:rPr>
          <w:rFonts w:hint="eastAsia" w:ascii="Times New Roman" w:hAnsi="Times New Roman"/>
          <w:snapToGrid w:val="0"/>
          <w:color w:val="auto"/>
          <w:w w:val="99"/>
          <w:highlight w:val="none"/>
          <w:lang w:val="en-US" w:eastAsia="zh-CN"/>
        </w:rPr>
        <w:t>13</w:t>
      </w:r>
      <w:r>
        <w:rPr>
          <w:rFonts w:ascii="Times New Roman" w:hAnsi="Times New Roman"/>
          <w:snapToGrid w:val="0"/>
          <w:color w:val="auto"/>
          <w:w w:val="99"/>
          <w:highlight w:val="none"/>
        </w:rPr>
        <w:t>）《</w:t>
      </w:r>
      <w:bookmarkStart w:id="173" w:name="OLE_LINK206"/>
      <w:bookmarkStart w:id="174" w:name="OLE_LINK207"/>
      <w:r>
        <w:rPr>
          <w:rFonts w:ascii="Times New Roman" w:hAnsi="Times New Roman"/>
          <w:snapToGrid w:val="0"/>
          <w:color w:val="auto"/>
          <w:w w:val="99"/>
          <w:highlight w:val="none"/>
        </w:rPr>
        <w:t>黑龙江省大气污染防治条例</w:t>
      </w:r>
      <w:bookmarkEnd w:id="173"/>
      <w:bookmarkEnd w:id="174"/>
      <w:r>
        <w:rPr>
          <w:rFonts w:ascii="Times New Roman" w:hAnsi="Times New Roman"/>
          <w:snapToGrid w:val="0"/>
          <w:color w:val="auto"/>
          <w:w w:val="99"/>
          <w:highlight w:val="none"/>
        </w:rPr>
        <w:t>》（</w:t>
      </w:r>
      <w:r>
        <w:rPr>
          <w:rFonts w:hint="eastAsia" w:ascii="Times New Roman" w:hAnsi="Times New Roman"/>
          <w:snapToGrid w:val="0"/>
          <w:color w:val="auto"/>
          <w:w w:val="99"/>
          <w:highlight w:val="none"/>
        </w:rPr>
        <w:t>黑人常〔</w:t>
      </w:r>
      <w:r>
        <w:rPr>
          <w:rFonts w:ascii="Times New Roman" w:hAnsi="Times New Roman"/>
          <w:snapToGrid w:val="0"/>
          <w:color w:val="auto"/>
          <w:w w:val="99"/>
          <w:highlight w:val="none"/>
        </w:rPr>
        <w:t>2017〕4号发布，黑人常〔2018〕15号修正）；</w:t>
      </w:r>
    </w:p>
    <w:p w14:paraId="66904164">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w:t>
      </w:r>
      <w:r>
        <w:rPr>
          <w:rFonts w:hint="eastAsia" w:ascii="Times New Roman" w:hAnsi="Times New Roman"/>
          <w:snapToGrid w:val="0"/>
          <w:color w:val="auto"/>
          <w:w w:val="99"/>
          <w:highlight w:val="none"/>
          <w:lang w:val="en-US" w:eastAsia="zh-CN"/>
        </w:rPr>
        <w:t>14</w:t>
      </w:r>
      <w:r>
        <w:rPr>
          <w:rFonts w:ascii="Times New Roman" w:hAnsi="Times New Roman"/>
          <w:snapToGrid w:val="0"/>
          <w:color w:val="auto"/>
          <w:w w:val="99"/>
          <w:highlight w:val="none"/>
        </w:rPr>
        <w:t>）《黑龙江省黑土地保护利用条例》（</w:t>
      </w:r>
      <w:r>
        <w:rPr>
          <w:rFonts w:hint="eastAsia" w:ascii="Times New Roman" w:hAnsi="Times New Roman"/>
          <w:snapToGrid w:val="0"/>
          <w:color w:val="auto"/>
          <w:w w:val="99"/>
          <w:highlight w:val="none"/>
        </w:rPr>
        <w:t>黑人常〔</w:t>
      </w:r>
      <w:r>
        <w:rPr>
          <w:rFonts w:ascii="Times New Roman" w:hAnsi="Times New Roman"/>
          <w:snapToGrid w:val="0"/>
          <w:color w:val="auto"/>
          <w:w w:val="99"/>
          <w:highlight w:val="none"/>
        </w:rPr>
        <w:t>2024〕17号）；</w:t>
      </w:r>
    </w:p>
    <w:p w14:paraId="472993C3">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w:t>
      </w:r>
      <w:r>
        <w:rPr>
          <w:rFonts w:hint="eastAsia" w:ascii="Times New Roman" w:hAnsi="Times New Roman"/>
          <w:snapToGrid w:val="0"/>
          <w:color w:val="auto"/>
          <w:w w:val="99"/>
          <w:highlight w:val="none"/>
          <w:lang w:val="en-US" w:eastAsia="zh-CN"/>
        </w:rPr>
        <w:t>15</w:t>
      </w:r>
      <w:r>
        <w:rPr>
          <w:rFonts w:ascii="Times New Roman" w:hAnsi="Times New Roman"/>
          <w:snapToGrid w:val="0"/>
          <w:color w:val="auto"/>
          <w:w w:val="99"/>
          <w:highlight w:val="none"/>
        </w:rPr>
        <w:t>）《黑龙江省耕地保护条例》（</w:t>
      </w:r>
      <w:r>
        <w:rPr>
          <w:rFonts w:hint="eastAsia" w:ascii="Times New Roman" w:hAnsi="Times New Roman"/>
          <w:snapToGrid w:val="0"/>
          <w:color w:val="auto"/>
          <w:w w:val="99"/>
          <w:highlight w:val="none"/>
        </w:rPr>
        <w:t>黑人常〔</w:t>
      </w:r>
      <w:r>
        <w:rPr>
          <w:rFonts w:ascii="Times New Roman" w:hAnsi="Times New Roman"/>
          <w:snapToGrid w:val="0"/>
          <w:color w:val="auto"/>
          <w:w w:val="99"/>
          <w:highlight w:val="none"/>
        </w:rPr>
        <w:t>2021〕43号）；</w:t>
      </w:r>
    </w:p>
    <w:p w14:paraId="2116720A">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w:t>
      </w:r>
      <w:r>
        <w:rPr>
          <w:rFonts w:hint="eastAsia" w:ascii="Times New Roman" w:hAnsi="Times New Roman"/>
          <w:snapToGrid w:val="0"/>
          <w:color w:val="auto"/>
          <w:w w:val="99"/>
          <w:highlight w:val="none"/>
          <w:lang w:val="en-US" w:eastAsia="zh-CN"/>
        </w:rPr>
        <w:t>16</w:t>
      </w:r>
      <w:r>
        <w:rPr>
          <w:rFonts w:ascii="Times New Roman" w:hAnsi="Times New Roman"/>
          <w:snapToGrid w:val="0"/>
          <w:color w:val="auto"/>
          <w:w w:val="99"/>
          <w:highlight w:val="none"/>
        </w:rPr>
        <w:t>）《黑龙江省水污染防治条例》（</w:t>
      </w:r>
      <w:r>
        <w:rPr>
          <w:rFonts w:hint="eastAsia" w:ascii="Times New Roman" w:hAnsi="Times New Roman"/>
          <w:snapToGrid w:val="0"/>
          <w:color w:val="auto"/>
          <w:w w:val="99"/>
          <w:highlight w:val="none"/>
        </w:rPr>
        <w:t>黑人常〔</w:t>
      </w:r>
      <w:r>
        <w:rPr>
          <w:rFonts w:ascii="Times New Roman" w:hAnsi="Times New Roman"/>
          <w:snapToGrid w:val="0"/>
          <w:color w:val="auto"/>
          <w:w w:val="99"/>
          <w:highlight w:val="none"/>
        </w:rPr>
        <w:t>2023〕13号）；</w:t>
      </w:r>
    </w:p>
    <w:p w14:paraId="7521A712">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w:t>
      </w:r>
      <w:r>
        <w:rPr>
          <w:rFonts w:hint="eastAsia" w:ascii="Times New Roman" w:hAnsi="Times New Roman"/>
          <w:snapToGrid w:val="0"/>
          <w:color w:val="auto"/>
          <w:w w:val="99"/>
          <w:highlight w:val="none"/>
          <w:lang w:val="en-US" w:eastAsia="zh-CN"/>
        </w:rPr>
        <w:t>17</w:t>
      </w:r>
      <w:r>
        <w:rPr>
          <w:rFonts w:ascii="Times New Roman" w:hAnsi="Times New Roman"/>
          <w:snapToGrid w:val="0"/>
          <w:color w:val="auto"/>
          <w:w w:val="99"/>
          <w:highlight w:val="none"/>
        </w:rPr>
        <w:t>）《黑龙江省防沙治沙条例》（</w:t>
      </w:r>
      <w:r>
        <w:rPr>
          <w:rFonts w:hint="eastAsia" w:ascii="Times New Roman" w:hAnsi="Times New Roman"/>
          <w:snapToGrid w:val="0"/>
          <w:color w:val="auto"/>
          <w:w w:val="99"/>
          <w:highlight w:val="none"/>
        </w:rPr>
        <w:t>黑人常〔</w:t>
      </w:r>
      <w:r>
        <w:rPr>
          <w:rFonts w:ascii="Times New Roman" w:hAnsi="Times New Roman"/>
          <w:snapToGrid w:val="0"/>
          <w:color w:val="auto"/>
          <w:w w:val="99"/>
          <w:highlight w:val="none"/>
        </w:rPr>
        <w:t>2008〕7号发布，黑人常〔2016〕44号、黑人常〔2018〕7号修正）</w:t>
      </w:r>
      <w:r>
        <w:rPr>
          <w:rFonts w:hint="eastAsia" w:ascii="Times New Roman" w:hAnsi="Times New Roman"/>
          <w:snapToGrid w:val="0"/>
          <w:color w:val="auto"/>
          <w:w w:val="99"/>
          <w:highlight w:val="none"/>
        </w:rPr>
        <w:t>；</w:t>
      </w:r>
    </w:p>
    <w:p w14:paraId="2CAF9765">
      <w:pPr>
        <w:pStyle w:val="7"/>
        <w:widowControl w:val="0"/>
        <w:spacing w:before="60" w:after="60" w:line="440" w:lineRule="exact"/>
        <w:jc w:val="both"/>
        <w:rPr>
          <w:rFonts w:eastAsiaTheme="minorEastAsia"/>
          <w:b/>
          <w:color w:val="auto"/>
          <w:w w:val="99"/>
          <w:kern w:val="2"/>
          <w:sz w:val="24"/>
          <w:szCs w:val="24"/>
          <w:highlight w:val="none"/>
        </w:rPr>
      </w:pPr>
      <w:bookmarkStart w:id="175" w:name="_Toc85640717"/>
      <w:bookmarkStart w:id="176" w:name="_Toc131167256"/>
      <w:bookmarkStart w:id="177" w:name="_Toc127192305"/>
      <w:bookmarkStart w:id="178" w:name="_Toc126863356"/>
      <w:bookmarkStart w:id="179" w:name="_Toc84929193"/>
      <w:bookmarkStart w:id="180" w:name="_Toc143099543"/>
      <w:bookmarkStart w:id="181" w:name="_Toc186444240"/>
      <w:bookmarkStart w:id="182" w:name="_Toc86141900"/>
      <w:r>
        <w:rPr>
          <w:rFonts w:eastAsiaTheme="minorEastAsia"/>
          <w:b/>
          <w:color w:val="auto"/>
          <w:w w:val="99"/>
          <w:kern w:val="2"/>
          <w:sz w:val="24"/>
          <w:szCs w:val="24"/>
          <w:highlight w:val="none"/>
        </w:rPr>
        <w:t>2.3.2环境保护相关部门规章及规范性文件</w:t>
      </w:r>
      <w:bookmarkEnd w:id="175"/>
      <w:bookmarkEnd w:id="176"/>
      <w:bookmarkEnd w:id="177"/>
      <w:bookmarkEnd w:id="178"/>
      <w:bookmarkEnd w:id="179"/>
      <w:bookmarkEnd w:id="180"/>
      <w:bookmarkEnd w:id="181"/>
      <w:bookmarkEnd w:id="182"/>
    </w:p>
    <w:p w14:paraId="674FB7FC">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（1）《建设项目环境影响评价分类管理名录（2021年版）》（</w:t>
      </w:r>
      <w:r>
        <w:rPr>
          <w:rFonts w:hint="eastAsia" w:ascii="Times New Roman" w:hAnsi="Times New Roman"/>
          <w:snapToGrid w:val="0"/>
          <w:color w:val="auto"/>
          <w:w w:val="99"/>
          <w:highlight w:val="none"/>
        </w:rPr>
        <w:t>生态环境部令</w:t>
      </w:r>
      <w:r>
        <w:rPr>
          <w:rFonts w:ascii="Times New Roman" w:hAnsi="Times New Roman"/>
          <w:snapToGrid w:val="0"/>
          <w:color w:val="auto"/>
          <w:w w:val="99"/>
          <w:highlight w:val="none"/>
        </w:rPr>
        <w:t>第16号）；</w:t>
      </w:r>
    </w:p>
    <w:p w14:paraId="78522485">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（2）《产业结构调整指导目录（2024年本）》（</w:t>
      </w:r>
      <w:r>
        <w:rPr>
          <w:rFonts w:hint="eastAsia" w:ascii="Times New Roman" w:hAnsi="Times New Roman"/>
          <w:snapToGrid w:val="0"/>
          <w:color w:val="auto"/>
          <w:w w:val="99"/>
          <w:highlight w:val="none"/>
        </w:rPr>
        <w:t>国家发展和改革委员会令</w:t>
      </w:r>
      <w:r>
        <w:rPr>
          <w:rFonts w:ascii="Times New Roman" w:hAnsi="Times New Roman"/>
          <w:snapToGrid w:val="0"/>
          <w:color w:val="auto"/>
          <w:w w:val="99"/>
          <w:highlight w:val="none"/>
        </w:rPr>
        <w:t>[2023]第7号）；</w:t>
      </w:r>
    </w:p>
    <w:p w14:paraId="02500AB1">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（3）《国家危险废物名录（2025年版）》（</w:t>
      </w:r>
      <w:r>
        <w:rPr>
          <w:rFonts w:hint="eastAsia" w:ascii="Times New Roman" w:hAnsi="Times New Roman"/>
          <w:snapToGrid w:val="0"/>
          <w:color w:val="auto"/>
          <w:w w:val="99"/>
          <w:highlight w:val="none"/>
        </w:rPr>
        <w:t>生态环境部</w:t>
      </w:r>
      <w:r>
        <w:rPr>
          <w:rFonts w:ascii="Times New Roman" w:hAnsi="Times New Roman"/>
          <w:snapToGrid w:val="0"/>
          <w:color w:val="auto"/>
          <w:w w:val="99"/>
          <w:highlight w:val="none"/>
        </w:rPr>
        <w:t xml:space="preserve"> 国家发展和改革委员会 公安部 交通运输部 国家卫生健康委员会 2024年 部令 第36号）；</w:t>
      </w:r>
    </w:p>
    <w:p w14:paraId="53B6CBE4">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（4）《危险废物排除管理清单（2021年版）》（</w:t>
      </w:r>
      <w:r>
        <w:rPr>
          <w:rFonts w:hint="eastAsia" w:ascii="Times New Roman" w:hAnsi="Times New Roman"/>
          <w:snapToGrid w:val="0"/>
          <w:color w:val="auto"/>
          <w:w w:val="99"/>
          <w:highlight w:val="none"/>
        </w:rPr>
        <w:t>环境部公告〔</w:t>
      </w:r>
      <w:r>
        <w:rPr>
          <w:rFonts w:ascii="Times New Roman" w:hAnsi="Times New Roman"/>
          <w:snapToGrid w:val="0"/>
          <w:color w:val="auto"/>
          <w:w w:val="99"/>
          <w:highlight w:val="none"/>
        </w:rPr>
        <w:t>2021〕66号）；</w:t>
      </w:r>
    </w:p>
    <w:p w14:paraId="4294B796">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（5）《危险废物转移管理办法》（</w:t>
      </w:r>
      <w:r>
        <w:rPr>
          <w:rFonts w:hint="eastAsia" w:ascii="Times New Roman" w:hAnsi="Times New Roman"/>
          <w:snapToGrid w:val="0"/>
          <w:color w:val="auto"/>
          <w:w w:val="99"/>
          <w:highlight w:val="none"/>
        </w:rPr>
        <w:t>生态环境部、公安部、交通运输部</w:t>
      </w:r>
      <w:r>
        <w:rPr>
          <w:rFonts w:ascii="Times New Roman" w:hAnsi="Times New Roman"/>
          <w:snapToGrid w:val="0"/>
          <w:color w:val="auto"/>
          <w:w w:val="99"/>
          <w:highlight w:val="none"/>
        </w:rPr>
        <w:t xml:space="preserve"> 2021年部令第23号）；</w:t>
      </w:r>
    </w:p>
    <w:p w14:paraId="37457D68">
      <w:pPr>
        <w:pStyle w:val="153"/>
        <w:widowControl w:val="0"/>
        <w:spacing w:line="440" w:lineRule="exact"/>
        <w:ind w:firstLine="473"/>
        <w:rPr>
          <w:rFonts w:ascii="Times New Roman" w:hAnsi="Times New Roman"/>
          <w:snapToGrid w:val="0"/>
          <w:color w:val="auto"/>
          <w:w w:val="99"/>
          <w:highlight w:val="none"/>
        </w:rPr>
      </w:pPr>
      <w:r>
        <w:rPr>
          <w:rFonts w:hint="eastAsia" w:ascii="Times New Roman" w:hAnsi="Times New Roman"/>
          <w:snapToGrid w:val="0"/>
          <w:color w:val="auto"/>
          <w:w w:val="99"/>
          <w:highlight w:val="none"/>
          <w:lang w:eastAsia="zh-CN"/>
        </w:rPr>
        <w:t>（</w:t>
      </w:r>
      <w:r>
        <w:rPr>
          <w:rFonts w:hint="eastAsia" w:ascii="Times New Roman" w:hAnsi="Times New Roman"/>
          <w:snapToGrid w:val="0"/>
          <w:color w:val="auto"/>
          <w:w w:val="99"/>
          <w:highlight w:val="none"/>
          <w:lang w:val="en-US" w:eastAsia="zh-CN"/>
        </w:rPr>
        <w:t>6</w:t>
      </w:r>
      <w:r>
        <w:rPr>
          <w:rFonts w:hint="eastAsia" w:ascii="Times New Roman" w:hAnsi="Times New Roman"/>
          <w:snapToGrid w:val="0"/>
          <w:color w:val="auto"/>
          <w:w w:val="99"/>
          <w:highlight w:val="none"/>
          <w:lang w:eastAsia="zh-CN"/>
        </w:rPr>
        <w:t>）</w:t>
      </w:r>
      <w:r>
        <w:rPr>
          <w:rFonts w:hint="eastAsia" w:ascii="Times New Roman" w:hAnsi="Times New Roman"/>
          <w:snapToGrid w:val="0"/>
          <w:color w:val="auto"/>
          <w:w w:val="99"/>
          <w:highlight w:val="none"/>
        </w:rPr>
        <w:t>《永久基本农田保护红线管理办法》（2025年10月1日）</w:t>
      </w:r>
      <w:r>
        <w:rPr>
          <w:rFonts w:hint="eastAsia" w:ascii="Times New Roman" w:hAnsi="Times New Roman"/>
          <w:snapToGrid w:val="0"/>
          <w:color w:val="auto"/>
          <w:w w:val="99"/>
          <w:highlight w:val="none"/>
          <w:lang w:eastAsia="zh-CN"/>
        </w:rPr>
        <w:t>；</w:t>
      </w:r>
    </w:p>
    <w:p w14:paraId="1AD26D4E">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w:t>
      </w:r>
      <w:r>
        <w:rPr>
          <w:rFonts w:hint="eastAsia" w:ascii="Times New Roman" w:hAnsi="Times New Roman"/>
          <w:snapToGrid w:val="0"/>
          <w:color w:val="auto"/>
          <w:w w:val="99"/>
          <w:highlight w:val="none"/>
          <w:lang w:val="en-US" w:eastAsia="zh-CN"/>
        </w:rPr>
        <w:t>7</w:t>
      </w:r>
      <w:r>
        <w:rPr>
          <w:rFonts w:ascii="Times New Roman" w:hAnsi="Times New Roman"/>
          <w:snapToGrid w:val="0"/>
          <w:color w:val="auto"/>
          <w:w w:val="99"/>
          <w:highlight w:val="none"/>
        </w:rPr>
        <w:t>）《关于进一步加强环境影响评价管理防范环境风险的通知》（</w:t>
      </w:r>
      <w:r>
        <w:rPr>
          <w:rFonts w:hint="eastAsia" w:ascii="Times New Roman" w:hAnsi="Times New Roman"/>
          <w:snapToGrid w:val="0"/>
          <w:color w:val="auto"/>
          <w:w w:val="99"/>
          <w:highlight w:val="none"/>
        </w:rPr>
        <w:t>环发〔</w:t>
      </w:r>
      <w:r>
        <w:rPr>
          <w:rFonts w:ascii="Times New Roman" w:hAnsi="Times New Roman"/>
          <w:snapToGrid w:val="0"/>
          <w:color w:val="auto"/>
          <w:w w:val="99"/>
          <w:highlight w:val="none"/>
        </w:rPr>
        <w:t>2012〕77号）；</w:t>
      </w:r>
    </w:p>
    <w:p w14:paraId="15B80BCD">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w:t>
      </w:r>
      <w:r>
        <w:rPr>
          <w:rFonts w:hint="eastAsia" w:ascii="Times New Roman" w:hAnsi="Times New Roman"/>
          <w:snapToGrid w:val="0"/>
          <w:color w:val="auto"/>
          <w:w w:val="99"/>
          <w:highlight w:val="none"/>
          <w:lang w:val="en-US" w:eastAsia="zh-CN"/>
        </w:rPr>
        <w:t>8</w:t>
      </w:r>
      <w:r>
        <w:rPr>
          <w:rFonts w:ascii="Times New Roman" w:hAnsi="Times New Roman"/>
          <w:snapToGrid w:val="0"/>
          <w:color w:val="auto"/>
          <w:w w:val="99"/>
          <w:highlight w:val="none"/>
        </w:rPr>
        <w:t>）《关于进一步加强危险废物环境治理严密防控环境风险的指导意见》（环固体〔2025〕10号）</w:t>
      </w:r>
    </w:p>
    <w:p w14:paraId="50A96F5E">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w:t>
      </w:r>
      <w:r>
        <w:rPr>
          <w:rFonts w:hint="eastAsia" w:ascii="Times New Roman" w:hAnsi="Times New Roman"/>
          <w:snapToGrid w:val="0"/>
          <w:color w:val="auto"/>
          <w:w w:val="99"/>
          <w:highlight w:val="none"/>
          <w:lang w:val="en-US" w:eastAsia="zh-CN"/>
        </w:rPr>
        <w:t>9</w:t>
      </w:r>
      <w:r>
        <w:rPr>
          <w:rFonts w:ascii="Times New Roman" w:hAnsi="Times New Roman"/>
          <w:snapToGrid w:val="0"/>
          <w:color w:val="auto"/>
          <w:w w:val="99"/>
          <w:highlight w:val="none"/>
        </w:rPr>
        <w:t>）《关于切实加强风险防范严格环境影响评价管理的通知》（</w:t>
      </w:r>
      <w:r>
        <w:rPr>
          <w:rFonts w:hint="eastAsia" w:ascii="Times New Roman" w:hAnsi="Times New Roman"/>
          <w:snapToGrid w:val="0"/>
          <w:color w:val="auto"/>
          <w:w w:val="99"/>
          <w:highlight w:val="none"/>
        </w:rPr>
        <w:t>环发〔</w:t>
      </w:r>
      <w:r>
        <w:rPr>
          <w:rFonts w:ascii="Times New Roman" w:hAnsi="Times New Roman"/>
          <w:snapToGrid w:val="0"/>
          <w:color w:val="auto"/>
          <w:w w:val="99"/>
          <w:highlight w:val="none"/>
        </w:rPr>
        <w:t>2012〕98号）；</w:t>
      </w:r>
    </w:p>
    <w:p w14:paraId="0F225652">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w:t>
      </w:r>
      <w:r>
        <w:rPr>
          <w:rFonts w:hint="eastAsia" w:ascii="Times New Roman" w:hAnsi="Times New Roman"/>
          <w:snapToGrid w:val="0"/>
          <w:color w:val="auto"/>
          <w:w w:val="99"/>
          <w:highlight w:val="none"/>
          <w:lang w:val="en-US" w:eastAsia="zh-CN"/>
        </w:rPr>
        <w:t>10</w:t>
      </w:r>
      <w:r>
        <w:rPr>
          <w:rFonts w:ascii="Times New Roman" w:hAnsi="Times New Roman"/>
          <w:snapToGrid w:val="0"/>
          <w:color w:val="auto"/>
          <w:w w:val="99"/>
          <w:highlight w:val="none"/>
        </w:rPr>
        <w:t>） 《环境影响评价公众参与办法》（</w:t>
      </w:r>
      <w:r>
        <w:rPr>
          <w:rFonts w:hint="eastAsia" w:ascii="Times New Roman" w:hAnsi="Times New Roman"/>
          <w:snapToGrid w:val="0"/>
          <w:color w:val="auto"/>
          <w:w w:val="99"/>
          <w:highlight w:val="none"/>
        </w:rPr>
        <w:t>生态环境部令〔</w:t>
      </w:r>
      <w:r>
        <w:rPr>
          <w:rFonts w:ascii="Times New Roman" w:hAnsi="Times New Roman"/>
          <w:snapToGrid w:val="0"/>
          <w:color w:val="auto"/>
          <w:w w:val="99"/>
          <w:highlight w:val="none"/>
        </w:rPr>
        <w:t>2018〕第4号）；</w:t>
      </w:r>
    </w:p>
    <w:p w14:paraId="33565438">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（1</w:t>
      </w:r>
      <w:r>
        <w:rPr>
          <w:rFonts w:hint="eastAsia" w:ascii="Times New Roman" w:hAnsi="Times New Roman"/>
          <w:snapToGrid w:val="0"/>
          <w:color w:val="auto"/>
          <w:w w:val="99"/>
          <w:highlight w:val="none"/>
          <w:lang w:val="en-US" w:eastAsia="zh-CN"/>
        </w:rPr>
        <w:t>1</w:t>
      </w:r>
      <w:r>
        <w:rPr>
          <w:rFonts w:ascii="Times New Roman" w:hAnsi="Times New Roman"/>
          <w:snapToGrid w:val="0"/>
          <w:color w:val="auto"/>
          <w:w w:val="99"/>
          <w:highlight w:val="none"/>
        </w:rPr>
        <w:t>）《关于进一步加强石油天然气行业环境影响评价管理的通知》（环办环评函〔2019〕910号）；</w:t>
      </w:r>
    </w:p>
    <w:p w14:paraId="4B9E06DB">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（1</w:t>
      </w:r>
      <w:r>
        <w:rPr>
          <w:rFonts w:hint="eastAsia" w:ascii="Times New Roman" w:hAnsi="Times New Roman"/>
          <w:snapToGrid w:val="0"/>
          <w:color w:val="auto"/>
          <w:w w:val="99"/>
          <w:highlight w:val="none"/>
          <w:lang w:val="en-US" w:eastAsia="zh-CN"/>
        </w:rPr>
        <w:t>2</w:t>
      </w:r>
      <w:r>
        <w:rPr>
          <w:rFonts w:ascii="Times New Roman" w:hAnsi="Times New Roman"/>
          <w:snapToGrid w:val="0"/>
          <w:color w:val="auto"/>
          <w:w w:val="99"/>
          <w:highlight w:val="none"/>
        </w:rPr>
        <w:t>） 《石油天然气开采业污染防治技术政策》（环保部公告2012年第18号）；</w:t>
      </w:r>
    </w:p>
    <w:p w14:paraId="0879D774">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（1</w:t>
      </w:r>
      <w:r>
        <w:rPr>
          <w:rFonts w:hint="eastAsia" w:ascii="Times New Roman" w:hAnsi="Times New Roman"/>
          <w:snapToGrid w:val="0"/>
          <w:color w:val="auto"/>
          <w:w w:val="99"/>
          <w:highlight w:val="none"/>
          <w:lang w:val="en-US" w:eastAsia="zh-CN"/>
        </w:rPr>
        <w:t>3</w:t>
      </w:r>
      <w:r>
        <w:rPr>
          <w:rFonts w:ascii="Times New Roman" w:hAnsi="Times New Roman"/>
          <w:snapToGrid w:val="0"/>
          <w:color w:val="auto"/>
          <w:w w:val="99"/>
          <w:highlight w:val="none"/>
        </w:rPr>
        <w:t>）《自然资源部关于规范临时用地管理的通知》（自然资规〔2021〕2号）；</w:t>
      </w:r>
    </w:p>
    <w:p w14:paraId="454B3317">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（1</w:t>
      </w:r>
      <w:r>
        <w:rPr>
          <w:rFonts w:hint="eastAsia" w:ascii="Times New Roman" w:hAnsi="Times New Roman"/>
          <w:snapToGrid w:val="0"/>
          <w:color w:val="auto"/>
          <w:w w:val="99"/>
          <w:highlight w:val="none"/>
          <w:lang w:val="en-US" w:eastAsia="zh-CN"/>
        </w:rPr>
        <w:t>4</w:t>
      </w:r>
      <w:r>
        <w:rPr>
          <w:rFonts w:ascii="Times New Roman" w:hAnsi="Times New Roman"/>
          <w:snapToGrid w:val="0"/>
          <w:color w:val="auto"/>
          <w:w w:val="99"/>
          <w:highlight w:val="none"/>
        </w:rPr>
        <w:t>）《排污许可管理办法》（</w:t>
      </w:r>
      <w:r>
        <w:rPr>
          <w:rFonts w:hint="eastAsia" w:ascii="Times New Roman" w:hAnsi="Times New Roman"/>
          <w:snapToGrid w:val="0"/>
          <w:color w:val="auto"/>
          <w:w w:val="99"/>
          <w:highlight w:val="none"/>
        </w:rPr>
        <w:t>环境部令〔</w:t>
      </w:r>
      <w:r>
        <w:rPr>
          <w:rFonts w:ascii="Times New Roman" w:hAnsi="Times New Roman"/>
          <w:snapToGrid w:val="0"/>
          <w:color w:val="auto"/>
          <w:w w:val="99"/>
          <w:highlight w:val="none"/>
        </w:rPr>
        <w:t>2024〕32号）；</w:t>
      </w:r>
    </w:p>
    <w:p w14:paraId="70F3CACD">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（1</w:t>
      </w:r>
      <w:r>
        <w:rPr>
          <w:rFonts w:hint="eastAsia" w:ascii="Times New Roman" w:hAnsi="Times New Roman"/>
          <w:snapToGrid w:val="0"/>
          <w:color w:val="auto"/>
          <w:w w:val="99"/>
          <w:highlight w:val="none"/>
          <w:lang w:val="en-US" w:eastAsia="zh-CN"/>
        </w:rPr>
        <w:t>5</w:t>
      </w:r>
      <w:r>
        <w:rPr>
          <w:rFonts w:ascii="Times New Roman" w:hAnsi="Times New Roman"/>
          <w:snapToGrid w:val="0"/>
          <w:color w:val="auto"/>
          <w:w w:val="99"/>
          <w:highlight w:val="none"/>
        </w:rPr>
        <w:t>）《沙化土地封禁保护修复制度方案》（林涵沙字〔2016〕167号）；</w:t>
      </w:r>
    </w:p>
    <w:p w14:paraId="53B80552">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（1</w:t>
      </w:r>
      <w:r>
        <w:rPr>
          <w:rFonts w:hint="eastAsia" w:ascii="Times New Roman" w:hAnsi="Times New Roman"/>
          <w:snapToGrid w:val="0"/>
          <w:color w:val="auto"/>
          <w:w w:val="99"/>
          <w:highlight w:val="none"/>
          <w:lang w:val="en-US" w:eastAsia="zh-CN"/>
        </w:rPr>
        <w:t>6</w:t>
      </w:r>
      <w:r>
        <w:rPr>
          <w:rFonts w:ascii="Times New Roman" w:hAnsi="Times New Roman"/>
          <w:snapToGrid w:val="0"/>
          <w:color w:val="auto"/>
          <w:w w:val="99"/>
          <w:highlight w:val="none"/>
        </w:rPr>
        <w:t>）《关于印发&lt;关于贯彻落实《沙化土地封禁保护修复制度方案》的实施意见&gt;的通知》（黑防沙发〔</w:t>
      </w:r>
      <w:r>
        <w:rPr>
          <w:rFonts w:hint="eastAsia" w:ascii="Times New Roman" w:hAnsi="Times New Roman"/>
          <w:snapToGrid w:val="0"/>
          <w:color w:val="auto"/>
          <w:w w:val="99"/>
          <w:highlight w:val="none"/>
        </w:rPr>
        <w:t>2</w:t>
      </w:r>
      <w:r>
        <w:rPr>
          <w:rFonts w:ascii="Times New Roman" w:hAnsi="Times New Roman"/>
          <w:snapToGrid w:val="0"/>
          <w:color w:val="auto"/>
          <w:w w:val="99"/>
          <w:highlight w:val="none"/>
        </w:rPr>
        <w:t>020</w:t>
      </w:r>
      <w:r>
        <w:rPr>
          <w:rFonts w:hint="eastAsia" w:ascii="Times New Roman" w:hAnsi="Times New Roman"/>
          <w:snapToGrid w:val="0"/>
          <w:color w:val="auto"/>
          <w:w w:val="99"/>
          <w:highlight w:val="none"/>
        </w:rPr>
        <w:t>〕3号</w:t>
      </w:r>
      <w:r>
        <w:rPr>
          <w:rFonts w:ascii="Times New Roman" w:hAnsi="Times New Roman"/>
          <w:snapToGrid w:val="0"/>
          <w:color w:val="auto"/>
          <w:w w:val="99"/>
          <w:highlight w:val="none"/>
        </w:rPr>
        <w:t>）；</w:t>
      </w:r>
    </w:p>
    <w:p w14:paraId="55B0F587">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w:t>
      </w:r>
      <w:r>
        <w:rPr>
          <w:rFonts w:hint="eastAsia" w:ascii="Times New Roman" w:hAnsi="Times New Roman"/>
          <w:snapToGrid w:val="0"/>
          <w:color w:val="auto"/>
          <w:w w:val="99"/>
          <w:highlight w:val="none"/>
        </w:rPr>
        <w:t>1</w:t>
      </w:r>
      <w:r>
        <w:rPr>
          <w:rFonts w:hint="eastAsia" w:ascii="Times New Roman" w:hAnsi="Times New Roman"/>
          <w:snapToGrid w:val="0"/>
          <w:color w:val="auto"/>
          <w:w w:val="99"/>
          <w:highlight w:val="none"/>
          <w:lang w:val="en-US" w:eastAsia="zh-CN"/>
        </w:rPr>
        <w:t>7</w:t>
      </w:r>
      <w:r>
        <w:rPr>
          <w:rFonts w:ascii="Times New Roman" w:hAnsi="Times New Roman"/>
          <w:snapToGrid w:val="0"/>
          <w:color w:val="auto"/>
          <w:w w:val="99"/>
          <w:highlight w:val="none"/>
        </w:rPr>
        <w:t>）《</w:t>
      </w:r>
      <w:r>
        <w:rPr>
          <w:rFonts w:hint="eastAsia" w:ascii="Times New Roman" w:hAnsi="Times New Roman"/>
          <w:snapToGrid w:val="0"/>
          <w:color w:val="auto"/>
          <w:w w:val="99"/>
          <w:highlight w:val="none"/>
        </w:rPr>
        <w:t>关于印发《土壤污染源头防控行动计划》的通知》（</w:t>
      </w:r>
      <w:r>
        <w:rPr>
          <w:rFonts w:ascii="Times New Roman" w:hAnsi="Times New Roman"/>
          <w:snapToGrid w:val="0"/>
          <w:color w:val="auto"/>
          <w:w w:val="99"/>
          <w:highlight w:val="none"/>
        </w:rPr>
        <w:t>环土壤〔2024〕80号</w:t>
      </w:r>
      <w:r>
        <w:rPr>
          <w:rFonts w:hint="eastAsia" w:ascii="Times New Roman" w:hAnsi="Times New Roman"/>
          <w:snapToGrid w:val="0"/>
          <w:color w:val="auto"/>
          <w:w w:val="99"/>
          <w:highlight w:val="none"/>
        </w:rPr>
        <w:t>）；</w:t>
      </w:r>
    </w:p>
    <w:p w14:paraId="00C8149D">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（1</w:t>
      </w:r>
      <w:r>
        <w:rPr>
          <w:rFonts w:hint="eastAsia" w:ascii="Times New Roman" w:hAnsi="Times New Roman"/>
          <w:snapToGrid w:val="0"/>
          <w:color w:val="auto"/>
          <w:w w:val="99"/>
          <w:highlight w:val="none"/>
          <w:lang w:val="en-US" w:eastAsia="zh-CN"/>
        </w:rPr>
        <w:t>8</w:t>
      </w:r>
      <w:r>
        <w:rPr>
          <w:rFonts w:ascii="Times New Roman" w:hAnsi="Times New Roman"/>
          <w:snapToGrid w:val="0"/>
          <w:color w:val="auto"/>
          <w:w w:val="99"/>
          <w:highlight w:val="none"/>
        </w:rPr>
        <w:t>）《黑龙江省主体功能区规划》（黑政发〔2012〕29 号）；</w:t>
      </w:r>
    </w:p>
    <w:p w14:paraId="16CB72FA">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w:t>
      </w:r>
      <w:r>
        <w:rPr>
          <w:rFonts w:hint="eastAsia" w:ascii="Times New Roman" w:hAnsi="Times New Roman"/>
          <w:snapToGrid w:val="0"/>
          <w:color w:val="auto"/>
          <w:w w:val="99"/>
          <w:highlight w:val="none"/>
        </w:rPr>
        <w:t>1</w:t>
      </w:r>
      <w:r>
        <w:rPr>
          <w:rFonts w:hint="eastAsia" w:ascii="Times New Roman" w:hAnsi="Times New Roman"/>
          <w:snapToGrid w:val="0"/>
          <w:color w:val="auto"/>
          <w:w w:val="99"/>
          <w:highlight w:val="none"/>
          <w:lang w:val="en-US" w:eastAsia="zh-CN"/>
        </w:rPr>
        <w:t>9</w:t>
      </w:r>
      <w:r>
        <w:rPr>
          <w:rFonts w:ascii="Times New Roman" w:hAnsi="Times New Roman"/>
          <w:snapToGrid w:val="0"/>
          <w:color w:val="auto"/>
          <w:w w:val="99"/>
          <w:highlight w:val="none"/>
        </w:rPr>
        <w:t>）《黑龙江省生态功能区划》（黑政函〔2006〕75号）；</w:t>
      </w:r>
    </w:p>
    <w:p w14:paraId="16068D2F">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w:t>
      </w:r>
      <w:r>
        <w:rPr>
          <w:rFonts w:hint="eastAsia" w:ascii="Times New Roman" w:hAnsi="Times New Roman"/>
          <w:snapToGrid w:val="0"/>
          <w:color w:val="auto"/>
          <w:w w:val="99"/>
          <w:highlight w:val="none"/>
          <w:lang w:val="en-US" w:eastAsia="zh-CN"/>
        </w:rPr>
        <w:t>20</w:t>
      </w:r>
      <w:r>
        <w:rPr>
          <w:rFonts w:ascii="Times New Roman" w:hAnsi="Times New Roman"/>
          <w:snapToGrid w:val="0"/>
          <w:color w:val="auto"/>
          <w:w w:val="99"/>
          <w:highlight w:val="none"/>
        </w:rPr>
        <w:t>）《黑龙江省“十四五”黑土地保护规划》</w:t>
      </w:r>
      <w:r>
        <w:rPr>
          <w:rFonts w:hint="eastAsia" w:ascii="Times New Roman" w:hAnsi="Times New Roman"/>
          <w:snapToGrid w:val="0"/>
          <w:color w:val="auto"/>
          <w:w w:val="99"/>
          <w:highlight w:val="none"/>
        </w:rPr>
        <w:t>（黑政办规〔</w:t>
      </w:r>
      <w:r>
        <w:rPr>
          <w:rFonts w:ascii="Times New Roman" w:hAnsi="Times New Roman"/>
          <w:snapToGrid w:val="0"/>
          <w:color w:val="auto"/>
          <w:w w:val="99"/>
          <w:highlight w:val="none"/>
        </w:rPr>
        <w:t>2021〕48号</w:t>
      </w:r>
      <w:r>
        <w:rPr>
          <w:rFonts w:hint="eastAsia" w:ascii="Times New Roman" w:hAnsi="Times New Roman"/>
          <w:snapToGrid w:val="0"/>
          <w:color w:val="auto"/>
          <w:w w:val="99"/>
          <w:highlight w:val="none"/>
        </w:rPr>
        <w:t>）</w:t>
      </w:r>
      <w:r>
        <w:rPr>
          <w:rFonts w:ascii="Times New Roman" w:hAnsi="Times New Roman"/>
          <w:snapToGrid w:val="0"/>
          <w:color w:val="auto"/>
          <w:w w:val="99"/>
          <w:highlight w:val="none"/>
        </w:rPr>
        <w:t>；</w:t>
      </w:r>
    </w:p>
    <w:p w14:paraId="1462F112">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（2</w:t>
      </w:r>
      <w:r>
        <w:rPr>
          <w:rFonts w:hint="eastAsia" w:ascii="Times New Roman" w:hAnsi="Times New Roman"/>
          <w:snapToGrid w:val="0"/>
          <w:color w:val="auto"/>
          <w:w w:val="99"/>
          <w:highlight w:val="none"/>
          <w:lang w:val="en-US" w:eastAsia="zh-CN"/>
        </w:rPr>
        <w:t>1</w:t>
      </w:r>
      <w:r>
        <w:rPr>
          <w:rFonts w:ascii="Times New Roman" w:hAnsi="Times New Roman"/>
          <w:snapToGrid w:val="0"/>
          <w:color w:val="auto"/>
          <w:w w:val="99"/>
          <w:highlight w:val="none"/>
        </w:rPr>
        <w:t>）《黑龙江省人民政府办公厅关于建设占用耕地耕作层土壤剥离利用工作的指导意见（试行）》（黑政办规〔2021〕18号）；</w:t>
      </w:r>
    </w:p>
    <w:p w14:paraId="32C70915">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（2</w:t>
      </w:r>
      <w:r>
        <w:rPr>
          <w:rFonts w:hint="eastAsia" w:ascii="Times New Roman" w:hAnsi="Times New Roman"/>
          <w:snapToGrid w:val="0"/>
          <w:color w:val="auto"/>
          <w:w w:val="99"/>
          <w:highlight w:val="none"/>
          <w:lang w:val="en-US" w:eastAsia="zh-CN"/>
        </w:rPr>
        <w:t>2</w:t>
      </w:r>
      <w:r>
        <w:rPr>
          <w:rFonts w:ascii="Times New Roman" w:hAnsi="Times New Roman"/>
          <w:snapToGrid w:val="0"/>
          <w:color w:val="auto"/>
          <w:w w:val="99"/>
          <w:highlight w:val="none"/>
        </w:rPr>
        <w:t>）《黑龙江省生态环境分区管控动态更新成果（2023年版）》；</w:t>
      </w:r>
    </w:p>
    <w:p w14:paraId="18B43C0B">
      <w:pPr>
        <w:pStyle w:val="153"/>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（2</w:t>
      </w:r>
      <w:r>
        <w:rPr>
          <w:rFonts w:hint="eastAsia" w:ascii="Times New Roman" w:hAnsi="Times New Roman"/>
          <w:color w:val="auto"/>
          <w:w w:val="99"/>
          <w:highlight w:val="none"/>
          <w:lang w:val="en-US" w:eastAsia="zh-CN"/>
        </w:rPr>
        <w:t>3</w:t>
      </w:r>
      <w:r>
        <w:rPr>
          <w:rFonts w:hint="eastAsia" w:ascii="Times New Roman" w:hAnsi="Times New Roman"/>
          <w:color w:val="auto"/>
          <w:w w:val="99"/>
          <w:highlight w:val="none"/>
        </w:rPr>
        <w:t>）《绥化市生态环境准入清单（2023年版）》；</w:t>
      </w:r>
    </w:p>
    <w:p w14:paraId="55701FD0">
      <w:pPr>
        <w:pStyle w:val="153"/>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（2</w:t>
      </w:r>
      <w:r>
        <w:rPr>
          <w:rFonts w:hint="eastAsia" w:ascii="Times New Roman" w:hAnsi="Times New Roman"/>
          <w:color w:val="auto"/>
          <w:w w:val="99"/>
          <w:highlight w:val="none"/>
          <w:lang w:val="en-US" w:eastAsia="zh-CN"/>
        </w:rPr>
        <w:t>4</w:t>
      </w:r>
      <w:r>
        <w:rPr>
          <w:rFonts w:hint="eastAsia" w:ascii="Times New Roman" w:hAnsi="Times New Roman"/>
          <w:color w:val="auto"/>
          <w:w w:val="99"/>
          <w:highlight w:val="none"/>
        </w:rPr>
        <w:t>）《绥化市水土保持规划》（2019～2030年）；</w:t>
      </w:r>
    </w:p>
    <w:p w14:paraId="49815E65">
      <w:pPr>
        <w:pStyle w:val="153"/>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（2</w:t>
      </w:r>
      <w:r>
        <w:rPr>
          <w:rFonts w:hint="eastAsia" w:ascii="Times New Roman" w:hAnsi="Times New Roman"/>
          <w:color w:val="auto"/>
          <w:w w:val="99"/>
          <w:highlight w:val="none"/>
          <w:lang w:val="en-US" w:eastAsia="zh-CN"/>
        </w:rPr>
        <w:t>5</w:t>
      </w:r>
      <w:r>
        <w:rPr>
          <w:rFonts w:hint="eastAsia" w:ascii="Times New Roman" w:hAnsi="Times New Roman"/>
          <w:color w:val="auto"/>
          <w:w w:val="99"/>
          <w:highlight w:val="none"/>
        </w:rPr>
        <w:t>）《绥化市空气质量持续改善行动计划实施方案》（绥政发【2024】16号）；</w:t>
      </w:r>
    </w:p>
    <w:p w14:paraId="030F132D">
      <w:pPr>
        <w:pStyle w:val="153"/>
        <w:widowControl w:val="0"/>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（2</w:t>
      </w:r>
      <w:r>
        <w:rPr>
          <w:rFonts w:hint="eastAsia" w:ascii="Times New Roman" w:hAnsi="Times New Roman"/>
          <w:color w:val="auto"/>
          <w:w w:val="99"/>
          <w:highlight w:val="none"/>
          <w:lang w:val="en-US" w:eastAsia="zh-CN"/>
        </w:rPr>
        <w:t>6</w:t>
      </w:r>
      <w:r>
        <w:rPr>
          <w:rFonts w:hint="eastAsia" w:ascii="Times New Roman" w:hAnsi="Times New Roman"/>
          <w:color w:val="auto"/>
          <w:w w:val="99"/>
          <w:highlight w:val="none"/>
        </w:rPr>
        <w:t>）《绥化市环境空气质量达标规划》（绥政发【2023】5号）；</w:t>
      </w:r>
    </w:p>
    <w:p w14:paraId="745F4796">
      <w:pPr>
        <w:pStyle w:val="153"/>
        <w:widowControl w:val="0"/>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（2</w:t>
      </w:r>
      <w:r>
        <w:rPr>
          <w:rFonts w:hint="eastAsia" w:ascii="Times New Roman" w:hAnsi="Times New Roman"/>
          <w:color w:val="auto"/>
          <w:w w:val="99"/>
          <w:highlight w:val="none"/>
          <w:lang w:val="en-US" w:eastAsia="zh-CN"/>
        </w:rPr>
        <w:t>7</w:t>
      </w:r>
      <w:r>
        <w:rPr>
          <w:rFonts w:hint="eastAsia" w:ascii="Times New Roman" w:hAnsi="Times New Roman"/>
          <w:color w:val="auto"/>
          <w:w w:val="99"/>
          <w:highlight w:val="none"/>
        </w:rPr>
        <w:t>）《黑龙江省国土空间总体规划(2021-2035年)》；</w:t>
      </w:r>
    </w:p>
    <w:p w14:paraId="064A4613">
      <w:pPr>
        <w:pStyle w:val="153"/>
        <w:widowControl w:val="0"/>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（2</w:t>
      </w:r>
      <w:r>
        <w:rPr>
          <w:rFonts w:hint="eastAsia" w:ascii="Times New Roman" w:hAnsi="Times New Roman"/>
          <w:color w:val="auto"/>
          <w:w w:val="99"/>
          <w:highlight w:val="none"/>
          <w:lang w:val="en-US" w:eastAsia="zh-CN"/>
        </w:rPr>
        <w:t>8</w:t>
      </w:r>
      <w:r>
        <w:rPr>
          <w:rFonts w:hint="eastAsia" w:ascii="Times New Roman" w:hAnsi="Times New Roman"/>
          <w:color w:val="auto"/>
          <w:w w:val="99"/>
          <w:highlight w:val="none"/>
        </w:rPr>
        <w:t>）《绥化市国土空间总体规划(2021-2035年)》；</w:t>
      </w:r>
    </w:p>
    <w:p w14:paraId="6A6F05C4">
      <w:pPr>
        <w:pStyle w:val="153"/>
        <w:widowControl w:val="0"/>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（2</w:t>
      </w:r>
      <w:r>
        <w:rPr>
          <w:rFonts w:hint="eastAsia" w:ascii="Times New Roman" w:hAnsi="Times New Roman"/>
          <w:color w:val="auto"/>
          <w:w w:val="99"/>
          <w:highlight w:val="none"/>
          <w:lang w:val="en-US" w:eastAsia="zh-CN"/>
        </w:rPr>
        <w:t>9</w:t>
      </w:r>
      <w:r>
        <w:rPr>
          <w:rFonts w:hint="eastAsia" w:ascii="Times New Roman" w:hAnsi="Times New Roman"/>
          <w:color w:val="auto"/>
          <w:w w:val="99"/>
          <w:highlight w:val="none"/>
        </w:rPr>
        <w:t>）《肇东市国土空间总体规划(2021-2035年)》；</w:t>
      </w:r>
    </w:p>
    <w:p w14:paraId="403D1941">
      <w:pPr>
        <w:pStyle w:val="153"/>
        <w:widowControl w:val="0"/>
        <w:spacing w:line="440" w:lineRule="exact"/>
        <w:ind w:firstLine="473"/>
        <w:rPr>
          <w:rFonts w:ascii="Times New Roman" w:hAnsi="Times New Roman"/>
          <w:snapToGrid w:val="0"/>
          <w:color w:val="auto"/>
          <w:w w:val="99"/>
          <w:highlight w:val="none"/>
        </w:rPr>
      </w:pPr>
      <w:r>
        <w:rPr>
          <w:rFonts w:hint="eastAsia" w:ascii="Times New Roman" w:hAnsi="Times New Roman"/>
          <w:color w:val="auto"/>
          <w:w w:val="99"/>
          <w:highlight w:val="none"/>
        </w:rPr>
        <w:t>（</w:t>
      </w:r>
      <w:r>
        <w:rPr>
          <w:rFonts w:hint="eastAsia" w:ascii="Times New Roman" w:hAnsi="Times New Roman"/>
          <w:color w:val="auto"/>
          <w:w w:val="99"/>
          <w:highlight w:val="none"/>
          <w:lang w:val="en-US" w:eastAsia="zh-CN"/>
        </w:rPr>
        <w:t>30</w:t>
      </w:r>
      <w:r>
        <w:rPr>
          <w:rFonts w:hint="eastAsia" w:ascii="Times New Roman" w:hAnsi="Times New Roman"/>
          <w:color w:val="auto"/>
          <w:w w:val="99"/>
          <w:highlight w:val="none"/>
        </w:rPr>
        <w:t>）《大庆油气田地面工程“十四五”规划》；</w:t>
      </w:r>
      <w:r>
        <w:rPr>
          <w:rFonts w:hint="eastAsia" w:ascii="Times New Roman" w:hAnsi="Times New Roman"/>
          <w:snapToGrid w:val="0"/>
          <w:color w:val="auto"/>
          <w:w w:val="99"/>
          <w:highlight w:val="none"/>
        </w:rPr>
        <w:t>；</w:t>
      </w:r>
    </w:p>
    <w:p w14:paraId="02FE9F6B">
      <w:pPr>
        <w:pStyle w:val="153"/>
        <w:widowControl w:val="0"/>
        <w:spacing w:line="440" w:lineRule="exact"/>
        <w:ind w:firstLine="473"/>
        <w:rPr>
          <w:rFonts w:ascii="Times New Roman" w:hAnsi="Times New Roman"/>
          <w:snapToGrid w:val="0"/>
          <w:color w:val="auto"/>
          <w:w w:val="99"/>
          <w:highlight w:val="none"/>
        </w:rPr>
      </w:pPr>
      <w:r>
        <w:rPr>
          <w:rFonts w:hint="eastAsia" w:ascii="Times New Roman" w:hAnsi="Times New Roman"/>
          <w:snapToGrid w:val="0"/>
          <w:color w:val="auto"/>
          <w:w w:val="99"/>
          <w:highlight w:val="none"/>
        </w:rPr>
        <w:t>（3</w:t>
      </w:r>
      <w:r>
        <w:rPr>
          <w:rFonts w:hint="eastAsia" w:ascii="Times New Roman" w:hAnsi="Times New Roman"/>
          <w:snapToGrid w:val="0"/>
          <w:color w:val="auto"/>
          <w:w w:val="99"/>
          <w:highlight w:val="none"/>
          <w:lang w:val="en-US" w:eastAsia="zh-CN"/>
        </w:rPr>
        <w:t>1</w:t>
      </w:r>
      <w:r>
        <w:rPr>
          <w:rFonts w:hint="eastAsia" w:ascii="Times New Roman" w:hAnsi="Times New Roman"/>
          <w:snapToGrid w:val="0"/>
          <w:color w:val="auto"/>
          <w:w w:val="99"/>
          <w:highlight w:val="none"/>
        </w:rPr>
        <w:t>）《固体废物综合治理行动计划》的通知（国发〔2025〕14号）；</w:t>
      </w:r>
    </w:p>
    <w:p w14:paraId="7D368650">
      <w:pPr>
        <w:pStyle w:val="153"/>
        <w:widowControl w:val="0"/>
        <w:spacing w:line="440" w:lineRule="exact"/>
        <w:ind w:firstLine="473"/>
        <w:rPr>
          <w:rFonts w:ascii="Times New Roman" w:hAnsi="Times New Roman"/>
          <w:snapToGrid w:val="0"/>
          <w:color w:val="auto"/>
          <w:w w:val="99"/>
          <w:highlight w:val="none"/>
        </w:rPr>
      </w:pPr>
      <w:r>
        <w:rPr>
          <w:rFonts w:hint="eastAsia" w:ascii="Times New Roman" w:hAnsi="Times New Roman"/>
          <w:snapToGrid w:val="0"/>
          <w:color w:val="auto"/>
          <w:w w:val="99"/>
          <w:highlight w:val="none"/>
        </w:rPr>
        <w:t>（3</w:t>
      </w:r>
      <w:r>
        <w:rPr>
          <w:rFonts w:hint="eastAsia" w:ascii="Times New Roman" w:hAnsi="Times New Roman"/>
          <w:snapToGrid w:val="0"/>
          <w:color w:val="auto"/>
          <w:w w:val="99"/>
          <w:highlight w:val="none"/>
          <w:lang w:val="en-US" w:eastAsia="zh-CN"/>
        </w:rPr>
        <w:t>2</w:t>
      </w:r>
      <w:r>
        <w:rPr>
          <w:rFonts w:hint="eastAsia" w:ascii="Times New Roman" w:hAnsi="Times New Roman"/>
          <w:snapToGrid w:val="0"/>
          <w:color w:val="auto"/>
          <w:w w:val="99"/>
          <w:highlight w:val="none"/>
        </w:rPr>
        <w:t>）《甲烷排放控制行动方案》的通知（环气候〔2023〕67号）</w:t>
      </w:r>
      <w:r>
        <w:rPr>
          <w:rFonts w:ascii="Times New Roman" w:hAnsi="Times New Roman"/>
          <w:snapToGrid w:val="0"/>
          <w:color w:val="auto"/>
          <w:w w:val="99"/>
          <w:highlight w:val="none"/>
        </w:rPr>
        <w:t>。</w:t>
      </w:r>
    </w:p>
    <w:p w14:paraId="2FCB9EFB">
      <w:pPr>
        <w:pStyle w:val="7"/>
        <w:widowControl w:val="0"/>
        <w:spacing w:before="60" w:after="60" w:line="440" w:lineRule="exact"/>
        <w:jc w:val="both"/>
        <w:rPr>
          <w:rFonts w:eastAsiaTheme="minorEastAsia"/>
          <w:b/>
          <w:color w:val="auto"/>
          <w:w w:val="99"/>
          <w:kern w:val="2"/>
          <w:sz w:val="24"/>
          <w:szCs w:val="24"/>
          <w:highlight w:val="none"/>
        </w:rPr>
      </w:pPr>
      <w:bookmarkStart w:id="183" w:name="_Toc85640718"/>
      <w:bookmarkStart w:id="184" w:name="_Toc126863357"/>
      <w:bookmarkStart w:id="185" w:name="_Toc86141901"/>
      <w:bookmarkStart w:id="186" w:name="_Toc84929194"/>
      <w:bookmarkStart w:id="187" w:name="_Toc186444241"/>
      <w:bookmarkStart w:id="188" w:name="_Toc143099544"/>
      <w:bookmarkStart w:id="189" w:name="_Toc127192306"/>
      <w:bookmarkStart w:id="190" w:name="_Toc131167257"/>
      <w:r>
        <w:rPr>
          <w:rFonts w:eastAsiaTheme="minorEastAsia"/>
          <w:b/>
          <w:color w:val="auto"/>
          <w:w w:val="99"/>
          <w:kern w:val="2"/>
          <w:sz w:val="24"/>
          <w:szCs w:val="24"/>
          <w:highlight w:val="none"/>
        </w:rPr>
        <w:t>2.3.3技术依据</w:t>
      </w:r>
      <w:bookmarkEnd w:id="183"/>
      <w:bookmarkEnd w:id="184"/>
      <w:bookmarkEnd w:id="185"/>
      <w:bookmarkEnd w:id="186"/>
      <w:bookmarkEnd w:id="187"/>
      <w:bookmarkEnd w:id="188"/>
      <w:bookmarkEnd w:id="189"/>
      <w:bookmarkEnd w:id="190"/>
    </w:p>
    <w:p w14:paraId="319ECD97">
      <w:pPr>
        <w:widowControl w:val="0"/>
        <w:spacing w:line="440" w:lineRule="exact"/>
        <w:ind w:firstLine="474" w:firstLineChars="200"/>
        <w:jc w:val="both"/>
        <w:rPr>
          <w:rFonts w:ascii="Times New Roman" w:hAnsi="Times New Roman" w:cs="Times New Roman"/>
          <w:snapToGrid w:val="0"/>
          <w:color w:val="auto"/>
          <w:w w:val="99"/>
          <w:highlight w:val="none"/>
          <w:lang w:val="zh-CN" w:bidi="zh-CN"/>
        </w:rPr>
      </w:pPr>
      <w:r>
        <w:rPr>
          <w:rFonts w:ascii="Times New Roman" w:hAnsi="Times New Roman" w:cs="Times New Roman"/>
          <w:snapToGrid w:val="0"/>
          <w:color w:val="auto"/>
          <w:w w:val="99"/>
          <w:highlight w:val="none"/>
          <w:lang w:val="zh-CN" w:bidi="zh-CN"/>
        </w:rPr>
        <w:t>（1）《建设项目环境影响评价技术导则 总纲》（HJ2.1-2016）；</w:t>
      </w:r>
    </w:p>
    <w:p w14:paraId="3441DB7E">
      <w:pPr>
        <w:widowControl w:val="0"/>
        <w:spacing w:line="440" w:lineRule="exact"/>
        <w:ind w:firstLine="474" w:firstLineChars="200"/>
        <w:jc w:val="both"/>
        <w:rPr>
          <w:rFonts w:ascii="Times New Roman" w:hAnsi="Times New Roman" w:cs="Times New Roman"/>
          <w:snapToGrid w:val="0"/>
          <w:color w:val="auto"/>
          <w:w w:val="99"/>
          <w:highlight w:val="none"/>
          <w:lang w:val="zh-CN" w:bidi="zh-CN"/>
        </w:rPr>
      </w:pPr>
      <w:r>
        <w:rPr>
          <w:rFonts w:ascii="Times New Roman" w:hAnsi="Times New Roman" w:cs="Times New Roman"/>
          <w:snapToGrid w:val="0"/>
          <w:color w:val="auto"/>
          <w:w w:val="99"/>
          <w:highlight w:val="none"/>
          <w:lang w:val="zh-CN" w:bidi="zh-CN"/>
        </w:rPr>
        <w:t>（2）《环境影响评价技术导则 大气环境》（HJ2.2-2018）；</w:t>
      </w:r>
    </w:p>
    <w:p w14:paraId="5D8E4F1B">
      <w:pPr>
        <w:widowControl w:val="0"/>
        <w:spacing w:line="440" w:lineRule="exact"/>
        <w:ind w:firstLine="474" w:firstLineChars="200"/>
        <w:jc w:val="both"/>
        <w:rPr>
          <w:rFonts w:ascii="Times New Roman" w:hAnsi="Times New Roman" w:cs="Times New Roman"/>
          <w:snapToGrid w:val="0"/>
          <w:color w:val="auto"/>
          <w:w w:val="99"/>
          <w:highlight w:val="none"/>
          <w:lang w:val="zh-CN" w:bidi="zh-CN"/>
        </w:rPr>
      </w:pPr>
      <w:r>
        <w:rPr>
          <w:rFonts w:ascii="Times New Roman" w:hAnsi="Times New Roman" w:cs="Times New Roman"/>
          <w:snapToGrid w:val="0"/>
          <w:color w:val="auto"/>
          <w:w w:val="99"/>
          <w:highlight w:val="none"/>
          <w:lang w:val="zh-CN" w:bidi="zh-CN"/>
        </w:rPr>
        <w:t>（3）《环境影响评价技术导则 地表水环境》（HJ2.3-2018）；</w:t>
      </w:r>
    </w:p>
    <w:p w14:paraId="377DB2F3">
      <w:pPr>
        <w:widowControl w:val="0"/>
        <w:spacing w:line="440" w:lineRule="exact"/>
        <w:ind w:firstLine="474" w:firstLineChars="200"/>
        <w:jc w:val="both"/>
        <w:rPr>
          <w:rFonts w:ascii="Times New Roman" w:hAnsi="Times New Roman" w:cs="Times New Roman"/>
          <w:snapToGrid w:val="0"/>
          <w:color w:val="auto"/>
          <w:w w:val="99"/>
          <w:highlight w:val="none"/>
          <w:lang w:val="zh-CN" w:bidi="zh-CN"/>
        </w:rPr>
      </w:pPr>
      <w:r>
        <w:rPr>
          <w:rFonts w:ascii="Times New Roman" w:hAnsi="Times New Roman" w:cs="Times New Roman"/>
          <w:snapToGrid w:val="0"/>
          <w:color w:val="auto"/>
          <w:w w:val="99"/>
          <w:highlight w:val="none"/>
          <w:lang w:val="zh-CN" w:bidi="zh-CN"/>
        </w:rPr>
        <w:t>（4）《环境影响评价技术导则 声环境》（HJ2.4-2021）；</w:t>
      </w:r>
    </w:p>
    <w:p w14:paraId="6C46DC95">
      <w:pPr>
        <w:widowControl w:val="0"/>
        <w:spacing w:line="440" w:lineRule="exact"/>
        <w:ind w:firstLine="474" w:firstLineChars="200"/>
        <w:jc w:val="both"/>
        <w:rPr>
          <w:rFonts w:ascii="Times New Roman" w:hAnsi="Times New Roman" w:cs="Times New Roman"/>
          <w:snapToGrid w:val="0"/>
          <w:color w:val="auto"/>
          <w:w w:val="99"/>
          <w:highlight w:val="none"/>
          <w:lang w:val="zh-CN" w:bidi="zh-CN"/>
        </w:rPr>
      </w:pPr>
      <w:r>
        <w:rPr>
          <w:rFonts w:ascii="Times New Roman" w:hAnsi="Times New Roman" w:cs="Times New Roman"/>
          <w:snapToGrid w:val="0"/>
          <w:color w:val="auto"/>
          <w:w w:val="99"/>
          <w:highlight w:val="none"/>
          <w:lang w:val="zh-CN" w:bidi="zh-CN"/>
        </w:rPr>
        <w:t>（5）《环境影响评价技术导则 地下水环境》（HJ610-2016）；</w:t>
      </w:r>
    </w:p>
    <w:p w14:paraId="758924D4">
      <w:pPr>
        <w:widowControl w:val="0"/>
        <w:spacing w:line="440" w:lineRule="exact"/>
        <w:ind w:firstLine="474" w:firstLineChars="200"/>
        <w:jc w:val="both"/>
        <w:rPr>
          <w:rFonts w:ascii="Times New Roman" w:hAnsi="Times New Roman" w:cs="Times New Roman"/>
          <w:snapToGrid w:val="0"/>
          <w:color w:val="auto"/>
          <w:w w:val="99"/>
          <w:highlight w:val="none"/>
          <w:lang w:val="zh-CN" w:bidi="zh-CN"/>
        </w:rPr>
      </w:pPr>
      <w:r>
        <w:rPr>
          <w:rFonts w:ascii="Times New Roman" w:hAnsi="Times New Roman" w:cs="Times New Roman"/>
          <w:snapToGrid w:val="0"/>
          <w:color w:val="auto"/>
          <w:w w:val="99"/>
          <w:highlight w:val="none"/>
          <w:lang w:val="zh-CN" w:bidi="zh-CN"/>
        </w:rPr>
        <w:t>（6）《环境影响评价技术导则 生态影响》（HJ19-2022）；</w:t>
      </w:r>
    </w:p>
    <w:p w14:paraId="2956DE04">
      <w:pPr>
        <w:widowControl w:val="0"/>
        <w:spacing w:line="440" w:lineRule="exact"/>
        <w:ind w:firstLine="474" w:firstLineChars="200"/>
        <w:jc w:val="both"/>
        <w:rPr>
          <w:rFonts w:ascii="Times New Roman" w:hAnsi="Times New Roman" w:cs="Times New Roman"/>
          <w:snapToGrid w:val="0"/>
          <w:color w:val="auto"/>
          <w:w w:val="99"/>
          <w:highlight w:val="none"/>
          <w:lang w:val="zh-CN" w:bidi="zh-CN"/>
        </w:rPr>
      </w:pPr>
      <w:r>
        <w:rPr>
          <w:rFonts w:ascii="Times New Roman" w:hAnsi="Times New Roman" w:cs="Times New Roman"/>
          <w:snapToGrid w:val="0"/>
          <w:color w:val="auto"/>
          <w:w w:val="99"/>
          <w:highlight w:val="none"/>
          <w:lang w:val="zh-CN" w:bidi="zh-CN"/>
        </w:rPr>
        <w:t>（7）《环境影响评价技术导则 土壤环境（试行）》（HJ964-2018）；</w:t>
      </w:r>
    </w:p>
    <w:p w14:paraId="049002D1">
      <w:pPr>
        <w:widowControl w:val="0"/>
        <w:spacing w:line="440" w:lineRule="exact"/>
        <w:ind w:firstLine="474" w:firstLineChars="200"/>
        <w:jc w:val="both"/>
        <w:rPr>
          <w:rFonts w:ascii="Times New Roman" w:hAnsi="Times New Roman" w:cs="Times New Roman"/>
          <w:snapToGrid w:val="0"/>
          <w:color w:val="auto"/>
          <w:w w:val="99"/>
          <w:highlight w:val="none"/>
          <w:lang w:val="zh-CN" w:bidi="zh-CN"/>
        </w:rPr>
      </w:pPr>
      <w:r>
        <w:rPr>
          <w:rFonts w:ascii="Times New Roman" w:hAnsi="Times New Roman" w:cs="Times New Roman"/>
          <w:snapToGrid w:val="0"/>
          <w:color w:val="auto"/>
          <w:w w:val="99"/>
          <w:highlight w:val="none"/>
          <w:lang w:val="zh-CN" w:bidi="zh-CN"/>
        </w:rPr>
        <w:t>（8）《建设项目环境风险评价技术导则》（HJ169-2018）；</w:t>
      </w:r>
    </w:p>
    <w:p w14:paraId="23C8CAB8">
      <w:pPr>
        <w:widowControl w:val="0"/>
        <w:spacing w:line="440" w:lineRule="exact"/>
        <w:ind w:firstLine="474" w:firstLineChars="200"/>
        <w:jc w:val="both"/>
        <w:rPr>
          <w:rFonts w:ascii="Times New Roman" w:hAnsi="Times New Roman" w:cs="Times New Roman"/>
          <w:snapToGrid w:val="0"/>
          <w:color w:val="auto"/>
          <w:w w:val="99"/>
          <w:highlight w:val="none"/>
          <w:lang w:val="zh-CN" w:bidi="zh-CN"/>
        </w:rPr>
      </w:pPr>
      <w:r>
        <w:rPr>
          <w:rFonts w:ascii="Times New Roman" w:hAnsi="Times New Roman" w:cs="Times New Roman"/>
          <w:snapToGrid w:val="0"/>
          <w:color w:val="auto"/>
          <w:w w:val="99"/>
          <w:highlight w:val="none"/>
          <w:lang w:val="zh-CN" w:bidi="zh-CN"/>
        </w:rPr>
        <w:t>（9）《环境影响评价技术导则 陆地石油天然气开发建设项目》（HJ349-2023）；</w:t>
      </w:r>
    </w:p>
    <w:p w14:paraId="6915B08F">
      <w:pPr>
        <w:widowControl w:val="0"/>
        <w:spacing w:line="440" w:lineRule="exact"/>
        <w:ind w:firstLine="474" w:firstLineChars="200"/>
        <w:jc w:val="both"/>
        <w:rPr>
          <w:rFonts w:ascii="Times New Roman" w:hAnsi="Times New Roman" w:cs="Times New Roman"/>
          <w:snapToGrid w:val="0"/>
          <w:color w:val="auto"/>
          <w:w w:val="99"/>
          <w:highlight w:val="none"/>
          <w:lang w:val="zh-CN" w:bidi="zh-CN"/>
        </w:rPr>
      </w:pPr>
      <w:r>
        <w:rPr>
          <w:rFonts w:ascii="Times New Roman" w:hAnsi="Times New Roman" w:cs="Times New Roman"/>
          <w:snapToGrid w:val="0"/>
          <w:color w:val="auto"/>
          <w:w w:val="99"/>
          <w:highlight w:val="none"/>
          <w:lang w:val="zh-CN" w:bidi="zh-CN"/>
        </w:rPr>
        <w:t>（10）《排污许可证申请与核发技术规范 总则》（HJ942-2018）；</w:t>
      </w:r>
    </w:p>
    <w:p w14:paraId="0023553D">
      <w:pPr>
        <w:widowControl w:val="0"/>
        <w:spacing w:line="440" w:lineRule="exact"/>
        <w:ind w:firstLine="474" w:firstLineChars="200"/>
        <w:jc w:val="both"/>
        <w:rPr>
          <w:rFonts w:ascii="Times New Roman" w:hAnsi="Times New Roman" w:cs="Times New Roman"/>
          <w:snapToGrid w:val="0"/>
          <w:color w:val="auto"/>
          <w:w w:val="99"/>
          <w:highlight w:val="none"/>
          <w:lang w:val="zh-CN" w:bidi="zh-CN"/>
        </w:rPr>
      </w:pPr>
      <w:r>
        <w:rPr>
          <w:rFonts w:ascii="Times New Roman" w:hAnsi="Times New Roman" w:cs="Times New Roman"/>
          <w:snapToGrid w:val="0"/>
          <w:color w:val="auto"/>
          <w:w w:val="99"/>
          <w:highlight w:val="none"/>
          <w:lang w:val="zh-CN" w:bidi="zh-CN"/>
        </w:rPr>
        <w:t>（11）《排污单位自行监测技术指南 总则》（HJ819-2017）；</w:t>
      </w:r>
    </w:p>
    <w:p w14:paraId="6689BF3A">
      <w:pPr>
        <w:widowControl w:val="0"/>
        <w:spacing w:line="440" w:lineRule="exact"/>
        <w:ind w:firstLine="474" w:firstLineChars="200"/>
        <w:jc w:val="both"/>
        <w:rPr>
          <w:rFonts w:ascii="Times New Roman" w:hAnsi="Times New Roman" w:cs="Times New Roman"/>
          <w:snapToGrid w:val="0"/>
          <w:color w:val="auto"/>
          <w:w w:val="99"/>
          <w:highlight w:val="none"/>
          <w:lang w:val="zh-CN" w:bidi="zh-CN"/>
        </w:rPr>
      </w:pPr>
      <w:r>
        <w:rPr>
          <w:rFonts w:ascii="Times New Roman" w:hAnsi="Times New Roman" w:cs="Times New Roman"/>
          <w:snapToGrid w:val="0"/>
          <w:color w:val="auto"/>
          <w:w w:val="99"/>
          <w:highlight w:val="none"/>
          <w:lang w:val="zh-CN" w:bidi="zh-CN"/>
        </w:rPr>
        <w:t>（12）《排污单位自行监测技术指南 陆上石油天然气开采工业》（HJ1248-2022）；</w:t>
      </w:r>
    </w:p>
    <w:p w14:paraId="4D7A0B82">
      <w:pPr>
        <w:widowControl w:val="0"/>
        <w:spacing w:line="440" w:lineRule="exact"/>
        <w:ind w:firstLine="474" w:firstLineChars="200"/>
        <w:jc w:val="both"/>
        <w:rPr>
          <w:rFonts w:ascii="Times New Roman" w:hAnsi="Times New Roman" w:cs="Times New Roman"/>
          <w:snapToGrid w:val="0"/>
          <w:color w:val="auto"/>
          <w:w w:val="99"/>
          <w:highlight w:val="none"/>
          <w:lang w:val="zh-CN" w:bidi="zh-CN"/>
        </w:rPr>
      </w:pPr>
      <w:r>
        <w:rPr>
          <w:rFonts w:ascii="Times New Roman" w:hAnsi="Times New Roman" w:cs="Times New Roman"/>
          <w:snapToGrid w:val="0"/>
          <w:color w:val="auto"/>
          <w:w w:val="99"/>
          <w:highlight w:val="none"/>
          <w:lang w:val="zh-CN" w:bidi="zh-CN"/>
        </w:rPr>
        <w:t>（13）</w:t>
      </w:r>
      <w:r>
        <w:rPr>
          <w:rFonts w:ascii="Times New Roman" w:hAnsi="Times New Roman" w:cs="Times New Roman"/>
          <w:snapToGrid w:val="0"/>
          <w:color w:val="auto"/>
          <w:w w:val="99"/>
          <w:highlight w:val="none"/>
          <w:lang w:bidi="zh-CN"/>
        </w:rPr>
        <w:t>《工业企业土壤和地下水自行监测</w:t>
      </w:r>
      <w:r>
        <w:rPr>
          <w:rFonts w:hint="eastAsia" w:ascii="Times New Roman" w:hAnsi="Times New Roman" w:cs="Times New Roman"/>
          <w:snapToGrid w:val="0"/>
          <w:color w:val="auto"/>
          <w:w w:val="99"/>
          <w:highlight w:val="none"/>
          <w:lang w:bidi="zh-CN"/>
        </w:rPr>
        <w:t>技术指南（试行）</w:t>
      </w:r>
      <w:r>
        <w:rPr>
          <w:rFonts w:ascii="Times New Roman" w:hAnsi="Times New Roman" w:cs="Times New Roman"/>
          <w:snapToGrid w:val="0"/>
          <w:color w:val="auto"/>
          <w:w w:val="99"/>
          <w:highlight w:val="none"/>
          <w:lang w:bidi="zh-CN"/>
        </w:rPr>
        <w:t>》（HJ1209-2021）；</w:t>
      </w:r>
    </w:p>
    <w:p w14:paraId="5E18509E">
      <w:pPr>
        <w:widowControl w:val="0"/>
        <w:spacing w:line="440" w:lineRule="exact"/>
        <w:ind w:firstLine="474" w:firstLineChars="200"/>
        <w:jc w:val="both"/>
        <w:rPr>
          <w:rFonts w:ascii="Times New Roman" w:hAnsi="Times New Roman" w:cs="Times New Roman"/>
          <w:snapToGrid w:val="0"/>
          <w:color w:val="auto"/>
          <w:w w:val="99"/>
          <w:highlight w:val="none"/>
          <w:lang w:bidi="zh-CN"/>
        </w:rPr>
      </w:pPr>
      <w:r>
        <w:rPr>
          <w:rFonts w:ascii="Times New Roman" w:hAnsi="Times New Roman" w:cs="Times New Roman"/>
          <w:snapToGrid w:val="0"/>
          <w:color w:val="auto"/>
          <w:w w:val="99"/>
          <w:highlight w:val="none"/>
          <w:lang w:bidi="zh-CN"/>
        </w:rPr>
        <w:t>（14）</w:t>
      </w:r>
      <w:r>
        <w:rPr>
          <w:rFonts w:ascii="Times New Roman" w:hAnsi="Times New Roman" w:cs="Times New Roman"/>
          <w:bCs/>
          <w:snapToGrid w:val="0"/>
          <w:color w:val="auto"/>
          <w:w w:val="99"/>
          <w:highlight w:val="none"/>
          <w:lang w:bidi="zh-CN"/>
        </w:rPr>
        <w:t>《地下水环境监测技术规范》（HJ164-2020）</w:t>
      </w:r>
      <w:r>
        <w:rPr>
          <w:rFonts w:hint="eastAsia" w:ascii="Times New Roman" w:hAnsi="Times New Roman" w:cs="Times New Roman"/>
          <w:bCs/>
          <w:snapToGrid w:val="0"/>
          <w:color w:val="auto"/>
          <w:w w:val="99"/>
          <w:highlight w:val="none"/>
          <w:lang w:bidi="zh-CN"/>
        </w:rPr>
        <w:t>；</w:t>
      </w:r>
    </w:p>
    <w:p w14:paraId="65D9A7CB">
      <w:pPr>
        <w:widowControl w:val="0"/>
        <w:spacing w:line="440" w:lineRule="exact"/>
        <w:ind w:firstLine="474" w:firstLineChars="200"/>
        <w:jc w:val="both"/>
        <w:rPr>
          <w:rFonts w:ascii="Times New Roman" w:hAnsi="Times New Roman" w:cs="Times New Roman"/>
          <w:snapToGrid w:val="0"/>
          <w:color w:val="auto"/>
          <w:w w:val="99"/>
          <w:highlight w:val="none"/>
          <w:lang w:val="zh-CN" w:bidi="zh-CN"/>
        </w:rPr>
      </w:pPr>
      <w:r>
        <w:rPr>
          <w:rFonts w:ascii="Times New Roman" w:hAnsi="Times New Roman" w:cs="Times New Roman"/>
          <w:snapToGrid w:val="0"/>
          <w:color w:val="auto"/>
          <w:w w:val="99"/>
          <w:highlight w:val="none"/>
          <w:lang w:val="zh-CN" w:bidi="zh-CN"/>
        </w:rPr>
        <w:t>（15）《建设项目危险废物环境影响评价指南》（</w:t>
      </w:r>
      <w:r>
        <w:rPr>
          <w:rFonts w:hint="eastAsia" w:ascii="Times New Roman" w:hAnsi="Times New Roman" w:cs="Times New Roman"/>
          <w:snapToGrid w:val="0"/>
          <w:color w:val="auto"/>
          <w:w w:val="99"/>
          <w:highlight w:val="none"/>
          <w:lang w:val="zh-CN" w:bidi="zh-CN"/>
        </w:rPr>
        <w:t>环保部公告〔</w:t>
      </w:r>
      <w:r>
        <w:rPr>
          <w:rFonts w:ascii="Times New Roman" w:hAnsi="Times New Roman" w:cs="Times New Roman"/>
          <w:snapToGrid w:val="0"/>
          <w:color w:val="auto"/>
          <w:w w:val="99"/>
          <w:highlight w:val="none"/>
          <w:lang w:val="zh-CN" w:bidi="zh-CN"/>
        </w:rPr>
        <w:t>2017〕43号）；</w:t>
      </w:r>
    </w:p>
    <w:p w14:paraId="6A071440">
      <w:pPr>
        <w:widowControl w:val="0"/>
        <w:spacing w:line="440" w:lineRule="exact"/>
        <w:ind w:firstLine="474" w:firstLineChars="200"/>
        <w:jc w:val="both"/>
        <w:rPr>
          <w:rFonts w:ascii="Times New Roman" w:hAnsi="Times New Roman" w:cs="Times New Roman"/>
          <w:snapToGrid w:val="0"/>
          <w:color w:val="auto"/>
          <w:w w:val="99"/>
          <w:highlight w:val="none"/>
          <w:lang w:val="zh-CN" w:bidi="zh-CN"/>
        </w:rPr>
      </w:pPr>
      <w:r>
        <w:rPr>
          <w:rFonts w:ascii="Times New Roman" w:hAnsi="Times New Roman" w:cs="Times New Roman"/>
          <w:snapToGrid w:val="0"/>
          <w:color w:val="auto"/>
          <w:w w:val="99"/>
          <w:highlight w:val="none"/>
          <w:lang w:val="zh-CN" w:bidi="zh-CN"/>
        </w:rPr>
        <w:t>（16）《危险废物环境管理指南 陆上石油天然气开采》（</w:t>
      </w:r>
      <w:r>
        <w:rPr>
          <w:rFonts w:hint="eastAsia" w:ascii="Times New Roman" w:hAnsi="Times New Roman" w:cs="Times New Roman"/>
          <w:snapToGrid w:val="0"/>
          <w:color w:val="auto"/>
          <w:w w:val="99"/>
          <w:highlight w:val="none"/>
          <w:lang w:bidi="zh-CN"/>
        </w:rPr>
        <w:t>环境部公告〔</w:t>
      </w:r>
      <w:r>
        <w:rPr>
          <w:rFonts w:ascii="Times New Roman" w:hAnsi="Times New Roman" w:cs="Times New Roman"/>
          <w:snapToGrid w:val="0"/>
          <w:color w:val="auto"/>
          <w:w w:val="99"/>
          <w:highlight w:val="none"/>
          <w:lang w:bidi="zh-CN"/>
        </w:rPr>
        <w:t>2021〕74号</w:t>
      </w:r>
      <w:r>
        <w:rPr>
          <w:rFonts w:ascii="Times New Roman" w:hAnsi="Times New Roman" w:cs="Times New Roman"/>
          <w:snapToGrid w:val="0"/>
          <w:color w:val="auto"/>
          <w:w w:val="99"/>
          <w:highlight w:val="none"/>
          <w:lang w:val="zh-CN" w:bidi="zh-CN"/>
        </w:rPr>
        <w:t>）；</w:t>
      </w:r>
    </w:p>
    <w:p w14:paraId="2CA0BE9B">
      <w:pPr>
        <w:widowControl w:val="0"/>
        <w:spacing w:line="440" w:lineRule="exact"/>
        <w:ind w:firstLine="474" w:firstLineChars="200"/>
        <w:jc w:val="both"/>
        <w:rPr>
          <w:rFonts w:ascii="Times New Roman" w:hAnsi="Times New Roman" w:cs="Times New Roman"/>
          <w:snapToGrid w:val="0"/>
          <w:color w:val="auto"/>
          <w:w w:val="99"/>
          <w:highlight w:val="none"/>
          <w:lang w:val="zh-CN" w:bidi="zh-CN"/>
        </w:rPr>
      </w:pPr>
      <w:r>
        <w:rPr>
          <w:rFonts w:ascii="Times New Roman" w:hAnsi="Times New Roman" w:cs="Times New Roman"/>
          <w:snapToGrid w:val="0"/>
          <w:color w:val="auto"/>
          <w:w w:val="99"/>
          <w:highlight w:val="none"/>
          <w:lang w:val="zh-CN" w:bidi="zh-CN"/>
        </w:rPr>
        <w:t>（17）《污染源源强核算技术指南 准则》（HJ884-2018）。</w:t>
      </w:r>
    </w:p>
    <w:p w14:paraId="2DBD149B">
      <w:pPr>
        <w:widowControl w:val="0"/>
        <w:spacing w:line="440" w:lineRule="exact"/>
        <w:ind w:firstLine="474" w:firstLineChars="200"/>
        <w:jc w:val="both"/>
        <w:rPr>
          <w:rFonts w:ascii="Times New Roman" w:hAnsi="Times New Roman" w:cs="Times New Roman"/>
          <w:snapToGrid w:val="0"/>
          <w:color w:val="auto"/>
          <w:w w:val="99"/>
          <w:highlight w:val="none"/>
          <w:lang w:val="zh-CN" w:bidi="zh-CN"/>
        </w:rPr>
      </w:pPr>
      <w:r>
        <w:rPr>
          <w:rFonts w:ascii="Times New Roman" w:hAnsi="Times New Roman" w:cs="Times New Roman"/>
          <w:snapToGrid w:val="0"/>
          <w:color w:val="auto"/>
          <w:w w:val="99"/>
          <w:highlight w:val="none"/>
          <w:lang w:val="zh-CN" w:bidi="zh-CN"/>
        </w:rPr>
        <w:t>（18）《中国石油天然气生产企业温室气体排放核算方法与报告指南》；</w:t>
      </w:r>
    </w:p>
    <w:p w14:paraId="49CC3F0C">
      <w:pPr>
        <w:widowControl w:val="0"/>
        <w:spacing w:line="440" w:lineRule="exact"/>
        <w:ind w:firstLine="474" w:firstLineChars="200"/>
        <w:jc w:val="both"/>
        <w:rPr>
          <w:rFonts w:ascii="Times New Roman" w:hAnsi="Times New Roman" w:cs="Times New Roman"/>
          <w:snapToGrid w:val="0"/>
          <w:color w:val="auto"/>
          <w:w w:val="99"/>
          <w:highlight w:val="none"/>
          <w:lang w:bidi="zh-CN"/>
        </w:rPr>
      </w:pPr>
      <w:r>
        <w:rPr>
          <w:rFonts w:ascii="Times New Roman" w:hAnsi="Times New Roman" w:cs="Times New Roman"/>
          <w:snapToGrid w:val="0"/>
          <w:color w:val="auto"/>
          <w:w w:val="99"/>
          <w:highlight w:val="none"/>
          <w:lang w:bidi="zh-CN"/>
        </w:rPr>
        <w:t>（19）《危险废物收集 贮存 运输技术规范》（HJ2025-2012）；</w:t>
      </w:r>
    </w:p>
    <w:p w14:paraId="3B9B86CD">
      <w:pPr>
        <w:widowControl w:val="0"/>
        <w:spacing w:line="440" w:lineRule="exact"/>
        <w:ind w:firstLine="474" w:firstLineChars="200"/>
        <w:jc w:val="both"/>
        <w:rPr>
          <w:rFonts w:ascii="Times New Roman" w:hAnsi="Times New Roman" w:cs="Times New Roman"/>
          <w:snapToGrid w:val="0"/>
          <w:color w:val="auto"/>
          <w:w w:val="99"/>
          <w:highlight w:val="none"/>
          <w:lang w:bidi="zh-CN"/>
        </w:rPr>
      </w:pPr>
      <w:r>
        <w:rPr>
          <w:rFonts w:ascii="Times New Roman" w:hAnsi="Times New Roman" w:cs="Times New Roman"/>
          <w:snapToGrid w:val="0"/>
          <w:color w:val="auto"/>
          <w:w w:val="99"/>
          <w:highlight w:val="none"/>
          <w:lang w:bidi="zh-CN"/>
        </w:rPr>
        <w:t>（20）《油田注水工程施工技术规范》（SY/T4122-2020）；</w:t>
      </w:r>
    </w:p>
    <w:p w14:paraId="588F3F56">
      <w:pPr>
        <w:widowControl w:val="0"/>
        <w:spacing w:line="440" w:lineRule="exact"/>
        <w:ind w:firstLine="474" w:firstLineChars="200"/>
        <w:jc w:val="both"/>
        <w:rPr>
          <w:rFonts w:ascii="Times New Roman" w:hAnsi="Times New Roman" w:cs="Times New Roman"/>
          <w:snapToGrid w:val="0"/>
          <w:color w:val="auto"/>
          <w:w w:val="99"/>
          <w:highlight w:val="none"/>
          <w:lang w:bidi="zh-CN"/>
        </w:rPr>
      </w:pPr>
      <w:r>
        <w:rPr>
          <w:rFonts w:ascii="Times New Roman" w:hAnsi="Times New Roman" w:cs="Times New Roman"/>
          <w:snapToGrid w:val="0"/>
          <w:color w:val="auto"/>
          <w:w w:val="99"/>
          <w:highlight w:val="none"/>
          <w:lang w:bidi="zh-CN"/>
        </w:rPr>
        <w:t>（21）《碎屑岩油藏注水水质指标技术要求及分析方法》（SY/T5329-2022）；</w:t>
      </w:r>
    </w:p>
    <w:p w14:paraId="0A7DB06B">
      <w:pPr>
        <w:widowControl w:val="0"/>
        <w:spacing w:line="440" w:lineRule="exact"/>
        <w:ind w:firstLine="474" w:firstLineChars="200"/>
        <w:jc w:val="both"/>
        <w:rPr>
          <w:rFonts w:ascii="Times New Roman" w:hAnsi="Times New Roman" w:cs="Times New Roman"/>
          <w:snapToGrid w:val="0"/>
          <w:color w:val="auto"/>
          <w:w w:val="99"/>
          <w:highlight w:val="none"/>
          <w:lang w:bidi="zh-CN"/>
        </w:rPr>
      </w:pPr>
      <w:r>
        <w:rPr>
          <w:rFonts w:ascii="Times New Roman" w:hAnsi="Times New Roman" w:cs="Times New Roman"/>
          <w:snapToGrid w:val="0"/>
          <w:color w:val="auto"/>
          <w:w w:val="99"/>
          <w:highlight w:val="none"/>
          <w:lang w:bidi="zh-CN"/>
        </w:rPr>
        <w:t>（22）《</w:t>
      </w:r>
      <w:bookmarkStart w:id="191" w:name="OLE_LINK162"/>
      <w:bookmarkStart w:id="192" w:name="OLE_LINK169"/>
      <w:r>
        <w:rPr>
          <w:rFonts w:ascii="Times New Roman" w:hAnsi="Times New Roman" w:cs="Times New Roman"/>
          <w:snapToGrid w:val="0"/>
          <w:color w:val="auto"/>
          <w:w w:val="99"/>
          <w:highlight w:val="none"/>
          <w:lang w:bidi="zh-CN"/>
        </w:rPr>
        <w:t>陆上石油天然气生产环境保护推荐</w:t>
      </w:r>
      <w:r>
        <w:rPr>
          <w:rFonts w:hint="eastAsia" w:ascii="Times New Roman" w:hAnsi="Times New Roman" w:cs="Times New Roman"/>
          <w:snapToGrid w:val="0"/>
          <w:color w:val="auto"/>
          <w:w w:val="99"/>
          <w:highlight w:val="none"/>
          <w:lang w:bidi="zh-CN"/>
        </w:rPr>
        <w:t>作</w:t>
      </w:r>
      <w:r>
        <w:rPr>
          <w:rFonts w:ascii="Times New Roman" w:hAnsi="Times New Roman" w:cs="Times New Roman"/>
          <w:snapToGrid w:val="0"/>
          <w:color w:val="auto"/>
          <w:w w:val="99"/>
          <w:highlight w:val="none"/>
          <w:lang w:bidi="zh-CN"/>
        </w:rPr>
        <w:t>法</w:t>
      </w:r>
      <w:bookmarkEnd w:id="191"/>
      <w:bookmarkEnd w:id="192"/>
      <w:r>
        <w:rPr>
          <w:rFonts w:ascii="Times New Roman" w:hAnsi="Times New Roman" w:cs="Times New Roman"/>
          <w:snapToGrid w:val="0"/>
          <w:color w:val="auto"/>
          <w:w w:val="99"/>
          <w:highlight w:val="none"/>
          <w:lang w:bidi="zh-CN"/>
        </w:rPr>
        <w:t>》（</w:t>
      </w:r>
      <w:bookmarkStart w:id="193" w:name="OLE_LINK160"/>
      <w:bookmarkStart w:id="194" w:name="OLE_LINK161"/>
      <w:r>
        <w:rPr>
          <w:rFonts w:ascii="Times New Roman" w:hAnsi="Times New Roman" w:cs="Times New Roman"/>
          <w:snapToGrid w:val="0"/>
          <w:color w:val="auto"/>
          <w:w w:val="99"/>
          <w:highlight w:val="none"/>
          <w:lang w:bidi="zh-CN"/>
        </w:rPr>
        <w:t>SY/T6628-</w:t>
      </w:r>
      <w:bookmarkEnd w:id="193"/>
      <w:bookmarkEnd w:id="194"/>
      <w:r>
        <w:rPr>
          <w:rFonts w:ascii="Times New Roman" w:hAnsi="Times New Roman" w:cs="Times New Roman"/>
          <w:snapToGrid w:val="0"/>
          <w:color w:val="auto"/>
          <w:w w:val="99"/>
          <w:highlight w:val="none"/>
          <w:lang w:bidi="zh-CN"/>
        </w:rPr>
        <w:t>2005）；</w:t>
      </w:r>
    </w:p>
    <w:p w14:paraId="12E5BB1C">
      <w:pPr>
        <w:widowControl w:val="0"/>
        <w:spacing w:line="440" w:lineRule="exact"/>
        <w:ind w:firstLine="474" w:firstLineChars="200"/>
        <w:jc w:val="both"/>
        <w:rPr>
          <w:rFonts w:ascii="Times New Roman" w:hAnsi="Times New Roman" w:cs="Times New Roman"/>
          <w:snapToGrid w:val="0"/>
          <w:color w:val="auto"/>
          <w:w w:val="99"/>
          <w:highlight w:val="none"/>
          <w:lang w:bidi="zh-CN"/>
        </w:rPr>
      </w:pPr>
      <w:r>
        <w:rPr>
          <w:rFonts w:ascii="Times New Roman" w:hAnsi="Times New Roman" w:cs="Times New Roman"/>
          <w:snapToGrid w:val="0"/>
          <w:color w:val="auto"/>
          <w:w w:val="99"/>
          <w:highlight w:val="none"/>
          <w:lang w:bidi="zh-CN"/>
        </w:rPr>
        <w:t>（23）《石油天然气开采业固体废物污染控制技术规范》（HJ 1461-2026 ）；</w:t>
      </w:r>
    </w:p>
    <w:p w14:paraId="1247EA88">
      <w:pPr>
        <w:widowControl w:val="0"/>
        <w:spacing w:line="440" w:lineRule="exact"/>
        <w:ind w:firstLine="474" w:firstLineChars="200"/>
        <w:jc w:val="both"/>
        <w:rPr>
          <w:rFonts w:ascii="Times New Roman" w:hAnsi="Times New Roman" w:cs="Times New Roman"/>
          <w:snapToGrid w:val="0"/>
          <w:color w:val="auto"/>
          <w:w w:val="99"/>
          <w:highlight w:val="none"/>
          <w:lang w:bidi="zh-CN"/>
        </w:rPr>
      </w:pPr>
      <w:r>
        <w:rPr>
          <w:rFonts w:ascii="Times New Roman" w:hAnsi="Times New Roman" w:cs="Times New Roman"/>
          <w:snapToGrid w:val="0"/>
          <w:color w:val="auto"/>
          <w:w w:val="99"/>
          <w:highlight w:val="none"/>
          <w:lang w:bidi="zh-CN"/>
        </w:rPr>
        <w:t>（24）《石油天然气项目土地复垦与生态修复技术规范》（GB/T43936-2024）；</w:t>
      </w:r>
    </w:p>
    <w:p w14:paraId="6BFD1036">
      <w:pPr>
        <w:widowControl w:val="0"/>
        <w:spacing w:line="440" w:lineRule="exact"/>
        <w:ind w:firstLine="474" w:firstLineChars="200"/>
        <w:jc w:val="both"/>
        <w:rPr>
          <w:rFonts w:ascii="Times New Roman" w:hAnsi="Times New Roman" w:cs="Times New Roman"/>
          <w:snapToGrid w:val="0"/>
          <w:color w:val="auto"/>
          <w:w w:val="99"/>
          <w:highlight w:val="none"/>
          <w:lang w:bidi="zh-CN"/>
        </w:rPr>
      </w:pPr>
      <w:r>
        <w:rPr>
          <w:rFonts w:ascii="Times New Roman" w:hAnsi="Times New Roman" w:cs="Times New Roman"/>
          <w:snapToGrid w:val="0"/>
          <w:color w:val="auto"/>
          <w:w w:val="99"/>
          <w:highlight w:val="none"/>
          <w:lang w:bidi="zh-CN"/>
        </w:rPr>
        <w:t>（25）《矿产资源“三率”指标要求第2部分：石油、天然气、煤层气、页岩气、二氧化碳气》（DZ/T0462.2-2023）；</w:t>
      </w:r>
    </w:p>
    <w:p w14:paraId="6663D948">
      <w:pPr>
        <w:widowControl w:val="0"/>
        <w:spacing w:line="440" w:lineRule="exact"/>
        <w:ind w:firstLine="474" w:firstLineChars="200"/>
        <w:jc w:val="both"/>
        <w:rPr>
          <w:rFonts w:ascii="Times New Roman" w:hAnsi="Times New Roman" w:cs="Times New Roman"/>
          <w:snapToGrid w:val="0"/>
          <w:color w:val="auto"/>
          <w:w w:val="99"/>
          <w:highlight w:val="none"/>
          <w:lang w:bidi="zh-CN"/>
        </w:rPr>
      </w:pPr>
      <w:r>
        <w:rPr>
          <w:rFonts w:ascii="Times New Roman" w:hAnsi="Times New Roman" w:cs="Times New Roman"/>
          <w:snapToGrid w:val="0"/>
          <w:color w:val="auto"/>
          <w:w w:val="99"/>
          <w:highlight w:val="none"/>
          <w:lang w:bidi="zh-CN"/>
        </w:rPr>
        <w:t>（26）《危险废物鉴别技术规范》（HJ298-2019）；</w:t>
      </w:r>
    </w:p>
    <w:p w14:paraId="1F938E21">
      <w:pPr>
        <w:widowControl w:val="0"/>
        <w:spacing w:line="440" w:lineRule="exact"/>
        <w:ind w:firstLine="474" w:firstLineChars="200"/>
        <w:jc w:val="both"/>
        <w:rPr>
          <w:rFonts w:ascii="Times New Roman" w:hAnsi="Times New Roman" w:cs="Times New Roman"/>
          <w:snapToGrid w:val="0"/>
          <w:color w:val="auto"/>
          <w:w w:val="99"/>
          <w:highlight w:val="none"/>
          <w:lang w:bidi="zh-CN"/>
        </w:rPr>
      </w:pPr>
      <w:r>
        <w:rPr>
          <w:rFonts w:ascii="Times New Roman" w:hAnsi="Times New Roman" w:cs="Times New Roman"/>
          <w:snapToGrid w:val="0"/>
          <w:color w:val="auto"/>
          <w:w w:val="99"/>
          <w:highlight w:val="none"/>
          <w:lang w:bidi="zh-CN"/>
        </w:rPr>
        <w:t>（27）《生产建设项目水土流失防治标准》（GB/T50434-2018）；</w:t>
      </w:r>
    </w:p>
    <w:p w14:paraId="7AC03BD6">
      <w:pPr>
        <w:widowControl w:val="0"/>
        <w:spacing w:line="440" w:lineRule="exact"/>
        <w:ind w:firstLine="474" w:firstLineChars="200"/>
        <w:jc w:val="both"/>
        <w:rPr>
          <w:rFonts w:ascii="Times New Roman" w:hAnsi="Times New Roman" w:cs="Times New Roman"/>
          <w:snapToGrid w:val="0"/>
          <w:color w:val="auto"/>
          <w:w w:val="99"/>
          <w:highlight w:val="none"/>
          <w:lang w:bidi="zh-CN"/>
        </w:rPr>
      </w:pPr>
      <w:r>
        <w:rPr>
          <w:rFonts w:ascii="Times New Roman" w:hAnsi="Times New Roman" w:cs="Times New Roman"/>
          <w:snapToGrid w:val="0"/>
          <w:color w:val="auto"/>
          <w:w w:val="99"/>
          <w:highlight w:val="none"/>
          <w:lang w:bidi="zh-CN"/>
        </w:rPr>
        <w:t>（28）《固体废物分类与代码目录》（</w:t>
      </w:r>
      <w:r>
        <w:rPr>
          <w:rFonts w:hint="eastAsia" w:ascii="Times New Roman" w:hAnsi="Times New Roman" w:cs="Times New Roman"/>
          <w:snapToGrid w:val="0"/>
          <w:color w:val="auto"/>
          <w:w w:val="99"/>
          <w:highlight w:val="none"/>
          <w:lang w:bidi="zh-CN"/>
        </w:rPr>
        <w:t>环境部公告〔</w:t>
      </w:r>
      <w:r>
        <w:rPr>
          <w:rFonts w:ascii="Times New Roman" w:hAnsi="Times New Roman" w:cs="Times New Roman"/>
          <w:snapToGrid w:val="0"/>
          <w:color w:val="auto"/>
          <w:w w:val="99"/>
          <w:highlight w:val="none"/>
          <w:lang w:bidi="zh-CN"/>
        </w:rPr>
        <w:t>2024〕4号）；</w:t>
      </w:r>
    </w:p>
    <w:p w14:paraId="3BC47542">
      <w:pPr>
        <w:widowControl w:val="0"/>
        <w:spacing w:line="440" w:lineRule="exact"/>
        <w:ind w:firstLine="474" w:firstLineChars="200"/>
        <w:jc w:val="both"/>
        <w:rPr>
          <w:rFonts w:ascii="Times New Roman" w:hAnsi="Times New Roman" w:cs="Times New Roman"/>
          <w:snapToGrid w:val="0"/>
          <w:color w:val="auto"/>
          <w:w w:val="99"/>
          <w:highlight w:val="none"/>
          <w:lang w:bidi="zh-CN"/>
        </w:rPr>
      </w:pPr>
      <w:r>
        <w:rPr>
          <w:rFonts w:ascii="Times New Roman" w:hAnsi="Times New Roman" w:cs="Times New Roman"/>
          <w:snapToGrid w:val="0"/>
          <w:color w:val="auto"/>
          <w:w w:val="99"/>
          <w:highlight w:val="none"/>
          <w:lang w:bidi="zh-CN"/>
        </w:rPr>
        <w:t>（</w:t>
      </w:r>
      <w:r>
        <w:rPr>
          <w:rFonts w:hint="eastAsia" w:ascii="Times New Roman" w:hAnsi="Times New Roman" w:cs="Times New Roman"/>
          <w:snapToGrid w:val="0"/>
          <w:color w:val="auto"/>
          <w:w w:val="99"/>
          <w:highlight w:val="none"/>
          <w:lang w:bidi="zh-CN"/>
        </w:rPr>
        <w:t>2</w:t>
      </w:r>
      <w:r>
        <w:rPr>
          <w:rFonts w:ascii="Times New Roman" w:hAnsi="Times New Roman" w:cs="Times New Roman"/>
          <w:snapToGrid w:val="0"/>
          <w:color w:val="auto"/>
          <w:w w:val="99"/>
          <w:highlight w:val="none"/>
          <w:lang w:bidi="zh-CN"/>
        </w:rPr>
        <w:t>9）《地下水型饮用水水源补给区划定技术指南（试行）》（环办便函</w:t>
      </w:r>
      <w:r>
        <w:rPr>
          <w:rFonts w:hint="eastAsia" w:ascii="Times New Roman" w:hAnsi="Times New Roman" w:cs="Times New Roman"/>
          <w:snapToGrid w:val="0"/>
          <w:color w:val="auto"/>
          <w:w w:val="99"/>
          <w:highlight w:val="none"/>
          <w:lang w:bidi="zh-CN"/>
        </w:rPr>
        <w:t>〔</w:t>
      </w:r>
      <w:r>
        <w:rPr>
          <w:rFonts w:ascii="Times New Roman" w:hAnsi="Times New Roman" w:cs="Times New Roman"/>
          <w:snapToGrid w:val="0"/>
          <w:color w:val="auto"/>
          <w:w w:val="99"/>
          <w:highlight w:val="none"/>
          <w:lang w:bidi="zh-CN"/>
        </w:rPr>
        <w:t>2022〕335号）</w:t>
      </w:r>
      <w:r>
        <w:rPr>
          <w:rFonts w:hint="eastAsia" w:ascii="Times New Roman" w:hAnsi="Times New Roman" w:cs="Times New Roman"/>
          <w:snapToGrid w:val="0"/>
          <w:color w:val="auto"/>
          <w:w w:val="99"/>
          <w:highlight w:val="none"/>
          <w:lang w:bidi="zh-CN"/>
        </w:rPr>
        <w:t>。</w:t>
      </w:r>
    </w:p>
    <w:p w14:paraId="7AD329D5">
      <w:pPr>
        <w:pStyle w:val="7"/>
        <w:widowControl w:val="0"/>
        <w:spacing w:before="60" w:after="60" w:line="440" w:lineRule="exact"/>
        <w:jc w:val="both"/>
        <w:rPr>
          <w:rFonts w:eastAsiaTheme="minorEastAsia"/>
          <w:b/>
          <w:color w:val="auto"/>
          <w:w w:val="99"/>
          <w:kern w:val="2"/>
          <w:sz w:val="24"/>
          <w:szCs w:val="24"/>
          <w:highlight w:val="none"/>
        </w:rPr>
      </w:pPr>
      <w:bookmarkStart w:id="195" w:name="_Toc85640719"/>
      <w:bookmarkStart w:id="196" w:name="_Toc127192307"/>
      <w:bookmarkStart w:id="197" w:name="_Toc126863358"/>
      <w:bookmarkStart w:id="198" w:name="_Toc86141902"/>
      <w:bookmarkStart w:id="199" w:name="_Toc186444242"/>
      <w:bookmarkStart w:id="200" w:name="_Toc131167258"/>
      <w:bookmarkStart w:id="201" w:name="_Toc143099545"/>
      <w:bookmarkStart w:id="202" w:name="_Toc84929195"/>
      <w:r>
        <w:rPr>
          <w:rFonts w:eastAsiaTheme="minorEastAsia"/>
          <w:b/>
          <w:color w:val="auto"/>
          <w:w w:val="99"/>
          <w:kern w:val="2"/>
          <w:sz w:val="24"/>
          <w:szCs w:val="24"/>
          <w:highlight w:val="none"/>
        </w:rPr>
        <w:t>2.3.4其它相关依据及支持性文件</w:t>
      </w:r>
      <w:bookmarkEnd w:id="195"/>
      <w:bookmarkEnd w:id="196"/>
      <w:bookmarkEnd w:id="197"/>
      <w:bookmarkEnd w:id="198"/>
      <w:bookmarkEnd w:id="199"/>
      <w:bookmarkEnd w:id="200"/>
      <w:bookmarkEnd w:id="201"/>
      <w:bookmarkEnd w:id="202"/>
    </w:p>
    <w:p w14:paraId="11F8CDD0">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（1）《徐深气田徐深 9 区块营城组气藏产能建设项目（2026 年）可行性研究报告</w:t>
      </w:r>
    </w:p>
    <w:p w14:paraId="10FC5ABD">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地面工程部分》</w:t>
      </w:r>
      <w:r>
        <w:rPr>
          <w:rFonts w:hint="eastAsia" w:ascii="Times New Roman" w:hAnsi="Times New Roman"/>
          <w:snapToGrid w:val="0"/>
          <w:color w:val="auto"/>
          <w:w w:val="99"/>
          <w:highlight w:val="none"/>
        </w:rPr>
        <w:t>（</w:t>
      </w:r>
      <w:r>
        <w:rPr>
          <w:rFonts w:ascii="Times New Roman" w:hAnsi="Times New Roman"/>
          <w:snapToGrid w:val="0"/>
          <w:color w:val="auto"/>
          <w:w w:val="99"/>
          <w:highlight w:val="none"/>
        </w:rPr>
        <w:t>项目号：S（26）0515QC005</w:t>
      </w:r>
      <w:r>
        <w:rPr>
          <w:rFonts w:hint="eastAsia" w:ascii="Times New Roman" w:hAnsi="Times New Roman"/>
          <w:snapToGrid w:val="0"/>
          <w:color w:val="auto"/>
          <w:w w:val="99"/>
          <w:highlight w:val="none"/>
        </w:rPr>
        <w:t>），大庆油田设计院有限公司，2026年5月</w:t>
      </w:r>
      <w:r>
        <w:rPr>
          <w:rFonts w:ascii="Times New Roman" w:hAnsi="Times New Roman"/>
          <w:snapToGrid w:val="0"/>
          <w:color w:val="auto"/>
          <w:w w:val="99"/>
          <w:highlight w:val="none"/>
        </w:rPr>
        <w:t>；</w:t>
      </w:r>
    </w:p>
    <w:p w14:paraId="3C31C4A6">
      <w:pPr>
        <w:pStyle w:val="153"/>
        <w:widowControl w:val="0"/>
        <w:spacing w:line="440" w:lineRule="exact"/>
        <w:ind w:firstLine="473"/>
        <w:rPr>
          <w:rFonts w:ascii="Times New Roman" w:hAnsi="Times New Roman"/>
          <w:snapToGrid w:val="0"/>
          <w:color w:val="auto"/>
          <w:w w:val="99"/>
          <w:highlight w:val="none"/>
        </w:rPr>
      </w:pPr>
      <w:r>
        <w:rPr>
          <w:rFonts w:hint="eastAsia" w:ascii="Times New Roman" w:hAnsi="Times New Roman"/>
          <w:snapToGrid w:val="0"/>
          <w:color w:val="auto"/>
          <w:w w:val="99"/>
          <w:highlight w:val="none"/>
        </w:rPr>
        <w:t>（2）《大庆市水文地质勘察报告》（石油管理局）</w:t>
      </w:r>
      <w:r>
        <w:rPr>
          <w:rFonts w:ascii="Times New Roman" w:hAnsi="Times New Roman"/>
          <w:snapToGrid w:val="0"/>
          <w:color w:val="auto"/>
          <w:w w:val="99"/>
          <w:highlight w:val="none"/>
        </w:rPr>
        <w:t>。</w:t>
      </w:r>
    </w:p>
    <w:p w14:paraId="5C51F2CA">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203" w:name="_Toc12054"/>
      <w:bookmarkStart w:id="204" w:name="_Toc30845"/>
      <w:r>
        <w:rPr>
          <w:rFonts w:ascii="Times New Roman" w:hAnsi="Times New Roman" w:eastAsia="宋体"/>
          <w:b/>
          <w:snapToGrid w:val="0"/>
          <w:color w:val="auto"/>
          <w:w w:val="99"/>
          <w:highlight w:val="none"/>
        </w:rPr>
        <w:t>2.5环境影响识别与评价因子筛选</w:t>
      </w:r>
      <w:bookmarkEnd w:id="203"/>
      <w:bookmarkEnd w:id="204"/>
    </w:p>
    <w:p w14:paraId="4EDC0B18">
      <w:pPr>
        <w:pStyle w:val="7"/>
        <w:widowControl w:val="0"/>
        <w:spacing w:before="60" w:after="60" w:line="440" w:lineRule="exact"/>
        <w:jc w:val="both"/>
        <w:rPr>
          <w:rFonts w:eastAsia="宋体"/>
          <w:b/>
          <w:color w:val="auto"/>
          <w:w w:val="99"/>
          <w:kern w:val="2"/>
          <w:sz w:val="24"/>
          <w:szCs w:val="24"/>
          <w:highlight w:val="none"/>
        </w:rPr>
      </w:pPr>
      <w:bookmarkStart w:id="205" w:name="_Toc67860097"/>
      <w:bookmarkStart w:id="206" w:name="_Toc61597190"/>
      <w:bookmarkStart w:id="207" w:name="_Toc76976212"/>
      <w:bookmarkStart w:id="208" w:name="_Toc80588224"/>
      <w:bookmarkStart w:id="209" w:name="_Toc83209441"/>
      <w:bookmarkStart w:id="210" w:name="_Toc70050144"/>
      <w:bookmarkStart w:id="211" w:name="_Toc77067628"/>
      <w:bookmarkStart w:id="212" w:name="_Toc78816429"/>
      <w:bookmarkStart w:id="213" w:name="_Toc186444244"/>
      <w:bookmarkStart w:id="214" w:name="_Toc80971346"/>
      <w:bookmarkStart w:id="215" w:name="_Toc17898134"/>
      <w:bookmarkStart w:id="216" w:name="_Toc57976644"/>
      <w:bookmarkStart w:id="217" w:name="_Toc57203219"/>
      <w:bookmarkStart w:id="218" w:name="_Toc6028"/>
      <w:bookmarkStart w:id="219" w:name="_Toc57707889"/>
      <w:r>
        <w:rPr>
          <w:rFonts w:eastAsia="宋体"/>
          <w:b/>
          <w:color w:val="auto"/>
          <w:w w:val="99"/>
          <w:kern w:val="2"/>
          <w:sz w:val="24"/>
          <w:szCs w:val="24"/>
          <w:highlight w:val="none"/>
        </w:rPr>
        <w:t>2.5.1评价时段</w:t>
      </w:r>
      <w:bookmarkEnd w:id="205"/>
      <w:bookmarkEnd w:id="206"/>
      <w:bookmarkEnd w:id="207"/>
      <w:bookmarkEnd w:id="208"/>
      <w:bookmarkEnd w:id="209"/>
      <w:bookmarkEnd w:id="210"/>
      <w:bookmarkEnd w:id="211"/>
      <w:bookmarkEnd w:id="212"/>
      <w:bookmarkEnd w:id="213"/>
      <w:bookmarkEnd w:id="214"/>
    </w:p>
    <w:p w14:paraId="6AA27E25">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施工期、运营期和退役期。</w:t>
      </w:r>
    </w:p>
    <w:p w14:paraId="76CE36E4">
      <w:pPr>
        <w:pStyle w:val="7"/>
        <w:widowControl w:val="0"/>
        <w:spacing w:before="60" w:after="60" w:line="440" w:lineRule="exact"/>
        <w:jc w:val="both"/>
        <w:rPr>
          <w:rFonts w:eastAsia="宋体"/>
          <w:b/>
          <w:color w:val="auto"/>
          <w:w w:val="99"/>
          <w:kern w:val="2"/>
          <w:sz w:val="24"/>
          <w:szCs w:val="24"/>
          <w:highlight w:val="none"/>
        </w:rPr>
      </w:pPr>
      <w:bookmarkStart w:id="220" w:name="_Toc186444245"/>
      <w:bookmarkStart w:id="221" w:name="_Toc67860098"/>
      <w:bookmarkStart w:id="222" w:name="_Toc80588225"/>
      <w:bookmarkStart w:id="223" w:name="_Toc78816430"/>
      <w:bookmarkStart w:id="224" w:name="_Toc76976213"/>
      <w:bookmarkStart w:id="225" w:name="_Toc80971347"/>
      <w:bookmarkStart w:id="226" w:name="_Toc61597191"/>
      <w:bookmarkStart w:id="227" w:name="_Toc83209442"/>
      <w:bookmarkStart w:id="228" w:name="_Toc77067629"/>
      <w:bookmarkStart w:id="229" w:name="_Toc70050145"/>
      <w:r>
        <w:rPr>
          <w:rFonts w:eastAsia="宋体"/>
          <w:b/>
          <w:color w:val="auto"/>
          <w:w w:val="99"/>
          <w:kern w:val="2"/>
          <w:sz w:val="24"/>
          <w:szCs w:val="24"/>
          <w:highlight w:val="none"/>
        </w:rPr>
        <w:t>2.5.2环境影响因素识别</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601CC6C8">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本工程建设对环境的影响，根据其特征可分为施工期影响</w:t>
      </w:r>
      <w:r>
        <w:rPr>
          <w:rFonts w:hint="eastAsia" w:ascii="Times New Roman" w:hAnsi="Times New Roman"/>
          <w:snapToGrid w:val="0"/>
          <w:color w:val="auto"/>
          <w:w w:val="99"/>
          <w:highlight w:val="none"/>
        </w:rPr>
        <w:t>、</w:t>
      </w:r>
      <w:r>
        <w:rPr>
          <w:rFonts w:ascii="Times New Roman" w:hAnsi="Times New Roman"/>
          <w:snapToGrid w:val="0"/>
          <w:color w:val="auto"/>
          <w:w w:val="99"/>
          <w:highlight w:val="none"/>
        </w:rPr>
        <w:t>生产运营期影响</w:t>
      </w:r>
      <w:r>
        <w:rPr>
          <w:rFonts w:hint="eastAsia" w:ascii="Times New Roman" w:hAnsi="Times New Roman"/>
          <w:snapToGrid w:val="0"/>
          <w:color w:val="auto"/>
          <w:w w:val="99"/>
          <w:highlight w:val="none"/>
        </w:rPr>
        <w:t>和退役期影响三</w:t>
      </w:r>
      <w:r>
        <w:rPr>
          <w:rFonts w:ascii="Times New Roman" w:hAnsi="Times New Roman"/>
          <w:snapToGrid w:val="0"/>
          <w:color w:val="auto"/>
          <w:w w:val="99"/>
          <w:highlight w:val="none"/>
        </w:rPr>
        <w:t>部分。</w:t>
      </w:r>
    </w:p>
    <w:p w14:paraId="4B02CD88">
      <w:pPr>
        <w:pStyle w:val="32"/>
        <w:widowControl w:val="0"/>
        <w:spacing w:line="440" w:lineRule="exact"/>
        <w:ind w:firstLine="474" w:firstLineChars="200"/>
        <w:jc w:val="both"/>
        <w:rPr>
          <w:rFonts w:ascii="Times New Roman" w:hAnsi="Times New Roman"/>
          <w:color w:val="auto"/>
          <w:w w:val="99"/>
          <w:kern w:val="0"/>
          <w:szCs w:val="24"/>
          <w:highlight w:val="none"/>
        </w:rPr>
      </w:pPr>
      <w:r>
        <w:rPr>
          <w:rFonts w:hint="eastAsia" w:ascii="Times New Roman" w:hAnsi="Times New Roman"/>
          <w:color w:val="auto"/>
          <w:w w:val="99"/>
          <w:kern w:val="0"/>
          <w:szCs w:val="24"/>
          <w:highlight w:val="none"/>
        </w:rPr>
        <w:t>施工期的环境影响主要为地面工程施工过程中施工活动对周围环境产生的不利影响。一种影响是对土壤扰动和自然植被等的破坏，这种影响是比较持久的，在施工完成后的一段时间内仍将存在；另一种是在施工过程中产生的污染物排放对环境造成的不利影响，这种影响是短暂的，待施工结束后将随之消失。</w:t>
      </w:r>
    </w:p>
    <w:p w14:paraId="4593C34E">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运营期的环境影响主要为井场和场站产生的污染物排放对环境造成的不利影响，这种影响是长期的。运营期事故状态的环境影响包括</w:t>
      </w:r>
      <w:r>
        <w:rPr>
          <w:rFonts w:hint="eastAsia" w:ascii="Times New Roman" w:hAnsi="Times New Roman"/>
          <w:snapToGrid w:val="0"/>
          <w:color w:val="auto"/>
          <w:w w:val="99"/>
          <w:highlight w:val="none"/>
        </w:rPr>
        <w:t>井场、管道</w:t>
      </w:r>
      <w:r>
        <w:rPr>
          <w:rFonts w:ascii="Times New Roman" w:hAnsi="Times New Roman"/>
          <w:snapToGrid w:val="0"/>
          <w:color w:val="auto"/>
          <w:w w:val="99"/>
          <w:highlight w:val="none"/>
        </w:rPr>
        <w:t>和场站发生</w:t>
      </w:r>
      <w:r>
        <w:rPr>
          <w:rFonts w:hint="eastAsia" w:ascii="Times New Roman" w:hAnsi="Times New Roman"/>
          <w:snapToGrid w:val="0"/>
          <w:color w:val="auto"/>
          <w:w w:val="99"/>
          <w:highlight w:val="none"/>
        </w:rPr>
        <w:t>天然气泄漏</w:t>
      </w:r>
      <w:r>
        <w:rPr>
          <w:rFonts w:ascii="Times New Roman" w:hAnsi="Times New Roman"/>
          <w:snapToGrid w:val="0"/>
          <w:color w:val="auto"/>
          <w:w w:val="99"/>
          <w:highlight w:val="none"/>
        </w:rPr>
        <w:t>、火灾、爆炸等事故对周围环境和人员的影响。</w:t>
      </w:r>
    </w:p>
    <w:p w14:paraId="50B86C90">
      <w:pPr>
        <w:pStyle w:val="153"/>
        <w:widowControl w:val="0"/>
        <w:spacing w:line="440" w:lineRule="exact"/>
        <w:ind w:firstLine="473"/>
        <w:rPr>
          <w:rFonts w:ascii="Times New Roman" w:hAnsi="Times New Roman"/>
          <w:snapToGrid w:val="0"/>
          <w:color w:val="auto"/>
          <w:w w:val="99"/>
          <w:highlight w:val="none"/>
        </w:rPr>
      </w:pPr>
      <w:r>
        <w:rPr>
          <w:rFonts w:hint="eastAsia" w:ascii="Times New Roman" w:hAnsi="Times New Roman"/>
          <w:snapToGrid w:val="0"/>
          <w:color w:val="auto"/>
          <w:w w:val="99"/>
          <w:highlight w:val="none"/>
        </w:rPr>
        <w:t>退役期的环境影响主要是拆除工程的废气、噪声、拆除设备清洗废水、废弃管道清管废水、废旧设备、封井垃圾、含油废防渗布，这种影响是短暂的，</w:t>
      </w:r>
      <w:r>
        <w:rPr>
          <w:rFonts w:ascii="Times New Roman" w:hAnsi="Times New Roman"/>
          <w:snapToGrid w:val="0"/>
          <w:color w:val="auto"/>
          <w:w w:val="99"/>
          <w:highlight w:val="none"/>
        </w:rPr>
        <w:t>待施工结束后将随之消失。</w:t>
      </w:r>
      <w:r>
        <w:rPr>
          <w:rFonts w:hint="eastAsia" w:ascii="Times New Roman" w:hAnsi="Times New Roman"/>
          <w:snapToGrid w:val="0"/>
          <w:color w:val="auto"/>
          <w:w w:val="99"/>
          <w:highlight w:val="none"/>
        </w:rPr>
        <w:t>还有拆除过程中，对占地土壤的扰动、对场地植被的破坏，</w:t>
      </w:r>
      <w:r>
        <w:rPr>
          <w:rFonts w:ascii="Times New Roman" w:hAnsi="Times New Roman"/>
          <w:snapToGrid w:val="0"/>
          <w:color w:val="auto"/>
          <w:w w:val="99"/>
          <w:highlight w:val="none"/>
        </w:rPr>
        <w:t>这种影响是比较持久的，在施工完成后的一段时间内仍将存在</w:t>
      </w:r>
      <w:r>
        <w:rPr>
          <w:rFonts w:hint="eastAsia" w:ascii="Times New Roman" w:hAnsi="Times New Roman"/>
          <w:snapToGrid w:val="0"/>
          <w:color w:val="auto"/>
          <w:w w:val="99"/>
          <w:highlight w:val="none"/>
        </w:rPr>
        <w:t>。</w:t>
      </w:r>
    </w:p>
    <w:p w14:paraId="4E29B95D">
      <w:pPr>
        <w:pStyle w:val="153"/>
        <w:widowControl w:val="0"/>
        <w:spacing w:line="440" w:lineRule="exact"/>
        <w:ind w:firstLine="473"/>
        <w:rPr>
          <w:rFonts w:ascii="Times New Roman" w:hAnsi="Times New Roman"/>
          <w:color w:val="auto"/>
          <w:w w:val="99"/>
          <w:highlight w:val="none"/>
        </w:rPr>
      </w:pPr>
      <w:r>
        <w:rPr>
          <w:rFonts w:ascii="Times New Roman" w:hAnsi="Times New Roman"/>
          <w:snapToGrid w:val="0"/>
          <w:color w:val="auto"/>
          <w:w w:val="99"/>
          <w:highlight w:val="none"/>
        </w:rPr>
        <w:t>根据工程实际情况，结合工程区域的自然环境特</w:t>
      </w:r>
      <w:r>
        <w:rPr>
          <w:rFonts w:ascii="Times New Roman" w:hAnsi="Times New Roman"/>
          <w:color w:val="auto"/>
          <w:w w:val="99"/>
          <w:highlight w:val="none"/>
        </w:rPr>
        <w:t>征，采用矩阵法对工程建设期间和运营期产生的影响进行识别，具体见表2.5-1。</w:t>
      </w:r>
    </w:p>
    <w:p w14:paraId="31B8F196">
      <w:pPr>
        <w:widowControl w:val="0"/>
        <w:spacing w:line="440" w:lineRule="exact"/>
        <w:ind w:firstLine="476" w:firstLineChars="200"/>
        <w:jc w:val="both"/>
        <w:rPr>
          <w:rFonts w:ascii="Times New Roman" w:hAnsi="Times New Roman" w:cs="Times New Roman"/>
          <w:b/>
          <w:bCs/>
          <w:color w:val="auto"/>
          <w:w w:val="99"/>
          <w:highlight w:val="none"/>
        </w:rPr>
      </w:pPr>
      <w:r>
        <w:rPr>
          <w:rFonts w:ascii="Times New Roman" w:hAnsi="Times New Roman" w:cs="Times New Roman"/>
          <w:b/>
          <w:bCs/>
          <w:color w:val="auto"/>
          <w:w w:val="99"/>
          <w:highlight w:val="none"/>
        </w:rPr>
        <w:t>表2.5-1  环境影响因素矩阵识别表</w:t>
      </w:r>
    </w:p>
    <w:tbl>
      <w:tblPr>
        <w:tblStyle w:val="8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1"/>
        <w:gridCol w:w="1142"/>
        <w:gridCol w:w="1780"/>
        <w:gridCol w:w="1363"/>
        <w:gridCol w:w="1478"/>
        <w:gridCol w:w="1606"/>
      </w:tblGrid>
      <w:tr w14:paraId="497C2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0" w:type="pct"/>
            <w:vMerge w:val="restart"/>
            <w:tcBorders>
              <w:tl2br w:val="single" w:color="auto" w:sz="4" w:space="0"/>
            </w:tcBorders>
            <w:vAlign w:val="center"/>
          </w:tcPr>
          <w:p w14:paraId="1F18E84D">
            <w:pPr>
              <w:pStyle w:val="157"/>
              <w:widowControl w:val="0"/>
              <w:spacing w:line="360" w:lineRule="exact"/>
              <w:rPr>
                <w:rFonts w:ascii="Times New Roman" w:hAnsi="Times New Roman" w:eastAsiaTheme="minorEastAsia"/>
                <w:snapToGrid w:val="0"/>
                <w:color w:val="auto"/>
                <w:w w:val="99"/>
                <w:kern w:val="0"/>
                <w:szCs w:val="21"/>
                <w:highlight w:val="none"/>
              </w:rPr>
            </w:pPr>
            <w:r>
              <w:rPr>
                <w:rFonts w:hint="eastAsia" w:ascii="Times New Roman" w:hAnsi="Times New Roman" w:eastAsiaTheme="minorEastAsia"/>
                <w:snapToGrid w:val="0"/>
                <w:color w:val="auto"/>
                <w:w w:val="99"/>
                <w:kern w:val="0"/>
                <w:szCs w:val="21"/>
                <w:highlight w:val="none"/>
                <w:lang w:val="en-US"/>
              </w:rPr>
              <w:t xml:space="preserve">        </w:t>
            </w:r>
            <w:r>
              <w:rPr>
                <w:rFonts w:ascii="Times New Roman" w:hAnsi="Times New Roman" w:eastAsiaTheme="minorEastAsia"/>
                <w:snapToGrid w:val="0"/>
                <w:color w:val="auto"/>
                <w:w w:val="99"/>
                <w:kern w:val="0"/>
                <w:szCs w:val="21"/>
                <w:highlight w:val="none"/>
              </w:rPr>
              <w:t>影响因素</w:t>
            </w:r>
          </w:p>
          <w:p w14:paraId="19949F87">
            <w:pPr>
              <w:pStyle w:val="157"/>
              <w:widowControl w:val="0"/>
              <w:spacing w:line="360" w:lineRule="exact"/>
              <w:jc w:val="lef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环境因素</w:t>
            </w:r>
          </w:p>
        </w:tc>
        <w:tc>
          <w:tcPr>
            <w:tcW w:w="3969" w:type="pct"/>
            <w:gridSpan w:val="5"/>
            <w:vAlign w:val="center"/>
          </w:tcPr>
          <w:p w14:paraId="75B8B171">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施工期</w:t>
            </w:r>
          </w:p>
        </w:tc>
      </w:tr>
      <w:tr w14:paraId="053BC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0" w:type="pct"/>
            <w:vMerge w:val="continue"/>
            <w:tcBorders>
              <w:tl2br w:val="single" w:color="auto" w:sz="4" w:space="0"/>
            </w:tcBorders>
            <w:vAlign w:val="center"/>
          </w:tcPr>
          <w:p w14:paraId="3BDBB57C">
            <w:pPr>
              <w:pStyle w:val="157"/>
              <w:widowControl w:val="0"/>
              <w:spacing w:line="360" w:lineRule="exact"/>
              <w:rPr>
                <w:rFonts w:ascii="Times New Roman" w:hAnsi="Times New Roman" w:eastAsiaTheme="minorEastAsia"/>
                <w:snapToGrid w:val="0"/>
                <w:color w:val="auto"/>
                <w:w w:val="99"/>
                <w:kern w:val="0"/>
                <w:szCs w:val="21"/>
                <w:highlight w:val="none"/>
              </w:rPr>
            </w:pPr>
          </w:p>
        </w:tc>
        <w:tc>
          <w:tcPr>
            <w:tcW w:w="615" w:type="pct"/>
            <w:vAlign w:val="center"/>
          </w:tcPr>
          <w:p w14:paraId="76CE2ADD">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工程占地</w:t>
            </w:r>
          </w:p>
        </w:tc>
        <w:tc>
          <w:tcPr>
            <w:tcW w:w="959" w:type="pct"/>
            <w:vAlign w:val="center"/>
          </w:tcPr>
          <w:p w14:paraId="5E4F51CD">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废气</w:t>
            </w:r>
          </w:p>
        </w:tc>
        <w:tc>
          <w:tcPr>
            <w:tcW w:w="734" w:type="pct"/>
            <w:vAlign w:val="center"/>
          </w:tcPr>
          <w:p w14:paraId="24020682">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废水</w:t>
            </w:r>
          </w:p>
        </w:tc>
        <w:tc>
          <w:tcPr>
            <w:tcW w:w="796" w:type="pct"/>
            <w:vAlign w:val="center"/>
          </w:tcPr>
          <w:p w14:paraId="7CC06551">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固体废物</w:t>
            </w:r>
          </w:p>
        </w:tc>
        <w:tc>
          <w:tcPr>
            <w:tcW w:w="864" w:type="pct"/>
            <w:vAlign w:val="center"/>
          </w:tcPr>
          <w:p w14:paraId="7BFBC830">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噪声</w:t>
            </w:r>
          </w:p>
        </w:tc>
      </w:tr>
      <w:tr w14:paraId="47B3C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1030" w:type="pct"/>
            <w:vMerge w:val="continue"/>
            <w:tcBorders>
              <w:tl2br w:val="single" w:color="auto" w:sz="4" w:space="0"/>
            </w:tcBorders>
            <w:vAlign w:val="center"/>
          </w:tcPr>
          <w:p w14:paraId="62029261">
            <w:pPr>
              <w:pStyle w:val="157"/>
              <w:widowControl w:val="0"/>
              <w:spacing w:line="360" w:lineRule="exact"/>
              <w:rPr>
                <w:rFonts w:ascii="Times New Roman" w:hAnsi="Times New Roman" w:eastAsiaTheme="minorEastAsia"/>
                <w:snapToGrid w:val="0"/>
                <w:color w:val="auto"/>
                <w:w w:val="99"/>
                <w:kern w:val="0"/>
                <w:szCs w:val="21"/>
                <w:highlight w:val="none"/>
              </w:rPr>
            </w:pPr>
          </w:p>
        </w:tc>
        <w:tc>
          <w:tcPr>
            <w:tcW w:w="615" w:type="pct"/>
            <w:vAlign w:val="center"/>
          </w:tcPr>
          <w:p w14:paraId="17B672D9">
            <w:pPr>
              <w:pStyle w:val="157"/>
              <w:widowControl w:val="0"/>
              <w:kinsoku w:val="0"/>
              <w:overflowPunct w:val="0"/>
              <w:spacing w:line="360" w:lineRule="exact"/>
              <w:jc w:val="both"/>
              <w:rPr>
                <w:rFonts w:ascii="Times New Roman" w:hAnsi="Times New Roman" w:eastAsiaTheme="minorEastAsia"/>
                <w:color w:val="auto"/>
                <w:w w:val="99"/>
                <w:szCs w:val="21"/>
                <w:highlight w:val="none"/>
                <w:lang w:val="en-US"/>
              </w:rPr>
            </w:pPr>
            <w:r>
              <w:rPr>
                <w:rFonts w:hint="eastAsia" w:ascii="Times New Roman" w:hAnsi="Times New Roman" w:eastAsiaTheme="minorEastAsia"/>
                <w:color w:val="auto"/>
                <w:w w:val="99"/>
                <w:szCs w:val="21"/>
                <w:highlight w:val="none"/>
                <w:lang w:val="en-US"/>
              </w:rPr>
              <w:t>占用耕地</w:t>
            </w:r>
          </w:p>
        </w:tc>
        <w:tc>
          <w:tcPr>
            <w:tcW w:w="959" w:type="pct"/>
            <w:vAlign w:val="center"/>
          </w:tcPr>
          <w:p w14:paraId="4D60BFFB">
            <w:pPr>
              <w:widowControl w:val="0"/>
              <w:jc w:val="center"/>
              <w:rPr>
                <w:rFonts w:ascii="Times New Roman" w:hAnsi="Times New Roman" w:cs="Times New Roman" w:eastAsiaTheme="minorEastAsia"/>
                <w:color w:val="auto"/>
                <w:w w:val="99"/>
                <w:kern w:val="2"/>
                <w:sz w:val="21"/>
                <w:szCs w:val="21"/>
                <w:highlight w:val="none"/>
                <w:lang w:val="zh-CN"/>
              </w:rPr>
            </w:pPr>
            <w:r>
              <w:rPr>
                <w:rFonts w:ascii="Times New Roman" w:hAnsi="Times New Roman" w:cs="Times New Roman" w:eastAsiaTheme="minorEastAsia"/>
                <w:color w:val="auto"/>
                <w:w w:val="99"/>
                <w:kern w:val="2"/>
                <w:sz w:val="21"/>
                <w:szCs w:val="21"/>
                <w:highlight w:val="none"/>
              </w:rPr>
              <w:t>施工扬尘、焊接烟尘、车辆废气等</w:t>
            </w:r>
          </w:p>
        </w:tc>
        <w:tc>
          <w:tcPr>
            <w:tcW w:w="734" w:type="pct"/>
            <w:vAlign w:val="center"/>
          </w:tcPr>
          <w:p w14:paraId="13B1CF29">
            <w:pPr>
              <w:widowControl w:val="0"/>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试压废水、生活污水</w:t>
            </w:r>
          </w:p>
        </w:tc>
        <w:tc>
          <w:tcPr>
            <w:tcW w:w="796" w:type="pct"/>
            <w:vAlign w:val="center"/>
          </w:tcPr>
          <w:p w14:paraId="27651C9B">
            <w:pPr>
              <w:widowControl w:val="0"/>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管道施工废料、生活垃圾</w:t>
            </w:r>
          </w:p>
        </w:tc>
        <w:tc>
          <w:tcPr>
            <w:tcW w:w="864" w:type="pct"/>
            <w:vAlign w:val="center"/>
          </w:tcPr>
          <w:p w14:paraId="6D072F70">
            <w:pPr>
              <w:widowControl w:val="0"/>
              <w:jc w:val="center"/>
              <w:rPr>
                <w:rFonts w:ascii="Times New Roman" w:hAnsi="Times New Roman" w:cs="Times New Roman" w:eastAsiaTheme="minorEastAsia"/>
                <w:color w:val="auto"/>
                <w:w w:val="99"/>
                <w:kern w:val="2"/>
                <w:sz w:val="21"/>
                <w:szCs w:val="21"/>
                <w:highlight w:val="none"/>
                <w:lang w:val="zh-CN"/>
              </w:rPr>
            </w:pPr>
            <w:r>
              <w:rPr>
                <w:rFonts w:ascii="Times New Roman" w:hAnsi="Times New Roman" w:cs="Times New Roman" w:eastAsiaTheme="minorEastAsia"/>
                <w:color w:val="auto"/>
                <w:w w:val="99"/>
                <w:kern w:val="2"/>
                <w:sz w:val="21"/>
                <w:szCs w:val="21"/>
                <w:highlight w:val="none"/>
              </w:rPr>
              <w:t>施工车辆、挖掘机等施工机械噪声</w:t>
            </w:r>
          </w:p>
        </w:tc>
      </w:tr>
      <w:tr w14:paraId="4718B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0" w:type="pct"/>
            <w:vAlign w:val="center"/>
          </w:tcPr>
          <w:p w14:paraId="55E5BB2A">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环境空气</w:t>
            </w:r>
          </w:p>
        </w:tc>
        <w:tc>
          <w:tcPr>
            <w:tcW w:w="615" w:type="pct"/>
            <w:vAlign w:val="center"/>
          </w:tcPr>
          <w:p w14:paraId="694A2EFE">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959" w:type="pct"/>
            <w:vAlign w:val="center"/>
          </w:tcPr>
          <w:p w14:paraId="5DF9C653">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734" w:type="pct"/>
            <w:vAlign w:val="center"/>
          </w:tcPr>
          <w:p w14:paraId="523A4840">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96" w:type="pct"/>
            <w:vAlign w:val="center"/>
          </w:tcPr>
          <w:p w14:paraId="20F2A0E2">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864" w:type="pct"/>
            <w:vAlign w:val="center"/>
          </w:tcPr>
          <w:p w14:paraId="1712CB95">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r>
      <w:tr w14:paraId="6500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0" w:type="pct"/>
            <w:vAlign w:val="center"/>
          </w:tcPr>
          <w:p w14:paraId="1B79C624">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地表水</w:t>
            </w:r>
          </w:p>
        </w:tc>
        <w:tc>
          <w:tcPr>
            <w:tcW w:w="615" w:type="pct"/>
            <w:vAlign w:val="center"/>
          </w:tcPr>
          <w:p w14:paraId="29B309DA">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959" w:type="pct"/>
            <w:vAlign w:val="center"/>
          </w:tcPr>
          <w:p w14:paraId="548DC191">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34" w:type="pct"/>
            <w:vAlign w:val="center"/>
          </w:tcPr>
          <w:p w14:paraId="5D47BB8E">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796" w:type="pct"/>
            <w:vAlign w:val="center"/>
          </w:tcPr>
          <w:p w14:paraId="23F3154C">
            <w:pPr>
              <w:widowControl w:val="0"/>
              <w:spacing w:line="360" w:lineRule="exact"/>
              <w:jc w:val="center"/>
              <w:rPr>
                <w:rFonts w:ascii="Times New Roman" w:hAnsi="Times New Roman" w:eastAsiaTheme="minorEastAsia"/>
                <w:snapToGrid w:val="0"/>
                <w:color w:val="auto"/>
                <w:w w:val="99"/>
                <w:szCs w:val="21"/>
                <w:highlight w:val="none"/>
              </w:rPr>
            </w:pPr>
            <w:r>
              <w:rPr>
                <w:rFonts w:ascii="Times New Roman" w:hAnsi="Times New Roman" w:eastAsiaTheme="minorEastAsia"/>
                <w:snapToGrid w:val="0"/>
                <w:color w:val="auto"/>
                <w:w w:val="99"/>
                <w:szCs w:val="21"/>
                <w:highlight w:val="none"/>
              </w:rPr>
              <w:t>/</w:t>
            </w:r>
          </w:p>
        </w:tc>
        <w:tc>
          <w:tcPr>
            <w:tcW w:w="864" w:type="pct"/>
            <w:vAlign w:val="center"/>
          </w:tcPr>
          <w:p w14:paraId="3F84CEDD">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r>
      <w:tr w14:paraId="77184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0" w:type="pct"/>
            <w:vAlign w:val="center"/>
          </w:tcPr>
          <w:p w14:paraId="6AF912E8">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地下水</w:t>
            </w:r>
          </w:p>
        </w:tc>
        <w:tc>
          <w:tcPr>
            <w:tcW w:w="615" w:type="pct"/>
            <w:vAlign w:val="center"/>
          </w:tcPr>
          <w:p w14:paraId="705741AB">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959" w:type="pct"/>
            <w:vAlign w:val="center"/>
          </w:tcPr>
          <w:p w14:paraId="5E7F32D5">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34" w:type="pct"/>
            <w:vAlign w:val="center"/>
          </w:tcPr>
          <w:p w14:paraId="50CDFD01">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796" w:type="pct"/>
            <w:vAlign w:val="center"/>
          </w:tcPr>
          <w:p w14:paraId="096FF139">
            <w:pPr>
              <w:widowControl w:val="0"/>
              <w:spacing w:line="360" w:lineRule="exact"/>
              <w:jc w:val="center"/>
              <w:rPr>
                <w:rFonts w:ascii="Times New Roman" w:hAnsi="Times New Roman" w:eastAsiaTheme="minorEastAsia"/>
                <w:snapToGrid w:val="0"/>
                <w:color w:val="auto"/>
                <w:w w:val="99"/>
                <w:szCs w:val="21"/>
                <w:highlight w:val="none"/>
              </w:rPr>
            </w:pPr>
            <w:r>
              <w:rPr>
                <w:rFonts w:ascii="Times New Roman" w:hAnsi="Times New Roman" w:eastAsiaTheme="minorEastAsia"/>
                <w:snapToGrid w:val="0"/>
                <w:color w:val="auto"/>
                <w:w w:val="99"/>
                <w:szCs w:val="21"/>
                <w:highlight w:val="none"/>
              </w:rPr>
              <w:t>/</w:t>
            </w:r>
          </w:p>
        </w:tc>
        <w:tc>
          <w:tcPr>
            <w:tcW w:w="864" w:type="pct"/>
            <w:vAlign w:val="center"/>
          </w:tcPr>
          <w:p w14:paraId="2685D3BA">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r>
      <w:tr w14:paraId="085E8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0" w:type="pct"/>
            <w:vAlign w:val="center"/>
          </w:tcPr>
          <w:p w14:paraId="7A4EEF4F">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声环境</w:t>
            </w:r>
          </w:p>
        </w:tc>
        <w:tc>
          <w:tcPr>
            <w:tcW w:w="615" w:type="pct"/>
            <w:vAlign w:val="center"/>
          </w:tcPr>
          <w:p w14:paraId="413FA2B5">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959" w:type="pct"/>
            <w:vAlign w:val="center"/>
          </w:tcPr>
          <w:p w14:paraId="4151E115">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34" w:type="pct"/>
            <w:vAlign w:val="center"/>
          </w:tcPr>
          <w:p w14:paraId="7D34A89C">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96" w:type="pct"/>
            <w:vAlign w:val="center"/>
          </w:tcPr>
          <w:p w14:paraId="68355B89">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864" w:type="pct"/>
            <w:vAlign w:val="center"/>
          </w:tcPr>
          <w:p w14:paraId="62058224">
            <w:pPr>
              <w:pStyle w:val="157"/>
              <w:widowControl w:val="0"/>
              <w:spacing w:line="360" w:lineRule="exact"/>
              <w:rPr>
                <w:rFonts w:ascii="Times New Roman" w:hAnsi="Times New Roman" w:eastAsiaTheme="minorEastAsia"/>
                <w:snapToGrid w:val="0"/>
                <w:color w:val="auto"/>
                <w:w w:val="99"/>
                <w:kern w:val="0"/>
                <w:szCs w:val="21"/>
                <w:highlight w:val="none"/>
              </w:rPr>
            </w:pPr>
            <w:bookmarkStart w:id="230" w:name="OLE_LINK157"/>
            <w:bookmarkStart w:id="231" w:name="OLE_LINK156"/>
            <w:bookmarkStart w:id="232" w:name="OLE_LINK155"/>
            <w:r>
              <w:rPr>
                <w:rFonts w:ascii="Times New Roman" w:hAnsi="Times New Roman" w:eastAsiaTheme="minorEastAsia"/>
                <w:snapToGrid w:val="0"/>
                <w:color w:val="auto"/>
                <w:w w:val="99"/>
                <w:kern w:val="0"/>
                <w:szCs w:val="21"/>
                <w:highlight w:val="none"/>
              </w:rPr>
              <w:t>-S</w:t>
            </w:r>
            <w:bookmarkEnd w:id="230"/>
            <w:bookmarkEnd w:id="231"/>
            <w:bookmarkEnd w:id="232"/>
          </w:p>
        </w:tc>
      </w:tr>
      <w:tr w14:paraId="79A32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0" w:type="pct"/>
            <w:vAlign w:val="center"/>
          </w:tcPr>
          <w:p w14:paraId="2CFDEDC6">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土壤</w:t>
            </w:r>
          </w:p>
        </w:tc>
        <w:tc>
          <w:tcPr>
            <w:tcW w:w="615" w:type="pct"/>
            <w:vAlign w:val="center"/>
          </w:tcPr>
          <w:p w14:paraId="24979E19">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959" w:type="pct"/>
            <w:vAlign w:val="center"/>
          </w:tcPr>
          <w:p w14:paraId="6798DE66">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34" w:type="pct"/>
            <w:vAlign w:val="center"/>
          </w:tcPr>
          <w:p w14:paraId="6E98ED88">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796" w:type="pct"/>
            <w:vAlign w:val="center"/>
          </w:tcPr>
          <w:p w14:paraId="7BDD6B9F">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r>
              <w:rPr>
                <w:rFonts w:ascii="Times New Roman" w:hAnsi="Times New Roman"/>
                <w:color w:val="auto"/>
                <w:w w:val="99"/>
                <w:szCs w:val="21"/>
                <w:highlight w:val="none"/>
              </w:rPr>
              <w:t>S</w:t>
            </w:r>
          </w:p>
        </w:tc>
        <w:tc>
          <w:tcPr>
            <w:tcW w:w="864" w:type="pct"/>
            <w:vAlign w:val="center"/>
          </w:tcPr>
          <w:p w14:paraId="78769E48">
            <w:pPr>
              <w:pStyle w:val="157"/>
              <w:widowControl w:val="0"/>
              <w:spacing w:line="360" w:lineRule="exact"/>
              <w:rPr>
                <w:rFonts w:ascii="Times New Roman" w:hAnsi="Times New Roman" w:eastAsiaTheme="minorEastAsia"/>
                <w:snapToGrid w:val="0"/>
                <w:color w:val="auto"/>
                <w:w w:val="99"/>
                <w:kern w:val="0"/>
                <w:szCs w:val="21"/>
                <w:highlight w:val="none"/>
                <w:lang w:val="en-US"/>
              </w:rPr>
            </w:pPr>
            <w:r>
              <w:rPr>
                <w:rFonts w:hint="eastAsia" w:ascii="Times New Roman" w:hAnsi="Times New Roman" w:eastAsiaTheme="minorEastAsia"/>
                <w:snapToGrid w:val="0"/>
                <w:color w:val="auto"/>
                <w:w w:val="99"/>
                <w:kern w:val="0"/>
                <w:szCs w:val="21"/>
                <w:highlight w:val="none"/>
                <w:lang w:val="en-US"/>
              </w:rPr>
              <w:t>/</w:t>
            </w:r>
          </w:p>
        </w:tc>
      </w:tr>
      <w:tr w14:paraId="3777D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0" w:type="pct"/>
            <w:vAlign w:val="center"/>
          </w:tcPr>
          <w:p w14:paraId="028921EF">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生态</w:t>
            </w:r>
          </w:p>
        </w:tc>
        <w:tc>
          <w:tcPr>
            <w:tcW w:w="615" w:type="pct"/>
            <w:vAlign w:val="center"/>
          </w:tcPr>
          <w:p w14:paraId="61E7844C">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959" w:type="pct"/>
            <w:vAlign w:val="center"/>
          </w:tcPr>
          <w:p w14:paraId="09CB337A">
            <w:pPr>
              <w:pStyle w:val="157"/>
              <w:widowControl w:val="0"/>
              <w:spacing w:line="360" w:lineRule="exact"/>
              <w:rPr>
                <w:rFonts w:ascii="Times New Roman" w:hAnsi="Times New Roman" w:eastAsiaTheme="minorEastAsia"/>
                <w:snapToGrid w:val="0"/>
                <w:color w:val="auto"/>
                <w:w w:val="99"/>
                <w:kern w:val="0"/>
                <w:szCs w:val="21"/>
                <w:highlight w:val="none"/>
              </w:rPr>
            </w:pPr>
            <w:r>
              <w:rPr>
                <w:rFonts w:hint="eastAsia" w:ascii="Times New Roman" w:hAnsi="Times New Roman" w:eastAsiaTheme="minorEastAsia"/>
                <w:snapToGrid w:val="0"/>
                <w:color w:val="auto"/>
                <w:w w:val="99"/>
                <w:kern w:val="0"/>
                <w:szCs w:val="21"/>
                <w:highlight w:val="none"/>
                <w:lang w:val="en-US"/>
              </w:rPr>
              <w:t>/</w:t>
            </w:r>
          </w:p>
        </w:tc>
        <w:tc>
          <w:tcPr>
            <w:tcW w:w="734" w:type="pct"/>
            <w:vAlign w:val="center"/>
          </w:tcPr>
          <w:p w14:paraId="53828DF6">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96" w:type="pct"/>
            <w:vAlign w:val="center"/>
          </w:tcPr>
          <w:p w14:paraId="528CEA83">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864" w:type="pct"/>
            <w:vAlign w:val="center"/>
          </w:tcPr>
          <w:p w14:paraId="030D7CC2">
            <w:pPr>
              <w:pStyle w:val="157"/>
              <w:widowControl w:val="0"/>
              <w:spacing w:line="360" w:lineRule="exact"/>
              <w:rPr>
                <w:rFonts w:ascii="Times New Roman" w:hAnsi="Times New Roman" w:eastAsiaTheme="minorEastAsia"/>
                <w:snapToGrid w:val="0"/>
                <w:color w:val="auto"/>
                <w:w w:val="99"/>
                <w:kern w:val="0"/>
                <w:szCs w:val="21"/>
                <w:highlight w:val="none"/>
              </w:rPr>
            </w:pPr>
            <w:r>
              <w:rPr>
                <w:rFonts w:hint="eastAsia" w:ascii="Times New Roman" w:hAnsi="Times New Roman" w:eastAsiaTheme="minorEastAsia"/>
                <w:snapToGrid w:val="0"/>
                <w:color w:val="auto"/>
                <w:w w:val="99"/>
                <w:kern w:val="0"/>
                <w:szCs w:val="21"/>
                <w:highlight w:val="none"/>
                <w:lang w:val="en-US"/>
              </w:rPr>
              <w:t>/</w:t>
            </w:r>
          </w:p>
        </w:tc>
      </w:tr>
    </w:tbl>
    <w:p w14:paraId="0B9E853B">
      <w:pPr>
        <w:widowControl w:val="0"/>
        <w:spacing w:line="440" w:lineRule="exact"/>
        <w:ind w:firstLine="476" w:firstLineChars="200"/>
        <w:rPr>
          <w:rFonts w:ascii="Times New Roman" w:hAnsi="Times New Roman" w:cs="Times New Roman" w:eastAsiaTheme="minorEastAsia"/>
          <w:b/>
          <w:color w:val="auto"/>
          <w:w w:val="99"/>
          <w:highlight w:val="none"/>
        </w:rPr>
      </w:pPr>
      <w:r>
        <w:rPr>
          <w:rFonts w:ascii="Times New Roman" w:hAnsi="Times New Roman" w:cs="Times New Roman" w:eastAsiaTheme="minorEastAsia"/>
          <w:b/>
          <w:color w:val="auto"/>
          <w:w w:val="99"/>
          <w:highlight w:val="none"/>
        </w:rPr>
        <w:t>续表2.5-1    环境影响因素矩阵识别表</w:t>
      </w:r>
    </w:p>
    <w:tbl>
      <w:tblPr>
        <w:tblStyle w:val="8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4"/>
        <w:gridCol w:w="1738"/>
        <w:gridCol w:w="1036"/>
        <w:gridCol w:w="1732"/>
        <w:gridCol w:w="1262"/>
        <w:gridCol w:w="1751"/>
      </w:tblGrid>
      <w:tr w14:paraId="68159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0" w:type="pct"/>
            <w:vMerge w:val="restart"/>
            <w:tcBorders>
              <w:tl2br w:val="single" w:color="auto" w:sz="4" w:space="0"/>
            </w:tcBorders>
            <w:vAlign w:val="center"/>
          </w:tcPr>
          <w:p w14:paraId="5B69E3ED">
            <w:pPr>
              <w:pStyle w:val="157"/>
              <w:widowControl w:val="0"/>
              <w:spacing w:line="360" w:lineRule="exact"/>
              <w:ind w:firstLine="517" w:firstLineChars="250"/>
              <w:jc w:val="lef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影响因素</w:t>
            </w:r>
          </w:p>
          <w:p w14:paraId="0859DD7B">
            <w:pPr>
              <w:pStyle w:val="157"/>
              <w:widowControl w:val="0"/>
              <w:spacing w:line="360" w:lineRule="exact"/>
              <w:jc w:val="left"/>
              <w:rPr>
                <w:rFonts w:ascii="Times New Roman" w:hAnsi="Times New Roman" w:eastAsiaTheme="minorEastAsia"/>
                <w:snapToGrid w:val="0"/>
                <w:color w:val="auto"/>
                <w:w w:val="99"/>
                <w:kern w:val="0"/>
                <w:szCs w:val="21"/>
                <w:highlight w:val="none"/>
              </w:rPr>
            </w:pPr>
          </w:p>
          <w:p w14:paraId="7A927E1D">
            <w:pPr>
              <w:pStyle w:val="157"/>
              <w:widowControl w:val="0"/>
              <w:spacing w:line="360" w:lineRule="exact"/>
              <w:jc w:val="lef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环境因素</w:t>
            </w:r>
          </w:p>
        </w:tc>
        <w:tc>
          <w:tcPr>
            <w:tcW w:w="4049" w:type="pct"/>
            <w:gridSpan w:val="5"/>
            <w:vAlign w:val="center"/>
          </w:tcPr>
          <w:p w14:paraId="60FD14D8">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运营期</w:t>
            </w:r>
          </w:p>
        </w:tc>
      </w:tr>
      <w:tr w14:paraId="4D08C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50" w:type="pct"/>
            <w:vMerge w:val="continue"/>
            <w:tcBorders>
              <w:tl2br w:val="single" w:color="auto" w:sz="4" w:space="0"/>
            </w:tcBorders>
            <w:vAlign w:val="center"/>
          </w:tcPr>
          <w:p w14:paraId="1FFA7E93">
            <w:pPr>
              <w:pStyle w:val="157"/>
              <w:widowControl w:val="0"/>
              <w:spacing w:line="360" w:lineRule="exact"/>
              <w:rPr>
                <w:rFonts w:ascii="Times New Roman" w:hAnsi="Times New Roman" w:eastAsiaTheme="minorEastAsia"/>
                <w:snapToGrid w:val="0"/>
                <w:color w:val="auto"/>
                <w:w w:val="99"/>
                <w:kern w:val="0"/>
                <w:szCs w:val="21"/>
                <w:highlight w:val="none"/>
              </w:rPr>
            </w:pPr>
          </w:p>
        </w:tc>
        <w:tc>
          <w:tcPr>
            <w:tcW w:w="936" w:type="pct"/>
            <w:vAlign w:val="center"/>
          </w:tcPr>
          <w:p w14:paraId="67D68C6A">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废气</w:t>
            </w:r>
          </w:p>
        </w:tc>
        <w:tc>
          <w:tcPr>
            <w:tcW w:w="558" w:type="pct"/>
            <w:vAlign w:val="center"/>
          </w:tcPr>
          <w:p w14:paraId="2CD5B57F">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废水</w:t>
            </w:r>
          </w:p>
        </w:tc>
        <w:tc>
          <w:tcPr>
            <w:tcW w:w="933" w:type="pct"/>
            <w:vAlign w:val="center"/>
          </w:tcPr>
          <w:p w14:paraId="1DA08DB3">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固体废物</w:t>
            </w:r>
          </w:p>
        </w:tc>
        <w:tc>
          <w:tcPr>
            <w:tcW w:w="680" w:type="pct"/>
            <w:vAlign w:val="center"/>
          </w:tcPr>
          <w:p w14:paraId="3368C739">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噪声</w:t>
            </w:r>
          </w:p>
        </w:tc>
        <w:tc>
          <w:tcPr>
            <w:tcW w:w="939" w:type="pct"/>
            <w:vAlign w:val="center"/>
          </w:tcPr>
          <w:p w14:paraId="55AF9C37">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风险</w:t>
            </w:r>
          </w:p>
        </w:tc>
      </w:tr>
      <w:tr w14:paraId="7BB2B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0" w:type="pct"/>
            <w:vMerge w:val="continue"/>
            <w:tcBorders>
              <w:tl2br w:val="single" w:color="auto" w:sz="4" w:space="0"/>
            </w:tcBorders>
            <w:vAlign w:val="center"/>
          </w:tcPr>
          <w:p w14:paraId="63DD0601">
            <w:pPr>
              <w:pStyle w:val="157"/>
              <w:widowControl w:val="0"/>
              <w:spacing w:line="360" w:lineRule="exact"/>
              <w:rPr>
                <w:rFonts w:ascii="Times New Roman" w:hAnsi="Times New Roman" w:eastAsiaTheme="minorEastAsia"/>
                <w:snapToGrid w:val="0"/>
                <w:color w:val="auto"/>
                <w:w w:val="99"/>
                <w:kern w:val="0"/>
                <w:szCs w:val="21"/>
                <w:highlight w:val="none"/>
              </w:rPr>
            </w:pPr>
          </w:p>
        </w:tc>
        <w:tc>
          <w:tcPr>
            <w:tcW w:w="936" w:type="pct"/>
            <w:vAlign w:val="center"/>
          </w:tcPr>
          <w:p w14:paraId="313C3506">
            <w:pPr>
              <w:pStyle w:val="157"/>
              <w:widowControl w:val="0"/>
              <w:kinsoku w:val="0"/>
              <w:overflowPunct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加热炉烟气、无组织挥发的烃类、</w:t>
            </w:r>
            <w:r>
              <w:rPr>
                <w:rFonts w:ascii="Times New Roman" w:hAnsi="Times New Roman" w:eastAsiaTheme="minorEastAsia"/>
                <w:snapToGrid w:val="0"/>
                <w:color w:val="auto"/>
                <w:w w:val="99"/>
                <w:kern w:val="0"/>
                <w:szCs w:val="21"/>
                <w:highlight w:val="none"/>
                <w:lang w:val="en-US"/>
              </w:rPr>
              <w:t>温室气体</w:t>
            </w:r>
          </w:p>
        </w:tc>
        <w:tc>
          <w:tcPr>
            <w:tcW w:w="558" w:type="pct"/>
            <w:vAlign w:val="center"/>
          </w:tcPr>
          <w:p w14:paraId="6DCAE6CB">
            <w:pPr>
              <w:pStyle w:val="157"/>
              <w:widowControl w:val="0"/>
              <w:kinsoku w:val="0"/>
              <w:overflowPunct w:val="0"/>
              <w:spacing w:line="360" w:lineRule="exact"/>
              <w:rPr>
                <w:rFonts w:ascii="Times New Roman" w:hAnsi="Times New Roman" w:eastAsiaTheme="minorEastAsia"/>
                <w:snapToGrid w:val="0"/>
                <w:color w:val="auto"/>
                <w:w w:val="99"/>
                <w:kern w:val="0"/>
                <w:szCs w:val="21"/>
                <w:highlight w:val="none"/>
              </w:rPr>
            </w:pPr>
            <w:r>
              <w:rPr>
                <w:rFonts w:hint="eastAsia" w:ascii="Times New Roman" w:hAnsi="Times New Roman" w:eastAsiaTheme="minorEastAsia"/>
                <w:snapToGrid w:val="0"/>
                <w:color w:val="auto"/>
                <w:w w:val="99"/>
                <w:kern w:val="0"/>
                <w:szCs w:val="21"/>
                <w:highlight w:val="none"/>
                <w:lang w:val="en-US"/>
              </w:rPr>
              <w:t>采出水</w:t>
            </w:r>
          </w:p>
        </w:tc>
        <w:tc>
          <w:tcPr>
            <w:tcW w:w="933" w:type="pct"/>
            <w:vAlign w:val="center"/>
          </w:tcPr>
          <w:p w14:paraId="1C04DBC1">
            <w:pPr>
              <w:pStyle w:val="157"/>
              <w:widowControl w:val="0"/>
              <w:kinsoku w:val="0"/>
              <w:overflowPunct w:val="0"/>
              <w:spacing w:line="360" w:lineRule="exact"/>
              <w:rPr>
                <w:rFonts w:ascii="Times New Roman" w:hAnsi="Times New Roman" w:eastAsiaTheme="minorEastAsia"/>
                <w:snapToGrid w:val="0"/>
                <w:color w:val="auto"/>
                <w:w w:val="99"/>
                <w:kern w:val="0"/>
                <w:szCs w:val="21"/>
                <w:highlight w:val="none"/>
                <w:lang w:val="en-US"/>
              </w:rPr>
            </w:pPr>
            <w:r>
              <w:rPr>
                <w:rFonts w:hint="eastAsia" w:ascii="Times New Roman" w:hAnsi="Times New Roman"/>
                <w:color w:val="auto"/>
                <w:w w:val="99"/>
                <w:szCs w:val="21"/>
                <w:highlight w:val="none"/>
                <w:lang w:val="en-US"/>
              </w:rPr>
              <w:t>井口含油</w:t>
            </w:r>
            <w:r>
              <w:rPr>
                <w:rFonts w:hint="eastAsia" w:ascii="Times New Roman" w:hAnsi="Times New Roman"/>
                <w:color w:val="auto"/>
                <w:w w:val="99"/>
                <w:szCs w:val="21"/>
                <w:highlight w:val="none"/>
                <w:lang w:val="en-US" w:eastAsia="zh-CN"/>
              </w:rPr>
              <w:t>砂粒</w:t>
            </w:r>
            <w:r>
              <w:rPr>
                <w:rFonts w:hint="eastAsia" w:ascii="Times New Roman" w:hAnsi="Times New Roman"/>
                <w:color w:val="auto"/>
                <w:w w:val="99"/>
                <w:szCs w:val="21"/>
                <w:highlight w:val="none"/>
                <w:lang w:val="en-US"/>
              </w:rPr>
              <w:t>、废变压器油</w:t>
            </w:r>
          </w:p>
        </w:tc>
        <w:tc>
          <w:tcPr>
            <w:tcW w:w="680" w:type="pct"/>
            <w:vAlign w:val="center"/>
          </w:tcPr>
          <w:p w14:paraId="016F4512">
            <w:pPr>
              <w:pStyle w:val="157"/>
              <w:widowControl w:val="0"/>
              <w:kinsoku w:val="0"/>
              <w:overflowPunct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加热装置、机泵</w:t>
            </w:r>
          </w:p>
        </w:tc>
        <w:tc>
          <w:tcPr>
            <w:tcW w:w="939" w:type="pct"/>
            <w:vAlign w:val="center"/>
          </w:tcPr>
          <w:p w14:paraId="24B981BB">
            <w:pPr>
              <w:pStyle w:val="157"/>
              <w:widowControl w:val="0"/>
              <w:kinsoku w:val="0"/>
              <w:overflowPunct w:val="0"/>
              <w:spacing w:line="360" w:lineRule="exact"/>
              <w:rPr>
                <w:rFonts w:ascii="Times New Roman" w:hAnsi="Times New Roman" w:eastAsiaTheme="minorEastAsia"/>
                <w:snapToGrid w:val="0"/>
                <w:color w:val="auto"/>
                <w:w w:val="99"/>
                <w:kern w:val="0"/>
                <w:szCs w:val="21"/>
                <w:highlight w:val="none"/>
              </w:rPr>
            </w:pPr>
            <w:r>
              <w:rPr>
                <w:rFonts w:hint="eastAsia" w:ascii="Times New Roman" w:hAnsi="Times New Roman" w:eastAsiaTheme="minorEastAsia"/>
                <w:snapToGrid w:val="0"/>
                <w:color w:val="auto"/>
                <w:w w:val="99"/>
                <w:kern w:val="0"/>
                <w:szCs w:val="21"/>
                <w:highlight w:val="none"/>
                <w:lang w:val="en-US"/>
              </w:rPr>
              <w:t>气井</w:t>
            </w:r>
            <w:r>
              <w:rPr>
                <w:rFonts w:ascii="Times New Roman" w:hAnsi="Times New Roman" w:eastAsiaTheme="minorEastAsia"/>
                <w:snapToGrid w:val="0"/>
                <w:color w:val="auto"/>
                <w:w w:val="99"/>
                <w:kern w:val="0"/>
                <w:szCs w:val="21"/>
                <w:highlight w:val="none"/>
                <w:lang w:val="en-US"/>
              </w:rPr>
              <w:t>井喷、</w:t>
            </w:r>
            <w:r>
              <w:rPr>
                <w:rFonts w:ascii="Times New Roman" w:hAnsi="Times New Roman" w:eastAsiaTheme="minorEastAsia"/>
                <w:snapToGrid w:val="0"/>
                <w:color w:val="auto"/>
                <w:w w:val="99"/>
                <w:kern w:val="0"/>
                <w:szCs w:val="21"/>
                <w:highlight w:val="none"/>
              </w:rPr>
              <w:t>管道泄漏、火灾、爆炸</w:t>
            </w:r>
          </w:p>
        </w:tc>
      </w:tr>
      <w:tr w14:paraId="6C86B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0" w:type="pct"/>
            <w:vAlign w:val="center"/>
          </w:tcPr>
          <w:p w14:paraId="11A224E2">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环境空气</w:t>
            </w:r>
          </w:p>
        </w:tc>
        <w:tc>
          <w:tcPr>
            <w:tcW w:w="936" w:type="pct"/>
            <w:vAlign w:val="center"/>
          </w:tcPr>
          <w:p w14:paraId="146DB7DD">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-L</w:t>
            </w:r>
          </w:p>
        </w:tc>
        <w:tc>
          <w:tcPr>
            <w:tcW w:w="558" w:type="pct"/>
            <w:vAlign w:val="center"/>
          </w:tcPr>
          <w:p w14:paraId="503350E2">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933" w:type="pct"/>
            <w:vAlign w:val="center"/>
          </w:tcPr>
          <w:p w14:paraId="5BB2BF66">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-S</w:t>
            </w:r>
          </w:p>
        </w:tc>
        <w:tc>
          <w:tcPr>
            <w:tcW w:w="680" w:type="pct"/>
            <w:vAlign w:val="center"/>
          </w:tcPr>
          <w:p w14:paraId="736588F7">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939" w:type="pct"/>
            <w:vAlign w:val="center"/>
          </w:tcPr>
          <w:p w14:paraId="19444E90">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-S</w:t>
            </w:r>
          </w:p>
        </w:tc>
      </w:tr>
      <w:tr w14:paraId="154A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0" w:type="pct"/>
            <w:vAlign w:val="center"/>
          </w:tcPr>
          <w:p w14:paraId="06BE7943">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地表水</w:t>
            </w:r>
          </w:p>
        </w:tc>
        <w:tc>
          <w:tcPr>
            <w:tcW w:w="936" w:type="pct"/>
            <w:vAlign w:val="center"/>
          </w:tcPr>
          <w:p w14:paraId="543EA9D3">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558" w:type="pct"/>
            <w:vAlign w:val="center"/>
          </w:tcPr>
          <w:p w14:paraId="0305DD1F">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933" w:type="pct"/>
            <w:vAlign w:val="center"/>
          </w:tcPr>
          <w:p w14:paraId="13009D18">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680" w:type="pct"/>
            <w:vAlign w:val="center"/>
          </w:tcPr>
          <w:p w14:paraId="1997695B">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939" w:type="pct"/>
            <w:vAlign w:val="center"/>
          </w:tcPr>
          <w:p w14:paraId="60B1850C">
            <w:pPr>
              <w:pStyle w:val="157"/>
              <w:widowControl w:val="0"/>
              <w:spacing w:line="360" w:lineRule="exact"/>
              <w:rPr>
                <w:rFonts w:ascii="Times New Roman" w:hAnsi="Times New Roman" w:eastAsiaTheme="minorEastAsia"/>
                <w:snapToGrid w:val="0"/>
                <w:color w:val="auto"/>
                <w:w w:val="99"/>
                <w:kern w:val="0"/>
                <w:szCs w:val="21"/>
                <w:highlight w:val="none"/>
              </w:rPr>
            </w:pPr>
            <w:r>
              <w:rPr>
                <w:rFonts w:hint="eastAsia" w:ascii="Times New Roman" w:hAnsi="Times New Roman" w:eastAsiaTheme="minorEastAsia"/>
                <w:snapToGrid w:val="0"/>
                <w:color w:val="auto"/>
                <w:w w:val="99"/>
                <w:kern w:val="0"/>
                <w:szCs w:val="21"/>
                <w:highlight w:val="none"/>
                <w:lang w:val="en-US"/>
              </w:rPr>
              <w:t>/</w:t>
            </w:r>
          </w:p>
        </w:tc>
      </w:tr>
      <w:tr w14:paraId="1D9C0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0" w:type="pct"/>
            <w:vAlign w:val="center"/>
          </w:tcPr>
          <w:p w14:paraId="5688388E">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地下水</w:t>
            </w:r>
          </w:p>
        </w:tc>
        <w:tc>
          <w:tcPr>
            <w:tcW w:w="936" w:type="pct"/>
            <w:vAlign w:val="center"/>
          </w:tcPr>
          <w:p w14:paraId="42EE7707">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558" w:type="pct"/>
            <w:vAlign w:val="center"/>
          </w:tcPr>
          <w:p w14:paraId="51592068">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933" w:type="pct"/>
            <w:vAlign w:val="center"/>
          </w:tcPr>
          <w:p w14:paraId="633D1FF4">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680" w:type="pct"/>
            <w:vAlign w:val="center"/>
          </w:tcPr>
          <w:p w14:paraId="3AFFBC3E">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939" w:type="pct"/>
            <w:vAlign w:val="center"/>
          </w:tcPr>
          <w:p w14:paraId="7FE55FE0">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-S</w:t>
            </w:r>
          </w:p>
        </w:tc>
      </w:tr>
      <w:tr w14:paraId="4DCDE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0" w:type="pct"/>
            <w:vAlign w:val="center"/>
          </w:tcPr>
          <w:p w14:paraId="06CE6F1A">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声环境</w:t>
            </w:r>
          </w:p>
        </w:tc>
        <w:tc>
          <w:tcPr>
            <w:tcW w:w="936" w:type="pct"/>
            <w:vAlign w:val="center"/>
          </w:tcPr>
          <w:p w14:paraId="3888E88D">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558" w:type="pct"/>
            <w:vAlign w:val="center"/>
          </w:tcPr>
          <w:p w14:paraId="774E3439">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933" w:type="pct"/>
            <w:vAlign w:val="center"/>
          </w:tcPr>
          <w:p w14:paraId="0E366818">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680" w:type="pct"/>
            <w:vAlign w:val="center"/>
          </w:tcPr>
          <w:p w14:paraId="58441E15">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-L</w:t>
            </w:r>
          </w:p>
        </w:tc>
        <w:tc>
          <w:tcPr>
            <w:tcW w:w="939" w:type="pct"/>
            <w:vAlign w:val="center"/>
          </w:tcPr>
          <w:p w14:paraId="484302C4">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r>
      <w:tr w14:paraId="5CF62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0" w:type="pct"/>
            <w:vAlign w:val="center"/>
          </w:tcPr>
          <w:p w14:paraId="6FD80B57">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土壤</w:t>
            </w:r>
          </w:p>
        </w:tc>
        <w:tc>
          <w:tcPr>
            <w:tcW w:w="936" w:type="pct"/>
            <w:vAlign w:val="center"/>
          </w:tcPr>
          <w:p w14:paraId="4E37F63A">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558" w:type="pct"/>
            <w:vAlign w:val="center"/>
          </w:tcPr>
          <w:p w14:paraId="53EDDF05">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933" w:type="pct"/>
            <w:vAlign w:val="center"/>
          </w:tcPr>
          <w:p w14:paraId="67919563">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-S</w:t>
            </w:r>
          </w:p>
        </w:tc>
        <w:tc>
          <w:tcPr>
            <w:tcW w:w="680" w:type="pct"/>
            <w:vAlign w:val="center"/>
          </w:tcPr>
          <w:p w14:paraId="571CD73F">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939" w:type="pct"/>
            <w:vAlign w:val="center"/>
          </w:tcPr>
          <w:p w14:paraId="087A7564">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-S</w:t>
            </w:r>
          </w:p>
        </w:tc>
      </w:tr>
      <w:tr w14:paraId="505B4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0" w:type="pct"/>
            <w:vAlign w:val="center"/>
          </w:tcPr>
          <w:p w14:paraId="6A4B310F">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生态</w:t>
            </w:r>
          </w:p>
        </w:tc>
        <w:tc>
          <w:tcPr>
            <w:tcW w:w="936" w:type="pct"/>
            <w:vAlign w:val="center"/>
          </w:tcPr>
          <w:p w14:paraId="61A6029C">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558" w:type="pct"/>
            <w:vAlign w:val="center"/>
          </w:tcPr>
          <w:p w14:paraId="38BF05AC">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933" w:type="pct"/>
            <w:vAlign w:val="center"/>
          </w:tcPr>
          <w:p w14:paraId="134959A6">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-S</w:t>
            </w:r>
          </w:p>
        </w:tc>
        <w:tc>
          <w:tcPr>
            <w:tcW w:w="680" w:type="pct"/>
            <w:vAlign w:val="center"/>
          </w:tcPr>
          <w:p w14:paraId="0000F7B2">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939" w:type="pct"/>
            <w:vAlign w:val="center"/>
          </w:tcPr>
          <w:p w14:paraId="402B1898">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-S</w:t>
            </w:r>
          </w:p>
        </w:tc>
      </w:tr>
      <w:tr w14:paraId="64D60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6"/>
            <w:vAlign w:val="center"/>
          </w:tcPr>
          <w:p w14:paraId="59386DB8">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szCs w:val="21"/>
                <w:highlight w:val="none"/>
                <w:lang w:val="en-US"/>
              </w:rPr>
              <w:t>注：-：不利影响   +：有利影响   L：长期影响   S：短期影响   A：显著影响    /：表示此项环境因子不存在或与工程活动无关</w:t>
            </w:r>
          </w:p>
        </w:tc>
      </w:tr>
    </w:tbl>
    <w:p w14:paraId="0176DE52">
      <w:pPr>
        <w:widowControl w:val="0"/>
        <w:spacing w:line="440" w:lineRule="exact"/>
        <w:ind w:firstLine="476" w:firstLineChars="200"/>
        <w:rPr>
          <w:rFonts w:ascii="Times New Roman" w:hAnsi="Times New Roman" w:cs="Times New Roman" w:eastAsiaTheme="minorEastAsia"/>
          <w:b/>
          <w:color w:val="auto"/>
          <w:w w:val="99"/>
          <w:highlight w:val="none"/>
        </w:rPr>
      </w:pPr>
      <w:r>
        <w:rPr>
          <w:rFonts w:ascii="Times New Roman" w:hAnsi="Times New Roman" w:cs="Times New Roman" w:eastAsiaTheme="minorEastAsia"/>
          <w:b/>
          <w:color w:val="auto"/>
          <w:w w:val="99"/>
          <w:highlight w:val="none"/>
        </w:rPr>
        <w:t>续表2.5-1    环境影响因素矩阵识别表</w:t>
      </w:r>
    </w:p>
    <w:tbl>
      <w:tblPr>
        <w:tblStyle w:val="81"/>
        <w:tblW w:w="50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8"/>
        <w:gridCol w:w="1175"/>
        <w:gridCol w:w="1452"/>
        <w:gridCol w:w="1307"/>
        <w:gridCol w:w="2033"/>
        <w:gridCol w:w="1596"/>
        <w:gridCol w:w="7"/>
      </w:tblGrid>
      <w:tr w14:paraId="5160C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9" w:type="pct"/>
            <w:vMerge w:val="restart"/>
            <w:tcBorders>
              <w:tl2br w:val="single" w:color="auto" w:sz="4" w:space="0"/>
            </w:tcBorders>
            <w:vAlign w:val="center"/>
          </w:tcPr>
          <w:p w14:paraId="483B9806">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 xml:space="preserve">      影响因素</w:t>
            </w:r>
          </w:p>
          <w:p w14:paraId="31440CC7">
            <w:pPr>
              <w:pStyle w:val="157"/>
              <w:widowControl w:val="0"/>
              <w:spacing w:line="320" w:lineRule="exact"/>
              <w:rPr>
                <w:rFonts w:ascii="Times New Roman" w:hAnsi="Times New Roman" w:eastAsiaTheme="minorEastAsia"/>
                <w:snapToGrid w:val="0"/>
                <w:color w:val="auto"/>
                <w:w w:val="99"/>
                <w:kern w:val="0"/>
                <w:szCs w:val="21"/>
                <w:highlight w:val="none"/>
              </w:rPr>
            </w:pPr>
          </w:p>
          <w:p w14:paraId="1AAAF122">
            <w:pPr>
              <w:pStyle w:val="157"/>
              <w:widowControl w:val="0"/>
              <w:spacing w:line="320" w:lineRule="exact"/>
              <w:jc w:val="lef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环境因素</w:t>
            </w:r>
          </w:p>
        </w:tc>
        <w:tc>
          <w:tcPr>
            <w:tcW w:w="632" w:type="pct"/>
            <w:vMerge w:val="restart"/>
            <w:vAlign w:val="center"/>
          </w:tcPr>
          <w:p w14:paraId="2AF159BA">
            <w:pPr>
              <w:pStyle w:val="157"/>
              <w:widowControl w:val="0"/>
              <w:spacing w:line="320" w:lineRule="exact"/>
              <w:rPr>
                <w:rFonts w:ascii="Times New Roman" w:hAnsi="Times New Roman" w:eastAsiaTheme="minorEastAsia"/>
                <w:snapToGrid w:val="0"/>
                <w:color w:val="auto"/>
                <w:w w:val="99"/>
                <w:kern w:val="0"/>
                <w:szCs w:val="21"/>
                <w:highlight w:val="none"/>
                <w:lang w:val="en-US"/>
              </w:rPr>
            </w:pPr>
            <w:r>
              <w:rPr>
                <w:rFonts w:hint="eastAsia" w:ascii="Times New Roman" w:hAnsi="Times New Roman" w:eastAsiaTheme="minorEastAsia"/>
                <w:snapToGrid w:val="0"/>
                <w:color w:val="auto"/>
                <w:w w:val="99"/>
                <w:kern w:val="0"/>
                <w:szCs w:val="21"/>
                <w:highlight w:val="none"/>
                <w:lang w:val="en-US"/>
              </w:rPr>
              <w:t>永久占地</w:t>
            </w:r>
          </w:p>
        </w:tc>
        <w:tc>
          <w:tcPr>
            <w:tcW w:w="3435" w:type="pct"/>
            <w:gridSpan w:val="4"/>
            <w:vAlign w:val="center"/>
          </w:tcPr>
          <w:p w14:paraId="080C0D24">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退役期</w:t>
            </w:r>
          </w:p>
        </w:tc>
      </w:tr>
      <w:tr w14:paraId="39FD3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9" w:type="pct"/>
            <w:vMerge w:val="continue"/>
            <w:tcBorders>
              <w:tl2br w:val="single" w:color="auto" w:sz="4" w:space="0"/>
            </w:tcBorders>
            <w:vAlign w:val="center"/>
          </w:tcPr>
          <w:p w14:paraId="08995A2D">
            <w:pPr>
              <w:pStyle w:val="157"/>
              <w:widowControl w:val="0"/>
              <w:spacing w:line="320" w:lineRule="exact"/>
              <w:rPr>
                <w:rFonts w:ascii="Times New Roman" w:hAnsi="Times New Roman" w:eastAsiaTheme="minorEastAsia"/>
                <w:snapToGrid w:val="0"/>
                <w:color w:val="auto"/>
                <w:w w:val="99"/>
                <w:kern w:val="0"/>
                <w:szCs w:val="21"/>
                <w:highlight w:val="none"/>
              </w:rPr>
            </w:pPr>
          </w:p>
        </w:tc>
        <w:tc>
          <w:tcPr>
            <w:tcW w:w="632" w:type="pct"/>
            <w:vMerge w:val="continue"/>
            <w:vAlign w:val="center"/>
          </w:tcPr>
          <w:p w14:paraId="7E253833">
            <w:pPr>
              <w:pStyle w:val="157"/>
              <w:widowControl w:val="0"/>
              <w:spacing w:line="320" w:lineRule="exact"/>
              <w:rPr>
                <w:rFonts w:ascii="Times New Roman" w:hAnsi="Times New Roman" w:eastAsiaTheme="minorEastAsia"/>
                <w:snapToGrid w:val="0"/>
                <w:color w:val="auto"/>
                <w:w w:val="99"/>
                <w:kern w:val="0"/>
                <w:szCs w:val="21"/>
                <w:highlight w:val="none"/>
              </w:rPr>
            </w:pPr>
          </w:p>
        </w:tc>
        <w:tc>
          <w:tcPr>
            <w:tcW w:w="781" w:type="pct"/>
            <w:vAlign w:val="center"/>
          </w:tcPr>
          <w:p w14:paraId="74EA0425">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废气</w:t>
            </w:r>
          </w:p>
        </w:tc>
        <w:tc>
          <w:tcPr>
            <w:tcW w:w="703" w:type="pct"/>
            <w:vAlign w:val="center"/>
          </w:tcPr>
          <w:p w14:paraId="50ADF6F4">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废水</w:t>
            </w:r>
          </w:p>
        </w:tc>
        <w:tc>
          <w:tcPr>
            <w:tcW w:w="1093" w:type="pct"/>
            <w:vAlign w:val="center"/>
          </w:tcPr>
          <w:p w14:paraId="3CE7BDB1">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固体废物</w:t>
            </w:r>
          </w:p>
        </w:tc>
        <w:tc>
          <w:tcPr>
            <w:tcW w:w="858" w:type="pct"/>
            <w:vAlign w:val="center"/>
          </w:tcPr>
          <w:p w14:paraId="2164FAFB">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噪声</w:t>
            </w:r>
          </w:p>
        </w:tc>
      </w:tr>
      <w:tr w14:paraId="3B3A3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9" w:type="pct"/>
            <w:vMerge w:val="continue"/>
            <w:tcBorders>
              <w:tl2br w:val="single" w:color="auto" w:sz="4" w:space="0"/>
            </w:tcBorders>
            <w:vAlign w:val="center"/>
          </w:tcPr>
          <w:p w14:paraId="41C820CE">
            <w:pPr>
              <w:pStyle w:val="157"/>
              <w:widowControl w:val="0"/>
              <w:spacing w:line="320" w:lineRule="exact"/>
              <w:rPr>
                <w:rFonts w:ascii="Times New Roman" w:hAnsi="Times New Roman" w:eastAsiaTheme="minorEastAsia"/>
                <w:snapToGrid w:val="0"/>
                <w:color w:val="auto"/>
                <w:w w:val="99"/>
                <w:kern w:val="0"/>
                <w:szCs w:val="21"/>
                <w:highlight w:val="none"/>
              </w:rPr>
            </w:pPr>
          </w:p>
        </w:tc>
        <w:tc>
          <w:tcPr>
            <w:tcW w:w="632" w:type="pct"/>
            <w:vMerge w:val="continue"/>
            <w:vAlign w:val="center"/>
          </w:tcPr>
          <w:p w14:paraId="359F52FB">
            <w:pPr>
              <w:pStyle w:val="157"/>
              <w:widowControl w:val="0"/>
              <w:spacing w:line="320" w:lineRule="exact"/>
              <w:rPr>
                <w:rFonts w:ascii="Times New Roman" w:hAnsi="Times New Roman" w:eastAsiaTheme="minorEastAsia"/>
                <w:snapToGrid w:val="0"/>
                <w:color w:val="auto"/>
                <w:w w:val="99"/>
                <w:kern w:val="0"/>
                <w:szCs w:val="21"/>
                <w:highlight w:val="none"/>
              </w:rPr>
            </w:pPr>
          </w:p>
        </w:tc>
        <w:tc>
          <w:tcPr>
            <w:tcW w:w="781" w:type="pct"/>
            <w:vAlign w:val="center"/>
          </w:tcPr>
          <w:p w14:paraId="3C3F4059">
            <w:pPr>
              <w:pStyle w:val="157"/>
              <w:widowControl w:val="0"/>
              <w:kinsoku w:val="0"/>
              <w:overflowPunct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color w:val="auto"/>
                <w:w w:val="99"/>
                <w:szCs w:val="21"/>
                <w:highlight w:val="none"/>
              </w:rPr>
              <w:t>施工扬尘、车辆尾气</w:t>
            </w:r>
          </w:p>
        </w:tc>
        <w:tc>
          <w:tcPr>
            <w:tcW w:w="703" w:type="pct"/>
            <w:vAlign w:val="center"/>
          </w:tcPr>
          <w:p w14:paraId="61947604">
            <w:pPr>
              <w:pStyle w:val="157"/>
              <w:widowControl w:val="0"/>
              <w:kinsoku w:val="0"/>
              <w:overflowPunct w:val="0"/>
              <w:spacing w:line="320" w:lineRule="exact"/>
              <w:rPr>
                <w:rFonts w:ascii="Times New Roman" w:hAnsi="Times New Roman" w:eastAsiaTheme="minorEastAsia"/>
                <w:snapToGrid w:val="0"/>
                <w:color w:val="auto"/>
                <w:w w:val="99"/>
                <w:kern w:val="0"/>
                <w:szCs w:val="21"/>
                <w:highlight w:val="none"/>
              </w:rPr>
            </w:pPr>
            <w:r>
              <w:rPr>
                <w:rFonts w:hint="eastAsia" w:ascii="Times New Roman" w:hAnsi="Times New Roman" w:eastAsiaTheme="minorEastAsia"/>
                <w:snapToGrid w:val="0"/>
                <w:color w:val="auto"/>
                <w:w w:val="99"/>
                <w:kern w:val="0"/>
                <w:szCs w:val="21"/>
                <w:highlight w:val="none"/>
                <w:lang w:val="en-US"/>
              </w:rPr>
              <w:t>拆除设备清洗废水、生活污水</w:t>
            </w:r>
          </w:p>
        </w:tc>
        <w:tc>
          <w:tcPr>
            <w:tcW w:w="1093" w:type="pct"/>
            <w:vAlign w:val="center"/>
          </w:tcPr>
          <w:p w14:paraId="17804F92">
            <w:pPr>
              <w:pStyle w:val="157"/>
              <w:widowControl w:val="0"/>
              <w:kinsoku w:val="0"/>
              <w:overflowPunct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color w:val="auto"/>
                <w:w w:val="99"/>
                <w:szCs w:val="21"/>
                <w:highlight w:val="none"/>
              </w:rPr>
              <w:t>废旧设备、封井建筑垃圾、生活垃圾</w:t>
            </w:r>
          </w:p>
        </w:tc>
        <w:tc>
          <w:tcPr>
            <w:tcW w:w="858" w:type="pct"/>
            <w:vAlign w:val="center"/>
          </w:tcPr>
          <w:p w14:paraId="30795EE5">
            <w:pPr>
              <w:pStyle w:val="157"/>
              <w:widowControl w:val="0"/>
              <w:kinsoku w:val="0"/>
              <w:overflowPunct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施工车辆、施工机械噪声</w:t>
            </w:r>
          </w:p>
        </w:tc>
      </w:tr>
      <w:tr w14:paraId="48C42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9" w:type="pct"/>
            <w:vAlign w:val="center"/>
          </w:tcPr>
          <w:p w14:paraId="44273567">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环境空气</w:t>
            </w:r>
          </w:p>
        </w:tc>
        <w:tc>
          <w:tcPr>
            <w:tcW w:w="632" w:type="pct"/>
            <w:vAlign w:val="center"/>
          </w:tcPr>
          <w:p w14:paraId="2F388071">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81" w:type="pct"/>
            <w:vAlign w:val="center"/>
          </w:tcPr>
          <w:p w14:paraId="25A44898">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-S</w:t>
            </w:r>
          </w:p>
        </w:tc>
        <w:tc>
          <w:tcPr>
            <w:tcW w:w="703" w:type="pct"/>
            <w:vAlign w:val="center"/>
          </w:tcPr>
          <w:p w14:paraId="2A81A505">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1093" w:type="pct"/>
            <w:vAlign w:val="center"/>
          </w:tcPr>
          <w:p w14:paraId="4AA47454">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858" w:type="pct"/>
            <w:vAlign w:val="center"/>
          </w:tcPr>
          <w:p w14:paraId="220F873F">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w:t>
            </w:r>
          </w:p>
        </w:tc>
      </w:tr>
      <w:tr w14:paraId="5E6C2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9" w:type="pct"/>
            <w:vAlign w:val="center"/>
          </w:tcPr>
          <w:p w14:paraId="2959D475">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地表水</w:t>
            </w:r>
          </w:p>
        </w:tc>
        <w:tc>
          <w:tcPr>
            <w:tcW w:w="632" w:type="pct"/>
            <w:vAlign w:val="center"/>
          </w:tcPr>
          <w:p w14:paraId="763865E4">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81" w:type="pct"/>
            <w:vAlign w:val="center"/>
          </w:tcPr>
          <w:p w14:paraId="6CA9D06A">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03" w:type="pct"/>
            <w:vAlign w:val="center"/>
          </w:tcPr>
          <w:p w14:paraId="49AD64A0">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1093" w:type="pct"/>
            <w:vAlign w:val="center"/>
          </w:tcPr>
          <w:p w14:paraId="1BFA1A2E">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858" w:type="pct"/>
            <w:vAlign w:val="center"/>
          </w:tcPr>
          <w:p w14:paraId="64CB1832">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w:t>
            </w:r>
          </w:p>
        </w:tc>
      </w:tr>
      <w:tr w14:paraId="52CDB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9" w:type="pct"/>
            <w:vAlign w:val="center"/>
          </w:tcPr>
          <w:p w14:paraId="7704561D">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地下水</w:t>
            </w:r>
          </w:p>
        </w:tc>
        <w:tc>
          <w:tcPr>
            <w:tcW w:w="632" w:type="pct"/>
            <w:vAlign w:val="center"/>
          </w:tcPr>
          <w:p w14:paraId="7C688474">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81" w:type="pct"/>
            <w:vAlign w:val="center"/>
          </w:tcPr>
          <w:p w14:paraId="50AE41F6">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03" w:type="pct"/>
            <w:vAlign w:val="center"/>
          </w:tcPr>
          <w:p w14:paraId="482562E4">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1093" w:type="pct"/>
            <w:vAlign w:val="center"/>
          </w:tcPr>
          <w:p w14:paraId="5D4FAD94">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858" w:type="pct"/>
            <w:vAlign w:val="center"/>
          </w:tcPr>
          <w:p w14:paraId="54C2DE0E">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w:t>
            </w:r>
          </w:p>
        </w:tc>
      </w:tr>
      <w:tr w14:paraId="48A94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9" w:type="pct"/>
            <w:vAlign w:val="center"/>
          </w:tcPr>
          <w:p w14:paraId="37F4454B">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声环境</w:t>
            </w:r>
          </w:p>
        </w:tc>
        <w:tc>
          <w:tcPr>
            <w:tcW w:w="632" w:type="pct"/>
            <w:vAlign w:val="center"/>
          </w:tcPr>
          <w:p w14:paraId="31130FBC">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81" w:type="pct"/>
            <w:vAlign w:val="center"/>
          </w:tcPr>
          <w:p w14:paraId="434F6FB2">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03" w:type="pct"/>
            <w:vAlign w:val="center"/>
          </w:tcPr>
          <w:p w14:paraId="597CD5AE">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1093" w:type="pct"/>
            <w:vAlign w:val="center"/>
          </w:tcPr>
          <w:p w14:paraId="251E6222">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858" w:type="pct"/>
            <w:vAlign w:val="center"/>
          </w:tcPr>
          <w:p w14:paraId="19A777BD">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-S</w:t>
            </w:r>
          </w:p>
        </w:tc>
      </w:tr>
      <w:tr w14:paraId="1FAB3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9" w:type="pct"/>
            <w:vAlign w:val="center"/>
          </w:tcPr>
          <w:p w14:paraId="2159E033">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土壤</w:t>
            </w:r>
          </w:p>
        </w:tc>
        <w:tc>
          <w:tcPr>
            <w:tcW w:w="632" w:type="pct"/>
            <w:vAlign w:val="center"/>
          </w:tcPr>
          <w:p w14:paraId="0FFAB935">
            <w:pPr>
              <w:widowControl w:val="0"/>
              <w:spacing w:line="320" w:lineRule="exact"/>
              <w:jc w:val="center"/>
              <w:rPr>
                <w:rFonts w:ascii="Times New Roman" w:hAnsi="Times New Roman" w:eastAsiaTheme="minorEastAsia"/>
                <w:snapToGrid w:val="0"/>
                <w:color w:val="auto"/>
                <w:w w:val="99"/>
                <w:szCs w:val="21"/>
                <w:highlight w:val="none"/>
              </w:rPr>
            </w:pPr>
            <w:r>
              <w:rPr>
                <w:rFonts w:ascii="Times New Roman" w:hAnsi="Times New Roman" w:eastAsiaTheme="minorEastAsia"/>
                <w:snapToGrid w:val="0"/>
                <w:color w:val="auto"/>
                <w:w w:val="99"/>
                <w:szCs w:val="21"/>
                <w:highlight w:val="none"/>
              </w:rPr>
              <w:t>-S</w:t>
            </w:r>
          </w:p>
        </w:tc>
        <w:tc>
          <w:tcPr>
            <w:tcW w:w="781" w:type="pct"/>
            <w:vAlign w:val="center"/>
          </w:tcPr>
          <w:p w14:paraId="209FCDF8">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03" w:type="pct"/>
            <w:vAlign w:val="center"/>
          </w:tcPr>
          <w:p w14:paraId="2DAD60E9">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1093" w:type="pct"/>
            <w:vAlign w:val="center"/>
          </w:tcPr>
          <w:p w14:paraId="6F6B9EDD">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858" w:type="pct"/>
            <w:vAlign w:val="center"/>
          </w:tcPr>
          <w:p w14:paraId="0EBA646C">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w:t>
            </w:r>
          </w:p>
        </w:tc>
      </w:tr>
      <w:tr w14:paraId="53560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9" w:type="pct"/>
            <w:vAlign w:val="center"/>
          </w:tcPr>
          <w:p w14:paraId="06A3B2B0">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生态</w:t>
            </w:r>
          </w:p>
        </w:tc>
        <w:tc>
          <w:tcPr>
            <w:tcW w:w="632" w:type="pct"/>
            <w:vAlign w:val="center"/>
          </w:tcPr>
          <w:p w14:paraId="510ACD26">
            <w:pPr>
              <w:widowControl w:val="0"/>
              <w:spacing w:line="320" w:lineRule="exact"/>
              <w:jc w:val="center"/>
              <w:rPr>
                <w:rFonts w:ascii="Times New Roman" w:hAnsi="Times New Roman" w:eastAsiaTheme="minorEastAsia"/>
                <w:snapToGrid w:val="0"/>
                <w:color w:val="auto"/>
                <w:w w:val="99"/>
                <w:szCs w:val="21"/>
                <w:highlight w:val="none"/>
              </w:rPr>
            </w:pPr>
            <w:r>
              <w:rPr>
                <w:rFonts w:ascii="Times New Roman" w:hAnsi="Times New Roman" w:eastAsiaTheme="minorEastAsia"/>
                <w:snapToGrid w:val="0"/>
                <w:color w:val="auto"/>
                <w:w w:val="99"/>
                <w:szCs w:val="21"/>
                <w:highlight w:val="none"/>
              </w:rPr>
              <w:t>-S</w:t>
            </w:r>
          </w:p>
        </w:tc>
        <w:tc>
          <w:tcPr>
            <w:tcW w:w="781" w:type="pct"/>
            <w:vAlign w:val="center"/>
          </w:tcPr>
          <w:p w14:paraId="266D0206">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03" w:type="pct"/>
            <w:vAlign w:val="center"/>
          </w:tcPr>
          <w:p w14:paraId="3EF36424">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1093" w:type="pct"/>
            <w:vAlign w:val="center"/>
          </w:tcPr>
          <w:p w14:paraId="1A558941">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858" w:type="pct"/>
            <w:vAlign w:val="center"/>
          </w:tcPr>
          <w:p w14:paraId="5E7F43B9">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w:t>
            </w:r>
          </w:p>
        </w:tc>
      </w:tr>
      <w:tr w14:paraId="12214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7"/>
            <w:vAlign w:val="center"/>
          </w:tcPr>
          <w:p w14:paraId="26DD4809">
            <w:pPr>
              <w:pStyle w:val="157"/>
              <w:widowControl w:val="0"/>
              <w:spacing w:line="320" w:lineRule="exact"/>
              <w:jc w:val="lef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注：-：不利影响   +：有利影响   L：长期影响   S：短期影响   A：显著影响    /：表示此项环境因子不存在或与工程活动无关</w:t>
            </w:r>
          </w:p>
        </w:tc>
      </w:tr>
    </w:tbl>
    <w:p w14:paraId="21ABD5A2">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从上表可知，本项目的主要环境影响表现在工程占地对土壤、植被的影响，环境风险对地表水、地下水、土壤、植被的影响等方面。</w:t>
      </w:r>
    </w:p>
    <w:p w14:paraId="582F7D45">
      <w:pPr>
        <w:pStyle w:val="7"/>
        <w:widowControl w:val="0"/>
        <w:spacing w:before="60" w:after="60" w:line="440" w:lineRule="exact"/>
        <w:jc w:val="both"/>
        <w:rPr>
          <w:rFonts w:eastAsia="宋体"/>
          <w:b/>
          <w:color w:val="auto"/>
          <w:w w:val="99"/>
          <w:kern w:val="2"/>
          <w:sz w:val="24"/>
          <w:szCs w:val="24"/>
          <w:highlight w:val="none"/>
        </w:rPr>
      </w:pPr>
      <w:bookmarkStart w:id="233" w:name="_Toc76976214"/>
      <w:bookmarkStart w:id="234" w:name="_Toc57203220"/>
      <w:bookmarkStart w:id="235" w:name="_Toc57976645"/>
      <w:bookmarkStart w:id="236" w:name="_Toc78816431"/>
      <w:bookmarkStart w:id="237" w:name="_Toc186444246"/>
      <w:bookmarkStart w:id="238" w:name="_Toc57707890"/>
      <w:bookmarkStart w:id="239" w:name="_Toc80588226"/>
      <w:bookmarkStart w:id="240" w:name="_Toc80971348"/>
      <w:bookmarkStart w:id="241" w:name="_Toc17898135"/>
      <w:bookmarkStart w:id="242" w:name="_Toc21320"/>
      <w:bookmarkStart w:id="243" w:name="_Toc61597192"/>
      <w:bookmarkStart w:id="244" w:name="_Toc70050146"/>
      <w:bookmarkStart w:id="245" w:name="_Toc67860099"/>
      <w:bookmarkStart w:id="246" w:name="_Toc83209443"/>
      <w:bookmarkStart w:id="247" w:name="_Toc77067630"/>
      <w:r>
        <w:rPr>
          <w:rFonts w:eastAsia="宋体"/>
          <w:b/>
          <w:color w:val="auto"/>
          <w:w w:val="99"/>
          <w:kern w:val="2"/>
          <w:sz w:val="24"/>
          <w:szCs w:val="24"/>
          <w:highlight w:val="none"/>
        </w:rPr>
        <w:t>2.5.3评价因子筛选</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14:paraId="30E59C9B">
      <w:pPr>
        <w:pStyle w:val="153"/>
        <w:widowControl w:val="0"/>
        <w:spacing w:line="440" w:lineRule="exact"/>
        <w:ind w:firstLine="473"/>
        <w:rPr>
          <w:rFonts w:ascii="Times New Roman" w:hAnsi="Times New Roman"/>
          <w:color w:val="auto"/>
          <w:w w:val="99"/>
          <w:highlight w:val="none"/>
        </w:rPr>
      </w:pPr>
      <w:r>
        <w:rPr>
          <w:rFonts w:ascii="Times New Roman" w:hAnsi="Times New Roman"/>
          <w:color w:val="auto"/>
          <w:w w:val="99"/>
          <w:highlight w:val="none"/>
        </w:rPr>
        <w:t>经过对</w:t>
      </w:r>
      <w:r>
        <w:rPr>
          <w:rFonts w:hint="eastAsia" w:ascii="Times New Roman" w:hAnsi="Times New Roman"/>
          <w:color w:val="auto"/>
          <w:w w:val="99"/>
          <w:highlight w:val="none"/>
        </w:rPr>
        <w:t>气田</w:t>
      </w:r>
      <w:r>
        <w:rPr>
          <w:rFonts w:ascii="Times New Roman" w:hAnsi="Times New Roman"/>
          <w:color w:val="auto"/>
          <w:w w:val="99"/>
          <w:highlight w:val="none"/>
        </w:rPr>
        <w:t>产生污染物排放特点及油田周围环境情况进行分析后，确定本工程评价因子详见</w:t>
      </w:r>
      <w:r>
        <w:rPr>
          <w:rFonts w:ascii="Times New Roman" w:hAnsi="Times New Roman" w:eastAsiaTheme="minorEastAsia"/>
          <w:color w:val="auto"/>
          <w:w w:val="99"/>
          <w:highlight w:val="none"/>
        </w:rPr>
        <w:t>表 2.5-2~表2.5-</w:t>
      </w:r>
      <w:r>
        <w:rPr>
          <w:rFonts w:hint="eastAsia" w:ascii="Times New Roman" w:hAnsi="Times New Roman" w:eastAsiaTheme="minorEastAsia"/>
          <w:color w:val="auto"/>
          <w:w w:val="99"/>
          <w:highlight w:val="none"/>
        </w:rPr>
        <w:t>4</w:t>
      </w:r>
      <w:r>
        <w:rPr>
          <w:rFonts w:ascii="Times New Roman" w:hAnsi="Times New Roman"/>
          <w:color w:val="auto"/>
          <w:w w:val="99"/>
          <w:highlight w:val="none"/>
        </w:rPr>
        <w:t>。</w:t>
      </w:r>
    </w:p>
    <w:p w14:paraId="73B5A64B">
      <w:pPr>
        <w:pStyle w:val="153"/>
        <w:widowControl w:val="0"/>
        <w:spacing w:line="440" w:lineRule="exact"/>
        <w:ind w:firstLine="474"/>
        <w:rPr>
          <w:rFonts w:ascii="Times New Roman" w:hAnsi="Times New Roman"/>
          <w:color w:val="auto"/>
          <w:w w:val="99"/>
          <w:highlight w:val="none"/>
        </w:rPr>
      </w:pPr>
      <w:r>
        <w:rPr>
          <w:rFonts w:ascii="Times New Roman" w:hAnsi="Times New Roman" w:eastAsiaTheme="minorEastAsia"/>
          <w:b/>
          <w:color w:val="auto"/>
          <w:w w:val="99"/>
          <w:highlight w:val="none"/>
        </w:rPr>
        <w:t>表2.5-2    污染影响评价因子表</w:t>
      </w:r>
    </w:p>
    <w:tbl>
      <w:tblPr>
        <w:tblStyle w:val="8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0"/>
        <w:gridCol w:w="713"/>
        <w:gridCol w:w="1111"/>
        <w:gridCol w:w="6883"/>
      </w:tblGrid>
      <w:tr w14:paraId="5F49A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6" w:type="pct"/>
            <w:gridSpan w:val="2"/>
            <w:vAlign w:val="center"/>
          </w:tcPr>
          <w:p w14:paraId="1AB99019">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序号</w:t>
            </w:r>
          </w:p>
        </w:tc>
        <w:tc>
          <w:tcPr>
            <w:tcW w:w="598" w:type="pct"/>
            <w:vAlign w:val="center"/>
          </w:tcPr>
          <w:p w14:paraId="5BD9C481">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评价内容</w:t>
            </w:r>
          </w:p>
        </w:tc>
        <w:tc>
          <w:tcPr>
            <w:tcW w:w="3705" w:type="pct"/>
            <w:vAlign w:val="center"/>
          </w:tcPr>
          <w:p w14:paraId="4C547642">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评价因子名称</w:t>
            </w:r>
          </w:p>
        </w:tc>
      </w:tr>
      <w:tr w14:paraId="63EE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2" w:type="pct"/>
            <w:vMerge w:val="restart"/>
            <w:vAlign w:val="center"/>
          </w:tcPr>
          <w:p w14:paraId="270AE5AB">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现状调查因子</w:t>
            </w:r>
          </w:p>
        </w:tc>
        <w:tc>
          <w:tcPr>
            <w:tcW w:w="383" w:type="pct"/>
            <w:vAlign w:val="center"/>
          </w:tcPr>
          <w:p w14:paraId="68198E09">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1</w:t>
            </w:r>
          </w:p>
        </w:tc>
        <w:tc>
          <w:tcPr>
            <w:tcW w:w="598" w:type="pct"/>
            <w:vAlign w:val="center"/>
          </w:tcPr>
          <w:p w14:paraId="376AE2F6">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空气</w:t>
            </w:r>
          </w:p>
        </w:tc>
        <w:tc>
          <w:tcPr>
            <w:tcW w:w="3705" w:type="pct"/>
            <w:vAlign w:val="center"/>
          </w:tcPr>
          <w:p w14:paraId="1A91BC3B">
            <w:pPr>
              <w:pStyle w:val="42"/>
              <w:spacing w:line="320" w:lineRule="exact"/>
              <w:jc w:val="both"/>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NO</w:t>
            </w:r>
            <w:r>
              <w:rPr>
                <w:rFonts w:ascii="Times New Roman" w:hAnsi="Times New Roman" w:eastAsiaTheme="minorEastAsia"/>
                <w:color w:val="auto"/>
                <w:w w:val="99"/>
                <w:szCs w:val="21"/>
                <w:highlight w:val="none"/>
                <w:vertAlign w:val="subscript"/>
              </w:rPr>
              <w:t>2</w:t>
            </w:r>
            <w:r>
              <w:rPr>
                <w:rFonts w:ascii="Times New Roman" w:hAnsi="Times New Roman" w:eastAsiaTheme="minorEastAsia"/>
                <w:color w:val="auto"/>
                <w:w w:val="99"/>
                <w:szCs w:val="21"/>
                <w:highlight w:val="none"/>
              </w:rPr>
              <w:t>、SO</w:t>
            </w:r>
            <w:r>
              <w:rPr>
                <w:rFonts w:ascii="Times New Roman" w:hAnsi="Times New Roman" w:eastAsiaTheme="minorEastAsia"/>
                <w:color w:val="auto"/>
                <w:w w:val="99"/>
                <w:szCs w:val="21"/>
                <w:highlight w:val="none"/>
                <w:vertAlign w:val="subscript"/>
              </w:rPr>
              <w:t>2</w:t>
            </w:r>
            <w:r>
              <w:rPr>
                <w:rFonts w:ascii="Times New Roman" w:hAnsi="Times New Roman" w:eastAsiaTheme="minorEastAsia"/>
                <w:color w:val="auto"/>
                <w:w w:val="99"/>
                <w:szCs w:val="21"/>
                <w:highlight w:val="none"/>
              </w:rPr>
              <w:t>、O</w:t>
            </w:r>
            <w:r>
              <w:rPr>
                <w:rFonts w:ascii="Times New Roman" w:hAnsi="Times New Roman" w:eastAsiaTheme="minorEastAsia"/>
                <w:color w:val="auto"/>
                <w:w w:val="99"/>
                <w:szCs w:val="21"/>
                <w:highlight w:val="none"/>
                <w:vertAlign w:val="subscript"/>
              </w:rPr>
              <w:t>3</w:t>
            </w:r>
            <w:r>
              <w:rPr>
                <w:rFonts w:ascii="Times New Roman" w:hAnsi="Times New Roman" w:eastAsiaTheme="minorEastAsia"/>
                <w:color w:val="auto"/>
                <w:w w:val="99"/>
                <w:szCs w:val="21"/>
                <w:highlight w:val="none"/>
              </w:rPr>
              <w:t>、CO、PM</w:t>
            </w:r>
            <w:r>
              <w:rPr>
                <w:rFonts w:ascii="Times New Roman" w:hAnsi="Times New Roman" w:eastAsiaTheme="minorEastAsia"/>
                <w:color w:val="auto"/>
                <w:w w:val="99"/>
                <w:szCs w:val="21"/>
                <w:highlight w:val="none"/>
                <w:vertAlign w:val="subscript"/>
              </w:rPr>
              <w:t>10</w:t>
            </w:r>
            <w:r>
              <w:rPr>
                <w:rFonts w:ascii="Times New Roman" w:hAnsi="Times New Roman" w:eastAsiaTheme="minorEastAsia"/>
                <w:color w:val="auto"/>
                <w:w w:val="99"/>
                <w:szCs w:val="21"/>
                <w:highlight w:val="none"/>
              </w:rPr>
              <w:t>、PM</w:t>
            </w:r>
            <w:r>
              <w:rPr>
                <w:rFonts w:ascii="Times New Roman" w:hAnsi="Times New Roman" w:eastAsiaTheme="minorEastAsia"/>
                <w:color w:val="auto"/>
                <w:w w:val="99"/>
                <w:szCs w:val="21"/>
                <w:highlight w:val="none"/>
                <w:vertAlign w:val="subscript"/>
              </w:rPr>
              <w:t>2.5</w:t>
            </w:r>
            <w:r>
              <w:rPr>
                <w:rFonts w:ascii="Times New Roman" w:hAnsi="Times New Roman" w:eastAsiaTheme="minorEastAsia"/>
                <w:color w:val="auto"/>
                <w:w w:val="99"/>
                <w:szCs w:val="21"/>
                <w:highlight w:val="none"/>
              </w:rPr>
              <w:t>、</w:t>
            </w:r>
            <w:r>
              <w:rPr>
                <w:rFonts w:ascii="Times New Roman" w:hAnsi="Times New Roman" w:eastAsiaTheme="minorEastAsia"/>
                <w:bCs/>
                <w:color w:val="auto"/>
                <w:w w:val="99"/>
                <w:szCs w:val="21"/>
                <w:highlight w:val="none"/>
              </w:rPr>
              <w:t>非甲烷总烃、TSP</w:t>
            </w:r>
            <w:r>
              <w:rPr>
                <w:rFonts w:ascii="Times New Roman" w:hAnsi="Times New Roman" w:eastAsiaTheme="minorEastAsia"/>
                <w:color w:val="auto"/>
                <w:w w:val="99"/>
                <w:szCs w:val="21"/>
                <w:highlight w:val="none"/>
              </w:rPr>
              <w:t xml:space="preserve"> </w:t>
            </w:r>
          </w:p>
        </w:tc>
      </w:tr>
      <w:tr w14:paraId="0BE25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5C4D1F1A">
            <w:pPr>
              <w:pStyle w:val="42"/>
              <w:spacing w:line="320" w:lineRule="exact"/>
              <w:jc w:val="center"/>
              <w:rPr>
                <w:rFonts w:ascii="Times New Roman" w:hAnsi="Times New Roman" w:eastAsiaTheme="minorEastAsia"/>
                <w:color w:val="auto"/>
                <w:w w:val="99"/>
                <w:szCs w:val="21"/>
                <w:highlight w:val="none"/>
              </w:rPr>
            </w:pPr>
          </w:p>
        </w:tc>
        <w:tc>
          <w:tcPr>
            <w:tcW w:w="383" w:type="pct"/>
            <w:vAlign w:val="center"/>
          </w:tcPr>
          <w:p w14:paraId="15AF00DD">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2</w:t>
            </w:r>
          </w:p>
        </w:tc>
        <w:tc>
          <w:tcPr>
            <w:tcW w:w="598" w:type="pct"/>
            <w:vAlign w:val="center"/>
          </w:tcPr>
          <w:p w14:paraId="75C0DEA5">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地表水</w:t>
            </w:r>
          </w:p>
        </w:tc>
        <w:tc>
          <w:tcPr>
            <w:tcW w:w="3705" w:type="pct"/>
            <w:vAlign w:val="center"/>
          </w:tcPr>
          <w:p w14:paraId="032A6146">
            <w:pPr>
              <w:pStyle w:val="42"/>
              <w:spacing w:line="320" w:lineRule="exact"/>
              <w:jc w:val="both"/>
              <w:rPr>
                <w:rFonts w:ascii="Times New Roman" w:hAnsi="Times New Roman" w:eastAsiaTheme="minorEastAsia"/>
                <w:color w:val="auto"/>
                <w:w w:val="99"/>
                <w:szCs w:val="21"/>
                <w:highlight w:val="none"/>
              </w:rPr>
            </w:pPr>
            <w:r>
              <w:rPr>
                <w:rFonts w:hint="eastAsia" w:ascii="Times New Roman" w:hAnsi="Times New Roman"/>
                <w:color w:val="auto"/>
                <w:kern w:val="24"/>
                <w:szCs w:val="21"/>
                <w:highlight w:val="none"/>
              </w:rPr>
              <w:t>p</w:t>
            </w:r>
            <w:r>
              <w:rPr>
                <w:rFonts w:hint="eastAsia" w:ascii="Times New Roman" w:hAnsi="Times New Roman" w:eastAsiaTheme="minorEastAsia"/>
                <w:color w:val="auto"/>
                <w:w w:val="99"/>
                <w:szCs w:val="21"/>
                <w:highlight w:val="none"/>
              </w:rPr>
              <w:t>H 、高锰酸盐指数、BOD</w:t>
            </w:r>
            <w:r>
              <w:rPr>
                <w:rFonts w:hint="eastAsia" w:ascii="Times New Roman" w:hAnsi="Times New Roman" w:eastAsiaTheme="minorEastAsia"/>
                <w:color w:val="auto"/>
                <w:w w:val="99"/>
                <w:szCs w:val="21"/>
                <w:highlight w:val="none"/>
                <w:vertAlign w:val="subscript"/>
              </w:rPr>
              <w:t>5</w:t>
            </w:r>
            <w:r>
              <w:rPr>
                <w:rFonts w:hint="eastAsia" w:ascii="Times New Roman" w:hAnsi="Times New Roman" w:eastAsiaTheme="minorEastAsia"/>
                <w:color w:val="auto"/>
                <w:w w:val="99"/>
                <w:szCs w:val="21"/>
                <w:highlight w:val="none"/>
              </w:rPr>
              <w:t xml:space="preserve"> 、COD</w:t>
            </w:r>
            <w:r>
              <w:rPr>
                <w:rFonts w:hint="eastAsia" w:ascii="Times New Roman" w:hAnsi="Times New Roman" w:eastAsiaTheme="minorEastAsia"/>
                <w:color w:val="auto"/>
                <w:w w:val="99"/>
                <w:szCs w:val="21"/>
                <w:highlight w:val="none"/>
                <w:vertAlign w:val="subscript"/>
              </w:rPr>
              <w:t>Cr</w:t>
            </w:r>
            <w:r>
              <w:rPr>
                <w:rFonts w:hint="eastAsia" w:ascii="Times New Roman" w:hAnsi="Times New Roman" w:eastAsiaTheme="minorEastAsia"/>
                <w:color w:val="auto"/>
                <w:w w:val="99"/>
                <w:szCs w:val="21"/>
                <w:highlight w:val="none"/>
              </w:rPr>
              <w:t xml:space="preserve"> 、氨氮、挥发酚、石油类、硫化物、水温、悬浮物、总磷、阴离子表面活性剂、汞、总铬、六价铬、镉、砷、镍、铅</w:t>
            </w:r>
          </w:p>
        </w:tc>
      </w:tr>
      <w:tr w14:paraId="436BE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05D64F08">
            <w:pPr>
              <w:pStyle w:val="42"/>
              <w:spacing w:line="320" w:lineRule="exact"/>
              <w:jc w:val="center"/>
              <w:rPr>
                <w:rFonts w:ascii="Times New Roman" w:hAnsi="Times New Roman" w:eastAsiaTheme="minorEastAsia"/>
                <w:color w:val="auto"/>
                <w:w w:val="99"/>
                <w:szCs w:val="21"/>
                <w:highlight w:val="none"/>
              </w:rPr>
            </w:pPr>
          </w:p>
        </w:tc>
        <w:tc>
          <w:tcPr>
            <w:tcW w:w="383" w:type="pct"/>
            <w:vAlign w:val="center"/>
          </w:tcPr>
          <w:p w14:paraId="09A2A225">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3</w:t>
            </w:r>
          </w:p>
        </w:tc>
        <w:tc>
          <w:tcPr>
            <w:tcW w:w="598" w:type="pct"/>
            <w:vAlign w:val="center"/>
          </w:tcPr>
          <w:p w14:paraId="3F330B29">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地下水</w:t>
            </w:r>
          </w:p>
        </w:tc>
        <w:tc>
          <w:tcPr>
            <w:tcW w:w="3705" w:type="pct"/>
            <w:vAlign w:val="center"/>
          </w:tcPr>
          <w:p w14:paraId="243FECCB">
            <w:pPr>
              <w:pStyle w:val="42"/>
              <w:spacing w:line="320" w:lineRule="exact"/>
              <w:jc w:val="both"/>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K</w:t>
            </w:r>
            <w:r>
              <w:rPr>
                <w:rFonts w:ascii="Times New Roman" w:hAnsi="Times New Roman" w:eastAsiaTheme="minorEastAsia"/>
                <w:color w:val="auto"/>
                <w:w w:val="99"/>
                <w:szCs w:val="21"/>
                <w:highlight w:val="none"/>
                <w:vertAlign w:val="superscript"/>
              </w:rPr>
              <w:t>+</w:t>
            </w:r>
            <w:r>
              <w:rPr>
                <w:rFonts w:ascii="Times New Roman" w:hAnsi="Times New Roman" w:eastAsiaTheme="minorEastAsia"/>
                <w:color w:val="auto"/>
                <w:w w:val="99"/>
                <w:szCs w:val="21"/>
                <w:highlight w:val="none"/>
              </w:rPr>
              <w:t>、Na</w:t>
            </w:r>
            <w:r>
              <w:rPr>
                <w:rFonts w:ascii="Times New Roman" w:hAnsi="Times New Roman" w:eastAsiaTheme="minorEastAsia"/>
                <w:color w:val="auto"/>
                <w:w w:val="99"/>
                <w:szCs w:val="21"/>
                <w:highlight w:val="none"/>
                <w:vertAlign w:val="superscript"/>
              </w:rPr>
              <w:t>+</w:t>
            </w:r>
            <w:r>
              <w:rPr>
                <w:rFonts w:ascii="Times New Roman" w:hAnsi="Times New Roman" w:eastAsiaTheme="minorEastAsia"/>
                <w:color w:val="auto"/>
                <w:w w:val="99"/>
                <w:szCs w:val="21"/>
                <w:highlight w:val="none"/>
              </w:rPr>
              <w:t>、Ca</w:t>
            </w:r>
            <w:r>
              <w:rPr>
                <w:rFonts w:ascii="Times New Roman" w:hAnsi="Times New Roman" w:eastAsiaTheme="minorEastAsia"/>
                <w:color w:val="auto"/>
                <w:w w:val="99"/>
                <w:szCs w:val="21"/>
                <w:highlight w:val="none"/>
                <w:vertAlign w:val="superscript"/>
              </w:rPr>
              <w:t>2+</w:t>
            </w:r>
            <w:r>
              <w:rPr>
                <w:rFonts w:ascii="Times New Roman" w:hAnsi="Times New Roman" w:eastAsiaTheme="minorEastAsia"/>
                <w:color w:val="auto"/>
                <w:w w:val="99"/>
                <w:szCs w:val="21"/>
                <w:highlight w:val="none"/>
              </w:rPr>
              <w:t>、Mg</w:t>
            </w:r>
            <w:r>
              <w:rPr>
                <w:rFonts w:ascii="Times New Roman" w:hAnsi="Times New Roman" w:eastAsiaTheme="minorEastAsia"/>
                <w:color w:val="auto"/>
                <w:w w:val="99"/>
                <w:szCs w:val="21"/>
                <w:highlight w:val="none"/>
                <w:vertAlign w:val="superscript"/>
              </w:rPr>
              <w:t>2+</w:t>
            </w:r>
            <w:r>
              <w:rPr>
                <w:rFonts w:ascii="Times New Roman" w:hAnsi="Times New Roman" w:eastAsiaTheme="minorEastAsia"/>
                <w:color w:val="auto"/>
                <w:w w:val="99"/>
                <w:szCs w:val="21"/>
                <w:highlight w:val="none"/>
              </w:rPr>
              <w:t>、CO</w:t>
            </w:r>
            <w:r>
              <w:rPr>
                <w:rFonts w:ascii="Times New Roman" w:hAnsi="Times New Roman" w:eastAsiaTheme="minorEastAsia"/>
                <w:color w:val="auto"/>
                <w:w w:val="99"/>
                <w:szCs w:val="21"/>
                <w:highlight w:val="none"/>
                <w:vertAlign w:val="subscript"/>
              </w:rPr>
              <w:t>3</w:t>
            </w:r>
            <w:r>
              <w:rPr>
                <w:rFonts w:ascii="Times New Roman" w:hAnsi="Times New Roman" w:eastAsiaTheme="minorEastAsia"/>
                <w:color w:val="auto"/>
                <w:w w:val="99"/>
                <w:szCs w:val="21"/>
                <w:highlight w:val="none"/>
                <w:vertAlign w:val="superscript"/>
              </w:rPr>
              <w:t>2-</w:t>
            </w:r>
            <w:r>
              <w:rPr>
                <w:rFonts w:ascii="Times New Roman" w:hAnsi="Times New Roman" w:eastAsiaTheme="minorEastAsia"/>
                <w:color w:val="auto"/>
                <w:w w:val="99"/>
                <w:szCs w:val="21"/>
                <w:highlight w:val="none"/>
              </w:rPr>
              <w:t>、HCO</w:t>
            </w:r>
            <w:r>
              <w:rPr>
                <w:rFonts w:ascii="Times New Roman" w:hAnsi="Times New Roman" w:eastAsiaTheme="minorEastAsia"/>
                <w:color w:val="auto"/>
                <w:w w:val="99"/>
                <w:szCs w:val="21"/>
                <w:highlight w:val="none"/>
                <w:vertAlign w:val="subscript"/>
              </w:rPr>
              <w:t>3</w:t>
            </w:r>
            <w:r>
              <w:rPr>
                <w:rFonts w:ascii="Times New Roman" w:hAnsi="Times New Roman" w:eastAsiaTheme="minorEastAsia"/>
                <w:color w:val="auto"/>
                <w:w w:val="99"/>
                <w:szCs w:val="21"/>
                <w:highlight w:val="none"/>
                <w:vertAlign w:val="superscript"/>
              </w:rPr>
              <w:t>-</w:t>
            </w:r>
            <w:r>
              <w:rPr>
                <w:rFonts w:ascii="Times New Roman" w:hAnsi="Times New Roman" w:eastAsiaTheme="minorEastAsia"/>
                <w:color w:val="auto"/>
                <w:w w:val="99"/>
                <w:szCs w:val="21"/>
                <w:highlight w:val="none"/>
              </w:rPr>
              <w:t>、Cl</w:t>
            </w:r>
            <w:r>
              <w:rPr>
                <w:rFonts w:ascii="Times New Roman" w:hAnsi="Times New Roman" w:eastAsiaTheme="minorEastAsia"/>
                <w:color w:val="auto"/>
                <w:w w:val="99"/>
                <w:szCs w:val="21"/>
                <w:highlight w:val="none"/>
                <w:vertAlign w:val="superscript"/>
              </w:rPr>
              <w:t>-</w:t>
            </w:r>
            <w:r>
              <w:rPr>
                <w:rFonts w:ascii="Times New Roman" w:hAnsi="Times New Roman" w:eastAsiaTheme="minorEastAsia"/>
                <w:color w:val="auto"/>
                <w:w w:val="99"/>
                <w:szCs w:val="21"/>
                <w:highlight w:val="none"/>
              </w:rPr>
              <w:t>、SO</w:t>
            </w:r>
            <w:r>
              <w:rPr>
                <w:rFonts w:ascii="Times New Roman" w:hAnsi="Times New Roman" w:eastAsiaTheme="minorEastAsia"/>
                <w:color w:val="auto"/>
                <w:w w:val="99"/>
                <w:szCs w:val="21"/>
                <w:highlight w:val="none"/>
                <w:vertAlign w:val="subscript"/>
              </w:rPr>
              <w:t>4</w:t>
            </w:r>
            <w:r>
              <w:rPr>
                <w:rFonts w:ascii="Times New Roman" w:hAnsi="Times New Roman" w:eastAsiaTheme="minorEastAsia"/>
                <w:color w:val="auto"/>
                <w:w w:val="99"/>
                <w:szCs w:val="21"/>
                <w:highlight w:val="none"/>
                <w:vertAlign w:val="superscript"/>
              </w:rPr>
              <w:t>2-</w:t>
            </w:r>
            <w:r>
              <w:rPr>
                <w:rFonts w:ascii="Times New Roman" w:hAnsi="Times New Roman" w:eastAsiaTheme="minorEastAsia"/>
                <w:color w:val="auto"/>
                <w:w w:val="99"/>
                <w:szCs w:val="21"/>
                <w:highlight w:val="none"/>
              </w:rPr>
              <w:t>、pH、氨氮、硝酸盐、亚硝酸盐、挥发性酚类、氰化物、砷、汞、六价铬、总硬度、铅、氟化物、镉、铁、锰、溶解性总固体、耗氧量、总大肠菌群、菌落总数、石油类、硫化物、钡</w:t>
            </w:r>
          </w:p>
        </w:tc>
      </w:tr>
      <w:tr w14:paraId="640CF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1DB73502">
            <w:pPr>
              <w:pStyle w:val="42"/>
              <w:spacing w:line="320" w:lineRule="exact"/>
              <w:jc w:val="center"/>
              <w:rPr>
                <w:rFonts w:ascii="Times New Roman" w:hAnsi="Times New Roman" w:eastAsiaTheme="minorEastAsia"/>
                <w:color w:val="auto"/>
                <w:w w:val="99"/>
                <w:szCs w:val="21"/>
                <w:highlight w:val="none"/>
              </w:rPr>
            </w:pPr>
          </w:p>
        </w:tc>
        <w:tc>
          <w:tcPr>
            <w:tcW w:w="383" w:type="pct"/>
            <w:vAlign w:val="center"/>
          </w:tcPr>
          <w:p w14:paraId="187950B7">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4</w:t>
            </w:r>
          </w:p>
        </w:tc>
        <w:tc>
          <w:tcPr>
            <w:tcW w:w="598" w:type="pct"/>
            <w:vAlign w:val="center"/>
          </w:tcPr>
          <w:p w14:paraId="011A3ECC">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噪声</w:t>
            </w:r>
          </w:p>
        </w:tc>
        <w:tc>
          <w:tcPr>
            <w:tcW w:w="3705" w:type="pct"/>
            <w:vAlign w:val="center"/>
          </w:tcPr>
          <w:p w14:paraId="66E7C211">
            <w:pPr>
              <w:pStyle w:val="42"/>
              <w:spacing w:line="320" w:lineRule="exact"/>
              <w:jc w:val="both"/>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等效连续 A 声级</w:t>
            </w:r>
          </w:p>
        </w:tc>
      </w:tr>
      <w:tr w14:paraId="41A32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611CA6FF">
            <w:pPr>
              <w:pStyle w:val="42"/>
              <w:spacing w:line="320" w:lineRule="exact"/>
              <w:jc w:val="center"/>
              <w:rPr>
                <w:rFonts w:ascii="Times New Roman" w:hAnsi="Times New Roman" w:eastAsiaTheme="minorEastAsia"/>
                <w:color w:val="auto"/>
                <w:w w:val="99"/>
                <w:szCs w:val="21"/>
                <w:highlight w:val="none"/>
              </w:rPr>
            </w:pPr>
          </w:p>
        </w:tc>
        <w:tc>
          <w:tcPr>
            <w:tcW w:w="383" w:type="pct"/>
            <w:vAlign w:val="center"/>
          </w:tcPr>
          <w:p w14:paraId="233F67FE">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5</w:t>
            </w:r>
          </w:p>
        </w:tc>
        <w:tc>
          <w:tcPr>
            <w:tcW w:w="598" w:type="pct"/>
            <w:vAlign w:val="center"/>
          </w:tcPr>
          <w:p w14:paraId="52854F91">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土壤</w:t>
            </w:r>
          </w:p>
        </w:tc>
        <w:tc>
          <w:tcPr>
            <w:tcW w:w="3705" w:type="pct"/>
            <w:vAlign w:val="center"/>
          </w:tcPr>
          <w:p w14:paraId="5F4A54C7">
            <w:pPr>
              <w:pStyle w:val="157"/>
              <w:widowControl w:val="0"/>
              <w:spacing w:line="320" w:lineRule="exact"/>
              <w:jc w:val="both"/>
              <w:rPr>
                <w:rFonts w:ascii="Times New Roman" w:hAnsi="Times New Roman" w:eastAsiaTheme="minorEastAsia"/>
                <w:snapToGrid w:val="0"/>
                <w:color w:val="auto"/>
                <w:w w:val="99"/>
                <w:kern w:val="0"/>
                <w:szCs w:val="21"/>
                <w:highlight w:val="none"/>
                <w:lang w:val="en-US"/>
              </w:rPr>
            </w:pPr>
            <w:r>
              <w:rPr>
                <w:rFonts w:ascii="Times New Roman" w:hAnsi="Times New Roman" w:eastAsiaTheme="minorEastAsia"/>
                <w:snapToGrid w:val="0"/>
                <w:color w:val="auto"/>
                <w:w w:val="99"/>
                <w:kern w:val="0"/>
                <w:szCs w:val="21"/>
                <w:highlight w:val="none"/>
                <w:lang w:val="en-US"/>
              </w:rPr>
              <w:t>建设用地：pH、Cd、Hg、As、Pb、Cr（六价）、Cu、Ni、苯、甲苯、乙苯、氯苯、苯乙烯、间二甲苯+对二甲苯、邻二甲苯、氯乙烯、1,2-二氯苯、1,4-二氯苯、四氯化碳、氯仿、氯甲烷、1,1-二氯乙烷、1,2-二氯乙烷、1,1-二氯乙烯、顺-1,2-二氯乙烯、反-1,2-二氯乙烯、二氯甲烷、1,2-二氯丙烷、1,1,1,2-四氯乙烷、1,1,2,2-四氯乙烷、四氯乙烯、1,1,1-三氯乙烷、1,1,2-三氯乙烷、三氯乙烯、1,2,3- 三氯丙烷、硝基苯、苯胺、2-氯酚、䓛、萘、苯并（a）蒽、苯并（b）荧蒽、苯并（k）荧蒽、苯并(a)芘、茚并（1，2，3-cd）芘、二苯并（a,h）蒽、石油烃（C</w:t>
            </w:r>
            <w:r>
              <w:rPr>
                <w:rFonts w:ascii="Times New Roman" w:hAnsi="Times New Roman" w:eastAsiaTheme="minorEastAsia"/>
                <w:snapToGrid w:val="0"/>
                <w:color w:val="auto"/>
                <w:w w:val="99"/>
                <w:kern w:val="0"/>
                <w:szCs w:val="21"/>
                <w:highlight w:val="none"/>
                <w:vertAlign w:val="subscript"/>
                <w:lang w:val="en-US"/>
              </w:rPr>
              <w:t>10</w:t>
            </w:r>
            <w:r>
              <w:rPr>
                <w:rFonts w:ascii="Times New Roman" w:hAnsi="Times New Roman" w:eastAsiaTheme="minorEastAsia"/>
                <w:snapToGrid w:val="0"/>
                <w:color w:val="auto"/>
                <w:w w:val="99"/>
                <w:kern w:val="0"/>
                <w:szCs w:val="21"/>
                <w:highlight w:val="none"/>
                <w:lang w:val="en-US"/>
              </w:rPr>
              <w:t xml:space="preserve"> -C</w:t>
            </w:r>
            <w:r>
              <w:rPr>
                <w:rFonts w:ascii="Times New Roman" w:hAnsi="Times New Roman" w:eastAsiaTheme="minorEastAsia"/>
                <w:snapToGrid w:val="0"/>
                <w:color w:val="auto"/>
                <w:w w:val="99"/>
                <w:kern w:val="0"/>
                <w:szCs w:val="21"/>
                <w:highlight w:val="none"/>
                <w:vertAlign w:val="subscript"/>
                <w:lang w:val="en-US"/>
              </w:rPr>
              <w:t>40</w:t>
            </w:r>
            <w:r>
              <w:rPr>
                <w:rFonts w:ascii="Times New Roman" w:hAnsi="Times New Roman" w:eastAsiaTheme="minorEastAsia"/>
                <w:snapToGrid w:val="0"/>
                <w:color w:val="auto"/>
                <w:w w:val="99"/>
                <w:kern w:val="0"/>
                <w:szCs w:val="21"/>
                <w:highlight w:val="none"/>
                <w:lang w:val="en-US"/>
              </w:rPr>
              <w:t>）、石油类、石油烃（C</w:t>
            </w:r>
            <w:r>
              <w:rPr>
                <w:rFonts w:ascii="Times New Roman" w:hAnsi="Times New Roman" w:eastAsiaTheme="minorEastAsia"/>
                <w:snapToGrid w:val="0"/>
                <w:color w:val="auto"/>
                <w:w w:val="99"/>
                <w:kern w:val="0"/>
                <w:szCs w:val="21"/>
                <w:highlight w:val="none"/>
                <w:vertAlign w:val="subscript"/>
                <w:lang w:val="en-US"/>
              </w:rPr>
              <w:t>6</w:t>
            </w:r>
            <w:r>
              <w:rPr>
                <w:rFonts w:ascii="Times New Roman" w:hAnsi="Times New Roman" w:eastAsiaTheme="minorEastAsia"/>
                <w:snapToGrid w:val="0"/>
                <w:color w:val="auto"/>
                <w:w w:val="99"/>
                <w:kern w:val="0"/>
                <w:szCs w:val="21"/>
                <w:highlight w:val="none"/>
                <w:lang w:val="en-US"/>
              </w:rPr>
              <w:t>-C</w:t>
            </w:r>
            <w:r>
              <w:rPr>
                <w:rFonts w:ascii="Times New Roman" w:hAnsi="Times New Roman" w:eastAsiaTheme="minorEastAsia"/>
                <w:snapToGrid w:val="0"/>
                <w:color w:val="auto"/>
                <w:w w:val="99"/>
                <w:kern w:val="0"/>
                <w:szCs w:val="21"/>
                <w:highlight w:val="none"/>
                <w:vertAlign w:val="subscript"/>
                <w:lang w:val="en-US"/>
              </w:rPr>
              <w:t>9</w:t>
            </w:r>
            <w:r>
              <w:rPr>
                <w:rFonts w:ascii="Times New Roman" w:hAnsi="Times New Roman" w:eastAsiaTheme="minorEastAsia"/>
                <w:snapToGrid w:val="0"/>
                <w:color w:val="auto"/>
                <w:w w:val="99"/>
                <w:kern w:val="0"/>
                <w:szCs w:val="21"/>
                <w:highlight w:val="none"/>
                <w:lang w:val="en-US"/>
              </w:rPr>
              <w:t>）、水溶性盐总量</w:t>
            </w:r>
          </w:p>
        </w:tc>
      </w:tr>
      <w:tr w14:paraId="451C1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2C1E5E2A">
            <w:pPr>
              <w:pStyle w:val="42"/>
              <w:spacing w:line="320" w:lineRule="exact"/>
              <w:jc w:val="center"/>
              <w:rPr>
                <w:rFonts w:ascii="Times New Roman" w:hAnsi="Times New Roman" w:eastAsiaTheme="minorEastAsia"/>
                <w:color w:val="auto"/>
                <w:w w:val="99"/>
                <w:szCs w:val="21"/>
                <w:highlight w:val="none"/>
              </w:rPr>
            </w:pPr>
          </w:p>
        </w:tc>
        <w:tc>
          <w:tcPr>
            <w:tcW w:w="383" w:type="pct"/>
            <w:vMerge w:val="restart"/>
            <w:vAlign w:val="center"/>
          </w:tcPr>
          <w:p w14:paraId="240F3512">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6</w:t>
            </w:r>
          </w:p>
        </w:tc>
        <w:tc>
          <w:tcPr>
            <w:tcW w:w="598" w:type="pct"/>
            <w:vMerge w:val="restart"/>
            <w:vAlign w:val="center"/>
          </w:tcPr>
          <w:p w14:paraId="7673B5C6">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生态</w:t>
            </w:r>
          </w:p>
        </w:tc>
        <w:tc>
          <w:tcPr>
            <w:tcW w:w="3705" w:type="pct"/>
            <w:vAlign w:val="center"/>
          </w:tcPr>
          <w:p w14:paraId="50115CA6">
            <w:pPr>
              <w:pStyle w:val="157"/>
              <w:widowControl w:val="0"/>
              <w:spacing w:line="320" w:lineRule="exact"/>
              <w:jc w:val="both"/>
              <w:rPr>
                <w:rFonts w:ascii="Times New Roman" w:hAnsi="Times New Roman" w:eastAsiaTheme="minorEastAsia"/>
                <w:snapToGrid w:val="0"/>
                <w:color w:val="auto"/>
                <w:w w:val="99"/>
                <w:kern w:val="0"/>
                <w:szCs w:val="21"/>
                <w:highlight w:val="none"/>
                <w:lang w:val="en-US"/>
              </w:rPr>
            </w:pPr>
            <w:r>
              <w:rPr>
                <w:rFonts w:ascii="Times New Roman" w:hAnsi="Times New Roman" w:eastAsiaTheme="minorEastAsia"/>
                <w:snapToGrid w:val="0"/>
                <w:color w:val="auto"/>
                <w:w w:val="99"/>
                <w:kern w:val="0"/>
                <w:szCs w:val="21"/>
                <w:highlight w:val="none"/>
                <w:lang w:val="en-US"/>
              </w:rPr>
              <w:t>农用地：pH、镉、汞、砷、铅、铬、铜、镍、锌、石油烃（C</w:t>
            </w:r>
            <w:r>
              <w:rPr>
                <w:rFonts w:ascii="Times New Roman" w:hAnsi="Times New Roman" w:eastAsiaTheme="minorEastAsia"/>
                <w:snapToGrid w:val="0"/>
                <w:color w:val="auto"/>
                <w:w w:val="99"/>
                <w:kern w:val="0"/>
                <w:szCs w:val="21"/>
                <w:highlight w:val="none"/>
                <w:vertAlign w:val="subscript"/>
                <w:lang w:val="en-US"/>
              </w:rPr>
              <w:t>10</w:t>
            </w:r>
            <w:r>
              <w:rPr>
                <w:rFonts w:ascii="Times New Roman" w:hAnsi="Times New Roman" w:eastAsiaTheme="minorEastAsia"/>
                <w:snapToGrid w:val="0"/>
                <w:color w:val="auto"/>
                <w:w w:val="99"/>
                <w:kern w:val="0"/>
                <w:szCs w:val="21"/>
                <w:highlight w:val="none"/>
                <w:lang w:val="en-US"/>
              </w:rPr>
              <w:t xml:space="preserve"> -C</w:t>
            </w:r>
            <w:r>
              <w:rPr>
                <w:rFonts w:ascii="Times New Roman" w:hAnsi="Times New Roman" w:eastAsiaTheme="minorEastAsia"/>
                <w:snapToGrid w:val="0"/>
                <w:color w:val="auto"/>
                <w:w w:val="99"/>
                <w:kern w:val="0"/>
                <w:szCs w:val="21"/>
                <w:highlight w:val="none"/>
                <w:vertAlign w:val="subscript"/>
                <w:lang w:val="en-US"/>
              </w:rPr>
              <w:t>40</w:t>
            </w:r>
            <w:r>
              <w:rPr>
                <w:rFonts w:ascii="Times New Roman" w:hAnsi="Times New Roman" w:eastAsiaTheme="minorEastAsia"/>
                <w:snapToGrid w:val="0"/>
                <w:color w:val="auto"/>
                <w:w w:val="99"/>
                <w:kern w:val="0"/>
                <w:szCs w:val="21"/>
                <w:highlight w:val="none"/>
                <w:lang w:val="en-US"/>
              </w:rPr>
              <w:t>）、石油类、石油烃（C</w:t>
            </w:r>
            <w:r>
              <w:rPr>
                <w:rFonts w:ascii="Times New Roman" w:hAnsi="Times New Roman" w:eastAsiaTheme="minorEastAsia"/>
                <w:snapToGrid w:val="0"/>
                <w:color w:val="auto"/>
                <w:w w:val="99"/>
                <w:kern w:val="0"/>
                <w:szCs w:val="21"/>
                <w:highlight w:val="none"/>
                <w:vertAlign w:val="subscript"/>
                <w:lang w:val="en-US"/>
              </w:rPr>
              <w:t>6</w:t>
            </w:r>
            <w:r>
              <w:rPr>
                <w:rFonts w:ascii="Times New Roman" w:hAnsi="Times New Roman" w:eastAsiaTheme="minorEastAsia"/>
                <w:snapToGrid w:val="0"/>
                <w:color w:val="auto"/>
                <w:w w:val="99"/>
                <w:kern w:val="0"/>
                <w:szCs w:val="21"/>
                <w:highlight w:val="none"/>
                <w:lang w:val="en-US"/>
              </w:rPr>
              <w:t>-C</w:t>
            </w:r>
            <w:r>
              <w:rPr>
                <w:rFonts w:ascii="Times New Roman" w:hAnsi="Times New Roman" w:eastAsiaTheme="minorEastAsia"/>
                <w:snapToGrid w:val="0"/>
                <w:color w:val="auto"/>
                <w:w w:val="99"/>
                <w:kern w:val="0"/>
                <w:szCs w:val="21"/>
                <w:highlight w:val="none"/>
                <w:vertAlign w:val="subscript"/>
                <w:lang w:val="en-US"/>
              </w:rPr>
              <w:t>9</w:t>
            </w:r>
            <w:r>
              <w:rPr>
                <w:rFonts w:ascii="Times New Roman" w:hAnsi="Times New Roman" w:eastAsiaTheme="minorEastAsia"/>
                <w:snapToGrid w:val="0"/>
                <w:color w:val="auto"/>
                <w:w w:val="99"/>
                <w:kern w:val="0"/>
                <w:szCs w:val="21"/>
                <w:highlight w:val="none"/>
                <w:lang w:val="en-US"/>
              </w:rPr>
              <w:t>）、水溶性盐总量</w:t>
            </w:r>
          </w:p>
        </w:tc>
      </w:tr>
      <w:tr w14:paraId="736D7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62F3367E">
            <w:pPr>
              <w:pStyle w:val="42"/>
              <w:spacing w:line="320" w:lineRule="exact"/>
              <w:jc w:val="center"/>
              <w:rPr>
                <w:rFonts w:ascii="Times New Roman" w:hAnsi="Times New Roman" w:eastAsiaTheme="minorEastAsia"/>
                <w:color w:val="auto"/>
                <w:w w:val="99"/>
                <w:szCs w:val="21"/>
                <w:highlight w:val="none"/>
              </w:rPr>
            </w:pPr>
          </w:p>
        </w:tc>
        <w:tc>
          <w:tcPr>
            <w:tcW w:w="383" w:type="pct"/>
            <w:vMerge w:val="continue"/>
            <w:vAlign w:val="center"/>
          </w:tcPr>
          <w:p w14:paraId="277E6A8C">
            <w:pPr>
              <w:pStyle w:val="42"/>
              <w:spacing w:line="320" w:lineRule="exact"/>
              <w:jc w:val="center"/>
              <w:rPr>
                <w:rFonts w:ascii="Times New Roman" w:hAnsi="Times New Roman" w:eastAsiaTheme="minorEastAsia"/>
                <w:color w:val="auto"/>
                <w:w w:val="99"/>
                <w:szCs w:val="21"/>
                <w:highlight w:val="none"/>
              </w:rPr>
            </w:pPr>
          </w:p>
        </w:tc>
        <w:tc>
          <w:tcPr>
            <w:tcW w:w="598" w:type="pct"/>
            <w:vMerge w:val="continue"/>
            <w:vAlign w:val="center"/>
          </w:tcPr>
          <w:p w14:paraId="37CA507B">
            <w:pPr>
              <w:pStyle w:val="42"/>
              <w:spacing w:line="320" w:lineRule="exact"/>
              <w:jc w:val="center"/>
              <w:rPr>
                <w:rFonts w:ascii="Times New Roman" w:hAnsi="Times New Roman" w:eastAsiaTheme="minorEastAsia"/>
                <w:color w:val="auto"/>
                <w:w w:val="99"/>
                <w:szCs w:val="21"/>
                <w:highlight w:val="none"/>
              </w:rPr>
            </w:pPr>
          </w:p>
        </w:tc>
        <w:tc>
          <w:tcPr>
            <w:tcW w:w="3705" w:type="pct"/>
            <w:vAlign w:val="center"/>
          </w:tcPr>
          <w:p w14:paraId="677E4D6E">
            <w:pPr>
              <w:pStyle w:val="157"/>
              <w:widowControl w:val="0"/>
              <w:spacing w:line="320" w:lineRule="exact"/>
              <w:jc w:val="both"/>
              <w:rPr>
                <w:rFonts w:ascii="Times New Roman" w:hAnsi="Times New Roman" w:eastAsiaTheme="minorEastAsia"/>
                <w:snapToGrid w:val="0"/>
                <w:color w:val="auto"/>
                <w:w w:val="99"/>
                <w:kern w:val="0"/>
                <w:szCs w:val="21"/>
                <w:highlight w:val="none"/>
                <w:lang w:val="en-US"/>
              </w:rPr>
            </w:pPr>
            <w:r>
              <w:rPr>
                <w:rFonts w:ascii="Times New Roman" w:hAnsi="Times New Roman" w:eastAsiaTheme="minorEastAsia"/>
                <w:snapToGrid w:val="0"/>
                <w:color w:val="auto"/>
                <w:w w:val="99"/>
                <w:kern w:val="0"/>
                <w:szCs w:val="21"/>
                <w:highlight w:val="none"/>
                <w:lang w:val="en-US"/>
              </w:rPr>
              <w:t>物种分布范围、生物群落结构和组成、生态系统中植被覆盖率等、水土流失、防沙治沙等；土壤类型、特征、组成和分布，土地利用状况、土壤状况等</w:t>
            </w:r>
          </w:p>
        </w:tc>
      </w:tr>
      <w:tr w14:paraId="1001C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restart"/>
            <w:vAlign w:val="center"/>
          </w:tcPr>
          <w:p w14:paraId="48A7C444">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影响预测因子</w:t>
            </w:r>
          </w:p>
        </w:tc>
        <w:tc>
          <w:tcPr>
            <w:tcW w:w="383" w:type="pct"/>
            <w:vAlign w:val="center"/>
          </w:tcPr>
          <w:p w14:paraId="67214848">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1</w:t>
            </w:r>
          </w:p>
        </w:tc>
        <w:tc>
          <w:tcPr>
            <w:tcW w:w="598" w:type="pct"/>
            <w:vAlign w:val="center"/>
          </w:tcPr>
          <w:p w14:paraId="02DEDB5C">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大气</w:t>
            </w:r>
          </w:p>
        </w:tc>
        <w:tc>
          <w:tcPr>
            <w:tcW w:w="3705" w:type="pct"/>
            <w:vAlign w:val="center"/>
          </w:tcPr>
          <w:p w14:paraId="3A920CCC">
            <w:pPr>
              <w:pStyle w:val="42"/>
              <w:spacing w:line="320" w:lineRule="exact"/>
              <w:jc w:val="both"/>
              <w:rPr>
                <w:rFonts w:ascii="Times New Roman" w:hAnsi="Times New Roman" w:eastAsiaTheme="minorEastAsia"/>
                <w:color w:val="auto"/>
                <w:w w:val="99"/>
                <w:szCs w:val="21"/>
                <w:highlight w:val="none"/>
              </w:rPr>
            </w:pPr>
            <w:r>
              <w:rPr>
                <w:rFonts w:ascii="Times New Roman" w:hAnsi="Times New Roman" w:eastAsiaTheme="minorEastAsia"/>
                <w:snapToGrid w:val="0"/>
                <w:color w:val="auto"/>
                <w:w w:val="99"/>
                <w:kern w:val="0"/>
                <w:szCs w:val="21"/>
                <w:highlight w:val="none"/>
              </w:rPr>
              <w:t>非甲烷总烃</w:t>
            </w:r>
          </w:p>
        </w:tc>
      </w:tr>
      <w:tr w14:paraId="3C1A5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2" w:type="pct"/>
            <w:vMerge w:val="continue"/>
            <w:vAlign w:val="center"/>
          </w:tcPr>
          <w:p w14:paraId="2F2FC027">
            <w:pPr>
              <w:pStyle w:val="42"/>
              <w:spacing w:line="320" w:lineRule="exact"/>
              <w:jc w:val="center"/>
              <w:rPr>
                <w:rFonts w:ascii="Times New Roman" w:hAnsi="Times New Roman" w:eastAsiaTheme="minorEastAsia"/>
                <w:color w:val="auto"/>
                <w:w w:val="99"/>
                <w:szCs w:val="21"/>
                <w:highlight w:val="none"/>
              </w:rPr>
            </w:pPr>
          </w:p>
        </w:tc>
        <w:tc>
          <w:tcPr>
            <w:tcW w:w="383" w:type="pct"/>
            <w:vAlign w:val="center"/>
          </w:tcPr>
          <w:p w14:paraId="55EB61D2">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2</w:t>
            </w:r>
          </w:p>
        </w:tc>
        <w:tc>
          <w:tcPr>
            <w:tcW w:w="598" w:type="pct"/>
            <w:vAlign w:val="center"/>
          </w:tcPr>
          <w:p w14:paraId="4214A455">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地下水</w:t>
            </w:r>
          </w:p>
        </w:tc>
        <w:tc>
          <w:tcPr>
            <w:tcW w:w="3705" w:type="pct"/>
            <w:vAlign w:val="center"/>
          </w:tcPr>
          <w:p w14:paraId="2CF13210">
            <w:pPr>
              <w:pStyle w:val="42"/>
              <w:spacing w:line="320" w:lineRule="exact"/>
              <w:jc w:val="both"/>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C</w:t>
            </w:r>
            <w:r>
              <w:rPr>
                <w:rFonts w:ascii="Times New Roman" w:hAnsi="Times New Roman" w:eastAsiaTheme="minorEastAsia"/>
                <w:color w:val="auto"/>
                <w:w w:val="99"/>
                <w:szCs w:val="21"/>
                <w:highlight w:val="none"/>
              </w:rPr>
              <w:t>OD、石油类</w:t>
            </w:r>
          </w:p>
        </w:tc>
      </w:tr>
      <w:tr w14:paraId="719F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59F578A0">
            <w:pPr>
              <w:pStyle w:val="42"/>
              <w:spacing w:line="320" w:lineRule="exact"/>
              <w:jc w:val="center"/>
              <w:rPr>
                <w:rFonts w:ascii="Times New Roman" w:hAnsi="Times New Roman" w:eastAsiaTheme="minorEastAsia"/>
                <w:color w:val="auto"/>
                <w:w w:val="99"/>
                <w:szCs w:val="21"/>
                <w:highlight w:val="none"/>
              </w:rPr>
            </w:pPr>
          </w:p>
        </w:tc>
        <w:tc>
          <w:tcPr>
            <w:tcW w:w="383" w:type="pct"/>
            <w:vAlign w:val="center"/>
          </w:tcPr>
          <w:p w14:paraId="39218511">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3</w:t>
            </w:r>
          </w:p>
        </w:tc>
        <w:tc>
          <w:tcPr>
            <w:tcW w:w="598" w:type="pct"/>
            <w:vAlign w:val="center"/>
          </w:tcPr>
          <w:p w14:paraId="55FAA914">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噪声</w:t>
            </w:r>
          </w:p>
        </w:tc>
        <w:tc>
          <w:tcPr>
            <w:tcW w:w="3705" w:type="pct"/>
            <w:vAlign w:val="center"/>
          </w:tcPr>
          <w:p w14:paraId="0C353E2F">
            <w:pPr>
              <w:pStyle w:val="42"/>
              <w:spacing w:line="320" w:lineRule="exact"/>
              <w:jc w:val="both"/>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昼间连续等效A声级、夜间连续等效A声级</w:t>
            </w:r>
          </w:p>
        </w:tc>
      </w:tr>
      <w:tr w14:paraId="69306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05E7A8F8">
            <w:pPr>
              <w:pStyle w:val="42"/>
              <w:spacing w:line="320" w:lineRule="exact"/>
              <w:jc w:val="center"/>
              <w:rPr>
                <w:rFonts w:ascii="Times New Roman" w:hAnsi="Times New Roman" w:eastAsiaTheme="minorEastAsia"/>
                <w:color w:val="auto"/>
                <w:w w:val="99"/>
                <w:szCs w:val="21"/>
                <w:highlight w:val="none"/>
              </w:rPr>
            </w:pPr>
          </w:p>
        </w:tc>
        <w:tc>
          <w:tcPr>
            <w:tcW w:w="383" w:type="pct"/>
            <w:vAlign w:val="center"/>
          </w:tcPr>
          <w:p w14:paraId="2349DA7B">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4</w:t>
            </w:r>
          </w:p>
        </w:tc>
        <w:tc>
          <w:tcPr>
            <w:tcW w:w="598" w:type="pct"/>
            <w:vAlign w:val="center"/>
          </w:tcPr>
          <w:p w14:paraId="634F76D9">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kern w:val="0"/>
                <w:szCs w:val="21"/>
                <w:highlight w:val="none"/>
              </w:rPr>
              <w:t>土壤</w:t>
            </w:r>
          </w:p>
        </w:tc>
        <w:tc>
          <w:tcPr>
            <w:tcW w:w="3705" w:type="pct"/>
            <w:vAlign w:val="center"/>
          </w:tcPr>
          <w:p w14:paraId="7A8F5EAF">
            <w:pPr>
              <w:pStyle w:val="42"/>
              <w:spacing w:line="320" w:lineRule="exact"/>
              <w:jc w:val="both"/>
              <w:rPr>
                <w:rFonts w:ascii="Times New Roman" w:hAnsi="Times New Roman" w:eastAsiaTheme="minorEastAsia"/>
                <w:color w:val="auto"/>
                <w:w w:val="99"/>
                <w:szCs w:val="21"/>
                <w:highlight w:val="none"/>
              </w:rPr>
            </w:pPr>
            <w:r>
              <w:rPr>
                <w:rFonts w:ascii="Times New Roman" w:hAnsi="Times New Roman" w:eastAsiaTheme="minorEastAsia"/>
                <w:color w:val="auto"/>
                <w:w w:val="99"/>
                <w:kern w:val="0"/>
                <w:szCs w:val="21"/>
                <w:highlight w:val="none"/>
              </w:rPr>
              <w:t>石油烃（C</w:t>
            </w:r>
            <w:r>
              <w:rPr>
                <w:rFonts w:ascii="Times New Roman" w:hAnsi="Times New Roman" w:eastAsiaTheme="minorEastAsia"/>
                <w:color w:val="auto"/>
                <w:w w:val="99"/>
                <w:kern w:val="0"/>
                <w:szCs w:val="21"/>
                <w:highlight w:val="none"/>
                <w:vertAlign w:val="subscript"/>
              </w:rPr>
              <w:t>10</w:t>
            </w:r>
            <w:r>
              <w:rPr>
                <w:rFonts w:ascii="Times New Roman" w:hAnsi="Times New Roman" w:eastAsiaTheme="minorEastAsia"/>
                <w:color w:val="auto"/>
                <w:w w:val="99"/>
                <w:kern w:val="0"/>
                <w:szCs w:val="21"/>
                <w:highlight w:val="none"/>
              </w:rPr>
              <w:t>-C</w:t>
            </w:r>
            <w:r>
              <w:rPr>
                <w:rFonts w:ascii="Times New Roman" w:hAnsi="Times New Roman" w:eastAsiaTheme="minorEastAsia"/>
                <w:color w:val="auto"/>
                <w:w w:val="99"/>
                <w:kern w:val="0"/>
                <w:szCs w:val="21"/>
                <w:highlight w:val="none"/>
                <w:vertAlign w:val="subscript"/>
              </w:rPr>
              <w:t>40</w:t>
            </w:r>
            <w:r>
              <w:rPr>
                <w:rFonts w:ascii="Times New Roman" w:hAnsi="Times New Roman" w:eastAsiaTheme="minorEastAsia"/>
                <w:color w:val="auto"/>
                <w:w w:val="99"/>
                <w:kern w:val="0"/>
                <w:szCs w:val="21"/>
                <w:highlight w:val="none"/>
              </w:rPr>
              <w:t>）</w:t>
            </w:r>
          </w:p>
        </w:tc>
      </w:tr>
      <w:tr w14:paraId="62FDB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0149F649">
            <w:pPr>
              <w:pStyle w:val="42"/>
              <w:spacing w:line="320" w:lineRule="exact"/>
              <w:jc w:val="center"/>
              <w:rPr>
                <w:rFonts w:ascii="Times New Roman" w:hAnsi="Times New Roman" w:eastAsiaTheme="minorEastAsia"/>
                <w:color w:val="auto"/>
                <w:w w:val="99"/>
                <w:szCs w:val="21"/>
                <w:highlight w:val="none"/>
              </w:rPr>
            </w:pPr>
          </w:p>
        </w:tc>
        <w:tc>
          <w:tcPr>
            <w:tcW w:w="383" w:type="pct"/>
            <w:vAlign w:val="center"/>
          </w:tcPr>
          <w:p w14:paraId="0D7A0705">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5</w:t>
            </w:r>
          </w:p>
        </w:tc>
        <w:tc>
          <w:tcPr>
            <w:tcW w:w="598" w:type="pct"/>
            <w:vAlign w:val="center"/>
          </w:tcPr>
          <w:p w14:paraId="1D6BFCA6">
            <w:pPr>
              <w:pStyle w:val="42"/>
              <w:spacing w:line="320" w:lineRule="exact"/>
              <w:jc w:val="center"/>
              <w:rPr>
                <w:rFonts w:ascii="Times New Roman" w:hAnsi="Times New Roman" w:eastAsiaTheme="minorEastAsia"/>
                <w:color w:val="auto"/>
                <w:w w:val="99"/>
                <w:kern w:val="0"/>
                <w:szCs w:val="21"/>
                <w:highlight w:val="none"/>
              </w:rPr>
            </w:pPr>
            <w:r>
              <w:rPr>
                <w:rFonts w:ascii="Times New Roman" w:hAnsi="Times New Roman" w:eastAsiaTheme="minorEastAsia"/>
                <w:color w:val="auto"/>
                <w:w w:val="99"/>
                <w:kern w:val="0"/>
                <w:szCs w:val="21"/>
                <w:highlight w:val="none"/>
              </w:rPr>
              <w:t>环境风险</w:t>
            </w:r>
          </w:p>
        </w:tc>
        <w:tc>
          <w:tcPr>
            <w:tcW w:w="3705" w:type="pct"/>
            <w:vAlign w:val="center"/>
          </w:tcPr>
          <w:p w14:paraId="52C82344">
            <w:pPr>
              <w:pStyle w:val="42"/>
              <w:spacing w:line="320" w:lineRule="exact"/>
              <w:jc w:val="both"/>
              <w:rPr>
                <w:rFonts w:ascii="Times New Roman" w:hAnsi="Times New Roman" w:eastAsiaTheme="minorEastAsia"/>
                <w:color w:val="auto"/>
                <w:w w:val="99"/>
                <w:kern w:val="0"/>
                <w:szCs w:val="21"/>
                <w:highlight w:val="none"/>
              </w:rPr>
            </w:pPr>
            <w:r>
              <w:rPr>
                <w:rFonts w:ascii="Times New Roman" w:hAnsi="Times New Roman" w:eastAsiaTheme="minorEastAsia"/>
                <w:color w:val="auto"/>
                <w:w w:val="99"/>
                <w:kern w:val="0"/>
                <w:szCs w:val="21"/>
                <w:highlight w:val="none"/>
              </w:rPr>
              <w:t>油类物质或天然气泄露；火灾、爆炸伴生/次生污染物CO</w:t>
            </w:r>
          </w:p>
        </w:tc>
      </w:tr>
      <w:tr w14:paraId="1CADF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3A6E64DC">
            <w:pPr>
              <w:pStyle w:val="42"/>
              <w:spacing w:line="320" w:lineRule="exact"/>
              <w:jc w:val="center"/>
              <w:rPr>
                <w:rFonts w:ascii="Times New Roman" w:hAnsi="Times New Roman" w:eastAsiaTheme="minorEastAsia"/>
                <w:color w:val="auto"/>
                <w:w w:val="99"/>
                <w:szCs w:val="21"/>
                <w:highlight w:val="none"/>
              </w:rPr>
            </w:pPr>
          </w:p>
        </w:tc>
        <w:tc>
          <w:tcPr>
            <w:tcW w:w="383" w:type="pct"/>
            <w:vAlign w:val="center"/>
          </w:tcPr>
          <w:p w14:paraId="38201BDF">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6</w:t>
            </w:r>
          </w:p>
        </w:tc>
        <w:tc>
          <w:tcPr>
            <w:tcW w:w="598" w:type="pct"/>
            <w:vAlign w:val="center"/>
          </w:tcPr>
          <w:p w14:paraId="42DA0C95">
            <w:pPr>
              <w:pStyle w:val="42"/>
              <w:spacing w:line="320" w:lineRule="exact"/>
              <w:jc w:val="center"/>
              <w:rPr>
                <w:rFonts w:ascii="Times New Roman" w:hAnsi="Times New Roman" w:eastAsiaTheme="minorEastAsia"/>
                <w:color w:val="auto"/>
                <w:w w:val="99"/>
                <w:kern w:val="0"/>
                <w:szCs w:val="21"/>
                <w:highlight w:val="none"/>
              </w:rPr>
            </w:pPr>
            <w:r>
              <w:rPr>
                <w:rFonts w:ascii="Times New Roman" w:hAnsi="Times New Roman" w:eastAsiaTheme="minorEastAsia"/>
                <w:color w:val="auto"/>
                <w:w w:val="99"/>
                <w:kern w:val="0"/>
                <w:szCs w:val="21"/>
                <w:highlight w:val="none"/>
              </w:rPr>
              <w:t>生态</w:t>
            </w:r>
          </w:p>
        </w:tc>
        <w:tc>
          <w:tcPr>
            <w:tcW w:w="3705" w:type="pct"/>
            <w:vAlign w:val="center"/>
          </w:tcPr>
          <w:p w14:paraId="42219069">
            <w:pPr>
              <w:pStyle w:val="42"/>
              <w:spacing w:line="320" w:lineRule="exact"/>
              <w:jc w:val="both"/>
              <w:rPr>
                <w:rFonts w:ascii="Times New Roman" w:hAnsi="Times New Roman" w:eastAsiaTheme="minorEastAsia"/>
                <w:color w:val="auto"/>
                <w:w w:val="99"/>
                <w:kern w:val="0"/>
                <w:szCs w:val="21"/>
                <w:highlight w:val="none"/>
              </w:rPr>
            </w:pPr>
            <w:r>
              <w:rPr>
                <w:rFonts w:ascii="Times New Roman" w:hAnsi="Times New Roman" w:eastAsiaTheme="minorEastAsia"/>
                <w:color w:val="auto"/>
                <w:w w:val="99"/>
                <w:kern w:val="0"/>
                <w:szCs w:val="21"/>
                <w:highlight w:val="none"/>
              </w:rPr>
              <w:t>土地利用、植被、野生动物</w:t>
            </w:r>
            <w:r>
              <w:rPr>
                <w:rFonts w:hint="eastAsia" w:ascii="Times New Roman" w:hAnsi="Times New Roman" w:eastAsiaTheme="minorEastAsia"/>
                <w:color w:val="auto"/>
                <w:w w:val="99"/>
                <w:kern w:val="0"/>
                <w:szCs w:val="21"/>
                <w:highlight w:val="none"/>
              </w:rPr>
              <w:t>、</w:t>
            </w:r>
            <w:r>
              <w:rPr>
                <w:rFonts w:hint="eastAsia" w:ascii="Times New Roman" w:hAnsi="Times New Roman"/>
                <w:color w:val="auto"/>
                <w:w w:val="99"/>
                <w:szCs w:val="21"/>
                <w:highlight w:val="none"/>
              </w:rPr>
              <w:t>物种、种群、生态系统、生境等</w:t>
            </w:r>
          </w:p>
        </w:tc>
      </w:tr>
    </w:tbl>
    <w:p w14:paraId="58B58B30">
      <w:pPr>
        <w:pStyle w:val="153"/>
        <w:widowControl w:val="0"/>
        <w:spacing w:line="240" w:lineRule="auto"/>
        <w:ind w:firstLine="413"/>
        <w:rPr>
          <w:rFonts w:ascii="Times New Roman" w:hAnsi="Times New Roman" w:eastAsiaTheme="minorEastAsia"/>
          <w:bCs/>
          <w:color w:val="auto"/>
          <w:w w:val="99"/>
          <w:sz w:val="21"/>
          <w:szCs w:val="21"/>
          <w:highlight w:val="none"/>
        </w:rPr>
      </w:pPr>
      <w:r>
        <w:rPr>
          <w:rFonts w:hint="eastAsia" w:ascii="Times New Roman" w:hAnsi="Times New Roman" w:eastAsiaTheme="minorEastAsia"/>
          <w:bCs/>
          <w:color w:val="auto"/>
          <w:w w:val="99"/>
          <w:sz w:val="21"/>
          <w:szCs w:val="21"/>
          <w:highlight w:val="none"/>
        </w:rPr>
        <w:t>注：地下水预测因子COD参照执行《地表水环境质量标准》（GB3838-2002）II类标准。</w:t>
      </w:r>
    </w:p>
    <w:p w14:paraId="47A99EE2">
      <w:pPr>
        <w:pStyle w:val="153"/>
        <w:widowControl w:val="0"/>
        <w:spacing w:line="440" w:lineRule="exact"/>
        <w:ind w:firstLine="474"/>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表2.5-3    建设项目环境影响评价因子一览表</w:t>
      </w:r>
    </w:p>
    <w:tbl>
      <w:tblPr>
        <w:tblStyle w:val="8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579"/>
        <w:gridCol w:w="869"/>
        <w:gridCol w:w="1740"/>
        <w:gridCol w:w="1310"/>
        <w:gridCol w:w="1310"/>
        <w:gridCol w:w="1454"/>
        <w:gridCol w:w="1301"/>
      </w:tblGrid>
      <w:tr w14:paraId="26BF0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0" w:type="pct"/>
            <w:vAlign w:val="center"/>
          </w:tcPr>
          <w:p w14:paraId="514113E6">
            <w:pPr>
              <w:pStyle w:val="42"/>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环境要素</w:t>
            </w:r>
          </w:p>
          <w:p w14:paraId="48A5498D">
            <w:pPr>
              <w:pStyle w:val="42"/>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单项工程</w:t>
            </w:r>
          </w:p>
        </w:tc>
        <w:tc>
          <w:tcPr>
            <w:tcW w:w="312" w:type="pct"/>
            <w:vAlign w:val="center"/>
          </w:tcPr>
          <w:p w14:paraId="08038EC0">
            <w:pPr>
              <w:pStyle w:val="42"/>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时期</w:t>
            </w:r>
          </w:p>
        </w:tc>
        <w:tc>
          <w:tcPr>
            <w:tcW w:w="468" w:type="pct"/>
            <w:vAlign w:val="center"/>
          </w:tcPr>
          <w:p w14:paraId="0B881E24">
            <w:pPr>
              <w:pStyle w:val="42"/>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大气</w:t>
            </w:r>
          </w:p>
        </w:tc>
        <w:tc>
          <w:tcPr>
            <w:tcW w:w="936" w:type="pct"/>
            <w:vAlign w:val="center"/>
          </w:tcPr>
          <w:p w14:paraId="7FF8FC01">
            <w:pPr>
              <w:pStyle w:val="42"/>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地表水</w:t>
            </w:r>
          </w:p>
        </w:tc>
        <w:tc>
          <w:tcPr>
            <w:tcW w:w="704" w:type="pct"/>
            <w:vAlign w:val="center"/>
          </w:tcPr>
          <w:p w14:paraId="0DE8A3A9">
            <w:pPr>
              <w:pStyle w:val="42"/>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地下水</w:t>
            </w:r>
          </w:p>
        </w:tc>
        <w:tc>
          <w:tcPr>
            <w:tcW w:w="704" w:type="pct"/>
            <w:vAlign w:val="center"/>
          </w:tcPr>
          <w:p w14:paraId="30DB3016">
            <w:pPr>
              <w:pStyle w:val="42"/>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土壤</w:t>
            </w:r>
          </w:p>
        </w:tc>
        <w:tc>
          <w:tcPr>
            <w:tcW w:w="782" w:type="pct"/>
            <w:vAlign w:val="center"/>
          </w:tcPr>
          <w:p w14:paraId="63D07D7A">
            <w:pPr>
              <w:pStyle w:val="42"/>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生态</w:t>
            </w:r>
          </w:p>
        </w:tc>
        <w:tc>
          <w:tcPr>
            <w:tcW w:w="699" w:type="pct"/>
            <w:vAlign w:val="center"/>
          </w:tcPr>
          <w:p w14:paraId="506AA815">
            <w:pPr>
              <w:pStyle w:val="42"/>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噪声</w:t>
            </w:r>
          </w:p>
        </w:tc>
      </w:tr>
      <w:tr w14:paraId="05327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0" w:type="pct"/>
            <w:vMerge w:val="restart"/>
            <w:vAlign w:val="center"/>
          </w:tcPr>
          <w:p w14:paraId="08FBBEDD">
            <w:pPr>
              <w:pStyle w:val="42"/>
              <w:spacing w:line="31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天然气处理</w:t>
            </w:r>
            <w:r>
              <w:rPr>
                <w:rFonts w:ascii="Times New Roman" w:hAnsi="Times New Roman" w:eastAsiaTheme="minorEastAsia"/>
                <w:color w:val="auto"/>
                <w:w w:val="99"/>
                <w:szCs w:val="21"/>
                <w:highlight w:val="none"/>
              </w:rPr>
              <w:t>工程</w:t>
            </w:r>
          </w:p>
        </w:tc>
        <w:tc>
          <w:tcPr>
            <w:tcW w:w="312" w:type="pct"/>
            <w:vAlign w:val="center"/>
          </w:tcPr>
          <w:p w14:paraId="3CD5E9AB">
            <w:pPr>
              <w:pStyle w:val="42"/>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施工期</w:t>
            </w:r>
          </w:p>
        </w:tc>
        <w:tc>
          <w:tcPr>
            <w:tcW w:w="468" w:type="pct"/>
            <w:vAlign w:val="center"/>
          </w:tcPr>
          <w:p w14:paraId="7572269A">
            <w:pPr>
              <w:pStyle w:val="42"/>
              <w:spacing w:line="310" w:lineRule="exact"/>
              <w:jc w:val="both"/>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颗粒物</w:t>
            </w:r>
          </w:p>
        </w:tc>
        <w:tc>
          <w:tcPr>
            <w:tcW w:w="936" w:type="pct"/>
            <w:vAlign w:val="center"/>
          </w:tcPr>
          <w:p w14:paraId="373FC7D9">
            <w:pPr>
              <w:pStyle w:val="42"/>
              <w:spacing w:line="310" w:lineRule="exact"/>
              <w:jc w:val="both"/>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BOD</w:t>
            </w:r>
            <w:r>
              <w:rPr>
                <w:rFonts w:ascii="Times New Roman" w:hAnsi="Times New Roman" w:eastAsiaTheme="minorEastAsia"/>
                <w:color w:val="auto"/>
                <w:w w:val="99"/>
                <w:szCs w:val="21"/>
                <w:highlight w:val="none"/>
                <w:vertAlign w:val="subscript"/>
              </w:rPr>
              <w:t>5</w:t>
            </w:r>
            <w:r>
              <w:rPr>
                <w:rFonts w:ascii="Times New Roman" w:hAnsi="Times New Roman" w:eastAsiaTheme="minorEastAsia"/>
                <w:color w:val="auto"/>
                <w:w w:val="99"/>
                <w:szCs w:val="21"/>
                <w:highlight w:val="none"/>
              </w:rPr>
              <w:t>、COD、悬浮物、氨氮等</w:t>
            </w:r>
          </w:p>
        </w:tc>
        <w:tc>
          <w:tcPr>
            <w:tcW w:w="704" w:type="pct"/>
            <w:vAlign w:val="center"/>
          </w:tcPr>
          <w:p w14:paraId="24E2AADF">
            <w:pPr>
              <w:pStyle w:val="42"/>
              <w:spacing w:line="310" w:lineRule="exact"/>
              <w:jc w:val="both"/>
              <w:rPr>
                <w:rFonts w:ascii="Times New Roman" w:hAnsi="Times New Roman" w:eastAsiaTheme="minorEastAsia"/>
                <w:color w:val="auto"/>
                <w:w w:val="99"/>
                <w:kern w:val="0"/>
                <w:szCs w:val="21"/>
                <w:highlight w:val="none"/>
              </w:rPr>
            </w:pPr>
            <w:r>
              <w:rPr>
                <w:rFonts w:ascii="Times New Roman" w:hAnsi="Times New Roman" w:eastAsiaTheme="minorEastAsia"/>
                <w:color w:val="auto"/>
                <w:w w:val="99"/>
                <w:kern w:val="0"/>
                <w:szCs w:val="21"/>
                <w:highlight w:val="none"/>
              </w:rPr>
              <w:t>耗氧量、氨氮、石油类等</w:t>
            </w:r>
          </w:p>
        </w:tc>
        <w:tc>
          <w:tcPr>
            <w:tcW w:w="704" w:type="pct"/>
            <w:vAlign w:val="center"/>
          </w:tcPr>
          <w:p w14:paraId="26C1FB17">
            <w:pPr>
              <w:pStyle w:val="42"/>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w:t>
            </w:r>
          </w:p>
        </w:tc>
        <w:tc>
          <w:tcPr>
            <w:tcW w:w="782" w:type="pct"/>
            <w:vAlign w:val="center"/>
          </w:tcPr>
          <w:p w14:paraId="7ACA5F2B">
            <w:pPr>
              <w:pStyle w:val="42"/>
              <w:spacing w:line="310" w:lineRule="exact"/>
              <w:jc w:val="both"/>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地表扰动面积及类型、植被覆盖度、生物量损失、物种多样性、生态系统完整性</w:t>
            </w:r>
          </w:p>
        </w:tc>
        <w:tc>
          <w:tcPr>
            <w:tcW w:w="699" w:type="pct"/>
            <w:vAlign w:val="center"/>
          </w:tcPr>
          <w:p w14:paraId="40B1EF34">
            <w:pPr>
              <w:pStyle w:val="42"/>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昼间等效声级（L</w:t>
            </w:r>
            <w:r>
              <w:rPr>
                <w:rFonts w:ascii="Times New Roman" w:hAnsi="Times New Roman" w:eastAsiaTheme="minorEastAsia"/>
                <w:color w:val="auto"/>
                <w:w w:val="99"/>
                <w:szCs w:val="21"/>
                <w:highlight w:val="none"/>
                <w:vertAlign w:val="subscript"/>
              </w:rPr>
              <w:t>d</w:t>
            </w:r>
            <w:r>
              <w:rPr>
                <w:rFonts w:ascii="Times New Roman" w:hAnsi="Times New Roman" w:eastAsiaTheme="minorEastAsia"/>
                <w:color w:val="auto"/>
                <w:w w:val="99"/>
                <w:szCs w:val="21"/>
                <w:highlight w:val="none"/>
              </w:rPr>
              <w:t>）、夜间等效声级（L</w:t>
            </w:r>
            <w:r>
              <w:rPr>
                <w:rFonts w:ascii="Times New Roman" w:hAnsi="Times New Roman" w:eastAsiaTheme="minorEastAsia"/>
                <w:color w:val="auto"/>
                <w:w w:val="99"/>
                <w:szCs w:val="21"/>
                <w:highlight w:val="none"/>
                <w:vertAlign w:val="subscript"/>
              </w:rPr>
              <w:t>n</w:t>
            </w:r>
            <w:r>
              <w:rPr>
                <w:rFonts w:ascii="Times New Roman" w:hAnsi="Times New Roman" w:eastAsiaTheme="minorEastAsia"/>
                <w:color w:val="auto"/>
                <w:w w:val="99"/>
                <w:szCs w:val="21"/>
                <w:highlight w:val="none"/>
              </w:rPr>
              <w:t>）</w:t>
            </w:r>
          </w:p>
        </w:tc>
      </w:tr>
      <w:tr w14:paraId="09FB3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0" w:type="pct"/>
            <w:vMerge w:val="continue"/>
            <w:vAlign w:val="center"/>
          </w:tcPr>
          <w:p w14:paraId="7D1987BD">
            <w:pPr>
              <w:pStyle w:val="42"/>
              <w:spacing w:line="310" w:lineRule="exact"/>
              <w:jc w:val="center"/>
              <w:rPr>
                <w:rFonts w:ascii="Times New Roman" w:hAnsi="Times New Roman" w:eastAsiaTheme="minorEastAsia"/>
                <w:color w:val="auto"/>
                <w:w w:val="99"/>
                <w:szCs w:val="21"/>
                <w:highlight w:val="none"/>
              </w:rPr>
            </w:pPr>
          </w:p>
        </w:tc>
        <w:tc>
          <w:tcPr>
            <w:tcW w:w="312" w:type="pct"/>
            <w:vAlign w:val="center"/>
          </w:tcPr>
          <w:p w14:paraId="57795C83">
            <w:pPr>
              <w:pStyle w:val="42"/>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运营期</w:t>
            </w:r>
          </w:p>
        </w:tc>
        <w:tc>
          <w:tcPr>
            <w:tcW w:w="468" w:type="pct"/>
            <w:vAlign w:val="center"/>
          </w:tcPr>
          <w:p w14:paraId="65DEFB5C">
            <w:pPr>
              <w:pStyle w:val="42"/>
              <w:spacing w:line="310" w:lineRule="exact"/>
              <w:jc w:val="both"/>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SO</w:t>
            </w:r>
            <w:r>
              <w:rPr>
                <w:rFonts w:ascii="Times New Roman" w:hAnsi="Times New Roman" w:eastAsiaTheme="minorEastAsia"/>
                <w:color w:val="auto"/>
                <w:w w:val="99"/>
                <w:szCs w:val="21"/>
                <w:highlight w:val="none"/>
                <w:vertAlign w:val="subscript"/>
              </w:rPr>
              <w:t>2</w:t>
            </w:r>
            <w:r>
              <w:rPr>
                <w:rFonts w:ascii="Times New Roman" w:hAnsi="Times New Roman" w:eastAsiaTheme="minorEastAsia"/>
                <w:color w:val="auto"/>
                <w:w w:val="99"/>
                <w:szCs w:val="21"/>
                <w:highlight w:val="none"/>
              </w:rPr>
              <w:t>、NO</w:t>
            </w:r>
            <w:r>
              <w:rPr>
                <w:rFonts w:ascii="Times New Roman" w:hAnsi="Times New Roman" w:eastAsiaTheme="minorEastAsia"/>
                <w:color w:val="auto"/>
                <w:w w:val="99"/>
                <w:szCs w:val="21"/>
                <w:highlight w:val="none"/>
                <w:vertAlign w:val="subscript"/>
              </w:rPr>
              <w:t>X</w:t>
            </w:r>
            <w:r>
              <w:rPr>
                <w:rFonts w:ascii="Times New Roman" w:hAnsi="Times New Roman" w:eastAsiaTheme="minorEastAsia"/>
                <w:color w:val="auto"/>
                <w:w w:val="99"/>
                <w:szCs w:val="21"/>
                <w:highlight w:val="none"/>
              </w:rPr>
              <w:t>、颗粒物</w:t>
            </w:r>
            <w:r>
              <w:rPr>
                <w:rFonts w:hint="eastAsia" w:ascii="Times New Roman" w:hAnsi="Times New Roman" w:eastAsiaTheme="minorEastAsia"/>
                <w:color w:val="auto"/>
                <w:w w:val="99"/>
                <w:szCs w:val="21"/>
                <w:highlight w:val="none"/>
              </w:rPr>
              <w:t>、</w:t>
            </w:r>
          </w:p>
          <w:p w14:paraId="365DD63C">
            <w:pPr>
              <w:pStyle w:val="42"/>
              <w:spacing w:line="310" w:lineRule="exact"/>
              <w:jc w:val="both"/>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非甲烷总烃</w:t>
            </w:r>
          </w:p>
        </w:tc>
        <w:tc>
          <w:tcPr>
            <w:tcW w:w="936" w:type="pct"/>
            <w:vAlign w:val="center"/>
          </w:tcPr>
          <w:p w14:paraId="48F07F28">
            <w:pPr>
              <w:pStyle w:val="42"/>
              <w:spacing w:line="310" w:lineRule="exact"/>
              <w:jc w:val="both"/>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pH 值、悬浮物、COD、BOD</w:t>
            </w:r>
            <w:r>
              <w:rPr>
                <w:rFonts w:ascii="Times New Roman" w:hAnsi="Times New Roman" w:eastAsiaTheme="minorEastAsia"/>
                <w:color w:val="auto"/>
                <w:w w:val="99"/>
                <w:szCs w:val="21"/>
                <w:highlight w:val="none"/>
                <w:vertAlign w:val="subscript"/>
              </w:rPr>
              <w:t>5</w:t>
            </w:r>
            <w:r>
              <w:rPr>
                <w:rFonts w:ascii="Times New Roman" w:hAnsi="Times New Roman" w:eastAsiaTheme="minorEastAsia"/>
                <w:color w:val="auto"/>
                <w:w w:val="99"/>
                <w:szCs w:val="21"/>
                <w:highlight w:val="none"/>
              </w:rPr>
              <w:t>、氨氮、总磷、石油类、挥发酚、硫化物、阴离子表面活性剂、汞、总铬、六价铬、镉、砷、镍、铅</w:t>
            </w:r>
            <w:r>
              <w:rPr>
                <w:rFonts w:hint="eastAsia" w:ascii="Times New Roman" w:hAnsi="Times New Roman" w:eastAsiaTheme="minorEastAsia"/>
                <w:color w:val="auto"/>
                <w:w w:val="99"/>
                <w:szCs w:val="21"/>
                <w:highlight w:val="none"/>
              </w:rPr>
              <w:t>、高锰酸盐指数</w:t>
            </w:r>
          </w:p>
        </w:tc>
        <w:tc>
          <w:tcPr>
            <w:tcW w:w="704" w:type="pct"/>
            <w:vAlign w:val="center"/>
          </w:tcPr>
          <w:p w14:paraId="4D4B06AF">
            <w:pPr>
              <w:pStyle w:val="42"/>
              <w:spacing w:line="310" w:lineRule="exact"/>
              <w:jc w:val="both"/>
              <w:rPr>
                <w:rFonts w:ascii="Times New Roman" w:hAnsi="Times New Roman" w:eastAsiaTheme="minorEastAsia"/>
                <w:color w:val="auto"/>
                <w:w w:val="99"/>
                <w:kern w:val="0"/>
                <w:szCs w:val="21"/>
                <w:highlight w:val="none"/>
              </w:rPr>
            </w:pPr>
            <w:r>
              <w:rPr>
                <w:rFonts w:ascii="Times New Roman" w:hAnsi="Times New Roman" w:eastAsiaTheme="minorEastAsia"/>
                <w:color w:val="auto"/>
                <w:w w:val="99"/>
                <w:szCs w:val="21"/>
                <w:highlight w:val="none"/>
              </w:rPr>
              <w:t>pH值、挥发酚、耗氧量、氨氮、硫化物、氯化物、石油类、总硬度、溶解性总固体、钡、汞、砷、六价铬等</w:t>
            </w:r>
          </w:p>
        </w:tc>
        <w:tc>
          <w:tcPr>
            <w:tcW w:w="704" w:type="pct"/>
            <w:vAlign w:val="center"/>
          </w:tcPr>
          <w:p w14:paraId="524C49A8">
            <w:pPr>
              <w:pStyle w:val="42"/>
              <w:spacing w:line="310" w:lineRule="exact"/>
              <w:jc w:val="both"/>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pH值、石油类、石油烃（C</w:t>
            </w:r>
            <w:r>
              <w:rPr>
                <w:rFonts w:ascii="Times New Roman" w:hAnsi="Times New Roman" w:eastAsiaTheme="minorEastAsia"/>
                <w:color w:val="auto"/>
                <w:w w:val="99"/>
                <w:szCs w:val="21"/>
                <w:highlight w:val="none"/>
                <w:vertAlign w:val="subscript"/>
              </w:rPr>
              <w:t>6</w:t>
            </w:r>
            <w:r>
              <w:rPr>
                <w:rFonts w:ascii="Times New Roman" w:hAnsi="Times New Roman" w:eastAsiaTheme="minorEastAsia"/>
                <w:color w:val="auto"/>
                <w:w w:val="99"/>
                <w:szCs w:val="21"/>
                <w:highlight w:val="none"/>
              </w:rPr>
              <w:t>~C</w:t>
            </w:r>
            <w:r>
              <w:rPr>
                <w:rFonts w:ascii="Times New Roman" w:hAnsi="Times New Roman" w:eastAsiaTheme="minorEastAsia"/>
                <w:color w:val="auto"/>
                <w:w w:val="99"/>
                <w:szCs w:val="21"/>
                <w:highlight w:val="none"/>
                <w:vertAlign w:val="subscript"/>
              </w:rPr>
              <w:t>9</w:t>
            </w:r>
            <w:r>
              <w:rPr>
                <w:rFonts w:ascii="Times New Roman" w:hAnsi="Times New Roman" w:eastAsiaTheme="minorEastAsia"/>
                <w:color w:val="auto"/>
                <w:w w:val="99"/>
                <w:szCs w:val="21"/>
                <w:highlight w:val="none"/>
              </w:rPr>
              <w:t>）、石油烃</w:t>
            </w:r>
          </w:p>
          <w:p w14:paraId="53B282F4">
            <w:pPr>
              <w:pStyle w:val="42"/>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（C</w:t>
            </w:r>
            <w:r>
              <w:rPr>
                <w:rFonts w:ascii="Times New Roman" w:hAnsi="Times New Roman" w:eastAsiaTheme="minorEastAsia"/>
                <w:color w:val="auto"/>
                <w:w w:val="99"/>
                <w:szCs w:val="21"/>
                <w:highlight w:val="none"/>
                <w:vertAlign w:val="subscript"/>
              </w:rPr>
              <w:t>10</w:t>
            </w:r>
            <w:r>
              <w:rPr>
                <w:rFonts w:ascii="Times New Roman" w:hAnsi="Times New Roman" w:eastAsiaTheme="minorEastAsia"/>
                <w:color w:val="auto"/>
                <w:w w:val="99"/>
                <w:szCs w:val="21"/>
                <w:highlight w:val="none"/>
              </w:rPr>
              <w:t>~C</w:t>
            </w:r>
            <w:r>
              <w:rPr>
                <w:rFonts w:ascii="Times New Roman" w:hAnsi="Times New Roman" w:eastAsiaTheme="minorEastAsia"/>
                <w:color w:val="auto"/>
                <w:w w:val="99"/>
                <w:szCs w:val="21"/>
                <w:highlight w:val="none"/>
                <w:vertAlign w:val="subscript"/>
              </w:rPr>
              <w:t>40</w:t>
            </w:r>
            <w:r>
              <w:rPr>
                <w:rFonts w:ascii="Times New Roman" w:hAnsi="Times New Roman" w:eastAsiaTheme="minorEastAsia"/>
                <w:color w:val="auto"/>
                <w:w w:val="99"/>
                <w:szCs w:val="21"/>
                <w:highlight w:val="none"/>
              </w:rPr>
              <w:t>）、汞、砷、六价铬、土壤盐分含量等</w:t>
            </w:r>
          </w:p>
        </w:tc>
        <w:tc>
          <w:tcPr>
            <w:tcW w:w="782" w:type="pct"/>
            <w:vAlign w:val="center"/>
          </w:tcPr>
          <w:p w14:paraId="0256AB14">
            <w:pPr>
              <w:pStyle w:val="42"/>
              <w:spacing w:line="310" w:lineRule="exact"/>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土壤肥力</w:t>
            </w:r>
          </w:p>
          <w:p w14:paraId="51EDC8F9">
            <w:pPr>
              <w:pStyle w:val="42"/>
              <w:spacing w:line="310" w:lineRule="exact"/>
              <w:jc w:val="both"/>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、生物多样性、生态系统完整性</w:t>
            </w:r>
          </w:p>
        </w:tc>
        <w:tc>
          <w:tcPr>
            <w:tcW w:w="699" w:type="pct"/>
            <w:vAlign w:val="center"/>
          </w:tcPr>
          <w:p w14:paraId="2A43E6D5">
            <w:pPr>
              <w:pStyle w:val="42"/>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昼间等效声级（L</w:t>
            </w:r>
            <w:r>
              <w:rPr>
                <w:rFonts w:ascii="Times New Roman" w:hAnsi="Times New Roman" w:eastAsiaTheme="minorEastAsia"/>
                <w:color w:val="auto"/>
                <w:w w:val="99"/>
                <w:szCs w:val="21"/>
                <w:highlight w:val="none"/>
                <w:vertAlign w:val="subscript"/>
              </w:rPr>
              <w:t>d</w:t>
            </w:r>
            <w:r>
              <w:rPr>
                <w:rFonts w:ascii="Times New Roman" w:hAnsi="Times New Roman" w:eastAsiaTheme="minorEastAsia"/>
                <w:color w:val="auto"/>
                <w:w w:val="99"/>
                <w:szCs w:val="21"/>
                <w:highlight w:val="none"/>
              </w:rPr>
              <w:t>）、夜间等效声级（L</w:t>
            </w:r>
            <w:r>
              <w:rPr>
                <w:rFonts w:ascii="Times New Roman" w:hAnsi="Times New Roman" w:eastAsiaTheme="minorEastAsia"/>
                <w:color w:val="auto"/>
                <w:w w:val="99"/>
                <w:szCs w:val="21"/>
                <w:highlight w:val="none"/>
                <w:vertAlign w:val="subscript"/>
              </w:rPr>
              <w:t>n</w:t>
            </w:r>
            <w:r>
              <w:rPr>
                <w:rFonts w:ascii="Times New Roman" w:hAnsi="Times New Roman" w:eastAsiaTheme="minorEastAsia"/>
                <w:color w:val="auto"/>
                <w:w w:val="99"/>
                <w:szCs w:val="21"/>
                <w:highlight w:val="none"/>
              </w:rPr>
              <w:t>）</w:t>
            </w:r>
          </w:p>
        </w:tc>
      </w:tr>
    </w:tbl>
    <w:p w14:paraId="04DA94E3">
      <w:pPr>
        <w:pStyle w:val="153"/>
        <w:widowControl w:val="0"/>
        <w:spacing w:line="440" w:lineRule="exact"/>
        <w:ind w:firstLine="474"/>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表2.5-4    生态影响评价因子筛选表</w:t>
      </w:r>
    </w:p>
    <w:tbl>
      <w:tblPr>
        <w:tblStyle w:val="81"/>
        <w:tblW w:w="49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1"/>
        <w:gridCol w:w="985"/>
        <w:gridCol w:w="1979"/>
        <w:gridCol w:w="1042"/>
        <w:gridCol w:w="645"/>
        <w:gridCol w:w="853"/>
        <w:gridCol w:w="657"/>
        <w:gridCol w:w="592"/>
        <w:gridCol w:w="853"/>
        <w:gridCol w:w="657"/>
        <w:gridCol w:w="543"/>
      </w:tblGrid>
      <w:tr w14:paraId="23CE3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restart"/>
            <w:vAlign w:val="center"/>
          </w:tcPr>
          <w:p w14:paraId="508E8B13">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受影响对象</w:t>
            </w:r>
          </w:p>
        </w:tc>
        <w:tc>
          <w:tcPr>
            <w:tcW w:w="531" w:type="pct"/>
            <w:vMerge w:val="restart"/>
            <w:vAlign w:val="center"/>
          </w:tcPr>
          <w:p w14:paraId="077A441A">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评价因子</w:t>
            </w:r>
          </w:p>
        </w:tc>
        <w:tc>
          <w:tcPr>
            <w:tcW w:w="1977" w:type="pct"/>
            <w:gridSpan w:val="3"/>
            <w:vAlign w:val="center"/>
          </w:tcPr>
          <w:p w14:paraId="78935802">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施工期</w:t>
            </w:r>
          </w:p>
        </w:tc>
        <w:tc>
          <w:tcPr>
            <w:tcW w:w="1133" w:type="pct"/>
            <w:gridSpan w:val="3"/>
            <w:vAlign w:val="center"/>
          </w:tcPr>
          <w:p w14:paraId="47A43844">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运营期</w:t>
            </w:r>
          </w:p>
        </w:tc>
        <w:tc>
          <w:tcPr>
            <w:tcW w:w="1107" w:type="pct"/>
            <w:gridSpan w:val="3"/>
            <w:vAlign w:val="center"/>
          </w:tcPr>
          <w:p w14:paraId="020F6625">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退役期</w:t>
            </w:r>
          </w:p>
        </w:tc>
      </w:tr>
      <w:tr w14:paraId="33E80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continue"/>
            <w:vAlign w:val="center"/>
          </w:tcPr>
          <w:p w14:paraId="399265C4">
            <w:pPr>
              <w:pStyle w:val="42"/>
              <w:spacing w:line="320" w:lineRule="exact"/>
              <w:jc w:val="center"/>
              <w:rPr>
                <w:rFonts w:ascii="Times New Roman" w:hAnsi="Times New Roman" w:eastAsiaTheme="minorEastAsia"/>
                <w:color w:val="auto"/>
                <w:w w:val="99"/>
                <w:szCs w:val="21"/>
                <w:highlight w:val="none"/>
              </w:rPr>
            </w:pPr>
          </w:p>
        </w:tc>
        <w:tc>
          <w:tcPr>
            <w:tcW w:w="531" w:type="pct"/>
            <w:vMerge w:val="continue"/>
            <w:vAlign w:val="center"/>
          </w:tcPr>
          <w:p w14:paraId="4056E10D">
            <w:pPr>
              <w:pStyle w:val="42"/>
              <w:spacing w:line="320" w:lineRule="exact"/>
              <w:jc w:val="center"/>
              <w:rPr>
                <w:rFonts w:ascii="Times New Roman" w:hAnsi="Times New Roman" w:eastAsiaTheme="minorEastAsia"/>
                <w:color w:val="auto"/>
                <w:w w:val="99"/>
                <w:szCs w:val="21"/>
                <w:highlight w:val="none"/>
              </w:rPr>
            </w:pPr>
          </w:p>
        </w:tc>
        <w:tc>
          <w:tcPr>
            <w:tcW w:w="1067" w:type="pct"/>
            <w:vAlign w:val="center"/>
          </w:tcPr>
          <w:p w14:paraId="6004892F">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工程内容及影响方式</w:t>
            </w:r>
          </w:p>
        </w:tc>
        <w:tc>
          <w:tcPr>
            <w:tcW w:w="562" w:type="pct"/>
            <w:vAlign w:val="center"/>
          </w:tcPr>
          <w:p w14:paraId="290FCBA2">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影响性质</w:t>
            </w:r>
          </w:p>
        </w:tc>
        <w:tc>
          <w:tcPr>
            <w:tcW w:w="347" w:type="pct"/>
            <w:vAlign w:val="center"/>
          </w:tcPr>
          <w:p w14:paraId="5E03CD7B">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影响程度</w:t>
            </w:r>
          </w:p>
        </w:tc>
        <w:tc>
          <w:tcPr>
            <w:tcW w:w="460" w:type="pct"/>
            <w:vAlign w:val="center"/>
          </w:tcPr>
          <w:p w14:paraId="52EEDA66">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工程内容及影响方式</w:t>
            </w:r>
          </w:p>
        </w:tc>
        <w:tc>
          <w:tcPr>
            <w:tcW w:w="354" w:type="pct"/>
            <w:vAlign w:val="center"/>
          </w:tcPr>
          <w:p w14:paraId="303D586B">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影响性质</w:t>
            </w:r>
          </w:p>
        </w:tc>
        <w:tc>
          <w:tcPr>
            <w:tcW w:w="318" w:type="pct"/>
            <w:vAlign w:val="center"/>
          </w:tcPr>
          <w:p w14:paraId="3C75C0C9">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影响程度</w:t>
            </w:r>
          </w:p>
        </w:tc>
        <w:tc>
          <w:tcPr>
            <w:tcW w:w="460" w:type="pct"/>
            <w:vAlign w:val="center"/>
          </w:tcPr>
          <w:p w14:paraId="0C71B68A">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工程内容及影响方式</w:t>
            </w:r>
          </w:p>
        </w:tc>
        <w:tc>
          <w:tcPr>
            <w:tcW w:w="354" w:type="pct"/>
            <w:vAlign w:val="center"/>
          </w:tcPr>
          <w:p w14:paraId="0174859B">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影响性质</w:t>
            </w:r>
          </w:p>
        </w:tc>
        <w:tc>
          <w:tcPr>
            <w:tcW w:w="292" w:type="pct"/>
            <w:vAlign w:val="center"/>
          </w:tcPr>
          <w:p w14:paraId="6E364AFF">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影响程度</w:t>
            </w:r>
          </w:p>
        </w:tc>
      </w:tr>
      <w:tr w14:paraId="7FFBF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restart"/>
            <w:vAlign w:val="center"/>
          </w:tcPr>
          <w:p w14:paraId="6692B57B">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物种</w:t>
            </w:r>
          </w:p>
        </w:tc>
        <w:tc>
          <w:tcPr>
            <w:tcW w:w="531" w:type="pct"/>
            <w:vMerge w:val="restart"/>
            <w:vAlign w:val="center"/>
          </w:tcPr>
          <w:p w14:paraId="25491A89">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分布范围、种群数量、种群结构</w:t>
            </w:r>
          </w:p>
        </w:tc>
        <w:tc>
          <w:tcPr>
            <w:tcW w:w="1067" w:type="pct"/>
            <w:vAlign w:val="center"/>
          </w:tcPr>
          <w:p w14:paraId="008BAE00">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井场、</w:t>
            </w:r>
            <w:r>
              <w:rPr>
                <w:rFonts w:hint="eastAsia" w:ascii="Times New Roman" w:hAnsi="Times New Roman" w:eastAsiaTheme="minorEastAsia"/>
                <w:color w:val="auto"/>
                <w:w w:val="99"/>
                <w:szCs w:val="21"/>
                <w:highlight w:val="none"/>
              </w:rPr>
              <w:t>放空池、改建站场、新建道路永久占地产生的直接影响、间接生态影响</w:t>
            </w:r>
          </w:p>
        </w:tc>
        <w:tc>
          <w:tcPr>
            <w:tcW w:w="562" w:type="pct"/>
            <w:vAlign w:val="center"/>
          </w:tcPr>
          <w:p w14:paraId="099EDA45">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永久占地长期不可逆</w:t>
            </w:r>
          </w:p>
        </w:tc>
        <w:tc>
          <w:tcPr>
            <w:tcW w:w="347" w:type="pct"/>
            <w:vAlign w:val="center"/>
          </w:tcPr>
          <w:p w14:paraId="2E28393F">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中</w:t>
            </w:r>
          </w:p>
        </w:tc>
        <w:tc>
          <w:tcPr>
            <w:tcW w:w="460" w:type="pct"/>
            <w:vMerge w:val="restart"/>
            <w:vAlign w:val="center"/>
          </w:tcPr>
          <w:p w14:paraId="5829035C">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工程运行噪声导致的直接影响</w:t>
            </w:r>
          </w:p>
        </w:tc>
        <w:tc>
          <w:tcPr>
            <w:tcW w:w="354" w:type="pct"/>
            <w:vMerge w:val="restart"/>
            <w:vAlign w:val="center"/>
          </w:tcPr>
          <w:p w14:paraId="3872BDF8">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长期影响</w:t>
            </w:r>
          </w:p>
        </w:tc>
        <w:tc>
          <w:tcPr>
            <w:tcW w:w="318" w:type="pct"/>
            <w:vMerge w:val="restart"/>
            <w:vAlign w:val="center"/>
          </w:tcPr>
          <w:p w14:paraId="24EEB7A6">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弱</w:t>
            </w:r>
          </w:p>
        </w:tc>
        <w:tc>
          <w:tcPr>
            <w:tcW w:w="460" w:type="pct"/>
            <w:vMerge w:val="restart"/>
            <w:vAlign w:val="center"/>
          </w:tcPr>
          <w:p w14:paraId="75082C00">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临时占地、施工活动导致的直接影响</w:t>
            </w:r>
          </w:p>
        </w:tc>
        <w:tc>
          <w:tcPr>
            <w:tcW w:w="354" w:type="pct"/>
            <w:vMerge w:val="restart"/>
            <w:vAlign w:val="center"/>
          </w:tcPr>
          <w:p w14:paraId="558CEDE4">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短期影响</w:t>
            </w:r>
          </w:p>
        </w:tc>
        <w:tc>
          <w:tcPr>
            <w:tcW w:w="292" w:type="pct"/>
            <w:vMerge w:val="restart"/>
            <w:vAlign w:val="center"/>
          </w:tcPr>
          <w:p w14:paraId="1A8F2144">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弱</w:t>
            </w:r>
          </w:p>
        </w:tc>
      </w:tr>
      <w:tr w14:paraId="45EC0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continue"/>
            <w:vAlign w:val="center"/>
          </w:tcPr>
          <w:p w14:paraId="7FE2F1E2">
            <w:pPr>
              <w:pStyle w:val="42"/>
              <w:spacing w:line="320" w:lineRule="exact"/>
              <w:jc w:val="center"/>
              <w:rPr>
                <w:rFonts w:ascii="Times New Roman" w:hAnsi="Times New Roman" w:eastAsiaTheme="minorEastAsia"/>
                <w:color w:val="auto"/>
                <w:w w:val="99"/>
                <w:szCs w:val="21"/>
                <w:highlight w:val="none"/>
              </w:rPr>
            </w:pPr>
          </w:p>
        </w:tc>
        <w:tc>
          <w:tcPr>
            <w:tcW w:w="531" w:type="pct"/>
            <w:vMerge w:val="continue"/>
            <w:vAlign w:val="center"/>
          </w:tcPr>
          <w:p w14:paraId="406671BF">
            <w:pPr>
              <w:pStyle w:val="42"/>
              <w:spacing w:line="320" w:lineRule="exact"/>
              <w:jc w:val="center"/>
              <w:rPr>
                <w:rFonts w:ascii="Times New Roman" w:hAnsi="Times New Roman" w:eastAsiaTheme="minorEastAsia"/>
                <w:color w:val="auto"/>
                <w:w w:val="99"/>
                <w:szCs w:val="21"/>
                <w:highlight w:val="none"/>
              </w:rPr>
            </w:pPr>
          </w:p>
        </w:tc>
        <w:tc>
          <w:tcPr>
            <w:tcW w:w="1067" w:type="pct"/>
            <w:vAlign w:val="center"/>
          </w:tcPr>
          <w:p w14:paraId="352695F6">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管线开挖过程临时占地产生的直接影响</w:t>
            </w:r>
          </w:p>
        </w:tc>
        <w:tc>
          <w:tcPr>
            <w:tcW w:w="562" w:type="pct"/>
            <w:vAlign w:val="center"/>
          </w:tcPr>
          <w:p w14:paraId="2453D596">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临时占地短期可逆</w:t>
            </w:r>
          </w:p>
        </w:tc>
        <w:tc>
          <w:tcPr>
            <w:tcW w:w="347" w:type="pct"/>
            <w:vAlign w:val="center"/>
          </w:tcPr>
          <w:p w14:paraId="3F359F74">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弱</w:t>
            </w:r>
          </w:p>
        </w:tc>
        <w:tc>
          <w:tcPr>
            <w:tcW w:w="460" w:type="pct"/>
            <w:vMerge w:val="continue"/>
            <w:vAlign w:val="center"/>
          </w:tcPr>
          <w:p w14:paraId="0732F551">
            <w:pPr>
              <w:pStyle w:val="42"/>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48F9E58A">
            <w:pPr>
              <w:pStyle w:val="42"/>
              <w:spacing w:line="320" w:lineRule="exact"/>
              <w:jc w:val="center"/>
              <w:rPr>
                <w:rFonts w:ascii="Times New Roman" w:hAnsi="Times New Roman" w:eastAsiaTheme="minorEastAsia"/>
                <w:color w:val="auto"/>
                <w:w w:val="99"/>
                <w:szCs w:val="21"/>
                <w:highlight w:val="none"/>
              </w:rPr>
            </w:pPr>
          </w:p>
        </w:tc>
        <w:tc>
          <w:tcPr>
            <w:tcW w:w="318" w:type="pct"/>
            <w:vMerge w:val="continue"/>
            <w:vAlign w:val="center"/>
          </w:tcPr>
          <w:p w14:paraId="35E7B30E">
            <w:pPr>
              <w:pStyle w:val="42"/>
              <w:spacing w:line="320" w:lineRule="exact"/>
              <w:jc w:val="center"/>
              <w:rPr>
                <w:rFonts w:ascii="Times New Roman" w:hAnsi="Times New Roman" w:eastAsiaTheme="minorEastAsia"/>
                <w:color w:val="auto"/>
                <w:w w:val="99"/>
                <w:szCs w:val="21"/>
                <w:highlight w:val="none"/>
              </w:rPr>
            </w:pPr>
          </w:p>
        </w:tc>
        <w:tc>
          <w:tcPr>
            <w:tcW w:w="460" w:type="pct"/>
            <w:vMerge w:val="continue"/>
            <w:vAlign w:val="center"/>
          </w:tcPr>
          <w:p w14:paraId="14CCE459">
            <w:pPr>
              <w:pStyle w:val="42"/>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1360F005">
            <w:pPr>
              <w:pStyle w:val="42"/>
              <w:spacing w:line="320" w:lineRule="exact"/>
              <w:jc w:val="center"/>
              <w:rPr>
                <w:rFonts w:ascii="Times New Roman" w:hAnsi="Times New Roman" w:eastAsiaTheme="minorEastAsia"/>
                <w:color w:val="auto"/>
                <w:w w:val="99"/>
                <w:szCs w:val="21"/>
                <w:highlight w:val="none"/>
              </w:rPr>
            </w:pPr>
          </w:p>
        </w:tc>
        <w:tc>
          <w:tcPr>
            <w:tcW w:w="292" w:type="pct"/>
            <w:vMerge w:val="continue"/>
            <w:vAlign w:val="center"/>
          </w:tcPr>
          <w:p w14:paraId="08E4A073">
            <w:pPr>
              <w:pStyle w:val="42"/>
              <w:spacing w:line="320" w:lineRule="exact"/>
              <w:jc w:val="center"/>
              <w:rPr>
                <w:rFonts w:ascii="Times New Roman" w:hAnsi="Times New Roman" w:eastAsiaTheme="minorEastAsia"/>
                <w:color w:val="auto"/>
                <w:w w:val="99"/>
                <w:szCs w:val="21"/>
                <w:highlight w:val="none"/>
              </w:rPr>
            </w:pPr>
          </w:p>
        </w:tc>
      </w:tr>
      <w:tr w14:paraId="02DFD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restart"/>
            <w:vAlign w:val="center"/>
          </w:tcPr>
          <w:p w14:paraId="0B6869EB">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生境</w:t>
            </w:r>
          </w:p>
        </w:tc>
        <w:tc>
          <w:tcPr>
            <w:tcW w:w="531" w:type="pct"/>
            <w:vMerge w:val="restart"/>
            <w:vAlign w:val="center"/>
          </w:tcPr>
          <w:p w14:paraId="3FB41C5C">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生境面积、质量、连通性</w:t>
            </w:r>
          </w:p>
        </w:tc>
        <w:tc>
          <w:tcPr>
            <w:tcW w:w="1979" w:type="dxa"/>
            <w:vAlign w:val="center"/>
          </w:tcPr>
          <w:p w14:paraId="7BB0D3E7">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井场、</w:t>
            </w:r>
            <w:r>
              <w:rPr>
                <w:rFonts w:hint="eastAsia" w:ascii="Times New Roman" w:hAnsi="Times New Roman" w:eastAsiaTheme="minorEastAsia"/>
                <w:color w:val="auto"/>
                <w:w w:val="99"/>
                <w:szCs w:val="21"/>
                <w:highlight w:val="none"/>
              </w:rPr>
              <w:t>放空池、改建站场、新建道路永久占地产生的直接影响、间接生态影响</w:t>
            </w:r>
          </w:p>
        </w:tc>
        <w:tc>
          <w:tcPr>
            <w:tcW w:w="562" w:type="pct"/>
            <w:vAlign w:val="center"/>
          </w:tcPr>
          <w:p w14:paraId="49BE46FE">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永久占地长期不可逆</w:t>
            </w:r>
          </w:p>
        </w:tc>
        <w:tc>
          <w:tcPr>
            <w:tcW w:w="347" w:type="pct"/>
            <w:vAlign w:val="center"/>
          </w:tcPr>
          <w:p w14:paraId="23B664B4">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中</w:t>
            </w:r>
          </w:p>
        </w:tc>
        <w:tc>
          <w:tcPr>
            <w:tcW w:w="460" w:type="pct"/>
            <w:vMerge w:val="restart"/>
            <w:vAlign w:val="center"/>
          </w:tcPr>
          <w:p w14:paraId="27420C7B">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永久占地导致的直接影响</w:t>
            </w:r>
          </w:p>
        </w:tc>
        <w:tc>
          <w:tcPr>
            <w:tcW w:w="354" w:type="pct"/>
            <w:vMerge w:val="restart"/>
            <w:vAlign w:val="center"/>
          </w:tcPr>
          <w:p w14:paraId="2BE5A247">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长期影响</w:t>
            </w:r>
          </w:p>
        </w:tc>
        <w:tc>
          <w:tcPr>
            <w:tcW w:w="318" w:type="pct"/>
            <w:vMerge w:val="restart"/>
            <w:vAlign w:val="center"/>
          </w:tcPr>
          <w:p w14:paraId="238F3E3C">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弱</w:t>
            </w:r>
          </w:p>
        </w:tc>
        <w:tc>
          <w:tcPr>
            <w:tcW w:w="460" w:type="pct"/>
            <w:vMerge w:val="restart"/>
            <w:vAlign w:val="center"/>
          </w:tcPr>
          <w:p w14:paraId="49533F5D">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临时占地导致的直接影响</w:t>
            </w:r>
          </w:p>
        </w:tc>
        <w:tc>
          <w:tcPr>
            <w:tcW w:w="354" w:type="pct"/>
            <w:vMerge w:val="restart"/>
            <w:vAlign w:val="center"/>
          </w:tcPr>
          <w:p w14:paraId="19B2BC23">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短期影响</w:t>
            </w:r>
          </w:p>
        </w:tc>
        <w:tc>
          <w:tcPr>
            <w:tcW w:w="292" w:type="pct"/>
            <w:vMerge w:val="restart"/>
            <w:vAlign w:val="center"/>
          </w:tcPr>
          <w:p w14:paraId="78E84D06">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弱</w:t>
            </w:r>
          </w:p>
        </w:tc>
      </w:tr>
      <w:tr w14:paraId="385C7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continue"/>
            <w:vAlign w:val="center"/>
          </w:tcPr>
          <w:p w14:paraId="601C74B2">
            <w:pPr>
              <w:pStyle w:val="42"/>
              <w:spacing w:line="320" w:lineRule="exact"/>
              <w:jc w:val="center"/>
              <w:rPr>
                <w:rFonts w:ascii="Times New Roman" w:hAnsi="Times New Roman" w:eastAsiaTheme="minorEastAsia"/>
                <w:color w:val="auto"/>
                <w:w w:val="99"/>
                <w:szCs w:val="21"/>
                <w:highlight w:val="none"/>
              </w:rPr>
            </w:pPr>
          </w:p>
        </w:tc>
        <w:tc>
          <w:tcPr>
            <w:tcW w:w="531" w:type="pct"/>
            <w:vMerge w:val="continue"/>
            <w:vAlign w:val="center"/>
          </w:tcPr>
          <w:p w14:paraId="3EB5C2B5">
            <w:pPr>
              <w:pStyle w:val="42"/>
              <w:spacing w:line="320" w:lineRule="exact"/>
              <w:jc w:val="center"/>
              <w:rPr>
                <w:rFonts w:ascii="Times New Roman" w:hAnsi="Times New Roman" w:eastAsiaTheme="minorEastAsia"/>
                <w:color w:val="auto"/>
                <w:w w:val="99"/>
                <w:szCs w:val="21"/>
                <w:highlight w:val="none"/>
              </w:rPr>
            </w:pPr>
          </w:p>
        </w:tc>
        <w:tc>
          <w:tcPr>
            <w:tcW w:w="1979" w:type="dxa"/>
            <w:vAlign w:val="center"/>
          </w:tcPr>
          <w:p w14:paraId="5DFB75C4">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管线开挖过程临时占地产生的直接影响</w:t>
            </w:r>
          </w:p>
        </w:tc>
        <w:tc>
          <w:tcPr>
            <w:tcW w:w="562" w:type="pct"/>
            <w:vAlign w:val="center"/>
          </w:tcPr>
          <w:p w14:paraId="12E1BC25">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临时占地短期可逆</w:t>
            </w:r>
          </w:p>
        </w:tc>
        <w:tc>
          <w:tcPr>
            <w:tcW w:w="347" w:type="pct"/>
            <w:vAlign w:val="center"/>
          </w:tcPr>
          <w:p w14:paraId="78FB860B">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弱</w:t>
            </w:r>
          </w:p>
        </w:tc>
        <w:tc>
          <w:tcPr>
            <w:tcW w:w="460" w:type="pct"/>
            <w:vMerge w:val="continue"/>
            <w:vAlign w:val="center"/>
          </w:tcPr>
          <w:p w14:paraId="64525372">
            <w:pPr>
              <w:pStyle w:val="42"/>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45583B91">
            <w:pPr>
              <w:pStyle w:val="42"/>
              <w:spacing w:line="320" w:lineRule="exact"/>
              <w:jc w:val="center"/>
              <w:rPr>
                <w:rFonts w:ascii="Times New Roman" w:hAnsi="Times New Roman" w:eastAsiaTheme="minorEastAsia"/>
                <w:color w:val="auto"/>
                <w:w w:val="99"/>
                <w:szCs w:val="21"/>
                <w:highlight w:val="none"/>
              </w:rPr>
            </w:pPr>
          </w:p>
        </w:tc>
        <w:tc>
          <w:tcPr>
            <w:tcW w:w="318" w:type="pct"/>
            <w:vMerge w:val="continue"/>
            <w:vAlign w:val="center"/>
          </w:tcPr>
          <w:p w14:paraId="64F20CE1">
            <w:pPr>
              <w:pStyle w:val="42"/>
              <w:spacing w:line="320" w:lineRule="exact"/>
              <w:jc w:val="center"/>
              <w:rPr>
                <w:rFonts w:ascii="Times New Roman" w:hAnsi="Times New Roman" w:eastAsiaTheme="minorEastAsia"/>
                <w:color w:val="auto"/>
                <w:w w:val="99"/>
                <w:szCs w:val="21"/>
                <w:highlight w:val="none"/>
              </w:rPr>
            </w:pPr>
          </w:p>
        </w:tc>
        <w:tc>
          <w:tcPr>
            <w:tcW w:w="460" w:type="pct"/>
            <w:vMerge w:val="continue"/>
            <w:vAlign w:val="center"/>
          </w:tcPr>
          <w:p w14:paraId="34E50076">
            <w:pPr>
              <w:pStyle w:val="42"/>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504F77D9">
            <w:pPr>
              <w:pStyle w:val="42"/>
              <w:spacing w:line="320" w:lineRule="exact"/>
              <w:jc w:val="center"/>
              <w:rPr>
                <w:rFonts w:ascii="Times New Roman" w:hAnsi="Times New Roman" w:eastAsiaTheme="minorEastAsia"/>
                <w:color w:val="auto"/>
                <w:w w:val="99"/>
                <w:szCs w:val="21"/>
                <w:highlight w:val="none"/>
              </w:rPr>
            </w:pPr>
          </w:p>
        </w:tc>
        <w:tc>
          <w:tcPr>
            <w:tcW w:w="292" w:type="pct"/>
            <w:vMerge w:val="continue"/>
            <w:vAlign w:val="center"/>
          </w:tcPr>
          <w:p w14:paraId="13B59687">
            <w:pPr>
              <w:pStyle w:val="42"/>
              <w:spacing w:line="320" w:lineRule="exact"/>
              <w:jc w:val="center"/>
              <w:rPr>
                <w:rFonts w:ascii="Times New Roman" w:hAnsi="Times New Roman" w:eastAsiaTheme="minorEastAsia"/>
                <w:color w:val="auto"/>
                <w:w w:val="99"/>
                <w:szCs w:val="21"/>
                <w:highlight w:val="none"/>
              </w:rPr>
            </w:pPr>
          </w:p>
        </w:tc>
      </w:tr>
      <w:tr w14:paraId="3930A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restart"/>
            <w:vAlign w:val="center"/>
          </w:tcPr>
          <w:p w14:paraId="4DA4D183">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生物群落</w:t>
            </w:r>
          </w:p>
        </w:tc>
        <w:tc>
          <w:tcPr>
            <w:tcW w:w="531" w:type="pct"/>
            <w:vMerge w:val="restart"/>
            <w:vAlign w:val="center"/>
          </w:tcPr>
          <w:p w14:paraId="47067371">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物种组成、群落结构</w:t>
            </w:r>
          </w:p>
        </w:tc>
        <w:tc>
          <w:tcPr>
            <w:tcW w:w="1979" w:type="dxa"/>
            <w:vAlign w:val="center"/>
          </w:tcPr>
          <w:p w14:paraId="5D87A29F">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井场、</w:t>
            </w:r>
            <w:r>
              <w:rPr>
                <w:rFonts w:hint="eastAsia" w:ascii="Times New Roman" w:hAnsi="Times New Roman" w:eastAsiaTheme="minorEastAsia"/>
                <w:color w:val="auto"/>
                <w:w w:val="99"/>
                <w:szCs w:val="21"/>
                <w:highlight w:val="none"/>
              </w:rPr>
              <w:t>放空池、改建站场、新建道路永久占地产生的直接影响、间接生态影响</w:t>
            </w:r>
          </w:p>
        </w:tc>
        <w:tc>
          <w:tcPr>
            <w:tcW w:w="562" w:type="pct"/>
            <w:vAlign w:val="center"/>
          </w:tcPr>
          <w:p w14:paraId="37768F2B">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永久占地长期不可逆</w:t>
            </w:r>
          </w:p>
        </w:tc>
        <w:tc>
          <w:tcPr>
            <w:tcW w:w="347" w:type="pct"/>
            <w:vAlign w:val="center"/>
          </w:tcPr>
          <w:p w14:paraId="5A5F438E">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中</w:t>
            </w:r>
          </w:p>
        </w:tc>
        <w:tc>
          <w:tcPr>
            <w:tcW w:w="460" w:type="pct"/>
            <w:vMerge w:val="restart"/>
            <w:vAlign w:val="center"/>
          </w:tcPr>
          <w:p w14:paraId="13AF7DBF">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w:t>
            </w:r>
          </w:p>
        </w:tc>
        <w:tc>
          <w:tcPr>
            <w:tcW w:w="354" w:type="pct"/>
            <w:vMerge w:val="restart"/>
            <w:vAlign w:val="center"/>
          </w:tcPr>
          <w:p w14:paraId="4E77D616">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w:t>
            </w:r>
          </w:p>
        </w:tc>
        <w:tc>
          <w:tcPr>
            <w:tcW w:w="318" w:type="pct"/>
            <w:vMerge w:val="restart"/>
            <w:vAlign w:val="center"/>
          </w:tcPr>
          <w:p w14:paraId="665CF1B1">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w:t>
            </w:r>
          </w:p>
        </w:tc>
        <w:tc>
          <w:tcPr>
            <w:tcW w:w="460" w:type="pct"/>
            <w:vMerge w:val="restart"/>
            <w:vAlign w:val="center"/>
          </w:tcPr>
          <w:p w14:paraId="16B0FC21">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临时占地导致的直接影响</w:t>
            </w:r>
          </w:p>
        </w:tc>
        <w:tc>
          <w:tcPr>
            <w:tcW w:w="354" w:type="pct"/>
            <w:vMerge w:val="restart"/>
            <w:vAlign w:val="center"/>
          </w:tcPr>
          <w:p w14:paraId="1EC535E3">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短期影响</w:t>
            </w:r>
          </w:p>
        </w:tc>
        <w:tc>
          <w:tcPr>
            <w:tcW w:w="292" w:type="pct"/>
            <w:vMerge w:val="restart"/>
            <w:vAlign w:val="center"/>
          </w:tcPr>
          <w:p w14:paraId="0EB10C47">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弱</w:t>
            </w:r>
          </w:p>
        </w:tc>
      </w:tr>
      <w:tr w14:paraId="0116D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continue"/>
            <w:vAlign w:val="center"/>
          </w:tcPr>
          <w:p w14:paraId="1A57A6E4">
            <w:pPr>
              <w:pStyle w:val="42"/>
              <w:spacing w:line="320" w:lineRule="exact"/>
              <w:jc w:val="center"/>
              <w:rPr>
                <w:rFonts w:ascii="Times New Roman" w:hAnsi="Times New Roman" w:eastAsiaTheme="minorEastAsia"/>
                <w:color w:val="auto"/>
                <w:w w:val="99"/>
                <w:szCs w:val="21"/>
                <w:highlight w:val="none"/>
              </w:rPr>
            </w:pPr>
          </w:p>
        </w:tc>
        <w:tc>
          <w:tcPr>
            <w:tcW w:w="531" w:type="pct"/>
            <w:vMerge w:val="continue"/>
            <w:vAlign w:val="center"/>
          </w:tcPr>
          <w:p w14:paraId="2FAA349F">
            <w:pPr>
              <w:pStyle w:val="42"/>
              <w:spacing w:line="320" w:lineRule="exact"/>
              <w:jc w:val="center"/>
              <w:rPr>
                <w:rFonts w:ascii="Times New Roman" w:hAnsi="Times New Roman" w:eastAsiaTheme="minorEastAsia"/>
                <w:color w:val="auto"/>
                <w:w w:val="99"/>
                <w:szCs w:val="21"/>
                <w:highlight w:val="none"/>
              </w:rPr>
            </w:pPr>
          </w:p>
        </w:tc>
        <w:tc>
          <w:tcPr>
            <w:tcW w:w="1979" w:type="dxa"/>
            <w:vAlign w:val="center"/>
          </w:tcPr>
          <w:p w14:paraId="2FB18FA7">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管线开挖过程临时占地产生的直接影响</w:t>
            </w:r>
          </w:p>
        </w:tc>
        <w:tc>
          <w:tcPr>
            <w:tcW w:w="562" w:type="pct"/>
            <w:vAlign w:val="center"/>
          </w:tcPr>
          <w:p w14:paraId="49E0D5FB">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临时占地短期可逆</w:t>
            </w:r>
          </w:p>
        </w:tc>
        <w:tc>
          <w:tcPr>
            <w:tcW w:w="347" w:type="pct"/>
            <w:vAlign w:val="center"/>
          </w:tcPr>
          <w:p w14:paraId="517DCFA1">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弱</w:t>
            </w:r>
          </w:p>
        </w:tc>
        <w:tc>
          <w:tcPr>
            <w:tcW w:w="460" w:type="pct"/>
            <w:vMerge w:val="continue"/>
            <w:vAlign w:val="center"/>
          </w:tcPr>
          <w:p w14:paraId="62933E56">
            <w:pPr>
              <w:pStyle w:val="42"/>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45CB43D5">
            <w:pPr>
              <w:pStyle w:val="42"/>
              <w:spacing w:line="320" w:lineRule="exact"/>
              <w:jc w:val="center"/>
              <w:rPr>
                <w:rFonts w:ascii="Times New Roman" w:hAnsi="Times New Roman" w:eastAsiaTheme="minorEastAsia"/>
                <w:color w:val="auto"/>
                <w:w w:val="99"/>
                <w:szCs w:val="21"/>
                <w:highlight w:val="none"/>
              </w:rPr>
            </w:pPr>
          </w:p>
        </w:tc>
        <w:tc>
          <w:tcPr>
            <w:tcW w:w="318" w:type="pct"/>
            <w:vMerge w:val="continue"/>
            <w:vAlign w:val="center"/>
          </w:tcPr>
          <w:p w14:paraId="21F60D02">
            <w:pPr>
              <w:pStyle w:val="42"/>
              <w:spacing w:line="320" w:lineRule="exact"/>
              <w:jc w:val="center"/>
              <w:rPr>
                <w:rFonts w:ascii="Times New Roman" w:hAnsi="Times New Roman" w:eastAsiaTheme="minorEastAsia"/>
                <w:color w:val="auto"/>
                <w:w w:val="99"/>
                <w:szCs w:val="21"/>
                <w:highlight w:val="none"/>
              </w:rPr>
            </w:pPr>
          </w:p>
        </w:tc>
        <w:tc>
          <w:tcPr>
            <w:tcW w:w="460" w:type="pct"/>
            <w:vMerge w:val="continue"/>
            <w:vAlign w:val="center"/>
          </w:tcPr>
          <w:p w14:paraId="775DDC44">
            <w:pPr>
              <w:pStyle w:val="42"/>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66D81509">
            <w:pPr>
              <w:pStyle w:val="42"/>
              <w:spacing w:line="320" w:lineRule="exact"/>
              <w:jc w:val="center"/>
              <w:rPr>
                <w:rFonts w:ascii="Times New Roman" w:hAnsi="Times New Roman" w:eastAsiaTheme="minorEastAsia"/>
                <w:color w:val="auto"/>
                <w:w w:val="99"/>
                <w:szCs w:val="21"/>
                <w:highlight w:val="none"/>
              </w:rPr>
            </w:pPr>
          </w:p>
        </w:tc>
        <w:tc>
          <w:tcPr>
            <w:tcW w:w="292" w:type="pct"/>
            <w:vMerge w:val="continue"/>
            <w:vAlign w:val="center"/>
          </w:tcPr>
          <w:p w14:paraId="0AABEFB0">
            <w:pPr>
              <w:pStyle w:val="42"/>
              <w:spacing w:line="320" w:lineRule="exact"/>
              <w:jc w:val="center"/>
              <w:rPr>
                <w:rFonts w:ascii="Times New Roman" w:hAnsi="Times New Roman" w:eastAsiaTheme="minorEastAsia"/>
                <w:color w:val="auto"/>
                <w:w w:val="99"/>
                <w:szCs w:val="21"/>
                <w:highlight w:val="none"/>
              </w:rPr>
            </w:pPr>
          </w:p>
        </w:tc>
      </w:tr>
      <w:tr w14:paraId="69B3D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restart"/>
            <w:vAlign w:val="center"/>
          </w:tcPr>
          <w:p w14:paraId="6472FA9F">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生态系统</w:t>
            </w:r>
          </w:p>
        </w:tc>
        <w:tc>
          <w:tcPr>
            <w:tcW w:w="531" w:type="pct"/>
            <w:vMerge w:val="restart"/>
            <w:vAlign w:val="center"/>
          </w:tcPr>
          <w:p w14:paraId="2A058AC5">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植被覆盖度、生产力、生物量、生态系统功能</w:t>
            </w:r>
          </w:p>
        </w:tc>
        <w:tc>
          <w:tcPr>
            <w:tcW w:w="1979" w:type="dxa"/>
            <w:vAlign w:val="center"/>
          </w:tcPr>
          <w:p w14:paraId="31A960D0">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井场、</w:t>
            </w:r>
            <w:r>
              <w:rPr>
                <w:rFonts w:hint="eastAsia" w:ascii="Times New Roman" w:hAnsi="Times New Roman" w:eastAsiaTheme="minorEastAsia"/>
                <w:color w:val="auto"/>
                <w:w w:val="99"/>
                <w:szCs w:val="21"/>
                <w:highlight w:val="none"/>
              </w:rPr>
              <w:t>放空池、改建站场、新建道路永久占地产生的直接影响、间接生态影响</w:t>
            </w:r>
          </w:p>
        </w:tc>
        <w:tc>
          <w:tcPr>
            <w:tcW w:w="562" w:type="pct"/>
            <w:vAlign w:val="center"/>
          </w:tcPr>
          <w:p w14:paraId="49F3DCB6">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永久占地长期不可逆</w:t>
            </w:r>
          </w:p>
        </w:tc>
        <w:tc>
          <w:tcPr>
            <w:tcW w:w="347" w:type="pct"/>
            <w:vAlign w:val="center"/>
          </w:tcPr>
          <w:p w14:paraId="2B670118">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中</w:t>
            </w:r>
          </w:p>
        </w:tc>
        <w:tc>
          <w:tcPr>
            <w:tcW w:w="460" w:type="pct"/>
            <w:vMerge w:val="restart"/>
            <w:vAlign w:val="center"/>
          </w:tcPr>
          <w:p w14:paraId="29A1BA6E">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w:t>
            </w:r>
          </w:p>
        </w:tc>
        <w:tc>
          <w:tcPr>
            <w:tcW w:w="354" w:type="pct"/>
            <w:vMerge w:val="restart"/>
            <w:vAlign w:val="center"/>
          </w:tcPr>
          <w:p w14:paraId="3C79D717">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w:t>
            </w:r>
          </w:p>
        </w:tc>
        <w:tc>
          <w:tcPr>
            <w:tcW w:w="318" w:type="pct"/>
            <w:vMerge w:val="restart"/>
            <w:vAlign w:val="center"/>
          </w:tcPr>
          <w:p w14:paraId="293D71FC">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w:t>
            </w:r>
          </w:p>
        </w:tc>
        <w:tc>
          <w:tcPr>
            <w:tcW w:w="460" w:type="pct"/>
            <w:vMerge w:val="restart"/>
            <w:vAlign w:val="center"/>
          </w:tcPr>
          <w:p w14:paraId="354AA837">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临时占地、开挖导致的直接影响</w:t>
            </w:r>
          </w:p>
        </w:tc>
        <w:tc>
          <w:tcPr>
            <w:tcW w:w="354" w:type="pct"/>
            <w:vMerge w:val="restart"/>
            <w:vAlign w:val="center"/>
          </w:tcPr>
          <w:p w14:paraId="0C240D64">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短期影响</w:t>
            </w:r>
          </w:p>
        </w:tc>
        <w:tc>
          <w:tcPr>
            <w:tcW w:w="292" w:type="pct"/>
            <w:vMerge w:val="restart"/>
            <w:vAlign w:val="center"/>
          </w:tcPr>
          <w:p w14:paraId="5E226CC6">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弱</w:t>
            </w:r>
          </w:p>
        </w:tc>
      </w:tr>
      <w:tr w14:paraId="592E3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continue"/>
            <w:vAlign w:val="center"/>
          </w:tcPr>
          <w:p w14:paraId="327ED8D3">
            <w:pPr>
              <w:pStyle w:val="42"/>
              <w:spacing w:line="320" w:lineRule="exact"/>
              <w:jc w:val="center"/>
              <w:rPr>
                <w:rFonts w:ascii="Times New Roman" w:hAnsi="Times New Roman" w:eastAsiaTheme="minorEastAsia"/>
                <w:color w:val="auto"/>
                <w:w w:val="99"/>
                <w:szCs w:val="21"/>
                <w:highlight w:val="none"/>
              </w:rPr>
            </w:pPr>
          </w:p>
        </w:tc>
        <w:tc>
          <w:tcPr>
            <w:tcW w:w="531" w:type="pct"/>
            <w:vMerge w:val="continue"/>
            <w:vAlign w:val="center"/>
          </w:tcPr>
          <w:p w14:paraId="4750D25F">
            <w:pPr>
              <w:pStyle w:val="42"/>
              <w:spacing w:line="320" w:lineRule="exact"/>
              <w:jc w:val="center"/>
              <w:rPr>
                <w:rFonts w:ascii="Times New Roman" w:hAnsi="Times New Roman" w:eastAsiaTheme="minorEastAsia"/>
                <w:color w:val="auto"/>
                <w:w w:val="99"/>
                <w:szCs w:val="21"/>
                <w:highlight w:val="none"/>
              </w:rPr>
            </w:pPr>
          </w:p>
        </w:tc>
        <w:tc>
          <w:tcPr>
            <w:tcW w:w="1979" w:type="dxa"/>
            <w:vAlign w:val="center"/>
          </w:tcPr>
          <w:p w14:paraId="02A35770">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管线开挖过程临时占地产生的直接影响</w:t>
            </w:r>
          </w:p>
        </w:tc>
        <w:tc>
          <w:tcPr>
            <w:tcW w:w="562" w:type="pct"/>
            <w:vAlign w:val="center"/>
          </w:tcPr>
          <w:p w14:paraId="4F5E1DC2">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临时占地短期可逆</w:t>
            </w:r>
          </w:p>
        </w:tc>
        <w:tc>
          <w:tcPr>
            <w:tcW w:w="347" w:type="pct"/>
            <w:vAlign w:val="center"/>
          </w:tcPr>
          <w:p w14:paraId="68A86C8D">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弱</w:t>
            </w:r>
          </w:p>
        </w:tc>
        <w:tc>
          <w:tcPr>
            <w:tcW w:w="460" w:type="pct"/>
            <w:vMerge w:val="continue"/>
            <w:vAlign w:val="center"/>
          </w:tcPr>
          <w:p w14:paraId="20593C3C">
            <w:pPr>
              <w:pStyle w:val="42"/>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1A688990">
            <w:pPr>
              <w:pStyle w:val="42"/>
              <w:spacing w:line="320" w:lineRule="exact"/>
              <w:jc w:val="center"/>
              <w:rPr>
                <w:rFonts w:ascii="Times New Roman" w:hAnsi="Times New Roman" w:eastAsiaTheme="minorEastAsia"/>
                <w:color w:val="auto"/>
                <w:w w:val="99"/>
                <w:szCs w:val="21"/>
                <w:highlight w:val="none"/>
              </w:rPr>
            </w:pPr>
          </w:p>
        </w:tc>
        <w:tc>
          <w:tcPr>
            <w:tcW w:w="318" w:type="pct"/>
            <w:vMerge w:val="continue"/>
            <w:vAlign w:val="center"/>
          </w:tcPr>
          <w:p w14:paraId="377222E5">
            <w:pPr>
              <w:pStyle w:val="42"/>
              <w:spacing w:line="320" w:lineRule="exact"/>
              <w:jc w:val="center"/>
              <w:rPr>
                <w:rFonts w:ascii="Times New Roman" w:hAnsi="Times New Roman" w:eastAsiaTheme="minorEastAsia"/>
                <w:color w:val="auto"/>
                <w:w w:val="99"/>
                <w:szCs w:val="21"/>
                <w:highlight w:val="none"/>
              </w:rPr>
            </w:pPr>
          </w:p>
        </w:tc>
        <w:tc>
          <w:tcPr>
            <w:tcW w:w="460" w:type="pct"/>
            <w:vMerge w:val="continue"/>
            <w:vAlign w:val="center"/>
          </w:tcPr>
          <w:p w14:paraId="30B16CE8">
            <w:pPr>
              <w:pStyle w:val="42"/>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21ABBF39">
            <w:pPr>
              <w:pStyle w:val="42"/>
              <w:spacing w:line="320" w:lineRule="exact"/>
              <w:jc w:val="center"/>
              <w:rPr>
                <w:rFonts w:ascii="Times New Roman" w:hAnsi="Times New Roman" w:eastAsiaTheme="minorEastAsia"/>
                <w:color w:val="auto"/>
                <w:w w:val="99"/>
                <w:szCs w:val="21"/>
                <w:highlight w:val="none"/>
              </w:rPr>
            </w:pPr>
          </w:p>
        </w:tc>
        <w:tc>
          <w:tcPr>
            <w:tcW w:w="292" w:type="pct"/>
            <w:vMerge w:val="continue"/>
            <w:vAlign w:val="center"/>
          </w:tcPr>
          <w:p w14:paraId="54D3B75C">
            <w:pPr>
              <w:pStyle w:val="42"/>
              <w:spacing w:line="320" w:lineRule="exact"/>
              <w:jc w:val="center"/>
              <w:rPr>
                <w:rFonts w:ascii="Times New Roman" w:hAnsi="Times New Roman" w:eastAsiaTheme="minorEastAsia"/>
                <w:color w:val="auto"/>
                <w:w w:val="99"/>
                <w:szCs w:val="21"/>
                <w:highlight w:val="none"/>
              </w:rPr>
            </w:pPr>
          </w:p>
        </w:tc>
      </w:tr>
      <w:tr w14:paraId="700C2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restart"/>
            <w:vAlign w:val="center"/>
          </w:tcPr>
          <w:p w14:paraId="5C793D69">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生物多样性</w:t>
            </w:r>
          </w:p>
        </w:tc>
        <w:tc>
          <w:tcPr>
            <w:tcW w:w="531" w:type="pct"/>
            <w:vMerge w:val="restart"/>
            <w:vAlign w:val="center"/>
          </w:tcPr>
          <w:p w14:paraId="3235D58A">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物种丰富度、均匀度、优势度</w:t>
            </w:r>
          </w:p>
        </w:tc>
        <w:tc>
          <w:tcPr>
            <w:tcW w:w="1979" w:type="dxa"/>
            <w:vAlign w:val="center"/>
          </w:tcPr>
          <w:p w14:paraId="564DD44A">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井场、</w:t>
            </w:r>
            <w:r>
              <w:rPr>
                <w:rFonts w:hint="eastAsia" w:ascii="Times New Roman" w:hAnsi="Times New Roman" w:eastAsiaTheme="minorEastAsia"/>
                <w:color w:val="auto"/>
                <w:w w:val="99"/>
                <w:szCs w:val="21"/>
                <w:highlight w:val="none"/>
              </w:rPr>
              <w:t>放空池、改建站场、新建道路永久占地产生的直接影响、间接生态影响</w:t>
            </w:r>
          </w:p>
        </w:tc>
        <w:tc>
          <w:tcPr>
            <w:tcW w:w="562" w:type="pct"/>
            <w:vAlign w:val="center"/>
          </w:tcPr>
          <w:p w14:paraId="02D60DD4">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永久占地长期不可逆</w:t>
            </w:r>
          </w:p>
        </w:tc>
        <w:tc>
          <w:tcPr>
            <w:tcW w:w="347" w:type="pct"/>
            <w:vAlign w:val="center"/>
          </w:tcPr>
          <w:p w14:paraId="68DD238D">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中</w:t>
            </w:r>
          </w:p>
        </w:tc>
        <w:tc>
          <w:tcPr>
            <w:tcW w:w="460" w:type="pct"/>
            <w:vMerge w:val="restart"/>
            <w:vAlign w:val="center"/>
          </w:tcPr>
          <w:p w14:paraId="06A9D882">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w:t>
            </w:r>
          </w:p>
        </w:tc>
        <w:tc>
          <w:tcPr>
            <w:tcW w:w="354" w:type="pct"/>
            <w:vMerge w:val="restart"/>
            <w:vAlign w:val="center"/>
          </w:tcPr>
          <w:p w14:paraId="3CE39625">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w:t>
            </w:r>
          </w:p>
        </w:tc>
        <w:tc>
          <w:tcPr>
            <w:tcW w:w="318" w:type="pct"/>
            <w:vMerge w:val="restart"/>
            <w:vAlign w:val="center"/>
          </w:tcPr>
          <w:p w14:paraId="0203D5A6">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w:t>
            </w:r>
          </w:p>
        </w:tc>
        <w:tc>
          <w:tcPr>
            <w:tcW w:w="460" w:type="pct"/>
            <w:vMerge w:val="restart"/>
            <w:vAlign w:val="center"/>
          </w:tcPr>
          <w:p w14:paraId="6827EA5D">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临时占地导致的直接影响</w:t>
            </w:r>
          </w:p>
        </w:tc>
        <w:tc>
          <w:tcPr>
            <w:tcW w:w="354" w:type="pct"/>
            <w:vMerge w:val="restart"/>
            <w:vAlign w:val="center"/>
          </w:tcPr>
          <w:p w14:paraId="5E56E04E">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短期影响</w:t>
            </w:r>
          </w:p>
        </w:tc>
        <w:tc>
          <w:tcPr>
            <w:tcW w:w="292" w:type="pct"/>
            <w:vMerge w:val="restart"/>
            <w:vAlign w:val="center"/>
          </w:tcPr>
          <w:p w14:paraId="45E7FE1B">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弱</w:t>
            </w:r>
          </w:p>
        </w:tc>
      </w:tr>
      <w:tr w14:paraId="235FB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9" w:type="pct"/>
            <w:vMerge w:val="continue"/>
            <w:vAlign w:val="center"/>
          </w:tcPr>
          <w:p w14:paraId="1E8BAA20">
            <w:pPr>
              <w:pStyle w:val="42"/>
              <w:spacing w:line="320" w:lineRule="exact"/>
              <w:jc w:val="center"/>
              <w:rPr>
                <w:rFonts w:ascii="Times New Roman" w:hAnsi="Times New Roman" w:eastAsiaTheme="minorEastAsia"/>
                <w:color w:val="auto"/>
                <w:w w:val="99"/>
                <w:szCs w:val="21"/>
                <w:highlight w:val="none"/>
              </w:rPr>
            </w:pPr>
          </w:p>
        </w:tc>
        <w:tc>
          <w:tcPr>
            <w:tcW w:w="531" w:type="pct"/>
            <w:vMerge w:val="continue"/>
            <w:vAlign w:val="center"/>
          </w:tcPr>
          <w:p w14:paraId="6F0A4C7D">
            <w:pPr>
              <w:pStyle w:val="42"/>
              <w:spacing w:line="320" w:lineRule="exact"/>
              <w:jc w:val="center"/>
              <w:rPr>
                <w:rFonts w:ascii="Times New Roman" w:hAnsi="Times New Roman" w:eastAsiaTheme="minorEastAsia"/>
                <w:color w:val="auto"/>
                <w:w w:val="99"/>
                <w:szCs w:val="21"/>
                <w:highlight w:val="none"/>
              </w:rPr>
            </w:pPr>
          </w:p>
        </w:tc>
        <w:tc>
          <w:tcPr>
            <w:tcW w:w="1979" w:type="dxa"/>
            <w:vAlign w:val="center"/>
          </w:tcPr>
          <w:p w14:paraId="79254075">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管线开挖过程临时占地产生的直接影响</w:t>
            </w:r>
          </w:p>
        </w:tc>
        <w:tc>
          <w:tcPr>
            <w:tcW w:w="562" w:type="pct"/>
            <w:vAlign w:val="center"/>
          </w:tcPr>
          <w:p w14:paraId="2526BBD2">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临时占地短期可逆</w:t>
            </w:r>
          </w:p>
        </w:tc>
        <w:tc>
          <w:tcPr>
            <w:tcW w:w="347" w:type="pct"/>
            <w:vAlign w:val="center"/>
          </w:tcPr>
          <w:p w14:paraId="5A002FBE">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弱</w:t>
            </w:r>
          </w:p>
        </w:tc>
        <w:tc>
          <w:tcPr>
            <w:tcW w:w="460" w:type="pct"/>
            <w:vMerge w:val="continue"/>
            <w:vAlign w:val="center"/>
          </w:tcPr>
          <w:p w14:paraId="54347EAA">
            <w:pPr>
              <w:pStyle w:val="42"/>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7CEC1626">
            <w:pPr>
              <w:pStyle w:val="42"/>
              <w:spacing w:line="320" w:lineRule="exact"/>
              <w:jc w:val="center"/>
              <w:rPr>
                <w:rFonts w:ascii="Times New Roman" w:hAnsi="Times New Roman" w:eastAsiaTheme="minorEastAsia"/>
                <w:color w:val="auto"/>
                <w:w w:val="99"/>
                <w:szCs w:val="21"/>
                <w:highlight w:val="none"/>
              </w:rPr>
            </w:pPr>
          </w:p>
        </w:tc>
        <w:tc>
          <w:tcPr>
            <w:tcW w:w="318" w:type="pct"/>
            <w:vMerge w:val="continue"/>
            <w:vAlign w:val="center"/>
          </w:tcPr>
          <w:p w14:paraId="081A9A35">
            <w:pPr>
              <w:pStyle w:val="42"/>
              <w:spacing w:line="320" w:lineRule="exact"/>
              <w:jc w:val="center"/>
              <w:rPr>
                <w:rFonts w:ascii="Times New Roman" w:hAnsi="Times New Roman" w:eastAsiaTheme="minorEastAsia"/>
                <w:color w:val="auto"/>
                <w:w w:val="99"/>
                <w:szCs w:val="21"/>
                <w:highlight w:val="none"/>
              </w:rPr>
            </w:pPr>
          </w:p>
        </w:tc>
        <w:tc>
          <w:tcPr>
            <w:tcW w:w="460" w:type="pct"/>
            <w:vMerge w:val="continue"/>
            <w:vAlign w:val="center"/>
          </w:tcPr>
          <w:p w14:paraId="7F9A9407">
            <w:pPr>
              <w:pStyle w:val="42"/>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682DDA42">
            <w:pPr>
              <w:pStyle w:val="42"/>
              <w:spacing w:line="320" w:lineRule="exact"/>
              <w:jc w:val="center"/>
              <w:rPr>
                <w:rFonts w:ascii="Times New Roman" w:hAnsi="Times New Roman" w:eastAsiaTheme="minorEastAsia"/>
                <w:color w:val="auto"/>
                <w:w w:val="99"/>
                <w:szCs w:val="21"/>
                <w:highlight w:val="none"/>
              </w:rPr>
            </w:pPr>
          </w:p>
        </w:tc>
        <w:tc>
          <w:tcPr>
            <w:tcW w:w="292" w:type="pct"/>
            <w:vMerge w:val="continue"/>
            <w:vAlign w:val="center"/>
          </w:tcPr>
          <w:p w14:paraId="421B10C9">
            <w:pPr>
              <w:pStyle w:val="42"/>
              <w:spacing w:line="320" w:lineRule="exact"/>
              <w:jc w:val="center"/>
              <w:rPr>
                <w:rFonts w:ascii="Times New Roman" w:hAnsi="Times New Roman" w:eastAsiaTheme="minorEastAsia"/>
                <w:color w:val="auto"/>
                <w:w w:val="99"/>
                <w:szCs w:val="21"/>
                <w:highlight w:val="none"/>
              </w:rPr>
            </w:pPr>
          </w:p>
        </w:tc>
      </w:tr>
      <w:tr w14:paraId="1F0D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restart"/>
            <w:vAlign w:val="center"/>
          </w:tcPr>
          <w:p w14:paraId="2AFD24DD">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生态敏感区</w:t>
            </w:r>
          </w:p>
        </w:tc>
        <w:tc>
          <w:tcPr>
            <w:tcW w:w="531" w:type="pct"/>
            <w:vMerge w:val="restart"/>
            <w:vAlign w:val="center"/>
          </w:tcPr>
          <w:p w14:paraId="4C7C0BE6">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主要保护对象、生态功能等</w:t>
            </w:r>
          </w:p>
        </w:tc>
        <w:tc>
          <w:tcPr>
            <w:tcW w:w="1979" w:type="dxa"/>
            <w:vAlign w:val="center"/>
          </w:tcPr>
          <w:p w14:paraId="4DE159AF">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井场、</w:t>
            </w:r>
            <w:r>
              <w:rPr>
                <w:rFonts w:hint="eastAsia" w:ascii="Times New Roman" w:hAnsi="Times New Roman" w:eastAsiaTheme="minorEastAsia"/>
                <w:color w:val="auto"/>
                <w:w w:val="99"/>
                <w:szCs w:val="21"/>
                <w:highlight w:val="none"/>
              </w:rPr>
              <w:t>放空池、改建站场、新建道路永久占地产生的直接影响、间接生态影响</w:t>
            </w:r>
          </w:p>
        </w:tc>
        <w:tc>
          <w:tcPr>
            <w:tcW w:w="562" w:type="pct"/>
            <w:vAlign w:val="center"/>
          </w:tcPr>
          <w:p w14:paraId="593A7453">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永久占地长期不可逆</w:t>
            </w:r>
          </w:p>
        </w:tc>
        <w:tc>
          <w:tcPr>
            <w:tcW w:w="347" w:type="pct"/>
            <w:vAlign w:val="center"/>
          </w:tcPr>
          <w:p w14:paraId="328D879E">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中</w:t>
            </w:r>
          </w:p>
        </w:tc>
        <w:tc>
          <w:tcPr>
            <w:tcW w:w="460" w:type="pct"/>
            <w:vMerge w:val="restart"/>
            <w:vAlign w:val="center"/>
          </w:tcPr>
          <w:p w14:paraId="7A988EB6">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w:t>
            </w:r>
          </w:p>
        </w:tc>
        <w:tc>
          <w:tcPr>
            <w:tcW w:w="354" w:type="pct"/>
            <w:vMerge w:val="restart"/>
            <w:vAlign w:val="center"/>
          </w:tcPr>
          <w:p w14:paraId="49A7E5E9">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w:t>
            </w:r>
          </w:p>
        </w:tc>
        <w:tc>
          <w:tcPr>
            <w:tcW w:w="318" w:type="pct"/>
            <w:vMerge w:val="restart"/>
            <w:vAlign w:val="center"/>
          </w:tcPr>
          <w:p w14:paraId="492BF6FB">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w:t>
            </w:r>
          </w:p>
        </w:tc>
        <w:tc>
          <w:tcPr>
            <w:tcW w:w="460" w:type="pct"/>
            <w:vMerge w:val="restart"/>
            <w:vAlign w:val="center"/>
          </w:tcPr>
          <w:p w14:paraId="36AEE522">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临时占地导致的直接影响</w:t>
            </w:r>
          </w:p>
        </w:tc>
        <w:tc>
          <w:tcPr>
            <w:tcW w:w="354" w:type="pct"/>
            <w:vMerge w:val="restart"/>
            <w:vAlign w:val="center"/>
          </w:tcPr>
          <w:p w14:paraId="6E991D0B">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短期影响</w:t>
            </w:r>
          </w:p>
        </w:tc>
        <w:tc>
          <w:tcPr>
            <w:tcW w:w="292" w:type="pct"/>
            <w:vMerge w:val="restart"/>
            <w:vAlign w:val="center"/>
          </w:tcPr>
          <w:p w14:paraId="02FC2B15">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弱</w:t>
            </w:r>
          </w:p>
        </w:tc>
      </w:tr>
      <w:tr w14:paraId="22149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continue"/>
            <w:vAlign w:val="center"/>
          </w:tcPr>
          <w:p w14:paraId="619A82EE">
            <w:pPr>
              <w:pStyle w:val="42"/>
              <w:spacing w:line="320" w:lineRule="exact"/>
              <w:jc w:val="center"/>
              <w:rPr>
                <w:rFonts w:ascii="Times New Roman" w:hAnsi="Times New Roman" w:eastAsiaTheme="minorEastAsia"/>
                <w:color w:val="auto"/>
                <w:w w:val="99"/>
                <w:szCs w:val="21"/>
                <w:highlight w:val="none"/>
              </w:rPr>
            </w:pPr>
          </w:p>
        </w:tc>
        <w:tc>
          <w:tcPr>
            <w:tcW w:w="531" w:type="pct"/>
            <w:vMerge w:val="continue"/>
            <w:vAlign w:val="center"/>
          </w:tcPr>
          <w:p w14:paraId="7F9DDB72">
            <w:pPr>
              <w:pStyle w:val="42"/>
              <w:spacing w:line="320" w:lineRule="exact"/>
              <w:jc w:val="center"/>
              <w:rPr>
                <w:rFonts w:ascii="Times New Roman" w:hAnsi="Times New Roman" w:eastAsiaTheme="minorEastAsia"/>
                <w:color w:val="auto"/>
                <w:w w:val="99"/>
                <w:szCs w:val="21"/>
                <w:highlight w:val="none"/>
              </w:rPr>
            </w:pPr>
          </w:p>
        </w:tc>
        <w:tc>
          <w:tcPr>
            <w:tcW w:w="1979" w:type="dxa"/>
            <w:vAlign w:val="center"/>
          </w:tcPr>
          <w:p w14:paraId="65F88F56">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管线开挖过程临时占地产生的直接影响</w:t>
            </w:r>
          </w:p>
        </w:tc>
        <w:tc>
          <w:tcPr>
            <w:tcW w:w="562" w:type="pct"/>
            <w:vAlign w:val="center"/>
          </w:tcPr>
          <w:p w14:paraId="0B9FB7E1">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临时占地短期可逆</w:t>
            </w:r>
          </w:p>
        </w:tc>
        <w:tc>
          <w:tcPr>
            <w:tcW w:w="347" w:type="pct"/>
            <w:vAlign w:val="center"/>
          </w:tcPr>
          <w:p w14:paraId="095DD9DB">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弱</w:t>
            </w:r>
          </w:p>
        </w:tc>
        <w:tc>
          <w:tcPr>
            <w:tcW w:w="460" w:type="pct"/>
            <w:vMerge w:val="continue"/>
            <w:vAlign w:val="center"/>
          </w:tcPr>
          <w:p w14:paraId="707B52FD">
            <w:pPr>
              <w:pStyle w:val="42"/>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462BA919">
            <w:pPr>
              <w:pStyle w:val="42"/>
              <w:spacing w:line="320" w:lineRule="exact"/>
              <w:jc w:val="center"/>
              <w:rPr>
                <w:rFonts w:ascii="Times New Roman" w:hAnsi="Times New Roman" w:eastAsiaTheme="minorEastAsia"/>
                <w:color w:val="auto"/>
                <w:w w:val="99"/>
                <w:szCs w:val="21"/>
                <w:highlight w:val="none"/>
              </w:rPr>
            </w:pPr>
          </w:p>
        </w:tc>
        <w:tc>
          <w:tcPr>
            <w:tcW w:w="318" w:type="pct"/>
            <w:vMerge w:val="continue"/>
            <w:vAlign w:val="center"/>
          </w:tcPr>
          <w:p w14:paraId="14030139">
            <w:pPr>
              <w:pStyle w:val="42"/>
              <w:spacing w:line="320" w:lineRule="exact"/>
              <w:jc w:val="center"/>
              <w:rPr>
                <w:rFonts w:ascii="Times New Roman" w:hAnsi="Times New Roman" w:eastAsiaTheme="minorEastAsia"/>
                <w:color w:val="auto"/>
                <w:w w:val="99"/>
                <w:szCs w:val="21"/>
                <w:highlight w:val="none"/>
              </w:rPr>
            </w:pPr>
          </w:p>
        </w:tc>
        <w:tc>
          <w:tcPr>
            <w:tcW w:w="460" w:type="pct"/>
            <w:vMerge w:val="continue"/>
            <w:vAlign w:val="center"/>
          </w:tcPr>
          <w:p w14:paraId="525292B7">
            <w:pPr>
              <w:pStyle w:val="42"/>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44D35A5C">
            <w:pPr>
              <w:pStyle w:val="42"/>
              <w:spacing w:line="320" w:lineRule="exact"/>
              <w:jc w:val="center"/>
              <w:rPr>
                <w:rFonts w:ascii="Times New Roman" w:hAnsi="Times New Roman" w:eastAsiaTheme="minorEastAsia"/>
                <w:color w:val="auto"/>
                <w:w w:val="99"/>
                <w:szCs w:val="21"/>
                <w:highlight w:val="none"/>
              </w:rPr>
            </w:pPr>
          </w:p>
        </w:tc>
        <w:tc>
          <w:tcPr>
            <w:tcW w:w="292" w:type="pct"/>
            <w:vMerge w:val="continue"/>
            <w:vAlign w:val="center"/>
          </w:tcPr>
          <w:p w14:paraId="7B3E5A21">
            <w:pPr>
              <w:pStyle w:val="42"/>
              <w:spacing w:line="320" w:lineRule="exact"/>
              <w:jc w:val="center"/>
              <w:rPr>
                <w:rFonts w:ascii="Times New Roman" w:hAnsi="Times New Roman" w:eastAsiaTheme="minorEastAsia"/>
                <w:color w:val="auto"/>
                <w:w w:val="99"/>
                <w:szCs w:val="21"/>
                <w:highlight w:val="none"/>
              </w:rPr>
            </w:pPr>
          </w:p>
        </w:tc>
      </w:tr>
      <w:tr w14:paraId="56982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restart"/>
            <w:vAlign w:val="center"/>
          </w:tcPr>
          <w:p w14:paraId="0A95D873">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自然景观</w:t>
            </w:r>
          </w:p>
        </w:tc>
        <w:tc>
          <w:tcPr>
            <w:tcW w:w="531" w:type="pct"/>
            <w:vMerge w:val="restart"/>
            <w:vAlign w:val="center"/>
          </w:tcPr>
          <w:p w14:paraId="319D7AF6">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景观多样性、完整性等</w:t>
            </w:r>
          </w:p>
        </w:tc>
        <w:tc>
          <w:tcPr>
            <w:tcW w:w="1979" w:type="dxa"/>
            <w:vAlign w:val="center"/>
          </w:tcPr>
          <w:p w14:paraId="0182F847">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井场、</w:t>
            </w:r>
            <w:r>
              <w:rPr>
                <w:rFonts w:hint="eastAsia" w:ascii="Times New Roman" w:hAnsi="Times New Roman" w:eastAsiaTheme="minorEastAsia"/>
                <w:color w:val="auto"/>
                <w:w w:val="99"/>
                <w:szCs w:val="21"/>
                <w:highlight w:val="none"/>
              </w:rPr>
              <w:t>放空池、改建站场、新建道路永久占地产生的直接影响、间接生态影响</w:t>
            </w:r>
          </w:p>
        </w:tc>
        <w:tc>
          <w:tcPr>
            <w:tcW w:w="562" w:type="pct"/>
            <w:vAlign w:val="center"/>
          </w:tcPr>
          <w:p w14:paraId="187B6528">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永久占地长期不可逆</w:t>
            </w:r>
          </w:p>
        </w:tc>
        <w:tc>
          <w:tcPr>
            <w:tcW w:w="347" w:type="pct"/>
            <w:vAlign w:val="center"/>
          </w:tcPr>
          <w:p w14:paraId="50E46D33">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中</w:t>
            </w:r>
          </w:p>
        </w:tc>
        <w:tc>
          <w:tcPr>
            <w:tcW w:w="460" w:type="pct"/>
            <w:vMerge w:val="restart"/>
            <w:vAlign w:val="center"/>
          </w:tcPr>
          <w:p w14:paraId="663E0F4F">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永久占地导致的直接影响</w:t>
            </w:r>
          </w:p>
        </w:tc>
        <w:tc>
          <w:tcPr>
            <w:tcW w:w="354" w:type="pct"/>
            <w:vMerge w:val="restart"/>
            <w:vAlign w:val="center"/>
          </w:tcPr>
          <w:p w14:paraId="75DE40AF">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长期影响</w:t>
            </w:r>
          </w:p>
        </w:tc>
        <w:tc>
          <w:tcPr>
            <w:tcW w:w="318" w:type="pct"/>
            <w:vMerge w:val="restart"/>
            <w:vAlign w:val="center"/>
          </w:tcPr>
          <w:p w14:paraId="6A64647F">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弱</w:t>
            </w:r>
          </w:p>
        </w:tc>
        <w:tc>
          <w:tcPr>
            <w:tcW w:w="460" w:type="pct"/>
            <w:vMerge w:val="restart"/>
            <w:vAlign w:val="center"/>
          </w:tcPr>
          <w:p w14:paraId="28703DC5">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临时占地导致的直接影响</w:t>
            </w:r>
          </w:p>
        </w:tc>
        <w:tc>
          <w:tcPr>
            <w:tcW w:w="354" w:type="pct"/>
            <w:vMerge w:val="restart"/>
            <w:vAlign w:val="center"/>
          </w:tcPr>
          <w:p w14:paraId="74FE7C0A">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短期影响</w:t>
            </w:r>
          </w:p>
        </w:tc>
        <w:tc>
          <w:tcPr>
            <w:tcW w:w="292" w:type="pct"/>
            <w:vMerge w:val="restart"/>
            <w:vAlign w:val="center"/>
          </w:tcPr>
          <w:p w14:paraId="61E984CA">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弱</w:t>
            </w:r>
          </w:p>
        </w:tc>
      </w:tr>
      <w:tr w14:paraId="25DBE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continue"/>
            <w:vAlign w:val="center"/>
          </w:tcPr>
          <w:p w14:paraId="2742540C">
            <w:pPr>
              <w:pStyle w:val="42"/>
              <w:spacing w:line="320" w:lineRule="exact"/>
              <w:jc w:val="center"/>
              <w:rPr>
                <w:rFonts w:ascii="Times New Roman" w:hAnsi="Times New Roman" w:eastAsiaTheme="minorEastAsia"/>
                <w:color w:val="auto"/>
                <w:w w:val="99"/>
                <w:szCs w:val="21"/>
                <w:highlight w:val="none"/>
              </w:rPr>
            </w:pPr>
          </w:p>
        </w:tc>
        <w:tc>
          <w:tcPr>
            <w:tcW w:w="531" w:type="pct"/>
            <w:vMerge w:val="continue"/>
            <w:vAlign w:val="center"/>
          </w:tcPr>
          <w:p w14:paraId="369F1D9D">
            <w:pPr>
              <w:pStyle w:val="42"/>
              <w:spacing w:line="320" w:lineRule="exact"/>
              <w:jc w:val="center"/>
              <w:rPr>
                <w:rFonts w:ascii="Times New Roman" w:hAnsi="Times New Roman" w:eastAsiaTheme="minorEastAsia"/>
                <w:color w:val="auto"/>
                <w:w w:val="99"/>
                <w:szCs w:val="21"/>
                <w:highlight w:val="none"/>
              </w:rPr>
            </w:pPr>
          </w:p>
        </w:tc>
        <w:tc>
          <w:tcPr>
            <w:tcW w:w="1979" w:type="dxa"/>
            <w:vAlign w:val="center"/>
          </w:tcPr>
          <w:p w14:paraId="113FCDEE">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管线开挖过程临时占地产生的直接影响</w:t>
            </w:r>
          </w:p>
        </w:tc>
        <w:tc>
          <w:tcPr>
            <w:tcW w:w="562" w:type="pct"/>
            <w:vAlign w:val="center"/>
          </w:tcPr>
          <w:p w14:paraId="57CBD849">
            <w:pPr>
              <w:pStyle w:val="42"/>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临时占地短期可逆</w:t>
            </w:r>
          </w:p>
        </w:tc>
        <w:tc>
          <w:tcPr>
            <w:tcW w:w="347" w:type="pct"/>
            <w:vAlign w:val="center"/>
          </w:tcPr>
          <w:p w14:paraId="42354488">
            <w:pPr>
              <w:pStyle w:val="42"/>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弱</w:t>
            </w:r>
          </w:p>
        </w:tc>
        <w:tc>
          <w:tcPr>
            <w:tcW w:w="460" w:type="pct"/>
            <w:vMerge w:val="continue"/>
            <w:vAlign w:val="center"/>
          </w:tcPr>
          <w:p w14:paraId="1092F159">
            <w:pPr>
              <w:pStyle w:val="42"/>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704191EF">
            <w:pPr>
              <w:pStyle w:val="42"/>
              <w:spacing w:line="320" w:lineRule="exact"/>
              <w:jc w:val="center"/>
              <w:rPr>
                <w:rFonts w:ascii="Times New Roman" w:hAnsi="Times New Roman" w:eastAsiaTheme="minorEastAsia"/>
                <w:color w:val="auto"/>
                <w:w w:val="99"/>
                <w:szCs w:val="21"/>
                <w:highlight w:val="none"/>
              </w:rPr>
            </w:pPr>
          </w:p>
        </w:tc>
        <w:tc>
          <w:tcPr>
            <w:tcW w:w="318" w:type="pct"/>
            <w:vMerge w:val="continue"/>
            <w:vAlign w:val="center"/>
          </w:tcPr>
          <w:p w14:paraId="1E887D48">
            <w:pPr>
              <w:pStyle w:val="42"/>
              <w:spacing w:line="320" w:lineRule="exact"/>
              <w:jc w:val="center"/>
              <w:rPr>
                <w:rFonts w:ascii="Times New Roman" w:hAnsi="Times New Roman" w:eastAsiaTheme="minorEastAsia"/>
                <w:color w:val="auto"/>
                <w:w w:val="99"/>
                <w:szCs w:val="21"/>
                <w:highlight w:val="none"/>
              </w:rPr>
            </w:pPr>
          </w:p>
        </w:tc>
        <w:tc>
          <w:tcPr>
            <w:tcW w:w="460" w:type="pct"/>
            <w:vMerge w:val="continue"/>
            <w:vAlign w:val="center"/>
          </w:tcPr>
          <w:p w14:paraId="753AE594">
            <w:pPr>
              <w:pStyle w:val="42"/>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6F866855">
            <w:pPr>
              <w:pStyle w:val="42"/>
              <w:spacing w:line="320" w:lineRule="exact"/>
              <w:jc w:val="center"/>
              <w:rPr>
                <w:rFonts w:ascii="Times New Roman" w:hAnsi="Times New Roman" w:eastAsiaTheme="minorEastAsia"/>
                <w:color w:val="auto"/>
                <w:w w:val="99"/>
                <w:szCs w:val="21"/>
                <w:highlight w:val="none"/>
              </w:rPr>
            </w:pPr>
          </w:p>
        </w:tc>
        <w:tc>
          <w:tcPr>
            <w:tcW w:w="292" w:type="pct"/>
            <w:vMerge w:val="continue"/>
            <w:vAlign w:val="center"/>
          </w:tcPr>
          <w:p w14:paraId="125D719A">
            <w:pPr>
              <w:pStyle w:val="42"/>
              <w:spacing w:line="320" w:lineRule="exact"/>
              <w:jc w:val="center"/>
              <w:rPr>
                <w:rFonts w:ascii="Times New Roman" w:hAnsi="Times New Roman" w:eastAsiaTheme="minorEastAsia"/>
                <w:color w:val="auto"/>
                <w:w w:val="99"/>
                <w:szCs w:val="21"/>
                <w:highlight w:val="none"/>
              </w:rPr>
            </w:pPr>
          </w:p>
        </w:tc>
      </w:tr>
    </w:tbl>
    <w:p w14:paraId="00ACDFAA">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248" w:name="_Toc19439"/>
      <w:r>
        <w:rPr>
          <w:rFonts w:ascii="Times New Roman" w:hAnsi="Times New Roman" w:eastAsia="宋体"/>
          <w:b/>
          <w:snapToGrid w:val="0"/>
          <w:color w:val="auto"/>
          <w:w w:val="99"/>
          <w:highlight w:val="none"/>
        </w:rPr>
        <w:t>2.6评价标准</w:t>
      </w:r>
      <w:bookmarkEnd w:id="248"/>
    </w:p>
    <w:p w14:paraId="030D3230">
      <w:pPr>
        <w:pStyle w:val="7"/>
        <w:widowControl w:val="0"/>
        <w:spacing w:before="60" w:after="60" w:line="440" w:lineRule="exact"/>
        <w:jc w:val="both"/>
        <w:rPr>
          <w:rFonts w:eastAsia="宋体"/>
          <w:b/>
          <w:color w:val="auto"/>
          <w:w w:val="99"/>
          <w:kern w:val="2"/>
          <w:sz w:val="24"/>
          <w:szCs w:val="24"/>
          <w:highlight w:val="none"/>
        </w:rPr>
      </w:pPr>
      <w:bookmarkStart w:id="249" w:name="_Toc57203222"/>
      <w:bookmarkStart w:id="250" w:name="_Toc77067632"/>
      <w:bookmarkStart w:id="251" w:name="_Toc61597194"/>
      <w:bookmarkStart w:id="252" w:name="_Toc80971350"/>
      <w:bookmarkStart w:id="253" w:name="_Toc83209445"/>
      <w:bookmarkStart w:id="254" w:name="_Toc80588228"/>
      <w:bookmarkStart w:id="255" w:name="_Toc57707892"/>
      <w:bookmarkStart w:id="256" w:name="_Toc67860101"/>
      <w:bookmarkStart w:id="257" w:name="_Toc78816433"/>
      <w:bookmarkStart w:id="258" w:name="_Toc4125"/>
      <w:bookmarkStart w:id="259" w:name="_Toc70050148"/>
      <w:bookmarkStart w:id="260" w:name="_Toc57976647"/>
      <w:bookmarkStart w:id="261" w:name="_Toc76976216"/>
      <w:bookmarkStart w:id="262" w:name="_Toc17898137"/>
      <w:bookmarkStart w:id="263" w:name="_Toc186444248"/>
      <w:r>
        <w:rPr>
          <w:rFonts w:eastAsia="宋体"/>
          <w:b/>
          <w:color w:val="auto"/>
          <w:w w:val="99"/>
          <w:kern w:val="2"/>
          <w:sz w:val="24"/>
          <w:szCs w:val="24"/>
          <w:highlight w:val="none"/>
        </w:rPr>
        <w:t>2.6.1环境质量标准</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Fonts w:eastAsiaTheme="minorEastAsia"/>
          <w:b/>
          <w:color w:val="auto"/>
          <w:w w:val="99"/>
          <w:kern w:val="2"/>
          <w:sz w:val="24"/>
          <w:szCs w:val="24"/>
          <w:highlight w:val="none"/>
        </w:rPr>
        <w:t>及环境功能区划</w:t>
      </w:r>
      <w:bookmarkEnd w:id="263"/>
    </w:p>
    <w:p w14:paraId="2C4AFC1C">
      <w:pPr>
        <w:pStyle w:val="153"/>
        <w:widowControl w:val="0"/>
        <w:spacing w:line="440" w:lineRule="exact"/>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2.6.1.1环境空气质量标准</w:t>
      </w:r>
    </w:p>
    <w:p w14:paraId="53B684A4">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本项目所在区域内无自然保护区、风景名胜区和其它需要特殊保护的地区，项目所在区域主要为居住区、商业交通居民混合区、文化区、一般工业区和农村地区，因此本项目所在地环境空气属于二类功能区，其环境空气质量执行《环境空气质量标准》（GB3095-20</w:t>
      </w:r>
      <w:r>
        <w:rPr>
          <w:rFonts w:hint="eastAsia" w:ascii="Times New Roman" w:hAnsi="Times New Roman"/>
          <w:snapToGrid w:val="0"/>
          <w:color w:val="auto"/>
          <w:w w:val="99"/>
          <w:highlight w:val="none"/>
        </w:rPr>
        <w:t>26</w:t>
      </w:r>
      <w:r>
        <w:rPr>
          <w:rFonts w:ascii="Times New Roman" w:hAnsi="Times New Roman"/>
          <w:snapToGrid w:val="0"/>
          <w:color w:val="auto"/>
          <w:w w:val="99"/>
          <w:highlight w:val="none"/>
        </w:rPr>
        <w:t>）中</w:t>
      </w:r>
      <w:r>
        <w:rPr>
          <w:rFonts w:hint="eastAsia" w:ascii="Times New Roman" w:hAnsi="Times New Roman"/>
          <w:snapToGrid w:val="0"/>
          <w:color w:val="auto"/>
          <w:w w:val="99"/>
          <w:highlight w:val="none"/>
          <w:lang w:val="en-US" w:eastAsia="zh-CN"/>
        </w:rPr>
        <w:t>过渡阶段</w:t>
      </w:r>
      <w:r>
        <w:rPr>
          <w:rFonts w:ascii="Times New Roman" w:hAnsi="Times New Roman"/>
          <w:snapToGrid w:val="0"/>
          <w:color w:val="auto"/>
          <w:w w:val="99"/>
          <w:highlight w:val="none"/>
        </w:rPr>
        <w:t>二级标准，非甲烷总烃参照《大气污染物综合排放标准详解》中要求</w:t>
      </w:r>
      <w:r>
        <w:rPr>
          <w:rFonts w:hint="eastAsia" w:ascii="Times New Roman" w:hAnsi="Times New Roman"/>
          <w:snapToGrid w:val="0"/>
          <w:color w:val="auto"/>
          <w:w w:val="99"/>
          <w:highlight w:val="none"/>
        </w:rPr>
        <w:t>；</w:t>
      </w:r>
      <w:r>
        <w:rPr>
          <w:rFonts w:ascii="Times New Roman" w:hAnsi="Times New Roman"/>
          <w:snapToGrid w:val="0"/>
          <w:color w:val="auto"/>
          <w:w w:val="99"/>
          <w:highlight w:val="none"/>
        </w:rPr>
        <w:t>甲醇执行《环境影响评价技术导则 大气环境》(HJ2.2-2018）附录 D 中甲醇1h平均浓度参考限值 3.0mg/m</w:t>
      </w:r>
      <w:r>
        <w:rPr>
          <w:rFonts w:ascii="Times New Roman" w:hAnsi="Times New Roman"/>
          <w:snapToGrid w:val="0"/>
          <w:color w:val="auto"/>
          <w:w w:val="99"/>
          <w:highlight w:val="none"/>
          <w:vertAlign w:val="superscript"/>
        </w:rPr>
        <w:t>3</w:t>
      </w:r>
      <w:r>
        <w:rPr>
          <w:rFonts w:ascii="Times New Roman" w:hAnsi="Times New Roman"/>
          <w:snapToGrid w:val="0"/>
          <w:color w:val="auto"/>
          <w:w w:val="99"/>
          <w:highlight w:val="none"/>
        </w:rPr>
        <w:t>。具体见表2.6-1</w:t>
      </w:r>
      <w:r>
        <w:rPr>
          <w:rFonts w:hint="eastAsia" w:ascii="Times New Roman" w:hAnsi="Times New Roman"/>
          <w:snapToGrid w:val="0"/>
          <w:color w:val="auto"/>
          <w:w w:val="99"/>
          <w:highlight w:val="none"/>
        </w:rPr>
        <w:t>、表2.6-2</w:t>
      </w:r>
      <w:r>
        <w:rPr>
          <w:rFonts w:ascii="Times New Roman" w:hAnsi="Times New Roman"/>
          <w:snapToGrid w:val="0"/>
          <w:color w:val="auto"/>
          <w:w w:val="99"/>
          <w:highlight w:val="none"/>
        </w:rPr>
        <w:t>。</w:t>
      </w:r>
    </w:p>
    <w:p w14:paraId="1C0B5731">
      <w:pPr>
        <w:widowControl w:val="0"/>
        <w:spacing w:line="440" w:lineRule="exact"/>
        <w:ind w:firstLine="476" w:firstLineChars="200"/>
        <w:rPr>
          <w:rFonts w:ascii="Times New Roman" w:hAnsi="Times New Roman" w:cs="Times New Roman" w:eastAsiaTheme="minorEastAsia"/>
          <w:b/>
          <w:color w:val="auto"/>
          <w:w w:val="99"/>
          <w:kern w:val="2"/>
          <w:szCs w:val="20"/>
          <w:highlight w:val="none"/>
        </w:rPr>
      </w:pPr>
      <w:r>
        <w:rPr>
          <w:rFonts w:ascii="Times New Roman" w:hAnsi="Times New Roman" w:cs="Times New Roman" w:eastAsiaTheme="minorEastAsia"/>
          <w:b/>
          <w:color w:val="auto"/>
          <w:w w:val="99"/>
          <w:kern w:val="2"/>
          <w:szCs w:val="20"/>
          <w:highlight w:val="none"/>
        </w:rPr>
        <w:t>表2.6-1    评价区域内各项污染物的浓度限值</w:t>
      </w:r>
      <w:r>
        <w:rPr>
          <w:rFonts w:hint="eastAsia" w:ascii="Times New Roman" w:hAnsi="Times New Roman" w:cs="Times New Roman" w:eastAsiaTheme="minorEastAsia"/>
          <w:b/>
          <w:color w:val="auto"/>
          <w:w w:val="99"/>
          <w:kern w:val="2"/>
          <w:szCs w:val="20"/>
          <w:highlight w:val="none"/>
        </w:rPr>
        <w:t>（过渡阶段）</w:t>
      </w:r>
    </w:p>
    <w:tbl>
      <w:tblPr>
        <w:tblStyle w:val="8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2"/>
        <w:gridCol w:w="1583"/>
        <w:gridCol w:w="728"/>
        <w:gridCol w:w="730"/>
        <w:gridCol w:w="731"/>
        <w:gridCol w:w="731"/>
        <w:gridCol w:w="731"/>
        <w:gridCol w:w="783"/>
        <w:gridCol w:w="729"/>
        <w:gridCol w:w="719"/>
      </w:tblGrid>
      <w:tr w14:paraId="356B7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25" w:type="pct"/>
            <w:gridSpan w:val="2"/>
            <w:vAlign w:val="center"/>
          </w:tcPr>
          <w:p w14:paraId="7A1CB93B">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污染物名称</w:t>
            </w:r>
          </w:p>
        </w:tc>
        <w:tc>
          <w:tcPr>
            <w:tcW w:w="406" w:type="pct"/>
            <w:vAlign w:val="center"/>
          </w:tcPr>
          <w:p w14:paraId="3AFB02BF">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TSP</w:t>
            </w:r>
          </w:p>
        </w:tc>
        <w:tc>
          <w:tcPr>
            <w:tcW w:w="407" w:type="pct"/>
            <w:vAlign w:val="center"/>
          </w:tcPr>
          <w:p w14:paraId="4AA52C08">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PM</w:t>
            </w:r>
            <w:r>
              <w:rPr>
                <w:rFonts w:ascii="Times New Roman" w:hAnsi="Times New Roman" w:cs="Times New Roman" w:eastAsiaTheme="minorEastAsia"/>
                <w:color w:val="auto"/>
                <w:w w:val="99"/>
                <w:kern w:val="2"/>
                <w:sz w:val="21"/>
                <w:szCs w:val="21"/>
                <w:highlight w:val="none"/>
                <w:vertAlign w:val="subscript"/>
              </w:rPr>
              <w:t>10</w:t>
            </w:r>
          </w:p>
        </w:tc>
        <w:tc>
          <w:tcPr>
            <w:tcW w:w="407" w:type="pct"/>
            <w:vAlign w:val="center"/>
          </w:tcPr>
          <w:p w14:paraId="3D971628">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PM</w:t>
            </w:r>
            <w:r>
              <w:rPr>
                <w:rFonts w:ascii="Times New Roman" w:hAnsi="Times New Roman" w:cs="Times New Roman" w:eastAsiaTheme="minorEastAsia"/>
                <w:color w:val="auto"/>
                <w:w w:val="99"/>
                <w:kern w:val="2"/>
                <w:sz w:val="21"/>
                <w:szCs w:val="21"/>
                <w:highlight w:val="none"/>
                <w:vertAlign w:val="subscript"/>
              </w:rPr>
              <w:t>2.5</w:t>
            </w:r>
          </w:p>
        </w:tc>
        <w:tc>
          <w:tcPr>
            <w:tcW w:w="407" w:type="pct"/>
            <w:vAlign w:val="center"/>
          </w:tcPr>
          <w:p w14:paraId="6839E1E8">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SO</w:t>
            </w:r>
            <w:r>
              <w:rPr>
                <w:rFonts w:ascii="Times New Roman" w:hAnsi="Times New Roman" w:cs="Times New Roman" w:eastAsiaTheme="minorEastAsia"/>
                <w:color w:val="auto"/>
                <w:w w:val="99"/>
                <w:kern w:val="2"/>
                <w:sz w:val="21"/>
                <w:szCs w:val="21"/>
                <w:highlight w:val="none"/>
                <w:vertAlign w:val="subscript"/>
              </w:rPr>
              <w:t>2</w:t>
            </w:r>
          </w:p>
        </w:tc>
        <w:tc>
          <w:tcPr>
            <w:tcW w:w="407" w:type="pct"/>
            <w:vAlign w:val="center"/>
          </w:tcPr>
          <w:p w14:paraId="0F9C7845">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NO</w:t>
            </w:r>
            <w:r>
              <w:rPr>
                <w:rFonts w:ascii="Times New Roman" w:hAnsi="Times New Roman" w:cs="Times New Roman" w:eastAsiaTheme="minorEastAsia"/>
                <w:color w:val="auto"/>
                <w:w w:val="99"/>
                <w:kern w:val="2"/>
                <w:sz w:val="21"/>
                <w:szCs w:val="21"/>
                <w:highlight w:val="none"/>
                <w:vertAlign w:val="subscript"/>
              </w:rPr>
              <w:t>2</w:t>
            </w:r>
          </w:p>
        </w:tc>
        <w:tc>
          <w:tcPr>
            <w:tcW w:w="435" w:type="pct"/>
            <w:vAlign w:val="center"/>
          </w:tcPr>
          <w:p w14:paraId="00BEB3A1">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CO</w:t>
            </w:r>
          </w:p>
        </w:tc>
        <w:tc>
          <w:tcPr>
            <w:tcW w:w="406" w:type="pct"/>
            <w:vAlign w:val="center"/>
          </w:tcPr>
          <w:p w14:paraId="2EFDE2AF">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O</w:t>
            </w:r>
            <w:r>
              <w:rPr>
                <w:rFonts w:ascii="Times New Roman" w:hAnsi="Times New Roman" w:cs="Times New Roman" w:eastAsiaTheme="minorEastAsia"/>
                <w:color w:val="auto"/>
                <w:w w:val="99"/>
                <w:kern w:val="2"/>
                <w:sz w:val="21"/>
                <w:szCs w:val="21"/>
                <w:highlight w:val="none"/>
                <w:vertAlign w:val="subscript"/>
              </w:rPr>
              <w:t>3</w:t>
            </w:r>
          </w:p>
        </w:tc>
        <w:tc>
          <w:tcPr>
            <w:tcW w:w="401" w:type="pct"/>
          </w:tcPr>
          <w:p w14:paraId="5CEE1A15">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NO</w:t>
            </w:r>
            <w:r>
              <w:rPr>
                <w:rFonts w:ascii="Times New Roman" w:hAnsi="Times New Roman" w:cs="Times New Roman" w:eastAsiaTheme="minorEastAsia"/>
                <w:color w:val="auto"/>
                <w:w w:val="99"/>
                <w:kern w:val="2"/>
                <w:sz w:val="21"/>
                <w:szCs w:val="21"/>
                <w:highlight w:val="none"/>
                <w:vertAlign w:val="subscript"/>
              </w:rPr>
              <w:t>X</w:t>
            </w:r>
          </w:p>
        </w:tc>
      </w:tr>
      <w:tr w14:paraId="2EBDD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25" w:type="pct"/>
            <w:gridSpan w:val="2"/>
            <w:vAlign w:val="center"/>
          </w:tcPr>
          <w:p w14:paraId="7735FB6B">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单位</w:t>
            </w:r>
          </w:p>
        </w:tc>
        <w:tc>
          <w:tcPr>
            <w:tcW w:w="406" w:type="pct"/>
            <w:vAlign w:val="center"/>
          </w:tcPr>
          <w:p w14:paraId="6CFB28A3">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μg/m</w:t>
            </w:r>
            <w:r>
              <w:rPr>
                <w:rFonts w:ascii="Times New Roman" w:hAnsi="Times New Roman" w:cs="Times New Roman" w:eastAsiaTheme="minorEastAsia"/>
                <w:bCs/>
                <w:color w:val="auto"/>
                <w:w w:val="99"/>
                <w:kern w:val="2"/>
                <w:sz w:val="21"/>
                <w:szCs w:val="21"/>
                <w:highlight w:val="none"/>
                <w:vertAlign w:val="superscript"/>
              </w:rPr>
              <w:t>3</w:t>
            </w:r>
          </w:p>
        </w:tc>
        <w:tc>
          <w:tcPr>
            <w:tcW w:w="407" w:type="pct"/>
            <w:vAlign w:val="center"/>
          </w:tcPr>
          <w:p w14:paraId="7A52DD49">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μg/m</w:t>
            </w:r>
            <w:r>
              <w:rPr>
                <w:rFonts w:ascii="Times New Roman" w:hAnsi="Times New Roman" w:cs="Times New Roman" w:eastAsiaTheme="minorEastAsia"/>
                <w:bCs/>
                <w:color w:val="auto"/>
                <w:w w:val="99"/>
                <w:kern w:val="2"/>
                <w:sz w:val="21"/>
                <w:szCs w:val="21"/>
                <w:highlight w:val="none"/>
                <w:vertAlign w:val="superscript"/>
              </w:rPr>
              <w:t>3</w:t>
            </w:r>
          </w:p>
        </w:tc>
        <w:tc>
          <w:tcPr>
            <w:tcW w:w="407" w:type="pct"/>
            <w:vAlign w:val="center"/>
          </w:tcPr>
          <w:p w14:paraId="58004542">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μg/m</w:t>
            </w:r>
            <w:r>
              <w:rPr>
                <w:rFonts w:ascii="Times New Roman" w:hAnsi="Times New Roman" w:cs="Times New Roman" w:eastAsiaTheme="minorEastAsia"/>
                <w:bCs/>
                <w:color w:val="auto"/>
                <w:w w:val="99"/>
                <w:kern w:val="2"/>
                <w:sz w:val="21"/>
                <w:szCs w:val="21"/>
                <w:highlight w:val="none"/>
                <w:vertAlign w:val="superscript"/>
              </w:rPr>
              <w:t>3</w:t>
            </w:r>
          </w:p>
        </w:tc>
        <w:tc>
          <w:tcPr>
            <w:tcW w:w="407" w:type="pct"/>
            <w:vAlign w:val="center"/>
          </w:tcPr>
          <w:p w14:paraId="1D6DEC0A">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μg/m</w:t>
            </w:r>
            <w:r>
              <w:rPr>
                <w:rFonts w:ascii="Times New Roman" w:hAnsi="Times New Roman" w:cs="Times New Roman" w:eastAsiaTheme="minorEastAsia"/>
                <w:bCs/>
                <w:color w:val="auto"/>
                <w:w w:val="99"/>
                <w:kern w:val="2"/>
                <w:sz w:val="21"/>
                <w:szCs w:val="21"/>
                <w:highlight w:val="none"/>
                <w:vertAlign w:val="superscript"/>
              </w:rPr>
              <w:t>3</w:t>
            </w:r>
          </w:p>
        </w:tc>
        <w:tc>
          <w:tcPr>
            <w:tcW w:w="407" w:type="pct"/>
            <w:vAlign w:val="center"/>
          </w:tcPr>
          <w:p w14:paraId="1D05072A">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μg/m</w:t>
            </w:r>
            <w:r>
              <w:rPr>
                <w:rFonts w:ascii="Times New Roman" w:hAnsi="Times New Roman" w:cs="Times New Roman" w:eastAsiaTheme="minorEastAsia"/>
                <w:bCs/>
                <w:color w:val="auto"/>
                <w:w w:val="99"/>
                <w:kern w:val="2"/>
                <w:sz w:val="21"/>
                <w:szCs w:val="21"/>
                <w:highlight w:val="none"/>
                <w:vertAlign w:val="superscript"/>
              </w:rPr>
              <w:t>3</w:t>
            </w:r>
          </w:p>
        </w:tc>
        <w:tc>
          <w:tcPr>
            <w:tcW w:w="435" w:type="pct"/>
            <w:vAlign w:val="center"/>
          </w:tcPr>
          <w:p w14:paraId="64F08D54">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mg/m</w:t>
            </w:r>
            <w:r>
              <w:rPr>
                <w:rFonts w:ascii="Times New Roman" w:hAnsi="Times New Roman" w:cs="Times New Roman" w:eastAsiaTheme="minorEastAsia"/>
                <w:bCs/>
                <w:color w:val="auto"/>
                <w:w w:val="99"/>
                <w:kern w:val="2"/>
                <w:sz w:val="21"/>
                <w:szCs w:val="21"/>
                <w:highlight w:val="none"/>
                <w:vertAlign w:val="superscript"/>
              </w:rPr>
              <w:t>3</w:t>
            </w:r>
          </w:p>
        </w:tc>
        <w:tc>
          <w:tcPr>
            <w:tcW w:w="406" w:type="pct"/>
            <w:vAlign w:val="center"/>
          </w:tcPr>
          <w:p w14:paraId="7B6ABCC2">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μg/m</w:t>
            </w:r>
            <w:r>
              <w:rPr>
                <w:rFonts w:ascii="Times New Roman" w:hAnsi="Times New Roman" w:cs="Times New Roman" w:eastAsiaTheme="minorEastAsia"/>
                <w:bCs/>
                <w:color w:val="auto"/>
                <w:w w:val="99"/>
                <w:kern w:val="2"/>
                <w:sz w:val="21"/>
                <w:szCs w:val="21"/>
                <w:highlight w:val="none"/>
                <w:vertAlign w:val="superscript"/>
              </w:rPr>
              <w:t>3</w:t>
            </w:r>
          </w:p>
        </w:tc>
        <w:tc>
          <w:tcPr>
            <w:tcW w:w="401" w:type="pct"/>
          </w:tcPr>
          <w:p w14:paraId="48D8583C">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μg/m</w:t>
            </w:r>
            <w:r>
              <w:rPr>
                <w:rFonts w:ascii="Times New Roman" w:hAnsi="Times New Roman" w:cs="Times New Roman" w:eastAsiaTheme="minorEastAsia"/>
                <w:bCs/>
                <w:color w:val="auto"/>
                <w:w w:val="99"/>
                <w:kern w:val="2"/>
                <w:sz w:val="21"/>
                <w:szCs w:val="21"/>
                <w:highlight w:val="none"/>
                <w:vertAlign w:val="superscript"/>
              </w:rPr>
              <w:t>3</w:t>
            </w:r>
          </w:p>
        </w:tc>
      </w:tr>
      <w:tr w14:paraId="41989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59" w:type="pct"/>
            <w:vMerge w:val="restart"/>
            <w:vAlign w:val="center"/>
          </w:tcPr>
          <w:p w14:paraId="43CAA6C4">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（GB3095-20</w:t>
            </w:r>
            <w:r>
              <w:rPr>
                <w:rFonts w:hint="eastAsia" w:ascii="Times New Roman" w:hAnsi="Times New Roman" w:cs="Times New Roman" w:eastAsiaTheme="minorEastAsia"/>
                <w:color w:val="auto"/>
                <w:w w:val="99"/>
                <w:kern w:val="2"/>
                <w:sz w:val="21"/>
                <w:szCs w:val="21"/>
                <w:highlight w:val="none"/>
              </w:rPr>
              <w:t>26</w:t>
            </w:r>
            <w:r>
              <w:rPr>
                <w:rFonts w:ascii="Times New Roman" w:hAnsi="Times New Roman" w:cs="Times New Roman" w:eastAsiaTheme="minorEastAsia"/>
                <w:color w:val="auto"/>
                <w:w w:val="99"/>
                <w:kern w:val="2"/>
                <w:sz w:val="21"/>
                <w:szCs w:val="21"/>
                <w:highlight w:val="none"/>
              </w:rPr>
              <w:t>）中</w:t>
            </w:r>
            <w:r>
              <w:rPr>
                <w:rFonts w:hint="eastAsia" w:ascii="Times New Roman" w:hAnsi="Times New Roman" w:cs="Times New Roman" w:eastAsiaTheme="minorEastAsia"/>
                <w:color w:val="auto"/>
                <w:w w:val="99"/>
                <w:kern w:val="2"/>
                <w:sz w:val="21"/>
                <w:szCs w:val="21"/>
                <w:highlight w:val="none"/>
                <w:lang w:val="en-US" w:eastAsia="zh-CN"/>
              </w:rPr>
              <w:t>过渡阶段</w:t>
            </w:r>
            <w:r>
              <w:rPr>
                <w:rFonts w:ascii="Times New Roman" w:hAnsi="Times New Roman" w:cs="Times New Roman" w:eastAsiaTheme="minorEastAsia"/>
                <w:color w:val="auto"/>
                <w:w w:val="99"/>
                <w:kern w:val="2"/>
                <w:sz w:val="21"/>
                <w:szCs w:val="21"/>
                <w:highlight w:val="none"/>
              </w:rPr>
              <w:t>二级浓度限值</w:t>
            </w:r>
          </w:p>
        </w:tc>
        <w:tc>
          <w:tcPr>
            <w:tcW w:w="866" w:type="pct"/>
            <w:vAlign w:val="center"/>
          </w:tcPr>
          <w:p w14:paraId="506C7D73">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年平均</w:t>
            </w:r>
          </w:p>
        </w:tc>
        <w:tc>
          <w:tcPr>
            <w:tcW w:w="406" w:type="pct"/>
            <w:vAlign w:val="center"/>
          </w:tcPr>
          <w:p w14:paraId="6D159338">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200</w:t>
            </w:r>
          </w:p>
        </w:tc>
        <w:tc>
          <w:tcPr>
            <w:tcW w:w="407" w:type="pct"/>
            <w:vAlign w:val="center"/>
          </w:tcPr>
          <w:p w14:paraId="6FBDC181">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60</w:t>
            </w:r>
          </w:p>
        </w:tc>
        <w:tc>
          <w:tcPr>
            <w:tcW w:w="407" w:type="pct"/>
            <w:vAlign w:val="center"/>
          </w:tcPr>
          <w:p w14:paraId="5DB55CEF">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30</w:t>
            </w:r>
          </w:p>
        </w:tc>
        <w:tc>
          <w:tcPr>
            <w:tcW w:w="407" w:type="pct"/>
            <w:vAlign w:val="center"/>
          </w:tcPr>
          <w:p w14:paraId="11BB2C65">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60</w:t>
            </w:r>
          </w:p>
        </w:tc>
        <w:tc>
          <w:tcPr>
            <w:tcW w:w="407" w:type="pct"/>
            <w:vAlign w:val="center"/>
          </w:tcPr>
          <w:p w14:paraId="54A2E3ED">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40</w:t>
            </w:r>
          </w:p>
        </w:tc>
        <w:tc>
          <w:tcPr>
            <w:tcW w:w="435" w:type="pct"/>
            <w:vAlign w:val="center"/>
          </w:tcPr>
          <w:p w14:paraId="080ECEA5">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06" w:type="pct"/>
            <w:vAlign w:val="center"/>
          </w:tcPr>
          <w:p w14:paraId="3B1A57B9">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01" w:type="pct"/>
          </w:tcPr>
          <w:p w14:paraId="7CA42E7E">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50</w:t>
            </w:r>
          </w:p>
        </w:tc>
      </w:tr>
      <w:tr w14:paraId="019C7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59" w:type="pct"/>
            <w:vMerge w:val="continue"/>
            <w:vAlign w:val="center"/>
          </w:tcPr>
          <w:p w14:paraId="15560BA5">
            <w:pPr>
              <w:widowControl w:val="0"/>
              <w:spacing w:line="360" w:lineRule="exact"/>
              <w:jc w:val="center"/>
              <w:rPr>
                <w:rFonts w:ascii="Times New Roman" w:hAnsi="Times New Roman" w:cs="Times New Roman" w:eastAsiaTheme="minorEastAsia"/>
                <w:color w:val="auto"/>
                <w:w w:val="99"/>
                <w:kern w:val="2"/>
                <w:sz w:val="21"/>
                <w:szCs w:val="21"/>
                <w:highlight w:val="none"/>
              </w:rPr>
            </w:pPr>
          </w:p>
        </w:tc>
        <w:tc>
          <w:tcPr>
            <w:tcW w:w="866" w:type="pct"/>
            <w:vAlign w:val="center"/>
          </w:tcPr>
          <w:p w14:paraId="2109630E">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24小时平均</w:t>
            </w:r>
          </w:p>
        </w:tc>
        <w:tc>
          <w:tcPr>
            <w:tcW w:w="406" w:type="pct"/>
            <w:vAlign w:val="center"/>
          </w:tcPr>
          <w:p w14:paraId="0029C6B6">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300</w:t>
            </w:r>
          </w:p>
        </w:tc>
        <w:tc>
          <w:tcPr>
            <w:tcW w:w="407" w:type="pct"/>
            <w:vAlign w:val="center"/>
          </w:tcPr>
          <w:p w14:paraId="5DB8F78D">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120</w:t>
            </w:r>
          </w:p>
        </w:tc>
        <w:tc>
          <w:tcPr>
            <w:tcW w:w="407" w:type="pct"/>
            <w:vAlign w:val="center"/>
          </w:tcPr>
          <w:p w14:paraId="1BFDC859">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60</w:t>
            </w:r>
          </w:p>
        </w:tc>
        <w:tc>
          <w:tcPr>
            <w:tcW w:w="407" w:type="pct"/>
            <w:vAlign w:val="center"/>
          </w:tcPr>
          <w:p w14:paraId="71FBC450">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150</w:t>
            </w:r>
          </w:p>
        </w:tc>
        <w:tc>
          <w:tcPr>
            <w:tcW w:w="407" w:type="pct"/>
            <w:vAlign w:val="center"/>
          </w:tcPr>
          <w:p w14:paraId="62A723ED">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80</w:t>
            </w:r>
          </w:p>
        </w:tc>
        <w:tc>
          <w:tcPr>
            <w:tcW w:w="435" w:type="pct"/>
            <w:vAlign w:val="center"/>
          </w:tcPr>
          <w:p w14:paraId="411A2678">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4</w:t>
            </w:r>
          </w:p>
        </w:tc>
        <w:tc>
          <w:tcPr>
            <w:tcW w:w="406" w:type="pct"/>
            <w:vAlign w:val="center"/>
          </w:tcPr>
          <w:p w14:paraId="2342AE99">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01" w:type="pct"/>
          </w:tcPr>
          <w:p w14:paraId="5030F7BA">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100</w:t>
            </w:r>
          </w:p>
        </w:tc>
      </w:tr>
      <w:tr w14:paraId="23321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59" w:type="pct"/>
            <w:vMerge w:val="continue"/>
            <w:vAlign w:val="center"/>
          </w:tcPr>
          <w:p w14:paraId="6A10D2FA">
            <w:pPr>
              <w:widowControl w:val="0"/>
              <w:spacing w:line="360" w:lineRule="exact"/>
              <w:jc w:val="center"/>
              <w:rPr>
                <w:rFonts w:ascii="Times New Roman" w:hAnsi="Times New Roman" w:cs="Times New Roman" w:eastAsiaTheme="minorEastAsia"/>
                <w:color w:val="auto"/>
                <w:w w:val="99"/>
                <w:kern w:val="2"/>
                <w:sz w:val="21"/>
                <w:szCs w:val="21"/>
                <w:highlight w:val="none"/>
              </w:rPr>
            </w:pPr>
          </w:p>
        </w:tc>
        <w:tc>
          <w:tcPr>
            <w:tcW w:w="866" w:type="pct"/>
            <w:vAlign w:val="center"/>
          </w:tcPr>
          <w:p w14:paraId="227ABF4D">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8小时平均</w:t>
            </w:r>
          </w:p>
        </w:tc>
        <w:tc>
          <w:tcPr>
            <w:tcW w:w="406" w:type="pct"/>
            <w:vAlign w:val="center"/>
          </w:tcPr>
          <w:p w14:paraId="5A09C34A">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07" w:type="pct"/>
            <w:vAlign w:val="center"/>
          </w:tcPr>
          <w:p w14:paraId="4395D150">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07" w:type="pct"/>
            <w:vAlign w:val="center"/>
          </w:tcPr>
          <w:p w14:paraId="658BC553">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07" w:type="pct"/>
            <w:vAlign w:val="center"/>
          </w:tcPr>
          <w:p w14:paraId="3E1DE422">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07" w:type="pct"/>
            <w:vAlign w:val="center"/>
          </w:tcPr>
          <w:p w14:paraId="1BC5C42C">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35" w:type="pct"/>
            <w:vAlign w:val="center"/>
          </w:tcPr>
          <w:p w14:paraId="0D037AF8">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06" w:type="pct"/>
            <w:vAlign w:val="center"/>
          </w:tcPr>
          <w:p w14:paraId="59912B4C">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160</w:t>
            </w:r>
          </w:p>
        </w:tc>
        <w:tc>
          <w:tcPr>
            <w:tcW w:w="401" w:type="pct"/>
          </w:tcPr>
          <w:p w14:paraId="3136ED15">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r>
      <w:tr w14:paraId="3A08C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59" w:type="pct"/>
            <w:vMerge w:val="continue"/>
            <w:vAlign w:val="center"/>
          </w:tcPr>
          <w:p w14:paraId="54855DE5">
            <w:pPr>
              <w:widowControl w:val="0"/>
              <w:spacing w:line="360" w:lineRule="exact"/>
              <w:jc w:val="center"/>
              <w:rPr>
                <w:rFonts w:ascii="Times New Roman" w:hAnsi="Times New Roman" w:cs="Times New Roman" w:eastAsiaTheme="minorEastAsia"/>
                <w:color w:val="auto"/>
                <w:w w:val="99"/>
                <w:kern w:val="2"/>
                <w:sz w:val="21"/>
                <w:szCs w:val="21"/>
                <w:highlight w:val="none"/>
              </w:rPr>
            </w:pPr>
          </w:p>
        </w:tc>
        <w:tc>
          <w:tcPr>
            <w:tcW w:w="866" w:type="pct"/>
            <w:vAlign w:val="center"/>
          </w:tcPr>
          <w:p w14:paraId="1B6FEEDD">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1小时平均</w:t>
            </w:r>
          </w:p>
        </w:tc>
        <w:tc>
          <w:tcPr>
            <w:tcW w:w="406" w:type="pct"/>
            <w:vAlign w:val="center"/>
          </w:tcPr>
          <w:p w14:paraId="302B5181">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07" w:type="pct"/>
            <w:vAlign w:val="center"/>
          </w:tcPr>
          <w:p w14:paraId="08E284B4">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07" w:type="pct"/>
            <w:vAlign w:val="center"/>
          </w:tcPr>
          <w:p w14:paraId="7509A1C3">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07" w:type="pct"/>
            <w:vAlign w:val="center"/>
          </w:tcPr>
          <w:p w14:paraId="0D8FB4C6">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500</w:t>
            </w:r>
          </w:p>
        </w:tc>
        <w:tc>
          <w:tcPr>
            <w:tcW w:w="407" w:type="pct"/>
            <w:vAlign w:val="center"/>
          </w:tcPr>
          <w:p w14:paraId="5D16B804">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200</w:t>
            </w:r>
          </w:p>
        </w:tc>
        <w:tc>
          <w:tcPr>
            <w:tcW w:w="435" w:type="pct"/>
            <w:vAlign w:val="center"/>
          </w:tcPr>
          <w:p w14:paraId="4B9E521C">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10</w:t>
            </w:r>
          </w:p>
        </w:tc>
        <w:tc>
          <w:tcPr>
            <w:tcW w:w="406" w:type="pct"/>
            <w:vAlign w:val="center"/>
          </w:tcPr>
          <w:p w14:paraId="13C0E227">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200</w:t>
            </w:r>
          </w:p>
        </w:tc>
        <w:tc>
          <w:tcPr>
            <w:tcW w:w="401" w:type="pct"/>
          </w:tcPr>
          <w:p w14:paraId="69B0ADCF">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250</w:t>
            </w:r>
          </w:p>
        </w:tc>
      </w:tr>
    </w:tbl>
    <w:p w14:paraId="7EE78281">
      <w:pPr>
        <w:widowControl w:val="0"/>
        <w:spacing w:line="440" w:lineRule="exact"/>
        <w:ind w:firstLine="476" w:firstLineChars="200"/>
        <w:rPr>
          <w:rFonts w:ascii="Times New Roman" w:hAnsi="Times New Roman" w:cs="Times New Roman"/>
          <w:b/>
          <w:bCs/>
          <w:color w:val="auto"/>
          <w:w w:val="99"/>
          <w:kern w:val="2"/>
          <w:szCs w:val="21"/>
          <w:highlight w:val="none"/>
        </w:rPr>
      </w:pPr>
      <w:r>
        <w:rPr>
          <w:rFonts w:ascii="Times New Roman" w:hAnsi="Times New Roman" w:cs="Times New Roman"/>
          <w:b/>
          <w:bCs/>
          <w:color w:val="auto"/>
          <w:w w:val="99"/>
          <w:kern w:val="2"/>
          <w:szCs w:val="20"/>
          <w:highlight w:val="none"/>
        </w:rPr>
        <w:t>表2.6-2    评价区域内其他污染物的浓度限值    单位：</w:t>
      </w:r>
      <w:r>
        <w:rPr>
          <w:rFonts w:ascii="Times New Roman" w:hAnsi="Times New Roman" w:cs="Times New Roman"/>
          <w:b/>
          <w:bCs/>
          <w:color w:val="auto"/>
          <w:w w:val="99"/>
          <w:kern w:val="2"/>
          <w:szCs w:val="21"/>
          <w:highlight w:val="none"/>
        </w:rPr>
        <w:t>mg/m</w:t>
      </w:r>
      <w:r>
        <w:rPr>
          <w:rFonts w:ascii="Times New Roman" w:hAnsi="Times New Roman" w:cs="Times New Roman"/>
          <w:b/>
          <w:bCs/>
          <w:color w:val="auto"/>
          <w:w w:val="99"/>
          <w:kern w:val="2"/>
          <w:szCs w:val="21"/>
          <w:highlight w:val="none"/>
          <w:vertAlign w:val="superscript"/>
        </w:rPr>
        <w:t>3</w:t>
      </w:r>
    </w:p>
    <w:tbl>
      <w:tblPr>
        <w:tblStyle w:val="8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1"/>
        <w:gridCol w:w="1862"/>
        <w:gridCol w:w="2291"/>
        <w:gridCol w:w="2291"/>
      </w:tblGrid>
      <w:tr w14:paraId="41049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9" w:type="pct"/>
            <w:vAlign w:val="center"/>
          </w:tcPr>
          <w:p w14:paraId="128685ED">
            <w:pPr>
              <w:widowControl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标准</w:t>
            </w:r>
          </w:p>
        </w:tc>
        <w:tc>
          <w:tcPr>
            <w:tcW w:w="1002" w:type="pct"/>
            <w:vAlign w:val="center"/>
          </w:tcPr>
          <w:p w14:paraId="4DCCA0B3">
            <w:pPr>
              <w:widowControl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污染物名称</w:t>
            </w:r>
          </w:p>
        </w:tc>
        <w:tc>
          <w:tcPr>
            <w:tcW w:w="1233" w:type="pct"/>
            <w:vAlign w:val="center"/>
          </w:tcPr>
          <w:p w14:paraId="3E3DD76F">
            <w:pPr>
              <w:widowControl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1h平均浓度参考限值</w:t>
            </w:r>
          </w:p>
        </w:tc>
        <w:tc>
          <w:tcPr>
            <w:tcW w:w="1233" w:type="pct"/>
            <w:vAlign w:val="center"/>
          </w:tcPr>
          <w:p w14:paraId="657E8015">
            <w:pPr>
              <w:widowControl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日均值</w:t>
            </w:r>
          </w:p>
        </w:tc>
      </w:tr>
      <w:tr w14:paraId="5BDCB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9" w:type="pct"/>
            <w:vAlign w:val="center"/>
          </w:tcPr>
          <w:p w14:paraId="6971D886">
            <w:pPr>
              <w:widowControl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《大气污染物综合排放标准详解》</w:t>
            </w:r>
          </w:p>
        </w:tc>
        <w:tc>
          <w:tcPr>
            <w:tcW w:w="1002" w:type="pct"/>
            <w:vAlign w:val="center"/>
          </w:tcPr>
          <w:p w14:paraId="4F8C80F8">
            <w:pPr>
              <w:widowControl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非甲烷总烃</w:t>
            </w:r>
          </w:p>
        </w:tc>
        <w:tc>
          <w:tcPr>
            <w:tcW w:w="1233" w:type="pct"/>
            <w:vAlign w:val="center"/>
          </w:tcPr>
          <w:p w14:paraId="5C3C8056">
            <w:pPr>
              <w:widowControl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2.0</w:t>
            </w:r>
          </w:p>
        </w:tc>
        <w:tc>
          <w:tcPr>
            <w:tcW w:w="1233" w:type="pct"/>
            <w:vAlign w:val="center"/>
          </w:tcPr>
          <w:p w14:paraId="18143FB5">
            <w:pPr>
              <w:widowControl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w:t>
            </w:r>
          </w:p>
        </w:tc>
      </w:tr>
      <w:tr w14:paraId="432D5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9" w:type="pct"/>
            <w:vAlign w:val="center"/>
          </w:tcPr>
          <w:p w14:paraId="3E1C7D89">
            <w:pPr>
              <w:widowControl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《环境影响评价技术导则 大气环境》</w:t>
            </w:r>
          </w:p>
        </w:tc>
        <w:tc>
          <w:tcPr>
            <w:tcW w:w="1002" w:type="pct"/>
            <w:vAlign w:val="center"/>
          </w:tcPr>
          <w:p w14:paraId="6608CC1B">
            <w:pPr>
              <w:widowControl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甲醇</w:t>
            </w:r>
          </w:p>
        </w:tc>
        <w:tc>
          <w:tcPr>
            <w:tcW w:w="1233" w:type="pct"/>
            <w:vAlign w:val="center"/>
          </w:tcPr>
          <w:p w14:paraId="7A8B11C1">
            <w:pPr>
              <w:widowControl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3.0</w:t>
            </w:r>
          </w:p>
        </w:tc>
        <w:tc>
          <w:tcPr>
            <w:tcW w:w="1233" w:type="pct"/>
            <w:vAlign w:val="center"/>
          </w:tcPr>
          <w:p w14:paraId="4435132C">
            <w:pPr>
              <w:widowControl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1.0</w:t>
            </w:r>
          </w:p>
        </w:tc>
      </w:tr>
    </w:tbl>
    <w:p w14:paraId="3D1A2F4F">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2.6.1.2地表水环境质量标准</w:t>
      </w:r>
    </w:p>
    <w:p w14:paraId="3095BB72">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项目区域附近地表水体为</w:t>
      </w:r>
      <w:r>
        <w:rPr>
          <w:rFonts w:hint="eastAsia" w:ascii="Times New Roman" w:hAnsi="Times New Roman"/>
          <w:snapToGrid w:val="0"/>
          <w:color w:val="auto"/>
          <w:w w:val="99"/>
          <w:highlight w:val="none"/>
        </w:rPr>
        <w:t>北大干渠</w:t>
      </w:r>
      <w:r>
        <w:rPr>
          <w:rFonts w:ascii="Times New Roman" w:hAnsi="Times New Roman"/>
          <w:snapToGrid w:val="0"/>
          <w:color w:val="auto"/>
          <w:w w:val="99"/>
          <w:highlight w:val="none"/>
        </w:rPr>
        <w:t>，</w:t>
      </w:r>
      <w:r>
        <w:rPr>
          <w:rFonts w:hint="eastAsia" w:ascii="Times New Roman" w:hAnsi="Times New Roman"/>
          <w:snapToGrid w:val="0"/>
          <w:color w:val="auto"/>
          <w:w w:val="99"/>
          <w:highlight w:val="none"/>
        </w:rPr>
        <w:t>该干渠</w:t>
      </w:r>
      <w:r>
        <w:rPr>
          <w:rFonts w:ascii="Times New Roman" w:hAnsi="Times New Roman"/>
          <w:snapToGrid w:val="0"/>
          <w:color w:val="auto"/>
          <w:w w:val="99"/>
          <w:highlight w:val="none"/>
        </w:rPr>
        <w:t>未划分水环境功能区，</w:t>
      </w:r>
      <w:r>
        <w:rPr>
          <w:rFonts w:hint="eastAsia" w:ascii="Times New Roman" w:hAnsi="Times New Roman"/>
          <w:snapToGrid w:val="0"/>
          <w:color w:val="auto"/>
          <w:w w:val="99"/>
          <w:highlight w:val="none"/>
        </w:rPr>
        <w:t>且</w:t>
      </w:r>
      <w:r>
        <w:rPr>
          <w:rFonts w:ascii="Times New Roman" w:hAnsi="Times New Roman"/>
          <w:color w:val="auto"/>
          <w:w w:val="99"/>
          <w:szCs w:val="20"/>
          <w:highlight w:val="none"/>
        </w:rPr>
        <w:t>本项目属于水污染影响型三级B评价，可不开展区域污染源调查</w:t>
      </w:r>
      <w:r>
        <w:rPr>
          <w:rFonts w:hint="eastAsia" w:ascii="Times New Roman" w:hAnsi="Times New Roman"/>
          <w:color w:val="auto"/>
          <w:w w:val="99"/>
          <w:szCs w:val="20"/>
          <w:highlight w:val="none"/>
        </w:rPr>
        <w:t>，</w:t>
      </w:r>
      <w:r>
        <w:rPr>
          <w:rFonts w:hint="eastAsia" w:ascii="Times New Roman" w:hAnsi="Times New Roman"/>
          <w:snapToGrid w:val="0"/>
          <w:color w:val="auto"/>
          <w:w w:val="99"/>
          <w:highlight w:val="none"/>
        </w:rPr>
        <w:t>无执行标准</w:t>
      </w:r>
      <w:r>
        <w:rPr>
          <w:rFonts w:ascii="Times New Roman" w:hAnsi="Times New Roman"/>
          <w:snapToGrid w:val="0"/>
          <w:color w:val="auto"/>
          <w:w w:val="99"/>
          <w:highlight w:val="none"/>
        </w:rPr>
        <w:t>，</w:t>
      </w:r>
      <w:r>
        <w:rPr>
          <w:rFonts w:hint="eastAsia" w:ascii="Times New Roman" w:hAnsi="Times New Roman"/>
          <w:snapToGrid w:val="0"/>
          <w:color w:val="auto"/>
          <w:w w:val="99"/>
          <w:highlight w:val="none"/>
        </w:rPr>
        <w:t>根据现场调查，</w:t>
      </w:r>
      <w:r>
        <w:rPr>
          <w:rFonts w:hint="eastAsia" w:ascii="Times New Roman" w:hAnsi="Times New Roman"/>
          <w:snapToGrid w:val="0"/>
          <w:color w:val="auto"/>
          <w:w w:val="99"/>
          <w:highlight w:val="none"/>
          <w:lang w:val="en-US" w:eastAsia="zh-CN"/>
        </w:rPr>
        <w:t>调查期间</w:t>
      </w:r>
      <w:r>
        <w:rPr>
          <w:rFonts w:hint="eastAsia" w:ascii="Times New Roman" w:hAnsi="Times New Roman"/>
          <w:snapToGrid w:val="0"/>
          <w:color w:val="auto"/>
          <w:w w:val="99"/>
          <w:highlight w:val="none"/>
        </w:rPr>
        <w:t>北大干渠为干涸状态</w:t>
      </w:r>
      <w:r>
        <w:rPr>
          <w:rFonts w:ascii="Times New Roman" w:hAnsi="Times New Roman"/>
          <w:snapToGrid w:val="0"/>
          <w:color w:val="auto"/>
          <w:w w:val="99"/>
          <w:highlight w:val="none"/>
        </w:rPr>
        <w:t>。</w:t>
      </w:r>
    </w:p>
    <w:p w14:paraId="7B44E4C5">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2.6.1.3地下水质量标准</w:t>
      </w:r>
    </w:p>
    <w:p w14:paraId="1D094A09">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根据调查，评价区域地下水使用功能为农业灌溉用水、牲畜用水及村民饮用水，地下水质量执行《地下水质量标准》（GB/T14848-2017）III类标准，石油类参考执行《地表水环境质量标准》（GB3838-2002）表1中的II类标准限值要求，具体见表2.6-3。</w:t>
      </w:r>
    </w:p>
    <w:p w14:paraId="086A077A">
      <w:pPr>
        <w:widowControl w:val="0"/>
        <w:spacing w:line="440" w:lineRule="exact"/>
        <w:ind w:firstLine="476" w:firstLineChars="200"/>
        <w:jc w:val="both"/>
        <w:rPr>
          <w:rFonts w:ascii="Times New Roman" w:hAnsi="Times New Roman" w:cs="Times New Roman"/>
          <w:color w:val="auto"/>
          <w:w w:val="99"/>
          <w:highlight w:val="none"/>
        </w:rPr>
      </w:pPr>
      <w:r>
        <w:rPr>
          <w:rFonts w:ascii="Times New Roman" w:hAnsi="Times New Roman" w:cs="Times New Roman" w:eastAsiaTheme="minorEastAsia"/>
          <w:b/>
          <w:color w:val="auto"/>
          <w:w w:val="99"/>
          <w:kern w:val="2"/>
          <w:szCs w:val="20"/>
          <w:highlight w:val="none"/>
        </w:rPr>
        <w:t>表2.6-3</w:t>
      </w:r>
      <w:r>
        <w:rPr>
          <w:rFonts w:ascii="Times New Roman" w:hAnsi="Times New Roman" w:cs="Times New Roman" w:eastAsiaTheme="minorEastAsia"/>
          <w:b/>
          <w:color w:val="auto"/>
          <w:w w:val="99"/>
          <w:kern w:val="2"/>
          <w:highlight w:val="none"/>
        </w:rPr>
        <w:t xml:space="preserve">    地下水质量标准</w:t>
      </w:r>
    </w:p>
    <w:tbl>
      <w:tblPr>
        <w:tblStyle w:val="8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35"/>
        <w:gridCol w:w="2457"/>
        <w:gridCol w:w="3695"/>
      </w:tblGrid>
      <w:tr w14:paraId="0B667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tcBorders>
              <w:tl2br w:val="single" w:color="auto" w:sz="4" w:space="0"/>
            </w:tcBorders>
            <w:vAlign w:val="center"/>
          </w:tcPr>
          <w:p w14:paraId="66AD7C61">
            <w:pPr>
              <w:spacing w:line="360" w:lineRule="exact"/>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 xml:space="preserve">          类别</w:t>
            </w:r>
          </w:p>
          <w:p w14:paraId="288983C2">
            <w:pPr>
              <w:spacing w:line="360" w:lineRule="exact"/>
              <w:ind w:firstLine="828" w:firstLineChars="400"/>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项目</w:t>
            </w:r>
          </w:p>
        </w:tc>
        <w:tc>
          <w:tcPr>
            <w:tcW w:w="1323" w:type="pct"/>
            <w:vAlign w:val="center"/>
          </w:tcPr>
          <w:p w14:paraId="3E90803E">
            <w:pPr>
              <w:spacing w:line="360" w:lineRule="exact"/>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标准</w:t>
            </w:r>
          </w:p>
        </w:tc>
        <w:tc>
          <w:tcPr>
            <w:tcW w:w="1989" w:type="pct"/>
            <w:vAlign w:val="center"/>
          </w:tcPr>
          <w:p w14:paraId="4894B166">
            <w:pPr>
              <w:spacing w:line="360" w:lineRule="exact"/>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标准来源</w:t>
            </w:r>
          </w:p>
        </w:tc>
      </w:tr>
      <w:tr w14:paraId="4169A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76213BDE">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pH（无纲量）</w:t>
            </w:r>
          </w:p>
        </w:tc>
        <w:tc>
          <w:tcPr>
            <w:tcW w:w="1323" w:type="pct"/>
            <w:vAlign w:val="center"/>
          </w:tcPr>
          <w:p w14:paraId="74029CB2">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6.5～8.5</w:t>
            </w:r>
          </w:p>
        </w:tc>
        <w:tc>
          <w:tcPr>
            <w:tcW w:w="1989" w:type="pct"/>
            <w:vMerge w:val="restart"/>
            <w:vAlign w:val="center"/>
          </w:tcPr>
          <w:p w14:paraId="23424BFB">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《地下水质量标准》（GB/T14848-2017）中Ⅲ类标准</w:t>
            </w:r>
          </w:p>
        </w:tc>
      </w:tr>
      <w:tr w14:paraId="61DB2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0CDDF3DC">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氨氮（mg/L）</w:t>
            </w:r>
          </w:p>
        </w:tc>
        <w:tc>
          <w:tcPr>
            <w:tcW w:w="1323" w:type="pct"/>
            <w:vAlign w:val="center"/>
          </w:tcPr>
          <w:p w14:paraId="39E0EEF4">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0.5</w:t>
            </w:r>
          </w:p>
        </w:tc>
        <w:tc>
          <w:tcPr>
            <w:tcW w:w="1989" w:type="pct"/>
            <w:vMerge w:val="continue"/>
            <w:vAlign w:val="center"/>
          </w:tcPr>
          <w:p w14:paraId="053BCAAE">
            <w:pPr>
              <w:spacing w:line="360" w:lineRule="exact"/>
              <w:jc w:val="center"/>
              <w:rPr>
                <w:rFonts w:ascii="Times New Roman" w:hAnsi="Times New Roman" w:cs="Times New Roman"/>
                <w:color w:val="auto"/>
                <w:w w:val="99"/>
                <w:kern w:val="2"/>
                <w:sz w:val="21"/>
                <w:szCs w:val="21"/>
                <w:highlight w:val="none"/>
              </w:rPr>
            </w:pPr>
          </w:p>
        </w:tc>
      </w:tr>
      <w:tr w14:paraId="31010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2F4D3E44">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硝酸盐(以N计)（mg/L）</w:t>
            </w:r>
          </w:p>
        </w:tc>
        <w:tc>
          <w:tcPr>
            <w:tcW w:w="1323" w:type="pct"/>
            <w:vAlign w:val="center"/>
          </w:tcPr>
          <w:p w14:paraId="415A8AFF">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20</w:t>
            </w:r>
          </w:p>
        </w:tc>
        <w:tc>
          <w:tcPr>
            <w:tcW w:w="1989" w:type="pct"/>
            <w:vMerge w:val="continue"/>
            <w:vAlign w:val="center"/>
          </w:tcPr>
          <w:p w14:paraId="49933FBD">
            <w:pPr>
              <w:spacing w:line="360" w:lineRule="exact"/>
              <w:jc w:val="center"/>
              <w:rPr>
                <w:rFonts w:ascii="Times New Roman" w:hAnsi="Times New Roman" w:cs="Times New Roman"/>
                <w:color w:val="auto"/>
                <w:w w:val="99"/>
                <w:kern w:val="2"/>
                <w:sz w:val="21"/>
                <w:szCs w:val="21"/>
                <w:highlight w:val="none"/>
              </w:rPr>
            </w:pPr>
          </w:p>
        </w:tc>
      </w:tr>
      <w:tr w14:paraId="6B538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10607750">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亚硝酸盐(以N计)（mg/L）</w:t>
            </w:r>
          </w:p>
        </w:tc>
        <w:tc>
          <w:tcPr>
            <w:tcW w:w="1323" w:type="pct"/>
            <w:vAlign w:val="center"/>
          </w:tcPr>
          <w:p w14:paraId="5FCDFBDF">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1.0</w:t>
            </w:r>
          </w:p>
        </w:tc>
        <w:tc>
          <w:tcPr>
            <w:tcW w:w="1989" w:type="pct"/>
            <w:vMerge w:val="continue"/>
            <w:vAlign w:val="center"/>
          </w:tcPr>
          <w:p w14:paraId="7C44829C">
            <w:pPr>
              <w:spacing w:line="360" w:lineRule="exact"/>
              <w:jc w:val="center"/>
              <w:rPr>
                <w:rFonts w:ascii="Times New Roman" w:hAnsi="Times New Roman" w:cs="Times New Roman"/>
                <w:color w:val="auto"/>
                <w:w w:val="99"/>
                <w:kern w:val="2"/>
                <w:sz w:val="21"/>
                <w:szCs w:val="21"/>
                <w:highlight w:val="none"/>
              </w:rPr>
            </w:pPr>
          </w:p>
        </w:tc>
      </w:tr>
      <w:tr w14:paraId="6E426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7EF0F192">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挥发性酚类（mg/L）</w:t>
            </w:r>
          </w:p>
        </w:tc>
        <w:tc>
          <w:tcPr>
            <w:tcW w:w="1323" w:type="pct"/>
            <w:vAlign w:val="center"/>
          </w:tcPr>
          <w:p w14:paraId="7C7066BF">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0.002</w:t>
            </w:r>
          </w:p>
        </w:tc>
        <w:tc>
          <w:tcPr>
            <w:tcW w:w="1989" w:type="pct"/>
            <w:vMerge w:val="continue"/>
            <w:vAlign w:val="center"/>
          </w:tcPr>
          <w:p w14:paraId="7F229F33">
            <w:pPr>
              <w:spacing w:line="360" w:lineRule="exact"/>
              <w:jc w:val="center"/>
              <w:rPr>
                <w:rFonts w:ascii="Times New Roman" w:hAnsi="Times New Roman" w:cs="Times New Roman"/>
                <w:color w:val="auto"/>
                <w:w w:val="99"/>
                <w:kern w:val="2"/>
                <w:sz w:val="21"/>
                <w:szCs w:val="21"/>
                <w:highlight w:val="none"/>
              </w:rPr>
            </w:pPr>
          </w:p>
        </w:tc>
      </w:tr>
      <w:tr w14:paraId="0714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0413C860">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氰化物（mg/L）</w:t>
            </w:r>
          </w:p>
        </w:tc>
        <w:tc>
          <w:tcPr>
            <w:tcW w:w="1323" w:type="pct"/>
            <w:vAlign w:val="center"/>
          </w:tcPr>
          <w:p w14:paraId="05FABA75">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0.05</w:t>
            </w:r>
          </w:p>
        </w:tc>
        <w:tc>
          <w:tcPr>
            <w:tcW w:w="1989" w:type="pct"/>
            <w:vMerge w:val="continue"/>
            <w:vAlign w:val="center"/>
          </w:tcPr>
          <w:p w14:paraId="7ECFDB17">
            <w:pPr>
              <w:spacing w:line="360" w:lineRule="exact"/>
              <w:jc w:val="center"/>
              <w:rPr>
                <w:rFonts w:ascii="Times New Roman" w:hAnsi="Times New Roman" w:cs="Times New Roman"/>
                <w:color w:val="auto"/>
                <w:w w:val="99"/>
                <w:kern w:val="2"/>
                <w:sz w:val="21"/>
                <w:szCs w:val="21"/>
                <w:highlight w:val="none"/>
              </w:rPr>
            </w:pPr>
          </w:p>
        </w:tc>
      </w:tr>
      <w:tr w14:paraId="1BD00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4976F8E4">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砷（mg/L）</w:t>
            </w:r>
          </w:p>
        </w:tc>
        <w:tc>
          <w:tcPr>
            <w:tcW w:w="1323" w:type="pct"/>
            <w:vAlign w:val="center"/>
          </w:tcPr>
          <w:p w14:paraId="74370CDB">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0.01</w:t>
            </w:r>
          </w:p>
        </w:tc>
        <w:tc>
          <w:tcPr>
            <w:tcW w:w="1989" w:type="pct"/>
            <w:vMerge w:val="continue"/>
            <w:vAlign w:val="center"/>
          </w:tcPr>
          <w:p w14:paraId="7EF51914">
            <w:pPr>
              <w:spacing w:line="360" w:lineRule="exact"/>
              <w:jc w:val="center"/>
              <w:rPr>
                <w:rFonts w:ascii="Times New Roman" w:hAnsi="Times New Roman" w:cs="Times New Roman"/>
                <w:color w:val="auto"/>
                <w:w w:val="99"/>
                <w:kern w:val="2"/>
                <w:sz w:val="21"/>
                <w:szCs w:val="21"/>
                <w:highlight w:val="none"/>
              </w:rPr>
            </w:pPr>
          </w:p>
        </w:tc>
      </w:tr>
      <w:tr w14:paraId="0D298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16B4281B">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汞（mg/L）</w:t>
            </w:r>
          </w:p>
        </w:tc>
        <w:tc>
          <w:tcPr>
            <w:tcW w:w="1323" w:type="pct"/>
            <w:vAlign w:val="center"/>
          </w:tcPr>
          <w:p w14:paraId="18734A36">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0.001</w:t>
            </w:r>
          </w:p>
        </w:tc>
        <w:tc>
          <w:tcPr>
            <w:tcW w:w="1989" w:type="pct"/>
            <w:vMerge w:val="continue"/>
            <w:vAlign w:val="center"/>
          </w:tcPr>
          <w:p w14:paraId="19F2A826">
            <w:pPr>
              <w:spacing w:line="360" w:lineRule="exact"/>
              <w:jc w:val="center"/>
              <w:rPr>
                <w:rFonts w:ascii="Times New Roman" w:hAnsi="Times New Roman" w:cs="Times New Roman"/>
                <w:color w:val="auto"/>
                <w:w w:val="99"/>
                <w:kern w:val="2"/>
                <w:sz w:val="21"/>
                <w:szCs w:val="21"/>
                <w:highlight w:val="none"/>
              </w:rPr>
            </w:pPr>
          </w:p>
        </w:tc>
      </w:tr>
      <w:tr w14:paraId="2E169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0DE9DFF0">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铬（六价）（mg/L）</w:t>
            </w:r>
          </w:p>
        </w:tc>
        <w:tc>
          <w:tcPr>
            <w:tcW w:w="1323" w:type="pct"/>
            <w:vAlign w:val="center"/>
          </w:tcPr>
          <w:p w14:paraId="6040AFAF">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0.05</w:t>
            </w:r>
          </w:p>
        </w:tc>
        <w:tc>
          <w:tcPr>
            <w:tcW w:w="1989" w:type="pct"/>
            <w:vMerge w:val="continue"/>
            <w:vAlign w:val="center"/>
          </w:tcPr>
          <w:p w14:paraId="2CA0C0F0">
            <w:pPr>
              <w:spacing w:line="360" w:lineRule="exact"/>
              <w:jc w:val="center"/>
              <w:rPr>
                <w:rFonts w:ascii="Times New Roman" w:hAnsi="Times New Roman" w:cs="Times New Roman"/>
                <w:color w:val="auto"/>
                <w:w w:val="99"/>
                <w:kern w:val="2"/>
                <w:sz w:val="21"/>
                <w:szCs w:val="21"/>
                <w:highlight w:val="none"/>
              </w:rPr>
            </w:pPr>
          </w:p>
        </w:tc>
      </w:tr>
      <w:tr w14:paraId="4BC06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3347E565">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总硬度（mg/L）</w:t>
            </w:r>
          </w:p>
        </w:tc>
        <w:tc>
          <w:tcPr>
            <w:tcW w:w="1323" w:type="pct"/>
            <w:vAlign w:val="center"/>
          </w:tcPr>
          <w:p w14:paraId="68383373">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450</w:t>
            </w:r>
          </w:p>
        </w:tc>
        <w:tc>
          <w:tcPr>
            <w:tcW w:w="1989" w:type="pct"/>
            <w:vMerge w:val="continue"/>
            <w:vAlign w:val="center"/>
          </w:tcPr>
          <w:p w14:paraId="4F1AA1DC">
            <w:pPr>
              <w:spacing w:line="360" w:lineRule="exact"/>
              <w:jc w:val="center"/>
              <w:rPr>
                <w:rFonts w:ascii="Times New Roman" w:hAnsi="Times New Roman" w:cs="Times New Roman"/>
                <w:color w:val="auto"/>
                <w:w w:val="99"/>
                <w:kern w:val="2"/>
                <w:sz w:val="21"/>
                <w:szCs w:val="21"/>
                <w:highlight w:val="none"/>
              </w:rPr>
            </w:pPr>
          </w:p>
        </w:tc>
      </w:tr>
      <w:tr w14:paraId="015D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2E7D1F47">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铅（mg/L）</w:t>
            </w:r>
          </w:p>
        </w:tc>
        <w:tc>
          <w:tcPr>
            <w:tcW w:w="1323" w:type="pct"/>
            <w:vAlign w:val="center"/>
          </w:tcPr>
          <w:p w14:paraId="1125A8E2">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0.01</w:t>
            </w:r>
          </w:p>
        </w:tc>
        <w:tc>
          <w:tcPr>
            <w:tcW w:w="1989" w:type="pct"/>
            <w:vMerge w:val="continue"/>
            <w:vAlign w:val="center"/>
          </w:tcPr>
          <w:p w14:paraId="6CCCA184">
            <w:pPr>
              <w:spacing w:line="360" w:lineRule="exact"/>
              <w:jc w:val="center"/>
              <w:rPr>
                <w:rFonts w:ascii="Times New Roman" w:hAnsi="Times New Roman" w:cs="Times New Roman"/>
                <w:color w:val="auto"/>
                <w:w w:val="99"/>
                <w:kern w:val="2"/>
                <w:sz w:val="21"/>
                <w:szCs w:val="21"/>
                <w:highlight w:val="none"/>
              </w:rPr>
            </w:pPr>
          </w:p>
        </w:tc>
      </w:tr>
      <w:tr w14:paraId="4A393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726F3E7C">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氟化物（mg/L）</w:t>
            </w:r>
          </w:p>
        </w:tc>
        <w:tc>
          <w:tcPr>
            <w:tcW w:w="1323" w:type="pct"/>
            <w:vAlign w:val="center"/>
          </w:tcPr>
          <w:p w14:paraId="30BD10FD">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1.0</w:t>
            </w:r>
          </w:p>
        </w:tc>
        <w:tc>
          <w:tcPr>
            <w:tcW w:w="1989" w:type="pct"/>
            <w:vMerge w:val="continue"/>
            <w:vAlign w:val="center"/>
          </w:tcPr>
          <w:p w14:paraId="6041752D">
            <w:pPr>
              <w:spacing w:line="360" w:lineRule="exact"/>
              <w:jc w:val="center"/>
              <w:rPr>
                <w:rFonts w:ascii="Times New Roman" w:hAnsi="Times New Roman" w:cs="Times New Roman"/>
                <w:color w:val="auto"/>
                <w:w w:val="99"/>
                <w:kern w:val="2"/>
                <w:sz w:val="21"/>
                <w:szCs w:val="21"/>
                <w:highlight w:val="none"/>
              </w:rPr>
            </w:pPr>
          </w:p>
        </w:tc>
      </w:tr>
      <w:tr w14:paraId="6C181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0F6D8B3D">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镉（mg/L）</w:t>
            </w:r>
          </w:p>
        </w:tc>
        <w:tc>
          <w:tcPr>
            <w:tcW w:w="1323" w:type="pct"/>
            <w:vAlign w:val="center"/>
          </w:tcPr>
          <w:p w14:paraId="78834B9E">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0.005</w:t>
            </w:r>
          </w:p>
        </w:tc>
        <w:tc>
          <w:tcPr>
            <w:tcW w:w="1989" w:type="pct"/>
            <w:vMerge w:val="continue"/>
            <w:vAlign w:val="center"/>
          </w:tcPr>
          <w:p w14:paraId="5FF8EFE5">
            <w:pPr>
              <w:spacing w:line="360" w:lineRule="exact"/>
              <w:jc w:val="center"/>
              <w:rPr>
                <w:rFonts w:ascii="Times New Roman" w:hAnsi="Times New Roman" w:cs="Times New Roman"/>
                <w:color w:val="auto"/>
                <w:w w:val="99"/>
                <w:kern w:val="2"/>
                <w:sz w:val="21"/>
                <w:szCs w:val="21"/>
                <w:highlight w:val="none"/>
              </w:rPr>
            </w:pPr>
          </w:p>
        </w:tc>
      </w:tr>
      <w:tr w14:paraId="44002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73F716D8">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钠（mg/L）</w:t>
            </w:r>
          </w:p>
        </w:tc>
        <w:tc>
          <w:tcPr>
            <w:tcW w:w="1323" w:type="pct"/>
            <w:vAlign w:val="center"/>
          </w:tcPr>
          <w:p w14:paraId="69345D91">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200</w:t>
            </w:r>
          </w:p>
        </w:tc>
        <w:tc>
          <w:tcPr>
            <w:tcW w:w="1989" w:type="pct"/>
            <w:vMerge w:val="continue"/>
            <w:vAlign w:val="center"/>
          </w:tcPr>
          <w:p w14:paraId="18F682AF">
            <w:pPr>
              <w:spacing w:line="360" w:lineRule="exact"/>
              <w:jc w:val="center"/>
              <w:rPr>
                <w:rFonts w:ascii="Times New Roman" w:hAnsi="Times New Roman" w:cs="Times New Roman"/>
                <w:color w:val="auto"/>
                <w:w w:val="99"/>
                <w:kern w:val="2"/>
                <w:sz w:val="21"/>
                <w:szCs w:val="21"/>
                <w:highlight w:val="none"/>
              </w:rPr>
            </w:pPr>
          </w:p>
        </w:tc>
      </w:tr>
      <w:tr w14:paraId="3FF71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54379748">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铁（mg/L）</w:t>
            </w:r>
          </w:p>
        </w:tc>
        <w:tc>
          <w:tcPr>
            <w:tcW w:w="1323" w:type="pct"/>
            <w:vAlign w:val="center"/>
          </w:tcPr>
          <w:p w14:paraId="73B393BF">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0.3</w:t>
            </w:r>
          </w:p>
        </w:tc>
        <w:tc>
          <w:tcPr>
            <w:tcW w:w="1989" w:type="pct"/>
            <w:vMerge w:val="continue"/>
            <w:vAlign w:val="center"/>
          </w:tcPr>
          <w:p w14:paraId="4B380A7C">
            <w:pPr>
              <w:spacing w:line="360" w:lineRule="exact"/>
              <w:jc w:val="center"/>
              <w:rPr>
                <w:rFonts w:ascii="Times New Roman" w:hAnsi="Times New Roman" w:cs="Times New Roman"/>
                <w:color w:val="auto"/>
                <w:w w:val="99"/>
                <w:kern w:val="2"/>
                <w:sz w:val="21"/>
                <w:szCs w:val="21"/>
                <w:highlight w:val="none"/>
              </w:rPr>
            </w:pPr>
          </w:p>
        </w:tc>
      </w:tr>
      <w:tr w14:paraId="3219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05A8969F">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锰（mg/L）</w:t>
            </w:r>
          </w:p>
        </w:tc>
        <w:tc>
          <w:tcPr>
            <w:tcW w:w="1323" w:type="pct"/>
            <w:vAlign w:val="center"/>
          </w:tcPr>
          <w:p w14:paraId="2FA708FC">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0.1</w:t>
            </w:r>
          </w:p>
        </w:tc>
        <w:tc>
          <w:tcPr>
            <w:tcW w:w="1989" w:type="pct"/>
            <w:vMerge w:val="continue"/>
            <w:vAlign w:val="center"/>
          </w:tcPr>
          <w:p w14:paraId="3610805E">
            <w:pPr>
              <w:spacing w:line="360" w:lineRule="exact"/>
              <w:jc w:val="center"/>
              <w:rPr>
                <w:rFonts w:ascii="Times New Roman" w:hAnsi="Times New Roman" w:cs="Times New Roman"/>
                <w:color w:val="auto"/>
                <w:w w:val="99"/>
                <w:kern w:val="2"/>
                <w:sz w:val="21"/>
                <w:szCs w:val="21"/>
                <w:highlight w:val="none"/>
              </w:rPr>
            </w:pPr>
          </w:p>
        </w:tc>
      </w:tr>
      <w:tr w14:paraId="6622A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12B6A7EF">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溶解性总固体（mg/L）</w:t>
            </w:r>
          </w:p>
        </w:tc>
        <w:tc>
          <w:tcPr>
            <w:tcW w:w="1323" w:type="pct"/>
            <w:vAlign w:val="center"/>
          </w:tcPr>
          <w:p w14:paraId="045530F4">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1000</w:t>
            </w:r>
          </w:p>
        </w:tc>
        <w:tc>
          <w:tcPr>
            <w:tcW w:w="1989" w:type="pct"/>
            <w:vMerge w:val="continue"/>
            <w:vAlign w:val="center"/>
          </w:tcPr>
          <w:p w14:paraId="5343ABCC">
            <w:pPr>
              <w:spacing w:line="360" w:lineRule="exact"/>
              <w:jc w:val="center"/>
              <w:rPr>
                <w:rFonts w:ascii="Times New Roman" w:hAnsi="Times New Roman" w:cs="Times New Roman"/>
                <w:color w:val="auto"/>
                <w:w w:val="99"/>
                <w:kern w:val="2"/>
                <w:sz w:val="21"/>
                <w:szCs w:val="21"/>
                <w:highlight w:val="none"/>
              </w:rPr>
            </w:pPr>
          </w:p>
        </w:tc>
      </w:tr>
      <w:tr w14:paraId="515CB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59D13490">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耗氧量（mg/L）</w:t>
            </w:r>
          </w:p>
        </w:tc>
        <w:tc>
          <w:tcPr>
            <w:tcW w:w="1323" w:type="pct"/>
            <w:vAlign w:val="center"/>
          </w:tcPr>
          <w:p w14:paraId="49DA69AE">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3.0</w:t>
            </w:r>
          </w:p>
        </w:tc>
        <w:tc>
          <w:tcPr>
            <w:tcW w:w="1989" w:type="pct"/>
            <w:vMerge w:val="continue"/>
            <w:vAlign w:val="center"/>
          </w:tcPr>
          <w:p w14:paraId="5B150B3B">
            <w:pPr>
              <w:spacing w:line="360" w:lineRule="exact"/>
              <w:jc w:val="center"/>
              <w:rPr>
                <w:rFonts w:ascii="Times New Roman" w:hAnsi="Times New Roman" w:cs="Times New Roman"/>
                <w:color w:val="auto"/>
                <w:w w:val="99"/>
                <w:kern w:val="2"/>
                <w:sz w:val="21"/>
                <w:szCs w:val="21"/>
                <w:highlight w:val="none"/>
              </w:rPr>
            </w:pPr>
          </w:p>
        </w:tc>
      </w:tr>
      <w:tr w14:paraId="7E9E4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6D5EAE07">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硫酸盐（mg/L）</w:t>
            </w:r>
          </w:p>
        </w:tc>
        <w:tc>
          <w:tcPr>
            <w:tcW w:w="1323" w:type="pct"/>
            <w:vAlign w:val="center"/>
          </w:tcPr>
          <w:p w14:paraId="64473B67">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250</w:t>
            </w:r>
          </w:p>
        </w:tc>
        <w:tc>
          <w:tcPr>
            <w:tcW w:w="1989" w:type="pct"/>
            <w:vMerge w:val="continue"/>
            <w:vAlign w:val="center"/>
          </w:tcPr>
          <w:p w14:paraId="1BBEB7CF">
            <w:pPr>
              <w:spacing w:line="360" w:lineRule="exact"/>
              <w:jc w:val="center"/>
              <w:rPr>
                <w:rFonts w:ascii="Times New Roman" w:hAnsi="Times New Roman" w:cs="Times New Roman"/>
                <w:color w:val="auto"/>
                <w:w w:val="99"/>
                <w:kern w:val="2"/>
                <w:sz w:val="21"/>
                <w:szCs w:val="21"/>
                <w:highlight w:val="none"/>
              </w:rPr>
            </w:pPr>
          </w:p>
        </w:tc>
      </w:tr>
      <w:tr w14:paraId="56F9D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1A33775A">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氯化物（mg/L）</w:t>
            </w:r>
          </w:p>
        </w:tc>
        <w:tc>
          <w:tcPr>
            <w:tcW w:w="1323" w:type="pct"/>
            <w:vAlign w:val="center"/>
          </w:tcPr>
          <w:p w14:paraId="437683BF">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250</w:t>
            </w:r>
          </w:p>
        </w:tc>
        <w:tc>
          <w:tcPr>
            <w:tcW w:w="1989" w:type="pct"/>
            <w:vMerge w:val="continue"/>
            <w:vAlign w:val="center"/>
          </w:tcPr>
          <w:p w14:paraId="34A91E3D">
            <w:pPr>
              <w:spacing w:line="360" w:lineRule="exact"/>
              <w:jc w:val="center"/>
              <w:rPr>
                <w:rFonts w:ascii="Times New Roman" w:hAnsi="Times New Roman" w:cs="Times New Roman"/>
                <w:color w:val="auto"/>
                <w:w w:val="99"/>
                <w:kern w:val="2"/>
                <w:sz w:val="21"/>
                <w:szCs w:val="21"/>
                <w:highlight w:val="none"/>
              </w:rPr>
            </w:pPr>
          </w:p>
        </w:tc>
      </w:tr>
      <w:tr w14:paraId="69E97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4A4275F7">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总大肠菌群（MPN/100mL）</w:t>
            </w:r>
          </w:p>
        </w:tc>
        <w:tc>
          <w:tcPr>
            <w:tcW w:w="1323" w:type="pct"/>
            <w:vAlign w:val="center"/>
          </w:tcPr>
          <w:p w14:paraId="72B472A6">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3.0</w:t>
            </w:r>
          </w:p>
        </w:tc>
        <w:tc>
          <w:tcPr>
            <w:tcW w:w="1989" w:type="pct"/>
            <w:vMerge w:val="continue"/>
            <w:vAlign w:val="center"/>
          </w:tcPr>
          <w:p w14:paraId="0F9F360E">
            <w:pPr>
              <w:spacing w:line="360" w:lineRule="exact"/>
              <w:jc w:val="center"/>
              <w:rPr>
                <w:rFonts w:ascii="Times New Roman" w:hAnsi="Times New Roman" w:cs="Times New Roman"/>
                <w:color w:val="auto"/>
                <w:w w:val="99"/>
                <w:kern w:val="2"/>
                <w:sz w:val="21"/>
                <w:szCs w:val="21"/>
                <w:highlight w:val="none"/>
              </w:rPr>
            </w:pPr>
          </w:p>
        </w:tc>
      </w:tr>
      <w:tr w14:paraId="4D1BB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3BD4DA89">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菌落总数（CFU/mL）</w:t>
            </w:r>
          </w:p>
        </w:tc>
        <w:tc>
          <w:tcPr>
            <w:tcW w:w="1323" w:type="pct"/>
            <w:vAlign w:val="center"/>
          </w:tcPr>
          <w:p w14:paraId="6FD08C90">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100</w:t>
            </w:r>
          </w:p>
        </w:tc>
        <w:tc>
          <w:tcPr>
            <w:tcW w:w="1989" w:type="pct"/>
            <w:vMerge w:val="continue"/>
            <w:vAlign w:val="center"/>
          </w:tcPr>
          <w:p w14:paraId="2EAD6580">
            <w:pPr>
              <w:spacing w:line="360" w:lineRule="exact"/>
              <w:jc w:val="center"/>
              <w:rPr>
                <w:rFonts w:ascii="Times New Roman" w:hAnsi="Times New Roman" w:cs="Times New Roman"/>
                <w:color w:val="auto"/>
                <w:w w:val="99"/>
                <w:kern w:val="2"/>
                <w:sz w:val="21"/>
                <w:szCs w:val="21"/>
                <w:highlight w:val="none"/>
              </w:rPr>
            </w:pPr>
          </w:p>
        </w:tc>
      </w:tr>
      <w:tr w14:paraId="5D8DA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3C208A96">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硫化物（mg/L）</w:t>
            </w:r>
          </w:p>
        </w:tc>
        <w:tc>
          <w:tcPr>
            <w:tcW w:w="1323" w:type="pct"/>
            <w:vAlign w:val="center"/>
          </w:tcPr>
          <w:p w14:paraId="4771805F">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≤0.02</w:t>
            </w:r>
          </w:p>
        </w:tc>
        <w:tc>
          <w:tcPr>
            <w:tcW w:w="1989" w:type="pct"/>
            <w:vMerge w:val="continue"/>
            <w:vAlign w:val="center"/>
          </w:tcPr>
          <w:p w14:paraId="68569B38">
            <w:pPr>
              <w:spacing w:line="360" w:lineRule="exact"/>
              <w:jc w:val="center"/>
              <w:rPr>
                <w:rFonts w:ascii="Times New Roman" w:hAnsi="Times New Roman" w:cs="Times New Roman"/>
                <w:color w:val="auto"/>
                <w:w w:val="99"/>
                <w:kern w:val="2"/>
                <w:sz w:val="21"/>
                <w:szCs w:val="21"/>
                <w:highlight w:val="none"/>
              </w:rPr>
            </w:pPr>
          </w:p>
        </w:tc>
      </w:tr>
      <w:tr w14:paraId="79123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1DD7EE6F">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钡（mg/L）</w:t>
            </w:r>
          </w:p>
        </w:tc>
        <w:tc>
          <w:tcPr>
            <w:tcW w:w="1323" w:type="pct"/>
            <w:vAlign w:val="center"/>
          </w:tcPr>
          <w:p w14:paraId="7FE2D889">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≤0.70</w:t>
            </w:r>
          </w:p>
        </w:tc>
        <w:tc>
          <w:tcPr>
            <w:tcW w:w="1989" w:type="pct"/>
            <w:vMerge w:val="continue"/>
            <w:vAlign w:val="center"/>
          </w:tcPr>
          <w:p w14:paraId="3C99F329">
            <w:pPr>
              <w:spacing w:line="360" w:lineRule="exact"/>
              <w:jc w:val="center"/>
              <w:rPr>
                <w:rFonts w:ascii="Times New Roman" w:hAnsi="Times New Roman" w:cs="Times New Roman"/>
                <w:color w:val="auto"/>
                <w:w w:val="99"/>
                <w:kern w:val="2"/>
                <w:sz w:val="21"/>
                <w:szCs w:val="21"/>
                <w:highlight w:val="none"/>
              </w:rPr>
            </w:pPr>
          </w:p>
        </w:tc>
      </w:tr>
      <w:tr w14:paraId="4464E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4B77A113">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石油类</w:t>
            </w:r>
          </w:p>
        </w:tc>
        <w:tc>
          <w:tcPr>
            <w:tcW w:w="1323" w:type="pct"/>
            <w:vAlign w:val="center"/>
          </w:tcPr>
          <w:p w14:paraId="476B30F1">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0.05</w:t>
            </w:r>
          </w:p>
        </w:tc>
        <w:tc>
          <w:tcPr>
            <w:tcW w:w="1989" w:type="pct"/>
            <w:vAlign w:val="center"/>
          </w:tcPr>
          <w:p w14:paraId="76415BA0">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《地表水环境质量标准》（GB3838-2002）表1中的II类标准限值要求</w:t>
            </w:r>
          </w:p>
        </w:tc>
      </w:tr>
    </w:tbl>
    <w:p w14:paraId="6EF09DA1">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2.6.1.4声环境</w:t>
      </w:r>
    </w:p>
    <w:p w14:paraId="1FDC1098">
      <w:pPr>
        <w:pStyle w:val="153"/>
        <w:widowControl w:val="0"/>
        <w:spacing w:line="440" w:lineRule="exact"/>
        <w:ind w:firstLine="473"/>
        <w:rPr>
          <w:rFonts w:ascii="Times New Roman" w:hAnsi="Times New Roman"/>
          <w:snapToGrid w:val="0"/>
          <w:color w:val="auto"/>
          <w:w w:val="99"/>
          <w:highlight w:val="none"/>
        </w:rPr>
      </w:pPr>
      <w:r>
        <w:rPr>
          <w:rFonts w:hint="eastAsia" w:ascii="Times New Roman" w:hAnsi="Times New Roman"/>
          <w:color w:val="auto"/>
          <w:w w:val="99"/>
          <w:highlight w:val="none"/>
        </w:rPr>
        <w:t>本项目所在区域未划分声功能区，本项目位于居住、工业混杂区域，且项目周边200m范围内无声环境敏感点，因此根据《声环境质量标准》（GB3096-2008），项目区域声环境执行《声环境质量标准》（GB3096-2008）中2类区标准，周围村屯声环境执行1类。</w:t>
      </w:r>
      <w:r>
        <w:rPr>
          <w:rFonts w:ascii="Times New Roman" w:hAnsi="Times New Roman"/>
          <w:snapToGrid w:val="0"/>
          <w:color w:val="auto"/>
          <w:w w:val="99"/>
          <w:highlight w:val="none"/>
        </w:rPr>
        <w:t>具体见表2.6-4。</w:t>
      </w:r>
    </w:p>
    <w:p w14:paraId="5875484C">
      <w:pPr>
        <w:widowControl w:val="0"/>
        <w:spacing w:line="440" w:lineRule="exact"/>
        <w:ind w:firstLine="476" w:firstLineChars="200"/>
        <w:jc w:val="both"/>
        <w:rPr>
          <w:rFonts w:ascii="Times New Roman" w:hAnsi="Times New Roman" w:cs="Times New Roman" w:eastAsiaTheme="minorEastAsia"/>
          <w:b/>
          <w:bCs/>
          <w:color w:val="auto"/>
          <w:w w:val="99"/>
          <w:kern w:val="2"/>
          <w:highlight w:val="none"/>
        </w:rPr>
      </w:pPr>
      <w:r>
        <w:rPr>
          <w:rFonts w:ascii="Times New Roman" w:hAnsi="Times New Roman" w:cs="Times New Roman" w:eastAsiaTheme="minorEastAsia"/>
          <w:b/>
          <w:bCs/>
          <w:color w:val="auto"/>
          <w:w w:val="99"/>
          <w:kern w:val="2"/>
          <w:highlight w:val="none"/>
        </w:rPr>
        <w:t>表2.6-4    声环境质量标准    单位：dB（A）</w:t>
      </w:r>
    </w:p>
    <w:tbl>
      <w:tblPr>
        <w:tblStyle w:val="8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36"/>
        <w:gridCol w:w="2179"/>
        <w:gridCol w:w="2172"/>
      </w:tblGrid>
      <w:tr w14:paraId="1448F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57" w:type="pct"/>
            <w:vAlign w:val="center"/>
          </w:tcPr>
          <w:p w14:paraId="2663647A">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项目</w:t>
            </w:r>
          </w:p>
        </w:tc>
        <w:tc>
          <w:tcPr>
            <w:tcW w:w="1173" w:type="pct"/>
            <w:vAlign w:val="center"/>
          </w:tcPr>
          <w:p w14:paraId="4E126021">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昼  间</w:t>
            </w:r>
          </w:p>
        </w:tc>
        <w:tc>
          <w:tcPr>
            <w:tcW w:w="1169" w:type="pct"/>
            <w:vAlign w:val="center"/>
          </w:tcPr>
          <w:p w14:paraId="31FEBA97">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夜  间</w:t>
            </w:r>
          </w:p>
        </w:tc>
      </w:tr>
      <w:tr w14:paraId="011A3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57" w:type="pct"/>
            <w:vAlign w:val="center"/>
          </w:tcPr>
          <w:p w14:paraId="4F0076C9">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《声环境质量标准》（GB3096-2008）中1类标准</w:t>
            </w:r>
          </w:p>
        </w:tc>
        <w:tc>
          <w:tcPr>
            <w:tcW w:w="1173" w:type="pct"/>
            <w:vAlign w:val="center"/>
          </w:tcPr>
          <w:p w14:paraId="5FD9EEAF">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55</w:t>
            </w:r>
          </w:p>
        </w:tc>
        <w:tc>
          <w:tcPr>
            <w:tcW w:w="1169" w:type="pct"/>
            <w:vAlign w:val="center"/>
          </w:tcPr>
          <w:p w14:paraId="46A69E78">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45</w:t>
            </w:r>
          </w:p>
        </w:tc>
      </w:tr>
      <w:tr w14:paraId="5C764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57" w:type="pct"/>
            <w:vAlign w:val="center"/>
          </w:tcPr>
          <w:p w14:paraId="6569EE60">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《声环境质量标准》（GB3096-2008）中2类标准</w:t>
            </w:r>
          </w:p>
        </w:tc>
        <w:tc>
          <w:tcPr>
            <w:tcW w:w="1173" w:type="pct"/>
            <w:vAlign w:val="center"/>
          </w:tcPr>
          <w:p w14:paraId="2BEAC3A7">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60</w:t>
            </w:r>
          </w:p>
        </w:tc>
        <w:tc>
          <w:tcPr>
            <w:tcW w:w="1169" w:type="pct"/>
            <w:vAlign w:val="center"/>
          </w:tcPr>
          <w:p w14:paraId="68609663">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50</w:t>
            </w:r>
          </w:p>
        </w:tc>
      </w:tr>
    </w:tbl>
    <w:p w14:paraId="3FAAC845">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2.6.1.5土壤环境</w:t>
      </w:r>
    </w:p>
    <w:p w14:paraId="15D1E785">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本项目永久占地内土壤执行《土壤环境质量 建设用地土壤污染风险管控标准（试行）》（GB36600-2018）中第二类用地筛选值，永久占地外居民区内土壤执行《土壤环境质量 建设用地土壤污染风险管控标准（试行）》（GB36600-2018）中第一类用地筛选值，具体见表2.6-5。</w:t>
      </w:r>
    </w:p>
    <w:p w14:paraId="30AB94BC">
      <w:pPr>
        <w:widowControl w:val="0"/>
        <w:spacing w:line="440" w:lineRule="exact"/>
        <w:ind w:firstLine="476"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b/>
          <w:color w:val="auto"/>
          <w:w w:val="99"/>
          <w:kern w:val="2"/>
          <w:szCs w:val="20"/>
          <w:highlight w:val="none"/>
        </w:rPr>
        <w:t>表2.6-5</w:t>
      </w:r>
      <w:r>
        <w:rPr>
          <w:rFonts w:ascii="Times New Roman" w:hAnsi="Times New Roman" w:cs="Times New Roman" w:eastAsiaTheme="minorEastAsia"/>
          <w:b/>
          <w:bCs/>
          <w:color w:val="auto"/>
          <w:w w:val="99"/>
          <w:kern w:val="2"/>
          <w:highlight w:val="none"/>
        </w:rPr>
        <w:t xml:space="preserve">    土壤环境执行标准    单位：mg/kg</w:t>
      </w:r>
    </w:p>
    <w:tbl>
      <w:tblPr>
        <w:tblStyle w:val="8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3"/>
        <w:gridCol w:w="2313"/>
        <w:gridCol w:w="1685"/>
        <w:gridCol w:w="1722"/>
        <w:gridCol w:w="2764"/>
      </w:tblGrid>
      <w:tr w14:paraId="1EE41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Merge w:val="restart"/>
            <w:vAlign w:val="center"/>
          </w:tcPr>
          <w:p w14:paraId="4175CBB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序号</w:t>
            </w:r>
          </w:p>
        </w:tc>
        <w:tc>
          <w:tcPr>
            <w:tcW w:w="1245" w:type="pct"/>
            <w:vMerge w:val="restart"/>
            <w:vAlign w:val="center"/>
          </w:tcPr>
          <w:p w14:paraId="5F14CFA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监测项目</w:t>
            </w:r>
          </w:p>
        </w:tc>
        <w:tc>
          <w:tcPr>
            <w:tcW w:w="1834" w:type="pct"/>
            <w:gridSpan w:val="2"/>
            <w:vAlign w:val="center"/>
          </w:tcPr>
          <w:p w14:paraId="3C6FC90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筛选值</w:t>
            </w:r>
          </w:p>
        </w:tc>
        <w:tc>
          <w:tcPr>
            <w:tcW w:w="1488" w:type="pct"/>
            <w:vMerge w:val="restart"/>
            <w:vAlign w:val="center"/>
          </w:tcPr>
          <w:p w14:paraId="27811A8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标准名称</w:t>
            </w:r>
          </w:p>
        </w:tc>
      </w:tr>
      <w:tr w14:paraId="45D0B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Merge w:val="continue"/>
            <w:vAlign w:val="center"/>
          </w:tcPr>
          <w:p w14:paraId="2F07487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c>
          <w:tcPr>
            <w:tcW w:w="1245" w:type="pct"/>
            <w:vMerge w:val="continue"/>
            <w:vAlign w:val="center"/>
          </w:tcPr>
          <w:p w14:paraId="4572F8E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c>
          <w:tcPr>
            <w:tcW w:w="907" w:type="pct"/>
            <w:vAlign w:val="center"/>
          </w:tcPr>
          <w:p w14:paraId="66C3BEA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第一类用地</w:t>
            </w:r>
          </w:p>
        </w:tc>
        <w:tc>
          <w:tcPr>
            <w:tcW w:w="927" w:type="pct"/>
            <w:vAlign w:val="center"/>
          </w:tcPr>
          <w:p w14:paraId="7E76463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第二类用地</w:t>
            </w:r>
          </w:p>
        </w:tc>
        <w:tc>
          <w:tcPr>
            <w:tcW w:w="1488" w:type="pct"/>
            <w:vMerge w:val="continue"/>
            <w:vAlign w:val="center"/>
          </w:tcPr>
          <w:p w14:paraId="1A6F95C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57A7C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73653EF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w:t>
            </w:r>
          </w:p>
        </w:tc>
        <w:tc>
          <w:tcPr>
            <w:tcW w:w="1245" w:type="pct"/>
            <w:vAlign w:val="center"/>
          </w:tcPr>
          <w:p w14:paraId="0E2C88E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As</w:t>
            </w:r>
          </w:p>
        </w:tc>
        <w:tc>
          <w:tcPr>
            <w:tcW w:w="907" w:type="pct"/>
            <w:vAlign w:val="center"/>
          </w:tcPr>
          <w:p w14:paraId="5D8DE32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20</w:t>
            </w:r>
          </w:p>
        </w:tc>
        <w:tc>
          <w:tcPr>
            <w:tcW w:w="927" w:type="pct"/>
            <w:vAlign w:val="center"/>
          </w:tcPr>
          <w:p w14:paraId="2750676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60</w:t>
            </w:r>
          </w:p>
        </w:tc>
        <w:tc>
          <w:tcPr>
            <w:tcW w:w="1488" w:type="pct"/>
            <w:vMerge w:val="restart"/>
            <w:vAlign w:val="center"/>
          </w:tcPr>
          <w:p w14:paraId="529C77A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《土壤环境质量 建设用地土壤污染风险管控标准（试行）》（GB36600-2018）基本项目</w:t>
            </w:r>
          </w:p>
        </w:tc>
      </w:tr>
      <w:tr w14:paraId="1007F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5ABE918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w:t>
            </w:r>
          </w:p>
        </w:tc>
        <w:tc>
          <w:tcPr>
            <w:tcW w:w="1245" w:type="pct"/>
            <w:vAlign w:val="center"/>
          </w:tcPr>
          <w:p w14:paraId="5BE261B4">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Cd</w:t>
            </w:r>
          </w:p>
        </w:tc>
        <w:tc>
          <w:tcPr>
            <w:tcW w:w="907" w:type="pct"/>
            <w:vAlign w:val="center"/>
          </w:tcPr>
          <w:p w14:paraId="16CB18E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20</w:t>
            </w:r>
          </w:p>
        </w:tc>
        <w:tc>
          <w:tcPr>
            <w:tcW w:w="927" w:type="pct"/>
            <w:vAlign w:val="center"/>
          </w:tcPr>
          <w:p w14:paraId="0887EA1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65</w:t>
            </w:r>
          </w:p>
        </w:tc>
        <w:tc>
          <w:tcPr>
            <w:tcW w:w="1488" w:type="pct"/>
            <w:vMerge w:val="continue"/>
            <w:vAlign w:val="center"/>
          </w:tcPr>
          <w:p w14:paraId="612CD58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2249F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1D65E2AC">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w:t>
            </w:r>
          </w:p>
        </w:tc>
        <w:tc>
          <w:tcPr>
            <w:tcW w:w="1245" w:type="pct"/>
            <w:vAlign w:val="center"/>
          </w:tcPr>
          <w:p w14:paraId="68B5A0C5">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Cr（六价）</w:t>
            </w:r>
          </w:p>
        </w:tc>
        <w:tc>
          <w:tcPr>
            <w:tcW w:w="907" w:type="pct"/>
            <w:vAlign w:val="center"/>
          </w:tcPr>
          <w:p w14:paraId="1AE59FE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3.0</w:t>
            </w:r>
          </w:p>
        </w:tc>
        <w:tc>
          <w:tcPr>
            <w:tcW w:w="927" w:type="pct"/>
            <w:vAlign w:val="center"/>
          </w:tcPr>
          <w:p w14:paraId="7635125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5.7</w:t>
            </w:r>
          </w:p>
        </w:tc>
        <w:tc>
          <w:tcPr>
            <w:tcW w:w="1488" w:type="pct"/>
            <w:vMerge w:val="continue"/>
            <w:vAlign w:val="center"/>
          </w:tcPr>
          <w:p w14:paraId="6D0CE21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3FB03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09A428B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4</w:t>
            </w:r>
          </w:p>
        </w:tc>
        <w:tc>
          <w:tcPr>
            <w:tcW w:w="1245" w:type="pct"/>
            <w:vAlign w:val="center"/>
          </w:tcPr>
          <w:p w14:paraId="79B9FF7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Cu</w:t>
            </w:r>
          </w:p>
        </w:tc>
        <w:tc>
          <w:tcPr>
            <w:tcW w:w="907" w:type="pct"/>
            <w:vAlign w:val="center"/>
          </w:tcPr>
          <w:p w14:paraId="6F89768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2000</w:t>
            </w:r>
          </w:p>
        </w:tc>
        <w:tc>
          <w:tcPr>
            <w:tcW w:w="927" w:type="pct"/>
            <w:vAlign w:val="center"/>
          </w:tcPr>
          <w:p w14:paraId="0795093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18000</w:t>
            </w:r>
          </w:p>
        </w:tc>
        <w:tc>
          <w:tcPr>
            <w:tcW w:w="1488" w:type="pct"/>
            <w:vMerge w:val="continue"/>
            <w:vAlign w:val="center"/>
          </w:tcPr>
          <w:p w14:paraId="7B8F334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43B1C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67385054">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w:t>
            </w:r>
          </w:p>
        </w:tc>
        <w:tc>
          <w:tcPr>
            <w:tcW w:w="1245" w:type="pct"/>
            <w:vAlign w:val="center"/>
          </w:tcPr>
          <w:p w14:paraId="766E8B5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Pb</w:t>
            </w:r>
          </w:p>
        </w:tc>
        <w:tc>
          <w:tcPr>
            <w:tcW w:w="907" w:type="pct"/>
            <w:vAlign w:val="center"/>
          </w:tcPr>
          <w:p w14:paraId="09E581B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400</w:t>
            </w:r>
          </w:p>
        </w:tc>
        <w:tc>
          <w:tcPr>
            <w:tcW w:w="927" w:type="pct"/>
            <w:vAlign w:val="center"/>
          </w:tcPr>
          <w:p w14:paraId="44AE515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800</w:t>
            </w:r>
          </w:p>
        </w:tc>
        <w:tc>
          <w:tcPr>
            <w:tcW w:w="1488" w:type="pct"/>
            <w:vMerge w:val="continue"/>
            <w:vAlign w:val="center"/>
          </w:tcPr>
          <w:p w14:paraId="6E72C30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6859F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16CA58C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6</w:t>
            </w:r>
          </w:p>
        </w:tc>
        <w:tc>
          <w:tcPr>
            <w:tcW w:w="1245" w:type="pct"/>
            <w:vAlign w:val="center"/>
          </w:tcPr>
          <w:p w14:paraId="6BBC8F1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Hg</w:t>
            </w:r>
          </w:p>
        </w:tc>
        <w:tc>
          <w:tcPr>
            <w:tcW w:w="907" w:type="pct"/>
            <w:vAlign w:val="center"/>
          </w:tcPr>
          <w:p w14:paraId="3BC9C25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8</w:t>
            </w:r>
          </w:p>
        </w:tc>
        <w:tc>
          <w:tcPr>
            <w:tcW w:w="927" w:type="pct"/>
            <w:vAlign w:val="center"/>
          </w:tcPr>
          <w:p w14:paraId="46324A5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38</w:t>
            </w:r>
          </w:p>
        </w:tc>
        <w:tc>
          <w:tcPr>
            <w:tcW w:w="1488" w:type="pct"/>
            <w:vMerge w:val="continue"/>
            <w:vAlign w:val="center"/>
          </w:tcPr>
          <w:p w14:paraId="125BD72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6FFF1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5FB1BFF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7</w:t>
            </w:r>
          </w:p>
        </w:tc>
        <w:tc>
          <w:tcPr>
            <w:tcW w:w="1245" w:type="pct"/>
            <w:vAlign w:val="center"/>
          </w:tcPr>
          <w:p w14:paraId="411E9B8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Ni</w:t>
            </w:r>
          </w:p>
        </w:tc>
        <w:tc>
          <w:tcPr>
            <w:tcW w:w="907" w:type="pct"/>
            <w:vAlign w:val="center"/>
          </w:tcPr>
          <w:p w14:paraId="4E4195B5">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150</w:t>
            </w:r>
          </w:p>
        </w:tc>
        <w:tc>
          <w:tcPr>
            <w:tcW w:w="927" w:type="pct"/>
            <w:vAlign w:val="center"/>
          </w:tcPr>
          <w:p w14:paraId="451930C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900</w:t>
            </w:r>
          </w:p>
        </w:tc>
        <w:tc>
          <w:tcPr>
            <w:tcW w:w="1488" w:type="pct"/>
            <w:vMerge w:val="continue"/>
            <w:vAlign w:val="center"/>
          </w:tcPr>
          <w:p w14:paraId="7270E49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328D8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27F63CA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8</w:t>
            </w:r>
          </w:p>
        </w:tc>
        <w:tc>
          <w:tcPr>
            <w:tcW w:w="1245" w:type="pct"/>
            <w:vAlign w:val="center"/>
          </w:tcPr>
          <w:p w14:paraId="2C8211F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四氯化碳</w:t>
            </w:r>
          </w:p>
        </w:tc>
        <w:tc>
          <w:tcPr>
            <w:tcW w:w="907" w:type="pct"/>
            <w:vAlign w:val="center"/>
          </w:tcPr>
          <w:p w14:paraId="14F7D9C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0.9</w:t>
            </w:r>
          </w:p>
        </w:tc>
        <w:tc>
          <w:tcPr>
            <w:tcW w:w="927" w:type="pct"/>
            <w:vAlign w:val="center"/>
          </w:tcPr>
          <w:p w14:paraId="036B08E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2.8</w:t>
            </w:r>
          </w:p>
        </w:tc>
        <w:tc>
          <w:tcPr>
            <w:tcW w:w="1488" w:type="pct"/>
            <w:vMerge w:val="continue"/>
            <w:vAlign w:val="center"/>
          </w:tcPr>
          <w:p w14:paraId="3C415CA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68A38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7B5200AC">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9</w:t>
            </w:r>
          </w:p>
        </w:tc>
        <w:tc>
          <w:tcPr>
            <w:tcW w:w="1245" w:type="pct"/>
            <w:vAlign w:val="center"/>
          </w:tcPr>
          <w:p w14:paraId="13F0D214">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氯仿</w:t>
            </w:r>
          </w:p>
        </w:tc>
        <w:tc>
          <w:tcPr>
            <w:tcW w:w="907" w:type="pct"/>
            <w:vAlign w:val="center"/>
          </w:tcPr>
          <w:p w14:paraId="18B80C0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0.3</w:t>
            </w:r>
          </w:p>
        </w:tc>
        <w:tc>
          <w:tcPr>
            <w:tcW w:w="927" w:type="pct"/>
            <w:vAlign w:val="center"/>
          </w:tcPr>
          <w:p w14:paraId="67B23C5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0.9</w:t>
            </w:r>
          </w:p>
        </w:tc>
        <w:tc>
          <w:tcPr>
            <w:tcW w:w="1488" w:type="pct"/>
            <w:vMerge w:val="continue"/>
            <w:vAlign w:val="center"/>
          </w:tcPr>
          <w:p w14:paraId="3BC0A5C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49D67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6425B71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10</w:t>
            </w:r>
          </w:p>
        </w:tc>
        <w:tc>
          <w:tcPr>
            <w:tcW w:w="1245" w:type="pct"/>
            <w:vAlign w:val="center"/>
          </w:tcPr>
          <w:p w14:paraId="15EDC9D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氯甲烷</w:t>
            </w:r>
          </w:p>
        </w:tc>
        <w:tc>
          <w:tcPr>
            <w:tcW w:w="907" w:type="pct"/>
            <w:vAlign w:val="center"/>
          </w:tcPr>
          <w:p w14:paraId="5E64364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12</w:t>
            </w:r>
          </w:p>
        </w:tc>
        <w:tc>
          <w:tcPr>
            <w:tcW w:w="927" w:type="pct"/>
            <w:vAlign w:val="center"/>
          </w:tcPr>
          <w:p w14:paraId="4584574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37</w:t>
            </w:r>
          </w:p>
        </w:tc>
        <w:tc>
          <w:tcPr>
            <w:tcW w:w="1488" w:type="pct"/>
            <w:vMerge w:val="continue"/>
            <w:vAlign w:val="center"/>
          </w:tcPr>
          <w:p w14:paraId="011626A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65145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44BD3C05">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11</w:t>
            </w:r>
          </w:p>
        </w:tc>
        <w:tc>
          <w:tcPr>
            <w:tcW w:w="1245" w:type="pct"/>
            <w:vAlign w:val="center"/>
          </w:tcPr>
          <w:p w14:paraId="2AB46D0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1,1-二氯乙烷</w:t>
            </w:r>
          </w:p>
        </w:tc>
        <w:tc>
          <w:tcPr>
            <w:tcW w:w="907" w:type="pct"/>
            <w:vAlign w:val="center"/>
          </w:tcPr>
          <w:p w14:paraId="66C6630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w:t>
            </w:r>
          </w:p>
        </w:tc>
        <w:tc>
          <w:tcPr>
            <w:tcW w:w="927" w:type="pct"/>
            <w:vAlign w:val="center"/>
          </w:tcPr>
          <w:p w14:paraId="63D1EF1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9</w:t>
            </w:r>
          </w:p>
        </w:tc>
        <w:tc>
          <w:tcPr>
            <w:tcW w:w="1488" w:type="pct"/>
            <w:vMerge w:val="continue"/>
            <w:vAlign w:val="center"/>
          </w:tcPr>
          <w:p w14:paraId="07CD2BC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128A6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585B0E5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12</w:t>
            </w:r>
          </w:p>
        </w:tc>
        <w:tc>
          <w:tcPr>
            <w:tcW w:w="1245" w:type="pct"/>
            <w:vAlign w:val="center"/>
          </w:tcPr>
          <w:p w14:paraId="384304C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1,2-二氯乙烷</w:t>
            </w:r>
          </w:p>
        </w:tc>
        <w:tc>
          <w:tcPr>
            <w:tcW w:w="907" w:type="pct"/>
            <w:vAlign w:val="center"/>
          </w:tcPr>
          <w:p w14:paraId="7E1B8EA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0.52</w:t>
            </w:r>
          </w:p>
        </w:tc>
        <w:tc>
          <w:tcPr>
            <w:tcW w:w="927" w:type="pct"/>
            <w:vAlign w:val="center"/>
          </w:tcPr>
          <w:p w14:paraId="023C6B4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w:t>
            </w:r>
          </w:p>
        </w:tc>
        <w:tc>
          <w:tcPr>
            <w:tcW w:w="1488" w:type="pct"/>
            <w:vMerge w:val="continue"/>
            <w:vAlign w:val="center"/>
          </w:tcPr>
          <w:p w14:paraId="62EBFE5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22843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62A69E9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13</w:t>
            </w:r>
          </w:p>
        </w:tc>
        <w:tc>
          <w:tcPr>
            <w:tcW w:w="1245" w:type="pct"/>
            <w:vAlign w:val="center"/>
          </w:tcPr>
          <w:p w14:paraId="2D1FF3FC">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1,1-二氯乙烯</w:t>
            </w:r>
          </w:p>
        </w:tc>
        <w:tc>
          <w:tcPr>
            <w:tcW w:w="907" w:type="pct"/>
            <w:vAlign w:val="center"/>
          </w:tcPr>
          <w:p w14:paraId="3DDFC33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12</w:t>
            </w:r>
          </w:p>
        </w:tc>
        <w:tc>
          <w:tcPr>
            <w:tcW w:w="927" w:type="pct"/>
            <w:vAlign w:val="center"/>
          </w:tcPr>
          <w:p w14:paraId="4C5014E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66</w:t>
            </w:r>
          </w:p>
        </w:tc>
        <w:tc>
          <w:tcPr>
            <w:tcW w:w="1488" w:type="pct"/>
            <w:vMerge w:val="continue"/>
            <w:vAlign w:val="center"/>
          </w:tcPr>
          <w:p w14:paraId="373FB80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6C31C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468CE80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14</w:t>
            </w:r>
          </w:p>
        </w:tc>
        <w:tc>
          <w:tcPr>
            <w:tcW w:w="1245" w:type="pct"/>
            <w:vAlign w:val="center"/>
          </w:tcPr>
          <w:p w14:paraId="26AF511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顺-1,2-二氯乙烯</w:t>
            </w:r>
          </w:p>
        </w:tc>
        <w:tc>
          <w:tcPr>
            <w:tcW w:w="907" w:type="pct"/>
            <w:vAlign w:val="center"/>
          </w:tcPr>
          <w:p w14:paraId="2EC7417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66</w:t>
            </w:r>
          </w:p>
        </w:tc>
        <w:tc>
          <w:tcPr>
            <w:tcW w:w="927" w:type="pct"/>
            <w:vAlign w:val="center"/>
          </w:tcPr>
          <w:p w14:paraId="2D28399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596</w:t>
            </w:r>
          </w:p>
        </w:tc>
        <w:tc>
          <w:tcPr>
            <w:tcW w:w="1488" w:type="pct"/>
            <w:vMerge w:val="continue"/>
            <w:vAlign w:val="center"/>
          </w:tcPr>
          <w:p w14:paraId="7B36463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198F7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4D2EEACC">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15</w:t>
            </w:r>
          </w:p>
        </w:tc>
        <w:tc>
          <w:tcPr>
            <w:tcW w:w="1245" w:type="pct"/>
            <w:vAlign w:val="center"/>
          </w:tcPr>
          <w:p w14:paraId="1BF2670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反-1,2-二氯乙烯</w:t>
            </w:r>
          </w:p>
        </w:tc>
        <w:tc>
          <w:tcPr>
            <w:tcW w:w="907" w:type="pct"/>
            <w:vAlign w:val="center"/>
          </w:tcPr>
          <w:p w14:paraId="3D6860D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10</w:t>
            </w:r>
          </w:p>
        </w:tc>
        <w:tc>
          <w:tcPr>
            <w:tcW w:w="927" w:type="pct"/>
            <w:vAlign w:val="center"/>
          </w:tcPr>
          <w:p w14:paraId="685839B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54</w:t>
            </w:r>
          </w:p>
        </w:tc>
        <w:tc>
          <w:tcPr>
            <w:tcW w:w="1488" w:type="pct"/>
            <w:vMerge w:val="continue"/>
            <w:vAlign w:val="center"/>
          </w:tcPr>
          <w:p w14:paraId="1BAB66B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58441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2EF42794">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16</w:t>
            </w:r>
          </w:p>
        </w:tc>
        <w:tc>
          <w:tcPr>
            <w:tcW w:w="1245" w:type="pct"/>
            <w:vAlign w:val="center"/>
          </w:tcPr>
          <w:p w14:paraId="679F26C4">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二氯甲烷</w:t>
            </w:r>
          </w:p>
        </w:tc>
        <w:tc>
          <w:tcPr>
            <w:tcW w:w="907" w:type="pct"/>
            <w:vAlign w:val="center"/>
          </w:tcPr>
          <w:p w14:paraId="5F9F0A6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94</w:t>
            </w:r>
          </w:p>
        </w:tc>
        <w:tc>
          <w:tcPr>
            <w:tcW w:w="927" w:type="pct"/>
            <w:vAlign w:val="center"/>
          </w:tcPr>
          <w:p w14:paraId="735F5CD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616</w:t>
            </w:r>
          </w:p>
        </w:tc>
        <w:tc>
          <w:tcPr>
            <w:tcW w:w="1488" w:type="pct"/>
            <w:vMerge w:val="continue"/>
            <w:vAlign w:val="center"/>
          </w:tcPr>
          <w:p w14:paraId="2C79D09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1778B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462A170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17</w:t>
            </w:r>
          </w:p>
        </w:tc>
        <w:tc>
          <w:tcPr>
            <w:tcW w:w="1245" w:type="pct"/>
            <w:vAlign w:val="center"/>
          </w:tcPr>
          <w:p w14:paraId="57C224C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1,2-二氯丙烷</w:t>
            </w:r>
          </w:p>
        </w:tc>
        <w:tc>
          <w:tcPr>
            <w:tcW w:w="907" w:type="pct"/>
            <w:vAlign w:val="center"/>
          </w:tcPr>
          <w:p w14:paraId="4E090FA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w:t>
            </w:r>
          </w:p>
        </w:tc>
        <w:tc>
          <w:tcPr>
            <w:tcW w:w="927" w:type="pct"/>
            <w:vAlign w:val="center"/>
          </w:tcPr>
          <w:p w14:paraId="4CAB3A9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w:t>
            </w:r>
          </w:p>
        </w:tc>
        <w:tc>
          <w:tcPr>
            <w:tcW w:w="1488" w:type="pct"/>
            <w:vMerge w:val="continue"/>
            <w:vAlign w:val="center"/>
          </w:tcPr>
          <w:p w14:paraId="5FF3650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7D7E2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0E3A9E7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18</w:t>
            </w:r>
          </w:p>
        </w:tc>
        <w:tc>
          <w:tcPr>
            <w:tcW w:w="1245" w:type="pct"/>
            <w:vAlign w:val="center"/>
          </w:tcPr>
          <w:p w14:paraId="79DE4FC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1,1,1,2-四氯乙烷</w:t>
            </w:r>
          </w:p>
        </w:tc>
        <w:tc>
          <w:tcPr>
            <w:tcW w:w="907" w:type="pct"/>
            <w:vAlign w:val="center"/>
          </w:tcPr>
          <w:p w14:paraId="60A8BFD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2.6</w:t>
            </w:r>
          </w:p>
        </w:tc>
        <w:tc>
          <w:tcPr>
            <w:tcW w:w="927" w:type="pct"/>
            <w:vAlign w:val="center"/>
          </w:tcPr>
          <w:p w14:paraId="44D3AC7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10</w:t>
            </w:r>
          </w:p>
        </w:tc>
        <w:tc>
          <w:tcPr>
            <w:tcW w:w="1488" w:type="pct"/>
            <w:vMerge w:val="continue"/>
            <w:vAlign w:val="center"/>
          </w:tcPr>
          <w:p w14:paraId="078B13A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48B0B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6B7035B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19</w:t>
            </w:r>
          </w:p>
        </w:tc>
        <w:tc>
          <w:tcPr>
            <w:tcW w:w="1245" w:type="pct"/>
            <w:vAlign w:val="center"/>
          </w:tcPr>
          <w:p w14:paraId="4AC9DED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1,1,2,2-四氯乙烷</w:t>
            </w:r>
          </w:p>
        </w:tc>
        <w:tc>
          <w:tcPr>
            <w:tcW w:w="907" w:type="pct"/>
            <w:vAlign w:val="center"/>
          </w:tcPr>
          <w:p w14:paraId="3D768F7C">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1.6</w:t>
            </w:r>
          </w:p>
        </w:tc>
        <w:tc>
          <w:tcPr>
            <w:tcW w:w="927" w:type="pct"/>
            <w:vAlign w:val="center"/>
          </w:tcPr>
          <w:p w14:paraId="086B566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6.8</w:t>
            </w:r>
          </w:p>
        </w:tc>
        <w:tc>
          <w:tcPr>
            <w:tcW w:w="1488" w:type="pct"/>
            <w:vMerge w:val="continue"/>
            <w:vAlign w:val="center"/>
          </w:tcPr>
          <w:p w14:paraId="18DF46E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49908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3E3C8E0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20</w:t>
            </w:r>
          </w:p>
        </w:tc>
        <w:tc>
          <w:tcPr>
            <w:tcW w:w="1245" w:type="pct"/>
            <w:vAlign w:val="center"/>
          </w:tcPr>
          <w:p w14:paraId="3420D69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四氯乙烯</w:t>
            </w:r>
          </w:p>
        </w:tc>
        <w:tc>
          <w:tcPr>
            <w:tcW w:w="907" w:type="pct"/>
            <w:vAlign w:val="center"/>
          </w:tcPr>
          <w:p w14:paraId="6AD44B7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11</w:t>
            </w:r>
          </w:p>
        </w:tc>
        <w:tc>
          <w:tcPr>
            <w:tcW w:w="927" w:type="pct"/>
            <w:vAlign w:val="center"/>
          </w:tcPr>
          <w:p w14:paraId="6D602FC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53</w:t>
            </w:r>
          </w:p>
        </w:tc>
        <w:tc>
          <w:tcPr>
            <w:tcW w:w="1488" w:type="pct"/>
            <w:vMerge w:val="continue"/>
            <w:vAlign w:val="center"/>
          </w:tcPr>
          <w:p w14:paraId="1E15E8C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0BD78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485293A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21</w:t>
            </w:r>
          </w:p>
        </w:tc>
        <w:tc>
          <w:tcPr>
            <w:tcW w:w="1245" w:type="pct"/>
            <w:vAlign w:val="center"/>
          </w:tcPr>
          <w:p w14:paraId="22F721E5">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1,1,1-三氯乙烷</w:t>
            </w:r>
          </w:p>
        </w:tc>
        <w:tc>
          <w:tcPr>
            <w:tcW w:w="907" w:type="pct"/>
            <w:vAlign w:val="center"/>
          </w:tcPr>
          <w:p w14:paraId="7DDC18D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701</w:t>
            </w:r>
          </w:p>
        </w:tc>
        <w:tc>
          <w:tcPr>
            <w:tcW w:w="927" w:type="pct"/>
            <w:vAlign w:val="center"/>
          </w:tcPr>
          <w:p w14:paraId="7FB106D4">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840</w:t>
            </w:r>
          </w:p>
        </w:tc>
        <w:tc>
          <w:tcPr>
            <w:tcW w:w="1488" w:type="pct"/>
            <w:vMerge w:val="continue"/>
            <w:vAlign w:val="center"/>
          </w:tcPr>
          <w:p w14:paraId="455FEB6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3796C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66EAB715">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22</w:t>
            </w:r>
          </w:p>
        </w:tc>
        <w:tc>
          <w:tcPr>
            <w:tcW w:w="1245" w:type="pct"/>
            <w:vAlign w:val="center"/>
          </w:tcPr>
          <w:p w14:paraId="557E907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1,1,2-三氯乙烷</w:t>
            </w:r>
          </w:p>
        </w:tc>
        <w:tc>
          <w:tcPr>
            <w:tcW w:w="907" w:type="pct"/>
            <w:vAlign w:val="center"/>
          </w:tcPr>
          <w:p w14:paraId="737A393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0.6</w:t>
            </w:r>
          </w:p>
        </w:tc>
        <w:tc>
          <w:tcPr>
            <w:tcW w:w="927" w:type="pct"/>
            <w:vAlign w:val="center"/>
          </w:tcPr>
          <w:p w14:paraId="32F2E8F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2.8</w:t>
            </w:r>
          </w:p>
        </w:tc>
        <w:tc>
          <w:tcPr>
            <w:tcW w:w="1488" w:type="pct"/>
            <w:vMerge w:val="continue"/>
            <w:vAlign w:val="center"/>
          </w:tcPr>
          <w:p w14:paraId="2BDF7BA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4B0B5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2EAAB67C">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23</w:t>
            </w:r>
          </w:p>
        </w:tc>
        <w:tc>
          <w:tcPr>
            <w:tcW w:w="1245" w:type="pct"/>
            <w:vAlign w:val="center"/>
          </w:tcPr>
          <w:p w14:paraId="66277B9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三氯乙烯</w:t>
            </w:r>
          </w:p>
        </w:tc>
        <w:tc>
          <w:tcPr>
            <w:tcW w:w="907" w:type="pct"/>
            <w:vAlign w:val="center"/>
          </w:tcPr>
          <w:p w14:paraId="13BCB004">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0.7</w:t>
            </w:r>
          </w:p>
        </w:tc>
        <w:tc>
          <w:tcPr>
            <w:tcW w:w="927" w:type="pct"/>
            <w:vAlign w:val="center"/>
          </w:tcPr>
          <w:p w14:paraId="48B9355C">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2.8</w:t>
            </w:r>
          </w:p>
        </w:tc>
        <w:tc>
          <w:tcPr>
            <w:tcW w:w="1488" w:type="pct"/>
            <w:vMerge w:val="continue"/>
            <w:vAlign w:val="center"/>
          </w:tcPr>
          <w:p w14:paraId="0440F53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5A0A4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0C73B7C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24</w:t>
            </w:r>
          </w:p>
        </w:tc>
        <w:tc>
          <w:tcPr>
            <w:tcW w:w="1245" w:type="pct"/>
            <w:vAlign w:val="center"/>
          </w:tcPr>
          <w:p w14:paraId="4E5DD6BC">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1,2,3-三氯丙烷</w:t>
            </w:r>
          </w:p>
        </w:tc>
        <w:tc>
          <w:tcPr>
            <w:tcW w:w="907" w:type="pct"/>
            <w:vAlign w:val="center"/>
          </w:tcPr>
          <w:p w14:paraId="0103BFC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0.05</w:t>
            </w:r>
          </w:p>
        </w:tc>
        <w:tc>
          <w:tcPr>
            <w:tcW w:w="927" w:type="pct"/>
            <w:vAlign w:val="center"/>
          </w:tcPr>
          <w:p w14:paraId="07E18BE4">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0.5</w:t>
            </w:r>
          </w:p>
        </w:tc>
        <w:tc>
          <w:tcPr>
            <w:tcW w:w="1488" w:type="pct"/>
            <w:vMerge w:val="continue"/>
            <w:vAlign w:val="center"/>
          </w:tcPr>
          <w:p w14:paraId="72C065B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7BC95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5779F50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25</w:t>
            </w:r>
          </w:p>
        </w:tc>
        <w:tc>
          <w:tcPr>
            <w:tcW w:w="1245" w:type="pct"/>
            <w:vAlign w:val="center"/>
          </w:tcPr>
          <w:p w14:paraId="7CBB02F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氯乙烯</w:t>
            </w:r>
          </w:p>
        </w:tc>
        <w:tc>
          <w:tcPr>
            <w:tcW w:w="907" w:type="pct"/>
            <w:vAlign w:val="center"/>
          </w:tcPr>
          <w:p w14:paraId="2D6E62C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0.12</w:t>
            </w:r>
          </w:p>
        </w:tc>
        <w:tc>
          <w:tcPr>
            <w:tcW w:w="927" w:type="pct"/>
            <w:vAlign w:val="center"/>
          </w:tcPr>
          <w:p w14:paraId="7ED02F0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0.43</w:t>
            </w:r>
          </w:p>
        </w:tc>
        <w:tc>
          <w:tcPr>
            <w:tcW w:w="1488" w:type="pct"/>
            <w:vMerge w:val="continue"/>
            <w:vAlign w:val="center"/>
          </w:tcPr>
          <w:p w14:paraId="13A9FFDC">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20FE5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75446B8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26</w:t>
            </w:r>
          </w:p>
        </w:tc>
        <w:tc>
          <w:tcPr>
            <w:tcW w:w="1245" w:type="pct"/>
            <w:vAlign w:val="center"/>
          </w:tcPr>
          <w:p w14:paraId="5CDEF4BC">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苯</w:t>
            </w:r>
          </w:p>
        </w:tc>
        <w:tc>
          <w:tcPr>
            <w:tcW w:w="907" w:type="pct"/>
            <w:vAlign w:val="center"/>
          </w:tcPr>
          <w:p w14:paraId="705FBB84">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w:t>
            </w:r>
          </w:p>
        </w:tc>
        <w:tc>
          <w:tcPr>
            <w:tcW w:w="927" w:type="pct"/>
            <w:vAlign w:val="center"/>
          </w:tcPr>
          <w:p w14:paraId="23A9B46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4</w:t>
            </w:r>
          </w:p>
        </w:tc>
        <w:tc>
          <w:tcPr>
            <w:tcW w:w="1488" w:type="pct"/>
            <w:vMerge w:val="continue"/>
            <w:vAlign w:val="center"/>
          </w:tcPr>
          <w:p w14:paraId="4079F02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23EAD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58124BA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27</w:t>
            </w:r>
          </w:p>
        </w:tc>
        <w:tc>
          <w:tcPr>
            <w:tcW w:w="1245" w:type="pct"/>
            <w:vAlign w:val="center"/>
          </w:tcPr>
          <w:p w14:paraId="50ED6E1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氯苯</w:t>
            </w:r>
          </w:p>
        </w:tc>
        <w:tc>
          <w:tcPr>
            <w:tcW w:w="907" w:type="pct"/>
            <w:vAlign w:val="center"/>
          </w:tcPr>
          <w:p w14:paraId="3FA5E83C">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68</w:t>
            </w:r>
          </w:p>
        </w:tc>
        <w:tc>
          <w:tcPr>
            <w:tcW w:w="927" w:type="pct"/>
            <w:vAlign w:val="center"/>
          </w:tcPr>
          <w:p w14:paraId="5ACB2B4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270</w:t>
            </w:r>
          </w:p>
        </w:tc>
        <w:tc>
          <w:tcPr>
            <w:tcW w:w="1488" w:type="pct"/>
            <w:vMerge w:val="continue"/>
            <w:vAlign w:val="center"/>
          </w:tcPr>
          <w:p w14:paraId="3F470DD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67655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0369C13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28</w:t>
            </w:r>
          </w:p>
        </w:tc>
        <w:tc>
          <w:tcPr>
            <w:tcW w:w="1245" w:type="pct"/>
            <w:vAlign w:val="center"/>
          </w:tcPr>
          <w:p w14:paraId="0B261DF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1,2-二氯苯</w:t>
            </w:r>
          </w:p>
        </w:tc>
        <w:tc>
          <w:tcPr>
            <w:tcW w:w="907" w:type="pct"/>
            <w:vAlign w:val="center"/>
          </w:tcPr>
          <w:p w14:paraId="5058756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560</w:t>
            </w:r>
          </w:p>
        </w:tc>
        <w:tc>
          <w:tcPr>
            <w:tcW w:w="927" w:type="pct"/>
            <w:vAlign w:val="center"/>
          </w:tcPr>
          <w:p w14:paraId="6C9CE71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560</w:t>
            </w:r>
          </w:p>
        </w:tc>
        <w:tc>
          <w:tcPr>
            <w:tcW w:w="1488" w:type="pct"/>
            <w:vMerge w:val="continue"/>
            <w:vAlign w:val="center"/>
          </w:tcPr>
          <w:p w14:paraId="5A5AC5D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750A0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356E3CD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29</w:t>
            </w:r>
          </w:p>
        </w:tc>
        <w:tc>
          <w:tcPr>
            <w:tcW w:w="1245" w:type="pct"/>
            <w:vAlign w:val="center"/>
          </w:tcPr>
          <w:p w14:paraId="61204B8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1,4-二氯苯</w:t>
            </w:r>
          </w:p>
        </w:tc>
        <w:tc>
          <w:tcPr>
            <w:tcW w:w="907" w:type="pct"/>
            <w:vAlign w:val="center"/>
          </w:tcPr>
          <w:p w14:paraId="2EFE9B4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5.6</w:t>
            </w:r>
          </w:p>
        </w:tc>
        <w:tc>
          <w:tcPr>
            <w:tcW w:w="927" w:type="pct"/>
            <w:vAlign w:val="center"/>
          </w:tcPr>
          <w:p w14:paraId="78983B8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20</w:t>
            </w:r>
          </w:p>
        </w:tc>
        <w:tc>
          <w:tcPr>
            <w:tcW w:w="1488" w:type="pct"/>
            <w:vMerge w:val="continue"/>
            <w:vAlign w:val="center"/>
          </w:tcPr>
          <w:p w14:paraId="0330752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653A4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1BBE369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30</w:t>
            </w:r>
          </w:p>
        </w:tc>
        <w:tc>
          <w:tcPr>
            <w:tcW w:w="1245" w:type="pct"/>
            <w:vAlign w:val="center"/>
          </w:tcPr>
          <w:p w14:paraId="6B4191E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乙苯</w:t>
            </w:r>
          </w:p>
        </w:tc>
        <w:tc>
          <w:tcPr>
            <w:tcW w:w="907" w:type="pct"/>
            <w:vAlign w:val="center"/>
          </w:tcPr>
          <w:p w14:paraId="4D88251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7.2</w:t>
            </w:r>
          </w:p>
        </w:tc>
        <w:tc>
          <w:tcPr>
            <w:tcW w:w="927" w:type="pct"/>
            <w:vAlign w:val="center"/>
          </w:tcPr>
          <w:p w14:paraId="7B039DB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28</w:t>
            </w:r>
          </w:p>
        </w:tc>
        <w:tc>
          <w:tcPr>
            <w:tcW w:w="1488" w:type="pct"/>
            <w:vMerge w:val="continue"/>
            <w:vAlign w:val="center"/>
          </w:tcPr>
          <w:p w14:paraId="54C6AF2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45296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0817282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31</w:t>
            </w:r>
          </w:p>
        </w:tc>
        <w:tc>
          <w:tcPr>
            <w:tcW w:w="1245" w:type="pct"/>
            <w:vAlign w:val="center"/>
          </w:tcPr>
          <w:p w14:paraId="7B6C5F5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苯乙烯</w:t>
            </w:r>
          </w:p>
        </w:tc>
        <w:tc>
          <w:tcPr>
            <w:tcW w:w="907" w:type="pct"/>
            <w:vAlign w:val="center"/>
          </w:tcPr>
          <w:p w14:paraId="0791AFF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1290</w:t>
            </w:r>
          </w:p>
        </w:tc>
        <w:tc>
          <w:tcPr>
            <w:tcW w:w="927" w:type="pct"/>
            <w:vAlign w:val="center"/>
          </w:tcPr>
          <w:p w14:paraId="7B198FF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1290</w:t>
            </w:r>
          </w:p>
        </w:tc>
        <w:tc>
          <w:tcPr>
            <w:tcW w:w="1488" w:type="pct"/>
            <w:vMerge w:val="continue"/>
            <w:vAlign w:val="center"/>
          </w:tcPr>
          <w:p w14:paraId="1EB5F29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4E53A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6177080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32</w:t>
            </w:r>
          </w:p>
        </w:tc>
        <w:tc>
          <w:tcPr>
            <w:tcW w:w="1245" w:type="pct"/>
            <w:vAlign w:val="center"/>
          </w:tcPr>
          <w:p w14:paraId="2E7AF325">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甲苯</w:t>
            </w:r>
          </w:p>
        </w:tc>
        <w:tc>
          <w:tcPr>
            <w:tcW w:w="907" w:type="pct"/>
            <w:vAlign w:val="center"/>
          </w:tcPr>
          <w:p w14:paraId="3DCE91A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1200</w:t>
            </w:r>
          </w:p>
        </w:tc>
        <w:tc>
          <w:tcPr>
            <w:tcW w:w="927" w:type="pct"/>
            <w:vAlign w:val="center"/>
          </w:tcPr>
          <w:p w14:paraId="38B7A5B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1200</w:t>
            </w:r>
          </w:p>
        </w:tc>
        <w:tc>
          <w:tcPr>
            <w:tcW w:w="1488" w:type="pct"/>
            <w:vMerge w:val="continue"/>
            <w:vAlign w:val="center"/>
          </w:tcPr>
          <w:p w14:paraId="785E223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4604E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7955458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33</w:t>
            </w:r>
          </w:p>
        </w:tc>
        <w:tc>
          <w:tcPr>
            <w:tcW w:w="1245" w:type="pct"/>
            <w:vAlign w:val="center"/>
          </w:tcPr>
          <w:p w14:paraId="575A6BB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间二甲苯+对二甲苯</w:t>
            </w:r>
          </w:p>
        </w:tc>
        <w:tc>
          <w:tcPr>
            <w:tcW w:w="907" w:type="pct"/>
            <w:vAlign w:val="center"/>
          </w:tcPr>
          <w:p w14:paraId="42E44E5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163</w:t>
            </w:r>
          </w:p>
        </w:tc>
        <w:tc>
          <w:tcPr>
            <w:tcW w:w="927" w:type="pct"/>
            <w:vAlign w:val="center"/>
          </w:tcPr>
          <w:p w14:paraId="4B9E0BD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570</w:t>
            </w:r>
          </w:p>
        </w:tc>
        <w:tc>
          <w:tcPr>
            <w:tcW w:w="1488" w:type="pct"/>
            <w:vMerge w:val="continue"/>
            <w:vAlign w:val="center"/>
          </w:tcPr>
          <w:p w14:paraId="09380AD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4EA86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45909F5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34</w:t>
            </w:r>
          </w:p>
        </w:tc>
        <w:tc>
          <w:tcPr>
            <w:tcW w:w="1245" w:type="pct"/>
            <w:vAlign w:val="center"/>
          </w:tcPr>
          <w:p w14:paraId="583DBB0C">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邻二甲苯</w:t>
            </w:r>
          </w:p>
        </w:tc>
        <w:tc>
          <w:tcPr>
            <w:tcW w:w="907" w:type="pct"/>
            <w:vAlign w:val="center"/>
          </w:tcPr>
          <w:p w14:paraId="533DB185">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222</w:t>
            </w:r>
          </w:p>
        </w:tc>
        <w:tc>
          <w:tcPr>
            <w:tcW w:w="927" w:type="pct"/>
            <w:vAlign w:val="center"/>
          </w:tcPr>
          <w:p w14:paraId="00D0265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640</w:t>
            </w:r>
          </w:p>
        </w:tc>
        <w:tc>
          <w:tcPr>
            <w:tcW w:w="1488" w:type="pct"/>
            <w:vMerge w:val="continue"/>
            <w:vAlign w:val="center"/>
          </w:tcPr>
          <w:p w14:paraId="4C5AB39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45E15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2E00AF4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35</w:t>
            </w:r>
          </w:p>
        </w:tc>
        <w:tc>
          <w:tcPr>
            <w:tcW w:w="1245" w:type="pct"/>
            <w:vAlign w:val="center"/>
          </w:tcPr>
          <w:p w14:paraId="6B51201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硝基苯</w:t>
            </w:r>
          </w:p>
        </w:tc>
        <w:tc>
          <w:tcPr>
            <w:tcW w:w="907" w:type="pct"/>
            <w:vAlign w:val="center"/>
          </w:tcPr>
          <w:p w14:paraId="22480DE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34</w:t>
            </w:r>
          </w:p>
        </w:tc>
        <w:tc>
          <w:tcPr>
            <w:tcW w:w="927" w:type="pct"/>
            <w:vAlign w:val="center"/>
          </w:tcPr>
          <w:p w14:paraId="41496B8C">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76</w:t>
            </w:r>
          </w:p>
        </w:tc>
        <w:tc>
          <w:tcPr>
            <w:tcW w:w="1488" w:type="pct"/>
            <w:vMerge w:val="continue"/>
            <w:vAlign w:val="center"/>
          </w:tcPr>
          <w:p w14:paraId="38AFA88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107AD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720529B5">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36</w:t>
            </w:r>
          </w:p>
        </w:tc>
        <w:tc>
          <w:tcPr>
            <w:tcW w:w="1245" w:type="pct"/>
            <w:vAlign w:val="center"/>
          </w:tcPr>
          <w:p w14:paraId="4B1DE7E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苯胺</w:t>
            </w:r>
          </w:p>
        </w:tc>
        <w:tc>
          <w:tcPr>
            <w:tcW w:w="907" w:type="pct"/>
            <w:vAlign w:val="center"/>
          </w:tcPr>
          <w:p w14:paraId="5555AEE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92</w:t>
            </w:r>
          </w:p>
        </w:tc>
        <w:tc>
          <w:tcPr>
            <w:tcW w:w="927" w:type="pct"/>
            <w:vAlign w:val="center"/>
          </w:tcPr>
          <w:p w14:paraId="5324B48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260</w:t>
            </w:r>
          </w:p>
        </w:tc>
        <w:tc>
          <w:tcPr>
            <w:tcW w:w="1488" w:type="pct"/>
            <w:vMerge w:val="continue"/>
            <w:vAlign w:val="center"/>
          </w:tcPr>
          <w:p w14:paraId="422E979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676F3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52F3E77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37</w:t>
            </w:r>
          </w:p>
        </w:tc>
        <w:tc>
          <w:tcPr>
            <w:tcW w:w="1245" w:type="pct"/>
            <w:vAlign w:val="center"/>
          </w:tcPr>
          <w:p w14:paraId="72049B25">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2-氯酚</w:t>
            </w:r>
          </w:p>
        </w:tc>
        <w:tc>
          <w:tcPr>
            <w:tcW w:w="907" w:type="pct"/>
            <w:vAlign w:val="center"/>
          </w:tcPr>
          <w:p w14:paraId="35C0DA7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250</w:t>
            </w:r>
          </w:p>
        </w:tc>
        <w:tc>
          <w:tcPr>
            <w:tcW w:w="927" w:type="pct"/>
            <w:vAlign w:val="center"/>
          </w:tcPr>
          <w:p w14:paraId="428AFDF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2256</w:t>
            </w:r>
          </w:p>
        </w:tc>
        <w:tc>
          <w:tcPr>
            <w:tcW w:w="1488" w:type="pct"/>
            <w:vMerge w:val="continue"/>
            <w:vAlign w:val="center"/>
          </w:tcPr>
          <w:p w14:paraId="693D158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5D977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2FE9D3D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38</w:t>
            </w:r>
          </w:p>
        </w:tc>
        <w:tc>
          <w:tcPr>
            <w:tcW w:w="1245" w:type="pct"/>
            <w:vAlign w:val="center"/>
          </w:tcPr>
          <w:p w14:paraId="3871DD5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苯并［a］蒽</w:t>
            </w:r>
          </w:p>
        </w:tc>
        <w:tc>
          <w:tcPr>
            <w:tcW w:w="907" w:type="pct"/>
            <w:vAlign w:val="center"/>
          </w:tcPr>
          <w:p w14:paraId="034434F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5.5</w:t>
            </w:r>
          </w:p>
        </w:tc>
        <w:tc>
          <w:tcPr>
            <w:tcW w:w="927" w:type="pct"/>
            <w:vAlign w:val="center"/>
          </w:tcPr>
          <w:p w14:paraId="6AB06E3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15</w:t>
            </w:r>
          </w:p>
        </w:tc>
        <w:tc>
          <w:tcPr>
            <w:tcW w:w="1488" w:type="pct"/>
            <w:vMerge w:val="continue"/>
            <w:vAlign w:val="center"/>
          </w:tcPr>
          <w:p w14:paraId="0D825F8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58EC5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16272A4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39</w:t>
            </w:r>
          </w:p>
        </w:tc>
        <w:tc>
          <w:tcPr>
            <w:tcW w:w="1245" w:type="pct"/>
            <w:vAlign w:val="center"/>
          </w:tcPr>
          <w:p w14:paraId="778D8F0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苯并［a］芘</w:t>
            </w:r>
          </w:p>
        </w:tc>
        <w:tc>
          <w:tcPr>
            <w:tcW w:w="907" w:type="pct"/>
            <w:vAlign w:val="center"/>
          </w:tcPr>
          <w:p w14:paraId="0CB3EF7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0.55</w:t>
            </w:r>
          </w:p>
        </w:tc>
        <w:tc>
          <w:tcPr>
            <w:tcW w:w="927" w:type="pct"/>
            <w:vAlign w:val="center"/>
          </w:tcPr>
          <w:p w14:paraId="6DF62A1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1.5</w:t>
            </w:r>
          </w:p>
        </w:tc>
        <w:tc>
          <w:tcPr>
            <w:tcW w:w="1488" w:type="pct"/>
            <w:vMerge w:val="continue"/>
            <w:vAlign w:val="center"/>
          </w:tcPr>
          <w:p w14:paraId="17BA160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435A3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7E7A07E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40</w:t>
            </w:r>
          </w:p>
        </w:tc>
        <w:tc>
          <w:tcPr>
            <w:tcW w:w="1245" w:type="pct"/>
            <w:vAlign w:val="center"/>
          </w:tcPr>
          <w:p w14:paraId="2A8E123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苯并［b］荧蒽</w:t>
            </w:r>
          </w:p>
        </w:tc>
        <w:tc>
          <w:tcPr>
            <w:tcW w:w="907" w:type="pct"/>
            <w:vAlign w:val="center"/>
          </w:tcPr>
          <w:p w14:paraId="275CC39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5.5</w:t>
            </w:r>
          </w:p>
        </w:tc>
        <w:tc>
          <w:tcPr>
            <w:tcW w:w="927" w:type="pct"/>
            <w:vAlign w:val="center"/>
          </w:tcPr>
          <w:p w14:paraId="2CC8068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15</w:t>
            </w:r>
          </w:p>
        </w:tc>
        <w:tc>
          <w:tcPr>
            <w:tcW w:w="1488" w:type="pct"/>
            <w:vMerge w:val="continue"/>
            <w:vAlign w:val="center"/>
          </w:tcPr>
          <w:p w14:paraId="10AFCD0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1DE3B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77A1A8B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41</w:t>
            </w:r>
          </w:p>
        </w:tc>
        <w:tc>
          <w:tcPr>
            <w:tcW w:w="1245" w:type="pct"/>
            <w:vAlign w:val="center"/>
          </w:tcPr>
          <w:p w14:paraId="0FD1CFE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苯并［k］荧蒽</w:t>
            </w:r>
          </w:p>
        </w:tc>
        <w:tc>
          <w:tcPr>
            <w:tcW w:w="907" w:type="pct"/>
            <w:vAlign w:val="center"/>
          </w:tcPr>
          <w:p w14:paraId="7F222BA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55</w:t>
            </w:r>
          </w:p>
        </w:tc>
        <w:tc>
          <w:tcPr>
            <w:tcW w:w="927" w:type="pct"/>
            <w:vAlign w:val="center"/>
          </w:tcPr>
          <w:p w14:paraId="5CF0C7B5">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151</w:t>
            </w:r>
          </w:p>
        </w:tc>
        <w:tc>
          <w:tcPr>
            <w:tcW w:w="1488" w:type="pct"/>
            <w:vMerge w:val="continue"/>
            <w:vAlign w:val="center"/>
          </w:tcPr>
          <w:p w14:paraId="1C2A4D4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5BAD1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44F89B8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42</w:t>
            </w:r>
          </w:p>
        </w:tc>
        <w:tc>
          <w:tcPr>
            <w:tcW w:w="1245" w:type="pct"/>
            <w:vAlign w:val="center"/>
          </w:tcPr>
          <w:p w14:paraId="1073AA1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䓛</w:t>
            </w:r>
          </w:p>
        </w:tc>
        <w:tc>
          <w:tcPr>
            <w:tcW w:w="907" w:type="pct"/>
            <w:vAlign w:val="center"/>
          </w:tcPr>
          <w:p w14:paraId="40510D9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490</w:t>
            </w:r>
          </w:p>
        </w:tc>
        <w:tc>
          <w:tcPr>
            <w:tcW w:w="927" w:type="pct"/>
            <w:vAlign w:val="center"/>
          </w:tcPr>
          <w:p w14:paraId="008366E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1293</w:t>
            </w:r>
          </w:p>
        </w:tc>
        <w:tc>
          <w:tcPr>
            <w:tcW w:w="1488" w:type="pct"/>
            <w:vMerge w:val="continue"/>
            <w:vAlign w:val="center"/>
          </w:tcPr>
          <w:p w14:paraId="4C0E4D0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40058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1970540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43</w:t>
            </w:r>
          </w:p>
        </w:tc>
        <w:tc>
          <w:tcPr>
            <w:tcW w:w="1245" w:type="pct"/>
            <w:vAlign w:val="center"/>
          </w:tcPr>
          <w:p w14:paraId="0554864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二苯并［a,h］蒽</w:t>
            </w:r>
          </w:p>
        </w:tc>
        <w:tc>
          <w:tcPr>
            <w:tcW w:w="907" w:type="pct"/>
            <w:vAlign w:val="center"/>
          </w:tcPr>
          <w:p w14:paraId="16AF532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0.55</w:t>
            </w:r>
          </w:p>
        </w:tc>
        <w:tc>
          <w:tcPr>
            <w:tcW w:w="927" w:type="pct"/>
            <w:vAlign w:val="center"/>
          </w:tcPr>
          <w:p w14:paraId="5F164D25">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1.5</w:t>
            </w:r>
          </w:p>
        </w:tc>
        <w:tc>
          <w:tcPr>
            <w:tcW w:w="1488" w:type="pct"/>
            <w:vMerge w:val="continue"/>
            <w:vAlign w:val="center"/>
          </w:tcPr>
          <w:p w14:paraId="759A6AF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12B7F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2FD7A30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44</w:t>
            </w:r>
          </w:p>
        </w:tc>
        <w:tc>
          <w:tcPr>
            <w:tcW w:w="1245" w:type="pct"/>
            <w:vAlign w:val="center"/>
          </w:tcPr>
          <w:p w14:paraId="7E952524">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茚并［1,2,3-cd］芘</w:t>
            </w:r>
          </w:p>
        </w:tc>
        <w:tc>
          <w:tcPr>
            <w:tcW w:w="907" w:type="pct"/>
            <w:vAlign w:val="center"/>
          </w:tcPr>
          <w:p w14:paraId="3ABED6B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5.5</w:t>
            </w:r>
          </w:p>
        </w:tc>
        <w:tc>
          <w:tcPr>
            <w:tcW w:w="927" w:type="pct"/>
            <w:vAlign w:val="center"/>
          </w:tcPr>
          <w:p w14:paraId="4640992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15</w:t>
            </w:r>
          </w:p>
        </w:tc>
        <w:tc>
          <w:tcPr>
            <w:tcW w:w="1488" w:type="pct"/>
            <w:vMerge w:val="continue"/>
            <w:vAlign w:val="center"/>
          </w:tcPr>
          <w:p w14:paraId="373F4E9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0F236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366993E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45</w:t>
            </w:r>
          </w:p>
        </w:tc>
        <w:tc>
          <w:tcPr>
            <w:tcW w:w="1245" w:type="pct"/>
            <w:vAlign w:val="center"/>
          </w:tcPr>
          <w:p w14:paraId="0B5B9E7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萘</w:t>
            </w:r>
          </w:p>
        </w:tc>
        <w:tc>
          <w:tcPr>
            <w:tcW w:w="907" w:type="pct"/>
            <w:vAlign w:val="center"/>
          </w:tcPr>
          <w:p w14:paraId="54DB391C">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25</w:t>
            </w:r>
          </w:p>
        </w:tc>
        <w:tc>
          <w:tcPr>
            <w:tcW w:w="927" w:type="pct"/>
            <w:vAlign w:val="center"/>
          </w:tcPr>
          <w:p w14:paraId="792AC70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70</w:t>
            </w:r>
          </w:p>
        </w:tc>
        <w:tc>
          <w:tcPr>
            <w:tcW w:w="1488" w:type="pct"/>
            <w:vMerge w:val="continue"/>
            <w:vAlign w:val="center"/>
          </w:tcPr>
          <w:p w14:paraId="7921576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076B4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5C2528B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46</w:t>
            </w:r>
          </w:p>
        </w:tc>
        <w:tc>
          <w:tcPr>
            <w:tcW w:w="1245" w:type="pct"/>
            <w:vAlign w:val="center"/>
          </w:tcPr>
          <w:p w14:paraId="1897185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石油烃（C</w:t>
            </w:r>
            <w:r>
              <w:rPr>
                <w:rFonts w:ascii="Times New Roman" w:hAnsi="Times New Roman" w:cs="Times New Roman" w:eastAsiaTheme="minorEastAsia"/>
                <w:color w:val="auto"/>
                <w:w w:val="99"/>
                <w:kern w:val="2"/>
                <w:sz w:val="21"/>
                <w:szCs w:val="22"/>
                <w:highlight w:val="none"/>
                <w:vertAlign w:val="subscript"/>
                <w:lang w:bidi="ar"/>
              </w:rPr>
              <w:t>10</w:t>
            </w:r>
            <w:r>
              <w:rPr>
                <w:rFonts w:ascii="Times New Roman" w:hAnsi="Times New Roman" w:cs="Times New Roman" w:eastAsiaTheme="minorEastAsia"/>
                <w:color w:val="auto"/>
                <w:w w:val="99"/>
                <w:kern w:val="2"/>
                <w:sz w:val="21"/>
                <w:szCs w:val="22"/>
                <w:highlight w:val="none"/>
                <w:lang w:bidi="ar"/>
              </w:rPr>
              <w:t>-C</w:t>
            </w:r>
            <w:r>
              <w:rPr>
                <w:rFonts w:ascii="Times New Roman" w:hAnsi="Times New Roman" w:cs="Times New Roman" w:eastAsiaTheme="minorEastAsia"/>
                <w:color w:val="auto"/>
                <w:w w:val="99"/>
                <w:kern w:val="2"/>
                <w:sz w:val="21"/>
                <w:szCs w:val="22"/>
                <w:highlight w:val="none"/>
                <w:vertAlign w:val="subscript"/>
                <w:lang w:bidi="ar"/>
              </w:rPr>
              <w:t>40</w:t>
            </w:r>
            <w:r>
              <w:rPr>
                <w:rFonts w:ascii="Times New Roman" w:hAnsi="Times New Roman" w:cs="Times New Roman" w:eastAsiaTheme="minorEastAsia"/>
                <w:color w:val="auto"/>
                <w:w w:val="99"/>
                <w:kern w:val="2"/>
                <w:sz w:val="21"/>
                <w:szCs w:val="22"/>
                <w:highlight w:val="none"/>
                <w:lang w:bidi="ar"/>
              </w:rPr>
              <w:t>）</w:t>
            </w:r>
          </w:p>
        </w:tc>
        <w:tc>
          <w:tcPr>
            <w:tcW w:w="907" w:type="pct"/>
            <w:vAlign w:val="center"/>
          </w:tcPr>
          <w:p w14:paraId="778CCB9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826</w:t>
            </w:r>
          </w:p>
        </w:tc>
        <w:tc>
          <w:tcPr>
            <w:tcW w:w="927" w:type="pct"/>
            <w:vAlign w:val="center"/>
          </w:tcPr>
          <w:p w14:paraId="6F6B5CD5">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4500</w:t>
            </w:r>
          </w:p>
        </w:tc>
        <w:tc>
          <w:tcPr>
            <w:tcW w:w="1488" w:type="pct"/>
            <w:vAlign w:val="center"/>
          </w:tcPr>
          <w:p w14:paraId="04D556B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《土壤环境质量 建设用地土壤污染风险管控标准（试行）》（GB36600-2018）其他项目</w:t>
            </w:r>
          </w:p>
        </w:tc>
      </w:tr>
    </w:tbl>
    <w:p w14:paraId="38E03B0C">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本项目周边农用地执行《土壤环境质量 农用地土壤污染风险管控标准（试行）》（GB15618-2018）表1基本项目筛选值标准，稻田地执行水田标准，旱地和草地执行其他标准。具体标准详见表2.6-6。</w:t>
      </w:r>
    </w:p>
    <w:p w14:paraId="0D4600F9">
      <w:pPr>
        <w:widowControl w:val="0"/>
        <w:spacing w:line="440" w:lineRule="exact"/>
        <w:ind w:firstLine="476" w:firstLineChars="200"/>
        <w:jc w:val="both"/>
        <w:rPr>
          <w:rFonts w:ascii="Times New Roman" w:hAnsi="Times New Roman" w:cs="Times New Roman" w:eastAsiaTheme="minorEastAsia"/>
          <w:b/>
          <w:color w:val="auto"/>
          <w:w w:val="99"/>
          <w:kern w:val="2"/>
          <w:szCs w:val="20"/>
          <w:highlight w:val="none"/>
        </w:rPr>
      </w:pPr>
      <w:r>
        <w:rPr>
          <w:rFonts w:ascii="Times New Roman" w:hAnsi="Times New Roman" w:cs="Times New Roman" w:eastAsiaTheme="minorEastAsia"/>
          <w:b/>
          <w:color w:val="auto"/>
          <w:w w:val="99"/>
          <w:kern w:val="2"/>
          <w:szCs w:val="20"/>
          <w:highlight w:val="none"/>
        </w:rPr>
        <w:t>表2.6-6    农用地土壤环境执行标准    单位：mg/kg</w:t>
      </w:r>
    </w:p>
    <w:tbl>
      <w:tblPr>
        <w:tblStyle w:val="8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0"/>
        <w:gridCol w:w="2032"/>
        <w:gridCol w:w="2467"/>
        <w:gridCol w:w="3628"/>
      </w:tblGrid>
      <w:tr w14:paraId="334FF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restart"/>
            <w:vAlign w:val="center"/>
          </w:tcPr>
          <w:p w14:paraId="519FFA1E">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序号</w:t>
            </w:r>
          </w:p>
        </w:tc>
        <w:tc>
          <w:tcPr>
            <w:tcW w:w="2422" w:type="pct"/>
            <w:gridSpan w:val="2"/>
            <w:vMerge w:val="restart"/>
            <w:vAlign w:val="center"/>
          </w:tcPr>
          <w:p w14:paraId="014B2A71">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污染物项目</w:t>
            </w:r>
          </w:p>
        </w:tc>
        <w:tc>
          <w:tcPr>
            <w:tcW w:w="1953" w:type="pct"/>
            <w:vAlign w:val="center"/>
          </w:tcPr>
          <w:p w14:paraId="3BA7E6DA">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筛选值</w:t>
            </w:r>
          </w:p>
        </w:tc>
      </w:tr>
      <w:tr w14:paraId="3B5DB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continue"/>
            <w:vAlign w:val="center"/>
          </w:tcPr>
          <w:p w14:paraId="1E9E83F2">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p>
        </w:tc>
        <w:tc>
          <w:tcPr>
            <w:tcW w:w="2422" w:type="pct"/>
            <w:gridSpan w:val="2"/>
            <w:vMerge w:val="continue"/>
            <w:vAlign w:val="center"/>
          </w:tcPr>
          <w:p w14:paraId="4238ACBC">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p>
        </w:tc>
        <w:tc>
          <w:tcPr>
            <w:tcW w:w="1953" w:type="pct"/>
            <w:vAlign w:val="center"/>
          </w:tcPr>
          <w:p w14:paraId="13478FA0">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pH&gt;7.5</w:t>
            </w:r>
          </w:p>
        </w:tc>
      </w:tr>
      <w:tr w14:paraId="32514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restart"/>
            <w:vAlign w:val="center"/>
          </w:tcPr>
          <w:p w14:paraId="14AD05AD">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1</w:t>
            </w:r>
          </w:p>
        </w:tc>
        <w:tc>
          <w:tcPr>
            <w:tcW w:w="1094" w:type="pct"/>
            <w:vMerge w:val="restart"/>
            <w:vAlign w:val="center"/>
          </w:tcPr>
          <w:p w14:paraId="4CBF82C8">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镉</w:t>
            </w:r>
          </w:p>
        </w:tc>
        <w:tc>
          <w:tcPr>
            <w:tcW w:w="1328" w:type="pct"/>
            <w:vAlign w:val="center"/>
          </w:tcPr>
          <w:p w14:paraId="6A0910B0">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水田</w:t>
            </w:r>
          </w:p>
        </w:tc>
        <w:tc>
          <w:tcPr>
            <w:tcW w:w="1953" w:type="pct"/>
            <w:vAlign w:val="center"/>
          </w:tcPr>
          <w:p w14:paraId="78D22E90">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0.8</w:t>
            </w:r>
          </w:p>
        </w:tc>
      </w:tr>
      <w:tr w14:paraId="60181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continue"/>
            <w:vAlign w:val="center"/>
          </w:tcPr>
          <w:p w14:paraId="737C3D82">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p>
        </w:tc>
        <w:tc>
          <w:tcPr>
            <w:tcW w:w="1094" w:type="pct"/>
            <w:vMerge w:val="continue"/>
            <w:vAlign w:val="center"/>
          </w:tcPr>
          <w:p w14:paraId="005097EC">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p>
        </w:tc>
        <w:tc>
          <w:tcPr>
            <w:tcW w:w="1328" w:type="pct"/>
            <w:vAlign w:val="center"/>
          </w:tcPr>
          <w:p w14:paraId="2EE0D73B">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其它</w:t>
            </w:r>
          </w:p>
        </w:tc>
        <w:tc>
          <w:tcPr>
            <w:tcW w:w="1953" w:type="pct"/>
            <w:vAlign w:val="center"/>
          </w:tcPr>
          <w:p w14:paraId="02ADC981">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0.6</w:t>
            </w:r>
          </w:p>
        </w:tc>
      </w:tr>
      <w:tr w14:paraId="04597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restart"/>
            <w:vAlign w:val="center"/>
          </w:tcPr>
          <w:p w14:paraId="184E370E">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2</w:t>
            </w:r>
          </w:p>
        </w:tc>
        <w:tc>
          <w:tcPr>
            <w:tcW w:w="1094" w:type="pct"/>
            <w:vMerge w:val="restart"/>
            <w:vAlign w:val="center"/>
          </w:tcPr>
          <w:p w14:paraId="0BA2D37B">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汞</w:t>
            </w:r>
          </w:p>
        </w:tc>
        <w:tc>
          <w:tcPr>
            <w:tcW w:w="1328" w:type="pct"/>
            <w:vAlign w:val="center"/>
          </w:tcPr>
          <w:p w14:paraId="0097BC6D">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水田</w:t>
            </w:r>
          </w:p>
        </w:tc>
        <w:tc>
          <w:tcPr>
            <w:tcW w:w="1953" w:type="pct"/>
            <w:vAlign w:val="center"/>
          </w:tcPr>
          <w:p w14:paraId="5824518D">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1.0</w:t>
            </w:r>
          </w:p>
        </w:tc>
      </w:tr>
      <w:tr w14:paraId="5D3C0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continue"/>
            <w:vAlign w:val="center"/>
          </w:tcPr>
          <w:p w14:paraId="7669FA64">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p>
        </w:tc>
        <w:tc>
          <w:tcPr>
            <w:tcW w:w="1094" w:type="pct"/>
            <w:vMerge w:val="continue"/>
            <w:vAlign w:val="center"/>
          </w:tcPr>
          <w:p w14:paraId="5AB7CFA7">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p>
        </w:tc>
        <w:tc>
          <w:tcPr>
            <w:tcW w:w="1328" w:type="pct"/>
            <w:vAlign w:val="center"/>
          </w:tcPr>
          <w:p w14:paraId="58A62749">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其它</w:t>
            </w:r>
          </w:p>
        </w:tc>
        <w:tc>
          <w:tcPr>
            <w:tcW w:w="1953" w:type="pct"/>
            <w:vAlign w:val="center"/>
          </w:tcPr>
          <w:p w14:paraId="793E11C1">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3.4</w:t>
            </w:r>
          </w:p>
        </w:tc>
      </w:tr>
      <w:tr w14:paraId="61601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restart"/>
            <w:vAlign w:val="center"/>
          </w:tcPr>
          <w:p w14:paraId="6381E2BE">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3</w:t>
            </w:r>
          </w:p>
        </w:tc>
        <w:tc>
          <w:tcPr>
            <w:tcW w:w="1094" w:type="pct"/>
            <w:vMerge w:val="restart"/>
            <w:vAlign w:val="center"/>
          </w:tcPr>
          <w:p w14:paraId="08E4831F">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砷</w:t>
            </w:r>
          </w:p>
        </w:tc>
        <w:tc>
          <w:tcPr>
            <w:tcW w:w="1328" w:type="pct"/>
            <w:vAlign w:val="center"/>
          </w:tcPr>
          <w:p w14:paraId="4186E58C">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水田</w:t>
            </w:r>
          </w:p>
        </w:tc>
        <w:tc>
          <w:tcPr>
            <w:tcW w:w="1953" w:type="pct"/>
            <w:vAlign w:val="center"/>
          </w:tcPr>
          <w:p w14:paraId="6F2108EB">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20</w:t>
            </w:r>
          </w:p>
        </w:tc>
      </w:tr>
      <w:tr w14:paraId="27CD0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continue"/>
            <w:vAlign w:val="center"/>
          </w:tcPr>
          <w:p w14:paraId="3D57F6CA">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p>
        </w:tc>
        <w:tc>
          <w:tcPr>
            <w:tcW w:w="1094" w:type="pct"/>
            <w:vMerge w:val="continue"/>
            <w:vAlign w:val="center"/>
          </w:tcPr>
          <w:p w14:paraId="72A388AF">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p>
        </w:tc>
        <w:tc>
          <w:tcPr>
            <w:tcW w:w="1328" w:type="pct"/>
            <w:vAlign w:val="center"/>
          </w:tcPr>
          <w:p w14:paraId="06BF9199">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其它</w:t>
            </w:r>
          </w:p>
        </w:tc>
        <w:tc>
          <w:tcPr>
            <w:tcW w:w="1953" w:type="pct"/>
            <w:vAlign w:val="center"/>
          </w:tcPr>
          <w:p w14:paraId="7E413CF8">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25</w:t>
            </w:r>
          </w:p>
        </w:tc>
      </w:tr>
      <w:tr w14:paraId="5CC1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restart"/>
            <w:vAlign w:val="center"/>
          </w:tcPr>
          <w:p w14:paraId="7F369ABA">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4</w:t>
            </w:r>
          </w:p>
        </w:tc>
        <w:tc>
          <w:tcPr>
            <w:tcW w:w="1094" w:type="pct"/>
            <w:vMerge w:val="restart"/>
            <w:vAlign w:val="center"/>
          </w:tcPr>
          <w:p w14:paraId="6CDACB67">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铅</w:t>
            </w:r>
          </w:p>
        </w:tc>
        <w:tc>
          <w:tcPr>
            <w:tcW w:w="1328" w:type="pct"/>
            <w:vAlign w:val="center"/>
          </w:tcPr>
          <w:p w14:paraId="20BA15BF">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水田</w:t>
            </w:r>
          </w:p>
        </w:tc>
        <w:tc>
          <w:tcPr>
            <w:tcW w:w="1953" w:type="pct"/>
            <w:vAlign w:val="center"/>
          </w:tcPr>
          <w:p w14:paraId="1DE10672">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240</w:t>
            </w:r>
          </w:p>
        </w:tc>
      </w:tr>
      <w:tr w14:paraId="66D98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continue"/>
            <w:vAlign w:val="center"/>
          </w:tcPr>
          <w:p w14:paraId="7697C346">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p>
        </w:tc>
        <w:tc>
          <w:tcPr>
            <w:tcW w:w="1094" w:type="pct"/>
            <w:vMerge w:val="continue"/>
            <w:vAlign w:val="center"/>
          </w:tcPr>
          <w:p w14:paraId="372B5934">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p>
        </w:tc>
        <w:tc>
          <w:tcPr>
            <w:tcW w:w="1328" w:type="pct"/>
            <w:vAlign w:val="center"/>
          </w:tcPr>
          <w:p w14:paraId="1509F4A3">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其它</w:t>
            </w:r>
          </w:p>
        </w:tc>
        <w:tc>
          <w:tcPr>
            <w:tcW w:w="1953" w:type="pct"/>
            <w:vAlign w:val="center"/>
          </w:tcPr>
          <w:p w14:paraId="39FAD566">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170</w:t>
            </w:r>
          </w:p>
        </w:tc>
      </w:tr>
      <w:tr w14:paraId="08286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restart"/>
            <w:vAlign w:val="center"/>
          </w:tcPr>
          <w:p w14:paraId="4354E677">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5</w:t>
            </w:r>
          </w:p>
        </w:tc>
        <w:tc>
          <w:tcPr>
            <w:tcW w:w="1094" w:type="pct"/>
            <w:vMerge w:val="restart"/>
            <w:vAlign w:val="center"/>
          </w:tcPr>
          <w:p w14:paraId="2B1A3847">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铬</w:t>
            </w:r>
          </w:p>
        </w:tc>
        <w:tc>
          <w:tcPr>
            <w:tcW w:w="1328" w:type="pct"/>
            <w:vAlign w:val="center"/>
          </w:tcPr>
          <w:p w14:paraId="27EDB57D">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水田</w:t>
            </w:r>
          </w:p>
        </w:tc>
        <w:tc>
          <w:tcPr>
            <w:tcW w:w="1953" w:type="pct"/>
            <w:vAlign w:val="center"/>
          </w:tcPr>
          <w:p w14:paraId="65585101">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350</w:t>
            </w:r>
          </w:p>
        </w:tc>
      </w:tr>
      <w:tr w14:paraId="7F1AE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continue"/>
            <w:vAlign w:val="center"/>
          </w:tcPr>
          <w:p w14:paraId="125C90C8">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p>
        </w:tc>
        <w:tc>
          <w:tcPr>
            <w:tcW w:w="1094" w:type="pct"/>
            <w:vMerge w:val="continue"/>
            <w:vAlign w:val="center"/>
          </w:tcPr>
          <w:p w14:paraId="042AFCA9">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p>
        </w:tc>
        <w:tc>
          <w:tcPr>
            <w:tcW w:w="1328" w:type="pct"/>
            <w:vAlign w:val="center"/>
          </w:tcPr>
          <w:p w14:paraId="002B951F">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其它</w:t>
            </w:r>
          </w:p>
        </w:tc>
        <w:tc>
          <w:tcPr>
            <w:tcW w:w="1953" w:type="pct"/>
            <w:vAlign w:val="center"/>
          </w:tcPr>
          <w:p w14:paraId="230482CE">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250</w:t>
            </w:r>
          </w:p>
        </w:tc>
      </w:tr>
      <w:tr w14:paraId="41667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Align w:val="center"/>
          </w:tcPr>
          <w:p w14:paraId="4683C66D">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6</w:t>
            </w:r>
          </w:p>
        </w:tc>
        <w:tc>
          <w:tcPr>
            <w:tcW w:w="1094" w:type="pct"/>
            <w:vAlign w:val="center"/>
          </w:tcPr>
          <w:p w14:paraId="48601425">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铜</w:t>
            </w:r>
          </w:p>
        </w:tc>
        <w:tc>
          <w:tcPr>
            <w:tcW w:w="1328" w:type="pct"/>
            <w:vAlign w:val="center"/>
          </w:tcPr>
          <w:p w14:paraId="28F1B366">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其它</w:t>
            </w:r>
          </w:p>
        </w:tc>
        <w:tc>
          <w:tcPr>
            <w:tcW w:w="1953" w:type="pct"/>
            <w:vAlign w:val="center"/>
          </w:tcPr>
          <w:p w14:paraId="5B7C0F5E">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100</w:t>
            </w:r>
          </w:p>
        </w:tc>
      </w:tr>
      <w:tr w14:paraId="3F506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Align w:val="center"/>
          </w:tcPr>
          <w:p w14:paraId="12BC1562">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7</w:t>
            </w:r>
          </w:p>
        </w:tc>
        <w:tc>
          <w:tcPr>
            <w:tcW w:w="2422" w:type="pct"/>
            <w:gridSpan w:val="2"/>
            <w:vAlign w:val="center"/>
          </w:tcPr>
          <w:p w14:paraId="548D0D4B">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镍</w:t>
            </w:r>
          </w:p>
        </w:tc>
        <w:tc>
          <w:tcPr>
            <w:tcW w:w="1953" w:type="pct"/>
            <w:vAlign w:val="center"/>
          </w:tcPr>
          <w:p w14:paraId="4243D508">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190</w:t>
            </w:r>
          </w:p>
        </w:tc>
      </w:tr>
      <w:tr w14:paraId="32450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Align w:val="center"/>
          </w:tcPr>
          <w:p w14:paraId="0A4478EF">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8</w:t>
            </w:r>
          </w:p>
        </w:tc>
        <w:tc>
          <w:tcPr>
            <w:tcW w:w="2422" w:type="pct"/>
            <w:gridSpan w:val="2"/>
            <w:vAlign w:val="center"/>
          </w:tcPr>
          <w:p w14:paraId="7FE02969">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锌</w:t>
            </w:r>
          </w:p>
        </w:tc>
        <w:tc>
          <w:tcPr>
            <w:tcW w:w="1953" w:type="pct"/>
            <w:vAlign w:val="center"/>
          </w:tcPr>
          <w:p w14:paraId="55A19103">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300</w:t>
            </w:r>
          </w:p>
        </w:tc>
      </w:tr>
    </w:tbl>
    <w:p w14:paraId="1C4EA476">
      <w:pPr>
        <w:pStyle w:val="7"/>
        <w:widowControl w:val="0"/>
        <w:spacing w:before="60" w:after="60" w:line="440" w:lineRule="exact"/>
        <w:jc w:val="both"/>
        <w:rPr>
          <w:rFonts w:eastAsia="宋体"/>
          <w:b/>
          <w:color w:val="auto"/>
          <w:w w:val="99"/>
          <w:kern w:val="2"/>
          <w:sz w:val="24"/>
          <w:szCs w:val="24"/>
          <w:highlight w:val="none"/>
        </w:rPr>
      </w:pPr>
      <w:bookmarkStart w:id="264" w:name="_Toc67860102"/>
      <w:bookmarkStart w:id="265" w:name="_Toc57976648"/>
      <w:bookmarkStart w:id="266" w:name="_Toc186444249"/>
      <w:bookmarkStart w:id="267" w:name="_Toc77067633"/>
      <w:bookmarkStart w:id="268" w:name="_Toc21176"/>
      <w:bookmarkStart w:id="269" w:name="_Toc80971351"/>
      <w:bookmarkStart w:id="270" w:name="_Toc76976217"/>
      <w:bookmarkStart w:id="271" w:name="_Toc57707893"/>
      <w:bookmarkStart w:id="272" w:name="_Toc80588229"/>
      <w:bookmarkStart w:id="273" w:name="_Toc17898138"/>
      <w:bookmarkStart w:id="274" w:name="_Toc57203223"/>
      <w:bookmarkStart w:id="275" w:name="_Toc83209446"/>
      <w:bookmarkStart w:id="276" w:name="_Toc78816434"/>
      <w:bookmarkStart w:id="277" w:name="_Toc70050149"/>
      <w:bookmarkStart w:id="278" w:name="_Toc61597195"/>
      <w:r>
        <w:rPr>
          <w:rFonts w:eastAsia="宋体"/>
          <w:b/>
          <w:color w:val="auto"/>
          <w:w w:val="99"/>
          <w:kern w:val="2"/>
          <w:sz w:val="24"/>
          <w:szCs w:val="24"/>
          <w:highlight w:val="none"/>
        </w:rPr>
        <w:t>2.6.2污染物排放标准</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10080807">
      <w:pPr>
        <w:pStyle w:val="153"/>
        <w:widowControl w:val="0"/>
        <w:spacing w:line="440" w:lineRule="exact"/>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2.6.2.1废气</w:t>
      </w:r>
    </w:p>
    <w:p w14:paraId="1F28C11F">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（1）项目施工期扬尘（颗粒物）执行《大气污染物综合排放标准》（GB 16297-1996）表2中无组织排放监控浓度限值，见表2.6-7。</w:t>
      </w:r>
    </w:p>
    <w:p w14:paraId="79858E29">
      <w:pPr>
        <w:widowControl w:val="0"/>
        <w:tabs>
          <w:tab w:val="left" w:pos="5262"/>
        </w:tabs>
        <w:spacing w:line="440" w:lineRule="exact"/>
        <w:ind w:firstLine="476"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b/>
          <w:color w:val="auto"/>
          <w:w w:val="99"/>
          <w:kern w:val="2"/>
          <w:szCs w:val="20"/>
          <w:highlight w:val="none"/>
        </w:rPr>
        <w:t>表2.6-7</w:t>
      </w:r>
      <w:r>
        <w:rPr>
          <w:rFonts w:ascii="Times New Roman" w:hAnsi="Times New Roman" w:cs="Times New Roman" w:eastAsiaTheme="minorEastAsia"/>
          <w:b/>
          <w:bCs/>
          <w:color w:val="auto"/>
          <w:w w:val="99"/>
          <w:kern w:val="21"/>
          <w:highlight w:val="none"/>
        </w:rPr>
        <w:t xml:space="preserve">    大气污染物综合排放标准    单位：mg/m</w:t>
      </w:r>
      <w:r>
        <w:rPr>
          <w:rFonts w:ascii="Times New Roman" w:hAnsi="Times New Roman" w:cs="Times New Roman" w:eastAsiaTheme="minorEastAsia"/>
          <w:b/>
          <w:bCs/>
          <w:color w:val="auto"/>
          <w:w w:val="99"/>
          <w:kern w:val="21"/>
          <w:highlight w:val="none"/>
          <w:vertAlign w:val="superscript"/>
        </w:rPr>
        <w:t>3</w:t>
      </w:r>
    </w:p>
    <w:tbl>
      <w:tblPr>
        <w:tblStyle w:val="8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53"/>
        <w:gridCol w:w="3036"/>
        <w:gridCol w:w="3298"/>
      </w:tblGrid>
      <w:tr w14:paraId="13B95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0" w:type="pct"/>
            <w:vMerge w:val="restart"/>
            <w:vAlign w:val="center"/>
          </w:tcPr>
          <w:p w14:paraId="13ABBB2D">
            <w:pPr>
              <w:widowControl w:val="0"/>
              <w:tabs>
                <w:tab w:val="left" w:pos="5262"/>
              </w:tabs>
              <w:spacing w:line="360" w:lineRule="exact"/>
              <w:jc w:val="center"/>
              <w:rPr>
                <w:rFonts w:ascii="Times New Roman" w:hAnsi="Times New Roman" w:cs="Times New Roman" w:eastAsiaTheme="minorEastAsia"/>
                <w:bCs/>
                <w:color w:val="auto"/>
                <w:w w:val="99"/>
                <w:kern w:val="21"/>
                <w:sz w:val="21"/>
                <w:szCs w:val="21"/>
                <w:highlight w:val="none"/>
              </w:rPr>
            </w:pPr>
            <w:r>
              <w:rPr>
                <w:rFonts w:ascii="Times New Roman" w:hAnsi="Times New Roman" w:cs="Times New Roman" w:eastAsiaTheme="minorEastAsia"/>
                <w:bCs/>
                <w:color w:val="auto"/>
                <w:w w:val="99"/>
                <w:kern w:val="21"/>
                <w:sz w:val="21"/>
                <w:szCs w:val="21"/>
                <w:highlight w:val="none"/>
              </w:rPr>
              <w:t>污染物</w:t>
            </w:r>
          </w:p>
        </w:tc>
        <w:tc>
          <w:tcPr>
            <w:tcW w:w="3409" w:type="pct"/>
            <w:gridSpan w:val="2"/>
            <w:vAlign w:val="center"/>
          </w:tcPr>
          <w:p w14:paraId="3E385FA0">
            <w:pPr>
              <w:widowControl w:val="0"/>
              <w:tabs>
                <w:tab w:val="left" w:pos="5262"/>
              </w:tabs>
              <w:spacing w:line="360" w:lineRule="exact"/>
              <w:jc w:val="center"/>
              <w:rPr>
                <w:rFonts w:ascii="Times New Roman" w:hAnsi="Times New Roman" w:cs="Times New Roman" w:eastAsiaTheme="minorEastAsia"/>
                <w:bCs/>
                <w:color w:val="auto"/>
                <w:w w:val="99"/>
                <w:kern w:val="21"/>
                <w:sz w:val="21"/>
                <w:szCs w:val="21"/>
                <w:highlight w:val="none"/>
              </w:rPr>
            </w:pPr>
            <w:r>
              <w:rPr>
                <w:rFonts w:ascii="Times New Roman" w:hAnsi="Times New Roman" w:cs="Times New Roman" w:eastAsiaTheme="minorEastAsia"/>
                <w:bCs/>
                <w:color w:val="auto"/>
                <w:w w:val="99"/>
                <w:kern w:val="21"/>
                <w:sz w:val="21"/>
                <w:szCs w:val="21"/>
                <w:highlight w:val="none"/>
              </w:rPr>
              <w:t>无组织排放监控浓度限值</w:t>
            </w:r>
          </w:p>
        </w:tc>
      </w:tr>
      <w:tr w14:paraId="3AAE5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0" w:type="pct"/>
            <w:vMerge w:val="continue"/>
            <w:vAlign w:val="center"/>
          </w:tcPr>
          <w:p w14:paraId="479ABB4B">
            <w:pPr>
              <w:widowControl w:val="0"/>
              <w:tabs>
                <w:tab w:val="left" w:pos="5262"/>
              </w:tabs>
              <w:spacing w:line="360" w:lineRule="exact"/>
              <w:jc w:val="center"/>
              <w:rPr>
                <w:rFonts w:ascii="Times New Roman" w:hAnsi="Times New Roman" w:cs="Times New Roman" w:eastAsiaTheme="minorEastAsia"/>
                <w:bCs/>
                <w:color w:val="auto"/>
                <w:w w:val="99"/>
                <w:kern w:val="21"/>
                <w:sz w:val="21"/>
                <w:szCs w:val="21"/>
                <w:highlight w:val="none"/>
              </w:rPr>
            </w:pPr>
          </w:p>
        </w:tc>
        <w:tc>
          <w:tcPr>
            <w:tcW w:w="1634" w:type="pct"/>
            <w:vAlign w:val="center"/>
          </w:tcPr>
          <w:p w14:paraId="160FF47B">
            <w:pPr>
              <w:widowControl w:val="0"/>
              <w:tabs>
                <w:tab w:val="left" w:pos="5262"/>
              </w:tabs>
              <w:spacing w:line="360" w:lineRule="exact"/>
              <w:jc w:val="center"/>
              <w:rPr>
                <w:rFonts w:ascii="Times New Roman" w:hAnsi="Times New Roman" w:cs="Times New Roman" w:eastAsiaTheme="minorEastAsia"/>
                <w:bCs/>
                <w:color w:val="auto"/>
                <w:w w:val="99"/>
                <w:kern w:val="21"/>
                <w:sz w:val="21"/>
                <w:szCs w:val="21"/>
                <w:highlight w:val="none"/>
              </w:rPr>
            </w:pPr>
            <w:r>
              <w:rPr>
                <w:rFonts w:ascii="Times New Roman" w:hAnsi="Times New Roman" w:cs="Times New Roman" w:eastAsiaTheme="minorEastAsia"/>
                <w:bCs/>
                <w:color w:val="auto"/>
                <w:w w:val="99"/>
                <w:kern w:val="21"/>
                <w:sz w:val="21"/>
                <w:szCs w:val="21"/>
                <w:highlight w:val="none"/>
              </w:rPr>
              <w:t>监控点</w:t>
            </w:r>
          </w:p>
        </w:tc>
        <w:tc>
          <w:tcPr>
            <w:tcW w:w="1775" w:type="pct"/>
            <w:vAlign w:val="center"/>
          </w:tcPr>
          <w:p w14:paraId="7D22CA0D">
            <w:pPr>
              <w:widowControl w:val="0"/>
              <w:tabs>
                <w:tab w:val="left" w:pos="5262"/>
              </w:tabs>
              <w:spacing w:line="360" w:lineRule="exact"/>
              <w:jc w:val="center"/>
              <w:rPr>
                <w:rFonts w:ascii="Times New Roman" w:hAnsi="Times New Roman" w:cs="Times New Roman" w:eastAsiaTheme="minorEastAsia"/>
                <w:bCs/>
                <w:color w:val="auto"/>
                <w:w w:val="99"/>
                <w:kern w:val="21"/>
                <w:sz w:val="21"/>
                <w:szCs w:val="21"/>
                <w:highlight w:val="none"/>
              </w:rPr>
            </w:pPr>
            <w:r>
              <w:rPr>
                <w:rFonts w:ascii="Times New Roman" w:hAnsi="Times New Roman" w:cs="Times New Roman" w:eastAsiaTheme="minorEastAsia"/>
                <w:bCs/>
                <w:color w:val="auto"/>
                <w:w w:val="99"/>
                <w:kern w:val="21"/>
                <w:sz w:val="21"/>
                <w:szCs w:val="21"/>
                <w:highlight w:val="none"/>
              </w:rPr>
              <w:t>浓度</w:t>
            </w:r>
          </w:p>
        </w:tc>
      </w:tr>
      <w:tr w14:paraId="144FB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0" w:type="pct"/>
            <w:vAlign w:val="center"/>
          </w:tcPr>
          <w:p w14:paraId="4E52EA87">
            <w:pPr>
              <w:widowControl w:val="0"/>
              <w:tabs>
                <w:tab w:val="left" w:pos="5262"/>
              </w:tabs>
              <w:spacing w:line="360" w:lineRule="exact"/>
              <w:jc w:val="center"/>
              <w:rPr>
                <w:rFonts w:ascii="Times New Roman" w:hAnsi="Times New Roman" w:cs="Times New Roman" w:eastAsiaTheme="minorEastAsia"/>
                <w:bCs/>
                <w:color w:val="auto"/>
                <w:w w:val="99"/>
                <w:kern w:val="21"/>
                <w:sz w:val="21"/>
                <w:szCs w:val="21"/>
                <w:highlight w:val="none"/>
              </w:rPr>
            </w:pPr>
            <w:r>
              <w:rPr>
                <w:rFonts w:ascii="Times New Roman" w:hAnsi="Times New Roman" w:cs="Times New Roman" w:eastAsiaTheme="minorEastAsia"/>
                <w:bCs/>
                <w:color w:val="auto"/>
                <w:w w:val="99"/>
                <w:kern w:val="21"/>
                <w:sz w:val="21"/>
                <w:szCs w:val="21"/>
                <w:highlight w:val="none"/>
              </w:rPr>
              <w:t>颗粒物</w:t>
            </w:r>
          </w:p>
        </w:tc>
        <w:tc>
          <w:tcPr>
            <w:tcW w:w="1634" w:type="pct"/>
            <w:vAlign w:val="center"/>
          </w:tcPr>
          <w:p w14:paraId="5DFC2CAF">
            <w:pPr>
              <w:widowControl w:val="0"/>
              <w:tabs>
                <w:tab w:val="left" w:pos="5262"/>
              </w:tabs>
              <w:spacing w:line="360" w:lineRule="exact"/>
              <w:jc w:val="center"/>
              <w:rPr>
                <w:rFonts w:ascii="Times New Roman" w:hAnsi="Times New Roman" w:cs="Times New Roman" w:eastAsiaTheme="minorEastAsia"/>
                <w:bCs/>
                <w:color w:val="auto"/>
                <w:w w:val="99"/>
                <w:kern w:val="21"/>
                <w:sz w:val="21"/>
                <w:szCs w:val="21"/>
                <w:highlight w:val="none"/>
              </w:rPr>
            </w:pPr>
            <w:r>
              <w:rPr>
                <w:rFonts w:ascii="Times New Roman" w:hAnsi="Times New Roman" w:cs="Times New Roman" w:eastAsiaTheme="minorEastAsia"/>
                <w:bCs/>
                <w:color w:val="auto"/>
                <w:w w:val="99"/>
                <w:kern w:val="21"/>
                <w:sz w:val="21"/>
                <w:szCs w:val="21"/>
                <w:highlight w:val="none"/>
              </w:rPr>
              <w:t>周界外浓度最高点</w:t>
            </w:r>
          </w:p>
        </w:tc>
        <w:tc>
          <w:tcPr>
            <w:tcW w:w="1775" w:type="pct"/>
            <w:vAlign w:val="center"/>
          </w:tcPr>
          <w:p w14:paraId="2E4B2824">
            <w:pPr>
              <w:widowControl w:val="0"/>
              <w:tabs>
                <w:tab w:val="left" w:pos="5262"/>
              </w:tabs>
              <w:spacing w:line="360" w:lineRule="exact"/>
              <w:jc w:val="center"/>
              <w:rPr>
                <w:rFonts w:ascii="Times New Roman" w:hAnsi="Times New Roman" w:cs="Times New Roman" w:eastAsiaTheme="minorEastAsia"/>
                <w:bCs/>
                <w:color w:val="auto"/>
                <w:w w:val="99"/>
                <w:kern w:val="21"/>
                <w:sz w:val="21"/>
                <w:szCs w:val="21"/>
                <w:highlight w:val="none"/>
              </w:rPr>
            </w:pPr>
            <w:r>
              <w:rPr>
                <w:rFonts w:ascii="Times New Roman" w:hAnsi="Times New Roman" w:cs="Times New Roman" w:eastAsiaTheme="minorEastAsia"/>
                <w:bCs/>
                <w:color w:val="auto"/>
                <w:w w:val="99"/>
                <w:kern w:val="21"/>
                <w:sz w:val="21"/>
                <w:szCs w:val="21"/>
                <w:highlight w:val="none"/>
              </w:rPr>
              <w:t>1.0</w:t>
            </w:r>
          </w:p>
        </w:tc>
      </w:tr>
    </w:tbl>
    <w:p w14:paraId="51FF6905">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（3）运营期井场</w:t>
      </w:r>
      <w:r>
        <w:rPr>
          <w:rFonts w:hint="eastAsia" w:ascii="Times New Roman" w:hAnsi="Times New Roman"/>
          <w:snapToGrid w:val="0"/>
          <w:color w:val="auto"/>
          <w:w w:val="99"/>
          <w:highlight w:val="none"/>
        </w:rPr>
        <w:t>以及</w:t>
      </w:r>
      <w:r>
        <w:rPr>
          <w:rFonts w:ascii="Times New Roman" w:hAnsi="Times New Roman"/>
          <w:snapToGrid w:val="0"/>
          <w:color w:val="auto"/>
          <w:w w:val="99"/>
          <w:highlight w:val="none"/>
        </w:rPr>
        <w:t>依托场站排放的VOCs（以非甲烷总烃计）执行《陆上石油天然气开采工业大气污染物排放标准》（GB39728-2020）</w:t>
      </w:r>
      <w:r>
        <w:rPr>
          <w:rFonts w:hint="eastAsia" w:ascii="Times New Roman" w:hAnsi="Times New Roman"/>
          <w:color w:val="auto"/>
          <w:w w:val="99"/>
          <w:highlight w:val="none"/>
        </w:rPr>
        <w:t>要求，</w:t>
      </w:r>
      <w:r>
        <w:rPr>
          <w:rFonts w:ascii="Times New Roman" w:hAnsi="Times New Roman"/>
          <w:snapToGrid w:val="0"/>
          <w:color w:val="auto"/>
          <w:w w:val="99"/>
          <w:highlight w:val="none"/>
        </w:rPr>
        <w:t>见表2.6-</w:t>
      </w:r>
      <w:r>
        <w:rPr>
          <w:rFonts w:hint="eastAsia" w:ascii="Times New Roman" w:hAnsi="Times New Roman"/>
          <w:snapToGrid w:val="0"/>
          <w:color w:val="auto"/>
          <w:w w:val="99"/>
          <w:highlight w:val="none"/>
        </w:rPr>
        <w:t>8</w:t>
      </w:r>
      <w:r>
        <w:rPr>
          <w:rFonts w:ascii="Times New Roman" w:hAnsi="Times New Roman"/>
          <w:snapToGrid w:val="0"/>
          <w:color w:val="auto"/>
          <w:w w:val="99"/>
          <w:highlight w:val="none"/>
        </w:rPr>
        <w:t>。</w:t>
      </w:r>
    </w:p>
    <w:p w14:paraId="4E6CBB95">
      <w:pPr>
        <w:widowControl w:val="0"/>
        <w:tabs>
          <w:tab w:val="left" w:pos="5262"/>
        </w:tabs>
        <w:spacing w:line="440" w:lineRule="exact"/>
        <w:ind w:firstLine="476"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b/>
          <w:color w:val="auto"/>
          <w:w w:val="99"/>
          <w:kern w:val="2"/>
          <w:szCs w:val="20"/>
          <w:highlight w:val="none"/>
        </w:rPr>
        <w:t>表2.6-</w:t>
      </w:r>
      <w:r>
        <w:rPr>
          <w:rFonts w:hint="eastAsia" w:ascii="Times New Roman" w:hAnsi="Times New Roman" w:cs="Times New Roman" w:eastAsiaTheme="minorEastAsia"/>
          <w:b/>
          <w:color w:val="auto"/>
          <w:w w:val="99"/>
          <w:kern w:val="2"/>
          <w:szCs w:val="20"/>
          <w:highlight w:val="none"/>
        </w:rPr>
        <w:t>8</w:t>
      </w:r>
      <w:r>
        <w:rPr>
          <w:rFonts w:ascii="Times New Roman" w:hAnsi="Times New Roman" w:cs="Times New Roman" w:eastAsiaTheme="minorEastAsia"/>
          <w:b/>
          <w:color w:val="auto"/>
          <w:w w:val="99"/>
          <w:kern w:val="2"/>
          <w:szCs w:val="20"/>
          <w:highlight w:val="none"/>
        </w:rPr>
        <w:t xml:space="preserve">    陆上石油天然气开采工业大气污染物排放标准</w:t>
      </w:r>
    </w:p>
    <w:tbl>
      <w:tblPr>
        <w:tblStyle w:val="8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83"/>
        <w:gridCol w:w="5804"/>
      </w:tblGrid>
      <w:tr w14:paraId="507F5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75" w:type="pct"/>
            <w:vAlign w:val="center"/>
          </w:tcPr>
          <w:p w14:paraId="3C652A02">
            <w:pPr>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标准</w:t>
            </w:r>
          </w:p>
        </w:tc>
        <w:tc>
          <w:tcPr>
            <w:tcW w:w="3125" w:type="pct"/>
            <w:vAlign w:val="center"/>
          </w:tcPr>
          <w:p w14:paraId="10095144">
            <w:pPr>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规定要求</w:t>
            </w:r>
          </w:p>
        </w:tc>
      </w:tr>
      <w:tr w14:paraId="664F6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75" w:type="pct"/>
            <w:vAlign w:val="center"/>
          </w:tcPr>
          <w:p w14:paraId="410F0FBA">
            <w:pPr>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《陆上石油天然气开采工业大气污染物排放标准》（GB39728-2020）</w:t>
            </w:r>
          </w:p>
        </w:tc>
        <w:tc>
          <w:tcPr>
            <w:tcW w:w="3125" w:type="pct"/>
            <w:vAlign w:val="center"/>
          </w:tcPr>
          <w:p w14:paraId="79DB1F5E">
            <w:pPr>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油气集中处理站、涉及凝析油或天然气凝液的天然气处理厂、储油库边界非甲烷总烃浓度不应超过4.0 mg/m</w:t>
            </w:r>
            <w:r>
              <w:rPr>
                <w:rFonts w:ascii="Times New Roman" w:hAnsi="Times New Roman" w:cs="Times New Roman"/>
                <w:color w:val="auto"/>
                <w:w w:val="99"/>
                <w:sz w:val="21"/>
                <w:szCs w:val="21"/>
                <w:highlight w:val="none"/>
                <w:vertAlign w:val="superscript"/>
              </w:rPr>
              <w:t>3</w:t>
            </w:r>
            <w:r>
              <w:rPr>
                <w:rFonts w:ascii="Times New Roman" w:hAnsi="Times New Roman" w:cs="Times New Roman"/>
                <w:color w:val="auto"/>
                <w:w w:val="99"/>
                <w:sz w:val="21"/>
                <w:szCs w:val="21"/>
                <w:highlight w:val="none"/>
              </w:rPr>
              <w:t>。</w:t>
            </w:r>
          </w:p>
        </w:tc>
      </w:tr>
    </w:tbl>
    <w:p w14:paraId="0E2EF758">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w:t>
      </w:r>
      <w:r>
        <w:rPr>
          <w:rFonts w:hint="eastAsia" w:ascii="Times New Roman" w:hAnsi="Times New Roman"/>
          <w:snapToGrid w:val="0"/>
          <w:color w:val="auto"/>
          <w:w w:val="99"/>
          <w:highlight w:val="none"/>
        </w:rPr>
        <w:t>4</w:t>
      </w:r>
      <w:r>
        <w:rPr>
          <w:rFonts w:ascii="Times New Roman" w:hAnsi="Times New Roman"/>
          <w:snapToGrid w:val="0"/>
          <w:color w:val="auto"/>
          <w:w w:val="99"/>
          <w:highlight w:val="none"/>
        </w:rPr>
        <w:t>）本项目不在重点地区，运营期依托场站内加热炉执行《锅炉大气污染物排放标准》（GB13271-2014）表2中新建燃气锅炉标准限值，具体见表2.6-</w:t>
      </w:r>
      <w:r>
        <w:rPr>
          <w:rFonts w:hint="eastAsia" w:ascii="Times New Roman" w:hAnsi="Times New Roman"/>
          <w:snapToGrid w:val="0"/>
          <w:color w:val="auto"/>
          <w:w w:val="99"/>
          <w:highlight w:val="none"/>
        </w:rPr>
        <w:t>9</w:t>
      </w:r>
      <w:r>
        <w:rPr>
          <w:rFonts w:ascii="Times New Roman" w:hAnsi="Times New Roman"/>
          <w:snapToGrid w:val="0"/>
          <w:color w:val="auto"/>
          <w:w w:val="99"/>
          <w:highlight w:val="none"/>
        </w:rPr>
        <w:t>。</w:t>
      </w:r>
    </w:p>
    <w:p w14:paraId="3AD39E5F">
      <w:pPr>
        <w:widowControl w:val="0"/>
        <w:spacing w:line="440" w:lineRule="exact"/>
        <w:ind w:firstLine="476" w:firstLineChars="200"/>
        <w:jc w:val="both"/>
        <w:rPr>
          <w:rFonts w:ascii="Times New Roman" w:hAnsi="Times New Roman" w:cs="Times New Roman" w:eastAsiaTheme="minorEastAsia"/>
          <w:color w:val="auto"/>
          <w:w w:val="99"/>
          <w:kern w:val="2"/>
          <w:highlight w:val="none"/>
        </w:rPr>
      </w:pPr>
      <w:r>
        <w:rPr>
          <w:rFonts w:ascii="Times New Roman" w:hAnsi="Times New Roman" w:cs="Times New Roman" w:eastAsiaTheme="minorEastAsia"/>
          <w:b/>
          <w:color w:val="auto"/>
          <w:w w:val="99"/>
          <w:kern w:val="2"/>
          <w:szCs w:val="20"/>
          <w:highlight w:val="none"/>
        </w:rPr>
        <w:t>表2.6-</w:t>
      </w:r>
      <w:r>
        <w:rPr>
          <w:rFonts w:hint="eastAsia" w:ascii="Times New Roman" w:hAnsi="Times New Roman" w:cs="Times New Roman" w:eastAsiaTheme="minorEastAsia"/>
          <w:b/>
          <w:color w:val="auto"/>
          <w:w w:val="99"/>
          <w:kern w:val="2"/>
          <w:szCs w:val="20"/>
          <w:highlight w:val="none"/>
        </w:rPr>
        <w:t>9</w:t>
      </w:r>
      <w:r>
        <w:rPr>
          <w:rFonts w:ascii="Times New Roman" w:hAnsi="Times New Roman" w:cs="Times New Roman" w:eastAsiaTheme="minorEastAsia"/>
          <w:b/>
          <w:color w:val="auto"/>
          <w:w w:val="99"/>
          <w:kern w:val="2"/>
          <w:szCs w:val="20"/>
          <w:highlight w:val="none"/>
        </w:rPr>
        <w:t xml:space="preserve">    锅炉大气污染物排放浓度限值    单位：mg/m</w:t>
      </w:r>
      <w:r>
        <w:rPr>
          <w:rFonts w:ascii="Times New Roman" w:hAnsi="Times New Roman" w:cs="Times New Roman" w:eastAsiaTheme="minorEastAsia"/>
          <w:b/>
          <w:color w:val="auto"/>
          <w:w w:val="99"/>
          <w:kern w:val="2"/>
          <w:szCs w:val="20"/>
          <w:highlight w:val="none"/>
          <w:vertAlign w:val="superscript"/>
        </w:rPr>
        <w:t>3</w:t>
      </w:r>
    </w:p>
    <w:tbl>
      <w:tblPr>
        <w:tblStyle w:val="8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0"/>
        <w:gridCol w:w="2474"/>
        <w:gridCol w:w="1016"/>
        <w:gridCol w:w="873"/>
        <w:gridCol w:w="1016"/>
        <w:gridCol w:w="1597"/>
        <w:gridCol w:w="1011"/>
      </w:tblGrid>
      <w:tr w14:paraId="345D1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0" w:type="pct"/>
            <w:vAlign w:val="center"/>
          </w:tcPr>
          <w:p w14:paraId="636F6D37">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区域</w:t>
            </w:r>
          </w:p>
        </w:tc>
        <w:tc>
          <w:tcPr>
            <w:tcW w:w="1332" w:type="pct"/>
            <w:vAlign w:val="center"/>
          </w:tcPr>
          <w:p w14:paraId="44BDB47E">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污染物项目</w:t>
            </w:r>
          </w:p>
        </w:tc>
        <w:tc>
          <w:tcPr>
            <w:tcW w:w="547" w:type="pct"/>
            <w:vAlign w:val="center"/>
          </w:tcPr>
          <w:p w14:paraId="3CC213A0">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颗粒物</w:t>
            </w:r>
          </w:p>
        </w:tc>
        <w:tc>
          <w:tcPr>
            <w:tcW w:w="470" w:type="pct"/>
            <w:vAlign w:val="center"/>
          </w:tcPr>
          <w:p w14:paraId="7C77B065">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SO</w:t>
            </w:r>
            <w:r>
              <w:rPr>
                <w:rFonts w:ascii="Times New Roman" w:hAnsi="Times New Roman" w:cs="Times New Roman" w:eastAsiaTheme="minorEastAsia"/>
                <w:color w:val="auto"/>
                <w:w w:val="99"/>
                <w:kern w:val="2"/>
                <w:sz w:val="21"/>
                <w:szCs w:val="21"/>
                <w:highlight w:val="none"/>
                <w:vertAlign w:val="subscript"/>
              </w:rPr>
              <w:t>2</w:t>
            </w:r>
          </w:p>
        </w:tc>
        <w:tc>
          <w:tcPr>
            <w:tcW w:w="547" w:type="pct"/>
            <w:vAlign w:val="center"/>
          </w:tcPr>
          <w:p w14:paraId="16B719A4">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NO</w:t>
            </w:r>
            <w:r>
              <w:rPr>
                <w:rFonts w:ascii="Times New Roman" w:hAnsi="Times New Roman" w:cs="Times New Roman" w:eastAsiaTheme="minorEastAsia"/>
                <w:color w:val="auto"/>
                <w:w w:val="99"/>
                <w:kern w:val="2"/>
                <w:sz w:val="21"/>
                <w:szCs w:val="21"/>
                <w:highlight w:val="none"/>
                <w:vertAlign w:val="subscript"/>
              </w:rPr>
              <w:t>x</w:t>
            </w:r>
          </w:p>
        </w:tc>
        <w:tc>
          <w:tcPr>
            <w:tcW w:w="860" w:type="pct"/>
            <w:vAlign w:val="center"/>
          </w:tcPr>
          <w:p w14:paraId="095F614D">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烟气黑度（林格曼级）</w:t>
            </w:r>
          </w:p>
        </w:tc>
        <w:tc>
          <w:tcPr>
            <w:tcW w:w="544" w:type="pct"/>
          </w:tcPr>
          <w:p w14:paraId="2B248DB5">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排气筒高度</w:t>
            </w:r>
          </w:p>
        </w:tc>
      </w:tr>
      <w:tr w14:paraId="63E1E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0" w:type="pct"/>
            <w:vAlign w:val="center"/>
          </w:tcPr>
          <w:p w14:paraId="735CE610">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非重点地区</w:t>
            </w:r>
          </w:p>
        </w:tc>
        <w:tc>
          <w:tcPr>
            <w:tcW w:w="1332" w:type="pct"/>
            <w:vAlign w:val="center"/>
          </w:tcPr>
          <w:p w14:paraId="4DF2FBF5">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加热炉（新建、燃气）</w:t>
            </w:r>
          </w:p>
        </w:tc>
        <w:tc>
          <w:tcPr>
            <w:tcW w:w="547" w:type="pct"/>
            <w:vAlign w:val="center"/>
          </w:tcPr>
          <w:p w14:paraId="7DB8C17D">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≤20</w:t>
            </w:r>
          </w:p>
        </w:tc>
        <w:tc>
          <w:tcPr>
            <w:tcW w:w="470" w:type="pct"/>
            <w:vAlign w:val="center"/>
          </w:tcPr>
          <w:p w14:paraId="33E3D04C">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≤50</w:t>
            </w:r>
          </w:p>
        </w:tc>
        <w:tc>
          <w:tcPr>
            <w:tcW w:w="547" w:type="pct"/>
            <w:vAlign w:val="center"/>
          </w:tcPr>
          <w:p w14:paraId="45BABF10">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≤200</w:t>
            </w:r>
          </w:p>
        </w:tc>
        <w:tc>
          <w:tcPr>
            <w:tcW w:w="860" w:type="pct"/>
            <w:vAlign w:val="center"/>
          </w:tcPr>
          <w:p w14:paraId="28409F48">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w:t>
            </w:r>
          </w:p>
        </w:tc>
        <w:tc>
          <w:tcPr>
            <w:tcW w:w="544" w:type="pct"/>
          </w:tcPr>
          <w:p w14:paraId="522B5829">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≥8m</w:t>
            </w:r>
          </w:p>
        </w:tc>
      </w:tr>
    </w:tbl>
    <w:p w14:paraId="6DBDC7BC">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2.6.2.2 废水</w:t>
      </w:r>
    </w:p>
    <w:p w14:paraId="30B8F940">
      <w:pPr>
        <w:widowControl w:val="0"/>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snapToGrid w:val="0"/>
          <w:color w:val="auto"/>
          <w:w w:val="99"/>
          <w:highlight w:val="none"/>
        </w:rPr>
        <w:t>（1）本项目</w:t>
      </w:r>
      <w:r>
        <w:rPr>
          <w:rFonts w:hint="eastAsia" w:ascii="Times New Roman" w:hAnsi="Times New Roman"/>
          <w:snapToGrid w:val="0"/>
          <w:color w:val="auto"/>
          <w:w w:val="99"/>
          <w:highlight w:val="none"/>
        </w:rPr>
        <w:t>管线试压废水、气田采出水最终进入</w:t>
      </w:r>
      <w:r>
        <w:rPr>
          <w:rFonts w:ascii="Times New Roman" w:hAnsi="Times New Roman"/>
          <w:snapToGrid w:val="0"/>
          <w:color w:val="auto"/>
          <w:w w:val="99"/>
          <w:highlight w:val="none"/>
        </w:rPr>
        <w:t>升一联气田污水预处理站处理满足</w:t>
      </w:r>
      <w:r>
        <w:rPr>
          <w:rFonts w:ascii="Times New Roman" w:hAnsi="Times New Roman" w:cs="Times New Roman"/>
          <w:color w:val="auto"/>
          <w:w w:val="99"/>
          <w:kern w:val="2"/>
          <w:highlight w:val="none"/>
        </w:rPr>
        <w:t>《大庆油田地面工程建设设计规定》（Q/SYDQ 0639-2015）限值“含油量≤10mg/L、悬浮固体含量≤5mg/L、粒径中值≤2μm”</w:t>
      </w:r>
      <w:r>
        <w:rPr>
          <w:rFonts w:hint="eastAsia" w:ascii="Times New Roman" w:hAnsi="Times New Roman" w:cs="Times New Roman"/>
          <w:color w:val="auto"/>
          <w:w w:val="99"/>
          <w:kern w:val="2"/>
          <w:highlight w:val="none"/>
          <w:lang w:eastAsia="zh-CN"/>
        </w:rPr>
        <w:t>，</w:t>
      </w:r>
      <w:r>
        <w:rPr>
          <w:rFonts w:hint="eastAsia" w:ascii="Times New Roman" w:hAnsi="Times New Roman" w:cs="Times New Roman"/>
          <w:color w:val="auto"/>
          <w:w w:val="99"/>
          <w:kern w:val="2"/>
          <w:highlight w:val="none"/>
          <w:lang w:val="en-US" w:eastAsia="zh-CN"/>
        </w:rPr>
        <w:t>同时满足</w:t>
      </w:r>
      <w:r>
        <w:rPr>
          <w:rFonts w:ascii="Times New Roman" w:hAnsi="Times New Roman" w:cs="Times New Roman"/>
          <w:bCs/>
          <w:color w:val="auto"/>
          <w:w w:val="99"/>
          <w:highlight w:val="none"/>
        </w:rPr>
        <w:t>《碎屑岩油藏注水水质指标技术要求及分析方法》(SY/T5329-2022)中标准限值，回注地下。</w:t>
      </w:r>
    </w:p>
    <w:p w14:paraId="532D6AF8">
      <w:pPr>
        <w:pStyle w:val="153"/>
        <w:widowControl w:val="0"/>
        <w:spacing w:line="440" w:lineRule="exact"/>
        <w:ind w:firstLine="473"/>
        <w:jc w:val="both"/>
        <w:rPr>
          <w:rFonts w:ascii="Times New Roman" w:hAnsi="Times New Roman"/>
          <w:snapToGrid w:val="0"/>
          <w:color w:val="auto"/>
          <w:w w:val="99"/>
          <w:highlight w:val="none"/>
        </w:rPr>
      </w:pPr>
      <w:r>
        <w:rPr>
          <w:rFonts w:ascii="Times New Roman" w:hAnsi="Times New Roman"/>
          <w:snapToGrid w:val="0"/>
          <w:color w:val="auto"/>
          <w:w w:val="99"/>
          <w:highlight w:val="none"/>
        </w:rPr>
        <w:t>施工期施工人员产生的生活污水排入</w:t>
      </w:r>
      <w:r>
        <w:rPr>
          <w:rFonts w:hint="eastAsia" w:ascii="Times New Roman" w:hAnsi="Times New Roman"/>
          <w:snapToGrid w:val="0"/>
          <w:color w:val="auto"/>
          <w:w w:val="99"/>
          <w:highlight w:val="none"/>
        </w:rPr>
        <w:t>附近场站已建防渗旱厕，均</w:t>
      </w:r>
      <w:r>
        <w:rPr>
          <w:rFonts w:hint="eastAsia" w:ascii="Times New Roman" w:hAnsi="Times New Roman"/>
          <w:color w:val="auto"/>
          <w:w w:val="99"/>
          <w:highlight w:val="none"/>
        </w:rPr>
        <w:t>定期由大庆石油管理局有限公司庆南工矿服务公司红岗分公司拉运至大庆红岗区西巷污水回收站，管输至南区污水处理厂进行处理。</w:t>
      </w:r>
    </w:p>
    <w:p w14:paraId="106D9359">
      <w:pPr>
        <w:widowControl w:val="0"/>
        <w:tabs>
          <w:tab w:val="left" w:pos="5262"/>
        </w:tabs>
        <w:spacing w:line="440" w:lineRule="exact"/>
        <w:ind w:firstLine="476"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b/>
          <w:snapToGrid w:val="0"/>
          <w:color w:val="auto"/>
          <w:w w:val="99"/>
          <w:highlight w:val="none"/>
        </w:rPr>
        <w:t>表2.6-1</w:t>
      </w:r>
      <w:r>
        <w:rPr>
          <w:rFonts w:hint="eastAsia" w:ascii="Times New Roman" w:hAnsi="Times New Roman" w:cs="Times New Roman" w:eastAsiaTheme="minorEastAsia"/>
          <w:b/>
          <w:snapToGrid w:val="0"/>
          <w:color w:val="auto"/>
          <w:w w:val="99"/>
          <w:highlight w:val="none"/>
        </w:rPr>
        <w:t>0</w:t>
      </w:r>
      <w:r>
        <w:rPr>
          <w:rFonts w:ascii="Times New Roman" w:hAnsi="Times New Roman" w:cs="Times New Roman" w:eastAsiaTheme="minorEastAsia"/>
          <w:b/>
          <w:snapToGrid w:val="0"/>
          <w:color w:val="auto"/>
          <w:w w:val="99"/>
          <w:highlight w:val="none"/>
        </w:rPr>
        <w:t xml:space="preserve">    大庆油田水驱注水水质主要控制指标</w:t>
      </w:r>
    </w:p>
    <w:tbl>
      <w:tblPr>
        <w:tblStyle w:val="8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567"/>
        <w:gridCol w:w="1285"/>
        <w:gridCol w:w="1283"/>
        <w:gridCol w:w="1287"/>
        <w:gridCol w:w="1285"/>
        <w:gridCol w:w="1420"/>
      </w:tblGrid>
      <w:tr w14:paraId="1F4CA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Merge w:val="restart"/>
            <w:vAlign w:val="center"/>
          </w:tcPr>
          <w:p w14:paraId="56BA7C58">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项目</w:t>
            </w:r>
          </w:p>
        </w:tc>
        <w:tc>
          <w:tcPr>
            <w:tcW w:w="3594" w:type="pct"/>
            <w:gridSpan w:val="5"/>
            <w:vAlign w:val="center"/>
          </w:tcPr>
          <w:p w14:paraId="4B4132F4">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空气渗透率μm</w:t>
            </w:r>
            <w:r>
              <w:rPr>
                <w:rFonts w:ascii="Times New Roman" w:hAnsi="Times New Roman" w:cs="Times New Roman" w:eastAsiaTheme="minorEastAsia"/>
                <w:color w:val="auto"/>
                <w:w w:val="99"/>
                <w:kern w:val="2"/>
                <w:sz w:val="21"/>
                <w:szCs w:val="21"/>
                <w:highlight w:val="none"/>
                <w:vertAlign w:val="superscript"/>
              </w:rPr>
              <w:t>2</w:t>
            </w:r>
          </w:p>
        </w:tc>
      </w:tr>
      <w:tr w14:paraId="57805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Merge w:val="continue"/>
            <w:vAlign w:val="center"/>
          </w:tcPr>
          <w:p w14:paraId="5A7866DE">
            <w:pPr>
              <w:spacing w:line="360" w:lineRule="exact"/>
              <w:jc w:val="center"/>
              <w:rPr>
                <w:rFonts w:ascii="Times New Roman" w:hAnsi="Times New Roman" w:cs="Times New Roman" w:eastAsiaTheme="minorEastAsia"/>
                <w:color w:val="auto"/>
                <w:w w:val="99"/>
                <w:kern w:val="2"/>
                <w:sz w:val="21"/>
                <w:szCs w:val="21"/>
                <w:highlight w:val="none"/>
              </w:rPr>
            </w:pPr>
          </w:p>
        </w:tc>
        <w:tc>
          <w:tcPr>
            <w:tcW w:w="704" w:type="pct"/>
            <w:vAlign w:val="center"/>
          </w:tcPr>
          <w:p w14:paraId="580F3F85">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＜0.02</w:t>
            </w:r>
          </w:p>
        </w:tc>
        <w:tc>
          <w:tcPr>
            <w:tcW w:w="703" w:type="pct"/>
            <w:vAlign w:val="center"/>
          </w:tcPr>
          <w:p w14:paraId="5C04A83B">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0.02-0.1</w:t>
            </w:r>
          </w:p>
        </w:tc>
        <w:tc>
          <w:tcPr>
            <w:tcW w:w="705" w:type="pct"/>
            <w:vAlign w:val="center"/>
          </w:tcPr>
          <w:p w14:paraId="39B6D43F">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0.1-0.3</w:t>
            </w:r>
          </w:p>
        </w:tc>
        <w:tc>
          <w:tcPr>
            <w:tcW w:w="704" w:type="pct"/>
            <w:vAlign w:val="center"/>
          </w:tcPr>
          <w:p w14:paraId="35F9558C">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0.3-0.6</w:t>
            </w:r>
          </w:p>
        </w:tc>
        <w:tc>
          <w:tcPr>
            <w:tcW w:w="778" w:type="pct"/>
            <w:vAlign w:val="center"/>
          </w:tcPr>
          <w:p w14:paraId="39539B79">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＞0.6</w:t>
            </w:r>
          </w:p>
        </w:tc>
      </w:tr>
      <w:tr w14:paraId="36C5E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Align w:val="center"/>
          </w:tcPr>
          <w:p w14:paraId="70FB97AF">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含油量，mg/L</w:t>
            </w:r>
          </w:p>
        </w:tc>
        <w:tc>
          <w:tcPr>
            <w:tcW w:w="704" w:type="pct"/>
            <w:vAlign w:val="center"/>
          </w:tcPr>
          <w:p w14:paraId="7EF6F920">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≤5.0</w:t>
            </w:r>
          </w:p>
        </w:tc>
        <w:tc>
          <w:tcPr>
            <w:tcW w:w="703" w:type="pct"/>
            <w:vAlign w:val="center"/>
          </w:tcPr>
          <w:p w14:paraId="63C037D6">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≤8.0</w:t>
            </w:r>
          </w:p>
        </w:tc>
        <w:tc>
          <w:tcPr>
            <w:tcW w:w="705" w:type="pct"/>
            <w:vAlign w:val="center"/>
          </w:tcPr>
          <w:p w14:paraId="602AE648">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≤10.0</w:t>
            </w:r>
          </w:p>
        </w:tc>
        <w:tc>
          <w:tcPr>
            <w:tcW w:w="704" w:type="pct"/>
            <w:vAlign w:val="center"/>
          </w:tcPr>
          <w:p w14:paraId="68D13451">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≤15.0</w:t>
            </w:r>
          </w:p>
        </w:tc>
        <w:tc>
          <w:tcPr>
            <w:tcW w:w="778" w:type="pct"/>
            <w:vAlign w:val="center"/>
          </w:tcPr>
          <w:p w14:paraId="3CD0F14D">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≤20.0</w:t>
            </w:r>
          </w:p>
        </w:tc>
      </w:tr>
      <w:tr w14:paraId="55C8C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Align w:val="center"/>
          </w:tcPr>
          <w:p w14:paraId="60BD23DD">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悬浮固体含量，mg/L</w:t>
            </w:r>
          </w:p>
        </w:tc>
        <w:tc>
          <w:tcPr>
            <w:tcW w:w="704" w:type="pct"/>
            <w:vAlign w:val="center"/>
          </w:tcPr>
          <w:p w14:paraId="5315CD52">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≤1.0</w:t>
            </w:r>
          </w:p>
        </w:tc>
        <w:tc>
          <w:tcPr>
            <w:tcW w:w="703" w:type="pct"/>
            <w:vAlign w:val="center"/>
          </w:tcPr>
          <w:p w14:paraId="06729C2F">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≤3.0</w:t>
            </w:r>
          </w:p>
        </w:tc>
        <w:tc>
          <w:tcPr>
            <w:tcW w:w="705" w:type="pct"/>
            <w:vAlign w:val="center"/>
          </w:tcPr>
          <w:p w14:paraId="75DE5EEF">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≤5.0</w:t>
            </w:r>
          </w:p>
        </w:tc>
        <w:tc>
          <w:tcPr>
            <w:tcW w:w="704" w:type="pct"/>
            <w:vAlign w:val="center"/>
          </w:tcPr>
          <w:p w14:paraId="6EECE8F0">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≤5.0</w:t>
            </w:r>
          </w:p>
        </w:tc>
        <w:tc>
          <w:tcPr>
            <w:tcW w:w="778" w:type="pct"/>
            <w:vAlign w:val="center"/>
          </w:tcPr>
          <w:p w14:paraId="11B1319B">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≤10.0</w:t>
            </w:r>
          </w:p>
        </w:tc>
      </w:tr>
      <w:tr w14:paraId="0A0E8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Align w:val="center"/>
          </w:tcPr>
          <w:p w14:paraId="12CEEA62">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悬浮物颗粒直径中值，μm</w:t>
            </w:r>
          </w:p>
        </w:tc>
        <w:tc>
          <w:tcPr>
            <w:tcW w:w="704" w:type="pct"/>
            <w:vAlign w:val="center"/>
          </w:tcPr>
          <w:p w14:paraId="27025D23">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≤1.0</w:t>
            </w:r>
          </w:p>
        </w:tc>
        <w:tc>
          <w:tcPr>
            <w:tcW w:w="703" w:type="pct"/>
            <w:vAlign w:val="center"/>
          </w:tcPr>
          <w:p w14:paraId="20BBCFA6">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≤2.0</w:t>
            </w:r>
          </w:p>
        </w:tc>
        <w:tc>
          <w:tcPr>
            <w:tcW w:w="705" w:type="pct"/>
            <w:vAlign w:val="center"/>
          </w:tcPr>
          <w:p w14:paraId="6019D52A">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≤2.0</w:t>
            </w:r>
          </w:p>
        </w:tc>
        <w:tc>
          <w:tcPr>
            <w:tcW w:w="704" w:type="pct"/>
            <w:vAlign w:val="center"/>
          </w:tcPr>
          <w:p w14:paraId="5A139F7F">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≤3.0</w:t>
            </w:r>
          </w:p>
        </w:tc>
        <w:tc>
          <w:tcPr>
            <w:tcW w:w="778" w:type="pct"/>
            <w:vAlign w:val="center"/>
          </w:tcPr>
          <w:p w14:paraId="3DDAB2EA">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≤3.0</w:t>
            </w:r>
          </w:p>
        </w:tc>
      </w:tr>
    </w:tbl>
    <w:p w14:paraId="69FB96D3">
      <w:pPr>
        <w:pStyle w:val="153"/>
        <w:widowControl w:val="0"/>
        <w:spacing w:line="440" w:lineRule="exact"/>
        <w:ind w:firstLine="474"/>
        <w:rPr>
          <w:rFonts w:ascii="Times New Roman" w:hAnsi="Times New Roman" w:eastAsiaTheme="minorEastAsia"/>
          <w:b/>
          <w:snapToGrid w:val="0"/>
          <w:color w:val="auto"/>
          <w:w w:val="99"/>
          <w:highlight w:val="none"/>
        </w:rPr>
      </w:pPr>
      <w:r>
        <w:rPr>
          <w:rFonts w:ascii="Times New Roman" w:hAnsi="Times New Roman" w:eastAsiaTheme="minorEastAsia"/>
          <w:b/>
          <w:snapToGrid w:val="0"/>
          <w:color w:val="auto"/>
          <w:w w:val="99"/>
          <w:highlight w:val="none"/>
        </w:rPr>
        <w:t>表2.6-1</w:t>
      </w:r>
      <w:r>
        <w:rPr>
          <w:rFonts w:hint="eastAsia" w:ascii="Times New Roman" w:hAnsi="Times New Roman" w:eastAsiaTheme="minorEastAsia"/>
          <w:b/>
          <w:snapToGrid w:val="0"/>
          <w:color w:val="auto"/>
          <w:w w:val="99"/>
          <w:highlight w:val="none"/>
        </w:rPr>
        <w:t>1</w:t>
      </w:r>
      <w:r>
        <w:rPr>
          <w:rFonts w:ascii="Times New Roman" w:hAnsi="Times New Roman" w:eastAsiaTheme="minorEastAsia"/>
          <w:b/>
          <w:snapToGrid w:val="0"/>
          <w:color w:val="auto"/>
          <w:w w:val="99"/>
          <w:highlight w:val="none"/>
        </w:rPr>
        <w:t xml:space="preserve">    碎屑岩油藏注水水质主要控制指标</w:t>
      </w:r>
    </w:p>
    <w:tbl>
      <w:tblPr>
        <w:tblStyle w:val="8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566"/>
        <w:gridCol w:w="1286"/>
        <w:gridCol w:w="1282"/>
        <w:gridCol w:w="1288"/>
        <w:gridCol w:w="1286"/>
        <w:gridCol w:w="1419"/>
      </w:tblGrid>
      <w:tr w14:paraId="47B30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5" w:type="pct"/>
            <w:vAlign w:val="center"/>
          </w:tcPr>
          <w:p w14:paraId="73D60A32">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储层空气渗透率，μm</w:t>
            </w:r>
            <w:r>
              <w:rPr>
                <w:rFonts w:ascii="Times New Roman" w:hAnsi="Times New Roman" w:cs="Times New Roman" w:eastAsiaTheme="minorEastAsia"/>
                <w:color w:val="auto"/>
                <w:w w:val="99"/>
                <w:kern w:val="2"/>
                <w:sz w:val="21"/>
                <w:szCs w:val="21"/>
                <w:highlight w:val="none"/>
                <w:vertAlign w:val="superscript"/>
              </w:rPr>
              <w:t>2</w:t>
            </w:r>
          </w:p>
        </w:tc>
        <w:tc>
          <w:tcPr>
            <w:tcW w:w="704" w:type="pct"/>
            <w:vAlign w:val="center"/>
          </w:tcPr>
          <w:p w14:paraId="75520F6E">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＜0.01</w:t>
            </w:r>
          </w:p>
        </w:tc>
        <w:tc>
          <w:tcPr>
            <w:tcW w:w="702" w:type="pct"/>
            <w:vAlign w:val="center"/>
          </w:tcPr>
          <w:p w14:paraId="6826E51F">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[0.01-0.05）</w:t>
            </w:r>
          </w:p>
        </w:tc>
        <w:tc>
          <w:tcPr>
            <w:tcW w:w="705" w:type="pct"/>
            <w:vAlign w:val="center"/>
          </w:tcPr>
          <w:p w14:paraId="3730C156">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[0.05-0.5）</w:t>
            </w:r>
          </w:p>
        </w:tc>
        <w:tc>
          <w:tcPr>
            <w:tcW w:w="704" w:type="pct"/>
            <w:vAlign w:val="center"/>
          </w:tcPr>
          <w:p w14:paraId="6475C95F">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[0.5-2.0）</w:t>
            </w:r>
          </w:p>
        </w:tc>
        <w:tc>
          <w:tcPr>
            <w:tcW w:w="777" w:type="pct"/>
            <w:vAlign w:val="center"/>
          </w:tcPr>
          <w:p w14:paraId="15BB2625">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≥2.0</w:t>
            </w:r>
          </w:p>
        </w:tc>
      </w:tr>
      <w:tr w14:paraId="14562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5" w:type="pct"/>
            <w:vAlign w:val="center"/>
          </w:tcPr>
          <w:p w14:paraId="3AB008CB">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含油量，mg/L</w:t>
            </w:r>
          </w:p>
        </w:tc>
        <w:tc>
          <w:tcPr>
            <w:tcW w:w="704" w:type="pct"/>
            <w:vAlign w:val="center"/>
          </w:tcPr>
          <w:p w14:paraId="0E4E318F">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≤5.0</w:t>
            </w:r>
          </w:p>
        </w:tc>
        <w:tc>
          <w:tcPr>
            <w:tcW w:w="702" w:type="pct"/>
            <w:vAlign w:val="center"/>
          </w:tcPr>
          <w:p w14:paraId="68CFFE4F">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≤10.0</w:t>
            </w:r>
          </w:p>
        </w:tc>
        <w:tc>
          <w:tcPr>
            <w:tcW w:w="705" w:type="pct"/>
            <w:vAlign w:val="center"/>
          </w:tcPr>
          <w:p w14:paraId="0E5C01DB">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≤15.0</w:t>
            </w:r>
          </w:p>
        </w:tc>
        <w:tc>
          <w:tcPr>
            <w:tcW w:w="704" w:type="pct"/>
            <w:vAlign w:val="center"/>
          </w:tcPr>
          <w:p w14:paraId="7ABFEA46">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≤30.0</w:t>
            </w:r>
          </w:p>
        </w:tc>
        <w:tc>
          <w:tcPr>
            <w:tcW w:w="777" w:type="pct"/>
            <w:vAlign w:val="center"/>
          </w:tcPr>
          <w:p w14:paraId="2F8B76B8">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≤100.0</w:t>
            </w:r>
          </w:p>
        </w:tc>
      </w:tr>
      <w:tr w14:paraId="773C0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5" w:type="pct"/>
            <w:vAlign w:val="center"/>
          </w:tcPr>
          <w:p w14:paraId="48B92414">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悬浮固体含量，mg/L</w:t>
            </w:r>
          </w:p>
        </w:tc>
        <w:tc>
          <w:tcPr>
            <w:tcW w:w="704" w:type="pct"/>
            <w:vAlign w:val="center"/>
          </w:tcPr>
          <w:p w14:paraId="01AA01A4">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≤8.0</w:t>
            </w:r>
          </w:p>
        </w:tc>
        <w:tc>
          <w:tcPr>
            <w:tcW w:w="702" w:type="pct"/>
            <w:vAlign w:val="center"/>
          </w:tcPr>
          <w:p w14:paraId="720D930B">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≤15.0</w:t>
            </w:r>
          </w:p>
        </w:tc>
        <w:tc>
          <w:tcPr>
            <w:tcW w:w="705" w:type="pct"/>
            <w:vAlign w:val="center"/>
          </w:tcPr>
          <w:p w14:paraId="0DCEFC1F">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≤20.0</w:t>
            </w:r>
          </w:p>
        </w:tc>
        <w:tc>
          <w:tcPr>
            <w:tcW w:w="704" w:type="pct"/>
            <w:vAlign w:val="center"/>
          </w:tcPr>
          <w:p w14:paraId="58AAD84C">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≤25.0</w:t>
            </w:r>
          </w:p>
        </w:tc>
        <w:tc>
          <w:tcPr>
            <w:tcW w:w="777" w:type="pct"/>
            <w:vAlign w:val="center"/>
          </w:tcPr>
          <w:p w14:paraId="2D38CDCD">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≤35.0</w:t>
            </w:r>
          </w:p>
        </w:tc>
      </w:tr>
      <w:tr w14:paraId="26CB9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5" w:type="pct"/>
            <w:vAlign w:val="center"/>
          </w:tcPr>
          <w:p w14:paraId="548259A2">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悬浮物颗粒直径中值，μm</w:t>
            </w:r>
          </w:p>
        </w:tc>
        <w:tc>
          <w:tcPr>
            <w:tcW w:w="704" w:type="pct"/>
            <w:vAlign w:val="center"/>
          </w:tcPr>
          <w:p w14:paraId="27B570E6">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≤3.0</w:t>
            </w:r>
          </w:p>
        </w:tc>
        <w:tc>
          <w:tcPr>
            <w:tcW w:w="702" w:type="pct"/>
            <w:vAlign w:val="center"/>
          </w:tcPr>
          <w:p w14:paraId="76B8E13F">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≤5.0</w:t>
            </w:r>
          </w:p>
        </w:tc>
        <w:tc>
          <w:tcPr>
            <w:tcW w:w="705" w:type="pct"/>
            <w:vAlign w:val="center"/>
          </w:tcPr>
          <w:p w14:paraId="2DA628D8">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≤5.0</w:t>
            </w:r>
          </w:p>
        </w:tc>
        <w:tc>
          <w:tcPr>
            <w:tcW w:w="704" w:type="pct"/>
            <w:vAlign w:val="center"/>
          </w:tcPr>
          <w:p w14:paraId="5A79C327">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≤5.0</w:t>
            </w:r>
          </w:p>
        </w:tc>
        <w:tc>
          <w:tcPr>
            <w:tcW w:w="777" w:type="pct"/>
            <w:vAlign w:val="center"/>
          </w:tcPr>
          <w:p w14:paraId="0C40A376">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≤5.5</w:t>
            </w:r>
          </w:p>
        </w:tc>
      </w:tr>
    </w:tbl>
    <w:p w14:paraId="6B3C9CD9">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2.6.2.3噪声</w:t>
      </w:r>
    </w:p>
    <w:p w14:paraId="0F5A1038">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项目施工期噪声排放执行《</w:t>
      </w:r>
      <w:r>
        <w:rPr>
          <w:rFonts w:hint="eastAsia" w:ascii="Times New Roman" w:hAnsi="Times New Roman"/>
          <w:snapToGrid w:val="0"/>
          <w:color w:val="auto"/>
          <w:w w:val="99"/>
          <w:highlight w:val="none"/>
        </w:rPr>
        <w:t>建筑施工噪声排放标准</w:t>
      </w:r>
      <w:r>
        <w:rPr>
          <w:rFonts w:ascii="Times New Roman" w:hAnsi="Times New Roman"/>
          <w:snapToGrid w:val="0"/>
          <w:color w:val="auto"/>
          <w:w w:val="99"/>
          <w:highlight w:val="none"/>
        </w:rPr>
        <w:t>》（GB12523-20</w:t>
      </w:r>
      <w:r>
        <w:rPr>
          <w:rFonts w:hint="eastAsia" w:ascii="Times New Roman" w:hAnsi="Times New Roman"/>
          <w:snapToGrid w:val="0"/>
          <w:color w:val="auto"/>
          <w:w w:val="99"/>
          <w:highlight w:val="none"/>
        </w:rPr>
        <w:t>25</w:t>
      </w:r>
      <w:r>
        <w:rPr>
          <w:rFonts w:ascii="Times New Roman" w:hAnsi="Times New Roman"/>
          <w:snapToGrid w:val="0"/>
          <w:color w:val="auto"/>
          <w:w w:val="99"/>
          <w:highlight w:val="none"/>
        </w:rPr>
        <w:t>），见表2.6-</w:t>
      </w:r>
      <w:r>
        <w:rPr>
          <w:rFonts w:hint="eastAsia" w:ascii="Times New Roman" w:hAnsi="Times New Roman"/>
          <w:snapToGrid w:val="0"/>
          <w:color w:val="auto"/>
          <w:w w:val="99"/>
          <w:highlight w:val="none"/>
        </w:rPr>
        <w:t>12</w:t>
      </w:r>
      <w:r>
        <w:rPr>
          <w:rFonts w:ascii="Times New Roman" w:hAnsi="Times New Roman"/>
          <w:snapToGrid w:val="0"/>
          <w:color w:val="auto"/>
          <w:w w:val="99"/>
          <w:highlight w:val="none"/>
        </w:rPr>
        <w:t>。</w:t>
      </w:r>
    </w:p>
    <w:p w14:paraId="0D2CF0AA">
      <w:pPr>
        <w:pStyle w:val="153"/>
        <w:widowControl w:val="0"/>
        <w:spacing w:line="440" w:lineRule="exact"/>
        <w:ind w:firstLine="474"/>
        <w:jc w:val="both"/>
        <w:rPr>
          <w:rFonts w:ascii="Times New Roman" w:hAnsi="Times New Roman" w:eastAsiaTheme="minorEastAsia"/>
          <w:snapToGrid w:val="0"/>
          <w:color w:val="auto"/>
          <w:w w:val="99"/>
          <w:highlight w:val="none"/>
        </w:rPr>
      </w:pPr>
      <w:r>
        <w:rPr>
          <w:rFonts w:ascii="Times New Roman" w:hAnsi="Times New Roman" w:eastAsiaTheme="minorEastAsia"/>
          <w:b/>
          <w:snapToGrid w:val="0"/>
          <w:color w:val="auto"/>
          <w:w w:val="99"/>
          <w:highlight w:val="none"/>
        </w:rPr>
        <w:t>表2.6-1</w:t>
      </w:r>
      <w:r>
        <w:rPr>
          <w:rFonts w:hint="eastAsia" w:ascii="Times New Roman" w:hAnsi="Times New Roman" w:eastAsiaTheme="minorEastAsia"/>
          <w:b/>
          <w:snapToGrid w:val="0"/>
          <w:color w:val="auto"/>
          <w:w w:val="99"/>
          <w:highlight w:val="none"/>
        </w:rPr>
        <w:t>2</w:t>
      </w:r>
      <w:r>
        <w:rPr>
          <w:rFonts w:ascii="Times New Roman" w:hAnsi="Times New Roman" w:eastAsiaTheme="minorEastAsia"/>
          <w:b/>
          <w:snapToGrid w:val="0"/>
          <w:color w:val="auto"/>
          <w:w w:val="99"/>
          <w:highlight w:val="none"/>
        </w:rPr>
        <w:t xml:space="preserve">   </w:t>
      </w:r>
      <w:r>
        <w:rPr>
          <w:rFonts w:hint="eastAsia" w:ascii="Times New Roman" w:hAnsi="Times New Roman" w:eastAsiaTheme="minorEastAsia"/>
          <w:b/>
          <w:snapToGrid w:val="0"/>
          <w:color w:val="auto"/>
          <w:w w:val="99"/>
          <w:highlight w:val="none"/>
        </w:rPr>
        <w:t>建筑施工噪声排放标准</w:t>
      </w:r>
      <w:r>
        <w:rPr>
          <w:rFonts w:ascii="Times New Roman" w:hAnsi="Times New Roman" w:eastAsiaTheme="minorEastAsia"/>
          <w:b/>
          <w:snapToGrid w:val="0"/>
          <w:color w:val="auto"/>
          <w:w w:val="99"/>
          <w:highlight w:val="none"/>
        </w:rPr>
        <w:t xml:space="preserve">    单位：dB（A）</w:t>
      </w:r>
    </w:p>
    <w:tbl>
      <w:tblPr>
        <w:tblStyle w:val="8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22"/>
        <w:gridCol w:w="3081"/>
        <w:gridCol w:w="3084"/>
      </w:tblGrid>
      <w:tr w14:paraId="1C6CC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81" w:type="pct"/>
            <w:vMerge w:val="restart"/>
            <w:vAlign w:val="center"/>
          </w:tcPr>
          <w:p w14:paraId="101965B4">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主要噪声源</w:t>
            </w:r>
          </w:p>
        </w:tc>
        <w:tc>
          <w:tcPr>
            <w:tcW w:w="3319" w:type="pct"/>
            <w:gridSpan w:val="2"/>
            <w:vAlign w:val="center"/>
          </w:tcPr>
          <w:p w14:paraId="395F69DB">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噪声限值</w:t>
            </w:r>
          </w:p>
        </w:tc>
      </w:tr>
      <w:tr w14:paraId="6E62B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81" w:type="pct"/>
            <w:vMerge w:val="continue"/>
            <w:vAlign w:val="center"/>
          </w:tcPr>
          <w:p w14:paraId="14A654B0">
            <w:pPr>
              <w:pStyle w:val="157"/>
              <w:widowControl w:val="0"/>
              <w:spacing w:line="320" w:lineRule="exact"/>
              <w:rPr>
                <w:rFonts w:ascii="Times New Roman" w:hAnsi="Times New Roman" w:eastAsiaTheme="minorEastAsia"/>
                <w:snapToGrid w:val="0"/>
                <w:color w:val="auto"/>
                <w:w w:val="99"/>
                <w:kern w:val="0"/>
                <w:szCs w:val="24"/>
                <w:highlight w:val="none"/>
              </w:rPr>
            </w:pPr>
          </w:p>
        </w:tc>
        <w:tc>
          <w:tcPr>
            <w:tcW w:w="1659" w:type="pct"/>
            <w:vAlign w:val="center"/>
          </w:tcPr>
          <w:p w14:paraId="4C0BA161">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昼间</w:t>
            </w:r>
          </w:p>
        </w:tc>
        <w:tc>
          <w:tcPr>
            <w:tcW w:w="1660" w:type="pct"/>
            <w:vAlign w:val="center"/>
          </w:tcPr>
          <w:p w14:paraId="753ADDFA">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夜间</w:t>
            </w:r>
          </w:p>
        </w:tc>
      </w:tr>
      <w:tr w14:paraId="0CB3D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81" w:type="pct"/>
            <w:vAlign w:val="center"/>
          </w:tcPr>
          <w:p w14:paraId="5BB5ABC9">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建筑施工</w:t>
            </w:r>
          </w:p>
        </w:tc>
        <w:tc>
          <w:tcPr>
            <w:tcW w:w="1659" w:type="pct"/>
            <w:vAlign w:val="center"/>
          </w:tcPr>
          <w:p w14:paraId="638C3621">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70</w:t>
            </w:r>
          </w:p>
        </w:tc>
        <w:tc>
          <w:tcPr>
            <w:tcW w:w="1660" w:type="pct"/>
            <w:vAlign w:val="center"/>
          </w:tcPr>
          <w:p w14:paraId="15057059">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55</w:t>
            </w:r>
          </w:p>
        </w:tc>
      </w:tr>
    </w:tbl>
    <w:p w14:paraId="695024D0">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运营期新建井场噪声执行《工业企业厂界环境噪声排放标准》（GB12348-2008）中2类标准，具体见表2.6-1</w:t>
      </w:r>
      <w:r>
        <w:rPr>
          <w:rFonts w:hint="eastAsia" w:ascii="Times New Roman" w:hAnsi="Times New Roman"/>
          <w:snapToGrid w:val="0"/>
          <w:color w:val="auto"/>
          <w:w w:val="99"/>
          <w:highlight w:val="none"/>
        </w:rPr>
        <w:t>3</w:t>
      </w:r>
      <w:r>
        <w:rPr>
          <w:rFonts w:ascii="Times New Roman" w:hAnsi="Times New Roman"/>
          <w:snapToGrid w:val="0"/>
          <w:color w:val="auto"/>
          <w:w w:val="99"/>
          <w:highlight w:val="none"/>
        </w:rPr>
        <w:t>。</w:t>
      </w:r>
    </w:p>
    <w:p w14:paraId="42A12E62">
      <w:pPr>
        <w:pStyle w:val="185"/>
        <w:widowControl w:val="0"/>
        <w:tabs>
          <w:tab w:val="left" w:pos="1571"/>
        </w:tabs>
        <w:spacing w:line="440" w:lineRule="exact"/>
        <w:ind w:left="0" w:firstLine="476"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b/>
          <w:snapToGrid w:val="0"/>
          <w:color w:val="auto"/>
          <w:w w:val="99"/>
          <w:highlight w:val="none"/>
        </w:rPr>
        <w:t>表2.6-1</w:t>
      </w:r>
      <w:r>
        <w:rPr>
          <w:rFonts w:hint="eastAsia" w:ascii="Times New Roman" w:hAnsi="Times New Roman" w:cs="Times New Roman" w:eastAsiaTheme="minorEastAsia"/>
          <w:b/>
          <w:snapToGrid w:val="0"/>
          <w:color w:val="auto"/>
          <w:w w:val="99"/>
          <w:highlight w:val="none"/>
          <w:lang w:val="en-US"/>
        </w:rPr>
        <w:t>3</w:t>
      </w:r>
      <w:r>
        <w:rPr>
          <w:rFonts w:ascii="Times New Roman" w:hAnsi="Times New Roman" w:cs="Times New Roman" w:eastAsiaTheme="minorEastAsia"/>
          <w:b/>
          <w:snapToGrid w:val="0"/>
          <w:color w:val="auto"/>
          <w:w w:val="99"/>
          <w:highlight w:val="none"/>
        </w:rPr>
        <w:t xml:space="preserve">    工业企业厂界环境噪声排放标准    单位：dB（A）</w:t>
      </w:r>
    </w:p>
    <w:tbl>
      <w:tblPr>
        <w:tblStyle w:val="8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563"/>
        <w:gridCol w:w="4564"/>
      </w:tblGrid>
      <w:tr w14:paraId="5E87E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500" w:type="pct"/>
            <w:vAlign w:val="center"/>
          </w:tcPr>
          <w:p w14:paraId="3C7D31E1">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昼  间</w:t>
            </w:r>
          </w:p>
        </w:tc>
        <w:tc>
          <w:tcPr>
            <w:tcW w:w="2500" w:type="pct"/>
            <w:vAlign w:val="center"/>
          </w:tcPr>
          <w:p w14:paraId="29EF5B22">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夜  间</w:t>
            </w:r>
          </w:p>
        </w:tc>
      </w:tr>
      <w:tr w14:paraId="77675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500" w:type="pct"/>
            <w:vAlign w:val="center"/>
          </w:tcPr>
          <w:p w14:paraId="1F5E0C1C">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60</w:t>
            </w:r>
          </w:p>
        </w:tc>
        <w:tc>
          <w:tcPr>
            <w:tcW w:w="2500" w:type="pct"/>
            <w:vAlign w:val="center"/>
          </w:tcPr>
          <w:p w14:paraId="76034B29">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50</w:t>
            </w:r>
          </w:p>
        </w:tc>
      </w:tr>
    </w:tbl>
    <w:p w14:paraId="53A32E66">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2.6.2.4固体废物</w:t>
      </w:r>
    </w:p>
    <w:p w14:paraId="3637DD8A">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管道施工废料</w:t>
      </w:r>
      <w:r>
        <w:rPr>
          <w:rFonts w:hint="eastAsia" w:ascii="Times New Roman" w:hAnsi="Times New Roman"/>
          <w:snapToGrid w:val="0"/>
          <w:color w:val="auto"/>
          <w:w w:val="99"/>
          <w:highlight w:val="none"/>
        </w:rPr>
        <w:t>等</w:t>
      </w:r>
      <w:r>
        <w:rPr>
          <w:rFonts w:ascii="Times New Roman" w:hAnsi="Times New Roman"/>
          <w:snapToGrid w:val="0"/>
          <w:color w:val="auto"/>
          <w:w w:val="99"/>
          <w:highlight w:val="none"/>
        </w:rPr>
        <w:t>属于一般工业固体废物，执行《一般工业固体废物贮存和填埋污染控制标准》（GB 18599-2020）。</w:t>
      </w:r>
    </w:p>
    <w:p w14:paraId="475AC06A">
      <w:pPr>
        <w:keepNext w:val="0"/>
        <w:keepLines w:val="0"/>
        <w:pageBreakBefore w:val="0"/>
        <w:widowControl/>
        <w:kinsoku/>
        <w:wordWrap/>
        <w:overflowPunct/>
        <w:topLinePunct w:val="0"/>
        <w:autoSpaceDE/>
        <w:autoSpaceDN/>
        <w:bidi w:val="0"/>
        <w:adjustRightInd/>
        <w:snapToGrid/>
        <w:spacing w:line="500" w:lineRule="exact"/>
        <w:ind w:firstLine="474" w:firstLineChars="200"/>
        <w:jc w:val="both"/>
        <w:textAlignment w:val="auto"/>
        <w:rPr>
          <w:rFonts w:ascii="Times New Roman" w:hAnsi="Times New Roman" w:eastAsia="宋体" w:cs="Times New Roman"/>
          <w:snapToGrid w:val="0"/>
          <w:color w:val="auto"/>
          <w:w w:val="99"/>
          <w:sz w:val="24"/>
          <w:szCs w:val="24"/>
          <w:highlight w:val="none"/>
          <w:lang w:val="en-US" w:eastAsia="zh-CN" w:bidi="ar-SA"/>
        </w:rPr>
      </w:pPr>
      <w:r>
        <w:rPr>
          <w:rFonts w:hint="eastAsia" w:ascii="Times New Roman" w:hAnsi="Times New Roman" w:eastAsia="宋体" w:cs="Times New Roman"/>
          <w:snapToGrid w:val="0"/>
          <w:color w:val="auto"/>
          <w:w w:val="99"/>
          <w:sz w:val="24"/>
          <w:szCs w:val="24"/>
          <w:highlight w:val="none"/>
          <w:lang w:val="en-US" w:eastAsia="zh-CN" w:bidi="ar-SA"/>
        </w:rPr>
        <w:t>井口含油</w:t>
      </w:r>
      <w:r>
        <w:rPr>
          <w:rFonts w:hint="eastAsia" w:ascii="Times New Roman" w:hAnsi="Times New Roman" w:cs="Times New Roman"/>
          <w:snapToGrid w:val="0"/>
          <w:color w:val="auto"/>
          <w:w w:val="99"/>
          <w:sz w:val="24"/>
          <w:szCs w:val="24"/>
          <w:highlight w:val="none"/>
          <w:lang w:val="en-US" w:eastAsia="zh-CN" w:bidi="ar-SA"/>
        </w:rPr>
        <w:t>砂粒</w:t>
      </w:r>
      <w:r>
        <w:rPr>
          <w:rFonts w:hint="eastAsia" w:ascii="Times New Roman" w:hAnsi="Times New Roman" w:eastAsia="宋体" w:cs="Times New Roman"/>
          <w:snapToGrid w:val="0"/>
          <w:color w:val="auto"/>
          <w:w w:val="99"/>
          <w:sz w:val="24"/>
          <w:szCs w:val="24"/>
          <w:highlight w:val="none"/>
          <w:lang w:val="en-US" w:eastAsia="zh-CN" w:bidi="ar-SA"/>
        </w:rPr>
        <w:t>、废变压器油、含油废防渗布等属于危险废物，</w:t>
      </w:r>
      <w:r>
        <w:rPr>
          <w:rFonts w:ascii="Times New Roman" w:hAnsi="Times New Roman" w:eastAsia="宋体" w:cs="Times New Roman"/>
          <w:snapToGrid w:val="0"/>
          <w:color w:val="auto"/>
          <w:w w:val="99"/>
          <w:sz w:val="24"/>
          <w:szCs w:val="24"/>
          <w:highlight w:val="none"/>
          <w:lang w:val="en-US" w:eastAsia="zh-CN" w:bidi="ar-SA"/>
        </w:rPr>
        <w:t>执行《危险废物贮存污染控制标准》（GB18597-2023）中的相关规定</w:t>
      </w:r>
      <w:r>
        <w:rPr>
          <w:rFonts w:hint="eastAsia" w:ascii="Times New Roman" w:hAnsi="Times New Roman" w:eastAsia="宋体" w:cs="Times New Roman"/>
          <w:snapToGrid w:val="0"/>
          <w:color w:val="auto"/>
          <w:w w:val="99"/>
          <w:sz w:val="24"/>
          <w:szCs w:val="24"/>
          <w:highlight w:val="none"/>
          <w:lang w:val="en-US" w:eastAsia="zh-CN" w:bidi="ar-SA"/>
        </w:rPr>
        <w:t>。</w:t>
      </w:r>
    </w:p>
    <w:p w14:paraId="183AD2D9">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生活垃圾执行《城市生活垃圾管理办法》（中华人民共和国建设部令第157号令）。</w:t>
      </w:r>
    </w:p>
    <w:p w14:paraId="23B78EE6">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279" w:name="_Toc29703"/>
      <w:r>
        <w:rPr>
          <w:rFonts w:ascii="Times New Roman" w:hAnsi="Times New Roman" w:eastAsia="宋体"/>
          <w:b/>
          <w:snapToGrid w:val="0"/>
          <w:color w:val="auto"/>
          <w:w w:val="99"/>
          <w:highlight w:val="none"/>
        </w:rPr>
        <w:t>2.7评价等级及评价范围</w:t>
      </w:r>
      <w:bookmarkEnd w:id="279"/>
    </w:p>
    <w:p w14:paraId="53F1CCA5">
      <w:pPr>
        <w:pStyle w:val="7"/>
        <w:widowControl w:val="0"/>
        <w:spacing w:before="60" w:after="60" w:line="440" w:lineRule="exact"/>
        <w:jc w:val="both"/>
        <w:rPr>
          <w:rFonts w:eastAsia="宋体"/>
          <w:b/>
          <w:color w:val="auto"/>
          <w:w w:val="99"/>
          <w:kern w:val="2"/>
          <w:sz w:val="24"/>
          <w:szCs w:val="24"/>
          <w:highlight w:val="none"/>
        </w:rPr>
      </w:pPr>
      <w:bookmarkStart w:id="280" w:name="_Toc17898140"/>
      <w:bookmarkStart w:id="281" w:name="_Toc57707895"/>
      <w:bookmarkStart w:id="282" w:name="_Toc186444251"/>
      <w:bookmarkStart w:id="283" w:name="_Toc83209448"/>
      <w:bookmarkStart w:id="284" w:name="_Toc76976219"/>
      <w:bookmarkStart w:id="285" w:name="_Toc80971353"/>
      <w:bookmarkStart w:id="286" w:name="_Toc80588231"/>
      <w:bookmarkStart w:id="287" w:name="_Toc77067635"/>
      <w:bookmarkStart w:id="288" w:name="_Toc78816436"/>
      <w:bookmarkStart w:id="289" w:name="_Toc12000"/>
      <w:bookmarkStart w:id="290" w:name="_Toc67860104"/>
      <w:bookmarkStart w:id="291" w:name="_Toc70050151"/>
      <w:bookmarkStart w:id="292" w:name="_Toc57203225"/>
      <w:bookmarkStart w:id="293" w:name="_Toc61597197"/>
      <w:bookmarkStart w:id="294" w:name="_Toc57976650"/>
      <w:r>
        <w:rPr>
          <w:rFonts w:eastAsia="宋体"/>
          <w:b/>
          <w:color w:val="auto"/>
          <w:w w:val="99"/>
          <w:kern w:val="2"/>
          <w:sz w:val="24"/>
          <w:szCs w:val="24"/>
          <w:highlight w:val="none"/>
        </w:rPr>
        <w:t>2.7.1环境空气</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7E44AD87">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2.7.1.1评价等级</w:t>
      </w:r>
    </w:p>
    <w:p w14:paraId="2BC22136">
      <w:pPr>
        <w:widowControl w:val="0"/>
        <w:spacing w:line="440" w:lineRule="exact"/>
        <w:ind w:firstLine="474" w:firstLineChars="200"/>
        <w:jc w:val="both"/>
        <w:rPr>
          <w:rFonts w:ascii="Times New Roman" w:hAnsi="Times New Roman" w:cs="Times New Roman"/>
          <w:snapToGrid w:val="0"/>
          <w:color w:val="auto"/>
          <w:w w:val="99"/>
          <w:highlight w:val="none"/>
          <w:lang w:val="zh-CN"/>
        </w:rPr>
      </w:pPr>
      <w:r>
        <w:rPr>
          <w:rFonts w:ascii="Times New Roman" w:hAnsi="Times New Roman" w:cs="Times New Roman"/>
          <w:snapToGrid w:val="0"/>
          <w:color w:val="auto"/>
          <w:w w:val="99"/>
          <w:highlight w:val="none"/>
          <w:lang w:val="zh-CN"/>
        </w:rPr>
        <w:t>本项目采用《环境影响评价技术导则 大气环境》（HJ2.2-2018）推荐的 AERSCREEN估算模型对污染源进行估算并确定评价等级与范围。 本项目属于陆地天然气开采工程。根据项目工程分析和环境要素分析可知，项目施工期废气主要为施工扬尘、管线焊接烟尘，由于施工期较短暂，不考虑其评价等级，本项目评价等级判断主要以运营期为主。运营期大气污染源 主要为天然气加热炉产生的燃烧烟气（SO</w:t>
      </w:r>
      <w:r>
        <w:rPr>
          <w:rFonts w:ascii="Times New Roman" w:hAnsi="Times New Roman" w:cs="Times New Roman"/>
          <w:snapToGrid w:val="0"/>
          <w:color w:val="auto"/>
          <w:w w:val="99"/>
          <w:highlight w:val="none"/>
          <w:vertAlign w:val="subscript"/>
          <w:lang w:val="zh-CN"/>
        </w:rPr>
        <w:t>2</w:t>
      </w:r>
      <w:r>
        <w:rPr>
          <w:rFonts w:ascii="Times New Roman" w:hAnsi="Times New Roman" w:cs="Times New Roman"/>
          <w:snapToGrid w:val="0"/>
          <w:color w:val="auto"/>
          <w:w w:val="99"/>
          <w:highlight w:val="none"/>
          <w:lang w:val="zh-CN"/>
        </w:rPr>
        <w:t>、NOx、颗粒物）、天然气开采及集输过程中无组织排放的烃类气体（以NMHC计）。</w:t>
      </w:r>
    </w:p>
    <w:p w14:paraId="01131491">
      <w:pPr>
        <w:widowControl w:val="0"/>
        <w:spacing w:line="440" w:lineRule="exact"/>
        <w:ind w:firstLine="494"/>
        <w:jc w:val="both"/>
        <w:rPr>
          <w:rFonts w:ascii="Times New Roman" w:hAnsi="Times New Roman" w:cs="Times New Roman" w:eastAsiaTheme="minorEastAsia"/>
          <w:color w:val="auto"/>
          <w:w w:val="99"/>
          <w:highlight w:val="none"/>
          <w:lang w:val="zh-CN" w:bidi="zh-CN"/>
        </w:rPr>
      </w:pPr>
      <w:r>
        <w:rPr>
          <w:rFonts w:ascii="Times New Roman" w:hAnsi="Times New Roman" w:cs="Times New Roman" w:eastAsiaTheme="minorEastAsia"/>
          <w:color w:val="auto"/>
          <w:w w:val="99"/>
          <w:highlight w:val="none"/>
          <w:lang w:val="zh-CN" w:bidi="zh-CN"/>
        </w:rPr>
        <w:t>由于本工程未新建</w:t>
      </w:r>
      <w:r>
        <w:rPr>
          <w:rFonts w:hint="eastAsia" w:ascii="Times New Roman" w:hAnsi="Times New Roman" w:cs="Times New Roman" w:eastAsiaTheme="minorEastAsia"/>
          <w:color w:val="auto"/>
          <w:w w:val="99"/>
          <w:highlight w:val="none"/>
          <w:lang w:bidi="zh-CN"/>
        </w:rPr>
        <w:t>加热炉</w:t>
      </w:r>
      <w:r>
        <w:rPr>
          <w:rFonts w:ascii="Times New Roman" w:hAnsi="Times New Roman" w:cs="Times New Roman" w:eastAsiaTheme="minorEastAsia"/>
          <w:color w:val="auto"/>
          <w:w w:val="99"/>
          <w:highlight w:val="none"/>
          <w:lang w:val="zh-CN" w:bidi="zh-CN"/>
        </w:rPr>
        <w:t>，依托场站加热炉均满足相应的负荷状态下运行，且大气污染物总量在原申请总量范围内，因此本项目仅计算污染物分</w:t>
      </w:r>
      <w:r>
        <w:rPr>
          <w:rFonts w:hint="eastAsia" w:ascii="Times New Roman" w:hAnsi="Times New Roman" w:cs="Times New Roman" w:eastAsiaTheme="minorEastAsia"/>
          <w:color w:val="auto"/>
          <w:w w:val="99"/>
          <w:highlight w:val="none"/>
          <w:lang w:val="zh-CN" w:bidi="zh-CN"/>
        </w:rPr>
        <w:t>担</w:t>
      </w:r>
      <w:r>
        <w:rPr>
          <w:rFonts w:ascii="Times New Roman" w:hAnsi="Times New Roman" w:cs="Times New Roman" w:eastAsiaTheme="minorEastAsia"/>
          <w:color w:val="auto"/>
          <w:w w:val="99"/>
          <w:highlight w:val="none"/>
          <w:lang w:val="zh-CN" w:bidi="zh-CN"/>
        </w:rPr>
        <w:t>量，故不对加热炉烟气进行预测。</w:t>
      </w:r>
    </w:p>
    <w:p w14:paraId="55BF846C">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color w:val="auto"/>
          <w:w w:val="99"/>
          <w:highlight w:val="none"/>
        </w:rPr>
        <w:t>本工程排放的无组织挥发非甲烷总烃为面源形式排放，</w:t>
      </w:r>
      <w:r>
        <w:rPr>
          <w:rFonts w:ascii="Times New Roman" w:hAnsi="Times New Roman" w:cs="Times New Roman" w:eastAsiaTheme="minorEastAsia"/>
          <w:color w:val="auto"/>
          <w:w w:val="99"/>
          <w:kern w:val="2"/>
          <w:szCs w:val="20"/>
          <w:highlight w:val="none"/>
        </w:rPr>
        <w:t>主要排放位置有井场、集输管道阀门、</w:t>
      </w:r>
      <w:r>
        <w:rPr>
          <w:rFonts w:hint="eastAsia" w:ascii="Times New Roman" w:hAnsi="Times New Roman" w:cs="Times New Roman" w:eastAsiaTheme="minorEastAsia"/>
          <w:color w:val="auto"/>
          <w:w w:val="99"/>
          <w:kern w:val="2"/>
          <w:szCs w:val="20"/>
          <w:highlight w:val="none"/>
        </w:rPr>
        <w:t>集气站</w:t>
      </w:r>
      <w:r>
        <w:rPr>
          <w:rFonts w:ascii="Times New Roman" w:hAnsi="Times New Roman" w:cs="Times New Roman" w:eastAsiaTheme="minorEastAsia"/>
          <w:color w:val="auto"/>
          <w:w w:val="99"/>
          <w:kern w:val="2"/>
          <w:szCs w:val="20"/>
          <w:highlight w:val="none"/>
        </w:rPr>
        <w:t>等</w:t>
      </w:r>
      <w:r>
        <w:rPr>
          <w:rFonts w:hint="eastAsia" w:ascii="Times New Roman" w:hAnsi="Times New Roman" w:cs="Times New Roman" w:eastAsiaTheme="minorEastAsia"/>
          <w:color w:val="auto"/>
          <w:w w:val="99"/>
          <w:kern w:val="2"/>
          <w:szCs w:val="20"/>
          <w:highlight w:val="none"/>
          <w:lang w:eastAsia="zh-CN"/>
        </w:rPr>
        <w:t>。</w:t>
      </w:r>
      <w:r>
        <w:rPr>
          <w:rFonts w:hint="eastAsia" w:ascii="Times New Roman" w:hAnsi="Times New Roman" w:cs="Times New Roman" w:eastAsiaTheme="minorEastAsia"/>
          <w:color w:val="auto"/>
          <w:w w:val="99"/>
          <w:kern w:val="2"/>
          <w:szCs w:val="20"/>
          <w:highlight w:val="none"/>
          <w:lang w:val="en-US" w:eastAsia="zh-CN"/>
        </w:rPr>
        <w:t>由于项目依托徐深27集气站未扩建，故仅核算</w:t>
      </w:r>
      <w:r>
        <w:rPr>
          <w:rFonts w:ascii="Times New Roman" w:hAnsi="Times New Roman" w:cs="Times New Roman" w:eastAsiaTheme="minorEastAsia"/>
          <w:color w:val="auto"/>
          <w:w w:val="99"/>
          <w:kern w:val="2"/>
          <w:szCs w:val="20"/>
          <w:highlight w:val="none"/>
        </w:rPr>
        <w:t>集气站新增污染物增量</w:t>
      </w:r>
      <w:r>
        <w:rPr>
          <w:rFonts w:hint="eastAsia" w:ascii="Times New Roman" w:hAnsi="Times New Roman" w:cs="Times New Roman" w:eastAsiaTheme="minorEastAsia"/>
          <w:color w:val="auto"/>
          <w:w w:val="99"/>
          <w:kern w:val="2"/>
          <w:szCs w:val="20"/>
          <w:highlight w:val="none"/>
          <w:lang w:eastAsia="zh-CN"/>
        </w:rPr>
        <w:t>，</w:t>
      </w:r>
      <w:r>
        <w:rPr>
          <w:rFonts w:hint="eastAsia" w:ascii="Times New Roman" w:hAnsi="Times New Roman" w:cs="Times New Roman" w:eastAsiaTheme="minorEastAsia"/>
          <w:color w:val="auto"/>
          <w:w w:val="99"/>
          <w:kern w:val="2"/>
          <w:szCs w:val="20"/>
          <w:highlight w:val="none"/>
          <w:lang w:val="en-US" w:eastAsia="zh-CN"/>
        </w:rPr>
        <w:t>不对其进行预测。</w:t>
      </w:r>
      <w:r>
        <w:rPr>
          <w:rFonts w:ascii="Times New Roman" w:hAnsi="Times New Roman" w:cs="Times New Roman" w:eastAsiaTheme="minorEastAsia"/>
          <w:color w:val="auto"/>
          <w:w w:val="99"/>
          <w:kern w:val="2"/>
          <w:szCs w:val="20"/>
          <w:highlight w:val="none"/>
        </w:rPr>
        <w:t>根据</w:t>
      </w:r>
      <w:r>
        <w:rPr>
          <w:rFonts w:hint="eastAsia" w:ascii="Times New Roman" w:hAnsi="Times New Roman" w:cs="Times New Roman" w:eastAsiaTheme="minorEastAsia"/>
          <w:color w:val="auto"/>
          <w:w w:val="99"/>
          <w:kern w:val="2"/>
          <w:szCs w:val="20"/>
          <w:highlight w:val="none"/>
          <w:lang w:val="en-US" w:eastAsia="zh-CN"/>
        </w:rPr>
        <w:t>源强核算</w:t>
      </w:r>
      <w:r>
        <w:rPr>
          <w:rFonts w:ascii="Times New Roman" w:hAnsi="Times New Roman" w:cs="Times New Roman" w:eastAsiaTheme="minorEastAsia"/>
          <w:color w:val="auto"/>
          <w:w w:val="99"/>
          <w:kern w:val="2"/>
          <w:szCs w:val="20"/>
          <w:highlight w:val="none"/>
        </w:rPr>
        <w:t>可知</w:t>
      </w:r>
      <w:r>
        <w:rPr>
          <w:rFonts w:hint="eastAsia" w:ascii="Times New Roman" w:hAnsi="Times New Roman" w:cs="Times New Roman" w:eastAsiaTheme="minorEastAsia"/>
          <w:color w:val="auto"/>
          <w:w w:val="99"/>
          <w:kern w:val="2"/>
          <w:szCs w:val="20"/>
          <w:highlight w:val="none"/>
          <w:lang w:eastAsia="zh-CN"/>
        </w:rPr>
        <w:t>，</w:t>
      </w:r>
      <w:r>
        <w:rPr>
          <w:rFonts w:ascii="Times New Roman" w:hAnsi="Times New Roman" w:cs="Times New Roman" w:eastAsiaTheme="minorEastAsia"/>
          <w:color w:val="auto"/>
          <w:w w:val="99"/>
          <w:kern w:val="2"/>
          <w:szCs w:val="20"/>
          <w:highlight w:val="none"/>
        </w:rPr>
        <w:t>整个</w:t>
      </w:r>
      <w:r>
        <w:rPr>
          <w:rFonts w:hint="eastAsia" w:ascii="Times New Roman" w:hAnsi="Times New Roman" w:cs="Times New Roman" w:eastAsiaTheme="minorEastAsia"/>
          <w:color w:val="auto"/>
          <w:w w:val="99"/>
          <w:kern w:val="2"/>
          <w:szCs w:val="20"/>
          <w:highlight w:val="none"/>
        </w:rPr>
        <w:t>天然气</w:t>
      </w:r>
      <w:r>
        <w:rPr>
          <w:rFonts w:ascii="Times New Roman" w:hAnsi="Times New Roman" w:cs="Times New Roman" w:eastAsiaTheme="minorEastAsia"/>
          <w:color w:val="auto"/>
          <w:w w:val="99"/>
          <w:kern w:val="2"/>
          <w:szCs w:val="20"/>
          <w:highlight w:val="none"/>
        </w:rPr>
        <w:t>集输过程中非甲烷总烃挥发量为</w:t>
      </w:r>
      <w:r>
        <w:rPr>
          <w:rFonts w:hint="eastAsia" w:ascii="Times New Roman" w:hAnsi="Times New Roman" w:cs="Times New Roman" w:eastAsiaTheme="minorEastAsia"/>
          <w:color w:val="auto"/>
          <w:w w:val="99"/>
          <w:kern w:val="2"/>
          <w:szCs w:val="20"/>
          <w:highlight w:val="none"/>
        </w:rPr>
        <w:t>11.66t</w:t>
      </w:r>
      <w:r>
        <w:rPr>
          <w:rFonts w:ascii="Times New Roman" w:hAnsi="Times New Roman" w:cs="Times New Roman" w:eastAsiaTheme="minorEastAsia"/>
          <w:color w:val="auto"/>
          <w:w w:val="99"/>
          <w:kern w:val="2"/>
          <w:szCs w:val="20"/>
          <w:highlight w:val="none"/>
          <w:lang w:bidi="zh-CN"/>
        </w:rPr>
        <w:t>/a</w:t>
      </w:r>
      <w:r>
        <w:rPr>
          <w:rFonts w:hint="eastAsia" w:ascii="Times New Roman" w:hAnsi="Times New Roman" w:cs="Times New Roman" w:eastAsiaTheme="minorEastAsia"/>
          <w:color w:val="auto"/>
          <w:w w:val="99"/>
          <w:kern w:val="2"/>
          <w:szCs w:val="20"/>
          <w:highlight w:val="none"/>
          <w:lang w:eastAsia="zh-CN"/>
        </w:rPr>
        <w:t>。</w:t>
      </w:r>
      <w:r>
        <w:rPr>
          <w:rFonts w:ascii="Times New Roman" w:hAnsi="Times New Roman" w:cs="Times New Roman" w:eastAsiaTheme="minorEastAsia"/>
          <w:color w:val="auto"/>
          <w:w w:val="99"/>
          <w:kern w:val="2"/>
          <w:szCs w:val="20"/>
          <w:highlight w:val="none"/>
        </w:rPr>
        <w:t>其中</w:t>
      </w:r>
      <w:r>
        <w:rPr>
          <w:rFonts w:hint="eastAsia" w:ascii="Times New Roman" w:hAnsi="Times New Roman" w:cs="Times New Roman" w:eastAsiaTheme="minorEastAsia"/>
          <w:color w:val="auto"/>
          <w:w w:val="99"/>
          <w:kern w:val="2"/>
          <w:szCs w:val="20"/>
          <w:highlight w:val="none"/>
        </w:rPr>
        <w:t>气井</w:t>
      </w:r>
      <w:r>
        <w:rPr>
          <w:rFonts w:ascii="Times New Roman" w:hAnsi="Times New Roman" w:cs="Times New Roman" w:eastAsiaTheme="minorEastAsia"/>
          <w:color w:val="auto"/>
          <w:w w:val="99"/>
          <w:kern w:val="2"/>
          <w:szCs w:val="20"/>
          <w:highlight w:val="none"/>
        </w:rPr>
        <w:t>井场占比约30%</w:t>
      </w:r>
      <w:r>
        <w:rPr>
          <w:rFonts w:hint="eastAsia" w:ascii="Times New Roman" w:hAnsi="Times New Roman" w:cs="Times New Roman" w:eastAsiaTheme="minorEastAsia"/>
          <w:color w:val="auto"/>
          <w:w w:val="99"/>
          <w:kern w:val="2"/>
          <w:szCs w:val="20"/>
          <w:highlight w:val="none"/>
        </w:rPr>
        <w:t>，</w:t>
      </w:r>
      <w:r>
        <w:rPr>
          <w:rFonts w:hint="eastAsia" w:ascii="Times New Roman" w:hAnsi="Times New Roman" w:cs="Times New Roman" w:eastAsiaTheme="minorEastAsia"/>
          <w:color w:val="auto"/>
          <w:w w:val="99"/>
          <w:highlight w:val="none"/>
          <w:lang w:val="en-US" w:eastAsia="zh-CN"/>
        </w:rPr>
        <w:t>即</w:t>
      </w:r>
      <w:r>
        <w:rPr>
          <w:rFonts w:ascii="Times New Roman" w:hAnsi="Times New Roman" w:cs="Times New Roman" w:eastAsiaTheme="minorEastAsia"/>
          <w:color w:val="auto"/>
          <w:w w:val="99"/>
          <w:highlight w:val="none"/>
        </w:rPr>
        <w:t>本项目</w:t>
      </w:r>
      <w:r>
        <w:rPr>
          <w:rFonts w:hint="eastAsia" w:ascii="Times New Roman" w:hAnsi="Times New Roman" w:cs="Times New Roman" w:eastAsiaTheme="minorEastAsia"/>
          <w:color w:val="auto"/>
          <w:w w:val="99"/>
          <w:highlight w:val="none"/>
        </w:rPr>
        <w:t>徐深27-H1井场</w:t>
      </w:r>
      <w:r>
        <w:rPr>
          <w:rFonts w:ascii="Times New Roman" w:hAnsi="Times New Roman" w:cs="Times New Roman" w:eastAsiaTheme="minorEastAsia"/>
          <w:color w:val="auto"/>
          <w:w w:val="99"/>
          <w:highlight w:val="none"/>
        </w:rPr>
        <w:t>非甲烷总烃逸散量为</w:t>
      </w:r>
      <w:r>
        <w:rPr>
          <w:rFonts w:hint="eastAsia" w:ascii="Times New Roman" w:hAnsi="Times New Roman" w:cs="Times New Roman" w:eastAsiaTheme="minorEastAsia"/>
          <w:color w:val="auto"/>
          <w:w w:val="99"/>
          <w:highlight w:val="none"/>
        </w:rPr>
        <w:t>3.50</w:t>
      </w:r>
      <w:r>
        <w:rPr>
          <w:rFonts w:ascii="Times New Roman" w:hAnsi="Times New Roman" w:cs="Times New Roman" w:eastAsiaTheme="minorEastAsia"/>
          <w:color w:val="auto"/>
          <w:w w:val="99"/>
          <w:highlight w:val="none"/>
        </w:rPr>
        <w:t>t/a、</w:t>
      </w:r>
      <w:r>
        <w:rPr>
          <w:rFonts w:hint="eastAsia" w:ascii="Times New Roman" w:hAnsi="Times New Roman" w:cs="Times New Roman" w:eastAsiaTheme="minorEastAsia"/>
          <w:bCs/>
          <w:color w:val="auto"/>
          <w:w w:val="99"/>
          <w:highlight w:val="none"/>
        </w:rPr>
        <w:t>0.399</w:t>
      </w:r>
      <w:r>
        <w:rPr>
          <w:rFonts w:ascii="Times New Roman" w:hAnsi="Times New Roman" w:cs="Times New Roman" w:eastAsiaTheme="minorEastAsia"/>
          <w:bCs/>
          <w:color w:val="auto"/>
          <w:w w:val="99"/>
          <w:highlight w:val="none"/>
        </w:rPr>
        <w:t>kg/h</w:t>
      </w:r>
      <w:r>
        <w:rPr>
          <w:rFonts w:ascii="Times New Roman" w:hAnsi="Times New Roman" w:cs="Times New Roman" w:eastAsiaTheme="minorEastAsia"/>
          <w:color w:val="auto"/>
          <w:w w:val="99"/>
          <w:highlight w:val="none"/>
        </w:rPr>
        <w:t>。</w:t>
      </w:r>
    </w:p>
    <w:p w14:paraId="2F480BE9">
      <w:pPr>
        <w:widowControl w:val="0"/>
        <w:spacing w:line="440" w:lineRule="exact"/>
        <w:ind w:firstLine="474" w:firstLineChars="200"/>
        <w:jc w:val="both"/>
        <w:rPr>
          <w:rFonts w:ascii="Times New Roman" w:hAnsi="Times New Roman" w:cs="Times New Roman"/>
          <w:color w:val="auto"/>
          <w:w w:val="99"/>
          <w:kern w:val="2"/>
          <w:position w:val="2"/>
          <w:highlight w:val="none"/>
          <w:lang w:val="zh-CN"/>
        </w:rPr>
      </w:pPr>
      <w:r>
        <w:rPr>
          <w:rFonts w:ascii="Times New Roman" w:hAnsi="Times New Roman" w:cs="Times New Roman"/>
          <w:color w:val="auto"/>
          <w:w w:val="99"/>
          <w:kern w:val="2"/>
          <w:position w:val="2"/>
          <w:highlight w:val="none"/>
        </w:rPr>
        <w:t>大气面源参数见表2.</w:t>
      </w:r>
      <w:r>
        <w:rPr>
          <w:rFonts w:hint="eastAsia" w:ascii="Times New Roman" w:hAnsi="Times New Roman" w:cs="Times New Roman"/>
          <w:color w:val="auto"/>
          <w:w w:val="99"/>
          <w:kern w:val="2"/>
          <w:position w:val="2"/>
          <w:highlight w:val="none"/>
        </w:rPr>
        <w:t>7-1</w:t>
      </w:r>
      <w:r>
        <w:rPr>
          <w:rFonts w:ascii="Times New Roman" w:hAnsi="Times New Roman" w:cs="Times New Roman"/>
          <w:color w:val="auto"/>
          <w:w w:val="99"/>
          <w:kern w:val="2"/>
          <w:position w:val="2"/>
          <w:highlight w:val="none"/>
        </w:rPr>
        <w:t>。</w:t>
      </w:r>
    </w:p>
    <w:p w14:paraId="79FDB9F7">
      <w:pPr>
        <w:widowControl w:val="0"/>
        <w:spacing w:line="440" w:lineRule="exact"/>
        <w:ind w:firstLine="494"/>
        <w:jc w:val="both"/>
        <w:rPr>
          <w:rFonts w:ascii="Times New Roman" w:hAnsi="Times New Roman" w:cs="Times New Roman" w:eastAsiaTheme="minorEastAsia"/>
          <w:color w:val="auto"/>
          <w:w w:val="99"/>
          <w:highlight w:val="none"/>
          <w:lang w:bidi="zh-CN"/>
        </w:rPr>
      </w:pPr>
      <w:r>
        <w:rPr>
          <w:rFonts w:ascii="Times New Roman" w:hAnsi="Times New Roman" w:cs="Times New Roman"/>
          <w:b/>
          <w:color w:val="auto"/>
          <w:w w:val="99"/>
          <w:highlight w:val="none"/>
        </w:rPr>
        <w:t>表2.7-</w:t>
      </w:r>
      <w:r>
        <w:rPr>
          <w:rFonts w:hint="eastAsia" w:ascii="Times New Roman" w:hAnsi="Times New Roman" w:cs="Times New Roman"/>
          <w:b/>
          <w:color w:val="auto"/>
          <w:w w:val="99"/>
          <w:highlight w:val="none"/>
        </w:rPr>
        <w:t>1</w:t>
      </w:r>
      <w:r>
        <w:rPr>
          <w:rFonts w:ascii="Times New Roman" w:hAnsi="Times New Roman" w:cs="Times New Roman"/>
          <w:b/>
          <w:color w:val="auto"/>
          <w:w w:val="99"/>
          <w:highlight w:val="none"/>
        </w:rPr>
        <w:t xml:space="preserve">    面源参数调查清单</w:t>
      </w:r>
    </w:p>
    <w:tbl>
      <w:tblPr>
        <w:tblStyle w:val="8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5"/>
        <w:gridCol w:w="1100"/>
        <w:gridCol w:w="1013"/>
        <w:gridCol w:w="714"/>
        <w:gridCol w:w="862"/>
        <w:gridCol w:w="717"/>
        <w:gridCol w:w="717"/>
        <w:gridCol w:w="669"/>
        <w:gridCol w:w="639"/>
        <w:gridCol w:w="541"/>
        <w:gridCol w:w="1020"/>
      </w:tblGrid>
      <w:tr w14:paraId="009B3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697" w:type="pct"/>
            <w:vMerge w:val="restart"/>
            <w:vAlign w:val="center"/>
          </w:tcPr>
          <w:p w14:paraId="15D42E25">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污染源名称</w:t>
            </w:r>
          </w:p>
        </w:tc>
        <w:tc>
          <w:tcPr>
            <w:tcW w:w="1137" w:type="pct"/>
            <w:gridSpan w:val="2"/>
            <w:vAlign w:val="center"/>
          </w:tcPr>
          <w:p w14:paraId="07FB0D33">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面源起点坐标</w:t>
            </w:r>
          </w:p>
        </w:tc>
        <w:tc>
          <w:tcPr>
            <w:tcW w:w="384" w:type="pct"/>
            <w:vMerge w:val="restart"/>
            <w:vAlign w:val="center"/>
          </w:tcPr>
          <w:p w14:paraId="45360324">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海拔高度/m</w:t>
            </w:r>
          </w:p>
        </w:tc>
        <w:tc>
          <w:tcPr>
            <w:tcW w:w="464" w:type="pct"/>
            <w:vMerge w:val="restart"/>
            <w:vAlign w:val="center"/>
          </w:tcPr>
          <w:p w14:paraId="44235CF6">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与正北方向夹角/°</w:t>
            </w:r>
          </w:p>
        </w:tc>
        <w:tc>
          <w:tcPr>
            <w:tcW w:w="386" w:type="pct"/>
            <w:vMerge w:val="restart"/>
            <w:vAlign w:val="center"/>
          </w:tcPr>
          <w:p w14:paraId="1BB21DE4">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面源长度/m</w:t>
            </w:r>
          </w:p>
        </w:tc>
        <w:tc>
          <w:tcPr>
            <w:tcW w:w="386" w:type="pct"/>
            <w:vMerge w:val="restart"/>
            <w:vAlign w:val="center"/>
          </w:tcPr>
          <w:p w14:paraId="1B31631C">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面源宽度/m</w:t>
            </w:r>
          </w:p>
        </w:tc>
        <w:tc>
          <w:tcPr>
            <w:tcW w:w="360" w:type="pct"/>
            <w:vMerge w:val="restart"/>
            <w:vAlign w:val="center"/>
          </w:tcPr>
          <w:p w14:paraId="50B3F440">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面源有效排放高度/m</w:t>
            </w:r>
          </w:p>
        </w:tc>
        <w:tc>
          <w:tcPr>
            <w:tcW w:w="344" w:type="pct"/>
            <w:vMerge w:val="restart"/>
            <w:vAlign w:val="center"/>
          </w:tcPr>
          <w:p w14:paraId="22AE153E">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年排放小时数/h</w:t>
            </w:r>
          </w:p>
        </w:tc>
        <w:tc>
          <w:tcPr>
            <w:tcW w:w="291" w:type="pct"/>
            <w:vMerge w:val="restart"/>
            <w:vAlign w:val="center"/>
          </w:tcPr>
          <w:p w14:paraId="0B71A4C6">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排放工况</w:t>
            </w:r>
          </w:p>
        </w:tc>
        <w:tc>
          <w:tcPr>
            <w:tcW w:w="549" w:type="pct"/>
            <w:vAlign w:val="center"/>
          </w:tcPr>
          <w:p w14:paraId="21CAEAB7">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污染物排放速率（kg/h）</w:t>
            </w:r>
          </w:p>
        </w:tc>
      </w:tr>
      <w:tr w14:paraId="74A12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7" w:type="pct"/>
            <w:vMerge w:val="continue"/>
            <w:vAlign w:val="center"/>
          </w:tcPr>
          <w:p w14:paraId="5E917636">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592" w:type="pct"/>
            <w:vAlign w:val="center"/>
          </w:tcPr>
          <w:p w14:paraId="0D70E51D">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经度</w:t>
            </w:r>
          </w:p>
        </w:tc>
        <w:tc>
          <w:tcPr>
            <w:tcW w:w="545" w:type="pct"/>
            <w:vAlign w:val="center"/>
          </w:tcPr>
          <w:p w14:paraId="3F125344">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纬度</w:t>
            </w:r>
          </w:p>
        </w:tc>
        <w:tc>
          <w:tcPr>
            <w:tcW w:w="384" w:type="pct"/>
            <w:vMerge w:val="continue"/>
            <w:vAlign w:val="center"/>
          </w:tcPr>
          <w:p w14:paraId="3D11275A">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464" w:type="pct"/>
            <w:vMerge w:val="continue"/>
            <w:vAlign w:val="center"/>
          </w:tcPr>
          <w:p w14:paraId="561F84C1">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386" w:type="pct"/>
            <w:vMerge w:val="continue"/>
            <w:vAlign w:val="center"/>
          </w:tcPr>
          <w:p w14:paraId="1234D0E2">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386" w:type="pct"/>
            <w:vMerge w:val="continue"/>
            <w:vAlign w:val="center"/>
          </w:tcPr>
          <w:p w14:paraId="0F3E2FBE">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360" w:type="pct"/>
            <w:vMerge w:val="continue"/>
            <w:vAlign w:val="center"/>
          </w:tcPr>
          <w:p w14:paraId="5FBA43FE">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344" w:type="pct"/>
            <w:vMerge w:val="continue"/>
            <w:vAlign w:val="center"/>
          </w:tcPr>
          <w:p w14:paraId="07CF5B6B">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291" w:type="pct"/>
            <w:vMerge w:val="continue"/>
            <w:vAlign w:val="center"/>
          </w:tcPr>
          <w:p w14:paraId="38F2B9D0">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549" w:type="pct"/>
            <w:vAlign w:val="center"/>
          </w:tcPr>
          <w:p w14:paraId="52CF4544">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NMHC</w:t>
            </w:r>
          </w:p>
        </w:tc>
      </w:tr>
      <w:tr w14:paraId="1BB54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7" w:type="pct"/>
            <w:vAlign w:val="center"/>
          </w:tcPr>
          <w:p w14:paraId="64626CE4">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hint="eastAsia" w:ascii="Times New Roman" w:hAnsi="Times New Roman" w:cs="Times New Roman"/>
                <w:color w:val="auto"/>
                <w:w w:val="99"/>
                <w:sz w:val="21"/>
                <w:szCs w:val="21"/>
                <w:highlight w:val="none"/>
              </w:rPr>
              <w:t>徐深27-H1井场</w:t>
            </w:r>
          </w:p>
        </w:tc>
        <w:tc>
          <w:tcPr>
            <w:tcW w:w="592" w:type="pct"/>
            <w:vAlign w:val="center"/>
          </w:tcPr>
          <w:p w14:paraId="2EF8452A">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125.50922</w:t>
            </w:r>
          </w:p>
        </w:tc>
        <w:tc>
          <w:tcPr>
            <w:tcW w:w="545" w:type="pct"/>
            <w:vAlign w:val="center"/>
          </w:tcPr>
          <w:p w14:paraId="05822A0A">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45.89242</w:t>
            </w:r>
          </w:p>
        </w:tc>
        <w:tc>
          <w:tcPr>
            <w:tcW w:w="384" w:type="pct"/>
            <w:vAlign w:val="center"/>
          </w:tcPr>
          <w:p w14:paraId="6D936393">
            <w:pPr>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197</w:t>
            </w:r>
          </w:p>
        </w:tc>
        <w:tc>
          <w:tcPr>
            <w:tcW w:w="464" w:type="pct"/>
            <w:vAlign w:val="center"/>
          </w:tcPr>
          <w:p w14:paraId="4A5FE31B">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0</w:t>
            </w:r>
          </w:p>
        </w:tc>
        <w:tc>
          <w:tcPr>
            <w:tcW w:w="386" w:type="pct"/>
            <w:vAlign w:val="center"/>
          </w:tcPr>
          <w:p w14:paraId="5B986171">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40</w:t>
            </w:r>
          </w:p>
        </w:tc>
        <w:tc>
          <w:tcPr>
            <w:tcW w:w="386" w:type="pct"/>
            <w:vAlign w:val="center"/>
          </w:tcPr>
          <w:p w14:paraId="7FDF15B2">
            <w:pPr>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30</w:t>
            </w:r>
          </w:p>
        </w:tc>
        <w:tc>
          <w:tcPr>
            <w:tcW w:w="360" w:type="pct"/>
            <w:vAlign w:val="center"/>
          </w:tcPr>
          <w:p w14:paraId="2C505237">
            <w:pPr>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3</w:t>
            </w:r>
          </w:p>
        </w:tc>
        <w:tc>
          <w:tcPr>
            <w:tcW w:w="344" w:type="pct"/>
            <w:vAlign w:val="center"/>
          </w:tcPr>
          <w:p w14:paraId="206EC7E6">
            <w:pPr>
              <w:adjustRightInd w:val="0"/>
              <w:snapToGrid w:val="0"/>
              <w:spacing w:line="360" w:lineRule="exact"/>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8760</w:t>
            </w:r>
          </w:p>
        </w:tc>
        <w:tc>
          <w:tcPr>
            <w:tcW w:w="291" w:type="pct"/>
            <w:vAlign w:val="center"/>
          </w:tcPr>
          <w:p w14:paraId="54F773B5">
            <w:pPr>
              <w:adjustRightInd w:val="0"/>
              <w:snapToGrid w:val="0"/>
              <w:spacing w:line="360" w:lineRule="exact"/>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正常排放</w:t>
            </w:r>
          </w:p>
        </w:tc>
        <w:tc>
          <w:tcPr>
            <w:tcW w:w="549" w:type="pct"/>
            <w:vAlign w:val="center"/>
          </w:tcPr>
          <w:p w14:paraId="341EC697">
            <w:pPr>
              <w:widowControl w:val="0"/>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hint="eastAsia" w:ascii="Times New Roman" w:hAnsi="Times New Roman" w:cs="Times New Roman"/>
                <w:color w:val="auto"/>
                <w:w w:val="99"/>
                <w:kern w:val="2"/>
                <w:sz w:val="21"/>
                <w:szCs w:val="21"/>
                <w:highlight w:val="none"/>
              </w:rPr>
              <w:t>0.399</w:t>
            </w:r>
          </w:p>
        </w:tc>
      </w:tr>
    </w:tbl>
    <w:p w14:paraId="15931379">
      <w:pPr>
        <w:widowControl w:val="0"/>
        <w:spacing w:line="440" w:lineRule="exact"/>
        <w:ind w:firstLine="474" w:firstLineChars="200"/>
        <w:jc w:val="both"/>
        <w:rPr>
          <w:rFonts w:ascii="Times New Roman" w:hAnsi="Times New Roman" w:cs="Times New Roman"/>
          <w:snapToGrid w:val="0"/>
          <w:color w:val="auto"/>
          <w:w w:val="99"/>
          <w:highlight w:val="none"/>
          <w:lang w:val="zh-CN"/>
        </w:rPr>
      </w:pPr>
      <w:r>
        <w:rPr>
          <w:rFonts w:ascii="Times New Roman" w:hAnsi="Times New Roman" w:cs="Times New Roman"/>
          <w:snapToGrid w:val="0"/>
          <w:color w:val="auto"/>
          <w:w w:val="99"/>
          <w:highlight w:val="none"/>
          <w:lang w:val="zh-CN"/>
        </w:rPr>
        <w:t xml:space="preserve"> 根据《环境影响评价技术导则 大气环境》（HJ2.2-2018）规定，采用估算模式计算本项目正常排放情况下主要污染物的最大影响程度和最远影响范围， 并按照评价工作分级判据进行分级。 根据调查，本项目所在地附近为农村地区，不属于城市；根据 4.1.1 章节气候气象调查，项目所在地区最高气温为 </w:t>
      </w:r>
      <w:r>
        <w:rPr>
          <w:rFonts w:hint="eastAsia" w:ascii="Times New Roman" w:hAnsi="Times New Roman" w:cs="Times New Roman"/>
          <w:snapToGrid w:val="0"/>
          <w:color w:val="auto"/>
          <w:w w:val="99"/>
          <w:highlight w:val="none"/>
        </w:rPr>
        <w:t>38.8</w:t>
      </w:r>
      <w:r>
        <w:rPr>
          <w:rFonts w:ascii="Times New Roman" w:hAnsi="Times New Roman" w:cs="Times New Roman"/>
          <w:snapToGrid w:val="0"/>
          <w:color w:val="auto"/>
          <w:w w:val="99"/>
          <w:highlight w:val="none"/>
          <w:lang w:val="zh-CN"/>
        </w:rPr>
        <w:t>℃，最低气温为-</w:t>
      </w:r>
      <w:r>
        <w:rPr>
          <w:rFonts w:hint="eastAsia" w:ascii="Times New Roman" w:hAnsi="Times New Roman" w:cs="Times New Roman"/>
          <w:snapToGrid w:val="0"/>
          <w:color w:val="auto"/>
          <w:w w:val="99"/>
          <w:highlight w:val="none"/>
        </w:rPr>
        <w:t>31.9</w:t>
      </w:r>
      <w:r>
        <w:rPr>
          <w:rFonts w:ascii="Times New Roman" w:hAnsi="Times New Roman" w:cs="Times New Roman"/>
          <w:snapToGrid w:val="0"/>
          <w:color w:val="auto"/>
          <w:w w:val="99"/>
          <w:highlight w:val="none"/>
          <w:lang w:val="zh-CN"/>
        </w:rPr>
        <w:t>℃；项目所在区域年相对湿度为 66%，属于中等湿润气候；本项目主要占地类型及项目 3km 范围内主要土地利用类型为农用地。本项目估算模型参数一览表见表2.</w:t>
      </w:r>
      <w:r>
        <w:rPr>
          <w:rFonts w:hint="eastAsia" w:ascii="Times New Roman" w:hAnsi="Times New Roman" w:cs="Times New Roman"/>
          <w:snapToGrid w:val="0"/>
          <w:color w:val="auto"/>
          <w:w w:val="99"/>
          <w:highlight w:val="none"/>
        </w:rPr>
        <w:t>7-2</w:t>
      </w:r>
      <w:r>
        <w:rPr>
          <w:rFonts w:ascii="Times New Roman" w:hAnsi="Times New Roman" w:cs="Times New Roman"/>
          <w:snapToGrid w:val="0"/>
          <w:color w:val="auto"/>
          <w:w w:val="99"/>
          <w:highlight w:val="none"/>
          <w:lang w:val="zh-CN"/>
        </w:rPr>
        <w:t>。</w:t>
      </w:r>
    </w:p>
    <w:p w14:paraId="465ECECA">
      <w:pPr>
        <w:widowControl w:val="0"/>
        <w:spacing w:line="440" w:lineRule="exact"/>
        <w:ind w:firstLine="494"/>
        <w:jc w:val="both"/>
        <w:rPr>
          <w:rFonts w:ascii="Times New Roman" w:hAnsi="Times New Roman" w:cs="Times New Roman"/>
          <w:b/>
          <w:color w:val="auto"/>
          <w:w w:val="99"/>
          <w:highlight w:val="none"/>
        </w:rPr>
      </w:pPr>
      <w:r>
        <w:rPr>
          <w:rFonts w:ascii="Times New Roman" w:hAnsi="Times New Roman" w:cs="Times New Roman"/>
          <w:b/>
          <w:color w:val="auto"/>
          <w:w w:val="99"/>
          <w:highlight w:val="none"/>
        </w:rPr>
        <w:t>表2.7-</w:t>
      </w:r>
      <w:r>
        <w:rPr>
          <w:rFonts w:hint="eastAsia" w:ascii="Times New Roman" w:hAnsi="Times New Roman" w:cs="Times New Roman"/>
          <w:b/>
          <w:color w:val="auto"/>
          <w:w w:val="99"/>
          <w:highlight w:val="none"/>
        </w:rPr>
        <w:t>2</w:t>
      </w:r>
      <w:r>
        <w:rPr>
          <w:rFonts w:ascii="Times New Roman" w:hAnsi="Times New Roman" w:cs="Times New Roman"/>
          <w:b/>
          <w:color w:val="auto"/>
          <w:w w:val="99"/>
          <w:highlight w:val="none"/>
        </w:rPr>
        <w:t xml:space="preserve">   估算模型参数一览表</w:t>
      </w:r>
    </w:p>
    <w:tbl>
      <w:tblPr>
        <w:tblStyle w:val="8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4"/>
        <w:gridCol w:w="7"/>
        <w:gridCol w:w="3089"/>
        <w:gridCol w:w="3097"/>
      </w:tblGrid>
      <w:tr w14:paraId="64C36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3" w:type="pct"/>
            <w:gridSpan w:val="3"/>
            <w:vAlign w:val="center"/>
          </w:tcPr>
          <w:p w14:paraId="3E300050">
            <w:pPr>
              <w:spacing w:line="320" w:lineRule="exact"/>
              <w:jc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参数</w:t>
            </w:r>
          </w:p>
        </w:tc>
        <w:tc>
          <w:tcPr>
            <w:tcW w:w="1667" w:type="pct"/>
            <w:vAlign w:val="center"/>
          </w:tcPr>
          <w:p w14:paraId="5288CA3D">
            <w:pPr>
              <w:spacing w:line="320" w:lineRule="exact"/>
              <w:jc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取值</w:t>
            </w:r>
          </w:p>
        </w:tc>
      </w:tr>
      <w:tr w14:paraId="305C6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vMerge w:val="restart"/>
            <w:vAlign w:val="center"/>
          </w:tcPr>
          <w:p w14:paraId="36CAEBB9">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城市/农村选项</w:t>
            </w:r>
          </w:p>
        </w:tc>
        <w:tc>
          <w:tcPr>
            <w:tcW w:w="1666" w:type="pct"/>
            <w:gridSpan w:val="2"/>
            <w:vAlign w:val="center"/>
          </w:tcPr>
          <w:p w14:paraId="21C1F3D9">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城市/农村</w:t>
            </w:r>
          </w:p>
        </w:tc>
        <w:tc>
          <w:tcPr>
            <w:tcW w:w="1667" w:type="pct"/>
            <w:vAlign w:val="center"/>
          </w:tcPr>
          <w:p w14:paraId="28B484EE">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农村</w:t>
            </w:r>
          </w:p>
        </w:tc>
      </w:tr>
      <w:tr w14:paraId="669B6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vMerge w:val="continue"/>
            <w:vAlign w:val="center"/>
          </w:tcPr>
          <w:p w14:paraId="631BDAB3">
            <w:pPr>
              <w:spacing w:line="320" w:lineRule="exact"/>
              <w:jc w:val="center"/>
              <w:rPr>
                <w:rFonts w:ascii="Times New Roman" w:hAnsi="Times New Roman" w:cs="Times New Roman" w:eastAsiaTheme="minorEastAsia"/>
                <w:color w:val="auto"/>
                <w:w w:val="99"/>
                <w:sz w:val="21"/>
                <w:szCs w:val="21"/>
                <w:highlight w:val="none"/>
              </w:rPr>
            </w:pPr>
          </w:p>
        </w:tc>
        <w:tc>
          <w:tcPr>
            <w:tcW w:w="1666" w:type="pct"/>
            <w:gridSpan w:val="2"/>
            <w:vAlign w:val="center"/>
          </w:tcPr>
          <w:p w14:paraId="3EA1EF5A">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人口数（城市选项时）</w:t>
            </w:r>
          </w:p>
        </w:tc>
        <w:tc>
          <w:tcPr>
            <w:tcW w:w="1667" w:type="pct"/>
            <w:vAlign w:val="center"/>
          </w:tcPr>
          <w:p w14:paraId="65681FDE">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49A7D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3" w:type="pct"/>
            <w:gridSpan w:val="3"/>
            <w:vAlign w:val="center"/>
          </w:tcPr>
          <w:p w14:paraId="7402F28B">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最高环境温度/</w:t>
            </w:r>
            <w:r>
              <w:rPr>
                <w:rFonts w:ascii="Times New Roman" w:hAnsi="Times New Roman" w:cs="Times New Roman"/>
                <w:color w:val="auto"/>
                <w:w w:val="99"/>
                <w:sz w:val="21"/>
                <w:szCs w:val="21"/>
                <w:highlight w:val="none"/>
              </w:rPr>
              <w:t>℃</w:t>
            </w:r>
          </w:p>
        </w:tc>
        <w:tc>
          <w:tcPr>
            <w:tcW w:w="1667" w:type="pct"/>
            <w:vAlign w:val="center"/>
          </w:tcPr>
          <w:p w14:paraId="301FA91F">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38.8</w:t>
            </w:r>
          </w:p>
        </w:tc>
      </w:tr>
      <w:tr w14:paraId="36330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3" w:type="pct"/>
            <w:gridSpan w:val="3"/>
            <w:vAlign w:val="center"/>
          </w:tcPr>
          <w:p w14:paraId="45E42DC7">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最低环境温度/</w:t>
            </w:r>
            <w:r>
              <w:rPr>
                <w:rFonts w:ascii="Times New Roman" w:hAnsi="Times New Roman" w:cs="Times New Roman"/>
                <w:color w:val="auto"/>
                <w:w w:val="99"/>
                <w:sz w:val="21"/>
                <w:szCs w:val="21"/>
                <w:highlight w:val="none"/>
              </w:rPr>
              <w:t>℃</w:t>
            </w:r>
          </w:p>
        </w:tc>
        <w:tc>
          <w:tcPr>
            <w:tcW w:w="1667" w:type="pct"/>
            <w:vAlign w:val="center"/>
          </w:tcPr>
          <w:p w14:paraId="5DBCFC97">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r>
              <w:rPr>
                <w:rFonts w:hint="eastAsia" w:ascii="Times New Roman" w:hAnsi="Times New Roman" w:cs="Times New Roman" w:eastAsiaTheme="minorEastAsia"/>
                <w:color w:val="auto"/>
                <w:w w:val="99"/>
                <w:sz w:val="21"/>
                <w:szCs w:val="21"/>
                <w:highlight w:val="none"/>
              </w:rPr>
              <w:t>31.9</w:t>
            </w:r>
          </w:p>
        </w:tc>
      </w:tr>
      <w:tr w14:paraId="26564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3" w:type="pct"/>
            <w:gridSpan w:val="3"/>
            <w:vAlign w:val="center"/>
          </w:tcPr>
          <w:p w14:paraId="5F0A8708">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土地利用类型</w:t>
            </w:r>
          </w:p>
        </w:tc>
        <w:tc>
          <w:tcPr>
            <w:tcW w:w="1667" w:type="pct"/>
            <w:vAlign w:val="center"/>
          </w:tcPr>
          <w:p w14:paraId="31EB2E26">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农田</w:t>
            </w:r>
          </w:p>
        </w:tc>
      </w:tr>
      <w:tr w14:paraId="750C1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3" w:type="pct"/>
            <w:gridSpan w:val="3"/>
            <w:vAlign w:val="center"/>
          </w:tcPr>
          <w:p w14:paraId="56B0E225">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区域湿度条件</w:t>
            </w:r>
          </w:p>
        </w:tc>
        <w:tc>
          <w:tcPr>
            <w:tcW w:w="1667" w:type="pct"/>
            <w:vAlign w:val="center"/>
          </w:tcPr>
          <w:p w14:paraId="5AE096F5">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中等湿度</w:t>
            </w:r>
          </w:p>
        </w:tc>
      </w:tr>
      <w:tr w14:paraId="741E8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70" w:type="pct"/>
            <w:gridSpan w:val="2"/>
            <w:vMerge w:val="restart"/>
            <w:vAlign w:val="center"/>
          </w:tcPr>
          <w:p w14:paraId="6BB359DA">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是否考虑地形</w:t>
            </w:r>
          </w:p>
        </w:tc>
        <w:tc>
          <w:tcPr>
            <w:tcW w:w="1663" w:type="pct"/>
          </w:tcPr>
          <w:p w14:paraId="5A8AF827">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考虑地形</w:t>
            </w:r>
          </w:p>
        </w:tc>
        <w:tc>
          <w:tcPr>
            <w:tcW w:w="1667" w:type="pct"/>
            <w:vAlign w:val="center"/>
          </w:tcPr>
          <w:p w14:paraId="205EE908">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是</w:t>
            </w:r>
          </w:p>
        </w:tc>
      </w:tr>
      <w:tr w14:paraId="44790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70" w:type="pct"/>
            <w:gridSpan w:val="2"/>
            <w:vMerge w:val="continue"/>
            <w:vAlign w:val="center"/>
          </w:tcPr>
          <w:p w14:paraId="52C1E12E">
            <w:pPr>
              <w:spacing w:line="320" w:lineRule="exact"/>
              <w:jc w:val="center"/>
              <w:rPr>
                <w:rFonts w:ascii="Times New Roman" w:hAnsi="Times New Roman" w:cs="Times New Roman" w:eastAsiaTheme="minorEastAsia"/>
                <w:color w:val="auto"/>
                <w:w w:val="99"/>
                <w:sz w:val="21"/>
                <w:szCs w:val="21"/>
                <w:highlight w:val="none"/>
              </w:rPr>
            </w:pPr>
          </w:p>
        </w:tc>
        <w:tc>
          <w:tcPr>
            <w:tcW w:w="1663" w:type="pct"/>
          </w:tcPr>
          <w:p w14:paraId="72E871A8">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地形数据分辨率 / m</w:t>
            </w:r>
          </w:p>
        </w:tc>
        <w:tc>
          <w:tcPr>
            <w:tcW w:w="1667" w:type="pct"/>
            <w:vAlign w:val="center"/>
          </w:tcPr>
          <w:p w14:paraId="5A5D32F7">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90</w:t>
            </w:r>
          </w:p>
        </w:tc>
      </w:tr>
      <w:tr w14:paraId="72060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3" w:type="pct"/>
            <w:gridSpan w:val="3"/>
            <w:vAlign w:val="center"/>
          </w:tcPr>
          <w:p w14:paraId="73213254">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是否考虑岸线熏烟</w:t>
            </w:r>
          </w:p>
        </w:tc>
        <w:tc>
          <w:tcPr>
            <w:tcW w:w="1667" w:type="pct"/>
            <w:vAlign w:val="center"/>
          </w:tcPr>
          <w:p w14:paraId="5B94AEE2">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否</w:t>
            </w:r>
          </w:p>
        </w:tc>
      </w:tr>
    </w:tbl>
    <w:p w14:paraId="6BBC233C">
      <w:pPr>
        <w:pStyle w:val="32"/>
        <w:widowControl w:val="0"/>
        <w:spacing w:line="440" w:lineRule="exact"/>
        <w:ind w:firstLine="473"/>
        <w:jc w:val="both"/>
        <w:rPr>
          <w:rFonts w:ascii="Times New Roman" w:hAnsi="Times New Roman"/>
          <w:color w:val="auto"/>
          <w:w w:val="99"/>
          <w:szCs w:val="24"/>
          <w:highlight w:val="none"/>
        </w:rPr>
      </w:pPr>
      <w:r>
        <w:rPr>
          <w:rFonts w:ascii="Times New Roman" w:hAnsi="Times New Roman"/>
          <w:color w:val="auto"/>
          <w:w w:val="99"/>
          <w:szCs w:val="24"/>
          <w:highlight w:val="none"/>
        </w:rPr>
        <w:t>根据《环境影响评价技术导则 大气环境》</w:t>
      </w:r>
      <w:r>
        <w:rPr>
          <w:rFonts w:ascii="Times New Roman" w:hAnsi="Times New Roman"/>
          <w:color w:val="auto"/>
          <w:spacing w:val="4"/>
          <w:w w:val="99"/>
          <w:szCs w:val="24"/>
          <w:highlight w:val="none"/>
        </w:rPr>
        <w:t>（</w:t>
      </w:r>
      <w:r>
        <w:rPr>
          <w:rFonts w:ascii="Times New Roman" w:hAnsi="Times New Roman" w:eastAsia="Times New Roman"/>
          <w:color w:val="auto"/>
          <w:spacing w:val="4"/>
          <w:w w:val="99"/>
          <w:szCs w:val="24"/>
          <w:highlight w:val="none"/>
        </w:rPr>
        <w:t>HJ2.2-2018</w:t>
      </w:r>
      <w:r>
        <w:rPr>
          <w:rFonts w:ascii="Times New Roman" w:hAnsi="Times New Roman"/>
          <w:color w:val="auto"/>
          <w:spacing w:val="4"/>
          <w:w w:val="99"/>
          <w:szCs w:val="24"/>
          <w:highlight w:val="none"/>
        </w:rPr>
        <w:t>）中的有关规定，评价工</w:t>
      </w:r>
      <w:r>
        <w:rPr>
          <w:rFonts w:ascii="Times New Roman" w:hAnsi="Times New Roman"/>
          <w:color w:val="auto"/>
          <w:spacing w:val="4"/>
          <w:w w:val="99"/>
          <w:position w:val="2"/>
          <w:szCs w:val="24"/>
          <w:highlight w:val="none"/>
        </w:rPr>
        <w:t>作等级由项目主要污染物的最大地面空气质量浓度占标率</w:t>
      </w:r>
      <w:r>
        <w:rPr>
          <w:rFonts w:ascii="Times New Roman" w:hAnsi="Times New Roman" w:eastAsia="Times New Roman"/>
          <w:color w:val="auto"/>
          <w:w w:val="99"/>
          <w:position w:val="2"/>
          <w:szCs w:val="24"/>
          <w:highlight w:val="none"/>
        </w:rPr>
        <w:t>P</w:t>
      </w:r>
      <w:r>
        <w:rPr>
          <w:rFonts w:ascii="Times New Roman" w:hAnsi="Times New Roman" w:eastAsia="Times New Roman"/>
          <w:color w:val="auto"/>
          <w:w w:val="99"/>
          <w:position w:val="2"/>
          <w:szCs w:val="24"/>
          <w:highlight w:val="none"/>
          <w:vertAlign w:val="subscript"/>
        </w:rPr>
        <w:t>i</w:t>
      </w:r>
      <w:r>
        <w:rPr>
          <w:rFonts w:ascii="Times New Roman" w:hAnsi="Times New Roman"/>
          <w:color w:val="auto"/>
          <w:spacing w:val="25"/>
          <w:w w:val="99"/>
          <w:position w:val="2"/>
          <w:szCs w:val="24"/>
          <w:highlight w:val="none"/>
        </w:rPr>
        <w:t>及第</w:t>
      </w:r>
      <w:r>
        <w:rPr>
          <w:rFonts w:ascii="Times New Roman" w:hAnsi="Times New Roman" w:eastAsia="Times New Roman"/>
          <w:color w:val="auto"/>
          <w:w w:val="99"/>
          <w:position w:val="2"/>
          <w:szCs w:val="24"/>
          <w:highlight w:val="none"/>
        </w:rPr>
        <w:t>i</w:t>
      </w:r>
      <w:r>
        <w:rPr>
          <w:rFonts w:ascii="Times New Roman" w:hAnsi="Times New Roman"/>
          <w:color w:val="auto"/>
          <w:w w:val="99"/>
          <w:position w:val="2"/>
          <w:szCs w:val="24"/>
          <w:highlight w:val="none"/>
        </w:rPr>
        <w:t>个污染物的地面空气</w:t>
      </w:r>
      <w:r>
        <w:rPr>
          <w:rFonts w:ascii="Times New Roman" w:hAnsi="Times New Roman"/>
          <w:color w:val="auto"/>
          <w:spacing w:val="-6"/>
          <w:w w:val="99"/>
          <w:position w:val="2"/>
          <w:szCs w:val="24"/>
          <w:highlight w:val="none"/>
        </w:rPr>
        <w:t>质量浓度达到标准值的</w:t>
      </w:r>
      <w:r>
        <w:rPr>
          <w:rFonts w:ascii="Times New Roman" w:hAnsi="Times New Roman" w:eastAsia="Times New Roman"/>
          <w:color w:val="auto"/>
          <w:w w:val="99"/>
          <w:position w:val="2"/>
          <w:szCs w:val="24"/>
          <w:highlight w:val="none"/>
        </w:rPr>
        <w:t>10%</w:t>
      </w:r>
      <w:r>
        <w:rPr>
          <w:rFonts w:ascii="Times New Roman" w:hAnsi="Times New Roman"/>
          <w:color w:val="auto"/>
          <w:spacing w:val="-6"/>
          <w:w w:val="99"/>
          <w:position w:val="2"/>
          <w:szCs w:val="24"/>
          <w:highlight w:val="none"/>
        </w:rPr>
        <w:t>时所对应的最远距离</w:t>
      </w:r>
      <w:r>
        <w:rPr>
          <w:rFonts w:ascii="Times New Roman" w:hAnsi="Times New Roman" w:eastAsia="Times New Roman"/>
          <w:color w:val="auto"/>
          <w:w w:val="99"/>
          <w:position w:val="2"/>
          <w:szCs w:val="24"/>
          <w:highlight w:val="none"/>
        </w:rPr>
        <w:t>D</w:t>
      </w:r>
      <w:r>
        <w:rPr>
          <w:rFonts w:ascii="Times New Roman" w:hAnsi="Times New Roman" w:eastAsia="Times New Roman"/>
          <w:color w:val="auto"/>
          <w:w w:val="99"/>
          <w:position w:val="2"/>
          <w:szCs w:val="24"/>
          <w:highlight w:val="none"/>
          <w:vertAlign w:val="subscript"/>
        </w:rPr>
        <w:t>10%</w:t>
      </w:r>
      <w:r>
        <w:rPr>
          <w:rFonts w:ascii="Times New Roman" w:hAnsi="Times New Roman"/>
          <w:color w:val="auto"/>
          <w:w w:val="99"/>
          <w:position w:val="2"/>
          <w:szCs w:val="24"/>
          <w:highlight w:val="none"/>
        </w:rPr>
        <w:t>进行等级划分。其中，</w:t>
      </w:r>
      <w:r>
        <w:rPr>
          <w:rFonts w:ascii="Times New Roman" w:hAnsi="Times New Roman" w:eastAsia="Times New Roman"/>
          <w:color w:val="auto"/>
          <w:w w:val="99"/>
          <w:position w:val="2"/>
          <w:szCs w:val="24"/>
          <w:highlight w:val="none"/>
        </w:rPr>
        <w:t>P</w:t>
      </w:r>
      <w:r>
        <w:rPr>
          <w:rFonts w:ascii="Times New Roman" w:hAnsi="Times New Roman" w:eastAsia="Times New Roman"/>
          <w:color w:val="auto"/>
          <w:w w:val="99"/>
          <w:position w:val="2"/>
          <w:szCs w:val="24"/>
          <w:highlight w:val="none"/>
          <w:vertAlign w:val="subscript"/>
        </w:rPr>
        <w:t>i</w:t>
      </w:r>
      <w:r>
        <w:rPr>
          <w:rFonts w:ascii="Times New Roman" w:hAnsi="Times New Roman"/>
          <w:color w:val="auto"/>
          <w:spacing w:val="-7"/>
          <w:w w:val="99"/>
          <w:position w:val="2"/>
          <w:szCs w:val="24"/>
          <w:highlight w:val="none"/>
        </w:rPr>
        <w:t>定义为：</w:t>
      </w:r>
    </w:p>
    <w:p w14:paraId="2BA098D4">
      <w:pPr>
        <w:widowControl w:val="0"/>
        <w:tabs>
          <w:tab w:val="left" w:pos="1571"/>
        </w:tabs>
        <w:spacing w:line="440" w:lineRule="exact"/>
        <w:ind w:left="595" w:hanging="597" w:hangingChars="252"/>
        <w:jc w:val="center"/>
        <w:rPr>
          <w:rFonts w:ascii="Times New Roman" w:hAnsi="Times New Roman" w:cs="Times New Roman"/>
          <w:color w:val="auto"/>
          <w:w w:val="99"/>
          <w:position w:val="2"/>
          <w:highlight w:val="none"/>
        </w:rPr>
      </w:pPr>
      <w:r>
        <w:rPr>
          <w:rFonts w:ascii="Times New Roman" w:hAnsi="Times New Roman" w:cs="Times New Roman"/>
          <w:color w:val="auto"/>
          <w:w w:val="99"/>
          <w:position w:val="2"/>
          <w:highlight w:val="none"/>
        </w:rPr>
        <w:t>P</w:t>
      </w:r>
      <w:r>
        <w:rPr>
          <w:rFonts w:ascii="Times New Roman" w:hAnsi="Times New Roman" w:cs="Times New Roman"/>
          <w:color w:val="auto"/>
          <w:w w:val="99"/>
          <w:position w:val="2"/>
          <w:highlight w:val="none"/>
          <w:vertAlign w:val="subscript"/>
        </w:rPr>
        <w:t>i</w:t>
      </w:r>
      <w:r>
        <w:rPr>
          <w:rFonts w:ascii="Times New Roman" w:hAnsi="Times New Roman" w:cs="Times New Roman"/>
          <w:color w:val="auto"/>
          <w:w w:val="99"/>
          <w:position w:val="2"/>
          <w:highlight w:val="none"/>
        </w:rPr>
        <w:t>=C</w:t>
      </w:r>
      <w:r>
        <w:rPr>
          <w:rFonts w:ascii="Times New Roman" w:hAnsi="Times New Roman" w:cs="Times New Roman"/>
          <w:color w:val="auto"/>
          <w:w w:val="99"/>
          <w:position w:val="2"/>
          <w:highlight w:val="none"/>
          <w:vertAlign w:val="subscript"/>
        </w:rPr>
        <w:t>i</w:t>
      </w:r>
      <w:r>
        <w:rPr>
          <w:rFonts w:ascii="Times New Roman" w:hAnsi="Times New Roman" w:cs="Times New Roman"/>
          <w:color w:val="auto"/>
          <w:w w:val="99"/>
          <w:position w:val="2"/>
          <w:highlight w:val="none"/>
        </w:rPr>
        <w:t>/C</w:t>
      </w:r>
      <w:r>
        <w:rPr>
          <w:rFonts w:ascii="Times New Roman" w:hAnsi="Times New Roman" w:cs="Times New Roman"/>
          <w:color w:val="auto"/>
          <w:w w:val="99"/>
          <w:position w:val="2"/>
          <w:highlight w:val="none"/>
          <w:vertAlign w:val="subscript"/>
        </w:rPr>
        <w:t>0i</w:t>
      </w:r>
      <w:r>
        <w:rPr>
          <w:rFonts w:ascii="Times New Roman" w:hAnsi="Times New Roman" w:cs="Times New Roman"/>
          <w:color w:val="auto"/>
          <w:w w:val="99"/>
          <w:position w:val="2"/>
          <w:highlight w:val="none"/>
        </w:rPr>
        <w:t>×100%</w:t>
      </w:r>
    </w:p>
    <w:p w14:paraId="4B13C35F">
      <w:pPr>
        <w:pStyle w:val="32"/>
        <w:widowControl w:val="0"/>
        <w:spacing w:line="440" w:lineRule="exact"/>
        <w:jc w:val="both"/>
        <w:rPr>
          <w:rFonts w:ascii="Times New Roman" w:hAnsi="Times New Roman"/>
          <w:color w:val="auto"/>
          <w:w w:val="99"/>
          <w:szCs w:val="24"/>
          <w:highlight w:val="none"/>
        </w:rPr>
      </w:pPr>
      <w:r>
        <w:rPr>
          <w:rFonts w:ascii="Times New Roman" w:hAnsi="Times New Roman"/>
          <w:color w:val="auto"/>
          <w:w w:val="99"/>
          <w:position w:val="2"/>
          <w:szCs w:val="24"/>
          <w:highlight w:val="none"/>
        </w:rPr>
        <w:t>式中：</w:t>
      </w:r>
      <w:r>
        <w:rPr>
          <w:rFonts w:ascii="Times New Roman" w:hAnsi="Times New Roman" w:eastAsia="Times New Roman"/>
          <w:color w:val="auto"/>
          <w:w w:val="99"/>
          <w:position w:val="2"/>
          <w:szCs w:val="24"/>
          <w:highlight w:val="none"/>
        </w:rPr>
        <w:t>P</w:t>
      </w:r>
      <w:r>
        <w:rPr>
          <w:rFonts w:ascii="Times New Roman" w:hAnsi="Times New Roman" w:eastAsia="Times New Roman"/>
          <w:color w:val="auto"/>
          <w:w w:val="99"/>
          <w:position w:val="2"/>
          <w:szCs w:val="24"/>
          <w:highlight w:val="none"/>
          <w:vertAlign w:val="subscript"/>
        </w:rPr>
        <w:t>i</w:t>
      </w:r>
      <w:r>
        <w:rPr>
          <w:rFonts w:ascii="Times New Roman" w:hAnsi="Times New Roman" w:eastAsia="Times New Roman"/>
          <w:color w:val="auto"/>
          <w:w w:val="99"/>
          <w:position w:val="2"/>
          <w:szCs w:val="24"/>
          <w:highlight w:val="none"/>
        </w:rPr>
        <w:t>——</w:t>
      </w:r>
      <w:r>
        <w:rPr>
          <w:rFonts w:ascii="Times New Roman" w:hAnsi="Times New Roman"/>
          <w:color w:val="auto"/>
          <w:w w:val="99"/>
          <w:position w:val="2"/>
          <w:szCs w:val="24"/>
          <w:highlight w:val="none"/>
        </w:rPr>
        <w:t xml:space="preserve">第 </w:t>
      </w:r>
      <w:r>
        <w:rPr>
          <w:rFonts w:ascii="Times New Roman" w:hAnsi="Times New Roman" w:eastAsia="Times New Roman"/>
          <w:color w:val="auto"/>
          <w:w w:val="99"/>
          <w:position w:val="2"/>
          <w:szCs w:val="24"/>
          <w:highlight w:val="none"/>
        </w:rPr>
        <w:t xml:space="preserve">i </w:t>
      </w:r>
      <w:r>
        <w:rPr>
          <w:rFonts w:ascii="Times New Roman" w:hAnsi="Times New Roman"/>
          <w:color w:val="auto"/>
          <w:w w:val="99"/>
          <w:position w:val="2"/>
          <w:szCs w:val="24"/>
          <w:highlight w:val="none"/>
        </w:rPr>
        <w:t>个污染物的最大地面空气质量浓度占标率，</w:t>
      </w:r>
      <w:r>
        <w:rPr>
          <w:rFonts w:ascii="Times New Roman" w:hAnsi="Times New Roman" w:eastAsia="Times New Roman"/>
          <w:color w:val="auto"/>
          <w:w w:val="99"/>
          <w:position w:val="2"/>
          <w:szCs w:val="24"/>
          <w:highlight w:val="none"/>
        </w:rPr>
        <w:t>%</w:t>
      </w:r>
      <w:r>
        <w:rPr>
          <w:rFonts w:ascii="Times New Roman" w:hAnsi="Times New Roman"/>
          <w:color w:val="auto"/>
          <w:w w:val="99"/>
          <w:position w:val="2"/>
          <w:szCs w:val="24"/>
          <w:highlight w:val="none"/>
        </w:rPr>
        <w:t>；</w:t>
      </w:r>
    </w:p>
    <w:p w14:paraId="503B02DB">
      <w:pPr>
        <w:pStyle w:val="32"/>
        <w:widowControl w:val="0"/>
        <w:spacing w:line="440" w:lineRule="exact"/>
        <w:ind w:firstLine="711" w:firstLineChars="300"/>
        <w:jc w:val="both"/>
        <w:rPr>
          <w:rFonts w:ascii="Times New Roman" w:hAnsi="Times New Roman"/>
          <w:color w:val="auto"/>
          <w:w w:val="99"/>
          <w:szCs w:val="24"/>
          <w:highlight w:val="none"/>
        </w:rPr>
      </w:pPr>
      <w:r>
        <w:rPr>
          <w:rFonts w:ascii="Times New Roman" w:hAnsi="Times New Roman" w:eastAsia="Times New Roman"/>
          <w:color w:val="auto"/>
          <w:w w:val="99"/>
          <w:position w:val="2"/>
          <w:szCs w:val="24"/>
          <w:highlight w:val="none"/>
        </w:rPr>
        <w:t>C</w:t>
      </w:r>
      <w:r>
        <w:rPr>
          <w:rFonts w:ascii="Times New Roman" w:hAnsi="Times New Roman" w:eastAsia="Times New Roman"/>
          <w:color w:val="auto"/>
          <w:w w:val="99"/>
          <w:position w:val="2"/>
          <w:szCs w:val="24"/>
          <w:highlight w:val="none"/>
          <w:vertAlign w:val="subscript"/>
        </w:rPr>
        <w:t>i</w:t>
      </w:r>
      <w:r>
        <w:rPr>
          <w:rFonts w:ascii="Times New Roman" w:hAnsi="Times New Roman" w:eastAsia="Times New Roman"/>
          <w:color w:val="auto"/>
          <w:w w:val="99"/>
          <w:position w:val="2"/>
          <w:szCs w:val="24"/>
          <w:highlight w:val="none"/>
        </w:rPr>
        <w:t>——</w:t>
      </w:r>
      <w:r>
        <w:rPr>
          <w:rFonts w:ascii="Times New Roman" w:hAnsi="Times New Roman"/>
          <w:color w:val="auto"/>
          <w:w w:val="99"/>
          <w:position w:val="2"/>
          <w:szCs w:val="24"/>
          <w:highlight w:val="none"/>
        </w:rPr>
        <w:t>采用估算模式计算出的第</w:t>
      </w:r>
      <w:r>
        <w:rPr>
          <w:rFonts w:ascii="Times New Roman" w:hAnsi="Times New Roman" w:eastAsia="Times New Roman"/>
          <w:color w:val="auto"/>
          <w:w w:val="99"/>
          <w:position w:val="2"/>
          <w:szCs w:val="24"/>
          <w:highlight w:val="none"/>
        </w:rPr>
        <w:t>i</w:t>
      </w:r>
      <w:r>
        <w:rPr>
          <w:rFonts w:ascii="Times New Roman" w:hAnsi="Times New Roman"/>
          <w:color w:val="auto"/>
          <w:w w:val="99"/>
          <w:position w:val="2"/>
          <w:szCs w:val="24"/>
          <w:highlight w:val="none"/>
        </w:rPr>
        <w:t>个污染物的最大</w:t>
      </w:r>
      <w:r>
        <w:rPr>
          <w:rFonts w:ascii="Times New Roman" w:hAnsi="Times New Roman" w:eastAsia="Times New Roman"/>
          <w:color w:val="auto"/>
          <w:w w:val="99"/>
          <w:position w:val="2"/>
          <w:szCs w:val="24"/>
          <w:highlight w:val="none"/>
        </w:rPr>
        <w:t>1h</w:t>
      </w:r>
      <w:r>
        <w:rPr>
          <w:rFonts w:ascii="Times New Roman" w:hAnsi="Times New Roman"/>
          <w:color w:val="auto"/>
          <w:w w:val="99"/>
          <w:position w:val="2"/>
          <w:szCs w:val="24"/>
          <w:highlight w:val="none"/>
        </w:rPr>
        <w:t>地面空气质量浓度，</w:t>
      </w:r>
      <w:r>
        <w:rPr>
          <w:rFonts w:ascii="Times New Roman" w:hAnsi="Times New Roman" w:eastAsia="Times New Roman"/>
          <w:color w:val="auto"/>
          <w:w w:val="99"/>
          <w:position w:val="2"/>
          <w:szCs w:val="24"/>
          <w:highlight w:val="none"/>
        </w:rPr>
        <w:t>μg/m</w:t>
      </w:r>
      <w:r>
        <w:rPr>
          <w:rFonts w:ascii="Times New Roman" w:hAnsi="Times New Roman" w:eastAsia="Times New Roman"/>
          <w:color w:val="auto"/>
          <w:w w:val="99"/>
          <w:position w:val="2"/>
          <w:szCs w:val="24"/>
          <w:highlight w:val="none"/>
          <w:vertAlign w:val="superscript"/>
        </w:rPr>
        <w:t>3</w:t>
      </w:r>
      <w:r>
        <w:rPr>
          <w:rFonts w:ascii="Times New Roman" w:hAnsi="Times New Roman"/>
          <w:color w:val="auto"/>
          <w:w w:val="99"/>
          <w:position w:val="2"/>
          <w:szCs w:val="24"/>
          <w:highlight w:val="none"/>
        </w:rPr>
        <w:t>；</w:t>
      </w:r>
    </w:p>
    <w:p w14:paraId="02E96241">
      <w:pPr>
        <w:pStyle w:val="32"/>
        <w:widowControl w:val="0"/>
        <w:spacing w:line="440" w:lineRule="exact"/>
        <w:ind w:firstLine="711" w:firstLineChars="300"/>
        <w:jc w:val="both"/>
        <w:rPr>
          <w:rFonts w:ascii="Times New Roman" w:hAnsi="Times New Roman"/>
          <w:color w:val="auto"/>
          <w:w w:val="99"/>
          <w:szCs w:val="24"/>
          <w:highlight w:val="none"/>
        </w:rPr>
      </w:pPr>
      <w:r>
        <w:rPr>
          <w:rFonts w:ascii="Times New Roman" w:hAnsi="Times New Roman" w:eastAsia="Times New Roman"/>
          <w:color w:val="auto"/>
          <w:w w:val="99"/>
          <w:position w:val="2"/>
          <w:szCs w:val="24"/>
          <w:highlight w:val="none"/>
        </w:rPr>
        <w:t>C</w:t>
      </w:r>
      <w:r>
        <w:rPr>
          <w:rFonts w:ascii="Times New Roman" w:hAnsi="Times New Roman" w:eastAsia="Times New Roman"/>
          <w:color w:val="auto"/>
          <w:w w:val="99"/>
          <w:position w:val="2"/>
          <w:szCs w:val="24"/>
          <w:highlight w:val="none"/>
          <w:vertAlign w:val="subscript"/>
        </w:rPr>
        <w:t>0i</w:t>
      </w:r>
      <w:r>
        <w:rPr>
          <w:rFonts w:ascii="Times New Roman" w:hAnsi="Times New Roman" w:eastAsia="Times New Roman"/>
          <w:color w:val="auto"/>
          <w:w w:val="99"/>
          <w:position w:val="2"/>
          <w:szCs w:val="24"/>
          <w:highlight w:val="none"/>
        </w:rPr>
        <w:t>——</w:t>
      </w:r>
      <w:r>
        <w:rPr>
          <w:rFonts w:ascii="Times New Roman" w:hAnsi="Times New Roman"/>
          <w:color w:val="auto"/>
          <w:w w:val="99"/>
          <w:position w:val="2"/>
          <w:szCs w:val="24"/>
          <w:highlight w:val="none"/>
        </w:rPr>
        <w:t xml:space="preserve">第 </w:t>
      </w:r>
      <w:r>
        <w:rPr>
          <w:rFonts w:ascii="Times New Roman" w:hAnsi="Times New Roman" w:eastAsia="Times New Roman"/>
          <w:color w:val="auto"/>
          <w:w w:val="99"/>
          <w:position w:val="2"/>
          <w:szCs w:val="24"/>
          <w:highlight w:val="none"/>
        </w:rPr>
        <w:t xml:space="preserve">i </w:t>
      </w:r>
      <w:r>
        <w:rPr>
          <w:rFonts w:ascii="Times New Roman" w:hAnsi="Times New Roman"/>
          <w:color w:val="auto"/>
          <w:w w:val="99"/>
          <w:position w:val="2"/>
          <w:szCs w:val="24"/>
          <w:highlight w:val="none"/>
        </w:rPr>
        <w:t>个污染物的环境空气质量浓度标准，</w:t>
      </w:r>
      <w:r>
        <w:rPr>
          <w:rFonts w:ascii="Times New Roman" w:hAnsi="Times New Roman" w:eastAsia="Times New Roman"/>
          <w:color w:val="auto"/>
          <w:w w:val="99"/>
          <w:position w:val="2"/>
          <w:szCs w:val="24"/>
          <w:highlight w:val="none"/>
        </w:rPr>
        <w:t>μg/m</w:t>
      </w:r>
      <w:r>
        <w:rPr>
          <w:rFonts w:ascii="Times New Roman" w:hAnsi="Times New Roman" w:eastAsia="Times New Roman"/>
          <w:color w:val="auto"/>
          <w:w w:val="99"/>
          <w:position w:val="2"/>
          <w:szCs w:val="24"/>
          <w:highlight w:val="none"/>
          <w:vertAlign w:val="superscript"/>
        </w:rPr>
        <w:t>3</w:t>
      </w:r>
      <w:r>
        <w:rPr>
          <w:rFonts w:ascii="Times New Roman" w:hAnsi="Times New Roman"/>
          <w:color w:val="auto"/>
          <w:w w:val="99"/>
          <w:position w:val="2"/>
          <w:szCs w:val="24"/>
          <w:highlight w:val="none"/>
        </w:rPr>
        <w:t>。</w:t>
      </w:r>
    </w:p>
    <w:p w14:paraId="4E6B1128">
      <w:pPr>
        <w:widowControl w:val="0"/>
        <w:spacing w:line="440" w:lineRule="exact"/>
        <w:ind w:firstLine="490" w:firstLineChars="200"/>
        <w:jc w:val="both"/>
        <w:rPr>
          <w:rFonts w:ascii="Times New Roman" w:hAnsi="Times New Roman" w:cs="Times New Roman"/>
          <w:color w:val="auto"/>
          <w:spacing w:val="4"/>
          <w:w w:val="99"/>
          <w:kern w:val="2"/>
          <w:position w:val="2"/>
          <w:highlight w:val="none"/>
          <w:lang w:val="zh-CN"/>
        </w:rPr>
      </w:pPr>
      <w:r>
        <w:rPr>
          <w:rFonts w:ascii="Times New Roman" w:hAnsi="Times New Roman" w:cs="Times New Roman"/>
          <w:color w:val="auto"/>
          <w:spacing w:val="4"/>
          <w:w w:val="99"/>
          <w:kern w:val="2"/>
          <w:position w:val="2"/>
          <w:highlight w:val="none"/>
          <w:lang w:val="zh-CN"/>
        </w:rPr>
        <w:t>本项目根据估算模式预测，本项目最大地面浓度占标率计算结果见表2.</w:t>
      </w:r>
      <w:r>
        <w:rPr>
          <w:rFonts w:hint="eastAsia" w:ascii="Times New Roman" w:hAnsi="Times New Roman" w:cs="Times New Roman"/>
          <w:color w:val="auto"/>
          <w:spacing w:val="4"/>
          <w:w w:val="99"/>
          <w:kern w:val="2"/>
          <w:position w:val="2"/>
          <w:highlight w:val="none"/>
        </w:rPr>
        <w:t>7-3</w:t>
      </w:r>
      <w:r>
        <w:rPr>
          <w:rFonts w:ascii="Times New Roman" w:hAnsi="Times New Roman" w:cs="Times New Roman"/>
          <w:color w:val="auto"/>
          <w:spacing w:val="4"/>
          <w:w w:val="99"/>
          <w:kern w:val="2"/>
          <w:position w:val="2"/>
          <w:highlight w:val="none"/>
          <w:lang w:val="zh-CN"/>
        </w:rPr>
        <w:t>。</w:t>
      </w:r>
    </w:p>
    <w:p w14:paraId="7C7E188D">
      <w:pPr>
        <w:widowControl w:val="0"/>
        <w:spacing w:line="440" w:lineRule="exact"/>
        <w:ind w:firstLine="476" w:firstLineChars="200"/>
        <w:jc w:val="both"/>
        <w:rPr>
          <w:rFonts w:ascii="Times New Roman" w:hAnsi="Times New Roman" w:cs="Times New Roman" w:eastAsiaTheme="minorEastAsia"/>
          <w:b/>
          <w:bCs/>
          <w:color w:val="auto"/>
          <w:w w:val="99"/>
          <w:highlight w:val="none"/>
          <w:lang w:bidi="zh-CN"/>
        </w:rPr>
      </w:pPr>
      <w:r>
        <w:rPr>
          <w:rFonts w:hint="eastAsia" w:ascii="Times New Roman" w:hAnsi="Times New Roman" w:cs="Times New Roman" w:eastAsiaTheme="minorEastAsia"/>
          <w:b/>
          <w:bCs/>
          <w:color w:val="auto"/>
          <w:w w:val="99"/>
          <w:highlight w:val="none"/>
          <w:lang w:bidi="zh-CN"/>
        </w:rPr>
        <w:t>表2.7-3   Pmax和D</w:t>
      </w:r>
      <w:r>
        <w:rPr>
          <w:rFonts w:hint="eastAsia" w:ascii="Times New Roman" w:hAnsi="Times New Roman" w:cs="Times New Roman" w:eastAsiaTheme="minorEastAsia"/>
          <w:b/>
          <w:bCs/>
          <w:color w:val="auto"/>
          <w:w w:val="99"/>
          <w:highlight w:val="none"/>
          <w:vertAlign w:val="subscript"/>
          <w:lang w:bidi="zh-CN"/>
        </w:rPr>
        <w:t>10%</w:t>
      </w:r>
      <w:r>
        <w:rPr>
          <w:rFonts w:hint="eastAsia" w:ascii="Times New Roman" w:hAnsi="Times New Roman" w:cs="Times New Roman" w:eastAsiaTheme="minorEastAsia"/>
          <w:b/>
          <w:bCs/>
          <w:color w:val="auto"/>
          <w:w w:val="99"/>
          <w:highlight w:val="none"/>
          <w:lang w:bidi="zh-CN"/>
        </w:rPr>
        <w:t>预测和计算结果一览表</w:t>
      </w:r>
    </w:p>
    <w:tbl>
      <w:tblPr>
        <w:tblStyle w:val="81"/>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6"/>
        <w:gridCol w:w="1483"/>
        <w:gridCol w:w="1568"/>
        <w:gridCol w:w="1797"/>
        <w:gridCol w:w="1308"/>
        <w:gridCol w:w="863"/>
      </w:tblGrid>
      <w:tr w14:paraId="48A23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20" w:type="pct"/>
            <w:vAlign w:val="center"/>
          </w:tcPr>
          <w:p w14:paraId="0C80D515">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污染源</w:t>
            </w:r>
          </w:p>
        </w:tc>
        <w:tc>
          <w:tcPr>
            <w:tcW w:w="798" w:type="pct"/>
            <w:vAlign w:val="center"/>
          </w:tcPr>
          <w:p w14:paraId="457B43D8">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预测因子</w:t>
            </w:r>
          </w:p>
        </w:tc>
        <w:tc>
          <w:tcPr>
            <w:tcW w:w="844" w:type="pct"/>
            <w:vAlign w:val="center"/>
          </w:tcPr>
          <w:p w14:paraId="24E69EAC">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评价标准(μg/m</w:t>
            </w:r>
            <w:r>
              <w:rPr>
                <w:rFonts w:ascii="Times New Roman" w:hAnsi="Times New Roman" w:cs="Times New Roman" w:eastAsiaTheme="minorEastAsia"/>
                <w:color w:val="auto"/>
                <w:w w:val="99"/>
                <w:kern w:val="2"/>
                <w:sz w:val="21"/>
                <w:szCs w:val="21"/>
                <w:highlight w:val="none"/>
                <w:vertAlign w:val="superscript"/>
              </w:rPr>
              <w:t>3</w:t>
            </w:r>
            <w:r>
              <w:rPr>
                <w:rFonts w:ascii="Times New Roman" w:hAnsi="Times New Roman" w:cs="Times New Roman" w:eastAsiaTheme="minorEastAsia"/>
                <w:color w:val="auto"/>
                <w:w w:val="99"/>
                <w:kern w:val="2"/>
                <w:sz w:val="21"/>
                <w:szCs w:val="21"/>
                <w:highlight w:val="none"/>
              </w:rPr>
              <w:t>)</w:t>
            </w:r>
          </w:p>
        </w:tc>
        <w:tc>
          <w:tcPr>
            <w:tcW w:w="967" w:type="pct"/>
            <w:vAlign w:val="center"/>
          </w:tcPr>
          <w:p w14:paraId="3E61E0DC">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最大地面空气质量浓度（μg/m³）</w:t>
            </w:r>
          </w:p>
        </w:tc>
        <w:tc>
          <w:tcPr>
            <w:tcW w:w="704" w:type="pct"/>
            <w:vAlign w:val="center"/>
          </w:tcPr>
          <w:p w14:paraId="4BFC307D">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最大浓度占标率（%）</w:t>
            </w:r>
          </w:p>
        </w:tc>
        <w:tc>
          <w:tcPr>
            <w:tcW w:w="465" w:type="pct"/>
            <w:vAlign w:val="center"/>
          </w:tcPr>
          <w:p w14:paraId="24DCF9B6">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D</w:t>
            </w:r>
            <w:r>
              <w:rPr>
                <w:rFonts w:ascii="Times New Roman" w:hAnsi="Times New Roman" w:cs="Times New Roman" w:eastAsiaTheme="minorEastAsia"/>
                <w:color w:val="auto"/>
                <w:w w:val="99"/>
                <w:kern w:val="2"/>
                <w:sz w:val="21"/>
                <w:szCs w:val="21"/>
                <w:highlight w:val="none"/>
                <w:vertAlign w:val="subscript"/>
              </w:rPr>
              <w:t>10%</w:t>
            </w:r>
          </w:p>
          <w:p w14:paraId="4C648DD6">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(m)</w:t>
            </w:r>
          </w:p>
        </w:tc>
      </w:tr>
      <w:tr w14:paraId="40AEE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20" w:type="pct"/>
            <w:vAlign w:val="center"/>
          </w:tcPr>
          <w:p w14:paraId="127016A1">
            <w:pPr>
              <w:adjustRightInd w:val="0"/>
              <w:snapToGrid w:val="0"/>
              <w:spacing w:line="360" w:lineRule="exact"/>
              <w:jc w:val="center"/>
              <w:rPr>
                <w:rFonts w:ascii="Times New Roman" w:hAnsi="Times New Roman" w:cs="Times New Roman"/>
                <w:color w:val="auto"/>
                <w:w w:val="99"/>
                <w:kern w:val="24"/>
                <w:sz w:val="21"/>
                <w:szCs w:val="21"/>
                <w:highlight w:val="none"/>
              </w:rPr>
            </w:pPr>
            <w:r>
              <w:rPr>
                <w:rFonts w:hint="eastAsia" w:ascii="Times New Roman" w:hAnsi="Times New Roman" w:cs="Times New Roman"/>
                <w:color w:val="auto"/>
                <w:w w:val="99"/>
                <w:sz w:val="21"/>
                <w:szCs w:val="21"/>
                <w:highlight w:val="none"/>
              </w:rPr>
              <w:t>徐深27-H1井场</w:t>
            </w:r>
          </w:p>
        </w:tc>
        <w:tc>
          <w:tcPr>
            <w:tcW w:w="798" w:type="pct"/>
            <w:vAlign w:val="center"/>
          </w:tcPr>
          <w:p w14:paraId="7120C91F">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NMHC</w:t>
            </w:r>
          </w:p>
        </w:tc>
        <w:tc>
          <w:tcPr>
            <w:tcW w:w="844" w:type="pct"/>
            <w:vAlign w:val="center"/>
          </w:tcPr>
          <w:p w14:paraId="11D091AA">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2000</w:t>
            </w:r>
          </w:p>
        </w:tc>
        <w:tc>
          <w:tcPr>
            <w:tcW w:w="967" w:type="pct"/>
            <w:vAlign w:val="center"/>
          </w:tcPr>
          <w:p w14:paraId="0970F3B6">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1033.5000</w:t>
            </w:r>
          </w:p>
        </w:tc>
        <w:tc>
          <w:tcPr>
            <w:tcW w:w="704" w:type="pct"/>
            <w:vAlign w:val="center"/>
          </w:tcPr>
          <w:p w14:paraId="4D42557F">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51.6750</w:t>
            </w:r>
          </w:p>
        </w:tc>
        <w:tc>
          <w:tcPr>
            <w:tcW w:w="465" w:type="pct"/>
            <w:vAlign w:val="center"/>
          </w:tcPr>
          <w:p w14:paraId="04D6D4D0">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1775.0</w:t>
            </w:r>
          </w:p>
        </w:tc>
      </w:tr>
    </w:tbl>
    <w:p w14:paraId="1062A725">
      <w:pPr>
        <w:widowControl w:val="0"/>
        <w:spacing w:line="440" w:lineRule="exact"/>
        <w:ind w:firstLine="490" w:firstLineChars="200"/>
        <w:jc w:val="both"/>
        <w:rPr>
          <w:rFonts w:ascii="Times New Roman" w:hAnsi="Times New Roman" w:cs="Times New Roman"/>
          <w:color w:val="auto"/>
          <w:spacing w:val="4"/>
          <w:w w:val="99"/>
          <w:kern w:val="2"/>
          <w:position w:val="2"/>
          <w:highlight w:val="none"/>
          <w:lang w:val="zh-CN"/>
        </w:rPr>
      </w:pPr>
      <w:r>
        <w:rPr>
          <w:rFonts w:ascii="Times New Roman" w:hAnsi="Times New Roman" w:cs="Times New Roman"/>
          <w:color w:val="auto"/>
          <w:spacing w:val="4"/>
          <w:w w:val="99"/>
          <w:kern w:val="2"/>
          <w:position w:val="2"/>
          <w:highlight w:val="none"/>
          <w:lang w:val="zh-CN"/>
        </w:rPr>
        <w:t>《环境影响评价技术导则 大气环境》（HJ2.2-2018）中评价等级的划分原则见表2.7-</w:t>
      </w:r>
      <w:r>
        <w:rPr>
          <w:rFonts w:hint="eastAsia" w:ascii="Times New Roman" w:hAnsi="Times New Roman" w:cs="Times New Roman"/>
          <w:color w:val="auto"/>
          <w:spacing w:val="4"/>
          <w:w w:val="99"/>
          <w:kern w:val="2"/>
          <w:position w:val="2"/>
          <w:highlight w:val="none"/>
        </w:rPr>
        <w:t>4</w:t>
      </w:r>
      <w:r>
        <w:rPr>
          <w:rFonts w:ascii="Times New Roman" w:hAnsi="Times New Roman" w:cs="Times New Roman"/>
          <w:color w:val="auto"/>
          <w:spacing w:val="4"/>
          <w:w w:val="99"/>
          <w:kern w:val="2"/>
          <w:position w:val="2"/>
          <w:highlight w:val="none"/>
          <w:lang w:val="zh-CN"/>
        </w:rPr>
        <w:t>。</w:t>
      </w:r>
    </w:p>
    <w:p w14:paraId="33B2EABE">
      <w:pPr>
        <w:widowControl w:val="0"/>
        <w:spacing w:line="440" w:lineRule="exact"/>
        <w:ind w:firstLine="476" w:firstLineChars="200"/>
        <w:jc w:val="both"/>
        <w:rPr>
          <w:rFonts w:ascii="Times New Roman" w:hAnsi="Times New Roman" w:cs="Times New Roman" w:eastAsiaTheme="minorEastAsia"/>
          <w:color w:val="auto"/>
          <w:w w:val="99"/>
          <w:position w:val="2"/>
          <w:highlight w:val="none"/>
          <w:lang w:val="zh-CN" w:bidi="zh-CN"/>
        </w:rPr>
      </w:pPr>
      <w:r>
        <w:rPr>
          <w:rFonts w:ascii="Times New Roman" w:hAnsi="Times New Roman" w:cs="Times New Roman" w:eastAsiaTheme="minorEastAsia"/>
          <w:b/>
          <w:color w:val="auto"/>
          <w:w w:val="99"/>
          <w:highlight w:val="none"/>
          <w:lang w:val="zh-CN" w:bidi="zh-CN"/>
        </w:rPr>
        <w:t>表</w:t>
      </w:r>
      <w:r>
        <w:rPr>
          <w:rFonts w:ascii="Times New Roman" w:hAnsi="Times New Roman" w:cs="Times New Roman" w:eastAsiaTheme="minorEastAsia"/>
          <w:b/>
          <w:color w:val="auto"/>
          <w:w w:val="99"/>
          <w:highlight w:val="none"/>
          <w:lang w:bidi="zh-CN"/>
        </w:rPr>
        <w:t>2.7-</w:t>
      </w:r>
      <w:r>
        <w:rPr>
          <w:rFonts w:hint="eastAsia" w:ascii="Times New Roman" w:hAnsi="Times New Roman" w:cs="Times New Roman" w:eastAsiaTheme="minorEastAsia"/>
          <w:b/>
          <w:color w:val="auto"/>
          <w:w w:val="99"/>
          <w:highlight w:val="none"/>
          <w:lang w:bidi="zh-CN"/>
        </w:rPr>
        <w:t>4</w:t>
      </w:r>
      <w:r>
        <w:rPr>
          <w:rFonts w:ascii="Times New Roman" w:hAnsi="Times New Roman" w:cs="Times New Roman" w:eastAsiaTheme="minorEastAsia"/>
          <w:b/>
          <w:color w:val="auto"/>
          <w:w w:val="99"/>
          <w:highlight w:val="none"/>
          <w:lang w:bidi="zh-CN"/>
        </w:rPr>
        <w:t xml:space="preserve">    </w:t>
      </w:r>
      <w:r>
        <w:rPr>
          <w:rFonts w:ascii="Times New Roman" w:hAnsi="Times New Roman" w:cs="Times New Roman" w:eastAsiaTheme="minorEastAsia"/>
          <w:b/>
          <w:color w:val="auto"/>
          <w:w w:val="99"/>
          <w:position w:val="2"/>
          <w:highlight w:val="none"/>
          <w:lang w:val="zh-CN" w:bidi="zh-CN"/>
        </w:rPr>
        <w:t>评价等级判别表</w:t>
      </w:r>
    </w:p>
    <w:tbl>
      <w:tblPr>
        <w:tblStyle w:val="81"/>
        <w:tblW w:w="92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6"/>
        <w:gridCol w:w="4646"/>
      </w:tblGrid>
      <w:tr w14:paraId="1463D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46" w:type="dxa"/>
            <w:vAlign w:val="center"/>
          </w:tcPr>
          <w:p w14:paraId="71E44C9E">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评价工作等级</w:t>
            </w:r>
          </w:p>
        </w:tc>
        <w:tc>
          <w:tcPr>
            <w:tcW w:w="4646" w:type="dxa"/>
            <w:vAlign w:val="center"/>
          </w:tcPr>
          <w:p w14:paraId="5E5C422E">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烟尘</w:t>
            </w:r>
          </w:p>
        </w:tc>
      </w:tr>
      <w:tr w14:paraId="2B561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6" w:type="dxa"/>
            <w:vAlign w:val="center"/>
          </w:tcPr>
          <w:p w14:paraId="554C159C">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一级</w:t>
            </w:r>
          </w:p>
        </w:tc>
        <w:tc>
          <w:tcPr>
            <w:tcW w:w="4646" w:type="dxa"/>
            <w:vAlign w:val="center"/>
          </w:tcPr>
          <w:p w14:paraId="62E5F788">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P</w:t>
            </w:r>
            <w:r>
              <w:rPr>
                <w:rFonts w:ascii="Times New Roman" w:hAnsi="Times New Roman" w:cs="Times New Roman" w:eastAsiaTheme="minorEastAsia"/>
                <w:color w:val="auto"/>
                <w:w w:val="99"/>
                <w:kern w:val="2"/>
                <w:sz w:val="21"/>
                <w:szCs w:val="21"/>
                <w:highlight w:val="none"/>
                <w:vertAlign w:val="subscript"/>
              </w:rPr>
              <w:t>max</w:t>
            </w:r>
            <w:r>
              <w:rPr>
                <w:rFonts w:ascii="Times New Roman" w:hAnsi="Times New Roman" w:cs="Times New Roman" w:eastAsiaTheme="minorEastAsia"/>
                <w:color w:val="auto"/>
                <w:w w:val="99"/>
                <w:kern w:val="2"/>
                <w:sz w:val="21"/>
                <w:szCs w:val="21"/>
                <w:highlight w:val="none"/>
              </w:rPr>
              <w:t>≥10%</w:t>
            </w:r>
          </w:p>
        </w:tc>
      </w:tr>
      <w:tr w14:paraId="0228D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6" w:type="dxa"/>
            <w:vAlign w:val="center"/>
          </w:tcPr>
          <w:p w14:paraId="1FF950D7">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二级</w:t>
            </w:r>
          </w:p>
        </w:tc>
        <w:tc>
          <w:tcPr>
            <w:tcW w:w="4646" w:type="dxa"/>
            <w:vAlign w:val="center"/>
          </w:tcPr>
          <w:p w14:paraId="3A9F08FE">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1%≤P</w:t>
            </w:r>
            <w:r>
              <w:rPr>
                <w:rFonts w:ascii="Times New Roman" w:hAnsi="Times New Roman" w:cs="Times New Roman" w:eastAsiaTheme="minorEastAsia"/>
                <w:color w:val="auto"/>
                <w:w w:val="99"/>
                <w:kern w:val="2"/>
                <w:sz w:val="21"/>
                <w:szCs w:val="21"/>
                <w:highlight w:val="none"/>
                <w:vertAlign w:val="subscript"/>
              </w:rPr>
              <w:t>max</w:t>
            </w:r>
            <w:r>
              <w:rPr>
                <w:rFonts w:ascii="Times New Roman" w:hAnsi="Times New Roman" w:cs="Times New Roman" w:eastAsiaTheme="minorEastAsia"/>
                <w:color w:val="auto"/>
                <w:w w:val="99"/>
                <w:kern w:val="2"/>
                <w:sz w:val="21"/>
                <w:szCs w:val="21"/>
                <w:highlight w:val="none"/>
              </w:rPr>
              <w:t>＜10%</w:t>
            </w:r>
          </w:p>
        </w:tc>
      </w:tr>
      <w:tr w14:paraId="4AEF5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6" w:type="dxa"/>
            <w:vAlign w:val="center"/>
          </w:tcPr>
          <w:p w14:paraId="74CC204A">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三级</w:t>
            </w:r>
          </w:p>
        </w:tc>
        <w:tc>
          <w:tcPr>
            <w:tcW w:w="4646" w:type="dxa"/>
            <w:vAlign w:val="center"/>
          </w:tcPr>
          <w:p w14:paraId="55FFA1CF">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P</w:t>
            </w:r>
            <w:r>
              <w:rPr>
                <w:rFonts w:ascii="Times New Roman" w:hAnsi="Times New Roman" w:cs="Times New Roman" w:eastAsiaTheme="minorEastAsia"/>
                <w:color w:val="auto"/>
                <w:w w:val="99"/>
                <w:kern w:val="2"/>
                <w:sz w:val="21"/>
                <w:szCs w:val="21"/>
                <w:highlight w:val="none"/>
                <w:vertAlign w:val="subscript"/>
              </w:rPr>
              <w:t>max</w:t>
            </w:r>
            <w:r>
              <w:rPr>
                <w:rFonts w:ascii="Times New Roman" w:hAnsi="Times New Roman" w:cs="Times New Roman" w:eastAsiaTheme="minorEastAsia"/>
                <w:color w:val="auto"/>
                <w:w w:val="99"/>
                <w:kern w:val="2"/>
                <w:sz w:val="21"/>
                <w:szCs w:val="21"/>
                <w:highlight w:val="none"/>
              </w:rPr>
              <w:t>＜1%</w:t>
            </w:r>
          </w:p>
        </w:tc>
      </w:tr>
    </w:tbl>
    <w:p w14:paraId="5A858A7F">
      <w:pPr>
        <w:widowControl w:val="0"/>
        <w:tabs>
          <w:tab w:val="left" w:pos="1571"/>
        </w:tabs>
        <w:spacing w:line="440" w:lineRule="exact"/>
        <w:ind w:firstLine="490" w:firstLineChars="200"/>
        <w:jc w:val="both"/>
        <w:rPr>
          <w:rFonts w:ascii="Times New Roman" w:hAnsi="Times New Roman" w:cs="Times New Roman"/>
          <w:color w:val="auto"/>
          <w:spacing w:val="4"/>
          <w:w w:val="99"/>
          <w:kern w:val="2"/>
          <w:position w:val="2"/>
          <w:highlight w:val="none"/>
          <w:lang w:val="zh-CN"/>
        </w:rPr>
      </w:pPr>
      <w:r>
        <w:rPr>
          <w:rFonts w:ascii="Times New Roman" w:hAnsi="Times New Roman" w:cs="Times New Roman"/>
          <w:color w:val="auto"/>
          <w:spacing w:val="4"/>
          <w:w w:val="99"/>
          <w:kern w:val="2"/>
          <w:position w:val="2"/>
          <w:highlight w:val="none"/>
          <w:lang w:val="zh-CN"/>
        </w:rPr>
        <w:t xml:space="preserve"> 本项目P</w:t>
      </w:r>
      <w:r>
        <w:rPr>
          <w:rFonts w:ascii="Times New Roman" w:hAnsi="Times New Roman" w:cs="Times New Roman"/>
          <w:color w:val="auto"/>
          <w:spacing w:val="4"/>
          <w:w w:val="99"/>
          <w:kern w:val="2"/>
          <w:position w:val="2"/>
          <w:highlight w:val="none"/>
          <w:vertAlign w:val="subscript"/>
          <w:lang w:val="zh-CN"/>
        </w:rPr>
        <w:t>max</w:t>
      </w:r>
      <w:r>
        <w:rPr>
          <w:rFonts w:ascii="Times New Roman" w:hAnsi="Times New Roman" w:cs="Times New Roman"/>
          <w:color w:val="auto"/>
          <w:spacing w:val="4"/>
          <w:w w:val="99"/>
          <w:kern w:val="2"/>
          <w:position w:val="2"/>
          <w:highlight w:val="none"/>
          <w:lang w:val="zh-CN"/>
        </w:rPr>
        <w:t>最大值出现为徐深</w:t>
      </w:r>
      <w:r>
        <w:rPr>
          <w:rFonts w:hint="eastAsia" w:ascii="Times New Roman" w:hAnsi="Times New Roman" w:cs="Times New Roman"/>
          <w:color w:val="auto"/>
          <w:spacing w:val="4"/>
          <w:w w:val="99"/>
          <w:kern w:val="2"/>
          <w:position w:val="2"/>
          <w:highlight w:val="none"/>
          <w:lang w:val="zh-CN"/>
        </w:rPr>
        <w:t>27-H1</w:t>
      </w:r>
      <w:r>
        <w:rPr>
          <w:rFonts w:hint="eastAsia" w:ascii="Times New Roman" w:hAnsi="Times New Roman" w:cs="Times New Roman"/>
          <w:color w:val="auto"/>
          <w:spacing w:val="4"/>
          <w:w w:val="99"/>
          <w:kern w:val="2"/>
          <w:position w:val="2"/>
          <w:highlight w:val="none"/>
        </w:rPr>
        <w:t>井场</w:t>
      </w:r>
      <w:r>
        <w:rPr>
          <w:rFonts w:ascii="Times New Roman" w:hAnsi="Times New Roman" w:cs="Times New Roman"/>
          <w:color w:val="auto"/>
          <w:spacing w:val="4"/>
          <w:w w:val="99"/>
          <w:kern w:val="2"/>
          <w:position w:val="2"/>
          <w:highlight w:val="none"/>
          <w:lang w:val="zh-CN"/>
        </w:rPr>
        <w:t>排放的NMHC</w:t>
      </w:r>
      <w:r>
        <w:rPr>
          <w:rFonts w:ascii="Times New Roman" w:hAnsi="Times New Roman" w:cs="Times New Roman"/>
          <w:color w:val="auto"/>
          <w:spacing w:val="4"/>
          <w:w w:val="99"/>
          <w:kern w:val="2"/>
          <w:position w:val="2"/>
          <w:highlight w:val="none"/>
          <w:vertAlign w:val="subscript"/>
          <w:lang w:val="zh-CN"/>
        </w:rPr>
        <w:t>Pmax</w:t>
      </w:r>
      <w:r>
        <w:rPr>
          <w:rFonts w:ascii="Times New Roman" w:hAnsi="Times New Roman" w:cs="Times New Roman"/>
          <w:color w:val="auto"/>
          <w:spacing w:val="4"/>
          <w:w w:val="99"/>
          <w:kern w:val="2"/>
          <w:position w:val="2"/>
          <w:highlight w:val="none"/>
          <w:lang w:val="zh-CN"/>
        </w:rPr>
        <w:t>值为</w:t>
      </w:r>
      <w:r>
        <w:rPr>
          <w:rFonts w:hint="eastAsia" w:ascii="Times New Roman" w:hAnsi="Times New Roman" w:cs="Times New Roman"/>
          <w:color w:val="auto"/>
          <w:spacing w:val="4"/>
          <w:w w:val="99"/>
          <w:kern w:val="2"/>
          <w:position w:val="2"/>
          <w:highlight w:val="none"/>
        </w:rPr>
        <w:t>81.79</w:t>
      </w:r>
      <w:r>
        <w:rPr>
          <w:rFonts w:ascii="Times New Roman" w:hAnsi="Times New Roman" w:cs="Times New Roman"/>
          <w:color w:val="auto"/>
          <w:spacing w:val="4"/>
          <w:w w:val="99"/>
          <w:kern w:val="2"/>
          <w:position w:val="2"/>
          <w:highlight w:val="none"/>
          <w:lang w:val="zh-CN"/>
        </w:rPr>
        <w:t>%，Cmax为</w:t>
      </w:r>
      <w:r>
        <w:rPr>
          <w:rFonts w:hint="eastAsia" w:ascii="Times New Roman" w:hAnsi="Times New Roman" w:cs="Times New Roman"/>
          <w:color w:val="auto"/>
          <w:spacing w:val="4"/>
          <w:w w:val="99"/>
          <w:kern w:val="2"/>
          <w:position w:val="2"/>
          <w:highlight w:val="none"/>
        </w:rPr>
        <w:t>1635.8</w:t>
      </w:r>
      <w:r>
        <w:rPr>
          <w:rFonts w:ascii="Times New Roman" w:hAnsi="Times New Roman" w:cs="Times New Roman"/>
          <w:color w:val="auto"/>
          <w:spacing w:val="4"/>
          <w:w w:val="99"/>
          <w:kern w:val="2"/>
          <w:position w:val="2"/>
          <w:highlight w:val="none"/>
          <w:lang w:val="zh-CN"/>
        </w:rPr>
        <w:t>μg/</w:t>
      </w:r>
      <w:r>
        <w:rPr>
          <w:rFonts w:hint="eastAsia" w:ascii="Times New Roman" w:hAnsi="Times New Roman" w:cs="Times New Roman"/>
          <w:color w:val="auto"/>
          <w:spacing w:val="4"/>
          <w:w w:val="99"/>
          <w:kern w:val="2"/>
          <w:position w:val="2"/>
          <w:highlight w:val="none"/>
        </w:rPr>
        <w:t>m</w:t>
      </w:r>
      <w:r>
        <w:rPr>
          <w:rFonts w:hint="eastAsia" w:ascii="Times New Roman" w:hAnsi="Times New Roman" w:cs="Times New Roman"/>
          <w:color w:val="auto"/>
          <w:spacing w:val="4"/>
          <w:w w:val="99"/>
          <w:kern w:val="2"/>
          <w:position w:val="2"/>
          <w:highlight w:val="none"/>
          <w:vertAlign w:val="superscript"/>
        </w:rPr>
        <w:t>3</w:t>
      </w:r>
      <w:r>
        <w:rPr>
          <w:rFonts w:hint="eastAsia" w:ascii="Times New Roman" w:hAnsi="Times New Roman" w:cs="Times New Roman"/>
          <w:color w:val="auto"/>
          <w:spacing w:val="4"/>
          <w:w w:val="99"/>
          <w:kern w:val="2"/>
          <w:position w:val="2"/>
          <w:highlight w:val="none"/>
        </w:rPr>
        <w:t>，</w:t>
      </w:r>
      <w:r>
        <w:rPr>
          <w:rFonts w:ascii="Times New Roman" w:hAnsi="Times New Roman" w:cs="Times New Roman"/>
          <w:color w:val="auto"/>
          <w:spacing w:val="4"/>
          <w:w w:val="99"/>
          <w:kern w:val="2"/>
          <w:position w:val="2"/>
          <w:highlight w:val="none"/>
          <w:lang w:val="zh-CN"/>
        </w:rPr>
        <w:t>D</w:t>
      </w:r>
      <w:r>
        <w:rPr>
          <w:rFonts w:ascii="Times New Roman" w:hAnsi="Times New Roman" w:cs="Times New Roman"/>
          <w:color w:val="auto"/>
          <w:spacing w:val="4"/>
          <w:w w:val="99"/>
          <w:kern w:val="2"/>
          <w:position w:val="2"/>
          <w:highlight w:val="none"/>
          <w:vertAlign w:val="subscript"/>
          <w:lang w:val="zh-CN"/>
        </w:rPr>
        <w:t>10%</w:t>
      </w:r>
      <w:r>
        <w:rPr>
          <w:rFonts w:ascii="Times New Roman" w:hAnsi="Times New Roman" w:cs="Times New Roman"/>
          <w:color w:val="auto"/>
          <w:spacing w:val="4"/>
          <w:w w:val="99"/>
          <w:kern w:val="2"/>
          <w:position w:val="2"/>
          <w:highlight w:val="none"/>
          <w:lang w:val="zh-CN"/>
        </w:rPr>
        <w:t>为</w:t>
      </w:r>
      <w:r>
        <w:rPr>
          <w:rFonts w:hint="eastAsia" w:ascii="Times New Roman" w:hAnsi="Times New Roman" w:cs="Times New Roman"/>
          <w:color w:val="auto"/>
          <w:spacing w:val="4"/>
          <w:w w:val="99"/>
          <w:kern w:val="2"/>
          <w:position w:val="2"/>
          <w:highlight w:val="none"/>
        </w:rPr>
        <w:t>1775.0</w:t>
      </w:r>
      <w:r>
        <w:rPr>
          <w:rFonts w:ascii="Times New Roman" w:hAnsi="Times New Roman" w:cs="Times New Roman"/>
          <w:color w:val="auto"/>
          <w:spacing w:val="4"/>
          <w:w w:val="99"/>
          <w:kern w:val="2"/>
          <w:position w:val="2"/>
          <w:highlight w:val="none"/>
          <w:lang w:val="zh-CN"/>
        </w:rPr>
        <w:t>m。根据《环境影响评价技术导则 大气环境》（HJ2.2-2018）分级判据，确定本项目大气环境影响评价工作等级为</w:t>
      </w:r>
      <w:r>
        <w:rPr>
          <w:rFonts w:hint="eastAsia" w:ascii="Times New Roman" w:hAnsi="Times New Roman" w:cs="Times New Roman"/>
          <w:color w:val="auto"/>
          <w:spacing w:val="4"/>
          <w:w w:val="99"/>
          <w:kern w:val="2"/>
          <w:position w:val="2"/>
          <w:highlight w:val="none"/>
        </w:rPr>
        <w:t>一</w:t>
      </w:r>
      <w:r>
        <w:rPr>
          <w:rFonts w:ascii="Times New Roman" w:hAnsi="Times New Roman" w:cs="Times New Roman"/>
          <w:color w:val="auto"/>
          <w:spacing w:val="4"/>
          <w:w w:val="99"/>
          <w:kern w:val="2"/>
          <w:position w:val="2"/>
          <w:highlight w:val="none"/>
          <w:lang w:val="zh-CN"/>
        </w:rPr>
        <w:t>级。</w:t>
      </w:r>
    </w:p>
    <w:p w14:paraId="501F01E1">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2.7.1.2评价范围</w:t>
      </w:r>
    </w:p>
    <w:p w14:paraId="5097E31D">
      <w:pPr>
        <w:pStyle w:val="153"/>
        <w:widowControl w:val="0"/>
        <w:spacing w:line="440" w:lineRule="exact"/>
        <w:ind w:firstLine="473"/>
        <w:jc w:val="both"/>
        <w:rPr>
          <w:rFonts w:ascii="Times New Roman" w:hAnsi="Times New Roman"/>
          <w:color w:val="auto"/>
          <w:spacing w:val="4"/>
          <w:w w:val="99"/>
          <w:kern w:val="2"/>
          <w:position w:val="2"/>
          <w:highlight w:val="none"/>
          <w:lang w:val="en-GB"/>
        </w:rPr>
      </w:pPr>
      <w:r>
        <w:rPr>
          <w:rFonts w:hint="eastAsia" w:ascii="Times New Roman" w:hAnsi="Times New Roman"/>
          <w:color w:val="auto"/>
          <w:w w:val="99"/>
          <w:highlight w:val="none"/>
          <w:lang w:val="en-GB"/>
        </w:rPr>
        <w:t>本项目大气评价等级为一级，根据《环境影响评价技术导则 大气环境》（HJ2.2-2018）</w:t>
      </w:r>
      <w:r>
        <w:rPr>
          <w:rFonts w:hint="eastAsia" w:ascii="Times New Roman" w:hAnsi="Times New Roman"/>
          <w:color w:val="auto"/>
          <w:w w:val="99"/>
          <w:highlight w:val="none"/>
          <w:lang w:val="zh-CN"/>
        </w:rPr>
        <w:t>，大气一级评价项目自厂界外延D10%的矩形区域作为大气环境影响评价范围，当D</w:t>
      </w:r>
      <w:r>
        <w:rPr>
          <w:rFonts w:hint="eastAsia" w:ascii="Times New Roman" w:hAnsi="Times New Roman"/>
          <w:color w:val="auto"/>
          <w:w w:val="99"/>
          <w:highlight w:val="none"/>
          <w:vertAlign w:val="subscript"/>
          <w:lang w:val="zh-CN"/>
        </w:rPr>
        <w:t>10%</w:t>
      </w:r>
      <w:r>
        <w:rPr>
          <w:rFonts w:hint="eastAsia" w:ascii="Times New Roman" w:hAnsi="Times New Roman"/>
          <w:color w:val="auto"/>
          <w:w w:val="99"/>
          <w:highlight w:val="none"/>
          <w:lang w:val="zh-CN"/>
        </w:rPr>
        <w:t>小于2.5km时，评价范围边长取5km，</w:t>
      </w:r>
      <w:r>
        <w:rPr>
          <w:rFonts w:hint="eastAsia" w:ascii="Times New Roman" w:hAnsi="Times New Roman"/>
          <w:color w:val="auto"/>
          <w:w w:val="99"/>
          <w:highlight w:val="none"/>
        </w:rPr>
        <w:t>故</w:t>
      </w:r>
      <w:r>
        <w:rPr>
          <w:rFonts w:ascii="Times New Roman" w:hAnsi="Times New Roman"/>
          <w:color w:val="auto"/>
          <w:spacing w:val="4"/>
          <w:w w:val="99"/>
          <w:kern w:val="2"/>
          <w:position w:val="2"/>
          <w:highlight w:val="none"/>
        </w:rPr>
        <w:t>本项目大气</w:t>
      </w:r>
      <w:r>
        <w:rPr>
          <w:rFonts w:ascii="Times New Roman" w:hAnsi="Times New Roman"/>
          <w:color w:val="auto"/>
          <w:spacing w:val="4"/>
          <w:w w:val="99"/>
          <w:kern w:val="2"/>
          <w:position w:val="2"/>
          <w:highlight w:val="none"/>
          <w:lang w:val="en-GB"/>
        </w:rPr>
        <w:t>评价范围为</w:t>
      </w:r>
      <w:r>
        <w:rPr>
          <w:rFonts w:ascii="Times New Roman" w:hAnsi="Times New Roman"/>
          <w:color w:val="auto"/>
          <w:spacing w:val="4"/>
          <w:w w:val="99"/>
          <w:kern w:val="2"/>
          <w:position w:val="2"/>
          <w:highlight w:val="none"/>
        </w:rPr>
        <w:t>拟建井场</w:t>
      </w:r>
      <w:r>
        <w:rPr>
          <w:rFonts w:hint="eastAsia" w:ascii="Times New Roman" w:hAnsi="Times New Roman"/>
          <w:color w:val="auto"/>
          <w:spacing w:val="4"/>
          <w:w w:val="99"/>
          <w:kern w:val="2"/>
          <w:position w:val="2"/>
          <w:highlight w:val="none"/>
        </w:rPr>
        <w:t>为中心边长5km</w:t>
      </w:r>
      <w:r>
        <w:rPr>
          <w:rFonts w:ascii="Times New Roman" w:hAnsi="Times New Roman"/>
          <w:color w:val="auto"/>
          <w:spacing w:val="4"/>
          <w:w w:val="99"/>
          <w:kern w:val="2"/>
          <w:position w:val="2"/>
          <w:highlight w:val="none"/>
        </w:rPr>
        <w:t>的矩形区域的包络范围，评价范围总面积约</w:t>
      </w:r>
      <w:r>
        <w:rPr>
          <w:rFonts w:hint="eastAsia" w:ascii="Times New Roman" w:hAnsi="Times New Roman"/>
          <w:color w:val="auto"/>
          <w:spacing w:val="4"/>
          <w:w w:val="99"/>
          <w:kern w:val="2"/>
          <w:position w:val="2"/>
          <w:highlight w:val="none"/>
        </w:rPr>
        <w:t>25.35</w:t>
      </w:r>
      <w:r>
        <w:rPr>
          <w:rFonts w:ascii="Times New Roman" w:hAnsi="Times New Roman"/>
          <w:color w:val="auto"/>
          <w:spacing w:val="4"/>
          <w:w w:val="99"/>
          <w:kern w:val="2"/>
          <w:position w:val="2"/>
          <w:highlight w:val="none"/>
        </w:rPr>
        <w:t>km</w:t>
      </w:r>
      <w:r>
        <w:rPr>
          <w:rFonts w:ascii="Times New Roman" w:hAnsi="Times New Roman"/>
          <w:color w:val="auto"/>
          <w:spacing w:val="4"/>
          <w:w w:val="99"/>
          <w:kern w:val="2"/>
          <w:position w:val="2"/>
          <w:highlight w:val="none"/>
          <w:vertAlign w:val="superscript"/>
        </w:rPr>
        <w:t>2</w:t>
      </w:r>
      <w:r>
        <w:rPr>
          <w:rFonts w:ascii="Times New Roman" w:hAnsi="Times New Roman"/>
          <w:color w:val="auto"/>
          <w:spacing w:val="4"/>
          <w:w w:val="99"/>
          <w:kern w:val="2"/>
          <w:position w:val="2"/>
          <w:highlight w:val="none"/>
          <w:lang w:val="en-GB"/>
        </w:rPr>
        <w:t>。</w:t>
      </w:r>
    </w:p>
    <w:p w14:paraId="6DF0A939">
      <w:pPr>
        <w:pStyle w:val="7"/>
        <w:widowControl w:val="0"/>
        <w:spacing w:before="60" w:after="60" w:line="440" w:lineRule="exact"/>
        <w:jc w:val="both"/>
        <w:rPr>
          <w:rFonts w:eastAsia="宋体"/>
          <w:b/>
          <w:color w:val="auto"/>
          <w:w w:val="99"/>
          <w:kern w:val="2"/>
          <w:sz w:val="24"/>
          <w:szCs w:val="24"/>
          <w:highlight w:val="none"/>
        </w:rPr>
      </w:pPr>
      <w:bookmarkStart w:id="295" w:name="_Toc77067636"/>
      <w:bookmarkStart w:id="296" w:name="_Toc17898141"/>
      <w:bookmarkStart w:id="297" w:name="_Toc80971354"/>
      <w:bookmarkStart w:id="298" w:name="_Toc57976651"/>
      <w:bookmarkStart w:id="299" w:name="_Toc70050152"/>
      <w:bookmarkStart w:id="300" w:name="_Toc57203226"/>
      <w:bookmarkStart w:id="301" w:name="_Toc24214"/>
      <w:bookmarkStart w:id="302" w:name="_Toc57707896"/>
      <w:bookmarkStart w:id="303" w:name="_Toc83209449"/>
      <w:bookmarkStart w:id="304" w:name="_Toc80588232"/>
      <w:bookmarkStart w:id="305" w:name="_Toc61597198"/>
      <w:bookmarkStart w:id="306" w:name="_Toc76976220"/>
      <w:bookmarkStart w:id="307" w:name="_Toc186444252"/>
      <w:bookmarkStart w:id="308" w:name="_Toc67860105"/>
      <w:bookmarkStart w:id="309" w:name="_Toc78816437"/>
      <w:r>
        <w:rPr>
          <w:rFonts w:eastAsia="宋体"/>
          <w:b/>
          <w:color w:val="auto"/>
          <w:w w:val="99"/>
          <w:kern w:val="2"/>
          <w:sz w:val="24"/>
          <w:szCs w:val="24"/>
          <w:highlight w:val="none"/>
        </w:rPr>
        <w:t>2.7.2地表水</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14:paraId="4498D9CE">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2.7.2.1评价等级</w:t>
      </w:r>
    </w:p>
    <w:p w14:paraId="36E89578">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《环境影响评价技术导则 地表水环境》（HJ2.3-2018）规定，建设项目地表水环境影响评价等级按照影响类型、排放方式、排放量或影响情况、受纳水体环境质量现状、水环境保护目标等综合确定。</w:t>
      </w:r>
    </w:p>
    <w:p w14:paraId="13BAEA13">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本项目为水污染影响型建设项目，其分级是根据排放方式和废水排放量划定排放等级。</w:t>
      </w:r>
    </w:p>
    <w:p w14:paraId="04B28757">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直接排放建设项目评价等级分为一级、二级和三级A，根据废水排放量、水污染物污染当量数确定；间接排放建设项目评价等级为三级B。</w:t>
      </w:r>
    </w:p>
    <w:p w14:paraId="4FFEBD11">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地表水环境评价等级判据见表2.7-</w:t>
      </w:r>
      <w:r>
        <w:rPr>
          <w:rFonts w:hint="eastAsia" w:ascii="Times New Roman" w:hAnsi="Times New Roman"/>
          <w:color w:val="auto"/>
          <w:spacing w:val="4"/>
          <w:w w:val="99"/>
          <w:kern w:val="2"/>
          <w:position w:val="2"/>
          <w:highlight w:val="none"/>
        </w:rPr>
        <w:t>5</w:t>
      </w:r>
      <w:r>
        <w:rPr>
          <w:rFonts w:ascii="Times New Roman" w:hAnsi="Times New Roman"/>
          <w:color w:val="auto"/>
          <w:spacing w:val="4"/>
          <w:w w:val="99"/>
          <w:kern w:val="2"/>
          <w:position w:val="2"/>
          <w:highlight w:val="none"/>
        </w:rPr>
        <w:t>。</w:t>
      </w:r>
    </w:p>
    <w:p w14:paraId="7AA8124F">
      <w:pPr>
        <w:pStyle w:val="153"/>
        <w:widowControl w:val="0"/>
        <w:spacing w:line="440" w:lineRule="exact"/>
        <w:ind w:firstLine="474"/>
        <w:jc w:val="both"/>
        <w:rPr>
          <w:rFonts w:ascii="Times New Roman" w:hAnsi="Times New Roman" w:eastAsiaTheme="minorEastAsia"/>
          <w:snapToGrid w:val="0"/>
          <w:color w:val="auto"/>
          <w:w w:val="99"/>
          <w:highlight w:val="none"/>
        </w:rPr>
      </w:pPr>
      <w:r>
        <w:rPr>
          <w:rFonts w:ascii="Times New Roman" w:hAnsi="Times New Roman" w:eastAsiaTheme="minorEastAsia"/>
          <w:b/>
          <w:snapToGrid w:val="0"/>
          <w:color w:val="auto"/>
          <w:w w:val="99"/>
          <w:highlight w:val="none"/>
        </w:rPr>
        <w:t>表2.7-</w:t>
      </w:r>
      <w:r>
        <w:rPr>
          <w:rFonts w:hint="eastAsia" w:ascii="Times New Roman" w:hAnsi="Times New Roman" w:eastAsiaTheme="minorEastAsia"/>
          <w:b/>
          <w:snapToGrid w:val="0"/>
          <w:color w:val="auto"/>
          <w:w w:val="99"/>
          <w:highlight w:val="none"/>
        </w:rPr>
        <w:t>5</w:t>
      </w:r>
      <w:r>
        <w:rPr>
          <w:rFonts w:ascii="Times New Roman" w:hAnsi="Times New Roman" w:eastAsiaTheme="minorEastAsia"/>
          <w:b/>
          <w:color w:val="auto"/>
          <w:w w:val="99"/>
          <w:kern w:val="2"/>
          <w:highlight w:val="none"/>
        </w:rPr>
        <w:t xml:space="preserve">    地表水环境影响评价分级判据</w:t>
      </w:r>
    </w:p>
    <w:tbl>
      <w:tblPr>
        <w:tblStyle w:val="8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39"/>
        <w:gridCol w:w="1425"/>
        <w:gridCol w:w="5223"/>
      </w:tblGrid>
      <w:tr w14:paraId="28A02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1" w:type="pct"/>
            <w:vMerge w:val="restart"/>
            <w:vAlign w:val="center"/>
          </w:tcPr>
          <w:p w14:paraId="1CD35870">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lang w:val="zh-CN"/>
              </w:rPr>
            </w:pPr>
            <w:r>
              <w:rPr>
                <w:rFonts w:ascii="Times New Roman" w:hAnsi="Times New Roman" w:cs="Times New Roman" w:eastAsiaTheme="minorEastAsia"/>
                <w:snapToGrid w:val="0"/>
                <w:color w:val="auto"/>
                <w:w w:val="99"/>
                <w:sz w:val="21"/>
                <w:highlight w:val="none"/>
              </w:rPr>
              <w:t>评价等级</w:t>
            </w:r>
          </w:p>
        </w:tc>
        <w:tc>
          <w:tcPr>
            <w:tcW w:w="3579" w:type="pct"/>
            <w:gridSpan w:val="2"/>
            <w:vAlign w:val="center"/>
          </w:tcPr>
          <w:p w14:paraId="72F47E5A">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判定依据</w:t>
            </w:r>
          </w:p>
        </w:tc>
      </w:tr>
      <w:tr w14:paraId="6A728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1" w:type="pct"/>
            <w:vMerge w:val="continue"/>
            <w:vAlign w:val="center"/>
          </w:tcPr>
          <w:p w14:paraId="24450522">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lang w:val="zh-CN"/>
              </w:rPr>
            </w:pPr>
          </w:p>
        </w:tc>
        <w:tc>
          <w:tcPr>
            <w:tcW w:w="767" w:type="pct"/>
            <w:vAlign w:val="center"/>
          </w:tcPr>
          <w:p w14:paraId="06E2ABBE">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lang w:val="zh-CN"/>
              </w:rPr>
            </w:pPr>
            <w:r>
              <w:rPr>
                <w:rFonts w:ascii="Times New Roman" w:hAnsi="Times New Roman" w:cs="Times New Roman" w:eastAsiaTheme="minorEastAsia"/>
                <w:snapToGrid w:val="0"/>
                <w:color w:val="auto"/>
                <w:w w:val="99"/>
                <w:sz w:val="21"/>
                <w:highlight w:val="none"/>
              </w:rPr>
              <w:t>排放方式</w:t>
            </w:r>
          </w:p>
        </w:tc>
        <w:tc>
          <w:tcPr>
            <w:tcW w:w="2812" w:type="pct"/>
            <w:vAlign w:val="center"/>
          </w:tcPr>
          <w:p w14:paraId="40E348F4">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废水排放量Q/（m</w:t>
            </w:r>
            <w:r>
              <w:rPr>
                <w:rFonts w:ascii="Times New Roman" w:hAnsi="Times New Roman" w:cs="Times New Roman" w:eastAsiaTheme="minorEastAsia"/>
                <w:snapToGrid w:val="0"/>
                <w:color w:val="auto"/>
                <w:w w:val="99"/>
                <w:sz w:val="21"/>
                <w:highlight w:val="none"/>
                <w:vertAlign w:val="superscript"/>
              </w:rPr>
              <w:t>3</w:t>
            </w:r>
            <w:r>
              <w:rPr>
                <w:rFonts w:ascii="Times New Roman" w:hAnsi="Times New Roman" w:cs="Times New Roman" w:eastAsiaTheme="minorEastAsia"/>
                <w:snapToGrid w:val="0"/>
                <w:color w:val="auto"/>
                <w:w w:val="99"/>
                <w:sz w:val="21"/>
                <w:highlight w:val="none"/>
              </w:rPr>
              <w:t>/d）;水污染物当量数W/（无量纲）</w:t>
            </w:r>
          </w:p>
        </w:tc>
      </w:tr>
      <w:tr w14:paraId="0EA5F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1" w:type="pct"/>
            <w:vAlign w:val="center"/>
          </w:tcPr>
          <w:p w14:paraId="462E4417">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lang w:val="zh-CN"/>
              </w:rPr>
            </w:pPr>
            <w:r>
              <w:rPr>
                <w:rFonts w:ascii="Times New Roman" w:hAnsi="Times New Roman" w:cs="Times New Roman" w:eastAsiaTheme="minorEastAsia"/>
                <w:snapToGrid w:val="0"/>
                <w:color w:val="auto"/>
                <w:w w:val="99"/>
                <w:sz w:val="21"/>
                <w:highlight w:val="none"/>
              </w:rPr>
              <w:t>一级</w:t>
            </w:r>
          </w:p>
        </w:tc>
        <w:tc>
          <w:tcPr>
            <w:tcW w:w="767" w:type="pct"/>
            <w:vAlign w:val="center"/>
          </w:tcPr>
          <w:p w14:paraId="77F70E34">
            <w:pPr>
              <w:pStyle w:val="60"/>
              <w:autoSpaceDE w:val="0"/>
              <w:adjustRightInd w:val="0"/>
              <w:snapToGrid w:val="0"/>
              <w:spacing w:line="320" w:lineRule="exact"/>
              <w:ind w:left="0" w:firstLine="0"/>
              <w:jc w:val="center"/>
              <w:textAlignment w:val="center"/>
              <w:rPr>
                <w:rFonts w:hint="default" w:ascii="Times New Roman" w:eastAsiaTheme="minorEastAsia"/>
                <w:snapToGrid w:val="0"/>
                <w:color w:val="auto"/>
                <w:w w:val="99"/>
                <w:sz w:val="21"/>
                <w:highlight w:val="none"/>
                <w:lang w:val="zh-CN"/>
              </w:rPr>
            </w:pPr>
            <w:r>
              <w:rPr>
                <w:rFonts w:hint="default" w:ascii="Times New Roman" w:eastAsiaTheme="minorEastAsia"/>
                <w:snapToGrid w:val="0"/>
                <w:color w:val="auto"/>
                <w:w w:val="99"/>
                <w:sz w:val="21"/>
                <w:highlight w:val="none"/>
                <w:lang w:val="zh-CN"/>
              </w:rPr>
              <w:t>直接排放</w:t>
            </w:r>
          </w:p>
        </w:tc>
        <w:tc>
          <w:tcPr>
            <w:tcW w:w="2812" w:type="pct"/>
            <w:vAlign w:val="center"/>
          </w:tcPr>
          <w:p w14:paraId="5BE8D7A7">
            <w:pPr>
              <w:pStyle w:val="60"/>
              <w:autoSpaceDE w:val="0"/>
              <w:adjustRightInd w:val="0"/>
              <w:snapToGrid w:val="0"/>
              <w:spacing w:line="320" w:lineRule="exact"/>
              <w:ind w:left="0" w:firstLine="0"/>
              <w:jc w:val="center"/>
              <w:textAlignment w:val="center"/>
              <w:rPr>
                <w:rFonts w:hint="default" w:ascii="Times New Roman" w:eastAsiaTheme="minorEastAsia"/>
                <w:snapToGrid w:val="0"/>
                <w:color w:val="auto"/>
                <w:w w:val="99"/>
                <w:sz w:val="21"/>
                <w:highlight w:val="none"/>
                <w:lang w:val="zh-CN"/>
              </w:rPr>
            </w:pPr>
            <w:r>
              <w:rPr>
                <w:rFonts w:hint="default" w:ascii="Times New Roman" w:eastAsiaTheme="minorEastAsia"/>
                <w:snapToGrid w:val="0"/>
                <w:color w:val="auto"/>
                <w:w w:val="99"/>
                <w:sz w:val="21"/>
                <w:highlight w:val="none"/>
                <w:lang w:val="zh-CN"/>
              </w:rPr>
              <w:t>Q≥20000或W≥600000</w:t>
            </w:r>
          </w:p>
        </w:tc>
      </w:tr>
      <w:tr w14:paraId="73DDE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1" w:type="pct"/>
            <w:vAlign w:val="center"/>
          </w:tcPr>
          <w:p w14:paraId="101EC25E">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lang w:val="zh-CN"/>
              </w:rPr>
            </w:pPr>
            <w:r>
              <w:rPr>
                <w:rFonts w:ascii="Times New Roman" w:hAnsi="Times New Roman" w:cs="Times New Roman" w:eastAsiaTheme="minorEastAsia"/>
                <w:snapToGrid w:val="0"/>
                <w:color w:val="auto"/>
                <w:w w:val="99"/>
                <w:sz w:val="21"/>
                <w:highlight w:val="none"/>
              </w:rPr>
              <w:t>二级</w:t>
            </w:r>
          </w:p>
        </w:tc>
        <w:tc>
          <w:tcPr>
            <w:tcW w:w="767" w:type="pct"/>
            <w:vAlign w:val="center"/>
          </w:tcPr>
          <w:p w14:paraId="0713516A">
            <w:pPr>
              <w:spacing w:line="320" w:lineRule="exact"/>
              <w:jc w:val="center"/>
              <w:rPr>
                <w:rFonts w:ascii="Times New Roman" w:hAnsi="Times New Roman" w:cs="Times New Roman" w:eastAsiaTheme="minorEastAsia"/>
                <w:color w:val="auto"/>
                <w:w w:val="99"/>
                <w:highlight w:val="none"/>
              </w:rPr>
            </w:pPr>
            <w:r>
              <w:rPr>
                <w:rFonts w:ascii="Times New Roman" w:hAnsi="Times New Roman" w:cs="Times New Roman" w:eastAsiaTheme="minorEastAsia"/>
                <w:snapToGrid w:val="0"/>
                <w:color w:val="auto"/>
                <w:w w:val="99"/>
                <w:sz w:val="21"/>
                <w:highlight w:val="none"/>
                <w:lang w:val="zh-CN"/>
              </w:rPr>
              <w:t>直接排放</w:t>
            </w:r>
          </w:p>
        </w:tc>
        <w:tc>
          <w:tcPr>
            <w:tcW w:w="2812" w:type="pct"/>
            <w:vAlign w:val="center"/>
          </w:tcPr>
          <w:p w14:paraId="0B270B01">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其他</w:t>
            </w:r>
          </w:p>
        </w:tc>
      </w:tr>
      <w:tr w14:paraId="1CB0B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1" w:type="pct"/>
            <w:vAlign w:val="center"/>
          </w:tcPr>
          <w:p w14:paraId="221C3309">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lang w:val="zh-CN"/>
              </w:rPr>
            </w:pPr>
            <w:r>
              <w:rPr>
                <w:rFonts w:ascii="Times New Roman" w:hAnsi="Times New Roman" w:cs="Times New Roman" w:eastAsiaTheme="minorEastAsia"/>
                <w:snapToGrid w:val="0"/>
                <w:color w:val="auto"/>
                <w:w w:val="99"/>
                <w:sz w:val="21"/>
                <w:highlight w:val="none"/>
              </w:rPr>
              <w:t>三级A</w:t>
            </w:r>
          </w:p>
        </w:tc>
        <w:tc>
          <w:tcPr>
            <w:tcW w:w="767" w:type="pct"/>
            <w:vAlign w:val="center"/>
          </w:tcPr>
          <w:p w14:paraId="2EDEB038">
            <w:pPr>
              <w:spacing w:line="320" w:lineRule="exact"/>
              <w:jc w:val="center"/>
              <w:rPr>
                <w:rFonts w:ascii="Times New Roman" w:hAnsi="Times New Roman" w:cs="Times New Roman" w:eastAsiaTheme="minorEastAsia"/>
                <w:color w:val="auto"/>
                <w:w w:val="99"/>
                <w:highlight w:val="none"/>
              </w:rPr>
            </w:pPr>
            <w:r>
              <w:rPr>
                <w:rFonts w:ascii="Times New Roman" w:hAnsi="Times New Roman" w:cs="Times New Roman" w:eastAsiaTheme="minorEastAsia"/>
                <w:snapToGrid w:val="0"/>
                <w:color w:val="auto"/>
                <w:w w:val="99"/>
                <w:sz w:val="21"/>
                <w:highlight w:val="none"/>
                <w:lang w:val="zh-CN"/>
              </w:rPr>
              <w:t>直接排放</w:t>
            </w:r>
          </w:p>
        </w:tc>
        <w:tc>
          <w:tcPr>
            <w:tcW w:w="2812" w:type="pct"/>
            <w:vAlign w:val="center"/>
          </w:tcPr>
          <w:p w14:paraId="301B26EB">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Q＜200且W＜6000</w:t>
            </w:r>
          </w:p>
        </w:tc>
      </w:tr>
      <w:tr w14:paraId="40A2E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1" w:type="pct"/>
            <w:vAlign w:val="center"/>
          </w:tcPr>
          <w:p w14:paraId="43A76362">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三级B</w:t>
            </w:r>
          </w:p>
        </w:tc>
        <w:tc>
          <w:tcPr>
            <w:tcW w:w="767" w:type="pct"/>
            <w:vAlign w:val="center"/>
          </w:tcPr>
          <w:p w14:paraId="079C76DB">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lang w:val="zh-CN"/>
              </w:rPr>
              <w:t>间接排放</w:t>
            </w:r>
          </w:p>
        </w:tc>
        <w:tc>
          <w:tcPr>
            <w:tcW w:w="2812" w:type="pct"/>
            <w:vAlign w:val="center"/>
          </w:tcPr>
          <w:p w14:paraId="18885147">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w:t>
            </w:r>
          </w:p>
        </w:tc>
      </w:tr>
      <w:tr w14:paraId="5B0EF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3"/>
            <w:vAlign w:val="center"/>
          </w:tcPr>
          <w:p w14:paraId="438EEBDA">
            <w:pPr>
              <w:widowControl w:val="0"/>
              <w:autoSpaceDE w:val="0"/>
              <w:adjustRightInd w:val="0"/>
              <w:snapToGrid w:val="0"/>
              <w:spacing w:line="320" w:lineRule="exact"/>
              <w:jc w:val="both"/>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注1：水污染物当量数等于该污染物的年排放量除以该污染物的污染当量值（见附录 A），计算排放污染物的污染物当量数，应区分第一类水污染物和其他类水污染物，统计第一类污染物当量数总和，然后与其他类污染物按照污染物当量数从大到小排序，取最大当量数作为建设项目评价等级确定的依据。</w:t>
            </w:r>
          </w:p>
          <w:p w14:paraId="5CFAF2B8">
            <w:pPr>
              <w:widowControl w:val="0"/>
              <w:autoSpaceDE w:val="0"/>
              <w:adjustRightInd w:val="0"/>
              <w:snapToGrid w:val="0"/>
              <w:spacing w:line="320" w:lineRule="exact"/>
              <w:jc w:val="both"/>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注2：废水排放量按行业排放标准中规定的废水种类统计，没有相关行业排放标准要求的通过工程分析合理确定，应统计含热量大的冷却水的排放量，可不统计间接冷却水、循环水以及其他含污染物极少的清净下水的排放量。</w:t>
            </w:r>
          </w:p>
          <w:p w14:paraId="223E6598">
            <w:pPr>
              <w:widowControl w:val="0"/>
              <w:autoSpaceDE w:val="0"/>
              <w:adjustRightInd w:val="0"/>
              <w:snapToGrid w:val="0"/>
              <w:spacing w:line="320" w:lineRule="exact"/>
              <w:jc w:val="both"/>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注3：厂区存在堆积物（露天堆放的原料、燃料、废渣等以及垃圾堆放场）、降尘污染的，应将初期雨污水纳入废水排放量，相应的主要污染物纳入水污染当量计算。</w:t>
            </w:r>
          </w:p>
          <w:p w14:paraId="4ECC4F82">
            <w:pPr>
              <w:widowControl w:val="0"/>
              <w:autoSpaceDE w:val="0"/>
              <w:adjustRightInd w:val="0"/>
              <w:snapToGrid w:val="0"/>
              <w:spacing w:line="320" w:lineRule="exact"/>
              <w:jc w:val="both"/>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注4：建设项目直接排放第一类污染物的，其评价等级为一级；建设项目直接排放的污染物为受纳水体超标因子的，评价等级不低于二级。</w:t>
            </w:r>
          </w:p>
          <w:p w14:paraId="0F131F85">
            <w:pPr>
              <w:widowControl w:val="0"/>
              <w:autoSpaceDE w:val="0"/>
              <w:adjustRightInd w:val="0"/>
              <w:snapToGrid w:val="0"/>
              <w:spacing w:line="320" w:lineRule="exact"/>
              <w:jc w:val="both"/>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注5：直接排放受纳水体影响范围涉及饮用水水源保护区、饮用水取水口、重点保护与珍稀水生生物的栖息地、重要水生生物的自然产卵场等保护目标时，评价等级不低于二级。</w:t>
            </w:r>
          </w:p>
          <w:p w14:paraId="6BACFD5E">
            <w:pPr>
              <w:widowControl w:val="0"/>
              <w:autoSpaceDE w:val="0"/>
              <w:adjustRightInd w:val="0"/>
              <w:snapToGrid w:val="0"/>
              <w:spacing w:line="320" w:lineRule="exact"/>
              <w:jc w:val="both"/>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注6：建设项目向河流、湖库排放温排水引起受纳水体水温变化超过水环境质量标准要求，且评价范围有水温敏感目标时，评价等级为一级。</w:t>
            </w:r>
          </w:p>
          <w:p w14:paraId="6680E6FF">
            <w:pPr>
              <w:widowControl w:val="0"/>
              <w:autoSpaceDE w:val="0"/>
              <w:adjustRightInd w:val="0"/>
              <w:snapToGrid w:val="0"/>
              <w:spacing w:line="320" w:lineRule="exact"/>
              <w:jc w:val="both"/>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注7：建设项目利用海水作为调节温度介质，排水量≥500万m</w:t>
            </w:r>
            <w:r>
              <w:rPr>
                <w:rFonts w:ascii="Times New Roman" w:hAnsi="Times New Roman" w:cs="Times New Roman" w:eastAsiaTheme="minorEastAsia"/>
                <w:snapToGrid w:val="0"/>
                <w:color w:val="auto"/>
                <w:w w:val="99"/>
                <w:sz w:val="21"/>
                <w:highlight w:val="none"/>
                <w:vertAlign w:val="superscript"/>
              </w:rPr>
              <w:t>3</w:t>
            </w:r>
            <w:r>
              <w:rPr>
                <w:rFonts w:ascii="Times New Roman" w:hAnsi="Times New Roman" w:cs="Times New Roman" w:eastAsiaTheme="minorEastAsia"/>
                <w:snapToGrid w:val="0"/>
                <w:color w:val="auto"/>
                <w:w w:val="99"/>
                <w:sz w:val="21"/>
                <w:highlight w:val="none"/>
              </w:rPr>
              <w:t>/d，评价等级为一级；排水量＜500 万m</w:t>
            </w:r>
            <w:r>
              <w:rPr>
                <w:rFonts w:ascii="Times New Roman" w:hAnsi="Times New Roman" w:cs="Times New Roman" w:eastAsiaTheme="minorEastAsia"/>
                <w:snapToGrid w:val="0"/>
                <w:color w:val="auto"/>
                <w:w w:val="99"/>
                <w:sz w:val="21"/>
                <w:highlight w:val="none"/>
                <w:vertAlign w:val="superscript"/>
              </w:rPr>
              <w:t>3</w:t>
            </w:r>
            <w:r>
              <w:rPr>
                <w:rFonts w:ascii="Times New Roman" w:hAnsi="Times New Roman" w:cs="Times New Roman" w:eastAsiaTheme="minorEastAsia"/>
                <w:snapToGrid w:val="0"/>
                <w:color w:val="auto"/>
                <w:w w:val="99"/>
                <w:sz w:val="21"/>
                <w:highlight w:val="none"/>
              </w:rPr>
              <w:t>/d，评价等级为二级。</w:t>
            </w:r>
          </w:p>
          <w:p w14:paraId="7A2ABB8B">
            <w:pPr>
              <w:widowControl w:val="0"/>
              <w:autoSpaceDE w:val="0"/>
              <w:adjustRightInd w:val="0"/>
              <w:snapToGrid w:val="0"/>
              <w:spacing w:line="320" w:lineRule="exact"/>
              <w:jc w:val="both"/>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注8：仅涉及清净下水排放的，如其排放水质满足受纳水体水环境质量标准要求的，评价等级为三级A。</w:t>
            </w:r>
          </w:p>
          <w:p w14:paraId="5469CDD0">
            <w:pPr>
              <w:widowControl w:val="0"/>
              <w:autoSpaceDE w:val="0"/>
              <w:adjustRightInd w:val="0"/>
              <w:snapToGrid w:val="0"/>
              <w:spacing w:line="320" w:lineRule="exact"/>
              <w:jc w:val="both"/>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注9：依托现有排放口，且对外环境未新增排放污染物的直接排放建设项目，评价等级参照间接排放，定为三级 B。</w:t>
            </w:r>
          </w:p>
          <w:p w14:paraId="7A098A63">
            <w:pPr>
              <w:widowControl w:val="0"/>
              <w:autoSpaceDE w:val="0"/>
              <w:adjustRightInd w:val="0"/>
              <w:snapToGrid w:val="0"/>
              <w:spacing w:line="320" w:lineRule="exact"/>
              <w:jc w:val="both"/>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注10：</w:t>
            </w:r>
            <w:r>
              <w:rPr>
                <w:rFonts w:ascii="Times New Roman" w:hAnsi="Times New Roman" w:cs="Times New Roman" w:eastAsiaTheme="minorEastAsia"/>
                <w:b/>
                <w:snapToGrid w:val="0"/>
                <w:color w:val="auto"/>
                <w:w w:val="99"/>
                <w:sz w:val="21"/>
                <w:highlight w:val="none"/>
              </w:rPr>
              <w:t>建设项目生产工艺中有废水产生，但作为回水利用，不排放到外环境的，按三级B评价</w:t>
            </w:r>
            <w:r>
              <w:rPr>
                <w:rFonts w:ascii="Times New Roman" w:hAnsi="Times New Roman" w:cs="Times New Roman" w:eastAsiaTheme="minorEastAsia"/>
                <w:snapToGrid w:val="0"/>
                <w:color w:val="auto"/>
                <w:w w:val="99"/>
                <w:sz w:val="21"/>
                <w:highlight w:val="none"/>
              </w:rPr>
              <w:t>。</w:t>
            </w:r>
          </w:p>
        </w:tc>
      </w:tr>
    </w:tbl>
    <w:p w14:paraId="67760566">
      <w:pPr>
        <w:widowControl w:val="0"/>
        <w:spacing w:line="440" w:lineRule="exact"/>
        <w:ind w:firstLine="490" w:firstLineChars="200"/>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根据工程分析，施工期生活污水依托周边</w:t>
      </w:r>
      <w:r>
        <w:rPr>
          <w:rFonts w:hint="eastAsia" w:ascii="Times New Roman" w:hAnsi="Times New Roman"/>
          <w:color w:val="auto"/>
          <w:spacing w:val="4"/>
          <w:w w:val="99"/>
          <w:kern w:val="2"/>
          <w:position w:val="2"/>
          <w:highlight w:val="none"/>
        </w:rPr>
        <w:t>集气站现有生活污水收集措设施</w:t>
      </w:r>
      <w:r>
        <w:rPr>
          <w:rFonts w:ascii="Times New Roman" w:hAnsi="Times New Roman"/>
          <w:color w:val="auto"/>
          <w:spacing w:val="4"/>
          <w:w w:val="99"/>
          <w:kern w:val="2"/>
          <w:position w:val="2"/>
          <w:highlight w:val="none"/>
        </w:rPr>
        <w:t>，</w:t>
      </w:r>
      <w:r>
        <w:rPr>
          <w:rFonts w:hint="eastAsia" w:ascii="Times New Roman" w:hAnsi="Times New Roman"/>
          <w:color w:val="auto"/>
          <w:w w:val="99"/>
          <w:highlight w:val="none"/>
        </w:rPr>
        <w:t>定期由大庆石油管理局有限公司庆南工矿服务公司红岗分公司拉运至大庆红岗区西巷污水回收站，管输至南区污水处理厂进行处理</w:t>
      </w:r>
      <w:r>
        <w:rPr>
          <w:rFonts w:ascii="Times New Roman" w:hAnsi="Times New Roman"/>
          <w:color w:val="auto"/>
          <w:spacing w:val="4"/>
          <w:w w:val="99"/>
          <w:kern w:val="2"/>
          <w:position w:val="2"/>
          <w:highlight w:val="none"/>
        </w:rPr>
        <w:t>。</w:t>
      </w:r>
      <w:r>
        <w:rPr>
          <w:rFonts w:hint="eastAsia" w:ascii="Times New Roman" w:hAnsi="Times New Roman"/>
          <w:color w:val="auto"/>
          <w:spacing w:val="4"/>
          <w:w w:val="99"/>
          <w:kern w:val="2"/>
          <w:position w:val="2"/>
          <w:highlight w:val="none"/>
        </w:rPr>
        <w:t>施工期</w:t>
      </w:r>
      <w:r>
        <w:rPr>
          <w:rFonts w:ascii="Times New Roman" w:hAnsi="Times New Roman"/>
          <w:color w:val="auto"/>
          <w:spacing w:val="4"/>
          <w:w w:val="99"/>
          <w:kern w:val="2"/>
          <w:position w:val="2"/>
          <w:highlight w:val="none"/>
        </w:rPr>
        <w:t>管线试压废水</w:t>
      </w:r>
      <w:r>
        <w:rPr>
          <w:rFonts w:hint="eastAsia" w:ascii="Times New Roman" w:hAnsi="Times New Roman"/>
          <w:color w:val="auto"/>
          <w:spacing w:val="4"/>
          <w:w w:val="99"/>
          <w:kern w:val="2"/>
          <w:position w:val="2"/>
          <w:highlight w:val="none"/>
        </w:rPr>
        <w:t>与运营期气田采出水最终均进入</w:t>
      </w:r>
      <w:r>
        <w:rPr>
          <w:rFonts w:ascii="Times New Roman" w:hAnsi="Times New Roman"/>
          <w:color w:val="auto"/>
          <w:spacing w:val="4"/>
          <w:w w:val="99"/>
          <w:kern w:val="2"/>
          <w:position w:val="2"/>
          <w:highlight w:val="none"/>
        </w:rPr>
        <w:t>升一联气田污水预处理站处理</w:t>
      </w:r>
      <w:r>
        <w:rPr>
          <w:rFonts w:hint="eastAsia" w:ascii="Times New Roman" w:hAnsi="Times New Roman"/>
          <w:color w:val="auto"/>
          <w:spacing w:val="4"/>
          <w:w w:val="99"/>
          <w:kern w:val="2"/>
          <w:position w:val="2"/>
          <w:highlight w:val="none"/>
        </w:rPr>
        <w:t>，</w:t>
      </w:r>
      <w:r>
        <w:rPr>
          <w:rFonts w:ascii="Times New Roman" w:hAnsi="Times New Roman"/>
          <w:color w:val="auto"/>
          <w:spacing w:val="4"/>
          <w:w w:val="99"/>
          <w:kern w:val="2"/>
          <w:position w:val="2"/>
          <w:highlight w:val="none"/>
        </w:rPr>
        <w:t>满足</w:t>
      </w:r>
      <w:r>
        <w:rPr>
          <w:rFonts w:ascii="Times New Roman" w:hAnsi="Times New Roman" w:cs="Times New Roman"/>
          <w:color w:val="auto"/>
          <w:w w:val="99"/>
          <w:kern w:val="2"/>
          <w:highlight w:val="none"/>
        </w:rPr>
        <w:t>《大庆油田地面工程建设设计规定》（Q/SYDQ 0639-2015）限值“含油量≤10mg/L、悬浮固体含量≤5mg/L、粒径中值≤2μm”</w:t>
      </w:r>
      <w:r>
        <w:rPr>
          <w:rFonts w:hint="eastAsia" w:ascii="Times New Roman" w:hAnsi="Times New Roman" w:cs="Times New Roman"/>
          <w:color w:val="auto"/>
          <w:w w:val="99"/>
          <w:kern w:val="2"/>
          <w:highlight w:val="none"/>
          <w:lang w:eastAsia="zh-CN"/>
        </w:rPr>
        <w:t>，</w:t>
      </w:r>
      <w:r>
        <w:rPr>
          <w:rFonts w:hint="eastAsia" w:ascii="Times New Roman" w:hAnsi="Times New Roman" w:cs="Times New Roman"/>
          <w:color w:val="auto"/>
          <w:w w:val="99"/>
          <w:kern w:val="2"/>
          <w:highlight w:val="none"/>
          <w:lang w:val="en-US" w:eastAsia="zh-CN"/>
        </w:rPr>
        <w:t>同时满足</w:t>
      </w:r>
      <w:r>
        <w:rPr>
          <w:rFonts w:ascii="Times New Roman" w:hAnsi="Times New Roman" w:cs="Times New Roman"/>
          <w:bCs/>
          <w:color w:val="auto"/>
          <w:w w:val="99"/>
          <w:highlight w:val="none"/>
        </w:rPr>
        <w:t>《碎屑岩油藏注水水质指标技术要求及分析方法》(SY/T5329-2022)中标准限值，回注地下</w:t>
      </w:r>
      <w:r>
        <w:rPr>
          <w:rFonts w:hint="eastAsia" w:ascii="Times New Roman" w:hAnsi="Times New Roman"/>
          <w:color w:val="auto"/>
          <w:spacing w:val="4"/>
          <w:w w:val="99"/>
          <w:kern w:val="2"/>
          <w:position w:val="2"/>
          <w:highlight w:val="none"/>
        </w:rPr>
        <w:t>，不外排</w:t>
      </w:r>
      <w:r>
        <w:rPr>
          <w:rFonts w:ascii="Times New Roman" w:hAnsi="Times New Roman"/>
          <w:color w:val="auto"/>
          <w:spacing w:val="4"/>
          <w:w w:val="99"/>
          <w:kern w:val="2"/>
          <w:position w:val="2"/>
          <w:highlight w:val="none"/>
        </w:rPr>
        <w:t>。</w:t>
      </w:r>
    </w:p>
    <w:p w14:paraId="35BA0BCC">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综上所述，本项目</w:t>
      </w:r>
      <w:r>
        <w:rPr>
          <w:rFonts w:hint="eastAsia" w:ascii="Times New Roman" w:hAnsi="Times New Roman"/>
          <w:color w:val="auto"/>
          <w:spacing w:val="4"/>
          <w:w w:val="99"/>
          <w:kern w:val="2"/>
          <w:position w:val="2"/>
          <w:highlight w:val="none"/>
        </w:rPr>
        <w:t>生产</w:t>
      </w:r>
      <w:r>
        <w:rPr>
          <w:rFonts w:ascii="Times New Roman" w:hAnsi="Times New Roman"/>
          <w:color w:val="auto"/>
          <w:spacing w:val="4"/>
          <w:w w:val="99"/>
          <w:kern w:val="2"/>
          <w:position w:val="2"/>
          <w:highlight w:val="none"/>
        </w:rPr>
        <w:t xml:space="preserve">废水均不排入外环境，根据《环境影响评价技术导则 地表水环境》（HJ2.3-2018）：“建设项目生产工艺中有废水产生，但作为回水利用，不排放到外环境的，按三级 B评价”，因此，本项目地表水评价等级为三级B。 </w:t>
      </w:r>
    </w:p>
    <w:p w14:paraId="3D63609C">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2.7.2.2评价范围</w:t>
      </w:r>
    </w:p>
    <w:p w14:paraId="287E0FCC">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根据《环境影响评价技术导则 地表水环境》（HJ2.3-2018）中关于地表水评价等级为三级B的评价范围要求，涉及地表水环境风险的，其评价范围应覆盖环境风险影响范围所涉及的地表水环境保护目标水域，因此地表水评价范围为拟建井场</w:t>
      </w:r>
      <w:r>
        <w:rPr>
          <w:rFonts w:hint="eastAsia" w:ascii="Times New Roman" w:hAnsi="Times New Roman"/>
          <w:color w:val="auto"/>
          <w:spacing w:val="4"/>
          <w:w w:val="99"/>
          <w:kern w:val="2"/>
          <w:position w:val="2"/>
          <w:highlight w:val="none"/>
        </w:rPr>
        <w:t>为中心边长5km</w:t>
      </w:r>
      <w:r>
        <w:rPr>
          <w:rFonts w:ascii="Times New Roman" w:hAnsi="Times New Roman"/>
          <w:color w:val="auto"/>
          <w:spacing w:val="4"/>
          <w:w w:val="99"/>
          <w:kern w:val="2"/>
          <w:position w:val="2"/>
          <w:highlight w:val="none"/>
        </w:rPr>
        <w:t>的矩形区域的包络范围及管线、道路沿线两侧外扩200m范围的地表水体，该范围内地表水体主要为</w:t>
      </w:r>
      <w:r>
        <w:rPr>
          <w:rFonts w:hint="eastAsia" w:ascii="Times New Roman" w:hAnsi="Times New Roman"/>
          <w:color w:val="auto"/>
          <w:spacing w:val="4"/>
          <w:w w:val="99"/>
          <w:kern w:val="2"/>
          <w:position w:val="2"/>
          <w:highlight w:val="none"/>
        </w:rPr>
        <w:t>北大干渠</w:t>
      </w:r>
      <w:r>
        <w:rPr>
          <w:rFonts w:ascii="Times New Roman" w:hAnsi="Times New Roman"/>
          <w:color w:val="auto"/>
          <w:spacing w:val="4"/>
          <w:w w:val="99"/>
          <w:kern w:val="2"/>
          <w:position w:val="2"/>
          <w:highlight w:val="none"/>
        </w:rPr>
        <w:t>。</w:t>
      </w:r>
    </w:p>
    <w:p w14:paraId="0730D7C2">
      <w:pPr>
        <w:pStyle w:val="7"/>
        <w:widowControl w:val="0"/>
        <w:spacing w:before="60" w:after="60" w:line="440" w:lineRule="exact"/>
        <w:jc w:val="both"/>
        <w:rPr>
          <w:rFonts w:eastAsia="宋体"/>
          <w:b/>
          <w:color w:val="auto"/>
          <w:w w:val="99"/>
          <w:kern w:val="2"/>
          <w:sz w:val="24"/>
          <w:szCs w:val="24"/>
          <w:highlight w:val="none"/>
        </w:rPr>
      </w:pPr>
      <w:bookmarkStart w:id="310" w:name="_Toc80971355"/>
      <w:bookmarkStart w:id="311" w:name="_Toc78816438"/>
      <w:bookmarkStart w:id="312" w:name="_Toc186444253"/>
      <w:bookmarkStart w:id="313" w:name="_Toc18486"/>
      <w:bookmarkStart w:id="314" w:name="_Toc77067637"/>
      <w:bookmarkStart w:id="315" w:name="_Toc67860106"/>
      <w:bookmarkStart w:id="316" w:name="_Toc57203227"/>
      <w:bookmarkStart w:id="317" w:name="_Toc76976221"/>
      <w:bookmarkStart w:id="318" w:name="_Toc57707897"/>
      <w:bookmarkStart w:id="319" w:name="_Toc61597199"/>
      <w:bookmarkStart w:id="320" w:name="_Toc83209450"/>
      <w:bookmarkStart w:id="321" w:name="_Toc70050153"/>
      <w:bookmarkStart w:id="322" w:name="_Toc17898142"/>
      <w:bookmarkStart w:id="323" w:name="_Toc80588233"/>
      <w:bookmarkStart w:id="324" w:name="_Toc57976652"/>
      <w:r>
        <w:rPr>
          <w:rFonts w:eastAsia="宋体"/>
          <w:b/>
          <w:color w:val="auto"/>
          <w:w w:val="99"/>
          <w:kern w:val="2"/>
          <w:sz w:val="24"/>
          <w:szCs w:val="24"/>
          <w:highlight w:val="none"/>
        </w:rPr>
        <w:t>2.7.3地下水</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14:paraId="77D1EE5D">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2.7.3.1评价等级</w:t>
      </w:r>
    </w:p>
    <w:p w14:paraId="4BB24B2A">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根据《环境影响评价技术导则 地下水环境》（HJ610-2016）中要求，评价工作等级的划分应依据建设项目行业分类和地下水环境敏感程度分级进行判定，同时满足《环境影响评价技术导则 陆地石油天然气开发建设项目》（HJ349-2023）中关于评价等级的相关要求。</w:t>
      </w:r>
    </w:p>
    <w:p w14:paraId="11FA5AF5">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（1）地下水环境影响评价行业分类</w:t>
      </w:r>
    </w:p>
    <w:p w14:paraId="4C803488">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根据《环境影响评价技术导则</w:t>
      </w:r>
      <w:r>
        <w:rPr>
          <w:rFonts w:hint="eastAsia" w:ascii="Times New Roman" w:hAnsi="Times New Roman"/>
          <w:color w:val="auto"/>
          <w:spacing w:val="4"/>
          <w:w w:val="99"/>
          <w:kern w:val="2"/>
          <w:position w:val="2"/>
          <w:highlight w:val="none"/>
        </w:rPr>
        <w:t xml:space="preserve"> </w:t>
      </w:r>
      <w:r>
        <w:rPr>
          <w:rFonts w:ascii="Times New Roman" w:hAnsi="Times New Roman"/>
          <w:color w:val="auto"/>
          <w:spacing w:val="4"/>
          <w:w w:val="99"/>
          <w:kern w:val="2"/>
          <w:position w:val="2"/>
          <w:highlight w:val="none"/>
        </w:rPr>
        <w:t>地下水环境》（HJ610-2016）附录A，本项目井场、站场工程属于附录A中“38、天然气、页岩气开采（含净化）”，属于报告书类别II类项目，输气管线属于“41石油、天然气、成品油管线（不含城市天然气管线）”，属于III类项目。按照《环境影响评价技术导则 陆地石油天然气开发建设项目》（HJ349-2023）中“常规天然气和页岩气、致密气等非常规天然气开采井场、站场（含净化厂）等工程，油类和废水等输送管道，按照Ⅱ类建设项目开展地下水环境影响评价。天然气管道按照III类建设项目开展地下水环境影响评价”。</w:t>
      </w:r>
    </w:p>
    <w:p w14:paraId="6D6C22D7">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（2）地下水环境敏感程度</w:t>
      </w:r>
    </w:p>
    <w:p w14:paraId="68817F59">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建设项目场地的地下水环境敏感程度可分为敏感、较敏感、不敏感三级，分级原则见表2.7-</w:t>
      </w:r>
      <w:r>
        <w:rPr>
          <w:rFonts w:hint="eastAsia" w:ascii="Times New Roman" w:hAnsi="Times New Roman"/>
          <w:color w:val="auto"/>
          <w:spacing w:val="4"/>
          <w:w w:val="99"/>
          <w:kern w:val="2"/>
          <w:position w:val="2"/>
          <w:highlight w:val="none"/>
        </w:rPr>
        <w:t>6</w:t>
      </w:r>
      <w:r>
        <w:rPr>
          <w:rFonts w:ascii="Times New Roman" w:hAnsi="Times New Roman"/>
          <w:color w:val="auto"/>
          <w:spacing w:val="4"/>
          <w:w w:val="99"/>
          <w:kern w:val="2"/>
          <w:position w:val="2"/>
          <w:highlight w:val="none"/>
        </w:rPr>
        <w:t>。</w:t>
      </w:r>
    </w:p>
    <w:p w14:paraId="4AFF733D">
      <w:pPr>
        <w:pStyle w:val="153"/>
        <w:widowControl w:val="0"/>
        <w:spacing w:line="440" w:lineRule="exact"/>
        <w:ind w:firstLine="474"/>
        <w:jc w:val="both"/>
        <w:rPr>
          <w:rFonts w:ascii="Times New Roman" w:hAnsi="Times New Roman" w:eastAsiaTheme="minorEastAsia"/>
          <w:snapToGrid w:val="0"/>
          <w:color w:val="auto"/>
          <w:w w:val="99"/>
          <w:highlight w:val="none"/>
        </w:rPr>
      </w:pPr>
      <w:r>
        <w:rPr>
          <w:rFonts w:ascii="Times New Roman" w:hAnsi="Times New Roman" w:eastAsiaTheme="minorEastAsia"/>
          <w:b/>
          <w:bCs/>
          <w:color w:val="auto"/>
          <w:w w:val="99"/>
          <w:highlight w:val="none"/>
        </w:rPr>
        <w:t>表2.7-</w:t>
      </w:r>
      <w:r>
        <w:rPr>
          <w:rFonts w:hint="eastAsia" w:ascii="Times New Roman" w:hAnsi="Times New Roman" w:eastAsiaTheme="minorEastAsia"/>
          <w:b/>
          <w:bCs/>
          <w:color w:val="auto"/>
          <w:w w:val="99"/>
          <w:highlight w:val="none"/>
        </w:rPr>
        <w:t>6</w:t>
      </w:r>
      <w:r>
        <w:rPr>
          <w:rFonts w:ascii="Times New Roman" w:hAnsi="Times New Roman" w:eastAsiaTheme="minorEastAsia"/>
          <w:b/>
          <w:snapToGrid w:val="0"/>
          <w:color w:val="auto"/>
          <w:w w:val="99"/>
          <w:highlight w:val="none"/>
        </w:rPr>
        <w:t xml:space="preserve">    地下水环境敏感程度分级</w:t>
      </w:r>
    </w:p>
    <w:tbl>
      <w:tblPr>
        <w:tblStyle w:val="8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7"/>
        <w:gridCol w:w="8130"/>
      </w:tblGrid>
      <w:tr w14:paraId="66FE5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3" w:type="pct"/>
            <w:vAlign w:val="center"/>
          </w:tcPr>
          <w:p w14:paraId="44F4D94E">
            <w:pPr>
              <w:pStyle w:val="157"/>
              <w:widowControl w:val="0"/>
              <w:spacing w:line="36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敏感程度</w:t>
            </w:r>
          </w:p>
        </w:tc>
        <w:tc>
          <w:tcPr>
            <w:tcW w:w="4377" w:type="pct"/>
            <w:vAlign w:val="center"/>
          </w:tcPr>
          <w:p w14:paraId="00415FA1">
            <w:pPr>
              <w:pStyle w:val="157"/>
              <w:widowControl w:val="0"/>
              <w:spacing w:line="36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地下水环境敏感特征</w:t>
            </w:r>
          </w:p>
        </w:tc>
      </w:tr>
      <w:tr w14:paraId="010B1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3" w:type="pct"/>
            <w:vAlign w:val="center"/>
          </w:tcPr>
          <w:p w14:paraId="45A5FB8D">
            <w:pPr>
              <w:pStyle w:val="157"/>
              <w:widowControl w:val="0"/>
              <w:spacing w:line="36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敏感</w:t>
            </w:r>
          </w:p>
        </w:tc>
        <w:tc>
          <w:tcPr>
            <w:tcW w:w="4377" w:type="pct"/>
            <w:vAlign w:val="center"/>
          </w:tcPr>
          <w:p w14:paraId="0BB02F16">
            <w:pPr>
              <w:pStyle w:val="157"/>
              <w:widowControl w:val="0"/>
              <w:spacing w:line="360" w:lineRule="exact"/>
              <w:jc w:val="both"/>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集中式饮用水水源（包括已建成的在用、备用、应急水源，在建和规划的饮用水水源）准保护区；除集中式饮用水水源以外的国家或地方政府设定的与地下水环境相关的其它保护区，如热水、矿泉水、温泉等特殊地下水资源保护区。</w:t>
            </w:r>
          </w:p>
        </w:tc>
      </w:tr>
      <w:tr w14:paraId="122B7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3" w:type="pct"/>
            <w:vAlign w:val="center"/>
          </w:tcPr>
          <w:p w14:paraId="20911A1D">
            <w:pPr>
              <w:pStyle w:val="157"/>
              <w:widowControl w:val="0"/>
              <w:spacing w:line="36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较敏感</w:t>
            </w:r>
          </w:p>
        </w:tc>
        <w:tc>
          <w:tcPr>
            <w:tcW w:w="4377" w:type="pct"/>
            <w:vAlign w:val="center"/>
          </w:tcPr>
          <w:p w14:paraId="79A38B7F">
            <w:pPr>
              <w:pStyle w:val="157"/>
              <w:widowControl w:val="0"/>
              <w:spacing w:line="360" w:lineRule="exact"/>
              <w:jc w:val="both"/>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集中式饮用水水源（包括已建成的在用、备用、应急水源，在建和规划的饮用水水源）准保护区以外的补给径流区；未划定准保护区的集中式饮用水水源，其保护区以外的补给径流区；分散式饮用水水源地；特殊地下水资源（如矿泉水、温泉等）保护区以外的分布区等其他未列入上述敏感分级的环境敏感区</w:t>
            </w:r>
            <w:r>
              <w:rPr>
                <w:rFonts w:ascii="Times New Roman" w:hAnsi="Times New Roman" w:eastAsiaTheme="minorEastAsia"/>
                <w:snapToGrid w:val="0"/>
                <w:color w:val="auto"/>
                <w:w w:val="99"/>
                <w:kern w:val="0"/>
                <w:szCs w:val="24"/>
                <w:highlight w:val="none"/>
                <w:vertAlign w:val="superscript"/>
              </w:rPr>
              <w:t>a</w:t>
            </w:r>
            <w:r>
              <w:rPr>
                <w:rFonts w:ascii="Times New Roman" w:hAnsi="Times New Roman" w:eastAsiaTheme="minorEastAsia"/>
                <w:snapToGrid w:val="0"/>
                <w:color w:val="auto"/>
                <w:w w:val="99"/>
                <w:kern w:val="0"/>
                <w:szCs w:val="24"/>
                <w:highlight w:val="none"/>
              </w:rPr>
              <w:t>。</w:t>
            </w:r>
          </w:p>
        </w:tc>
      </w:tr>
      <w:tr w14:paraId="5ADE1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3" w:type="pct"/>
            <w:vAlign w:val="center"/>
          </w:tcPr>
          <w:p w14:paraId="29B364BC">
            <w:pPr>
              <w:pStyle w:val="157"/>
              <w:widowControl w:val="0"/>
              <w:spacing w:line="36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不敏感</w:t>
            </w:r>
          </w:p>
        </w:tc>
        <w:tc>
          <w:tcPr>
            <w:tcW w:w="4377" w:type="pct"/>
            <w:vAlign w:val="center"/>
          </w:tcPr>
          <w:p w14:paraId="622C5C4F">
            <w:pPr>
              <w:pStyle w:val="157"/>
              <w:widowControl w:val="0"/>
              <w:spacing w:line="360" w:lineRule="exact"/>
              <w:jc w:val="both"/>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上述地区之外的其它地区。</w:t>
            </w:r>
          </w:p>
        </w:tc>
      </w:tr>
      <w:tr w14:paraId="35F46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2"/>
            <w:vAlign w:val="center"/>
          </w:tcPr>
          <w:p w14:paraId="164A2830">
            <w:pPr>
              <w:pStyle w:val="157"/>
              <w:widowControl w:val="0"/>
              <w:spacing w:line="360" w:lineRule="exact"/>
              <w:jc w:val="both"/>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注：a“环境敏感区”是指《建设项目环境影响评价分类管理目录》中所界定的涉及地下水的环境敏感区。</w:t>
            </w:r>
          </w:p>
        </w:tc>
      </w:tr>
    </w:tbl>
    <w:p w14:paraId="7CE65FF8">
      <w:pPr>
        <w:widowControl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经现场调查，本项目调查范围内分布有福龙村、邢家围子屯、王家围子屯等村屯，各村屯均由村屯内为分散式饮用水源井供水，开采层位均为承压含水层，地下水开采规模均小于5万m</w:t>
      </w:r>
      <w:r>
        <w:rPr>
          <w:rFonts w:hint="eastAsia" w:ascii="Times New Roman" w:hAnsi="Times New Roman" w:cs="Times New Roman"/>
          <w:color w:val="auto"/>
          <w:w w:val="99"/>
          <w:highlight w:val="none"/>
          <w:vertAlign w:val="superscript"/>
        </w:rPr>
        <w:t>3</w:t>
      </w:r>
      <w:r>
        <w:rPr>
          <w:rFonts w:hint="eastAsia" w:ascii="Times New Roman" w:hAnsi="Times New Roman" w:cs="Times New Roman"/>
          <w:color w:val="auto"/>
          <w:w w:val="99"/>
          <w:highlight w:val="none"/>
        </w:rPr>
        <w:t>/d，且分散式饮用水源井，均未划定一级保护区，未划定二级保护区，保护范围为以井口为圆心30m。根据《全省地市级饮用水水源保护区基础信息名录（2022年）》、《全省县区级饮用水水源保护区基础信息名录（2022年）》《黑龙江省人民政府关于调整撤销新建哈尔滨等11个地市384个集中式饮用水水源保护区》（黑政函〔2019〕118号）和《黑龙江省人民政府关于调整撤销新建哈尔滨市等市（地）197个集中式饮用水水源保护区》（黑政函〔2020〕97号）），调查范围内无集中式饮用水水源地。</w:t>
      </w:r>
    </w:p>
    <w:p w14:paraId="2CFCAFB2">
      <w:pPr>
        <w:widowControl w:val="0"/>
        <w:spacing w:line="440" w:lineRule="exact"/>
        <w:ind w:firstLine="476" w:firstLineChars="200"/>
        <w:jc w:val="both"/>
        <w:rPr>
          <w:rFonts w:ascii="Times New Roman" w:hAnsi="Times New Roman" w:cs="Times New Roman"/>
          <w:color w:val="auto"/>
          <w:spacing w:val="4"/>
          <w:w w:val="99"/>
          <w:kern w:val="2"/>
          <w:position w:val="2"/>
          <w:highlight w:val="none"/>
        </w:rPr>
      </w:pPr>
      <w:r>
        <w:rPr>
          <w:rFonts w:ascii="Times New Roman" w:hAnsi="Times New Roman" w:cs="Times New Roman" w:eastAsiaTheme="minorEastAsia"/>
          <w:b/>
          <w:bCs/>
          <w:color w:val="auto"/>
          <w:w w:val="99"/>
          <w:highlight w:val="none"/>
        </w:rPr>
        <w:t>表2.7-</w:t>
      </w:r>
      <w:r>
        <w:rPr>
          <w:rFonts w:hint="eastAsia" w:ascii="Times New Roman" w:hAnsi="Times New Roman" w:cs="Times New Roman" w:eastAsiaTheme="minorEastAsia"/>
          <w:b/>
          <w:bCs/>
          <w:color w:val="auto"/>
          <w:w w:val="99"/>
          <w:highlight w:val="none"/>
        </w:rPr>
        <w:t>7</w:t>
      </w:r>
      <w:r>
        <w:rPr>
          <w:rFonts w:ascii="Times New Roman" w:hAnsi="Times New Roman" w:cs="Times New Roman" w:eastAsiaTheme="minorEastAsia"/>
          <w:b/>
          <w:bCs/>
          <w:color w:val="auto"/>
          <w:w w:val="99"/>
          <w:highlight w:val="none"/>
        </w:rPr>
        <w:t xml:space="preserve">    </w:t>
      </w:r>
      <w:r>
        <w:rPr>
          <w:rFonts w:hint="eastAsia" w:ascii="Times New Roman" w:hAnsi="Times New Roman" w:cs="Times New Roman" w:eastAsiaTheme="minorEastAsia"/>
          <w:b/>
          <w:bCs/>
          <w:color w:val="auto"/>
          <w:w w:val="99"/>
          <w:highlight w:val="none"/>
        </w:rPr>
        <w:t>周边村屯饮用水情况</w:t>
      </w:r>
    </w:p>
    <w:tbl>
      <w:tblPr>
        <w:tblStyle w:val="81"/>
        <w:tblW w:w="4996" w:type="pct"/>
        <w:tblInd w:w="0" w:type="dxa"/>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Layout w:type="autofit"/>
        <w:tblCellMar>
          <w:top w:w="0" w:type="dxa"/>
          <w:left w:w="0" w:type="dxa"/>
          <w:bottom w:w="0" w:type="dxa"/>
          <w:right w:w="0" w:type="dxa"/>
        </w:tblCellMar>
      </w:tblPr>
      <w:tblGrid>
        <w:gridCol w:w="1054"/>
        <w:gridCol w:w="2672"/>
        <w:gridCol w:w="2127"/>
        <w:gridCol w:w="3381"/>
      </w:tblGrid>
      <w:tr w14:paraId="182A3C86">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571" w:type="pct"/>
            <w:tcBorders>
              <w:tl2br w:val="nil"/>
              <w:tr2bl w:val="nil"/>
            </w:tcBorders>
            <w:tcMar>
              <w:top w:w="0" w:type="dxa"/>
              <w:left w:w="85" w:type="dxa"/>
              <w:bottom w:w="0" w:type="dxa"/>
              <w:right w:w="85" w:type="dxa"/>
            </w:tcMar>
            <w:vAlign w:val="center"/>
          </w:tcPr>
          <w:p w14:paraId="74ED0A37">
            <w:pPr>
              <w:pStyle w:val="178"/>
              <w:widowControl w:val="0"/>
              <w:autoSpaceDE w:val="0"/>
              <w:autoSpaceDN w:val="0"/>
              <w:spacing w:line="360" w:lineRule="exact"/>
              <w:ind w:firstLine="0"/>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序号</w:t>
            </w:r>
          </w:p>
        </w:tc>
        <w:tc>
          <w:tcPr>
            <w:tcW w:w="1446" w:type="pct"/>
            <w:tcBorders>
              <w:tl2br w:val="nil"/>
              <w:tr2bl w:val="nil"/>
            </w:tcBorders>
            <w:tcMar>
              <w:top w:w="0" w:type="dxa"/>
              <w:left w:w="85" w:type="dxa"/>
              <w:bottom w:w="0" w:type="dxa"/>
              <w:right w:w="85" w:type="dxa"/>
            </w:tcMar>
            <w:vAlign w:val="center"/>
          </w:tcPr>
          <w:p w14:paraId="44ADD5EB">
            <w:pPr>
              <w:pStyle w:val="178"/>
              <w:widowControl w:val="0"/>
              <w:autoSpaceDE w:val="0"/>
              <w:autoSpaceDN w:val="0"/>
              <w:spacing w:line="360" w:lineRule="exact"/>
              <w:ind w:firstLine="0"/>
              <w:jc w:val="center"/>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村屯</w:t>
            </w:r>
          </w:p>
        </w:tc>
        <w:tc>
          <w:tcPr>
            <w:tcW w:w="1151" w:type="pct"/>
            <w:tcBorders>
              <w:tl2br w:val="nil"/>
              <w:tr2bl w:val="nil"/>
            </w:tcBorders>
            <w:tcMar>
              <w:top w:w="0" w:type="dxa"/>
              <w:left w:w="85" w:type="dxa"/>
              <w:bottom w:w="0" w:type="dxa"/>
              <w:right w:w="85" w:type="dxa"/>
            </w:tcMar>
            <w:vAlign w:val="center"/>
          </w:tcPr>
          <w:p w14:paraId="5BF46E9D">
            <w:pPr>
              <w:pStyle w:val="178"/>
              <w:widowControl w:val="0"/>
              <w:autoSpaceDE w:val="0"/>
              <w:autoSpaceDN w:val="0"/>
              <w:spacing w:line="360" w:lineRule="exact"/>
              <w:ind w:firstLine="0"/>
              <w:jc w:val="center"/>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饮用水来源</w:t>
            </w:r>
          </w:p>
        </w:tc>
        <w:tc>
          <w:tcPr>
            <w:tcW w:w="1830" w:type="pct"/>
            <w:tcBorders>
              <w:tl2br w:val="nil"/>
              <w:tr2bl w:val="nil"/>
            </w:tcBorders>
            <w:tcMar>
              <w:top w:w="0" w:type="dxa"/>
              <w:left w:w="85" w:type="dxa"/>
              <w:bottom w:w="0" w:type="dxa"/>
              <w:right w:w="85" w:type="dxa"/>
            </w:tcMar>
            <w:vAlign w:val="center"/>
          </w:tcPr>
          <w:p w14:paraId="4B44597F">
            <w:pPr>
              <w:pStyle w:val="178"/>
              <w:widowControl w:val="0"/>
              <w:autoSpaceDE w:val="0"/>
              <w:autoSpaceDN w:val="0"/>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eastAsia="zh-CN"/>
              </w:rPr>
              <w:t>水源井与本项目位置关系</w:t>
            </w:r>
          </w:p>
        </w:tc>
      </w:tr>
      <w:tr w14:paraId="024BC988">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25" w:hRule="atLeast"/>
        </w:trPr>
        <w:tc>
          <w:tcPr>
            <w:tcW w:w="571" w:type="pct"/>
            <w:tcBorders>
              <w:tl2br w:val="nil"/>
              <w:tr2bl w:val="nil"/>
            </w:tcBorders>
            <w:tcMar>
              <w:top w:w="0" w:type="dxa"/>
              <w:left w:w="85" w:type="dxa"/>
              <w:bottom w:w="0" w:type="dxa"/>
              <w:right w:w="85" w:type="dxa"/>
            </w:tcMar>
            <w:vAlign w:val="center"/>
          </w:tcPr>
          <w:p w14:paraId="27609CED">
            <w:pPr>
              <w:pStyle w:val="178"/>
              <w:widowControl w:val="0"/>
              <w:autoSpaceDE w:val="0"/>
              <w:autoSpaceDN w:val="0"/>
              <w:spacing w:line="360" w:lineRule="exact"/>
              <w:ind w:firstLine="0"/>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1</w:t>
            </w:r>
          </w:p>
        </w:tc>
        <w:tc>
          <w:tcPr>
            <w:tcW w:w="1446" w:type="pct"/>
            <w:tcBorders>
              <w:tl2br w:val="nil"/>
              <w:tr2bl w:val="nil"/>
            </w:tcBorders>
            <w:tcMar>
              <w:top w:w="0" w:type="dxa"/>
              <w:left w:w="85" w:type="dxa"/>
              <w:bottom w:w="0" w:type="dxa"/>
              <w:right w:w="85" w:type="dxa"/>
            </w:tcMar>
            <w:vAlign w:val="center"/>
          </w:tcPr>
          <w:p w14:paraId="4070E512">
            <w:pPr>
              <w:widowControl w:val="0"/>
              <w:adjustRightInd w:val="0"/>
              <w:snapToGrid w:val="0"/>
              <w:ind w:firstLine="4"/>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eastAsia="en-US"/>
              </w:rPr>
              <w:t>王家围子</w:t>
            </w:r>
            <w:r>
              <w:rPr>
                <w:rFonts w:hint="eastAsia" w:ascii="Times New Roman" w:hAnsi="Times New Roman" w:cs="Times New Roman" w:eastAsiaTheme="minorEastAsia"/>
                <w:color w:val="auto"/>
                <w:w w:val="99"/>
                <w:sz w:val="21"/>
                <w:szCs w:val="21"/>
                <w:highlight w:val="none"/>
              </w:rPr>
              <w:t>屯</w:t>
            </w:r>
          </w:p>
        </w:tc>
        <w:tc>
          <w:tcPr>
            <w:tcW w:w="1151" w:type="pct"/>
            <w:tcBorders>
              <w:tl2br w:val="nil"/>
              <w:tr2bl w:val="nil"/>
            </w:tcBorders>
            <w:tcMar>
              <w:top w:w="0" w:type="dxa"/>
              <w:left w:w="85" w:type="dxa"/>
              <w:bottom w:w="0" w:type="dxa"/>
              <w:right w:w="85" w:type="dxa"/>
            </w:tcMar>
            <w:vAlign w:val="center"/>
          </w:tcPr>
          <w:p w14:paraId="4610CD7D">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color w:val="auto"/>
                <w:w w:val="99"/>
                <w:sz w:val="21"/>
                <w:szCs w:val="21"/>
                <w:highlight w:val="none"/>
              </w:rPr>
              <w:t>引自杨家围子屯水井</w:t>
            </w:r>
          </w:p>
        </w:tc>
        <w:tc>
          <w:tcPr>
            <w:tcW w:w="1830" w:type="pct"/>
            <w:tcBorders>
              <w:tl2br w:val="nil"/>
              <w:tr2bl w:val="nil"/>
            </w:tcBorders>
            <w:tcMar>
              <w:top w:w="0" w:type="dxa"/>
              <w:left w:w="85" w:type="dxa"/>
              <w:bottom w:w="0" w:type="dxa"/>
              <w:right w:w="85" w:type="dxa"/>
            </w:tcMar>
            <w:vAlign w:val="center"/>
          </w:tcPr>
          <w:p w14:paraId="0DA8081C">
            <w:pPr>
              <w:widowControl w:val="0"/>
              <w:spacing w:line="2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拟建徐深27集气站EN1.88km</w:t>
            </w:r>
          </w:p>
        </w:tc>
      </w:tr>
      <w:tr w14:paraId="1E9DE337">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571" w:type="pct"/>
            <w:tcBorders>
              <w:tl2br w:val="nil"/>
              <w:tr2bl w:val="nil"/>
            </w:tcBorders>
            <w:tcMar>
              <w:top w:w="0" w:type="dxa"/>
              <w:left w:w="85" w:type="dxa"/>
              <w:bottom w:w="0" w:type="dxa"/>
              <w:right w:w="85" w:type="dxa"/>
            </w:tcMar>
            <w:vAlign w:val="center"/>
          </w:tcPr>
          <w:p w14:paraId="307F1217">
            <w:pPr>
              <w:pStyle w:val="178"/>
              <w:widowControl w:val="0"/>
              <w:autoSpaceDE w:val="0"/>
              <w:autoSpaceDN w:val="0"/>
              <w:spacing w:line="360" w:lineRule="exact"/>
              <w:ind w:firstLine="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w:t>
            </w:r>
          </w:p>
        </w:tc>
        <w:tc>
          <w:tcPr>
            <w:tcW w:w="1446" w:type="pct"/>
            <w:tcBorders>
              <w:tl2br w:val="nil"/>
              <w:tr2bl w:val="nil"/>
            </w:tcBorders>
            <w:tcMar>
              <w:top w:w="0" w:type="dxa"/>
              <w:left w:w="85" w:type="dxa"/>
              <w:bottom w:w="0" w:type="dxa"/>
              <w:right w:w="85" w:type="dxa"/>
            </w:tcMar>
            <w:vAlign w:val="center"/>
          </w:tcPr>
          <w:p w14:paraId="15E5D23B">
            <w:pPr>
              <w:widowControl w:val="0"/>
              <w:adjustRightInd w:val="0"/>
              <w:snapToGrid w:val="0"/>
              <w:ind w:firstLine="4"/>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eastAsia="en-US"/>
              </w:rPr>
              <w:t>邢家围子</w:t>
            </w:r>
            <w:r>
              <w:rPr>
                <w:rFonts w:hint="eastAsia" w:ascii="Times New Roman" w:hAnsi="Times New Roman" w:cs="Times New Roman" w:eastAsiaTheme="minorEastAsia"/>
                <w:color w:val="auto"/>
                <w:w w:val="99"/>
                <w:sz w:val="21"/>
                <w:szCs w:val="21"/>
                <w:highlight w:val="none"/>
              </w:rPr>
              <w:t>屯</w:t>
            </w:r>
          </w:p>
        </w:tc>
        <w:tc>
          <w:tcPr>
            <w:tcW w:w="1151" w:type="pct"/>
            <w:tcBorders>
              <w:tl2br w:val="nil"/>
              <w:tr2bl w:val="nil"/>
            </w:tcBorders>
            <w:tcMar>
              <w:top w:w="0" w:type="dxa"/>
              <w:left w:w="85" w:type="dxa"/>
              <w:bottom w:w="0" w:type="dxa"/>
              <w:right w:w="85" w:type="dxa"/>
            </w:tcMar>
            <w:vAlign w:val="center"/>
          </w:tcPr>
          <w:p w14:paraId="2CBECBB2">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color w:val="auto"/>
                <w:w w:val="99"/>
                <w:sz w:val="21"/>
                <w:szCs w:val="21"/>
                <w:highlight w:val="none"/>
              </w:rPr>
              <w:t>引自</w:t>
            </w:r>
            <w:r>
              <w:rPr>
                <w:rFonts w:hint="eastAsia" w:ascii="Times New Roman" w:hAnsi="Times New Roman" w:cs="Times New Roman" w:eastAsiaTheme="minorEastAsia"/>
                <w:color w:val="auto"/>
                <w:w w:val="99"/>
                <w:sz w:val="21"/>
                <w:szCs w:val="21"/>
                <w:highlight w:val="none"/>
              </w:rPr>
              <w:t>本村饮用</w:t>
            </w:r>
            <w:r>
              <w:rPr>
                <w:rFonts w:hint="eastAsia" w:ascii="Times New Roman" w:hAnsi="Times New Roman" w:cs="Times New Roman"/>
                <w:color w:val="auto"/>
                <w:w w:val="99"/>
                <w:sz w:val="21"/>
                <w:szCs w:val="21"/>
                <w:highlight w:val="none"/>
              </w:rPr>
              <w:t>水井</w:t>
            </w:r>
          </w:p>
        </w:tc>
        <w:tc>
          <w:tcPr>
            <w:tcW w:w="1830" w:type="pct"/>
            <w:tcBorders>
              <w:tl2br w:val="nil"/>
              <w:tr2bl w:val="nil"/>
            </w:tcBorders>
            <w:tcMar>
              <w:top w:w="0" w:type="dxa"/>
              <w:left w:w="85" w:type="dxa"/>
              <w:bottom w:w="0" w:type="dxa"/>
              <w:right w:w="85" w:type="dxa"/>
            </w:tcMar>
            <w:vAlign w:val="center"/>
          </w:tcPr>
          <w:p w14:paraId="2E99303A">
            <w:pPr>
              <w:widowControl w:val="0"/>
              <w:spacing w:line="2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拟建徐深27-H1井场EN380m</w:t>
            </w:r>
          </w:p>
          <w:p w14:paraId="45DBDC43">
            <w:pPr>
              <w:widowControl w:val="0"/>
              <w:spacing w:line="2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采气管道E300m</w:t>
            </w:r>
          </w:p>
        </w:tc>
      </w:tr>
      <w:tr w14:paraId="50DE63F8">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90" w:hRule="atLeast"/>
        </w:trPr>
        <w:tc>
          <w:tcPr>
            <w:tcW w:w="571" w:type="pct"/>
            <w:tcBorders>
              <w:tl2br w:val="nil"/>
              <w:tr2bl w:val="nil"/>
            </w:tcBorders>
            <w:tcMar>
              <w:top w:w="0" w:type="dxa"/>
              <w:left w:w="85" w:type="dxa"/>
              <w:bottom w:w="0" w:type="dxa"/>
              <w:right w:w="85" w:type="dxa"/>
            </w:tcMar>
            <w:vAlign w:val="center"/>
          </w:tcPr>
          <w:p w14:paraId="2A226589">
            <w:pPr>
              <w:pStyle w:val="178"/>
              <w:widowControl w:val="0"/>
              <w:autoSpaceDE w:val="0"/>
              <w:autoSpaceDN w:val="0"/>
              <w:spacing w:line="360" w:lineRule="exact"/>
              <w:ind w:firstLine="0"/>
              <w:jc w:val="center"/>
              <w:rPr>
                <w:rFonts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3</w:t>
            </w:r>
          </w:p>
        </w:tc>
        <w:tc>
          <w:tcPr>
            <w:tcW w:w="1446" w:type="pct"/>
            <w:tcBorders>
              <w:tl2br w:val="nil"/>
              <w:tr2bl w:val="nil"/>
            </w:tcBorders>
            <w:tcMar>
              <w:top w:w="0" w:type="dxa"/>
              <w:left w:w="85" w:type="dxa"/>
              <w:bottom w:w="0" w:type="dxa"/>
              <w:right w:w="85" w:type="dxa"/>
            </w:tcMar>
            <w:vAlign w:val="center"/>
          </w:tcPr>
          <w:p w14:paraId="049E0739">
            <w:pPr>
              <w:widowControl w:val="0"/>
              <w:adjustRightInd w:val="0"/>
              <w:snapToGrid w:val="0"/>
              <w:ind w:firstLine="4"/>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福龙村（</w:t>
            </w:r>
            <w:r>
              <w:rPr>
                <w:rFonts w:ascii="Times New Roman" w:hAnsi="Times New Roman" w:cs="Times New Roman" w:eastAsiaTheme="minorEastAsia"/>
                <w:color w:val="auto"/>
                <w:w w:val="99"/>
                <w:sz w:val="21"/>
                <w:szCs w:val="21"/>
                <w:highlight w:val="none"/>
                <w:lang w:eastAsia="en-US"/>
              </w:rPr>
              <w:t>尚家围子</w:t>
            </w:r>
            <w:r>
              <w:rPr>
                <w:rFonts w:hint="eastAsia" w:ascii="Times New Roman" w:hAnsi="Times New Roman" w:cs="Times New Roman" w:eastAsiaTheme="minorEastAsia"/>
                <w:color w:val="auto"/>
                <w:w w:val="99"/>
                <w:sz w:val="21"/>
                <w:szCs w:val="21"/>
                <w:highlight w:val="none"/>
              </w:rPr>
              <w:t>）</w:t>
            </w:r>
          </w:p>
        </w:tc>
        <w:tc>
          <w:tcPr>
            <w:tcW w:w="1151" w:type="pct"/>
            <w:tcBorders>
              <w:tl2br w:val="nil"/>
              <w:tr2bl w:val="nil"/>
            </w:tcBorders>
            <w:tcMar>
              <w:top w:w="0" w:type="dxa"/>
              <w:left w:w="85" w:type="dxa"/>
              <w:bottom w:w="0" w:type="dxa"/>
              <w:right w:w="85" w:type="dxa"/>
            </w:tcMar>
            <w:vAlign w:val="center"/>
          </w:tcPr>
          <w:p w14:paraId="3D87D000">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color w:val="auto"/>
                <w:w w:val="99"/>
                <w:sz w:val="21"/>
                <w:szCs w:val="21"/>
                <w:highlight w:val="none"/>
              </w:rPr>
              <w:t>引自</w:t>
            </w:r>
            <w:r>
              <w:rPr>
                <w:rFonts w:hint="eastAsia" w:ascii="Times New Roman" w:hAnsi="Times New Roman" w:cs="Times New Roman" w:eastAsiaTheme="minorEastAsia"/>
                <w:color w:val="auto"/>
                <w:w w:val="99"/>
                <w:sz w:val="21"/>
                <w:szCs w:val="21"/>
                <w:highlight w:val="none"/>
              </w:rPr>
              <w:t>本村饮用</w:t>
            </w:r>
            <w:r>
              <w:rPr>
                <w:rFonts w:hint="eastAsia" w:ascii="Times New Roman" w:hAnsi="Times New Roman" w:cs="Times New Roman"/>
                <w:color w:val="auto"/>
                <w:w w:val="99"/>
                <w:sz w:val="21"/>
                <w:szCs w:val="21"/>
                <w:highlight w:val="none"/>
              </w:rPr>
              <w:t>水井</w:t>
            </w:r>
          </w:p>
        </w:tc>
        <w:tc>
          <w:tcPr>
            <w:tcW w:w="1830" w:type="pct"/>
            <w:tcBorders>
              <w:tl2br w:val="nil"/>
              <w:tr2bl w:val="nil"/>
            </w:tcBorders>
            <w:tcMar>
              <w:top w:w="0" w:type="dxa"/>
              <w:left w:w="85" w:type="dxa"/>
              <w:bottom w:w="0" w:type="dxa"/>
              <w:right w:w="85" w:type="dxa"/>
            </w:tcMar>
            <w:vAlign w:val="center"/>
          </w:tcPr>
          <w:p w14:paraId="1E4375FB">
            <w:pPr>
              <w:widowControl w:val="0"/>
              <w:spacing w:line="2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拟建徐深27-H1井场WN850m</w:t>
            </w:r>
          </w:p>
          <w:p w14:paraId="1D11D9D4">
            <w:pPr>
              <w:widowControl w:val="0"/>
              <w:spacing w:line="2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采气管道W780m</w:t>
            </w:r>
          </w:p>
        </w:tc>
      </w:tr>
      <w:tr w14:paraId="6BD5EC58">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571" w:type="pct"/>
            <w:tcBorders>
              <w:tl2br w:val="nil"/>
              <w:tr2bl w:val="nil"/>
            </w:tcBorders>
            <w:tcMar>
              <w:top w:w="0" w:type="dxa"/>
              <w:left w:w="85" w:type="dxa"/>
              <w:bottom w:w="0" w:type="dxa"/>
              <w:right w:w="85" w:type="dxa"/>
            </w:tcMar>
            <w:vAlign w:val="center"/>
          </w:tcPr>
          <w:p w14:paraId="7EAE05A5">
            <w:pPr>
              <w:pStyle w:val="178"/>
              <w:widowControl w:val="0"/>
              <w:autoSpaceDE w:val="0"/>
              <w:autoSpaceDN w:val="0"/>
              <w:spacing w:line="360" w:lineRule="exact"/>
              <w:ind w:firstLine="0"/>
              <w:jc w:val="center"/>
              <w:rPr>
                <w:rFonts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4</w:t>
            </w:r>
          </w:p>
        </w:tc>
        <w:tc>
          <w:tcPr>
            <w:tcW w:w="1446" w:type="pct"/>
            <w:tcBorders>
              <w:tl2br w:val="nil"/>
              <w:tr2bl w:val="nil"/>
            </w:tcBorders>
            <w:tcMar>
              <w:top w:w="0" w:type="dxa"/>
              <w:left w:w="85" w:type="dxa"/>
              <w:bottom w:w="0" w:type="dxa"/>
              <w:right w:w="85" w:type="dxa"/>
            </w:tcMar>
            <w:vAlign w:val="center"/>
          </w:tcPr>
          <w:p w14:paraId="751B8200">
            <w:pPr>
              <w:widowControl w:val="0"/>
              <w:adjustRightInd w:val="0"/>
              <w:snapToGrid w:val="0"/>
              <w:ind w:firstLine="4"/>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杨家屯</w:t>
            </w:r>
          </w:p>
        </w:tc>
        <w:tc>
          <w:tcPr>
            <w:tcW w:w="1151" w:type="pct"/>
            <w:vMerge w:val="restart"/>
            <w:tcBorders>
              <w:tl2br w:val="nil"/>
              <w:tr2bl w:val="nil"/>
            </w:tcBorders>
            <w:tcMar>
              <w:top w:w="0" w:type="dxa"/>
              <w:left w:w="85" w:type="dxa"/>
              <w:bottom w:w="0" w:type="dxa"/>
              <w:right w:w="85" w:type="dxa"/>
            </w:tcMar>
            <w:vAlign w:val="center"/>
          </w:tcPr>
          <w:p w14:paraId="3B572BF7">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引自后柜屯水井</w:t>
            </w:r>
          </w:p>
        </w:tc>
        <w:tc>
          <w:tcPr>
            <w:tcW w:w="1830" w:type="pct"/>
            <w:vMerge w:val="restart"/>
            <w:tcBorders>
              <w:tl2br w:val="nil"/>
              <w:tr2bl w:val="nil"/>
            </w:tcBorders>
            <w:tcMar>
              <w:top w:w="0" w:type="dxa"/>
              <w:left w:w="85" w:type="dxa"/>
              <w:bottom w:w="0" w:type="dxa"/>
              <w:right w:w="85" w:type="dxa"/>
            </w:tcMar>
            <w:vAlign w:val="center"/>
          </w:tcPr>
          <w:p w14:paraId="1A3E8736">
            <w:pPr>
              <w:widowControl w:val="0"/>
              <w:spacing w:line="2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拟建徐深27-H1井场ES1.86km</w:t>
            </w:r>
          </w:p>
        </w:tc>
      </w:tr>
      <w:tr w14:paraId="59CCB8A3">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571" w:type="pct"/>
            <w:tcBorders>
              <w:tl2br w:val="nil"/>
              <w:tr2bl w:val="nil"/>
            </w:tcBorders>
            <w:tcMar>
              <w:top w:w="0" w:type="dxa"/>
              <w:left w:w="85" w:type="dxa"/>
              <w:bottom w:w="0" w:type="dxa"/>
              <w:right w:w="85" w:type="dxa"/>
            </w:tcMar>
            <w:vAlign w:val="center"/>
          </w:tcPr>
          <w:p w14:paraId="08D8E1FC">
            <w:pPr>
              <w:pStyle w:val="178"/>
              <w:widowControl w:val="0"/>
              <w:autoSpaceDE w:val="0"/>
              <w:autoSpaceDN w:val="0"/>
              <w:spacing w:line="360" w:lineRule="exact"/>
              <w:ind w:firstLine="0"/>
              <w:jc w:val="center"/>
              <w:rPr>
                <w:rFonts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5</w:t>
            </w:r>
          </w:p>
        </w:tc>
        <w:tc>
          <w:tcPr>
            <w:tcW w:w="1446" w:type="pct"/>
            <w:tcBorders>
              <w:tl2br w:val="nil"/>
              <w:tr2bl w:val="nil"/>
            </w:tcBorders>
            <w:tcMar>
              <w:top w:w="0" w:type="dxa"/>
              <w:left w:w="85" w:type="dxa"/>
              <w:bottom w:w="0" w:type="dxa"/>
              <w:right w:w="85" w:type="dxa"/>
            </w:tcMar>
            <w:vAlign w:val="center"/>
          </w:tcPr>
          <w:p w14:paraId="03623753">
            <w:pPr>
              <w:widowControl w:val="0"/>
              <w:adjustRightInd w:val="0"/>
              <w:snapToGrid w:val="0"/>
              <w:ind w:firstLine="4"/>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崔永宝</w:t>
            </w:r>
          </w:p>
        </w:tc>
        <w:tc>
          <w:tcPr>
            <w:tcW w:w="1151" w:type="pct"/>
            <w:vMerge w:val="continue"/>
            <w:tcBorders>
              <w:tl2br w:val="nil"/>
              <w:tr2bl w:val="nil"/>
            </w:tcBorders>
            <w:tcMar>
              <w:top w:w="0" w:type="dxa"/>
              <w:left w:w="85" w:type="dxa"/>
              <w:bottom w:w="0" w:type="dxa"/>
              <w:right w:w="85" w:type="dxa"/>
            </w:tcMar>
            <w:vAlign w:val="center"/>
          </w:tcPr>
          <w:p w14:paraId="69F11629">
            <w:pPr>
              <w:widowControl w:val="0"/>
              <w:spacing w:line="360" w:lineRule="exact"/>
              <w:jc w:val="center"/>
              <w:rPr>
                <w:rFonts w:ascii="Times New Roman" w:hAnsi="Times New Roman" w:cs="Times New Roman"/>
                <w:color w:val="auto"/>
                <w:w w:val="99"/>
                <w:sz w:val="21"/>
                <w:szCs w:val="21"/>
                <w:highlight w:val="none"/>
              </w:rPr>
            </w:pPr>
          </w:p>
        </w:tc>
        <w:tc>
          <w:tcPr>
            <w:tcW w:w="1830" w:type="pct"/>
            <w:vMerge w:val="continue"/>
            <w:tcBorders>
              <w:tl2br w:val="nil"/>
              <w:tr2bl w:val="nil"/>
            </w:tcBorders>
            <w:tcMar>
              <w:top w:w="0" w:type="dxa"/>
              <w:left w:w="85" w:type="dxa"/>
              <w:bottom w:w="0" w:type="dxa"/>
              <w:right w:w="85" w:type="dxa"/>
            </w:tcMar>
            <w:vAlign w:val="center"/>
          </w:tcPr>
          <w:p w14:paraId="60EC06C6">
            <w:pPr>
              <w:widowControl w:val="0"/>
              <w:spacing w:line="260" w:lineRule="exact"/>
              <w:jc w:val="center"/>
              <w:rPr>
                <w:rFonts w:ascii="Times New Roman" w:hAnsi="Times New Roman" w:cs="Times New Roman" w:eastAsiaTheme="minorEastAsia"/>
                <w:color w:val="auto"/>
                <w:w w:val="99"/>
                <w:sz w:val="21"/>
                <w:szCs w:val="21"/>
                <w:highlight w:val="none"/>
                <w:lang w:eastAsia="en-US"/>
              </w:rPr>
            </w:pPr>
          </w:p>
        </w:tc>
      </w:tr>
      <w:tr w14:paraId="6AC2EB2C">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571" w:type="pct"/>
            <w:tcBorders>
              <w:tl2br w:val="nil"/>
              <w:tr2bl w:val="nil"/>
            </w:tcBorders>
            <w:tcMar>
              <w:top w:w="0" w:type="dxa"/>
              <w:left w:w="85" w:type="dxa"/>
              <w:bottom w:w="0" w:type="dxa"/>
              <w:right w:w="85" w:type="dxa"/>
            </w:tcMar>
            <w:vAlign w:val="center"/>
          </w:tcPr>
          <w:p w14:paraId="1DD435D6">
            <w:pPr>
              <w:pStyle w:val="178"/>
              <w:widowControl w:val="0"/>
              <w:autoSpaceDE w:val="0"/>
              <w:autoSpaceDN w:val="0"/>
              <w:spacing w:line="360" w:lineRule="exact"/>
              <w:ind w:firstLine="0"/>
              <w:jc w:val="center"/>
              <w:rPr>
                <w:rFonts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6</w:t>
            </w:r>
          </w:p>
        </w:tc>
        <w:tc>
          <w:tcPr>
            <w:tcW w:w="1446" w:type="pct"/>
            <w:tcBorders>
              <w:tl2br w:val="nil"/>
              <w:tr2bl w:val="nil"/>
            </w:tcBorders>
            <w:tcMar>
              <w:top w:w="0" w:type="dxa"/>
              <w:left w:w="85" w:type="dxa"/>
              <w:bottom w:w="0" w:type="dxa"/>
              <w:right w:w="85" w:type="dxa"/>
            </w:tcMar>
            <w:vAlign w:val="center"/>
          </w:tcPr>
          <w:p w14:paraId="71220671">
            <w:pPr>
              <w:widowControl w:val="0"/>
              <w:adjustRightInd w:val="0"/>
              <w:snapToGrid w:val="0"/>
              <w:ind w:firstLine="4"/>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鹿家屯</w:t>
            </w:r>
          </w:p>
        </w:tc>
        <w:tc>
          <w:tcPr>
            <w:tcW w:w="1151" w:type="pct"/>
            <w:vMerge w:val="continue"/>
            <w:tcBorders>
              <w:tl2br w:val="nil"/>
              <w:tr2bl w:val="nil"/>
            </w:tcBorders>
            <w:tcMar>
              <w:top w:w="0" w:type="dxa"/>
              <w:left w:w="85" w:type="dxa"/>
              <w:bottom w:w="0" w:type="dxa"/>
              <w:right w:w="85" w:type="dxa"/>
            </w:tcMar>
            <w:vAlign w:val="center"/>
          </w:tcPr>
          <w:p w14:paraId="415E03A1">
            <w:pPr>
              <w:widowControl w:val="0"/>
              <w:spacing w:line="360" w:lineRule="exact"/>
              <w:jc w:val="center"/>
              <w:rPr>
                <w:rFonts w:ascii="Times New Roman" w:hAnsi="Times New Roman" w:cs="Times New Roman"/>
                <w:color w:val="auto"/>
                <w:w w:val="99"/>
                <w:sz w:val="21"/>
                <w:szCs w:val="21"/>
                <w:highlight w:val="none"/>
              </w:rPr>
            </w:pPr>
          </w:p>
        </w:tc>
        <w:tc>
          <w:tcPr>
            <w:tcW w:w="1830" w:type="pct"/>
            <w:vMerge w:val="continue"/>
            <w:tcBorders>
              <w:tl2br w:val="nil"/>
              <w:tr2bl w:val="nil"/>
            </w:tcBorders>
            <w:tcMar>
              <w:top w:w="0" w:type="dxa"/>
              <w:left w:w="85" w:type="dxa"/>
              <w:bottom w:w="0" w:type="dxa"/>
              <w:right w:w="85" w:type="dxa"/>
            </w:tcMar>
            <w:vAlign w:val="center"/>
          </w:tcPr>
          <w:p w14:paraId="4EBE0497">
            <w:pPr>
              <w:widowControl w:val="0"/>
              <w:spacing w:line="260" w:lineRule="exact"/>
              <w:jc w:val="center"/>
              <w:rPr>
                <w:rFonts w:ascii="Times New Roman" w:hAnsi="Times New Roman" w:cs="Times New Roman" w:eastAsiaTheme="minorEastAsia"/>
                <w:color w:val="auto"/>
                <w:w w:val="99"/>
                <w:sz w:val="21"/>
                <w:szCs w:val="21"/>
                <w:highlight w:val="none"/>
                <w:lang w:eastAsia="en-US"/>
              </w:rPr>
            </w:pPr>
          </w:p>
        </w:tc>
      </w:tr>
      <w:tr w14:paraId="7F535F30">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571" w:type="pct"/>
            <w:tcBorders>
              <w:tl2br w:val="nil"/>
              <w:tr2bl w:val="nil"/>
            </w:tcBorders>
            <w:tcMar>
              <w:top w:w="0" w:type="dxa"/>
              <w:left w:w="85" w:type="dxa"/>
              <w:bottom w:w="0" w:type="dxa"/>
              <w:right w:w="85" w:type="dxa"/>
            </w:tcMar>
            <w:vAlign w:val="center"/>
          </w:tcPr>
          <w:p w14:paraId="52C4DA6A">
            <w:pPr>
              <w:pStyle w:val="178"/>
              <w:widowControl w:val="0"/>
              <w:autoSpaceDE w:val="0"/>
              <w:autoSpaceDN w:val="0"/>
              <w:spacing w:line="360" w:lineRule="exact"/>
              <w:ind w:firstLine="0"/>
              <w:jc w:val="center"/>
              <w:rPr>
                <w:rFonts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7</w:t>
            </w:r>
          </w:p>
        </w:tc>
        <w:tc>
          <w:tcPr>
            <w:tcW w:w="1446" w:type="pct"/>
            <w:tcBorders>
              <w:tl2br w:val="nil"/>
              <w:tr2bl w:val="nil"/>
            </w:tcBorders>
            <w:tcMar>
              <w:top w:w="0" w:type="dxa"/>
              <w:left w:w="85" w:type="dxa"/>
              <w:bottom w:w="0" w:type="dxa"/>
              <w:right w:w="85" w:type="dxa"/>
            </w:tcMar>
            <w:vAlign w:val="center"/>
          </w:tcPr>
          <w:p w14:paraId="64FBEFC5">
            <w:pPr>
              <w:widowControl w:val="0"/>
              <w:adjustRightInd w:val="0"/>
              <w:snapToGrid w:val="0"/>
              <w:ind w:firstLine="4"/>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后柜屯</w:t>
            </w:r>
          </w:p>
        </w:tc>
        <w:tc>
          <w:tcPr>
            <w:tcW w:w="1151" w:type="pct"/>
            <w:vMerge w:val="continue"/>
            <w:tcBorders>
              <w:tl2br w:val="nil"/>
              <w:tr2bl w:val="nil"/>
            </w:tcBorders>
            <w:tcMar>
              <w:top w:w="0" w:type="dxa"/>
              <w:left w:w="85" w:type="dxa"/>
              <w:bottom w:w="0" w:type="dxa"/>
              <w:right w:w="85" w:type="dxa"/>
            </w:tcMar>
            <w:vAlign w:val="center"/>
          </w:tcPr>
          <w:p w14:paraId="302A3B8C">
            <w:pPr>
              <w:widowControl w:val="0"/>
              <w:spacing w:line="360" w:lineRule="exact"/>
              <w:jc w:val="center"/>
              <w:rPr>
                <w:rFonts w:ascii="Times New Roman" w:hAnsi="Times New Roman" w:cs="Times New Roman"/>
                <w:color w:val="auto"/>
                <w:w w:val="99"/>
                <w:sz w:val="21"/>
                <w:szCs w:val="21"/>
                <w:highlight w:val="none"/>
              </w:rPr>
            </w:pPr>
          </w:p>
        </w:tc>
        <w:tc>
          <w:tcPr>
            <w:tcW w:w="1830" w:type="pct"/>
            <w:vMerge w:val="continue"/>
            <w:tcBorders>
              <w:tl2br w:val="nil"/>
              <w:tr2bl w:val="nil"/>
            </w:tcBorders>
            <w:tcMar>
              <w:top w:w="0" w:type="dxa"/>
              <w:left w:w="85" w:type="dxa"/>
              <w:bottom w:w="0" w:type="dxa"/>
              <w:right w:w="85" w:type="dxa"/>
            </w:tcMar>
            <w:vAlign w:val="center"/>
          </w:tcPr>
          <w:p w14:paraId="5F3B41AC">
            <w:pPr>
              <w:widowControl w:val="0"/>
              <w:spacing w:line="260" w:lineRule="exact"/>
              <w:jc w:val="center"/>
              <w:rPr>
                <w:rFonts w:ascii="Times New Roman" w:hAnsi="Times New Roman" w:cs="Times New Roman" w:eastAsiaTheme="minorEastAsia"/>
                <w:color w:val="auto"/>
                <w:w w:val="99"/>
                <w:sz w:val="21"/>
                <w:szCs w:val="21"/>
                <w:highlight w:val="none"/>
                <w:lang w:eastAsia="en-US"/>
              </w:rPr>
            </w:pPr>
          </w:p>
        </w:tc>
      </w:tr>
      <w:tr w14:paraId="7B0570F5">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571" w:type="pct"/>
            <w:tcBorders>
              <w:tl2br w:val="nil"/>
              <w:tr2bl w:val="nil"/>
            </w:tcBorders>
            <w:tcMar>
              <w:top w:w="0" w:type="dxa"/>
              <w:left w:w="85" w:type="dxa"/>
              <w:bottom w:w="0" w:type="dxa"/>
              <w:right w:w="85" w:type="dxa"/>
            </w:tcMar>
            <w:vAlign w:val="center"/>
          </w:tcPr>
          <w:p w14:paraId="3C77B05F">
            <w:pPr>
              <w:pStyle w:val="178"/>
              <w:widowControl w:val="0"/>
              <w:autoSpaceDE w:val="0"/>
              <w:autoSpaceDN w:val="0"/>
              <w:spacing w:line="360" w:lineRule="exact"/>
              <w:ind w:firstLine="0"/>
              <w:jc w:val="center"/>
              <w:rPr>
                <w:rFonts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8</w:t>
            </w:r>
          </w:p>
        </w:tc>
        <w:tc>
          <w:tcPr>
            <w:tcW w:w="1446" w:type="pct"/>
            <w:tcBorders>
              <w:tl2br w:val="nil"/>
              <w:tr2bl w:val="nil"/>
            </w:tcBorders>
            <w:tcMar>
              <w:top w:w="0" w:type="dxa"/>
              <w:left w:w="85" w:type="dxa"/>
              <w:bottom w:w="0" w:type="dxa"/>
              <w:right w:w="85" w:type="dxa"/>
            </w:tcMar>
            <w:vAlign w:val="center"/>
          </w:tcPr>
          <w:p w14:paraId="56B5F0C5">
            <w:pPr>
              <w:widowControl w:val="0"/>
              <w:adjustRightInd w:val="0"/>
              <w:snapToGrid w:val="0"/>
              <w:ind w:firstLine="4"/>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腰柜屯</w:t>
            </w:r>
          </w:p>
        </w:tc>
        <w:tc>
          <w:tcPr>
            <w:tcW w:w="1151" w:type="pct"/>
            <w:vMerge w:val="continue"/>
            <w:tcBorders>
              <w:tl2br w:val="nil"/>
              <w:tr2bl w:val="nil"/>
            </w:tcBorders>
            <w:tcMar>
              <w:top w:w="0" w:type="dxa"/>
              <w:left w:w="85" w:type="dxa"/>
              <w:bottom w:w="0" w:type="dxa"/>
              <w:right w:w="85" w:type="dxa"/>
            </w:tcMar>
            <w:vAlign w:val="center"/>
          </w:tcPr>
          <w:p w14:paraId="1CE2A19E">
            <w:pPr>
              <w:widowControl w:val="0"/>
              <w:spacing w:line="360" w:lineRule="exact"/>
              <w:jc w:val="center"/>
              <w:rPr>
                <w:rFonts w:ascii="Times New Roman" w:hAnsi="Times New Roman" w:cs="Times New Roman"/>
                <w:color w:val="auto"/>
                <w:w w:val="99"/>
                <w:sz w:val="21"/>
                <w:szCs w:val="21"/>
                <w:highlight w:val="none"/>
              </w:rPr>
            </w:pPr>
          </w:p>
        </w:tc>
        <w:tc>
          <w:tcPr>
            <w:tcW w:w="1830" w:type="pct"/>
            <w:vMerge w:val="continue"/>
            <w:tcBorders>
              <w:tl2br w:val="nil"/>
              <w:tr2bl w:val="nil"/>
            </w:tcBorders>
            <w:tcMar>
              <w:top w:w="0" w:type="dxa"/>
              <w:left w:w="85" w:type="dxa"/>
              <w:bottom w:w="0" w:type="dxa"/>
              <w:right w:w="85" w:type="dxa"/>
            </w:tcMar>
            <w:vAlign w:val="center"/>
          </w:tcPr>
          <w:p w14:paraId="3D5EDB07">
            <w:pPr>
              <w:widowControl w:val="0"/>
              <w:spacing w:line="260" w:lineRule="exact"/>
              <w:jc w:val="center"/>
              <w:rPr>
                <w:rFonts w:ascii="Times New Roman" w:hAnsi="Times New Roman" w:cs="Times New Roman" w:eastAsiaTheme="minorEastAsia"/>
                <w:color w:val="auto"/>
                <w:w w:val="99"/>
                <w:sz w:val="21"/>
                <w:szCs w:val="21"/>
                <w:highlight w:val="none"/>
                <w:lang w:eastAsia="en-US"/>
              </w:rPr>
            </w:pPr>
          </w:p>
        </w:tc>
      </w:tr>
      <w:tr w14:paraId="41F47D74">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571" w:type="pct"/>
            <w:tcBorders>
              <w:tl2br w:val="nil"/>
              <w:tr2bl w:val="nil"/>
            </w:tcBorders>
            <w:tcMar>
              <w:top w:w="0" w:type="dxa"/>
              <w:left w:w="85" w:type="dxa"/>
              <w:bottom w:w="0" w:type="dxa"/>
              <w:right w:w="85" w:type="dxa"/>
            </w:tcMar>
            <w:vAlign w:val="center"/>
          </w:tcPr>
          <w:p w14:paraId="1ACB69E8">
            <w:pPr>
              <w:pStyle w:val="178"/>
              <w:widowControl w:val="0"/>
              <w:autoSpaceDE w:val="0"/>
              <w:autoSpaceDN w:val="0"/>
              <w:spacing w:line="360" w:lineRule="exact"/>
              <w:ind w:firstLine="0"/>
              <w:jc w:val="center"/>
              <w:rPr>
                <w:rFonts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9</w:t>
            </w:r>
          </w:p>
        </w:tc>
        <w:tc>
          <w:tcPr>
            <w:tcW w:w="1446" w:type="pct"/>
            <w:tcBorders>
              <w:tl2br w:val="nil"/>
              <w:tr2bl w:val="nil"/>
            </w:tcBorders>
            <w:tcMar>
              <w:top w:w="0" w:type="dxa"/>
              <w:left w:w="85" w:type="dxa"/>
              <w:bottom w:w="0" w:type="dxa"/>
              <w:right w:w="85" w:type="dxa"/>
            </w:tcMar>
            <w:vAlign w:val="center"/>
          </w:tcPr>
          <w:p w14:paraId="08AAA959">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新发屯</w:t>
            </w:r>
          </w:p>
        </w:tc>
        <w:tc>
          <w:tcPr>
            <w:tcW w:w="1151" w:type="pct"/>
            <w:tcBorders>
              <w:tl2br w:val="nil"/>
              <w:tr2bl w:val="nil"/>
            </w:tcBorders>
            <w:tcMar>
              <w:top w:w="0" w:type="dxa"/>
              <w:left w:w="85" w:type="dxa"/>
              <w:bottom w:w="0" w:type="dxa"/>
              <w:right w:w="85" w:type="dxa"/>
            </w:tcMar>
            <w:vAlign w:val="center"/>
          </w:tcPr>
          <w:p w14:paraId="162F7A6D">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rPr>
              <w:t>引自</w:t>
            </w:r>
            <w:r>
              <w:rPr>
                <w:rFonts w:hint="eastAsia" w:ascii="Times New Roman" w:hAnsi="Times New Roman" w:cs="Times New Roman" w:eastAsiaTheme="minorEastAsia"/>
                <w:color w:val="auto"/>
                <w:w w:val="99"/>
                <w:sz w:val="21"/>
                <w:szCs w:val="21"/>
                <w:highlight w:val="none"/>
              </w:rPr>
              <w:t>本村饮用</w:t>
            </w:r>
            <w:r>
              <w:rPr>
                <w:rFonts w:hint="eastAsia" w:ascii="Times New Roman" w:hAnsi="Times New Roman" w:cs="Times New Roman"/>
                <w:color w:val="auto"/>
                <w:w w:val="99"/>
                <w:sz w:val="21"/>
                <w:szCs w:val="21"/>
                <w:highlight w:val="none"/>
              </w:rPr>
              <w:t>水井</w:t>
            </w:r>
          </w:p>
        </w:tc>
        <w:tc>
          <w:tcPr>
            <w:tcW w:w="1830" w:type="pct"/>
            <w:tcBorders>
              <w:tl2br w:val="nil"/>
              <w:tr2bl w:val="nil"/>
            </w:tcBorders>
            <w:tcMar>
              <w:top w:w="0" w:type="dxa"/>
              <w:left w:w="85" w:type="dxa"/>
              <w:bottom w:w="0" w:type="dxa"/>
              <w:right w:w="85" w:type="dxa"/>
            </w:tcMar>
            <w:vAlign w:val="center"/>
          </w:tcPr>
          <w:p w14:paraId="367858D4">
            <w:pPr>
              <w:widowControl w:val="0"/>
              <w:spacing w:line="260" w:lineRule="exact"/>
              <w:jc w:val="center"/>
              <w:rPr>
                <w:rFonts w:ascii="Times New Roman" w:hAnsi="Times New Roman" w:cs="Times New Roman" w:eastAsiaTheme="minorEastAsia"/>
                <w:color w:val="auto"/>
                <w:w w:val="99"/>
                <w:sz w:val="21"/>
                <w:szCs w:val="21"/>
                <w:highlight w:val="none"/>
                <w:lang w:eastAsia="en-US"/>
              </w:rPr>
            </w:pPr>
            <w:r>
              <w:rPr>
                <w:rFonts w:hint="eastAsia" w:ascii="Times New Roman" w:hAnsi="Times New Roman" w:cs="Times New Roman" w:eastAsiaTheme="minorEastAsia"/>
                <w:color w:val="auto"/>
                <w:w w:val="99"/>
                <w:sz w:val="21"/>
                <w:szCs w:val="21"/>
                <w:highlight w:val="none"/>
              </w:rPr>
              <w:t>拟建徐深27-H1井场WS2.0km</w:t>
            </w:r>
          </w:p>
        </w:tc>
      </w:tr>
      <w:tr w14:paraId="5006B86A">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571" w:type="pct"/>
            <w:tcBorders>
              <w:tl2br w:val="nil"/>
              <w:tr2bl w:val="nil"/>
            </w:tcBorders>
            <w:tcMar>
              <w:top w:w="0" w:type="dxa"/>
              <w:left w:w="85" w:type="dxa"/>
              <w:bottom w:w="0" w:type="dxa"/>
              <w:right w:w="85" w:type="dxa"/>
            </w:tcMar>
            <w:vAlign w:val="center"/>
          </w:tcPr>
          <w:p w14:paraId="5B7DAD12">
            <w:pPr>
              <w:pStyle w:val="178"/>
              <w:widowControl w:val="0"/>
              <w:autoSpaceDE w:val="0"/>
              <w:autoSpaceDN w:val="0"/>
              <w:spacing w:line="360" w:lineRule="exact"/>
              <w:ind w:firstLine="0"/>
              <w:jc w:val="center"/>
              <w:rPr>
                <w:rFonts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10</w:t>
            </w:r>
          </w:p>
        </w:tc>
        <w:tc>
          <w:tcPr>
            <w:tcW w:w="1446" w:type="pct"/>
            <w:tcBorders>
              <w:tl2br w:val="nil"/>
              <w:tr2bl w:val="nil"/>
            </w:tcBorders>
            <w:tcMar>
              <w:top w:w="0" w:type="dxa"/>
              <w:left w:w="85" w:type="dxa"/>
              <w:bottom w:w="0" w:type="dxa"/>
              <w:right w:w="85" w:type="dxa"/>
            </w:tcMar>
            <w:vAlign w:val="center"/>
          </w:tcPr>
          <w:p w14:paraId="7F6574E2">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于洼子屯</w:t>
            </w:r>
          </w:p>
        </w:tc>
        <w:tc>
          <w:tcPr>
            <w:tcW w:w="1151" w:type="pct"/>
            <w:vMerge w:val="restart"/>
            <w:tcBorders>
              <w:tl2br w:val="nil"/>
              <w:tr2bl w:val="nil"/>
            </w:tcBorders>
            <w:tcMar>
              <w:top w:w="0" w:type="dxa"/>
              <w:left w:w="85" w:type="dxa"/>
              <w:bottom w:w="0" w:type="dxa"/>
              <w:right w:w="85" w:type="dxa"/>
            </w:tcMar>
            <w:vAlign w:val="center"/>
          </w:tcPr>
          <w:p w14:paraId="72421123">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引自东双山屯水井</w:t>
            </w:r>
          </w:p>
        </w:tc>
        <w:tc>
          <w:tcPr>
            <w:tcW w:w="1830" w:type="pct"/>
            <w:vMerge w:val="restart"/>
            <w:tcBorders>
              <w:tl2br w:val="nil"/>
              <w:tr2bl w:val="nil"/>
            </w:tcBorders>
            <w:tcMar>
              <w:top w:w="0" w:type="dxa"/>
              <w:left w:w="85" w:type="dxa"/>
              <w:bottom w:w="0" w:type="dxa"/>
              <w:right w:w="85" w:type="dxa"/>
            </w:tcMar>
            <w:vAlign w:val="center"/>
          </w:tcPr>
          <w:p w14:paraId="6B986279">
            <w:pPr>
              <w:pStyle w:val="2857"/>
              <w:spacing w:before="35" w:line="227" w:lineRule="auto"/>
              <w:ind w:left="114"/>
              <w:rPr>
                <w:rFonts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eastAsia="zh-CN"/>
              </w:rPr>
              <w:t>徐深27集气站WN1.6km</w:t>
            </w:r>
          </w:p>
        </w:tc>
      </w:tr>
      <w:tr w14:paraId="154C0929">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571" w:type="pct"/>
            <w:tcBorders>
              <w:tl2br w:val="nil"/>
              <w:tr2bl w:val="nil"/>
            </w:tcBorders>
            <w:tcMar>
              <w:top w:w="0" w:type="dxa"/>
              <w:left w:w="85" w:type="dxa"/>
              <w:bottom w:w="0" w:type="dxa"/>
              <w:right w:w="85" w:type="dxa"/>
            </w:tcMar>
            <w:vAlign w:val="center"/>
          </w:tcPr>
          <w:p w14:paraId="2CDD891C">
            <w:pPr>
              <w:pStyle w:val="178"/>
              <w:widowControl w:val="0"/>
              <w:autoSpaceDE w:val="0"/>
              <w:autoSpaceDN w:val="0"/>
              <w:spacing w:line="360" w:lineRule="exact"/>
              <w:ind w:firstLine="0"/>
              <w:jc w:val="center"/>
              <w:rPr>
                <w:rFonts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11</w:t>
            </w:r>
          </w:p>
        </w:tc>
        <w:tc>
          <w:tcPr>
            <w:tcW w:w="1446" w:type="pct"/>
            <w:tcBorders>
              <w:tl2br w:val="nil"/>
              <w:tr2bl w:val="nil"/>
            </w:tcBorders>
            <w:tcMar>
              <w:top w:w="0" w:type="dxa"/>
              <w:left w:w="85" w:type="dxa"/>
              <w:bottom w:w="0" w:type="dxa"/>
              <w:right w:w="85" w:type="dxa"/>
            </w:tcMar>
            <w:vAlign w:val="center"/>
          </w:tcPr>
          <w:p w14:paraId="49E1BF67">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东双山屯</w:t>
            </w:r>
          </w:p>
        </w:tc>
        <w:tc>
          <w:tcPr>
            <w:tcW w:w="1151" w:type="pct"/>
            <w:vMerge w:val="continue"/>
            <w:tcBorders>
              <w:tl2br w:val="nil"/>
              <w:tr2bl w:val="nil"/>
            </w:tcBorders>
            <w:tcMar>
              <w:top w:w="0" w:type="dxa"/>
              <w:left w:w="85" w:type="dxa"/>
              <w:bottom w:w="0" w:type="dxa"/>
              <w:right w:w="85" w:type="dxa"/>
            </w:tcMar>
            <w:vAlign w:val="center"/>
          </w:tcPr>
          <w:p w14:paraId="7478B026">
            <w:pPr>
              <w:widowControl w:val="0"/>
              <w:spacing w:line="360" w:lineRule="exact"/>
              <w:jc w:val="center"/>
              <w:rPr>
                <w:rFonts w:ascii="Times New Roman" w:hAnsi="Times New Roman" w:cs="Times New Roman"/>
                <w:color w:val="auto"/>
                <w:w w:val="99"/>
                <w:sz w:val="21"/>
                <w:szCs w:val="21"/>
                <w:highlight w:val="none"/>
              </w:rPr>
            </w:pPr>
          </w:p>
        </w:tc>
        <w:tc>
          <w:tcPr>
            <w:tcW w:w="1830" w:type="pct"/>
            <w:vMerge w:val="continue"/>
            <w:tcBorders>
              <w:tl2br w:val="nil"/>
              <w:tr2bl w:val="nil"/>
            </w:tcBorders>
            <w:tcMar>
              <w:top w:w="0" w:type="dxa"/>
              <w:left w:w="85" w:type="dxa"/>
              <w:bottom w:w="0" w:type="dxa"/>
              <w:right w:w="85" w:type="dxa"/>
            </w:tcMar>
            <w:vAlign w:val="center"/>
          </w:tcPr>
          <w:p w14:paraId="550AAAEC">
            <w:pPr>
              <w:pStyle w:val="2857"/>
              <w:spacing w:before="35" w:line="227" w:lineRule="auto"/>
              <w:ind w:left="114"/>
              <w:rPr>
                <w:rFonts w:ascii="Times New Roman" w:hAnsi="Times New Roman" w:cs="Times New Roman"/>
                <w:color w:val="auto"/>
                <w:w w:val="99"/>
                <w:sz w:val="21"/>
                <w:szCs w:val="21"/>
                <w:highlight w:val="none"/>
                <w:lang w:eastAsia="zh-CN"/>
              </w:rPr>
            </w:pPr>
          </w:p>
        </w:tc>
      </w:tr>
      <w:tr w14:paraId="27FA52A3">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571" w:type="pct"/>
            <w:tcBorders>
              <w:tl2br w:val="nil"/>
              <w:tr2bl w:val="nil"/>
            </w:tcBorders>
            <w:tcMar>
              <w:top w:w="0" w:type="dxa"/>
              <w:left w:w="85" w:type="dxa"/>
              <w:bottom w:w="0" w:type="dxa"/>
              <w:right w:w="85" w:type="dxa"/>
            </w:tcMar>
            <w:vAlign w:val="center"/>
          </w:tcPr>
          <w:p w14:paraId="2108332D">
            <w:pPr>
              <w:pStyle w:val="178"/>
              <w:widowControl w:val="0"/>
              <w:autoSpaceDE w:val="0"/>
              <w:autoSpaceDN w:val="0"/>
              <w:spacing w:line="360" w:lineRule="exact"/>
              <w:ind w:firstLine="0"/>
              <w:jc w:val="center"/>
              <w:rPr>
                <w:rFonts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12</w:t>
            </w:r>
          </w:p>
        </w:tc>
        <w:tc>
          <w:tcPr>
            <w:tcW w:w="1446" w:type="pct"/>
            <w:tcBorders>
              <w:tl2br w:val="nil"/>
              <w:tr2bl w:val="nil"/>
            </w:tcBorders>
            <w:tcMar>
              <w:top w:w="0" w:type="dxa"/>
              <w:left w:w="85" w:type="dxa"/>
              <w:bottom w:w="0" w:type="dxa"/>
              <w:right w:w="85" w:type="dxa"/>
            </w:tcMar>
            <w:vAlign w:val="center"/>
          </w:tcPr>
          <w:p w14:paraId="52A0118D">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西双山屯</w:t>
            </w:r>
          </w:p>
        </w:tc>
        <w:tc>
          <w:tcPr>
            <w:tcW w:w="1151" w:type="pct"/>
            <w:vMerge w:val="continue"/>
            <w:tcBorders>
              <w:tl2br w:val="nil"/>
              <w:tr2bl w:val="nil"/>
            </w:tcBorders>
            <w:tcMar>
              <w:top w:w="0" w:type="dxa"/>
              <w:left w:w="85" w:type="dxa"/>
              <w:bottom w:w="0" w:type="dxa"/>
              <w:right w:w="85" w:type="dxa"/>
            </w:tcMar>
            <w:vAlign w:val="center"/>
          </w:tcPr>
          <w:p w14:paraId="61CE1DA5">
            <w:pPr>
              <w:widowControl w:val="0"/>
              <w:spacing w:line="360" w:lineRule="exact"/>
              <w:jc w:val="center"/>
              <w:rPr>
                <w:rFonts w:ascii="Times New Roman" w:hAnsi="Times New Roman" w:cs="Times New Roman"/>
                <w:color w:val="auto"/>
                <w:w w:val="99"/>
                <w:sz w:val="21"/>
                <w:szCs w:val="21"/>
                <w:highlight w:val="none"/>
              </w:rPr>
            </w:pPr>
          </w:p>
        </w:tc>
        <w:tc>
          <w:tcPr>
            <w:tcW w:w="1830" w:type="pct"/>
            <w:vMerge w:val="continue"/>
            <w:tcBorders>
              <w:tl2br w:val="nil"/>
              <w:tr2bl w:val="nil"/>
            </w:tcBorders>
            <w:tcMar>
              <w:top w:w="0" w:type="dxa"/>
              <w:left w:w="85" w:type="dxa"/>
              <w:bottom w:w="0" w:type="dxa"/>
              <w:right w:w="85" w:type="dxa"/>
            </w:tcMar>
            <w:vAlign w:val="center"/>
          </w:tcPr>
          <w:p w14:paraId="3B543176">
            <w:pPr>
              <w:pStyle w:val="2857"/>
              <w:spacing w:before="35" w:line="227" w:lineRule="auto"/>
              <w:ind w:left="114"/>
              <w:rPr>
                <w:rFonts w:ascii="Times New Roman" w:hAnsi="Times New Roman" w:cs="Times New Roman"/>
                <w:color w:val="auto"/>
                <w:w w:val="99"/>
                <w:sz w:val="21"/>
                <w:szCs w:val="21"/>
                <w:highlight w:val="none"/>
                <w:lang w:eastAsia="zh-CN"/>
              </w:rPr>
            </w:pPr>
          </w:p>
        </w:tc>
      </w:tr>
    </w:tbl>
    <w:p w14:paraId="4940F7BA">
      <w:pPr>
        <w:widowControl w:val="0"/>
        <w:spacing w:line="440" w:lineRule="exact"/>
        <w:ind w:firstLine="490" w:firstLineChars="200"/>
        <w:jc w:val="both"/>
        <w:rPr>
          <w:rFonts w:ascii="Times New Roman" w:hAnsi="Times New Roman" w:cs="Times New Roman"/>
          <w:color w:val="auto"/>
          <w:spacing w:val="4"/>
          <w:w w:val="99"/>
          <w:kern w:val="2"/>
          <w:position w:val="2"/>
          <w:highlight w:val="none"/>
        </w:rPr>
      </w:pPr>
      <w:r>
        <w:rPr>
          <w:rFonts w:ascii="Times New Roman" w:hAnsi="Times New Roman" w:cs="Times New Roman"/>
          <w:color w:val="auto"/>
          <w:spacing w:val="4"/>
          <w:w w:val="99"/>
          <w:kern w:val="2"/>
          <w:position w:val="2"/>
          <w:highlight w:val="none"/>
        </w:rPr>
        <w:t>根据《地下水型饮用水水源补给区划定技术指南（试行）》（环办便函</w:t>
      </w:r>
      <w:r>
        <w:rPr>
          <w:rFonts w:hint="eastAsia" w:ascii="Times New Roman" w:hAnsi="Times New Roman" w:cs="Times New Roman"/>
          <w:color w:val="auto"/>
          <w:spacing w:val="4"/>
          <w:w w:val="99"/>
          <w:kern w:val="2"/>
          <w:position w:val="2"/>
          <w:highlight w:val="none"/>
        </w:rPr>
        <w:t>〔</w:t>
      </w:r>
      <w:r>
        <w:rPr>
          <w:rFonts w:ascii="Times New Roman" w:hAnsi="Times New Roman" w:cs="Times New Roman"/>
          <w:color w:val="auto"/>
          <w:spacing w:val="4"/>
          <w:w w:val="99"/>
          <w:kern w:val="2"/>
          <w:position w:val="2"/>
          <w:highlight w:val="none"/>
        </w:rPr>
        <w:t>2022〕335号）划定饮用水源井补给径流区，地下水饮用水源井补给径流区判定依据见表2.7-</w:t>
      </w:r>
      <w:r>
        <w:rPr>
          <w:rFonts w:hint="eastAsia" w:ascii="Times New Roman" w:hAnsi="Times New Roman" w:cs="Times New Roman"/>
          <w:color w:val="auto"/>
          <w:spacing w:val="4"/>
          <w:w w:val="99"/>
          <w:kern w:val="2"/>
          <w:position w:val="2"/>
          <w:highlight w:val="none"/>
        </w:rPr>
        <w:t>8</w:t>
      </w:r>
      <w:r>
        <w:rPr>
          <w:rFonts w:ascii="Times New Roman" w:hAnsi="Times New Roman" w:cs="Times New Roman"/>
          <w:color w:val="auto"/>
          <w:spacing w:val="4"/>
          <w:w w:val="99"/>
          <w:kern w:val="2"/>
          <w:position w:val="2"/>
          <w:highlight w:val="none"/>
        </w:rPr>
        <w:t>。</w:t>
      </w:r>
    </w:p>
    <w:p w14:paraId="5C6C8378">
      <w:pPr>
        <w:widowControl w:val="0"/>
        <w:spacing w:line="440" w:lineRule="exact"/>
        <w:ind w:firstLine="476" w:firstLineChars="200"/>
        <w:jc w:val="both"/>
        <w:rPr>
          <w:rFonts w:ascii="Times New Roman" w:hAnsi="Times New Roman" w:cs="Times New Roman" w:eastAsiaTheme="minorEastAsia"/>
          <w:b/>
          <w:color w:val="auto"/>
          <w:w w:val="99"/>
          <w:highlight w:val="none"/>
        </w:rPr>
      </w:pPr>
      <w:r>
        <w:rPr>
          <w:rFonts w:ascii="Times New Roman" w:hAnsi="Times New Roman" w:cs="Times New Roman" w:eastAsiaTheme="minorEastAsia"/>
          <w:b/>
          <w:bCs/>
          <w:color w:val="auto"/>
          <w:w w:val="99"/>
          <w:highlight w:val="none"/>
        </w:rPr>
        <w:t>表2.7-</w:t>
      </w:r>
      <w:r>
        <w:rPr>
          <w:rFonts w:hint="eastAsia" w:ascii="Times New Roman" w:hAnsi="Times New Roman" w:cs="Times New Roman" w:eastAsiaTheme="minorEastAsia"/>
          <w:b/>
          <w:bCs/>
          <w:color w:val="auto"/>
          <w:w w:val="99"/>
          <w:highlight w:val="none"/>
        </w:rPr>
        <w:t>8</w:t>
      </w:r>
      <w:r>
        <w:rPr>
          <w:rFonts w:ascii="Times New Roman" w:hAnsi="Times New Roman" w:cs="Times New Roman" w:eastAsiaTheme="minorEastAsia"/>
          <w:b/>
          <w:bCs/>
          <w:color w:val="auto"/>
          <w:w w:val="99"/>
          <w:highlight w:val="none"/>
        </w:rPr>
        <w:t xml:space="preserve">   地下水饮用水源井补给径流区判定表</w:t>
      </w:r>
    </w:p>
    <w:tbl>
      <w:tblPr>
        <w:tblStyle w:val="8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1335"/>
        <w:gridCol w:w="2127"/>
        <w:gridCol w:w="5067"/>
      </w:tblGrid>
      <w:tr w14:paraId="54B38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72" w:type="pct"/>
            <w:gridSpan w:val="3"/>
            <w:vAlign w:val="center"/>
          </w:tcPr>
          <w:p w14:paraId="49FC77D2">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lang w:val="en-US"/>
              </w:rPr>
              <w:t>地下水型饮用水水源</w:t>
            </w:r>
            <w:r>
              <w:rPr>
                <w:rFonts w:ascii="Times New Roman" w:hAnsi="Times New Roman" w:eastAsiaTheme="minorEastAsia"/>
                <w:snapToGrid w:val="0"/>
                <w:color w:val="auto"/>
                <w:w w:val="99"/>
                <w:kern w:val="0"/>
                <w:szCs w:val="24"/>
                <w:highlight w:val="none"/>
              </w:rPr>
              <w:t>划定保护区情况</w:t>
            </w:r>
          </w:p>
        </w:tc>
        <w:tc>
          <w:tcPr>
            <w:tcW w:w="2728" w:type="pct"/>
            <w:vAlign w:val="center"/>
          </w:tcPr>
          <w:p w14:paraId="758D9C56">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lang w:val="en-US"/>
              </w:rPr>
              <w:t>补给区范围</w:t>
            </w:r>
          </w:p>
        </w:tc>
      </w:tr>
      <w:tr w14:paraId="678AD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vMerge w:val="restart"/>
            <w:vAlign w:val="center"/>
          </w:tcPr>
          <w:p w14:paraId="059EB0AB">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lang w:val="en-US"/>
              </w:rPr>
              <w:t>水源开采规模</w:t>
            </w:r>
          </w:p>
        </w:tc>
        <w:tc>
          <w:tcPr>
            <w:tcW w:w="719" w:type="pct"/>
            <w:vMerge w:val="restart"/>
            <w:vAlign w:val="center"/>
          </w:tcPr>
          <w:p w14:paraId="33EC3E47">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lang w:val="en-US"/>
              </w:rPr>
              <w:t>大型≥5万m</w:t>
            </w:r>
            <w:r>
              <w:rPr>
                <w:rFonts w:ascii="Times New Roman" w:hAnsi="Times New Roman" w:eastAsiaTheme="minorEastAsia"/>
                <w:snapToGrid w:val="0"/>
                <w:color w:val="auto"/>
                <w:w w:val="99"/>
                <w:kern w:val="0"/>
                <w:szCs w:val="24"/>
                <w:highlight w:val="none"/>
                <w:vertAlign w:val="superscript"/>
                <w:lang w:val="en-US"/>
              </w:rPr>
              <w:t>3</w:t>
            </w:r>
            <w:r>
              <w:rPr>
                <w:rFonts w:ascii="Times New Roman" w:hAnsi="Times New Roman" w:eastAsiaTheme="minorEastAsia"/>
                <w:snapToGrid w:val="0"/>
                <w:color w:val="auto"/>
                <w:w w:val="99"/>
                <w:kern w:val="0"/>
                <w:szCs w:val="24"/>
                <w:highlight w:val="none"/>
                <w:lang w:val="en-US"/>
              </w:rPr>
              <w:t>/d</w:t>
            </w:r>
          </w:p>
        </w:tc>
        <w:tc>
          <w:tcPr>
            <w:tcW w:w="1145" w:type="pct"/>
            <w:vAlign w:val="center"/>
          </w:tcPr>
          <w:p w14:paraId="091DFF71">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已划定</w:t>
            </w:r>
            <w:r>
              <w:rPr>
                <w:rFonts w:ascii="Times New Roman" w:hAnsi="Times New Roman" w:eastAsiaTheme="minorEastAsia"/>
                <w:snapToGrid w:val="0"/>
                <w:color w:val="auto"/>
                <w:w w:val="99"/>
                <w:kern w:val="0"/>
                <w:szCs w:val="24"/>
                <w:highlight w:val="none"/>
                <w:lang w:val="en-US"/>
              </w:rPr>
              <w:t>二级保护区的</w:t>
            </w:r>
          </w:p>
        </w:tc>
        <w:tc>
          <w:tcPr>
            <w:tcW w:w="2728" w:type="pct"/>
            <w:vAlign w:val="center"/>
          </w:tcPr>
          <w:p w14:paraId="5EDD36C4">
            <w:pPr>
              <w:pStyle w:val="157"/>
              <w:widowControl w:val="0"/>
              <w:spacing w:line="320" w:lineRule="exact"/>
              <w:jc w:val="both"/>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lang w:val="en-US"/>
              </w:rPr>
              <w:t>以二级保护区边界为基准，按大型水源30年流程圈定的范围</w:t>
            </w:r>
          </w:p>
        </w:tc>
      </w:tr>
      <w:tr w14:paraId="3417A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vMerge w:val="continue"/>
            <w:vAlign w:val="center"/>
          </w:tcPr>
          <w:p w14:paraId="546E5269">
            <w:pPr>
              <w:pStyle w:val="157"/>
              <w:widowControl w:val="0"/>
              <w:spacing w:line="320" w:lineRule="exact"/>
              <w:jc w:val="both"/>
              <w:rPr>
                <w:rFonts w:ascii="Times New Roman" w:hAnsi="Times New Roman" w:eastAsiaTheme="minorEastAsia"/>
                <w:snapToGrid w:val="0"/>
                <w:color w:val="auto"/>
                <w:w w:val="99"/>
                <w:kern w:val="0"/>
                <w:szCs w:val="24"/>
                <w:highlight w:val="none"/>
                <w:lang w:val="en-US"/>
              </w:rPr>
            </w:pPr>
          </w:p>
        </w:tc>
        <w:tc>
          <w:tcPr>
            <w:tcW w:w="719" w:type="pct"/>
            <w:vMerge w:val="continue"/>
            <w:vAlign w:val="center"/>
          </w:tcPr>
          <w:p w14:paraId="275C574B">
            <w:pPr>
              <w:pStyle w:val="157"/>
              <w:widowControl w:val="0"/>
              <w:spacing w:line="320" w:lineRule="exact"/>
              <w:rPr>
                <w:rFonts w:ascii="Times New Roman" w:hAnsi="Times New Roman" w:eastAsiaTheme="minorEastAsia"/>
                <w:snapToGrid w:val="0"/>
                <w:color w:val="auto"/>
                <w:w w:val="99"/>
                <w:kern w:val="0"/>
                <w:szCs w:val="24"/>
                <w:highlight w:val="none"/>
                <w:lang w:val="en-US"/>
              </w:rPr>
            </w:pPr>
          </w:p>
        </w:tc>
        <w:tc>
          <w:tcPr>
            <w:tcW w:w="1145" w:type="pct"/>
            <w:vAlign w:val="center"/>
          </w:tcPr>
          <w:p w14:paraId="1C8DA739">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lang w:val="en-US"/>
              </w:rPr>
              <w:t>仅划定了一级保护区的</w:t>
            </w:r>
          </w:p>
        </w:tc>
        <w:tc>
          <w:tcPr>
            <w:tcW w:w="2728" w:type="pct"/>
            <w:vAlign w:val="center"/>
          </w:tcPr>
          <w:p w14:paraId="0154FA6C">
            <w:pPr>
              <w:pStyle w:val="157"/>
              <w:widowControl w:val="0"/>
              <w:spacing w:line="320" w:lineRule="exact"/>
              <w:jc w:val="both"/>
              <w:rPr>
                <w:rFonts w:ascii="Times New Roman" w:hAnsi="Times New Roman" w:eastAsiaTheme="minorEastAsia"/>
                <w:snapToGrid w:val="0"/>
                <w:color w:val="auto"/>
                <w:w w:val="99"/>
                <w:kern w:val="0"/>
                <w:szCs w:val="24"/>
                <w:highlight w:val="none"/>
                <w:lang w:val="en-US"/>
              </w:rPr>
            </w:pPr>
            <w:r>
              <w:rPr>
                <w:rFonts w:ascii="Times New Roman" w:hAnsi="Times New Roman" w:eastAsiaTheme="minorEastAsia"/>
                <w:snapToGrid w:val="0"/>
                <w:color w:val="auto"/>
                <w:w w:val="99"/>
                <w:kern w:val="0"/>
                <w:szCs w:val="24"/>
                <w:highlight w:val="none"/>
                <w:lang w:val="en-US"/>
              </w:rPr>
              <w:t>以水源一级保护区边界为基准，按大型水源30年+1000天流程圈定的范围</w:t>
            </w:r>
          </w:p>
        </w:tc>
      </w:tr>
      <w:tr w14:paraId="32E5B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vMerge w:val="continue"/>
            <w:vAlign w:val="center"/>
          </w:tcPr>
          <w:p w14:paraId="09FB78A2">
            <w:pPr>
              <w:pStyle w:val="157"/>
              <w:widowControl w:val="0"/>
              <w:spacing w:line="320" w:lineRule="exact"/>
              <w:jc w:val="both"/>
              <w:rPr>
                <w:rFonts w:ascii="Times New Roman" w:hAnsi="Times New Roman" w:eastAsiaTheme="minorEastAsia"/>
                <w:snapToGrid w:val="0"/>
                <w:color w:val="auto"/>
                <w:w w:val="99"/>
                <w:kern w:val="0"/>
                <w:szCs w:val="24"/>
                <w:highlight w:val="none"/>
                <w:lang w:val="en-US"/>
              </w:rPr>
            </w:pPr>
          </w:p>
        </w:tc>
        <w:tc>
          <w:tcPr>
            <w:tcW w:w="719" w:type="pct"/>
            <w:vMerge w:val="continue"/>
            <w:vAlign w:val="center"/>
          </w:tcPr>
          <w:p w14:paraId="0F4F9BA9">
            <w:pPr>
              <w:pStyle w:val="157"/>
              <w:widowControl w:val="0"/>
              <w:spacing w:line="320" w:lineRule="exact"/>
              <w:rPr>
                <w:rFonts w:ascii="Times New Roman" w:hAnsi="Times New Roman" w:eastAsiaTheme="minorEastAsia"/>
                <w:snapToGrid w:val="0"/>
                <w:color w:val="auto"/>
                <w:w w:val="99"/>
                <w:kern w:val="0"/>
                <w:szCs w:val="24"/>
                <w:highlight w:val="none"/>
                <w:lang w:val="en-US"/>
              </w:rPr>
            </w:pPr>
          </w:p>
        </w:tc>
        <w:tc>
          <w:tcPr>
            <w:tcW w:w="1145" w:type="pct"/>
            <w:vAlign w:val="center"/>
          </w:tcPr>
          <w:p w14:paraId="7C135215">
            <w:pPr>
              <w:pStyle w:val="157"/>
              <w:widowControl w:val="0"/>
              <w:spacing w:line="320" w:lineRule="exact"/>
              <w:rPr>
                <w:rFonts w:ascii="Times New Roman" w:hAnsi="Times New Roman" w:eastAsiaTheme="minorEastAsia"/>
                <w:snapToGrid w:val="0"/>
                <w:color w:val="auto"/>
                <w:w w:val="99"/>
                <w:kern w:val="0"/>
                <w:szCs w:val="24"/>
                <w:highlight w:val="none"/>
                <w:lang w:val="en-US"/>
              </w:rPr>
            </w:pPr>
            <w:r>
              <w:rPr>
                <w:rFonts w:ascii="Times New Roman" w:hAnsi="Times New Roman" w:eastAsiaTheme="minorEastAsia"/>
                <w:snapToGrid w:val="0"/>
                <w:color w:val="auto"/>
                <w:w w:val="99"/>
                <w:kern w:val="0"/>
                <w:szCs w:val="24"/>
                <w:highlight w:val="none"/>
                <w:lang w:val="en-US"/>
              </w:rPr>
              <w:t>未划定保护区的</w:t>
            </w:r>
          </w:p>
        </w:tc>
        <w:tc>
          <w:tcPr>
            <w:tcW w:w="2728" w:type="pct"/>
            <w:vAlign w:val="center"/>
          </w:tcPr>
          <w:p w14:paraId="0C40F438">
            <w:pPr>
              <w:pStyle w:val="157"/>
              <w:widowControl w:val="0"/>
              <w:spacing w:line="320" w:lineRule="exact"/>
              <w:jc w:val="both"/>
              <w:rPr>
                <w:rFonts w:ascii="Times New Roman" w:hAnsi="Times New Roman" w:eastAsiaTheme="minorEastAsia"/>
                <w:snapToGrid w:val="0"/>
                <w:color w:val="auto"/>
                <w:w w:val="99"/>
                <w:kern w:val="0"/>
                <w:szCs w:val="24"/>
                <w:highlight w:val="none"/>
                <w:lang w:val="en-US"/>
              </w:rPr>
            </w:pPr>
            <w:r>
              <w:rPr>
                <w:rFonts w:ascii="Times New Roman" w:hAnsi="Times New Roman" w:eastAsiaTheme="minorEastAsia"/>
                <w:snapToGrid w:val="0"/>
                <w:color w:val="auto"/>
                <w:w w:val="99"/>
                <w:kern w:val="0"/>
                <w:szCs w:val="24"/>
                <w:highlight w:val="none"/>
                <w:lang w:val="en-US"/>
              </w:rPr>
              <w:t>以水源开采井为基准，按大型水源30年+1100天流程圈定的范围</w:t>
            </w:r>
          </w:p>
        </w:tc>
      </w:tr>
      <w:tr w14:paraId="3B218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vMerge w:val="continue"/>
            <w:vAlign w:val="center"/>
          </w:tcPr>
          <w:p w14:paraId="31E4BEA7">
            <w:pPr>
              <w:pStyle w:val="157"/>
              <w:widowControl w:val="0"/>
              <w:spacing w:line="320" w:lineRule="exact"/>
              <w:jc w:val="both"/>
              <w:rPr>
                <w:rFonts w:ascii="Times New Roman" w:hAnsi="Times New Roman" w:eastAsiaTheme="minorEastAsia"/>
                <w:snapToGrid w:val="0"/>
                <w:color w:val="auto"/>
                <w:w w:val="99"/>
                <w:kern w:val="0"/>
                <w:szCs w:val="24"/>
                <w:highlight w:val="none"/>
                <w:lang w:val="en-US"/>
              </w:rPr>
            </w:pPr>
          </w:p>
        </w:tc>
        <w:tc>
          <w:tcPr>
            <w:tcW w:w="719" w:type="pct"/>
            <w:vMerge w:val="restart"/>
            <w:vAlign w:val="center"/>
          </w:tcPr>
          <w:p w14:paraId="2F72DB92">
            <w:pPr>
              <w:pStyle w:val="157"/>
              <w:widowControl w:val="0"/>
              <w:spacing w:line="320" w:lineRule="exact"/>
              <w:rPr>
                <w:rFonts w:ascii="Times New Roman" w:hAnsi="Times New Roman" w:eastAsiaTheme="minorEastAsia"/>
                <w:snapToGrid w:val="0"/>
                <w:color w:val="auto"/>
                <w:w w:val="99"/>
                <w:kern w:val="0"/>
                <w:szCs w:val="24"/>
                <w:highlight w:val="none"/>
                <w:lang w:val="en-US"/>
              </w:rPr>
            </w:pPr>
            <w:r>
              <w:rPr>
                <w:rFonts w:ascii="Times New Roman" w:hAnsi="Times New Roman" w:eastAsiaTheme="minorEastAsia"/>
                <w:snapToGrid w:val="0"/>
                <w:color w:val="auto"/>
                <w:w w:val="99"/>
                <w:kern w:val="0"/>
                <w:szCs w:val="24"/>
                <w:highlight w:val="none"/>
                <w:lang w:val="en-US"/>
              </w:rPr>
              <w:t>中小型</w:t>
            </w:r>
            <w:bookmarkStart w:id="325" w:name="OLE_LINK93"/>
            <w:r>
              <w:rPr>
                <w:rFonts w:ascii="Times New Roman" w:hAnsi="Times New Roman" w:eastAsiaTheme="minorEastAsia"/>
                <w:snapToGrid w:val="0"/>
                <w:color w:val="auto"/>
                <w:w w:val="99"/>
                <w:kern w:val="0"/>
                <w:szCs w:val="24"/>
                <w:highlight w:val="none"/>
                <w:lang w:val="en-US"/>
              </w:rPr>
              <w:t>＜5万m</w:t>
            </w:r>
            <w:r>
              <w:rPr>
                <w:rFonts w:ascii="Times New Roman" w:hAnsi="Times New Roman" w:eastAsiaTheme="minorEastAsia"/>
                <w:snapToGrid w:val="0"/>
                <w:color w:val="auto"/>
                <w:w w:val="99"/>
                <w:kern w:val="0"/>
                <w:szCs w:val="24"/>
                <w:highlight w:val="none"/>
                <w:vertAlign w:val="superscript"/>
                <w:lang w:val="en-US"/>
              </w:rPr>
              <w:t>3</w:t>
            </w:r>
            <w:r>
              <w:rPr>
                <w:rFonts w:ascii="Times New Roman" w:hAnsi="Times New Roman" w:eastAsiaTheme="minorEastAsia"/>
                <w:snapToGrid w:val="0"/>
                <w:color w:val="auto"/>
                <w:w w:val="99"/>
                <w:kern w:val="0"/>
                <w:szCs w:val="24"/>
                <w:highlight w:val="none"/>
                <w:lang w:val="en-US"/>
              </w:rPr>
              <w:t>/d</w:t>
            </w:r>
            <w:bookmarkEnd w:id="325"/>
          </w:p>
        </w:tc>
        <w:tc>
          <w:tcPr>
            <w:tcW w:w="1145" w:type="pct"/>
            <w:vAlign w:val="center"/>
          </w:tcPr>
          <w:p w14:paraId="645E2DC7">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已划定</w:t>
            </w:r>
            <w:r>
              <w:rPr>
                <w:rFonts w:ascii="Times New Roman" w:hAnsi="Times New Roman" w:eastAsiaTheme="minorEastAsia"/>
                <w:snapToGrid w:val="0"/>
                <w:color w:val="auto"/>
                <w:w w:val="99"/>
                <w:kern w:val="0"/>
                <w:szCs w:val="24"/>
                <w:highlight w:val="none"/>
                <w:lang w:val="en-US"/>
              </w:rPr>
              <w:t>二级保护区的</w:t>
            </w:r>
          </w:p>
        </w:tc>
        <w:tc>
          <w:tcPr>
            <w:tcW w:w="2728" w:type="pct"/>
            <w:vAlign w:val="center"/>
          </w:tcPr>
          <w:p w14:paraId="0C0F1EE9">
            <w:pPr>
              <w:pStyle w:val="157"/>
              <w:widowControl w:val="0"/>
              <w:spacing w:line="320" w:lineRule="exact"/>
              <w:jc w:val="both"/>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lang w:val="en-US"/>
              </w:rPr>
              <w:t>以二级保护区边界为基准，按中小型水源15年流程圈定的范围</w:t>
            </w:r>
          </w:p>
        </w:tc>
      </w:tr>
      <w:tr w14:paraId="34025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vMerge w:val="continue"/>
            <w:vAlign w:val="center"/>
          </w:tcPr>
          <w:p w14:paraId="1165F8F6">
            <w:pPr>
              <w:pStyle w:val="157"/>
              <w:widowControl w:val="0"/>
              <w:spacing w:line="320" w:lineRule="exact"/>
              <w:jc w:val="both"/>
              <w:rPr>
                <w:rFonts w:ascii="Times New Roman" w:hAnsi="Times New Roman" w:eastAsiaTheme="minorEastAsia"/>
                <w:snapToGrid w:val="0"/>
                <w:color w:val="auto"/>
                <w:w w:val="99"/>
                <w:kern w:val="0"/>
                <w:szCs w:val="24"/>
                <w:highlight w:val="none"/>
              </w:rPr>
            </w:pPr>
          </w:p>
        </w:tc>
        <w:tc>
          <w:tcPr>
            <w:tcW w:w="719" w:type="pct"/>
            <w:vMerge w:val="continue"/>
            <w:vAlign w:val="center"/>
          </w:tcPr>
          <w:p w14:paraId="100CAB05">
            <w:pPr>
              <w:pStyle w:val="157"/>
              <w:widowControl w:val="0"/>
              <w:spacing w:line="320" w:lineRule="exact"/>
              <w:jc w:val="both"/>
              <w:rPr>
                <w:rFonts w:ascii="Times New Roman" w:hAnsi="Times New Roman" w:eastAsiaTheme="minorEastAsia"/>
                <w:snapToGrid w:val="0"/>
                <w:color w:val="auto"/>
                <w:w w:val="99"/>
                <w:kern w:val="0"/>
                <w:szCs w:val="24"/>
                <w:highlight w:val="none"/>
              </w:rPr>
            </w:pPr>
          </w:p>
        </w:tc>
        <w:tc>
          <w:tcPr>
            <w:tcW w:w="1145" w:type="pct"/>
            <w:vAlign w:val="center"/>
          </w:tcPr>
          <w:p w14:paraId="51099464">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lang w:val="en-US"/>
              </w:rPr>
              <w:t>仅划定了一级保护区的</w:t>
            </w:r>
          </w:p>
        </w:tc>
        <w:tc>
          <w:tcPr>
            <w:tcW w:w="2728" w:type="pct"/>
            <w:vAlign w:val="center"/>
          </w:tcPr>
          <w:p w14:paraId="778E954B">
            <w:pPr>
              <w:pStyle w:val="157"/>
              <w:widowControl w:val="0"/>
              <w:spacing w:line="320" w:lineRule="exact"/>
              <w:jc w:val="both"/>
              <w:rPr>
                <w:rFonts w:ascii="Times New Roman" w:hAnsi="Times New Roman" w:eastAsiaTheme="minorEastAsia"/>
                <w:snapToGrid w:val="0"/>
                <w:color w:val="auto"/>
                <w:w w:val="99"/>
                <w:kern w:val="0"/>
                <w:szCs w:val="24"/>
                <w:highlight w:val="none"/>
                <w:lang w:val="en-US"/>
              </w:rPr>
            </w:pPr>
            <w:r>
              <w:rPr>
                <w:rFonts w:ascii="Times New Roman" w:hAnsi="Times New Roman" w:eastAsiaTheme="minorEastAsia"/>
                <w:snapToGrid w:val="0"/>
                <w:color w:val="auto"/>
                <w:w w:val="99"/>
                <w:kern w:val="0"/>
                <w:szCs w:val="24"/>
                <w:highlight w:val="none"/>
                <w:lang w:val="en-US"/>
              </w:rPr>
              <w:t>以水源一级保护区边界为基准，按中小型水源15年+1000天流程圈定的范围</w:t>
            </w:r>
          </w:p>
        </w:tc>
      </w:tr>
      <w:tr w14:paraId="58B61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vMerge w:val="continue"/>
            <w:vAlign w:val="center"/>
          </w:tcPr>
          <w:p w14:paraId="59D174D1">
            <w:pPr>
              <w:pStyle w:val="157"/>
              <w:widowControl w:val="0"/>
              <w:spacing w:line="320" w:lineRule="exact"/>
              <w:jc w:val="both"/>
              <w:rPr>
                <w:rFonts w:ascii="Times New Roman" w:hAnsi="Times New Roman" w:eastAsiaTheme="minorEastAsia"/>
                <w:snapToGrid w:val="0"/>
                <w:color w:val="auto"/>
                <w:w w:val="99"/>
                <w:kern w:val="0"/>
                <w:szCs w:val="24"/>
                <w:highlight w:val="none"/>
              </w:rPr>
            </w:pPr>
          </w:p>
        </w:tc>
        <w:tc>
          <w:tcPr>
            <w:tcW w:w="719" w:type="pct"/>
            <w:vMerge w:val="continue"/>
            <w:vAlign w:val="center"/>
          </w:tcPr>
          <w:p w14:paraId="537B5921">
            <w:pPr>
              <w:pStyle w:val="157"/>
              <w:widowControl w:val="0"/>
              <w:spacing w:line="320" w:lineRule="exact"/>
              <w:jc w:val="both"/>
              <w:rPr>
                <w:rFonts w:ascii="Times New Roman" w:hAnsi="Times New Roman" w:eastAsiaTheme="minorEastAsia"/>
                <w:snapToGrid w:val="0"/>
                <w:color w:val="auto"/>
                <w:w w:val="99"/>
                <w:kern w:val="0"/>
                <w:szCs w:val="24"/>
                <w:highlight w:val="none"/>
              </w:rPr>
            </w:pPr>
          </w:p>
        </w:tc>
        <w:tc>
          <w:tcPr>
            <w:tcW w:w="1145" w:type="pct"/>
            <w:vAlign w:val="center"/>
          </w:tcPr>
          <w:p w14:paraId="3E1733B6">
            <w:pPr>
              <w:pStyle w:val="157"/>
              <w:widowControl w:val="0"/>
              <w:spacing w:line="320" w:lineRule="exact"/>
              <w:rPr>
                <w:rFonts w:ascii="Times New Roman" w:hAnsi="Times New Roman" w:eastAsiaTheme="minorEastAsia"/>
                <w:snapToGrid w:val="0"/>
                <w:color w:val="auto"/>
                <w:w w:val="99"/>
                <w:kern w:val="0"/>
                <w:szCs w:val="24"/>
                <w:highlight w:val="none"/>
                <w:lang w:val="en-US"/>
              </w:rPr>
            </w:pPr>
            <w:r>
              <w:rPr>
                <w:rFonts w:ascii="Times New Roman" w:hAnsi="Times New Roman" w:eastAsiaTheme="minorEastAsia"/>
                <w:snapToGrid w:val="0"/>
                <w:color w:val="auto"/>
                <w:w w:val="99"/>
                <w:kern w:val="0"/>
                <w:szCs w:val="24"/>
                <w:highlight w:val="none"/>
                <w:lang w:val="en-US"/>
              </w:rPr>
              <w:t>未划定保护区的</w:t>
            </w:r>
          </w:p>
        </w:tc>
        <w:tc>
          <w:tcPr>
            <w:tcW w:w="2728" w:type="pct"/>
            <w:vAlign w:val="center"/>
          </w:tcPr>
          <w:p w14:paraId="1B27961A">
            <w:pPr>
              <w:pStyle w:val="157"/>
              <w:widowControl w:val="0"/>
              <w:spacing w:line="320" w:lineRule="exact"/>
              <w:jc w:val="both"/>
              <w:rPr>
                <w:rFonts w:ascii="Times New Roman" w:hAnsi="Times New Roman" w:eastAsiaTheme="minorEastAsia"/>
                <w:snapToGrid w:val="0"/>
                <w:color w:val="auto"/>
                <w:w w:val="99"/>
                <w:kern w:val="0"/>
                <w:szCs w:val="24"/>
                <w:highlight w:val="none"/>
                <w:lang w:val="en-US"/>
              </w:rPr>
            </w:pPr>
            <w:r>
              <w:rPr>
                <w:rFonts w:ascii="Times New Roman" w:hAnsi="Times New Roman" w:eastAsiaTheme="minorEastAsia"/>
                <w:snapToGrid w:val="0"/>
                <w:color w:val="auto"/>
                <w:w w:val="99"/>
                <w:kern w:val="0"/>
                <w:szCs w:val="24"/>
                <w:highlight w:val="none"/>
                <w:lang w:val="en-US"/>
              </w:rPr>
              <w:t>以水源开采井为基准，按中小型水源15年+1100天流程圈定的范围</w:t>
            </w:r>
          </w:p>
        </w:tc>
      </w:tr>
    </w:tbl>
    <w:p w14:paraId="5C2172D6">
      <w:pPr>
        <w:widowControl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质点运移距离采用下述公式计算：</w:t>
      </w:r>
    </w:p>
    <w:p w14:paraId="0A3F68C4">
      <w:pPr>
        <w:widowControl w:val="0"/>
        <w:spacing w:line="440" w:lineRule="exact"/>
        <w:ind w:firstLine="474" w:firstLineChars="200"/>
        <w:jc w:val="both"/>
        <w:rPr>
          <w:rFonts w:ascii="Times New Roman" w:hAnsi="Times New Roman" w:cs="Times New Roman"/>
          <w:color w:val="auto"/>
          <w:w w:val="99"/>
          <w:highlight w:val="none"/>
          <w:lang w:val="de-DE"/>
        </w:rPr>
      </w:pPr>
      <w:r>
        <w:rPr>
          <w:rFonts w:hint="eastAsia" w:ascii="Times New Roman" w:hAnsi="Times New Roman" w:cs="Times New Roman"/>
          <w:color w:val="auto"/>
          <w:w w:val="99"/>
          <w:highlight w:val="none"/>
        </w:rPr>
        <w:t>L=α</w:t>
      </w:r>
      <w:r>
        <w:rPr>
          <w:rFonts w:hint="eastAsia" w:ascii="Times New Roman" w:hAnsi="Times New Roman" w:cs="Times New Roman"/>
          <w:color w:val="auto"/>
          <w:w w:val="99"/>
          <w:highlight w:val="none"/>
          <w:lang w:val="de-DE"/>
        </w:rPr>
        <w:t>×K×I×T/n</w:t>
      </w:r>
      <w:r>
        <w:rPr>
          <w:rFonts w:hint="eastAsia" w:ascii="Times New Roman" w:hAnsi="Times New Roman" w:cs="Times New Roman"/>
          <w:color w:val="auto"/>
          <w:w w:val="99"/>
          <w:highlight w:val="none"/>
          <w:vertAlign w:val="subscript"/>
          <w:lang w:val="de-DE"/>
        </w:rPr>
        <w:t>e</w:t>
      </w:r>
    </w:p>
    <w:p w14:paraId="3DA2E5B2">
      <w:pPr>
        <w:widowControl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式中：L—下游迁移距离，m；</w:t>
      </w:r>
    </w:p>
    <w:p w14:paraId="2D52A3E0">
      <w:pPr>
        <w:widowControl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α—变化系数，α≥1，一般取2；</w:t>
      </w:r>
    </w:p>
    <w:p w14:paraId="5665836B">
      <w:pPr>
        <w:widowControl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K—渗透系数，m/d；</w:t>
      </w:r>
    </w:p>
    <w:p w14:paraId="0F6F7ECF">
      <w:pPr>
        <w:widowControl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I—水力坡度，无量纲；</w:t>
      </w:r>
    </w:p>
    <w:p w14:paraId="436083FF">
      <w:pPr>
        <w:widowControl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T—质点迁移天数；</w:t>
      </w:r>
    </w:p>
    <w:p w14:paraId="68B49B56">
      <w:pPr>
        <w:widowControl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n</w:t>
      </w:r>
      <w:r>
        <w:rPr>
          <w:rFonts w:hint="eastAsia" w:ascii="Times New Roman" w:hAnsi="Times New Roman" w:cs="Times New Roman"/>
          <w:color w:val="auto"/>
          <w:w w:val="99"/>
          <w:highlight w:val="none"/>
          <w:vertAlign w:val="subscript"/>
        </w:rPr>
        <w:t>e</w:t>
      </w:r>
      <w:r>
        <w:rPr>
          <w:rFonts w:hint="eastAsia" w:ascii="Times New Roman" w:hAnsi="Times New Roman" w:cs="Times New Roman"/>
          <w:color w:val="auto"/>
          <w:w w:val="99"/>
          <w:highlight w:val="none"/>
        </w:rPr>
        <w:t xml:space="preserve"> —有效孔隙度，无量纲。</w:t>
      </w:r>
    </w:p>
    <w:p w14:paraId="73B819F1">
      <w:pPr>
        <w:widowControl w:val="0"/>
        <w:spacing w:line="440" w:lineRule="exact"/>
        <w:ind w:firstLine="474" w:firstLineChars="200"/>
        <w:jc w:val="both"/>
        <w:rPr>
          <w:rFonts w:ascii="Times New Roman" w:hAnsi="Times New Roman" w:cs="Times New Roman" w:eastAsiaTheme="minorEastAsia"/>
          <w:color w:val="auto"/>
          <w:spacing w:val="-2"/>
          <w:w w:val="99"/>
          <w:highlight w:val="none"/>
        </w:rPr>
      </w:pPr>
      <w:r>
        <w:rPr>
          <w:rFonts w:hint="eastAsia" w:ascii="Times New Roman" w:hAnsi="Times New Roman" w:cs="Times New Roman"/>
          <w:color w:val="auto"/>
          <w:w w:val="99"/>
          <w:highlight w:val="none"/>
        </w:rPr>
        <w:t>根据该地区的水文地质条件</w:t>
      </w:r>
      <w:r>
        <w:rPr>
          <w:rFonts w:hint="eastAsia" w:ascii="Times New Roman" w:hAnsi="Times New Roman" w:cs="Times New Roman" w:eastAsiaTheme="minorEastAsia"/>
          <w:color w:val="auto"/>
          <w:spacing w:val="-2"/>
          <w:w w:val="99"/>
          <w:highlight w:val="none"/>
        </w:rPr>
        <w:t>，</w:t>
      </w:r>
      <w:r>
        <w:rPr>
          <w:rFonts w:ascii="Times New Roman" w:hAnsi="Times New Roman" w:cs="Times New Roman" w:eastAsiaTheme="minorEastAsia"/>
          <w:color w:val="auto"/>
          <w:spacing w:val="-2"/>
          <w:w w:val="99"/>
          <w:highlight w:val="none"/>
        </w:rPr>
        <w:t>本区域潜水含水层岩性主要为</w:t>
      </w:r>
      <w:r>
        <w:rPr>
          <w:rFonts w:hint="eastAsia" w:ascii="Times New Roman" w:hAnsi="Times New Roman" w:cs="Times New Roman" w:eastAsiaTheme="minorEastAsia"/>
          <w:color w:val="auto"/>
          <w:spacing w:val="-2"/>
          <w:w w:val="99"/>
          <w:highlight w:val="none"/>
        </w:rPr>
        <w:t>粉</w:t>
      </w:r>
      <w:r>
        <w:rPr>
          <w:rFonts w:ascii="Times New Roman" w:hAnsi="Times New Roman" w:cs="Times New Roman" w:eastAsiaTheme="minorEastAsia"/>
          <w:color w:val="auto"/>
          <w:spacing w:val="-2"/>
          <w:w w:val="99"/>
          <w:highlight w:val="none"/>
        </w:rPr>
        <w:t>细砂，承压水含水层岩性主要为</w:t>
      </w:r>
      <w:r>
        <w:rPr>
          <w:rFonts w:hint="eastAsia" w:ascii="Times New Roman" w:hAnsi="Times New Roman" w:cs="Times New Roman" w:eastAsiaTheme="minorEastAsia"/>
          <w:color w:val="auto"/>
          <w:spacing w:val="-2"/>
          <w:w w:val="99"/>
          <w:highlight w:val="none"/>
          <w:lang w:eastAsia="zh-CN"/>
        </w:rPr>
        <w:t>砂粒</w:t>
      </w:r>
      <w:r>
        <w:rPr>
          <w:rFonts w:ascii="Times New Roman" w:hAnsi="Times New Roman" w:cs="Times New Roman" w:eastAsiaTheme="minorEastAsia"/>
          <w:color w:val="auto"/>
          <w:spacing w:val="-2"/>
          <w:w w:val="99"/>
          <w:highlight w:val="none"/>
        </w:rPr>
        <w:t>岩，结合《环境影响评价技术导则</w:t>
      </w:r>
      <w:r>
        <w:rPr>
          <w:rFonts w:hint="eastAsia" w:ascii="Times New Roman" w:hAnsi="Times New Roman" w:cs="Times New Roman" w:eastAsiaTheme="minorEastAsia"/>
          <w:color w:val="auto"/>
          <w:spacing w:val="-2"/>
          <w:w w:val="99"/>
          <w:highlight w:val="none"/>
        </w:rPr>
        <w:t xml:space="preserve"> </w:t>
      </w:r>
      <w:r>
        <w:rPr>
          <w:rFonts w:ascii="Times New Roman" w:hAnsi="Times New Roman" w:cs="Times New Roman" w:eastAsiaTheme="minorEastAsia"/>
          <w:color w:val="auto"/>
          <w:spacing w:val="-2"/>
          <w:w w:val="99"/>
          <w:highlight w:val="none"/>
        </w:rPr>
        <w:t>地下水》（HJ610-2016）附录B中的水文地质参数，本次渗透系数潜水K</w:t>
      </w:r>
      <w:r>
        <w:rPr>
          <w:rFonts w:ascii="Times New Roman" w:hAnsi="Times New Roman" w:cs="Times New Roman" w:eastAsiaTheme="minorEastAsia"/>
          <w:color w:val="auto"/>
          <w:spacing w:val="-2"/>
          <w:w w:val="99"/>
          <w:highlight w:val="none"/>
          <w:vertAlign w:val="subscript"/>
        </w:rPr>
        <w:t>潜水</w:t>
      </w:r>
      <w:r>
        <w:rPr>
          <w:rFonts w:ascii="Times New Roman" w:hAnsi="Times New Roman" w:cs="Times New Roman" w:eastAsiaTheme="minorEastAsia"/>
          <w:color w:val="auto"/>
          <w:spacing w:val="-2"/>
          <w:w w:val="99"/>
          <w:highlight w:val="none"/>
        </w:rPr>
        <w:t>=</w:t>
      </w:r>
      <w:r>
        <w:rPr>
          <w:rFonts w:hint="eastAsia" w:ascii="Times New Roman" w:hAnsi="Times New Roman" w:cs="Times New Roman" w:eastAsiaTheme="minorEastAsia"/>
          <w:color w:val="auto"/>
          <w:spacing w:val="-2"/>
          <w:w w:val="99"/>
          <w:highlight w:val="none"/>
        </w:rPr>
        <w:t>5.0</w:t>
      </w:r>
      <w:r>
        <w:rPr>
          <w:rFonts w:ascii="Times New Roman" w:hAnsi="Times New Roman" w:cs="Times New Roman" w:eastAsiaTheme="minorEastAsia"/>
          <w:color w:val="auto"/>
          <w:spacing w:val="-2"/>
          <w:w w:val="99"/>
          <w:highlight w:val="none"/>
        </w:rPr>
        <w:t>m/d、承压水K</w:t>
      </w:r>
      <w:r>
        <w:rPr>
          <w:rFonts w:ascii="Times New Roman" w:hAnsi="Times New Roman" w:cs="Times New Roman" w:eastAsiaTheme="minorEastAsia"/>
          <w:color w:val="auto"/>
          <w:spacing w:val="-2"/>
          <w:w w:val="99"/>
          <w:highlight w:val="none"/>
          <w:vertAlign w:val="subscript"/>
        </w:rPr>
        <w:t>承压水</w:t>
      </w:r>
      <w:r>
        <w:rPr>
          <w:rFonts w:ascii="Times New Roman" w:hAnsi="Times New Roman" w:cs="Times New Roman" w:eastAsiaTheme="minorEastAsia"/>
          <w:color w:val="auto"/>
          <w:spacing w:val="-2"/>
          <w:w w:val="99"/>
          <w:highlight w:val="none"/>
        </w:rPr>
        <w:t>=</w:t>
      </w:r>
      <w:r>
        <w:rPr>
          <w:rFonts w:hint="eastAsia" w:ascii="Times New Roman" w:hAnsi="Times New Roman" w:cs="Times New Roman" w:eastAsiaTheme="minorEastAsia"/>
          <w:color w:val="auto"/>
          <w:spacing w:val="-2"/>
          <w:w w:val="99"/>
          <w:highlight w:val="none"/>
        </w:rPr>
        <w:t>50.0</w:t>
      </w:r>
      <w:r>
        <w:rPr>
          <w:rFonts w:ascii="Times New Roman" w:hAnsi="Times New Roman" w:cs="Times New Roman" w:eastAsiaTheme="minorEastAsia"/>
          <w:color w:val="auto"/>
          <w:spacing w:val="-2"/>
          <w:w w:val="99"/>
          <w:highlight w:val="none"/>
        </w:rPr>
        <w:t>m/d，有效孔隙度</w:t>
      </w:r>
      <w:r>
        <w:rPr>
          <w:rFonts w:ascii="Times New Roman" w:hAnsi="Times New Roman" w:cs="Times New Roman" w:eastAsiaTheme="minorEastAsia"/>
          <w:color w:val="auto"/>
          <w:spacing w:val="-2"/>
          <w:w w:val="99"/>
          <w:highlight w:val="none"/>
          <w:lang w:val="de-DE"/>
        </w:rPr>
        <w:t>n</w:t>
      </w:r>
      <w:r>
        <w:rPr>
          <w:rFonts w:ascii="Times New Roman" w:hAnsi="Times New Roman" w:cs="Times New Roman" w:eastAsiaTheme="minorEastAsia"/>
          <w:color w:val="auto"/>
          <w:spacing w:val="-2"/>
          <w:w w:val="99"/>
          <w:highlight w:val="none"/>
          <w:vertAlign w:val="subscript"/>
          <w:lang w:val="de-DE"/>
        </w:rPr>
        <w:t>e</w:t>
      </w:r>
      <w:r>
        <w:rPr>
          <w:rFonts w:ascii="Times New Roman" w:hAnsi="Times New Roman" w:cs="Times New Roman" w:eastAsiaTheme="minorEastAsia"/>
          <w:color w:val="auto"/>
          <w:spacing w:val="-2"/>
          <w:w w:val="99"/>
          <w:highlight w:val="none"/>
          <w:vertAlign w:val="subscript"/>
        </w:rPr>
        <w:t>潜水</w:t>
      </w:r>
      <w:r>
        <w:rPr>
          <w:rFonts w:ascii="Times New Roman" w:hAnsi="Times New Roman" w:cs="Times New Roman" w:eastAsiaTheme="minorEastAsia"/>
          <w:color w:val="auto"/>
          <w:spacing w:val="-2"/>
          <w:w w:val="99"/>
          <w:highlight w:val="none"/>
        </w:rPr>
        <w:t>=0.</w:t>
      </w:r>
      <w:r>
        <w:rPr>
          <w:rFonts w:hint="eastAsia" w:ascii="Times New Roman" w:hAnsi="Times New Roman" w:cs="Times New Roman" w:eastAsiaTheme="minorEastAsia"/>
          <w:color w:val="auto"/>
          <w:spacing w:val="-2"/>
          <w:w w:val="99"/>
          <w:highlight w:val="none"/>
        </w:rPr>
        <w:t>20</w:t>
      </w:r>
      <w:r>
        <w:rPr>
          <w:rFonts w:ascii="Times New Roman" w:hAnsi="Times New Roman" w:cs="Times New Roman" w:eastAsiaTheme="minorEastAsia"/>
          <w:color w:val="auto"/>
          <w:spacing w:val="-2"/>
          <w:w w:val="99"/>
          <w:highlight w:val="none"/>
        </w:rPr>
        <w:t>，</w:t>
      </w:r>
      <w:r>
        <w:rPr>
          <w:rFonts w:ascii="Times New Roman" w:hAnsi="Times New Roman" w:cs="Times New Roman" w:eastAsiaTheme="minorEastAsia"/>
          <w:color w:val="auto"/>
          <w:spacing w:val="-2"/>
          <w:w w:val="99"/>
          <w:highlight w:val="none"/>
          <w:lang w:val="de-DE"/>
        </w:rPr>
        <w:t>n</w:t>
      </w:r>
      <w:r>
        <w:rPr>
          <w:rFonts w:ascii="Times New Roman" w:hAnsi="Times New Roman" w:cs="Times New Roman" w:eastAsiaTheme="minorEastAsia"/>
          <w:color w:val="auto"/>
          <w:spacing w:val="-2"/>
          <w:w w:val="99"/>
          <w:highlight w:val="none"/>
          <w:vertAlign w:val="subscript"/>
          <w:lang w:val="de-DE"/>
        </w:rPr>
        <w:t>e</w:t>
      </w:r>
      <w:r>
        <w:rPr>
          <w:rFonts w:ascii="Times New Roman" w:hAnsi="Times New Roman" w:cs="Times New Roman" w:eastAsiaTheme="minorEastAsia"/>
          <w:color w:val="auto"/>
          <w:spacing w:val="-2"/>
          <w:w w:val="99"/>
          <w:highlight w:val="none"/>
          <w:vertAlign w:val="subscript"/>
        </w:rPr>
        <w:t>承压水</w:t>
      </w:r>
      <w:r>
        <w:rPr>
          <w:rFonts w:ascii="Times New Roman" w:hAnsi="Times New Roman" w:cs="Times New Roman" w:eastAsiaTheme="minorEastAsia"/>
          <w:color w:val="auto"/>
          <w:spacing w:val="-2"/>
          <w:w w:val="99"/>
          <w:highlight w:val="none"/>
        </w:rPr>
        <w:t>=0.</w:t>
      </w:r>
      <w:r>
        <w:rPr>
          <w:rFonts w:hint="eastAsia" w:ascii="Times New Roman" w:hAnsi="Times New Roman" w:cs="Times New Roman" w:eastAsiaTheme="minorEastAsia"/>
          <w:color w:val="auto"/>
          <w:spacing w:val="-2"/>
          <w:w w:val="99"/>
          <w:highlight w:val="none"/>
        </w:rPr>
        <w:t>30</w:t>
      </w:r>
      <w:r>
        <w:rPr>
          <w:rFonts w:ascii="Times New Roman" w:hAnsi="Times New Roman" w:cs="Times New Roman" w:eastAsiaTheme="minorEastAsia"/>
          <w:color w:val="auto"/>
          <w:spacing w:val="-2"/>
          <w:w w:val="99"/>
          <w:highlight w:val="none"/>
        </w:rPr>
        <w:t>。根据区域地下水等水位线与距离确定水力坡度，潜水水力坡度I</w:t>
      </w:r>
      <w:r>
        <w:rPr>
          <w:rFonts w:ascii="Times New Roman" w:hAnsi="Times New Roman" w:cs="Times New Roman" w:eastAsiaTheme="minorEastAsia"/>
          <w:color w:val="auto"/>
          <w:spacing w:val="-2"/>
          <w:w w:val="99"/>
          <w:highlight w:val="none"/>
          <w:vertAlign w:val="subscript"/>
        </w:rPr>
        <w:t>潜水</w:t>
      </w:r>
      <w:r>
        <w:rPr>
          <w:rFonts w:ascii="Times New Roman" w:hAnsi="Times New Roman" w:cs="Times New Roman" w:eastAsiaTheme="minorEastAsia"/>
          <w:color w:val="auto"/>
          <w:spacing w:val="-2"/>
          <w:w w:val="99"/>
          <w:highlight w:val="none"/>
        </w:rPr>
        <w:t>=0.00</w:t>
      </w:r>
      <w:r>
        <w:rPr>
          <w:rFonts w:hint="eastAsia" w:ascii="Times New Roman" w:hAnsi="Times New Roman" w:cs="Times New Roman" w:eastAsiaTheme="minorEastAsia"/>
          <w:color w:val="auto"/>
          <w:spacing w:val="-2"/>
          <w:w w:val="99"/>
          <w:highlight w:val="none"/>
        </w:rPr>
        <w:t>14</w:t>
      </w:r>
      <w:r>
        <w:rPr>
          <w:rFonts w:ascii="Times New Roman" w:hAnsi="Times New Roman" w:cs="Times New Roman" w:eastAsiaTheme="minorEastAsia"/>
          <w:color w:val="auto"/>
          <w:spacing w:val="-2"/>
          <w:w w:val="99"/>
          <w:highlight w:val="none"/>
        </w:rPr>
        <w:t>、承压水水力坡度I</w:t>
      </w:r>
      <w:r>
        <w:rPr>
          <w:rFonts w:ascii="Times New Roman" w:hAnsi="Times New Roman" w:cs="Times New Roman" w:eastAsiaTheme="minorEastAsia"/>
          <w:color w:val="auto"/>
          <w:spacing w:val="-2"/>
          <w:w w:val="99"/>
          <w:highlight w:val="none"/>
          <w:vertAlign w:val="subscript"/>
        </w:rPr>
        <w:t>承压水</w:t>
      </w:r>
      <w:r>
        <w:rPr>
          <w:rFonts w:ascii="Times New Roman" w:hAnsi="Times New Roman" w:cs="Times New Roman" w:eastAsiaTheme="minorEastAsia"/>
          <w:color w:val="auto"/>
          <w:spacing w:val="-2"/>
          <w:w w:val="99"/>
          <w:highlight w:val="none"/>
        </w:rPr>
        <w:t>=0.000</w:t>
      </w:r>
      <w:r>
        <w:rPr>
          <w:rFonts w:hint="eastAsia" w:ascii="Times New Roman" w:hAnsi="Times New Roman" w:cs="Times New Roman" w:eastAsiaTheme="minorEastAsia"/>
          <w:color w:val="auto"/>
          <w:spacing w:val="-2"/>
          <w:w w:val="99"/>
          <w:highlight w:val="none"/>
        </w:rPr>
        <w:t>7</w:t>
      </w:r>
      <w:r>
        <w:rPr>
          <w:rFonts w:ascii="Times New Roman" w:hAnsi="Times New Roman" w:cs="Times New Roman" w:eastAsiaTheme="minorEastAsia"/>
          <w:color w:val="auto"/>
          <w:spacing w:val="-2"/>
          <w:w w:val="99"/>
          <w:highlight w:val="none"/>
        </w:rPr>
        <w:t>。</w:t>
      </w:r>
    </w:p>
    <w:p w14:paraId="78C81B5F">
      <w:pPr>
        <w:widowControl w:val="0"/>
        <w:spacing w:line="440" w:lineRule="exact"/>
        <w:ind w:firstLine="466"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spacing w:val="-2"/>
          <w:w w:val="99"/>
          <w:highlight w:val="none"/>
        </w:rPr>
        <w:t>经上述公式计算得出：</w:t>
      </w:r>
    </w:p>
    <w:p w14:paraId="2FCF1036">
      <w:pPr>
        <w:widowControl w:val="0"/>
        <w:spacing w:line="440" w:lineRule="exact"/>
        <w:ind w:firstLine="474" w:firstLineChars="200"/>
        <w:rPr>
          <w:rFonts w:ascii="Times New Roman" w:hAnsi="Times New Roman" w:cs="Times New Roman" w:eastAsiaTheme="minorEastAsia"/>
          <w:color w:val="auto"/>
          <w:w w:val="99"/>
          <w:highlight w:val="none"/>
        </w:rPr>
      </w:pPr>
      <w:r>
        <w:rPr>
          <w:rFonts w:hint="eastAsia"/>
          <w:color w:val="auto"/>
          <w:w w:val="99"/>
          <w:highlight w:val="none"/>
        </w:rPr>
        <w:t>①</w:t>
      </w:r>
      <w:r>
        <w:rPr>
          <w:rFonts w:ascii="Times New Roman" w:hAnsi="Times New Roman" w:cs="Times New Roman" w:eastAsiaTheme="minorEastAsia"/>
          <w:color w:val="auto"/>
          <w:w w:val="99"/>
          <w:highlight w:val="none"/>
        </w:rPr>
        <w:t>分散式饮用水源（中小型，承压水，</w:t>
      </w:r>
      <w:r>
        <w:rPr>
          <w:rFonts w:hint="eastAsia" w:ascii="Times New Roman" w:hAnsi="Times New Roman" w:cs="Times New Roman" w:eastAsiaTheme="minorEastAsia"/>
          <w:color w:val="auto"/>
          <w:w w:val="99"/>
          <w:highlight w:val="none"/>
        </w:rPr>
        <w:t>仅</w:t>
      </w:r>
      <w:r>
        <w:rPr>
          <w:rFonts w:ascii="Times New Roman" w:hAnsi="Times New Roman" w:cs="Times New Roman" w:eastAsiaTheme="minorEastAsia"/>
          <w:color w:val="auto"/>
          <w:w w:val="99"/>
          <w:highlight w:val="none"/>
        </w:rPr>
        <w:t>划定</w:t>
      </w:r>
      <w:r>
        <w:rPr>
          <w:rFonts w:hint="eastAsia" w:ascii="Times New Roman" w:hAnsi="Times New Roman" w:cs="Times New Roman" w:eastAsiaTheme="minorEastAsia"/>
          <w:color w:val="auto"/>
          <w:w w:val="99"/>
          <w:highlight w:val="none"/>
        </w:rPr>
        <w:t>一级</w:t>
      </w:r>
      <w:r>
        <w:rPr>
          <w:rFonts w:ascii="Times New Roman" w:hAnsi="Times New Roman" w:cs="Times New Roman" w:eastAsiaTheme="minorEastAsia"/>
          <w:color w:val="auto"/>
          <w:w w:val="99"/>
          <w:highlight w:val="none"/>
        </w:rPr>
        <w:t>保护区）</w:t>
      </w:r>
    </w:p>
    <w:p w14:paraId="35ADB578">
      <w:pPr>
        <w:widowControl w:val="0"/>
        <w:spacing w:line="440" w:lineRule="exact"/>
        <w:ind w:firstLine="474" w:firstLineChars="200"/>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补给区L为以水源井为基准外扩L=2</w:t>
      </w:r>
      <w:r>
        <w:rPr>
          <w:rFonts w:ascii="Times New Roman" w:hAnsi="Times New Roman" w:cs="Times New Roman" w:eastAsiaTheme="minorEastAsia"/>
          <w:color w:val="auto"/>
          <w:w w:val="99"/>
          <w:highlight w:val="none"/>
          <w:lang w:val="de-DE"/>
        </w:rPr>
        <w:t>×</w:t>
      </w:r>
      <w:r>
        <w:rPr>
          <w:rFonts w:hint="eastAsia" w:ascii="Times New Roman" w:hAnsi="Times New Roman" w:cs="Times New Roman" w:eastAsiaTheme="minorEastAsia"/>
          <w:color w:val="auto"/>
          <w:w w:val="99"/>
          <w:highlight w:val="none"/>
        </w:rPr>
        <w:t>50</w:t>
      </w:r>
      <w:r>
        <w:rPr>
          <w:rFonts w:ascii="Times New Roman" w:hAnsi="Times New Roman" w:cs="Times New Roman" w:eastAsiaTheme="minorEastAsia"/>
          <w:color w:val="auto"/>
          <w:w w:val="99"/>
          <w:highlight w:val="none"/>
          <w:lang w:val="de-DE"/>
        </w:rPr>
        <w:t>×0.000</w:t>
      </w:r>
      <w:r>
        <w:rPr>
          <w:rFonts w:hint="eastAsia" w:ascii="Times New Roman" w:hAnsi="Times New Roman" w:cs="Times New Roman" w:eastAsiaTheme="minorEastAsia"/>
          <w:color w:val="auto"/>
          <w:w w:val="99"/>
          <w:highlight w:val="none"/>
        </w:rPr>
        <w:t>7</w:t>
      </w:r>
      <w:r>
        <w:rPr>
          <w:rFonts w:ascii="Times New Roman" w:hAnsi="Times New Roman" w:cs="Times New Roman" w:eastAsiaTheme="minorEastAsia"/>
          <w:color w:val="auto"/>
          <w:w w:val="99"/>
          <w:highlight w:val="none"/>
          <w:lang w:val="de-DE"/>
        </w:rPr>
        <w:t>×（</w:t>
      </w:r>
      <w:r>
        <w:rPr>
          <w:rFonts w:hint="eastAsia" w:ascii="Times New Roman" w:hAnsi="Times New Roman" w:cs="Times New Roman" w:eastAsiaTheme="minorEastAsia"/>
          <w:color w:val="auto"/>
          <w:w w:val="99"/>
          <w:highlight w:val="none"/>
        </w:rPr>
        <w:t>15</w:t>
      </w:r>
      <w:r>
        <w:rPr>
          <w:rFonts w:ascii="Times New Roman" w:hAnsi="Times New Roman" w:cs="Times New Roman" w:eastAsiaTheme="minorEastAsia"/>
          <w:color w:val="auto"/>
          <w:w w:val="99"/>
          <w:highlight w:val="none"/>
          <w:lang w:val="de-DE"/>
        </w:rPr>
        <w:t>×365+1</w:t>
      </w:r>
      <w:r>
        <w:rPr>
          <w:rFonts w:hint="eastAsia" w:ascii="Times New Roman" w:hAnsi="Times New Roman" w:cs="Times New Roman" w:eastAsiaTheme="minorEastAsia"/>
          <w:color w:val="auto"/>
          <w:w w:val="99"/>
          <w:highlight w:val="none"/>
        </w:rPr>
        <w:t>0</w:t>
      </w:r>
      <w:r>
        <w:rPr>
          <w:rFonts w:ascii="Times New Roman" w:hAnsi="Times New Roman" w:cs="Times New Roman" w:eastAsiaTheme="minorEastAsia"/>
          <w:color w:val="auto"/>
          <w:w w:val="99"/>
          <w:highlight w:val="none"/>
          <w:lang w:val="de-DE"/>
        </w:rPr>
        <w:t>00）/0.</w:t>
      </w:r>
      <w:r>
        <w:rPr>
          <w:rFonts w:hint="eastAsia" w:ascii="Times New Roman" w:hAnsi="Times New Roman" w:cs="Times New Roman" w:eastAsiaTheme="minorEastAsia"/>
          <w:color w:val="auto"/>
          <w:w w:val="99"/>
          <w:highlight w:val="none"/>
        </w:rPr>
        <w:t>30+30</w:t>
      </w:r>
      <w:r>
        <w:rPr>
          <w:rFonts w:ascii="Times New Roman" w:hAnsi="Times New Roman" w:cs="Times New Roman" w:eastAsiaTheme="minorEastAsia"/>
          <w:color w:val="auto"/>
          <w:w w:val="99"/>
          <w:highlight w:val="none"/>
          <w:lang w:val="de-DE"/>
        </w:rPr>
        <w:t>=</w:t>
      </w:r>
      <w:r>
        <w:rPr>
          <w:rFonts w:hint="eastAsia" w:ascii="Times New Roman" w:hAnsi="Times New Roman" w:cs="Times New Roman" w:eastAsiaTheme="minorEastAsia"/>
          <w:color w:val="auto"/>
          <w:w w:val="99"/>
          <w:highlight w:val="none"/>
        </w:rPr>
        <w:t>1513.83</w:t>
      </w:r>
      <w:r>
        <w:rPr>
          <w:rFonts w:ascii="Times New Roman" w:hAnsi="Times New Roman" w:cs="Times New Roman" w:eastAsiaTheme="minorEastAsia"/>
          <w:color w:val="auto"/>
          <w:w w:val="99"/>
          <w:highlight w:val="none"/>
        </w:rPr>
        <w:t>m的区域；</w:t>
      </w:r>
    </w:p>
    <w:p w14:paraId="64178BDE">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不敏感区为</w:t>
      </w:r>
      <w:r>
        <w:rPr>
          <w:rFonts w:hint="eastAsia" w:ascii="Times New Roman" w:hAnsi="Times New Roman" w:cs="Times New Roman" w:eastAsiaTheme="minorEastAsia"/>
          <w:color w:val="auto"/>
          <w:w w:val="99"/>
          <w:highlight w:val="none"/>
        </w:rPr>
        <w:t>1513.8</w:t>
      </w:r>
      <w:r>
        <w:rPr>
          <w:rFonts w:ascii="Times New Roman" w:hAnsi="Times New Roman" w:cs="Times New Roman" w:eastAsiaTheme="minorEastAsia"/>
          <w:color w:val="auto"/>
          <w:w w:val="99"/>
          <w:highlight w:val="none"/>
        </w:rPr>
        <w:t>m以外的区域。</w:t>
      </w:r>
    </w:p>
    <w:p w14:paraId="765DA43A">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hint="eastAsia"/>
          <w:color w:val="auto"/>
          <w:w w:val="99"/>
          <w:highlight w:val="none"/>
        </w:rPr>
        <w:t>②</w:t>
      </w:r>
      <w:r>
        <w:rPr>
          <w:rFonts w:ascii="Times New Roman" w:hAnsi="Times New Roman" w:cs="Times New Roman" w:eastAsiaTheme="minorEastAsia"/>
          <w:color w:val="auto"/>
          <w:w w:val="99"/>
          <w:highlight w:val="none"/>
        </w:rPr>
        <w:t>分散式饮用水源（中小型，潜水，</w:t>
      </w:r>
      <w:r>
        <w:rPr>
          <w:rFonts w:hint="eastAsia" w:ascii="Times New Roman" w:hAnsi="Times New Roman" w:cs="Times New Roman" w:eastAsiaTheme="minorEastAsia"/>
          <w:color w:val="auto"/>
          <w:w w:val="99"/>
          <w:highlight w:val="none"/>
        </w:rPr>
        <w:t>仅</w:t>
      </w:r>
      <w:r>
        <w:rPr>
          <w:rFonts w:ascii="Times New Roman" w:hAnsi="Times New Roman" w:cs="Times New Roman" w:eastAsiaTheme="minorEastAsia"/>
          <w:color w:val="auto"/>
          <w:w w:val="99"/>
          <w:highlight w:val="none"/>
        </w:rPr>
        <w:t>划定</w:t>
      </w:r>
      <w:r>
        <w:rPr>
          <w:rFonts w:hint="eastAsia" w:ascii="Times New Roman" w:hAnsi="Times New Roman" w:cs="Times New Roman" w:eastAsiaTheme="minorEastAsia"/>
          <w:color w:val="auto"/>
          <w:w w:val="99"/>
          <w:highlight w:val="none"/>
        </w:rPr>
        <w:t>一级</w:t>
      </w:r>
      <w:r>
        <w:rPr>
          <w:rFonts w:ascii="Times New Roman" w:hAnsi="Times New Roman" w:cs="Times New Roman" w:eastAsiaTheme="minorEastAsia"/>
          <w:color w:val="auto"/>
          <w:w w:val="99"/>
          <w:highlight w:val="none"/>
        </w:rPr>
        <w:t>保护区）</w:t>
      </w:r>
    </w:p>
    <w:p w14:paraId="01724A72">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补给区L为以水源井为基准外扩L=2</w:t>
      </w:r>
      <w:r>
        <w:rPr>
          <w:rFonts w:ascii="Times New Roman" w:hAnsi="Times New Roman" w:cs="Times New Roman" w:eastAsiaTheme="minorEastAsia"/>
          <w:color w:val="auto"/>
          <w:w w:val="99"/>
          <w:highlight w:val="none"/>
          <w:lang w:val="de-DE"/>
        </w:rPr>
        <w:t>×</w:t>
      </w:r>
      <w:r>
        <w:rPr>
          <w:rFonts w:hint="eastAsia" w:ascii="Times New Roman" w:hAnsi="Times New Roman" w:cs="Times New Roman" w:eastAsiaTheme="minorEastAsia"/>
          <w:color w:val="auto"/>
          <w:w w:val="99"/>
          <w:highlight w:val="none"/>
        </w:rPr>
        <w:t>5.0</w:t>
      </w:r>
      <w:r>
        <w:rPr>
          <w:rFonts w:ascii="Times New Roman" w:hAnsi="Times New Roman" w:cs="Times New Roman" w:eastAsiaTheme="minorEastAsia"/>
          <w:color w:val="auto"/>
          <w:w w:val="99"/>
          <w:highlight w:val="none"/>
          <w:lang w:val="de-DE"/>
        </w:rPr>
        <w:t>×0.00</w:t>
      </w:r>
      <w:r>
        <w:rPr>
          <w:rFonts w:hint="eastAsia" w:ascii="Times New Roman" w:hAnsi="Times New Roman" w:cs="Times New Roman" w:eastAsiaTheme="minorEastAsia"/>
          <w:color w:val="auto"/>
          <w:w w:val="99"/>
          <w:highlight w:val="none"/>
        </w:rPr>
        <w:t>14</w:t>
      </w:r>
      <w:r>
        <w:rPr>
          <w:rFonts w:ascii="Times New Roman" w:hAnsi="Times New Roman" w:cs="Times New Roman" w:eastAsiaTheme="minorEastAsia"/>
          <w:color w:val="auto"/>
          <w:w w:val="99"/>
          <w:highlight w:val="none"/>
          <w:lang w:val="de-DE"/>
        </w:rPr>
        <w:t>×（15×365+1</w:t>
      </w:r>
      <w:r>
        <w:rPr>
          <w:rFonts w:hint="eastAsia" w:ascii="Times New Roman" w:hAnsi="Times New Roman" w:cs="Times New Roman" w:eastAsiaTheme="minorEastAsia"/>
          <w:color w:val="auto"/>
          <w:w w:val="99"/>
          <w:highlight w:val="none"/>
        </w:rPr>
        <w:t>0</w:t>
      </w:r>
      <w:r>
        <w:rPr>
          <w:rFonts w:ascii="Times New Roman" w:hAnsi="Times New Roman" w:cs="Times New Roman" w:eastAsiaTheme="minorEastAsia"/>
          <w:color w:val="auto"/>
          <w:w w:val="99"/>
          <w:highlight w:val="none"/>
          <w:lang w:val="de-DE"/>
        </w:rPr>
        <w:t>00）/0.</w:t>
      </w:r>
      <w:r>
        <w:rPr>
          <w:rFonts w:hint="eastAsia" w:ascii="Times New Roman" w:hAnsi="Times New Roman" w:cs="Times New Roman" w:eastAsiaTheme="minorEastAsia"/>
          <w:color w:val="auto"/>
          <w:w w:val="99"/>
          <w:highlight w:val="none"/>
        </w:rPr>
        <w:t>20+30</w:t>
      </w:r>
      <w:r>
        <w:rPr>
          <w:rFonts w:ascii="Times New Roman" w:hAnsi="Times New Roman" w:cs="Times New Roman" w:eastAsiaTheme="minorEastAsia"/>
          <w:color w:val="auto"/>
          <w:w w:val="99"/>
          <w:highlight w:val="none"/>
          <w:lang w:val="de-DE"/>
        </w:rPr>
        <w:t>=</w:t>
      </w:r>
      <w:r>
        <w:rPr>
          <w:rFonts w:hint="eastAsia" w:ascii="Times New Roman" w:hAnsi="Times New Roman" w:cs="Times New Roman" w:eastAsiaTheme="minorEastAsia"/>
          <w:color w:val="auto"/>
          <w:w w:val="99"/>
          <w:highlight w:val="none"/>
        </w:rPr>
        <w:t>483.25</w:t>
      </w:r>
      <w:r>
        <w:rPr>
          <w:rFonts w:ascii="Times New Roman" w:hAnsi="Times New Roman" w:cs="Times New Roman" w:eastAsiaTheme="minorEastAsia"/>
          <w:color w:val="auto"/>
          <w:w w:val="99"/>
          <w:highlight w:val="none"/>
        </w:rPr>
        <w:t>m的区域；</w:t>
      </w:r>
    </w:p>
    <w:p w14:paraId="189EB72E">
      <w:pPr>
        <w:widowControl w:val="0"/>
        <w:spacing w:line="440" w:lineRule="exact"/>
        <w:ind w:firstLine="466"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bCs/>
          <w:color w:val="auto"/>
          <w:spacing w:val="-2"/>
          <w:w w:val="99"/>
          <w:highlight w:val="none"/>
        </w:rPr>
        <w:t>根据现场调查，距离本项目最近的村屯</w:t>
      </w:r>
      <w:r>
        <w:rPr>
          <w:rFonts w:hint="eastAsia" w:ascii="Times New Roman" w:hAnsi="Times New Roman" w:cs="Times New Roman" w:eastAsiaTheme="minorEastAsia"/>
          <w:bCs/>
          <w:color w:val="auto"/>
          <w:spacing w:val="-2"/>
          <w:w w:val="99"/>
          <w:highlight w:val="none"/>
        </w:rPr>
        <w:t>水井</w:t>
      </w:r>
      <w:r>
        <w:rPr>
          <w:rFonts w:ascii="Times New Roman" w:hAnsi="Times New Roman" w:cs="Times New Roman" w:eastAsiaTheme="minorEastAsia"/>
          <w:bCs/>
          <w:color w:val="auto"/>
          <w:spacing w:val="-2"/>
          <w:w w:val="99"/>
          <w:highlight w:val="none"/>
        </w:rPr>
        <w:t>为</w:t>
      </w:r>
      <w:r>
        <w:rPr>
          <w:rFonts w:hint="eastAsia" w:ascii="Times New Roman" w:hAnsi="Times New Roman" w:cs="Times New Roman" w:eastAsiaTheme="minorEastAsia"/>
          <w:bCs/>
          <w:color w:val="auto"/>
          <w:spacing w:val="-2"/>
          <w:w w:val="99"/>
          <w:highlight w:val="none"/>
        </w:rPr>
        <w:t>拟建徐深27-H1井东北侧380m的邢家围子屯水井</w:t>
      </w:r>
      <w:r>
        <w:rPr>
          <w:rFonts w:ascii="Times New Roman" w:hAnsi="Times New Roman" w:cs="Times New Roman" w:eastAsiaTheme="minorEastAsia"/>
          <w:bCs/>
          <w:color w:val="auto"/>
          <w:spacing w:val="-2"/>
          <w:w w:val="99"/>
          <w:highlight w:val="none"/>
        </w:rPr>
        <w:t>。</w:t>
      </w:r>
      <w:r>
        <w:rPr>
          <w:rFonts w:hint="eastAsia" w:ascii="Times New Roman" w:hAnsi="Times New Roman" w:cs="Times New Roman" w:eastAsiaTheme="minorEastAsia"/>
          <w:bCs/>
          <w:color w:val="auto"/>
          <w:spacing w:val="-2"/>
          <w:w w:val="99"/>
          <w:highlight w:val="none"/>
        </w:rPr>
        <w:t>邢家围子屯</w:t>
      </w:r>
      <w:r>
        <w:rPr>
          <w:rFonts w:ascii="Times New Roman" w:hAnsi="Times New Roman" w:cs="Times New Roman" w:eastAsiaTheme="minorEastAsia"/>
          <w:bCs/>
          <w:color w:val="auto"/>
          <w:spacing w:val="-2"/>
          <w:w w:val="99"/>
          <w:highlight w:val="none"/>
        </w:rPr>
        <w:t>居民饮用水由村内分散式饮用水源井供给，该水源井</w:t>
      </w:r>
      <w:r>
        <w:rPr>
          <w:rFonts w:hint="eastAsia" w:ascii="Times New Roman" w:hAnsi="Times New Roman" w:cs="Times New Roman" w:eastAsiaTheme="minorEastAsia"/>
          <w:bCs/>
          <w:color w:val="auto"/>
          <w:spacing w:val="-2"/>
          <w:w w:val="99"/>
          <w:highlight w:val="none"/>
        </w:rPr>
        <w:t>位于</w:t>
      </w:r>
      <w:r>
        <w:rPr>
          <w:rFonts w:ascii="Times New Roman" w:hAnsi="Times New Roman" w:cs="Times New Roman" w:eastAsiaTheme="minorEastAsia"/>
          <w:bCs/>
          <w:color w:val="auto"/>
          <w:spacing w:val="-2"/>
          <w:w w:val="99"/>
          <w:highlight w:val="none"/>
        </w:rPr>
        <w:t>较敏感区内</w:t>
      </w:r>
      <w:r>
        <w:rPr>
          <w:rFonts w:hint="eastAsia" w:ascii="Times New Roman" w:hAnsi="Times New Roman" w:cs="Times New Roman" w:eastAsiaTheme="minorEastAsia"/>
          <w:bCs/>
          <w:color w:val="auto"/>
          <w:spacing w:val="-2"/>
          <w:w w:val="99"/>
          <w:highlight w:val="none"/>
        </w:rPr>
        <w:t>，</w:t>
      </w:r>
      <w:r>
        <w:rPr>
          <w:rFonts w:ascii="Times New Roman" w:hAnsi="Times New Roman" w:cs="Times New Roman" w:eastAsiaTheme="minorEastAsia"/>
          <w:color w:val="auto"/>
          <w:spacing w:val="-2"/>
          <w:w w:val="99"/>
          <w:highlight w:val="none"/>
        </w:rPr>
        <w:t>因此评价区域地下水环境属于“</w:t>
      </w:r>
      <w:r>
        <w:rPr>
          <w:rFonts w:hint="eastAsia" w:ascii="Times New Roman" w:hAnsi="Times New Roman" w:cs="Times New Roman" w:eastAsiaTheme="minorEastAsia"/>
          <w:color w:val="auto"/>
          <w:spacing w:val="-2"/>
          <w:w w:val="99"/>
          <w:highlight w:val="none"/>
        </w:rPr>
        <w:t>较</w:t>
      </w:r>
      <w:r>
        <w:rPr>
          <w:rFonts w:ascii="Times New Roman" w:hAnsi="Times New Roman" w:cs="Times New Roman" w:eastAsiaTheme="minorEastAsia"/>
          <w:color w:val="auto"/>
          <w:spacing w:val="-2"/>
          <w:w w:val="99"/>
          <w:highlight w:val="none"/>
        </w:rPr>
        <w:t>敏感”区域。</w:t>
      </w:r>
    </w:p>
    <w:p w14:paraId="1BE6294B">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（3）评价等级判别</w:t>
      </w:r>
    </w:p>
    <w:p w14:paraId="67CAEF75">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建设项目地下水环境影响评价工作等级划分见表2.7-</w:t>
      </w:r>
      <w:r>
        <w:rPr>
          <w:rFonts w:hint="eastAsia" w:ascii="Times New Roman" w:hAnsi="Times New Roman"/>
          <w:color w:val="auto"/>
          <w:spacing w:val="4"/>
          <w:w w:val="99"/>
          <w:kern w:val="2"/>
          <w:position w:val="2"/>
          <w:highlight w:val="none"/>
        </w:rPr>
        <w:t>9</w:t>
      </w:r>
      <w:r>
        <w:rPr>
          <w:rFonts w:ascii="Times New Roman" w:hAnsi="Times New Roman"/>
          <w:color w:val="auto"/>
          <w:spacing w:val="4"/>
          <w:w w:val="99"/>
          <w:kern w:val="2"/>
          <w:position w:val="2"/>
          <w:highlight w:val="none"/>
        </w:rPr>
        <w:t>。</w:t>
      </w:r>
    </w:p>
    <w:p w14:paraId="6F514F74">
      <w:pPr>
        <w:pStyle w:val="153"/>
        <w:widowControl w:val="0"/>
        <w:spacing w:line="440" w:lineRule="exact"/>
        <w:ind w:firstLine="474"/>
        <w:jc w:val="both"/>
        <w:rPr>
          <w:rFonts w:ascii="Times New Roman" w:hAnsi="Times New Roman" w:eastAsiaTheme="minorEastAsia"/>
          <w:snapToGrid w:val="0"/>
          <w:color w:val="auto"/>
          <w:w w:val="99"/>
          <w:highlight w:val="none"/>
        </w:rPr>
      </w:pPr>
      <w:r>
        <w:rPr>
          <w:rFonts w:ascii="Times New Roman" w:hAnsi="Times New Roman" w:eastAsiaTheme="minorEastAsia"/>
          <w:b/>
          <w:bCs/>
          <w:color w:val="auto"/>
          <w:w w:val="99"/>
          <w:highlight w:val="none"/>
        </w:rPr>
        <w:t>表2.7-</w:t>
      </w:r>
      <w:r>
        <w:rPr>
          <w:rFonts w:hint="eastAsia" w:ascii="Times New Roman" w:hAnsi="Times New Roman" w:eastAsiaTheme="minorEastAsia"/>
          <w:b/>
          <w:bCs/>
          <w:color w:val="auto"/>
          <w:w w:val="99"/>
          <w:highlight w:val="none"/>
        </w:rPr>
        <w:t>9</w:t>
      </w:r>
      <w:r>
        <w:rPr>
          <w:rFonts w:ascii="Times New Roman" w:hAnsi="Times New Roman" w:eastAsiaTheme="minorEastAsia"/>
          <w:b/>
          <w:bCs/>
          <w:color w:val="auto"/>
          <w:w w:val="99"/>
          <w:highlight w:val="none"/>
        </w:rPr>
        <w:t xml:space="preserve">    评价工作等级表</w:t>
      </w:r>
    </w:p>
    <w:tbl>
      <w:tblPr>
        <w:tblStyle w:val="8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268"/>
        <w:gridCol w:w="2272"/>
        <w:gridCol w:w="2270"/>
        <w:gridCol w:w="2271"/>
      </w:tblGrid>
      <w:tr w14:paraId="465D3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tcBorders>
              <w:tl2br w:val="single" w:color="auto" w:sz="4" w:space="0"/>
            </w:tcBorders>
            <w:vAlign w:val="center"/>
          </w:tcPr>
          <w:p w14:paraId="1D62058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       项目类别</w:t>
            </w:r>
          </w:p>
          <w:p w14:paraId="547B1DED">
            <w:pPr>
              <w:spacing w:line="36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环境敏感程度</w:t>
            </w:r>
          </w:p>
        </w:tc>
        <w:tc>
          <w:tcPr>
            <w:tcW w:w="1251" w:type="pct"/>
            <w:tcBorders>
              <w:tl2br w:val="nil"/>
            </w:tcBorders>
            <w:vAlign w:val="center"/>
          </w:tcPr>
          <w:p w14:paraId="1238000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sz w:val="21"/>
                <w:szCs w:val="21"/>
                <w:highlight w:val="none"/>
              </w:rPr>
              <w:t>Ⅰ</w:t>
            </w:r>
            <w:r>
              <w:rPr>
                <w:rFonts w:ascii="Times New Roman" w:hAnsi="Times New Roman" w:cs="Times New Roman" w:eastAsiaTheme="minorEastAsia"/>
                <w:color w:val="auto"/>
                <w:w w:val="99"/>
                <w:sz w:val="21"/>
                <w:szCs w:val="21"/>
                <w:highlight w:val="none"/>
              </w:rPr>
              <w:t>类项目</w:t>
            </w:r>
          </w:p>
        </w:tc>
        <w:tc>
          <w:tcPr>
            <w:tcW w:w="1250" w:type="pct"/>
            <w:vAlign w:val="center"/>
          </w:tcPr>
          <w:p w14:paraId="09664B8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sz w:val="21"/>
                <w:szCs w:val="21"/>
                <w:highlight w:val="none"/>
              </w:rPr>
              <w:t>Ⅱ</w:t>
            </w:r>
            <w:r>
              <w:rPr>
                <w:rFonts w:ascii="Times New Roman" w:hAnsi="Times New Roman" w:cs="Times New Roman" w:eastAsiaTheme="minorEastAsia"/>
                <w:color w:val="auto"/>
                <w:w w:val="99"/>
                <w:sz w:val="21"/>
                <w:szCs w:val="21"/>
                <w:highlight w:val="none"/>
              </w:rPr>
              <w:t>类项目</w:t>
            </w:r>
          </w:p>
        </w:tc>
        <w:tc>
          <w:tcPr>
            <w:tcW w:w="1250" w:type="pct"/>
            <w:vAlign w:val="center"/>
          </w:tcPr>
          <w:p w14:paraId="346CA0A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sz w:val="21"/>
                <w:szCs w:val="21"/>
                <w:highlight w:val="none"/>
              </w:rPr>
              <w:t>Ⅲ</w:t>
            </w:r>
            <w:r>
              <w:rPr>
                <w:rFonts w:ascii="Times New Roman" w:hAnsi="Times New Roman" w:cs="Times New Roman" w:eastAsiaTheme="minorEastAsia"/>
                <w:color w:val="auto"/>
                <w:w w:val="99"/>
                <w:sz w:val="21"/>
                <w:szCs w:val="21"/>
                <w:highlight w:val="none"/>
              </w:rPr>
              <w:t>类项目</w:t>
            </w:r>
          </w:p>
        </w:tc>
      </w:tr>
      <w:tr w14:paraId="4B361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Align w:val="center"/>
          </w:tcPr>
          <w:p w14:paraId="005C3D4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敏感</w:t>
            </w:r>
          </w:p>
        </w:tc>
        <w:tc>
          <w:tcPr>
            <w:tcW w:w="1251" w:type="pct"/>
            <w:vAlign w:val="center"/>
          </w:tcPr>
          <w:p w14:paraId="6DA68ED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一</w:t>
            </w:r>
          </w:p>
        </w:tc>
        <w:tc>
          <w:tcPr>
            <w:tcW w:w="1250" w:type="pct"/>
            <w:vAlign w:val="center"/>
          </w:tcPr>
          <w:p w14:paraId="29C3096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一</w:t>
            </w:r>
          </w:p>
        </w:tc>
        <w:tc>
          <w:tcPr>
            <w:tcW w:w="1250" w:type="pct"/>
            <w:vAlign w:val="center"/>
          </w:tcPr>
          <w:p w14:paraId="3A4D86B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w:t>
            </w:r>
          </w:p>
        </w:tc>
      </w:tr>
      <w:tr w14:paraId="59F58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Align w:val="center"/>
          </w:tcPr>
          <w:p w14:paraId="7648962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较敏感</w:t>
            </w:r>
          </w:p>
        </w:tc>
        <w:tc>
          <w:tcPr>
            <w:tcW w:w="1251" w:type="pct"/>
            <w:vAlign w:val="center"/>
          </w:tcPr>
          <w:p w14:paraId="59B4734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一</w:t>
            </w:r>
          </w:p>
        </w:tc>
        <w:tc>
          <w:tcPr>
            <w:tcW w:w="1250" w:type="pct"/>
            <w:vAlign w:val="center"/>
          </w:tcPr>
          <w:p w14:paraId="7AB6B42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
                <w:bCs/>
                <w:color w:val="auto"/>
                <w:w w:val="99"/>
                <w:sz w:val="21"/>
                <w:szCs w:val="21"/>
                <w:highlight w:val="none"/>
              </w:rPr>
              <w:t>二</w:t>
            </w:r>
          </w:p>
        </w:tc>
        <w:tc>
          <w:tcPr>
            <w:tcW w:w="1250" w:type="pct"/>
            <w:vAlign w:val="center"/>
          </w:tcPr>
          <w:p w14:paraId="4E2AC5D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w:t>
            </w:r>
          </w:p>
        </w:tc>
      </w:tr>
      <w:tr w14:paraId="7EE4F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Align w:val="center"/>
          </w:tcPr>
          <w:p w14:paraId="3C2FDB9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不敏感</w:t>
            </w:r>
          </w:p>
        </w:tc>
        <w:tc>
          <w:tcPr>
            <w:tcW w:w="1251" w:type="pct"/>
            <w:vAlign w:val="center"/>
          </w:tcPr>
          <w:p w14:paraId="1307595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w:t>
            </w:r>
          </w:p>
        </w:tc>
        <w:tc>
          <w:tcPr>
            <w:tcW w:w="1250" w:type="pct"/>
            <w:vAlign w:val="center"/>
          </w:tcPr>
          <w:p w14:paraId="1BFA33C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w:t>
            </w:r>
          </w:p>
        </w:tc>
        <w:tc>
          <w:tcPr>
            <w:tcW w:w="1250" w:type="pct"/>
            <w:vAlign w:val="center"/>
          </w:tcPr>
          <w:p w14:paraId="68A0E10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w:t>
            </w:r>
          </w:p>
        </w:tc>
      </w:tr>
    </w:tbl>
    <w:p w14:paraId="320E7467">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依据表2.</w:t>
      </w:r>
      <w:r>
        <w:rPr>
          <w:rFonts w:hint="eastAsia" w:ascii="Times New Roman" w:hAnsi="Times New Roman"/>
          <w:color w:val="auto"/>
          <w:spacing w:val="4"/>
          <w:w w:val="99"/>
          <w:kern w:val="2"/>
          <w:position w:val="2"/>
          <w:highlight w:val="none"/>
        </w:rPr>
        <w:t>7-9</w:t>
      </w:r>
      <w:r>
        <w:rPr>
          <w:rFonts w:ascii="Times New Roman" w:hAnsi="Times New Roman"/>
          <w:color w:val="auto"/>
          <w:spacing w:val="4"/>
          <w:w w:val="99"/>
          <w:kern w:val="2"/>
          <w:position w:val="2"/>
          <w:highlight w:val="none"/>
        </w:rPr>
        <w:t>的评价工作等级划分原则，本项目涉及的井场、</w:t>
      </w:r>
      <w:r>
        <w:rPr>
          <w:rFonts w:hint="eastAsia" w:ascii="Times New Roman" w:hAnsi="Times New Roman"/>
          <w:color w:val="auto"/>
          <w:spacing w:val="4"/>
          <w:w w:val="99"/>
          <w:kern w:val="2"/>
          <w:position w:val="2"/>
          <w:highlight w:val="none"/>
        </w:rPr>
        <w:t>改造</w:t>
      </w:r>
      <w:r>
        <w:rPr>
          <w:rFonts w:ascii="Times New Roman" w:hAnsi="Times New Roman"/>
          <w:color w:val="auto"/>
          <w:spacing w:val="4"/>
          <w:w w:val="99"/>
          <w:kern w:val="2"/>
          <w:position w:val="2"/>
          <w:highlight w:val="none"/>
        </w:rPr>
        <w:t>站场为Ⅱ类项目，地下水环境敏感程度为</w:t>
      </w:r>
      <w:r>
        <w:rPr>
          <w:rFonts w:hint="eastAsia" w:ascii="Times New Roman" w:hAnsi="Times New Roman"/>
          <w:color w:val="auto"/>
          <w:spacing w:val="4"/>
          <w:w w:val="99"/>
          <w:kern w:val="2"/>
          <w:position w:val="2"/>
          <w:highlight w:val="none"/>
        </w:rPr>
        <w:t>较</w:t>
      </w:r>
      <w:r>
        <w:rPr>
          <w:rFonts w:ascii="Times New Roman" w:hAnsi="Times New Roman"/>
          <w:color w:val="auto"/>
          <w:spacing w:val="4"/>
          <w:w w:val="99"/>
          <w:kern w:val="2"/>
          <w:position w:val="2"/>
          <w:highlight w:val="none"/>
        </w:rPr>
        <w:t>敏感，地下水评价工作等级为</w:t>
      </w:r>
      <w:r>
        <w:rPr>
          <w:rFonts w:hint="eastAsia" w:ascii="Times New Roman" w:hAnsi="Times New Roman"/>
          <w:color w:val="auto"/>
          <w:spacing w:val="4"/>
          <w:w w:val="99"/>
          <w:kern w:val="2"/>
          <w:position w:val="2"/>
          <w:highlight w:val="none"/>
        </w:rPr>
        <w:t>二</w:t>
      </w:r>
      <w:r>
        <w:rPr>
          <w:rFonts w:ascii="Times New Roman" w:hAnsi="Times New Roman"/>
          <w:color w:val="auto"/>
          <w:spacing w:val="4"/>
          <w:w w:val="99"/>
          <w:kern w:val="2"/>
          <w:position w:val="2"/>
          <w:highlight w:val="none"/>
        </w:rPr>
        <w:t>级；涉及的</w:t>
      </w:r>
      <w:r>
        <w:rPr>
          <w:rFonts w:hint="eastAsia" w:ascii="Times New Roman" w:hAnsi="Times New Roman"/>
          <w:color w:val="auto"/>
          <w:spacing w:val="4"/>
          <w:w w:val="99"/>
          <w:kern w:val="2"/>
          <w:position w:val="2"/>
          <w:highlight w:val="none"/>
        </w:rPr>
        <w:t>集气管线、外输气管线</w:t>
      </w:r>
      <w:r>
        <w:rPr>
          <w:rFonts w:ascii="Times New Roman" w:hAnsi="Times New Roman"/>
          <w:color w:val="auto"/>
          <w:spacing w:val="4"/>
          <w:w w:val="99"/>
          <w:kern w:val="2"/>
          <w:position w:val="2"/>
          <w:highlight w:val="none"/>
        </w:rPr>
        <w:t>为Ⅲ类项目，地下水环境敏感程度为</w:t>
      </w:r>
      <w:r>
        <w:rPr>
          <w:rFonts w:hint="eastAsia" w:ascii="Times New Roman" w:hAnsi="Times New Roman"/>
          <w:color w:val="auto"/>
          <w:spacing w:val="4"/>
          <w:w w:val="99"/>
          <w:kern w:val="2"/>
          <w:position w:val="2"/>
          <w:highlight w:val="none"/>
        </w:rPr>
        <w:t>较</w:t>
      </w:r>
      <w:r>
        <w:rPr>
          <w:rFonts w:ascii="Times New Roman" w:hAnsi="Times New Roman"/>
          <w:color w:val="auto"/>
          <w:spacing w:val="4"/>
          <w:w w:val="99"/>
          <w:kern w:val="2"/>
          <w:position w:val="2"/>
          <w:highlight w:val="none"/>
        </w:rPr>
        <w:t>敏感，地下水评价工作等级为三级，</w:t>
      </w:r>
      <w:r>
        <w:rPr>
          <w:rFonts w:hint="eastAsia" w:ascii="Times New Roman" w:hAnsi="Times New Roman"/>
          <w:color w:val="auto"/>
          <w:spacing w:val="4"/>
          <w:w w:val="99"/>
          <w:kern w:val="2"/>
          <w:position w:val="2"/>
          <w:highlight w:val="none"/>
        </w:rPr>
        <w:t>综上本项目地下水评价等级为二级</w:t>
      </w:r>
      <w:r>
        <w:rPr>
          <w:rFonts w:ascii="Times New Roman" w:hAnsi="Times New Roman"/>
          <w:color w:val="auto"/>
          <w:spacing w:val="4"/>
          <w:w w:val="99"/>
          <w:kern w:val="2"/>
          <w:position w:val="2"/>
          <w:highlight w:val="none"/>
        </w:rPr>
        <w:t>。</w:t>
      </w:r>
    </w:p>
    <w:p w14:paraId="6F946D1B">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2.7.3.2评价范围</w:t>
      </w:r>
    </w:p>
    <w:p w14:paraId="2C2A8EE9">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根据《环境影响评价技术导则 陆地石油天然气开发建设项目》（HJ349-2023）要求：井场、站场等工程评价范围应包括与建设项目相关的地下水保护目标，结合水文地质条件情况，依据HJ 610的规定，采用公式计算法、查表法或自定义法等确定。回注井调查评价范围应根据回注层位所在区域地层构造发育情况确定，包括回注空间及回注水可能影响的范围。油类和废水等输送管道以工程边界两侧各向外延伸200米作为调查评价范围，管道穿越饮用水水源准保护区时，调查范围应至少包含水源保护区。</w:t>
      </w:r>
    </w:p>
    <w:p w14:paraId="77B93BE9">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根据《环境影响评价技术导则 地下水环境》（HJ610-2016），采用公式法确定本项目井场区域地下水评价范围。计算公式如下：</w:t>
      </w:r>
    </w:p>
    <w:p w14:paraId="183C4D7D">
      <w:pPr>
        <w:pStyle w:val="153"/>
        <w:widowControl w:val="0"/>
        <w:spacing w:line="440" w:lineRule="exact"/>
        <w:ind w:firstLine="0" w:firstLineChars="0"/>
        <w:jc w:val="center"/>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L=α</w:t>
      </w:r>
      <w:r>
        <w:rPr>
          <w:rFonts w:ascii="Times New Roman" w:hAnsi="Times New Roman"/>
          <w:color w:val="auto"/>
          <w:spacing w:val="4"/>
          <w:w w:val="99"/>
          <w:kern w:val="2"/>
          <w:position w:val="2"/>
          <w:highlight w:val="none"/>
          <w:lang w:val="de-DE"/>
        </w:rPr>
        <w:t>×K×I×T/n</w:t>
      </w:r>
      <w:r>
        <w:rPr>
          <w:rFonts w:ascii="Times New Roman" w:hAnsi="Times New Roman"/>
          <w:color w:val="auto"/>
          <w:spacing w:val="4"/>
          <w:w w:val="99"/>
          <w:kern w:val="2"/>
          <w:position w:val="2"/>
          <w:highlight w:val="none"/>
          <w:vertAlign w:val="subscript"/>
          <w:lang w:val="de-DE"/>
        </w:rPr>
        <w:t>e</w:t>
      </w:r>
    </w:p>
    <w:p w14:paraId="5C7560FE">
      <w:pPr>
        <w:pStyle w:val="153"/>
        <w:widowControl w:val="0"/>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式中：L——下游迁移距离，m；</w:t>
      </w:r>
    </w:p>
    <w:p w14:paraId="1E16CD09">
      <w:pPr>
        <w:pStyle w:val="153"/>
        <w:widowControl w:val="0"/>
        <w:spacing w:line="440" w:lineRule="exact"/>
        <w:ind w:firstLine="1185" w:firstLineChars="500"/>
        <w:jc w:val="both"/>
        <w:rPr>
          <w:rFonts w:ascii="Times New Roman" w:hAnsi="Times New Roman"/>
          <w:color w:val="auto"/>
          <w:w w:val="99"/>
          <w:highlight w:val="none"/>
        </w:rPr>
      </w:pPr>
      <w:r>
        <w:rPr>
          <w:rFonts w:hint="eastAsia" w:ascii="Times New Roman" w:hAnsi="Times New Roman"/>
          <w:color w:val="auto"/>
          <w:w w:val="99"/>
          <w:highlight w:val="none"/>
        </w:rPr>
        <w:t>a——变化系数，a≥1，一般取2，取2；</w:t>
      </w:r>
    </w:p>
    <w:p w14:paraId="6BC4A729">
      <w:pPr>
        <w:pStyle w:val="153"/>
        <w:widowControl w:val="0"/>
        <w:spacing w:line="440" w:lineRule="exact"/>
        <w:ind w:firstLine="1185" w:firstLineChars="500"/>
        <w:jc w:val="both"/>
        <w:rPr>
          <w:rFonts w:ascii="Times New Roman" w:hAnsi="Times New Roman"/>
          <w:color w:val="auto"/>
          <w:w w:val="99"/>
          <w:highlight w:val="none"/>
        </w:rPr>
      </w:pPr>
      <w:r>
        <w:rPr>
          <w:rFonts w:hint="eastAsia" w:ascii="Times New Roman" w:hAnsi="Times New Roman"/>
          <w:color w:val="auto"/>
          <w:w w:val="99"/>
          <w:highlight w:val="none"/>
        </w:rPr>
        <w:t>K——渗透系数；</w:t>
      </w:r>
    </w:p>
    <w:p w14:paraId="724DC860">
      <w:pPr>
        <w:pStyle w:val="153"/>
        <w:widowControl w:val="0"/>
        <w:spacing w:line="440" w:lineRule="exact"/>
        <w:ind w:firstLine="1185" w:firstLineChars="500"/>
        <w:jc w:val="both"/>
        <w:rPr>
          <w:rFonts w:ascii="Times New Roman" w:hAnsi="Times New Roman"/>
          <w:color w:val="auto"/>
          <w:w w:val="99"/>
          <w:highlight w:val="none"/>
        </w:rPr>
      </w:pPr>
      <w:r>
        <w:rPr>
          <w:rFonts w:hint="eastAsia" w:ascii="Times New Roman" w:hAnsi="Times New Roman"/>
          <w:color w:val="auto"/>
          <w:w w:val="99"/>
          <w:highlight w:val="none"/>
        </w:rPr>
        <w:t>I——水力坡度，无量纲；</w:t>
      </w:r>
    </w:p>
    <w:p w14:paraId="2D0D0E13">
      <w:pPr>
        <w:pStyle w:val="153"/>
        <w:widowControl w:val="0"/>
        <w:spacing w:line="440" w:lineRule="exact"/>
        <w:ind w:firstLine="1185" w:firstLineChars="500"/>
        <w:jc w:val="both"/>
        <w:rPr>
          <w:rFonts w:ascii="Times New Roman" w:hAnsi="Times New Roman"/>
          <w:color w:val="auto"/>
          <w:w w:val="99"/>
          <w:highlight w:val="none"/>
        </w:rPr>
      </w:pPr>
      <w:r>
        <w:rPr>
          <w:rFonts w:hint="eastAsia" w:ascii="Times New Roman" w:hAnsi="Times New Roman"/>
          <w:color w:val="auto"/>
          <w:w w:val="99"/>
          <w:highlight w:val="none"/>
        </w:rPr>
        <w:t>T——质点迁移天数，取值不小于5000d；</w:t>
      </w:r>
    </w:p>
    <w:p w14:paraId="68E1CAD6">
      <w:pPr>
        <w:pStyle w:val="153"/>
        <w:widowControl w:val="0"/>
        <w:spacing w:line="440" w:lineRule="exact"/>
        <w:ind w:firstLine="1185" w:firstLineChars="500"/>
        <w:jc w:val="both"/>
        <w:rPr>
          <w:rFonts w:ascii="Times New Roman" w:hAnsi="Times New Roman"/>
          <w:color w:val="auto"/>
          <w:w w:val="99"/>
          <w:highlight w:val="none"/>
        </w:rPr>
      </w:pPr>
      <w:r>
        <w:rPr>
          <w:rFonts w:hint="eastAsia" w:ascii="Times New Roman" w:hAnsi="Times New Roman"/>
          <w:color w:val="auto"/>
          <w:w w:val="99"/>
          <w:highlight w:val="none"/>
        </w:rPr>
        <w:t>ne——有效孔隙度，无量纲。</w:t>
      </w:r>
    </w:p>
    <w:p w14:paraId="392F6F13">
      <w:pPr>
        <w:widowControl w:val="0"/>
        <w:spacing w:line="440" w:lineRule="exact"/>
        <w:ind w:firstLine="474" w:firstLineChars="200"/>
        <w:jc w:val="both"/>
        <w:rPr>
          <w:rFonts w:ascii="Times New Roman" w:hAnsi="Times New Roman" w:cs="Times New Roman" w:eastAsiaTheme="minorEastAsia"/>
          <w:color w:val="auto"/>
          <w:spacing w:val="-2"/>
          <w:w w:val="99"/>
          <w:highlight w:val="none"/>
        </w:rPr>
      </w:pPr>
      <w:r>
        <w:rPr>
          <w:rFonts w:hint="eastAsia" w:ascii="Times New Roman" w:hAnsi="Times New Roman" w:cs="Times New Roman"/>
          <w:color w:val="auto"/>
          <w:w w:val="99"/>
          <w:highlight w:val="none"/>
        </w:rPr>
        <w:t>根据该地区水文地质调查资料，</w:t>
      </w:r>
      <w:r>
        <w:rPr>
          <w:rFonts w:ascii="Times New Roman" w:hAnsi="Times New Roman" w:cs="Times New Roman" w:eastAsiaTheme="minorEastAsia"/>
          <w:color w:val="auto"/>
          <w:spacing w:val="-2"/>
          <w:w w:val="99"/>
          <w:highlight w:val="none"/>
        </w:rPr>
        <w:t>本区域潜水含水层岩性主要为</w:t>
      </w:r>
      <w:r>
        <w:rPr>
          <w:rFonts w:hint="eastAsia" w:ascii="Times New Roman" w:hAnsi="Times New Roman" w:cs="Times New Roman" w:eastAsiaTheme="minorEastAsia"/>
          <w:color w:val="auto"/>
          <w:spacing w:val="-2"/>
          <w:w w:val="99"/>
          <w:highlight w:val="none"/>
        </w:rPr>
        <w:t>粉</w:t>
      </w:r>
      <w:r>
        <w:rPr>
          <w:rFonts w:ascii="Times New Roman" w:hAnsi="Times New Roman" w:cs="Times New Roman" w:eastAsiaTheme="minorEastAsia"/>
          <w:color w:val="auto"/>
          <w:spacing w:val="-2"/>
          <w:w w:val="99"/>
          <w:highlight w:val="none"/>
        </w:rPr>
        <w:t>细砂，承压水含水层岩性主要为</w:t>
      </w:r>
      <w:r>
        <w:rPr>
          <w:rFonts w:hint="eastAsia" w:ascii="Times New Roman" w:hAnsi="Times New Roman" w:cs="Times New Roman" w:eastAsiaTheme="minorEastAsia"/>
          <w:color w:val="auto"/>
          <w:spacing w:val="-2"/>
          <w:w w:val="99"/>
          <w:highlight w:val="none"/>
          <w:lang w:eastAsia="zh-CN"/>
        </w:rPr>
        <w:t>砂粒</w:t>
      </w:r>
      <w:r>
        <w:rPr>
          <w:rFonts w:ascii="Times New Roman" w:hAnsi="Times New Roman" w:cs="Times New Roman" w:eastAsiaTheme="minorEastAsia"/>
          <w:color w:val="auto"/>
          <w:spacing w:val="-2"/>
          <w:w w:val="99"/>
          <w:highlight w:val="none"/>
        </w:rPr>
        <w:t>岩，结合《环境影响评价技术导则</w:t>
      </w:r>
      <w:r>
        <w:rPr>
          <w:rFonts w:hint="eastAsia" w:ascii="Times New Roman" w:hAnsi="Times New Roman" w:cs="Times New Roman" w:eastAsiaTheme="minorEastAsia"/>
          <w:color w:val="auto"/>
          <w:spacing w:val="-2"/>
          <w:w w:val="99"/>
          <w:highlight w:val="none"/>
        </w:rPr>
        <w:t xml:space="preserve"> </w:t>
      </w:r>
      <w:r>
        <w:rPr>
          <w:rFonts w:ascii="Times New Roman" w:hAnsi="Times New Roman" w:cs="Times New Roman" w:eastAsiaTheme="minorEastAsia"/>
          <w:color w:val="auto"/>
          <w:spacing w:val="-2"/>
          <w:w w:val="99"/>
          <w:highlight w:val="none"/>
        </w:rPr>
        <w:t>地下水》（HJ610-2016）附录B中的水文地质参数 ，本次渗透系数潜水K</w:t>
      </w:r>
      <w:r>
        <w:rPr>
          <w:rFonts w:ascii="Times New Roman" w:hAnsi="Times New Roman" w:cs="Times New Roman" w:eastAsiaTheme="minorEastAsia"/>
          <w:color w:val="auto"/>
          <w:spacing w:val="-2"/>
          <w:w w:val="99"/>
          <w:highlight w:val="none"/>
          <w:vertAlign w:val="subscript"/>
        </w:rPr>
        <w:t>潜水</w:t>
      </w:r>
      <w:r>
        <w:rPr>
          <w:rFonts w:ascii="Times New Roman" w:hAnsi="Times New Roman" w:cs="Times New Roman" w:eastAsiaTheme="minorEastAsia"/>
          <w:color w:val="auto"/>
          <w:spacing w:val="-2"/>
          <w:w w:val="99"/>
          <w:highlight w:val="none"/>
        </w:rPr>
        <w:t>=</w:t>
      </w:r>
      <w:r>
        <w:rPr>
          <w:rFonts w:hint="eastAsia" w:ascii="Times New Roman" w:hAnsi="Times New Roman" w:cs="Times New Roman" w:eastAsiaTheme="minorEastAsia"/>
          <w:color w:val="auto"/>
          <w:spacing w:val="-2"/>
          <w:w w:val="99"/>
          <w:highlight w:val="none"/>
        </w:rPr>
        <w:t>5.0</w:t>
      </w:r>
      <w:r>
        <w:rPr>
          <w:rFonts w:ascii="Times New Roman" w:hAnsi="Times New Roman" w:cs="Times New Roman" w:eastAsiaTheme="minorEastAsia"/>
          <w:color w:val="auto"/>
          <w:spacing w:val="-2"/>
          <w:w w:val="99"/>
          <w:highlight w:val="none"/>
        </w:rPr>
        <w:t>m/d、承压水K</w:t>
      </w:r>
      <w:r>
        <w:rPr>
          <w:rFonts w:ascii="Times New Roman" w:hAnsi="Times New Roman" w:cs="Times New Roman" w:eastAsiaTheme="minorEastAsia"/>
          <w:color w:val="auto"/>
          <w:spacing w:val="-2"/>
          <w:w w:val="99"/>
          <w:highlight w:val="none"/>
          <w:vertAlign w:val="subscript"/>
        </w:rPr>
        <w:t>承压水</w:t>
      </w:r>
      <w:r>
        <w:rPr>
          <w:rFonts w:ascii="Times New Roman" w:hAnsi="Times New Roman" w:cs="Times New Roman" w:eastAsiaTheme="minorEastAsia"/>
          <w:color w:val="auto"/>
          <w:spacing w:val="-2"/>
          <w:w w:val="99"/>
          <w:highlight w:val="none"/>
        </w:rPr>
        <w:t>=</w:t>
      </w:r>
      <w:r>
        <w:rPr>
          <w:rFonts w:hint="eastAsia" w:ascii="Times New Roman" w:hAnsi="Times New Roman" w:cs="Times New Roman" w:eastAsiaTheme="minorEastAsia"/>
          <w:color w:val="auto"/>
          <w:spacing w:val="-2"/>
          <w:w w:val="99"/>
          <w:highlight w:val="none"/>
        </w:rPr>
        <w:t>50</w:t>
      </w:r>
      <w:r>
        <w:rPr>
          <w:rFonts w:ascii="Times New Roman" w:hAnsi="Times New Roman" w:cs="Times New Roman" w:eastAsiaTheme="minorEastAsia"/>
          <w:color w:val="auto"/>
          <w:spacing w:val="-2"/>
          <w:w w:val="99"/>
          <w:highlight w:val="none"/>
        </w:rPr>
        <w:t>m/d，有效孔隙度</w:t>
      </w:r>
      <w:r>
        <w:rPr>
          <w:rFonts w:ascii="Times New Roman" w:hAnsi="Times New Roman" w:cs="Times New Roman" w:eastAsiaTheme="minorEastAsia"/>
          <w:color w:val="auto"/>
          <w:spacing w:val="-2"/>
          <w:w w:val="99"/>
          <w:highlight w:val="none"/>
          <w:lang w:val="de-DE"/>
        </w:rPr>
        <w:t>n</w:t>
      </w:r>
      <w:r>
        <w:rPr>
          <w:rFonts w:ascii="Times New Roman" w:hAnsi="Times New Roman" w:cs="Times New Roman" w:eastAsiaTheme="minorEastAsia"/>
          <w:color w:val="auto"/>
          <w:spacing w:val="-2"/>
          <w:w w:val="99"/>
          <w:highlight w:val="none"/>
          <w:vertAlign w:val="subscript"/>
          <w:lang w:val="de-DE"/>
        </w:rPr>
        <w:t>e</w:t>
      </w:r>
      <w:r>
        <w:rPr>
          <w:rFonts w:ascii="Times New Roman" w:hAnsi="Times New Roman" w:cs="Times New Roman" w:eastAsiaTheme="minorEastAsia"/>
          <w:color w:val="auto"/>
          <w:spacing w:val="-2"/>
          <w:w w:val="99"/>
          <w:highlight w:val="none"/>
          <w:vertAlign w:val="subscript"/>
        </w:rPr>
        <w:t>潜水</w:t>
      </w:r>
      <w:r>
        <w:rPr>
          <w:rFonts w:ascii="Times New Roman" w:hAnsi="Times New Roman" w:cs="Times New Roman" w:eastAsiaTheme="minorEastAsia"/>
          <w:color w:val="auto"/>
          <w:spacing w:val="-2"/>
          <w:w w:val="99"/>
          <w:highlight w:val="none"/>
        </w:rPr>
        <w:t>=0.</w:t>
      </w:r>
      <w:r>
        <w:rPr>
          <w:rFonts w:hint="eastAsia" w:ascii="Times New Roman" w:hAnsi="Times New Roman" w:cs="Times New Roman" w:eastAsiaTheme="minorEastAsia"/>
          <w:color w:val="auto"/>
          <w:spacing w:val="-2"/>
          <w:w w:val="99"/>
          <w:highlight w:val="none"/>
        </w:rPr>
        <w:t>20</w:t>
      </w:r>
      <w:r>
        <w:rPr>
          <w:rFonts w:ascii="Times New Roman" w:hAnsi="Times New Roman" w:cs="Times New Roman" w:eastAsiaTheme="minorEastAsia"/>
          <w:color w:val="auto"/>
          <w:spacing w:val="-2"/>
          <w:w w:val="99"/>
          <w:highlight w:val="none"/>
        </w:rPr>
        <w:t>，</w:t>
      </w:r>
      <w:r>
        <w:rPr>
          <w:rFonts w:ascii="Times New Roman" w:hAnsi="Times New Roman" w:cs="Times New Roman" w:eastAsiaTheme="minorEastAsia"/>
          <w:color w:val="auto"/>
          <w:spacing w:val="-2"/>
          <w:w w:val="99"/>
          <w:highlight w:val="none"/>
          <w:lang w:val="de-DE"/>
        </w:rPr>
        <w:t>n</w:t>
      </w:r>
      <w:r>
        <w:rPr>
          <w:rFonts w:ascii="Times New Roman" w:hAnsi="Times New Roman" w:cs="Times New Roman" w:eastAsiaTheme="minorEastAsia"/>
          <w:color w:val="auto"/>
          <w:spacing w:val="-2"/>
          <w:w w:val="99"/>
          <w:highlight w:val="none"/>
          <w:vertAlign w:val="subscript"/>
          <w:lang w:val="de-DE"/>
        </w:rPr>
        <w:t>e</w:t>
      </w:r>
      <w:r>
        <w:rPr>
          <w:rFonts w:ascii="Times New Roman" w:hAnsi="Times New Roman" w:cs="Times New Roman" w:eastAsiaTheme="minorEastAsia"/>
          <w:color w:val="auto"/>
          <w:spacing w:val="-2"/>
          <w:w w:val="99"/>
          <w:highlight w:val="none"/>
          <w:vertAlign w:val="subscript"/>
        </w:rPr>
        <w:t>承压水</w:t>
      </w:r>
      <w:r>
        <w:rPr>
          <w:rFonts w:ascii="Times New Roman" w:hAnsi="Times New Roman" w:cs="Times New Roman" w:eastAsiaTheme="minorEastAsia"/>
          <w:color w:val="auto"/>
          <w:spacing w:val="-2"/>
          <w:w w:val="99"/>
          <w:highlight w:val="none"/>
        </w:rPr>
        <w:t>=0.</w:t>
      </w:r>
      <w:r>
        <w:rPr>
          <w:rFonts w:hint="eastAsia" w:ascii="Times New Roman" w:hAnsi="Times New Roman" w:cs="Times New Roman" w:eastAsiaTheme="minorEastAsia"/>
          <w:color w:val="auto"/>
          <w:spacing w:val="-2"/>
          <w:w w:val="99"/>
          <w:highlight w:val="none"/>
        </w:rPr>
        <w:t>30</w:t>
      </w:r>
      <w:r>
        <w:rPr>
          <w:rFonts w:ascii="Times New Roman" w:hAnsi="Times New Roman" w:cs="Times New Roman" w:eastAsiaTheme="minorEastAsia"/>
          <w:color w:val="auto"/>
          <w:spacing w:val="-2"/>
          <w:w w:val="99"/>
          <w:highlight w:val="none"/>
        </w:rPr>
        <w:t>。根据区域地下水等水位线与距离确定水力坡度，潜水水力坡度I</w:t>
      </w:r>
      <w:r>
        <w:rPr>
          <w:rFonts w:ascii="Times New Roman" w:hAnsi="Times New Roman" w:cs="Times New Roman" w:eastAsiaTheme="minorEastAsia"/>
          <w:color w:val="auto"/>
          <w:spacing w:val="-2"/>
          <w:w w:val="99"/>
          <w:highlight w:val="none"/>
          <w:vertAlign w:val="subscript"/>
        </w:rPr>
        <w:t>潜水</w:t>
      </w:r>
      <w:r>
        <w:rPr>
          <w:rFonts w:ascii="Times New Roman" w:hAnsi="Times New Roman" w:cs="Times New Roman" w:eastAsiaTheme="minorEastAsia"/>
          <w:color w:val="auto"/>
          <w:spacing w:val="-2"/>
          <w:w w:val="99"/>
          <w:highlight w:val="none"/>
        </w:rPr>
        <w:t>=0.00</w:t>
      </w:r>
      <w:r>
        <w:rPr>
          <w:rFonts w:hint="eastAsia" w:ascii="Times New Roman" w:hAnsi="Times New Roman" w:cs="Times New Roman" w:eastAsiaTheme="minorEastAsia"/>
          <w:color w:val="auto"/>
          <w:spacing w:val="-2"/>
          <w:w w:val="99"/>
          <w:highlight w:val="none"/>
        </w:rPr>
        <w:t>14</w:t>
      </w:r>
      <w:r>
        <w:rPr>
          <w:rFonts w:ascii="Times New Roman" w:hAnsi="Times New Roman" w:cs="Times New Roman" w:eastAsiaTheme="minorEastAsia"/>
          <w:color w:val="auto"/>
          <w:spacing w:val="-2"/>
          <w:w w:val="99"/>
          <w:highlight w:val="none"/>
        </w:rPr>
        <w:t>、承压水水力坡度I</w:t>
      </w:r>
      <w:r>
        <w:rPr>
          <w:rFonts w:ascii="Times New Roman" w:hAnsi="Times New Roman" w:cs="Times New Roman" w:eastAsiaTheme="minorEastAsia"/>
          <w:color w:val="auto"/>
          <w:spacing w:val="-2"/>
          <w:w w:val="99"/>
          <w:highlight w:val="none"/>
          <w:vertAlign w:val="subscript"/>
        </w:rPr>
        <w:t>承压水</w:t>
      </w:r>
      <w:r>
        <w:rPr>
          <w:rFonts w:ascii="Times New Roman" w:hAnsi="Times New Roman" w:cs="Times New Roman" w:eastAsiaTheme="minorEastAsia"/>
          <w:color w:val="auto"/>
          <w:spacing w:val="-2"/>
          <w:w w:val="99"/>
          <w:highlight w:val="none"/>
        </w:rPr>
        <w:t>=0.000</w:t>
      </w:r>
      <w:r>
        <w:rPr>
          <w:rFonts w:hint="eastAsia" w:ascii="Times New Roman" w:hAnsi="Times New Roman" w:cs="Times New Roman" w:eastAsiaTheme="minorEastAsia"/>
          <w:color w:val="auto"/>
          <w:spacing w:val="-2"/>
          <w:w w:val="99"/>
          <w:highlight w:val="none"/>
        </w:rPr>
        <w:t>7</w:t>
      </w:r>
      <w:r>
        <w:rPr>
          <w:rFonts w:ascii="Times New Roman" w:hAnsi="Times New Roman" w:cs="Times New Roman" w:eastAsiaTheme="minorEastAsia"/>
          <w:color w:val="auto"/>
          <w:spacing w:val="-2"/>
          <w:w w:val="99"/>
          <w:highlight w:val="none"/>
        </w:rPr>
        <w:t>。</w:t>
      </w:r>
    </w:p>
    <w:p w14:paraId="6BC504FD">
      <w:pPr>
        <w:pStyle w:val="153"/>
        <w:widowControl w:val="0"/>
        <w:spacing w:line="440" w:lineRule="exact"/>
        <w:ind w:firstLine="473"/>
        <w:jc w:val="both"/>
        <w:rPr>
          <w:rFonts w:ascii="Times New Roman" w:hAnsi="Times New Roman" w:eastAsiaTheme="minorEastAsia"/>
          <w:snapToGrid w:val="0"/>
          <w:color w:val="auto"/>
          <w:w w:val="99"/>
          <w:highlight w:val="none"/>
        </w:rPr>
      </w:pPr>
      <w:r>
        <w:rPr>
          <w:rFonts w:ascii="Times New Roman" w:hAnsi="Times New Roman" w:eastAsiaTheme="minorEastAsia"/>
          <w:snapToGrid w:val="0"/>
          <w:color w:val="auto"/>
          <w:w w:val="99"/>
          <w:highlight w:val="none"/>
        </w:rPr>
        <w:t>由此计算本项目区域潜水水层下游迁移距离为L</w:t>
      </w:r>
      <w:r>
        <w:rPr>
          <w:rFonts w:ascii="Times New Roman" w:hAnsi="Times New Roman" w:eastAsiaTheme="minorEastAsia"/>
          <w:snapToGrid w:val="0"/>
          <w:color w:val="auto"/>
          <w:w w:val="99"/>
          <w:highlight w:val="none"/>
          <w:vertAlign w:val="subscript"/>
        </w:rPr>
        <w:t>潜水</w:t>
      </w:r>
      <w:r>
        <w:rPr>
          <w:rFonts w:ascii="Times New Roman" w:hAnsi="Times New Roman" w:eastAsiaTheme="minorEastAsia"/>
          <w:snapToGrid w:val="0"/>
          <w:color w:val="auto"/>
          <w:w w:val="99"/>
          <w:highlight w:val="none"/>
        </w:rPr>
        <w:t>=2×</w:t>
      </w:r>
      <w:r>
        <w:rPr>
          <w:rFonts w:hint="eastAsia" w:ascii="Times New Roman" w:hAnsi="Times New Roman" w:eastAsiaTheme="minorEastAsia"/>
          <w:snapToGrid w:val="0"/>
          <w:color w:val="auto"/>
          <w:w w:val="99"/>
          <w:highlight w:val="none"/>
        </w:rPr>
        <w:t>5</w:t>
      </w:r>
      <w:r>
        <w:rPr>
          <w:rFonts w:ascii="Times New Roman" w:hAnsi="Times New Roman" w:eastAsiaTheme="minorEastAsia"/>
          <w:snapToGrid w:val="0"/>
          <w:color w:val="auto"/>
          <w:w w:val="99"/>
          <w:highlight w:val="none"/>
        </w:rPr>
        <w:t>×0.00</w:t>
      </w:r>
      <w:r>
        <w:rPr>
          <w:rFonts w:hint="eastAsia" w:ascii="Times New Roman" w:hAnsi="Times New Roman" w:eastAsiaTheme="minorEastAsia"/>
          <w:snapToGrid w:val="0"/>
          <w:color w:val="auto"/>
          <w:w w:val="99"/>
          <w:highlight w:val="none"/>
        </w:rPr>
        <w:t>14</w:t>
      </w:r>
      <w:r>
        <w:rPr>
          <w:rFonts w:ascii="Times New Roman" w:hAnsi="Times New Roman" w:eastAsiaTheme="minorEastAsia"/>
          <w:snapToGrid w:val="0"/>
          <w:color w:val="auto"/>
          <w:w w:val="99"/>
          <w:highlight w:val="none"/>
        </w:rPr>
        <w:t>×5000/0.2</w:t>
      </w:r>
      <w:r>
        <w:rPr>
          <w:rFonts w:hint="eastAsia" w:ascii="Times New Roman" w:hAnsi="Times New Roman" w:eastAsiaTheme="minorEastAsia"/>
          <w:snapToGrid w:val="0"/>
          <w:color w:val="auto"/>
          <w:w w:val="99"/>
          <w:highlight w:val="none"/>
        </w:rPr>
        <w:t>0</w:t>
      </w:r>
      <w:r>
        <w:rPr>
          <w:rFonts w:ascii="Times New Roman" w:hAnsi="Times New Roman" w:eastAsiaTheme="minorEastAsia"/>
          <w:snapToGrid w:val="0"/>
          <w:color w:val="auto"/>
          <w:w w:val="99"/>
          <w:highlight w:val="none"/>
        </w:rPr>
        <w:t>=</w:t>
      </w:r>
      <w:r>
        <w:rPr>
          <w:rFonts w:hint="eastAsia" w:ascii="Times New Roman" w:hAnsi="Times New Roman" w:eastAsiaTheme="minorEastAsia"/>
          <w:snapToGrid w:val="0"/>
          <w:color w:val="auto"/>
          <w:w w:val="99"/>
          <w:highlight w:val="none"/>
        </w:rPr>
        <w:t>35</w:t>
      </w:r>
      <w:r>
        <w:rPr>
          <w:rFonts w:ascii="Times New Roman" w:hAnsi="Times New Roman" w:eastAsiaTheme="minorEastAsia"/>
          <w:snapToGrid w:val="0"/>
          <w:color w:val="auto"/>
          <w:w w:val="99"/>
          <w:highlight w:val="none"/>
        </w:rPr>
        <w:t>0m；区域承压层下游迁移距离为L</w:t>
      </w:r>
      <w:r>
        <w:rPr>
          <w:rFonts w:ascii="Times New Roman" w:hAnsi="Times New Roman" w:eastAsiaTheme="minorEastAsia"/>
          <w:snapToGrid w:val="0"/>
          <w:color w:val="auto"/>
          <w:w w:val="99"/>
          <w:highlight w:val="none"/>
          <w:vertAlign w:val="subscript"/>
        </w:rPr>
        <w:t>承压水</w:t>
      </w:r>
      <w:r>
        <w:rPr>
          <w:rFonts w:ascii="Times New Roman" w:hAnsi="Times New Roman" w:eastAsiaTheme="minorEastAsia"/>
          <w:snapToGrid w:val="0"/>
          <w:color w:val="auto"/>
          <w:w w:val="99"/>
          <w:highlight w:val="none"/>
        </w:rPr>
        <w:t>=2×</w:t>
      </w:r>
      <w:r>
        <w:rPr>
          <w:rFonts w:hint="eastAsia" w:ascii="Times New Roman" w:hAnsi="Times New Roman" w:eastAsiaTheme="minorEastAsia"/>
          <w:snapToGrid w:val="0"/>
          <w:color w:val="auto"/>
          <w:w w:val="99"/>
          <w:highlight w:val="none"/>
        </w:rPr>
        <w:t>50</w:t>
      </w:r>
      <w:r>
        <w:rPr>
          <w:rFonts w:ascii="Times New Roman" w:hAnsi="Times New Roman" w:eastAsiaTheme="minorEastAsia"/>
          <w:snapToGrid w:val="0"/>
          <w:color w:val="auto"/>
          <w:w w:val="99"/>
          <w:highlight w:val="none"/>
        </w:rPr>
        <w:t>×0.000</w:t>
      </w:r>
      <w:r>
        <w:rPr>
          <w:rFonts w:hint="eastAsia" w:ascii="Times New Roman" w:hAnsi="Times New Roman" w:eastAsiaTheme="minorEastAsia"/>
          <w:snapToGrid w:val="0"/>
          <w:color w:val="auto"/>
          <w:w w:val="99"/>
          <w:highlight w:val="none"/>
        </w:rPr>
        <w:t>7</w:t>
      </w:r>
      <w:r>
        <w:rPr>
          <w:rFonts w:ascii="Times New Roman" w:hAnsi="Times New Roman" w:eastAsiaTheme="minorEastAsia"/>
          <w:snapToGrid w:val="0"/>
          <w:color w:val="auto"/>
          <w:w w:val="99"/>
          <w:highlight w:val="none"/>
        </w:rPr>
        <w:t>×5000/0.</w:t>
      </w:r>
      <w:r>
        <w:rPr>
          <w:rFonts w:hint="eastAsia" w:ascii="Times New Roman" w:hAnsi="Times New Roman" w:eastAsiaTheme="minorEastAsia"/>
          <w:snapToGrid w:val="0"/>
          <w:color w:val="auto"/>
          <w:w w:val="99"/>
          <w:highlight w:val="none"/>
        </w:rPr>
        <w:t>30</w:t>
      </w:r>
      <w:r>
        <w:rPr>
          <w:rFonts w:ascii="Times New Roman" w:hAnsi="Times New Roman" w:eastAsiaTheme="minorEastAsia"/>
          <w:snapToGrid w:val="0"/>
          <w:color w:val="auto"/>
          <w:w w:val="99"/>
          <w:highlight w:val="none"/>
        </w:rPr>
        <w:t>=</w:t>
      </w:r>
      <w:r>
        <w:rPr>
          <w:rFonts w:hint="eastAsia" w:ascii="Times New Roman" w:hAnsi="Times New Roman" w:eastAsiaTheme="minorEastAsia"/>
          <w:snapToGrid w:val="0"/>
          <w:color w:val="auto"/>
          <w:w w:val="99"/>
          <w:highlight w:val="none"/>
        </w:rPr>
        <w:t>1166.67</w:t>
      </w:r>
      <w:r>
        <w:rPr>
          <w:rFonts w:ascii="Times New Roman" w:hAnsi="Times New Roman" w:eastAsiaTheme="minorEastAsia"/>
          <w:snapToGrid w:val="0"/>
          <w:color w:val="auto"/>
          <w:w w:val="99"/>
          <w:highlight w:val="none"/>
        </w:rPr>
        <w:t>m。</w:t>
      </w:r>
    </w:p>
    <w:p w14:paraId="005D5CFE">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以最大迁移距离考虑评价范围，根据《环境影响评价技术导则 地下水环境》（HJ610-2016），本项目井场地下水调查评价范围应为下游不小于</w:t>
      </w:r>
      <w:r>
        <w:rPr>
          <w:rFonts w:hint="eastAsia" w:ascii="Times New Roman" w:hAnsi="Times New Roman"/>
          <w:color w:val="auto"/>
          <w:spacing w:val="4"/>
          <w:w w:val="99"/>
          <w:kern w:val="2"/>
          <w:position w:val="2"/>
          <w:highlight w:val="none"/>
        </w:rPr>
        <w:t>1166.67</w:t>
      </w:r>
      <w:r>
        <w:rPr>
          <w:rFonts w:ascii="Times New Roman" w:hAnsi="Times New Roman"/>
          <w:color w:val="auto"/>
          <w:spacing w:val="4"/>
          <w:w w:val="99"/>
          <w:kern w:val="2"/>
          <w:position w:val="2"/>
          <w:highlight w:val="none"/>
        </w:rPr>
        <w:t>m、两侧及上游不小于</w:t>
      </w:r>
      <w:r>
        <w:rPr>
          <w:rFonts w:hint="eastAsia" w:ascii="Times New Roman" w:hAnsi="Times New Roman"/>
          <w:color w:val="auto"/>
          <w:spacing w:val="4"/>
          <w:w w:val="99"/>
          <w:kern w:val="2"/>
          <w:position w:val="2"/>
          <w:highlight w:val="none"/>
        </w:rPr>
        <w:t>583.33</w:t>
      </w:r>
      <w:r>
        <w:rPr>
          <w:rFonts w:ascii="Times New Roman" w:hAnsi="Times New Roman"/>
          <w:color w:val="auto"/>
          <w:spacing w:val="4"/>
          <w:w w:val="99"/>
          <w:kern w:val="2"/>
          <w:position w:val="2"/>
          <w:highlight w:val="none"/>
        </w:rPr>
        <w:t>m的区域，并包含拟建管线工程边界两侧各向外延伸200m的范围。</w:t>
      </w:r>
    </w:p>
    <w:p w14:paraId="18C53226">
      <w:pPr>
        <w:pStyle w:val="153"/>
        <w:ind w:firstLine="488"/>
        <w:jc w:val="both"/>
        <w:rPr>
          <w:rFonts w:ascii="Times New Roman" w:hAnsi="Times New Roman" w:eastAsiaTheme="minorEastAsia"/>
          <w:snapToGrid w:val="0"/>
          <w:color w:val="auto"/>
          <w:w w:val="99"/>
          <w:highlight w:val="none"/>
        </w:rPr>
      </w:pPr>
      <w:r>
        <w:rPr>
          <w:rFonts w:ascii="Times New Roman" w:hAnsi="Times New Roman"/>
          <w:color w:val="auto"/>
          <w:spacing w:val="4"/>
          <w:w w:val="99"/>
          <w:kern w:val="2"/>
          <w:position w:val="2"/>
          <w:highlight w:val="none"/>
        </w:rPr>
        <w:t>根据公式计算法的计算结果，同时综合考虑井场区域地下水影响最远距离、地下水监测布点情况，结合该区域地下水流向，最终确定本项目地下水评价范围为</w:t>
      </w:r>
      <w:bookmarkStart w:id="326" w:name="OLE_LINK74"/>
      <w:bookmarkStart w:id="327" w:name="OLE_LINK73"/>
      <w:bookmarkStart w:id="328" w:name="OLE_LINK1"/>
      <w:r>
        <w:rPr>
          <w:rFonts w:ascii="Times New Roman" w:hAnsi="Times New Roman"/>
          <w:color w:val="auto"/>
          <w:spacing w:val="4"/>
          <w:w w:val="99"/>
          <w:kern w:val="2"/>
          <w:position w:val="2"/>
          <w:highlight w:val="none"/>
        </w:rPr>
        <w:t>项目拟</w:t>
      </w:r>
      <w:r>
        <w:rPr>
          <w:rFonts w:hint="eastAsia" w:ascii="Times New Roman" w:hAnsi="Times New Roman"/>
          <w:color w:val="auto"/>
          <w:w w:val="99"/>
          <w:highlight w:val="none"/>
        </w:rPr>
        <w:t>建区域地下水流向上游及两侧外扩1166.67m、下游外扩583.335m并包括水质现状监测点的东南→西北走向的合围区域，共计约16.65km</w:t>
      </w:r>
      <w:r>
        <w:rPr>
          <w:rFonts w:hint="eastAsia" w:ascii="Times New Roman" w:hAnsi="Times New Roman"/>
          <w:color w:val="auto"/>
          <w:w w:val="99"/>
          <w:highlight w:val="none"/>
          <w:vertAlign w:val="superscript"/>
        </w:rPr>
        <w:t>2</w:t>
      </w:r>
      <w:r>
        <w:rPr>
          <w:rFonts w:hint="eastAsia" w:ascii="Times New Roman" w:hAnsi="Times New Roman"/>
          <w:color w:val="auto"/>
          <w:w w:val="99"/>
          <w:highlight w:val="none"/>
        </w:rPr>
        <w:t>。</w:t>
      </w:r>
      <w:bookmarkEnd w:id="326"/>
      <w:bookmarkEnd w:id="327"/>
    </w:p>
    <w:bookmarkEnd w:id="328"/>
    <w:p w14:paraId="6021A649">
      <w:pPr>
        <w:pStyle w:val="7"/>
        <w:widowControl w:val="0"/>
        <w:spacing w:before="60" w:after="60" w:line="440" w:lineRule="exact"/>
        <w:jc w:val="both"/>
        <w:rPr>
          <w:rFonts w:eastAsia="宋体"/>
          <w:b/>
          <w:color w:val="auto"/>
          <w:w w:val="99"/>
          <w:kern w:val="2"/>
          <w:sz w:val="24"/>
          <w:szCs w:val="24"/>
          <w:highlight w:val="none"/>
        </w:rPr>
      </w:pPr>
      <w:bookmarkStart w:id="329" w:name="_Toc67860107"/>
      <w:bookmarkStart w:id="330" w:name="_Toc12541"/>
      <w:bookmarkStart w:id="331" w:name="_Toc57976653"/>
      <w:bookmarkStart w:id="332" w:name="_Toc186444254"/>
      <w:bookmarkStart w:id="333" w:name="_Toc78816439"/>
      <w:bookmarkStart w:id="334" w:name="_Toc80588234"/>
      <w:bookmarkStart w:id="335" w:name="_Toc77067638"/>
      <w:bookmarkStart w:id="336" w:name="_Toc80971356"/>
      <w:bookmarkStart w:id="337" w:name="_Toc83209451"/>
      <w:bookmarkStart w:id="338" w:name="_Toc61597200"/>
      <w:bookmarkStart w:id="339" w:name="_Toc17898143"/>
      <w:bookmarkStart w:id="340" w:name="_Toc57707898"/>
      <w:bookmarkStart w:id="341" w:name="_Toc57203228"/>
      <w:bookmarkStart w:id="342" w:name="_Toc70050154"/>
      <w:bookmarkStart w:id="343" w:name="_Toc76976222"/>
      <w:r>
        <w:rPr>
          <w:rFonts w:eastAsia="宋体"/>
          <w:b/>
          <w:color w:val="auto"/>
          <w:w w:val="99"/>
          <w:kern w:val="2"/>
          <w:sz w:val="24"/>
          <w:szCs w:val="24"/>
          <w:highlight w:val="none"/>
        </w:rPr>
        <w:t>2.7.4声环境</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05F5157F">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2.7.4.1评价等级</w:t>
      </w:r>
    </w:p>
    <w:p w14:paraId="26466010">
      <w:pPr>
        <w:pStyle w:val="153"/>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根据《环境影响评价技术导则 声环境》（HJ2.4-2021）中规定的声环境影响评价工作等级划分原则：建设项目所处的声环境功能区为GB3096规定的1类、2类地区，或建设项目建设前后评价范围内声环境保护目标噪声级增高量达3dB(A)~5dB(A)，或受噪声影响人口数量增加较多时，评价等级为二级评价。</w:t>
      </w:r>
    </w:p>
    <w:p w14:paraId="74DFFEC1">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根据《声环境质量标准》（GB3096-2008），项目周边区域为2类声环境功能区。本工程主要噪声源分为施工期机械、车辆产生的噪声，施工期短；本项目运营期主要噪声源为</w:t>
      </w:r>
      <w:r>
        <w:rPr>
          <w:rFonts w:hint="eastAsia" w:ascii="Times New Roman" w:hAnsi="Times New Roman"/>
          <w:color w:val="auto"/>
          <w:spacing w:val="4"/>
          <w:w w:val="99"/>
          <w:kern w:val="2"/>
          <w:position w:val="2"/>
          <w:highlight w:val="none"/>
        </w:rPr>
        <w:t>井场、场站加热装置、机泵</w:t>
      </w:r>
      <w:r>
        <w:rPr>
          <w:rFonts w:ascii="Times New Roman" w:hAnsi="Times New Roman"/>
          <w:color w:val="auto"/>
          <w:spacing w:val="4"/>
          <w:w w:val="99"/>
          <w:kern w:val="2"/>
          <w:position w:val="2"/>
          <w:highlight w:val="none"/>
        </w:rPr>
        <w:t>设备运行产生的噪声，输气管线均埋地敷设，项目周边</w:t>
      </w:r>
      <w:r>
        <w:rPr>
          <w:rFonts w:ascii="Times New Roman" w:hAnsi="Times New Roman" w:eastAsiaTheme="minorEastAsia"/>
          <w:snapToGrid w:val="0"/>
          <w:color w:val="auto"/>
          <w:w w:val="99"/>
          <w:highlight w:val="none"/>
        </w:rPr>
        <w:t>200m</w:t>
      </w:r>
      <w:r>
        <w:rPr>
          <w:rFonts w:ascii="Times New Roman" w:hAnsi="Times New Roman"/>
          <w:color w:val="auto"/>
          <w:spacing w:val="4"/>
          <w:w w:val="99"/>
          <w:kern w:val="2"/>
          <w:position w:val="2"/>
          <w:highlight w:val="none"/>
        </w:rPr>
        <w:t>范围内无声环境敏感点，周围居民受影响人口数量增加不多，敏感目标噪声级增高量在 5dB(A)以下，因此，声环境评价等级为二级。</w:t>
      </w:r>
    </w:p>
    <w:p w14:paraId="503D341D">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2.7.4.2评价范围</w:t>
      </w:r>
    </w:p>
    <w:p w14:paraId="57051C11">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本项目是以固定声源为主的建设项目，声环境评价等级为二级，根据《环境影响评价技术导则 声环境》（HJ2.4-2021）中要求，一级评价的要求一般以建设项目边界向外200m为评价范围，二级评价范围可根据建设项目所在区域和相邻区域的声环境功能区类别及敏感目标等实际情况适当缩小，且经后续预测分析，项目声源计算得到的贡献值到200 m处可以满足《声环境质量标准》</w:t>
      </w:r>
      <w:r>
        <w:rPr>
          <w:rFonts w:hint="eastAsia" w:ascii="Times New Roman" w:hAnsi="Times New Roman"/>
          <w:color w:val="auto"/>
          <w:spacing w:val="4"/>
          <w:w w:val="99"/>
          <w:kern w:val="2"/>
          <w:position w:val="2"/>
          <w:highlight w:val="none"/>
        </w:rPr>
        <w:t>（GB</w:t>
      </w:r>
      <w:r>
        <w:rPr>
          <w:rFonts w:ascii="Times New Roman" w:hAnsi="Times New Roman"/>
          <w:color w:val="auto"/>
          <w:spacing w:val="4"/>
          <w:w w:val="99"/>
          <w:kern w:val="2"/>
          <w:position w:val="2"/>
          <w:highlight w:val="none"/>
        </w:rPr>
        <w:t xml:space="preserve"> 3096-2008</w:t>
      </w:r>
      <w:r>
        <w:rPr>
          <w:rFonts w:hint="eastAsia" w:ascii="Times New Roman" w:hAnsi="Times New Roman"/>
          <w:color w:val="auto"/>
          <w:spacing w:val="4"/>
          <w:w w:val="99"/>
          <w:kern w:val="2"/>
          <w:position w:val="2"/>
          <w:highlight w:val="none"/>
        </w:rPr>
        <w:t>）</w:t>
      </w:r>
      <w:r>
        <w:rPr>
          <w:rFonts w:ascii="Times New Roman" w:hAnsi="Times New Roman"/>
          <w:color w:val="auto"/>
          <w:spacing w:val="4"/>
          <w:w w:val="99"/>
          <w:kern w:val="2"/>
          <w:position w:val="2"/>
          <w:highlight w:val="none"/>
        </w:rPr>
        <w:t>中的二级标准，因此，本项目声环境影响评价范围为拟建井场边界外延至200m及管线、道路中心线两侧各200m范围内的声环境。</w:t>
      </w:r>
    </w:p>
    <w:p w14:paraId="7A12A8B7">
      <w:pPr>
        <w:pStyle w:val="7"/>
        <w:widowControl w:val="0"/>
        <w:spacing w:before="60" w:after="60" w:line="440" w:lineRule="exact"/>
        <w:jc w:val="both"/>
        <w:rPr>
          <w:rFonts w:eastAsia="宋体"/>
          <w:b/>
          <w:color w:val="auto"/>
          <w:w w:val="99"/>
          <w:kern w:val="2"/>
          <w:sz w:val="24"/>
          <w:szCs w:val="24"/>
          <w:highlight w:val="none"/>
        </w:rPr>
      </w:pPr>
      <w:bookmarkStart w:id="344" w:name="_Toc5605"/>
      <w:bookmarkStart w:id="345" w:name="_Toc70050155"/>
      <w:bookmarkStart w:id="346" w:name="_Toc77067639"/>
      <w:bookmarkStart w:id="347" w:name="_Toc57707899"/>
      <w:bookmarkStart w:id="348" w:name="_Toc186444255"/>
      <w:bookmarkStart w:id="349" w:name="_Toc83209452"/>
      <w:bookmarkStart w:id="350" w:name="_Toc80588235"/>
      <w:bookmarkStart w:id="351" w:name="_Toc80971357"/>
      <w:bookmarkStart w:id="352" w:name="_Toc61597201"/>
      <w:bookmarkStart w:id="353" w:name="_Toc76976223"/>
      <w:bookmarkStart w:id="354" w:name="_Toc17898144"/>
      <w:bookmarkStart w:id="355" w:name="_Toc57203229"/>
      <w:bookmarkStart w:id="356" w:name="_Toc57976654"/>
      <w:bookmarkStart w:id="357" w:name="_Toc67860108"/>
      <w:bookmarkStart w:id="358" w:name="_Toc78816440"/>
      <w:r>
        <w:rPr>
          <w:rFonts w:eastAsia="宋体"/>
          <w:b/>
          <w:color w:val="auto"/>
          <w:w w:val="99"/>
          <w:kern w:val="2"/>
          <w:sz w:val="24"/>
          <w:szCs w:val="24"/>
          <w:highlight w:val="none"/>
        </w:rPr>
        <w:t>2.7.5生态环境</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14:paraId="38DF6DF1">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2.7.5.1评价等级</w:t>
      </w:r>
    </w:p>
    <w:p w14:paraId="6E897AF5">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本项目新增永久占地</w:t>
      </w:r>
      <w:r>
        <w:rPr>
          <w:rFonts w:hint="eastAsia" w:ascii="Times New Roman" w:hAnsi="Times New Roman"/>
          <w:color w:val="auto"/>
          <w:spacing w:val="4"/>
          <w:w w:val="99"/>
          <w:kern w:val="2"/>
          <w:position w:val="2"/>
          <w:highlight w:val="none"/>
        </w:rPr>
        <w:t>0.0901</w:t>
      </w:r>
      <w:r>
        <w:rPr>
          <w:rFonts w:ascii="Times New Roman" w:hAnsi="Times New Roman"/>
          <w:color w:val="auto"/>
          <w:spacing w:val="4"/>
          <w:w w:val="99"/>
          <w:kern w:val="2"/>
          <w:position w:val="2"/>
          <w:highlight w:val="none"/>
        </w:rPr>
        <w:t>hm</w:t>
      </w:r>
      <w:r>
        <w:rPr>
          <w:rFonts w:ascii="Times New Roman" w:hAnsi="Times New Roman"/>
          <w:color w:val="auto"/>
          <w:spacing w:val="4"/>
          <w:w w:val="99"/>
          <w:kern w:val="2"/>
          <w:position w:val="2"/>
          <w:highlight w:val="none"/>
          <w:vertAlign w:val="superscript"/>
        </w:rPr>
        <w:t>2</w:t>
      </w:r>
      <w:r>
        <w:rPr>
          <w:rFonts w:ascii="Times New Roman" w:hAnsi="Times New Roman"/>
          <w:color w:val="auto"/>
          <w:spacing w:val="4"/>
          <w:w w:val="99"/>
          <w:kern w:val="2"/>
          <w:position w:val="2"/>
          <w:highlight w:val="none"/>
        </w:rPr>
        <w:t>，新增临时占地</w:t>
      </w:r>
      <w:r>
        <w:rPr>
          <w:rFonts w:hint="eastAsia" w:ascii="Times New Roman" w:hAnsi="Times New Roman"/>
          <w:color w:val="auto"/>
          <w:spacing w:val="4"/>
          <w:w w:val="99"/>
          <w:kern w:val="2"/>
          <w:position w:val="2"/>
          <w:highlight w:val="none"/>
        </w:rPr>
        <w:t>1.9229</w:t>
      </w:r>
      <w:r>
        <w:rPr>
          <w:rFonts w:ascii="Times New Roman" w:hAnsi="Times New Roman"/>
          <w:color w:val="auto"/>
          <w:spacing w:val="4"/>
          <w:w w:val="99"/>
          <w:kern w:val="2"/>
          <w:position w:val="2"/>
          <w:highlight w:val="none"/>
        </w:rPr>
        <w:t>hm</w:t>
      </w:r>
      <w:r>
        <w:rPr>
          <w:rFonts w:ascii="Times New Roman" w:hAnsi="Times New Roman"/>
          <w:color w:val="auto"/>
          <w:spacing w:val="4"/>
          <w:w w:val="99"/>
          <w:kern w:val="2"/>
          <w:position w:val="2"/>
          <w:highlight w:val="none"/>
          <w:vertAlign w:val="superscript"/>
        </w:rPr>
        <w:t>2</w:t>
      </w:r>
      <w:r>
        <w:rPr>
          <w:rFonts w:ascii="Times New Roman" w:hAnsi="Times New Roman"/>
          <w:color w:val="auto"/>
          <w:spacing w:val="4"/>
          <w:w w:val="99"/>
          <w:kern w:val="2"/>
          <w:position w:val="2"/>
          <w:highlight w:val="none"/>
        </w:rPr>
        <w:t>，新增总占地面积</w:t>
      </w:r>
      <w:r>
        <w:rPr>
          <w:rFonts w:hint="eastAsia" w:ascii="Times New Roman" w:hAnsi="Times New Roman"/>
          <w:color w:val="auto"/>
          <w:spacing w:val="4"/>
          <w:w w:val="99"/>
          <w:kern w:val="2"/>
          <w:position w:val="2"/>
          <w:highlight w:val="none"/>
        </w:rPr>
        <w:t>2.013</w:t>
      </w:r>
      <w:r>
        <w:rPr>
          <w:rFonts w:ascii="Times New Roman" w:hAnsi="Times New Roman"/>
          <w:color w:val="auto"/>
          <w:spacing w:val="4"/>
          <w:w w:val="99"/>
          <w:kern w:val="2"/>
          <w:position w:val="2"/>
          <w:highlight w:val="none"/>
        </w:rPr>
        <w:t>hm</w:t>
      </w:r>
      <w:r>
        <w:rPr>
          <w:rFonts w:ascii="Times New Roman" w:hAnsi="Times New Roman"/>
          <w:color w:val="auto"/>
          <w:spacing w:val="4"/>
          <w:w w:val="99"/>
          <w:kern w:val="2"/>
          <w:position w:val="2"/>
          <w:highlight w:val="none"/>
          <w:vertAlign w:val="superscript"/>
        </w:rPr>
        <w:t>2</w:t>
      </w:r>
      <w:r>
        <w:rPr>
          <w:rFonts w:ascii="Times New Roman" w:hAnsi="Times New Roman"/>
          <w:color w:val="auto"/>
          <w:spacing w:val="4"/>
          <w:w w:val="99"/>
          <w:kern w:val="2"/>
          <w:position w:val="2"/>
          <w:highlight w:val="none"/>
        </w:rPr>
        <w:t>（0.</w:t>
      </w:r>
      <w:r>
        <w:rPr>
          <w:rFonts w:hint="eastAsia" w:ascii="Times New Roman" w:hAnsi="Times New Roman"/>
          <w:color w:val="auto"/>
          <w:spacing w:val="4"/>
          <w:w w:val="99"/>
          <w:kern w:val="2"/>
          <w:position w:val="2"/>
          <w:highlight w:val="none"/>
        </w:rPr>
        <w:t>02013</w:t>
      </w:r>
      <w:r>
        <w:rPr>
          <w:rFonts w:ascii="Times New Roman" w:hAnsi="Times New Roman"/>
          <w:color w:val="auto"/>
          <w:spacing w:val="4"/>
          <w:w w:val="99"/>
          <w:kern w:val="2"/>
          <w:position w:val="2"/>
          <w:highlight w:val="none"/>
        </w:rPr>
        <w:t>km</w:t>
      </w:r>
      <w:r>
        <w:rPr>
          <w:rFonts w:ascii="Times New Roman" w:hAnsi="Times New Roman"/>
          <w:color w:val="auto"/>
          <w:spacing w:val="4"/>
          <w:w w:val="99"/>
          <w:kern w:val="2"/>
          <w:position w:val="2"/>
          <w:highlight w:val="none"/>
          <w:vertAlign w:val="superscript"/>
        </w:rPr>
        <w:t>2</w:t>
      </w:r>
      <w:r>
        <w:rPr>
          <w:rFonts w:ascii="Times New Roman" w:hAnsi="Times New Roman"/>
          <w:color w:val="auto"/>
          <w:spacing w:val="4"/>
          <w:w w:val="99"/>
          <w:kern w:val="2"/>
          <w:position w:val="2"/>
          <w:highlight w:val="none"/>
        </w:rPr>
        <w:t>），占地面积小于20km</w:t>
      </w:r>
      <w:r>
        <w:rPr>
          <w:rFonts w:ascii="Times New Roman" w:hAnsi="Times New Roman"/>
          <w:color w:val="auto"/>
          <w:spacing w:val="4"/>
          <w:w w:val="99"/>
          <w:kern w:val="2"/>
          <w:position w:val="2"/>
          <w:highlight w:val="none"/>
          <w:vertAlign w:val="superscript"/>
        </w:rPr>
        <w:t>2</w:t>
      </w:r>
      <w:r>
        <w:rPr>
          <w:rFonts w:ascii="Times New Roman" w:hAnsi="Times New Roman"/>
          <w:color w:val="auto"/>
          <w:spacing w:val="4"/>
          <w:w w:val="99"/>
          <w:kern w:val="2"/>
          <w:position w:val="2"/>
          <w:highlight w:val="none"/>
        </w:rPr>
        <w:t>，本项目占地类型为耕地（永久基本农田），占地范围内没有自然保护区、世界文化和自然遗产地、风景名胜区、森林公园、地质公园、重要湿地、珍稀濒危野生动植物天然集中分布区等，项目不在生态保护红线内。本项目建设不影响地下水水位，项目土壤影响范围内无天然林、公益林等生态保护目标。</w:t>
      </w:r>
      <w:r>
        <w:rPr>
          <w:rFonts w:ascii="Times New Roman" w:hAnsi="Times New Roman" w:eastAsiaTheme="minorEastAsia"/>
          <w:snapToGrid w:val="0"/>
          <w:color w:val="auto"/>
          <w:w w:val="99"/>
          <w:highlight w:val="none"/>
        </w:rPr>
        <w:t>根据《环境影响评价技术导则 生态影响》（HJ19-2022）规定，本项目生态环境评价等级为</w:t>
      </w:r>
      <w:r>
        <w:rPr>
          <w:rFonts w:hint="eastAsia" w:ascii="Times New Roman" w:hAnsi="Times New Roman" w:eastAsiaTheme="minorEastAsia"/>
          <w:snapToGrid w:val="0"/>
          <w:color w:val="auto"/>
          <w:w w:val="99"/>
          <w:highlight w:val="none"/>
        </w:rPr>
        <w:t>三</w:t>
      </w:r>
      <w:r>
        <w:rPr>
          <w:rFonts w:ascii="Times New Roman" w:hAnsi="Times New Roman" w:eastAsiaTheme="minorEastAsia"/>
          <w:snapToGrid w:val="0"/>
          <w:color w:val="auto"/>
          <w:w w:val="99"/>
          <w:highlight w:val="none"/>
        </w:rPr>
        <w:t>级。</w:t>
      </w:r>
    </w:p>
    <w:p w14:paraId="2B3F02FD">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本工程生态环境影响评价工作等级判定见表2.7-</w:t>
      </w:r>
      <w:r>
        <w:rPr>
          <w:rFonts w:hint="eastAsia" w:ascii="Times New Roman" w:hAnsi="Times New Roman"/>
          <w:color w:val="auto"/>
          <w:spacing w:val="4"/>
          <w:w w:val="99"/>
          <w:kern w:val="2"/>
          <w:position w:val="2"/>
          <w:highlight w:val="none"/>
        </w:rPr>
        <w:t>10</w:t>
      </w:r>
      <w:r>
        <w:rPr>
          <w:rFonts w:ascii="Times New Roman" w:hAnsi="Times New Roman"/>
          <w:color w:val="auto"/>
          <w:spacing w:val="4"/>
          <w:w w:val="99"/>
          <w:kern w:val="2"/>
          <w:position w:val="2"/>
          <w:highlight w:val="none"/>
        </w:rPr>
        <w:t>。</w:t>
      </w:r>
    </w:p>
    <w:p w14:paraId="2B6272A9">
      <w:pPr>
        <w:pStyle w:val="153"/>
        <w:widowControl w:val="0"/>
        <w:spacing w:line="440" w:lineRule="exact"/>
        <w:ind w:firstLine="474"/>
        <w:jc w:val="both"/>
        <w:rPr>
          <w:rFonts w:ascii="Times New Roman" w:hAnsi="Times New Roman" w:eastAsiaTheme="minorEastAsia"/>
          <w:snapToGrid w:val="0"/>
          <w:color w:val="auto"/>
          <w:w w:val="99"/>
          <w:highlight w:val="none"/>
        </w:rPr>
      </w:pPr>
      <w:r>
        <w:rPr>
          <w:rFonts w:ascii="Times New Roman" w:hAnsi="Times New Roman" w:eastAsiaTheme="minorEastAsia"/>
          <w:b/>
          <w:bCs/>
          <w:color w:val="auto"/>
          <w:w w:val="99"/>
          <w:highlight w:val="none"/>
        </w:rPr>
        <w:t>表2.7-</w:t>
      </w:r>
      <w:r>
        <w:rPr>
          <w:rFonts w:hint="eastAsia" w:ascii="Times New Roman" w:hAnsi="Times New Roman" w:eastAsiaTheme="minorEastAsia"/>
          <w:b/>
          <w:bCs/>
          <w:color w:val="auto"/>
          <w:w w:val="99"/>
          <w:highlight w:val="none"/>
        </w:rPr>
        <w:t>10</w:t>
      </w:r>
      <w:r>
        <w:rPr>
          <w:rFonts w:ascii="Times New Roman" w:hAnsi="Times New Roman" w:eastAsiaTheme="minorEastAsia"/>
          <w:b/>
          <w:bCs/>
          <w:color w:val="auto"/>
          <w:w w:val="99"/>
          <w:highlight w:val="none"/>
        </w:rPr>
        <w:t xml:space="preserve">    生态影响评价工作等级划分表</w:t>
      </w:r>
    </w:p>
    <w:tbl>
      <w:tblPr>
        <w:tblStyle w:val="8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24"/>
        <w:gridCol w:w="5639"/>
        <w:gridCol w:w="2601"/>
      </w:tblGrid>
      <w:tr w14:paraId="6F5B9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53" w:type="pct"/>
            <w:tcMar>
              <w:left w:w="85" w:type="dxa"/>
            </w:tcMar>
            <w:vAlign w:val="center"/>
          </w:tcPr>
          <w:p w14:paraId="7AD5938F">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评价等级</w:t>
            </w:r>
          </w:p>
        </w:tc>
        <w:tc>
          <w:tcPr>
            <w:tcW w:w="3042" w:type="pct"/>
            <w:tcMar>
              <w:left w:w="85" w:type="dxa"/>
            </w:tcMar>
            <w:vAlign w:val="center"/>
          </w:tcPr>
          <w:p w14:paraId="6E8AD0CE">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判定内容</w:t>
            </w:r>
          </w:p>
        </w:tc>
        <w:tc>
          <w:tcPr>
            <w:tcW w:w="1403" w:type="pct"/>
            <w:tcMar>
              <w:left w:w="85" w:type="dxa"/>
            </w:tcMar>
            <w:vAlign w:val="center"/>
          </w:tcPr>
          <w:p w14:paraId="5E79526A">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本项目</w:t>
            </w:r>
          </w:p>
        </w:tc>
      </w:tr>
      <w:tr w14:paraId="02281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53" w:type="pct"/>
            <w:tcMar>
              <w:left w:w="85" w:type="dxa"/>
            </w:tcMar>
            <w:vAlign w:val="center"/>
          </w:tcPr>
          <w:p w14:paraId="278DFB5D">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一级</w:t>
            </w:r>
          </w:p>
        </w:tc>
        <w:tc>
          <w:tcPr>
            <w:tcW w:w="3042" w:type="pct"/>
            <w:tcMar>
              <w:left w:w="85" w:type="dxa"/>
            </w:tcMar>
            <w:vAlign w:val="center"/>
          </w:tcPr>
          <w:p w14:paraId="0CF0F33C">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涉及国家公园、自然保护区、世界自然遗产、重要生境时</w:t>
            </w:r>
          </w:p>
        </w:tc>
        <w:tc>
          <w:tcPr>
            <w:tcW w:w="1403" w:type="pct"/>
            <w:tcMar>
              <w:left w:w="85" w:type="dxa"/>
            </w:tcMar>
            <w:vAlign w:val="center"/>
          </w:tcPr>
          <w:p w14:paraId="12AFED1D">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不涉及</w:t>
            </w:r>
          </w:p>
        </w:tc>
      </w:tr>
      <w:tr w14:paraId="4A19BD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53" w:type="pct"/>
            <w:tcMar>
              <w:left w:w="85" w:type="dxa"/>
            </w:tcMar>
            <w:vAlign w:val="center"/>
          </w:tcPr>
          <w:p w14:paraId="57888820">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二级</w:t>
            </w:r>
          </w:p>
        </w:tc>
        <w:tc>
          <w:tcPr>
            <w:tcW w:w="3042" w:type="pct"/>
            <w:tcMar>
              <w:left w:w="85" w:type="dxa"/>
            </w:tcMar>
            <w:vAlign w:val="center"/>
          </w:tcPr>
          <w:p w14:paraId="2BDB16C2">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涉及自然公园</w:t>
            </w:r>
          </w:p>
        </w:tc>
        <w:tc>
          <w:tcPr>
            <w:tcW w:w="1403" w:type="pct"/>
            <w:tcMar>
              <w:left w:w="85" w:type="dxa"/>
            </w:tcMar>
            <w:vAlign w:val="center"/>
          </w:tcPr>
          <w:p w14:paraId="0F04E6DF">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不涉及</w:t>
            </w:r>
          </w:p>
        </w:tc>
      </w:tr>
      <w:tr w14:paraId="32AA5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53" w:type="pct"/>
            <w:tcMar>
              <w:left w:w="85" w:type="dxa"/>
            </w:tcMar>
            <w:vAlign w:val="center"/>
          </w:tcPr>
          <w:p w14:paraId="58764C80">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不低于二级</w:t>
            </w:r>
          </w:p>
        </w:tc>
        <w:tc>
          <w:tcPr>
            <w:tcW w:w="3042" w:type="pct"/>
            <w:tcMar>
              <w:left w:w="85" w:type="dxa"/>
            </w:tcMar>
            <w:vAlign w:val="center"/>
          </w:tcPr>
          <w:p w14:paraId="4D61ADDB">
            <w:pPr>
              <w:spacing w:line="360" w:lineRule="exact"/>
              <w:jc w:val="center"/>
              <w:rPr>
                <w:rFonts w:ascii="Times New Roman" w:hAnsi="Times New Roman" w:cs="Times New Roman"/>
                <w:color w:val="auto"/>
                <w:w w:val="99"/>
                <w:sz w:val="21"/>
                <w:szCs w:val="21"/>
                <w:highlight w:val="none"/>
              </w:rPr>
            </w:pPr>
            <w:r>
              <w:rPr>
                <w:rFonts w:hint="eastAsia"/>
                <w:color w:val="auto"/>
                <w:w w:val="99"/>
                <w:sz w:val="21"/>
                <w:szCs w:val="21"/>
                <w:highlight w:val="none"/>
              </w:rPr>
              <w:t>①</w:t>
            </w:r>
            <w:r>
              <w:rPr>
                <w:rFonts w:ascii="Times New Roman" w:hAnsi="Times New Roman" w:cs="Times New Roman"/>
                <w:color w:val="auto"/>
                <w:w w:val="99"/>
                <w:sz w:val="21"/>
                <w:szCs w:val="21"/>
                <w:highlight w:val="none"/>
              </w:rPr>
              <w:t>涉及生态保护红线时；根据HJ2.3判断属于水文要素影响型且地表水评价等级不低于二级的建设项目；</w:t>
            </w:r>
            <w:r>
              <w:rPr>
                <w:rFonts w:hint="eastAsia"/>
                <w:color w:val="auto"/>
                <w:w w:val="99"/>
                <w:sz w:val="21"/>
                <w:szCs w:val="21"/>
                <w:highlight w:val="none"/>
              </w:rPr>
              <w:t>②</w:t>
            </w:r>
            <w:r>
              <w:rPr>
                <w:rFonts w:ascii="Times New Roman" w:hAnsi="Times New Roman" w:cs="Times New Roman"/>
                <w:color w:val="auto"/>
                <w:w w:val="99"/>
                <w:sz w:val="21"/>
                <w:szCs w:val="21"/>
                <w:highlight w:val="none"/>
              </w:rPr>
              <w:t>根据HJ610、HJ964判断地下水水位或土壤影响范围内分布有天然林、公益林、湿地等生态保护目标的建设项目；</w:t>
            </w:r>
            <w:r>
              <w:rPr>
                <w:rFonts w:hint="eastAsia"/>
                <w:color w:val="auto"/>
                <w:w w:val="99"/>
                <w:sz w:val="21"/>
                <w:szCs w:val="21"/>
                <w:highlight w:val="none"/>
              </w:rPr>
              <w:t>③</w:t>
            </w:r>
            <w:r>
              <w:rPr>
                <w:rFonts w:ascii="Times New Roman" w:hAnsi="Times New Roman" w:cs="Times New Roman"/>
                <w:color w:val="auto"/>
                <w:w w:val="99"/>
                <w:sz w:val="21"/>
                <w:szCs w:val="21"/>
                <w:highlight w:val="none"/>
              </w:rPr>
              <w:t>当工程占地规模大于20km</w:t>
            </w:r>
            <w:r>
              <w:rPr>
                <w:rFonts w:ascii="Times New Roman" w:hAnsi="Times New Roman" w:cs="Times New Roman"/>
                <w:color w:val="auto"/>
                <w:w w:val="99"/>
                <w:sz w:val="21"/>
                <w:szCs w:val="21"/>
                <w:highlight w:val="none"/>
                <w:vertAlign w:val="superscript"/>
              </w:rPr>
              <w:t>2</w:t>
            </w:r>
            <w:r>
              <w:rPr>
                <w:rFonts w:ascii="Times New Roman" w:hAnsi="Times New Roman" w:cs="Times New Roman"/>
                <w:color w:val="auto"/>
                <w:w w:val="99"/>
                <w:sz w:val="21"/>
                <w:szCs w:val="21"/>
                <w:highlight w:val="none"/>
              </w:rPr>
              <w:t>时（包括永久和临时占用陆域和水域）。</w:t>
            </w:r>
          </w:p>
        </w:tc>
        <w:tc>
          <w:tcPr>
            <w:tcW w:w="1403" w:type="pct"/>
            <w:tcMar>
              <w:left w:w="85" w:type="dxa"/>
            </w:tcMar>
            <w:vAlign w:val="center"/>
          </w:tcPr>
          <w:p w14:paraId="37577EDB">
            <w:pPr>
              <w:spacing w:line="360" w:lineRule="exact"/>
              <w:jc w:val="both"/>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不</w:t>
            </w:r>
            <w:r>
              <w:rPr>
                <w:rFonts w:ascii="Times New Roman" w:hAnsi="Times New Roman" w:cs="Times New Roman"/>
                <w:color w:val="auto"/>
                <w:w w:val="99"/>
                <w:sz w:val="21"/>
                <w:szCs w:val="21"/>
                <w:highlight w:val="none"/>
              </w:rPr>
              <w:t>涉及。本项目不涉及生态保护红线，地表水为水污染影响型，评价等级为三级B；</w:t>
            </w:r>
            <w:r>
              <w:rPr>
                <w:rFonts w:ascii="Times New Roman" w:hAnsi="Times New Roman" w:cs="Times New Roman"/>
                <w:color w:val="auto"/>
                <w:w w:val="99"/>
                <w:sz w:val="21"/>
                <w:szCs w:val="21"/>
                <w:highlight w:val="none"/>
                <w:lang w:bidi="zh-CN"/>
              </w:rPr>
              <w:t>土壤范围内无天然林、公益林</w:t>
            </w:r>
            <w:r>
              <w:rPr>
                <w:rFonts w:hint="eastAsia" w:ascii="Times New Roman" w:hAnsi="Times New Roman" w:cs="Times New Roman"/>
                <w:color w:val="auto"/>
                <w:w w:val="99"/>
                <w:sz w:val="21"/>
                <w:szCs w:val="21"/>
                <w:highlight w:val="none"/>
                <w:lang w:bidi="zh-CN"/>
              </w:rPr>
              <w:t>、湿地</w:t>
            </w:r>
            <w:r>
              <w:rPr>
                <w:rFonts w:ascii="Times New Roman" w:hAnsi="Times New Roman" w:cs="Times New Roman"/>
                <w:color w:val="auto"/>
                <w:w w:val="99"/>
                <w:sz w:val="21"/>
                <w:szCs w:val="21"/>
                <w:highlight w:val="none"/>
                <w:lang w:bidi="zh-CN"/>
              </w:rPr>
              <w:t>等生态保护目标，项目占地0</w:t>
            </w:r>
            <w:r>
              <w:rPr>
                <w:rFonts w:hint="eastAsia" w:ascii="Times New Roman" w:hAnsi="Times New Roman" w:cs="Times New Roman"/>
                <w:color w:val="auto"/>
                <w:w w:val="99"/>
                <w:sz w:val="21"/>
                <w:szCs w:val="21"/>
                <w:highlight w:val="none"/>
                <w:lang w:bidi="zh-CN"/>
              </w:rPr>
              <w:t>.02013</w:t>
            </w:r>
            <w:r>
              <w:rPr>
                <w:rFonts w:ascii="Times New Roman" w:hAnsi="Times New Roman" w:cs="Times New Roman"/>
                <w:color w:val="auto"/>
                <w:w w:val="99"/>
                <w:sz w:val="21"/>
                <w:szCs w:val="21"/>
                <w:highlight w:val="none"/>
                <w:lang w:bidi="zh-CN"/>
              </w:rPr>
              <w:t>km</w:t>
            </w:r>
            <w:r>
              <w:rPr>
                <w:rFonts w:ascii="Times New Roman" w:hAnsi="Times New Roman" w:cs="Times New Roman"/>
                <w:color w:val="auto"/>
                <w:w w:val="99"/>
                <w:sz w:val="21"/>
                <w:szCs w:val="21"/>
                <w:highlight w:val="none"/>
                <w:vertAlign w:val="superscript"/>
                <w:lang w:bidi="zh-CN"/>
              </w:rPr>
              <w:t>2</w:t>
            </w:r>
            <w:r>
              <w:rPr>
                <w:rFonts w:ascii="Times New Roman" w:hAnsi="Times New Roman" w:cs="Times New Roman"/>
                <w:color w:val="auto"/>
                <w:w w:val="99"/>
                <w:sz w:val="21"/>
                <w:szCs w:val="21"/>
                <w:highlight w:val="none"/>
                <w:lang w:bidi="zh-CN"/>
              </w:rPr>
              <w:t>，小于20km</w:t>
            </w:r>
            <w:r>
              <w:rPr>
                <w:rFonts w:ascii="Times New Roman" w:hAnsi="Times New Roman" w:cs="Times New Roman"/>
                <w:color w:val="auto"/>
                <w:w w:val="99"/>
                <w:sz w:val="21"/>
                <w:szCs w:val="21"/>
                <w:highlight w:val="none"/>
                <w:vertAlign w:val="superscript"/>
                <w:lang w:bidi="zh-CN"/>
              </w:rPr>
              <w:t>2</w:t>
            </w:r>
            <w:r>
              <w:rPr>
                <w:rFonts w:ascii="Times New Roman" w:hAnsi="Times New Roman" w:cs="Times New Roman"/>
                <w:color w:val="auto"/>
                <w:w w:val="99"/>
                <w:sz w:val="21"/>
                <w:szCs w:val="21"/>
                <w:highlight w:val="none"/>
                <w:lang w:bidi="zh-CN"/>
              </w:rPr>
              <w:t>。</w:t>
            </w:r>
          </w:p>
        </w:tc>
      </w:tr>
      <w:tr w14:paraId="546118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53" w:type="pct"/>
            <w:tcMar>
              <w:left w:w="85" w:type="dxa"/>
            </w:tcMar>
            <w:vAlign w:val="center"/>
          </w:tcPr>
          <w:p w14:paraId="4C0A330D">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三级</w:t>
            </w:r>
          </w:p>
        </w:tc>
        <w:tc>
          <w:tcPr>
            <w:tcW w:w="3042" w:type="pct"/>
            <w:tcMar>
              <w:left w:w="85" w:type="dxa"/>
            </w:tcMar>
            <w:vAlign w:val="center"/>
          </w:tcPr>
          <w:p w14:paraId="3E555297">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以上之外的</w:t>
            </w:r>
          </w:p>
        </w:tc>
        <w:tc>
          <w:tcPr>
            <w:tcW w:w="1403" w:type="pct"/>
            <w:tcMar>
              <w:left w:w="85" w:type="dxa"/>
            </w:tcMar>
            <w:vAlign w:val="center"/>
          </w:tcPr>
          <w:p w14:paraId="6A4E2EAA">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w:t>
            </w:r>
          </w:p>
        </w:tc>
      </w:tr>
      <w:tr w14:paraId="7FCF6F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53" w:type="pct"/>
            <w:tcMar>
              <w:left w:w="85" w:type="dxa"/>
            </w:tcMar>
            <w:vAlign w:val="center"/>
          </w:tcPr>
          <w:p w14:paraId="2BF04AC7">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说明</w:t>
            </w:r>
          </w:p>
        </w:tc>
        <w:tc>
          <w:tcPr>
            <w:tcW w:w="3042" w:type="pct"/>
            <w:tcMar>
              <w:left w:w="85" w:type="dxa"/>
            </w:tcMar>
            <w:vAlign w:val="center"/>
          </w:tcPr>
          <w:p w14:paraId="3C718777">
            <w:pPr>
              <w:spacing w:line="360" w:lineRule="exact"/>
              <w:jc w:val="center"/>
              <w:rPr>
                <w:rFonts w:ascii="Times New Roman" w:hAnsi="Times New Roman" w:cs="Times New Roman"/>
                <w:color w:val="auto"/>
                <w:w w:val="99"/>
                <w:sz w:val="21"/>
                <w:szCs w:val="21"/>
                <w:highlight w:val="none"/>
              </w:rPr>
            </w:pPr>
            <w:r>
              <w:rPr>
                <w:rFonts w:hint="eastAsia"/>
                <w:color w:val="auto"/>
                <w:w w:val="99"/>
                <w:sz w:val="21"/>
                <w:szCs w:val="21"/>
                <w:highlight w:val="none"/>
              </w:rPr>
              <w:t>①</w:t>
            </w:r>
            <w:r>
              <w:rPr>
                <w:rFonts w:ascii="Times New Roman" w:hAnsi="Times New Roman" w:cs="Times New Roman"/>
                <w:color w:val="auto"/>
                <w:w w:val="99"/>
                <w:sz w:val="21"/>
                <w:szCs w:val="21"/>
                <w:highlight w:val="none"/>
              </w:rPr>
              <w:t>改扩建项目的占地范围以新增占地（包括陆域和水域）确定；</w:t>
            </w:r>
            <w:r>
              <w:rPr>
                <w:rFonts w:hint="eastAsia"/>
                <w:color w:val="auto"/>
                <w:w w:val="99"/>
                <w:sz w:val="21"/>
                <w:szCs w:val="21"/>
                <w:highlight w:val="none"/>
              </w:rPr>
              <w:t>②</w:t>
            </w:r>
            <w:r>
              <w:rPr>
                <w:rFonts w:ascii="Times New Roman" w:hAnsi="Times New Roman" w:cs="Times New Roman"/>
                <w:color w:val="auto"/>
                <w:w w:val="99"/>
                <w:sz w:val="21"/>
                <w:szCs w:val="21"/>
                <w:highlight w:val="none"/>
              </w:rPr>
              <w:t>当评价等级判定同时符合上述多种情况时，应采用其中最高的评价等级；</w:t>
            </w:r>
            <w:r>
              <w:rPr>
                <w:rFonts w:hint="eastAsia"/>
                <w:color w:val="auto"/>
                <w:w w:val="99"/>
                <w:sz w:val="21"/>
                <w:szCs w:val="21"/>
                <w:highlight w:val="none"/>
              </w:rPr>
              <w:t>③</w:t>
            </w:r>
            <w:r>
              <w:rPr>
                <w:rFonts w:ascii="Times New Roman" w:hAnsi="Times New Roman" w:cs="Times New Roman"/>
                <w:color w:val="auto"/>
                <w:w w:val="99"/>
                <w:sz w:val="21"/>
                <w:szCs w:val="21"/>
                <w:highlight w:val="none"/>
              </w:rPr>
              <w:t>建设项目涉及经论证对保护生物多样性具有重要意义的区域时，可适当上调评价等级。</w:t>
            </w:r>
            <w:r>
              <w:rPr>
                <w:rFonts w:hint="eastAsia"/>
                <w:color w:val="auto"/>
                <w:w w:val="99"/>
                <w:sz w:val="21"/>
                <w:szCs w:val="21"/>
                <w:highlight w:val="none"/>
              </w:rPr>
              <w:t>④</w:t>
            </w:r>
            <w:r>
              <w:rPr>
                <w:rFonts w:ascii="Times New Roman" w:hAnsi="Times New Roman" w:cs="Times New Roman"/>
                <w:color w:val="auto"/>
                <w:w w:val="99"/>
                <w:sz w:val="21"/>
                <w:szCs w:val="21"/>
                <w:highlight w:val="none"/>
              </w:rPr>
              <w:t>建设项目同时涉及陆生、水生生态影响时，可针对陆生生态、水生生态分别判定评价等级。</w:t>
            </w:r>
            <w:r>
              <w:rPr>
                <w:rFonts w:hint="eastAsia"/>
                <w:color w:val="auto"/>
                <w:w w:val="99"/>
                <w:sz w:val="21"/>
                <w:szCs w:val="21"/>
                <w:highlight w:val="none"/>
              </w:rPr>
              <w:t>⑤</w:t>
            </w:r>
            <w:r>
              <w:rPr>
                <w:rFonts w:ascii="Times New Roman" w:hAnsi="Times New Roman" w:cs="Times New Roman"/>
                <w:color w:val="auto"/>
                <w:w w:val="99"/>
                <w:sz w:val="21"/>
                <w:szCs w:val="21"/>
                <w:highlight w:val="none"/>
              </w:rPr>
              <w:t>在矿山开采可能导致矿区土地利用类型明显改变，或拦河闸坝建设可能明显改变水文情势等情况下，评价等级应上调一级。</w:t>
            </w:r>
            <w:r>
              <w:rPr>
                <w:rFonts w:hint="eastAsia"/>
                <w:color w:val="auto"/>
                <w:w w:val="99"/>
                <w:sz w:val="21"/>
                <w:szCs w:val="21"/>
                <w:highlight w:val="none"/>
              </w:rPr>
              <w:t>⑥</w:t>
            </w:r>
            <w:r>
              <w:rPr>
                <w:rFonts w:ascii="Times New Roman" w:hAnsi="Times New Roman" w:cs="Times New Roman"/>
                <w:color w:val="auto"/>
                <w:w w:val="99"/>
                <w:sz w:val="21"/>
                <w:szCs w:val="21"/>
                <w:highlight w:val="none"/>
              </w:rPr>
              <w:t>线性工程可分段确定评价等级。线性工程地下穿越或地表跨越生态敏感区，在生态敏感区范围内无永久、临时占地时，评价等级可下调一级。</w:t>
            </w:r>
            <w:r>
              <w:rPr>
                <w:rFonts w:hint="eastAsia"/>
                <w:color w:val="auto"/>
                <w:w w:val="99"/>
                <w:sz w:val="21"/>
                <w:szCs w:val="21"/>
                <w:highlight w:val="none"/>
              </w:rPr>
              <w:t>⑦</w:t>
            </w:r>
            <w:r>
              <w:rPr>
                <w:rFonts w:ascii="Times New Roman" w:hAnsi="Times New Roman" w:cs="Times New Roman"/>
                <w:color w:val="auto"/>
                <w:w w:val="99"/>
                <w:sz w:val="21"/>
                <w:szCs w:val="21"/>
                <w:highlight w:val="none"/>
              </w:rPr>
              <w:t>涉海工程评价等级判定参照 GB/T 19485。</w:t>
            </w:r>
          </w:p>
        </w:tc>
        <w:tc>
          <w:tcPr>
            <w:tcW w:w="1403" w:type="pct"/>
            <w:tcMar>
              <w:left w:w="85" w:type="dxa"/>
            </w:tcMar>
            <w:vAlign w:val="center"/>
          </w:tcPr>
          <w:p w14:paraId="6A66AB88">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不涉及</w:t>
            </w:r>
          </w:p>
        </w:tc>
      </w:tr>
      <w:tr w14:paraId="6A1F25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53" w:type="pct"/>
            <w:tcMar>
              <w:left w:w="85" w:type="dxa"/>
            </w:tcMar>
            <w:vAlign w:val="center"/>
          </w:tcPr>
          <w:p w14:paraId="53EDB038">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简单分析</w:t>
            </w:r>
          </w:p>
        </w:tc>
        <w:tc>
          <w:tcPr>
            <w:tcW w:w="3042" w:type="pct"/>
            <w:tcMar>
              <w:left w:w="85" w:type="dxa"/>
            </w:tcMar>
            <w:vAlign w:val="center"/>
          </w:tcPr>
          <w:p w14:paraId="608E26B0">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生态环境分区管控要求且位于原厂界（或永久用地）范围内的污染影响类改扩建项目，位于已批准规划环评的产业园区内且符合规划环评要求、不涉及生态敏感区的污染影响类建设项目，可不确定评价等级，直接进行生态影响简单分析。</w:t>
            </w:r>
          </w:p>
        </w:tc>
        <w:tc>
          <w:tcPr>
            <w:tcW w:w="1403" w:type="pct"/>
            <w:tcMar>
              <w:left w:w="85" w:type="dxa"/>
            </w:tcMar>
            <w:vAlign w:val="center"/>
          </w:tcPr>
          <w:p w14:paraId="486F1FAE">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不涉及</w:t>
            </w:r>
          </w:p>
        </w:tc>
      </w:tr>
    </w:tbl>
    <w:p w14:paraId="47F6863E">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2.7.5.2评价范围</w:t>
      </w:r>
    </w:p>
    <w:p w14:paraId="5788CB2B">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根据《环境影响评价技术导则 陆地石油天然气开发建设项目》（HJ349-2023）要求，本项目</w:t>
      </w:r>
      <w:bookmarkStart w:id="359" w:name="OLE_LINK58"/>
      <w:bookmarkStart w:id="360" w:name="OLE_LINK47"/>
      <w:r>
        <w:rPr>
          <w:rFonts w:ascii="Times New Roman" w:hAnsi="Times New Roman"/>
          <w:color w:val="auto"/>
          <w:spacing w:val="4"/>
          <w:w w:val="99"/>
          <w:kern w:val="2"/>
          <w:position w:val="2"/>
          <w:highlight w:val="none"/>
        </w:rPr>
        <w:t>评价范围为</w:t>
      </w:r>
      <w:bookmarkStart w:id="361" w:name="OLE_LINK32"/>
      <w:bookmarkStart w:id="362" w:name="OLE_LINK28"/>
      <w:r>
        <w:rPr>
          <w:rFonts w:ascii="Times New Roman" w:hAnsi="Times New Roman"/>
          <w:color w:val="auto"/>
          <w:spacing w:val="4"/>
          <w:w w:val="99"/>
          <w:kern w:val="2"/>
          <w:position w:val="2"/>
          <w:highlight w:val="none"/>
        </w:rPr>
        <w:t>拟建井场边界外扩50m范围及管线、道路沿线两侧外扩300m区域</w:t>
      </w:r>
      <w:bookmarkEnd w:id="359"/>
      <w:bookmarkEnd w:id="360"/>
      <w:r>
        <w:rPr>
          <w:rFonts w:ascii="Times New Roman" w:hAnsi="Times New Roman"/>
          <w:color w:val="auto"/>
          <w:spacing w:val="4"/>
          <w:w w:val="99"/>
          <w:kern w:val="2"/>
          <w:position w:val="2"/>
          <w:highlight w:val="none"/>
        </w:rPr>
        <w:t>的生态环境，评价范围总面积</w:t>
      </w:r>
      <w:r>
        <w:rPr>
          <w:rFonts w:hint="eastAsia" w:ascii="Times New Roman" w:hAnsi="Times New Roman"/>
          <w:color w:val="auto"/>
          <w:spacing w:val="4"/>
          <w:w w:val="99"/>
          <w:kern w:val="2"/>
          <w:position w:val="2"/>
          <w:highlight w:val="none"/>
        </w:rPr>
        <w:t>0.58k</w:t>
      </w:r>
      <w:r>
        <w:rPr>
          <w:rFonts w:ascii="Times New Roman" w:hAnsi="Times New Roman"/>
          <w:color w:val="auto"/>
          <w:spacing w:val="4"/>
          <w:w w:val="99"/>
          <w:kern w:val="2"/>
          <w:position w:val="2"/>
          <w:highlight w:val="none"/>
        </w:rPr>
        <w:t>m</w:t>
      </w:r>
      <w:r>
        <w:rPr>
          <w:rFonts w:ascii="Times New Roman" w:hAnsi="Times New Roman"/>
          <w:color w:val="auto"/>
          <w:spacing w:val="4"/>
          <w:w w:val="99"/>
          <w:kern w:val="2"/>
          <w:position w:val="2"/>
          <w:highlight w:val="none"/>
          <w:vertAlign w:val="superscript"/>
        </w:rPr>
        <w:t>2</w:t>
      </w:r>
      <w:bookmarkEnd w:id="361"/>
      <w:bookmarkEnd w:id="362"/>
      <w:r>
        <w:rPr>
          <w:rFonts w:ascii="Times New Roman" w:hAnsi="Times New Roman"/>
          <w:color w:val="auto"/>
          <w:spacing w:val="4"/>
          <w:w w:val="99"/>
          <w:kern w:val="2"/>
          <w:position w:val="2"/>
          <w:highlight w:val="none"/>
        </w:rPr>
        <w:t>。</w:t>
      </w:r>
    </w:p>
    <w:p w14:paraId="35E717E0">
      <w:pPr>
        <w:pStyle w:val="7"/>
        <w:widowControl w:val="0"/>
        <w:spacing w:before="60" w:after="60" w:line="440" w:lineRule="exact"/>
        <w:jc w:val="both"/>
        <w:rPr>
          <w:rFonts w:eastAsia="宋体"/>
          <w:b/>
          <w:color w:val="auto"/>
          <w:w w:val="99"/>
          <w:kern w:val="2"/>
          <w:sz w:val="24"/>
          <w:szCs w:val="24"/>
          <w:highlight w:val="none"/>
        </w:rPr>
      </w:pPr>
      <w:bookmarkStart w:id="363" w:name="_Toc70050156"/>
      <w:bookmarkStart w:id="364" w:name="_Toc80588236"/>
      <w:bookmarkStart w:id="365" w:name="_Toc17898145"/>
      <w:bookmarkStart w:id="366" w:name="_Toc67860109"/>
      <w:bookmarkStart w:id="367" w:name="_Toc57976655"/>
      <w:bookmarkStart w:id="368" w:name="_Toc78816441"/>
      <w:bookmarkStart w:id="369" w:name="_Toc57707900"/>
      <w:bookmarkStart w:id="370" w:name="_Toc76976224"/>
      <w:bookmarkStart w:id="371" w:name="_Toc80971358"/>
      <w:bookmarkStart w:id="372" w:name="_Toc83209453"/>
      <w:bookmarkStart w:id="373" w:name="_Toc61597202"/>
      <w:bookmarkStart w:id="374" w:name="_Toc57203230"/>
      <w:bookmarkStart w:id="375" w:name="_Toc186444256"/>
      <w:bookmarkStart w:id="376" w:name="_Toc77067640"/>
      <w:r>
        <w:rPr>
          <w:rFonts w:eastAsia="宋体"/>
          <w:b/>
          <w:color w:val="auto"/>
          <w:w w:val="99"/>
          <w:kern w:val="2"/>
          <w:sz w:val="24"/>
          <w:szCs w:val="24"/>
          <w:highlight w:val="none"/>
        </w:rPr>
        <w:t>2.7.6土壤环境</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14:paraId="7D8BAB63">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2.7.6.1评价等级</w:t>
      </w:r>
    </w:p>
    <w:p w14:paraId="723AEBF3">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（1）土壤环境影响评价项目类别</w:t>
      </w:r>
    </w:p>
    <w:p w14:paraId="597AB433">
      <w:pPr>
        <w:pStyle w:val="153"/>
        <w:widowControl w:val="0"/>
        <w:spacing w:line="440" w:lineRule="exact"/>
        <w:ind w:firstLine="488"/>
        <w:jc w:val="both"/>
        <w:rPr>
          <w:rFonts w:ascii="Times New Roman" w:hAnsi="Times New Roman"/>
          <w:color w:val="auto"/>
          <w:w w:val="99"/>
          <w:highlight w:val="none"/>
        </w:rPr>
      </w:pPr>
      <w:r>
        <w:rPr>
          <w:rFonts w:ascii="Times New Roman" w:hAnsi="Times New Roman"/>
          <w:color w:val="auto"/>
          <w:spacing w:val="4"/>
          <w:w w:val="99"/>
          <w:kern w:val="2"/>
          <w:position w:val="2"/>
          <w:highlight w:val="none"/>
        </w:rPr>
        <w:t>对照《环境影响评价技术导则 土壤环境（试行）》（HJ964-2018）中附录D</w:t>
      </w:r>
      <w:r>
        <w:rPr>
          <w:rFonts w:hint="eastAsia" w:ascii="Times New Roman" w:hAnsi="Times New Roman"/>
          <w:color w:val="auto"/>
          <w:spacing w:val="4"/>
          <w:w w:val="99"/>
          <w:kern w:val="2"/>
          <w:position w:val="2"/>
          <w:highlight w:val="none"/>
        </w:rPr>
        <w:t>土壤盐化、碱化、酸化分级标准</w:t>
      </w:r>
      <w:r>
        <w:rPr>
          <w:rFonts w:ascii="Times New Roman" w:hAnsi="Times New Roman"/>
          <w:color w:val="auto"/>
          <w:spacing w:val="4"/>
          <w:w w:val="99"/>
          <w:kern w:val="2"/>
          <w:position w:val="2"/>
          <w:highlight w:val="none"/>
        </w:rPr>
        <w:t>，</w:t>
      </w:r>
      <w:r>
        <w:rPr>
          <w:rFonts w:hint="eastAsia" w:ascii="Times New Roman" w:hAnsi="Times New Roman"/>
          <w:color w:val="auto"/>
          <w:spacing w:val="4"/>
          <w:w w:val="99"/>
          <w:kern w:val="2"/>
          <w:position w:val="2"/>
          <w:highlight w:val="none"/>
        </w:rPr>
        <w:t>土壤含盐量</w:t>
      </w:r>
      <w:r>
        <w:rPr>
          <w:rFonts w:ascii="Times New Roman" w:hAnsi="Times New Roman"/>
          <w:color w:val="auto"/>
          <w:spacing w:val="4"/>
          <w:w w:val="99"/>
          <w:kern w:val="2"/>
          <w:position w:val="2"/>
          <w:highlight w:val="none"/>
        </w:rPr>
        <w:t>＜</w:t>
      </w:r>
      <w:r>
        <w:rPr>
          <w:rFonts w:hint="eastAsia" w:ascii="Times New Roman" w:hAnsi="Times New Roman"/>
          <w:color w:val="auto"/>
          <w:spacing w:val="4"/>
          <w:w w:val="99"/>
          <w:kern w:val="2"/>
          <w:position w:val="2"/>
          <w:highlight w:val="none"/>
        </w:rPr>
        <w:t>1</w:t>
      </w:r>
      <w:r>
        <w:rPr>
          <w:rFonts w:ascii="Times New Roman" w:hAnsi="Times New Roman"/>
          <w:color w:val="auto"/>
          <w:spacing w:val="4"/>
          <w:w w:val="99"/>
          <w:kern w:val="2"/>
          <w:position w:val="2"/>
          <w:highlight w:val="none"/>
        </w:rPr>
        <w:t>g/kg</w:t>
      </w:r>
      <w:r>
        <w:rPr>
          <w:rFonts w:hint="eastAsia" w:ascii="Times New Roman" w:hAnsi="Times New Roman"/>
          <w:color w:val="auto"/>
          <w:spacing w:val="4"/>
          <w:w w:val="99"/>
          <w:kern w:val="2"/>
          <w:position w:val="2"/>
          <w:highlight w:val="none"/>
        </w:rPr>
        <w:t>分级为“未盐化”，土壤pH为5.5≤pH≤8.5土壤酸化、碱化强度为“无酸化或碱化”。</w:t>
      </w:r>
      <w:r>
        <w:rPr>
          <w:rFonts w:ascii="Times New Roman" w:hAnsi="Times New Roman"/>
          <w:color w:val="auto"/>
          <w:spacing w:val="4"/>
          <w:w w:val="99"/>
          <w:kern w:val="2"/>
          <w:position w:val="2"/>
          <w:highlight w:val="none"/>
        </w:rPr>
        <w:t>根据2025年</w:t>
      </w:r>
      <w:r>
        <w:rPr>
          <w:rFonts w:hint="eastAsia" w:ascii="Times New Roman" w:hAnsi="Times New Roman"/>
          <w:color w:val="auto"/>
          <w:spacing w:val="4"/>
          <w:w w:val="99"/>
          <w:kern w:val="2"/>
          <w:position w:val="2"/>
          <w:highlight w:val="none"/>
        </w:rPr>
        <w:t>11</w:t>
      </w:r>
      <w:r>
        <w:rPr>
          <w:rFonts w:ascii="Times New Roman" w:hAnsi="Times New Roman"/>
          <w:color w:val="auto"/>
          <w:spacing w:val="4"/>
          <w:w w:val="99"/>
          <w:kern w:val="2"/>
          <w:position w:val="2"/>
          <w:highlight w:val="none"/>
        </w:rPr>
        <w:t>月</w:t>
      </w:r>
      <w:r>
        <w:rPr>
          <w:rFonts w:hint="eastAsia" w:ascii="Times New Roman" w:hAnsi="Times New Roman"/>
          <w:color w:val="auto"/>
          <w:spacing w:val="4"/>
          <w:w w:val="99"/>
          <w:kern w:val="2"/>
          <w:position w:val="2"/>
          <w:highlight w:val="none"/>
        </w:rPr>
        <w:t>27</w:t>
      </w:r>
      <w:r>
        <w:rPr>
          <w:rFonts w:ascii="Times New Roman" w:hAnsi="Times New Roman"/>
          <w:color w:val="auto"/>
          <w:spacing w:val="4"/>
          <w:w w:val="99"/>
          <w:kern w:val="2"/>
          <w:position w:val="2"/>
          <w:highlight w:val="none"/>
        </w:rPr>
        <w:t>日对项目区域土壤监测结果，区域土壤pH 值在7.</w:t>
      </w:r>
      <w:r>
        <w:rPr>
          <w:rFonts w:hint="eastAsia" w:ascii="Times New Roman" w:hAnsi="Times New Roman"/>
          <w:color w:val="auto"/>
          <w:spacing w:val="4"/>
          <w:w w:val="99"/>
          <w:kern w:val="2"/>
          <w:position w:val="2"/>
          <w:highlight w:val="none"/>
        </w:rPr>
        <w:t>68</w:t>
      </w:r>
      <w:r>
        <w:rPr>
          <w:rFonts w:ascii="Times New Roman" w:hAnsi="Times New Roman"/>
          <w:color w:val="auto"/>
          <w:spacing w:val="4"/>
          <w:w w:val="99"/>
          <w:kern w:val="2"/>
          <w:position w:val="2"/>
          <w:highlight w:val="none"/>
        </w:rPr>
        <w:t>~8.</w:t>
      </w:r>
      <w:r>
        <w:rPr>
          <w:rFonts w:hint="eastAsia" w:ascii="Times New Roman" w:hAnsi="Times New Roman"/>
          <w:color w:val="auto"/>
          <w:spacing w:val="4"/>
          <w:w w:val="99"/>
          <w:kern w:val="2"/>
          <w:position w:val="2"/>
          <w:highlight w:val="none"/>
        </w:rPr>
        <w:t>11</w:t>
      </w:r>
      <w:r>
        <w:rPr>
          <w:rFonts w:ascii="Times New Roman" w:hAnsi="Times New Roman"/>
          <w:color w:val="auto"/>
          <w:spacing w:val="4"/>
          <w:w w:val="99"/>
          <w:kern w:val="2"/>
          <w:position w:val="2"/>
          <w:highlight w:val="none"/>
        </w:rPr>
        <w:t>之间，土壤含盐量在0.5~0.</w:t>
      </w:r>
      <w:r>
        <w:rPr>
          <w:rFonts w:hint="eastAsia" w:ascii="Times New Roman" w:hAnsi="Times New Roman"/>
          <w:color w:val="auto"/>
          <w:spacing w:val="4"/>
          <w:w w:val="99"/>
          <w:kern w:val="2"/>
          <w:position w:val="2"/>
          <w:highlight w:val="none"/>
        </w:rPr>
        <w:t>9</w:t>
      </w:r>
      <w:r>
        <w:rPr>
          <w:rFonts w:ascii="Times New Roman" w:hAnsi="Times New Roman"/>
          <w:color w:val="auto"/>
          <w:spacing w:val="4"/>
          <w:w w:val="99"/>
          <w:kern w:val="2"/>
          <w:position w:val="2"/>
          <w:highlight w:val="none"/>
        </w:rPr>
        <w:t>g/kg之间，</w:t>
      </w:r>
      <w:r>
        <w:rPr>
          <w:rFonts w:ascii="Times New Roman" w:hAnsi="Times New Roman" w:eastAsiaTheme="minorEastAsia"/>
          <w:snapToGrid w:val="0"/>
          <w:color w:val="auto"/>
          <w:w w:val="99"/>
          <w:highlight w:val="none"/>
        </w:rPr>
        <w:t>对</w:t>
      </w:r>
      <w:r>
        <w:rPr>
          <w:rFonts w:hint="eastAsia" w:ascii="Times New Roman" w:hAnsi="Times New Roman"/>
          <w:color w:val="auto"/>
          <w:w w:val="99"/>
          <w:highlight w:val="none"/>
        </w:rPr>
        <w:t>照《环境影响评价技术导则 土壤环境（试行）》（HJ964-2018）中附录D，本项目区域属于非土壤盐化、酸化和碱化地区，本项目按照土壤污染影响型开展土壤评价。</w:t>
      </w:r>
    </w:p>
    <w:p w14:paraId="535FEA28">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hint="eastAsia" w:ascii="Times New Roman" w:hAnsi="Times New Roman"/>
          <w:color w:val="auto"/>
          <w:spacing w:val="4"/>
          <w:w w:val="99"/>
          <w:kern w:val="2"/>
          <w:position w:val="2"/>
          <w:highlight w:val="none"/>
        </w:rPr>
        <w:t>根据《环境影响评价技术导则 土壤环境(试行)》(HJ964-2018)附录A，本项目属于采矿业中“天然气开采”，属于Ⅱ类建设项目。根据《环境影响评价技术导则陆地石油天然气开发建设项目》(HJ349-2023)中 7.4 土壤环境评价等级和评价范围依据HJ964 的相关原则来确定，并符合下列要求：建设项目按照站场和天然气集输管道分别判断行业分类。常规天然气和页岩气、致密气等非常规天然气开采(含天然气净化厂)站场等工程，油类和废水等输送管道，按照</w:t>
      </w:r>
      <w:r>
        <w:rPr>
          <w:rFonts w:ascii="Times New Roman" w:hAnsi="Times New Roman" w:eastAsia="Times New Roman"/>
          <w:color w:val="auto"/>
          <w:spacing w:val="2"/>
          <w:highlight w:val="none"/>
        </w:rPr>
        <w:t>Ⅱ</w:t>
      </w:r>
      <w:r>
        <w:rPr>
          <w:rFonts w:hint="eastAsia" w:ascii="Times New Roman" w:hAnsi="Times New Roman"/>
          <w:color w:val="auto"/>
          <w:spacing w:val="4"/>
          <w:w w:val="99"/>
          <w:kern w:val="2"/>
          <w:position w:val="2"/>
          <w:highlight w:val="none"/>
        </w:rPr>
        <w:t>类建设项目开展土壤环境影响评价。天然气管道按照IV类建设项目开展土壤环境影响评价。因此，本项目常规天然气开采井场、站场工程属于Ⅱ类项目，天然气管线工程属于IV类项目</w:t>
      </w:r>
      <w:r>
        <w:rPr>
          <w:rFonts w:ascii="Times New Roman" w:hAnsi="Times New Roman"/>
          <w:color w:val="auto"/>
          <w:spacing w:val="4"/>
          <w:w w:val="99"/>
          <w:kern w:val="2"/>
          <w:position w:val="2"/>
          <w:highlight w:val="none"/>
        </w:rPr>
        <w:t>。</w:t>
      </w:r>
    </w:p>
    <w:p w14:paraId="21A6F45F">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（2）污染影响型敏感程度分级</w:t>
      </w:r>
    </w:p>
    <w:p w14:paraId="1CF9B34F">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根据建设项目所在地周边的土壤环境敏感程度分级判据见表2.7-1</w:t>
      </w:r>
      <w:r>
        <w:rPr>
          <w:rFonts w:hint="eastAsia" w:ascii="Times New Roman" w:hAnsi="Times New Roman"/>
          <w:color w:val="auto"/>
          <w:spacing w:val="4"/>
          <w:w w:val="99"/>
          <w:kern w:val="2"/>
          <w:position w:val="2"/>
          <w:highlight w:val="none"/>
        </w:rPr>
        <w:t>1</w:t>
      </w:r>
      <w:r>
        <w:rPr>
          <w:rFonts w:ascii="Times New Roman" w:hAnsi="Times New Roman"/>
          <w:color w:val="auto"/>
          <w:spacing w:val="4"/>
          <w:w w:val="99"/>
          <w:kern w:val="2"/>
          <w:position w:val="2"/>
          <w:highlight w:val="none"/>
        </w:rPr>
        <w:t>。</w:t>
      </w:r>
    </w:p>
    <w:p w14:paraId="3260AC86">
      <w:pPr>
        <w:pStyle w:val="153"/>
        <w:widowControl w:val="0"/>
        <w:spacing w:line="440" w:lineRule="exact"/>
        <w:ind w:firstLine="474"/>
        <w:jc w:val="both"/>
        <w:rPr>
          <w:rFonts w:ascii="Times New Roman" w:hAnsi="Times New Roman" w:eastAsiaTheme="minorEastAsia"/>
          <w:snapToGrid w:val="0"/>
          <w:color w:val="auto"/>
          <w:w w:val="99"/>
          <w:highlight w:val="none"/>
        </w:rPr>
      </w:pPr>
      <w:r>
        <w:rPr>
          <w:rFonts w:ascii="Times New Roman" w:hAnsi="Times New Roman" w:eastAsiaTheme="minorEastAsia"/>
          <w:b/>
          <w:bCs/>
          <w:color w:val="auto"/>
          <w:w w:val="99"/>
          <w:highlight w:val="none"/>
        </w:rPr>
        <w:t>表2.7-</w:t>
      </w:r>
      <w:r>
        <w:rPr>
          <w:rFonts w:hint="eastAsia" w:ascii="Times New Roman" w:hAnsi="Times New Roman" w:eastAsiaTheme="minorEastAsia"/>
          <w:b/>
          <w:bCs/>
          <w:color w:val="auto"/>
          <w:w w:val="99"/>
          <w:highlight w:val="none"/>
        </w:rPr>
        <w:t>11</w:t>
      </w:r>
      <w:r>
        <w:rPr>
          <w:rFonts w:ascii="Times New Roman" w:hAnsi="Times New Roman" w:eastAsiaTheme="minorEastAsia"/>
          <w:b/>
          <w:bCs/>
          <w:color w:val="auto"/>
          <w:w w:val="99"/>
          <w:highlight w:val="none"/>
        </w:rPr>
        <w:t xml:space="preserve">    污染影响型敏感程度分级表</w:t>
      </w:r>
    </w:p>
    <w:tbl>
      <w:tblPr>
        <w:tblStyle w:val="81"/>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92"/>
        <w:gridCol w:w="7695"/>
      </w:tblGrid>
      <w:tr w14:paraId="3B609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trPr>
        <w:tc>
          <w:tcPr>
            <w:tcW w:w="857" w:type="pct"/>
            <w:vAlign w:val="center"/>
          </w:tcPr>
          <w:p w14:paraId="41C76DD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敏感程度</w:t>
            </w:r>
          </w:p>
        </w:tc>
        <w:tc>
          <w:tcPr>
            <w:tcW w:w="4143" w:type="pct"/>
            <w:vAlign w:val="center"/>
          </w:tcPr>
          <w:p w14:paraId="1ACCBC4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判别依据</w:t>
            </w:r>
          </w:p>
        </w:tc>
      </w:tr>
      <w:tr w14:paraId="522CBE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7" w:type="pct"/>
            <w:vAlign w:val="center"/>
          </w:tcPr>
          <w:p w14:paraId="0307012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敏感</w:t>
            </w:r>
          </w:p>
        </w:tc>
        <w:tc>
          <w:tcPr>
            <w:tcW w:w="4143" w:type="pct"/>
            <w:vAlign w:val="center"/>
          </w:tcPr>
          <w:p w14:paraId="3EC2CC84">
            <w:pPr>
              <w:spacing w:line="360" w:lineRule="exact"/>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建设项目周边存在耕地、园地、牧草地、饮用水水源地或居民区、学校、医院、疗养院、养老院等土壤环境敏感目标的</w:t>
            </w:r>
          </w:p>
        </w:tc>
      </w:tr>
      <w:tr w14:paraId="1FFA7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7" w:type="pct"/>
            <w:vAlign w:val="center"/>
          </w:tcPr>
          <w:p w14:paraId="19829D0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较敏感</w:t>
            </w:r>
          </w:p>
        </w:tc>
        <w:tc>
          <w:tcPr>
            <w:tcW w:w="4143" w:type="pct"/>
            <w:vAlign w:val="center"/>
          </w:tcPr>
          <w:p w14:paraId="42CF263B">
            <w:pPr>
              <w:spacing w:line="360" w:lineRule="exact"/>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建设项目周边存在其他土壤环境敏感目标的</w:t>
            </w:r>
          </w:p>
        </w:tc>
      </w:tr>
      <w:tr w14:paraId="2EBDF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7" w:type="pct"/>
            <w:vAlign w:val="center"/>
          </w:tcPr>
          <w:p w14:paraId="667EA2C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不敏感</w:t>
            </w:r>
          </w:p>
        </w:tc>
        <w:tc>
          <w:tcPr>
            <w:tcW w:w="4143" w:type="pct"/>
            <w:vAlign w:val="center"/>
          </w:tcPr>
          <w:p w14:paraId="2337CCF1">
            <w:pPr>
              <w:spacing w:line="360" w:lineRule="exact"/>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其他情况</w:t>
            </w:r>
          </w:p>
        </w:tc>
      </w:tr>
    </w:tbl>
    <w:p w14:paraId="49BEDA3F">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本项目拟建井场及管线占地类型均为耕地</w:t>
      </w:r>
      <w:r>
        <w:rPr>
          <w:rFonts w:hint="eastAsia" w:ascii="Times New Roman" w:hAnsi="Times New Roman"/>
          <w:color w:val="auto"/>
          <w:spacing w:val="4"/>
          <w:w w:val="99"/>
          <w:kern w:val="2"/>
          <w:position w:val="2"/>
          <w:highlight w:val="none"/>
        </w:rPr>
        <w:t>（永久基本农田）</w:t>
      </w:r>
      <w:r>
        <w:rPr>
          <w:rFonts w:ascii="Times New Roman" w:hAnsi="Times New Roman"/>
          <w:color w:val="auto"/>
          <w:spacing w:val="4"/>
          <w:w w:val="99"/>
          <w:kern w:val="2"/>
          <w:position w:val="2"/>
          <w:highlight w:val="none"/>
        </w:rPr>
        <w:t>，由此判定，本项目土壤环境敏感程度分级为“敏感”。</w:t>
      </w:r>
    </w:p>
    <w:p w14:paraId="39C779E1">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（3）土壤环境影响评价等级</w:t>
      </w:r>
    </w:p>
    <w:p w14:paraId="349B8228">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污染影响型评价工作等级划分依据见</w:t>
      </w:r>
      <w:r>
        <w:rPr>
          <w:rFonts w:ascii="Times New Roman" w:hAnsi="Times New Roman"/>
          <w:color w:val="auto"/>
          <w:spacing w:val="4"/>
          <w:w w:val="99"/>
          <w:kern w:val="2"/>
          <w:position w:val="2"/>
          <w:highlight w:val="none"/>
          <w:lang w:val="zh-CN"/>
        </w:rPr>
        <w:t>表</w:t>
      </w:r>
      <w:r>
        <w:rPr>
          <w:rFonts w:ascii="Times New Roman" w:hAnsi="Times New Roman"/>
          <w:color w:val="auto"/>
          <w:spacing w:val="4"/>
          <w:w w:val="99"/>
          <w:kern w:val="2"/>
          <w:position w:val="2"/>
          <w:highlight w:val="none"/>
        </w:rPr>
        <w:t>2.7-1</w:t>
      </w:r>
      <w:r>
        <w:rPr>
          <w:rFonts w:hint="eastAsia" w:ascii="Times New Roman" w:hAnsi="Times New Roman"/>
          <w:color w:val="auto"/>
          <w:spacing w:val="4"/>
          <w:w w:val="99"/>
          <w:kern w:val="2"/>
          <w:position w:val="2"/>
          <w:highlight w:val="none"/>
        </w:rPr>
        <w:t>2</w:t>
      </w:r>
      <w:r>
        <w:rPr>
          <w:rFonts w:ascii="Times New Roman" w:hAnsi="Times New Roman"/>
          <w:color w:val="auto"/>
          <w:spacing w:val="4"/>
          <w:w w:val="99"/>
          <w:kern w:val="2"/>
          <w:position w:val="2"/>
          <w:highlight w:val="none"/>
        </w:rPr>
        <w:t>。</w:t>
      </w:r>
    </w:p>
    <w:p w14:paraId="77C00086">
      <w:pPr>
        <w:pStyle w:val="153"/>
        <w:widowControl w:val="0"/>
        <w:spacing w:line="440" w:lineRule="exact"/>
        <w:ind w:firstLine="474"/>
        <w:jc w:val="both"/>
        <w:rPr>
          <w:rFonts w:ascii="Times New Roman" w:hAnsi="Times New Roman" w:eastAsiaTheme="minorEastAsia"/>
          <w:snapToGrid w:val="0"/>
          <w:color w:val="auto"/>
          <w:w w:val="99"/>
          <w:highlight w:val="none"/>
        </w:rPr>
      </w:pPr>
      <w:r>
        <w:rPr>
          <w:rFonts w:ascii="Times New Roman" w:hAnsi="Times New Roman" w:eastAsiaTheme="minorEastAsia"/>
          <w:b/>
          <w:bCs/>
          <w:color w:val="auto"/>
          <w:w w:val="99"/>
          <w:highlight w:val="none"/>
        </w:rPr>
        <w:t>表2.7-1</w:t>
      </w:r>
      <w:r>
        <w:rPr>
          <w:rFonts w:hint="eastAsia" w:ascii="Times New Roman" w:hAnsi="Times New Roman" w:eastAsiaTheme="minorEastAsia"/>
          <w:b/>
          <w:bCs/>
          <w:color w:val="auto"/>
          <w:w w:val="99"/>
          <w:highlight w:val="none"/>
        </w:rPr>
        <w:t>2</w:t>
      </w:r>
      <w:r>
        <w:rPr>
          <w:rFonts w:ascii="Times New Roman" w:hAnsi="Times New Roman" w:eastAsiaTheme="minorEastAsia"/>
          <w:b/>
          <w:bCs/>
          <w:color w:val="auto"/>
          <w:w w:val="99"/>
          <w:highlight w:val="none"/>
        </w:rPr>
        <w:t xml:space="preserve">   污染影响型评价工作等级划分表</w:t>
      </w:r>
    </w:p>
    <w:tbl>
      <w:tblPr>
        <w:tblStyle w:val="81"/>
        <w:tblW w:w="928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93"/>
        <w:gridCol w:w="799"/>
        <w:gridCol w:w="799"/>
        <w:gridCol w:w="799"/>
        <w:gridCol w:w="799"/>
        <w:gridCol w:w="800"/>
        <w:gridCol w:w="799"/>
        <w:gridCol w:w="799"/>
        <w:gridCol w:w="799"/>
        <w:gridCol w:w="800"/>
      </w:tblGrid>
      <w:tr w14:paraId="3C3676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093" w:type="dxa"/>
            <w:vMerge w:val="restart"/>
            <w:vAlign w:val="center"/>
          </w:tcPr>
          <w:p w14:paraId="1BE116C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highlight w:val="none"/>
              </w:rPr>
              <mc:AlternateContent>
                <mc:Choice Requires="wps">
                  <w:drawing>
                    <wp:anchor distT="0" distB="0" distL="114300" distR="114300" simplePos="0" relativeHeight="251662336" behindDoc="0" locked="0" layoutInCell="1" allowOverlap="1">
                      <wp:simplePos x="0" y="0"/>
                      <wp:positionH relativeFrom="column">
                        <wp:posOffset>-50800</wp:posOffset>
                      </wp:positionH>
                      <wp:positionV relativeFrom="paragraph">
                        <wp:posOffset>-15875</wp:posOffset>
                      </wp:positionV>
                      <wp:extent cx="590550" cy="676275"/>
                      <wp:effectExtent l="0" t="0" r="19050" b="28575"/>
                      <wp:wrapNone/>
                      <wp:docPr id="20" name="Line 11"/>
                      <wp:cNvGraphicFramePr/>
                      <a:graphic xmlns:a="http://schemas.openxmlformats.org/drawingml/2006/main">
                        <a:graphicData uri="http://schemas.microsoft.com/office/word/2010/wordprocessingShape">
                          <wps:wsp>
                            <wps:cNvCnPr>
                              <a:cxnSpLocks noChangeShapeType="1"/>
                            </wps:cNvCnPr>
                            <wps:spPr bwMode="auto">
                              <a:xfrm>
                                <a:off x="0" y="0"/>
                                <a:ext cx="590550" cy="676275"/>
                              </a:xfrm>
                              <a:prstGeom prst="line">
                                <a:avLst/>
                              </a:prstGeom>
                              <a:noFill/>
                              <a:ln w="6350">
                                <a:solidFill>
                                  <a:schemeClr val="tx1">
                                    <a:lumMod val="100000"/>
                                    <a:lumOff val="0"/>
                                  </a:schemeClr>
                                </a:solidFill>
                                <a:miter lim="800000"/>
                              </a:ln>
                            </wps:spPr>
                            <wps:bodyPr/>
                          </wps:wsp>
                        </a:graphicData>
                      </a:graphic>
                    </wp:anchor>
                  </w:drawing>
                </mc:Choice>
                <mc:Fallback>
                  <w:pict>
                    <v:line id="Line 11" o:spid="_x0000_s1026" o:spt="20" style="position:absolute;left:0pt;margin-left:-4pt;margin-top:-1.25pt;height:53.25pt;width:46.5pt;z-index:251662336;mso-width-relative:page;mso-height-relative:page;" filled="f" stroked="t" coordsize="21600,21600" o:gfxdata="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skgmaNYA&#10;AAAIAQAADwAAAAAAAAABACAAAAAiAAAAZHJzL2Rvd25yZXYueG1sUEsBAhQAFAAAAAgAh07iQJp/&#10;ODjoAQAA6AMAAA4AAAAAAAAAAQAgAAAAJQEAAGRycy9lMm9Eb2MueG1sUEsFBgAAAAAGAAYAWQEA&#10;AH8FAAAAAA==&#10;">
                      <v:fill on="f" focussize="0,0"/>
                      <v:stroke weight="0.5pt" color="#000000 [3229]" miterlimit="8" joinstyle="miter"/>
                      <v:imagedata o:title=""/>
                      <o:lock v:ext="edit" aspectratio="f"/>
                    </v:line>
                  </w:pict>
                </mc:Fallback>
              </mc:AlternateContent>
            </w:r>
            <w:r>
              <w:rPr>
                <w:rFonts w:ascii="Times New Roman" w:hAnsi="Times New Roman" w:cs="Times New Roman" w:eastAsiaTheme="minorEastAsia"/>
                <w:color w:val="auto"/>
                <w:w w:val="99"/>
                <w:sz w:val="21"/>
                <w:highlight w:val="none"/>
              </w:rPr>
              <mc:AlternateContent>
                <mc:Choice Requires="wps">
                  <w:drawing>
                    <wp:anchor distT="0" distB="0" distL="114300" distR="114300" simplePos="0" relativeHeight="251661312" behindDoc="0" locked="0" layoutInCell="1" allowOverlap="1">
                      <wp:simplePos x="0" y="0"/>
                      <wp:positionH relativeFrom="column">
                        <wp:posOffset>-41275</wp:posOffset>
                      </wp:positionH>
                      <wp:positionV relativeFrom="paragraph">
                        <wp:posOffset>-5715</wp:posOffset>
                      </wp:positionV>
                      <wp:extent cx="1285875" cy="523875"/>
                      <wp:effectExtent l="0" t="0" r="28575" b="28575"/>
                      <wp:wrapNone/>
                      <wp:docPr id="37" name="Line 12"/>
                      <wp:cNvGraphicFramePr/>
                      <a:graphic xmlns:a="http://schemas.openxmlformats.org/drawingml/2006/main">
                        <a:graphicData uri="http://schemas.microsoft.com/office/word/2010/wordprocessingShape">
                          <wps:wsp>
                            <wps:cNvCnPr>
                              <a:cxnSpLocks noChangeShapeType="1"/>
                            </wps:cNvCnPr>
                            <wps:spPr bwMode="auto">
                              <a:xfrm>
                                <a:off x="0" y="0"/>
                                <a:ext cx="1285875" cy="523875"/>
                              </a:xfrm>
                              <a:prstGeom prst="line">
                                <a:avLst/>
                              </a:prstGeom>
                              <a:noFill/>
                              <a:ln w="6350">
                                <a:solidFill>
                                  <a:schemeClr val="dk1">
                                    <a:lumMod val="100000"/>
                                    <a:lumOff val="0"/>
                                  </a:schemeClr>
                                </a:solidFill>
                                <a:miter lim="800000"/>
                              </a:ln>
                            </wps:spPr>
                            <wps:bodyPr/>
                          </wps:wsp>
                        </a:graphicData>
                      </a:graphic>
                    </wp:anchor>
                  </w:drawing>
                </mc:Choice>
                <mc:Fallback>
                  <w:pict>
                    <v:line id="Line 12" o:spid="_x0000_s1026" o:spt="20" style="position:absolute;left:0pt;margin-left:-3.25pt;margin-top:-0.45pt;height:41.25pt;width:101.25pt;z-index:251661312;mso-width-relative:page;mso-height-relative:page;" filled="f" stroked="t" coordsize="21600,21600" o:gfxdata="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QHcnw&#10;1gAAAAcBAAAPAAAAAAAAAAEAIAAAACIAAABkcnMvZG93bnJldi54bWxQSwECFAAUAAAACACHTuJA&#10;LYSpDuoBAADpAwAADgAAAAAAAAABACAAAAAlAQAAZHJzL2Uyb0RvYy54bWxQSwUGAAAAAAYABgBZ&#10;AQAAgQUAAAAA&#10;">
                      <v:fill on="f" focussize="0,0"/>
                      <v:stroke weight="0.5pt" color="#000000 [3216]" miterlimit="8" joinstyle="miter"/>
                      <v:imagedata o:title=""/>
                      <o:lock v:ext="edit" aspectratio="f"/>
                    </v:line>
                  </w:pict>
                </mc:Fallback>
              </mc:AlternateContent>
            </w:r>
            <w:r>
              <w:rPr>
                <w:rFonts w:ascii="Times New Roman" w:hAnsi="Times New Roman" w:cs="Times New Roman" w:eastAsiaTheme="minorEastAsia"/>
                <w:color w:val="auto"/>
                <w:w w:val="99"/>
                <w:sz w:val="21"/>
                <w:szCs w:val="21"/>
                <w:highlight w:val="none"/>
              </w:rPr>
              <w:t xml:space="preserve">         占地规模</w:t>
            </w:r>
          </w:p>
          <w:p w14:paraId="2532D08B">
            <w:pPr>
              <w:spacing w:line="36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敏感    评价</w:t>
            </w:r>
          </w:p>
          <w:p w14:paraId="29772396">
            <w:pPr>
              <w:spacing w:line="360" w:lineRule="exact"/>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程度    等级</w:t>
            </w:r>
          </w:p>
        </w:tc>
        <w:tc>
          <w:tcPr>
            <w:tcW w:w="2397" w:type="dxa"/>
            <w:gridSpan w:val="3"/>
            <w:vAlign w:val="center"/>
          </w:tcPr>
          <w:p w14:paraId="5A9D091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sz w:val="21"/>
                <w:szCs w:val="21"/>
                <w:highlight w:val="none"/>
              </w:rPr>
              <w:t>Ⅰ</w:t>
            </w:r>
            <w:r>
              <w:rPr>
                <w:rFonts w:ascii="Times New Roman" w:hAnsi="Times New Roman" w:cs="Times New Roman" w:eastAsiaTheme="minorEastAsia"/>
                <w:color w:val="auto"/>
                <w:w w:val="99"/>
                <w:sz w:val="21"/>
                <w:szCs w:val="21"/>
                <w:highlight w:val="none"/>
              </w:rPr>
              <w:t>类</w:t>
            </w:r>
          </w:p>
        </w:tc>
        <w:tc>
          <w:tcPr>
            <w:tcW w:w="2398" w:type="dxa"/>
            <w:gridSpan w:val="3"/>
            <w:vAlign w:val="center"/>
          </w:tcPr>
          <w:p w14:paraId="5572516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sz w:val="21"/>
                <w:szCs w:val="21"/>
                <w:highlight w:val="none"/>
              </w:rPr>
              <w:t>Ⅱ</w:t>
            </w:r>
            <w:r>
              <w:rPr>
                <w:rFonts w:ascii="Times New Roman" w:hAnsi="Times New Roman" w:cs="Times New Roman" w:eastAsiaTheme="minorEastAsia"/>
                <w:color w:val="auto"/>
                <w:w w:val="99"/>
                <w:sz w:val="21"/>
                <w:szCs w:val="21"/>
                <w:highlight w:val="none"/>
              </w:rPr>
              <w:t>类</w:t>
            </w:r>
          </w:p>
        </w:tc>
        <w:tc>
          <w:tcPr>
            <w:tcW w:w="2398" w:type="dxa"/>
            <w:gridSpan w:val="3"/>
            <w:vAlign w:val="center"/>
          </w:tcPr>
          <w:p w14:paraId="1DAACAE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sz w:val="21"/>
                <w:szCs w:val="21"/>
                <w:highlight w:val="none"/>
              </w:rPr>
              <w:t>Ⅲ</w:t>
            </w:r>
            <w:r>
              <w:rPr>
                <w:rFonts w:ascii="Times New Roman" w:hAnsi="Times New Roman" w:cs="Times New Roman" w:eastAsiaTheme="minorEastAsia"/>
                <w:color w:val="auto"/>
                <w:w w:val="99"/>
                <w:sz w:val="21"/>
                <w:szCs w:val="21"/>
                <w:highlight w:val="none"/>
              </w:rPr>
              <w:t>类</w:t>
            </w:r>
          </w:p>
        </w:tc>
      </w:tr>
      <w:tr w14:paraId="4F26FF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093" w:type="dxa"/>
            <w:vMerge w:val="continue"/>
            <w:vAlign w:val="center"/>
          </w:tcPr>
          <w:p w14:paraId="10608507">
            <w:pPr>
              <w:spacing w:line="360" w:lineRule="exact"/>
              <w:jc w:val="center"/>
              <w:rPr>
                <w:rFonts w:ascii="Times New Roman" w:hAnsi="Times New Roman" w:cs="Times New Roman" w:eastAsiaTheme="minorEastAsia"/>
                <w:color w:val="auto"/>
                <w:w w:val="99"/>
                <w:sz w:val="21"/>
                <w:szCs w:val="21"/>
                <w:highlight w:val="none"/>
              </w:rPr>
            </w:pPr>
          </w:p>
        </w:tc>
        <w:tc>
          <w:tcPr>
            <w:tcW w:w="799" w:type="dxa"/>
            <w:vAlign w:val="center"/>
          </w:tcPr>
          <w:p w14:paraId="61DC078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大</w:t>
            </w:r>
          </w:p>
        </w:tc>
        <w:tc>
          <w:tcPr>
            <w:tcW w:w="799" w:type="dxa"/>
            <w:vAlign w:val="center"/>
          </w:tcPr>
          <w:p w14:paraId="5118AEE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中</w:t>
            </w:r>
          </w:p>
        </w:tc>
        <w:tc>
          <w:tcPr>
            <w:tcW w:w="799" w:type="dxa"/>
            <w:vAlign w:val="center"/>
          </w:tcPr>
          <w:p w14:paraId="3AFB12B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小</w:t>
            </w:r>
          </w:p>
        </w:tc>
        <w:tc>
          <w:tcPr>
            <w:tcW w:w="799" w:type="dxa"/>
            <w:vAlign w:val="center"/>
          </w:tcPr>
          <w:p w14:paraId="4D08AEF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大</w:t>
            </w:r>
          </w:p>
        </w:tc>
        <w:tc>
          <w:tcPr>
            <w:tcW w:w="800" w:type="dxa"/>
            <w:vAlign w:val="center"/>
          </w:tcPr>
          <w:p w14:paraId="612C5EE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中</w:t>
            </w:r>
          </w:p>
        </w:tc>
        <w:tc>
          <w:tcPr>
            <w:tcW w:w="799" w:type="dxa"/>
            <w:vAlign w:val="center"/>
          </w:tcPr>
          <w:p w14:paraId="7E42318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小</w:t>
            </w:r>
          </w:p>
        </w:tc>
        <w:tc>
          <w:tcPr>
            <w:tcW w:w="799" w:type="dxa"/>
            <w:vAlign w:val="center"/>
          </w:tcPr>
          <w:p w14:paraId="4C726E1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大</w:t>
            </w:r>
          </w:p>
        </w:tc>
        <w:tc>
          <w:tcPr>
            <w:tcW w:w="799" w:type="dxa"/>
            <w:vAlign w:val="center"/>
          </w:tcPr>
          <w:p w14:paraId="5CF754B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中</w:t>
            </w:r>
          </w:p>
        </w:tc>
        <w:tc>
          <w:tcPr>
            <w:tcW w:w="800" w:type="dxa"/>
            <w:vAlign w:val="center"/>
          </w:tcPr>
          <w:p w14:paraId="177A6FF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小</w:t>
            </w:r>
          </w:p>
        </w:tc>
      </w:tr>
      <w:tr w14:paraId="493005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093" w:type="dxa"/>
            <w:vAlign w:val="center"/>
          </w:tcPr>
          <w:p w14:paraId="26257D8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敏感</w:t>
            </w:r>
          </w:p>
        </w:tc>
        <w:tc>
          <w:tcPr>
            <w:tcW w:w="799" w:type="dxa"/>
            <w:vAlign w:val="center"/>
          </w:tcPr>
          <w:p w14:paraId="074CEF8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一级</w:t>
            </w:r>
          </w:p>
        </w:tc>
        <w:tc>
          <w:tcPr>
            <w:tcW w:w="799" w:type="dxa"/>
            <w:vAlign w:val="center"/>
          </w:tcPr>
          <w:p w14:paraId="2D8D8E7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一级</w:t>
            </w:r>
          </w:p>
        </w:tc>
        <w:tc>
          <w:tcPr>
            <w:tcW w:w="799" w:type="dxa"/>
            <w:vAlign w:val="center"/>
          </w:tcPr>
          <w:p w14:paraId="2AA0551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一级</w:t>
            </w:r>
          </w:p>
        </w:tc>
        <w:tc>
          <w:tcPr>
            <w:tcW w:w="799" w:type="dxa"/>
            <w:vAlign w:val="center"/>
          </w:tcPr>
          <w:p w14:paraId="63EBFFC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二级</w:t>
            </w:r>
          </w:p>
        </w:tc>
        <w:tc>
          <w:tcPr>
            <w:tcW w:w="800" w:type="dxa"/>
            <w:vAlign w:val="center"/>
          </w:tcPr>
          <w:p w14:paraId="6FBF911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二级</w:t>
            </w:r>
          </w:p>
        </w:tc>
        <w:tc>
          <w:tcPr>
            <w:tcW w:w="799" w:type="dxa"/>
            <w:vAlign w:val="center"/>
          </w:tcPr>
          <w:p w14:paraId="232EE4F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二级</w:t>
            </w:r>
          </w:p>
        </w:tc>
        <w:tc>
          <w:tcPr>
            <w:tcW w:w="799" w:type="dxa"/>
            <w:vAlign w:val="center"/>
          </w:tcPr>
          <w:p w14:paraId="5913CDF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三级</w:t>
            </w:r>
          </w:p>
        </w:tc>
        <w:tc>
          <w:tcPr>
            <w:tcW w:w="799" w:type="dxa"/>
            <w:vAlign w:val="center"/>
          </w:tcPr>
          <w:p w14:paraId="67D294C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三级</w:t>
            </w:r>
          </w:p>
        </w:tc>
        <w:tc>
          <w:tcPr>
            <w:tcW w:w="800" w:type="dxa"/>
            <w:vAlign w:val="center"/>
          </w:tcPr>
          <w:p w14:paraId="14A2EB7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三级</w:t>
            </w:r>
          </w:p>
        </w:tc>
      </w:tr>
      <w:tr w14:paraId="6D1C85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093" w:type="dxa"/>
            <w:vAlign w:val="center"/>
          </w:tcPr>
          <w:p w14:paraId="5242899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较敏感</w:t>
            </w:r>
          </w:p>
        </w:tc>
        <w:tc>
          <w:tcPr>
            <w:tcW w:w="799" w:type="dxa"/>
            <w:vAlign w:val="center"/>
          </w:tcPr>
          <w:p w14:paraId="5DA5AA0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一级</w:t>
            </w:r>
          </w:p>
        </w:tc>
        <w:tc>
          <w:tcPr>
            <w:tcW w:w="799" w:type="dxa"/>
            <w:vAlign w:val="center"/>
          </w:tcPr>
          <w:p w14:paraId="377849D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一级</w:t>
            </w:r>
          </w:p>
        </w:tc>
        <w:tc>
          <w:tcPr>
            <w:tcW w:w="799" w:type="dxa"/>
            <w:vAlign w:val="center"/>
          </w:tcPr>
          <w:p w14:paraId="1CB4EC7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二级</w:t>
            </w:r>
          </w:p>
        </w:tc>
        <w:tc>
          <w:tcPr>
            <w:tcW w:w="799" w:type="dxa"/>
            <w:vAlign w:val="center"/>
          </w:tcPr>
          <w:p w14:paraId="63E119C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二级</w:t>
            </w:r>
          </w:p>
        </w:tc>
        <w:tc>
          <w:tcPr>
            <w:tcW w:w="800" w:type="dxa"/>
            <w:vAlign w:val="center"/>
          </w:tcPr>
          <w:p w14:paraId="4DA7B59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二级</w:t>
            </w:r>
          </w:p>
        </w:tc>
        <w:tc>
          <w:tcPr>
            <w:tcW w:w="799" w:type="dxa"/>
            <w:vAlign w:val="center"/>
          </w:tcPr>
          <w:p w14:paraId="35EF810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三级</w:t>
            </w:r>
          </w:p>
        </w:tc>
        <w:tc>
          <w:tcPr>
            <w:tcW w:w="799" w:type="dxa"/>
            <w:vAlign w:val="center"/>
          </w:tcPr>
          <w:p w14:paraId="4035FBC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三级</w:t>
            </w:r>
          </w:p>
        </w:tc>
        <w:tc>
          <w:tcPr>
            <w:tcW w:w="799" w:type="dxa"/>
            <w:vAlign w:val="center"/>
          </w:tcPr>
          <w:p w14:paraId="7209D6E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三级</w:t>
            </w:r>
          </w:p>
        </w:tc>
        <w:tc>
          <w:tcPr>
            <w:tcW w:w="800" w:type="dxa"/>
            <w:vAlign w:val="center"/>
          </w:tcPr>
          <w:p w14:paraId="7E85C67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59DE3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093" w:type="dxa"/>
            <w:vAlign w:val="center"/>
          </w:tcPr>
          <w:p w14:paraId="7A347C5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不敏感</w:t>
            </w:r>
          </w:p>
        </w:tc>
        <w:tc>
          <w:tcPr>
            <w:tcW w:w="799" w:type="dxa"/>
            <w:vAlign w:val="center"/>
          </w:tcPr>
          <w:p w14:paraId="4A944F0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一级</w:t>
            </w:r>
          </w:p>
        </w:tc>
        <w:tc>
          <w:tcPr>
            <w:tcW w:w="799" w:type="dxa"/>
            <w:vAlign w:val="center"/>
          </w:tcPr>
          <w:p w14:paraId="36A7DB5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二级</w:t>
            </w:r>
          </w:p>
        </w:tc>
        <w:tc>
          <w:tcPr>
            <w:tcW w:w="799" w:type="dxa"/>
            <w:vAlign w:val="center"/>
          </w:tcPr>
          <w:p w14:paraId="60975E3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二级</w:t>
            </w:r>
          </w:p>
        </w:tc>
        <w:tc>
          <w:tcPr>
            <w:tcW w:w="799" w:type="dxa"/>
            <w:vAlign w:val="center"/>
          </w:tcPr>
          <w:p w14:paraId="2A075A1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二级</w:t>
            </w:r>
          </w:p>
        </w:tc>
        <w:tc>
          <w:tcPr>
            <w:tcW w:w="800" w:type="dxa"/>
            <w:vAlign w:val="center"/>
          </w:tcPr>
          <w:p w14:paraId="7718484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三级</w:t>
            </w:r>
          </w:p>
        </w:tc>
        <w:tc>
          <w:tcPr>
            <w:tcW w:w="799" w:type="dxa"/>
            <w:vAlign w:val="center"/>
          </w:tcPr>
          <w:p w14:paraId="799A75E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三级</w:t>
            </w:r>
          </w:p>
        </w:tc>
        <w:tc>
          <w:tcPr>
            <w:tcW w:w="799" w:type="dxa"/>
            <w:vAlign w:val="center"/>
          </w:tcPr>
          <w:p w14:paraId="35AB221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三级</w:t>
            </w:r>
          </w:p>
        </w:tc>
        <w:tc>
          <w:tcPr>
            <w:tcW w:w="799" w:type="dxa"/>
            <w:vAlign w:val="center"/>
          </w:tcPr>
          <w:p w14:paraId="0146FB1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800" w:type="dxa"/>
            <w:vAlign w:val="center"/>
          </w:tcPr>
          <w:p w14:paraId="1B1A453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6DA8D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286" w:type="dxa"/>
            <w:gridSpan w:val="10"/>
            <w:vAlign w:val="center"/>
          </w:tcPr>
          <w:p w14:paraId="3CC506F6">
            <w:pPr>
              <w:spacing w:line="360" w:lineRule="exact"/>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注：“-”表示可不开展土壤环境影响评价工作</w:t>
            </w:r>
          </w:p>
        </w:tc>
      </w:tr>
    </w:tbl>
    <w:p w14:paraId="0193A945">
      <w:pPr>
        <w:widowControl w:val="0"/>
        <w:spacing w:line="440" w:lineRule="exact"/>
        <w:ind w:firstLine="490" w:firstLineChars="200"/>
        <w:jc w:val="both"/>
        <w:rPr>
          <w:rFonts w:ascii="Times New Roman" w:hAnsi="Times New Roman" w:cs="Times New Roman"/>
          <w:color w:val="auto"/>
          <w:spacing w:val="4"/>
          <w:w w:val="99"/>
          <w:kern w:val="2"/>
          <w:position w:val="2"/>
          <w:highlight w:val="none"/>
        </w:rPr>
      </w:pPr>
      <w:r>
        <w:rPr>
          <w:rFonts w:ascii="Times New Roman" w:hAnsi="Times New Roman" w:cs="Times New Roman"/>
          <w:color w:val="auto"/>
          <w:spacing w:val="4"/>
          <w:w w:val="99"/>
          <w:kern w:val="2"/>
          <w:position w:val="2"/>
          <w:highlight w:val="none"/>
        </w:rPr>
        <w:t>本项目</w:t>
      </w:r>
      <w:r>
        <w:rPr>
          <w:rFonts w:hint="eastAsia" w:ascii="Times New Roman" w:hAnsi="Times New Roman" w:cs="Times New Roman"/>
          <w:color w:val="auto"/>
          <w:spacing w:val="4"/>
          <w:w w:val="99"/>
          <w:kern w:val="2"/>
          <w:position w:val="2"/>
          <w:highlight w:val="none"/>
        </w:rPr>
        <w:t>拟建井无</w:t>
      </w:r>
      <w:r>
        <w:rPr>
          <w:rFonts w:ascii="Times New Roman" w:hAnsi="Times New Roman" w:cs="Times New Roman"/>
          <w:color w:val="auto"/>
          <w:spacing w:val="4"/>
          <w:w w:val="99"/>
          <w:kern w:val="2"/>
          <w:position w:val="2"/>
          <w:highlight w:val="none"/>
        </w:rPr>
        <w:t>新增永久占地，</w:t>
      </w:r>
      <w:r>
        <w:rPr>
          <w:rFonts w:hint="eastAsia" w:ascii="Times New Roman" w:hAnsi="Times New Roman" w:cs="Times New Roman"/>
          <w:color w:val="auto"/>
          <w:spacing w:val="4"/>
          <w:w w:val="99"/>
          <w:kern w:val="2"/>
          <w:position w:val="2"/>
          <w:highlight w:val="none"/>
        </w:rPr>
        <w:t>道路</w:t>
      </w:r>
      <w:r>
        <w:rPr>
          <w:rFonts w:ascii="Times New Roman" w:hAnsi="Times New Roman" w:cs="Times New Roman"/>
          <w:color w:val="auto"/>
          <w:spacing w:val="4"/>
          <w:w w:val="99"/>
          <w:kern w:val="2"/>
          <w:position w:val="2"/>
          <w:highlight w:val="none"/>
        </w:rPr>
        <w:t>新增永久占地</w:t>
      </w:r>
      <w:r>
        <w:rPr>
          <w:rFonts w:hint="eastAsia" w:ascii="Times New Roman" w:hAnsi="Times New Roman" w:cs="Times New Roman"/>
          <w:color w:val="auto"/>
          <w:spacing w:val="4"/>
          <w:w w:val="99"/>
          <w:kern w:val="2"/>
          <w:position w:val="2"/>
          <w:highlight w:val="none"/>
        </w:rPr>
        <w:t>0.09</w:t>
      </w:r>
      <w:r>
        <w:rPr>
          <w:rFonts w:ascii="Times New Roman" w:hAnsi="Times New Roman" w:cs="Times New Roman"/>
          <w:color w:val="auto"/>
          <w:spacing w:val="4"/>
          <w:w w:val="99"/>
          <w:kern w:val="2"/>
          <w:position w:val="2"/>
          <w:highlight w:val="none"/>
        </w:rPr>
        <w:t>hm</w:t>
      </w:r>
      <w:r>
        <w:rPr>
          <w:rFonts w:ascii="Times New Roman" w:hAnsi="Times New Roman" w:cs="Times New Roman"/>
          <w:color w:val="auto"/>
          <w:spacing w:val="4"/>
          <w:w w:val="99"/>
          <w:kern w:val="2"/>
          <w:position w:val="2"/>
          <w:highlight w:val="none"/>
          <w:vertAlign w:val="superscript"/>
        </w:rPr>
        <w:t>2</w:t>
      </w:r>
      <w:r>
        <w:rPr>
          <w:rFonts w:hint="eastAsia" w:ascii="Times New Roman" w:hAnsi="Times New Roman" w:cs="Times New Roman"/>
          <w:color w:val="auto"/>
          <w:spacing w:val="4"/>
          <w:w w:val="99"/>
          <w:kern w:val="2"/>
          <w:position w:val="2"/>
          <w:highlight w:val="none"/>
        </w:rPr>
        <w:t>，</w:t>
      </w:r>
      <w:r>
        <w:rPr>
          <w:rFonts w:ascii="Times New Roman" w:hAnsi="Times New Roman" w:cs="Times New Roman"/>
          <w:color w:val="auto"/>
          <w:spacing w:val="4"/>
          <w:w w:val="99"/>
          <w:kern w:val="2"/>
          <w:position w:val="2"/>
          <w:highlight w:val="none"/>
        </w:rPr>
        <w:t>小于5hm</w:t>
      </w:r>
      <w:r>
        <w:rPr>
          <w:rFonts w:ascii="Times New Roman" w:hAnsi="Times New Roman" w:cs="Times New Roman"/>
          <w:color w:val="auto"/>
          <w:spacing w:val="4"/>
          <w:w w:val="99"/>
          <w:kern w:val="2"/>
          <w:position w:val="2"/>
          <w:highlight w:val="none"/>
          <w:vertAlign w:val="superscript"/>
        </w:rPr>
        <w:t>2</w:t>
      </w:r>
      <w:r>
        <w:rPr>
          <w:rFonts w:ascii="Times New Roman" w:hAnsi="Times New Roman" w:cs="Times New Roman"/>
          <w:color w:val="auto"/>
          <w:spacing w:val="4"/>
          <w:w w:val="99"/>
          <w:kern w:val="2"/>
          <w:position w:val="2"/>
          <w:highlight w:val="none"/>
        </w:rPr>
        <w:t>，占地面积属于“小型”规模，敏感程度为“敏感”，项目类别为“</w:t>
      </w:r>
      <w:r>
        <w:rPr>
          <w:rFonts w:hint="eastAsia" w:ascii="Times New Roman" w:hAnsi="Times New Roman" w:cs="Times New Roman"/>
          <w:color w:val="auto"/>
          <w:spacing w:val="4"/>
          <w:w w:val="99"/>
          <w:kern w:val="2"/>
          <w:position w:val="2"/>
          <w:highlight w:val="none"/>
        </w:rPr>
        <w:t>II</w:t>
      </w:r>
      <w:r>
        <w:rPr>
          <w:rFonts w:ascii="Times New Roman" w:hAnsi="Times New Roman" w:cs="Times New Roman"/>
          <w:color w:val="auto"/>
          <w:spacing w:val="4"/>
          <w:w w:val="99"/>
          <w:kern w:val="2"/>
          <w:position w:val="2"/>
          <w:highlight w:val="none"/>
        </w:rPr>
        <w:t>类”，因此</w:t>
      </w:r>
      <w:r>
        <w:rPr>
          <w:rFonts w:hint="eastAsia" w:ascii="Times New Roman" w:hAnsi="Times New Roman" w:cs="Times New Roman"/>
          <w:color w:val="auto"/>
          <w:spacing w:val="4"/>
          <w:w w:val="99"/>
          <w:kern w:val="2"/>
          <w:position w:val="2"/>
          <w:highlight w:val="none"/>
        </w:rPr>
        <w:t>井场及场站土壤评价工作等级为“二级”。天然气管线无等级。</w:t>
      </w:r>
    </w:p>
    <w:p w14:paraId="18D1649B">
      <w:pPr>
        <w:widowControl w:val="0"/>
        <w:spacing w:line="440" w:lineRule="exact"/>
        <w:ind w:firstLine="490" w:firstLineChars="200"/>
        <w:jc w:val="both"/>
        <w:rPr>
          <w:rFonts w:ascii="Times New Roman" w:hAnsi="Times New Roman" w:cs="Times New Roman"/>
          <w:color w:val="auto"/>
          <w:spacing w:val="4"/>
          <w:w w:val="99"/>
          <w:kern w:val="2"/>
          <w:position w:val="2"/>
          <w:highlight w:val="none"/>
          <w:lang w:val="zh-CN"/>
        </w:rPr>
      </w:pPr>
      <w:r>
        <w:rPr>
          <w:rFonts w:hint="eastAsia" w:ascii="Times New Roman" w:hAnsi="Times New Roman" w:cs="Times New Roman"/>
          <w:color w:val="auto"/>
          <w:spacing w:val="4"/>
          <w:w w:val="99"/>
          <w:kern w:val="2"/>
          <w:position w:val="2"/>
          <w:highlight w:val="none"/>
          <w:lang w:val="zh-CN"/>
        </w:rPr>
        <w:t>综上所述，本项目土壤环境影响评价工作等级为“</w:t>
      </w:r>
      <w:r>
        <w:rPr>
          <w:rFonts w:hint="eastAsia" w:ascii="Times New Roman" w:hAnsi="Times New Roman" w:cs="Times New Roman"/>
          <w:color w:val="auto"/>
          <w:spacing w:val="4"/>
          <w:w w:val="99"/>
          <w:kern w:val="2"/>
          <w:position w:val="2"/>
          <w:highlight w:val="none"/>
        </w:rPr>
        <w:t>二</w:t>
      </w:r>
      <w:r>
        <w:rPr>
          <w:rFonts w:hint="eastAsia" w:ascii="Times New Roman" w:hAnsi="Times New Roman" w:cs="Times New Roman"/>
          <w:color w:val="auto"/>
          <w:spacing w:val="4"/>
          <w:w w:val="99"/>
          <w:kern w:val="2"/>
          <w:position w:val="2"/>
          <w:highlight w:val="none"/>
          <w:lang w:val="zh-CN"/>
        </w:rPr>
        <w:t>级”。</w:t>
      </w:r>
    </w:p>
    <w:p w14:paraId="340D4C0D">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2.7.6.2评价范围</w:t>
      </w:r>
    </w:p>
    <w:p w14:paraId="7D2B6779">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根据《环境影响评价技术导则 土壤环境（试行）》（HJ964-2018）中“表5现状调查范围”，确定本项目土壤环境评价范围为拟建井场边界外延至200</w:t>
      </w:r>
      <w:r>
        <w:rPr>
          <w:rFonts w:hint="eastAsia" w:ascii="Times New Roman" w:hAnsi="Times New Roman"/>
          <w:color w:val="auto"/>
          <w:spacing w:val="4"/>
          <w:w w:val="99"/>
          <w:kern w:val="2"/>
          <w:position w:val="2"/>
          <w:highlight w:val="none"/>
        </w:rPr>
        <w:t>m</w:t>
      </w:r>
      <w:r>
        <w:rPr>
          <w:rFonts w:ascii="Times New Roman" w:hAnsi="Times New Roman"/>
          <w:color w:val="auto"/>
          <w:spacing w:val="4"/>
          <w:w w:val="99"/>
          <w:kern w:val="2"/>
          <w:position w:val="2"/>
          <w:highlight w:val="none"/>
        </w:rPr>
        <w:t>及管线中心线两侧各200m范围。</w:t>
      </w:r>
    </w:p>
    <w:p w14:paraId="052D7FDD">
      <w:pPr>
        <w:pStyle w:val="7"/>
        <w:widowControl w:val="0"/>
        <w:spacing w:before="60" w:after="60" w:line="440" w:lineRule="exact"/>
        <w:jc w:val="both"/>
        <w:rPr>
          <w:rFonts w:eastAsia="宋体"/>
          <w:b/>
          <w:color w:val="auto"/>
          <w:w w:val="99"/>
          <w:kern w:val="2"/>
          <w:sz w:val="24"/>
          <w:szCs w:val="24"/>
          <w:highlight w:val="none"/>
        </w:rPr>
      </w:pPr>
      <w:bookmarkStart w:id="377" w:name="_Toc61597203"/>
      <w:bookmarkStart w:id="378" w:name="_Toc80588237"/>
      <w:bookmarkStart w:id="379" w:name="_Toc186444257"/>
      <w:bookmarkStart w:id="380" w:name="_Toc83209454"/>
      <w:bookmarkStart w:id="381" w:name="_Toc76976225"/>
      <w:bookmarkStart w:id="382" w:name="_Toc78816442"/>
      <w:bookmarkStart w:id="383" w:name="_Toc77067641"/>
      <w:bookmarkStart w:id="384" w:name="_Toc67860110"/>
      <w:bookmarkStart w:id="385" w:name="_Toc80971359"/>
      <w:bookmarkStart w:id="386" w:name="_Toc70050157"/>
      <w:r>
        <w:rPr>
          <w:rFonts w:eastAsia="宋体"/>
          <w:b/>
          <w:color w:val="auto"/>
          <w:w w:val="99"/>
          <w:kern w:val="2"/>
          <w:sz w:val="24"/>
          <w:szCs w:val="24"/>
          <w:highlight w:val="none"/>
        </w:rPr>
        <w:t>2.7.7环境风险</w:t>
      </w:r>
      <w:bookmarkEnd w:id="377"/>
      <w:bookmarkEnd w:id="378"/>
      <w:bookmarkEnd w:id="379"/>
      <w:bookmarkEnd w:id="380"/>
      <w:bookmarkEnd w:id="381"/>
      <w:bookmarkEnd w:id="382"/>
      <w:bookmarkEnd w:id="383"/>
      <w:bookmarkEnd w:id="384"/>
      <w:bookmarkEnd w:id="385"/>
      <w:bookmarkEnd w:id="386"/>
    </w:p>
    <w:p w14:paraId="3D8EF68F">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2.7.7.1评价等级</w:t>
      </w:r>
    </w:p>
    <w:p w14:paraId="3095AB69">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（1）风险潜势初判</w:t>
      </w:r>
    </w:p>
    <w:p w14:paraId="78DD9E5A">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hint="eastAsia" w:ascii="Times New Roman" w:hAnsi="Times New Roman"/>
          <w:color w:val="auto"/>
          <w:spacing w:val="4"/>
          <w:w w:val="99"/>
          <w:kern w:val="2"/>
          <w:position w:val="2"/>
          <w:highlight w:val="none"/>
        </w:rPr>
        <w:t>根据《建设项目环境风险评价技术导则》(HJ169-2018)附录B，本项目涉及的主要危险物质是天然气，根据工程特点及井场、站场、管线分布，考虑将每两个截断阀之间管段、站场单列装置、单个井场作为一个危险单元，计算其风险物质存在量。根据工程内容，本项目主要危险单元为各个采气井场、新建输气管道。</w:t>
      </w:r>
    </w:p>
    <w:p w14:paraId="6910E046">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hint="eastAsia" w:ascii="Times New Roman" w:hAnsi="Times New Roman"/>
          <w:color w:val="auto"/>
          <w:spacing w:val="4"/>
          <w:w w:val="99"/>
          <w:kern w:val="2"/>
          <w:position w:val="2"/>
          <w:highlight w:val="none"/>
        </w:rPr>
        <w:t>①采气井场</w:t>
      </w:r>
    </w:p>
    <w:p w14:paraId="4778C7C1">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hint="eastAsia" w:ascii="Times New Roman" w:hAnsi="Times New Roman"/>
          <w:color w:val="auto"/>
          <w:spacing w:val="4"/>
          <w:w w:val="99"/>
          <w:kern w:val="2"/>
          <w:position w:val="2"/>
          <w:highlight w:val="none"/>
        </w:rPr>
        <w:t>根据设计资料，本项目井场天然气最大存在量为 0.05t。</w:t>
      </w:r>
    </w:p>
    <w:p w14:paraId="7F940748">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hint="eastAsia" w:ascii="Times New Roman" w:hAnsi="Times New Roman"/>
          <w:color w:val="auto"/>
          <w:spacing w:val="4"/>
          <w:w w:val="99"/>
          <w:kern w:val="2"/>
          <w:position w:val="2"/>
          <w:highlight w:val="none"/>
        </w:rPr>
        <w:t>②输气管道</w:t>
      </w:r>
    </w:p>
    <w:p w14:paraId="6CE862FE">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hint="eastAsia" w:ascii="Times New Roman" w:hAnsi="Times New Roman"/>
          <w:color w:val="auto"/>
          <w:spacing w:val="4"/>
          <w:w w:val="99"/>
          <w:kern w:val="2"/>
          <w:position w:val="2"/>
          <w:highlight w:val="none"/>
        </w:rPr>
        <w:t>本项目新建采气管道1.92km，每两个截断阀之间管段的管道的规格、压力及天然气最大储存量详见表2.6-13。</w:t>
      </w:r>
    </w:p>
    <w:p w14:paraId="2A2AA4A2">
      <w:pPr>
        <w:pStyle w:val="153"/>
        <w:widowControl w:val="0"/>
        <w:spacing w:line="440" w:lineRule="exact"/>
        <w:ind w:firstLine="474"/>
        <w:jc w:val="both"/>
        <w:rPr>
          <w:rFonts w:ascii="Times New Roman" w:hAnsi="Times New Roman" w:eastAsiaTheme="minorEastAsia"/>
          <w:b/>
          <w:bCs/>
          <w:color w:val="auto"/>
          <w:w w:val="99"/>
          <w:highlight w:val="none"/>
        </w:rPr>
      </w:pPr>
      <w:r>
        <w:rPr>
          <w:rFonts w:hint="eastAsia" w:ascii="Times New Roman" w:hAnsi="Times New Roman" w:eastAsiaTheme="minorEastAsia"/>
          <w:b/>
          <w:bCs/>
          <w:color w:val="auto"/>
          <w:w w:val="99"/>
          <w:highlight w:val="none"/>
        </w:rPr>
        <w:t>表2.6-13    本项目各管道的危险物质数量表</w:t>
      </w:r>
    </w:p>
    <w:tbl>
      <w:tblPr>
        <w:tblStyle w:val="8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5"/>
        <w:gridCol w:w="886"/>
        <w:gridCol w:w="1347"/>
        <w:gridCol w:w="1408"/>
        <w:gridCol w:w="1100"/>
        <w:gridCol w:w="1055"/>
        <w:gridCol w:w="732"/>
        <w:gridCol w:w="975"/>
        <w:gridCol w:w="1133"/>
      </w:tblGrid>
      <w:tr w14:paraId="43B07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 w:type="pct"/>
            <w:vAlign w:val="center"/>
          </w:tcPr>
          <w:p w14:paraId="40FAA628">
            <w:pPr>
              <w:pStyle w:val="153"/>
              <w:widowControl w:val="0"/>
              <w:spacing w:line="360" w:lineRule="exact"/>
              <w:ind w:firstLine="0" w:firstLineChars="0"/>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序号</w:t>
            </w:r>
          </w:p>
        </w:tc>
        <w:tc>
          <w:tcPr>
            <w:tcW w:w="477" w:type="pct"/>
            <w:vAlign w:val="center"/>
          </w:tcPr>
          <w:p w14:paraId="6AC5150F">
            <w:pPr>
              <w:pStyle w:val="153"/>
              <w:widowControl w:val="0"/>
              <w:spacing w:line="360" w:lineRule="exact"/>
              <w:ind w:firstLine="0" w:firstLineChars="0"/>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分类</w:t>
            </w:r>
          </w:p>
        </w:tc>
        <w:tc>
          <w:tcPr>
            <w:tcW w:w="725" w:type="pct"/>
            <w:vAlign w:val="center"/>
          </w:tcPr>
          <w:p w14:paraId="25C5DA0F">
            <w:pPr>
              <w:pStyle w:val="153"/>
              <w:widowControl w:val="0"/>
              <w:spacing w:line="360" w:lineRule="exact"/>
              <w:ind w:firstLine="0" w:firstLineChars="0"/>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起点</w:t>
            </w:r>
          </w:p>
        </w:tc>
        <w:tc>
          <w:tcPr>
            <w:tcW w:w="758" w:type="pct"/>
            <w:vAlign w:val="center"/>
          </w:tcPr>
          <w:p w14:paraId="324B43CC">
            <w:pPr>
              <w:pStyle w:val="153"/>
              <w:widowControl w:val="0"/>
              <w:spacing w:line="360" w:lineRule="exact"/>
              <w:ind w:firstLine="0" w:firstLineChars="0"/>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终点</w:t>
            </w:r>
          </w:p>
        </w:tc>
        <w:tc>
          <w:tcPr>
            <w:tcW w:w="592" w:type="pct"/>
            <w:vAlign w:val="center"/>
          </w:tcPr>
          <w:p w14:paraId="0C74B47E">
            <w:pPr>
              <w:pStyle w:val="153"/>
              <w:widowControl w:val="0"/>
              <w:spacing w:line="360" w:lineRule="exact"/>
              <w:ind w:firstLine="0" w:firstLineChars="0"/>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输送介质</w:t>
            </w:r>
          </w:p>
        </w:tc>
        <w:tc>
          <w:tcPr>
            <w:tcW w:w="568" w:type="pct"/>
            <w:vAlign w:val="center"/>
          </w:tcPr>
          <w:p w14:paraId="743CEEE8">
            <w:pPr>
              <w:pStyle w:val="153"/>
              <w:widowControl w:val="0"/>
              <w:spacing w:line="360" w:lineRule="exact"/>
              <w:ind w:firstLine="0" w:firstLineChars="0"/>
              <w:jc w:val="center"/>
              <w:rPr>
                <w:rFonts w:ascii="Times New Roman" w:hAnsi="Times New Roman"/>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管道规格mm</w:t>
            </w:r>
          </w:p>
        </w:tc>
        <w:tc>
          <w:tcPr>
            <w:tcW w:w="394" w:type="pct"/>
            <w:vAlign w:val="center"/>
          </w:tcPr>
          <w:p w14:paraId="60A62FC4">
            <w:pPr>
              <w:pStyle w:val="153"/>
              <w:widowControl w:val="0"/>
              <w:spacing w:line="360" w:lineRule="exact"/>
              <w:ind w:firstLine="0" w:firstLineChars="0"/>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长度km</w:t>
            </w:r>
          </w:p>
        </w:tc>
        <w:tc>
          <w:tcPr>
            <w:tcW w:w="525" w:type="pct"/>
            <w:vAlign w:val="center"/>
          </w:tcPr>
          <w:p w14:paraId="62836B36">
            <w:pPr>
              <w:pStyle w:val="153"/>
              <w:widowControl w:val="0"/>
              <w:spacing w:line="360" w:lineRule="exact"/>
              <w:ind w:firstLine="0" w:firstLineChars="0"/>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设计压力MPa</w:t>
            </w:r>
          </w:p>
        </w:tc>
        <w:tc>
          <w:tcPr>
            <w:tcW w:w="609" w:type="pct"/>
            <w:vAlign w:val="center"/>
          </w:tcPr>
          <w:p w14:paraId="66B4DDDE">
            <w:pPr>
              <w:pStyle w:val="153"/>
              <w:widowControl w:val="0"/>
              <w:spacing w:line="360" w:lineRule="exact"/>
              <w:ind w:firstLine="0" w:firstLineChars="0"/>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天然气存在量t</w:t>
            </w:r>
          </w:p>
        </w:tc>
      </w:tr>
      <w:tr w14:paraId="7454E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 w:type="pct"/>
            <w:vAlign w:val="center"/>
          </w:tcPr>
          <w:p w14:paraId="6339A42A">
            <w:pPr>
              <w:pStyle w:val="153"/>
              <w:widowControl w:val="0"/>
              <w:spacing w:line="360" w:lineRule="exact"/>
              <w:ind w:firstLine="0" w:firstLineChars="0"/>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1</w:t>
            </w:r>
          </w:p>
        </w:tc>
        <w:tc>
          <w:tcPr>
            <w:tcW w:w="477" w:type="pct"/>
            <w:vAlign w:val="center"/>
          </w:tcPr>
          <w:p w14:paraId="355BCA2E">
            <w:pPr>
              <w:pStyle w:val="153"/>
              <w:widowControl w:val="0"/>
              <w:spacing w:line="360" w:lineRule="exact"/>
              <w:ind w:firstLine="0" w:firstLineChars="0"/>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新建采气管线</w:t>
            </w:r>
          </w:p>
        </w:tc>
        <w:tc>
          <w:tcPr>
            <w:tcW w:w="725" w:type="pct"/>
            <w:vAlign w:val="center"/>
          </w:tcPr>
          <w:p w14:paraId="1D682845">
            <w:pPr>
              <w:widowControl w:val="0"/>
              <w:spacing w:line="360" w:lineRule="exact"/>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cs="Times New Roman" w:eastAsiaTheme="minorEastAsia"/>
                <w:color w:val="auto"/>
                <w:w w:val="99"/>
                <w:sz w:val="21"/>
                <w:szCs w:val="21"/>
                <w:highlight w:val="none"/>
              </w:rPr>
              <w:t>徐深27-H1井场</w:t>
            </w:r>
          </w:p>
        </w:tc>
        <w:tc>
          <w:tcPr>
            <w:tcW w:w="758" w:type="pct"/>
            <w:vAlign w:val="center"/>
          </w:tcPr>
          <w:p w14:paraId="3FDDA593">
            <w:pPr>
              <w:pStyle w:val="102"/>
              <w:ind w:left="0" w:firstLine="0"/>
              <w:rPr>
                <w:rFonts w:hint="default" w:ascii="Times New Roman" w:hAnsi="Times New Roman" w:eastAsiaTheme="minorEastAsia"/>
                <w:snapToGrid w:val="0"/>
                <w:color w:val="auto"/>
                <w:w w:val="99"/>
                <w:highlight w:val="none"/>
                <w:lang w:bidi="zh-CN"/>
              </w:rPr>
            </w:pPr>
            <w:r>
              <w:rPr>
                <w:rFonts w:hint="default" w:ascii="Times New Roman" w:hAnsi="Times New Roman" w:eastAsia="宋体"/>
                <w:bCs/>
                <w:color w:val="auto"/>
                <w:w w:val="99"/>
                <w:highlight w:val="none"/>
              </w:rPr>
              <w:t>徐深</w:t>
            </w:r>
            <w:r>
              <w:rPr>
                <w:rFonts w:ascii="Times New Roman" w:hAnsi="Times New Roman" w:eastAsia="宋体"/>
                <w:bCs/>
                <w:color w:val="auto"/>
                <w:w w:val="99"/>
                <w:highlight w:val="none"/>
              </w:rPr>
              <w:t>27</w:t>
            </w:r>
            <w:r>
              <w:rPr>
                <w:rFonts w:hint="default" w:ascii="Times New Roman" w:hAnsi="Times New Roman" w:eastAsia="宋体"/>
                <w:bCs/>
                <w:color w:val="auto"/>
                <w:w w:val="99"/>
                <w:highlight w:val="none"/>
              </w:rPr>
              <w:t>集气站</w:t>
            </w:r>
          </w:p>
        </w:tc>
        <w:tc>
          <w:tcPr>
            <w:tcW w:w="592" w:type="pct"/>
            <w:vAlign w:val="center"/>
          </w:tcPr>
          <w:p w14:paraId="3525CF52">
            <w:pPr>
              <w:pStyle w:val="153"/>
              <w:widowControl w:val="0"/>
              <w:spacing w:line="360" w:lineRule="exact"/>
              <w:ind w:firstLine="0" w:firstLineChars="0"/>
              <w:jc w:val="center"/>
              <w:rPr>
                <w:rFonts w:ascii="Times New Roman" w:hAnsi="Times New Roman" w:eastAsiaTheme="minorEastAsia"/>
                <w:color w:val="auto"/>
                <w:w w:val="99"/>
                <w:sz w:val="21"/>
                <w:szCs w:val="21"/>
                <w:highlight w:val="none"/>
              </w:rPr>
            </w:pPr>
            <w:r>
              <w:rPr>
                <w:rFonts w:hint="eastAsia" w:ascii="Times New Roman" w:hAnsi="Times New Roman" w:eastAsiaTheme="minorEastAsia"/>
                <w:color w:val="auto"/>
                <w:w w:val="99"/>
                <w:sz w:val="21"/>
                <w:szCs w:val="21"/>
                <w:highlight w:val="none"/>
              </w:rPr>
              <w:t>天然气（甲烷）</w:t>
            </w:r>
          </w:p>
        </w:tc>
        <w:tc>
          <w:tcPr>
            <w:tcW w:w="568" w:type="pct"/>
            <w:vAlign w:val="center"/>
          </w:tcPr>
          <w:p w14:paraId="068F4B3E">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Φ76×（2+9）</w:t>
            </w:r>
          </w:p>
        </w:tc>
        <w:tc>
          <w:tcPr>
            <w:tcW w:w="394" w:type="pct"/>
            <w:vAlign w:val="center"/>
          </w:tcPr>
          <w:p w14:paraId="424643D1">
            <w:pPr>
              <w:pStyle w:val="102"/>
              <w:ind w:left="0" w:firstLine="0"/>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1.92</w:t>
            </w:r>
          </w:p>
        </w:tc>
        <w:tc>
          <w:tcPr>
            <w:tcW w:w="525" w:type="pct"/>
            <w:vAlign w:val="center"/>
          </w:tcPr>
          <w:p w14:paraId="1CA48EE8">
            <w:pPr>
              <w:pStyle w:val="102"/>
              <w:ind w:left="0" w:firstLine="0"/>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33</w:t>
            </w:r>
          </w:p>
        </w:tc>
        <w:tc>
          <w:tcPr>
            <w:tcW w:w="609" w:type="pct"/>
            <w:vAlign w:val="center"/>
          </w:tcPr>
          <w:p w14:paraId="700B15EC">
            <w:pPr>
              <w:pStyle w:val="102"/>
              <w:ind w:left="0" w:firstLine="0"/>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0.955</w:t>
            </w:r>
          </w:p>
        </w:tc>
      </w:tr>
    </w:tbl>
    <w:p w14:paraId="7963AA59">
      <w:pPr>
        <w:pStyle w:val="153"/>
        <w:widowControl w:val="0"/>
        <w:spacing w:line="440" w:lineRule="exact"/>
        <w:ind w:firstLine="473"/>
        <w:jc w:val="both"/>
        <w:rPr>
          <w:rFonts w:ascii="Times New Roman" w:hAnsi="Times New Roman"/>
          <w:color w:val="auto"/>
          <w:w w:val="99"/>
          <w:highlight w:val="none"/>
          <w:lang w:bidi="zh-CN"/>
        </w:rPr>
      </w:pPr>
      <w:r>
        <w:rPr>
          <w:rFonts w:hint="eastAsia" w:ascii="Times New Roman" w:hAnsi="Times New Roman"/>
          <w:color w:val="auto"/>
          <w:w w:val="99"/>
          <w:highlight w:val="none"/>
          <w:lang w:bidi="zh-CN"/>
        </w:rPr>
        <w:t>因此，本项目各危险单元辨识结果详见表2.6-14。</w:t>
      </w:r>
    </w:p>
    <w:p w14:paraId="7F8B166F">
      <w:pPr>
        <w:pStyle w:val="153"/>
        <w:widowControl w:val="0"/>
        <w:spacing w:line="440" w:lineRule="exact"/>
        <w:ind w:firstLine="0" w:firstLineChars="0"/>
        <w:jc w:val="center"/>
        <w:rPr>
          <w:rFonts w:ascii="Times New Roman" w:hAnsi="Times New Roman" w:eastAsiaTheme="minorEastAsia"/>
          <w:b/>
          <w:bCs/>
          <w:color w:val="auto"/>
          <w:w w:val="99"/>
          <w:highlight w:val="none"/>
        </w:rPr>
      </w:pPr>
      <w:r>
        <w:rPr>
          <w:rFonts w:hint="eastAsia" w:ascii="Times New Roman" w:hAnsi="Times New Roman" w:eastAsiaTheme="minorEastAsia"/>
          <w:b/>
          <w:bCs/>
          <w:color w:val="auto"/>
          <w:w w:val="99"/>
          <w:highlight w:val="none"/>
        </w:rPr>
        <w:t>表2.6-14    本项目各风险单元危险物质总量与其临界量比值（Q）计算表</w:t>
      </w:r>
    </w:p>
    <w:tbl>
      <w:tblPr>
        <w:tblStyle w:val="8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707"/>
        <w:gridCol w:w="2296"/>
        <w:gridCol w:w="934"/>
        <w:gridCol w:w="1397"/>
        <w:gridCol w:w="1122"/>
        <w:gridCol w:w="1008"/>
      </w:tblGrid>
      <w:tr w14:paraId="3BD51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pct"/>
            <w:vAlign w:val="center"/>
          </w:tcPr>
          <w:p w14:paraId="15E89524">
            <w:pPr>
              <w:pStyle w:val="153"/>
              <w:widowControl w:val="0"/>
              <w:spacing w:line="440" w:lineRule="exact"/>
              <w:ind w:firstLine="0" w:firstLineChars="0"/>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阶段</w:t>
            </w:r>
          </w:p>
        </w:tc>
        <w:tc>
          <w:tcPr>
            <w:tcW w:w="919" w:type="pct"/>
            <w:vAlign w:val="center"/>
          </w:tcPr>
          <w:p w14:paraId="16AE4073">
            <w:pPr>
              <w:pStyle w:val="153"/>
              <w:widowControl w:val="0"/>
              <w:spacing w:line="440" w:lineRule="exact"/>
              <w:ind w:firstLine="0" w:firstLineChars="0"/>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危险单元</w:t>
            </w:r>
          </w:p>
        </w:tc>
        <w:tc>
          <w:tcPr>
            <w:tcW w:w="1236" w:type="pct"/>
            <w:vAlign w:val="center"/>
          </w:tcPr>
          <w:p w14:paraId="35EB425C">
            <w:pPr>
              <w:pStyle w:val="153"/>
              <w:widowControl w:val="0"/>
              <w:spacing w:line="440" w:lineRule="exact"/>
              <w:ind w:firstLine="0" w:firstLineChars="0"/>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危险物质</w:t>
            </w:r>
          </w:p>
        </w:tc>
        <w:tc>
          <w:tcPr>
            <w:tcW w:w="503" w:type="pct"/>
            <w:vAlign w:val="center"/>
          </w:tcPr>
          <w:p w14:paraId="1D5DA14F">
            <w:pPr>
              <w:pStyle w:val="153"/>
              <w:widowControl w:val="0"/>
              <w:spacing w:line="440" w:lineRule="exact"/>
              <w:ind w:firstLine="0" w:firstLineChars="0"/>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临界量t</w:t>
            </w:r>
          </w:p>
        </w:tc>
        <w:tc>
          <w:tcPr>
            <w:tcW w:w="752" w:type="pct"/>
            <w:vAlign w:val="center"/>
          </w:tcPr>
          <w:p w14:paraId="2C021E08">
            <w:pPr>
              <w:pStyle w:val="153"/>
              <w:widowControl w:val="0"/>
              <w:spacing w:line="440" w:lineRule="exact"/>
              <w:ind w:firstLine="0" w:firstLineChars="0"/>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最大存在量t</w:t>
            </w:r>
          </w:p>
        </w:tc>
        <w:tc>
          <w:tcPr>
            <w:tcW w:w="604" w:type="pct"/>
            <w:vAlign w:val="center"/>
          </w:tcPr>
          <w:p w14:paraId="6846D393">
            <w:pPr>
              <w:pStyle w:val="153"/>
              <w:widowControl w:val="0"/>
              <w:spacing w:line="440" w:lineRule="exact"/>
              <w:ind w:firstLine="0" w:firstLineChars="0"/>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qi/Qi</w:t>
            </w:r>
          </w:p>
        </w:tc>
        <w:tc>
          <w:tcPr>
            <w:tcW w:w="542" w:type="pct"/>
            <w:vAlign w:val="center"/>
          </w:tcPr>
          <w:p w14:paraId="002F90DD">
            <w:pPr>
              <w:pStyle w:val="153"/>
              <w:widowControl w:val="0"/>
              <w:spacing w:line="440" w:lineRule="exact"/>
              <w:ind w:firstLine="0" w:firstLineChars="0"/>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合计</w:t>
            </w:r>
          </w:p>
        </w:tc>
      </w:tr>
      <w:tr w14:paraId="0915E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pct"/>
            <w:vMerge w:val="restart"/>
            <w:vAlign w:val="center"/>
          </w:tcPr>
          <w:p w14:paraId="789FDCFA">
            <w:pPr>
              <w:pStyle w:val="153"/>
              <w:widowControl w:val="0"/>
              <w:spacing w:line="440" w:lineRule="exact"/>
              <w:ind w:firstLine="0" w:firstLineChars="0"/>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运营期</w:t>
            </w:r>
          </w:p>
        </w:tc>
        <w:tc>
          <w:tcPr>
            <w:tcW w:w="919" w:type="pct"/>
            <w:vAlign w:val="center"/>
          </w:tcPr>
          <w:p w14:paraId="27ED6A84">
            <w:pPr>
              <w:widowControl w:val="0"/>
              <w:spacing w:line="360" w:lineRule="exact"/>
              <w:jc w:val="center"/>
              <w:rPr>
                <w:rFonts w:ascii="Times New Roman" w:hAnsi="Times New Roman" w:eastAsiaTheme="minorEastAsia"/>
                <w:snapToGrid w:val="0"/>
                <w:color w:val="auto"/>
                <w:w w:val="99"/>
                <w:sz w:val="21"/>
                <w:szCs w:val="21"/>
                <w:highlight w:val="none"/>
                <w:lang w:bidi="zh-CN"/>
              </w:rPr>
            </w:pPr>
            <w:r>
              <w:rPr>
                <w:rFonts w:ascii="Times New Roman" w:hAnsi="Times New Roman" w:eastAsiaTheme="minorEastAsia"/>
                <w:snapToGrid w:val="0"/>
                <w:color w:val="auto"/>
                <w:w w:val="99"/>
                <w:sz w:val="21"/>
                <w:szCs w:val="21"/>
                <w:highlight w:val="none"/>
                <w:lang w:bidi="zh-CN"/>
              </w:rPr>
              <w:t>徐深27-H1井场</w:t>
            </w:r>
          </w:p>
        </w:tc>
        <w:tc>
          <w:tcPr>
            <w:tcW w:w="1236" w:type="pct"/>
            <w:vAlign w:val="center"/>
          </w:tcPr>
          <w:p w14:paraId="5A1C21FE">
            <w:pPr>
              <w:pStyle w:val="153"/>
              <w:widowControl w:val="0"/>
              <w:spacing w:line="440" w:lineRule="exact"/>
              <w:ind w:firstLine="0" w:firstLineChars="0"/>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天然气（甲烷）</w:t>
            </w:r>
          </w:p>
        </w:tc>
        <w:tc>
          <w:tcPr>
            <w:tcW w:w="503" w:type="pct"/>
            <w:vAlign w:val="center"/>
          </w:tcPr>
          <w:p w14:paraId="0450F787">
            <w:pPr>
              <w:pStyle w:val="153"/>
              <w:widowControl w:val="0"/>
              <w:spacing w:line="440" w:lineRule="exact"/>
              <w:ind w:firstLine="0" w:firstLineChars="0"/>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10</w:t>
            </w:r>
          </w:p>
        </w:tc>
        <w:tc>
          <w:tcPr>
            <w:tcW w:w="752" w:type="pct"/>
            <w:vAlign w:val="center"/>
          </w:tcPr>
          <w:p w14:paraId="313498E3">
            <w:pPr>
              <w:pStyle w:val="102"/>
              <w:ind w:left="0" w:firstLine="0"/>
              <w:rPr>
                <w:rFonts w:hint="default" w:ascii="Times New Roman" w:hAnsi="Times New Roman" w:eastAsiaTheme="minorEastAsia"/>
                <w:snapToGrid w:val="0"/>
                <w:color w:val="auto"/>
                <w:w w:val="99"/>
                <w:highlight w:val="none"/>
                <w:lang w:bidi="zh-CN"/>
              </w:rPr>
            </w:pPr>
            <w:r>
              <w:rPr>
                <w:rFonts w:ascii="Times New Roman" w:hAnsi="Times New Roman" w:eastAsiaTheme="minorEastAsia"/>
                <w:snapToGrid w:val="0"/>
                <w:color w:val="auto"/>
                <w:w w:val="99"/>
                <w:highlight w:val="none"/>
                <w:lang w:bidi="zh-CN"/>
              </w:rPr>
              <w:t>0.05</w:t>
            </w:r>
          </w:p>
        </w:tc>
        <w:tc>
          <w:tcPr>
            <w:tcW w:w="604" w:type="pct"/>
            <w:vAlign w:val="center"/>
          </w:tcPr>
          <w:p w14:paraId="49DA01B3">
            <w:pPr>
              <w:pStyle w:val="102"/>
              <w:ind w:left="0" w:firstLine="0"/>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0.005</w:t>
            </w:r>
          </w:p>
        </w:tc>
        <w:tc>
          <w:tcPr>
            <w:tcW w:w="542" w:type="pct"/>
            <w:vAlign w:val="center"/>
          </w:tcPr>
          <w:p w14:paraId="4B800392">
            <w:pPr>
              <w:pStyle w:val="153"/>
              <w:widowControl w:val="0"/>
              <w:spacing w:line="440" w:lineRule="exact"/>
              <w:ind w:firstLine="0" w:firstLineChars="0"/>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0.005</w:t>
            </w:r>
          </w:p>
        </w:tc>
      </w:tr>
      <w:tr w14:paraId="0E69D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pct"/>
            <w:vMerge w:val="continue"/>
            <w:vAlign w:val="center"/>
          </w:tcPr>
          <w:p w14:paraId="282C735D">
            <w:pPr>
              <w:pStyle w:val="153"/>
              <w:widowControl w:val="0"/>
              <w:spacing w:line="440" w:lineRule="exact"/>
              <w:ind w:firstLine="0" w:firstLineChars="0"/>
              <w:jc w:val="center"/>
              <w:rPr>
                <w:rFonts w:ascii="Times New Roman" w:hAnsi="Times New Roman" w:eastAsiaTheme="minorEastAsia"/>
                <w:snapToGrid w:val="0"/>
                <w:color w:val="auto"/>
                <w:w w:val="99"/>
                <w:sz w:val="21"/>
                <w:szCs w:val="21"/>
                <w:highlight w:val="none"/>
                <w:lang w:bidi="zh-CN"/>
              </w:rPr>
            </w:pPr>
          </w:p>
        </w:tc>
        <w:tc>
          <w:tcPr>
            <w:tcW w:w="919" w:type="pct"/>
            <w:vAlign w:val="center"/>
          </w:tcPr>
          <w:p w14:paraId="4C528BE7">
            <w:pPr>
              <w:widowControl w:val="0"/>
              <w:spacing w:line="360" w:lineRule="exact"/>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采气管线</w:t>
            </w:r>
          </w:p>
        </w:tc>
        <w:tc>
          <w:tcPr>
            <w:tcW w:w="1236" w:type="pct"/>
            <w:vAlign w:val="center"/>
          </w:tcPr>
          <w:p w14:paraId="15CE03F3">
            <w:pPr>
              <w:pStyle w:val="153"/>
              <w:widowControl w:val="0"/>
              <w:spacing w:line="440" w:lineRule="exact"/>
              <w:ind w:firstLine="0" w:firstLineChars="0"/>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天然气（甲烷）</w:t>
            </w:r>
          </w:p>
        </w:tc>
        <w:tc>
          <w:tcPr>
            <w:tcW w:w="503" w:type="pct"/>
            <w:vAlign w:val="center"/>
          </w:tcPr>
          <w:p w14:paraId="1B7A2B64">
            <w:pPr>
              <w:pStyle w:val="153"/>
              <w:widowControl w:val="0"/>
              <w:spacing w:line="440" w:lineRule="exact"/>
              <w:ind w:firstLine="0" w:firstLineChars="0"/>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10</w:t>
            </w:r>
          </w:p>
        </w:tc>
        <w:tc>
          <w:tcPr>
            <w:tcW w:w="752" w:type="pct"/>
            <w:vAlign w:val="center"/>
          </w:tcPr>
          <w:p w14:paraId="38DF51F4">
            <w:pPr>
              <w:pStyle w:val="102"/>
              <w:ind w:left="0" w:firstLine="0"/>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0.955</w:t>
            </w:r>
          </w:p>
        </w:tc>
        <w:tc>
          <w:tcPr>
            <w:tcW w:w="604" w:type="pct"/>
            <w:vAlign w:val="center"/>
          </w:tcPr>
          <w:p w14:paraId="6A57C113">
            <w:pPr>
              <w:pStyle w:val="102"/>
              <w:ind w:left="0" w:firstLine="0"/>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0.0955</w:t>
            </w:r>
          </w:p>
        </w:tc>
        <w:tc>
          <w:tcPr>
            <w:tcW w:w="542" w:type="pct"/>
            <w:vAlign w:val="center"/>
          </w:tcPr>
          <w:p w14:paraId="4396E206">
            <w:pPr>
              <w:pStyle w:val="153"/>
              <w:widowControl w:val="0"/>
              <w:spacing w:line="440" w:lineRule="exact"/>
              <w:ind w:firstLine="0" w:firstLineChars="0"/>
              <w:jc w:val="center"/>
              <w:rPr>
                <w:rFonts w:ascii="Times New Roman" w:hAnsi="Times New Roman" w:eastAsiaTheme="minorEastAsia"/>
                <w:snapToGrid w:val="0"/>
                <w:color w:val="auto"/>
                <w:w w:val="99"/>
                <w:sz w:val="21"/>
                <w:szCs w:val="21"/>
                <w:highlight w:val="none"/>
                <w:lang w:bidi="zh-CN"/>
              </w:rPr>
            </w:pPr>
            <w:r>
              <w:rPr>
                <w:rFonts w:hint="eastAsia" w:ascii="Times New Roman" w:hAnsi="Times New Roman" w:eastAsiaTheme="minorEastAsia"/>
                <w:snapToGrid w:val="0"/>
                <w:color w:val="auto"/>
                <w:w w:val="99"/>
                <w:sz w:val="21"/>
                <w:szCs w:val="21"/>
                <w:highlight w:val="none"/>
                <w:lang w:bidi="zh-CN"/>
              </w:rPr>
              <w:t>0.0955</w:t>
            </w:r>
          </w:p>
        </w:tc>
      </w:tr>
    </w:tbl>
    <w:p w14:paraId="0E7BDC61">
      <w:pPr>
        <w:pStyle w:val="185"/>
        <w:widowControl w:val="0"/>
        <w:tabs>
          <w:tab w:val="left" w:pos="1571"/>
        </w:tabs>
        <w:spacing w:line="440" w:lineRule="exact"/>
        <w:ind w:left="0" w:firstLine="474" w:firstLineChars="200"/>
        <w:jc w:val="both"/>
        <w:rPr>
          <w:rFonts w:ascii="Times New Roman" w:hAnsi="Times New Roman" w:cs="Times New Roman"/>
          <w:color w:val="auto"/>
          <w:w w:val="99"/>
          <w:highlight w:val="none"/>
          <w:lang w:val="en-US"/>
        </w:rPr>
      </w:pPr>
      <w:r>
        <w:rPr>
          <w:rFonts w:hint="eastAsia" w:ascii="Times New Roman" w:hAnsi="Times New Roman" w:cs="Times New Roman"/>
          <w:color w:val="auto"/>
          <w:w w:val="99"/>
          <w:highlight w:val="none"/>
          <w:lang w:val="en-US"/>
        </w:rPr>
        <w:t>根据表2.6-15可知，施工期、运营期各危险单元Q均小于1。根据《建设项目环境风险评价技术导则》(HJ169-2018)风险评价等级划分依据，本项目环境风险潜势为I。因此，本项目环境风险评价工作应进行简单分析。</w:t>
      </w:r>
    </w:p>
    <w:p w14:paraId="40C22BC9">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2.7.7.2评价范围</w:t>
      </w:r>
    </w:p>
    <w:p w14:paraId="7416A0D9">
      <w:pPr>
        <w:pStyle w:val="153"/>
        <w:widowControl w:val="0"/>
        <w:spacing w:line="440" w:lineRule="exact"/>
        <w:ind w:firstLine="488"/>
        <w:jc w:val="both"/>
        <w:rPr>
          <w:rFonts w:ascii="Times New Roman" w:hAnsi="Times New Roman"/>
          <w:color w:val="auto"/>
          <w:spacing w:val="4"/>
          <w:w w:val="99"/>
          <w:kern w:val="2"/>
          <w:position w:val="2"/>
          <w:highlight w:val="none"/>
        </w:rPr>
      </w:pPr>
      <w:r>
        <w:rPr>
          <w:rFonts w:ascii="Times New Roman" w:hAnsi="Times New Roman"/>
          <w:color w:val="auto"/>
          <w:spacing w:val="4"/>
          <w:w w:val="99"/>
          <w:kern w:val="2"/>
          <w:position w:val="2"/>
          <w:highlight w:val="none"/>
        </w:rPr>
        <w:t>本项目风险评价等级为简单分析，根据《建设项目环境风险评价技术导则》（HJ169-2018），无关于简单分析的评价范围说明，结合大气环境、地表水环境、地下水环境的评价范围及保护目标分布情况，拟定环境风险评价范围包括地表水、地下水、大气评价范围，因此本项目环境风险评价范围为拟建井场</w:t>
      </w:r>
      <w:r>
        <w:rPr>
          <w:rFonts w:hint="eastAsia" w:ascii="Times New Roman" w:hAnsi="Times New Roman"/>
          <w:color w:val="auto"/>
          <w:spacing w:val="4"/>
          <w:w w:val="99"/>
          <w:kern w:val="2"/>
          <w:position w:val="2"/>
          <w:highlight w:val="none"/>
        </w:rPr>
        <w:t>为中心边长500m</w:t>
      </w:r>
      <w:r>
        <w:rPr>
          <w:rFonts w:ascii="Times New Roman" w:hAnsi="Times New Roman"/>
          <w:color w:val="auto"/>
          <w:spacing w:val="4"/>
          <w:w w:val="99"/>
          <w:kern w:val="2"/>
          <w:position w:val="2"/>
          <w:highlight w:val="none"/>
        </w:rPr>
        <w:t>的矩形区域的包络范围及新建管线沿线两侧外扩200m范围的区域。</w:t>
      </w:r>
    </w:p>
    <w:p w14:paraId="23259514">
      <w:pPr>
        <w:pStyle w:val="7"/>
        <w:widowControl w:val="0"/>
        <w:spacing w:before="60" w:after="60" w:line="440" w:lineRule="exact"/>
        <w:jc w:val="both"/>
        <w:rPr>
          <w:rFonts w:eastAsia="宋体"/>
          <w:b/>
          <w:color w:val="auto"/>
          <w:w w:val="99"/>
          <w:kern w:val="2"/>
          <w:sz w:val="24"/>
          <w:szCs w:val="24"/>
          <w:highlight w:val="none"/>
        </w:rPr>
      </w:pPr>
      <w:bookmarkStart w:id="387" w:name="_Toc67860119"/>
      <w:bookmarkStart w:id="388" w:name="_Toc61597212"/>
      <w:bookmarkStart w:id="389" w:name="_Toc80588246"/>
      <w:bookmarkStart w:id="390" w:name="_Toc77067650"/>
      <w:bookmarkStart w:id="391" w:name="_Toc80971368"/>
      <w:bookmarkStart w:id="392" w:name="_Toc78816451"/>
      <w:bookmarkStart w:id="393" w:name="_Toc83209463"/>
      <w:bookmarkStart w:id="394" w:name="_Toc70050166"/>
      <w:bookmarkStart w:id="395" w:name="_Toc76976234"/>
      <w:bookmarkStart w:id="396" w:name="_Toc186444258"/>
      <w:r>
        <w:rPr>
          <w:rFonts w:eastAsia="宋体"/>
          <w:b/>
          <w:color w:val="auto"/>
          <w:w w:val="99"/>
          <w:kern w:val="2"/>
          <w:sz w:val="24"/>
          <w:szCs w:val="24"/>
          <w:highlight w:val="none"/>
        </w:rPr>
        <w:t>2.7.8</w:t>
      </w:r>
      <w:bookmarkEnd w:id="387"/>
      <w:bookmarkEnd w:id="388"/>
      <w:bookmarkEnd w:id="389"/>
      <w:bookmarkEnd w:id="390"/>
      <w:bookmarkEnd w:id="391"/>
      <w:bookmarkEnd w:id="392"/>
      <w:bookmarkEnd w:id="393"/>
      <w:bookmarkEnd w:id="394"/>
      <w:bookmarkEnd w:id="395"/>
      <w:r>
        <w:rPr>
          <w:rFonts w:eastAsiaTheme="minorEastAsia"/>
          <w:b/>
          <w:color w:val="auto"/>
          <w:w w:val="99"/>
          <w:kern w:val="2"/>
          <w:sz w:val="24"/>
          <w:szCs w:val="24"/>
          <w:highlight w:val="none"/>
        </w:rPr>
        <w:t>各环境要素评价等级及评价范围汇总</w:t>
      </w:r>
      <w:bookmarkEnd w:id="396"/>
    </w:p>
    <w:p w14:paraId="73D4D7A3">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各环境要素评价等级及评价范围详见表2.7-1</w:t>
      </w:r>
      <w:r>
        <w:rPr>
          <w:rFonts w:hint="eastAsia" w:ascii="Times New Roman" w:hAnsi="Times New Roman"/>
          <w:snapToGrid w:val="0"/>
          <w:color w:val="auto"/>
          <w:w w:val="99"/>
          <w:highlight w:val="none"/>
        </w:rPr>
        <w:t>5</w:t>
      </w:r>
      <w:r>
        <w:rPr>
          <w:rFonts w:ascii="Times New Roman" w:hAnsi="Times New Roman"/>
          <w:snapToGrid w:val="0"/>
          <w:color w:val="auto"/>
          <w:w w:val="99"/>
          <w:highlight w:val="none"/>
        </w:rPr>
        <w:t>，各环境要素评价范围图见附图</w:t>
      </w:r>
      <w:r>
        <w:rPr>
          <w:rFonts w:hint="eastAsia" w:ascii="Times New Roman" w:hAnsi="Times New Roman"/>
          <w:snapToGrid w:val="0"/>
          <w:color w:val="auto"/>
          <w:w w:val="99"/>
          <w:highlight w:val="none"/>
        </w:rPr>
        <w:t>6</w:t>
      </w:r>
      <w:r>
        <w:rPr>
          <w:rFonts w:ascii="Times New Roman" w:hAnsi="Times New Roman"/>
          <w:snapToGrid w:val="0"/>
          <w:color w:val="auto"/>
          <w:w w:val="99"/>
          <w:highlight w:val="none"/>
        </w:rPr>
        <w:t>。</w:t>
      </w:r>
    </w:p>
    <w:p w14:paraId="47616AF8">
      <w:pPr>
        <w:pStyle w:val="153"/>
        <w:widowControl w:val="0"/>
        <w:spacing w:line="440" w:lineRule="exact"/>
        <w:ind w:firstLine="474"/>
        <w:rPr>
          <w:rFonts w:ascii="Times New Roman" w:hAnsi="Times New Roman"/>
          <w:snapToGrid w:val="0"/>
          <w:color w:val="auto"/>
          <w:w w:val="99"/>
          <w:highlight w:val="none"/>
        </w:rPr>
      </w:pPr>
      <w:r>
        <w:rPr>
          <w:rFonts w:ascii="Times New Roman" w:hAnsi="Times New Roman" w:eastAsiaTheme="minorEastAsia"/>
          <w:b/>
          <w:bCs/>
          <w:color w:val="auto"/>
          <w:w w:val="99"/>
          <w:highlight w:val="none"/>
        </w:rPr>
        <w:t>表2.7-</w:t>
      </w:r>
      <w:r>
        <w:rPr>
          <w:rFonts w:hint="eastAsia" w:ascii="Times New Roman" w:hAnsi="Times New Roman" w:eastAsiaTheme="minorEastAsia"/>
          <w:b/>
          <w:bCs/>
          <w:color w:val="auto"/>
          <w:w w:val="99"/>
          <w:highlight w:val="none"/>
        </w:rPr>
        <w:t>15</w:t>
      </w:r>
      <w:r>
        <w:rPr>
          <w:rFonts w:ascii="Times New Roman" w:hAnsi="Times New Roman" w:eastAsiaTheme="minorEastAsia"/>
          <w:b/>
          <w:bCs/>
          <w:color w:val="auto"/>
          <w:w w:val="99"/>
          <w:highlight w:val="none"/>
        </w:rPr>
        <w:t xml:space="preserve">    评价范围表</w:t>
      </w:r>
    </w:p>
    <w:tbl>
      <w:tblPr>
        <w:tblStyle w:val="81"/>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68"/>
        <w:gridCol w:w="1182"/>
        <w:gridCol w:w="1180"/>
        <w:gridCol w:w="5557"/>
      </w:tblGrid>
      <w:tr w14:paraId="496B7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37" w:type="pct"/>
            <w:vAlign w:val="center"/>
          </w:tcPr>
          <w:p w14:paraId="7F519584">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项目</w:t>
            </w:r>
          </w:p>
        </w:tc>
        <w:tc>
          <w:tcPr>
            <w:tcW w:w="1271" w:type="pct"/>
            <w:gridSpan w:val="2"/>
            <w:vAlign w:val="center"/>
          </w:tcPr>
          <w:p w14:paraId="77E1D898">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评价等级</w:t>
            </w:r>
          </w:p>
        </w:tc>
        <w:tc>
          <w:tcPr>
            <w:tcW w:w="2991" w:type="pct"/>
            <w:vAlign w:val="center"/>
          </w:tcPr>
          <w:p w14:paraId="2E3F31EF">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评价范围</w:t>
            </w:r>
          </w:p>
        </w:tc>
      </w:tr>
      <w:tr w14:paraId="469EC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37" w:type="pct"/>
            <w:vAlign w:val="center"/>
          </w:tcPr>
          <w:p w14:paraId="3B648039">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大气环境</w:t>
            </w:r>
          </w:p>
        </w:tc>
        <w:tc>
          <w:tcPr>
            <w:tcW w:w="1271" w:type="pct"/>
            <w:gridSpan w:val="2"/>
            <w:vAlign w:val="center"/>
          </w:tcPr>
          <w:p w14:paraId="1997DE1B">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一</w:t>
            </w:r>
            <w:r>
              <w:rPr>
                <w:rFonts w:ascii="Times New Roman" w:hAnsi="Times New Roman" w:cs="Times New Roman" w:eastAsiaTheme="minorEastAsia"/>
                <w:color w:val="auto"/>
                <w:w w:val="99"/>
                <w:kern w:val="2"/>
                <w:sz w:val="21"/>
                <w:szCs w:val="21"/>
                <w:highlight w:val="none"/>
              </w:rPr>
              <w:t>级</w:t>
            </w:r>
          </w:p>
        </w:tc>
        <w:tc>
          <w:tcPr>
            <w:tcW w:w="2991" w:type="pct"/>
            <w:vAlign w:val="center"/>
          </w:tcPr>
          <w:p w14:paraId="72306BA7">
            <w:pPr>
              <w:widowControl w:val="0"/>
              <w:adjustRightInd w:val="0"/>
              <w:snapToGrid w:val="0"/>
              <w:spacing w:line="360" w:lineRule="exact"/>
              <w:jc w:val="both"/>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拟建井场</w:t>
            </w:r>
            <w:r>
              <w:rPr>
                <w:rFonts w:hint="eastAsia" w:ascii="Times New Roman" w:hAnsi="Times New Roman" w:cs="Times New Roman" w:eastAsiaTheme="minorEastAsia"/>
                <w:color w:val="auto"/>
                <w:w w:val="99"/>
                <w:kern w:val="2"/>
                <w:sz w:val="21"/>
                <w:szCs w:val="21"/>
                <w:highlight w:val="none"/>
              </w:rPr>
              <w:t>为中心边长5km</w:t>
            </w:r>
            <w:r>
              <w:rPr>
                <w:rFonts w:ascii="Times New Roman" w:hAnsi="Times New Roman" w:cs="Times New Roman" w:eastAsiaTheme="minorEastAsia"/>
                <w:color w:val="auto"/>
                <w:w w:val="99"/>
                <w:kern w:val="2"/>
                <w:sz w:val="21"/>
                <w:szCs w:val="21"/>
                <w:highlight w:val="none"/>
              </w:rPr>
              <w:t>的矩形区域的包络范围，评价范围总面积约</w:t>
            </w:r>
            <w:r>
              <w:rPr>
                <w:rFonts w:hint="eastAsia" w:ascii="Times New Roman" w:hAnsi="Times New Roman" w:cs="Times New Roman" w:eastAsiaTheme="minorEastAsia"/>
                <w:color w:val="auto"/>
                <w:w w:val="99"/>
                <w:kern w:val="2"/>
                <w:sz w:val="21"/>
                <w:szCs w:val="21"/>
                <w:highlight w:val="none"/>
              </w:rPr>
              <w:t>25.35</w:t>
            </w:r>
            <w:r>
              <w:rPr>
                <w:rFonts w:ascii="Times New Roman" w:hAnsi="Times New Roman" w:cs="Times New Roman" w:eastAsiaTheme="minorEastAsia"/>
                <w:color w:val="auto"/>
                <w:w w:val="99"/>
                <w:kern w:val="2"/>
                <w:sz w:val="21"/>
                <w:szCs w:val="21"/>
                <w:highlight w:val="none"/>
              </w:rPr>
              <w:t>km</w:t>
            </w:r>
            <w:r>
              <w:rPr>
                <w:rFonts w:ascii="Times New Roman" w:hAnsi="Times New Roman" w:cs="Times New Roman" w:eastAsiaTheme="minorEastAsia"/>
                <w:color w:val="auto"/>
                <w:w w:val="99"/>
                <w:kern w:val="2"/>
                <w:sz w:val="21"/>
                <w:szCs w:val="21"/>
                <w:highlight w:val="none"/>
                <w:vertAlign w:val="superscript"/>
              </w:rPr>
              <w:t>2</w:t>
            </w:r>
          </w:p>
        </w:tc>
      </w:tr>
      <w:tr w14:paraId="0C69D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37" w:type="pct"/>
            <w:vAlign w:val="center"/>
          </w:tcPr>
          <w:p w14:paraId="547320F8">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声环境</w:t>
            </w:r>
          </w:p>
        </w:tc>
        <w:tc>
          <w:tcPr>
            <w:tcW w:w="1271" w:type="pct"/>
            <w:gridSpan w:val="2"/>
            <w:vAlign w:val="center"/>
          </w:tcPr>
          <w:p w14:paraId="5FC4BF21">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二级</w:t>
            </w:r>
          </w:p>
        </w:tc>
        <w:tc>
          <w:tcPr>
            <w:tcW w:w="2991" w:type="pct"/>
            <w:vAlign w:val="center"/>
          </w:tcPr>
          <w:p w14:paraId="19E54A8E">
            <w:pPr>
              <w:widowControl w:val="0"/>
              <w:adjustRightInd w:val="0"/>
              <w:snapToGrid w:val="0"/>
              <w:spacing w:line="360" w:lineRule="exact"/>
              <w:jc w:val="both"/>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拟建井场边界外延至200</w:t>
            </w:r>
            <w:r>
              <w:rPr>
                <w:rFonts w:hint="eastAsia" w:ascii="Times New Roman" w:hAnsi="Times New Roman" w:cs="Times New Roman" w:eastAsiaTheme="minorEastAsia"/>
                <w:color w:val="auto"/>
                <w:w w:val="99"/>
                <w:kern w:val="2"/>
                <w:sz w:val="21"/>
                <w:szCs w:val="21"/>
                <w:highlight w:val="none"/>
              </w:rPr>
              <w:t>m</w:t>
            </w:r>
            <w:r>
              <w:rPr>
                <w:rFonts w:ascii="Times New Roman" w:hAnsi="Times New Roman" w:cs="Times New Roman" w:eastAsiaTheme="minorEastAsia"/>
                <w:color w:val="auto"/>
                <w:w w:val="99"/>
                <w:kern w:val="2"/>
                <w:sz w:val="21"/>
                <w:szCs w:val="21"/>
                <w:highlight w:val="none"/>
              </w:rPr>
              <w:t>及管线、道路中心线两侧各200m范围内</w:t>
            </w:r>
          </w:p>
        </w:tc>
      </w:tr>
      <w:tr w14:paraId="70D0B2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trPr>
        <w:tc>
          <w:tcPr>
            <w:tcW w:w="737" w:type="pct"/>
            <w:vAlign w:val="center"/>
          </w:tcPr>
          <w:p w14:paraId="5449E0DF">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地表水环境</w:t>
            </w:r>
          </w:p>
        </w:tc>
        <w:tc>
          <w:tcPr>
            <w:tcW w:w="1271" w:type="pct"/>
            <w:gridSpan w:val="2"/>
            <w:vAlign w:val="center"/>
          </w:tcPr>
          <w:p w14:paraId="3144B0C4">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三级B</w:t>
            </w:r>
          </w:p>
        </w:tc>
        <w:tc>
          <w:tcPr>
            <w:tcW w:w="2991" w:type="pct"/>
            <w:vAlign w:val="center"/>
          </w:tcPr>
          <w:p w14:paraId="333E1C4E">
            <w:pPr>
              <w:widowControl w:val="0"/>
              <w:adjustRightInd w:val="0"/>
              <w:snapToGrid w:val="0"/>
              <w:spacing w:line="360" w:lineRule="exact"/>
              <w:jc w:val="both"/>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拟建井场</w:t>
            </w:r>
            <w:r>
              <w:rPr>
                <w:rFonts w:hint="eastAsia" w:ascii="Times New Roman" w:hAnsi="Times New Roman" w:cs="Times New Roman" w:eastAsiaTheme="minorEastAsia"/>
                <w:color w:val="auto"/>
                <w:w w:val="99"/>
                <w:kern w:val="2"/>
                <w:sz w:val="21"/>
                <w:szCs w:val="21"/>
                <w:highlight w:val="none"/>
              </w:rPr>
              <w:t>为中心边长5km</w:t>
            </w:r>
            <w:r>
              <w:rPr>
                <w:rFonts w:ascii="Times New Roman" w:hAnsi="Times New Roman" w:cs="Times New Roman" w:eastAsiaTheme="minorEastAsia"/>
                <w:color w:val="auto"/>
                <w:w w:val="99"/>
                <w:kern w:val="2"/>
                <w:sz w:val="21"/>
                <w:szCs w:val="21"/>
                <w:highlight w:val="none"/>
              </w:rPr>
              <w:t>的矩形区域的包络范围及管线、道路沿线两侧外扩200m范围的地表水体，该范围内地表水体主要为</w:t>
            </w:r>
            <w:r>
              <w:rPr>
                <w:rFonts w:hint="eastAsia" w:ascii="Times New Roman" w:hAnsi="Times New Roman" w:cs="Times New Roman" w:eastAsiaTheme="minorEastAsia"/>
                <w:color w:val="auto"/>
                <w:w w:val="99"/>
                <w:kern w:val="2"/>
                <w:sz w:val="21"/>
                <w:szCs w:val="21"/>
                <w:highlight w:val="none"/>
              </w:rPr>
              <w:t>北大干渠。</w:t>
            </w:r>
          </w:p>
        </w:tc>
      </w:tr>
      <w:tr w14:paraId="0C79B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37" w:type="pct"/>
            <w:vMerge w:val="restart"/>
            <w:vAlign w:val="center"/>
          </w:tcPr>
          <w:p w14:paraId="1162941A">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地下水环境</w:t>
            </w:r>
          </w:p>
        </w:tc>
        <w:tc>
          <w:tcPr>
            <w:tcW w:w="636" w:type="pct"/>
            <w:tcBorders>
              <w:right w:val="single" w:color="auto" w:sz="4" w:space="0"/>
            </w:tcBorders>
            <w:vAlign w:val="center"/>
          </w:tcPr>
          <w:p w14:paraId="0DD85E6C">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井场</w:t>
            </w:r>
          </w:p>
        </w:tc>
        <w:tc>
          <w:tcPr>
            <w:tcW w:w="635" w:type="pct"/>
            <w:tcBorders>
              <w:left w:val="single" w:color="auto" w:sz="4" w:space="0"/>
            </w:tcBorders>
            <w:vAlign w:val="center"/>
          </w:tcPr>
          <w:p w14:paraId="40AB18D2">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二</w:t>
            </w:r>
            <w:r>
              <w:rPr>
                <w:rFonts w:ascii="Times New Roman" w:hAnsi="Times New Roman" w:cs="Times New Roman" w:eastAsiaTheme="minorEastAsia"/>
                <w:color w:val="auto"/>
                <w:w w:val="99"/>
                <w:kern w:val="2"/>
                <w:sz w:val="21"/>
                <w:szCs w:val="21"/>
                <w:highlight w:val="none"/>
              </w:rPr>
              <w:t>级</w:t>
            </w:r>
          </w:p>
        </w:tc>
        <w:tc>
          <w:tcPr>
            <w:tcW w:w="2991" w:type="pct"/>
            <w:vMerge w:val="restart"/>
            <w:vAlign w:val="center"/>
          </w:tcPr>
          <w:p w14:paraId="7EE403FB">
            <w:pPr>
              <w:widowControl w:val="0"/>
              <w:adjustRightInd w:val="0"/>
              <w:snapToGrid w:val="0"/>
              <w:spacing w:line="360" w:lineRule="exact"/>
              <w:jc w:val="both"/>
              <w:rPr>
                <w:rFonts w:ascii="Times New Roman" w:hAnsi="Times New Roman" w:cs="Times New Roman" w:eastAsiaTheme="minorEastAsia"/>
                <w:color w:val="auto"/>
                <w:w w:val="99"/>
                <w:kern w:val="2"/>
                <w:sz w:val="21"/>
                <w:szCs w:val="21"/>
                <w:highlight w:val="none"/>
                <w:vertAlign w:val="superscript"/>
              </w:rPr>
            </w:pPr>
            <w:r>
              <w:rPr>
                <w:rFonts w:ascii="Times New Roman" w:hAnsi="Times New Roman" w:cs="Times New Roman" w:eastAsiaTheme="minorEastAsia"/>
                <w:color w:val="auto"/>
                <w:w w:val="99"/>
                <w:kern w:val="2"/>
                <w:sz w:val="21"/>
                <w:szCs w:val="21"/>
                <w:highlight w:val="none"/>
              </w:rPr>
              <w:t>拟建区域地下水流向上游及两侧外扩1166.67m、下游外扩583.335m并包括水质现状监测点的东南→西北走向的合围区域，共计约16.65km</w:t>
            </w:r>
            <w:r>
              <w:rPr>
                <w:rFonts w:ascii="Times New Roman" w:hAnsi="Times New Roman" w:cs="Times New Roman" w:eastAsiaTheme="minorEastAsia"/>
                <w:color w:val="auto"/>
                <w:w w:val="99"/>
                <w:kern w:val="2"/>
                <w:sz w:val="21"/>
                <w:szCs w:val="21"/>
                <w:highlight w:val="none"/>
                <w:vertAlign w:val="superscript"/>
              </w:rPr>
              <w:t>2</w:t>
            </w:r>
            <w:r>
              <w:rPr>
                <w:rFonts w:ascii="Times New Roman" w:hAnsi="Times New Roman" w:cs="Times New Roman" w:eastAsiaTheme="minorEastAsia"/>
                <w:color w:val="auto"/>
                <w:w w:val="99"/>
                <w:kern w:val="2"/>
                <w:sz w:val="21"/>
                <w:szCs w:val="21"/>
                <w:highlight w:val="none"/>
              </w:rPr>
              <w:t>。</w:t>
            </w:r>
          </w:p>
        </w:tc>
      </w:tr>
      <w:tr w14:paraId="7AD24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37" w:type="pct"/>
            <w:vMerge w:val="continue"/>
            <w:vAlign w:val="center"/>
          </w:tcPr>
          <w:p w14:paraId="336BF2C0">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p>
        </w:tc>
        <w:tc>
          <w:tcPr>
            <w:tcW w:w="636" w:type="pct"/>
            <w:tcBorders>
              <w:right w:val="single" w:color="auto" w:sz="4" w:space="0"/>
            </w:tcBorders>
            <w:vAlign w:val="center"/>
          </w:tcPr>
          <w:p w14:paraId="4F4C859E">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采气管线</w:t>
            </w:r>
          </w:p>
        </w:tc>
        <w:tc>
          <w:tcPr>
            <w:tcW w:w="635" w:type="pct"/>
            <w:tcBorders>
              <w:left w:val="single" w:color="auto" w:sz="4" w:space="0"/>
            </w:tcBorders>
            <w:vAlign w:val="center"/>
          </w:tcPr>
          <w:p w14:paraId="45AEDE62">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三级</w:t>
            </w:r>
          </w:p>
        </w:tc>
        <w:tc>
          <w:tcPr>
            <w:tcW w:w="2991" w:type="pct"/>
            <w:vMerge w:val="continue"/>
            <w:vAlign w:val="center"/>
          </w:tcPr>
          <w:p w14:paraId="6096233A">
            <w:pPr>
              <w:widowControl w:val="0"/>
              <w:adjustRightInd w:val="0"/>
              <w:snapToGrid w:val="0"/>
              <w:spacing w:line="360" w:lineRule="exact"/>
              <w:jc w:val="both"/>
              <w:rPr>
                <w:rFonts w:ascii="Times New Roman" w:hAnsi="Times New Roman" w:cs="Times New Roman"/>
                <w:color w:val="auto"/>
                <w:w w:val="99"/>
                <w:sz w:val="21"/>
                <w:szCs w:val="21"/>
                <w:highlight w:val="none"/>
              </w:rPr>
            </w:pPr>
          </w:p>
        </w:tc>
      </w:tr>
      <w:tr w14:paraId="467DF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37" w:type="pct"/>
            <w:vAlign w:val="center"/>
          </w:tcPr>
          <w:p w14:paraId="703FCD6A">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土壤环境</w:t>
            </w:r>
          </w:p>
        </w:tc>
        <w:tc>
          <w:tcPr>
            <w:tcW w:w="1271" w:type="pct"/>
            <w:gridSpan w:val="2"/>
            <w:vAlign w:val="center"/>
          </w:tcPr>
          <w:p w14:paraId="5AB85FE8">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二</w:t>
            </w:r>
            <w:r>
              <w:rPr>
                <w:rFonts w:ascii="Times New Roman" w:hAnsi="Times New Roman" w:cs="Times New Roman" w:eastAsiaTheme="minorEastAsia"/>
                <w:color w:val="auto"/>
                <w:w w:val="99"/>
                <w:kern w:val="2"/>
                <w:sz w:val="21"/>
                <w:szCs w:val="21"/>
                <w:highlight w:val="none"/>
              </w:rPr>
              <w:t>级</w:t>
            </w:r>
          </w:p>
        </w:tc>
        <w:tc>
          <w:tcPr>
            <w:tcW w:w="2991" w:type="pct"/>
            <w:vAlign w:val="center"/>
          </w:tcPr>
          <w:p w14:paraId="6E441F9F">
            <w:pPr>
              <w:widowControl w:val="0"/>
              <w:adjustRightInd w:val="0"/>
              <w:snapToGrid w:val="0"/>
              <w:spacing w:line="360" w:lineRule="exact"/>
              <w:jc w:val="both"/>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拟建井场边界外延至200</w:t>
            </w:r>
            <w:r>
              <w:rPr>
                <w:rFonts w:hint="eastAsia" w:ascii="Times New Roman" w:hAnsi="Times New Roman" w:cs="Times New Roman" w:eastAsiaTheme="minorEastAsia"/>
                <w:color w:val="auto"/>
                <w:w w:val="99"/>
                <w:kern w:val="2"/>
                <w:sz w:val="21"/>
                <w:szCs w:val="21"/>
                <w:highlight w:val="none"/>
              </w:rPr>
              <w:t>m</w:t>
            </w:r>
            <w:r>
              <w:rPr>
                <w:rFonts w:ascii="Times New Roman" w:hAnsi="Times New Roman" w:cs="Times New Roman" w:eastAsiaTheme="minorEastAsia"/>
                <w:color w:val="auto"/>
                <w:w w:val="99"/>
                <w:kern w:val="2"/>
                <w:sz w:val="21"/>
                <w:szCs w:val="21"/>
                <w:highlight w:val="none"/>
              </w:rPr>
              <w:t>及管线中心线两侧各200m范围</w:t>
            </w:r>
            <w:r>
              <w:rPr>
                <w:rFonts w:hint="eastAsia" w:ascii="Times New Roman" w:hAnsi="Times New Roman" w:cs="Times New Roman" w:eastAsiaTheme="minorEastAsia"/>
                <w:color w:val="auto"/>
                <w:w w:val="99"/>
                <w:kern w:val="2"/>
                <w:sz w:val="21"/>
                <w:szCs w:val="21"/>
                <w:highlight w:val="none"/>
              </w:rPr>
              <w:t>。</w:t>
            </w:r>
          </w:p>
        </w:tc>
      </w:tr>
      <w:tr w14:paraId="3B6EC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37" w:type="pct"/>
            <w:vAlign w:val="center"/>
          </w:tcPr>
          <w:p w14:paraId="69672B8C">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生态环境</w:t>
            </w:r>
          </w:p>
        </w:tc>
        <w:tc>
          <w:tcPr>
            <w:tcW w:w="1271" w:type="pct"/>
            <w:gridSpan w:val="2"/>
            <w:vAlign w:val="center"/>
          </w:tcPr>
          <w:p w14:paraId="35FE94E4">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三级</w:t>
            </w:r>
          </w:p>
        </w:tc>
        <w:tc>
          <w:tcPr>
            <w:tcW w:w="2991" w:type="pct"/>
            <w:vAlign w:val="center"/>
          </w:tcPr>
          <w:p w14:paraId="02A2D269">
            <w:pPr>
              <w:widowControl w:val="0"/>
              <w:adjustRightInd w:val="0"/>
              <w:snapToGrid w:val="0"/>
              <w:spacing w:line="360" w:lineRule="exact"/>
              <w:jc w:val="both"/>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拟建井场边界外扩50m范围及管线、道路沿线两侧外扩300m区域的生态环境，评价范围总面积</w:t>
            </w:r>
            <w:r>
              <w:rPr>
                <w:rFonts w:hint="eastAsia" w:ascii="Times New Roman" w:hAnsi="Times New Roman" w:eastAsiaTheme="minorEastAsia"/>
                <w:snapToGrid w:val="0"/>
                <w:color w:val="auto"/>
                <w:w w:val="99"/>
                <w:sz w:val="21"/>
                <w:szCs w:val="21"/>
                <w:highlight w:val="none"/>
              </w:rPr>
              <w:t>0.58k</w:t>
            </w:r>
            <w:r>
              <w:rPr>
                <w:rFonts w:ascii="Times New Roman" w:hAnsi="Times New Roman" w:eastAsiaTheme="minorEastAsia"/>
                <w:snapToGrid w:val="0"/>
                <w:color w:val="auto"/>
                <w:w w:val="99"/>
                <w:sz w:val="21"/>
                <w:szCs w:val="21"/>
                <w:highlight w:val="none"/>
              </w:rPr>
              <w:t>m</w:t>
            </w:r>
            <w:r>
              <w:rPr>
                <w:rFonts w:ascii="Times New Roman" w:hAnsi="Times New Roman" w:eastAsiaTheme="minorEastAsia"/>
                <w:snapToGrid w:val="0"/>
                <w:color w:val="auto"/>
                <w:w w:val="99"/>
                <w:sz w:val="21"/>
                <w:szCs w:val="21"/>
                <w:highlight w:val="none"/>
                <w:vertAlign w:val="superscript"/>
              </w:rPr>
              <w:t>2</w:t>
            </w:r>
          </w:p>
        </w:tc>
      </w:tr>
      <w:tr w14:paraId="2B064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37" w:type="pct"/>
            <w:vAlign w:val="center"/>
          </w:tcPr>
          <w:p w14:paraId="24211FED">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环境风险</w:t>
            </w:r>
          </w:p>
        </w:tc>
        <w:tc>
          <w:tcPr>
            <w:tcW w:w="1271" w:type="pct"/>
            <w:gridSpan w:val="2"/>
            <w:vAlign w:val="center"/>
          </w:tcPr>
          <w:p w14:paraId="25D2904E">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简单分析</w:t>
            </w:r>
          </w:p>
        </w:tc>
        <w:tc>
          <w:tcPr>
            <w:tcW w:w="2991" w:type="pct"/>
            <w:vAlign w:val="center"/>
          </w:tcPr>
          <w:p w14:paraId="19F6C593">
            <w:pPr>
              <w:widowControl w:val="0"/>
              <w:adjustRightInd w:val="0"/>
              <w:snapToGrid w:val="0"/>
              <w:spacing w:line="360" w:lineRule="exact"/>
              <w:jc w:val="both"/>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拟建井场</w:t>
            </w:r>
            <w:r>
              <w:rPr>
                <w:rFonts w:hint="eastAsia" w:ascii="Times New Roman" w:hAnsi="Times New Roman" w:cs="Times New Roman" w:eastAsiaTheme="minorEastAsia"/>
                <w:color w:val="auto"/>
                <w:w w:val="99"/>
                <w:kern w:val="2"/>
                <w:sz w:val="21"/>
                <w:szCs w:val="21"/>
                <w:highlight w:val="none"/>
              </w:rPr>
              <w:t>为中心边长500m</w:t>
            </w:r>
            <w:r>
              <w:rPr>
                <w:rFonts w:ascii="Times New Roman" w:hAnsi="Times New Roman" w:cs="Times New Roman" w:eastAsiaTheme="minorEastAsia"/>
                <w:color w:val="auto"/>
                <w:w w:val="99"/>
                <w:kern w:val="2"/>
                <w:sz w:val="21"/>
                <w:szCs w:val="21"/>
                <w:highlight w:val="none"/>
              </w:rPr>
              <w:t>的矩形区域的包络范围及新建管线沿线两侧外扩200m范围的区域</w:t>
            </w:r>
          </w:p>
        </w:tc>
      </w:tr>
    </w:tbl>
    <w:p w14:paraId="2AA85346">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397" w:name="_Toc6827"/>
      <w:r>
        <w:rPr>
          <w:rFonts w:ascii="Times New Roman" w:hAnsi="Times New Roman" w:eastAsia="宋体"/>
          <w:b/>
          <w:snapToGrid w:val="0"/>
          <w:color w:val="auto"/>
          <w:w w:val="99"/>
          <w:highlight w:val="none"/>
        </w:rPr>
        <w:t>2.8环境保护目标</w:t>
      </w:r>
      <w:bookmarkEnd w:id="397"/>
    </w:p>
    <w:p w14:paraId="168F7EB9">
      <w:pPr>
        <w:widowControl w:val="0"/>
        <w:spacing w:line="440" w:lineRule="exact"/>
        <w:ind w:firstLine="474" w:firstLineChars="200"/>
        <w:jc w:val="both"/>
        <w:rPr>
          <w:rFonts w:ascii="Times New Roman" w:hAnsi="Times New Roman" w:cs="Times New Roman"/>
          <w:color w:val="auto"/>
          <w:w w:val="99"/>
          <w:highlight w:val="none"/>
        </w:rPr>
      </w:pPr>
      <w:bookmarkStart w:id="398" w:name="_Toc11047822"/>
      <w:r>
        <w:rPr>
          <w:rFonts w:hint="eastAsia" w:ascii="Times New Roman" w:hAnsi="Times New Roman" w:cs="Times New Roman"/>
          <w:color w:val="auto"/>
          <w:w w:val="99"/>
          <w:highlight w:val="none"/>
        </w:rPr>
        <w:t>本项目位于绥化市肇东市境内，根据调查，本项目不涉及国家公园、自然保护区、风景名胜区、世界文化和自然遗产地、海洋特别保护区、基本农田、基本草原、自然公园、重要湿地、天然林、重点保护野生动物栖息地、重点保护野生植物生长繁殖地、重要水生生物的自然产卵场、索饵场、越冬场和洄游通道、天然渔场、水土流失重点预防区、沙化土地封禁保护区、封闭及半封闭海域、以及以居住、医疗卫生、文化教育、科研、行政办公为主要功能的区域、文物保护单位等环境敏感区。</w:t>
      </w:r>
    </w:p>
    <w:p w14:paraId="19FD2DF7">
      <w:pPr>
        <w:widowControl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项目主要大气环境保护目标见表2.8-1，声环境保护目标见表2.8-2，地下水环境主要保护目标见表2.8-3，其他环境因素保护目标见表2.8-4，主要环境保护目标分布图见附图6。</w:t>
      </w:r>
    </w:p>
    <w:bookmarkEnd w:id="398"/>
    <w:p w14:paraId="20D91D65">
      <w:pPr>
        <w:widowControl w:val="0"/>
        <w:tabs>
          <w:tab w:val="left" w:pos="5262"/>
        </w:tabs>
        <w:spacing w:line="440" w:lineRule="exact"/>
        <w:ind w:firstLine="490" w:firstLineChars="200"/>
        <w:jc w:val="both"/>
        <w:rPr>
          <w:rFonts w:ascii="Times New Roman" w:hAnsi="Times New Roman" w:cs="Times New Roman"/>
          <w:color w:val="auto"/>
          <w:spacing w:val="4"/>
          <w:w w:val="99"/>
          <w:kern w:val="2"/>
          <w:position w:val="2"/>
          <w:highlight w:val="none"/>
        </w:rPr>
      </w:pPr>
      <w:r>
        <w:rPr>
          <w:rFonts w:ascii="Times New Roman" w:hAnsi="Times New Roman" w:cs="Times New Roman"/>
          <w:color w:val="auto"/>
          <w:spacing w:val="4"/>
          <w:w w:val="99"/>
          <w:kern w:val="2"/>
          <w:position w:val="2"/>
          <w:highlight w:val="none"/>
        </w:rPr>
        <w:t>项目主要环境保护目标见表2.8-1</w:t>
      </w:r>
      <w:r>
        <w:rPr>
          <w:rFonts w:hint="eastAsia" w:ascii="Times New Roman" w:hAnsi="Times New Roman" w:cs="Times New Roman"/>
          <w:color w:val="auto"/>
          <w:spacing w:val="4"/>
          <w:w w:val="99"/>
          <w:kern w:val="2"/>
          <w:position w:val="2"/>
          <w:highlight w:val="none"/>
        </w:rPr>
        <w:t>~2.8-5</w:t>
      </w:r>
      <w:r>
        <w:rPr>
          <w:rFonts w:ascii="Times New Roman" w:hAnsi="Times New Roman" w:cs="Times New Roman"/>
          <w:color w:val="auto"/>
          <w:spacing w:val="4"/>
          <w:w w:val="99"/>
          <w:kern w:val="2"/>
          <w:position w:val="2"/>
          <w:highlight w:val="none"/>
        </w:rPr>
        <w:t>，主要环境保护目标分布图见附图</w:t>
      </w:r>
      <w:r>
        <w:rPr>
          <w:rFonts w:hint="eastAsia" w:ascii="Times New Roman" w:hAnsi="Times New Roman" w:cs="Times New Roman"/>
          <w:color w:val="auto"/>
          <w:spacing w:val="4"/>
          <w:w w:val="99"/>
          <w:kern w:val="2"/>
          <w:position w:val="2"/>
          <w:highlight w:val="none"/>
        </w:rPr>
        <w:t>6</w:t>
      </w:r>
      <w:r>
        <w:rPr>
          <w:rFonts w:ascii="Times New Roman" w:hAnsi="Times New Roman" w:cs="Times New Roman"/>
          <w:color w:val="auto"/>
          <w:spacing w:val="4"/>
          <w:w w:val="99"/>
          <w:kern w:val="2"/>
          <w:position w:val="2"/>
          <w:highlight w:val="none"/>
        </w:rPr>
        <w:t>。</w:t>
      </w:r>
    </w:p>
    <w:p w14:paraId="44497C2A">
      <w:pPr>
        <w:widowControl w:val="0"/>
        <w:adjustRightInd w:val="0"/>
        <w:snapToGrid w:val="0"/>
        <w:spacing w:line="440" w:lineRule="exact"/>
        <w:ind w:firstLine="476" w:firstLineChars="200"/>
        <w:jc w:val="both"/>
        <w:rPr>
          <w:rFonts w:ascii="Times New Roman" w:hAnsi="Times New Roman" w:cs="Times New Roman"/>
          <w:b/>
          <w:color w:val="auto"/>
          <w:w w:val="99"/>
          <w:kern w:val="2"/>
          <w:highlight w:val="none"/>
        </w:rPr>
      </w:pPr>
      <w:r>
        <w:rPr>
          <w:rFonts w:ascii="Times New Roman" w:hAnsi="Times New Roman" w:cs="Times New Roman"/>
          <w:b/>
          <w:color w:val="auto"/>
          <w:w w:val="99"/>
          <w:kern w:val="21"/>
          <w:highlight w:val="none"/>
        </w:rPr>
        <w:t>表2.8-1</w:t>
      </w:r>
      <w:r>
        <w:rPr>
          <w:rFonts w:ascii="Times New Roman" w:hAnsi="Times New Roman" w:cs="Times New Roman"/>
          <w:b/>
          <w:color w:val="auto"/>
          <w:w w:val="99"/>
          <w:kern w:val="2"/>
          <w:highlight w:val="none"/>
        </w:rPr>
        <w:t xml:space="preserve">  大气主要环境保护目标表</w:t>
      </w:r>
    </w:p>
    <w:tbl>
      <w:tblPr>
        <w:tblStyle w:val="8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2"/>
        <w:gridCol w:w="1155"/>
        <w:gridCol w:w="1244"/>
        <w:gridCol w:w="693"/>
        <w:gridCol w:w="1714"/>
        <w:gridCol w:w="841"/>
        <w:gridCol w:w="2301"/>
      </w:tblGrid>
      <w:tr w14:paraId="5CBD5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 w:type="pct"/>
            <w:vMerge w:val="restart"/>
            <w:tcBorders>
              <w:tl2br w:val="nil"/>
              <w:tr2bl w:val="nil"/>
            </w:tcBorders>
            <w:vAlign w:val="center"/>
          </w:tcPr>
          <w:p w14:paraId="522D343E">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名称</w:t>
            </w:r>
          </w:p>
        </w:tc>
        <w:tc>
          <w:tcPr>
            <w:tcW w:w="1292" w:type="pct"/>
            <w:gridSpan w:val="2"/>
            <w:tcBorders>
              <w:tl2br w:val="nil"/>
              <w:tr2bl w:val="nil"/>
            </w:tcBorders>
            <w:vAlign w:val="center"/>
          </w:tcPr>
          <w:p w14:paraId="2B3A1853">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坐标</w:t>
            </w:r>
          </w:p>
        </w:tc>
        <w:tc>
          <w:tcPr>
            <w:tcW w:w="373" w:type="pct"/>
            <w:vMerge w:val="restart"/>
            <w:tcBorders>
              <w:tl2br w:val="nil"/>
              <w:tr2bl w:val="nil"/>
            </w:tcBorders>
            <w:vAlign w:val="center"/>
          </w:tcPr>
          <w:p w14:paraId="6EC3EDE8">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保护对象</w:t>
            </w:r>
          </w:p>
        </w:tc>
        <w:tc>
          <w:tcPr>
            <w:tcW w:w="923" w:type="pct"/>
            <w:vMerge w:val="restart"/>
            <w:tcBorders>
              <w:tl2br w:val="nil"/>
              <w:tr2bl w:val="nil"/>
            </w:tcBorders>
            <w:vAlign w:val="center"/>
          </w:tcPr>
          <w:p w14:paraId="6D8AE19A">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保护</w:t>
            </w:r>
          </w:p>
          <w:p w14:paraId="03FDC8C2">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内容</w:t>
            </w:r>
          </w:p>
        </w:tc>
        <w:tc>
          <w:tcPr>
            <w:tcW w:w="453" w:type="pct"/>
            <w:vMerge w:val="restart"/>
            <w:tcBorders>
              <w:tl2br w:val="nil"/>
              <w:tr2bl w:val="nil"/>
            </w:tcBorders>
            <w:vAlign w:val="center"/>
          </w:tcPr>
          <w:p w14:paraId="3A0B7F09">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环境功能区</w:t>
            </w:r>
          </w:p>
        </w:tc>
        <w:tc>
          <w:tcPr>
            <w:tcW w:w="1239" w:type="pct"/>
            <w:vMerge w:val="restart"/>
            <w:tcBorders>
              <w:tl2br w:val="nil"/>
              <w:tr2bl w:val="nil"/>
            </w:tcBorders>
            <w:vAlign w:val="center"/>
          </w:tcPr>
          <w:p w14:paraId="66155DD3">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相对方位及距离</w:t>
            </w:r>
          </w:p>
        </w:tc>
      </w:tr>
      <w:tr w14:paraId="234D4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 w:type="pct"/>
            <w:vMerge w:val="continue"/>
            <w:tcBorders>
              <w:tl2br w:val="nil"/>
              <w:tr2bl w:val="nil"/>
            </w:tcBorders>
            <w:vAlign w:val="center"/>
          </w:tcPr>
          <w:p w14:paraId="66606F98">
            <w:pPr>
              <w:widowControl w:val="0"/>
              <w:spacing w:line="360" w:lineRule="exact"/>
              <w:jc w:val="center"/>
              <w:rPr>
                <w:rFonts w:ascii="Times New Roman" w:hAnsi="Times New Roman" w:cs="Times New Roman"/>
                <w:b/>
                <w:color w:val="auto"/>
                <w:w w:val="99"/>
                <w:sz w:val="21"/>
                <w:szCs w:val="21"/>
                <w:highlight w:val="none"/>
              </w:rPr>
            </w:pPr>
          </w:p>
        </w:tc>
        <w:tc>
          <w:tcPr>
            <w:tcW w:w="622" w:type="pct"/>
            <w:tcBorders>
              <w:tl2br w:val="nil"/>
              <w:tr2bl w:val="nil"/>
            </w:tcBorders>
            <w:vAlign w:val="center"/>
          </w:tcPr>
          <w:p w14:paraId="1CA60F09">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经度</w:t>
            </w:r>
          </w:p>
        </w:tc>
        <w:tc>
          <w:tcPr>
            <w:tcW w:w="670" w:type="pct"/>
            <w:tcBorders>
              <w:tl2br w:val="nil"/>
              <w:tr2bl w:val="nil"/>
            </w:tcBorders>
            <w:vAlign w:val="center"/>
          </w:tcPr>
          <w:p w14:paraId="299B8691">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纬度</w:t>
            </w:r>
          </w:p>
        </w:tc>
        <w:tc>
          <w:tcPr>
            <w:tcW w:w="373" w:type="pct"/>
            <w:vMerge w:val="continue"/>
            <w:tcBorders>
              <w:tl2br w:val="nil"/>
              <w:tr2bl w:val="nil"/>
            </w:tcBorders>
            <w:vAlign w:val="center"/>
          </w:tcPr>
          <w:p w14:paraId="4E86284A">
            <w:pPr>
              <w:widowControl w:val="0"/>
              <w:spacing w:line="360" w:lineRule="exact"/>
              <w:jc w:val="center"/>
              <w:rPr>
                <w:rFonts w:ascii="Times New Roman" w:hAnsi="Times New Roman" w:cs="Times New Roman"/>
                <w:b/>
                <w:color w:val="auto"/>
                <w:w w:val="99"/>
                <w:sz w:val="21"/>
                <w:szCs w:val="21"/>
                <w:highlight w:val="none"/>
              </w:rPr>
            </w:pPr>
          </w:p>
        </w:tc>
        <w:tc>
          <w:tcPr>
            <w:tcW w:w="923" w:type="pct"/>
            <w:vMerge w:val="continue"/>
            <w:tcBorders>
              <w:tl2br w:val="nil"/>
              <w:tr2bl w:val="nil"/>
            </w:tcBorders>
            <w:vAlign w:val="center"/>
          </w:tcPr>
          <w:p w14:paraId="0BC480E4">
            <w:pPr>
              <w:widowControl w:val="0"/>
              <w:spacing w:line="360" w:lineRule="exact"/>
              <w:jc w:val="center"/>
              <w:rPr>
                <w:rFonts w:ascii="Times New Roman" w:hAnsi="Times New Roman" w:cs="Times New Roman"/>
                <w:b/>
                <w:color w:val="auto"/>
                <w:w w:val="99"/>
                <w:sz w:val="21"/>
                <w:szCs w:val="21"/>
                <w:highlight w:val="none"/>
              </w:rPr>
            </w:pPr>
          </w:p>
        </w:tc>
        <w:tc>
          <w:tcPr>
            <w:tcW w:w="453" w:type="pct"/>
            <w:vMerge w:val="continue"/>
            <w:tcBorders>
              <w:tl2br w:val="nil"/>
              <w:tr2bl w:val="nil"/>
            </w:tcBorders>
            <w:vAlign w:val="center"/>
          </w:tcPr>
          <w:p w14:paraId="0C9174C9">
            <w:pPr>
              <w:widowControl w:val="0"/>
              <w:spacing w:line="360" w:lineRule="exact"/>
              <w:jc w:val="center"/>
              <w:rPr>
                <w:rFonts w:ascii="Times New Roman" w:hAnsi="Times New Roman" w:cs="Times New Roman"/>
                <w:b/>
                <w:color w:val="auto"/>
                <w:w w:val="99"/>
                <w:sz w:val="21"/>
                <w:szCs w:val="21"/>
                <w:highlight w:val="none"/>
              </w:rPr>
            </w:pPr>
          </w:p>
        </w:tc>
        <w:tc>
          <w:tcPr>
            <w:tcW w:w="1239" w:type="pct"/>
            <w:vMerge w:val="continue"/>
            <w:tcBorders>
              <w:tl2br w:val="nil"/>
              <w:tr2bl w:val="nil"/>
            </w:tcBorders>
            <w:vAlign w:val="center"/>
          </w:tcPr>
          <w:p w14:paraId="433A0136">
            <w:pPr>
              <w:widowControl w:val="0"/>
              <w:spacing w:line="360" w:lineRule="exact"/>
              <w:jc w:val="center"/>
              <w:rPr>
                <w:rFonts w:ascii="Times New Roman" w:hAnsi="Times New Roman" w:cs="Times New Roman"/>
                <w:b/>
                <w:color w:val="auto"/>
                <w:w w:val="99"/>
                <w:sz w:val="21"/>
                <w:szCs w:val="21"/>
                <w:highlight w:val="none"/>
              </w:rPr>
            </w:pPr>
          </w:p>
        </w:tc>
      </w:tr>
      <w:tr w14:paraId="17529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 w:type="pct"/>
            <w:tcBorders>
              <w:tl2br w:val="nil"/>
              <w:tr2bl w:val="nil"/>
            </w:tcBorders>
            <w:vAlign w:val="center"/>
          </w:tcPr>
          <w:p w14:paraId="6668FFF4">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王家围子</w:t>
            </w:r>
            <w:r>
              <w:rPr>
                <w:rFonts w:hint="eastAsia" w:ascii="Times New Roman" w:hAnsi="Times New Roman" w:cs="Times New Roman"/>
                <w:color w:val="auto"/>
                <w:w w:val="99"/>
                <w:sz w:val="21"/>
                <w:szCs w:val="21"/>
                <w:highlight w:val="none"/>
              </w:rPr>
              <w:t>屯</w:t>
            </w:r>
          </w:p>
        </w:tc>
        <w:tc>
          <w:tcPr>
            <w:tcW w:w="622" w:type="pct"/>
            <w:tcBorders>
              <w:tl2br w:val="nil"/>
              <w:tr2bl w:val="nil"/>
            </w:tcBorders>
            <w:vAlign w:val="center"/>
          </w:tcPr>
          <w:p w14:paraId="65301113">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125.51827</w:t>
            </w:r>
          </w:p>
        </w:tc>
        <w:tc>
          <w:tcPr>
            <w:tcW w:w="670" w:type="pct"/>
            <w:tcBorders>
              <w:tl2br w:val="nil"/>
              <w:tr2bl w:val="nil"/>
            </w:tcBorders>
            <w:vAlign w:val="center"/>
          </w:tcPr>
          <w:p w14:paraId="000BF327">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rPr>
              <w:t>45.90671</w:t>
            </w:r>
          </w:p>
        </w:tc>
        <w:tc>
          <w:tcPr>
            <w:tcW w:w="373" w:type="pct"/>
            <w:tcBorders>
              <w:tl2br w:val="nil"/>
              <w:tr2bl w:val="nil"/>
            </w:tcBorders>
            <w:vAlign w:val="center"/>
          </w:tcPr>
          <w:p w14:paraId="657BCC33">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村屯</w:t>
            </w:r>
          </w:p>
        </w:tc>
        <w:tc>
          <w:tcPr>
            <w:tcW w:w="923" w:type="pct"/>
            <w:tcBorders>
              <w:tl2br w:val="nil"/>
              <w:tr2bl w:val="nil"/>
            </w:tcBorders>
            <w:vAlign w:val="center"/>
          </w:tcPr>
          <w:p w14:paraId="5955A0BC">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居民约</w:t>
            </w:r>
            <w:r>
              <w:rPr>
                <w:rFonts w:hint="eastAsia" w:ascii="Times New Roman" w:hAnsi="Times New Roman" w:cs="Times New Roman"/>
                <w:color w:val="auto"/>
                <w:w w:val="99"/>
                <w:sz w:val="21"/>
                <w:szCs w:val="21"/>
                <w:highlight w:val="none"/>
              </w:rPr>
              <w:t>3</w:t>
            </w:r>
            <w:r>
              <w:rPr>
                <w:rFonts w:ascii="Times New Roman" w:hAnsi="Times New Roman" w:cs="Times New Roman"/>
                <w:color w:val="auto"/>
                <w:w w:val="99"/>
                <w:sz w:val="21"/>
                <w:szCs w:val="21"/>
                <w:highlight w:val="none"/>
              </w:rPr>
              <w:t>00人</w:t>
            </w:r>
          </w:p>
        </w:tc>
        <w:tc>
          <w:tcPr>
            <w:tcW w:w="453" w:type="pct"/>
            <w:tcBorders>
              <w:tl2br w:val="nil"/>
              <w:tr2bl w:val="nil"/>
            </w:tcBorders>
            <w:vAlign w:val="center"/>
          </w:tcPr>
          <w:p w14:paraId="45043C77">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二类</w:t>
            </w:r>
          </w:p>
        </w:tc>
        <w:tc>
          <w:tcPr>
            <w:tcW w:w="1239" w:type="pct"/>
            <w:tcBorders>
              <w:tl2br w:val="nil"/>
              <w:tr2bl w:val="nil"/>
            </w:tcBorders>
            <w:vAlign w:val="center"/>
          </w:tcPr>
          <w:p w14:paraId="4E9077D9">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徐深27-H1井</w:t>
            </w:r>
            <w:r>
              <w:rPr>
                <w:rFonts w:hint="eastAsia" w:ascii="Times New Roman" w:hAnsi="Times New Roman" w:cs="Times New Roman"/>
                <w:color w:val="auto"/>
                <w:w w:val="99"/>
                <w:sz w:val="21"/>
                <w:szCs w:val="21"/>
                <w:highlight w:val="none"/>
              </w:rPr>
              <w:t>NE1500m</w:t>
            </w:r>
          </w:p>
        </w:tc>
      </w:tr>
      <w:tr w14:paraId="6717C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 w:type="pct"/>
            <w:tcBorders>
              <w:tl2br w:val="nil"/>
              <w:tr2bl w:val="nil"/>
            </w:tcBorders>
            <w:vAlign w:val="center"/>
          </w:tcPr>
          <w:p w14:paraId="56BBAEB5">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东双山</w:t>
            </w:r>
            <w:r>
              <w:rPr>
                <w:rFonts w:hint="eastAsia" w:ascii="Times New Roman" w:hAnsi="Times New Roman" w:cs="Times New Roman"/>
                <w:color w:val="auto"/>
                <w:w w:val="99"/>
                <w:sz w:val="21"/>
                <w:szCs w:val="21"/>
                <w:highlight w:val="none"/>
              </w:rPr>
              <w:t>屯</w:t>
            </w:r>
          </w:p>
        </w:tc>
        <w:tc>
          <w:tcPr>
            <w:tcW w:w="622" w:type="pct"/>
            <w:tcBorders>
              <w:tl2br w:val="nil"/>
              <w:tr2bl w:val="nil"/>
            </w:tcBorders>
            <w:vAlign w:val="center"/>
          </w:tcPr>
          <w:p w14:paraId="792A3A3B">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125.49022</w:t>
            </w:r>
          </w:p>
        </w:tc>
        <w:tc>
          <w:tcPr>
            <w:tcW w:w="670" w:type="pct"/>
            <w:tcBorders>
              <w:tl2br w:val="nil"/>
              <w:tr2bl w:val="nil"/>
            </w:tcBorders>
            <w:vAlign w:val="center"/>
          </w:tcPr>
          <w:p w14:paraId="6408D986">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45.91260</w:t>
            </w:r>
          </w:p>
        </w:tc>
        <w:tc>
          <w:tcPr>
            <w:tcW w:w="373" w:type="pct"/>
            <w:tcBorders>
              <w:tl2br w:val="nil"/>
              <w:tr2bl w:val="nil"/>
            </w:tcBorders>
            <w:vAlign w:val="center"/>
          </w:tcPr>
          <w:p w14:paraId="428DDFB1">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村屯</w:t>
            </w:r>
          </w:p>
        </w:tc>
        <w:tc>
          <w:tcPr>
            <w:tcW w:w="923" w:type="pct"/>
            <w:tcBorders>
              <w:tl2br w:val="nil"/>
              <w:tr2bl w:val="nil"/>
            </w:tcBorders>
            <w:vAlign w:val="center"/>
          </w:tcPr>
          <w:p w14:paraId="57CB665C">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居民约</w:t>
            </w:r>
            <w:r>
              <w:rPr>
                <w:rFonts w:hint="eastAsia" w:ascii="Times New Roman" w:hAnsi="Times New Roman" w:cs="Times New Roman"/>
                <w:color w:val="auto"/>
                <w:w w:val="99"/>
                <w:sz w:val="21"/>
                <w:szCs w:val="21"/>
                <w:highlight w:val="none"/>
              </w:rPr>
              <w:t>3</w:t>
            </w:r>
            <w:r>
              <w:rPr>
                <w:rFonts w:ascii="Times New Roman" w:hAnsi="Times New Roman" w:cs="Times New Roman"/>
                <w:color w:val="auto"/>
                <w:w w:val="99"/>
                <w:sz w:val="21"/>
                <w:szCs w:val="21"/>
                <w:highlight w:val="none"/>
              </w:rPr>
              <w:t>7</w:t>
            </w:r>
            <w:r>
              <w:rPr>
                <w:rFonts w:hint="eastAsia" w:ascii="Times New Roman" w:hAnsi="Times New Roman" w:cs="Times New Roman"/>
                <w:color w:val="auto"/>
                <w:w w:val="99"/>
                <w:sz w:val="21"/>
                <w:szCs w:val="21"/>
                <w:highlight w:val="none"/>
              </w:rPr>
              <w:t>0</w:t>
            </w:r>
            <w:r>
              <w:rPr>
                <w:rFonts w:ascii="Times New Roman" w:hAnsi="Times New Roman" w:cs="Times New Roman"/>
                <w:color w:val="auto"/>
                <w:w w:val="99"/>
                <w:sz w:val="21"/>
                <w:szCs w:val="21"/>
                <w:highlight w:val="none"/>
              </w:rPr>
              <w:t>人</w:t>
            </w:r>
          </w:p>
        </w:tc>
        <w:tc>
          <w:tcPr>
            <w:tcW w:w="453" w:type="pct"/>
            <w:tcBorders>
              <w:tl2br w:val="nil"/>
              <w:tr2bl w:val="nil"/>
            </w:tcBorders>
            <w:vAlign w:val="center"/>
          </w:tcPr>
          <w:p w14:paraId="3122C831">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二类</w:t>
            </w:r>
          </w:p>
        </w:tc>
        <w:tc>
          <w:tcPr>
            <w:tcW w:w="1239" w:type="pct"/>
            <w:tcBorders>
              <w:tl2br w:val="nil"/>
              <w:tr2bl w:val="nil"/>
            </w:tcBorders>
            <w:vAlign w:val="center"/>
          </w:tcPr>
          <w:p w14:paraId="1E66C171">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w:t>
            </w:r>
            <w:r>
              <w:rPr>
                <w:rFonts w:hint="eastAsia" w:ascii="Times New Roman" w:hAnsi="Times New Roman" w:cs="Times New Roman"/>
                <w:color w:val="auto"/>
                <w:w w:val="99"/>
                <w:sz w:val="21"/>
                <w:szCs w:val="21"/>
                <w:highlight w:val="none"/>
              </w:rPr>
              <w:t>1</w:t>
            </w:r>
            <w:r>
              <w:rPr>
                <w:rFonts w:ascii="Times New Roman" w:hAnsi="Times New Roman" w:cs="Times New Roman"/>
                <w:color w:val="auto"/>
                <w:w w:val="99"/>
                <w:sz w:val="21"/>
                <w:szCs w:val="21"/>
                <w:highlight w:val="none"/>
              </w:rPr>
              <w:t>井</w:t>
            </w:r>
            <w:r>
              <w:rPr>
                <w:rFonts w:hint="eastAsia" w:ascii="Times New Roman" w:hAnsi="Times New Roman" w:cs="Times New Roman"/>
                <w:color w:val="auto"/>
                <w:w w:val="99"/>
                <w:sz w:val="21"/>
                <w:szCs w:val="21"/>
                <w:highlight w:val="none"/>
              </w:rPr>
              <w:t>NW2450m</w:t>
            </w:r>
          </w:p>
        </w:tc>
      </w:tr>
      <w:tr w14:paraId="7248F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 w:type="pct"/>
            <w:tcBorders>
              <w:tl2br w:val="nil"/>
              <w:tr2bl w:val="nil"/>
            </w:tcBorders>
            <w:vAlign w:val="center"/>
          </w:tcPr>
          <w:p w14:paraId="15C7E7F5">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西双山屯</w:t>
            </w:r>
          </w:p>
        </w:tc>
        <w:tc>
          <w:tcPr>
            <w:tcW w:w="622" w:type="pct"/>
            <w:tcBorders>
              <w:tl2br w:val="nil"/>
              <w:tr2bl w:val="nil"/>
            </w:tcBorders>
            <w:vAlign w:val="center"/>
          </w:tcPr>
          <w:p w14:paraId="311A6A50">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125.47852</w:t>
            </w:r>
          </w:p>
        </w:tc>
        <w:tc>
          <w:tcPr>
            <w:tcW w:w="670" w:type="pct"/>
            <w:tcBorders>
              <w:tl2br w:val="nil"/>
              <w:tr2bl w:val="nil"/>
            </w:tcBorders>
            <w:vAlign w:val="center"/>
          </w:tcPr>
          <w:p w14:paraId="5D6D3D67">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45.90828</w:t>
            </w:r>
          </w:p>
        </w:tc>
        <w:tc>
          <w:tcPr>
            <w:tcW w:w="373" w:type="pct"/>
            <w:tcBorders>
              <w:tl2br w:val="nil"/>
              <w:tr2bl w:val="nil"/>
            </w:tcBorders>
            <w:vAlign w:val="center"/>
          </w:tcPr>
          <w:p w14:paraId="42D9770D">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村屯</w:t>
            </w:r>
          </w:p>
        </w:tc>
        <w:tc>
          <w:tcPr>
            <w:tcW w:w="923" w:type="pct"/>
            <w:tcBorders>
              <w:tl2br w:val="nil"/>
              <w:tr2bl w:val="nil"/>
            </w:tcBorders>
            <w:vAlign w:val="center"/>
          </w:tcPr>
          <w:p w14:paraId="2BB91760">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居民约</w:t>
            </w:r>
            <w:r>
              <w:rPr>
                <w:rFonts w:hint="eastAsia" w:ascii="Times New Roman" w:hAnsi="Times New Roman" w:cs="Times New Roman"/>
                <w:color w:val="auto"/>
                <w:w w:val="99"/>
                <w:sz w:val="21"/>
                <w:szCs w:val="21"/>
                <w:highlight w:val="none"/>
              </w:rPr>
              <w:t>300</w:t>
            </w:r>
            <w:r>
              <w:rPr>
                <w:rFonts w:ascii="Times New Roman" w:hAnsi="Times New Roman" w:cs="Times New Roman"/>
                <w:color w:val="auto"/>
                <w:w w:val="99"/>
                <w:sz w:val="21"/>
                <w:szCs w:val="21"/>
                <w:highlight w:val="none"/>
              </w:rPr>
              <w:t>人</w:t>
            </w:r>
          </w:p>
        </w:tc>
        <w:tc>
          <w:tcPr>
            <w:tcW w:w="453" w:type="pct"/>
            <w:tcBorders>
              <w:tl2br w:val="nil"/>
              <w:tr2bl w:val="nil"/>
            </w:tcBorders>
            <w:vAlign w:val="center"/>
          </w:tcPr>
          <w:p w14:paraId="76C275B2">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二类</w:t>
            </w:r>
          </w:p>
        </w:tc>
        <w:tc>
          <w:tcPr>
            <w:tcW w:w="1239" w:type="pct"/>
            <w:tcBorders>
              <w:tl2br w:val="nil"/>
              <w:tr2bl w:val="nil"/>
            </w:tcBorders>
            <w:vAlign w:val="center"/>
          </w:tcPr>
          <w:p w14:paraId="1D2A13DE">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徐深27-H1井</w:t>
            </w:r>
            <w:r>
              <w:rPr>
                <w:rFonts w:hint="eastAsia" w:ascii="Times New Roman" w:hAnsi="Times New Roman" w:cs="Times New Roman"/>
                <w:color w:val="auto"/>
                <w:w w:val="99"/>
                <w:sz w:val="21"/>
                <w:szCs w:val="21"/>
                <w:highlight w:val="none"/>
              </w:rPr>
              <w:t>NW2500m</w:t>
            </w:r>
          </w:p>
        </w:tc>
      </w:tr>
      <w:tr w14:paraId="679E2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 w:type="pct"/>
            <w:tcBorders>
              <w:tl2br w:val="nil"/>
              <w:tr2bl w:val="nil"/>
            </w:tcBorders>
            <w:vAlign w:val="center"/>
          </w:tcPr>
          <w:p w14:paraId="74FFEE1E">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新发屯</w:t>
            </w:r>
          </w:p>
        </w:tc>
        <w:tc>
          <w:tcPr>
            <w:tcW w:w="622" w:type="pct"/>
            <w:tcBorders>
              <w:tl2br w:val="nil"/>
              <w:tr2bl w:val="nil"/>
            </w:tcBorders>
            <w:vAlign w:val="center"/>
          </w:tcPr>
          <w:p w14:paraId="195EDABB">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125.47975</w:t>
            </w:r>
          </w:p>
        </w:tc>
        <w:tc>
          <w:tcPr>
            <w:tcW w:w="670" w:type="pct"/>
            <w:tcBorders>
              <w:tl2br w:val="nil"/>
              <w:tr2bl w:val="nil"/>
            </w:tcBorders>
            <w:vAlign w:val="center"/>
          </w:tcPr>
          <w:p w14:paraId="66F9E5B6">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45.88818</w:t>
            </w:r>
          </w:p>
        </w:tc>
        <w:tc>
          <w:tcPr>
            <w:tcW w:w="373" w:type="pct"/>
            <w:tcBorders>
              <w:tl2br w:val="nil"/>
              <w:tr2bl w:val="nil"/>
            </w:tcBorders>
            <w:vAlign w:val="center"/>
          </w:tcPr>
          <w:p w14:paraId="1BEE76A6">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村屯</w:t>
            </w:r>
          </w:p>
        </w:tc>
        <w:tc>
          <w:tcPr>
            <w:tcW w:w="923" w:type="pct"/>
            <w:tcBorders>
              <w:tl2br w:val="nil"/>
              <w:tr2bl w:val="nil"/>
            </w:tcBorders>
            <w:vAlign w:val="center"/>
          </w:tcPr>
          <w:p w14:paraId="264A77A0">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居民约</w:t>
            </w:r>
            <w:r>
              <w:rPr>
                <w:rFonts w:hint="eastAsia" w:ascii="Times New Roman" w:hAnsi="Times New Roman" w:cs="Times New Roman"/>
                <w:color w:val="auto"/>
                <w:w w:val="99"/>
                <w:sz w:val="21"/>
                <w:szCs w:val="21"/>
                <w:highlight w:val="none"/>
              </w:rPr>
              <w:t>150</w:t>
            </w:r>
            <w:r>
              <w:rPr>
                <w:rFonts w:ascii="Times New Roman" w:hAnsi="Times New Roman" w:cs="Times New Roman"/>
                <w:color w:val="auto"/>
                <w:w w:val="99"/>
                <w:sz w:val="21"/>
                <w:szCs w:val="21"/>
                <w:highlight w:val="none"/>
              </w:rPr>
              <w:t>人</w:t>
            </w:r>
          </w:p>
        </w:tc>
        <w:tc>
          <w:tcPr>
            <w:tcW w:w="453" w:type="pct"/>
            <w:tcBorders>
              <w:tl2br w:val="nil"/>
              <w:tr2bl w:val="nil"/>
            </w:tcBorders>
            <w:vAlign w:val="center"/>
          </w:tcPr>
          <w:p w14:paraId="11DC0D3E">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二类</w:t>
            </w:r>
          </w:p>
        </w:tc>
        <w:tc>
          <w:tcPr>
            <w:tcW w:w="1239" w:type="pct"/>
            <w:tcBorders>
              <w:tl2br w:val="nil"/>
              <w:tr2bl w:val="nil"/>
            </w:tcBorders>
            <w:vAlign w:val="center"/>
          </w:tcPr>
          <w:p w14:paraId="41F4CE61">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徐深27-H1井</w:t>
            </w:r>
            <w:r>
              <w:rPr>
                <w:rFonts w:hint="eastAsia" w:ascii="Times New Roman" w:hAnsi="Times New Roman" w:cs="Times New Roman"/>
                <w:color w:val="auto"/>
                <w:w w:val="99"/>
                <w:sz w:val="21"/>
                <w:szCs w:val="21"/>
                <w:highlight w:val="none"/>
              </w:rPr>
              <w:t>W2150m</w:t>
            </w:r>
          </w:p>
        </w:tc>
      </w:tr>
      <w:tr w14:paraId="0024E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 w:type="pct"/>
            <w:tcBorders>
              <w:tl2br w:val="nil"/>
              <w:tr2bl w:val="nil"/>
            </w:tcBorders>
            <w:vAlign w:val="center"/>
          </w:tcPr>
          <w:p w14:paraId="38E449C3">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大太平川</w:t>
            </w:r>
            <w:r>
              <w:rPr>
                <w:rFonts w:hint="eastAsia" w:ascii="Times New Roman" w:hAnsi="Times New Roman" w:cs="Times New Roman"/>
                <w:color w:val="auto"/>
                <w:w w:val="99"/>
                <w:sz w:val="21"/>
                <w:szCs w:val="21"/>
                <w:highlight w:val="none"/>
              </w:rPr>
              <w:t>屯</w:t>
            </w:r>
          </w:p>
        </w:tc>
        <w:tc>
          <w:tcPr>
            <w:tcW w:w="622" w:type="pct"/>
            <w:tcBorders>
              <w:tl2br w:val="nil"/>
              <w:tr2bl w:val="nil"/>
            </w:tcBorders>
            <w:vAlign w:val="center"/>
          </w:tcPr>
          <w:p w14:paraId="28EE8DDD">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125.53798</w:t>
            </w:r>
          </w:p>
        </w:tc>
        <w:tc>
          <w:tcPr>
            <w:tcW w:w="670" w:type="pct"/>
            <w:tcBorders>
              <w:tl2br w:val="nil"/>
              <w:tr2bl w:val="nil"/>
            </w:tcBorders>
            <w:vAlign w:val="center"/>
          </w:tcPr>
          <w:p w14:paraId="62C530D3">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45.90101</w:t>
            </w:r>
          </w:p>
        </w:tc>
        <w:tc>
          <w:tcPr>
            <w:tcW w:w="373" w:type="pct"/>
            <w:tcBorders>
              <w:tl2br w:val="nil"/>
              <w:tr2bl w:val="nil"/>
            </w:tcBorders>
            <w:vAlign w:val="center"/>
          </w:tcPr>
          <w:p w14:paraId="41EEEAD0">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村屯</w:t>
            </w:r>
          </w:p>
        </w:tc>
        <w:tc>
          <w:tcPr>
            <w:tcW w:w="923" w:type="pct"/>
            <w:tcBorders>
              <w:tl2br w:val="nil"/>
              <w:tr2bl w:val="nil"/>
            </w:tcBorders>
            <w:vAlign w:val="center"/>
          </w:tcPr>
          <w:p w14:paraId="05B31771">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居民约</w:t>
            </w:r>
            <w:r>
              <w:rPr>
                <w:rFonts w:hint="eastAsia" w:ascii="Times New Roman" w:hAnsi="Times New Roman" w:cs="Times New Roman"/>
                <w:color w:val="auto"/>
                <w:w w:val="99"/>
                <w:sz w:val="21"/>
                <w:szCs w:val="21"/>
                <w:highlight w:val="none"/>
              </w:rPr>
              <w:t>3</w:t>
            </w:r>
            <w:r>
              <w:rPr>
                <w:rFonts w:ascii="Times New Roman" w:hAnsi="Times New Roman" w:cs="Times New Roman"/>
                <w:color w:val="auto"/>
                <w:w w:val="99"/>
                <w:sz w:val="21"/>
                <w:szCs w:val="21"/>
                <w:highlight w:val="none"/>
              </w:rPr>
              <w:t>20人</w:t>
            </w:r>
          </w:p>
        </w:tc>
        <w:tc>
          <w:tcPr>
            <w:tcW w:w="453" w:type="pct"/>
            <w:tcBorders>
              <w:tl2br w:val="nil"/>
              <w:tr2bl w:val="nil"/>
            </w:tcBorders>
            <w:vAlign w:val="center"/>
          </w:tcPr>
          <w:p w14:paraId="4296F06A">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二类</w:t>
            </w:r>
          </w:p>
        </w:tc>
        <w:tc>
          <w:tcPr>
            <w:tcW w:w="1239" w:type="pct"/>
            <w:tcBorders>
              <w:tl2br w:val="nil"/>
              <w:tr2bl w:val="nil"/>
            </w:tcBorders>
            <w:vAlign w:val="center"/>
          </w:tcPr>
          <w:p w14:paraId="3391EC59">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徐深27-H1井</w:t>
            </w:r>
            <w:r>
              <w:rPr>
                <w:rFonts w:hint="eastAsia" w:ascii="Times New Roman" w:hAnsi="Times New Roman" w:cs="Times New Roman"/>
                <w:color w:val="auto"/>
                <w:w w:val="99"/>
                <w:sz w:val="21"/>
                <w:szCs w:val="21"/>
                <w:highlight w:val="none"/>
              </w:rPr>
              <w:t>NE2150m</w:t>
            </w:r>
          </w:p>
        </w:tc>
      </w:tr>
      <w:tr w14:paraId="291AC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717" w:type="pct"/>
            <w:vMerge w:val="restart"/>
            <w:tcBorders>
              <w:tl2br w:val="nil"/>
              <w:tr2bl w:val="nil"/>
            </w:tcBorders>
            <w:vAlign w:val="center"/>
          </w:tcPr>
          <w:p w14:paraId="224BD3C1">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福龙村（</w:t>
            </w:r>
            <w:r>
              <w:rPr>
                <w:rFonts w:ascii="Times New Roman" w:hAnsi="Times New Roman" w:cs="Times New Roman"/>
                <w:color w:val="auto"/>
                <w:w w:val="99"/>
                <w:sz w:val="21"/>
                <w:szCs w:val="21"/>
                <w:highlight w:val="none"/>
              </w:rPr>
              <w:t>尚家围子</w:t>
            </w:r>
            <w:r>
              <w:rPr>
                <w:rFonts w:hint="eastAsia" w:ascii="Times New Roman" w:hAnsi="Times New Roman" w:cs="Times New Roman"/>
                <w:color w:val="auto"/>
                <w:w w:val="99"/>
                <w:sz w:val="21"/>
                <w:szCs w:val="21"/>
                <w:highlight w:val="none"/>
              </w:rPr>
              <w:t>屯）</w:t>
            </w:r>
          </w:p>
        </w:tc>
        <w:tc>
          <w:tcPr>
            <w:tcW w:w="622" w:type="pct"/>
            <w:vMerge w:val="restart"/>
            <w:tcBorders>
              <w:tl2br w:val="nil"/>
              <w:tr2bl w:val="nil"/>
            </w:tcBorders>
            <w:vAlign w:val="center"/>
          </w:tcPr>
          <w:p w14:paraId="52076157">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125.50234</w:t>
            </w:r>
          </w:p>
        </w:tc>
        <w:tc>
          <w:tcPr>
            <w:tcW w:w="670" w:type="pct"/>
            <w:vMerge w:val="restart"/>
            <w:tcBorders>
              <w:tl2br w:val="nil"/>
              <w:tr2bl w:val="nil"/>
            </w:tcBorders>
            <w:vAlign w:val="center"/>
          </w:tcPr>
          <w:p w14:paraId="002E20C0">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45.89525</w:t>
            </w:r>
          </w:p>
        </w:tc>
        <w:tc>
          <w:tcPr>
            <w:tcW w:w="373" w:type="pct"/>
            <w:vMerge w:val="restart"/>
            <w:tcBorders>
              <w:tl2br w:val="nil"/>
              <w:tr2bl w:val="nil"/>
            </w:tcBorders>
            <w:vAlign w:val="center"/>
          </w:tcPr>
          <w:p w14:paraId="04AB0693">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村屯</w:t>
            </w:r>
          </w:p>
        </w:tc>
        <w:tc>
          <w:tcPr>
            <w:tcW w:w="923" w:type="pct"/>
            <w:vMerge w:val="restart"/>
            <w:tcBorders>
              <w:tl2br w:val="nil"/>
              <w:tr2bl w:val="nil"/>
            </w:tcBorders>
            <w:vAlign w:val="center"/>
          </w:tcPr>
          <w:p w14:paraId="3027D7F2">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居民约</w:t>
            </w:r>
            <w:r>
              <w:rPr>
                <w:rFonts w:hint="eastAsia" w:ascii="Times New Roman" w:hAnsi="Times New Roman" w:cs="Times New Roman"/>
                <w:color w:val="auto"/>
                <w:w w:val="99"/>
                <w:sz w:val="21"/>
                <w:szCs w:val="21"/>
                <w:highlight w:val="none"/>
              </w:rPr>
              <w:t>3</w:t>
            </w:r>
            <w:r>
              <w:rPr>
                <w:rFonts w:ascii="Times New Roman" w:hAnsi="Times New Roman" w:cs="Times New Roman"/>
                <w:color w:val="auto"/>
                <w:w w:val="99"/>
                <w:sz w:val="21"/>
                <w:szCs w:val="21"/>
                <w:highlight w:val="none"/>
              </w:rPr>
              <w:t>90人</w:t>
            </w:r>
          </w:p>
        </w:tc>
        <w:tc>
          <w:tcPr>
            <w:tcW w:w="453" w:type="pct"/>
            <w:vMerge w:val="restart"/>
            <w:tcBorders>
              <w:tl2br w:val="nil"/>
              <w:tr2bl w:val="nil"/>
            </w:tcBorders>
            <w:vAlign w:val="center"/>
          </w:tcPr>
          <w:p w14:paraId="03943D04">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二类</w:t>
            </w:r>
          </w:p>
        </w:tc>
        <w:tc>
          <w:tcPr>
            <w:tcW w:w="1239" w:type="pct"/>
            <w:tcBorders>
              <w:tl2br w:val="nil"/>
              <w:tr2bl w:val="nil"/>
            </w:tcBorders>
            <w:vAlign w:val="center"/>
          </w:tcPr>
          <w:p w14:paraId="68F5646E">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徐深27-H1井</w:t>
            </w:r>
            <w:r>
              <w:rPr>
                <w:rFonts w:hint="eastAsia" w:ascii="Times New Roman" w:hAnsi="Times New Roman" w:cs="Times New Roman"/>
                <w:color w:val="auto"/>
                <w:w w:val="99"/>
                <w:sz w:val="21"/>
                <w:szCs w:val="21"/>
                <w:highlight w:val="none"/>
              </w:rPr>
              <w:t>NW350m</w:t>
            </w:r>
          </w:p>
        </w:tc>
      </w:tr>
      <w:tr w14:paraId="1E450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 w:type="pct"/>
            <w:vMerge w:val="continue"/>
            <w:tcBorders>
              <w:tl2br w:val="nil"/>
              <w:tr2bl w:val="nil"/>
            </w:tcBorders>
            <w:vAlign w:val="center"/>
          </w:tcPr>
          <w:p w14:paraId="03F74550">
            <w:pPr>
              <w:widowControl w:val="0"/>
              <w:spacing w:line="360" w:lineRule="exact"/>
              <w:jc w:val="center"/>
              <w:rPr>
                <w:rFonts w:ascii="Times New Roman" w:hAnsi="Times New Roman" w:cs="Times New Roman"/>
                <w:color w:val="auto"/>
                <w:w w:val="99"/>
                <w:sz w:val="21"/>
                <w:szCs w:val="21"/>
                <w:highlight w:val="none"/>
              </w:rPr>
            </w:pPr>
          </w:p>
        </w:tc>
        <w:tc>
          <w:tcPr>
            <w:tcW w:w="622" w:type="pct"/>
            <w:vMerge w:val="continue"/>
            <w:tcBorders>
              <w:tl2br w:val="nil"/>
              <w:tr2bl w:val="nil"/>
            </w:tcBorders>
            <w:vAlign w:val="center"/>
          </w:tcPr>
          <w:p w14:paraId="402AC1D7">
            <w:pPr>
              <w:widowControl w:val="0"/>
              <w:spacing w:line="360" w:lineRule="exact"/>
              <w:jc w:val="center"/>
              <w:rPr>
                <w:rFonts w:ascii="Times New Roman" w:hAnsi="Times New Roman" w:cs="Times New Roman"/>
                <w:color w:val="auto"/>
                <w:w w:val="99"/>
                <w:sz w:val="21"/>
                <w:szCs w:val="21"/>
                <w:highlight w:val="none"/>
                <w:lang w:eastAsia="en-US"/>
              </w:rPr>
            </w:pPr>
          </w:p>
        </w:tc>
        <w:tc>
          <w:tcPr>
            <w:tcW w:w="670" w:type="pct"/>
            <w:vMerge w:val="continue"/>
            <w:tcBorders>
              <w:tl2br w:val="nil"/>
              <w:tr2bl w:val="nil"/>
            </w:tcBorders>
            <w:vAlign w:val="center"/>
          </w:tcPr>
          <w:p w14:paraId="435B1C4A">
            <w:pPr>
              <w:widowControl w:val="0"/>
              <w:spacing w:line="360" w:lineRule="exact"/>
              <w:jc w:val="center"/>
              <w:rPr>
                <w:rFonts w:ascii="Times New Roman" w:hAnsi="Times New Roman" w:cs="Times New Roman"/>
                <w:color w:val="auto"/>
                <w:w w:val="99"/>
                <w:sz w:val="21"/>
                <w:szCs w:val="21"/>
                <w:highlight w:val="none"/>
                <w:lang w:eastAsia="en-US"/>
              </w:rPr>
            </w:pPr>
          </w:p>
        </w:tc>
        <w:tc>
          <w:tcPr>
            <w:tcW w:w="373" w:type="pct"/>
            <w:vMerge w:val="continue"/>
            <w:tcBorders>
              <w:tl2br w:val="nil"/>
              <w:tr2bl w:val="nil"/>
            </w:tcBorders>
            <w:vAlign w:val="center"/>
          </w:tcPr>
          <w:p w14:paraId="19590BCA">
            <w:pPr>
              <w:widowControl w:val="0"/>
              <w:spacing w:line="360" w:lineRule="exact"/>
              <w:jc w:val="center"/>
              <w:rPr>
                <w:rFonts w:ascii="Times New Roman" w:hAnsi="Times New Roman" w:cs="Times New Roman"/>
                <w:color w:val="auto"/>
                <w:w w:val="99"/>
                <w:sz w:val="21"/>
                <w:szCs w:val="21"/>
                <w:highlight w:val="none"/>
              </w:rPr>
            </w:pPr>
          </w:p>
        </w:tc>
        <w:tc>
          <w:tcPr>
            <w:tcW w:w="923" w:type="pct"/>
            <w:vMerge w:val="continue"/>
            <w:tcBorders>
              <w:tl2br w:val="nil"/>
              <w:tr2bl w:val="nil"/>
            </w:tcBorders>
            <w:vAlign w:val="center"/>
          </w:tcPr>
          <w:p w14:paraId="0826141C">
            <w:pPr>
              <w:widowControl w:val="0"/>
              <w:spacing w:line="360" w:lineRule="exact"/>
              <w:jc w:val="center"/>
              <w:rPr>
                <w:rFonts w:ascii="Times New Roman" w:hAnsi="Times New Roman" w:cs="Times New Roman"/>
                <w:color w:val="auto"/>
                <w:w w:val="99"/>
                <w:sz w:val="21"/>
                <w:szCs w:val="21"/>
                <w:highlight w:val="none"/>
              </w:rPr>
            </w:pPr>
          </w:p>
        </w:tc>
        <w:tc>
          <w:tcPr>
            <w:tcW w:w="453" w:type="pct"/>
            <w:vMerge w:val="continue"/>
            <w:tcBorders>
              <w:tl2br w:val="nil"/>
              <w:tr2bl w:val="nil"/>
            </w:tcBorders>
            <w:vAlign w:val="center"/>
          </w:tcPr>
          <w:p w14:paraId="37DE33D7">
            <w:pPr>
              <w:widowControl w:val="0"/>
              <w:spacing w:line="360" w:lineRule="exact"/>
              <w:jc w:val="center"/>
              <w:rPr>
                <w:rFonts w:ascii="Times New Roman" w:hAnsi="Times New Roman" w:cs="Times New Roman"/>
                <w:color w:val="auto"/>
                <w:w w:val="99"/>
                <w:sz w:val="21"/>
                <w:szCs w:val="21"/>
                <w:highlight w:val="none"/>
              </w:rPr>
            </w:pPr>
          </w:p>
        </w:tc>
        <w:tc>
          <w:tcPr>
            <w:tcW w:w="1239" w:type="pct"/>
            <w:tcBorders>
              <w:tl2br w:val="nil"/>
              <w:tr2bl w:val="nil"/>
            </w:tcBorders>
            <w:vAlign w:val="center"/>
          </w:tcPr>
          <w:p w14:paraId="62778563">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拟建采气管线W1000m</w:t>
            </w:r>
          </w:p>
        </w:tc>
      </w:tr>
      <w:tr w14:paraId="6022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 w:type="pct"/>
            <w:tcBorders>
              <w:tl2br w:val="nil"/>
              <w:tr2bl w:val="nil"/>
            </w:tcBorders>
            <w:vAlign w:val="center"/>
          </w:tcPr>
          <w:p w14:paraId="5A6A576B">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邢家围子</w:t>
            </w:r>
            <w:r>
              <w:rPr>
                <w:rFonts w:hint="eastAsia" w:ascii="Times New Roman" w:hAnsi="Times New Roman" w:cs="Times New Roman"/>
                <w:color w:val="auto"/>
                <w:w w:val="99"/>
                <w:sz w:val="21"/>
                <w:szCs w:val="21"/>
                <w:highlight w:val="none"/>
              </w:rPr>
              <w:t>屯</w:t>
            </w:r>
          </w:p>
        </w:tc>
        <w:tc>
          <w:tcPr>
            <w:tcW w:w="622" w:type="pct"/>
            <w:tcBorders>
              <w:tl2br w:val="nil"/>
              <w:tr2bl w:val="nil"/>
            </w:tcBorders>
            <w:vAlign w:val="center"/>
          </w:tcPr>
          <w:p w14:paraId="3CA88368">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125.51407</w:t>
            </w:r>
          </w:p>
        </w:tc>
        <w:tc>
          <w:tcPr>
            <w:tcW w:w="670" w:type="pct"/>
            <w:tcBorders>
              <w:tl2br w:val="nil"/>
              <w:tr2bl w:val="nil"/>
            </w:tcBorders>
            <w:vAlign w:val="center"/>
          </w:tcPr>
          <w:p w14:paraId="27C5F6F6">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45.89361</w:t>
            </w:r>
          </w:p>
        </w:tc>
        <w:tc>
          <w:tcPr>
            <w:tcW w:w="373" w:type="pct"/>
            <w:tcBorders>
              <w:tl2br w:val="nil"/>
              <w:tr2bl w:val="nil"/>
            </w:tcBorders>
            <w:vAlign w:val="center"/>
          </w:tcPr>
          <w:p w14:paraId="70A00E76">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村屯</w:t>
            </w:r>
          </w:p>
        </w:tc>
        <w:tc>
          <w:tcPr>
            <w:tcW w:w="923" w:type="pct"/>
            <w:tcBorders>
              <w:tl2br w:val="nil"/>
              <w:tr2bl w:val="nil"/>
            </w:tcBorders>
            <w:vAlign w:val="center"/>
          </w:tcPr>
          <w:p w14:paraId="4757AF91">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居民约</w:t>
            </w:r>
            <w:r>
              <w:rPr>
                <w:rFonts w:hint="eastAsia" w:ascii="Times New Roman" w:hAnsi="Times New Roman" w:cs="Times New Roman"/>
                <w:color w:val="auto"/>
                <w:w w:val="99"/>
                <w:sz w:val="21"/>
                <w:szCs w:val="21"/>
                <w:highlight w:val="none"/>
              </w:rPr>
              <w:t>2</w:t>
            </w:r>
            <w:r>
              <w:rPr>
                <w:rFonts w:ascii="Times New Roman" w:hAnsi="Times New Roman" w:cs="Times New Roman"/>
                <w:color w:val="auto"/>
                <w:w w:val="99"/>
                <w:sz w:val="21"/>
                <w:szCs w:val="21"/>
                <w:highlight w:val="none"/>
              </w:rPr>
              <w:t>50人</w:t>
            </w:r>
          </w:p>
        </w:tc>
        <w:tc>
          <w:tcPr>
            <w:tcW w:w="453" w:type="pct"/>
            <w:tcBorders>
              <w:tl2br w:val="nil"/>
              <w:tr2bl w:val="nil"/>
            </w:tcBorders>
            <w:vAlign w:val="center"/>
          </w:tcPr>
          <w:p w14:paraId="09F71A55">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二类</w:t>
            </w:r>
          </w:p>
        </w:tc>
        <w:tc>
          <w:tcPr>
            <w:tcW w:w="1239" w:type="pct"/>
            <w:tcBorders>
              <w:tl2br w:val="nil"/>
              <w:tr2bl w:val="nil"/>
            </w:tcBorders>
            <w:vAlign w:val="center"/>
          </w:tcPr>
          <w:p w14:paraId="67B9DB62">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徐深27-H1井</w:t>
            </w:r>
            <w:r>
              <w:rPr>
                <w:rFonts w:hint="eastAsia" w:ascii="Times New Roman" w:hAnsi="Times New Roman" w:cs="Times New Roman"/>
                <w:color w:val="auto"/>
                <w:w w:val="99"/>
                <w:sz w:val="21"/>
                <w:szCs w:val="21"/>
                <w:highlight w:val="none"/>
              </w:rPr>
              <w:t>E300m</w:t>
            </w:r>
          </w:p>
        </w:tc>
      </w:tr>
      <w:tr w14:paraId="6C979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 w:type="pct"/>
            <w:tcBorders>
              <w:tl2br w:val="nil"/>
              <w:tr2bl w:val="nil"/>
            </w:tcBorders>
            <w:vAlign w:val="center"/>
          </w:tcPr>
          <w:p w14:paraId="1C34FD7E">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后柜</w:t>
            </w:r>
            <w:r>
              <w:rPr>
                <w:rFonts w:hint="eastAsia" w:ascii="Times New Roman" w:hAnsi="Times New Roman" w:cs="Times New Roman"/>
                <w:color w:val="auto"/>
                <w:w w:val="99"/>
                <w:sz w:val="21"/>
                <w:szCs w:val="21"/>
                <w:highlight w:val="none"/>
              </w:rPr>
              <w:t>屯</w:t>
            </w:r>
          </w:p>
        </w:tc>
        <w:tc>
          <w:tcPr>
            <w:tcW w:w="622" w:type="pct"/>
            <w:tcBorders>
              <w:tl2br w:val="nil"/>
              <w:tr2bl w:val="nil"/>
            </w:tcBorders>
            <w:vAlign w:val="center"/>
          </w:tcPr>
          <w:p w14:paraId="37ED9C85">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125.53247</w:t>
            </w:r>
          </w:p>
        </w:tc>
        <w:tc>
          <w:tcPr>
            <w:tcW w:w="670" w:type="pct"/>
            <w:tcBorders>
              <w:tl2br w:val="nil"/>
              <w:tr2bl w:val="nil"/>
            </w:tcBorders>
            <w:vAlign w:val="center"/>
          </w:tcPr>
          <w:p w14:paraId="319A7AAD">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45.88598</w:t>
            </w:r>
          </w:p>
        </w:tc>
        <w:tc>
          <w:tcPr>
            <w:tcW w:w="373" w:type="pct"/>
            <w:tcBorders>
              <w:tl2br w:val="nil"/>
              <w:tr2bl w:val="nil"/>
            </w:tcBorders>
            <w:vAlign w:val="center"/>
          </w:tcPr>
          <w:p w14:paraId="0E6108F5">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村屯</w:t>
            </w:r>
          </w:p>
        </w:tc>
        <w:tc>
          <w:tcPr>
            <w:tcW w:w="923" w:type="pct"/>
            <w:tcBorders>
              <w:tl2br w:val="nil"/>
              <w:tr2bl w:val="nil"/>
            </w:tcBorders>
            <w:vAlign w:val="center"/>
          </w:tcPr>
          <w:p w14:paraId="3BA144C5">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居民约1</w:t>
            </w:r>
            <w:r>
              <w:rPr>
                <w:rFonts w:hint="eastAsia" w:ascii="Times New Roman" w:hAnsi="Times New Roman" w:cs="Times New Roman"/>
                <w:color w:val="auto"/>
                <w:w w:val="99"/>
                <w:sz w:val="21"/>
                <w:szCs w:val="21"/>
                <w:highlight w:val="none"/>
              </w:rPr>
              <w:t>5</w:t>
            </w:r>
            <w:r>
              <w:rPr>
                <w:rFonts w:ascii="Times New Roman" w:hAnsi="Times New Roman" w:cs="Times New Roman"/>
                <w:color w:val="auto"/>
                <w:w w:val="99"/>
                <w:sz w:val="21"/>
                <w:szCs w:val="21"/>
                <w:highlight w:val="none"/>
              </w:rPr>
              <w:t>0人</w:t>
            </w:r>
          </w:p>
        </w:tc>
        <w:tc>
          <w:tcPr>
            <w:tcW w:w="453" w:type="pct"/>
            <w:tcBorders>
              <w:tl2br w:val="nil"/>
              <w:tr2bl w:val="nil"/>
            </w:tcBorders>
            <w:vAlign w:val="center"/>
          </w:tcPr>
          <w:p w14:paraId="34D80206">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二类</w:t>
            </w:r>
          </w:p>
        </w:tc>
        <w:tc>
          <w:tcPr>
            <w:tcW w:w="1239" w:type="pct"/>
            <w:tcBorders>
              <w:tl2br w:val="nil"/>
              <w:tr2bl w:val="nil"/>
            </w:tcBorders>
            <w:vAlign w:val="center"/>
          </w:tcPr>
          <w:p w14:paraId="5DD26C75">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徐深27-H1井</w:t>
            </w:r>
            <w:r>
              <w:rPr>
                <w:rFonts w:hint="eastAsia" w:ascii="Times New Roman" w:hAnsi="Times New Roman" w:cs="Times New Roman"/>
                <w:color w:val="auto"/>
                <w:w w:val="99"/>
                <w:sz w:val="21"/>
                <w:szCs w:val="21"/>
                <w:highlight w:val="none"/>
              </w:rPr>
              <w:t>SE1850m</w:t>
            </w:r>
          </w:p>
        </w:tc>
      </w:tr>
      <w:tr w14:paraId="7E329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 w:type="pct"/>
            <w:tcBorders>
              <w:tl2br w:val="nil"/>
              <w:tr2bl w:val="nil"/>
            </w:tcBorders>
            <w:vAlign w:val="center"/>
          </w:tcPr>
          <w:p w14:paraId="0F1E2D98">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杨</w:t>
            </w:r>
            <w:r>
              <w:rPr>
                <w:rFonts w:hint="eastAsia" w:ascii="Times New Roman" w:hAnsi="Times New Roman" w:cs="Times New Roman"/>
                <w:color w:val="auto"/>
                <w:w w:val="99"/>
                <w:sz w:val="21"/>
                <w:szCs w:val="21"/>
                <w:highlight w:val="none"/>
              </w:rPr>
              <w:t>家</w:t>
            </w:r>
            <w:r>
              <w:rPr>
                <w:rFonts w:ascii="Times New Roman" w:hAnsi="Times New Roman" w:cs="Times New Roman"/>
                <w:color w:val="auto"/>
                <w:w w:val="99"/>
                <w:sz w:val="21"/>
                <w:szCs w:val="21"/>
                <w:highlight w:val="none"/>
              </w:rPr>
              <w:t>屯</w:t>
            </w:r>
          </w:p>
        </w:tc>
        <w:tc>
          <w:tcPr>
            <w:tcW w:w="622" w:type="pct"/>
            <w:tcBorders>
              <w:tl2br w:val="nil"/>
              <w:tr2bl w:val="nil"/>
            </w:tcBorders>
            <w:vAlign w:val="center"/>
          </w:tcPr>
          <w:p w14:paraId="13C7D100">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125.50057</w:t>
            </w:r>
          </w:p>
        </w:tc>
        <w:tc>
          <w:tcPr>
            <w:tcW w:w="670" w:type="pct"/>
            <w:tcBorders>
              <w:tl2br w:val="nil"/>
              <w:tr2bl w:val="nil"/>
            </w:tcBorders>
            <w:vAlign w:val="center"/>
          </w:tcPr>
          <w:p w14:paraId="73A9A9FD">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45.88105</w:t>
            </w:r>
          </w:p>
        </w:tc>
        <w:tc>
          <w:tcPr>
            <w:tcW w:w="373" w:type="pct"/>
            <w:tcBorders>
              <w:tl2br w:val="nil"/>
              <w:tr2bl w:val="nil"/>
            </w:tcBorders>
            <w:vAlign w:val="center"/>
          </w:tcPr>
          <w:p w14:paraId="4EEB4991">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村屯</w:t>
            </w:r>
          </w:p>
        </w:tc>
        <w:tc>
          <w:tcPr>
            <w:tcW w:w="923" w:type="pct"/>
            <w:tcBorders>
              <w:tl2br w:val="nil"/>
              <w:tr2bl w:val="nil"/>
            </w:tcBorders>
            <w:vAlign w:val="center"/>
          </w:tcPr>
          <w:p w14:paraId="337226DA">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居民约</w:t>
            </w:r>
            <w:r>
              <w:rPr>
                <w:rFonts w:hint="eastAsia" w:ascii="Times New Roman" w:hAnsi="Times New Roman" w:cs="Times New Roman"/>
                <w:color w:val="auto"/>
                <w:w w:val="99"/>
                <w:sz w:val="21"/>
                <w:szCs w:val="21"/>
                <w:highlight w:val="none"/>
              </w:rPr>
              <w:t>10</w:t>
            </w:r>
            <w:r>
              <w:rPr>
                <w:rFonts w:ascii="Times New Roman" w:hAnsi="Times New Roman" w:cs="Times New Roman"/>
                <w:color w:val="auto"/>
                <w:w w:val="99"/>
                <w:sz w:val="21"/>
                <w:szCs w:val="21"/>
                <w:highlight w:val="none"/>
              </w:rPr>
              <w:t>0人</w:t>
            </w:r>
          </w:p>
        </w:tc>
        <w:tc>
          <w:tcPr>
            <w:tcW w:w="453" w:type="pct"/>
            <w:tcBorders>
              <w:tl2br w:val="nil"/>
              <w:tr2bl w:val="nil"/>
            </w:tcBorders>
            <w:vAlign w:val="center"/>
          </w:tcPr>
          <w:p w14:paraId="3D49579B">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二类</w:t>
            </w:r>
          </w:p>
        </w:tc>
        <w:tc>
          <w:tcPr>
            <w:tcW w:w="1239" w:type="pct"/>
            <w:tcBorders>
              <w:tl2br w:val="nil"/>
              <w:tr2bl w:val="nil"/>
            </w:tcBorders>
            <w:vAlign w:val="center"/>
          </w:tcPr>
          <w:p w14:paraId="41B2AA0D">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徐深27-H1井</w:t>
            </w:r>
            <w:r>
              <w:rPr>
                <w:rFonts w:hint="eastAsia" w:ascii="Times New Roman" w:hAnsi="Times New Roman" w:cs="Times New Roman"/>
                <w:color w:val="auto"/>
                <w:w w:val="99"/>
                <w:sz w:val="21"/>
                <w:szCs w:val="21"/>
                <w:highlight w:val="none"/>
              </w:rPr>
              <w:t>SW1200m</w:t>
            </w:r>
          </w:p>
        </w:tc>
      </w:tr>
      <w:tr w14:paraId="7A844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 w:type="pct"/>
            <w:tcBorders>
              <w:tl2br w:val="nil"/>
              <w:tr2bl w:val="nil"/>
            </w:tcBorders>
            <w:vAlign w:val="center"/>
          </w:tcPr>
          <w:p w14:paraId="7714FF24">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腰柜</w:t>
            </w:r>
            <w:r>
              <w:rPr>
                <w:rFonts w:hint="eastAsia" w:ascii="Times New Roman" w:hAnsi="Times New Roman" w:cs="Times New Roman"/>
                <w:color w:val="auto"/>
                <w:w w:val="99"/>
                <w:sz w:val="21"/>
                <w:szCs w:val="21"/>
                <w:highlight w:val="none"/>
              </w:rPr>
              <w:t>屯</w:t>
            </w:r>
          </w:p>
        </w:tc>
        <w:tc>
          <w:tcPr>
            <w:tcW w:w="622" w:type="pct"/>
            <w:tcBorders>
              <w:tl2br w:val="nil"/>
              <w:tr2bl w:val="nil"/>
            </w:tcBorders>
            <w:vAlign w:val="center"/>
          </w:tcPr>
          <w:p w14:paraId="7B8D09A0">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125.53764</w:t>
            </w:r>
          </w:p>
        </w:tc>
        <w:tc>
          <w:tcPr>
            <w:tcW w:w="670" w:type="pct"/>
            <w:tcBorders>
              <w:tl2br w:val="nil"/>
              <w:tr2bl w:val="nil"/>
            </w:tcBorders>
            <w:vAlign w:val="center"/>
          </w:tcPr>
          <w:p w14:paraId="6CB74193">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45.88456</w:t>
            </w:r>
          </w:p>
        </w:tc>
        <w:tc>
          <w:tcPr>
            <w:tcW w:w="373" w:type="pct"/>
            <w:tcBorders>
              <w:tl2br w:val="nil"/>
              <w:tr2bl w:val="nil"/>
            </w:tcBorders>
            <w:vAlign w:val="center"/>
          </w:tcPr>
          <w:p w14:paraId="4D5B8762">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村屯</w:t>
            </w:r>
          </w:p>
        </w:tc>
        <w:tc>
          <w:tcPr>
            <w:tcW w:w="923" w:type="pct"/>
            <w:tcBorders>
              <w:tl2br w:val="nil"/>
              <w:tr2bl w:val="nil"/>
            </w:tcBorders>
            <w:vAlign w:val="center"/>
          </w:tcPr>
          <w:p w14:paraId="4B65927E">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居民约1</w:t>
            </w:r>
            <w:r>
              <w:rPr>
                <w:rFonts w:hint="eastAsia" w:ascii="Times New Roman" w:hAnsi="Times New Roman" w:cs="Times New Roman"/>
                <w:color w:val="auto"/>
                <w:w w:val="99"/>
                <w:sz w:val="21"/>
                <w:szCs w:val="21"/>
                <w:highlight w:val="none"/>
              </w:rPr>
              <w:t>5</w:t>
            </w:r>
            <w:r>
              <w:rPr>
                <w:rFonts w:ascii="Times New Roman" w:hAnsi="Times New Roman" w:cs="Times New Roman"/>
                <w:color w:val="auto"/>
                <w:w w:val="99"/>
                <w:sz w:val="21"/>
                <w:szCs w:val="21"/>
                <w:highlight w:val="none"/>
              </w:rPr>
              <w:t>0人</w:t>
            </w:r>
          </w:p>
        </w:tc>
        <w:tc>
          <w:tcPr>
            <w:tcW w:w="453" w:type="pct"/>
            <w:tcBorders>
              <w:tl2br w:val="nil"/>
              <w:tr2bl w:val="nil"/>
            </w:tcBorders>
            <w:vAlign w:val="center"/>
          </w:tcPr>
          <w:p w14:paraId="12B1C817">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二类</w:t>
            </w:r>
          </w:p>
        </w:tc>
        <w:tc>
          <w:tcPr>
            <w:tcW w:w="1239" w:type="pct"/>
            <w:tcBorders>
              <w:tl2br w:val="nil"/>
              <w:tr2bl w:val="nil"/>
            </w:tcBorders>
            <w:vAlign w:val="center"/>
          </w:tcPr>
          <w:p w14:paraId="4955C570">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徐深27-H1井</w:t>
            </w:r>
            <w:r>
              <w:rPr>
                <w:rFonts w:hint="eastAsia" w:ascii="Times New Roman" w:hAnsi="Times New Roman" w:cs="Times New Roman"/>
                <w:color w:val="auto"/>
                <w:w w:val="99"/>
                <w:sz w:val="21"/>
                <w:szCs w:val="21"/>
                <w:highlight w:val="none"/>
              </w:rPr>
              <w:t>SE2200m</w:t>
            </w:r>
          </w:p>
        </w:tc>
      </w:tr>
      <w:tr w14:paraId="627F1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 w:type="pct"/>
            <w:tcBorders>
              <w:tl2br w:val="nil"/>
              <w:tr2bl w:val="nil"/>
            </w:tcBorders>
            <w:vAlign w:val="center"/>
          </w:tcPr>
          <w:p w14:paraId="3F46165C">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崔永宝屯</w:t>
            </w:r>
          </w:p>
        </w:tc>
        <w:tc>
          <w:tcPr>
            <w:tcW w:w="622" w:type="pct"/>
            <w:tcBorders>
              <w:tl2br w:val="nil"/>
              <w:tr2bl w:val="nil"/>
            </w:tcBorders>
            <w:vAlign w:val="center"/>
          </w:tcPr>
          <w:p w14:paraId="7ED4921F">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125.51243</w:t>
            </w:r>
          </w:p>
        </w:tc>
        <w:tc>
          <w:tcPr>
            <w:tcW w:w="670" w:type="pct"/>
            <w:tcBorders>
              <w:tl2br w:val="nil"/>
              <w:tr2bl w:val="nil"/>
            </w:tcBorders>
            <w:vAlign w:val="center"/>
          </w:tcPr>
          <w:p w14:paraId="3BF6B323">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45.87950</w:t>
            </w:r>
          </w:p>
        </w:tc>
        <w:tc>
          <w:tcPr>
            <w:tcW w:w="373" w:type="pct"/>
            <w:tcBorders>
              <w:tl2br w:val="nil"/>
              <w:tr2bl w:val="nil"/>
            </w:tcBorders>
            <w:vAlign w:val="center"/>
          </w:tcPr>
          <w:p w14:paraId="02431392">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村屯</w:t>
            </w:r>
          </w:p>
        </w:tc>
        <w:tc>
          <w:tcPr>
            <w:tcW w:w="923" w:type="pct"/>
            <w:tcBorders>
              <w:tl2br w:val="nil"/>
              <w:tr2bl w:val="nil"/>
            </w:tcBorders>
            <w:vAlign w:val="center"/>
          </w:tcPr>
          <w:p w14:paraId="625270F3">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居民约</w:t>
            </w:r>
            <w:r>
              <w:rPr>
                <w:rFonts w:hint="eastAsia" w:ascii="Times New Roman" w:hAnsi="Times New Roman" w:cs="Times New Roman"/>
                <w:color w:val="auto"/>
                <w:w w:val="99"/>
                <w:sz w:val="21"/>
                <w:szCs w:val="21"/>
                <w:highlight w:val="none"/>
              </w:rPr>
              <w:t>90</w:t>
            </w:r>
            <w:r>
              <w:rPr>
                <w:rFonts w:ascii="Times New Roman" w:hAnsi="Times New Roman" w:cs="Times New Roman"/>
                <w:color w:val="auto"/>
                <w:w w:val="99"/>
                <w:sz w:val="21"/>
                <w:szCs w:val="21"/>
                <w:highlight w:val="none"/>
              </w:rPr>
              <w:t>人</w:t>
            </w:r>
          </w:p>
        </w:tc>
        <w:tc>
          <w:tcPr>
            <w:tcW w:w="453" w:type="pct"/>
            <w:tcBorders>
              <w:tl2br w:val="nil"/>
              <w:tr2bl w:val="nil"/>
            </w:tcBorders>
            <w:vAlign w:val="center"/>
          </w:tcPr>
          <w:p w14:paraId="0FC3FADE">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二类</w:t>
            </w:r>
          </w:p>
        </w:tc>
        <w:tc>
          <w:tcPr>
            <w:tcW w:w="1239" w:type="pct"/>
            <w:tcBorders>
              <w:tl2br w:val="nil"/>
              <w:tr2bl w:val="nil"/>
            </w:tcBorders>
            <w:vAlign w:val="center"/>
          </w:tcPr>
          <w:p w14:paraId="6C7BBFEE">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徐深27-H1井</w:t>
            </w:r>
            <w:r>
              <w:rPr>
                <w:rFonts w:hint="eastAsia" w:ascii="Times New Roman" w:hAnsi="Times New Roman" w:cs="Times New Roman"/>
                <w:color w:val="auto"/>
                <w:w w:val="99"/>
                <w:sz w:val="21"/>
                <w:szCs w:val="21"/>
                <w:highlight w:val="none"/>
              </w:rPr>
              <w:t>S1550m</w:t>
            </w:r>
          </w:p>
        </w:tc>
      </w:tr>
      <w:tr w14:paraId="0BD1E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 w:type="pct"/>
            <w:tcBorders>
              <w:tl2br w:val="nil"/>
              <w:tr2bl w:val="nil"/>
            </w:tcBorders>
            <w:vAlign w:val="center"/>
          </w:tcPr>
          <w:p w14:paraId="3FB79F05">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鹿家屯</w:t>
            </w:r>
          </w:p>
        </w:tc>
        <w:tc>
          <w:tcPr>
            <w:tcW w:w="622" w:type="pct"/>
            <w:tcBorders>
              <w:tl2br w:val="nil"/>
              <w:tr2bl w:val="nil"/>
            </w:tcBorders>
            <w:vAlign w:val="center"/>
          </w:tcPr>
          <w:p w14:paraId="025C5265">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125.51753</w:t>
            </w:r>
          </w:p>
        </w:tc>
        <w:tc>
          <w:tcPr>
            <w:tcW w:w="670" w:type="pct"/>
            <w:tcBorders>
              <w:tl2br w:val="nil"/>
              <w:tr2bl w:val="nil"/>
            </w:tcBorders>
            <w:vAlign w:val="center"/>
          </w:tcPr>
          <w:p w14:paraId="2AD19C6C">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45.88100</w:t>
            </w:r>
          </w:p>
        </w:tc>
        <w:tc>
          <w:tcPr>
            <w:tcW w:w="373" w:type="pct"/>
            <w:tcBorders>
              <w:tl2br w:val="nil"/>
              <w:tr2bl w:val="nil"/>
            </w:tcBorders>
            <w:vAlign w:val="center"/>
          </w:tcPr>
          <w:p w14:paraId="466AA9C3">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村屯</w:t>
            </w:r>
          </w:p>
        </w:tc>
        <w:tc>
          <w:tcPr>
            <w:tcW w:w="923" w:type="pct"/>
            <w:tcBorders>
              <w:tl2br w:val="nil"/>
              <w:tr2bl w:val="nil"/>
            </w:tcBorders>
            <w:vAlign w:val="center"/>
          </w:tcPr>
          <w:p w14:paraId="04FF761C">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居民约</w:t>
            </w:r>
            <w:r>
              <w:rPr>
                <w:rFonts w:hint="eastAsia" w:ascii="Times New Roman" w:hAnsi="Times New Roman" w:cs="Times New Roman"/>
                <w:color w:val="auto"/>
                <w:w w:val="99"/>
                <w:sz w:val="21"/>
                <w:szCs w:val="21"/>
                <w:highlight w:val="none"/>
              </w:rPr>
              <w:t>90</w:t>
            </w:r>
            <w:r>
              <w:rPr>
                <w:rFonts w:ascii="Times New Roman" w:hAnsi="Times New Roman" w:cs="Times New Roman"/>
                <w:color w:val="auto"/>
                <w:w w:val="99"/>
                <w:sz w:val="21"/>
                <w:szCs w:val="21"/>
                <w:highlight w:val="none"/>
              </w:rPr>
              <w:t>人</w:t>
            </w:r>
          </w:p>
        </w:tc>
        <w:tc>
          <w:tcPr>
            <w:tcW w:w="453" w:type="pct"/>
            <w:tcBorders>
              <w:tl2br w:val="nil"/>
              <w:tr2bl w:val="nil"/>
            </w:tcBorders>
            <w:vAlign w:val="center"/>
          </w:tcPr>
          <w:p w14:paraId="5762C299">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二类</w:t>
            </w:r>
          </w:p>
        </w:tc>
        <w:tc>
          <w:tcPr>
            <w:tcW w:w="1239" w:type="pct"/>
            <w:tcBorders>
              <w:tl2br w:val="nil"/>
              <w:tr2bl w:val="nil"/>
            </w:tcBorders>
            <w:vAlign w:val="center"/>
          </w:tcPr>
          <w:p w14:paraId="02D04ACB">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徐深27-H1井</w:t>
            </w:r>
            <w:r>
              <w:rPr>
                <w:rFonts w:hint="eastAsia" w:ascii="Times New Roman" w:hAnsi="Times New Roman" w:cs="Times New Roman"/>
                <w:color w:val="auto"/>
                <w:w w:val="99"/>
                <w:sz w:val="21"/>
                <w:szCs w:val="21"/>
                <w:highlight w:val="none"/>
              </w:rPr>
              <w:t>S1450m</w:t>
            </w:r>
          </w:p>
        </w:tc>
      </w:tr>
    </w:tbl>
    <w:p w14:paraId="0F9A5B02">
      <w:pPr>
        <w:widowControl w:val="0"/>
        <w:spacing w:line="440" w:lineRule="exact"/>
        <w:ind w:firstLine="476" w:firstLineChars="200"/>
        <w:jc w:val="both"/>
        <w:rPr>
          <w:rFonts w:ascii="Times New Roman" w:hAnsi="Times New Roman" w:cs="Times New Roman" w:eastAsiaTheme="minorEastAsia"/>
          <w:b/>
          <w:color w:val="auto"/>
          <w:w w:val="99"/>
          <w:kern w:val="2"/>
          <w:highlight w:val="none"/>
        </w:rPr>
      </w:pPr>
      <w:r>
        <w:rPr>
          <w:rFonts w:ascii="Times New Roman" w:hAnsi="Times New Roman" w:cs="Times New Roman" w:eastAsiaTheme="minorEastAsia"/>
          <w:b/>
          <w:bCs/>
          <w:color w:val="auto"/>
          <w:w w:val="99"/>
          <w:kern w:val="21"/>
          <w:highlight w:val="none"/>
        </w:rPr>
        <w:t>表2.8-2</w:t>
      </w:r>
      <w:r>
        <w:rPr>
          <w:rFonts w:ascii="Times New Roman" w:hAnsi="Times New Roman" w:cs="Times New Roman" w:eastAsiaTheme="minorEastAsia"/>
          <w:b/>
          <w:color w:val="auto"/>
          <w:w w:val="99"/>
          <w:kern w:val="2"/>
          <w:highlight w:val="none"/>
        </w:rPr>
        <w:t xml:space="preserve">    </w:t>
      </w:r>
      <w:r>
        <w:rPr>
          <w:rFonts w:hint="eastAsia" w:ascii="Times New Roman" w:hAnsi="Times New Roman" w:cs="Times New Roman" w:eastAsiaTheme="minorEastAsia"/>
          <w:b/>
          <w:color w:val="auto"/>
          <w:w w:val="99"/>
          <w:kern w:val="2"/>
          <w:highlight w:val="none"/>
        </w:rPr>
        <w:t>环境风险</w:t>
      </w:r>
      <w:r>
        <w:rPr>
          <w:rFonts w:ascii="Times New Roman" w:hAnsi="Times New Roman" w:cs="Times New Roman" w:eastAsiaTheme="minorEastAsia"/>
          <w:b/>
          <w:bCs/>
          <w:color w:val="auto"/>
          <w:w w:val="99"/>
          <w:kern w:val="2"/>
          <w:highlight w:val="none"/>
        </w:rPr>
        <w:t>保护目标调查表</w:t>
      </w:r>
    </w:p>
    <w:tbl>
      <w:tblPr>
        <w:tblStyle w:val="81"/>
        <w:tblW w:w="90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4"/>
        <w:gridCol w:w="1134"/>
        <w:gridCol w:w="2006"/>
        <w:gridCol w:w="1530"/>
        <w:gridCol w:w="3694"/>
      </w:tblGrid>
      <w:tr w14:paraId="51F26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0" w:hRule="atLeast"/>
          <w:jc w:val="center"/>
        </w:trPr>
        <w:tc>
          <w:tcPr>
            <w:tcW w:w="704" w:type="dxa"/>
            <w:vMerge w:val="restart"/>
            <w:vAlign w:val="center"/>
          </w:tcPr>
          <w:p w14:paraId="2FA2230D">
            <w:pPr>
              <w:widowControl w:val="0"/>
              <w:spacing w:line="36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环境要素</w:t>
            </w:r>
          </w:p>
        </w:tc>
        <w:tc>
          <w:tcPr>
            <w:tcW w:w="1134" w:type="dxa"/>
            <w:vMerge w:val="restart"/>
            <w:vAlign w:val="center"/>
          </w:tcPr>
          <w:p w14:paraId="7A277150">
            <w:pPr>
              <w:widowControl w:val="0"/>
              <w:spacing w:line="360" w:lineRule="exact"/>
              <w:jc w:val="both"/>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保护属性</w:t>
            </w:r>
          </w:p>
        </w:tc>
        <w:tc>
          <w:tcPr>
            <w:tcW w:w="2006" w:type="dxa"/>
            <w:vMerge w:val="restart"/>
            <w:vAlign w:val="center"/>
          </w:tcPr>
          <w:p w14:paraId="56330C79">
            <w:pPr>
              <w:widowControl w:val="0"/>
              <w:spacing w:line="36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保护目标</w:t>
            </w:r>
          </w:p>
        </w:tc>
        <w:tc>
          <w:tcPr>
            <w:tcW w:w="1530" w:type="dxa"/>
            <w:vMerge w:val="restart"/>
            <w:vAlign w:val="center"/>
          </w:tcPr>
          <w:p w14:paraId="7F7270AB">
            <w:pPr>
              <w:widowControl w:val="0"/>
              <w:spacing w:line="36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保护对象</w:t>
            </w:r>
          </w:p>
        </w:tc>
        <w:tc>
          <w:tcPr>
            <w:tcW w:w="3694" w:type="dxa"/>
            <w:vMerge w:val="restart"/>
            <w:vAlign w:val="center"/>
          </w:tcPr>
          <w:p w14:paraId="645953D8">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bidi="ar"/>
              </w:rPr>
              <w:t>相对方位及距离</w:t>
            </w:r>
          </w:p>
        </w:tc>
      </w:tr>
      <w:tr w14:paraId="5797A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0" w:hRule="atLeast"/>
          <w:jc w:val="center"/>
        </w:trPr>
        <w:tc>
          <w:tcPr>
            <w:tcW w:w="704" w:type="dxa"/>
            <w:vMerge w:val="continue"/>
            <w:vAlign w:val="center"/>
          </w:tcPr>
          <w:p w14:paraId="5C2215A5">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22A53289">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2006" w:type="dxa"/>
            <w:vMerge w:val="continue"/>
            <w:vAlign w:val="center"/>
          </w:tcPr>
          <w:p w14:paraId="36907235">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530" w:type="dxa"/>
            <w:vMerge w:val="continue"/>
            <w:vAlign w:val="center"/>
          </w:tcPr>
          <w:p w14:paraId="5E7A3D2F">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3694" w:type="dxa"/>
            <w:vMerge w:val="continue"/>
            <w:vAlign w:val="center"/>
          </w:tcPr>
          <w:p w14:paraId="128A1D6D">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r>
      <w:tr w14:paraId="1D87AA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restart"/>
            <w:vAlign w:val="center"/>
          </w:tcPr>
          <w:p w14:paraId="6F04DAF7">
            <w:pPr>
              <w:widowControl w:val="0"/>
              <w:spacing w:line="36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环境风险</w:t>
            </w:r>
          </w:p>
        </w:tc>
        <w:tc>
          <w:tcPr>
            <w:tcW w:w="1134" w:type="dxa"/>
            <w:vMerge w:val="restart"/>
            <w:vAlign w:val="center"/>
          </w:tcPr>
          <w:p w14:paraId="28512B25">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大气</w:t>
            </w:r>
          </w:p>
        </w:tc>
        <w:tc>
          <w:tcPr>
            <w:tcW w:w="2006" w:type="dxa"/>
            <w:vAlign w:val="center"/>
          </w:tcPr>
          <w:p w14:paraId="4CF0F632">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王家围子</w:t>
            </w:r>
            <w:r>
              <w:rPr>
                <w:rFonts w:hint="eastAsia" w:ascii="Times New Roman" w:hAnsi="Times New Roman" w:cs="Times New Roman"/>
                <w:color w:val="auto"/>
                <w:w w:val="99"/>
                <w:sz w:val="21"/>
                <w:szCs w:val="21"/>
                <w:highlight w:val="none"/>
              </w:rPr>
              <w:t>屯</w:t>
            </w:r>
          </w:p>
        </w:tc>
        <w:tc>
          <w:tcPr>
            <w:tcW w:w="1530" w:type="dxa"/>
            <w:vAlign w:val="center"/>
          </w:tcPr>
          <w:p w14:paraId="5321A824">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村屯</w:t>
            </w:r>
          </w:p>
        </w:tc>
        <w:tc>
          <w:tcPr>
            <w:tcW w:w="3694" w:type="dxa"/>
            <w:vAlign w:val="center"/>
          </w:tcPr>
          <w:p w14:paraId="4D3C4DF6">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徐深27-H1井</w:t>
            </w:r>
            <w:r>
              <w:rPr>
                <w:rFonts w:hint="eastAsia" w:ascii="Times New Roman" w:hAnsi="Times New Roman" w:cs="Times New Roman"/>
                <w:color w:val="auto"/>
                <w:w w:val="99"/>
                <w:sz w:val="21"/>
                <w:szCs w:val="21"/>
                <w:highlight w:val="none"/>
              </w:rPr>
              <w:t>NE1500m</w:t>
            </w:r>
          </w:p>
        </w:tc>
      </w:tr>
      <w:tr w14:paraId="789EA2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continue"/>
            <w:vAlign w:val="center"/>
          </w:tcPr>
          <w:p w14:paraId="78B39C1B">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1D78A941">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2006" w:type="dxa"/>
            <w:vAlign w:val="center"/>
          </w:tcPr>
          <w:p w14:paraId="3901D664">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东双山</w:t>
            </w:r>
            <w:r>
              <w:rPr>
                <w:rFonts w:hint="eastAsia" w:ascii="Times New Roman" w:hAnsi="Times New Roman" w:cs="Times New Roman"/>
                <w:color w:val="auto"/>
                <w:w w:val="99"/>
                <w:sz w:val="21"/>
                <w:szCs w:val="21"/>
                <w:highlight w:val="none"/>
              </w:rPr>
              <w:t>屯</w:t>
            </w:r>
          </w:p>
        </w:tc>
        <w:tc>
          <w:tcPr>
            <w:tcW w:w="1530" w:type="dxa"/>
            <w:vAlign w:val="center"/>
          </w:tcPr>
          <w:p w14:paraId="168A8183">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村屯</w:t>
            </w:r>
          </w:p>
        </w:tc>
        <w:tc>
          <w:tcPr>
            <w:tcW w:w="3694" w:type="dxa"/>
            <w:vAlign w:val="center"/>
          </w:tcPr>
          <w:p w14:paraId="5A97477E">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w:t>
            </w:r>
            <w:r>
              <w:rPr>
                <w:rFonts w:hint="eastAsia" w:ascii="Times New Roman" w:hAnsi="Times New Roman" w:cs="Times New Roman"/>
                <w:color w:val="auto"/>
                <w:w w:val="99"/>
                <w:sz w:val="21"/>
                <w:szCs w:val="21"/>
                <w:highlight w:val="none"/>
              </w:rPr>
              <w:t>1</w:t>
            </w:r>
            <w:r>
              <w:rPr>
                <w:rFonts w:ascii="Times New Roman" w:hAnsi="Times New Roman" w:cs="Times New Roman"/>
                <w:color w:val="auto"/>
                <w:w w:val="99"/>
                <w:sz w:val="21"/>
                <w:szCs w:val="21"/>
                <w:highlight w:val="none"/>
              </w:rPr>
              <w:t>井</w:t>
            </w:r>
            <w:r>
              <w:rPr>
                <w:rFonts w:hint="eastAsia" w:ascii="Times New Roman" w:hAnsi="Times New Roman" w:cs="Times New Roman"/>
                <w:color w:val="auto"/>
                <w:w w:val="99"/>
                <w:sz w:val="21"/>
                <w:szCs w:val="21"/>
                <w:highlight w:val="none"/>
              </w:rPr>
              <w:t>NW2450m</w:t>
            </w:r>
          </w:p>
        </w:tc>
      </w:tr>
      <w:tr w14:paraId="06014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continue"/>
            <w:vAlign w:val="center"/>
          </w:tcPr>
          <w:p w14:paraId="78DAB5F3">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798317FF">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2006" w:type="dxa"/>
            <w:vAlign w:val="center"/>
          </w:tcPr>
          <w:p w14:paraId="353C810E">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西双山屯</w:t>
            </w:r>
          </w:p>
        </w:tc>
        <w:tc>
          <w:tcPr>
            <w:tcW w:w="1530" w:type="dxa"/>
            <w:vAlign w:val="center"/>
          </w:tcPr>
          <w:p w14:paraId="6D2FD3D2">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村屯</w:t>
            </w:r>
          </w:p>
        </w:tc>
        <w:tc>
          <w:tcPr>
            <w:tcW w:w="3694" w:type="dxa"/>
            <w:vAlign w:val="center"/>
          </w:tcPr>
          <w:p w14:paraId="5EDE020B">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徐深27-H1井</w:t>
            </w:r>
            <w:r>
              <w:rPr>
                <w:rFonts w:hint="eastAsia" w:ascii="Times New Roman" w:hAnsi="Times New Roman" w:cs="Times New Roman"/>
                <w:color w:val="auto"/>
                <w:w w:val="99"/>
                <w:sz w:val="21"/>
                <w:szCs w:val="21"/>
                <w:highlight w:val="none"/>
              </w:rPr>
              <w:t>NW2500m</w:t>
            </w:r>
          </w:p>
        </w:tc>
      </w:tr>
      <w:tr w14:paraId="5945F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continue"/>
            <w:vAlign w:val="center"/>
          </w:tcPr>
          <w:p w14:paraId="7A6A7D83">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625DFD27">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2006" w:type="dxa"/>
            <w:vAlign w:val="center"/>
          </w:tcPr>
          <w:p w14:paraId="4AC5B708">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新发屯</w:t>
            </w:r>
          </w:p>
        </w:tc>
        <w:tc>
          <w:tcPr>
            <w:tcW w:w="1530" w:type="dxa"/>
            <w:vAlign w:val="center"/>
          </w:tcPr>
          <w:p w14:paraId="1E0B7D08">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村屯</w:t>
            </w:r>
          </w:p>
        </w:tc>
        <w:tc>
          <w:tcPr>
            <w:tcW w:w="3694" w:type="dxa"/>
            <w:vAlign w:val="center"/>
          </w:tcPr>
          <w:p w14:paraId="39C86E8E">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徐深27-H1井</w:t>
            </w:r>
            <w:r>
              <w:rPr>
                <w:rFonts w:hint="eastAsia" w:ascii="Times New Roman" w:hAnsi="Times New Roman" w:cs="Times New Roman"/>
                <w:color w:val="auto"/>
                <w:w w:val="99"/>
                <w:sz w:val="21"/>
                <w:szCs w:val="21"/>
                <w:highlight w:val="none"/>
              </w:rPr>
              <w:t>W2150m</w:t>
            </w:r>
          </w:p>
        </w:tc>
      </w:tr>
      <w:tr w14:paraId="445CA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continue"/>
            <w:vAlign w:val="center"/>
          </w:tcPr>
          <w:p w14:paraId="6D404D55">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56E3ACDD">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2006" w:type="dxa"/>
            <w:vAlign w:val="center"/>
          </w:tcPr>
          <w:p w14:paraId="776B8534">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大太平川</w:t>
            </w:r>
            <w:r>
              <w:rPr>
                <w:rFonts w:hint="eastAsia" w:ascii="Times New Roman" w:hAnsi="Times New Roman" w:cs="Times New Roman"/>
                <w:color w:val="auto"/>
                <w:w w:val="99"/>
                <w:sz w:val="21"/>
                <w:szCs w:val="21"/>
                <w:highlight w:val="none"/>
              </w:rPr>
              <w:t>屯</w:t>
            </w:r>
          </w:p>
        </w:tc>
        <w:tc>
          <w:tcPr>
            <w:tcW w:w="1530" w:type="dxa"/>
            <w:vAlign w:val="center"/>
          </w:tcPr>
          <w:p w14:paraId="72E223CF">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村屯</w:t>
            </w:r>
          </w:p>
        </w:tc>
        <w:tc>
          <w:tcPr>
            <w:tcW w:w="3694" w:type="dxa"/>
            <w:vAlign w:val="center"/>
          </w:tcPr>
          <w:p w14:paraId="6884A938">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徐深27-H1井</w:t>
            </w:r>
            <w:r>
              <w:rPr>
                <w:rFonts w:hint="eastAsia" w:ascii="Times New Roman" w:hAnsi="Times New Roman" w:cs="Times New Roman"/>
                <w:color w:val="auto"/>
                <w:w w:val="99"/>
                <w:sz w:val="21"/>
                <w:szCs w:val="21"/>
                <w:highlight w:val="none"/>
              </w:rPr>
              <w:t>NE2150m</w:t>
            </w:r>
          </w:p>
        </w:tc>
      </w:tr>
      <w:tr w14:paraId="00DF3E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continue"/>
            <w:vAlign w:val="center"/>
          </w:tcPr>
          <w:p w14:paraId="3296809B">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52D09798">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2006" w:type="dxa"/>
            <w:vMerge w:val="restart"/>
            <w:vAlign w:val="center"/>
          </w:tcPr>
          <w:p w14:paraId="27548188">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尚家围子</w:t>
            </w:r>
            <w:r>
              <w:rPr>
                <w:rFonts w:hint="eastAsia" w:ascii="Times New Roman" w:hAnsi="Times New Roman" w:cs="Times New Roman"/>
                <w:color w:val="auto"/>
                <w:w w:val="99"/>
                <w:sz w:val="21"/>
                <w:szCs w:val="21"/>
                <w:highlight w:val="none"/>
              </w:rPr>
              <w:t>屯</w:t>
            </w:r>
          </w:p>
        </w:tc>
        <w:tc>
          <w:tcPr>
            <w:tcW w:w="1530" w:type="dxa"/>
            <w:vMerge w:val="restart"/>
            <w:vAlign w:val="center"/>
          </w:tcPr>
          <w:p w14:paraId="6FF9F3AD">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村屯</w:t>
            </w:r>
          </w:p>
        </w:tc>
        <w:tc>
          <w:tcPr>
            <w:tcW w:w="3694" w:type="dxa"/>
            <w:vAlign w:val="center"/>
          </w:tcPr>
          <w:p w14:paraId="630639AB">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徐深27-H1井</w:t>
            </w:r>
            <w:r>
              <w:rPr>
                <w:rFonts w:hint="eastAsia" w:ascii="Times New Roman" w:hAnsi="Times New Roman" w:cs="Times New Roman"/>
                <w:color w:val="auto"/>
                <w:w w:val="99"/>
                <w:sz w:val="21"/>
                <w:szCs w:val="21"/>
                <w:highlight w:val="none"/>
              </w:rPr>
              <w:t>NW350m</w:t>
            </w:r>
          </w:p>
        </w:tc>
      </w:tr>
      <w:tr w14:paraId="6428E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continue"/>
            <w:vAlign w:val="center"/>
          </w:tcPr>
          <w:p w14:paraId="0F7AC9A0">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7495BAD7">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2006" w:type="dxa"/>
            <w:vMerge w:val="continue"/>
            <w:vAlign w:val="center"/>
          </w:tcPr>
          <w:p w14:paraId="2F2DCCE5">
            <w:pPr>
              <w:widowControl w:val="0"/>
              <w:spacing w:line="360" w:lineRule="exact"/>
              <w:jc w:val="center"/>
              <w:rPr>
                <w:rFonts w:ascii="Times New Roman" w:hAnsi="Times New Roman" w:cs="Times New Roman"/>
                <w:color w:val="auto"/>
                <w:w w:val="99"/>
                <w:sz w:val="21"/>
                <w:szCs w:val="21"/>
                <w:highlight w:val="none"/>
              </w:rPr>
            </w:pPr>
          </w:p>
        </w:tc>
        <w:tc>
          <w:tcPr>
            <w:tcW w:w="1530" w:type="dxa"/>
            <w:vMerge w:val="continue"/>
            <w:vAlign w:val="center"/>
          </w:tcPr>
          <w:p w14:paraId="0B1A35F3">
            <w:pPr>
              <w:widowControl w:val="0"/>
              <w:spacing w:line="360" w:lineRule="exact"/>
              <w:jc w:val="center"/>
              <w:rPr>
                <w:rFonts w:ascii="Times New Roman" w:hAnsi="Times New Roman" w:cs="Times New Roman"/>
                <w:color w:val="auto"/>
                <w:w w:val="99"/>
                <w:sz w:val="21"/>
                <w:szCs w:val="21"/>
                <w:highlight w:val="none"/>
              </w:rPr>
            </w:pPr>
          </w:p>
        </w:tc>
        <w:tc>
          <w:tcPr>
            <w:tcW w:w="3694" w:type="dxa"/>
            <w:vAlign w:val="center"/>
          </w:tcPr>
          <w:p w14:paraId="07946D11">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拟建采气管线W1000m</w:t>
            </w:r>
          </w:p>
        </w:tc>
      </w:tr>
      <w:tr w14:paraId="0E4352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continue"/>
            <w:vAlign w:val="center"/>
          </w:tcPr>
          <w:p w14:paraId="10CF7087">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011CB41A">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2006" w:type="dxa"/>
            <w:vAlign w:val="center"/>
          </w:tcPr>
          <w:p w14:paraId="453600BE">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邢家围子</w:t>
            </w:r>
            <w:r>
              <w:rPr>
                <w:rFonts w:hint="eastAsia" w:ascii="Times New Roman" w:hAnsi="Times New Roman" w:cs="Times New Roman"/>
                <w:color w:val="auto"/>
                <w:w w:val="99"/>
                <w:sz w:val="21"/>
                <w:szCs w:val="21"/>
                <w:highlight w:val="none"/>
              </w:rPr>
              <w:t>屯</w:t>
            </w:r>
          </w:p>
        </w:tc>
        <w:tc>
          <w:tcPr>
            <w:tcW w:w="1530" w:type="dxa"/>
            <w:vAlign w:val="center"/>
          </w:tcPr>
          <w:p w14:paraId="43C754D0">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村屯</w:t>
            </w:r>
          </w:p>
        </w:tc>
        <w:tc>
          <w:tcPr>
            <w:tcW w:w="3694" w:type="dxa"/>
            <w:vAlign w:val="center"/>
          </w:tcPr>
          <w:p w14:paraId="510D820F">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徐深27-H1井</w:t>
            </w:r>
            <w:r>
              <w:rPr>
                <w:rFonts w:hint="eastAsia" w:ascii="Times New Roman" w:hAnsi="Times New Roman" w:cs="Times New Roman"/>
                <w:color w:val="auto"/>
                <w:w w:val="99"/>
                <w:sz w:val="21"/>
                <w:szCs w:val="21"/>
                <w:highlight w:val="none"/>
              </w:rPr>
              <w:t>E300m</w:t>
            </w:r>
          </w:p>
        </w:tc>
      </w:tr>
      <w:tr w14:paraId="23F30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continue"/>
            <w:vAlign w:val="center"/>
          </w:tcPr>
          <w:p w14:paraId="47CAF076">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4F77AEBD">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2006" w:type="dxa"/>
            <w:vAlign w:val="center"/>
          </w:tcPr>
          <w:p w14:paraId="3D777AA0">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后柜</w:t>
            </w:r>
            <w:r>
              <w:rPr>
                <w:rFonts w:hint="eastAsia" w:ascii="Times New Roman" w:hAnsi="Times New Roman" w:cs="Times New Roman"/>
                <w:color w:val="auto"/>
                <w:w w:val="99"/>
                <w:sz w:val="21"/>
                <w:szCs w:val="21"/>
                <w:highlight w:val="none"/>
              </w:rPr>
              <w:t>屯</w:t>
            </w:r>
          </w:p>
        </w:tc>
        <w:tc>
          <w:tcPr>
            <w:tcW w:w="1530" w:type="dxa"/>
            <w:vAlign w:val="center"/>
          </w:tcPr>
          <w:p w14:paraId="2BA83088">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村屯</w:t>
            </w:r>
          </w:p>
        </w:tc>
        <w:tc>
          <w:tcPr>
            <w:tcW w:w="3694" w:type="dxa"/>
            <w:vAlign w:val="center"/>
          </w:tcPr>
          <w:p w14:paraId="6E5A942A">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徐深27-H1井</w:t>
            </w:r>
            <w:r>
              <w:rPr>
                <w:rFonts w:hint="eastAsia" w:ascii="Times New Roman" w:hAnsi="Times New Roman" w:cs="Times New Roman"/>
                <w:color w:val="auto"/>
                <w:w w:val="99"/>
                <w:sz w:val="21"/>
                <w:szCs w:val="21"/>
                <w:highlight w:val="none"/>
              </w:rPr>
              <w:t>SE1850m</w:t>
            </w:r>
          </w:p>
        </w:tc>
      </w:tr>
      <w:tr w14:paraId="48EF8D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continue"/>
            <w:vAlign w:val="center"/>
          </w:tcPr>
          <w:p w14:paraId="3DBC1E2A">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74DE0D1E">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2006" w:type="dxa"/>
            <w:vAlign w:val="center"/>
          </w:tcPr>
          <w:p w14:paraId="05AA2C44">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杨</w:t>
            </w:r>
            <w:r>
              <w:rPr>
                <w:rFonts w:hint="eastAsia" w:ascii="Times New Roman" w:hAnsi="Times New Roman" w:cs="Times New Roman"/>
                <w:color w:val="auto"/>
                <w:w w:val="99"/>
                <w:sz w:val="21"/>
                <w:szCs w:val="21"/>
                <w:highlight w:val="none"/>
              </w:rPr>
              <w:t>家</w:t>
            </w:r>
            <w:r>
              <w:rPr>
                <w:rFonts w:ascii="Times New Roman" w:hAnsi="Times New Roman" w:cs="Times New Roman"/>
                <w:color w:val="auto"/>
                <w:w w:val="99"/>
                <w:sz w:val="21"/>
                <w:szCs w:val="21"/>
                <w:highlight w:val="none"/>
              </w:rPr>
              <w:t>屯</w:t>
            </w:r>
          </w:p>
        </w:tc>
        <w:tc>
          <w:tcPr>
            <w:tcW w:w="1530" w:type="dxa"/>
            <w:vAlign w:val="center"/>
          </w:tcPr>
          <w:p w14:paraId="6C70E3A0">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村屯</w:t>
            </w:r>
          </w:p>
        </w:tc>
        <w:tc>
          <w:tcPr>
            <w:tcW w:w="3694" w:type="dxa"/>
            <w:vAlign w:val="center"/>
          </w:tcPr>
          <w:p w14:paraId="41D9506F">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徐深27-H1井</w:t>
            </w:r>
            <w:r>
              <w:rPr>
                <w:rFonts w:hint="eastAsia" w:ascii="Times New Roman" w:hAnsi="Times New Roman" w:cs="Times New Roman"/>
                <w:color w:val="auto"/>
                <w:w w:val="99"/>
                <w:sz w:val="21"/>
                <w:szCs w:val="21"/>
                <w:highlight w:val="none"/>
              </w:rPr>
              <w:t>SW1200m</w:t>
            </w:r>
          </w:p>
        </w:tc>
      </w:tr>
      <w:tr w14:paraId="40DDD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continue"/>
            <w:vAlign w:val="center"/>
          </w:tcPr>
          <w:p w14:paraId="2925F5D4">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3054893A">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2006" w:type="dxa"/>
            <w:vAlign w:val="center"/>
          </w:tcPr>
          <w:p w14:paraId="36214D4A">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腰柜</w:t>
            </w:r>
            <w:r>
              <w:rPr>
                <w:rFonts w:hint="eastAsia" w:ascii="Times New Roman" w:hAnsi="Times New Roman" w:cs="Times New Roman"/>
                <w:color w:val="auto"/>
                <w:w w:val="99"/>
                <w:sz w:val="21"/>
                <w:szCs w:val="21"/>
                <w:highlight w:val="none"/>
              </w:rPr>
              <w:t>屯</w:t>
            </w:r>
          </w:p>
        </w:tc>
        <w:tc>
          <w:tcPr>
            <w:tcW w:w="1530" w:type="dxa"/>
            <w:vAlign w:val="center"/>
          </w:tcPr>
          <w:p w14:paraId="369ED3D8">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村屯</w:t>
            </w:r>
          </w:p>
        </w:tc>
        <w:tc>
          <w:tcPr>
            <w:tcW w:w="3694" w:type="dxa"/>
            <w:vAlign w:val="center"/>
          </w:tcPr>
          <w:p w14:paraId="0631D5A5">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徐深27-H1井</w:t>
            </w:r>
            <w:r>
              <w:rPr>
                <w:rFonts w:hint="eastAsia" w:ascii="Times New Roman" w:hAnsi="Times New Roman" w:cs="Times New Roman"/>
                <w:color w:val="auto"/>
                <w:w w:val="99"/>
                <w:sz w:val="21"/>
                <w:szCs w:val="21"/>
                <w:highlight w:val="none"/>
              </w:rPr>
              <w:t>SE2200m</w:t>
            </w:r>
          </w:p>
        </w:tc>
      </w:tr>
      <w:tr w14:paraId="3B8AB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0" w:hRule="atLeast"/>
          <w:jc w:val="center"/>
        </w:trPr>
        <w:tc>
          <w:tcPr>
            <w:tcW w:w="704" w:type="dxa"/>
            <w:vMerge w:val="continue"/>
            <w:vAlign w:val="center"/>
          </w:tcPr>
          <w:p w14:paraId="1A4FD902">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0444E5FD">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2006" w:type="dxa"/>
            <w:vAlign w:val="center"/>
          </w:tcPr>
          <w:p w14:paraId="6237E097">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崔永宝屯</w:t>
            </w:r>
          </w:p>
        </w:tc>
        <w:tc>
          <w:tcPr>
            <w:tcW w:w="1530" w:type="dxa"/>
            <w:vAlign w:val="center"/>
          </w:tcPr>
          <w:p w14:paraId="14AFFE37">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村屯</w:t>
            </w:r>
          </w:p>
        </w:tc>
        <w:tc>
          <w:tcPr>
            <w:tcW w:w="3694" w:type="dxa"/>
            <w:vAlign w:val="center"/>
          </w:tcPr>
          <w:p w14:paraId="3EB83309">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徐深27-H1井</w:t>
            </w:r>
            <w:r>
              <w:rPr>
                <w:rFonts w:hint="eastAsia" w:ascii="Times New Roman" w:hAnsi="Times New Roman" w:cs="Times New Roman"/>
                <w:color w:val="auto"/>
                <w:w w:val="99"/>
                <w:sz w:val="21"/>
                <w:szCs w:val="21"/>
                <w:highlight w:val="none"/>
              </w:rPr>
              <w:t>S1550m</w:t>
            </w:r>
          </w:p>
        </w:tc>
      </w:tr>
      <w:tr w14:paraId="030CF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continue"/>
            <w:vAlign w:val="center"/>
          </w:tcPr>
          <w:p w14:paraId="547A1130">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69F23CEB">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2006" w:type="dxa"/>
            <w:vAlign w:val="center"/>
          </w:tcPr>
          <w:p w14:paraId="0D180573">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鹿家屯</w:t>
            </w:r>
          </w:p>
        </w:tc>
        <w:tc>
          <w:tcPr>
            <w:tcW w:w="1530" w:type="dxa"/>
            <w:vAlign w:val="center"/>
          </w:tcPr>
          <w:p w14:paraId="6D95CCD7">
            <w:pPr>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村屯</w:t>
            </w:r>
          </w:p>
        </w:tc>
        <w:tc>
          <w:tcPr>
            <w:tcW w:w="3694" w:type="dxa"/>
            <w:vAlign w:val="center"/>
          </w:tcPr>
          <w:p w14:paraId="26E0398F">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徐深27-H1井</w:t>
            </w:r>
            <w:r>
              <w:rPr>
                <w:rFonts w:hint="eastAsia" w:ascii="Times New Roman" w:hAnsi="Times New Roman" w:cs="Times New Roman"/>
                <w:color w:val="auto"/>
                <w:w w:val="99"/>
                <w:sz w:val="21"/>
                <w:szCs w:val="21"/>
                <w:highlight w:val="none"/>
              </w:rPr>
              <w:t>S1450m</w:t>
            </w:r>
          </w:p>
        </w:tc>
      </w:tr>
      <w:tr w14:paraId="2893F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continue"/>
            <w:vAlign w:val="center"/>
          </w:tcPr>
          <w:p w14:paraId="23FA26AE">
            <w:pPr>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Align w:val="center"/>
          </w:tcPr>
          <w:p w14:paraId="4EAA948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地下水</w:t>
            </w:r>
          </w:p>
        </w:tc>
        <w:tc>
          <w:tcPr>
            <w:tcW w:w="3536" w:type="dxa"/>
            <w:gridSpan w:val="2"/>
            <w:vAlign w:val="center"/>
          </w:tcPr>
          <w:p w14:paraId="01114CE0">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评价范围内潜水含水层、具有饮用价值的承压水含水层、饮用水源井</w:t>
            </w:r>
          </w:p>
        </w:tc>
        <w:tc>
          <w:tcPr>
            <w:tcW w:w="3694" w:type="dxa"/>
            <w:vAlign w:val="center"/>
          </w:tcPr>
          <w:p w14:paraId="0FBEDF95">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《地下水质量标准》（GB/T14848-2017）</w:t>
            </w:r>
            <w:r>
              <w:rPr>
                <w:rFonts w:ascii="Times New Roman" w:hAnsi="Times New Roman" w:cs="Times New Roman"/>
                <w:color w:val="auto"/>
                <w:w w:val="99"/>
                <w:kern w:val="2"/>
                <w:sz w:val="21"/>
                <w:szCs w:val="21"/>
                <w:highlight w:val="none"/>
              </w:rPr>
              <w:t>Ⅲ</w:t>
            </w:r>
            <w:r>
              <w:rPr>
                <w:rFonts w:ascii="Times New Roman" w:hAnsi="Times New Roman" w:cs="Times New Roman" w:eastAsiaTheme="minorEastAsia"/>
                <w:color w:val="auto"/>
                <w:w w:val="99"/>
                <w:kern w:val="2"/>
                <w:sz w:val="21"/>
                <w:szCs w:val="21"/>
                <w:highlight w:val="none"/>
              </w:rPr>
              <w:t>类标准</w:t>
            </w:r>
          </w:p>
        </w:tc>
      </w:tr>
    </w:tbl>
    <w:p w14:paraId="50AD0D66">
      <w:pPr>
        <w:widowControl w:val="0"/>
        <w:spacing w:line="440" w:lineRule="exact"/>
        <w:ind w:firstLine="476" w:firstLineChars="200"/>
        <w:rPr>
          <w:rFonts w:ascii="Times New Roman" w:hAnsi="Times New Roman" w:cs="Times New Roman"/>
          <w:b/>
          <w:bCs/>
          <w:color w:val="auto"/>
          <w:w w:val="99"/>
          <w:kern w:val="21"/>
          <w:highlight w:val="none"/>
        </w:rPr>
      </w:pPr>
      <w:r>
        <w:rPr>
          <w:rFonts w:ascii="Times New Roman" w:hAnsi="Times New Roman" w:cs="Times New Roman"/>
          <w:b/>
          <w:bCs/>
          <w:color w:val="auto"/>
          <w:w w:val="99"/>
          <w:kern w:val="21"/>
          <w:highlight w:val="none"/>
        </w:rPr>
        <w:t>表2.8-3    地下水环境保护目标表</w:t>
      </w:r>
    </w:p>
    <w:tbl>
      <w:tblPr>
        <w:tblStyle w:val="81"/>
        <w:tblW w:w="4995" w:type="pct"/>
        <w:tblInd w:w="0" w:type="dxa"/>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Layout w:type="fixed"/>
        <w:tblCellMar>
          <w:top w:w="0" w:type="dxa"/>
          <w:left w:w="0" w:type="dxa"/>
          <w:bottom w:w="0" w:type="dxa"/>
          <w:right w:w="0" w:type="dxa"/>
        </w:tblCellMar>
      </w:tblPr>
      <w:tblGrid>
        <w:gridCol w:w="580"/>
        <w:gridCol w:w="1159"/>
        <w:gridCol w:w="1704"/>
        <w:gridCol w:w="4173"/>
        <w:gridCol w:w="1615"/>
      </w:tblGrid>
      <w:tr w14:paraId="14F4E840">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PrEx>
        <w:trPr>
          <w:trHeight w:val="340" w:hRule="atLeast"/>
        </w:trPr>
        <w:tc>
          <w:tcPr>
            <w:tcW w:w="314" w:type="pct"/>
            <w:tcBorders>
              <w:tl2br w:val="nil"/>
              <w:tr2bl w:val="nil"/>
            </w:tcBorders>
            <w:tcMar>
              <w:top w:w="0" w:type="dxa"/>
              <w:left w:w="85" w:type="dxa"/>
              <w:bottom w:w="0" w:type="dxa"/>
              <w:right w:w="85" w:type="dxa"/>
            </w:tcMar>
            <w:vAlign w:val="center"/>
          </w:tcPr>
          <w:p w14:paraId="19E7D890">
            <w:pPr>
              <w:pStyle w:val="178"/>
              <w:widowControl w:val="0"/>
              <w:autoSpaceDE w:val="0"/>
              <w:autoSpaceDN w:val="0"/>
              <w:spacing w:line="360" w:lineRule="exact"/>
              <w:ind w:firstLine="0"/>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序号</w:t>
            </w:r>
          </w:p>
        </w:tc>
        <w:tc>
          <w:tcPr>
            <w:tcW w:w="627" w:type="pct"/>
            <w:tcBorders>
              <w:tl2br w:val="nil"/>
              <w:tr2bl w:val="nil"/>
            </w:tcBorders>
            <w:tcMar>
              <w:top w:w="0" w:type="dxa"/>
              <w:left w:w="85" w:type="dxa"/>
              <w:bottom w:w="0" w:type="dxa"/>
              <w:right w:w="85" w:type="dxa"/>
            </w:tcMar>
            <w:vAlign w:val="center"/>
          </w:tcPr>
          <w:p w14:paraId="6E6BC7A7">
            <w:pPr>
              <w:pStyle w:val="178"/>
              <w:widowControl w:val="0"/>
              <w:autoSpaceDE w:val="0"/>
              <w:autoSpaceDN w:val="0"/>
              <w:spacing w:line="360" w:lineRule="exact"/>
              <w:ind w:firstLine="0"/>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保护目标</w:t>
            </w:r>
          </w:p>
        </w:tc>
        <w:tc>
          <w:tcPr>
            <w:tcW w:w="923" w:type="pct"/>
            <w:tcBorders>
              <w:tl2br w:val="nil"/>
              <w:tr2bl w:val="nil"/>
            </w:tcBorders>
            <w:tcMar>
              <w:top w:w="0" w:type="dxa"/>
              <w:left w:w="85" w:type="dxa"/>
              <w:bottom w:w="0" w:type="dxa"/>
              <w:right w:w="85" w:type="dxa"/>
            </w:tcMar>
            <w:vAlign w:val="center"/>
          </w:tcPr>
          <w:p w14:paraId="37D74C7A">
            <w:pPr>
              <w:pStyle w:val="178"/>
              <w:widowControl w:val="0"/>
              <w:autoSpaceDE w:val="0"/>
              <w:autoSpaceDN w:val="0"/>
              <w:spacing w:line="360" w:lineRule="exact"/>
              <w:ind w:firstLine="0"/>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与本项目相对位置、距离</w:t>
            </w:r>
          </w:p>
        </w:tc>
        <w:tc>
          <w:tcPr>
            <w:tcW w:w="2259" w:type="pct"/>
            <w:tcBorders>
              <w:tl2br w:val="nil"/>
              <w:tr2bl w:val="nil"/>
            </w:tcBorders>
            <w:tcMar>
              <w:top w:w="0" w:type="dxa"/>
              <w:left w:w="85" w:type="dxa"/>
              <w:bottom w:w="0" w:type="dxa"/>
              <w:right w:w="85" w:type="dxa"/>
            </w:tcMar>
            <w:vAlign w:val="center"/>
          </w:tcPr>
          <w:p w14:paraId="599DB312">
            <w:pPr>
              <w:pStyle w:val="178"/>
              <w:widowControl w:val="0"/>
              <w:autoSpaceDE w:val="0"/>
              <w:autoSpaceDN w:val="0"/>
              <w:spacing w:line="360" w:lineRule="exact"/>
              <w:ind w:firstLine="0"/>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规模</w:t>
            </w:r>
          </w:p>
        </w:tc>
        <w:tc>
          <w:tcPr>
            <w:tcW w:w="875" w:type="pct"/>
            <w:tcBorders>
              <w:tl2br w:val="nil"/>
              <w:tr2bl w:val="nil"/>
            </w:tcBorders>
            <w:tcMar>
              <w:top w:w="0" w:type="dxa"/>
              <w:left w:w="85" w:type="dxa"/>
              <w:bottom w:w="0" w:type="dxa"/>
              <w:right w:w="85" w:type="dxa"/>
            </w:tcMar>
            <w:vAlign w:val="center"/>
          </w:tcPr>
          <w:p w14:paraId="11EB8FB6">
            <w:pPr>
              <w:pStyle w:val="178"/>
              <w:widowControl w:val="0"/>
              <w:autoSpaceDE w:val="0"/>
              <w:autoSpaceDN w:val="0"/>
              <w:spacing w:line="360" w:lineRule="exact"/>
              <w:ind w:firstLine="0"/>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保护级别</w:t>
            </w:r>
          </w:p>
        </w:tc>
      </w:tr>
      <w:tr w14:paraId="37C3BA3A">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314" w:type="pct"/>
            <w:tcBorders>
              <w:tl2br w:val="nil"/>
              <w:tr2bl w:val="nil"/>
            </w:tcBorders>
            <w:tcMar>
              <w:top w:w="0" w:type="dxa"/>
              <w:left w:w="85" w:type="dxa"/>
              <w:bottom w:w="0" w:type="dxa"/>
              <w:right w:w="85" w:type="dxa"/>
            </w:tcMar>
            <w:vAlign w:val="center"/>
          </w:tcPr>
          <w:p w14:paraId="127E9C65">
            <w:pPr>
              <w:pStyle w:val="178"/>
              <w:widowControl w:val="0"/>
              <w:autoSpaceDE w:val="0"/>
              <w:autoSpaceDN w:val="0"/>
              <w:spacing w:line="360" w:lineRule="exact"/>
              <w:ind w:firstLine="0"/>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1</w:t>
            </w:r>
          </w:p>
        </w:tc>
        <w:tc>
          <w:tcPr>
            <w:tcW w:w="627" w:type="pct"/>
            <w:tcBorders>
              <w:tl2br w:val="nil"/>
              <w:tr2bl w:val="nil"/>
            </w:tcBorders>
            <w:tcMar>
              <w:top w:w="0" w:type="dxa"/>
              <w:left w:w="85" w:type="dxa"/>
              <w:bottom w:w="0" w:type="dxa"/>
              <w:right w:w="85" w:type="dxa"/>
            </w:tcMar>
            <w:vAlign w:val="center"/>
          </w:tcPr>
          <w:p w14:paraId="1E428A90">
            <w:pPr>
              <w:widowControl w:val="0"/>
              <w:adjustRightInd w:val="0"/>
              <w:snapToGrid w:val="0"/>
              <w:ind w:firstLine="4"/>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eastAsia="en-US"/>
              </w:rPr>
              <w:t>邢家围子水井</w:t>
            </w:r>
          </w:p>
        </w:tc>
        <w:tc>
          <w:tcPr>
            <w:tcW w:w="923" w:type="pct"/>
            <w:tcBorders>
              <w:tl2br w:val="nil"/>
              <w:tr2bl w:val="nil"/>
            </w:tcBorders>
            <w:tcMar>
              <w:top w:w="0" w:type="dxa"/>
              <w:left w:w="85" w:type="dxa"/>
              <w:bottom w:w="0" w:type="dxa"/>
              <w:right w:w="85" w:type="dxa"/>
            </w:tcMar>
            <w:vAlign w:val="center"/>
          </w:tcPr>
          <w:p w14:paraId="79CA6ECE">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徐深27-H1井</w:t>
            </w:r>
            <w:r>
              <w:rPr>
                <w:rFonts w:hint="eastAsia" w:ascii="Times New Roman" w:hAnsi="Times New Roman" w:cs="Times New Roman" w:eastAsiaTheme="minorEastAsia"/>
                <w:color w:val="auto"/>
                <w:w w:val="99"/>
                <w:sz w:val="21"/>
                <w:szCs w:val="21"/>
                <w:highlight w:val="none"/>
              </w:rPr>
              <w:t>EN380m</w:t>
            </w:r>
          </w:p>
          <w:p w14:paraId="6609D363">
            <w:pPr>
              <w:pStyle w:val="103"/>
              <w:rPr>
                <w:color w:val="auto"/>
                <w:highlight w:val="none"/>
              </w:rPr>
            </w:pPr>
            <w:r>
              <w:rPr>
                <w:rFonts w:hint="eastAsia" w:ascii="Times New Roman" w:hAnsi="Times New Roman"/>
                <w:color w:val="auto"/>
                <w:w w:val="99"/>
                <w:sz w:val="21"/>
                <w:szCs w:val="21"/>
                <w:highlight w:val="none"/>
              </w:rPr>
              <w:t>采气管道E300m</w:t>
            </w:r>
          </w:p>
        </w:tc>
        <w:tc>
          <w:tcPr>
            <w:tcW w:w="2259" w:type="pct"/>
            <w:tcBorders>
              <w:tl2br w:val="nil"/>
              <w:tr2bl w:val="nil"/>
            </w:tcBorders>
            <w:tcMar>
              <w:top w:w="0" w:type="dxa"/>
              <w:left w:w="85" w:type="dxa"/>
              <w:bottom w:w="0" w:type="dxa"/>
              <w:right w:w="85" w:type="dxa"/>
            </w:tcMar>
            <w:vAlign w:val="center"/>
          </w:tcPr>
          <w:p w14:paraId="21FF753A">
            <w:pPr>
              <w:widowControl w:val="0"/>
              <w:spacing w:line="2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有1口</w:t>
            </w:r>
            <w:r>
              <w:rPr>
                <w:rFonts w:hint="eastAsia" w:ascii="Times New Roman" w:hAnsi="Times New Roman" w:cs="Times New Roman" w:eastAsiaTheme="minorEastAsia"/>
                <w:color w:val="auto"/>
                <w:w w:val="99"/>
                <w:sz w:val="21"/>
                <w:szCs w:val="21"/>
                <w:highlight w:val="none"/>
              </w:rPr>
              <w:t>水源</w:t>
            </w:r>
            <w:r>
              <w:rPr>
                <w:rFonts w:ascii="Times New Roman" w:hAnsi="Times New Roman" w:cs="Times New Roman" w:eastAsiaTheme="minorEastAsia"/>
                <w:color w:val="auto"/>
                <w:w w:val="99"/>
                <w:sz w:val="21"/>
                <w:szCs w:val="21"/>
                <w:highlight w:val="none"/>
              </w:rPr>
              <w:t>井位于屯东侧，井深110m，供本屯约</w:t>
            </w:r>
            <w:r>
              <w:rPr>
                <w:rFonts w:hint="eastAsia" w:ascii="Times New Roman" w:hAnsi="Times New Roman" w:cs="Times New Roman" w:eastAsiaTheme="minorEastAsia"/>
                <w:color w:val="auto"/>
                <w:w w:val="99"/>
                <w:sz w:val="21"/>
                <w:szCs w:val="21"/>
                <w:highlight w:val="none"/>
              </w:rPr>
              <w:t>2</w:t>
            </w:r>
            <w:r>
              <w:rPr>
                <w:rFonts w:ascii="Times New Roman" w:hAnsi="Times New Roman" w:cs="Times New Roman" w:eastAsiaTheme="minorEastAsia"/>
                <w:color w:val="auto"/>
                <w:w w:val="99"/>
                <w:sz w:val="21"/>
                <w:szCs w:val="21"/>
                <w:highlight w:val="none"/>
              </w:rPr>
              <w:t>50人饮用和其它生活使用</w:t>
            </w:r>
          </w:p>
        </w:tc>
        <w:tc>
          <w:tcPr>
            <w:tcW w:w="875" w:type="pct"/>
            <w:vMerge w:val="restart"/>
            <w:tcBorders>
              <w:tl2br w:val="nil"/>
              <w:tr2bl w:val="nil"/>
            </w:tcBorders>
            <w:tcMar>
              <w:top w:w="0" w:type="dxa"/>
              <w:left w:w="85" w:type="dxa"/>
              <w:bottom w:w="0" w:type="dxa"/>
              <w:right w:w="85" w:type="dxa"/>
            </w:tcMar>
            <w:vAlign w:val="center"/>
          </w:tcPr>
          <w:p w14:paraId="6040FA00">
            <w:pPr>
              <w:pStyle w:val="178"/>
              <w:widowControl w:val="0"/>
              <w:autoSpaceDE w:val="0"/>
              <w:autoSpaceDN w:val="0"/>
              <w:spacing w:line="360" w:lineRule="exact"/>
              <w:ind w:firstLine="0"/>
              <w:jc w:val="center"/>
              <w:rPr>
                <w:rFonts w:ascii="Times New Roman" w:hAnsi="Times New Roman" w:cs="Times New Roman"/>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《地下水质量标准》（GB/T14848-2017）III类，石油类参考执行《地表水环境质量标准》（GB3838-2002）表1中的II类标准限值要求</w:t>
            </w:r>
          </w:p>
        </w:tc>
      </w:tr>
      <w:tr w14:paraId="7BE727A5">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314" w:type="pct"/>
            <w:tcBorders>
              <w:tl2br w:val="nil"/>
              <w:tr2bl w:val="nil"/>
            </w:tcBorders>
            <w:tcMar>
              <w:top w:w="0" w:type="dxa"/>
              <w:left w:w="85" w:type="dxa"/>
              <w:bottom w:w="0" w:type="dxa"/>
              <w:right w:w="85" w:type="dxa"/>
            </w:tcMar>
            <w:vAlign w:val="center"/>
          </w:tcPr>
          <w:p w14:paraId="6ACC0FF2">
            <w:pPr>
              <w:pStyle w:val="178"/>
              <w:widowControl w:val="0"/>
              <w:autoSpaceDE w:val="0"/>
              <w:autoSpaceDN w:val="0"/>
              <w:spacing w:line="360" w:lineRule="exact"/>
              <w:ind w:firstLine="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w:t>
            </w:r>
          </w:p>
        </w:tc>
        <w:tc>
          <w:tcPr>
            <w:tcW w:w="627" w:type="pct"/>
            <w:tcBorders>
              <w:tl2br w:val="nil"/>
              <w:tr2bl w:val="nil"/>
            </w:tcBorders>
            <w:tcMar>
              <w:top w:w="0" w:type="dxa"/>
              <w:left w:w="85" w:type="dxa"/>
              <w:bottom w:w="0" w:type="dxa"/>
              <w:right w:w="85" w:type="dxa"/>
            </w:tcMar>
            <w:vAlign w:val="center"/>
          </w:tcPr>
          <w:p w14:paraId="318C9EB1">
            <w:pPr>
              <w:widowControl w:val="0"/>
              <w:adjustRightInd w:val="0"/>
              <w:snapToGrid w:val="0"/>
              <w:ind w:firstLine="4"/>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福龙村（</w:t>
            </w:r>
            <w:r>
              <w:rPr>
                <w:rFonts w:ascii="Times New Roman" w:hAnsi="Times New Roman" w:cs="Times New Roman" w:eastAsiaTheme="minorEastAsia"/>
                <w:color w:val="auto"/>
                <w:w w:val="99"/>
                <w:sz w:val="21"/>
                <w:szCs w:val="21"/>
                <w:highlight w:val="none"/>
              </w:rPr>
              <w:t>尚家围子水井</w:t>
            </w:r>
            <w:r>
              <w:rPr>
                <w:rFonts w:hint="eastAsia" w:ascii="Times New Roman" w:hAnsi="Times New Roman" w:cs="Times New Roman" w:eastAsiaTheme="minorEastAsia"/>
                <w:color w:val="auto"/>
                <w:w w:val="99"/>
                <w:sz w:val="21"/>
                <w:szCs w:val="21"/>
                <w:highlight w:val="none"/>
              </w:rPr>
              <w:t>）</w:t>
            </w:r>
          </w:p>
        </w:tc>
        <w:tc>
          <w:tcPr>
            <w:tcW w:w="923" w:type="pct"/>
            <w:tcBorders>
              <w:tl2br w:val="nil"/>
              <w:tr2bl w:val="nil"/>
            </w:tcBorders>
            <w:tcMar>
              <w:top w:w="0" w:type="dxa"/>
              <w:left w:w="85" w:type="dxa"/>
              <w:bottom w:w="0" w:type="dxa"/>
              <w:right w:w="85" w:type="dxa"/>
            </w:tcMar>
            <w:vAlign w:val="center"/>
          </w:tcPr>
          <w:p w14:paraId="7AB0B5CD">
            <w:pPr>
              <w:widowControl w:val="0"/>
              <w:spacing w:line="2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拟建徐深27-H1井场WN850m</w:t>
            </w:r>
          </w:p>
          <w:p w14:paraId="683B80F1">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采气管道W780m</w:t>
            </w:r>
          </w:p>
        </w:tc>
        <w:tc>
          <w:tcPr>
            <w:tcW w:w="2259" w:type="pct"/>
            <w:tcBorders>
              <w:tl2br w:val="nil"/>
              <w:tr2bl w:val="nil"/>
            </w:tcBorders>
            <w:tcMar>
              <w:top w:w="0" w:type="dxa"/>
              <w:left w:w="85" w:type="dxa"/>
              <w:bottom w:w="0" w:type="dxa"/>
              <w:right w:w="85" w:type="dxa"/>
            </w:tcMar>
            <w:vAlign w:val="center"/>
          </w:tcPr>
          <w:p w14:paraId="4DCE86F9">
            <w:pPr>
              <w:widowControl w:val="0"/>
              <w:spacing w:line="2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有1口</w:t>
            </w:r>
            <w:r>
              <w:rPr>
                <w:rFonts w:hint="eastAsia" w:ascii="Times New Roman" w:hAnsi="Times New Roman" w:cs="Times New Roman" w:eastAsiaTheme="minorEastAsia"/>
                <w:color w:val="auto"/>
                <w:w w:val="99"/>
                <w:sz w:val="21"/>
                <w:szCs w:val="21"/>
                <w:highlight w:val="none"/>
              </w:rPr>
              <w:t>水源</w:t>
            </w:r>
            <w:r>
              <w:rPr>
                <w:rFonts w:ascii="Times New Roman" w:hAnsi="Times New Roman" w:cs="Times New Roman" w:eastAsiaTheme="minorEastAsia"/>
                <w:color w:val="auto"/>
                <w:w w:val="99"/>
                <w:sz w:val="21"/>
                <w:szCs w:val="21"/>
                <w:highlight w:val="none"/>
              </w:rPr>
              <w:t>井位于屯东侧，井深110m，供本屯约</w:t>
            </w:r>
            <w:r>
              <w:rPr>
                <w:rFonts w:hint="eastAsia" w:ascii="Times New Roman" w:hAnsi="Times New Roman" w:cs="Times New Roman" w:eastAsiaTheme="minorEastAsia"/>
                <w:color w:val="auto"/>
                <w:w w:val="99"/>
                <w:sz w:val="21"/>
                <w:szCs w:val="21"/>
                <w:highlight w:val="none"/>
              </w:rPr>
              <w:t>3</w:t>
            </w:r>
            <w:r>
              <w:rPr>
                <w:rFonts w:ascii="Times New Roman" w:hAnsi="Times New Roman" w:cs="Times New Roman" w:eastAsiaTheme="minorEastAsia"/>
                <w:color w:val="auto"/>
                <w:w w:val="99"/>
                <w:sz w:val="21"/>
                <w:szCs w:val="21"/>
                <w:highlight w:val="none"/>
              </w:rPr>
              <w:t>90人饮用和其它生活使用</w:t>
            </w:r>
          </w:p>
        </w:tc>
        <w:tc>
          <w:tcPr>
            <w:tcW w:w="875" w:type="pct"/>
            <w:vMerge w:val="continue"/>
            <w:tcBorders>
              <w:tl2br w:val="nil"/>
              <w:tr2bl w:val="nil"/>
            </w:tcBorders>
            <w:tcMar>
              <w:top w:w="0" w:type="dxa"/>
              <w:left w:w="85" w:type="dxa"/>
              <w:bottom w:w="0" w:type="dxa"/>
              <w:right w:w="85" w:type="dxa"/>
            </w:tcMar>
            <w:vAlign w:val="center"/>
          </w:tcPr>
          <w:p w14:paraId="071CEE1B">
            <w:pPr>
              <w:pStyle w:val="178"/>
              <w:widowControl w:val="0"/>
              <w:autoSpaceDE w:val="0"/>
              <w:autoSpaceDN w:val="0"/>
              <w:spacing w:line="360" w:lineRule="exact"/>
              <w:jc w:val="center"/>
              <w:rPr>
                <w:rFonts w:ascii="Times New Roman" w:hAnsi="Times New Roman" w:cs="Times New Roman"/>
                <w:color w:val="auto"/>
                <w:sz w:val="21"/>
                <w:szCs w:val="21"/>
                <w:highlight w:val="none"/>
                <w:lang w:eastAsia="zh-CN"/>
              </w:rPr>
            </w:pPr>
          </w:p>
        </w:tc>
      </w:tr>
      <w:tr w14:paraId="7E2B4076">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314" w:type="pct"/>
            <w:tcBorders>
              <w:tl2br w:val="nil"/>
              <w:tr2bl w:val="nil"/>
            </w:tcBorders>
            <w:tcMar>
              <w:top w:w="0" w:type="dxa"/>
              <w:left w:w="85" w:type="dxa"/>
              <w:bottom w:w="0" w:type="dxa"/>
              <w:right w:w="85" w:type="dxa"/>
            </w:tcMar>
            <w:vAlign w:val="center"/>
          </w:tcPr>
          <w:p w14:paraId="6DE8DABA">
            <w:pPr>
              <w:pStyle w:val="178"/>
              <w:widowControl w:val="0"/>
              <w:autoSpaceDE w:val="0"/>
              <w:autoSpaceDN w:val="0"/>
              <w:spacing w:line="360" w:lineRule="exact"/>
              <w:ind w:firstLine="0"/>
              <w:jc w:val="center"/>
              <w:rPr>
                <w:rFonts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3</w:t>
            </w:r>
          </w:p>
        </w:tc>
        <w:tc>
          <w:tcPr>
            <w:tcW w:w="627" w:type="pct"/>
            <w:tcBorders>
              <w:tl2br w:val="nil"/>
              <w:tr2bl w:val="nil"/>
            </w:tcBorders>
            <w:tcMar>
              <w:top w:w="0" w:type="dxa"/>
              <w:left w:w="85" w:type="dxa"/>
              <w:bottom w:w="0" w:type="dxa"/>
              <w:right w:w="85" w:type="dxa"/>
            </w:tcMar>
            <w:vAlign w:val="center"/>
          </w:tcPr>
          <w:p w14:paraId="191C0018">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后柜屯</w:t>
            </w:r>
            <w:r>
              <w:rPr>
                <w:rFonts w:ascii="Times New Roman" w:hAnsi="Times New Roman" w:cs="Times New Roman" w:eastAsiaTheme="minorEastAsia"/>
                <w:color w:val="auto"/>
                <w:w w:val="99"/>
                <w:sz w:val="21"/>
                <w:szCs w:val="21"/>
                <w:highlight w:val="none"/>
                <w:lang w:eastAsia="en-US"/>
              </w:rPr>
              <w:t>水井</w:t>
            </w:r>
          </w:p>
        </w:tc>
        <w:tc>
          <w:tcPr>
            <w:tcW w:w="923" w:type="pct"/>
            <w:tcBorders>
              <w:tl2br w:val="nil"/>
              <w:tr2bl w:val="nil"/>
            </w:tcBorders>
            <w:tcMar>
              <w:top w:w="0" w:type="dxa"/>
              <w:left w:w="85" w:type="dxa"/>
              <w:bottom w:w="0" w:type="dxa"/>
              <w:right w:w="85" w:type="dxa"/>
            </w:tcMar>
            <w:vAlign w:val="center"/>
          </w:tcPr>
          <w:p w14:paraId="623C4932">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拟建徐深27-H1井场ES1.86km</w:t>
            </w:r>
          </w:p>
        </w:tc>
        <w:tc>
          <w:tcPr>
            <w:tcW w:w="2259" w:type="pct"/>
            <w:tcBorders>
              <w:tl2br w:val="nil"/>
              <w:tr2bl w:val="nil"/>
            </w:tcBorders>
            <w:tcMar>
              <w:top w:w="0" w:type="dxa"/>
              <w:left w:w="85" w:type="dxa"/>
              <w:bottom w:w="0" w:type="dxa"/>
              <w:right w:w="85" w:type="dxa"/>
            </w:tcMar>
            <w:vAlign w:val="center"/>
          </w:tcPr>
          <w:p w14:paraId="3DD0F102">
            <w:pPr>
              <w:spacing w:before="35" w:line="227" w:lineRule="auto"/>
              <w:ind w:left="114"/>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有</w:t>
            </w:r>
            <w:r>
              <w:rPr>
                <w:rFonts w:hint="eastAsia" w:ascii="Times New Roman" w:hAnsi="Times New Roman" w:cs="Times New Roman" w:eastAsiaTheme="minorEastAsia"/>
                <w:color w:val="auto"/>
                <w:w w:val="99"/>
                <w:sz w:val="21"/>
                <w:szCs w:val="21"/>
                <w:highlight w:val="none"/>
              </w:rPr>
              <w:t>2</w:t>
            </w:r>
            <w:r>
              <w:rPr>
                <w:rFonts w:ascii="Times New Roman" w:hAnsi="Times New Roman" w:cs="Times New Roman" w:eastAsiaTheme="minorEastAsia"/>
                <w:color w:val="auto"/>
                <w:w w:val="99"/>
                <w:sz w:val="21"/>
                <w:szCs w:val="21"/>
                <w:highlight w:val="none"/>
              </w:rPr>
              <w:t>口</w:t>
            </w:r>
            <w:r>
              <w:rPr>
                <w:rFonts w:hint="eastAsia" w:ascii="Times New Roman" w:hAnsi="Times New Roman" w:cs="Times New Roman" w:eastAsiaTheme="minorEastAsia"/>
                <w:color w:val="auto"/>
                <w:w w:val="99"/>
                <w:sz w:val="21"/>
                <w:szCs w:val="21"/>
                <w:highlight w:val="none"/>
              </w:rPr>
              <w:t>水源</w:t>
            </w:r>
            <w:r>
              <w:rPr>
                <w:rFonts w:ascii="Times New Roman" w:hAnsi="Times New Roman" w:cs="Times New Roman" w:eastAsiaTheme="minorEastAsia"/>
                <w:color w:val="auto"/>
                <w:w w:val="99"/>
                <w:sz w:val="21"/>
                <w:szCs w:val="21"/>
                <w:highlight w:val="none"/>
              </w:rPr>
              <w:t>井位于屯</w:t>
            </w:r>
            <w:r>
              <w:rPr>
                <w:rFonts w:hint="eastAsia" w:ascii="Times New Roman" w:hAnsi="Times New Roman" w:cs="Times New Roman" w:eastAsiaTheme="minorEastAsia"/>
                <w:color w:val="auto"/>
                <w:w w:val="99"/>
                <w:sz w:val="21"/>
                <w:szCs w:val="21"/>
                <w:highlight w:val="none"/>
              </w:rPr>
              <w:t>北</w:t>
            </w:r>
            <w:r>
              <w:rPr>
                <w:rFonts w:ascii="Times New Roman" w:hAnsi="Times New Roman" w:cs="Times New Roman" w:eastAsiaTheme="minorEastAsia"/>
                <w:color w:val="auto"/>
                <w:w w:val="99"/>
                <w:sz w:val="21"/>
                <w:szCs w:val="21"/>
                <w:highlight w:val="none"/>
              </w:rPr>
              <w:t>侧，井深110m，供本屯</w:t>
            </w:r>
            <w:r>
              <w:rPr>
                <w:rFonts w:hint="eastAsia" w:ascii="Times New Roman" w:hAnsi="Times New Roman" w:cs="Times New Roman" w:eastAsiaTheme="minorEastAsia"/>
                <w:color w:val="auto"/>
                <w:w w:val="99"/>
                <w:sz w:val="21"/>
                <w:szCs w:val="21"/>
                <w:highlight w:val="none"/>
              </w:rPr>
              <w:t>、杨家屯、崔永宝屯、鹿家屯、腰柜屯等村屯</w:t>
            </w:r>
            <w:r>
              <w:rPr>
                <w:rFonts w:ascii="Times New Roman" w:hAnsi="Times New Roman" w:cs="Times New Roman" w:eastAsiaTheme="minorEastAsia"/>
                <w:color w:val="auto"/>
                <w:w w:val="99"/>
                <w:sz w:val="21"/>
                <w:szCs w:val="21"/>
                <w:highlight w:val="none"/>
              </w:rPr>
              <w:t>饮用和其它生活使用</w:t>
            </w:r>
          </w:p>
        </w:tc>
        <w:tc>
          <w:tcPr>
            <w:tcW w:w="875" w:type="pct"/>
            <w:vMerge w:val="continue"/>
            <w:tcBorders>
              <w:tl2br w:val="nil"/>
              <w:tr2bl w:val="nil"/>
            </w:tcBorders>
            <w:tcMar>
              <w:top w:w="0" w:type="dxa"/>
              <w:left w:w="85" w:type="dxa"/>
              <w:bottom w:w="0" w:type="dxa"/>
              <w:right w:w="85" w:type="dxa"/>
            </w:tcMar>
            <w:vAlign w:val="center"/>
          </w:tcPr>
          <w:p w14:paraId="13BABE82">
            <w:pPr>
              <w:pStyle w:val="178"/>
              <w:widowControl w:val="0"/>
              <w:autoSpaceDE w:val="0"/>
              <w:autoSpaceDN w:val="0"/>
              <w:spacing w:line="360" w:lineRule="exact"/>
              <w:jc w:val="center"/>
              <w:rPr>
                <w:rFonts w:ascii="Times New Roman" w:hAnsi="Times New Roman" w:cs="Times New Roman"/>
                <w:color w:val="auto"/>
                <w:sz w:val="21"/>
                <w:szCs w:val="21"/>
                <w:highlight w:val="none"/>
                <w:lang w:eastAsia="zh-CN"/>
              </w:rPr>
            </w:pPr>
          </w:p>
        </w:tc>
      </w:tr>
      <w:tr w14:paraId="6CBEFD50">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314" w:type="pct"/>
            <w:tcBorders>
              <w:tl2br w:val="nil"/>
              <w:tr2bl w:val="nil"/>
            </w:tcBorders>
            <w:tcMar>
              <w:top w:w="0" w:type="dxa"/>
              <w:left w:w="85" w:type="dxa"/>
              <w:bottom w:w="0" w:type="dxa"/>
              <w:right w:w="85" w:type="dxa"/>
            </w:tcMar>
            <w:vAlign w:val="center"/>
          </w:tcPr>
          <w:p w14:paraId="5C54FAC2">
            <w:pPr>
              <w:pStyle w:val="178"/>
              <w:widowControl w:val="0"/>
              <w:autoSpaceDE w:val="0"/>
              <w:autoSpaceDN w:val="0"/>
              <w:spacing w:line="360" w:lineRule="exact"/>
              <w:ind w:firstLine="0"/>
              <w:jc w:val="center"/>
              <w:rPr>
                <w:rFonts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4</w:t>
            </w:r>
          </w:p>
        </w:tc>
        <w:tc>
          <w:tcPr>
            <w:tcW w:w="627" w:type="pct"/>
            <w:tcBorders>
              <w:tl2br w:val="nil"/>
              <w:tr2bl w:val="nil"/>
            </w:tcBorders>
            <w:tcMar>
              <w:top w:w="0" w:type="dxa"/>
              <w:left w:w="85" w:type="dxa"/>
              <w:bottom w:w="0" w:type="dxa"/>
              <w:right w:w="85" w:type="dxa"/>
            </w:tcMar>
            <w:vAlign w:val="center"/>
          </w:tcPr>
          <w:p w14:paraId="4324C31C">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新发屯</w:t>
            </w:r>
            <w:r>
              <w:rPr>
                <w:rFonts w:ascii="Times New Roman" w:hAnsi="Times New Roman" w:cs="Times New Roman" w:eastAsiaTheme="minorEastAsia"/>
                <w:color w:val="auto"/>
                <w:w w:val="99"/>
                <w:sz w:val="21"/>
                <w:szCs w:val="21"/>
                <w:highlight w:val="none"/>
                <w:lang w:eastAsia="en-US"/>
              </w:rPr>
              <w:t>水井</w:t>
            </w:r>
          </w:p>
        </w:tc>
        <w:tc>
          <w:tcPr>
            <w:tcW w:w="923" w:type="pct"/>
            <w:tcBorders>
              <w:tl2br w:val="nil"/>
              <w:tr2bl w:val="nil"/>
            </w:tcBorders>
            <w:tcMar>
              <w:top w:w="0" w:type="dxa"/>
              <w:left w:w="85" w:type="dxa"/>
              <w:bottom w:w="0" w:type="dxa"/>
              <w:right w:w="85" w:type="dxa"/>
            </w:tcMar>
            <w:vAlign w:val="center"/>
          </w:tcPr>
          <w:p w14:paraId="745DF2D1">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拟建</w:t>
            </w:r>
            <w:r>
              <w:rPr>
                <w:rFonts w:ascii="Times New Roman" w:hAnsi="Times New Roman" w:cs="Times New Roman"/>
                <w:color w:val="auto"/>
                <w:w w:val="99"/>
                <w:sz w:val="21"/>
                <w:szCs w:val="21"/>
                <w:highlight w:val="none"/>
              </w:rPr>
              <w:t>徐深27-H1井</w:t>
            </w:r>
            <w:r>
              <w:rPr>
                <w:rFonts w:hint="eastAsia" w:ascii="Times New Roman" w:hAnsi="Times New Roman" w:cs="Times New Roman"/>
                <w:color w:val="auto"/>
                <w:w w:val="99"/>
                <w:sz w:val="21"/>
                <w:szCs w:val="21"/>
                <w:highlight w:val="none"/>
              </w:rPr>
              <w:t>SW2.0</w:t>
            </w:r>
            <w:r>
              <w:rPr>
                <w:rFonts w:hint="eastAsia" w:ascii="Times New Roman" w:hAnsi="Times New Roman" w:cs="Times New Roman" w:eastAsiaTheme="minorEastAsia"/>
                <w:color w:val="auto"/>
                <w:w w:val="99"/>
                <w:sz w:val="21"/>
                <w:szCs w:val="21"/>
                <w:highlight w:val="none"/>
              </w:rPr>
              <w:t>km</w:t>
            </w:r>
          </w:p>
        </w:tc>
        <w:tc>
          <w:tcPr>
            <w:tcW w:w="2259" w:type="pct"/>
            <w:tcBorders>
              <w:tl2br w:val="nil"/>
              <w:tr2bl w:val="nil"/>
            </w:tcBorders>
            <w:tcMar>
              <w:top w:w="0" w:type="dxa"/>
              <w:left w:w="85" w:type="dxa"/>
              <w:bottom w:w="0" w:type="dxa"/>
              <w:right w:w="85" w:type="dxa"/>
            </w:tcMar>
            <w:vAlign w:val="center"/>
          </w:tcPr>
          <w:p w14:paraId="53394079">
            <w:pPr>
              <w:pStyle w:val="2857"/>
              <w:spacing w:before="35" w:line="227" w:lineRule="auto"/>
              <w:ind w:left="114"/>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有1口</w:t>
            </w:r>
            <w:r>
              <w:rPr>
                <w:rFonts w:hint="eastAsia" w:ascii="Times New Roman" w:hAnsi="Times New Roman" w:cs="Times New Roman" w:eastAsiaTheme="minorEastAsia"/>
                <w:color w:val="auto"/>
                <w:w w:val="99"/>
                <w:sz w:val="21"/>
                <w:szCs w:val="21"/>
                <w:highlight w:val="none"/>
                <w:lang w:eastAsia="zh-CN"/>
              </w:rPr>
              <w:t>水源</w:t>
            </w:r>
            <w:r>
              <w:rPr>
                <w:rFonts w:ascii="Times New Roman" w:hAnsi="Times New Roman" w:cs="Times New Roman" w:eastAsiaTheme="minorEastAsia"/>
                <w:color w:val="auto"/>
                <w:w w:val="99"/>
                <w:sz w:val="21"/>
                <w:szCs w:val="21"/>
                <w:highlight w:val="none"/>
                <w:lang w:eastAsia="zh-CN"/>
              </w:rPr>
              <w:t>井</w:t>
            </w:r>
            <w:r>
              <w:rPr>
                <w:rFonts w:hint="eastAsia" w:ascii="Times New Roman" w:hAnsi="Times New Roman" w:cs="Times New Roman"/>
                <w:color w:val="auto"/>
                <w:w w:val="99"/>
                <w:sz w:val="21"/>
                <w:szCs w:val="21"/>
                <w:highlight w:val="none"/>
                <w:lang w:eastAsia="zh-CN"/>
              </w:rPr>
              <w:t>位于屯北侧，井深105m，供本屯约150人饮用和其它生活使用</w:t>
            </w:r>
          </w:p>
        </w:tc>
        <w:tc>
          <w:tcPr>
            <w:tcW w:w="875" w:type="pct"/>
            <w:vMerge w:val="continue"/>
            <w:tcBorders>
              <w:tl2br w:val="nil"/>
              <w:tr2bl w:val="nil"/>
            </w:tcBorders>
            <w:tcMar>
              <w:top w:w="0" w:type="dxa"/>
              <w:left w:w="85" w:type="dxa"/>
              <w:bottom w:w="0" w:type="dxa"/>
              <w:right w:w="85" w:type="dxa"/>
            </w:tcMar>
            <w:vAlign w:val="center"/>
          </w:tcPr>
          <w:p w14:paraId="566B483C">
            <w:pPr>
              <w:pStyle w:val="178"/>
              <w:widowControl w:val="0"/>
              <w:autoSpaceDE w:val="0"/>
              <w:autoSpaceDN w:val="0"/>
              <w:spacing w:line="360" w:lineRule="exact"/>
              <w:jc w:val="center"/>
              <w:rPr>
                <w:rFonts w:ascii="Times New Roman" w:hAnsi="Times New Roman" w:cs="Times New Roman"/>
                <w:color w:val="auto"/>
                <w:sz w:val="21"/>
                <w:szCs w:val="21"/>
                <w:highlight w:val="none"/>
                <w:lang w:eastAsia="zh-CN"/>
              </w:rPr>
            </w:pPr>
          </w:p>
        </w:tc>
      </w:tr>
      <w:tr w14:paraId="50475205">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314" w:type="pct"/>
            <w:tcBorders>
              <w:tl2br w:val="nil"/>
              <w:tr2bl w:val="nil"/>
            </w:tcBorders>
            <w:tcMar>
              <w:top w:w="0" w:type="dxa"/>
              <w:left w:w="85" w:type="dxa"/>
              <w:bottom w:w="0" w:type="dxa"/>
              <w:right w:w="85" w:type="dxa"/>
            </w:tcMar>
            <w:vAlign w:val="center"/>
          </w:tcPr>
          <w:p w14:paraId="7608C5E5">
            <w:pPr>
              <w:pStyle w:val="178"/>
              <w:widowControl w:val="0"/>
              <w:autoSpaceDE w:val="0"/>
              <w:autoSpaceDN w:val="0"/>
              <w:spacing w:line="360" w:lineRule="exact"/>
              <w:ind w:firstLine="0"/>
              <w:jc w:val="center"/>
              <w:rPr>
                <w:rFonts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5</w:t>
            </w:r>
          </w:p>
        </w:tc>
        <w:tc>
          <w:tcPr>
            <w:tcW w:w="627" w:type="pct"/>
            <w:tcBorders>
              <w:tl2br w:val="nil"/>
              <w:tr2bl w:val="nil"/>
            </w:tcBorders>
            <w:tcMar>
              <w:top w:w="0" w:type="dxa"/>
              <w:left w:w="85" w:type="dxa"/>
              <w:bottom w:w="0" w:type="dxa"/>
              <w:right w:w="85" w:type="dxa"/>
            </w:tcMar>
            <w:vAlign w:val="center"/>
          </w:tcPr>
          <w:p w14:paraId="499CC852">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东双山屯</w:t>
            </w:r>
          </w:p>
        </w:tc>
        <w:tc>
          <w:tcPr>
            <w:tcW w:w="923" w:type="pct"/>
            <w:tcBorders>
              <w:tl2br w:val="nil"/>
              <w:tr2bl w:val="nil"/>
            </w:tcBorders>
            <w:tcMar>
              <w:top w:w="0" w:type="dxa"/>
              <w:left w:w="85" w:type="dxa"/>
              <w:bottom w:w="0" w:type="dxa"/>
              <w:right w:w="85" w:type="dxa"/>
            </w:tcMar>
            <w:vAlign w:val="center"/>
          </w:tcPr>
          <w:p w14:paraId="1EBDBB72">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eastAsiaTheme="minorEastAsia"/>
                <w:color w:val="auto"/>
                <w:w w:val="99"/>
                <w:sz w:val="21"/>
                <w:szCs w:val="21"/>
                <w:highlight w:val="none"/>
              </w:rPr>
              <w:t>徐深27集气站WN1.6km</w:t>
            </w:r>
          </w:p>
        </w:tc>
        <w:tc>
          <w:tcPr>
            <w:tcW w:w="2259" w:type="pct"/>
            <w:tcBorders>
              <w:tl2br w:val="nil"/>
              <w:tr2bl w:val="nil"/>
            </w:tcBorders>
            <w:tcMar>
              <w:top w:w="0" w:type="dxa"/>
              <w:left w:w="85" w:type="dxa"/>
              <w:bottom w:w="0" w:type="dxa"/>
              <w:right w:w="85" w:type="dxa"/>
            </w:tcMar>
            <w:vAlign w:val="center"/>
          </w:tcPr>
          <w:p w14:paraId="6FCCCD18">
            <w:pPr>
              <w:pStyle w:val="2857"/>
              <w:spacing w:before="35" w:line="227" w:lineRule="auto"/>
              <w:ind w:left="114"/>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有2口</w:t>
            </w:r>
            <w:r>
              <w:rPr>
                <w:rFonts w:hint="eastAsia" w:ascii="Times New Roman" w:hAnsi="Times New Roman" w:cs="Times New Roman" w:eastAsiaTheme="minorEastAsia"/>
                <w:color w:val="auto"/>
                <w:w w:val="99"/>
                <w:sz w:val="21"/>
                <w:szCs w:val="21"/>
                <w:highlight w:val="none"/>
                <w:lang w:eastAsia="zh-CN"/>
              </w:rPr>
              <w:t>水源</w:t>
            </w:r>
            <w:r>
              <w:rPr>
                <w:rFonts w:ascii="Times New Roman" w:hAnsi="Times New Roman" w:cs="Times New Roman" w:eastAsiaTheme="minorEastAsia"/>
                <w:color w:val="auto"/>
                <w:w w:val="99"/>
                <w:sz w:val="21"/>
                <w:szCs w:val="21"/>
                <w:highlight w:val="none"/>
                <w:lang w:eastAsia="zh-CN"/>
              </w:rPr>
              <w:t>井</w:t>
            </w:r>
            <w:r>
              <w:rPr>
                <w:rFonts w:hint="eastAsia" w:ascii="Times New Roman" w:hAnsi="Times New Roman" w:cs="Times New Roman"/>
                <w:color w:val="auto"/>
                <w:w w:val="99"/>
                <w:sz w:val="21"/>
                <w:szCs w:val="21"/>
                <w:highlight w:val="none"/>
                <w:lang w:eastAsia="zh-CN"/>
              </w:rPr>
              <w:t>位于屯北侧，井深105-110m，</w:t>
            </w:r>
            <w:r>
              <w:rPr>
                <w:rFonts w:ascii="Times New Roman" w:hAnsi="Times New Roman" w:cs="Times New Roman" w:eastAsiaTheme="minorEastAsia"/>
                <w:color w:val="auto"/>
                <w:w w:val="99"/>
                <w:sz w:val="21"/>
                <w:szCs w:val="21"/>
                <w:highlight w:val="none"/>
                <w:lang w:eastAsia="zh-CN"/>
              </w:rPr>
              <w:t>供本屯</w:t>
            </w:r>
            <w:r>
              <w:rPr>
                <w:rFonts w:hint="eastAsia" w:ascii="Times New Roman" w:hAnsi="Times New Roman" w:cs="Times New Roman" w:eastAsiaTheme="minorEastAsia"/>
                <w:color w:val="auto"/>
                <w:w w:val="99"/>
                <w:sz w:val="21"/>
                <w:szCs w:val="21"/>
                <w:highlight w:val="none"/>
                <w:lang w:eastAsia="zh-CN"/>
              </w:rPr>
              <w:t>、</w:t>
            </w:r>
            <w:r>
              <w:rPr>
                <w:rFonts w:hint="eastAsia" w:ascii="Times New Roman" w:hAnsi="Times New Roman" w:cs="Times New Roman"/>
                <w:color w:val="auto"/>
                <w:w w:val="99"/>
                <w:sz w:val="21"/>
                <w:szCs w:val="21"/>
                <w:highlight w:val="none"/>
                <w:lang w:eastAsia="zh-CN"/>
              </w:rPr>
              <w:t>于洼子屯、西双山屯</w:t>
            </w:r>
            <w:r>
              <w:rPr>
                <w:rFonts w:hint="eastAsia" w:ascii="Times New Roman" w:hAnsi="Times New Roman" w:cs="Times New Roman" w:eastAsiaTheme="minorEastAsia"/>
                <w:color w:val="auto"/>
                <w:w w:val="99"/>
                <w:sz w:val="21"/>
                <w:szCs w:val="21"/>
                <w:highlight w:val="none"/>
                <w:lang w:eastAsia="zh-CN"/>
              </w:rPr>
              <w:t>等村屯</w:t>
            </w:r>
            <w:r>
              <w:rPr>
                <w:rFonts w:ascii="Times New Roman" w:hAnsi="Times New Roman" w:cs="Times New Roman" w:eastAsiaTheme="minorEastAsia"/>
                <w:color w:val="auto"/>
                <w:w w:val="99"/>
                <w:sz w:val="21"/>
                <w:szCs w:val="21"/>
                <w:highlight w:val="none"/>
                <w:lang w:eastAsia="zh-CN"/>
              </w:rPr>
              <w:t>饮用和其它生活使用</w:t>
            </w:r>
          </w:p>
        </w:tc>
        <w:tc>
          <w:tcPr>
            <w:tcW w:w="875" w:type="pct"/>
            <w:vMerge w:val="continue"/>
            <w:tcBorders>
              <w:tl2br w:val="nil"/>
              <w:tr2bl w:val="nil"/>
            </w:tcBorders>
            <w:tcMar>
              <w:top w:w="0" w:type="dxa"/>
              <w:left w:w="85" w:type="dxa"/>
              <w:bottom w:w="0" w:type="dxa"/>
              <w:right w:w="85" w:type="dxa"/>
            </w:tcMar>
            <w:vAlign w:val="center"/>
          </w:tcPr>
          <w:p w14:paraId="1EE4F2E7">
            <w:pPr>
              <w:pStyle w:val="178"/>
              <w:widowControl w:val="0"/>
              <w:autoSpaceDE w:val="0"/>
              <w:autoSpaceDN w:val="0"/>
              <w:spacing w:line="360" w:lineRule="exact"/>
              <w:jc w:val="center"/>
              <w:rPr>
                <w:rFonts w:ascii="Times New Roman" w:hAnsi="Times New Roman" w:cs="Times New Roman"/>
                <w:color w:val="auto"/>
                <w:sz w:val="21"/>
                <w:szCs w:val="21"/>
                <w:highlight w:val="none"/>
                <w:lang w:eastAsia="zh-CN"/>
              </w:rPr>
            </w:pPr>
          </w:p>
        </w:tc>
      </w:tr>
      <w:tr w14:paraId="3C3F8098">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314" w:type="pct"/>
            <w:tcBorders>
              <w:tl2br w:val="nil"/>
              <w:tr2bl w:val="nil"/>
            </w:tcBorders>
            <w:tcMar>
              <w:top w:w="0" w:type="dxa"/>
              <w:left w:w="85" w:type="dxa"/>
              <w:bottom w:w="0" w:type="dxa"/>
              <w:right w:w="85" w:type="dxa"/>
            </w:tcMar>
            <w:vAlign w:val="center"/>
          </w:tcPr>
          <w:p w14:paraId="5B227C4E">
            <w:pPr>
              <w:pStyle w:val="178"/>
              <w:widowControl w:val="0"/>
              <w:autoSpaceDE w:val="0"/>
              <w:autoSpaceDN w:val="0"/>
              <w:spacing w:line="360" w:lineRule="exact"/>
              <w:ind w:firstLine="0"/>
              <w:jc w:val="center"/>
              <w:rPr>
                <w:rFonts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6</w:t>
            </w:r>
          </w:p>
        </w:tc>
        <w:tc>
          <w:tcPr>
            <w:tcW w:w="3810" w:type="pct"/>
            <w:gridSpan w:val="3"/>
            <w:tcBorders>
              <w:tl2br w:val="nil"/>
              <w:tr2bl w:val="nil"/>
            </w:tcBorders>
            <w:tcMar>
              <w:top w:w="0" w:type="dxa"/>
              <w:left w:w="85" w:type="dxa"/>
              <w:bottom w:w="0" w:type="dxa"/>
              <w:right w:w="85" w:type="dxa"/>
            </w:tcMar>
            <w:vAlign w:val="center"/>
          </w:tcPr>
          <w:p w14:paraId="5507AB27">
            <w:pPr>
              <w:pStyle w:val="2857"/>
              <w:spacing w:before="35" w:line="227" w:lineRule="auto"/>
              <w:ind w:left="114"/>
              <w:rPr>
                <w:rFonts w:ascii="Times New Roman" w:hAnsi="Times New Roman" w:cs="Times New Roman"/>
                <w:color w:val="auto"/>
                <w:w w:val="99"/>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eastAsia="zh-CN"/>
              </w:rPr>
              <w:t>评价范围内第四系潜水含水层、白垩系具有饮用价值的承压水含水层</w:t>
            </w:r>
          </w:p>
        </w:tc>
        <w:tc>
          <w:tcPr>
            <w:tcW w:w="875" w:type="pct"/>
            <w:vMerge w:val="continue"/>
            <w:tcBorders>
              <w:tl2br w:val="nil"/>
              <w:tr2bl w:val="nil"/>
            </w:tcBorders>
            <w:tcMar>
              <w:top w:w="0" w:type="dxa"/>
              <w:left w:w="85" w:type="dxa"/>
              <w:bottom w:w="0" w:type="dxa"/>
              <w:right w:w="85" w:type="dxa"/>
            </w:tcMar>
            <w:vAlign w:val="center"/>
          </w:tcPr>
          <w:p w14:paraId="223DE9CF">
            <w:pPr>
              <w:pStyle w:val="178"/>
              <w:widowControl w:val="0"/>
              <w:autoSpaceDE w:val="0"/>
              <w:autoSpaceDN w:val="0"/>
              <w:spacing w:line="360" w:lineRule="exact"/>
              <w:jc w:val="center"/>
              <w:rPr>
                <w:rFonts w:ascii="Times New Roman" w:hAnsi="Times New Roman" w:cs="Times New Roman"/>
                <w:color w:val="auto"/>
                <w:sz w:val="21"/>
                <w:szCs w:val="21"/>
                <w:highlight w:val="none"/>
                <w:lang w:eastAsia="zh-CN"/>
              </w:rPr>
            </w:pPr>
          </w:p>
        </w:tc>
      </w:tr>
    </w:tbl>
    <w:p w14:paraId="6B350B40">
      <w:pPr>
        <w:widowControl w:val="0"/>
        <w:spacing w:line="440" w:lineRule="exact"/>
        <w:ind w:firstLine="476" w:firstLineChars="200"/>
        <w:jc w:val="both"/>
        <w:rPr>
          <w:rFonts w:ascii="Times New Roman" w:hAnsi="Times New Roman" w:cs="Times New Roman" w:eastAsiaTheme="minorEastAsia"/>
          <w:b/>
          <w:color w:val="auto"/>
          <w:w w:val="99"/>
          <w:kern w:val="2"/>
          <w:highlight w:val="none"/>
        </w:rPr>
      </w:pPr>
      <w:r>
        <w:rPr>
          <w:rFonts w:ascii="Times New Roman" w:hAnsi="Times New Roman" w:cs="Times New Roman" w:eastAsiaTheme="minorEastAsia"/>
          <w:b/>
          <w:bCs/>
          <w:color w:val="auto"/>
          <w:w w:val="99"/>
          <w:kern w:val="21"/>
          <w:highlight w:val="none"/>
        </w:rPr>
        <w:t>表2.8-</w:t>
      </w:r>
      <w:r>
        <w:rPr>
          <w:rFonts w:hint="eastAsia" w:ascii="Times New Roman" w:hAnsi="Times New Roman" w:cs="Times New Roman" w:eastAsiaTheme="minorEastAsia"/>
          <w:b/>
          <w:bCs/>
          <w:color w:val="auto"/>
          <w:w w:val="99"/>
          <w:kern w:val="21"/>
          <w:highlight w:val="none"/>
        </w:rPr>
        <w:t>6</w:t>
      </w:r>
      <w:r>
        <w:rPr>
          <w:rFonts w:ascii="Times New Roman" w:hAnsi="Times New Roman" w:cs="Times New Roman" w:eastAsiaTheme="minorEastAsia"/>
          <w:b/>
          <w:color w:val="auto"/>
          <w:w w:val="99"/>
          <w:kern w:val="2"/>
          <w:highlight w:val="none"/>
        </w:rPr>
        <w:t xml:space="preserve">    </w:t>
      </w:r>
      <w:r>
        <w:rPr>
          <w:rFonts w:ascii="Times New Roman" w:hAnsi="Times New Roman" w:cs="Times New Roman" w:eastAsiaTheme="minorEastAsia"/>
          <w:b/>
          <w:bCs/>
          <w:color w:val="auto"/>
          <w:w w:val="99"/>
          <w:kern w:val="2"/>
          <w:highlight w:val="none"/>
        </w:rPr>
        <w:t>声环境保护目标调查表</w:t>
      </w:r>
    </w:p>
    <w:tbl>
      <w:tblPr>
        <w:tblStyle w:val="8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57" w:type="dxa"/>
          <w:bottom w:w="0" w:type="dxa"/>
          <w:right w:w="57" w:type="dxa"/>
        </w:tblCellMar>
      </w:tblPr>
      <w:tblGrid>
        <w:gridCol w:w="564"/>
        <w:gridCol w:w="875"/>
        <w:gridCol w:w="570"/>
        <w:gridCol w:w="719"/>
        <w:gridCol w:w="577"/>
        <w:gridCol w:w="1004"/>
        <w:gridCol w:w="1142"/>
        <w:gridCol w:w="1875"/>
        <w:gridCol w:w="1859"/>
      </w:tblGrid>
      <w:tr w14:paraId="7DB86C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7" w:type="pct"/>
            <w:vMerge w:val="restart"/>
            <w:vAlign w:val="center"/>
          </w:tcPr>
          <w:p w14:paraId="6CFD93C1">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序号</w:t>
            </w:r>
          </w:p>
        </w:tc>
        <w:tc>
          <w:tcPr>
            <w:tcW w:w="476" w:type="pct"/>
            <w:vMerge w:val="restart"/>
            <w:vAlign w:val="center"/>
          </w:tcPr>
          <w:p w14:paraId="571A368B">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声环境保护目标名称</w:t>
            </w:r>
          </w:p>
        </w:tc>
        <w:tc>
          <w:tcPr>
            <w:tcW w:w="1015" w:type="pct"/>
            <w:gridSpan w:val="3"/>
            <w:vAlign w:val="center"/>
          </w:tcPr>
          <w:p w14:paraId="23AB4DD6">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空间相对位置/m</w:t>
            </w:r>
          </w:p>
        </w:tc>
        <w:tc>
          <w:tcPr>
            <w:tcW w:w="546" w:type="pct"/>
            <w:vMerge w:val="restart"/>
            <w:vAlign w:val="center"/>
          </w:tcPr>
          <w:p w14:paraId="7DD5CE53">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距厂界最近距离/m</w:t>
            </w:r>
          </w:p>
        </w:tc>
        <w:tc>
          <w:tcPr>
            <w:tcW w:w="621" w:type="pct"/>
            <w:vMerge w:val="restart"/>
            <w:vAlign w:val="center"/>
          </w:tcPr>
          <w:p w14:paraId="0E594037">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方位</w:t>
            </w:r>
          </w:p>
        </w:tc>
        <w:tc>
          <w:tcPr>
            <w:tcW w:w="1020" w:type="pct"/>
            <w:vMerge w:val="restart"/>
            <w:vAlign w:val="center"/>
          </w:tcPr>
          <w:p w14:paraId="11012D6A">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执行标准/功能区类别</w:t>
            </w:r>
          </w:p>
        </w:tc>
        <w:tc>
          <w:tcPr>
            <w:tcW w:w="1011" w:type="pct"/>
            <w:vMerge w:val="restart"/>
            <w:vAlign w:val="center"/>
          </w:tcPr>
          <w:p w14:paraId="7537EE28">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声环境</w:t>
            </w:r>
            <w:bookmarkStart w:id="399" w:name="OLE_LINK52"/>
            <w:bookmarkStart w:id="400" w:name="OLE_LINK2"/>
            <w:r>
              <w:rPr>
                <w:rFonts w:ascii="Times New Roman" w:hAnsi="Times New Roman" w:cs="Times New Roman" w:eastAsiaTheme="minorEastAsia"/>
                <w:color w:val="auto"/>
                <w:w w:val="99"/>
                <w:kern w:val="2"/>
                <w:sz w:val="21"/>
                <w:szCs w:val="21"/>
                <w:highlight w:val="none"/>
              </w:rPr>
              <w:t>保护目标</w:t>
            </w:r>
            <w:bookmarkEnd w:id="399"/>
            <w:bookmarkEnd w:id="400"/>
            <w:r>
              <w:rPr>
                <w:rFonts w:ascii="Times New Roman" w:hAnsi="Times New Roman" w:cs="Times New Roman" w:eastAsiaTheme="minorEastAsia"/>
                <w:color w:val="auto"/>
                <w:w w:val="99"/>
                <w:kern w:val="2"/>
                <w:sz w:val="21"/>
                <w:szCs w:val="21"/>
                <w:highlight w:val="none"/>
              </w:rPr>
              <w:t>情况说明</w:t>
            </w:r>
          </w:p>
        </w:tc>
      </w:tr>
      <w:tr w14:paraId="28D88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7" w:type="pct"/>
            <w:vMerge w:val="continue"/>
            <w:vAlign w:val="center"/>
          </w:tcPr>
          <w:p w14:paraId="272CB003">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476" w:type="pct"/>
            <w:vMerge w:val="continue"/>
            <w:vAlign w:val="center"/>
          </w:tcPr>
          <w:p w14:paraId="7869343C">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p>
        </w:tc>
        <w:tc>
          <w:tcPr>
            <w:tcW w:w="310" w:type="pct"/>
            <w:vAlign w:val="center"/>
          </w:tcPr>
          <w:p w14:paraId="7705D722">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X</w:t>
            </w:r>
          </w:p>
        </w:tc>
        <w:tc>
          <w:tcPr>
            <w:tcW w:w="391" w:type="pct"/>
            <w:vAlign w:val="center"/>
          </w:tcPr>
          <w:p w14:paraId="361B1E93">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Y</w:t>
            </w:r>
          </w:p>
        </w:tc>
        <w:tc>
          <w:tcPr>
            <w:tcW w:w="314" w:type="pct"/>
            <w:vAlign w:val="center"/>
          </w:tcPr>
          <w:p w14:paraId="4970C48B">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Z</w:t>
            </w:r>
          </w:p>
        </w:tc>
        <w:tc>
          <w:tcPr>
            <w:tcW w:w="546" w:type="pct"/>
            <w:vMerge w:val="continue"/>
            <w:vAlign w:val="center"/>
          </w:tcPr>
          <w:p w14:paraId="0630EBDB">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621" w:type="pct"/>
            <w:vMerge w:val="continue"/>
            <w:vAlign w:val="center"/>
          </w:tcPr>
          <w:p w14:paraId="1DD4DE7E">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020" w:type="pct"/>
            <w:vMerge w:val="continue"/>
            <w:vAlign w:val="center"/>
          </w:tcPr>
          <w:p w14:paraId="0A684884">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011" w:type="pct"/>
            <w:vMerge w:val="continue"/>
            <w:vAlign w:val="center"/>
          </w:tcPr>
          <w:p w14:paraId="5DB2A108">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r>
      <w:tr w14:paraId="7D009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7" w:type="pct"/>
            <w:vAlign w:val="center"/>
          </w:tcPr>
          <w:p w14:paraId="1603D7BE">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w:t>
            </w:r>
          </w:p>
        </w:tc>
        <w:tc>
          <w:tcPr>
            <w:tcW w:w="476" w:type="pct"/>
            <w:vAlign w:val="center"/>
          </w:tcPr>
          <w:p w14:paraId="2C785643">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sz w:val="21"/>
                <w:szCs w:val="21"/>
                <w:highlight w:val="none"/>
              </w:rPr>
              <w:t>尚家围子</w:t>
            </w:r>
            <w:r>
              <w:rPr>
                <w:rFonts w:hint="eastAsia" w:ascii="Times New Roman" w:hAnsi="Times New Roman" w:cs="Times New Roman"/>
                <w:color w:val="auto"/>
                <w:w w:val="99"/>
                <w:sz w:val="21"/>
                <w:szCs w:val="21"/>
                <w:highlight w:val="none"/>
              </w:rPr>
              <w:t>屯</w:t>
            </w:r>
          </w:p>
        </w:tc>
        <w:tc>
          <w:tcPr>
            <w:tcW w:w="310" w:type="pct"/>
            <w:tcBorders>
              <w:bottom w:val="single" w:color="auto" w:sz="4" w:space="0"/>
            </w:tcBorders>
            <w:vAlign w:val="center"/>
          </w:tcPr>
          <w:p w14:paraId="1F9211B2">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-100</w:t>
            </w:r>
          </w:p>
        </w:tc>
        <w:tc>
          <w:tcPr>
            <w:tcW w:w="391" w:type="pct"/>
            <w:tcBorders>
              <w:bottom w:val="single" w:color="auto" w:sz="4" w:space="0"/>
            </w:tcBorders>
            <w:vAlign w:val="center"/>
          </w:tcPr>
          <w:p w14:paraId="41BDACD6">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w:t>
            </w:r>
          </w:p>
        </w:tc>
        <w:tc>
          <w:tcPr>
            <w:tcW w:w="314" w:type="pct"/>
            <w:tcBorders>
              <w:bottom w:val="single" w:color="auto" w:sz="4" w:space="0"/>
            </w:tcBorders>
            <w:vAlign w:val="center"/>
          </w:tcPr>
          <w:p w14:paraId="249C590C">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0</w:t>
            </w:r>
          </w:p>
        </w:tc>
        <w:tc>
          <w:tcPr>
            <w:tcW w:w="546" w:type="pct"/>
            <w:tcBorders>
              <w:bottom w:val="single" w:color="auto" w:sz="4" w:space="0"/>
            </w:tcBorders>
            <w:vAlign w:val="center"/>
          </w:tcPr>
          <w:p w14:paraId="1D10E9E4">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100</w:t>
            </w:r>
          </w:p>
        </w:tc>
        <w:tc>
          <w:tcPr>
            <w:tcW w:w="621" w:type="pct"/>
            <w:vAlign w:val="center"/>
          </w:tcPr>
          <w:p w14:paraId="2CE9A313">
            <w:pPr>
              <w:widowControl w:val="0"/>
              <w:snapToGrid w:val="0"/>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采气管线西侧</w:t>
            </w:r>
          </w:p>
        </w:tc>
        <w:tc>
          <w:tcPr>
            <w:tcW w:w="1020" w:type="pct"/>
            <w:vAlign w:val="center"/>
          </w:tcPr>
          <w:p w14:paraId="1A21E22D">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《声环境质量标准》（GB3096-2008）中1类标准</w:t>
            </w:r>
          </w:p>
        </w:tc>
        <w:tc>
          <w:tcPr>
            <w:tcW w:w="1011" w:type="pct"/>
            <w:vAlign w:val="center"/>
          </w:tcPr>
          <w:p w14:paraId="20EE9CC2">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约</w:t>
            </w:r>
            <w:r>
              <w:rPr>
                <w:rFonts w:hint="eastAsia" w:ascii="Times New Roman" w:hAnsi="Times New Roman" w:cs="Times New Roman" w:eastAsiaTheme="minorEastAsia"/>
                <w:color w:val="auto"/>
                <w:w w:val="99"/>
                <w:kern w:val="2"/>
                <w:sz w:val="21"/>
                <w:szCs w:val="21"/>
                <w:highlight w:val="none"/>
              </w:rPr>
              <w:t>390</w:t>
            </w:r>
            <w:r>
              <w:rPr>
                <w:rFonts w:ascii="Times New Roman" w:hAnsi="Times New Roman" w:cs="Times New Roman" w:eastAsiaTheme="minorEastAsia"/>
                <w:color w:val="auto"/>
                <w:w w:val="99"/>
                <w:kern w:val="2"/>
                <w:sz w:val="21"/>
                <w:szCs w:val="21"/>
                <w:highlight w:val="none"/>
              </w:rPr>
              <w:t>人，单层</w:t>
            </w:r>
            <w:r>
              <w:rPr>
                <w:rFonts w:ascii="Times New Roman" w:hAnsi="Times New Roman" w:cs="Times New Roman" w:eastAsiaTheme="minorEastAsia"/>
                <w:color w:val="auto"/>
                <w:w w:val="99"/>
                <w:sz w:val="21"/>
                <w:szCs w:val="21"/>
                <w:highlight w:val="none"/>
              </w:rPr>
              <w:t>砖混结构，朝</w:t>
            </w:r>
            <w:r>
              <w:rPr>
                <w:rFonts w:hint="eastAsia" w:ascii="Times New Roman" w:hAnsi="Times New Roman" w:cs="Times New Roman" w:eastAsiaTheme="minorEastAsia"/>
                <w:color w:val="auto"/>
                <w:w w:val="99"/>
                <w:sz w:val="21"/>
                <w:szCs w:val="21"/>
                <w:highlight w:val="none"/>
              </w:rPr>
              <w:t>南</w:t>
            </w:r>
            <w:r>
              <w:rPr>
                <w:rFonts w:ascii="Times New Roman" w:hAnsi="Times New Roman" w:cs="Times New Roman" w:eastAsiaTheme="minorEastAsia"/>
                <w:color w:val="auto"/>
                <w:w w:val="99"/>
                <w:sz w:val="21"/>
                <w:szCs w:val="21"/>
                <w:highlight w:val="none"/>
              </w:rPr>
              <w:t>，四周为耕地或草地</w:t>
            </w:r>
          </w:p>
        </w:tc>
      </w:tr>
    </w:tbl>
    <w:p w14:paraId="19F197D6">
      <w:pPr>
        <w:pStyle w:val="153"/>
        <w:widowControl w:val="0"/>
        <w:spacing w:line="440" w:lineRule="exact"/>
        <w:ind w:firstLine="474"/>
        <w:jc w:val="both"/>
        <w:rPr>
          <w:rFonts w:ascii="Times New Roman" w:hAnsi="Times New Roman" w:eastAsiaTheme="minorEastAsia"/>
          <w:b/>
          <w:bCs/>
          <w:color w:val="auto"/>
          <w:w w:val="99"/>
          <w:kern w:val="21"/>
          <w:highlight w:val="none"/>
        </w:rPr>
      </w:pPr>
      <w:r>
        <w:rPr>
          <w:rFonts w:ascii="Times New Roman" w:hAnsi="Times New Roman" w:eastAsiaTheme="minorEastAsia"/>
          <w:b/>
          <w:bCs/>
          <w:color w:val="auto"/>
          <w:w w:val="99"/>
          <w:kern w:val="21"/>
          <w:highlight w:val="none"/>
        </w:rPr>
        <w:t>表2.7-</w:t>
      </w:r>
      <w:r>
        <w:rPr>
          <w:rFonts w:hint="eastAsia" w:ascii="Times New Roman" w:hAnsi="Times New Roman" w:eastAsiaTheme="minorEastAsia"/>
          <w:b/>
          <w:bCs/>
          <w:color w:val="auto"/>
          <w:w w:val="99"/>
          <w:kern w:val="21"/>
          <w:highlight w:val="none"/>
        </w:rPr>
        <w:t>7</w:t>
      </w:r>
      <w:r>
        <w:rPr>
          <w:rFonts w:ascii="Times New Roman" w:hAnsi="Times New Roman" w:eastAsiaTheme="minorEastAsia"/>
          <w:b/>
          <w:bCs/>
          <w:color w:val="auto"/>
          <w:w w:val="99"/>
          <w:kern w:val="21"/>
          <w:highlight w:val="none"/>
        </w:rPr>
        <w:t xml:space="preserve">   其他环境因素保护目标表</w:t>
      </w:r>
    </w:p>
    <w:tbl>
      <w:tblPr>
        <w:tblStyle w:val="8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57" w:type="dxa"/>
          <w:bottom w:w="0" w:type="dxa"/>
          <w:right w:w="57" w:type="dxa"/>
        </w:tblCellMar>
      </w:tblPr>
      <w:tblGrid>
        <w:gridCol w:w="765"/>
        <w:gridCol w:w="1242"/>
        <w:gridCol w:w="1336"/>
        <w:gridCol w:w="1904"/>
        <w:gridCol w:w="3938"/>
      </w:tblGrid>
      <w:tr w14:paraId="61443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615" w:hRule="atLeast"/>
          <w:jc w:val="center"/>
        </w:trPr>
        <w:tc>
          <w:tcPr>
            <w:tcW w:w="416" w:type="pct"/>
            <w:vAlign w:val="center"/>
          </w:tcPr>
          <w:p w14:paraId="645A9C9F">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环境要素</w:t>
            </w:r>
          </w:p>
        </w:tc>
        <w:tc>
          <w:tcPr>
            <w:tcW w:w="676" w:type="pct"/>
            <w:vAlign w:val="center"/>
          </w:tcPr>
          <w:p w14:paraId="03375C3A">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保护目标</w:t>
            </w:r>
          </w:p>
        </w:tc>
        <w:tc>
          <w:tcPr>
            <w:tcW w:w="727" w:type="pct"/>
            <w:vAlign w:val="center"/>
          </w:tcPr>
          <w:p w14:paraId="7DD9D616">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最近方位及距离</w:t>
            </w:r>
          </w:p>
        </w:tc>
        <w:tc>
          <w:tcPr>
            <w:tcW w:w="1036" w:type="pct"/>
            <w:vAlign w:val="center"/>
          </w:tcPr>
          <w:p w14:paraId="28F712F7">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规模</w:t>
            </w:r>
          </w:p>
        </w:tc>
        <w:tc>
          <w:tcPr>
            <w:tcW w:w="2143" w:type="pct"/>
            <w:vAlign w:val="center"/>
          </w:tcPr>
          <w:p w14:paraId="299F59C9">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保护标准及保护级别</w:t>
            </w:r>
          </w:p>
        </w:tc>
      </w:tr>
      <w:tr w14:paraId="63B9F8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416" w:type="pct"/>
            <w:vMerge w:val="restart"/>
            <w:vAlign w:val="center"/>
          </w:tcPr>
          <w:p w14:paraId="10C58CA1">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土壤环境</w:t>
            </w:r>
          </w:p>
        </w:tc>
        <w:tc>
          <w:tcPr>
            <w:tcW w:w="2439" w:type="pct"/>
            <w:gridSpan w:val="3"/>
            <w:vAlign w:val="center"/>
          </w:tcPr>
          <w:p w14:paraId="05B0AC26">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本项目永久占地范围内，土壤类型为</w:t>
            </w:r>
            <w:r>
              <w:rPr>
                <w:rFonts w:hint="eastAsia" w:ascii="Times New Roman" w:hAnsi="Times New Roman" w:cs="Times New Roman" w:eastAsiaTheme="minorEastAsia"/>
                <w:color w:val="auto"/>
                <w:w w:val="99"/>
                <w:kern w:val="2"/>
                <w:sz w:val="21"/>
                <w:szCs w:val="21"/>
                <w:highlight w:val="none"/>
              </w:rPr>
              <w:t>黑钙</w:t>
            </w:r>
            <w:r>
              <w:rPr>
                <w:rFonts w:ascii="Times New Roman" w:hAnsi="Times New Roman" w:cs="Times New Roman" w:eastAsiaTheme="minorEastAsia"/>
                <w:color w:val="auto"/>
                <w:w w:val="99"/>
                <w:kern w:val="2"/>
                <w:sz w:val="21"/>
                <w:szCs w:val="21"/>
                <w:highlight w:val="none"/>
              </w:rPr>
              <w:t>土</w:t>
            </w:r>
          </w:p>
        </w:tc>
        <w:tc>
          <w:tcPr>
            <w:tcW w:w="2143" w:type="pct"/>
            <w:vAlign w:val="center"/>
          </w:tcPr>
          <w:p w14:paraId="65C8CEFF">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《土壤环境质量 建设用地土壤污染风险管控标准（试行）》（GB36600-2018）第二类用地筛选值</w:t>
            </w:r>
          </w:p>
        </w:tc>
      </w:tr>
      <w:tr w14:paraId="033D9F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416" w:type="pct"/>
            <w:vMerge w:val="continue"/>
            <w:vAlign w:val="center"/>
          </w:tcPr>
          <w:p w14:paraId="707AA915">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p>
        </w:tc>
        <w:tc>
          <w:tcPr>
            <w:tcW w:w="2439" w:type="pct"/>
            <w:gridSpan w:val="3"/>
            <w:vAlign w:val="center"/>
          </w:tcPr>
          <w:p w14:paraId="2CB57088">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拟建井场边界外扩0.2km及管线、道路中心线两侧各200m的农用地土壤，主要为</w:t>
            </w:r>
            <w:r>
              <w:rPr>
                <w:rFonts w:hint="eastAsia" w:ascii="Times New Roman" w:hAnsi="Times New Roman" w:cs="Times New Roman" w:eastAsiaTheme="minorEastAsia"/>
                <w:color w:val="auto"/>
                <w:w w:val="99"/>
                <w:kern w:val="2"/>
                <w:sz w:val="21"/>
                <w:szCs w:val="21"/>
                <w:highlight w:val="none"/>
              </w:rPr>
              <w:t>耕地</w:t>
            </w:r>
            <w:r>
              <w:rPr>
                <w:rFonts w:ascii="Times New Roman" w:hAnsi="Times New Roman" w:cs="Times New Roman" w:eastAsiaTheme="minorEastAsia"/>
                <w:color w:val="auto"/>
                <w:w w:val="99"/>
                <w:kern w:val="2"/>
                <w:sz w:val="21"/>
                <w:szCs w:val="21"/>
                <w:highlight w:val="none"/>
              </w:rPr>
              <w:t>，土壤类型为</w:t>
            </w:r>
            <w:r>
              <w:rPr>
                <w:rFonts w:hint="eastAsia" w:ascii="Times New Roman" w:hAnsi="Times New Roman" w:cs="Times New Roman" w:eastAsiaTheme="minorEastAsia"/>
                <w:color w:val="auto"/>
                <w:w w:val="99"/>
                <w:kern w:val="2"/>
                <w:sz w:val="21"/>
                <w:szCs w:val="21"/>
                <w:highlight w:val="none"/>
              </w:rPr>
              <w:t>黑钙</w:t>
            </w:r>
            <w:r>
              <w:rPr>
                <w:rFonts w:ascii="Times New Roman" w:hAnsi="Times New Roman" w:cs="Times New Roman" w:eastAsiaTheme="minorEastAsia"/>
                <w:color w:val="auto"/>
                <w:w w:val="99"/>
                <w:kern w:val="2"/>
                <w:sz w:val="21"/>
                <w:szCs w:val="21"/>
                <w:highlight w:val="none"/>
              </w:rPr>
              <w:t>土</w:t>
            </w:r>
          </w:p>
        </w:tc>
        <w:tc>
          <w:tcPr>
            <w:tcW w:w="2143" w:type="pct"/>
            <w:vAlign w:val="center"/>
          </w:tcPr>
          <w:p w14:paraId="47AAEC72">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《土壤环境质量 农用地土壤污染风险管控标准（试行）》（GB15618-2018）表1中农用地土壤污染风险筛选值</w:t>
            </w:r>
          </w:p>
        </w:tc>
      </w:tr>
      <w:tr w14:paraId="290589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416" w:type="pct"/>
            <w:vMerge w:val="restart"/>
            <w:vAlign w:val="center"/>
          </w:tcPr>
          <w:p w14:paraId="6E1C6296">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生态环境</w:t>
            </w:r>
          </w:p>
        </w:tc>
        <w:tc>
          <w:tcPr>
            <w:tcW w:w="2439" w:type="pct"/>
            <w:gridSpan w:val="3"/>
            <w:vAlign w:val="center"/>
          </w:tcPr>
          <w:p w14:paraId="51FF0F14">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拟建井场边界外扩</w:t>
            </w:r>
            <w:r>
              <w:rPr>
                <w:rFonts w:hint="eastAsia" w:ascii="Times New Roman" w:hAnsi="Times New Roman" w:cs="Times New Roman" w:eastAsiaTheme="minorEastAsia"/>
                <w:color w:val="auto"/>
                <w:w w:val="99"/>
                <w:kern w:val="2"/>
                <w:sz w:val="21"/>
                <w:szCs w:val="21"/>
                <w:highlight w:val="none"/>
              </w:rPr>
              <w:t>50</w:t>
            </w:r>
            <w:r>
              <w:rPr>
                <w:rFonts w:ascii="Times New Roman" w:hAnsi="Times New Roman" w:cs="Times New Roman" w:eastAsiaTheme="minorEastAsia"/>
                <w:color w:val="auto"/>
                <w:w w:val="99"/>
                <w:kern w:val="2"/>
                <w:sz w:val="21"/>
                <w:szCs w:val="21"/>
                <w:highlight w:val="none"/>
              </w:rPr>
              <w:t>m范围及线、道路中心线两侧</w:t>
            </w:r>
            <w:r>
              <w:rPr>
                <w:rFonts w:hint="eastAsia" w:ascii="Times New Roman" w:hAnsi="Times New Roman" w:cs="Times New Roman" w:eastAsiaTheme="minorEastAsia"/>
                <w:color w:val="auto"/>
                <w:w w:val="99"/>
                <w:kern w:val="2"/>
                <w:sz w:val="21"/>
                <w:szCs w:val="21"/>
                <w:highlight w:val="none"/>
              </w:rPr>
              <w:t>3</w:t>
            </w:r>
            <w:r>
              <w:rPr>
                <w:rFonts w:ascii="Times New Roman" w:hAnsi="Times New Roman" w:cs="Times New Roman" w:eastAsiaTheme="minorEastAsia"/>
                <w:color w:val="auto"/>
                <w:w w:val="99"/>
                <w:kern w:val="2"/>
                <w:sz w:val="21"/>
                <w:szCs w:val="21"/>
                <w:highlight w:val="none"/>
              </w:rPr>
              <w:t>00m范围内的生态环境，主要为耕地</w:t>
            </w:r>
            <w:r>
              <w:rPr>
                <w:rFonts w:hint="eastAsia" w:ascii="Times New Roman" w:hAnsi="Times New Roman" w:cs="Times New Roman" w:eastAsiaTheme="minorEastAsia"/>
                <w:color w:val="auto"/>
                <w:w w:val="99"/>
                <w:kern w:val="2"/>
                <w:sz w:val="21"/>
                <w:szCs w:val="21"/>
                <w:highlight w:val="none"/>
              </w:rPr>
              <w:t>（永久基本农田）</w:t>
            </w:r>
          </w:p>
        </w:tc>
        <w:tc>
          <w:tcPr>
            <w:tcW w:w="2143" w:type="pct"/>
            <w:vAlign w:val="center"/>
          </w:tcPr>
          <w:p w14:paraId="40F2431D">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临时占用耕地施工结束后及时复耕</w:t>
            </w:r>
            <w:r>
              <w:rPr>
                <w:rFonts w:hint="eastAsia" w:ascii="Times New Roman" w:hAnsi="Times New Roman" w:cs="Times New Roman" w:eastAsiaTheme="minorEastAsia"/>
                <w:color w:val="auto"/>
                <w:w w:val="99"/>
                <w:kern w:val="2"/>
                <w:sz w:val="21"/>
                <w:szCs w:val="21"/>
                <w:highlight w:val="none"/>
              </w:rPr>
              <w:t>，</w:t>
            </w:r>
            <w:r>
              <w:rPr>
                <w:rFonts w:ascii="Times New Roman" w:hAnsi="Times New Roman" w:cs="Times New Roman" w:eastAsiaTheme="minorEastAsia"/>
                <w:color w:val="auto"/>
                <w:w w:val="99"/>
                <w:kern w:val="2"/>
                <w:sz w:val="21"/>
                <w:szCs w:val="21"/>
                <w:highlight w:val="none"/>
              </w:rPr>
              <w:t>永久占用耕地按照规定进行经济补偿</w:t>
            </w:r>
          </w:p>
        </w:tc>
      </w:tr>
      <w:tr w14:paraId="12FAE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416" w:type="pct"/>
            <w:vMerge w:val="continue"/>
            <w:vAlign w:val="center"/>
          </w:tcPr>
          <w:p w14:paraId="54659A31">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p>
        </w:tc>
        <w:tc>
          <w:tcPr>
            <w:tcW w:w="2439" w:type="pct"/>
            <w:gridSpan w:val="3"/>
            <w:vAlign w:val="center"/>
          </w:tcPr>
          <w:p w14:paraId="58D937CB">
            <w:pPr>
              <w:widowControl w:val="0"/>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评价范围内农田生态系统、周边土壤、自然植被、农作物、野生动物</w:t>
            </w:r>
          </w:p>
        </w:tc>
        <w:tc>
          <w:tcPr>
            <w:tcW w:w="2143" w:type="pct"/>
            <w:vAlign w:val="center"/>
          </w:tcPr>
          <w:p w14:paraId="203E5977">
            <w:pPr>
              <w:widowControl w:val="0"/>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color w:val="auto"/>
                <w:w w:val="99"/>
                <w:sz w:val="21"/>
                <w:szCs w:val="21"/>
                <w:highlight w:val="none"/>
              </w:rPr>
              <w:t>生态环境不受到破坏</w:t>
            </w:r>
          </w:p>
        </w:tc>
      </w:tr>
    </w:tbl>
    <w:p w14:paraId="3D9F5459">
      <w:pPr>
        <w:pStyle w:val="103"/>
        <w:ind w:left="0"/>
        <w:jc w:val="left"/>
        <w:rPr>
          <w:color w:val="auto"/>
          <w:w w:val="99"/>
          <w:highlight w:val="none"/>
        </w:rPr>
      </w:pPr>
    </w:p>
    <w:p w14:paraId="2473B1DA">
      <w:pPr>
        <w:pStyle w:val="4"/>
        <w:widowControl w:val="0"/>
        <w:spacing w:before="180" w:after="180" w:line="500" w:lineRule="exact"/>
        <w:rPr>
          <w:rFonts w:ascii="Times New Roman" w:hAnsi="Times New Roman" w:eastAsiaTheme="minorEastAsia"/>
          <w:b/>
          <w:snapToGrid w:val="0"/>
          <w:color w:val="auto"/>
          <w:w w:val="99"/>
          <w:sz w:val="30"/>
          <w:szCs w:val="30"/>
          <w:highlight w:val="none"/>
        </w:rPr>
        <w:sectPr>
          <w:type w:val="nextColumn"/>
          <w:pgSz w:w="11905" w:h="16838"/>
          <w:pgMar w:top="1417" w:right="1417" w:bottom="1417" w:left="1417" w:header="851" w:footer="992" w:gutter="0"/>
          <w:cols w:space="0" w:num="1"/>
          <w:docGrid w:type="lines" w:linePitch="335" w:charSpace="0"/>
        </w:sectPr>
      </w:pPr>
    </w:p>
    <w:bookmarkEnd w:id="153"/>
    <w:p w14:paraId="057AB1AB">
      <w:pPr>
        <w:pStyle w:val="4"/>
        <w:widowControl w:val="0"/>
        <w:spacing w:before="180" w:after="180" w:line="440" w:lineRule="exact"/>
        <w:rPr>
          <w:rFonts w:ascii="Times New Roman" w:hAnsi="Times New Roman" w:eastAsia="宋体"/>
          <w:b/>
          <w:snapToGrid w:val="0"/>
          <w:color w:val="auto"/>
          <w:w w:val="99"/>
          <w:sz w:val="30"/>
          <w:szCs w:val="30"/>
          <w:highlight w:val="none"/>
        </w:rPr>
      </w:pPr>
      <w:bookmarkStart w:id="401" w:name="_Toc502736463"/>
      <w:bookmarkStart w:id="402" w:name="_Toc30569"/>
      <w:r>
        <w:rPr>
          <w:rFonts w:ascii="Times New Roman" w:hAnsi="Times New Roman" w:eastAsia="宋体"/>
          <w:b/>
          <w:snapToGrid w:val="0"/>
          <w:color w:val="auto"/>
          <w:w w:val="99"/>
          <w:sz w:val="30"/>
          <w:szCs w:val="30"/>
          <w:highlight w:val="none"/>
        </w:rPr>
        <w:t>3建设项目工程分析</w:t>
      </w:r>
      <w:bookmarkEnd w:id="401"/>
      <w:bookmarkEnd w:id="402"/>
    </w:p>
    <w:p w14:paraId="4EFEACCF">
      <w:pPr>
        <w:widowControl w:val="0"/>
        <w:spacing w:before="120" w:after="120" w:line="440" w:lineRule="exact"/>
        <w:jc w:val="both"/>
        <w:outlineLvl w:val="1"/>
        <w:rPr>
          <w:rFonts w:ascii="Times New Roman" w:hAnsi="Times New Roman" w:cs="Times New Roman"/>
          <w:b/>
          <w:bCs/>
          <w:snapToGrid w:val="0"/>
          <w:color w:val="auto"/>
          <w:w w:val="99"/>
          <w:sz w:val="28"/>
          <w:szCs w:val="32"/>
          <w:highlight w:val="none"/>
        </w:rPr>
      </w:pPr>
      <w:bookmarkStart w:id="403" w:name="_Toc9951"/>
      <w:bookmarkStart w:id="404" w:name="_Toc173163526"/>
      <w:bookmarkStart w:id="405" w:name="_Toc502736464"/>
      <w:r>
        <w:rPr>
          <w:rFonts w:ascii="Times New Roman" w:hAnsi="Times New Roman" w:cs="Times New Roman"/>
          <w:b/>
          <w:bCs/>
          <w:snapToGrid w:val="0"/>
          <w:color w:val="auto"/>
          <w:w w:val="99"/>
          <w:sz w:val="28"/>
          <w:szCs w:val="32"/>
          <w:highlight w:val="none"/>
        </w:rPr>
        <w:t>3.1现有工程分析</w:t>
      </w:r>
      <w:bookmarkEnd w:id="403"/>
      <w:bookmarkEnd w:id="404"/>
    </w:p>
    <w:p w14:paraId="1B386A2D">
      <w:pPr>
        <w:widowControl w:val="0"/>
        <w:spacing w:line="500" w:lineRule="exact"/>
        <w:outlineLvl w:val="3"/>
        <w:rPr>
          <w:rFonts w:ascii="Times New Roman" w:hAnsi="Times New Roman" w:cs="Times New Roman"/>
          <w:b/>
          <w:color w:val="auto"/>
          <w:w w:val="99"/>
          <w:szCs w:val="20"/>
          <w:highlight w:val="none"/>
        </w:rPr>
      </w:pPr>
      <w:r>
        <w:rPr>
          <w:rFonts w:ascii="Times New Roman" w:hAnsi="Times New Roman" w:cs="Times New Roman"/>
          <w:b/>
          <w:color w:val="auto"/>
          <w:w w:val="99"/>
          <w:szCs w:val="20"/>
          <w:highlight w:val="none"/>
        </w:rPr>
        <w:t>3.1.1</w:t>
      </w:r>
      <w:r>
        <w:rPr>
          <w:rFonts w:hint="eastAsia" w:ascii="Times New Roman" w:hAnsi="Times New Roman" w:cs="Times New Roman"/>
          <w:b/>
          <w:color w:val="auto"/>
          <w:w w:val="99"/>
          <w:szCs w:val="20"/>
          <w:highlight w:val="none"/>
        </w:rPr>
        <w:t>.</w:t>
      </w:r>
      <w:r>
        <w:rPr>
          <w:rFonts w:ascii="Times New Roman" w:hAnsi="Times New Roman" w:cs="Times New Roman"/>
          <w:b/>
          <w:color w:val="auto"/>
          <w:w w:val="99"/>
          <w:szCs w:val="20"/>
          <w:highlight w:val="none"/>
        </w:rPr>
        <w:t>1徐深气田开发简况</w:t>
      </w:r>
    </w:p>
    <w:p w14:paraId="5E4E062E">
      <w:pPr>
        <w:spacing w:line="50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本项目拟在已开发的徐深气田徐深27区块</w:t>
      </w:r>
      <w:r>
        <w:rPr>
          <w:rFonts w:hint="eastAsia" w:ascii="Times New Roman" w:hAnsi="Times New Roman" w:cs="Times New Roman"/>
          <w:color w:val="auto"/>
          <w:w w:val="99"/>
          <w:highlight w:val="none"/>
        </w:rPr>
        <w:t>基建</w:t>
      </w:r>
      <w:r>
        <w:rPr>
          <w:rFonts w:ascii="Times New Roman" w:hAnsi="Times New Roman" w:cs="Times New Roman"/>
          <w:color w:val="auto"/>
          <w:w w:val="99"/>
          <w:highlight w:val="none"/>
        </w:rPr>
        <w:t>1口气井，徐深气田分布于黑龙江大庆市肇州县、绥化</w:t>
      </w:r>
      <w:r>
        <w:rPr>
          <w:rFonts w:hint="eastAsia" w:ascii="Times New Roman" w:hAnsi="Times New Roman" w:cs="Times New Roman"/>
          <w:color w:val="auto"/>
          <w:w w:val="99"/>
          <w:highlight w:val="none"/>
        </w:rPr>
        <w:t>肇东</w:t>
      </w:r>
      <w:r>
        <w:rPr>
          <w:rFonts w:ascii="Times New Roman" w:hAnsi="Times New Roman" w:cs="Times New Roman"/>
          <w:color w:val="auto"/>
          <w:w w:val="99"/>
          <w:highlight w:val="none"/>
        </w:rPr>
        <w:t>市境内，徐深气田主要有徐深1 区块、徐深 21 区块、徐深 8 区块、徐深 12 区块、徐深 9 区块等，本项目所在的徐深气田徐深 27区块位于黑龙江省绥化</w:t>
      </w:r>
      <w:r>
        <w:rPr>
          <w:rFonts w:hint="eastAsia" w:ascii="Times New Roman" w:hAnsi="Times New Roman" w:cs="Times New Roman"/>
          <w:color w:val="auto"/>
          <w:w w:val="99"/>
          <w:highlight w:val="none"/>
        </w:rPr>
        <w:t>肇东</w:t>
      </w:r>
      <w:r>
        <w:rPr>
          <w:rFonts w:ascii="Times New Roman" w:hAnsi="Times New Roman" w:cs="Times New Roman"/>
          <w:color w:val="auto"/>
          <w:w w:val="99"/>
          <w:highlight w:val="none"/>
        </w:rPr>
        <w:t>市境内，地理位置详见图3.1-1。</w:t>
      </w:r>
    </w:p>
    <w:p w14:paraId="724FF7A3">
      <w:pPr>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drawing>
          <wp:inline distT="0" distB="0" distL="114300" distR="114300">
            <wp:extent cx="4693920" cy="4283710"/>
            <wp:effectExtent l="9525" t="9525" r="20955" b="12065"/>
            <wp:docPr id="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6"/>
                    <pic:cNvPicPr>
                      <a:picLocks noChangeAspect="1"/>
                    </pic:cNvPicPr>
                  </pic:nvPicPr>
                  <pic:blipFill>
                    <a:blip r:embed="rId22"/>
                    <a:stretch>
                      <a:fillRect/>
                    </a:stretch>
                  </pic:blipFill>
                  <pic:spPr>
                    <a:xfrm>
                      <a:off x="0" y="0"/>
                      <a:ext cx="4693920" cy="4283710"/>
                    </a:xfrm>
                    <a:prstGeom prst="rect">
                      <a:avLst/>
                    </a:prstGeom>
                    <a:noFill/>
                    <a:ln w="6350" cap="flat" cmpd="sng">
                      <a:solidFill>
                        <a:srgbClr val="000000"/>
                      </a:solidFill>
                      <a:prstDash val="solid"/>
                      <a:miter/>
                      <a:headEnd type="none" w="med" len="med"/>
                      <a:tailEnd type="none" w="med" len="med"/>
                    </a:ln>
                  </pic:spPr>
                </pic:pic>
              </a:graphicData>
            </a:graphic>
          </wp:inline>
        </w:drawing>
      </w:r>
    </w:p>
    <w:p w14:paraId="00DC1BC2">
      <w:pPr>
        <w:spacing w:line="500" w:lineRule="exact"/>
        <w:ind w:firstLine="476" w:firstLineChars="200"/>
        <w:jc w:val="center"/>
        <w:rPr>
          <w:rFonts w:ascii="Times New Roman" w:hAnsi="Times New Roman" w:cs="Times New Roman"/>
          <w:b/>
          <w:bCs/>
          <w:color w:val="auto"/>
          <w:w w:val="99"/>
          <w:highlight w:val="none"/>
        </w:rPr>
      </w:pPr>
      <w:r>
        <w:rPr>
          <w:rFonts w:ascii="Times New Roman" w:hAnsi="Times New Roman" w:cs="Times New Roman"/>
          <w:b/>
          <w:bCs/>
          <w:color w:val="auto"/>
          <w:w w:val="99"/>
          <w:highlight w:val="none"/>
        </w:rPr>
        <w:t>图3.1-1   徐深气田区域位置示意图</w:t>
      </w:r>
    </w:p>
    <w:p w14:paraId="1721988D">
      <w:pPr>
        <w:widowControl w:val="0"/>
        <w:spacing w:line="50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徐深27区块于201</w:t>
      </w:r>
      <w:r>
        <w:rPr>
          <w:rFonts w:hint="eastAsia" w:ascii="Times New Roman" w:hAnsi="Times New Roman" w:cs="Times New Roman"/>
          <w:color w:val="auto"/>
          <w:w w:val="99"/>
          <w:highlight w:val="none"/>
        </w:rPr>
        <w:t>7</w:t>
      </w:r>
      <w:r>
        <w:rPr>
          <w:rFonts w:ascii="Times New Roman" w:hAnsi="Times New Roman" w:cs="Times New Roman"/>
          <w:color w:val="auto"/>
          <w:w w:val="99"/>
          <w:highlight w:val="none"/>
        </w:rPr>
        <w:t>年开始投</w:t>
      </w:r>
      <w:r>
        <w:rPr>
          <w:rFonts w:hint="eastAsia" w:ascii="Times New Roman" w:hAnsi="Times New Roman" w:cs="Times New Roman"/>
          <w:color w:val="auto"/>
          <w:w w:val="99"/>
          <w:highlight w:val="none"/>
        </w:rPr>
        <w:t>入开发</w:t>
      </w:r>
      <w:r>
        <w:rPr>
          <w:rFonts w:ascii="Times New Roman" w:hAnsi="Times New Roman" w:cs="Times New Roman"/>
          <w:color w:val="auto"/>
          <w:w w:val="99"/>
          <w:highlight w:val="none"/>
        </w:rPr>
        <w:t>，</w:t>
      </w:r>
      <w:r>
        <w:rPr>
          <w:rFonts w:hint="eastAsia" w:ascii="Times New Roman" w:hAnsi="Times New Roman" w:cs="Times New Roman"/>
          <w:color w:val="auto"/>
          <w:w w:val="99"/>
          <w:highlight w:val="none"/>
        </w:rPr>
        <w:t>属于滚动开发区块，</w:t>
      </w:r>
      <w:r>
        <w:rPr>
          <w:rFonts w:ascii="Times New Roman" w:hAnsi="Times New Roman" w:cs="Times New Roman"/>
          <w:color w:val="auto"/>
          <w:w w:val="99"/>
          <w:highlight w:val="none"/>
        </w:rPr>
        <w:t>目前共有3口气井，分别为徐深27、徐深213、徐深27-平1井，三口气井均进徐深27集气站，徐深27至集气站管线长度为1.07km，徐深213至集气站2.53km，徐深27-平1井至集气站管线长度为1.66km，日产气量约9万方</w:t>
      </w:r>
      <w:r>
        <w:rPr>
          <w:rFonts w:hint="eastAsia" w:ascii="Times New Roman" w:hAnsi="Times New Roman" w:cs="Times New Roman"/>
          <w:color w:val="auto"/>
          <w:w w:val="99"/>
          <w:highlight w:val="none"/>
        </w:rPr>
        <w:t>。</w:t>
      </w:r>
    </w:p>
    <w:p w14:paraId="7EE6201A">
      <w:pPr>
        <w:widowControl w:val="0"/>
        <w:spacing w:line="50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color w:val="auto"/>
          <w:w w:val="99"/>
          <w:highlight w:val="none"/>
        </w:rPr>
        <w:t>徐深27区块</w:t>
      </w:r>
      <w:r>
        <w:rPr>
          <w:rFonts w:hint="eastAsia" w:ascii="Times New Roman" w:hAnsi="Times New Roman" w:cs="Times New Roman"/>
          <w:color w:val="auto"/>
          <w:w w:val="99"/>
          <w:highlight w:val="none"/>
        </w:rPr>
        <w:t>共进行过两次环境影响评价，2015年9月编制了</w:t>
      </w:r>
      <w:r>
        <w:rPr>
          <w:rFonts w:ascii="Times New Roman" w:hAnsi="Times New Roman" w:cs="Times New Roman" w:eastAsiaTheme="minorEastAsia"/>
          <w:color w:val="auto"/>
          <w:w w:val="99"/>
          <w:highlight w:val="none"/>
        </w:rPr>
        <w:t>《徐深27-平1井钻井工程环境影响报告表》</w:t>
      </w:r>
      <w:r>
        <w:rPr>
          <w:rFonts w:ascii="Times New Roman" w:hAnsi="Times New Roman" w:cs="Times New Roman"/>
          <w:bCs/>
          <w:color w:val="auto"/>
          <w:w w:val="99"/>
          <w:kern w:val="2"/>
          <w:highlight w:val="none"/>
        </w:rPr>
        <w:t>，于20</w:t>
      </w:r>
      <w:r>
        <w:rPr>
          <w:rFonts w:hint="eastAsia" w:ascii="Times New Roman" w:hAnsi="Times New Roman" w:cs="Times New Roman"/>
          <w:bCs/>
          <w:color w:val="auto"/>
          <w:w w:val="99"/>
          <w:kern w:val="2"/>
          <w:highlight w:val="none"/>
        </w:rPr>
        <w:t>15</w:t>
      </w:r>
      <w:r>
        <w:rPr>
          <w:rFonts w:ascii="Times New Roman" w:hAnsi="Times New Roman" w:cs="Times New Roman"/>
          <w:bCs/>
          <w:color w:val="auto"/>
          <w:w w:val="99"/>
          <w:kern w:val="2"/>
          <w:highlight w:val="none"/>
        </w:rPr>
        <w:t>年</w:t>
      </w:r>
      <w:r>
        <w:rPr>
          <w:rFonts w:hint="eastAsia" w:ascii="Times New Roman" w:hAnsi="Times New Roman" w:cs="Times New Roman"/>
          <w:bCs/>
          <w:color w:val="auto"/>
          <w:w w:val="99"/>
          <w:kern w:val="2"/>
          <w:highlight w:val="none"/>
        </w:rPr>
        <w:t>9</w:t>
      </w:r>
      <w:r>
        <w:rPr>
          <w:rFonts w:ascii="Times New Roman" w:hAnsi="Times New Roman" w:cs="Times New Roman"/>
          <w:bCs/>
          <w:color w:val="auto"/>
          <w:w w:val="99"/>
          <w:kern w:val="2"/>
          <w:highlight w:val="none"/>
        </w:rPr>
        <w:t>月</w:t>
      </w:r>
      <w:r>
        <w:rPr>
          <w:rFonts w:hint="eastAsia" w:ascii="Times New Roman" w:hAnsi="Times New Roman" w:cs="Times New Roman"/>
          <w:bCs/>
          <w:color w:val="auto"/>
          <w:w w:val="99"/>
          <w:kern w:val="2"/>
          <w:highlight w:val="none"/>
        </w:rPr>
        <w:t>16</w:t>
      </w:r>
      <w:r>
        <w:rPr>
          <w:rFonts w:ascii="Times New Roman" w:hAnsi="Times New Roman" w:cs="Times New Roman"/>
          <w:bCs/>
          <w:color w:val="auto"/>
          <w:w w:val="99"/>
          <w:kern w:val="2"/>
          <w:highlight w:val="none"/>
        </w:rPr>
        <w:t>日由大庆市生态环境局（原大庆市环境保护局）进行了批复，批复文号为</w:t>
      </w:r>
      <w:r>
        <w:rPr>
          <w:rFonts w:ascii="Times New Roman" w:hAnsi="Times New Roman" w:cs="Times New Roman" w:eastAsiaTheme="minorEastAsia"/>
          <w:color w:val="auto"/>
          <w:w w:val="99"/>
          <w:highlight w:val="none"/>
        </w:rPr>
        <w:t>庆环审〔2015〕236号</w:t>
      </w:r>
      <w:r>
        <w:rPr>
          <w:rFonts w:ascii="Times New Roman" w:hAnsi="Times New Roman" w:cs="Times New Roman"/>
          <w:bCs/>
          <w:color w:val="auto"/>
          <w:w w:val="99"/>
          <w:kern w:val="2"/>
          <w:highlight w:val="none"/>
        </w:rPr>
        <w:t>，并于20</w:t>
      </w:r>
      <w:r>
        <w:rPr>
          <w:rFonts w:hint="eastAsia" w:ascii="Times New Roman" w:hAnsi="Times New Roman" w:cs="Times New Roman"/>
          <w:bCs/>
          <w:color w:val="auto"/>
          <w:w w:val="99"/>
          <w:kern w:val="2"/>
          <w:highlight w:val="none"/>
        </w:rPr>
        <w:t>19</w:t>
      </w:r>
      <w:r>
        <w:rPr>
          <w:rFonts w:ascii="Times New Roman" w:hAnsi="Times New Roman" w:cs="Times New Roman"/>
          <w:bCs/>
          <w:color w:val="auto"/>
          <w:w w:val="99"/>
          <w:kern w:val="2"/>
          <w:highlight w:val="none"/>
        </w:rPr>
        <w:t>年</w:t>
      </w:r>
      <w:r>
        <w:rPr>
          <w:rFonts w:hint="eastAsia" w:ascii="Times New Roman" w:hAnsi="Times New Roman" w:cs="Times New Roman"/>
          <w:bCs/>
          <w:color w:val="auto"/>
          <w:w w:val="99"/>
          <w:kern w:val="2"/>
          <w:highlight w:val="none"/>
        </w:rPr>
        <w:t>11</w:t>
      </w:r>
      <w:r>
        <w:rPr>
          <w:rFonts w:ascii="Times New Roman" w:hAnsi="Times New Roman" w:cs="Times New Roman"/>
          <w:bCs/>
          <w:color w:val="auto"/>
          <w:w w:val="99"/>
          <w:kern w:val="2"/>
          <w:highlight w:val="none"/>
        </w:rPr>
        <w:t>月完成自主验收</w:t>
      </w:r>
      <w:r>
        <w:rPr>
          <w:rFonts w:hint="eastAsia" w:ascii="Times New Roman" w:hAnsi="Times New Roman" w:cs="Times New Roman"/>
          <w:bCs/>
          <w:color w:val="auto"/>
          <w:w w:val="99"/>
          <w:kern w:val="2"/>
          <w:highlight w:val="none"/>
        </w:rPr>
        <w:t>；</w:t>
      </w:r>
      <w:r>
        <w:rPr>
          <w:rFonts w:hint="eastAsia" w:ascii="Times New Roman" w:hAnsi="Times New Roman" w:cs="Times New Roman" w:eastAsiaTheme="minorEastAsia"/>
          <w:color w:val="auto"/>
          <w:w w:val="99"/>
          <w:highlight w:val="none"/>
        </w:rPr>
        <w:t>2017年9月</w:t>
      </w:r>
      <w:r>
        <w:rPr>
          <w:rFonts w:hint="eastAsia" w:ascii="Times New Roman" w:hAnsi="Times New Roman" w:cs="Times New Roman"/>
          <w:color w:val="auto"/>
          <w:w w:val="99"/>
          <w:highlight w:val="none"/>
        </w:rPr>
        <w:t>编制了</w:t>
      </w:r>
      <w:r>
        <w:rPr>
          <w:rFonts w:ascii="Times New Roman" w:hAnsi="Times New Roman" w:cs="Times New Roman" w:eastAsiaTheme="minorEastAsia"/>
          <w:color w:val="auto"/>
          <w:w w:val="99"/>
          <w:highlight w:val="none"/>
        </w:rPr>
        <w:t>《2017年徐深气田徐深27井区产能建设工程环境影响报告书》</w:t>
      </w:r>
      <w:r>
        <w:rPr>
          <w:rFonts w:ascii="Times New Roman" w:hAnsi="Times New Roman" w:cs="Times New Roman"/>
          <w:bCs/>
          <w:color w:val="auto"/>
          <w:w w:val="99"/>
          <w:kern w:val="2"/>
          <w:highlight w:val="none"/>
        </w:rPr>
        <w:t>于20</w:t>
      </w:r>
      <w:r>
        <w:rPr>
          <w:rFonts w:hint="eastAsia" w:ascii="Times New Roman" w:hAnsi="Times New Roman" w:cs="Times New Roman"/>
          <w:bCs/>
          <w:color w:val="auto"/>
          <w:w w:val="99"/>
          <w:kern w:val="2"/>
          <w:highlight w:val="none"/>
        </w:rPr>
        <w:t>17</w:t>
      </w:r>
      <w:r>
        <w:rPr>
          <w:rFonts w:ascii="Times New Roman" w:hAnsi="Times New Roman" w:cs="Times New Roman"/>
          <w:bCs/>
          <w:color w:val="auto"/>
          <w:w w:val="99"/>
          <w:kern w:val="2"/>
          <w:highlight w:val="none"/>
        </w:rPr>
        <w:t>年</w:t>
      </w:r>
      <w:r>
        <w:rPr>
          <w:rFonts w:hint="eastAsia" w:ascii="Times New Roman" w:hAnsi="Times New Roman" w:cs="Times New Roman"/>
          <w:bCs/>
          <w:color w:val="auto"/>
          <w:w w:val="99"/>
          <w:kern w:val="2"/>
          <w:highlight w:val="none"/>
        </w:rPr>
        <w:t>9</w:t>
      </w:r>
      <w:r>
        <w:rPr>
          <w:rFonts w:ascii="Times New Roman" w:hAnsi="Times New Roman" w:cs="Times New Roman"/>
          <w:bCs/>
          <w:color w:val="auto"/>
          <w:w w:val="99"/>
          <w:kern w:val="2"/>
          <w:highlight w:val="none"/>
        </w:rPr>
        <w:t>月</w:t>
      </w:r>
      <w:r>
        <w:rPr>
          <w:rFonts w:hint="eastAsia" w:ascii="Times New Roman" w:hAnsi="Times New Roman" w:cs="Times New Roman"/>
          <w:bCs/>
          <w:color w:val="auto"/>
          <w:w w:val="99"/>
          <w:kern w:val="2"/>
          <w:highlight w:val="none"/>
        </w:rPr>
        <w:t>28</w:t>
      </w:r>
      <w:r>
        <w:rPr>
          <w:rFonts w:ascii="Times New Roman" w:hAnsi="Times New Roman" w:cs="Times New Roman"/>
          <w:bCs/>
          <w:color w:val="auto"/>
          <w:w w:val="99"/>
          <w:kern w:val="2"/>
          <w:highlight w:val="none"/>
        </w:rPr>
        <w:t>日由大庆市生态环境局（原大庆市环境保护局）进行了批复，批复文号为</w:t>
      </w:r>
      <w:r>
        <w:rPr>
          <w:rFonts w:ascii="Times New Roman" w:hAnsi="Times New Roman" w:cs="Times New Roman" w:eastAsiaTheme="minorEastAsia"/>
          <w:color w:val="auto"/>
          <w:w w:val="99"/>
          <w:highlight w:val="none"/>
        </w:rPr>
        <w:t>庆环审〔201</w:t>
      </w:r>
      <w:r>
        <w:rPr>
          <w:rFonts w:hint="eastAsia" w:ascii="Times New Roman" w:hAnsi="Times New Roman" w:cs="Times New Roman" w:eastAsiaTheme="minorEastAsia"/>
          <w:color w:val="auto"/>
          <w:w w:val="99"/>
          <w:highlight w:val="none"/>
        </w:rPr>
        <w:t>7</w:t>
      </w:r>
      <w:r>
        <w:rPr>
          <w:rFonts w:ascii="Times New Roman" w:hAnsi="Times New Roman" w:cs="Times New Roman" w:eastAsiaTheme="minorEastAsia"/>
          <w:color w:val="auto"/>
          <w:w w:val="99"/>
          <w:highlight w:val="none"/>
        </w:rPr>
        <w:t>〕</w:t>
      </w:r>
      <w:r>
        <w:rPr>
          <w:rFonts w:hint="eastAsia" w:ascii="Times New Roman" w:hAnsi="Times New Roman" w:cs="Times New Roman" w:eastAsiaTheme="minorEastAsia"/>
          <w:color w:val="auto"/>
          <w:w w:val="99"/>
          <w:highlight w:val="none"/>
        </w:rPr>
        <w:t>51</w:t>
      </w:r>
      <w:r>
        <w:rPr>
          <w:rFonts w:ascii="Times New Roman" w:hAnsi="Times New Roman" w:cs="Times New Roman" w:eastAsiaTheme="minorEastAsia"/>
          <w:color w:val="auto"/>
          <w:w w:val="99"/>
          <w:highlight w:val="none"/>
        </w:rPr>
        <w:t>号</w:t>
      </w:r>
      <w:r>
        <w:rPr>
          <w:rFonts w:ascii="Times New Roman" w:hAnsi="Times New Roman" w:cs="Times New Roman"/>
          <w:bCs/>
          <w:color w:val="auto"/>
          <w:w w:val="99"/>
          <w:kern w:val="2"/>
          <w:highlight w:val="none"/>
        </w:rPr>
        <w:t>，并于20</w:t>
      </w:r>
      <w:r>
        <w:rPr>
          <w:rFonts w:hint="eastAsia" w:ascii="Times New Roman" w:hAnsi="Times New Roman" w:cs="Times New Roman"/>
          <w:bCs/>
          <w:color w:val="auto"/>
          <w:w w:val="99"/>
          <w:kern w:val="2"/>
          <w:highlight w:val="none"/>
        </w:rPr>
        <w:t>19</w:t>
      </w:r>
      <w:r>
        <w:rPr>
          <w:rFonts w:ascii="Times New Roman" w:hAnsi="Times New Roman" w:cs="Times New Roman"/>
          <w:bCs/>
          <w:color w:val="auto"/>
          <w:w w:val="99"/>
          <w:kern w:val="2"/>
          <w:highlight w:val="none"/>
        </w:rPr>
        <w:t>年</w:t>
      </w:r>
      <w:r>
        <w:rPr>
          <w:rFonts w:hint="eastAsia" w:ascii="Times New Roman" w:hAnsi="Times New Roman" w:cs="Times New Roman"/>
          <w:bCs/>
          <w:color w:val="auto"/>
          <w:w w:val="99"/>
          <w:kern w:val="2"/>
          <w:highlight w:val="none"/>
        </w:rPr>
        <w:t>11</w:t>
      </w:r>
      <w:r>
        <w:rPr>
          <w:rFonts w:ascii="Times New Roman" w:hAnsi="Times New Roman" w:cs="Times New Roman"/>
          <w:bCs/>
          <w:color w:val="auto"/>
          <w:w w:val="99"/>
          <w:kern w:val="2"/>
          <w:highlight w:val="none"/>
        </w:rPr>
        <w:t>月完成自主验收</w:t>
      </w:r>
      <w:r>
        <w:rPr>
          <w:rFonts w:hint="eastAsia" w:ascii="Times New Roman" w:hAnsi="Times New Roman" w:cs="Times New Roman"/>
          <w:bCs/>
          <w:color w:val="auto"/>
          <w:w w:val="99"/>
          <w:kern w:val="2"/>
          <w:highlight w:val="none"/>
        </w:rPr>
        <w:t>；</w:t>
      </w:r>
    </w:p>
    <w:p w14:paraId="5D6A8AB4">
      <w:pPr>
        <w:widowControl w:val="0"/>
        <w:spacing w:line="500" w:lineRule="exact"/>
        <w:ind w:firstLine="474" w:firstLineChars="200"/>
        <w:rPr>
          <w:rFonts w:ascii="Times New Roman" w:hAnsi="Times New Roman" w:cs="Times New Roman"/>
          <w:color w:val="auto"/>
          <w:w w:val="99"/>
          <w:highlight w:val="none"/>
        </w:rPr>
      </w:pPr>
      <w:r>
        <w:rPr>
          <w:rFonts w:hint="eastAsia" w:ascii="Times New Roman" w:hAnsi="Times New Roman" w:cs="Times New Roman"/>
          <w:color w:val="auto"/>
          <w:w w:val="99"/>
          <w:highlight w:val="none"/>
        </w:rPr>
        <w:t>本项目</w:t>
      </w:r>
      <w:r>
        <w:rPr>
          <w:rFonts w:ascii="Times New Roman" w:hAnsi="Times New Roman" w:cs="Times New Roman"/>
          <w:color w:val="auto"/>
          <w:w w:val="99"/>
          <w:highlight w:val="none"/>
        </w:rPr>
        <w:t>区块</w:t>
      </w:r>
      <w:r>
        <w:rPr>
          <w:rFonts w:hint="eastAsia" w:ascii="Times New Roman" w:hAnsi="Times New Roman" w:cs="Times New Roman"/>
          <w:color w:val="auto"/>
          <w:w w:val="99"/>
          <w:highlight w:val="none"/>
        </w:rPr>
        <w:t>所在</w:t>
      </w:r>
      <w:r>
        <w:rPr>
          <w:rFonts w:ascii="Times New Roman" w:hAnsi="Times New Roman" w:cs="Times New Roman"/>
          <w:color w:val="auto"/>
          <w:w w:val="99"/>
          <w:highlight w:val="none"/>
        </w:rPr>
        <w:t>徐深气田内已建有气、水、电、道路等工程。</w:t>
      </w:r>
    </w:p>
    <w:p w14:paraId="5B580A5C">
      <w:pPr>
        <w:widowControl w:val="0"/>
        <w:spacing w:line="500" w:lineRule="exact"/>
        <w:ind w:firstLine="476" w:firstLineChars="200"/>
        <w:rPr>
          <w:rFonts w:ascii="Times New Roman" w:hAnsi="Times New Roman" w:cs="Times New Roman" w:eastAsiaTheme="minorEastAsia"/>
          <w:b/>
          <w:color w:val="auto"/>
          <w:w w:val="99"/>
          <w:kern w:val="2"/>
          <w:highlight w:val="none"/>
        </w:rPr>
      </w:pPr>
      <w:r>
        <w:rPr>
          <w:rFonts w:ascii="Times New Roman" w:hAnsi="Times New Roman" w:cs="Times New Roman" w:eastAsiaTheme="minorEastAsia"/>
          <w:b/>
          <w:color w:val="auto"/>
          <w:w w:val="99"/>
          <w:kern w:val="2"/>
          <w:highlight w:val="none"/>
        </w:rPr>
        <w:t>表3.</w:t>
      </w:r>
      <w:r>
        <w:rPr>
          <w:rFonts w:hint="eastAsia" w:ascii="Times New Roman" w:hAnsi="Times New Roman" w:cs="Times New Roman" w:eastAsiaTheme="minorEastAsia"/>
          <w:b/>
          <w:color w:val="auto"/>
          <w:w w:val="99"/>
          <w:kern w:val="2"/>
          <w:highlight w:val="none"/>
        </w:rPr>
        <w:t>1</w:t>
      </w:r>
      <w:r>
        <w:rPr>
          <w:rFonts w:ascii="Times New Roman" w:hAnsi="Times New Roman" w:cs="Times New Roman" w:eastAsiaTheme="minorEastAsia"/>
          <w:b/>
          <w:color w:val="auto"/>
          <w:w w:val="99"/>
          <w:kern w:val="2"/>
          <w:highlight w:val="none"/>
        </w:rPr>
        <w:t>-</w:t>
      </w:r>
      <w:r>
        <w:rPr>
          <w:rFonts w:hint="eastAsia" w:ascii="Times New Roman" w:hAnsi="Times New Roman" w:cs="Times New Roman" w:eastAsiaTheme="minorEastAsia"/>
          <w:b/>
          <w:color w:val="auto"/>
          <w:w w:val="99"/>
          <w:kern w:val="2"/>
          <w:highlight w:val="none"/>
        </w:rPr>
        <w:t xml:space="preserve">1   </w:t>
      </w:r>
      <w:r>
        <w:rPr>
          <w:rFonts w:ascii="Times New Roman" w:hAnsi="Times New Roman" w:cs="Times New Roman" w:eastAsiaTheme="minorEastAsia"/>
          <w:b/>
          <w:color w:val="auto"/>
          <w:w w:val="99"/>
          <w:kern w:val="2"/>
          <w:highlight w:val="none"/>
        </w:rPr>
        <w:t xml:space="preserve"> </w:t>
      </w:r>
      <w:r>
        <w:rPr>
          <w:rFonts w:hint="eastAsia" w:ascii="Times New Roman" w:hAnsi="Times New Roman" w:cs="Times New Roman" w:eastAsiaTheme="minorEastAsia"/>
          <w:b/>
          <w:color w:val="auto"/>
          <w:w w:val="99"/>
          <w:kern w:val="2"/>
          <w:highlight w:val="none"/>
        </w:rPr>
        <w:t>本项目可依托</w:t>
      </w:r>
      <w:r>
        <w:rPr>
          <w:rFonts w:ascii="Times New Roman" w:hAnsi="Times New Roman" w:cs="Times New Roman" w:eastAsiaTheme="minorEastAsia"/>
          <w:b/>
          <w:color w:val="auto"/>
          <w:w w:val="99"/>
          <w:kern w:val="2"/>
          <w:highlight w:val="none"/>
        </w:rPr>
        <w:t>各类站统计表</w:t>
      </w:r>
    </w:p>
    <w:tbl>
      <w:tblPr>
        <w:tblStyle w:val="8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39"/>
        <w:gridCol w:w="1657"/>
        <w:gridCol w:w="1184"/>
        <w:gridCol w:w="5600"/>
      </w:tblGrid>
      <w:tr w14:paraId="6FA10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blHeader/>
          <w:jc w:val="center"/>
        </w:trPr>
        <w:tc>
          <w:tcPr>
            <w:tcW w:w="352" w:type="pct"/>
            <w:vAlign w:val="center"/>
          </w:tcPr>
          <w:p w14:paraId="5B9245A2">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序号</w:t>
            </w:r>
          </w:p>
        </w:tc>
        <w:tc>
          <w:tcPr>
            <w:tcW w:w="912" w:type="pct"/>
            <w:vAlign w:val="center"/>
          </w:tcPr>
          <w:p w14:paraId="15864C5E">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类别</w:t>
            </w:r>
          </w:p>
        </w:tc>
        <w:tc>
          <w:tcPr>
            <w:tcW w:w="652" w:type="pct"/>
            <w:vAlign w:val="center"/>
          </w:tcPr>
          <w:p w14:paraId="5C2C76EE">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数量（座）</w:t>
            </w:r>
          </w:p>
        </w:tc>
        <w:tc>
          <w:tcPr>
            <w:tcW w:w="3083" w:type="pct"/>
            <w:vAlign w:val="center"/>
          </w:tcPr>
          <w:p w14:paraId="30DB7EEC">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站名</w:t>
            </w:r>
          </w:p>
        </w:tc>
      </w:tr>
      <w:tr w14:paraId="4B623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352" w:type="pct"/>
            <w:vAlign w:val="center"/>
          </w:tcPr>
          <w:p w14:paraId="0F2C9691">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p>
        </w:tc>
        <w:tc>
          <w:tcPr>
            <w:tcW w:w="912" w:type="pct"/>
            <w:vAlign w:val="center"/>
          </w:tcPr>
          <w:p w14:paraId="3C98FCA3">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集气站</w:t>
            </w:r>
          </w:p>
        </w:tc>
        <w:tc>
          <w:tcPr>
            <w:tcW w:w="652" w:type="pct"/>
            <w:vAlign w:val="center"/>
          </w:tcPr>
          <w:p w14:paraId="5420C963">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w:t>
            </w:r>
          </w:p>
        </w:tc>
        <w:tc>
          <w:tcPr>
            <w:tcW w:w="3083" w:type="pct"/>
            <w:vAlign w:val="center"/>
          </w:tcPr>
          <w:p w14:paraId="08DAC272">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徐深27集气站</w:t>
            </w:r>
          </w:p>
        </w:tc>
      </w:tr>
      <w:tr w14:paraId="53DCA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352" w:type="pct"/>
            <w:vAlign w:val="center"/>
          </w:tcPr>
          <w:p w14:paraId="12C9E0B8">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w:t>
            </w:r>
          </w:p>
        </w:tc>
        <w:tc>
          <w:tcPr>
            <w:tcW w:w="912" w:type="pct"/>
            <w:vAlign w:val="center"/>
          </w:tcPr>
          <w:p w14:paraId="65BEB886">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污水处理站</w:t>
            </w:r>
          </w:p>
        </w:tc>
        <w:tc>
          <w:tcPr>
            <w:tcW w:w="652" w:type="pct"/>
            <w:vAlign w:val="center"/>
          </w:tcPr>
          <w:p w14:paraId="60B9EA08">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w:t>
            </w:r>
          </w:p>
        </w:tc>
        <w:tc>
          <w:tcPr>
            <w:tcW w:w="3083" w:type="pct"/>
            <w:vAlign w:val="center"/>
          </w:tcPr>
          <w:p w14:paraId="575430B0">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升一联气田污水预处理站</w:t>
            </w:r>
          </w:p>
        </w:tc>
      </w:tr>
    </w:tbl>
    <w:p w14:paraId="332C7EB4">
      <w:pPr>
        <w:keepNext w:val="0"/>
        <w:keepLines w:val="0"/>
        <w:pageBreakBefore w:val="0"/>
        <w:widowControl/>
        <w:kinsoku/>
        <w:wordWrap/>
        <w:overflowPunct/>
        <w:topLinePunct w:val="0"/>
        <w:autoSpaceDE/>
        <w:autoSpaceDN/>
        <w:bidi w:val="0"/>
        <w:adjustRightInd/>
        <w:snapToGrid/>
        <w:spacing w:line="500" w:lineRule="exact"/>
        <w:jc w:val="both"/>
        <w:textAlignment w:val="auto"/>
        <w:rPr>
          <w:rFonts w:ascii="Times New Roman" w:hAnsi="Times New Roman" w:cs="Times New Roman" w:eastAsiaTheme="minorEastAsia"/>
          <w:b/>
          <w:color w:val="auto"/>
          <w:w w:val="99"/>
          <w:kern w:val="2"/>
          <w:highlight w:val="none"/>
        </w:rPr>
      </w:pPr>
      <w:r>
        <w:rPr>
          <w:rFonts w:hint="eastAsia"/>
          <w:color w:val="auto"/>
          <w:highlight w:val="none"/>
          <w:lang w:val="en-US" w:eastAsia="zh-CN"/>
        </w:rPr>
        <w:t xml:space="preserve">  </w:t>
      </w:r>
      <w:r>
        <w:rPr>
          <w:rFonts w:hint="eastAsia" w:ascii="Times New Roman" w:hAnsi="Times New Roman" w:cs="Times New Roman" w:eastAsiaTheme="minorEastAsia"/>
          <w:b/>
          <w:color w:val="auto"/>
          <w:w w:val="99"/>
          <w:kern w:val="2"/>
          <w:highlight w:val="none"/>
          <w:lang w:val="en-US" w:eastAsia="zh-CN"/>
        </w:rPr>
        <w:t xml:space="preserve"> </w:t>
      </w:r>
      <w:r>
        <w:rPr>
          <w:rFonts w:ascii="Times New Roman" w:hAnsi="Times New Roman" w:cs="Times New Roman" w:eastAsiaTheme="minorEastAsia"/>
          <w:b/>
          <w:color w:val="auto"/>
          <w:w w:val="99"/>
          <w:kern w:val="2"/>
          <w:highlight w:val="none"/>
        </w:rPr>
        <w:t>表 3.1-</w:t>
      </w:r>
      <w:r>
        <w:rPr>
          <w:rFonts w:hint="eastAsia" w:ascii="Times New Roman" w:hAnsi="Times New Roman" w:cs="Times New Roman" w:eastAsiaTheme="minorEastAsia"/>
          <w:b/>
          <w:color w:val="auto"/>
          <w:w w:val="99"/>
          <w:kern w:val="2"/>
          <w:highlight w:val="none"/>
          <w:lang w:val="en-US" w:eastAsia="zh-CN"/>
        </w:rPr>
        <w:t>2</w:t>
      </w:r>
      <w:r>
        <w:rPr>
          <w:rFonts w:ascii="Times New Roman" w:hAnsi="Times New Roman" w:cs="Times New Roman" w:eastAsiaTheme="minorEastAsia"/>
          <w:b/>
          <w:color w:val="auto"/>
          <w:w w:val="99"/>
          <w:kern w:val="2"/>
          <w:highlight w:val="none"/>
        </w:rPr>
        <w:t xml:space="preserve">        现有工程组成一览表</w:t>
      </w:r>
    </w:p>
    <w:tbl>
      <w:tblPr>
        <w:tblStyle w:val="1662"/>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33"/>
        <w:gridCol w:w="460"/>
        <w:gridCol w:w="1283"/>
        <w:gridCol w:w="6718"/>
      </w:tblGrid>
      <w:tr w14:paraId="358FD1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48" w:type="pct"/>
            <w:tcBorders>
              <w:top w:val="single" w:color="000000" w:sz="10" w:space="0"/>
              <w:left w:val="single" w:color="000000" w:sz="10" w:space="0"/>
            </w:tcBorders>
            <w:vAlign w:val="center"/>
          </w:tcPr>
          <w:p w14:paraId="5069734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类别</w:t>
            </w:r>
          </w:p>
        </w:tc>
        <w:tc>
          <w:tcPr>
            <w:tcW w:w="957" w:type="pct"/>
            <w:gridSpan w:val="2"/>
            <w:tcBorders>
              <w:top w:val="single" w:color="000000" w:sz="10" w:space="0"/>
            </w:tcBorders>
            <w:vAlign w:val="center"/>
          </w:tcPr>
          <w:p w14:paraId="674958B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工程名称</w:t>
            </w:r>
          </w:p>
        </w:tc>
        <w:tc>
          <w:tcPr>
            <w:tcW w:w="3693" w:type="pct"/>
            <w:tcBorders>
              <w:top w:val="single" w:color="000000" w:sz="10" w:space="0"/>
              <w:right w:val="single" w:color="000000" w:sz="10" w:space="0"/>
            </w:tcBorders>
            <w:vAlign w:val="center"/>
          </w:tcPr>
          <w:p w14:paraId="4D428ED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规模及建设内容</w:t>
            </w:r>
          </w:p>
        </w:tc>
      </w:tr>
      <w:tr w14:paraId="3571A1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48" w:type="pct"/>
            <w:vMerge w:val="restart"/>
            <w:tcBorders>
              <w:left w:val="single" w:color="000000" w:sz="10" w:space="0"/>
              <w:bottom w:val="nil"/>
            </w:tcBorders>
            <w:vAlign w:val="center"/>
          </w:tcPr>
          <w:p w14:paraId="022A186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主体 工程</w:t>
            </w:r>
          </w:p>
        </w:tc>
        <w:tc>
          <w:tcPr>
            <w:tcW w:w="253" w:type="pct"/>
            <w:vMerge w:val="restart"/>
            <w:tcBorders>
              <w:bottom w:val="nil"/>
            </w:tcBorders>
            <w:vAlign w:val="center"/>
          </w:tcPr>
          <w:p w14:paraId="289A1EF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lang w:val="en-US" w:eastAsia="zh-CN"/>
              </w:rPr>
              <w:t>集输工</w:t>
            </w:r>
            <w:r>
              <w:rPr>
                <w:rFonts w:hint="eastAsia" w:ascii="Times New Roman" w:hAnsi="Times New Roman" w:eastAsia="宋体" w:cs="Times New Roman"/>
                <w:color w:val="auto"/>
                <w:w w:val="99"/>
                <w:sz w:val="21"/>
                <w:szCs w:val="21"/>
                <w:highlight w:val="none"/>
              </w:rPr>
              <w:t>程</w:t>
            </w:r>
          </w:p>
        </w:tc>
        <w:tc>
          <w:tcPr>
            <w:tcW w:w="704" w:type="pct"/>
            <w:vAlign w:val="center"/>
          </w:tcPr>
          <w:p w14:paraId="13A51AC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采气工程</w:t>
            </w:r>
          </w:p>
        </w:tc>
        <w:tc>
          <w:tcPr>
            <w:tcW w:w="3693" w:type="pct"/>
            <w:tcBorders>
              <w:right w:val="single" w:color="000000" w:sz="10" w:space="0"/>
            </w:tcBorders>
            <w:vAlign w:val="center"/>
          </w:tcPr>
          <w:p w14:paraId="7E0B6167">
            <w:pPr>
              <w:keepNext w:val="0"/>
              <w:keepLines w:val="0"/>
              <w:pageBreakBefore w:val="0"/>
              <w:widowControl w:val="0"/>
              <w:kinsoku/>
              <w:wordWrap/>
              <w:overflowPunct/>
              <w:topLinePunct w:val="0"/>
              <w:autoSpaceDE/>
              <w:autoSpaceDN/>
              <w:bidi w:val="0"/>
              <w:adjustRightInd w:val="0"/>
              <w:snapToGrid w:val="0"/>
              <w:spacing w:line="360" w:lineRule="exact"/>
              <w:ind w:firstLine="414" w:firstLineChars="200"/>
              <w:jc w:val="both"/>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cs="Times New Roman"/>
                <w:bCs/>
                <w:color w:val="auto"/>
                <w:w w:val="99"/>
                <w:kern w:val="2"/>
                <w:sz w:val="21"/>
                <w:szCs w:val="21"/>
                <w:highlight w:val="none"/>
                <w:lang w:val="en-US" w:eastAsia="zh-CN"/>
              </w:rPr>
              <w:t>徐深27区块</w:t>
            </w:r>
            <w:r>
              <w:rPr>
                <w:rFonts w:ascii="Times New Roman" w:hAnsi="Times New Roman" w:cs="Times New Roman"/>
                <w:bCs/>
                <w:color w:val="auto"/>
                <w:w w:val="99"/>
                <w:kern w:val="2"/>
                <w:sz w:val="21"/>
                <w:szCs w:val="21"/>
                <w:highlight w:val="none"/>
              </w:rPr>
              <w:t>区块共有运行的</w:t>
            </w:r>
            <w:r>
              <w:rPr>
                <w:rFonts w:hint="eastAsia" w:ascii="Times New Roman" w:hAnsi="Times New Roman" w:cs="Times New Roman"/>
                <w:bCs/>
                <w:color w:val="auto"/>
                <w:w w:val="99"/>
                <w:kern w:val="2"/>
                <w:sz w:val="21"/>
                <w:szCs w:val="21"/>
                <w:highlight w:val="none"/>
                <w:lang w:val="en-US" w:eastAsia="zh-CN"/>
              </w:rPr>
              <w:t>气</w:t>
            </w:r>
            <w:r>
              <w:rPr>
                <w:rFonts w:ascii="Times New Roman" w:hAnsi="Times New Roman" w:cs="Times New Roman"/>
                <w:bCs/>
                <w:color w:val="auto"/>
                <w:w w:val="99"/>
                <w:kern w:val="2"/>
                <w:sz w:val="21"/>
                <w:szCs w:val="21"/>
                <w:highlight w:val="none"/>
              </w:rPr>
              <w:t>井</w:t>
            </w:r>
            <w:r>
              <w:rPr>
                <w:rFonts w:hint="eastAsia" w:ascii="Times New Roman" w:hAnsi="Times New Roman" w:cs="Times New Roman"/>
                <w:bCs/>
                <w:color w:val="auto"/>
                <w:w w:val="99"/>
                <w:kern w:val="2"/>
                <w:sz w:val="21"/>
                <w:szCs w:val="21"/>
                <w:highlight w:val="none"/>
                <w:lang w:val="en-US" w:eastAsia="zh-CN"/>
              </w:rPr>
              <w:t>3</w:t>
            </w:r>
            <w:r>
              <w:rPr>
                <w:rFonts w:ascii="Times New Roman" w:hAnsi="Times New Roman" w:cs="Times New Roman"/>
                <w:bCs/>
                <w:color w:val="auto"/>
                <w:w w:val="99"/>
                <w:kern w:val="2"/>
                <w:sz w:val="21"/>
                <w:szCs w:val="21"/>
                <w:highlight w:val="none"/>
              </w:rPr>
              <w:t>口，日产气量约9万方</w:t>
            </w:r>
            <w:r>
              <w:rPr>
                <w:rFonts w:hint="eastAsia" w:ascii="Times New Roman" w:hAnsi="Times New Roman" w:cs="Times New Roman"/>
                <w:color w:val="auto"/>
                <w:w w:val="99"/>
                <w:sz w:val="21"/>
                <w:szCs w:val="21"/>
                <w:highlight w:val="none"/>
                <w:lang w:val="en-US" w:eastAsia="zh-CN"/>
              </w:rPr>
              <w:t>。</w:t>
            </w:r>
          </w:p>
        </w:tc>
      </w:tr>
      <w:tr w14:paraId="1421A4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48" w:type="pct"/>
            <w:vMerge w:val="continue"/>
            <w:tcBorders>
              <w:top w:val="nil"/>
              <w:left w:val="single" w:color="000000" w:sz="10" w:space="0"/>
              <w:bottom w:val="nil"/>
            </w:tcBorders>
            <w:vAlign w:val="center"/>
          </w:tcPr>
          <w:p w14:paraId="231925D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99"/>
                <w:sz w:val="21"/>
                <w:szCs w:val="21"/>
                <w:highlight w:val="none"/>
              </w:rPr>
            </w:pPr>
          </w:p>
        </w:tc>
        <w:tc>
          <w:tcPr>
            <w:tcW w:w="253" w:type="pct"/>
            <w:vMerge w:val="continue"/>
            <w:tcBorders>
              <w:top w:val="nil"/>
            </w:tcBorders>
            <w:vAlign w:val="center"/>
          </w:tcPr>
          <w:p w14:paraId="73BB281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99"/>
                <w:sz w:val="21"/>
                <w:szCs w:val="21"/>
                <w:highlight w:val="none"/>
              </w:rPr>
            </w:pPr>
          </w:p>
        </w:tc>
        <w:tc>
          <w:tcPr>
            <w:tcW w:w="704" w:type="pct"/>
            <w:vAlign w:val="center"/>
          </w:tcPr>
          <w:p w14:paraId="05A6854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天然气</w:t>
            </w:r>
            <w:r>
              <w:rPr>
                <w:rFonts w:hint="eastAsia" w:ascii="Times New Roman" w:hAnsi="Times New Roman" w:eastAsia="宋体" w:cs="Times New Roman"/>
                <w:color w:val="auto"/>
                <w:w w:val="99"/>
                <w:sz w:val="21"/>
                <w:szCs w:val="21"/>
                <w:highlight w:val="none"/>
              </w:rPr>
              <w:t>处理</w:t>
            </w:r>
            <w:r>
              <w:rPr>
                <w:rFonts w:hint="eastAsia" w:ascii="Times New Roman" w:hAnsi="Times New Roman" w:eastAsia="宋体" w:cs="Times New Roman"/>
                <w:color w:val="auto"/>
                <w:w w:val="99"/>
                <w:sz w:val="21"/>
                <w:szCs w:val="21"/>
                <w:highlight w:val="none"/>
                <w:lang w:val="en-US" w:eastAsia="zh-CN"/>
              </w:rPr>
              <w:t>工程</w:t>
            </w:r>
          </w:p>
        </w:tc>
        <w:tc>
          <w:tcPr>
            <w:tcW w:w="3693" w:type="pct"/>
            <w:tcBorders>
              <w:right w:val="single" w:color="000000" w:sz="10" w:space="0"/>
            </w:tcBorders>
            <w:vAlign w:val="center"/>
          </w:tcPr>
          <w:p w14:paraId="40EC05C8">
            <w:pPr>
              <w:keepNext w:val="0"/>
              <w:keepLines w:val="0"/>
              <w:pageBreakBefore w:val="0"/>
              <w:widowControl w:val="0"/>
              <w:kinsoku/>
              <w:wordWrap/>
              <w:overflowPunct/>
              <w:topLinePunct w:val="0"/>
              <w:autoSpaceDE/>
              <w:autoSpaceDN/>
              <w:bidi w:val="0"/>
              <w:adjustRightInd w:val="0"/>
              <w:snapToGrid w:val="0"/>
              <w:spacing w:line="360" w:lineRule="exact"/>
              <w:ind w:firstLine="414" w:firstLineChars="200"/>
              <w:jc w:val="both"/>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lang w:val="en-US" w:eastAsia="zh-CN"/>
              </w:rPr>
              <w:t>气井采出气经徐深27集气站</w:t>
            </w:r>
            <w:r>
              <w:rPr>
                <w:rFonts w:hint="eastAsia" w:ascii="Times New Roman" w:hAnsi="Times New Roman" w:eastAsia="宋体" w:cs="Times New Roman"/>
                <w:color w:val="auto"/>
                <w:w w:val="99"/>
                <w:sz w:val="21"/>
                <w:szCs w:val="21"/>
                <w:highlight w:val="none"/>
              </w:rPr>
              <w:t>处理后</w:t>
            </w:r>
            <w:r>
              <w:rPr>
                <w:rFonts w:hint="eastAsia" w:ascii="Times New Roman" w:hAnsi="Times New Roman" w:eastAsia="宋体" w:cs="Times New Roman"/>
                <w:color w:val="auto"/>
                <w:w w:val="99"/>
                <w:sz w:val="21"/>
                <w:szCs w:val="21"/>
                <w:highlight w:val="none"/>
                <w:lang w:val="en-US" w:eastAsia="zh-CN"/>
              </w:rPr>
              <w:t>外输</w:t>
            </w:r>
            <w:r>
              <w:rPr>
                <w:rFonts w:hint="eastAsia" w:ascii="Times New Roman" w:hAnsi="Times New Roman" w:eastAsia="宋体" w:cs="Times New Roman"/>
                <w:color w:val="auto"/>
                <w:w w:val="99"/>
                <w:sz w:val="21"/>
                <w:szCs w:val="21"/>
                <w:highlight w:val="none"/>
              </w:rPr>
              <w:t>。</w:t>
            </w:r>
          </w:p>
        </w:tc>
      </w:tr>
      <w:tr w14:paraId="10067B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48" w:type="pct"/>
            <w:vMerge w:val="restart"/>
            <w:tcBorders>
              <w:left w:val="single" w:color="000000" w:sz="10" w:space="0"/>
            </w:tcBorders>
            <w:vAlign w:val="center"/>
          </w:tcPr>
          <w:p w14:paraId="3988BC7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辅助 工程</w:t>
            </w:r>
          </w:p>
        </w:tc>
        <w:tc>
          <w:tcPr>
            <w:tcW w:w="957" w:type="pct"/>
            <w:gridSpan w:val="2"/>
            <w:vAlign w:val="center"/>
          </w:tcPr>
          <w:p w14:paraId="23A485C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道路工程</w:t>
            </w:r>
          </w:p>
        </w:tc>
        <w:tc>
          <w:tcPr>
            <w:tcW w:w="3693" w:type="pct"/>
            <w:tcBorders>
              <w:right w:val="single" w:color="000000" w:sz="10" w:space="0"/>
            </w:tcBorders>
            <w:vAlign w:val="center"/>
          </w:tcPr>
          <w:p w14:paraId="55EFDBA9">
            <w:pPr>
              <w:keepNext w:val="0"/>
              <w:keepLines w:val="0"/>
              <w:pageBreakBefore w:val="0"/>
              <w:widowControl w:val="0"/>
              <w:kinsoku/>
              <w:wordWrap/>
              <w:overflowPunct/>
              <w:topLinePunct w:val="0"/>
              <w:autoSpaceDE/>
              <w:autoSpaceDN/>
              <w:bidi w:val="0"/>
              <w:adjustRightInd w:val="0"/>
              <w:snapToGrid w:val="0"/>
              <w:spacing w:line="360" w:lineRule="exact"/>
              <w:ind w:firstLine="414" w:firstLineChars="200"/>
              <w:jc w:val="both"/>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区块</w:t>
            </w:r>
            <w:r>
              <w:rPr>
                <w:rFonts w:hint="eastAsia" w:ascii="Times New Roman" w:hAnsi="Times New Roman" w:eastAsia="宋体" w:cs="Times New Roman"/>
                <w:color w:val="auto"/>
                <w:w w:val="99"/>
                <w:sz w:val="21"/>
                <w:szCs w:val="21"/>
                <w:highlight w:val="none"/>
                <w:lang w:val="en-US" w:eastAsia="zh-CN"/>
              </w:rPr>
              <w:t>内已建井排路、通井路1.2km。</w:t>
            </w:r>
          </w:p>
        </w:tc>
      </w:tr>
      <w:tr w14:paraId="7D4F4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48" w:type="pct"/>
            <w:vMerge w:val="continue"/>
            <w:tcBorders>
              <w:left w:val="single" w:color="000000" w:sz="10" w:space="0"/>
            </w:tcBorders>
            <w:vAlign w:val="center"/>
          </w:tcPr>
          <w:p w14:paraId="357AC9B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99"/>
                <w:sz w:val="21"/>
                <w:szCs w:val="21"/>
                <w:highlight w:val="none"/>
              </w:rPr>
            </w:pPr>
          </w:p>
        </w:tc>
        <w:tc>
          <w:tcPr>
            <w:tcW w:w="957" w:type="pct"/>
            <w:gridSpan w:val="2"/>
            <w:vAlign w:val="center"/>
          </w:tcPr>
          <w:p w14:paraId="3CA8085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集输系统</w:t>
            </w:r>
          </w:p>
        </w:tc>
        <w:tc>
          <w:tcPr>
            <w:tcW w:w="3693" w:type="pct"/>
            <w:tcBorders>
              <w:right w:val="single" w:color="000000" w:sz="10" w:space="0"/>
            </w:tcBorders>
            <w:vAlign w:val="center"/>
          </w:tcPr>
          <w:p w14:paraId="4D017185">
            <w:pPr>
              <w:keepNext w:val="0"/>
              <w:keepLines w:val="0"/>
              <w:pageBreakBefore w:val="0"/>
              <w:widowControl w:val="0"/>
              <w:kinsoku/>
              <w:wordWrap/>
              <w:overflowPunct/>
              <w:topLinePunct w:val="0"/>
              <w:autoSpaceDE/>
              <w:autoSpaceDN/>
              <w:bidi w:val="0"/>
              <w:adjustRightInd w:val="0"/>
              <w:snapToGrid w:val="0"/>
              <w:spacing w:line="360" w:lineRule="exact"/>
              <w:ind w:firstLine="414" w:firstLineChars="200"/>
              <w:jc w:val="both"/>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站外系统采用简易井口、高压集气工艺；集气和预处理系统采用多井集气，在集气站内采用加热、节流降压、多井轮换计量、三甘醇脱水的处理工艺，现有</w:t>
            </w:r>
            <w:r>
              <w:rPr>
                <w:rFonts w:hint="eastAsia" w:ascii="Times New Roman" w:hAnsi="Times New Roman" w:eastAsia="宋体" w:cs="Times New Roman"/>
                <w:color w:val="auto"/>
                <w:w w:val="99"/>
                <w:sz w:val="21"/>
                <w:szCs w:val="21"/>
                <w:highlight w:val="none"/>
                <w:lang w:val="en-US" w:eastAsia="zh-CN"/>
              </w:rPr>
              <w:t>采气管线5.26</w:t>
            </w:r>
            <w:r>
              <w:rPr>
                <w:rFonts w:hint="eastAsia" w:ascii="Times New Roman" w:hAnsi="Times New Roman" w:eastAsia="宋体" w:cs="Times New Roman"/>
                <w:color w:val="auto"/>
                <w:w w:val="99"/>
                <w:sz w:val="21"/>
                <w:szCs w:val="21"/>
                <w:highlight w:val="none"/>
              </w:rPr>
              <w:t>km</w:t>
            </w:r>
            <w:r>
              <w:rPr>
                <w:rFonts w:hint="eastAsia" w:ascii="Times New Roman" w:hAnsi="Times New Roman" w:eastAsia="宋体" w:cs="Times New Roman"/>
                <w:color w:val="auto"/>
                <w:w w:val="99"/>
                <w:sz w:val="21"/>
                <w:szCs w:val="21"/>
                <w:highlight w:val="none"/>
                <w:lang w:eastAsia="zh-CN"/>
              </w:rPr>
              <w:t>、</w:t>
            </w:r>
            <w:r>
              <w:rPr>
                <w:rFonts w:hint="eastAsia" w:ascii="Times New Roman" w:hAnsi="Times New Roman" w:eastAsia="宋体" w:cs="Times New Roman"/>
                <w:color w:val="auto"/>
                <w:w w:val="99"/>
                <w:sz w:val="21"/>
                <w:szCs w:val="21"/>
                <w:highlight w:val="none"/>
                <w:lang w:val="en-US" w:eastAsia="zh-CN"/>
              </w:rPr>
              <w:t>甲醇注入管道6.15km</w:t>
            </w:r>
            <w:r>
              <w:rPr>
                <w:rFonts w:hint="eastAsia" w:ascii="Times New Roman" w:hAnsi="Times New Roman" w:eastAsia="宋体" w:cs="Times New Roman"/>
                <w:color w:val="auto"/>
                <w:w w:val="99"/>
                <w:sz w:val="21"/>
                <w:szCs w:val="21"/>
                <w:highlight w:val="none"/>
              </w:rPr>
              <w:t>。</w:t>
            </w:r>
          </w:p>
        </w:tc>
      </w:tr>
      <w:tr w14:paraId="1A28B6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48" w:type="pct"/>
            <w:vMerge w:val="restart"/>
            <w:tcBorders>
              <w:left w:val="single" w:color="000000" w:sz="10" w:space="0"/>
            </w:tcBorders>
            <w:vAlign w:val="center"/>
          </w:tcPr>
          <w:p w14:paraId="57A6A826">
            <w:pPr>
              <w:keepNext w:val="0"/>
              <w:keepLines w:val="0"/>
              <w:pageBreakBefore w:val="0"/>
              <w:widowControl w:val="0"/>
              <w:kinsoku/>
              <w:wordWrap/>
              <w:overflowPunct/>
              <w:topLinePunct w:val="0"/>
              <w:autoSpaceDE/>
              <w:autoSpaceDN/>
              <w:bidi w:val="0"/>
              <w:adjustRightInd w:val="0"/>
              <w:snapToGrid w:val="0"/>
              <w:spacing w:line="360" w:lineRule="exact"/>
              <w:ind w:firstLine="414" w:firstLineChars="200"/>
              <w:jc w:val="both"/>
              <w:textAlignment w:val="auto"/>
              <w:rPr>
                <w:rFonts w:hint="eastAsia" w:ascii="Times New Roman" w:hAnsi="Times New Roman" w:eastAsia="宋体" w:cs="Times New Roman"/>
                <w:color w:val="auto"/>
                <w:w w:val="99"/>
                <w:sz w:val="21"/>
                <w:szCs w:val="21"/>
                <w:highlight w:val="none"/>
              </w:rPr>
            </w:pPr>
          </w:p>
          <w:p w14:paraId="1D29561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公用 工程</w:t>
            </w:r>
          </w:p>
        </w:tc>
        <w:tc>
          <w:tcPr>
            <w:tcW w:w="957" w:type="pct"/>
            <w:gridSpan w:val="2"/>
            <w:vAlign w:val="center"/>
          </w:tcPr>
          <w:p w14:paraId="2B1D710C">
            <w:pPr>
              <w:keepNext w:val="0"/>
              <w:keepLines w:val="0"/>
              <w:pageBreakBefore w:val="0"/>
              <w:widowControl w:val="0"/>
              <w:kinsoku/>
              <w:wordWrap/>
              <w:overflowPunct/>
              <w:topLinePunct w:val="0"/>
              <w:autoSpaceDE/>
              <w:autoSpaceDN/>
              <w:bidi w:val="0"/>
              <w:adjustRightInd w:val="0"/>
              <w:snapToGrid w:val="0"/>
              <w:spacing w:line="360" w:lineRule="exact"/>
              <w:ind w:firstLine="414" w:firstLineChars="200"/>
              <w:jc w:val="both"/>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供水工程</w:t>
            </w:r>
          </w:p>
        </w:tc>
        <w:tc>
          <w:tcPr>
            <w:tcW w:w="3693" w:type="pct"/>
            <w:tcBorders>
              <w:right w:val="single" w:color="000000" w:sz="10" w:space="0"/>
            </w:tcBorders>
            <w:vAlign w:val="center"/>
          </w:tcPr>
          <w:p w14:paraId="257C869E">
            <w:pPr>
              <w:keepNext w:val="0"/>
              <w:keepLines w:val="0"/>
              <w:pageBreakBefore w:val="0"/>
              <w:widowControl w:val="0"/>
              <w:kinsoku/>
              <w:wordWrap/>
              <w:overflowPunct/>
              <w:topLinePunct w:val="0"/>
              <w:autoSpaceDE/>
              <w:autoSpaceDN/>
              <w:bidi w:val="0"/>
              <w:adjustRightInd w:val="0"/>
              <w:snapToGrid w:val="0"/>
              <w:spacing w:line="360" w:lineRule="exact"/>
              <w:ind w:firstLine="414" w:firstLineChars="200"/>
              <w:jc w:val="both"/>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区域内场站员工生活用水由已建供水管网提供。</w:t>
            </w:r>
          </w:p>
        </w:tc>
      </w:tr>
      <w:tr w14:paraId="391101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48" w:type="pct"/>
            <w:vMerge w:val="continue"/>
            <w:tcBorders>
              <w:left w:val="single" w:color="000000" w:sz="10" w:space="0"/>
            </w:tcBorders>
            <w:vAlign w:val="center"/>
          </w:tcPr>
          <w:p w14:paraId="774FFF79">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eastAsia" w:ascii="Times New Roman" w:hAnsi="Times New Roman" w:eastAsia="宋体" w:cs="Times New Roman"/>
                <w:color w:val="auto"/>
                <w:w w:val="99"/>
                <w:sz w:val="21"/>
                <w:szCs w:val="21"/>
                <w:highlight w:val="none"/>
              </w:rPr>
            </w:pPr>
          </w:p>
        </w:tc>
        <w:tc>
          <w:tcPr>
            <w:tcW w:w="957" w:type="pct"/>
            <w:gridSpan w:val="2"/>
            <w:vAlign w:val="center"/>
          </w:tcPr>
          <w:p w14:paraId="765977A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排水工程</w:t>
            </w:r>
          </w:p>
        </w:tc>
        <w:tc>
          <w:tcPr>
            <w:tcW w:w="3693" w:type="pct"/>
            <w:tcBorders>
              <w:right w:val="single" w:color="000000" w:sz="10" w:space="0"/>
            </w:tcBorders>
            <w:vAlign w:val="center"/>
          </w:tcPr>
          <w:p w14:paraId="3FB9EEBE">
            <w:pPr>
              <w:keepNext w:val="0"/>
              <w:keepLines w:val="0"/>
              <w:pageBreakBefore w:val="0"/>
              <w:widowControl w:val="0"/>
              <w:kinsoku/>
              <w:wordWrap/>
              <w:overflowPunct/>
              <w:topLinePunct w:val="0"/>
              <w:autoSpaceDE/>
              <w:autoSpaceDN/>
              <w:bidi w:val="0"/>
              <w:adjustRightInd w:val="0"/>
              <w:snapToGrid w:val="0"/>
              <w:spacing w:line="360" w:lineRule="exact"/>
              <w:ind w:left="0" w:right="0" w:firstLine="414" w:firstLineChars="200"/>
              <w:jc w:val="both"/>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生活污水排入附近场站已建生活污水收集设施，定期由大庆石油管理局有限公司庆南工矿服务公司红岗分公司拉运至大庆红岗区西巷污水回收站，管输至南区污水处理厂进行处理。</w:t>
            </w:r>
          </w:p>
        </w:tc>
      </w:tr>
      <w:tr w14:paraId="48B8D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48" w:type="pct"/>
            <w:vMerge w:val="continue"/>
            <w:tcBorders>
              <w:left w:val="single" w:color="000000" w:sz="10" w:space="0"/>
            </w:tcBorders>
            <w:vAlign w:val="center"/>
          </w:tcPr>
          <w:p w14:paraId="34DDECC0">
            <w:pPr>
              <w:keepNext w:val="0"/>
              <w:keepLines w:val="0"/>
              <w:pageBreakBefore w:val="0"/>
              <w:widowControl w:val="0"/>
              <w:kinsoku/>
              <w:wordWrap/>
              <w:overflowPunct/>
              <w:topLinePunct w:val="0"/>
              <w:autoSpaceDE/>
              <w:autoSpaceDN/>
              <w:bidi w:val="0"/>
              <w:spacing w:line="360" w:lineRule="exact"/>
              <w:jc w:val="both"/>
              <w:textAlignment w:val="auto"/>
              <w:rPr>
                <w:rFonts w:ascii="Arial"/>
                <w:color w:val="auto"/>
                <w:sz w:val="21"/>
                <w:highlight w:val="none"/>
              </w:rPr>
            </w:pPr>
          </w:p>
        </w:tc>
        <w:tc>
          <w:tcPr>
            <w:tcW w:w="957" w:type="pct"/>
            <w:gridSpan w:val="2"/>
            <w:tcBorders>
              <w:top w:val="single" w:color="000000" w:sz="10" w:space="0"/>
            </w:tcBorders>
            <w:vAlign w:val="center"/>
          </w:tcPr>
          <w:p w14:paraId="3D1B5D83">
            <w:pPr>
              <w:pStyle w:val="2857"/>
              <w:keepNext w:val="0"/>
              <w:keepLines w:val="0"/>
              <w:pageBreakBefore w:val="0"/>
              <w:widowControl w:val="0"/>
              <w:kinsoku/>
              <w:wordWrap/>
              <w:overflowPunct/>
              <w:topLinePunct w:val="0"/>
              <w:autoSpaceDE/>
              <w:autoSpaceDN/>
              <w:bidi w:val="0"/>
              <w:spacing w:before="35" w:line="360" w:lineRule="exact"/>
              <w:ind w:left="592"/>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供暖</w:t>
            </w:r>
          </w:p>
        </w:tc>
        <w:tc>
          <w:tcPr>
            <w:tcW w:w="3693" w:type="pct"/>
            <w:tcBorders>
              <w:top w:val="single" w:color="000000" w:sz="10" w:space="0"/>
              <w:right w:val="single" w:color="000000" w:sz="10" w:space="0"/>
            </w:tcBorders>
            <w:vAlign w:val="center"/>
          </w:tcPr>
          <w:p w14:paraId="488E23C3">
            <w:pPr>
              <w:pStyle w:val="2857"/>
              <w:keepNext w:val="0"/>
              <w:keepLines w:val="0"/>
              <w:pageBreakBefore w:val="0"/>
              <w:widowControl w:val="0"/>
              <w:kinsoku/>
              <w:wordWrap/>
              <w:overflowPunct/>
              <w:topLinePunct w:val="0"/>
              <w:autoSpaceDE/>
              <w:autoSpaceDN/>
              <w:bidi w:val="0"/>
              <w:spacing w:line="360" w:lineRule="exact"/>
              <w:ind w:left="0" w:right="0" w:firstLine="414" w:firstLineChars="200"/>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场站供暖均依托站内加热炉。</w:t>
            </w:r>
          </w:p>
        </w:tc>
      </w:tr>
      <w:tr w14:paraId="5AF4B9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48" w:type="pct"/>
            <w:vMerge w:val="continue"/>
            <w:tcBorders>
              <w:left w:val="single" w:color="000000" w:sz="10" w:space="0"/>
            </w:tcBorders>
            <w:vAlign w:val="center"/>
          </w:tcPr>
          <w:p w14:paraId="595A0CA9">
            <w:pPr>
              <w:keepNext w:val="0"/>
              <w:keepLines w:val="0"/>
              <w:pageBreakBefore w:val="0"/>
              <w:widowControl w:val="0"/>
              <w:kinsoku/>
              <w:wordWrap/>
              <w:overflowPunct/>
              <w:topLinePunct w:val="0"/>
              <w:autoSpaceDE/>
              <w:autoSpaceDN/>
              <w:bidi w:val="0"/>
              <w:spacing w:line="360" w:lineRule="exact"/>
              <w:jc w:val="both"/>
              <w:textAlignment w:val="auto"/>
              <w:rPr>
                <w:rFonts w:ascii="Arial"/>
                <w:color w:val="auto"/>
                <w:sz w:val="21"/>
                <w:highlight w:val="none"/>
              </w:rPr>
            </w:pPr>
          </w:p>
        </w:tc>
        <w:tc>
          <w:tcPr>
            <w:tcW w:w="957" w:type="pct"/>
            <w:gridSpan w:val="2"/>
            <w:vAlign w:val="center"/>
          </w:tcPr>
          <w:p w14:paraId="2849BB7C">
            <w:pPr>
              <w:pStyle w:val="2857"/>
              <w:keepNext w:val="0"/>
              <w:keepLines w:val="0"/>
              <w:pageBreakBefore w:val="0"/>
              <w:widowControl w:val="0"/>
              <w:kinsoku/>
              <w:wordWrap/>
              <w:overflowPunct/>
              <w:topLinePunct w:val="0"/>
              <w:autoSpaceDE/>
              <w:autoSpaceDN/>
              <w:bidi w:val="0"/>
              <w:spacing w:before="32" w:line="360" w:lineRule="exact"/>
              <w:ind w:left="278"/>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供配电工程</w:t>
            </w:r>
          </w:p>
        </w:tc>
        <w:tc>
          <w:tcPr>
            <w:tcW w:w="3693" w:type="pct"/>
            <w:tcBorders>
              <w:right w:val="single" w:color="000000" w:sz="10" w:space="0"/>
            </w:tcBorders>
            <w:vAlign w:val="center"/>
          </w:tcPr>
          <w:p w14:paraId="1B11BAAD">
            <w:pPr>
              <w:pStyle w:val="2857"/>
              <w:keepNext w:val="0"/>
              <w:keepLines w:val="0"/>
              <w:pageBreakBefore w:val="0"/>
              <w:widowControl w:val="0"/>
              <w:kinsoku/>
              <w:wordWrap/>
              <w:overflowPunct/>
              <w:topLinePunct w:val="0"/>
              <w:autoSpaceDE/>
              <w:autoSpaceDN/>
              <w:bidi w:val="0"/>
              <w:spacing w:line="360" w:lineRule="exact"/>
              <w:ind w:left="0" w:right="0" w:firstLine="414" w:firstLineChars="200"/>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由区域已建变电站供电。</w:t>
            </w:r>
          </w:p>
        </w:tc>
      </w:tr>
      <w:tr w14:paraId="000493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48" w:type="pct"/>
            <w:vMerge w:val="restart"/>
            <w:tcBorders>
              <w:left w:val="single" w:color="000000" w:sz="10" w:space="0"/>
              <w:bottom w:val="nil"/>
            </w:tcBorders>
            <w:vAlign w:val="center"/>
          </w:tcPr>
          <w:p w14:paraId="265AF3DE">
            <w:pPr>
              <w:keepNext w:val="0"/>
              <w:keepLines w:val="0"/>
              <w:pageBreakBefore w:val="0"/>
              <w:widowControl w:val="0"/>
              <w:kinsoku/>
              <w:wordWrap/>
              <w:overflowPunct/>
              <w:topLinePunct w:val="0"/>
              <w:autoSpaceDE/>
              <w:autoSpaceDN/>
              <w:bidi w:val="0"/>
              <w:spacing w:line="360" w:lineRule="exact"/>
              <w:jc w:val="both"/>
              <w:textAlignment w:val="auto"/>
              <w:rPr>
                <w:rFonts w:hint="eastAsia" w:ascii="Times New Roman" w:hAnsi="Times New Roman" w:eastAsia="宋体" w:cs="Times New Roman"/>
                <w:color w:val="auto"/>
                <w:w w:val="99"/>
                <w:sz w:val="21"/>
                <w:szCs w:val="21"/>
                <w:highlight w:val="none"/>
                <w:lang w:val="en-US" w:eastAsia="zh-CN" w:bidi="ar-SA"/>
              </w:rPr>
            </w:pPr>
          </w:p>
          <w:p w14:paraId="70AEFAB4">
            <w:pPr>
              <w:keepNext w:val="0"/>
              <w:keepLines w:val="0"/>
              <w:pageBreakBefore w:val="0"/>
              <w:widowControl w:val="0"/>
              <w:kinsoku/>
              <w:wordWrap/>
              <w:overflowPunct/>
              <w:topLinePunct w:val="0"/>
              <w:autoSpaceDE/>
              <w:autoSpaceDN/>
              <w:bidi w:val="0"/>
              <w:spacing w:line="360" w:lineRule="exact"/>
              <w:jc w:val="center"/>
              <w:textAlignment w:val="auto"/>
              <w:rPr>
                <w:color w:val="auto"/>
                <w:highlight w:val="none"/>
              </w:rPr>
            </w:pPr>
            <w:r>
              <w:rPr>
                <w:rFonts w:hint="eastAsia" w:ascii="Times New Roman" w:hAnsi="Times New Roman" w:eastAsia="宋体" w:cs="Times New Roman"/>
                <w:color w:val="auto"/>
                <w:w w:val="99"/>
                <w:sz w:val="21"/>
                <w:szCs w:val="21"/>
                <w:highlight w:val="none"/>
                <w:lang w:val="en-US" w:eastAsia="zh-CN" w:bidi="ar-SA"/>
              </w:rPr>
              <w:t>环保 工程</w:t>
            </w:r>
          </w:p>
        </w:tc>
        <w:tc>
          <w:tcPr>
            <w:tcW w:w="253" w:type="pct"/>
            <w:vMerge w:val="restart"/>
            <w:tcBorders>
              <w:bottom w:val="nil"/>
            </w:tcBorders>
            <w:vAlign w:val="center"/>
          </w:tcPr>
          <w:p w14:paraId="670B48A8">
            <w:pPr>
              <w:pStyle w:val="2857"/>
              <w:keepNext w:val="0"/>
              <w:keepLines w:val="0"/>
              <w:pageBreakBefore w:val="0"/>
              <w:widowControl w:val="0"/>
              <w:kinsoku/>
              <w:wordWrap/>
              <w:overflowPunct/>
              <w:topLinePunct w:val="0"/>
              <w:autoSpaceDE/>
              <w:autoSpaceDN/>
              <w:bidi w:val="0"/>
              <w:spacing w:before="141" w:line="360" w:lineRule="exact"/>
              <w:jc w:val="center"/>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废 气</w:t>
            </w:r>
          </w:p>
        </w:tc>
        <w:tc>
          <w:tcPr>
            <w:tcW w:w="704" w:type="pct"/>
            <w:vAlign w:val="center"/>
          </w:tcPr>
          <w:p w14:paraId="2E09D6A1">
            <w:pPr>
              <w:pStyle w:val="2857"/>
              <w:keepNext w:val="0"/>
              <w:keepLines w:val="0"/>
              <w:pageBreakBefore w:val="0"/>
              <w:widowControl w:val="0"/>
              <w:kinsoku/>
              <w:wordWrap/>
              <w:overflowPunct/>
              <w:topLinePunct w:val="0"/>
              <w:autoSpaceDE/>
              <w:autoSpaceDN/>
              <w:bidi w:val="0"/>
              <w:spacing w:before="168" w:line="360" w:lineRule="exact"/>
              <w:ind w:left="145"/>
              <w:jc w:val="center"/>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燃烧烟气</w:t>
            </w:r>
          </w:p>
        </w:tc>
        <w:tc>
          <w:tcPr>
            <w:tcW w:w="3693" w:type="pct"/>
            <w:tcBorders>
              <w:right w:val="single" w:color="000000" w:sz="10" w:space="0"/>
            </w:tcBorders>
            <w:vAlign w:val="center"/>
          </w:tcPr>
          <w:p w14:paraId="19947A6F">
            <w:pPr>
              <w:pStyle w:val="2857"/>
              <w:keepNext w:val="0"/>
              <w:keepLines w:val="0"/>
              <w:pageBreakBefore w:val="0"/>
              <w:widowControl w:val="0"/>
              <w:kinsoku/>
              <w:wordWrap/>
              <w:overflowPunct/>
              <w:topLinePunct w:val="0"/>
              <w:autoSpaceDE/>
              <w:autoSpaceDN/>
              <w:bidi w:val="0"/>
              <w:spacing w:line="360" w:lineRule="exact"/>
              <w:ind w:left="0" w:right="0" w:firstLine="414" w:firstLineChars="200"/>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场站均采用清洁能源天然气为原料，加热炉设置低氮燃烧装置，燃烧烟气经不低于8</w:t>
            </w:r>
            <w:r>
              <w:rPr>
                <w:rFonts w:hint="eastAsia" w:ascii="Times New Roman" w:hAnsi="Times New Roman" w:cs="Times New Roman"/>
                <w:color w:val="auto"/>
                <w:w w:val="99"/>
                <w:sz w:val="21"/>
                <w:szCs w:val="21"/>
                <w:highlight w:val="none"/>
                <w:lang w:val="en-US" w:eastAsia="zh-CN" w:bidi="ar-SA"/>
              </w:rPr>
              <w:t>m</w:t>
            </w:r>
            <w:r>
              <w:rPr>
                <w:rFonts w:hint="eastAsia" w:ascii="Times New Roman" w:hAnsi="Times New Roman" w:eastAsia="宋体" w:cs="Times New Roman"/>
                <w:color w:val="auto"/>
                <w:w w:val="99"/>
                <w:sz w:val="21"/>
                <w:szCs w:val="21"/>
                <w:highlight w:val="none"/>
                <w:lang w:val="en-US" w:eastAsia="zh-CN" w:bidi="ar-SA"/>
              </w:rPr>
              <w:t>高排气筒排放。</w:t>
            </w:r>
          </w:p>
        </w:tc>
      </w:tr>
      <w:tr w14:paraId="4BA52F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48" w:type="pct"/>
            <w:vMerge w:val="continue"/>
            <w:tcBorders>
              <w:top w:val="nil"/>
              <w:left w:val="single" w:color="000000" w:sz="10" w:space="0"/>
              <w:bottom w:val="nil"/>
            </w:tcBorders>
            <w:vAlign w:val="center"/>
          </w:tcPr>
          <w:p w14:paraId="622F1000">
            <w:pPr>
              <w:keepNext w:val="0"/>
              <w:keepLines w:val="0"/>
              <w:pageBreakBefore w:val="0"/>
              <w:widowControl w:val="0"/>
              <w:kinsoku/>
              <w:wordWrap/>
              <w:overflowPunct/>
              <w:topLinePunct w:val="0"/>
              <w:autoSpaceDE/>
              <w:autoSpaceDN/>
              <w:bidi w:val="0"/>
              <w:spacing w:line="360" w:lineRule="exact"/>
              <w:jc w:val="both"/>
              <w:textAlignment w:val="auto"/>
              <w:rPr>
                <w:rFonts w:ascii="Arial"/>
                <w:color w:val="auto"/>
                <w:sz w:val="21"/>
                <w:highlight w:val="none"/>
              </w:rPr>
            </w:pPr>
          </w:p>
        </w:tc>
        <w:tc>
          <w:tcPr>
            <w:tcW w:w="253" w:type="pct"/>
            <w:vMerge w:val="continue"/>
            <w:tcBorders>
              <w:top w:val="nil"/>
              <w:bottom w:val="single" w:color="auto" w:sz="4" w:space="0"/>
            </w:tcBorders>
            <w:textDirection w:val="tbRlV"/>
            <w:vAlign w:val="center"/>
          </w:tcPr>
          <w:p w14:paraId="6BD8863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99"/>
                <w:sz w:val="21"/>
                <w:szCs w:val="21"/>
                <w:highlight w:val="none"/>
                <w:lang w:val="en-US" w:eastAsia="zh-CN" w:bidi="ar-SA"/>
              </w:rPr>
            </w:pPr>
          </w:p>
        </w:tc>
        <w:tc>
          <w:tcPr>
            <w:tcW w:w="704" w:type="pct"/>
            <w:vAlign w:val="center"/>
          </w:tcPr>
          <w:p w14:paraId="274B6B4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挥发性有 机气体</w:t>
            </w:r>
          </w:p>
        </w:tc>
        <w:tc>
          <w:tcPr>
            <w:tcW w:w="3693" w:type="pct"/>
            <w:tcBorders>
              <w:right w:val="single" w:color="000000" w:sz="10" w:space="0"/>
            </w:tcBorders>
            <w:vAlign w:val="center"/>
          </w:tcPr>
          <w:p w14:paraId="2732C1CF">
            <w:pPr>
              <w:keepNext w:val="0"/>
              <w:keepLines w:val="0"/>
              <w:pageBreakBefore w:val="0"/>
              <w:widowControl w:val="0"/>
              <w:kinsoku/>
              <w:wordWrap/>
              <w:overflowPunct/>
              <w:topLinePunct w:val="0"/>
              <w:autoSpaceDE/>
              <w:autoSpaceDN/>
              <w:bidi w:val="0"/>
              <w:adjustRightInd w:val="0"/>
              <w:snapToGrid w:val="0"/>
              <w:spacing w:line="360" w:lineRule="exact"/>
              <w:ind w:left="0" w:right="0" w:firstLine="414" w:firstLineChars="200"/>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区域内气井产生无组织挥发的有机气体，通过安装井口密封垫、管道埋地敷设达到密闭集输，大量减少挥发性有机气体的无组织挥发。站内采取密闭集输工艺，阀门等均安装密封垫，能够有效控制挥发性有机气体的无组织挥发。</w:t>
            </w:r>
          </w:p>
        </w:tc>
      </w:tr>
      <w:tr w14:paraId="1D037C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48" w:type="pct"/>
            <w:vMerge w:val="continue"/>
            <w:tcBorders>
              <w:top w:val="nil"/>
              <w:left w:val="single" w:color="000000" w:sz="10" w:space="0"/>
              <w:bottom w:val="nil"/>
            </w:tcBorders>
            <w:vAlign w:val="center"/>
          </w:tcPr>
          <w:p w14:paraId="7F1C69B3">
            <w:pPr>
              <w:keepNext w:val="0"/>
              <w:keepLines w:val="0"/>
              <w:pageBreakBefore w:val="0"/>
              <w:widowControl w:val="0"/>
              <w:kinsoku/>
              <w:wordWrap/>
              <w:overflowPunct/>
              <w:topLinePunct w:val="0"/>
              <w:autoSpaceDE/>
              <w:autoSpaceDN/>
              <w:bidi w:val="0"/>
              <w:spacing w:line="360" w:lineRule="exact"/>
              <w:jc w:val="both"/>
              <w:textAlignment w:val="auto"/>
              <w:rPr>
                <w:rFonts w:ascii="Arial"/>
                <w:color w:val="auto"/>
                <w:sz w:val="21"/>
                <w:highlight w:val="none"/>
              </w:rPr>
            </w:pPr>
          </w:p>
        </w:tc>
        <w:tc>
          <w:tcPr>
            <w:tcW w:w="253" w:type="pct"/>
            <w:vMerge w:val="restart"/>
            <w:tcBorders>
              <w:top w:val="single" w:color="auto" w:sz="4" w:space="0"/>
            </w:tcBorders>
            <w:vAlign w:val="center"/>
          </w:tcPr>
          <w:p w14:paraId="71301B4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bidi="ar-SA"/>
              </w:rPr>
              <w:t>废水</w:t>
            </w:r>
          </w:p>
        </w:tc>
        <w:tc>
          <w:tcPr>
            <w:tcW w:w="704" w:type="pct"/>
            <w:tcBorders>
              <w:bottom w:val="single" w:color="auto" w:sz="4" w:space="0"/>
            </w:tcBorders>
            <w:shd w:val="clear" w:color="auto" w:fill="auto"/>
            <w:vAlign w:val="center"/>
          </w:tcPr>
          <w:p w14:paraId="5344D8DD">
            <w:pPr>
              <w:pStyle w:val="2857"/>
              <w:keepNext w:val="0"/>
              <w:keepLines w:val="0"/>
              <w:pageBreakBefore w:val="0"/>
              <w:widowControl w:val="0"/>
              <w:kinsoku/>
              <w:wordWrap/>
              <w:overflowPunct/>
              <w:topLinePunct w:val="0"/>
              <w:autoSpaceDE/>
              <w:autoSpaceDN/>
              <w:bidi w:val="0"/>
              <w:spacing w:before="65" w:line="360" w:lineRule="exact"/>
              <w:ind w:left="144" w:leftChars="0"/>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bidi="ar-SA"/>
              </w:rPr>
              <w:t>气田采出水</w:t>
            </w:r>
          </w:p>
        </w:tc>
        <w:tc>
          <w:tcPr>
            <w:tcW w:w="3693" w:type="pct"/>
            <w:tcBorders>
              <w:right w:val="single" w:color="000000" w:sz="10" w:space="0"/>
            </w:tcBorders>
            <w:shd w:val="clear" w:color="auto" w:fill="auto"/>
            <w:vAlign w:val="center"/>
          </w:tcPr>
          <w:p w14:paraId="1DDDF5FD">
            <w:pPr>
              <w:pStyle w:val="28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396" w:firstLineChars="200"/>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bCs/>
                <w:color w:val="auto"/>
                <w:w w:val="99"/>
                <w:szCs w:val="20"/>
                <w:highlight w:val="none"/>
                <w:lang w:val="en-US" w:eastAsia="zh-CN"/>
              </w:rPr>
              <w:t>气田采出水</w:t>
            </w:r>
            <w:r>
              <w:rPr>
                <w:rFonts w:ascii="Times New Roman" w:hAnsi="Times New Roman"/>
                <w:bCs/>
                <w:color w:val="auto"/>
                <w:w w:val="99"/>
                <w:szCs w:val="20"/>
                <w:highlight w:val="none"/>
              </w:rPr>
              <w:t>在集气站污水储罐暂存，然后由集输管网统一输送至升一联气田污水处理站集中处理</w:t>
            </w:r>
            <w:r>
              <w:rPr>
                <w:rFonts w:hint="eastAsia" w:ascii="Times New Roman" w:hAnsi="Times New Roman" w:eastAsia="宋体" w:cs="Times New Roman"/>
                <w:color w:val="auto"/>
                <w:w w:val="99"/>
                <w:sz w:val="21"/>
                <w:szCs w:val="21"/>
                <w:highlight w:val="none"/>
                <w:lang w:val="en-US" w:eastAsia="zh-CN" w:bidi="ar-SA"/>
              </w:rPr>
              <w:t>。满足《大庆油田地面工程建设设计规定》（Q/SYDQ 0639-2015）限值“含油量≤10mg/L、悬浮固体含量≤5mg/L、粒径中值≤2μm”，同时满足《碎屑岩油藏注水水质指标技术要求及分析方法》(SY/T5329-2022)中标准限值，回注地下。</w:t>
            </w:r>
          </w:p>
        </w:tc>
      </w:tr>
      <w:tr w14:paraId="637D94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48" w:type="pct"/>
            <w:vMerge w:val="continue"/>
            <w:tcBorders>
              <w:top w:val="nil"/>
              <w:left w:val="single" w:color="000000" w:sz="10" w:space="0"/>
              <w:bottom w:val="nil"/>
            </w:tcBorders>
            <w:vAlign w:val="center"/>
          </w:tcPr>
          <w:p w14:paraId="2A8E99B4">
            <w:pPr>
              <w:keepNext w:val="0"/>
              <w:keepLines w:val="0"/>
              <w:pageBreakBefore w:val="0"/>
              <w:widowControl w:val="0"/>
              <w:kinsoku/>
              <w:wordWrap/>
              <w:overflowPunct/>
              <w:topLinePunct w:val="0"/>
              <w:autoSpaceDE/>
              <w:autoSpaceDN/>
              <w:bidi w:val="0"/>
              <w:spacing w:line="360" w:lineRule="exact"/>
              <w:jc w:val="both"/>
              <w:textAlignment w:val="auto"/>
              <w:rPr>
                <w:rFonts w:ascii="Arial"/>
                <w:color w:val="auto"/>
                <w:sz w:val="21"/>
                <w:highlight w:val="none"/>
              </w:rPr>
            </w:pPr>
          </w:p>
        </w:tc>
        <w:tc>
          <w:tcPr>
            <w:tcW w:w="253" w:type="pct"/>
            <w:vMerge w:val="continue"/>
            <w:vAlign w:val="center"/>
          </w:tcPr>
          <w:p w14:paraId="341E63A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99"/>
                <w:sz w:val="21"/>
                <w:szCs w:val="21"/>
                <w:highlight w:val="none"/>
                <w:lang w:val="en-US" w:eastAsia="zh-CN" w:bidi="ar-SA"/>
              </w:rPr>
            </w:pPr>
          </w:p>
        </w:tc>
        <w:tc>
          <w:tcPr>
            <w:tcW w:w="704" w:type="pct"/>
            <w:tcBorders>
              <w:top w:val="single" w:color="auto" w:sz="4" w:space="0"/>
            </w:tcBorders>
            <w:shd w:val="clear" w:color="auto" w:fill="auto"/>
            <w:vAlign w:val="center"/>
          </w:tcPr>
          <w:p w14:paraId="722CC924">
            <w:pPr>
              <w:pStyle w:val="2857"/>
              <w:keepNext w:val="0"/>
              <w:keepLines w:val="0"/>
              <w:pageBreakBefore w:val="0"/>
              <w:widowControl w:val="0"/>
              <w:kinsoku/>
              <w:wordWrap/>
              <w:overflowPunct/>
              <w:topLinePunct w:val="0"/>
              <w:autoSpaceDE/>
              <w:autoSpaceDN/>
              <w:bidi w:val="0"/>
              <w:spacing w:before="65" w:line="360" w:lineRule="exact"/>
              <w:ind w:left="144" w:leftChars="0"/>
              <w:jc w:val="center"/>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bidi="ar-SA"/>
              </w:rPr>
              <w:t>生活污水</w:t>
            </w:r>
          </w:p>
        </w:tc>
        <w:tc>
          <w:tcPr>
            <w:tcW w:w="3693" w:type="pct"/>
            <w:tcBorders>
              <w:right w:val="single" w:color="000000" w:sz="10" w:space="0"/>
            </w:tcBorders>
            <w:shd w:val="clear" w:color="auto" w:fill="auto"/>
            <w:vAlign w:val="center"/>
          </w:tcPr>
          <w:p w14:paraId="720E1247">
            <w:pPr>
              <w:pStyle w:val="2857"/>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14" w:firstLineChars="200"/>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现有区块场站</w:t>
            </w:r>
            <w:r>
              <w:rPr>
                <w:rFonts w:hint="eastAsia" w:ascii="Times New Roman" w:hAnsi="Times New Roman" w:eastAsia="宋体" w:cs="Times New Roman"/>
                <w:color w:val="auto"/>
                <w:w w:val="99"/>
                <w:sz w:val="21"/>
                <w:szCs w:val="21"/>
                <w:highlight w:val="none"/>
              </w:rPr>
              <w:t>生活污水排入附近场站已建生活污水收集设施，定期由大庆石油管理局有限公司庆南工矿服务公司红岗分公司拉运至大庆红岗区西巷污水回收站，管输至南区污水处理厂进行处理</w:t>
            </w:r>
            <w:r>
              <w:rPr>
                <w:rFonts w:hint="eastAsia" w:ascii="Times New Roman" w:hAnsi="Times New Roman" w:eastAsia="宋体" w:cs="Times New Roman"/>
                <w:color w:val="auto"/>
                <w:w w:val="99"/>
                <w:sz w:val="21"/>
                <w:szCs w:val="21"/>
                <w:highlight w:val="none"/>
                <w:lang w:val="en-US" w:eastAsia="zh-CN" w:bidi="ar-SA"/>
              </w:rPr>
              <w:t>。</w:t>
            </w:r>
          </w:p>
        </w:tc>
      </w:tr>
      <w:tr w14:paraId="20291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48" w:type="pct"/>
            <w:vMerge w:val="continue"/>
            <w:tcBorders>
              <w:top w:val="nil"/>
              <w:left w:val="single" w:color="000000" w:sz="10" w:space="0"/>
              <w:bottom w:val="nil"/>
            </w:tcBorders>
            <w:vAlign w:val="center"/>
          </w:tcPr>
          <w:p w14:paraId="3DCF7ED6">
            <w:pPr>
              <w:keepNext w:val="0"/>
              <w:keepLines w:val="0"/>
              <w:pageBreakBefore w:val="0"/>
              <w:widowControl w:val="0"/>
              <w:kinsoku/>
              <w:wordWrap/>
              <w:overflowPunct/>
              <w:topLinePunct w:val="0"/>
              <w:autoSpaceDE/>
              <w:autoSpaceDN/>
              <w:bidi w:val="0"/>
              <w:spacing w:line="360" w:lineRule="exact"/>
              <w:jc w:val="center"/>
              <w:textAlignment w:val="auto"/>
              <w:rPr>
                <w:rFonts w:ascii="Arial"/>
                <w:color w:val="auto"/>
                <w:sz w:val="21"/>
                <w:highlight w:val="none"/>
              </w:rPr>
            </w:pPr>
          </w:p>
        </w:tc>
        <w:tc>
          <w:tcPr>
            <w:tcW w:w="957" w:type="pct"/>
            <w:gridSpan w:val="2"/>
            <w:vAlign w:val="center"/>
          </w:tcPr>
          <w:p w14:paraId="53CDCFCC">
            <w:pPr>
              <w:pStyle w:val="2857"/>
              <w:keepNext w:val="0"/>
              <w:keepLines w:val="0"/>
              <w:pageBreakBefore w:val="0"/>
              <w:widowControl w:val="0"/>
              <w:kinsoku/>
              <w:wordWrap/>
              <w:overflowPunct/>
              <w:topLinePunct w:val="0"/>
              <w:autoSpaceDE/>
              <w:autoSpaceDN/>
              <w:bidi w:val="0"/>
              <w:spacing w:before="184" w:line="360" w:lineRule="exact"/>
              <w:ind w:left="602"/>
              <w:jc w:val="center"/>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噪声</w:t>
            </w:r>
          </w:p>
        </w:tc>
        <w:tc>
          <w:tcPr>
            <w:tcW w:w="3693" w:type="pct"/>
            <w:tcBorders>
              <w:right w:val="single" w:color="000000" w:sz="10" w:space="0"/>
            </w:tcBorders>
            <w:vAlign w:val="center"/>
          </w:tcPr>
          <w:p w14:paraId="4BDA24C2">
            <w:pPr>
              <w:pStyle w:val="2857"/>
              <w:keepNext w:val="0"/>
              <w:keepLines w:val="0"/>
              <w:pageBreakBefore w:val="0"/>
              <w:widowControl w:val="0"/>
              <w:kinsoku/>
              <w:wordWrap/>
              <w:overflowPunct/>
              <w:topLinePunct w:val="0"/>
              <w:autoSpaceDE/>
              <w:autoSpaceDN/>
              <w:bidi w:val="0"/>
              <w:spacing w:before="50" w:line="360" w:lineRule="exact"/>
              <w:ind w:left="107" w:right="97" w:firstLine="425"/>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定期对气井进行巡检，发现异常响动及时处理；站内各机泵均设置减震基础并设置在砖混泵房内。</w:t>
            </w:r>
          </w:p>
        </w:tc>
      </w:tr>
      <w:tr w14:paraId="2CA2D0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48" w:type="pct"/>
            <w:vMerge w:val="continue"/>
            <w:tcBorders>
              <w:top w:val="nil"/>
              <w:left w:val="single" w:color="000000" w:sz="10" w:space="0"/>
              <w:bottom w:val="nil"/>
            </w:tcBorders>
            <w:vAlign w:val="center"/>
          </w:tcPr>
          <w:p w14:paraId="3701E7C4">
            <w:pPr>
              <w:keepNext w:val="0"/>
              <w:keepLines w:val="0"/>
              <w:pageBreakBefore w:val="0"/>
              <w:widowControl w:val="0"/>
              <w:kinsoku/>
              <w:wordWrap/>
              <w:overflowPunct/>
              <w:topLinePunct w:val="0"/>
              <w:autoSpaceDE/>
              <w:autoSpaceDN/>
              <w:bidi w:val="0"/>
              <w:spacing w:line="360" w:lineRule="exact"/>
              <w:jc w:val="center"/>
              <w:textAlignment w:val="auto"/>
              <w:rPr>
                <w:rFonts w:ascii="Arial"/>
                <w:color w:val="auto"/>
                <w:sz w:val="21"/>
                <w:highlight w:val="none"/>
              </w:rPr>
            </w:pPr>
          </w:p>
        </w:tc>
        <w:tc>
          <w:tcPr>
            <w:tcW w:w="253" w:type="pct"/>
            <w:vMerge w:val="restart"/>
            <w:vAlign w:val="center"/>
          </w:tcPr>
          <w:p w14:paraId="037A9444">
            <w:pPr>
              <w:pStyle w:val="2857"/>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固 体 废 物</w:t>
            </w:r>
          </w:p>
        </w:tc>
        <w:tc>
          <w:tcPr>
            <w:tcW w:w="704" w:type="pct"/>
            <w:vAlign w:val="center"/>
          </w:tcPr>
          <w:p w14:paraId="17B0FC76">
            <w:pPr>
              <w:pStyle w:val="2857"/>
              <w:keepNext w:val="0"/>
              <w:keepLines w:val="0"/>
              <w:pageBreakBefore w:val="0"/>
              <w:widowControl w:val="0"/>
              <w:kinsoku/>
              <w:wordWrap/>
              <w:overflowPunct/>
              <w:topLinePunct w:val="0"/>
              <w:autoSpaceDE/>
              <w:autoSpaceDN/>
              <w:bidi w:val="0"/>
              <w:spacing w:before="48" w:line="360" w:lineRule="exact"/>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井口含油</w:t>
            </w:r>
            <w:r>
              <w:rPr>
                <w:rFonts w:hint="eastAsia" w:ascii="Times New Roman" w:hAnsi="Times New Roman" w:cs="Times New Roman"/>
                <w:color w:val="auto"/>
                <w:w w:val="99"/>
                <w:sz w:val="21"/>
                <w:szCs w:val="21"/>
                <w:highlight w:val="none"/>
                <w:lang w:val="en-US" w:eastAsia="zh-CN" w:bidi="ar-SA"/>
              </w:rPr>
              <w:t>砂粒</w:t>
            </w:r>
          </w:p>
        </w:tc>
        <w:tc>
          <w:tcPr>
            <w:tcW w:w="3693" w:type="pct"/>
            <w:tcBorders>
              <w:right w:val="single" w:color="000000" w:sz="10" w:space="0"/>
            </w:tcBorders>
            <w:vAlign w:val="center"/>
          </w:tcPr>
          <w:p w14:paraId="2102D9E0">
            <w:pPr>
              <w:pStyle w:val="2857"/>
              <w:keepNext w:val="0"/>
              <w:keepLines w:val="0"/>
              <w:pageBreakBefore w:val="0"/>
              <w:widowControl w:val="0"/>
              <w:kinsoku/>
              <w:wordWrap/>
              <w:overflowPunct/>
              <w:topLinePunct w:val="0"/>
              <w:autoSpaceDE/>
              <w:autoSpaceDN/>
              <w:bidi w:val="0"/>
              <w:spacing w:before="49" w:line="360" w:lineRule="exact"/>
              <w:ind w:left="108" w:right="97" w:firstLine="420"/>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在井场产生后装入加盖钢制桶中，由检维修队送采气分公司危险废物储存库内，定期委托有危废处置资质的单位处置。</w:t>
            </w:r>
          </w:p>
        </w:tc>
      </w:tr>
      <w:tr w14:paraId="560079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48" w:type="pct"/>
            <w:vMerge w:val="continue"/>
            <w:tcBorders>
              <w:top w:val="nil"/>
              <w:left w:val="single" w:color="000000" w:sz="10" w:space="0"/>
              <w:bottom w:val="nil"/>
            </w:tcBorders>
            <w:vAlign w:val="center"/>
          </w:tcPr>
          <w:p w14:paraId="018E7BC2">
            <w:pPr>
              <w:keepNext w:val="0"/>
              <w:keepLines w:val="0"/>
              <w:pageBreakBefore w:val="0"/>
              <w:widowControl w:val="0"/>
              <w:kinsoku/>
              <w:wordWrap/>
              <w:overflowPunct/>
              <w:topLinePunct w:val="0"/>
              <w:autoSpaceDE/>
              <w:autoSpaceDN/>
              <w:bidi w:val="0"/>
              <w:spacing w:line="360" w:lineRule="exact"/>
              <w:jc w:val="center"/>
              <w:textAlignment w:val="auto"/>
              <w:rPr>
                <w:rFonts w:ascii="Arial"/>
                <w:color w:val="auto"/>
                <w:sz w:val="21"/>
                <w:highlight w:val="none"/>
              </w:rPr>
            </w:pPr>
          </w:p>
        </w:tc>
        <w:tc>
          <w:tcPr>
            <w:tcW w:w="253" w:type="pct"/>
            <w:vMerge w:val="continue"/>
            <w:vAlign w:val="center"/>
          </w:tcPr>
          <w:p w14:paraId="355E1A8F">
            <w:pPr>
              <w:pStyle w:val="2857"/>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eastAsia="宋体" w:cs="Times New Roman"/>
                <w:color w:val="auto"/>
                <w:w w:val="99"/>
                <w:sz w:val="21"/>
                <w:szCs w:val="21"/>
                <w:highlight w:val="none"/>
                <w:lang w:val="en-US" w:eastAsia="zh-CN" w:bidi="ar-SA"/>
              </w:rPr>
            </w:pPr>
          </w:p>
        </w:tc>
        <w:tc>
          <w:tcPr>
            <w:tcW w:w="704" w:type="pct"/>
            <w:vAlign w:val="center"/>
          </w:tcPr>
          <w:p w14:paraId="0DAC0042">
            <w:pPr>
              <w:pStyle w:val="2857"/>
              <w:keepNext w:val="0"/>
              <w:keepLines w:val="0"/>
              <w:pageBreakBefore w:val="0"/>
              <w:widowControl w:val="0"/>
              <w:kinsoku/>
              <w:wordWrap/>
              <w:overflowPunct/>
              <w:topLinePunct w:val="0"/>
              <w:autoSpaceDE/>
              <w:autoSpaceDN/>
              <w:bidi w:val="0"/>
              <w:spacing w:before="48" w:line="360" w:lineRule="exact"/>
              <w:jc w:val="center"/>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color w:val="auto"/>
                <w:w w:val="99"/>
                <w:kern w:val="2"/>
                <w:highlight w:val="none"/>
              </w:rPr>
              <w:t>废活性炭</w:t>
            </w:r>
          </w:p>
        </w:tc>
        <w:tc>
          <w:tcPr>
            <w:tcW w:w="3693" w:type="pct"/>
            <w:tcBorders>
              <w:right w:val="single" w:color="000000" w:sz="10" w:space="0"/>
            </w:tcBorders>
            <w:vAlign w:val="center"/>
          </w:tcPr>
          <w:p w14:paraId="7DF5B7AA">
            <w:pPr>
              <w:pStyle w:val="2857"/>
              <w:keepNext w:val="0"/>
              <w:keepLines w:val="0"/>
              <w:pageBreakBefore w:val="0"/>
              <w:widowControl w:val="0"/>
              <w:kinsoku/>
              <w:wordWrap/>
              <w:overflowPunct/>
              <w:topLinePunct w:val="0"/>
              <w:autoSpaceDE/>
              <w:autoSpaceDN/>
              <w:bidi w:val="0"/>
              <w:spacing w:before="49" w:line="360" w:lineRule="exact"/>
              <w:ind w:left="108" w:right="97" w:firstLine="420"/>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暂存于采气分公司危险废物储存库，定期委托有危废处置资质的单位处置。</w:t>
            </w:r>
          </w:p>
        </w:tc>
      </w:tr>
      <w:tr w14:paraId="19E9DB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48" w:type="pct"/>
            <w:vMerge w:val="continue"/>
            <w:tcBorders>
              <w:top w:val="nil"/>
              <w:left w:val="single" w:color="000000" w:sz="10" w:space="0"/>
              <w:bottom w:val="nil"/>
            </w:tcBorders>
            <w:vAlign w:val="center"/>
          </w:tcPr>
          <w:p w14:paraId="34845597">
            <w:pPr>
              <w:keepNext w:val="0"/>
              <w:keepLines w:val="0"/>
              <w:pageBreakBefore w:val="0"/>
              <w:widowControl w:val="0"/>
              <w:kinsoku/>
              <w:wordWrap/>
              <w:overflowPunct/>
              <w:topLinePunct w:val="0"/>
              <w:autoSpaceDE/>
              <w:autoSpaceDN/>
              <w:bidi w:val="0"/>
              <w:spacing w:line="360" w:lineRule="exact"/>
              <w:jc w:val="center"/>
              <w:textAlignment w:val="auto"/>
              <w:rPr>
                <w:rFonts w:ascii="Arial"/>
                <w:color w:val="auto"/>
                <w:sz w:val="21"/>
                <w:highlight w:val="none"/>
              </w:rPr>
            </w:pPr>
          </w:p>
        </w:tc>
        <w:tc>
          <w:tcPr>
            <w:tcW w:w="253" w:type="pct"/>
            <w:vMerge w:val="continue"/>
            <w:textDirection w:val="tbRlV"/>
            <w:vAlign w:val="center"/>
          </w:tcPr>
          <w:p w14:paraId="37E3967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99"/>
                <w:sz w:val="21"/>
                <w:szCs w:val="21"/>
                <w:highlight w:val="none"/>
                <w:lang w:val="en-US" w:eastAsia="zh-CN" w:bidi="ar-SA"/>
              </w:rPr>
            </w:pPr>
          </w:p>
        </w:tc>
        <w:tc>
          <w:tcPr>
            <w:tcW w:w="704" w:type="pct"/>
            <w:vAlign w:val="center"/>
          </w:tcPr>
          <w:p w14:paraId="3E700B3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含油废防渗布</w:t>
            </w:r>
          </w:p>
        </w:tc>
        <w:tc>
          <w:tcPr>
            <w:tcW w:w="3693" w:type="pct"/>
            <w:tcBorders>
              <w:right w:val="single" w:color="000000" w:sz="10" w:space="0"/>
            </w:tcBorders>
            <w:vAlign w:val="center"/>
          </w:tcPr>
          <w:p w14:paraId="339BCF95">
            <w:pPr>
              <w:keepNext w:val="0"/>
              <w:keepLines w:val="0"/>
              <w:pageBreakBefore w:val="0"/>
              <w:widowControl w:val="0"/>
              <w:kinsoku/>
              <w:wordWrap/>
              <w:overflowPunct/>
              <w:topLinePunct w:val="0"/>
              <w:autoSpaceDE/>
              <w:autoSpaceDN/>
              <w:bidi w:val="0"/>
              <w:adjustRightInd w:val="0"/>
              <w:snapToGrid w:val="0"/>
              <w:spacing w:line="360" w:lineRule="exact"/>
              <w:ind w:firstLine="414" w:firstLineChars="200"/>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暂存于</w:t>
            </w:r>
            <w:r>
              <w:rPr>
                <w:rFonts w:hint="eastAsia" w:ascii="Times New Roman" w:hAnsi="Times New Roman"/>
                <w:bCs/>
                <w:color w:val="auto"/>
                <w:w w:val="99"/>
                <w:kern w:val="21"/>
                <w:sz w:val="21"/>
                <w:szCs w:val="21"/>
                <w:highlight w:val="none"/>
              </w:rPr>
              <w:t>采气分公司危险废物贮存库</w:t>
            </w:r>
            <w:r>
              <w:rPr>
                <w:rFonts w:hint="eastAsia" w:ascii="Times New Roman" w:hAnsi="Times New Roman"/>
                <w:color w:val="auto"/>
                <w:w w:val="99"/>
                <w:sz w:val="21"/>
                <w:szCs w:val="21"/>
                <w:highlight w:val="none"/>
              </w:rPr>
              <w:t>，</w:t>
            </w:r>
            <w:r>
              <w:rPr>
                <w:rFonts w:ascii="Times New Roman" w:hAnsi="Times New Roman"/>
                <w:color w:val="auto"/>
                <w:w w:val="99"/>
                <w:sz w:val="21"/>
                <w:szCs w:val="21"/>
                <w:highlight w:val="none"/>
              </w:rPr>
              <w:t>委托</w:t>
            </w:r>
            <w:r>
              <w:rPr>
                <w:rFonts w:hint="eastAsia" w:ascii="Times New Roman" w:hAnsi="Times New Roman"/>
                <w:color w:val="auto"/>
                <w:w w:val="99"/>
                <w:sz w:val="21"/>
                <w:szCs w:val="21"/>
                <w:highlight w:val="none"/>
              </w:rPr>
              <w:t>有资质单位</w:t>
            </w:r>
            <w:r>
              <w:rPr>
                <w:rFonts w:ascii="Times New Roman" w:hAnsi="Times New Roman"/>
                <w:color w:val="auto"/>
                <w:w w:val="99"/>
                <w:sz w:val="21"/>
                <w:szCs w:val="21"/>
                <w:highlight w:val="none"/>
              </w:rPr>
              <w:t>转运处置</w:t>
            </w:r>
            <w:r>
              <w:rPr>
                <w:rFonts w:hint="eastAsia" w:ascii="Times New Roman" w:hAnsi="Times New Roman" w:eastAsia="宋体" w:cs="Times New Roman"/>
                <w:color w:val="auto"/>
                <w:w w:val="99"/>
                <w:sz w:val="21"/>
                <w:szCs w:val="21"/>
                <w:highlight w:val="none"/>
                <w:lang w:val="en-US" w:eastAsia="zh-CN" w:bidi="ar-SA"/>
              </w:rPr>
              <w:t>。</w:t>
            </w:r>
          </w:p>
        </w:tc>
      </w:tr>
      <w:tr w14:paraId="080CC5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48" w:type="pct"/>
            <w:vMerge w:val="continue"/>
            <w:tcBorders>
              <w:top w:val="nil"/>
              <w:left w:val="single" w:color="000000" w:sz="10" w:space="0"/>
              <w:bottom w:val="nil"/>
            </w:tcBorders>
            <w:vAlign w:val="center"/>
          </w:tcPr>
          <w:p w14:paraId="0BAE5354">
            <w:pPr>
              <w:keepNext w:val="0"/>
              <w:keepLines w:val="0"/>
              <w:pageBreakBefore w:val="0"/>
              <w:widowControl w:val="0"/>
              <w:kinsoku/>
              <w:wordWrap/>
              <w:overflowPunct/>
              <w:topLinePunct w:val="0"/>
              <w:autoSpaceDE/>
              <w:autoSpaceDN/>
              <w:bidi w:val="0"/>
              <w:spacing w:line="360" w:lineRule="exact"/>
              <w:jc w:val="center"/>
              <w:textAlignment w:val="auto"/>
              <w:rPr>
                <w:rFonts w:ascii="Arial"/>
                <w:color w:val="auto"/>
                <w:sz w:val="21"/>
                <w:highlight w:val="none"/>
              </w:rPr>
            </w:pPr>
          </w:p>
        </w:tc>
        <w:tc>
          <w:tcPr>
            <w:tcW w:w="253" w:type="pct"/>
            <w:vMerge w:val="continue"/>
            <w:textDirection w:val="tbRlV"/>
            <w:vAlign w:val="center"/>
          </w:tcPr>
          <w:p w14:paraId="6DC776C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99"/>
                <w:sz w:val="21"/>
                <w:szCs w:val="21"/>
                <w:highlight w:val="none"/>
                <w:lang w:val="en-US" w:eastAsia="zh-CN" w:bidi="ar-SA"/>
              </w:rPr>
            </w:pPr>
          </w:p>
        </w:tc>
        <w:tc>
          <w:tcPr>
            <w:tcW w:w="704" w:type="pct"/>
            <w:vAlign w:val="center"/>
          </w:tcPr>
          <w:p w14:paraId="29FBFED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废三甘醇</w:t>
            </w:r>
          </w:p>
        </w:tc>
        <w:tc>
          <w:tcPr>
            <w:tcW w:w="3693" w:type="pct"/>
            <w:tcBorders>
              <w:right w:val="single" w:color="000000" w:sz="10" w:space="0"/>
            </w:tcBorders>
            <w:vAlign w:val="center"/>
          </w:tcPr>
          <w:p w14:paraId="162BB74F">
            <w:pPr>
              <w:keepNext w:val="0"/>
              <w:keepLines w:val="0"/>
              <w:pageBreakBefore w:val="0"/>
              <w:widowControl w:val="0"/>
              <w:kinsoku/>
              <w:wordWrap/>
              <w:overflowPunct/>
              <w:topLinePunct w:val="0"/>
              <w:autoSpaceDE/>
              <w:autoSpaceDN/>
              <w:bidi w:val="0"/>
              <w:adjustRightInd w:val="0"/>
              <w:snapToGrid w:val="0"/>
              <w:spacing w:line="360" w:lineRule="exact"/>
              <w:ind w:firstLine="414" w:firstLineChars="200"/>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废三甘醇属于一般固废，委托相关单位处理。</w:t>
            </w:r>
          </w:p>
        </w:tc>
      </w:tr>
      <w:tr w14:paraId="6E5258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48" w:type="pct"/>
            <w:vMerge w:val="continue"/>
            <w:tcBorders>
              <w:top w:val="nil"/>
              <w:left w:val="single" w:color="000000" w:sz="10" w:space="0"/>
              <w:bottom w:val="nil"/>
            </w:tcBorders>
            <w:vAlign w:val="center"/>
          </w:tcPr>
          <w:p w14:paraId="6DBA86F5">
            <w:pPr>
              <w:keepNext w:val="0"/>
              <w:keepLines w:val="0"/>
              <w:pageBreakBefore w:val="0"/>
              <w:widowControl w:val="0"/>
              <w:kinsoku/>
              <w:wordWrap/>
              <w:overflowPunct/>
              <w:topLinePunct w:val="0"/>
              <w:autoSpaceDE/>
              <w:autoSpaceDN/>
              <w:bidi w:val="0"/>
              <w:spacing w:line="360" w:lineRule="exact"/>
              <w:jc w:val="center"/>
              <w:textAlignment w:val="auto"/>
              <w:rPr>
                <w:rFonts w:ascii="Arial"/>
                <w:color w:val="auto"/>
                <w:sz w:val="21"/>
                <w:highlight w:val="none"/>
              </w:rPr>
            </w:pPr>
          </w:p>
        </w:tc>
        <w:tc>
          <w:tcPr>
            <w:tcW w:w="253" w:type="pct"/>
            <w:vMerge w:val="continue"/>
            <w:textDirection w:val="tbRlV"/>
            <w:vAlign w:val="center"/>
          </w:tcPr>
          <w:p w14:paraId="49EFAE5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99"/>
                <w:sz w:val="21"/>
                <w:szCs w:val="21"/>
                <w:highlight w:val="none"/>
                <w:lang w:val="en-US" w:eastAsia="zh-CN" w:bidi="ar-SA"/>
              </w:rPr>
            </w:pPr>
          </w:p>
        </w:tc>
        <w:tc>
          <w:tcPr>
            <w:tcW w:w="704" w:type="pct"/>
            <w:vAlign w:val="center"/>
          </w:tcPr>
          <w:p w14:paraId="279585D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bidi="ar-SA"/>
              </w:rPr>
              <w:t>废变压器油</w:t>
            </w:r>
          </w:p>
        </w:tc>
        <w:tc>
          <w:tcPr>
            <w:tcW w:w="3693" w:type="pct"/>
            <w:tcBorders>
              <w:right w:val="single" w:color="000000" w:sz="10" w:space="0"/>
            </w:tcBorders>
            <w:vAlign w:val="center"/>
          </w:tcPr>
          <w:p w14:paraId="3301F52B">
            <w:pPr>
              <w:keepNext w:val="0"/>
              <w:keepLines w:val="0"/>
              <w:pageBreakBefore w:val="0"/>
              <w:widowControl w:val="0"/>
              <w:kinsoku/>
              <w:wordWrap/>
              <w:overflowPunct/>
              <w:topLinePunct w:val="0"/>
              <w:autoSpaceDE/>
              <w:autoSpaceDN/>
              <w:bidi w:val="0"/>
              <w:adjustRightInd w:val="0"/>
              <w:snapToGrid w:val="0"/>
              <w:spacing w:line="360" w:lineRule="exact"/>
              <w:ind w:firstLine="414" w:firstLineChars="200"/>
              <w:jc w:val="both"/>
              <w:textAlignment w:val="auto"/>
              <w:rPr>
                <w:rFonts w:hint="default"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bidi="ar-SA"/>
              </w:rPr>
              <w:t>变压器检修时产生的废变压器油，</w:t>
            </w:r>
            <w:r>
              <w:rPr>
                <w:rFonts w:hint="eastAsia" w:ascii="Times New Roman" w:hAnsi="Times New Roman" w:cs="Times New Roman"/>
                <w:color w:val="auto"/>
                <w:w w:val="99"/>
                <w:sz w:val="21"/>
                <w:szCs w:val="21"/>
                <w:highlight w:val="none"/>
                <w:lang w:eastAsia="zh-CN"/>
              </w:rPr>
              <w:t>送采气分公司危险废物贮存库内，定期委托有危废处置资质的单位处置</w:t>
            </w:r>
            <w:r>
              <w:rPr>
                <w:rFonts w:hint="eastAsia" w:ascii="Times New Roman" w:hAnsi="Times New Roman" w:eastAsia="宋体" w:cs="Times New Roman"/>
                <w:color w:val="auto"/>
                <w:w w:val="99"/>
                <w:sz w:val="21"/>
                <w:szCs w:val="21"/>
                <w:highlight w:val="none"/>
                <w:lang w:val="en-US" w:eastAsia="zh-CN" w:bidi="ar-SA"/>
              </w:rPr>
              <w:t>。</w:t>
            </w:r>
          </w:p>
        </w:tc>
      </w:tr>
      <w:tr w14:paraId="5D8AD5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48" w:type="pct"/>
            <w:vMerge w:val="continue"/>
            <w:tcBorders>
              <w:top w:val="nil"/>
              <w:left w:val="single" w:color="000000" w:sz="10" w:space="0"/>
            </w:tcBorders>
            <w:vAlign w:val="center"/>
          </w:tcPr>
          <w:p w14:paraId="142FFBC7">
            <w:pPr>
              <w:keepNext w:val="0"/>
              <w:keepLines w:val="0"/>
              <w:pageBreakBefore w:val="0"/>
              <w:widowControl w:val="0"/>
              <w:kinsoku/>
              <w:wordWrap/>
              <w:overflowPunct/>
              <w:topLinePunct w:val="0"/>
              <w:autoSpaceDE/>
              <w:autoSpaceDN/>
              <w:bidi w:val="0"/>
              <w:spacing w:line="360" w:lineRule="exact"/>
              <w:jc w:val="center"/>
              <w:textAlignment w:val="auto"/>
              <w:rPr>
                <w:rFonts w:ascii="Arial"/>
                <w:color w:val="auto"/>
                <w:sz w:val="21"/>
                <w:highlight w:val="none"/>
              </w:rPr>
            </w:pPr>
          </w:p>
        </w:tc>
        <w:tc>
          <w:tcPr>
            <w:tcW w:w="957" w:type="pct"/>
            <w:gridSpan w:val="2"/>
            <w:vAlign w:val="center"/>
          </w:tcPr>
          <w:p w14:paraId="6AE4BFB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风险防范措施</w:t>
            </w:r>
          </w:p>
        </w:tc>
        <w:tc>
          <w:tcPr>
            <w:tcW w:w="3693" w:type="pct"/>
            <w:tcBorders>
              <w:right w:val="single" w:color="000000" w:sz="10" w:space="0"/>
            </w:tcBorders>
            <w:vAlign w:val="center"/>
          </w:tcPr>
          <w:p w14:paraId="0D7F8572">
            <w:pPr>
              <w:keepNext w:val="0"/>
              <w:keepLines w:val="0"/>
              <w:pageBreakBefore w:val="0"/>
              <w:widowControl w:val="0"/>
              <w:kinsoku/>
              <w:wordWrap/>
              <w:overflowPunct/>
              <w:topLinePunct w:val="0"/>
              <w:autoSpaceDE/>
              <w:autoSpaceDN/>
              <w:bidi w:val="0"/>
              <w:adjustRightInd w:val="0"/>
              <w:snapToGrid w:val="0"/>
              <w:spacing w:line="360" w:lineRule="exact"/>
              <w:ind w:firstLine="414" w:firstLineChars="200"/>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定期对员工进行风险防范相关培训；相关部门配备防渗布、铁锹、围 油栏、吸油毡等风险物资；加强对管道、井场的检测频次；定期对场站进 行巡检。</w:t>
            </w:r>
          </w:p>
        </w:tc>
      </w:tr>
      <w:tr w14:paraId="3DDB1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306" w:type="pct"/>
            <w:gridSpan w:val="3"/>
            <w:tcBorders>
              <w:left w:val="single" w:color="000000" w:sz="10" w:space="0"/>
              <w:bottom w:val="single" w:color="000000" w:sz="10" w:space="0"/>
            </w:tcBorders>
            <w:vAlign w:val="center"/>
          </w:tcPr>
          <w:p w14:paraId="31CBD820">
            <w:pPr>
              <w:pStyle w:val="2857"/>
              <w:keepNext w:val="0"/>
              <w:keepLines w:val="0"/>
              <w:pageBreakBefore w:val="0"/>
              <w:widowControl w:val="0"/>
              <w:kinsoku/>
              <w:wordWrap/>
              <w:overflowPunct/>
              <w:topLinePunct w:val="0"/>
              <w:autoSpaceDE/>
              <w:autoSpaceDN/>
              <w:bidi w:val="0"/>
              <w:spacing w:before="56" w:line="360" w:lineRule="exact"/>
              <w:ind w:left="710"/>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退役工程</w:t>
            </w:r>
          </w:p>
        </w:tc>
        <w:tc>
          <w:tcPr>
            <w:tcW w:w="3693" w:type="pct"/>
            <w:tcBorders>
              <w:bottom w:val="single" w:color="000000" w:sz="10" w:space="0"/>
              <w:right w:val="single" w:color="000000" w:sz="10" w:space="0"/>
            </w:tcBorders>
            <w:vAlign w:val="center"/>
          </w:tcPr>
          <w:p w14:paraId="46FABE4A">
            <w:pPr>
              <w:pStyle w:val="2857"/>
              <w:keepNext w:val="0"/>
              <w:keepLines w:val="0"/>
              <w:pageBreakBefore w:val="0"/>
              <w:widowControl w:val="0"/>
              <w:kinsoku/>
              <w:wordWrap/>
              <w:overflowPunct/>
              <w:topLinePunct w:val="0"/>
              <w:autoSpaceDE/>
              <w:autoSpaceDN/>
              <w:bidi w:val="0"/>
              <w:adjustRightInd/>
              <w:snapToGrid/>
              <w:spacing w:line="360" w:lineRule="exact"/>
              <w:ind w:firstLine="414" w:firstLineChars="200"/>
              <w:jc w:val="both"/>
              <w:textAlignment w:val="auto"/>
              <w:rPr>
                <w:rFonts w:hint="default" w:ascii="Times New Roman" w:hAnsi="Times New Roman"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本项目报废井现已按照《</w:t>
            </w:r>
            <w:r>
              <w:rPr>
                <w:rFonts w:hint="eastAsia" w:ascii="Times New Roman" w:hAnsi="Times New Roman" w:eastAsia="宋体" w:cs="Times New Roman"/>
                <w:color w:val="auto"/>
                <w:w w:val="99"/>
                <w:sz w:val="21"/>
                <w:szCs w:val="21"/>
                <w:highlight w:val="none"/>
                <w:lang w:val="en-US" w:eastAsia="zh-CN" w:bidi="ar-SA"/>
              </w:rPr>
              <w:fldChar w:fldCharType="begin"/>
            </w:r>
            <w:r>
              <w:rPr>
                <w:rFonts w:hint="eastAsia" w:ascii="Times New Roman" w:hAnsi="Times New Roman" w:eastAsia="宋体" w:cs="Times New Roman"/>
                <w:color w:val="auto"/>
                <w:w w:val="99"/>
                <w:sz w:val="21"/>
                <w:szCs w:val="21"/>
                <w:highlight w:val="none"/>
                <w:lang w:val="en-US" w:eastAsia="zh-CN" w:bidi="ar-SA"/>
              </w:rPr>
              <w:instrText xml:space="preserve"> HYPERLINK "https://wenku.so.com/d/d22c3cbd5209e429ebb89061eacd7626?src=ob_zz_juhe360wenku" \t "https://www.so.com/_blank" </w:instrText>
            </w:r>
            <w:r>
              <w:rPr>
                <w:rFonts w:hint="eastAsia" w:ascii="Times New Roman" w:hAnsi="Times New Roman" w:eastAsia="宋体" w:cs="Times New Roman"/>
                <w:color w:val="auto"/>
                <w:w w:val="99"/>
                <w:sz w:val="21"/>
                <w:szCs w:val="21"/>
                <w:highlight w:val="none"/>
                <w:lang w:val="en-US" w:eastAsia="zh-CN" w:bidi="ar-SA"/>
              </w:rPr>
              <w:fldChar w:fldCharType="separate"/>
            </w:r>
            <w:r>
              <w:rPr>
                <w:rFonts w:hint="eastAsia" w:ascii="Times New Roman" w:hAnsi="Times New Roman" w:eastAsia="宋体" w:cs="Times New Roman"/>
                <w:color w:val="auto"/>
                <w:w w:val="99"/>
                <w:sz w:val="21"/>
                <w:szCs w:val="21"/>
                <w:highlight w:val="none"/>
                <w:lang w:val="en-US" w:eastAsia="zh-CN" w:bidi="ar-SA"/>
              </w:rPr>
              <w:t>废弃井封井处置规范</w:t>
            </w:r>
            <w:r>
              <w:rPr>
                <w:rFonts w:hint="eastAsia" w:ascii="Times New Roman" w:hAnsi="Times New Roman" w:eastAsia="宋体" w:cs="Times New Roman"/>
                <w:color w:val="auto"/>
                <w:w w:val="99"/>
                <w:sz w:val="21"/>
                <w:szCs w:val="21"/>
                <w:highlight w:val="none"/>
                <w:lang w:val="en-US" w:eastAsia="zh-CN" w:bidi="ar-SA"/>
              </w:rPr>
              <w:fldChar w:fldCharType="end"/>
            </w:r>
            <w:r>
              <w:rPr>
                <w:rFonts w:hint="eastAsia" w:ascii="Times New Roman" w:hAnsi="Times New Roman" w:eastAsia="宋体" w:cs="Times New Roman"/>
                <w:color w:val="auto"/>
                <w:w w:val="99"/>
                <w:sz w:val="21"/>
                <w:szCs w:val="21"/>
                <w:highlight w:val="none"/>
                <w:lang w:val="en-US" w:eastAsia="zh-CN" w:bidi="ar-SA"/>
              </w:rPr>
              <w:t>》（QSH 0653-2015 ）进行了封井，封井方式采用水泥浆封井，报废后由作业区按照四类井管理，进行定期巡检井场植被恢复情况，无环境问题。</w:t>
            </w:r>
          </w:p>
        </w:tc>
      </w:tr>
    </w:tbl>
    <w:p w14:paraId="53D1844F">
      <w:pPr>
        <w:jc w:val="both"/>
        <w:rPr>
          <w:rFonts w:ascii="Times New Roman" w:hAnsi="Times New Roman" w:cs="Times New Roman"/>
          <w:color w:val="auto"/>
          <w:w w:val="99"/>
          <w:highlight w:val="none"/>
        </w:rPr>
      </w:pPr>
      <w:r>
        <w:rPr>
          <w:color w:val="auto"/>
          <w:highlight w:val="none"/>
        </w:rPr>
        <mc:AlternateContent>
          <mc:Choice Requires="wpg">
            <w:drawing>
              <wp:anchor distT="0" distB="0" distL="114300" distR="114300" simplePos="0" relativeHeight="251674624" behindDoc="0" locked="0" layoutInCell="1" allowOverlap="1">
                <wp:simplePos x="0" y="0"/>
                <wp:positionH relativeFrom="column">
                  <wp:posOffset>4386580</wp:posOffset>
                </wp:positionH>
                <wp:positionV relativeFrom="paragraph">
                  <wp:posOffset>12065</wp:posOffset>
                </wp:positionV>
                <wp:extent cx="1390015" cy="3863975"/>
                <wp:effectExtent l="4445" t="0" r="15240" b="22225"/>
                <wp:wrapNone/>
                <wp:docPr id="42" name="组合 42"/>
                <wp:cNvGraphicFramePr/>
                <a:graphic xmlns:a="http://schemas.openxmlformats.org/drawingml/2006/main">
                  <a:graphicData uri="http://schemas.microsoft.com/office/word/2010/wordprocessingGroup">
                    <wpg:wgp>
                      <wpg:cNvGrpSpPr/>
                      <wpg:grpSpPr>
                        <a:xfrm>
                          <a:off x="0" y="0"/>
                          <a:ext cx="1390015" cy="3863975"/>
                          <a:chOff x="8686" y="1212354"/>
                          <a:chExt cx="2189" cy="6085"/>
                        </a:xfrm>
                      </wpg:grpSpPr>
                      <pic:pic xmlns:pic="http://schemas.openxmlformats.org/drawingml/2006/picture">
                        <pic:nvPicPr>
                          <pic:cNvPr id="77" name="图片 3"/>
                          <pic:cNvPicPr>
                            <a:picLocks noChangeAspect="1"/>
                          </pic:cNvPicPr>
                        </pic:nvPicPr>
                        <pic:blipFill>
                          <a:blip r:embed="rId23"/>
                          <a:stretch>
                            <a:fillRect/>
                          </a:stretch>
                        </pic:blipFill>
                        <pic:spPr>
                          <a:xfrm>
                            <a:off x="9829" y="1212354"/>
                            <a:ext cx="1046" cy="1300"/>
                          </a:xfrm>
                          <a:prstGeom prst="rect">
                            <a:avLst/>
                          </a:prstGeom>
                          <a:noFill/>
                          <a:ln>
                            <a:noFill/>
                          </a:ln>
                        </pic:spPr>
                      </pic:pic>
                      <wps:wsp>
                        <wps:cNvPr id="100" name="文本框 15"/>
                        <wps:cNvSpPr txBox="1"/>
                        <wps:spPr>
                          <a:xfrm>
                            <a:off x="8686" y="1216823"/>
                            <a:ext cx="2166" cy="1617"/>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0ACD177">
                              <w:pPr>
                                <w:rPr>
                                  <w:rFonts w:hint="eastAsia"/>
                                  <w:sz w:val="15"/>
                                  <w:szCs w:val="15"/>
                                </w:rPr>
                              </w:pPr>
                              <w:r>
                                <w:rPr>
                                  <w:rFonts w:hint="eastAsia"/>
                                  <w:sz w:val="15"/>
                                  <w:szCs w:val="15"/>
                                </w:rPr>
                                <w:t>图例</w:t>
                              </w:r>
                            </w:p>
                            <w:p w14:paraId="3313019E">
                              <w:pPr>
                                <w:ind w:firstLine="450" w:firstLineChars="300"/>
                                <w:rPr>
                                  <w:rFonts w:hint="eastAsia"/>
                                  <w:sz w:val="15"/>
                                  <w:szCs w:val="15"/>
                                </w:rPr>
                              </w:pPr>
                              <w:r>
                                <w:rPr>
                                  <w:rFonts w:hint="eastAsia"/>
                                  <w:sz w:val="15"/>
                                  <w:szCs w:val="15"/>
                                </w:rPr>
                                <w:t>现有管线</w:t>
                              </w:r>
                            </w:p>
                            <w:p w14:paraId="5C538883">
                              <w:pPr>
                                <w:rPr>
                                  <w:rFonts w:hint="eastAsia"/>
                                  <w:sz w:val="15"/>
                                  <w:szCs w:val="15"/>
                                </w:rPr>
                              </w:pPr>
                              <w:r>
                                <w:drawing>
                                  <wp:inline distT="0" distB="0" distL="114300" distR="114300">
                                    <wp:extent cx="193040" cy="179705"/>
                                    <wp:effectExtent l="0" t="0" r="16510" b="10795"/>
                                    <wp:docPr id="7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2"/>
                                            <pic:cNvPicPr>
                                              <a:picLocks noChangeAspect="1"/>
                                            </pic:cNvPicPr>
                                          </pic:nvPicPr>
                                          <pic:blipFill>
                                            <a:blip r:embed="rId24"/>
                                            <a:stretch>
                                              <a:fillRect/>
                                            </a:stretch>
                                          </pic:blipFill>
                                          <pic:spPr>
                                            <a:xfrm>
                                              <a:off x="0" y="0"/>
                                              <a:ext cx="193040" cy="179705"/>
                                            </a:xfrm>
                                            <a:prstGeom prst="rect">
                                              <a:avLst/>
                                            </a:prstGeom>
                                            <a:noFill/>
                                            <a:ln>
                                              <a:noFill/>
                                            </a:ln>
                                          </pic:spPr>
                                        </pic:pic>
                                      </a:graphicData>
                                    </a:graphic>
                                  </wp:inline>
                                </w:drawing>
                              </w:r>
                              <w:r>
                                <w:rPr>
                                  <w:rFonts w:hint="eastAsia"/>
                                </w:rPr>
                                <w:t xml:space="preserve"> </w:t>
                              </w:r>
                              <w:r>
                                <w:rPr>
                                  <w:rFonts w:hint="eastAsia"/>
                                  <w:sz w:val="15"/>
                                  <w:szCs w:val="15"/>
                                </w:rPr>
                                <w:t>区块内现有井场</w:t>
                              </w:r>
                            </w:p>
                            <w:p w14:paraId="030AF796">
                              <w:pPr>
                                <w:rPr>
                                  <w:rFonts w:hint="eastAsia"/>
                                  <w:sz w:val="15"/>
                                  <w:szCs w:val="15"/>
                                </w:rPr>
                              </w:pPr>
                              <w:r>
                                <w:drawing>
                                  <wp:inline distT="0" distB="0" distL="114300" distR="114300">
                                    <wp:extent cx="193040" cy="179705"/>
                                    <wp:effectExtent l="0" t="0" r="16510" b="10795"/>
                                    <wp:docPr id="8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3"/>
                                            <pic:cNvPicPr>
                                              <a:picLocks noChangeAspect="1"/>
                                            </pic:cNvPicPr>
                                          </pic:nvPicPr>
                                          <pic:blipFill>
                                            <a:blip r:embed="rId25"/>
                                            <a:stretch>
                                              <a:fillRect/>
                                            </a:stretch>
                                          </pic:blipFill>
                                          <pic:spPr>
                                            <a:xfrm>
                                              <a:off x="0" y="0"/>
                                              <a:ext cx="193040" cy="179705"/>
                                            </a:xfrm>
                                            <a:prstGeom prst="rect">
                                              <a:avLst/>
                                            </a:prstGeom>
                                            <a:noFill/>
                                            <a:ln>
                                              <a:noFill/>
                                            </a:ln>
                                          </pic:spPr>
                                        </pic:pic>
                                      </a:graphicData>
                                    </a:graphic>
                                  </wp:inline>
                                </w:drawing>
                              </w:r>
                              <w:r>
                                <w:rPr>
                                  <w:rFonts w:hint="eastAsia"/>
                                </w:rPr>
                                <w:t xml:space="preserve"> </w:t>
                              </w:r>
                              <w:r>
                                <w:rPr>
                                  <w:rFonts w:hint="eastAsia"/>
                                  <w:sz w:val="15"/>
                                  <w:szCs w:val="15"/>
                                </w:rPr>
                                <w:t>现有集气站</w:t>
                              </w:r>
                            </w:p>
                            <w:p w14:paraId="0566CBE0">
                              <w:pPr>
                                <w:rPr>
                                  <w:rFonts w:hint="eastAsia"/>
                                  <w:sz w:val="15"/>
                                  <w:szCs w:val="15"/>
                                </w:rPr>
                              </w:pPr>
                              <w:r>
                                <w:drawing>
                                  <wp:inline distT="0" distB="0" distL="114300" distR="114300">
                                    <wp:extent cx="193040" cy="179705"/>
                                    <wp:effectExtent l="0" t="0" r="16510" b="10795"/>
                                    <wp:docPr id="9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4"/>
                                            <pic:cNvPicPr>
                                              <a:picLocks noChangeAspect="1"/>
                                            </pic:cNvPicPr>
                                          </pic:nvPicPr>
                                          <pic:blipFill>
                                            <a:blip r:embed="rId26"/>
                                            <a:stretch>
                                              <a:fillRect/>
                                            </a:stretch>
                                          </pic:blipFill>
                                          <pic:spPr>
                                            <a:xfrm>
                                              <a:off x="0" y="0"/>
                                              <a:ext cx="193040" cy="179705"/>
                                            </a:xfrm>
                                            <a:prstGeom prst="rect">
                                              <a:avLst/>
                                            </a:prstGeom>
                                            <a:noFill/>
                                            <a:ln>
                                              <a:noFill/>
                                            </a:ln>
                                          </pic:spPr>
                                        </pic:pic>
                                      </a:graphicData>
                                    </a:graphic>
                                  </wp:inline>
                                </w:drawing>
                              </w:r>
                              <w:r>
                                <w:rPr>
                                  <w:rFonts w:hint="eastAsia"/>
                                  <w:sz w:val="15"/>
                                  <w:szCs w:val="15"/>
                                </w:rPr>
                                <w:t>本项目拟建井场</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4" name="直接连接符 20"/>
                        <wps:cNvCnPr/>
                        <wps:spPr>
                          <a:xfrm>
                            <a:off x="8817" y="1217201"/>
                            <a:ext cx="274" cy="0"/>
                          </a:xfrm>
                          <a:prstGeom prst="line">
                            <a:avLst/>
                          </a:prstGeom>
                          <a:ln>
                            <a:solidFill>
                              <a:srgbClr val="0070C0"/>
                            </a:solidFill>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345.4pt;margin-top:0.95pt;height:304.25pt;width:109.45pt;z-index:251674624;mso-width-relative:page;mso-height-relative:page;" coordorigin="8686,1212354" coordsize="2189,6085" o:gfxdata="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">
                <o:lock v:ext="edit" aspectratio="f"/>
                <v:shape id="图片 3" o:spid="_x0000_s1026" o:spt="75" type="#_x0000_t75" style="position:absolute;left:9829;top:1212354;height:1300;width:1046;" filled="f" o:preferrelative="t" stroked="f" coordsize="21600,21600" o:gfxdata="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tW4ti8AAAA&#10;2wAAAA8AAAAAAAAAAQAgAAAAIgAAAGRycy9kb3ducmV2LnhtbFBLAQIUABQAAAAIAIdO4kAzLwWe&#10;OwAAADkAAAAQAAAAAAAAAAEAIAAAAAsBAABkcnMvc2hhcGV4bWwueG1sUEsFBgAAAAAGAAYAWwEA&#10;ALUDAAAAAA==&#10;">
                  <v:fill on="f" focussize="0,0"/>
                  <v:stroke on="f"/>
                  <v:imagedata r:id="rId23" o:title=""/>
                  <o:lock v:ext="edit" aspectratio="t"/>
                </v:shape>
                <v:shape id="文本框 15" o:spid="_x0000_s1026" o:spt="202" type="#_x0000_t202" style="position:absolute;left:8686;top:1216823;height:1617;width:2166;" fillcolor="#FFFFFF [3201]" filled="t" stroked="t" coordsize="21600,21600" o:gfxdata="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KQWNrsAAADc&#10;AAAADwAAAAAAAAABACAAAAAiAAAAZHJzL2Rvd25yZXYueG1sUEsBAhQAFAAAAAgAh07iQDMvBZ47&#10;AAAAOQAAABAAAAAAAAAAAQAgAAAACgEAAGRycy9zaGFwZXhtbC54bWxQSwUGAAAAAAYABgBbAQAA&#10;tAMAAAAA&#10;">
                  <v:fill on="t" focussize="0,0"/>
                  <v:stroke weight="0.5pt" color="#000000 [3204]" joinstyle="round"/>
                  <v:imagedata o:title=""/>
                  <o:lock v:ext="edit" aspectratio="f"/>
                  <v:textbox>
                    <w:txbxContent>
                      <w:p w14:paraId="40ACD177">
                        <w:pPr>
                          <w:rPr>
                            <w:rFonts w:hint="eastAsia"/>
                            <w:sz w:val="15"/>
                            <w:szCs w:val="15"/>
                          </w:rPr>
                        </w:pPr>
                        <w:r>
                          <w:rPr>
                            <w:rFonts w:hint="eastAsia"/>
                            <w:sz w:val="15"/>
                            <w:szCs w:val="15"/>
                          </w:rPr>
                          <w:t>图例</w:t>
                        </w:r>
                      </w:p>
                      <w:p w14:paraId="3313019E">
                        <w:pPr>
                          <w:ind w:firstLine="450" w:firstLineChars="300"/>
                          <w:rPr>
                            <w:rFonts w:hint="eastAsia"/>
                            <w:sz w:val="15"/>
                            <w:szCs w:val="15"/>
                          </w:rPr>
                        </w:pPr>
                        <w:r>
                          <w:rPr>
                            <w:rFonts w:hint="eastAsia"/>
                            <w:sz w:val="15"/>
                            <w:szCs w:val="15"/>
                          </w:rPr>
                          <w:t>现有管线</w:t>
                        </w:r>
                      </w:p>
                      <w:p w14:paraId="5C538883">
                        <w:pPr>
                          <w:rPr>
                            <w:rFonts w:hint="eastAsia"/>
                            <w:sz w:val="15"/>
                            <w:szCs w:val="15"/>
                          </w:rPr>
                        </w:pPr>
                        <w:r>
                          <w:drawing>
                            <wp:inline distT="0" distB="0" distL="114300" distR="114300">
                              <wp:extent cx="193040" cy="179705"/>
                              <wp:effectExtent l="0" t="0" r="16510" b="10795"/>
                              <wp:docPr id="7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2"/>
                                      <pic:cNvPicPr>
                                        <a:picLocks noChangeAspect="1"/>
                                      </pic:cNvPicPr>
                                    </pic:nvPicPr>
                                    <pic:blipFill>
                                      <a:blip r:embed="rId24"/>
                                      <a:stretch>
                                        <a:fillRect/>
                                      </a:stretch>
                                    </pic:blipFill>
                                    <pic:spPr>
                                      <a:xfrm>
                                        <a:off x="0" y="0"/>
                                        <a:ext cx="193040" cy="179705"/>
                                      </a:xfrm>
                                      <a:prstGeom prst="rect">
                                        <a:avLst/>
                                      </a:prstGeom>
                                      <a:noFill/>
                                      <a:ln>
                                        <a:noFill/>
                                      </a:ln>
                                    </pic:spPr>
                                  </pic:pic>
                                </a:graphicData>
                              </a:graphic>
                            </wp:inline>
                          </w:drawing>
                        </w:r>
                        <w:r>
                          <w:rPr>
                            <w:rFonts w:hint="eastAsia"/>
                          </w:rPr>
                          <w:t xml:space="preserve"> </w:t>
                        </w:r>
                        <w:r>
                          <w:rPr>
                            <w:rFonts w:hint="eastAsia"/>
                            <w:sz w:val="15"/>
                            <w:szCs w:val="15"/>
                          </w:rPr>
                          <w:t>区块内现有井场</w:t>
                        </w:r>
                      </w:p>
                      <w:p w14:paraId="030AF796">
                        <w:pPr>
                          <w:rPr>
                            <w:rFonts w:hint="eastAsia"/>
                            <w:sz w:val="15"/>
                            <w:szCs w:val="15"/>
                          </w:rPr>
                        </w:pPr>
                        <w:r>
                          <w:drawing>
                            <wp:inline distT="0" distB="0" distL="114300" distR="114300">
                              <wp:extent cx="193040" cy="179705"/>
                              <wp:effectExtent l="0" t="0" r="16510" b="10795"/>
                              <wp:docPr id="8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3"/>
                                      <pic:cNvPicPr>
                                        <a:picLocks noChangeAspect="1"/>
                                      </pic:cNvPicPr>
                                    </pic:nvPicPr>
                                    <pic:blipFill>
                                      <a:blip r:embed="rId25"/>
                                      <a:stretch>
                                        <a:fillRect/>
                                      </a:stretch>
                                    </pic:blipFill>
                                    <pic:spPr>
                                      <a:xfrm>
                                        <a:off x="0" y="0"/>
                                        <a:ext cx="193040" cy="179705"/>
                                      </a:xfrm>
                                      <a:prstGeom prst="rect">
                                        <a:avLst/>
                                      </a:prstGeom>
                                      <a:noFill/>
                                      <a:ln>
                                        <a:noFill/>
                                      </a:ln>
                                    </pic:spPr>
                                  </pic:pic>
                                </a:graphicData>
                              </a:graphic>
                            </wp:inline>
                          </w:drawing>
                        </w:r>
                        <w:r>
                          <w:rPr>
                            <w:rFonts w:hint="eastAsia"/>
                          </w:rPr>
                          <w:t xml:space="preserve"> </w:t>
                        </w:r>
                        <w:r>
                          <w:rPr>
                            <w:rFonts w:hint="eastAsia"/>
                            <w:sz w:val="15"/>
                            <w:szCs w:val="15"/>
                          </w:rPr>
                          <w:t>现有集气站</w:t>
                        </w:r>
                      </w:p>
                      <w:p w14:paraId="0566CBE0">
                        <w:pPr>
                          <w:rPr>
                            <w:rFonts w:hint="eastAsia"/>
                            <w:sz w:val="15"/>
                            <w:szCs w:val="15"/>
                          </w:rPr>
                        </w:pPr>
                        <w:r>
                          <w:drawing>
                            <wp:inline distT="0" distB="0" distL="114300" distR="114300">
                              <wp:extent cx="193040" cy="179705"/>
                              <wp:effectExtent l="0" t="0" r="16510" b="10795"/>
                              <wp:docPr id="9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4"/>
                                      <pic:cNvPicPr>
                                        <a:picLocks noChangeAspect="1"/>
                                      </pic:cNvPicPr>
                                    </pic:nvPicPr>
                                    <pic:blipFill>
                                      <a:blip r:embed="rId26"/>
                                      <a:stretch>
                                        <a:fillRect/>
                                      </a:stretch>
                                    </pic:blipFill>
                                    <pic:spPr>
                                      <a:xfrm>
                                        <a:off x="0" y="0"/>
                                        <a:ext cx="193040" cy="179705"/>
                                      </a:xfrm>
                                      <a:prstGeom prst="rect">
                                        <a:avLst/>
                                      </a:prstGeom>
                                      <a:noFill/>
                                      <a:ln>
                                        <a:noFill/>
                                      </a:ln>
                                    </pic:spPr>
                                  </pic:pic>
                                </a:graphicData>
                              </a:graphic>
                            </wp:inline>
                          </w:drawing>
                        </w:r>
                        <w:r>
                          <w:rPr>
                            <w:rFonts w:hint="eastAsia"/>
                            <w:sz w:val="15"/>
                            <w:szCs w:val="15"/>
                          </w:rPr>
                          <w:t>本项目拟建井场</w:t>
                        </w:r>
                      </w:p>
                    </w:txbxContent>
                  </v:textbox>
                </v:shape>
                <v:line id="直接连接符 20" o:spid="_x0000_s1026" o:spt="20" style="position:absolute;left:8817;top:1217201;height:0;width:274;" filled="f" stroked="t" coordsize="21600,21600" o:gfxdata="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sm86C5AAAA3AAA&#10;AA8AAAAAAAAAAQAgAAAAIgAAAGRycy9kb3ducmV2LnhtbFBLAQIUABQAAAAIAIdO4kAzLwWeOwAA&#10;ADkAAAAQAAAAAAAAAAEAIAAAAAgBAABkcnMvc2hhcGV4bWwueG1sUEsFBgAAAAAGAAYAWwEAALID&#10;AAAAAA==&#10;">
                  <v:fill on="f" focussize="0,0"/>
                  <v:stroke weight="1pt" color="#0070C0 [3204]" miterlimit="8" joinstyle="miter"/>
                  <v:imagedata o:title=""/>
                  <o:lock v:ext="edit" aspectratio="f"/>
                </v:line>
              </v:group>
            </w:pict>
          </mc:Fallback>
        </mc:AlternateContent>
      </w:r>
      <w:r>
        <w:rPr>
          <w:color w:val="auto"/>
          <w:highlight w:val="none"/>
        </w:rPr>
        <w:drawing>
          <wp:inline distT="0" distB="0" distL="114300" distR="114300">
            <wp:extent cx="5754370" cy="3872230"/>
            <wp:effectExtent l="0" t="0" r="17780" b="13970"/>
            <wp:docPr id="1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
                    <pic:cNvPicPr>
                      <a:picLocks noChangeAspect="1"/>
                    </pic:cNvPicPr>
                  </pic:nvPicPr>
                  <pic:blipFill>
                    <a:blip r:embed="rId27"/>
                    <a:stretch>
                      <a:fillRect/>
                    </a:stretch>
                  </pic:blipFill>
                  <pic:spPr>
                    <a:xfrm>
                      <a:off x="0" y="0"/>
                      <a:ext cx="5754370" cy="3872230"/>
                    </a:xfrm>
                    <a:prstGeom prst="rect">
                      <a:avLst/>
                    </a:prstGeom>
                    <a:noFill/>
                    <a:ln>
                      <a:noFill/>
                    </a:ln>
                  </pic:spPr>
                </pic:pic>
              </a:graphicData>
            </a:graphic>
          </wp:inline>
        </w:drawing>
      </w:r>
    </w:p>
    <w:p w14:paraId="27CDA930">
      <w:pPr>
        <w:spacing w:line="500" w:lineRule="exact"/>
        <w:ind w:firstLine="476" w:firstLineChars="200"/>
        <w:jc w:val="center"/>
        <w:rPr>
          <w:rFonts w:ascii="Times New Roman" w:hAnsi="Times New Roman" w:cs="Times New Roman"/>
          <w:b/>
          <w:bCs/>
          <w:color w:val="auto"/>
          <w:w w:val="99"/>
          <w:highlight w:val="none"/>
        </w:rPr>
      </w:pPr>
      <w:r>
        <w:rPr>
          <w:rFonts w:ascii="Times New Roman" w:hAnsi="Times New Roman" w:cs="Times New Roman"/>
          <w:b/>
          <w:bCs/>
          <w:color w:val="auto"/>
          <w:w w:val="99"/>
          <w:highlight w:val="none"/>
        </w:rPr>
        <w:t>图3.1-</w:t>
      </w:r>
      <w:r>
        <w:rPr>
          <w:rFonts w:hint="eastAsia" w:ascii="Times New Roman" w:hAnsi="Times New Roman" w:cs="Times New Roman"/>
          <w:b/>
          <w:bCs/>
          <w:color w:val="auto"/>
          <w:w w:val="99"/>
          <w:highlight w:val="none"/>
        </w:rPr>
        <w:t>2</w:t>
      </w:r>
      <w:r>
        <w:rPr>
          <w:rFonts w:ascii="Times New Roman" w:hAnsi="Times New Roman" w:cs="Times New Roman"/>
          <w:b/>
          <w:bCs/>
          <w:color w:val="auto"/>
          <w:w w:val="99"/>
          <w:highlight w:val="none"/>
        </w:rPr>
        <w:t xml:space="preserve">   </w:t>
      </w:r>
      <w:r>
        <w:rPr>
          <w:rFonts w:hint="eastAsia" w:ascii="Times New Roman" w:hAnsi="Times New Roman" w:cs="Times New Roman"/>
          <w:b/>
          <w:bCs/>
          <w:color w:val="auto"/>
          <w:w w:val="99"/>
          <w:highlight w:val="none"/>
        </w:rPr>
        <w:t>本项目与徐深27井区</w:t>
      </w:r>
      <w:r>
        <w:rPr>
          <w:rFonts w:ascii="Times New Roman" w:hAnsi="Times New Roman" w:cs="Times New Roman"/>
          <w:b/>
          <w:bCs/>
          <w:color w:val="auto"/>
          <w:w w:val="99"/>
          <w:highlight w:val="none"/>
        </w:rPr>
        <w:t>位置示意图</w:t>
      </w:r>
    </w:p>
    <w:p w14:paraId="17E04BCA">
      <w:pPr>
        <w:widowControl w:val="0"/>
        <w:spacing w:line="500" w:lineRule="exact"/>
        <w:outlineLvl w:val="3"/>
        <w:rPr>
          <w:rFonts w:ascii="Times New Roman" w:hAnsi="Times New Roman" w:cs="Times New Roman"/>
          <w:b/>
          <w:color w:val="auto"/>
          <w:w w:val="99"/>
          <w:szCs w:val="20"/>
          <w:highlight w:val="none"/>
        </w:rPr>
      </w:pPr>
      <w:r>
        <w:rPr>
          <w:rFonts w:ascii="Times New Roman" w:hAnsi="Times New Roman" w:cs="Times New Roman"/>
          <w:b/>
          <w:color w:val="auto"/>
          <w:w w:val="99"/>
          <w:szCs w:val="20"/>
          <w:highlight w:val="none"/>
        </w:rPr>
        <w:t>3.</w:t>
      </w:r>
      <w:r>
        <w:rPr>
          <w:rFonts w:hint="eastAsia" w:ascii="Times New Roman" w:hAnsi="Times New Roman" w:cs="Times New Roman"/>
          <w:b/>
          <w:color w:val="auto"/>
          <w:w w:val="99"/>
          <w:szCs w:val="20"/>
          <w:highlight w:val="none"/>
        </w:rPr>
        <w:t>1.1</w:t>
      </w:r>
      <w:r>
        <w:rPr>
          <w:rFonts w:ascii="Times New Roman" w:hAnsi="Times New Roman" w:cs="Times New Roman"/>
          <w:b/>
          <w:color w:val="auto"/>
          <w:w w:val="99"/>
          <w:szCs w:val="20"/>
          <w:highlight w:val="none"/>
        </w:rPr>
        <w:t>.2</w:t>
      </w:r>
      <w:r>
        <w:rPr>
          <w:rFonts w:hint="eastAsia" w:ascii="Times New Roman" w:hAnsi="Times New Roman" w:cs="Times New Roman"/>
          <w:b/>
          <w:color w:val="auto"/>
          <w:w w:val="99"/>
          <w:szCs w:val="20"/>
          <w:highlight w:val="none"/>
        </w:rPr>
        <w:t>储气层特点</w:t>
      </w:r>
    </w:p>
    <w:p w14:paraId="12C84473">
      <w:pPr>
        <w:spacing w:line="50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据地质勘查资料显示，徐深27气井区处于徐家围子东部地区东南部的西断东超斜坡带上，徐东大断裂贯穿徐深27气井区，大断裂东侧发育一小型鼻状构造，构造高点海拔深度-3620m。徐家围子东部斜坡区紧邻徐家围子生气断陷，火山岩、</w:t>
      </w:r>
      <w:r>
        <w:rPr>
          <w:rFonts w:hint="eastAsia" w:ascii="Times New Roman" w:hAnsi="Times New Roman" w:cs="Times New Roman"/>
          <w:color w:val="auto"/>
          <w:w w:val="99"/>
          <w:highlight w:val="none"/>
          <w:lang w:eastAsia="zh-CN"/>
        </w:rPr>
        <w:t>砂粒</w:t>
      </w:r>
      <w:r>
        <w:rPr>
          <w:rFonts w:ascii="Times New Roman" w:hAnsi="Times New Roman" w:cs="Times New Roman"/>
          <w:color w:val="auto"/>
          <w:w w:val="99"/>
          <w:highlight w:val="none"/>
        </w:rPr>
        <w:t>岩储层发育，自西向东隆升的区域构造格局有利于天然气向斜坡较高部位运移聚集，是断陷内较有利的储气区带。井区区深层天然气储层类型比较丰富，在深层不同层位存在致密砂岩、</w:t>
      </w:r>
      <w:r>
        <w:rPr>
          <w:rFonts w:hint="eastAsia" w:ascii="Times New Roman" w:hAnsi="Times New Roman" w:cs="Times New Roman"/>
          <w:color w:val="auto"/>
          <w:w w:val="99"/>
          <w:highlight w:val="none"/>
          <w:lang w:eastAsia="zh-CN"/>
        </w:rPr>
        <w:t>砂粒</w:t>
      </w:r>
      <w:r>
        <w:rPr>
          <w:rFonts w:ascii="Times New Roman" w:hAnsi="Times New Roman" w:cs="Times New Roman"/>
          <w:color w:val="auto"/>
          <w:w w:val="99"/>
          <w:highlight w:val="none"/>
        </w:rPr>
        <w:t>岩、火山岩、花岗岩及变质岩风化壳等五大类储层。断陷周边隆起区主要储层是登娄库组砂岩、基岩风化壳，断陷区内部</w:t>
      </w:r>
      <w:r>
        <w:rPr>
          <w:rFonts w:hint="eastAsia" w:ascii="Times New Roman" w:hAnsi="Times New Roman" w:cs="Times New Roman"/>
          <w:color w:val="auto"/>
          <w:w w:val="99"/>
          <w:highlight w:val="none"/>
          <w:lang w:eastAsia="zh-CN"/>
        </w:rPr>
        <w:t>砂粒</w:t>
      </w:r>
      <w:r>
        <w:rPr>
          <w:rFonts w:ascii="Times New Roman" w:hAnsi="Times New Roman" w:cs="Times New Roman"/>
          <w:color w:val="auto"/>
          <w:w w:val="99"/>
          <w:highlight w:val="none"/>
        </w:rPr>
        <w:t>岩、火山岩是最重要的储层。火山岩储层物性较差，主要为中低孔、特低渗储层。井区天然气中甲烷含量92.063%~92.593%，平均92.119%；乙烷、丙烷、丁烷及戊烷含量0.83%~3.155%，平均2.908%；氮气含量0.18%~0.45%，平均0.421%；CO</w:t>
      </w:r>
      <w:r>
        <w:rPr>
          <w:rFonts w:ascii="Times New Roman" w:hAnsi="Times New Roman" w:cs="Times New Roman"/>
          <w:color w:val="auto"/>
          <w:w w:val="99"/>
          <w:highlight w:val="none"/>
          <w:vertAlign w:val="subscript"/>
        </w:rPr>
        <w:t>2</w:t>
      </w:r>
      <w:r>
        <w:rPr>
          <w:rFonts w:ascii="Times New Roman" w:hAnsi="Times New Roman" w:cs="Times New Roman"/>
          <w:color w:val="auto"/>
          <w:w w:val="99"/>
          <w:highlight w:val="none"/>
        </w:rPr>
        <w:t>含量4.427%~6.372%，平均4.473%；相对密度0.6203~0.6219，平均0.6205，属于中含CO</w:t>
      </w:r>
      <w:r>
        <w:rPr>
          <w:rFonts w:ascii="Times New Roman" w:hAnsi="Times New Roman" w:cs="Times New Roman"/>
          <w:color w:val="auto"/>
          <w:w w:val="99"/>
          <w:highlight w:val="none"/>
          <w:vertAlign w:val="subscript"/>
        </w:rPr>
        <w:t>2</w:t>
      </w:r>
      <w:r>
        <w:rPr>
          <w:rFonts w:ascii="Times New Roman" w:hAnsi="Times New Roman" w:cs="Times New Roman"/>
          <w:color w:val="auto"/>
          <w:w w:val="99"/>
          <w:highlight w:val="none"/>
        </w:rPr>
        <w:t>的干气气藏。通过对比压前、压后及试采过程中天然气组分，发现各组分含量变化不大，性质稳定。气水关系呈上气下水，依据测井解释结果，上部气层底面海拔-3789.3m，下部水层顶面海拔-3810m，气藏为构造-岩性气藏。</w:t>
      </w:r>
    </w:p>
    <w:p w14:paraId="27F6AEDE">
      <w:pPr>
        <w:widowControl w:val="0"/>
        <w:spacing w:line="500" w:lineRule="exact"/>
        <w:outlineLvl w:val="3"/>
        <w:rPr>
          <w:rFonts w:ascii="Times New Roman" w:hAnsi="Times New Roman" w:cs="Times New Roman"/>
          <w:b/>
          <w:color w:val="auto"/>
          <w:w w:val="99"/>
          <w:szCs w:val="20"/>
          <w:highlight w:val="none"/>
        </w:rPr>
      </w:pPr>
      <w:r>
        <w:rPr>
          <w:rFonts w:ascii="Times New Roman" w:hAnsi="Times New Roman" w:cs="Times New Roman"/>
          <w:b/>
          <w:color w:val="auto"/>
          <w:w w:val="99"/>
          <w:szCs w:val="20"/>
          <w:highlight w:val="none"/>
        </w:rPr>
        <w:t>3.</w:t>
      </w:r>
      <w:r>
        <w:rPr>
          <w:rFonts w:hint="eastAsia" w:ascii="Times New Roman" w:hAnsi="Times New Roman" w:cs="Times New Roman"/>
          <w:b/>
          <w:color w:val="auto"/>
          <w:w w:val="99"/>
          <w:szCs w:val="20"/>
          <w:highlight w:val="none"/>
        </w:rPr>
        <w:t>1.1</w:t>
      </w:r>
      <w:r>
        <w:rPr>
          <w:rFonts w:ascii="Times New Roman" w:hAnsi="Times New Roman" w:cs="Times New Roman"/>
          <w:b/>
          <w:color w:val="auto"/>
          <w:w w:val="99"/>
          <w:szCs w:val="20"/>
          <w:highlight w:val="none"/>
        </w:rPr>
        <w:t>.</w:t>
      </w:r>
      <w:r>
        <w:rPr>
          <w:rFonts w:hint="eastAsia" w:ascii="Times New Roman" w:hAnsi="Times New Roman" w:cs="Times New Roman"/>
          <w:b/>
          <w:color w:val="auto"/>
          <w:w w:val="99"/>
          <w:szCs w:val="20"/>
          <w:highlight w:val="none"/>
        </w:rPr>
        <w:t>3</w:t>
      </w:r>
      <w:r>
        <w:rPr>
          <w:rFonts w:ascii="Times New Roman" w:hAnsi="Times New Roman" w:cs="Times New Roman"/>
          <w:b/>
          <w:color w:val="auto"/>
          <w:w w:val="99"/>
          <w:szCs w:val="20"/>
          <w:highlight w:val="none"/>
        </w:rPr>
        <w:t>已钻井复杂显示</w:t>
      </w:r>
    </w:p>
    <w:p w14:paraId="3D9F523D">
      <w:pPr>
        <w:spacing w:line="50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未收集到设计井区邻井钻探复杂显示情况。</w:t>
      </w:r>
    </w:p>
    <w:p w14:paraId="2422D4F7">
      <w:pPr>
        <w:pStyle w:val="7"/>
        <w:keepNext w:val="0"/>
        <w:keepLines w:val="0"/>
        <w:widowControl w:val="0"/>
        <w:spacing w:before="60" w:after="60"/>
        <w:jc w:val="both"/>
        <w:rPr>
          <w:rFonts w:eastAsia="宋体"/>
          <w:b/>
          <w:color w:val="auto"/>
          <w:w w:val="99"/>
          <w:kern w:val="2"/>
          <w:sz w:val="24"/>
          <w:szCs w:val="24"/>
          <w:highlight w:val="none"/>
        </w:rPr>
      </w:pPr>
      <w:r>
        <w:rPr>
          <w:rFonts w:hint="eastAsia" w:eastAsia="宋体"/>
          <w:b/>
          <w:color w:val="auto"/>
          <w:w w:val="99"/>
          <w:kern w:val="2"/>
          <w:sz w:val="24"/>
          <w:szCs w:val="24"/>
          <w:highlight w:val="none"/>
        </w:rPr>
        <w:t>3.1.2现有工程环保验收情况</w:t>
      </w:r>
    </w:p>
    <w:p w14:paraId="6750C34C">
      <w:pPr>
        <w:spacing w:line="500" w:lineRule="exact"/>
        <w:ind w:firstLine="474" w:firstLineChars="200"/>
        <w:jc w:val="both"/>
        <w:rPr>
          <w:rFonts w:ascii="Times New Roman" w:hAnsi="Times New Roman" w:cs="Times New Roman"/>
          <w:snapToGrid w:val="0"/>
          <w:color w:val="auto"/>
          <w:w w:val="99"/>
          <w:highlight w:val="none"/>
        </w:rPr>
      </w:pPr>
      <w:r>
        <w:rPr>
          <w:rFonts w:hint="eastAsia" w:ascii="Times New Roman" w:hAnsi="Times New Roman" w:cs="Times New Roman"/>
          <w:snapToGrid w:val="0"/>
          <w:color w:val="auto"/>
          <w:w w:val="99"/>
          <w:highlight w:val="none"/>
        </w:rPr>
        <w:t>本项目现有区块的环保验收情况见表3.1-2。</w:t>
      </w:r>
    </w:p>
    <w:p w14:paraId="206123F6">
      <w:pPr>
        <w:spacing w:line="500" w:lineRule="exact"/>
        <w:ind w:firstLine="476" w:firstLineChars="200"/>
        <w:jc w:val="both"/>
        <w:rPr>
          <w:rFonts w:ascii="Times New Roman" w:hAnsi="Times New Roman" w:cs="Times New Roman"/>
          <w:b/>
          <w:bCs/>
          <w:color w:val="auto"/>
          <w:w w:val="99"/>
          <w:highlight w:val="none"/>
        </w:rPr>
      </w:pPr>
      <w:r>
        <w:rPr>
          <w:rFonts w:ascii="Times New Roman" w:hAnsi="Times New Roman" w:cs="Times New Roman"/>
          <w:b/>
          <w:bCs/>
          <w:color w:val="auto"/>
          <w:w w:val="99"/>
          <w:highlight w:val="none"/>
        </w:rPr>
        <w:t>表3.</w:t>
      </w:r>
      <w:r>
        <w:rPr>
          <w:rFonts w:hint="eastAsia" w:ascii="Times New Roman" w:hAnsi="Times New Roman" w:cs="Times New Roman"/>
          <w:b/>
          <w:bCs/>
          <w:color w:val="auto"/>
          <w:w w:val="99"/>
          <w:highlight w:val="none"/>
        </w:rPr>
        <w:t>1-2</w:t>
      </w:r>
      <w:r>
        <w:rPr>
          <w:rFonts w:ascii="Times New Roman" w:hAnsi="Times New Roman" w:cs="Times New Roman"/>
          <w:b/>
          <w:bCs/>
          <w:color w:val="auto"/>
          <w:w w:val="99"/>
          <w:highlight w:val="none"/>
        </w:rPr>
        <w:t xml:space="preserve">  区块内现有工程环评及验收情况表</w:t>
      </w:r>
    </w:p>
    <w:tbl>
      <w:tblPr>
        <w:tblStyle w:val="1662"/>
        <w:tblW w:w="500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65"/>
        <w:gridCol w:w="2336"/>
        <w:gridCol w:w="1830"/>
        <w:gridCol w:w="1772"/>
        <w:gridCol w:w="2688"/>
      </w:tblGrid>
      <w:tr w14:paraId="461A7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 w:hRule="atLeast"/>
        </w:trPr>
        <w:tc>
          <w:tcPr>
            <w:tcW w:w="256" w:type="pct"/>
            <w:vMerge w:val="restart"/>
          </w:tcPr>
          <w:p w14:paraId="49AD56AE">
            <w:pPr>
              <w:pStyle w:val="2857"/>
              <w:widowControl/>
              <w:kinsoku w:val="0"/>
              <w:autoSpaceDE w:val="0"/>
              <w:autoSpaceDN w:val="0"/>
              <w:adjustRightInd w:val="0"/>
              <w:snapToGrid w:val="0"/>
              <w:spacing w:line="360" w:lineRule="exact"/>
              <w:jc w:val="center"/>
              <w:textAlignment w:val="baseline"/>
              <w:rPr>
                <w:rFonts w:ascii="Times New Roman" w:hAnsi="Times New Roman" w:cs="Times New Roman" w:eastAsiaTheme="minorEastAsia"/>
                <w:color w:val="auto"/>
                <w:w w:val="99"/>
                <w:sz w:val="21"/>
                <w:szCs w:val="21"/>
                <w:highlight w:val="none"/>
                <w:lang w:eastAsia="zh-CN"/>
              </w:rPr>
            </w:pPr>
            <w:bookmarkStart w:id="406" w:name="_Toc126863379"/>
            <w:bookmarkStart w:id="407" w:name="_Toc143099566"/>
            <w:bookmarkStart w:id="408" w:name="_Toc84929246"/>
            <w:bookmarkStart w:id="409" w:name="_Toc83209490"/>
            <w:bookmarkStart w:id="410" w:name="_Toc131167279"/>
            <w:bookmarkStart w:id="411" w:name="_Toc85640770"/>
            <w:bookmarkStart w:id="412" w:name="_Toc127192328"/>
            <w:bookmarkStart w:id="413" w:name="_Toc86141923"/>
            <w:bookmarkStart w:id="414" w:name="_Toc76976260"/>
            <w:r>
              <w:rPr>
                <w:rFonts w:ascii="Times New Roman" w:hAnsi="Times New Roman" w:cs="Times New Roman" w:eastAsiaTheme="minorEastAsia"/>
                <w:color w:val="auto"/>
                <w:w w:val="99"/>
                <w:sz w:val="21"/>
                <w:szCs w:val="21"/>
                <w:highlight w:val="none"/>
                <w:lang w:eastAsia="zh-CN"/>
              </w:rPr>
              <w:t>序号</w:t>
            </w:r>
          </w:p>
        </w:tc>
        <w:tc>
          <w:tcPr>
            <w:tcW w:w="1284" w:type="pct"/>
            <w:vMerge w:val="restart"/>
            <w:vAlign w:val="center"/>
          </w:tcPr>
          <w:p w14:paraId="19E32189">
            <w:pPr>
              <w:pStyle w:val="2857"/>
              <w:widowControl/>
              <w:kinsoku w:val="0"/>
              <w:autoSpaceDE w:val="0"/>
              <w:autoSpaceDN w:val="0"/>
              <w:adjustRightInd w:val="0"/>
              <w:snapToGrid w:val="0"/>
              <w:spacing w:line="360" w:lineRule="exact"/>
              <w:jc w:val="center"/>
              <w:textAlignment w:val="baseline"/>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区块内现有项目名称</w:t>
            </w:r>
          </w:p>
        </w:tc>
        <w:tc>
          <w:tcPr>
            <w:tcW w:w="1980" w:type="pct"/>
            <w:gridSpan w:val="2"/>
          </w:tcPr>
          <w:p w14:paraId="398A53D2">
            <w:pPr>
              <w:pStyle w:val="2857"/>
              <w:widowControl/>
              <w:kinsoku w:val="0"/>
              <w:autoSpaceDE w:val="0"/>
              <w:autoSpaceDN w:val="0"/>
              <w:adjustRightInd w:val="0"/>
              <w:snapToGrid w:val="0"/>
              <w:spacing w:line="360" w:lineRule="exact"/>
              <w:jc w:val="center"/>
              <w:textAlignment w:val="baseline"/>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环评批复</w:t>
            </w:r>
          </w:p>
        </w:tc>
        <w:tc>
          <w:tcPr>
            <w:tcW w:w="1478" w:type="pct"/>
            <w:vMerge w:val="restart"/>
          </w:tcPr>
          <w:p w14:paraId="0ABE6AF8">
            <w:pPr>
              <w:pStyle w:val="2857"/>
              <w:widowControl/>
              <w:kinsoku w:val="0"/>
              <w:autoSpaceDE w:val="0"/>
              <w:autoSpaceDN w:val="0"/>
              <w:adjustRightInd w:val="0"/>
              <w:snapToGrid w:val="0"/>
              <w:spacing w:line="360" w:lineRule="exact"/>
              <w:jc w:val="center"/>
              <w:textAlignment w:val="baseline"/>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验收情况</w:t>
            </w:r>
          </w:p>
        </w:tc>
      </w:tr>
      <w:tr w14:paraId="7530B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56" w:type="pct"/>
            <w:vMerge w:val="continue"/>
            <w:textDirection w:val="tbRlV"/>
          </w:tcPr>
          <w:p w14:paraId="7F71D772">
            <w:pPr>
              <w:widowControl/>
              <w:kinsoku w:val="0"/>
              <w:autoSpaceDE w:val="0"/>
              <w:autoSpaceDN w:val="0"/>
              <w:adjustRightInd w:val="0"/>
              <w:snapToGrid w:val="0"/>
              <w:spacing w:line="360" w:lineRule="exact"/>
              <w:jc w:val="center"/>
              <w:textAlignment w:val="baseline"/>
              <w:rPr>
                <w:rFonts w:ascii="Times New Roman" w:hAnsi="Times New Roman" w:cs="Times New Roman" w:eastAsiaTheme="minorEastAsia"/>
                <w:color w:val="auto"/>
                <w:w w:val="99"/>
                <w:sz w:val="21"/>
                <w:szCs w:val="21"/>
                <w:highlight w:val="none"/>
                <w:lang w:eastAsia="en-US"/>
              </w:rPr>
            </w:pPr>
          </w:p>
        </w:tc>
        <w:tc>
          <w:tcPr>
            <w:tcW w:w="1284" w:type="pct"/>
            <w:vMerge w:val="continue"/>
          </w:tcPr>
          <w:p w14:paraId="4D632AEC">
            <w:pPr>
              <w:widowControl w:val="0"/>
              <w:autoSpaceDE w:val="0"/>
              <w:autoSpaceDN w:val="0"/>
              <w:spacing w:line="360" w:lineRule="exact"/>
              <w:jc w:val="center"/>
              <w:rPr>
                <w:rFonts w:ascii="Times New Roman" w:hAnsi="Times New Roman" w:cs="Times New Roman" w:eastAsiaTheme="minorEastAsia"/>
                <w:color w:val="auto"/>
                <w:w w:val="99"/>
                <w:sz w:val="21"/>
                <w:szCs w:val="21"/>
                <w:highlight w:val="none"/>
                <w:lang w:eastAsia="en-US"/>
              </w:rPr>
            </w:pPr>
          </w:p>
        </w:tc>
        <w:tc>
          <w:tcPr>
            <w:tcW w:w="1006" w:type="pct"/>
          </w:tcPr>
          <w:p w14:paraId="707278F9">
            <w:pPr>
              <w:widowControl w:val="0"/>
              <w:autoSpaceDE w:val="0"/>
              <w:autoSpaceDN w:val="0"/>
              <w:spacing w:line="36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文号</w:t>
            </w:r>
          </w:p>
        </w:tc>
        <w:tc>
          <w:tcPr>
            <w:tcW w:w="974" w:type="pct"/>
          </w:tcPr>
          <w:p w14:paraId="7297CF1B">
            <w:pPr>
              <w:widowControl w:val="0"/>
              <w:autoSpaceDE w:val="0"/>
              <w:autoSpaceDN w:val="0"/>
              <w:spacing w:line="36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时间</w:t>
            </w:r>
          </w:p>
        </w:tc>
        <w:tc>
          <w:tcPr>
            <w:tcW w:w="1478" w:type="pct"/>
            <w:vMerge w:val="continue"/>
          </w:tcPr>
          <w:p w14:paraId="44F13951">
            <w:pPr>
              <w:widowControl w:val="0"/>
              <w:autoSpaceDE w:val="0"/>
              <w:autoSpaceDN w:val="0"/>
              <w:spacing w:line="360" w:lineRule="exact"/>
              <w:jc w:val="center"/>
              <w:rPr>
                <w:rFonts w:ascii="Times New Roman" w:hAnsi="Times New Roman" w:cs="Times New Roman" w:eastAsiaTheme="minorEastAsia"/>
                <w:color w:val="auto"/>
                <w:w w:val="99"/>
                <w:sz w:val="21"/>
                <w:szCs w:val="21"/>
                <w:highlight w:val="none"/>
                <w:lang w:eastAsia="en-US"/>
              </w:rPr>
            </w:pPr>
          </w:p>
        </w:tc>
      </w:tr>
      <w:tr w14:paraId="3C40E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0" w:hRule="atLeast"/>
        </w:trPr>
        <w:tc>
          <w:tcPr>
            <w:tcW w:w="256" w:type="pct"/>
          </w:tcPr>
          <w:p w14:paraId="681CAD68">
            <w:pPr>
              <w:widowControl/>
              <w:kinsoku w:val="0"/>
              <w:autoSpaceDE w:val="0"/>
              <w:autoSpaceDN w:val="0"/>
              <w:adjustRightInd w:val="0"/>
              <w:snapToGrid w:val="0"/>
              <w:spacing w:line="360" w:lineRule="exact"/>
              <w:jc w:val="center"/>
              <w:textAlignment w:val="baseline"/>
              <w:rPr>
                <w:rFonts w:ascii="Times New Roman" w:hAnsi="Times New Roman" w:cs="Times New Roman" w:eastAsiaTheme="minorEastAsia"/>
                <w:color w:val="auto"/>
                <w:w w:val="99"/>
                <w:sz w:val="21"/>
                <w:szCs w:val="21"/>
                <w:highlight w:val="none"/>
                <w:lang w:eastAsia="en-US"/>
              </w:rPr>
            </w:pPr>
          </w:p>
          <w:p w14:paraId="2F35694A">
            <w:pPr>
              <w:widowControl/>
              <w:kinsoku w:val="0"/>
              <w:autoSpaceDE w:val="0"/>
              <w:autoSpaceDN w:val="0"/>
              <w:adjustRightInd w:val="0"/>
              <w:snapToGrid w:val="0"/>
              <w:spacing w:line="360" w:lineRule="exact"/>
              <w:jc w:val="center"/>
              <w:textAlignment w:val="baseline"/>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1</w:t>
            </w:r>
          </w:p>
        </w:tc>
        <w:tc>
          <w:tcPr>
            <w:tcW w:w="1284" w:type="pct"/>
          </w:tcPr>
          <w:p w14:paraId="2F15150D">
            <w:pPr>
              <w:pStyle w:val="2857"/>
              <w:widowControl/>
              <w:kinsoku w:val="0"/>
              <w:autoSpaceDE w:val="0"/>
              <w:autoSpaceDN w:val="0"/>
              <w:adjustRightInd w:val="0"/>
              <w:snapToGrid w:val="0"/>
              <w:spacing w:line="360" w:lineRule="exact"/>
              <w:jc w:val="center"/>
              <w:textAlignment w:val="baseline"/>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《徐深27-平1井钻井工程环境影响报告表》</w:t>
            </w:r>
          </w:p>
        </w:tc>
        <w:tc>
          <w:tcPr>
            <w:tcW w:w="1006" w:type="pct"/>
            <w:vAlign w:val="center"/>
          </w:tcPr>
          <w:p w14:paraId="56D54D0B">
            <w:pPr>
              <w:pStyle w:val="2857"/>
              <w:widowControl/>
              <w:kinsoku w:val="0"/>
              <w:autoSpaceDE w:val="0"/>
              <w:autoSpaceDN w:val="0"/>
              <w:adjustRightInd w:val="0"/>
              <w:snapToGrid w:val="0"/>
              <w:spacing w:line="360" w:lineRule="exact"/>
              <w:jc w:val="center"/>
              <w:textAlignment w:val="baseline"/>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庆环审〔2015〕236号</w:t>
            </w:r>
          </w:p>
        </w:tc>
        <w:tc>
          <w:tcPr>
            <w:tcW w:w="974" w:type="pct"/>
            <w:vAlign w:val="center"/>
          </w:tcPr>
          <w:p w14:paraId="4FF9771C">
            <w:pPr>
              <w:pStyle w:val="2857"/>
              <w:widowControl/>
              <w:kinsoku w:val="0"/>
              <w:autoSpaceDE w:val="0"/>
              <w:autoSpaceDN w:val="0"/>
              <w:adjustRightInd w:val="0"/>
              <w:snapToGrid w:val="0"/>
              <w:spacing w:line="360" w:lineRule="exact"/>
              <w:jc w:val="center"/>
              <w:textAlignment w:val="baseline"/>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2015年9月16日</w:t>
            </w:r>
          </w:p>
        </w:tc>
        <w:tc>
          <w:tcPr>
            <w:tcW w:w="1478" w:type="pct"/>
            <w:vMerge w:val="restart"/>
            <w:vAlign w:val="center"/>
          </w:tcPr>
          <w:p w14:paraId="305B5E64">
            <w:pPr>
              <w:pStyle w:val="2857"/>
              <w:widowControl/>
              <w:kinsoku w:val="0"/>
              <w:autoSpaceDE w:val="0"/>
              <w:autoSpaceDN w:val="0"/>
              <w:adjustRightInd w:val="0"/>
              <w:snapToGrid w:val="0"/>
              <w:spacing w:line="360" w:lineRule="exact"/>
              <w:jc w:val="center"/>
              <w:textAlignment w:val="baseline"/>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企业于2019年11月16日完成自主验收，《2017年徐深气田徐深27井区产能建设工程竣工环境保护验收调查报告》</w:t>
            </w:r>
          </w:p>
        </w:tc>
      </w:tr>
      <w:tr w14:paraId="19A2E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5" w:hRule="atLeast"/>
        </w:trPr>
        <w:tc>
          <w:tcPr>
            <w:tcW w:w="256" w:type="pct"/>
          </w:tcPr>
          <w:p w14:paraId="20FA931E">
            <w:pPr>
              <w:pStyle w:val="2857"/>
              <w:widowControl/>
              <w:kinsoku w:val="0"/>
              <w:autoSpaceDE w:val="0"/>
              <w:autoSpaceDN w:val="0"/>
              <w:adjustRightInd w:val="0"/>
              <w:snapToGrid w:val="0"/>
              <w:spacing w:line="360" w:lineRule="exact"/>
              <w:jc w:val="center"/>
              <w:textAlignment w:val="baseline"/>
              <w:rPr>
                <w:rFonts w:ascii="Times New Roman" w:hAnsi="Times New Roman" w:cs="Times New Roman" w:eastAsiaTheme="minorEastAsia"/>
                <w:color w:val="auto"/>
                <w:w w:val="99"/>
                <w:sz w:val="21"/>
                <w:szCs w:val="21"/>
                <w:highlight w:val="none"/>
                <w:lang w:eastAsia="zh-CN"/>
              </w:rPr>
            </w:pPr>
          </w:p>
          <w:p w14:paraId="47EAB5EC">
            <w:pPr>
              <w:pStyle w:val="2857"/>
              <w:widowControl/>
              <w:kinsoku w:val="0"/>
              <w:autoSpaceDE w:val="0"/>
              <w:autoSpaceDN w:val="0"/>
              <w:adjustRightInd w:val="0"/>
              <w:snapToGrid w:val="0"/>
              <w:spacing w:line="360" w:lineRule="exact"/>
              <w:jc w:val="center"/>
              <w:textAlignment w:val="baseline"/>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2</w:t>
            </w:r>
          </w:p>
        </w:tc>
        <w:tc>
          <w:tcPr>
            <w:tcW w:w="1284" w:type="pct"/>
          </w:tcPr>
          <w:p w14:paraId="1251F847">
            <w:pPr>
              <w:pStyle w:val="2857"/>
              <w:widowControl/>
              <w:kinsoku w:val="0"/>
              <w:autoSpaceDE w:val="0"/>
              <w:autoSpaceDN w:val="0"/>
              <w:adjustRightInd w:val="0"/>
              <w:snapToGrid w:val="0"/>
              <w:spacing w:line="360" w:lineRule="exact"/>
              <w:jc w:val="center"/>
              <w:textAlignment w:val="baseline"/>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《2017年徐深气田徐深27井区产能建设工程环境影响报告书》</w:t>
            </w:r>
          </w:p>
        </w:tc>
        <w:tc>
          <w:tcPr>
            <w:tcW w:w="1006" w:type="pct"/>
            <w:vAlign w:val="center"/>
          </w:tcPr>
          <w:p w14:paraId="6DAE7197">
            <w:pPr>
              <w:pStyle w:val="2857"/>
              <w:widowControl/>
              <w:kinsoku w:val="0"/>
              <w:autoSpaceDE w:val="0"/>
              <w:autoSpaceDN w:val="0"/>
              <w:adjustRightInd w:val="0"/>
              <w:snapToGrid w:val="0"/>
              <w:spacing w:line="360" w:lineRule="exact"/>
              <w:jc w:val="center"/>
              <w:textAlignment w:val="baseline"/>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黑环审〔2017〕51号</w:t>
            </w:r>
          </w:p>
        </w:tc>
        <w:tc>
          <w:tcPr>
            <w:tcW w:w="974" w:type="pct"/>
            <w:vAlign w:val="center"/>
          </w:tcPr>
          <w:p w14:paraId="584897BA">
            <w:pPr>
              <w:pStyle w:val="2857"/>
              <w:widowControl/>
              <w:kinsoku w:val="0"/>
              <w:autoSpaceDE w:val="0"/>
              <w:autoSpaceDN w:val="0"/>
              <w:adjustRightInd w:val="0"/>
              <w:snapToGrid w:val="0"/>
              <w:spacing w:line="360" w:lineRule="exact"/>
              <w:jc w:val="center"/>
              <w:textAlignment w:val="baseline"/>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2017年9月28日</w:t>
            </w:r>
          </w:p>
        </w:tc>
        <w:tc>
          <w:tcPr>
            <w:tcW w:w="1478" w:type="pct"/>
            <w:vMerge w:val="continue"/>
          </w:tcPr>
          <w:p w14:paraId="73F1ADBB">
            <w:pPr>
              <w:widowControl/>
              <w:kinsoku w:val="0"/>
              <w:autoSpaceDE w:val="0"/>
              <w:autoSpaceDN w:val="0"/>
              <w:adjustRightInd w:val="0"/>
              <w:snapToGrid w:val="0"/>
              <w:spacing w:line="360" w:lineRule="exact"/>
              <w:jc w:val="center"/>
              <w:textAlignment w:val="baseline"/>
              <w:rPr>
                <w:rFonts w:ascii="Times New Roman" w:hAnsi="Times New Roman" w:cs="Times New Roman"/>
                <w:color w:val="auto"/>
                <w:sz w:val="21"/>
                <w:highlight w:val="none"/>
                <w:lang w:eastAsia="en-US"/>
              </w:rPr>
            </w:pPr>
          </w:p>
        </w:tc>
      </w:tr>
      <w:tr w14:paraId="20725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256" w:type="pct"/>
          </w:tcPr>
          <w:p w14:paraId="783B7819">
            <w:pPr>
              <w:pStyle w:val="2857"/>
              <w:widowControl/>
              <w:kinsoku w:val="0"/>
              <w:autoSpaceDE w:val="0"/>
              <w:autoSpaceDN w:val="0"/>
              <w:adjustRightInd w:val="0"/>
              <w:snapToGrid w:val="0"/>
              <w:spacing w:line="360" w:lineRule="exact"/>
              <w:jc w:val="center"/>
              <w:textAlignment w:val="baseline"/>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3</w:t>
            </w:r>
          </w:p>
        </w:tc>
        <w:tc>
          <w:tcPr>
            <w:tcW w:w="1284" w:type="pct"/>
          </w:tcPr>
          <w:p w14:paraId="64F67F4B">
            <w:pPr>
              <w:pStyle w:val="2857"/>
              <w:widowControl/>
              <w:kinsoku w:val="0"/>
              <w:autoSpaceDE w:val="0"/>
              <w:autoSpaceDN w:val="0"/>
              <w:adjustRightInd w:val="0"/>
              <w:snapToGrid w:val="0"/>
              <w:spacing w:line="360" w:lineRule="exact"/>
              <w:jc w:val="center"/>
              <w:textAlignment w:val="baseline"/>
              <w:rPr>
                <w:rFonts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eastAsia="zh-CN"/>
              </w:rPr>
              <w:t>《徐深27-H1井钻井工程项目</w:t>
            </w:r>
            <w:r>
              <w:rPr>
                <w:rFonts w:ascii="Times New Roman" w:hAnsi="Times New Roman" w:cs="Times New Roman" w:eastAsiaTheme="minorEastAsia"/>
                <w:color w:val="auto"/>
                <w:w w:val="99"/>
                <w:sz w:val="21"/>
                <w:szCs w:val="21"/>
                <w:highlight w:val="none"/>
                <w:lang w:eastAsia="zh-CN"/>
              </w:rPr>
              <w:t>环境影响报告书</w:t>
            </w:r>
            <w:r>
              <w:rPr>
                <w:rFonts w:hint="eastAsia" w:ascii="Times New Roman" w:hAnsi="Times New Roman" w:cs="Times New Roman" w:eastAsiaTheme="minorEastAsia"/>
                <w:color w:val="auto"/>
                <w:w w:val="99"/>
                <w:sz w:val="21"/>
                <w:szCs w:val="21"/>
                <w:highlight w:val="none"/>
                <w:lang w:eastAsia="zh-CN"/>
              </w:rPr>
              <w:t>》</w:t>
            </w:r>
          </w:p>
        </w:tc>
        <w:tc>
          <w:tcPr>
            <w:tcW w:w="1006" w:type="pct"/>
            <w:vAlign w:val="center"/>
          </w:tcPr>
          <w:p w14:paraId="78397BC2">
            <w:pPr>
              <w:pStyle w:val="2857"/>
              <w:widowControl/>
              <w:kinsoku w:val="0"/>
              <w:autoSpaceDE w:val="0"/>
              <w:autoSpaceDN w:val="0"/>
              <w:adjustRightInd w:val="0"/>
              <w:snapToGrid w:val="0"/>
              <w:spacing w:line="360" w:lineRule="exact"/>
              <w:jc w:val="center"/>
              <w:textAlignment w:val="baseline"/>
              <w:rPr>
                <w:rFonts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eastAsia="zh-CN"/>
              </w:rPr>
              <w:t>绥环审〔2025〕67号</w:t>
            </w:r>
          </w:p>
        </w:tc>
        <w:tc>
          <w:tcPr>
            <w:tcW w:w="974" w:type="pct"/>
            <w:vAlign w:val="center"/>
          </w:tcPr>
          <w:p w14:paraId="623CC4D0">
            <w:pPr>
              <w:pStyle w:val="2857"/>
              <w:widowControl/>
              <w:kinsoku w:val="0"/>
              <w:autoSpaceDE w:val="0"/>
              <w:autoSpaceDN w:val="0"/>
              <w:adjustRightInd w:val="0"/>
              <w:snapToGrid w:val="0"/>
              <w:spacing w:line="360" w:lineRule="exact"/>
              <w:jc w:val="center"/>
              <w:textAlignment w:val="baseline"/>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20</w:t>
            </w:r>
            <w:r>
              <w:rPr>
                <w:rFonts w:hint="eastAsia" w:ascii="Times New Roman" w:hAnsi="Times New Roman" w:cs="Times New Roman" w:eastAsiaTheme="minorEastAsia"/>
                <w:color w:val="auto"/>
                <w:w w:val="99"/>
                <w:sz w:val="21"/>
                <w:szCs w:val="21"/>
                <w:highlight w:val="none"/>
                <w:lang w:val="en-US" w:eastAsia="zh-CN"/>
              </w:rPr>
              <w:t>25</w:t>
            </w:r>
            <w:r>
              <w:rPr>
                <w:rFonts w:ascii="Times New Roman" w:hAnsi="Times New Roman" w:cs="Times New Roman" w:eastAsiaTheme="minorEastAsia"/>
                <w:color w:val="auto"/>
                <w:w w:val="99"/>
                <w:sz w:val="21"/>
                <w:szCs w:val="21"/>
                <w:highlight w:val="none"/>
                <w:lang w:eastAsia="zh-CN"/>
              </w:rPr>
              <w:t>年</w:t>
            </w:r>
            <w:r>
              <w:rPr>
                <w:rFonts w:hint="eastAsia" w:ascii="Times New Roman" w:hAnsi="Times New Roman" w:cs="Times New Roman" w:eastAsiaTheme="minorEastAsia"/>
                <w:color w:val="auto"/>
                <w:w w:val="99"/>
                <w:sz w:val="21"/>
                <w:szCs w:val="21"/>
                <w:highlight w:val="none"/>
                <w:lang w:val="en-US" w:eastAsia="zh-CN"/>
              </w:rPr>
              <w:t>7</w:t>
            </w:r>
            <w:r>
              <w:rPr>
                <w:rFonts w:ascii="Times New Roman" w:hAnsi="Times New Roman" w:cs="Times New Roman" w:eastAsiaTheme="minorEastAsia"/>
                <w:color w:val="auto"/>
                <w:w w:val="99"/>
                <w:sz w:val="21"/>
                <w:szCs w:val="21"/>
                <w:highlight w:val="none"/>
                <w:lang w:eastAsia="zh-CN"/>
              </w:rPr>
              <w:t>月2</w:t>
            </w:r>
            <w:r>
              <w:rPr>
                <w:rFonts w:hint="eastAsia" w:ascii="Times New Roman" w:hAnsi="Times New Roman" w:cs="Times New Roman" w:eastAsiaTheme="minorEastAsia"/>
                <w:color w:val="auto"/>
                <w:w w:val="99"/>
                <w:sz w:val="21"/>
                <w:szCs w:val="21"/>
                <w:highlight w:val="none"/>
                <w:lang w:val="en-US" w:eastAsia="zh-CN"/>
              </w:rPr>
              <w:t>9</w:t>
            </w:r>
            <w:r>
              <w:rPr>
                <w:rFonts w:ascii="Times New Roman" w:hAnsi="Times New Roman" w:cs="Times New Roman" w:eastAsiaTheme="minorEastAsia"/>
                <w:color w:val="auto"/>
                <w:w w:val="99"/>
                <w:sz w:val="21"/>
                <w:szCs w:val="21"/>
                <w:highlight w:val="none"/>
                <w:lang w:eastAsia="zh-CN"/>
              </w:rPr>
              <w:t>日</w:t>
            </w:r>
          </w:p>
        </w:tc>
        <w:tc>
          <w:tcPr>
            <w:tcW w:w="1478" w:type="pct"/>
            <w:vAlign w:val="center"/>
          </w:tcPr>
          <w:p w14:paraId="5ADE4EB5">
            <w:pPr>
              <w:widowControl/>
              <w:kinsoku w:val="0"/>
              <w:autoSpaceDE w:val="0"/>
              <w:autoSpaceDN w:val="0"/>
              <w:adjustRightInd w:val="0"/>
              <w:snapToGrid w:val="0"/>
              <w:spacing w:line="360" w:lineRule="exact"/>
              <w:jc w:val="center"/>
              <w:textAlignment w:val="baseline"/>
              <w:rPr>
                <w:rFonts w:hint="default" w:ascii="Times New Roman" w:hAnsi="Times New Roman" w:eastAsia="宋体" w:cs="Times New Roman"/>
                <w:color w:val="auto"/>
                <w:sz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bidi="ar-SA"/>
              </w:rPr>
              <w:t>建设中</w:t>
            </w:r>
          </w:p>
        </w:tc>
      </w:tr>
    </w:tbl>
    <w:p w14:paraId="1962675D">
      <w:pPr>
        <w:pStyle w:val="7"/>
        <w:keepNext w:val="0"/>
        <w:keepLines w:val="0"/>
        <w:widowControl w:val="0"/>
        <w:spacing w:before="60" w:after="60"/>
        <w:jc w:val="both"/>
        <w:rPr>
          <w:rFonts w:eastAsia="宋体"/>
          <w:b/>
          <w:color w:val="auto"/>
          <w:w w:val="99"/>
          <w:kern w:val="2"/>
          <w:sz w:val="24"/>
          <w:szCs w:val="24"/>
          <w:highlight w:val="none"/>
        </w:rPr>
      </w:pPr>
      <w:r>
        <w:rPr>
          <w:rFonts w:hint="eastAsia" w:eastAsia="宋体"/>
          <w:b/>
          <w:color w:val="auto"/>
          <w:w w:val="99"/>
          <w:kern w:val="2"/>
          <w:sz w:val="24"/>
          <w:szCs w:val="24"/>
          <w:highlight w:val="none"/>
        </w:rPr>
        <w:t>3.1.3现有工程排污许可执行情况</w:t>
      </w:r>
    </w:p>
    <w:p w14:paraId="6F240E2F">
      <w:pPr>
        <w:pStyle w:val="3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大庆油田有限责任公司采气分公司已办理固定污染源排污许可证登记，登记编号：91230607716675409L007W。采气分公司申报的排污许可内容主要包括各场站内加热炉、锅炉等。</w:t>
      </w:r>
    </w:p>
    <w:p w14:paraId="55411224">
      <w:pPr>
        <w:pStyle w:val="3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大庆油田有限责任公司采气分公司已按照排污许可证的相关要求对各场站加热装置排气筒进行定期监测，定期将各场站污染源监测数据填报在全国排污许可证管理信息平台上，公开采气分公司各场站污染源的污染物排放信息，已按照排污许可证的相关要求建立环境管理台账。</w:t>
      </w:r>
    </w:p>
    <w:p w14:paraId="3C61CCAA">
      <w:pPr>
        <w:pStyle w:val="7"/>
        <w:keepNext w:val="0"/>
        <w:keepLines w:val="0"/>
        <w:widowControl w:val="0"/>
        <w:spacing w:before="60" w:after="60"/>
        <w:jc w:val="both"/>
        <w:rPr>
          <w:rFonts w:eastAsia="宋体"/>
          <w:b/>
          <w:color w:val="auto"/>
          <w:w w:val="99"/>
          <w:kern w:val="2"/>
          <w:sz w:val="24"/>
          <w:szCs w:val="24"/>
          <w:highlight w:val="none"/>
        </w:rPr>
      </w:pPr>
      <w:r>
        <w:rPr>
          <w:rFonts w:hint="eastAsia" w:eastAsia="宋体"/>
          <w:b/>
          <w:color w:val="auto"/>
          <w:w w:val="99"/>
          <w:kern w:val="2"/>
          <w:sz w:val="24"/>
          <w:szCs w:val="24"/>
          <w:highlight w:val="none"/>
        </w:rPr>
        <w:t>3.1.4现有工程突发环境事件应急预案执行情况</w:t>
      </w:r>
    </w:p>
    <w:p w14:paraId="0EF56A94">
      <w:pPr>
        <w:widowControl w:val="0"/>
        <w:spacing w:line="440" w:lineRule="exact"/>
        <w:ind w:firstLine="474" w:firstLineChars="200"/>
        <w:jc w:val="both"/>
        <w:rPr>
          <w:rFonts w:ascii="Times New Roman" w:hAnsi="Times New Roman" w:cs="Times New Roman"/>
          <w:bCs/>
          <w:color w:val="auto"/>
          <w:w w:val="99"/>
          <w:kern w:val="2"/>
          <w:szCs w:val="20"/>
          <w:highlight w:val="none"/>
        </w:rPr>
      </w:pPr>
      <w:r>
        <w:rPr>
          <w:rFonts w:ascii="Times New Roman" w:hAnsi="Times New Roman" w:cs="Times New Roman"/>
          <w:bCs/>
          <w:color w:val="auto"/>
          <w:w w:val="99"/>
          <w:kern w:val="2"/>
          <w:szCs w:val="20"/>
          <w:highlight w:val="none"/>
        </w:rPr>
        <w:t>采气分公司针对生产特点，全面排查风险源、分析风险等级，制定了相应的环境保护突发事件应急预案，并在大庆市让胡路区生态环境局（备案编号：230604-2024-47-L）、大同区生态环境局（备案编号：230606-2024-22-L）、肇州县生态环境局（备案编号：230621-2024-039-L）、安达市生态环境局（备案编号：231281-2024-038-L）进行备案；配置集污袋和吸油毡等环境应急装备，能够对环境突发事故进行及时有效的控制和处理。根据应急演练计划，采气分公司开展应急演练，通过演练，员工的安全意识和应急处置能力得到了有效提升，掌握处置危险废物的方法，各应急救援小组之间的协同配合更加默契。同时对应急预案的可操作性进行了确认，以便进一步修订完善，达到了演练预案的要求。</w:t>
      </w:r>
    </w:p>
    <w:p w14:paraId="78067AEA">
      <w:pPr>
        <w:pStyle w:val="7"/>
        <w:widowControl w:val="0"/>
        <w:spacing w:before="60" w:after="60" w:line="440" w:lineRule="exact"/>
        <w:jc w:val="both"/>
        <w:rPr>
          <w:rFonts w:eastAsiaTheme="minorEastAsia"/>
          <w:b/>
          <w:color w:val="auto"/>
          <w:w w:val="99"/>
          <w:kern w:val="2"/>
          <w:sz w:val="24"/>
          <w:szCs w:val="24"/>
          <w:highlight w:val="none"/>
        </w:rPr>
      </w:pPr>
      <w:r>
        <w:rPr>
          <w:rFonts w:eastAsiaTheme="minorEastAsia"/>
          <w:b/>
          <w:color w:val="auto"/>
          <w:w w:val="99"/>
          <w:kern w:val="2"/>
          <w:sz w:val="24"/>
          <w:szCs w:val="24"/>
          <w:highlight w:val="none"/>
        </w:rPr>
        <w:t>3.1.</w:t>
      </w:r>
      <w:bookmarkEnd w:id="406"/>
      <w:bookmarkEnd w:id="407"/>
      <w:bookmarkEnd w:id="408"/>
      <w:bookmarkEnd w:id="409"/>
      <w:bookmarkEnd w:id="410"/>
      <w:bookmarkEnd w:id="411"/>
      <w:bookmarkEnd w:id="412"/>
      <w:bookmarkEnd w:id="413"/>
      <w:r>
        <w:rPr>
          <w:rFonts w:hint="eastAsia" w:eastAsiaTheme="minorEastAsia"/>
          <w:b/>
          <w:color w:val="auto"/>
          <w:w w:val="99"/>
          <w:kern w:val="2"/>
          <w:sz w:val="24"/>
          <w:szCs w:val="24"/>
          <w:highlight w:val="none"/>
        </w:rPr>
        <w:t>5</w:t>
      </w:r>
      <w:r>
        <w:rPr>
          <w:rFonts w:eastAsiaTheme="minorEastAsia"/>
          <w:b/>
          <w:color w:val="auto"/>
          <w:w w:val="99"/>
          <w:kern w:val="2"/>
          <w:sz w:val="24"/>
          <w:szCs w:val="24"/>
          <w:highlight w:val="none"/>
        </w:rPr>
        <w:t>现有工程污染防治设施运行和排放情况</w:t>
      </w:r>
    </w:p>
    <w:bookmarkEnd w:id="414"/>
    <w:p w14:paraId="2BA66A54">
      <w:pPr>
        <w:pStyle w:val="3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（1）废气</w:t>
      </w:r>
    </w:p>
    <w:p w14:paraId="2A49F428">
      <w:pPr>
        <w:pStyle w:val="32"/>
        <w:widowControl w:val="0"/>
        <w:spacing w:line="440" w:lineRule="exact"/>
        <w:ind w:firstLine="474" w:firstLineChars="200"/>
        <w:jc w:val="both"/>
        <w:rPr>
          <w:rFonts w:ascii="Times New Roman" w:hAnsi="Times New Roman"/>
          <w:bCs/>
          <w:color w:val="auto"/>
          <w:w w:val="99"/>
          <w:szCs w:val="20"/>
          <w:highlight w:val="none"/>
        </w:rPr>
      </w:pPr>
      <w:r>
        <w:rPr>
          <w:rFonts w:hint="eastAsia" w:ascii="宋体" w:hAnsi="宋体" w:cs="宋体"/>
          <w:bCs/>
          <w:color w:val="auto"/>
          <w:w w:val="99"/>
          <w:szCs w:val="20"/>
          <w:highlight w:val="none"/>
        </w:rPr>
        <w:t>①</w:t>
      </w:r>
      <w:r>
        <w:rPr>
          <w:rFonts w:ascii="Times New Roman" w:hAnsi="Times New Roman"/>
          <w:bCs/>
          <w:color w:val="auto"/>
          <w:w w:val="99"/>
          <w:szCs w:val="20"/>
          <w:highlight w:val="none"/>
        </w:rPr>
        <w:t>非甲烷总烃</w:t>
      </w:r>
    </w:p>
    <w:p w14:paraId="72285BA0">
      <w:pPr>
        <w:pStyle w:val="3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本项目位于徐深</w:t>
      </w:r>
      <w:r>
        <w:rPr>
          <w:rFonts w:hint="eastAsia" w:ascii="Times New Roman" w:hAnsi="Times New Roman"/>
          <w:bCs/>
          <w:color w:val="auto"/>
          <w:w w:val="99"/>
          <w:szCs w:val="20"/>
          <w:highlight w:val="none"/>
        </w:rPr>
        <w:t>27</w:t>
      </w:r>
      <w:r>
        <w:rPr>
          <w:rFonts w:ascii="Times New Roman" w:hAnsi="Times New Roman"/>
          <w:bCs/>
          <w:color w:val="auto"/>
          <w:w w:val="99"/>
          <w:szCs w:val="20"/>
          <w:highlight w:val="none"/>
        </w:rPr>
        <w:t>区块，现有工程排放的非甲烷总烃主要为区块内井场、集输管线及场站在运行过程中无组织挥发的非甲烷总烃，根据建设单位提供资料，徐深</w:t>
      </w:r>
      <w:r>
        <w:rPr>
          <w:rFonts w:hint="eastAsia" w:ascii="Times New Roman" w:hAnsi="Times New Roman"/>
          <w:bCs/>
          <w:color w:val="auto"/>
          <w:w w:val="99"/>
          <w:szCs w:val="20"/>
          <w:highlight w:val="none"/>
        </w:rPr>
        <w:t>27</w:t>
      </w:r>
      <w:r>
        <w:rPr>
          <w:rFonts w:ascii="Times New Roman" w:hAnsi="Times New Roman"/>
          <w:bCs/>
          <w:color w:val="auto"/>
          <w:w w:val="99"/>
          <w:szCs w:val="20"/>
          <w:highlight w:val="none"/>
        </w:rPr>
        <w:t>区块目前产</w:t>
      </w:r>
      <w:r>
        <w:rPr>
          <w:rFonts w:hint="eastAsia" w:ascii="Times New Roman" w:hAnsi="Times New Roman"/>
          <w:bCs/>
          <w:color w:val="auto"/>
          <w:w w:val="99"/>
          <w:szCs w:val="20"/>
          <w:highlight w:val="none"/>
          <w:lang w:val="en-US" w:eastAsia="zh-CN"/>
        </w:rPr>
        <w:t>气</w:t>
      </w:r>
      <w:r>
        <w:rPr>
          <w:rFonts w:ascii="Times New Roman" w:hAnsi="Times New Roman"/>
          <w:bCs/>
          <w:color w:val="auto"/>
          <w:w w:val="99"/>
          <w:szCs w:val="20"/>
          <w:highlight w:val="none"/>
        </w:rPr>
        <w:t>约</w:t>
      </w:r>
      <w:r>
        <w:rPr>
          <w:rFonts w:hint="eastAsia" w:ascii="Times New Roman" w:hAnsi="Times New Roman"/>
          <w:bCs/>
          <w:color w:val="auto"/>
          <w:w w:val="99"/>
          <w:szCs w:val="20"/>
          <w:highlight w:val="none"/>
        </w:rPr>
        <w:t>9</w:t>
      </w:r>
      <w:r>
        <w:rPr>
          <w:rFonts w:ascii="Times New Roman" w:hAnsi="Times New Roman"/>
          <w:bCs/>
          <w:color w:val="auto"/>
          <w:w w:val="99"/>
          <w:szCs w:val="20"/>
          <w:highlight w:val="none"/>
        </w:rPr>
        <w:t>×10</w:t>
      </w:r>
      <w:r>
        <w:rPr>
          <w:rFonts w:ascii="Times New Roman" w:hAnsi="Times New Roman"/>
          <w:bCs/>
          <w:color w:val="auto"/>
          <w:w w:val="99"/>
          <w:szCs w:val="20"/>
          <w:highlight w:val="none"/>
          <w:vertAlign w:val="superscript"/>
        </w:rPr>
        <w:t>4</w:t>
      </w:r>
      <w:r>
        <w:rPr>
          <w:rFonts w:hint="eastAsia" w:ascii="Times New Roman" w:hAnsi="Times New Roman"/>
          <w:bCs/>
          <w:color w:val="auto"/>
          <w:w w:val="99"/>
          <w:szCs w:val="20"/>
          <w:highlight w:val="none"/>
        </w:rPr>
        <w:t>m</w:t>
      </w:r>
      <w:r>
        <w:rPr>
          <w:rFonts w:hint="eastAsia" w:ascii="Times New Roman" w:hAnsi="Times New Roman"/>
          <w:bCs/>
          <w:color w:val="auto"/>
          <w:w w:val="99"/>
          <w:szCs w:val="20"/>
          <w:highlight w:val="none"/>
          <w:vertAlign w:val="superscript"/>
        </w:rPr>
        <w:t>3</w:t>
      </w:r>
      <w:r>
        <w:rPr>
          <w:rFonts w:ascii="Times New Roman" w:hAnsi="Times New Roman"/>
          <w:bCs/>
          <w:color w:val="auto"/>
          <w:w w:val="99"/>
          <w:szCs w:val="20"/>
          <w:highlight w:val="none"/>
        </w:rPr>
        <w:t>/</w:t>
      </w:r>
      <w:r>
        <w:rPr>
          <w:rFonts w:hint="eastAsia" w:ascii="Times New Roman" w:hAnsi="Times New Roman"/>
          <w:bCs/>
          <w:color w:val="auto"/>
          <w:w w:val="99"/>
          <w:szCs w:val="20"/>
          <w:highlight w:val="none"/>
          <w:lang w:val="en-US" w:eastAsia="zh-CN"/>
        </w:rPr>
        <w:t>d</w:t>
      </w:r>
      <w:r>
        <w:rPr>
          <w:rFonts w:ascii="Times New Roman" w:hAnsi="Times New Roman"/>
          <w:bCs/>
          <w:color w:val="auto"/>
          <w:w w:val="99"/>
          <w:szCs w:val="20"/>
          <w:highlight w:val="none"/>
        </w:rPr>
        <w:t>。根据《大气挥发性有机物源排放清单编制技术指南（试行）》其中天然气开采挥发性有机物排放系数推荐值为</w:t>
      </w:r>
      <w:r>
        <w:rPr>
          <w:rFonts w:hint="eastAsia" w:ascii="Times New Roman" w:hAnsi="Times New Roman"/>
          <w:bCs/>
          <w:color w:val="auto"/>
          <w:w w:val="99"/>
          <w:szCs w:val="20"/>
          <w:highlight w:val="none"/>
          <w:lang w:val="en-US" w:eastAsia="zh-CN"/>
        </w:rPr>
        <w:t>0.5g/kg</w:t>
      </w:r>
      <w:r>
        <w:rPr>
          <w:rFonts w:ascii="Times New Roman" w:hAnsi="Times New Roman"/>
          <w:bCs/>
          <w:color w:val="auto"/>
          <w:w w:val="99"/>
          <w:szCs w:val="20"/>
          <w:highlight w:val="none"/>
        </w:rPr>
        <w:t>，天然气密度按0.71kg/m</w:t>
      </w:r>
      <w:r>
        <w:rPr>
          <w:rFonts w:ascii="Times New Roman" w:hAnsi="Times New Roman"/>
          <w:bCs/>
          <w:color w:val="auto"/>
          <w:w w:val="99"/>
          <w:szCs w:val="20"/>
          <w:highlight w:val="none"/>
          <w:vertAlign w:val="superscript"/>
        </w:rPr>
        <w:t>3</w:t>
      </w:r>
      <w:r>
        <w:rPr>
          <w:rFonts w:ascii="Times New Roman" w:hAnsi="Times New Roman"/>
          <w:bCs/>
          <w:color w:val="auto"/>
          <w:w w:val="99"/>
          <w:szCs w:val="20"/>
          <w:highlight w:val="none"/>
        </w:rPr>
        <w:t>计，则非甲烷总烃挥发量为</w:t>
      </w:r>
      <w:r>
        <w:rPr>
          <w:rFonts w:hint="eastAsia" w:ascii="Times New Roman" w:hAnsi="Times New Roman"/>
          <w:bCs/>
          <w:color w:val="auto"/>
          <w:w w:val="99"/>
          <w:szCs w:val="20"/>
          <w:highlight w:val="none"/>
          <w:lang w:val="en-US" w:eastAsia="zh-CN"/>
        </w:rPr>
        <w:t>11.66</w:t>
      </w:r>
      <w:r>
        <w:rPr>
          <w:rFonts w:ascii="Times New Roman" w:hAnsi="Times New Roman"/>
          <w:bCs/>
          <w:color w:val="auto"/>
          <w:w w:val="99"/>
          <w:szCs w:val="20"/>
          <w:highlight w:val="none"/>
        </w:rPr>
        <w:t>t/a。气井在运行期间非正常工况包括气井开井、关井、检修以及事故时紧急切断阀门后，气井内剩余气通向井口房外放空池放空。</w:t>
      </w:r>
    </w:p>
    <w:p w14:paraId="114FF2B4">
      <w:pPr>
        <w:pStyle w:val="3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现有区块内已建气井均安装有井口密封设施、采用密闭集输管道输送天然气，能够有效控制无组织非甲烷总烃挥发。</w:t>
      </w:r>
      <w:r>
        <w:rPr>
          <w:rFonts w:hint="eastAsia" w:ascii="Times New Roman" w:hAnsi="Times New Roman"/>
          <w:bCs/>
          <w:color w:val="auto"/>
          <w:w w:val="99"/>
          <w:szCs w:val="20"/>
          <w:highlight w:val="none"/>
        </w:rPr>
        <w:t>根据大庆石油管理局环境监测中心站2025年8月21日对已建徐深27集气站的监测报告（报告编号DQWE-RE2-2508-431，附件6）以及本次对已建气井井场的监测（附件7），徐深27集气站厂界四周浓度范围为1.75~3.57mg/m</w:t>
      </w:r>
      <w:r>
        <w:rPr>
          <w:rFonts w:hint="eastAsia" w:ascii="Times New Roman" w:hAnsi="Times New Roman"/>
          <w:bCs/>
          <w:color w:val="auto"/>
          <w:w w:val="99"/>
          <w:szCs w:val="20"/>
          <w:highlight w:val="none"/>
          <w:vertAlign w:val="superscript"/>
        </w:rPr>
        <w:t>3</w:t>
      </w:r>
      <w:r>
        <w:rPr>
          <w:rFonts w:hint="eastAsia" w:ascii="Times New Roman" w:hAnsi="Times New Roman"/>
          <w:bCs/>
          <w:color w:val="auto"/>
          <w:w w:val="99"/>
          <w:szCs w:val="20"/>
          <w:highlight w:val="none"/>
        </w:rPr>
        <w:t>；徐深27气井井场</w:t>
      </w:r>
      <w:r>
        <w:rPr>
          <w:rFonts w:ascii="Times New Roman" w:hAnsi="Times New Roman"/>
          <w:bCs/>
          <w:color w:val="auto"/>
          <w:w w:val="99"/>
          <w:szCs w:val="20"/>
          <w:highlight w:val="none"/>
        </w:rPr>
        <w:t>的</w:t>
      </w:r>
      <w:r>
        <w:rPr>
          <w:rFonts w:hint="eastAsia" w:ascii="Times New Roman" w:hAnsi="Times New Roman"/>
          <w:bCs/>
          <w:color w:val="auto"/>
          <w:w w:val="99"/>
          <w:szCs w:val="20"/>
          <w:highlight w:val="none"/>
        </w:rPr>
        <w:t>厂界非甲烷总烃的排放浓度为0.41~0.64mg/m</w:t>
      </w:r>
      <w:r>
        <w:rPr>
          <w:rFonts w:hint="eastAsia" w:ascii="Times New Roman" w:hAnsi="Times New Roman"/>
          <w:bCs/>
          <w:color w:val="auto"/>
          <w:w w:val="99"/>
          <w:szCs w:val="20"/>
          <w:highlight w:val="none"/>
          <w:vertAlign w:val="superscript"/>
        </w:rPr>
        <w:t>3</w:t>
      </w:r>
      <w:r>
        <w:rPr>
          <w:rFonts w:hint="eastAsia" w:ascii="Times New Roman" w:hAnsi="Times New Roman"/>
          <w:bCs/>
          <w:color w:val="auto"/>
          <w:w w:val="99"/>
          <w:szCs w:val="20"/>
          <w:highlight w:val="none"/>
        </w:rPr>
        <w:t>，已建能够</w:t>
      </w:r>
      <w:r>
        <w:rPr>
          <w:rFonts w:ascii="Times New Roman" w:hAnsi="Times New Roman"/>
          <w:bCs/>
          <w:color w:val="auto"/>
          <w:w w:val="99"/>
          <w:szCs w:val="20"/>
          <w:highlight w:val="none"/>
        </w:rPr>
        <w:t>满足《陆上石油天然气开采工业大气污染物排放标准》（GB39728-2020）5.9中规定要求</w:t>
      </w:r>
      <w:r>
        <w:rPr>
          <w:rFonts w:hint="eastAsia" w:ascii="Times New Roman" w:hAnsi="Times New Roman"/>
          <w:bCs/>
          <w:color w:val="auto"/>
          <w:w w:val="99"/>
          <w:szCs w:val="24"/>
          <w:highlight w:val="none"/>
        </w:rPr>
        <w:t>。</w:t>
      </w:r>
    </w:p>
    <w:p w14:paraId="431E9452">
      <w:pPr>
        <w:pStyle w:val="3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根据《陆上石油天然气开采工业大气污染物排放标准》（GB39728-2020）中5.7.1在气田内将气井采出的井产物进行汇集、处理、输送的全过程应采用密闭工艺流程；5.7.3对油气田放空天然气应予以回收。不能回收或难以回收的，应经燃烧后放空；不能燃烧直接放空的，应报生态环境主管部门备案。</w:t>
      </w:r>
    </w:p>
    <w:p w14:paraId="072CD8B9">
      <w:pPr>
        <w:pStyle w:val="3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区块内现有气井采出天然气的汇集、处理、输送全过程均为密闭流程，管线均埋地敷设、依托场站内各关键接口法兰均为密闭，在天然气集输过程采取了全密闭工艺流程；目前采气厂对所有放空均采用热放空，满足《陆上石油天然气开采工业大气污染物排放标准》（GB39728-2020）中相关要求。</w:t>
      </w:r>
    </w:p>
    <w:p w14:paraId="5E82D6E5">
      <w:pPr>
        <w:pStyle w:val="32"/>
        <w:widowControl w:val="0"/>
        <w:spacing w:line="440" w:lineRule="exact"/>
        <w:ind w:firstLine="474" w:firstLineChars="200"/>
        <w:jc w:val="both"/>
        <w:rPr>
          <w:rFonts w:ascii="Times New Roman" w:hAnsi="Times New Roman"/>
          <w:bCs/>
          <w:color w:val="auto"/>
          <w:w w:val="99"/>
          <w:szCs w:val="20"/>
          <w:highlight w:val="none"/>
        </w:rPr>
      </w:pPr>
      <w:r>
        <w:rPr>
          <w:rFonts w:hint="eastAsia" w:ascii="宋体" w:hAnsi="宋体" w:cs="宋体"/>
          <w:bCs/>
          <w:color w:val="auto"/>
          <w:w w:val="99"/>
          <w:szCs w:val="20"/>
          <w:highlight w:val="none"/>
        </w:rPr>
        <w:t>②</w:t>
      </w:r>
      <w:r>
        <w:rPr>
          <w:rFonts w:ascii="Times New Roman" w:hAnsi="Times New Roman"/>
          <w:bCs/>
          <w:color w:val="auto"/>
          <w:w w:val="99"/>
          <w:szCs w:val="20"/>
          <w:highlight w:val="none"/>
        </w:rPr>
        <w:t>锅炉烟气</w:t>
      </w:r>
    </w:p>
    <w:p w14:paraId="5C7AF70A">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现有区块运行期产生的</w:t>
      </w:r>
      <w:r>
        <w:rPr>
          <w:rFonts w:ascii="Times New Roman" w:hAnsi="Times New Roman" w:cs="Times New Roman"/>
          <w:bCs/>
          <w:color w:val="auto"/>
          <w:w w:val="99"/>
          <w:szCs w:val="20"/>
          <w:highlight w:val="none"/>
        </w:rPr>
        <w:t>锅炉烟气</w:t>
      </w:r>
      <w:r>
        <w:rPr>
          <w:rFonts w:ascii="Times New Roman" w:hAnsi="Times New Roman" w:cs="Times New Roman" w:eastAsiaTheme="minorEastAsia"/>
          <w:color w:val="auto"/>
          <w:w w:val="99"/>
          <w:kern w:val="2"/>
          <w:szCs w:val="20"/>
          <w:highlight w:val="none"/>
        </w:rPr>
        <w:t>主要来自区块内的徐深</w:t>
      </w:r>
      <w:r>
        <w:rPr>
          <w:rFonts w:hint="eastAsia" w:ascii="Times New Roman" w:hAnsi="Times New Roman" w:cs="Times New Roman" w:eastAsiaTheme="minorEastAsia"/>
          <w:color w:val="auto"/>
          <w:w w:val="99"/>
          <w:kern w:val="2"/>
          <w:szCs w:val="20"/>
          <w:highlight w:val="none"/>
        </w:rPr>
        <w:t>27</w:t>
      </w:r>
      <w:r>
        <w:rPr>
          <w:rFonts w:ascii="Times New Roman" w:hAnsi="Times New Roman" w:cs="Times New Roman" w:eastAsiaTheme="minorEastAsia"/>
          <w:color w:val="auto"/>
          <w:w w:val="99"/>
          <w:kern w:val="2"/>
          <w:szCs w:val="20"/>
          <w:highlight w:val="none"/>
        </w:rPr>
        <w:t>区块</w:t>
      </w:r>
      <w:r>
        <w:rPr>
          <w:rFonts w:hint="eastAsia" w:ascii="Times New Roman" w:hAnsi="Times New Roman" w:cs="Times New Roman" w:eastAsiaTheme="minorEastAsia"/>
          <w:color w:val="auto"/>
          <w:w w:val="99"/>
          <w:kern w:val="2"/>
          <w:szCs w:val="20"/>
          <w:highlight w:val="none"/>
        </w:rPr>
        <w:t>内</w:t>
      </w:r>
      <w:r>
        <w:rPr>
          <w:rFonts w:ascii="Times New Roman" w:hAnsi="Times New Roman" w:cs="Times New Roman" w:eastAsiaTheme="minorEastAsia"/>
          <w:color w:val="auto"/>
          <w:w w:val="99"/>
          <w:kern w:val="2"/>
          <w:szCs w:val="20"/>
          <w:highlight w:val="none"/>
        </w:rPr>
        <w:t>加热炉排放的烟气。加热炉使用清洁燃料天然气。根据</w:t>
      </w:r>
      <w:r>
        <w:rPr>
          <w:rFonts w:hint="eastAsia" w:ascii="Times New Roman" w:hAnsi="Times New Roman" w:cs="Times New Roman"/>
          <w:bCs/>
          <w:color w:val="auto"/>
          <w:w w:val="99"/>
          <w:szCs w:val="20"/>
          <w:highlight w:val="none"/>
        </w:rPr>
        <w:t>大庆石油管理局环境监测中心站2025年12月20日</w:t>
      </w:r>
      <w:r>
        <w:rPr>
          <w:rFonts w:hint="eastAsia" w:ascii="Times New Roman" w:hAnsi="Times New Roman" w:cs="Times New Roman"/>
          <w:bCs/>
          <w:color w:val="auto"/>
          <w:w w:val="99"/>
          <w:kern w:val="2"/>
          <w:szCs w:val="20"/>
          <w:highlight w:val="none"/>
        </w:rPr>
        <w:t>对已建徐深27集气站1号加热炉的监测报告（报告编号DQWE-RE2-2512-399，附件6），</w:t>
      </w:r>
    </w:p>
    <w:p w14:paraId="74643164">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hint="eastAsia" w:ascii="Times New Roman" w:hAnsi="Times New Roman" w:cs="Times New Roman" w:eastAsiaTheme="minorEastAsia"/>
          <w:color w:val="auto"/>
          <w:w w:val="99"/>
          <w:kern w:val="2"/>
          <w:szCs w:val="20"/>
          <w:highlight w:val="none"/>
        </w:rPr>
        <w:t>徐深</w:t>
      </w:r>
      <w:r>
        <w:rPr>
          <w:rFonts w:ascii="Times New Roman" w:hAnsi="Times New Roman" w:cs="Times New Roman" w:eastAsiaTheme="minorEastAsia"/>
          <w:color w:val="auto"/>
          <w:w w:val="99"/>
          <w:kern w:val="2"/>
          <w:szCs w:val="20"/>
          <w:highlight w:val="none"/>
        </w:rPr>
        <w:t>27</w:t>
      </w:r>
      <w:r>
        <w:rPr>
          <w:rFonts w:hint="eastAsia" w:ascii="Times New Roman" w:hAnsi="Times New Roman" w:cs="Times New Roman" w:eastAsiaTheme="minorEastAsia"/>
          <w:color w:val="auto"/>
          <w:w w:val="99"/>
          <w:kern w:val="2"/>
          <w:szCs w:val="20"/>
          <w:highlight w:val="none"/>
        </w:rPr>
        <w:t>集气站</w:t>
      </w:r>
      <w:r>
        <w:rPr>
          <w:rFonts w:ascii="Times New Roman" w:hAnsi="Times New Roman" w:cs="Times New Roman" w:eastAsiaTheme="minorEastAsia"/>
          <w:color w:val="auto"/>
          <w:w w:val="99"/>
          <w:kern w:val="2"/>
          <w:szCs w:val="20"/>
          <w:highlight w:val="none"/>
        </w:rPr>
        <w:t>加热炉烟气中</w:t>
      </w:r>
      <w:r>
        <w:rPr>
          <w:rFonts w:ascii="Times New Roman" w:hAnsi="Times New Roman" w:cs="Times New Roman" w:eastAsiaTheme="minorEastAsia"/>
          <w:color w:val="auto"/>
          <w:w w:val="99"/>
          <w:kern w:val="2"/>
          <w:szCs w:val="20"/>
          <w:highlight w:val="none"/>
          <w:lang w:val="zh-CN"/>
        </w:rPr>
        <w:t>SO</w:t>
      </w:r>
      <w:r>
        <w:rPr>
          <w:rFonts w:ascii="Times New Roman" w:hAnsi="Times New Roman" w:cs="Times New Roman" w:eastAsiaTheme="minorEastAsia"/>
          <w:color w:val="auto"/>
          <w:w w:val="99"/>
          <w:kern w:val="2"/>
          <w:szCs w:val="20"/>
          <w:highlight w:val="none"/>
          <w:vertAlign w:val="subscript"/>
          <w:lang w:val="zh-CN"/>
        </w:rPr>
        <w:t>2</w:t>
      </w:r>
      <w:r>
        <w:rPr>
          <w:rFonts w:ascii="Times New Roman" w:hAnsi="Times New Roman" w:cs="Times New Roman" w:eastAsiaTheme="minorEastAsia"/>
          <w:color w:val="auto"/>
          <w:w w:val="99"/>
          <w:kern w:val="2"/>
          <w:szCs w:val="20"/>
          <w:highlight w:val="none"/>
          <w:lang w:val="zh-CN"/>
        </w:rPr>
        <w:t>、NO</w:t>
      </w:r>
      <w:r>
        <w:rPr>
          <w:rFonts w:ascii="Times New Roman" w:hAnsi="Times New Roman" w:cs="Times New Roman" w:eastAsiaTheme="minorEastAsia"/>
          <w:color w:val="auto"/>
          <w:w w:val="99"/>
          <w:kern w:val="2"/>
          <w:szCs w:val="20"/>
          <w:highlight w:val="none"/>
          <w:vertAlign w:val="subscript"/>
          <w:lang w:val="zh-CN"/>
        </w:rPr>
        <w:t>x</w:t>
      </w:r>
      <w:r>
        <w:rPr>
          <w:rFonts w:ascii="Times New Roman" w:hAnsi="Times New Roman" w:cs="Times New Roman" w:eastAsiaTheme="minorEastAsia"/>
          <w:color w:val="auto"/>
          <w:w w:val="99"/>
          <w:kern w:val="2"/>
          <w:szCs w:val="20"/>
          <w:highlight w:val="none"/>
          <w:lang w:val="zh-CN"/>
        </w:rPr>
        <w:t>、</w:t>
      </w:r>
      <w:r>
        <w:rPr>
          <w:rFonts w:hint="eastAsia" w:ascii="Times New Roman" w:hAnsi="Times New Roman" w:cs="Times New Roman" w:eastAsiaTheme="minorEastAsia"/>
          <w:color w:val="auto"/>
          <w:w w:val="99"/>
          <w:kern w:val="2"/>
          <w:szCs w:val="20"/>
          <w:highlight w:val="none"/>
        </w:rPr>
        <w:t>颗粒物的排放浓度分别为0mg/m</w:t>
      </w:r>
      <w:r>
        <w:rPr>
          <w:rFonts w:hint="eastAsia" w:ascii="Times New Roman" w:hAnsi="Times New Roman" w:cs="Times New Roman" w:eastAsiaTheme="minorEastAsia"/>
          <w:color w:val="auto"/>
          <w:w w:val="99"/>
          <w:kern w:val="2"/>
          <w:szCs w:val="20"/>
          <w:highlight w:val="none"/>
          <w:vertAlign w:val="superscript"/>
        </w:rPr>
        <w:t>3</w:t>
      </w:r>
      <w:r>
        <w:rPr>
          <w:rFonts w:hint="eastAsia" w:ascii="Times New Roman" w:hAnsi="Times New Roman" w:cs="Times New Roman" w:eastAsiaTheme="minorEastAsia"/>
          <w:color w:val="auto"/>
          <w:w w:val="99"/>
          <w:kern w:val="2"/>
          <w:szCs w:val="20"/>
          <w:highlight w:val="none"/>
        </w:rPr>
        <w:t>，53~61mg/m</w:t>
      </w:r>
      <w:r>
        <w:rPr>
          <w:rFonts w:hint="eastAsia" w:ascii="Times New Roman" w:hAnsi="Times New Roman" w:cs="Times New Roman" w:eastAsiaTheme="minorEastAsia"/>
          <w:color w:val="auto"/>
          <w:w w:val="99"/>
          <w:kern w:val="2"/>
          <w:szCs w:val="20"/>
          <w:highlight w:val="none"/>
          <w:vertAlign w:val="superscript"/>
        </w:rPr>
        <w:t>3</w:t>
      </w:r>
      <w:r>
        <w:rPr>
          <w:rFonts w:hint="eastAsia" w:ascii="Times New Roman" w:hAnsi="Times New Roman" w:cs="Times New Roman" w:eastAsiaTheme="minorEastAsia"/>
          <w:color w:val="auto"/>
          <w:w w:val="99"/>
          <w:kern w:val="2"/>
          <w:szCs w:val="20"/>
          <w:highlight w:val="none"/>
        </w:rPr>
        <w:t>，6.2~6.7mg/m</w:t>
      </w:r>
      <w:r>
        <w:rPr>
          <w:rFonts w:hint="eastAsia" w:ascii="Times New Roman" w:hAnsi="Times New Roman" w:cs="Times New Roman" w:eastAsiaTheme="minorEastAsia"/>
          <w:color w:val="auto"/>
          <w:w w:val="99"/>
          <w:kern w:val="2"/>
          <w:szCs w:val="20"/>
          <w:highlight w:val="none"/>
          <w:vertAlign w:val="superscript"/>
        </w:rPr>
        <w:t>3</w:t>
      </w:r>
      <w:r>
        <w:rPr>
          <w:rFonts w:hint="eastAsia" w:ascii="Times New Roman" w:hAnsi="Times New Roman" w:cs="Times New Roman" w:eastAsiaTheme="minorEastAsia"/>
          <w:color w:val="auto"/>
          <w:w w:val="99"/>
          <w:kern w:val="2"/>
          <w:szCs w:val="20"/>
          <w:highlight w:val="none"/>
        </w:rPr>
        <w:t>，</w:t>
      </w:r>
      <w:r>
        <w:rPr>
          <w:rFonts w:ascii="Times New Roman" w:hAnsi="Times New Roman" w:cs="Times New Roman" w:eastAsiaTheme="minorEastAsia"/>
          <w:color w:val="auto"/>
          <w:w w:val="99"/>
          <w:kern w:val="2"/>
          <w:szCs w:val="20"/>
          <w:highlight w:val="none"/>
          <w:lang w:val="zh-CN"/>
        </w:rPr>
        <w:t>均</w:t>
      </w:r>
      <w:r>
        <w:rPr>
          <w:rFonts w:ascii="Times New Roman" w:hAnsi="Times New Roman" w:cs="Times New Roman" w:eastAsiaTheme="minorEastAsia"/>
          <w:color w:val="auto"/>
          <w:w w:val="99"/>
          <w:kern w:val="2"/>
          <w:szCs w:val="20"/>
          <w:highlight w:val="none"/>
        </w:rPr>
        <w:t>满足《锅炉大气污染物排放标准》（GB13271-2014）中表2</w:t>
      </w:r>
      <w:r>
        <w:rPr>
          <w:rFonts w:hint="eastAsia" w:ascii="Times New Roman" w:hAnsi="Times New Roman" w:cs="Times New Roman" w:eastAsiaTheme="minorEastAsia"/>
          <w:color w:val="auto"/>
          <w:w w:val="99"/>
          <w:kern w:val="2"/>
          <w:szCs w:val="20"/>
          <w:highlight w:val="none"/>
        </w:rPr>
        <w:t>新建</w:t>
      </w:r>
      <w:r>
        <w:rPr>
          <w:rFonts w:ascii="Times New Roman" w:hAnsi="Times New Roman" w:cs="Times New Roman" w:eastAsiaTheme="minorEastAsia"/>
          <w:color w:val="auto"/>
          <w:w w:val="99"/>
          <w:kern w:val="2"/>
          <w:szCs w:val="20"/>
          <w:highlight w:val="none"/>
        </w:rPr>
        <w:t>燃气锅炉标准，且排气筒高度满足《锅炉大气污染物排放标准》（GB13271-2014）中对燃气锅炉烟囱不低于8m的要求。</w:t>
      </w:r>
    </w:p>
    <w:p w14:paraId="42C7C5B6">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highlight w:val="none"/>
        </w:rPr>
        <w:t>现有区块内</w:t>
      </w:r>
      <w:r>
        <w:rPr>
          <w:rFonts w:ascii="Times New Roman" w:hAnsi="Times New Roman" w:cs="Times New Roman" w:eastAsiaTheme="minorEastAsia"/>
          <w:color w:val="auto"/>
          <w:w w:val="99"/>
          <w:kern w:val="2"/>
          <w:szCs w:val="20"/>
          <w:highlight w:val="none"/>
        </w:rPr>
        <w:t>场站加热炉烟气污染物排放见表3.1-</w:t>
      </w:r>
      <w:r>
        <w:rPr>
          <w:rFonts w:hint="eastAsia" w:ascii="Times New Roman" w:hAnsi="Times New Roman" w:cs="Times New Roman" w:eastAsiaTheme="minorEastAsia"/>
          <w:color w:val="auto"/>
          <w:w w:val="99"/>
          <w:kern w:val="2"/>
          <w:szCs w:val="20"/>
          <w:highlight w:val="none"/>
        </w:rPr>
        <w:t>2</w:t>
      </w:r>
      <w:r>
        <w:rPr>
          <w:rFonts w:ascii="Times New Roman" w:hAnsi="Times New Roman" w:cs="Times New Roman" w:eastAsiaTheme="minorEastAsia"/>
          <w:color w:val="auto"/>
          <w:w w:val="99"/>
          <w:kern w:val="2"/>
          <w:szCs w:val="20"/>
          <w:highlight w:val="none"/>
        </w:rPr>
        <w:t>。</w:t>
      </w:r>
    </w:p>
    <w:p w14:paraId="04F89EAD">
      <w:pPr>
        <w:pStyle w:val="153"/>
        <w:widowControl w:val="0"/>
        <w:spacing w:line="440" w:lineRule="exact"/>
        <w:ind w:firstLine="474"/>
        <w:jc w:val="both"/>
        <w:rPr>
          <w:rFonts w:ascii="Times New Roman" w:hAnsi="Times New Roman" w:eastAsiaTheme="minorEastAsia"/>
          <w:b/>
          <w:color w:val="auto"/>
          <w:w w:val="99"/>
          <w:highlight w:val="none"/>
        </w:rPr>
      </w:pPr>
      <w:r>
        <w:rPr>
          <w:rFonts w:ascii="Times New Roman" w:hAnsi="Times New Roman" w:eastAsiaTheme="minorEastAsia"/>
          <w:b/>
          <w:color w:val="auto"/>
          <w:w w:val="99"/>
          <w:kern w:val="2"/>
          <w:szCs w:val="20"/>
          <w:highlight w:val="none"/>
        </w:rPr>
        <w:t>表3.1-</w:t>
      </w:r>
      <w:r>
        <w:rPr>
          <w:rFonts w:hint="eastAsia" w:ascii="Times New Roman" w:hAnsi="Times New Roman" w:eastAsiaTheme="minorEastAsia"/>
          <w:b/>
          <w:color w:val="auto"/>
          <w:w w:val="99"/>
          <w:kern w:val="2"/>
          <w:szCs w:val="20"/>
          <w:highlight w:val="none"/>
        </w:rPr>
        <w:t>2</w:t>
      </w:r>
      <w:r>
        <w:rPr>
          <w:rFonts w:ascii="Times New Roman" w:hAnsi="Times New Roman" w:eastAsiaTheme="minorEastAsia"/>
          <w:b/>
          <w:color w:val="auto"/>
          <w:w w:val="99"/>
          <w:highlight w:val="none"/>
        </w:rPr>
        <w:t xml:space="preserve">    现有区块内场站加热装置污染物排放量</w:t>
      </w:r>
    </w:p>
    <w:tbl>
      <w:tblPr>
        <w:tblStyle w:val="8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9"/>
        <w:gridCol w:w="2271"/>
        <w:gridCol w:w="938"/>
        <w:gridCol w:w="939"/>
        <w:gridCol w:w="947"/>
        <w:gridCol w:w="939"/>
        <w:gridCol w:w="939"/>
        <w:gridCol w:w="947"/>
      </w:tblGrid>
      <w:tr w14:paraId="1399E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32" w:type="pct"/>
            <w:vMerge w:val="restart"/>
            <w:vAlign w:val="center"/>
          </w:tcPr>
          <w:p w14:paraId="50EC183B">
            <w:pPr>
              <w:pStyle w:val="2868"/>
              <w:widowControl w:val="0"/>
              <w:spacing w:line="360" w:lineRule="exact"/>
              <w:rPr>
                <w:rFonts w:cs="Times New Roman"/>
                <w:color w:val="auto"/>
                <w:w w:val="99"/>
                <w:highlight w:val="none"/>
              </w:rPr>
            </w:pPr>
            <w:r>
              <w:rPr>
                <w:rFonts w:cs="Times New Roman"/>
                <w:color w:val="auto"/>
                <w:w w:val="99"/>
                <w:highlight w:val="none"/>
              </w:rPr>
              <w:t>污染源</w:t>
            </w:r>
          </w:p>
        </w:tc>
        <w:tc>
          <w:tcPr>
            <w:tcW w:w="1223" w:type="pct"/>
            <w:vMerge w:val="restart"/>
            <w:vAlign w:val="center"/>
          </w:tcPr>
          <w:p w14:paraId="0C6A70EB">
            <w:pPr>
              <w:pStyle w:val="2868"/>
              <w:widowControl w:val="0"/>
              <w:spacing w:line="360" w:lineRule="exact"/>
              <w:rPr>
                <w:rFonts w:cs="Times New Roman"/>
                <w:color w:val="auto"/>
                <w:w w:val="99"/>
                <w:highlight w:val="none"/>
              </w:rPr>
            </w:pPr>
            <w:r>
              <w:rPr>
                <w:rFonts w:cs="Times New Roman"/>
                <w:color w:val="auto"/>
                <w:w w:val="99"/>
                <w:highlight w:val="none"/>
              </w:rPr>
              <w:t>烟气量（万m</w:t>
            </w:r>
            <w:r>
              <w:rPr>
                <w:rFonts w:cs="Times New Roman"/>
                <w:color w:val="auto"/>
                <w:w w:val="99"/>
                <w:highlight w:val="none"/>
                <w:vertAlign w:val="superscript"/>
              </w:rPr>
              <w:t>3</w:t>
            </w:r>
            <w:r>
              <w:rPr>
                <w:rFonts w:cs="Times New Roman"/>
                <w:color w:val="auto"/>
                <w:w w:val="99"/>
                <w:highlight w:val="none"/>
              </w:rPr>
              <w:t>/a）</w:t>
            </w:r>
          </w:p>
        </w:tc>
        <w:tc>
          <w:tcPr>
            <w:tcW w:w="1521" w:type="pct"/>
            <w:gridSpan w:val="3"/>
            <w:vAlign w:val="center"/>
          </w:tcPr>
          <w:p w14:paraId="6A7AA6E8">
            <w:pPr>
              <w:pStyle w:val="2868"/>
              <w:widowControl w:val="0"/>
              <w:spacing w:line="360" w:lineRule="exact"/>
              <w:rPr>
                <w:rFonts w:cs="Times New Roman"/>
                <w:color w:val="auto"/>
                <w:w w:val="99"/>
                <w:highlight w:val="none"/>
              </w:rPr>
            </w:pPr>
            <w:r>
              <w:rPr>
                <w:rFonts w:cs="Times New Roman"/>
                <w:color w:val="auto"/>
                <w:w w:val="99"/>
                <w:highlight w:val="none"/>
              </w:rPr>
              <w:t>污染物浓度（mg/m</w:t>
            </w:r>
            <w:r>
              <w:rPr>
                <w:rFonts w:cs="Times New Roman"/>
                <w:color w:val="auto"/>
                <w:w w:val="99"/>
                <w:highlight w:val="none"/>
                <w:vertAlign w:val="superscript"/>
              </w:rPr>
              <w:t>3</w:t>
            </w:r>
            <w:r>
              <w:rPr>
                <w:rFonts w:cs="Times New Roman"/>
                <w:color w:val="auto"/>
                <w:w w:val="99"/>
                <w:highlight w:val="none"/>
              </w:rPr>
              <w:t>）</w:t>
            </w:r>
          </w:p>
        </w:tc>
        <w:tc>
          <w:tcPr>
            <w:tcW w:w="1522" w:type="pct"/>
            <w:gridSpan w:val="3"/>
            <w:vAlign w:val="center"/>
          </w:tcPr>
          <w:p w14:paraId="7E6213AE">
            <w:pPr>
              <w:pStyle w:val="2868"/>
              <w:widowControl w:val="0"/>
              <w:spacing w:line="360" w:lineRule="exact"/>
              <w:rPr>
                <w:rFonts w:cs="Times New Roman"/>
                <w:color w:val="auto"/>
                <w:w w:val="99"/>
                <w:highlight w:val="none"/>
              </w:rPr>
            </w:pPr>
            <w:r>
              <w:rPr>
                <w:rFonts w:cs="Times New Roman"/>
                <w:color w:val="auto"/>
                <w:w w:val="99"/>
                <w:highlight w:val="none"/>
              </w:rPr>
              <w:t>污染物排放量（t/a）</w:t>
            </w:r>
          </w:p>
        </w:tc>
      </w:tr>
      <w:tr w14:paraId="0F443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32" w:type="pct"/>
            <w:vMerge w:val="continue"/>
            <w:vAlign w:val="center"/>
          </w:tcPr>
          <w:p w14:paraId="13653AA3">
            <w:pPr>
              <w:pStyle w:val="2868"/>
              <w:widowControl w:val="0"/>
              <w:spacing w:line="360" w:lineRule="exact"/>
              <w:rPr>
                <w:rFonts w:cs="Times New Roman"/>
                <w:color w:val="auto"/>
                <w:w w:val="99"/>
                <w:highlight w:val="none"/>
              </w:rPr>
            </w:pPr>
          </w:p>
        </w:tc>
        <w:tc>
          <w:tcPr>
            <w:tcW w:w="1223" w:type="pct"/>
            <w:vMerge w:val="continue"/>
            <w:vAlign w:val="center"/>
          </w:tcPr>
          <w:p w14:paraId="2D873B02">
            <w:pPr>
              <w:pStyle w:val="2868"/>
              <w:widowControl w:val="0"/>
              <w:spacing w:line="360" w:lineRule="exact"/>
              <w:rPr>
                <w:rFonts w:cs="Times New Roman"/>
                <w:color w:val="auto"/>
                <w:w w:val="99"/>
                <w:highlight w:val="none"/>
              </w:rPr>
            </w:pPr>
          </w:p>
        </w:tc>
        <w:tc>
          <w:tcPr>
            <w:tcW w:w="505" w:type="pct"/>
            <w:vAlign w:val="center"/>
          </w:tcPr>
          <w:p w14:paraId="37EF939E">
            <w:pPr>
              <w:pStyle w:val="2868"/>
              <w:widowControl w:val="0"/>
              <w:spacing w:line="360" w:lineRule="exact"/>
              <w:rPr>
                <w:rFonts w:cs="Times New Roman"/>
                <w:color w:val="auto"/>
                <w:w w:val="99"/>
                <w:highlight w:val="none"/>
              </w:rPr>
            </w:pPr>
            <w:r>
              <w:rPr>
                <w:rFonts w:cs="Times New Roman"/>
                <w:color w:val="auto"/>
                <w:w w:val="99"/>
                <w:highlight w:val="none"/>
              </w:rPr>
              <w:t>SO</w:t>
            </w:r>
            <w:r>
              <w:rPr>
                <w:rFonts w:cs="Times New Roman"/>
                <w:color w:val="auto"/>
                <w:w w:val="99"/>
                <w:highlight w:val="none"/>
                <w:vertAlign w:val="subscript"/>
              </w:rPr>
              <w:t>2</w:t>
            </w:r>
          </w:p>
        </w:tc>
        <w:tc>
          <w:tcPr>
            <w:tcW w:w="506" w:type="pct"/>
            <w:vAlign w:val="center"/>
          </w:tcPr>
          <w:p w14:paraId="7CFEF0B5">
            <w:pPr>
              <w:pStyle w:val="2868"/>
              <w:widowControl w:val="0"/>
              <w:spacing w:line="360" w:lineRule="exact"/>
              <w:rPr>
                <w:rFonts w:cs="Times New Roman"/>
                <w:color w:val="auto"/>
                <w:w w:val="99"/>
                <w:highlight w:val="none"/>
              </w:rPr>
            </w:pPr>
            <w:r>
              <w:rPr>
                <w:rFonts w:cs="Times New Roman"/>
                <w:color w:val="auto"/>
                <w:w w:val="99"/>
                <w:highlight w:val="none"/>
              </w:rPr>
              <w:t>NO</w:t>
            </w:r>
            <w:r>
              <w:rPr>
                <w:rFonts w:cs="Times New Roman"/>
                <w:color w:val="auto"/>
                <w:w w:val="99"/>
                <w:highlight w:val="none"/>
                <w:vertAlign w:val="subscript"/>
              </w:rPr>
              <w:t>X</w:t>
            </w:r>
          </w:p>
        </w:tc>
        <w:tc>
          <w:tcPr>
            <w:tcW w:w="509" w:type="pct"/>
            <w:vAlign w:val="center"/>
          </w:tcPr>
          <w:p w14:paraId="5B654790">
            <w:pPr>
              <w:pStyle w:val="2868"/>
              <w:widowControl w:val="0"/>
              <w:spacing w:line="360" w:lineRule="exact"/>
              <w:rPr>
                <w:rFonts w:cs="Times New Roman"/>
                <w:color w:val="auto"/>
                <w:w w:val="99"/>
                <w:highlight w:val="none"/>
              </w:rPr>
            </w:pPr>
            <w:r>
              <w:rPr>
                <w:rFonts w:cs="Times New Roman"/>
                <w:color w:val="auto"/>
                <w:w w:val="99"/>
                <w:highlight w:val="none"/>
              </w:rPr>
              <w:t>颗粒物</w:t>
            </w:r>
          </w:p>
        </w:tc>
        <w:tc>
          <w:tcPr>
            <w:tcW w:w="506" w:type="pct"/>
            <w:vAlign w:val="center"/>
          </w:tcPr>
          <w:p w14:paraId="57774A3C">
            <w:pPr>
              <w:pStyle w:val="2868"/>
              <w:widowControl w:val="0"/>
              <w:spacing w:line="360" w:lineRule="exact"/>
              <w:rPr>
                <w:rFonts w:cs="Times New Roman"/>
                <w:color w:val="auto"/>
                <w:w w:val="99"/>
                <w:highlight w:val="none"/>
              </w:rPr>
            </w:pPr>
            <w:r>
              <w:rPr>
                <w:rFonts w:cs="Times New Roman"/>
                <w:color w:val="auto"/>
                <w:w w:val="99"/>
                <w:highlight w:val="none"/>
              </w:rPr>
              <w:t>SO</w:t>
            </w:r>
            <w:r>
              <w:rPr>
                <w:rFonts w:cs="Times New Roman"/>
                <w:color w:val="auto"/>
                <w:w w:val="99"/>
                <w:highlight w:val="none"/>
                <w:vertAlign w:val="subscript"/>
              </w:rPr>
              <w:t>2</w:t>
            </w:r>
          </w:p>
        </w:tc>
        <w:tc>
          <w:tcPr>
            <w:tcW w:w="506" w:type="pct"/>
            <w:vAlign w:val="center"/>
          </w:tcPr>
          <w:p w14:paraId="1667C15B">
            <w:pPr>
              <w:pStyle w:val="2868"/>
              <w:widowControl w:val="0"/>
              <w:spacing w:line="360" w:lineRule="exact"/>
              <w:rPr>
                <w:rFonts w:cs="Times New Roman"/>
                <w:color w:val="auto"/>
                <w:w w:val="99"/>
                <w:highlight w:val="none"/>
              </w:rPr>
            </w:pPr>
            <w:r>
              <w:rPr>
                <w:rFonts w:cs="Times New Roman"/>
                <w:color w:val="auto"/>
                <w:w w:val="99"/>
                <w:highlight w:val="none"/>
              </w:rPr>
              <w:t>NO</w:t>
            </w:r>
            <w:r>
              <w:rPr>
                <w:rFonts w:cs="Times New Roman"/>
                <w:color w:val="auto"/>
                <w:w w:val="99"/>
                <w:highlight w:val="none"/>
                <w:vertAlign w:val="subscript"/>
              </w:rPr>
              <w:t>X</w:t>
            </w:r>
          </w:p>
        </w:tc>
        <w:tc>
          <w:tcPr>
            <w:tcW w:w="508" w:type="pct"/>
            <w:vAlign w:val="center"/>
          </w:tcPr>
          <w:p w14:paraId="25718691">
            <w:pPr>
              <w:pStyle w:val="2868"/>
              <w:widowControl w:val="0"/>
              <w:spacing w:line="360" w:lineRule="exact"/>
              <w:rPr>
                <w:rFonts w:cs="Times New Roman"/>
                <w:color w:val="auto"/>
                <w:w w:val="99"/>
                <w:highlight w:val="none"/>
              </w:rPr>
            </w:pPr>
            <w:r>
              <w:rPr>
                <w:rFonts w:cs="Times New Roman"/>
                <w:color w:val="auto"/>
                <w:w w:val="99"/>
                <w:highlight w:val="none"/>
              </w:rPr>
              <w:t>颗粒物</w:t>
            </w:r>
          </w:p>
        </w:tc>
      </w:tr>
      <w:tr w14:paraId="596D5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32" w:type="pct"/>
            <w:vAlign w:val="center"/>
          </w:tcPr>
          <w:p w14:paraId="484878AB">
            <w:pPr>
              <w:pStyle w:val="2868"/>
              <w:widowControl w:val="0"/>
              <w:spacing w:line="360" w:lineRule="exact"/>
              <w:rPr>
                <w:rFonts w:cs="Times New Roman"/>
                <w:color w:val="auto"/>
                <w:w w:val="99"/>
                <w:highlight w:val="none"/>
              </w:rPr>
            </w:pPr>
            <w:r>
              <w:rPr>
                <w:rFonts w:hint="eastAsia"/>
                <w:color w:val="auto"/>
                <w:w w:val="99"/>
                <w:highlight w:val="none"/>
              </w:rPr>
              <w:t>徐深</w:t>
            </w:r>
            <w:r>
              <w:rPr>
                <w:color w:val="auto"/>
                <w:w w:val="99"/>
                <w:highlight w:val="none"/>
              </w:rPr>
              <w:t>27</w:t>
            </w:r>
            <w:r>
              <w:rPr>
                <w:rFonts w:hint="eastAsia"/>
                <w:color w:val="auto"/>
                <w:w w:val="99"/>
                <w:highlight w:val="none"/>
              </w:rPr>
              <w:t>集气站加热炉</w:t>
            </w:r>
          </w:p>
        </w:tc>
        <w:tc>
          <w:tcPr>
            <w:tcW w:w="1223" w:type="pct"/>
            <w:vAlign w:val="center"/>
          </w:tcPr>
          <w:p w14:paraId="1F4A18C8">
            <w:pPr>
              <w:pStyle w:val="2868"/>
              <w:widowControl w:val="0"/>
              <w:spacing w:line="360" w:lineRule="exact"/>
              <w:rPr>
                <w:rFonts w:cs="Times New Roman"/>
                <w:color w:val="auto"/>
                <w:w w:val="99"/>
                <w:highlight w:val="none"/>
              </w:rPr>
            </w:pPr>
            <w:r>
              <w:rPr>
                <w:rFonts w:cs="Times New Roman"/>
                <w:color w:val="auto"/>
                <w:w w:val="99"/>
                <w:highlight w:val="none"/>
              </w:rPr>
              <w:t>280.4</w:t>
            </w:r>
          </w:p>
        </w:tc>
        <w:tc>
          <w:tcPr>
            <w:tcW w:w="505" w:type="pct"/>
            <w:vAlign w:val="center"/>
          </w:tcPr>
          <w:p w14:paraId="78A57044">
            <w:pPr>
              <w:pStyle w:val="2868"/>
              <w:widowControl w:val="0"/>
              <w:spacing w:line="360" w:lineRule="exact"/>
              <w:rPr>
                <w:rFonts w:cs="Times New Roman"/>
                <w:color w:val="auto"/>
                <w:w w:val="99"/>
                <w:highlight w:val="none"/>
              </w:rPr>
            </w:pPr>
            <w:r>
              <w:rPr>
                <w:rFonts w:hint="eastAsia" w:cs="Times New Roman"/>
                <w:color w:val="auto"/>
                <w:w w:val="99"/>
                <w:highlight w:val="none"/>
              </w:rPr>
              <w:t>0</w:t>
            </w:r>
          </w:p>
        </w:tc>
        <w:tc>
          <w:tcPr>
            <w:tcW w:w="506" w:type="pct"/>
            <w:vAlign w:val="center"/>
          </w:tcPr>
          <w:p w14:paraId="7DD0E912">
            <w:pPr>
              <w:pStyle w:val="2868"/>
              <w:widowControl w:val="0"/>
              <w:spacing w:line="360" w:lineRule="exact"/>
              <w:rPr>
                <w:rFonts w:cs="Times New Roman"/>
                <w:color w:val="auto"/>
                <w:w w:val="99"/>
                <w:highlight w:val="none"/>
              </w:rPr>
            </w:pPr>
            <w:r>
              <w:rPr>
                <w:rFonts w:hint="eastAsia" w:cs="Times New Roman"/>
                <w:color w:val="auto"/>
                <w:w w:val="99"/>
                <w:highlight w:val="none"/>
              </w:rPr>
              <w:t>58</w:t>
            </w:r>
          </w:p>
        </w:tc>
        <w:tc>
          <w:tcPr>
            <w:tcW w:w="509" w:type="pct"/>
            <w:vAlign w:val="center"/>
          </w:tcPr>
          <w:p w14:paraId="528A47DB">
            <w:pPr>
              <w:pStyle w:val="2868"/>
              <w:widowControl w:val="0"/>
              <w:spacing w:line="360" w:lineRule="exact"/>
              <w:rPr>
                <w:rFonts w:cs="Times New Roman"/>
                <w:color w:val="auto"/>
                <w:w w:val="99"/>
                <w:highlight w:val="none"/>
              </w:rPr>
            </w:pPr>
            <w:r>
              <w:rPr>
                <w:rFonts w:hint="eastAsia" w:cs="Times New Roman"/>
                <w:color w:val="auto"/>
                <w:w w:val="99"/>
                <w:highlight w:val="none"/>
              </w:rPr>
              <w:t>6.4</w:t>
            </w:r>
          </w:p>
        </w:tc>
        <w:tc>
          <w:tcPr>
            <w:tcW w:w="506" w:type="pct"/>
            <w:vAlign w:val="center"/>
          </w:tcPr>
          <w:p w14:paraId="1DF38131">
            <w:pPr>
              <w:pStyle w:val="2868"/>
              <w:widowControl w:val="0"/>
              <w:spacing w:line="360" w:lineRule="exact"/>
              <w:rPr>
                <w:rFonts w:cs="Times New Roman"/>
                <w:color w:val="auto"/>
                <w:w w:val="99"/>
                <w:highlight w:val="none"/>
              </w:rPr>
            </w:pPr>
            <w:r>
              <w:rPr>
                <w:rFonts w:hint="eastAsia" w:cs="Times New Roman"/>
                <w:color w:val="auto"/>
                <w:w w:val="99"/>
                <w:highlight w:val="none"/>
              </w:rPr>
              <w:t>0</w:t>
            </w:r>
          </w:p>
        </w:tc>
        <w:tc>
          <w:tcPr>
            <w:tcW w:w="506" w:type="pct"/>
            <w:vAlign w:val="center"/>
          </w:tcPr>
          <w:p w14:paraId="21AFE61B">
            <w:pPr>
              <w:pStyle w:val="2868"/>
              <w:widowControl w:val="0"/>
              <w:spacing w:line="360" w:lineRule="exact"/>
              <w:rPr>
                <w:rFonts w:cs="Times New Roman"/>
                <w:color w:val="auto"/>
                <w:w w:val="99"/>
                <w:highlight w:val="none"/>
              </w:rPr>
            </w:pPr>
            <w:r>
              <w:rPr>
                <w:rFonts w:hint="eastAsia" w:cs="Times New Roman"/>
                <w:color w:val="auto"/>
                <w:w w:val="99"/>
                <w:highlight w:val="none"/>
              </w:rPr>
              <w:t>0</w:t>
            </w:r>
            <w:r>
              <w:rPr>
                <w:rFonts w:cs="Times New Roman"/>
                <w:color w:val="auto"/>
                <w:w w:val="99"/>
                <w:highlight w:val="none"/>
              </w:rPr>
              <w:t>.</w:t>
            </w:r>
            <w:r>
              <w:rPr>
                <w:rFonts w:hint="eastAsia" w:cs="Times New Roman"/>
                <w:color w:val="auto"/>
                <w:w w:val="99"/>
                <w:highlight w:val="none"/>
              </w:rPr>
              <w:t>163</w:t>
            </w:r>
          </w:p>
        </w:tc>
        <w:tc>
          <w:tcPr>
            <w:tcW w:w="508" w:type="pct"/>
            <w:vAlign w:val="center"/>
          </w:tcPr>
          <w:p w14:paraId="741B6136">
            <w:pPr>
              <w:pStyle w:val="2868"/>
              <w:widowControl w:val="0"/>
              <w:spacing w:line="360" w:lineRule="exact"/>
              <w:rPr>
                <w:rFonts w:cs="Times New Roman"/>
                <w:color w:val="auto"/>
                <w:w w:val="99"/>
                <w:highlight w:val="none"/>
              </w:rPr>
            </w:pPr>
            <w:r>
              <w:rPr>
                <w:rFonts w:hint="eastAsia" w:cs="Times New Roman"/>
                <w:color w:val="auto"/>
                <w:w w:val="99"/>
                <w:highlight w:val="none"/>
              </w:rPr>
              <w:t>0</w:t>
            </w:r>
            <w:r>
              <w:rPr>
                <w:rFonts w:cs="Times New Roman"/>
                <w:color w:val="auto"/>
                <w:w w:val="99"/>
                <w:highlight w:val="none"/>
              </w:rPr>
              <w:t>.0</w:t>
            </w:r>
            <w:r>
              <w:rPr>
                <w:rFonts w:hint="eastAsia" w:cs="Times New Roman"/>
                <w:color w:val="auto"/>
                <w:w w:val="99"/>
                <w:highlight w:val="none"/>
              </w:rPr>
              <w:t>18</w:t>
            </w:r>
          </w:p>
        </w:tc>
      </w:tr>
    </w:tbl>
    <w:p w14:paraId="52F4271B">
      <w:pPr>
        <w:pStyle w:val="3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由以上分析可知，区块内场站排放的锅炉烟气中颗粒物排放量为</w:t>
      </w:r>
      <w:r>
        <w:rPr>
          <w:rFonts w:hint="eastAsia" w:ascii="Times New Roman" w:hAnsi="Times New Roman"/>
          <w:bCs/>
          <w:color w:val="auto"/>
          <w:w w:val="99"/>
          <w:szCs w:val="20"/>
          <w:highlight w:val="none"/>
        </w:rPr>
        <w:t>0.018</w:t>
      </w:r>
      <w:r>
        <w:rPr>
          <w:rFonts w:ascii="Times New Roman" w:hAnsi="Times New Roman"/>
          <w:bCs/>
          <w:color w:val="auto"/>
          <w:w w:val="99"/>
          <w:szCs w:val="20"/>
          <w:highlight w:val="none"/>
        </w:rPr>
        <w:t>t/a，NO</w:t>
      </w:r>
      <w:r>
        <w:rPr>
          <w:rFonts w:ascii="Times New Roman" w:hAnsi="Times New Roman"/>
          <w:bCs/>
          <w:color w:val="auto"/>
          <w:w w:val="99"/>
          <w:szCs w:val="20"/>
          <w:highlight w:val="none"/>
          <w:vertAlign w:val="subscript"/>
        </w:rPr>
        <w:t>x</w:t>
      </w:r>
      <w:r>
        <w:rPr>
          <w:rFonts w:ascii="Times New Roman" w:hAnsi="Times New Roman"/>
          <w:bCs/>
          <w:color w:val="auto"/>
          <w:w w:val="99"/>
          <w:szCs w:val="20"/>
          <w:highlight w:val="none"/>
        </w:rPr>
        <w:t>排放量为</w:t>
      </w:r>
      <w:r>
        <w:rPr>
          <w:rFonts w:hint="eastAsia" w:ascii="Times New Roman" w:hAnsi="Times New Roman"/>
          <w:bCs/>
          <w:color w:val="auto"/>
          <w:w w:val="99"/>
          <w:szCs w:val="20"/>
          <w:highlight w:val="none"/>
        </w:rPr>
        <w:t>0.163</w:t>
      </w:r>
      <w:r>
        <w:rPr>
          <w:rFonts w:ascii="Times New Roman" w:hAnsi="Times New Roman"/>
          <w:bCs/>
          <w:color w:val="auto"/>
          <w:w w:val="99"/>
          <w:szCs w:val="20"/>
          <w:highlight w:val="none"/>
        </w:rPr>
        <w:t>t/a，SO</w:t>
      </w:r>
      <w:r>
        <w:rPr>
          <w:rFonts w:ascii="Times New Roman" w:hAnsi="Times New Roman"/>
          <w:bCs/>
          <w:color w:val="auto"/>
          <w:w w:val="99"/>
          <w:szCs w:val="20"/>
          <w:highlight w:val="none"/>
          <w:vertAlign w:val="subscript"/>
        </w:rPr>
        <w:t>2</w:t>
      </w:r>
      <w:r>
        <w:rPr>
          <w:rFonts w:ascii="Times New Roman" w:hAnsi="Times New Roman"/>
          <w:bCs/>
          <w:color w:val="auto"/>
          <w:w w:val="99"/>
          <w:szCs w:val="20"/>
          <w:highlight w:val="none"/>
        </w:rPr>
        <w:t>排放量为</w:t>
      </w:r>
      <w:r>
        <w:rPr>
          <w:rFonts w:hint="eastAsia" w:ascii="Times New Roman" w:hAnsi="Times New Roman"/>
          <w:bCs/>
          <w:color w:val="auto"/>
          <w:w w:val="99"/>
          <w:szCs w:val="20"/>
          <w:highlight w:val="none"/>
        </w:rPr>
        <w:t>0</w:t>
      </w:r>
      <w:r>
        <w:rPr>
          <w:rFonts w:ascii="Times New Roman" w:hAnsi="Times New Roman"/>
          <w:bCs/>
          <w:color w:val="auto"/>
          <w:w w:val="99"/>
          <w:szCs w:val="20"/>
          <w:highlight w:val="none"/>
        </w:rPr>
        <w:t>t/a，区块内场站锅炉烟气排放满足</w:t>
      </w:r>
      <w:r>
        <w:rPr>
          <w:rFonts w:ascii="Times New Roman" w:hAnsi="Times New Roman" w:eastAsiaTheme="minorEastAsia"/>
          <w:color w:val="auto"/>
          <w:w w:val="99"/>
          <w:szCs w:val="20"/>
          <w:highlight w:val="none"/>
        </w:rPr>
        <w:t>《锅炉大气污染物排放标准》（GB13271-2014）</w:t>
      </w:r>
      <w:r>
        <w:rPr>
          <w:rFonts w:hint="eastAsia" w:ascii="Times New Roman" w:hAnsi="Times New Roman" w:eastAsiaTheme="minorEastAsia"/>
          <w:color w:val="auto"/>
          <w:w w:val="99"/>
          <w:szCs w:val="20"/>
          <w:highlight w:val="none"/>
        </w:rPr>
        <w:t>表2</w:t>
      </w:r>
      <w:r>
        <w:rPr>
          <w:rFonts w:ascii="Times New Roman" w:hAnsi="Times New Roman" w:eastAsiaTheme="minorEastAsia"/>
          <w:color w:val="auto"/>
          <w:w w:val="99"/>
          <w:szCs w:val="20"/>
          <w:highlight w:val="none"/>
        </w:rPr>
        <w:t>中</w:t>
      </w:r>
      <w:r>
        <w:rPr>
          <w:rFonts w:hint="eastAsia" w:ascii="Times New Roman" w:hAnsi="Times New Roman" w:eastAsiaTheme="minorEastAsia"/>
          <w:color w:val="auto"/>
          <w:w w:val="99"/>
          <w:szCs w:val="20"/>
          <w:highlight w:val="none"/>
        </w:rPr>
        <w:t>新建</w:t>
      </w:r>
      <w:r>
        <w:rPr>
          <w:rFonts w:ascii="Times New Roman" w:hAnsi="Times New Roman" w:eastAsiaTheme="minorEastAsia"/>
          <w:color w:val="auto"/>
          <w:w w:val="99"/>
          <w:szCs w:val="20"/>
          <w:highlight w:val="none"/>
        </w:rPr>
        <w:t>燃气锅炉标准限值要求。</w:t>
      </w:r>
    </w:p>
    <w:p w14:paraId="7B8D1BF5">
      <w:pPr>
        <w:pStyle w:val="32"/>
        <w:widowControl w:val="0"/>
        <w:spacing w:line="440" w:lineRule="exact"/>
        <w:ind w:firstLine="474" w:firstLineChars="200"/>
        <w:jc w:val="both"/>
        <w:rPr>
          <w:rFonts w:ascii="Times New Roman" w:hAnsi="Times New Roman" w:eastAsiaTheme="minorEastAsia"/>
          <w:color w:val="auto"/>
          <w:w w:val="99"/>
          <w:szCs w:val="20"/>
          <w:highlight w:val="none"/>
        </w:rPr>
      </w:pPr>
      <w:r>
        <w:rPr>
          <w:rFonts w:hint="eastAsia" w:ascii="Times New Roman" w:hAnsi="Times New Roman" w:eastAsiaTheme="minorEastAsia"/>
          <w:color w:val="auto"/>
          <w:w w:val="99"/>
          <w:szCs w:val="20"/>
          <w:highlight w:val="none"/>
        </w:rPr>
        <w:t>③</w:t>
      </w:r>
      <w:r>
        <w:rPr>
          <w:rFonts w:ascii="Times New Roman" w:hAnsi="Times New Roman" w:eastAsiaTheme="minorEastAsia"/>
          <w:color w:val="auto"/>
          <w:w w:val="99"/>
          <w:szCs w:val="20"/>
          <w:highlight w:val="none"/>
        </w:rPr>
        <w:t>甘醇脱水装置尾气</w:t>
      </w:r>
    </w:p>
    <w:p w14:paraId="6F768E72">
      <w:pPr>
        <w:pStyle w:val="32"/>
        <w:widowControl w:val="0"/>
        <w:spacing w:line="440" w:lineRule="exact"/>
        <w:ind w:firstLine="474" w:firstLineChars="200"/>
        <w:jc w:val="both"/>
        <w:rPr>
          <w:rFonts w:ascii="Times New Roman" w:hAnsi="Times New Roman" w:eastAsiaTheme="minorEastAsia"/>
          <w:color w:val="auto"/>
          <w:w w:val="99"/>
          <w:szCs w:val="20"/>
          <w:highlight w:val="none"/>
        </w:rPr>
      </w:pPr>
      <w:r>
        <w:rPr>
          <w:rFonts w:ascii="Times New Roman" w:hAnsi="Times New Roman" w:eastAsiaTheme="minorEastAsia"/>
          <w:color w:val="auto"/>
          <w:w w:val="99"/>
          <w:szCs w:val="20"/>
          <w:highlight w:val="none"/>
        </w:rPr>
        <w:t>集气站内三甘醇脱水装置再生精馏柱会产生尾气，针对三甘醇脱水装置的尾气问题，采用尾气回收装置（水引射增压回收工艺）对尾气进行回收处理，既能对尾气中天然气进行回收，又能解决尾气排放对大气的污染实现尾气的零排放，回收率100%。</w:t>
      </w:r>
    </w:p>
    <w:p w14:paraId="3243A2C7">
      <w:pPr>
        <w:pStyle w:val="3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（2）废水</w:t>
      </w:r>
    </w:p>
    <w:p w14:paraId="59FEA5FB">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ascii="Times New Roman" w:hAnsi="Times New Roman" w:eastAsia="宋体" w:cs="Times New Roman"/>
          <w:bCs/>
          <w:color w:val="auto"/>
          <w:w w:val="99"/>
          <w:kern w:val="0"/>
          <w:sz w:val="24"/>
          <w:szCs w:val="20"/>
          <w:highlight w:val="none"/>
          <w:lang w:val="en-US" w:eastAsia="zh-CN" w:bidi="ar-SA"/>
        </w:rPr>
      </w:pPr>
      <w:r>
        <w:rPr>
          <w:rFonts w:ascii="Times New Roman" w:hAnsi="Times New Roman"/>
          <w:bCs/>
          <w:color w:val="auto"/>
          <w:w w:val="99"/>
          <w:szCs w:val="20"/>
          <w:highlight w:val="none"/>
        </w:rPr>
        <w:t>现有区块内</w:t>
      </w:r>
      <w:r>
        <w:rPr>
          <w:rFonts w:hint="eastAsia" w:ascii="Times New Roman" w:hAnsi="Times New Roman"/>
          <w:bCs/>
          <w:color w:val="auto"/>
          <w:w w:val="99"/>
          <w:szCs w:val="20"/>
          <w:highlight w:val="none"/>
        </w:rPr>
        <w:t>3</w:t>
      </w:r>
      <w:r>
        <w:rPr>
          <w:rFonts w:ascii="Times New Roman" w:hAnsi="Times New Roman"/>
          <w:bCs/>
          <w:color w:val="auto"/>
          <w:w w:val="99"/>
          <w:szCs w:val="20"/>
          <w:highlight w:val="none"/>
        </w:rPr>
        <w:t>口生产井运行，</w:t>
      </w:r>
      <w:r>
        <w:rPr>
          <w:rFonts w:hint="eastAsia" w:ascii="Times New Roman" w:hAnsi="Times New Roman"/>
          <w:bCs/>
          <w:color w:val="auto"/>
          <w:w w:val="99"/>
          <w:szCs w:val="20"/>
          <w:highlight w:val="none"/>
          <w:lang w:val="en-US" w:eastAsia="zh-CN"/>
        </w:rPr>
        <w:t>气田采出水</w:t>
      </w:r>
      <w:r>
        <w:rPr>
          <w:rFonts w:ascii="Times New Roman" w:hAnsi="Times New Roman"/>
          <w:bCs/>
          <w:color w:val="auto"/>
          <w:w w:val="99"/>
          <w:szCs w:val="20"/>
          <w:highlight w:val="none"/>
        </w:rPr>
        <w:t>在集气站污水储罐暂存，然后由集输管网统一输送至升一联气田污水处理站集中处理，因此本区块内无废水排放。</w:t>
      </w:r>
      <w:r>
        <w:rPr>
          <w:rFonts w:hint="eastAsia" w:ascii="Times New Roman" w:hAnsi="Times New Roman" w:cs="Times New Roman"/>
          <w:bCs/>
          <w:color w:val="auto"/>
          <w:w w:val="99"/>
          <w:kern w:val="0"/>
          <w:sz w:val="24"/>
          <w:szCs w:val="20"/>
          <w:highlight w:val="none"/>
          <w:lang w:val="en-US" w:eastAsia="zh-CN" w:bidi="ar-SA"/>
        </w:rPr>
        <w:t>根据</w:t>
      </w:r>
      <w:r>
        <w:rPr>
          <w:rFonts w:hint="eastAsia" w:ascii="Times New Roman" w:hAnsi="Times New Roman" w:cs="Times New Roman"/>
          <w:bCs/>
          <w:color w:val="auto"/>
          <w:w w:val="99"/>
          <w:szCs w:val="20"/>
          <w:highlight w:val="none"/>
          <w:lang w:val="en-US" w:eastAsia="zh-CN"/>
        </w:rPr>
        <w:t>《</w:t>
      </w:r>
      <w:r>
        <w:rPr>
          <w:rFonts w:hint="default" w:ascii="Times New Roman" w:hAnsi="Times New Roman" w:eastAsia="宋体" w:cs="Times New Roman"/>
          <w:bCs/>
          <w:color w:val="auto"/>
          <w:w w:val="99"/>
          <w:kern w:val="2"/>
          <w:sz w:val="24"/>
          <w:szCs w:val="20"/>
          <w:highlight w:val="none"/>
          <w:lang w:val="en-US" w:eastAsia="zh-CN" w:bidi="ar-SA"/>
        </w:rPr>
        <w:t>徐深</w:t>
      </w:r>
      <w:r>
        <w:rPr>
          <w:rFonts w:hint="eastAsia" w:ascii="Times New Roman" w:hAnsi="Times New Roman" w:eastAsia="宋体" w:cs="Times New Roman"/>
          <w:bCs/>
          <w:color w:val="auto"/>
          <w:w w:val="99"/>
          <w:kern w:val="2"/>
          <w:sz w:val="24"/>
          <w:szCs w:val="20"/>
          <w:highlight w:val="none"/>
          <w:lang w:val="en-US" w:eastAsia="zh-CN" w:bidi="ar-SA"/>
        </w:rPr>
        <w:t>气田徐深</w:t>
      </w:r>
      <w:r>
        <w:rPr>
          <w:rFonts w:hint="default" w:ascii="Times New Roman" w:hAnsi="Times New Roman" w:eastAsia="宋体" w:cs="Times New Roman"/>
          <w:bCs/>
          <w:color w:val="auto"/>
          <w:w w:val="99"/>
          <w:kern w:val="2"/>
          <w:sz w:val="24"/>
          <w:szCs w:val="20"/>
          <w:highlight w:val="none"/>
          <w:lang w:val="en-US" w:eastAsia="zh-CN" w:bidi="ar-SA"/>
        </w:rPr>
        <w:t xml:space="preserve"> 1 区块 201</w:t>
      </w:r>
      <w:r>
        <w:rPr>
          <w:rFonts w:hint="eastAsia" w:ascii="Times New Roman" w:hAnsi="Times New Roman" w:eastAsia="宋体" w:cs="Times New Roman"/>
          <w:bCs/>
          <w:color w:val="auto"/>
          <w:w w:val="99"/>
          <w:kern w:val="2"/>
          <w:sz w:val="24"/>
          <w:szCs w:val="20"/>
          <w:highlight w:val="none"/>
          <w:lang w:val="en-US" w:eastAsia="zh-CN" w:bidi="ar-SA"/>
        </w:rPr>
        <w:t>4</w:t>
      </w:r>
      <w:r>
        <w:rPr>
          <w:rFonts w:hint="default" w:ascii="Times New Roman" w:hAnsi="Times New Roman" w:eastAsia="宋体" w:cs="Times New Roman"/>
          <w:bCs/>
          <w:color w:val="auto"/>
          <w:w w:val="99"/>
          <w:kern w:val="2"/>
          <w:sz w:val="24"/>
          <w:szCs w:val="20"/>
          <w:highlight w:val="none"/>
          <w:lang w:val="en-US" w:eastAsia="zh-CN" w:bidi="ar-SA"/>
        </w:rPr>
        <w:t xml:space="preserve"> 年产能建设工程</w:t>
      </w:r>
      <w:r>
        <w:rPr>
          <w:rFonts w:hint="eastAsia" w:ascii="Times New Roman" w:hAnsi="Times New Roman" w:eastAsia="宋体" w:cs="Times New Roman"/>
          <w:bCs/>
          <w:color w:val="auto"/>
          <w:w w:val="99"/>
          <w:kern w:val="2"/>
          <w:sz w:val="24"/>
          <w:szCs w:val="20"/>
          <w:highlight w:val="none"/>
          <w:lang w:val="en-US" w:eastAsia="zh-CN" w:bidi="ar-SA"/>
        </w:rPr>
        <w:t>地面工程</w:t>
      </w:r>
      <w:r>
        <w:rPr>
          <w:rFonts w:hint="default" w:ascii="Times New Roman" w:hAnsi="Times New Roman" w:eastAsia="宋体" w:cs="Times New Roman"/>
          <w:bCs/>
          <w:color w:val="auto"/>
          <w:w w:val="99"/>
          <w:kern w:val="2"/>
          <w:sz w:val="24"/>
          <w:szCs w:val="20"/>
          <w:highlight w:val="none"/>
          <w:lang w:val="en-US" w:eastAsia="zh-CN" w:bidi="ar-SA"/>
        </w:rPr>
        <w:t>监测报告</w:t>
      </w:r>
      <w:r>
        <w:rPr>
          <w:rFonts w:hint="eastAsia" w:ascii="Times New Roman" w:hAnsi="Times New Roman" w:cs="Times New Roman"/>
          <w:bCs/>
          <w:color w:val="auto"/>
          <w:w w:val="99"/>
          <w:szCs w:val="20"/>
          <w:highlight w:val="none"/>
          <w:lang w:val="en-US" w:eastAsia="zh-CN"/>
        </w:rPr>
        <w:t>》</w:t>
      </w:r>
      <w:r>
        <w:rPr>
          <w:rFonts w:ascii="Times New Roman" w:hAnsi="Times New Roman" w:eastAsia="宋体" w:cs="Times New Roman"/>
          <w:bCs/>
          <w:color w:val="auto"/>
          <w:w w:val="99"/>
          <w:szCs w:val="20"/>
          <w:highlight w:val="none"/>
        </w:rPr>
        <w:t>（</w:t>
      </w:r>
      <w:r>
        <w:rPr>
          <w:rFonts w:hint="eastAsia" w:ascii="Times New Roman" w:hAnsi="Times New Roman" w:eastAsia="宋体" w:cs="Times New Roman"/>
          <w:bCs/>
          <w:color w:val="auto"/>
          <w:w w:val="99"/>
          <w:szCs w:val="20"/>
          <w:highlight w:val="none"/>
        </w:rPr>
        <w:t>中检(</w:t>
      </w:r>
      <w:r>
        <w:rPr>
          <w:rFonts w:hint="eastAsia" w:ascii="Times New Roman" w:hAnsi="Times New Roman" w:eastAsia="宋体" w:cs="Times New Roman"/>
          <w:bCs/>
          <w:color w:val="auto"/>
          <w:w w:val="99"/>
          <w:szCs w:val="20"/>
          <w:highlight w:val="none"/>
          <w:lang w:val="en-US" w:eastAsia="zh-CN"/>
        </w:rPr>
        <w:t>BH</w:t>
      </w:r>
      <w:r>
        <w:rPr>
          <w:rFonts w:hint="eastAsia" w:ascii="Times New Roman" w:hAnsi="Times New Roman" w:eastAsia="宋体" w:cs="Times New Roman"/>
          <w:bCs/>
          <w:color w:val="auto"/>
          <w:w w:val="99"/>
          <w:szCs w:val="20"/>
          <w:highlight w:val="none"/>
        </w:rPr>
        <w:t>)字202</w:t>
      </w:r>
      <w:r>
        <w:rPr>
          <w:rFonts w:hint="eastAsia" w:ascii="Times New Roman" w:hAnsi="Times New Roman" w:eastAsia="宋体" w:cs="Times New Roman"/>
          <w:bCs/>
          <w:color w:val="auto"/>
          <w:w w:val="99"/>
          <w:szCs w:val="20"/>
          <w:highlight w:val="none"/>
          <w:lang w:val="en-US" w:eastAsia="zh-CN"/>
        </w:rPr>
        <w:t>5</w:t>
      </w:r>
      <w:r>
        <w:rPr>
          <w:rFonts w:hint="eastAsia" w:ascii="Times New Roman" w:hAnsi="Times New Roman" w:eastAsia="宋体" w:cs="Times New Roman"/>
          <w:bCs/>
          <w:color w:val="auto"/>
          <w:w w:val="99"/>
          <w:szCs w:val="20"/>
          <w:highlight w:val="none"/>
        </w:rPr>
        <w:t>第</w:t>
      </w:r>
      <w:r>
        <w:rPr>
          <w:rFonts w:hint="eastAsia" w:ascii="Times New Roman" w:hAnsi="Times New Roman" w:eastAsia="宋体" w:cs="Times New Roman"/>
          <w:bCs/>
          <w:color w:val="auto"/>
          <w:w w:val="99"/>
          <w:szCs w:val="20"/>
          <w:highlight w:val="none"/>
          <w:lang w:val="en-US" w:eastAsia="zh-CN"/>
        </w:rPr>
        <w:t>12-010</w:t>
      </w:r>
      <w:r>
        <w:rPr>
          <w:rFonts w:hint="eastAsia" w:ascii="Times New Roman" w:hAnsi="Times New Roman" w:eastAsia="宋体" w:cs="Times New Roman"/>
          <w:bCs/>
          <w:color w:val="auto"/>
          <w:w w:val="99"/>
          <w:szCs w:val="20"/>
          <w:highlight w:val="none"/>
        </w:rPr>
        <w:t>号</w:t>
      </w:r>
      <w:r>
        <w:rPr>
          <w:rFonts w:ascii="Times New Roman" w:hAnsi="Times New Roman" w:eastAsia="宋体" w:cs="Times New Roman"/>
          <w:bCs/>
          <w:color w:val="auto"/>
          <w:w w:val="99"/>
          <w:szCs w:val="20"/>
          <w:highlight w:val="none"/>
        </w:rPr>
        <w:t>）</w:t>
      </w:r>
      <w:r>
        <w:rPr>
          <w:rFonts w:hint="eastAsia" w:ascii="Times New Roman" w:hAnsi="Times New Roman" w:eastAsia="宋体" w:cs="Times New Roman"/>
          <w:bCs/>
          <w:color w:val="auto"/>
          <w:w w:val="99"/>
          <w:szCs w:val="20"/>
          <w:highlight w:val="none"/>
          <w:lang w:eastAsia="zh-CN"/>
        </w:rPr>
        <w:t>（</w:t>
      </w:r>
      <w:r>
        <w:rPr>
          <w:rFonts w:hint="eastAsia" w:ascii="Times New Roman" w:hAnsi="Times New Roman" w:eastAsia="宋体" w:cs="Times New Roman"/>
          <w:bCs/>
          <w:color w:val="auto"/>
          <w:w w:val="99"/>
          <w:szCs w:val="20"/>
          <w:highlight w:val="none"/>
          <w:lang w:val="en-US" w:eastAsia="zh-CN"/>
        </w:rPr>
        <w:t>检测时间2025.12.24-2025.12.25</w:t>
      </w:r>
      <w:r>
        <w:rPr>
          <w:rFonts w:hint="eastAsia" w:ascii="Times New Roman" w:hAnsi="Times New Roman" w:eastAsia="宋体" w:cs="Times New Roman"/>
          <w:bCs/>
          <w:color w:val="auto"/>
          <w:w w:val="99"/>
          <w:szCs w:val="20"/>
          <w:highlight w:val="none"/>
          <w:lang w:eastAsia="zh-CN"/>
        </w:rPr>
        <w:t>），</w:t>
      </w:r>
      <w:r>
        <w:rPr>
          <w:rFonts w:ascii="Times New Roman" w:hAnsi="Times New Roman" w:eastAsia="宋体" w:cs="Times New Roman"/>
          <w:bCs/>
          <w:color w:val="auto"/>
          <w:w w:val="99"/>
          <w:kern w:val="0"/>
          <w:sz w:val="24"/>
          <w:szCs w:val="20"/>
          <w:highlight w:val="none"/>
          <w:lang w:val="en-US" w:eastAsia="zh-CN" w:bidi="ar-SA"/>
        </w:rPr>
        <w:t>升一联气田污水预处理站</w:t>
      </w:r>
      <w:r>
        <w:rPr>
          <w:rFonts w:hint="eastAsia" w:ascii="Times New Roman" w:hAnsi="Times New Roman" w:eastAsia="宋体" w:cs="Times New Roman"/>
          <w:bCs/>
          <w:color w:val="auto"/>
          <w:w w:val="99"/>
          <w:kern w:val="0"/>
          <w:sz w:val="24"/>
          <w:szCs w:val="20"/>
          <w:highlight w:val="none"/>
          <w:lang w:val="en-US" w:eastAsia="zh-CN" w:bidi="ar-SA"/>
        </w:rPr>
        <w:t>出水水质</w:t>
      </w:r>
      <w:r>
        <w:rPr>
          <w:rFonts w:hint="eastAsia" w:ascii="Times New Roman" w:hAnsi="Times New Roman" w:eastAsia="宋体" w:cs="Times New Roman"/>
          <w:bCs/>
          <w:color w:val="auto"/>
          <w:w w:val="99"/>
          <w:kern w:val="2"/>
          <w:sz w:val="24"/>
          <w:szCs w:val="20"/>
          <w:highlight w:val="none"/>
          <w:lang w:val="en-US" w:eastAsia="zh-CN" w:bidi="ar-SA"/>
        </w:rPr>
        <w:t>含油量为0.88-1.25mg/L，悬浮固体含量为2mg/L、悬浮物颗粒直径中值为1μm，满足</w:t>
      </w:r>
      <w:r>
        <w:rPr>
          <w:rFonts w:hint="eastAsia" w:ascii="Times New Roman" w:hAnsi="Times New Roman" w:eastAsia="宋体" w:cs="Times New Roman"/>
          <w:snapToGrid w:val="0"/>
          <w:color w:val="auto"/>
          <w:w w:val="99"/>
          <w:highlight w:val="none"/>
          <w:lang w:eastAsia="zh-CN"/>
        </w:rPr>
        <w:t>《大庆油田地面工程建设设计规定》（Q/SYDQ0639-2015）“含油量≤</w:t>
      </w:r>
      <w:r>
        <w:rPr>
          <w:rFonts w:hint="eastAsia" w:ascii="Times New Roman" w:hAnsi="Times New Roman" w:cs="Times New Roman"/>
          <w:snapToGrid w:val="0"/>
          <w:color w:val="auto"/>
          <w:w w:val="99"/>
          <w:highlight w:val="none"/>
          <w:lang w:val="en-US" w:eastAsia="zh-CN"/>
        </w:rPr>
        <w:t>10</w:t>
      </w:r>
      <w:r>
        <w:rPr>
          <w:rFonts w:hint="eastAsia" w:ascii="Times New Roman" w:hAnsi="Times New Roman" w:eastAsia="宋体" w:cs="Times New Roman"/>
          <w:snapToGrid w:val="0"/>
          <w:color w:val="auto"/>
          <w:w w:val="99"/>
          <w:highlight w:val="none"/>
          <w:lang w:eastAsia="zh-CN"/>
        </w:rPr>
        <w:t>mg/L、悬浮固体含量≤</w:t>
      </w:r>
      <w:r>
        <w:rPr>
          <w:rFonts w:hint="eastAsia" w:ascii="Times New Roman" w:hAnsi="Times New Roman" w:cs="Times New Roman"/>
          <w:snapToGrid w:val="0"/>
          <w:color w:val="auto"/>
          <w:w w:val="99"/>
          <w:highlight w:val="none"/>
          <w:lang w:val="en-US" w:eastAsia="zh-CN"/>
        </w:rPr>
        <w:t>5</w:t>
      </w:r>
      <w:r>
        <w:rPr>
          <w:rFonts w:hint="eastAsia" w:ascii="Times New Roman" w:hAnsi="Times New Roman" w:eastAsia="宋体" w:cs="Times New Roman"/>
          <w:snapToGrid w:val="0"/>
          <w:color w:val="auto"/>
          <w:w w:val="99"/>
          <w:highlight w:val="none"/>
          <w:lang w:eastAsia="zh-CN"/>
        </w:rPr>
        <w:t>mg/L、粒径中值≤2μm”</w:t>
      </w:r>
      <w:r>
        <w:rPr>
          <w:rFonts w:hint="eastAsia" w:ascii="Times New Roman" w:hAnsi="Times New Roman" w:eastAsia="宋体" w:cs="Times New Roman"/>
          <w:snapToGrid w:val="0"/>
          <w:color w:val="auto"/>
          <w:w w:val="99"/>
          <w:highlight w:val="none"/>
          <w:lang w:val="en-US" w:eastAsia="zh-CN"/>
        </w:rPr>
        <w:t>、</w:t>
      </w:r>
      <w:r>
        <w:rPr>
          <w:rFonts w:hint="eastAsia" w:ascii="Times New Roman" w:hAnsi="Times New Roman" w:cs="Times New Roman"/>
          <w:snapToGrid w:val="0"/>
          <w:color w:val="auto"/>
          <w:w w:val="99"/>
          <w:highlight w:val="none"/>
          <w:lang w:val="en-US" w:eastAsia="zh-CN"/>
        </w:rPr>
        <w:t>同时满足</w:t>
      </w:r>
      <w:r>
        <w:rPr>
          <w:rFonts w:hint="eastAsia" w:ascii="Times New Roman" w:hAnsi="Times New Roman" w:eastAsia="宋体" w:cs="Times New Roman"/>
          <w:snapToGrid w:val="0"/>
          <w:color w:val="auto"/>
          <w:w w:val="99"/>
          <w:highlight w:val="none"/>
          <w:lang w:val="en-US" w:eastAsia="zh-CN"/>
        </w:rPr>
        <w:t>《碎屑岩油藏注水水质指标技术要求及分析方法》（SY/T5329-2022）</w:t>
      </w:r>
      <w:r>
        <w:rPr>
          <w:rFonts w:hint="eastAsia" w:ascii="Times New Roman" w:hAnsi="Times New Roman" w:eastAsia="宋体" w:cs="Times New Roman"/>
          <w:snapToGrid w:val="0"/>
          <w:color w:val="auto"/>
          <w:w w:val="99"/>
          <w:highlight w:val="none"/>
          <w:lang w:eastAsia="zh-CN"/>
        </w:rPr>
        <w:t>限值后回注</w:t>
      </w:r>
      <w:r>
        <w:rPr>
          <w:rFonts w:hint="eastAsia" w:ascii="Times New Roman" w:hAnsi="Times New Roman" w:eastAsia="宋体" w:cs="Times New Roman"/>
          <w:snapToGrid w:val="0"/>
          <w:color w:val="auto"/>
          <w:w w:val="99"/>
          <w:highlight w:val="none"/>
          <w:lang w:val="en-US" w:eastAsia="zh-CN"/>
        </w:rPr>
        <w:t>地下</w:t>
      </w:r>
      <w:r>
        <w:rPr>
          <w:rFonts w:hint="eastAsia" w:ascii="Times New Roman" w:hAnsi="Times New Roman" w:eastAsia="宋体" w:cs="Times New Roman"/>
          <w:snapToGrid w:val="0"/>
          <w:color w:val="auto"/>
          <w:w w:val="99"/>
          <w:highlight w:val="none"/>
          <w:lang w:eastAsia="zh-CN"/>
        </w:rPr>
        <w:t>油层。</w:t>
      </w:r>
    </w:p>
    <w:p w14:paraId="67C86D67">
      <w:pPr>
        <w:pStyle w:val="3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本区块依托的升一联气田污水处理站污染物排放情况详见“</w:t>
      </w:r>
      <w:r>
        <w:rPr>
          <w:color w:val="auto"/>
          <w:highlight w:val="none"/>
        </w:rPr>
        <w:fldChar w:fldCharType="begin"/>
      </w:r>
      <w:r>
        <w:rPr>
          <w:color w:val="auto"/>
          <w:highlight w:val="none"/>
        </w:rPr>
        <w:instrText xml:space="preserve"> HYPERLINK "3.3.2.3" </w:instrText>
      </w:r>
      <w:r>
        <w:rPr>
          <w:color w:val="auto"/>
          <w:highlight w:val="none"/>
        </w:rPr>
        <w:fldChar w:fldCharType="separate"/>
      </w:r>
      <w:r>
        <w:rPr>
          <w:rFonts w:ascii="Times New Roman" w:hAnsi="Times New Roman"/>
          <w:bCs/>
          <w:color w:val="auto"/>
          <w:w w:val="99"/>
          <w:szCs w:val="20"/>
          <w:highlight w:val="none"/>
        </w:rPr>
        <w:t>3.3.2.3</w:t>
      </w:r>
      <w:r>
        <w:rPr>
          <w:rFonts w:ascii="Times New Roman" w:hAnsi="Times New Roman"/>
          <w:bCs/>
          <w:color w:val="auto"/>
          <w:w w:val="99"/>
          <w:szCs w:val="20"/>
          <w:highlight w:val="none"/>
        </w:rPr>
        <w:fldChar w:fldCharType="end"/>
      </w:r>
      <w:r>
        <w:rPr>
          <w:rFonts w:ascii="Times New Roman" w:hAnsi="Times New Roman"/>
          <w:bCs/>
          <w:color w:val="auto"/>
          <w:w w:val="99"/>
          <w:szCs w:val="20"/>
          <w:highlight w:val="none"/>
        </w:rPr>
        <w:t>依托工程污染物排放情况”小节。</w:t>
      </w:r>
    </w:p>
    <w:p w14:paraId="0F1A02B4">
      <w:pPr>
        <w:pStyle w:val="32"/>
        <w:widowControl w:val="0"/>
        <w:spacing w:line="440" w:lineRule="exact"/>
        <w:ind w:firstLine="474" w:firstLineChars="200"/>
        <w:jc w:val="both"/>
        <w:rPr>
          <w:rFonts w:ascii="Times New Roman" w:hAnsi="Times New Roman"/>
          <w:bCs/>
          <w:color w:val="auto"/>
          <w:w w:val="99"/>
          <w:szCs w:val="20"/>
          <w:highlight w:val="none"/>
        </w:rPr>
      </w:pPr>
      <w:r>
        <w:rPr>
          <w:rFonts w:hint="eastAsia" w:ascii="Times New Roman" w:hAnsi="Times New Roman"/>
          <w:bCs/>
          <w:color w:val="auto"/>
          <w:w w:val="99"/>
          <w:szCs w:val="20"/>
          <w:highlight w:val="none"/>
        </w:rPr>
        <w:t>徐深2</w:t>
      </w:r>
      <w:r>
        <w:rPr>
          <w:rFonts w:ascii="Times New Roman" w:hAnsi="Times New Roman"/>
          <w:bCs/>
          <w:color w:val="auto"/>
          <w:w w:val="99"/>
          <w:szCs w:val="20"/>
          <w:highlight w:val="none"/>
        </w:rPr>
        <w:t>7</w:t>
      </w:r>
      <w:r>
        <w:rPr>
          <w:rFonts w:hint="eastAsia" w:ascii="Times New Roman" w:hAnsi="Times New Roman"/>
          <w:bCs/>
          <w:color w:val="auto"/>
          <w:w w:val="99"/>
          <w:szCs w:val="20"/>
          <w:highlight w:val="none"/>
        </w:rPr>
        <w:t>集气站按照“无人值守，有人巡检”模式进行建设，无生活污水产生。</w:t>
      </w:r>
    </w:p>
    <w:p w14:paraId="73E677A6">
      <w:pPr>
        <w:widowControl w:val="0"/>
        <w:spacing w:line="440" w:lineRule="exact"/>
        <w:ind w:firstLine="474" w:firstLineChars="200"/>
        <w:jc w:val="both"/>
        <w:rPr>
          <w:rFonts w:ascii="Times New Roman" w:hAnsi="Times New Roman" w:cs="Times New Roman"/>
          <w:bCs/>
          <w:color w:val="auto"/>
          <w:w w:val="99"/>
          <w:szCs w:val="20"/>
          <w:highlight w:val="none"/>
        </w:rPr>
      </w:pPr>
      <w:r>
        <w:rPr>
          <w:rFonts w:ascii="Times New Roman" w:hAnsi="Times New Roman" w:cs="Times New Roman"/>
          <w:bCs/>
          <w:color w:val="auto"/>
          <w:w w:val="99"/>
          <w:szCs w:val="20"/>
          <w:highlight w:val="none"/>
        </w:rPr>
        <w:t>（3）噪声</w:t>
      </w:r>
    </w:p>
    <w:p w14:paraId="6B890759">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本工程在开发建设过程中，尽可能地选用了低噪声设备，并对噪声较大的设备统一规划部署。将声源布置在室内，并作了相应的隔声处理，噪声对外界影响较小。</w:t>
      </w:r>
      <w:r>
        <w:rPr>
          <w:rFonts w:hint="eastAsia" w:ascii="Times New Roman" w:hAnsi="Times New Roman" w:cs="Times New Roman"/>
          <w:bCs/>
          <w:color w:val="auto"/>
          <w:w w:val="99"/>
          <w:szCs w:val="20"/>
          <w:highlight w:val="none"/>
        </w:rPr>
        <w:t>根据大庆石油管理局环境监测中心站2025年10月27日</w:t>
      </w:r>
      <w:r>
        <w:rPr>
          <w:rFonts w:hint="eastAsia" w:ascii="Times New Roman" w:hAnsi="Times New Roman" w:cs="Times New Roman"/>
          <w:bCs/>
          <w:color w:val="auto"/>
          <w:w w:val="99"/>
          <w:kern w:val="2"/>
          <w:szCs w:val="20"/>
          <w:highlight w:val="none"/>
        </w:rPr>
        <w:t>对已建徐深27集气站的监测报告（报告编号DQWE-RE3-2510-026，附件6）以及本次对已建气井井场的监测（附件7）</w:t>
      </w:r>
      <w:r>
        <w:rPr>
          <w:rFonts w:hint="eastAsia" w:ascii="Times New Roman" w:hAnsi="Times New Roman" w:cs="Times New Roman" w:eastAsiaTheme="minorEastAsia"/>
          <w:color w:val="auto"/>
          <w:w w:val="99"/>
          <w:kern w:val="2"/>
          <w:highlight w:val="none"/>
        </w:rPr>
        <w:t>，该站厂界噪声昼间为47~55</w:t>
      </w:r>
      <w:r>
        <w:rPr>
          <w:rFonts w:ascii="Times New Roman" w:hAnsi="Times New Roman" w:cs="Times New Roman"/>
          <w:bCs/>
          <w:color w:val="auto"/>
          <w:w w:val="99"/>
          <w:szCs w:val="20"/>
          <w:highlight w:val="none"/>
        </w:rPr>
        <w:t>dB(A)</w:t>
      </w:r>
      <w:r>
        <w:rPr>
          <w:rFonts w:hint="eastAsia" w:ascii="Times New Roman" w:hAnsi="Times New Roman" w:cs="Times New Roman" w:eastAsiaTheme="minorEastAsia"/>
          <w:color w:val="auto"/>
          <w:w w:val="99"/>
          <w:kern w:val="2"/>
          <w:highlight w:val="none"/>
        </w:rPr>
        <w:t>，夜间为43~47</w:t>
      </w:r>
      <w:r>
        <w:rPr>
          <w:rFonts w:ascii="Times New Roman" w:hAnsi="Times New Roman" w:cs="Times New Roman"/>
          <w:bCs/>
          <w:color w:val="auto"/>
          <w:w w:val="99"/>
          <w:szCs w:val="20"/>
          <w:highlight w:val="none"/>
        </w:rPr>
        <w:t>dB(A)</w:t>
      </w:r>
      <w:r>
        <w:rPr>
          <w:rFonts w:hint="eastAsia" w:ascii="Times New Roman" w:hAnsi="Times New Roman" w:cs="Times New Roman" w:eastAsiaTheme="minorEastAsia"/>
          <w:color w:val="auto"/>
          <w:w w:val="99"/>
          <w:kern w:val="2"/>
          <w:highlight w:val="none"/>
        </w:rPr>
        <w:t>；</w:t>
      </w:r>
      <w:r>
        <w:rPr>
          <w:rFonts w:hint="eastAsia" w:ascii="Times New Roman" w:hAnsi="Times New Roman" w:cs="Times New Roman" w:eastAsiaTheme="minorEastAsia"/>
          <w:color w:val="auto"/>
          <w:w w:val="99"/>
          <w:kern w:val="21"/>
          <w:highlight w:val="none"/>
        </w:rPr>
        <w:t>徐深27井场设备间</w:t>
      </w:r>
      <w:r>
        <w:rPr>
          <w:rFonts w:ascii="Times New Roman" w:hAnsi="Times New Roman" w:cs="Times New Roman" w:eastAsiaTheme="minorEastAsia"/>
          <w:color w:val="auto"/>
          <w:w w:val="99"/>
          <w:kern w:val="21"/>
          <w:highlight w:val="none"/>
        </w:rPr>
        <w:t>厂界噪声</w:t>
      </w:r>
      <w:r>
        <w:rPr>
          <w:rFonts w:hint="eastAsia" w:ascii="Times New Roman" w:hAnsi="Times New Roman" w:cs="Times New Roman" w:eastAsiaTheme="minorEastAsia"/>
          <w:color w:val="auto"/>
          <w:w w:val="99"/>
          <w:kern w:val="21"/>
          <w:highlight w:val="none"/>
        </w:rPr>
        <w:t>昼间为45.3~46.6</w:t>
      </w:r>
      <w:r>
        <w:rPr>
          <w:rFonts w:ascii="Times New Roman" w:hAnsi="Times New Roman" w:cs="Times New Roman" w:eastAsiaTheme="minorEastAsia"/>
          <w:color w:val="auto"/>
          <w:w w:val="99"/>
          <w:kern w:val="21"/>
          <w:highlight w:val="none"/>
        </w:rPr>
        <w:t>dB(A)</w:t>
      </w:r>
      <w:r>
        <w:rPr>
          <w:rFonts w:hint="eastAsia" w:ascii="Times New Roman" w:hAnsi="Times New Roman" w:cs="Times New Roman" w:eastAsiaTheme="minorEastAsia"/>
          <w:color w:val="auto"/>
          <w:w w:val="99"/>
          <w:kern w:val="21"/>
          <w:highlight w:val="none"/>
        </w:rPr>
        <w:t>，夜间</w:t>
      </w:r>
      <w:r>
        <w:rPr>
          <w:rFonts w:hint="eastAsia" w:ascii="Times New Roman" w:hAnsi="Times New Roman" w:cs="Times New Roman" w:eastAsiaTheme="minorEastAsia"/>
          <w:color w:val="auto"/>
          <w:w w:val="99"/>
          <w:kern w:val="2"/>
          <w:highlight w:val="none"/>
        </w:rPr>
        <w:t>为43.1~44.3</w:t>
      </w:r>
      <w:r>
        <w:rPr>
          <w:rFonts w:ascii="Times New Roman" w:hAnsi="Times New Roman" w:cs="Times New Roman"/>
          <w:bCs/>
          <w:color w:val="auto"/>
          <w:w w:val="99"/>
          <w:szCs w:val="20"/>
          <w:highlight w:val="none"/>
        </w:rPr>
        <w:t>dB(A)</w:t>
      </w:r>
      <w:r>
        <w:rPr>
          <w:rFonts w:hint="eastAsia" w:ascii="Times New Roman" w:hAnsi="Times New Roman" w:cs="Times New Roman" w:eastAsiaTheme="minorEastAsia"/>
          <w:color w:val="auto"/>
          <w:w w:val="99"/>
          <w:kern w:val="2"/>
          <w:highlight w:val="none"/>
        </w:rPr>
        <w:t>；</w:t>
      </w:r>
      <w:r>
        <w:rPr>
          <w:rFonts w:hint="eastAsia" w:ascii="Times New Roman" w:hAnsi="Times New Roman" w:cs="Times New Roman" w:eastAsiaTheme="minorEastAsia"/>
          <w:color w:val="auto"/>
          <w:w w:val="99"/>
          <w:kern w:val="21"/>
          <w:highlight w:val="none"/>
        </w:rPr>
        <w:t>集气站</w:t>
      </w:r>
      <w:r>
        <w:rPr>
          <w:rFonts w:ascii="Times New Roman" w:hAnsi="Times New Roman" w:cs="Times New Roman" w:eastAsiaTheme="minorEastAsia"/>
          <w:color w:val="auto"/>
          <w:w w:val="99"/>
          <w:kern w:val="21"/>
          <w:highlight w:val="none"/>
        </w:rPr>
        <w:t>、井场厂界外噪声满足《工业企业厂界环境噪声排放标准》（GB12348-2008）中的2类标准的要求，没有对周围声环境噪造成影响。</w:t>
      </w:r>
    </w:p>
    <w:p w14:paraId="02EBDED7">
      <w:pPr>
        <w:widowControl w:val="0"/>
        <w:numPr>
          <w:ilvl w:val="0"/>
          <w:numId w:val="9"/>
        </w:numPr>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固体废物</w:t>
      </w:r>
    </w:p>
    <w:p w14:paraId="2DD09B2C">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现有区块内3口生产井运行，正常工况下无固废产生，非正常运行过程中产生的固体废物主要为井口</w:t>
      </w:r>
      <w:r>
        <w:rPr>
          <w:rFonts w:hint="eastAsia" w:ascii="Times New Roman" w:hAnsi="Times New Roman" w:cs="Times New Roman"/>
          <w:color w:val="auto"/>
          <w:w w:val="99"/>
          <w:kern w:val="2"/>
          <w:highlight w:val="none"/>
          <w:lang w:val="en-US" w:eastAsia="zh-CN"/>
        </w:rPr>
        <w:t>砂粒</w:t>
      </w:r>
      <w:r>
        <w:rPr>
          <w:rFonts w:hint="eastAsia" w:ascii="Times New Roman" w:hAnsi="Times New Roman" w:cs="Times New Roman"/>
          <w:color w:val="auto"/>
          <w:w w:val="99"/>
          <w:kern w:val="2"/>
          <w:highlight w:val="none"/>
        </w:rPr>
        <w:t>，由于气井投产后地层未完全闭合原因，导致偶有气井在投产初出现地层压裂砂、地层砂被采出气气流带到地面的现象，为避免这部分砂粒对场站设备造成损伤，气井井口安装有井口除砂器，投产初会定期检查井口除砂器，如有</w:t>
      </w:r>
      <w:r>
        <w:rPr>
          <w:rFonts w:hint="eastAsia" w:ascii="Times New Roman" w:hAnsi="Times New Roman" w:cs="Times New Roman"/>
          <w:color w:val="auto"/>
          <w:w w:val="99"/>
          <w:kern w:val="2"/>
          <w:highlight w:val="none"/>
          <w:lang w:val="en-US" w:eastAsia="zh-CN"/>
        </w:rPr>
        <w:t>砂粒</w:t>
      </w:r>
      <w:r>
        <w:rPr>
          <w:rFonts w:hint="eastAsia" w:ascii="Times New Roman" w:hAnsi="Times New Roman" w:cs="Times New Roman"/>
          <w:color w:val="auto"/>
          <w:w w:val="99"/>
          <w:kern w:val="2"/>
          <w:highlight w:val="none"/>
        </w:rPr>
        <w:t>，委托有资质单位处置。气井如产生这部分</w:t>
      </w:r>
      <w:r>
        <w:rPr>
          <w:rFonts w:hint="eastAsia" w:ascii="Times New Roman" w:hAnsi="Times New Roman" w:cs="Times New Roman"/>
          <w:color w:val="auto"/>
          <w:w w:val="99"/>
          <w:kern w:val="2"/>
          <w:highlight w:val="none"/>
          <w:lang w:val="en-US" w:eastAsia="zh-CN"/>
        </w:rPr>
        <w:t>砂粒</w:t>
      </w:r>
      <w:r>
        <w:rPr>
          <w:rFonts w:hint="eastAsia" w:ascii="Times New Roman" w:hAnsi="Times New Roman" w:cs="Times New Roman"/>
          <w:color w:val="auto"/>
          <w:w w:val="99"/>
          <w:kern w:val="2"/>
          <w:highlight w:val="none"/>
        </w:rPr>
        <w:t>，单井产生量约为0.001t/a，这部分</w:t>
      </w:r>
      <w:r>
        <w:rPr>
          <w:rFonts w:hint="eastAsia" w:ascii="Times New Roman" w:hAnsi="Times New Roman" w:cs="Times New Roman"/>
          <w:color w:val="auto"/>
          <w:w w:val="99"/>
          <w:kern w:val="2"/>
          <w:highlight w:val="none"/>
          <w:lang w:val="en-US" w:eastAsia="zh-CN"/>
        </w:rPr>
        <w:t>砂粒</w:t>
      </w:r>
      <w:r>
        <w:rPr>
          <w:rFonts w:hint="eastAsia" w:ascii="Times New Roman" w:hAnsi="Times New Roman" w:cs="Times New Roman"/>
          <w:color w:val="auto"/>
          <w:w w:val="99"/>
          <w:kern w:val="2"/>
          <w:highlight w:val="none"/>
        </w:rPr>
        <w:t>内会混有烃类物质，为危险废物，废物类别HW08废矿物油与含矿物油废物，危废代码为900-249-08。在井场产生后装入加盖钢制桶中，由检维修队送采气分公司危险废物储存库内，定期委托有危废处置资质的单位处置。</w:t>
      </w:r>
    </w:p>
    <w:p w14:paraId="36DDC240">
      <w:pPr>
        <w:pStyle w:val="2869"/>
        <w:spacing w:line="500" w:lineRule="exact"/>
        <w:ind w:firstLine="480"/>
        <w:rPr>
          <w:rFonts w:ascii="Times New Roman" w:hAnsi="Times New Roman"/>
          <w:color w:val="auto"/>
          <w:w w:val="99"/>
          <w:kern w:val="2"/>
          <w:highlight w:val="none"/>
        </w:rPr>
      </w:pPr>
      <w:r>
        <w:rPr>
          <w:rFonts w:hint="eastAsia" w:ascii="Times New Roman" w:hAnsi="Times New Roman"/>
          <w:color w:val="auto"/>
          <w:w w:val="99"/>
          <w:kern w:val="2"/>
          <w:highlight w:val="none"/>
        </w:rPr>
        <w:t>集气站三甘醇脱水装置内设置活性炭过滤器，活性炭更换频次约1次/年，徐深27区块内1座集气站产生废活性炭1.4t/a，属于危险废物“HW49其他废物”中的“900-041-49含有或沾染毒性、感染性危险废物的废弃包装物、容器、过滤吸附介质”。暂存采气分公司危险废物储存库，定期委托有危废处置资质的单位处置。</w:t>
      </w:r>
    </w:p>
    <w:p w14:paraId="7471E4DE">
      <w:pPr>
        <w:pStyle w:val="2869"/>
        <w:spacing w:line="500" w:lineRule="exact"/>
        <w:ind w:firstLine="480"/>
        <w:rPr>
          <w:rFonts w:ascii="Times New Roman" w:hAnsi="Times New Roman"/>
          <w:color w:val="auto"/>
          <w:w w:val="99"/>
          <w:kern w:val="2"/>
          <w:highlight w:val="none"/>
        </w:rPr>
      </w:pPr>
      <w:r>
        <w:rPr>
          <w:rFonts w:hint="eastAsia" w:ascii="Times New Roman" w:hAnsi="Times New Roman"/>
          <w:color w:val="auto"/>
          <w:w w:val="99"/>
          <w:kern w:val="2"/>
          <w:highlight w:val="none"/>
        </w:rPr>
        <w:t>采出气通过三甘醇脱水装置进行脱水，由生产厂家来定期更换三甘醇，更换频次约1次/年，徐深27区块内1座集气站产生废三甘醇约70t/a。更换后产生的废三甘醇属于一般固废，委托相关单位处理。</w:t>
      </w:r>
    </w:p>
    <w:p w14:paraId="50660DC3">
      <w:pPr>
        <w:widowControl w:val="0"/>
        <w:spacing w:line="440" w:lineRule="exact"/>
        <w:ind w:firstLine="474" w:firstLineChars="200"/>
        <w:jc w:val="both"/>
        <w:rPr>
          <w:rFonts w:ascii="Times New Roman" w:hAnsi="Times New Roman" w:cs="Times New Roman"/>
          <w:color w:val="auto"/>
          <w:w w:val="99"/>
          <w:kern w:val="2"/>
          <w:highlight w:val="none"/>
        </w:rPr>
      </w:pPr>
      <w:bookmarkStart w:id="415" w:name="_Toc84929247"/>
      <w:bookmarkStart w:id="416" w:name="_Toc131167280"/>
      <w:bookmarkStart w:id="417" w:name="_Toc126863380"/>
      <w:bookmarkStart w:id="418" w:name="_Toc127192329"/>
      <w:bookmarkStart w:id="419" w:name="_Toc83209491"/>
      <w:bookmarkStart w:id="420" w:name="_Toc86141924"/>
      <w:bookmarkStart w:id="421" w:name="_Toc85640771"/>
      <w:bookmarkStart w:id="422" w:name="_Toc143099567"/>
      <w:r>
        <w:rPr>
          <w:rFonts w:ascii="Times New Roman" w:hAnsi="Times New Roman" w:cs="Times New Roman"/>
          <w:color w:val="auto"/>
          <w:w w:val="99"/>
          <w:kern w:val="2"/>
          <w:highlight w:val="none"/>
        </w:rPr>
        <w:t>（5）地下水及土壤防护措施及效果</w:t>
      </w:r>
    </w:p>
    <w:p w14:paraId="762AC814">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现有工程</w:t>
      </w:r>
      <w:r>
        <w:rPr>
          <w:rFonts w:hint="eastAsia" w:ascii="Times New Roman" w:hAnsi="Times New Roman" w:cs="Times New Roman"/>
          <w:color w:val="auto"/>
          <w:w w:val="99"/>
          <w:kern w:val="2"/>
          <w:highlight w:val="none"/>
        </w:rPr>
        <w:t>钻井废水、钻井废液排入泥浆固化池，施工结束后进行固化处理并覆土恢复植被；生活污水排入防渗生活污水池，施工结束后进行卫生填埋。废压裂液由罐车收集后送第八采油厂压裂废液无害化处理装置处理，分离污水通过管道送至升一联气田污水预处理站处理达标后回注，</w:t>
      </w:r>
      <w:r>
        <w:rPr>
          <w:rFonts w:ascii="Times New Roman" w:hAnsi="Times New Roman" w:cs="Times New Roman"/>
          <w:bCs/>
          <w:color w:val="auto"/>
          <w:w w:val="99"/>
          <w:kern w:val="2"/>
          <w:highlight w:val="none"/>
        </w:rPr>
        <w:t>采取</w:t>
      </w:r>
      <w:r>
        <w:rPr>
          <w:rFonts w:hint="eastAsia" w:ascii="Times New Roman" w:hAnsi="Times New Roman" w:cs="Times New Roman"/>
          <w:bCs/>
          <w:color w:val="auto"/>
          <w:w w:val="99"/>
          <w:kern w:val="2"/>
          <w:highlight w:val="none"/>
        </w:rPr>
        <w:t>以上</w:t>
      </w:r>
      <w:r>
        <w:rPr>
          <w:rFonts w:ascii="Times New Roman" w:hAnsi="Times New Roman" w:cs="Times New Roman"/>
          <w:bCs/>
          <w:color w:val="auto"/>
          <w:w w:val="99"/>
          <w:kern w:val="2"/>
          <w:highlight w:val="none"/>
        </w:rPr>
        <w:t>地下水防护措施后现有工程对区域地下水无明显影响。</w:t>
      </w:r>
    </w:p>
    <w:p w14:paraId="624AAA17">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（6）生态环境保护措施及效果</w:t>
      </w:r>
    </w:p>
    <w:p w14:paraId="656C13E3">
      <w:pPr>
        <w:widowControl w:val="0"/>
        <w:spacing w:line="440" w:lineRule="exact"/>
        <w:ind w:firstLine="474" w:firstLineChars="200"/>
        <w:jc w:val="both"/>
        <w:rPr>
          <w:rFonts w:ascii="Times New Roman" w:hAnsi="Times New Roman" w:cs="Times New Roman"/>
          <w:bCs/>
          <w:color w:val="auto"/>
          <w:w w:val="99"/>
          <w:kern w:val="2"/>
          <w:highlight w:val="none"/>
        </w:rPr>
      </w:pPr>
      <w:r>
        <w:rPr>
          <w:rFonts w:ascii="Times New Roman" w:hAnsi="Times New Roman" w:cs="Times New Roman"/>
          <w:bCs/>
          <w:color w:val="auto"/>
          <w:w w:val="99"/>
          <w:kern w:val="2"/>
          <w:highlight w:val="none"/>
        </w:rPr>
        <w:t>为保护区域生态环境，</w:t>
      </w:r>
      <w:r>
        <w:rPr>
          <w:rFonts w:hint="eastAsia" w:ascii="Times New Roman" w:hAnsi="Times New Roman" w:cs="Times New Roman"/>
          <w:bCs/>
          <w:color w:val="auto"/>
          <w:w w:val="99"/>
          <w:kern w:val="2"/>
          <w:highlight w:val="none"/>
        </w:rPr>
        <w:t>大庆油田有限责任公司采气分公司</w:t>
      </w:r>
      <w:r>
        <w:rPr>
          <w:rFonts w:ascii="Times New Roman" w:hAnsi="Times New Roman" w:cs="Times New Roman"/>
          <w:bCs/>
          <w:color w:val="auto"/>
          <w:w w:val="99"/>
          <w:kern w:val="2"/>
          <w:highlight w:val="none"/>
        </w:rPr>
        <w:t>在钻井工程时采取了生态保护措施保护区域内耕地、草地生态系统。例如严格控制了井场的临时及永久占地，井场钻井工程施工结束后及时对临时占地进行了生态恢复，最大力度降低了油田开发对区域耕地及草地生态系统的影响。并严格控制了该区域油田作业范围，严格运行期管理，减小了对区域生态系统的扰动，保证了不因油田开发活动加重生态系统的退化、沙化、盐碱化等。针对区块内水土流失重点治理区，</w:t>
      </w:r>
      <w:r>
        <w:rPr>
          <w:rFonts w:hint="eastAsia" w:ascii="Times New Roman" w:hAnsi="Times New Roman" w:cs="Times New Roman"/>
          <w:bCs/>
          <w:color w:val="auto"/>
          <w:w w:val="99"/>
          <w:kern w:val="2"/>
          <w:highlight w:val="none"/>
        </w:rPr>
        <w:t>大庆油田有限责任公司采气分公司</w:t>
      </w:r>
      <w:r>
        <w:rPr>
          <w:rFonts w:ascii="Times New Roman" w:hAnsi="Times New Roman" w:cs="Times New Roman"/>
          <w:bCs/>
          <w:color w:val="auto"/>
          <w:w w:val="99"/>
          <w:kern w:val="2"/>
          <w:highlight w:val="none"/>
        </w:rPr>
        <w:t>采取了井场平整、压实，开挖土方已合理利用填埋，施工期间未对占地外的地表植被造成碾压和破坏；在油田道路地势较低，容易汇水形成径流冲刷的路段，设置了钢筋砼板涵，保证了道路两侧洪沟的畅通；生产期已严格作好道路泄洪桥涵洞的疏通、维修工作，保证了各类设施的泄洪能力；管道工程施工期间，划定了施工活动范围，车辆均采用“一”字型作业法，严格避免开辟新路，管沟挖、填方作业做到了互补平衡，未造成弃土方堆积和过多借土，未增加新的水土流失，管沟回填阶段均按层回填，回填后予以平整、压实，施工期间对开发建设施工材料划定了适宜的堆料场，未破坏占地外的植被，未增加裸地面积而新增的水土流失。</w:t>
      </w:r>
    </w:p>
    <w:p w14:paraId="7E43DC01">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根据现场勘查，现有区块内井场永久占地已平整，井场及管线施工时临时占用的耕地及草地均已进行了恢复，且生态恢复良好。</w:t>
      </w:r>
    </w:p>
    <w:tbl>
      <w:tblPr>
        <w:tblStyle w:val="8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3"/>
      </w:tblGrid>
      <w:tr w14:paraId="6E44D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8" w:type="pct"/>
            <w:vAlign w:val="center"/>
          </w:tcPr>
          <w:p w14:paraId="0C5C0BD3">
            <w:pPr>
              <w:pStyle w:val="32"/>
              <w:widowControl w:val="0"/>
              <w:jc w:val="center"/>
              <w:rPr>
                <w:rFonts w:ascii="Times New Roman" w:hAnsi="Times New Roman" w:eastAsiaTheme="minorEastAsia"/>
                <w:bCs/>
                <w:color w:val="auto"/>
                <w:w w:val="99"/>
                <w:sz w:val="21"/>
                <w:szCs w:val="21"/>
                <w:highlight w:val="none"/>
              </w:rPr>
            </w:pPr>
            <w:r>
              <w:rPr>
                <w:rFonts w:hint="eastAsia" w:ascii="Times New Roman" w:hAnsi="Times New Roman" w:eastAsiaTheme="minorEastAsia"/>
                <w:bCs/>
                <w:color w:val="auto"/>
                <w:w w:val="99"/>
                <w:sz w:val="21"/>
                <w:szCs w:val="21"/>
                <w:highlight w:val="none"/>
              </w:rPr>
              <w:drawing>
                <wp:inline distT="0" distB="0" distL="114300" distR="114300">
                  <wp:extent cx="2818765" cy="3757930"/>
                  <wp:effectExtent l="0" t="0" r="635" b="13970"/>
                  <wp:docPr id="117" name="图片 117" descr="微信图片_20250326140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微信图片_20250326140935"/>
                          <pic:cNvPicPr>
                            <a:picLocks noChangeAspect="1"/>
                          </pic:cNvPicPr>
                        </pic:nvPicPr>
                        <pic:blipFill>
                          <a:blip r:embed="rId28"/>
                          <a:stretch>
                            <a:fillRect/>
                          </a:stretch>
                        </pic:blipFill>
                        <pic:spPr>
                          <a:xfrm>
                            <a:off x="0" y="0"/>
                            <a:ext cx="2818765" cy="3757930"/>
                          </a:xfrm>
                          <a:prstGeom prst="rect">
                            <a:avLst/>
                          </a:prstGeom>
                        </pic:spPr>
                      </pic:pic>
                    </a:graphicData>
                  </a:graphic>
                </wp:inline>
              </w:drawing>
            </w:r>
          </w:p>
        </w:tc>
        <w:tc>
          <w:tcPr>
            <w:tcW w:w="2491" w:type="pct"/>
            <w:vAlign w:val="center"/>
          </w:tcPr>
          <w:p w14:paraId="423E6210">
            <w:pPr>
              <w:pStyle w:val="32"/>
              <w:widowControl w:val="0"/>
              <w:jc w:val="center"/>
              <w:rPr>
                <w:rFonts w:ascii="Times New Roman" w:hAnsi="Times New Roman" w:eastAsiaTheme="minorEastAsia"/>
                <w:bCs/>
                <w:color w:val="auto"/>
                <w:w w:val="99"/>
                <w:sz w:val="21"/>
                <w:szCs w:val="21"/>
                <w:highlight w:val="none"/>
              </w:rPr>
            </w:pPr>
            <w:r>
              <w:rPr>
                <w:rFonts w:hint="eastAsia" w:ascii="Times New Roman" w:hAnsi="Times New Roman" w:eastAsiaTheme="minorEastAsia"/>
                <w:bCs/>
                <w:color w:val="auto"/>
                <w:w w:val="99"/>
                <w:sz w:val="21"/>
                <w:szCs w:val="21"/>
                <w:highlight w:val="none"/>
              </w:rPr>
              <w:drawing>
                <wp:inline distT="0" distB="0" distL="114300" distR="114300">
                  <wp:extent cx="2818130" cy="3758565"/>
                  <wp:effectExtent l="0" t="0" r="1270" b="13335"/>
                  <wp:docPr id="118" name="图片 118" descr="微信图片_20250326140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微信图片_20250326140933"/>
                          <pic:cNvPicPr>
                            <a:picLocks noChangeAspect="1"/>
                          </pic:cNvPicPr>
                        </pic:nvPicPr>
                        <pic:blipFill>
                          <a:blip r:embed="rId29"/>
                          <a:stretch>
                            <a:fillRect/>
                          </a:stretch>
                        </pic:blipFill>
                        <pic:spPr>
                          <a:xfrm>
                            <a:off x="0" y="0"/>
                            <a:ext cx="2818130" cy="3758565"/>
                          </a:xfrm>
                          <a:prstGeom prst="rect">
                            <a:avLst/>
                          </a:prstGeom>
                        </pic:spPr>
                      </pic:pic>
                    </a:graphicData>
                  </a:graphic>
                </wp:inline>
              </w:drawing>
            </w:r>
          </w:p>
        </w:tc>
      </w:tr>
    </w:tbl>
    <w:p w14:paraId="61701812">
      <w:pPr>
        <w:pStyle w:val="103"/>
        <w:rPr>
          <w:rFonts w:eastAsiaTheme="minorEastAsia"/>
          <w:b/>
          <w:bCs/>
          <w:color w:val="auto"/>
          <w:w w:val="99"/>
          <w:szCs w:val="22"/>
          <w:highlight w:val="none"/>
        </w:rPr>
      </w:pPr>
      <w:r>
        <w:rPr>
          <w:rFonts w:eastAsiaTheme="minorEastAsia"/>
          <w:b/>
          <w:bCs/>
          <w:color w:val="auto"/>
          <w:w w:val="99"/>
          <w:szCs w:val="22"/>
          <w:highlight w:val="none"/>
        </w:rPr>
        <w:t>图3.1-</w:t>
      </w:r>
      <w:r>
        <w:rPr>
          <w:rFonts w:hint="eastAsia" w:eastAsiaTheme="minorEastAsia"/>
          <w:b/>
          <w:bCs/>
          <w:color w:val="auto"/>
          <w:w w:val="99"/>
          <w:szCs w:val="22"/>
          <w:highlight w:val="none"/>
        </w:rPr>
        <w:t>2</w:t>
      </w:r>
      <w:r>
        <w:rPr>
          <w:rFonts w:eastAsiaTheme="minorEastAsia"/>
          <w:b/>
          <w:bCs/>
          <w:color w:val="auto"/>
          <w:w w:val="99"/>
          <w:szCs w:val="22"/>
          <w:highlight w:val="none"/>
        </w:rPr>
        <w:t xml:space="preserve">   现有井场周边生态恢复情况</w:t>
      </w:r>
    </w:p>
    <w:p w14:paraId="24586726">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color w:val="auto"/>
          <w:w w:val="99"/>
          <w:kern w:val="2"/>
          <w:highlight w:val="none"/>
        </w:rPr>
        <w:t>现有工程污染物产排污情况汇总表见表3.1-</w:t>
      </w:r>
      <w:r>
        <w:rPr>
          <w:rFonts w:hint="eastAsia" w:ascii="Times New Roman" w:hAnsi="Times New Roman" w:cs="Times New Roman"/>
          <w:color w:val="auto"/>
          <w:w w:val="99"/>
          <w:kern w:val="2"/>
          <w:highlight w:val="none"/>
        </w:rPr>
        <w:t>3</w:t>
      </w:r>
      <w:r>
        <w:rPr>
          <w:rFonts w:ascii="Times New Roman" w:hAnsi="Times New Roman" w:cs="Times New Roman"/>
          <w:color w:val="auto"/>
          <w:w w:val="99"/>
          <w:kern w:val="2"/>
          <w:highlight w:val="none"/>
        </w:rPr>
        <w:t>。</w:t>
      </w:r>
    </w:p>
    <w:p w14:paraId="6E79D2E7">
      <w:pPr>
        <w:pStyle w:val="153"/>
        <w:widowControl w:val="0"/>
        <w:spacing w:line="440" w:lineRule="exact"/>
        <w:ind w:firstLine="474"/>
        <w:jc w:val="both"/>
        <w:rPr>
          <w:rFonts w:ascii="Times New Roman" w:hAnsi="Times New Roman"/>
          <w:b/>
          <w:color w:val="auto"/>
          <w:w w:val="99"/>
          <w:kern w:val="2"/>
          <w:highlight w:val="none"/>
        </w:rPr>
      </w:pPr>
      <w:r>
        <w:rPr>
          <w:rFonts w:ascii="Times New Roman" w:hAnsi="Times New Roman"/>
          <w:b/>
          <w:color w:val="auto"/>
          <w:w w:val="99"/>
          <w:kern w:val="2"/>
          <w:highlight w:val="none"/>
        </w:rPr>
        <w:t>表3.1-</w:t>
      </w:r>
      <w:r>
        <w:rPr>
          <w:rFonts w:hint="eastAsia" w:ascii="Times New Roman" w:hAnsi="Times New Roman"/>
          <w:b/>
          <w:color w:val="auto"/>
          <w:w w:val="99"/>
          <w:kern w:val="2"/>
          <w:highlight w:val="none"/>
        </w:rPr>
        <w:t>3</w:t>
      </w:r>
      <w:r>
        <w:rPr>
          <w:rFonts w:ascii="Times New Roman" w:hAnsi="Times New Roman"/>
          <w:b/>
          <w:color w:val="auto"/>
          <w:w w:val="99"/>
          <w:kern w:val="2"/>
          <w:highlight w:val="none"/>
        </w:rPr>
        <w:t xml:space="preserve">    现有工程污染物产排污情况汇总表</w:t>
      </w:r>
    </w:p>
    <w:tbl>
      <w:tblPr>
        <w:tblStyle w:val="1662"/>
        <w:tblW w:w="502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12"/>
        <w:gridCol w:w="1211"/>
        <w:gridCol w:w="1723"/>
        <w:gridCol w:w="1794"/>
        <w:gridCol w:w="3691"/>
      </w:tblGrid>
      <w:tr w14:paraId="5B4E1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Align w:val="center"/>
          </w:tcPr>
          <w:p w14:paraId="529CC74D">
            <w:pPr>
              <w:pStyle w:val="2857"/>
              <w:widowControl/>
              <w:kinsoku w:val="0"/>
              <w:autoSpaceDE w:val="0"/>
              <w:autoSpaceDN w:val="0"/>
              <w:adjustRightInd w:val="0"/>
              <w:snapToGrid w:val="0"/>
              <w:spacing w:line="360" w:lineRule="exact"/>
              <w:jc w:val="center"/>
              <w:textAlignment w:val="baseline"/>
              <w:rPr>
                <w:rFonts w:hint="eastAsia"/>
                <w:color w:val="auto"/>
                <w:w w:val="99"/>
                <w:sz w:val="21"/>
                <w:szCs w:val="21"/>
                <w:highlight w:val="none"/>
              </w:rPr>
            </w:pPr>
            <w:r>
              <w:rPr>
                <w:color w:val="auto"/>
                <w:w w:val="99"/>
                <w:sz w:val="21"/>
                <w:szCs w:val="21"/>
                <w:highlight w:val="none"/>
              </w:rPr>
              <w:t>类别</w:t>
            </w:r>
          </w:p>
        </w:tc>
        <w:tc>
          <w:tcPr>
            <w:tcW w:w="1606" w:type="pct"/>
            <w:gridSpan w:val="2"/>
            <w:vAlign w:val="center"/>
          </w:tcPr>
          <w:p w14:paraId="6396B7A7">
            <w:pPr>
              <w:pStyle w:val="2857"/>
              <w:widowControl/>
              <w:kinsoku w:val="0"/>
              <w:autoSpaceDE w:val="0"/>
              <w:autoSpaceDN w:val="0"/>
              <w:adjustRightInd w:val="0"/>
              <w:snapToGrid w:val="0"/>
              <w:spacing w:line="360" w:lineRule="exact"/>
              <w:jc w:val="center"/>
              <w:textAlignment w:val="baseline"/>
              <w:rPr>
                <w:rFonts w:hint="eastAsia"/>
                <w:color w:val="auto"/>
                <w:w w:val="99"/>
                <w:sz w:val="21"/>
                <w:szCs w:val="21"/>
                <w:highlight w:val="none"/>
              </w:rPr>
            </w:pPr>
            <w:r>
              <w:rPr>
                <w:color w:val="auto"/>
                <w:w w:val="99"/>
                <w:sz w:val="21"/>
                <w:szCs w:val="21"/>
                <w:highlight w:val="none"/>
              </w:rPr>
              <w:t>污染源</w:t>
            </w:r>
          </w:p>
        </w:tc>
        <w:tc>
          <w:tcPr>
            <w:tcW w:w="982" w:type="pct"/>
            <w:vAlign w:val="center"/>
          </w:tcPr>
          <w:p w14:paraId="281063FA">
            <w:pPr>
              <w:pStyle w:val="2857"/>
              <w:widowControl/>
              <w:kinsoku w:val="0"/>
              <w:autoSpaceDE w:val="0"/>
              <w:autoSpaceDN w:val="0"/>
              <w:adjustRightInd w:val="0"/>
              <w:snapToGrid w:val="0"/>
              <w:spacing w:line="360" w:lineRule="exact"/>
              <w:jc w:val="center"/>
              <w:textAlignment w:val="baseline"/>
              <w:rPr>
                <w:rFonts w:hint="eastAsia"/>
                <w:color w:val="auto"/>
                <w:w w:val="99"/>
                <w:sz w:val="21"/>
                <w:szCs w:val="21"/>
                <w:highlight w:val="none"/>
              </w:rPr>
            </w:pPr>
            <w:r>
              <w:rPr>
                <w:color w:val="auto"/>
                <w:w w:val="99"/>
                <w:sz w:val="21"/>
                <w:szCs w:val="21"/>
                <w:highlight w:val="none"/>
              </w:rPr>
              <w:t>排放量</w:t>
            </w:r>
          </w:p>
        </w:tc>
        <w:tc>
          <w:tcPr>
            <w:tcW w:w="2020" w:type="pct"/>
            <w:vAlign w:val="center"/>
          </w:tcPr>
          <w:p w14:paraId="17D82D4A">
            <w:pPr>
              <w:pStyle w:val="2857"/>
              <w:widowControl/>
              <w:kinsoku w:val="0"/>
              <w:autoSpaceDE w:val="0"/>
              <w:autoSpaceDN w:val="0"/>
              <w:adjustRightInd w:val="0"/>
              <w:snapToGrid w:val="0"/>
              <w:spacing w:line="360" w:lineRule="exact"/>
              <w:jc w:val="center"/>
              <w:textAlignment w:val="baseline"/>
              <w:rPr>
                <w:rFonts w:hint="eastAsia"/>
                <w:color w:val="auto"/>
                <w:w w:val="99"/>
                <w:sz w:val="21"/>
                <w:szCs w:val="21"/>
                <w:highlight w:val="none"/>
              </w:rPr>
            </w:pPr>
            <w:r>
              <w:rPr>
                <w:color w:val="auto"/>
                <w:w w:val="99"/>
                <w:sz w:val="21"/>
                <w:szCs w:val="21"/>
                <w:highlight w:val="none"/>
              </w:rPr>
              <w:t>处理措施</w:t>
            </w:r>
          </w:p>
        </w:tc>
      </w:tr>
      <w:tr w14:paraId="3CBD7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Merge w:val="restart"/>
            <w:vAlign w:val="center"/>
          </w:tcPr>
          <w:p w14:paraId="5ED1FC0D">
            <w:pPr>
              <w:widowControl/>
              <w:kinsoku w:val="0"/>
              <w:autoSpaceDE w:val="0"/>
              <w:autoSpaceDN w:val="0"/>
              <w:adjustRightInd w:val="0"/>
              <w:snapToGrid w:val="0"/>
              <w:spacing w:line="360" w:lineRule="exact"/>
              <w:jc w:val="center"/>
              <w:textAlignment w:val="baseline"/>
              <w:rPr>
                <w:rFonts w:hint="eastAsia" w:ascii="Arial"/>
                <w:color w:val="auto"/>
                <w:w w:val="99"/>
                <w:sz w:val="21"/>
                <w:szCs w:val="21"/>
                <w:highlight w:val="none"/>
                <w:lang w:eastAsia="en-US"/>
              </w:rPr>
            </w:pPr>
          </w:p>
          <w:p w14:paraId="38BF6287">
            <w:pPr>
              <w:pStyle w:val="2857"/>
              <w:widowControl/>
              <w:kinsoku w:val="0"/>
              <w:autoSpaceDE w:val="0"/>
              <w:autoSpaceDN w:val="0"/>
              <w:adjustRightInd w:val="0"/>
              <w:snapToGrid w:val="0"/>
              <w:spacing w:line="360" w:lineRule="exact"/>
              <w:jc w:val="center"/>
              <w:textAlignment w:val="baseline"/>
              <w:rPr>
                <w:rFonts w:hint="eastAsia"/>
                <w:color w:val="auto"/>
                <w:w w:val="99"/>
                <w:sz w:val="21"/>
                <w:szCs w:val="21"/>
                <w:highlight w:val="none"/>
              </w:rPr>
            </w:pPr>
            <w:r>
              <w:rPr>
                <w:color w:val="auto"/>
                <w:w w:val="99"/>
                <w:sz w:val="21"/>
                <w:szCs w:val="21"/>
                <w:highlight w:val="none"/>
              </w:rPr>
              <w:t>废气</w:t>
            </w:r>
          </w:p>
        </w:tc>
        <w:tc>
          <w:tcPr>
            <w:tcW w:w="1606" w:type="pct"/>
            <w:gridSpan w:val="2"/>
            <w:vAlign w:val="center"/>
          </w:tcPr>
          <w:p w14:paraId="2133ACC9">
            <w:pPr>
              <w:pStyle w:val="2857"/>
              <w:widowControl/>
              <w:kinsoku w:val="0"/>
              <w:autoSpaceDE w:val="0"/>
              <w:autoSpaceDN w:val="0"/>
              <w:adjustRightInd w:val="0"/>
              <w:snapToGrid w:val="0"/>
              <w:spacing w:line="360" w:lineRule="exact"/>
              <w:jc w:val="center"/>
              <w:textAlignment w:val="baseline"/>
              <w:rPr>
                <w:rFonts w:hint="eastAsia"/>
                <w:color w:val="auto"/>
                <w:w w:val="99"/>
                <w:sz w:val="21"/>
                <w:szCs w:val="21"/>
                <w:highlight w:val="none"/>
              </w:rPr>
            </w:pPr>
            <w:r>
              <w:rPr>
                <w:color w:val="auto"/>
                <w:w w:val="99"/>
                <w:sz w:val="21"/>
                <w:szCs w:val="21"/>
                <w:highlight w:val="none"/>
              </w:rPr>
              <w:t>无组织非甲烷总烃</w:t>
            </w:r>
          </w:p>
        </w:tc>
        <w:tc>
          <w:tcPr>
            <w:tcW w:w="982" w:type="pct"/>
            <w:vAlign w:val="center"/>
          </w:tcPr>
          <w:p w14:paraId="56786965">
            <w:pPr>
              <w:widowControl/>
              <w:kinsoku w:val="0"/>
              <w:autoSpaceDE w:val="0"/>
              <w:autoSpaceDN w:val="0"/>
              <w:adjustRightInd w:val="0"/>
              <w:snapToGrid w:val="0"/>
              <w:spacing w:line="360" w:lineRule="exact"/>
              <w:jc w:val="center"/>
              <w:textAlignment w:val="baseline"/>
              <w:rPr>
                <w:rFonts w:ascii="Times New Roman" w:hAnsi="Times New Roman" w:eastAsia="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val="en-US" w:eastAsia="zh-CN"/>
              </w:rPr>
              <w:t>11.66</w:t>
            </w:r>
            <w:r>
              <w:rPr>
                <w:rFonts w:ascii="Times New Roman" w:hAnsi="Times New Roman" w:eastAsia="Times New Roman" w:cs="Times New Roman"/>
                <w:color w:val="auto"/>
                <w:w w:val="99"/>
                <w:sz w:val="21"/>
                <w:szCs w:val="21"/>
                <w:highlight w:val="none"/>
                <w:lang w:eastAsia="en-US"/>
              </w:rPr>
              <w:t>t/a</w:t>
            </w:r>
          </w:p>
        </w:tc>
        <w:tc>
          <w:tcPr>
            <w:tcW w:w="2020" w:type="pct"/>
            <w:vAlign w:val="center"/>
          </w:tcPr>
          <w:p w14:paraId="64702161">
            <w:pPr>
              <w:pStyle w:val="2857"/>
              <w:widowControl/>
              <w:kinsoku w:val="0"/>
              <w:autoSpaceDE w:val="0"/>
              <w:autoSpaceDN w:val="0"/>
              <w:adjustRightInd w:val="0"/>
              <w:snapToGrid w:val="0"/>
              <w:spacing w:line="360" w:lineRule="exact"/>
              <w:jc w:val="center"/>
              <w:textAlignment w:val="baseline"/>
              <w:rPr>
                <w:rFonts w:hint="eastAsia"/>
                <w:color w:val="auto"/>
                <w:w w:val="99"/>
                <w:sz w:val="21"/>
                <w:szCs w:val="21"/>
                <w:highlight w:val="none"/>
                <w:lang w:eastAsia="zh-CN"/>
              </w:rPr>
            </w:pPr>
            <w:r>
              <w:rPr>
                <w:color w:val="auto"/>
                <w:w w:val="99"/>
                <w:sz w:val="21"/>
                <w:szCs w:val="21"/>
                <w:highlight w:val="none"/>
                <w:lang w:eastAsia="zh-CN"/>
              </w:rPr>
              <w:t>井口密封设施、采用密闭集输管道输送天然气</w:t>
            </w:r>
          </w:p>
        </w:tc>
      </w:tr>
      <w:tr w14:paraId="52312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Merge w:val="continue"/>
            <w:vAlign w:val="center"/>
          </w:tcPr>
          <w:p w14:paraId="4A8B74E0">
            <w:pPr>
              <w:widowControl/>
              <w:kinsoku w:val="0"/>
              <w:autoSpaceDE w:val="0"/>
              <w:autoSpaceDN w:val="0"/>
              <w:adjustRightInd w:val="0"/>
              <w:snapToGrid w:val="0"/>
              <w:spacing w:line="360" w:lineRule="exact"/>
              <w:jc w:val="center"/>
              <w:textAlignment w:val="baseline"/>
              <w:rPr>
                <w:rFonts w:hint="eastAsia" w:ascii="Arial"/>
                <w:color w:val="auto"/>
                <w:w w:val="99"/>
                <w:sz w:val="21"/>
                <w:szCs w:val="21"/>
                <w:highlight w:val="none"/>
                <w:lang w:eastAsia="en-US"/>
              </w:rPr>
            </w:pPr>
          </w:p>
        </w:tc>
        <w:tc>
          <w:tcPr>
            <w:tcW w:w="663" w:type="pct"/>
            <w:vMerge w:val="restart"/>
            <w:vAlign w:val="center"/>
          </w:tcPr>
          <w:p w14:paraId="630F82D9">
            <w:pPr>
              <w:pStyle w:val="2857"/>
              <w:widowControl/>
              <w:kinsoku w:val="0"/>
              <w:autoSpaceDE w:val="0"/>
              <w:autoSpaceDN w:val="0"/>
              <w:adjustRightInd w:val="0"/>
              <w:snapToGrid w:val="0"/>
              <w:spacing w:line="360" w:lineRule="exact"/>
              <w:jc w:val="center"/>
              <w:textAlignment w:val="baseline"/>
              <w:rPr>
                <w:rFonts w:hint="eastAsia"/>
                <w:color w:val="auto"/>
                <w:w w:val="99"/>
                <w:sz w:val="21"/>
                <w:szCs w:val="21"/>
                <w:highlight w:val="none"/>
              </w:rPr>
            </w:pPr>
            <w:r>
              <w:rPr>
                <w:color w:val="auto"/>
                <w:w w:val="99"/>
                <w:sz w:val="21"/>
                <w:szCs w:val="21"/>
                <w:highlight w:val="none"/>
              </w:rPr>
              <w:t>集气站加</w:t>
            </w:r>
          </w:p>
          <w:p w14:paraId="651BB7FD">
            <w:pPr>
              <w:pStyle w:val="2857"/>
              <w:widowControl/>
              <w:kinsoku w:val="0"/>
              <w:autoSpaceDE w:val="0"/>
              <w:autoSpaceDN w:val="0"/>
              <w:adjustRightInd w:val="0"/>
              <w:snapToGrid w:val="0"/>
              <w:spacing w:line="360" w:lineRule="exact"/>
              <w:jc w:val="center"/>
              <w:textAlignment w:val="baseline"/>
              <w:rPr>
                <w:rFonts w:hint="eastAsia"/>
                <w:color w:val="auto"/>
                <w:w w:val="99"/>
                <w:sz w:val="21"/>
                <w:szCs w:val="21"/>
                <w:highlight w:val="none"/>
              </w:rPr>
            </w:pPr>
            <w:r>
              <w:rPr>
                <w:color w:val="auto"/>
                <w:w w:val="99"/>
                <w:sz w:val="21"/>
                <w:szCs w:val="21"/>
                <w:highlight w:val="none"/>
              </w:rPr>
              <w:t>热炉排气</w:t>
            </w:r>
          </w:p>
          <w:p w14:paraId="736E5A18">
            <w:pPr>
              <w:pStyle w:val="2857"/>
              <w:widowControl/>
              <w:kinsoku w:val="0"/>
              <w:autoSpaceDE w:val="0"/>
              <w:autoSpaceDN w:val="0"/>
              <w:adjustRightInd w:val="0"/>
              <w:snapToGrid w:val="0"/>
              <w:spacing w:line="360" w:lineRule="exact"/>
              <w:jc w:val="center"/>
              <w:textAlignment w:val="baseline"/>
              <w:rPr>
                <w:rFonts w:hint="eastAsia"/>
                <w:color w:val="auto"/>
                <w:w w:val="99"/>
                <w:sz w:val="21"/>
                <w:szCs w:val="21"/>
                <w:highlight w:val="none"/>
              </w:rPr>
            </w:pPr>
            <w:r>
              <w:rPr>
                <w:color w:val="auto"/>
                <w:w w:val="99"/>
                <w:sz w:val="21"/>
                <w:szCs w:val="21"/>
                <w:highlight w:val="none"/>
              </w:rPr>
              <w:t>筒</w:t>
            </w:r>
          </w:p>
        </w:tc>
        <w:tc>
          <w:tcPr>
            <w:tcW w:w="943" w:type="pct"/>
            <w:vAlign w:val="center"/>
          </w:tcPr>
          <w:p w14:paraId="6B834E37">
            <w:pPr>
              <w:pStyle w:val="2857"/>
              <w:widowControl/>
              <w:kinsoku w:val="0"/>
              <w:autoSpaceDE w:val="0"/>
              <w:autoSpaceDN w:val="0"/>
              <w:adjustRightInd w:val="0"/>
              <w:snapToGrid w:val="0"/>
              <w:spacing w:line="360" w:lineRule="exact"/>
              <w:jc w:val="center"/>
              <w:textAlignment w:val="baseline"/>
              <w:rPr>
                <w:rFonts w:hint="eastAsia"/>
                <w:color w:val="auto"/>
                <w:w w:val="99"/>
                <w:sz w:val="21"/>
                <w:szCs w:val="21"/>
                <w:highlight w:val="none"/>
              </w:rPr>
            </w:pPr>
            <w:r>
              <w:rPr>
                <w:color w:val="auto"/>
                <w:w w:val="99"/>
                <w:sz w:val="21"/>
                <w:szCs w:val="21"/>
                <w:highlight w:val="none"/>
              </w:rPr>
              <w:t>废气量</w:t>
            </w:r>
          </w:p>
        </w:tc>
        <w:tc>
          <w:tcPr>
            <w:tcW w:w="982" w:type="pct"/>
            <w:vAlign w:val="center"/>
          </w:tcPr>
          <w:p w14:paraId="275C8BCB">
            <w:pPr>
              <w:pStyle w:val="2857"/>
              <w:widowControl/>
              <w:kinsoku w:val="0"/>
              <w:autoSpaceDE w:val="0"/>
              <w:autoSpaceDN w:val="0"/>
              <w:adjustRightInd w:val="0"/>
              <w:snapToGrid w:val="0"/>
              <w:spacing w:line="360" w:lineRule="exact"/>
              <w:jc w:val="center"/>
              <w:textAlignment w:val="baseline"/>
              <w:rPr>
                <w:rFonts w:ascii="Times New Roman" w:hAnsi="Times New Roman" w:eastAsia="Times New Roman" w:cs="Times New Roman"/>
                <w:color w:val="auto"/>
                <w:w w:val="99"/>
                <w:sz w:val="21"/>
                <w:szCs w:val="21"/>
                <w:highlight w:val="none"/>
              </w:rPr>
            </w:pPr>
            <w:r>
              <w:rPr>
                <w:rFonts w:hint="eastAsia" w:ascii="Times New Roman" w:hAnsi="Times New Roman" w:cs="Times New Roman"/>
                <w:color w:val="auto"/>
                <w:w w:val="99"/>
                <w:sz w:val="21"/>
                <w:szCs w:val="21"/>
                <w:highlight w:val="none"/>
                <w:lang w:eastAsia="zh-CN"/>
              </w:rPr>
              <w:t>280.4</w:t>
            </w:r>
            <w:r>
              <w:rPr>
                <w:color w:val="auto"/>
                <w:w w:val="99"/>
                <w:sz w:val="21"/>
                <w:szCs w:val="21"/>
                <w:highlight w:val="none"/>
              </w:rPr>
              <w:t>万</w:t>
            </w:r>
            <w:r>
              <w:rPr>
                <w:rFonts w:ascii="Times New Roman" w:hAnsi="Times New Roman" w:eastAsia="Times New Roman" w:cs="Times New Roman"/>
                <w:color w:val="auto"/>
                <w:w w:val="99"/>
                <w:sz w:val="21"/>
                <w:szCs w:val="21"/>
                <w:highlight w:val="none"/>
              </w:rPr>
              <w:t>m</w:t>
            </w:r>
            <w:r>
              <w:rPr>
                <w:rFonts w:ascii="Times New Roman" w:hAnsi="Times New Roman" w:eastAsia="Times New Roman" w:cs="Times New Roman"/>
                <w:color w:val="auto"/>
                <w:w w:val="99"/>
                <w:sz w:val="21"/>
                <w:szCs w:val="21"/>
                <w:highlight w:val="none"/>
                <w:vertAlign w:val="superscript"/>
              </w:rPr>
              <w:t>3</w:t>
            </w:r>
            <w:r>
              <w:rPr>
                <w:rFonts w:ascii="Times New Roman" w:hAnsi="Times New Roman" w:eastAsia="Times New Roman" w:cs="Times New Roman"/>
                <w:color w:val="auto"/>
                <w:w w:val="99"/>
                <w:sz w:val="21"/>
                <w:szCs w:val="21"/>
                <w:highlight w:val="none"/>
              </w:rPr>
              <w:t>/a</w:t>
            </w:r>
          </w:p>
        </w:tc>
        <w:tc>
          <w:tcPr>
            <w:tcW w:w="2020" w:type="pct"/>
            <w:vMerge w:val="restart"/>
            <w:vAlign w:val="center"/>
          </w:tcPr>
          <w:p w14:paraId="246BAF4F">
            <w:pPr>
              <w:pStyle w:val="2857"/>
              <w:widowControl/>
              <w:kinsoku w:val="0"/>
              <w:autoSpaceDE w:val="0"/>
              <w:autoSpaceDN w:val="0"/>
              <w:adjustRightInd w:val="0"/>
              <w:snapToGrid w:val="0"/>
              <w:spacing w:line="360" w:lineRule="exact"/>
              <w:jc w:val="center"/>
              <w:textAlignment w:val="baseline"/>
              <w:rPr>
                <w:rFonts w:hint="eastAsia"/>
                <w:color w:val="auto"/>
                <w:w w:val="99"/>
                <w:sz w:val="21"/>
                <w:szCs w:val="21"/>
                <w:highlight w:val="none"/>
                <w:lang w:eastAsia="zh-CN"/>
              </w:rPr>
            </w:pPr>
            <w:r>
              <w:rPr>
                <w:color w:val="auto"/>
                <w:w w:val="99"/>
                <w:sz w:val="21"/>
                <w:szCs w:val="21"/>
                <w:highlight w:val="none"/>
                <w:lang w:eastAsia="zh-CN"/>
              </w:rPr>
              <w:t>天然气为燃料，通过</w:t>
            </w:r>
            <w:r>
              <w:rPr>
                <w:rFonts w:ascii="Times New Roman" w:hAnsi="Times New Roman" w:eastAsia="Times New Roman" w:cs="Times New Roman"/>
                <w:color w:val="auto"/>
                <w:w w:val="99"/>
                <w:sz w:val="21"/>
                <w:szCs w:val="21"/>
                <w:highlight w:val="none"/>
                <w:lang w:eastAsia="zh-CN"/>
              </w:rPr>
              <w:t>8m</w:t>
            </w:r>
            <w:r>
              <w:rPr>
                <w:color w:val="auto"/>
                <w:w w:val="99"/>
                <w:sz w:val="21"/>
                <w:szCs w:val="21"/>
                <w:highlight w:val="none"/>
                <w:lang w:eastAsia="zh-CN"/>
              </w:rPr>
              <w:t>高排气筒排放</w:t>
            </w:r>
          </w:p>
        </w:tc>
      </w:tr>
      <w:tr w14:paraId="240DC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Merge w:val="continue"/>
            <w:vAlign w:val="center"/>
          </w:tcPr>
          <w:p w14:paraId="42612BB3">
            <w:pPr>
              <w:widowControl/>
              <w:kinsoku w:val="0"/>
              <w:autoSpaceDE w:val="0"/>
              <w:autoSpaceDN w:val="0"/>
              <w:adjustRightInd w:val="0"/>
              <w:snapToGrid w:val="0"/>
              <w:spacing w:line="360" w:lineRule="exact"/>
              <w:jc w:val="center"/>
              <w:textAlignment w:val="baseline"/>
              <w:rPr>
                <w:rFonts w:hint="eastAsia" w:ascii="Arial"/>
                <w:color w:val="auto"/>
                <w:w w:val="99"/>
                <w:sz w:val="21"/>
                <w:szCs w:val="21"/>
                <w:highlight w:val="none"/>
                <w:lang w:eastAsia="en-US"/>
              </w:rPr>
            </w:pPr>
          </w:p>
        </w:tc>
        <w:tc>
          <w:tcPr>
            <w:tcW w:w="663" w:type="pct"/>
            <w:vMerge w:val="continue"/>
            <w:vAlign w:val="center"/>
          </w:tcPr>
          <w:p w14:paraId="24D648F2">
            <w:pPr>
              <w:widowControl/>
              <w:kinsoku w:val="0"/>
              <w:autoSpaceDE w:val="0"/>
              <w:autoSpaceDN w:val="0"/>
              <w:adjustRightInd w:val="0"/>
              <w:snapToGrid w:val="0"/>
              <w:spacing w:line="360" w:lineRule="exact"/>
              <w:jc w:val="center"/>
              <w:textAlignment w:val="baseline"/>
              <w:rPr>
                <w:rFonts w:hint="eastAsia" w:ascii="Arial"/>
                <w:color w:val="auto"/>
                <w:w w:val="99"/>
                <w:sz w:val="21"/>
                <w:szCs w:val="21"/>
                <w:highlight w:val="none"/>
                <w:lang w:eastAsia="en-US"/>
              </w:rPr>
            </w:pPr>
          </w:p>
        </w:tc>
        <w:tc>
          <w:tcPr>
            <w:tcW w:w="943" w:type="pct"/>
            <w:vAlign w:val="center"/>
          </w:tcPr>
          <w:p w14:paraId="4BB93A5D">
            <w:pPr>
              <w:widowControl/>
              <w:kinsoku w:val="0"/>
              <w:autoSpaceDE w:val="0"/>
              <w:autoSpaceDN w:val="0"/>
              <w:adjustRightInd w:val="0"/>
              <w:snapToGrid w:val="0"/>
              <w:spacing w:line="360" w:lineRule="exact"/>
              <w:jc w:val="center"/>
              <w:textAlignment w:val="baseline"/>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SO</w:t>
            </w:r>
            <w:r>
              <w:rPr>
                <w:rFonts w:ascii="Times New Roman" w:hAnsi="Times New Roman" w:eastAsia="Times New Roman" w:cs="Times New Roman"/>
                <w:color w:val="auto"/>
                <w:w w:val="99"/>
                <w:sz w:val="21"/>
                <w:szCs w:val="21"/>
                <w:highlight w:val="none"/>
                <w:vertAlign w:val="subscript"/>
                <w:lang w:eastAsia="en-US"/>
              </w:rPr>
              <w:t>2</w:t>
            </w:r>
          </w:p>
        </w:tc>
        <w:tc>
          <w:tcPr>
            <w:tcW w:w="982" w:type="pct"/>
            <w:vAlign w:val="center"/>
          </w:tcPr>
          <w:p w14:paraId="1C00E272">
            <w:pPr>
              <w:widowControl/>
              <w:kinsoku w:val="0"/>
              <w:autoSpaceDE w:val="0"/>
              <w:autoSpaceDN w:val="0"/>
              <w:adjustRightInd w:val="0"/>
              <w:snapToGrid w:val="0"/>
              <w:spacing w:line="360" w:lineRule="exact"/>
              <w:jc w:val="center"/>
              <w:textAlignment w:val="baseline"/>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0</w:t>
            </w:r>
          </w:p>
        </w:tc>
        <w:tc>
          <w:tcPr>
            <w:tcW w:w="2020" w:type="pct"/>
            <w:vMerge w:val="continue"/>
            <w:vAlign w:val="center"/>
          </w:tcPr>
          <w:p w14:paraId="68FBEF07">
            <w:pPr>
              <w:widowControl/>
              <w:kinsoku w:val="0"/>
              <w:autoSpaceDE w:val="0"/>
              <w:autoSpaceDN w:val="0"/>
              <w:adjustRightInd w:val="0"/>
              <w:snapToGrid w:val="0"/>
              <w:spacing w:line="360" w:lineRule="exact"/>
              <w:jc w:val="center"/>
              <w:textAlignment w:val="baseline"/>
              <w:rPr>
                <w:rFonts w:hint="eastAsia" w:ascii="Arial"/>
                <w:color w:val="auto"/>
                <w:w w:val="99"/>
                <w:sz w:val="21"/>
                <w:szCs w:val="21"/>
                <w:highlight w:val="none"/>
                <w:lang w:eastAsia="en-US"/>
              </w:rPr>
            </w:pPr>
          </w:p>
        </w:tc>
      </w:tr>
      <w:tr w14:paraId="15CFF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Merge w:val="continue"/>
            <w:vAlign w:val="center"/>
          </w:tcPr>
          <w:p w14:paraId="3EC7082D">
            <w:pPr>
              <w:widowControl/>
              <w:kinsoku w:val="0"/>
              <w:autoSpaceDE w:val="0"/>
              <w:autoSpaceDN w:val="0"/>
              <w:adjustRightInd w:val="0"/>
              <w:snapToGrid w:val="0"/>
              <w:spacing w:line="360" w:lineRule="exact"/>
              <w:jc w:val="center"/>
              <w:textAlignment w:val="baseline"/>
              <w:rPr>
                <w:rFonts w:hint="eastAsia" w:ascii="Arial"/>
                <w:color w:val="auto"/>
                <w:w w:val="99"/>
                <w:sz w:val="21"/>
                <w:szCs w:val="21"/>
                <w:highlight w:val="none"/>
                <w:lang w:eastAsia="en-US"/>
              </w:rPr>
            </w:pPr>
          </w:p>
        </w:tc>
        <w:tc>
          <w:tcPr>
            <w:tcW w:w="663" w:type="pct"/>
            <w:vMerge w:val="continue"/>
            <w:vAlign w:val="center"/>
          </w:tcPr>
          <w:p w14:paraId="74918AE6">
            <w:pPr>
              <w:widowControl/>
              <w:kinsoku w:val="0"/>
              <w:autoSpaceDE w:val="0"/>
              <w:autoSpaceDN w:val="0"/>
              <w:adjustRightInd w:val="0"/>
              <w:snapToGrid w:val="0"/>
              <w:spacing w:line="360" w:lineRule="exact"/>
              <w:jc w:val="center"/>
              <w:textAlignment w:val="baseline"/>
              <w:rPr>
                <w:rFonts w:hint="eastAsia" w:ascii="Arial"/>
                <w:color w:val="auto"/>
                <w:w w:val="99"/>
                <w:sz w:val="21"/>
                <w:szCs w:val="21"/>
                <w:highlight w:val="none"/>
                <w:lang w:eastAsia="en-US"/>
              </w:rPr>
            </w:pPr>
          </w:p>
        </w:tc>
        <w:tc>
          <w:tcPr>
            <w:tcW w:w="943" w:type="pct"/>
            <w:vAlign w:val="center"/>
          </w:tcPr>
          <w:p w14:paraId="0E8A909E">
            <w:pPr>
              <w:widowControl/>
              <w:kinsoku w:val="0"/>
              <w:autoSpaceDE w:val="0"/>
              <w:autoSpaceDN w:val="0"/>
              <w:adjustRightInd w:val="0"/>
              <w:snapToGrid w:val="0"/>
              <w:spacing w:line="360" w:lineRule="exact"/>
              <w:jc w:val="center"/>
              <w:textAlignment w:val="baseline"/>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NO</w:t>
            </w:r>
            <w:r>
              <w:rPr>
                <w:rFonts w:ascii="Times New Roman" w:hAnsi="Times New Roman" w:eastAsia="Times New Roman" w:cs="Times New Roman"/>
                <w:color w:val="auto"/>
                <w:w w:val="99"/>
                <w:sz w:val="21"/>
                <w:szCs w:val="21"/>
                <w:highlight w:val="none"/>
                <w:vertAlign w:val="subscript"/>
                <w:lang w:eastAsia="en-US"/>
              </w:rPr>
              <w:t>X</w:t>
            </w:r>
          </w:p>
        </w:tc>
        <w:tc>
          <w:tcPr>
            <w:tcW w:w="982" w:type="pct"/>
            <w:vAlign w:val="center"/>
          </w:tcPr>
          <w:p w14:paraId="74DAC900">
            <w:pPr>
              <w:widowControl/>
              <w:kinsoku w:val="0"/>
              <w:autoSpaceDE w:val="0"/>
              <w:autoSpaceDN w:val="0"/>
              <w:adjustRightInd w:val="0"/>
              <w:snapToGrid w:val="0"/>
              <w:spacing w:line="360" w:lineRule="exact"/>
              <w:jc w:val="center"/>
              <w:textAlignment w:val="baseline"/>
              <w:rPr>
                <w:rFonts w:ascii="Times New Roman" w:hAnsi="Times New Roman" w:eastAsia="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0.163</w:t>
            </w:r>
            <w:r>
              <w:rPr>
                <w:rFonts w:ascii="Times New Roman" w:hAnsi="Times New Roman" w:eastAsia="Times New Roman" w:cs="Times New Roman"/>
                <w:color w:val="auto"/>
                <w:w w:val="99"/>
                <w:sz w:val="21"/>
                <w:szCs w:val="21"/>
                <w:highlight w:val="none"/>
                <w:lang w:eastAsia="en-US"/>
              </w:rPr>
              <w:t>t/a</w:t>
            </w:r>
          </w:p>
        </w:tc>
        <w:tc>
          <w:tcPr>
            <w:tcW w:w="2020" w:type="pct"/>
            <w:vMerge w:val="continue"/>
            <w:vAlign w:val="center"/>
          </w:tcPr>
          <w:p w14:paraId="085DE968">
            <w:pPr>
              <w:widowControl/>
              <w:kinsoku w:val="0"/>
              <w:autoSpaceDE w:val="0"/>
              <w:autoSpaceDN w:val="0"/>
              <w:adjustRightInd w:val="0"/>
              <w:snapToGrid w:val="0"/>
              <w:spacing w:line="360" w:lineRule="exact"/>
              <w:jc w:val="center"/>
              <w:textAlignment w:val="baseline"/>
              <w:rPr>
                <w:rFonts w:hint="eastAsia" w:ascii="Arial"/>
                <w:color w:val="auto"/>
                <w:w w:val="99"/>
                <w:sz w:val="21"/>
                <w:szCs w:val="21"/>
                <w:highlight w:val="none"/>
                <w:lang w:eastAsia="en-US"/>
              </w:rPr>
            </w:pPr>
          </w:p>
        </w:tc>
      </w:tr>
      <w:tr w14:paraId="338A0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Merge w:val="continue"/>
            <w:vAlign w:val="center"/>
          </w:tcPr>
          <w:p w14:paraId="673E9144">
            <w:pPr>
              <w:widowControl/>
              <w:kinsoku w:val="0"/>
              <w:autoSpaceDE w:val="0"/>
              <w:autoSpaceDN w:val="0"/>
              <w:adjustRightInd w:val="0"/>
              <w:snapToGrid w:val="0"/>
              <w:spacing w:line="360" w:lineRule="exact"/>
              <w:jc w:val="center"/>
              <w:textAlignment w:val="baseline"/>
              <w:rPr>
                <w:rFonts w:hint="eastAsia" w:ascii="Arial"/>
                <w:color w:val="auto"/>
                <w:w w:val="99"/>
                <w:sz w:val="21"/>
                <w:szCs w:val="21"/>
                <w:highlight w:val="none"/>
                <w:lang w:eastAsia="en-US"/>
              </w:rPr>
            </w:pPr>
          </w:p>
        </w:tc>
        <w:tc>
          <w:tcPr>
            <w:tcW w:w="663" w:type="pct"/>
            <w:vMerge w:val="continue"/>
            <w:vAlign w:val="center"/>
          </w:tcPr>
          <w:p w14:paraId="6657BA63">
            <w:pPr>
              <w:widowControl/>
              <w:kinsoku w:val="0"/>
              <w:autoSpaceDE w:val="0"/>
              <w:autoSpaceDN w:val="0"/>
              <w:adjustRightInd w:val="0"/>
              <w:snapToGrid w:val="0"/>
              <w:spacing w:line="360" w:lineRule="exact"/>
              <w:jc w:val="center"/>
              <w:textAlignment w:val="baseline"/>
              <w:rPr>
                <w:rFonts w:hint="eastAsia" w:ascii="Arial"/>
                <w:color w:val="auto"/>
                <w:w w:val="99"/>
                <w:sz w:val="21"/>
                <w:szCs w:val="21"/>
                <w:highlight w:val="none"/>
                <w:lang w:eastAsia="en-US"/>
              </w:rPr>
            </w:pPr>
          </w:p>
        </w:tc>
        <w:tc>
          <w:tcPr>
            <w:tcW w:w="943" w:type="pct"/>
            <w:vAlign w:val="center"/>
          </w:tcPr>
          <w:p w14:paraId="4E965C41">
            <w:pPr>
              <w:pStyle w:val="2857"/>
              <w:widowControl/>
              <w:kinsoku w:val="0"/>
              <w:autoSpaceDE w:val="0"/>
              <w:autoSpaceDN w:val="0"/>
              <w:adjustRightInd w:val="0"/>
              <w:snapToGrid w:val="0"/>
              <w:spacing w:line="360" w:lineRule="exact"/>
              <w:jc w:val="center"/>
              <w:textAlignment w:val="baseline"/>
              <w:rPr>
                <w:rFonts w:hint="eastAsia"/>
                <w:color w:val="auto"/>
                <w:w w:val="99"/>
                <w:sz w:val="21"/>
                <w:szCs w:val="21"/>
                <w:highlight w:val="none"/>
              </w:rPr>
            </w:pPr>
            <w:r>
              <w:rPr>
                <w:color w:val="auto"/>
                <w:w w:val="99"/>
                <w:sz w:val="21"/>
                <w:szCs w:val="21"/>
                <w:highlight w:val="none"/>
              </w:rPr>
              <w:t>颗粒物</w:t>
            </w:r>
          </w:p>
        </w:tc>
        <w:tc>
          <w:tcPr>
            <w:tcW w:w="982" w:type="pct"/>
            <w:vAlign w:val="center"/>
          </w:tcPr>
          <w:p w14:paraId="795DFFDA">
            <w:pPr>
              <w:widowControl/>
              <w:kinsoku w:val="0"/>
              <w:autoSpaceDE w:val="0"/>
              <w:autoSpaceDN w:val="0"/>
              <w:adjustRightInd w:val="0"/>
              <w:snapToGrid w:val="0"/>
              <w:spacing w:line="360" w:lineRule="exact"/>
              <w:jc w:val="center"/>
              <w:textAlignment w:val="baseline"/>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0</w:t>
            </w:r>
            <w:r>
              <w:rPr>
                <w:rFonts w:hint="eastAsia" w:ascii="Times New Roman" w:hAnsi="Times New Roman" w:cs="Times New Roman"/>
                <w:color w:val="auto"/>
                <w:w w:val="99"/>
                <w:sz w:val="21"/>
                <w:szCs w:val="21"/>
                <w:highlight w:val="none"/>
                <w:lang w:eastAsia="en-US"/>
              </w:rPr>
              <w:t>.018</w:t>
            </w:r>
            <w:r>
              <w:rPr>
                <w:rFonts w:ascii="Times New Roman" w:hAnsi="Times New Roman" w:eastAsia="Times New Roman" w:cs="Times New Roman"/>
                <w:color w:val="auto"/>
                <w:w w:val="99"/>
                <w:sz w:val="21"/>
                <w:szCs w:val="21"/>
                <w:highlight w:val="none"/>
                <w:lang w:eastAsia="en-US"/>
              </w:rPr>
              <w:t>t/a</w:t>
            </w:r>
          </w:p>
        </w:tc>
        <w:tc>
          <w:tcPr>
            <w:tcW w:w="2020" w:type="pct"/>
            <w:vMerge w:val="continue"/>
            <w:vAlign w:val="center"/>
          </w:tcPr>
          <w:p w14:paraId="262D5106">
            <w:pPr>
              <w:widowControl/>
              <w:kinsoku w:val="0"/>
              <w:autoSpaceDE w:val="0"/>
              <w:autoSpaceDN w:val="0"/>
              <w:adjustRightInd w:val="0"/>
              <w:snapToGrid w:val="0"/>
              <w:spacing w:line="360" w:lineRule="exact"/>
              <w:jc w:val="center"/>
              <w:textAlignment w:val="baseline"/>
              <w:rPr>
                <w:rFonts w:hint="eastAsia" w:ascii="Arial"/>
                <w:color w:val="auto"/>
                <w:w w:val="99"/>
                <w:sz w:val="21"/>
                <w:szCs w:val="21"/>
                <w:highlight w:val="none"/>
                <w:lang w:eastAsia="en-US"/>
              </w:rPr>
            </w:pPr>
          </w:p>
        </w:tc>
      </w:tr>
      <w:tr w14:paraId="39273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Merge w:val="restart"/>
            <w:vAlign w:val="center"/>
          </w:tcPr>
          <w:p w14:paraId="5208A2E0">
            <w:pPr>
              <w:widowControl/>
              <w:kinsoku w:val="0"/>
              <w:autoSpaceDE w:val="0"/>
              <w:autoSpaceDN w:val="0"/>
              <w:adjustRightInd w:val="0"/>
              <w:snapToGrid w:val="0"/>
              <w:spacing w:line="360" w:lineRule="exact"/>
              <w:jc w:val="center"/>
              <w:textAlignment w:val="baseline"/>
              <w:rPr>
                <w:rFonts w:hint="eastAsia" w:ascii="Arial"/>
                <w:color w:val="auto"/>
                <w:w w:val="99"/>
                <w:sz w:val="21"/>
                <w:szCs w:val="21"/>
                <w:highlight w:val="none"/>
                <w:lang w:eastAsia="en-US"/>
              </w:rPr>
            </w:pPr>
          </w:p>
          <w:p w14:paraId="305D3E79">
            <w:pPr>
              <w:pStyle w:val="2857"/>
              <w:widowControl/>
              <w:kinsoku w:val="0"/>
              <w:autoSpaceDE w:val="0"/>
              <w:autoSpaceDN w:val="0"/>
              <w:adjustRightInd w:val="0"/>
              <w:snapToGrid w:val="0"/>
              <w:spacing w:line="360" w:lineRule="exact"/>
              <w:jc w:val="center"/>
              <w:textAlignment w:val="baseline"/>
              <w:rPr>
                <w:rFonts w:hint="eastAsia"/>
                <w:color w:val="auto"/>
                <w:w w:val="99"/>
                <w:sz w:val="21"/>
                <w:szCs w:val="21"/>
                <w:highlight w:val="none"/>
              </w:rPr>
            </w:pPr>
            <w:r>
              <w:rPr>
                <w:color w:val="auto"/>
                <w:w w:val="99"/>
                <w:sz w:val="21"/>
                <w:szCs w:val="21"/>
                <w:highlight w:val="none"/>
              </w:rPr>
              <w:t>噪声</w:t>
            </w:r>
          </w:p>
        </w:tc>
        <w:tc>
          <w:tcPr>
            <w:tcW w:w="1606" w:type="pct"/>
            <w:gridSpan w:val="2"/>
            <w:vAlign w:val="center"/>
          </w:tcPr>
          <w:p w14:paraId="04326C4C">
            <w:pPr>
              <w:pStyle w:val="2857"/>
              <w:widowControl/>
              <w:kinsoku w:val="0"/>
              <w:autoSpaceDE w:val="0"/>
              <w:autoSpaceDN w:val="0"/>
              <w:adjustRightInd w:val="0"/>
              <w:snapToGrid w:val="0"/>
              <w:spacing w:line="360" w:lineRule="exact"/>
              <w:jc w:val="center"/>
              <w:textAlignment w:val="baseline"/>
              <w:rPr>
                <w:rFonts w:hint="eastAsia"/>
                <w:color w:val="auto"/>
                <w:w w:val="99"/>
                <w:sz w:val="21"/>
                <w:szCs w:val="21"/>
                <w:highlight w:val="none"/>
              </w:rPr>
            </w:pPr>
            <w:r>
              <w:rPr>
                <w:color w:val="auto"/>
                <w:w w:val="99"/>
                <w:sz w:val="21"/>
                <w:szCs w:val="21"/>
                <w:highlight w:val="none"/>
              </w:rPr>
              <w:t>井场噪声</w:t>
            </w:r>
          </w:p>
        </w:tc>
        <w:tc>
          <w:tcPr>
            <w:tcW w:w="982" w:type="pct"/>
            <w:vAlign w:val="center"/>
          </w:tcPr>
          <w:p w14:paraId="1D7145E6">
            <w:pPr>
              <w:widowControl/>
              <w:kinsoku w:val="0"/>
              <w:autoSpaceDE w:val="0"/>
              <w:autoSpaceDN w:val="0"/>
              <w:adjustRightInd w:val="0"/>
              <w:snapToGrid w:val="0"/>
              <w:spacing w:line="360" w:lineRule="exact"/>
              <w:jc w:val="center"/>
              <w:textAlignment w:val="baseline"/>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65~80</w:t>
            </w:r>
          </w:p>
        </w:tc>
        <w:tc>
          <w:tcPr>
            <w:tcW w:w="2020" w:type="pct"/>
            <w:vAlign w:val="center"/>
          </w:tcPr>
          <w:p w14:paraId="1D935B6E">
            <w:pPr>
              <w:pStyle w:val="2857"/>
              <w:widowControl/>
              <w:kinsoku w:val="0"/>
              <w:autoSpaceDE w:val="0"/>
              <w:autoSpaceDN w:val="0"/>
              <w:adjustRightInd w:val="0"/>
              <w:snapToGrid w:val="0"/>
              <w:spacing w:line="360" w:lineRule="exact"/>
              <w:jc w:val="center"/>
              <w:textAlignment w:val="baseline"/>
              <w:rPr>
                <w:rFonts w:hint="eastAsia"/>
                <w:color w:val="auto"/>
                <w:w w:val="99"/>
                <w:sz w:val="21"/>
                <w:szCs w:val="21"/>
                <w:highlight w:val="none"/>
              </w:rPr>
            </w:pPr>
            <w:r>
              <w:rPr>
                <w:color w:val="auto"/>
                <w:w w:val="99"/>
                <w:sz w:val="21"/>
                <w:szCs w:val="21"/>
                <w:highlight w:val="none"/>
              </w:rPr>
              <w:t>低噪声设备</w:t>
            </w:r>
          </w:p>
        </w:tc>
      </w:tr>
      <w:tr w14:paraId="3318E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Merge w:val="continue"/>
            <w:vAlign w:val="center"/>
          </w:tcPr>
          <w:p w14:paraId="30F7E758">
            <w:pPr>
              <w:widowControl/>
              <w:kinsoku w:val="0"/>
              <w:autoSpaceDE w:val="0"/>
              <w:autoSpaceDN w:val="0"/>
              <w:adjustRightInd w:val="0"/>
              <w:snapToGrid w:val="0"/>
              <w:spacing w:line="360" w:lineRule="exact"/>
              <w:jc w:val="center"/>
              <w:textAlignment w:val="baseline"/>
              <w:rPr>
                <w:rFonts w:hint="eastAsia" w:ascii="Arial"/>
                <w:color w:val="auto"/>
                <w:w w:val="99"/>
                <w:sz w:val="21"/>
                <w:szCs w:val="21"/>
                <w:highlight w:val="none"/>
                <w:lang w:eastAsia="en-US"/>
              </w:rPr>
            </w:pPr>
          </w:p>
        </w:tc>
        <w:tc>
          <w:tcPr>
            <w:tcW w:w="1606" w:type="pct"/>
            <w:gridSpan w:val="2"/>
            <w:vAlign w:val="center"/>
          </w:tcPr>
          <w:p w14:paraId="3172ECB7">
            <w:pPr>
              <w:pStyle w:val="2857"/>
              <w:widowControl/>
              <w:kinsoku w:val="0"/>
              <w:autoSpaceDE w:val="0"/>
              <w:autoSpaceDN w:val="0"/>
              <w:adjustRightInd w:val="0"/>
              <w:snapToGrid w:val="0"/>
              <w:spacing w:line="360" w:lineRule="exact"/>
              <w:jc w:val="center"/>
              <w:textAlignment w:val="baseline"/>
              <w:rPr>
                <w:rFonts w:hint="eastAsia"/>
                <w:color w:val="auto"/>
                <w:w w:val="99"/>
                <w:sz w:val="21"/>
                <w:szCs w:val="21"/>
                <w:highlight w:val="none"/>
                <w:lang w:eastAsia="zh-CN"/>
              </w:rPr>
            </w:pPr>
            <w:r>
              <w:rPr>
                <w:color w:val="auto"/>
                <w:w w:val="99"/>
                <w:sz w:val="21"/>
                <w:szCs w:val="21"/>
                <w:highlight w:val="none"/>
                <w:lang w:eastAsia="zh-CN"/>
              </w:rPr>
              <w:t>集气站内设备、机泵运行噪声</w:t>
            </w:r>
          </w:p>
        </w:tc>
        <w:tc>
          <w:tcPr>
            <w:tcW w:w="982" w:type="pct"/>
            <w:vAlign w:val="center"/>
          </w:tcPr>
          <w:p w14:paraId="20F008D7">
            <w:pPr>
              <w:widowControl/>
              <w:kinsoku w:val="0"/>
              <w:autoSpaceDE w:val="0"/>
              <w:autoSpaceDN w:val="0"/>
              <w:adjustRightInd w:val="0"/>
              <w:snapToGrid w:val="0"/>
              <w:spacing w:line="360" w:lineRule="exact"/>
              <w:jc w:val="center"/>
              <w:textAlignment w:val="baseline"/>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75~95</w:t>
            </w:r>
          </w:p>
        </w:tc>
        <w:tc>
          <w:tcPr>
            <w:tcW w:w="2020" w:type="pct"/>
            <w:vAlign w:val="center"/>
          </w:tcPr>
          <w:p w14:paraId="338FEA36">
            <w:pPr>
              <w:pStyle w:val="2857"/>
              <w:widowControl/>
              <w:kinsoku w:val="0"/>
              <w:autoSpaceDE w:val="0"/>
              <w:autoSpaceDN w:val="0"/>
              <w:adjustRightInd w:val="0"/>
              <w:snapToGrid w:val="0"/>
              <w:spacing w:line="360" w:lineRule="exact"/>
              <w:jc w:val="center"/>
              <w:textAlignment w:val="baseline"/>
              <w:rPr>
                <w:rFonts w:hint="eastAsia"/>
                <w:color w:val="auto"/>
                <w:w w:val="99"/>
                <w:sz w:val="21"/>
                <w:szCs w:val="21"/>
                <w:highlight w:val="none"/>
                <w:lang w:eastAsia="zh-CN"/>
              </w:rPr>
            </w:pPr>
            <w:r>
              <w:rPr>
                <w:color w:val="auto"/>
                <w:w w:val="99"/>
                <w:sz w:val="21"/>
                <w:szCs w:val="21"/>
                <w:highlight w:val="none"/>
                <w:lang w:eastAsia="zh-CN"/>
              </w:rPr>
              <w:t>低噪声设备、机泵等设备安装减震基础等</w:t>
            </w:r>
          </w:p>
        </w:tc>
      </w:tr>
      <w:tr w14:paraId="6BAE5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4" w:hRule="atLeast"/>
        </w:trPr>
        <w:tc>
          <w:tcPr>
            <w:tcW w:w="390" w:type="pct"/>
            <w:vMerge w:val="continue"/>
            <w:vAlign w:val="center"/>
          </w:tcPr>
          <w:p w14:paraId="5D3298D7">
            <w:pPr>
              <w:widowControl/>
              <w:kinsoku w:val="0"/>
              <w:autoSpaceDE w:val="0"/>
              <w:autoSpaceDN w:val="0"/>
              <w:adjustRightInd w:val="0"/>
              <w:snapToGrid w:val="0"/>
              <w:spacing w:line="360" w:lineRule="exact"/>
              <w:jc w:val="center"/>
              <w:textAlignment w:val="baseline"/>
              <w:rPr>
                <w:rFonts w:hint="eastAsia" w:ascii="Arial"/>
                <w:color w:val="auto"/>
                <w:w w:val="99"/>
                <w:sz w:val="21"/>
                <w:szCs w:val="21"/>
                <w:highlight w:val="none"/>
                <w:lang w:eastAsia="en-US"/>
              </w:rPr>
            </w:pPr>
          </w:p>
        </w:tc>
        <w:tc>
          <w:tcPr>
            <w:tcW w:w="1606" w:type="pct"/>
            <w:gridSpan w:val="2"/>
            <w:vAlign w:val="center"/>
          </w:tcPr>
          <w:p w14:paraId="791E62BE">
            <w:pPr>
              <w:pStyle w:val="2857"/>
              <w:widowControl/>
              <w:kinsoku w:val="0"/>
              <w:autoSpaceDE w:val="0"/>
              <w:autoSpaceDN w:val="0"/>
              <w:adjustRightInd w:val="0"/>
              <w:snapToGrid w:val="0"/>
              <w:spacing w:line="360" w:lineRule="exact"/>
              <w:jc w:val="center"/>
              <w:textAlignment w:val="baseline"/>
              <w:rPr>
                <w:rFonts w:hint="eastAsia"/>
                <w:color w:val="auto"/>
                <w:w w:val="99"/>
                <w:sz w:val="21"/>
                <w:szCs w:val="21"/>
                <w:highlight w:val="none"/>
              </w:rPr>
            </w:pPr>
            <w:r>
              <w:rPr>
                <w:color w:val="auto"/>
                <w:w w:val="99"/>
                <w:sz w:val="21"/>
                <w:szCs w:val="21"/>
                <w:highlight w:val="none"/>
              </w:rPr>
              <w:t>井场放空噪声</w:t>
            </w:r>
          </w:p>
        </w:tc>
        <w:tc>
          <w:tcPr>
            <w:tcW w:w="982" w:type="pct"/>
            <w:vAlign w:val="center"/>
          </w:tcPr>
          <w:p w14:paraId="1DBF0FC8">
            <w:pPr>
              <w:pStyle w:val="2857"/>
              <w:widowControl/>
              <w:kinsoku w:val="0"/>
              <w:autoSpaceDE w:val="0"/>
              <w:autoSpaceDN w:val="0"/>
              <w:adjustRightInd w:val="0"/>
              <w:snapToGrid w:val="0"/>
              <w:spacing w:line="360" w:lineRule="exact"/>
              <w:jc w:val="center"/>
              <w:textAlignment w:val="baseline"/>
              <w:rPr>
                <w:rFonts w:ascii="Times New Roman" w:hAnsi="Times New Roman" w:eastAsia="Times New Roman" w:cs="Times New Roman"/>
                <w:color w:val="auto"/>
                <w:w w:val="99"/>
                <w:sz w:val="21"/>
                <w:szCs w:val="21"/>
                <w:highlight w:val="none"/>
              </w:rPr>
            </w:pPr>
            <w:r>
              <w:rPr>
                <w:rFonts w:ascii="Times New Roman" w:hAnsi="Times New Roman" w:eastAsia="Times New Roman" w:cs="Times New Roman"/>
                <w:color w:val="auto"/>
                <w:w w:val="99"/>
                <w:sz w:val="21"/>
                <w:szCs w:val="21"/>
                <w:highlight w:val="none"/>
              </w:rPr>
              <w:t>90</w:t>
            </w:r>
            <w:r>
              <w:rPr>
                <w:color w:val="auto"/>
                <w:w w:val="99"/>
                <w:sz w:val="21"/>
                <w:szCs w:val="21"/>
                <w:highlight w:val="none"/>
              </w:rPr>
              <w:t>～</w:t>
            </w:r>
            <w:r>
              <w:rPr>
                <w:rFonts w:ascii="Times New Roman" w:hAnsi="Times New Roman" w:eastAsia="Times New Roman" w:cs="Times New Roman"/>
                <w:color w:val="auto"/>
                <w:w w:val="99"/>
                <w:sz w:val="21"/>
                <w:szCs w:val="21"/>
                <w:highlight w:val="none"/>
              </w:rPr>
              <w:t>105</w:t>
            </w:r>
          </w:p>
        </w:tc>
        <w:tc>
          <w:tcPr>
            <w:tcW w:w="2020" w:type="pct"/>
            <w:vAlign w:val="center"/>
          </w:tcPr>
          <w:p w14:paraId="45CD2FC4">
            <w:pPr>
              <w:widowControl/>
              <w:kinsoku w:val="0"/>
              <w:autoSpaceDE w:val="0"/>
              <w:autoSpaceDN w:val="0"/>
              <w:adjustRightInd w:val="0"/>
              <w:snapToGrid w:val="0"/>
              <w:spacing w:line="360" w:lineRule="exact"/>
              <w:jc w:val="center"/>
              <w:textAlignment w:val="baseline"/>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w:t>
            </w:r>
          </w:p>
        </w:tc>
      </w:tr>
      <w:tr w14:paraId="2A1BA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Merge w:val="restart"/>
            <w:vAlign w:val="center"/>
          </w:tcPr>
          <w:p w14:paraId="194BEC4D">
            <w:pPr>
              <w:pStyle w:val="2857"/>
              <w:widowControl/>
              <w:kinsoku w:val="0"/>
              <w:autoSpaceDE w:val="0"/>
              <w:autoSpaceDN w:val="0"/>
              <w:adjustRightInd w:val="0"/>
              <w:snapToGrid w:val="0"/>
              <w:spacing w:line="360" w:lineRule="exact"/>
              <w:ind w:firstLine="19"/>
              <w:jc w:val="center"/>
              <w:textAlignment w:val="baseline"/>
              <w:rPr>
                <w:rFonts w:hint="eastAsia"/>
                <w:color w:val="auto"/>
                <w:w w:val="99"/>
                <w:sz w:val="21"/>
                <w:szCs w:val="21"/>
                <w:highlight w:val="none"/>
              </w:rPr>
            </w:pPr>
            <w:r>
              <w:rPr>
                <w:color w:val="auto"/>
                <w:w w:val="99"/>
                <w:sz w:val="21"/>
                <w:szCs w:val="21"/>
                <w:highlight w:val="none"/>
              </w:rPr>
              <w:t>固体废物</w:t>
            </w:r>
          </w:p>
        </w:tc>
        <w:tc>
          <w:tcPr>
            <w:tcW w:w="1606" w:type="pct"/>
            <w:gridSpan w:val="2"/>
            <w:vAlign w:val="center"/>
          </w:tcPr>
          <w:p w14:paraId="10B4F45B">
            <w:pPr>
              <w:pStyle w:val="2857"/>
              <w:widowControl/>
              <w:kinsoku w:val="0"/>
              <w:autoSpaceDE w:val="0"/>
              <w:autoSpaceDN w:val="0"/>
              <w:adjustRightInd w:val="0"/>
              <w:snapToGrid w:val="0"/>
              <w:spacing w:line="360" w:lineRule="exact"/>
              <w:jc w:val="center"/>
              <w:textAlignment w:val="baseline"/>
              <w:rPr>
                <w:rFonts w:hint="eastAsia"/>
                <w:color w:val="auto"/>
                <w:w w:val="99"/>
                <w:sz w:val="21"/>
                <w:szCs w:val="21"/>
                <w:highlight w:val="none"/>
              </w:rPr>
            </w:pPr>
            <w:r>
              <w:rPr>
                <w:color w:val="auto"/>
                <w:w w:val="99"/>
                <w:sz w:val="21"/>
                <w:szCs w:val="21"/>
                <w:highlight w:val="none"/>
              </w:rPr>
              <w:t>井口砂粒</w:t>
            </w:r>
          </w:p>
        </w:tc>
        <w:tc>
          <w:tcPr>
            <w:tcW w:w="982" w:type="pct"/>
            <w:vAlign w:val="center"/>
          </w:tcPr>
          <w:p w14:paraId="090F0B3F">
            <w:pPr>
              <w:widowControl/>
              <w:kinsoku w:val="0"/>
              <w:autoSpaceDE w:val="0"/>
              <w:autoSpaceDN w:val="0"/>
              <w:adjustRightInd w:val="0"/>
              <w:snapToGrid w:val="0"/>
              <w:spacing w:line="360" w:lineRule="exact"/>
              <w:jc w:val="center"/>
              <w:textAlignment w:val="baseline"/>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0.0</w:t>
            </w:r>
            <w:r>
              <w:rPr>
                <w:rFonts w:hint="eastAsia" w:ascii="Times New Roman" w:hAnsi="Times New Roman" w:cs="Times New Roman"/>
                <w:color w:val="auto"/>
                <w:w w:val="99"/>
                <w:sz w:val="21"/>
                <w:szCs w:val="21"/>
                <w:highlight w:val="none"/>
                <w:lang w:eastAsia="en-US"/>
              </w:rPr>
              <w:t>03</w:t>
            </w:r>
            <w:r>
              <w:rPr>
                <w:rFonts w:ascii="Times New Roman" w:hAnsi="Times New Roman" w:eastAsia="Times New Roman" w:cs="Times New Roman"/>
                <w:color w:val="auto"/>
                <w:w w:val="99"/>
                <w:sz w:val="21"/>
                <w:szCs w:val="21"/>
                <w:highlight w:val="none"/>
                <w:lang w:eastAsia="en-US"/>
              </w:rPr>
              <w:t>t/a</w:t>
            </w:r>
          </w:p>
        </w:tc>
        <w:tc>
          <w:tcPr>
            <w:tcW w:w="2020" w:type="pct"/>
            <w:vAlign w:val="center"/>
          </w:tcPr>
          <w:p w14:paraId="212F2E9B">
            <w:pPr>
              <w:pStyle w:val="2857"/>
              <w:widowControl/>
              <w:kinsoku w:val="0"/>
              <w:autoSpaceDE w:val="0"/>
              <w:autoSpaceDN w:val="0"/>
              <w:adjustRightInd w:val="0"/>
              <w:snapToGrid w:val="0"/>
              <w:spacing w:line="360" w:lineRule="exact"/>
              <w:jc w:val="center"/>
              <w:textAlignment w:val="baseline"/>
              <w:rPr>
                <w:rFonts w:hint="eastAsia"/>
                <w:color w:val="auto"/>
                <w:w w:val="99"/>
                <w:sz w:val="21"/>
                <w:szCs w:val="21"/>
                <w:highlight w:val="none"/>
                <w:lang w:eastAsia="zh-CN"/>
              </w:rPr>
            </w:pPr>
            <w:r>
              <w:rPr>
                <w:color w:val="auto"/>
                <w:w w:val="99"/>
                <w:sz w:val="21"/>
                <w:szCs w:val="21"/>
                <w:highlight w:val="none"/>
                <w:lang w:eastAsia="zh-CN"/>
              </w:rPr>
              <w:t>在井场产生后装入加盖钢制桶中，由检维修队送采气分公司危险废物储存库内，定期委托有危废处置资质的单位处置。</w:t>
            </w:r>
          </w:p>
        </w:tc>
      </w:tr>
      <w:tr w14:paraId="515A6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Merge w:val="continue"/>
            <w:vAlign w:val="center"/>
          </w:tcPr>
          <w:p w14:paraId="0198057F">
            <w:pPr>
              <w:widowControl/>
              <w:kinsoku w:val="0"/>
              <w:autoSpaceDE w:val="0"/>
              <w:autoSpaceDN w:val="0"/>
              <w:adjustRightInd w:val="0"/>
              <w:snapToGrid w:val="0"/>
              <w:spacing w:line="360" w:lineRule="exact"/>
              <w:jc w:val="center"/>
              <w:textAlignment w:val="baseline"/>
              <w:rPr>
                <w:rFonts w:hint="eastAsia" w:ascii="Arial"/>
                <w:color w:val="auto"/>
                <w:w w:val="99"/>
                <w:sz w:val="21"/>
                <w:szCs w:val="21"/>
                <w:highlight w:val="none"/>
                <w:lang w:eastAsia="en-US"/>
              </w:rPr>
            </w:pPr>
          </w:p>
        </w:tc>
        <w:tc>
          <w:tcPr>
            <w:tcW w:w="1606" w:type="pct"/>
            <w:gridSpan w:val="2"/>
            <w:vAlign w:val="center"/>
          </w:tcPr>
          <w:p w14:paraId="401792D5">
            <w:pPr>
              <w:pStyle w:val="2857"/>
              <w:widowControl/>
              <w:kinsoku w:val="0"/>
              <w:autoSpaceDE w:val="0"/>
              <w:autoSpaceDN w:val="0"/>
              <w:adjustRightInd w:val="0"/>
              <w:snapToGrid w:val="0"/>
              <w:spacing w:line="360" w:lineRule="exact"/>
              <w:jc w:val="center"/>
              <w:textAlignment w:val="baseline"/>
              <w:rPr>
                <w:rFonts w:hint="eastAsia"/>
                <w:color w:val="auto"/>
                <w:w w:val="99"/>
                <w:sz w:val="21"/>
                <w:szCs w:val="21"/>
                <w:highlight w:val="none"/>
              </w:rPr>
            </w:pPr>
            <w:r>
              <w:rPr>
                <w:color w:val="auto"/>
                <w:w w:val="99"/>
                <w:sz w:val="21"/>
                <w:szCs w:val="21"/>
                <w:highlight w:val="none"/>
              </w:rPr>
              <w:t>废活性炭</w:t>
            </w:r>
          </w:p>
        </w:tc>
        <w:tc>
          <w:tcPr>
            <w:tcW w:w="982" w:type="pct"/>
            <w:vAlign w:val="center"/>
          </w:tcPr>
          <w:p w14:paraId="6368C9F9">
            <w:pPr>
              <w:widowControl/>
              <w:kinsoku w:val="0"/>
              <w:autoSpaceDE w:val="0"/>
              <w:autoSpaceDN w:val="0"/>
              <w:adjustRightInd w:val="0"/>
              <w:snapToGrid w:val="0"/>
              <w:spacing w:line="360" w:lineRule="exact"/>
              <w:jc w:val="center"/>
              <w:textAlignment w:val="baseline"/>
              <w:rPr>
                <w:rFonts w:ascii="Times New Roman" w:hAnsi="Times New Roman" w:eastAsia="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1</w:t>
            </w:r>
            <w:r>
              <w:rPr>
                <w:rFonts w:ascii="Times New Roman" w:hAnsi="Times New Roman" w:eastAsia="Times New Roman" w:cs="Times New Roman"/>
                <w:color w:val="auto"/>
                <w:w w:val="99"/>
                <w:sz w:val="21"/>
                <w:szCs w:val="21"/>
                <w:highlight w:val="none"/>
                <w:lang w:eastAsia="en-US"/>
              </w:rPr>
              <w:t>.4t/a</w:t>
            </w:r>
          </w:p>
        </w:tc>
        <w:tc>
          <w:tcPr>
            <w:tcW w:w="2020" w:type="pct"/>
            <w:vAlign w:val="center"/>
          </w:tcPr>
          <w:p w14:paraId="46193D88">
            <w:pPr>
              <w:pStyle w:val="2857"/>
              <w:widowControl/>
              <w:kinsoku w:val="0"/>
              <w:autoSpaceDE w:val="0"/>
              <w:autoSpaceDN w:val="0"/>
              <w:adjustRightInd w:val="0"/>
              <w:snapToGrid w:val="0"/>
              <w:spacing w:line="360" w:lineRule="exact"/>
              <w:jc w:val="center"/>
              <w:textAlignment w:val="baseline"/>
              <w:rPr>
                <w:rFonts w:hint="eastAsia"/>
                <w:color w:val="auto"/>
                <w:w w:val="99"/>
                <w:sz w:val="21"/>
                <w:szCs w:val="21"/>
                <w:highlight w:val="none"/>
                <w:lang w:eastAsia="zh-CN"/>
              </w:rPr>
            </w:pPr>
            <w:r>
              <w:rPr>
                <w:color w:val="auto"/>
                <w:w w:val="99"/>
                <w:sz w:val="21"/>
                <w:szCs w:val="21"/>
                <w:highlight w:val="none"/>
                <w:lang w:eastAsia="zh-CN"/>
              </w:rPr>
              <w:t>暂存采气分公司危险废物储存库，定期委托有危废处置资质的单位处置。</w:t>
            </w:r>
          </w:p>
        </w:tc>
      </w:tr>
      <w:tr w14:paraId="76990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Merge w:val="continue"/>
            <w:vAlign w:val="center"/>
          </w:tcPr>
          <w:p w14:paraId="157C62C6">
            <w:pPr>
              <w:widowControl/>
              <w:kinsoku w:val="0"/>
              <w:autoSpaceDE w:val="0"/>
              <w:autoSpaceDN w:val="0"/>
              <w:adjustRightInd w:val="0"/>
              <w:snapToGrid w:val="0"/>
              <w:spacing w:line="360" w:lineRule="exact"/>
              <w:jc w:val="center"/>
              <w:textAlignment w:val="baseline"/>
              <w:rPr>
                <w:rFonts w:hint="eastAsia" w:ascii="Arial"/>
                <w:color w:val="auto"/>
                <w:w w:val="99"/>
                <w:sz w:val="21"/>
                <w:szCs w:val="21"/>
                <w:highlight w:val="none"/>
                <w:lang w:eastAsia="en-US"/>
              </w:rPr>
            </w:pPr>
          </w:p>
        </w:tc>
        <w:tc>
          <w:tcPr>
            <w:tcW w:w="1606" w:type="pct"/>
            <w:gridSpan w:val="2"/>
            <w:vAlign w:val="center"/>
          </w:tcPr>
          <w:p w14:paraId="5FE60E9C">
            <w:pPr>
              <w:pStyle w:val="2857"/>
              <w:widowControl/>
              <w:kinsoku w:val="0"/>
              <w:autoSpaceDE w:val="0"/>
              <w:autoSpaceDN w:val="0"/>
              <w:adjustRightInd w:val="0"/>
              <w:snapToGrid w:val="0"/>
              <w:spacing w:line="360" w:lineRule="exact"/>
              <w:jc w:val="center"/>
              <w:textAlignment w:val="baseline"/>
              <w:rPr>
                <w:rFonts w:hint="eastAsia"/>
                <w:color w:val="auto"/>
                <w:w w:val="99"/>
                <w:sz w:val="21"/>
                <w:szCs w:val="21"/>
                <w:highlight w:val="none"/>
              </w:rPr>
            </w:pPr>
            <w:r>
              <w:rPr>
                <w:color w:val="auto"/>
                <w:w w:val="99"/>
                <w:sz w:val="21"/>
                <w:szCs w:val="21"/>
                <w:highlight w:val="none"/>
              </w:rPr>
              <w:t>废三甘醇</w:t>
            </w:r>
          </w:p>
        </w:tc>
        <w:tc>
          <w:tcPr>
            <w:tcW w:w="982" w:type="pct"/>
            <w:vAlign w:val="center"/>
          </w:tcPr>
          <w:p w14:paraId="17CB57DB">
            <w:pPr>
              <w:widowControl/>
              <w:kinsoku w:val="0"/>
              <w:autoSpaceDE w:val="0"/>
              <w:autoSpaceDN w:val="0"/>
              <w:adjustRightInd w:val="0"/>
              <w:snapToGrid w:val="0"/>
              <w:spacing w:line="360" w:lineRule="exact"/>
              <w:jc w:val="center"/>
              <w:textAlignment w:val="baseline"/>
              <w:rPr>
                <w:rFonts w:ascii="Times New Roman" w:hAnsi="Times New Roman" w:eastAsia="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70</w:t>
            </w:r>
            <w:r>
              <w:rPr>
                <w:rFonts w:ascii="Times New Roman" w:hAnsi="Times New Roman" w:eastAsia="Times New Roman" w:cs="Times New Roman"/>
                <w:color w:val="auto"/>
                <w:w w:val="99"/>
                <w:sz w:val="21"/>
                <w:szCs w:val="21"/>
                <w:highlight w:val="none"/>
                <w:lang w:eastAsia="en-US"/>
              </w:rPr>
              <w:t>t/a</w:t>
            </w:r>
          </w:p>
        </w:tc>
        <w:tc>
          <w:tcPr>
            <w:tcW w:w="2020" w:type="pct"/>
            <w:vAlign w:val="center"/>
          </w:tcPr>
          <w:p w14:paraId="6EF63696">
            <w:pPr>
              <w:pStyle w:val="2857"/>
              <w:widowControl/>
              <w:kinsoku w:val="0"/>
              <w:autoSpaceDE w:val="0"/>
              <w:autoSpaceDN w:val="0"/>
              <w:adjustRightInd w:val="0"/>
              <w:snapToGrid w:val="0"/>
              <w:spacing w:line="360" w:lineRule="exact"/>
              <w:jc w:val="center"/>
              <w:textAlignment w:val="baseline"/>
              <w:rPr>
                <w:rFonts w:hint="eastAsia"/>
                <w:color w:val="auto"/>
                <w:w w:val="99"/>
                <w:sz w:val="21"/>
                <w:szCs w:val="21"/>
                <w:highlight w:val="none"/>
              </w:rPr>
            </w:pPr>
            <w:r>
              <w:rPr>
                <w:color w:val="auto"/>
                <w:w w:val="99"/>
                <w:sz w:val="21"/>
                <w:szCs w:val="21"/>
                <w:highlight w:val="none"/>
              </w:rPr>
              <w:t>委托相关单位处理。</w:t>
            </w:r>
          </w:p>
        </w:tc>
      </w:tr>
    </w:tbl>
    <w:p w14:paraId="673BDA1A">
      <w:pPr>
        <w:pStyle w:val="7"/>
        <w:widowControl w:val="0"/>
        <w:spacing w:before="60" w:after="60" w:line="440" w:lineRule="exact"/>
        <w:jc w:val="both"/>
        <w:rPr>
          <w:rFonts w:eastAsiaTheme="minorEastAsia"/>
          <w:b/>
          <w:color w:val="auto"/>
          <w:w w:val="99"/>
          <w:kern w:val="2"/>
          <w:sz w:val="24"/>
          <w:szCs w:val="24"/>
          <w:highlight w:val="none"/>
        </w:rPr>
      </w:pPr>
      <w:r>
        <w:rPr>
          <w:rFonts w:eastAsiaTheme="minorEastAsia"/>
          <w:b/>
          <w:color w:val="auto"/>
          <w:w w:val="99"/>
          <w:kern w:val="2"/>
          <w:sz w:val="24"/>
          <w:szCs w:val="24"/>
          <w:highlight w:val="none"/>
        </w:rPr>
        <w:t>3.1.</w:t>
      </w:r>
      <w:r>
        <w:rPr>
          <w:rFonts w:hint="eastAsia" w:eastAsiaTheme="minorEastAsia"/>
          <w:b/>
          <w:color w:val="auto"/>
          <w:w w:val="99"/>
          <w:kern w:val="2"/>
          <w:sz w:val="24"/>
          <w:szCs w:val="24"/>
          <w:highlight w:val="none"/>
        </w:rPr>
        <w:t>6</w:t>
      </w:r>
      <w:r>
        <w:rPr>
          <w:rFonts w:eastAsiaTheme="minorEastAsia"/>
          <w:b/>
          <w:color w:val="auto"/>
          <w:w w:val="99"/>
          <w:kern w:val="2"/>
          <w:sz w:val="24"/>
          <w:szCs w:val="24"/>
          <w:highlight w:val="none"/>
        </w:rPr>
        <w:t>现有工程存在的环境问题</w:t>
      </w:r>
      <w:bookmarkEnd w:id="415"/>
      <w:bookmarkEnd w:id="416"/>
      <w:bookmarkEnd w:id="417"/>
      <w:bookmarkEnd w:id="418"/>
      <w:bookmarkEnd w:id="419"/>
      <w:bookmarkEnd w:id="420"/>
      <w:bookmarkEnd w:id="421"/>
      <w:bookmarkEnd w:id="422"/>
    </w:p>
    <w:p w14:paraId="7E2B10C0">
      <w:pPr>
        <w:widowControl w:val="0"/>
        <w:spacing w:line="440" w:lineRule="exact"/>
        <w:ind w:firstLine="474" w:firstLineChars="200"/>
        <w:jc w:val="both"/>
        <w:rPr>
          <w:rFonts w:ascii="Times New Roman" w:hAnsi="Times New Roman" w:cs="Times New Roman"/>
          <w:bCs/>
          <w:color w:val="auto"/>
          <w:w w:val="99"/>
          <w:kern w:val="2"/>
          <w:szCs w:val="20"/>
          <w:highlight w:val="none"/>
        </w:rPr>
      </w:pPr>
      <w:r>
        <w:rPr>
          <w:rFonts w:ascii="Times New Roman" w:hAnsi="Times New Roman" w:cs="Times New Roman"/>
          <w:bCs/>
          <w:color w:val="auto"/>
          <w:w w:val="99"/>
          <w:kern w:val="2"/>
          <w:szCs w:val="20"/>
          <w:highlight w:val="none"/>
        </w:rPr>
        <w:t>根据调查可知，现有区块运行至今内无投诉、督查及检查情况。本工程区域内已建井的井场永久性占地面积符合要求，井场地面均进行了平整。站场环境清洁，地面未发现污油，站内道路两侧和厂区院墙内外均已绿化，生态恢复较好。井场永久性占地面积符合设计要求，井场地面均进行了平整，在临时性占地范围内，地表基本进行了平整，并已完成了生态恢复。</w:t>
      </w:r>
    </w:p>
    <w:p w14:paraId="552E98E0">
      <w:pPr>
        <w:pStyle w:val="3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现有区域内生态环境主要为耕地、草地等。区块内现有工程排放的污染物主要包括废气（无组织挥发的非甲烷总烃、集气站加热炉烟气）、噪声（井场设备噪声、集气站设备、机泵噪声、井场放空噪声）、固体废物（井口砂粒、废活性炭、废三甘醇）等。</w:t>
      </w:r>
    </w:p>
    <w:p w14:paraId="77AB9E6A">
      <w:pPr>
        <w:pStyle w:val="3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现有区块内井场输气均采取密闭集输工艺，可以有效控制非甲烷总烃逸散，区块内井场无组织排放的非甲烷总烃满足《陆上石油天然气开采工业大气污染物排放标准》（GB39728-2020）中5.9企业边界污染物控制要求限值的要求；现有区块在开发建设过程中，尽可能地选用了低噪声设备，噪声对外界影响较小。大庆油田有限责任公司采气分公司已按照要求取得排污许可证。</w:t>
      </w:r>
      <w:r>
        <w:rPr>
          <w:rFonts w:hint="eastAsia" w:ascii="Times New Roman" w:hAnsi="Times New Roman"/>
          <w:color w:val="auto"/>
          <w:w w:val="99"/>
          <w:szCs w:val="24"/>
          <w:highlight w:val="none"/>
        </w:rPr>
        <w:t>集气站三甘醇脱水装置内设置活性炭过滤器，活性炭属于危险废物“HW49其他废物”中的“900-041-49含有或沾染毒性、感染性危险废物的废弃包装物、容器、过滤吸附介质”。暂存采气分公司危险废物贮存库，定期委托有危废处置资质的单位处置。</w:t>
      </w:r>
      <w:r>
        <w:rPr>
          <w:rFonts w:ascii="Times New Roman" w:hAnsi="Times New Roman"/>
          <w:bCs/>
          <w:color w:val="auto"/>
          <w:w w:val="99"/>
          <w:szCs w:val="20"/>
          <w:highlight w:val="none"/>
        </w:rPr>
        <w:t>因此，各井场及场站废气、噪声等均达标排放，废水、固废均得到妥善处置，各项污染防治措施完备，运行良好。</w:t>
      </w:r>
    </w:p>
    <w:p w14:paraId="0DE94EEF">
      <w:pPr>
        <w:pStyle w:val="3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根据本次对已建</w:t>
      </w:r>
      <w:r>
        <w:rPr>
          <w:rFonts w:hint="eastAsia" w:ascii="Times New Roman" w:hAnsi="Times New Roman"/>
          <w:bCs/>
          <w:color w:val="auto"/>
          <w:w w:val="99"/>
          <w:szCs w:val="20"/>
          <w:highlight w:val="none"/>
        </w:rPr>
        <w:t>徐深27井场</w:t>
      </w:r>
      <w:r>
        <w:rPr>
          <w:rFonts w:ascii="Times New Roman" w:hAnsi="Times New Roman"/>
          <w:bCs/>
          <w:color w:val="auto"/>
          <w:w w:val="99"/>
          <w:szCs w:val="20"/>
          <w:highlight w:val="none"/>
        </w:rPr>
        <w:t>用地范围内土壤监测结果，各项污染物含量均不超过《土壤环境质量建设用地土壤污染风险管控标准（试行）》（GB36600-2018）中筛选值，与占地范围外监测结果数值相差不大，说明气田开发对土壤环境影响较小。</w:t>
      </w:r>
    </w:p>
    <w:p w14:paraId="4A85D534">
      <w:pPr>
        <w:pStyle w:val="3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根据现场调查，本项目所在区域内生态环境主要为农田生态系统、草地生态系统，为传统的气田开发区域；为保护区域生态环境，大庆油田有限责任公司采气分公司在进行气田开发活动时采取了一系列的生态保护措施，例如严格控制井场的临时及永久占地，井场钻井施工结束后及时的进行了土地复垦等生态恢复措施</w:t>
      </w:r>
      <w:r>
        <w:rPr>
          <w:rFonts w:hint="eastAsia" w:ascii="Times New Roman" w:hAnsi="Times New Roman"/>
          <w:bCs/>
          <w:color w:val="auto"/>
          <w:w w:val="99"/>
          <w:szCs w:val="20"/>
          <w:highlight w:val="none"/>
          <w:lang w:eastAsia="zh-CN"/>
        </w:rPr>
        <w:t>，</w:t>
      </w:r>
      <w:r>
        <w:rPr>
          <w:rFonts w:ascii="Times New Roman" w:hAnsi="Times New Roman"/>
          <w:bCs/>
          <w:color w:val="auto"/>
          <w:w w:val="99"/>
          <w:szCs w:val="20"/>
          <w:highlight w:val="none"/>
        </w:rPr>
        <w:t>最大力度降低了油田开发对区域耕地及草地生态系统的影响。并严格控制了该区域</w:t>
      </w:r>
      <w:r>
        <w:rPr>
          <w:rFonts w:hint="eastAsia" w:ascii="Times New Roman" w:hAnsi="Times New Roman"/>
          <w:bCs/>
          <w:color w:val="auto"/>
          <w:w w:val="99"/>
          <w:szCs w:val="20"/>
          <w:highlight w:val="none"/>
          <w:lang w:val="en-US" w:eastAsia="zh-CN"/>
        </w:rPr>
        <w:t>气</w:t>
      </w:r>
      <w:r>
        <w:rPr>
          <w:rFonts w:ascii="Times New Roman" w:hAnsi="Times New Roman"/>
          <w:bCs/>
          <w:color w:val="auto"/>
          <w:w w:val="99"/>
          <w:szCs w:val="20"/>
          <w:highlight w:val="none"/>
        </w:rPr>
        <w:t>田作业范围，严格运行期管理，减小了对区域生态系统的扰动，保证了不因</w:t>
      </w:r>
      <w:r>
        <w:rPr>
          <w:rFonts w:hint="eastAsia" w:ascii="Times New Roman" w:hAnsi="Times New Roman"/>
          <w:bCs/>
          <w:color w:val="auto"/>
          <w:w w:val="99"/>
          <w:szCs w:val="20"/>
          <w:highlight w:val="none"/>
          <w:lang w:val="en-US" w:eastAsia="zh-CN"/>
        </w:rPr>
        <w:t>气</w:t>
      </w:r>
      <w:r>
        <w:rPr>
          <w:rFonts w:ascii="Times New Roman" w:hAnsi="Times New Roman"/>
          <w:bCs/>
          <w:color w:val="auto"/>
          <w:w w:val="99"/>
          <w:szCs w:val="20"/>
          <w:highlight w:val="none"/>
        </w:rPr>
        <w:t>田开发活动加重生态系统的退化、沙化、盐碱化等；通过采取了这一系列的生态保护措施后，井场周边环境恢复较好，施工过程临时占地损坏的植被现已恢复，气田的开发对区域生态系统没有造成明显影响。现有工程投产至今未发生环境污染和信访事件。</w:t>
      </w:r>
    </w:p>
    <w:p w14:paraId="0B511671">
      <w:pPr>
        <w:pStyle w:val="3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根据以上分析及现场勘查，现有区块内未发现环境问题。</w:t>
      </w:r>
    </w:p>
    <w:p w14:paraId="40D6ABC4">
      <w:pPr>
        <w:pStyle w:val="5"/>
        <w:keepNext w:val="0"/>
        <w:keepLines w:val="0"/>
        <w:widowControl w:val="0"/>
        <w:spacing w:before="120" w:after="120" w:line="440" w:lineRule="exact"/>
        <w:ind w:firstLine="420" w:firstLineChars="0"/>
        <w:rPr>
          <w:rFonts w:ascii="Times New Roman" w:hAnsi="Times New Roman" w:eastAsia="宋体"/>
          <w:b/>
          <w:snapToGrid w:val="0"/>
          <w:color w:val="auto"/>
          <w:w w:val="99"/>
          <w:highlight w:val="none"/>
        </w:rPr>
      </w:pPr>
      <w:bookmarkStart w:id="423" w:name="_Toc24664"/>
      <w:r>
        <w:rPr>
          <w:rFonts w:ascii="Times New Roman" w:hAnsi="Times New Roman" w:eastAsia="宋体"/>
          <w:b/>
          <w:snapToGrid w:val="0"/>
          <w:color w:val="auto"/>
          <w:w w:val="99"/>
          <w:highlight w:val="none"/>
        </w:rPr>
        <w:t>3.2项目概况</w:t>
      </w:r>
      <w:bookmarkEnd w:id="405"/>
      <w:bookmarkEnd w:id="423"/>
    </w:p>
    <w:p w14:paraId="06885952">
      <w:pPr>
        <w:pStyle w:val="153"/>
        <w:widowControl w:val="0"/>
        <w:spacing w:line="440" w:lineRule="exact"/>
        <w:ind w:firstLine="473"/>
        <w:rPr>
          <w:rFonts w:ascii="Times New Roman" w:hAnsi="Times New Roman"/>
          <w:snapToGrid w:val="0"/>
          <w:color w:val="auto"/>
          <w:w w:val="99"/>
          <w:highlight w:val="none"/>
        </w:rPr>
      </w:pPr>
      <w:bookmarkStart w:id="424" w:name="_Toc502736466"/>
      <w:r>
        <w:rPr>
          <w:rFonts w:ascii="Times New Roman" w:hAnsi="Times New Roman"/>
          <w:snapToGrid w:val="0"/>
          <w:color w:val="auto"/>
          <w:w w:val="99"/>
          <w:highlight w:val="none"/>
        </w:rPr>
        <w:t>项目名称：</w:t>
      </w:r>
      <w:r>
        <w:rPr>
          <w:rFonts w:hint="eastAsia" w:ascii="Times New Roman" w:hAnsi="Times New Roman" w:eastAsiaTheme="minorEastAsia"/>
          <w:snapToGrid w:val="0"/>
          <w:color w:val="auto"/>
          <w:w w:val="99"/>
          <w:highlight w:val="none"/>
        </w:rPr>
        <w:t>徐深27-H1井地面工程项目</w:t>
      </w:r>
      <w:r>
        <w:rPr>
          <w:rFonts w:ascii="Times New Roman" w:hAnsi="Times New Roman"/>
          <w:snapToGrid w:val="0"/>
          <w:color w:val="auto"/>
          <w:w w:val="99"/>
          <w:highlight w:val="none"/>
        </w:rPr>
        <w:t>；</w:t>
      </w:r>
    </w:p>
    <w:p w14:paraId="37D74D78">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建设单位：</w:t>
      </w:r>
      <w:r>
        <w:rPr>
          <w:rFonts w:hint="eastAsia" w:ascii="Times New Roman" w:hAnsi="Times New Roman"/>
          <w:snapToGrid w:val="0"/>
          <w:color w:val="auto"/>
          <w:w w:val="99"/>
          <w:highlight w:val="none"/>
        </w:rPr>
        <w:t xml:space="preserve">大庆油田有限责任公司采气分公司 </w:t>
      </w:r>
      <w:r>
        <w:rPr>
          <w:rFonts w:ascii="Times New Roman" w:hAnsi="Times New Roman"/>
          <w:snapToGrid w:val="0"/>
          <w:color w:val="auto"/>
          <w:w w:val="99"/>
          <w:highlight w:val="none"/>
        </w:rPr>
        <w:t>；</w:t>
      </w:r>
    </w:p>
    <w:p w14:paraId="59C3D4A7">
      <w:pPr>
        <w:pStyle w:val="153"/>
        <w:ind w:firstLine="473"/>
        <w:rPr>
          <w:rFonts w:ascii="Times New Roman" w:hAnsi="Times New Roman"/>
          <w:snapToGrid w:val="0"/>
          <w:color w:val="auto"/>
          <w:w w:val="99"/>
          <w:highlight w:val="none"/>
        </w:rPr>
      </w:pPr>
      <w:bookmarkStart w:id="425" w:name="_Hlk530467800"/>
      <w:r>
        <w:rPr>
          <w:rFonts w:ascii="Times New Roman" w:hAnsi="Times New Roman"/>
          <w:snapToGrid w:val="0"/>
          <w:color w:val="auto"/>
          <w:w w:val="99"/>
          <w:highlight w:val="none"/>
        </w:rPr>
        <w:t>建设性质：改扩建；</w:t>
      </w:r>
    </w:p>
    <w:p w14:paraId="48C1DF43">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建设地点：</w:t>
      </w:r>
      <w:r>
        <w:rPr>
          <w:rFonts w:ascii="Times New Roman" w:hAnsi="Times New Roman"/>
          <w:bCs/>
          <w:snapToGrid w:val="0"/>
          <w:color w:val="auto"/>
          <w:w w:val="99"/>
          <w:highlight w:val="none"/>
        </w:rPr>
        <w:t>黑龙江省绥化市肇东市跃进乡邢家围子屯西侧300m处，其中心坐标：125°30′30.661″，45°53′35.271″</w:t>
      </w:r>
      <w:r>
        <w:rPr>
          <w:rFonts w:hint="eastAsia" w:ascii="Times New Roman" w:hAnsi="Times New Roman"/>
          <w:snapToGrid w:val="0"/>
          <w:color w:val="auto"/>
          <w:w w:val="99"/>
          <w:highlight w:val="none"/>
        </w:rPr>
        <w:t>；</w:t>
      </w:r>
    </w:p>
    <w:p w14:paraId="509EE9F3">
      <w:pPr>
        <w:pStyle w:val="153"/>
        <w:widowControl w:val="0"/>
        <w:spacing w:line="440" w:lineRule="exact"/>
        <w:ind w:firstLine="473"/>
        <w:rPr>
          <w:rFonts w:ascii="Times New Roman" w:hAnsi="Times New Roman"/>
          <w:bCs/>
          <w:snapToGrid w:val="0"/>
          <w:color w:val="auto"/>
          <w:w w:val="99"/>
          <w:highlight w:val="none"/>
        </w:rPr>
      </w:pPr>
      <w:r>
        <w:rPr>
          <w:rFonts w:ascii="Times New Roman" w:hAnsi="Times New Roman"/>
          <w:bCs/>
          <w:snapToGrid w:val="0"/>
          <w:color w:val="auto"/>
          <w:w w:val="99"/>
          <w:highlight w:val="none"/>
        </w:rPr>
        <w:t>投资规模：项目总投资</w:t>
      </w:r>
      <w:r>
        <w:rPr>
          <w:rFonts w:hint="eastAsia" w:ascii="Times New Roman" w:hAnsi="Times New Roman"/>
          <w:bCs/>
          <w:snapToGrid w:val="0"/>
          <w:color w:val="auto"/>
          <w:w w:val="99"/>
          <w:highlight w:val="none"/>
        </w:rPr>
        <w:t>567</w:t>
      </w:r>
      <w:r>
        <w:rPr>
          <w:rFonts w:ascii="Times New Roman" w:hAnsi="Times New Roman"/>
          <w:bCs/>
          <w:snapToGrid w:val="0"/>
          <w:color w:val="auto"/>
          <w:w w:val="99"/>
          <w:highlight w:val="none"/>
        </w:rPr>
        <w:t>万元，环保投资</w:t>
      </w:r>
      <w:r>
        <w:rPr>
          <w:rFonts w:hint="eastAsia" w:ascii="Times New Roman" w:hAnsi="Times New Roman"/>
          <w:bCs/>
          <w:snapToGrid w:val="0"/>
          <w:color w:val="auto"/>
          <w:w w:val="99"/>
          <w:highlight w:val="none"/>
        </w:rPr>
        <w:t>25.47</w:t>
      </w:r>
      <w:r>
        <w:rPr>
          <w:rFonts w:ascii="Times New Roman" w:hAnsi="Times New Roman"/>
          <w:bCs/>
          <w:snapToGrid w:val="0"/>
          <w:color w:val="auto"/>
          <w:w w:val="99"/>
          <w:highlight w:val="none"/>
        </w:rPr>
        <w:t>万元，环保投资占比为</w:t>
      </w:r>
      <w:r>
        <w:rPr>
          <w:rFonts w:hint="eastAsia" w:ascii="Times New Roman" w:hAnsi="Times New Roman"/>
          <w:bCs/>
          <w:snapToGrid w:val="0"/>
          <w:color w:val="auto"/>
          <w:w w:val="99"/>
          <w:highlight w:val="none"/>
        </w:rPr>
        <w:t>4.49</w:t>
      </w:r>
      <w:r>
        <w:rPr>
          <w:rFonts w:ascii="Times New Roman" w:hAnsi="Times New Roman"/>
          <w:bCs/>
          <w:snapToGrid w:val="0"/>
          <w:color w:val="auto"/>
          <w:w w:val="99"/>
          <w:highlight w:val="none"/>
        </w:rPr>
        <w:t>%；</w:t>
      </w:r>
    </w:p>
    <w:p w14:paraId="7B81FC98">
      <w:pPr>
        <w:pStyle w:val="153"/>
        <w:widowControl w:val="0"/>
        <w:spacing w:line="440" w:lineRule="exact"/>
        <w:ind w:firstLine="473"/>
        <w:jc w:val="both"/>
        <w:rPr>
          <w:rFonts w:ascii="Times New Roman" w:hAnsi="Times New Roman"/>
          <w:snapToGrid w:val="0"/>
          <w:color w:val="auto"/>
          <w:w w:val="99"/>
          <w:highlight w:val="none"/>
        </w:rPr>
      </w:pPr>
      <w:r>
        <w:rPr>
          <w:rFonts w:ascii="Times New Roman" w:hAnsi="Times New Roman"/>
          <w:snapToGrid w:val="0"/>
          <w:color w:val="auto"/>
          <w:w w:val="99"/>
          <w:highlight w:val="none"/>
        </w:rPr>
        <w:t>占地面积：本项目</w:t>
      </w:r>
      <w:r>
        <w:rPr>
          <w:rFonts w:hint="eastAsia" w:ascii="Times New Roman" w:hAnsi="Times New Roman" w:cs="Times New Roman"/>
          <w:color w:val="auto"/>
          <w:w w:val="99"/>
          <w:kern w:val="2"/>
          <w:sz w:val="24"/>
          <w:szCs w:val="24"/>
          <w:highlight w:val="none"/>
        </w:rPr>
        <w:t>新增占地</w:t>
      </w:r>
      <w:r>
        <w:rPr>
          <w:rFonts w:hint="eastAsia" w:ascii="Times New Roman" w:hAnsi="Times New Roman" w:cs="Times New Roman"/>
          <w:color w:val="auto"/>
          <w:w w:val="99"/>
          <w:kern w:val="2"/>
          <w:sz w:val="24"/>
          <w:szCs w:val="24"/>
          <w:highlight w:val="none"/>
          <w:lang w:val="en-US" w:eastAsia="zh-CN"/>
        </w:rPr>
        <w:t>2.013</w:t>
      </w:r>
      <w:r>
        <w:rPr>
          <w:rFonts w:hint="eastAsia" w:ascii="Times New Roman" w:hAnsi="Times New Roman" w:cs="Times New Roman"/>
          <w:color w:val="auto"/>
          <w:w w:val="99"/>
          <w:sz w:val="24"/>
          <w:szCs w:val="24"/>
          <w:highlight w:val="none"/>
        </w:rPr>
        <w:t>h</w:t>
      </w:r>
      <w:r>
        <w:rPr>
          <w:rFonts w:ascii="Times New Roman" w:hAnsi="Times New Roman" w:cs="Times New Roman"/>
          <w:color w:val="auto"/>
          <w:w w:val="99"/>
          <w:sz w:val="24"/>
          <w:szCs w:val="24"/>
          <w:highlight w:val="none"/>
        </w:rPr>
        <w:t>m</w:t>
      </w:r>
      <w:r>
        <w:rPr>
          <w:rFonts w:ascii="Times New Roman" w:hAnsi="Times New Roman" w:cs="Times New Roman"/>
          <w:color w:val="auto"/>
          <w:w w:val="99"/>
          <w:sz w:val="24"/>
          <w:szCs w:val="24"/>
          <w:highlight w:val="none"/>
          <w:vertAlign w:val="superscript"/>
        </w:rPr>
        <w:t>2</w:t>
      </w:r>
      <w:r>
        <w:rPr>
          <w:rFonts w:hint="eastAsia" w:ascii="Times New Roman" w:hAnsi="Times New Roman" w:cs="Times New Roman"/>
          <w:color w:val="auto"/>
          <w:w w:val="99"/>
          <w:sz w:val="24"/>
          <w:szCs w:val="24"/>
          <w:highlight w:val="none"/>
          <w:vertAlign w:val="baseline"/>
          <w:lang w:eastAsia="zh-CN"/>
        </w:rPr>
        <w:t>，</w:t>
      </w:r>
      <w:r>
        <w:rPr>
          <w:rFonts w:hint="eastAsia" w:ascii="Times New Roman" w:hAnsi="Times New Roman" w:cs="Times New Roman"/>
          <w:color w:val="auto"/>
          <w:w w:val="99"/>
          <w:sz w:val="24"/>
          <w:szCs w:val="24"/>
          <w:highlight w:val="none"/>
          <w:vertAlign w:val="baseline"/>
          <w:lang w:val="en-US" w:eastAsia="zh-CN"/>
        </w:rPr>
        <w:t>永久占地0.090</w:t>
      </w:r>
      <w:r>
        <w:rPr>
          <w:rFonts w:hint="eastAsia" w:ascii="Times New Roman" w:hAnsi="Times New Roman" w:cs="Times New Roman"/>
          <w:color w:val="auto"/>
          <w:w w:val="99"/>
          <w:sz w:val="24"/>
          <w:szCs w:val="24"/>
          <w:highlight w:val="none"/>
          <w:vertAlign w:val="superscript"/>
          <w:lang w:val="en-US" w:eastAsia="zh-CN"/>
        </w:rPr>
        <w:t>1</w:t>
      </w:r>
      <w:r>
        <w:rPr>
          <w:rFonts w:hint="eastAsia" w:ascii="Times New Roman" w:hAnsi="Times New Roman" w:cs="Times New Roman"/>
          <w:color w:val="auto"/>
          <w:w w:val="99"/>
          <w:sz w:val="24"/>
          <w:szCs w:val="24"/>
          <w:highlight w:val="none"/>
        </w:rPr>
        <w:t>h</w:t>
      </w:r>
      <w:r>
        <w:rPr>
          <w:rFonts w:ascii="Times New Roman" w:hAnsi="Times New Roman" w:cs="Times New Roman"/>
          <w:color w:val="auto"/>
          <w:w w:val="99"/>
          <w:sz w:val="24"/>
          <w:szCs w:val="24"/>
          <w:highlight w:val="none"/>
        </w:rPr>
        <w:t>m</w:t>
      </w:r>
      <w:r>
        <w:rPr>
          <w:rFonts w:ascii="Times New Roman" w:hAnsi="Times New Roman" w:cs="Times New Roman"/>
          <w:color w:val="auto"/>
          <w:w w:val="99"/>
          <w:sz w:val="24"/>
          <w:szCs w:val="24"/>
          <w:highlight w:val="none"/>
          <w:vertAlign w:val="superscript"/>
        </w:rPr>
        <w:t>2</w:t>
      </w:r>
      <w:r>
        <w:rPr>
          <w:rFonts w:hint="eastAsia" w:ascii="Times New Roman" w:hAnsi="Times New Roman" w:cs="Times New Roman"/>
          <w:color w:val="auto"/>
          <w:w w:val="99"/>
          <w:sz w:val="24"/>
          <w:szCs w:val="24"/>
          <w:highlight w:val="none"/>
          <w:vertAlign w:val="baseline"/>
          <w:lang w:eastAsia="zh-CN"/>
        </w:rPr>
        <w:t>，</w:t>
      </w:r>
      <w:r>
        <w:rPr>
          <w:rFonts w:hint="eastAsia" w:ascii="Times New Roman" w:hAnsi="Times New Roman" w:cs="Times New Roman"/>
          <w:color w:val="auto"/>
          <w:w w:val="99"/>
          <w:sz w:val="24"/>
          <w:szCs w:val="24"/>
          <w:highlight w:val="none"/>
          <w:vertAlign w:val="baseline"/>
          <w:lang w:val="en-US" w:eastAsia="zh-CN"/>
        </w:rPr>
        <w:t>临时占地1.9229</w:t>
      </w:r>
      <w:r>
        <w:rPr>
          <w:rFonts w:hint="eastAsia" w:ascii="Times New Roman" w:hAnsi="Times New Roman" w:cs="Times New Roman"/>
          <w:color w:val="auto"/>
          <w:w w:val="99"/>
          <w:sz w:val="24"/>
          <w:szCs w:val="24"/>
          <w:highlight w:val="none"/>
        </w:rPr>
        <w:t>h</w:t>
      </w:r>
      <w:r>
        <w:rPr>
          <w:rFonts w:ascii="Times New Roman" w:hAnsi="Times New Roman" w:cs="Times New Roman"/>
          <w:color w:val="auto"/>
          <w:w w:val="99"/>
          <w:sz w:val="24"/>
          <w:szCs w:val="24"/>
          <w:highlight w:val="none"/>
        </w:rPr>
        <w:t>m</w:t>
      </w:r>
      <w:r>
        <w:rPr>
          <w:rFonts w:ascii="Times New Roman" w:hAnsi="Times New Roman" w:cs="Times New Roman"/>
          <w:color w:val="auto"/>
          <w:w w:val="99"/>
          <w:sz w:val="24"/>
          <w:szCs w:val="24"/>
          <w:highlight w:val="none"/>
          <w:vertAlign w:val="superscript"/>
        </w:rPr>
        <w:t>2</w:t>
      </w:r>
      <w:r>
        <w:rPr>
          <w:rFonts w:ascii="Times New Roman" w:hAnsi="Times New Roman"/>
          <w:color w:val="auto"/>
          <w:w w:val="99"/>
          <w:highlight w:val="none"/>
        </w:rPr>
        <w:t>；</w:t>
      </w:r>
    </w:p>
    <w:p w14:paraId="44C453F2">
      <w:pPr>
        <w:pStyle w:val="153"/>
        <w:widowControl w:val="0"/>
        <w:ind w:firstLine="473"/>
        <w:jc w:val="both"/>
        <w:rPr>
          <w:rFonts w:ascii="Times New Roman" w:hAnsi="Times New Roman" w:eastAsiaTheme="minorEastAsia"/>
          <w:snapToGrid w:val="0"/>
          <w:color w:val="auto"/>
          <w:w w:val="99"/>
          <w:highlight w:val="none"/>
        </w:rPr>
      </w:pPr>
      <w:r>
        <w:rPr>
          <w:rFonts w:ascii="Times New Roman" w:hAnsi="Times New Roman" w:eastAsiaTheme="minorEastAsia"/>
          <w:snapToGrid w:val="0"/>
          <w:color w:val="auto"/>
          <w:w w:val="99"/>
          <w:highlight w:val="none"/>
        </w:rPr>
        <w:t>建设内容：</w:t>
      </w:r>
      <w:r>
        <w:rPr>
          <w:rFonts w:hint="eastAsia" w:ascii="Times New Roman" w:hAnsi="Times New Roman" w:eastAsiaTheme="minorEastAsia"/>
          <w:snapToGrid w:val="0"/>
          <w:color w:val="auto"/>
          <w:w w:val="99"/>
          <w:highlight w:val="none"/>
        </w:rPr>
        <w:t>基建1口气井，井场设置80kW电磁涡流加热装置1座</w:t>
      </w:r>
      <w:r>
        <w:rPr>
          <w:rFonts w:ascii="Times New Roman" w:hAnsi="Times New Roman" w:eastAsiaTheme="minorEastAsia"/>
          <w:snapToGrid w:val="0"/>
          <w:color w:val="auto"/>
          <w:w w:val="99"/>
          <w:highlight w:val="none"/>
        </w:rPr>
        <w:t>；</w:t>
      </w:r>
      <w:r>
        <w:rPr>
          <w:rFonts w:hint="eastAsia" w:ascii="Times New Roman" w:hAnsi="Times New Roman" w:eastAsiaTheme="minorEastAsia"/>
          <w:snapToGrid w:val="0"/>
          <w:color w:val="auto"/>
          <w:w w:val="99"/>
          <w:highlight w:val="none"/>
        </w:rPr>
        <w:t>新建采气管道1.92km；对徐深27集气站</w:t>
      </w:r>
      <w:r>
        <w:rPr>
          <w:rFonts w:ascii="Times New Roman" w:hAnsi="Times New Roman" w:eastAsiaTheme="minorEastAsia"/>
          <w:snapToGrid w:val="0"/>
          <w:color w:val="auto"/>
          <w:w w:val="99"/>
          <w:highlight w:val="none"/>
        </w:rPr>
        <w:t>配套新建1口气井进站阀组和生产阀组，新建低压电力电缆0.2km，敷设至用电设备</w:t>
      </w:r>
      <w:r>
        <w:rPr>
          <w:rFonts w:hint="eastAsia" w:ascii="Times New Roman" w:hAnsi="Times New Roman" w:eastAsiaTheme="minorEastAsia"/>
          <w:snapToGrid w:val="0"/>
          <w:color w:val="auto"/>
          <w:w w:val="99"/>
          <w:highlight w:val="none"/>
        </w:rPr>
        <w:t>；井口新建柱上变1座，新建10kV线路0.8km；新建沥青砼通井路0.2km，建成产能为9.0</w:t>
      </w:r>
      <w:r>
        <w:rPr>
          <w:rFonts w:ascii="Times New Roman" w:hAnsi="Times New Roman"/>
          <w:color w:val="auto"/>
          <w:w w:val="99"/>
          <w:highlight w:val="none"/>
        </w:rPr>
        <w:t>×10</w:t>
      </w:r>
      <w:r>
        <w:rPr>
          <w:rFonts w:hint="eastAsia" w:ascii="Times New Roman" w:hAnsi="Times New Roman"/>
          <w:color w:val="auto"/>
          <w:w w:val="99"/>
          <w:highlight w:val="none"/>
          <w:vertAlign w:val="superscript"/>
        </w:rPr>
        <w:t>4</w:t>
      </w:r>
      <w:r>
        <w:rPr>
          <w:rFonts w:ascii="Times New Roman" w:hAnsi="Times New Roman"/>
          <w:color w:val="auto"/>
          <w:w w:val="99"/>
          <w:highlight w:val="none"/>
        </w:rPr>
        <w:t>m</w:t>
      </w:r>
      <w:r>
        <w:rPr>
          <w:rFonts w:ascii="Times New Roman" w:hAnsi="Times New Roman"/>
          <w:color w:val="auto"/>
          <w:w w:val="99"/>
          <w:highlight w:val="none"/>
          <w:vertAlign w:val="superscript"/>
        </w:rPr>
        <w:t>3</w:t>
      </w:r>
      <w:r>
        <w:rPr>
          <w:rFonts w:ascii="Times New Roman" w:hAnsi="Times New Roman"/>
          <w:color w:val="auto"/>
          <w:w w:val="99"/>
          <w:highlight w:val="none"/>
        </w:rPr>
        <w:t>/</w:t>
      </w:r>
      <w:r>
        <w:rPr>
          <w:rFonts w:hint="eastAsia" w:ascii="Times New Roman" w:hAnsi="Times New Roman"/>
          <w:color w:val="auto"/>
          <w:w w:val="99"/>
          <w:highlight w:val="none"/>
        </w:rPr>
        <w:t>d</w:t>
      </w:r>
      <w:r>
        <w:rPr>
          <w:rFonts w:ascii="Times New Roman" w:hAnsi="Times New Roman"/>
          <w:bCs/>
          <w:color w:val="auto"/>
          <w:w w:val="99"/>
          <w:kern w:val="2"/>
          <w:highlight w:val="none"/>
        </w:rPr>
        <w:t>。</w:t>
      </w:r>
    </w:p>
    <w:p w14:paraId="3AD54727">
      <w:pPr>
        <w:pStyle w:val="153"/>
        <w:widowControl w:val="0"/>
        <w:spacing w:line="440" w:lineRule="exact"/>
        <w:ind w:firstLine="473"/>
        <w:jc w:val="both"/>
        <w:rPr>
          <w:rFonts w:ascii="Times New Roman" w:hAnsi="Times New Roman" w:eastAsiaTheme="minorEastAsia"/>
          <w:bCs/>
          <w:snapToGrid w:val="0"/>
          <w:color w:val="auto"/>
          <w:w w:val="99"/>
          <w:highlight w:val="none"/>
        </w:rPr>
      </w:pPr>
      <w:r>
        <w:rPr>
          <w:rFonts w:ascii="Times New Roman" w:hAnsi="Times New Roman" w:eastAsiaTheme="minorEastAsia"/>
          <w:bCs/>
          <w:snapToGrid w:val="0"/>
          <w:color w:val="auto"/>
          <w:w w:val="99"/>
          <w:highlight w:val="none"/>
        </w:rPr>
        <w:t>建设周期：本项目计划施工期为202</w:t>
      </w:r>
      <w:r>
        <w:rPr>
          <w:rFonts w:hint="eastAsia" w:ascii="Times New Roman" w:hAnsi="Times New Roman" w:eastAsiaTheme="minorEastAsia"/>
          <w:bCs/>
          <w:snapToGrid w:val="0"/>
          <w:color w:val="auto"/>
          <w:w w:val="99"/>
          <w:highlight w:val="none"/>
        </w:rPr>
        <w:t>6</w:t>
      </w:r>
      <w:r>
        <w:rPr>
          <w:rFonts w:ascii="Times New Roman" w:hAnsi="Times New Roman" w:eastAsiaTheme="minorEastAsia"/>
          <w:bCs/>
          <w:snapToGrid w:val="0"/>
          <w:color w:val="auto"/>
          <w:w w:val="99"/>
          <w:highlight w:val="none"/>
        </w:rPr>
        <w:t>年</w:t>
      </w:r>
      <w:r>
        <w:rPr>
          <w:rFonts w:hint="eastAsia" w:ascii="Times New Roman" w:hAnsi="Times New Roman" w:eastAsiaTheme="minorEastAsia"/>
          <w:bCs/>
          <w:snapToGrid w:val="0"/>
          <w:color w:val="auto"/>
          <w:w w:val="99"/>
          <w:highlight w:val="none"/>
        </w:rPr>
        <w:t>11</w:t>
      </w:r>
      <w:r>
        <w:rPr>
          <w:rFonts w:ascii="Times New Roman" w:hAnsi="Times New Roman" w:eastAsiaTheme="minorEastAsia"/>
          <w:bCs/>
          <w:snapToGrid w:val="0"/>
          <w:color w:val="auto"/>
          <w:w w:val="99"/>
          <w:highlight w:val="none"/>
        </w:rPr>
        <w:t>月至</w:t>
      </w:r>
      <w:r>
        <w:rPr>
          <w:rFonts w:hint="eastAsia" w:ascii="Times New Roman" w:hAnsi="Times New Roman" w:eastAsiaTheme="minorEastAsia"/>
          <w:bCs/>
          <w:snapToGrid w:val="0"/>
          <w:color w:val="auto"/>
          <w:w w:val="99"/>
          <w:highlight w:val="none"/>
        </w:rPr>
        <w:t>12</w:t>
      </w:r>
      <w:r>
        <w:rPr>
          <w:rFonts w:ascii="Times New Roman" w:hAnsi="Times New Roman" w:eastAsiaTheme="minorEastAsia"/>
          <w:bCs/>
          <w:snapToGrid w:val="0"/>
          <w:color w:val="auto"/>
          <w:w w:val="99"/>
          <w:highlight w:val="none"/>
        </w:rPr>
        <w:t>月，</w:t>
      </w:r>
      <w:r>
        <w:rPr>
          <w:rFonts w:hint="eastAsia" w:ascii="Times New Roman" w:hAnsi="Times New Roman" w:eastAsiaTheme="minorEastAsia"/>
          <w:bCs/>
          <w:snapToGrid w:val="0"/>
          <w:color w:val="auto"/>
          <w:w w:val="99"/>
          <w:highlight w:val="none"/>
        </w:rPr>
        <w:t>地面</w:t>
      </w:r>
      <w:r>
        <w:rPr>
          <w:rFonts w:ascii="Times New Roman" w:hAnsi="Times New Roman" w:eastAsiaTheme="minorEastAsia"/>
          <w:bCs/>
          <w:snapToGrid w:val="0"/>
          <w:color w:val="auto"/>
          <w:w w:val="99"/>
          <w:highlight w:val="none"/>
        </w:rPr>
        <w:t>施工约</w:t>
      </w:r>
      <w:r>
        <w:rPr>
          <w:rFonts w:hint="eastAsia" w:ascii="Times New Roman" w:hAnsi="Times New Roman" w:eastAsiaTheme="minorEastAsia"/>
          <w:bCs/>
          <w:snapToGrid w:val="0"/>
          <w:color w:val="auto"/>
          <w:w w:val="99"/>
          <w:highlight w:val="none"/>
        </w:rPr>
        <w:t>30</w:t>
      </w:r>
      <w:r>
        <w:rPr>
          <w:rFonts w:ascii="Times New Roman" w:hAnsi="Times New Roman" w:eastAsiaTheme="minorEastAsia"/>
          <w:bCs/>
          <w:snapToGrid w:val="0"/>
          <w:color w:val="auto"/>
          <w:w w:val="99"/>
          <w:highlight w:val="none"/>
        </w:rPr>
        <w:t>d；</w:t>
      </w:r>
    </w:p>
    <w:p w14:paraId="23176DA6">
      <w:pPr>
        <w:pStyle w:val="153"/>
        <w:widowControl w:val="0"/>
        <w:ind w:firstLine="473"/>
        <w:jc w:val="both"/>
        <w:rPr>
          <w:rFonts w:ascii="Times New Roman" w:hAnsi="Times New Roman"/>
          <w:snapToGrid w:val="0"/>
          <w:color w:val="auto"/>
          <w:w w:val="99"/>
          <w:highlight w:val="none"/>
        </w:rPr>
      </w:pPr>
      <w:r>
        <w:rPr>
          <w:rFonts w:ascii="Times New Roman" w:hAnsi="Times New Roman"/>
          <w:snapToGrid w:val="0"/>
          <w:color w:val="auto"/>
          <w:w w:val="99"/>
          <w:highlight w:val="none"/>
        </w:rPr>
        <w:t>劳动定员：</w:t>
      </w:r>
      <w:r>
        <w:rPr>
          <w:rFonts w:hint="eastAsia" w:ascii="Times New Roman" w:hAnsi="Times New Roman"/>
          <w:snapToGrid w:val="0"/>
          <w:color w:val="auto"/>
          <w:w w:val="99"/>
          <w:highlight w:val="none"/>
        </w:rPr>
        <w:t>地面建设工程施工人数30人，运营期不新增定员</w:t>
      </w:r>
      <w:r>
        <w:rPr>
          <w:rFonts w:ascii="Times New Roman" w:hAnsi="Times New Roman"/>
          <w:snapToGrid w:val="0"/>
          <w:color w:val="auto"/>
          <w:w w:val="99"/>
          <w:highlight w:val="none"/>
        </w:rPr>
        <w:t>。</w:t>
      </w:r>
    </w:p>
    <w:p w14:paraId="54D641E9">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426" w:name="_Toc20875"/>
      <w:r>
        <w:rPr>
          <w:rFonts w:ascii="Times New Roman" w:hAnsi="Times New Roman" w:eastAsia="宋体"/>
          <w:b/>
          <w:snapToGrid w:val="0"/>
          <w:color w:val="auto"/>
          <w:w w:val="99"/>
          <w:highlight w:val="none"/>
        </w:rPr>
        <w:t>3.</w:t>
      </w:r>
      <w:r>
        <w:rPr>
          <w:rFonts w:hint="eastAsia" w:ascii="Times New Roman" w:hAnsi="Times New Roman" w:eastAsia="宋体"/>
          <w:b/>
          <w:snapToGrid w:val="0"/>
          <w:color w:val="auto"/>
          <w:w w:val="99"/>
          <w:highlight w:val="none"/>
        </w:rPr>
        <w:t>3</w:t>
      </w:r>
      <w:r>
        <w:rPr>
          <w:rFonts w:ascii="Times New Roman" w:hAnsi="Times New Roman" w:eastAsia="宋体"/>
          <w:b/>
          <w:snapToGrid w:val="0"/>
          <w:color w:val="auto"/>
          <w:w w:val="99"/>
          <w:highlight w:val="none"/>
        </w:rPr>
        <w:t>工程组成</w:t>
      </w:r>
      <w:bookmarkEnd w:id="426"/>
      <w:r>
        <w:rPr>
          <w:rFonts w:hint="eastAsia" w:ascii="Times New Roman" w:hAnsi="Times New Roman" w:eastAsia="宋体"/>
          <w:b/>
          <w:snapToGrid w:val="0"/>
          <w:color w:val="auto"/>
          <w:w w:val="99"/>
          <w:highlight w:val="none"/>
        </w:rPr>
        <w:tab/>
      </w:r>
    </w:p>
    <w:bookmarkEnd w:id="424"/>
    <w:bookmarkEnd w:id="425"/>
    <w:p w14:paraId="3AAB61DC">
      <w:pPr>
        <w:widowControl w:val="0"/>
        <w:spacing w:line="440" w:lineRule="exact"/>
        <w:ind w:firstLine="474" w:firstLineChars="200"/>
        <w:rPr>
          <w:rFonts w:ascii="Times New Roman" w:hAnsi="Times New Roman" w:cs="Times New Roman"/>
          <w:snapToGrid w:val="0"/>
          <w:color w:val="auto"/>
          <w:w w:val="99"/>
          <w:highlight w:val="none"/>
        </w:rPr>
      </w:pPr>
      <w:r>
        <w:rPr>
          <w:rFonts w:ascii="Times New Roman" w:hAnsi="Times New Roman" w:cs="Times New Roman"/>
          <w:snapToGrid w:val="0"/>
          <w:color w:val="auto"/>
          <w:w w:val="99"/>
          <w:highlight w:val="none"/>
        </w:rPr>
        <w:t>本项目工程组成见表3.</w:t>
      </w:r>
      <w:r>
        <w:rPr>
          <w:rFonts w:hint="eastAsia" w:ascii="Times New Roman" w:hAnsi="Times New Roman" w:cs="Times New Roman"/>
          <w:snapToGrid w:val="0"/>
          <w:color w:val="auto"/>
          <w:w w:val="99"/>
          <w:highlight w:val="none"/>
        </w:rPr>
        <w:t>3</w:t>
      </w:r>
      <w:r>
        <w:rPr>
          <w:rFonts w:ascii="Times New Roman" w:hAnsi="Times New Roman" w:cs="Times New Roman"/>
          <w:snapToGrid w:val="0"/>
          <w:color w:val="auto"/>
          <w:w w:val="99"/>
          <w:highlight w:val="none"/>
        </w:rPr>
        <w:t>-1。</w:t>
      </w:r>
    </w:p>
    <w:p w14:paraId="5BD60312">
      <w:pPr>
        <w:widowControl w:val="0"/>
        <w:spacing w:line="440" w:lineRule="exact"/>
        <w:ind w:firstLine="476" w:firstLineChars="200"/>
        <w:rPr>
          <w:rFonts w:ascii="Times New Roman" w:hAnsi="Times New Roman" w:cs="Times New Roman"/>
          <w:b/>
          <w:bCs/>
          <w:snapToGrid w:val="0"/>
          <w:color w:val="auto"/>
          <w:w w:val="99"/>
          <w:highlight w:val="none"/>
        </w:rPr>
      </w:pPr>
      <w:r>
        <w:rPr>
          <w:rFonts w:ascii="Times New Roman" w:hAnsi="Times New Roman" w:cs="Times New Roman"/>
          <w:b/>
          <w:bCs/>
          <w:snapToGrid w:val="0"/>
          <w:color w:val="auto"/>
          <w:w w:val="99"/>
          <w:highlight w:val="none"/>
        </w:rPr>
        <w:t>表3.</w:t>
      </w:r>
      <w:r>
        <w:rPr>
          <w:rFonts w:hint="eastAsia" w:ascii="Times New Roman" w:hAnsi="Times New Roman" w:cs="Times New Roman"/>
          <w:b/>
          <w:bCs/>
          <w:snapToGrid w:val="0"/>
          <w:color w:val="auto"/>
          <w:w w:val="99"/>
          <w:highlight w:val="none"/>
        </w:rPr>
        <w:t>3</w:t>
      </w:r>
      <w:r>
        <w:rPr>
          <w:rFonts w:ascii="Times New Roman" w:hAnsi="Times New Roman" w:cs="Times New Roman"/>
          <w:b/>
          <w:bCs/>
          <w:snapToGrid w:val="0"/>
          <w:color w:val="auto"/>
          <w:w w:val="99"/>
          <w:highlight w:val="none"/>
        </w:rPr>
        <w:t>-1  工程组成一览表</w:t>
      </w:r>
    </w:p>
    <w:tbl>
      <w:tblPr>
        <w:tblStyle w:val="81"/>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685"/>
        <w:gridCol w:w="65"/>
        <w:gridCol w:w="935"/>
        <w:gridCol w:w="6121"/>
        <w:gridCol w:w="815"/>
      </w:tblGrid>
      <w:tr w14:paraId="02980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Align w:val="center"/>
          </w:tcPr>
          <w:p w14:paraId="3C40B4B0">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工程类别</w:t>
            </w:r>
          </w:p>
        </w:tc>
        <w:tc>
          <w:tcPr>
            <w:tcW w:w="907" w:type="pct"/>
            <w:gridSpan w:val="3"/>
            <w:vAlign w:val="center"/>
          </w:tcPr>
          <w:p w14:paraId="1960940A">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工程组成</w:t>
            </w:r>
          </w:p>
        </w:tc>
        <w:tc>
          <w:tcPr>
            <w:tcW w:w="3299" w:type="pct"/>
            <w:vAlign w:val="center"/>
          </w:tcPr>
          <w:p w14:paraId="291BFDC7">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建设内容及规模</w:t>
            </w:r>
          </w:p>
        </w:tc>
        <w:tc>
          <w:tcPr>
            <w:tcW w:w="439" w:type="pct"/>
            <w:vAlign w:val="center"/>
          </w:tcPr>
          <w:p w14:paraId="31E39356">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备注</w:t>
            </w:r>
          </w:p>
        </w:tc>
      </w:tr>
      <w:tr w14:paraId="1AACD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restart"/>
            <w:vAlign w:val="center"/>
          </w:tcPr>
          <w:p w14:paraId="1E62D132">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主体工程</w:t>
            </w:r>
          </w:p>
        </w:tc>
        <w:tc>
          <w:tcPr>
            <w:tcW w:w="369" w:type="pct"/>
            <w:vMerge w:val="restart"/>
            <w:vAlign w:val="center"/>
          </w:tcPr>
          <w:p w14:paraId="50003066">
            <w:pPr>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采气</w:t>
            </w:r>
            <w:r>
              <w:rPr>
                <w:rFonts w:ascii="Times New Roman" w:hAnsi="Times New Roman" w:cs="Times New Roman"/>
                <w:color w:val="auto"/>
                <w:w w:val="99"/>
                <w:kern w:val="2"/>
                <w:sz w:val="21"/>
                <w:szCs w:val="21"/>
                <w:highlight w:val="none"/>
              </w:rPr>
              <w:t>集输工程</w:t>
            </w:r>
          </w:p>
        </w:tc>
        <w:tc>
          <w:tcPr>
            <w:tcW w:w="538" w:type="pct"/>
            <w:gridSpan w:val="2"/>
            <w:vAlign w:val="center"/>
          </w:tcPr>
          <w:p w14:paraId="324DA39B">
            <w:pPr>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气井</w:t>
            </w:r>
          </w:p>
        </w:tc>
        <w:tc>
          <w:tcPr>
            <w:tcW w:w="3299" w:type="pct"/>
            <w:vAlign w:val="center"/>
          </w:tcPr>
          <w:p w14:paraId="678A3006">
            <w:pPr>
              <w:spacing w:line="320" w:lineRule="exact"/>
              <w:ind w:firstLine="414" w:firstLineChars="200"/>
              <w:jc w:val="both"/>
              <w:rPr>
                <w:rFonts w:ascii="Times New Roman" w:hAnsi="Times New Roman" w:cs="Times New Roman"/>
                <w:color w:val="auto"/>
                <w:w w:val="99"/>
                <w:kern w:val="2"/>
                <w:sz w:val="21"/>
                <w:szCs w:val="21"/>
                <w:highlight w:val="none"/>
              </w:rPr>
            </w:pPr>
            <w:r>
              <w:rPr>
                <w:rFonts w:ascii="Times New Roman" w:hAnsi="Times New Roman" w:cs="Times New Roman"/>
                <w:bCs/>
                <w:color w:val="auto"/>
                <w:w w:val="99"/>
                <w:kern w:val="2"/>
                <w:sz w:val="21"/>
                <w:szCs w:val="21"/>
                <w:highlight w:val="none"/>
              </w:rPr>
              <w:t>本工程共基建井口设施</w:t>
            </w:r>
            <w:r>
              <w:rPr>
                <w:rFonts w:hint="eastAsia" w:ascii="Times New Roman" w:hAnsi="Times New Roman" w:cs="Times New Roman"/>
                <w:bCs/>
                <w:color w:val="auto"/>
                <w:w w:val="99"/>
                <w:kern w:val="2"/>
                <w:sz w:val="21"/>
                <w:szCs w:val="21"/>
                <w:highlight w:val="none"/>
              </w:rPr>
              <w:t>1</w:t>
            </w:r>
            <w:r>
              <w:rPr>
                <w:rFonts w:ascii="Times New Roman" w:hAnsi="Times New Roman" w:cs="Times New Roman"/>
                <w:bCs/>
                <w:color w:val="auto"/>
                <w:w w:val="99"/>
                <w:kern w:val="2"/>
                <w:sz w:val="21"/>
                <w:szCs w:val="21"/>
                <w:highlight w:val="none"/>
              </w:rPr>
              <w:t>套，井口装置包括井口安全设施、井口减压设施、监测设施、井口放空池、井口除砂器</w:t>
            </w:r>
            <w:r>
              <w:rPr>
                <w:rFonts w:hint="eastAsia" w:ascii="Times New Roman" w:hAnsi="Times New Roman" w:cs="Times New Roman"/>
                <w:bCs/>
                <w:color w:val="auto"/>
                <w:w w:val="99"/>
                <w:kern w:val="2"/>
                <w:sz w:val="21"/>
                <w:szCs w:val="21"/>
                <w:highlight w:val="none"/>
              </w:rPr>
              <w:t>。</w:t>
            </w:r>
            <w:r>
              <w:rPr>
                <w:rFonts w:ascii="Times New Roman" w:hAnsi="Times New Roman" w:cs="Times New Roman"/>
                <w:bCs/>
                <w:color w:val="auto"/>
                <w:w w:val="99"/>
                <w:kern w:val="2"/>
                <w:sz w:val="21"/>
                <w:szCs w:val="21"/>
                <w:highlight w:val="none"/>
              </w:rPr>
              <w:t>建成后产能</w:t>
            </w:r>
            <w:r>
              <w:rPr>
                <w:rFonts w:hint="eastAsia" w:ascii="Times New Roman" w:hAnsi="Times New Roman" w:cs="Times New Roman"/>
                <w:color w:val="auto"/>
                <w:w w:val="99"/>
                <w:sz w:val="21"/>
                <w:szCs w:val="21"/>
                <w:highlight w:val="none"/>
              </w:rPr>
              <w:t>9</w:t>
            </w:r>
            <w:r>
              <w:rPr>
                <w:rFonts w:ascii="Times New Roman" w:hAnsi="Times New Roman" w:cs="Times New Roman"/>
                <w:color w:val="auto"/>
                <w:w w:val="99"/>
                <w:sz w:val="21"/>
                <w:szCs w:val="21"/>
                <w:highlight w:val="none"/>
              </w:rPr>
              <w:t>×10</w:t>
            </w:r>
            <w:r>
              <w:rPr>
                <w:rFonts w:hint="eastAsia" w:ascii="Times New Roman" w:hAnsi="Times New Roman" w:cs="Times New Roman"/>
                <w:color w:val="auto"/>
                <w:w w:val="99"/>
                <w:sz w:val="21"/>
                <w:szCs w:val="21"/>
                <w:highlight w:val="none"/>
                <w:vertAlign w:val="superscript"/>
              </w:rPr>
              <w:t>4</w:t>
            </w:r>
            <w:r>
              <w:rPr>
                <w:rFonts w:ascii="Times New Roman" w:hAnsi="Times New Roman" w:cs="Times New Roman"/>
                <w:color w:val="auto"/>
                <w:w w:val="99"/>
                <w:sz w:val="21"/>
                <w:szCs w:val="21"/>
                <w:highlight w:val="none"/>
              </w:rPr>
              <w:t>m</w:t>
            </w:r>
            <w:r>
              <w:rPr>
                <w:rFonts w:ascii="Times New Roman" w:hAnsi="Times New Roman" w:cs="Times New Roman"/>
                <w:color w:val="auto"/>
                <w:w w:val="99"/>
                <w:sz w:val="21"/>
                <w:szCs w:val="21"/>
                <w:highlight w:val="none"/>
                <w:vertAlign w:val="superscript"/>
              </w:rPr>
              <w:t>3</w:t>
            </w:r>
            <w:r>
              <w:rPr>
                <w:rFonts w:ascii="Times New Roman" w:hAnsi="Times New Roman" w:cs="Times New Roman"/>
                <w:color w:val="auto"/>
                <w:w w:val="99"/>
                <w:sz w:val="21"/>
                <w:szCs w:val="21"/>
                <w:highlight w:val="none"/>
              </w:rPr>
              <w:t>/</w:t>
            </w:r>
            <w:r>
              <w:rPr>
                <w:rFonts w:hint="eastAsia" w:ascii="Times New Roman" w:hAnsi="Times New Roman" w:cs="Times New Roman"/>
                <w:color w:val="auto"/>
                <w:w w:val="99"/>
                <w:sz w:val="21"/>
                <w:szCs w:val="21"/>
                <w:highlight w:val="none"/>
              </w:rPr>
              <w:t>d</w:t>
            </w:r>
            <w:r>
              <w:rPr>
                <w:rFonts w:ascii="Times New Roman" w:hAnsi="Times New Roman" w:cs="Times New Roman"/>
                <w:bCs/>
                <w:color w:val="auto"/>
                <w:w w:val="99"/>
                <w:kern w:val="2"/>
                <w:sz w:val="21"/>
                <w:szCs w:val="21"/>
                <w:highlight w:val="none"/>
              </w:rPr>
              <w:t>。</w:t>
            </w:r>
          </w:p>
        </w:tc>
        <w:tc>
          <w:tcPr>
            <w:tcW w:w="439" w:type="pct"/>
            <w:vAlign w:val="center"/>
          </w:tcPr>
          <w:p w14:paraId="3B61314B">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新建</w:t>
            </w:r>
          </w:p>
        </w:tc>
      </w:tr>
      <w:tr w14:paraId="73D7D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74FEF9F0">
            <w:pPr>
              <w:spacing w:line="340" w:lineRule="exact"/>
              <w:jc w:val="center"/>
              <w:rPr>
                <w:rFonts w:ascii="Times New Roman" w:hAnsi="Times New Roman" w:cs="Times New Roman"/>
                <w:color w:val="auto"/>
                <w:w w:val="99"/>
                <w:kern w:val="2"/>
                <w:sz w:val="21"/>
                <w:szCs w:val="21"/>
                <w:highlight w:val="none"/>
              </w:rPr>
            </w:pPr>
          </w:p>
        </w:tc>
        <w:tc>
          <w:tcPr>
            <w:tcW w:w="369" w:type="pct"/>
            <w:vMerge w:val="continue"/>
            <w:vAlign w:val="center"/>
          </w:tcPr>
          <w:p w14:paraId="74C76724">
            <w:pPr>
              <w:spacing w:line="340" w:lineRule="exact"/>
              <w:jc w:val="center"/>
              <w:rPr>
                <w:rFonts w:ascii="Times New Roman" w:hAnsi="Times New Roman" w:cs="Times New Roman"/>
                <w:bCs/>
                <w:color w:val="auto"/>
                <w:w w:val="99"/>
                <w:kern w:val="21"/>
                <w:sz w:val="21"/>
                <w:szCs w:val="21"/>
                <w:highlight w:val="none"/>
              </w:rPr>
            </w:pPr>
          </w:p>
        </w:tc>
        <w:tc>
          <w:tcPr>
            <w:tcW w:w="538" w:type="pct"/>
            <w:gridSpan w:val="2"/>
            <w:vAlign w:val="center"/>
          </w:tcPr>
          <w:p w14:paraId="20CCD321">
            <w:pPr>
              <w:spacing w:line="320" w:lineRule="exact"/>
              <w:jc w:val="both"/>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采气集输管道</w:t>
            </w:r>
          </w:p>
        </w:tc>
        <w:tc>
          <w:tcPr>
            <w:tcW w:w="3299" w:type="pct"/>
            <w:vAlign w:val="center"/>
          </w:tcPr>
          <w:p w14:paraId="6CCC66FC">
            <w:pPr>
              <w:spacing w:line="320" w:lineRule="exact"/>
              <w:ind w:firstLine="414" w:firstLineChars="200"/>
              <w:jc w:val="both"/>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新建Φ76×（9+2）采气管道1.92km，设计压力均为31MPa，管道材质采用20#+316L内衬不锈钢材质。</w:t>
            </w:r>
            <w:r>
              <w:rPr>
                <w:rFonts w:ascii="Times New Roman" w:hAnsi="Times New Roman" w:cs="Times New Roman"/>
                <w:color w:val="auto"/>
                <w:w w:val="99"/>
                <w:kern w:val="2"/>
                <w:sz w:val="21"/>
                <w:szCs w:val="21"/>
                <w:highlight w:val="none"/>
              </w:rPr>
              <w:t>采气管道均采用埋地敷设，管顶标高为-</w:t>
            </w:r>
            <w:r>
              <w:rPr>
                <w:rFonts w:hint="eastAsia" w:ascii="Times New Roman" w:hAnsi="Times New Roman" w:cs="Times New Roman"/>
                <w:color w:val="auto"/>
                <w:w w:val="99"/>
                <w:kern w:val="2"/>
                <w:sz w:val="21"/>
                <w:szCs w:val="21"/>
                <w:highlight w:val="none"/>
              </w:rPr>
              <w:t>1.8</w:t>
            </w:r>
            <w:r>
              <w:rPr>
                <w:rFonts w:ascii="Times New Roman" w:hAnsi="Times New Roman" w:cs="Times New Roman"/>
                <w:color w:val="auto"/>
                <w:w w:val="99"/>
                <w:kern w:val="2"/>
                <w:sz w:val="21"/>
                <w:szCs w:val="21"/>
                <w:highlight w:val="none"/>
              </w:rPr>
              <w:t>m。</w:t>
            </w:r>
            <w:r>
              <w:rPr>
                <w:rFonts w:hint="eastAsia" w:ascii="Times New Roman" w:hAnsi="Times New Roman" w:cs="Times New Roman"/>
                <w:color w:val="auto"/>
                <w:w w:val="99"/>
                <w:kern w:val="2"/>
                <w:sz w:val="21"/>
                <w:szCs w:val="21"/>
                <w:highlight w:val="none"/>
              </w:rPr>
              <w:t>管沟开挖以机械开挖为主，管线施工涉及钢顶</w:t>
            </w:r>
            <w:r>
              <w:rPr>
                <w:rFonts w:ascii="Times New Roman" w:hAnsi="Times New Roman" w:cs="Times New Roman"/>
                <w:color w:val="auto"/>
                <w:w w:val="99"/>
                <w:kern w:val="2"/>
                <w:sz w:val="21"/>
                <w:szCs w:val="21"/>
                <w:highlight w:val="none"/>
              </w:rPr>
              <w:t>穿越</w:t>
            </w:r>
            <w:r>
              <w:rPr>
                <w:rFonts w:hint="eastAsia" w:ascii="Times New Roman" w:hAnsi="Times New Roman" w:cs="Times New Roman"/>
                <w:color w:val="auto"/>
                <w:w w:val="99"/>
                <w:kern w:val="2"/>
                <w:sz w:val="21"/>
                <w:szCs w:val="21"/>
                <w:highlight w:val="none"/>
              </w:rPr>
              <w:t>4处</w:t>
            </w:r>
            <w:r>
              <w:rPr>
                <w:rFonts w:ascii="Times New Roman" w:hAnsi="Times New Roman" w:cs="Times New Roman"/>
                <w:color w:val="auto"/>
                <w:w w:val="99"/>
                <w:kern w:val="2"/>
                <w:sz w:val="21"/>
                <w:szCs w:val="21"/>
                <w:highlight w:val="none"/>
              </w:rPr>
              <w:t>。</w:t>
            </w:r>
          </w:p>
        </w:tc>
        <w:tc>
          <w:tcPr>
            <w:tcW w:w="439" w:type="pct"/>
            <w:vAlign w:val="center"/>
          </w:tcPr>
          <w:p w14:paraId="7897D51E">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新建</w:t>
            </w:r>
          </w:p>
        </w:tc>
      </w:tr>
      <w:tr w14:paraId="38E72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3B8399C7">
            <w:pPr>
              <w:spacing w:line="340" w:lineRule="exact"/>
              <w:jc w:val="center"/>
              <w:rPr>
                <w:rFonts w:ascii="Times New Roman" w:hAnsi="Times New Roman" w:cs="Times New Roman"/>
                <w:color w:val="auto"/>
                <w:w w:val="99"/>
                <w:kern w:val="2"/>
                <w:sz w:val="21"/>
                <w:szCs w:val="21"/>
                <w:highlight w:val="none"/>
              </w:rPr>
            </w:pPr>
          </w:p>
        </w:tc>
        <w:tc>
          <w:tcPr>
            <w:tcW w:w="369" w:type="pct"/>
            <w:vAlign w:val="center"/>
          </w:tcPr>
          <w:p w14:paraId="42AF4D6C">
            <w:pPr>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场站改造</w:t>
            </w:r>
          </w:p>
        </w:tc>
        <w:tc>
          <w:tcPr>
            <w:tcW w:w="538" w:type="pct"/>
            <w:gridSpan w:val="2"/>
            <w:vAlign w:val="center"/>
          </w:tcPr>
          <w:p w14:paraId="5A39F1D0">
            <w:pPr>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徐深27集气站</w:t>
            </w:r>
          </w:p>
        </w:tc>
        <w:tc>
          <w:tcPr>
            <w:tcW w:w="3299" w:type="pct"/>
            <w:vAlign w:val="center"/>
          </w:tcPr>
          <w:p w14:paraId="7BFEA0A2">
            <w:pPr>
              <w:spacing w:line="320" w:lineRule="exact"/>
              <w:ind w:firstLine="414" w:firstLineChars="200"/>
              <w:jc w:val="both"/>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新建进站阀组DN</w:t>
            </w:r>
            <w:r>
              <w:rPr>
                <w:rFonts w:ascii="Times New Roman" w:hAnsi="Times New Roman" w:cs="Times New Roman"/>
                <w:color w:val="auto"/>
                <w:w w:val="99"/>
                <w:kern w:val="2"/>
                <w:sz w:val="21"/>
                <w:szCs w:val="21"/>
                <w:highlight w:val="none"/>
              </w:rPr>
              <w:t>65 PN360（316L）</w:t>
            </w:r>
            <w:r>
              <w:rPr>
                <w:rFonts w:hint="eastAsia" w:ascii="Times New Roman" w:hAnsi="Times New Roman" w:cs="Times New Roman"/>
                <w:color w:val="auto"/>
                <w:w w:val="99"/>
                <w:kern w:val="2"/>
                <w:sz w:val="21"/>
                <w:szCs w:val="21"/>
                <w:highlight w:val="none"/>
              </w:rPr>
              <w:t>、</w:t>
            </w:r>
            <w:r>
              <w:rPr>
                <w:rFonts w:ascii="Times New Roman" w:hAnsi="Times New Roman" w:cs="Times New Roman"/>
                <w:color w:val="auto"/>
                <w:w w:val="99"/>
                <w:kern w:val="2"/>
                <w:sz w:val="21"/>
                <w:szCs w:val="21"/>
                <w:highlight w:val="none"/>
              </w:rPr>
              <w:t>生产阀组DN80 PN</w:t>
            </w:r>
            <w:r>
              <w:rPr>
                <w:rFonts w:hint="eastAsia" w:ascii="Times New Roman" w:hAnsi="Times New Roman" w:cs="Times New Roman"/>
                <w:color w:val="auto"/>
                <w:w w:val="99"/>
                <w:kern w:val="2"/>
                <w:sz w:val="21"/>
                <w:szCs w:val="21"/>
                <w:highlight w:val="none"/>
              </w:rPr>
              <w:t>10</w:t>
            </w:r>
            <w:r>
              <w:rPr>
                <w:rFonts w:ascii="Times New Roman" w:hAnsi="Times New Roman" w:cs="Times New Roman"/>
                <w:color w:val="auto"/>
                <w:w w:val="99"/>
                <w:kern w:val="2"/>
                <w:sz w:val="21"/>
                <w:szCs w:val="21"/>
                <w:highlight w:val="none"/>
              </w:rPr>
              <w:t>0（316L）</w:t>
            </w:r>
            <w:r>
              <w:rPr>
                <w:rFonts w:hint="eastAsia" w:ascii="Times New Roman" w:hAnsi="Times New Roman" w:cs="Times New Roman"/>
                <w:color w:val="auto"/>
                <w:w w:val="99"/>
                <w:kern w:val="2"/>
                <w:sz w:val="21"/>
                <w:szCs w:val="21"/>
                <w:highlight w:val="none"/>
              </w:rPr>
              <w:t>各一套。</w:t>
            </w:r>
          </w:p>
        </w:tc>
        <w:tc>
          <w:tcPr>
            <w:tcW w:w="439" w:type="pct"/>
            <w:vAlign w:val="center"/>
          </w:tcPr>
          <w:p w14:paraId="72657284">
            <w:pPr>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改建</w:t>
            </w:r>
          </w:p>
        </w:tc>
      </w:tr>
      <w:tr w14:paraId="03C32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restart"/>
            <w:vAlign w:val="center"/>
          </w:tcPr>
          <w:p w14:paraId="160F1637">
            <w:pPr>
              <w:spacing w:line="34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辅助</w:t>
            </w:r>
            <w:r>
              <w:rPr>
                <w:rFonts w:ascii="Times New Roman" w:hAnsi="Times New Roman" w:cs="Times New Roman"/>
                <w:color w:val="auto"/>
                <w:w w:val="99"/>
                <w:kern w:val="2"/>
                <w:sz w:val="21"/>
                <w:szCs w:val="21"/>
                <w:highlight w:val="none"/>
              </w:rPr>
              <w:t>工程</w:t>
            </w:r>
          </w:p>
        </w:tc>
        <w:tc>
          <w:tcPr>
            <w:tcW w:w="907" w:type="pct"/>
            <w:gridSpan w:val="3"/>
            <w:vAlign w:val="center"/>
          </w:tcPr>
          <w:p w14:paraId="5BD3FDC4">
            <w:pPr>
              <w:pStyle w:val="2857"/>
              <w:kinsoku w:val="0"/>
              <w:autoSpaceDE w:val="0"/>
              <w:autoSpaceDN w:val="0"/>
              <w:adjustRightInd w:val="0"/>
              <w:snapToGrid w:val="0"/>
              <w:spacing w:line="360" w:lineRule="exact"/>
              <w:jc w:val="center"/>
              <w:textAlignment w:val="baseline"/>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kern w:val="2"/>
                <w:sz w:val="21"/>
                <w:szCs w:val="21"/>
                <w:highlight w:val="none"/>
                <w:lang w:eastAsia="zh-CN"/>
              </w:rPr>
              <w:t>自动控制工程</w:t>
            </w:r>
          </w:p>
        </w:tc>
        <w:tc>
          <w:tcPr>
            <w:tcW w:w="3299" w:type="pct"/>
          </w:tcPr>
          <w:p w14:paraId="6EBB3479">
            <w:pPr>
              <w:spacing w:line="320" w:lineRule="exact"/>
              <w:ind w:firstLine="414" w:firstLineChars="200"/>
              <w:jc w:val="both"/>
              <w:rPr>
                <w:rFonts w:ascii="Times New Roman" w:hAnsi="Times New Roman" w:cs="Times New Roman"/>
                <w:color w:val="auto"/>
                <w:w w:val="99"/>
                <w:sz w:val="21"/>
                <w:szCs w:val="21"/>
                <w:highlight w:val="none"/>
              </w:rPr>
            </w:pPr>
            <w:r>
              <w:rPr>
                <w:rFonts w:ascii="Times New Roman" w:hAnsi="Times New Roman" w:cs="Times New Roman"/>
                <w:color w:val="auto"/>
                <w:w w:val="99"/>
                <w:kern w:val="2"/>
                <w:sz w:val="21"/>
                <w:szCs w:val="21"/>
                <w:highlight w:val="none"/>
              </w:rPr>
              <w:t>设置1台RTU，RTU配置包括控制器、电源、I/O模件、通信接口、控制箱及安装附件和应用软件。RTU工作温度范围-40~60℃。RTU安装在井场的视频监控杆上。</w:t>
            </w:r>
          </w:p>
        </w:tc>
        <w:tc>
          <w:tcPr>
            <w:tcW w:w="439" w:type="pct"/>
            <w:vAlign w:val="center"/>
          </w:tcPr>
          <w:p w14:paraId="1ED8F1DB">
            <w:pPr>
              <w:spacing w:line="34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新建</w:t>
            </w:r>
          </w:p>
        </w:tc>
      </w:tr>
      <w:tr w14:paraId="06A4D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70D38FB1">
            <w:pPr>
              <w:spacing w:line="340" w:lineRule="exact"/>
              <w:jc w:val="center"/>
              <w:rPr>
                <w:rFonts w:ascii="Times New Roman" w:hAnsi="Times New Roman" w:cs="Times New Roman"/>
                <w:color w:val="auto"/>
                <w:w w:val="99"/>
                <w:kern w:val="2"/>
                <w:sz w:val="21"/>
                <w:szCs w:val="21"/>
                <w:highlight w:val="none"/>
              </w:rPr>
            </w:pPr>
          </w:p>
        </w:tc>
        <w:tc>
          <w:tcPr>
            <w:tcW w:w="907" w:type="pct"/>
            <w:gridSpan w:val="3"/>
            <w:vAlign w:val="center"/>
          </w:tcPr>
          <w:p w14:paraId="7F3C7B73">
            <w:pPr>
              <w:pStyle w:val="2857"/>
              <w:kinsoku w:val="0"/>
              <w:autoSpaceDE w:val="0"/>
              <w:autoSpaceDN w:val="0"/>
              <w:adjustRightInd w:val="0"/>
              <w:snapToGrid w:val="0"/>
              <w:spacing w:line="360" w:lineRule="exact"/>
              <w:jc w:val="center"/>
              <w:textAlignment w:val="baseline"/>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道路工程</w:t>
            </w:r>
          </w:p>
        </w:tc>
        <w:tc>
          <w:tcPr>
            <w:tcW w:w="3299" w:type="pct"/>
          </w:tcPr>
          <w:p w14:paraId="4E58D83F">
            <w:pPr>
              <w:pStyle w:val="2857"/>
              <w:kinsoku w:val="0"/>
              <w:autoSpaceDE w:val="0"/>
              <w:autoSpaceDN w:val="0"/>
              <w:adjustRightInd w:val="0"/>
              <w:snapToGrid w:val="0"/>
              <w:spacing w:line="360" w:lineRule="exact"/>
              <w:jc w:val="both"/>
              <w:textAlignment w:val="baseline"/>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kern w:val="2"/>
                <w:sz w:val="21"/>
                <w:szCs w:val="21"/>
                <w:highlight w:val="none"/>
                <w:lang w:eastAsia="zh-CN"/>
              </w:rPr>
              <w:t>新建沥青砼通井路200m，挂接至水泥路，</w:t>
            </w:r>
            <w:r>
              <w:rPr>
                <w:rFonts w:ascii="Times New Roman" w:hAnsi="Times New Roman" w:cs="Times New Roman"/>
                <w:color w:val="auto"/>
                <w:w w:val="99"/>
                <w:kern w:val="2"/>
                <w:sz w:val="21"/>
                <w:szCs w:val="21"/>
                <w:highlight w:val="none"/>
                <w:lang w:eastAsia="zh-CN"/>
              </w:rPr>
              <w:t>路面宽3.5m，路基宽4.5m</w:t>
            </w:r>
            <w:r>
              <w:rPr>
                <w:rFonts w:hint="eastAsia" w:ascii="Times New Roman" w:hAnsi="Times New Roman" w:cs="Times New Roman"/>
                <w:color w:val="auto"/>
                <w:w w:val="99"/>
                <w:kern w:val="2"/>
                <w:sz w:val="21"/>
                <w:szCs w:val="21"/>
                <w:highlight w:val="none"/>
                <w:lang w:eastAsia="zh-CN"/>
              </w:rPr>
              <w:t>，占地性质为永久占地。</w:t>
            </w:r>
          </w:p>
        </w:tc>
        <w:tc>
          <w:tcPr>
            <w:tcW w:w="439" w:type="pct"/>
            <w:vAlign w:val="center"/>
          </w:tcPr>
          <w:p w14:paraId="416CD143">
            <w:pPr>
              <w:spacing w:line="34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新建</w:t>
            </w:r>
          </w:p>
        </w:tc>
      </w:tr>
      <w:tr w14:paraId="72919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7C1F01B3">
            <w:pPr>
              <w:spacing w:line="340" w:lineRule="exact"/>
              <w:jc w:val="center"/>
              <w:rPr>
                <w:rFonts w:ascii="Times New Roman" w:hAnsi="Times New Roman" w:cs="Times New Roman"/>
                <w:color w:val="auto"/>
                <w:w w:val="99"/>
                <w:kern w:val="2"/>
                <w:sz w:val="21"/>
                <w:szCs w:val="21"/>
                <w:highlight w:val="none"/>
              </w:rPr>
            </w:pPr>
          </w:p>
        </w:tc>
        <w:tc>
          <w:tcPr>
            <w:tcW w:w="907" w:type="pct"/>
            <w:gridSpan w:val="3"/>
            <w:vAlign w:val="center"/>
          </w:tcPr>
          <w:p w14:paraId="4C912092">
            <w:pPr>
              <w:pStyle w:val="2857"/>
              <w:kinsoku w:val="0"/>
              <w:autoSpaceDE w:val="0"/>
              <w:autoSpaceDN w:val="0"/>
              <w:adjustRightInd w:val="0"/>
              <w:snapToGrid w:val="0"/>
              <w:spacing w:line="360" w:lineRule="exact"/>
              <w:jc w:val="center"/>
              <w:textAlignment w:val="baseline"/>
              <w:rPr>
                <w:rFonts w:ascii="Times New Roman" w:hAnsi="Times New Roman" w:cs="Times New Roman"/>
                <w:color w:val="auto"/>
                <w:w w:val="99"/>
                <w:kern w:val="2"/>
                <w:sz w:val="21"/>
                <w:szCs w:val="21"/>
                <w:highlight w:val="none"/>
                <w:lang w:eastAsia="zh-CN"/>
              </w:rPr>
            </w:pPr>
            <w:r>
              <w:rPr>
                <w:rFonts w:hint="eastAsia" w:ascii="Times New Roman" w:hAnsi="Times New Roman" w:cs="Times New Roman"/>
                <w:color w:val="auto"/>
                <w:w w:val="99"/>
                <w:kern w:val="2"/>
                <w:sz w:val="21"/>
                <w:szCs w:val="21"/>
                <w:highlight w:val="none"/>
                <w:lang w:eastAsia="zh-CN"/>
              </w:rPr>
              <w:t>通信工程</w:t>
            </w:r>
          </w:p>
        </w:tc>
        <w:tc>
          <w:tcPr>
            <w:tcW w:w="3299" w:type="pct"/>
          </w:tcPr>
          <w:p w14:paraId="769B5448">
            <w:pPr>
              <w:pStyle w:val="2857"/>
              <w:kinsoku w:val="0"/>
              <w:autoSpaceDE w:val="0"/>
              <w:autoSpaceDN w:val="0"/>
              <w:adjustRightInd w:val="0"/>
              <w:snapToGrid w:val="0"/>
              <w:spacing w:line="360" w:lineRule="exact"/>
              <w:jc w:val="both"/>
              <w:textAlignment w:val="baseline"/>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井场设置球型摄像机1台，</w:t>
            </w:r>
            <w:r>
              <w:rPr>
                <w:rFonts w:hint="eastAsia" w:ascii="Times New Roman" w:hAnsi="Times New Roman" w:cs="Times New Roman"/>
                <w:color w:val="auto"/>
                <w:w w:val="99"/>
                <w:kern w:val="2"/>
                <w:sz w:val="21"/>
                <w:szCs w:val="21"/>
                <w:highlight w:val="none"/>
                <w:lang w:eastAsia="zh-CN"/>
              </w:rPr>
              <w:t>枪</w:t>
            </w:r>
            <w:r>
              <w:rPr>
                <w:rFonts w:ascii="Times New Roman" w:hAnsi="Times New Roman" w:cs="Times New Roman"/>
                <w:color w:val="auto"/>
                <w:w w:val="99"/>
                <w:kern w:val="2"/>
                <w:sz w:val="21"/>
                <w:szCs w:val="21"/>
                <w:highlight w:val="none"/>
                <w:lang w:eastAsia="zh-CN"/>
              </w:rPr>
              <w:t>型摄像机1台</w:t>
            </w:r>
            <w:r>
              <w:rPr>
                <w:rFonts w:hint="eastAsia" w:ascii="Times New Roman" w:hAnsi="Times New Roman" w:cs="Times New Roman"/>
                <w:color w:val="auto"/>
                <w:w w:val="99"/>
                <w:kern w:val="2"/>
                <w:sz w:val="21"/>
                <w:szCs w:val="21"/>
                <w:highlight w:val="none"/>
                <w:lang w:eastAsia="zh-CN"/>
              </w:rPr>
              <w:t>，</w:t>
            </w:r>
            <w:r>
              <w:rPr>
                <w:rFonts w:ascii="Times New Roman" w:hAnsi="Times New Roman" w:cs="Times New Roman"/>
                <w:color w:val="auto"/>
                <w:w w:val="99"/>
                <w:kern w:val="2"/>
                <w:sz w:val="21"/>
                <w:szCs w:val="21"/>
                <w:highlight w:val="none"/>
                <w:lang w:eastAsia="zh-CN"/>
              </w:rPr>
              <w:t>号角扬声器1套。为井场至集气站新建通信光缆线路共计</w:t>
            </w:r>
            <w:r>
              <w:rPr>
                <w:rFonts w:hint="eastAsia" w:ascii="Times New Roman" w:hAnsi="Times New Roman" w:cs="Times New Roman"/>
                <w:color w:val="auto"/>
                <w:w w:val="99"/>
                <w:kern w:val="2"/>
                <w:sz w:val="21"/>
                <w:szCs w:val="21"/>
                <w:highlight w:val="none"/>
                <w:lang w:eastAsia="zh-CN"/>
              </w:rPr>
              <w:t>1.9</w:t>
            </w:r>
            <w:r>
              <w:rPr>
                <w:rFonts w:ascii="Times New Roman" w:hAnsi="Times New Roman" w:cs="Times New Roman"/>
                <w:color w:val="auto"/>
                <w:w w:val="99"/>
                <w:kern w:val="2"/>
                <w:sz w:val="21"/>
                <w:szCs w:val="21"/>
                <w:highlight w:val="none"/>
                <w:lang w:eastAsia="zh-CN"/>
              </w:rPr>
              <w:t>km，井场生产数据经工业级交换机光口上传至集气站。</w:t>
            </w:r>
          </w:p>
        </w:tc>
        <w:tc>
          <w:tcPr>
            <w:tcW w:w="439" w:type="pct"/>
            <w:vAlign w:val="center"/>
          </w:tcPr>
          <w:p w14:paraId="3FFD46CB">
            <w:pPr>
              <w:spacing w:line="34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新建</w:t>
            </w:r>
          </w:p>
        </w:tc>
      </w:tr>
      <w:tr w14:paraId="49418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3" w:type="pct"/>
            <w:vMerge w:val="restart"/>
            <w:vAlign w:val="center"/>
          </w:tcPr>
          <w:p w14:paraId="5772F7E4">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公用工程</w:t>
            </w:r>
          </w:p>
        </w:tc>
        <w:tc>
          <w:tcPr>
            <w:tcW w:w="907" w:type="pct"/>
            <w:gridSpan w:val="3"/>
            <w:vMerge w:val="restart"/>
            <w:vAlign w:val="center"/>
          </w:tcPr>
          <w:p w14:paraId="709CD2D9">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给水工程</w:t>
            </w:r>
          </w:p>
        </w:tc>
        <w:tc>
          <w:tcPr>
            <w:tcW w:w="3299" w:type="pct"/>
          </w:tcPr>
          <w:p w14:paraId="4B51B3AF">
            <w:pPr>
              <w:pStyle w:val="2857"/>
              <w:spacing w:line="360" w:lineRule="exact"/>
              <w:ind w:firstLine="414" w:firstLineChars="200"/>
              <w:jc w:val="both"/>
              <w:rPr>
                <w:rFonts w:hint="eastAsia"/>
                <w:color w:val="auto"/>
                <w:w w:val="99"/>
                <w:highlight w:val="none"/>
                <w:lang w:eastAsia="zh-CN"/>
              </w:rPr>
            </w:pPr>
            <w:r>
              <w:rPr>
                <w:rFonts w:hint="eastAsia" w:ascii="Times New Roman" w:hAnsi="Times New Roman" w:cs="Times New Roman"/>
                <w:color w:val="auto"/>
                <w:w w:val="99"/>
                <w:kern w:val="2"/>
                <w:sz w:val="21"/>
                <w:szCs w:val="21"/>
                <w:highlight w:val="none"/>
                <w:lang w:eastAsia="zh-CN"/>
              </w:rPr>
              <w:t>施工期：施工期用水主要为施工人员生活用水、管线试压用水。生活用水采用桶装水，管线试压用水由水罐车运送。</w:t>
            </w:r>
          </w:p>
        </w:tc>
        <w:tc>
          <w:tcPr>
            <w:tcW w:w="439" w:type="pct"/>
            <w:vAlign w:val="center"/>
          </w:tcPr>
          <w:p w14:paraId="18672D4C">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依托</w:t>
            </w:r>
          </w:p>
        </w:tc>
      </w:tr>
      <w:tr w14:paraId="2CD9E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3" w:type="pct"/>
            <w:vMerge w:val="continue"/>
            <w:vAlign w:val="center"/>
          </w:tcPr>
          <w:p w14:paraId="71AEC88B">
            <w:pPr>
              <w:spacing w:line="340" w:lineRule="exact"/>
              <w:jc w:val="center"/>
              <w:rPr>
                <w:rFonts w:ascii="Times New Roman" w:hAnsi="Times New Roman" w:cs="Times New Roman"/>
                <w:color w:val="auto"/>
                <w:w w:val="99"/>
                <w:kern w:val="2"/>
                <w:sz w:val="21"/>
                <w:szCs w:val="21"/>
                <w:highlight w:val="none"/>
              </w:rPr>
            </w:pPr>
          </w:p>
        </w:tc>
        <w:tc>
          <w:tcPr>
            <w:tcW w:w="907" w:type="pct"/>
            <w:gridSpan w:val="3"/>
            <w:vMerge w:val="continue"/>
            <w:vAlign w:val="center"/>
          </w:tcPr>
          <w:p w14:paraId="595082C4">
            <w:pPr>
              <w:spacing w:line="340" w:lineRule="exact"/>
              <w:jc w:val="center"/>
              <w:rPr>
                <w:rFonts w:ascii="Times New Roman" w:hAnsi="Times New Roman" w:cs="Times New Roman"/>
                <w:color w:val="auto"/>
                <w:w w:val="99"/>
                <w:kern w:val="2"/>
                <w:sz w:val="21"/>
                <w:szCs w:val="21"/>
                <w:highlight w:val="none"/>
              </w:rPr>
            </w:pPr>
          </w:p>
        </w:tc>
        <w:tc>
          <w:tcPr>
            <w:tcW w:w="3299" w:type="pct"/>
          </w:tcPr>
          <w:p w14:paraId="00B5863A">
            <w:pPr>
              <w:pStyle w:val="2857"/>
              <w:spacing w:line="360" w:lineRule="exact"/>
              <w:ind w:firstLine="414" w:firstLineChars="200"/>
              <w:jc w:val="both"/>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kern w:val="2"/>
                <w:sz w:val="21"/>
                <w:szCs w:val="21"/>
                <w:highlight w:val="none"/>
                <w:lang w:eastAsia="zh-CN"/>
              </w:rPr>
              <w:t>运行期：无新增用水。</w:t>
            </w:r>
          </w:p>
        </w:tc>
        <w:tc>
          <w:tcPr>
            <w:tcW w:w="439" w:type="pct"/>
            <w:vAlign w:val="center"/>
          </w:tcPr>
          <w:p w14:paraId="4EEB1D8F">
            <w:pPr>
              <w:spacing w:line="34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w:t>
            </w:r>
          </w:p>
        </w:tc>
      </w:tr>
      <w:tr w14:paraId="35A0A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3DFA5230">
            <w:pPr>
              <w:spacing w:line="340" w:lineRule="exact"/>
              <w:jc w:val="center"/>
              <w:rPr>
                <w:rFonts w:ascii="Times New Roman" w:hAnsi="Times New Roman" w:cs="Times New Roman"/>
                <w:color w:val="auto"/>
                <w:w w:val="99"/>
                <w:kern w:val="2"/>
                <w:sz w:val="21"/>
                <w:szCs w:val="21"/>
                <w:highlight w:val="none"/>
              </w:rPr>
            </w:pPr>
          </w:p>
        </w:tc>
        <w:tc>
          <w:tcPr>
            <w:tcW w:w="907" w:type="pct"/>
            <w:gridSpan w:val="3"/>
            <w:vMerge w:val="restart"/>
            <w:vAlign w:val="center"/>
          </w:tcPr>
          <w:p w14:paraId="472FD25B">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排水工程</w:t>
            </w:r>
          </w:p>
        </w:tc>
        <w:tc>
          <w:tcPr>
            <w:tcW w:w="3299" w:type="pct"/>
          </w:tcPr>
          <w:p w14:paraId="10A5BB83">
            <w:pPr>
              <w:pStyle w:val="2857"/>
              <w:kinsoku w:val="0"/>
              <w:autoSpaceDE w:val="0"/>
              <w:autoSpaceDN w:val="0"/>
              <w:adjustRightInd w:val="0"/>
              <w:snapToGrid w:val="0"/>
              <w:spacing w:line="360" w:lineRule="exact"/>
              <w:ind w:firstLine="414" w:firstLineChars="200"/>
              <w:jc w:val="both"/>
              <w:textAlignment w:val="baseline"/>
              <w:rPr>
                <w:rFonts w:hint="eastAsia"/>
                <w:color w:val="auto"/>
                <w:w w:val="99"/>
                <w:highlight w:val="none"/>
                <w:lang w:eastAsia="zh-CN"/>
              </w:rPr>
            </w:pPr>
            <w:r>
              <w:rPr>
                <w:rFonts w:hint="eastAsia" w:ascii="Times New Roman" w:hAnsi="Times New Roman" w:cs="Times New Roman"/>
                <w:color w:val="auto"/>
                <w:w w:val="99"/>
                <w:kern w:val="2"/>
                <w:sz w:val="21"/>
                <w:szCs w:val="21"/>
                <w:highlight w:val="none"/>
                <w:lang w:eastAsia="zh-CN"/>
              </w:rPr>
              <w:t>本项目施工期管线试压废水拉运至升一联气田污水预处理站处理，处理后的水质执行《大庆油田地面工程建设设计规定》（Q/SYDQ 0639-2015）限值“含油量≤10mg/L 、悬浮固体含量≤5mg/L、粒径中值≤2μm”，同时满足《碎屑岩油藏注水水质指标技术要求及分析方法》(SY/T5329-2022)中标准限值，回注地下。</w:t>
            </w:r>
          </w:p>
        </w:tc>
        <w:tc>
          <w:tcPr>
            <w:tcW w:w="439" w:type="pct"/>
            <w:vAlign w:val="center"/>
          </w:tcPr>
          <w:p w14:paraId="41174AE2">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依托</w:t>
            </w:r>
          </w:p>
        </w:tc>
      </w:tr>
      <w:tr w14:paraId="05E23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6F102F45">
            <w:pPr>
              <w:spacing w:line="340" w:lineRule="exact"/>
              <w:jc w:val="center"/>
              <w:rPr>
                <w:rFonts w:ascii="Times New Roman" w:hAnsi="Times New Roman" w:cs="Times New Roman"/>
                <w:color w:val="auto"/>
                <w:w w:val="99"/>
                <w:kern w:val="2"/>
                <w:sz w:val="21"/>
                <w:szCs w:val="21"/>
                <w:highlight w:val="none"/>
              </w:rPr>
            </w:pPr>
          </w:p>
        </w:tc>
        <w:tc>
          <w:tcPr>
            <w:tcW w:w="907" w:type="pct"/>
            <w:gridSpan w:val="3"/>
            <w:vMerge w:val="continue"/>
            <w:vAlign w:val="center"/>
          </w:tcPr>
          <w:p w14:paraId="5AF25A62">
            <w:pPr>
              <w:spacing w:line="340" w:lineRule="exact"/>
              <w:jc w:val="center"/>
              <w:rPr>
                <w:rFonts w:ascii="Times New Roman" w:hAnsi="Times New Roman" w:cs="Times New Roman"/>
                <w:color w:val="auto"/>
                <w:w w:val="99"/>
                <w:kern w:val="2"/>
                <w:sz w:val="21"/>
                <w:szCs w:val="21"/>
                <w:highlight w:val="none"/>
              </w:rPr>
            </w:pPr>
          </w:p>
        </w:tc>
        <w:tc>
          <w:tcPr>
            <w:tcW w:w="3299" w:type="pct"/>
          </w:tcPr>
          <w:p w14:paraId="1E82463C">
            <w:pPr>
              <w:pStyle w:val="2857"/>
              <w:kinsoku w:val="0"/>
              <w:autoSpaceDE w:val="0"/>
              <w:autoSpaceDN w:val="0"/>
              <w:adjustRightInd w:val="0"/>
              <w:snapToGrid w:val="0"/>
              <w:spacing w:line="360" w:lineRule="exact"/>
              <w:ind w:firstLine="414" w:firstLineChars="200"/>
              <w:jc w:val="both"/>
              <w:textAlignment w:val="baseline"/>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sz w:val="21"/>
                <w:szCs w:val="21"/>
                <w:highlight w:val="none"/>
                <w:lang w:eastAsia="zh-CN" w:bidi="ar"/>
              </w:rPr>
              <w:t>地面工程生活污水排入本项目附近集气站已建生活污水收集设施，定期由大庆石油管理局有限公司庆南工矿服务公司红岗分公司拉运至大庆红岗区西巷污水回收站，管输至南区污水处理厂进行处理。</w:t>
            </w:r>
          </w:p>
        </w:tc>
        <w:tc>
          <w:tcPr>
            <w:tcW w:w="439" w:type="pct"/>
            <w:vAlign w:val="center"/>
          </w:tcPr>
          <w:p w14:paraId="06CD1D1A">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依托</w:t>
            </w:r>
          </w:p>
        </w:tc>
      </w:tr>
      <w:tr w14:paraId="15483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5238CA01">
            <w:pPr>
              <w:spacing w:line="340" w:lineRule="exact"/>
              <w:jc w:val="center"/>
              <w:rPr>
                <w:rFonts w:ascii="Times New Roman" w:hAnsi="Times New Roman" w:cs="Times New Roman"/>
                <w:color w:val="auto"/>
                <w:w w:val="99"/>
                <w:kern w:val="2"/>
                <w:sz w:val="21"/>
                <w:szCs w:val="21"/>
                <w:highlight w:val="none"/>
              </w:rPr>
            </w:pPr>
          </w:p>
        </w:tc>
        <w:tc>
          <w:tcPr>
            <w:tcW w:w="907" w:type="pct"/>
            <w:gridSpan w:val="3"/>
            <w:vMerge w:val="continue"/>
            <w:vAlign w:val="center"/>
          </w:tcPr>
          <w:p w14:paraId="67AA7216">
            <w:pPr>
              <w:spacing w:line="340" w:lineRule="exact"/>
              <w:jc w:val="center"/>
              <w:rPr>
                <w:rFonts w:ascii="Times New Roman" w:hAnsi="Times New Roman" w:cs="Times New Roman"/>
                <w:color w:val="auto"/>
                <w:w w:val="99"/>
                <w:kern w:val="2"/>
                <w:sz w:val="21"/>
                <w:szCs w:val="21"/>
                <w:highlight w:val="none"/>
              </w:rPr>
            </w:pPr>
          </w:p>
        </w:tc>
        <w:tc>
          <w:tcPr>
            <w:tcW w:w="3299" w:type="pct"/>
          </w:tcPr>
          <w:p w14:paraId="10E79B26">
            <w:pPr>
              <w:pStyle w:val="2857"/>
              <w:kinsoku w:val="0"/>
              <w:autoSpaceDE w:val="0"/>
              <w:autoSpaceDN w:val="0"/>
              <w:adjustRightInd w:val="0"/>
              <w:snapToGrid w:val="0"/>
              <w:spacing w:line="360" w:lineRule="exact"/>
              <w:ind w:firstLine="414" w:firstLineChars="200"/>
              <w:jc w:val="both"/>
              <w:textAlignment w:val="baseline"/>
              <w:rPr>
                <w:rFonts w:ascii="Times New Roman" w:hAnsi="Times New Roman" w:cs="Times New Roman"/>
                <w:color w:val="auto"/>
                <w:w w:val="99"/>
                <w:kern w:val="2"/>
                <w:sz w:val="21"/>
                <w:szCs w:val="21"/>
                <w:highlight w:val="none"/>
                <w:lang w:eastAsia="zh-CN"/>
              </w:rPr>
            </w:pPr>
            <w:r>
              <w:rPr>
                <w:rFonts w:hint="eastAsia" w:ascii="Times New Roman" w:hAnsi="Times New Roman" w:cs="Times New Roman"/>
                <w:color w:val="auto"/>
                <w:w w:val="99"/>
                <w:kern w:val="2"/>
                <w:sz w:val="21"/>
                <w:szCs w:val="21"/>
                <w:highlight w:val="none"/>
                <w:lang w:eastAsia="zh-CN"/>
              </w:rPr>
              <w:t>运营期产生的气田采出水暂存于集气站污水罐（污水罐为钢制卧式罐，架空装置，且设置压力监测系统）临时储存，再定期通过外输泵升压外输至气田采出水集输管网，并统一外输至升一联气田污水预处理站处理后的水质执行《大庆油田地面工程建设设计规定》（Q/SYDQ 0639-2015）限值“含油量≤10mg/L、悬浮固体含量≤5mg/L 、粒径中值≤2μm”，同时满足《碎屑岩油藏注水水质指标技术要求及分析方法》</w:t>
            </w:r>
            <w:r>
              <w:rPr>
                <w:rFonts w:ascii="Times New Roman" w:hAnsi="Times New Roman" w:eastAsia="Times New Roman" w:cs="Times New Roman"/>
                <w:color w:val="auto"/>
                <w:highlight w:val="none"/>
                <w:lang w:eastAsia="zh-CN"/>
              </w:rPr>
              <w:t>(SY/T5329-2022)</w:t>
            </w:r>
            <w:r>
              <w:rPr>
                <w:rFonts w:hint="eastAsia" w:ascii="Times New Roman" w:hAnsi="Times New Roman" w:cs="Times New Roman"/>
                <w:color w:val="auto"/>
                <w:w w:val="99"/>
                <w:kern w:val="2"/>
                <w:sz w:val="21"/>
                <w:szCs w:val="21"/>
                <w:highlight w:val="none"/>
                <w:lang w:eastAsia="zh-CN"/>
              </w:rPr>
              <w:t>中标准限值，回注地下。</w:t>
            </w:r>
          </w:p>
        </w:tc>
        <w:tc>
          <w:tcPr>
            <w:tcW w:w="439" w:type="pct"/>
            <w:vAlign w:val="center"/>
          </w:tcPr>
          <w:p w14:paraId="2037BC86">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依托</w:t>
            </w:r>
          </w:p>
        </w:tc>
      </w:tr>
      <w:tr w14:paraId="1BE07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0DA3C162">
            <w:pPr>
              <w:spacing w:line="340" w:lineRule="exact"/>
              <w:jc w:val="center"/>
              <w:rPr>
                <w:rFonts w:ascii="Times New Roman" w:hAnsi="Times New Roman" w:cs="Times New Roman"/>
                <w:color w:val="auto"/>
                <w:w w:val="99"/>
                <w:kern w:val="2"/>
                <w:sz w:val="21"/>
                <w:szCs w:val="21"/>
                <w:highlight w:val="none"/>
              </w:rPr>
            </w:pPr>
          </w:p>
        </w:tc>
        <w:tc>
          <w:tcPr>
            <w:tcW w:w="907" w:type="pct"/>
            <w:gridSpan w:val="3"/>
            <w:vAlign w:val="center"/>
          </w:tcPr>
          <w:p w14:paraId="5E3E774F">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供电工程</w:t>
            </w:r>
          </w:p>
        </w:tc>
        <w:tc>
          <w:tcPr>
            <w:tcW w:w="3299" w:type="pct"/>
            <w:vAlign w:val="center"/>
          </w:tcPr>
          <w:p w14:paraId="1D740012">
            <w:pPr>
              <w:spacing w:line="360" w:lineRule="exact"/>
              <w:ind w:firstLine="560"/>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徐深</w:t>
            </w:r>
            <w:r>
              <w:rPr>
                <w:rFonts w:hint="eastAsia" w:ascii="Times New Roman" w:hAnsi="Times New Roman" w:cs="Times New Roman"/>
                <w:color w:val="auto"/>
                <w:w w:val="99"/>
                <w:kern w:val="2"/>
                <w:sz w:val="21"/>
                <w:szCs w:val="21"/>
                <w:highlight w:val="none"/>
              </w:rPr>
              <w:t>27</w:t>
            </w:r>
            <w:r>
              <w:rPr>
                <w:rFonts w:ascii="Times New Roman" w:hAnsi="Times New Roman" w:cs="Times New Roman"/>
                <w:color w:val="auto"/>
                <w:w w:val="99"/>
                <w:kern w:val="2"/>
                <w:sz w:val="21"/>
                <w:szCs w:val="21"/>
                <w:highlight w:val="none"/>
              </w:rPr>
              <w:t>集气站新建低压电力电缆0.</w:t>
            </w:r>
            <w:r>
              <w:rPr>
                <w:rFonts w:hint="eastAsia" w:ascii="Times New Roman" w:hAnsi="Times New Roman" w:cs="Times New Roman"/>
                <w:color w:val="auto"/>
                <w:w w:val="99"/>
                <w:kern w:val="2"/>
                <w:sz w:val="21"/>
                <w:szCs w:val="21"/>
                <w:highlight w:val="none"/>
              </w:rPr>
              <w:t>2</w:t>
            </w:r>
            <w:r>
              <w:rPr>
                <w:rFonts w:ascii="Times New Roman" w:hAnsi="Times New Roman" w:cs="Times New Roman"/>
                <w:color w:val="auto"/>
                <w:w w:val="99"/>
                <w:kern w:val="2"/>
                <w:sz w:val="21"/>
                <w:szCs w:val="21"/>
                <w:highlight w:val="none"/>
              </w:rPr>
              <w:t>km，敷设至用电设备。</w:t>
            </w:r>
          </w:p>
          <w:p w14:paraId="06337B60">
            <w:pPr>
              <w:spacing w:line="360" w:lineRule="exact"/>
              <w:ind w:firstLine="414" w:firstLineChars="200"/>
              <w:jc w:val="both"/>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井口新建柱上变1座，</w:t>
            </w:r>
            <w:r>
              <w:rPr>
                <w:rFonts w:ascii="Times New Roman" w:hAnsi="Times New Roman" w:cs="Times New Roman"/>
                <w:color w:val="auto"/>
                <w:w w:val="99"/>
                <w:kern w:val="2"/>
                <w:sz w:val="21"/>
                <w:szCs w:val="21"/>
                <w:highlight w:val="none"/>
              </w:rPr>
              <w:t>新建10kV线路</w:t>
            </w:r>
            <w:r>
              <w:rPr>
                <w:rFonts w:hint="eastAsia" w:ascii="Times New Roman" w:hAnsi="Times New Roman" w:cs="Times New Roman"/>
                <w:color w:val="auto"/>
                <w:w w:val="99"/>
                <w:kern w:val="2"/>
                <w:sz w:val="21"/>
                <w:szCs w:val="21"/>
                <w:highlight w:val="none"/>
              </w:rPr>
              <w:t>0.8</w:t>
            </w:r>
            <w:r>
              <w:rPr>
                <w:rFonts w:ascii="Times New Roman" w:hAnsi="Times New Roman" w:cs="Times New Roman"/>
                <w:color w:val="auto"/>
                <w:w w:val="99"/>
                <w:kern w:val="2"/>
                <w:sz w:val="21"/>
                <w:szCs w:val="21"/>
                <w:highlight w:val="none"/>
              </w:rPr>
              <w:t>km，导线采用LGJ-50型。</w:t>
            </w:r>
          </w:p>
        </w:tc>
        <w:tc>
          <w:tcPr>
            <w:tcW w:w="439" w:type="pct"/>
            <w:vAlign w:val="center"/>
          </w:tcPr>
          <w:p w14:paraId="0010B445">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新建</w:t>
            </w:r>
          </w:p>
        </w:tc>
      </w:tr>
      <w:tr w14:paraId="675BB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restart"/>
            <w:vAlign w:val="center"/>
          </w:tcPr>
          <w:p w14:paraId="0E22A379">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环保工程</w:t>
            </w:r>
          </w:p>
        </w:tc>
        <w:tc>
          <w:tcPr>
            <w:tcW w:w="404" w:type="pct"/>
            <w:gridSpan w:val="2"/>
            <w:vMerge w:val="restart"/>
            <w:vAlign w:val="center"/>
          </w:tcPr>
          <w:p w14:paraId="61E605C3">
            <w:pPr>
              <w:spacing w:line="34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施工期</w:t>
            </w:r>
          </w:p>
        </w:tc>
        <w:tc>
          <w:tcPr>
            <w:tcW w:w="503" w:type="pct"/>
            <w:vAlign w:val="center"/>
          </w:tcPr>
          <w:p w14:paraId="5077FB81">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废气</w:t>
            </w:r>
            <w:r>
              <w:rPr>
                <w:rFonts w:ascii="Times New Roman" w:hAnsi="Times New Roman" w:cs="Times New Roman"/>
                <w:color w:val="auto"/>
                <w:w w:val="99"/>
                <w:sz w:val="21"/>
                <w:szCs w:val="21"/>
                <w:highlight w:val="none"/>
                <w:lang w:bidi="ar"/>
              </w:rPr>
              <w:t>治理措施</w:t>
            </w:r>
          </w:p>
        </w:tc>
        <w:tc>
          <w:tcPr>
            <w:tcW w:w="3299" w:type="pct"/>
            <w:vAlign w:val="center"/>
          </w:tcPr>
          <w:p w14:paraId="25F872C2">
            <w:pPr>
              <w:spacing w:line="360" w:lineRule="exact"/>
              <w:ind w:firstLine="414" w:firstLineChars="200"/>
              <w:jc w:val="both"/>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井场、管线、道路、站场施工现场洒水抑尘，表土及建材堆放设置挡风板、上覆遮盖材料，施工运输车辆采取密闭措施或加盖防尘布。</w:t>
            </w:r>
          </w:p>
          <w:p w14:paraId="47574FB9">
            <w:pPr>
              <w:spacing w:line="360" w:lineRule="exact"/>
              <w:ind w:firstLine="414" w:firstLineChars="200"/>
              <w:jc w:val="both"/>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车辆和施工机械选用优质汽油及柴油。</w:t>
            </w:r>
          </w:p>
        </w:tc>
        <w:tc>
          <w:tcPr>
            <w:tcW w:w="439" w:type="pct"/>
            <w:vAlign w:val="center"/>
          </w:tcPr>
          <w:p w14:paraId="7B9A3E7A">
            <w:pPr>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新建</w:t>
            </w:r>
          </w:p>
        </w:tc>
      </w:tr>
      <w:tr w14:paraId="366CA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44D8A16A">
            <w:pPr>
              <w:spacing w:line="340" w:lineRule="exact"/>
              <w:jc w:val="center"/>
              <w:rPr>
                <w:rFonts w:ascii="Times New Roman" w:hAnsi="Times New Roman" w:cs="Times New Roman"/>
                <w:color w:val="auto"/>
                <w:w w:val="99"/>
                <w:kern w:val="2"/>
                <w:sz w:val="21"/>
                <w:szCs w:val="21"/>
                <w:highlight w:val="none"/>
              </w:rPr>
            </w:pPr>
          </w:p>
        </w:tc>
        <w:tc>
          <w:tcPr>
            <w:tcW w:w="403" w:type="pct"/>
            <w:gridSpan w:val="2"/>
            <w:vMerge w:val="continue"/>
            <w:vAlign w:val="center"/>
          </w:tcPr>
          <w:p w14:paraId="45B5353A">
            <w:pPr>
              <w:spacing w:line="340" w:lineRule="exact"/>
              <w:jc w:val="center"/>
              <w:rPr>
                <w:rFonts w:ascii="Times New Roman" w:hAnsi="Times New Roman" w:cs="Times New Roman"/>
                <w:color w:val="auto"/>
                <w:w w:val="99"/>
                <w:kern w:val="2"/>
                <w:sz w:val="21"/>
                <w:szCs w:val="21"/>
                <w:highlight w:val="none"/>
              </w:rPr>
            </w:pPr>
          </w:p>
        </w:tc>
        <w:tc>
          <w:tcPr>
            <w:tcW w:w="504" w:type="pct"/>
            <w:vMerge w:val="restart"/>
            <w:vAlign w:val="center"/>
          </w:tcPr>
          <w:p w14:paraId="53C7C41E">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废水</w:t>
            </w:r>
            <w:r>
              <w:rPr>
                <w:rFonts w:ascii="Times New Roman" w:hAnsi="Times New Roman" w:cs="Times New Roman"/>
                <w:color w:val="auto"/>
                <w:w w:val="99"/>
                <w:sz w:val="21"/>
                <w:szCs w:val="21"/>
                <w:highlight w:val="none"/>
                <w:lang w:bidi="ar"/>
              </w:rPr>
              <w:t>治理措施</w:t>
            </w:r>
          </w:p>
        </w:tc>
        <w:tc>
          <w:tcPr>
            <w:tcW w:w="3299" w:type="pct"/>
            <w:vAlign w:val="center"/>
          </w:tcPr>
          <w:p w14:paraId="31BB88C4">
            <w:pPr>
              <w:pStyle w:val="2857"/>
              <w:kinsoku w:val="0"/>
              <w:autoSpaceDE w:val="0"/>
              <w:autoSpaceDN w:val="0"/>
              <w:adjustRightInd w:val="0"/>
              <w:snapToGrid w:val="0"/>
              <w:spacing w:line="360" w:lineRule="exact"/>
              <w:ind w:firstLine="414" w:firstLineChars="200"/>
              <w:jc w:val="both"/>
              <w:textAlignment w:val="baseline"/>
              <w:rPr>
                <w:rFonts w:ascii="Times New Roman" w:hAnsi="Times New Roman" w:cs="Times New Roman"/>
                <w:color w:val="auto"/>
                <w:w w:val="99"/>
                <w:sz w:val="21"/>
                <w:szCs w:val="21"/>
                <w:highlight w:val="none"/>
                <w:lang w:eastAsia="zh-CN" w:bidi="ar"/>
              </w:rPr>
            </w:pPr>
            <w:r>
              <w:rPr>
                <w:rFonts w:ascii="Times New Roman" w:hAnsi="Times New Roman" w:cs="Times New Roman"/>
                <w:color w:val="auto"/>
                <w:w w:val="99"/>
                <w:sz w:val="21"/>
                <w:szCs w:val="21"/>
                <w:highlight w:val="none"/>
                <w:lang w:eastAsia="zh-CN" w:bidi="ar"/>
              </w:rPr>
              <w:t>地面工程生活污水排入本项目附近集气站已建生活污水收集设施，定期由大庆石油管理局有限公司庆南工矿服务公司红岗分公司拉运至大庆红岗区西巷污水回收站，管输至南区污水处理厂进行处理；</w:t>
            </w:r>
          </w:p>
        </w:tc>
        <w:tc>
          <w:tcPr>
            <w:tcW w:w="439" w:type="pct"/>
            <w:vAlign w:val="center"/>
          </w:tcPr>
          <w:p w14:paraId="027AA731">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依托</w:t>
            </w:r>
          </w:p>
        </w:tc>
      </w:tr>
      <w:tr w14:paraId="58D0D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01C5088D">
            <w:pPr>
              <w:spacing w:line="340" w:lineRule="exact"/>
              <w:jc w:val="center"/>
              <w:rPr>
                <w:rFonts w:ascii="Times New Roman" w:hAnsi="Times New Roman" w:cs="Times New Roman"/>
                <w:color w:val="auto"/>
                <w:w w:val="99"/>
                <w:kern w:val="2"/>
                <w:sz w:val="21"/>
                <w:szCs w:val="21"/>
                <w:highlight w:val="none"/>
              </w:rPr>
            </w:pPr>
          </w:p>
        </w:tc>
        <w:tc>
          <w:tcPr>
            <w:tcW w:w="403" w:type="pct"/>
            <w:gridSpan w:val="2"/>
            <w:vMerge w:val="continue"/>
            <w:vAlign w:val="center"/>
          </w:tcPr>
          <w:p w14:paraId="7EE5C071">
            <w:pPr>
              <w:spacing w:line="340" w:lineRule="exact"/>
              <w:jc w:val="center"/>
              <w:rPr>
                <w:rFonts w:ascii="Times New Roman" w:hAnsi="Times New Roman" w:cs="Times New Roman"/>
                <w:color w:val="auto"/>
                <w:w w:val="99"/>
                <w:kern w:val="2"/>
                <w:sz w:val="21"/>
                <w:szCs w:val="21"/>
                <w:highlight w:val="none"/>
              </w:rPr>
            </w:pPr>
          </w:p>
        </w:tc>
        <w:tc>
          <w:tcPr>
            <w:tcW w:w="504" w:type="pct"/>
            <w:vMerge w:val="continue"/>
            <w:vAlign w:val="center"/>
          </w:tcPr>
          <w:p w14:paraId="4F14AA3C">
            <w:pPr>
              <w:spacing w:line="340" w:lineRule="exact"/>
              <w:jc w:val="center"/>
              <w:rPr>
                <w:rFonts w:ascii="Times New Roman" w:hAnsi="Times New Roman" w:cs="Times New Roman"/>
                <w:color w:val="auto"/>
                <w:w w:val="99"/>
                <w:kern w:val="2"/>
                <w:sz w:val="21"/>
                <w:szCs w:val="21"/>
                <w:highlight w:val="none"/>
              </w:rPr>
            </w:pPr>
          </w:p>
        </w:tc>
        <w:tc>
          <w:tcPr>
            <w:tcW w:w="3299" w:type="pct"/>
            <w:vAlign w:val="center"/>
          </w:tcPr>
          <w:p w14:paraId="66D3A207">
            <w:pPr>
              <w:pStyle w:val="2857"/>
              <w:kinsoku w:val="0"/>
              <w:autoSpaceDE w:val="0"/>
              <w:autoSpaceDN w:val="0"/>
              <w:adjustRightInd w:val="0"/>
              <w:snapToGrid w:val="0"/>
              <w:spacing w:line="360" w:lineRule="exact"/>
              <w:ind w:firstLine="414" w:firstLineChars="200"/>
              <w:jc w:val="both"/>
              <w:textAlignment w:val="baseline"/>
              <w:rPr>
                <w:rFonts w:ascii="Times New Roman" w:hAnsi="Times New Roman" w:cs="Times New Roman"/>
                <w:color w:val="auto"/>
                <w:w w:val="99"/>
                <w:sz w:val="21"/>
                <w:szCs w:val="21"/>
                <w:highlight w:val="none"/>
                <w:lang w:eastAsia="zh-CN" w:bidi="ar"/>
              </w:rPr>
            </w:pPr>
            <w:r>
              <w:rPr>
                <w:rFonts w:ascii="Times New Roman" w:hAnsi="Times New Roman" w:cs="Times New Roman"/>
                <w:color w:val="auto"/>
                <w:w w:val="99"/>
                <w:sz w:val="21"/>
                <w:szCs w:val="21"/>
                <w:highlight w:val="none"/>
                <w:lang w:eastAsia="zh-CN" w:bidi="ar"/>
              </w:rPr>
              <w:t>管线试压废水由罐车拉运升一联气田污水预处理站处理满足《大庆油田地面工程建设设计规定》（Q/SYDQ0639-2015）及《碎屑岩油藏注水水质指标技术要求及分析方法》（SY/T5329-2022）限值要求后回注油层，不外排。</w:t>
            </w:r>
          </w:p>
        </w:tc>
        <w:tc>
          <w:tcPr>
            <w:tcW w:w="439" w:type="pct"/>
            <w:vAlign w:val="center"/>
          </w:tcPr>
          <w:p w14:paraId="5FFBC567">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依托</w:t>
            </w:r>
          </w:p>
        </w:tc>
      </w:tr>
      <w:tr w14:paraId="72125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5F12AA7E">
            <w:pPr>
              <w:spacing w:line="340" w:lineRule="exact"/>
              <w:jc w:val="center"/>
              <w:rPr>
                <w:rFonts w:ascii="Times New Roman" w:hAnsi="Times New Roman" w:cs="Times New Roman"/>
                <w:color w:val="auto"/>
                <w:w w:val="99"/>
                <w:kern w:val="2"/>
                <w:sz w:val="21"/>
                <w:szCs w:val="21"/>
                <w:highlight w:val="none"/>
              </w:rPr>
            </w:pPr>
          </w:p>
        </w:tc>
        <w:tc>
          <w:tcPr>
            <w:tcW w:w="403" w:type="pct"/>
            <w:gridSpan w:val="2"/>
            <w:vMerge w:val="continue"/>
            <w:vAlign w:val="center"/>
          </w:tcPr>
          <w:p w14:paraId="6A238B19">
            <w:pPr>
              <w:spacing w:line="340" w:lineRule="exact"/>
              <w:jc w:val="center"/>
              <w:rPr>
                <w:rFonts w:ascii="Times New Roman" w:hAnsi="Times New Roman" w:cs="Times New Roman"/>
                <w:color w:val="auto"/>
                <w:w w:val="99"/>
                <w:kern w:val="2"/>
                <w:sz w:val="21"/>
                <w:szCs w:val="21"/>
                <w:highlight w:val="none"/>
              </w:rPr>
            </w:pPr>
          </w:p>
        </w:tc>
        <w:tc>
          <w:tcPr>
            <w:tcW w:w="504" w:type="pct"/>
            <w:vAlign w:val="center"/>
          </w:tcPr>
          <w:p w14:paraId="709C2A6D">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噪声</w:t>
            </w:r>
            <w:r>
              <w:rPr>
                <w:rFonts w:ascii="Times New Roman" w:hAnsi="Times New Roman" w:cs="Times New Roman"/>
                <w:color w:val="auto"/>
                <w:w w:val="99"/>
                <w:sz w:val="21"/>
                <w:szCs w:val="21"/>
                <w:highlight w:val="none"/>
                <w:lang w:bidi="ar"/>
              </w:rPr>
              <w:t>治理措施</w:t>
            </w:r>
          </w:p>
        </w:tc>
        <w:tc>
          <w:tcPr>
            <w:tcW w:w="3299" w:type="pct"/>
            <w:vAlign w:val="center"/>
          </w:tcPr>
          <w:p w14:paraId="32148A77">
            <w:pPr>
              <w:spacing w:line="360" w:lineRule="exact"/>
              <w:ind w:firstLine="414" w:firstLineChars="200"/>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施工期噪声主要是施工设备和运输车辆产生的噪声。施工期选用低噪声设备；定期对施工设备进行保养维护，保证设备保持在最佳运行状态，降低噪声源强度。</w:t>
            </w:r>
          </w:p>
        </w:tc>
        <w:tc>
          <w:tcPr>
            <w:tcW w:w="439" w:type="pct"/>
            <w:vAlign w:val="center"/>
          </w:tcPr>
          <w:p w14:paraId="5910BC3D">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w:t>
            </w:r>
          </w:p>
        </w:tc>
      </w:tr>
      <w:tr w14:paraId="4770F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445A0067">
            <w:pPr>
              <w:spacing w:line="340" w:lineRule="exact"/>
              <w:jc w:val="center"/>
              <w:rPr>
                <w:rFonts w:ascii="Times New Roman" w:hAnsi="Times New Roman" w:cs="Times New Roman"/>
                <w:color w:val="auto"/>
                <w:w w:val="99"/>
                <w:kern w:val="2"/>
                <w:sz w:val="21"/>
                <w:szCs w:val="21"/>
                <w:highlight w:val="none"/>
              </w:rPr>
            </w:pPr>
          </w:p>
        </w:tc>
        <w:tc>
          <w:tcPr>
            <w:tcW w:w="403" w:type="pct"/>
            <w:gridSpan w:val="2"/>
            <w:vMerge w:val="continue"/>
            <w:vAlign w:val="center"/>
          </w:tcPr>
          <w:p w14:paraId="4BCE48A8">
            <w:pPr>
              <w:spacing w:line="340" w:lineRule="exact"/>
              <w:jc w:val="center"/>
              <w:rPr>
                <w:rFonts w:ascii="Times New Roman" w:hAnsi="Times New Roman" w:cs="Times New Roman"/>
                <w:color w:val="auto"/>
                <w:w w:val="99"/>
                <w:kern w:val="2"/>
                <w:sz w:val="21"/>
                <w:szCs w:val="21"/>
                <w:highlight w:val="none"/>
              </w:rPr>
            </w:pPr>
          </w:p>
        </w:tc>
        <w:tc>
          <w:tcPr>
            <w:tcW w:w="504" w:type="pct"/>
            <w:vMerge w:val="restart"/>
            <w:vAlign w:val="center"/>
          </w:tcPr>
          <w:p w14:paraId="43C63BAF">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固体废物</w:t>
            </w:r>
            <w:r>
              <w:rPr>
                <w:rFonts w:ascii="Times New Roman" w:hAnsi="Times New Roman" w:cs="Times New Roman"/>
                <w:color w:val="auto"/>
                <w:w w:val="99"/>
                <w:sz w:val="21"/>
                <w:szCs w:val="21"/>
                <w:highlight w:val="none"/>
                <w:lang w:bidi="ar"/>
              </w:rPr>
              <w:t>治理措施</w:t>
            </w:r>
          </w:p>
        </w:tc>
        <w:tc>
          <w:tcPr>
            <w:tcW w:w="3299" w:type="pct"/>
            <w:vAlign w:val="center"/>
          </w:tcPr>
          <w:p w14:paraId="26EC7C92">
            <w:pPr>
              <w:pStyle w:val="2857"/>
              <w:kinsoku w:val="0"/>
              <w:autoSpaceDE w:val="0"/>
              <w:autoSpaceDN w:val="0"/>
              <w:adjustRightInd w:val="0"/>
              <w:snapToGrid w:val="0"/>
              <w:spacing w:line="360" w:lineRule="exact"/>
              <w:ind w:firstLine="414" w:firstLineChars="200"/>
              <w:jc w:val="both"/>
              <w:textAlignment w:val="baseline"/>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生活垃圾：每个钻井小队设垃圾箱1个</w:t>
            </w:r>
            <w:r>
              <w:rPr>
                <w:rFonts w:hint="eastAsia" w:ascii="Times New Roman" w:hAnsi="Times New Roman" w:cs="Times New Roman"/>
                <w:color w:val="auto"/>
                <w:w w:val="99"/>
                <w:sz w:val="21"/>
                <w:szCs w:val="21"/>
                <w:highlight w:val="none"/>
                <w:lang w:eastAsia="zh-CN"/>
              </w:rPr>
              <w:t>，</w:t>
            </w:r>
            <w:r>
              <w:rPr>
                <w:rFonts w:ascii="Times New Roman" w:hAnsi="Times New Roman" w:cs="Times New Roman"/>
                <w:color w:val="auto"/>
                <w:w w:val="99"/>
                <w:sz w:val="21"/>
                <w:szCs w:val="21"/>
                <w:highlight w:val="none"/>
                <w:lang w:eastAsia="zh-CN"/>
              </w:rPr>
              <w:t>统一收集后拉运至</w:t>
            </w:r>
            <w:r>
              <w:rPr>
                <w:rFonts w:hint="eastAsia" w:ascii="Times New Roman" w:hAnsi="Times New Roman" w:cs="Times New Roman"/>
                <w:color w:val="auto"/>
                <w:w w:val="99"/>
                <w:sz w:val="21"/>
                <w:szCs w:val="21"/>
                <w:highlight w:val="none"/>
                <w:lang w:eastAsia="zh-CN"/>
              </w:rPr>
              <w:t>肇东北控环境再生能源有限公司</w:t>
            </w:r>
            <w:r>
              <w:rPr>
                <w:rFonts w:ascii="Times New Roman" w:hAnsi="Times New Roman" w:cs="Times New Roman"/>
                <w:color w:val="auto"/>
                <w:w w:val="99"/>
                <w:sz w:val="21"/>
                <w:szCs w:val="21"/>
                <w:highlight w:val="none"/>
                <w:lang w:eastAsia="zh-CN"/>
              </w:rPr>
              <w:t>处理。</w:t>
            </w:r>
          </w:p>
        </w:tc>
        <w:tc>
          <w:tcPr>
            <w:tcW w:w="439" w:type="pct"/>
            <w:vAlign w:val="center"/>
          </w:tcPr>
          <w:p w14:paraId="5973B844">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依托</w:t>
            </w:r>
          </w:p>
        </w:tc>
      </w:tr>
      <w:tr w14:paraId="375E3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3" w:type="pct"/>
            <w:vMerge w:val="continue"/>
            <w:vAlign w:val="center"/>
          </w:tcPr>
          <w:p w14:paraId="52CC27DB">
            <w:pPr>
              <w:spacing w:line="340" w:lineRule="exact"/>
              <w:jc w:val="center"/>
              <w:rPr>
                <w:rFonts w:ascii="Times New Roman" w:hAnsi="Times New Roman" w:cs="Times New Roman"/>
                <w:color w:val="auto"/>
                <w:w w:val="99"/>
                <w:kern w:val="2"/>
                <w:sz w:val="21"/>
                <w:szCs w:val="21"/>
                <w:highlight w:val="none"/>
              </w:rPr>
            </w:pPr>
          </w:p>
        </w:tc>
        <w:tc>
          <w:tcPr>
            <w:tcW w:w="403" w:type="pct"/>
            <w:gridSpan w:val="2"/>
            <w:vMerge w:val="continue"/>
            <w:vAlign w:val="center"/>
          </w:tcPr>
          <w:p w14:paraId="7D21CE74">
            <w:pPr>
              <w:spacing w:line="340" w:lineRule="exact"/>
              <w:jc w:val="center"/>
              <w:rPr>
                <w:rFonts w:ascii="Times New Roman" w:hAnsi="Times New Roman" w:cs="Times New Roman"/>
                <w:color w:val="auto"/>
                <w:w w:val="99"/>
                <w:kern w:val="2"/>
                <w:sz w:val="21"/>
                <w:szCs w:val="21"/>
                <w:highlight w:val="none"/>
              </w:rPr>
            </w:pPr>
          </w:p>
        </w:tc>
        <w:tc>
          <w:tcPr>
            <w:tcW w:w="504" w:type="pct"/>
            <w:vMerge w:val="continue"/>
            <w:vAlign w:val="center"/>
          </w:tcPr>
          <w:p w14:paraId="14FA2670">
            <w:pPr>
              <w:spacing w:line="340" w:lineRule="exact"/>
              <w:jc w:val="center"/>
              <w:rPr>
                <w:rFonts w:ascii="Times New Roman" w:hAnsi="Times New Roman" w:cs="Times New Roman"/>
                <w:color w:val="auto"/>
                <w:w w:val="99"/>
                <w:kern w:val="2"/>
                <w:sz w:val="21"/>
                <w:szCs w:val="21"/>
                <w:highlight w:val="none"/>
              </w:rPr>
            </w:pPr>
          </w:p>
        </w:tc>
        <w:tc>
          <w:tcPr>
            <w:tcW w:w="3299" w:type="pct"/>
            <w:vAlign w:val="center"/>
          </w:tcPr>
          <w:p w14:paraId="5BA1588C">
            <w:pPr>
              <w:pStyle w:val="2857"/>
              <w:kinsoku w:val="0"/>
              <w:autoSpaceDE w:val="0"/>
              <w:autoSpaceDN w:val="0"/>
              <w:adjustRightInd w:val="0"/>
              <w:snapToGrid w:val="0"/>
              <w:spacing w:line="360" w:lineRule="exact"/>
              <w:ind w:firstLine="414" w:firstLineChars="200"/>
              <w:jc w:val="both"/>
              <w:textAlignment w:val="baseline"/>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施工废料：本项目管道焊接、补口时会产生废焊渣、废防腐材料（废聚乙烯热收缩带和废聚乙烯补伤片）等施工废料，</w:t>
            </w:r>
            <w:r>
              <w:rPr>
                <w:rFonts w:ascii="Times New Roman" w:hAnsi="Times New Roman" w:cs="Times New Roman"/>
                <w:color w:val="auto"/>
                <w:w w:val="99"/>
                <w:kern w:val="2"/>
                <w:highlight w:val="none"/>
                <w:lang w:eastAsia="zh-CN"/>
              </w:rPr>
              <w:t>由施工单位</w:t>
            </w:r>
            <w:r>
              <w:rPr>
                <w:rFonts w:hint="eastAsia" w:ascii="Times New Roman" w:hAnsi="Times New Roman" w:cs="Times New Roman"/>
                <w:color w:val="auto"/>
                <w:w w:val="99"/>
                <w:sz w:val="21"/>
                <w:szCs w:val="21"/>
                <w:highlight w:val="none"/>
                <w:lang w:eastAsia="zh-CN"/>
              </w:rPr>
              <w:t>拉运至第八采油厂工业固体废物填埋场填埋。</w:t>
            </w:r>
          </w:p>
        </w:tc>
        <w:tc>
          <w:tcPr>
            <w:tcW w:w="439" w:type="pct"/>
            <w:vAlign w:val="center"/>
          </w:tcPr>
          <w:p w14:paraId="57CEE619">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依托</w:t>
            </w:r>
          </w:p>
        </w:tc>
      </w:tr>
      <w:tr w14:paraId="49543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3" w:type="pct"/>
            <w:vMerge w:val="continue"/>
            <w:vAlign w:val="center"/>
          </w:tcPr>
          <w:p w14:paraId="341EA55A">
            <w:pPr>
              <w:spacing w:line="340" w:lineRule="exact"/>
              <w:jc w:val="center"/>
              <w:rPr>
                <w:rFonts w:ascii="Times New Roman" w:hAnsi="Times New Roman" w:cs="Times New Roman"/>
                <w:color w:val="auto"/>
                <w:w w:val="99"/>
                <w:kern w:val="2"/>
                <w:sz w:val="21"/>
                <w:szCs w:val="21"/>
                <w:highlight w:val="none"/>
              </w:rPr>
            </w:pPr>
          </w:p>
        </w:tc>
        <w:tc>
          <w:tcPr>
            <w:tcW w:w="403" w:type="pct"/>
            <w:gridSpan w:val="2"/>
            <w:vMerge w:val="continue"/>
            <w:vAlign w:val="center"/>
          </w:tcPr>
          <w:p w14:paraId="16BA47D6">
            <w:pPr>
              <w:spacing w:line="340" w:lineRule="exact"/>
              <w:jc w:val="center"/>
              <w:rPr>
                <w:rFonts w:ascii="Times New Roman" w:hAnsi="Times New Roman" w:cs="Times New Roman"/>
                <w:color w:val="auto"/>
                <w:w w:val="99"/>
                <w:kern w:val="2"/>
                <w:sz w:val="21"/>
                <w:szCs w:val="21"/>
                <w:highlight w:val="none"/>
              </w:rPr>
            </w:pPr>
          </w:p>
        </w:tc>
        <w:tc>
          <w:tcPr>
            <w:tcW w:w="504" w:type="pct"/>
            <w:vMerge w:val="continue"/>
            <w:vAlign w:val="center"/>
          </w:tcPr>
          <w:p w14:paraId="0362A3EE">
            <w:pPr>
              <w:spacing w:line="340" w:lineRule="exact"/>
              <w:jc w:val="center"/>
              <w:rPr>
                <w:rFonts w:ascii="Times New Roman" w:hAnsi="Times New Roman" w:cs="Times New Roman"/>
                <w:color w:val="auto"/>
                <w:w w:val="99"/>
                <w:kern w:val="2"/>
                <w:sz w:val="21"/>
                <w:szCs w:val="21"/>
                <w:highlight w:val="none"/>
              </w:rPr>
            </w:pPr>
          </w:p>
        </w:tc>
        <w:tc>
          <w:tcPr>
            <w:tcW w:w="3299" w:type="pct"/>
            <w:vAlign w:val="center"/>
          </w:tcPr>
          <w:p w14:paraId="7A378400">
            <w:pPr>
              <w:pStyle w:val="2857"/>
              <w:kinsoku w:val="0"/>
              <w:autoSpaceDE w:val="0"/>
              <w:autoSpaceDN w:val="0"/>
              <w:adjustRightInd w:val="0"/>
              <w:snapToGrid w:val="0"/>
              <w:spacing w:line="360" w:lineRule="exact"/>
              <w:ind w:firstLine="414" w:firstLineChars="200"/>
              <w:jc w:val="both"/>
              <w:textAlignment w:val="baseline"/>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管线定向钻废弃泥浆由罐车拉运至采油八厂废弃钻井液集中处理站进行处理，</w:t>
            </w:r>
            <w:r>
              <w:rPr>
                <w:rFonts w:hint="eastAsia" w:ascii="Times New Roman" w:hAnsi="Times New Roman" w:cs="Times New Roman"/>
                <w:color w:val="auto"/>
                <w:w w:val="99"/>
                <w:kern w:val="2"/>
                <w:sz w:val="21"/>
                <w:szCs w:val="21"/>
                <w:highlight w:val="none"/>
                <w:lang w:eastAsia="zh-CN"/>
              </w:rPr>
              <w:t>处理后的泥饼统一收集后转运至大庆油田采油八厂指定地点，作为油田铺路、铺垫井场、修井间防火墙及回填等综合利用</w:t>
            </w:r>
            <w:r>
              <w:rPr>
                <w:rFonts w:ascii="Times New Roman" w:hAnsi="Times New Roman" w:cs="Times New Roman"/>
                <w:color w:val="auto"/>
                <w:w w:val="99"/>
                <w:sz w:val="21"/>
                <w:szCs w:val="21"/>
                <w:highlight w:val="none"/>
                <w:lang w:eastAsia="zh-CN"/>
              </w:rPr>
              <w:t>。</w:t>
            </w:r>
          </w:p>
        </w:tc>
        <w:tc>
          <w:tcPr>
            <w:tcW w:w="439" w:type="pct"/>
            <w:vAlign w:val="center"/>
          </w:tcPr>
          <w:p w14:paraId="3ECFEA16">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bCs/>
                <w:color w:val="auto"/>
                <w:w w:val="99"/>
                <w:kern w:val="21"/>
                <w:sz w:val="21"/>
                <w:szCs w:val="21"/>
                <w:highlight w:val="none"/>
              </w:rPr>
              <w:t>依托</w:t>
            </w:r>
          </w:p>
        </w:tc>
      </w:tr>
      <w:tr w14:paraId="07D04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3E0FD676">
            <w:pPr>
              <w:spacing w:line="340" w:lineRule="exact"/>
              <w:jc w:val="center"/>
              <w:rPr>
                <w:rFonts w:ascii="Times New Roman" w:hAnsi="Times New Roman" w:cs="Times New Roman"/>
                <w:color w:val="auto"/>
                <w:w w:val="99"/>
                <w:kern w:val="2"/>
                <w:sz w:val="21"/>
                <w:szCs w:val="21"/>
                <w:highlight w:val="none"/>
              </w:rPr>
            </w:pPr>
          </w:p>
        </w:tc>
        <w:tc>
          <w:tcPr>
            <w:tcW w:w="403" w:type="pct"/>
            <w:gridSpan w:val="2"/>
            <w:vMerge w:val="continue"/>
            <w:vAlign w:val="center"/>
          </w:tcPr>
          <w:p w14:paraId="00A3553F">
            <w:pPr>
              <w:spacing w:line="340" w:lineRule="exact"/>
              <w:jc w:val="center"/>
              <w:rPr>
                <w:rFonts w:ascii="Times New Roman" w:hAnsi="Times New Roman" w:cs="Times New Roman"/>
                <w:color w:val="auto"/>
                <w:w w:val="99"/>
                <w:kern w:val="2"/>
                <w:sz w:val="21"/>
                <w:szCs w:val="21"/>
                <w:highlight w:val="none"/>
              </w:rPr>
            </w:pPr>
          </w:p>
        </w:tc>
        <w:tc>
          <w:tcPr>
            <w:tcW w:w="504" w:type="pct"/>
            <w:vAlign w:val="center"/>
          </w:tcPr>
          <w:p w14:paraId="150A0657">
            <w:pPr>
              <w:spacing w:line="34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生态环境保护措施</w:t>
            </w:r>
          </w:p>
        </w:tc>
        <w:tc>
          <w:tcPr>
            <w:tcW w:w="3299" w:type="pct"/>
            <w:vAlign w:val="center"/>
          </w:tcPr>
          <w:p w14:paraId="3CA1F0C7">
            <w:pPr>
              <w:pStyle w:val="2857"/>
              <w:kinsoku w:val="0"/>
              <w:autoSpaceDE w:val="0"/>
              <w:autoSpaceDN w:val="0"/>
              <w:adjustRightInd w:val="0"/>
              <w:snapToGrid w:val="0"/>
              <w:spacing w:line="360" w:lineRule="exact"/>
              <w:jc w:val="both"/>
              <w:textAlignment w:val="baseline"/>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施工期作业带清理、管沟开挖的建设对土壤造成扰动和植被的破坏，项目施工期均在临时占地内进行施工，并且施工结束后及时清理施工现场、对临时占用的土地进行植被恢复</w:t>
            </w:r>
          </w:p>
        </w:tc>
        <w:tc>
          <w:tcPr>
            <w:tcW w:w="439" w:type="pct"/>
            <w:vAlign w:val="center"/>
          </w:tcPr>
          <w:p w14:paraId="2B9ED7FA">
            <w:pPr>
              <w:spacing w:line="340" w:lineRule="exact"/>
              <w:jc w:val="center"/>
              <w:rPr>
                <w:rFonts w:ascii="Times New Roman" w:hAnsi="Times New Roman" w:cs="Times New Roman"/>
                <w:bCs/>
                <w:color w:val="auto"/>
                <w:w w:val="99"/>
                <w:kern w:val="21"/>
                <w:sz w:val="21"/>
                <w:szCs w:val="21"/>
                <w:highlight w:val="none"/>
              </w:rPr>
            </w:pPr>
            <w:r>
              <w:rPr>
                <w:rFonts w:hint="eastAsia" w:ascii="Times New Roman" w:hAnsi="Times New Roman" w:cs="Times New Roman"/>
                <w:bCs/>
                <w:color w:val="auto"/>
                <w:w w:val="99"/>
                <w:kern w:val="21"/>
                <w:sz w:val="21"/>
                <w:szCs w:val="21"/>
                <w:highlight w:val="none"/>
              </w:rPr>
              <w:t>/</w:t>
            </w:r>
          </w:p>
        </w:tc>
      </w:tr>
      <w:tr w14:paraId="33765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5D2D18B3">
            <w:pPr>
              <w:spacing w:line="340" w:lineRule="exact"/>
              <w:jc w:val="center"/>
              <w:rPr>
                <w:rFonts w:ascii="Times New Roman" w:hAnsi="Times New Roman" w:cs="Times New Roman"/>
                <w:color w:val="auto"/>
                <w:w w:val="99"/>
                <w:kern w:val="2"/>
                <w:sz w:val="21"/>
                <w:szCs w:val="21"/>
                <w:highlight w:val="none"/>
              </w:rPr>
            </w:pPr>
          </w:p>
        </w:tc>
        <w:tc>
          <w:tcPr>
            <w:tcW w:w="403" w:type="pct"/>
            <w:gridSpan w:val="2"/>
            <w:vMerge w:val="restart"/>
            <w:vAlign w:val="center"/>
          </w:tcPr>
          <w:p w14:paraId="26198011">
            <w:pPr>
              <w:spacing w:line="34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运营期</w:t>
            </w:r>
          </w:p>
        </w:tc>
        <w:tc>
          <w:tcPr>
            <w:tcW w:w="504" w:type="pct"/>
            <w:vMerge w:val="restart"/>
            <w:vAlign w:val="center"/>
          </w:tcPr>
          <w:p w14:paraId="3B52DB60">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废气处理</w:t>
            </w:r>
            <w:r>
              <w:rPr>
                <w:rFonts w:hint="eastAsia" w:ascii="Times New Roman" w:hAnsi="Times New Roman" w:cs="Times New Roman"/>
                <w:color w:val="auto"/>
                <w:w w:val="99"/>
                <w:kern w:val="2"/>
                <w:sz w:val="21"/>
                <w:szCs w:val="21"/>
                <w:highlight w:val="none"/>
              </w:rPr>
              <w:t>措施</w:t>
            </w:r>
          </w:p>
        </w:tc>
        <w:tc>
          <w:tcPr>
            <w:tcW w:w="3299" w:type="pct"/>
            <w:vAlign w:val="center"/>
          </w:tcPr>
          <w:p w14:paraId="74B6CB7D">
            <w:pPr>
              <w:pStyle w:val="2857"/>
              <w:spacing w:line="360" w:lineRule="exact"/>
              <w:ind w:firstLine="414" w:firstLineChars="200"/>
              <w:jc w:val="both"/>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无组织挥发烃类：运行期天然气集输及处理过程无组织挥发的烃类气体（以非甲烷总烃计），通过密闭集输的方式，大量减少气体的无组织挥发。</w:t>
            </w:r>
          </w:p>
        </w:tc>
        <w:tc>
          <w:tcPr>
            <w:tcW w:w="439" w:type="pct"/>
            <w:vAlign w:val="center"/>
          </w:tcPr>
          <w:p w14:paraId="23A95D8B">
            <w:pPr>
              <w:spacing w:line="340" w:lineRule="exact"/>
              <w:jc w:val="center"/>
              <w:rPr>
                <w:rFonts w:ascii="Times New Roman" w:hAnsi="Times New Roman" w:cs="Times New Roman"/>
                <w:bCs/>
                <w:color w:val="auto"/>
                <w:w w:val="99"/>
                <w:kern w:val="21"/>
                <w:sz w:val="21"/>
                <w:szCs w:val="21"/>
                <w:highlight w:val="none"/>
              </w:rPr>
            </w:pPr>
            <w:r>
              <w:rPr>
                <w:rFonts w:hint="eastAsia" w:ascii="Times New Roman" w:hAnsi="Times New Roman" w:cs="Times New Roman"/>
                <w:bCs/>
                <w:color w:val="auto"/>
                <w:w w:val="99"/>
                <w:kern w:val="21"/>
                <w:sz w:val="21"/>
                <w:szCs w:val="21"/>
                <w:highlight w:val="none"/>
              </w:rPr>
              <w:t>新建</w:t>
            </w:r>
          </w:p>
        </w:tc>
      </w:tr>
      <w:tr w14:paraId="3E805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5ED91D6F">
            <w:pPr>
              <w:spacing w:line="340" w:lineRule="exact"/>
              <w:jc w:val="center"/>
              <w:rPr>
                <w:rFonts w:ascii="Times New Roman" w:hAnsi="Times New Roman" w:cs="Times New Roman"/>
                <w:color w:val="auto"/>
                <w:w w:val="99"/>
                <w:kern w:val="2"/>
                <w:sz w:val="21"/>
                <w:szCs w:val="21"/>
                <w:highlight w:val="none"/>
              </w:rPr>
            </w:pPr>
          </w:p>
        </w:tc>
        <w:tc>
          <w:tcPr>
            <w:tcW w:w="403" w:type="pct"/>
            <w:gridSpan w:val="2"/>
            <w:vMerge w:val="continue"/>
            <w:vAlign w:val="center"/>
          </w:tcPr>
          <w:p w14:paraId="4A4B23E2">
            <w:pPr>
              <w:spacing w:line="340" w:lineRule="exact"/>
              <w:jc w:val="center"/>
              <w:rPr>
                <w:rFonts w:ascii="Times New Roman" w:hAnsi="Times New Roman" w:cs="Times New Roman"/>
                <w:color w:val="auto"/>
                <w:w w:val="99"/>
                <w:kern w:val="2"/>
                <w:sz w:val="21"/>
                <w:szCs w:val="21"/>
                <w:highlight w:val="none"/>
              </w:rPr>
            </w:pPr>
          </w:p>
        </w:tc>
        <w:tc>
          <w:tcPr>
            <w:tcW w:w="504" w:type="pct"/>
            <w:vMerge w:val="continue"/>
            <w:vAlign w:val="center"/>
          </w:tcPr>
          <w:p w14:paraId="3FAC78E8">
            <w:pPr>
              <w:spacing w:line="340" w:lineRule="exact"/>
              <w:jc w:val="center"/>
              <w:rPr>
                <w:rFonts w:ascii="Times New Roman" w:hAnsi="Times New Roman" w:cs="Times New Roman"/>
                <w:color w:val="auto"/>
                <w:w w:val="99"/>
                <w:kern w:val="2"/>
                <w:sz w:val="21"/>
                <w:szCs w:val="21"/>
                <w:highlight w:val="none"/>
              </w:rPr>
            </w:pPr>
          </w:p>
        </w:tc>
        <w:tc>
          <w:tcPr>
            <w:tcW w:w="3299" w:type="pct"/>
            <w:vAlign w:val="center"/>
          </w:tcPr>
          <w:p w14:paraId="56A73405">
            <w:pPr>
              <w:pStyle w:val="2857"/>
              <w:spacing w:line="360" w:lineRule="exact"/>
              <w:ind w:firstLine="414" w:firstLineChars="200"/>
              <w:jc w:val="both"/>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加热炉烟气：依托场站加热炉采用清洁能源天然气，采用低氮燃烧器，产生的燃烧废气经不低于8m 高排气筒排放。</w:t>
            </w:r>
          </w:p>
        </w:tc>
        <w:tc>
          <w:tcPr>
            <w:tcW w:w="439" w:type="pct"/>
            <w:vAlign w:val="center"/>
          </w:tcPr>
          <w:p w14:paraId="6783988D">
            <w:pPr>
              <w:spacing w:line="340" w:lineRule="exact"/>
              <w:jc w:val="center"/>
              <w:rPr>
                <w:rFonts w:ascii="Times New Roman" w:hAnsi="Times New Roman" w:cs="Times New Roman"/>
                <w:bCs/>
                <w:color w:val="auto"/>
                <w:w w:val="99"/>
                <w:kern w:val="21"/>
                <w:sz w:val="21"/>
                <w:szCs w:val="21"/>
                <w:highlight w:val="none"/>
              </w:rPr>
            </w:pPr>
            <w:r>
              <w:rPr>
                <w:rFonts w:ascii="Times New Roman" w:hAnsi="Times New Roman" w:cs="Times New Roman"/>
                <w:bCs/>
                <w:color w:val="auto"/>
                <w:w w:val="99"/>
                <w:kern w:val="21"/>
                <w:sz w:val="21"/>
                <w:szCs w:val="21"/>
                <w:highlight w:val="none"/>
              </w:rPr>
              <w:t>依托</w:t>
            </w:r>
          </w:p>
        </w:tc>
      </w:tr>
      <w:tr w14:paraId="6A7BD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5CEDBC87">
            <w:pPr>
              <w:spacing w:line="340" w:lineRule="exact"/>
              <w:jc w:val="center"/>
              <w:rPr>
                <w:rFonts w:ascii="Times New Roman" w:hAnsi="Times New Roman" w:cs="Times New Roman"/>
                <w:color w:val="auto"/>
                <w:w w:val="99"/>
                <w:kern w:val="2"/>
                <w:sz w:val="21"/>
                <w:szCs w:val="21"/>
                <w:highlight w:val="none"/>
              </w:rPr>
            </w:pPr>
          </w:p>
        </w:tc>
        <w:tc>
          <w:tcPr>
            <w:tcW w:w="403" w:type="pct"/>
            <w:gridSpan w:val="2"/>
            <w:vMerge w:val="continue"/>
            <w:vAlign w:val="center"/>
          </w:tcPr>
          <w:p w14:paraId="276668AD">
            <w:pPr>
              <w:spacing w:line="340" w:lineRule="exact"/>
              <w:jc w:val="center"/>
              <w:rPr>
                <w:rFonts w:ascii="Times New Roman" w:hAnsi="Times New Roman" w:cs="Times New Roman"/>
                <w:color w:val="auto"/>
                <w:w w:val="99"/>
                <w:kern w:val="2"/>
                <w:sz w:val="21"/>
                <w:szCs w:val="21"/>
                <w:highlight w:val="none"/>
              </w:rPr>
            </w:pPr>
          </w:p>
        </w:tc>
        <w:tc>
          <w:tcPr>
            <w:tcW w:w="504" w:type="pct"/>
            <w:vMerge w:val="continue"/>
            <w:vAlign w:val="center"/>
          </w:tcPr>
          <w:p w14:paraId="1ECA8253">
            <w:pPr>
              <w:spacing w:line="340" w:lineRule="exact"/>
              <w:jc w:val="center"/>
              <w:rPr>
                <w:rFonts w:ascii="Times New Roman" w:hAnsi="Times New Roman" w:cs="Times New Roman"/>
                <w:color w:val="auto"/>
                <w:w w:val="99"/>
                <w:kern w:val="2"/>
                <w:sz w:val="21"/>
                <w:szCs w:val="21"/>
                <w:highlight w:val="none"/>
              </w:rPr>
            </w:pPr>
          </w:p>
        </w:tc>
        <w:tc>
          <w:tcPr>
            <w:tcW w:w="3299" w:type="pct"/>
            <w:vAlign w:val="center"/>
          </w:tcPr>
          <w:p w14:paraId="59F67CF2">
            <w:pPr>
              <w:pStyle w:val="2857"/>
              <w:spacing w:line="360" w:lineRule="exact"/>
              <w:ind w:firstLine="414" w:firstLineChars="200"/>
              <w:jc w:val="both"/>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井场、站场放空：非正常工况下井场、站场放空天然气通过</w:t>
            </w:r>
            <w:r>
              <w:rPr>
                <w:rFonts w:hint="eastAsia" w:ascii="Times New Roman" w:hAnsi="Times New Roman" w:cs="Times New Roman"/>
                <w:color w:val="auto"/>
                <w:w w:val="99"/>
                <w:sz w:val="21"/>
                <w:szCs w:val="21"/>
                <w:highlight w:val="none"/>
                <w:lang w:val="en-US" w:eastAsia="zh-CN"/>
              </w:rPr>
              <w:t>放空池及</w:t>
            </w:r>
            <w:r>
              <w:rPr>
                <w:rFonts w:hint="eastAsia" w:ascii="Times New Roman" w:hAnsi="Times New Roman" w:cs="Times New Roman"/>
                <w:color w:val="auto"/>
                <w:w w:val="99"/>
                <w:sz w:val="21"/>
                <w:szCs w:val="21"/>
                <w:highlight w:val="none"/>
                <w:lang w:eastAsia="zh-CN"/>
              </w:rPr>
              <w:t>30m 高的火炬燃烧放空。</w:t>
            </w:r>
          </w:p>
        </w:tc>
        <w:tc>
          <w:tcPr>
            <w:tcW w:w="439" w:type="pct"/>
            <w:vAlign w:val="center"/>
          </w:tcPr>
          <w:p w14:paraId="6024451A">
            <w:pPr>
              <w:spacing w:line="340" w:lineRule="exact"/>
              <w:jc w:val="center"/>
              <w:rPr>
                <w:rFonts w:ascii="Times New Roman" w:hAnsi="Times New Roman" w:cs="Times New Roman"/>
                <w:bCs/>
                <w:color w:val="auto"/>
                <w:w w:val="99"/>
                <w:kern w:val="21"/>
                <w:sz w:val="21"/>
                <w:szCs w:val="21"/>
                <w:highlight w:val="none"/>
              </w:rPr>
            </w:pPr>
            <w:r>
              <w:rPr>
                <w:rFonts w:hint="eastAsia" w:ascii="Times New Roman" w:hAnsi="Times New Roman" w:cs="Times New Roman"/>
                <w:bCs/>
                <w:color w:val="auto"/>
                <w:w w:val="99"/>
                <w:kern w:val="21"/>
                <w:sz w:val="21"/>
                <w:szCs w:val="21"/>
                <w:highlight w:val="none"/>
              </w:rPr>
              <w:t>新建</w:t>
            </w:r>
          </w:p>
        </w:tc>
      </w:tr>
      <w:tr w14:paraId="34A3B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2B70CC81">
            <w:pPr>
              <w:spacing w:line="340" w:lineRule="exact"/>
              <w:jc w:val="center"/>
              <w:rPr>
                <w:rFonts w:ascii="Times New Roman" w:hAnsi="Times New Roman" w:cs="Times New Roman"/>
                <w:color w:val="auto"/>
                <w:w w:val="99"/>
                <w:kern w:val="2"/>
                <w:sz w:val="21"/>
                <w:szCs w:val="21"/>
                <w:highlight w:val="none"/>
              </w:rPr>
            </w:pPr>
          </w:p>
        </w:tc>
        <w:tc>
          <w:tcPr>
            <w:tcW w:w="403" w:type="pct"/>
            <w:gridSpan w:val="2"/>
            <w:vMerge w:val="continue"/>
            <w:vAlign w:val="center"/>
          </w:tcPr>
          <w:p w14:paraId="21622E62">
            <w:pPr>
              <w:spacing w:line="340" w:lineRule="exact"/>
              <w:jc w:val="center"/>
              <w:rPr>
                <w:rFonts w:ascii="Times New Roman" w:hAnsi="Times New Roman" w:cs="Times New Roman"/>
                <w:color w:val="auto"/>
                <w:w w:val="99"/>
                <w:kern w:val="2"/>
                <w:sz w:val="21"/>
                <w:szCs w:val="21"/>
                <w:highlight w:val="none"/>
              </w:rPr>
            </w:pPr>
          </w:p>
        </w:tc>
        <w:tc>
          <w:tcPr>
            <w:tcW w:w="504" w:type="pct"/>
            <w:vMerge w:val="restart"/>
            <w:vAlign w:val="center"/>
          </w:tcPr>
          <w:p w14:paraId="4E9A1DF2">
            <w:pPr>
              <w:spacing w:line="34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废水防治措施</w:t>
            </w:r>
          </w:p>
        </w:tc>
        <w:tc>
          <w:tcPr>
            <w:tcW w:w="3299" w:type="pct"/>
            <w:vAlign w:val="center"/>
          </w:tcPr>
          <w:p w14:paraId="097BBD89">
            <w:pPr>
              <w:pStyle w:val="2857"/>
              <w:spacing w:line="360" w:lineRule="exact"/>
              <w:ind w:firstLine="414" w:firstLineChars="200"/>
              <w:jc w:val="both"/>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气田采出水：本项目气田采出水暂存于集气站污水储罐临时储存，再定期通过外输泵升压外输至气田采出水集输管网，并统一外输至升一联气田污水预处理站处理，处理后的水质执行《大庆油田地面工程建设设计规定》（Q/SYDQ 0639-2015）限值“含油量≤10mg/L、悬浮固体含量≤5mg/L、粒径中值≤2μm” ，同时满足《碎屑岩油藏注水水质指标技术要求及分析方法》(SY/T5329-2022)中标准限值，回注地下油层。</w:t>
            </w:r>
          </w:p>
        </w:tc>
        <w:tc>
          <w:tcPr>
            <w:tcW w:w="439" w:type="pct"/>
            <w:vAlign w:val="center"/>
          </w:tcPr>
          <w:p w14:paraId="6B22E478">
            <w:pPr>
              <w:spacing w:line="340" w:lineRule="exact"/>
              <w:jc w:val="center"/>
              <w:rPr>
                <w:rFonts w:ascii="Times New Roman" w:hAnsi="Times New Roman" w:cs="Times New Roman"/>
                <w:bCs/>
                <w:color w:val="auto"/>
                <w:w w:val="99"/>
                <w:kern w:val="21"/>
                <w:sz w:val="21"/>
                <w:szCs w:val="21"/>
                <w:highlight w:val="none"/>
              </w:rPr>
            </w:pPr>
            <w:r>
              <w:rPr>
                <w:rFonts w:ascii="Times New Roman" w:hAnsi="Times New Roman" w:cs="Times New Roman"/>
                <w:bCs/>
                <w:color w:val="auto"/>
                <w:w w:val="99"/>
                <w:kern w:val="21"/>
                <w:sz w:val="21"/>
                <w:szCs w:val="21"/>
                <w:highlight w:val="none"/>
              </w:rPr>
              <w:t>依托</w:t>
            </w:r>
          </w:p>
        </w:tc>
      </w:tr>
      <w:tr w14:paraId="4851A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07908317">
            <w:pPr>
              <w:spacing w:line="340" w:lineRule="exact"/>
              <w:jc w:val="center"/>
              <w:rPr>
                <w:rFonts w:ascii="Times New Roman" w:hAnsi="Times New Roman" w:cs="Times New Roman"/>
                <w:color w:val="auto"/>
                <w:w w:val="99"/>
                <w:kern w:val="2"/>
                <w:sz w:val="21"/>
                <w:szCs w:val="21"/>
                <w:highlight w:val="none"/>
              </w:rPr>
            </w:pPr>
          </w:p>
        </w:tc>
        <w:tc>
          <w:tcPr>
            <w:tcW w:w="403" w:type="pct"/>
            <w:gridSpan w:val="2"/>
            <w:vMerge w:val="continue"/>
            <w:vAlign w:val="center"/>
          </w:tcPr>
          <w:p w14:paraId="4E01B94F">
            <w:pPr>
              <w:spacing w:line="340" w:lineRule="exact"/>
              <w:jc w:val="center"/>
              <w:rPr>
                <w:rFonts w:ascii="Times New Roman" w:hAnsi="Times New Roman" w:cs="Times New Roman"/>
                <w:color w:val="auto"/>
                <w:w w:val="99"/>
                <w:kern w:val="2"/>
                <w:sz w:val="21"/>
                <w:szCs w:val="21"/>
                <w:highlight w:val="none"/>
              </w:rPr>
            </w:pPr>
          </w:p>
        </w:tc>
        <w:tc>
          <w:tcPr>
            <w:tcW w:w="504" w:type="pct"/>
            <w:vMerge w:val="continue"/>
            <w:vAlign w:val="center"/>
          </w:tcPr>
          <w:p w14:paraId="332EEF21">
            <w:pPr>
              <w:spacing w:line="340" w:lineRule="exact"/>
              <w:jc w:val="center"/>
              <w:rPr>
                <w:rFonts w:ascii="Times New Roman" w:hAnsi="Times New Roman" w:cs="Times New Roman"/>
                <w:color w:val="auto"/>
                <w:w w:val="99"/>
                <w:kern w:val="2"/>
                <w:sz w:val="21"/>
                <w:szCs w:val="21"/>
                <w:highlight w:val="none"/>
              </w:rPr>
            </w:pPr>
          </w:p>
        </w:tc>
        <w:tc>
          <w:tcPr>
            <w:tcW w:w="3299" w:type="pct"/>
            <w:vAlign w:val="center"/>
          </w:tcPr>
          <w:p w14:paraId="2A98A041">
            <w:pPr>
              <w:spacing w:line="320" w:lineRule="exact"/>
              <w:ind w:firstLine="414" w:firstLineChars="200"/>
              <w:jc w:val="both"/>
              <w:rPr>
                <w:rFonts w:ascii="Times New Roman" w:hAnsi="Times New Roman" w:cs="Times New Roman"/>
                <w:color w:val="auto"/>
                <w:w w:val="99"/>
                <w:sz w:val="21"/>
                <w:szCs w:val="21"/>
                <w:highlight w:val="none"/>
              </w:rPr>
            </w:pPr>
            <w:r>
              <w:rPr>
                <w:rFonts w:ascii="Times New Roman" w:hAnsi="Times New Roman" w:cs="Times New Roman"/>
                <w:bCs/>
                <w:color w:val="auto"/>
                <w:w w:val="99"/>
                <w:sz w:val="21"/>
                <w:szCs w:val="21"/>
                <w:highlight w:val="none"/>
                <w:lang w:bidi="ar"/>
              </w:rPr>
              <w:t>运营期不新增人员，不新增生活污水。</w:t>
            </w:r>
          </w:p>
        </w:tc>
        <w:tc>
          <w:tcPr>
            <w:tcW w:w="439" w:type="pct"/>
            <w:vAlign w:val="center"/>
          </w:tcPr>
          <w:p w14:paraId="3C489A3B">
            <w:pPr>
              <w:spacing w:line="340" w:lineRule="exact"/>
              <w:jc w:val="center"/>
              <w:rPr>
                <w:rFonts w:ascii="Times New Roman" w:hAnsi="Times New Roman" w:cs="Times New Roman"/>
                <w:bCs/>
                <w:color w:val="auto"/>
                <w:w w:val="99"/>
                <w:kern w:val="21"/>
                <w:sz w:val="21"/>
                <w:szCs w:val="21"/>
                <w:highlight w:val="none"/>
              </w:rPr>
            </w:pPr>
            <w:r>
              <w:rPr>
                <w:rFonts w:hint="eastAsia" w:ascii="Times New Roman" w:hAnsi="Times New Roman" w:cs="Times New Roman"/>
                <w:bCs/>
                <w:color w:val="auto"/>
                <w:w w:val="99"/>
                <w:kern w:val="21"/>
                <w:sz w:val="21"/>
                <w:szCs w:val="21"/>
                <w:highlight w:val="none"/>
              </w:rPr>
              <w:t>/</w:t>
            </w:r>
          </w:p>
        </w:tc>
      </w:tr>
      <w:tr w14:paraId="2581A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7EA3E997">
            <w:pPr>
              <w:spacing w:line="340" w:lineRule="exact"/>
              <w:jc w:val="center"/>
              <w:rPr>
                <w:rFonts w:ascii="Times New Roman" w:hAnsi="Times New Roman" w:cs="Times New Roman"/>
                <w:color w:val="auto"/>
                <w:w w:val="99"/>
                <w:kern w:val="2"/>
                <w:sz w:val="21"/>
                <w:szCs w:val="21"/>
                <w:highlight w:val="none"/>
              </w:rPr>
            </w:pPr>
          </w:p>
        </w:tc>
        <w:tc>
          <w:tcPr>
            <w:tcW w:w="403" w:type="pct"/>
            <w:gridSpan w:val="2"/>
            <w:vMerge w:val="continue"/>
            <w:vAlign w:val="center"/>
          </w:tcPr>
          <w:p w14:paraId="714541C9">
            <w:pPr>
              <w:spacing w:line="340" w:lineRule="exact"/>
              <w:jc w:val="center"/>
              <w:rPr>
                <w:rFonts w:ascii="Times New Roman" w:hAnsi="Times New Roman" w:cs="Times New Roman"/>
                <w:color w:val="auto"/>
                <w:w w:val="99"/>
                <w:kern w:val="2"/>
                <w:sz w:val="21"/>
                <w:szCs w:val="21"/>
                <w:highlight w:val="none"/>
              </w:rPr>
            </w:pPr>
          </w:p>
        </w:tc>
        <w:tc>
          <w:tcPr>
            <w:tcW w:w="504" w:type="pct"/>
            <w:vAlign w:val="center"/>
          </w:tcPr>
          <w:p w14:paraId="08F9A6A5">
            <w:pPr>
              <w:tabs>
                <w:tab w:val="left" w:pos="585"/>
              </w:tabs>
              <w:spacing w:line="340" w:lineRule="exact"/>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噪声防治</w:t>
            </w:r>
            <w:r>
              <w:rPr>
                <w:rFonts w:hint="eastAsia" w:ascii="Times New Roman" w:hAnsi="Times New Roman" w:cs="Times New Roman"/>
                <w:color w:val="auto"/>
                <w:w w:val="99"/>
                <w:kern w:val="2"/>
                <w:sz w:val="21"/>
                <w:szCs w:val="21"/>
                <w:highlight w:val="none"/>
              </w:rPr>
              <w:t>措施</w:t>
            </w:r>
          </w:p>
        </w:tc>
        <w:tc>
          <w:tcPr>
            <w:tcW w:w="3299" w:type="pct"/>
            <w:vAlign w:val="center"/>
          </w:tcPr>
          <w:p w14:paraId="6C7ACDB2">
            <w:pPr>
              <w:pStyle w:val="2857"/>
              <w:spacing w:line="360" w:lineRule="exact"/>
              <w:ind w:firstLine="414" w:firstLineChars="200"/>
              <w:jc w:val="both"/>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项目选用低噪声设备，采用基础减振、隔声等措施；定期进行巡检，发现异常响动及时处理；注意对设备的维护保养。</w:t>
            </w:r>
          </w:p>
        </w:tc>
        <w:tc>
          <w:tcPr>
            <w:tcW w:w="439" w:type="pct"/>
            <w:vAlign w:val="center"/>
          </w:tcPr>
          <w:p w14:paraId="3E3229FD">
            <w:pPr>
              <w:spacing w:line="340" w:lineRule="exact"/>
              <w:jc w:val="center"/>
              <w:rPr>
                <w:rFonts w:ascii="Times New Roman" w:hAnsi="Times New Roman" w:cs="Times New Roman"/>
                <w:bCs/>
                <w:color w:val="auto"/>
                <w:w w:val="99"/>
                <w:kern w:val="21"/>
                <w:sz w:val="21"/>
                <w:szCs w:val="21"/>
                <w:highlight w:val="none"/>
              </w:rPr>
            </w:pPr>
            <w:r>
              <w:rPr>
                <w:rFonts w:hint="eastAsia" w:ascii="Times New Roman" w:hAnsi="Times New Roman" w:cs="Times New Roman"/>
                <w:bCs/>
                <w:color w:val="auto"/>
                <w:w w:val="99"/>
                <w:kern w:val="21"/>
                <w:sz w:val="21"/>
                <w:szCs w:val="21"/>
                <w:highlight w:val="none"/>
              </w:rPr>
              <w:t xml:space="preserve">/ </w:t>
            </w:r>
          </w:p>
        </w:tc>
      </w:tr>
      <w:tr w14:paraId="0490D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78F1ADE7">
            <w:pPr>
              <w:spacing w:line="340" w:lineRule="exact"/>
              <w:jc w:val="center"/>
              <w:rPr>
                <w:rFonts w:ascii="Times New Roman" w:hAnsi="Times New Roman" w:cs="Times New Roman"/>
                <w:color w:val="auto"/>
                <w:w w:val="99"/>
                <w:kern w:val="2"/>
                <w:sz w:val="21"/>
                <w:szCs w:val="21"/>
                <w:highlight w:val="none"/>
              </w:rPr>
            </w:pPr>
          </w:p>
        </w:tc>
        <w:tc>
          <w:tcPr>
            <w:tcW w:w="403" w:type="pct"/>
            <w:gridSpan w:val="2"/>
            <w:vMerge w:val="continue"/>
            <w:vAlign w:val="center"/>
          </w:tcPr>
          <w:p w14:paraId="6AA977DE">
            <w:pPr>
              <w:spacing w:line="340" w:lineRule="exact"/>
              <w:jc w:val="center"/>
              <w:rPr>
                <w:rFonts w:ascii="Times New Roman" w:hAnsi="Times New Roman" w:cs="Times New Roman"/>
                <w:color w:val="auto"/>
                <w:w w:val="99"/>
                <w:kern w:val="2"/>
                <w:sz w:val="21"/>
                <w:szCs w:val="21"/>
                <w:highlight w:val="none"/>
              </w:rPr>
            </w:pPr>
          </w:p>
        </w:tc>
        <w:tc>
          <w:tcPr>
            <w:tcW w:w="504" w:type="pct"/>
            <w:vMerge w:val="restart"/>
            <w:vAlign w:val="center"/>
          </w:tcPr>
          <w:p w14:paraId="026870B8">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固体废物</w:t>
            </w:r>
            <w:r>
              <w:rPr>
                <w:rFonts w:hint="eastAsia" w:ascii="Times New Roman" w:hAnsi="Times New Roman" w:cs="Times New Roman"/>
                <w:color w:val="auto"/>
                <w:w w:val="99"/>
                <w:kern w:val="2"/>
                <w:sz w:val="21"/>
                <w:szCs w:val="21"/>
                <w:highlight w:val="none"/>
              </w:rPr>
              <w:t>处理措施</w:t>
            </w:r>
          </w:p>
        </w:tc>
        <w:tc>
          <w:tcPr>
            <w:tcW w:w="3299" w:type="pct"/>
            <w:vAlign w:val="center"/>
          </w:tcPr>
          <w:p w14:paraId="7BB8F9FD">
            <w:pPr>
              <w:pStyle w:val="2857"/>
              <w:spacing w:line="360" w:lineRule="exact"/>
              <w:ind w:firstLine="414" w:firstLineChars="200"/>
              <w:jc w:val="both"/>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本工程气井井口安装有井口除砂器，投产初会定期检查井口除砂器</w:t>
            </w:r>
            <w:r>
              <w:rPr>
                <w:rFonts w:hint="eastAsia" w:ascii="Times New Roman" w:hAnsi="Times New Roman" w:cs="Times New Roman"/>
                <w:color w:val="auto"/>
                <w:w w:val="99"/>
                <w:sz w:val="21"/>
                <w:szCs w:val="21"/>
                <w:highlight w:val="none"/>
                <w:lang w:eastAsia="zh-CN"/>
              </w:rPr>
              <w:t>，</w:t>
            </w:r>
            <w:r>
              <w:rPr>
                <w:rFonts w:ascii="Times New Roman" w:hAnsi="Times New Roman" w:cs="Times New Roman"/>
                <w:color w:val="auto"/>
                <w:w w:val="99"/>
                <w:sz w:val="21"/>
                <w:szCs w:val="21"/>
                <w:highlight w:val="none"/>
                <w:lang w:eastAsia="zh-CN"/>
              </w:rPr>
              <w:t>产生</w:t>
            </w:r>
            <w:r>
              <w:rPr>
                <w:rFonts w:hint="eastAsia" w:ascii="Times New Roman" w:hAnsi="Times New Roman" w:cs="Times New Roman"/>
                <w:color w:val="auto"/>
                <w:w w:val="99"/>
                <w:sz w:val="21"/>
                <w:szCs w:val="21"/>
                <w:highlight w:val="none"/>
                <w:lang w:val="en-US" w:eastAsia="zh-CN"/>
              </w:rPr>
              <w:t>砂粒</w:t>
            </w:r>
            <w:r>
              <w:rPr>
                <w:rFonts w:ascii="Times New Roman" w:hAnsi="Times New Roman" w:cs="Times New Roman"/>
                <w:color w:val="auto"/>
                <w:w w:val="99"/>
                <w:sz w:val="21"/>
                <w:szCs w:val="21"/>
                <w:highlight w:val="none"/>
                <w:lang w:eastAsia="zh-CN"/>
              </w:rPr>
              <w:t>为危险废物</w:t>
            </w:r>
            <w:r>
              <w:rPr>
                <w:rFonts w:hint="eastAsia" w:ascii="Times New Roman" w:hAnsi="Times New Roman" w:cs="Times New Roman"/>
                <w:color w:val="auto"/>
                <w:w w:val="99"/>
                <w:sz w:val="21"/>
                <w:szCs w:val="21"/>
                <w:highlight w:val="none"/>
                <w:lang w:eastAsia="zh-CN"/>
              </w:rPr>
              <w:t xml:space="preserve">HW08 </w:t>
            </w:r>
            <w:r>
              <w:rPr>
                <w:rFonts w:ascii="Times New Roman" w:hAnsi="Times New Roman" w:cs="Times New Roman"/>
                <w:color w:val="auto"/>
                <w:w w:val="99"/>
                <w:sz w:val="21"/>
                <w:szCs w:val="21"/>
                <w:highlight w:val="none"/>
                <w:lang w:eastAsia="zh-CN"/>
              </w:rPr>
              <w:t>900-249-08，委托有资质单位处置</w:t>
            </w:r>
            <w:r>
              <w:rPr>
                <w:rFonts w:hint="eastAsia" w:ascii="Times New Roman" w:hAnsi="Times New Roman" w:cs="Times New Roman"/>
                <w:color w:val="auto"/>
                <w:w w:val="99"/>
                <w:sz w:val="21"/>
                <w:szCs w:val="21"/>
                <w:highlight w:val="none"/>
                <w:lang w:eastAsia="zh-CN"/>
              </w:rPr>
              <w:t>。</w:t>
            </w:r>
            <w:r>
              <w:rPr>
                <w:rFonts w:ascii="Times New Roman" w:hAnsi="Times New Roman" w:cs="Times New Roman"/>
                <w:color w:val="auto"/>
                <w:w w:val="99"/>
                <w:sz w:val="21"/>
                <w:szCs w:val="21"/>
                <w:highlight w:val="none"/>
                <w:lang w:eastAsia="zh-CN"/>
              </w:rPr>
              <w:t>在井场产生后装入加盖钢制桶中，由检维修队送采气分公司危险废物贮存库内，定期委托有危废处置资质的单位处置。</w:t>
            </w:r>
          </w:p>
        </w:tc>
        <w:tc>
          <w:tcPr>
            <w:tcW w:w="439" w:type="pct"/>
            <w:vAlign w:val="center"/>
          </w:tcPr>
          <w:p w14:paraId="025B5321">
            <w:pPr>
              <w:spacing w:line="340" w:lineRule="exact"/>
              <w:jc w:val="center"/>
              <w:rPr>
                <w:rFonts w:ascii="Times New Roman" w:hAnsi="Times New Roman" w:cs="Times New Roman"/>
                <w:bCs/>
                <w:color w:val="auto"/>
                <w:w w:val="99"/>
                <w:kern w:val="21"/>
                <w:sz w:val="21"/>
                <w:szCs w:val="21"/>
                <w:highlight w:val="none"/>
              </w:rPr>
            </w:pPr>
            <w:r>
              <w:rPr>
                <w:rFonts w:ascii="Times New Roman" w:hAnsi="Times New Roman" w:cs="Times New Roman"/>
                <w:bCs/>
                <w:color w:val="auto"/>
                <w:w w:val="99"/>
                <w:kern w:val="21"/>
                <w:sz w:val="21"/>
                <w:szCs w:val="21"/>
                <w:highlight w:val="none"/>
              </w:rPr>
              <w:t>依托</w:t>
            </w:r>
          </w:p>
        </w:tc>
      </w:tr>
      <w:tr w14:paraId="4230D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43DDED70">
            <w:pPr>
              <w:spacing w:line="340" w:lineRule="exact"/>
              <w:jc w:val="center"/>
              <w:rPr>
                <w:rFonts w:ascii="Times New Roman" w:hAnsi="Times New Roman" w:cs="Times New Roman"/>
                <w:color w:val="auto"/>
                <w:w w:val="99"/>
                <w:kern w:val="2"/>
                <w:sz w:val="21"/>
                <w:szCs w:val="21"/>
                <w:highlight w:val="none"/>
              </w:rPr>
            </w:pPr>
          </w:p>
        </w:tc>
        <w:tc>
          <w:tcPr>
            <w:tcW w:w="403" w:type="pct"/>
            <w:gridSpan w:val="2"/>
            <w:vMerge w:val="continue"/>
            <w:vAlign w:val="center"/>
          </w:tcPr>
          <w:p w14:paraId="33EAB227">
            <w:pPr>
              <w:spacing w:line="340" w:lineRule="exact"/>
              <w:jc w:val="center"/>
              <w:rPr>
                <w:rFonts w:ascii="Times New Roman" w:hAnsi="Times New Roman" w:cs="Times New Roman"/>
                <w:color w:val="auto"/>
                <w:w w:val="99"/>
                <w:kern w:val="2"/>
                <w:sz w:val="21"/>
                <w:szCs w:val="21"/>
                <w:highlight w:val="none"/>
              </w:rPr>
            </w:pPr>
          </w:p>
        </w:tc>
        <w:tc>
          <w:tcPr>
            <w:tcW w:w="504" w:type="pct"/>
            <w:vMerge w:val="continue"/>
            <w:vAlign w:val="center"/>
          </w:tcPr>
          <w:p w14:paraId="4DC14FDE">
            <w:pPr>
              <w:spacing w:line="340" w:lineRule="exact"/>
              <w:jc w:val="center"/>
              <w:rPr>
                <w:rFonts w:ascii="Times New Roman" w:hAnsi="Times New Roman" w:cs="Times New Roman"/>
                <w:color w:val="auto"/>
                <w:w w:val="99"/>
                <w:kern w:val="2"/>
                <w:sz w:val="21"/>
                <w:szCs w:val="21"/>
                <w:highlight w:val="none"/>
              </w:rPr>
            </w:pPr>
          </w:p>
        </w:tc>
        <w:tc>
          <w:tcPr>
            <w:tcW w:w="3299" w:type="pct"/>
            <w:vAlign w:val="center"/>
          </w:tcPr>
          <w:p w14:paraId="0C21DF5A">
            <w:pPr>
              <w:pStyle w:val="2857"/>
              <w:spacing w:line="360" w:lineRule="exact"/>
              <w:ind w:firstLine="414" w:firstLineChars="200"/>
              <w:jc w:val="both"/>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井场柱上变电站为湿式变压器，检修时会产生废变压器油，属于危险废物，危险废物类别为HW08废矿物油与含矿物油废物，代码为900-220-08，送采气分公司危险废物贮存库内，定期委托有危废处置资质的单位处置。</w:t>
            </w:r>
          </w:p>
        </w:tc>
        <w:tc>
          <w:tcPr>
            <w:tcW w:w="439" w:type="pct"/>
            <w:vAlign w:val="center"/>
          </w:tcPr>
          <w:p w14:paraId="0A824229">
            <w:pPr>
              <w:spacing w:line="340" w:lineRule="exact"/>
              <w:jc w:val="center"/>
              <w:rPr>
                <w:rFonts w:ascii="Times New Roman" w:hAnsi="Times New Roman" w:cs="Times New Roman"/>
                <w:bCs/>
                <w:color w:val="auto"/>
                <w:w w:val="99"/>
                <w:kern w:val="21"/>
                <w:sz w:val="21"/>
                <w:szCs w:val="21"/>
                <w:highlight w:val="none"/>
              </w:rPr>
            </w:pPr>
            <w:r>
              <w:rPr>
                <w:rFonts w:ascii="Times New Roman" w:hAnsi="Times New Roman" w:cs="Times New Roman"/>
                <w:bCs/>
                <w:color w:val="auto"/>
                <w:w w:val="99"/>
                <w:kern w:val="21"/>
                <w:sz w:val="21"/>
                <w:szCs w:val="21"/>
                <w:highlight w:val="none"/>
              </w:rPr>
              <w:t>依托</w:t>
            </w:r>
          </w:p>
        </w:tc>
      </w:tr>
      <w:tr w14:paraId="01AF3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66ACF08D">
            <w:pPr>
              <w:spacing w:line="340" w:lineRule="exact"/>
              <w:jc w:val="center"/>
              <w:rPr>
                <w:rFonts w:ascii="Times New Roman" w:hAnsi="Times New Roman" w:cs="Times New Roman"/>
                <w:color w:val="auto"/>
                <w:w w:val="99"/>
                <w:kern w:val="2"/>
                <w:sz w:val="21"/>
                <w:szCs w:val="21"/>
                <w:highlight w:val="none"/>
              </w:rPr>
            </w:pPr>
          </w:p>
        </w:tc>
        <w:tc>
          <w:tcPr>
            <w:tcW w:w="403" w:type="pct"/>
            <w:gridSpan w:val="2"/>
            <w:vMerge w:val="continue"/>
            <w:vAlign w:val="center"/>
          </w:tcPr>
          <w:p w14:paraId="13954404">
            <w:pPr>
              <w:spacing w:line="340" w:lineRule="exact"/>
              <w:jc w:val="center"/>
              <w:rPr>
                <w:rFonts w:ascii="Times New Roman" w:hAnsi="Times New Roman" w:cs="Times New Roman"/>
                <w:color w:val="auto"/>
                <w:w w:val="99"/>
                <w:kern w:val="2"/>
                <w:sz w:val="21"/>
                <w:szCs w:val="21"/>
                <w:highlight w:val="none"/>
              </w:rPr>
            </w:pPr>
          </w:p>
        </w:tc>
        <w:tc>
          <w:tcPr>
            <w:tcW w:w="504" w:type="pct"/>
            <w:vMerge w:val="restart"/>
            <w:vAlign w:val="center"/>
          </w:tcPr>
          <w:p w14:paraId="605F0B6B">
            <w:pPr>
              <w:spacing w:line="34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地下水及土壤防治措施</w:t>
            </w:r>
          </w:p>
        </w:tc>
        <w:tc>
          <w:tcPr>
            <w:tcW w:w="3299" w:type="pct"/>
            <w:vAlign w:val="center"/>
          </w:tcPr>
          <w:p w14:paraId="3945EA07">
            <w:pPr>
              <w:pStyle w:val="2857"/>
              <w:spacing w:line="360" w:lineRule="exact"/>
              <w:ind w:firstLine="414" w:firstLineChars="200"/>
              <w:jc w:val="both"/>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①采气管道属于重点防渗，管线均采用无缝钢管、管道设计壁厚的腐蚀余量不小于 2mm、采用管道内外防腐，管道的连接方式应采用焊接，管线施工严格按照《油气田集输管道施工规范》GB50819 执行，定期对管道进行巡检，定期进行壁厚检测等措施，防治污染地下水；</w:t>
            </w:r>
          </w:p>
          <w:p w14:paraId="4A2FE66F">
            <w:pPr>
              <w:pStyle w:val="2857"/>
              <w:spacing w:line="360" w:lineRule="exact"/>
              <w:ind w:firstLine="414" w:firstLineChars="200"/>
              <w:jc w:val="both"/>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②</w:t>
            </w:r>
            <w:r>
              <w:rPr>
                <w:rFonts w:ascii="Times New Roman" w:hAnsi="Times New Roman" w:cs="Times New Roman"/>
                <w:color w:val="auto"/>
                <w:w w:val="99"/>
                <w:sz w:val="21"/>
                <w:szCs w:val="21"/>
                <w:highlight w:val="none"/>
                <w:lang w:eastAsia="zh-CN"/>
              </w:rPr>
              <w:t>气井井场放空池为一般防渗，分层进行素土夯实，每层厚度不大于300mm，压实系数不小于 0.95 ，铺设</w:t>
            </w:r>
            <w:r>
              <w:rPr>
                <w:rFonts w:hint="eastAsia" w:ascii="Times New Roman" w:hAnsi="Times New Roman" w:cs="Times New Roman"/>
                <w:color w:val="auto"/>
                <w:w w:val="99"/>
                <w:sz w:val="21"/>
                <w:szCs w:val="21"/>
                <w:highlight w:val="none"/>
                <w:lang w:eastAsia="zh-CN"/>
              </w:rPr>
              <w:t>1.5</w:t>
            </w:r>
            <w:r>
              <w:rPr>
                <w:rFonts w:ascii="Times New Roman" w:hAnsi="Times New Roman" w:cs="Times New Roman"/>
                <w:color w:val="auto"/>
                <w:w w:val="99"/>
                <w:sz w:val="21"/>
                <w:szCs w:val="21"/>
                <w:highlight w:val="none"/>
                <w:lang w:eastAsia="zh-CN"/>
              </w:rPr>
              <w:t>mm厚高密度聚乙烯（HDPE）</w:t>
            </w:r>
            <w:r>
              <w:rPr>
                <w:rFonts w:hint="eastAsia" w:ascii="Times New Roman" w:hAnsi="Times New Roman" w:cs="Times New Roman"/>
                <w:color w:val="auto"/>
                <w:w w:val="99"/>
                <w:sz w:val="21"/>
                <w:szCs w:val="21"/>
                <w:highlight w:val="none"/>
                <w:lang w:eastAsia="zh-CN"/>
              </w:rPr>
              <w:t>膜；</w:t>
            </w:r>
            <w:r>
              <w:rPr>
                <w:rFonts w:ascii="Times New Roman" w:hAnsi="Times New Roman" w:cs="Times New Roman"/>
                <w:color w:val="auto"/>
                <w:w w:val="99"/>
                <w:sz w:val="21"/>
                <w:szCs w:val="21"/>
                <w:highlight w:val="none"/>
                <w:lang w:eastAsia="zh-CN"/>
              </w:rPr>
              <w:t>徐深</w:t>
            </w:r>
            <w:r>
              <w:rPr>
                <w:rFonts w:hint="eastAsia" w:ascii="Times New Roman" w:hAnsi="Times New Roman" w:cs="Times New Roman"/>
                <w:color w:val="auto"/>
                <w:w w:val="99"/>
                <w:sz w:val="21"/>
                <w:szCs w:val="21"/>
                <w:highlight w:val="none"/>
                <w:lang w:eastAsia="zh-CN"/>
              </w:rPr>
              <w:t>27</w:t>
            </w:r>
            <w:r>
              <w:rPr>
                <w:rFonts w:ascii="Times New Roman" w:hAnsi="Times New Roman" w:cs="Times New Roman"/>
                <w:color w:val="auto"/>
                <w:w w:val="99"/>
                <w:sz w:val="21"/>
                <w:szCs w:val="21"/>
                <w:highlight w:val="none"/>
                <w:lang w:eastAsia="zh-CN"/>
              </w:rPr>
              <w:t>集气站</w:t>
            </w:r>
            <w:r>
              <w:rPr>
                <w:rFonts w:hint="eastAsia" w:ascii="Times New Roman" w:hAnsi="Times New Roman" w:cs="Times New Roman"/>
                <w:color w:val="auto"/>
                <w:w w:val="99"/>
                <w:sz w:val="21"/>
                <w:szCs w:val="21"/>
                <w:highlight w:val="none"/>
                <w:lang w:eastAsia="zh-CN"/>
              </w:rPr>
              <w:t>新建进站阀组、生产阀组处</w:t>
            </w:r>
            <w:r>
              <w:rPr>
                <w:rFonts w:ascii="Times New Roman" w:hAnsi="Times New Roman" w:cs="Times New Roman"/>
                <w:color w:val="auto"/>
                <w:w w:val="99"/>
                <w:sz w:val="21"/>
                <w:szCs w:val="21"/>
                <w:highlight w:val="none"/>
                <w:lang w:eastAsia="zh-CN"/>
              </w:rPr>
              <w:t>为一般防渗区</w:t>
            </w:r>
            <w:r>
              <w:rPr>
                <w:rFonts w:hint="eastAsia" w:ascii="Times New Roman" w:hAnsi="Times New Roman" w:cs="Times New Roman"/>
                <w:color w:val="auto"/>
                <w:w w:val="99"/>
                <w:sz w:val="21"/>
                <w:szCs w:val="21"/>
                <w:highlight w:val="none"/>
                <w:lang w:eastAsia="zh-CN"/>
              </w:rPr>
              <w:t>：区采用</w:t>
            </w:r>
            <w:r>
              <w:rPr>
                <w:rFonts w:ascii="Times New Roman" w:hAnsi="Times New Roman" w:cs="Times New Roman"/>
                <w:color w:val="auto"/>
                <w:w w:val="99"/>
                <w:sz w:val="21"/>
                <w:szCs w:val="21"/>
                <w:highlight w:val="none"/>
                <w:lang w:eastAsia="zh-CN"/>
              </w:rPr>
              <w:t>地面铺设抗渗等级为 P8混凝土层，</w:t>
            </w:r>
            <w:r>
              <w:rPr>
                <w:rFonts w:ascii="Times New Roman" w:hAnsi="Times New Roman" w:cs="Times New Roman" w:eastAsiaTheme="minorEastAsia"/>
                <w:bCs/>
                <w:color w:val="auto"/>
                <w:w w:val="99"/>
                <w:kern w:val="2"/>
                <w:sz w:val="21"/>
                <w:szCs w:val="21"/>
                <w:highlight w:val="none"/>
                <w:lang w:eastAsia="zh-CN"/>
              </w:rPr>
              <w:t>强度为C30</w:t>
            </w:r>
            <w:r>
              <w:rPr>
                <w:rFonts w:hint="eastAsia" w:ascii="Times New Roman" w:hAnsi="Times New Roman" w:cs="Times New Roman" w:eastAsiaTheme="minorEastAsia"/>
                <w:bCs/>
                <w:color w:val="auto"/>
                <w:w w:val="99"/>
                <w:kern w:val="2"/>
                <w:sz w:val="21"/>
                <w:szCs w:val="21"/>
                <w:highlight w:val="none"/>
                <w:lang w:eastAsia="zh-CN"/>
              </w:rPr>
              <w:t>，</w:t>
            </w:r>
            <w:r>
              <w:rPr>
                <w:rFonts w:ascii="Times New Roman" w:hAnsi="Times New Roman" w:cs="Times New Roman"/>
                <w:color w:val="auto"/>
                <w:w w:val="99"/>
                <w:sz w:val="21"/>
                <w:szCs w:val="21"/>
                <w:highlight w:val="none"/>
                <w:lang w:eastAsia="zh-CN"/>
              </w:rPr>
              <w:t xml:space="preserve">厚度不低于 </w:t>
            </w:r>
            <w:r>
              <w:rPr>
                <w:rFonts w:hint="eastAsia" w:ascii="Times New Roman" w:hAnsi="Times New Roman" w:cs="Times New Roman"/>
                <w:color w:val="auto"/>
                <w:w w:val="99"/>
                <w:sz w:val="21"/>
                <w:szCs w:val="21"/>
                <w:highlight w:val="none"/>
                <w:lang w:eastAsia="zh-CN"/>
              </w:rPr>
              <w:t>200</w:t>
            </w:r>
            <w:r>
              <w:rPr>
                <w:rFonts w:ascii="Times New Roman" w:hAnsi="Times New Roman" w:cs="Times New Roman"/>
                <w:color w:val="auto"/>
                <w:w w:val="99"/>
                <w:sz w:val="21"/>
                <w:szCs w:val="21"/>
                <w:highlight w:val="none"/>
                <w:lang w:eastAsia="zh-CN"/>
              </w:rPr>
              <w:t>mm，</w:t>
            </w:r>
            <w:r>
              <w:rPr>
                <w:rFonts w:hint="eastAsia" w:ascii="Times New Roman" w:hAnsi="Times New Roman" w:cs="Times New Roman"/>
                <w:color w:val="auto"/>
                <w:w w:val="99"/>
                <w:sz w:val="21"/>
                <w:szCs w:val="21"/>
                <w:highlight w:val="none"/>
                <w:lang w:eastAsia="zh-CN"/>
              </w:rPr>
              <w:t>同时</w:t>
            </w:r>
            <w:r>
              <w:rPr>
                <w:rFonts w:ascii="Times New Roman" w:hAnsi="Times New Roman" w:cs="Times New Roman"/>
                <w:color w:val="auto"/>
                <w:w w:val="99"/>
                <w:sz w:val="21"/>
                <w:szCs w:val="21"/>
                <w:highlight w:val="none"/>
                <w:lang w:eastAsia="zh-CN"/>
              </w:rPr>
              <w:t>铺设</w:t>
            </w:r>
            <w:r>
              <w:rPr>
                <w:rFonts w:hint="eastAsia" w:ascii="Times New Roman" w:hAnsi="Times New Roman" w:cs="Times New Roman"/>
                <w:color w:val="auto"/>
                <w:w w:val="99"/>
                <w:sz w:val="21"/>
                <w:szCs w:val="21"/>
                <w:highlight w:val="none"/>
                <w:lang w:eastAsia="zh-CN"/>
              </w:rPr>
              <w:t>1.5</w:t>
            </w:r>
            <w:r>
              <w:rPr>
                <w:rFonts w:ascii="Times New Roman" w:hAnsi="Times New Roman" w:cs="Times New Roman"/>
                <w:color w:val="auto"/>
                <w:w w:val="99"/>
                <w:sz w:val="21"/>
                <w:szCs w:val="21"/>
                <w:highlight w:val="none"/>
                <w:lang w:eastAsia="zh-CN"/>
              </w:rPr>
              <w:t>mm厚高密度聚乙烯（HDPE）</w:t>
            </w:r>
            <w:r>
              <w:rPr>
                <w:rFonts w:hint="eastAsia" w:ascii="Times New Roman" w:hAnsi="Times New Roman" w:cs="Times New Roman"/>
                <w:color w:val="auto"/>
                <w:w w:val="99"/>
                <w:sz w:val="21"/>
                <w:szCs w:val="21"/>
                <w:highlight w:val="none"/>
                <w:lang w:eastAsia="zh-CN"/>
              </w:rPr>
              <w:t>膜，防渗性能均</w:t>
            </w:r>
            <w:r>
              <w:rPr>
                <w:rFonts w:ascii="Times New Roman" w:hAnsi="Times New Roman" w:cs="Times New Roman"/>
                <w:color w:val="auto"/>
                <w:w w:val="99"/>
                <w:sz w:val="21"/>
                <w:szCs w:val="21"/>
                <w:highlight w:val="none"/>
                <w:lang w:eastAsia="zh-CN"/>
              </w:rPr>
              <w:t>满足《环境影响评价技术导则 地下水环境》（HJ610- 2016 ）中一般防渗区防渗技术要求（等效粘土防渗层Mb≥1.5m ，K≤1×10</w:t>
            </w:r>
            <w:r>
              <w:rPr>
                <w:rFonts w:ascii="Times New Roman" w:hAnsi="Times New Roman" w:cs="Times New Roman"/>
                <w:color w:val="auto"/>
                <w:w w:val="99"/>
                <w:sz w:val="21"/>
                <w:szCs w:val="21"/>
                <w:highlight w:val="none"/>
                <w:vertAlign w:val="superscript"/>
                <w:lang w:eastAsia="zh-CN"/>
              </w:rPr>
              <w:t>-7</w:t>
            </w:r>
            <w:r>
              <w:rPr>
                <w:rFonts w:ascii="Times New Roman" w:hAnsi="Times New Roman" w:cs="Times New Roman"/>
                <w:color w:val="auto"/>
                <w:w w:val="99"/>
                <w:sz w:val="21"/>
                <w:szCs w:val="21"/>
                <w:highlight w:val="none"/>
                <w:lang w:eastAsia="zh-CN"/>
              </w:rPr>
              <w:t>cm/s）；</w:t>
            </w:r>
          </w:p>
          <w:p w14:paraId="2AA80CA3">
            <w:pPr>
              <w:pStyle w:val="2857"/>
              <w:spacing w:line="360" w:lineRule="exact"/>
              <w:ind w:firstLine="414" w:firstLineChars="200"/>
              <w:jc w:val="both"/>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③</w:t>
            </w:r>
            <w:r>
              <w:rPr>
                <w:rFonts w:ascii="Times New Roman" w:hAnsi="Times New Roman" w:cs="Times New Roman"/>
                <w:color w:val="auto"/>
                <w:w w:val="99"/>
                <w:sz w:val="21"/>
                <w:szCs w:val="21"/>
                <w:highlight w:val="none"/>
                <w:lang w:eastAsia="zh-CN"/>
              </w:rPr>
              <w:t>井场其他区域均为简单防渗区，站内采取地面夯实，碾压平整，铺设水泥地面，可满足《环境影响评价技术导则地下水环境》（HJ610-2016）中简单防渗区要求。</w:t>
            </w:r>
          </w:p>
        </w:tc>
        <w:tc>
          <w:tcPr>
            <w:tcW w:w="439" w:type="pct"/>
            <w:vAlign w:val="center"/>
          </w:tcPr>
          <w:p w14:paraId="0BF99AAA">
            <w:pPr>
              <w:spacing w:line="340" w:lineRule="exact"/>
              <w:jc w:val="center"/>
              <w:rPr>
                <w:rFonts w:ascii="Times New Roman" w:hAnsi="Times New Roman" w:cs="Times New Roman"/>
                <w:bCs/>
                <w:color w:val="auto"/>
                <w:w w:val="99"/>
                <w:kern w:val="21"/>
                <w:sz w:val="21"/>
                <w:szCs w:val="21"/>
                <w:highlight w:val="none"/>
              </w:rPr>
            </w:pPr>
            <w:r>
              <w:rPr>
                <w:rFonts w:hint="eastAsia" w:ascii="Times New Roman" w:hAnsi="Times New Roman" w:cs="Times New Roman"/>
                <w:bCs/>
                <w:color w:val="auto"/>
                <w:w w:val="99"/>
                <w:kern w:val="21"/>
                <w:sz w:val="21"/>
                <w:szCs w:val="21"/>
                <w:highlight w:val="none"/>
              </w:rPr>
              <w:t>新建</w:t>
            </w:r>
          </w:p>
        </w:tc>
      </w:tr>
      <w:tr w14:paraId="4164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38DA951D">
            <w:pPr>
              <w:spacing w:line="340" w:lineRule="exact"/>
              <w:jc w:val="center"/>
              <w:rPr>
                <w:rFonts w:ascii="Times New Roman" w:hAnsi="Times New Roman" w:cs="Times New Roman"/>
                <w:color w:val="auto"/>
                <w:w w:val="99"/>
                <w:kern w:val="2"/>
                <w:sz w:val="21"/>
                <w:szCs w:val="21"/>
                <w:highlight w:val="none"/>
              </w:rPr>
            </w:pPr>
          </w:p>
        </w:tc>
        <w:tc>
          <w:tcPr>
            <w:tcW w:w="403" w:type="pct"/>
            <w:gridSpan w:val="2"/>
            <w:vMerge w:val="continue"/>
            <w:vAlign w:val="center"/>
          </w:tcPr>
          <w:p w14:paraId="3497442B">
            <w:pPr>
              <w:spacing w:line="340" w:lineRule="exact"/>
              <w:jc w:val="center"/>
              <w:rPr>
                <w:rFonts w:ascii="Times New Roman" w:hAnsi="Times New Roman" w:cs="Times New Roman"/>
                <w:color w:val="auto"/>
                <w:w w:val="99"/>
                <w:kern w:val="2"/>
                <w:sz w:val="21"/>
                <w:szCs w:val="21"/>
                <w:highlight w:val="none"/>
              </w:rPr>
            </w:pPr>
          </w:p>
        </w:tc>
        <w:tc>
          <w:tcPr>
            <w:tcW w:w="504" w:type="pct"/>
            <w:vMerge w:val="continue"/>
            <w:vAlign w:val="center"/>
          </w:tcPr>
          <w:p w14:paraId="2A1EECCE">
            <w:pPr>
              <w:spacing w:line="340" w:lineRule="exact"/>
              <w:jc w:val="center"/>
              <w:rPr>
                <w:rFonts w:ascii="Times New Roman" w:hAnsi="Times New Roman" w:cs="Times New Roman"/>
                <w:color w:val="auto"/>
                <w:w w:val="99"/>
                <w:kern w:val="2"/>
                <w:sz w:val="21"/>
                <w:szCs w:val="21"/>
                <w:highlight w:val="none"/>
              </w:rPr>
            </w:pPr>
          </w:p>
        </w:tc>
        <w:tc>
          <w:tcPr>
            <w:tcW w:w="3299" w:type="pct"/>
            <w:vAlign w:val="center"/>
          </w:tcPr>
          <w:p w14:paraId="7F6F63BD">
            <w:pPr>
              <w:pStyle w:val="2857"/>
              <w:spacing w:line="360" w:lineRule="exact"/>
              <w:ind w:firstLine="414" w:firstLineChars="200"/>
              <w:jc w:val="both"/>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地下水跟踪监测：</w:t>
            </w:r>
            <w:r>
              <w:rPr>
                <w:rFonts w:ascii="Times New Roman" w:hAnsi="Times New Roman" w:cs="Times New Roman"/>
                <w:color w:val="auto"/>
                <w:w w:val="99"/>
                <w:sz w:val="21"/>
                <w:szCs w:val="21"/>
                <w:highlight w:val="none"/>
                <w:lang w:eastAsia="zh-CN"/>
              </w:rPr>
              <w:t>在区块</w:t>
            </w:r>
            <w:r>
              <w:rPr>
                <w:rFonts w:hint="eastAsia" w:ascii="Times New Roman" w:hAnsi="Times New Roman" w:cs="Times New Roman"/>
                <w:color w:val="auto"/>
                <w:w w:val="99"/>
                <w:sz w:val="21"/>
                <w:szCs w:val="21"/>
                <w:highlight w:val="none"/>
                <w:lang w:eastAsia="zh-CN"/>
              </w:rPr>
              <w:t>、</w:t>
            </w:r>
            <w:r>
              <w:rPr>
                <w:rFonts w:ascii="Times New Roman" w:hAnsi="Times New Roman" w:cs="Times New Roman"/>
                <w:color w:val="auto"/>
                <w:w w:val="99"/>
                <w:sz w:val="21"/>
                <w:szCs w:val="21"/>
                <w:highlight w:val="none"/>
                <w:lang w:eastAsia="zh-CN"/>
              </w:rPr>
              <w:t>下游布设</w:t>
            </w:r>
            <w:r>
              <w:rPr>
                <w:rFonts w:hint="eastAsia" w:ascii="Times New Roman" w:hAnsi="Times New Roman" w:cs="Times New Roman"/>
                <w:color w:val="auto"/>
                <w:w w:val="99"/>
                <w:sz w:val="21"/>
                <w:szCs w:val="21"/>
                <w:highlight w:val="none"/>
                <w:lang w:eastAsia="zh-CN"/>
              </w:rPr>
              <w:t>3</w:t>
            </w:r>
            <w:r>
              <w:rPr>
                <w:rFonts w:ascii="Times New Roman" w:hAnsi="Times New Roman" w:cs="Times New Roman"/>
                <w:color w:val="auto"/>
                <w:w w:val="99"/>
                <w:sz w:val="21"/>
                <w:szCs w:val="21"/>
                <w:highlight w:val="none"/>
                <w:lang w:eastAsia="zh-CN"/>
              </w:rPr>
              <w:t>个潜水跟踪监测点，定期对地下水进行跟踪监测</w:t>
            </w:r>
            <w:r>
              <w:rPr>
                <w:rFonts w:hint="eastAsia" w:ascii="Times New Roman" w:hAnsi="Times New Roman" w:cs="Times New Roman"/>
                <w:color w:val="auto"/>
                <w:w w:val="99"/>
                <w:sz w:val="21"/>
                <w:szCs w:val="21"/>
                <w:highlight w:val="none"/>
                <w:lang w:eastAsia="zh-CN"/>
              </w:rPr>
              <w:t>；</w:t>
            </w:r>
          </w:p>
        </w:tc>
        <w:tc>
          <w:tcPr>
            <w:tcW w:w="439" w:type="pct"/>
            <w:vAlign w:val="center"/>
          </w:tcPr>
          <w:p w14:paraId="6F523FBF">
            <w:pPr>
              <w:spacing w:line="340" w:lineRule="exact"/>
              <w:jc w:val="center"/>
              <w:rPr>
                <w:rFonts w:ascii="Times New Roman" w:hAnsi="Times New Roman" w:cs="Times New Roman"/>
                <w:bCs/>
                <w:color w:val="auto"/>
                <w:w w:val="99"/>
                <w:kern w:val="21"/>
                <w:sz w:val="21"/>
                <w:szCs w:val="21"/>
                <w:highlight w:val="none"/>
              </w:rPr>
            </w:pPr>
            <w:r>
              <w:rPr>
                <w:rFonts w:hint="eastAsia" w:ascii="Times New Roman" w:hAnsi="Times New Roman" w:cs="Times New Roman"/>
                <w:bCs/>
                <w:color w:val="auto"/>
                <w:w w:val="99"/>
                <w:kern w:val="21"/>
                <w:sz w:val="21"/>
                <w:szCs w:val="21"/>
                <w:highlight w:val="none"/>
              </w:rPr>
              <w:t>新建</w:t>
            </w:r>
          </w:p>
        </w:tc>
      </w:tr>
      <w:tr w14:paraId="671D8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43B9DD3B">
            <w:pPr>
              <w:spacing w:line="340" w:lineRule="exact"/>
              <w:jc w:val="center"/>
              <w:rPr>
                <w:rFonts w:ascii="Times New Roman" w:hAnsi="Times New Roman" w:cs="Times New Roman"/>
                <w:color w:val="auto"/>
                <w:w w:val="99"/>
                <w:kern w:val="2"/>
                <w:sz w:val="21"/>
                <w:szCs w:val="21"/>
                <w:highlight w:val="none"/>
              </w:rPr>
            </w:pPr>
          </w:p>
        </w:tc>
        <w:tc>
          <w:tcPr>
            <w:tcW w:w="403" w:type="pct"/>
            <w:gridSpan w:val="2"/>
            <w:vMerge w:val="continue"/>
            <w:vAlign w:val="center"/>
          </w:tcPr>
          <w:p w14:paraId="4C68E96A">
            <w:pPr>
              <w:spacing w:line="340" w:lineRule="exact"/>
              <w:jc w:val="center"/>
              <w:rPr>
                <w:rFonts w:ascii="Times New Roman" w:hAnsi="Times New Roman" w:cs="Times New Roman"/>
                <w:color w:val="auto"/>
                <w:w w:val="99"/>
                <w:kern w:val="2"/>
                <w:sz w:val="21"/>
                <w:szCs w:val="21"/>
                <w:highlight w:val="none"/>
              </w:rPr>
            </w:pPr>
          </w:p>
        </w:tc>
        <w:tc>
          <w:tcPr>
            <w:tcW w:w="504" w:type="pct"/>
            <w:vMerge w:val="continue"/>
            <w:vAlign w:val="center"/>
          </w:tcPr>
          <w:p w14:paraId="6FCF5E32">
            <w:pPr>
              <w:spacing w:line="340" w:lineRule="exact"/>
              <w:jc w:val="center"/>
              <w:rPr>
                <w:rFonts w:ascii="Times New Roman" w:hAnsi="Times New Roman" w:cs="Times New Roman"/>
                <w:color w:val="auto"/>
                <w:w w:val="99"/>
                <w:kern w:val="2"/>
                <w:sz w:val="21"/>
                <w:szCs w:val="21"/>
                <w:highlight w:val="none"/>
              </w:rPr>
            </w:pPr>
          </w:p>
        </w:tc>
        <w:tc>
          <w:tcPr>
            <w:tcW w:w="3299" w:type="pct"/>
            <w:vAlign w:val="center"/>
          </w:tcPr>
          <w:p w14:paraId="015DAA71">
            <w:pPr>
              <w:pStyle w:val="2857"/>
              <w:spacing w:line="360" w:lineRule="exact"/>
              <w:ind w:firstLine="414" w:firstLineChars="200"/>
              <w:jc w:val="both"/>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土壤跟踪监测：布设2个监测点，定期监测</w:t>
            </w:r>
          </w:p>
        </w:tc>
        <w:tc>
          <w:tcPr>
            <w:tcW w:w="439" w:type="pct"/>
            <w:vAlign w:val="center"/>
          </w:tcPr>
          <w:p w14:paraId="01605159">
            <w:pPr>
              <w:spacing w:line="340" w:lineRule="exact"/>
              <w:jc w:val="center"/>
              <w:rPr>
                <w:rFonts w:ascii="Times New Roman" w:hAnsi="Times New Roman" w:cs="Times New Roman"/>
                <w:bCs/>
                <w:color w:val="auto"/>
                <w:w w:val="99"/>
                <w:kern w:val="21"/>
                <w:sz w:val="21"/>
                <w:szCs w:val="21"/>
                <w:highlight w:val="none"/>
              </w:rPr>
            </w:pPr>
            <w:r>
              <w:rPr>
                <w:rFonts w:hint="eastAsia" w:ascii="Times New Roman" w:hAnsi="Times New Roman" w:cs="Times New Roman"/>
                <w:bCs/>
                <w:color w:val="auto"/>
                <w:w w:val="99"/>
                <w:kern w:val="21"/>
                <w:sz w:val="21"/>
                <w:szCs w:val="21"/>
                <w:highlight w:val="none"/>
              </w:rPr>
              <w:t>新建</w:t>
            </w:r>
          </w:p>
        </w:tc>
      </w:tr>
      <w:tr w14:paraId="05BCB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720A4D5B">
            <w:pPr>
              <w:spacing w:line="340" w:lineRule="exact"/>
              <w:jc w:val="center"/>
              <w:rPr>
                <w:rFonts w:ascii="Times New Roman" w:hAnsi="Times New Roman" w:cs="Times New Roman"/>
                <w:color w:val="auto"/>
                <w:w w:val="99"/>
                <w:kern w:val="2"/>
                <w:sz w:val="21"/>
                <w:szCs w:val="21"/>
                <w:highlight w:val="none"/>
              </w:rPr>
            </w:pPr>
          </w:p>
        </w:tc>
        <w:tc>
          <w:tcPr>
            <w:tcW w:w="403" w:type="pct"/>
            <w:gridSpan w:val="2"/>
            <w:vMerge w:val="continue"/>
            <w:vAlign w:val="center"/>
          </w:tcPr>
          <w:p w14:paraId="10469B84">
            <w:pPr>
              <w:spacing w:line="340" w:lineRule="exact"/>
              <w:jc w:val="center"/>
              <w:rPr>
                <w:rFonts w:ascii="Times New Roman" w:hAnsi="Times New Roman" w:cs="Times New Roman"/>
                <w:color w:val="auto"/>
                <w:w w:val="99"/>
                <w:kern w:val="2"/>
                <w:sz w:val="21"/>
                <w:szCs w:val="21"/>
                <w:highlight w:val="none"/>
              </w:rPr>
            </w:pPr>
          </w:p>
        </w:tc>
        <w:tc>
          <w:tcPr>
            <w:tcW w:w="504" w:type="pct"/>
            <w:vMerge w:val="restart"/>
            <w:vAlign w:val="center"/>
          </w:tcPr>
          <w:p w14:paraId="7FC8C960">
            <w:pPr>
              <w:spacing w:line="34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生态措施</w:t>
            </w:r>
          </w:p>
        </w:tc>
        <w:tc>
          <w:tcPr>
            <w:tcW w:w="3299" w:type="pct"/>
            <w:vAlign w:val="center"/>
          </w:tcPr>
          <w:p w14:paraId="54E27171">
            <w:pPr>
              <w:pStyle w:val="2857"/>
              <w:spacing w:line="360" w:lineRule="exact"/>
              <w:ind w:firstLine="414" w:firstLineChars="200"/>
              <w:jc w:val="both"/>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永久占地：</w:t>
            </w:r>
            <w:r>
              <w:rPr>
                <w:rFonts w:ascii="Times New Roman" w:hAnsi="Times New Roman" w:cs="Times New Roman"/>
                <w:color w:val="auto"/>
                <w:w w:val="99"/>
                <w:sz w:val="21"/>
                <w:szCs w:val="21"/>
                <w:highlight w:val="none"/>
                <w:lang w:eastAsia="zh-CN"/>
              </w:rPr>
              <w:t>本项目永久占地类型为</w:t>
            </w:r>
            <w:r>
              <w:rPr>
                <w:rFonts w:hint="eastAsia" w:ascii="Times New Roman" w:hAnsi="Times New Roman" w:cs="Times New Roman"/>
                <w:color w:val="auto"/>
                <w:w w:val="99"/>
                <w:sz w:val="21"/>
                <w:szCs w:val="21"/>
                <w:highlight w:val="none"/>
                <w:lang w:eastAsia="zh-CN"/>
              </w:rPr>
              <w:t>永久</w:t>
            </w:r>
            <w:r>
              <w:rPr>
                <w:rFonts w:ascii="Times New Roman" w:hAnsi="Times New Roman" w:cs="Times New Roman"/>
                <w:color w:val="auto"/>
                <w:w w:val="99"/>
                <w:sz w:val="21"/>
                <w:szCs w:val="21"/>
                <w:highlight w:val="none"/>
                <w:lang w:eastAsia="zh-CN"/>
              </w:rPr>
              <w:t>基本农田，对永久占用的基本农田按照“占一补一”的要求进行经济补偿或开垦与所占用耕地质量及数量相当的耕地。</w:t>
            </w:r>
          </w:p>
        </w:tc>
        <w:tc>
          <w:tcPr>
            <w:tcW w:w="439" w:type="pct"/>
            <w:vAlign w:val="center"/>
          </w:tcPr>
          <w:p w14:paraId="0E26E8C6">
            <w:pPr>
              <w:spacing w:line="340" w:lineRule="exact"/>
              <w:jc w:val="center"/>
              <w:rPr>
                <w:rFonts w:ascii="Times New Roman" w:hAnsi="Times New Roman" w:cs="Times New Roman"/>
                <w:bCs/>
                <w:color w:val="auto"/>
                <w:w w:val="99"/>
                <w:kern w:val="21"/>
                <w:sz w:val="21"/>
                <w:szCs w:val="21"/>
                <w:highlight w:val="none"/>
              </w:rPr>
            </w:pPr>
            <w:r>
              <w:rPr>
                <w:rFonts w:hint="eastAsia" w:ascii="Times New Roman" w:hAnsi="Times New Roman" w:cs="Times New Roman"/>
                <w:bCs/>
                <w:color w:val="auto"/>
                <w:w w:val="99"/>
                <w:kern w:val="21"/>
                <w:sz w:val="21"/>
                <w:szCs w:val="21"/>
                <w:highlight w:val="none"/>
              </w:rPr>
              <w:t>新建</w:t>
            </w:r>
          </w:p>
        </w:tc>
      </w:tr>
      <w:tr w14:paraId="588F4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34A80D56">
            <w:pPr>
              <w:spacing w:line="340" w:lineRule="exact"/>
              <w:jc w:val="center"/>
              <w:rPr>
                <w:rFonts w:ascii="Times New Roman" w:hAnsi="Times New Roman" w:cs="Times New Roman"/>
                <w:color w:val="auto"/>
                <w:w w:val="99"/>
                <w:kern w:val="2"/>
                <w:sz w:val="21"/>
                <w:szCs w:val="21"/>
                <w:highlight w:val="none"/>
              </w:rPr>
            </w:pPr>
          </w:p>
        </w:tc>
        <w:tc>
          <w:tcPr>
            <w:tcW w:w="403" w:type="pct"/>
            <w:gridSpan w:val="2"/>
            <w:vMerge w:val="continue"/>
            <w:vAlign w:val="center"/>
          </w:tcPr>
          <w:p w14:paraId="2E147C27">
            <w:pPr>
              <w:spacing w:line="340" w:lineRule="exact"/>
              <w:jc w:val="center"/>
              <w:rPr>
                <w:rFonts w:ascii="Times New Roman" w:hAnsi="Times New Roman" w:cs="Times New Roman"/>
                <w:color w:val="auto"/>
                <w:w w:val="99"/>
                <w:kern w:val="2"/>
                <w:sz w:val="21"/>
                <w:szCs w:val="21"/>
                <w:highlight w:val="none"/>
              </w:rPr>
            </w:pPr>
          </w:p>
        </w:tc>
        <w:tc>
          <w:tcPr>
            <w:tcW w:w="504" w:type="pct"/>
            <w:vMerge w:val="continue"/>
            <w:vAlign w:val="center"/>
          </w:tcPr>
          <w:p w14:paraId="62EBAAD3">
            <w:pPr>
              <w:spacing w:line="340" w:lineRule="exact"/>
              <w:jc w:val="center"/>
              <w:rPr>
                <w:rFonts w:ascii="Times New Roman" w:hAnsi="Times New Roman" w:cs="Times New Roman"/>
                <w:color w:val="auto"/>
                <w:w w:val="99"/>
                <w:kern w:val="2"/>
                <w:sz w:val="21"/>
                <w:szCs w:val="21"/>
                <w:highlight w:val="none"/>
              </w:rPr>
            </w:pPr>
          </w:p>
        </w:tc>
        <w:tc>
          <w:tcPr>
            <w:tcW w:w="3299" w:type="pct"/>
            <w:vAlign w:val="center"/>
          </w:tcPr>
          <w:p w14:paraId="06054582">
            <w:pPr>
              <w:pStyle w:val="2857"/>
              <w:spacing w:line="360" w:lineRule="exact"/>
              <w:ind w:firstLine="414" w:firstLineChars="200"/>
              <w:jc w:val="both"/>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本项目临时占地类型为</w:t>
            </w:r>
            <w:r>
              <w:rPr>
                <w:rFonts w:hint="eastAsia" w:ascii="Times New Roman" w:hAnsi="Times New Roman" w:cs="Times New Roman"/>
                <w:color w:val="auto"/>
                <w:w w:val="99"/>
                <w:sz w:val="21"/>
                <w:szCs w:val="21"/>
                <w:highlight w:val="none"/>
                <w:lang w:eastAsia="zh-CN"/>
              </w:rPr>
              <w:t>永久</w:t>
            </w:r>
            <w:r>
              <w:rPr>
                <w:rFonts w:ascii="Times New Roman" w:hAnsi="Times New Roman" w:cs="Times New Roman"/>
                <w:color w:val="auto"/>
                <w:w w:val="99"/>
                <w:sz w:val="21"/>
                <w:szCs w:val="21"/>
                <w:highlight w:val="none"/>
                <w:lang w:eastAsia="zh-CN"/>
              </w:rPr>
              <w:t>基本农田，项目施工均在临时占地内进行施工，并且施工结束后及时清理施工现场，对临时占用的基本农田及时进行复耕。</w:t>
            </w:r>
          </w:p>
        </w:tc>
        <w:tc>
          <w:tcPr>
            <w:tcW w:w="439" w:type="pct"/>
            <w:vAlign w:val="center"/>
          </w:tcPr>
          <w:p w14:paraId="13485270">
            <w:pPr>
              <w:spacing w:line="340" w:lineRule="exact"/>
              <w:jc w:val="center"/>
              <w:rPr>
                <w:rFonts w:ascii="Times New Roman" w:hAnsi="Times New Roman" w:cs="Times New Roman"/>
                <w:bCs/>
                <w:color w:val="auto"/>
                <w:w w:val="99"/>
                <w:kern w:val="21"/>
                <w:sz w:val="21"/>
                <w:szCs w:val="21"/>
                <w:highlight w:val="none"/>
              </w:rPr>
            </w:pPr>
            <w:r>
              <w:rPr>
                <w:rFonts w:hint="eastAsia" w:ascii="Times New Roman" w:hAnsi="Times New Roman" w:cs="Times New Roman"/>
                <w:bCs/>
                <w:color w:val="auto"/>
                <w:w w:val="99"/>
                <w:kern w:val="21"/>
                <w:sz w:val="21"/>
                <w:szCs w:val="21"/>
                <w:highlight w:val="none"/>
              </w:rPr>
              <w:t>新建</w:t>
            </w:r>
          </w:p>
        </w:tc>
      </w:tr>
      <w:tr w14:paraId="35D4D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0CA5DDDF">
            <w:pPr>
              <w:spacing w:line="340" w:lineRule="exact"/>
              <w:jc w:val="center"/>
              <w:rPr>
                <w:rFonts w:ascii="Times New Roman" w:hAnsi="Times New Roman" w:cs="Times New Roman"/>
                <w:color w:val="auto"/>
                <w:w w:val="99"/>
                <w:kern w:val="2"/>
                <w:sz w:val="21"/>
                <w:szCs w:val="21"/>
                <w:highlight w:val="none"/>
              </w:rPr>
            </w:pPr>
          </w:p>
        </w:tc>
        <w:tc>
          <w:tcPr>
            <w:tcW w:w="403" w:type="pct"/>
            <w:gridSpan w:val="2"/>
            <w:vMerge w:val="restart"/>
            <w:vAlign w:val="center"/>
          </w:tcPr>
          <w:p w14:paraId="523D6CCE">
            <w:pPr>
              <w:spacing w:line="34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退役期</w:t>
            </w:r>
          </w:p>
        </w:tc>
        <w:tc>
          <w:tcPr>
            <w:tcW w:w="504" w:type="pct"/>
            <w:vAlign w:val="center"/>
          </w:tcPr>
          <w:p w14:paraId="19840EE7">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废气</w:t>
            </w:r>
            <w:r>
              <w:rPr>
                <w:rFonts w:hint="eastAsia" w:ascii="Times New Roman" w:hAnsi="Times New Roman" w:cs="Times New Roman"/>
                <w:color w:val="auto"/>
                <w:w w:val="99"/>
                <w:kern w:val="2"/>
                <w:sz w:val="21"/>
                <w:szCs w:val="21"/>
                <w:highlight w:val="none"/>
              </w:rPr>
              <w:t>防治措施</w:t>
            </w:r>
          </w:p>
        </w:tc>
        <w:tc>
          <w:tcPr>
            <w:tcW w:w="3299" w:type="pct"/>
            <w:vAlign w:val="center"/>
          </w:tcPr>
          <w:p w14:paraId="7A3C7541">
            <w:pPr>
              <w:spacing w:line="320" w:lineRule="exact"/>
              <w:ind w:firstLine="414" w:firstLineChars="200"/>
              <w:jc w:val="both"/>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施工扬尘采取运输道路及施工场地定时洒水抑尘，</w:t>
            </w:r>
            <w:r>
              <w:rPr>
                <w:rFonts w:ascii="Times New Roman" w:hAnsi="Times New Roman" w:cs="Times New Roman"/>
                <w:bCs/>
                <w:color w:val="auto"/>
                <w:w w:val="99"/>
                <w:sz w:val="21"/>
                <w:szCs w:val="21"/>
                <w:highlight w:val="none"/>
              </w:rPr>
              <w:t>运输</w:t>
            </w:r>
            <w:r>
              <w:rPr>
                <w:rFonts w:ascii="Times New Roman" w:hAnsi="Times New Roman" w:cs="Times New Roman"/>
                <w:color w:val="auto"/>
                <w:w w:val="99"/>
                <w:sz w:val="21"/>
                <w:szCs w:val="21"/>
                <w:highlight w:val="none"/>
              </w:rPr>
              <w:t>车辆采取苫布遮盖措施。</w:t>
            </w:r>
          </w:p>
        </w:tc>
        <w:tc>
          <w:tcPr>
            <w:tcW w:w="439" w:type="pct"/>
            <w:vAlign w:val="center"/>
          </w:tcPr>
          <w:p w14:paraId="7C6B276F">
            <w:pPr>
              <w:spacing w:line="340" w:lineRule="exact"/>
              <w:jc w:val="center"/>
              <w:rPr>
                <w:rFonts w:ascii="Times New Roman" w:hAnsi="Times New Roman" w:cs="Times New Roman"/>
                <w:bCs/>
                <w:color w:val="auto"/>
                <w:w w:val="99"/>
                <w:kern w:val="21"/>
                <w:sz w:val="21"/>
                <w:szCs w:val="21"/>
                <w:highlight w:val="none"/>
              </w:rPr>
            </w:pPr>
            <w:r>
              <w:rPr>
                <w:rFonts w:hint="eastAsia" w:ascii="Times New Roman" w:hAnsi="Times New Roman" w:cs="Times New Roman"/>
                <w:bCs/>
                <w:color w:val="auto"/>
                <w:w w:val="99"/>
                <w:kern w:val="21"/>
                <w:sz w:val="21"/>
                <w:szCs w:val="21"/>
                <w:highlight w:val="none"/>
              </w:rPr>
              <w:t>新建</w:t>
            </w:r>
          </w:p>
        </w:tc>
      </w:tr>
      <w:tr w14:paraId="6512F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4089FE08">
            <w:pPr>
              <w:spacing w:line="340" w:lineRule="exact"/>
              <w:jc w:val="center"/>
              <w:rPr>
                <w:rFonts w:ascii="Times New Roman" w:hAnsi="Times New Roman" w:cs="Times New Roman"/>
                <w:color w:val="auto"/>
                <w:w w:val="99"/>
                <w:kern w:val="2"/>
                <w:sz w:val="21"/>
                <w:szCs w:val="21"/>
                <w:highlight w:val="none"/>
              </w:rPr>
            </w:pPr>
          </w:p>
        </w:tc>
        <w:tc>
          <w:tcPr>
            <w:tcW w:w="403" w:type="pct"/>
            <w:gridSpan w:val="2"/>
            <w:vMerge w:val="continue"/>
            <w:vAlign w:val="center"/>
          </w:tcPr>
          <w:p w14:paraId="08E3482F">
            <w:pPr>
              <w:spacing w:line="340" w:lineRule="exact"/>
              <w:jc w:val="center"/>
              <w:rPr>
                <w:rFonts w:ascii="Times New Roman" w:hAnsi="Times New Roman" w:cs="Times New Roman"/>
                <w:color w:val="auto"/>
                <w:w w:val="99"/>
                <w:kern w:val="2"/>
                <w:sz w:val="21"/>
                <w:szCs w:val="21"/>
                <w:highlight w:val="none"/>
              </w:rPr>
            </w:pPr>
          </w:p>
        </w:tc>
        <w:tc>
          <w:tcPr>
            <w:tcW w:w="504" w:type="pct"/>
            <w:vAlign w:val="center"/>
          </w:tcPr>
          <w:p w14:paraId="1254ED4C">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废水</w:t>
            </w:r>
            <w:r>
              <w:rPr>
                <w:rFonts w:hint="eastAsia" w:ascii="Times New Roman" w:hAnsi="Times New Roman" w:cs="Times New Roman"/>
                <w:color w:val="auto"/>
                <w:w w:val="99"/>
                <w:kern w:val="2"/>
                <w:sz w:val="21"/>
                <w:szCs w:val="21"/>
                <w:highlight w:val="none"/>
              </w:rPr>
              <w:t>防治措施</w:t>
            </w:r>
          </w:p>
        </w:tc>
        <w:tc>
          <w:tcPr>
            <w:tcW w:w="3299" w:type="pct"/>
            <w:vAlign w:val="center"/>
          </w:tcPr>
          <w:p w14:paraId="1212EE47">
            <w:pPr>
              <w:widowControl w:val="0"/>
              <w:adjustRightInd w:val="0"/>
              <w:snapToGrid w:val="0"/>
              <w:spacing w:line="360" w:lineRule="exact"/>
              <w:ind w:firstLine="414" w:firstLineChars="200"/>
              <w:jc w:val="both"/>
              <w:rPr>
                <w:rFonts w:hint="eastAsia"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拆除设备清洗废水，由罐车拉运至</w:t>
            </w:r>
            <w:r>
              <w:rPr>
                <w:rFonts w:hint="eastAsia" w:ascii="Times New Roman" w:hAnsi="Times New Roman" w:cs="Times New Roman"/>
                <w:color w:val="auto"/>
                <w:w w:val="99"/>
                <w:sz w:val="21"/>
                <w:szCs w:val="21"/>
                <w:highlight w:val="none"/>
              </w:rPr>
              <w:t>升一联气田污水预处理站处理满足《大庆油田地面工程建设设计规定》（Q/SYDQ 0639-2015）限值“含油量≤10mg/L、悬浮固体含量≤5mg/L、粒径中值≤2μm”</w:t>
            </w:r>
            <w:r>
              <w:rPr>
                <w:rFonts w:hint="eastAsia" w:ascii="Times New Roman" w:hAnsi="Times New Roman" w:cs="Times New Roman"/>
                <w:color w:val="auto"/>
                <w:w w:val="99"/>
                <w:sz w:val="21"/>
                <w:szCs w:val="21"/>
                <w:highlight w:val="none"/>
                <w:lang w:eastAsia="zh-CN"/>
              </w:rPr>
              <w:t>，</w:t>
            </w:r>
            <w:r>
              <w:rPr>
                <w:rFonts w:hint="eastAsia" w:ascii="Times New Roman" w:hAnsi="Times New Roman" w:cs="Times New Roman"/>
                <w:color w:val="auto"/>
                <w:w w:val="99"/>
                <w:sz w:val="21"/>
                <w:szCs w:val="21"/>
                <w:highlight w:val="none"/>
                <w:lang w:val="en-US" w:eastAsia="zh-CN"/>
              </w:rPr>
              <w:t>同时满足</w:t>
            </w:r>
            <w:r>
              <w:rPr>
                <w:rFonts w:hint="eastAsia" w:ascii="Times New Roman" w:hAnsi="Times New Roman" w:cs="Times New Roman"/>
                <w:color w:val="auto"/>
                <w:w w:val="99"/>
                <w:sz w:val="21"/>
                <w:szCs w:val="21"/>
                <w:highlight w:val="none"/>
              </w:rPr>
              <w:t>《碎屑岩油藏注水水质指标技术要求及分析方法》(SY/T5329-2022)中标准限值，回注地下。</w:t>
            </w:r>
          </w:p>
          <w:p w14:paraId="71A7E4BD">
            <w:pPr>
              <w:spacing w:line="320" w:lineRule="exact"/>
              <w:ind w:firstLine="414" w:firstLineChars="200"/>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退役期拆除工程生活污水排入</w:t>
            </w:r>
            <w:r>
              <w:rPr>
                <w:rFonts w:hint="eastAsia" w:ascii="Times New Roman" w:hAnsi="Times New Roman" w:cs="Times New Roman"/>
                <w:color w:val="auto"/>
                <w:w w:val="99"/>
                <w:sz w:val="21"/>
                <w:szCs w:val="21"/>
                <w:highlight w:val="none"/>
              </w:rPr>
              <w:t>周边集气站已建生活污水收集设施，均定期由大庆石油管理局有限公司庆南工矿服务公司红岗分公司拉运至大庆红岗区西巷污水回收站，管输至南区污水处理厂进行处理。</w:t>
            </w:r>
          </w:p>
        </w:tc>
        <w:tc>
          <w:tcPr>
            <w:tcW w:w="439" w:type="pct"/>
            <w:vAlign w:val="center"/>
          </w:tcPr>
          <w:p w14:paraId="50FF169A">
            <w:pPr>
              <w:spacing w:line="340" w:lineRule="exact"/>
              <w:jc w:val="center"/>
              <w:rPr>
                <w:rFonts w:ascii="Times New Roman" w:hAnsi="Times New Roman" w:cs="Times New Roman"/>
                <w:bCs/>
                <w:color w:val="auto"/>
                <w:w w:val="99"/>
                <w:kern w:val="21"/>
                <w:sz w:val="21"/>
                <w:szCs w:val="21"/>
                <w:highlight w:val="none"/>
              </w:rPr>
            </w:pPr>
            <w:r>
              <w:rPr>
                <w:rFonts w:hint="eastAsia" w:ascii="Times New Roman" w:hAnsi="Times New Roman" w:cs="Times New Roman"/>
                <w:bCs/>
                <w:color w:val="auto"/>
                <w:w w:val="99"/>
                <w:kern w:val="21"/>
                <w:sz w:val="21"/>
                <w:szCs w:val="21"/>
                <w:highlight w:val="none"/>
              </w:rPr>
              <w:t>依托</w:t>
            </w:r>
          </w:p>
        </w:tc>
      </w:tr>
      <w:tr w14:paraId="653C7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241436DD">
            <w:pPr>
              <w:spacing w:line="340" w:lineRule="exact"/>
              <w:jc w:val="center"/>
              <w:rPr>
                <w:rFonts w:ascii="Times New Roman" w:hAnsi="Times New Roman" w:cs="Times New Roman"/>
                <w:color w:val="auto"/>
                <w:w w:val="99"/>
                <w:kern w:val="2"/>
                <w:sz w:val="21"/>
                <w:szCs w:val="21"/>
                <w:highlight w:val="none"/>
              </w:rPr>
            </w:pPr>
          </w:p>
        </w:tc>
        <w:tc>
          <w:tcPr>
            <w:tcW w:w="403" w:type="pct"/>
            <w:gridSpan w:val="2"/>
            <w:vMerge w:val="continue"/>
            <w:vAlign w:val="center"/>
          </w:tcPr>
          <w:p w14:paraId="36897DB3">
            <w:pPr>
              <w:spacing w:line="340" w:lineRule="exact"/>
              <w:jc w:val="center"/>
              <w:rPr>
                <w:rFonts w:ascii="Times New Roman" w:hAnsi="Times New Roman" w:cs="Times New Roman"/>
                <w:color w:val="auto"/>
                <w:w w:val="99"/>
                <w:kern w:val="2"/>
                <w:sz w:val="21"/>
                <w:szCs w:val="21"/>
                <w:highlight w:val="none"/>
              </w:rPr>
            </w:pPr>
          </w:p>
        </w:tc>
        <w:tc>
          <w:tcPr>
            <w:tcW w:w="504" w:type="pct"/>
            <w:vAlign w:val="center"/>
          </w:tcPr>
          <w:p w14:paraId="53A80575">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噪声</w:t>
            </w:r>
            <w:r>
              <w:rPr>
                <w:rFonts w:hint="eastAsia" w:ascii="Times New Roman" w:hAnsi="Times New Roman" w:cs="Times New Roman"/>
                <w:color w:val="auto"/>
                <w:w w:val="99"/>
                <w:kern w:val="2"/>
                <w:sz w:val="21"/>
                <w:szCs w:val="21"/>
                <w:highlight w:val="none"/>
              </w:rPr>
              <w:t>防治措施</w:t>
            </w:r>
          </w:p>
        </w:tc>
        <w:tc>
          <w:tcPr>
            <w:tcW w:w="3299" w:type="pct"/>
            <w:vAlign w:val="center"/>
          </w:tcPr>
          <w:p w14:paraId="6FE633A4">
            <w:pPr>
              <w:spacing w:line="320" w:lineRule="exact"/>
              <w:ind w:firstLine="414" w:firstLineChars="200"/>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加强施工管理工作，合理安排施工进度，避免大量高噪声设备同时施工；施工期选用低噪声设备；运输车辆选择避开居民区的路线。</w:t>
            </w:r>
          </w:p>
        </w:tc>
        <w:tc>
          <w:tcPr>
            <w:tcW w:w="439" w:type="pct"/>
            <w:vAlign w:val="center"/>
          </w:tcPr>
          <w:p w14:paraId="6D58081F">
            <w:pPr>
              <w:spacing w:line="340" w:lineRule="exact"/>
              <w:jc w:val="center"/>
              <w:rPr>
                <w:rFonts w:ascii="Times New Roman" w:hAnsi="Times New Roman" w:cs="Times New Roman"/>
                <w:bCs/>
                <w:color w:val="auto"/>
                <w:w w:val="99"/>
                <w:kern w:val="21"/>
                <w:sz w:val="21"/>
                <w:szCs w:val="21"/>
                <w:highlight w:val="none"/>
              </w:rPr>
            </w:pPr>
            <w:r>
              <w:rPr>
                <w:rFonts w:hint="eastAsia" w:ascii="Times New Roman" w:hAnsi="Times New Roman" w:cs="Times New Roman"/>
                <w:bCs/>
                <w:color w:val="auto"/>
                <w:w w:val="99"/>
                <w:kern w:val="21"/>
                <w:sz w:val="21"/>
                <w:szCs w:val="21"/>
                <w:highlight w:val="none"/>
              </w:rPr>
              <w:t>/</w:t>
            </w:r>
          </w:p>
        </w:tc>
      </w:tr>
      <w:tr w14:paraId="7861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5C87FCF2">
            <w:pPr>
              <w:spacing w:line="340" w:lineRule="exact"/>
              <w:jc w:val="center"/>
              <w:rPr>
                <w:rFonts w:ascii="Times New Roman" w:hAnsi="Times New Roman" w:cs="Times New Roman"/>
                <w:color w:val="auto"/>
                <w:w w:val="99"/>
                <w:kern w:val="2"/>
                <w:sz w:val="21"/>
                <w:szCs w:val="21"/>
                <w:highlight w:val="none"/>
              </w:rPr>
            </w:pPr>
          </w:p>
        </w:tc>
        <w:tc>
          <w:tcPr>
            <w:tcW w:w="403" w:type="pct"/>
            <w:gridSpan w:val="2"/>
            <w:vMerge w:val="continue"/>
            <w:vAlign w:val="center"/>
          </w:tcPr>
          <w:p w14:paraId="67FFB2AB">
            <w:pPr>
              <w:spacing w:line="340" w:lineRule="exact"/>
              <w:jc w:val="center"/>
              <w:rPr>
                <w:rFonts w:ascii="Times New Roman" w:hAnsi="Times New Roman" w:cs="Times New Roman"/>
                <w:color w:val="auto"/>
                <w:w w:val="99"/>
                <w:kern w:val="2"/>
                <w:sz w:val="21"/>
                <w:szCs w:val="21"/>
                <w:highlight w:val="none"/>
              </w:rPr>
            </w:pPr>
          </w:p>
        </w:tc>
        <w:tc>
          <w:tcPr>
            <w:tcW w:w="504" w:type="pct"/>
            <w:vAlign w:val="center"/>
          </w:tcPr>
          <w:p w14:paraId="57763365">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固体废物</w:t>
            </w:r>
            <w:r>
              <w:rPr>
                <w:rFonts w:hint="eastAsia" w:ascii="Times New Roman" w:hAnsi="Times New Roman" w:cs="Times New Roman"/>
                <w:color w:val="auto"/>
                <w:w w:val="99"/>
                <w:kern w:val="2"/>
                <w:sz w:val="21"/>
                <w:szCs w:val="21"/>
                <w:highlight w:val="none"/>
              </w:rPr>
              <w:t>防治措施</w:t>
            </w:r>
          </w:p>
        </w:tc>
        <w:tc>
          <w:tcPr>
            <w:tcW w:w="3299" w:type="pct"/>
            <w:vAlign w:val="center"/>
          </w:tcPr>
          <w:p w14:paraId="6C9E8B65">
            <w:pPr>
              <w:widowControl w:val="0"/>
              <w:adjustRightInd w:val="0"/>
              <w:snapToGrid w:val="0"/>
              <w:spacing w:line="360" w:lineRule="exact"/>
              <w:ind w:firstLine="414" w:firstLineChars="200"/>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退役期</w:t>
            </w:r>
            <w:r>
              <w:rPr>
                <w:rFonts w:hint="eastAsia" w:ascii="Times New Roman" w:hAnsi="Times New Roman" w:cs="Times New Roman"/>
                <w:color w:val="auto"/>
                <w:w w:val="99"/>
                <w:sz w:val="21"/>
                <w:szCs w:val="21"/>
                <w:highlight w:val="none"/>
              </w:rPr>
              <w:t>气</w:t>
            </w:r>
            <w:r>
              <w:rPr>
                <w:rFonts w:ascii="Times New Roman" w:hAnsi="Times New Roman" w:cs="Times New Roman"/>
                <w:color w:val="auto"/>
                <w:w w:val="99"/>
                <w:sz w:val="21"/>
                <w:szCs w:val="21"/>
                <w:highlight w:val="none"/>
              </w:rPr>
              <w:t>井拆除设备废旧设备回收至</w:t>
            </w:r>
            <w:r>
              <w:rPr>
                <w:rFonts w:hint="eastAsia" w:ascii="Times New Roman" w:hAnsi="Times New Roman" w:cs="Times New Roman"/>
                <w:color w:val="auto"/>
                <w:w w:val="99"/>
                <w:sz w:val="21"/>
                <w:szCs w:val="21"/>
                <w:highlight w:val="none"/>
              </w:rPr>
              <w:t>采气分公司</w:t>
            </w:r>
            <w:r>
              <w:rPr>
                <w:rFonts w:ascii="Times New Roman" w:hAnsi="Times New Roman" w:cs="Times New Roman"/>
                <w:color w:val="auto"/>
                <w:w w:val="99"/>
                <w:sz w:val="21"/>
                <w:szCs w:val="21"/>
                <w:highlight w:val="none"/>
              </w:rPr>
              <w:t>资产回收库</w:t>
            </w:r>
            <w:r>
              <w:rPr>
                <w:rFonts w:hint="eastAsia" w:ascii="Times New Roman" w:hAnsi="Times New Roman" w:cs="Times New Roman"/>
                <w:color w:val="auto"/>
                <w:w w:val="99"/>
                <w:sz w:val="21"/>
                <w:szCs w:val="21"/>
                <w:highlight w:val="none"/>
              </w:rPr>
              <w:t>；</w:t>
            </w:r>
          </w:p>
          <w:p w14:paraId="19569C80">
            <w:pPr>
              <w:widowControl w:val="0"/>
              <w:adjustRightInd w:val="0"/>
              <w:snapToGrid w:val="0"/>
              <w:spacing w:line="360" w:lineRule="exact"/>
              <w:ind w:firstLine="414" w:firstLineChars="200"/>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退役期</w:t>
            </w:r>
            <w:r>
              <w:rPr>
                <w:rFonts w:hint="eastAsia" w:ascii="Times New Roman" w:hAnsi="Times New Roman" w:cs="Times New Roman"/>
                <w:color w:val="auto"/>
                <w:w w:val="99"/>
                <w:sz w:val="21"/>
                <w:szCs w:val="21"/>
                <w:highlight w:val="none"/>
              </w:rPr>
              <w:t>气</w:t>
            </w:r>
            <w:r>
              <w:rPr>
                <w:rFonts w:ascii="Times New Roman" w:hAnsi="Times New Roman" w:cs="Times New Roman"/>
                <w:color w:val="auto"/>
                <w:w w:val="99"/>
                <w:sz w:val="21"/>
                <w:szCs w:val="21"/>
                <w:highlight w:val="none"/>
              </w:rPr>
              <w:t>井封井</w:t>
            </w:r>
            <w:r>
              <w:rPr>
                <w:rFonts w:hint="eastAsia" w:ascii="Times New Roman" w:hAnsi="Times New Roman" w:cs="Times New Roman"/>
                <w:color w:val="auto"/>
                <w:w w:val="99"/>
                <w:sz w:val="21"/>
                <w:szCs w:val="21"/>
                <w:highlight w:val="none"/>
              </w:rPr>
              <w:t>建筑</w:t>
            </w:r>
            <w:r>
              <w:rPr>
                <w:rFonts w:ascii="Times New Roman" w:hAnsi="Times New Roman" w:cs="Times New Roman"/>
                <w:color w:val="auto"/>
                <w:w w:val="99"/>
                <w:sz w:val="21"/>
                <w:szCs w:val="21"/>
                <w:highlight w:val="none"/>
              </w:rPr>
              <w:t>垃圾拉运至建筑垃圾调配场处理</w:t>
            </w:r>
            <w:r>
              <w:rPr>
                <w:rFonts w:hint="eastAsia" w:ascii="Times New Roman" w:hAnsi="Times New Roman" w:cs="Times New Roman"/>
                <w:color w:val="auto"/>
                <w:w w:val="99"/>
                <w:sz w:val="21"/>
                <w:szCs w:val="21"/>
                <w:highlight w:val="none"/>
              </w:rPr>
              <w:t>；</w:t>
            </w:r>
          </w:p>
          <w:p w14:paraId="2ABEA940">
            <w:pPr>
              <w:spacing w:line="320" w:lineRule="exact"/>
              <w:ind w:firstLine="414" w:firstLineChars="200"/>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退役期生活垃圾统一收集后拉运至</w:t>
            </w:r>
            <w:r>
              <w:rPr>
                <w:rFonts w:hint="eastAsia" w:ascii="Times New Roman" w:hAnsi="Times New Roman" w:cs="Times New Roman"/>
                <w:color w:val="auto"/>
                <w:w w:val="99"/>
                <w:sz w:val="21"/>
                <w:szCs w:val="21"/>
                <w:highlight w:val="none"/>
              </w:rPr>
              <w:t>肇东北控环境再生能源有限公司</w:t>
            </w:r>
            <w:r>
              <w:rPr>
                <w:rFonts w:ascii="Times New Roman" w:hAnsi="Times New Roman" w:cs="Times New Roman"/>
                <w:color w:val="auto"/>
                <w:w w:val="99"/>
                <w:sz w:val="21"/>
                <w:szCs w:val="21"/>
                <w:highlight w:val="none"/>
              </w:rPr>
              <w:t>处理。</w:t>
            </w:r>
          </w:p>
          <w:p w14:paraId="6F6FD26A">
            <w:pPr>
              <w:pStyle w:val="103"/>
              <w:ind w:left="0" w:firstLine="414" w:firstLineChars="200"/>
              <w:jc w:val="both"/>
              <w:rPr>
                <w:color w:val="auto"/>
                <w:highlight w:val="none"/>
              </w:rPr>
            </w:pPr>
            <w:r>
              <w:rPr>
                <w:rFonts w:hint="eastAsia" w:ascii="Times New Roman" w:hAnsi="Times New Roman"/>
                <w:color w:val="auto"/>
                <w:w w:val="99"/>
                <w:sz w:val="21"/>
                <w:szCs w:val="21"/>
                <w:highlight w:val="none"/>
              </w:rPr>
              <w:t>退役期产生</w:t>
            </w:r>
            <w:r>
              <w:rPr>
                <w:rFonts w:ascii="Times New Roman" w:hAnsi="Times New Roman"/>
                <w:color w:val="auto"/>
                <w:w w:val="99"/>
                <w:sz w:val="21"/>
                <w:szCs w:val="21"/>
                <w:highlight w:val="none"/>
              </w:rPr>
              <w:t>含油废防渗布在作业结束后，</w:t>
            </w:r>
            <w:r>
              <w:rPr>
                <w:rFonts w:hint="eastAsia" w:ascii="Times New Roman" w:hAnsi="Times New Roman"/>
                <w:color w:val="auto"/>
                <w:w w:val="99"/>
                <w:sz w:val="21"/>
                <w:szCs w:val="21"/>
                <w:highlight w:val="none"/>
              </w:rPr>
              <w:t>由施工单位运至</w:t>
            </w:r>
            <w:r>
              <w:rPr>
                <w:rFonts w:hint="eastAsia" w:ascii="Times New Roman" w:hAnsi="Times New Roman"/>
                <w:bCs/>
                <w:color w:val="auto"/>
                <w:w w:val="99"/>
                <w:kern w:val="21"/>
                <w:sz w:val="21"/>
                <w:szCs w:val="21"/>
                <w:highlight w:val="none"/>
              </w:rPr>
              <w:t>采气分公司危险废物贮存库</w:t>
            </w:r>
            <w:r>
              <w:rPr>
                <w:rFonts w:hint="eastAsia" w:ascii="Times New Roman" w:hAnsi="Times New Roman"/>
                <w:color w:val="auto"/>
                <w:w w:val="99"/>
                <w:sz w:val="21"/>
                <w:szCs w:val="21"/>
                <w:highlight w:val="none"/>
              </w:rPr>
              <w:t>，</w:t>
            </w:r>
            <w:r>
              <w:rPr>
                <w:rFonts w:ascii="Times New Roman" w:hAnsi="Times New Roman"/>
                <w:color w:val="auto"/>
                <w:w w:val="99"/>
                <w:sz w:val="21"/>
                <w:szCs w:val="21"/>
                <w:highlight w:val="none"/>
              </w:rPr>
              <w:t>委托</w:t>
            </w:r>
            <w:r>
              <w:rPr>
                <w:rFonts w:hint="eastAsia" w:ascii="Times New Roman" w:hAnsi="Times New Roman"/>
                <w:color w:val="auto"/>
                <w:w w:val="99"/>
                <w:sz w:val="21"/>
                <w:szCs w:val="21"/>
                <w:highlight w:val="none"/>
              </w:rPr>
              <w:t>有资质单位</w:t>
            </w:r>
            <w:r>
              <w:rPr>
                <w:rFonts w:ascii="Times New Roman" w:hAnsi="Times New Roman"/>
                <w:color w:val="auto"/>
                <w:w w:val="99"/>
                <w:sz w:val="21"/>
                <w:szCs w:val="21"/>
                <w:highlight w:val="none"/>
              </w:rPr>
              <w:t>转运处置</w:t>
            </w:r>
            <w:r>
              <w:rPr>
                <w:rFonts w:hint="eastAsia" w:ascii="Times New Roman" w:hAnsi="Times New Roman"/>
                <w:color w:val="auto"/>
                <w:w w:val="99"/>
                <w:sz w:val="21"/>
                <w:szCs w:val="21"/>
                <w:highlight w:val="none"/>
              </w:rPr>
              <w:t>。</w:t>
            </w:r>
          </w:p>
        </w:tc>
        <w:tc>
          <w:tcPr>
            <w:tcW w:w="439" w:type="pct"/>
            <w:vAlign w:val="center"/>
          </w:tcPr>
          <w:p w14:paraId="2FE8285E">
            <w:pPr>
              <w:spacing w:line="340" w:lineRule="exact"/>
              <w:jc w:val="center"/>
              <w:rPr>
                <w:rFonts w:ascii="Times New Roman" w:hAnsi="Times New Roman" w:cs="Times New Roman"/>
                <w:bCs/>
                <w:color w:val="auto"/>
                <w:w w:val="99"/>
                <w:kern w:val="21"/>
                <w:sz w:val="21"/>
                <w:szCs w:val="21"/>
                <w:highlight w:val="none"/>
              </w:rPr>
            </w:pPr>
            <w:r>
              <w:rPr>
                <w:rFonts w:hint="eastAsia" w:ascii="Times New Roman" w:hAnsi="Times New Roman" w:cs="Times New Roman"/>
                <w:bCs/>
                <w:color w:val="auto"/>
                <w:w w:val="99"/>
                <w:kern w:val="21"/>
                <w:sz w:val="21"/>
                <w:szCs w:val="21"/>
                <w:highlight w:val="none"/>
              </w:rPr>
              <w:t>依托</w:t>
            </w:r>
          </w:p>
        </w:tc>
      </w:tr>
      <w:tr w14:paraId="684F9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49FAE7FC">
            <w:pPr>
              <w:spacing w:line="340" w:lineRule="exact"/>
              <w:jc w:val="center"/>
              <w:rPr>
                <w:rFonts w:ascii="Times New Roman" w:hAnsi="Times New Roman" w:cs="Times New Roman"/>
                <w:color w:val="auto"/>
                <w:w w:val="99"/>
                <w:kern w:val="2"/>
                <w:sz w:val="21"/>
                <w:szCs w:val="21"/>
                <w:highlight w:val="none"/>
              </w:rPr>
            </w:pPr>
          </w:p>
        </w:tc>
        <w:tc>
          <w:tcPr>
            <w:tcW w:w="403" w:type="pct"/>
            <w:gridSpan w:val="2"/>
            <w:vMerge w:val="continue"/>
            <w:vAlign w:val="center"/>
          </w:tcPr>
          <w:p w14:paraId="39A28949">
            <w:pPr>
              <w:spacing w:line="340" w:lineRule="exact"/>
              <w:jc w:val="center"/>
              <w:rPr>
                <w:rFonts w:ascii="Times New Roman" w:hAnsi="Times New Roman" w:cs="Times New Roman"/>
                <w:color w:val="auto"/>
                <w:w w:val="99"/>
                <w:kern w:val="2"/>
                <w:sz w:val="21"/>
                <w:szCs w:val="21"/>
                <w:highlight w:val="none"/>
              </w:rPr>
            </w:pPr>
          </w:p>
        </w:tc>
        <w:tc>
          <w:tcPr>
            <w:tcW w:w="504" w:type="pct"/>
            <w:vAlign w:val="center"/>
          </w:tcPr>
          <w:p w14:paraId="2B798E16">
            <w:pPr>
              <w:widowControl w:val="0"/>
              <w:adjustRightInd w:val="0"/>
              <w:snapToGrid w:val="0"/>
              <w:spacing w:line="360" w:lineRule="exact"/>
              <w:jc w:val="center"/>
              <w:rPr>
                <w:rFonts w:ascii="Times New Roman" w:hAnsi="Times New Roman" w:cs="Times New Roman"/>
                <w:color w:val="auto"/>
                <w:kern w:val="2"/>
                <w:sz w:val="21"/>
                <w:szCs w:val="21"/>
                <w:highlight w:val="none"/>
              </w:rPr>
            </w:pPr>
            <w:r>
              <w:rPr>
                <w:rFonts w:ascii="Times New Roman" w:hAnsi="Times New Roman" w:cs="Times New Roman"/>
                <w:color w:val="auto"/>
                <w:w w:val="99"/>
                <w:sz w:val="21"/>
                <w:szCs w:val="21"/>
                <w:highlight w:val="none"/>
              </w:rPr>
              <w:t>生</w:t>
            </w:r>
            <w:r>
              <w:rPr>
                <w:rFonts w:hint="eastAsia" w:ascii="Times New Roman" w:hAnsi="Times New Roman" w:cs="Times New Roman"/>
                <w:color w:val="auto"/>
                <w:w w:val="99"/>
                <w:sz w:val="21"/>
                <w:szCs w:val="21"/>
                <w:highlight w:val="none"/>
              </w:rPr>
              <w:t>态</w:t>
            </w:r>
            <w:r>
              <w:rPr>
                <w:rFonts w:ascii="Times New Roman" w:hAnsi="Times New Roman" w:cs="Times New Roman"/>
                <w:color w:val="auto"/>
                <w:w w:val="99"/>
                <w:sz w:val="21"/>
                <w:szCs w:val="21"/>
                <w:highlight w:val="none"/>
              </w:rPr>
              <w:t>措施</w:t>
            </w:r>
          </w:p>
        </w:tc>
        <w:tc>
          <w:tcPr>
            <w:tcW w:w="3299" w:type="pct"/>
            <w:vAlign w:val="center"/>
          </w:tcPr>
          <w:p w14:paraId="714CB04A">
            <w:pPr>
              <w:widowControl w:val="0"/>
              <w:adjustRightInd w:val="0"/>
              <w:snapToGrid w:val="0"/>
              <w:spacing w:line="360" w:lineRule="exact"/>
              <w:ind w:firstLine="414" w:firstLineChars="200"/>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退役期</w:t>
            </w:r>
            <w:r>
              <w:rPr>
                <w:rFonts w:hint="eastAsia" w:ascii="Times New Roman" w:hAnsi="Times New Roman" w:cs="Times New Roman"/>
                <w:color w:val="auto"/>
                <w:w w:val="99"/>
                <w:sz w:val="21"/>
                <w:szCs w:val="21"/>
                <w:highlight w:val="none"/>
              </w:rPr>
              <w:t>气井</w:t>
            </w:r>
            <w:r>
              <w:rPr>
                <w:rFonts w:ascii="Times New Roman" w:hAnsi="Times New Roman" w:cs="Times New Roman"/>
                <w:color w:val="auto"/>
                <w:w w:val="99"/>
                <w:sz w:val="21"/>
                <w:szCs w:val="21"/>
                <w:highlight w:val="none"/>
              </w:rPr>
              <w:t>设备拆除、封井处理后，占地进行平整，耕地复垦。</w:t>
            </w:r>
          </w:p>
        </w:tc>
        <w:tc>
          <w:tcPr>
            <w:tcW w:w="439" w:type="pct"/>
            <w:vAlign w:val="center"/>
          </w:tcPr>
          <w:p w14:paraId="2613FFF8">
            <w:pPr>
              <w:spacing w:line="340" w:lineRule="exact"/>
              <w:jc w:val="center"/>
              <w:rPr>
                <w:rFonts w:ascii="Times New Roman" w:hAnsi="Times New Roman" w:cs="Times New Roman"/>
                <w:bCs/>
                <w:color w:val="auto"/>
                <w:w w:val="99"/>
                <w:kern w:val="21"/>
                <w:sz w:val="21"/>
                <w:szCs w:val="21"/>
                <w:highlight w:val="none"/>
              </w:rPr>
            </w:pPr>
            <w:r>
              <w:rPr>
                <w:rFonts w:hint="eastAsia" w:ascii="Times New Roman" w:hAnsi="Times New Roman" w:cs="Times New Roman"/>
                <w:bCs/>
                <w:color w:val="auto"/>
                <w:w w:val="99"/>
                <w:kern w:val="21"/>
                <w:sz w:val="21"/>
                <w:szCs w:val="21"/>
                <w:highlight w:val="none"/>
              </w:rPr>
              <w:t>/</w:t>
            </w:r>
          </w:p>
        </w:tc>
      </w:tr>
      <w:tr w14:paraId="5CCA8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restart"/>
            <w:vAlign w:val="center"/>
          </w:tcPr>
          <w:p w14:paraId="50120F89">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依托工程</w:t>
            </w:r>
          </w:p>
        </w:tc>
        <w:tc>
          <w:tcPr>
            <w:tcW w:w="907" w:type="pct"/>
            <w:gridSpan w:val="3"/>
            <w:vAlign w:val="center"/>
          </w:tcPr>
          <w:p w14:paraId="5FEACBC4">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升一联气田污</w:t>
            </w:r>
          </w:p>
          <w:p w14:paraId="4D98059B">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水预处理站</w:t>
            </w:r>
          </w:p>
        </w:tc>
        <w:tc>
          <w:tcPr>
            <w:tcW w:w="3299" w:type="pct"/>
          </w:tcPr>
          <w:p w14:paraId="7DFFF558">
            <w:pPr>
              <w:pStyle w:val="2857"/>
              <w:kinsoku w:val="0"/>
              <w:autoSpaceDE w:val="0"/>
              <w:autoSpaceDN w:val="0"/>
              <w:adjustRightInd w:val="0"/>
              <w:snapToGrid w:val="0"/>
              <w:spacing w:line="360" w:lineRule="exact"/>
              <w:jc w:val="both"/>
              <w:textAlignment w:val="baseline"/>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升一联气田污水预处理站采用“调储缓冲→气浮→缓冲→两级过滤”处理工艺，水质处理达到《大庆油田地面工程建设设计规定》（Q/SYDQ 0639-2015）限值“含油量≤10mg/L、悬浮固体含量≤5mg/L、粒径中值≤2μm”</w:t>
            </w:r>
            <w:r>
              <w:rPr>
                <w:rFonts w:hint="eastAsia" w:ascii="Times New Roman" w:hAnsi="Times New Roman" w:cs="Times New Roman"/>
                <w:color w:val="auto"/>
                <w:w w:val="99"/>
                <w:sz w:val="21"/>
                <w:szCs w:val="21"/>
                <w:highlight w:val="none"/>
                <w:lang w:eastAsia="zh-CN"/>
              </w:rPr>
              <w:t>，</w:t>
            </w:r>
            <w:r>
              <w:rPr>
                <w:rFonts w:hint="eastAsia" w:ascii="Times New Roman" w:hAnsi="Times New Roman" w:cs="Times New Roman"/>
                <w:color w:val="auto"/>
                <w:w w:val="99"/>
                <w:sz w:val="21"/>
                <w:szCs w:val="21"/>
                <w:highlight w:val="none"/>
                <w:lang w:val="en-US" w:eastAsia="zh-CN"/>
              </w:rPr>
              <w:t>同时满足</w:t>
            </w:r>
            <w:r>
              <w:rPr>
                <w:rFonts w:ascii="Times New Roman" w:hAnsi="Times New Roman" w:cs="Times New Roman"/>
                <w:color w:val="auto"/>
                <w:w w:val="99"/>
                <w:sz w:val="21"/>
                <w:szCs w:val="21"/>
                <w:highlight w:val="none"/>
                <w:lang w:eastAsia="zh-CN"/>
              </w:rPr>
              <w:t>《碎屑岩油藏注水水质指标技术要求及分析方法》(SY/T5329-2022)中标准限值，回注地下。</w:t>
            </w:r>
          </w:p>
          <w:p w14:paraId="33444AB9">
            <w:pPr>
              <w:pStyle w:val="2857"/>
              <w:kinsoku w:val="0"/>
              <w:autoSpaceDE w:val="0"/>
              <w:autoSpaceDN w:val="0"/>
              <w:adjustRightInd w:val="0"/>
              <w:snapToGrid w:val="0"/>
              <w:spacing w:line="360" w:lineRule="exact"/>
              <w:jc w:val="both"/>
              <w:textAlignment w:val="baseline"/>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该站设计的总规模为1400m3/d，目前处理量270m3/d，剩余处理能力为1130m</w:t>
            </w:r>
            <w:r>
              <w:rPr>
                <w:rFonts w:ascii="Times New Roman" w:hAnsi="Times New Roman" w:cs="Times New Roman"/>
                <w:color w:val="auto"/>
                <w:w w:val="99"/>
                <w:sz w:val="21"/>
                <w:szCs w:val="21"/>
                <w:highlight w:val="none"/>
                <w:vertAlign w:val="superscript"/>
                <w:lang w:eastAsia="zh-CN"/>
              </w:rPr>
              <w:t>3</w:t>
            </w:r>
            <w:r>
              <w:rPr>
                <w:rFonts w:ascii="Times New Roman" w:hAnsi="Times New Roman" w:cs="Times New Roman"/>
                <w:color w:val="auto"/>
                <w:w w:val="99"/>
                <w:sz w:val="21"/>
                <w:szCs w:val="21"/>
                <w:highlight w:val="none"/>
                <w:lang w:eastAsia="zh-CN"/>
              </w:rPr>
              <w:t>/d，本项目</w:t>
            </w:r>
            <w:r>
              <w:rPr>
                <w:rFonts w:hint="eastAsia" w:ascii="Times New Roman" w:hAnsi="Times New Roman" w:cs="Times New Roman"/>
                <w:color w:val="auto"/>
                <w:w w:val="99"/>
                <w:sz w:val="21"/>
                <w:szCs w:val="21"/>
                <w:highlight w:val="none"/>
                <w:lang w:eastAsia="zh-CN"/>
              </w:rPr>
              <w:t>气田采出暂存水约3</w:t>
            </w:r>
            <w:r>
              <w:rPr>
                <w:rFonts w:ascii="Times New Roman" w:hAnsi="Times New Roman" w:cs="Times New Roman"/>
                <w:color w:val="auto"/>
                <w:w w:val="99"/>
                <w:sz w:val="21"/>
                <w:szCs w:val="21"/>
                <w:highlight w:val="none"/>
                <w:lang w:eastAsia="zh-CN"/>
              </w:rPr>
              <w:t xml:space="preserve">m3/d </w:t>
            </w:r>
            <w:r>
              <w:rPr>
                <w:rFonts w:hint="eastAsia" w:ascii="Times New Roman" w:hAnsi="Times New Roman" w:cs="Times New Roman"/>
                <w:color w:val="auto"/>
                <w:w w:val="99"/>
                <w:sz w:val="21"/>
                <w:szCs w:val="21"/>
                <w:highlight w:val="none"/>
                <w:lang w:eastAsia="zh-CN"/>
              </w:rPr>
              <w:t>，</w:t>
            </w:r>
            <w:r>
              <w:rPr>
                <w:rFonts w:ascii="Times New Roman" w:hAnsi="Times New Roman" w:cs="Times New Roman"/>
                <w:color w:val="auto"/>
                <w:w w:val="99"/>
                <w:sz w:val="21"/>
                <w:szCs w:val="21"/>
                <w:highlight w:val="none"/>
                <w:lang w:eastAsia="zh-CN"/>
              </w:rPr>
              <w:t>暂存于集气站污水储罐临时储存，再定期通过外输泵升压外输至气田采出水集输管网，并统一外输至升一联气田污水预处理站处理</w:t>
            </w:r>
            <w:r>
              <w:rPr>
                <w:rFonts w:hint="eastAsia" w:ascii="Times New Roman" w:hAnsi="Times New Roman" w:cs="Times New Roman"/>
                <w:bCs/>
                <w:color w:val="auto"/>
                <w:w w:val="99"/>
                <w:highlight w:val="none"/>
                <w:lang w:eastAsia="zh-CN"/>
              </w:rPr>
              <w:t>，</w:t>
            </w:r>
            <w:r>
              <w:rPr>
                <w:rFonts w:ascii="Times New Roman" w:hAnsi="Times New Roman" w:cs="Times New Roman"/>
                <w:color w:val="auto"/>
                <w:w w:val="99"/>
                <w:sz w:val="21"/>
                <w:szCs w:val="21"/>
                <w:highlight w:val="none"/>
                <w:lang w:eastAsia="zh-CN"/>
              </w:rPr>
              <w:t>升一联气田污水预处理站满足本项目依托需求。</w:t>
            </w:r>
          </w:p>
        </w:tc>
        <w:tc>
          <w:tcPr>
            <w:tcW w:w="439" w:type="pct"/>
            <w:vAlign w:val="center"/>
          </w:tcPr>
          <w:p w14:paraId="5DF36084">
            <w:pPr>
              <w:spacing w:line="3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依托</w:t>
            </w:r>
          </w:p>
        </w:tc>
      </w:tr>
      <w:tr w14:paraId="4B406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5FFBF941">
            <w:pPr>
              <w:spacing w:line="340" w:lineRule="exact"/>
              <w:jc w:val="center"/>
              <w:rPr>
                <w:rFonts w:ascii="Times New Roman" w:hAnsi="Times New Roman" w:cs="Times New Roman"/>
                <w:color w:val="auto"/>
                <w:w w:val="99"/>
                <w:kern w:val="2"/>
                <w:sz w:val="21"/>
                <w:szCs w:val="21"/>
                <w:highlight w:val="none"/>
              </w:rPr>
            </w:pPr>
          </w:p>
        </w:tc>
        <w:tc>
          <w:tcPr>
            <w:tcW w:w="907" w:type="pct"/>
            <w:gridSpan w:val="3"/>
            <w:vAlign w:val="center"/>
          </w:tcPr>
          <w:p w14:paraId="60960D46">
            <w:pPr>
              <w:pStyle w:val="2857"/>
              <w:kinsoku w:val="0"/>
              <w:autoSpaceDE w:val="0"/>
              <w:autoSpaceDN w:val="0"/>
              <w:adjustRightInd w:val="0"/>
              <w:snapToGrid w:val="0"/>
              <w:spacing w:line="360" w:lineRule="exact"/>
              <w:jc w:val="center"/>
              <w:textAlignment w:val="baseline"/>
              <w:rPr>
                <w:rFonts w:ascii="Times New Roman" w:hAnsi="Times New Roman" w:cs="Times New Roman"/>
                <w:color w:val="auto"/>
                <w:w w:val="99"/>
                <w:kern w:val="2"/>
                <w:sz w:val="21"/>
                <w:szCs w:val="21"/>
                <w:highlight w:val="none"/>
                <w:lang w:eastAsia="zh-CN"/>
              </w:rPr>
            </w:pPr>
            <w:r>
              <w:rPr>
                <w:rFonts w:hint="eastAsia" w:ascii="Times New Roman" w:hAnsi="Times New Roman" w:cs="Times New Roman"/>
                <w:color w:val="auto"/>
                <w:w w:val="99"/>
                <w:kern w:val="2"/>
                <w:sz w:val="21"/>
                <w:szCs w:val="21"/>
                <w:highlight w:val="none"/>
                <w:lang w:eastAsia="zh-CN"/>
              </w:rPr>
              <w:t>徐深27集气站</w:t>
            </w:r>
          </w:p>
        </w:tc>
        <w:tc>
          <w:tcPr>
            <w:tcW w:w="3299" w:type="pct"/>
          </w:tcPr>
          <w:p w14:paraId="77882E63">
            <w:pPr>
              <w:spacing w:line="360" w:lineRule="exact"/>
              <w:ind w:firstLine="414" w:firstLineChars="200"/>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徐深</w:t>
            </w:r>
            <w:r>
              <w:rPr>
                <w:rFonts w:hint="eastAsia" w:ascii="Times New Roman" w:hAnsi="Times New Roman" w:cs="Times New Roman"/>
                <w:color w:val="auto"/>
                <w:w w:val="99"/>
                <w:sz w:val="21"/>
                <w:szCs w:val="21"/>
                <w:highlight w:val="none"/>
              </w:rPr>
              <w:t>27</w:t>
            </w:r>
            <w:r>
              <w:rPr>
                <w:rFonts w:ascii="Times New Roman" w:hAnsi="Times New Roman" w:cs="Times New Roman"/>
                <w:color w:val="auto"/>
                <w:w w:val="99"/>
                <w:sz w:val="21"/>
                <w:szCs w:val="21"/>
                <w:highlight w:val="none"/>
              </w:rPr>
              <w:t>集气站始建于20</w:t>
            </w:r>
            <w:r>
              <w:rPr>
                <w:rFonts w:hint="eastAsia" w:ascii="Times New Roman" w:hAnsi="Times New Roman" w:cs="Times New Roman"/>
                <w:color w:val="auto"/>
                <w:w w:val="99"/>
                <w:sz w:val="21"/>
                <w:szCs w:val="21"/>
                <w:highlight w:val="none"/>
              </w:rPr>
              <w:t>1</w:t>
            </w:r>
            <w:r>
              <w:rPr>
                <w:rFonts w:ascii="Times New Roman" w:hAnsi="Times New Roman" w:cs="Times New Roman"/>
                <w:color w:val="auto"/>
                <w:w w:val="99"/>
                <w:sz w:val="21"/>
                <w:szCs w:val="21"/>
                <w:highlight w:val="none"/>
              </w:rPr>
              <w:t>7年，按照“无人值守，有人巡检”模式进行</w:t>
            </w:r>
            <w:r>
              <w:rPr>
                <w:rFonts w:hint="eastAsia" w:ascii="Times New Roman" w:hAnsi="Times New Roman" w:cs="Times New Roman"/>
                <w:color w:val="auto"/>
                <w:w w:val="99"/>
                <w:sz w:val="21"/>
                <w:szCs w:val="21"/>
                <w:highlight w:val="none"/>
              </w:rPr>
              <w:t>建设。</w:t>
            </w:r>
            <w:r>
              <w:rPr>
                <w:rFonts w:ascii="Times New Roman" w:hAnsi="Times New Roman" w:cs="Times New Roman"/>
                <w:color w:val="auto"/>
                <w:w w:val="99"/>
                <w:sz w:val="21"/>
                <w:szCs w:val="21"/>
                <w:highlight w:val="none"/>
              </w:rPr>
              <w:t>建设规模为</w:t>
            </w:r>
            <w:r>
              <w:rPr>
                <w:rFonts w:hint="eastAsia" w:ascii="Times New Roman" w:hAnsi="Times New Roman" w:cs="Times New Roman"/>
                <w:color w:val="auto"/>
                <w:w w:val="99"/>
                <w:sz w:val="21"/>
                <w:szCs w:val="21"/>
                <w:highlight w:val="none"/>
              </w:rPr>
              <w:t>30</w:t>
            </w:r>
            <w:r>
              <w:rPr>
                <w:rFonts w:ascii="Times New Roman" w:hAnsi="Times New Roman" w:cs="Times New Roman"/>
                <w:color w:val="auto"/>
                <w:w w:val="99"/>
                <w:sz w:val="21"/>
                <w:szCs w:val="21"/>
                <w:highlight w:val="none"/>
              </w:rPr>
              <w:t>×10</w:t>
            </w:r>
            <w:r>
              <w:rPr>
                <w:rFonts w:ascii="Times New Roman" w:hAnsi="Times New Roman" w:cs="Times New Roman"/>
                <w:color w:val="auto"/>
                <w:w w:val="99"/>
                <w:sz w:val="21"/>
                <w:szCs w:val="21"/>
                <w:highlight w:val="none"/>
                <w:vertAlign w:val="superscript"/>
              </w:rPr>
              <w:t>4</w:t>
            </w:r>
            <w:r>
              <w:rPr>
                <w:rFonts w:ascii="Times New Roman" w:hAnsi="Times New Roman" w:cs="Times New Roman"/>
                <w:color w:val="auto"/>
                <w:w w:val="99"/>
                <w:sz w:val="21"/>
                <w:szCs w:val="21"/>
                <w:highlight w:val="none"/>
              </w:rPr>
              <w:t>m</w:t>
            </w:r>
            <w:r>
              <w:rPr>
                <w:rFonts w:ascii="Times New Roman" w:hAnsi="Times New Roman" w:cs="Times New Roman"/>
                <w:color w:val="auto"/>
                <w:w w:val="99"/>
                <w:sz w:val="21"/>
                <w:szCs w:val="21"/>
                <w:highlight w:val="none"/>
                <w:vertAlign w:val="superscript"/>
              </w:rPr>
              <w:t>3</w:t>
            </w:r>
            <w:r>
              <w:rPr>
                <w:rFonts w:ascii="Times New Roman" w:hAnsi="Times New Roman" w:cs="Times New Roman"/>
                <w:color w:val="auto"/>
                <w:w w:val="99"/>
                <w:sz w:val="21"/>
                <w:szCs w:val="21"/>
                <w:highlight w:val="none"/>
              </w:rPr>
              <w:t>/d。</w:t>
            </w:r>
            <w:r>
              <w:rPr>
                <w:rFonts w:hint="eastAsia" w:ascii="Times New Roman" w:hAnsi="Times New Roman" w:cs="Times New Roman"/>
                <w:color w:val="auto"/>
                <w:w w:val="99"/>
                <w:sz w:val="21"/>
                <w:szCs w:val="21"/>
                <w:highlight w:val="none"/>
              </w:rPr>
              <w:t>该站</w:t>
            </w:r>
            <w:r>
              <w:rPr>
                <w:rFonts w:ascii="Times New Roman" w:hAnsi="Times New Roman" w:cs="Times New Roman"/>
                <w:color w:val="auto"/>
                <w:w w:val="99"/>
                <w:sz w:val="21"/>
                <w:szCs w:val="21"/>
                <w:highlight w:val="none"/>
              </w:rPr>
              <w:t>为高含碳集气站，气井气经采气管道电伴热至集气站，在集气站内经加热、节流降压、多井轮换计量、分离和脱水处理，处理后的天然气输送至徐深9净化厂脱碳处理后外输。</w:t>
            </w:r>
          </w:p>
          <w:p w14:paraId="3E6884C0">
            <w:pPr>
              <w:spacing w:line="360" w:lineRule="exact"/>
              <w:ind w:firstLine="414" w:firstLineChars="200"/>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截至202</w:t>
            </w:r>
            <w:r>
              <w:rPr>
                <w:rFonts w:hint="eastAsia" w:ascii="Times New Roman" w:hAnsi="Times New Roman" w:cs="Times New Roman"/>
                <w:color w:val="auto"/>
                <w:w w:val="99"/>
                <w:sz w:val="21"/>
                <w:szCs w:val="21"/>
                <w:highlight w:val="none"/>
              </w:rPr>
              <w:t>5</w:t>
            </w:r>
            <w:r>
              <w:rPr>
                <w:rFonts w:ascii="Times New Roman" w:hAnsi="Times New Roman" w:cs="Times New Roman"/>
                <w:color w:val="auto"/>
                <w:w w:val="99"/>
                <w:sz w:val="21"/>
                <w:szCs w:val="21"/>
                <w:highlight w:val="none"/>
              </w:rPr>
              <w:t>年底，徐深</w:t>
            </w:r>
            <w:r>
              <w:rPr>
                <w:rFonts w:hint="eastAsia" w:ascii="Times New Roman" w:hAnsi="Times New Roman" w:cs="Times New Roman"/>
                <w:color w:val="auto"/>
                <w:w w:val="99"/>
                <w:sz w:val="21"/>
                <w:szCs w:val="21"/>
                <w:highlight w:val="none"/>
              </w:rPr>
              <w:t>27</w:t>
            </w:r>
            <w:r>
              <w:rPr>
                <w:rFonts w:ascii="Times New Roman" w:hAnsi="Times New Roman" w:cs="Times New Roman"/>
                <w:color w:val="auto"/>
                <w:w w:val="99"/>
                <w:sz w:val="21"/>
                <w:szCs w:val="21"/>
                <w:highlight w:val="none"/>
              </w:rPr>
              <w:t>集气站</w:t>
            </w:r>
            <w:r>
              <w:rPr>
                <w:rFonts w:hint="eastAsia" w:ascii="Times New Roman" w:hAnsi="Times New Roman" w:cs="Times New Roman"/>
                <w:color w:val="auto"/>
                <w:w w:val="99"/>
                <w:sz w:val="21"/>
                <w:szCs w:val="21"/>
                <w:highlight w:val="none"/>
              </w:rPr>
              <w:t>目前共</w:t>
            </w:r>
            <w:r>
              <w:rPr>
                <w:rFonts w:ascii="Times New Roman" w:hAnsi="Times New Roman" w:cs="Times New Roman"/>
                <w:color w:val="auto"/>
                <w:w w:val="99"/>
                <w:sz w:val="21"/>
                <w:szCs w:val="21"/>
                <w:highlight w:val="none"/>
              </w:rPr>
              <w:t>辖井</w:t>
            </w:r>
            <w:r>
              <w:rPr>
                <w:rFonts w:hint="eastAsia" w:ascii="Times New Roman" w:hAnsi="Times New Roman" w:cs="Times New Roman"/>
                <w:color w:val="auto"/>
                <w:w w:val="99"/>
                <w:sz w:val="21"/>
                <w:szCs w:val="21"/>
                <w:highlight w:val="none"/>
              </w:rPr>
              <w:t>3</w:t>
            </w:r>
            <w:r>
              <w:rPr>
                <w:rFonts w:ascii="Times New Roman" w:hAnsi="Times New Roman" w:cs="Times New Roman"/>
                <w:color w:val="auto"/>
                <w:w w:val="99"/>
                <w:sz w:val="21"/>
                <w:szCs w:val="21"/>
                <w:highlight w:val="none"/>
              </w:rPr>
              <w:t>口，产气量1.51×10</w:t>
            </w:r>
            <w:r>
              <w:rPr>
                <w:rFonts w:ascii="Times New Roman" w:hAnsi="Times New Roman" w:cs="Times New Roman"/>
                <w:color w:val="auto"/>
                <w:w w:val="99"/>
                <w:sz w:val="21"/>
                <w:szCs w:val="21"/>
                <w:highlight w:val="none"/>
                <w:vertAlign w:val="superscript"/>
              </w:rPr>
              <w:t>4</w:t>
            </w:r>
            <w:r>
              <w:rPr>
                <w:rFonts w:ascii="Times New Roman" w:hAnsi="Times New Roman" w:cs="Times New Roman"/>
                <w:color w:val="auto"/>
                <w:w w:val="99"/>
                <w:sz w:val="21"/>
                <w:szCs w:val="21"/>
                <w:highlight w:val="none"/>
              </w:rPr>
              <w:t>m</w:t>
            </w:r>
            <w:r>
              <w:rPr>
                <w:rFonts w:ascii="Times New Roman" w:hAnsi="Times New Roman" w:cs="Times New Roman"/>
                <w:color w:val="auto"/>
                <w:w w:val="99"/>
                <w:sz w:val="21"/>
                <w:szCs w:val="21"/>
                <w:highlight w:val="none"/>
                <w:vertAlign w:val="superscript"/>
              </w:rPr>
              <w:t>3</w:t>
            </w:r>
            <w:r>
              <w:rPr>
                <w:rFonts w:ascii="Times New Roman" w:hAnsi="Times New Roman" w:cs="Times New Roman"/>
                <w:color w:val="auto"/>
                <w:w w:val="99"/>
                <w:sz w:val="21"/>
                <w:szCs w:val="21"/>
                <w:highlight w:val="none"/>
              </w:rPr>
              <w:t>/d，建成生产装置1列</w:t>
            </w:r>
            <w:r>
              <w:rPr>
                <w:rFonts w:hint="eastAsia" w:ascii="Times New Roman" w:hAnsi="Times New Roman" w:cs="Times New Roman"/>
                <w:color w:val="auto"/>
                <w:w w:val="99"/>
                <w:sz w:val="21"/>
                <w:szCs w:val="21"/>
                <w:highlight w:val="none"/>
              </w:rPr>
              <w:t>。本项目新增后，处理负荷为35.03%，依托可行。</w:t>
            </w:r>
          </w:p>
        </w:tc>
        <w:tc>
          <w:tcPr>
            <w:tcW w:w="439" w:type="pct"/>
            <w:vAlign w:val="center"/>
          </w:tcPr>
          <w:p w14:paraId="4AB98C19">
            <w:pPr>
              <w:spacing w:line="3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依托</w:t>
            </w:r>
          </w:p>
        </w:tc>
      </w:tr>
      <w:tr w14:paraId="2EECD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00A78C5F">
            <w:pPr>
              <w:spacing w:line="340" w:lineRule="exact"/>
              <w:jc w:val="center"/>
              <w:rPr>
                <w:rFonts w:ascii="Times New Roman" w:hAnsi="Times New Roman" w:cs="Times New Roman"/>
                <w:color w:val="auto"/>
                <w:w w:val="99"/>
                <w:kern w:val="2"/>
                <w:sz w:val="21"/>
                <w:szCs w:val="21"/>
                <w:highlight w:val="none"/>
              </w:rPr>
            </w:pPr>
          </w:p>
        </w:tc>
        <w:tc>
          <w:tcPr>
            <w:tcW w:w="907" w:type="pct"/>
            <w:gridSpan w:val="3"/>
            <w:vAlign w:val="center"/>
          </w:tcPr>
          <w:p w14:paraId="36C0C146">
            <w:pPr>
              <w:pStyle w:val="2857"/>
              <w:kinsoku w:val="0"/>
              <w:autoSpaceDE w:val="0"/>
              <w:autoSpaceDN w:val="0"/>
              <w:adjustRightInd w:val="0"/>
              <w:snapToGrid w:val="0"/>
              <w:spacing w:line="360" w:lineRule="exact"/>
              <w:jc w:val="center"/>
              <w:textAlignment w:val="baseline"/>
              <w:rPr>
                <w:rFonts w:ascii="Times New Roman" w:hAnsi="Times New Roman" w:cs="Times New Roman"/>
                <w:bCs/>
                <w:color w:val="auto"/>
                <w:w w:val="99"/>
                <w:kern w:val="21"/>
                <w:sz w:val="21"/>
                <w:szCs w:val="21"/>
                <w:highlight w:val="none"/>
                <w:lang w:eastAsia="zh-CN"/>
              </w:rPr>
            </w:pPr>
            <w:r>
              <w:rPr>
                <w:rFonts w:hint="eastAsia" w:ascii="Times New Roman" w:hAnsi="Times New Roman" w:cs="Times New Roman"/>
                <w:bCs/>
                <w:color w:val="auto"/>
                <w:w w:val="99"/>
                <w:kern w:val="21"/>
                <w:sz w:val="21"/>
                <w:szCs w:val="21"/>
                <w:highlight w:val="none"/>
                <w:lang w:eastAsia="zh-CN"/>
              </w:rPr>
              <w:t>采气分公司危险废物贮存库</w:t>
            </w:r>
          </w:p>
        </w:tc>
        <w:tc>
          <w:tcPr>
            <w:tcW w:w="3299" w:type="pct"/>
          </w:tcPr>
          <w:p w14:paraId="1BC36D14">
            <w:pPr>
              <w:pStyle w:val="2857"/>
              <w:kinsoku w:val="0"/>
              <w:autoSpaceDE w:val="0"/>
              <w:autoSpaceDN w:val="0"/>
              <w:adjustRightInd w:val="0"/>
              <w:snapToGrid w:val="0"/>
              <w:spacing w:line="360" w:lineRule="exact"/>
              <w:ind w:firstLine="414" w:firstLineChars="200"/>
              <w:jc w:val="both"/>
              <w:textAlignment w:val="baseline"/>
              <w:rPr>
                <w:rFonts w:ascii="Times New Roman" w:hAnsi="Times New Roman" w:cs="Times New Roman"/>
                <w:bCs/>
                <w:color w:val="auto"/>
                <w:w w:val="99"/>
                <w:kern w:val="21"/>
                <w:sz w:val="21"/>
                <w:szCs w:val="21"/>
                <w:highlight w:val="none"/>
                <w:lang w:eastAsia="zh-CN"/>
              </w:rPr>
            </w:pPr>
            <w:r>
              <w:rPr>
                <w:rFonts w:hint="eastAsia" w:ascii="Times New Roman" w:hAnsi="Times New Roman" w:cs="Times New Roman"/>
                <w:bCs/>
                <w:color w:val="auto"/>
                <w:w w:val="99"/>
                <w:kern w:val="21"/>
                <w:sz w:val="21"/>
                <w:szCs w:val="21"/>
                <w:highlight w:val="none"/>
                <w:lang w:eastAsia="zh-CN"/>
              </w:rPr>
              <w:t>采气分公司在安达市升63调压计量站生活区院内南侧建设了规范化的危废贮存库，对危险化学品及危险废物进行分类储存、统一管理。功能区包括：化验废液库、腐蚀品库（酸）、毒害品库、腐蚀品库（盐、碱）、废铅蓄电瓶库、不含液体废物的废分离器滤芯库6个功能房间分区。本工程投产后产生的井口含油砂粒0.01t/a、废变压器油0.05t/a，临时存储在危险废物贮存库内。</w:t>
            </w:r>
          </w:p>
        </w:tc>
        <w:tc>
          <w:tcPr>
            <w:tcW w:w="439" w:type="pct"/>
            <w:vAlign w:val="center"/>
          </w:tcPr>
          <w:p w14:paraId="333C649E">
            <w:pPr>
              <w:spacing w:line="3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依托</w:t>
            </w:r>
          </w:p>
        </w:tc>
      </w:tr>
      <w:tr w14:paraId="0AE00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502A9EC1">
            <w:pPr>
              <w:spacing w:line="340" w:lineRule="exact"/>
              <w:jc w:val="center"/>
              <w:rPr>
                <w:rFonts w:ascii="Times New Roman" w:hAnsi="Times New Roman" w:cs="Times New Roman"/>
                <w:color w:val="auto"/>
                <w:w w:val="99"/>
                <w:kern w:val="2"/>
                <w:sz w:val="21"/>
                <w:szCs w:val="21"/>
                <w:highlight w:val="none"/>
              </w:rPr>
            </w:pPr>
          </w:p>
        </w:tc>
        <w:tc>
          <w:tcPr>
            <w:tcW w:w="907" w:type="pct"/>
            <w:gridSpan w:val="3"/>
            <w:vAlign w:val="center"/>
          </w:tcPr>
          <w:p w14:paraId="0E1929A2">
            <w:pPr>
              <w:pStyle w:val="2857"/>
              <w:kinsoku w:val="0"/>
              <w:autoSpaceDE w:val="0"/>
              <w:autoSpaceDN w:val="0"/>
              <w:adjustRightInd w:val="0"/>
              <w:snapToGrid w:val="0"/>
              <w:spacing w:line="360" w:lineRule="exact"/>
              <w:jc w:val="center"/>
              <w:textAlignment w:val="baseline"/>
              <w:rPr>
                <w:rFonts w:ascii="Times New Roman" w:hAnsi="Times New Roman" w:cs="Times New Roman"/>
                <w:bCs/>
                <w:color w:val="auto"/>
                <w:w w:val="99"/>
                <w:kern w:val="21"/>
                <w:sz w:val="21"/>
                <w:szCs w:val="21"/>
                <w:highlight w:val="none"/>
                <w:lang w:eastAsia="zh-CN"/>
              </w:rPr>
            </w:pPr>
            <w:r>
              <w:rPr>
                <w:rFonts w:hint="eastAsia" w:ascii="Times New Roman" w:hAnsi="Times New Roman" w:cs="Times New Roman"/>
                <w:bCs/>
                <w:color w:val="auto"/>
                <w:w w:val="99"/>
                <w:kern w:val="21"/>
                <w:sz w:val="21"/>
                <w:szCs w:val="21"/>
                <w:highlight w:val="none"/>
                <w:lang w:eastAsia="zh-CN"/>
              </w:rPr>
              <w:t>第八采油厂工业固废填埋场</w:t>
            </w:r>
          </w:p>
        </w:tc>
        <w:tc>
          <w:tcPr>
            <w:tcW w:w="3299" w:type="pct"/>
          </w:tcPr>
          <w:p w14:paraId="765EE552">
            <w:pPr>
              <w:pStyle w:val="2857"/>
              <w:kinsoku w:val="0"/>
              <w:autoSpaceDE w:val="0"/>
              <w:autoSpaceDN w:val="0"/>
              <w:adjustRightInd w:val="0"/>
              <w:snapToGrid w:val="0"/>
              <w:spacing w:line="360" w:lineRule="exact"/>
              <w:jc w:val="both"/>
              <w:textAlignment w:val="baseline"/>
              <w:rPr>
                <w:rFonts w:ascii="Times New Roman" w:hAnsi="Times New Roman" w:cs="Times New Roman"/>
                <w:bCs/>
                <w:color w:val="auto"/>
                <w:w w:val="99"/>
                <w:kern w:val="21"/>
                <w:sz w:val="21"/>
                <w:szCs w:val="21"/>
                <w:highlight w:val="none"/>
                <w:lang w:eastAsia="zh-CN"/>
              </w:rPr>
            </w:pPr>
            <w:r>
              <w:rPr>
                <w:rFonts w:hint="eastAsia" w:ascii="Times New Roman" w:hAnsi="Times New Roman" w:cs="Times New Roman"/>
                <w:bCs/>
                <w:color w:val="auto"/>
                <w:w w:val="99"/>
                <w:kern w:val="21"/>
                <w:sz w:val="21"/>
                <w:szCs w:val="21"/>
                <w:highlight w:val="none"/>
                <w:lang w:eastAsia="zh-CN"/>
              </w:rPr>
              <w:t>第八采油厂工业固废填埋场总容量为11624m</w:t>
            </w:r>
            <w:r>
              <w:rPr>
                <w:rFonts w:hint="eastAsia" w:ascii="Times New Roman" w:hAnsi="Times New Roman" w:cs="Times New Roman"/>
                <w:bCs/>
                <w:color w:val="auto"/>
                <w:w w:val="99"/>
                <w:kern w:val="21"/>
                <w:sz w:val="21"/>
                <w:szCs w:val="21"/>
                <w:highlight w:val="none"/>
                <w:vertAlign w:val="superscript"/>
                <w:lang w:eastAsia="zh-CN"/>
              </w:rPr>
              <w:t>3</w:t>
            </w:r>
            <w:r>
              <w:rPr>
                <w:rFonts w:hint="eastAsia" w:ascii="Times New Roman" w:hAnsi="Times New Roman" w:cs="Times New Roman"/>
                <w:bCs/>
                <w:color w:val="auto"/>
                <w:w w:val="99"/>
                <w:kern w:val="21"/>
                <w:sz w:val="21"/>
                <w:szCs w:val="21"/>
                <w:highlight w:val="none"/>
                <w:lang w:eastAsia="zh-CN"/>
              </w:rPr>
              <w:t>，目前实际容纳约8800m</w:t>
            </w:r>
            <w:r>
              <w:rPr>
                <w:rFonts w:hint="eastAsia" w:ascii="Times New Roman" w:hAnsi="Times New Roman" w:cs="Times New Roman"/>
                <w:bCs/>
                <w:color w:val="auto"/>
                <w:w w:val="99"/>
                <w:kern w:val="21"/>
                <w:sz w:val="21"/>
                <w:szCs w:val="21"/>
                <w:highlight w:val="none"/>
                <w:vertAlign w:val="superscript"/>
                <w:lang w:eastAsia="zh-CN"/>
              </w:rPr>
              <w:t>3</w:t>
            </w:r>
            <w:r>
              <w:rPr>
                <w:rFonts w:hint="eastAsia" w:ascii="Times New Roman" w:hAnsi="Times New Roman" w:cs="Times New Roman"/>
                <w:bCs/>
                <w:color w:val="auto"/>
                <w:w w:val="99"/>
                <w:kern w:val="21"/>
                <w:sz w:val="21"/>
                <w:szCs w:val="21"/>
                <w:highlight w:val="none"/>
                <w:lang w:eastAsia="zh-CN"/>
              </w:rPr>
              <w:t>，剩余能力为2824m</w:t>
            </w:r>
            <w:r>
              <w:rPr>
                <w:rFonts w:hint="eastAsia" w:ascii="Times New Roman" w:hAnsi="Times New Roman" w:cs="Times New Roman"/>
                <w:bCs/>
                <w:color w:val="auto"/>
                <w:w w:val="99"/>
                <w:kern w:val="21"/>
                <w:sz w:val="21"/>
                <w:szCs w:val="21"/>
                <w:highlight w:val="none"/>
                <w:vertAlign w:val="superscript"/>
                <w:lang w:eastAsia="zh-CN"/>
              </w:rPr>
              <w:t>3</w:t>
            </w:r>
            <w:r>
              <w:rPr>
                <w:rFonts w:hint="eastAsia" w:ascii="Times New Roman" w:hAnsi="Times New Roman" w:cs="Times New Roman"/>
                <w:bCs/>
                <w:color w:val="auto"/>
                <w:w w:val="99"/>
                <w:kern w:val="21"/>
                <w:sz w:val="21"/>
                <w:szCs w:val="21"/>
                <w:highlight w:val="none"/>
                <w:lang w:eastAsia="zh-CN"/>
              </w:rPr>
              <w:t>，本项目产生的施工废料约0.04t，第八采油厂工业固废填埋剩余能力满足本项目新增固废处理要求。</w:t>
            </w:r>
          </w:p>
        </w:tc>
        <w:tc>
          <w:tcPr>
            <w:tcW w:w="439" w:type="pct"/>
            <w:vAlign w:val="center"/>
          </w:tcPr>
          <w:p w14:paraId="319060D8">
            <w:pPr>
              <w:spacing w:line="3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依托</w:t>
            </w:r>
          </w:p>
        </w:tc>
      </w:tr>
      <w:tr w14:paraId="4AECD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61" w:type="pct"/>
            <w:gridSpan w:val="4"/>
            <w:vAlign w:val="center"/>
          </w:tcPr>
          <w:p w14:paraId="4E9C0834">
            <w:pPr>
              <w:spacing w:line="340" w:lineRule="exact"/>
              <w:jc w:val="center"/>
              <w:rPr>
                <w:rFonts w:ascii="Times New Roman" w:hAnsi="Times New Roman" w:cs="Times New Roman"/>
                <w:bCs/>
                <w:color w:val="auto"/>
                <w:w w:val="99"/>
                <w:kern w:val="21"/>
                <w:sz w:val="21"/>
                <w:szCs w:val="21"/>
                <w:highlight w:val="none"/>
              </w:rPr>
            </w:pPr>
            <w:r>
              <w:rPr>
                <w:rFonts w:ascii="Times New Roman" w:hAnsi="Times New Roman" w:cs="Times New Roman"/>
                <w:bCs/>
                <w:color w:val="auto"/>
                <w:w w:val="99"/>
                <w:kern w:val="21"/>
                <w:sz w:val="21"/>
                <w:szCs w:val="21"/>
                <w:highlight w:val="none"/>
              </w:rPr>
              <w:t>临时工程</w:t>
            </w:r>
          </w:p>
        </w:tc>
        <w:tc>
          <w:tcPr>
            <w:tcW w:w="3299" w:type="pct"/>
            <w:vAlign w:val="center"/>
          </w:tcPr>
          <w:p w14:paraId="52F38F93">
            <w:pPr>
              <w:spacing w:line="340" w:lineRule="exact"/>
              <w:jc w:val="both"/>
              <w:rPr>
                <w:rFonts w:ascii="Times New Roman" w:hAnsi="Times New Roman" w:cs="Times New Roman"/>
                <w:bCs/>
                <w:color w:val="auto"/>
                <w:w w:val="99"/>
                <w:kern w:val="21"/>
                <w:sz w:val="21"/>
                <w:szCs w:val="21"/>
                <w:highlight w:val="none"/>
              </w:rPr>
            </w:pPr>
            <w:r>
              <w:rPr>
                <w:rFonts w:hint="eastAsia" w:ascii="Times New Roman" w:hAnsi="Times New Roman" w:cs="Times New Roman"/>
                <w:bCs/>
                <w:color w:val="auto"/>
                <w:w w:val="99"/>
                <w:kern w:val="21"/>
                <w:sz w:val="21"/>
                <w:szCs w:val="21"/>
                <w:highlight w:val="none"/>
              </w:rPr>
              <w:t>本项目施工时不设施工营地及料场，不设置取土场、弃土场、拌合站、施工便道。本项目管线施工直接将管线和筑路材料拉运到施工现场进行施工。管线施工不打乱土层，先挖表土层单独堆放；然后挖心、底土层另外堆放。复原时先填心、底土，后平覆表土，以便尽快恢复土地原貌。</w:t>
            </w:r>
          </w:p>
        </w:tc>
        <w:tc>
          <w:tcPr>
            <w:tcW w:w="439" w:type="pct"/>
            <w:vAlign w:val="center"/>
          </w:tcPr>
          <w:p w14:paraId="64D7EEB0">
            <w:pPr>
              <w:spacing w:line="340" w:lineRule="exact"/>
              <w:jc w:val="center"/>
              <w:rPr>
                <w:rFonts w:ascii="Times New Roman" w:hAnsi="Times New Roman" w:cs="Times New Roman"/>
                <w:bCs/>
                <w:color w:val="auto"/>
                <w:w w:val="99"/>
                <w:kern w:val="21"/>
                <w:sz w:val="21"/>
                <w:szCs w:val="21"/>
                <w:highlight w:val="none"/>
              </w:rPr>
            </w:pPr>
            <w:r>
              <w:rPr>
                <w:rFonts w:ascii="Times New Roman" w:hAnsi="Times New Roman" w:cs="Times New Roman"/>
                <w:bCs/>
                <w:color w:val="auto"/>
                <w:w w:val="99"/>
                <w:kern w:val="21"/>
                <w:sz w:val="21"/>
                <w:szCs w:val="21"/>
                <w:highlight w:val="none"/>
              </w:rPr>
              <w:t>新建</w:t>
            </w:r>
          </w:p>
        </w:tc>
      </w:tr>
    </w:tbl>
    <w:p w14:paraId="7A55FAF4">
      <w:pPr>
        <w:widowControl w:val="0"/>
        <w:spacing w:line="440" w:lineRule="exact"/>
        <w:ind w:firstLine="474" w:firstLineChars="200"/>
        <w:rPr>
          <w:rFonts w:ascii="Times New Roman" w:hAnsi="Times New Roman" w:cs="Times New Roman"/>
          <w:snapToGrid w:val="0"/>
          <w:color w:val="auto"/>
          <w:w w:val="99"/>
          <w:highlight w:val="none"/>
        </w:rPr>
      </w:pPr>
      <w:r>
        <w:rPr>
          <w:rFonts w:ascii="Times New Roman" w:hAnsi="Times New Roman" w:cs="Times New Roman"/>
          <w:snapToGrid w:val="0"/>
          <w:color w:val="auto"/>
          <w:w w:val="99"/>
          <w:highlight w:val="none"/>
        </w:rPr>
        <w:t>本项目主要技术经济指标见表3.</w:t>
      </w:r>
      <w:r>
        <w:rPr>
          <w:rFonts w:hint="eastAsia" w:ascii="Times New Roman" w:hAnsi="Times New Roman" w:cs="Times New Roman"/>
          <w:snapToGrid w:val="0"/>
          <w:color w:val="auto"/>
          <w:w w:val="99"/>
          <w:highlight w:val="none"/>
        </w:rPr>
        <w:t>3</w:t>
      </w:r>
      <w:r>
        <w:rPr>
          <w:rFonts w:ascii="Times New Roman" w:hAnsi="Times New Roman" w:cs="Times New Roman"/>
          <w:snapToGrid w:val="0"/>
          <w:color w:val="auto"/>
          <w:w w:val="99"/>
          <w:highlight w:val="none"/>
        </w:rPr>
        <w:t>-2。</w:t>
      </w:r>
    </w:p>
    <w:p w14:paraId="4F896863">
      <w:pPr>
        <w:widowControl w:val="0"/>
        <w:spacing w:line="440" w:lineRule="exact"/>
        <w:ind w:firstLine="476" w:firstLineChars="200"/>
        <w:rPr>
          <w:rFonts w:ascii="Times New Roman" w:hAnsi="Times New Roman" w:cs="Times New Roman"/>
          <w:snapToGrid w:val="0"/>
          <w:color w:val="auto"/>
          <w:w w:val="99"/>
          <w:highlight w:val="none"/>
        </w:rPr>
      </w:pPr>
      <w:r>
        <w:rPr>
          <w:rFonts w:ascii="Times New Roman" w:hAnsi="Times New Roman" w:cs="Times New Roman"/>
          <w:b/>
          <w:snapToGrid w:val="0"/>
          <w:color w:val="auto"/>
          <w:w w:val="99"/>
          <w:highlight w:val="none"/>
        </w:rPr>
        <w:t>表3.</w:t>
      </w:r>
      <w:r>
        <w:rPr>
          <w:rFonts w:hint="eastAsia" w:ascii="Times New Roman" w:hAnsi="Times New Roman" w:cs="Times New Roman"/>
          <w:b/>
          <w:snapToGrid w:val="0"/>
          <w:color w:val="auto"/>
          <w:w w:val="99"/>
          <w:highlight w:val="none"/>
        </w:rPr>
        <w:t>3</w:t>
      </w:r>
      <w:r>
        <w:rPr>
          <w:rFonts w:ascii="Times New Roman" w:hAnsi="Times New Roman" w:cs="Times New Roman"/>
          <w:b/>
          <w:snapToGrid w:val="0"/>
          <w:color w:val="auto"/>
          <w:w w:val="99"/>
          <w:highlight w:val="none"/>
        </w:rPr>
        <w:t>-2    本项目主要技术经济指标汇总表</w:t>
      </w:r>
    </w:p>
    <w:tbl>
      <w:tblPr>
        <w:tblStyle w:val="81"/>
        <w:tblW w:w="5000" w:type="pct"/>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30"/>
        <w:gridCol w:w="7256"/>
      </w:tblGrid>
      <w:tr w14:paraId="33728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3" w:type="pct"/>
            <w:vAlign w:val="center"/>
          </w:tcPr>
          <w:p w14:paraId="657680A5">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类别</w:t>
            </w:r>
          </w:p>
        </w:tc>
        <w:tc>
          <w:tcPr>
            <w:tcW w:w="3907" w:type="pct"/>
            <w:vAlign w:val="center"/>
          </w:tcPr>
          <w:p w14:paraId="0E321C40">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指标</w:t>
            </w:r>
          </w:p>
        </w:tc>
      </w:tr>
      <w:tr w14:paraId="672AF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3" w:type="pct"/>
            <w:vAlign w:val="center"/>
          </w:tcPr>
          <w:p w14:paraId="4B0D7A8D">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设计动用资源储量</w:t>
            </w:r>
          </w:p>
        </w:tc>
        <w:tc>
          <w:tcPr>
            <w:tcW w:w="3907" w:type="pct"/>
            <w:vAlign w:val="center"/>
          </w:tcPr>
          <w:p w14:paraId="5F23456B">
            <w:pPr>
              <w:spacing w:line="340" w:lineRule="exact"/>
              <w:jc w:val="both"/>
              <w:rPr>
                <w:rFonts w:ascii="Times New Roman" w:hAnsi="Times New Roman" w:cs="Times New Roman"/>
                <w:color w:val="auto"/>
                <w:w w:val="99"/>
                <w:kern w:val="2"/>
                <w:sz w:val="21"/>
                <w:szCs w:val="21"/>
                <w:highlight w:val="none"/>
              </w:rPr>
            </w:pPr>
            <w:r>
              <w:rPr>
                <w:rFonts w:ascii="Times New Roman" w:hAnsi="Times New Roman" w:cs="Times New Roman"/>
                <w:bCs/>
                <w:color w:val="auto"/>
                <w:w w:val="99"/>
                <w:kern w:val="2"/>
                <w:sz w:val="21"/>
                <w:szCs w:val="21"/>
                <w:highlight w:val="none"/>
              </w:rPr>
              <w:t xml:space="preserve">建成产能 </w:t>
            </w:r>
            <w:r>
              <w:rPr>
                <w:rFonts w:hint="eastAsia" w:ascii="Times New Roman" w:hAnsi="Times New Roman" w:cs="Times New Roman"/>
                <w:bCs/>
                <w:color w:val="auto"/>
                <w:w w:val="99"/>
                <w:kern w:val="2"/>
                <w:sz w:val="21"/>
                <w:szCs w:val="21"/>
                <w:highlight w:val="none"/>
              </w:rPr>
              <w:t>9</w:t>
            </w:r>
            <w:r>
              <w:rPr>
                <w:rFonts w:ascii="Times New Roman" w:hAnsi="Times New Roman" w:cs="Times New Roman"/>
                <w:bCs/>
                <w:color w:val="auto"/>
                <w:w w:val="99"/>
                <w:kern w:val="2"/>
                <w:sz w:val="21"/>
                <w:szCs w:val="21"/>
                <w:highlight w:val="none"/>
              </w:rPr>
              <w:t>×10</w:t>
            </w:r>
            <w:r>
              <w:rPr>
                <w:rFonts w:hint="eastAsia" w:ascii="Times New Roman" w:hAnsi="Times New Roman" w:cs="Times New Roman"/>
                <w:bCs/>
                <w:color w:val="auto"/>
                <w:w w:val="99"/>
                <w:kern w:val="2"/>
                <w:sz w:val="21"/>
                <w:szCs w:val="21"/>
                <w:highlight w:val="none"/>
                <w:vertAlign w:val="superscript"/>
              </w:rPr>
              <w:t>4</w:t>
            </w:r>
            <w:r>
              <w:rPr>
                <w:rFonts w:ascii="Times New Roman" w:hAnsi="Times New Roman" w:cs="Times New Roman"/>
                <w:bCs/>
                <w:color w:val="auto"/>
                <w:w w:val="99"/>
                <w:kern w:val="2"/>
                <w:sz w:val="21"/>
                <w:szCs w:val="21"/>
                <w:highlight w:val="none"/>
              </w:rPr>
              <w:t>m</w:t>
            </w:r>
            <w:r>
              <w:rPr>
                <w:rFonts w:ascii="Times New Roman" w:hAnsi="Times New Roman" w:cs="Times New Roman"/>
                <w:bCs/>
                <w:color w:val="auto"/>
                <w:w w:val="99"/>
                <w:kern w:val="2"/>
                <w:sz w:val="21"/>
                <w:szCs w:val="21"/>
                <w:highlight w:val="none"/>
                <w:vertAlign w:val="superscript"/>
              </w:rPr>
              <w:t>3</w:t>
            </w:r>
            <w:r>
              <w:rPr>
                <w:rFonts w:ascii="Times New Roman" w:hAnsi="Times New Roman" w:cs="Times New Roman"/>
                <w:bCs/>
                <w:color w:val="auto"/>
                <w:w w:val="99"/>
                <w:kern w:val="2"/>
                <w:sz w:val="21"/>
                <w:szCs w:val="21"/>
                <w:highlight w:val="none"/>
              </w:rPr>
              <w:t>/</w:t>
            </w:r>
            <w:r>
              <w:rPr>
                <w:rFonts w:hint="eastAsia" w:ascii="Times New Roman" w:hAnsi="Times New Roman" w:cs="Times New Roman"/>
                <w:bCs/>
                <w:color w:val="auto"/>
                <w:w w:val="99"/>
                <w:kern w:val="2"/>
                <w:sz w:val="21"/>
                <w:szCs w:val="21"/>
                <w:highlight w:val="none"/>
              </w:rPr>
              <w:t>d</w:t>
            </w:r>
            <w:r>
              <w:rPr>
                <w:rFonts w:ascii="Times New Roman" w:hAnsi="Times New Roman" w:cs="Times New Roman"/>
                <w:bCs/>
                <w:color w:val="auto"/>
                <w:w w:val="99"/>
                <w:kern w:val="2"/>
                <w:sz w:val="21"/>
                <w:szCs w:val="21"/>
                <w:highlight w:val="none"/>
              </w:rPr>
              <w:t>，设计开采年限20年。</w:t>
            </w:r>
          </w:p>
        </w:tc>
      </w:tr>
      <w:tr w14:paraId="0611D9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3" w:type="pct"/>
            <w:vAlign w:val="center"/>
          </w:tcPr>
          <w:p w14:paraId="7752AD96">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设计井数</w:t>
            </w:r>
          </w:p>
        </w:tc>
        <w:tc>
          <w:tcPr>
            <w:tcW w:w="3907" w:type="pct"/>
            <w:vAlign w:val="center"/>
          </w:tcPr>
          <w:p w14:paraId="39DA483B">
            <w:pPr>
              <w:spacing w:line="340" w:lineRule="exact"/>
              <w:jc w:val="both"/>
              <w:rPr>
                <w:rFonts w:ascii="Times New Roman" w:hAnsi="Times New Roman" w:cs="Times New Roman"/>
                <w:color w:val="auto"/>
                <w:w w:val="99"/>
                <w:kern w:val="2"/>
                <w:sz w:val="21"/>
                <w:szCs w:val="21"/>
                <w:highlight w:val="none"/>
              </w:rPr>
            </w:pPr>
            <w:r>
              <w:rPr>
                <w:rFonts w:ascii="Times New Roman" w:hAnsi="Times New Roman" w:cs="Times New Roman"/>
                <w:bCs/>
                <w:color w:val="auto"/>
                <w:w w:val="99"/>
                <w:kern w:val="2"/>
                <w:sz w:val="21"/>
                <w:szCs w:val="21"/>
                <w:highlight w:val="none"/>
              </w:rPr>
              <w:t>本项目</w:t>
            </w:r>
            <w:r>
              <w:rPr>
                <w:rFonts w:hint="eastAsia" w:ascii="Times New Roman" w:hAnsi="Times New Roman" w:cs="Times New Roman"/>
                <w:bCs/>
                <w:color w:val="auto"/>
                <w:w w:val="99"/>
                <w:kern w:val="2"/>
                <w:sz w:val="21"/>
                <w:szCs w:val="21"/>
                <w:highlight w:val="none"/>
              </w:rPr>
              <w:t>基建1</w:t>
            </w:r>
            <w:r>
              <w:rPr>
                <w:rFonts w:ascii="Times New Roman" w:hAnsi="Times New Roman" w:cs="Times New Roman"/>
                <w:bCs/>
                <w:color w:val="auto"/>
                <w:w w:val="99"/>
                <w:kern w:val="2"/>
                <w:sz w:val="21"/>
                <w:szCs w:val="21"/>
                <w:highlight w:val="none"/>
              </w:rPr>
              <w:t>口</w:t>
            </w:r>
            <w:r>
              <w:rPr>
                <w:rFonts w:hint="eastAsia" w:ascii="Times New Roman" w:hAnsi="Times New Roman" w:cs="Times New Roman"/>
                <w:bCs/>
                <w:color w:val="auto"/>
                <w:w w:val="99"/>
                <w:kern w:val="2"/>
                <w:sz w:val="21"/>
                <w:szCs w:val="21"/>
                <w:highlight w:val="none"/>
              </w:rPr>
              <w:t>气井</w:t>
            </w:r>
            <w:r>
              <w:rPr>
                <w:rFonts w:ascii="Times New Roman" w:hAnsi="Times New Roman" w:cs="Times New Roman"/>
                <w:bCs/>
                <w:color w:val="auto"/>
                <w:w w:val="99"/>
                <w:kern w:val="2"/>
                <w:sz w:val="21"/>
                <w:szCs w:val="21"/>
                <w:highlight w:val="none"/>
              </w:rPr>
              <w:t>。</w:t>
            </w:r>
          </w:p>
        </w:tc>
      </w:tr>
      <w:tr w14:paraId="42F72A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3" w:type="pct"/>
            <w:vAlign w:val="center"/>
          </w:tcPr>
          <w:p w14:paraId="75C92419">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不同规模站场数</w:t>
            </w:r>
          </w:p>
        </w:tc>
        <w:tc>
          <w:tcPr>
            <w:tcW w:w="3907" w:type="pct"/>
            <w:vAlign w:val="center"/>
          </w:tcPr>
          <w:p w14:paraId="407AD2D6">
            <w:pPr>
              <w:spacing w:line="340" w:lineRule="exact"/>
              <w:jc w:val="both"/>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本项目</w:t>
            </w:r>
            <w:r>
              <w:rPr>
                <w:rFonts w:hint="eastAsia" w:ascii="Times New Roman" w:hAnsi="Times New Roman" w:cs="Times New Roman"/>
                <w:color w:val="auto"/>
                <w:w w:val="99"/>
                <w:kern w:val="2"/>
                <w:sz w:val="21"/>
                <w:szCs w:val="21"/>
                <w:highlight w:val="none"/>
              </w:rPr>
              <w:t>改造</w:t>
            </w:r>
            <w:r>
              <w:rPr>
                <w:rFonts w:ascii="Times New Roman" w:hAnsi="Times New Roman" w:cs="Times New Roman"/>
                <w:color w:val="auto"/>
                <w:w w:val="99"/>
                <w:kern w:val="2"/>
                <w:sz w:val="21"/>
                <w:szCs w:val="21"/>
                <w:highlight w:val="none"/>
              </w:rPr>
              <w:t>场站</w:t>
            </w:r>
            <w:r>
              <w:rPr>
                <w:rFonts w:hint="eastAsia" w:ascii="Times New Roman" w:hAnsi="Times New Roman" w:cs="Times New Roman"/>
                <w:color w:val="auto"/>
                <w:w w:val="99"/>
                <w:kern w:val="2"/>
                <w:sz w:val="21"/>
                <w:szCs w:val="21"/>
                <w:highlight w:val="none"/>
              </w:rPr>
              <w:t>1座</w:t>
            </w:r>
            <w:r>
              <w:rPr>
                <w:rFonts w:ascii="Times New Roman" w:hAnsi="Times New Roman" w:cs="Times New Roman"/>
                <w:color w:val="auto"/>
                <w:w w:val="99"/>
                <w:kern w:val="2"/>
                <w:sz w:val="21"/>
                <w:szCs w:val="21"/>
                <w:highlight w:val="none"/>
              </w:rPr>
              <w:t>，依托场站</w:t>
            </w:r>
            <w:r>
              <w:rPr>
                <w:rFonts w:hint="eastAsia" w:ascii="Times New Roman" w:hAnsi="Times New Roman" w:cs="Times New Roman"/>
                <w:color w:val="auto"/>
                <w:w w:val="99"/>
                <w:kern w:val="2"/>
                <w:sz w:val="21"/>
                <w:szCs w:val="21"/>
                <w:highlight w:val="none"/>
              </w:rPr>
              <w:t>为徐深27集气站</w:t>
            </w:r>
            <w:r>
              <w:rPr>
                <w:rFonts w:ascii="Times New Roman" w:hAnsi="Times New Roman" w:cs="Times New Roman"/>
                <w:color w:val="auto"/>
                <w:w w:val="99"/>
                <w:kern w:val="2"/>
                <w:sz w:val="21"/>
                <w:szCs w:val="21"/>
                <w:highlight w:val="none"/>
              </w:rPr>
              <w:t>。</w:t>
            </w:r>
          </w:p>
        </w:tc>
      </w:tr>
      <w:tr w14:paraId="70C47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3" w:type="pct"/>
            <w:vAlign w:val="center"/>
          </w:tcPr>
          <w:p w14:paraId="1F14BAB8">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管道长度</w:t>
            </w:r>
          </w:p>
        </w:tc>
        <w:tc>
          <w:tcPr>
            <w:tcW w:w="3907" w:type="pct"/>
            <w:vAlign w:val="center"/>
          </w:tcPr>
          <w:p w14:paraId="794BECB2">
            <w:pPr>
              <w:spacing w:line="340" w:lineRule="exact"/>
              <w:jc w:val="both"/>
              <w:rPr>
                <w:rFonts w:ascii="Times New Roman" w:hAnsi="Times New Roman" w:cs="Times New Roman"/>
                <w:color w:val="auto"/>
                <w:w w:val="99"/>
                <w:kern w:val="2"/>
                <w:sz w:val="21"/>
                <w:szCs w:val="21"/>
                <w:highlight w:val="none"/>
              </w:rPr>
            </w:pPr>
            <w:r>
              <w:rPr>
                <w:rFonts w:ascii="Times New Roman" w:hAnsi="Times New Roman" w:cs="Times New Roman"/>
                <w:bCs/>
                <w:color w:val="auto"/>
                <w:w w:val="99"/>
                <w:kern w:val="2"/>
                <w:sz w:val="21"/>
                <w:szCs w:val="21"/>
                <w:highlight w:val="none"/>
              </w:rPr>
              <w:t>新建</w:t>
            </w:r>
            <w:r>
              <w:rPr>
                <w:rFonts w:hint="eastAsia" w:ascii="Times New Roman" w:hAnsi="Times New Roman" w:cs="Times New Roman"/>
                <w:bCs/>
                <w:color w:val="auto"/>
                <w:w w:val="99"/>
                <w:kern w:val="2"/>
                <w:sz w:val="21"/>
                <w:szCs w:val="21"/>
                <w:highlight w:val="none"/>
              </w:rPr>
              <w:t>采气</w:t>
            </w:r>
            <w:r>
              <w:rPr>
                <w:rFonts w:ascii="Times New Roman" w:hAnsi="Times New Roman" w:cs="Times New Roman"/>
                <w:bCs/>
                <w:color w:val="auto"/>
                <w:w w:val="99"/>
                <w:kern w:val="2"/>
                <w:sz w:val="21"/>
                <w:szCs w:val="21"/>
                <w:highlight w:val="none"/>
              </w:rPr>
              <w:t>管道</w:t>
            </w:r>
            <w:r>
              <w:rPr>
                <w:rFonts w:hint="eastAsia" w:ascii="Times New Roman" w:hAnsi="Times New Roman" w:cs="Times New Roman"/>
                <w:bCs/>
                <w:color w:val="auto"/>
                <w:w w:val="99"/>
                <w:kern w:val="2"/>
                <w:sz w:val="21"/>
                <w:szCs w:val="21"/>
                <w:highlight w:val="none"/>
              </w:rPr>
              <w:t>1.92</w:t>
            </w:r>
            <w:r>
              <w:rPr>
                <w:rFonts w:ascii="Times New Roman" w:hAnsi="Times New Roman" w:cs="Times New Roman"/>
                <w:bCs/>
                <w:color w:val="auto"/>
                <w:w w:val="99"/>
                <w:kern w:val="2"/>
                <w:sz w:val="21"/>
                <w:szCs w:val="21"/>
                <w:highlight w:val="none"/>
              </w:rPr>
              <w:t>km。</w:t>
            </w:r>
          </w:p>
        </w:tc>
      </w:tr>
      <w:tr w14:paraId="75FD6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3" w:type="pct"/>
            <w:vAlign w:val="center"/>
          </w:tcPr>
          <w:p w14:paraId="3B1471AB">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能源消耗情况</w:t>
            </w:r>
          </w:p>
        </w:tc>
        <w:tc>
          <w:tcPr>
            <w:tcW w:w="3907" w:type="pct"/>
            <w:vAlign w:val="center"/>
          </w:tcPr>
          <w:p w14:paraId="1A597C2C">
            <w:pPr>
              <w:spacing w:line="340" w:lineRule="exact"/>
              <w:jc w:val="both"/>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本项目新增耗气量</w:t>
            </w:r>
            <w:r>
              <w:rPr>
                <w:rFonts w:hint="eastAsia" w:ascii="Times New Roman" w:hAnsi="Times New Roman" w:cs="Times New Roman"/>
                <w:color w:val="auto"/>
                <w:w w:val="99"/>
                <w:kern w:val="2"/>
                <w:sz w:val="21"/>
                <w:szCs w:val="21"/>
                <w:highlight w:val="none"/>
              </w:rPr>
              <w:t>7.07</w:t>
            </w:r>
            <w:r>
              <w:rPr>
                <w:rFonts w:ascii="Times New Roman" w:hAnsi="Times New Roman" w:cs="Times New Roman"/>
                <w:color w:val="auto"/>
                <w:w w:val="99"/>
                <w:kern w:val="2"/>
                <w:sz w:val="21"/>
                <w:szCs w:val="21"/>
                <w:highlight w:val="none"/>
              </w:rPr>
              <w:t>万m</w:t>
            </w:r>
            <w:r>
              <w:rPr>
                <w:rFonts w:ascii="Times New Roman" w:hAnsi="Times New Roman" w:cs="Times New Roman"/>
                <w:color w:val="auto"/>
                <w:w w:val="99"/>
                <w:kern w:val="2"/>
                <w:sz w:val="21"/>
                <w:szCs w:val="21"/>
                <w:highlight w:val="none"/>
                <w:vertAlign w:val="superscript"/>
              </w:rPr>
              <w:t>3</w:t>
            </w:r>
            <w:r>
              <w:rPr>
                <w:rFonts w:ascii="Times New Roman" w:hAnsi="Times New Roman" w:cs="Times New Roman"/>
                <w:color w:val="auto"/>
                <w:w w:val="99"/>
                <w:kern w:val="2"/>
                <w:sz w:val="21"/>
                <w:szCs w:val="21"/>
                <w:highlight w:val="none"/>
              </w:rPr>
              <w:t>/a，新增耗电</w:t>
            </w:r>
            <w:r>
              <w:rPr>
                <w:rFonts w:hint="eastAsia" w:ascii="Times New Roman" w:hAnsi="Times New Roman" w:cs="Times New Roman"/>
                <w:color w:val="auto"/>
                <w:w w:val="99"/>
                <w:kern w:val="2"/>
                <w:sz w:val="21"/>
                <w:szCs w:val="21"/>
                <w:highlight w:val="none"/>
              </w:rPr>
              <w:t>77.09</w:t>
            </w:r>
            <w:r>
              <w:rPr>
                <w:rFonts w:ascii="Times New Roman" w:hAnsi="Times New Roman" w:cs="Times New Roman"/>
                <w:color w:val="auto"/>
                <w:w w:val="99"/>
                <w:kern w:val="2"/>
                <w:sz w:val="21"/>
                <w:szCs w:val="21"/>
                <w:highlight w:val="none"/>
              </w:rPr>
              <w:t>×10</w:t>
            </w:r>
            <w:r>
              <w:rPr>
                <w:rFonts w:ascii="Times New Roman" w:hAnsi="Times New Roman" w:cs="Times New Roman"/>
                <w:color w:val="auto"/>
                <w:w w:val="99"/>
                <w:kern w:val="2"/>
                <w:sz w:val="21"/>
                <w:szCs w:val="21"/>
                <w:highlight w:val="none"/>
                <w:vertAlign w:val="superscript"/>
              </w:rPr>
              <w:t>4</w:t>
            </w:r>
            <w:r>
              <w:rPr>
                <w:rFonts w:ascii="Times New Roman" w:hAnsi="Times New Roman" w:cs="Times New Roman"/>
                <w:color w:val="auto"/>
                <w:w w:val="99"/>
                <w:kern w:val="2"/>
                <w:sz w:val="21"/>
                <w:szCs w:val="21"/>
                <w:highlight w:val="none"/>
              </w:rPr>
              <w:t>kW•h/a。</w:t>
            </w:r>
          </w:p>
        </w:tc>
      </w:tr>
      <w:tr w14:paraId="58023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3" w:type="pct"/>
            <w:vAlign w:val="center"/>
          </w:tcPr>
          <w:p w14:paraId="16B191C5">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工程临时占地及永久占地面积</w:t>
            </w:r>
          </w:p>
        </w:tc>
        <w:tc>
          <w:tcPr>
            <w:tcW w:w="3907" w:type="pct"/>
            <w:vAlign w:val="center"/>
          </w:tcPr>
          <w:p w14:paraId="3531F148">
            <w:pPr>
              <w:spacing w:line="340" w:lineRule="exact"/>
              <w:jc w:val="both"/>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新增占地</w:t>
            </w:r>
            <w:r>
              <w:rPr>
                <w:rFonts w:hint="eastAsia" w:ascii="Times New Roman" w:hAnsi="Times New Roman" w:cs="Times New Roman"/>
                <w:color w:val="auto"/>
                <w:w w:val="99"/>
                <w:kern w:val="2"/>
                <w:sz w:val="21"/>
                <w:szCs w:val="21"/>
                <w:highlight w:val="none"/>
                <w:lang w:val="en-US" w:eastAsia="zh-CN"/>
              </w:rPr>
              <w:t>2.013</w:t>
            </w:r>
            <w:r>
              <w:rPr>
                <w:rFonts w:hint="eastAsia" w:ascii="Times New Roman" w:hAnsi="Times New Roman" w:cs="Times New Roman"/>
                <w:color w:val="auto"/>
                <w:w w:val="99"/>
                <w:sz w:val="21"/>
                <w:szCs w:val="21"/>
                <w:highlight w:val="none"/>
              </w:rPr>
              <w:t>h</w:t>
            </w:r>
            <w:r>
              <w:rPr>
                <w:rFonts w:ascii="Times New Roman" w:hAnsi="Times New Roman" w:cs="Times New Roman"/>
                <w:color w:val="auto"/>
                <w:w w:val="99"/>
                <w:sz w:val="21"/>
                <w:szCs w:val="21"/>
                <w:highlight w:val="none"/>
              </w:rPr>
              <w:t>m</w:t>
            </w:r>
            <w:r>
              <w:rPr>
                <w:rFonts w:ascii="Times New Roman" w:hAnsi="Times New Roman" w:cs="Times New Roman"/>
                <w:color w:val="auto"/>
                <w:w w:val="99"/>
                <w:sz w:val="21"/>
                <w:szCs w:val="21"/>
                <w:highlight w:val="none"/>
                <w:vertAlign w:val="superscript"/>
              </w:rPr>
              <w:t>2</w:t>
            </w:r>
            <w:r>
              <w:rPr>
                <w:rFonts w:hint="eastAsia" w:ascii="Times New Roman" w:hAnsi="Times New Roman" w:cs="Times New Roman"/>
                <w:color w:val="auto"/>
                <w:w w:val="99"/>
                <w:sz w:val="21"/>
                <w:szCs w:val="21"/>
                <w:highlight w:val="none"/>
                <w:vertAlign w:val="baseline"/>
                <w:lang w:eastAsia="zh-CN"/>
              </w:rPr>
              <w:t>，</w:t>
            </w:r>
            <w:r>
              <w:rPr>
                <w:rFonts w:hint="eastAsia" w:ascii="Times New Roman" w:hAnsi="Times New Roman" w:cs="Times New Roman"/>
                <w:color w:val="auto"/>
                <w:w w:val="99"/>
                <w:sz w:val="21"/>
                <w:szCs w:val="21"/>
                <w:highlight w:val="none"/>
                <w:vertAlign w:val="baseline"/>
                <w:lang w:val="en-US" w:eastAsia="zh-CN"/>
              </w:rPr>
              <w:t>永久占地0.090</w:t>
            </w:r>
            <w:r>
              <w:rPr>
                <w:rFonts w:hint="eastAsia" w:ascii="Times New Roman" w:hAnsi="Times New Roman" w:cs="Times New Roman"/>
                <w:color w:val="auto"/>
                <w:w w:val="99"/>
                <w:sz w:val="21"/>
                <w:szCs w:val="21"/>
                <w:highlight w:val="none"/>
                <w:vertAlign w:val="superscript"/>
                <w:lang w:val="en-US" w:eastAsia="zh-CN"/>
              </w:rPr>
              <w:t>1</w:t>
            </w:r>
            <w:r>
              <w:rPr>
                <w:rFonts w:hint="eastAsia" w:ascii="Times New Roman" w:hAnsi="Times New Roman" w:cs="Times New Roman"/>
                <w:color w:val="auto"/>
                <w:w w:val="99"/>
                <w:sz w:val="21"/>
                <w:szCs w:val="21"/>
                <w:highlight w:val="none"/>
              </w:rPr>
              <w:t>h</w:t>
            </w:r>
            <w:r>
              <w:rPr>
                <w:rFonts w:ascii="Times New Roman" w:hAnsi="Times New Roman" w:cs="Times New Roman"/>
                <w:color w:val="auto"/>
                <w:w w:val="99"/>
                <w:sz w:val="21"/>
                <w:szCs w:val="21"/>
                <w:highlight w:val="none"/>
              </w:rPr>
              <w:t>m</w:t>
            </w:r>
            <w:r>
              <w:rPr>
                <w:rFonts w:ascii="Times New Roman" w:hAnsi="Times New Roman" w:cs="Times New Roman"/>
                <w:color w:val="auto"/>
                <w:w w:val="99"/>
                <w:sz w:val="21"/>
                <w:szCs w:val="21"/>
                <w:highlight w:val="none"/>
                <w:vertAlign w:val="superscript"/>
              </w:rPr>
              <w:t>2</w:t>
            </w:r>
            <w:r>
              <w:rPr>
                <w:rFonts w:hint="eastAsia" w:ascii="Times New Roman" w:hAnsi="Times New Roman" w:cs="Times New Roman"/>
                <w:color w:val="auto"/>
                <w:w w:val="99"/>
                <w:sz w:val="21"/>
                <w:szCs w:val="21"/>
                <w:highlight w:val="none"/>
                <w:vertAlign w:val="baseline"/>
                <w:lang w:eastAsia="zh-CN"/>
              </w:rPr>
              <w:t>，</w:t>
            </w:r>
            <w:r>
              <w:rPr>
                <w:rFonts w:hint="eastAsia" w:ascii="Times New Roman" w:hAnsi="Times New Roman" w:cs="Times New Roman"/>
                <w:color w:val="auto"/>
                <w:w w:val="99"/>
                <w:sz w:val="21"/>
                <w:szCs w:val="21"/>
                <w:highlight w:val="none"/>
                <w:vertAlign w:val="baseline"/>
                <w:lang w:val="en-US" w:eastAsia="zh-CN"/>
              </w:rPr>
              <w:t>临时占地1.9229</w:t>
            </w:r>
            <w:r>
              <w:rPr>
                <w:rFonts w:hint="eastAsia" w:ascii="Times New Roman" w:hAnsi="Times New Roman" w:cs="Times New Roman"/>
                <w:color w:val="auto"/>
                <w:w w:val="99"/>
                <w:sz w:val="21"/>
                <w:szCs w:val="21"/>
                <w:highlight w:val="none"/>
              </w:rPr>
              <w:t>h</w:t>
            </w:r>
            <w:r>
              <w:rPr>
                <w:rFonts w:ascii="Times New Roman" w:hAnsi="Times New Roman" w:cs="Times New Roman"/>
                <w:color w:val="auto"/>
                <w:w w:val="99"/>
                <w:sz w:val="21"/>
                <w:szCs w:val="21"/>
                <w:highlight w:val="none"/>
              </w:rPr>
              <w:t>m</w:t>
            </w:r>
            <w:r>
              <w:rPr>
                <w:rFonts w:ascii="Times New Roman" w:hAnsi="Times New Roman" w:cs="Times New Roman"/>
                <w:color w:val="auto"/>
                <w:w w:val="99"/>
                <w:sz w:val="21"/>
                <w:szCs w:val="21"/>
                <w:highlight w:val="none"/>
                <w:vertAlign w:val="superscript"/>
              </w:rPr>
              <w:t>2</w:t>
            </w:r>
            <w:r>
              <w:rPr>
                <w:rFonts w:ascii="Times New Roman" w:hAnsi="Times New Roman" w:cs="Times New Roman"/>
                <w:bCs/>
                <w:color w:val="auto"/>
                <w:w w:val="99"/>
                <w:kern w:val="2"/>
                <w:sz w:val="21"/>
                <w:szCs w:val="21"/>
                <w:highlight w:val="none"/>
              </w:rPr>
              <w:t>。</w:t>
            </w:r>
          </w:p>
        </w:tc>
      </w:tr>
      <w:tr w14:paraId="52BDB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3" w:type="pct"/>
            <w:vAlign w:val="center"/>
          </w:tcPr>
          <w:p w14:paraId="674F561C">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工作制度</w:t>
            </w:r>
          </w:p>
        </w:tc>
        <w:tc>
          <w:tcPr>
            <w:tcW w:w="3907" w:type="pct"/>
            <w:vAlign w:val="center"/>
          </w:tcPr>
          <w:p w14:paraId="69A7503A">
            <w:pPr>
              <w:spacing w:line="340" w:lineRule="exact"/>
              <w:jc w:val="both"/>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年生产 365d，每天24小时。</w:t>
            </w:r>
          </w:p>
        </w:tc>
      </w:tr>
      <w:tr w14:paraId="60B4C3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3" w:type="pct"/>
            <w:vAlign w:val="center"/>
          </w:tcPr>
          <w:p w14:paraId="53E33527">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在册职工人数</w:t>
            </w:r>
          </w:p>
        </w:tc>
        <w:tc>
          <w:tcPr>
            <w:tcW w:w="3907" w:type="pct"/>
            <w:vAlign w:val="center"/>
          </w:tcPr>
          <w:p w14:paraId="4E7B067D">
            <w:pPr>
              <w:spacing w:line="340" w:lineRule="exact"/>
              <w:jc w:val="both"/>
              <w:rPr>
                <w:rFonts w:ascii="Times New Roman" w:hAnsi="Times New Roman" w:cs="Times New Roman"/>
                <w:color w:val="auto"/>
                <w:w w:val="99"/>
                <w:kern w:val="2"/>
                <w:sz w:val="21"/>
                <w:szCs w:val="21"/>
                <w:highlight w:val="none"/>
              </w:rPr>
            </w:pPr>
            <w:r>
              <w:rPr>
                <w:rFonts w:hint="eastAsia" w:ascii="Times New Roman" w:hAnsi="Times New Roman" w:cs="Times New Roman"/>
                <w:bCs/>
                <w:color w:val="auto"/>
                <w:w w:val="99"/>
                <w:kern w:val="21"/>
                <w:sz w:val="21"/>
                <w:szCs w:val="21"/>
                <w:highlight w:val="none"/>
              </w:rPr>
              <w:t>施工期地面工程施工人员约30人</w:t>
            </w:r>
            <w:r>
              <w:rPr>
                <w:rFonts w:ascii="Times New Roman" w:hAnsi="Times New Roman" w:cs="Times New Roman"/>
                <w:bCs/>
                <w:color w:val="auto"/>
                <w:w w:val="99"/>
                <w:kern w:val="2"/>
                <w:sz w:val="21"/>
                <w:szCs w:val="21"/>
                <w:highlight w:val="none"/>
              </w:rPr>
              <w:t>，运营期不新增定员</w:t>
            </w:r>
            <w:r>
              <w:rPr>
                <w:rFonts w:hint="eastAsia" w:ascii="Times New Roman" w:hAnsi="Times New Roman" w:cs="Times New Roman"/>
                <w:bCs/>
                <w:color w:val="auto"/>
                <w:w w:val="99"/>
                <w:kern w:val="2"/>
                <w:sz w:val="21"/>
                <w:szCs w:val="21"/>
                <w:highlight w:val="none"/>
                <w:lang w:eastAsia="zh-CN"/>
              </w:rPr>
              <w:t>，</w:t>
            </w:r>
            <w:r>
              <w:rPr>
                <w:rFonts w:hint="eastAsia" w:ascii="Times New Roman" w:hAnsi="Times New Roman" w:cs="Times New Roman"/>
                <w:bCs/>
                <w:color w:val="auto"/>
                <w:w w:val="99"/>
                <w:kern w:val="2"/>
                <w:sz w:val="21"/>
                <w:szCs w:val="21"/>
                <w:highlight w:val="none"/>
                <w:lang w:val="en-US" w:eastAsia="zh-CN"/>
              </w:rPr>
              <w:t>由公司分配</w:t>
            </w:r>
            <w:r>
              <w:rPr>
                <w:rFonts w:ascii="Times New Roman" w:hAnsi="Times New Roman" w:cs="Times New Roman"/>
                <w:bCs/>
                <w:color w:val="auto"/>
                <w:w w:val="99"/>
                <w:kern w:val="2"/>
                <w:sz w:val="21"/>
                <w:szCs w:val="21"/>
                <w:highlight w:val="none"/>
              </w:rPr>
              <w:t>。</w:t>
            </w:r>
          </w:p>
        </w:tc>
      </w:tr>
      <w:tr w14:paraId="77153D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3" w:type="pct"/>
            <w:vAlign w:val="center"/>
          </w:tcPr>
          <w:p w14:paraId="11C75F05">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总投资及环境保护投资</w:t>
            </w:r>
          </w:p>
        </w:tc>
        <w:tc>
          <w:tcPr>
            <w:tcW w:w="3907" w:type="pct"/>
            <w:vAlign w:val="center"/>
          </w:tcPr>
          <w:p w14:paraId="2894FF5C">
            <w:pPr>
              <w:spacing w:line="34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总投资</w:t>
            </w:r>
            <w:r>
              <w:rPr>
                <w:rFonts w:hint="eastAsia" w:ascii="Times New Roman" w:hAnsi="Times New Roman" w:cs="Times New Roman"/>
                <w:bCs/>
                <w:color w:val="auto"/>
                <w:w w:val="99"/>
                <w:sz w:val="21"/>
                <w:szCs w:val="21"/>
                <w:highlight w:val="none"/>
              </w:rPr>
              <w:t>567</w:t>
            </w:r>
            <w:r>
              <w:rPr>
                <w:rFonts w:ascii="Times New Roman" w:hAnsi="Times New Roman" w:cs="Times New Roman"/>
                <w:bCs/>
                <w:color w:val="auto"/>
                <w:w w:val="99"/>
                <w:sz w:val="21"/>
                <w:szCs w:val="21"/>
                <w:highlight w:val="none"/>
              </w:rPr>
              <w:t>万元，环保投资</w:t>
            </w:r>
            <w:r>
              <w:rPr>
                <w:rFonts w:hint="eastAsia" w:ascii="Times New Roman" w:hAnsi="Times New Roman" w:cs="Times New Roman"/>
                <w:bCs/>
                <w:color w:val="auto"/>
                <w:w w:val="99"/>
                <w:sz w:val="21"/>
                <w:szCs w:val="21"/>
                <w:highlight w:val="none"/>
              </w:rPr>
              <w:t>25.47</w:t>
            </w:r>
            <w:r>
              <w:rPr>
                <w:rFonts w:ascii="Times New Roman" w:hAnsi="Times New Roman" w:cs="Times New Roman"/>
                <w:bCs/>
                <w:color w:val="auto"/>
                <w:w w:val="99"/>
                <w:sz w:val="21"/>
                <w:szCs w:val="21"/>
                <w:highlight w:val="none"/>
              </w:rPr>
              <w:t>万元，环保投资占比</w:t>
            </w:r>
            <w:r>
              <w:rPr>
                <w:rFonts w:hint="eastAsia" w:ascii="Times New Roman" w:hAnsi="Times New Roman" w:cs="Times New Roman"/>
                <w:bCs/>
                <w:color w:val="auto"/>
                <w:w w:val="99"/>
                <w:sz w:val="21"/>
                <w:szCs w:val="21"/>
                <w:highlight w:val="none"/>
              </w:rPr>
              <w:t>4.49</w:t>
            </w:r>
            <w:r>
              <w:rPr>
                <w:rFonts w:ascii="Times New Roman" w:hAnsi="Times New Roman" w:cs="Times New Roman"/>
                <w:bCs/>
                <w:color w:val="auto"/>
                <w:w w:val="99"/>
                <w:sz w:val="21"/>
                <w:szCs w:val="21"/>
                <w:highlight w:val="none"/>
              </w:rPr>
              <w:t>%。</w:t>
            </w:r>
          </w:p>
        </w:tc>
      </w:tr>
    </w:tbl>
    <w:p w14:paraId="04DC5989">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427" w:name="_Toc1417"/>
      <w:r>
        <w:rPr>
          <w:rFonts w:ascii="Times New Roman" w:hAnsi="Times New Roman" w:eastAsia="宋体"/>
          <w:b/>
          <w:snapToGrid w:val="0"/>
          <w:color w:val="auto"/>
          <w:w w:val="99"/>
          <w:highlight w:val="none"/>
        </w:rPr>
        <w:t>3.</w:t>
      </w:r>
      <w:r>
        <w:rPr>
          <w:rFonts w:hint="eastAsia" w:ascii="Times New Roman" w:hAnsi="Times New Roman" w:eastAsia="宋体"/>
          <w:b/>
          <w:snapToGrid w:val="0"/>
          <w:color w:val="auto"/>
          <w:w w:val="99"/>
          <w:highlight w:val="none"/>
        </w:rPr>
        <w:t>4</w:t>
      </w:r>
      <w:r>
        <w:rPr>
          <w:rFonts w:ascii="Times New Roman" w:hAnsi="Times New Roman" w:eastAsia="宋体"/>
          <w:b/>
          <w:snapToGrid w:val="0"/>
          <w:color w:val="auto"/>
          <w:w w:val="99"/>
          <w:highlight w:val="none"/>
        </w:rPr>
        <w:t>开发方案</w:t>
      </w:r>
      <w:bookmarkEnd w:id="427"/>
    </w:p>
    <w:p w14:paraId="14638BC1">
      <w:pPr>
        <w:widowControl w:val="0"/>
        <w:spacing w:line="440" w:lineRule="exact"/>
        <w:ind w:firstLine="476" w:firstLineChars="200"/>
        <w:jc w:val="both"/>
        <w:outlineLvl w:val="2"/>
        <w:rPr>
          <w:rFonts w:ascii="Times New Roman" w:hAnsi="Times New Roman" w:cs="Times New Roman"/>
          <w:b/>
          <w:bCs/>
          <w:color w:val="auto"/>
          <w:w w:val="99"/>
          <w:kern w:val="2"/>
          <w:highlight w:val="none"/>
        </w:rPr>
      </w:pPr>
      <w:r>
        <w:rPr>
          <w:rFonts w:hint="eastAsia" w:ascii="Times New Roman" w:hAnsi="Times New Roman" w:cs="Times New Roman"/>
          <w:b/>
          <w:bCs/>
          <w:color w:val="auto"/>
          <w:w w:val="99"/>
          <w:kern w:val="2"/>
          <w:highlight w:val="none"/>
        </w:rPr>
        <w:t>3.4.1开发指标预测</w:t>
      </w:r>
    </w:p>
    <w:p w14:paraId="49F51A51">
      <w:pPr>
        <w:widowControl w:val="0"/>
        <w:spacing w:line="440" w:lineRule="exact"/>
        <w:ind w:firstLine="474" w:firstLineChars="200"/>
        <w:rPr>
          <w:rFonts w:ascii="Times New Roman" w:hAnsi="Times New Roman" w:cs="Times New Roman"/>
          <w:snapToGrid w:val="0"/>
          <w:color w:val="auto"/>
          <w:w w:val="99"/>
          <w:highlight w:val="none"/>
        </w:rPr>
      </w:pPr>
      <w:r>
        <w:rPr>
          <w:rFonts w:hint="eastAsia" w:ascii="Times New Roman" w:hAnsi="Times New Roman" w:cs="Times New Roman"/>
          <w:snapToGrid w:val="0"/>
          <w:color w:val="auto"/>
          <w:w w:val="99"/>
          <w:highlight w:val="none"/>
        </w:rPr>
        <w:t>本次拟基建</w:t>
      </w:r>
      <w:r>
        <w:rPr>
          <w:rFonts w:ascii="Times New Roman" w:hAnsi="Times New Roman" w:cs="Times New Roman"/>
          <w:snapToGrid w:val="0"/>
          <w:color w:val="auto"/>
          <w:w w:val="99"/>
          <w:highlight w:val="none"/>
        </w:rPr>
        <w:t>气井</w:t>
      </w:r>
      <w:r>
        <w:rPr>
          <w:rFonts w:hint="eastAsia" w:ascii="Times New Roman" w:hAnsi="Times New Roman" w:cs="Times New Roman"/>
          <w:snapToGrid w:val="0"/>
          <w:color w:val="auto"/>
          <w:w w:val="99"/>
          <w:highlight w:val="none"/>
        </w:rPr>
        <w:t>1</w:t>
      </w:r>
      <w:r>
        <w:rPr>
          <w:rFonts w:ascii="Times New Roman" w:hAnsi="Times New Roman" w:cs="Times New Roman"/>
          <w:snapToGrid w:val="0"/>
          <w:color w:val="auto"/>
          <w:w w:val="99"/>
          <w:highlight w:val="none"/>
        </w:rPr>
        <w:t>口。气井初期日产气量为</w:t>
      </w:r>
      <w:r>
        <w:rPr>
          <w:rFonts w:hint="eastAsia" w:ascii="Times New Roman" w:hAnsi="Times New Roman" w:cs="Times New Roman"/>
          <w:snapToGrid w:val="0"/>
          <w:color w:val="auto"/>
          <w:w w:val="99"/>
          <w:highlight w:val="none"/>
        </w:rPr>
        <w:t>9</w:t>
      </w:r>
      <w:r>
        <w:rPr>
          <w:rFonts w:ascii="Times New Roman" w:hAnsi="Times New Roman" w:cs="Times New Roman"/>
          <w:snapToGrid w:val="0"/>
          <w:color w:val="auto"/>
          <w:w w:val="99"/>
          <w:highlight w:val="none"/>
        </w:rPr>
        <w:t>×10</w:t>
      </w:r>
      <w:r>
        <w:rPr>
          <w:rFonts w:ascii="Times New Roman" w:hAnsi="Times New Roman" w:cs="Times New Roman"/>
          <w:snapToGrid w:val="0"/>
          <w:color w:val="auto"/>
          <w:w w:val="99"/>
          <w:highlight w:val="none"/>
          <w:vertAlign w:val="superscript"/>
        </w:rPr>
        <w:t>4</w:t>
      </w:r>
      <w:r>
        <w:rPr>
          <w:rFonts w:ascii="Times New Roman" w:hAnsi="Times New Roman" w:cs="Times New Roman"/>
          <w:snapToGrid w:val="0"/>
          <w:color w:val="auto"/>
          <w:w w:val="99"/>
          <w:highlight w:val="none"/>
        </w:rPr>
        <w:t>m</w:t>
      </w:r>
      <w:r>
        <w:rPr>
          <w:rFonts w:ascii="Times New Roman" w:hAnsi="Times New Roman" w:cs="Times New Roman"/>
          <w:snapToGrid w:val="0"/>
          <w:color w:val="auto"/>
          <w:w w:val="99"/>
          <w:highlight w:val="none"/>
          <w:vertAlign w:val="superscript"/>
        </w:rPr>
        <w:t>3</w:t>
      </w:r>
      <w:r>
        <w:rPr>
          <w:rFonts w:ascii="Times New Roman" w:hAnsi="Times New Roman" w:cs="Times New Roman"/>
          <w:snapToGrid w:val="0"/>
          <w:color w:val="auto"/>
          <w:w w:val="99"/>
          <w:highlight w:val="none"/>
        </w:rPr>
        <w:t>/d，产水量</w:t>
      </w:r>
      <w:r>
        <w:rPr>
          <w:rFonts w:hint="eastAsia" w:ascii="Times New Roman" w:hAnsi="Times New Roman" w:cs="Times New Roman"/>
          <w:snapToGrid w:val="0"/>
          <w:color w:val="auto"/>
          <w:w w:val="99"/>
          <w:highlight w:val="none"/>
        </w:rPr>
        <w:t>3</w:t>
      </w:r>
      <w:r>
        <w:rPr>
          <w:rFonts w:ascii="Times New Roman" w:hAnsi="Times New Roman" w:cs="Times New Roman"/>
          <w:snapToGrid w:val="0"/>
          <w:color w:val="auto"/>
          <w:w w:val="99"/>
          <w:highlight w:val="none"/>
        </w:rPr>
        <w:t>m</w:t>
      </w:r>
      <w:r>
        <w:rPr>
          <w:rFonts w:ascii="Times New Roman" w:hAnsi="Times New Roman" w:cs="Times New Roman"/>
          <w:snapToGrid w:val="0"/>
          <w:color w:val="auto"/>
          <w:w w:val="99"/>
          <w:highlight w:val="none"/>
          <w:vertAlign w:val="superscript"/>
        </w:rPr>
        <w:t>3</w:t>
      </w:r>
      <w:r>
        <w:rPr>
          <w:rFonts w:ascii="Times New Roman" w:hAnsi="Times New Roman" w:cs="Times New Roman"/>
          <w:snapToGrid w:val="0"/>
          <w:color w:val="auto"/>
          <w:w w:val="99"/>
          <w:highlight w:val="none"/>
        </w:rPr>
        <w:t>/d，关井压力在3</w:t>
      </w:r>
      <w:r>
        <w:rPr>
          <w:rFonts w:hint="eastAsia" w:ascii="Times New Roman" w:hAnsi="Times New Roman" w:cs="Times New Roman"/>
          <w:snapToGrid w:val="0"/>
          <w:color w:val="auto"/>
          <w:w w:val="99"/>
          <w:highlight w:val="none"/>
        </w:rPr>
        <w:t>3</w:t>
      </w:r>
      <w:r>
        <w:rPr>
          <w:rFonts w:ascii="Times New Roman" w:hAnsi="Times New Roman" w:cs="Times New Roman"/>
          <w:snapToGrid w:val="0"/>
          <w:color w:val="auto"/>
          <w:w w:val="99"/>
          <w:highlight w:val="none"/>
        </w:rPr>
        <w:t>MPa之间。气井井口参数见表3</w:t>
      </w:r>
      <w:r>
        <w:rPr>
          <w:rFonts w:hint="eastAsia" w:ascii="Times New Roman" w:hAnsi="Times New Roman" w:cs="Times New Roman"/>
          <w:snapToGrid w:val="0"/>
          <w:color w:val="auto"/>
          <w:w w:val="99"/>
          <w:highlight w:val="none"/>
        </w:rPr>
        <w:t>.4-1</w:t>
      </w:r>
      <w:r>
        <w:rPr>
          <w:rFonts w:ascii="Times New Roman" w:hAnsi="Times New Roman" w:cs="Times New Roman"/>
          <w:snapToGrid w:val="0"/>
          <w:color w:val="auto"/>
          <w:w w:val="99"/>
          <w:highlight w:val="none"/>
        </w:rPr>
        <w:t>，开发指标预测分别见表3</w:t>
      </w:r>
      <w:r>
        <w:rPr>
          <w:rFonts w:hint="eastAsia" w:ascii="Times New Roman" w:hAnsi="Times New Roman" w:cs="Times New Roman"/>
          <w:snapToGrid w:val="0"/>
          <w:color w:val="auto"/>
          <w:w w:val="99"/>
          <w:highlight w:val="none"/>
        </w:rPr>
        <w:t>.4-2</w:t>
      </w:r>
      <w:r>
        <w:rPr>
          <w:rFonts w:ascii="Times New Roman" w:hAnsi="Times New Roman" w:cs="Times New Roman"/>
          <w:snapToGrid w:val="0"/>
          <w:color w:val="auto"/>
          <w:w w:val="99"/>
          <w:highlight w:val="none"/>
        </w:rPr>
        <w:t>至3</w:t>
      </w:r>
      <w:r>
        <w:rPr>
          <w:rFonts w:hint="eastAsia" w:ascii="Times New Roman" w:hAnsi="Times New Roman" w:cs="Times New Roman"/>
          <w:snapToGrid w:val="0"/>
          <w:color w:val="auto"/>
          <w:w w:val="99"/>
          <w:highlight w:val="none"/>
        </w:rPr>
        <w:t>.4-4</w:t>
      </w:r>
      <w:r>
        <w:rPr>
          <w:rFonts w:ascii="Times New Roman" w:hAnsi="Times New Roman" w:cs="Times New Roman"/>
          <w:snapToGrid w:val="0"/>
          <w:color w:val="auto"/>
          <w:w w:val="99"/>
          <w:highlight w:val="none"/>
          <w:lang w:val="zh-CN"/>
        </w:rPr>
        <w:t>。</w:t>
      </w:r>
    </w:p>
    <w:p w14:paraId="5AFF7FE6">
      <w:pPr>
        <w:widowControl w:val="0"/>
        <w:spacing w:line="440" w:lineRule="exact"/>
        <w:ind w:firstLine="476" w:firstLineChars="200"/>
        <w:rPr>
          <w:rFonts w:ascii="Times New Roman" w:hAnsi="Times New Roman" w:cs="Times New Roman"/>
          <w:b/>
          <w:bCs/>
          <w:snapToGrid w:val="0"/>
          <w:color w:val="auto"/>
          <w:w w:val="99"/>
          <w:highlight w:val="none"/>
          <w:lang w:val="zh-CN"/>
        </w:rPr>
      </w:pPr>
      <w:r>
        <w:rPr>
          <w:rFonts w:ascii="Times New Roman" w:hAnsi="Times New Roman" w:cs="Times New Roman"/>
          <w:b/>
          <w:bCs/>
          <w:snapToGrid w:val="0"/>
          <w:color w:val="auto"/>
          <w:w w:val="99"/>
          <w:highlight w:val="none"/>
          <w:lang w:val="zh-CN"/>
        </w:rPr>
        <w:t>表3.</w:t>
      </w:r>
      <w:r>
        <w:rPr>
          <w:rFonts w:hint="eastAsia" w:ascii="Times New Roman" w:hAnsi="Times New Roman" w:cs="Times New Roman"/>
          <w:b/>
          <w:bCs/>
          <w:snapToGrid w:val="0"/>
          <w:color w:val="auto"/>
          <w:w w:val="99"/>
          <w:highlight w:val="none"/>
        </w:rPr>
        <w:t>4</w:t>
      </w:r>
      <w:r>
        <w:rPr>
          <w:rFonts w:ascii="Times New Roman" w:hAnsi="Times New Roman" w:cs="Times New Roman"/>
          <w:b/>
          <w:bCs/>
          <w:snapToGrid w:val="0"/>
          <w:color w:val="auto"/>
          <w:w w:val="99"/>
          <w:highlight w:val="none"/>
          <w:lang w:val="zh-CN"/>
        </w:rPr>
        <w:t>-</w:t>
      </w:r>
      <w:r>
        <w:rPr>
          <w:rFonts w:hint="eastAsia" w:ascii="Times New Roman" w:hAnsi="Times New Roman" w:cs="Times New Roman"/>
          <w:b/>
          <w:bCs/>
          <w:snapToGrid w:val="0"/>
          <w:color w:val="auto"/>
          <w:w w:val="99"/>
          <w:highlight w:val="none"/>
        </w:rPr>
        <w:t>1</w:t>
      </w:r>
      <w:r>
        <w:rPr>
          <w:rFonts w:ascii="Times New Roman" w:hAnsi="Times New Roman" w:cs="Times New Roman"/>
          <w:b/>
          <w:bCs/>
          <w:snapToGrid w:val="0"/>
          <w:color w:val="auto"/>
          <w:w w:val="99"/>
          <w:highlight w:val="none"/>
          <w:lang w:val="zh-CN"/>
        </w:rPr>
        <w:t xml:space="preserve">  </w:t>
      </w:r>
      <w:r>
        <w:rPr>
          <w:rFonts w:ascii="Times New Roman" w:hAnsi="Times New Roman" w:cs="Times New Roman"/>
          <w:b/>
          <w:bCs/>
          <w:snapToGrid w:val="0"/>
          <w:color w:val="auto"/>
          <w:w w:val="99"/>
          <w:highlight w:val="none"/>
        </w:rPr>
        <w:t>气井井口参数</w:t>
      </w:r>
      <w:r>
        <w:rPr>
          <w:rFonts w:ascii="Times New Roman" w:hAnsi="Times New Roman" w:cs="Times New Roman"/>
          <w:b/>
          <w:bCs/>
          <w:snapToGrid w:val="0"/>
          <w:color w:val="auto"/>
          <w:w w:val="99"/>
          <w:highlight w:val="none"/>
          <w:lang w:val="zh-CN"/>
        </w:rPr>
        <w:t>表</w:t>
      </w:r>
    </w:p>
    <w:tbl>
      <w:tblPr>
        <w:tblStyle w:val="8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4"/>
        <w:gridCol w:w="1040"/>
        <w:gridCol w:w="1376"/>
        <w:gridCol w:w="1384"/>
        <w:gridCol w:w="1298"/>
        <w:gridCol w:w="938"/>
        <w:gridCol w:w="982"/>
        <w:gridCol w:w="1017"/>
      </w:tblGrid>
      <w:tr w14:paraId="45103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670" w:type="pct"/>
            <w:vAlign w:val="center"/>
          </w:tcPr>
          <w:p w14:paraId="16DA78AB">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井 号</w:t>
            </w:r>
          </w:p>
        </w:tc>
        <w:tc>
          <w:tcPr>
            <w:tcW w:w="560" w:type="pct"/>
            <w:vAlign w:val="center"/>
          </w:tcPr>
          <w:p w14:paraId="5653F0FE">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关井压力（MPa）</w:t>
            </w:r>
          </w:p>
        </w:tc>
        <w:tc>
          <w:tcPr>
            <w:tcW w:w="741" w:type="pct"/>
            <w:vAlign w:val="center"/>
          </w:tcPr>
          <w:p w14:paraId="6D5114F1">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开井瞬时压力（MPa）</w:t>
            </w:r>
          </w:p>
        </w:tc>
        <w:tc>
          <w:tcPr>
            <w:tcW w:w="745" w:type="pct"/>
            <w:vAlign w:val="center"/>
          </w:tcPr>
          <w:p w14:paraId="5A9D4521">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正常开井压力（MPa）</w:t>
            </w:r>
          </w:p>
        </w:tc>
        <w:tc>
          <w:tcPr>
            <w:tcW w:w="699" w:type="pct"/>
            <w:vAlign w:val="center"/>
          </w:tcPr>
          <w:p w14:paraId="5E71EC43">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日产气（10</w:t>
            </w:r>
            <w:r>
              <w:rPr>
                <w:rFonts w:ascii="Times New Roman" w:hAnsi="Times New Roman" w:cs="Times New Roman" w:eastAsiaTheme="minorEastAsia"/>
                <w:color w:val="auto"/>
                <w:w w:val="99"/>
                <w:sz w:val="21"/>
                <w:szCs w:val="21"/>
                <w:highlight w:val="none"/>
                <w:vertAlign w:val="superscript"/>
              </w:rPr>
              <w:t>4</w:t>
            </w:r>
            <w:r>
              <w:rPr>
                <w:rFonts w:ascii="Times New Roman" w:hAnsi="Times New Roman" w:cs="Times New Roman" w:eastAsiaTheme="minorEastAsia"/>
                <w:color w:val="auto"/>
                <w:w w:val="99"/>
                <w:sz w:val="21"/>
                <w:szCs w:val="21"/>
                <w:highlight w:val="none"/>
              </w:rPr>
              <w:t>m</w:t>
            </w:r>
            <w:r>
              <w:rPr>
                <w:rFonts w:ascii="Times New Roman" w:hAnsi="Times New Roman" w:cs="Times New Roman" w:eastAsiaTheme="minorEastAsia"/>
                <w:color w:val="auto"/>
                <w:w w:val="99"/>
                <w:sz w:val="21"/>
                <w:szCs w:val="21"/>
                <w:highlight w:val="none"/>
                <w:vertAlign w:val="superscript"/>
              </w:rPr>
              <w:t>3</w:t>
            </w:r>
            <w:r>
              <w:rPr>
                <w:rFonts w:ascii="Times New Roman" w:hAnsi="Times New Roman" w:cs="Times New Roman" w:eastAsiaTheme="minorEastAsia"/>
                <w:color w:val="auto"/>
                <w:w w:val="99"/>
                <w:sz w:val="21"/>
                <w:szCs w:val="21"/>
                <w:highlight w:val="none"/>
              </w:rPr>
              <w:t>/d）</w:t>
            </w:r>
          </w:p>
        </w:tc>
        <w:tc>
          <w:tcPr>
            <w:tcW w:w="505" w:type="pct"/>
          </w:tcPr>
          <w:p w14:paraId="5381A80C">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日产水（m</w:t>
            </w:r>
            <w:r>
              <w:rPr>
                <w:rFonts w:ascii="Times New Roman" w:hAnsi="Times New Roman" w:cs="Times New Roman" w:eastAsiaTheme="minorEastAsia"/>
                <w:color w:val="auto"/>
                <w:w w:val="99"/>
                <w:sz w:val="21"/>
                <w:szCs w:val="21"/>
                <w:highlight w:val="none"/>
                <w:vertAlign w:val="superscript"/>
              </w:rPr>
              <w:t>3</w:t>
            </w:r>
            <w:r>
              <w:rPr>
                <w:rFonts w:ascii="Times New Roman" w:hAnsi="Times New Roman" w:cs="Times New Roman" w:eastAsiaTheme="minorEastAsia"/>
                <w:color w:val="auto"/>
                <w:w w:val="99"/>
                <w:sz w:val="21"/>
                <w:szCs w:val="21"/>
                <w:highlight w:val="none"/>
              </w:rPr>
              <w:t>）</w:t>
            </w:r>
          </w:p>
        </w:tc>
        <w:tc>
          <w:tcPr>
            <w:tcW w:w="529" w:type="pct"/>
            <w:vAlign w:val="center"/>
          </w:tcPr>
          <w:p w14:paraId="3018A8CE">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稳产年限（年）</w:t>
            </w:r>
          </w:p>
        </w:tc>
        <w:tc>
          <w:tcPr>
            <w:tcW w:w="547" w:type="pct"/>
            <w:vAlign w:val="center"/>
          </w:tcPr>
          <w:p w14:paraId="3D10B583">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初期产气温度（℃）</w:t>
            </w:r>
          </w:p>
        </w:tc>
      </w:tr>
      <w:tr w14:paraId="0C23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0" w:type="pct"/>
            <w:vAlign w:val="center"/>
          </w:tcPr>
          <w:p w14:paraId="1952EC00">
            <w:pPr>
              <w:pStyle w:val="173"/>
              <w:tabs>
                <w:tab w:val="left" w:pos="3480"/>
              </w:tabs>
              <w:spacing w:line="360" w:lineRule="exact"/>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徐深</w:t>
            </w:r>
            <w:r>
              <w:rPr>
                <w:rFonts w:ascii="Times New Roman" w:hAnsi="Times New Roman" w:eastAsiaTheme="minorEastAsia"/>
                <w:color w:val="auto"/>
                <w:w w:val="99"/>
                <w:highlight w:val="none"/>
              </w:rPr>
              <w:t>27-H1</w:t>
            </w:r>
          </w:p>
        </w:tc>
        <w:tc>
          <w:tcPr>
            <w:tcW w:w="560" w:type="pct"/>
            <w:vAlign w:val="center"/>
          </w:tcPr>
          <w:p w14:paraId="1D3478C5">
            <w:pPr>
              <w:pStyle w:val="173"/>
              <w:tabs>
                <w:tab w:val="left" w:pos="3480"/>
              </w:tabs>
              <w:spacing w:line="360" w:lineRule="exact"/>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33</w:t>
            </w:r>
          </w:p>
        </w:tc>
        <w:tc>
          <w:tcPr>
            <w:tcW w:w="741" w:type="pct"/>
            <w:vAlign w:val="center"/>
          </w:tcPr>
          <w:p w14:paraId="0109DCF6">
            <w:pPr>
              <w:pStyle w:val="173"/>
              <w:tabs>
                <w:tab w:val="left" w:pos="3480"/>
              </w:tabs>
              <w:spacing w:line="360" w:lineRule="exact"/>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30</w:t>
            </w:r>
          </w:p>
        </w:tc>
        <w:tc>
          <w:tcPr>
            <w:tcW w:w="745" w:type="pct"/>
            <w:vAlign w:val="center"/>
          </w:tcPr>
          <w:p w14:paraId="726E701A">
            <w:pPr>
              <w:pStyle w:val="173"/>
              <w:tabs>
                <w:tab w:val="left" w:pos="3480"/>
              </w:tabs>
              <w:spacing w:line="360" w:lineRule="exact"/>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26</w:t>
            </w:r>
          </w:p>
        </w:tc>
        <w:tc>
          <w:tcPr>
            <w:tcW w:w="699" w:type="pct"/>
            <w:vAlign w:val="center"/>
          </w:tcPr>
          <w:p w14:paraId="11CF9221">
            <w:pPr>
              <w:pStyle w:val="173"/>
              <w:tabs>
                <w:tab w:val="left" w:pos="3480"/>
              </w:tabs>
              <w:spacing w:line="360" w:lineRule="exact"/>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 xml:space="preserve">9 </w:t>
            </w:r>
          </w:p>
        </w:tc>
        <w:tc>
          <w:tcPr>
            <w:tcW w:w="505" w:type="pct"/>
            <w:vAlign w:val="center"/>
          </w:tcPr>
          <w:p w14:paraId="6325C498">
            <w:pPr>
              <w:pStyle w:val="173"/>
              <w:tabs>
                <w:tab w:val="left" w:pos="3480"/>
              </w:tabs>
              <w:spacing w:line="360" w:lineRule="exact"/>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 xml:space="preserve">3 </w:t>
            </w:r>
          </w:p>
        </w:tc>
        <w:tc>
          <w:tcPr>
            <w:tcW w:w="529" w:type="pct"/>
            <w:vAlign w:val="center"/>
          </w:tcPr>
          <w:p w14:paraId="3AF3D56F">
            <w:pPr>
              <w:pStyle w:val="173"/>
              <w:tabs>
                <w:tab w:val="left" w:pos="3480"/>
              </w:tabs>
              <w:spacing w:line="360" w:lineRule="exact"/>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1</w:t>
            </w:r>
          </w:p>
        </w:tc>
        <w:tc>
          <w:tcPr>
            <w:tcW w:w="547" w:type="pct"/>
            <w:vAlign w:val="center"/>
          </w:tcPr>
          <w:p w14:paraId="374FD17A">
            <w:pPr>
              <w:pStyle w:val="173"/>
              <w:tabs>
                <w:tab w:val="left" w:pos="3480"/>
              </w:tabs>
              <w:spacing w:line="360" w:lineRule="exact"/>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20</w:t>
            </w:r>
          </w:p>
        </w:tc>
      </w:tr>
    </w:tbl>
    <w:p w14:paraId="5B3EADE8">
      <w:pPr>
        <w:widowControl w:val="0"/>
        <w:spacing w:line="440" w:lineRule="exact"/>
        <w:ind w:firstLine="476" w:firstLineChars="200"/>
        <w:rPr>
          <w:rFonts w:ascii="Times New Roman" w:hAnsi="Times New Roman" w:cs="Times New Roman"/>
          <w:b/>
          <w:bCs/>
          <w:snapToGrid w:val="0"/>
          <w:color w:val="auto"/>
          <w:w w:val="99"/>
          <w:highlight w:val="none"/>
          <w:lang w:val="zh-CN"/>
        </w:rPr>
      </w:pPr>
      <w:r>
        <w:rPr>
          <w:rFonts w:ascii="Times New Roman" w:hAnsi="Times New Roman" w:cs="Times New Roman"/>
          <w:b/>
          <w:bCs/>
          <w:snapToGrid w:val="0"/>
          <w:color w:val="auto"/>
          <w:w w:val="99"/>
          <w:highlight w:val="none"/>
          <w:lang w:val="zh-CN"/>
        </w:rPr>
        <w:t>表3</w:t>
      </w:r>
      <w:r>
        <w:rPr>
          <w:rFonts w:hint="eastAsia" w:ascii="Times New Roman" w:hAnsi="Times New Roman" w:cs="Times New Roman"/>
          <w:b/>
          <w:bCs/>
          <w:snapToGrid w:val="0"/>
          <w:color w:val="auto"/>
          <w:w w:val="99"/>
          <w:highlight w:val="none"/>
        </w:rPr>
        <w:t>.4-2</w:t>
      </w:r>
      <w:r>
        <w:rPr>
          <w:rFonts w:ascii="Times New Roman" w:hAnsi="Times New Roman" w:cs="Times New Roman"/>
          <w:b/>
          <w:bCs/>
          <w:snapToGrid w:val="0"/>
          <w:color w:val="auto"/>
          <w:w w:val="99"/>
          <w:highlight w:val="none"/>
          <w:lang w:val="zh-CN"/>
        </w:rPr>
        <w:t xml:space="preserve"> 气井产气量预测表（10</w:t>
      </w:r>
      <w:r>
        <w:rPr>
          <w:rFonts w:ascii="Times New Roman" w:hAnsi="Times New Roman" w:cs="Times New Roman"/>
          <w:b/>
          <w:bCs/>
          <w:snapToGrid w:val="0"/>
          <w:color w:val="auto"/>
          <w:w w:val="99"/>
          <w:highlight w:val="none"/>
          <w:vertAlign w:val="superscript"/>
          <w:lang w:val="zh-CN"/>
        </w:rPr>
        <w:t>4</w:t>
      </w:r>
      <w:r>
        <w:rPr>
          <w:rFonts w:ascii="Times New Roman" w:hAnsi="Times New Roman" w:cs="Times New Roman"/>
          <w:b/>
          <w:bCs/>
          <w:snapToGrid w:val="0"/>
          <w:color w:val="auto"/>
          <w:w w:val="99"/>
          <w:highlight w:val="none"/>
          <w:lang w:val="zh-CN"/>
        </w:rPr>
        <w:t>m</w:t>
      </w:r>
      <w:r>
        <w:rPr>
          <w:rFonts w:ascii="Times New Roman" w:hAnsi="Times New Roman" w:cs="Times New Roman"/>
          <w:b/>
          <w:bCs/>
          <w:snapToGrid w:val="0"/>
          <w:color w:val="auto"/>
          <w:w w:val="99"/>
          <w:highlight w:val="none"/>
          <w:vertAlign w:val="superscript"/>
          <w:lang w:val="zh-CN"/>
        </w:rPr>
        <w:t>3</w:t>
      </w:r>
      <w:r>
        <w:rPr>
          <w:rFonts w:ascii="Times New Roman" w:hAnsi="Times New Roman" w:cs="Times New Roman"/>
          <w:b/>
          <w:bCs/>
          <w:snapToGrid w:val="0"/>
          <w:color w:val="auto"/>
          <w:w w:val="99"/>
          <w:highlight w:val="none"/>
          <w:lang w:val="zh-CN"/>
        </w:rPr>
        <w:t>/d）</w:t>
      </w:r>
    </w:p>
    <w:tbl>
      <w:tblPr>
        <w:tblStyle w:val="8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3"/>
        <w:gridCol w:w="782"/>
        <w:gridCol w:w="782"/>
        <w:gridCol w:w="782"/>
        <w:gridCol w:w="782"/>
        <w:gridCol w:w="783"/>
        <w:gridCol w:w="783"/>
        <w:gridCol w:w="783"/>
        <w:gridCol w:w="783"/>
        <w:gridCol w:w="783"/>
        <w:gridCol w:w="783"/>
      </w:tblGrid>
      <w:tr w14:paraId="7E3D3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782" w:type="pct"/>
            <w:tcBorders>
              <w:bottom w:val="single" w:color="auto" w:sz="4" w:space="0"/>
              <w:right w:val="single" w:color="auto" w:sz="4" w:space="0"/>
            </w:tcBorders>
            <w:vAlign w:val="center"/>
          </w:tcPr>
          <w:p w14:paraId="0EA27DCB">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井号                              </w:t>
            </w:r>
          </w:p>
        </w:tc>
        <w:tc>
          <w:tcPr>
            <w:tcW w:w="421" w:type="pct"/>
            <w:tcBorders>
              <w:left w:val="nil"/>
              <w:bottom w:val="single" w:color="auto" w:sz="4" w:space="0"/>
              <w:right w:val="single" w:color="auto" w:sz="4" w:space="0"/>
            </w:tcBorders>
            <w:vAlign w:val="center"/>
          </w:tcPr>
          <w:p w14:paraId="0AC0866D">
            <w:pPr>
              <w:spacing w:line="320" w:lineRule="exact"/>
              <w:jc w:val="center"/>
              <w:rPr>
                <w:rFonts w:ascii="Times New Roman" w:hAnsi="Times New Roman" w:cs="Times New Roman" w:eastAsiaTheme="minorEastAsia"/>
                <w:color w:val="auto"/>
                <w:w w:val="99"/>
                <w:sz w:val="21"/>
                <w:szCs w:val="21"/>
                <w:highlight w:val="none"/>
                <w:lang w:val="zh-CN"/>
              </w:rPr>
            </w:pPr>
            <w:r>
              <w:rPr>
                <w:rFonts w:ascii="Times New Roman" w:hAnsi="Times New Roman" w:cs="Times New Roman" w:eastAsiaTheme="minorEastAsia"/>
                <w:color w:val="auto"/>
                <w:w w:val="99"/>
                <w:sz w:val="21"/>
                <w:szCs w:val="21"/>
                <w:highlight w:val="none"/>
              </w:rPr>
              <w:t>2027</w:t>
            </w:r>
          </w:p>
        </w:tc>
        <w:tc>
          <w:tcPr>
            <w:tcW w:w="421" w:type="pct"/>
            <w:tcBorders>
              <w:left w:val="nil"/>
              <w:bottom w:val="single" w:color="auto" w:sz="4" w:space="0"/>
              <w:right w:val="single" w:color="auto" w:sz="4" w:space="0"/>
            </w:tcBorders>
            <w:vAlign w:val="center"/>
          </w:tcPr>
          <w:p w14:paraId="16F1C77C">
            <w:pPr>
              <w:spacing w:line="320" w:lineRule="exact"/>
              <w:jc w:val="center"/>
              <w:rPr>
                <w:rFonts w:ascii="Times New Roman" w:hAnsi="Times New Roman" w:cs="Times New Roman" w:eastAsiaTheme="minorEastAsia"/>
                <w:color w:val="auto"/>
                <w:w w:val="99"/>
                <w:sz w:val="21"/>
                <w:szCs w:val="21"/>
                <w:highlight w:val="none"/>
                <w:lang w:val="zh-CN"/>
              </w:rPr>
            </w:pPr>
            <w:r>
              <w:rPr>
                <w:rFonts w:ascii="Times New Roman" w:hAnsi="Times New Roman" w:cs="Times New Roman" w:eastAsiaTheme="minorEastAsia"/>
                <w:color w:val="auto"/>
                <w:w w:val="99"/>
                <w:sz w:val="21"/>
                <w:szCs w:val="21"/>
                <w:highlight w:val="none"/>
              </w:rPr>
              <w:t>2028</w:t>
            </w:r>
          </w:p>
        </w:tc>
        <w:tc>
          <w:tcPr>
            <w:tcW w:w="421" w:type="pct"/>
            <w:tcBorders>
              <w:left w:val="nil"/>
              <w:bottom w:val="single" w:color="auto" w:sz="4" w:space="0"/>
              <w:right w:val="single" w:color="auto" w:sz="4" w:space="0"/>
            </w:tcBorders>
            <w:vAlign w:val="center"/>
          </w:tcPr>
          <w:p w14:paraId="547EA940">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2029</w:t>
            </w:r>
          </w:p>
        </w:tc>
        <w:tc>
          <w:tcPr>
            <w:tcW w:w="421" w:type="pct"/>
            <w:tcBorders>
              <w:left w:val="nil"/>
              <w:bottom w:val="single" w:color="auto" w:sz="4" w:space="0"/>
              <w:right w:val="single" w:color="auto" w:sz="4" w:space="0"/>
            </w:tcBorders>
            <w:vAlign w:val="center"/>
          </w:tcPr>
          <w:p w14:paraId="1A2FE7DA">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2030</w:t>
            </w:r>
          </w:p>
        </w:tc>
        <w:tc>
          <w:tcPr>
            <w:tcW w:w="421" w:type="pct"/>
            <w:tcBorders>
              <w:left w:val="nil"/>
              <w:bottom w:val="single" w:color="auto" w:sz="4" w:space="0"/>
              <w:right w:val="single" w:color="auto" w:sz="4" w:space="0"/>
            </w:tcBorders>
            <w:vAlign w:val="center"/>
          </w:tcPr>
          <w:p w14:paraId="3ADE4361">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2031</w:t>
            </w:r>
          </w:p>
        </w:tc>
        <w:tc>
          <w:tcPr>
            <w:tcW w:w="421" w:type="pct"/>
            <w:tcBorders>
              <w:left w:val="nil"/>
              <w:bottom w:val="single" w:color="auto" w:sz="4" w:space="0"/>
              <w:right w:val="single" w:color="auto" w:sz="4" w:space="0"/>
            </w:tcBorders>
            <w:vAlign w:val="center"/>
          </w:tcPr>
          <w:p w14:paraId="7BCBA804">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2032</w:t>
            </w:r>
          </w:p>
        </w:tc>
        <w:tc>
          <w:tcPr>
            <w:tcW w:w="421" w:type="pct"/>
            <w:tcBorders>
              <w:left w:val="nil"/>
              <w:bottom w:val="single" w:color="auto" w:sz="4" w:space="0"/>
              <w:right w:val="single" w:color="auto" w:sz="4" w:space="0"/>
            </w:tcBorders>
            <w:vAlign w:val="center"/>
          </w:tcPr>
          <w:p w14:paraId="4EF9A21B">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2033</w:t>
            </w:r>
          </w:p>
        </w:tc>
        <w:tc>
          <w:tcPr>
            <w:tcW w:w="421" w:type="pct"/>
            <w:tcBorders>
              <w:left w:val="nil"/>
              <w:bottom w:val="single" w:color="auto" w:sz="4" w:space="0"/>
              <w:right w:val="single" w:color="auto" w:sz="4" w:space="0"/>
            </w:tcBorders>
            <w:vAlign w:val="center"/>
          </w:tcPr>
          <w:p w14:paraId="59CCBB00">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2034</w:t>
            </w:r>
          </w:p>
        </w:tc>
        <w:tc>
          <w:tcPr>
            <w:tcW w:w="421" w:type="pct"/>
            <w:tcBorders>
              <w:left w:val="nil"/>
              <w:bottom w:val="single" w:color="auto" w:sz="4" w:space="0"/>
              <w:right w:val="single" w:color="auto" w:sz="4" w:space="0"/>
            </w:tcBorders>
            <w:vAlign w:val="center"/>
          </w:tcPr>
          <w:p w14:paraId="1E2EDCFF">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2035</w:t>
            </w:r>
          </w:p>
        </w:tc>
        <w:tc>
          <w:tcPr>
            <w:tcW w:w="421" w:type="pct"/>
            <w:tcBorders>
              <w:left w:val="nil"/>
              <w:bottom w:val="single" w:color="auto" w:sz="4" w:space="0"/>
            </w:tcBorders>
            <w:vAlign w:val="center"/>
          </w:tcPr>
          <w:p w14:paraId="06E0EEFE">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2036</w:t>
            </w:r>
          </w:p>
        </w:tc>
      </w:tr>
      <w:tr w14:paraId="0959D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82" w:type="pct"/>
            <w:tcBorders>
              <w:top w:val="single" w:color="auto" w:sz="4" w:space="0"/>
              <w:bottom w:val="single" w:color="auto" w:sz="4" w:space="0"/>
              <w:right w:val="single" w:color="auto" w:sz="4" w:space="0"/>
            </w:tcBorders>
            <w:vAlign w:val="center"/>
          </w:tcPr>
          <w:p w14:paraId="0E646659">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徐深27-H1</w:t>
            </w:r>
          </w:p>
        </w:tc>
        <w:tc>
          <w:tcPr>
            <w:tcW w:w="421" w:type="pct"/>
            <w:tcBorders>
              <w:top w:val="single" w:color="auto" w:sz="4" w:space="0"/>
              <w:left w:val="nil"/>
              <w:bottom w:val="single" w:color="auto" w:sz="4" w:space="0"/>
              <w:right w:val="single" w:color="auto" w:sz="4" w:space="0"/>
            </w:tcBorders>
            <w:vAlign w:val="center"/>
          </w:tcPr>
          <w:p w14:paraId="3CB7158F">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9 </w:t>
            </w:r>
          </w:p>
        </w:tc>
        <w:tc>
          <w:tcPr>
            <w:tcW w:w="421" w:type="pct"/>
            <w:tcBorders>
              <w:top w:val="single" w:color="auto" w:sz="4" w:space="0"/>
              <w:left w:val="nil"/>
              <w:bottom w:val="single" w:color="auto" w:sz="4" w:space="0"/>
              <w:right w:val="single" w:color="auto" w:sz="4" w:space="0"/>
            </w:tcBorders>
            <w:vAlign w:val="center"/>
          </w:tcPr>
          <w:p w14:paraId="56C2F5C0">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8 </w:t>
            </w:r>
          </w:p>
        </w:tc>
        <w:tc>
          <w:tcPr>
            <w:tcW w:w="421" w:type="pct"/>
            <w:tcBorders>
              <w:top w:val="single" w:color="auto" w:sz="4" w:space="0"/>
              <w:left w:val="nil"/>
              <w:bottom w:val="single" w:color="auto" w:sz="4" w:space="0"/>
              <w:right w:val="single" w:color="auto" w:sz="4" w:space="0"/>
            </w:tcBorders>
            <w:vAlign w:val="center"/>
          </w:tcPr>
          <w:p w14:paraId="105AA8AF">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7 </w:t>
            </w:r>
          </w:p>
        </w:tc>
        <w:tc>
          <w:tcPr>
            <w:tcW w:w="421" w:type="pct"/>
            <w:tcBorders>
              <w:top w:val="single" w:color="auto" w:sz="4" w:space="0"/>
              <w:left w:val="nil"/>
              <w:bottom w:val="single" w:color="auto" w:sz="4" w:space="0"/>
              <w:right w:val="single" w:color="auto" w:sz="4" w:space="0"/>
            </w:tcBorders>
            <w:vAlign w:val="center"/>
          </w:tcPr>
          <w:p w14:paraId="01060490">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7 </w:t>
            </w:r>
          </w:p>
        </w:tc>
        <w:tc>
          <w:tcPr>
            <w:tcW w:w="421" w:type="pct"/>
            <w:tcBorders>
              <w:top w:val="single" w:color="auto" w:sz="4" w:space="0"/>
              <w:left w:val="nil"/>
              <w:bottom w:val="single" w:color="auto" w:sz="4" w:space="0"/>
              <w:right w:val="single" w:color="auto" w:sz="4" w:space="0"/>
            </w:tcBorders>
            <w:vAlign w:val="center"/>
          </w:tcPr>
          <w:p w14:paraId="5EE9CA9F">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6 </w:t>
            </w:r>
          </w:p>
        </w:tc>
        <w:tc>
          <w:tcPr>
            <w:tcW w:w="421" w:type="pct"/>
            <w:tcBorders>
              <w:top w:val="single" w:color="auto" w:sz="4" w:space="0"/>
              <w:left w:val="nil"/>
              <w:bottom w:val="single" w:color="auto" w:sz="4" w:space="0"/>
              <w:right w:val="single" w:color="auto" w:sz="4" w:space="0"/>
            </w:tcBorders>
            <w:vAlign w:val="center"/>
          </w:tcPr>
          <w:p w14:paraId="4A0F2C73">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6 </w:t>
            </w:r>
          </w:p>
        </w:tc>
        <w:tc>
          <w:tcPr>
            <w:tcW w:w="421" w:type="pct"/>
            <w:tcBorders>
              <w:top w:val="single" w:color="auto" w:sz="4" w:space="0"/>
              <w:left w:val="nil"/>
              <w:bottom w:val="single" w:color="auto" w:sz="4" w:space="0"/>
              <w:right w:val="single" w:color="auto" w:sz="4" w:space="0"/>
            </w:tcBorders>
            <w:vAlign w:val="center"/>
          </w:tcPr>
          <w:p w14:paraId="4329124A">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5 </w:t>
            </w:r>
          </w:p>
        </w:tc>
        <w:tc>
          <w:tcPr>
            <w:tcW w:w="421" w:type="pct"/>
            <w:tcBorders>
              <w:top w:val="single" w:color="auto" w:sz="4" w:space="0"/>
              <w:left w:val="nil"/>
              <w:bottom w:val="single" w:color="auto" w:sz="4" w:space="0"/>
              <w:right w:val="single" w:color="auto" w:sz="4" w:space="0"/>
            </w:tcBorders>
            <w:vAlign w:val="center"/>
          </w:tcPr>
          <w:p w14:paraId="19AF8AE9">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5 </w:t>
            </w:r>
          </w:p>
        </w:tc>
        <w:tc>
          <w:tcPr>
            <w:tcW w:w="421" w:type="pct"/>
            <w:tcBorders>
              <w:top w:val="single" w:color="auto" w:sz="4" w:space="0"/>
              <w:left w:val="nil"/>
              <w:bottom w:val="single" w:color="auto" w:sz="4" w:space="0"/>
              <w:right w:val="single" w:color="auto" w:sz="4" w:space="0"/>
            </w:tcBorders>
            <w:vAlign w:val="center"/>
          </w:tcPr>
          <w:p w14:paraId="7E70C0F1">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5 </w:t>
            </w:r>
          </w:p>
        </w:tc>
        <w:tc>
          <w:tcPr>
            <w:tcW w:w="421" w:type="pct"/>
            <w:tcBorders>
              <w:top w:val="single" w:color="auto" w:sz="4" w:space="0"/>
              <w:left w:val="nil"/>
              <w:bottom w:val="single" w:color="auto" w:sz="4" w:space="0"/>
            </w:tcBorders>
            <w:vAlign w:val="center"/>
          </w:tcPr>
          <w:p w14:paraId="46A6D583">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4 </w:t>
            </w:r>
          </w:p>
        </w:tc>
      </w:tr>
    </w:tbl>
    <w:p w14:paraId="5650864E">
      <w:pPr>
        <w:widowControl w:val="0"/>
        <w:spacing w:line="440" w:lineRule="exact"/>
        <w:ind w:firstLine="476" w:firstLineChars="200"/>
        <w:rPr>
          <w:rFonts w:ascii="Times New Roman" w:hAnsi="Times New Roman" w:cs="Times New Roman"/>
          <w:b/>
          <w:bCs/>
          <w:snapToGrid w:val="0"/>
          <w:color w:val="auto"/>
          <w:w w:val="99"/>
          <w:highlight w:val="none"/>
          <w:lang w:val="zh-CN"/>
        </w:rPr>
      </w:pPr>
      <w:r>
        <w:rPr>
          <w:rFonts w:ascii="Times New Roman" w:hAnsi="Times New Roman" w:cs="Times New Roman"/>
          <w:b/>
          <w:bCs/>
          <w:snapToGrid w:val="0"/>
          <w:color w:val="auto"/>
          <w:w w:val="99"/>
          <w:highlight w:val="none"/>
          <w:lang w:val="zh-CN"/>
        </w:rPr>
        <w:t>表3</w:t>
      </w:r>
      <w:r>
        <w:rPr>
          <w:rFonts w:hint="eastAsia" w:ascii="Times New Roman" w:hAnsi="Times New Roman" w:cs="Times New Roman"/>
          <w:b/>
          <w:bCs/>
          <w:snapToGrid w:val="0"/>
          <w:color w:val="auto"/>
          <w:w w:val="99"/>
          <w:highlight w:val="none"/>
        </w:rPr>
        <w:t>.4-3</w:t>
      </w:r>
      <w:r>
        <w:rPr>
          <w:rFonts w:ascii="Times New Roman" w:hAnsi="Times New Roman" w:cs="Times New Roman"/>
          <w:b/>
          <w:bCs/>
          <w:snapToGrid w:val="0"/>
          <w:color w:val="auto"/>
          <w:w w:val="99"/>
          <w:highlight w:val="none"/>
          <w:lang w:val="zh-CN"/>
        </w:rPr>
        <w:t xml:space="preserve">    气井产水量预测表（m</w:t>
      </w:r>
      <w:r>
        <w:rPr>
          <w:rFonts w:ascii="Times New Roman" w:hAnsi="Times New Roman" w:cs="Times New Roman"/>
          <w:b/>
          <w:bCs/>
          <w:snapToGrid w:val="0"/>
          <w:color w:val="auto"/>
          <w:w w:val="99"/>
          <w:highlight w:val="none"/>
          <w:vertAlign w:val="superscript"/>
          <w:lang w:val="zh-CN"/>
        </w:rPr>
        <w:t>3</w:t>
      </w:r>
      <w:r>
        <w:rPr>
          <w:rFonts w:ascii="Times New Roman" w:hAnsi="Times New Roman" w:cs="Times New Roman"/>
          <w:b/>
          <w:bCs/>
          <w:snapToGrid w:val="0"/>
          <w:color w:val="auto"/>
          <w:w w:val="99"/>
          <w:highlight w:val="none"/>
          <w:lang w:val="zh-CN"/>
        </w:rPr>
        <w:t>/d）</w:t>
      </w:r>
    </w:p>
    <w:tbl>
      <w:tblPr>
        <w:tblStyle w:val="8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3"/>
        <w:gridCol w:w="782"/>
        <w:gridCol w:w="782"/>
        <w:gridCol w:w="782"/>
        <w:gridCol w:w="782"/>
        <w:gridCol w:w="783"/>
        <w:gridCol w:w="783"/>
        <w:gridCol w:w="783"/>
        <w:gridCol w:w="783"/>
        <w:gridCol w:w="783"/>
        <w:gridCol w:w="783"/>
      </w:tblGrid>
      <w:tr w14:paraId="5A653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782" w:type="pct"/>
            <w:tcBorders>
              <w:bottom w:val="single" w:color="auto" w:sz="4" w:space="0"/>
              <w:right w:val="single" w:color="auto" w:sz="4" w:space="0"/>
            </w:tcBorders>
            <w:vAlign w:val="center"/>
          </w:tcPr>
          <w:p w14:paraId="6A3D4BF4">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井号                              </w:t>
            </w:r>
          </w:p>
        </w:tc>
        <w:tc>
          <w:tcPr>
            <w:tcW w:w="421" w:type="pct"/>
            <w:tcBorders>
              <w:left w:val="nil"/>
              <w:bottom w:val="single" w:color="auto" w:sz="4" w:space="0"/>
              <w:right w:val="single" w:color="auto" w:sz="4" w:space="0"/>
            </w:tcBorders>
            <w:vAlign w:val="center"/>
          </w:tcPr>
          <w:p w14:paraId="4C97C5E1">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2027</w:t>
            </w:r>
          </w:p>
        </w:tc>
        <w:tc>
          <w:tcPr>
            <w:tcW w:w="421" w:type="pct"/>
            <w:tcBorders>
              <w:left w:val="nil"/>
              <w:bottom w:val="single" w:color="auto" w:sz="4" w:space="0"/>
              <w:right w:val="single" w:color="auto" w:sz="4" w:space="0"/>
            </w:tcBorders>
            <w:vAlign w:val="center"/>
          </w:tcPr>
          <w:p w14:paraId="758F1457">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2028</w:t>
            </w:r>
          </w:p>
        </w:tc>
        <w:tc>
          <w:tcPr>
            <w:tcW w:w="421" w:type="pct"/>
            <w:tcBorders>
              <w:left w:val="nil"/>
              <w:bottom w:val="single" w:color="auto" w:sz="4" w:space="0"/>
              <w:right w:val="single" w:color="auto" w:sz="4" w:space="0"/>
            </w:tcBorders>
            <w:vAlign w:val="center"/>
          </w:tcPr>
          <w:p w14:paraId="0D0C3203">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2029</w:t>
            </w:r>
          </w:p>
        </w:tc>
        <w:tc>
          <w:tcPr>
            <w:tcW w:w="421" w:type="pct"/>
            <w:tcBorders>
              <w:left w:val="nil"/>
              <w:bottom w:val="single" w:color="auto" w:sz="4" w:space="0"/>
              <w:right w:val="single" w:color="auto" w:sz="4" w:space="0"/>
            </w:tcBorders>
            <w:vAlign w:val="center"/>
          </w:tcPr>
          <w:p w14:paraId="27E75FDA">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2030</w:t>
            </w:r>
          </w:p>
        </w:tc>
        <w:tc>
          <w:tcPr>
            <w:tcW w:w="421" w:type="pct"/>
            <w:tcBorders>
              <w:left w:val="nil"/>
              <w:bottom w:val="single" w:color="auto" w:sz="4" w:space="0"/>
              <w:right w:val="single" w:color="auto" w:sz="4" w:space="0"/>
            </w:tcBorders>
            <w:vAlign w:val="center"/>
          </w:tcPr>
          <w:p w14:paraId="725501F6">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2031</w:t>
            </w:r>
          </w:p>
        </w:tc>
        <w:tc>
          <w:tcPr>
            <w:tcW w:w="421" w:type="pct"/>
            <w:tcBorders>
              <w:left w:val="nil"/>
              <w:bottom w:val="single" w:color="auto" w:sz="4" w:space="0"/>
              <w:right w:val="single" w:color="auto" w:sz="4" w:space="0"/>
            </w:tcBorders>
            <w:vAlign w:val="center"/>
          </w:tcPr>
          <w:p w14:paraId="42393D6B">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2032</w:t>
            </w:r>
          </w:p>
        </w:tc>
        <w:tc>
          <w:tcPr>
            <w:tcW w:w="421" w:type="pct"/>
            <w:tcBorders>
              <w:left w:val="nil"/>
              <w:bottom w:val="single" w:color="auto" w:sz="4" w:space="0"/>
              <w:right w:val="single" w:color="auto" w:sz="4" w:space="0"/>
            </w:tcBorders>
            <w:vAlign w:val="center"/>
          </w:tcPr>
          <w:p w14:paraId="28F5FFE0">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2033</w:t>
            </w:r>
          </w:p>
        </w:tc>
        <w:tc>
          <w:tcPr>
            <w:tcW w:w="421" w:type="pct"/>
            <w:tcBorders>
              <w:left w:val="nil"/>
              <w:bottom w:val="single" w:color="auto" w:sz="4" w:space="0"/>
              <w:right w:val="single" w:color="auto" w:sz="4" w:space="0"/>
            </w:tcBorders>
            <w:vAlign w:val="center"/>
          </w:tcPr>
          <w:p w14:paraId="0065EB3A">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2034</w:t>
            </w:r>
          </w:p>
        </w:tc>
        <w:tc>
          <w:tcPr>
            <w:tcW w:w="421" w:type="pct"/>
            <w:tcBorders>
              <w:left w:val="nil"/>
              <w:bottom w:val="single" w:color="auto" w:sz="4" w:space="0"/>
              <w:right w:val="single" w:color="auto" w:sz="4" w:space="0"/>
            </w:tcBorders>
            <w:vAlign w:val="center"/>
          </w:tcPr>
          <w:p w14:paraId="60FDC20C">
            <w:pPr>
              <w:spacing w:line="320" w:lineRule="exact"/>
              <w:jc w:val="center"/>
              <w:rPr>
                <w:rFonts w:ascii="Times New Roman" w:hAnsi="Times New Roman" w:cs="Times New Roman"/>
                <w:color w:val="auto"/>
                <w:sz w:val="21"/>
                <w:szCs w:val="21"/>
                <w:highlight w:val="none"/>
              </w:rPr>
            </w:pPr>
            <w:r>
              <w:rPr>
                <w:rFonts w:ascii="Times New Roman" w:hAnsi="Times New Roman" w:cs="Times New Roman" w:eastAsiaTheme="minorEastAsia"/>
                <w:color w:val="auto"/>
                <w:w w:val="99"/>
                <w:sz w:val="21"/>
                <w:szCs w:val="21"/>
                <w:highlight w:val="none"/>
              </w:rPr>
              <w:t>2035</w:t>
            </w:r>
          </w:p>
        </w:tc>
        <w:tc>
          <w:tcPr>
            <w:tcW w:w="421" w:type="pct"/>
            <w:tcBorders>
              <w:left w:val="nil"/>
              <w:bottom w:val="single" w:color="auto" w:sz="4" w:space="0"/>
            </w:tcBorders>
            <w:vAlign w:val="center"/>
          </w:tcPr>
          <w:p w14:paraId="020A2620">
            <w:pPr>
              <w:spacing w:line="320" w:lineRule="exact"/>
              <w:jc w:val="center"/>
              <w:rPr>
                <w:rFonts w:ascii="Times New Roman" w:hAnsi="Times New Roman" w:cs="Times New Roman"/>
                <w:color w:val="auto"/>
                <w:sz w:val="21"/>
                <w:szCs w:val="21"/>
                <w:highlight w:val="none"/>
              </w:rPr>
            </w:pPr>
            <w:r>
              <w:rPr>
                <w:rFonts w:ascii="Times New Roman" w:hAnsi="Times New Roman" w:cs="Times New Roman" w:eastAsiaTheme="minorEastAsia"/>
                <w:color w:val="auto"/>
                <w:w w:val="99"/>
                <w:sz w:val="21"/>
                <w:szCs w:val="21"/>
                <w:highlight w:val="none"/>
              </w:rPr>
              <w:t>2036</w:t>
            </w:r>
          </w:p>
        </w:tc>
      </w:tr>
      <w:tr w14:paraId="762ED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82" w:type="pct"/>
            <w:tcBorders>
              <w:top w:val="single" w:color="auto" w:sz="4" w:space="0"/>
              <w:bottom w:val="single" w:color="auto" w:sz="4" w:space="0"/>
              <w:right w:val="single" w:color="auto" w:sz="4" w:space="0"/>
            </w:tcBorders>
            <w:vAlign w:val="center"/>
          </w:tcPr>
          <w:p w14:paraId="787D1073">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徐深27-H1</w:t>
            </w:r>
          </w:p>
        </w:tc>
        <w:tc>
          <w:tcPr>
            <w:tcW w:w="421" w:type="pct"/>
            <w:tcBorders>
              <w:top w:val="single" w:color="auto" w:sz="4" w:space="0"/>
              <w:left w:val="nil"/>
              <w:bottom w:val="single" w:color="auto" w:sz="4" w:space="0"/>
              <w:right w:val="single" w:color="auto" w:sz="4" w:space="0"/>
            </w:tcBorders>
            <w:vAlign w:val="center"/>
          </w:tcPr>
          <w:p w14:paraId="70ECF69F">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3 </w:t>
            </w:r>
          </w:p>
        </w:tc>
        <w:tc>
          <w:tcPr>
            <w:tcW w:w="421" w:type="pct"/>
            <w:tcBorders>
              <w:top w:val="single" w:color="auto" w:sz="4" w:space="0"/>
              <w:left w:val="nil"/>
              <w:bottom w:val="single" w:color="auto" w:sz="4" w:space="0"/>
              <w:right w:val="single" w:color="auto" w:sz="4" w:space="0"/>
            </w:tcBorders>
            <w:vAlign w:val="center"/>
          </w:tcPr>
          <w:p w14:paraId="4DBE32DD">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3 </w:t>
            </w:r>
          </w:p>
        </w:tc>
        <w:tc>
          <w:tcPr>
            <w:tcW w:w="421" w:type="pct"/>
            <w:tcBorders>
              <w:top w:val="single" w:color="auto" w:sz="4" w:space="0"/>
              <w:left w:val="nil"/>
              <w:bottom w:val="single" w:color="auto" w:sz="4" w:space="0"/>
              <w:right w:val="single" w:color="auto" w:sz="4" w:space="0"/>
            </w:tcBorders>
            <w:vAlign w:val="center"/>
          </w:tcPr>
          <w:p w14:paraId="14B220EE">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3 </w:t>
            </w:r>
          </w:p>
        </w:tc>
        <w:tc>
          <w:tcPr>
            <w:tcW w:w="421" w:type="pct"/>
            <w:tcBorders>
              <w:top w:val="single" w:color="auto" w:sz="4" w:space="0"/>
              <w:left w:val="nil"/>
              <w:bottom w:val="single" w:color="auto" w:sz="4" w:space="0"/>
              <w:right w:val="single" w:color="auto" w:sz="4" w:space="0"/>
            </w:tcBorders>
            <w:vAlign w:val="center"/>
          </w:tcPr>
          <w:p w14:paraId="10A5F95F">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3 </w:t>
            </w:r>
          </w:p>
        </w:tc>
        <w:tc>
          <w:tcPr>
            <w:tcW w:w="421" w:type="pct"/>
            <w:tcBorders>
              <w:top w:val="single" w:color="auto" w:sz="4" w:space="0"/>
              <w:left w:val="nil"/>
              <w:bottom w:val="single" w:color="auto" w:sz="4" w:space="0"/>
              <w:right w:val="single" w:color="auto" w:sz="4" w:space="0"/>
            </w:tcBorders>
            <w:vAlign w:val="center"/>
          </w:tcPr>
          <w:p w14:paraId="4A5C59BF">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3 </w:t>
            </w:r>
          </w:p>
        </w:tc>
        <w:tc>
          <w:tcPr>
            <w:tcW w:w="421" w:type="pct"/>
            <w:tcBorders>
              <w:top w:val="single" w:color="auto" w:sz="4" w:space="0"/>
              <w:left w:val="nil"/>
              <w:bottom w:val="single" w:color="auto" w:sz="4" w:space="0"/>
              <w:right w:val="single" w:color="auto" w:sz="4" w:space="0"/>
            </w:tcBorders>
            <w:vAlign w:val="center"/>
          </w:tcPr>
          <w:p w14:paraId="53EBE2FB">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2 </w:t>
            </w:r>
          </w:p>
        </w:tc>
        <w:tc>
          <w:tcPr>
            <w:tcW w:w="421" w:type="pct"/>
            <w:tcBorders>
              <w:top w:val="single" w:color="auto" w:sz="4" w:space="0"/>
              <w:left w:val="nil"/>
              <w:bottom w:val="single" w:color="auto" w:sz="4" w:space="0"/>
              <w:right w:val="single" w:color="auto" w:sz="4" w:space="0"/>
            </w:tcBorders>
            <w:vAlign w:val="center"/>
          </w:tcPr>
          <w:p w14:paraId="1B6F94EC">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2 </w:t>
            </w:r>
          </w:p>
        </w:tc>
        <w:tc>
          <w:tcPr>
            <w:tcW w:w="421" w:type="pct"/>
            <w:tcBorders>
              <w:top w:val="single" w:color="auto" w:sz="4" w:space="0"/>
              <w:left w:val="nil"/>
              <w:bottom w:val="single" w:color="auto" w:sz="4" w:space="0"/>
              <w:right w:val="single" w:color="auto" w:sz="4" w:space="0"/>
            </w:tcBorders>
            <w:vAlign w:val="center"/>
          </w:tcPr>
          <w:p w14:paraId="22B0DE21">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2 </w:t>
            </w:r>
          </w:p>
        </w:tc>
        <w:tc>
          <w:tcPr>
            <w:tcW w:w="421" w:type="pct"/>
            <w:tcBorders>
              <w:top w:val="single" w:color="auto" w:sz="4" w:space="0"/>
              <w:left w:val="nil"/>
              <w:bottom w:val="single" w:color="auto" w:sz="4" w:space="0"/>
              <w:right w:val="single" w:color="auto" w:sz="4" w:space="0"/>
            </w:tcBorders>
            <w:vAlign w:val="center"/>
          </w:tcPr>
          <w:p w14:paraId="76465AE5">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2 </w:t>
            </w:r>
          </w:p>
        </w:tc>
        <w:tc>
          <w:tcPr>
            <w:tcW w:w="421" w:type="pct"/>
            <w:tcBorders>
              <w:top w:val="single" w:color="auto" w:sz="4" w:space="0"/>
              <w:left w:val="nil"/>
              <w:bottom w:val="single" w:color="auto" w:sz="4" w:space="0"/>
            </w:tcBorders>
            <w:vAlign w:val="center"/>
          </w:tcPr>
          <w:p w14:paraId="041A0B44">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2 </w:t>
            </w:r>
          </w:p>
        </w:tc>
      </w:tr>
    </w:tbl>
    <w:p w14:paraId="7EFF36B1">
      <w:pPr>
        <w:widowControl w:val="0"/>
        <w:spacing w:line="440" w:lineRule="exact"/>
        <w:ind w:firstLine="476" w:firstLineChars="200"/>
        <w:rPr>
          <w:rFonts w:ascii="Times New Roman" w:hAnsi="Times New Roman" w:cs="Times New Roman"/>
          <w:b/>
          <w:bCs/>
          <w:snapToGrid w:val="0"/>
          <w:color w:val="auto"/>
          <w:w w:val="99"/>
          <w:highlight w:val="none"/>
          <w:lang w:val="zh-CN"/>
        </w:rPr>
      </w:pPr>
      <w:r>
        <w:rPr>
          <w:rFonts w:ascii="Times New Roman" w:hAnsi="Times New Roman" w:cs="Times New Roman"/>
          <w:b/>
          <w:bCs/>
          <w:snapToGrid w:val="0"/>
          <w:color w:val="auto"/>
          <w:w w:val="99"/>
          <w:highlight w:val="none"/>
          <w:lang w:val="zh-CN"/>
        </w:rPr>
        <w:t>表3</w:t>
      </w:r>
      <w:r>
        <w:rPr>
          <w:rFonts w:hint="eastAsia" w:ascii="Times New Roman" w:hAnsi="Times New Roman" w:cs="Times New Roman"/>
          <w:b/>
          <w:bCs/>
          <w:snapToGrid w:val="0"/>
          <w:color w:val="auto"/>
          <w:w w:val="99"/>
          <w:highlight w:val="none"/>
        </w:rPr>
        <w:t>.4-4</w:t>
      </w:r>
      <w:r>
        <w:rPr>
          <w:rFonts w:ascii="Times New Roman" w:hAnsi="Times New Roman" w:cs="Times New Roman"/>
          <w:b/>
          <w:bCs/>
          <w:snapToGrid w:val="0"/>
          <w:color w:val="auto"/>
          <w:w w:val="99"/>
          <w:highlight w:val="none"/>
          <w:lang w:val="zh-CN"/>
        </w:rPr>
        <w:t xml:space="preserve">   气井正常开井压力预测表（MPa）</w:t>
      </w:r>
    </w:p>
    <w:tbl>
      <w:tblPr>
        <w:tblStyle w:val="8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0"/>
        <w:gridCol w:w="714"/>
        <w:gridCol w:w="788"/>
        <w:gridCol w:w="788"/>
        <w:gridCol w:w="790"/>
        <w:gridCol w:w="790"/>
        <w:gridCol w:w="790"/>
        <w:gridCol w:w="790"/>
        <w:gridCol w:w="790"/>
        <w:gridCol w:w="790"/>
        <w:gridCol w:w="790"/>
      </w:tblGrid>
      <w:tr w14:paraId="3658A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786" w:type="pct"/>
            <w:vAlign w:val="center"/>
          </w:tcPr>
          <w:p w14:paraId="1FE21A04">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井号                              </w:t>
            </w:r>
          </w:p>
        </w:tc>
        <w:tc>
          <w:tcPr>
            <w:tcW w:w="385" w:type="pct"/>
            <w:vAlign w:val="center"/>
          </w:tcPr>
          <w:p w14:paraId="400CCCB7">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2027</w:t>
            </w:r>
          </w:p>
        </w:tc>
        <w:tc>
          <w:tcPr>
            <w:tcW w:w="424" w:type="pct"/>
            <w:vAlign w:val="center"/>
          </w:tcPr>
          <w:p w14:paraId="46166A56">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2028</w:t>
            </w:r>
          </w:p>
        </w:tc>
        <w:tc>
          <w:tcPr>
            <w:tcW w:w="424" w:type="pct"/>
            <w:vAlign w:val="center"/>
          </w:tcPr>
          <w:p w14:paraId="64FA479F">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2029</w:t>
            </w:r>
          </w:p>
        </w:tc>
        <w:tc>
          <w:tcPr>
            <w:tcW w:w="425" w:type="pct"/>
            <w:vAlign w:val="center"/>
          </w:tcPr>
          <w:p w14:paraId="709A8B8E">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2030</w:t>
            </w:r>
          </w:p>
        </w:tc>
        <w:tc>
          <w:tcPr>
            <w:tcW w:w="425" w:type="pct"/>
            <w:vAlign w:val="center"/>
          </w:tcPr>
          <w:p w14:paraId="73E8BCE5">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2031</w:t>
            </w:r>
          </w:p>
        </w:tc>
        <w:tc>
          <w:tcPr>
            <w:tcW w:w="425" w:type="pct"/>
            <w:vAlign w:val="center"/>
          </w:tcPr>
          <w:p w14:paraId="42A39633">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2032</w:t>
            </w:r>
          </w:p>
        </w:tc>
        <w:tc>
          <w:tcPr>
            <w:tcW w:w="425" w:type="pct"/>
            <w:vAlign w:val="center"/>
          </w:tcPr>
          <w:p w14:paraId="18C609DB">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2033</w:t>
            </w:r>
          </w:p>
        </w:tc>
        <w:tc>
          <w:tcPr>
            <w:tcW w:w="425" w:type="pct"/>
            <w:vAlign w:val="center"/>
          </w:tcPr>
          <w:p w14:paraId="0074DC8C">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2034</w:t>
            </w:r>
          </w:p>
        </w:tc>
        <w:tc>
          <w:tcPr>
            <w:tcW w:w="425" w:type="pct"/>
            <w:vAlign w:val="center"/>
          </w:tcPr>
          <w:p w14:paraId="1E3D8D00">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2035</w:t>
            </w:r>
          </w:p>
        </w:tc>
        <w:tc>
          <w:tcPr>
            <w:tcW w:w="425" w:type="pct"/>
            <w:vAlign w:val="center"/>
          </w:tcPr>
          <w:p w14:paraId="3A56FDF0">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2036</w:t>
            </w:r>
          </w:p>
        </w:tc>
      </w:tr>
      <w:tr w14:paraId="72DBC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86" w:type="pct"/>
            <w:vAlign w:val="center"/>
          </w:tcPr>
          <w:p w14:paraId="017FE761">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徐深27-H1</w:t>
            </w:r>
          </w:p>
        </w:tc>
        <w:tc>
          <w:tcPr>
            <w:tcW w:w="385" w:type="pct"/>
            <w:vAlign w:val="center"/>
          </w:tcPr>
          <w:p w14:paraId="22DC1762">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26.0 </w:t>
            </w:r>
          </w:p>
        </w:tc>
        <w:tc>
          <w:tcPr>
            <w:tcW w:w="424" w:type="pct"/>
            <w:vAlign w:val="center"/>
          </w:tcPr>
          <w:p w14:paraId="7079C558">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24.9 </w:t>
            </w:r>
          </w:p>
        </w:tc>
        <w:tc>
          <w:tcPr>
            <w:tcW w:w="424" w:type="pct"/>
            <w:vAlign w:val="center"/>
          </w:tcPr>
          <w:p w14:paraId="0A94B5E6">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24.3 </w:t>
            </w:r>
          </w:p>
        </w:tc>
        <w:tc>
          <w:tcPr>
            <w:tcW w:w="425" w:type="pct"/>
            <w:vAlign w:val="center"/>
          </w:tcPr>
          <w:p w14:paraId="0612EA3C">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23.7 </w:t>
            </w:r>
          </w:p>
        </w:tc>
        <w:tc>
          <w:tcPr>
            <w:tcW w:w="425" w:type="pct"/>
            <w:vAlign w:val="center"/>
          </w:tcPr>
          <w:p w14:paraId="1EB0C3AF">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23.2 </w:t>
            </w:r>
          </w:p>
        </w:tc>
        <w:tc>
          <w:tcPr>
            <w:tcW w:w="425" w:type="pct"/>
            <w:vAlign w:val="center"/>
          </w:tcPr>
          <w:p w14:paraId="7E4FD9C7">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22.6 </w:t>
            </w:r>
          </w:p>
        </w:tc>
        <w:tc>
          <w:tcPr>
            <w:tcW w:w="425" w:type="pct"/>
            <w:vAlign w:val="center"/>
          </w:tcPr>
          <w:p w14:paraId="586292E4">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22.2 </w:t>
            </w:r>
          </w:p>
        </w:tc>
        <w:tc>
          <w:tcPr>
            <w:tcW w:w="425" w:type="pct"/>
            <w:vAlign w:val="center"/>
          </w:tcPr>
          <w:p w14:paraId="58AA085F">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21.7 </w:t>
            </w:r>
          </w:p>
        </w:tc>
        <w:tc>
          <w:tcPr>
            <w:tcW w:w="425" w:type="pct"/>
            <w:vAlign w:val="center"/>
          </w:tcPr>
          <w:p w14:paraId="0E1012A9">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21.4 </w:t>
            </w:r>
          </w:p>
        </w:tc>
        <w:tc>
          <w:tcPr>
            <w:tcW w:w="425" w:type="pct"/>
            <w:vAlign w:val="center"/>
          </w:tcPr>
          <w:p w14:paraId="19A89153">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21.0 </w:t>
            </w:r>
          </w:p>
        </w:tc>
      </w:tr>
    </w:tbl>
    <w:p w14:paraId="752A6A4E">
      <w:pPr>
        <w:pStyle w:val="7"/>
        <w:widowControl w:val="0"/>
        <w:spacing w:before="60" w:after="60" w:line="440" w:lineRule="exact"/>
        <w:jc w:val="both"/>
        <w:rPr>
          <w:rFonts w:eastAsia="宋体"/>
          <w:b/>
          <w:color w:val="auto"/>
          <w:w w:val="99"/>
          <w:kern w:val="2"/>
          <w:sz w:val="24"/>
          <w:szCs w:val="24"/>
          <w:highlight w:val="none"/>
        </w:rPr>
      </w:pPr>
      <w:r>
        <w:rPr>
          <w:rFonts w:eastAsia="宋体"/>
          <w:b/>
          <w:color w:val="auto"/>
          <w:w w:val="99"/>
          <w:kern w:val="2"/>
          <w:sz w:val="24"/>
          <w:szCs w:val="24"/>
          <w:highlight w:val="none"/>
        </w:rPr>
        <w:t>3.</w:t>
      </w:r>
      <w:r>
        <w:rPr>
          <w:rFonts w:hint="eastAsia" w:eastAsia="宋体"/>
          <w:b/>
          <w:color w:val="auto"/>
          <w:w w:val="99"/>
          <w:kern w:val="2"/>
          <w:sz w:val="24"/>
          <w:szCs w:val="24"/>
          <w:highlight w:val="none"/>
        </w:rPr>
        <w:t>4.2气井气组成及产出水性质</w:t>
      </w:r>
    </w:p>
    <w:p w14:paraId="773D293E">
      <w:pPr>
        <w:pStyle w:val="104"/>
        <w:spacing w:line="440" w:lineRule="exact"/>
        <w:ind w:left="0" w:firstLine="476" w:firstLineChars="200"/>
        <w:jc w:val="both"/>
        <w:rPr>
          <w:rFonts w:ascii="Times New Roman" w:hAnsi="Times New Roman" w:eastAsia="宋体"/>
          <w:b/>
          <w:bCs/>
          <w:snapToGrid w:val="0"/>
          <w:color w:val="auto"/>
          <w:w w:val="99"/>
          <w:sz w:val="24"/>
          <w:szCs w:val="24"/>
          <w:highlight w:val="none"/>
        </w:rPr>
      </w:pPr>
      <w:r>
        <w:rPr>
          <w:rFonts w:ascii="Times New Roman" w:hAnsi="Times New Roman" w:eastAsia="宋体"/>
          <w:b/>
          <w:bCs/>
          <w:snapToGrid w:val="0"/>
          <w:color w:val="auto"/>
          <w:w w:val="99"/>
          <w:sz w:val="24"/>
          <w:szCs w:val="24"/>
          <w:highlight w:val="none"/>
        </w:rPr>
        <w:t>表</w:t>
      </w:r>
      <w:r>
        <w:rPr>
          <w:rFonts w:hint="eastAsia" w:ascii="Times New Roman" w:hAnsi="Times New Roman" w:eastAsia="宋体"/>
          <w:b/>
          <w:bCs/>
          <w:snapToGrid w:val="0"/>
          <w:color w:val="auto"/>
          <w:w w:val="99"/>
          <w:sz w:val="24"/>
          <w:szCs w:val="24"/>
          <w:highlight w:val="none"/>
        </w:rPr>
        <w:t>3.4-5</w:t>
      </w:r>
      <w:r>
        <w:rPr>
          <w:rFonts w:ascii="Times New Roman" w:hAnsi="Times New Roman" w:eastAsia="宋体"/>
          <w:b/>
          <w:bCs/>
          <w:snapToGrid w:val="0"/>
          <w:color w:val="auto"/>
          <w:w w:val="99"/>
          <w:sz w:val="24"/>
          <w:szCs w:val="24"/>
          <w:highlight w:val="none"/>
        </w:rPr>
        <w:t xml:space="preserve">      气井气组分表</w:t>
      </w:r>
    </w:p>
    <w:tbl>
      <w:tblPr>
        <w:tblStyle w:val="8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5"/>
        <w:gridCol w:w="1115"/>
        <w:gridCol w:w="1027"/>
        <w:gridCol w:w="1027"/>
        <w:gridCol w:w="1027"/>
        <w:gridCol w:w="1027"/>
        <w:gridCol w:w="1027"/>
        <w:gridCol w:w="1034"/>
      </w:tblGrid>
      <w:tr w14:paraId="36F0C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1074" w:type="pct"/>
            <w:tcBorders>
              <w:bottom w:val="single" w:color="auto" w:sz="4" w:space="0"/>
              <w:right w:val="single" w:color="auto" w:sz="4" w:space="0"/>
            </w:tcBorders>
            <w:vAlign w:val="center"/>
          </w:tcPr>
          <w:p w14:paraId="006439EC">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井号</w:t>
            </w:r>
          </w:p>
        </w:tc>
        <w:tc>
          <w:tcPr>
            <w:tcW w:w="600" w:type="pct"/>
            <w:tcBorders>
              <w:left w:val="nil"/>
              <w:bottom w:val="single" w:color="auto" w:sz="4" w:space="0"/>
              <w:right w:val="single" w:color="auto" w:sz="4" w:space="0"/>
            </w:tcBorders>
            <w:vAlign w:val="center"/>
          </w:tcPr>
          <w:p w14:paraId="200EB2BB">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密度</w:t>
            </w:r>
          </w:p>
          <w:p w14:paraId="6EEB78EA">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（g/cm</w:t>
            </w:r>
            <w:r>
              <w:rPr>
                <w:rFonts w:hint="default" w:ascii="Times New Roman" w:hAnsi="Times New Roman" w:eastAsiaTheme="minorEastAsia"/>
                <w:color w:val="auto"/>
                <w:w w:val="99"/>
                <w:highlight w:val="none"/>
                <w:vertAlign w:val="superscript"/>
              </w:rPr>
              <w:t>3</w:t>
            </w:r>
            <w:r>
              <w:rPr>
                <w:rFonts w:hint="default" w:ascii="Times New Roman" w:hAnsi="Times New Roman" w:eastAsiaTheme="minorEastAsia"/>
                <w:color w:val="auto"/>
                <w:w w:val="99"/>
                <w:highlight w:val="none"/>
              </w:rPr>
              <w:t>）</w:t>
            </w:r>
          </w:p>
        </w:tc>
        <w:tc>
          <w:tcPr>
            <w:tcW w:w="553" w:type="pct"/>
            <w:tcBorders>
              <w:left w:val="nil"/>
              <w:bottom w:val="single" w:color="auto" w:sz="4" w:space="0"/>
              <w:right w:val="single" w:color="auto" w:sz="4" w:space="0"/>
            </w:tcBorders>
            <w:vAlign w:val="center"/>
          </w:tcPr>
          <w:p w14:paraId="5A8A8E16">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C1</w:t>
            </w:r>
          </w:p>
          <w:p w14:paraId="1079BD2F">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w:t>
            </w:r>
          </w:p>
        </w:tc>
        <w:tc>
          <w:tcPr>
            <w:tcW w:w="553" w:type="pct"/>
            <w:tcBorders>
              <w:left w:val="nil"/>
              <w:bottom w:val="single" w:color="auto" w:sz="4" w:space="0"/>
              <w:right w:val="single" w:color="auto" w:sz="4" w:space="0"/>
            </w:tcBorders>
            <w:vAlign w:val="center"/>
          </w:tcPr>
          <w:p w14:paraId="295B69B9">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C2</w:t>
            </w:r>
          </w:p>
          <w:p w14:paraId="32F3BA25">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w:t>
            </w:r>
          </w:p>
        </w:tc>
        <w:tc>
          <w:tcPr>
            <w:tcW w:w="553" w:type="pct"/>
            <w:tcBorders>
              <w:left w:val="nil"/>
              <w:bottom w:val="single" w:color="auto" w:sz="4" w:space="0"/>
              <w:right w:val="single" w:color="auto" w:sz="4" w:space="0"/>
            </w:tcBorders>
            <w:vAlign w:val="center"/>
          </w:tcPr>
          <w:p w14:paraId="4B38F269">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C3</w:t>
            </w:r>
          </w:p>
          <w:p w14:paraId="62B87F3C">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w:t>
            </w:r>
          </w:p>
        </w:tc>
        <w:tc>
          <w:tcPr>
            <w:tcW w:w="553" w:type="pct"/>
            <w:tcBorders>
              <w:left w:val="nil"/>
              <w:bottom w:val="single" w:color="auto" w:sz="4" w:space="0"/>
              <w:right w:val="single" w:color="auto" w:sz="4" w:space="0"/>
            </w:tcBorders>
            <w:vAlign w:val="center"/>
          </w:tcPr>
          <w:p w14:paraId="5AF5F983">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N</w:t>
            </w:r>
            <w:r>
              <w:rPr>
                <w:rFonts w:hint="default" w:ascii="Times New Roman" w:hAnsi="Times New Roman" w:eastAsiaTheme="minorEastAsia"/>
                <w:color w:val="auto"/>
                <w:w w:val="99"/>
                <w:highlight w:val="none"/>
                <w:vertAlign w:val="subscript"/>
              </w:rPr>
              <w:t>2</w:t>
            </w:r>
          </w:p>
          <w:p w14:paraId="2971F2D4">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w:t>
            </w:r>
          </w:p>
        </w:tc>
        <w:tc>
          <w:tcPr>
            <w:tcW w:w="553" w:type="pct"/>
            <w:tcBorders>
              <w:left w:val="nil"/>
              <w:bottom w:val="single" w:color="auto" w:sz="4" w:space="0"/>
              <w:right w:val="single" w:color="auto" w:sz="4" w:space="0"/>
            </w:tcBorders>
            <w:vAlign w:val="center"/>
          </w:tcPr>
          <w:p w14:paraId="137D797F">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CO</w:t>
            </w:r>
            <w:r>
              <w:rPr>
                <w:rFonts w:hint="default" w:ascii="Times New Roman" w:hAnsi="Times New Roman" w:eastAsiaTheme="minorEastAsia"/>
                <w:color w:val="auto"/>
                <w:w w:val="99"/>
                <w:highlight w:val="none"/>
                <w:vertAlign w:val="subscript"/>
              </w:rPr>
              <w:t>2</w:t>
            </w:r>
          </w:p>
          <w:p w14:paraId="4FAAC5BE">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w:t>
            </w:r>
          </w:p>
        </w:tc>
        <w:tc>
          <w:tcPr>
            <w:tcW w:w="556" w:type="pct"/>
            <w:tcBorders>
              <w:left w:val="nil"/>
              <w:bottom w:val="single" w:color="auto" w:sz="4" w:space="0"/>
            </w:tcBorders>
            <w:vAlign w:val="center"/>
          </w:tcPr>
          <w:p w14:paraId="6570E43C">
            <w:pPr>
              <w:pStyle w:val="102"/>
              <w:spacing w:line="240" w:lineRule="auto"/>
              <w:ind w:left="0" w:firstLine="0"/>
              <w:rPr>
                <w:rFonts w:hint="default" w:ascii="Times New Roman" w:hAnsi="Times New Roman" w:eastAsiaTheme="minorEastAsia"/>
                <w:color w:val="auto"/>
                <w:w w:val="99"/>
                <w:highlight w:val="none"/>
              </w:rPr>
            </w:pPr>
            <w:r>
              <w:rPr>
                <w:color w:val="auto"/>
                <w:highlight w:val="none"/>
              </w:rPr>
              <w:t>参考</w:t>
            </w:r>
          </w:p>
        </w:tc>
      </w:tr>
      <w:tr w14:paraId="2A744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074" w:type="pct"/>
            <w:tcBorders>
              <w:top w:val="single" w:color="auto" w:sz="4" w:space="0"/>
              <w:bottom w:val="single" w:color="auto" w:sz="4" w:space="0"/>
              <w:right w:val="single" w:color="auto" w:sz="4" w:space="0"/>
            </w:tcBorders>
            <w:vAlign w:val="center"/>
          </w:tcPr>
          <w:p w14:paraId="4DF4AFD9">
            <w:pPr>
              <w:pStyle w:val="173"/>
              <w:tabs>
                <w:tab w:val="left" w:pos="3480"/>
              </w:tabs>
              <w:spacing w:line="360" w:lineRule="exact"/>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徐深27-H1</w:t>
            </w:r>
          </w:p>
        </w:tc>
        <w:tc>
          <w:tcPr>
            <w:tcW w:w="600" w:type="pct"/>
            <w:tcBorders>
              <w:top w:val="single" w:color="auto" w:sz="4" w:space="0"/>
              <w:left w:val="nil"/>
              <w:bottom w:val="single" w:color="auto" w:sz="4" w:space="0"/>
              <w:right w:val="single" w:color="auto" w:sz="4" w:space="0"/>
            </w:tcBorders>
            <w:vAlign w:val="center"/>
          </w:tcPr>
          <w:p w14:paraId="3F0AE7EE">
            <w:pPr>
              <w:pStyle w:val="173"/>
              <w:tabs>
                <w:tab w:val="left" w:pos="3480"/>
              </w:tabs>
              <w:spacing w:line="360" w:lineRule="exact"/>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 xml:space="preserve">0.60 </w:t>
            </w:r>
          </w:p>
        </w:tc>
        <w:tc>
          <w:tcPr>
            <w:tcW w:w="553" w:type="pct"/>
            <w:tcBorders>
              <w:top w:val="single" w:color="auto" w:sz="4" w:space="0"/>
              <w:left w:val="nil"/>
              <w:bottom w:val="single" w:color="auto" w:sz="4" w:space="0"/>
              <w:right w:val="single" w:color="auto" w:sz="4" w:space="0"/>
            </w:tcBorders>
            <w:vAlign w:val="center"/>
          </w:tcPr>
          <w:p w14:paraId="207075F9">
            <w:pPr>
              <w:pStyle w:val="173"/>
              <w:tabs>
                <w:tab w:val="left" w:pos="3480"/>
              </w:tabs>
              <w:spacing w:line="360" w:lineRule="exact"/>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 xml:space="preserve">91.81 </w:t>
            </w:r>
          </w:p>
        </w:tc>
        <w:tc>
          <w:tcPr>
            <w:tcW w:w="553" w:type="pct"/>
            <w:tcBorders>
              <w:top w:val="single" w:color="auto" w:sz="4" w:space="0"/>
              <w:left w:val="nil"/>
              <w:bottom w:val="single" w:color="auto" w:sz="4" w:space="0"/>
              <w:right w:val="single" w:color="auto" w:sz="4" w:space="0"/>
            </w:tcBorders>
            <w:vAlign w:val="center"/>
          </w:tcPr>
          <w:p w14:paraId="156A8323">
            <w:pPr>
              <w:pStyle w:val="173"/>
              <w:tabs>
                <w:tab w:val="left" w:pos="3480"/>
              </w:tabs>
              <w:spacing w:line="360" w:lineRule="exact"/>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 xml:space="preserve">1.26 </w:t>
            </w:r>
          </w:p>
        </w:tc>
        <w:tc>
          <w:tcPr>
            <w:tcW w:w="553" w:type="pct"/>
            <w:tcBorders>
              <w:top w:val="single" w:color="auto" w:sz="4" w:space="0"/>
              <w:left w:val="nil"/>
              <w:bottom w:val="single" w:color="auto" w:sz="4" w:space="0"/>
              <w:right w:val="single" w:color="auto" w:sz="4" w:space="0"/>
            </w:tcBorders>
            <w:vAlign w:val="center"/>
          </w:tcPr>
          <w:p w14:paraId="3235999A">
            <w:pPr>
              <w:pStyle w:val="173"/>
              <w:tabs>
                <w:tab w:val="left" w:pos="3480"/>
              </w:tabs>
              <w:spacing w:line="360" w:lineRule="exact"/>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 xml:space="preserve">0.38 </w:t>
            </w:r>
          </w:p>
        </w:tc>
        <w:tc>
          <w:tcPr>
            <w:tcW w:w="553" w:type="pct"/>
            <w:tcBorders>
              <w:top w:val="single" w:color="auto" w:sz="4" w:space="0"/>
              <w:left w:val="nil"/>
              <w:bottom w:val="single" w:color="auto" w:sz="4" w:space="0"/>
              <w:right w:val="single" w:color="auto" w:sz="4" w:space="0"/>
            </w:tcBorders>
            <w:vAlign w:val="center"/>
          </w:tcPr>
          <w:p w14:paraId="4D527226">
            <w:pPr>
              <w:pStyle w:val="173"/>
              <w:tabs>
                <w:tab w:val="left" w:pos="3480"/>
              </w:tabs>
              <w:spacing w:line="360" w:lineRule="exact"/>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 xml:space="preserve">1.53 </w:t>
            </w:r>
          </w:p>
        </w:tc>
        <w:tc>
          <w:tcPr>
            <w:tcW w:w="553" w:type="pct"/>
            <w:tcBorders>
              <w:top w:val="single" w:color="auto" w:sz="4" w:space="0"/>
              <w:left w:val="nil"/>
              <w:bottom w:val="single" w:color="auto" w:sz="4" w:space="0"/>
              <w:right w:val="single" w:color="auto" w:sz="4" w:space="0"/>
            </w:tcBorders>
            <w:vAlign w:val="center"/>
          </w:tcPr>
          <w:p w14:paraId="6EF20766">
            <w:pPr>
              <w:pStyle w:val="173"/>
              <w:tabs>
                <w:tab w:val="left" w:pos="3480"/>
              </w:tabs>
              <w:spacing w:line="360" w:lineRule="exact"/>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 xml:space="preserve">4.26 </w:t>
            </w:r>
          </w:p>
        </w:tc>
        <w:tc>
          <w:tcPr>
            <w:tcW w:w="556" w:type="pct"/>
            <w:tcBorders>
              <w:top w:val="single" w:color="auto" w:sz="4" w:space="0"/>
              <w:left w:val="nil"/>
              <w:bottom w:val="single" w:color="auto" w:sz="4" w:space="0"/>
            </w:tcBorders>
            <w:vAlign w:val="center"/>
          </w:tcPr>
          <w:p w14:paraId="5612CDF6">
            <w:pPr>
              <w:pStyle w:val="173"/>
              <w:tabs>
                <w:tab w:val="left" w:pos="3480"/>
              </w:tabs>
              <w:spacing w:line="360" w:lineRule="exact"/>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徐深</w:t>
            </w:r>
            <w:r>
              <w:rPr>
                <w:rFonts w:ascii="Times New Roman" w:hAnsi="Times New Roman" w:eastAsiaTheme="minorEastAsia"/>
                <w:color w:val="auto"/>
                <w:w w:val="99"/>
                <w:highlight w:val="none"/>
              </w:rPr>
              <w:t>27</w:t>
            </w:r>
          </w:p>
        </w:tc>
      </w:tr>
    </w:tbl>
    <w:p w14:paraId="49780FC0">
      <w:pPr>
        <w:spacing w:line="440" w:lineRule="exact"/>
        <w:ind w:firstLine="474" w:firstLineChars="200"/>
        <w:jc w:val="both"/>
        <w:rPr>
          <w:rFonts w:ascii="Times New Roman" w:hAnsi="Times New Roman" w:cs="Times New Roman"/>
          <w:snapToGrid w:val="0"/>
          <w:color w:val="auto"/>
          <w:w w:val="99"/>
          <w:highlight w:val="none"/>
        </w:rPr>
      </w:pPr>
      <w:r>
        <w:rPr>
          <w:rFonts w:ascii="Times New Roman" w:hAnsi="Times New Roman" w:cs="Times New Roman"/>
          <w:snapToGrid w:val="0"/>
          <w:color w:val="auto"/>
          <w:w w:val="99"/>
          <w:highlight w:val="none"/>
        </w:rPr>
        <w:t>对于湿天然气，二氧化碳分压小于 0.021MPa 时，为弱腐蚀环境，不需要腐蚀控制；二氧化碳分压在 0.021～0.21MPa 时，为中等腐蚀环境，宜采用腐蚀控制；二氧化碳分压大于 0.21MPa 时，为强腐蚀环境，应采取防腐蚀措施。</w:t>
      </w:r>
    </w:p>
    <w:p w14:paraId="1E0109C0">
      <w:pPr>
        <w:spacing w:line="440" w:lineRule="exact"/>
        <w:ind w:firstLine="474" w:firstLineChars="200"/>
        <w:jc w:val="both"/>
        <w:rPr>
          <w:rFonts w:ascii="Times New Roman" w:hAnsi="Times New Roman" w:cs="Times New Roman"/>
          <w:snapToGrid w:val="0"/>
          <w:color w:val="auto"/>
          <w:w w:val="99"/>
          <w:highlight w:val="none"/>
        </w:rPr>
      </w:pPr>
      <w:r>
        <w:rPr>
          <w:rFonts w:ascii="Times New Roman" w:hAnsi="Times New Roman" w:cs="Times New Roman"/>
          <w:snapToGrid w:val="0"/>
          <w:color w:val="auto"/>
          <w:w w:val="99"/>
          <w:highlight w:val="none"/>
        </w:rPr>
        <w:t>本次基建徐深27-H1气井气，按照开井压力计算，属于严重腐蚀情况，见表3</w:t>
      </w:r>
      <w:r>
        <w:rPr>
          <w:rFonts w:hint="eastAsia" w:ascii="Times New Roman" w:hAnsi="Times New Roman" w:cs="Times New Roman"/>
          <w:snapToGrid w:val="0"/>
          <w:color w:val="auto"/>
          <w:w w:val="99"/>
          <w:highlight w:val="none"/>
        </w:rPr>
        <w:t>.4-6</w:t>
      </w:r>
      <w:r>
        <w:rPr>
          <w:rFonts w:ascii="Times New Roman" w:hAnsi="Times New Roman" w:cs="Times New Roman"/>
          <w:snapToGrid w:val="0"/>
          <w:color w:val="auto"/>
          <w:w w:val="99"/>
          <w:highlight w:val="none"/>
        </w:rPr>
        <w:t>。</w:t>
      </w:r>
    </w:p>
    <w:p w14:paraId="28DFCBCA">
      <w:pPr>
        <w:widowControl w:val="0"/>
        <w:spacing w:line="440" w:lineRule="exact"/>
        <w:ind w:firstLine="476" w:firstLineChars="200"/>
        <w:rPr>
          <w:rFonts w:ascii="Times New Roman" w:hAnsi="Times New Roman" w:cs="Times New Roman"/>
          <w:b/>
          <w:bCs/>
          <w:snapToGrid w:val="0"/>
          <w:color w:val="auto"/>
          <w:w w:val="99"/>
          <w:highlight w:val="none"/>
        </w:rPr>
      </w:pPr>
      <w:r>
        <w:rPr>
          <w:rFonts w:ascii="Times New Roman" w:hAnsi="Times New Roman" w:cs="Times New Roman"/>
          <w:b/>
          <w:bCs/>
          <w:snapToGrid w:val="0"/>
          <w:color w:val="auto"/>
          <w:w w:val="99"/>
          <w:highlight w:val="none"/>
        </w:rPr>
        <w:t>表3</w:t>
      </w:r>
      <w:r>
        <w:rPr>
          <w:rFonts w:hint="eastAsia" w:ascii="Times New Roman" w:hAnsi="Times New Roman" w:cs="Times New Roman"/>
          <w:b/>
          <w:bCs/>
          <w:snapToGrid w:val="0"/>
          <w:color w:val="auto"/>
          <w:w w:val="99"/>
          <w:highlight w:val="none"/>
        </w:rPr>
        <w:t>.4-6</w:t>
      </w:r>
      <w:r>
        <w:rPr>
          <w:rFonts w:ascii="Times New Roman" w:hAnsi="Times New Roman" w:cs="Times New Roman"/>
          <w:b/>
          <w:bCs/>
          <w:snapToGrid w:val="0"/>
          <w:color w:val="auto"/>
          <w:w w:val="99"/>
          <w:highlight w:val="none"/>
        </w:rPr>
        <w:t xml:space="preserve">      CO</w:t>
      </w:r>
      <w:r>
        <w:rPr>
          <w:rFonts w:ascii="Times New Roman" w:hAnsi="Times New Roman" w:cs="Times New Roman"/>
          <w:b/>
          <w:bCs/>
          <w:snapToGrid w:val="0"/>
          <w:color w:val="auto"/>
          <w:w w:val="99"/>
          <w:highlight w:val="none"/>
          <w:vertAlign w:val="subscript"/>
        </w:rPr>
        <w:t>2</w:t>
      </w:r>
      <w:r>
        <w:rPr>
          <w:rFonts w:ascii="Times New Roman" w:hAnsi="Times New Roman" w:cs="Times New Roman"/>
          <w:b/>
          <w:bCs/>
          <w:snapToGrid w:val="0"/>
          <w:color w:val="auto"/>
          <w:w w:val="99"/>
          <w:highlight w:val="none"/>
        </w:rPr>
        <w:t>分压计算表（单位：MPa）</w:t>
      </w:r>
    </w:p>
    <w:tbl>
      <w:tblPr>
        <w:tblStyle w:val="81"/>
        <w:tblW w:w="4995"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268"/>
        <w:gridCol w:w="800"/>
        <w:gridCol w:w="801"/>
        <w:gridCol w:w="801"/>
        <w:gridCol w:w="801"/>
        <w:gridCol w:w="801"/>
        <w:gridCol w:w="801"/>
        <w:gridCol w:w="801"/>
        <w:gridCol w:w="801"/>
        <w:gridCol w:w="801"/>
        <w:gridCol w:w="801"/>
      </w:tblGrid>
      <w:tr w14:paraId="1416FA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3" w:type="pct"/>
            <w:tcBorders>
              <w:bottom w:val="single" w:color="000000" w:sz="8" w:space="0"/>
              <w:right w:val="single" w:color="000000" w:sz="8" w:space="0"/>
            </w:tcBorders>
            <w:vAlign w:val="center"/>
          </w:tcPr>
          <w:p w14:paraId="2C99D156">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井号</w:t>
            </w:r>
          </w:p>
        </w:tc>
        <w:tc>
          <w:tcPr>
            <w:tcW w:w="431" w:type="pct"/>
            <w:tcBorders>
              <w:left w:val="nil"/>
              <w:bottom w:val="single" w:color="000000" w:sz="8" w:space="0"/>
              <w:right w:val="single" w:color="000000" w:sz="8" w:space="0"/>
            </w:tcBorders>
            <w:vAlign w:val="center"/>
          </w:tcPr>
          <w:p w14:paraId="240098A0">
            <w:pPr>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2027</w:t>
            </w:r>
          </w:p>
        </w:tc>
        <w:tc>
          <w:tcPr>
            <w:tcW w:w="431" w:type="pct"/>
            <w:tcBorders>
              <w:left w:val="nil"/>
              <w:bottom w:val="single" w:color="000000" w:sz="8" w:space="0"/>
              <w:right w:val="single" w:color="000000" w:sz="8" w:space="0"/>
            </w:tcBorders>
            <w:vAlign w:val="center"/>
          </w:tcPr>
          <w:p w14:paraId="45EBF76F">
            <w:pPr>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2028</w:t>
            </w:r>
          </w:p>
        </w:tc>
        <w:tc>
          <w:tcPr>
            <w:tcW w:w="431" w:type="pct"/>
            <w:tcBorders>
              <w:left w:val="nil"/>
              <w:bottom w:val="single" w:color="000000" w:sz="8" w:space="0"/>
              <w:right w:val="single" w:color="000000" w:sz="8" w:space="0"/>
            </w:tcBorders>
            <w:vAlign w:val="center"/>
          </w:tcPr>
          <w:p w14:paraId="088037D7">
            <w:pPr>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2029</w:t>
            </w:r>
          </w:p>
        </w:tc>
        <w:tc>
          <w:tcPr>
            <w:tcW w:w="431" w:type="pct"/>
            <w:tcBorders>
              <w:left w:val="nil"/>
              <w:bottom w:val="single" w:color="000000" w:sz="8" w:space="0"/>
              <w:right w:val="single" w:color="000000" w:sz="8" w:space="0"/>
            </w:tcBorders>
            <w:vAlign w:val="center"/>
          </w:tcPr>
          <w:p w14:paraId="39EAF6C4">
            <w:pPr>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2030</w:t>
            </w:r>
          </w:p>
        </w:tc>
        <w:tc>
          <w:tcPr>
            <w:tcW w:w="431" w:type="pct"/>
            <w:tcBorders>
              <w:left w:val="nil"/>
              <w:bottom w:val="single" w:color="000000" w:sz="8" w:space="0"/>
              <w:right w:val="single" w:color="000000" w:sz="8" w:space="0"/>
            </w:tcBorders>
            <w:vAlign w:val="center"/>
          </w:tcPr>
          <w:p w14:paraId="060997DF">
            <w:pPr>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2031</w:t>
            </w:r>
          </w:p>
        </w:tc>
        <w:tc>
          <w:tcPr>
            <w:tcW w:w="431" w:type="pct"/>
            <w:tcBorders>
              <w:left w:val="nil"/>
              <w:bottom w:val="single" w:color="000000" w:sz="8" w:space="0"/>
              <w:right w:val="single" w:color="000000" w:sz="8" w:space="0"/>
            </w:tcBorders>
            <w:vAlign w:val="center"/>
          </w:tcPr>
          <w:p w14:paraId="3913F13F">
            <w:pPr>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2032</w:t>
            </w:r>
          </w:p>
        </w:tc>
        <w:tc>
          <w:tcPr>
            <w:tcW w:w="431" w:type="pct"/>
            <w:tcBorders>
              <w:left w:val="nil"/>
              <w:bottom w:val="single" w:color="000000" w:sz="8" w:space="0"/>
              <w:right w:val="single" w:color="000000" w:sz="8" w:space="0"/>
            </w:tcBorders>
            <w:vAlign w:val="center"/>
          </w:tcPr>
          <w:p w14:paraId="4D1AD04F">
            <w:pPr>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2033</w:t>
            </w:r>
          </w:p>
        </w:tc>
        <w:tc>
          <w:tcPr>
            <w:tcW w:w="431" w:type="pct"/>
            <w:tcBorders>
              <w:left w:val="nil"/>
              <w:bottom w:val="single" w:color="000000" w:sz="8" w:space="0"/>
              <w:right w:val="single" w:color="000000" w:sz="8" w:space="0"/>
            </w:tcBorders>
            <w:vAlign w:val="center"/>
          </w:tcPr>
          <w:p w14:paraId="18B6390C">
            <w:pPr>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2034</w:t>
            </w:r>
          </w:p>
        </w:tc>
        <w:tc>
          <w:tcPr>
            <w:tcW w:w="431" w:type="pct"/>
            <w:tcBorders>
              <w:left w:val="nil"/>
              <w:bottom w:val="single" w:color="000000" w:sz="8" w:space="0"/>
              <w:right w:val="single" w:color="000000" w:sz="8" w:space="0"/>
            </w:tcBorders>
            <w:vAlign w:val="center"/>
          </w:tcPr>
          <w:p w14:paraId="21B74CBD">
            <w:pPr>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2035</w:t>
            </w:r>
          </w:p>
        </w:tc>
        <w:tc>
          <w:tcPr>
            <w:tcW w:w="431" w:type="pct"/>
            <w:tcBorders>
              <w:left w:val="nil"/>
              <w:bottom w:val="single" w:color="000000" w:sz="8" w:space="0"/>
            </w:tcBorders>
            <w:vAlign w:val="center"/>
          </w:tcPr>
          <w:p w14:paraId="1007BE2A">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2036</w:t>
            </w:r>
          </w:p>
        </w:tc>
      </w:tr>
      <w:tr w14:paraId="2150DC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3" w:type="pct"/>
            <w:tcBorders>
              <w:top w:val="nil"/>
              <w:bottom w:val="single" w:color="000000" w:sz="8" w:space="0"/>
              <w:right w:val="single" w:color="000000" w:sz="8" w:space="0"/>
            </w:tcBorders>
            <w:vAlign w:val="center"/>
          </w:tcPr>
          <w:p w14:paraId="50826476">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徐深27-H1</w:t>
            </w:r>
          </w:p>
        </w:tc>
        <w:tc>
          <w:tcPr>
            <w:tcW w:w="431" w:type="pct"/>
            <w:tcBorders>
              <w:top w:val="nil"/>
              <w:left w:val="nil"/>
              <w:bottom w:val="single" w:color="000000" w:sz="8" w:space="0"/>
              <w:right w:val="single" w:color="000000" w:sz="8" w:space="0"/>
            </w:tcBorders>
            <w:vAlign w:val="center"/>
          </w:tcPr>
          <w:p w14:paraId="3554EA1F">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 xml:space="preserve">1.11 </w:t>
            </w:r>
          </w:p>
        </w:tc>
        <w:tc>
          <w:tcPr>
            <w:tcW w:w="431" w:type="pct"/>
            <w:tcBorders>
              <w:top w:val="nil"/>
              <w:left w:val="nil"/>
              <w:bottom w:val="single" w:color="000000" w:sz="8" w:space="0"/>
              <w:right w:val="single" w:color="000000" w:sz="8" w:space="0"/>
            </w:tcBorders>
            <w:vAlign w:val="center"/>
          </w:tcPr>
          <w:p w14:paraId="15A66648">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 xml:space="preserve">1.06 </w:t>
            </w:r>
          </w:p>
        </w:tc>
        <w:tc>
          <w:tcPr>
            <w:tcW w:w="431" w:type="pct"/>
            <w:tcBorders>
              <w:top w:val="nil"/>
              <w:left w:val="nil"/>
              <w:bottom w:val="single" w:color="000000" w:sz="8" w:space="0"/>
              <w:right w:val="single" w:color="000000" w:sz="8" w:space="0"/>
            </w:tcBorders>
            <w:vAlign w:val="center"/>
          </w:tcPr>
          <w:p w14:paraId="2BAE826B">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 xml:space="preserve">1.03 </w:t>
            </w:r>
          </w:p>
        </w:tc>
        <w:tc>
          <w:tcPr>
            <w:tcW w:w="431" w:type="pct"/>
            <w:tcBorders>
              <w:top w:val="nil"/>
              <w:left w:val="nil"/>
              <w:bottom w:val="single" w:color="000000" w:sz="8" w:space="0"/>
              <w:right w:val="single" w:color="000000" w:sz="8" w:space="0"/>
            </w:tcBorders>
            <w:vAlign w:val="center"/>
          </w:tcPr>
          <w:p w14:paraId="60CE076E">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 xml:space="preserve">1.01 </w:t>
            </w:r>
          </w:p>
        </w:tc>
        <w:tc>
          <w:tcPr>
            <w:tcW w:w="431" w:type="pct"/>
            <w:tcBorders>
              <w:top w:val="nil"/>
              <w:left w:val="nil"/>
              <w:bottom w:val="single" w:color="000000" w:sz="8" w:space="0"/>
              <w:right w:val="single" w:color="000000" w:sz="8" w:space="0"/>
            </w:tcBorders>
            <w:vAlign w:val="center"/>
          </w:tcPr>
          <w:p w14:paraId="5AFFE884">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 xml:space="preserve">0.99 </w:t>
            </w:r>
          </w:p>
        </w:tc>
        <w:tc>
          <w:tcPr>
            <w:tcW w:w="431" w:type="pct"/>
            <w:tcBorders>
              <w:top w:val="nil"/>
              <w:left w:val="nil"/>
              <w:bottom w:val="single" w:color="000000" w:sz="8" w:space="0"/>
              <w:right w:val="single" w:color="000000" w:sz="8" w:space="0"/>
            </w:tcBorders>
            <w:vAlign w:val="center"/>
          </w:tcPr>
          <w:p w14:paraId="2687FCD3">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 xml:space="preserve">0.96 </w:t>
            </w:r>
          </w:p>
        </w:tc>
        <w:tc>
          <w:tcPr>
            <w:tcW w:w="431" w:type="pct"/>
            <w:tcBorders>
              <w:top w:val="nil"/>
              <w:left w:val="nil"/>
              <w:bottom w:val="single" w:color="000000" w:sz="8" w:space="0"/>
              <w:right w:val="single" w:color="000000" w:sz="8" w:space="0"/>
            </w:tcBorders>
            <w:vAlign w:val="center"/>
          </w:tcPr>
          <w:p w14:paraId="49FB0192">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 xml:space="preserve">0.94 </w:t>
            </w:r>
          </w:p>
        </w:tc>
        <w:tc>
          <w:tcPr>
            <w:tcW w:w="431" w:type="pct"/>
            <w:tcBorders>
              <w:top w:val="nil"/>
              <w:left w:val="nil"/>
              <w:bottom w:val="single" w:color="000000" w:sz="8" w:space="0"/>
              <w:right w:val="single" w:color="000000" w:sz="8" w:space="0"/>
            </w:tcBorders>
            <w:vAlign w:val="center"/>
          </w:tcPr>
          <w:p w14:paraId="3D780C7D">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 xml:space="preserve">0.93 </w:t>
            </w:r>
          </w:p>
        </w:tc>
        <w:tc>
          <w:tcPr>
            <w:tcW w:w="431" w:type="pct"/>
            <w:tcBorders>
              <w:top w:val="nil"/>
              <w:left w:val="nil"/>
              <w:bottom w:val="single" w:color="000000" w:sz="8" w:space="0"/>
              <w:right w:val="single" w:color="000000" w:sz="8" w:space="0"/>
            </w:tcBorders>
            <w:vAlign w:val="center"/>
          </w:tcPr>
          <w:p w14:paraId="4183F811">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 xml:space="preserve">0.91 </w:t>
            </w:r>
          </w:p>
        </w:tc>
        <w:tc>
          <w:tcPr>
            <w:tcW w:w="431" w:type="pct"/>
            <w:tcBorders>
              <w:top w:val="nil"/>
              <w:left w:val="nil"/>
              <w:bottom w:val="single" w:color="000000" w:sz="8" w:space="0"/>
            </w:tcBorders>
            <w:vAlign w:val="center"/>
          </w:tcPr>
          <w:p w14:paraId="7ED08A26">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 xml:space="preserve">0.89 </w:t>
            </w:r>
          </w:p>
        </w:tc>
      </w:tr>
    </w:tbl>
    <w:p w14:paraId="361B744E">
      <w:pPr>
        <w:spacing w:line="440" w:lineRule="exact"/>
        <w:ind w:firstLine="474" w:firstLineChars="200"/>
        <w:jc w:val="both"/>
        <w:rPr>
          <w:rFonts w:ascii="Times New Roman" w:hAnsi="Times New Roman" w:cs="Times New Roman"/>
          <w:snapToGrid w:val="0"/>
          <w:color w:val="auto"/>
          <w:w w:val="99"/>
          <w:highlight w:val="none"/>
        </w:rPr>
      </w:pPr>
      <w:r>
        <w:rPr>
          <w:rFonts w:ascii="Times New Roman" w:hAnsi="Times New Roman" w:cs="Times New Roman"/>
          <w:snapToGrid w:val="0"/>
          <w:color w:val="auto"/>
          <w:w w:val="99"/>
          <w:highlight w:val="none"/>
        </w:rPr>
        <w:t>气井产出水性质见表3</w:t>
      </w:r>
      <w:r>
        <w:rPr>
          <w:rFonts w:hint="eastAsia" w:ascii="Times New Roman" w:hAnsi="Times New Roman" w:cs="Times New Roman"/>
          <w:snapToGrid w:val="0"/>
          <w:color w:val="auto"/>
          <w:w w:val="99"/>
          <w:highlight w:val="none"/>
        </w:rPr>
        <w:t>.4-7</w:t>
      </w:r>
      <w:r>
        <w:rPr>
          <w:rFonts w:ascii="Times New Roman" w:hAnsi="Times New Roman" w:cs="Times New Roman"/>
          <w:snapToGrid w:val="0"/>
          <w:color w:val="auto"/>
          <w:w w:val="99"/>
          <w:highlight w:val="none"/>
        </w:rPr>
        <w:t>。</w:t>
      </w:r>
    </w:p>
    <w:p w14:paraId="56499286">
      <w:pPr>
        <w:widowControl w:val="0"/>
        <w:spacing w:line="440" w:lineRule="exact"/>
        <w:ind w:firstLine="476" w:firstLineChars="200"/>
        <w:rPr>
          <w:rFonts w:ascii="Times New Roman" w:hAnsi="Times New Roman" w:cs="Times New Roman"/>
          <w:b/>
          <w:bCs/>
          <w:snapToGrid w:val="0"/>
          <w:color w:val="auto"/>
          <w:w w:val="99"/>
          <w:highlight w:val="none"/>
        </w:rPr>
      </w:pPr>
      <w:r>
        <w:rPr>
          <w:rFonts w:ascii="Times New Roman" w:hAnsi="Times New Roman" w:cs="Times New Roman"/>
          <w:b/>
          <w:bCs/>
          <w:snapToGrid w:val="0"/>
          <w:color w:val="auto"/>
          <w:w w:val="99"/>
          <w:highlight w:val="none"/>
        </w:rPr>
        <w:t>表3</w:t>
      </w:r>
      <w:r>
        <w:rPr>
          <w:rFonts w:hint="eastAsia" w:ascii="Times New Roman" w:hAnsi="Times New Roman" w:cs="Times New Roman"/>
          <w:b/>
          <w:bCs/>
          <w:snapToGrid w:val="0"/>
          <w:color w:val="auto"/>
          <w:w w:val="99"/>
          <w:highlight w:val="none"/>
        </w:rPr>
        <w:t>.4-7</w:t>
      </w:r>
      <w:r>
        <w:rPr>
          <w:rFonts w:ascii="Times New Roman" w:hAnsi="Times New Roman" w:cs="Times New Roman"/>
          <w:b/>
          <w:bCs/>
          <w:snapToGrid w:val="0"/>
          <w:color w:val="auto"/>
          <w:w w:val="99"/>
          <w:highlight w:val="none"/>
        </w:rPr>
        <w:t xml:space="preserve">    产出水性质表</w:t>
      </w:r>
    </w:p>
    <w:tbl>
      <w:tblPr>
        <w:tblStyle w:val="81"/>
        <w:tblW w:w="4996"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2318"/>
        <w:gridCol w:w="2320"/>
        <w:gridCol w:w="2320"/>
        <w:gridCol w:w="2321"/>
      </w:tblGrid>
      <w:tr w14:paraId="4FAAD0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249" w:type="pct"/>
            <w:tcBorders>
              <w:bottom w:val="single" w:color="auto" w:sz="6" w:space="0"/>
              <w:right w:val="single" w:color="auto" w:sz="6" w:space="0"/>
            </w:tcBorders>
            <w:vAlign w:val="center"/>
          </w:tcPr>
          <w:p w14:paraId="5F8715BD">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井号</w:t>
            </w:r>
          </w:p>
        </w:tc>
        <w:tc>
          <w:tcPr>
            <w:tcW w:w="1250" w:type="pct"/>
            <w:tcBorders>
              <w:left w:val="single" w:color="auto" w:sz="6" w:space="0"/>
              <w:bottom w:val="single" w:color="auto" w:sz="6" w:space="0"/>
              <w:right w:val="single" w:color="auto" w:sz="6" w:space="0"/>
            </w:tcBorders>
            <w:vAlign w:val="center"/>
          </w:tcPr>
          <w:p w14:paraId="5C59E58D">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总矿化度（mg/l）</w:t>
            </w:r>
          </w:p>
        </w:tc>
        <w:tc>
          <w:tcPr>
            <w:tcW w:w="1250" w:type="pct"/>
            <w:tcBorders>
              <w:left w:val="single" w:color="auto" w:sz="6" w:space="0"/>
              <w:bottom w:val="single" w:color="auto" w:sz="6" w:space="0"/>
              <w:right w:val="single" w:color="auto" w:sz="6" w:space="0"/>
            </w:tcBorders>
            <w:vAlign w:val="center"/>
          </w:tcPr>
          <w:p w14:paraId="7FC82FA8">
            <w:pPr>
              <w:pStyle w:val="102"/>
              <w:spacing w:line="240" w:lineRule="auto"/>
              <w:ind w:left="0" w:firstLine="0"/>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p</w:t>
            </w:r>
            <w:r>
              <w:rPr>
                <w:rFonts w:hint="default" w:ascii="Times New Roman" w:hAnsi="Times New Roman" w:eastAsiaTheme="minorEastAsia"/>
                <w:color w:val="auto"/>
                <w:w w:val="99"/>
                <w:highlight w:val="none"/>
              </w:rPr>
              <w:t>H值</w:t>
            </w:r>
          </w:p>
        </w:tc>
        <w:tc>
          <w:tcPr>
            <w:tcW w:w="1250" w:type="pct"/>
            <w:tcBorders>
              <w:left w:val="single" w:color="auto" w:sz="6" w:space="0"/>
              <w:bottom w:val="single" w:color="auto" w:sz="6" w:space="0"/>
            </w:tcBorders>
            <w:vAlign w:val="center"/>
          </w:tcPr>
          <w:p w14:paraId="3DD92D47">
            <w:pPr>
              <w:pStyle w:val="102"/>
              <w:spacing w:line="240" w:lineRule="auto"/>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氯离子（mg/l）</w:t>
            </w:r>
          </w:p>
        </w:tc>
      </w:tr>
      <w:tr w14:paraId="56B1ACD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249" w:type="pct"/>
            <w:tcBorders>
              <w:top w:val="single" w:color="auto" w:sz="6" w:space="0"/>
              <w:bottom w:val="single" w:color="auto" w:sz="6" w:space="0"/>
              <w:right w:val="single" w:color="auto" w:sz="6" w:space="0"/>
            </w:tcBorders>
            <w:vAlign w:val="center"/>
          </w:tcPr>
          <w:p w14:paraId="67076162">
            <w:pPr>
              <w:pStyle w:val="173"/>
              <w:tabs>
                <w:tab w:val="left" w:pos="3480"/>
              </w:tabs>
              <w:spacing w:line="240" w:lineRule="exact"/>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徐深27-H1</w:t>
            </w:r>
          </w:p>
        </w:tc>
        <w:tc>
          <w:tcPr>
            <w:tcW w:w="1250" w:type="pct"/>
            <w:tcBorders>
              <w:top w:val="single" w:color="auto" w:sz="6" w:space="0"/>
              <w:left w:val="single" w:color="auto" w:sz="6" w:space="0"/>
              <w:bottom w:val="single" w:color="auto" w:sz="6" w:space="0"/>
              <w:right w:val="single" w:color="auto" w:sz="6" w:space="0"/>
            </w:tcBorders>
            <w:vAlign w:val="center"/>
          </w:tcPr>
          <w:p w14:paraId="212FED41">
            <w:pPr>
              <w:pStyle w:val="173"/>
              <w:tabs>
                <w:tab w:val="left" w:pos="3480"/>
              </w:tabs>
              <w:spacing w:line="240" w:lineRule="exact"/>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7825</w:t>
            </w:r>
          </w:p>
        </w:tc>
        <w:tc>
          <w:tcPr>
            <w:tcW w:w="1250" w:type="pct"/>
            <w:tcBorders>
              <w:top w:val="single" w:color="auto" w:sz="6" w:space="0"/>
              <w:left w:val="single" w:color="auto" w:sz="6" w:space="0"/>
              <w:bottom w:val="single" w:color="auto" w:sz="6" w:space="0"/>
              <w:right w:val="single" w:color="auto" w:sz="6" w:space="0"/>
            </w:tcBorders>
            <w:vAlign w:val="center"/>
          </w:tcPr>
          <w:p w14:paraId="46ADABBB">
            <w:pPr>
              <w:pStyle w:val="173"/>
              <w:tabs>
                <w:tab w:val="left" w:pos="3480"/>
              </w:tabs>
              <w:spacing w:line="240" w:lineRule="exact"/>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7.5</w:t>
            </w:r>
          </w:p>
        </w:tc>
        <w:tc>
          <w:tcPr>
            <w:tcW w:w="1250" w:type="pct"/>
            <w:tcBorders>
              <w:top w:val="single" w:color="auto" w:sz="6" w:space="0"/>
              <w:left w:val="single" w:color="auto" w:sz="6" w:space="0"/>
              <w:bottom w:val="single" w:color="auto" w:sz="6" w:space="0"/>
            </w:tcBorders>
            <w:vAlign w:val="center"/>
          </w:tcPr>
          <w:p w14:paraId="0FA20BF7">
            <w:pPr>
              <w:pStyle w:val="173"/>
              <w:tabs>
                <w:tab w:val="left" w:pos="3480"/>
              </w:tabs>
              <w:spacing w:line="240" w:lineRule="exact"/>
              <w:ind w:left="0" w:firstLine="0"/>
              <w:rPr>
                <w:rFonts w:hint="default" w:ascii="Times New Roman" w:hAnsi="Times New Roman" w:eastAsiaTheme="minorEastAsia"/>
                <w:color w:val="auto"/>
                <w:w w:val="99"/>
                <w:highlight w:val="none"/>
              </w:rPr>
            </w:pPr>
            <w:r>
              <w:rPr>
                <w:rFonts w:hint="default" w:ascii="Times New Roman" w:hAnsi="Times New Roman" w:eastAsiaTheme="minorEastAsia"/>
                <w:color w:val="auto"/>
                <w:w w:val="99"/>
                <w:highlight w:val="none"/>
              </w:rPr>
              <w:t>1087</w:t>
            </w:r>
          </w:p>
        </w:tc>
      </w:tr>
    </w:tbl>
    <w:p w14:paraId="79409117">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428" w:name="_Toc29048"/>
      <w:r>
        <w:rPr>
          <w:rFonts w:ascii="Times New Roman" w:hAnsi="Times New Roman" w:eastAsia="宋体"/>
          <w:b/>
          <w:snapToGrid w:val="0"/>
          <w:color w:val="auto"/>
          <w:w w:val="99"/>
          <w:highlight w:val="none"/>
        </w:rPr>
        <w:t>3.</w:t>
      </w:r>
      <w:r>
        <w:rPr>
          <w:rFonts w:hint="eastAsia" w:ascii="Times New Roman" w:hAnsi="Times New Roman" w:eastAsia="宋体"/>
          <w:b/>
          <w:snapToGrid w:val="0"/>
          <w:color w:val="auto"/>
          <w:w w:val="99"/>
          <w:highlight w:val="none"/>
        </w:rPr>
        <w:t>5</w:t>
      </w:r>
      <w:r>
        <w:rPr>
          <w:rFonts w:ascii="Times New Roman" w:hAnsi="Times New Roman" w:eastAsia="宋体"/>
          <w:b/>
          <w:snapToGrid w:val="0"/>
          <w:color w:val="auto"/>
          <w:w w:val="99"/>
          <w:highlight w:val="none"/>
        </w:rPr>
        <w:t>主要建设内容</w:t>
      </w:r>
      <w:bookmarkEnd w:id="428"/>
    </w:p>
    <w:p w14:paraId="3D0B0928">
      <w:pPr>
        <w:widowControl w:val="0"/>
        <w:spacing w:line="440" w:lineRule="exact"/>
        <w:ind w:firstLine="474" w:firstLineChars="200"/>
        <w:rPr>
          <w:rFonts w:ascii="Times New Roman" w:hAnsi="Times New Roman" w:cs="Times New Roman"/>
          <w:color w:val="auto"/>
          <w:w w:val="99"/>
          <w:kern w:val="2"/>
          <w:szCs w:val="20"/>
          <w:highlight w:val="none"/>
        </w:rPr>
      </w:pPr>
      <w:bookmarkStart w:id="429" w:name="_Toc74812319"/>
      <w:r>
        <w:rPr>
          <w:rFonts w:ascii="Times New Roman" w:hAnsi="Times New Roman" w:cs="Times New Roman"/>
          <w:color w:val="auto"/>
          <w:w w:val="99"/>
          <w:kern w:val="2"/>
          <w:szCs w:val="20"/>
          <w:highlight w:val="none"/>
        </w:rPr>
        <w:t>地面工程主要建设内容包括</w:t>
      </w:r>
      <w:r>
        <w:rPr>
          <w:rFonts w:hint="eastAsia" w:ascii="Times New Roman" w:hAnsi="Times New Roman" w:cs="Times New Roman"/>
          <w:color w:val="auto"/>
          <w:w w:val="99"/>
          <w:kern w:val="2"/>
          <w:szCs w:val="20"/>
          <w:highlight w:val="none"/>
        </w:rPr>
        <w:t>天然气</w:t>
      </w:r>
      <w:r>
        <w:rPr>
          <w:rFonts w:ascii="Times New Roman" w:hAnsi="Times New Roman" w:cs="Times New Roman"/>
          <w:color w:val="auto"/>
          <w:w w:val="99"/>
          <w:kern w:val="2"/>
          <w:szCs w:val="20"/>
          <w:highlight w:val="none"/>
        </w:rPr>
        <w:t>集输工程、</w:t>
      </w:r>
      <w:r>
        <w:rPr>
          <w:rFonts w:hint="eastAsia" w:ascii="Times New Roman" w:hAnsi="Times New Roman" w:cs="Times New Roman"/>
          <w:color w:val="auto"/>
          <w:w w:val="99"/>
          <w:kern w:val="2"/>
          <w:szCs w:val="20"/>
          <w:highlight w:val="none"/>
        </w:rPr>
        <w:t>道路</w:t>
      </w:r>
      <w:r>
        <w:rPr>
          <w:rFonts w:ascii="Times New Roman" w:hAnsi="Times New Roman" w:cs="Times New Roman"/>
          <w:color w:val="auto"/>
          <w:w w:val="99"/>
          <w:kern w:val="2"/>
          <w:szCs w:val="20"/>
          <w:highlight w:val="none"/>
        </w:rPr>
        <w:t>工程等。</w:t>
      </w:r>
    </w:p>
    <w:p w14:paraId="6B6B094A">
      <w:pPr>
        <w:spacing w:line="440" w:lineRule="exact"/>
        <w:outlineLvl w:val="2"/>
        <w:rPr>
          <w:rFonts w:ascii="Times New Roman" w:hAnsi="Times New Roman" w:cs="Times New Roman"/>
          <w:b/>
          <w:color w:val="auto"/>
          <w:w w:val="99"/>
          <w:szCs w:val="20"/>
          <w:highlight w:val="none"/>
        </w:rPr>
      </w:pPr>
      <w:r>
        <w:rPr>
          <w:rFonts w:hint="eastAsia" w:ascii="Times New Roman" w:hAnsi="Times New Roman" w:cs="Times New Roman"/>
          <w:b/>
          <w:color w:val="auto"/>
          <w:w w:val="99"/>
          <w:szCs w:val="20"/>
          <w:highlight w:val="none"/>
        </w:rPr>
        <w:t>3.5.1井场工程</w:t>
      </w:r>
    </w:p>
    <w:p w14:paraId="045039D9">
      <w:pPr>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本工程共基建井口设施</w:t>
      </w:r>
      <w:r>
        <w:rPr>
          <w:rFonts w:hint="eastAsia" w:ascii="Times New Roman" w:hAnsi="Times New Roman" w:cs="Times New Roman"/>
          <w:bCs/>
          <w:color w:val="auto"/>
          <w:w w:val="99"/>
          <w:highlight w:val="none"/>
        </w:rPr>
        <w:t>1</w:t>
      </w:r>
      <w:r>
        <w:rPr>
          <w:rFonts w:ascii="Times New Roman" w:hAnsi="Times New Roman" w:cs="Times New Roman"/>
          <w:bCs/>
          <w:color w:val="auto"/>
          <w:w w:val="99"/>
          <w:highlight w:val="none"/>
        </w:rPr>
        <w:t>套，井口装置包括井口安全设施、井口减压设施、监测设施、井口放空池井口除砂器</w:t>
      </w:r>
      <w:r>
        <w:rPr>
          <w:rFonts w:hint="eastAsia" w:ascii="Times New Roman" w:hAnsi="Times New Roman" w:cs="Times New Roman"/>
          <w:bCs/>
          <w:color w:val="auto"/>
          <w:w w:val="99"/>
          <w:highlight w:val="none"/>
        </w:rPr>
        <w:t>。</w:t>
      </w:r>
      <w:r>
        <w:rPr>
          <w:rFonts w:ascii="Times New Roman" w:hAnsi="Times New Roman" w:cs="Times New Roman"/>
          <w:bCs/>
          <w:color w:val="auto"/>
          <w:w w:val="99"/>
          <w:highlight w:val="none"/>
        </w:rPr>
        <w:t>井口除砂器为预防气流将压裂砂携带到采气管道中而采取的气体和砂粒分离的装置，一般情况下不会发生砂粒留存，如有发生，委托有资质单位处理</w:t>
      </w:r>
      <w:r>
        <w:rPr>
          <w:rFonts w:hint="eastAsia" w:ascii="Times New Roman" w:hAnsi="Times New Roman" w:cs="Times New Roman"/>
          <w:bCs/>
          <w:color w:val="auto"/>
          <w:w w:val="99"/>
          <w:highlight w:val="none"/>
        </w:rPr>
        <w:t>；</w:t>
      </w:r>
      <w:r>
        <w:rPr>
          <w:rFonts w:ascii="Times New Roman" w:hAnsi="Times New Roman" w:cs="Times New Roman"/>
          <w:bCs/>
          <w:color w:val="auto"/>
          <w:w w:val="99"/>
          <w:highlight w:val="none"/>
        </w:rPr>
        <w:t>靠井口一侧建有井口放空池，为水泥防渗池，占地为18m×22m，池底为2m深沟壑，主要作用是在开关井、检修以及事故状态下关闭井口后，排出装置及管道内剩余气体，点火放空。具体内容见表</w:t>
      </w:r>
      <w:r>
        <w:rPr>
          <w:rFonts w:hint="eastAsia" w:ascii="Times New Roman" w:hAnsi="Times New Roman" w:cs="Times New Roman"/>
          <w:bCs/>
          <w:color w:val="auto"/>
          <w:w w:val="99"/>
          <w:highlight w:val="none"/>
        </w:rPr>
        <w:t>3.5-1</w:t>
      </w:r>
      <w:r>
        <w:rPr>
          <w:rFonts w:ascii="Times New Roman" w:hAnsi="Times New Roman" w:cs="Times New Roman"/>
          <w:bCs/>
          <w:color w:val="auto"/>
          <w:w w:val="99"/>
          <w:highlight w:val="none"/>
        </w:rPr>
        <w:t>。</w:t>
      </w:r>
    </w:p>
    <w:p w14:paraId="14C7E4EB">
      <w:pPr>
        <w:pStyle w:val="104"/>
        <w:spacing w:line="440" w:lineRule="exact"/>
        <w:ind w:firstLine="238" w:firstLineChars="100"/>
        <w:jc w:val="both"/>
        <w:rPr>
          <w:rFonts w:ascii="Times New Roman" w:hAnsi="Times New Roman" w:eastAsia="宋体"/>
          <w:b/>
          <w:color w:val="auto"/>
          <w:w w:val="99"/>
          <w:sz w:val="24"/>
          <w:szCs w:val="24"/>
          <w:highlight w:val="none"/>
        </w:rPr>
      </w:pPr>
      <w:r>
        <w:rPr>
          <w:rFonts w:ascii="Times New Roman" w:hAnsi="Times New Roman" w:eastAsia="宋体"/>
          <w:b/>
          <w:color w:val="auto"/>
          <w:w w:val="99"/>
          <w:sz w:val="24"/>
          <w:szCs w:val="24"/>
          <w:highlight w:val="none"/>
        </w:rPr>
        <w:t>表</w:t>
      </w:r>
      <w:r>
        <w:rPr>
          <w:rFonts w:hint="eastAsia" w:ascii="Times New Roman" w:hAnsi="Times New Roman" w:eastAsia="宋体"/>
          <w:b/>
          <w:color w:val="auto"/>
          <w:w w:val="99"/>
          <w:sz w:val="24"/>
          <w:szCs w:val="24"/>
          <w:highlight w:val="none"/>
        </w:rPr>
        <w:t>3.5-1</w:t>
      </w:r>
      <w:r>
        <w:rPr>
          <w:rFonts w:ascii="Times New Roman" w:hAnsi="Times New Roman" w:eastAsia="宋体"/>
          <w:b/>
          <w:color w:val="auto"/>
          <w:w w:val="99"/>
          <w:sz w:val="24"/>
          <w:szCs w:val="24"/>
          <w:highlight w:val="none"/>
        </w:rPr>
        <w:t xml:space="preserve">  </w:t>
      </w:r>
      <w:r>
        <w:rPr>
          <w:rFonts w:hint="eastAsia" w:ascii="Times New Roman" w:hAnsi="Times New Roman" w:eastAsia="宋体"/>
          <w:b/>
          <w:color w:val="auto"/>
          <w:w w:val="99"/>
          <w:sz w:val="24"/>
          <w:szCs w:val="24"/>
          <w:highlight w:val="none"/>
        </w:rPr>
        <w:t xml:space="preserve">  采气井场</w:t>
      </w:r>
      <w:r>
        <w:rPr>
          <w:rFonts w:ascii="Times New Roman" w:hAnsi="Times New Roman" w:eastAsia="宋体"/>
          <w:b/>
          <w:color w:val="auto"/>
          <w:w w:val="99"/>
          <w:sz w:val="24"/>
          <w:szCs w:val="24"/>
          <w:highlight w:val="none"/>
        </w:rPr>
        <w:t>主要工程内容汇总表</w:t>
      </w:r>
    </w:p>
    <w:tbl>
      <w:tblPr>
        <w:tblStyle w:val="81"/>
        <w:tblW w:w="4991"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768"/>
        <w:gridCol w:w="5211"/>
        <w:gridCol w:w="1065"/>
        <w:gridCol w:w="1020"/>
        <w:gridCol w:w="1020"/>
      </w:tblGrid>
      <w:tr w14:paraId="092053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423" w:type="pct"/>
            <w:tcBorders>
              <w:top w:val="single" w:color="auto" w:sz="4" w:space="0"/>
              <w:left w:val="single" w:color="auto" w:sz="4" w:space="0"/>
            </w:tcBorders>
            <w:tcMar>
              <w:top w:w="15" w:type="dxa"/>
              <w:left w:w="15" w:type="dxa"/>
              <w:right w:w="15" w:type="dxa"/>
            </w:tcMar>
            <w:vAlign w:val="center"/>
          </w:tcPr>
          <w:p w14:paraId="53A5CFDB">
            <w:pPr>
              <w:pStyle w:val="102"/>
              <w:spacing w:line="240" w:lineRule="auto"/>
              <w:ind w:left="0" w:firstLine="0"/>
              <w:rPr>
                <w:rFonts w:hint="default" w:ascii="Times New Roman" w:hAnsi="Times New Roman" w:eastAsia="宋体"/>
                <w:bCs/>
                <w:color w:val="auto"/>
                <w:w w:val="99"/>
                <w:highlight w:val="none"/>
              </w:rPr>
            </w:pPr>
            <w:r>
              <w:rPr>
                <w:rFonts w:hint="default" w:ascii="Times New Roman" w:hAnsi="Times New Roman" w:eastAsia="宋体"/>
                <w:bCs/>
                <w:color w:val="auto"/>
                <w:w w:val="99"/>
                <w:highlight w:val="none"/>
              </w:rPr>
              <w:t>序号</w:t>
            </w:r>
          </w:p>
        </w:tc>
        <w:tc>
          <w:tcPr>
            <w:tcW w:w="2867" w:type="pct"/>
            <w:tcBorders>
              <w:top w:val="single" w:color="auto" w:sz="4" w:space="0"/>
            </w:tcBorders>
            <w:tcMar>
              <w:top w:w="15" w:type="dxa"/>
              <w:left w:w="15" w:type="dxa"/>
              <w:right w:w="15" w:type="dxa"/>
            </w:tcMar>
            <w:vAlign w:val="center"/>
          </w:tcPr>
          <w:p w14:paraId="1B23DF26">
            <w:pPr>
              <w:pStyle w:val="102"/>
              <w:spacing w:line="240" w:lineRule="auto"/>
              <w:ind w:left="0" w:firstLine="0"/>
              <w:rPr>
                <w:rFonts w:hint="default" w:ascii="Times New Roman" w:hAnsi="Times New Roman" w:eastAsia="宋体"/>
                <w:bCs/>
                <w:color w:val="auto"/>
                <w:w w:val="99"/>
                <w:highlight w:val="none"/>
              </w:rPr>
            </w:pPr>
            <w:r>
              <w:rPr>
                <w:rFonts w:hint="default" w:ascii="Times New Roman" w:hAnsi="Times New Roman" w:eastAsia="宋体"/>
                <w:bCs/>
                <w:color w:val="auto"/>
                <w:w w:val="99"/>
                <w:highlight w:val="none"/>
              </w:rPr>
              <w:t>主要工程内容</w:t>
            </w:r>
          </w:p>
        </w:tc>
        <w:tc>
          <w:tcPr>
            <w:tcW w:w="586" w:type="pct"/>
            <w:tcBorders>
              <w:top w:val="single" w:color="auto" w:sz="4" w:space="0"/>
            </w:tcBorders>
            <w:tcMar>
              <w:top w:w="15" w:type="dxa"/>
              <w:left w:w="15" w:type="dxa"/>
              <w:right w:w="15" w:type="dxa"/>
            </w:tcMar>
            <w:vAlign w:val="center"/>
          </w:tcPr>
          <w:p w14:paraId="4A347F6F">
            <w:pPr>
              <w:pStyle w:val="102"/>
              <w:spacing w:line="240" w:lineRule="auto"/>
              <w:ind w:left="0" w:firstLine="0"/>
              <w:rPr>
                <w:rFonts w:hint="default" w:ascii="Times New Roman" w:hAnsi="Times New Roman" w:eastAsia="宋体"/>
                <w:bCs/>
                <w:color w:val="auto"/>
                <w:w w:val="99"/>
                <w:highlight w:val="none"/>
              </w:rPr>
            </w:pPr>
            <w:r>
              <w:rPr>
                <w:rFonts w:hint="default" w:ascii="Times New Roman" w:hAnsi="Times New Roman" w:eastAsia="宋体"/>
                <w:bCs/>
                <w:color w:val="auto"/>
                <w:w w:val="99"/>
                <w:highlight w:val="none"/>
              </w:rPr>
              <w:t>单位</w:t>
            </w:r>
          </w:p>
        </w:tc>
        <w:tc>
          <w:tcPr>
            <w:tcW w:w="561" w:type="pct"/>
            <w:tcBorders>
              <w:top w:val="single" w:color="auto" w:sz="4" w:space="0"/>
            </w:tcBorders>
            <w:tcMar>
              <w:top w:w="15" w:type="dxa"/>
              <w:left w:w="15" w:type="dxa"/>
              <w:right w:w="15" w:type="dxa"/>
            </w:tcMar>
            <w:vAlign w:val="center"/>
          </w:tcPr>
          <w:p w14:paraId="5B099BDD">
            <w:pPr>
              <w:pStyle w:val="102"/>
              <w:spacing w:line="240" w:lineRule="auto"/>
              <w:ind w:left="0" w:firstLine="0"/>
              <w:rPr>
                <w:rFonts w:hint="default" w:ascii="Times New Roman" w:hAnsi="Times New Roman" w:eastAsia="宋体"/>
                <w:bCs/>
                <w:color w:val="auto"/>
                <w:w w:val="99"/>
                <w:highlight w:val="none"/>
              </w:rPr>
            </w:pPr>
            <w:r>
              <w:rPr>
                <w:rFonts w:hint="default" w:ascii="Times New Roman" w:hAnsi="Times New Roman" w:eastAsia="宋体"/>
                <w:bCs/>
                <w:color w:val="auto"/>
                <w:w w:val="99"/>
                <w:highlight w:val="none"/>
              </w:rPr>
              <w:t>数量</w:t>
            </w:r>
          </w:p>
        </w:tc>
        <w:tc>
          <w:tcPr>
            <w:tcW w:w="561" w:type="pct"/>
            <w:tcBorders>
              <w:top w:val="single" w:color="auto" w:sz="4" w:space="0"/>
              <w:right w:val="single" w:color="auto" w:sz="4" w:space="0"/>
            </w:tcBorders>
            <w:tcMar>
              <w:top w:w="15" w:type="dxa"/>
              <w:left w:w="15" w:type="dxa"/>
              <w:right w:w="15" w:type="dxa"/>
            </w:tcMar>
            <w:vAlign w:val="center"/>
          </w:tcPr>
          <w:p w14:paraId="1AAD659F">
            <w:pPr>
              <w:pStyle w:val="102"/>
              <w:spacing w:line="240" w:lineRule="auto"/>
              <w:ind w:left="0" w:firstLine="0"/>
              <w:rPr>
                <w:rFonts w:hint="default" w:ascii="Times New Roman" w:hAnsi="Times New Roman" w:eastAsia="宋体"/>
                <w:bCs/>
                <w:color w:val="auto"/>
                <w:w w:val="99"/>
                <w:highlight w:val="none"/>
              </w:rPr>
            </w:pPr>
          </w:p>
        </w:tc>
      </w:tr>
      <w:tr w14:paraId="0905CE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23" w:type="pct"/>
            <w:tcBorders>
              <w:left w:val="single" w:color="auto" w:sz="4" w:space="0"/>
            </w:tcBorders>
            <w:tcMar>
              <w:top w:w="15" w:type="dxa"/>
              <w:left w:w="15" w:type="dxa"/>
              <w:right w:w="15" w:type="dxa"/>
            </w:tcMar>
            <w:vAlign w:val="center"/>
          </w:tcPr>
          <w:p w14:paraId="38365E80">
            <w:pPr>
              <w:pStyle w:val="102"/>
              <w:spacing w:line="240" w:lineRule="auto"/>
              <w:ind w:left="0" w:firstLine="0"/>
              <w:rPr>
                <w:rFonts w:hint="default" w:ascii="Times New Roman" w:hAnsi="Times New Roman" w:eastAsia="宋体"/>
                <w:bCs/>
                <w:color w:val="auto"/>
                <w:w w:val="99"/>
                <w:highlight w:val="none"/>
              </w:rPr>
            </w:pPr>
            <w:r>
              <w:rPr>
                <w:rFonts w:ascii="Times New Roman" w:hAnsi="Times New Roman" w:eastAsia="宋体"/>
                <w:bCs/>
                <w:color w:val="auto"/>
                <w:w w:val="99"/>
                <w:highlight w:val="none"/>
              </w:rPr>
              <w:t>1</w:t>
            </w:r>
          </w:p>
        </w:tc>
        <w:tc>
          <w:tcPr>
            <w:tcW w:w="2867" w:type="pct"/>
            <w:tcMar>
              <w:top w:w="15" w:type="dxa"/>
              <w:left w:w="15" w:type="dxa"/>
              <w:right w:w="15" w:type="dxa"/>
            </w:tcMar>
            <w:vAlign w:val="center"/>
          </w:tcPr>
          <w:p w14:paraId="18D421C1">
            <w:pPr>
              <w:pStyle w:val="102"/>
              <w:spacing w:line="240" w:lineRule="auto"/>
              <w:ind w:left="0" w:firstLine="0"/>
              <w:rPr>
                <w:rFonts w:hint="default" w:ascii="Times New Roman" w:hAnsi="Times New Roman" w:eastAsia="宋体"/>
                <w:bCs/>
                <w:color w:val="auto"/>
                <w:w w:val="99"/>
                <w:highlight w:val="none"/>
              </w:rPr>
            </w:pPr>
            <w:r>
              <w:rPr>
                <w:rFonts w:ascii="Times New Roman" w:hAnsi="Times New Roman" w:eastAsia="宋体"/>
                <w:bCs/>
                <w:color w:val="auto"/>
                <w:w w:val="99"/>
                <w:highlight w:val="none"/>
              </w:rPr>
              <w:t>井口紧急切断装置10000psi</w:t>
            </w:r>
          </w:p>
        </w:tc>
        <w:tc>
          <w:tcPr>
            <w:tcW w:w="586" w:type="pct"/>
            <w:tcMar>
              <w:top w:w="15" w:type="dxa"/>
              <w:left w:w="15" w:type="dxa"/>
              <w:right w:w="15" w:type="dxa"/>
            </w:tcMar>
            <w:vAlign w:val="center"/>
          </w:tcPr>
          <w:p w14:paraId="1D1FA702">
            <w:pPr>
              <w:pStyle w:val="102"/>
              <w:spacing w:line="240" w:lineRule="auto"/>
              <w:ind w:left="0" w:firstLine="0"/>
              <w:rPr>
                <w:rFonts w:hint="default" w:ascii="Times New Roman" w:hAnsi="Times New Roman" w:eastAsia="宋体"/>
                <w:bCs/>
                <w:color w:val="auto"/>
                <w:w w:val="99"/>
                <w:highlight w:val="none"/>
              </w:rPr>
            </w:pPr>
            <w:r>
              <w:rPr>
                <w:rFonts w:ascii="Times New Roman" w:hAnsi="Times New Roman" w:eastAsia="宋体"/>
                <w:bCs/>
                <w:color w:val="auto"/>
                <w:w w:val="99"/>
                <w:highlight w:val="none"/>
              </w:rPr>
              <w:t>套</w:t>
            </w:r>
          </w:p>
        </w:tc>
        <w:tc>
          <w:tcPr>
            <w:tcW w:w="561" w:type="pct"/>
            <w:tcMar>
              <w:top w:w="15" w:type="dxa"/>
              <w:left w:w="15" w:type="dxa"/>
              <w:right w:w="15" w:type="dxa"/>
            </w:tcMar>
            <w:vAlign w:val="center"/>
          </w:tcPr>
          <w:p w14:paraId="6256AC8D">
            <w:pPr>
              <w:pStyle w:val="102"/>
              <w:spacing w:line="240" w:lineRule="auto"/>
              <w:ind w:left="0" w:firstLine="0"/>
              <w:rPr>
                <w:rFonts w:hint="default" w:ascii="Times New Roman" w:hAnsi="Times New Roman" w:eastAsia="宋体"/>
                <w:bCs/>
                <w:color w:val="auto"/>
                <w:w w:val="99"/>
                <w:highlight w:val="none"/>
              </w:rPr>
            </w:pPr>
            <w:r>
              <w:rPr>
                <w:rFonts w:ascii="Times New Roman" w:hAnsi="Times New Roman" w:eastAsia="宋体"/>
                <w:bCs/>
                <w:color w:val="auto"/>
                <w:w w:val="99"/>
                <w:highlight w:val="none"/>
              </w:rPr>
              <w:t>1</w:t>
            </w:r>
          </w:p>
        </w:tc>
        <w:tc>
          <w:tcPr>
            <w:tcW w:w="561" w:type="pct"/>
            <w:tcBorders>
              <w:right w:val="single" w:color="auto" w:sz="4" w:space="0"/>
            </w:tcBorders>
            <w:tcMar>
              <w:top w:w="15" w:type="dxa"/>
              <w:left w:w="15" w:type="dxa"/>
              <w:right w:w="15" w:type="dxa"/>
            </w:tcMar>
            <w:vAlign w:val="center"/>
          </w:tcPr>
          <w:p w14:paraId="3226793C">
            <w:pPr>
              <w:pStyle w:val="102"/>
              <w:spacing w:line="240" w:lineRule="auto"/>
              <w:ind w:left="0" w:firstLine="0"/>
              <w:rPr>
                <w:rFonts w:hint="default" w:ascii="Times New Roman" w:hAnsi="Times New Roman" w:eastAsia="宋体"/>
                <w:bCs/>
                <w:color w:val="auto"/>
                <w:w w:val="99"/>
                <w:highlight w:val="none"/>
              </w:rPr>
            </w:pPr>
          </w:p>
        </w:tc>
      </w:tr>
      <w:tr w14:paraId="6E9C78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23" w:type="pct"/>
            <w:tcBorders>
              <w:left w:val="single" w:color="auto" w:sz="4" w:space="0"/>
            </w:tcBorders>
            <w:tcMar>
              <w:top w:w="15" w:type="dxa"/>
              <w:left w:w="15" w:type="dxa"/>
              <w:right w:w="15" w:type="dxa"/>
            </w:tcMar>
            <w:vAlign w:val="center"/>
          </w:tcPr>
          <w:p w14:paraId="3ED8D744">
            <w:pPr>
              <w:pStyle w:val="102"/>
              <w:spacing w:line="240" w:lineRule="auto"/>
              <w:ind w:left="0" w:firstLine="0"/>
              <w:rPr>
                <w:rFonts w:hint="default" w:ascii="Times New Roman" w:hAnsi="Times New Roman" w:eastAsia="宋体"/>
                <w:bCs/>
                <w:color w:val="auto"/>
                <w:w w:val="99"/>
                <w:highlight w:val="none"/>
              </w:rPr>
            </w:pPr>
            <w:r>
              <w:rPr>
                <w:rFonts w:ascii="Times New Roman" w:hAnsi="Times New Roman" w:eastAsia="宋体"/>
                <w:bCs/>
                <w:color w:val="auto"/>
                <w:w w:val="99"/>
                <w:highlight w:val="none"/>
              </w:rPr>
              <w:t>2</w:t>
            </w:r>
          </w:p>
        </w:tc>
        <w:tc>
          <w:tcPr>
            <w:tcW w:w="2867" w:type="pct"/>
            <w:tcMar>
              <w:top w:w="15" w:type="dxa"/>
              <w:left w:w="15" w:type="dxa"/>
              <w:right w:w="15" w:type="dxa"/>
            </w:tcMar>
            <w:vAlign w:val="center"/>
          </w:tcPr>
          <w:p w14:paraId="1FC724CC">
            <w:pPr>
              <w:pStyle w:val="102"/>
              <w:spacing w:line="240" w:lineRule="auto"/>
              <w:ind w:left="0" w:firstLine="0"/>
              <w:rPr>
                <w:rFonts w:hint="default" w:ascii="Times New Roman" w:hAnsi="Times New Roman" w:eastAsia="宋体"/>
                <w:bCs/>
                <w:color w:val="auto"/>
                <w:w w:val="99"/>
                <w:highlight w:val="none"/>
              </w:rPr>
            </w:pPr>
            <w:r>
              <w:rPr>
                <w:rFonts w:hint="default" w:ascii="Times New Roman" w:hAnsi="Times New Roman" w:eastAsia="宋体"/>
                <w:bCs/>
                <w:color w:val="auto"/>
                <w:w w:val="99"/>
                <w:highlight w:val="none"/>
              </w:rPr>
              <w:t>80kW 防爆电磁涡流加热装置</w:t>
            </w:r>
          </w:p>
        </w:tc>
        <w:tc>
          <w:tcPr>
            <w:tcW w:w="586" w:type="pct"/>
            <w:tcMar>
              <w:top w:w="15" w:type="dxa"/>
              <w:left w:w="15" w:type="dxa"/>
              <w:right w:w="15" w:type="dxa"/>
            </w:tcMar>
            <w:vAlign w:val="center"/>
          </w:tcPr>
          <w:p w14:paraId="35DB5876">
            <w:pPr>
              <w:pStyle w:val="102"/>
              <w:spacing w:line="240" w:lineRule="auto"/>
              <w:ind w:left="0" w:firstLine="0"/>
              <w:rPr>
                <w:rFonts w:hint="default" w:ascii="Times New Roman" w:hAnsi="Times New Roman" w:eastAsia="宋体"/>
                <w:bCs/>
                <w:color w:val="auto"/>
                <w:w w:val="99"/>
                <w:highlight w:val="none"/>
              </w:rPr>
            </w:pPr>
            <w:r>
              <w:rPr>
                <w:rFonts w:ascii="Times New Roman" w:hAnsi="Times New Roman" w:eastAsia="宋体"/>
                <w:bCs/>
                <w:color w:val="auto"/>
                <w:w w:val="99"/>
                <w:highlight w:val="none"/>
              </w:rPr>
              <w:t>台</w:t>
            </w:r>
          </w:p>
        </w:tc>
        <w:tc>
          <w:tcPr>
            <w:tcW w:w="561" w:type="pct"/>
            <w:tcMar>
              <w:top w:w="15" w:type="dxa"/>
              <w:left w:w="15" w:type="dxa"/>
              <w:right w:w="15" w:type="dxa"/>
            </w:tcMar>
            <w:vAlign w:val="center"/>
          </w:tcPr>
          <w:p w14:paraId="3ADD831B">
            <w:pPr>
              <w:pStyle w:val="102"/>
              <w:spacing w:line="240" w:lineRule="auto"/>
              <w:ind w:left="0" w:firstLine="0"/>
              <w:rPr>
                <w:rFonts w:hint="default" w:ascii="Times New Roman" w:hAnsi="Times New Roman" w:eastAsia="宋体"/>
                <w:bCs/>
                <w:color w:val="auto"/>
                <w:w w:val="99"/>
                <w:highlight w:val="none"/>
              </w:rPr>
            </w:pPr>
            <w:r>
              <w:rPr>
                <w:rFonts w:ascii="Times New Roman" w:hAnsi="Times New Roman" w:eastAsia="宋体"/>
                <w:bCs/>
                <w:color w:val="auto"/>
                <w:w w:val="99"/>
                <w:highlight w:val="none"/>
              </w:rPr>
              <w:t>1</w:t>
            </w:r>
          </w:p>
        </w:tc>
        <w:tc>
          <w:tcPr>
            <w:tcW w:w="561" w:type="pct"/>
            <w:tcBorders>
              <w:right w:val="single" w:color="auto" w:sz="4" w:space="0"/>
            </w:tcBorders>
            <w:tcMar>
              <w:top w:w="15" w:type="dxa"/>
              <w:left w:w="15" w:type="dxa"/>
              <w:right w:w="15" w:type="dxa"/>
            </w:tcMar>
            <w:vAlign w:val="center"/>
          </w:tcPr>
          <w:p w14:paraId="5EFB6D49">
            <w:pPr>
              <w:pStyle w:val="102"/>
              <w:spacing w:line="240" w:lineRule="auto"/>
              <w:ind w:left="0" w:firstLine="0"/>
              <w:rPr>
                <w:rFonts w:hint="default" w:ascii="Times New Roman" w:hAnsi="Times New Roman" w:eastAsia="宋体"/>
                <w:bCs/>
                <w:color w:val="auto"/>
                <w:w w:val="99"/>
                <w:highlight w:val="none"/>
              </w:rPr>
            </w:pPr>
          </w:p>
        </w:tc>
      </w:tr>
      <w:tr w14:paraId="0D7B27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23" w:type="pct"/>
            <w:tcBorders>
              <w:left w:val="single" w:color="auto" w:sz="4" w:space="0"/>
            </w:tcBorders>
            <w:tcMar>
              <w:top w:w="15" w:type="dxa"/>
              <w:left w:w="15" w:type="dxa"/>
              <w:right w:w="15" w:type="dxa"/>
            </w:tcMar>
            <w:vAlign w:val="center"/>
          </w:tcPr>
          <w:p w14:paraId="03C72DA1">
            <w:pPr>
              <w:pStyle w:val="102"/>
              <w:spacing w:line="240" w:lineRule="auto"/>
              <w:ind w:left="0" w:firstLine="0"/>
              <w:rPr>
                <w:rFonts w:hint="default" w:ascii="Times New Roman" w:hAnsi="Times New Roman" w:eastAsia="宋体"/>
                <w:bCs/>
                <w:color w:val="auto"/>
                <w:w w:val="99"/>
                <w:highlight w:val="none"/>
              </w:rPr>
            </w:pPr>
            <w:r>
              <w:rPr>
                <w:rFonts w:ascii="Times New Roman" w:hAnsi="Times New Roman" w:eastAsia="宋体"/>
                <w:bCs/>
                <w:color w:val="auto"/>
                <w:w w:val="99"/>
                <w:highlight w:val="none"/>
              </w:rPr>
              <w:t>3</w:t>
            </w:r>
          </w:p>
        </w:tc>
        <w:tc>
          <w:tcPr>
            <w:tcW w:w="2867" w:type="pct"/>
            <w:tcMar>
              <w:top w:w="15" w:type="dxa"/>
              <w:left w:w="15" w:type="dxa"/>
              <w:right w:w="15" w:type="dxa"/>
            </w:tcMar>
            <w:vAlign w:val="center"/>
          </w:tcPr>
          <w:p w14:paraId="0B2E2147">
            <w:pPr>
              <w:pStyle w:val="102"/>
              <w:spacing w:line="240" w:lineRule="auto"/>
              <w:ind w:left="0" w:firstLine="0"/>
              <w:rPr>
                <w:rFonts w:hint="default" w:ascii="Times New Roman" w:hAnsi="Times New Roman" w:eastAsia="宋体"/>
                <w:bCs/>
                <w:color w:val="auto"/>
                <w:w w:val="99"/>
                <w:highlight w:val="none"/>
              </w:rPr>
            </w:pPr>
            <w:r>
              <w:rPr>
                <w:rFonts w:ascii="Times New Roman" w:hAnsi="Times New Roman" w:eastAsia="宋体"/>
                <w:bCs/>
                <w:color w:val="auto"/>
                <w:w w:val="99"/>
                <w:highlight w:val="none"/>
              </w:rPr>
              <w:t>井口除砂器</w:t>
            </w:r>
          </w:p>
        </w:tc>
        <w:tc>
          <w:tcPr>
            <w:tcW w:w="586" w:type="pct"/>
            <w:tcMar>
              <w:top w:w="15" w:type="dxa"/>
              <w:left w:w="15" w:type="dxa"/>
              <w:right w:w="15" w:type="dxa"/>
            </w:tcMar>
            <w:vAlign w:val="center"/>
          </w:tcPr>
          <w:p w14:paraId="03BF6595">
            <w:pPr>
              <w:pStyle w:val="102"/>
              <w:spacing w:line="240" w:lineRule="auto"/>
              <w:ind w:left="0" w:firstLine="0"/>
              <w:rPr>
                <w:rFonts w:hint="default" w:ascii="Times New Roman" w:hAnsi="Times New Roman" w:eastAsia="宋体"/>
                <w:bCs/>
                <w:color w:val="auto"/>
                <w:w w:val="99"/>
                <w:highlight w:val="none"/>
              </w:rPr>
            </w:pPr>
            <w:r>
              <w:rPr>
                <w:rFonts w:ascii="Times New Roman" w:hAnsi="Times New Roman" w:eastAsia="宋体"/>
                <w:bCs/>
                <w:color w:val="auto"/>
                <w:w w:val="99"/>
                <w:highlight w:val="none"/>
              </w:rPr>
              <w:t>座</w:t>
            </w:r>
          </w:p>
        </w:tc>
        <w:tc>
          <w:tcPr>
            <w:tcW w:w="561" w:type="pct"/>
            <w:tcMar>
              <w:top w:w="15" w:type="dxa"/>
              <w:left w:w="15" w:type="dxa"/>
              <w:right w:w="15" w:type="dxa"/>
            </w:tcMar>
            <w:vAlign w:val="center"/>
          </w:tcPr>
          <w:p w14:paraId="60A8AEDD">
            <w:pPr>
              <w:pStyle w:val="102"/>
              <w:spacing w:line="240" w:lineRule="auto"/>
              <w:ind w:left="0" w:firstLine="0"/>
              <w:rPr>
                <w:rFonts w:hint="default" w:ascii="Times New Roman" w:hAnsi="Times New Roman" w:eastAsia="宋体"/>
                <w:bCs/>
                <w:color w:val="auto"/>
                <w:w w:val="99"/>
                <w:highlight w:val="none"/>
              </w:rPr>
            </w:pPr>
            <w:r>
              <w:rPr>
                <w:rFonts w:ascii="Times New Roman" w:hAnsi="Times New Roman" w:eastAsia="宋体"/>
                <w:bCs/>
                <w:color w:val="auto"/>
                <w:w w:val="99"/>
                <w:highlight w:val="none"/>
              </w:rPr>
              <w:t>1</w:t>
            </w:r>
          </w:p>
        </w:tc>
        <w:tc>
          <w:tcPr>
            <w:tcW w:w="561" w:type="pct"/>
            <w:tcBorders>
              <w:right w:val="single" w:color="auto" w:sz="4" w:space="0"/>
            </w:tcBorders>
            <w:tcMar>
              <w:top w:w="15" w:type="dxa"/>
              <w:left w:w="15" w:type="dxa"/>
              <w:right w:w="15" w:type="dxa"/>
            </w:tcMar>
            <w:vAlign w:val="center"/>
          </w:tcPr>
          <w:p w14:paraId="424934CB">
            <w:pPr>
              <w:pStyle w:val="102"/>
              <w:spacing w:line="240" w:lineRule="auto"/>
              <w:ind w:left="0" w:firstLine="0"/>
              <w:rPr>
                <w:rFonts w:hint="default" w:ascii="Times New Roman" w:hAnsi="Times New Roman" w:eastAsia="宋体"/>
                <w:bCs/>
                <w:color w:val="auto"/>
                <w:w w:val="99"/>
                <w:highlight w:val="none"/>
              </w:rPr>
            </w:pPr>
          </w:p>
        </w:tc>
      </w:tr>
      <w:tr w14:paraId="279FF4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23" w:type="pct"/>
            <w:tcBorders>
              <w:left w:val="single" w:color="auto" w:sz="4" w:space="0"/>
            </w:tcBorders>
            <w:tcMar>
              <w:top w:w="15" w:type="dxa"/>
              <w:left w:w="15" w:type="dxa"/>
              <w:right w:w="15" w:type="dxa"/>
            </w:tcMar>
            <w:vAlign w:val="center"/>
          </w:tcPr>
          <w:p w14:paraId="48B23445">
            <w:pPr>
              <w:pStyle w:val="102"/>
              <w:spacing w:line="240" w:lineRule="auto"/>
              <w:ind w:left="0" w:firstLine="0"/>
              <w:rPr>
                <w:rFonts w:hint="default" w:ascii="Times New Roman" w:hAnsi="Times New Roman" w:eastAsia="宋体"/>
                <w:bCs/>
                <w:color w:val="auto"/>
                <w:w w:val="99"/>
                <w:highlight w:val="none"/>
              </w:rPr>
            </w:pPr>
            <w:r>
              <w:rPr>
                <w:rFonts w:ascii="Times New Roman" w:hAnsi="Times New Roman" w:eastAsia="宋体"/>
                <w:bCs/>
                <w:color w:val="auto"/>
                <w:w w:val="99"/>
                <w:highlight w:val="none"/>
              </w:rPr>
              <w:t>4</w:t>
            </w:r>
          </w:p>
        </w:tc>
        <w:tc>
          <w:tcPr>
            <w:tcW w:w="2867" w:type="pct"/>
            <w:shd w:val="clear" w:color="auto" w:fill="auto"/>
            <w:tcMar>
              <w:top w:w="15" w:type="dxa"/>
              <w:left w:w="15" w:type="dxa"/>
              <w:right w:w="15" w:type="dxa"/>
            </w:tcMar>
            <w:vAlign w:val="center"/>
          </w:tcPr>
          <w:p w14:paraId="778C0445">
            <w:pPr>
              <w:pStyle w:val="102"/>
              <w:spacing w:line="240" w:lineRule="auto"/>
              <w:ind w:left="0" w:leftChars="0" w:firstLine="0" w:firstLineChars="0"/>
              <w:rPr>
                <w:rFonts w:hint="default" w:ascii="Times New Roman" w:hAnsi="Times New Roman" w:eastAsia="宋体" w:cs="Times New Roman"/>
                <w:bCs/>
                <w:color w:val="auto"/>
                <w:w w:val="99"/>
                <w:kern w:val="2"/>
                <w:sz w:val="21"/>
                <w:szCs w:val="21"/>
                <w:highlight w:val="none"/>
                <w:lang w:val="en-US" w:eastAsia="zh-CN" w:bidi="ar-SA"/>
              </w:rPr>
            </w:pPr>
            <w:r>
              <w:rPr>
                <w:rFonts w:ascii="Times New Roman" w:hAnsi="Times New Roman" w:eastAsia="宋体"/>
                <w:bCs/>
                <w:color w:val="auto"/>
                <w:w w:val="99"/>
                <w:highlight w:val="none"/>
              </w:rPr>
              <w:t>4.2m大门</w:t>
            </w:r>
          </w:p>
        </w:tc>
        <w:tc>
          <w:tcPr>
            <w:tcW w:w="586" w:type="pct"/>
            <w:shd w:val="clear" w:color="auto" w:fill="auto"/>
            <w:tcMar>
              <w:top w:w="15" w:type="dxa"/>
              <w:left w:w="15" w:type="dxa"/>
              <w:right w:w="15" w:type="dxa"/>
            </w:tcMar>
            <w:vAlign w:val="center"/>
          </w:tcPr>
          <w:p w14:paraId="518CB6AA">
            <w:pPr>
              <w:pStyle w:val="102"/>
              <w:spacing w:line="240" w:lineRule="auto"/>
              <w:ind w:left="0" w:leftChars="0" w:firstLine="0" w:firstLineChars="0"/>
              <w:rPr>
                <w:rFonts w:hint="default" w:ascii="Times New Roman" w:hAnsi="Times New Roman" w:eastAsia="宋体" w:cs="Times New Roman"/>
                <w:bCs/>
                <w:color w:val="auto"/>
                <w:w w:val="99"/>
                <w:kern w:val="2"/>
                <w:sz w:val="21"/>
                <w:szCs w:val="21"/>
                <w:highlight w:val="none"/>
                <w:lang w:val="en-US" w:eastAsia="zh-CN" w:bidi="ar-SA"/>
              </w:rPr>
            </w:pPr>
            <w:r>
              <w:rPr>
                <w:rFonts w:ascii="Times New Roman" w:hAnsi="Times New Roman" w:eastAsia="宋体"/>
                <w:bCs/>
                <w:color w:val="auto"/>
                <w:w w:val="99"/>
                <w:highlight w:val="none"/>
              </w:rPr>
              <w:t>座</w:t>
            </w:r>
          </w:p>
        </w:tc>
        <w:tc>
          <w:tcPr>
            <w:tcW w:w="561" w:type="pct"/>
            <w:shd w:val="clear" w:color="auto" w:fill="auto"/>
            <w:tcMar>
              <w:top w:w="15" w:type="dxa"/>
              <w:left w:w="15" w:type="dxa"/>
              <w:right w:w="15" w:type="dxa"/>
            </w:tcMar>
            <w:vAlign w:val="center"/>
          </w:tcPr>
          <w:p w14:paraId="1E486B4E">
            <w:pPr>
              <w:pStyle w:val="102"/>
              <w:spacing w:line="240" w:lineRule="auto"/>
              <w:ind w:left="0" w:leftChars="0" w:firstLine="0" w:firstLineChars="0"/>
              <w:rPr>
                <w:rFonts w:hint="default" w:ascii="Times New Roman" w:hAnsi="Times New Roman" w:eastAsia="宋体" w:cs="Times New Roman"/>
                <w:bCs/>
                <w:color w:val="auto"/>
                <w:w w:val="99"/>
                <w:kern w:val="2"/>
                <w:sz w:val="21"/>
                <w:szCs w:val="21"/>
                <w:highlight w:val="none"/>
                <w:lang w:val="en-US" w:eastAsia="zh-CN" w:bidi="ar-SA"/>
              </w:rPr>
            </w:pPr>
            <w:r>
              <w:rPr>
                <w:rFonts w:ascii="Times New Roman" w:hAnsi="Times New Roman" w:eastAsia="宋体"/>
                <w:bCs/>
                <w:color w:val="auto"/>
                <w:w w:val="99"/>
                <w:highlight w:val="none"/>
              </w:rPr>
              <w:t>1</w:t>
            </w:r>
          </w:p>
        </w:tc>
        <w:tc>
          <w:tcPr>
            <w:tcW w:w="561" w:type="pct"/>
            <w:tcBorders>
              <w:right w:val="single" w:color="auto" w:sz="4" w:space="0"/>
            </w:tcBorders>
            <w:tcMar>
              <w:top w:w="15" w:type="dxa"/>
              <w:left w:w="15" w:type="dxa"/>
              <w:right w:w="15" w:type="dxa"/>
            </w:tcMar>
            <w:vAlign w:val="center"/>
          </w:tcPr>
          <w:p w14:paraId="5B49571E">
            <w:pPr>
              <w:pStyle w:val="102"/>
              <w:spacing w:line="240" w:lineRule="auto"/>
              <w:ind w:left="0" w:firstLine="0"/>
              <w:rPr>
                <w:rFonts w:hint="default" w:ascii="Times New Roman" w:hAnsi="Times New Roman" w:eastAsia="宋体"/>
                <w:bCs/>
                <w:color w:val="auto"/>
                <w:w w:val="99"/>
                <w:highlight w:val="none"/>
              </w:rPr>
            </w:pPr>
          </w:p>
        </w:tc>
      </w:tr>
      <w:tr w14:paraId="2028E6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23" w:type="pct"/>
            <w:tcBorders>
              <w:left w:val="single" w:color="auto" w:sz="4" w:space="0"/>
            </w:tcBorders>
            <w:tcMar>
              <w:top w:w="15" w:type="dxa"/>
              <w:left w:w="15" w:type="dxa"/>
              <w:right w:w="15" w:type="dxa"/>
            </w:tcMar>
            <w:vAlign w:val="center"/>
          </w:tcPr>
          <w:p w14:paraId="3E67AA8E">
            <w:pPr>
              <w:pStyle w:val="102"/>
              <w:spacing w:line="240" w:lineRule="auto"/>
              <w:ind w:left="0" w:firstLine="0"/>
              <w:rPr>
                <w:rFonts w:hint="default" w:ascii="Times New Roman" w:hAnsi="Times New Roman" w:eastAsia="宋体"/>
                <w:bCs/>
                <w:color w:val="auto"/>
                <w:w w:val="99"/>
                <w:highlight w:val="none"/>
              </w:rPr>
            </w:pPr>
            <w:r>
              <w:rPr>
                <w:rFonts w:ascii="Times New Roman" w:hAnsi="Times New Roman" w:eastAsia="宋体"/>
                <w:bCs/>
                <w:color w:val="auto"/>
                <w:w w:val="99"/>
                <w:highlight w:val="none"/>
              </w:rPr>
              <w:t>5</w:t>
            </w:r>
          </w:p>
        </w:tc>
        <w:tc>
          <w:tcPr>
            <w:tcW w:w="2867" w:type="pct"/>
            <w:shd w:val="clear" w:color="auto" w:fill="auto"/>
            <w:tcMar>
              <w:top w:w="15" w:type="dxa"/>
              <w:left w:w="15" w:type="dxa"/>
              <w:right w:w="15" w:type="dxa"/>
            </w:tcMar>
            <w:vAlign w:val="center"/>
          </w:tcPr>
          <w:p w14:paraId="2A06F09D">
            <w:pPr>
              <w:pStyle w:val="102"/>
              <w:spacing w:line="240" w:lineRule="auto"/>
              <w:ind w:left="0" w:leftChars="0" w:firstLine="0" w:firstLineChars="0"/>
              <w:rPr>
                <w:rFonts w:hint="default" w:ascii="Times New Roman" w:hAnsi="Times New Roman" w:eastAsia="宋体" w:cs="Times New Roman"/>
                <w:bCs/>
                <w:color w:val="auto"/>
                <w:w w:val="99"/>
                <w:kern w:val="2"/>
                <w:sz w:val="21"/>
                <w:szCs w:val="21"/>
                <w:highlight w:val="none"/>
                <w:lang w:val="en-US" w:eastAsia="zh-CN" w:bidi="ar-SA"/>
              </w:rPr>
            </w:pPr>
            <w:r>
              <w:rPr>
                <w:rFonts w:ascii="Times New Roman" w:hAnsi="Times New Roman" w:eastAsia="宋体"/>
                <w:bCs/>
                <w:color w:val="auto"/>
                <w:w w:val="99"/>
                <w:highlight w:val="none"/>
              </w:rPr>
              <w:t>井口围栏</w:t>
            </w:r>
          </w:p>
        </w:tc>
        <w:tc>
          <w:tcPr>
            <w:tcW w:w="586" w:type="pct"/>
            <w:shd w:val="clear" w:color="auto" w:fill="auto"/>
            <w:tcMar>
              <w:top w:w="15" w:type="dxa"/>
              <w:left w:w="15" w:type="dxa"/>
              <w:right w:w="15" w:type="dxa"/>
            </w:tcMar>
            <w:vAlign w:val="center"/>
          </w:tcPr>
          <w:p w14:paraId="67498782">
            <w:pPr>
              <w:pStyle w:val="102"/>
              <w:spacing w:line="240" w:lineRule="auto"/>
              <w:ind w:left="0" w:leftChars="0" w:firstLine="0" w:firstLineChars="0"/>
              <w:rPr>
                <w:rFonts w:hint="default" w:ascii="Times New Roman" w:hAnsi="Times New Roman" w:eastAsia="宋体" w:cs="Times New Roman"/>
                <w:bCs/>
                <w:color w:val="auto"/>
                <w:w w:val="99"/>
                <w:kern w:val="2"/>
                <w:sz w:val="21"/>
                <w:szCs w:val="21"/>
                <w:highlight w:val="none"/>
                <w:lang w:val="en-US" w:eastAsia="zh-CN" w:bidi="ar-SA"/>
              </w:rPr>
            </w:pPr>
            <w:r>
              <w:rPr>
                <w:rFonts w:ascii="Times New Roman" w:hAnsi="Times New Roman" w:eastAsia="宋体"/>
                <w:bCs/>
                <w:color w:val="auto"/>
                <w:w w:val="99"/>
                <w:highlight w:val="none"/>
              </w:rPr>
              <w:t>m</w:t>
            </w:r>
          </w:p>
        </w:tc>
        <w:tc>
          <w:tcPr>
            <w:tcW w:w="561" w:type="pct"/>
            <w:shd w:val="clear" w:color="auto" w:fill="auto"/>
            <w:tcMar>
              <w:top w:w="15" w:type="dxa"/>
              <w:left w:w="15" w:type="dxa"/>
              <w:right w:w="15" w:type="dxa"/>
            </w:tcMar>
            <w:vAlign w:val="center"/>
          </w:tcPr>
          <w:p w14:paraId="0AE06337">
            <w:pPr>
              <w:pStyle w:val="102"/>
              <w:spacing w:line="240" w:lineRule="auto"/>
              <w:ind w:left="0" w:leftChars="0" w:firstLine="0" w:firstLineChars="0"/>
              <w:rPr>
                <w:rFonts w:hint="default" w:ascii="Times New Roman" w:hAnsi="Times New Roman" w:eastAsia="宋体" w:cs="Times New Roman"/>
                <w:bCs/>
                <w:color w:val="auto"/>
                <w:w w:val="99"/>
                <w:kern w:val="2"/>
                <w:sz w:val="21"/>
                <w:szCs w:val="21"/>
                <w:highlight w:val="none"/>
                <w:lang w:val="en-US" w:eastAsia="zh-CN" w:bidi="ar-SA"/>
              </w:rPr>
            </w:pPr>
            <w:r>
              <w:rPr>
                <w:rFonts w:ascii="Times New Roman" w:hAnsi="Times New Roman" w:eastAsia="宋体"/>
                <w:bCs/>
                <w:color w:val="auto"/>
                <w:w w:val="99"/>
                <w:highlight w:val="none"/>
              </w:rPr>
              <w:t>700</w:t>
            </w:r>
          </w:p>
        </w:tc>
        <w:tc>
          <w:tcPr>
            <w:tcW w:w="561" w:type="pct"/>
            <w:tcBorders>
              <w:right w:val="single" w:color="auto" w:sz="4" w:space="0"/>
            </w:tcBorders>
            <w:tcMar>
              <w:top w:w="15" w:type="dxa"/>
              <w:left w:w="15" w:type="dxa"/>
              <w:right w:w="15" w:type="dxa"/>
            </w:tcMar>
            <w:vAlign w:val="center"/>
          </w:tcPr>
          <w:p w14:paraId="5D4AF86A">
            <w:pPr>
              <w:pStyle w:val="102"/>
              <w:spacing w:line="240" w:lineRule="auto"/>
              <w:ind w:left="0" w:firstLine="0"/>
              <w:rPr>
                <w:rFonts w:hint="default" w:ascii="Times New Roman" w:hAnsi="Times New Roman" w:eastAsia="宋体"/>
                <w:bCs/>
                <w:color w:val="auto"/>
                <w:w w:val="99"/>
                <w:highlight w:val="none"/>
              </w:rPr>
            </w:pPr>
          </w:p>
        </w:tc>
      </w:tr>
      <w:tr w14:paraId="0C1576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23" w:type="pct"/>
            <w:tcBorders>
              <w:left w:val="single" w:color="auto" w:sz="4" w:space="0"/>
            </w:tcBorders>
            <w:tcMar>
              <w:top w:w="15" w:type="dxa"/>
              <w:left w:w="15" w:type="dxa"/>
              <w:right w:w="15" w:type="dxa"/>
            </w:tcMar>
            <w:vAlign w:val="center"/>
          </w:tcPr>
          <w:p w14:paraId="5C248C72">
            <w:pPr>
              <w:pStyle w:val="102"/>
              <w:spacing w:line="240" w:lineRule="auto"/>
              <w:ind w:left="0" w:firstLine="0"/>
              <w:rPr>
                <w:rFonts w:hint="default" w:ascii="Times New Roman" w:hAnsi="Times New Roman" w:eastAsia="宋体"/>
                <w:bCs/>
                <w:color w:val="auto"/>
                <w:w w:val="99"/>
                <w:highlight w:val="none"/>
              </w:rPr>
            </w:pPr>
            <w:r>
              <w:rPr>
                <w:rFonts w:ascii="Times New Roman" w:hAnsi="Times New Roman" w:eastAsia="宋体"/>
                <w:bCs/>
                <w:color w:val="auto"/>
                <w:w w:val="99"/>
                <w:highlight w:val="none"/>
              </w:rPr>
              <w:t>6</w:t>
            </w:r>
          </w:p>
        </w:tc>
        <w:tc>
          <w:tcPr>
            <w:tcW w:w="2867" w:type="pct"/>
            <w:shd w:val="clear" w:color="auto" w:fill="auto"/>
            <w:tcMar>
              <w:top w:w="15" w:type="dxa"/>
              <w:left w:w="15" w:type="dxa"/>
              <w:right w:w="15" w:type="dxa"/>
            </w:tcMar>
            <w:vAlign w:val="center"/>
          </w:tcPr>
          <w:p w14:paraId="012CE914">
            <w:pPr>
              <w:pStyle w:val="102"/>
              <w:spacing w:line="240" w:lineRule="auto"/>
              <w:ind w:left="0" w:leftChars="0" w:firstLine="0" w:firstLineChars="0"/>
              <w:rPr>
                <w:rFonts w:hint="default" w:ascii="Times New Roman" w:hAnsi="Times New Roman" w:eastAsia="宋体" w:cs="Times New Roman"/>
                <w:bCs/>
                <w:color w:val="auto"/>
                <w:w w:val="99"/>
                <w:kern w:val="2"/>
                <w:sz w:val="21"/>
                <w:szCs w:val="21"/>
                <w:highlight w:val="none"/>
                <w:lang w:val="en-US" w:eastAsia="zh-CN" w:bidi="ar-SA"/>
              </w:rPr>
            </w:pPr>
            <w:r>
              <w:rPr>
                <w:rFonts w:ascii="Times New Roman" w:hAnsi="Times New Roman" w:eastAsia="宋体"/>
                <w:bCs/>
                <w:color w:val="auto"/>
                <w:w w:val="99"/>
                <w:highlight w:val="none"/>
              </w:rPr>
              <w:t>井口放空池</w:t>
            </w:r>
          </w:p>
        </w:tc>
        <w:tc>
          <w:tcPr>
            <w:tcW w:w="586" w:type="pct"/>
            <w:shd w:val="clear" w:color="auto" w:fill="auto"/>
            <w:tcMar>
              <w:top w:w="15" w:type="dxa"/>
              <w:left w:w="15" w:type="dxa"/>
              <w:right w:w="15" w:type="dxa"/>
            </w:tcMar>
            <w:vAlign w:val="center"/>
          </w:tcPr>
          <w:p w14:paraId="32F65AD1">
            <w:pPr>
              <w:pStyle w:val="102"/>
              <w:spacing w:line="240" w:lineRule="auto"/>
              <w:ind w:left="0" w:leftChars="0" w:firstLine="0" w:firstLineChars="0"/>
              <w:rPr>
                <w:rFonts w:hint="default" w:ascii="Times New Roman" w:hAnsi="Times New Roman" w:eastAsia="宋体" w:cs="Times New Roman"/>
                <w:bCs/>
                <w:color w:val="auto"/>
                <w:w w:val="99"/>
                <w:kern w:val="2"/>
                <w:sz w:val="21"/>
                <w:szCs w:val="21"/>
                <w:highlight w:val="none"/>
                <w:lang w:val="en-US" w:eastAsia="zh-CN" w:bidi="ar-SA"/>
              </w:rPr>
            </w:pPr>
            <w:r>
              <w:rPr>
                <w:rFonts w:ascii="Times New Roman" w:hAnsi="Times New Roman" w:eastAsia="宋体"/>
                <w:bCs/>
                <w:color w:val="auto"/>
                <w:w w:val="99"/>
                <w:highlight w:val="none"/>
              </w:rPr>
              <w:t>座</w:t>
            </w:r>
          </w:p>
        </w:tc>
        <w:tc>
          <w:tcPr>
            <w:tcW w:w="561" w:type="pct"/>
            <w:shd w:val="clear" w:color="auto" w:fill="auto"/>
            <w:tcMar>
              <w:top w:w="15" w:type="dxa"/>
              <w:left w:w="15" w:type="dxa"/>
              <w:right w:w="15" w:type="dxa"/>
            </w:tcMar>
            <w:vAlign w:val="center"/>
          </w:tcPr>
          <w:p w14:paraId="3006C065">
            <w:pPr>
              <w:pStyle w:val="102"/>
              <w:spacing w:line="240" w:lineRule="auto"/>
              <w:ind w:left="0" w:leftChars="0" w:firstLine="0" w:firstLineChars="0"/>
              <w:rPr>
                <w:rFonts w:hint="default" w:ascii="Times New Roman" w:hAnsi="Times New Roman" w:eastAsia="宋体" w:cs="Times New Roman"/>
                <w:bCs/>
                <w:color w:val="auto"/>
                <w:w w:val="99"/>
                <w:kern w:val="2"/>
                <w:sz w:val="21"/>
                <w:szCs w:val="21"/>
                <w:highlight w:val="none"/>
                <w:lang w:val="en-US" w:eastAsia="zh-CN" w:bidi="ar-SA"/>
              </w:rPr>
            </w:pPr>
            <w:r>
              <w:rPr>
                <w:rFonts w:ascii="Times New Roman" w:hAnsi="Times New Roman" w:eastAsia="宋体"/>
                <w:bCs/>
                <w:color w:val="auto"/>
                <w:w w:val="99"/>
                <w:highlight w:val="none"/>
              </w:rPr>
              <w:t>1</w:t>
            </w:r>
          </w:p>
        </w:tc>
        <w:tc>
          <w:tcPr>
            <w:tcW w:w="561" w:type="pct"/>
            <w:tcBorders>
              <w:right w:val="single" w:color="auto" w:sz="4" w:space="0"/>
            </w:tcBorders>
            <w:tcMar>
              <w:top w:w="15" w:type="dxa"/>
              <w:left w:w="15" w:type="dxa"/>
              <w:right w:w="15" w:type="dxa"/>
            </w:tcMar>
            <w:vAlign w:val="center"/>
          </w:tcPr>
          <w:p w14:paraId="0E0FB813">
            <w:pPr>
              <w:pStyle w:val="102"/>
              <w:spacing w:line="240" w:lineRule="auto"/>
              <w:ind w:left="0" w:firstLine="0"/>
              <w:rPr>
                <w:rFonts w:hint="default" w:ascii="Times New Roman" w:hAnsi="Times New Roman" w:eastAsia="宋体"/>
                <w:bCs/>
                <w:color w:val="auto"/>
                <w:w w:val="99"/>
                <w:highlight w:val="none"/>
              </w:rPr>
            </w:pPr>
          </w:p>
        </w:tc>
      </w:tr>
      <w:tr w14:paraId="36483B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23" w:type="pct"/>
            <w:tcBorders>
              <w:left w:val="single" w:color="auto" w:sz="4" w:space="0"/>
            </w:tcBorders>
            <w:tcMar>
              <w:top w:w="15" w:type="dxa"/>
              <w:left w:w="15" w:type="dxa"/>
              <w:right w:w="15" w:type="dxa"/>
            </w:tcMar>
            <w:vAlign w:val="center"/>
          </w:tcPr>
          <w:p w14:paraId="2E7A5F29">
            <w:pPr>
              <w:pStyle w:val="102"/>
              <w:spacing w:line="240" w:lineRule="auto"/>
              <w:ind w:left="0" w:firstLine="0"/>
              <w:rPr>
                <w:rFonts w:hint="default" w:ascii="Times New Roman" w:hAnsi="Times New Roman" w:eastAsia="宋体"/>
                <w:bCs/>
                <w:color w:val="auto"/>
                <w:w w:val="99"/>
                <w:highlight w:val="none"/>
              </w:rPr>
            </w:pPr>
            <w:r>
              <w:rPr>
                <w:rFonts w:ascii="Times New Roman" w:hAnsi="Times New Roman" w:eastAsia="宋体"/>
                <w:bCs/>
                <w:color w:val="auto"/>
                <w:w w:val="99"/>
                <w:highlight w:val="none"/>
              </w:rPr>
              <w:t>7</w:t>
            </w:r>
          </w:p>
        </w:tc>
        <w:tc>
          <w:tcPr>
            <w:tcW w:w="2867" w:type="pct"/>
            <w:shd w:val="clear" w:color="auto" w:fill="auto"/>
            <w:tcMar>
              <w:top w:w="15" w:type="dxa"/>
              <w:left w:w="15" w:type="dxa"/>
              <w:right w:w="15" w:type="dxa"/>
            </w:tcMar>
            <w:vAlign w:val="center"/>
          </w:tcPr>
          <w:p w14:paraId="27A18632">
            <w:pPr>
              <w:pStyle w:val="102"/>
              <w:spacing w:line="240" w:lineRule="auto"/>
              <w:ind w:left="0" w:leftChars="0" w:firstLine="0" w:firstLineChars="0"/>
              <w:rPr>
                <w:rFonts w:hint="default" w:ascii="Times New Roman" w:hAnsi="Times New Roman" w:eastAsia="宋体" w:cs="Times New Roman"/>
                <w:bCs/>
                <w:color w:val="auto"/>
                <w:w w:val="99"/>
                <w:kern w:val="2"/>
                <w:sz w:val="21"/>
                <w:szCs w:val="21"/>
                <w:highlight w:val="none"/>
                <w:lang w:val="en-US" w:eastAsia="zh-CN" w:bidi="ar-SA"/>
              </w:rPr>
            </w:pPr>
            <w:r>
              <w:rPr>
                <w:rFonts w:ascii="Times New Roman" w:hAnsi="Times New Roman" w:eastAsia="宋体"/>
                <w:bCs/>
                <w:color w:val="auto"/>
                <w:w w:val="99"/>
                <w:highlight w:val="none"/>
              </w:rPr>
              <w:t>防渗污水坑</w:t>
            </w:r>
          </w:p>
        </w:tc>
        <w:tc>
          <w:tcPr>
            <w:tcW w:w="586" w:type="pct"/>
            <w:shd w:val="clear" w:color="auto" w:fill="auto"/>
            <w:tcMar>
              <w:top w:w="15" w:type="dxa"/>
              <w:left w:w="15" w:type="dxa"/>
              <w:right w:w="15" w:type="dxa"/>
            </w:tcMar>
            <w:vAlign w:val="center"/>
          </w:tcPr>
          <w:p w14:paraId="7AA5E345">
            <w:pPr>
              <w:pStyle w:val="102"/>
              <w:spacing w:line="240" w:lineRule="auto"/>
              <w:ind w:left="0" w:leftChars="0" w:firstLine="0" w:firstLineChars="0"/>
              <w:rPr>
                <w:rFonts w:hint="default" w:ascii="Times New Roman" w:hAnsi="Times New Roman" w:eastAsia="宋体" w:cs="Times New Roman"/>
                <w:bCs/>
                <w:color w:val="auto"/>
                <w:w w:val="99"/>
                <w:kern w:val="2"/>
                <w:sz w:val="21"/>
                <w:szCs w:val="21"/>
                <w:highlight w:val="none"/>
                <w:lang w:val="en-US" w:eastAsia="zh-CN" w:bidi="ar-SA"/>
              </w:rPr>
            </w:pPr>
            <w:r>
              <w:rPr>
                <w:rFonts w:ascii="Times New Roman" w:hAnsi="Times New Roman" w:eastAsia="宋体"/>
                <w:bCs/>
                <w:color w:val="auto"/>
                <w:w w:val="99"/>
                <w:highlight w:val="none"/>
              </w:rPr>
              <w:t>套</w:t>
            </w:r>
          </w:p>
        </w:tc>
        <w:tc>
          <w:tcPr>
            <w:tcW w:w="561" w:type="pct"/>
            <w:shd w:val="clear" w:color="auto" w:fill="auto"/>
            <w:tcMar>
              <w:top w:w="15" w:type="dxa"/>
              <w:left w:w="15" w:type="dxa"/>
              <w:right w:w="15" w:type="dxa"/>
            </w:tcMar>
            <w:vAlign w:val="center"/>
          </w:tcPr>
          <w:p w14:paraId="490CD1FA">
            <w:pPr>
              <w:pStyle w:val="102"/>
              <w:spacing w:line="240" w:lineRule="auto"/>
              <w:ind w:left="0" w:leftChars="0" w:firstLine="0" w:firstLineChars="0"/>
              <w:rPr>
                <w:rFonts w:hint="default" w:ascii="Times New Roman" w:hAnsi="Times New Roman" w:eastAsia="宋体" w:cs="Times New Roman"/>
                <w:bCs/>
                <w:color w:val="auto"/>
                <w:w w:val="99"/>
                <w:kern w:val="2"/>
                <w:sz w:val="21"/>
                <w:szCs w:val="21"/>
                <w:highlight w:val="none"/>
                <w:lang w:val="en-US" w:eastAsia="zh-CN" w:bidi="ar-SA"/>
              </w:rPr>
            </w:pPr>
            <w:r>
              <w:rPr>
                <w:rFonts w:ascii="Times New Roman" w:hAnsi="Times New Roman" w:eastAsia="宋体"/>
                <w:bCs/>
                <w:color w:val="auto"/>
                <w:w w:val="99"/>
                <w:highlight w:val="none"/>
              </w:rPr>
              <w:t>1</w:t>
            </w:r>
          </w:p>
        </w:tc>
        <w:tc>
          <w:tcPr>
            <w:tcW w:w="561" w:type="pct"/>
            <w:tcBorders>
              <w:right w:val="single" w:color="auto" w:sz="4" w:space="0"/>
            </w:tcBorders>
            <w:tcMar>
              <w:top w:w="15" w:type="dxa"/>
              <w:left w:w="15" w:type="dxa"/>
              <w:right w:w="15" w:type="dxa"/>
            </w:tcMar>
            <w:vAlign w:val="center"/>
          </w:tcPr>
          <w:p w14:paraId="0BE04874">
            <w:pPr>
              <w:pStyle w:val="102"/>
              <w:spacing w:line="240" w:lineRule="auto"/>
              <w:ind w:left="0" w:firstLine="0"/>
              <w:rPr>
                <w:rFonts w:hint="default" w:ascii="Times New Roman" w:hAnsi="Times New Roman" w:eastAsia="宋体"/>
                <w:bCs/>
                <w:color w:val="auto"/>
                <w:w w:val="99"/>
                <w:highlight w:val="none"/>
              </w:rPr>
            </w:pPr>
          </w:p>
        </w:tc>
      </w:tr>
    </w:tbl>
    <w:p w14:paraId="351A6699">
      <w:pPr>
        <w:spacing w:line="440" w:lineRule="exact"/>
        <w:outlineLvl w:val="2"/>
        <w:rPr>
          <w:rFonts w:ascii="Times New Roman" w:hAnsi="Times New Roman" w:cs="Times New Roman"/>
          <w:b/>
          <w:color w:val="auto"/>
          <w:w w:val="99"/>
          <w:szCs w:val="20"/>
          <w:highlight w:val="none"/>
        </w:rPr>
      </w:pPr>
      <w:r>
        <w:rPr>
          <w:rFonts w:ascii="Times New Roman" w:hAnsi="Times New Roman" w:cs="Times New Roman"/>
          <w:b/>
          <w:color w:val="auto"/>
          <w:w w:val="99"/>
          <w:szCs w:val="20"/>
          <w:highlight w:val="none"/>
        </w:rPr>
        <w:t>3.</w:t>
      </w:r>
      <w:r>
        <w:rPr>
          <w:rFonts w:hint="eastAsia" w:ascii="Times New Roman" w:hAnsi="Times New Roman" w:cs="Times New Roman"/>
          <w:b/>
          <w:color w:val="auto"/>
          <w:w w:val="99"/>
          <w:szCs w:val="20"/>
          <w:highlight w:val="none"/>
        </w:rPr>
        <w:t>5</w:t>
      </w:r>
      <w:r>
        <w:rPr>
          <w:rFonts w:ascii="Times New Roman" w:hAnsi="Times New Roman" w:cs="Times New Roman"/>
          <w:b/>
          <w:color w:val="auto"/>
          <w:w w:val="99"/>
          <w:szCs w:val="20"/>
          <w:highlight w:val="none"/>
        </w:rPr>
        <w:t>.</w:t>
      </w:r>
      <w:r>
        <w:rPr>
          <w:rFonts w:hint="eastAsia" w:ascii="Times New Roman" w:hAnsi="Times New Roman" w:cs="Times New Roman"/>
          <w:b/>
          <w:color w:val="auto"/>
          <w:w w:val="99"/>
          <w:szCs w:val="20"/>
          <w:highlight w:val="none"/>
        </w:rPr>
        <w:t>2天然气</w:t>
      </w:r>
      <w:r>
        <w:rPr>
          <w:rFonts w:ascii="Times New Roman" w:hAnsi="Times New Roman" w:cs="Times New Roman"/>
          <w:b/>
          <w:color w:val="auto"/>
          <w:w w:val="99"/>
          <w:szCs w:val="20"/>
          <w:highlight w:val="none"/>
        </w:rPr>
        <w:t>集输工程</w:t>
      </w:r>
    </w:p>
    <w:bookmarkEnd w:id="429"/>
    <w:p w14:paraId="50DECCA7">
      <w:pPr>
        <w:spacing w:line="440" w:lineRule="exact"/>
        <w:ind w:firstLine="474" w:firstLineChars="200"/>
        <w:jc w:val="both"/>
        <w:rPr>
          <w:rFonts w:ascii="Times New Roman" w:hAnsi="Times New Roman" w:cs="Times New Roman"/>
          <w:bCs/>
          <w:color w:val="auto"/>
          <w:w w:val="99"/>
          <w:highlight w:val="none"/>
        </w:rPr>
      </w:pPr>
      <w:r>
        <w:rPr>
          <w:rFonts w:hint="eastAsia" w:ascii="Times New Roman" w:hAnsi="Times New Roman" w:cs="Times New Roman"/>
          <w:bCs/>
          <w:color w:val="auto"/>
          <w:w w:val="99"/>
          <w:highlight w:val="none"/>
        </w:rPr>
        <w:t>本项目</w:t>
      </w:r>
      <w:r>
        <w:rPr>
          <w:rFonts w:ascii="Times New Roman" w:hAnsi="Times New Roman" w:cs="Times New Roman"/>
          <w:bCs/>
          <w:color w:val="auto"/>
          <w:w w:val="99"/>
          <w:highlight w:val="none"/>
        </w:rPr>
        <w:t>基建气井</w:t>
      </w:r>
      <w:r>
        <w:rPr>
          <w:rFonts w:hint="eastAsia" w:ascii="Times New Roman" w:hAnsi="Times New Roman" w:cs="Times New Roman"/>
          <w:bCs/>
          <w:color w:val="auto"/>
          <w:w w:val="99"/>
          <w:highlight w:val="none"/>
        </w:rPr>
        <w:t>1</w:t>
      </w:r>
      <w:r>
        <w:rPr>
          <w:rFonts w:ascii="Times New Roman" w:hAnsi="Times New Roman" w:cs="Times New Roman"/>
          <w:bCs/>
          <w:color w:val="auto"/>
          <w:w w:val="99"/>
          <w:highlight w:val="none"/>
        </w:rPr>
        <w:t>口，总产气量为</w:t>
      </w:r>
      <w:r>
        <w:rPr>
          <w:rFonts w:hint="eastAsia" w:ascii="Times New Roman" w:hAnsi="Times New Roman" w:cs="Times New Roman"/>
          <w:bCs/>
          <w:color w:val="auto"/>
          <w:w w:val="99"/>
          <w:highlight w:val="none"/>
        </w:rPr>
        <w:t>9</w:t>
      </w:r>
      <w:r>
        <w:rPr>
          <w:rFonts w:ascii="Times New Roman" w:hAnsi="Times New Roman" w:cs="Times New Roman"/>
          <w:bCs/>
          <w:color w:val="auto"/>
          <w:w w:val="99"/>
          <w:highlight w:val="none"/>
        </w:rPr>
        <w:t>×10</w:t>
      </w:r>
      <w:r>
        <w:rPr>
          <w:rFonts w:hint="eastAsia" w:ascii="Times New Roman" w:hAnsi="Times New Roman" w:cs="Times New Roman"/>
          <w:bCs/>
          <w:color w:val="auto"/>
          <w:w w:val="99"/>
          <w:highlight w:val="none"/>
          <w:vertAlign w:val="superscript"/>
        </w:rPr>
        <w:t>4</w:t>
      </w:r>
      <w:r>
        <w:rPr>
          <w:rFonts w:ascii="Times New Roman" w:hAnsi="Times New Roman" w:cs="Times New Roman"/>
          <w:bCs/>
          <w:color w:val="auto"/>
          <w:w w:val="99"/>
          <w:highlight w:val="none"/>
        </w:rPr>
        <w:t>m</w:t>
      </w:r>
      <w:r>
        <w:rPr>
          <w:rFonts w:ascii="Times New Roman" w:hAnsi="Times New Roman" w:cs="Times New Roman"/>
          <w:bCs/>
          <w:color w:val="auto"/>
          <w:w w:val="99"/>
          <w:highlight w:val="none"/>
          <w:vertAlign w:val="superscript"/>
        </w:rPr>
        <w:t>3</w:t>
      </w:r>
      <w:r>
        <w:rPr>
          <w:rFonts w:ascii="Times New Roman" w:hAnsi="Times New Roman" w:cs="Times New Roman"/>
          <w:bCs/>
          <w:color w:val="auto"/>
          <w:w w:val="99"/>
          <w:highlight w:val="none"/>
        </w:rPr>
        <w:t>/</w:t>
      </w:r>
      <w:r>
        <w:rPr>
          <w:rFonts w:hint="eastAsia" w:ascii="Times New Roman" w:hAnsi="Times New Roman" w:cs="Times New Roman"/>
          <w:bCs/>
          <w:color w:val="auto"/>
          <w:w w:val="99"/>
          <w:highlight w:val="none"/>
        </w:rPr>
        <w:t>d</w:t>
      </w:r>
      <w:r>
        <w:rPr>
          <w:rFonts w:ascii="Times New Roman" w:hAnsi="Times New Roman" w:cs="Times New Roman"/>
          <w:bCs/>
          <w:color w:val="auto"/>
          <w:w w:val="99"/>
          <w:highlight w:val="none"/>
        </w:rPr>
        <w:t>。根据井站布局，徐深27-H1井位于徐深27集气站南侧，直线距离1.8km，距离徐深3集气站直线距离7.5km，按照就近接入徐深27集气站。</w:t>
      </w:r>
    </w:p>
    <w:p w14:paraId="0E5E110A">
      <w:pPr>
        <w:spacing w:line="440" w:lineRule="exact"/>
        <w:ind w:firstLine="474" w:firstLineChars="200"/>
        <w:jc w:val="both"/>
        <w:rPr>
          <w:rFonts w:ascii="Times New Roman" w:hAnsi="Times New Roman" w:cs="Times New Roman"/>
          <w:bCs/>
          <w:color w:val="auto"/>
          <w:w w:val="99"/>
          <w:highlight w:val="none"/>
        </w:rPr>
      </w:pPr>
      <w:r>
        <w:rPr>
          <w:rFonts w:hint="eastAsia" w:ascii="Times New Roman" w:hAnsi="Times New Roman" w:cs="Times New Roman"/>
          <w:bCs/>
          <w:color w:val="auto"/>
          <w:w w:val="99"/>
          <w:highlight w:val="none"/>
        </w:rPr>
        <w:t>（1）</w:t>
      </w:r>
      <w:r>
        <w:rPr>
          <w:rFonts w:ascii="Times New Roman" w:hAnsi="Times New Roman" w:cs="Times New Roman"/>
          <w:bCs/>
          <w:color w:val="auto"/>
          <w:w w:val="99"/>
          <w:highlight w:val="none"/>
        </w:rPr>
        <w:t>走向及敷设方式</w:t>
      </w:r>
    </w:p>
    <w:p w14:paraId="49C07576">
      <w:pPr>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经现场勘查，本次管道走向尽量避免穿越林带，在耕地内应沿耕地垄沟和地头敷设，采气管道沿合理且最短路径敷设至集气站，采气管道均采用埋地敷设，管顶标高为-1.8m，管道走向详见</w:t>
      </w:r>
      <w:r>
        <w:rPr>
          <w:rFonts w:hint="eastAsia" w:ascii="Times New Roman" w:hAnsi="Times New Roman" w:cs="Times New Roman"/>
          <w:bCs/>
          <w:color w:val="auto"/>
          <w:w w:val="99"/>
          <w:highlight w:val="none"/>
        </w:rPr>
        <w:t>附</w:t>
      </w:r>
      <w:r>
        <w:rPr>
          <w:rFonts w:ascii="Times New Roman" w:hAnsi="Times New Roman" w:cs="Times New Roman"/>
          <w:bCs/>
          <w:color w:val="auto"/>
          <w:w w:val="99"/>
          <w:highlight w:val="none"/>
        </w:rPr>
        <w:t>图</w:t>
      </w:r>
      <w:r>
        <w:rPr>
          <w:rFonts w:hint="eastAsia" w:ascii="Times New Roman" w:hAnsi="Times New Roman" w:cs="Times New Roman"/>
          <w:bCs/>
          <w:color w:val="auto"/>
          <w:w w:val="99"/>
          <w:highlight w:val="none"/>
        </w:rPr>
        <w:t>2</w:t>
      </w:r>
      <w:r>
        <w:rPr>
          <w:rFonts w:ascii="Times New Roman" w:hAnsi="Times New Roman" w:cs="Times New Roman"/>
          <w:bCs/>
          <w:color w:val="auto"/>
          <w:w w:val="99"/>
          <w:highlight w:val="none"/>
        </w:rPr>
        <w:t>。</w:t>
      </w:r>
    </w:p>
    <w:p w14:paraId="77671EFC">
      <w:pPr>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（2）管道材质</w:t>
      </w:r>
    </w:p>
    <w:p w14:paraId="4A1C91B2">
      <w:pPr>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根据开发资料，本次规划2口气井气，按照开井压力计算，二氧化碳分压在</w:t>
      </w:r>
      <w:r>
        <w:rPr>
          <w:rFonts w:hint="eastAsia" w:ascii="Times New Roman" w:hAnsi="Times New Roman" w:cs="Times New Roman"/>
          <w:bCs/>
          <w:color w:val="auto"/>
          <w:w w:val="99"/>
          <w:highlight w:val="none"/>
        </w:rPr>
        <w:t>0.89</w:t>
      </w:r>
      <w:r>
        <w:rPr>
          <w:rFonts w:ascii="Times New Roman" w:hAnsi="Times New Roman" w:cs="Times New Roman"/>
          <w:bCs/>
          <w:color w:val="auto"/>
          <w:w w:val="99"/>
          <w:highlight w:val="none"/>
        </w:rPr>
        <w:t>~</w:t>
      </w:r>
      <w:r>
        <w:rPr>
          <w:rFonts w:hint="eastAsia" w:ascii="Times New Roman" w:hAnsi="Times New Roman" w:cs="Times New Roman"/>
          <w:bCs/>
          <w:color w:val="auto"/>
          <w:w w:val="99"/>
          <w:highlight w:val="none"/>
        </w:rPr>
        <w:t>1.51</w:t>
      </w:r>
      <w:r>
        <w:rPr>
          <w:rFonts w:ascii="Times New Roman" w:hAnsi="Times New Roman" w:cs="Times New Roman"/>
          <w:bCs/>
          <w:color w:val="auto"/>
          <w:w w:val="99"/>
          <w:highlight w:val="none"/>
        </w:rPr>
        <w:t>MPa之间，均高于0.21MPa，属于严重腐蚀情况，气井采气管道选用20#+316L内衬不锈钢材质。</w:t>
      </w:r>
    </w:p>
    <w:p w14:paraId="450E4616">
      <w:pPr>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（3）设计压力及壁厚</w:t>
      </w:r>
    </w:p>
    <w:p w14:paraId="4FA38D76">
      <w:pPr>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按《气田集输设计规范》GB 50349规定的管线公式进行管径及壁厚计算，管道沿线按二级地区考虑，地区系数取0.6，采气管道按关井压力设计，采气管道的规格，根据配产、合理流速及设计压力，通过计算确定。管道规格见表</w:t>
      </w:r>
      <w:r>
        <w:rPr>
          <w:rFonts w:hint="eastAsia" w:ascii="Times New Roman" w:hAnsi="Times New Roman" w:cs="Times New Roman"/>
          <w:bCs/>
          <w:color w:val="auto"/>
          <w:w w:val="99"/>
          <w:highlight w:val="none"/>
        </w:rPr>
        <w:t>3.5-2</w:t>
      </w:r>
      <w:r>
        <w:rPr>
          <w:rFonts w:ascii="Times New Roman" w:hAnsi="Times New Roman" w:cs="Times New Roman"/>
          <w:bCs/>
          <w:color w:val="auto"/>
          <w:w w:val="99"/>
          <w:highlight w:val="none"/>
        </w:rPr>
        <w:t>。</w:t>
      </w:r>
    </w:p>
    <w:p w14:paraId="5076CF0B">
      <w:pPr>
        <w:spacing w:line="440" w:lineRule="exact"/>
        <w:ind w:firstLine="476" w:firstLineChars="200"/>
        <w:jc w:val="both"/>
        <w:rPr>
          <w:rFonts w:ascii="Times New Roman" w:hAnsi="Times New Roman" w:cs="Times New Roman"/>
          <w:b/>
          <w:color w:val="auto"/>
          <w:w w:val="99"/>
          <w:highlight w:val="none"/>
        </w:rPr>
      </w:pPr>
      <w:r>
        <w:rPr>
          <w:rFonts w:ascii="Times New Roman" w:hAnsi="Times New Roman" w:cs="Times New Roman"/>
          <w:b/>
          <w:color w:val="auto"/>
          <w:w w:val="99"/>
          <w:highlight w:val="none"/>
        </w:rPr>
        <w:t>表</w:t>
      </w:r>
      <w:r>
        <w:rPr>
          <w:rFonts w:hint="eastAsia" w:ascii="Times New Roman" w:hAnsi="Times New Roman" w:cs="Times New Roman"/>
          <w:b/>
          <w:color w:val="auto"/>
          <w:w w:val="99"/>
          <w:highlight w:val="none"/>
        </w:rPr>
        <w:t>3.5-2</w:t>
      </w:r>
      <w:r>
        <w:rPr>
          <w:rFonts w:ascii="Times New Roman" w:hAnsi="Times New Roman" w:cs="Times New Roman"/>
          <w:b/>
          <w:color w:val="auto"/>
          <w:w w:val="99"/>
          <w:highlight w:val="none"/>
        </w:rPr>
        <w:t xml:space="preserve">  采气管道管径计算表</w:t>
      </w:r>
    </w:p>
    <w:tbl>
      <w:tblPr>
        <w:tblStyle w:val="81"/>
        <w:tblW w:w="4981"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124"/>
        <w:gridCol w:w="903"/>
        <w:gridCol w:w="957"/>
        <w:gridCol w:w="1057"/>
        <w:gridCol w:w="1057"/>
        <w:gridCol w:w="1057"/>
        <w:gridCol w:w="1042"/>
        <w:gridCol w:w="1026"/>
        <w:gridCol w:w="1028"/>
      </w:tblGrid>
      <w:tr w14:paraId="7BAF01A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607" w:type="pct"/>
            <w:tcBorders>
              <w:bottom w:val="single" w:color="auto" w:sz="6" w:space="0"/>
            </w:tcBorders>
            <w:vAlign w:val="center"/>
          </w:tcPr>
          <w:p w14:paraId="78F1B767">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井号</w:t>
            </w:r>
          </w:p>
        </w:tc>
        <w:tc>
          <w:tcPr>
            <w:tcW w:w="488" w:type="pct"/>
            <w:tcBorders>
              <w:bottom w:val="single" w:color="auto" w:sz="6" w:space="0"/>
            </w:tcBorders>
            <w:vAlign w:val="center"/>
          </w:tcPr>
          <w:p w14:paraId="6C15E586">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终点</w:t>
            </w:r>
          </w:p>
        </w:tc>
        <w:tc>
          <w:tcPr>
            <w:tcW w:w="517" w:type="pct"/>
            <w:tcBorders>
              <w:bottom w:val="single" w:color="auto" w:sz="6" w:space="0"/>
            </w:tcBorders>
            <w:vAlign w:val="center"/>
          </w:tcPr>
          <w:p w14:paraId="1F13304E">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产气量</w:t>
            </w:r>
          </w:p>
          <w:p w14:paraId="3E30E618">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10</w:t>
            </w:r>
            <w:r>
              <w:rPr>
                <w:rFonts w:ascii="Times New Roman" w:hAnsi="Times New Roman" w:eastAsia="宋体"/>
                <w:color w:val="auto"/>
                <w:w w:val="99"/>
                <w:highlight w:val="none"/>
                <w:vertAlign w:val="superscript"/>
              </w:rPr>
              <w:t>4</w:t>
            </w:r>
            <w:r>
              <w:rPr>
                <w:rFonts w:ascii="Times New Roman" w:hAnsi="Times New Roman" w:eastAsia="宋体"/>
                <w:color w:val="auto"/>
                <w:w w:val="99"/>
                <w:highlight w:val="none"/>
              </w:rPr>
              <w:t>m</w:t>
            </w:r>
            <w:r>
              <w:rPr>
                <w:rFonts w:ascii="Times New Roman" w:hAnsi="Times New Roman" w:eastAsia="宋体"/>
                <w:color w:val="auto"/>
                <w:w w:val="99"/>
                <w:highlight w:val="none"/>
                <w:vertAlign w:val="superscript"/>
              </w:rPr>
              <w:t>3</w:t>
            </w:r>
            <w:r>
              <w:rPr>
                <w:rFonts w:ascii="Times New Roman" w:hAnsi="Times New Roman" w:eastAsia="宋体"/>
                <w:color w:val="auto"/>
                <w:w w:val="99"/>
                <w:highlight w:val="none"/>
              </w:rPr>
              <w:t>/d</w:t>
            </w:r>
          </w:p>
        </w:tc>
        <w:tc>
          <w:tcPr>
            <w:tcW w:w="571" w:type="pct"/>
            <w:tcBorders>
              <w:bottom w:val="single" w:color="auto" w:sz="6" w:space="0"/>
            </w:tcBorders>
            <w:vAlign w:val="center"/>
          </w:tcPr>
          <w:p w14:paraId="74F804AD">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关井压力MPa</w:t>
            </w:r>
          </w:p>
        </w:tc>
        <w:tc>
          <w:tcPr>
            <w:tcW w:w="571" w:type="pct"/>
            <w:tcBorders>
              <w:bottom w:val="single" w:color="auto" w:sz="6" w:space="0"/>
            </w:tcBorders>
            <w:vAlign w:val="center"/>
          </w:tcPr>
          <w:p w14:paraId="69D85882">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起点</w:t>
            </w:r>
            <w:r>
              <w:rPr>
                <w:rFonts w:ascii="Times New Roman" w:hAnsi="Times New Roman" w:eastAsia="宋体"/>
                <w:color w:val="auto"/>
                <w:w w:val="99"/>
                <w:highlight w:val="none"/>
              </w:rPr>
              <w:t>压力</w:t>
            </w:r>
          </w:p>
          <w:p w14:paraId="2BC85037">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MPa</w:t>
            </w:r>
          </w:p>
        </w:tc>
        <w:tc>
          <w:tcPr>
            <w:tcW w:w="571" w:type="pct"/>
            <w:tcBorders>
              <w:bottom w:val="single" w:color="auto" w:sz="6" w:space="0"/>
            </w:tcBorders>
            <w:vAlign w:val="center"/>
          </w:tcPr>
          <w:p w14:paraId="3EBA116B">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末点</w:t>
            </w:r>
            <w:r>
              <w:rPr>
                <w:rFonts w:ascii="Times New Roman" w:hAnsi="Times New Roman" w:eastAsia="宋体"/>
                <w:color w:val="auto"/>
                <w:w w:val="99"/>
                <w:highlight w:val="none"/>
              </w:rPr>
              <w:t>压力</w:t>
            </w:r>
          </w:p>
          <w:p w14:paraId="033AFBA2">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MPa</w:t>
            </w:r>
          </w:p>
        </w:tc>
        <w:tc>
          <w:tcPr>
            <w:tcW w:w="563" w:type="pct"/>
            <w:tcBorders>
              <w:bottom w:val="single" w:color="auto" w:sz="6" w:space="0"/>
            </w:tcBorders>
            <w:vAlign w:val="center"/>
          </w:tcPr>
          <w:p w14:paraId="08D42D74">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 xml:space="preserve">管道管径mm </w:t>
            </w:r>
          </w:p>
        </w:tc>
        <w:tc>
          <w:tcPr>
            <w:tcW w:w="554" w:type="pct"/>
            <w:tcBorders>
              <w:bottom w:val="single" w:color="auto" w:sz="6" w:space="0"/>
            </w:tcBorders>
            <w:vAlign w:val="center"/>
          </w:tcPr>
          <w:p w14:paraId="4EE06614">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末点流速m/s</w:t>
            </w:r>
          </w:p>
        </w:tc>
        <w:tc>
          <w:tcPr>
            <w:tcW w:w="555" w:type="pct"/>
            <w:tcBorders>
              <w:bottom w:val="single" w:color="auto" w:sz="6" w:space="0"/>
            </w:tcBorders>
            <w:vAlign w:val="center"/>
          </w:tcPr>
          <w:p w14:paraId="11B8DACF">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管道长度km</w:t>
            </w:r>
          </w:p>
        </w:tc>
      </w:tr>
      <w:tr w14:paraId="3CCC65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607" w:type="pct"/>
            <w:tcBorders>
              <w:top w:val="single" w:color="auto" w:sz="6" w:space="0"/>
              <w:bottom w:val="single" w:color="auto" w:sz="6" w:space="0"/>
            </w:tcBorders>
            <w:vAlign w:val="center"/>
          </w:tcPr>
          <w:p w14:paraId="03E038D2">
            <w:pPr>
              <w:autoSpaceDN w:val="0"/>
              <w:spacing w:line="360" w:lineRule="exact"/>
              <w:jc w:val="center"/>
              <w:textAlignment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徐深</w:t>
            </w:r>
            <w:r>
              <w:rPr>
                <w:rFonts w:hint="eastAsia" w:ascii="Times New Roman" w:hAnsi="Times New Roman" w:cs="Times New Roman"/>
                <w:color w:val="auto"/>
                <w:w w:val="99"/>
                <w:kern w:val="2"/>
                <w:sz w:val="21"/>
                <w:szCs w:val="21"/>
                <w:highlight w:val="none"/>
              </w:rPr>
              <w:t>27</w:t>
            </w:r>
            <w:r>
              <w:rPr>
                <w:rFonts w:ascii="Times New Roman" w:hAnsi="Times New Roman" w:cs="Times New Roman"/>
                <w:color w:val="auto"/>
                <w:w w:val="99"/>
                <w:kern w:val="2"/>
                <w:sz w:val="21"/>
                <w:szCs w:val="21"/>
                <w:highlight w:val="none"/>
              </w:rPr>
              <w:t>-</w:t>
            </w:r>
            <w:r>
              <w:rPr>
                <w:rFonts w:hint="eastAsia" w:ascii="Times New Roman" w:hAnsi="Times New Roman" w:cs="Times New Roman"/>
                <w:color w:val="auto"/>
                <w:w w:val="99"/>
                <w:kern w:val="2"/>
                <w:sz w:val="21"/>
                <w:szCs w:val="21"/>
                <w:highlight w:val="none"/>
              </w:rPr>
              <w:t>H1</w:t>
            </w:r>
          </w:p>
        </w:tc>
        <w:tc>
          <w:tcPr>
            <w:tcW w:w="488" w:type="pct"/>
            <w:tcBorders>
              <w:top w:val="single" w:color="auto" w:sz="6" w:space="0"/>
              <w:bottom w:val="single" w:color="auto" w:sz="6" w:space="0"/>
            </w:tcBorders>
            <w:vAlign w:val="center"/>
          </w:tcPr>
          <w:p w14:paraId="4BF08437">
            <w:pPr>
              <w:spacing w:line="360" w:lineRule="exact"/>
              <w:jc w:val="center"/>
              <w:textAlignment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徐深</w:t>
            </w:r>
            <w:r>
              <w:rPr>
                <w:rFonts w:hint="eastAsia" w:ascii="Times New Roman" w:hAnsi="Times New Roman" w:cs="Times New Roman"/>
                <w:color w:val="auto"/>
                <w:w w:val="99"/>
                <w:kern w:val="2"/>
                <w:sz w:val="21"/>
                <w:szCs w:val="21"/>
                <w:highlight w:val="none"/>
              </w:rPr>
              <w:t>27集气站</w:t>
            </w:r>
          </w:p>
        </w:tc>
        <w:tc>
          <w:tcPr>
            <w:tcW w:w="517" w:type="pct"/>
            <w:tcBorders>
              <w:top w:val="single" w:color="auto" w:sz="6" w:space="0"/>
              <w:bottom w:val="single" w:color="auto" w:sz="6" w:space="0"/>
            </w:tcBorders>
            <w:vAlign w:val="center"/>
          </w:tcPr>
          <w:p w14:paraId="650D0719">
            <w:pPr>
              <w:autoSpaceDN w:val="0"/>
              <w:spacing w:line="360" w:lineRule="exact"/>
              <w:jc w:val="center"/>
              <w:textAlignment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9</w:t>
            </w:r>
          </w:p>
        </w:tc>
        <w:tc>
          <w:tcPr>
            <w:tcW w:w="571" w:type="pct"/>
            <w:tcBorders>
              <w:top w:val="single" w:color="auto" w:sz="6" w:space="0"/>
              <w:bottom w:val="single" w:color="auto" w:sz="6" w:space="0"/>
            </w:tcBorders>
            <w:vAlign w:val="center"/>
          </w:tcPr>
          <w:p w14:paraId="3FD6311C">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33</w:t>
            </w:r>
          </w:p>
        </w:tc>
        <w:tc>
          <w:tcPr>
            <w:tcW w:w="571" w:type="pct"/>
            <w:tcBorders>
              <w:top w:val="single" w:color="auto" w:sz="6" w:space="0"/>
              <w:bottom w:val="single" w:color="auto" w:sz="6" w:space="0"/>
            </w:tcBorders>
            <w:vAlign w:val="center"/>
          </w:tcPr>
          <w:p w14:paraId="1726CFA6">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21</w:t>
            </w:r>
          </w:p>
        </w:tc>
        <w:tc>
          <w:tcPr>
            <w:tcW w:w="571" w:type="pct"/>
            <w:tcBorders>
              <w:top w:val="single" w:color="auto" w:sz="6" w:space="0"/>
              <w:bottom w:val="single" w:color="auto" w:sz="6" w:space="0"/>
            </w:tcBorders>
            <w:vAlign w:val="center"/>
          </w:tcPr>
          <w:p w14:paraId="46F8C9ED">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20.6</w:t>
            </w:r>
          </w:p>
        </w:tc>
        <w:tc>
          <w:tcPr>
            <w:tcW w:w="563" w:type="pct"/>
            <w:tcBorders>
              <w:top w:val="single" w:color="auto" w:sz="6" w:space="0"/>
              <w:bottom w:val="single" w:color="auto" w:sz="6" w:space="0"/>
            </w:tcBorders>
            <w:vAlign w:val="center"/>
          </w:tcPr>
          <w:p w14:paraId="516772E5">
            <w:pPr>
              <w:autoSpaceDN w:val="0"/>
              <w:spacing w:line="360" w:lineRule="exact"/>
              <w:jc w:val="center"/>
              <w:textAlignment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Φ76</w:t>
            </w:r>
          </w:p>
        </w:tc>
        <w:tc>
          <w:tcPr>
            <w:tcW w:w="554" w:type="pct"/>
            <w:tcBorders>
              <w:top w:val="single" w:color="auto" w:sz="6" w:space="0"/>
              <w:bottom w:val="single" w:color="auto" w:sz="6" w:space="0"/>
            </w:tcBorders>
            <w:vAlign w:val="center"/>
          </w:tcPr>
          <w:p w14:paraId="08AFA751">
            <w:pPr>
              <w:autoSpaceDN w:val="0"/>
              <w:spacing w:line="360" w:lineRule="exact"/>
              <w:jc w:val="center"/>
              <w:textAlignment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1.98</w:t>
            </w:r>
          </w:p>
        </w:tc>
        <w:tc>
          <w:tcPr>
            <w:tcW w:w="555" w:type="pct"/>
            <w:tcBorders>
              <w:top w:val="single" w:color="auto" w:sz="6" w:space="0"/>
              <w:bottom w:val="single" w:color="auto" w:sz="6" w:space="0"/>
            </w:tcBorders>
            <w:vAlign w:val="center"/>
          </w:tcPr>
          <w:p w14:paraId="55B28606">
            <w:pPr>
              <w:autoSpaceDN w:val="0"/>
              <w:spacing w:line="360" w:lineRule="exact"/>
              <w:jc w:val="center"/>
              <w:textAlignment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1.92</w:t>
            </w:r>
          </w:p>
        </w:tc>
      </w:tr>
    </w:tbl>
    <w:p w14:paraId="085DD63C">
      <w:pPr>
        <w:spacing w:line="440" w:lineRule="exact"/>
        <w:ind w:firstLine="476" w:firstLineChars="200"/>
        <w:jc w:val="both"/>
        <w:rPr>
          <w:rFonts w:ascii="Times New Roman" w:hAnsi="Times New Roman" w:cs="Times New Roman"/>
          <w:b/>
          <w:color w:val="auto"/>
          <w:w w:val="99"/>
          <w:highlight w:val="none"/>
        </w:rPr>
      </w:pPr>
      <w:r>
        <w:rPr>
          <w:rFonts w:hint="eastAsia" w:ascii="Times New Roman" w:hAnsi="Times New Roman" w:cs="Times New Roman"/>
          <w:b/>
          <w:color w:val="auto"/>
          <w:w w:val="99"/>
          <w:highlight w:val="none"/>
        </w:rPr>
        <w:t>表3.5-3  采气管道壁厚计算表</w:t>
      </w:r>
    </w:p>
    <w:tbl>
      <w:tblPr>
        <w:tblStyle w:val="81"/>
        <w:tblW w:w="4996"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19"/>
        <w:gridCol w:w="1056"/>
        <w:gridCol w:w="916"/>
        <w:gridCol w:w="1076"/>
        <w:gridCol w:w="504"/>
        <w:gridCol w:w="694"/>
        <w:gridCol w:w="1063"/>
        <w:gridCol w:w="1017"/>
        <w:gridCol w:w="1017"/>
        <w:gridCol w:w="1017"/>
      </w:tblGrid>
      <w:tr w14:paraId="03AD6BF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495" w:type="pct"/>
            <w:vAlign w:val="center"/>
          </w:tcPr>
          <w:p w14:paraId="12F07844">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井号</w:t>
            </w:r>
          </w:p>
        </w:tc>
        <w:tc>
          <w:tcPr>
            <w:tcW w:w="568" w:type="pct"/>
            <w:vAlign w:val="center"/>
          </w:tcPr>
          <w:p w14:paraId="2E429295">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设计</w:t>
            </w:r>
          </w:p>
          <w:p w14:paraId="4AFE3BB7">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压力（M</w:t>
            </w:r>
            <w:r>
              <w:rPr>
                <w:rFonts w:ascii="Times New Roman" w:hAnsi="Times New Roman" w:eastAsia="宋体"/>
                <w:color w:val="auto"/>
                <w:w w:val="99"/>
                <w:highlight w:val="none"/>
              </w:rPr>
              <w:t>P</w:t>
            </w:r>
            <w:r>
              <w:rPr>
                <w:rFonts w:hint="default" w:ascii="Times New Roman" w:hAnsi="Times New Roman" w:eastAsia="宋体"/>
                <w:color w:val="auto"/>
                <w:w w:val="99"/>
                <w:highlight w:val="none"/>
              </w:rPr>
              <w:t>a）</w:t>
            </w:r>
          </w:p>
        </w:tc>
        <w:tc>
          <w:tcPr>
            <w:tcW w:w="494" w:type="pct"/>
            <w:vAlign w:val="center"/>
          </w:tcPr>
          <w:p w14:paraId="1645B04D">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管道</w:t>
            </w:r>
          </w:p>
          <w:p w14:paraId="0A894521">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外径（mm）</w:t>
            </w:r>
          </w:p>
        </w:tc>
        <w:tc>
          <w:tcPr>
            <w:tcW w:w="579" w:type="pct"/>
            <w:vAlign w:val="center"/>
          </w:tcPr>
          <w:p w14:paraId="4F2DBD95">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钢管最低屈服强度（M</w:t>
            </w:r>
            <w:r>
              <w:rPr>
                <w:rFonts w:ascii="Times New Roman" w:hAnsi="Times New Roman" w:eastAsia="宋体"/>
                <w:color w:val="auto"/>
                <w:w w:val="99"/>
                <w:highlight w:val="none"/>
              </w:rPr>
              <w:t>p</w:t>
            </w:r>
            <w:r>
              <w:rPr>
                <w:rFonts w:hint="default" w:ascii="Times New Roman" w:hAnsi="Times New Roman" w:eastAsia="宋体"/>
                <w:color w:val="auto"/>
                <w:w w:val="99"/>
                <w:highlight w:val="none"/>
              </w:rPr>
              <w:t>a）</w:t>
            </w:r>
          </w:p>
        </w:tc>
        <w:tc>
          <w:tcPr>
            <w:tcW w:w="272" w:type="pct"/>
            <w:vAlign w:val="center"/>
          </w:tcPr>
          <w:p w14:paraId="28CED89E">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设计系数</w:t>
            </w:r>
          </w:p>
        </w:tc>
        <w:tc>
          <w:tcPr>
            <w:tcW w:w="374" w:type="pct"/>
            <w:vAlign w:val="center"/>
          </w:tcPr>
          <w:p w14:paraId="2258F6EC">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钢管焊缝系数</w:t>
            </w:r>
          </w:p>
        </w:tc>
        <w:tc>
          <w:tcPr>
            <w:tcW w:w="572" w:type="pct"/>
            <w:vAlign w:val="center"/>
          </w:tcPr>
          <w:p w14:paraId="4A058730">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温度折减系数（温度小于120时取1）</w:t>
            </w:r>
          </w:p>
        </w:tc>
        <w:tc>
          <w:tcPr>
            <w:tcW w:w="547" w:type="pct"/>
            <w:vAlign w:val="center"/>
          </w:tcPr>
          <w:p w14:paraId="512012E7">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计算</w:t>
            </w:r>
          </w:p>
          <w:p w14:paraId="56821949">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壁厚</w:t>
            </w:r>
          </w:p>
          <w:p w14:paraId="5810D88A">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（mm）</w:t>
            </w:r>
          </w:p>
        </w:tc>
        <w:tc>
          <w:tcPr>
            <w:tcW w:w="547" w:type="pct"/>
            <w:vAlign w:val="center"/>
          </w:tcPr>
          <w:p w14:paraId="195009DD">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内衬</w:t>
            </w:r>
          </w:p>
          <w:p w14:paraId="2E97340F">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壁厚</w:t>
            </w:r>
          </w:p>
          <w:p w14:paraId="79B4F5F1">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（mm）</w:t>
            </w:r>
          </w:p>
        </w:tc>
        <w:tc>
          <w:tcPr>
            <w:tcW w:w="547" w:type="pct"/>
            <w:vAlign w:val="center"/>
          </w:tcPr>
          <w:p w14:paraId="2E4C1E3B">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确定</w:t>
            </w:r>
          </w:p>
          <w:p w14:paraId="393084B1">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壁厚</w:t>
            </w:r>
          </w:p>
          <w:p w14:paraId="155F4A2D">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（mm）</w:t>
            </w:r>
          </w:p>
        </w:tc>
      </w:tr>
      <w:tr w14:paraId="33FEF22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495" w:type="pct"/>
            <w:vAlign w:val="center"/>
          </w:tcPr>
          <w:p w14:paraId="2F132DAF">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徐深</w:t>
            </w:r>
            <w:r>
              <w:rPr>
                <w:rFonts w:ascii="Times New Roman" w:hAnsi="Times New Roman" w:eastAsia="宋体"/>
                <w:color w:val="auto"/>
                <w:w w:val="99"/>
                <w:highlight w:val="none"/>
              </w:rPr>
              <w:t>27</w:t>
            </w:r>
            <w:r>
              <w:rPr>
                <w:rFonts w:hint="default" w:ascii="Times New Roman" w:hAnsi="Times New Roman" w:eastAsia="宋体"/>
                <w:color w:val="auto"/>
                <w:w w:val="99"/>
                <w:highlight w:val="none"/>
              </w:rPr>
              <w:t>-</w:t>
            </w:r>
            <w:r>
              <w:rPr>
                <w:rFonts w:ascii="Times New Roman" w:hAnsi="Times New Roman" w:eastAsia="宋体"/>
                <w:color w:val="auto"/>
                <w:w w:val="99"/>
                <w:highlight w:val="none"/>
              </w:rPr>
              <w:t>H1</w:t>
            </w:r>
          </w:p>
        </w:tc>
        <w:tc>
          <w:tcPr>
            <w:tcW w:w="568" w:type="pct"/>
            <w:vAlign w:val="center"/>
          </w:tcPr>
          <w:p w14:paraId="0DCC5557">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33</w:t>
            </w:r>
          </w:p>
        </w:tc>
        <w:tc>
          <w:tcPr>
            <w:tcW w:w="494" w:type="pct"/>
            <w:vAlign w:val="center"/>
          </w:tcPr>
          <w:p w14:paraId="72F29802">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76</w:t>
            </w:r>
          </w:p>
        </w:tc>
        <w:tc>
          <w:tcPr>
            <w:tcW w:w="579" w:type="pct"/>
            <w:vAlign w:val="center"/>
          </w:tcPr>
          <w:p w14:paraId="5FBE87C6">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245</w:t>
            </w:r>
          </w:p>
        </w:tc>
        <w:tc>
          <w:tcPr>
            <w:tcW w:w="272" w:type="pct"/>
            <w:vAlign w:val="center"/>
          </w:tcPr>
          <w:p w14:paraId="2B6BAB4B">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0.6</w:t>
            </w:r>
          </w:p>
        </w:tc>
        <w:tc>
          <w:tcPr>
            <w:tcW w:w="374" w:type="pct"/>
            <w:vAlign w:val="center"/>
          </w:tcPr>
          <w:p w14:paraId="5C973975">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1</w:t>
            </w:r>
          </w:p>
        </w:tc>
        <w:tc>
          <w:tcPr>
            <w:tcW w:w="572" w:type="pct"/>
            <w:vAlign w:val="center"/>
          </w:tcPr>
          <w:p w14:paraId="308415D8">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1</w:t>
            </w:r>
          </w:p>
        </w:tc>
        <w:tc>
          <w:tcPr>
            <w:tcW w:w="547" w:type="pct"/>
            <w:vAlign w:val="center"/>
          </w:tcPr>
          <w:p w14:paraId="5646DF3A">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8.53</w:t>
            </w:r>
          </w:p>
        </w:tc>
        <w:tc>
          <w:tcPr>
            <w:tcW w:w="547" w:type="pct"/>
            <w:vAlign w:val="center"/>
          </w:tcPr>
          <w:p w14:paraId="77EE9327">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2.0</w:t>
            </w:r>
          </w:p>
        </w:tc>
        <w:tc>
          <w:tcPr>
            <w:tcW w:w="547" w:type="pct"/>
            <w:vAlign w:val="center"/>
          </w:tcPr>
          <w:p w14:paraId="16902C44">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9+2</w:t>
            </w:r>
          </w:p>
        </w:tc>
      </w:tr>
    </w:tbl>
    <w:p w14:paraId="569CF758">
      <w:pPr>
        <w:spacing w:line="50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（4）防冻设施</w:t>
      </w:r>
    </w:p>
    <w:p w14:paraId="5EC9CCC0">
      <w:pPr>
        <w:spacing w:line="500" w:lineRule="exact"/>
        <w:ind w:firstLine="474" w:firstLineChars="200"/>
        <w:jc w:val="both"/>
        <w:rPr>
          <w:rFonts w:ascii="Times New Roman" w:hAnsi="Times New Roman" w:cs="Times New Roman"/>
          <w:bCs/>
          <w:color w:val="auto"/>
          <w:w w:val="99"/>
          <w:highlight w:val="none"/>
        </w:rPr>
      </w:pPr>
      <w:r>
        <w:rPr>
          <w:rFonts w:hint="eastAsia" w:ascii="Times New Roman" w:hAnsi="Times New Roman" w:cs="Times New Roman"/>
          <w:bCs/>
          <w:color w:val="auto"/>
          <w:w w:val="99"/>
          <w:highlight w:val="none"/>
        </w:rPr>
        <w:t>徐深27-H1井在开井压力下，水合物形成温度为23.47℃，而该井产气温度仅20℃，电伴热防冻工艺已不能满足防冻需求，需要采用在井口提高自身温度</w:t>
      </w:r>
      <w:r>
        <w:rPr>
          <w:rFonts w:ascii="Times New Roman" w:hAnsi="Times New Roman" w:cs="Times New Roman"/>
          <w:bCs/>
          <w:color w:val="auto"/>
          <w:w w:val="99"/>
          <w:highlight w:val="none"/>
        </w:rPr>
        <w:t>的</w:t>
      </w:r>
      <w:r>
        <w:rPr>
          <w:rFonts w:hint="eastAsia" w:ascii="Times New Roman" w:hAnsi="Times New Roman" w:cs="Times New Roman"/>
          <w:bCs/>
          <w:color w:val="auto"/>
          <w:w w:val="99"/>
          <w:highlight w:val="none"/>
        </w:rPr>
        <w:t>方式</w:t>
      </w:r>
      <w:r>
        <w:rPr>
          <w:rFonts w:ascii="Times New Roman" w:hAnsi="Times New Roman" w:cs="Times New Roman"/>
          <w:bCs/>
          <w:color w:val="auto"/>
          <w:w w:val="99"/>
          <w:highlight w:val="none"/>
        </w:rPr>
        <w:t>集输</w:t>
      </w:r>
      <w:r>
        <w:rPr>
          <w:rFonts w:hint="eastAsia" w:ascii="Times New Roman" w:hAnsi="Times New Roman" w:cs="Times New Roman"/>
          <w:bCs/>
          <w:color w:val="auto"/>
          <w:w w:val="99"/>
          <w:highlight w:val="none"/>
        </w:rPr>
        <w:t>进站。本次在徐深27-H1井口</w:t>
      </w:r>
      <w:r>
        <w:rPr>
          <w:rFonts w:ascii="Times New Roman" w:hAnsi="Times New Roman" w:cs="Times New Roman"/>
          <w:bCs/>
          <w:color w:val="auto"/>
          <w:w w:val="99"/>
          <w:highlight w:val="none"/>
        </w:rPr>
        <w:t>将气井气</w:t>
      </w:r>
      <w:r>
        <w:rPr>
          <w:rFonts w:hint="eastAsia" w:ascii="Times New Roman" w:hAnsi="Times New Roman" w:cs="Times New Roman"/>
          <w:bCs/>
          <w:color w:val="auto"/>
          <w:w w:val="99"/>
          <w:highlight w:val="none"/>
        </w:rPr>
        <w:t>加热至42</w:t>
      </w:r>
      <w:r>
        <w:rPr>
          <w:rFonts w:ascii="Times New Roman" w:hAnsi="Times New Roman" w:cs="Times New Roman"/>
          <w:bCs/>
          <w:color w:val="auto"/>
          <w:w w:val="99"/>
          <w:highlight w:val="none"/>
        </w:rPr>
        <w:t>℃</w:t>
      </w:r>
      <w:r>
        <w:rPr>
          <w:rFonts w:hint="eastAsia" w:ascii="Times New Roman" w:hAnsi="Times New Roman" w:cs="Times New Roman"/>
          <w:bCs/>
          <w:color w:val="auto"/>
          <w:w w:val="99"/>
          <w:highlight w:val="none"/>
        </w:rPr>
        <w:t>，</w:t>
      </w:r>
      <w:r>
        <w:rPr>
          <w:rFonts w:ascii="Times New Roman" w:hAnsi="Times New Roman" w:cs="Times New Roman"/>
          <w:bCs/>
          <w:color w:val="auto"/>
          <w:w w:val="99"/>
          <w:highlight w:val="none"/>
        </w:rPr>
        <w:t>需</w:t>
      </w:r>
      <w:r>
        <w:rPr>
          <w:rFonts w:hint="eastAsia" w:ascii="Times New Roman" w:hAnsi="Times New Roman" w:cs="Times New Roman"/>
          <w:bCs/>
          <w:color w:val="auto"/>
          <w:w w:val="99"/>
          <w:highlight w:val="none"/>
        </w:rPr>
        <w:t>加热负荷77.4kW。而后将气井气节流降压至21MPa（</w:t>
      </w:r>
      <w:r>
        <w:rPr>
          <w:rFonts w:ascii="Times New Roman" w:hAnsi="Times New Roman" w:cs="Times New Roman"/>
          <w:bCs/>
          <w:color w:val="auto"/>
          <w:w w:val="99"/>
          <w:highlight w:val="none"/>
        </w:rPr>
        <w:t>此时气井气</w:t>
      </w:r>
      <w:r>
        <w:rPr>
          <w:rFonts w:hint="eastAsia" w:ascii="Times New Roman" w:hAnsi="Times New Roman" w:cs="Times New Roman"/>
          <w:bCs/>
          <w:color w:val="auto"/>
          <w:w w:val="99"/>
          <w:highlight w:val="none"/>
        </w:rPr>
        <w:t>温度36.25</w:t>
      </w:r>
      <w:r>
        <w:rPr>
          <w:rFonts w:ascii="Times New Roman" w:hAnsi="Times New Roman" w:cs="Times New Roman"/>
          <w:bCs/>
          <w:color w:val="auto"/>
          <w:w w:val="99"/>
          <w:highlight w:val="none"/>
        </w:rPr>
        <w:t>℃</w:t>
      </w:r>
      <w:r>
        <w:rPr>
          <w:rFonts w:hint="eastAsia" w:ascii="Times New Roman" w:hAnsi="Times New Roman" w:cs="Times New Roman"/>
          <w:bCs/>
          <w:color w:val="auto"/>
          <w:w w:val="99"/>
          <w:highlight w:val="none"/>
        </w:rPr>
        <w:t>，</w:t>
      </w:r>
      <w:r>
        <w:rPr>
          <w:rFonts w:ascii="Times New Roman" w:hAnsi="Times New Roman" w:cs="Times New Roman"/>
          <w:bCs/>
          <w:color w:val="auto"/>
          <w:w w:val="99"/>
          <w:highlight w:val="none"/>
        </w:rPr>
        <w:t>水合物形成温度</w:t>
      </w:r>
      <w:r>
        <w:rPr>
          <w:rFonts w:hint="eastAsia" w:ascii="Times New Roman" w:hAnsi="Times New Roman" w:cs="Times New Roman"/>
          <w:bCs/>
          <w:color w:val="auto"/>
          <w:w w:val="99"/>
          <w:highlight w:val="none"/>
        </w:rPr>
        <w:t>21.99</w:t>
      </w:r>
      <w:r>
        <w:rPr>
          <w:rFonts w:ascii="Times New Roman" w:hAnsi="Times New Roman" w:cs="Times New Roman"/>
          <w:bCs/>
          <w:color w:val="auto"/>
          <w:w w:val="99"/>
          <w:highlight w:val="none"/>
        </w:rPr>
        <w:t>℃</w:t>
      </w:r>
      <w:r>
        <w:rPr>
          <w:rFonts w:hint="eastAsia" w:ascii="Times New Roman" w:hAnsi="Times New Roman" w:cs="Times New Roman"/>
          <w:bCs/>
          <w:color w:val="auto"/>
          <w:w w:val="99"/>
          <w:highlight w:val="none"/>
        </w:rPr>
        <w:t>）后进入采气管道，采气管道在无伴热的情况下将气井气输送至集气站，气井进站温度32.44</w:t>
      </w:r>
      <w:r>
        <w:rPr>
          <w:rFonts w:ascii="Times New Roman" w:hAnsi="Times New Roman" w:cs="Times New Roman"/>
          <w:bCs/>
          <w:color w:val="auto"/>
          <w:w w:val="99"/>
          <w:highlight w:val="none"/>
        </w:rPr>
        <w:t>℃</w:t>
      </w:r>
      <w:r>
        <w:rPr>
          <w:rFonts w:hint="eastAsia" w:ascii="Times New Roman" w:hAnsi="Times New Roman" w:cs="Times New Roman"/>
          <w:bCs/>
          <w:color w:val="auto"/>
          <w:w w:val="99"/>
          <w:highlight w:val="none"/>
        </w:rPr>
        <w:t>，压力20.6MPa。本次在徐深27-H1井井场设置80kW电磁涡流加热装置1座</w:t>
      </w:r>
      <w:r>
        <w:rPr>
          <w:rFonts w:ascii="Times New Roman" w:hAnsi="Times New Roman" w:cs="Times New Roman"/>
          <w:bCs/>
          <w:color w:val="auto"/>
          <w:w w:val="99"/>
          <w:highlight w:val="none"/>
        </w:rPr>
        <w:t>。</w:t>
      </w:r>
    </w:p>
    <w:p w14:paraId="7EC0BD29">
      <w:pPr>
        <w:pStyle w:val="104"/>
        <w:spacing w:line="440" w:lineRule="exact"/>
        <w:ind w:left="0" w:firstLine="476" w:firstLineChars="200"/>
        <w:jc w:val="both"/>
        <w:rPr>
          <w:rFonts w:ascii="Times New Roman" w:hAnsi="Times New Roman" w:eastAsia="宋体"/>
          <w:b/>
          <w:color w:val="auto"/>
          <w:w w:val="99"/>
          <w:sz w:val="24"/>
          <w:szCs w:val="24"/>
          <w:highlight w:val="none"/>
        </w:rPr>
      </w:pPr>
      <w:r>
        <w:rPr>
          <w:rFonts w:ascii="Times New Roman" w:hAnsi="Times New Roman" w:eastAsia="宋体"/>
          <w:b/>
          <w:color w:val="auto"/>
          <w:w w:val="99"/>
          <w:sz w:val="24"/>
          <w:szCs w:val="24"/>
          <w:highlight w:val="none"/>
        </w:rPr>
        <w:t>表</w:t>
      </w:r>
      <w:r>
        <w:rPr>
          <w:rFonts w:hint="eastAsia" w:ascii="Times New Roman" w:hAnsi="Times New Roman" w:eastAsia="宋体"/>
          <w:b/>
          <w:color w:val="auto"/>
          <w:w w:val="99"/>
          <w:sz w:val="24"/>
          <w:szCs w:val="24"/>
          <w:highlight w:val="none"/>
        </w:rPr>
        <w:t>3.5-4</w:t>
      </w:r>
      <w:r>
        <w:rPr>
          <w:rFonts w:ascii="Times New Roman" w:hAnsi="Times New Roman" w:eastAsia="宋体"/>
          <w:b/>
          <w:color w:val="auto"/>
          <w:w w:val="99"/>
          <w:sz w:val="24"/>
          <w:szCs w:val="24"/>
          <w:highlight w:val="none"/>
        </w:rPr>
        <w:t xml:space="preserve">  </w:t>
      </w:r>
      <w:r>
        <w:rPr>
          <w:rFonts w:hint="eastAsia" w:ascii="Times New Roman" w:hAnsi="Times New Roman" w:eastAsia="宋体"/>
          <w:b/>
          <w:color w:val="auto"/>
          <w:w w:val="99"/>
          <w:sz w:val="24"/>
          <w:szCs w:val="24"/>
          <w:highlight w:val="none"/>
        </w:rPr>
        <w:t>防冻工艺参数</w:t>
      </w:r>
      <w:r>
        <w:rPr>
          <w:rFonts w:ascii="Times New Roman" w:hAnsi="Times New Roman" w:eastAsia="宋体"/>
          <w:b/>
          <w:color w:val="auto"/>
          <w:w w:val="99"/>
          <w:sz w:val="24"/>
          <w:szCs w:val="24"/>
          <w:highlight w:val="none"/>
        </w:rPr>
        <w:t>计算表</w:t>
      </w:r>
    </w:p>
    <w:tbl>
      <w:tblPr>
        <w:tblStyle w:val="81"/>
        <w:tblW w:w="499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748"/>
        <w:gridCol w:w="882"/>
        <w:gridCol w:w="757"/>
        <w:gridCol w:w="767"/>
        <w:gridCol w:w="757"/>
        <w:gridCol w:w="757"/>
        <w:gridCol w:w="761"/>
        <w:gridCol w:w="761"/>
        <w:gridCol w:w="761"/>
        <w:gridCol w:w="794"/>
        <w:gridCol w:w="762"/>
        <w:gridCol w:w="775"/>
      </w:tblGrid>
      <w:tr w14:paraId="0ADE510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340" w:hRule="atLeast"/>
          <w:tblHeader/>
          <w:jc w:val="center"/>
        </w:trPr>
        <w:tc>
          <w:tcPr>
            <w:tcW w:w="389" w:type="pct"/>
            <w:vMerge w:val="restart"/>
            <w:vAlign w:val="center"/>
          </w:tcPr>
          <w:p w14:paraId="4325BED0">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井号</w:t>
            </w:r>
          </w:p>
        </w:tc>
        <w:tc>
          <w:tcPr>
            <w:tcW w:w="1285" w:type="pct"/>
            <w:gridSpan w:val="3"/>
            <w:vAlign w:val="center"/>
          </w:tcPr>
          <w:p w14:paraId="1A160137">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气井参数</w:t>
            </w:r>
          </w:p>
        </w:tc>
        <w:tc>
          <w:tcPr>
            <w:tcW w:w="2491" w:type="pct"/>
            <w:gridSpan w:val="6"/>
            <w:vAlign w:val="center"/>
          </w:tcPr>
          <w:p w14:paraId="593951AD">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井口</w:t>
            </w:r>
          </w:p>
        </w:tc>
        <w:tc>
          <w:tcPr>
            <w:tcW w:w="833" w:type="pct"/>
            <w:gridSpan w:val="2"/>
            <w:vAlign w:val="center"/>
          </w:tcPr>
          <w:p w14:paraId="06FF4A9E">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集气站</w:t>
            </w:r>
          </w:p>
        </w:tc>
      </w:tr>
      <w:tr w14:paraId="2F88F1F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389" w:type="pct"/>
            <w:vMerge w:val="continue"/>
            <w:vAlign w:val="center"/>
          </w:tcPr>
          <w:p w14:paraId="0DD7A49C">
            <w:pPr>
              <w:pStyle w:val="173"/>
              <w:tabs>
                <w:tab w:val="left" w:pos="3480"/>
              </w:tabs>
              <w:spacing w:line="360" w:lineRule="exact"/>
              <w:ind w:left="0" w:firstLine="0"/>
              <w:rPr>
                <w:rFonts w:hint="default" w:ascii="Times New Roman" w:hAnsi="Times New Roman" w:eastAsia="宋体"/>
                <w:color w:val="auto"/>
                <w:w w:val="99"/>
                <w:highlight w:val="none"/>
              </w:rPr>
            </w:pPr>
          </w:p>
        </w:tc>
        <w:tc>
          <w:tcPr>
            <w:tcW w:w="458" w:type="pct"/>
            <w:vAlign w:val="center"/>
          </w:tcPr>
          <w:p w14:paraId="24D29C16">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气量</w:t>
            </w:r>
          </w:p>
        </w:tc>
        <w:tc>
          <w:tcPr>
            <w:tcW w:w="411" w:type="pct"/>
            <w:vAlign w:val="center"/>
          </w:tcPr>
          <w:p w14:paraId="3EBAC04C">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温度</w:t>
            </w:r>
          </w:p>
        </w:tc>
        <w:tc>
          <w:tcPr>
            <w:tcW w:w="414" w:type="pct"/>
            <w:vAlign w:val="center"/>
          </w:tcPr>
          <w:p w14:paraId="1D700851">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压力</w:t>
            </w:r>
          </w:p>
        </w:tc>
        <w:tc>
          <w:tcPr>
            <w:tcW w:w="411" w:type="pct"/>
            <w:vAlign w:val="center"/>
          </w:tcPr>
          <w:p w14:paraId="6DFBC3B2">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节流前水合物形成温度</w:t>
            </w:r>
          </w:p>
        </w:tc>
        <w:tc>
          <w:tcPr>
            <w:tcW w:w="411" w:type="pct"/>
            <w:vAlign w:val="center"/>
          </w:tcPr>
          <w:p w14:paraId="6E8F6D4F">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加热温度</w:t>
            </w:r>
          </w:p>
        </w:tc>
        <w:tc>
          <w:tcPr>
            <w:tcW w:w="413" w:type="pct"/>
            <w:vAlign w:val="center"/>
          </w:tcPr>
          <w:p w14:paraId="0F617467">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节流后压力</w:t>
            </w:r>
          </w:p>
        </w:tc>
        <w:tc>
          <w:tcPr>
            <w:tcW w:w="413" w:type="pct"/>
            <w:vAlign w:val="center"/>
          </w:tcPr>
          <w:p w14:paraId="28BB3AE8">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节流后温度</w:t>
            </w:r>
          </w:p>
        </w:tc>
        <w:tc>
          <w:tcPr>
            <w:tcW w:w="413" w:type="pct"/>
            <w:vAlign w:val="center"/>
          </w:tcPr>
          <w:p w14:paraId="31CFA58E">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井口加热负荷</w:t>
            </w:r>
          </w:p>
        </w:tc>
        <w:tc>
          <w:tcPr>
            <w:tcW w:w="427" w:type="pct"/>
            <w:vAlign w:val="center"/>
          </w:tcPr>
          <w:p w14:paraId="060F192C">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节流后水合物形成温度</w:t>
            </w:r>
          </w:p>
        </w:tc>
        <w:tc>
          <w:tcPr>
            <w:tcW w:w="413" w:type="pct"/>
            <w:vAlign w:val="center"/>
          </w:tcPr>
          <w:p w14:paraId="0C4565A2">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进站温度</w:t>
            </w:r>
          </w:p>
        </w:tc>
        <w:tc>
          <w:tcPr>
            <w:tcW w:w="420" w:type="pct"/>
            <w:vAlign w:val="center"/>
          </w:tcPr>
          <w:p w14:paraId="5D58B79D">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进站压力</w:t>
            </w:r>
          </w:p>
        </w:tc>
      </w:tr>
      <w:tr w14:paraId="06FA08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389" w:type="pct"/>
            <w:vMerge w:val="continue"/>
            <w:vAlign w:val="center"/>
          </w:tcPr>
          <w:p w14:paraId="33B7EBE6">
            <w:pPr>
              <w:pStyle w:val="173"/>
              <w:tabs>
                <w:tab w:val="left" w:pos="3480"/>
              </w:tabs>
              <w:spacing w:line="360" w:lineRule="exact"/>
              <w:ind w:left="0" w:firstLine="0"/>
              <w:rPr>
                <w:rFonts w:hint="default" w:ascii="Times New Roman" w:hAnsi="Times New Roman" w:eastAsia="宋体"/>
                <w:color w:val="auto"/>
                <w:w w:val="99"/>
                <w:highlight w:val="none"/>
              </w:rPr>
            </w:pPr>
          </w:p>
        </w:tc>
        <w:tc>
          <w:tcPr>
            <w:tcW w:w="458" w:type="pct"/>
            <w:vAlign w:val="center"/>
          </w:tcPr>
          <w:p w14:paraId="31E1957F">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10</w:t>
            </w:r>
            <w:r>
              <w:rPr>
                <w:rFonts w:hint="default" w:ascii="Times New Roman" w:hAnsi="Times New Roman" w:eastAsia="宋体"/>
                <w:color w:val="auto"/>
                <w:w w:val="99"/>
                <w:highlight w:val="none"/>
                <w:vertAlign w:val="superscript"/>
              </w:rPr>
              <w:t>4</w:t>
            </w:r>
            <w:r>
              <w:rPr>
                <w:rFonts w:hint="default" w:ascii="Times New Roman" w:hAnsi="Times New Roman" w:eastAsia="宋体"/>
                <w:color w:val="auto"/>
                <w:w w:val="99"/>
                <w:highlight w:val="none"/>
              </w:rPr>
              <w:t>m</w:t>
            </w:r>
            <w:r>
              <w:rPr>
                <w:rFonts w:hint="default" w:ascii="Times New Roman" w:hAnsi="Times New Roman" w:eastAsia="宋体"/>
                <w:color w:val="auto"/>
                <w:w w:val="99"/>
                <w:highlight w:val="none"/>
                <w:vertAlign w:val="superscript"/>
              </w:rPr>
              <w:t>3</w:t>
            </w:r>
            <w:r>
              <w:rPr>
                <w:rFonts w:hint="default" w:ascii="Times New Roman" w:hAnsi="Times New Roman" w:eastAsia="宋体"/>
                <w:color w:val="auto"/>
                <w:w w:val="99"/>
                <w:highlight w:val="none"/>
              </w:rPr>
              <w:t>/d</w:t>
            </w:r>
          </w:p>
        </w:tc>
        <w:tc>
          <w:tcPr>
            <w:tcW w:w="411" w:type="pct"/>
            <w:vAlign w:val="center"/>
          </w:tcPr>
          <w:p w14:paraId="3630F2CB">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w:t>
            </w:r>
          </w:p>
        </w:tc>
        <w:tc>
          <w:tcPr>
            <w:tcW w:w="414" w:type="pct"/>
            <w:vAlign w:val="center"/>
          </w:tcPr>
          <w:p w14:paraId="0EDF1E6E">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MPa</w:t>
            </w:r>
          </w:p>
        </w:tc>
        <w:tc>
          <w:tcPr>
            <w:tcW w:w="411" w:type="pct"/>
            <w:vAlign w:val="center"/>
          </w:tcPr>
          <w:p w14:paraId="209F1CC8">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w:t>
            </w:r>
          </w:p>
        </w:tc>
        <w:tc>
          <w:tcPr>
            <w:tcW w:w="411" w:type="pct"/>
            <w:vAlign w:val="center"/>
          </w:tcPr>
          <w:p w14:paraId="131FEEB0">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w:t>
            </w:r>
          </w:p>
        </w:tc>
        <w:tc>
          <w:tcPr>
            <w:tcW w:w="413" w:type="pct"/>
            <w:vAlign w:val="center"/>
          </w:tcPr>
          <w:p w14:paraId="4B149B19">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MPa</w:t>
            </w:r>
          </w:p>
        </w:tc>
        <w:tc>
          <w:tcPr>
            <w:tcW w:w="413" w:type="pct"/>
            <w:vAlign w:val="center"/>
          </w:tcPr>
          <w:p w14:paraId="708EDAA8">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w:t>
            </w:r>
          </w:p>
        </w:tc>
        <w:tc>
          <w:tcPr>
            <w:tcW w:w="413" w:type="pct"/>
            <w:vAlign w:val="center"/>
          </w:tcPr>
          <w:p w14:paraId="3367514C">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kW</w:t>
            </w:r>
          </w:p>
        </w:tc>
        <w:tc>
          <w:tcPr>
            <w:tcW w:w="427" w:type="pct"/>
            <w:vAlign w:val="center"/>
          </w:tcPr>
          <w:p w14:paraId="1DA6AA9A">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w:t>
            </w:r>
          </w:p>
        </w:tc>
        <w:tc>
          <w:tcPr>
            <w:tcW w:w="413" w:type="pct"/>
            <w:vAlign w:val="center"/>
          </w:tcPr>
          <w:p w14:paraId="1DEB8F31">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w:t>
            </w:r>
          </w:p>
        </w:tc>
        <w:tc>
          <w:tcPr>
            <w:tcW w:w="420" w:type="pct"/>
            <w:vAlign w:val="center"/>
          </w:tcPr>
          <w:p w14:paraId="70E11BF2">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MPa</w:t>
            </w:r>
          </w:p>
        </w:tc>
      </w:tr>
      <w:tr w14:paraId="0A1D020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389" w:type="pct"/>
            <w:vAlign w:val="center"/>
          </w:tcPr>
          <w:p w14:paraId="411B6A79">
            <w:pPr>
              <w:pStyle w:val="173"/>
              <w:tabs>
                <w:tab w:val="left" w:pos="3480"/>
              </w:tabs>
              <w:spacing w:line="360" w:lineRule="exact"/>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徐深27-H1</w:t>
            </w:r>
          </w:p>
        </w:tc>
        <w:tc>
          <w:tcPr>
            <w:tcW w:w="458" w:type="pct"/>
            <w:vAlign w:val="center"/>
          </w:tcPr>
          <w:p w14:paraId="53D07B06">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9</w:t>
            </w:r>
          </w:p>
        </w:tc>
        <w:tc>
          <w:tcPr>
            <w:tcW w:w="411" w:type="pct"/>
            <w:vAlign w:val="center"/>
          </w:tcPr>
          <w:p w14:paraId="000C7192">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20</w:t>
            </w:r>
          </w:p>
        </w:tc>
        <w:tc>
          <w:tcPr>
            <w:tcW w:w="414" w:type="pct"/>
            <w:vAlign w:val="center"/>
          </w:tcPr>
          <w:p w14:paraId="786DA017">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26</w:t>
            </w:r>
          </w:p>
        </w:tc>
        <w:tc>
          <w:tcPr>
            <w:tcW w:w="411" w:type="pct"/>
            <w:vAlign w:val="center"/>
          </w:tcPr>
          <w:p w14:paraId="20A37916">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23.47</w:t>
            </w:r>
          </w:p>
        </w:tc>
        <w:tc>
          <w:tcPr>
            <w:tcW w:w="411" w:type="pct"/>
            <w:vAlign w:val="center"/>
          </w:tcPr>
          <w:p w14:paraId="3A69034E">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42</w:t>
            </w:r>
          </w:p>
        </w:tc>
        <w:tc>
          <w:tcPr>
            <w:tcW w:w="413" w:type="pct"/>
            <w:vAlign w:val="center"/>
          </w:tcPr>
          <w:p w14:paraId="69B097A8">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21</w:t>
            </w:r>
          </w:p>
        </w:tc>
        <w:tc>
          <w:tcPr>
            <w:tcW w:w="413" w:type="pct"/>
            <w:vAlign w:val="center"/>
          </w:tcPr>
          <w:p w14:paraId="36B6FD72">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31.65</w:t>
            </w:r>
          </w:p>
        </w:tc>
        <w:tc>
          <w:tcPr>
            <w:tcW w:w="413" w:type="pct"/>
            <w:vAlign w:val="center"/>
          </w:tcPr>
          <w:p w14:paraId="2525CA18">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77.41</w:t>
            </w:r>
          </w:p>
        </w:tc>
        <w:tc>
          <w:tcPr>
            <w:tcW w:w="427" w:type="pct"/>
            <w:vAlign w:val="center"/>
          </w:tcPr>
          <w:p w14:paraId="35C6BFBB">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21.99</w:t>
            </w:r>
          </w:p>
        </w:tc>
        <w:tc>
          <w:tcPr>
            <w:tcW w:w="413" w:type="pct"/>
            <w:vAlign w:val="center"/>
          </w:tcPr>
          <w:p w14:paraId="24B62793">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32.44</w:t>
            </w:r>
          </w:p>
        </w:tc>
        <w:tc>
          <w:tcPr>
            <w:tcW w:w="420" w:type="pct"/>
            <w:vAlign w:val="center"/>
          </w:tcPr>
          <w:p w14:paraId="7B19068B">
            <w:pPr>
              <w:pStyle w:val="173"/>
              <w:tabs>
                <w:tab w:val="left" w:pos="3480"/>
              </w:tabs>
              <w:spacing w:line="36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20.6</w:t>
            </w:r>
          </w:p>
        </w:tc>
      </w:tr>
    </w:tbl>
    <w:p w14:paraId="15E38004">
      <w:pPr>
        <w:spacing w:line="50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同时，为防止开井初期井口及管道冻堵问题，在井场预留注醇工艺接头</w:t>
      </w:r>
      <w:r>
        <w:rPr>
          <w:rFonts w:hint="eastAsia" w:ascii="Times New Roman" w:hAnsi="Times New Roman" w:cs="Times New Roman"/>
          <w:bCs/>
          <w:color w:val="auto"/>
          <w:w w:val="99"/>
          <w:highlight w:val="none"/>
          <w:lang w:eastAsia="zh-CN"/>
        </w:rPr>
        <w:t>，</w:t>
      </w:r>
      <w:r>
        <w:rPr>
          <w:rFonts w:ascii="Times New Roman" w:hAnsi="Times New Roman" w:cs="Times New Roman" w:eastAsiaTheme="minorEastAsia"/>
          <w:color w:val="auto"/>
          <w:w w:val="99"/>
          <w:highlight w:val="none"/>
        </w:rPr>
        <w:t>正常运行不进行注醇，仅在井口设置甲醇加注预留头，必要时（井筒冻堵等情况）采用移动罐车方式加注甲醇</w:t>
      </w:r>
      <w:r>
        <w:rPr>
          <w:rFonts w:ascii="Times New Roman" w:hAnsi="Times New Roman" w:cs="Times New Roman"/>
          <w:bCs/>
          <w:color w:val="auto"/>
          <w:w w:val="99"/>
          <w:highlight w:val="none"/>
        </w:rPr>
        <w:t>。</w:t>
      </w:r>
    </w:p>
    <w:p w14:paraId="53B2D924">
      <w:pPr>
        <w:spacing w:line="500" w:lineRule="exact"/>
        <w:ind w:firstLine="474" w:firstLineChars="200"/>
        <w:jc w:val="both"/>
        <w:rPr>
          <w:rFonts w:ascii="Times New Roman" w:hAnsi="Times New Roman" w:cs="Times New Roman"/>
          <w:bCs/>
          <w:color w:val="auto"/>
          <w:w w:val="99"/>
          <w:highlight w:val="none"/>
        </w:rPr>
      </w:pPr>
      <w:r>
        <w:rPr>
          <w:rFonts w:hint="eastAsia" w:ascii="Times New Roman" w:hAnsi="Times New Roman" w:cs="Times New Roman"/>
          <w:bCs/>
          <w:color w:val="auto"/>
          <w:w w:val="99"/>
          <w:highlight w:val="none"/>
        </w:rPr>
        <w:t>（5</w:t>
      </w:r>
      <w:r>
        <w:rPr>
          <w:rFonts w:ascii="Times New Roman" w:hAnsi="Times New Roman" w:cs="Times New Roman"/>
          <w:bCs/>
          <w:color w:val="auto"/>
          <w:w w:val="99"/>
          <w:highlight w:val="none"/>
        </w:rPr>
        <w:t>）电磁加热节流装置介绍</w:t>
      </w:r>
    </w:p>
    <w:p w14:paraId="0F41230E">
      <w:pPr>
        <w:spacing w:line="500" w:lineRule="exact"/>
        <w:ind w:firstLine="474" w:firstLineChars="200"/>
        <w:jc w:val="both"/>
        <w:rPr>
          <w:rFonts w:ascii="Times New Roman" w:hAnsi="Times New Roman" w:cs="Times New Roman"/>
          <w:bCs/>
          <w:color w:val="auto"/>
          <w:w w:val="99"/>
          <w:highlight w:val="none"/>
        </w:rPr>
      </w:pPr>
      <w:r>
        <w:rPr>
          <w:rFonts w:hint="eastAsia" w:ascii="Times New Roman" w:hAnsi="Times New Roman" w:cs="Times New Roman"/>
          <w:bCs/>
          <w:color w:val="auto"/>
          <w:w w:val="99"/>
          <w:highlight w:val="none"/>
        </w:rPr>
        <w:t>1）</w:t>
      </w:r>
      <w:r>
        <w:rPr>
          <w:rFonts w:ascii="Times New Roman" w:hAnsi="Times New Roman" w:cs="Times New Roman"/>
          <w:bCs/>
          <w:color w:val="auto"/>
          <w:w w:val="99"/>
          <w:highlight w:val="none"/>
        </w:rPr>
        <w:t>电磁加热工作原理</w:t>
      </w:r>
    </w:p>
    <w:p w14:paraId="50EA95EB">
      <w:pPr>
        <w:spacing w:line="50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该装置主要由感应毯和设备主机两部分构成，感应毯包袱在阀门和管道上，设备主机把工频电变成15-25kHz的高频电源，不断变换的高频磁场通过感应毯作用到阀门、管道金属体上产生涡流，使金属自身发热，热能可以深入到阀口冰堵处，破坏天然气形成冰堵的温度条件。</w:t>
      </w:r>
    </w:p>
    <w:p w14:paraId="52863D4C">
      <w:pPr>
        <w:spacing w:line="50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同时，在特殊磁场的作用下，产生一个类似变压器轻微径向频振，结合天然气通过管道的轴向频振形成一个类似高频相互抖动的效果，更有效的防止水合物与阀门、管道等金属粘连。</w:t>
      </w:r>
    </w:p>
    <w:p w14:paraId="02EA8027">
      <w:pPr>
        <w:pStyle w:val="102"/>
        <w:tabs>
          <w:tab w:val="left" w:pos="3480"/>
        </w:tabs>
        <w:adjustRightInd w:val="0"/>
        <w:spacing w:line="240" w:lineRule="auto"/>
        <w:ind w:left="0" w:firstLine="420" w:firstLineChars="200"/>
        <w:rPr>
          <w:rFonts w:hint="default"/>
          <w:color w:val="auto"/>
          <w:highlight w:val="none"/>
        </w:rPr>
      </w:pPr>
      <w:r>
        <w:rPr>
          <w:color w:val="auto"/>
          <w:highlight w:val="none"/>
        </w:rPr>
        <w:drawing>
          <wp:inline distT="0" distB="0" distL="114300" distR="114300">
            <wp:extent cx="3910965" cy="3242945"/>
            <wp:effectExtent l="9525" t="9525" r="22860" b="2413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30"/>
                    <a:srcRect t="23174" b="16889"/>
                    <a:stretch>
                      <a:fillRect/>
                    </a:stretch>
                  </pic:blipFill>
                  <pic:spPr>
                    <a:xfrm>
                      <a:off x="0" y="0"/>
                      <a:ext cx="3910965" cy="3242945"/>
                    </a:xfrm>
                    <a:prstGeom prst="rect">
                      <a:avLst/>
                    </a:prstGeom>
                    <a:ln w="6350">
                      <a:solidFill>
                        <a:schemeClr val="tx1"/>
                      </a:solidFill>
                    </a:ln>
                  </pic:spPr>
                </pic:pic>
              </a:graphicData>
            </a:graphic>
          </wp:inline>
        </w:drawing>
      </w:r>
    </w:p>
    <w:p w14:paraId="79430F16">
      <w:pPr>
        <w:pStyle w:val="104"/>
        <w:spacing w:line="440" w:lineRule="exact"/>
        <w:ind w:left="0" w:firstLine="476" w:firstLineChars="200"/>
        <w:rPr>
          <w:rFonts w:ascii="Times New Roman" w:hAnsi="Times New Roman" w:eastAsia="宋体"/>
          <w:b/>
          <w:color w:val="auto"/>
          <w:w w:val="99"/>
          <w:sz w:val="24"/>
          <w:szCs w:val="24"/>
          <w:highlight w:val="none"/>
        </w:rPr>
      </w:pPr>
      <w:r>
        <w:rPr>
          <w:rFonts w:ascii="Times New Roman" w:hAnsi="Times New Roman" w:eastAsia="宋体"/>
          <w:b/>
          <w:color w:val="auto"/>
          <w:w w:val="99"/>
          <w:sz w:val="24"/>
          <w:szCs w:val="24"/>
          <w:highlight w:val="none"/>
        </w:rPr>
        <w:t>图</w:t>
      </w:r>
      <w:r>
        <w:rPr>
          <w:rFonts w:hint="eastAsia" w:ascii="Times New Roman" w:hAnsi="Times New Roman" w:eastAsia="宋体"/>
          <w:b/>
          <w:color w:val="auto"/>
          <w:w w:val="99"/>
          <w:sz w:val="24"/>
          <w:szCs w:val="24"/>
          <w:highlight w:val="none"/>
        </w:rPr>
        <w:t>3.5-1</w:t>
      </w:r>
      <w:r>
        <w:rPr>
          <w:rFonts w:ascii="Times New Roman" w:hAnsi="Times New Roman" w:eastAsia="宋体"/>
          <w:b/>
          <w:color w:val="auto"/>
          <w:w w:val="99"/>
          <w:sz w:val="24"/>
          <w:szCs w:val="24"/>
          <w:highlight w:val="none"/>
        </w:rPr>
        <w:t xml:space="preserve">  加热感应毯</w:t>
      </w:r>
      <w:r>
        <w:rPr>
          <w:rFonts w:hint="eastAsia" w:ascii="Times New Roman" w:hAnsi="Times New Roman" w:eastAsia="宋体"/>
          <w:b/>
          <w:color w:val="auto"/>
          <w:w w:val="99"/>
          <w:sz w:val="24"/>
          <w:szCs w:val="24"/>
          <w:highlight w:val="none"/>
        </w:rPr>
        <w:t>组成示意图</w:t>
      </w:r>
    </w:p>
    <w:p w14:paraId="1CA6C4AB">
      <w:pPr>
        <w:pStyle w:val="102"/>
        <w:tabs>
          <w:tab w:val="left" w:pos="3480"/>
        </w:tabs>
        <w:spacing w:line="500" w:lineRule="exact"/>
        <w:ind w:left="0" w:firstLine="474" w:firstLineChars="200"/>
        <w:jc w:val="both"/>
        <w:rPr>
          <w:rFonts w:hint="default" w:ascii="Times New Roman" w:hAnsi="Times New Roman" w:eastAsia="宋体"/>
          <w:bCs/>
          <w:color w:val="auto"/>
          <w:w w:val="99"/>
          <w:sz w:val="24"/>
          <w:szCs w:val="24"/>
          <w:highlight w:val="none"/>
        </w:rPr>
      </w:pPr>
      <w:r>
        <w:rPr>
          <w:rFonts w:ascii="Times New Roman" w:hAnsi="Times New Roman" w:eastAsia="宋体"/>
          <w:bCs/>
          <w:color w:val="auto"/>
          <w:w w:val="99"/>
          <w:sz w:val="24"/>
          <w:szCs w:val="24"/>
          <w:highlight w:val="none"/>
        </w:rPr>
        <w:t>2）</w:t>
      </w:r>
      <w:r>
        <w:rPr>
          <w:rFonts w:hint="default" w:ascii="Times New Roman" w:hAnsi="Times New Roman" w:eastAsia="宋体"/>
          <w:bCs/>
          <w:color w:val="auto"/>
          <w:w w:val="99"/>
          <w:sz w:val="24"/>
          <w:szCs w:val="24"/>
          <w:highlight w:val="none"/>
        </w:rPr>
        <w:t>功能</w:t>
      </w:r>
    </w:p>
    <w:p w14:paraId="44D3A079">
      <w:pPr>
        <w:pStyle w:val="102"/>
        <w:tabs>
          <w:tab w:val="left" w:pos="3480"/>
        </w:tabs>
        <w:spacing w:line="500" w:lineRule="exact"/>
        <w:ind w:left="0" w:firstLine="474" w:firstLineChars="200"/>
        <w:jc w:val="both"/>
        <w:rPr>
          <w:rFonts w:hint="default" w:ascii="Times New Roman" w:hAnsi="Times New Roman" w:eastAsia="宋体"/>
          <w:bCs/>
          <w:color w:val="auto"/>
          <w:w w:val="99"/>
          <w:sz w:val="24"/>
          <w:szCs w:val="24"/>
          <w:highlight w:val="none"/>
        </w:rPr>
      </w:pPr>
      <w:r>
        <w:rPr>
          <w:rFonts w:hint="default" w:ascii="Times New Roman" w:hAnsi="Times New Roman" w:eastAsia="宋体"/>
          <w:bCs/>
          <w:color w:val="auto"/>
          <w:w w:val="99"/>
          <w:sz w:val="24"/>
          <w:szCs w:val="24"/>
          <w:highlight w:val="none"/>
        </w:rPr>
        <w:t>可对气井气进行加热处理，气井气接入电磁加热节流装置后，利用感应毯对气井气加热。</w:t>
      </w:r>
    </w:p>
    <w:p w14:paraId="05C01F52">
      <w:pPr>
        <w:pStyle w:val="102"/>
        <w:tabs>
          <w:tab w:val="left" w:pos="3480"/>
        </w:tabs>
        <w:spacing w:line="500" w:lineRule="exact"/>
        <w:ind w:left="0" w:firstLine="474" w:firstLineChars="200"/>
        <w:jc w:val="both"/>
        <w:rPr>
          <w:rFonts w:hint="default" w:ascii="Times New Roman" w:hAnsi="Times New Roman" w:eastAsia="宋体"/>
          <w:bCs/>
          <w:color w:val="auto"/>
          <w:w w:val="99"/>
          <w:sz w:val="24"/>
          <w:szCs w:val="24"/>
          <w:highlight w:val="none"/>
        </w:rPr>
      </w:pPr>
      <w:r>
        <w:rPr>
          <w:rFonts w:ascii="Times New Roman" w:hAnsi="Times New Roman" w:eastAsia="宋体"/>
          <w:bCs/>
          <w:color w:val="auto"/>
          <w:w w:val="99"/>
          <w:sz w:val="24"/>
          <w:szCs w:val="24"/>
          <w:highlight w:val="none"/>
        </w:rPr>
        <w:t>3）</w:t>
      </w:r>
      <w:r>
        <w:rPr>
          <w:rFonts w:hint="default" w:ascii="Times New Roman" w:hAnsi="Times New Roman" w:eastAsia="宋体"/>
          <w:bCs/>
          <w:color w:val="auto"/>
          <w:w w:val="99"/>
          <w:sz w:val="24"/>
          <w:szCs w:val="24"/>
          <w:highlight w:val="none"/>
        </w:rPr>
        <w:t>工艺参数</w:t>
      </w:r>
    </w:p>
    <w:p w14:paraId="367E4CB4">
      <w:pPr>
        <w:pStyle w:val="102"/>
        <w:tabs>
          <w:tab w:val="left" w:pos="3480"/>
        </w:tabs>
        <w:spacing w:line="500" w:lineRule="exact"/>
        <w:ind w:left="0" w:firstLine="474" w:firstLineChars="200"/>
        <w:jc w:val="both"/>
        <w:rPr>
          <w:rFonts w:hint="default" w:ascii="Times New Roman" w:hAnsi="Times New Roman" w:eastAsia="宋体"/>
          <w:bCs/>
          <w:color w:val="auto"/>
          <w:w w:val="99"/>
          <w:sz w:val="24"/>
          <w:szCs w:val="24"/>
          <w:highlight w:val="none"/>
        </w:rPr>
      </w:pPr>
      <w:r>
        <w:rPr>
          <w:rFonts w:hint="default" w:ascii="Times New Roman" w:hAnsi="Times New Roman" w:eastAsia="宋体"/>
          <w:bCs/>
          <w:color w:val="auto"/>
          <w:w w:val="99"/>
          <w:sz w:val="24"/>
          <w:szCs w:val="24"/>
          <w:highlight w:val="none"/>
        </w:rPr>
        <w:t xml:space="preserve">功率范围：5~500KW   </w:t>
      </w:r>
    </w:p>
    <w:p w14:paraId="26516CE9">
      <w:pPr>
        <w:pStyle w:val="102"/>
        <w:tabs>
          <w:tab w:val="left" w:pos="3480"/>
        </w:tabs>
        <w:spacing w:line="500" w:lineRule="exact"/>
        <w:ind w:left="0" w:firstLine="474" w:firstLineChars="200"/>
        <w:jc w:val="both"/>
        <w:rPr>
          <w:rFonts w:hint="default" w:ascii="Times New Roman" w:hAnsi="Times New Roman" w:eastAsia="宋体"/>
          <w:bCs/>
          <w:color w:val="auto"/>
          <w:w w:val="99"/>
          <w:sz w:val="24"/>
          <w:szCs w:val="24"/>
          <w:highlight w:val="none"/>
        </w:rPr>
      </w:pPr>
      <w:r>
        <w:rPr>
          <w:rFonts w:hint="default" w:ascii="Times New Roman" w:hAnsi="Times New Roman" w:eastAsia="宋体"/>
          <w:bCs/>
          <w:color w:val="auto"/>
          <w:w w:val="99"/>
          <w:sz w:val="24"/>
          <w:szCs w:val="24"/>
          <w:highlight w:val="none"/>
        </w:rPr>
        <w:t xml:space="preserve">电压：220V/380V   </w:t>
      </w:r>
    </w:p>
    <w:p w14:paraId="1CCBE01E">
      <w:pPr>
        <w:pStyle w:val="102"/>
        <w:tabs>
          <w:tab w:val="left" w:pos="3480"/>
        </w:tabs>
        <w:spacing w:line="500" w:lineRule="exact"/>
        <w:ind w:left="0" w:firstLine="474" w:firstLineChars="200"/>
        <w:jc w:val="both"/>
        <w:rPr>
          <w:rFonts w:hint="default" w:ascii="Times New Roman" w:hAnsi="Times New Roman" w:eastAsia="宋体"/>
          <w:bCs/>
          <w:color w:val="auto"/>
          <w:w w:val="99"/>
          <w:sz w:val="24"/>
          <w:szCs w:val="24"/>
          <w:highlight w:val="none"/>
        </w:rPr>
      </w:pPr>
      <w:r>
        <w:rPr>
          <w:rFonts w:hint="default" w:ascii="Times New Roman" w:hAnsi="Times New Roman" w:eastAsia="宋体"/>
          <w:bCs/>
          <w:color w:val="auto"/>
          <w:w w:val="99"/>
          <w:sz w:val="24"/>
          <w:szCs w:val="24"/>
          <w:highlight w:val="none"/>
        </w:rPr>
        <w:t>频率范围：15KHz-25KHz</w:t>
      </w:r>
    </w:p>
    <w:p w14:paraId="54619E96">
      <w:pPr>
        <w:pStyle w:val="102"/>
        <w:tabs>
          <w:tab w:val="left" w:pos="3480"/>
        </w:tabs>
        <w:spacing w:line="500" w:lineRule="exact"/>
        <w:ind w:left="0" w:firstLine="474" w:firstLineChars="200"/>
        <w:jc w:val="both"/>
        <w:rPr>
          <w:rFonts w:hint="default" w:ascii="Times New Roman" w:hAnsi="Times New Roman" w:eastAsia="宋体"/>
          <w:bCs/>
          <w:color w:val="auto"/>
          <w:w w:val="99"/>
          <w:sz w:val="24"/>
          <w:szCs w:val="24"/>
          <w:highlight w:val="none"/>
        </w:rPr>
      </w:pPr>
      <w:r>
        <w:rPr>
          <w:rFonts w:hint="default" w:ascii="Times New Roman" w:hAnsi="Times New Roman" w:eastAsia="宋体"/>
          <w:bCs/>
          <w:color w:val="auto"/>
          <w:w w:val="99"/>
          <w:sz w:val="24"/>
          <w:szCs w:val="24"/>
          <w:highlight w:val="none"/>
        </w:rPr>
        <w:t xml:space="preserve">防爆等级：EXdbⅡBT4Gb   </w:t>
      </w:r>
    </w:p>
    <w:p w14:paraId="400DC978">
      <w:pPr>
        <w:pStyle w:val="102"/>
        <w:tabs>
          <w:tab w:val="left" w:pos="3480"/>
        </w:tabs>
        <w:spacing w:line="500" w:lineRule="exact"/>
        <w:ind w:left="0" w:firstLine="474" w:firstLineChars="200"/>
        <w:jc w:val="both"/>
        <w:rPr>
          <w:rFonts w:hint="default" w:ascii="Times New Roman" w:hAnsi="Times New Roman" w:eastAsia="宋体"/>
          <w:bCs/>
          <w:color w:val="auto"/>
          <w:w w:val="99"/>
          <w:sz w:val="24"/>
          <w:szCs w:val="24"/>
          <w:highlight w:val="none"/>
        </w:rPr>
      </w:pPr>
      <w:r>
        <w:rPr>
          <w:rFonts w:hint="default" w:ascii="Times New Roman" w:hAnsi="Times New Roman" w:eastAsia="宋体"/>
          <w:bCs/>
          <w:color w:val="auto"/>
          <w:w w:val="99"/>
          <w:sz w:val="24"/>
          <w:szCs w:val="24"/>
          <w:highlight w:val="none"/>
        </w:rPr>
        <w:t>防护等级: 主机IP65  感应毯IP67</w:t>
      </w:r>
    </w:p>
    <w:p w14:paraId="6BF6C66D">
      <w:pPr>
        <w:pStyle w:val="102"/>
        <w:tabs>
          <w:tab w:val="left" w:pos="3480"/>
        </w:tabs>
        <w:spacing w:line="500" w:lineRule="exact"/>
        <w:ind w:left="0" w:firstLine="474" w:firstLineChars="200"/>
        <w:jc w:val="both"/>
        <w:rPr>
          <w:rFonts w:hint="default" w:ascii="Times New Roman" w:hAnsi="Times New Roman" w:eastAsia="宋体"/>
          <w:bCs/>
          <w:color w:val="auto"/>
          <w:w w:val="99"/>
          <w:sz w:val="24"/>
          <w:szCs w:val="24"/>
          <w:highlight w:val="none"/>
        </w:rPr>
      </w:pPr>
      <w:r>
        <w:rPr>
          <w:rFonts w:hint="default" w:ascii="Times New Roman" w:hAnsi="Times New Roman" w:eastAsia="宋体"/>
          <w:bCs/>
          <w:color w:val="auto"/>
          <w:w w:val="99"/>
          <w:sz w:val="24"/>
          <w:szCs w:val="24"/>
          <w:highlight w:val="none"/>
        </w:rPr>
        <w:t xml:space="preserve">感应毯特性：防水、防酸碱、耐高温 300℃ </w:t>
      </w:r>
    </w:p>
    <w:p w14:paraId="75272886">
      <w:pPr>
        <w:pStyle w:val="102"/>
        <w:tabs>
          <w:tab w:val="left" w:pos="3480"/>
        </w:tabs>
        <w:spacing w:line="500" w:lineRule="exact"/>
        <w:ind w:left="0" w:firstLine="474" w:firstLineChars="200"/>
        <w:jc w:val="both"/>
        <w:rPr>
          <w:rFonts w:hint="default" w:ascii="Times New Roman" w:hAnsi="Times New Roman" w:eastAsia="宋体"/>
          <w:bCs/>
          <w:color w:val="auto"/>
          <w:w w:val="99"/>
          <w:sz w:val="24"/>
          <w:szCs w:val="24"/>
          <w:highlight w:val="none"/>
        </w:rPr>
      </w:pPr>
      <w:r>
        <w:rPr>
          <w:rFonts w:hint="default" w:ascii="Times New Roman" w:hAnsi="Times New Roman" w:eastAsia="宋体"/>
          <w:bCs/>
          <w:color w:val="auto"/>
          <w:w w:val="99"/>
          <w:sz w:val="24"/>
          <w:szCs w:val="24"/>
          <w:highlight w:val="none"/>
        </w:rPr>
        <w:t xml:space="preserve">调压器、管道加热温度：10-90℃  (可设定)  </w:t>
      </w:r>
    </w:p>
    <w:p w14:paraId="7A4A904A">
      <w:pPr>
        <w:pStyle w:val="102"/>
        <w:tabs>
          <w:tab w:val="left" w:pos="3480"/>
        </w:tabs>
        <w:spacing w:line="500" w:lineRule="exact"/>
        <w:ind w:left="0" w:firstLine="474" w:firstLineChars="200"/>
        <w:jc w:val="both"/>
        <w:rPr>
          <w:rFonts w:hint="default" w:ascii="Times New Roman" w:hAnsi="Times New Roman" w:eastAsia="宋体"/>
          <w:bCs/>
          <w:color w:val="auto"/>
          <w:w w:val="99"/>
          <w:sz w:val="24"/>
          <w:szCs w:val="24"/>
          <w:highlight w:val="none"/>
        </w:rPr>
      </w:pPr>
      <w:r>
        <w:rPr>
          <w:rFonts w:hint="default" w:ascii="Times New Roman" w:hAnsi="Times New Roman" w:eastAsia="宋体"/>
          <w:bCs/>
          <w:color w:val="auto"/>
          <w:w w:val="99"/>
          <w:sz w:val="24"/>
          <w:szCs w:val="24"/>
          <w:highlight w:val="none"/>
        </w:rPr>
        <w:t>油气升温：1-100℃ (可设定)</w:t>
      </w:r>
    </w:p>
    <w:p w14:paraId="198E7194">
      <w:pPr>
        <w:pStyle w:val="102"/>
        <w:tabs>
          <w:tab w:val="left" w:pos="3480"/>
        </w:tabs>
        <w:spacing w:line="500" w:lineRule="exact"/>
        <w:ind w:left="0" w:firstLine="474" w:firstLineChars="200"/>
        <w:jc w:val="both"/>
        <w:rPr>
          <w:rFonts w:hint="default" w:ascii="Times New Roman" w:hAnsi="Times New Roman" w:eastAsia="宋体"/>
          <w:bCs/>
          <w:color w:val="auto"/>
          <w:w w:val="99"/>
          <w:sz w:val="24"/>
          <w:szCs w:val="24"/>
          <w:highlight w:val="none"/>
        </w:rPr>
      </w:pPr>
      <w:r>
        <w:rPr>
          <w:rFonts w:hint="default" w:ascii="Times New Roman" w:hAnsi="Times New Roman" w:eastAsia="宋体"/>
          <w:bCs/>
          <w:color w:val="auto"/>
          <w:w w:val="99"/>
          <w:sz w:val="24"/>
          <w:szCs w:val="24"/>
          <w:highlight w:val="none"/>
        </w:rPr>
        <w:t>安装方式：采用橇装化设计，可根据加热物流的流股数量立体化布置</w:t>
      </w:r>
      <w:r>
        <w:rPr>
          <w:rFonts w:ascii="Times New Roman" w:hAnsi="Times New Roman" w:eastAsia="宋体"/>
          <w:bCs/>
          <w:color w:val="auto"/>
          <w:w w:val="99"/>
          <w:sz w:val="24"/>
          <w:szCs w:val="24"/>
          <w:highlight w:val="none"/>
        </w:rPr>
        <w:t>。</w:t>
      </w:r>
    </w:p>
    <w:p w14:paraId="08A7F6A3">
      <w:pPr>
        <w:pStyle w:val="102"/>
        <w:tabs>
          <w:tab w:val="left" w:pos="3480"/>
        </w:tabs>
        <w:spacing w:line="500" w:lineRule="exact"/>
        <w:ind w:left="0" w:firstLine="474" w:firstLineChars="200"/>
        <w:jc w:val="both"/>
        <w:rPr>
          <w:rFonts w:hint="default" w:ascii="Times New Roman" w:hAnsi="Times New Roman" w:eastAsia="宋体"/>
          <w:bCs/>
          <w:color w:val="auto"/>
          <w:w w:val="99"/>
          <w:sz w:val="24"/>
          <w:szCs w:val="24"/>
          <w:highlight w:val="none"/>
        </w:rPr>
      </w:pPr>
      <w:r>
        <w:rPr>
          <w:rFonts w:ascii="Times New Roman" w:hAnsi="Times New Roman" w:eastAsia="宋体"/>
          <w:bCs/>
          <w:color w:val="auto"/>
          <w:w w:val="99"/>
          <w:sz w:val="24"/>
          <w:szCs w:val="24"/>
          <w:highlight w:val="none"/>
        </w:rPr>
        <w:t>4）</w:t>
      </w:r>
      <w:r>
        <w:rPr>
          <w:rFonts w:hint="default" w:ascii="Times New Roman" w:hAnsi="Times New Roman" w:eastAsia="宋体"/>
          <w:bCs/>
          <w:color w:val="auto"/>
          <w:w w:val="99"/>
          <w:sz w:val="24"/>
          <w:szCs w:val="24"/>
          <w:highlight w:val="none"/>
        </w:rPr>
        <w:t>应用情况</w:t>
      </w:r>
    </w:p>
    <w:p w14:paraId="2EAD83B6">
      <w:pPr>
        <w:pStyle w:val="102"/>
        <w:tabs>
          <w:tab w:val="left" w:pos="3480"/>
        </w:tabs>
        <w:spacing w:line="500" w:lineRule="exact"/>
        <w:ind w:left="0" w:firstLine="474" w:firstLineChars="200"/>
        <w:jc w:val="both"/>
        <w:rPr>
          <w:rFonts w:hint="default" w:ascii="Times New Roman" w:hAnsi="Times New Roman" w:eastAsia="宋体"/>
          <w:bCs/>
          <w:color w:val="auto"/>
          <w:w w:val="99"/>
          <w:sz w:val="24"/>
          <w:szCs w:val="24"/>
          <w:highlight w:val="none"/>
        </w:rPr>
      </w:pPr>
      <w:r>
        <w:rPr>
          <w:rFonts w:hint="default" w:ascii="Times New Roman" w:hAnsi="Times New Roman" w:eastAsia="宋体"/>
          <w:bCs/>
          <w:color w:val="auto"/>
          <w:w w:val="99"/>
          <w:sz w:val="24"/>
          <w:szCs w:val="24"/>
          <w:highlight w:val="none"/>
        </w:rPr>
        <w:t>该装置目前在西南油气田、国家管网等单位已应用实践，多用于井场和管道伴热，以及站场上替代加热炉对油气加热。</w:t>
      </w:r>
    </w:p>
    <w:tbl>
      <w:tblPr>
        <w:tblStyle w:val="8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51"/>
        <w:gridCol w:w="4935"/>
      </w:tblGrid>
      <w:tr w14:paraId="5F66F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70" w:type="dxa"/>
            <w:vAlign w:val="center"/>
          </w:tcPr>
          <w:p w14:paraId="51A2B54F">
            <w:pPr>
              <w:pStyle w:val="102"/>
              <w:tabs>
                <w:tab w:val="left" w:pos="3480"/>
              </w:tabs>
              <w:snapToGrid/>
              <w:spacing w:line="240" w:lineRule="auto"/>
              <w:rPr>
                <w:rFonts w:hint="default" w:ascii="Times New Roman" w:hAnsi="Times New Roman"/>
                <w:color w:val="auto"/>
                <w:sz w:val="28"/>
                <w:szCs w:val="28"/>
                <w:highlight w:val="none"/>
                <w:lang w:bidi="ar"/>
              </w:rPr>
            </w:pPr>
            <w:r>
              <w:rPr>
                <w:rFonts w:hint="default" w:ascii="Times New Roman" w:hAnsi="Times New Roman"/>
                <w:color w:val="auto"/>
                <w:highlight w:val="none"/>
              </w:rPr>
              <w:drawing>
                <wp:inline distT="0" distB="0" distL="114300" distR="114300">
                  <wp:extent cx="2967355" cy="4083685"/>
                  <wp:effectExtent l="0" t="0" r="4445" b="12065"/>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31"/>
                          <a:srcRect t="5586" r="9805" b="5247"/>
                          <a:stretch>
                            <a:fillRect/>
                          </a:stretch>
                        </pic:blipFill>
                        <pic:spPr>
                          <a:xfrm>
                            <a:off x="0" y="0"/>
                            <a:ext cx="2967355" cy="4083685"/>
                          </a:xfrm>
                          <a:prstGeom prst="rect">
                            <a:avLst/>
                          </a:prstGeom>
                          <a:noFill/>
                          <a:ln>
                            <a:noFill/>
                          </a:ln>
                        </pic:spPr>
                      </pic:pic>
                    </a:graphicData>
                  </a:graphic>
                </wp:inline>
              </w:drawing>
            </w:r>
          </w:p>
        </w:tc>
        <w:tc>
          <w:tcPr>
            <w:tcW w:w="4871" w:type="dxa"/>
            <w:vAlign w:val="center"/>
          </w:tcPr>
          <w:p w14:paraId="6A126985">
            <w:pPr>
              <w:pStyle w:val="102"/>
              <w:tabs>
                <w:tab w:val="left" w:pos="3480"/>
              </w:tabs>
              <w:snapToGrid/>
              <w:spacing w:line="240" w:lineRule="auto"/>
              <w:rPr>
                <w:rFonts w:hint="default" w:ascii="Times New Roman" w:hAnsi="Times New Roman"/>
                <w:color w:val="auto"/>
                <w:sz w:val="28"/>
                <w:szCs w:val="28"/>
                <w:highlight w:val="none"/>
                <w:lang w:bidi="ar"/>
              </w:rPr>
            </w:pPr>
            <w:r>
              <w:rPr>
                <w:rFonts w:hint="default" w:ascii="Times New Roman" w:hAnsi="Times New Roman"/>
                <w:color w:val="auto"/>
                <w:highlight w:val="none"/>
              </w:rPr>
              <w:drawing>
                <wp:inline distT="0" distB="0" distL="114300" distR="114300">
                  <wp:extent cx="3379470" cy="4169410"/>
                  <wp:effectExtent l="0" t="0" r="11430" b="2540"/>
                  <wp:docPr id="7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5"/>
                          <pic:cNvPicPr>
                            <a:picLocks noChangeAspect="1"/>
                          </pic:cNvPicPr>
                        </pic:nvPicPr>
                        <pic:blipFill>
                          <a:blip r:embed="rId32"/>
                          <a:stretch>
                            <a:fillRect/>
                          </a:stretch>
                        </pic:blipFill>
                        <pic:spPr>
                          <a:xfrm>
                            <a:off x="0" y="0"/>
                            <a:ext cx="3379470" cy="4169410"/>
                          </a:xfrm>
                          <a:prstGeom prst="rect">
                            <a:avLst/>
                          </a:prstGeom>
                          <a:noFill/>
                          <a:ln>
                            <a:noFill/>
                          </a:ln>
                        </pic:spPr>
                      </pic:pic>
                    </a:graphicData>
                  </a:graphic>
                </wp:inline>
              </w:drawing>
            </w:r>
          </w:p>
        </w:tc>
      </w:tr>
    </w:tbl>
    <w:p w14:paraId="0CAA51EE">
      <w:pPr>
        <w:pStyle w:val="104"/>
        <w:spacing w:line="440" w:lineRule="exact"/>
        <w:ind w:left="0" w:firstLine="476" w:firstLineChars="200"/>
        <w:rPr>
          <w:rFonts w:ascii="Times New Roman" w:hAnsi="Times New Roman" w:eastAsia="宋体"/>
          <w:b/>
          <w:color w:val="auto"/>
          <w:w w:val="99"/>
          <w:sz w:val="24"/>
          <w:szCs w:val="24"/>
          <w:highlight w:val="none"/>
        </w:rPr>
      </w:pPr>
      <w:r>
        <w:rPr>
          <w:rFonts w:ascii="Times New Roman" w:hAnsi="Times New Roman" w:eastAsia="宋体"/>
          <w:b/>
          <w:color w:val="auto"/>
          <w:w w:val="99"/>
          <w:sz w:val="24"/>
          <w:szCs w:val="24"/>
          <w:highlight w:val="none"/>
        </w:rPr>
        <w:t>图</w:t>
      </w:r>
      <w:r>
        <w:rPr>
          <w:rFonts w:hint="eastAsia" w:ascii="Times New Roman" w:hAnsi="Times New Roman" w:eastAsia="宋体"/>
          <w:b/>
          <w:color w:val="auto"/>
          <w:w w:val="99"/>
          <w:sz w:val="24"/>
          <w:szCs w:val="24"/>
          <w:highlight w:val="none"/>
        </w:rPr>
        <w:t>3.5-2</w:t>
      </w:r>
      <w:r>
        <w:rPr>
          <w:rFonts w:ascii="Times New Roman" w:hAnsi="Times New Roman" w:eastAsia="宋体"/>
          <w:b/>
          <w:color w:val="auto"/>
          <w:w w:val="99"/>
          <w:sz w:val="24"/>
          <w:szCs w:val="24"/>
          <w:highlight w:val="none"/>
        </w:rPr>
        <w:t xml:space="preserve">  加热感应毯实物照片</w:t>
      </w:r>
    </w:p>
    <w:p w14:paraId="7D15BD99">
      <w:pPr>
        <w:rPr>
          <w:rFonts w:hint="eastAsia"/>
          <w:color w:val="auto"/>
          <w:highlight w:val="none"/>
        </w:rPr>
      </w:pPr>
    </w:p>
    <w:p w14:paraId="461781E1">
      <w:pPr>
        <w:pStyle w:val="104"/>
        <w:adjustRightInd w:val="0"/>
        <w:rPr>
          <w:rFonts w:ascii="Times New Roman" w:hAnsi="Times New Roman"/>
          <w:color w:val="auto"/>
          <w:sz w:val="24"/>
          <w:highlight w:val="none"/>
        </w:rPr>
      </w:pPr>
      <w:r>
        <w:rPr>
          <w:color w:val="auto"/>
          <w:highlight w:val="none"/>
        </w:rPr>
        <w:drawing>
          <wp:inline distT="0" distB="0" distL="114300" distR="114300">
            <wp:extent cx="3249930" cy="2663825"/>
            <wp:effectExtent l="9525" t="9525" r="17145" b="12700"/>
            <wp:docPr id="2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6"/>
                    <pic:cNvPicPr>
                      <a:picLocks noChangeAspect="1"/>
                    </pic:cNvPicPr>
                  </pic:nvPicPr>
                  <pic:blipFill>
                    <a:blip r:embed="rId33"/>
                    <a:srcRect b="10593"/>
                    <a:stretch>
                      <a:fillRect/>
                    </a:stretch>
                  </pic:blipFill>
                  <pic:spPr>
                    <a:xfrm>
                      <a:off x="0" y="0"/>
                      <a:ext cx="3249930" cy="2663825"/>
                    </a:xfrm>
                    <a:prstGeom prst="rect">
                      <a:avLst/>
                    </a:prstGeom>
                    <a:ln w="6350">
                      <a:solidFill>
                        <a:schemeClr val="tx1"/>
                      </a:solidFill>
                    </a:ln>
                  </pic:spPr>
                </pic:pic>
              </a:graphicData>
            </a:graphic>
          </wp:inline>
        </w:drawing>
      </w:r>
    </w:p>
    <w:p w14:paraId="0EDE72C7">
      <w:pPr>
        <w:pStyle w:val="104"/>
        <w:spacing w:line="440" w:lineRule="exact"/>
        <w:ind w:left="0" w:firstLine="476" w:firstLineChars="200"/>
        <w:rPr>
          <w:rFonts w:ascii="Times New Roman" w:hAnsi="Times New Roman" w:eastAsia="宋体"/>
          <w:b/>
          <w:color w:val="auto"/>
          <w:w w:val="99"/>
          <w:sz w:val="24"/>
          <w:szCs w:val="24"/>
          <w:highlight w:val="none"/>
        </w:rPr>
      </w:pPr>
      <w:r>
        <w:rPr>
          <w:rFonts w:ascii="Times New Roman" w:hAnsi="Times New Roman" w:eastAsia="宋体"/>
          <w:b/>
          <w:color w:val="auto"/>
          <w:w w:val="99"/>
          <w:sz w:val="24"/>
          <w:szCs w:val="24"/>
          <w:highlight w:val="none"/>
        </w:rPr>
        <w:t>图</w:t>
      </w:r>
      <w:r>
        <w:rPr>
          <w:rFonts w:hint="eastAsia" w:ascii="Times New Roman" w:hAnsi="Times New Roman" w:eastAsia="宋体"/>
          <w:b/>
          <w:color w:val="auto"/>
          <w:w w:val="99"/>
          <w:sz w:val="24"/>
          <w:szCs w:val="24"/>
          <w:highlight w:val="none"/>
        </w:rPr>
        <w:t>3.6-3</w:t>
      </w:r>
      <w:r>
        <w:rPr>
          <w:rFonts w:ascii="Times New Roman" w:hAnsi="Times New Roman" w:eastAsia="宋体"/>
          <w:b/>
          <w:color w:val="auto"/>
          <w:w w:val="99"/>
          <w:sz w:val="24"/>
          <w:szCs w:val="24"/>
          <w:highlight w:val="none"/>
        </w:rPr>
        <w:t xml:space="preserve"> </w:t>
      </w:r>
      <w:r>
        <w:rPr>
          <w:rFonts w:hint="eastAsia" w:ascii="Times New Roman" w:hAnsi="Times New Roman" w:eastAsia="宋体"/>
          <w:b/>
          <w:color w:val="auto"/>
          <w:w w:val="99"/>
          <w:sz w:val="24"/>
          <w:szCs w:val="24"/>
          <w:highlight w:val="none"/>
        </w:rPr>
        <w:t>电磁</w:t>
      </w:r>
      <w:r>
        <w:rPr>
          <w:rFonts w:ascii="Times New Roman" w:hAnsi="Times New Roman" w:eastAsia="宋体"/>
          <w:b/>
          <w:color w:val="auto"/>
          <w:w w:val="99"/>
          <w:sz w:val="24"/>
          <w:szCs w:val="24"/>
          <w:highlight w:val="none"/>
        </w:rPr>
        <w:t>加热</w:t>
      </w:r>
      <w:r>
        <w:rPr>
          <w:rFonts w:hint="eastAsia" w:ascii="Times New Roman" w:hAnsi="Times New Roman" w:eastAsia="宋体"/>
          <w:b/>
          <w:color w:val="auto"/>
          <w:w w:val="99"/>
          <w:sz w:val="24"/>
          <w:szCs w:val="24"/>
          <w:highlight w:val="none"/>
        </w:rPr>
        <w:t>装置</w:t>
      </w:r>
      <w:r>
        <w:rPr>
          <w:rFonts w:ascii="Times New Roman" w:hAnsi="Times New Roman" w:eastAsia="宋体"/>
          <w:b/>
          <w:color w:val="auto"/>
          <w:w w:val="99"/>
          <w:sz w:val="24"/>
          <w:szCs w:val="24"/>
          <w:highlight w:val="none"/>
        </w:rPr>
        <w:t>实物照片</w:t>
      </w:r>
    </w:p>
    <w:p w14:paraId="06E5EE33">
      <w:pPr>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w:t>
      </w:r>
      <w:r>
        <w:rPr>
          <w:rFonts w:hint="eastAsia" w:ascii="Times New Roman" w:hAnsi="Times New Roman" w:cs="Times New Roman"/>
          <w:bCs/>
          <w:color w:val="auto"/>
          <w:w w:val="99"/>
          <w:highlight w:val="none"/>
        </w:rPr>
        <w:t>6</w:t>
      </w:r>
      <w:r>
        <w:rPr>
          <w:rFonts w:ascii="Times New Roman" w:hAnsi="Times New Roman" w:cs="Times New Roman"/>
          <w:bCs/>
          <w:color w:val="auto"/>
          <w:w w:val="99"/>
          <w:highlight w:val="none"/>
        </w:rPr>
        <w:t>）站外系统主要工程内容</w:t>
      </w:r>
    </w:p>
    <w:p w14:paraId="3DEFCCF4">
      <w:pPr>
        <w:spacing w:line="440" w:lineRule="exact"/>
        <w:ind w:firstLine="474" w:firstLineChars="200"/>
        <w:jc w:val="both"/>
        <w:rPr>
          <w:rFonts w:ascii="Times New Roman" w:hAnsi="Times New Roman" w:cs="Times New Roman"/>
          <w:bCs/>
          <w:color w:val="auto"/>
          <w:w w:val="99"/>
          <w:highlight w:val="none"/>
        </w:rPr>
      </w:pPr>
      <w:r>
        <w:rPr>
          <w:rFonts w:hint="eastAsia" w:ascii="Times New Roman" w:hAnsi="Times New Roman" w:cs="Times New Roman"/>
          <w:bCs/>
          <w:color w:val="auto"/>
          <w:w w:val="99"/>
          <w:highlight w:val="none"/>
        </w:rPr>
        <w:t>站外系统主要工程内容见表3.5-5。</w:t>
      </w:r>
    </w:p>
    <w:p w14:paraId="33968FD9">
      <w:pPr>
        <w:spacing w:line="440" w:lineRule="exact"/>
        <w:ind w:firstLine="476" w:firstLineChars="200"/>
        <w:jc w:val="both"/>
        <w:rPr>
          <w:rFonts w:ascii="Times New Roman" w:hAnsi="Times New Roman" w:cs="Times New Roman"/>
          <w:b/>
          <w:color w:val="auto"/>
          <w:w w:val="99"/>
          <w:highlight w:val="none"/>
        </w:rPr>
      </w:pPr>
      <w:r>
        <w:rPr>
          <w:rFonts w:hint="eastAsia" w:ascii="Times New Roman" w:hAnsi="Times New Roman" w:cs="Times New Roman"/>
          <w:b/>
          <w:color w:val="auto"/>
          <w:w w:val="99"/>
          <w:highlight w:val="none"/>
        </w:rPr>
        <w:t>表3.5-5  站外系统主要工程内容汇总表</w:t>
      </w:r>
    </w:p>
    <w:tbl>
      <w:tblPr>
        <w:tblStyle w:val="8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881"/>
        <w:gridCol w:w="5865"/>
        <w:gridCol w:w="1200"/>
        <w:gridCol w:w="1154"/>
      </w:tblGrid>
      <w:tr w14:paraId="270174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exact"/>
          <w:tblHeader/>
          <w:jc w:val="center"/>
        </w:trPr>
        <w:tc>
          <w:tcPr>
            <w:tcW w:w="484" w:type="pct"/>
            <w:tcMar>
              <w:top w:w="15" w:type="dxa"/>
              <w:left w:w="15" w:type="dxa"/>
              <w:right w:w="15" w:type="dxa"/>
            </w:tcMar>
            <w:vAlign w:val="center"/>
          </w:tcPr>
          <w:p w14:paraId="32193E31">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序号</w:t>
            </w:r>
          </w:p>
        </w:tc>
        <w:tc>
          <w:tcPr>
            <w:tcW w:w="3222" w:type="pct"/>
            <w:tcMar>
              <w:top w:w="15" w:type="dxa"/>
              <w:left w:w="15" w:type="dxa"/>
              <w:right w:w="15" w:type="dxa"/>
            </w:tcMar>
            <w:vAlign w:val="center"/>
          </w:tcPr>
          <w:p w14:paraId="0D73A6C9">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主要工程内容</w:t>
            </w:r>
          </w:p>
        </w:tc>
        <w:tc>
          <w:tcPr>
            <w:tcW w:w="659" w:type="pct"/>
            <w:tcMar>
              <w:top w:w="15" w:type="dxa"/>
              <w:left w:w="15" w:type="dxa"/>
              <w:right w:w="15" w:type="dxa"/>
            </w:tcMar>
            <w:vAlign w:val="center"/>
          </w:tcPr>
          <w:p w14:paraId="28D21D5A">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单位</w:t>
            </w:r>
          </w:p>
        </w:tc>
        <w:tc>
          <w:tcPr>
            <w:tcW w:w="634" w:type="pct"/>
            <w:tcMar>
              <w:top w:w="15" w:type="dxa"/>
              <w:left w:w="15" w:type="dxa"/>
              <w:right w:w="15" w:type="dxa"/>
            </w:tcMar>
            <w:vAlign w:val="center"/>
          </w:tcPr>
          <w:p w14:paraId="1FBCBF3E">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数量</w:t>
            </w:r>
          </w:p>
        </w:tc>
      </w:tr>
      <w:tr w14:paraId="3F6813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484" w:type="pct"/>
            <w:vAlign w:val="center"/>
          </w:tcPr>
          <w:p w14:paraId="7DD2ED90">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一</w:t>
            </w:r>
          </w:p>
        </w:tc>
        <w:tc>
          <w:tcPr>
            <w:tcW w:w="3222" w:type="pct"/>
            <w:vAlign w:val="center"/>
          </w:tcPr>
          <w:p w14:paraId="1FF099E3">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采气井场</w:t>
            </w:r>
          </w:p>
        </w:tc>
        <w:tc>
          <w:tcPr>
            <w:tcW w:w="659" w:type="pct"/>
            <w:vAlign w:val="center"/>
          </w:tcPr>
          <w:p w14:paraId="6C4C5495">
            <w:pPr>
              <w:jc w:val="center"/>
              <w:rPr>
                <w:rFonts w:ascii="Times New Roman" w:hAnsi="Times New Roman" w:cs="Times New Roman"/>
                <w:bCs/>
                <w:color w:val="auto"/>
                <w:w w:val="99"/>
                <w:kern w:val="2"/>
                <w:sz w:val="21"/>
                <w:szCs w:val="21"/>
                <w:highlight w:val="none"/>
              </w:rPr>
            </w:pPr>
          </w:p>
        </w:tc>
        <w:tc>
          <w:tcPr>
            <w:tcW w:w="634" w:type="pct"/>
            <w:vAlign w:val="center"/>
          </w:tcPr>
          <w:p w14:paraId="4755BE08">
            <w:pPr>
              <w:jc w:val="center"/>
              <w:rPr>
                <w:rFonts w:ascii="Times New Roman" w:hAnsi="Times New Roman" w:cs="Times New Roman"/>
                <w:bCs/>
                <w:color w:val="auto"/>
                <w:w w:val="99"/>
                <w:kern w:val="2"/>
                <w:sz w:val="21"/>
                <w:szCs w:val="21"/>
                <w:highlight w:val="none"/>
              </w:rPr>
            </w:pPr>
          </w:p>
        </w:tc>
      </w:tr>
      <w:tr w14:paraId="41AFC2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484" w:type="pct"/>
            <w:vAlign w:val="center"/>
          </w:tcPr>
          <w:p w14:paraId="16D1F8FE">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1</w:t>
            </w:r>
          </w:p>
        </w:tc>
        <w:tc>
          <w:tcPr>
            <w:tcW w:w="3222" w:type="pct"/>
            <w:vAlign w:val="center"/>
          </w:tcPr>
          <w:p w14:paraId="1049E618">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单井井场（高含碳-36MPa-DN65）</w:t>
            </w:r>
          </w:p>
        </w:tc>
        <w:tc>
          <w:tcPr>
            <w:tcW w:w="659" w:type="pct"/>
            <w:vAlign w:val="center"/>
          </w:tcPr>
          <w:p w14:paraId="7E0CD492">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座</w:t>
            </w:r>
          </w:p>
        </w:tc>
        <w:tc>
          <w:tcPr>
            <w:tcW w:w="634" w:type="pct"/>
            <w:vAlign w:val="center"/>
          </w:tcPr>
          <w:p w14:paraId="4D43EB89">
            <w:pPr>
              <w:jc w:val="center"/>
              <w:rPr>
                <w:rFonts w:ascii="Times New Roman" w:hAnsi="Times New Roman" w:cs="Times New Roman"/>
                <w:bCs/>
                <w:color w:val="auto"/>
                <w:w w:val="99"/>
                <w:kern w:val="2"/>
                <w:sz w:val="21"/>
                <w:szCs w:val="21"/>
                <w:highlight w:val="none"/>
              </w:rPr>
            </w:pPr>
            <w:r>
              <w:rPr>
                <w:rFonts w:hint="eastAsia" w:ascii="Times New Roman" w:hAnsi="Times New Roman" w:cs="Times New Roman"/>
                <w:bCs/>
                <w:color w:val="auto"/>
                <w:w w:val="99"/>
                <w:kern w:val="2"/>
                <w:sz w:val="21"/>
                <w:szCs w:val="21"/>
                <w:highlight w:val="none"/>
              </w:rPr>
              <w:t>1</w:t>
            </w:r>
          </w:p>
        </w:tc>
      </w:tr>
      <w:tr w14:paraId="0E221B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484" w:type="pct"/>
            <w:vAlign w:val="center"/>
          </w:tcPr>
          <w:p w14:paraId="0EC1EF3E">
            <w:pPr>
              <w:jc w:val="center"/>
              <w:rPr>
                <w:rFonts w:ascii="Times New Roman" w:hAnsi="Times New Roman" w:cs="Times New Roman"/>
                <w:bCs/>
                <w:color w:val="auto"/>
                <w:w w:val="99"/>
                <w:kern w:val="2"/>
                <w:sz w:val="21"/>
                <w:szCs w:val="21"/>
                <w:highlight w:val="none"/>
              </w:rPr>
            </w:pPr>
            <w:r>
              <w:rPr>
                <w:rFonts w:hint="eastAsia" w:ascii="Times New Roman" w:hAnsi="Times New Roman" w:cs="Times New Roman"/>
                <w:bCs/>
                <w:color w:val="auto"/>
                <w:w w:val="99"/>
                <w:kern w:val="2"/>
                <w:sz w:val="21"/>
                <w:szCs w:val="21"/>
                <w:highlight w:val="none"/>
              </w:rPr>
              <w:t>2</w:t>
            </w:r>
          </w:p>
        </w:tc>
        <w:tc>
          <w:tcPr>
            <w:tcW w:w="3222" w:type="pct"/>
            <w:vAlign w:val="center"/>
          </w:tcPr>
          <w:p w14:paraId="4103E0BC">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80kW 防爆电磁涡流加热装置</w:t>
            </w:r>
          </w:p>
        </w:tc>
        <w:tc>
          <w:tcPr>
            <w:tcW w:w="659" w:type="pct"/>
            <w:vAlign w:val="center"/>
          </w:tcPr>
          <w:p w14:paraId="4CD16383">
            <w:pPr>
              <w:jc w:val="center"/>
              <w:rPr>
                <w:rFonts w:ascii="Times New Roman" w:hAnsi="Times New Roman" w:cs="Times New Roman"/>
                <w:bCs/>
                <w:color w:val="auto"/>
                <w:w w:val="99"/>
                <w:kern w:val="2"/>
                <w:sz w:val="21"/>
                <w:szCs w:val="21"/>
                <w:highlight w:val="none"/>
              </w:rPr>
            </w:pPr>
            <w:r>
              <w:rPr>
                <w:rFonts w:hint="eastAsia" w:ascii="Times New Roman" w:hAnsi="Times New Roman" w:cs="Times New Roman"/>
                <w:bCs/>
                <w:color w:val="auto"/>
                <w:w w:val="99"/>
                <w:kern w:val="2"/>
                <w:sz w:val="21"/>
                <w:szCs w:val="21"/>
                <w:highlight w:val="none"/>
              </w:rPr>
              <w:t>座</w:t>
            </w:r>
          </w:p>
        </w:tc>
        <w:tc>
          <w:tcPr>
            <w:tcW w:w="634" w:type="pct"/>
            <w:vAlign w:val="center"/>
          </w:tcPr>
          <w:p w14:paraId="17E382EA">
            <w:pPr>
              <w:jc w:val="center"/>
              <w:rPr>
                <w:rFonts w:ascii="Times New Roman" w:hAnsi="Times New Roman" w:cs="Times New Roman"/>
                <w:bCs/>
                <w:color w:val="auto"/>
                <w:w w:val="99"/>
                <w:kern w:val="2"/>
                <w:sz w:val="21"/>
                <w:szCs w:val="21"/>
                <w:highlight w:val="none"/>
              </w:rPr>
            </w:pPr>
            <w:r>
              <w:rPr>
                <w:rFonts w:hint="eastAsia" w:ascii="Times New Roman" w:hAnsi="Times New Roman" w:cs="Times New Roman"/>
                <w:bCs/>
                <w:color w:val="auto"/>
                <w:w w:val="99"/>
                <w:kern w:val="2"/>
                <w:sz w:val="21"/>
                <w:szCs w:val="21"/>
                <w:highlight w:val="none"/>
              </w:rPr>
              <w:t>1</w:t>
            </w:r>
          </w:p>
        </w:tc>
      </w:tr>
      <w:tr w14:paraId="2EFDB6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484" w:type="pct"/>
            <w:vAlign w:val="center"/>
          </w:tcPr>
          <w:p w14:paraId="4D799B30">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二</w:t>
            </w:r>
          </w:p>
        </w:tc>
        <w:tc>
          <w:tcPr>
            <w:tcW w:w="3222" w:type="pct"/>
            <w:vAlign w:val="center"/>
          </w:tcPr>
          <w:p w14:paraId="4D43545B">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采气管道</w:t>
            </w:r>
          </w:p>
        </w:tc>
        <w:tc>
          <w:tcPr>
            <w:tcW w:w="659" w:type="pct"/>
            <w:vAlign w:val="center"/>
          </w:tcPr>
          <w:p w14:paraId="2B0811AF">
            <w:pPr>
              <w:jc w:val="center"/>
              <w:rPr>
                <w:rFonts w:ascii="Times New Roman" w:hAnsi="Times New Roman" w:cs="Times New Roman"/>
                <w:bCs/>
                <w:color w:val="auto"/>
                <w:w w:val="99"/>
                <w:kern w:val="2"/>
                <w:sz w:val="21"/>
                <w:szCs w:val="21"/>
                <w:highlight w:val="none"/>
              </w:rPr>
            </w:pPr>
          </w:p>
        </w:tc>
        <w:tc>
          <w:tcPr>
            <w:tcW w:w="634" w:type="pct"/>
            <w:vAlign w:val="center"/>
          </w:tcPr>
          <w:p w14:paraId="6F9B2C41">
            <w:pPr>
              <w:jc w:val="center"/>
              <w:rPr>
                <w:rFonts w:ascii="Times New Roman" w:hAnsi="Times New Roman" w:cs="Times New Roman"/>
                <w:bCs/>
                <w:color w:val="auto"/>
                <w:w w:val="99"/>
                <w:kern w:val="2"/>
                <w:sz w:val="21"/>
                <w:szCs w:val="21"/>
                <w:highlight w:val="none"/>
              </w:rPr>
            </w:pPr>
          </w:p>
        </w:tc>
      </w:tr>
      <w:tr w14:paraId="573760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484" w:type="pct"/>
            <w:vAlign w:val="center"/>
          </w:tcPr>
          <w:p w14:paraId="56611D96">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1</w:t>
            </w:r>
          </w:p>
        </w:tc>
        <w:tc>
          <w:tcPr>
            <w:tcW w:w="3222" w:type="pct"/>
            <w:vAlign w:val="center"/>
          </w:tcPr>
          <w:p w14:paraId="66B8E6FF">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20#+316L内衬不锈钢双金属复合管 Φ76×（9+2）</w:t>
            </w:r>
          </w:p>
        </w:tc>
        <w:tc>
          <w:tcPr>
            <w:tcW w:w="659" w:type="pct"/>
            <w:vAlign w:val="center"/>
          </w:tcPr>
          <w:p w14:paraId="5E82A6DE">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km</w:t>
            </w:r>
          </w:p>
        </w:tc>
        <w:tc>
          <w:tcPr>
            <w:tcW w:w="634" w:type="pct"/>
            <w:vAlign w:val="center"/>
          </w:tcPr>
          <w:p w14:paraId="55487182">
            <w:pPr>
              <w:jc w:val="center"/>
              <w:rPr>
                <w:rFonts w:ascii="Times New Roman" w:hAnsi="Times New Roman" w:cs="Times New Roman"/>
                <w:bCs/>
                <w:color w:val="auto"/>
                <w:w w:val="99"/>
                <w:kern w:val="2"/>
                <w:sz w:val="21"/>
                <w:szCs w:val="21"/>
                <w:highlight w:val="none"/>
              </w:rPr>
            </w:pPr>
            <w:r>
              <w:rPr>
                <w:rFonts w:hint="eastAsia" w:ascii="Times New Roman" w:hAnsi="Times New Roman" w:cs="Times New Roman"/>
                <w:bCs/>
                <w:color w:val="auto"/>
                <w:w w:val="99"/>
                <w:kern w:val="2"/>
                <w:sz w:val="21"/>
                <w:szCs w:val="21"/>
                <w:highlight w:val="none"/>
              </w:rPr>
              <w:t>1.92</w:t>
            </w:r>
          </w:p>
        </w:tc>
      </w:tr>
      <w:tr w14:paraId="0ADCF3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484" w:type="pct"/>
            <w:vAlign w:val="center"/>
          </w:tcPr>
          <w:p w14:paraId="027ABAB2">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2</w:t>
            </w:r>
          </w:p>
        </w:tc>
        <w:tc>
          <w:tcPr>
            <w:tcW w:w="3222" w:type="pct"/>
            <w:vAlign w:val="center"/>
          </w:tcPr>
          <w:p w14:paraId="3958FFA1">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绝缘接头PN360  DN65 （316L材质）</w:t>
            </w:r>
          </w:p>
        </w:tc>
        <w:tc>
          <w:tcPr>
            <w:tcW w:w="659" w:type="pct"/>
            <w:vAlign w:val="center"/>
          </w:tcPr>
          <w:p w14:paraId="2653897A">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个</w:t>
            </w:r>
          </w:p>
        </w:tc>
        <w:tc>
          <w:tcPr>
            <w:tcW w:w="634" w:type="pct"/>
            <w:vAlign w:val="center"/>
          </w:tcPr>
          <w:p w14:paraId="6DCDCA76">
            <w:pPr>
              <w:jc w:val="center"/>
              <w:rPr>
                <w:rFonts w:ascii="Times New Roman" w:hAnsi="Times New Roman" w:cs="Times New Roman"/>
                <w:bCs/>
                <w:color w:val="auto"/>
                <w:w w:val="99"/>
                <w:kern w:val="2"/>
                <w:sz w:val="21"/>
                <w:szCs w:val="21"/>
                <w:highlight w:val="none"/>
              </w:rPr>
            </w:pPr>
            <w:r>
              <w:rPr>
                <w:rFonts w:hint="eastAsia" w:ascii="Times New Roman" w:hAnsi="Times New Roman" w:cs="Times New Roman"/>
                <w:bCs/>
                <w:color w:val="auto"/>
                <w:w w:val="99"/>
                <w:kern w:val="2"/>
                <w:sz w:val="21"/>
                <w:szCs w:val="21"/>
                <w:highlight w:val="none"/>
              </w:rPr>
              <w:t>2</w:t>
            </w:r>
          </w:p>
        </w:tc>
      </w:tr>
      <w:tr w14:paraId="57A247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484" w:type="pct"/>
            <w:vAlign w:val="center"/>
          </w:tcPr>
          <w:p w14:paraId="5966E504">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三</w:t>
            </w:r>
          </w:p>
        </w:tc>
        <w:tc>
          <w:tcPr>
            <w:tcW w:w="3222" w:type="pct"/>
            <w:vAlign w:val="center"/>
          </w:tcPr>
          <w:p w14:paraId="5B6CA99C">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穿跨越</w:t>
            </w:r>
          </w:p>
        </w:tc>
        <w:tc>
          <w:tcPr>
            <w:tcW w:w="659" w:type="pct"/>
            <w:vAlign w:val="center"/>
          </w:tcPr>
          <w:p w14:paraId="72B3B9BC">
            <w:pPr>
              <w:jc w:val="center"/>
              <w:rPr>
                <w:rFonts w:ascii="Times New Roman" w:hAnsi="Times New Roman" w:cs="Times New Roman"/>
                <w:bCs/>
                <w:color w:val="auto"/>
                <w:w w:val="99"/>
                <w:kern w:val="2"/>
                <w:sz w:val="21"/>
                <w:szCs w:val="21"/>
                <w:highlight w:val="none"/>
              </w:rPr>
            </w:pPr>
          </w:p>
        </w:tc>
        <w:tc>
          <w:tcPr>
            <w:tcW w:w="634" w:type="pct"/>
            <w:vAlign w:val="center"/>
          </w:tcPr>
          <w:p w14:paraId="73E948FF">
            <w:pPr>
              <w:jc w:val="center"/>
              <w:rPr>
                <w:rFonts w:ascii="Times New Roman" w:hAnsi="Times New Roman" w:cs="Times New Roman"/>
                <w:bCs/>
                <w:color w:val="auto"/>
                <w:w w:val="99"/>
                <w:kern w:val="2"/>
                <w:sz w:val="21"/>
                <w:szCs w:val="21"/>
                <w:highlight w:val="none"/>
              </w:rPr>
            </w:pPr>
          </w:p>
        </w:tc>
      </w:tr>
      <w:tr w14:paraId="1374F2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484" w:type="pct"/>
            <w:vAlign w:val="center"/>
          </w:tcPr>
          <w:p w14:paraId="079C5835">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1</w:t>
            </w:r>
          </w:p>
        </w:tc>
        <w:tc>
          <w:tcPr>
            <w:tcW w:w="3222" w:type="pct"/>
            <w:vAlign w:val="center"/>
          </w:tcPr>
          <w:p w14:paraId="13F090AB">
            <w:pPr>
              <w:jc w:val="center"/>
              <w:rPr>
                <w:rFonts w:ascii="Times New Roman" w:hAnsi="Times New Roman" w:cs="Times New Roman"/>
                <w:bCs/>
                <w:color w:val="auto"/>
                <w:w w:val="99"/>
                <w:kern w:val="2"/>
                <w:sz w:val="21"/>
                <w:szCs w:val="21"/>
                <w:highlight w:val="none"/>
                <w:lang w:val="zh-CN"/>
              </w:rPr>
            </w:pPr>
            <w:r>
              <w:rPr>
                <w:rFonts w:ascii="Times New Roman" w:hAnsi="Times New Roman" w:cs="Times New Roman"/>
                <w:bCs/>
                <w:color w:val="auto"/>
                <w:w w:val="99"/>
                <w:kern w:val="2"/>
                <w:sz w:val="21"/>
                <w:szCs w:val="21"/>
                <w:highlight w:val="none"/>
              </w:rPr>
              <w:t>公路穿越钢顶 L=15m 套管DN150</w:t>
            </w:r>
          </w:p>
        </w:tc>
        <w:tc>
          <w:tcPr>
            <w:tcW w:w="659" w:type="pct"/>
            <w:vAlign w:val="center"/>
          </w:tcPr>
          <w:p w14:paraId="0EEAB86E">
            <w:pPr>
              <w:jc w:val="center"/>
              <w:rPr>
                <w:rFonts w:ascii="Times New Roman" w:hAnsi="Times New Roman" w:cs="Times New Roman"/>
                <w:bCs/>
                <w:color w:val="auto"/>
                <w:w w:val="99"/>
                <w:kern w:val="2"/>
                <w:sz w:val="21"/>
                <w:szCs w:val="21"/>
                <w:highlight w:val="none"/>
                <w:lang w:val="zh-CN"/>
              </w:rPr>
            </w:pPr>
            <w:r>
              <w:rPr>
                <w:rFonts w:ascii="Times New Roman" w:hAnsi="Times New Roman" w:cs="Times New Roman"/>
                <w:bCs/>
                <w:color w:val="auto"/>
                <w:w w:val="99"/>
                <w:kern w:val="2"/>
                <w:sz w:val="21"/>
                <w:szCs w:val="21"/>
                <w:highlight w:val="none"/>
              </w:rPr>
              <w:t>处</w:t>
            </w:r>
          </w:p>
        </w:tc>
        <w:tc>
          <w:tcPr>
            <w:tcW w:w="634" w:type="pct"/>
            <w:vAlign w:val="center"/>
          </w:tcPr>
          <w:p w14:paraId="5DB2124D">
            <w:pPr>
              <w:jc w:val="center"/>
              <w:rPr>
                <w:rFonts w:ascii="Times New Roman" w:hAnsi="Times New Roman" w:cs="Times New Roman"/>
                <w:bCs/>
                <w:color w:val="auto"/>
                <w:w w:val="99"/>
                <w:kern w:val="2"/>
                <w:sz w:val="21"/>
                <w:szCs w:val="21"/>
                <w:highlight w:val="none"/>
              </w:rPr>
            </w:pPr>
            <w:r>
              <w:rPr>
                <w:rFonts w:hint="eastAsia" w:ascii="Times New Roman" w:hAnsi="Times New Roman" w:cs="Times New Roman"/>
                <w:bCs/>
                <w:color w:val="auto"/>
                <w:w w:val="99"/>
                <w:kern w:val="2"/>
                <w:sz w:val="21"/>
                <w:szCs w:val="21"/>
                <w:highlight w:val="none"/>
              </w:rPr>
              <w:t>4</w:t>
            </w:r>
          </w:p>
        </w:tc>
      </w:tr>
      <w:tr w14:paraId="4C31A6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484" w:type="pct"/>
            <w:vAlign w:val="center"/>
          </w:tcPr>
          <w:p w14:paraId="088C0DF6">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2</w:t>
            </w:r>
          </w:p>
        </w:tc>
        <w:tc>
          <w:tcPr>
            <w:tcW w:w="3222" w:type="pct"/>
            <w:vAlign w:val="center"/>
          </w:tcPr>
          <w:p w14:paraId="00004E31">
            <w:pPr>
              <w:jc w:val="center"/>
              <w:rPr>
                <w:rFonts w:ascii="Times New Roman" w:hAnsi="Times New Roman" w:cs="Times New Roman"/>
                <w:bCs/>
                <w:color w:val="auto"/>
                <w:w w:val="99"/>
                <w:kern w:val="2"/>
                <w:sz w:val="21"/>
                <w:szCs w:val="21"/>
                <w:highlight w:val="none"/>
                <w:lang w:val="zh-CN"/>
              </w:rPr>
            </w:pPr>
          </w:p>
        </w:tc>
        <w:tc>
          <w:tcPr>
            <w:tcW w:w="659" w:type="pct"/>
            <w:vAlign w:val="center"/>
          </w:tcPr>
          <w:p w14:paraId="26C46DA4">
            <w:pPr>
              <w:jc w:val="center"/>
              <w:rPr>
                <w:rFonts w:ascii="Times New Roman" w:hAnsi="Times New Roman" w:cs="Times New Roman"/>
                <w:bCs/>
                <w:color w:val="auto"/>
                <w:w w:val="99"/>
                <w:kern w:val="2"/>
                <w:sz w:val="21"/>
                <w:szCs w:val="21"/>
                <w:highlight w:val="none"/>
              </w:rPr>
            </w:pPr>
          </w:p>
        </w:tc>
        <w:tc>
          <w:tcPr>
            <w:tcW w:w="634" w:type="pct"/>
            <w:vAlign w:val="center"/>
          </w:tcPr>
          <w:p w14:paraId="58AEFD20">
            <w:pPr>
              <w:jc w:val="center"/>
              <w:rPr>
                <w:rFonts w:ascii="Times New Roman" w:hAnsi="Times New Roman" w:cs="Times New Roman"/>
                <w:bCs/>
                <w:color w:val="auto"/>
                <w:w w:val="99"/>
                <w:kern w:val="2"/>
                <w:sz w:val="21"/>
                <w:szCs w:val="21"/>
                <w:highlight w:val="none"/>
              </w:rPr>
            </w:pPr>
          </w:p>
        </w:tc>
      </w:tr>
    </w:tbl>
    <w:p w14:paraId="27C833A6">
      <w:pPr>
        <w:spacing w:line="440" w:lineRule="exact"/>
        <w:outlineLvl w:val="2"/>
        <w:rPr>
          <w:rFonts w:ascii="Times New Roman" w:hAnsi="Times New Roman" w:cs="Times New Roman"/>
          <w:b/>
          <w:color w:val="auto"/>
          <w:w w:val="99"/>
          <w:szCs w:val="20"/>
          <w:highlight w:val="none"/>
        </w:rPr>
      </w:pPr>
      <w:bookmarkStart w:id="430" w:name="_Toc70050178"/>
      <w:bookmarkStart w:id="431" w:name="_Toc67860131"/>
      <w:bookmarkStart w:id="432" w:name="_Toc61597221"/>
      <w:r>
        <w:rPr>
          <w:rFonts w:hint="eastAsia" w:ascii="Times New Roman" w:hAnsi="Times New Roman" w:cs="Times New Roman"/>
          <w:b/>
          <w:color w:val="auto"/>
          <w:w w:val="99"/>
          <w:szCs w:val="20"/>
          <w:highlight w:val="none"/>
        </w:rPr>
        <w:t>3.5.3场站工程</w:t>
      </w:r>
    </w:p>
    <w:p w14:paraId="4672366E">
      <w:pPr>
        <w:spacing w:line="440" w:lineRule="exact"/>
        <w:ind w:firstLine="474" w:firstLineChars="200"/>
        <w:jc w:val="both"/>
        <w:rPr>
          <w:rFonts w:ascii="Times New Roman" w:hAnsi="Times New Roman" w:cs="Times New Roman"/>
          <w:bCs/>
          <w:color w:val="auto"/>
          <w:w w:val="99"/>
          <w:highlight w:val="none"/>
        </w:rPr>
      </w:pPr>
      <w:r>
        <w:rPr>
          <w:rFonts w:hint="eastAsia" w:ascii="Times New Roman" w:hAnsi="Times New Roman" w:cs="Times New Roman"/>
          <w:bCs/>
          <w:color w:val="auto"/>
          <w:w w:val="99"/>
          <w:highlight w:val="none"/>
        </w:rPr>
        <w:t>本次对徐深27集气站进行改造。</w:t>
      </w:r>
    </w:p>
    <w:p w14:paraId="269EEC9C">
      <w:pPr>
        <w:spacing w:line="440" w:lineRule="exact"/>
        <w:ind w:firstLine="474" w:firstLineChars="200"/>
        <w:jc w:val="both"/>
        <w:rPr>
          <w:rFonts w:ascii="Times New Roman" w:hAnsi="Times New Roman" w:cs="Times New Roman"/>
          <w:bCs/>
          <w:color w:val="auto"/>
          <w:w w:val="99"/>
          <w:highlight w:val="none"/>
        </w:rPr>
      </w:pPr>
      <w:r>
        <w:rPr>
          <w:rFonts w:hint="eastAsia" w:ascii="Times New Roman" w:hAnsi="Times New Roman" w:cs="Times New Roman"/>
          <w:bCs/>
          <w:color w:val="auto"/>
          <w:w w:val="99"/>
          <w:highlight w:val="none"/>
        </w:rPr>
        <w:t>①</w:t>
      </w:r>
      <w:r>
        <w:rPr>
          <w:rFonts w:ascii="Times New Roman" w:hAnsi="Times New Roman" w:cs="Times New Roman"/>
          <w:bCs/>
          <w:color w:val="auto"/>
          <w:w w:val="99"/>
          <w:highlight w:val="none"/>
        </w:rPr>
        <w:t>工艺装置</w:t>
      </w:r>
    </w:p>
    <w:p w14:paraId="39E7DD8F">
      <w:pPr>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根据能力核实，工艺装置上，站内已建加热炉、分离器、脱水装置、放空系统能力均满足新井处理需求，本次仅配套新建1口气井进站阀组和生产阀组，新建阀组采用316L不锈钢材质。</w:t>
      </w:r>
    </w:p>
    <w:p w14:paraId="0F2B9C55">
      <w:pPr>
        <w:spacing w:line="440" w:lineRule="exact"/>
        <w:ind w:firstLine="474" w:firstLineChars="200"/>
        <w:jc w:val="both"/>
        <w:rPr>
          <w:rFonts w:ascii="Times New Roman" w:hAnsi="Times New Roman" w:cs="Times New Roman"/>
          <w:bCs/>
          <w:color w:val="auto"/>
          <w:w w:val="99"/>
          <w:highlight w:val="none"/>
        </w:rPr>
      </w:pPr>
      <w:r>
        <w:rPr>
          <w:rFonts w:hint="eastAsia" w:ascii="Times New Roman" w:hAnsi="Times New Roman" w:cs="Times New Roman"/>
          <w:bCs/>
          <w:color w:val="auto"/>
          <w:w w:val="99"/>
          <w:highlight w:val="none"/>
        </w:rPr>
        <w:t>②</w:t>
      </w:r>
      <w:r>
        <w:rPr>
          <w:rFonts w:ascii="Times New Roman" w:hAnsi="Times New Roman" w:cs="Times New Roman"/>
          <w:bCs/>
          <w:color w:val="auto"/>
          <w:w w:val="99"/>
          <w:highlight w:val="none"/>
        </w:rPr>
        <w:t>平面布局</w:t>
      </w:r>
    </w:p>
    <w:p w14:paraId="17191324">
      <w:pPr>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平面布局上，新建阀组均在已建进站和生产阀组区</w:t>
      </w:r>
      <w:r>
        <w:rPr>
          <w:rFonts w:hint="eastAsia" w:ascii="Times New Roman" w:hAnsi="Times New Roman" w:cs="Times New Roman"/>
          <w:bCs/>
          <w:color w:val="auto"/>
          <w:w w:val="99"/>
          <w:highlight w:val="none"/>
        </w:rPr>
        <w:t>预留位置</w:t>
      </w:r>
      <w:r>
        <w:rPr>
          <w:rFonts w:ascii="Times New Roman" w:hAnsi="Times New Roman" w:cs="Times New Roman"/>
          <w:bCs/>
          <w:color w:val="auto"/>
          <w:w w:val="99"/>
          <w:highlight w:val="none"/>
        </w:rPr>
        <w:t>扩建，平面布局不发生变化。</w:t>
      </w:r>
    </w:p>
    <w:p w14:paraId="380010A3">
      <w:pPr>
        <w:ind w:firstLine="480" w:firstLineChars="200"/>
        <w:jc w:val="both"/>
        <w:rPr>
          <w:rFonts w:ascii="Times New Roman" w:hAnsi="Times New Roman" w:cs="Times New Roman"/>
          <w:bCs/>
          <w:color w:val="auto"/>
          <w:w w:val="99"/>
          <w:highlight w:val="none"/>
        </w:rPr>
      </w:pPr>
      <w:r>
        <w:rPr>
          <w:color w:val="auto"/>
          <w:highlight w:val="none"/>
        </w:rPr>
        <w:drawing>
          <wp:inline distT="0" distB="0" distL="114300" distR="114300">
            <wp:extent cx="5070475" cy="3878580"/>
            <wp:effectExtent l="9525" t="9525" r="2540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34"/>
                    <a:stretch>
                      <a:fillRect/>
                    </a:stretch>
                  </pic:blipFill>
                  <pic:spPr>
                    <a:xfrm>
                      <a:off x="0" y="0"/>
                      <a:ext cx="5070475" cy="3878580"/>
                    </a:xfrm>
                    <a:prstGeom prst="rect">
                      <a:avLst/>
                    </a:prstGeom>
                    <a:noFill/>
                    <a:ln>
                      <a:solidFill>
                        <a:schemeClr val="tx1"/>
                      </a:solidFill>
                    </a:ln>
                  </pic:spPr>
                </pic:pic>
              </a:graphicData>
            </a:graphic>
          </wp:inline>
        </w:drawing>
      </w:r>
      <w:r>
        <w:rPr>
          <w:rFonts w:hint="eastAsia" w:ascii="Times New Roman" w:hAnsi="Times New Roman" w:cs="Times New Roman"/>
          <w:bCs/>
          <w:color w:val="auto"/>
          <w:w w:val="99"/>
          <w:highlight w:val="none"/>
        </w:rPr>
        <w:t>。</w:t>
      </w:r>
    </w:p>
    <w:p w14:paraId="758B1EC5">
      <w:pPr>
        <w:pStyle w:val="104"/>
        <w:spacing w:line="440" w:lineRule="exact"/>
        <w:ind w:left="0" w:firstLine="476" w:firstLineChars="200"/>
        <w:rPr>
          <w:rFonts w:ascii="Times New Roman" w:hAnsi="Times New Roman" w:eastAsia="宋体"/>
          <w:b/>
          <w:color w:val="auto"/>
          <w:w w:val="99"/>
          <w:sz w:val="24"/>
          <w:szCs w:val="24"/>
          <w:highlight w:val="none"/>
        </w:rPr>
      </w:pPr>
      <w:r>
        <w:rPr>
          <w:rFonts w:ascii="Times New Roman" w:hAnsi="Times New Roman" w:eastAsia="宋体"/>
          <w:b/>
          <w:color w:val="auto"/>
          <w:w w:val="99"/>
          <w:sz w:val="24"/>
          <w:szCs w:val="24"/>
          <w:highlight w:val="none"/>
        </w:rPr>
        <w:t>图</w:t>
      </w:r>
      <w:r>
        <w:rPr>
          <w:rFonts w:hint="eastAsia" w:ascii="Times New Roman" w:hAnsi="Times New Roman" w:eastAsia="宋体"/>
          <w:b/>
          <w:color w:val="auto"/>
          <w:w w:val="99"/>
          <w:sz w:val="24"/>
          <w:szCs w:val="24"/>
          <w:highlight w:val="none"/>
        </w:rPr>
        <w:t>3.5-4</w:t>
      </w:r>
      <w:r>
        <w:rPr>
          <w:rFonts w:ascii="Times New Roman" w:hAnsi="Times New Roman" w:eastAsia="宋体"/>
          <w:b/>
          <w:color w:val="auto"/>
          <w:w w:val="99"/>
          <w:sz w:val="24"/>
          <w:szCs w:val="24"/>
          <w:highlight w:val="none"/>
        </w:rPr>
        <w:t xml:space="preserve">     徐深</w:t>
      </w:r>
      <w:r>
        <w:rPr>
          <w:rFonts w:hint="eastAsia" w:ascii="Times New Roman" w:hAnsi="Times New Roman" w:eastAsia="宋体"/>
          <w:b/>
          <w:color w:val="auto"/>
          <w:w w:val="99"/>
          <w:sz w:val="24"/>
          <w:szCs w:val="24"/>
          <w:highlight w:val="none"/>
        </w:rPr>
        <w:t>27</w:t>
      </w:r>
      <w:r>
        <w:rPr>
          <w:rFonts w:ascii="Times New Roman" w:hAnsi="Times New Roman" w:eastAsia="宋体"/>
          <w:b/>
          <w:color w:val="auto"/>
          <w:w w:val="99"/>
          <w:sz w:val="24"/>
          <w:szCs w:val="24"/>
          <w:highlight w:val="none"/>
        </w:rPr>
        <w:t>集气站平面布局示意图</w:t>
      </w:r>
    </w:p>
    <w:p w14:paraId="7528586F">
      <w:pPr>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徐深</w:t>
      </w:r>
      <w:r>
        <w:rPr>
          <w:rFonts w:hint="eastAsia" w:ascii="Times New Roman" w:hAnsi="Times New Roman" w:cs="Times New Roman"/>
          <w:bCs/>
          <w:color w:val="auto"/>
          <w:w w:val="99"/>
          <w:highlight w:val="none"/>
        </w:rPr>
        <w:t>27</w:t>
      </w:r>
      <w:r>
        <w:rPr>
          <w:rFonts w:ascii="Times New Roman" w:hAnsi="Times New Roman" w:cs="Times New Roman"/>
          <w:bCs/>
          <w:color w:val="auto"/>
          <w:w w:val="99"/>
          <w:highlight w:val="none"/>
        </w:rPr>
        <w:t>集气站主要扩建工程内容见表</w:t>
      </w:r>
      <w:r>
        <w:rPr>
          <w:rFonts w:hint="eastAsia" w:ascii="Times New Roman" w:hAnsi="Times New Roman" w:cs="Times New Roman"/>
          <w:bCs/>
          <w:color w:val="auto"/>
          <w:w w:val="99"/>
          <w:highlight w:val="none"/>
        </w:rPr>
        <w:t>3.5-6</w:t>
      </w:r>
      <w:r>
        <w:rPr>
          <w:rFonts w:ascii="Times New Roman" w:hAnsi="Times New Roman" w:cs="Times New Roman"/>
          <w:bCs/>
          <w:color w:val="auto"/>
          <w:w w:val="99"/>
          <w:highlight w:val="none"/>
        </w:rPr>
        <w:t>。</w:t>
      </w:r>
    </w:p>
    <w:p w14:paraId="27D597AE">
      <w:pPr>
        <w:spacing w:line="440" w:lineRule="exact"/>
        <w:ind w:firstLine="476" w:firstLineChars="200"/>
        <w:jc w:val="both"/>
        <w:rPr>
          <w:rFonts w:ascii="Times New Roman" w:hAnsi="Times New Roman" w:cs="Times New Roman"/>
          <w:b/>
          <w:color w:val="auto"/>
          <w:w w:val="99"/>
          <w:highlight w:val="none"/>
        </w:rPr>
      </w:pPr>
      <w:r>
        <w:rPr>
          <w:rFonts w:ascii="Times New Roman" w:hAnsi="Times New Roman" w:cs="Times New Roman"/>
          <w:b/>
          <w:color w:val="auto"/>
          <w:w w:val="99"/>
          <w:highlight w:val="none"/>
        </w:rPr>
        <w:t>表</w:t>
      </w:r>
      <w:r>
        <w:rPr>
          <w:rFonts w:hint="eastAsia" w:ascii="Times New Roman" w:hAnsi="Times New Roman" w:cs="Times New Roman"/>
          <w:b/>
          <w:color w:val="auto"/>
          <w:w w:val="99"/>
          <w:highlight w:val="none"/>
        </w:rPr>
        <w:t>3.5-6</w:t>
      </w:r>
      <w:r>
        <w:rPr>
          <w:rFonts w:ascii="Times New Roman" w:hAnsi="Times New Roman" w:cs="Times New Roman"/>
          <w:b/>
          <w:color w:val="auto"/>
          <w:w w:val="99"/>
          <w:highlight w:val="none"/>
        </w:rPr>
        <w:t xml:space="preserve">    主要工程内容表</w:t>
      </w:r>
    </w:p>
    <w:tbl>
      <w:tblPr>
        <w:tblStyle w:val="81"/>
        <w:tblW w:w="4982" w:type="pct"/>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autofit"/>
        <w:tblCellMar>
          <w:top w:w="0" w:type="dxa"/>
          <w:left w:w="0" w:type="dxa"/>
          <w:bottom w:w="0" w:type="dxa"/>
          <w:right w:w="0" w:type="dxa"/>
        </w:tblCellMar>
      </w:tblPr>
      <w:tblGrid>
        <w:gridCol w:w="1203"/>
        <w:gridCol w:w="4255"/>
        <w:gridCol w:w="1729"/>
        <w:gridCol w:w="1870"/>
      </w:tblGrid>
      <w:tr w14:paraId="31CC10E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40" w:hRule="atLeast"/>
          <w:tblHeader/>
        </w:trPr>
        <w:tc>
          <w:tcPr>
            <w:tcW w:w="664" w:type="pct"/>
            <w:tcBorders>
              <w:tl2br w:val="nil"/>
              <w:tr2bl w:val="nil"/>
            </w:tcBorders>
            <w:tcMar>
              <w:top w:w="15" w:type="dxa"/>
              <w:left w:w="15" w:type="dxa"/>
              <w:right w:w="15" w:type="dxa"/>
            </w:tcMar>
            <w:vAlign w:val="center"/>
          </w:tcPr>
          <w:p w14:paraId="4828C3B4">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序号</w:t>
            </w:r>
          </w:p>
        </w:tc>
        <w:tc>
          <w:tcPr>
            <w:tcW w:w="2348" w:type="pct"/>
            <w:tcBorders>
              <w:tl2br w:val="nil"/>
              <w:tr2bl w:val="nil"/>
            </w:tcBorders>
            <w:tcMar>
              <w:top w:w="15" w:type="dxa"/>
              <w:left w:w="15" w:type="dxa"/>
              <w:right w:w="15" w:type="dxa"/>
            </w:tcMar>
            <w:vAlign w:val="center"/>
          </w:tcPr>
          <w:p w14:paraId="5EE8B3E5">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主要工程内容</w:t>
            </w:r>
          </w:p>
        </w:tc>
        <w:tc>
          <w:tcPr>
            <w:tcW w:w="954" w:type="pct"/>
            <w:tcBorders>
              <w:tl2br w:val="nil"/>
              <w:tr2bl w:val="nil"/>
            </w:tcBorders>
            <w:tcMar>
              <w:top w:w="15" w:type="dxa"/>
              <w:left w:w="15" w:type="dxa"/>
              <w:right w:w="15" w:type="dxa"/>
            </w:tcMar>
            <w:vAlign w:val="center"/>
          </w:tcPr>
          <w:p w14:paraId="204A3A6D">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单位</w:t>
            </w:r>
          </w:p>
        </w:tc>
        <w:tc>
          <w:tcPr>
            <w:tcW w:w="1032" w:type="pct"/>
            <w:tcBorders>
              <w:tl2br w:val="nil"/>
              <w:tr2bl w:val="nil"/>
            </w:tcBorders>
            <w:vAlign w:val="center"/>
          </w:tcPr>
          <w:p w14:paraId="5AB02018">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数量</w:t>
            </w:r>
          </w:p>
        </w:tc>
      </w:tr>
      <w:tr w14:paraId="7698D17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664" w:type="pct"/>
            <w:tcBorders>
              <w:tl2br w:val="nil"/>
              <w:tr2bl w:val="nil"/>
            </w:tcBorders>
            <w:tcMar>
              <w:top w:w="15" w:type="dxa"/>
              <w:left w:w="15" w:type="dxa"/>
              <w:right w:w="15" w:type="dxa"/>
            </w:tcMar>
            <w:vAlign w:val="center"/>
          </w:tcPr>
          <w:p w14:paraId="7CB18C76">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1</w:t>
            </w:r>
          </w:p>
        </w:tc>
        <w:tc>
          <w:tcPr>
            <w:tcW w:w="2348" w:type="pct"/>
            <w:tcBorders>
              <w:tl2br w:val="nil"/>
              <w:tr2bl w:val="nil"/>
            </w:tcBorders>
            <w:tcMar>
              <w:top w:w="15" w:type="dxa"/>
              <w:left w:w="15" w:type="dxa"/>
              <w:right w:w="15" w:type="dxa"/>
            </w:tcMar>
            <w:vAlign w:val="center"/>
          </w:tcPr>
          <w:p w14:paraId="4266988F">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进站阀组DN65 PN360（316L）</w:t>
            </w:r>
          </w:p>
        </w:tc>
        <w:tc>
          <w:tcPr>
            <w:tcW w:w="954" w:type="pct"/>
            <w:tcBorders>
              <w:tl2br w:val="nil"/>
              <w:tr2bl w:val="nil"/>
            </w:tcBorders>
            <w:tcMar>
              <w:top w:w="15" w:type="dxa"/>
              <w:left w:w="15" w:type="dxa"/>
              <w:right w:w="15" w:type="dxa"/>
            </w:tcMar>
            <w:vAlign w:val="center"/>
          </w:tcPr>
          <w:p w14:paraId="74F76C01">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套</w:t>
            </w:r>
          </w:p>
        </w:tc>
        <w:tc>
          <w:tcPr>
            <w:tcW w:w="1032" w:type="pct"/>
            <w:tcBorders>
              <w:tl2br w:val="nil"/>
              <w:tr2bl w:val="nil"/>
            </w:tcBorders>
            <w:vAlign w:val="center"/>
          </w:tcPr>
          <w:p w14:paraId="52F75C32">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1</w:t>
            </w:r>
          </w:p>
        </w:tc>
      </w:tr>
      <w:tr w14:paraId="40E7D19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664" w:type="pct"/>
            <w:tcBorders>
              <w:tl2br w:val="nil"/>
              <w:tr2bl w:val="nil"/>
            </w:tcBorders>
            <w:tcMar>
              <w:top w:w="15" w:type="dxa"/>
              <w:left w:w="15" w:type="dxa"/>
              <w:right w:w="15" w:type="dxa"/>
            </w:tcMar>
            <w:vAlign w:val="center"/>
          </w:tcPr>
          <w:p w14:paraId="5FA994C1">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2</w:t>
            </w:r>
          </w:p>
        </w:tc>
        <w:tc>
          <w:tcPr>
            <w:tcW w:w="2348" w:type="pct"/>
            <w:tcBorders>
              <w:tl2br w:val="nil"/>
              <w:tr2bl w:val="nil"/>
            </w:tcBorders>
            <w:tcMar>
              <w:top w:w="15" w:type="dxa"/>
              <w:left w:w="15" w:type="dxa"/>
              <w:right w:w="15" w:type="dxa"/>
            </w:tcMar>
            <w:vAlign w:val="center"/>
          </w:tcPr>
          <w:p w14:paraId="07BCA322">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生产阀组DN80 PN</w:t>
            </w:r>
            <w:r>
              <w:rPr>
                <w:rFonts w:hint="eastAsia" w:ascii="Times New Roman" w:hAnsi="Times New Roman" w:cs="Times New Roman"/>
                <w:bCs/>
                <w:color w:val="auto"/>
                <w:w w:val="99"/>
                <w:kern w:val="2"/>
                <w:sz w:val="21"/>
                <w:szCs w:val="21"/>
                <w:highlight w:val="none"/>
              </w:rPr>
              <w:t>10</w:t>
            </w:r>
            <w:r>
              <w:rPr>
                <w:rFonts w:ascii="Times New Roman" w:hAnsi="Times New Roman" w:cs="Times New Roman"/>
                <w:bCs/>
                <w:color w:val="auto"/>
                <w:w w:val="99"/>
                <w:kern w:val="2"/>
                <w:sz w:val="21"/>
                <w:szCs w:val="21"/>
                <w:highlight w:val="none"/>
              </w:rPr>
              <w:t>0（316L）</w:t>
            </w:r>
          </w:p>
        </w:tc>
        <w:tc>
          <w:tcPr>
            <w:tcW w:w="954" w:type="pct"/>
            <w:tcBorders>
              <w:tl2br w:val="nil"/>
              <w:tr2bl w:val="nil"/>
            </w:tcBorders>
            <w:tcMar>
              <w:top w:w="15" w:type="dxa"/>
              <w:left w:w="15" w:type="dxa"/>
              <w:right w:w="15" w:type="dxa"/>
            </w:tcMar>
            <w:vAlign w:val="center"/>
          </w:tcPr>
          <w:p w14:paraId="6ACAFBDB">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套</w:t>
            </w:r>
          </w:p>
        </w:tc>
        <w:tc>
          <w:tcPr>
            <w:tcW w:w="1032" w:type="pct"/>
            <w:tcBorders>
              <w:tl2br w:val="nil"/>
              <w:tr2bl w:val="nil"/>
            </w:tcBorders>
            <w:vAlign w:val="center"/>
          </w:tcPr>
          <w:p w14:paraId="082CFCB8">
            <w:pPr>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1</w:t>
            </w:r>
          </w:p>
        </w:tc>
      </w:tr>
    </w:tbl>
    <w:p w14:paraId="185FA6C2">
      <w:pPr>
        <w:spacing w:line="440" w:lineRule="exact"/>
        <w:outlineLvl w:val="2"/>
        <w:rPr>
          <w:rFonts w:ascii="Times New Roman" w:hAnsi="Times New Roman" w:cs="Times New Roman"/>
          <w:b/>
          <w:color w:val="auto"/>
          <w:w w:val="99"/>
          <w:szCs w:val="20"/>
          <w:highlight w:val="none"/>
        </w:rPr>
      </w:pPr>
      <w:r>
        <w:rPr>
          <w:rFonts w:ascii="Times New Roman" w:hAnsi="Times New Roman" w:cs="Times New Roman"/>
          <w:b/>
          <w:color w:val="auto"/>
          <w:w w:val="99"/>
          <w:szCs w:val="20"/>
          <w:highlight w:val="none"/>
        </w:rPr>
        <w:t>3.</w:t>
      </w:r>
      <w:r>
        <w:rPr>
          <w:rFonts w:hint="eastAsia" w:ascii="Times New Roman" w:hAnsi="Times New Roman" w:cs="Times New Roman"/>
          <w:b/>
          <w:color w:val="auto"/>
          <w:w w:val="99"/>
          <w:szCs w:val="20"/>
          <w:highlight w:val="none"/>
        </w:rPr>
        <w:t>5</w:t>
      </w:r>
      <w:r>
        <w:rPr>
          <w:rFonts w:ascii="Times New Roman" w:hAnsi="Times New Roman" w:cs="Times New Roman"/>
          <w:b/>
          <w:color w:val="auto"/>
          <w:w w:val="99"/>
          <w:szCs w:val="20"/>
          <w:highlight w:val="none"/>
        </w:rPr>
        <w:t>.</w:t>
      </w:r>
      <w:r>
        <w:rPr>
          <w:rFonts w:hint="eastAsia" w:ascii="Times New Roman" w:hAnsi="Times New Roman" w:cs="Times New Roman"/>
          <w:b/>
          <w:color w:val="auto"/>
          <w:w w:val="99"/>
          <w:szCs w:val="20"/>
          <w:highlight w:val="none"/>
        </w:rPr>
        <w:t>4</w:t>
      </w:r>
      <w:r>
        <w:rPr>
          <w:rFonts w:ascii="Times New Roman" w:hAnsi="Times New Roman" w:cs="Times New Roman"/>
          <w:b/>
          <w:color w:val="auto"/>
          <w:w w:val="99"/>
          <w:szCs w:val="20"/>
          <w:highlight w:val="none"/>
        </w:rPr>
        <w:t>道路工程</w:t>
      </w:r>
    </w:p>
    <w:p w14:paraId="288D165A">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bCs/>
          <w:color w:val="auto"/>
          <w:w w:val="99"/>
          <w:highlight w:val="none"/>
        </w:rPr>
        <w:t>徐深27-H1井南侧就有可直接利用的水泥路，</w:t>
      </w:r>
      <w:r>
        <w:rPr>
          <w:rFonts w:hint="eastAsia" w:ascii="Times New Roman" w:hAnsi="Times New Roman" w:cs="Times New Roman" w:eastAsiaTheme="minorEastAsia"/>
          <w:bCs/>
          <w:color w:val="auto"/>
          <w:w w:val="99"/>
          <w:highlight w:val="none"/>
        </w:rPr>
        <w:t>本次</w:t>
      </w:r>
      <w:r>
        <w:rPr>
          <w:rFonts w:ascii="Times New Roman" w:hAnsi="Times New Roman" w:cs="Times New Roman" w:eastAsiaTheme="minorEastAsia"/>
          <w:bCs/>
          <w:color w:val="auto"/>
          <w:w w:val="99"/>
          <w:highlight w:val="none"/>
        </w:rPr>
        <w:t>在二者之间新建沥青砼通井路200m，</w:t>
      </w:r>
      <w:r>
        <w:rPr>
          <w:rFonts w:hint="eastAsia" w:ascii="Times New Roman" w:hAnsi="Times New Roman" w:cs="Times New Roman" w:eastAsiaTheme="minorEastAsia"/>
          <w:bCs/>
          <w:color w:val="auto"/>
          <w:w w:val="99"/>
          <w:highlight w:val="none"/>
        </w:rPr>
        <w:t>路基宽4.5m，路面宽3.5m，</w:t>
      </w:r>
      <w:r>
        <w:rPr>
          <w:rFonts w:ascii="Times New Roman" w:hAnsi="Times New Roman" w:cs="Times New Roman" w:eastAsiaTheme="minorEastAsia"/>
          <w:bCs/>
          <w:color w:val="auto"/>
          <w:w w:val="99"/>
          <w:highlight w:val="none"/>
        </w:rPr>
        <w:t>道路路由走向图见附图</w:t>
      </w:r>
      <w:r>
        <w:rPr>
          <w:rFonts w:hint="eastAsia" w:ascii="Times New Roman" w:hAnsi="Times New Roman" w:cs="Times New Roman" w:eastAsiaTheme="minorEastAsia"/>
          <w:bCs/>
          <w:color w:val="auto"/>
          <w:w w:val="99"/>
          <w:highlight w:val="none"/>
        </w:rPr>
        <w:t>2</w:t>
      </w:r>
      <w:r>
        <w:rPr>
          <w:rFonts w:ascii="Times New Roman" w:hAnsi="Times New Roman" w:cs="Times New Roman" w:eastAsiaTheme="minorEastAsia"/>
          <w:bCs/>
          <w:color w:val="auto"/>
          <w:w w:val="99"/>
          <w:highlight w:val="none"/>
        </w:rPr>
        <w:t>。</w:t>
      </w:r>
    </w:p>
    <w:bookmarkEnd w:id="430"/>
    <w:bookmarkEnd w:id="431"/>
    <w:bookmarkEnd w:id="432"/>
    <w:p w14:paraId="479F452D">
      <w:pPr>
        <w:pStyle w:val="7"/>
        <w:widowControl w:val="0"/>
        <w:spacing w:before="60" w:after="60" w:line="440" w:lineRule="exact"/>
        <w:jc w:val="both"/>
        <w:rPr>
          <w:rFonts w:eastAsia="宋体"/>
          <w:b/>
          <w:color w:val="auto"/>
          <w:w w:val="99"/>
          <w:kern w:val="2"/>
          <w:sz w:val="24"/>
          <w:szCs w:val="24"/>
          <w:highlight w:val="none"/>
        </w:rPr>
      </w:pPr>
      <w:bookmarkStart w:id="433" w:name="_Toc77067661"/>
      <w:bookmarkStart w:id="434" w:name="_Toc83209474"/>
      <w:bookmarkStart w:id="435" w:name="_Toc78816462"/>
      <w:bookmarkStart w:id="436" w:name="_Toc80588257"/>
      <w:bookmarkStart w:id="437" w:name="_Toc76976245"/>
      <w:bookmarkStart w:id="438" w:name="_Toc80971379"/>
      <w:bookmarkStart w:id="439" w:name="_Toc186444282"/>
      <w:r>
        <w:rPr>
          <w:rFonts w:eastAsia="宋体"/>
          <w:b/>
          <w:color w:val="auto"/>
          <w:w w:val="99"/>
          <w:kern w:val="2"/>
          <w:sz w:val="24"/>
          <w:szCs w:val="24"/>
          <w:highlight w:val="none"/>
        </w:rPr>
        <w:t>3.</w:t>
      </w:r>
      <w:r>
        <w:rPr>
          <w:rFonts w:hint="eastAsia" w:eastAsia="宋体"/>
          <w:b/>
          <w:color w:val="auto"/>
          <w:w w:val="99"/>
          <w:kern w:val="2"/>
          <w:sz w:val="24"/>
          <w:szCs w:val="24"/>
          <w:highlight w:val="none"/>
        </w:rPr>
        <w:t>5</w:t>
      </w:r>
      <w:r>
        <w:rPr>
          <w:rFonts w:eastAsia="宋体"/>
          <w:b/>
          <w:color w:val="auto"/>
          <w:w w:val="99"/>
          <w:kern w:val="2"/>
          <w:sz w:val="24"/>
          <w:szCs w:val="24"/>
          <w:highlight w:val="none"/>
        </w:rPr>
        <w:t>.</w:t>
      </w:r>
      <w:r>
        <w:rPr>
          <w:rFonts w:hint="eastAsia" w:eastAsia="宋体"/>
          <w:b/>
          <w:color w:val="auto"/>
          <w:w w:val="99"/>
          <w:kern w:val="2"/>
          <w:sz w:val="24"/>
          <w:szCs w:val="24"/>
          <w:highlight w:val="none"/>
        </w:rPr>
        <w:t>5</w:t>
      </w:r>
      <w:r>
        <w:rPr>
          <w:rFonts w:eastAsia="宋体"/>
          <w:b/>
          <w:color w:val="auto"/>
          <w:w w:val="99"/>
          <w:kern w:val="2"/>
          <w:sz w:val="24"/>
          <w:szCs w:val="24"/>
          <w:highlight w:val="none"/>
        </w:rPr>
        <w:t>公用工程</w:t>
      </w:r>
      <w:bookmarkEnd w:id="433"/>
      <w:bookmarkEnd w:id="434"/>
      <w:bookmarkEnd w:id="435"/>
      <w:bookmarkEnd w:id="436"/>
      <w:bookmarkEnd w:id="437"/>
      <w:bookmarkEnd w:id="438"/>
      <w:bookmarkEnd w:id="439"/>
    </w:p>
    <w:p w14:paraId="442D97F4">
      <w:pPr>
        <w:spacing w:line="440" w:lineRule="exact"/>
        <w:ind w:firstLine="420"/>
        <w:outlineLvl w:val="3"/>
        <w:rPr>
          <w:rFonts w:ascii="Times New Roman" w:hAnsi="Times New Roman" w:cs="Times New Roman"/>
          <w:b/>
          <w:color w:val="auto"/>
          <w:w w:val="99"/>
          <w:szCs w:val="20"/>
          <w:highlight w:val="none"/>
        </w:rPr>
      </w:pPr>
      <w:r>
        <w:rPr>
          <w:rFonts w:hint="eastAsia" w:ascii="Times New Roman" w:hAnsi="Times New Roman" w:cs="Times New Roman"/>
          <w:b/>
          <w:color w:val="auto"/>
          <w:w w:val="99"/>
          <w:szCs w:val="20"/>
          <w:highlight w:val="none"/>
        </w:rPr>
        <w:t>3.5.5</w:t>
      </w:r>
      <w:r>
        <w:rPr>
          <w:rFonts w:ascii="Times New Roman" w:hAnsi="Times New Roman" w:cs="Times New Roman"/>
          <w:b/>
          <w:color w:val="auto"/>
          <w:w w:val="99"/>
          <w:szCs w:val="20"/>
          <w:highlight w:val="none"/>
        </w:rPr>
        <w:t>.1供水、排水系统</w:t>
      </w:r>
    </w:p>
    <w:p w14:paraId="242B45DB">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bookmarkStart w:id="440" w:name="_Toc11047792"/>
      <w:r>
        <w:rPr>
          <w:rFonts w:ascii="Times New Roman" w:hAnsi="Times New Roman" w:cs="Times New Roman" w:eastAsiaTheme="minorEastAsia"/>
          <w:color w:val="auto"/>
          <w:w w:val="99"/>
          <w:kern w:val="21"/>
          <w:highlight w:val="none"/>
        </w:rPr>
        <w:t>（1）施工期</w:t>
      </w:r>
    </w:p>
    <w:p w14:paraId="2B23B0B6">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hint="eastAsia" w:ascii="Times New Roman" w:hAnsi="Times New Roman" w:cs="Times New Roman" w:eastAsiaTheme="minorEastAsia"/>
          <w:color w:val="auto"/>
          <w:w w:val="99"/>
          <w:kern w:val="21"/>
          <w:highlight w:val="none"/>
        </w:rPr>
        <w:t>施工期用水主要为施工人员生活用水。生活用水采用桶装水，钻井用水由水罐车运送。施工期废水为施工人员生活污水。</w:t>
      </w:r>
    </w:p>
    <w:p w14:paraId="133EFAE8">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hint="eastAsia"/>
          <w:color w:val="auto"/>
          <w:w w:val="99"/>
          <w:kern w:val="21"/>
          <w:highlight w:val="none"/>
        </w:rPr>
        <w:t>①</w:t>
      </w:r>
      <w:r>
        <w:rPr>
          <w:rFonts w:ascii="Times New Roman" w:hAnsi="Times New Roman" w:cs="Times New Roman" w:eastAsiaTheme="minorEastAsia"/>
          <w:color w:val="auto"/>
          <w:w w:val="99"/>
          <w:kern w:val="21"/>
          <w:highlight w:val="none"/>
        </w:rPr>
        <w:t>生活用水及生活污水</w:t>
      </w:r>
    </w:p>
    <w:p w14:paraId="722C4003">
      <w:pPr>
        <w:widowControl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eastAsiaTheme="minorEastAsia"/>
          <w:color w:val="auto"/>
          <w:w w:val="99"/>
          <w:kern w:val="21"/>
          <w:highlight w:val="none"/>
        </w:rPr>
        <w:t>地面工程施工时间约30d，施工人数30人，根据《用水定额》（</w:t>
      </w:r>
      <w:r>
        <w:rPr>
          <w:rFonts w:ascii="Times New Roman" w:hAnsi="Times New Roman" w:cs="Times New Roman" w:eastAsiaTheme="minorEastAsia"/>
          <w:color w:val="auto"/>
          <w:w w:val="99"/>
          <w:kern w:val="21"/>
          <w:highlight w:val="none"/>
        </w:rPr>
        <w:t>DB23/T727-202</w:t>
      </w:r>
      <w:r>
        <w:rPr>
          <w:rFonts w:hint="eastAsia" w:ascii="Times New Roman" w:hAnsi="Times New Roman" w:cs="Times New Roman" w:eastAsiaTheme="minorEastAsia"/>
          <w:color w:val="auto"/>
          <w:w w:val="99"/>
          <w:kern w:val="21"/>
          <w:highlight w:val="none"/>
        </w:rPr>
        <w:t>5）项目施工期生活用水量按</w:t>
      </w:r>
      <w:r>
        <w:rPr>
          <w:rFonts w:ascii="Times New Roman" w:hAnsi="Times New Roman" w:cs="Times New Roman" w:eastAsiaTheme="minorEastAsia"/>
          <w:color w:val="auto"/>
          <w:w w:val="99"/>
          <w:kern w:val="21"/>
          <w:highlight w:val="none"/>
        </w:rPr>
        <w:t>80L/</w:t>
      </w:r>
      <w:r>
        <w:rPr>
          <w:rFonts w:hint="eastAsia" w:ascii="Times New Roman" w:hAnsi="Times New Roman" w:cs="Times New Roman" w:eastAsiaTheme="minorEastAsia"/>
          <w:color w:val="auto"/>
          <w:w w:val="99"/>
          <w:kern w:val="21"/>
          <w:highlight w:val="none"/>
        </w:rPr>
        <w:t>人</w:t>
      </w:r>
      <w:r>
        <w:rPr>
          <w:rFonts w:ascii="Times New Roman" w:hAnsi="Times New Roman" w:cs="Times New Roman" w:eastAsiaTheme="minorEastAsia"/>
          <w:color w:val="auto"/>
          <w:w w:val="99"/>
          <w:kern w:val="21"/>
          <w:highlight w:val="none"/>
        </w:rPr>
        <w:t xml:space="preserve">·d </w:t>
      </w:r>
      <w:r>
        <w:rPr>
          <w:rFonts w:hint="eastAsia" w:ascii="Times New Roman" w:hAnsi="Times New Roman" w:cs="Times New Roman" w:eastAsiaTheme="minorEastAsia"/>
          <w:color w:val="auto"/>
          <w:w w:val="99"/>
          <w:kern w:val="21"/>
          <w:highlight w:val="none"/>
        </w:rPr>
        <w:t>计，则施工期间施工人员生活用水量为720</w:t>
      </w:r>
      <w:r>
        <w:rPr>
          <w:rFonts w:ascii="Times New Roman" w:hAnsi="Times New Roman" w:cs="Times New Roman" w:eastAsiaTheme="minorEastAsia"/>
          <w:color w:val="auto"/>
          <w:w w:val="99"/>
          <w:kern w:val="21"/>
          <w:highlight w:val="none"/>
        </w:rPr>
        <w:t>m</w:t>
      </w:r>
      <w:r>
        <w:rPr>
          <w:rFonts w:ascii="Times New Roman" w:hAnsi="Times New Roman" w:cs="Times New Roman" w:eastAsiaTheme="minorEastAsia"/>
          <w:color w:val="auto"/>
          <w:w w:val="99"/>
          <w:kern w:val="21"/>
          <w:highlight w:val="none"/>
          <w:vertAlign w:val="superscript"/>
        </w:rPr>
        <w:t>3</w:t>
      </w:r>
      <w:r>
        <w:rPr>
          <w:rFonts w:hint="eastAsia" w:ascii="Times New Roman" w:hAnsi="Times New Roman" w:cs="Times New Roman" w:eastAsiaTheme="minorEastAsia"/>
          <w:color w:val="auto"/>
          <w:w w:val="99"/>
          <w:kern w:val="21"/>
          <w:highlight w:val="none"/>
        </w:rPr>
        <w:t>（30</w:t>
      </w:r>
      <w:r>
        <w:rPr>
          <w:rFonts w:ascii="Times New Roman" w:hAnsi="Times New Roman" w:cs="Times New Roman" w:eastAsiaTheme="minorEastAsia"/>
          <w:color w:val="auto"/>
          <w:w w:val="99"/>
          <w:kern w:val="21"/>
          <w:highlight w:val="none"/>
        </w:rPr>
        <w:t>×</w:t>
      </w:r>
      <w:r>
        <w:rPr>
          <w:rFonts w:hint="eastAsia" w:ascii="Times New Roman" w:hAnsi="Times New Roman" w:cs="Times New Roman" w:eastAsiaTheme="minorEastAsia"/>
          <w:color w:val="auto"/>
          <w:w w:val="99"/>
          <w:kern w:val="21"/>
          <w:highlight w:val="none"/>
        </w:rPr>
        <w:t>3</w:t>
      </w:r>
      <w:r>
        <w:rPr>
          <w:rFonts w:ascii="Times New Roman" w:hAnsi="Times New Roman" w:cs="Times New Roman" w:eastAsiaTheme="minorEastAsia"/>
          <w:color w:val="auto"/>
          <w:w w:val="99"/>
          <w:kern w:val="21"/>
          <w:highlight w:val="none"/>
        </w:rPr>
        <w:t>0×80×10</w:t>
      </w:r>
      <w:r>
        <w:rPr>
          <w:rFonts w:ascii="Times New Roman" w:hAnsi="Times New Roman" w:cs="Times New Roman" w:eastAsiaTheme="minorEastAsia"/>
          <w:color w:val="auto"/>
          <w:w w:val="99"/>
          <w:kern w:val="21"/>
          <w:highlight w:val="none"/>
          <w:vertAlign w:val="superscript"/>
        </w:rPr>
        <w:t>-3</w:t>
      </w:r>
      <w:r>
        <w:rPr>
          <w:rFonts w:ascii="Times New Roman" w:hAnsi="Times New Roman" w:cs="Times New Roman" w:eastAsiaTheme="minorEastAsia"/>
          <w:color w:val="auto"/>
          <w:w w:val="99"/>
          <w:kern w:val="21"/>
          <w:highlight w:val="none"/>
        </w:rPr>
        <w:t>=</w:t>
      </w:r>
      <w:r>
        <w:rPr>
          <w:rFonts w:hint="eastAsia" w:ascii="Times New Roman" w:hAnsi="Times New Roman" w:cs="Times New Roman" w:eastAsiaTheme="minorEastAsia"/>
          <w:color w:val="auto"/>
          <w:w w:val="99"/>
          <w:kern w:val="21"/>
          <w:highlight w:val="none"/>
        </w:rPr>
        <w:t>720），生活污水按生活用水量的</w:t>
      </w:r>
      <w:r>
        <w:rPr>
          <w:rFonts w:ascii="Times New Roman" w:hAnsi="Times New Roman" w:cs="Times New Roman" w:eastAsiaTheme="minorEastAsia"/>
          <w:color w:val="auto"/>
          <w:w w:val="99"/>
          <w:kern w:val="21"/>
          <w:highlight w:val="none"/>
        </w:rPr>
        <w:t>80%</w:t>
      </w:r>
      <w:r>
        <w:rPr>
          <w:rFonts w:hint="eastAsia" w:ascii="Times New Roman" w:hAnsi="Times New Roman" w:cs="Times New Roman" w:eastAsiaTheme="minorEastAsia"/>
          <w:color w:val="auto"/>
          <w:w w:val="99"/>
          <w:kern w:val="21"/>
          <w:highlight w:val="none"/>
        </w:rPr>
        <w:t>计，则施工期间施工人员生活污水产生量为576</w:t>
      </w:r>
      <w:r>
        <w:rPr>
          <w:rFonts w:ascii="Times New Roman" w:hAnsi="Times New Roman" w:cs="Times New Roman" w:eastAsiaTheme="minorEastAsia"/>
          <w:color w:val="auto"/>
          <w:w w:val="99"/>
          <w:kern w:val="21"/>
          <w:highlight w:val="none"/>
        </w:rPr>
        <w:t>m</w:t>
      </w:r>
      <w:r>
        <w:rPr>
          <w:rFonts w:ascii="Times New Roman" w:hAnsi="Times New Roman" w:cs="Times New Roman" w:eastAsiaTheme="minorEastAsia"/>
          <w:color w:val="auto"/>
          <w:w w:val="99"/>
          <w:kern w:val="21"/>
          <w:highlight w:val="none"/>
          <w:vertAlign w:val="superscript"/>
        </w:rPr>
        <w:t>3</w:t>
      </w:r>
      <w:r>
        <w:rPr>
          <w:rFonts w:hint="eastAsia" w:ascii="Times New Roman" w:hAnsi="Times New Roman" w:cs="Times New Roman" w:eastAsiaTheme="minorEastAsia"/>
          <w:color w:val="auto"/>
          <w:w w:val="99"/>
          <w:kern w:val="21"/>
          <w:highlight w:val="none"/>
        </w:rPr>
        <w:t>。施工期地面生活污水排入附近场站已建生活污水收集设施，</w:t>
      </w:r>
      <w:r>
        <w:rPr>
          <w:rFonts w:hint="eastAsia" w:ascii="Times New Roman" w:hAnsi="Times New Roman" w:cs="Times New Roman"/>
          <w:color w:val="auto"/>
          <w:w w:val="99"/>
          <w:highlight w:val="none"/>
        </w:rPr>
        <w:t>定期由大庆石油管理局有限公司庆南工矿服务公司红岗分公司拉运至大庆红岗区西巷污水回收站，管输至南区污水处理厂进行处理。</w:t>
      </w:r>
    </w:p>
    <w:p w14:paraId="26A0B9F6">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hint="eastAsia"/>
          <w:color w:val="auto"/>
          <w:w w:val="99"/>
          <w:kern w:val="21"/>
          <w:highlight w:val="none"/>
        </w:rPr>
        <w:t>②</w:t>
      </w:r>
      <w:r>
        <w:rPr>
          <w:rFonts w:ascii="Times New Roman" w:hAnsi="Times New Roman" w:cs="Times New Roman"/>
          <w:color w:val="auto"/>
          <w:w w:val="99"/>
          <w:kern w:val="21"/>
          <w:highlight w:val="none"/>
        </w:rPr>
        <w:t>管线</w:t>
      </w:r>
      <w:r>
        <w:rPr>
          <w:rFonts w:ascii="Times New Roman" w:hAnsi="Times New Roman" w:cs="Times New Roman" w:eastAsiaTheme="minorEastAsia"/>
          <w:color w:val="auto"/>
          <w:w w:val="99"/>
          <w:kern w:val="21"/>
          <w:highlight w:val="none"/>
        </w:rPr>
        <w:t>试压用水及管线试压废水</w:t>
      </w:r>
    </w:p>
    <w:p w14:paraId="7F0AEA68">
      <w:pPr>
        <w:widowControl w:val="0"/>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本工程新建管线采取清水试压的方式，本项目新建Φ</w:t>
      </w:r>
      <w:r>
        <w:rPr>
          <w:rFonts w:hint="eastAsia" w:ascii="Times New Roman" w:hAnsi="Times New Roman" w:cs="Times New Roman"/>
          <w:bCs/>
          <w:color w:val="auto"/>
          <w:w w:val="99"/>
          <w:highlight w:val="none"/>
        </w:rPr>
        <w:t>76</w:t>
      </w:r>
      <w:r>
        <w:rPr>
          <w:rFonts w:ascii="Times New Roman" w:hAnsi="Times New Roman" w:cs="Times New Roman"/>
          <w:bCs/>
          <w:color w:val="auto"/>
          <w:w w:val="99"/>
          <w:highlight w:val="none"/>
        </w:rPr>
        <w:t>×（9+2）集</w:t>
      </w:r>
      <w:r>
        <w:rPr>
          <w:rFonts w:hint="eastAsia" w:ascii="Times New Roman" w:hAnsi="Times New Roman" w:cs="Times New Roman"/>
          <w:bCs/>
          <w:color w:val="auto"/>
          <w:w w:val="99"/>
          <w:highlight w:val="none"/>
        </w:rPr>
        <w:t>气</w:t>
      </w:r>
      <w:r>
        <w:rPr>
          <w:rFonts w:ascii="Times New Roman" w:hAnsi="Times New Roman" w:cs="Times New Roman"/>
          <w:bCs/>
          <w:color w:val="auto"/>
          <w:w w:val="99"/>
          <w:highlight w:val="none"/>
        </w:rPr>
        <w:t>管道</w:t>
      </w:r>
      <w:r>
        <w:rPr>
          <w:rFonts w:hint="eastAsia" w:ascii="Times New Roman" w:hAnsi="Times New Roman" w:cs="Times New Roman"/>
          <w:bCs/>
          <w:color w:val="auto"/>
          <w:w w:val="99"/>
          <w:highlight w:val="none"/>
        </w:rPr>
        <w:t>1.92</w:t>
      </w:r>
      <w:r>
        <w:rPr>
          <w:rFonts w:ascii="Times New Roman" w:hAnsi="Times New Roman" w:cs="Times New Roman"/>
          <w:bCs/>
          <w:color w:val="auto"/>
          <w:w w:val="99"/>
          <w:highlight w:val="none"/>
        </w:rPr>
        <w:t>km，根据新建管线截面面积及长度，管线试压用水总量为</w:t>
      </w:r>
      <w:r>
        <w:rPr>
          <w:rFonts w:hint="eastAsia" w:ascii="Times New Roman" w:hAnsi="Times New Roman" w:cs="Times New Roman"/>
          <w:bCs/>
          <w:color w:val="auto"/>
          <w:w w:val="99"/>
          <w:highlight w:val="none"/>
        </w:rPr>
        <w:t>4.39m</w:t>
      </w:r>
      <w:r>
        <w:rPr>
          <w:rFonts w:hint="eastAsia" w:ascii="Times New Roman" w:hAnsi="Times New Roman" w:cs="Times New Roman"/>
          <w:bCs/>
          <w:color w:val="auto"/>
          <w:w w:val="99"/>
          <w:highlight w:val="none"/>
          <w:vertAlign w:val="superscript"/>
        </w:rPr>
        <w:t>3</w:t>
      </w:r>
      <w:r>
        <w:rPr>
          <w:rFonts w:ascii="Times New Roman" w:hAnsi="Times New Roman" w:cs="Times New Roman"/>
          <w:bCs/>
          <w:color w:val="auto"/>
          <w:w w:val="99"/>
          <w:highlight w:val="none"/>
        </w:rPr>
        <w:t>，试压废水按用水量的95%计算，试压废水产生量为</w:t>
      </w:r>
      <w:r>
        <w:rPr>
          <w:rFonts w:hint="eastAsia" w:ascii="Times New Roman" w:hAnsi="Times New Roman" w:cs="Times New Roman"/>
          <w:bCs/>
          <w:color w:val="auto"/>
          <w:w w:val="99"/>
          <w:highlight w:val="none"/>
        </w:rPr>
        <w:t>4.17</w:t>
      </w:r>
      <w:r>
        <w:rPr>
          <w:rFonts w:ascii="Times New Roman" w:hAnsi="Times New Roman" w:cs="Times New Roman"/>
          <w:bCs/>
          <w:color w:val="auto"/>
          <w:w w:val="99"/>
          <w:highlight w:val="none"/>
        </w:rPr>
        <w:t>m</w:t>
      </w:r>
      <w:r>
        <w:rPr>
          <w:rFonts w:ascii="Times New Roman" w:hAnsi="Times New Roman" w:cs="Times New Roman"/>
          <w:bCs/>
          <w:color w:val="auto"/>
          <w:w w:val="99"/>
          <w:highlight w:val="none"/>
          <w:vertAlign w:val="superscript"/>
        </w:rPr>
        <w:t>3</w:t>
      </w:r>
      <w:r>
        <w:rPr>
          <w:rFonts w:ascii="Times New Roman" w:hAnsi="Times New Roman" w:cs="Times New Roman"/>
          <w:bCs/>
          <w:color w:val="auto"/>
          <w:w w:val="99"/>
          <w:highlight w:val="none"/>
        </w:rPr>
        <w:t>。管线试压废水由罐车拉运升一联气田污水预处理站处理满足《大庆油田地面工程建设设计规定》（Q/SYDQ0639-2015）及《碎屑岩油藏注水水质指标技术要求及分析方法》（SY/T5329-2022）限值要求后回注油层，不外排。</w:t>
      </w:r>
    </w:p>
    <w:p w14:paraId="60CF8207">
      <w:pPr>
        <w:widowControl w:val="0"/>
        <w:spacing w:line="440" w:lineRule="exact"/>
        <w:ind w:firstLine="474" w:firstLineChars="200"/>
        <w:rPr>
          <w:rFonts w:ascii="Times New Roman" w:hAnsi="Times New Roman" w:cs="Times New Roman"/>
          <w:color w:val="auto"/>
          <w:w w:val="99"/>
          <w:kern w:val="21"/>
          <w:highlight w:val="none"/>
        </w:rPr>
      </w:pPr>
      <w:r>
        <w:rPr>
          <w:rFonts w:ascii="Times New Roman" w:hAnsi="Times New Roman" w:cs="Times New Roman"/>
          <w:color w:val="auto"/>
          <w:w w:val="99"/>
          <w:kern w:val="21"/>
          <w:highlight w:val="none"/>
        </w:rPr>
        <w:t>（2）运营期</w:t>
      </w:r>
    </w:p>
    <w:p w14:paraId="13BC3644">
      <w:pPr>
        <w:widowControl w:val="0"/>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本项目运营期不新增人员，不新增生活用水。</w:t>
      </w:r>
    </w:p>
    <w:p w14:paraId="367A7B83">
      <w:pPr>
        <w:widowControl w:val="0"/>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color w:val="auto"/>
          <w:w w:val="99"/>
          <w:kern w:val="2"/>
          <w:highlight w:val="none"/>
        </w:rPr>
        <w:t>本工程运行期废水主要为气田采出水，气田污水主要是从集气站工艺过程“分离”中出来的，主要含溶解性轻烃、溶解性矿物质和悬浮物。污水靠余压直接进入污水储罐，通过已建管道最终送至升一联气田污水预处理站处理</w:t>
      </w:r>
      <w:r>
        <w:rPr>
          <w:rFonts w:hint="eastAsia" w:ascii="Times New Roman" w:hAnsi="Times New Roman" w:cs="Times New Roman"/>
          <w:color w:val="auto"/>
          <w:w w:val="99"/>
          <w:kern w:val="2"/>
          <w:highlight w:val="none"/>
          <w:lang w:val="en-US" w:eastAsia="zh-CN"/>
        </w:rPr>
        <w:t>达标后回注地下。</w:t>
      </w:r>
      <w:r>
        <w:rPr>
          <w:rFonts w:ascii="Times New Roman" w:hAnsi="Times New Roman" w:cs="Times New Roman"/>
          <w:bCs/>
          <w:color w:val="auto"/>
          <w:w w:val="99"/>
          <w:highlight w:val="none"/>
        </w:rPr>
        <w:t>根据产能开发方案，本项目气田采出水最大产生量为</w:t>
      </w:r>
      <w:r>
        <w:rPr>
          <w:rFonts w:hint="eastAsia" w:ascii="Times New Roman" w:hAnsi="Times New Roman" w:cs="Times New Roman"/>
          <w:bCs/>
          <w:color w:val="auto"/>
          <w:w w:val="99"/>
          <w:highlight w:val="none"/>
        </w:rPr>
        <w:t>3</w:t>
      </w:r>
      <w:r>
        <w:rPr>
          <w:rFonts w:ascii="Times New Roman" w:hAnsi="Times New Roman" w:cs="Times New Roman"/>
          <w:bCs/>
          <w:color w:val="auto"/>
          <w:w w:val="99"/>
          <w:highlight w:val="none"/>
        </w:rPr>
        <w:t>m</w:t>
      </w:r>
      <w:r>
        <w:rPr>
          <w:rFonts w:ascii="Times New Roman" w:hAnsi="Times New Roman" w:cs="Times New Roman"/>
          <w:bCs/>
          <w:color w:val="auto"/>
          <w:w w:val="99"/>
          <w:highlight w:val="none"/>
          <w:vertAlign w:val="superscript"/>
        </w:rPr>
        <w:t>3</w:t>
      </w:r>
      <w:r>
        <w:rPr>
          <w:rFonts w:ascii="Times New Roman" w:hAnsi="Times New Roman" w:cs="Times New Roman"/>
          <w:bCs/>
          <w:color w:val="auto"/>
          <w:w w:val="99"/>
          <w:highlight w:val="none"/>
        </w:rPr>
        <w:t>/d 。</w:t>
      </w:r>
    </w:p>
    <w:bookmarkEnd w:id="440"/>
    <w:p w14:paraId="13E11BE5">
      <w:pPr>
        <w:spacing w:line="500" w:lineRule="exact"/>
        <w:jc w:val="center"/>
        <w:rPr>
          <w:rFonts w:ascii="Times New Roman" w:hAnsi="Times New Roman" w:cs="Times New Roman"/>
          <w:b/>
          <w:bCs/>
          <w:color w:val="auto"/>
          <w:w w:val="99"/>
          <w:szCs w:val="20"/>
          <w:highlight w:val="none"/>
        </w:rPr>
      </w:pPr>
      <w:bookmarkStart w:id="441" w:name="_Toc69690824"/>
      <w:bookmarkStart w:id="442" w:name="_Toc67523606"/>
      <w:bookmarkStart w:id="443" w:name="_Toc5710034"/>
      <w:bookmarkStart w:id="444" w:name="_Toc61597234"/>
      <w:bookmarkStart w:id="445" w:name="_Toc74812328"/>
      <w:bookmarkStart w:id="446" w:name="_Toc71371957"/>
      <w:bookmarkStart w:id="447" w:name="_Toc13059819"/>
    </w:p>
    <w:p w14:paraId="3DF7E8B9">
      <w:pPr>
        <w:spacing w:line="500" w:lineRule="exact"/>
        <w:jc w:val="center"/>
        <w:rPr>
          <w:rFonts w:ascii="Times New Roman" w:hAnsi="Times New Roman" w:cs="Times New Roman"/>
          <w:b/>
          <w:bCs/>
          <w:color w:val="auto"/>
          <w:w w:val="99"/>
          <w:szCs w:val="20"/>
          <w:highlight w:val="none"/>
        </w:rPr>
      </w:pPr>
    </w:p>
    <w:p w14:paraId="6AA7D473">
      <w:pPr>
        <w:spacing w:line="500" w:lineRule="exact"/>
        <w:jc w:val="center"/>
        <w:rPr>
          <w:rFonts w:ascii="Times New Roman" w:hAnsi="Times New Roman" w:cs="Times New Roman"/>
          <w:b/>
          <w:bCs/>
          <w:color w:val="auto"/>
          <w:w w:val="99"/>
          <w:szCs w:val="20"/>
          <w:highlight w:val="none"/>
        </w:rPr>
      </w:pPr>
    </w:p>
    <w:p w14:paraId="438E3869">
      <w:pPr>
        <w:spacing w:line="500" w:lineRule="exact"/>
        <w:jc w:val="center"/>
        <w:rPr>
          <w:rFonts w:ascii="Times New Roman" w:hAnsi="Times New Roman" w:cs="Times New Roman"/>
          <w:b/>
          <w:bCs/>
          <w:color w:val="auto"/>
          <w:w w:val="99"/>
          <w:szCs w:val="20"/>
          <w:highlight w:val="none"/>
        </w:rPr>
      </w:pPr>
      <w:r>
        <w:rPr>
          <w:color w:val="auto"/>
          <w:highlight w:val="none"/>
        </w:rPr>
        <mc:AlternateContent>
          <mc:Choice Requires="wps">
            <w:drawing>
              <wp:anchor distT="0" distB="0" distL="114300" distR="114300" simplePos="0" relativeHeight="251670528" behindDoc="0" locked="0" layoutInCell="1" allowOverlap="1">
                <wp:simplePos x="0" y="0"/>
                <wp:positionH relativeFrom="column">
                  <wp:posOffset>3422015</wp:posOffset>
                </wp:positionH>
                <wp:positionV relativeFrom="paragraph">
                  <wp:posOffset>247015</wp:posOffset>
                </wp:positionV>
                <wp:extent cx="723265" cy="298450"/>
                <wp:effectExtent l="0" t="0" r="0" b="0"/>
                <wp:wrapNone/>
                <wp:docPr id="6" name="文本框 6"/>
                <wp:cNvGraphicFramePr/>
                <a:graphic xmlns:a="http://schemas.openxmlformats.org/drawingml/2006/main">
                  <a:graphicData uri="http://schemas.microsoft.com/office/word/2010/wordprocessingShape">
                    <wps:wsp>
                      <wps:cNvSpPr txBox="1"/>
                      <wps:spPr>
                        <a:xfrm>
                          <a:off x="0" y="0"/>
                          <a:ext cx="723265" cy="2984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5246C1">
                            <w:pPr>
                              <w:rPr>
                                <w:rFonts w:ascii="Times New Roman" w:hAnsi="Times New Roman" w:cs="Times New Roman"/>
                                <w:w w:val="99"/>
                                <w:sz w:val="21"/>
                                <w:szCs w:val="21"/>
                              </w:rPr>
                            </w:pPr>
                            <w:r>
                              <w:rPr>
                                <w:rFonts w:hint="eastAsia" w:ascii="Times New Roman" w:hAnsi="Times New Roman" w:cs="Times New Roman"/>
                                <w:w w:val="99"/>
                                <w:sz w:val="21"/>
                                <w:szCs w:val="21"/>
                              </w:rPr>
                              <w:t>4.17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9.45pt;margin-top:19.45pt;height:23.5pt;width:56.95pt;z-index:251670528;mso-width-relative:page;mso-height-relative:page;" filled="f" stroked="f" coordsize="21600,21600" o:gfxdata="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2DNBC9oAAAAJAQAADwAAAAAAAAABACAAAAAiAAAAZHJz&#10;L2Rvd25yZXYueG1sUEsBAhQAFAAAAAgAh07iQJ0fVjc7AgAAZQQAAA4AAAAAAAAAAQAgAAAAKQEA&#10;AGRycy9lMm9Eb2MueG1sUEsFBgAAAAAGAAYAWQEAANYFAAAAAA==&#10;">
                <v:fill on="f" focussize="0,0"/>
                <v:stroke on="f" weight="0.5pt"/>
                <v:imagedata o:title=""/>
                <o:lock v:ext="edit" aspectratio="f"/>
                <v:textbox>
                  <w:txbxContent>
                    <w:p w14:paraId="635246C1">
                      <w:pPr>
                        <w:rPr>
                          <w:rFonts w:ascii="Times New Roman" w:hAnsi="Times New Roman" w:cs="Times New Roman"/>
                          <w:w w:val="99"/>
                          <w:sz w:val="21"/>
                          <w:szCs w:val="21"/>
                        </w:rPr>
                      </w:pPr>
                      <w:r>
                        <w:rPr>
                          <w:rFonts w:hint="eastAsia" w:ascii="Times New Roman" w:hAnsi="Times New Roman" w:cs="Times New Roman"/>
                          <w:w w:val="99"/>
                          <w:sz w:val="21"/>
                          <w:szCs w:val="21"/>
                        </w:rPr>
                        <w:t>4.17</w:t>
                      </w:r>
                    </w:p>
                  </w:txbxContent>
                </v:textbox>
              </v:shape>
            </w:pict>
          </mc:Fallback>
        </mc:AlternateContent>
      </w:r>
    </w:p>
    <w:p w14:paraId="4216FEEB">
      <w:pPr>
        <w:spacing w:line="500" w:lineRule="exact"/>
        <w:jc w:val="center"/>
        <w:rPr>
          <w:rFonts w:ascii="Times New Roman" w:hAnsi="Times New Roman" w:cs="Times New Roman"/>
          <w:b/>
          <w:bCs/>
          <w:color w:val="auto"/>
          <w:w w:val="99"/>
          <w:szCs w:val="20"/>
          <w:highlight w:val="none"/>
        </w:rPr>
      </w:pPr>
    </w:p>
    <w:p w14:paraId="073E50FF">
      <w:pPr>
        <w:spacing w:line="500" w:lineRule="exact"/>
        <w:jc w:val="center"/>
        <w:rPr>
          <w:rFonts w:ascii="Times New Roman" w:hAnsi="Times New Roman" w:cs="Times New Roman"/>
          <w:b/>
          <w:bCs/>
          <w:color w:val="auto"/>
          <w:w w:val="99"/>
          <w:szCs w:val="20"/>
          <w:highlight w:val="none"/>
        </w:rPr>
      </w:pPr>
      <w:r>
        <w:rPr>
          <w:color w:val="auto"/>
          <w:highlight w:val="none"/>
        </w:rPr>
        <mc:AlternateContent>
          <mc:Choice Requires="wpg">
            <w:drawing>
              <wp:inline distT="0" distB="0" distL="114300" distR="114300">
                <wp:extent cx="5524500" cy="1683385"/>
                <wp:effectExtent l="0" t="0" r="0" b="0"/>
                <wp:docPr id="9" name="组合 9"/>
                <wp:cNvGraphicFramePr/>
                <a:graphic xmlns:a="http://schemas.openxmlformats.org/drawingml/2006/main">
                  <a:graphicData uri="http://schemas.microsoft.com/office/word/2010/wordprocessingGroup">
                    <wpg:wgp>
                      <wpg:cNvGrpSpPr/>
                      <wpg:grpSpPr>
                        <a:xfrm>
                          <a:off x="0" y="0"/>
                          <a:ext cx="5524500" cy="1683385"/>
                          <a:chOff x="2186" y="2590703"/>
                          <a:chExt cx="8700" cy="2651"/>
                        </a:xfrm>
                      </wpg:grpSpPr>
                      <wps:wsp>
                        <wps:cNvPr id="101" name="直接箭头连接符 101"/>
                        <wps:cNvCnPr/>
                        <wps:spPr>
                          <a:xfrm>
                            <a:off x="2361" y="2592120"/>
                            <a:ext cx="906" cy="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06" name="文本框 106"/>
                        <wps:cNvSpPr txBox="1"/>
                        <wps:spPr>
                          <a:xfrm>
                            <a:off x="4170" y="2591248"/>
                            <a:ext cx="1139" cy="470"/>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29A8A05">
                              <w:pPr>
                                <w:rPr>
                                  <w:rFonts w:hint="eastAsia"/>
                                  <w:w w:val="99"/>
                                  <w:sz w:val="21"/>
                                  <w:szCs w:val="21"/>
                                </w:rPr>
                              </w:pPr>
                              <w:r>
                                <w:rPr>
                                  <w:rFonts w:hint="eastAsia"/>
                                  <w:w w:val="99"/>
                                  <w:sz w:val="21"/>
                                  <w:szCs w:val="21"/>
                                </w:rPr>
                                <w:t>生活用水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7" name="文本框 107"/>
                        <wps:cNvSpPr txBox="1"/>
                        <wps:spPr>
                          <a:xfrm>
                            <a:off x="4144" y="2592519"/>
                            <a:ext cx="1139" cy="470"/>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739B070">
                              <w:pPr>
                                <w:rPr>
                                  <w:rFonts w:hint="eastAsia"/>
                                  <w:w w:val="99"/>
                                  <w:sz w:val="21"/>
                                  <w:szCs w:val="21"/>
                                </w:rPr>
                              </w:pPr>
                              <w:r>
                                <w:rPr>
                                  <w:rFonts w:hint="eastAsia"/>
                                  <w:w w:val="99"/>
                                  <w:sz w:val="21"/>
                                  <w:szCs w:val="21"/>
                                </w:rPr>
                                <w:t>试压用水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2" name="直接箭头连接符 112"/>
                        <wps:cNvCnPr/>
                        <wps:spPr>
                          <a:xfrm>
                            <a:off x="3283" y="2591488"/>
                            <a:ext cx="906" cy="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25" name="直接箭头连接符 125"/>
                        <wps:cNvCnPr/>
                        <wps:spPr>
                          <a:xfrm>
                            <a:off x="3220" y="2592692"/>
                            <a:ext cx="906" cy="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27" name="直接连接符 127"/>
                        <wps:cNvCnPr/>
                        <wps:spPr>
                          <a:xfrm>
                            <a:off x="3275" y="2591474"/>
                            <a:ext cx="3" cy="1197"/>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32" name="直接箭头连接符 132"/>
                        <wps:cNvCnPr/>
                        <wps:spPr>
                          <a:xfrm>
                            <a:off x="5358" y="2591485"/>
                            <a:ext cx="906" cy="0"/>
                          </a:xfrm>
                          <a:prstGeom prst="straightConnector1">
                            <a:avLst/>
                          </a:prstGeom>
                          <a:ln>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133" name="直接箭头连接符 133"/>
                        <wps:cNvCnPr/>
                        <wps:spPr>
                          <a:xfrm>
                            <a:off x="5326" y="2592750"/>
                            <a:ext cx="906" cy="0"/>
                          </a:xfrm>
                          <a:prstGeom prst="straightConnector1">
                            <a:avLst/>
                          </a:prstGeom>
                          <a:ln>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134" name="文本框 134"/>
                        <wps:cNvSpPr txBox="1"/>
                        <wps:spPr>
                          <a:xfrm>
                            <a:off x="6309" y="2591279"/>
                            <a:ext cx="1139" cy="470"/>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AD37D42">
                              <w:pPr>
                                <w:rPr>
                                  <w:rFonts w:hint="eastAsia"/>
                                  <w:w w:val="99"/>
                                  <w:sz w:val="21"/>
                                  <w:szCs w:val="21"/>
                                </w:rPr>
                              </w:pPr>
                              <w:r>
                                <w:rPr>
                                  <w:rFonts w:hint="eastAsia"/>
                                  <w:w w:val="99"/>
                                  <w:sz w:val="21"/>
                                  <w:szCs w:val="21"/>
                                </w:rPr>
                                <w:t>生活污水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5" name="文本框 135"/>
                        <wps:cNvSpPr txBox="1"/>
                        <wps:spPr>
                          <a:xfrm>
                            <a:off x="6252" y="2592534"/>
                            <a:ext cx="1139" cy="470"/>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31333D0">
                              <w:pPr>
                                <w:rPr>
                                  <w:rFonts w:hint="eastAsia"/>
                                  <w:w w:val="99"/>
                                  <w:sz w:val="21"/>
                                  <w:szCs w:val="21"/>
                                </w:rPr>
                              </w:pPr>
                              <w:r>
                                <w:rPr>
                                  <w:rFonts w:hint="eastAsia"/>
                                  <w:w w:val="99"/>
                                  <w:sz w:val="21"/>
                                  <w:szCs w:val="21"/>
                                </w:rPr>
                                <w:t>试压废水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4" name="直接箭头连接符 144"/>
                        <wps:cNvCnPr/>
                        <wps:spPr>
                          <a:xfrm>
                            <a:off x="7489" y="2591521"/>
                            <a:ext cx="906" cy="0"/>
                          </a:xfrm>
                          <a:prstGeom prst="straightConnector1">
                            <a:avLst/>
                          </a:prstGeom>
                          <a:ln>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158" name="直接箭头连接符 158"/>
                        <wps:cNvCnPr/>
                        <wps:spPr>
                          <a:xfrm>
                            <a:off x="7411" y="2592772"/>
                            <a:ext cx="906" cy="0"/>
                          </a:xfrm>
                          <a:prstGeom prst="straightConnector1">
                            <a:avLst/>
                          </a:prstGeom>
                          <a:ln>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162" name="文本框 162"/>
                        <wps:cNvSpPr txBox="1"/>
                        <wps:spPr>
                          <a:xfrm>
                            <a:off x="3300" y="2591050"/>
                            <a:ext cx="1139" cy="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869D9B">
                              <w:pPr>
                                <w:rPr>
                                  <w:rFonts w:ascii="Times New Roman" w:hAnsi="Times New Roman" w:cs="Times New Roman"/>
                                  <w:w w:val="99"/>
                                  <w:sz w:val="21"/>
                                  <w:szCs w:val="21"/>
                                </w:rPr>
                              </w:pPr>
                              <w:r>
                                <w:rPr>
                                  <w:rFonts w:hint="eastAsia" w:ascii="Times New Roman" w:hAnsi="Times New Roman" w:cs="Times New Roman"/>
                                  <w:w w:val="99"/>
                                  <w:sz w:val="21"/>
                                  <w:szCs w:val="21"/>
                                </w:rPr>
                                <w:t>720</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63" name="文本框 163"/>
                        <wps:cNvSpPr txBox="1"/>
                        <wps:spPr>
                          <a:xfrm>
                            <a:off x="3300" y="2592254"/>
                            <a:ext cx="1139" cy="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2747CE">
                              <w:pPr>
                                <w:rPr>
                                  <w:rFonts w:ascii="Times New Roman" w:hAnsi="Times New Roman" w:cs="Times New Roman"/>
                                  <w:w w:val="99"/>
                                  <w:sz w:val="21"/>
                                  <w:szCs w:val="21"/>
                                </w:rPr>
                              </w:pPr>
                              <w:r>
                                <w:rPr>
                                  <w:rFonts w:hint="eastAsia" w:ascii="Times New Roman" w:hAnsi="Times New Roman" w:cs="Times New Roman"/>
                                  <w:w w:val="99"/>
                                  <w:sz w:val="21"/>
                                  <w:szCs w:val="21"/>
                                </w:rPr>
                                <w:t>4.39</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70" name="曲线连接符 170"/>
                        <wps:cNvCnPr/>
                        <wps:spPr>
                          <a:xfrm rot="16200000">
                            <a:off x="4769" y="2590926"/>
                            <a:ext cx="194" cy="430"/>
                          </a:xfrm>
                          <a:prstGeom prst="curvedConnector2">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72" name="曲线连接符 172"/>
                        <wps:cNvCnPr/>
                        <wps:spPr>
                          <a:xfrm rot="16200000">
                            <a:off x="4769" y="2592192"/>
                            <a:ext cx="194" cy="430"/>
                          </a:xfrm>
                          <a:prstGeom prst="curvedConnector2">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79" name="文本框 179"/>
                        <wps:cNvSpPr txBox="1"/>
                        <wps:spPr>
                          <a:xfrm>
                            <a:off x="5384" y="2591102"/>
                            <a:ext cx="1139" cy="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3E852B">
                              <w:pPr>
                                <w:rPr>
                                  <w:rFonts w:ascii="Times New Roman" w:hAnsi="Times New Roman" w:cs="Times New Roman"/>
                                  <w:w w:val="99"/>
                                  <w:sz w:val="21"/>
                                  <w:szCs w:val="21"/>
                                </w:rPr>
                              </w:pPr>
                              <w:r>
                                <w:rPr>
                                  <w:rFonts w:hint="eastAsia" w:ascii="Times New Roman" w:hAnsi="Times New Roman" w:cs="Times New Roman"/>
                                  <w:w w:val="99"/>
                                  <w:sz w:val="21"/>
                                  <w:szCs w:val="21"/>
                                </w:rPr>
                                <w:t>576</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80" name="文本框 180"/>
                        <wps:cNvSpPr txBox="1"/>
                        <wps:spPr>
                          <a:xfrm>
                            <a:off x="5045" y="2590703"/>
                            <a:ext cx="1733" cy="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762473">
                              <w:pPr>
                                <w:rPr>
                                  <w:rFonts w:ascii="Times New Roman" w:hAnsi="Times New Roman" w:cs="Times New Roman"/>
                                  <w:w w:val="99"/>
                                  <w:sz w:val="21"/>
                                  <w:szCs w:val="21"/>
                                </w:rPr>
                              </w:pPr>
                              <w:r>
                                <w:rPr>
                                  <w:rFonts w:hint="eastAsia" w:ascii="Times New Roman" w:hAnsi="Times New Roman" w:cs="Times New Roman"/>
                                  <w:w w:val="99"/>
                                  <w:sz w:val="21"/>
                                  <w:szCs w:val="21"/>
                                </w:rPr>
                                <w:t>消耗144</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86" name="文本框 186"/>
                        <wps:cNvSpPr txBox="1"/>
                        <wps:spPr>
                          <a:xfrm>
                            <a:off x="8348" y="2590793"/>
                            <a:ext cx="2538" cy="153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AC44EC">
                              <w:pPr>
                                <w:rPr>
                                  <w:rFonts w:hint="eastAsia"/>
                                  <w:w w:val="99"/>
                                  <w:sz w:val="21"/>
                                  <w:szCs w:val="21"/>
                                </w:rPr>
                              </w:pPr>
                              <w:r>
                                <w:rPr>
                                  <w:rFonts w:hint="eastAsia" w:ascii="Times New Roman" w:hAnsi="Times New Roman" w:cs="Times New Roman"/>
                                  <w:w w:val="99"/>
                                  <w:sz w:val="21"/>
                                  <w:szCs w:val="21"/>
                                </w:rPr>
                                <w:t>由大庆石油管理局有限公司庆南工矿服务公司红岗分公司拉运至大庆红岗区西巷污水回收站，管输至南区污水处理厂</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81" name="文本框 181"/>
                        <wps:cNvSpPr txBox="1"/>
                        <wps:spPr>
                          <a:xfrm>
                            <a:off x="7467" y="2591201"/>
                            <a:ext cx="1139" cy="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18E82E">
                              <w:pPr>
                                <w:rPr>
                                  <w:rFonts w:ascii="Times New Roman" w:hAnsi="Times New Roman" w:cs="Times New Roman"/>
                                  <w:w w:val="99"/>
                                  <w:sz w:val="21"/>
                                  <w:szCs w:val="21"/>
                                </w:rPr>
                              </w:pPr>
                              <w:r>
                                <w:rPr>
                                  <w:rFonts w:hint="eastAsia" w:ascii="Times New Roman" w:hAnsi="Times New Roman" w:cs="Times New Roman"/>
                                  <w:w w:val="99"/>
                                  <w:sz w:val="21"/>
                                  <w:szCs w:val="21"/>
                                </w:rPr>
                                <w:t>576</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82" name="文本框 182"/>
                        <wps:cNvSpPr txBox="1"/>
                        <wps:spPr>
                          <a:xfrm>
                            <a:off x="5337" y="2592337"/>
                            <a:ext cx="1139" cy="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CD221D">
                              <w:pPr>
                                <w:rPr>
                                  <w:rFonts w:ascii="Times New Roman" w:hAnsi="Times New Roman" w:cs="Times New Roman"/>
                                  <w:w w:val="99"/>
                                  <w:sz w:val="21"/>
                                  <w:szCs w:val="21"/>
                                </w:rPr>
                              </w:pPr>
                              <w:r>
                                <w:rPr>
                                  <w:rFonts w:hint="eastAsia" w:ascii="Times New Roman" w:hAnsi="Times New Roman" w:cs="Times New Roman"/>
                                  <w:w w:val="99"/>
                                  <w:sz w:val="21"/>
                                  <w:szCs w:val="21"/>
                                </w:rPr>
                                <w:t>4.17</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93" name="文本框 193"/>
                        <wps:cNvSpPr txBox="1"/>
                        <wps:spPr>
                          <a:xfrm>
                            <a:off x="2224" y="2591576"/>
                            <a:ext cx="1139" cy="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7930CB">
                              <w:pPr>
                                <w:rPr>
                                  <w:rFonts w:ascii="Times New Roman" w:hAnsi="Times New Roman" w:cs="Times New Roman"/>
                                  <w:w w:val="99"/>
                                  <w:sz w:val="21"/>
                                  <w:szCs w:val="21"/>
                                </w:rPr>
                              </w:pPr>
                              <w:r>
                                <w:rPr>
                                  <w:rFonts w:hint="eastAsia" w:ascii="Times New Roman" w:hAnsi="Times New Roman" w:cs="Times New Roman"/>
                                  <w:w w:val="99"/>
                                  <w:sz w:val="21"/>
                                  <w:szCs w:val="21"/>
                                </w:rPr>
                                <w:t>724.39</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83" name="文本框 183"/>
                        <wps:cNvSpPr txBox="1"/>
                        <wps:spPr>
                          <a:xfrm>
                            <a:off x="5077" y="2592030"/>
                            <a:ext cx="1530" cy="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1B6D70">
                              <w:pPr>
                                <w:rPr>
                                  <w:rFonts w:ascii="Times New Roman" w:hAnsi="Times New Roman" w:cs="Times New Roman"/>
                                  <w:w w:val="99"/>
                                  <w:sz w:val="21"/>
                                  <w:szCs w:val="21"/>
                                </w:rPr>
                              </w:pPr>
                              <w:r>
                                <w:rPr>
                                  <w:rFonts w:hint="eastAsia" w:ascii="Times New Roman" w:hAnsi="Times New Roman" w:cs="Times New Roman"/>
                                  <w:w w:val="99"/>
                                  <w:sz w:val="21"/>
                                  <w:szCs w:val="21"/>
                                </w:rPr>
                                <w:t>消耗0.22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89" name="文本框 189"/>
                        <wps:cNvSpPr txBox="1"/>
                        <wps:spPr>
                          <a:xfrm>
                            <a:off x="8383" y="2592257"/>
                            <a:ext cx="1890" cy="109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1D42C2">
                              <w:pPr>
                                <w:rPr>
                                  <w:rFonts w:hint="eastAsia"/>
                                  <w:w w:val="99"/>
                                  <w:sz w:val="21"/>
                                  <w:szCs w:val="21"/>
                                </w:rPr>
                              </w:pPr>
                              <w:r>
                                <w:rPr>
                                  <w:w w:val="99"/>
                                  <w:sz w:val="21"/>
                                  <w:szCs w:val="21"/>
                                </w:rPr>
                                <w:t>由罐车拉运升一联气田污水预处理站处理</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94" name="文本框 194"/>
                        <wps:cNvSpPr txBox="1"/>
                        <wps:spPr>
                          <a:xfrm>
                            <a:off x="2186" y="2592199"/>
                            <a:ext cx="1139" cy="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C75460">
                              <w:pPr>
                                <w:rPr>
                                  <w:rFonts w:ascii="Times New Roman" w:hAnsi="Times New Roman" w:cs="Times New Roman"/>
                                  <w:w w:val="99"/>
                                  <w:sz w:val="21"/>
                                  <w:szCs w:val="21"/>
                                </w:rPr>
                              </w:pPr>
                              <w:r>
                                <w:rPr>
                                  <w:rFonts w:hint="eastAsia" w:ascii="Times New Roman" w:hAnsi="Times New Roman" w:cs="Times New Roman"/>
                                  <w:w w:val="99"/>
                                  <w:sz w:val="21"/>
                                  <w:szCs w:val="21"/>
                                </w:rPr>
                                <w:t>新鲜水</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inline>
            </w:drawing>
          </mc:Choice>
          <mc:Fallback>
            <w:pict>
              <v:group id="_x0000_s1026" o:spid="_x0000_s1026" o:spt="203" style="height:132.55pt;width:435pt;" coordorigin="2186,2590703" coordsize="8700,2651" o:gfxdata="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">
                <o:lock v:ext="edit" aspectratio="f"/>
                <v:shape id="_x0000_s1026" o:spid="_x0000_s1026" o:spt="32" type="#_x0000_t32" style="position:absolute;left:2361;top:2592120;height:0;width:906;" filled="f" stroked="t" coordsize="21600,21600" o:gfxdata="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7fpO65AAAA3AAA&#10;AA8AAAAAAAAAAQAgAAAAIgAAAGRycy9kb3ducmV2LnhtbFBLAQIUABQAAAAIAIdO4kAzLwWeOwAA&#10;ADkAAAAQAAAAAAAAAAEAIAAAAAgBAABkcnMvc2hhcGV4bWwueG1sUEsFBgAAAAAGAAYAWwEAALID&#10;AAAAAA==&#10;">
                  <v:fill on="f" focussize="0,0"/>
                  <v:stroke weight="1pt" color="#000000 [3213]" miterlimit="8" joinstyle="miter" endarrow="open"/>
                  <v:imagedata o:title=""/>
                  <o:lock v:ext="edit" aspectratio="f"/>
                </v:shape>
                <v:shape id="_x0000_s1026" o:spid="_x0000_s1026" o:spt="202" type="#_x0000_t202" style="position:absolute;left:4170;top:2591248;height:470;width:1139;" filled="f" stroked="t" coordsize="21600,21600" o:gfxdata="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Fh2IvQAA&#10;ANwAAAAPAAAAAAAAAAEAIAAAACIAAABkcnMvZG93bnJldi54bWxQSwECFAAUAAAACACHTuJAMy8F&#10;njsAAAA5AAAAEAAAAAAAAAABACAAAAAMAQAAZHJzL3NoYXBleG1sLnhtbFBLBQYAAAAABgAGAFsB&#10;AAC2AwAAAAA=&#10;">
                  <v:fill on="f" focussize="0,0"/>
                  <v:stroke weight="0.5pt" color="#000000 [3204]" joinstyle="round"/>
                  <v:imagedata o:title=""/>
                  <o:lock v:ext="edit" aspectratio="f"/>
                  <v:textbox>
                    <w:txbxContent>
                      <w:p w14:paraId="229A8A05">
                        <w:pPr>
                          <w:rPr>
                            <w:rFonts w:hint="eastAsia"/>
                            <w:w w:val="99"/>
                            <w:sz w:val="21"/>
                            <w:szCs w:val="21"/>
                          </w:rPr>
                        </w:pPr>
                        <w:r>
                          <w:rPr>
                            <w:rFonts w:hint="eastAsia"/>
                            <w:w w:val="99"/>
                            <w:sz w:val="21"/>
                            <w:szCs w:val="21"/>
                          </w:rPr>
                          <w:t>生活用水</w:t>
                        </w:r>
                      </w:p>
                    </w:txbxContent>
                  </v:textbox>
                </v:shape>
                <v:shape id="_x0000_s1026" o:spid="_x0000_s1026" o:spt="202" type="#_x0000_t202" style="position:absolute;left:4144;top:2592519;height:470;width:1139;" filled="f" stroked="t" coordsize="21600,21600" o:gfxdata="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WrgTvQAA&#10;ANwAAAAPAAAAAAAAAAEAIAAAACIAAABkcnMvZG93bnJldi54bWxQSwECFAAUAAAACACHTuJAMy8F&#10;njsAAAA5AAAAEAAAAAAAAAABACAAAAAMAQAAZHJzL3NoYXBleG1sLnhtbFBLBQYAAAAABgAGAFsB&#10;AAC2AwAAAAA=&#10;">
                  <v:fill on="f" focussize="0,0"/>
                  <v:stroke weight="0.5pt" color="#000000 [3204]" joinstyle="round"/>
                  <v:imagedata o:title=""/>
                  <o:lock v:ext="edit" aspectratio="f"/>
                  <v:textbox>
                    <w:txbxContent>
                      <w:p w14:paraId="2739B070">
                        <w:pPr>
                          <w:rPr>
                            <w:rFonts w:hint="eastAsia"/>
                            <w:w w:val="99"/>
                            <w:sz w:val="21"/>
                            <w:szCs w:val="21"/>
                          </w:rPr>
                        </w:pPr>
                        <w:r>
                          <w:rPr>
                            <w:rFonts w:hint="eastAsia"/>
                            <w:w w:val="99"/>
                            <w:sz w:val="21"/>
                            <w:szCs w:val="21"/>
                          </w:rPr>
                          <w:t>试压用水</w:t>
                        </w:r>
                      </w:p>
                    </w:txbxContent>
                  </v:textbox>
                </v:shape>
                <v:shape id="_x0000_s1026" o:spid="_x0000_s1026" o:spt="32" type="#_x0000_t32" style="position:absolute;left:3283;top:2591488;height:0;width:906;" filled="f" stroked="t" coordsize="21600,21600" o:gfxdata="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vUrES5AAAA3AAA&#10;AA8AAAAAAAAAAQAgAAAAIgAAAGRycy9kb3ducmV2LnhtbFBLAQIUABQAAAAIAIdO4kAzLwWeOwAA&#10;ADkAAAAQAAAAAAAAAAEAIAAAAAgBAABkcnMvc2hhcGV4bWwueG1sUEsFBgAAAAAGAAYAWwEAALID&#10;AAAAAA==&#10;">
                  <v:fill on="f" focussize="0,0"/>
                  <v:stroke weight="1pt" color="#000000 [3213]" miterlimit="8" joinstyle="miter" endarrow="open"/>
                  <v:imagedata o:title=""/>
                  <o:lock v:ext="edit" aspectratio="f"/>
                </v:shape>
                <v:shape id="_x0000_s1026" o:spid="_x0000_s1026" o:spt="32" type="#_x0000_t32" style="position:absolute;left:3220;top:2592692;height:0;width:906;" filled="f" stroked="t" coordsize="21600,21600" o:gfxdata="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pR/o25AAAA3AAA&#10;AA8AAAAAAAAAAQAgAAAAIgAAAGRycy9kb3ducmV2LnhtbFBLAQIUABQAAAAIAIdO4kAzLwWeOwAA&#10;ADkAAAAQAAAAAAAAAAEAIAAAAAgBAABkcnMvc2hhcGV4bWwueG1sUEsFBgAAAAAGAAYAWwEAALID&#10;AAAAAA==&#10;">
                  <v:fill on="f" focussize="0,0"/>
                  <v:stroke weight="1pt" color="#000000 [3213]" miterlimit="8" joinstyle="miter" endarrow="open"/>
                  <v:imagedata o:title=""/>
                  <o:lock v:ext="edit" aspectratio="f"/>
                </v:shape>
                <v:line id="_x0000_s1026" o:spid="_x0000_s1026" o:spt="20" style="position:absolute;left:3275;top:2591474;height:1197;width:3;" filled="f" stroked="t" coordsize="21600,21600" o:gfxdata="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YstNvQAA&#10;ANw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line>
                <v:shape id="_x0000_s1026" o:spid="_x0000_s1026" o:spt="32" type="#_x0000_t32" style="position:absolute;left:5358;top:2591485;height:0;width:906;" filled="f" stroked="t" coordsize="21600,21600" o:gfxdata="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8D8UbsAAADc&#10;AAAADwAAAAAAAAABACAAAAAiAAAAZHJzL2Rvd25yZXYueG1sUEsBAhQAFAAAAAgAh07iQDMvBZ47&#10;AAAAOQAAABAAAAAAAAAAAQAgAAAACgEAAGRycy9zaGFwZXhtbC54bWxQSwUGAAAAAAYABgBbAQAA&#10;tAMAAAAA&#10;">
                  <v:fill on="f" focussize="0,0"/>
                  <v:stroke weight="1pt" color="#000000 [3213]" miterlimit="8" joinstyle="miter" dashstyle="dash" endarrow="open"/>
                  <v:imagedata o:title=""/>
                  <o:lock v:ext="edit" aspectratio="f"/>
                </v:shape>
                <v:shape id="_x0000_s1026" o:spid="_x0000_s1026" o:spt="32" type="#_x0000_t32" style="position:absolute;left:5326;top:2592750;height:0;width:906;" filled="f" stroked="t" coordsize="21600,21600" o:gfxdata="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iMWcq8AAAA&#10;3AAAAA8AAAAAAAAAAQAgAAAAIgAAAGRycy9kb3ducmV2LnhtbFBLAQIUABQAAAAIAIdO4kAzLwWe&#10;OwAAADkAAAAQAAAAAAAAAAEAIAAAAAsBAABkcnMvc2hhcGV4bWwueG1sUEsFBgAAAAAGAAYAWwEA&#10;ALUDAAAAAA==&#10;">
                  <v:fill on="f" focussize="0,0"/>
                  <v:stroke weight="1pt" color="#000000 [3213]" miterlimit="8" joinstyle="miter" dashstyle="dash" endarrow="open"/>
                  <v:imagedata o:title=""/>
                  <o:lock v:ext="edit" aspectratio="f"/>
                </v:shape>
                <v:shape id="_x0000_s1026" o:spid="_x0000_s1026" o:spt="202" type="#_x0000_t202" style="position:absolute;left:6309;top:2591279;height:470;width:1139;" filled="f" stroked="t" coordsize="21600,21600" o:gfxdata="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OTs2b4A&#10;AADcAAAADwAAAAAAAAABACAAAAAiAAAAZHJzL2Rvd25yZXYueG1sUEsBAhQAFAAAAAgAh07iQDMv&#10;BZ47AAAAOQAAABAAAAAAAAAAAQAgAAAADQEAAGRycy9zaGFwZXhtbC54bWxQSwUGAAAAAAYABgBb&#10;AQAAtwMAAAAA&#10;">
                  <v:fill on="f" focussize="0,0"/>
                  <v:stroke weight="0.5pt" color="#000000 [3204]" joinstyle="round"/>
                  <v:imagedata o:title=""/>
                  <o:lock v:ext="edit" aspectratio="f"/>
                  <v:textbox>
                    <w:txbxContent>
                      <w:p w14:paraId="0AD37D42">
                        <w:pPr>
                          <w:rPr>
                            <w:rFonts w:hint="eastAsia"/>
                            <w:w w:val="99"/>
                            <w:sz w:val="21"/>
                            <w:szCs w:val="21"/>
                          </w:rPr>
                        </w:pPr>
                        <w:r>
                          <w:rPr>
                            <w:rFonts w:hint="eastAsia"/>
                            <w:w w:val="99"/>
                            <w:sz w:val="21"/>
                            <w:szCs w:val="21"/>
                          </w:rPr>
                          <w:t>生活污水</w:t>
                        </w:r>
                      </w:p>
                    </w:txbxContent>
                  </v:textbox>
                </v:shape>
                <v:shape id="_x0000_s1026" o:spid="_x0000_s1026" o:spt="202" type="#_x0000_t202" style="position:absolute;left:6252;top:2592534;height:470;width:1139;" filled="f" stroked="t" coordsize="21600,21600" o:gfxdata="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6hJQr4A&#10;AADcAAAADwAAAAAAAAABACAAAAAiAAAAZHJzL2Rvd25yZXYueG1sUEsBAhQAFAAAAAgAh07iQDMv&#10;BZ47AAAAOQAAABAAAAAAAAAAAQAgAAAADQEAAGRycy9zaGFwZXhtbC54bWxQSwUGAAAAAAYABgBb&#10;AQAAtwMAAAAA&#10;">
                  <v:fill on="f" focussize="0,0"/>
                  <v:stroke weight="0.5pt" color="#000000 [3204]" joinstyle="round"/>
                  <v:imagedata o:title=""/>
                  <o:lock v:ext="edit" aspectratio="f"/>
                  <v:textbox>
                    <w:txbxContent>
                      <w:p w14:paraId="331333D0">
                        <w:pPr>
                          <w:rPr>
                            <w:rFonts w:hint="eastAsia"/>
                            <w:w w:val="99"/>
                            <w:sz w:val="21"/>
                            <w:szCs w:val="21"/>
                          </w:rPr>
                        </w:pPr>
                        <w:r>
                          <w:rPr>
                            <w:rFonts w:hint="eastAsia"/>
                            <w:w w:val="99"/>
                            <w:sz w:val="21"/>
                            <w:szCs w:val="21"/>
                          </w:rPr>
                          <w:t>试压废水</w:t>
                        </w:r>
                      </w:p>
                    </w:txbxContent>
                  </v:textbox>
                </v:shape>
                <v:shape id="_x0000_s1026" o:spid="_x0000_s1026" o:spt="32" type="#_x0000_t32" style="position:absolute;left:7489;top:2591521;height:0;width:906;" filled="f" stroked="t" coordsize="21600,21600" o:gfxdata="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9jssO8AAAA&#10;3AAAAA8AAAAAAAAAAQAgAAAAIgAAAGRycy9kb3ducmV2LnhtbFBLAQIUABQAAAAIAIdO4kAzLwWe&#10;OwAAADkAAAAQAAAAAAAAAAEAIAAAAAsBAABkcnMvc2hhcGV4bWwueG1sUEsFBgAAAAAGAAYAWwEA&#10;ALUDAAAAAA==&#10;">
                  <v:fill on="f" focussize="0,0"/>
                  <v:stroke weight="1pt" color="#000000 [3213]" miterlimit="8" joinstyle="miter" dashstyle="dash" endarrow="open"/>
                  <v:imagedata o:title=""/>
                  <o:lock v:ext="edit" aspectratio="f"/>
                </v:shape>
                <v:shape id="_x0000_s1026" o:spid="_x0000_s1026" o:spt="32" type="#_x0000_t32" style="position:absolute;left:7411;top:2592772;height:0;width:906;" filled="f" stroked="t" coordsize="21600,21600" o:gfxdata="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cuG74A&#10;AADcAAAADwAAAAAAAAABACAAAAAiAAAAZHJzL2Rvd25yZXYueG1sUEsBAhQAFAAAAAgAh07iQDMv&#10;BZ47AAAAOQAAABAAAAAAAAAAAQAgAAAADQEAAGRycy9zaGFwZXhtbC54bWxQSwUGAAAAAAYABgBb&#10;AQAAtwMAAAAA&#10;">
                  <v:fill on="f" focussize="0,0"/>
                  <v:stroke weight="1pt" color="#000000 [3213]" miterlimit="8" joinstyle="miter" dashstyle="dash" endarrow="open"/>
                  <v:imagedata o:title=""/>
                  <o:lock v:ext="edit" aspectratio="f"/>
                </v:shape>
                <v:shape id="_x0000_s1026" o:spid="_x0000_s1026" o:spt="202" type="#_x0000_t202" style="position:absolute;left:3300;top:2591050;height:470;width:1139;" filled="f" stroked="f" coordsize="21600,21600" o:gfxdata="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YvTwr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56869D9B">
                        <w:pPr>
                          <w:rPr>
                            <w:rFonts w:ascii="Times New Roman" w:hAnsi="Times New Roman" w:cs="Times New Roman"/>
                            <w:w w:val="99"/>
                            <w:sz w:val="21"/>
                            <w:szCs w:val="21"/>
                          </w:rPr>
                        </w:pPr>
                        <w:r>
                          <w:rPr>
                            <w:rFonts w:hint="eastAsia" w:ascii="Times New Roman" w:hAnsi="Times New Roman" w:cs="Times New Roman"/>
                            <w:w w:val="99"/>
                            <w:sz w:val="21"/>
                            <w:szCs w:val="21"/>
                          </w:rPr>
                          <w:t>720</w:t>
                        </w:r>
                      </w:p>
                    </w:txbxContent>
                  </v:textbox>
                </v:shape>
                <v:shape id="_x0000_s1026" o:spid="_x0000_s1026" o:spt="202" type="#_x0000_t202" style="position:absolute;left:3300;top:2592254;height:470;width:1139;" filled="f" stroked="f" coordsize="21600,21600" o:gfxdata="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LHdlm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492747CE">
                        <w:pPr>
                          <w:rPr>
                            <w:rFonts w:ascii="Times New Roman" w:hAnsi="Times New Roman" w:cs="Times New Roman"/>
                            <w:w w:val="99"/>
                            <w:sz w:val="21"/>
                            <w:szCs w:val="21"/>
                          </w:rPr>
                        </w:pPr>
                        <w:r>
                          <w:rPr>
                            <w:rFonts w:hint="eastAsia" w:ascii="Times New Roman" w:hAnsi="Times New Roman" w:cs="Times New Roman"/>
                            <w:w w:val="99"/>
                            <w:sz w:val="21"/>
                            <w:szCs w:val="21"/>
                          </w:rPr>
                          <w:t>4.39</w:t>
                        </w:r>
                      </w:p>
                    </w:txbxContent>
                  </v:textbox>
                </v:shape>
                <v:shape id="_x0000_s1026" o:spid="_x0000_s1026" o:spt="37" type="#_x0000_t37" style="position:absolute;left:4769;top:2590926;height:430;width:194;rotation:-5898240f;" filled="f" stroked="t" coordsize="21600,21600" o:gfxdata="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1pt1O/&#10;AAAA3AAAAA8AAAAAAAAAAQAgAAAAIgAAAGRycy9kb3ducmV2LnhtbFBLAQIUABQAAAAIAIdO4kAz&#10;LwWeOwAAADkAAAAQAAAAAAAAAAEAIAAAAA4BAABkcnMvc2hhcGV4bWwueG1sUEsFBgAAAAAGAAYA&#10;WwEAALgDAAAAAA==&#10;">
                  <v:fill on="f" focussize="0,0"/>
                  <v:stroke weight="1pt" color="#000000 [3213]" miterlimit="8" joinstyle="miter" endarrow="open"/>
                  <v:imagedata o:title=""/>
                  <o:lock v:ext="edit" aspectratio="f"/>
                </v:shape>
                <v:shape id="_x0000_s1026" o:spid="_x0000_s1026" o:spt="37" type="#_x0000_t37" style="position:absolute;left:4769;top:2592192;height:430;width:194;rotation:-5898240f;" filled="f" stroked="t" coordsize="21600,21600" o:gfxdata="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L3jL+8AAAA&#10;3AAAAA8AAAAAAAAAAQAgAAAAIgAAAGRycy9kb3ducmV2LnhtbFBLAQIUABQAAAAIAIdO4kAzLwWe&#10;OwAAADkAAAAQAAAAAAAAAAEAIAAAAAsBAABkcnMvc2hhcGV4bWwueG1sUEsFBgAAAAAGAAYAWwEA&#10;ALUDAAAAAA==&#10;">
                  <v:fill on="f" focussize="0,0"/>
                  <v:stroke weight="1pt" color="#000000 [3213]" miterlimit="8" joinstyle="miter" endarrow="open"/>
                  <v:imagedata o:title=""/>
                  <o:lock v:ext="edit" aspectratio="f"/>
                </v:shape>
                <v:shape id="_x0000_s1026" o:spid="_x0000_s1026" o:spt="202" type="#_x0000_t202" style="position:absolute;left:5384;top:2591102;height:470;width:1139;" filled="f" stroked="f" coordsize="21600,21600" o:gfxdata="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vbXbr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5E3E852B">
                        <w:pPr>
                          <w:rPr>
                            <w:rFonts w:ascii="Times New Roman" w:hAnsi="Times New Roman" w:cs="Times New Roman"/>
                            <w:w w:val="99"/>
                            <w:sz w:val="21"/>
                            <w:szCs w:val="21"/>
                          </w:rPr>
                        </w:pPr>
                        <w:r>
                          <w:rPr>
                            <w:rFonts w:hint="eastAsia" w:ascii="Times New Roman" w:hAnsi="Times New Roman" w:cs="Times New Roman"/>
                            <w:w w:val="99"/>
                            <w:sz w:val="21"/>
                            <w:szCs w:val="21"/>
                          </w:rPr>
                          <w:t>576</w:t>
                        </w:r>
                      </w:p>
                    </w:txbxContent>
                  </v:textbox>
                </v:shape>
                <v:shape id="_x0000_s1026" o:spid="_x0000_s1026" o:spt="202" type="#_x0000_t202" style="position:absolute;left:5045;top:2590703;height:470;width:1733;" filled="f" stroked="f" coordsize="21600,21600" o:gfxdata="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CGQ7U&#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30762473">
                        <w:pPr>
                          <w:rPr>
                            <w:rFonts w:ascii="Times New Roman" w:hAnsi="Times New Roman" w:cs="Times New Roman"/>
                            <w:w w:val="99"/>
                            <w:sz w:val="21"/>
                            <w:szCs w:val="21"/>
                          </w:rPr>
                        </w:pPr>
                        <w:r>
                          <w:rPr>
                            <w:rFonts w:hint="eastAsia" w:ascii="Times New Roman" w:hAnsi="Times New Roman" w:cs="Times New Roman"/>
                            <w:w w:val="99"/>
                            <w:sz w:val="21"/>
                            <w:szCs w:val="21"/>
                          </w:rPr>
                          <w:t>消耗144</w:t>
                        </w:r>
                      </w:p>
                    </w:txbxContent>
                  </v:textbox>
                </v:shape>
                <v:shape id="_x0000_s1026" o:spid="_x0000_s1026" o:spt="202" type="#_x0000_t202" style="position:absolute;left:8348;top:2590793;height:1531;width:2538;" filled="f" stroked="f" coordsize="21600,21600" o:gfxdata="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rwzO7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0AAC44EC">
                        <w:pPr>
                          <w:rPr>
                            <w:rFonts w:hint="eastAsia"/>
                            <w:w w:val="99"/>
                            <w:sz w:val="21"/>
                            <w:szCs w:val="21"/>
                          </w:rPr>
                        </w:pPr>
                        <w:r>
                          <w:rPr>
                            <w:rFonts w:hint="eastAsia" w:ascii="Times New Roman" w:hAnsi="Times New Roman" w:cs="Times New Roman"/>
                            <w:w w:val="99"/>
                            <w:sz w:val="21"/>
                            <w:szCs w:val="21"/>
                          </w:rPr>
                          <w:t>由大庆石油管理局有限公司庆南工矿服务公司红岗分公司拉运至大庆红岗区西巷污水回收站，管输至南区污水处理厂</w:t>
                        </w:r>
                      </w:p>
                    </w:txbxContent>
                  </v:textbox>
                </v:shape>
                <v:shape id="_x0000_s1026" o:spid="_x0000_s1026" o:spt="202" type="#_x0000_t202" style="position:absolute;left:7467;top:2591201;height:470;width:1139;" filled="f" stroked="f" coordsize="21600,21600" o:gfxdata="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1Vq0+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6B18E82E">
                        <w:pPr>
                          <w:rPr>
                            <w:rFonts w:ascii="Times New Roman" w:hAnsi="Times New Roman" w:cs="Times New Roman"/>
                            <w:w w:val="99"/>
                            <w:sz w:val="21"/>
                            <w:szCs w:val="21"/>
                          </w:rPr>
                        </w:pPr>
                        <w:r>
                          <w:rPr>
                            <w:rFonts w:hint="eastAsia" w:ascii="Times New Roman" w:hAnsi="Times New Roman" w:cs="Times New Roman"/>
                            <w:w w:val="99"/>
                            <w:sz w:val="21"/>
                            <w:szCs w:val="21"/>
                          </w:rPr>
                          <w:t>576</w:t>
                        </w:r>
                      </w:p>
                    </w:txbxContent>
                  </v:textbox>
                </v:shape>
                <v:shape id="_x0000_s1026" o:spid="_x0000_s1026" o:spt="202" type="#_x0000_t202" style="position:absolute;left:5337;top:2592337;height:470;width:1139;" filled="f" stroked="f" coordsize="21600,21600" o:gfxdata="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2HNTi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76CD221D">
                        <w:pPr>
                          <w:rPr>
                            <w:rFonts w:ascii="Times New Roman" w:hAnsi="Times New Roman" w:cs="Times New Roman"/>
                            <w:w w:val="99"/>
                            <w:sz w:val="21"/>
                            <w:szCs w:val="21"/>
                          </w:rPr>
                        </w:pPr>
                        <w:r>
                          <w:rPr>
                            <w:rFonts w:hint="eastAsia" w:ascii="Times New Roman" w:hAnsi="Times New Roman" w:cs="Times New Roman"/>
                            <w:w w:val="99"/>
                            <w:sz w:val="21"/>
                            <w:szCs w:val="21"/>
                          </w:rPr>
                          <w:t>4.17</w:t>
                        </w:r>
                      </w:p>
                    </w:txbxContent>
                  </v:textbox>
                </v:shape>
                <v:shape id="_x0000_s1026" o:spid="_x0000_s1026" o:spt="202" type="#_x0000_t202" style="position:absolute;left:2224;top:2591576;height:470;width:1139;" filled="f" stroked="f" coordsize="21600,21600" o:gfxdata="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xIGfr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1A7930CB">
                        <w:pPr>
                          <w:rPr>
                            <w:rFonts w:ascii="Times New Roman" w:hAnsi="Times New Roman" w:cs="Times New Roman"/>
                            <w:w w:val="99"/>
                            <w:sz w:val="21"/>
                            <w:szCs w:val="21"/>
                          </w:rPr>
                        </w:pPr>
                        <w:r>
                          <w:rPr>
                            <w:rFonts w:hint="eastAsia" w:ascii="Times New Roman" w:hAnsi="Times New Roman" w:cs="Times New Roman"/>
                            <w:w w:val="99"/>
                            <w:sz w:val="21"/>
                            <w:szCs w:val="21"/>
                          </w:rPr>
                          <w:t>724.39</w:t>
                        </w:r>
                      </w:p>
                    </w:txbxContent>
                  </v:textbox>
                </v:shape>
                <v:shape id="_x0000_s1026" o:spid="_x0000_s1026" o:spt="202" type="#_x0000_t202" style="position:absolute;left:5077;top:2592030;height:470;width:1530;" filled="f" stroked="f" coordsize="21600,21600" o:gfxdata="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suQo7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721B6D70">
                        <w:pPr>
                          <w:rPr>
                            <w:rFonts w:ascii="Times New Roman" w:hAnsi="Times New Roman" w:cs="Times New Roman"/>
                            <w:w w:val="99"/>
                            <w:sz w:val="21"/>
                            <w:szCs w:val="21"/>
                          </w:rPr>
                        </w:pPr>
                        <w:r>
                          <w:rPr>
                            <w:rFonts w:hint="eastAsia" w:ascii="Times New Roman" w:hAnsi="Times New Roman" w:cs="Times New Roman"/>
                            <w:w w:val="99"/>
                            <w:sz w:val="21"/>
                            <w:szCs w:val="21"/>
                          </w:rPr>
                          <w:t>消耗0.22</w:t>
                        </w:r>
                      </w:p>
                    </w:txbxContent>
                  </v:textbox>
                </v:shape>
                <v:shape id="_x0000_s1026" o:spid="_x0000_s1026" o:spt="202" type="#_x0000_t202" style="position:absolute;left:8383;top:2592257;height:1097;width:1890;" filled="f" stroked="f" coordsize="21600,21600" o:gfxdata="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yOnSb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071D42C2">
                        <w:pPr>
                          <w:rPr>
                            <w:rFonts w:hint="eastAsia"/>
                            <w:w w:val="99"/>
                            <w:sz w:val="21"/>
                            <w:szCs w:val="21"/>
                          </w:rPr>
                        </w:pPr>
                        <w:r>
                          <w:rPr>
                            <w:w w:val="99"/>
                            <w:sz w:val="21"/>
                            <w:szCs w:val="21"/>
                          </w:rPr>
                          <w:t>由罐车拉运升一联气田污水预处理站处理</w:t>
                        </w:r>
                      </w:p>
                    </w:txbxContent>
                  </v:textbox>
                </v:shape>
                <v:shape id="_x0000_s1026" o:spid="_x0000_s1026" o:spt="202" type="#_x0000_t202" style="position:absolute;left:2186;top:2592199;height:470;width:1139;" filled="f" stroked="f" coordsize="21600,21600" o:gfxdata="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PueCr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1BC75460">
                        <w:pPr>
                          <w:rPr>
                            <w:rFonts w:ascii="Times New Roman" w:hAnsi="Times New Roman" w:cs="Times New Roman"/>
                            <w:w w:val="99"/>
                            <w:sz w:val="21"/>
                            <w:szCs w:val="21"/>
                          </w:rPr>
                        </w:pPr>
                        <w:r>
                          <w:rPr>
                            <w:rFonts w:hint="eastAsia" w:ascii="Times New Roman" w:hAnsi="Times New Roman" w:cs="Times New Roman"/>
                            <w:w w:val="99"/>
                            <w:sz w:val="21"/>
                            <w:szCs w:val="21"/>
                          </w:rPr>
                          <w:t>新鲜水</w:t>
                        </w:r>
                      </w:p>
                    </w:txbxContent>
                  </v:textbox>
                </v:shape>
                <w10:wrap type="none"/>
                <w10:anchorlock/>
              </v:group>
            </w:pict>
          </mc:Fallback>
        </mc:AlternateContent>
      </w:r>
    </w:p>
    <w:p w14:paraId="7CB5EF05">
      <w:pPr>
        <w:spacing w:line="500" w:lineRule="exact"/>
        <w:jc w:val="center"/>
        <w:rPr>
          <w:rFonts w:ascii="Times New Roman" w:hAnsi="Times New Roman" w:cs="Times New Roman"/>
          <w:b/>
          <w:bCs/>
          <w:color w:val="auto"/>
          <w:w w:val="99"/>
          <w:szCs w:val="20"/>
          <w:highlight w:val="none"/>
        </w:rPr>
      </w:pPr>
      <w:r>
        <w:rPr>
          <w:rFonts w:ascii="Times New Roman" w:hAnsi="Times New Roman" w:cs="Times New Roman"/>
          <w:b/>
          <w:bCs/>
          <w:color w:val="auto"/>
          <w:w w:val="99"/>
          <w:szCs w:val="20"/>
          <w:highlight w:val="none"/>
        </w:rPr>
        <w:t>图3.</w:t>
      </w:r>
      <w:r>
        <w:rPr>
          <w:rFonts w:hint="eastAsia" w:ascii="Times New Roman" w:hAnsi="Times New Roman" w:cs="Times New Roman"/>
          <w:b/>
          <w:bCs/>
          <w:color w:val="auto"/>
          <w:w w:val="99"/>
          <w:szCs w:val="20"/>
          <w:highlight w:val="none"/>
        </w:rPr>
        <w:t>5</w:t>
      </w:r>
      <w:r>
        <w:rPr>
          <w:rFonts w:ascii="Times New Roman" w:hAnsi="Times New Roman" w:cs="Times New Roman"/>
          <w:b/>
          <w:bCs/>
          <w:color w:val="auto"/>
          <w:w w:val="99"/>
          <w:szCs w:val="20"/>
          <w:highlight w:val="none"/>
        </w:rPr>
        <w:t>-</w:t>
      </w:r>
      <w:r>
        <w:rPr>
          <w:rFonts w:hint="eastAsia" w:ascii="Times New Roman" w:hAnsi="Times New Roman" w:cs="Times New Roman"/>
          <w:b/>
          <w:bCs/>
          <w:color w:val="auto"/>
          <w:w w:val="99"/>
          <w:szCs w:val="20"/>
          <w:highlight w:val="none"/>
        </w:rPr>
        <w:t>5</w:t>
      </w:r>
      <w:r>
        <w:rPr>
          <w:rFonts w:ascii="Times New Roman" w:hAnsi="Times New Roman" w:cs="Times New Roman"/>
          <w:b/>
          <w:bCs/>
          <w:color w:val="auto"/>
          <w:w w:val="99"/>
          <w:szCs w:val="20"/>
          <w:highlight w:val="none"/>
        </w:rPr>
        <w:t xml:space="preserve">    施工期水平衡图</w:t>
      </w:r>
      <w:r>
        <w:rPr>
          <w:rFonts w:hint="eastAsia" w:ascii="Times New Roman" w:hAnsi="Times New Roman" w:cs="Times New Roman"/>
          <w:b/>
          <w:bCs/>
          <w:color w:val="auto"/>
          <w:w w:val="99"/>
          <w:szCs w:val="20"/>
          <w:highlight w:val="none"/>
        </w:rPr>
        <w:t>（单位：m</w:t>
      </w:r>
      <w:r>
        <w:rPr>
          <w:rFonts w:hint="eastAsia" w:ascii="Times New Roman" w:hAnsi="Times New Roman" w:cs="Times New Roman"/>
          <w:b/>
          <w:bCs/>
          <w:color w:val="auto"/>
          <w:w w:val="99"/>
          <w:szCs w:val="20"/>
          <w:highlight w:val="none"/>
          <w:vertAlign w:val="superscript"/>
        </w:rPr>
        <w:t>3</w:t>
      </w:r>
      <w:r>
        <w:rPr>
          <w:rFonts w:hint="eastAsia" w:ascii="Times New Roman" w:hAnsi="Times New Roman" w:cs="Times New Roman"/>
          <w:b/>
          <w:bCs/>
          <w:color w:val="auto"/>
          <w:w w:val="99"/>
          <w:szCs w:val="20"/>
          <w:highlight w:val="none"/>
        </w:rPr>
        <w:t>）</w:t>
      </w:r>
    </w:p>
    <w:p w14:paraId="6A9F8F58">
      <w:pPr>
        <w:jc w:val="center"/>
        <w:rPr>
          <w:rFonts w:ascii="Times New Roman" w:hAnsi="Times New Roman" w:cs="Times New Roman"/>
          <w:b/>
          <w:color w:val="auto"/>
          <w:w w:val="99"/>
          <w:szCs w:val="20"/>
          <w:highlight w:val="none"/>
        </w:rPr>
      </w:pPr>
      <w:r>
        <w:rPr>
          <w:color w:val="auto"/>
          <w:highlight w:val="none"/>
        </w:rPr>
        <mc:AlternateContent>
          <mc:Choice Requires="wpg">
            <w:drawing>
              <wp:anchor distT="0" distB="0" distL="114300" distR="114300" simplePos="0" relativeHeight="251669504" behindDoc="0" locked="0" layoutInCell="1" allowOverlap="1">
                <wp:simplePos x="0" y="0"/>
                <wp:positionH relativeFrom="column">
                  <wp:posOffset>464820</wp:posOffset>
                </wp:positionH>
                <wp:positionV relativeFrom="paragraph">
                  <wp:posOffset>25400</wp:posOffset>
                </wp:positionV>
                <wp:extent cx="4768850" cy="595630"/>
                <wp:effectExtent l="4445" t="0" r="0" b="0"/>
                <wp:wrapNone/>
                <wp:docPr id="211" name="组合 211"/>
                <wp:cNvGraphicFramePr/>
                <a:graphic xmlns:a="http://schemas.openxmlformats.org/drawingml/2006/main">
                  <a:graphicData uri="http://schemas.microsoft.com/office/word/2010/wordprocessingGroup">
                    <wpg:wgp>
                      <wpg:cNvGrpSpPr/>
                      <wpg:grpSpPr>
                        <a:xfrm>
                          <a:off x="0" y="0"/>
                          <a:ext cx="4768850" cy="595630"/>
                          <a:chOff x="2374" y="2596150"/>
                          <a:chExt cx="7510" cy="938"/>
                        </a:xfrm>
                      </wpg:grpSpPr>
                      <wps:wsp>
                        <wps:cNvPr id="204" name="文本框 204"/>
                        <wps:cNvSpPr txBox="1"/>
                        <wps:spPr>
                          <a:xfrm>
                            <a:off x="2374" y="2596358"/>
                            <a:ext cx="826" cy="470"/>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D3EA5EE">
                              <w:pPr>
                                <w:rPr>
                                  <w:rFonts w:hint="eastAsia"/>
                                  <w:w w:val="99"/>
                                  <w:sz w:val="21"/>
                                  <w:szCs w:val="21"/>
                                </w:rPr>
                              </w:pPr>
                              <w:r>
                                <w:rPr>
                                  <w:rFonts w:hint="eastAsia"/>
                                  <w:w w:val="99"/>
                                  <w:sz w:val="21"/>
                                  <w:szCs w:val="21"/>
                                </w:rPr>
                                <w:t>气井</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05" name="文本框 205"/>
                        <wps:cNvSpPr txBox="1"/>
                        <wps:spPr>
                          <a:xfrm>
                            <a:off x="4114" y="2596410"/>
                            <a:ext cx="1529" cy="470"/>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E0F16A3">
                              <w:pPr>
                                <w:rPr>
                                  <w:rFonts w:hint="eastAsia"/>
                                  <w:w w:val="99"/>
                                  <w:sz w:val="21"/>
                                  <w:szCs w:val="21"/>
                                </w:rPr>
                              </w:pPr>
                              <w:r>
                                <w:rPr>
                                  <w:rFonts w:hint="eastAsia"/>
                                  <w:w w:val="99"/>
                                  <w:sz w:val="21"/>
                                  <w:szCs w:val="21"/>
                                </w:rPr>
                                <w:t>气田采出水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08" name="直接箭头连接符 208"/>
                        <wps:cNvCnPr/>
                        <wps:spPr>
                          <a:xfrm>
                            <a:off x="3204" y="2596596"/>
                            <a:ext cx="906" cy="0"/>
                          </a:xfrm>
                          <a:prstGeom prst="straightConnector1">
                            <a:avLst/>
                          </a:prstGeom>
                          <a:ln w="6350">
                            <a:solidFill>
                              <a:schemeClr val="tx1"/>
                            </a:solidFill>
                            <a:prstDash val="solid"/>
                            <a:tailEnd type="arrow"/>
                          </a:ln>
                        </wps:spPr>
                        <wps:style>
                          <a:lnRef idx="2">
                            <a:schemeClr val="accent1"/>
                          </a:lnRef>
                          <a:fillRef idx="0">
                            <a:srgbClr val="FFFFFF"/>
                          </a:fillRef>
                          <a:effectRef idx="0">
                            <a:srgbClr val="FFFFFF"/>
                          </a:effectRef>
                          <a:fontRef idx="minor">
                            <a:schemeClr val="tx1"/>
                          </a:fontRef>
                        </wps:style>
                        <wps:bodyPr/>
                      </wps:wsp>
                      <wps:wsp>
                        <wps:cNvPr id="210" name="文本框 210"/>
                        <wps:cNvSpPr txBox="1"/>
                        <wps:spPr>
                          <a:xfrm>
                            <a:off x="5781" y="2596221"/>
                            <a:ext cx="1031" cy="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8FB55A">
                              <w:pPr>
                                <w:rPr>
                                  <w:rFonts w:ascii="Times New Roman" w:hAnsi="Times New Roman" w:cs="Times New Roman"/>
                                  <w:w w:val="99"/>
                                  <w:sz w:val="21"/>
                                  <w:szCs w:val="21"/>
                                </w:rPr>
                              </w:pPr>
                              <w:r>
                                <w:rPr>
                                  <w:rFonts w:hint="eastAsia" w:ascii="Times New Roman" w:hAnsi="Times New Roman" w:cs="Times New Roman"/>
                                  <w:w w:val="99"/>
                                  <w:sz w:val="21"/>
                                  <w:szCs w:val="21"/>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06" name="文本框 206"/>
                        <wps:cNvSpPr txBox="1"/>
                        <wps:spPr>
                          <a:xfrm>
                            <a:off x="6714" y="2596150"/>
                            <a:ext cx="3170" cy="93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A89118">
                              <w:pPr>
                                <w:rPr>
                                  <w:rFonts w:hint="eastAsia"/>
                                  <w:w w:val="99"/>
                                  <w:sz w:val="21"/>
                                  <w:szCs w:val="21"/>
                                </w:rPr>
                              </w:pPr>
                              <w:r>
                                <w:rPr>
                                  <w:rFonts w:hint="eastAsia"/>
                                  <w:w w:val="99"/>
                                  <w:sz w:val="21"/>
                                  <w:szCs w:val="21"/>
                                </w:rPr>
                                <w:t>暂存于集气站污水罐，定期管输至升一联气田污水预处理站，处理达标后回注地下</w:t>
                              </w:r>
                            </w:p>
                            <w:p w14:paraId="6ED32DB7">
                              <w:pPr>
                                <w:rPr>
                                  <w:rFonts w:hint="eastAsia"/>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07" name="直接箭头连接符 207"/>
                        <wps:cNvCnPr/>
                        <wps:spPr>
                          <a:xfrm>
                            <a:off x="5714" y="2596668"/>
                            <a:ext cx="906" cy="0"/>
                          </a:xfrm>
                          <a:prstGeom prst="straightConnector1">
                            <a:avLst/>
                          </a:prstGeom>
                          <a:ln>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209" name="文本框 209"/>
                        <wps:cNvSpPr txBox="1"/>
                        <wps:spPr>
                          <a:xfrm>
                            <a:off x="3307" y="2596184"/>
                            <a:ext cx="1031" cy="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92148F">
                              <w:pPr>
                                <w:rPr>
                                  <w:rFonts w:ascii="Times New Roman" w:hAnsi="Times New Roman" w:cs="Times New Roman"/>
                                  <w:w w:val="99"/>
                                  <w:sz w:val="21"/>
                                  <w:szCs w:val="21"/>
                                </w:rPr>
                              </w:pPr>
                              <w:r>
                                <w:rPr>
                                  <w:rFonts w:hint="eastAsia" w:ascii="Times New Roman" w:hAnsi="Times New Roman" w:cs="Times New Roman"/>
                                  <w:w w:val="99"/>
                                  <w:sz w:val="21"/>
                                  <w:szCs w:val="21"/>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36.6pt;margin-top:2pt;height:46.9pt;width:375.5pt;z-index:251669504;mso-width-relative:page;mso-height-relative:page;" coordorigin="2374,2596150" coordsize="7510,938" o:gfxdata="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">
                <o:lock v:ext="edit" aspectratio="f"/>
                <v:shape id="_x0000_s1026" o:spid="_x0000_s1026" o:spt="202" type="#_x0000_t202" style="position:absolute;left:2374;top:2596358;height:470;width:826;" filled="f" stroked="t" coordsize="21600,21600" o:gfxdata="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2tRxi/&#10;AAAA3AAAAA8AAAAAAAAAAQAgAAAAIgAAAGRycy9kb3ducmV2LnhtbFBLAQIUABQAAAAIAIdO4kAz&#10;LwWeOwAAADkAAAAQAAAAAAAAAAEAIAAAAA4BAABkcnMvc2hhcGV4bWwueG1sUEsFBgAAAAAGAAYA&#10;WwEAALgDAAAAAA==&#10;">
                  <v:fill on="f" focussize="0,0"/>
                  <v:stroke weight="0.5pt" color="#000000 [3204]" joinstyle="round"/>
                  <v:imagedata o:title=""/>
                  <o:lock v:ext="edit" aspectratio="f"/>
                  <v:textbox>
                    <w:txbxContent>
                      <w:p w14:paraId="1D3EA5EE">
                        <w:pPr>
                          <w:rPr>
                            <w:rFonts w:hint="eastAsia"/>
                            <w:w w:val="99"/>
                            <w:sz w:val="21"/>
                            <w:szCs w:val="21"/>
                          </w:rPr>
                        </w:pPr>
                        <w:r>
                          <w:rPr>
                            <w:rFonts w:hint="eastAsia"/>
                            <w:w w:val="99"/>
                            <w:sz w:val="21"/>
                            <w:szCs w:val="21"/>
                          </w:rPr>
                          <w:t>气井</w:t>
                        </w:r>
                      </w:p>
                    </w:txbxContent>
                  </v:textbox>
                </v:shape>
                <v:shape id="_x0000_s1026" o:spid="_x0000_s1026" o:spt="202" type="#_x0000_t202" style="position:absolute;left:4114;top:2596410;height:470;width:1529;" filled="f" stroked="t" coordsize="21600,21600" o:gfxdata="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Lh4oO/&#10;AAAA3AAAAA8AAAAAAAAAAQAgAAAAIgAAAGRycy9kb3ducmV2LnhtbFBLAQIUABQAAAAIAIdO4kAz&#10;LwWeOwAAADkAAAAQAAAAAAAAAAEAIAAAAA4BAABkcnMvc2hhcGV4bWwueG1sUEsFBgAAAAAGAAYA&#10;WwEAALgDAAAAAA==&#10;">
                  <v:fill on="f" focussize="0,0"/>
                  <v:stroke weight="0.5pt" color="#000000 [3204]" joinstyle="round"/>
                  <v:imagedata o:title=""/>
                  <o:lock v:ext="edit" aspectratio="f"/>
                  <v:textbox>
                    <w:txbxContent>
                      <w:p w14:paraId="7E0F16A3">
                        <w:pPr>
                          <w:rPr>
                            <w:rFonts w:hint="eastAsia"/>
                            <w:w w:val="99"/>
                            <w:sz w:val="21"/>
                            <w:szCs w:val="21"/>
                          </w:rPr>
                        </w:pPr>
                        <w:r>
                          <w:rPr>
                            <w:rFonts w:hint="eastAsia"/>
                            <w:w w:val="99"/>
                            <w:sz w:val="21"/>
                            <w:szCs w:val="21"/>
                          </w:rPr>
                          <w:t>气田采出水</w:t>
                        </w:r>
                      </w:p>
                    </w:txbxContent>
                  </v:textbox>
                </v:shape>
                <v:shape id="_x0000_s1026" o:spid="_x0000_s1026" o:spt="32" type="#_x0000_t32" style="position:absolute;left:3204;top:2596596;height:0;width:906;" filled="f" stroked="t" coordsize="21600,21600" o:gfxdata="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jYT5bsAAADc&#10;AAAADwAAAAAAAAABACAAAAAiAAAAZHJzL2Rvd25yZXYueG1sUEsBAhQAFAAAAAgAh07iQDMvBZ47&#10;AAAAOQAAABAAAAAAAAAAAQAgAAAACgEAAGRycy9zaGFwZXhtbC54bWxQSwUGAAAAAAYABgBbAQAA&#10;tAMAAAAA&#10;">
                  <v:fill on="f" focussize="0,0"/>
                  <v:stroke weight="0.5pt" color="#000000 [3213]" miterlimit="8" joinstyle="miter" endarrow="open"/>
                  <v:imagedata o:title=""/>
                  <o:lock v:ext="edit" aspectratio="f"/>
                </v:shape>
                <v:shape id="_x0000_s1026" o:spid="_x0000_s1026" o:spt="202" type="#_x0000_t202" style="position:absolute;left:5781;top:2596221;height:470;width:1031;" filled="f" stroked="f" coordsize="21600,21600" o:gfxdata="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E2+i+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0A8FB55A">
                        <w:pPr>
                          <w:rPr>
                            <w:rFonts w:ascii="Times New Roman" w:hAnsi="Times New Roman" w:cs="Times New Roman"/>
                            <w:w w:val="99"/>
                            <w:sz w:val="21"/>
                            <w:szCs w:val="21"/>
                          </w:rPr>
                        </w:pPr>
                        <w:r>
                          <w:rPr>
                            <w:rFonts w:hint="eastAsia" w:ascii="Times New Roman" w:hAnsi="Times New Roman" w:cs="Times New Roman"/>
                            <w:w w:val="99"/>
                            <w:sz w:val="21"/>
                            <w:szCs w:val="21"/>
                          </w:rPr>
                          <w:t>3</w:t>
                        </w:r>
                      </w:p>
                    </w:txbxContent>
                  </v:textbox>
                </v:shape>
                <v:shape id="_x0000_s1026" o:spid="_x0000_s1026" o:spt="202" type="#_x0000_t202" style="position:absolute;left:6714;top:2596150;height:938;width:3170;" filled="f" stroked="f" coordsize="21600,21600" o:gfxdata="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RKUR2/&#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45A89118">
                        <w:pPr>
                          <w:rPr>
                            <w:rFonts w:hint="eastAsia"/>
                            <w:w w:val="99"/>
                            <w:sz w:val="21"/>
                            <w:szCs w:val="21"/>
                          </w:rPr>
                        </w:pPr>
                        <w:r>
                          <w:rPr>
                            <w:rFonts w:hint="eastAsia"/>
                            <w:w w:val="99"/>
                            <w:sz w:val="21"/>
                            <w:szCs w:val="21"/>
                          </w:rPr>
                          <w:t>暂存于集气站污水罐，定期管输至升一联气田污水预处理站，处理达标后回注地下</w:t>
                        </w:r>
                      </w:p>
                      <w:p w14:paraId="6ED32DB7">
                        <w:pPr>
                          <w:rPr>
                            <w:rFonts w:hint="eastAsia"/>
                          </w:rPr>
                        </w:pPr>
                      </w:p>
                    </w:txbxContent>
                  </v:textbox>
                </v:shape>
                <v:shape id="_x0000_s1026" o:spid="_x0000_s1026" o:spt="32" type="#_x0000_t32" style="position:absolute;left:5714;top:2596668;height:0;width:906;" filled="f" stroked="t" coordsize="21600,21600" o:gfxdata="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v70CL4A&#10;AADcAAAADwAAAAAAAAABACAAAAAiAAAAZHJzL2Rvd25yZXYueG1sUEsBAhQAFAAAAAgAh07iQDMv&#10;BZ47AAAAOQAAABAAAAAAAAAAAQAgAAAADQEAAGRycy9zaGFwZXhtbC54bWxQSwUGAAAAAAYABgBb&#10;AQAAtwMAAAAA&#10;">
                  <v:fill on="f" focussize="0,0"/>
                  <v:stroke weight="1pt" color="#000000 [3213]" miterlimit="8" joinstyle="miter" dashstyle="dash" endarrow="open"/>
                  <v:imagedata o:title=""/>
                  <o:lock v:ext="edit" aspectratio="f"/>
                </v:shape>
                <v:shape id="_x0000_s1026" o:spid="_x0000_s1026" o:spt="202" type="#_x0000_t202" style="position:absolute;left:3307;top:2596184;height:470;width:1031;" filled="f" stroked="f" coordsize="21600,21600" o:gfxdata="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l1cVv&#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7892148F">
                        <w:pPr>
                          <w:rPr>
                            <w:rFonts w:ascii="Times New Roman" w:hAnsi="Times New Roman" w:cs="Times New Roman"/>
                            <w:w w:val="99"/>
                            <w:sz w:val="21"/>
                            <w:szCs w:val="21"/>
                          </w:rPr>
                        </w:pPr>
                        <w:r>
                          <w:rPr>
                            <w:rFonts w:hint="eastAsia" w:ascii="Times New Roman" w:hAnsi="Times New Roman" w:cs="Times New Roman"/>
                            <w:w w:val="99"/>
                            <w:sz w:val="21"/>
                            <w:szCs w:val="21"/>
                          </w:rPr>
                          <w:t>3</w:t>
                        </w:r>
                      </w:p>
                    </w:txbxContent>
                  </v:textbox>
                </v:shape>
              </v:group>
            </w:pict>
          </mc:Fallback>
        </mc:AlternateContent>
      </w:r>
    </w:p>
    <w:p w14:paraId="064B1EFB">
      <w:pPr>
        <w:jc w:val="center"/>
        <w:rPr>
          <w:rFonts w:ascii="Times New Roman" w:hAnsi="Times New Roman" w:cs="Times New Roman"/>
          <w:b/>
          <w:color w:val="auto"/>
          <w:w w:val="99"/>
          <w:szCs w:val="20"/>
          <w:highlight w:val="none"/>
        </w:rPr>
      </w:pPr>
    </w:p>
    <w:p w14:paraId="0AF027E7">
      <w:pPr>
        <w:jc w:val="center"/>
        <w:rPr>
          <w:rFonts w:ascii="Times New Roman" w:hAnsi="Times New Roman" w:cs="Times New Roman"/>
          <w:b/>
          <w:color w:val="auto"/>
          <w:w w:val="99"/>
          <w:szCs w:val="20"/>
          <w:highlight w:val="none"/>
        </w:rPr>
      </w:pPr>
    </w:p>
    <w:p w14:paraId="3A377C8B">
      <w:pPr>
        <w:jc w:val="center"/>
        <w:rPr>
          <w:rFonts w:ascii="Times New Roman" w:hAnsi="Times New Roman" w:cs="Times New Roman"/>
          <w:b/>
          <w:color w:val="auto"/>
          <w:w w:val="99"/>
          <w:szCs w:val="20"/>
          <w:highlight w:val="none"/>
        </w:rPr>
      </w:pPr>
    </w:p>
    <w:p w14:paraId="7DB1C01A">
      <w:pPr>
        <w:jc w:val="center"/>
        <w:rPr>
          <w:rFonts w:ascii="Times New Roman" w:hAnsi="Times New Roman" w:cs="Times New Roman"/>
          <w:b/>
          <w:bCs/>
          <w:color w:val="auto"/>
          <w:w w:val="99"/>
          <w:szCs w:val="20"/>
          <w:highlight w:val="none"/>
        </w:rPr>
      </w:pPr>
      <w:r>
        <w:rPr>
          <w:rFonts w:ascii="Times New Roman" w:hAnsi="Times New Roman" w:cs="Times New Roman"/>
          <w:b/>
          <w:bCs/>
          <w:color w:val="auto"/>
          <w:w w:val="99"/>
          <w:szCs w:val="20"/>
          <w:highlight w:val="none"/>
        </w:rPr>
        <w:t>图3.</w:t>
      </w:r>
      <w:r>
        <w:rPr>
          <w:rFonts w:hint="eastAsia" w:ascii="Times New Roman" w:hAnsi="Times New Roman" w:cs="Times New Roman"/>
          <w:b/>
          <w:bCs/>
          <w:color w:val="auto"/>
          <w:w w:val="99"/>
          <w:szCs w:val="20"/>
          <w:highlight w:val="none"/>
        </w:rPr>
        <w:t>5</w:t>
      </w:r>
      <w:r>
        <w:rPr>
          <w:rFonts w:ascii="Times New Roman" w:hAnsi="Times New Roman" w:cs="Times New Roman"/>
          <w:b/>
          <w:bCs/>
          <w:color w:val="auto"/>
          <w:w w:val="99"/>
          <w:szCs w:val="20"/>
          <w:highlight w:val="none"/>
        </w:rPr>
        <w:t>-</w:t>
      </w:r>
      <w:r>
        <w:rPr>
          <w:rFonts w:hint="eastAsia" w:ascii="Times New Roman" w:hAnsi="Times New Roman" w:cs="Times New Roman"/>
          <w:b/>
          <w:bCs/>
          <w:color w:val="auto"/>
          <w:w w:val="99"/>
          <w:szCs w:val="20"/>
          <w:highlight w:val="none"/>
        </w:rPr>
        <w:t>6</w:t>
      </w:r>
      <w:r>
        <w:rPr>
          <w:rFonts w:ascii="Times New Roman" w:hAnsi="Times New Roman" w:cs="Times New Roman"/>
          <w:b/>
          <w:bCs/>
          <w:color w:val="auto"/>
          <w:w w:val="99"/>
          <w:szCs w:val="20"/>
          <w:highlight w:val="none"/>
        </w:rPr>
        <w:t xml:space="preserve">  运营期水平衡图</w:t>
      </w:r>
      <w:r>
        <w:rPr>
          <w:rFonts w:hint="eastAsia" w:ascii="Times New Roman" w:hAnsi="Times New Roman" w:cs="Times New Roman"/>
          <w:b/>
          <w:bCs/>
          <w:color w:val="auto"/>
          <w:w w:val="99"/>
          <w:szCs w:val="20"/>
          <w:highlight w:val="none"/>
        </w:rPr>
        <w:t>（单位：m</w:t>
      </w:r>
      <w:r>
        <w:rPr>
          <w:rFonts w:hint="eastAsia" w:ascii="Times New Roman" w:hAnsi="Times New Roman" w:cs="Times New Roman"/>
          <w:b/>
          <w:bCs/>
          <w:color w:val="auto"/>
          <w:w w:val="99"/>
          <w:szCs w:val="20"/>
          <w:highlight w:val="none"/>
          <w:vertAlign w:val="superscript"/>
        </w:rPr>
        <w:t>3</w:t>
      </w:r>
      <w:r>
        <w:rPr>
          <w:rFonts w:hint="eastAsia" w:ascii="Times New Roman" w:hAnsi="Times New Roman" w:cs="Times New Roman"/>
          <w:b/>
          <w:bCs/>
          <w:color w:val="auto"/>
          <w:w w:val="99"/>
          <w:szCs w:val="20"/>
          <w:highlight w:val="none"/>
        </w:rPr>
        <w:t>/d）</w:t>
      </w:r>
    </w:p>
    <w:p w14:paraId="27239CF5">
      <w:pPr>
        <w:spacing w:line="440" w:lineRule="exact"/>
        <w:outlineLvl w:val="3"/>
        <w:rPr>
          <w:rFonts w:ascii="Times New Roman" w:hAnsi="Times New Roman" w:cs="Times New Roman"/>
          <w:b/>
          <w:color w:val="auto"/>
          <w:w w:val="99"/>
          <w:szCs w:val="20"/>
          <w:highlight w:val="none"/>
        </w:rPr>
      </w:pPr>
      <w:r>
        <w:rPr>
          <w:rFonts w:hint="eastAsia" w:ascii="Times New Roman" w:hAnsi="Times New Roman" w:cs="Times New Roman"/>
          <w:b/>
          <w:color w:val="auto"/>
          <w:w w:val="99"/>
          <w:szCs w:val="20"/>
          <w:highlight w:val="none"/>
        </w:rPr>
        <w:t>3.5.5</w:t>
      </w:r>
      <w:r>
        <w:rPr>
          <w:rFonts w:ascii="Times New Roman" w:hAnsi="Times New Roman" w:cs="Times New Roman"/>
          <w:b/>
          <w:color w:val="auto"/>
          <w:w w:val="99"/>
          <w:szCs w:val="20"/>
          <w:highlight w:val="none"/>
        </w:rPr>
        <w:t>.</w:t>
      </w:r>
      <w:bookmarkEnd w:id="441"/>
      <w:bookmarkEnd w:id="442"/>
      <w:bookmarkEnd w:id="443"/>
      <w:bookmarkEnd w:id="444"/>
      <w:bookmarkEnd w:id="445"/>
      <w:bookmarkEnd w:id="446"/>
      <w:bookmarkEnd w:id="447"/>
      <w:r>
        <w:rPr>
          <w:rFonts w:ascii="Times New Roman" w:hAnsi="Times New Roman" w:cs="Times New Roman"/>
          <w:b/>
          <w:color w:val="auto"/>
          <w:w w:val="99"/>
          <w:szCs w:val="20"/>
          <w:highlight w:val="none"/>
        </w:rPr>
        <w:t>2供电系统</w:t>
      </w:r>
    </w:p>
    <w:p w14:paraId="1C49320E">
      <w:pPr>
        <w:widowControl w:val="0"/>
        <w:spacing w:line="440" w:lineRule="exact"/>
        <w:ind w:firstLine="474" w:firstLineChars="200"/>
        <w:jc w:val="both"/>
        <w:rPr>
          <w:rFonts w:ascii="Times New Roman" w:hAnsi="Times New Roman" w:cs="Times New Roman" w:eastAsiaTheme="minorEastAsia"/>
          <w:color w:val="auto"/>
          <w:w w:val="99"/>
          <w:kern w:val="2"/>
          <w:highlight w:val="none"/>
        </w:rPr>
      </w:pPr>
      <w:bookmarkStart w:id="448" w:name="_Toc13059820"/>
      <w:bookmarkStart w:id="449" w:name="_Toc5710035"/>
      <w:r>
        <w:rPr>
          <w:rFonts w:ascii="Times New Roman" w:hAnsi="Times New Roman" w:cs="Times New Roman" w:eastAsiaTheme="minorEastAsia"/>
          <w:color w:val="auto"/>
          <w:w w:val="99"/>
          <w:kern w:val="2"/>
          <w:highlight w:val="none"/>
        </w:rPr>
        <w:t>（1）施工期</w:t>
      </w:r>
    </w:p>
    <w:p w14:paraId="3F120EC4">
      <w:pPr>
        <w:widowControl w:val="0"/>
        <w:spacing w:line="440" w:lineRule="exact"/>
        <w:ind w:firstLine="474" w:firstLineChars="200"/>
        <w:jc w:val="both"/>
        <w:rPr>
          <w:rFonts w:ascii="Times New Roman" w:hAnsi="Times New Roman" w:cs="Times New Roman" w:eastAsiaTheme="minorEastAsia"/>
          <w:color w:val="auto"/>
          <w:w w:val="99"/>
          <w:kern w:val="2"/>
          <w:highlight w:val="none"/>
        </w:rPr>
      </w:pPr>
      <w:r>
        <w:rPr>
          <w:rFonts w:ascii="Times New Roman" w:hAnsi="Times New Roman" w:cs="Times New Roman" w:eastAsiaTheme="minorEastAsia"/>
          <w:color w:val="auto"/>
          <w:w w:val="99"/>
          <w:kern w:val="2"/>
          <w:highlight w:val="none"/>
        </w:rPr>
        <w:t>本项目施工期用电由柴油发电机供给。</w:t>
      </w:r>
    </w:p>
    <w:p w14:paraId="32CD3A37">
      <w:pPr>
        <w:widowControl w:val="0"/>
        <w:spacing w:line="440" w:lineRule="exact"/>
        <w:ind w:firstLine="474" w:firstLineChars="200"/>
        <w:jc w:val="both"/>
        <w:rPr>
          <w:rFonts w:ascii="Times New Roman" w:hAnsi="Times New Roman" w:cs="Times New Roman" w:eastAsiaTheme="minorEastAsia"/>
          <w:color w:val="auto"/>
          <w:w w:val="99"/>
          <w:kern w:val="2"/>
          <w:highlight w:val="none"/>
        </w:rPr>
      </w:pPr>
      <w:r>
        <w:rPr>
          <w:rFonts w:ascii="Times New Roman" w:hAnsi="Times New Roman" w:cs="Times New Roman" w:eastAsiaTheme="minorEastAsia"/>
          <w:color w:val="auto"/>
          <w:w w:val="99"/>
          <w:kern w:val="2"/>
          <w:highlight w:val="none"/>
        </w:rPr>
        <w:t>（2）运营期</w:t>
      </w:r>
    </w:p>
    <w:p w14:paraId="063F0EA0">
      <w:pPr>
        <w:spacing w:line="440" w:lineRule="exact"/>
        <w:ind w:firstLine="474" w:firstLineChars="200"/>
        <w:jc w:val="both"/>
        <w:rPr>
          <w:rFonts w:ascii="Times New Roman" w:hAnsi="Times New Roman" w:cs="Times New Roman"/>
          <w:bCs/>
          <w:color w:val="auto"/>
          <w:w w:val="99"/>
          <w:highlight w:val="none"/>
        </w:rPr>
      </w:pPr>
      <w:r>
        <w:rPr>
          <w:rFonts w:hint="eastAsia" w:ascii="Times New Roman" w:hAnsi="Times New Roman" w:cs="Times New Roman"/>
          <w:bCs/>
          <w:color w:val="auto"/>
          <w:w w:val="99"/>
          <w:highlight w:val="none"/>
        </w:rPr>
        <w:t>运营期项目用电依托区域已建变电站供电，新增总负荷100.65kW。</w:t>
      </w:r>
    </w:p>
    <w:p w14:paraId="3C20BDE8">
      <w:pPr>
        <w:spacing w:line="440" w:lineRule="exact"/>
        <w:ind w:firstLine="474" w:firstLineChars="200"/>
        <w:jc w:val="both"/>
        <w:rPr>
          <w:rFonts w:ascii="Times New Roman" w:hAnsi="Times New Roman" w:cs="Times New Roman"/>
          <w:bCs/>
          <w:color w:val="auto"/>
          <w:w w:val="99"/>
          <w:highlight w:val="none"/>
        </w:rPr>
      </w:pPr>
      <w:r>
        <w:rPr>
          <w:rFonts w:hint="eastAsia" w:ascii="Times New Roman" w:hAnsi="Times New Roman" w:cs="Times New Roman"/>
          <w:bCs/>
          <w:color w:val="auto"/>
          <w:w w:val="99"/>
          <w:highlight w:val="none"/>
        </w:rPr>
        <w:t xml:space="preserve">徐深27集气站现有变压器1台，容量为800kVA，本次新增用电负荷10kW，为三级负荷，变压器剩余能力满足新增负荷要求，新建低压电力电缆0.2km，敷设至用电设备。 </w:t>
      </w:r>
    </w:p>
    <w:p w14:paraId="4F224672">
      <w:pPr>
        <w:spacing w:line="440" w:lineRule="exact"/>
        <w:ind w:firstLine="474" w:firstLineChars="200"/>
        <w:jc w:val="both"/>
        <w:rPr>
          <w:rFonts w:ascii="Times New Roman" w:hAnsi="Times New Roman" w:cs="Times New Roman"/>
          <w:bCs/>
          <w:color w:val="auto"/>
          <w:w w:val="99"/>
          <w:highlight w:val="none"/>
        </w:rPr>
      </w:pPr>
      <w:r>
        <w:rPr>
          <w:rFonts w:hint="eastAsia" w:ascii="Times New Roman" w:hAnsi="Times New Roman" w:cs="Times New Roman"/>
          <w:bCs/>
          <w:color w:val="auto"/>
          <w:w w:val="99"/>
          <w:highlight w:val="none"/>
        </w:rPr>
        <w:t>采气井口用电（管道伴热负荷、自控通信负荷以及采气树、放空管线电热带负荷）负荷为90.65kW。本次气井井场新建柱上变1座，新建柱上变电站电源由附近已建的10kV线路引接，新建10kV线路0.8km，导线采用LGJ-50型。</w:t>
      </w:r>
    </w:p>
    <w:p w14:paraId="70F56318">
      <w:pPr>
        <w:spacing w:line="440" w:lineRule="exact"/>
        <w:ind w:firstLine="476" w:firstLineChars="200"/>
        <w:jc w:val="both"/>
        <w:rPr>
          <w:rFonts w:ascii="Times New Roman" w:hAnsi="Times New Roman" w:cs="Times New Roman"/>
          <w:b/>
          <w:color w:val="auto"/>
          <w:w w:val="99"/>
          <w:highlight w:val="none"/>
        </w:rPr>
      </w:pPr>
      <w:r>
        <w:rPr>
          <w:rFonts w:ascii="Times New Roman" w:hAnsi="Times New Roman" w:cs="Times New Roman"/>
          <w:b/>
          <w:color w:val="auto"/>
          <w:w w:val="99"/>
          <w:highlight w:val="none"/>
        </w:rPr>
        <w:t>表</w:t>
      </w:r>
      <w:r>
        <w:rPr>
          <w:rFonts w:hint="eastAsia" w:ascii="Times New Roman" w:hAnsi="Times New Roman" w:cs="Times New Roman"/>
          <w:b/>
          <w:color w:val="auto"/>
          <w:w w:val="99"/>
          <w:highlight w:val="none"/>
        </w:rPr>
        <w:t>3</w:t>
      </w:r>
      <w:r>
        <w:rPr>
          <w:rFonts w:ascii="Times New Roman" w:hAnsi="Times New Roman" w:cs="Times New Roman"/>
          <w:b/>
          <w:color w:val="auto"/>
          <w:w w:val="99"/>
          <w:highlight w:val="none"/>
        </w:rPr>
        <w:t>.</w:t>
      </w:r>
      <w:r>
        <w:rPr>
          <w:rFonts w:hint="eastAsia" w:ascii="Times New Roman" w:hAnsi="Times New Roman" w:cs="Times New Roman"/>
          <w:b/>
          <w:color w:val="auto"/>
          <w:w w:val="99"/>
          <w:highlight w:val="none"/>
        </w:rPr>
        <w:t>5</w:t>
      </w:r>
      <w:r>
        <w:rPr>
          <w:rFonts w:ascii="Times New Roman" w:hAnsi="Times New Roman" w:cs="Times New Roman"/>
          <w:b/>
          <w:color w:val="auto"/>
          <w:w w:val="99"/>
          <w:highlight w:val="none"/>
        </w:rPr>
        <w:t>-</w:t>
      </w:r>
      <w:r>
        <w:rPr>
          <w:rFonts w:hint="eastAsia" w:ascii="Times New Roman" w:hAnsi="Times New Roman" w:cs="Times New Roman"/>
          <w:b/>
          <w:color w:val="auto"/>
          <w:w w:val="99"/>
          <w:highlight w:val="none"/>
        </w:rPr>
        <w:t>7</w:t>
      </w:r>
      <w:r>
        <w:rPr>
          <w:rFonts w:ascii="Times New Roman" w:hAnsi="Times New Roman" w:cs="Times New Roman"/>
          <w:b/>
          <w:color w:val="auto"/>
          <w:w w:val="99"/>
          <w:highlight w:val="none"/>
        </w:rPr>
        <w:t xml:space="preserve">  供电工程主要工程量汇总表</w:t>
      </w:r>
    </w:p>
    <w:tbl>
      <w:tblPr>
        <w:tblStyle w:val="81"/>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30" w:type="dxa"/>
          <w:bottom w:w="0" w:type="dxa"/>
          <w:right w:w="30" w:type="dxa"/>
        </w:tblCellMar>
      </w:tblPr>
      <w:tblGrid>
        <w:gridCol w:w="1372"/>
        <w:gridCol w:w="3420"/>
        <w:gridCol w:w="2372"/>
        <w:gridCol w:w="1961"/>
      </w:tblGrid>
      <w:tr w14:paraId="135568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trHeight w:val="340" w:hRule="atLeast"/>
          <w:tblHeader/>
          <w:jc w:val="center"/>
        </w:trPr>
        <w:tc>
          <w:tcPr>
            <w:tcW w:w="752" w:type="pct"/>
            <w:tcBorders>
              <w:top w:val="single" w:color="000000" w:sz="4" w:space="0"/>
              <w:left w:val="single" w:color="000000" w:sz="4" w:space="0"/>
            </w:tcBorders>
            <w:vAlign w:val="center"/>
          </w:tcPr>
          <w:p w14:paraId="10E78E33">
            <w:pPr>
              <w:pStyle w:val="173"/>
              <w:tabs>
                <w:tab w:val="left" w:pos="3480"/>
              </w:tabs>
              <w:spacing w:line="24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序号</w:t>
            </w:r>
          </w:p>
        </w:tc>
        <w:tc>
          <w:tcPr>
            <w:tcW w:w="1873" w:type="pct"/>
            <w:tcBorders>
              <w:top w:val="single" w:color="000000" w:sz="4" w:space="0"/>
            </w:tcBorders>
            <w:vAlign w:val="center"/>
          </w:tcPr>
          <w:p w14:paraId="1E470562">
            <w:pPr>
              <w:pStyle w:val="173"/>
              <w:tabs>
                <w:tab w:val="left" w:pos="3480"/>
              </w:tabs>
              <w:spacing w:line="24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名 称</w:t>
            </w:r>
          </w:p>
        </w:tc>
        <w:tc>
          <w:tcPr>
            <w:tcW w:w="1299" w:type="pct"/>
            <w:tcBorders>
              <w:top w:val="single" w:color="000000" w:sz="4" w:space="0"/>
            </w:tcBorders>
            <w:vAlign w:val="center"/>
          </w:tcPr>
          <w:p w14:paraId="25A645B0">
            <w:pPr>
              <w:pStyle w:val="173"/>
              <w:tabs>
                <w:tab w:val="left" w:pos="3480"/>
              </w:tabs>
              <w:spacing w:line="24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单位</w:t>
            </w:r>
          </w:p>
        </w:tc>
        <w:tc>
          <w:tcPr>
            <w:tcW w:w="1074" w:type="pct"/>
            <w:tcBorders>
              <w:top w:val="single" w:color="000000" w:sz="4" w:space="0"/>
              <w:right w:val="single" w:color="000000" w:sz="4" w:space="0"/>
            </w:tcBorders>
            <w:vAlign w:val="center"/>
          </w:tcPr>
          <w:p w14:paraId="76CC368B">
            <w:pPr>
              <w:pStyle w:val="173"/>
              <w:tabs>
                <w:tab w:val="left" w:pos="3480"/>
              </w:tabs>
              <w:spacing w:line="24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数量</w:t>
            </w:r>
          </w:p>
        </w:tc>
      </w:tr>
      <w:tr w14:paraId="60085B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trHeight w:val="340" w:hRule="atLeast"/>
          <w:jc w:val="center"/>
        </w:trPr>
        <w:tc>
          <w:tcPr>
            <w:tcW w:w="752" w:type="pct"/>
            <w:tcBorders>
              <w:left w:val="single" w:color="000000" w:sz="4" w:space="0"/>
            </w:tcBorders>
            <w:vAlign w:val="center"/>
          </w:tcPr>
          <w:p w14:paraId="4EA57FA4">
            <w:pPr>
              <w:pStyle w:val="173"/>
              <w:tabs>
                <w:tab w:val="left" w:pos="3480"/>
              </w:tabs>
              <w:spacing w:line="24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1</w:t>
            </w:r>
          </w:p>
        </w:tc>
        <w:tc>
          <w:tcPr>
            <w:tcW w:w="1873" w:type="pct"/>
            <w:vAlign w:val="center"/>
          </w:tcPr>
          <w:p w14:paraId="3E1E92BE">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井场柱上变电站</w:t>
            </w:r>
          </w:p>
        </w:tc>
        <w:tc>
          <w:tcPr>
            <w:tcW w:w="1299" w:type="pct"/>
            <w:vAlign w:val="center"/>
          </w:tcPr>
          <w:p w14:paraId="35F04689">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座</w:t>
            </w:r>
          </w:p>
        </w:tc>
        <w:tc>
          <w:tcPr>
            <w:tcW w:w="1074" w:type="pct"/>
            <w:tcBorders>
              <w:right w:val="single" w:color="000000" w:sz="4" w:space="0"/>
            </w:tcBorders>
            <w:vAlign w:val="center"/>
          </w:tcPr>
          <w:p w14:paraId="5DCEC27F">
            <w:pPr>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1</w:t>
            </w:r>
          </w:p>
        </w:tc>
      </w:tr>
      <w:tr w14:paraId="6690B3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trHeight w:val="340" w:hRule="atLeast"/>
          <w:jc w:val="center"/>
        </w:trPr>
        <w:tc>
          <w:tcPr>
            <w:tcW w:w="752" w:type="pct"/>
            <w:tcBorders>
              <w:left w:val="single" w:color="000000" w:sz="4" w:space="0"/>
            </w:tcBorders>
            <w:vAlign w:val="center"/>
          </w:tcPr>
          <w:p w14:paraId="3BBD577E">
            <w:pPr>
              <w:pStyle w:val="173"/>
              <w:tabs>
                <w:tab w:val="left" w:pos="3480"/>
              </w:tabs>
              <w:spacing w:line="24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2</w:t>
            </w:r>
          </w:p>
        </w:tc>
        <w:tc>
          <w:tcPr>
            <w:tcW w:w="1873" w:type="pct"/>
            <w:vAlign w:val="center"/>
          </w:tcPr>
          <w:p w14:paraId="69D25629">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10kV线路(导线:3×LGJ-50)</w:t>
            </w:r>
          </w:p>
        </w:tc>
        <w:tc>
          <w:tcPr>
            <w:tcW w:w="1299" w:type="pct"/>
            <w:vAlign w:val="center"/>
          </w:tcPr>
          <w:p w14:paraId="4540577C">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km</w:t>
            </w:r>
          </w:p>
        </w:tc>
        <w:tc>
          <w:tcPr>
            <w:tcW w:w="1074" w:type="pct"/>
            <w:tcBorders>
              <w:right w:val="single" w:color="000000" w:sz="4" w:space="0"/>
            </w:tcBorders>
            <w:vAlign w:val="center"/>
          </w:tcPr>
          <w:p w14:paraId="5068FBCC">
            <w:pPr>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0.8</w:t>
            </w:r>
          </w:p>
        </w:tc>
      </w:tr>
      <w:tr w14:paraId="01CF52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trHeight w:val="340" w:hRule="atLeast"/>
          <w:jc w:val="center"/>
        </w:trPr>
        <w:tc>
          <w:tcPr>
            <w:tcW w:w="752" w:type="pct"/>
            <w:tcBorders>
              <w:left w:val="single" w:color="000000" w:sz="4" w:space="0"/>
            </w:tcBorders>
            <w:vAlign w:val="center"/>
          </w:tcPr>
          <w:p w14:paraId="584123A9">
            <w:pPr>
              <w:pStyle w:val="173"/>
              <w:tabs>
                <w:tab w:val="left" w:pos="3480"/>
              </w:tabs>
              <w:spacing w:line="240" w:lineRule="exact"/>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3</w:t>
            </w:r>
          </w:p>
        </w:tc>
        <w:tc>
          <w:tcPr>
            <w:tcW w:w="1873" w:type="pct"/>
            <w:vAlign w:val="center"/>
          </w:tcPr>
          <w:p w14:paraId="5601DEEA">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集气站改造：低压电力电缆</w:t>
            </w:r>
          </w:p>
        </w:tc>
        <w:tc>
          <w:tcPr>
            <w:tcW w:w="1299" w:type="pct"/>
            <w:vAlign w:val="center"/>
          </w:tcPr>
          <w:p w14:paraId="20D18CA7">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km</w:t>
            </w:r>
          </w:p>
        </w:tc>
        <w:tc>
          <w:tcPr>
            <w:tcW w:w="1074" w:type="pct"/>
            <w:tcBorders>
              <w:right w:val="single" w:color="000000" w:sz="4" w:space="0"/>
            </w:tcBorders>
            <w:vAlign w:val="center"/>
          </w:tcPr>
          <w:p w14:paraId="220DADC0">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0.</w:t>
            </w:r>
            <w:r>
              <w:rPr>
                <w:rFonts w:hint="eastAsia" w:ascii="Times New Roman" w:hAnsi="Times New Roman" w:cs="Times New Roman"/>
                <w:color w:val="auto"/>
                <w:w w:val="99"/>
                <w:kern w:val="2"/>
                <w:sz w:val="21"/>
                <w:szCs w:val="21"/>
                <w:highlight w:val="none"/>
              </w:rPr>
              <w:t>2</w:t>
            </w:r>
          </w:p>
        </w:tc>
      </w:tr>
      <w:bookmarkEnd w:id="448"/>
      <w:bookmarkEnd w:id="449"/>
    </w:tbl>
    <w:p w14:paraId="09980C7D">
      <w:pPr>
        <w:spacing w:line="440" w:lineRule="exact"/>
        <w:outlineLvl w:val="3"/>
        <w:rPr>
          <w:rFonts w:ascii="Times New Roman" w:hAnsi="Times New Roman" w:cs="Times New Roman"/>
          <w:b/>
          <w:color w:val="auto"/>
          <w:w w:val="99"/>
          <w:szCs w:val="20"/>
          <w:highlight w:val="none"/>
        </w:rPr>
      </w:pPr>
      <w:r>
        <w:rPr>
          <w:rFonts w:hint="eastAsia" w:ascii="Times New Roman" w:hAnsi="Times New Roman" w:cs="Times New Roman"/>
          <w:b/>
          <w:color w:val="auto"/>
          <w:w w:val="99"/>
          <w:szCs w:val="20"/>
          <w:highlight w:val="none"/>
        </w:rPr>
        <w:t>3.5.5</w:t>
      </w:r>
      <w:r>
        <w:rPr>
          <w:rFonts w:ascii="Times New Roman" w:hAnsi="Times New Roman" w:cs="Times New Roman"/>
          <w:b/>
          <w:color w:val="auto"/>
          <w:w w:val="99"/>
          <w:szCs w:val="20"/>
          <w:highlight w:val="none"/>
        </w:rPr>
        <w:t>.</w:t>
      </w:r>
      <w:r>
        <w:rPr>
          <w:rFonts w:hint="eastAsia" w:ascii="Times New Roman" w:hAnsi="Times New Roman" w:cs="Times New Roman"/>
          <w:b/>
          <w:color w:val="auto"/>
          <w:w w:val="99"/>
          <w:szCs w:val="20"/>
          <w:highlight w:val="none"/>
        </w:rPr>
        <w:t>3</w:t>
      </w:r>
      <w:r>
        <w:rPr>
          <w:rFonts w:ascii="Times New Roman" w:hAnsi="Times New Roman" w:cs="Times New Roman"/>
          <w:b/>
          <w:color w:val="auto"/>
          <w:w w:val="99"/>
          <w:szCs w:val="20"/>
          <w:highlight w:val="none"/>
        </w:rPr>
        <w:t>自控工程</w:t>
      </w:r>
    </w:p>
    <w:p w14:paraId="2923C233">
      <w:pPr>
        <w:widowControl w:val="0"/>
        <w:spacing w:line="440" w:lineRule="exact"/>
        <w:ind w:firstLine="474" w:firstLineChars="200"/>
        <w:rPr>
          <w:rFonts w:ascii="Times New Roman" w:hAnsi="Times New Roman" w:cs="Times New Roman"/>
          <w:color w:val="auto"/>
          <w:w w:val="99"/>
          <w:kern w:val="21"/>
          <w:highlight w:val="none"/>
        </w:rPr>
      </w:pPr>
      <w:r>
        <w:rPr>
          <w:rFonts w:ascii="Times New Roman" w:hAnsi="Times New Roman" w:cs="Times New Roman"/>
          <w:color w:val="auto"/>
          <w:w w:val="99"/>
          <w:kern w:val="21"/>
          <w:highlight w:val="none"/>
        </w:rPr>
        <w:t>本工程新建</w:t>
      </w:r>
      <w:r>
        <w:rPr>
          <w:rFonts w:hint="eastAsia" w:ascii="Times New Roman" w:hAnsi="Times New Roman" w:cs="Times New Roman"/>
          <w:color w:val="auto"/>
          <w:w w:val="99"/>
          <w:kern w:val="21"/>
          <w:highlight w:val="none"/>
        </w:rPr>
        <w:t>徐深27-H1</w:t>
      </w:r>
      <w:r>
        <w:rPr>
          <w:rFonts w:ascii="Times New Roman" w:hAnsi="Times New Roman" w:cs="Times New Roman"/>
          <w:color w:val="auto"/>
          <w:w w:val="99"/>
          <w:kern w:val="21"/>
          <w:highlight w:val="none"/>
        </w:rPr>
        <w:t>气井接入徐深</w:t>
      </w:r>
      <w:r>
        <w:rPr>
          <w:rFonts w:hint="eastAsia" w:ascii="Times New Roman" w:hAnsi="Times New Roman" w:cs="Times New Roman"/>
          <w:color w:val="auto"/>
          <w:w w:val="99"/>
          <w:kern w:val="21"/>
          <w:highlight w:val="none"/>
        </w:rPr>
        <w:t>27</w:t>
      </w:r>
      <w:r>
        <w:rPr>
          <w:rFonts w:ascii="Times New Roman" w:hAnsi="Times New Roman" w:cs="Times New Roman"/>
          <w:color w:val="auto"/>
          <w:w w:val="99"/>
          <w:kern w:val="21"/>
          <w:highlight w:val="none"/>
        </w:rPr>
        <w:t>集气站，井口按无人值守数字化模式进行建设。对徐深</w:t>
      </w:r>
      <w:r>
        <w:rPr>
          <w:rFonts w:hint="eastAsia" w:ascii="Times New Roman" w:hAnsi="Times New Roman" w:cs="Times New Roman"/>
          <w:color w:val="auto"/>
          <w:w w:val="99"/>
          <w:kern w:val="21"/>
          <w:highlight w:val="none"/>
        </w:rPr>
        <w:t>27</w:t>
      </w:r>
      <w:r>
        <w:rPr>
          <w:rFonts w:ascii="Times New Roman" w:hAnsi="Times New Roman" w:cs="Times New Roman"/>
          <w:color w:val="auto"/>
          <w:w w:val="99"/>
          <w:kern w:val="21"/>
          <w:highlight w:val="none"/>
        </w:rPr>
        <w:t>集气站进行改造，补充相应检测参数，并对已建站控系统进行扩容调整，将改造后数据上传生产调度中心/生产维护中心，由生产管理中心/生产调度中心直接对井口、集气站进行远程集中监控。</w:t>
      </w:r>
    </w:p>
    <w:p w14:paraId="5BDDDE21">
      <w:pPr>
        <w:widowControl w:val="0"/>
        <w:spacing w:line="440" w:lineRule="exact"/>
        <w:ind w:firstLine="474" w:firstLineChars="200"/>
        <w:rPr>
          <w:rFonts w:ascii="Times New Roman" w:hAnsi="Times New Roman" w:cs="Times New Roman"/>
          <w:color w:val="auto"/>
          <w:w w:val="99"/>
          <w:kern w:val="21"/>
          <w:highlight w:val="none"/>
        </w:rPr>
      </w:pPr>
      <w:r>
        <w:rPr>
          <w:rFonts w:hint="eastAsia" w:ascii="Times New Roman" w:hAnsi="Times New Roman" w:cs="Times New Roman"/>
          <w:color w:val="auto"/>
          <w:w w:val="99"/>
          <w:kern w:val="21"/>
          <w:highlight w:val="none"/>
        </w:rPr>
        <w:t>自控专业主要工程量见表3.5-8。</w:t>
      </w:r>
    </w:p>
    <w:p w14:paraId="699F911C">
      <w:pPr>
        <w:widowControl w:val="0"/>
        <w:spacing w:line="440" w:lineRule="exact"/>
        <w:ind w:firstLine="476" w:firstLineChars="200"/>
        <w:jc w:val="both"/>
        <w:rPr>
          <w:rFonts w:ascii="Times New Roman" w:hAnsi="Times New Roman" w:eastAsia="黑体" w:cs="Times New Roman"/>
          <w:b/>
          <w:bCs/>
          <w:color w:val="auto"/>
          <w:szCs w:val="22"/>
          <w:highlight w:val="none"/>
        </w:rPr>
      </w:pPr>
      <w:r>
        <w:rPr>
          <w:rFonts w:ascii="Times New Roman" w:hAnsi="Times New Roman" w:cs="Times New Roman"/>
          <w:b/>
          <w:bCs/>
          <w:color w:val="auto"/>
          <w:w w:val="99"/>
          <w:kern w:val="21"/>
          <w:highlight w:val="none"/>
        </w:rPr>
        <w:t>表</w:t>
      </w:r>
      <w:r>
        <w:rPr>
          <w:rFonts w:hint="eastAsia" w:ascii="Times New Roman" w:hAnsi="Times New Roman" w:cs="Times New Roman"/>
          <w:b/>
          <w:bCs/>
          <w:color w:val="auto"/>
          <w:w w:val="99"/>
          <w:kern w:val="21"/>
          <w:highlight w:val="none"/>
        </w:rPr>
        <w:t>3.5-8</w:t>
      </w:r>
      <w:r>
        <w:rPr>
          <w:rFonts w:ascii="Times New Roman" w:hAnsi="Times New Roman" w:cs="Times New Roman"/>
          <w:b/>
          <w:bCs/>
          <w:color w:val="auto"/>
          <w:w w:val="99"/>
          <w:kern w:val="21"/>
          <w:highlight w:val="none"/>
        </w:rPr>
        <w:t xml:space="preserve">   自控部分主要工程量表</w:t>
      </w:r>
    </w:p>
    <w:tbl>
      <w:tblPr>
        <w:tblStyle w:val="81"/>
        <w:tblW w:w="4997"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30" w:type="dxa"/>
          <w:bottom w:w="0" w:type="dxa"/>
          <w:right w:w="30" w:type="dxa"/>
        </w:tblCellMar>
      </w:tblPr>
      <w:tblGrid>
        <w:gridCol w:w="1116"/>
        <w:gridCol w:w="4236"/>
        <w:gridCol w:w="2100"/>
        <w:gridCol w:w="1673"/>
      </w:tblGrid>
      <w:tr w14:paraId="05BE8F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tblHeader/>
          <w:jc w:val="center"/>
        </w:trPr>
        <w:tc>
          <w:tcPr>
            <w:tcW w:w="611" w:type="pct"/>
            <w:tcBorders>
              <w:top w:val="single" w:color="000000" w:sz="4" w:space="0"/>
              <w:left w:val="single" w:color="000000" w:sz="4" w:space="0"/>
              <w:bottom w:val="single" w:color="auto" w:sz="6" w:space="0"/>
              <w:right w:val="single" w:color="auto" w:sz="6" w:space="0"/>
            </w:tcBorders>
            <w:vAlign w:val="center"/>
          </w:tcPr>
          <w:p w14:paraId="298EBDBC">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序号</w:t>
            </w:r>
          </w:p>
        </w:tc>
        <w:tc>
          <w:tcPr>
            <w:tcW w:w="2320" w:type="pct"/>
            <w:tcBorders>
              <w:top w:val="single" w:color="000000" w:sz="4" w:space="0"/>
              <w:left w:val="single" w:color="auto" w:sz="6" w:space="0"/>
              <w:bottom w:val="single" w:color="auto" w:sz="6" w:space="0"/>
              <w:right w:val="single" w:color="auto" w:sz="6" w:space="0"/>
            </w:tcBorders>
            <w:vAlign w:val="center"/>
          </w:tcPr>
          <w:p w14:paraId="6411919D">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名 称</w:t>
            </w:r>
          </w:p>
        </w:tc>
        <w:tc>
          <w:tcPr>
            <w:tcW w:w="1150" w:type="pct"/>
            <w:tcBorders>
              <w:top w:val="single" w:color="000000" w:sz="4" w:space="0"/>
              <w:left w:val="single" w:color="auto" w:sz="6" w:space="0"/>
              <w:bottom w:val="single" w:color="auto" w:sz="6" w:space="0"/>
              <w:right w:val="single" w:color="auto" w:sz="6" w:space="0"/>
            </w:tcBorders>
            <w:vAlign w:val="center"/>
          </w:tcPr>
          <w:p w14:paraId="110C1658">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单位</w:t>
            </w:r>
          </w:p>
        </w:tc>
        <w:tc>
          <w:tcPr>
            <w:tcW w:w="916" w:type="pct"/>
            <w:tcBorders>
              <w:top w:val="single" w:color="000000" w:sz="4" w:space="0"/>
              <w:left w:val="single" w:color="auto" w:sz="6" w:space="0"/>
              <w:bottom w:val="single" w:color="auto" w:sz="6" w:space="0"/>
              <w:right w:val="single" w:color="000000" w:sz="4" w:space="0"/>
            </w:tcBorders>
            <w:vAlign w:val="center"/>
          </w:tcPr>
          <w:p w14:paraId="17C1ED70">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数量</w:t>
            </w:r>
          </w:p>
        </w:tc>
      </w:tr>
      <w:tr w14:paraId="6A23A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jc w:val="center"/>
        </w:trPr>
        <w:tc>
          <w:tcPr>
            <w:tcW w:w="611" w:type="pct"/>
            <w:tcBorders>
              <w:top w:val="single" w:color="auto" w:sz="6" w:space="0"/>
              <w:left w:val="single" w:color="000000" w:sz="4" w:space="0"/>
              <w:bottom w:val="single" w:color="auto" w:sz="6" w:space="0"/>
              <w:right w:val="single" w:color="auto" w:sz="6" w:space="0"/>
            </w:tcBorders>
            <w:vAlign w:val="center"/>
          </w:tcPr>
          <w:p w14:paraId="7A8FE7E2">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一</w:t>
            </w:r>
          </w:p>
        </w:tc>
        <w:tc>
          <w:tcPr>
            <w:tcW w:w="2320" w:type="pct"/>
            <w:tcBorders>
              <w:top w:val="single" w:color="auto" w:sz="6" w:space="0"/>
              <w:left w:val="single" w:color="auto" w:sz="6" w:space="0"/>
              <w:bottom w:val="single" w:color="auto" w:sz="6" w:space="0"/>
              <w:right w:val="single" w:color="auto" w:sz="6" w:space="0"/>
            </w:tcBorders>
            <w:vAlign w:val="center"/>
          </w:tcPr>
          <w:p w14:paraId="7DBFD344">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井场</w:t>
            </w:r>
          </w:p>
        </w:tc>
        <w:tc>
          <w:tcPr>
            <w:tcW w:w="1150" w:type="pct"/>
            <w:tcBorders>
              <w:top w:val="single" w:color="auto" w:sz="6" w:space="0"/>
              <w:left w:val="single" w:color="auto" w:sz="6" w:space="0"/>
              <w:bottom w:val="single" w:color="auto" w:sz="6" w:space="0"/>
              <w:right w:val="single" w:color="auto" w:sz="6" w:space="0"/>
            </w:tcBorders>
            <w:vAlign w:val="center"/>
          </w:tcPr>
          <w:p w14:paraId="4318D5CF">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座</w:t>
            </w:r>
          </w:p>
        </w:tc>
        <w:tc>
          <w:tcPr>
            <w:tcW w:w="916" w:type="pct"/>
            <w:tcBorders>
              <w:top w:val="single" w:color="auto" w:sz="6" w:space="0"/>
              <w:left w:val="single" w:color="auto" w:sz="6" w:space="0"/>
              <w:bottom w:val="single" w:color="auto" w:sz="6" w:space="0"/>
              <w:right w:val="single" w:color="000000" w:sz="4" w:space="0"/>
            </w:tcBorders>
            <w:vAlign w:val="center"/>
          </w:tcPr>
          <w:p w14:paraId="2ACF34A7">
            <w:pPr>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1</w:t>
            </w:r>
          </w:p>
        </w:tc>
      </w:tr>
      <w:tr w14:paraId="66F851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jc w:val="center"/>
        </w:trPr>
        <w:tc>
          <w:tcPr>
            <w:tcW w:w="611" w:type="pct"/>
            <w:tcBorders>
              <w:top w:val="single" w:color="auto" w:sz="6" w:space="0"/>
              <w:left w:val="single" w:color="000000" w:sz="4" w:space="0"/>
              <w:bottom w:val="single" w:color="auto" w:sz="6" w:space="0"/>
              <w:right w:val="single" w:color="auto" w:sz="6" w:space="0"/>
            </w:tcBorders>
            <w:vAlign w:val="center"/>
          </w:tcPr>
          <w:p w14:paraId="747C5757">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1</w:t>
            </w:r>
          </w:p>
        </w:tc>
        <w:tc>
          <w:tcPr>
            <w:tcW w:w="4236" w:type="dxa"/>
            <w:tcBorders>
              <w:top w:val="single" w:color="auto" w:sz="6" w:space="0"/>
              <w:left w:val="single" w:color="auto" w:sz="6" w:space="0"/>
              <w:bottom w:val="single" w:color="auto" w:sz="6" w:space="0"/>
              <w:right w:val="single" w:color="auto" w:sz="6" w:space="0"/>
            </w:tcBorders>
            <w:vAlign w:val="center"/>
          </w:tcPr>
          <w:p w14:paraId="612FACF9">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压力变送器</w:t>
            </w:r>
          </w:p>
        </w:tc>
        <w:tc>
          <w:tcPr>
            <w:tcW w:w="1150" w:type="pct"/>
            <w:tcBorders>
              <w:top w:val="single" w:color="auto" w:sz="6" w:space="0"/>
              <w:left w:val="single" w:color="auto" w:sz="6" w:space="0"/>
              <w:bottom w:val="single" w:color="auto" w:sz="6" w:space="0"/>
              <w:right w:val="single" w:color="auto" w:sz="6" w:space="0"/>
            </w:tcBorders>
            <w:vAlign w:val="center"/>
          </w:tcPr>
          <w:p w14:paraId="7D0BBCC5">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台</w:t>
            </w:r>
          </w:p>
        </w:tc>
        <w:tc>
          <w:tcPr>
            <w:tcW w:w="916" w:type="pct"/>
            <w:tcBorders>
              <w:top w:val="single" w:color="auto" w:sz="6" w:space="0"/>
              <w:left w:val="single" w:color="auto" w:sz="6" w:space="0"/>
              <w:bottom w:val="single" w:color="auto" w:sz="6" w:space="0"/>
              <w:right w:val="single" w:color="000000" w:sz="4" w:space="0"/>
            </w:tcBorders>
            <w:vAlign w:val="center"/>
          </w:tcPr>
          <w:p w14:paraId="4655DC7C">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2</w:t>
            </w:r>
          </w:p>
        </w:tc>
      </w:tr>
      <w:tr w14:paraId="0D6170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jc w:val="center"/>
        </w:trPr>
        <w:tc>
          <w:tcPr>
            <w:tcW w:w="611" w:type="pct"/>
            <w:tcBorders>
              <w:top w:val="single" w:color="auto" w:sz="6" w:space="0"/>
              <w:left w:val="single" w:color="000000" w:sz="4" w:space="0"/>
              <w:bottom w:val="single" w:color="auto" w:sz="6" w:space="0"/>
              <w:right w:val="single" w:color="auto" w:sz="6" w:space="0"/>
            </w:tcBorders>
            <w:vAlign w:val="center"/>
          </w:tcPr>
          <w:p w14:paraId="5F6A97A7">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2</w:t>
            </w:r>
          </w:p>
        </w:tc>
        <w:tc>
          <w:tcPr>
            <w:tcW w:w="4236" w:type="dxa"/>
            <w:tcBorders>
              <w:top w:val="single" w:color="auto" w:sz="6" w:space="0"/>
              <w:left w:val="single" w:color="auto" w:sz="6" w:space="0"/>
              <w:bottom w:val="single" w:color="auto" w:sz="6" w:space="0"/>
              <w:right w:val="single" w:color="auto" w:sz="6" w:space="0"/>
            </w:tcBorders>
            <w:vAlign w:val="center"/>
          </w:tcPr>
          <w:p w14:paraId="1748DD3A">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温度变送器</w:t>
            </w:r>
          </w:p>
        </w:tc>
        <w:tc>
          <w:tcPr>
            <w:tcW w:w="1150" w:type="pct"/>
            <w:tcBorders>
              <w:top w:val="single" w:color="auto" w:sz="6" w:space="0"/>
              <w:left w:val="single" w:color="auto" w:sz="6" w:space="0"/>
              <w:bottom w:val="single" w:color="auto" w:sz="6" w:space="0"/>
              <w:right w:val="single" w:color="auto" w:sz="6" w:space="0"/>
            </w:tcBorders>
            <w:vAlign w:val="center"/>
          </w:tcPr>
          <w:p w14:paraId="615BC1B3">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台</w:t>
            </w:r>
          </w:p>
        </w:tc>
        <w:tc>
          <w:tcPr>
            <w:tcW w:w="916" w:type="pct"/>
            <w:tcBorders>
              <w:top w:val="single" w:color="auto" w:sz="6" w:space="0"/>
              <w:left w:val="single" w:color="auto" w:sz="6" w:space="0"/>
              <w:bottom w:val="single" w:color="auto" w:sz="6" w:space="0"/>
              <w:right w:val="single" w:color="000000" w:sz="4" w:space="0"/>
            </w:tcBorders>
            <w:vAlign w:val="center"/>
          </w:tcPr>
          <w:p w14:paraId="1822E2BF">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1</w:t>
            </w:r>
          </w:p>
        </w:tc>
      </w:tr>
      <w:tr w14:paraId="327C52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jc w:val="center"/>
        </w:trPr>
        <w:tc>
          <w:tcPr>
            <w:tcW w:w="611" w:type="pct"/>
            <w:tcBorders>
              <w:top w:val="single" w:color="auto" w:sz="6" w:space="0"/>
              <w:left w:val="single" w:color="000000" w:sz="4" w:space="0"/>
              <w:bottom w:val="single" w:color="auto" w:sz="6" w:space="0"/>
              <w:right w:val="single" w:color="auto" w:sz="6" w:space="0"/>
            </w:tcBorders>
            <w:vAlign w:val="center"/>
          </w:tcPr>
          <w:p w14:paraId="6E2145E0">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3</w:t>
            </w:r>
          </w:p>
        </w:tc>
        <w:tc>
          <w:tcPr>
            <w:tcW w:w="4236" w:type="dxa"/>
            <w:tcBorders>
              <w:top w:val="single" w:color="auto" w:sz="6" w:space="0"/>
              <w:left w:val="single" w:color="auto" w:sz="6" w:space="0"/>
              <w:bottom w:val="single" w:color="auto" w:sz="6" w:space="0"/>
              <w:right w:val="single" w:color="auto" w:sz="6" w:space="0"/>
            </w:tcBorders>
            <w:vAlign w:val="center"/>
          </w:tcPr>
          <w:p w14:paraId="0D82A042">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RTU控制系统</w:t>
            </w:r>
          </w:p>
        </w:tc>
        <w:tc>
          <w:tcPr>
            <w:tcW w:w="1150" w:type="pct"/>
            <w:tcBorders>
              <w:top w:val="single" w:color="auto" w:sz="6" w:space="0"/>
              <w:left w:val="single" w:color="auto" w:sz="6" w:space="0"/>
              <w:bottom w:val="single" w:color="auto" w:sz="6" w:space="0"/>
              <w:right w:val="single" w:color="auto" w:sz="6" w:space="0"/>
            </w:tcBorders>
            <w:vAlign w:val="center"/>
          </w:tcPr>
          <w:p w14:paraId="674ABD72">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套</w:t>
            </w:r>
          </w:p>
        </w:tc>
        <w:tc>
          <w:tcPr>
            <w:tcW w:w="916" w:type="pct"/>
            <w:tcBorders>
              <w:top w:val="single" w:color="auto" w:sz="6" w:space="0"/>
              <w:left w:val="single" w:color="auto" w:sz="6" w:space="0"/>
              <w:bottom w:val="single" w:color="auto" w:sz="6" w:space="0"/>
              <w:right w:val="single" w:color="000000" w:sz="4" w:space="0"/>
            </w:tcBorders>
            <w:vAlign w:val="center"/>
          </w:tcPr>
          <w:p w14:paraId="3952A478">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1</w:t>
            </w:r>
          </w:p>
        </w:tc>
      </w:tr>
      <w:tr w14:paraId="24940F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jc w:val="center"/>
        </w:trPr>
        <w:tc>
          <w:tcPr>
            <w:tcW w:w="611" w:type="pct"/>
            <w:tcBorders>
              <w:top w:val="single" w:color="auto" w:sz="6" w:space="0"/>
              <w:left w:val="single" w:color="000000" w:sz="4" w:space="0"/>
              <w:bottom w:val="single" w:color="auto" w:sz="6" w:space="0"/>
              <w:right w:val="single" w:color="auto" w:sz="6" w:space="0"/>
            </w:tcBorders>
            <w:vAlign w:val="center"/>
          </w:tcPr>
          <w:p w14:paraId="666A8116">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二</w:t>
            </w:r>
          </w:p>
        </w:tc>
        <w:tc>
          <w:tcPr>
            <w:tcW w:w="2320" w:type="pct"/>
            <w:tcBorders>
              <w:top w:val="single" w:color="auto" w:sz="6" w:space="0"/>
              <w:left w:val="single" w:color="auto" w:sz="6" w:space="0"/>
              <w:bottom w:val="single" w:color="auto" w:sz="6" w:space="0"/>
              <w:right w:val="single" w:color="auto" w:sz="6" w:space="0"/>
            </w:tcBorders>
            <w:vAlign w:val="center"/>
          </w:tcPr>
          <w:p w14:paraId="1EE70DEC">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徐深</w:t>
            </w:r>
            <w:r>
              <w:rPr>
                <w:rFonts w:hint="eastAsia" w:ascii="Times New Roman" w:hAnsi="Times New Roman" w:cs="Times New Roman"/>
                <w:color w:val="auto"/>
                <w:w w:val="99"/>
                <w:kern w:val="2"/>
                <w:sz w:val="21"/>
                <w:szCs w:val="21"/>
                <w:highlight w:val="none"/>
              </w:rPr>
              <w:t>27</w:t>
            </w:r>
            <w:r>
              <w:rPr>
                <w:rFonts w:ascii="Times New Roman" w:hAnsi="Times New Roman" w:cs="Times New Roman"/>
                <w:color w:val="auto"/>
                <w:w w:val="99"/>
                <w:kern w:val="2"/>
                <w:sz w:val="21"/>
                <w:szCs w:val="21"/>
                <w:highlight w:val="none"/>
              </w:rPr>
              <w:t>集气站</w:t>
            </w:r>
          </w:p>
        </w:tc>
        <w:tc>
          <w:tcPr>
            <w:tcW w:w="1150" w:type="pct"/>
            <w:tcBorders>
              <w:top w:val="single" w:color="auto" w:sz="6" w:space="0"/>
              <w:left w:val="single" w:color="auto" w:sz="6" w:space="0"/>
              <w:bottom w:val="single" w:color="auto" w:sz="6" w:space="0"/>
              <w:right w:val="single" w:color="auto" w:sz="6" w:space="0"/>
            </w:tcBorders>
            <w:vAlign w:val="center"/>
          </w:tcPr>
          <w:p w14:paraId="210DE3EA">
            <w:pPr>
              <w:spacing w:line="320" w:lineRule="exact"/>
              <w:jc w:val="center"/>
              <w:rPr>
                <w:rFonts w:ascii="Times New Roman" w:hAnsi="Times New Roman" w:cs="Times New Roman"/>
                <w:color w:val="auto"/>
                <w:w w:val="99"/>
                <w:kern w:val="2"/>
                <w:sz w:val="21"/>
                <w:szCs w:val="21"/>
                <w:highlight w:val="none"/>
              </w:rPr>
            </w:pPr>
          </w:p>
        </w:tc>
        <w:tc>
          <w:tcPr>
            <w:tcW w:w="916" w:type="pct"/>
            <w:tcBorders>
              <w:top w:val="single" w:color="auto" w:sz="6" w:space="0"/>
              <w:left w:val="single" w:color="auto" w:sz="6" w:space="0"/>
              <w:bottom w:val="single" w:color="auto" w:sz="6" w:space="0"/>
              <w:right w:val="single" w:color="000000" w:sz="4" w:space="0"/>
            </w:tcBorders>
            <w:vAlign w:val="center"/>
          </w:tcPr>
          <w:p w14:paraId="2CED3EEF">
            <w:pPr>
              <w:spacing w:line="320" w:lineRule="exact"/>
              <w:jc w:val="center"/>
              <w:rPr>
                <w:rFonts w:ascii="Times New Roman" w:hAnsi="Times New Roman" w:cs="Times New Roman"/>
                <w:color w:val="auto"/>
                <w:w w:val="99"/>
                <w:kern w:val="2"/>
                <w:sz w:val="21"/>
                <w:szCs w:val="21"/>
                <w:highlight w:val="none"/>
              </w:rPr>
            </w:pPr>
          </w:p>
        </w:tc>
      </w:tr>
      <w:tr w14:paraId="247BFE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jc w:val="center"/>
        </w:trPr>
        <w:tc>
          <w:tcPr>
            <w:tcW w:w="611" w:type="pct"/>
            <w:tcBorders>
              <w:top w:val="single" w:color="auto" w:sz="6" w:space="0"/>
              <w:left w:val="single" w:color="000000" w:sz="4" w:space="0"/>
              <w:bottom w:val="single" w:color="auto" w:sz="6" w:space="0"/>
              <w:right w:val="single" w:color="auto" w:sz="6" w:space="0"/>
            </w:tcBorders>
            <w:vAlign w:val="center"/>
          </w:tcPr>
          <w:p w14:paraId="5F2DD434">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1</w:t>
            </w:r>
          </w:p>
        </w:tc>
        <w:tc>
          <w:tcPr>
            <w:tcW w:w="4236" w:type="dxa"/>
            <w:tcBorders>
              <w:top w:val="single" w:color="auto" w:sz="6" w:space="0"/>
              <w:left w:val="single" w:color="auto" w:sz="6" w:space="0"/>
              <w:bottom w:val="single" w:color="auto" w:sz="6" w:space="0"/>
              <w:right w:val="single" w:color="auto" w:sz="6" w:space="0"/>
            </w:tcBorders>
            <w:vAlign w:val="center"/>
          </w:tcPr>
          <w:p w14:paraId="7C32AE59">
            <w:pPr>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压力变送器</w:t>
            </w:r>
          </w:p>
        </w:tc>
        <w:tc>
          <w:tcPr>
            <w:tcW w:w="2100" w:type="dxa"/>
            <w:tcBorders>
              <w:top w:val="single" w:color="auto" w:sz="6" w:space="0"/>
              <w:left w:val="single" w:color="auto" w:sz="6" w:space="0"/>
              <w:bottom w:val="single" w:color="auto" w:sz="6" w:space="0"/>
              <w:right w:val="single" w:color="auto" w:sz="6" w:space="0"/>
            </w:tcBorders>
            <w:vAlign w:val="center"/>
          </w:tcPr>
          <w:p w14:paraId="3F5775E8">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台</w:t>
            </w:r>
          </w:p>
        </w:tc>
        <w:tc>
          <w:tcPr>
            <w:tcW w:w="916" w:type="pct"/>
            <w:tcBorders>
              <w:top w:val="single" w:color="auto" w:sz="6" w:space="0"/>
              <w:left w:val="single" w:color="auto" w:sz="6" w:space="0"/>
              <w:bottom w:val="single" w:color="auto" w:sz="6" w:space="0"/>
              <w:right w:val="single" w:color="000000" w:sz="4" w:space="0"/>
            </w:tcBorders>
            <w:vAlign w:val="center"/>
          </w:tcPr>
          <w:p w14:paraId="19531C93">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1</w:t>
            </w:r>
          </w:p>
        </w:tc>
      </w:tr>
      <w:tr w14:paraId="34969C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jc w:val="center"/>
        </w:trPr>
        <w:tc>
          <w:tcPr>
            <w:tcW w:w="611" w:type="pct"/>
            <w:tcBorders>
              <w:top w:val="single" w:color="auto" w:sz="6" w:space="0"/>
              <w:left w:val="single" w:color="000000" w:sz="4" w:space="0"/>
              <w:bottom w:val="single" w:color="auto" w:sz="6" w:space="0"/>
              <w:right w:val="single" w:color="auto" w:sz="6" w:space="0"/>
            </w:tcBorders>
            <w:vAlign w:val="center"/>
          </w:tcPr>
          <w:p w14:paraId="43D8CEEE">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2</w:t>
            </w:r>
          </w:p>
        </w:tc>
        <w:tc>
          <w:tcPr>
            <w:tcW w:w="4236" w:type="dxa"/>
            <w:tcBorders>
              <w:top w:val="single" w:color="auto" w:sz="6" w:space="0"/>
              <w:left w:val="single" w:color="auto" w:sz="6" w:space="0"/>
              <w:bottom w:val="single" w:color="auto" w:sz="6" w:space="0"/>
              <w:right w:val="single" w:color="auto" w:sz="6" w:space="0"/>
            </w:tcBorders>
            <w:vAlign w:val="center"/>
          </w:tcPr>
          <w:p w14:paraId="6F87684F">
            <w:pPr>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一体化温度变送器</w:t>
            </w:r>
          </w:p>
        </w:tc>
        <w:tc>
          <w:tcPr>
            <w:tcW w:w="2100" w:type="dxa"/>
            <w:tcBorders>
              <w:top w:val="single" w:color="auto" w:sz="6" w:space="0"/>
              <w:left w:val="single" w:color="auto" w:sz="6" w:space="0"/>
              <w:bottom w:val="single" w:color="auto" w:sz="6" w:space="0"/>
              <w:right w:val="single" w:color="auto" w:sz="6" w:space="0"/>
            </w:tcBorders>
            <w:vAlign w:val="center"/>
          </w:tcPr>
          <w:p w14:paraId="38B99576">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台</w:t>
            </w:r>
          </w:p>
        </w:tc>
        <w:tc>
          <w:tcPr>
            <w:tcW w:w="916" w:type="pct"/>
            <w:tcBorders>
              <w:top w:val="single" w:color="auto" w:sz="6" w:space="0"/>
              <w:left w:val="single" w:color="auto" w:sz="6" w:space="0"/>
              <w:bottom w:val="single" w:color="auto" w:sz="6" w:space="0"/>
              <w:right w:val="single" w:color="000000" w:sz="4" w:space="0"/>
            </w:tcBorders>
            <w:vAlign w:val="center"/>
          </w:tcPr>
          <w:p w14:paraId="42A7A5F6">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1</w:t>
            </w:r>
          </w:p>
        </w:tc>
      </w:tr>
      <w:tr w14:paraId="451123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jc w:val="center"/>
        </w:trPr>
        <w:tc>
          <w:tcPr>
            <w:tcW w:w="611" w:type="pct"/>
            <w:tcBorders>
              <w:top w:val="single" w:color="auto" w:sz="6" w:space="0"/>
              <w:left w:val="single" w:color="000000" w:sz="4" w:space="0"/>
              <w:bottom w:val="single" w:color="auto" w:sz="6" w:space="0"/>
              <w:right w:val="single" w:color="auto" w:sz="6" w:space="0"/>
            </w:tcBorders>
            <w:vAlign w:val="center"/>
          </w:tcPr>
          <w:p w14:paraId="110DBE75">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3</w:t>
            </w:r>
          </w:p>
        </w:tc>
        <w:tc>
          <w:tcPr>
            <w:tcW w:w="4236" w:type="dxa"/>
            <w:tcBorders>
              <w:top w:val="single" w:color="auto" w:sz="6" w:space="0"/>
              <w:left w:val="single" w:color="auto" w:sz="6" w:space="0"/>
              <w:bottom w:val="single" w:color="auto" w:sz="6" w:space="0"/>
              <w:right w:val="single" w:color="auto" w:sz="6" w:space="0"/>
            </w:tcBorders>
            <w:vAlign w:val="center"/>
          </w:tcPr>
          <w:p w14:paraId="575049FF">
            <w:pPr>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电动开关球阀  DN80  CL600</w:t>
            </w:r>
          </w:p>
        </w:tc>
        <w:tc>
          <w:tcPr>
            <w:tcW w:w="2100" w:type="dxa"/>
            <w:tcBorders>
              <w:top w:val="single" w:color="auto" w:sz="6" w:space="0"/>
              <w:left w:val="single" w:color="auto" w:sz="6" w:space="0"/>
              <w:bottom w:val="single" w:color="auto" w:sz="6" w:space="0"/>
              <w:right w:val="single" w:color="auto" w:sz="6" w:space="0"/>
            </w:tcBorders>
            <w:vAlign w:val="center"/>
          </w:tcPr>
          <w:p w14:paraId="3E339E05">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台</w:t>
            </w:r>
          </w:p>
        </w:tc>
        <w:tc>
          <w:tcPr>
            <w:tcW w:w="916" w:type="pct"/>
            <w:tcBorders>
              <w:top w:val="single" w:color="auto" w:sz="6" w:space="0"/>
              <w:left w:val="single" w:color="auto" w:sz="6" w:space="0"/>
              <w:bottom w:val="single" w:color="auto" w:sz="6" w:space="0"/>
              <w:right w:val="single" w:color="000000" w:sz="4" w:space="0"/>
            </w:tcBorders>
            <w:vAlign w:val="center"/>
          </w:tcPr>
          <w:p w14:paraId="5D41EC3F">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1</w:t>
            </w:r>
          </w:p>
        </w:tc>
      </w:tr>
      <w:tr w14:paraId="134717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jc w:val="center"/>
        </w:trPr>
        <w:tc>
          <w:tcPr>
            <w:tcW w:w="611" w:type="pct"/>
            <w:tcBorders>
              <w:top w:val="single" w:color="auto" w:sz="6" w:space="0"/>
              <w:left w:val="single" w:color="000000" w:sz="4" w:space="0"/>
              <w:bottom w:val="single" w:color="auto" w:sz="6" w:space="0"/>
              <w:right w:val="single" w:color="auto" w:sz="6" w:space="0"/>
            </w:tcBorders>
            <w:vAlign w:val="center"/>
          </w:tcPr>
          <w:p w14:paraId="3D802E19">
            <w:pPr>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4</w:t>
            </w:r>
          </w:p>
        </w:tc>
        <w:tc>
          <w:tcPr>
            <w:tcW w:w="4236" w:type="dxa"/>
            <w:tcBorders>
              <w:top w:val="single" w:color="auto" w:sz="6" w:space="0"/>
              <w:left w:val="single" w:color="auto" w:sz="6" w:space="0"/>
              <w:bottom w:val="single" w:color="auto" w:sz="6" w:space="0"/>
              <w:right w:val="single" w:color="auto" w:sz="6" w:space="0"/>
            </w:tcBorders>
            <w:vAlign w:val="center"/>
          </w:tcPr>
          <w:p w14:paraId="7975555D">
            <w:pPr>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电动开关球阀  DN65  CL2500</w:t>
            </w:r>
          </w:p>
        </w:tc>
        <w:tc>
          <w:tcPr>
            <w:tcW w:w="2100" w:type="dxa"/>
            <w:tcBorders>
              <w:top w:val="single" w:color="auto" w:sz="6" w:space="0"/>
              <w:left w:val="single" w:color="auto" w:sz="6" w:space="0"/>
              <w:bottom w:val="single" w:color="auto" w:sz="6" w:space="0"/>
              <w:right w:val="single" w:color="auto" w:sz="6" w:space="0"/>
            </w:tcBorders>
            <w:vAlign w:val="center"/>
          </w:tcPr>
          <w:p w14:paraId="2558BA49">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台</w:t>
            </w:r>
          </w:p>
        </w:tc>
        <w:tc>
          <w:tcPr>
            <w:tcW w:w="916" w:type="pct"/>
            <w:tcBorders>
              <w:top w:val="single" w:color="auto" w:sz="6" w:space="0"/>
              <w:left w:val="single" w:color="auto" w:sz="6" w:space="0"/>
              <w:bottom w:val="single" w:color="auto" w:sz="6" w:space="0"/>
              <w:right w:val="single" w:color="000000" w:sz="4" w:space="0"/>
            </w:tcBorders>
            <w:vAlign w:val="center"/>
          </w:tcPr>
          <w:p w14:paraId="57EF52C4">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1</w:t>
            </w:r>
          </w:p>
        </w:tc>
      </w:tr>
      <w:tr w14:paraId="7EA9B9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jc w:val="center"/>
        </w:trPr>
        <w:tc>
          <w:tcPr>
            <w:tcW w:w="611" w:type="pct"/>
            <w:tcBorders>
              <w:top w:val="single" w:color="auto" w:sz="6" w:space="0"/>
              <w:left w:val="single" w:color="000000" w:sz="4" w:space="0"/>
              <w:bottom w:val="single" w:color="auto" w:sz="6" w:space="0"/>
              <w:right w:val="single" w:color="auto" w:sz="6" w:space="0"/>
            </w:tcBorders>
            <w:vAlign w:val="center"/>
          </w:tcPr>
          <w:p w14:paraId="29630B1B">
            <w:pPr>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5</w:t>
            </w:r>
          </w:p>
        </w:tc>
        <w:tc>
          <w:tcPr>
            <w:tcW w:w="4236" w:type="dxa"/>
            <w:tcBorders>
              <w:top w:val="single" w:color="auto" w:sz="6" w:space="0"/>
              <w:left w:val="single" w:color="auto" w:sz="6" w:space="0"/>
              <w:bottom w:val="single" w:color="auto" w:sz="6" w:space="0"/>
              <w:right w:val="single" w:color="auto" w:sz="6" w:space="0"/>
            </w:tcBorders>
            <w:vAlign w:val="center"/>
          </w:tcPr>
          <w:p w14:paraId="57ADCF71">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过程控制系统扩容</w:t>
            </w:r>
          </w:p>
        </w:tc>
        <w:tc>
          <w:tcPr>
            <w:tcW w:w="2100" w:type="dxa"/>
            <w:tcBorders>
              <w:top w:val="single" w:color="auto" w:sz="6" w:space="0"/>
              <w:left w:val="single" w:color="auto" w:sz="6" w:space="0"/>
              <w:bottom w:val="single" w:color="auto" w:sz="6" w:space="0"/>
              <w:right w:val="single" w:color="auto" w:sz="6" w:space="0"/>
            </w:tcBorders>
            <w:vAlign w:val="center"/>
          </w:tcPr>
          <w:p w14:paraId="41FC0A93">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项</w:t>
            </w:r>
          </w:p>
        </w:tc>
        <w:tc>
          <w:tcPr>
            <w:tcW w:w="916" w:type="pct"/>
            <w:tcBorders>
              <w:top w:val="single" w:color="auto" w:sz="6" w:space="0"/>
              <w:left w:val="single" w:color="auto" w:sz="6" w:space="0"/>
              <w:bottom w:val="single" w:color="auto" w:sz="6" w:space="0"/>
              <w:right w:val="single" w:color="000000" w:sz="4" w:space="0"/>
            </w:tcBorders>
            <w:vAlign w:val="center"/>
          </w:tcPr>
          <w:p w14:paraId="7D2E9226">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1</w:t>
            </w:r>
          </w:p>
        </w:tc>
      </w:tr>
      <w:tr w14:paraId="7E44BF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jc w:val="center"/>
        </w:trPr>
        <w:tc>
          <w:tcPr>
            <w:tcW w:w="611" w:type="pct"/>
            <w:tcBorders>
              <w:top w:val="single" w:color="auto" w:sz="6" w:space="0"/>
              <w:left w:val="single" w:color="000000" w:sz="4" w:space="0"/>
              <w:bottom w:val="single" w:color="auto" w:sz="6" w:space="0"/>
              <w:right w:val="single" w:color="auto" w:sz="6" w:space="0"/>
            </w:tcBorders>
            <w:vAlign w:val="center"/>
          </w:tcPr>
          <w:p w14:paraId="503CAEDF">
            <w:pPr>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6</w:t>
            </w:r>
          </w:p>
        </w:tc>
        <w:tc>
          <w:tcPr>
            <w:tcW w:w="4236" w:type="dxa"/>
            <w:tcBorders>
              <w:top w:val="single" w:color="auto" w:sz="6" w:space="0"/>
              <w:left w:val="single" w:color="auto" w:sz="6" w:space="0"/>
              <w:bottom w:val="single" w:color="auto" w:sz="6" w:space="0"/>
              <w:right w:val="single" w:color="auto" w:sz="6" w:space="0"/>
            </w:tcBorders>
            <w:vAlign w:val="center"/>
          </w:tcPr>
          <w:p w14:paraId="430D741B">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采气分公司生产调度中心监控系统软件调整</w:t>
            </w:r>
          </w:p>
        </w:tc>
        <w:tc>
          <w:tcPr>
            <w:tcW w:w="2100" w:type="dxa"/>
            <w:tcBorders>
              <w:top w:val="single" w:color="auto" w:sz="6" w:space="0"/>
              <w:left w:val="single" w:color="auto" w:sz="6" w:space="0"/>
              <w:bottom w:val="single" w:color="auto" w:sz="6" w:space="0"/>
              <w:right w:val="single" w:color="auto" w:sz="6" w:space="0"/>
            </w:tcBorders>
            <w:vAlign w:val="center"/>
          </w:tcPr>
          <w:p w14:paraId="762C1A81">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套</w:t>
            </w:r>
          </w:p>
        </w:tc>
        <w:tc>
          <w:tcPr>
            <w:tcW w:w="916" w:type="pct"/>
            <w:tcBorders>
              <w:top w:val="single" w:color="auto" w:sz="6" w:space="0"/>
              <w:left w:val="single" w:color="auto" w:sz="6" w:space="0"/>
              <w:bottom w:val="single" w:color="auto" w:sz="6" w:space="0"/>
              <w:right w:val="single" w:color="000000" w:sz="4" w:space="0"/>
            </w:tcBorders>
            <w:vAlign w:val="center"/>
          </w:tcPr>
          <w:p w14:paraId="1501B9E2">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1</w:t>
            </w:r>
          </w:p>
        </w:tc>
      </w:tr>
      <w:tr w14:paraId="534D11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jc w:val="center"/>
        </w:trPr>
        <w:tc>
          <w:tcPr>
            <w:tcW w:w="611" w:type="pct"/>
            <w:tcBorders>
              <w:top w:val="single" w:color="auto" w:sz="6" w:space="0"/>
              <w:left w:val="single" w:color="000000" w:sz="4" w:space="0"/>
              <w:bottom w:val="single" w:color="000000" w:sz="4" w:space="0"/>
              <w:right w:val="single" w:color="auto" w:sz="6" w:space="0"/>
            </w:tcBorders>
            <w:vAlign w:val="center"/>
          </w:tcPr>
          <w:p w14:paraId="2E7A7956">
            <w:pPr>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7</w:t>
            </w:r>
          </w:p>
        </w:tc>
        <w:tc>
          <w:tcPr>
            <w:tcW w:w="4236" w:type="dxa"/>
            <w:tcBorders>
              <w:top w:val="single" w:color="auto" w:sz="6" w:space="0"/>
              <w:left w:val="single" w:color="auto" w:sz="6" w:space="0"/>
              <w:bottom w:val="single" w:color="000000" w:sz="4" w:space="0"/>
              <w:right w:val="single" w:color="auto" w:sz="6" w:space="0"/>
            </w:tcBorders>
            <w:vAlign w:val="center"/>
          </w:tcPr>
          <w:p w14:paraId="2B8DAD4A">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采气分公司巡检维护中心监控系统软件调整</w:t>
            </w:r>
          </w:p>
        </w:tc>
        <w:tc>
          <w:tcPr>
            <w:tcW w:w="2100" w:type="dxa"/>
            <w:tcBorders>
              <w:top w:val="single" w:color="auto" w:sz="6" w:space="0"/>
              <w:left w:val="single" w:color="auto" w:sz="6" w:space="0"/>
              <w:bottom w:val="single" w:color="000000" w:sz="4" w:space="0"/>
              <w:right w:val="single" w:color="auto" w:sz="6" w:space="0"/>
            </w:tcBorders>
            <w:vAlign w:val="center"/>
          </w:tcPr>
          <w:p w14:paraId="753DA993">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套</w:t>
            </w:r>
          </w:p>
        </w:tc>
        <w:tc>
          <w:tcPr>
            <w:tcW w:w="916" w:type="pct"/>
            <w:tcBorders>
              <w:top w:val="single" w:color="auto" w:sz="6" w:space="0"/>
              <w:left w:val="single" w:color="auto" w:sz="6" w:space="0"/>
              <w:bottom w:val="single" w:color="000000" w:sz="4" w:space="0"/>
              <w:right w:val="single" w:color="000000" w:sz="4" w:space="0"/>
            </w:tcBorders>
            <w:vAlign w:val="center"/>
          </w:tcPr>
          <w:p w14:paraId="599F675C">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1</w:t>
            </w:r>
          </w:p>
        </w:tc>
      </w:tr>
    </w:tbl>
    <w:p w14:paraId="4E962D19">
      <w:pPr>
        <w:widowControl w:val="0"/>
        <w:spacing w:line="440" w:lineRule="exact"/>
        <w:outlineLvl w:val="3"/>
        <w:rPr>
          <w:rFonts w:ascii="Times New Roman" w:hAnsi="Times New Roman" w:cs="Times New Roman" w:eastAsiaTheme="minorEastAsia"/>
          <w:b/>
          <w:color w:val="auto"/>
          <w:w w:val="99"/>
          <w:szCs w:val="20"/>
          <w:highlight w:val="none"/>
        </w:rPr>
      </w:pPr>
      <w:r>
        <w:rPr>
          <w:rFonts w:hint="eastAsia" w:ascii="Times New Roman" w:hAnsi="Times New Roman" w:cs="Times New Roman" w:eastAsiaTheme="minorEastAsia"/>
          <w:b/>
          <w:color w:val="auto"/>
          <w:w w:val="99"/>
          <w:szCs w:val="20"/>
          <w:highlight w:val="none"/>
        </w:rPr>
        <w:t>3.5.5</w:t>
      </w:r>
      <w:r>
        <w:rPr>
          <w:rFonts w:ascii="Times New Roman" w:hAnsi="Times New Roman" w:cs="Times New Roman" w:eastAsiaTheme="minorEastAsia"/>
          <w:b/>
          <w:color w:val="auto"/>
          <w:w w:val="99"/>
          <w:szCs w:val="20"/>
          <w:highlight w:val="none"/>
        </w:rPr>
        <w:t>.</w:t>
      </w:r>
      <w:r>
        <w:rPr>
          <w:rFonts w:hint="eastAsia" w:ascii="Times New Roman" w:hAnsi="Times New Roman" w:cs="Times New Roman" w:eastAsiaTheme="minorEastAsia"/>
          <w:b/>
          <w:color w:val="auto"/>
          <w:w w:val="99"/>
          <w:szCs w:val="20"/>
          <w:highlight w:val="none"/>
        </w:rPr>
        <w:t>4通信</w:t>
      </w:r>
      <w:r>
        <w:rPr>
          <w:rFonts w:ascii="Times New Roman" w:hAnsi="Times New Roman" w:cs="Times New Roman" w:eastAsiaTheme="minorEastAsia"/>
          <w:b/>
          <w:color w:val="auto"/>
          <w:w w:val="99"/>
          <w:szCs w:val="20"/>
          <w:highlight w:val="none"/>
        </w:rPr>
        <w:t>工程</w:t>
      </w:r>
    </w:p>
    <w:p w14:paraId="724CEE52">
      <w:pPr>
        <w:widowControl w:val="0"/>
        <w:spacing w:line="440" w:lineRule="exact"/>
        <w:ind w:firstLine="474" w:firstLineChars="200"/>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本工程通信与安防系统设计主要包括数据传输系统、安防系统、通信电源及供电接地防系统等共3部分。</w:t>
      </w:r>
      <w:r>
        <w:rPr>
          <w:rFonts w:hint="eastAsia" w:ascii="Times New Roman" w:hAnsi="Times New Roman" w:cs="Times New Roman" w:eastAsiaTheme="minorEastAsia"/>
          <w:color w:val="auto"/>
          <w:w w:val="99"/>
          <w:kern w:val="21"/>
          <w:highlight w:val="none"/>
        </w:rPr>
        <w:t>主要工程量见表3.5-9。</w:t>
      </w:r>
    </w:p>
    <w:p w14:paraId="0C5FC29E">
      <w:pPr>
        <w:widowControl w:val="0"/>
        <w:spacing w:line="440" w:lineRule="exact"/>
        <w:ind w:firstLine="476" w:firstLineChars="200"/>
        <w:jc w:val="both"/>
        <w:rPr>
          <w:rFonts w:ascii="Times New Roman" w:hAnsi="Times New Roman" w:cs="Times New Roman"/>
          <w:b/>
          <w:bCs/>
          <w:color w:val="auto"/>
          <w:w w:val="99"/>
          <w:kern w:val="21"/>
          <w:highlight w:val="none"/>
        </w:rPr>
      </w:pPr>
      <w:r>
        <w:rPr>
          <w:rFonts w:ascii="Times New Roman" w:hAnsi="Times New Roman" w:cs="Times New Roman"/>
          <w:b/>
          <w:bCs/>
          <w:color w:val="auto"/>
          <w:w w:val="99"/>
          <w:kern w:val="21"/>
          <w:highlight w:val="none"/>
        </w:rPr>
        <w:t>表</w:t>
      </w:r>
      <w:r>
        <w:rPr>
          <w:rFonts w:hint="eastAsia" w:ascii="Times New Roman" w:hAnsi="Times New Roman" w:cs="Times New Roman"/>
          <w:b/>
          <w:bCs/>
          <w:color w:val="auto"/>
          <w:w w:val="99"/>
          <w:kern w:val="21"/>
          <w:highlight w:val="none"/>
        </w:rPr>
        <w:t>3.5</w:t>
      </w:r>
      <w:r>
        <w:rPr>
          <w:rFonts w:ascii="Times New Roman" w:hAnsi="Times New Roman" w:cs="Times New Roman"/>
          <w:b/>
          <w:bCs/>
          <w:color w:val="auto"/>
          <w:w w:val="99"/>
          <w:kern w:val="21"/>
          <w:highlight w:val="none"/>
        </w:rPr>
        <w:t>-</w:t>
      </w:r>
      <w:r>
        <w:rPr>
          <w:rFonts w:hint="eastAsia" w:ascii="Times New Roman" w:hAnsi="Times New Roman" w:cs="Times New Roman"/>
          <w:b/>
          <w:bCs/>
          <w:color w:val="auto"/>
          <w:w w:val="99"/>
          <w:kern w:val="21"/>
          <w:highlight w:val="none"/>
        </w:rPr>
        <w:t>9</w:t>
      </w:r>
      <w:r>
        <w:rPr>
          <w:rFonts w:ascii="Times New Roman" w:hAnsi="Times New Roman" w:cs="Times New Roman"/>
          <w:b/>
          <w:bCs/>
          <w:color w:val="auto"/>
          <w:w w:val="99"/>
          <w:kern w:val="21"/>
          <w:highlight w:val="none"/>
        </w:rPr>
        <w:t xml:space="preserve"> 主要工程量表</w:t>
      </w:r>
    </w:p>
    <w:tbl>
      <w:tblPr>
        <w:tblStyle w:val="81"/>
        <w:tblW w:w="5015"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774"/>
        <w:gridCol w:w="5842"/>
        <w:gridCol w:w="575"/>
        <w:gridCol w:w="575"/>
        <w:gridCol w:w="1361"/>
      </w:tblGrid>
      <w:tr w14:paraId="38C3F3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0" w:hRule="atLeast"/>
          <w:tblHeader/>
          <w:jc w:val="center"/>
        </w:trPr>
        <w:tc>
          <w:tcPr>
            <w:tcW w:w="424" w:type="pct"/>
            <w:vAlign w:val="center"/>
          </w:tcPr>
          <w:p w14:paraId="50B9E091">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序号</w:t>
            </w:r>
          </w:p>
        </w:tc>
        <w:tc>
          <w:tcPr>
            <w:tcW w:w="3199" w:type="pct"/>
            <w:vAlign w:val="center"/>
          </w:tcPr>
          <w:p w14:paraId="05E90B39">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主要工程内容</w:t>
            </w:r>
          </w:p>
        </w:tc>
        <w:tc>
          <w:tcPr>
            <w:tcW w:w="315" w:type="pct"/>
            <w:vAlign w:val="center"/>
          </w:tcPr>
          <w:p w14:paraId="58603670">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单位</w:t>
            </w:r>
          </w:p>
        </w:tc>
        <w:tc>
          <w:tcPr>
            <w:tcW w:w="315" w:type="pct"/>
            <w:vAlign w:val="center"/>
          </w:tcPr>
          <w:p w14:paraId="7E155162">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数量</w:t>
            </w:r>
          </w:p>
        </w:tc>
        <w:tc>
          <w:tcPr>
            <w:tcW w:w="745" w:type="pct"/>
            <w:vAlign w:val="center"/>
          </w:tcPr>
          <w:p w14:paraId="12E00F9F">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备注</w:t>
            </w:r>
          </w:p>
        </w:tc>
      </w:tr>
      <w:tr w14:paraId="5486D9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24" w:type="pct"/>
            <w:vAlign w:val="center"/>
          </w:tcPr>
          <w:p w14:paraId="505B53BB">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（一）</w:t>
            </w:r>
          </w:p>
        </w:tc>
        <w:tc>
          <w:tcPr>
            <w:tcW w:w="3199" w:type="pct"/>
            <w:vAlign w:val="center"/>
          </w:tcPr>
          <w:p w14:paraId="5AA801D3">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数据传输系统</w:t>
            </w:r>
          </w:p>
        </w:tc>
        <w:tc>
          <w:tcPr>
            <w:tcW w:w="315" w:type="pct"/>
            <w:vAlign w:val="center"/>
          </w:tcPr>
          <w:p w14:paraId="7A5AF422">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315" w:type="pct"/>
            <w:vAlign w:val="center"/>
          </w:tcPr>
          <w:p w14:paraId="0E54BF8E">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745" w:type="pct"/>
            <w:vAlign w:val="center"/>
          </w:tcPr>
          <w:p w14:paraId="64456028">
            <w:pPr>
              <w:adjustRightInd w:val="0"/>
              <w:snapToGrid w:val="0"/>
              <w:spacing w:line="360" w:lineRule="exact"/>
              <w:jc w:val="center"/>
              <w:rPr>
                <w:rFonts w:ascii="Times New Roman" w:hAnsi="Times New Roman" w:cs="Times New Roman"/>
                <w:color w:val="auto"/>
                <w:w w:val="99"/>
                <w:kern w:val="2"/>
                <w:sz w:val="21"/>
                <w:szCs w:val="21"/>
                <w:highlight w:val="none"/>
              </w:rPr>
            </w:pPr>
          </w:p>
        </w:tc>
      </w:tr>
      <w:tr w14:paraId="495EBE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24" w:type="pct"/>
            <w:vAlign w:val="center"/>
          </w:tcPr>
          <w:p w14:paraId="5460CC60">
            <w:pPr>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1</w:t>
            </w:r>
            <w:r>
              <w:rPr>
                <w:rFonts w:ascii="Times New Roman" w:hAnsi="Times New Roman" w:cs="Times New Roman"/>
                <w:color w:val="auto"/>
                <w:w w:val="99"/>
                <w:kern w:val="2"/>
                <w:sz w:val="21"/>
                <w:szCs w:val="21"/>
                <w:highlight w:val="none"/>
              </w:rPr>
              <w:t>）</w:t>
            </w:r>
          </w:p>
        </w:tc>
        <w:tc>
          <w:tcPr>
            <w:tcW w:w="3199" w:type="pct"/>
            <w:vAlign w:val="center"/>
          </w:tcPr>
          <w:p w14:paraId="208D5798">
            <w:pPr>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徐深27-H1井-徐深27井</w:t>
            </w:r>
          </w:p>
        </w:tc>
        <w:tc>
          <w:tcPr>
            <w:tcW w:w="315" w:type="pct"/>
            <w:vAlign w:val="center"/>
          </w:tcPr>
          <w:p w14:paraId="69661817">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315" w:type="pct"/>
            <w:vAlign w:val="center"/>
          </w:tcPr>
          <w:p w14:paraId="0CB71B33">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745" w:type="pct"/>
            <w:vAlign w:val="center"/>
          </w:tcPr>
          <w:p w14:paraId="679B3C21">
            <w:pPr>
              <w:adjustRightInd w:val="0"/>
              <w:snapToGrid w:val="0"/>
              <w:spacing w:line="360" w:lineRule="exact"/>
              <w:jc w:val="center"/>
              <w:rPr>
                <w:rFonts w:ascii="Times New Roman" w:hAnsi="Times New Roman" w:cs="Times New Roman"/>
                <w:color w:val="auto"/>
                <w:w w:val="99"/>
                <w:kern w:val="2"/>
                <w:sz w:val="21"/>
                <w:szCs w:val="21"/>
                <w:highlight w:val="none"/>
              </w:rPr>
            </w:pPr>
          </w:p>
        </w:tc>
      </w:tr>
      <w:tr w14:paraId="13782B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24" w:type="pct"/>
            <w:vAlign w:val="center"/>
          </w:tcPr>
          <w:p w14:paraId="52C18ED3">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1</w:t>
            </w:r>
          </w:p>
        </w:tc>
        <w:tc>
          <w:tcPr>
            <w:tcW w:w="3199" w:type="pct"/>
            <w:vAlign w:val="center"/>
          </w:tcPr>
          <w:p w14:paraId="66911FCC">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卡轨网管工业以太网交换机，（2*100/1000M光+6*100/1000M电）</w:t>
            </w:r>
          </w:p>
        </w:tc>
        <w:tc>
          <w:tcPr>
            <w:tcW w:w="315" w:type="pct"/>
            <w:vAlign w:val="center"/>
          </w:tcPr>
          <w:p w14:paraId="687DCB92">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台</w:t>
            </w:r>
          </w:p>
        </w:tc>
        <w:tc>
          <w:tcPr>
            <w:tcW w:w="315" w:type="pct"/>
            <w:vAlign w:val="center"/>
          </w:tcPr>
          <w:p w14:paraId="3CF7808C">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1</w:t>
            </w:r>
          </w:p>
        </w:tc>
        <w:tc>
          <w:tcPr>
            <w:tcW w:w="745" w:type="pct"/>
            <w:vAlign w:val="center"/>
          </w:tcPr>
          <w:p w14:paraId="7E0B52E6">
            <w:pPr>
              <w:adjustRightInd w:val="0"/>
              <w:snapToGrid w:val="0"/>
              <w:spacing w:line="360" w:lineRule="exact"/>
              <w:jc w:val="center"/>
              <w:rPr>
                <w:rFonts w:ascii="Times New Roman" w:hAnsi="Times New Roman" w:cs="Times New Roman"/>
                <w:color w:val="auto"/>
                <w:w w:val="99"/>
                <w:kern w:val="2"/>
                <w:sz w:val="21"/>
                <w:szCs w:val="21"/>
                <w:highlight w:val="none"/>
              </w:rPr>
            </w:pPr>
          </w:p>
        </w:tc>
      </w:tr>
      <w:tr w14:paraId="3BD5AC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24" w:type="pct"/>
            <w:vAlign w:val="center"/>
          </w:tcPr>
          <w:p w14:paraId="04354732">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2</w:t>
            </w:r>
          </w:p>
        </w:tc>
        <w:tc>
          <w:tcPr>
            <w:tcW w:w="3199" w:type="pct"/>
            <w:vAlign w:val="center"/>
          </w:tcPr>
          <w:p w14:paraId="0AF8F5FA">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百兆光模块，10km</w:t>
            </w:r>
          </w:p>
        </w:tc>
        <w:tc>
          <w:tcPr>
            <w:tcW w:w="315" w:type="pct"/>
            <w:vAlign w:val="center"/>
          </w:tcPr>
          <w:p w14:paraId="0C011CC3">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块</w:t>
            </w:r>
          </w:p>
        </w:tc>
        <w:tc>
          <w:tcPr>
            <w:tcW w:w="315" w:type="pct"/>
            <w:vAlign w:val="center"/>
          </w:tcPr>
          <w:p w14:paraId="21B92D5F">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2</w:t>
            </w:r>
          </w:p>
        </w:tc>
        <w:tc>
          <w:tcPr>
            <w:tcW w:w="745" w:type="pct"/>
            <w:vAlign w:val="center"/>
          </w:tcPr>
          <w:p w14:paraId="580E68C2">
            <w:pPr>
              <w:adjustRightInd w:val="0"/>
              <w:snapToGrid w:val="0"/>
              <w:spacing w:line="360" w:lineRule="exact"/>
              <w:jc w:val="center"/>
              <w:rPr>
                <w:rFonts w:ascii="Times New Roman" w:hAnsi="Times New Roman" w:cs="Times New Roman"/>
                <w:color w:val="auto"/>
                <w:w w:val="99"/>
                <w:kern w:val="2"/>
                <w:sz w:val="21"/>
                <w:szCs w:val="21"/>
                <w:highlight w:val="none"/>
              </w:rPr>
            </w:pPr>
          </w:p>
        </w:tc>
      </w:tr>
      <w:tr w14:paraId="5118A4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24" w:type="pct"/>
            <w:vAlign w:val="center"/>
          </w:tcPr>
          <w:p w14:paraId="0F51062A">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3</w:t>
            </w:r>
          </w:p>
        </w:tc>
        <w:tc>
          <w:tcPr>
            <w:tcW w:w="3199" w:type="pct"/>
            <w:vAlign w:val="center"/>
          </w:tcPr>
          <w:p w14:paraId="32662684">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光缆ADSS-PE-6B1.3</w:t>
            </w:r>
          </w:p>
        </w:tc>
        <w:tc>
          <w:tcPr>
            <w:tcW w:w="315" w:type="pct"/>
            <w:vAlign w:val="center"/>
          </w:tcPr>
          <w:p w14:paraId="13E064B5">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km</w:t>
            </w:r>
          </w:p>
        </w:tc>
        <w:tc>
          <w:tcPr>
            <w:tcW w:w="315" w:type="pct"/>
            <w:vAlign w:val="center"/>
          </w:tcPr>
          <w:p w14:paraId="2284238F">
            <w:pPr>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0.9</w:t>
            </w:r>
          </w:p>
        </w:tc>
        <w:tc>
          <w:tcPr>
            <w:tcW w:w="745" w:type="pct"/>
            <w:vAlign w:val="center"/>
          </w:tcPr>
          <w:p w14:paraId="4254FA71">
            <w:pPr>
              <w:adjustRightInd w:val="0"/>
              <w:snapToGrid w:val="0"/>
              <w:spacing w:line="360" w:lineRule="exact"/>
              <w:jc w:val="center"/>
              <w:rPr>
                <w:rFonts w:ascii="Times New Roman" w:hAnsi="Times New Roman" w:cs="Times New Roman"/>
                <w:color w:val="auto"/>
                <w:w w:val="99"/>
                <w:kern w:val="2"/>
                <w:sz w:val="21"/>
                <w:szCs w:val="21"/>
                <w:highlight w:val="none"/>
              </w:rPr>
            </w:pPr>
          </w:p>
        </w:tc>
      </w:tr>
      <w:tr w14:paraId="42FC3C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24" w:type="pct"/>
            <w:vAlign w:val="center"/>
          </w:tcPr>
          <w:p w14:paraId="396DBDD1">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4</w:t>
            </w:r>
          </w:p>
        </w:tc>
        <w:tc>
          <w:tcPr>
            <w:tcW w:w="3199" w:type="pct"/>
            <w:vAlign w:val="center"/>
          </w:tcPr>
          <w:p w14:paraId="4217D9C9">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光缆GYTA53-6B1.3</w:t>
            </w:r>
          </w:p>
        </w:tc>
        <w:tc>
          <w:tcPr>
            <w:tcW w:w="315" w:type="pct"/>
            <w:vAlign w:val="center"/>
          </w:tcPr>
          <w:p w14:paraId="280ACC36">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km</w:t>
            </w:r>
          </w:p>
        </w:tc>
        <w:tc>
          <w:tcPr>
            <w:tcW w:w="315" w:type="pct"/>
            <w:vAlign w:val="center"/>
          </w:tcPr>
          <w:p w14:paraId="41490570">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0.</w:t>
            </w:r>
            <w:r>
              <w:rPr>
                <w:rFonts w:hint="eastAsia" w:ascii="Times New Roman" w:hAnsi="Times New Roman" w:cs="Times New Roman"/>
                <w:color w:val="auto"/>
                <w:w w:val="99"/>
                <w:kern w:val="2"/>
                <w:sz w:val="21"/>
                <w:szCs w:val="21"/>
                <w:highlight w:val="none"/>
              </w:rPr>
              <w:t>1</w:t>
            </w:r>
          </w:p>
        </w:tc>
        <w:tc>
          <w:tcPr>
            <w:tcW w:w="745" w:type="pct"/>
            <w:vAlign w:val="center"/>
          </w:tcPr>
          <w:p w14:paraId="29628104">
            <w:pPr>
              <w:adjustRightInd w:val="0"/>
              <w:snapToGrid w:val="0"/>
              <w:spacing w:line="360" w:lineRule="exact"/>
              <w:jc w:val="center"/>
              <w:rPr>
                <w:rFonts w:ascii="Times New Roman" w:hAnsi="Times New Roman" w:cs="Times New Roman"/>
                <w:color w:val="auto"/>
                <w:w w:val="99"/>
                <w:kern w:val="2"/>
                <w:sz w:val="21"/>
                <w:szCs w:val="21"/>
                <w:highlight w:val="none"/>
              </w:rPr>
            </w:pPr>
          </w:p>
        </w:tc>
      </w:tr>
      <w:tr w14:paraId="387650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24" w:type="pct"/>
            <w:vAlign w:val="center"/>
          </w:tcPr>
          <w:p w14:paraId="61A76130">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（二）</w:t>
            </w:r>
          </w:p>
        </w:tc>
        <w:tc>
          <w:tcPr>
            <w:tcW w:w="3199" w:type="pct"/>
            <w:vAlign w:val="center"/>
          </w:tcPr>
          <w:p w14:paraId="6D4859BB">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井场安防监控</w:t>
            </w:r>
          </w:p>
        </w:tc>
        <w:tc>
          <w:tcPr>
            <w:tcW w:w="315" w:type="pct"/>
            <w:vAlign w:val="center"/>
          </w:tcPr>
          <w:p w14:paraId="0BA75F56">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315" w:type="pct"/>
            <w:vAlign w:val="center"/>
          </w:tcPr>
          <w:p w14:paraId="2F011839">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745" w:type="pct"/>
            <w:vAlign w:val="center"/>
          </w:tcPr>
          <w:p w14:paraId="580AFC1A">
            <w:pPr>
              <w:adjustRightInd w:val="0"/>
              <w:snapToGrid w:val="0"/>
              <w:spacing w:line="360" w:lineRule="exact"/>
              <w:jc w:val="center"/>
              <w:rPr>
                <w:rFonts w:ascii="Times New Roman" w:hAnsi="Times New Roman" w:cs="Times New Roman"/>
                <w:color w:val="auto"/>
                <w:w w:val="99"/>
                <w:kern w:val="2"/>
                <w:sz w:val="21"/>
                <w:szCs w:val="21"/>
                <w:highlight w:val="none"/>
              </w:rPr>
            </w:pPr>
          </w:p>
        </w:tc>
      </w:tr>
      <w:tr w14:paraId="3D253D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24" w:type="pct"/>
            <w:vAlign w:val="center"/>
          </w:tcPr>
          <w:p w14:paraId="2DFC3824">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1</w:t>
            </w:r>
          </w:p>
        </w:tc>
        <w:tc>
          <w:tcPr>
            <w:tcW w:w="3199" w:type="pct"/>
            <w:vAlign w:val="center"/>
          </w:tcPr>
          <w:p w14:paraId="40028289">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200万像素室外红外网络球型摄像机</w:t>
            </w:r>
          </w:p>
        </w:tc>
        <w:tc>
          <w:tcPr>
            <w:tcW w:w="315" w:type="pct"/>
            <w:vAlign w:val="center"/>
          </w:tcPr>
          <w:p w14:paraId="3B56AA38">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套</w:t>
            </w:r>
          </w:p>
        </w:tc>
        <w:tc>
          <w:tcPr>
            <w:tcW w:w="315" w:type="pct"/>
            <w:vAlign w:val="center"/>
          </w:tcPr>
          <w:p w14:paraId="06CD0821">
            <w:pPr>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1</w:t>
            </w:r>
          </w:p>
        </w:tc>
        <w:tc>
          <w:tcPr>
            <w:tcW w:w="745" w:type="pct"/>
            <w:vAlign w:val="center"/>
          </w:tcPr>
          <w:p w14:paraId="02BD8F0B">
            <w:pPr>
              <w:adjustRightInd w:val="0"/>
              <w:snapToGrid w:val="0"/>
              <w:spacing w:line="360" w:lineRule="exact"/>
              <w:jc w:val="center"/>
              <w:rPr>
                <w:rFonts w:ascii="Times New Roman" w:hAnsi="Times New Roman" w:cs="Times New Roman"/>
                <w:color w:val="auto"/>
                <w:w w:val="99"/>
                <w:kern w:val="2"/>
                <w:sz w:val="21"/>
                <w:szCs w:val="21"/>
                <w:highlight w:val="none"/>
              </w:rPr>
            </w:pPr>
          </w:p>
        </w:tc>
      </w:tr>
      <w:tr w14:paraId="661660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24" w:type="pct"/>
            <w:vAlign w:val="center"/>
          </w:tcPr>
          <w:p w14:paraId="58A92A03">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2</w:t>
            </w:r>
          </w:p>
        </w:tc>
        <w:tc>
          <w:tcPr>
            <w:tcW w:w="3199" w:type="pct"/>
            <w:vAlign w:val="center"/>
          </w:tcPr>
          <w:p w14:paraId="6CBDA22F">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200万像素室外红外网络枪型摄像机</w:t>
            </w:r>
          </w:p>
        </w:tc>
        <w:tc>
          <w:tcPr>
            <w:tcW w:w="315" w:type="pct"/>
            <w:vAlign w:val="center"/>
          </w:tcPr>
          <w:p w14:paraId="4203D0E5">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套</w:t>
            </w:r>
          </w:p>
        </w:tc>
        <w:tc>
          <w:tcPr>
            <w:tcW w:w="315" w:type="pct"/>
            <w:vAlign w:val="center"/>
          </w:tcPr>
          <w:p w14:paraId="2771C9B8">
            <w:pPr>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1</w:t>
            </w:r>
          </w:p>
        </w:tc>
        <w:tc>
          <w:tcPr>
            <w:tcW w:w="745" w:type="pct"/>
            <w:vAlign w:val="center"/>
          </w:tcPr>
          <w:p w14:paraId="53545A3B">
            <w:pPr>
              <w:adjustRightInd w:val="0"/>
              <w:snapToGrid w:val="0"/>
              <w:spacing w:line="360" w:lineRule="exact"/>
              <w:jc w:val="center"/>
              <w:rPr>
                <w:rFonts w:ascii="Times New Roman" w:hAnsi="Times New Roman" w:cs="Times New Roman"/>
                <w:color w:val="auto"/>
                <w:w w:val="99"/>
                <w:kern w:val="2"/>
                <w:sz w:val="21"/>
                <w:szCs w:val="21"/>
                <w:highlight w:val="none"/>
              </w:rPr>
            </w:pPr>
          </w:p>
        </w:tc>
      </w:tr>
      <w:tr w14:paraId="574AF4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40" w:hRule="atLeast"/>
          <w:jc w:val="center"/>
        </w:trPr>
        <w:tc>
          <w:tcPr>
            <w:tcW w:w="424" w:type="pct"/>
            <w:vAlign w:val="center"/>
          </w:tcPr>
          <w:p w14:paraId="03898A81">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3</w:t>
            </w:r>
          </w:p>
        </w:tc>
        <w:tc>
          <w:tcPr>
            <w:tcW w:w="3199" w:type="pct"/>
            <w:vAlign w:val="center"/>
          </w:tcPr>
          <w:p w14:paraId="4E931C8D">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号角式扬声器，30W</w:t>
            </w:r>
          </w:p>
        </w:tc>
        <w:tc>
          <w:tcPr>
            <w:tcW w:w="315" w:type="pct"/>
            <w:vAlign w:val="center"/>
          </w:tcPr>
          <w:p w14:paraId="7CBB3512">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个</w:t>
            </w:r>
          </w:p>
        </w:tc>
        <w:tc>
          <w:tcPr>
            <w:tcW w:w="315" w:type="pct"/>
            <w:vAlign w:val="center"/>
          </w:tcPr>
          <w:p w14:paraId="34EFEA4D">
            <w:pPr>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1</w:t>
            </w:r>
          </w:p>
        </w:tc>
        <w:tc>
          <w:tcPr>
            <w:tcW w:w="745" w:type="pct"/>
            <w:vAlign w:val="center"/>
          </w:tcPr>
          <w:p w14:paraId="72FC6210">
            <w:pPr>
              <w:adjustRightInd w:val="0"/>
              <w:snapToGrid w:val="0"/>
              <w:spacing w:line="360" w:lineRule="exact"/>
              <w:jc w:val="center"/>
              <w:rPr>
                <w:rFonts w:ascii="Times New Roman" w:hAnsi="Times New Roman" w:cs="Times New Roman"/>
                <w:color w:val="auto"/>
                <w:w w:val="99"/>
                <w:kern w:val="2"/>
                <w:sz w:val="21"/>
                <w:szCs w:val="21"/>
                <w:highlight w:val="none"/>
              </w:rPr>
            </w:pPr>
          </w:p>
        </w:tc>
      </w:tr>
      <w:tr w14:paraId="419891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24" w:type="pct"/>
            <w:vAlign w:val="center"/>
          </w:tcPr>
          <w:p w14:paraId="719A5EA7">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4</w:t>
            </w:r>
          </w:p>
        </w:tc>
        <w:tc>
          <w:tcPr>
            <w:tcW w:w="3199" w:type="pct"/>
            <w:vAlign w:val="center"/>
          </w:tcPr>
          <w:p w14:paraId="4A2E0E86">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监控杆，H=6m，含基础、避雷针及预埋件</w:t>
            </w:r>
          </w:p>
        </w:tc>
        <w:tc>
          <w:tcPr>
            <w:tcW w:w="315" w:type="pct"/>
            <w:vAlign w:val="center"/>
          </w:tcPr>
          <w:p w14:paraId="63F00D35">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套</w:t>
            </w:r>
          </w:p>
        </w:tc>
        <w:tc>
          <w:tcPr>
            <w:tcW w:w="315" w:type="pct"/>
            <w:vAlign w:val="center"/>
          </w:tcPr>
          <w:p w14:paraId="0B37A4FD">
            <w:pPr>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1</w:t>
            </w:r>
          </w:p>
        </w:tc>
        <w:tc>
          <w:tcPr>
            <w:tcW w:w="745" w:type="pct"/>
            <w:vAlign w:val="center"/>
          </w:tcPr>
          <w:p w14:paraId="70C1459D">
            <w:pPr>
              <w:adjustRightInd w:val="0"/>
              <w:snapToGrid w:val="0"/>
              <w:spacing w:line="360" w:lineRule="exact"/>
              <w:jc w:val="center"/>
              <w:rPr>
                <w:rFonts w:ascii="Times New Roman" w:hAnsi="Times New Roman" w:cs="Times New Roman"/>
                <w:color w:val="auto"/>
                <w:w w:val="99"/>
                <w:kern w:val="2"/>
                <w:sz w:val="21"/>
                <w:szCs w:val="21"/>
                <w:highlight w:val="none"/>
              </w:rPr>
            </w:pPr>
          </w:p>
        </w:tc>
      </w:tr>
      <w:tr w14:paraId="6F0F28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24" w:type="pct"/>
            <w:vAlign w:val="center"/>
          </w:tcPr>
          <w:p w14:paraId="151B1916">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5</w:t>
            </w:r>
          </w:p>
        </w:tc>
        <w:tc>
          <w:tcPr>
            <w:tcW w:w="3199" w:type="pct"/>
            <w:vAlign w:val="center"/>
          </w:tcPr>
          <w:p w14:paraId="4B9E2148">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128G SD存储卡</w:t>
            </w:r>
          </w:p>
        </w:tc>
        <w:tc>
          <w:tcPr>
            <w:tcW w:w="315" w:type="pct"/>
            <w:vAlign w:val="center"/>
          </w:tcPr>
          <w:p w14:paraId="0C6F9B28">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个</w:t>
            </w:r>
          </w:p>
        </w:tc>
        <w:tc>
          <w:tcPr>
            <w:tcW w:w="315" w:type="pct"/>
            <w:vAlign w:val="center"/>
          </w:tcPr>
          <w:p w14:paraId="309FF266">
            <w:pPr>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2</w:t>
            </w:r>
          </w:p>
        </w:tc>
        <w:tc>
          <w:tcPr>
            <w:tcW w:w="745" w:type="pct"/>
            <w:vAlign w:val="center"/>
          </w:tcPr>
          <w:p w14:paraId="0322F49F">
            <w:pPr>
              <w:adjustRightInd w:val="0"/>
              <w:snapToGrid w:val="0"/>
              <w:spacing w:line="360" w:lineRule="exact"/>
              <w:jc w:val="center"/>
              <w:rPr>
                <w:rFonts w:ascii="Times New Roman" w:hAnsi="Times New Roman" w:cs="Times New Roman"/>
                <w:color w:val="auto"/>
                <w:w w:val="99"/>
                <w:kern w:val="2"/>
                <w:sz w:val="21"/>
                <w:szCs w:val="21"/>
                <w:highlight w:val="none"/>
              </w:rPr>
            </w:pPr>
          </w:p>
        </w:tc>
      </w:tr>
    </w:tbl>
    <w:p w14:paraId="339BB91A">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450" w:name="_Toc31204"/>
      <w:r>
        <w:rPr>
          <w:rFonts w:ascii="Times New Roman" w:hAnsi="Times New Roman" w:eastAsia="宋体"/>
          <w:b/>
          <w:snapToGrid w:val="0"/>
          <w:color w:val="auto"/>
          <w:w w:val="99"/>
          <w:highlight w:val="none"/>
        </w:rPr>
        <w:t>3.</w:t>
      </w:r>
      <w:r>
        <w:rPr>
          <w:rFonts w:hint="eastAsia" w:ascii="Times New Roman" w:hAnsi="Times New Roman" w:eastAsia="宋体"/>
          <w:b/>
          <w:snapToGrid w:val="0"/>
          <w:color w:val="auto"/>
          <w:w w:val="99"/>
          <w:highlight w:val="none"/>
        </w:rPr>
        <w:t>6工程占地及土石方平衡</w:t>
      </w:r>
      <w:bookmarkEnd w:id="450"/>
    </w:p>
    <w:p w14:paraId="7818F960">
      <w:pPr>
        <w:pStyle w:val="7"/>
        <w:widowControl w:val="0"/>
        <w:spacing w:before="60" w:after="60" w:line="440" w:lineRule="exact"/>
        <w:jc w:val="both"/>
        <w:rPr>
          <w:rFonts w:eastAsia="宋体"/>
          <w:b/>
          <w:color w:val="auto"/>
          <w:w w:val="99"/>
          <w:kern w:val="2"/>
          <w:sz w:val="24"/>
          <w:szCs w:val="24"/>
          <w:highlight w:val="none"/>
        </w:rPr>
      </w:pPr>
      <w:bookmarkStart w:id="451" w:name="_Toc83209476"/>
      <w:bookmarkStart w:id="452" w:name="_Toc186444284"/>
      <w:bookmarkStart w:id="453" w:name="_Toc80588259"/>
      <w:bookmarkStart w:id="454" w:name="_Toc61597227"/>
      <w:bookmarkStart w:id="455" w:name="_Toc80971381"/>
      <w:bookmarkStart w:id="456" w:name="_Toc78816464"/>
      <w:bookmarkStart w:id="457" w:name="_Toc67860135"/>
      <w:bookmarkStart w:id="458" w:name="_Toc76976247"/>
      <w:bookmarkStart w:id="459" w:name="_Toc70050182"/>
      <w:bookmarkStart w:id="460" w:name="_Toc77067663"/>
      <w:r>
        <w:rPr>
          <w:rFonts w:eastAsia="宋体"/>
          <w:b/>
          <w:color w:val="auto"/>
          <w:w w:val="99"/>
          <w:kern w:val="2"/>
          <w:sz w:val="24"/>
          <w:szCs w:val="24"/>
          <w:highlight w:val="none"/>
        </w:rPr>
        <w:t>3.</w:t>
      </w:r>
      <w:r>
        <w:rPr>
          <w:rFonts w:hint="eastAsia" w:eastAsia="宋体"/>
          <w:b/>
          <w:color w:val="auto"/>
          <w:w w:val="99"/>
          <w:kern w:val="2"/>
          <w:sz w:val="24"/>
          <w:szCs w:val="24"/>
          <w:highlight w:val="none"/>
        </w:rPr>
        <w:t>6</w:t>
      </w:r>
      <w:r>
        <w:rPr>
          <w:rFonts w:eastAsia="宋体"/>
          <w:b/>
          <w:color w:val="auto"/>
          <w:w w:val="99"/>
          <w:kern w:val="2"/>
          <w:sz w:val="24"/>
          <w:szCs w:val="24"/>
          <w:highlight w:val="none"/>
        </w:rPr>
        <w:t>.1</w:t>
      </w:r>
      <w:bookmarkEnd w:id="451"/>
      <w:bookmarkEnd w:id="452"/>
      <w:bookmarkEnd w:id="453"/>
      <w:bookmarkEnd w:id="454"/>
      <w:bookmarkEnd w:id="455"/>
      <w:bookmarkEnd w:id="456"/>
      <w:bookmarkStart w:id="461" w:name="_Toc80971382"/>
      <w:bookmarkStart w:id="462" w:name="_Toc80588260"/>
      <w:bookmarkStart w:id="463" w:name="_Toc78816465"/>
      <w:bookmarkStart w:id="464" w:name="_Toc83209477"/>
      <w:bookmarkStart w:id="465" w:name="_Toc186444285"/>
      <w:r>
        <w:rPr>
          <w:rFonts w:eastAsia="宋体"/>
          <w:b/>
          <w:color w:val="auto"/>
          <w:w w:val="99"/>
          <w:kern w:val="2"/>
          <w:sz w:val="24"/>
          <w:szCs w:val="24"/>
          <w:highlight w:val="none"/>
        </w:rPr>
        <w:t>工程占地情况</w:t>
      </w:r>
      <w:bookmarkEnd w:id="457"/>
      <w:bookmarkEnd w:id="458"/>
      <w:bookmarkEnd w:id="459"/>
      <w:bookmarkEnd w:id="460"/>
      <w:bookmarkEnd w:id="461"/>
      <w:bookmarkEnd w:id="462"/>
      <w:bookmarkEnd w:id="463"/>
      <w:bookmarkEnd w:id="464"/>
      <w:bookmarkEnd w:id="465"/>
    </w:p>
    <w:p w14:paraId="7123DD65">
      <w:pPr>
        <w:widowControl w:val="0"/>
        <w:autoSpaceDE w:val="0"/>
        <w:autoSpaceDN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本项目占地主要为施工期采气管线施工发生的临时占地，</w:t>
      </w:r>
      <w:r>
        <w:rPr>
          <w:rFonts w:hint="eastAsia" w:ascii="Times New Roman" w:hAnsi="Times New Roman" w:cs="Times New Roman"/>
          <w:color w:val="auto"/>
          <w:w w:val="99"/>
          <w:highlight w:val="none"/>
        </w:rPr>
        <w:t>柱上变施工产生的永久占地及临时占地；</w:t>
      </w:r>
      <w:r>
        <w:rPr>
          <w:rFonts w:ascii="Times New Roman" w:hAnsi="Times New Roman" w:cs="Times New Roman"/>
          <w:color w:val="auto"/>
          <w:w w:val="99"/>
          <w:highlight w:val="none"/>
        </w:rPr>
        <w:t>徐深</w:t>
      </w:r>
      <w:r>
        <w:rPr>
          <w:rFonts w:hint="eastAsia" w:ascii="Times New Roman" w:hAnsi="Times New Roman" w:cs="Times New Roman"/>
          <w:color w:val="auto"/>
          <w:w w:val="99"/>
          <w:highlight w:val="none"/>
        </w:rPr>
        <w:t>27</w:t>
      </w:r>
      <w:r>
        <w:rPr>
          <w:rFonts w:ascii="Times New Roman" w:hAnsi="Times New Roman" w:cs="Times New Roman"/>
          <w:color w:val="auto"/>
          <w:w w:val="99"/>
          <w:highlight w:val="none"/>
        </w:rPr>
        <w:t>集气站</w:t>
      </w:r>
      <w:r>
        <w:rPr>
          <w:rFonts w:hint="eastAsia" w:ascii="Times New Roman" w:hAnsi="Times New Roman" w:cs="Times New Roman"/>
          <w:color w:val="auto"/>
          <w:w w:val="99"/>
          <w:highlight w:val="none"/>
        </w:rPr>
        <w:t>改造不新增占地</w:t>
      </w:r>
      <w:r>
        <w:rPr>
          <w:rFonts w:ascii="Times New Roman" w:hAnsi="Times New Roman" w:cs="Times New Roman"/>
          <w:color w:val="auto"/>
          <w:w w:val="99"/>
          <w:highlight w:val="none"/>
        </w:rPr>
        <w:t>。</w:t>
      </w:r>
    </w:p>
    <w:p w14:paraId="07F15FE9">
      <w:pPr>
        <w:widowControl w:val="0"/>
        <w:autoSpaceDE w:val="0"/>
        <w:autoSpaceDN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（1）井场</w:t>
      </w:r>
      <w:r>
        <w:rPr>
          <w:rFonts w:hint="eastAsia" w:ascii="Times New Roman" w:hAnsi="Times New Roman" w:cs="Times New Roman"/>
          <w:color w:val="auto"/>
          <w:w w:val="99"/>
          <w:highlight w:val="none"/>
        </w:rPr>
        <w:t>：</w:t>
      </w:r>
      <w:r>
        <w:rPr>
          <w:rFonts w:ascii="Times New Roman" w:hAnsi="Times New Roman" w:cs="Times New Roman"/>
          <w:color w:val="auto"/>
          <w:w w:val="99"/>
          <w:highlight w:val="none"/>
        </w:rPr>
        <w:t>本项目</w:t>
      </w:r>
      <w:r>
        <w:rPr>
          <w:rFonts w:hint="eastAsia" w:ascii="Times New Roman" w:hAnsi="Times New Roman" w:cs="Times New Roman"/>
          <w:color w:val="auto"/>
          <w:w w:val="99"/>
          <w:highlight w:val="none"/>
          <w:lang w:val="en-US" w:eastAsia="zh-CN"/>
        </w:rPr>
        <w:t>仅为地面工程，钻井工程中新建</w:t>
      </w:r>
      <w:r>
        <w:rPr>
          <w:rFonts w:hint="eastAsia" w:ascii="Times New Roman" w:hAnsi="Times New Roman" w:cs="Times New Roman"/>
          <w:color w:val="auto"/>
          <w:w w:val="99"/>
          <w:highlight w:val="none"/>
        </w:rPr>
        <w:t>1</w:t>
      </w:r>
      <w:r>
        <w:rPr>
          <w:rFonts w:ascii="Times New Roman" w:hAnsi="Times New Roman" w:cs="Times New Roman"/>
          <w:color w:val="auto"/>
          <w:w w:val="99"/>
          <w:highlight w:val="none"/>
        </w:rPr>
        <w:t>座井场、放空池</w:t>
      </w:r>
      <w:r>
        <w:rPr>
          <w:rFonts w:hint="eastAsia" w:ascii="Times New Roman" w:hAnsi="Times New Roman" w:cs="Times New Roman"/>
          <w:color w:val="auto"/>
          <w:w w:val="99"/>
          <w:highlight w:val="none"/>
          <w:lang w:val="en-US" w:eastAsia="zh-CN"/>
        </w:rPr>
        <w:t>1座，</w:t>
      </w:r>
      <w:r>
        <w:rPr>
          <w:rFonts w:ascii="Times New Roman" w:hAnsi="Times New Roman" w:cs="Times New Roman"/>
          <w:color w:val="auto"/>
          <w:w w:val="99"/>
          <w:highlight w:val="none"/>
        </w:rPr>
        <w:t>该部分临时占地和永久占地已在《徐深</w:t>
      </w:r>
      <w:r>
        <w:rPr>
          <w:rFonts w:hint="eastAsia" w:ascii="Times New Roman" w:hAnsi="Times New Roman" w:cs="Times New Roman"/>
          <w:color w:val="auto"/>
          <w:w w:val="99"/>
          <w:highlight w:val="none"/>
        </w:rPr>
        <w:t>27-H1</w:t>
      </w:r>
      <w:r>
        <w:rPr>
          <w:rFonts w:ascii="Times New Roman" w:hAnsi="Times New Roman" w:cs="Times New Roman"/>
          <w:color w:val="auto"/>
          <w:w w:val="99"/>
          <w:highlight w:val="none"/>
        </w:rPr>
        <w:t>钻井工程环境影响报告书》（批复：绥环审〔2025〕67号）中评价，本次不再重复核算。</w:t>
      </w:r>
    </w:p>
    <w:p w14:paraId="51F916A1">
      <w:pPr>
        <w:widowControl w:val="0"/>
        <w:autoSpaceDE w:val="0"/>
        <w:autoSpaceDN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（2）道路工程：</w:t>
      </w:r>
      <w:r>
        <w:rPr>
          <w:rFonts w:ascii="Times New Roman" w:hAnsi="Times New Roman" w:cs="Times New Roman"/>
          <w:color w:val="auto"/>
          <w:w w:val="99"/>
          <w:highlight w:val="none"/>
        </w:rPr>
        <w:t>项目道路</w:t>
      </w:r>
      <w:r>
        <w:rPr>
          <w:rFonts w:hint="eastAsia" w:ascii="Times New Roman" w:hAnsi="Times New Roman" w:cs="Times New Roman"/>
          <w:color w:val="auto"/>
          <w:w w:val="99"/>
          <w:highlight w:val="none"/>
        </w:rPr>
        <w:t>工程</w:t>
      </w:r>
      <w:r>
        <w:rPr>
          <w:rFonts w:ascii="Times New Roman" w:hAnsi="Times New Roman" w:cs="Times New Roman"/>
          <w:color w:val="auto"/>
          <w:w w:val="99"/>
          <w:highlight w:val="none"/>
        </w:rPr>
        <w:t>永久占地按道路长度×路基宽度计算，</w:t>
      </w:r>
      <w:r>
        <w:rPr>
          <w:rFonts w:hint="eastAsia" w:ascii="Times New Roman" w:hAnsi="Times New Roman" w:cs="Times New Roman"/>
          <w:color w:val="auto"/>
          <w:w w:val="99"/>
          <w:highlight w:val="none"/>
        </w:rPr>
        <w:t xml:space="preserve"> 本项目规划</w:t>
      </w:r>
      <w:r>
        <w:rPr>
          <w:rFonts w:ascii="Times New Roman" w:hAnsi="Times New Roman" w:cs="Times New Roman" w:eastAsiaTheme="minorEastAsia"/>
          <w:bCs/>
          <w:color w:val="auto"/>
          <w:w w:val="99"/>
          <w:highlight w:val="none"/>
        </w:rPr>
        <w:t>建设路面宽3.5m、路基宽4.5m的沥青砼通井路</w:t>
      </w:r>
      <w:r>
        <w:rPr>
          <w:rFonts w:hint="eastAsia" w:ascii="Times New Roman" w:hAnsi="Times New Roman" w:cs="Times New Roman" w:eastAsiaTheme="minorEastAsia"/>
          <w:bCs/>
          <w:color w:val="auto"/>
          <w:w w:val="99"/>
          <w:highlight w:val="none"/>
        </w:rPr>
        <w:t>0.2</w:t>
      </w:r>
      <w:r>
        <w:rPr>
          <w:rFonts w:ascii="Times New Roman" w:hAnsi="Times New Roman" w:cs="Times New Roman" w:eastAsiaTheme="minorEastAsia"/>
          <w:bCs/>
          <w:color w:val="auto"/>
          <w:w w:val="99"/>
          <w:highlight w:val="none"/>
        </w:rPr>
        <w:t>km</w:t>
      </w:r>
      <w:r>
        <w:rPr>
          <w:rFonts w:hint="eastAsia" w:ascii="Times New Roman" w:hAnsi="Times New Roman" w:cs="Times New Roman"/>
          <w:color w:val="auto"/>
          <w:w w:val="99"/>
          <w:highlight w:val="none"/>
        </w:rPr>
        <w:t>，</w:t>
      </w:r>
      <w:r>
        <w:rPr>
          <w:rFonts w:ascii="Times New Roman" w:hAnsi="Times New Roman" w:cs="Times New Roman"/>
          <w:color w:val="auto"/>
          <w:w w:val="99"/>
          <w:highlight w:val="none"/>
        </w:rPr>
        <w:t>则道路</w:t>
      </w:r>
      <w:r>
        <w:rPr>
          <w:rFonts w:hint="eastAsia" w:ascii="Times New Roman" w:hAnsi="Times New Roman" w:cs="Times New Roman"/>
          <w:color w:val="auto"/>
          <w:w w:val="99"/>
          <w:highlight w:val="none"/>
        </w:rPr>
        <w:t>工程</w:t>
      </w:r>
      <w:r>
        <w:rPr>
          <w:rFonts w:ascii="Times New Roman" w:hAnsi="Times New Roman" w:cs="Times New Roman"/>
          <w:color w:val="auto"/>
          <w:w w:val="99"/>
          <w:highlight w:val="none"/>
        </w:rPr>
        <w:t>永久占</w:t>
      </w:r>
      <w:r>
        <w:rPr>
          <w:rFonts w:hint="eastAsia" w:ascii="Times New Roman" w:hAnsi="Times New Roman" w:cs="Times New Roman"/>
          <w:color w:val="auto"/>
          <w:w w:val="99"/>
          <w:highlight w:val="none"/>
        </w:rPr>
        <w:t>地共计0.09h</w:t>
      </w:r>
      <w:r>
        <w:rPr>
          <w:rFonts w:ascii="Times New Roman" w:hAnsi="Times New Roman" w:cs="Times New Roman"/>
          <w:color w:val="auto"/>
          <w:w w:val="99"/>
          <w:highlight w:val="none"/>
        </w:rPr>
        <w:t>m</w:t>
      </w:r>
      <w:r>
        <w:rPr>
          <w:rFonts w:ascii="Times New Roman" w:hAnsi="Times New Roman" w:cs="Times New Roman"/>
          <w:color w:val="auto"/>
          <w:w w:val="99"/>
          <w:highlight w:val="none"/>
          <w:vertAlign w:val="superscript"/>
        </w:rPr>
        <w:t>2</w:t>
      </w:r>
      <w:r>
        <w:rPr>
          <w:rFonts w:hint="eastAsia" w:ascii="Times New Roman" w:hAnsi="Times New Roman" w:cs="Times New Roman"/>
          <w:color w:val="auto"/>
          <w:w w:val="99"/>
          <w:highlight w:val="none"/>
        </w:rPr>
        <w:t>。</w:t>
      </w:r>
    </w:p>
    <w:p w14:paraId="5BE6060A">
      <w:pPr>
        <w:widowControl w:val="0"/>
        <w:autoSpaceDE w:val="0"/>
        <w:autoSpaceDN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（3）</w:t>
      </w:r>
      <w:r>
        <w:rPr>
          <w:rFonts w:ascii="Times New Roman" w:hAnsi="Times New Roman" w:cs="Times New Roman"/>
          <w:color w:val="auto"/>
          <w:w w:val="99"/>
          <w:highlight w:val="none"/>
        </w:rPr>
        <w:t>柱上变电站</w:t>
      </w:r>
      <w:r>
        <w:rPr>
          <w:rFonts w:hint="eastAsia" w:ascii="Times New Roman" w:hAnsi="Times New Roman" w:cs="Times New Roman"/>
          <w:color w:val="auto"/>
          <w:w w:val="99"/>
          <w:highlight w:val="none"/>
        </w:rPr>
        <w:t>：</w:t>
      </w:r>
      <w:r>
        <w:rPr>
          <w:rFonts w:ascii="Times New Roman" w:hAnsi="Times New Roman" w:cs="Times New Roman"/>
          <w:color w:val="auto"/>
          <w:w w:val="99"/>
          <w:highlight w:val="none"/>
        </w:rPr>
        <w:t>单座柱上变电站</w:t>
      </w:r>
      <w:r>
        <w:rPr>
          <w:rFonts w:hint="eastAsia" w:ascii="Times New Roman" w:hAnsi="Times New Roman" w:cs="Times New Roman"/>
          <w:color w:val="auto"/>
          <w:w w:val="99"/>
          <w:highlight w:val="none"/>
        </w:rPr>
        <w:t>临时</w:t>
      </w:r>
      <w:r>
        <w:rPr>
          <w:rFonts w:ascii="Times New Roman" w:hAnsi="Times New Roman" w:cs="Times New Roman"/>
          <w:color w:val="auto"/>
          <w:w w:val="99"/>
          <w:highlight w:val="none"/>
        </w:rPr>
        <w:t>占地面积按30m</w:t>
      </w:r>
      <w:r>
        <w:rPr>
          <w:rFonts w:ascii="Times New Roman" w:hAnsi="Times New Roman" w:cs="Times New Roman"/>
          <w:color w:val="auto"/>
          <w:w w:val="99"/>
          <w:highlight w:val="none"/>
          <w:vertAlign w:val="superscript"/>
        </w:rPr>
        <w:t>2</w:t>
      </w:r>
      <w:r>
        <w:rPr>
          <w:rFonts w:ascii="Times New Roman" w:hAnsi="Times New Roman" w:cs="Times New Roman"/>
          <w:color w:val="auto"/>
          <w:w w:val="99"/>
          <w:highlight w:val="none"/>
        </w:rPr>
        <w:t>计算，</w:t>
      </w:r>
      <w:r>
        <w:rPr>
          <w:rFonts w:hint="eastAsia" w:ascii="Times New Roman" w:hAnsi="Times New Roman" w:cs="Times New Roman"/>
          <w:color w:val="auto"/>
          <w:w w:val="99"/>
          <w:highlight w:val="none"/>
        </w:rPr>
        <w:t>永久占地按照1</w:t>
      </w:r>
      <w:r>
        <w:rPr>
          <w:rFonts w:ascii="Times New Roman" w:hAnsi="Times New Roman" w:cs="Times New Roman"/>
          <w:color w:val="auto"/>
          <w:w w:val="99"/>
          <w:highlight w:val="none"/>
        </w:rPr>
        <w:t>m</w:t>
      </w:r>
      <w:r>
        <w:rPr>
          <w:rFonts w:ascii="Times New Roman" w:hAnsi="Times New Roman" w:cs="Times New Roman"/>
          <w:color w:val="auto"/>
          <w:w w:val="99"/>
          <w:highlight w:val="none"/>
          <w:vertAlign w:val="superscript"/>
        </w:rPr>
        <w:t>2</w:t>
      </w:r>
      <w:r>
        <w:rPr>
          <w:rFonts w:hint="eastAsia" w:ascii="Times New Roman" w:hAnsi="Times New Roman" w:cs="Times New Roman"/>
          <w:color w:val="auto"/>
          <w:w w:val="99"/>
          <w:highlight w:val="none"/>
        </w:rPr>
        <w:t>计算，</w:t>
      </w:r>
      <w:r>
        <w:rPr>
          <w:rFonts w:ascii="Times New Roman" w:hAnsi="Times New Roman" w:cs="Times New Roman"/>
          <w:color w:val="auto"/>
          <w:w w:val="99"/>
          <w:highlight w:val="none"/>
        </w:rPr>
        <w:t>则</w:t>
      </w:r>
      <w:r>
        <w:rPr>
          <w:rFonts w:hint="eastAsia" w:ascii="Times New Roman" w:hAnsi="Times New Roman" w:cs="Times New Roman"/>
          <w:color w:val="auto"/>
          <w:w w:val="99"/>
          <w:highlight w:val="none"/>
        </w:rPr>
        <w:t>本项目</w:t>
      </w:r>
      <w:r>
        <w:rPr>
          <w:rFonts w:ascii="Times New Roman" w:hAnsi="Times New Roman" w:cs="Times New Roman"/>
          <w:color w:val="auto"/>
          <w:w w:val="99"/>
          <w:highlight w:val="none"/>
        </w:rPr>
        <w:t>柱上变电站永久占用耕地</w:t>
      </w:r>
      <w:r>
        <w:rPr>
          <w:rFonts w:hint="eastAsia" w:ascii="Times New Roman" w:hAnsi="Times New Roman" w:cs="Times New Roman"/>
          <w:color w:val="auto"/>
          <w:w w:val="99"/>
          <w:highlight w:val="none"/>
        </w:rPr>
        <w:t>1</w:t>
      </w:r>
      <w:r>
        <w:rPr>
          <w:rFonts w:ascii="Times New Roman" w:hAnsi="Times New Roman" w:cs="Times New Roman"/>
          <w:color w:val="auto"/>
          <w:w w:val="99"/>
          <w:highlight w:val="none"/>
        </w:rPr>
        <w:t>m</w:t>
      </w:r>
      <w:r>
        <w:rPr>
          <w:rFonts w:ascii="Times New Roman" w:hAnsi="Times New Roman" w:cs="Times New Roman"/>
          <w:color w:val="auto"/>
          <w:w w:val="99"/>
          <w:highlight w:val="none"/>
          <w:vertAlign w:val="superscript"/>
        </w:rPr>
        <w:t>2</w:t>
      </w:r>
      <w:r>
        <w:rPr>
          <w:rFonts w:hint="eastAsia" w:ascii="Times New Roman" w:hAnsi="Times New Roman" w:cs="Times New Roman"/>
          <w:color w:val="auto"/>
          <w:w w:val="99"/>
          <w:highlight w:val="none"/>
        </w:rPr>
        <w:t>，临时占地29m</w:t>
      </w:r>
      <w:r>
        <w:rPr>
          <w:rFonts w:hint="eastAsia" w:ascii="Times New Roman" w:hAnsi="Times New Roman" w:cs="Times New Roman"/>
          <w:color w:val="auto"/>
          <w:w w:val="99"/>
          <w:highlight w:val="none"/>
          <w:vertAlign w:val="superscript"/>
        </w:rPr>
        <w:t>2</w:t>
      </w:r>
      <w:r>
        <w:rPr>
          <w:rFonts w:ascii="Times New Roman" w:hAnsi="Times New Roman" w:cs="Times New Roman"/>
          <w:color w:val="auto"/>
          <w:w w:val="99"/>
          <w:highlight w:val="none"/>
        </w:rPr>
        <w:t>。</w:t>
      </w:r>
    </w:p>
    <w:p w14:paraId="22828886">
      <w:pPr>
        <w:widowControl w:val="0"/>
        <w:autoSpaceDE w:val="0"/>
        <w:autoSpaceDN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（4）管线工程：</w:t>
      </w:r>
      <w:r>
        <w:rPr>
          <w:rFonts w:ascii="Times New Roman" w:hAnsi="Times New Roman" w:cs="Times New Roman"/>
          <w:color w:val="auto"/>
          <w:w w:val="99"/>
          <w:highlight w:val="none"/>
        </w:rPr>
        <w:t>新建站外单井采气</w:t>
      </w:r>
      <w:r>
        <w:rPr>
          <w:rFonts w:hint="eastAsia" w:ascii="Times New Roman" w:hAnsi="Times New Roman" w:cs="Times New Roman"/>
          <w:color w:val="auto"/>
          <w:w w:val="99"/>
          <w:highlight w:val="none"/>
        </w:rPr>
        <w:t>管线1.92</w:t>
      </w:r>
      <w:r>
        <w:rPr>
          <w:rFonts w:ascii="Times New Roman" w:hAnsi="Times New Roman" w:cs="Times New Roman"/>
          <w:color w:val="auto"/>
          <w:w w:val="99"/>
          <w:highlight w:val="none"/>
        </w:rPr>
        <w:t>km</w:t>
      </w:r>
      <w:r>
        <w:rPr>
          <w:rFonts w:hint="eastAsia" w:ascii="Times New Roman" w:hAnsi="Times New Roman" w:cs="Times New Roman"/>
          <w:color w:val="auto"/>
          <w:w w:val="99"/>
          <w:highlight w:val="none"/>
        </w:rPr>
        <w:t>，占地类型为永久基本农田，管线</w:t>
      </w:r>
      <w:r>
        <w:rPr>
          <w:rFonts w:ascii="Times New Roman" w:hAnsi="Times New Roman" w:cs="Times New Roman"/>
          <w:color w:val="auto"/>
          <w:w w:val="99"/>
          <w:highlight w:val="none"/>
        </w:rPr>
        <w:t>施工作业面宽度为10m</w:t>
      </w:r>
      <w:r>
        <w:rPr>
          <w:rFonts w:hint="eastAsia" w:ascii="Times New Roman" w:hAnsi="Times New Roman" w:cs="Times New Roman"/>
          <w:color w:val="auto"/>
          <w:w w:val="99"/>
          <w:highlight w:val="none"/>
        </w:rPr>
        <w:t>（</w:t>
      </w:r>
      <w:r>
        <w:rPr>
          <w:rFonts w:ascii="Times New Roman" w:hAnsi="Times New Roman" w:cs="Times New Roman"/>
          <w:color w:val="auto"/>
          <w:w w:val="99"/>
          <w:highlight w:val="none"/>
        </w:rPr>
        <w:t>其中施工便道宽4m，管沟带宽2m，置土带4m</w:t>
      </w:r>
      <w:r>
        <w:rPr>
          <w:rFonts w:hint="eastAsia" w:ascii="Times New Roman" w:hAnsi="Times New Roman" w:cs="Times New Roman"/>
          <w:color w:val="auto"/>
          <w:w w:val="99"/>
          <w:highlight w:val="none"/>
        </w:rPr>
        <w:t>）</w:t>
      </w:r>
      <w:r>
        <w:rPr>
          <w:rFonts w:ascii="Times New Roman" w:hAnsi="Times New Roman" w:cs="Times New Roman"/>
          <w:color w:val="auto"/>
          <w:w w:val="99"/>
          <w:highlight w:val="none"/>
        </w:rPr>
        <w:t>，</w:t>
      </w:r>
      <w:r>
        <w:rPr>
          <w:rFonts w:hint="eastAsia" w:ascii="Times New Roman" w:hAnsi="Times New Roman" w:cs="Times New Roman"/>
          <w:color w:val="auto"/>
          <w:w w:val="99"/>
          <w:highlight w:val="none"/>
        </w:rPr>
        <w:t>则</w:t>
      </w:r>
      <w:r>
        <w:rPr>
          <w:rFonts w:ascii="Times New Roman" w:hAnsi="Times New Roman" w:cs="Times New Roman"/>
          <w:color w:val="auto"/>
          <w:w w:val="99"/>
          <w:highlight w:val="none"/>
        </w:rPr>
        <w:t>管道施工临时占用</w:t>
      </w:r>
      <w:r>
        <w:rPr>
          <w:rFonts w:hint="eastAsia" w:ascii="Times New Roman" w:hAnsi="Times New Roman" w:cs="Times New Roman"/>
          <w:color w:val="auto"/>
          <w:w w:val="99"/>
          <w:highlight w:val="none"/>
        </w:rPr>
        <w:t>永久基本农田1.92h</w:t>
      </w:r>
      <w:r>
        <w:rPr>
          <w:rFonts w:ascii="Times New Roman" w:hAnsi="Times New Roman" w:cs="Times New Roman"/>
          <w:color w:val="auto"/>
          <w:w w:val="99"/>
          <w:highlight w:val="none"/>
        </w:rPr>
        <w:t>m</w:t>
      </w:r>
      <w:r>
        <w:rPr>
          <w:rFonts w:ascii="Times New Roman" w:hAnsi="Times New Roman" w:cs="Times New Roman"/>
          <w:color w:val="auto"/>
          <w:w w:val="99"/>
          <w:highlight w:val="none"/>
          <w:vertAlign w:val="superscript"/>
        </w:rPr>
        <w:t>2</w:t>
      </w:r>
      <w:r>
        <w:rPr>
          <w:rFonts w:ascii="Times New Roman" w:hAnsi="Times New Roman" w:cs="Times New Roman"/>
          <w:color w:val="auto"/>
          <w:w w:val="99"/>
          <w:highlight w:val="none"/>
        </w:rPr>
        <w:t>。</w:t>
      </w:r>
    </w:p>
    <w:p w14:paraId="04BC3CD2">
      <w:pPr>
        <w:widowControl w:val="0"/>
        <w:autoSpaceDE w:val="0"/>
        <w:autoSpaceDN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工程占地情况一览表见表</w:t>
      </w:r>
      <w:r>
        <w:rPr>
          <w:rFonts w:hint="eastAsia" w:ascii="Times New Roman" w:hAnsi="Times New Roman" w:cs="Times New Roman"/>
          <w:color w:val="auto"/>
          <w:w w:val="99"/>
          <w:highlight w:val="none"/>
        </w:rPr>
        <w:t>3.6-1</w:t>
      </w:r>
      <w:r>
        <w:rPr>
          <w:rFonts w:ascii="Times New Roman" w:hAnsi="Times New Roman" w:cs="Times New Roman"/>
          <w:color w:val="auto"/>
          <w:w w:val="99"/>
          <w:highlight w:val="none"/>
        </w:rPr>
        <w:t>。</w:t>
      </w:r>
    </w:p>
    <w:p w14:paraId="44760A59">
      <w:pPr>
        <w:widowControl w:val="0"/>
        <w:adjustRightInd w:val="0"/>
        <w:snapToGrid w:val="0"/>
        <w:spacing w:line="440" w:lineRule="exact"/>
        <w:ind w:firstLine="476" w:firstLineChars="200"/>
        <w:jc w:val="both"/>
        <w:rPr>
          <w:rFonts w:ascii="Times New Roman" w:hAnsi="Times New Roman" w:cs="Times New Roman"/>
          <w:b/>
          <w:color w:val="auto"/>
          <w:szCs w:val="22"/>
          <w:highlight w:val="none"/>
        </w:rPr>
      </w:pPr>
      <w:r>
        <w:rPr>
          <w:rFonts w:ascii="Times New Roman" w:hAnsi="Times New Roman" w:cs="Times New Roman"/>
          <w:b/>
          <w:bCs/>
          <w:color w:val="auto"/>
          <w:w w:val="99"/>
          <w:highlight w:val="none"/>
        </w:rPr>
        <w:t>表</w:t>
      </w:r>
      <w:r>
        <w:rPr>
          <w:rFonts w:hint="eastAsia" w:ascii="Times New Roman" w:hAnsi="Times New Roman" w:cs="Times New Roman"/>
          <w:b/>
          <w:bCs/>
          <w:color w:val="auto"/>
          <w:w w:val="99"/>
          <w:highlight w:val="none"/>
        </w:rPr>
        <w:t>3.6-1</w:t>
      </w:r>
      <w:r>
        <w:rPr>
          <w:rFonts w:ascii="Times New Roman" w:hAnsi="Times New Roman" w:cs="Times New Roman"/>
          <w:b/>
          <w:bCs/>
          <w:color w:val="auto"/>
          <w:w w:val="99"/>
          <w:highlight w:val="none"/>
        </w:rPr>
        <w:t xml:space="preserve"> 工程占地面积和类型  </w:t>
      </w:r>
      <w:r>
        <w:rPr>
          <w:rFonts w:hint="eastAsia" w:ascii="Times New Roman" w:hAnsi="Times New Roman" w:cs="Times New Roman"/>
          <w:b/>
          <w:bCs/>
          <w:color w:val="auto"/>
          <w:w w:val="99"/>
          <w:highlight w:val="none"/>
        </w:rPr>
        <w:t xml:space="preserve"> </w:t>
      </w:r>
      <w:r>
        <w:rPr>
          <w:rFonts w:ascii="Times New Roman" w:hAnsi="Times New Roman" w:cs="Times New Roman"/>
          <w:b/>
          <w:bCs/>
          <w:color w:val="auto"/>
          <w:w w:val="99"/>
          <w:highlight w:val="none"/>
        </w:rPr>
        <w:t>单位：hm</w:t>
      </w:r>
      <w:r>
        <w:rPr>
          <w:rFonts w:ascii="Times New Roman" w:hAnsi="Times New Roman" w:cs="Times New Roman"/>
          <w:b/>
          <w:bCs/>
          <w:color w:val="auto"/>
          <w:w w:val="99"/>
          <w:highlight w:val="none"/>
          <w:vertAlign w:val="superscript"/>
        </w:rPr>
        <w:t>2</w:t>
      </w:r>
    </w:p>
    <w:tbl>
      <w:tblPr>
        <w:tblStyle w:val="8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0"/>
        <w:gridCol w:w="2616"/>
        <w:gridCol w:w="2820"/>
        <w:gridCol w:w="2749"/>
      </w:tblGrid>
      <w:tr w14:paraId="1D15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pct"/>
            <w:vMerge w:val="restart"/>
            <w:tcBorders>
              <w:tl2br w:val="nil"/>
              <w:tr2bl w:val="nil"/>
            </w:tcBorders>
            <w:tcMar>
              <w:top w:w="15" w:type="dxa"/>
              <w:left w:w="15" w:type="dxa"/>
              <w:bottom w:w="0" w:type="dxa"/>
              <w:right w:w="15" w:type="dxa"/>
            </w:tcMar>
            <w:vAlign w:val="center"/>
          </w:tcPr>
          <w:p w14:paraId="7F77CBCC">
            <w:pPr>
              <w:widowControl w:val="0"/>
              <w:spacing w:line="30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序号</w:t>
            </w:r>
          </w:p>
        </w:tc>
        <w:tc>
          <w:tcPr>
            <w:tcW w:w="1438" w:type="pct"/>
            <w:vMerge w:val="restart"/>
            <w:tcBorders>
              <w:tl2br w:val="nil"/>
              <w:tr2bl w:val="nil"/>
            </w:tcBorders>
            <w:tcMar>
              <w:top w:w="15" w:type="dxa"/>
              <w:left w:w="15" w:type="dxa"/>
              <w:bottom w:w="0" w:type="dxa"/>
              <w:right w:w="15" w:type="dxa"/>
            </w:tcMar>
            <w:vAlign w:val="center"/>
          </w:tcPr>
          <w:p w14:paraId="31D25EA6">
            <w:pPr>
              <w:widowControl w:val="0"/>
              <w:spacing w:line="30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建设项目</w:t>
            </w:r>
          </w:p>
        </w:tc>
        <w:tc>
          <w:tcPr>
            <w:tcW w:w="1550" w:type="pct"/>
            <w:tcBorders>
              <w:tl2br w:val="nil"/>
              <w:tr2bl w:val="nil"/>
            </w:tcBorders>
            <w:tcMar>
              <w:top w:w="15" w:type="dxa"/>
              <w:left w:w="15" w:type="dxa"/>
              <w:bottom w:w="0" w:type="dxa"/>
              <w:right w:w="15" w:type="dxa"/>
            </w:tcMar>
            <w:vAlign w:val="center"/>
          </w:tcPr>
          <w:p w14:paraId="6E85E4C9">
            <w:pPr>
              <w:widowControl w:val="0"/>
              <w:spacing w:line="30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永久占地</w:t>
            </w:r>
          </w:p>
        </w:tc>
        <w:tc>
          <w:tcPr>
            <w:tcW w:w="1511" w:type="pct"/>
            <w:tcBorders>
              <w:tl2br w:val="nil"/>
              <w:tr2bl w:val="nil"/>
            </w:tcBorders>
            <w:tcMar>
              <w:top w:w="15" w:type="dxa"/>
              <w:left w:w="15" w:type="dxa"/>
              <w:bottom w:w="0" w:type="dxa"/>
              <w:right w:w="15" w:type="dxa"/>
            </w:tcMar>
            <w:vAlign w:val="center"/>
          </w:tcPr>
          <w:p w14:paraId="21A6F519">
            <w:pPr>
              <w:widowControl w:val="0"/>
              <w:spacing w:line="30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临时占地</w:t>
            </w:r>
          </w:p>
        </w:tc>
      </w:tr>
      <w:tr w14:paraId="6862D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pct"/>
            <w:vMerge w:val="continue"/>
            <w:tcBorders>
              <w:tl2br w:val="nil"/>
              <w:tr2bl w:val="nil"/>
            </w:tcBorders>
            <w:vAlign w:val="center"/>
          </w:tcPr>
          <w:p w14:paraId="5CE1F0E5">
            <w:pPr>
              <w:widowControl w:val="0"/>
              <w:spacing w:line="300" w:lineRule="exact"/>
              <w:jc w:val="center"/>
              <w:rPr>
                <w:rFonts w:ascii="Times New Roman" w:hAnsi="Times New Roman" w:cs="Times New Roman" w:eastAsiaTheme="minorEastAsia"/>
                <w:color w:val="auto"/>
                <w:w w:val="99"/>
                <w:sz w:val="21"/>
                <w:szCs w:val="21"/>
                <w:highlight w:val="none"/>
                <w:lang w:bidi="ar"/>
              </w:rPr>
            </w:pPr>
          </w:p>
        </w:tc>
        <w:tc>
          <w:tcPr>
            <w:tcW w:w="1438" w:type="pct"/>
            <w:vMerge w:val="continue"/>
            <w:tcBorders>
              <w:tl2br w:val="nil"/>
              <w:tr2bl w:val="nil"/>
            </w:tcBorders>
            <w:vAlign w:val="center"/>
          </w:tcPr>
          <w:p w14:paraId="62E358C8">
            <w:pPr>
              <w:widowControl w:val="0"/>
              <w:spacing w:line="300" w:lineRule="exact"/>
              <w:jc w:val="center"/>
              <w:rPr>
                <w:rFonts w:ascii="Times New Roman" w:hAnsi="Times New Roman" w:cs="Times New Roman" w:eastAsiaTheme="minorEastAsia"/>
                <w:color w:val="auto"/>
                <w:w w:val="99"/>
                <w:sz w:val="21"/>
                <w:szCs w:val="21"/>
                <w:highlight w:val="none"/>
                <w:lang w:bidi="ar"/>
              </w:rPr>
            </w:pPr>
          </w:p>
        </w:tc>
        <w:tc>
          <w:tcPr>
            <w:tcW w:w="1550" w:type="pct"/>
            <w:tcBorders>
              <w:tl2br w:val="nil"/>
              <w:tr2bl w:val="nil"/>
            </w:tcBorders>
            <w:tcMar>
              <w:top w:w="15" w:type="dxa"/>
              <w:left w:w="15" w:type="dxa"/>
              <w:bottom w:w="0" w:type="dxa"/>
              <w:right w:w="15" w:type="dxa"/>
            </w:tcMar>
            <w:vAlign w:val="center"/>
          </w:tcPr>
          <w:p w14:paraId="46D1D775">
            <w:pPr>
              <w:widowControl w:val="0"/>
              <w:spacing w:line="30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耕地（永久基本农田）</w:t>
            </w:r>
          </w:p>
        </w:tc>
        <w:tc>
          <w:tcPr>
            <w:tcW w:w="1511" w:type="pct"/>
            <w:tcBorders>
              <w:left w:val="single" w:color="000000" w:sz="2" w:space="0"/>
              <w:tl2br w:val="nil"/>
              <w:tr2bl w:val="nil"/>
            </w:tcBorders>
            <w:tcMar>
              <w:top w:w="15" w:type="dxa"/>
              <w:left w:w="15" w:type="dxa"/>
              <w:bottom w:w="0" w:type="dxa"/>
              <w:right w:w="15" w:type="dxa"/>
            </w:tcMar>
            <w:vAlign w:val="center"/>
          </w:tcPr>
          <w:p w14:paraId="7B43856F">
            <w:pPr>
              <w:widowControl w:val="0"/>
              <w:spacing w:line="30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耕地（永久基本农田）</w:t>
            </w:r>
          </w:p>
        </w:tc>
      </w:tr>
      <w:tr w14:paraId="43FC8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pct"/>
            <w:tcBorders>
              <w:tl2br w:val="nil"/>
              <w:tr2bl w:val="nil"/>
            </w:tcBorders>
            <w:vAlign w:val="center"/>
          </w:tcPr>
          <w:p w14:paraId="33B89B4F">
            <w:pPr>
              <w:widowControl w:val="0"/>
              <w:spacing w:line="30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1</w:t>
            </w:r>
          </w:p>
        </w:tc>
        <w:tc>
          <w:tcPr>
            <w:tcW w:w="1438" w:type="pct"/>
            <w:tcBorders>
              <w:tl2br w:val="nil"/>
              <w:tr2bl w:val="nil"/>
            </w:tcBorders>
            <w:vAlign w:val="center"/>
          </w:tcPr>
          <w:p w14:paraId="4C2B03F5">
            <w:pPr>
              <w:widowControl w:val="0"/>
              <w:spacing w:line="30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道路</w:t>
            </w:r>
          </w:p>
        </w:tc>
        <w:tc>
          <w:tcPr>
            <w:tcW w:w="1550" w:type="pct"/>
            <w:tcBorders>
              <w:tl2br w:val="nil"/>
              <w:tr2bl w:val="nil"/>
            </w:tcBorders>
            <w:tcMar>
              <w:top w:w="15" w:type="dxa"/>
              <w:left w:w="15" w:type="dxa"/>
              <w:bottom w:w="0" w:type="dxa"/>
              <w:right w:w="15" w:type="dxa"/>
            </w:tcMar>
            <w:vAlign w:val="center"/>
          </w:tcPr>
          <w:p w14:paraId="2943BB2D">
            <w:pPr>
              <w:widowControl w:val="0"/>
              <w:spacing w:line="30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0.09</w:t>
            </w:r>
          </w:p>
        </w:tc>
        <w:tc>
          <w:tcPr>
            <w:tcW w:w="1511" w:type="pct"/>
            <w:tcBorders>
              <w:left w:val="single" w:color="000000" w:sz="2" w:space="0"/>
              <w:tl2br w:val="nil"/>
              <w:tr2bl w:val="nil"/>
            </w:tcBorders>
            <w:tcMar>
              <w:top w:w="15" w:type="dxa"/>
              <w:left w:w="15" w:type="dxa"/>
              <w:bottom w:w="0" w:type="dxa"/>
              <w:right w:w="15" w:type="dxa"/>
            </w:tcMar>
            <w:vAlign w:val="center"/>
          </w:tcPr>
          <w:p w14:paraId="267079C7">
            <w:pPr>
              <w:widowControl w:val="0"/>
              <w:spacing w:line="30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w:t>
            </w:r>
          </w:p>
        </w:tc>
      </w:tr>
      <w:tr w14:paraId="4714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pct"/>
            <w:tcBorders>
              <w:tl2br w:val="nil"/>
              <w:tr2bl w:val="nil"/>
            </w:tcBorders>
            <w:vAlign w:val="center"/>
          </w:tcPr>
          <w:p w14:paraId="49911722">
            <w:pPr>
              <w:widowControl w:val="0"/>
              <w:spacing w:line="30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2</w:t>
            </w:r>
          </w:p>
        </w:tc>
        <w:tc>
          <w:tcPr>
            <w:tcW w:w="1438" w:type="pct"/>
            <w:tcBorders>
              <w:tl2br w:val="nil"/>
              <w:tr2bl w:val="nil"/>
            </w:tcBorders>
            <w:vAlign w:val="center"/>
          </w:tcPr>
          <w:p w14:paraId="5E314B3E">
            <w:pPr>
              <w:widowControl w:val="0"/>
              <w:spacing w:line="30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管线</w:t>
            </w:r>
          </w:p>
        </w:tc>
        <w:tc>
          <w:tcPr>
            <w:tcW w:w="1550" w:type="pct"/>
            <w:tcBorders>
              <w:tl2br w:val="nil"/>
              <w:tr2bl w:val="nil"/>
            </w:tcBorders>
            <w:tcMar>
              <w:top w:w="15" w:type="dxa"/>
              <w:left w:w="15" w:type="dxa"/>
              <w:bottom w:w="0" w:type="dxa"/>
              <w:right w:w="15" w:type="dxa"/>
            </w:tcMar>
            <w:vAlign w:val="center"/>
          </w:tcPr>
          <w:p w14:paraId="242065D6">
            <w:pPr>
              <w:widowControl w:val="0"/>
              <w:spacing w:line="30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w:t>
            </w:r>
          </w:p>
        </w:tc>
        <w:tc>
          <w:tcPr>
            <w:tcW w:w="1511" w:type="pct"/>
            <w:tcBorders>
              <w:left w:val="single" w:color="000000" w:sz="2" w:space="0"/>
              <w:tl2br w:val="nil"/>
              <w:tr2bl w:val="nil"/>
            </w:tcBorders>
            <w:tcMar>
              <w:top w:w="15" w:type="dxa"/>
              <w:left w:w="15" w:type="dxa"/>
              <w:bottom w:w="0" w:type="dxa"/>
              <w:right w:w="15" w:type="dxa"/>
            </w:tcMar>
            <w:vAlign w:val="center"/>
          </w:tcPr>
          <w:p w14:paraId="09EF9431">
            <w:pPr>
              <w:widowControl w:val="0"/>
              <w:spacing w:line="30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1.92</w:t>
            </w:r>
          </w:p>
        </w:tc>
      </w:tr>
      <w:tr w14:paraId="0FC75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pct"/>
            <w:tcBorders>
              <w:tl2br w:val="nil"/>
              <w:tr2bl w:val="nil"/>
            </w:tcBorders>
            <w:vAlign w:val="center"/>
          </w:tcPr>
          <w:p w14:paraId="06ED2B1D">
            <w:pPr>
              <w:widowControl w:val="0"/>
              <w:spacing w:line="30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3</w:t>
            </w:r>
          </w:p>
        </w:tc>
        <w:tc>
          <w:tcPr>
            <w:tcW w:w="1438" w:type="pct"/>
            <w:tcBorders>
              <w:tl2br w:val="nil"/>
              <w:tr2bl w:val="nil"/>
            </w:tcBorders>
            <w:vAlign w:val="center"/>
          </w:tcPr>
          <w:p w14:paraId="539B9BCD">
            <w:pPr>
              <w:widowControl w:val="0"/>
              <w:spacing w:line="30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柱上变电站</w:t>
            </w:r>
          </w:p>
        </w:tc>
        <w:tc>
          <w:tcPr>
            <w:tcW w:w="1550" w:type="pct"/>
            <w:tcBorders>
              <w:tl2br w:val="nil"/>
              <w:tr2bl w:val="nil"/>
            </w:tcBorders>
            <w:tcMar>
              <w:top w:w="15" w:type="dxa"/>
              <w:left w:w="15" w:type="dxa"/>
              <w:bottom w:w="0" w:type="dxa"/>
              <w:right w:w="15" w:type="dxa"/>
            </w:tcMar>
            <w:vAlign w:val="center"/>
          </w:tcPr>
          <w:p w14:paraId="13B4DE05">
            <w:pPr>
              <w:widowControl w:val="0"/>
              <w:spacing w:line="30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0.0001</w:t>
            </w:r>
          </w:p>
        </w:tc>
        <w:tc>
          <w:tcPr>
            <w:tcW w:w="1511" w:type="pct"/>
            <w:tcBorders>
              <w:left w:val="single" w:color="000000" w:sz="2" w:space="0"/>
              <w:tl2br w:val="nil"/>
              <w:tr2bl w:val="nil"/>
            </w:tcBorders>
            <w:tcMar>
              <w:top w:w="15" w:type="dxa"/>
              <w:left w:w="15" w:type="dxa"/>
              <w:bottom w:w="0" w:type="dxa"/>
              <w:right w:w="15" w:type="dxa"/>
            </w:tcMar>
            <w:vAlign w:val="center"/>
          </w:tcPr>
          <w:p w14:paraId="1CB6116D">
            <w:pPr>
              <w:widowControl w:val="0"/>
              <w:spacing w:line="30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0.0029</w:t>
            </w:r>
          </w:p>
        </w:tc>
      </w:tr>
      <w:tr w14:paraId="368FE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8" w:type="pct"/>
            <w:gridSpan w:val="2"/>
            <w:tcBorders>
              <w:tl2br w:val="nil"/>
              <w:tr2bl w:val="nil"/>
            </w:tcBorders>
            <w:vAlign w:val="center"/>
          </w:tcPr>
          <w:p w14:paraId="6C8E593D">
            <w:pPr>
              <w:widowControl w:val="0"/>
              <w:spacing w:line="30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小计</w:t>
            </w:r>
          </w:p>
        </w:tc>
        <w:tc>
          <w:tcPr>
            <w:tcW w:w="1550" w:type="pct"/>
            <w:tcBorders>
              <w:tl2br w:val="nil"/>
              <w:tr2bl w:val="nil"/>
            </w:tcBorders>
            <w:tcMar>
              <w:top w:w="15" w:type="dxa"/>
              <w:left w:w="15" w:type="dxa"/>
              <w:bottom w:w="0" w:type="dxa"/>
              <w:right w:w="15" w:type="dxa"/>
            </w:tcMar>
            <w:vAlign w:val="center"/>
          </w:tcPr>
          <w:p w14:paraId="2C026CC7">
            <w:pPr>
              <w:widowControl w:val="0"/>
              <w:spacing w:line="30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0.0901</w:t>
            </w:r>
          </w:p>
        </w:tc>
        <w:tc>
          <w:tcPr>
            <w:tcW w:w="1511" w:type="pct"/>
            <w:tcBorders>
              <w:left w:val="single" w:color="000000" w:sz="2" w:space="0"/>
              <w:tl2br w:val="nil"/>
              <w:tr2bl w:val="nil"/>
            </w:tcBorders>
            <w:tcMar>
              <w:top w:w="15" w:type="dxa"/>
              <w:left w:w="15" w:type="dxa"/>
              <w:bottom w:w="0" w:type="dxa"/>
              <w:right w:w="15" w:type="dxa"/>
            </w:tcMar>
            <w:vAlign w:val="center"/>
          </w:tcPr>
          <w:p w14:paraId="7413CC41">
            <w:pPr>
              <w:widowControl w:val="0"/>
              <w:spacing w:line="30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1.9229</w:t>
            </w:r>
          </w:p>
        </w:tc>
      </w:tr>
      <w:tr w14:paraId="670E5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8" w:type="pct"/>
            <w:gridSpan w:val="2"/>
            <w:tcBorders>
              <w:tl2br w:val="nil"/>
              <w:tr2bl w:val="nil"/>
            </w:tcBorders>
            <w:vAlign w:val="center"/>
          </w:tcPr>
          <w:p w14:paraId="48E30A64">
            <w:pPr>
              <w:widowControl w:val="0"/>
              <w:spacing w:line="30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合计</w:t>
            </w:r>
          </w:p>
        </w:tc>
        <w:tc>
          <w:tcPr>
            <w:tcW w:w="3061" w:type="pct"/>
            <w:gridSpan w:val="2"/>
            <w:tcBorders>
              <w:tl2br w:val="nil"/>
              <w:tr2bl w:val="nil"/>
            </w:tcBorders>
            <w:tcMar>
              <w:top w:w="15" w:type="dxa"/>
              <w:left w:w="15" w:type="dxa"/>
              <w:bottom w:w="0" w:type="dxa"/>
              <w:right w:w="15" w:type="dxa"/>
            </w:tcMar>
            <w:vAlign w:val="center"/>
          </w:tcPr>
          <w:p w14:paraId="49128894">
            <w:pPr>
              <w:widowControl w:val="0"/>
              <w:spacing w:line="30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2.013</w:t>
            </w:r>
          </w:p>
        </w:tc>
      </w:tr>
    </w:tbl>
    <w:p w14:paraId="2D5E3BB1">
      <w:pPr>
        <w:pStyle w:val="7"/>
        <w:widowControl w:val="0"/>
        <w:spacing w:before="60" w:after="60" w:line="440" w:lineRule="exact"/>
        <w:jc w:val="both"/>
        <w:rPr>
          <w:rFonts w:eastAsia="宋体"/>
          <w:b/>
          <w:color w:val="auto"/>
          <w:w w:val="99"/>
          <w:kern w:val="2"/>
          <w:sz w:val="24"/>
          <w:szCs w:val="24"/>
          <w:highlight w:val="none"/>
        </w:rPr>
      </w:pPr>
      <w:bookmarkStart w:id="466" w:name="_Toc77067664"/>
      <w:bookmarkStart w:id="467" w:name="_Toc61597228"/>
      <w:bookmarkStart w:id="468" w:name="_Toc67860136"/>
      <w:bookmarkStart w:id="469" w:name="_Toc80588261"/>
      <w:bookmarkStart w:id="470" w:name="_Toc70050183"/>
      <w:bookmarkStart w:id="471" w:name="_Toc80971383"/>
      <w:bookmarkStart w:id="472" w:name="_Toc83209478"/>
      <w:bookmarkStart w:id="473" w:name="_Toc186444286"/>
      <w:bookmarkStart w:id="474" w:name="_Toc76976248"/>
      <w:bookmarkStart w:id="475" w:name="_Toc78816466"/>
      <w:r>
        <w:rPr>
          <w:rFonts w:eastAsia="宋体"/>
          <w:b/>
          <w:color w:val="auto"/>
          <w:w w:val="99"/>
          <w:kern w:val="2"/>
          <w:sz w:val="24"/>
          <w:szCs w:val="24"/>
          <w:highlight w:val="none"/>
        </w:rPr>
        <w:t>3.7.</w:t>
      </w:r>
      <w:r>
        <w:rPr>
          <w:rFonts w:hint="eastAsia" w:eastAsia="宋体"/>
          <w:b/>
          <w:color w:val="auto"/>
          <w:w w:val="99"/>
          <w:kern w:val="2"/>
          <w:sz w:val="24"/>
          <w:szCs w:val="24"/>
          <w:highlight w:val="none"/>
        </w:rPr>
        <w:t>2</w:t>
      </w:r>
      <w:r>
        <w:rPr>
          <w:rFonts w:eastAsia="宋体"/>
          <w:b/>
          <w:color w:val="auto"/>
          <w:w w:val="99"/>
          <w:kern w:val="2"/>
          <w:sz w:val="24"/>
          <w:szCs w:val="24"/>
          <w:highlight w:val="none"/>
        </w:rPr>
        <w:t>土石方平衡</w:t>
      </w:r>
      <w:bookmarkEnd w:id="466"/>
      <w:bookmarkEnd w:id="467"/>
      <w:bookmarkEnd w:id="468"/>
      <w:bookmarkEnd w:id="469"/>
      <w:bookmarkEnd w:id="470"/>
      <w:bookmarkEnd w:id="471"/>
      <w:bookmarkEnd w:id="472"/>
      <w:bookmarkEnd w:id="473"/>
      <w:bookmarkEnd w:id="474"/>
      <w:bookmarkEnd w:id="475"/>
    </w:p>
    <w:p w14:paraId="1324C8D9">
      <w:pPr>
        <w:widowControl w:val="0"/>
        <w:spacing w:line="440" w:lineRule="exact"/>
        <w:ind w:firstLine="482"/>
        <w:jc w:val="both"/>
        <w:rPr>
          <w:rFonts w:ascii="Times New Roman" w:hAnsi="Times New Roman" w:cs="Times New Roman" w:eastAsiaTheme="minorEastAsia"/>
          <w:color w:val="auto"/>
          <w:w w:val="99"/>
          <w:highlight w:val="none"/>
        </w:rPr>
      </w:pPr>
      <w:r>
        <w:rPr>
          <w:rFonts w:hint="eastAsia" w:ascii="Times New Roman" w:hAnsi="Times New Roman" w:cs="Times New Roman" w:eastAsiaTheme="minorEastAsia"/>
          <w:color w:val="auto"/>
          <w:w w:val="99"/>
          <w:highlight w:val="none"/>
        </w:rPr>
        <w:t>本项目涉及土石方的工程主要包括管道开挖、道路、柱上变施工等。井场施工土方核算已在</w:t>
      </w:r>
      <w:r>
        <w:rPr>
          <w:rFonts w:ascii="Times New Roman" w:hAnsi="Times New Roman" w:cs="Times New Roman"/>
          <w:color w:val="auto"/>
          <w:w w:val="99"/>
          <w:highlight w:val="none"/>
        </w:rPr>
        <w:t>《徐深</w:t>
      </w:r>
      <w:r>
        <w:rPr>
          <w:rFonts w:hint="eastAsia" w:ascii="Times New Roman" w:hAnsi="Times New Roman" w:cs="Times New Roman"/>
          <w:color w:val="auto"/>
          <w:w w:val="99"/>
          <w:highlight w:val="none"/>
        </w:rPr>
        <w:t>27-H1</w:t>
      </w:r>
      <w:r>
        <w:rPr>
          <w:rFonts w:ascii="Times New Roman" w:hAnsi="Times New Roman" w:cs="Times New Roman"/>
          <w:color w:val="auto"/>
          <w:w w:val="99"/>
          <w:highlight w:val="none"/>
        </w:rPr>
        <w:t>钻井工程环境影响报告书》（批复：绥环审〔2025〕67号）</w:t>
      </w:r>
      <w:r>
        <w:rPr>
          <w:rFonts w:hint="eastAsia" w:ascii="Times New Roman" w:hAnsi="Times New Roman" w:cs="Times New Roman" w:eastAsiaTheme="minorEastAsia"/>
          <w:color w:val="auto"/>
          <w:w w:val="99"/>
          <w:highlight w:val="none"/>
        </w:rPr>
        <w:t>中评价，本次不再重复核算。</w:t>
      </w:r>
    </w:p>
    <w:p w14:paraId="0539F49E">
      <w:pPr>
        <w:widowControl w:val="0"/>
        <w:spacing w:line="440" w:lineRule="exact"/>
        <w:ind w:firstLine="482"/>
        <w:jc w:val="both"/>
        <w:rPr>
          <w:rFonts w:ascii="Times New Roman" w:hAnsi="Times New Roman" w:cs="Times New Roman" w:eastAsiaTheme="minorEastAsia"/>
          <w:color w:val="auto"/>
          <w:w w:val="99"/>
          <w:highlight w:val="none"/>
        </w:rPr>
      </w:pPr>
      <w:r>
        <w:rPr>
          <w:rFonts w:hint="eastAsia" w:ascii="Times New Roman" w:hAnsi="Times New Roman" w:cs="Times New Roman" w:eastAsiaTheme="minorEastAsia"/>
          <w:color w:val="auto"/>
          <w:w w:val="99"/>
          <w:highlight w:val="none"/>
        </w:rPr>
        <w:t>本项目开工前编制表土剥离方案，对新增永久占地和临时占地需进行表土进行剥离，耕地剥离厚度0.3m。采用分层开挖，分层堆放，暂存于临时占地内的表土剥离临时堆放区，并采取苫布遮盖，定期采取洒水抑尘措施，临时占地剥离的表土在施工结束后分层回填，并及时恢复地表植被，永久占地剥离的表土按照 “占一补一，质量相等”的要求用于易地补充耕地的表土、劣质地或者其他耕地的土壤改良。</w:t>
      </w:r>
    </w:p>
    <w:p w14:paraId="1B6A0554">
      <w:pPr>
        <w:widowControl w:val="0"/>
        <w:spacing w:line="440" w:lineRule="exact"/>
        <w:ind w:firstLine="482"/>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本项目弃方</w:t>
      </w:r>
      <w:r>
        <w:rPr>
          <w:rFonts w:hint="eastAsia" w:ascii="Times New Roman" w:hAnsi="Times New Roman" w:cs="Times New Roman" w:eastAsiaTheme="minorEastAsia"/>
          <w:color w:val="auto"/>
          <w:w w:val="99"/>
          <w:highlight w:val="none"/>
          <w:lang w:val="en-US" w:eastAsia="zh-CN"/>
        </w:rPr>
        <w:t>主要为表土剥离阶段产生</w:t>
      </w:r>
      <w:r>
        <w:rPr>
          <w:rFonts w:ascii="Times New Roman" w:hAnsi="Times New Roman" w:cs="Times New Roman" w:eastAsiaTheme="minorEastAsia"/>
          <w:color w:val="auto"/>
          <w:w w:val="99"/>
          <w:highlight w:val="none"/>
        </w:rPr>
        <w:t>，</w:t>
      </w:r>
      <w:r>
        <w:rPr>
          <w:rFonts w:hint="eastAsia" w:ascii="Times New Roman" w:hAnsi="Times New Roman" w:cs="Times New Roman" w:eastAsiaTheme="minorEastAsia"/>
          <w:color w:val="auto"/>
          <w:w w:val="99"/>
          <w:highlight w:val="none"/>
          <w:lang w:val="en-US" w:eastAsia="zh-CN"/>
        </w:rPr>
        <w:t>项目</w:t>
      </w:r>
      <w:r>
        <w:rPr>
          <w:rFonts w:ascii="Times New Roman" w:hAnsi="Times New Roman" w:cs="Times New Roman" w:eastAsiaTheme="minorEastAsia"/>
          <w:color w:val="auto"/>
          <w:w w:val="99"/>
          <w:highlight w:val="none"/>
        </w:rPr>
        <w:t>不设置取弃土场</w:t>
      </w:r>
      <w:r>
        <w:rPr>
          <w:rFonts w:hint="eastAsia" w:ascii="Times New Roman" w:hAnsi="Times New Roman" w:cs="Times New Roman" w:eastAsiaTheme="minorEastAsia"/>
          <w:color w:val="auto"/>
          <w:w w:val="99"/>
          <w:highlight w:val="none"/>
          <w:lang w:eastAsia="zh-CN"/>
        </w:rPr>
        <w:t>，施工结束后，</w:t>
      </w:r>
      <w:r>
        <w:rPr>
          <w:rFonts w:hint="eastAsia" w:ascii="Times New Roman" w:hAnsi="Times New Roman" w:cs="Times New Roman" w:eastAsiaTheme="minorEastAsia"/>
          <w:color w:val="auto"/>
          <w:w w:val="99"/>
          <w:highlight w:val="none"/>
          <w:lang w:val="en-US" w:eastAsia="zh-CN"/>
        </w:rPr>
        <w:t>弃方</w:t>
      </w:r>
      <w:r>
        <w:rPr>
          <w:rFonts w:hint="eastAsia" w:ascii="Times New Roman" w:hAnsi="Times New Roman" w:cs="Times New Roman" w:eastAsiaTheme="minorEastAsia"/>
          <w:color w:val="auto"/>
          <w:w w:val="99"/>
          <w:highlight w:val="none"/>
          <w:lang w:eastAsia="zh-CN"/>
        </w:rPr>
        <w:t>用于周围区域土地复垦、土壤治理等用途</w:t>
      </w:r>
      <w:r>
        <w:rPr>
          <w:rFonts w:ascii="Times New Roman" w:hAnsi="Times New Roman" w:cs="Times New Roman" w:eastAsiaTheme="minorEastAsia"/>
          <w:color w:val="auto"/>
          <w:w w:val="99"/>
          <w:highlight w:val="none"/>
        </w:rPr>
        <w:t>。本项目土石方情况见表3.7-2，土石方平衡图见图3.</w:t>
      </w:r>
      <w:r>
        <w:rPr>
          <w:rFonts w:hint="eastAsia" w:ascii="Times New Roman" w:hAnsi="Times New Roman" w:cs="Times New Roman" w:eastAsiaTheme="minorEastAsia"/>
          <w:color w:val="auto"/>
          <w:w w:val="99"/>
          <w:highlight w:val="none"/>
        </w:rPr>
        <w:t>6</w:t>
      </w:r>
      <w:r>
        <w:rPr>
          <w:rFonts w:ascii="Times New Roman" w:hAnsi="Times New Roman" w:cs="Times New Roman" w:eastAsiaTheme="minorEastAsia"/>
          <w:color w:val="auto"/>
          <w:w w:val="99"/>
          <w:highlight w:val="none"/>
        </w:rPr>
        <w:t>-</w:t>
      </w:r>
      <w:r>
        <w:rPr>
          <w:rFonts w:hint="eastAsia" w:ascii="Times New Roman" w:hAnsi="Times New Roman" w:cs="Times New Roman" w:eastAsiaTheme="minorEastAsia"/>
          <w:color w:val="auto"/>
          <w:w w:val="99"/>
          <w:highlight w:val="none"/>
        </w:rPr>
        <w:t>1</w:t>
      </w:r>
      <w:r>
        <w:rPr>
          <w:rFonts w:ascii="Times New Roman" w:hAnsi="Times New Roman" w:cs="Times New Roman" w:eastAsiaTheme="minorEastAsia"/>
          <w:color w:val="auto"/>
          <w:w w:val="99"/>
          <w:highlight w:val="none"/>
        </w:rPr>
        <w:t>。</w:t>
      </w:r>
    </w:p>
    <w:p w14:paraId="4D5B1645">
      <w:pPr>
        <w:pStyle w:val="153"/>
        <w:widowControl w:val="0"/>
        <w:spacing w:line="440" w:lineRule="exact"/>
        <w:ind w:firstLine="474"/>
        <w:rPr>
          <w:rFonts w:ascii="Times New Roman" w:hAnsi="Times New Roman" w:eastAsiaTheme="minorEastAsia"/>
          <w:b/>
          <w:color w:val="auto"/>
          <w:w w:val="99"/>
          <w:highlight w:val="none"/>
          <w:vertAlign w:val="superscript"/>
        </w:rPr>
      </w:pPr>
      <w:r>
        <w:rPr>
          <w:rFonts w:ascii="Times New Roman" w:hAnsi="Times New Roman" w:eastAsiaTheme="minorEastAsia"/>
          <w:b/>
          <w:color w:val="auto"/>
          <w:w w:val="99"/>
          <w:kern w:val="2"/>
          <w:highlight w:val="none"/>
        </w:rPr>
        <w:t>表3.</w:t>
      </w:r>
      <w:r>
        <w:rPr>
          <w:rFonts w:hint="eastAsia" w:ascii="Times New Roman" w:hAnsi="Times New Roman" w:eastAsiaTheme="minorEastAsia"/>
          <w:b/>
          <w:color w:val="auto"/>
          <w:w w:val="99"/>
          <w:kern w:val="2"/>
          <w:highlight w:val="none"/>
        </w:rPr>
        <w:t>6</w:t>
      </w:r>
      <w:r>
        <w:rPr>
          <w:rFonts w:ascii="Times New Roman" w:hAnsi="Times New Roman" w:eastAsiaTheme="minorEastAsia"/>
          <w:b/>
          <w:color w:val="auto"/>
          <w:w w:val="99"/>
          <w:kern w:val="2"/>
          <w:highlight w:val="none"/>
        </w:rPr>
        <w:t xml:space="preserve">-2    </w:t>
      </w:r>
      <w:r>
        <w:rPr>
          <w:rFonts w:ascii="Times New Roman" w:hAnsi="Times New Roman" w:eastAsiaTheme="minorEastAsia"/>
          <w:b/>
          <w:color w:val="auto"/>
          <w:w w:val="99"/>
          <w:highlight w:val="none"/>
        </w:rPr>
        <w:t>本项目土石方情况    单位：m</w:t>
      </w:r>
      <w:r>
        <w:rPr>
          <w:rFonts w:ascii="Times New Roman" w:hAnsi="Times New Roman" w:eastAsiaTheme="minorEastAsia"/>
          <w:b/>
          <w:color w:val="auto"/>
          <w:w w:val="99"/>
          <w:highlight w:val="none"/>
          <w:vertAlign w:val="superscript"/>
        </w:rPr>
        <w:t>3</w:t>
      </w:r>
    </w:p>
    <w:tbl>
      <w:tblPr>
        <w:tblStyle w:val="81"/>
        <w:tblW w:w="499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2"/>
        <w:gridCol w:w="723"/>
        <w:gridCol w:w="743"/>
        <w:gridCol w:w="891"/>
        <w:gridCol w:w="1040"/>
        <w:gridCol w:w="742"/>
        <w:gridCol w:w="754"/>
        <w:gridCol w:w="764"/>
        <w:gridCol w:w="802"/>
        <w:gridCol w:w="2392"/>
      </w:tblGrid>
      <w:tr w14:paraId="0B6E6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27" w:type="pct"/>
            <w:vMerge w:val="restart"/>
            <w:vAlign w:val="center"/>
          </w:tcPr>
          <w:p w14:paraId="3A723C18">
            <w:pPr>
              <w:spacing w:line="32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序号</w:t>
            </w:r>
          </w:p>
        </w:tc>
        <w:tc>
          <w:tcPr>
            <w:tcW w:w="389" w:type="pct"/>
            <w:vMerge w:val="restart"/>
            <w:vAlign w:val="center"/>
          </w:tcPr>
          <w:p w14:paraId="4B783531">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类型</w:t>
            </w:r>
          </w:p>
        </w:tc>
        <w:tc>
          <w:tcPr>
            <w:tcW w:w="398" w:type="pct"/>
            <w:vMerge w:val="restart"/>
            <w:vAlign w:val="center"/>
          </w:tcPr>
          <w:p w14:paraId="5D9D75C9">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项目</w:t>
            </w:r>
          </w:p>
        </w:tc>
        <w:tc>
          <w:tcPr>
            <w:tcW w:w="1041" w:type="pct"/>
            <w:gridSpan w:val="2"/>
            <w:vAlign w:val="center"/>
          </w:tcPr>
          <w:p w14:paraId="7CBC89D1">
            <w:pPr>
              <w:spacing w:line="32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挖方量</w:t>
            </w:r>
          </w:p>
        </w:tc>
        <w:tc>
          <w:tcPr>
            <w:tcW w:w="400" w:type="pct"/>
            <w:vMerge w:val="restart"/>
            <w:vAlign w:val="center"/>
          </w:tcPr>
          <w:p w14:paraId="6800030C">
            <w:pPr>
              <w:spacing w:line="32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填方量</w:t>
            </w:r>
          </w:p>
        </w:tc>
        <w:tc>
          <w:tcPr>
            <w:tcW w:w="407" w:type="pct"/>
            <w:vMerge w:val="restart"/>
            <w:vAlign w:val="center"/>
          </w:tcPr>
          <w:p w14:paraId="6381C164">
            <w:pPr>
              <w:spacing w:line="32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利用方量</w:t>
            </w:r>
          </w:p>
        </w:tc>
        <w:tc>
          <w:tcPr>
            <w:tcW w:w="412" w:type="pct"/>
            <w:vMerge w:val="restart"/>
            <w:vAlign w:val="center"/>
          </w:tcPr>
          <w:p w14:paraId="03E517F6">
            <w:pPr>
              <w:spacing w:line="32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借方量</w:t>
            </w:r>
          </w:p>
        </w:tc>
        <w:tc>
          <w:tcPr>
            <w:tcW w:w="432" w:type="pct"/>
            <w:vMerge w:val="restart"/>
            <w:vAlign w:val="center"/>
          </w:tcPr>
          <w:p w14:paraId="06D4EACC">
            <w:pPr>
              <w:spacing w:line="32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弃方量</w:t>
            </w:r>
          </w:p>
        </w:tc>
        <w:tc>
          <w:tcPr>
            <w:tcW w:w="1289" w:type="pct"/>
            <w:vMerge w:val="restart"/>
            <w:vAlign w:val="center"/>
          </w:tcPr>
          <w:p w14:paraId="314050F4">
            <w:pPr>
              <w:spacing w:line="32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备注</w:t>
            </w:r>
          </w:p>
        </w:tc>
      </w:tr>
      <w:tr w14:paraId="4C606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27" w:type="pct"/>
            <w:vMerge w:val="continue"/>
            <w:vAlign w:val="center"/>
          </w:tcPr>
          <w:p w14:paraId="257233FB">
            <w:pPr>
              <w:spacing w:line="320" w:lineRule="exact"/>
              <w:jc w:val="center"/>
              <w:rPr>
                <w:rFonts w:ascii="Times New Roman" w:hAnsi="Times New Roman" w:cs="Times New Roman" w:eastAsiaTheme="minorEastAsia"/>
                <w:color w:val="auto"/>
                <w:w w:val="99"/>
                <w:sz w:val="21"/>
                <w:szCs w:val="21"/>
                <w:highlight w:val="none"/>
                <w:lang w:bidi="ar"/>
              </w:rPr>
            </w:pPr>
          </w:p>
        </w:tc>
        <w:tc>
          <w:tcPr>
            <w:tcW w:w="389" w:type="pct"/>
            <w:vMerge w:val="continue"/>
            <w:vAlign w:val="center"/>
          </w:tcPr>
          <w:p w14:paraId="2940FAE1">
            <w:pPr>
              <w:spacing w:line="320" w:lineRule="exact"/>
              <w:jc w:val="center"/>
              <w:rPr>
                <w:rFonts w:ascii="Times New Roman" w:hAnsi="Times New Roman" w:cs="Times New Roman" w:eastAsiaTheme="minorEastAsia"/>
                <w:color w:val="auto"/>
                <w:w w:val="99"/>
                <w:sz w:val="21"/>
                <w:szCs w:val="21"/>
                <w:highlight w:val="none"/>
                <w:lang w:bidi="ar"/>
              </w:rPr>
            </w:pPr>
          </w:p>
        </w:tc>
        <w:tc>
          <w:tcPr>
            <w:tcW w:w="398" w:type="pct"/>
            <w:vMerge w:val="continue"/>
            <w:vAlign w:val="center"/>
          </w:tcPr>
          <w:p w14:paraId="3CE54349">
            <w:pPr>
              <w:spacing w:line="320" w:lineRule="exact"/>
              <w:jc w:val="center"/>
              <w:rPr>
                <w:rFonts w:ascii="Times New Roman" w:hAnsi="Times New Roman" w:cs="Times New Roman" w:eastAsiaTheme="minorEastAsia"/>
                <w:color w:val="auto"/>
                <w:w w:val="99"/>
                <w:sz w:val="21"/>
                <w:szCs w:val="21"/>
                <w:highlight w:val="none"/>
                <w:lang w:bidi="ar"/>
              </w:rPr>
            </w:pPr>
          </w:p>
        </w:tc>
        <w:tc>
          <w:tcPr>
            <w:tcW w:w="480" w:type="pct"/>
            <w:vAlign w:val="center"/>
          </w:tcPr>
          <w:p w14:paraId="42530E2D">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基础挖方</w:t>
            </w:r>
          </w:p>
        </w:tc>
        <w:tc>
          <w:tcPr>
            <w:tcW w:w="561" w:type="pct"/>
            <w:vAlign w:val="center"/>
          </w:tcPr>
          <w:p w14:paraId="0753B934">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表土剥离</w:t>
            </w:r>
          </w:p>
        </w:tc>
        <w:tc>
          <w:tcPr>
            <w:tcW w:w="400" w:type="pct"/>
            <w:vMerge w:val="continue"/>
            <w:vAlign w:val="center"/>
          </w:tcPr>
          <w:p w14:paraId="31F4C61A">
            <w:pPr>
              <w:spacing w:line="320" w:lineRule="exact"/>
              <w:jc w:val="center"/>
              <w:rPr>
                <w:rFonts w:ascii="Times New Roman" w:hAnsi="Times New Roman" w:cs="Times New Roman" w:eastAsiaTheme="minorEastAsia"/>
                <w:color w:val="auto"/>
                <w:w w:val="99"/>
                <w:sz w:val="21"/>
                <w:szCs w:val="21"/>
                <w:highlight w:val="none"/>
                <w:lang w:bidi="ar"/>
              </w:rPr>
            </w:pPr>
          </w:p>
        </w:tc>
        <w:tc>
          <w:tcPr>
            <w:tcW w:w="407" w:type="pct"/>
            <w:vMerge w:val="continue"/>
            <w:vAlign w:val="center"/>
          </w:tcPr>
          <w:p w14:paraId="16608E7E">
            <w:pPr>
              <w:spacing w:line="320" w:lineRule="exact"/>
              <w:jc w:val="center"/>
              <w:rPr>
                <w:rFonts w:ascii="Times New Roman" w:hAnsi="Times New Roman" w:cs="Times New Roman" w:eastAsiaTheme="minorEastAsia"/>
                <w:color w:val="auto"/>
                <w:w w:val="99"/>
                <w:sz w:val="21"/>
                <w:szCs w:val="21"/>
                <w:highlight w:val="none"/>
                <w:lang w:bidi="ar"/>
              </w:rPr>
            </w:pPr>
          </w:p>
        </w:tc>
        <w:tc>
          <w:tcPr>
            <w:tcW w:w="412" w:type="pct"/>
            <w:vMerge w:val="continue"/>
            <w:vAlign w:val="center"/>
          </w:tcPr>
          <w:p w14:paraId="11473059">
            <w:pPr>
              <w:spacing w:line="320" w:lineRule="exact"/>
              <w:jc w:val="center"/>
              <w:rPr>
                <w:rFonts w:ascii="Times New Roman" w:hAnsi="Times New Roman" w:cs="Times New Roman" w:eastAsiaTheme="minorEastAsia"/>
                <w:color w:val="auto"/>
                <w:w w:val="99"/>
                <w:sz w:val="21"/>
                <w:szCs w:val="21"/>
                <w:highlight w:val="none"/>
                <w:lang w:bidi="ar"/>
              </w:rPr>
            </w:pPr>
          </w:p>
        </w:tc>
        <w:tc>
          <w:tcPr>
            <w:tcW w:w="432" w:type="pct"/>
            <w:vMerge w:val="continue"/>
            <w:vAlign w:val="center"/>
          </w:tcPr>
          <w:p w14:paraId="73167F20">
            <w:pPr>
              <w:spacing w:line="320" w:lineRule="exact"/>
              <w:jc w:val="center"/>
              <w:rPr>
                <w:rFonts w:ascii="Times New Roman" w:hAnsi="Times New Roman" w:cs="Times New Roman" w:eastAsiaTheme="minorEastAsia"/>
                <w:color w:val="auto"/>
                <w:w w:val="99"/>
                <w:sz w:val="21"/>
                <w:szCs w:val="21"/>
                <w:highlight w:val="none"/>
                <w:lang w:bidi="ar"/>
              </w:rPr>
            </w:pPr>
          </w:p>
        </w:tc>
        <w:tc>
          <w:tcPr>
            <w:tcW w:w="1289" w:type="pct"/>
            <w:vMerge w:val="continue"/>
            <w:vAlign w:val="center"/>
          </w:tcPr>
          <w:p w14:paraId="4117E2B0">
            <w:pPr>
              <w:spacing w:line="320" w:lineRule="exact"/>
              <w:jc w:val="center"/>
              <w:rPr>
                <w:rFonts w:ascii="Times New Roman" w:hAnsi="Times New Roman" w:cs="Times New Roman" w:eastAsiaTheme="minorEastAsia"/>
                <w:color w:val="auto"/>
                <w:w w:val="99"/>
                <w:sz w:val="21"/>
                <w:szCs w:val="21"/>
                <w:highlight w:val="none"/>
                <w:lang w:bidi="ar"/>
              </w:rPr>
            </w:pPr>
          </w:p>
        </w:tc>
      </w:tr>
      <w:tr w14:paraId="43DB32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27" w:type="pct"/>
            <w:vAlign w:val="center"/>
          </w:tcPr>
          <w:p w14:paraId="289172E9">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1</w:t>
            </w:r>
          </w:p>
        </w:tc>
        <w:tc>
          <w:tcPr>
            <w:tcW w:w="389" w:type="pct"/>
            <w:vMerge w:val="restart"/>
            <w:vAlign w:val="center"/>
          </w:tcPr>
          <w:p w14:paraId="6EF22EC8">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永久占地</w:t>
            </w:r>
          </w:p>
        </w:tc>
        <w:tc>
          <w:tcPr>
            <w:tcW w:w="398" w:type="pct"/>
            <w:vAlign w:val="center"/>
          </w:tcPr>
          <w:p w14:paraId="5BF99C33">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柱上变</w:t>
            </w:r>
          </w:p>
        </w:tc>
        <w:tc>
          <w:tcPr>
            <w:tcW w:w="480" w:type="pct"/>
            <w:vAlign w:val="center"/>
          </w:tcPr>
          <w:p w14:paraId="11EA3FF3">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0</w:t>
            </w:r>
          </w:p>
        </w:tc>
        <w:tc>
          <w:tcPr>
            <w:tcW w:w="561" w:type="pct"/>
            <w:vAlign w:val="center"/>
          </w:tcPr>
          <w:p w14:paraId="62A40493">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0.3</w:t>
            </w:r>
          </w:p>
        </w:tc>
        <w:tc>
          <w:tcPr>
            <w:tcW w:w="400" w:type="pct"/>
            <w:vAlign w:val="center"/>
          </w:tcPr>
          <w:p w14:paraId="49505730">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0</w:t>
            </w:r>
          </w:p>
        </w:tc>
        <w:tc>
          <w:tcPr>
            <w:tcW w:w="407" w:type="pct"/>
            <w:vAlign w:val="center"/>
          </w:tcPr>
          <w:p w14:paraId="2A2DB9D6">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0</w:t>
            </w:r>
          </w:p>
        </w:tc>
        <w:tc>
          <w:tcPr>
            <w:tcW w:w="412" w:type="pct"/>
            <w:vAlign w:val="center"/>
          </w:tcPr>
          <w:p w14:paraId="373F01B6">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0</w:t>
            </w:r>
          </w:p>
        </w:tc>
        <w:tc>
          <w:tcPr>
            <w:tcW w:w="432" w:type="pct"/>
            <w:vAlign w:val="center"/>
          </w:tcPr>
          <w:p w14:paraId="07317B16">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0.3</w:t>
            </w:r>
          </w:p>
        </w:tc>
        <w:tc>
          <w:tcPr>
            <w:tcW w:w="1289" w:type="pct"/>
            <w:vAlign w:val="center"/>
          </w:tcPr>
          <w:p w14:paraId="104BB7EA">
            <w:pPr>
              <w:spacing w:line="32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永久占地内剥离的表土</w:t>
            </w:r>
            <w:r>
              <w:rPr>
                <w:rFonts w:hint="eastAsia" w:ascii="Times New Roman" w:hAnsi="Times New Roman" w:cs="Times New Roman" w:eastAsiaTheme="minorEastAsia"/>
                <w:color w:val="auto"/>
                <w:w w:val="99"/>
                <w:sz w:val="21"/>
                <w:szCs w:val="21"/>
                <w:highlight w:val="none"/>
                <w:lang w:bidi="ar"/>
              </w:rPr>
              <w:t>0.3</w:t>
            </w:r>
            <w:r>
              <w:rPr>
                <w:rFonts w:ascii="Times New Roman" w:hAnsi="Times New Roman" w:cs="Times New Roman" w:eastAsiaTheme="minorEastAsia"/>
                <w:color w:val="auto"/>
                <w:w w:val="99"/>
                <w:sz w:val="21"/>
                <w:szCs w:val="21"/>
                <w:highlight w:val="none"/>
                <w:lang w:bidi="ar"/>
              </w:rPr>
              <w:t>m</w:t>
            </w:r>
            <w:r>
              <w:rPr>
                <w:rFonts w:ascii="Times New Roman" w:hAnsi="Times New Roman" w:cs="Times New Roman" w:eastAsiaTheme="minorEastAsia"/>
                <w:color w:val="auto"/>
                <w:w w:val="99"/>
                <w:sz w:val="21"/>
                <w:szCs w:val="21"/>
                <w:highlight w:val="none"/>
                <w:vertAlign w:val="superscript"/>
                <w:lang w:bidi="ar"/>
              </w:rPr>
              <w:t>3</w:t>
            </w:r>
            <w:r>
              <w:rPr>
                <w:rFonts w:ascii="Times New Roman" w:hAnsi="Times New Roman" w:cs="Times New Roman" w:eastAsiaTheme="minorEastAsia"/>
                <w:color w:val="auto"/>
                <w:w w:val="99"/>
                <w:sz w:val="21"/>
                <w:szCs w:val="21"/>
                <w:highlight w:val="none"/>
                <w:lang w:bidi="ar"/>
              </w:rPr>
              <w:t>施工结束后，用于周围区域土地复垦、土壤治理等用途。</w:t>
            </w:r>
          </w:p>
        </w:tc>
      </w:tr>
      <w:tr w14:paraId="5AE3F8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27" w:type="pct"/>
            <w:vAlign w:val="center"/>
          </w:tcPr>
          <w:p w14:paraId="4B3F3F51">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2</w:t>
            </w:r>
          </w:p>
        </w:tc>
        <w:tc>
          <w:tcPr>
            <w:tcW w:w="389" w:type="pct"/>
            <w:vMerge w:val="continue"/>
            <w:vAlign w:val="center"/>
          </w:tcPr>
          <w:p w14:paraId="546CDD7E">
            <w:pPr>
              <w:spacing w:line="320" w:lineRule="exact"/>
              <w:jc w:val="center"/>
              <w:rPr>
                <w:rFonts w:ascii="Times New Roman" w:hAnsi="Times New Roman" w:cs="Times New Roman" w:eastAsiaTheme="minorEastAsia"/>
                <w:color w:val="auto"/>
                <w:w w:val="99"/>
                <w:sz w:val="21"/>
                <w:szCs w:val="21"/>
                <w:highlight w:val="none"/>
                <w:lang w:bidi="ar"/>
              </w:rPr>
            </w:pPr>
          </w:p>
        </w:tc>
        <w:tc>
          <w:tcPr>
            <w:tcW w:w="398" w:type="pct"/>
            <w:vAlign w:val="center"/>
          </w:tcPr>
          <w:p w14:paraId="6F7A0728">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新建通井路</w:t>
            </w:r>
          </w:p>
        </w:tc>
        <w:tc>
          <w:tcPr>
            <w:tcW w:w="480" w:type="pct"/>
            <w:vAlign w:val="center"/>
          </w:tcPr>
          <w:p w14:paraId="37718850">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0</w:t>
            </w:r>
          </w:p>
        </w:tc>
        <w:tc>
          <w:tcPr>
            <w:tcW w:w="561" w:type="pct"/>
            <w:vAlign w:val="center"/>
          </w:tcPr>
          <w:p w14:paraId="1987256E">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270</w:t>
            </w:r>
          </w:p>
        </w:tc>
        <w:tc>
          <w:tcPr>
            <w:tcW w:w="400" w:type="pct"/>
            <w:vAlign w:val="center"/>
          </w:tcPr>
          <w:p w14:paraId="70B3A18F">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720</w:t>
            </w:r>
          </w:p>
        </w:tc>
        <w:tc>
          <w:tcPr>
            <w:tcW w:w="407" w:type="pct"/>
            <w:vAlign w:val="center"/>
          </w:tcPr>
          <w:p w14:paraId="3649D86C">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0</w:t>
            </w:r>
          </w:p>
        </w:tc>
        <w:tc>
          <w:tcPr>
            <w:tcW w:w="412" w:type="pct"/>
            <w:vAlign w:val="center"/>
          </w:tcPr>
          <w:p w14:paraId="4A00693F">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720</w:t>
            </w:r>
          </w:p>
        </w:tc>
        <w:tc>
          <w:tcPr>
            <w:tcW w:w="432" w:type="pct"/>
            <w:vAlign w:val="center"/>
          </w:tcPr>
          <w:p w14:paraId="0CD270B4">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270</w:t>
            </w:r>
          </w:p>
        </w:tc>
        <w:tc>
          <w:tcPr>
            <w:tcW w:w="1289" w:type="pct"/>
            <w:vAlign w:val="center"/>
          </w:tcPr>
          <w:p w14:paraId="003A6291">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通井路路基宽4.5m，长度0.2km，平均填高0.5m。</w:t>
            </w:r>
          </w:p>
        </w:tc>
      </w:tr>
      <w:tr w14:paraId="179F0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27" w:type="pct"/>
            <w:vAlign w:val="center"/>
          </w:tcPr>
          <w:p w14:paraId="76C0CCDE">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4</w:t>
            </w:r>
          </w:p>
        </w:tc>
        <w:tc>
          <w:tcPr>
            <w:tcW w:w="389" w:type="pct"/>
            <w:vMerge w:val="restart"/>
            <w:vAlign w:val="center"/>
          </w:tcPr>
          <w:p w14:paraId="5D8059BB">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临时占地</w:t>
            </w:r>
          </w:p>
        </w:tc>
        <w:tc>
          <w:tcPr>
            <w:tcW w:w="398" w:type="pct"/>
            <w:vAlign w:val="center"/>
          </w:tcPr>
          <w:p w14:paraId="1FFF4928">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管道</w:t>
            </w:r>
          </w:p>
        </w:tc>
        <w:tc>
          <w:tcPr>
            <w:tcW w:w="480" w:type="pct"/>
            <w:vAlign w:val="center"/>
          </w:tcPr>
          <w:p w14:paraId="1FA63E6D">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5760</w:t>
            </w:r>
          </w:p>
        </w:tc>
        <w:tc>
          <w:tcPr>
            <w:tcW w:w="561" w:type="pct"/>
            <w:vAlign w:val="center"/>
          </w:tcPr>
          <w:p w14:paraId="47B5AC98">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5760</w:t>
            </w:r>
          </w:p>
        </w:tc>
        <w:tc>
          <w:tcPr>
            <w:tcW w:w="400" w:type="pct"/>
            <w:vAlign w:val="center"/>
          </w:tcPr>
          <w:p w14:paraId="1FAB2A9F">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11520</w:t>
            </w:r>
          </w:p>
        </w:tc>
        <w:tc>
          <w:tcPr>
            <w:tcW w:w="407" w:type="pct"/>
            <w:vAlign w:val="center"/>
          </w:tcPr>
          <w:p w14:paraId="048EE2B8">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11520</w:t>
            </w:r>
          </w:p>
        </w:tc>
        <w:tc>
          <w:tcPr>
            <w:tcW w:w="412" w:type="pct"/>
            <w:vAlign w:val="center"/>
          </w:tcPr>
          <w:p w14:paraId="789C4EDC">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0</w:t>
            </w:r>
          </w:p>
        </w:tc>
        <w:tc>
          <w:tcPr>
            <w:tcW w:w="432" w:type="pct"/>
            <w:vAlign w:val="center"/>
          </w:tcPr>
          <w:p w14:paraId="1F8A3999">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0</w:t>
            </w:r>
          </w:p>
        </w:tc>
        <w:tc>
          <w:tcPr>
            <w:tcW w:w="1289" w:type="pct"/>
            <w:vAlign w:val="center"/>
          </w:tcPr>
          <w:p w14:paraId="14D056CF">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管沟开挖深度为2m，上宽度2m，下宽1m，管沟长度1.92km。临时占地剥离的表土5760m</w:t>
            </w:r>
            <w:r>
              <w:rPr>
                <w:rFonts w:hint="eastAsia" w:ascii="Times New Roman" w:hAnsi="Times New Roman" w:cs="Times New Roman" w:eastAsiaTheme="minorEastAsia"/>
                <w:color w:val="auto"/>
                <w:w w:val="99"/>
                <w:sz w:val="21"/>
                <w:szCs w:val="21"/>
                <w:highlight w:val="none"/>
                <w:vertAlign w:val="superscript"/>
                <w:lang w:bidi="ar"/>
              </w:rPr>
              <w:t xml:space="preserve">3 </w:t>
            </w:r>
            <w:r>
              <w:rPr>
                <w:rFonts w:hint="eastAsia" w:ascii="Times New Roman" w:hAnsi="Times New Roman" w:cs="Times New Roman" w:eastAsiaTheme="minorEastAsia"/>
                <w:color w:val="auto"/>
                <w:w w:val="99"/>
                <w:sz w:val="21"/>
                <w:szCs w:val="21"/>
                <w:highlight w:val="none"/>
                <w:lang w:bidi="ar"/>
              </w:rPr>
              <w:t>待施工结束后覆土回填。</w:t>
            </w:r>
          </w:p>
        </w:tc>
      </w:tr>
      <w:tr w14:paraId="39E16A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27" w:type="pct"/>
            <w:vAlign w:val="center"/>
          </w:tcPr>
          <w:p w14:paraId="4BE2548F">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5</w:t>
            </w:r>
          </w:p>
        </w:tc>
        <w:tc>
          <w:tcPr>
            <w:tcW w:w="389" w:type="pct"/>
            <w:vMerge w:val="continue"/>
            <w:vAlign w:val="center"/>
          </w:tcPr>
          <w:p w14:paraId="44D2C3EC">
            <w:pPr>
              <w:spacing w:line="320" w:lineRule="exact"/>
              <w:jc w:val="center"/>
              <w:rPr>
                <w:rFonts w:ascii="Times New Roman" w:hAnsi="Times New Roman" w:cs="Times New Roman" w:eastAsiaTheme="minorEastAsia"/>
                <w:color w:val="auto"/>
                <w:w w:val="99"/>
                <w:sz w:val="21"/>
                <w:szCs w:val="21"/>
                <w:highlight w:val="none"/>
                <w:lang w:bidi="ar"/>
              </w:rPr>
            </w:pPr>
          </w:p>
        </w:tc>
        <w:tc>
          <w:tcPr>
            <w:tcW w:w="398" w:type="pct"/>
            <w:vAlign w:val="center"/>
          </w:tcPr>
          <w:p w14:paraId="64B303A2">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柱上变</w:t>
            </w:r>
          </w:p>
        </w:tc>
        <w:tc>
          <w:tcPr>
            <w:tcW w:w="480" w:type="pct"/>
            <w:vAlign w:val="center"/>
          </w:tcPr>
          <w:p w14:paraId="429F41F5">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0</w:t>
            </w:r>
          </w:p>
        </w:tc>
        <w:tc>
          <w:tcPr>
            <w:tcW w:w="561" w:type="pct"/>
            <w:vAlign w:val="center"/>
          </w:tcPr>
          <w:p w14:paraId="72B22141">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8.7</w:t>
            </w:r>
          </w:p>
        </w:tc>
        <w:tc>
          <w:tcPr>
            <w:tcW w:w="400" w:type="pct"/>
            <w:vAlign w:val="center"/>
          </w:tcPr>
          <w:p w14:paraId="36B29EDE">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8.7</w:t>
            </w:r>
          </w:p>
        </w:tc>
        <w:tc>
          <w:tcPr>
            <w:tcW w:w="407" w:type="pct"/>
            <w:vAlign w:val="center"/>
          </w:tcPr>
          <w:p w14:paraId="7D8585FC">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8.7</w:t>
            </w:r>
          </w:p>
        </w:tc>
        <w:tc>
          <w:tcPr>
            <w:tcW w:w="412" w:type="pct"/>
            <w:vAlign w:val="center"/>
          </w:tcPr>
          <w:p w14:paraId="0671FE80">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0</w:t>
            </w:r>
          </w:p>
        </w:tc>
        <w:tc>
          <w:tcPr>
            <w:tcW w:w="432" w:type="pct"/>
            <w:vAlign w:val="center"/>
          </w:tcPr>
          <w:p w14:paraId="5E3D21FB">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0</w:t>
            </w:r>
          </w:p>
        </w:tc>
        <w:tc>
          <w:tcPr>
            <w:tcW w:w="1289" w:type="pct"/>
            <w:vAlign w:val="center"/>
          </w:tcPr>
          <w:p w14:paraId="6A4D7DD6">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剥离的表土8.7m</w:t>
            </w:r>
            <w:r>
              <w:rPr>
                <w:rFonts w:hint="eastAsia" w:ascii="Times New Roman" w:hAnsi="Times New Roman" w:cs="Times New Roman" w:eastAsiaTheme="minorEastAsia"/>
                <w:color w:val="auto"/>
                <w:w w:val="99"/>
                <w:sz w:val="21"/>
                <w:szCs w:val="21"/>
                <w:highlight w:val="none"/>
                <w:vertAlign w:val="superscript"/>
                <w:lang w:bidi="ar"/>
              </w:rPr>
              <w:t xml:space="preserve">3 </w:t>
            </w:r>
            <w:r>
              <w:rPr>
                <w:rFonts w:hint="eastAsia" w:ascii="Times New Roman" w:hAnsi="Times New Roman" w:cs="Times New Roman" w:eastAsiaTheme="minorEastAsia"/>
                <w:color w:val="auto"/>
                <w:w w:val="99"/>
                <w:sz w:val="21"/>
                <w:szCs w:val="21"/>
                <w:highlight w:val="none"/>
                <w:lang w:bidi="ar"/>
              </w:rPr>
              <w:t>待施工结束后覆土回填。</w:t>
            </w:r>
          </w:p>
        </w:tc>
      </w:tr>
      <w:tr w14:paraId="38601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16" w:type="pct"/>
            <w:gridSpan w:val="3"/>
            <w:vAlign w:val="center"/>
          </w:tcPr>
          <w:p w14:paraId="17CF4344">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合计</w:t>
            </w:r>
          </w:p>
        </w:tc>
        <w:tc>
          <w:tcPr>
            <w:tcW w:w="891" w:type="dxa"/>
            <w:vAlign w:val="center"/>
          </w:tcPr>
          <w:p w14:paraId="05543A49">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5760</w:t>
            </w:r>
          </w:p>
        </w:tc>
        <w:tc>
          <w:tcPr>
            <w:tcW w:w="1041" w:type="dxa"/>
            <w:vAlign w:val="center"/>
          </w:tcPr>
          <w:p w14:paraId="0B4CA6F0">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6039</w:t>
            </w:r>
          </w:p>
        </w:tc>
        <w:tc>
          <w:tcPr>
            <w:tcW w:w="742" w:type="dxa"/>
            <w:vAlign w:val="center"/>
          </w:tcPr>
          <w:p w14:paraId="16AD034E">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12248.7</w:t>
            </w:r>
          </w:p>
        </w:tc>
        <w:tc>
          <w:tcPr>
            <w:tcW w:w="756" w:type="dxa"/>
            <w:vAlign w:val="center"/>
          </w:tcPr>
          <w:p w14:paraId="06649112">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11528.7</w:t>
            </w:r>
          </w:p>
        </w:tc>
        <w:tc>
          <w:tcPr>
            <w:tcW w:w="765" w:type="dxa"/>
            <w:vAlign w:val="center"/>
          </w:tcPr>
          <w:p w14:paraId="5B1E08D3">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720</w:t>
            </w:r>
          </w:p>
        </w:tc>
        <w:tc>
          <w:tcPr>
            <w:tcW w:w="803" w:type="dxa"/>
            <w:vAlign w:val="center"/>
          </w:tcPr>
          <w:p w14:paraId="2A4563B7">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270.3</w:t>
            </w:r>
          </w:p>
        </w:tc>
        <w:tc>
          <w:tcPr>
            <w:tcW w:w="1289" w:type="pct"/>
            <w:vAlign w:val="center"/>
          </w:tcPr>
          <w:p w14:paraId="430F2DE2">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bidi="ar"/>
              </w:rPr>
              <w:t>/</w:t>
            </w:r>
          </w:p>
        </w:tc>
      </w:tr>
    </w:tbl>
    <w:p w14:paraId="5A9606C7">
      <w:pPr>
        <w:rPr>
          <w:rFonts w:ascii="Times New Roman" w:hAnsi="Times New Roman" w:eastAsiaTheme="minorEastAsia"/>
          <w:b/>
          <w:color w:val="auto"/>
          <w:w w:val="99"/>
          <w:highlight w:val="none"/>
          <w:vertAlign w:val="superscript"/>
        </w:rPr>
      </w:pPr>
    </w:p>
    <w:p w14:paraId="488EF46E">
      <w:pPr>
        <w:jc w:val="center"/>
        <w:rPr>
          <w:rFonts w:ascii="Times New Roman" w:hAnsi="Times New Roman" w:eastAsiaTheme="minorEastAsia"/>
          <w:b/>
          <w:color w:val="auto"/>
          <w:w w:val="99"/>
          <w:highlight w:val="none"/>
          <w:vertAlign w:val="superscript"/>
        </w:rPr>
      </w:pPr>
      <w:r>
        <w:rPr>
          <w:color w:val="auto"/>
          <w:highlight w:val="none"/>
        </w:rPr>
        <w:drawing>
          <wp:inline distT="0" distB="0" distL="114300" distR="114300">
            <wp:extent cx="3743325" cy="2124075"/>
            <wp:effectExtent l="0" t="0" r="9525" b="952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35"/>
                    <a:stretch>
                      <a:fillRect/>
                    </a:stretch>
                  </pic:blipFill>
                  <pic:spPr>
                    <a:xfrm>
                      <a:off x="0" y="0"/>
                      <a:ext cx="3743325" cy="2124075"/>
                    </a:xfrm>
                    <a:prstGeom prst="rect">
                      <a:avLst/>
                    </a:prstGeom>
                    <a:noFill/>
                    <a:ln>
                      <a:noFill/>
                    </a:ln>
                  </pic:spPr>
                </pic:pic>
              </a:graphicData>
            </a:graphic>
          </wp:inline>
        </w:drawing>
      </w:r>
    </w:p>
    <w:p w14:paraId="2F440EA2">
      <w:pPr>
        <w:rPr>
          <w:rFonts w:ascii="Times New Roman" w:hAnsi="Times New Roman" w:eastAsiaTheme="minorEastAsia"/>
          <w:b/>
          <w:color w:val="auto"/>
          <w:w w:val="99"/>
          <w:highlight w:val="none"/>
          <w:vertAlign w:val="superscript"/>
        </w:rPr>
      </w:pPr>
    </w:p>
    <w:p w14:paraId="60F21B31">
      <w:pPr>
        <w:widowControl w:val="0"/>
        <w:spacing w:line="440" w:lineRule="exact"/>
        <w:ind w:firstLine="476" w:firstLineChars="200"/>
        <w:jc w:val="center"/>
        <w:rPr>
          <w:rFonts w:ascii="Times New Roman" w:hAnsi="Times New Roman" w:cs="Times New Roman" w:eastAsiaTheme="minorEastAsia"/>
          <w:b/>
          <w:color w:val="auto"/>
          <w:w w:val="99"/>
          <w:highlight w:val="none"/>
        </w:rPr>
      </w:pPr>
      <w:r>
        <w:rPr>
          <w:rFonts w:ascii="Times New Roman" w:hAnsi="Times New Roman" w:cs="Times New Roman" w:eastAsiaTheme="minorEastAsia"/>
          <w:b/>
          <w:color w:val="auto"/>
          <w:w w:val="99"/>
          <w:highlight w:val="none"/>
        </w:rPr>
        <w:t>图3.</w:t>
      </w:r>
      <w:r>
        <w:rPr>
          <w:rFonts w:hint="eastAsia" w:ascii="Times New Roman" w:hAnsi="Times New Roman" w:cs="Times New Roman" w:eastAsiaTheme="minorEastAsia"/>
          <w:b/>
          <w:color w:val="auto"/>
          <w:w w:val="99"/>
          <w:highlight w:val="none"/>
        </w:rPr>
        <w:t>6</w:t>
      </w:r>
      <w:r>
        <w:rPr>
          <w:rFonts w:ascii="Times New Roman" w:hAnsi="Times New Roman" w:cs="Times New Roman" w:eastAsiaTheme="minorEastAsia"/>
          <w:b/>
          <w:color w:val="auto"/>
          <w:w w:val="99"/>
          <w:highlight w:val="none"/>
        </w:rPr>
        <w:t>-</w:t>
      </w:r>
      <w:r>
        <w:rPr>
          <w:rFonts w:hint="eastAsia" w:ascii="Times New Roman" w:hAnsi="Times New Roman" w:cs="Times New Roman" w:eastAsiaTheme="minorEastAsia"/>
          <w:b/>
          <w:color w:val="auto"/>
          <w:w w:val="99"/>
          <w:highlight w:val="none"/>
        </w:rPr>
        <w:t>1</w:t>
      </w:r>
      <w:r>
        <w:rPr>
          <w:rFonts w:ascii="Times New Roman" w:hAnsi="Times New Roman" w:cs="Times New Roman" w:eastAsiaTheme="minorEastAsia"/>
          <w:b/>
          <w:color w:val="auto"/>
          <w:w w:val="99"/>
          <w:highlight w:val="none"/>
        </w:rPr>
        <w:t xml:space="preserve">    土石方平衡图（单位：m</w:t>
      </w:r>
      <w:r>
        <w:rPr>
          <w:rFonts w:ascii="Times New Roman" w:hAnsi="Times New Roman" w:cs="Times New Roman" w:eastAsiaTheme="minorEastAsia"/>
          <w:b/>
          <w:color w:val="auto"/>
          <w:w w:val="99"/>
          <w:highlight w:val="none"/>
          <w:vertAlign w:val="superscript"/>
        </w:rPr>
        <w:t>3</w:t>
      </w:r>
      <w:r>
        <w:rPr>
          <w:rFonts w:ascii="Times New Roman" w:hAnsi="Times New Roman" w:cs="Times New Roman" w:eastAsiaTheme="minorEastAsia"/>
          <w:b/>
          <w:color w:val="auto"/>
          <w:w w:val="99"/>
          <w:highlight w:val="none"/>
        </w:rPr>
        <w:t>）</w:t>
      </w:r>
    </w:p>
    <w:p w14:paraId="430A056F">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476" w:name="_Toc4136"/>
      <w:r>
        <w:rPr>
          <w:rFonts w:ascii="Times New Roman" w:hAnsi="Times New Roman" w:eastAsia="宋体"/>
          <w:b/>
          <w:snapToGrid w:val="0"/>
          <w:color w:val="auto"/>
          <w:w w:val="99"/>
          <w:highlight w:val="none"/>
        </w:rPr>
        <w:t>3.</w:t>
      </w:r>
      <w:r>
        <w:rPr>
          <w:rFonts w:hint="eastAsia" w:ascii="Times New Roman" w:hAnsi="Times New Roman" w:eastAsia="宋体"/>
          <w:b/>
          <w:snapToGrid w:val="0"/>
          <w:color w:val="auto"/>
          <w:w w:val="99"/>
          <w:highlight w:val="none"/>
        </w:rPr>
        <w:t>7</w:t>
      </w:r>
      <w:r>
        <w:rPr>
          <w:rFonts w:ascii="Times New Roman" w:hAnsi="Times New Roman" w:eastAsia="宋体"/>
          <w:b/>
          <w:snapToGrid w:val="0"/>
          <w:color w:val="auto"/>
          <w:w w:val="99"/>
          <w:highlight w:val="none"/>
        </w:rPr>
        <w:t>施工方式</w:t>
      </w:r>
      <w:bookmarkEnd w:id="476"/>
    </w:p>
    <w:p w14:paraId="727F5CF8">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477" w:name="_Toc67860138"/>
      <w:bookmarkStart w:id="478" w:name="_Toc80588263"/>
      <w:bookmarkStart w:id="479" w:name="_Toc83209480"/>
      <w:bookmarkStart w:id="480" w:name="_Toc186444288"/>
      <w:bookmarkStart w:id="481" w:name="_Toc76976250"/>
      <w:bookmarkStart w:id="482" w:name="_Toc80971385"/>
      <w:bookmarkStart w:id="483" w:name="_Toc77067666"/>
      <w:bookmarkStart w:id="484" w:name="_Toc70050185"/>
      <w:bookmarkStart w:id="485" w:name="_Toc78816468"/>
      <w:r>
        <w:rPr>
          <w:rFonts w:eastAsia="宋体"/>
          <w:b/>
          <w:color w:val="auto"/>
          <w:w w:val="99"/>
          <w:kern w:val="2"/>
          <w:sz w:val="24"/>
          <w:szCs w:val="24"/>
          <w:highlight w:val="none"/>
        </w:rPr>
        <w:t>3.</w:t>
      </w:r>
      <w:r>
        <w:rPr>
          <w:rFonts w:hint="eastAsia" w:eastAsia="宋体"/>
          <w:b/>
          <w:color w:val="auto"/>
          <w:w w:val="99"/>
          <w:kern w:val="2"/>
          <w:sz w:val="24"/>
          <w:szCs w:val="24"/>
          <w:highlight w:val="none"/>
        </w:rPr>
        <w:t>7</w:t>
      </w:r>
      <w:r>
        <w:rPr>
          <w:rFonts w:eastAsia="宋体"/>
          <w:b/>
          <w:color w:val="auto"/>
          <w:w w:val="99"/>
          <w:kern w:val="2"/>
          <w:sz w:val="24"/>
          <w:szCs w:val="24"/>
          <w:highlight w:val="none"/>
        </w:rPr>
        <w:t>.1管道施工</w:t>
      </w:r>
      <w:bookmarkEnd w:id="477"/>
      <w:bookmarkEnd w:id="478"/>
      <w:bookmarkEnd w:id="479"/>
      <w:bookmarkEnd w:id="480"/>
      <w:bookmarkEnd w:id="481"/>
      <w:bookmarkEnd w:id="482"/>
      <w:bookmarkEnd w:id="483"/>
      <w:bookmarkEnd w:id="484"/>
      <w:bookmarkEnd w:id="485"/>
    </w:p>
    <w:p w14:paraId="1B1E9AA5">
      <w:pPr>
        <w:widowControl w:val="0"/>
        <w:spacing w:line="440" w:lineRule="exact"/>
        <w:outlineLvl w:val="3"/>
        <w:rPr>
          <w:rFonts w:ascii="Times New Roman" w:hAnsi="Times New Roman" w:cs="Times New Roman"/>
          <w:b/>
          <w:color w:val="auto"/>
          <w:w w:val="99"/>
          <w:szCs w:val="20"/>
          <w:highlight w:val="none"/>
        </w:rPr>
      </w:pPr>
      <w:r>
        <w:rPr>
          <w:rFonts w:ascii="Times New Roman" w:hAnsi="Times New Roman" w:cs="Times New Roman"/>
          <w:b/>
          <w:color w:val="auto"/>
          <w:w w:val="99"/>
          <w:szCs w:val="20"/>
          <w:highlight w:val="none"/>
        </w:rPr>
        <w:t>3.</w:t>
      </w:r>
      <w:r>
        <w:rPr>
          <w:rFonts w:hint="eastAsia" w:ascii="Times New Roman" w:hAnsi="Times New Roman" w:cs="Times New Roman"/>
          <w:b/>
          <w:color w:val="auto"/>
          <w:w w:val="99"/>
          <w:szCs w:val="20"/>
          <w:highlight w:val="none"/>
        </w:rPr>
        <w:t>7</w:t>
      </w:r>
      <w:r>
        <w:rPr>
          <w:rFonts w:ascii="Times New Roman" w:hAnsi="Times New Roman" w:cs="Times New Roman"/>
          <w:b/>
          <w:color w:val="auto"/>
          <w:w w:val="99"/>
          <w:szCs w:val="20"/>
          <w:highlight w:val="none"/>
        </w:rPr>
        <w:t>.1.</w:t>
      </w:r>
      <w:r>
        <w:rPr>
          <w:rFonts w:hint="eastAsia" w:ascii="Times New Roman" w:hAnsi="Times New Roman" w:cs="Times New Roman"/>
          <w:b/>
          <w:color w:val="auto"/>
          <w:w w:val="99"/>
          <w:szCs w:val="20"/>
          <w:highlight w:val="none"/>
        </w:rPr>
        <w:t>1</w:t>
      </w:r>
      <w:r>
        <w:rPr>
          <w:rFonts w:ascii="Times New Roman" w:hAnsi="Times New Roman" w:cs="Times New Roman"/>
          <w:b/>
          <w:color w:val="auto"/>
          <w:w w:val="99"/>
          <w:szCs w:val="20"/>
          <w:highlight w:val="none"/>
        </w:rPr>
        <w:t>一般管道施工</w:t>
      </w:r>
    </w:p>
    <w:p w14:paraId="001F6BDC">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管道施工过程为先清理作业线路场地，然后开挖管沟，再组焊管道、下沟管道，特殊地段根据实际情况合理穿插各工序。管沟开挖以机械开挖为主，施工作业面宽10m。施工完毕清理现场、恢复地貌。管道施工建设过程见图3.</w:t>
      </w:r>
      <w:r>
        <w:rPr>
          <w:rFonts w:hint="eastAsia" w:ascii="Times New Roman" w:hAnsi="Times New Roman" w:cs="Times New Roman" w:eastAsiaTheme="minorEastAsia"/>
          <w:color w:val="auto"/>
          <w:w w:val="99"/>
          <w:highlight w:val="none"/>
          <w:lang w:val="en-US" w:eastAsia="zh-CN"/>
        </w:rPr>
        <w:t>7</w:t>
      </w:r>
      <w:r>
        <w:rPr>
          <w:rFonts w:ascii="Times New Roman" w:hAnsi="Times New Roman" w:cs="Times New Roman" w:eastAsiaTheme="minorEastAsia"/>
          <w:color w:val="auto"/>
          <w:w w:val="99"/>
          <w:highlight w:val="none"/>
        </w:rPr>
        <w:t>-</w:t>
      </w:r>
      <w:r>
        <w:rPr>
          <w:rFonts w:hint="eastAsia" w:ascii="Times New Roman" w:hAnsi="Times New Roman" w:cs="Times New Roman" w:eastAsiaTheme="minorEastAsia"/>
          <w:color w:val="auto"/>
          <w:w w:val="99"/>
          <w:highlight w:val="none"/>
          <w:lang w:val="en-US" w:eastAsia="zh-CN"/>
        </w:rPr>
        <w:t>1</w:t>
      </w:r>
      <w:r>
        <w:rPr>
          <w:rFonts w:ascii="Times New Roman" w:hAnsi="Times New Roman" w:cs="Times New Roman" w:eastAsiaTheme="minorEastAsia"/>
          <w:color w:val="auto"/>
          <w:w w:val="99"/>
          <w:highlight w:val="none"/>
        </w:rPr>
        <w:t>。</w:t>
      </w:r>
    </w:p>
    <w:p w14:paraId="50798813">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一般地段作业带宽度为10m，其中管沟深度按2m计，边坡坡度为1:0.3。施工作业带清理采用挖沟机、推土机扫线，人工配合清理。防腐管由工厂预制，采用专用管拖车拉运现场连接。管沟开挖采用挖掘机等机械及人工辅助清理完成。回填完的管沟进行压实、整形。管道安装完成后，经检验合格，应进行压力和严密性试验，本工程试压采用清水进行试压。</w:t>
      </w:r>
    </w:p>
    <w:p w14:paraId="616620BC">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工艺管线施工技术要求及验收均按国家标准《</w:t>
      </w:r>
      <w:r>
        <w:rPr>
          <w:rFonts w:hint="eastAsia" w:ascii="Times New Roman" w:hAnsi="Times New Roman" w:cs="Times New Roman" w:eastAsiaTheme="minorEastAsia"/>
          <w:color w:val="auto"/>
          <w:w w:val="99"/>
          <w:highlight w:val="none"/>
        </w:rPr>
        <w:t>工业金属管道工程施工规范</w:t>
      </w:r>
      <w:r>
        <w:rPr>
          <w:rFonts w:ascii="Times New Roman" w:hAnsi="Times New Roman" w:cs="Times New Roman" w:eastAsiaTheme="minorEastAsia"/>
          <w:color w:val="auto"/>
          <w:w w:val="99"/>
          <w:highlight w:val="none"/>
        </w:rPr>
        <w:t>》(GB50235-2010)、</w:t>
      </w:r>
      <w:r>
        <w:rPr>
          <w:rFonts w:hint="eastAsia" w:ascii="Times New Roman" w:hAnsi="Times New Roman" w:cs="Times New Roman" w:eastAsiaTheme="minorEastAsia"/>
          <w:color w:val="auto"/>
          <w:w w:val="99"/>
          <w:highlight w:val="none"/>
        </w:rPr>
        <w:t>《现场设备、工业管道焊接工程施工规范》（</w:t>
      </w:r>
      <w:r>
        <w:rPr>
          <w:rFonts w:ascii="Times New Roman" w:hAnsi="Times New Roman" w:cs="Times New Roman" w:eastAsiaTheme="minorEastAsia"/>
          <w:color w:val="auto"/>
          <w:w w:val="99"/>
          <w:highlight w:val="none"/>
        </w:rPr>
        <w:t>GB 50236-2011）、《</w:t>
      </w:r>
      <w:bookmarkStart w:id="486" w:name="OLE_LINK173"/>
      <w:bookmarkStart w:id="487" w:name="OLE_LINK172"/>
      <w:r>
        <w:rPr>
          <w:rFonts w:ascii="Times New Roman" w:hAnsi="Times New Roman" w:cs="Times New Roman" w:eastAsiaTheme="minorEastAsia"/>
          <w:color w:val="auto"/>
          <w:w w:val="99"/>
          <w:highlight w:val="none"/>
        </w:rPr>
        <w:t>油气田集输管道施工规范</w:t>
      </w:r>
      <w:bookmarkEnd w:id="486"/>
      <w:bookmarkEnd w:id="487"/>
      <w:r>
        <w:rPr>
          <w:rFonts w:ascii="Times New Roman" w:hAnsi="Times New Roman" w:cs="Times New Roman" w:eastAsiaTheme="minorEastAsia"/>
          <w:color w:val="auto"/>
          <w:w w:val="99"/>
          <w:highlight w:val="none"/>
        </w:rPr>
        <w:t>》（GB50819-2013）以及有关国家及行业标准执行。</w:t>
      </w:r>
    </w:p>
    <w:p w14:paraId="2602C0BD">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管道施工作业断面见图3.</w:t>
      </w:r>
      <w:r>
        <w:rPr>
          <w:rFonts w:hint="eastAsia" w:ascii="Times New Roman" w:hAnsi="Times New Roman" w:cs="Times New Roman" w:eastAsiaTheme="minorEastAsia"/>
          <w:color w:val="auto"/>
          <w:w w:val="99"/>
          <w:highlight w:val="none"/>
          <w:lang w:val="en-US" w:eastAsia="zh-CN"/>
        </w:rPr>
        <w:t>7</w:t>
      </w:r>
      <w:r>
        <w:rPr>
          <w:rFonts w:ascii="Times New Roman" w:hAnsi="Times New Roman" w:cs="Times New Roman" w:eastAsiaTheme="minorEastAsia"/>
          <w:color w:val="auto"/>
          <w:w w:val="99"/>
          <w:highlight w:val="none"/>
        </w:rPr>
        <w:t>-</w:t>
      </w:r>
      <w:r>
        <w:rPr>
          <w:rFonts w:hint="eastAsia" w:ascii="Times New Roman" w:hAnsi="Times New Roman" w:cs="Times New Roman" w:eastAsiaTheme="minorEastAsia"/>
          <w:color w:val="auto"/>
          <w:w w:val="99"/>
          <w:highlight w:val="none"/>
          <w:lang w:val="en-US" w:eastAsia="zh-CN"/>
        </w:rPr>
        <w:t>2</w:t>
      </w:r>
      <w:r>
        <w:rPr>
          <w:rFonts w:ascii="Times New Roman" w:hAnsi="Times New Roman" w:cs="Times New Roman" w:eastAsiaTheme="minorEastAsia"/>
          <w:color w:val="auto"/>
          <w:w w:val="99"/>
          <w:highlight w:val="none"/>
        </w:rPr>
        <w:t>，管道开挖施工平面布置示意图见图3.</w:t>
      </w:r>
      <w:r>
        <w:rPr>
          <w:rFonts w:hint="eastAsia" w:ascii="Times New Roman" w:hAnsi="Times New Roman" w:cs="Times New Roman" w:eastAsiaTheme="minorEastAsia"/>
          <w:color w:val="auto"/>
          <w:w w:val="99"/>
          <w:highlight w:val="none"/>
          <w:lang w:val="en-US" w:eastAsia="zh-CN"/>
        </w:rPr>
        <w:t>7</w:t>
      </w:r>
      <w:r>
        <w:rPr>
          <w:rFonts w:ascii="Times New Roman" w:hAnsi="Times New Roman" w:cs="Times New Roman" w:eastAsiaTheme="minorEastAsia"/>
          <w:color w:val="auto"/>
          <w:w w:val="99"/>
          <w:highlight w:val="none"/>
        </w:rPr>
        <w:t>-</w:t>
      </w:r>
      <w:r>
        <w:rPr>
          <w:rFonts w:hint="eastAsia" w:ascii="Times New Roman" w:hAnsi="Times New Roman" w:cs="Times New Roman" w:eastAsiaTheme="minorEastAsia"/>
          <w:color w:val="auto"/>
          <w:w w:val="99"/>
          <w:highlight w:val="none"/>
          <w:lang w:val="en-US" w:eastAsia="zh-CN"/>
        </w:rPr>
        <w:t>3</w:t>
      </w:r>
      <w:r>
        <w:rPr>
          <w:rFonts w:ascii="Times New Roman" w:hAnsi="Times New Roman" w:cs="Times New Roman" w:eastAsiaTheme="minorEastAsia"/>
          <w:color w:val="auto"/>
          <w:w w:val="99"/>
          <w:highlight w:val="none"/>
        </w:rPr>
        <w:t>。</w:t>
      </w:r>
    </w:p>
    <w:p w14:paraId="52A8D07A">
      <w:pPr>
        <w:widowControl w:val="0"/>
        <w:autoSpaceDE w:val="0"/>
        <w:autoSpaceDN w:val="0"/>
        <w:jc w:val="center"/>
        <w:rPr>
          <w:rFonts w:ascii="Times New Roman" w:hAnsi="Times New Roman" w:cs="Times New Roman"/>
          <w:color w:val="auto"/>
          <w:w w:val="99"/>
          <w:highlight w:val="none"/>
        </w:rPr>
      </w:pPr>
      <w:r>
        <w:rPr>
          <w:rFonts w:ascii="Times New Roman" w:hAnsi="Times New Roman" w:cs="Times New Roman" w:eastAsiaTheme="minorEastAsia"/>
          <w:color w:val="auto"/>
          <w:w w:val="99"/>
          <w:highlight w:val="none"/>
        </w:rPr>
        <w:drawing>
          <wp:inline distT="0" distB="0" distL="0" distR="0">
            <wp:extent cx="3006090" cy="2355215"/>
            <wp:effectExtent l="0" t="0" r="3810" b="698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36"/>
                    <a:stretch>
                      <a:fillRect/>
                    </a:stretch>
                  </pic:blipFill>
                  <pic:spPr>
                    <a:xfrm>
                      <a:off x="0" y="0"/>
                      <a:ext cx="3042386" cy="2383725"/>
                    </a:xfrm>
                    <a:prstGeom prst="rect">
                      <a:avLst/>
                    </a:prstGeom>
                  </pic:spPr>
                </pic:pic>
              </a:graphicData>
            </a:graphic>
          </wp:inline>
        </w:drawing>
      </w:r>
    </w:p>
    <w:p w14:paraId="3152AC8A">
      <w:pPr>
        <w:spacing w:line="440" w:lineRule="exact"/>
        <w:jc w:val="center"/>
        <w:rPr>
          <w:rFonts w:ascii="Times New Roman" w:hAnsi="Times New Roman" w:cs="Times New Roman"/>
          <w:b/>
          <w:bCs/>
          <w:color w:val="auto"/>
          <w:w w:val="99"/>
          <w:kern w:val="2"/>
          <w:highlight w:val="none"/>
        </w:rPr>
      </w:pPr>
      <w:r>
        <w:rPr>
          <w:rFonts w:ascii="Times New Roman" w:hAnsi="Times New Roman" w:cs="Times New Roman"/>
          <w:b/>
          <w:bCs/>
          <w:color w:val="auto"/>
          <w:w w:val="99"/>
          <w:kern w:val="2"/>
          <w:highlight w:val="none"/>
        </w:rPr>
        <w:t>图3.</w:t>
      </w:r>
      <w:r>
        <w:rPr>
          <w:rFonts w:hint="eastAsia" w:ascii="Times New Roman" w:hAnsi="Times New Roman" w:cs="Times New Roman"/>
          <w:b/>
          <w:bCs/>
          <w:color w:val="auto"/>
          <w:w w:val="99"/>
          <w:kern w:val="2"/>
          <w:highlight w:val="none"/>
        </w:rPr>
        <w:t>7</w:t>
      </w:r>
      <w:r>
        <w:rPr>
          <w:rFonts w:ascii="Times New Roman" w:hAnsi="Times New Roman" w:cs="Times New Roman"/>
          <w:b/>
          <w:bCs/>
          <w:color w:val="auto"/>
          <w:w w:val="99"/>
          <w:kern w:val="2"/>
          <w:highlight w:val="none"/>
        </w:rPr>
        <w:t>-</w:t>
      </w:r>
      <w:r>
        <w:rPr>
          <w:rFonts w:hint="eastAsia" w:ascii="Times New Roman" w:hAnsi="Times New Roman" w:cs="Times New Roman"/>
          <w:b/>
          <w:bCs/>
          <w:color w:val="auto"/>
          <w:w w:val="99"/>
          <w:kern w:val="2"/>
          <w:highlight w:val="none"/>
        </w:rPr>
        <w:t>1</w:t>
      </w:r>
      <w:r>
        <w:rPr>
          <w:rFonts w:ascii="Times New Roman" w:hAnsi="Times New Roman" w:cs="Times New Roman"/>
          <w:b/>
          <w:bCs/>
          <w:color w:val="auto"/>
          <w:w w:val="99"/>
          <w:kern w:val="2"/>
          <w:highlight w:val="none"/>
        </w:rPr>
        <w:t xml:space="preserve">    管道施工建设过程</w:t>
      </w:r>
    </w:p>
    <w:p w14:paraId="4BB20A44">
      <w:pPr>
        <w:pStyle w:val="103"/>
        <w:rPr>
          <w:rFonts w:ascii="Times New Roman" w:hAnsi="Times New Roman"/>
          <w:color w:val="auto"/>
          <w:w w:val="99"/>
          <w:highlight w:val="none"/>
        </w:rPr>
      </w:pPr>
      <w:r>
        <w:rPr>
          <w:rFonts w:ascii="Times New Roman" w:hAnsi="Times New Roman" w:eastAsiaTheme="minorEastAsia"/>
          <w:color w:val="auto"/>
          <w:w w:val="99"/>
          <w:highlight w:val="none"/>
        </w:rPr>
        <w:drawing>
          <wp:inline distT="0" distB="0" distL="0" distR="0">
            <wp:extent cx="5417185" cy="1557655"/>
            <wp:effectExtent l="0" t="0" r="0" b="444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5433904" cy="1562913"/>
                    </a:xfrm>
                    <a:prstGeom prst="rect">
                      <a:avLst/>
                    </a:prstGeom>
                    <a:noFill/>
                    <a:ln>
                      <a:noFill/>
                    </a:ln>
                  </pic:spPr>
                </pic:pic>
              </a:graphicData>
            </a:graphic>
          </wp:inline>
        </w:drawing>
      </w:r>
    </w:p>
    <w:p w14:paraId="0840AE45">
      <w:pPr>
        <w:spacing w:line="440" w:lineRule="exact"/>
        <w:jc w:val="center"/>
        <w:rPr>
          <w:rFonts w:ascii="Times New Roman" w:hAnsi="Times New Roman" w:cs="Times New Roman"/>
          <w:b/>
          <w:bCs/>
          <w:color w:val="auto"/>
          <w:w w:val="99"/>
          <w:kern w:val="2"/>
          <w:highlight w:val="none"/>
        </w:rPr>
      </w:pPr>
      <w:r>
        <w:rPr>
          <w:rFonts w:ascii="Times New Roman" w:hAnsi="Times New Roman" w:cs="Times New Roman"/>
          <w:b/>
          <w:bCs/>
          <w:color w:val="auto"/>
          <w:w w:val="99"/>
          <w:kern w:val="2"/>
          <w:highlight w:val="none"/>
        </w:rPr>
        <w:t>图3.</w:t>
      </w:r>
      <w:r>
        <w:rPr>
          <w:rFonts w:hint="eastAsia" w:ascii="Times New Roman" w:hAnsi="Times New Roman" w:cs="Times New Roman"/>
          <w:b/>
          <w:bCs/>
          <w:color w:val="auto"/>
          <w:w w:val="99"/>
          <w:kern w:val="2"/>
          <w:highlight w:val="none"/>
        </w:rPr>
        <w:t>7</w:t>
      </w:r>
      <w:r>
        <w:rPr>
          <w:rFonts w:ascii="Times New Roman" w:hAnsi="Times New Roman" w:cs="Times New Roman"/>
          <w:b/>
          <w:bCs/>
          <w:color w:val="auto"/>
          <w:w w:val="99"/>
          <w:kern w:val="2"/>
          <w:highlight w:val="none"/>
        </w:rPr>
        <w:t>-</w:t>
      </w:r>
      <w:r>
        <w:rPr>
          <w:rFonts w:hint="eastAsia" w:ascii="Times New Roman" w:hAnsi="Times New Roman" w:cs="Times New Roman"/>
          <w:b/>
          <w:bCs/>
          <w:color w:val="auto"/>
          <w:w w:val="99"/>
          <w:kern w:val="2"/>
          <w:highlight w:val="none"/>
        </w:rPr>
        <w:t>2</w:t>
      </w:r>
      <w:r>
        <w:rPr>
          <w:rFonts w:ascii="Times New Roman" w:hAnsi="Times New Roman" w:cs="Times New Roman"/>
          <w:b/>
          <w:bCs/>
          <w:color w:val="auto"/>
          <w:w w:val="99"/>
          <w:kern w:val="2"/>
          <w:highlight w:val="none"/>
        </w:rPr>
        <w:t xml:space="preserve">    管道施工作业断面图</w:t>
      </w:r>
    </w:p>
    <w:p w14:paraId="346A3F32">
      <w:pPr>
        <w:pStyle w:val="103"/>
        <w:rPr>
          <w:rFonts w:ascii="Times New Roman" w:hAnsi="Times New Roman"/>
          <w:color w:val="auto"/>
          <w:w w:val="99"/>
          <w:highlight w:val="none"/>
        </w:rPr>
      </w:pPr>
      <w:r>
        <w:rPr>
          <w:rFonts w:ascii="Times New Roman" w:hAnsi="Times New Roman" w:eastAsiaTheme="minorEastAsia"/>
          <w:color w:val="auto"/>
          <w:w w:val="99"/>
          <w:highlight w:val="none"/>
        </w:rPr>
        <w:drawing>
          <wp:inline distT="0" distB="0" distL="0" distR="0">
            <wp:extent cx="4297680" cy="1692910"/>
            <wp:effectExtent l="0" t="0" r="7620" b="2540"/>
            <wp:docPr id="840" name="图片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 name="图片 840"/>
                    <pic:cNvPicPr>
                      <a:picLocks noChangeAspect="1"/>
                    </pic:cNvPicPr>
                  </pic:nvPicPr>
                  <pic:blipFill>
                    <a:blip r:embed="rId38"/>
                    <a:stretch>
                      <a:fillRect/>
                    </a:stretch>
                  </pic:blipFill>
                  <pic:spPr>
                    <a:xfrm>
                      <a:off x="0" y="0"/>
                      <a:ext cx="4326138" cy="1704323"/>
                    </a:xfrm>
                    <a:prstGeom prst="rect">
                      <a:avLst/>
                    </a:prstGeom>
                  </pic:spPr>
                </pic:pic>
              </a:graphicData>
            </a:graphic>
          </wp:inline>
        </w:drawing>
      </w:r>
    </w:p>
    <w:p w14:paraId="6B07287E">
      <w:pPr>
        <w:spacing w:line="440" w:lineRule="exact"/>
        <w:jc w:val="center"/>
        <w:rPr>
          <w:rFonts w:ascii="Times New Roman" w:hAnsi="Times New Roman" w:cs="Times New Roman"/>
          <w:b/>
          <w:bCs/>
          <w:color w:val="auto"/>
          <w:w w:val="99"/>
          <w:kern w:val="2"/>
          <w:highlight w:val="none"/>
        </w:rPr>
      </w:pPr>
      <w:r>
        <w:rPr>
          <w:rFonts w:ascii="Times New Roman" w:hAnsi="Times New Roman" w:cs="Times New Roman"/>
          <w:b/>
          <w:bCs/>
          <w:color w:val="auto"/>
          <w:w w:val="99"/>
          <w:kern w:val="2"/>
          <w:highlight w:val="none"/>
        </w:rPr>
        <w:t>图3.</w:t>
      </w:r>
      <w:r>
        <w:rPr>
          <w:rFonts w:hint="eastAsia" w:ascii="Times New Roman" w:hAnsi="Times New Roman" w:cs="Times New Roman"/>
          <w:b/>
          <w:bCs/>
          <w:color w:val="auto"/>
          <w:w w:val="99"/>
          <w:kern w:val="2"/>
          <w:highlight w:val="none"/>
        </w:rPr>
        <w:t>7</w:t>
      </w:r>
      <w:r>
        <w:rPr>
          <w:rFonts w:ascii="Times New Roman" w:hAnsi="Times New Roman" w:cs="Times New Roman"/>
          <w:b/>
          <w:bCs/>
          <w:color w:val="auto"/>
          <w:w w:val="99"/>
          <w:kern w:val="2"/>
          <w:highlight w:val="none"/>
        </w:rPr>
        <w:t>-</w:t>
      </w:r>
      <w:r>
        <w:rPr>
          <w:rFonts w:hint="eastAsia" w:ascii="Times New Roman" w:hAnsi="Times New Roman" w:cs="Times New Roman"/>
          <w:b/>
          <w:bCs/>
          <w:color w:val="auto"/>
          <w:w w:val="99"/>
          <w:kern w:val="2"/>
          <w:highlight w:val="none"/>
        </w:rPr>
        <w:t>3</w:t>
      </w:r>
      <w:r>
        <w:rPr>
          <w:rFonts w:ascii="Times New Roman" w:hAnsi="Times New Roman" w:cs="Times New Roman"/>
          <w:b/>
          <w:bCs/>
          <w:color w:val="auto"/>
          <w:w w:val="99"/>
          <w:kern w:val="2"/>
          <w:highlight w:val="none"/>
        </w:rPr>
        <w:t xml:space="preserve"> 管道开挖施工平面布置示意图</w:t>
      </w:r>
    </w:p>
    <w:p w14:paraId="0CA966FB">
      <w:pPr>
        <w:spacing w:line="440" w:lineRule="exact"/>
        <w:outlineLvl w:val="3"/>
        <w:rPr>
          <w:rFonts w:ascii="Times New Roman" w:hAnsi="Times New Roman" w:cs="Times New Roman"/>
          <w:b/>
          <w:color w:val="auto"/>
          <w:w w:val="99"/>
          <w:szCs w:val="20"/>
          <w:highlight w:val="none"/>
        </w:rPr>
      </w:pPr>
      <w:r>
        <w:rPr>
          <w:rFonts w:ascii="Times New Roman" w:hAnsi="Times New Roman" w:cs="Times New Roman"/>
          <w:b/>
          <w:color w:val="auto"/>
          <w:w w:val="99"/>
          <w:szCs w:val="20"/>
          <w:highlight w:val="none"/>
        </w:rPr>
        <w:t>3.</w:t>
      </w:r>
      <w:r>
        <w:rPr>
          <w:rFonts w:hint="eastAsia" w:ascii="Times New Roman" w:hAnsi="Times New Roman" w:cs="Times New Roman"/>
          <w:b/>
          <w:color w:val="auto"/>
          <w:w w:val="99"/>
          <w:szCs w:val="20"/>
          <w:highlight w:val="none"/>
        </w:rPr>
        <w:t>7</w:t>
      </w:r>
      <w:r>
        <w:rPr>
          <w:rFonts w:ascii="Times New Roman" w:hAnsi="Times New Roman" w:cs="Times New Roman"/>
          <w:b/>
          <w:color w:val="auto"/>
          <w:w w:val="99"/>
          <w:szCs w:val="20"/>
          <w:highlight w:val="none"/>
        </w:rPr>
        <w:t>.1.</w:t>
      </w:r>
      <w:r>
        <w:rPr>
          <w:rFonts w:hint="eastAsia" w:ascii="Times New Roman" w:hAnsi="Times New Roman" w:cs="Times New Roman"/>
          <w:b/>
          <w:color w:val="auto"/>
          <w:w w:val="99"/>
          <w:szCs w:val="20"/>
          <w:highlight w:val="none"/>
        </w:rPr>
        <w:t>2</w:t>
      </w:r>
      <w:r>
        <w:rPr>
          <w:rFonts w:ascii="Times New Roman" w:hAnsi="Times New Roman" w:cs="Times New Roman"/>
          <w:b/>
          <w:color w:val="auto"/>
          <w:w w:val="99"/>
          <w:szCs w:val="20"/>
          <w:highlight w:val="none"/>
        </w:rPr>
        <w:t>管道顶管穿越施工</w:t>
      </w:r>
    </w:p>
    <w:p w14:paraId="59E072BD">
      <w:pPr>
        <w:widowControl w:val="0"/>
        <w:autoSpaceDE w:val="0"/>
        <w:autoSpaceDN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本项目</w:t>
      </w:r>
      <w:r>
        <w:rPr>
          <w:rFonts w:hint="eastAsia" w:ascii="Times New Roman" w:hAnsi="Times New Roman" w:cs="Times New Roman"/>
          <w:color w:val="auto"/>
          <w:w w:val="99"/>
          <w:highlight w:val="none"/>
        </w:rPr>
        <w:t>4</w:t>
      </w:r>
      <w:r>
        <w:rPr>
          <w:rFonts w:ascii="Times New Roman" w:hAnsi="Times New Roman" w:cs="Times New Roman"/>
          <w:color w:val="auto"/>
          <w:w w:val="99"/>
          <w:highlight w:val="none"/>
        </w:rPr>
        <w:t>处管道穿越井排路/公路，穿越采用顶管施工方案。顶管施工是不开挖或少开挖的一种管道施工方式，其主要利用顶管设备产生前进的力度，平衡管道与土体之间的摩擦力，管道前进同时将管道内占用的土体置换出来，最终在土体中形成管道。施工中置换出的土体，最终用于该处的土地平整。</w:t>
      </w:r>
    </w:p>
    <w:p w14:paraId="129EA869">
      <w:pPr>
        <w:widowControl w:val="0"/>
        <w:autoSpaceDE w:val="0"/>
        <w:autoSpaceDN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顶管施工方式：确定顶管穿越进出口位置，在一端挖操作坑，另一端挖接收坑。在操作坑放置穿越套管和顶管设备，由人工先在套管前端掏土，再顶进套管，循环作业直至穿过道路为止。顶管施工示意图见图3.</w:t>
      </w:r>
      <w:r>
        <w:rPr>
          <w:rFonts w:hint="eastAsia" w:ascii="Times New Roman" w:hAnsi="Times New Roman" w:cs="Times New Roman"/>
          <w:color w:val="auto"/>
          <w:w w:val="99"/>
          <w:highlight w:val="none"/>
        </w:rPr>
        <w:t>7</w:t>
      </w:r>
      <w:r>
        <w:rPr>
          <w:rFonts w:ascii="Times New Roman" w:hAnsi="Times New Roman" w:cs="Times New Roman"/>
          <w:color w:val="auto"/>
          <w:w w:val="99"/>
          <w:highlight w:val="none"/>
        </w:rPr>
        <w:t>-</w:t>
      </w:r>
      <w:r>
        <w:rPr>
          <w:rFonts w:hint="eastAsia" w:ascii="Times New Roman" w:hAnsi="Times New Roman" w:cs="Times New Roman"/>
          <w:color w:val="auto"/>
          <w:w w:val="99"/>
          <w:highlight w:val="none"/>
          <w:lang w:val="en-US" w:eastAsia="zh-CN"/>
        </w:rPr>
        <w:t>4</w:t>
      </w:r>
      <w:r>
        <w:rPr>
          <w:rFonts w:ascii="Times New Roman" w:hAnsi="Times New Roman" w:cs="Times New Roman"/>
          <w:color w:val="auto"/>
          <w:w w:val="99"/>
          <w:highlight w:val="none"/>
        </w:rPr>
        <w:t>。</w:t>
      </w:r>
    </w:p>
    <w:p w14:paraId="6BAF7F43">
      <w:pPr>
        <w:pStyle w:val="32"/>
        <w:jc w:val="center"/>
        <w:rPr>
          <w:rFonts w:ascii="Times New Roman" w:hAnsi="Times New Roman"/>
          <w:color w:val="auto"/>
          <w:w w:val="99"/>
          <w:highlight w:val="none"/>
        </w:rPr>
      </w:pPr>
      <w:r>
        <w:rPr>
          <w:rFonts w:ascii="Times New Roman" w:hAnsi="Times New Roman"/>
          <w:color w:val="auto"/>
          <w:w w:val="99"/>
          <w:highlight w:val="none"/>
        </w:rPr>
        <w:drawing>
          <wp:inline distT="0" distB="0" distL="0" distR="0">
            <wp:extent cx="4648200" cy="1228725"/>
            <wp:effectExtent l="0" t="0" r="0" b="9525"/>
            <wp:docPr id="5" name="图片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5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4648200" cy="1228725"/>
                    </a:xfrm>
                    <a:prstGeom prst="rect">
                      <a:avLst/>
                    </a:prstGeom>
                    <a:noFill/>
                    <a:ln>
                      <a:noFill/>
                    </a:ln>
                  </pic:spPr>
                </pic:pic>
              </a:graphicData>
            </a:graphic>
          </wp:inline>
        </w:drawing>
      </w:r>
    </w:p>
    <w:p w14:paraId="46B2133E">
      <w:pPr>
        <w:spacing w:line="440" w:lineRule="exact"/>
        <w:jc w:val="center"/>
        <w:rPr>
          <w:rFonts w:ascii="Times New Roman" w:hAnsi="Times New Roman" w:cs="Times New Roman"/>
          <w:b/>
          <w:bCs/>
          <w:color w:val="auto"/>
          <w:w w:val="99"/>
          <w:kern w:val="2"/>
          <w:highlight w:val="none"/>
        </w:rPr>
      </w:pPr>
      <w:r>
        <w:rPr>
          <w:rFonts w:ascii="Times New Roman" w:hAnsi="Times New Roman" w:cs="Times New Roman"/>
          <w:b/>
          <w:bCs/>
          <w:color w:val="auto"/>
          <w:w w:val="99"/>
          <w:kern w:val="2"/>
          <w:highlight w:val="none"/>
        </w:rPr>
        <w:t>图3.</w:t>
      </w:r>
      <w:r>
        <w:rPr>
          <w:rFonts w:hint="eastAsia" w:ascii="Times New Roman" w:hAnsi="Times New Roman" w:cs="Times New Roman"/>
          <w:b/>
          <w:bCs/>
          <w:color w:val="auto"/>
          <w:w w:val="99"/>
          <w:kern w:val="2"/>
          <w:highlight w:val="none"/>
        </w:rPr>
        <w:t>7</w:t>
      </w:r>
      <w:r>
        <w:rPr>
          <w:rFonts w:ascii="Times New Roman" w:hAnsi="Times New Roman" w:cs="Times New Roman"/>
          <w:b/>
          <w:bCs/>
          <w:color w:val="auto"/>
          <w:w w:val="99"/>
          <w:kern w:val="2"/>
          <w:highlight w:val="none"/>
        </w:rPr>
        <w:t>-</w:t>
      </w:r>
      <w:r>
        <w:rPr>
          <w:rFonts w:hint="eastAsia" w:ascii="Times New Roman" w:hAnsi="Times New Roman" w:cs="Times New Roman"/>
          <w:b/>
          <w:bCs/>
          <w:color w:val="auto"/>
          <w:w w:val="99"/>
          <w:kern w:val="2"/>
          <w:highlight w:val="none"/>
          <w:lang w:val="en-US" w:eastAsia="zh-CN"/>
        </w:rPr>
        <w:t>4</w:t>
      </w:r>
      <w:r>
        <w:rPr>
          <w:rFonts w:ascii="Times New Roman" w:hAnsi="Times New Roman" w:cs="Times New Roman"/>
          <w:b/>
          <w:bCs/>
          <w:color w:val="auto"/>
          <w:w w:val="99"/>
          <w:kern w:val="2"/>
          <w:highlight w:val="none"/>
        </w:rPr>
        <w:t xml:space="preserve">    顶管施工示意图</w:t>
      </w:r>
    </w:p>
    <w:p w14:paraId="38990C90">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488" w:name="_Toc80588264"/>
      <w:bookmarkStart w:id="489" w:name="_Toc76976251"/>
      <w:bookmarkStart w:id="490" w:name="_Toc77067667"/>
      <w:bookmarkStart w:id="491" w:name="_Toc67860139"/>
      <w:bookmarkStart w:id="492" w:name="_Toc83209481"/>
      <w:bookmarkStart w:id="493" w:name="_Toc186444289"/>
      <w:bookmarkStart w:id="494" w:name="_Toc78816469"/>
      <w:bookmarkStart w:id="495" w:name="_Toc80971386"/>
      <w:bookmarkStart w:id="496" w:name="_Toc70050186"/>
      <w:r>
        <w:rPr>
          <w:rFonts w:eastAsia="宋体"/>
          <w:b/>
          <w:color w:val="auto"/>
          <w:w w:val="99"/>
          <w:kern w:val="2"/>
          <w:sz w:val="24"/>
          <w:szCs w:val="24"/>
          <w:highlight w:val="none"/>
        </w:rPr>
        <w:t>3.</w:t>
      </w:r>
      <w:r>
        <w:rPr>
          <w:rFonts w:hint="eastAsia" w:eastAsia="宋体"/>
          <w:b/>
          <w:color w:val="auto"/>
          <w:w w:val="99"/>
          <w:kern w:val="2"/>
          <w:sz w:val="24"/>
          <w:szCs w:val="24"/>
          <w:highlight w:val="none"/>
        </w:rPr>
        <w:t>7</w:t>
      </w:r>
      <w:r>
        <w:rPr>
          <w:rFonts w:eastAsia="宋体"/>
          <w:b/>
          <w:color w:val="auto"/>
          <w:w w:val="99"/>
          <w:kern w:val="2"/>
          <w:sz w:val="24"/>
          <w:szCs w:val="24"/>
          <w:highlight w:val="none"/>
        </w:rPr>
        <w:t>.2道路施工</w:t>
      </w:r>
      <w:bookmarkEnd w:id="488"/>
      <w:bookmarkEnd w:id="489"/>
      <w:bookmarkEnd w:id="490"/>
      <w:bookmarkEnd w:id="491"/>
      <w:bookmarkEnd w:id="492"/>
      <w:bookmarkEnd w:id="493"/>
      <w:bookmarkEnd w:id="494"/>
      <w:bookmarkEnd w:id="495"/>
      <w:bookmarkEnd w:id="496"/>
    </w:p>
    <w:p w14:paraId="6283BE63">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本项目新建道路类型为</w:t>
      </w:r>
      <w:r>
        <w:rPr>
          <w:rFonts w:hint="eastAsia" w:ascii="Times New Roman" w:hAnsi="Times New Roman" w:cs="Times New Roman"/>
          <w:color w:val="auto"/>
          <w:w w:val="99"/>
          <w:highlight w:val="none"/>
        </w:rPr>
        <w:t>沥青</w:t>
      </w:r>
      <w:r>
        <w:rPr>
          <w:rFonts w:ascii="Times New Roman" w:hAnsi="Times New Roman" w:cs="Times New Roman"/>
          <w:color w:val="auto"/>
          <w:w w:val="99"/>
          <w:highlight w:val="none"/>
          <w:lang w:val="zh-CN"/>
        </w:rPr>
        <w:t>砼通井路。首先对线路进行清理平整，清除表土、杂物等，然后对路基进行施工，路基采取分层填筑并压实，最后对面层进行施工，</w:t>
      </w:r>
      <w:r>
        <w:rPr>
          <w:rFonts w:ascii="Times New Roman" w:hAnsi="Times New Roman" w:cs="Times New Roman"/>
          <w:color w:val="auto"/>
          <w:w w:val="99"/>
          <w:highlight w:val="none"/>
        </w:rPr>
        <w:t>敷设外购垫土或砂石并压实</w:t>
      </w:r>
      <w:r>
        <w:rPr>
          <w:rFonts w:hint="eastAsia" w:ascii="Times New Roman" w:hAnsi="Times New Roman" w:cs="Times New Roman"/>
          <w:color w:val="auto"/>
          <w:w w:val="99"/>
          <w:highlight w:val="none"/>
        </w:rPr>
        <w:t>，敷设沥青碎石，摊铺碾压成型</w:t>
      </w:r>
      <w:r>
        <w:rPr>
          <w:rFonts w:ascii="Times New Roman" w:hAnsi="Times New Roman" w:cs="Times New Roman"/>
          <w:color w:val="auto"/>
          <w:w w:val="99"/>
          <w:highlight w:val="none"/>
        </w:rPr>
        <w:t>。</w:t>
      </w:r>
      <w:r>
        <w:rPr>
          <w:rFonts w:ascii="Times New Roman" w:hAnsi="Times New Roman" w:cs="Times New Roman"/>
          <w:color w:val="auto"/>
          <w:w w:val="99"/>
          <w:highlight w:val="none"/>
          <w:lang w:val="zh-CN"/>
        </w:rPr>
        <w:t>道路施工建设过程及断面示意图见图3.</w:t>
      </w:r>
      <w:r>
        <w:rPr>
          <w:rFonts w:hint="eastAsia" w:ascii="Times New Roman" w:hAnsi="Times New Roman" w:cs="Times New Roman"/>
          <w:color w:val="auto"/>
          <w:w w:val="99"/>
          <w:highlight w:val="none"/>
        </w:rPr>
        <w:t>7</w:t>
      </w:r>
      <w:r>
        <w:rPr>
          <w:rFonts w:ascii="Times New Roman" w:hAnsi="Times New Roman" w:cs="Times New Roman"/>
          <w:color w:val="auto"/>
          <w:w w:val="99"/>
          <w:highlight w:val="none"/>
          <w:lang w:val="zh-CN"/>
        </w:rPr>
        <w:t>-</w:t>
      </w:r>
      <w:r>
        <w:rPr>
          <w:rFonts w:hint="eastAsia" w:ascii="Times New Roman" w:hAnsi="Times New Roman" w:cs="Times New Roman"/>
          <w:color w:val="auto"/>
          <w:w w:val="99"/>
          <w:highlight w:val="none"/>
        </w:rPr>
        <w:t>5</w:t>
      </w:r>
      <w:r>
        <w:rPr>
          <w:rFonts w:ascii="Times New Roman" w:hAnsi="Times New Roman" w:cs="Times New Roman"/>
          <w:color w:val="auto"/>
          <w:w w:val="99"/>
          <w:highlight w:val="none"/>
          <w:lang w:val="zh-CN"/>
        </w:rPr>
        <w:t>、图3.</w:t>
      </w:r>
      <w:r>
        <w:rPr>
          <w:rFonts w:hint="eastAsia" w:ascii="Times New Roman" w:hAnsi="Times New Roman" w:cs="Times New Roman"/>
          <w:color w:val="auto"/>
          <w:w w:val="99"/>
          <w:highlight w:val="none"/>
        </w:rPr>
        <w:t>7</w:t>
      </w:r>
      <w:r>
        <w:rPr>
          <w:rFonts w:ascii="Times New Roman" w:hAnsi="Times New Roman" w:cs="Times New Roman"/>
          <w:color w:val="auto"/>
          <w:w w:val="99"/>
          <w:highlight w:val="none"/>
          <w:lang w:val="zh-CN"/>
        </w:rPr>
        <w:t>-</w:t>
      </w:r>
      <w:r>
        <w:rPr>
          <w:rFonts w:hint="eastAsia" w:ascii="Times New Roman" w:hAnsi="Times New Roman" w:cs="Times New Roman"/>
          <w:color w:val="auto"/>
          <w:w w:val="99"/>
          <w:highlight w:val="none"/>
        </w:rPr>
        <w:t>6</w:t>
      </w:r>
      <w:r>
        <w:rPr>
          <w:rFonts w:ascii="Times New Roman" w:hAnsi="Times New Roman" w:cs="Times New Roman"/>
          <w:color w:val="auto"/>
          <w:w w:val="99"/>
          <w:highlight w:val="none"/>
          <w:lang w:val="zh-CN"/>
        </w:rPr>
        <w:t>。</w:t>
      </w:r>
    </w:p>
    <w:p w14:paraId="732BC024">
      <w:pPr>
        <w:widowControl w:val="0"/>
        <w:autoSpaceDE w:val="0"/>
        <w:autoSpaceDN w:val="0"/>
        <w:spacing w:before="120" w:beforeLines="50"/>
        <w:jc w:val="center"/>
        <w:rPr>
          <w:rFonts w:ascii="Times New Roman" w:hAnsi="Times New Roman" w:cs="Times New Roman"/>
          <w:color w:val="auto"/>
          <w:w w:val="99"/>
          <w:highlight w:val="none"/>
        </w:rPr>
      </w:pPr>
      <w:r>
        <w:rPr>
          <w:rFonts w:ascii="Times New Roman" w:hAnsi="Times New Roman" w:cs="Times New Roman" w:eastAsiaTheme="minorEastAsia"/>
          <w:color w:val="auto"/>
          <w:w w:val="99"/>
          <w:highlight w:val="none"/>
        </w:rPr>
        <w:drawing>
          <wp:inline distT="0" distB="0" distL="0" distR="0">
            <wp:extent cx="4302125" cy="481965"/>
            <wp:effectExtent l="0" t="0" r="3175" b="0"/>
            <wp:docPr id="843" name="图片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 name="图片 843"/>
                    <pic:cNvPicPr>
                      <a:picLocks noChangeAspect="1"/>
                    </pic:cNvPicPr>
                  </pic:nvPicPr>
                  <pic:blipFill>
                    <a:blip r:embed="rId40"/>
                    <a:stretch>
                      <a:fillRect/>
                    </a:stretch>
                  </pic:blipFill>
                  <pic:spPr>
                    <a:xfrm>
                      <a:off x="0" y="0"/>
                      <a:ext cx="4387465" cy="491699"/>
                    </a:xfrm>
                    <a:prstGeom prst="rect">
                      <a:avLst/>
                    </a:prstGeom>
                  </pic:spPr>
                </pic:pic>
              </a:graphicData>
            </a:graphic>
          </wp:inline>
        </w:drawing>
      </w:r>
    </w:p>
    <w:p w14:paraId="70771FA8">
      <w:pPr>
        <w:widowControl w:val="0"/>
        <w:autoSpaceDE w:val="0"/>
        <w:autoSpaceDN w:val="0"/>
        <w:spacing w:line="440" w:lineRule="exact"/>
        <w:jc w:val="center"/>
        <w:rPr>
          <w:rFonts w:ascii="Times New Roman" w:hAnsi="Times New Roman" w:cs="Times New Roman"/>
          <w:b/>
          <w:bCs/>
          <w:color w:val="auto"/>
          <w:w w:val="99"/>
          <w:szCs w:val="20"/>
          <w:highlight w:val="none"/>
        </w:rPr>
      </w:pPr>
      <w:r>
        <w:rPr>
          <w:rFonts w:ascii="Times New Roman" w:hAnsi="Times New Roman" w:cs="Times New Roman"/>
          <w:b/>
          <w:bCs/>
          <w:color w:val="auto"/>
          <w:w w:val="99"/>
          <w:szCs w:val="20"/>
          <w:highlight w:val="none"/>
        </w:rPr>
        <w:t>图3.</w:t>
      </w:r>
      <w:r>
        <w:rPr>
          <w:rFonts w:hint="eastAsia" w:ascii="Times New Roman" w:hAnsi="Times New Roman" w:cs="Times New Roman"/>
          <w:b/>
          <w:bCs/>
          <w:color w:val="auto"/>
          <w:w w:val="99"/>
          <w:szCs w:val="20"/>
          <w:highlight w:val="none"/>
        </w:rPr>
        <w:t>7</w:t>
      </w:r>
      <w:r>
        <w:rPr>
          <w:rFonts w:ascii="Times New Roman" w:hAnsi="Times New Roman" w:cs="Times New Roman"/>
          <w:b/>
          <w:bCs/>
          <w:color w:val="auto"/>
          <w:w w:val="99"/>
          <w:szCs w:val="20"/>
          <w:highlight w:val="none"/>
        </w:rPr>
        <w:t>-</w:t>
      </w:r>
      <w:r>
        <w:rPr>
          <w:rFonts w:hint="eastAsia" w:ascii="Times New Roman" w:hAnsi="Times New Roman" w:cs="Times New Roman"/>
          <w:b/>
          <w:bCs/>
          <w:color w:val="auto"/>
          <w:w w:val="99"/>
          <w:szCs w:val="20"/>
          <w:highlight w:val="none"/>
        </w:rPr>
        <w:t>5</w:t>
      </w:r>
      <w:r>
        <w:rPr>
          <w:rFonts w:ascii="Times New Roman" w:hAnsi="Times New Roman" w:cs="Times New Roman"/>
          <w:b/>
          <w:bCs/>
          <w:color w:val="auto"/>
          <w:w w:val="99"/>
          <w:szCs w:val="20"/>
          <w:highlight w:val="none"/>
        </w:rPr>
        <w:t xml:space="preserve">    通井路施工建设过程</w:t>
      </w:r>
    </w:p>
    <w:p w14:paraId="25067688">
      <w:pPr>
        <w:widowControl w:val="0"/>
        <w:autoSpaceDE w:val="0"/>
        <w:autoSpaceDN w:val="0"/>
        <w:spacing w:before="120" w:beforeLines="50"/>
        <w:jc w:val="center"/>
        <w:rPr>
          <w:rFonts w:ascii="Times New Roman" w:hAnsi="Times New Roman" w:cs="Times New Roman"/>
          <w:color w:val="auto"/>
          <w:w w:val="99"/>
          <w:highlight w:val="none"/>
        </w:rPr>
      </w:pPr>
      <w:r>
        <w:rPr>
          <w:rFonts w:ascii="Times New Roman" w:hAnsi="Times New Roman" w:cs="Times New Roman"/>
          <w:color w:val="auto"/>
          <w:w w:val="99"/>
          <w:highlight w:val="none"/>
        </w:rPr>
        <w:pict>
          <v:shape id="_x0000_i1025" o:spt="75" type="#_x0000_t75" style="height:149pt;width:373.4pt;" filled="f" coordsize="21600,21600">
            <v:path/>
            <v:fill on="f" focussize="0,0"/>
            <v:stroke/>
            <v:imagedata r:id="rId41" croptop="18212f" o:title="通井路横断面图（改）"/>
            <o:lock v:ext="edit" aspectratio="t"/>
            <w10:wrap type="none"/>
            <w10:anchorlock/>
          </v:shape>
        </w:pict>
      </w:r>
    </w:p>
    <w:p w14:paraId="03FDF4AF">
      <w:pPr>
        <w:widowControl w:val="0"/>
        <w:autoSpaceDE w:val="0"/>
        <w:autoSpaceDN w:val="0"/>
        <w:spacing w:line="440" w:lineRule="exact"/>
        <w:ind w:firstLine="505"/>
        <w:jc w:val="center"/>
        <w:textAlignment w:val="baseline"/>
        <w:rPr>
          <w:rFonts w:ascii="Times New Roman" w:hAnsi="Times New Roman" w:cs="Times New Roman"/>
          <w:b/>
          <w:color w:val="auto"/>
          <w:w w:val="99"/>
          <w:szCs w:val="20"/>
          <w:highlight w:val="none"/>
        </w:rPr>
      </w:pPr>
      <w:r>
        <w:rPr>
          <w:rFonts w:ascii="Times New Roman" w:hAnsi="Times New Roman" w:cs="Times New Roman"/>
          <w:b/>
          <w:color w:val="auto"/>
          <w:w w:val="99"/>
          <w:szCs w:val="20"/>
          <w:highlight w:val="none"/>
        </w:rPr>
        <w:t>图3.</w:t>
      </w:r>
      <w:r>
        <w:rPr>
          <w:rFonts w:hint="eastAsia" w:ascii="Times New Roman" w:hAnsi="Times New Roman" w:cs="Times New Roman"/>
          <w:b/>
          <w:color w:val="auto"/>
          <w:w w:val="99"/>
          <w:szCs w:val="20"/>
          <w:highlight w:val="none"/>
        </w:rPr>
        <w:t>7</w:t>
      </w:r>
      <w:r>
        <w:rPr>
          <w:rFonts w:ascii="Times New Roman" w:hAnsi="Times New Roman" w:cs="Times New Roman"/>
          <w:b/>
          <w:color w:val="auto"/>
          <w:w w:val="99"/>
          <w:szCs w:val="20"/>
          <w:highlight w:val="none"/>
        </w:rPr>
        <w:t>-</w:t>
      </w:r>
      <w:r>
        <w:rPr>
          <w:rFonts w:hint="eastAsia" w:ascii="Times New Roman" w:hAnsi="Times New Roman" w:cs="Times New Roman"/>
          <w:b/>
          <w:color w:val="auto"/>
          <w:w w:val="99"/>
          <w:szCs w:val="20"/>
          <w:highlight w:val="none"/>
        </w:rPr>
        <w:t>6</w:t>
      </w:r>
      <w:r>
        <w:rPr>
          <w:rFonts w:ascii="Times New Roman" w:hAnsi="Times New Roman" w:cs="Times New Roman"/>
          <w:b/>
          <w:color w:val="auto"/>
          <w:w w:val="99"/>
          <w:szCs w:val="20"/>
          <w:highlight w:val="none"/>
        </w:rPr>
        <w:t xml:space="preserve">    通井路横断面示意图</w:t>
      </w:r>
    </w:p>
    <w:p w14:paraId="40A096AB">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497" w:name="_Toc83209482"/>
      <w:bookmarkStart w:id="498" w:name="_Toc80588265"/>
      <w:bookmarkStart w:id="499" w:name="_Toc76976252"/>
      <w:bookmarkStart w:id="500" w:name="_Toc77067668"/>
      <w:bookmarkStart w:id="501" w:name="_Toc80971387"/>
      <w:bookmarkStart w:id="502" w:name="_Toc186444291"/>
      <w:bookmarkStart w:id="503" w:name="_Toc78816470"/>
      <w:bookmarkStart w:id="504" w:name="_Toc67860140"/>
      <w:bookmarkStart w:id="505" w:name="_Toc70050187"/>
      <w:r>
        <w:rPr>
          <w:rFonts w:eastAsia="宋体"/>
          <w:b/>
          <w:color w:val="auto"/>
          <w:w w:val="99"/>
          <w:kern w:val="2"/>
          <w:sz w:val="24"/>
          <w:szCs w:val="24"/>
          <w:highlight w:val="none"/>
        </w:rPr>
        <w:t>3.</w:t>
      </w:r>
      <w:r>
        <w:rPr>
          <w:rFonts w:hint="eastAsia" w:eastAsia="宋体"/>
          <w:b/>
          <w:color w:val="auto"/>
          <w:w w:val="99"/>
          <w:kern w:val="2"/>
          <w:sz w:val="24"/>
          <w:szCs w:val="24"/>
          <w:highlight w:val="none"/>
        </w:rPr>
        <w:t>7</w:t>
      </w:r>
      <w:r>
        <w:rPr>
          <w:rFonts w:eastAsia="宋体"/>
          <w:b/>
          <w:color w:val="auto"/>
          <w:w w:val="99"/>
          <w:kern w:val="2"/>
          <w:sz w:val="24"/>
          <w:szCs w:val="24"/>
          <w:highlight w:val="none"/>
        </w:rPr>
        <w:t>.3典型井场施工</w:t>
      </w:r>
      <w:bookmarkEnd w:id="497"/>
      <w:bookmarkEnd w:id="498"/>
      <w:bookmarkEnd w:id="499"/>
      <w:bookmarkEnd w:id="500"/>
      <w:bookmarkEnd w:id="501"/>
      <w:bookmarkEnd w:id="502"/>
      <w:bookmarkEnd w:id="503"/>
      <w:bookmarkEnd w:id="504"/>
      <w:bookmarkEnd w:id="505"/>
    </w:p>
    <w:p w14:paraId="6BC107B1">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本工程新建</w:t>
      </w:r>
      <w:r>
        <w:rPr>
          <w:rFonts w:hint="eastAsia" w:ascii="Times New Roman" w:hAnsi="Times New Roman" w:cs="Times New Roman"/>
          <w:color w:val="auto"/>
          <w:w w:val="99"/>
          <w:highlight w:val="none"/>
        </w:rPr>
        <w:t>1座</w:t>
      </w:r>
      <w:r>
        <w:rPr>
          <w:rFonts w:ascii="Times New Roman" w:hAnsi="Times New Roman" w:cs="Times New Roman"/>
          <w:color w:val="auto"/>
          <w:w w:val="99"/>
          <w:highlight w:val="none"/>
        </w:rPr>
        <w:t>采气井场，施工主要包括对新征占地范围内土地进行清理、测量放线，建设设备间等土建部分，然后安装设备等。</w:t>
      </w:r>
    </w:p>
    <w:p w14:paraId="67510EE1">
      <w:pPr>
        <w:pStyle w:val="5"/>
        <w:keepNext w:val="0"/>
        <w:keepLines w:val="0"/>
        <w:widowControl w:val="0"/>
        <w:spacing w:line="440" w:lineRule="exact"/>
        <w:rPr>
          <w:rFonts w:ascii="Times New Roman" w:hAnsi="Times New Roman" w:eastAsia="宋体"/>
          <w:b/>
          <w:snapToGrid w:val="0"/>
          <w:color w:val="auto"/>
          <w:w w:val="99"/>
          <w:highlight w:val="none"/>
        </w:rPr>
      </w:pPr>
      <w:bookmarkStart w:id="506" w:name="_Toc74812330"/>
      <w:bookmarkStart w:id="507" w:name="_Toc16942"/>
      <w:r>
        <w:rPr>
          <w:rFonts w:ascii="Times New Roman" w:hAnsi="Times New Roman" w:eastAsia="宋体"/>
          <w:b/>
          <w:snapToGrid w:val="0"/>
          <w:color w:val="auto"/>
          <w:w w:val="99"/>
          <w:highlight w:val="none"/>
        </w:rPr>
        <w:t>3.</w:t>
      </w:r>
      <w:bookmarkEnd w:id="506"/>
      <w:r>
        <w:rPr>
          <w:rFonts w:hint="eastAsia" w:ascii="Times New Roman" w:hAnsi="Times New Roman" w:eastAsia="宋体"/>
          <w:b/>
          <w:snapToGrid w:val="0"/>
          <w:color w:val="auto"/>
          <w:w w:val="99"/>
          <w:highlight w:val="none"/>
        </w:rPr>
        <w:t>8</w:t>
      </w:r>
      <w:r>
        <w:rPr>
          <w:rFonts w:ascii="Times New Roman" w:hAnsi="Times New Roman" w:eastAsia="宋体"/>
          <w:b/>
          <w:snapToGrid w:val="0"/>
          <w:color w:val="auto"/>
          <w:w w:val="99"/>
          <w:highlight w:val="none"/>
        </w:rPr>
        <w:t>物料消耗</w:t>
      </w:r>
      <w:bookmarkEnd w:id="507"/>
    </w:p>
    <w:p w14:paraId="2BB4B810">
      <w:pPr>
        <w:widowControl w:val="0"/>
        <w:spacing w:line="440" w:lineRule="exact"/>
        <w:ind w:firstLine="474" w:firstLineChars="200"/>
        <w:jc w:val="both"/>
        <w:rPr>
          <w:rFonts w:ascii="Times New Roman" w:hAnsi="Times New Roman" w:cs="Times New Roman" w:eastAsiaTheme="minorEastAsia"/>
          <w:color w:val="auto"/>
          <w:w w:val="99"/>
          <w:kern w:val="2"/>
          <w:highlight w:val="none"/>
        </w:rPr>
      </w:pPr>
      <w:r>
        <w:rPr>
          <w:rFonts w:ascii="Times New Roman" w:hAnsi="Times New Roman" w:cs="Times New Roman" w:eastAsiaTheme="minorEastAsia"/>
          <w:color w:val="auto"/>
          <w:w w:val="99"/>
          <w:kern w:val="2"/>
          <w:highlight w:val="none"/>
        </w:rPr>
        <w:t>（1）施工期</w:t>
      </w:r>
    </w:p>
    <w:p w14:paraId="4F060DFC">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 xml:space="preserve">生活用水：本项目施工期 </w:t>
      </w:r>
      <w:r>
        <w:rPr>
          <w:rFonts w:hint="eastAsia" w:ascii="Times New Roman" w:hAnsi="Times New Roman" w:cs="Times New Roman" w:eastAsiaTheme="minorEastAsia"/>
          <w:color w:val="auto"/>
          <w:w w:val="99"/>
          <w:kern w:val="21"/>
          <w:highlight w:val="none"/>
        </w:rPr>
        <w:t>30</w:t>
      </w:r>
      <w:r>
        <w:rPr>
          <w:rFonts w:ascii="Times New Roman" w:hAnsi="Times New Roman" w:cs="Times New Roman" w:eastAsiaTheme="minorEastAsia"/>
          <w:color w:val="auto"/>
          <w:w w:val="99"/>
          <w:kern w:val="21"/>
          <w:highlight w:val="none"/>
        </w:rPr>
        <w:t>d ，施工人数</w:t>
      </w:r>
      <w:r>
        <w:rPr>
          <w:rFonts w:hint="eastAsia" w:ascii="Times New Roman" w:hAnsi="Times New Roman" w:cs="Times New Roman" w:eastAsiaTheme="minorEastAsia"/>
          <w:color w:val="auto"/>
          <w:w w:val="99"/>
          <w:kern w:val="21"/>
          <w:highlight w:val="none"/>
        </w:rPr>
        <w:t>30</w:t>
      </w:r>
      <w:r>
        <w:rPr>
          <w:rFonts w:ascii="Times New Roman" w:hAnsi="Times New Roman" w:cs="Times New Roman" w:eastAsiaTheme="minorEastAsia"/>
          <w:color w:val="auto"/>
          <w:w w:val="99"/>
          <w:kern w:val="21"/>
          <w:highlight w:val="none"/>
        </w:rPr>
        <w:t>人，根据《用水定额》（DB23/T727-202</w:t>
      </w:r>
      <w:r>
        <w:rPr>
          <w:rFonts w:hint="eastAsia" w:ascii="Times New Roman" w:hAnsi="Times New Roman" w:cs="Times New Roman" w:eastAsiaTheme="minorEastAsia"/>
          <w:color w:val="auto"/>
          <w:w w:val="99"/>
          <w:kern w:val="21"/>
          <w:highlight w:val="none"/>
        </w:rPr>
        <w:t>5</w:t>
      </w:r>
      <w:r>
        <w:rPr>
          <w:rFonts w:ascii="Times New Roman" w:hAnsi="Times New Roman" w:cs="Times New Roman" w:eastAsiaTheme="minorEastAsia"/>
          <w:color w:val="auto"/>
          <w:w w:val="99"/>
          <w:kern w:val="21"/>
          <w:highlight w:val="none"/>
        </w:rPr>
        <w:t xml:space="preserve">）项目施工期生活用水量按 80L/人·d 计，施工期生活用水量为 </w:t>
      </w:r>
      <w:r>
        <w:rPr>
          <w:rFonts w:hint="eastAsia" w:ascii="Times New Roman" w:hAnsi="Times New Roman" w:cs="Times New Roman" w:eastAsiaTheme="minorEastAsia"/>
          <w:color w:val="auto"/>
          <w:w w:val="99"/>
          <w:kern w:val="21"/>
          <w:highlight w:val="none"/>
        </w:rPr>
        <w:t>720</w:t>
      </w:r>
      <w:r>
        <w:rPr>
          <w:rFonts w:ascii="Times New Roman" w:hAnsi="Times New Roman" w:cs="Times New Roman" w:eastAsiaTheme="minorEastAsia"/>
          <w:color w:val="auto"/>
          <w:w w:val="99"/>
          <w:kern w:val="21"/>
          <w:highlight w:val="none"/>
        </w:rPr>
        <w:t>m</w:t>
      </w:r>
      <w:r>
        <w:rPr>
          <w:rFonts w:ascii="Times New Roman" w:hAnsi="Times New Roman" w:cs="Times New Roman" w:eastAsiaTheme="minorEastAsia"/>
          <w:color w:val="auto"/>
          <w:w w:val="99"/>
          <w:kern w:val="21"/>
          <w:highlight w:val="none"/>
          <w:vertAlign w:val="superscript"/>
        </w:rPr>
        <w:t>3</w:t>
      </w:r>
      <w:r>
        <w:rPr>
          <w:rFonts w:ascii="Times New Roman" w:hAnsi="Times New Roman" w:cs="Times New Roman" w:eastAsiaTheme="minorEastAsia"/>
          <w:color w:val="auto"/>
          <w:w w:val="99"/>
          <w:kern w:val="21"/>
          <w:highlight w:val="none"/>
        </w:rPr>
        <w:t xml:space="preserve"> ，生活用水采用桶装水。</w:t>
      </w:r>
    </w:p>
    <w:p w14:paraId="36536406">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hint="eastAsia" w:ascii="Times New Roman" w:hAnsi="Times New Roman" w:cs="Times New Roman" w:eastAsiaTheme="minorEastAsia"/>
          <w:color w:val="auto"/>
          <w:w w:val="99"/>
          <w:kern w:val="21"/>
          <w:highlight w:val="none"/>
        </w:rPr>
        <w:t>试压用水：</w:t>
      </w:r>
      <w:r>
        <w:rPr>
          <w:rFonts w:ascii="Times New Roman" w:hAnsi="Times New Roman" w:cs="Times New Roman" w:eastAsiaTheme="minorEastAsia"/>
          <w:color w:val="auto"/>
          <w:w w:val="99"/>
          <w:kern w:val="21"/>
          <w:highlight w:val="none"/>
        </w:rPr>
        <w:t>本项目管道敷设完成后进行试压，管线试压用水量为</w:t>
      </w:r>
      <w:r>
        <w:rPr>
          <w:rFonts w:hint="eastAsia" w:ascii="Times New Roman" w:hAnsi="Times New Roman" w:cs="Times New Roman" w:eastAsiaTheme="minorEastAsia"/>
          <w:color w:val="auto"/>
          <w:w w:val="99"/>
          <w:kern w:val="21"/>
          <w:highlight w:val="none"/>
        </w:rPr>
        <w:t>4.39</w:t>
      </w:r>
      <w:r>
        <w:rPr>
          <w:rFonts w:ascii="Times New Roman" w:hAnsi="Times New Roman" w:cs="Times New Roman" w:eastAsiaTheme="minorEastAsia"/>
          <w:color w:val="auto"/>
          <w:w w:val="99"/>
          <w:kern w:val="21"/>
          <w:highlight w:val="none"/>
        </w:rPr>
        <w:t>m</w:t>
      </w:r>
      <w:r>
        <w:rPr>
          <w:rFonts w:ascii="Times New Roman" w:hAnsi="Times New Roman" w:cs="Times New Roman" w:eastAsiaTheme="minorEastAsia"/>
          <w:color w:val="auto"/>
          <w:w w:val="99"/>
          <w:kern w:val="21"/>
          <w:highlight w:val="none"/>
          <w:vertAlign w:val="superscript"/>
        </w:rPr>
        <w:t>3</w:t>
      </w:r>
      <w:r>
        <w:rPr>
          <w:rFonts w:ascii="Times New Roman" w:hAnsi="Times New Roman" w:cs="Times New Roman" w:eastAsiaTheme="minorEastAsia"/>
          <w:color w:val="auto"/>
          <w:w w:val="99"/>
          <w:kern w:val="21"/>
          <w:highlight w:val="none"/>
        </w:rPr>
        <w:t xml:space="preserve"> ，试压用水由水罐车运送。</w:t>
      </w:r>
    </w:p>
    <w:p w14:paraId="38310E1A">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（3）甲醇：考虑到本工程井口温度较高，正常运行不进行注醇，仅在井口设置甲醇加注预留头，必要时（井筒冻堵等情况）采用移动罐车方式加注甲醇，单井加注量一般不超过 0.1 吨/次，每口井约 3 年加注 1次。甲醇来源集气站内现有密闭甲醇储罐内。</w:t>
      </w:r>
    </w:p>
    <w:p w14:paraId="4CF6BFB4">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（2）运营期</w:t>
      </w:r>
    </w:p>
    <w:p w14:paraId="31254870">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hint="eastAsia" w:ascii="Times New Roman" w:hAnsi="Times New Roman" w:cs="Times New Roman" w:eastAsiaTheme="minorEastAsia"/>
          <w:color w:val="auto"/>
          <w:w w:val="99"/>
          <w:highlight w:val="none"/>
        </w:rPr>
        <w:t>用电：本工程投产后，新增用电负荷77.09×10</w:t>
      </w:r>
      <w:r>
        <w:rPr>
          <w:rFonts w:hint="eastAsia" w:ascii="Times New Roman" w:hAnsi="Times New Roman" w:cs="Times New Roman" w:eastAsiaTheme="minorEastAsia"/>
          <w:color w:val="auto"/>
          <w:w w:val="99"/>
          <w:highlight w:val="none"/>
          <w:vertAlign w:val="superscript"/>
        </w:rPr>
        <w:t>4</w:t>
      </w:r>
      <w:r>
        <w:rPr>
          <w:rFonts w:hint="eastAsia" w:ascii="Times New Roman" w:hAnsi="Times New Roman" w:cs="Times New Roman" w:eastAsiaTheme="minorEastAsia"/>
          <w:color w:val="auto"/>
          <w:w w:val="99"/>
          <w:highlight w:val="none"/>
        </w:rPr>
        <w:t>kW•h/a。</w:t>
      </w:r>
    </w:p>
    <w:p w14:paraId="7E58C7AD">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hint="eastAsia" w:ascii="Times New Roman" w:hAnsi="Times New Roman" w:cs="Times New Roman" w:eastAsiaTheme="minorEastAsia"/>
          <w:color w:val="auto"/>
          <w:w w:val="99"/>
          <w:highlight w:val="none"/>
        </w:rPr>
        <w:t>耗气：本工程新增耗气量7.07万m</w:t>
      </w:r>
      <w:r>
        <w:rPr>
          <w:rFonts w:hint="eastAsia" w:ascii="Times New Roman" w:hAnsi="Times New Roman" w:cs="Times New Roman" w:eastAsiaTheme="minorEastAsia"/>
          <w:color w:val="auto"/>
          <w:w w:val="99"/>
          <w:highlight w:val="none"/>
          <w:vertAlign w:val="superscript"/>
        </w:rPr>
        <w:t>3</w:t>
      </w:r>
      <w:r>
        <w:rPr>
          <w:rFonts w:hint="eastAsia" w:ascii="Times New Roman" w:hAnsi="Times New Roman" w:cs="Times New Roman" w:eastAsiaTheme="minorEastAsia"/>
          <w:color w:val="auto"/>
          <w:w w:val="99"/>
          <w:highlight w:val="none"/>
        </w:rPr>
        <w:t>/a。</w:t>
      </w:r>
    </w:p>
    <w:p w14:paraId="2EF133A1">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本工程主要消耗物料具体见下表：</w:t>
      </w:r>
    </w:p>
    <w:p w14:paraId="76568406">
      <w:pPr>
        <w:widowControl w:val="0"/>
        <w:spacing w:line="440" w:lineRule="exact"/>
        <w:ind w:firstLine="476"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b/>
          <w:color w:val="auto"/>
          <w:w w:val="99"/>
          <w:highlight w:val="none"/>
        </w:rPr>
        <w:t>表3.</w:t>
      </w:r>
      <w:r>
        <w:rPr>
          <w:rFonts w:hint="eastAsia" w:ascii="Times New Roman" w:hAnsi="Times New Roman" w:cs="Times New Roman" w:eastAsiaTheme="minorEastAsia"/>
          <w:b/>
          <w:color w:val="auto"/>
          <w:w w:val="99"/>
          <w:highlight w:val="none"/>
        </w:rPr>
        <w:t>8</w:t>
      </w:r>
      <w:r>
        <w:rPr>
          <w:rFonts w:ascii="Times New Roman" w:hAnsi="Times New Roman" w:cs="Times New Roman" w:eastAsiaTheme="minorEastAsia"/>
          <w:b/>
          <w:color w:val="auto"/>
          <w:w w:val="99"/>
          <w:highlight w:val="none"/>
        </w:rPr>
        <w:t>-</w:t>
      </w:r>
      <w:r>
        <w:rPr>
          <w:rFonts w:hint="eastAsia" w:ascii="Times New Roman" w:hAnsi="Times New Roman" w:cs="Times New Roman" w:eastAsiaTheme="minorEastAsia"/>
          <w:b/>
          <w:color w:val="auto"/>
          <w:w w:val="99"/>
          <w:highlight w:val="none"/>
        </w:rPr>
        <w:t>1</w:t>
      </w:r>
      <w:r>
        <w:rPr>
          <w:rFonts w:ascii="Times New Roman" w:hAnsi="Times New Roman" w:cs="Times New Roman" w:eastAsiaTheme="minorEastAsia"/>
          <w:b/>
          <w:color w:val="auto"/>
          <w:w w:val="99"/>
          <w:highlight w:val="none"/>
        </w:rPr>
        <w:t xml:space="preserve">    本工程主要物料消耗</w:t>
      </w:r>
    </w:p>
    <w:tbl>
      <w:tblPr>
        <w:tblStyle w:val="81"/>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9"/>
        <w:gridCol w:w="1134"/>
        <w:gridCol w:w="2111"/>
        <w:gridCol w:w="3012"/>
        <w:gridCol w:w="2070"/>
      </w:tblGrid>
      <w:tr w14:paraId="0376E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516" w:type="pct"/>
            <w:vMerge w:val="restart"/>
            <w:vAlign w:val="center"/>
          </w:tcPr>
          <w:p w14:paraId="7013C087">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序号</w:t>
            </w:r>
          </w:p>
        </w:tc>
        <w:tc>
          <w:tcPr>
            <w:tcW w:w="610" w:type="pct"/>
            <w:vMerge w:val="restart"/>
            <w:vAlign w:val="center"/>
          </w:tcPr>
          <w:p w14:paraId="40CE000A">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时期</w:t>
            </w:r>
          </w:p>
        </w:tc>
        <w:tc>
          <w:tcPr>
            <w:tcW w:w="1136" w:type="pct"/>
            <w:vMerge w:val="restart"/>
            <w:vAlign w:val="center"/>
          </w:tcPr>
          <w:p w14:paraId="39E4695B">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项目</w:t>
            </w:r>
          </w:p>
        </w:tc>
        <w:tc>
          <w:tcPr>
            <w:tcW w:w="1621" w:type="pct"/>
            <w:vMerge w:val="restart"/>
            <w:vAlign w:val="center"/>
          </w:tcPr>
          <w:p w14:paraId="0AAAAD37">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原辅材料</w:t>
            </w:r>
          </w:p>
        </w:tc>
        <w:tc>
          <w:tcPr>
            <w:tcW w:w="1114" w:type="pct"/>
            <w:vMerge w:val="restart"/>
            <w:vAlign w:val="center"/>
          </w:tcPr>
          <w:p w14:paraId="50C3D2B3">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用量</w:t>
            </w:r>
          </w:p>
        </w:tc>
      </w:tr>
      <w:tr w14:paraId="1DB63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516" w:type="pct"/>
            <w:vMerge w:val="continue"/>
            <w:vAlign w:val="center"/>
          </w:tcPr>
          <w:p w14:paraId="049363B7">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610" w:type="pct"/>
            <w:vMerge w:val="continue"/>
            <w:vAlign w:val="center"/>
          </w:tcPr>
          <w:p w14:paraId="25650E31">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136" w:type="pct"/>
            <w:vMerge w:val="continue"/>
            <w:vAlign w:val="center"/>
          </w:tcPr>
          <w:p w14:paraId="30DE35CF">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621" w:type="pct"/>
            <w:vMerge w:val="continue"/>
            <w:vAlign w:val="center"/>
          </w:tcPr>
          <w:p w14:paraId="57C30F07">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114" w:type="pct"/>
            <w:vMerge w:val="continue"/>
            <w:vAlign w:val="center"/>
          </w:tcPr>
          <w:p w14:paraId="71246EA9">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r>
      <w:tr w14:paraId="1949B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16" w:type="pct"/>
            <w:vAlign w:val="center"/>
          </w:tcPr>
          <w:p w14:paraId="71978DEA">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p>
        </w:tc>
        <w:tc>
          <w:tcPr>
            <w:tcW w:w="610" w:type="pct"/>
            <w:vMerge w:val="restart"/>
            <w:vAlign w:val="center"/>
          </w:tcPr>
          <w:p w14:paraId="5E2C43D7">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施工期</w:t>
            </w:r>
          </w:p>
        </w:tc>
        <w:tc>
          <w:tcPr>
            <w:tcW w:w="1136" w:type="pct"/>
            <w:vAlign w:val="center"/>
          </w:tcPr>
          <w:p w14:paraId="6333766E">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生活</w:t>
            </w:r>
          </w:p>
        </w:tc>
        <w:tc>
          <w:tcPr>
            <w:tcW w:w="1621" w:type="pct"/>
            <w:vAlign w:val="center"/>
          </w:tcPr>
          <w:p w14:paraId="4853464F">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生活用水</w:t>
            </w:r>
            <w:r>
              <w:rPr>
                <w:rFonts w:ascii="Times New Roman" w:hAnsi="Times New Roman" w:cs="Times New Roman" w:eastAsiaTheme="minorEastAsia"/>
                <w:color w:val="auto"/>
                <w:w w:val="99"/>
                <w:sz w:val="21"/>
                <w:szCs w:val="21"/>
                <w:highlight w:val="none"/>
              </w:rPr>
              <w:t>（m</w:t>
            </w:r>
            <w:r>
              <w:rPr>
                <w:rFonts w:ascii="Times New Roman" w:hAnsi="Times New Roman" w:cs="Times New Roman" w:eastAsiaTheme="minorEastAsia"/>
                <w:color w:val="auto"/>
                <w:w w:val="99"/>
                <w:sz w:val="21"/>
                <w:szCs w:val="21"/>
                <w:highlight w:val="none"/>
                <w:vertAlign w:val="superscript"/>
              </w:rPr>
              <w:t>3</w:t>
            </w:r>
            <w:r>
              <w:rPr>
                <w:rFonts w:ascii="Times New Roman" w:hAnsi="Times New Roman" w:cs="Times New Roman" w:eastAsiaTheme="minorEastAsia"/>
                <w:color w:val="auto"/>
                <w:w w:val="99"/>
                <w:sz w:val="21"/>
                <w:szCs w:val="21"/>
                <w:highlight w:val="none"/>
              </w:rPr>
              <w:t>）</w:t>
            </w:r>
          </w:p>
        </w:tc>
        <w:tc>
          <w:tcPr>
            <w:tcW w:w="1114" w:type="pct"/>
            <w:vAlign w:val="center"/>
          </w:tcPr>
          <w:p w14:paraId="3DBD1134">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720</w:t>
            </w:r>
          </w:p>
        </w:tc>
      </w:tr>
      <w:tr w14:paraId="74FA0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16" w:type="pct"/>
            <w:vAlign w:val="center"/>
          </w:tcPr>
          <w:p w14:paraId="3CDDC8B0">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w:t>
            </w:r>
          </w:p>
        </w:tc>
        <w:tc>
          <w:tcPr>
            <w:tcW w:w="610" w:type="pct"/>
            <w:vMerge w:val="continue"/>
            <w:vAlign w:val="center"/>
          </w:tcPr>
          <w:p w14:paraId="2368E035">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136" w:type="pct"/>
            <w:vAlign w:val="center"/>
          </w:tcPr>
          <w:p w14:paraId="096E03AF">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管线试压</w:t>
            </w:r>
          </w:p>
        </w:tc>
        <w:tc>
          <w:tcPr>
            <w:tcW w:w="1621" w:type="pct"/>
            <w:vAlign w:val="center"/>
          </w:tcPr>
          <w:p w14:paraId="5C900D6A">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试压用水（m</w:t>
            </w:r>
            <w:r>
              <w:rPr>
                <w:rFonts w:ascii="Times New Roman" w:hAnsi="Times New Roman" w:cs="Times New Roman" w:eastAsiaTheme="minorEastAsia"/>
                <w:color w:val="auto"/>
                <w:w w:val="99"/>
                <w:kern w:val="2"/>
                <w:sz w:val="21"/>
                <w:szCs w:val="21"/>
                <w:highlight w:val="none"/>
                <w:vertAlign w:val="superscript"/>
              </w:rPr>
              <w:t>3</w:t>
            </w:r>
            <w:r>
              <w:rPr>
                <w:rFonts w:ascii="Times New Roman" w:hAnsi="Times New Roman" w:cs="Times New Roman" w:eastAsiaTheme="minorEastAsia"/>
                <w:color w:val="auto"/>
                <w:w w:val="99"/>
                <w:kern w:val="2"/>
                <w:sz w:val="21"/>
                <w:szCs w:val="21"/>
                <w:highlight w:val="none"/>
              </w:rPr>
              <w:t>）</w:t>
            </w:r>
          </w:p>
        </w:tc>
        <w:tc>
          <w:tcPr>
            <w:tcW w:w="1114" w:type="pct"/>
            <w:vAlign w:val="center"/>
          </w:tcPr>
          <w:p w14:paraId="1D5F883B">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4.39</w:t>
            </w:r>
          </w:p>
        </w:tc>
      </w:tr>
      <w:tr w14:paraId="0F8A5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16" w:type="pct"/>
            <w:vAlign w:val="center"/>
          </w:tcPr>
          <w:p w14:paraId="3721A133">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3</w:t>
            </w:r>
          </w:p>
        </w:tc>
        <w:tc>
          <w:tcPr>
            <w:tcW w:w="610" w:type="pct"/>
            <w:vMerge w:val="continue"/>
            <w:vAlign w:val="center"/>
          </w:tcPr>
          <w:p w14:paraId="20320183">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136" w:type="pct"/>
            <w:vAlign w:val="center"/>
          </w:tcPr>
          <w:p w14:paraId="3970CC37">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焊接</w:t>
            </w:r>
          </w:p>
        </w:tc>
        <w:tc>
          <w:tcPr>
            <w:tcW w:w="1621" w:type="pct"/>
            <w:vAlign w:val="center"/>
          </w:tcPr>
          <w:p w14:paraId="37573AB7">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焊丝（t）</w:t>
            </w:r>
          </w:p>
        </w:tc>
        <w:tc>
          <w:tcPr>
            <w:tcW w:w="1114" w:type="pct"/>
            <w:vAlign w:val="center"/>
          </w:tcPr>
          <w:p w14:paraId="28744511">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0.08</w:t>
            </w:r>
          </w:p>
        </w:tc>
      </w:tr>
      <w:tr w14:paraId="03002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16" w:type="pct"/>
            <w:vAlign w:val="center"/>
          </w:tcPr>
          <w:p w14:paraId="48E0215B">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4</w:t>
            </w:r>
          </w:p>
        </w:tc>
        <w:tc>
          <w:tcPr>
            <w:tcW w:w="610" w:type="pct"/>
            <w:vMerge w:val="restart"/>
            <w:vAlign w:val="center"/>
          </w:tcPr>
          <w:p w14:paraId="596C8117">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运营期</w:t>
            </w:r>
          </w:p>
        </w:tc>
        <w:tc>
          <w:tcPr>
            <w:tcW w:w="1136" w:type="pct"/>
            <w:vAlign w:val="center"/>
          </w:tcPr>
          <w:p w14:paraId="32A131D0">
            <w:pPr>
              <w:widowControl w:val="0"/>
              <w:adjustRightInd w:val="0"/>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用电</w:t>
            </w:r>
          </w:p>
        </w:tc>
        <w:tc>
          <w:tcPr>
            <w:tcW w:w="1621" w:type="pct"/>
            <w:vAlign w:val="center"/>
          </w:tcPr>
          <w:p w14:paraId="6D00C5F6">
            <w:pPr>
              <w:widowControl w:val="0"/>
              <w:adjustRightInd w:val="0"/>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电能（10</w:t>
            </w:r>
            <w:r>
              <w:rPr>
                <w:rFonts w:hint="eastAsia" w:ascii="Times New Roman" w:hAnsi="Times New Roman" w:cs="Times New Roman" w:eastAsiaTheme="minorEastAsia"/>
                <w:bCs/>
                <w:color w:val="auto"/>
                <w:w w:val="99"/>
                <w:kern w:val="2"/>
                <w:sz w:val="21"/>
                <w:szCs w:val="21"/>
                <w:highlight w:val="none"/>
                <w:vertAlign w:val="superscript"/>
              </w:rPr>
              <w:t>4</w:t>
            </w:r>
            <w:r>
              <w:rPr>
                <w:rFonts w:hint="eastAsia" w:ascii="Times New Roman" w:hAnsi="Times New Roman" w:cs="Times New Roman" w:eastAsiaTheme="minorEastAsia"/>
                <w:bCs/>
                <w:color w:val="auto"/>
                <w:w w:val="99"/>
                <w:kern w:val="2"/>
                <w:sz w:val="21"/>
                <w:szCs w:val="21"/>
                <w:highlight w:val="none"/>
              </w:rPr>
              <w:t>kW•h/a）</w:t>
            </w:r>
          </w:p>
        </w:tc>
        <w:tc>
          <w:tcPr>
            <w:tcW w:w="1114" w:type="pct"/>
            <w:vAlign w:val="center"/>
          </w:tcPr>
          <w:p w14:paraId="51B7608F">
            <w:pPr>
              <w:widowControl w:val="0"/>
              <w:adjustRightInd w:val="0"/>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77.09</w:t>
            </w:r>
          </w:p>
        </w:tc>
      </w:tr>
      <w:tr w14:paraId="742C2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16" w:type="pct"/>
            <w:vAlign w:val="center"/>
          </w:tcPr>
          <w:p w14:paraId="36FACDF4">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5</w:t>
            </w:r>
          </w:p>
        </w:tc>
        <w:tc>
          <w:tcPr>
            <w:tcW w:w="610" w:type="pct"/>
            <w:vMerge w:val="continue"/>
            <w:vAlign w:val="center"/>
          </w:tcPr>
          <w:p w14:paraId="4EBBDE89">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p>
        </w:tc>
        <w:tc>
          <w:tcPr>
            <w:tcW w:w="1136" w:type="pct"/>
            <w:vAlign w:val="center"/>
          </w:tcPr>
          <w:p w14:paraId="185516E6">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耗气</w:t>
            </w:r>
          </w:p>
        </w:tc>
        <w:tc>
          <w:tcPr>
            <w:tcW w:w="1621" w:type="pct"/>
            <w:vAlign w:val="center"/>
          </w:tcPr>
          <w:p w14:paraId="135C22F7">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天然气（</w:t>
            </w:r>
            <w:r>
              <w:rPr>
                <w:rFonts w:hint="eastAsia" w:ascii="Times New Roman" w:hAnsi="Times New Roman" w:cs="Times New Roman" w:eastAsiaTheme="minorEastAsia"/>
                <w:color w:val="auto"/>
                <w:w w:val="99"/>
                <w:sz w:val="21"/>
                <w:szCs w:val="21"/>
                <w:highlight w:val="none"/>
              </w:rPr>
              <w:t>万m</w:t>
            </w:r>
            <w:r>
              <w:rPr>
                <w:rFonts w:hint="eastAsia" w:ascii="Times New Roman" w:hAnsi="Times New Roman" w:cs="Times New Roman" w:eastAsiaTheme="minorEastAsia"/>
                <w:color w:val="auto"/>
                <w:w w:val="99"/>
                <w:sz w:val="21"/>
                <w:szCs w:val="21"/>
                <w:highlight w:val="none"/>
                <w:vertAlign w:val="superscript"/>
              </w:rPr>
              <w:t>3</w:t>
            </w:r>
            <w:r>
              <w:rPr>
                <w:rFonts w:hint="eastAsia" w:ascii="Times New Roman" w:hAnsi="Times New Roman" w:cs="Times New Roman" w:eastAsiaTheme="minorEastAsia"/>
                <w:color w:val="auto"/>
                <w:w w:val="99"/>
                <w:sz w:val="21"/>
                <w:szCs w:val="21"/>
                <w:highlight w:val="none"/>
              </w:rPr>
              <w:t>/a</w:t>
            </w:r>
            <w:r>
              <w:rPr>
                <w:rFonts w:hint="eastAsia" w:ascii="Times New Roman" w:hAnsi="Times New Roman" w:cs="Times New Roman" w:eastAsiaTheme="minorEastAsia"/>
                <w:color w:val="auto"/>
                <w:w w:val="99"/>
                <w:kern w:val="2"/>
                <w:sz w:val="21"/>
                <w:szCs w:val="21"/>
                <w:highlight w:val="none"/>
              </w:rPr>
              <w:t>）</w:t>
            </w:r>
          </w:p>
        </w:tc>
        <w:tc>
          <w:tcPr>
            <w:tcW w:w="1114" w:type="pct"/>
            <w:vAlign w:val="center"/>
          </w:tcPr>
          <w:p w14:paraId="50B6140E">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7.07</w:t>
            </w:r>
          </w:p>
        </w:tc>
      </w:tr>
      <w:tr w14:paraId="6AA65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16" w:type="pct"/>
            <w:vAlign w:val="center"/>
          </w:tcPr>
          <w:p w14:paraId="5D7AE855">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6</w:t>
            </w:r>
          </w:p>
        </w:tc>
        <w:tc>
          <w:tcPr>
            <w:tcW w:w="610" w:type="pct"/>
            <w:vMerge w:val="continue"/>
            <w:vAlign w:val="center"/>
          </w:tcPr>
          <w:p w14:paraId="4F2FE16A">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p>
        </w:tc>
        <w:tc>
          <w:tcPr>
            <w:tcW w:w="1136" w:type="pct"/>
            <w:vAlign w:val="center"/>
          </w:tcPr>
          <w:p w14:paraId="7AE785DB">
            <w:pPr>
              <w:widowControl w:val="0"/>
              <w:adjustRightInd w:val="0"/>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井口非正常工况注醇</w:t>
            </w:r>
          </w:p>
        </w:tc>
        <w:tc>
          <w:tcPr>
            <w:tcW w:w="1621" w:type="pct"/>
            <w:vAlign w:val="center"/>
          </w:tcPr>
          <w:p w14:paraId="1F072769">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甲醇</w:t>
            </w:r>
            <w:r>
              <w:rPr>
                <w:rFonts w:ascii="Times New Roman" w:hAnsi="Times New Roman" w:cs="Times New Roman" w:eastAsiaTheme="minorEastAsia"/>
                <w:color w:val="auto"/>
                <w:w w:val="99"/>
                <w:kern w:val="2"/>
                <w:sz w:val="21"/>
                <w:szCs w:val="21"/>
                <w:highlight w:val="none"/>
              </w:rPr>
              <w:t>（t）</w:t>
            </w:r>
          </w:p>
        </w:tc>
        <w:tc>
          <w:tcPr>
            <w:tcW w:w="1114" w:type="pct"/>
            <w:vAlign w:val="center"/>
          </w:tcPr>
          <w:p w14:paraId="707F9C91">
            <w:pPr>
              <w:widowControl w:val="0"/>
              <w:adjustRightInd w:val="0"/>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0.03</w:t>
            </w:r>
          </w:p>
        </w:tc>
      </w:tr>
    </w:tbl>
    <w:p w14:paraId="09F417E0">
      <w:pPr>
        <w:pStyle w:val="5"/>
        <w:keepNext w:val="0"/>
        <w:keepLines w:val="0"/>
        <w:widowControl w:val="0"/>
        <w:spacing w:line="440" w:lineRule="exact"/>
        <w:rPr>
          <w:rFonts w:ascii="Times New Roman" w:hAnsi="Times New Roman" w:eastAsia="宋体"/>
          <w:b/>
          <w:snapToGrid w:val="0"/>
          <w:color w:val="auto"/>
          <w:w w:val="99"/>
          <w:highlight w:val="none"/>
        </w:rPr>
      </w:pPr>
      <w:bookmarkStart w:id="508" w:name="_Toc855"/>
      <w:r>
        <w:rPr>
          <w:rFonts w:ascii="Times New Roman" w:hAnsi="Times New Roman" w:eastAsia="宋体"/>
          <w:b/>
          <w:snapToGrid w:val="0"/>
          <w:color w:val="auto"/>
          <w:w w:val="99"/>
          <w:highlight w:val="none"/>
        </w:rPr>
        <w:t>3.</w:t>
      </w:r>
      <w:r>
        <w:rPr>
          <w:rFonts w:hint="eastAsia" w:ascii="Times New Roman" w:hAnsi="Times New Roman" w:eastAsia="宋体"/>
          <w:b/>
          <w:snapToGrid w:val="0"/>
          <w:color w:val="auto"/>
          <w:w w:val="99"/>
          <w:highlight w:val="none"/>
        </w:rPr>
        <w:t>9</w:t>
      </w:r>
      <w:r>
        <w:rPr>
          <w:rFonts w:ascii="Times New Roman" w:hAnsi="Times New Roman" w:eastAsia="宋体"/>
          <w:b/>
          <w:snapToGrid w:val="0"/>
          <w:color w:val="auto"/>
          <w:w w:val="99"/>
          <w:highlight w:val="none"/>
        </w:rPr>
        <w:t>依托工程分析</w:t>
      </w:r>
      <w:bookmarkEnd w:id="508"/>
    </w:p>
    <w:p w14:paraId="74449DFA">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509" w:name="_Toc186444297"/>
      <w:bookmarkStart w:id="510" w:name="_Toc83209486"/>
      <w:r>
        <w:rPr>
          <w:rFonts w:eastAsia="宋体"/>
          <w:b/>
          <w:color w:val="auto"/>
          <w:w w:val="99"/>
          <w:kern w:val="2"/>
          <w:sz w:val="24"/>
          <w:szCs w:val="24"/>
          <w:highlight w:val="none"/>
        </w:rPr>
        <w:t>3.</w:t>
      </w:r>
      <w:r>
        <w:rPr>
          <w:rFonts w:hint="eastAsia" w:eastAsia="宋体"/>
          <w:b/>
          <w:color w:val="auto"/>
          <w:w w:val="99"/>
          <w:kern w:val="2"/>
          <w:sz w:val="24"/>
          <w:szCs w:val="24"/>
          <w:highlight w:val="none"/>
        </w:rPr>
        <w:t>9</w:t>
      </w:r>
      <w:r>
        <w:rPr>
          <w:rFonts w:eastAsia="宋体"/>
          <w:b/>
          <w:color w:val="auto"/>
          <w:w w:val="99"/>
          <w:kern w:val="2"/>
          <w:sz w:val="24"/>
          <w:szCs w:val="24"/>
          <w:highlight w:val="none"/>
        </w:rPr>
        <w:t>.1依托工程环保手续</w:t>
      </w:r>
    </w:p>
    <w:p w14:paraId="076D631B">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 xml:space="preserve">本项目依托工程环保手续情况见表 </w:t>
      </w:r>
      <w:r>
        <w:rPr>
          <w:rFonts w:hint="eastAsia" w:ascii="Times New Roman" w:hAnsi="Times New Roman" w:cs="Times New Roman"/>
          <w:color w:val="auto"/>
          <w:w w:val="99"/>
          <w:highlight w:val="none"/>
        </w:rPr>
        <w:t>3.9</w:t>
      </w:r>
      <w:r>
        <w:rPr>
          <w:rFonts w:ascii="Times New Roman" w:hAnsi="Times New Roman" w:cs="Times New Roman"/>
          <w:color w:val="auto"/>
          <w:w w:val="99"/>
          <w:highlight w:val="none"/>
        </w:rPr>
        <w:t>-</w:t>
      </w:r>
      <w:r>
        <w:rPr>
          <w:rFonts w:hint="eastAsia" w:ascii="Times New Roman" w:hAnsi="Times New Roman" w:cs="Times New Roman"/>
          <w:color w:val="auto"/>
          <w:w w:val="99"/>
          <w:highlight w:val="none"/>
        </w:rPr>
        <w:t>1</w:t>
      </w:r>
      <w:r>
        <w:rPr>
          <w:rFonts w:ascii="Times New Roman" w:hAnsi="Times New Roman" w:cs="Times New Roman"/>
          <w:color w:val="auto"/>
          <w:w w:val="99"/>
          <w:highlight w:val="none"/>
        </w:rPr>
        <w:t>。</w:t>
      </w:r>
    </w:p>
    <w:p w14:paraId="0A7FA9DA">
      <w:pPr>
        <w:pStyle w:val="32"/>
        <w:spacing w:before="213" w:line="222" w:lineRule="auto"/>
        <w:ind w:firstLine="476" w:firstLineChars="200"/>
        <w:rPr>
          <w:rFonts w:ascii="Times New Roman" w:hAnsi="Times New Roman"/>
          <w:b/>
          <w:snapToGrid w:val="0"/>
          <w:color w:val="auto"/>
          <w:w w:val="99"/>
          <w:kern w:val="0"/>
          <w:szCs w:val="24"/>
          <w:highlight w:val="none"/>
        </w:rPr>
      </w:pPr>
      <w:r>
        <w:rPr>
          <w:rFonts w:ascii="Times New Roman" w:hAnsi="Times New Roman"/>
          <w:b/>
          <w:snapToGrid w:val="0"/>
          <w:color w:val="auto"/>
          <w:w w:val="99"/>
          <w:kern w:val="0"/>
          <w:szCs w:val="24"/>
          <w:highlight w:val="none"/>
        </w:rPr>
        <w:t xml:space="preserve">表 </w:t>
      </w:r>
      <w:r>
        <w:rPr>
          <w:rFonts w:hint="eastAsia" w:ascii="Times New Roman" w:hAnsi="Times New Roman"/>
          <w:b/>
          <w:snapToGrid w:val="0"/>
          <w:color w:val="auto"/>
          <w:w w:val="99"/>
          <w:kern w:val="0"/>
          <w:szCs w:val="24"/>
          <w:highlight w:val="none"/>
        </w:rPr>
        <w:t>3.9</w:t>
      </w:r>
      <w:r>
        <w:rPr>
          <w:rFonts w:ascii="Times New Roman" w:hAnsi="Times New Roman"/>
          <w:b/>
          <w:snapToGrid w:val="0"/>
          <w:color w:val="auto"/>
          <w:w w:val="99"/>
          <w:kern w:val="0"/>
          <w:szCs w:val="24"/>
          <w:highlight w:val="none"/>
        </w:rPr>
        <w:t>-1  项目依托场站环保手续一览表</w:t>
      </w:r>
    </w:p>
    <w:p w14:paraId="5EA3B5A8">
      <w:pPr>
        <w:spacing w:line="76" w:lineRule="exact"/>
        <w:rPr>
          <w:rFonts w:hint="eastAsia"/>
          <w:color w:val="auto"/>
          <w:highlight w:val="none"/>
        </w:rPr>
      </w:pPr>
    </w:p>
    <w:tbl>
      <w:tblPr>
        <w:tblStyle w:val="8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1358"/>
        <w:gridCol w:w="2598"/>
        <w:gridCol w:w="1830"/>
        <w:gridCol w:w="1731"/>
        <w:gridCol w:w="1223"/>
      </w:tblGrid>
      <w:tr w14:paraId="6418A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0" w:type="pct"/>
            <w:vAlign w:val="center"/>
          </w:tcPr>
          <w:p w14:paraId="497CE757">
            <w:pPr>
              <w:pStyle w:val="102"/>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序号</w:t>
            </w:r>
          </w:p>
        </w:tc>
        <w:tc>
          <w:tcPr>
            <w:tcW w:w="732" w:type="pct"/>
            <w:vAlign w:val="center"/>
          </w:tcPr>
          <w:p w14:paraId="57C3D15E">
            <w:pPr>
              <w:pStyle w:val="102"/>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名称</w:t>
            </w:r>
          </w:p>
        </w:tc>
        <w:tc>
          <w:tcPr>
            <w:tcW w:w="1399" w:type="pct"/>
            <w:vAlign w:val="center"/>
          </w:tcPr>
          <w:p w14:paraId="0E43D80C">
            <w:pPr>
              <w:pStyle w:val="102"/>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环评文件名称</w:t>
            </w:r>
          </w:p>
        </w:tc>
        <w:tc>
          <w:tcPr>
            <w:tcW w:w="985" w:type="pct"/>
            <w:vAlign w:val="center"/>
          </w:tcPr>
          <w:p w14:paraId="5BC3F01E">
            <w:pPr>
              <w:pStyle w:val="102"/>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环评批复</w:t>
            </w:r>
          </w:p>
        </w:tc>
        <w:tc>
          <w:tcPr>
            <w:tcW w:w="932" w:type="pct"/>
            <w:vAlign w:val="center"/>
          </w:tcPr>
          <w:p w14:paraId="06DF8BBD">
            <w:pPr>
              <w:pStyle w:val="102"/>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竣工环保</w:t>
            </w:r>
          </w:p>
          <w:p w14:paraId="49008729">
            <w:pPr>
              <w:pStyle w:val="102"/>
              <w:ind w:left="0" w:firstLine="0"/>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验收</w:t>
            </w:r>
          </w:p>
        </w:tc>
        <w:tc>
          <w:tcPr>
            <w:tcW w:w="659" w:type="pct"/>
            <w:vAlign w:val="center"/>
          </w:tcPr>
          <w:p w14:paraId="344DFDE5">
            <w:pPr>
              <w:pStyle w:val="102"/>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排污许可</w:t>
            </w:r>
          </w:p>
          <w:p w14:paraId="2F121767">
            <w:pPr>
              <w:pStyle w:val="102"/>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情况</w:t>
            </w:r>
          </w:p>
        </w:tc>
      </w:tr>
      <w:tr w14:paraId="006C8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0" w:type="pct"/>
            <w:vAlign w:val="center"/>
          </w:tcPr>
          <w:p w14:paraId="2028CC3D">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1</w:t>
            </w:r>
          </w:p>
        </w:tc>
        <w:tc>
          <w:tcPr>
            <w:tcW w:w="732" w:type="pct"/>
            <w:vAlign w:val="center"/>
          </w:tcPr>
          <w:p w14:paraId="582FF8E1">
            <w:pPr>
              <w:pStyle w:val="102"/>
              <w:adjustRightInd w:val="0"/>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徐深27集气站</w:t>
            </w:r>
          </w:p>
        </w:tc>
        <w:tc>
          <w:tcPr>
            <w:tcW w:w="2598" w:type="dxa"/>
          </w:tcPr>
          <w:p w14:paraId="436BBCD6">
            <w:pPr>
              <w:pStyle w:val="2857"/>
              <w:kinsoku w:val="0"/>
              <w:autoSpaceDE w:val="0"/>
              <w:autoSpaceDN w:val="0"/>
              <w:adjustRightInd w:val="0"/>
              <w:snapToGrid w:val="0"/>
              <w:spacing w:line="360" w:lineRule="exact"/>
              <w:jc w:val="center"/>
              <w:textAlignment w:val="baseline"/>
              <w:rPr>
                <w:rFonts w:ascii="Times New Roman" w:hAnsi="Times New Roman" w:cs="Times New Roman"/>
                <w:color w:val="auto"/>
                <w:w w:val="99"/>
                <w:kern w:val="2"/>
                <w:sz w:val="21"/>
                <w:szCs w:val="21"/>
                <w:highlight w:val="none"/>
                <w:lang w:eastAsia="zh-CN"/>
              </w:rPr>
            </w:pPr>
            <w:r>
              <w:rPr>
                <w:rFonts w:ascii="Times New Roman" w:hAnsi="Times New Roman" w:cs="Times New Roman" w:eastAsiaTheme="minorEastAsia"/>
                <w:color w:val="auto"/>
                <w:w w:val="99"/>
                <w:sz w:val="21"/>
                <w:szCs w:val="21"/>
                <w:highlight w:val="none"/>
                <w:lang w:eastAsia="zh-CN"/>
              </w:rPr>
              <w:t>《2017年徐深气田徐深27井区产能建设工程环境影响报告书》</w:t>
            </w:r>
          </w:p>
        </w:tc>
        <w:tc>
          <w:tcPr>
            <w:tcW w:w="1829" w:type="dxa"/>
            <w:vAlign w:val="center"/>
          </w:tcPr>
          <w:p w14:paraId="17382334">
            <w:pPr>
              <w:pStyle w:val="2857"/>
              <w:kinsoku w:val="0"/>
              <w:autoSpaceDE w:val="0"/>
              <w:autoSpaceDN w:val="0"/>
              <w:adjustRightInd w:val="0"/>
              <w:snapToGrid w:val="0"/>
              <w:spacing w:line="360" w:lineRule="exact"/>
              <w:jc w:val="center"/>
              <w:textAlignment w:val="baseline"/>
              <w:rPr>
                <w:rFonts w:ascii="Times New Roman" w:hAnsi="Times New Roman" w:cs="Times New Roman"/>
                <w:color w:val="auto"/>
                <w:w w:val="99"/>
                <w:kern w:val="2"/>
                <w:sz w:val="21"/>
                <w:szCs w:val="21"/>
                <w:highlight w:val="none"/>
                <w:lang w:eastAsia="zh-CN"/>
              </w:rPr>
            </w:pPr>
            <w:r>
              <w:rPr>
                <w:rFonts w:ascii="Times New Roman" w:hAnsi="Times New Roman" w:cs="Times New Roman" w:eastAsiaTheme="minorEastAsia"/>
                <w:color w:val="auto"/>
                <w:w w:val="99"/>
                <w:sz w:val="21"/>
                <w:szCs w:val="21"/>
                <w:highlight w:val="none"/>
                <w:lang w:eastAsia="zh-CN"/>
              </w:rPr>
              <w:t>黑环审〔2017〕51号</w:t>
            </w:r>
          </w:p>
        </w:tc>
        <w:tc>
          <w:tcPr>
            <w:tcW w:w="932" w:type="pct"/>
            <w:vAlign w:val="center"/>
          </w:tcPr>
          <w:p w14:paraId="5FAB43FA">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eastAsiaTheme="minorEastAsia"/>
                <w:color w:val="auto"/>
                <w:w w:val="99"/>
                <w:sz w:val="21"/>
                <w:szCs w:val="21"/>
                <w:highlight w:val="none"/>
              </w:rPr>
              <w:t>2019年11月16日完成自主验收</w:t>
            </w:r>
          </w:p>
        </w:tc>
        <w:tc>
          <w:tcPr>
            <w:tcW w:w="659" w:type="pct"/>
            <w:vMerge w:val="restart"/>
            <w:vAlign w:val="center"/>
          </w:tcPr>
          <w:p w14:paraId="485BAF9A">
            <w:pPr>
              <w:pStyle w:val="102"/>
              <w:ind w:left="0" w:firstLine="0"/>
              <w:rPr>
                <w:rFonts w:hint="default" w:ascii="Times New Roman" w:hAnsi="Times New Roman" w:eastAsia="宋体"/>
                <w:color w:val="auto"/>
                <w:w w:val="99"/>
                <w:highlight w:val="none"/>
              </w:rPr>
            </w:pPr>
            <w:r>
              <w:rPr>
                <w:rFonts w:ascii="Times New Roman" w:hAnsi="Times New Roman" w:eastAsia="宋体"/>
                <w:color w:val="auto"/>
                <w:w w:val="99"/>
                <w:highlight w:val="none"/>
              </w:rPr>
              <w:t>91230607716675409L007W</w:t>
            </w:r>
          </w:p>
        </w:tc>
      </w:tr>
      <w:tr w14:paraId="00C52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0" w:type="pct"/>
            <w:vAlign w:val="center"/>
          </w:tcPr>
          <w:p w14:paraId="5DD1CDF9">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2</w:t>
            </w:r>
          </w:p>
        </w:tc>
        <w:tc>
          <w:tcPr>
            <w:tcW w:w="732" w:type="pct"/>
            <w:vAlign w:val="center"/>
          </w:tcPr>
          <w:p w14:paraId="54D7BF65">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采气分公司危险废物贮存库</w:t>
            </w:r>
          </w:p>
        </w:tc>
        <w:tc>
          <w:tcPr>
            <w:tcW w:w="1399" w:type="pct"/>
            <w:vAlign w:val="center"/>
          </w:tcPr>
          <w:p w14:paraId="73D6673F">
            <w:pPr>
              <w:pStyle w:val="2857"/>
              <w:spacing w:line="360" w:lineRule="exact"/>
              <w:jc w:val="center"/>
              <w:rPr>
                <w:rFonts w:ascii="Times New Roman" w:hAnsi="Times New Roman" w:cs="Times New Roman"/>
                <w:color w:val="auto"/>
                <w:w w:val="99"/>
                <w:kern w:val="2"/>
                <w:sz w:val="21"/>
                <w:szCs w:val="21"/>
                <w:highlight w:val="none"/>
                <w:lang w:eastAsia="zh-CN"/>
              </w:rPr>
            </w:pPr>
            <w:r>
              <w:rPr>
                <w:rFonts w:hint="eastAsia" w:ascii="Times New Roman" w:hAnsi="Times New Roman" w:cs="Times New Roman"/>
                <w:color w:val="auto"/>
                <w:w w:val="99"/>
                <w:kern w:val="2"/>
                <w:sz w:val="21"/>
                <w:szCs w:val="21"/>
                <w:highlight w:val="none"/>
                <w:lang w:eastAsia="zh-CN"/>
              </w:rPr>
              <w:t>《采气分公司危险废物规范化暂存工程环境影响报告表》</w:t>
            </w:r>
          </w:p>
        </w:tc>
        <w:tc>
          <w:tcPr>
            <w:tcW w:w="985" w:type="pct"/>
            <w:vAlign w:val="center"/>
          </w:tcPr>
          <w:p w14:paraId="0343C8C3">
            <w:pPr>
              <w:pStyle w:val="2857"/>
              <w:spacing w:line="360" w:lineRule="exact"/>
              <w:jc w:val="center"/>
              <w:rPr>
                <w:rFonts w:ascii="Times New Roman" w:hAnsi="Times New Roman" w:cs="Times New Roman"/>
                <w:color w:val="auto"/>
                <w:w w:val="99"/>
                <w:kern w:val="2"/>
                <w:sz w:val="21"/>
                <w:szCs w:val="21"/>
                <w:highlight w:val="none"/>
                <w:lang w:eastAsia="zh-CN"/>
              </w:rPr>
            </w:pPr>
            <w:r>
              <w:rPr>
                <w:rFonts w:hint="eastAsia" w:ascii="Times New Roman" w:hAnsi="Times New Roman" w:cs="Times New Roman"/>
                <w:color w:val="auto"/>
                <w:w w:val="99"/>
                <w:kern w:val="2"/>
                <w:sz w:val="21"/>
                <w:szCs w:val="21"/>
                <w:highlight w:val="none"/>
                <w:lang w:eastAsia="zh-CN"/>
              </w:rPr>
              <w:t>安环发〔2020〕53 号</w:t>
            </w:r>
          </w:p>
        </w:tc>
        <w:tc>
          <w:tcPr>
            <w:tcW w:w="932" w:type="pct"/>
            <w:vAlign w:val="center"/>
          </w:tcPr>
          <w:p w14:paraId="5A799178">
            <w:pPr>
              <w:pStyle w:val="2857"/>
              <w:spacing w:line="360" w:lineRule="exact"/>
              <w:jc w:val="center"/>
              <w:rPr>
                <w:rFonts w:ascii="Times New Roman" w:hAnsi="Times New Roman" w:cs="Times New Roman"/>
                <w:color w:val="auto"/>
                <w:w w:val="99"/>
                <w:kern w:val="2"/>
                <w:sz w:val="21"/>
                <w:szCs w:val="21"/>
                <w:highlight w:val="none"/>
                <w:lang w:eastAsia="zh-CN"/>
              </w:rPr>
            </w:pPr>
            <w:r>
              <w:rPr>
                <w:rFonts w:hint="eastAsia" w:ascii="Times New Roman" w:hAnsi="Times New Roman" w:cs="Times New Roman"/>
                <w:color w:val="auto"/>
                <w:w w:val="99"/>
                <w:kern w:val="2"/>
                <w:sz w:val="21"/>
                <w:szCs w:val="21"/>
                <w:highlight w:val="none"/>
                <w:lang w:eastAsia="zh-CN"/>
              </w:rPr>
              <w:t>2023年4月完成自主验收</w:t>
            </w:r>
          </w:p>
        </w:tc>
        <w:tc>
          <w:tcPr>
            <w:tcW w:w="659" w:type="pct"/>
            <w:vMerge w:val="continue"/>
            <w:vAlign w:val="center"/>
          </w:tcPr>
          <w:p w14:paraId="04CE7E05">
            <w:pPr>
              <w:pStyle w:val="102"/>
              <w:ind w:left="0" w:firstLine="0"/>
              <w:rPr>
                <w:rFonts w:hint="default" w:ascii="Times New Roman" w:hAnsi="Times New Roman" w:eastAsia="宋体"/>
                <w:color w:val="auto"/>
                <w:w w:val="99"/>
                <w:highlight w:val="none"/>
              </w:rPr>
            </w:pPr>
          </w:p>
        </w:tc>
      </w:tr>
      <w:tr w14:paraId="0E9CE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0" w:type="pct"/>
            <w:vAlign w:val="center"/>
          </w:tcPr>
          <w:p w14:paraId="274DF9C7">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3</w:t>
            </w:r>
          </w:p>
        </w:tc>
        <w:tc>
          <w:tcPr>
            <w:tcW w:w="732" w:type="pct"/>
            <w:vAlign w:val="center"/>
          </w:tcPr>
          <w:p w14:paraId="7574003D">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第八采油厂工业固废填埋场</w:t>
            </w:r>
          </w:p>
        </w:tc>
        <w:tc>
          <w:tcPr>
            <w:tcW w:w="1399" w:type="pct"/>
            <w:vAlign w:val="center"/>
          </w:tcPr>
          <w:p w14:paraId="7E3A0B4C">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《第八采油厂工业固废填埋场工程环境影响报告表》</w:t>
            </w:r>
          </w:p>
        </w:tc>
        <w:tc>
          <w:tcPr>
            <w:tcW w:w="985" w:type="pct"/>
            <w:vAlign w:val="center"/>
          </w:tcPr>
          <w:p w14:paraId="13D050D5">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庆环建〔2011〕171号</w:t>
            </w:r>
          </w:p>
        </w:tc>
        <w:tc>
          <w:tcPr>
            <w:tcW w:w="932" w:type="pct"/>
            <w:vAlign w:val="center"/>
          </w:tcPr>
          <w:p w14:paraId="39B9B659">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庆环验〔2014〕38号</w:t>
            </w:r>
          </w:p>
        </w:tc>
        <w:tc>
          <w:tcPr>
            <w:tcW w:w="659" w:type="pct"/>
            <w:vMerge w:val="restart"/>
            <w:vAlign w:val="center"/>
          </w:tcPr>
          <w:p w14:paraId="24954C4D">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91230607716675409L011X</w:t>
            </w:r>
          </w:p>
        </w:tc>
      </w:tr>
      <w:tr w14:paraId="0A1F9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0" w:type="pct"/>
            <w:vAlign w:val="center"/>
          </w:tcPr>
          <w:p w14:paraId="33B91228">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4</w:t>
            </w:r>
          </w:p>
        </w:tc>
        <w:tc>
          <w:tcPr>
            <w:tcW w:w="732" w:type="pct"/>
            <w:vAlign w:val="center"/>
          </w:tcPr>
          <w:p w14:paraId="5DFA4D64">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lang w:val="zh-CN"/>
              </w:rPr>
              <w:t>升一联</w:t>
            </w:r>
            <w:r>
              <w:rPr>
                <w:rFonts w:hint="eastAsia" w:ascii="Times New Roman" w:hAnsi="Times New Roman" w:cs="Times New Roman"/>
                <w:color w:val="auto"/>
                <w:w w:val="99"/>
                <w:kern w:val="2"/>
                <w:sz w:val="21"/>
                <w:szCs w:val="21"/>
                <w:highlight w:val="none"/>
                <w:lang w:val="zh-CN"/>
              </w:rPr>
              <w:t>气田污水预处理站</w:t>
            </w:r>
          </w:p>
        </w:tc>
        <w:tc>
          <w:tcPr>
            <w:tcW w:w="1399" w:type="pct"/>
            <w:vAlign w:val="center"/>
          </w:tcPr>
          <w:p w14:paraId="6677CC65">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lang w:val="zh-CN"/>
              </w:rPr>
              <w:t>《气田污水预处理站</w:t>
            </w:r>
            <w:r>
              <w:rPr>
                <w:rFonts w:ascii="Times New Roman" w:hAnsi="Times New Roman" w:cs="Times New Roman"/>
                <w:color w:val="auto"/>
                <w:w w:val="99"/>
                <w:kern w:val="2"/>
                <w:sz w:val="21"/>
                <w:szCs w:val="21"/>
                <w:highlight w:val="none"/>
                <w:lang w:val="zh-CN"/>
              </w:rPr>
              <w:t>改造工程环境影响报告表</w:t>
            </w:r>
            <w:r>
              <w:rPr>
                <w:rFonts w:hint="eastAsia" w:ascii="Times New Roman" w:hAnsi="Times New Roman" w:cs="Times New Roman"/>
                <w:color w:val="auto"/>
                <w:w w:val="99"/>
                <w:kern w:val="2"/>
                <w:sz w:val="21"/>
                <w:szCs w:val="21"/>
                <w:highlight w:val="none"/>
                <w:lang w:val="zh-CN"/>
              </w:rPr>
              <w:t>》</w:t>
            </w:r>
          </w:p>
        </w:tc>
        <w:tc>
          <w:tcPr>
            <w:tcW w:w="985" w:type="pct"/>
            <w:vAlign w:val="center"/>
          </w:tcPr>
          <w:p w14:paraId="1CE91B15">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lang w:val="zh-CN"/>
              </w:rPr>
              <w:t>绥环函〔2015〕423 号</w:t>
            </w:r>
          </w:p>
        </w:tc>
        <w:tc>
          <w:tcPr>
            <w:tcW w:w="932" w:type="pct"/>
            <w:vAlign w:val="center"/>
          </w:tcPr>
          <w:p w14:paraId="35C0A6AF">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lang w:val="zh-CN"/>
              </w:rPr>
              <w:t>2019年</w:t>
            </w:r>
            <w:r>
              <w:rPr>
                <w:rFonts w:ascii="Times New Roman" w:hAnsi="Times New Roman" w:cs="Times New Roman"/>
                <w:color w:val="auto"/>
                <w:w w:val="99"/>
                <w:kern w:val="2"/>
                <w:sz w:val="21"/>
                <w:szCs w:val="21"/>
                <w:highlight w:val="none"/>
              </w:rPr>
              <w:t>9</w:t>
            </w:r>
            <w:r>
              <w:rPr>
                <w:rFonts w:ascii="Times New Roman" w:hAnsi="Times New Roman" w:cs="Times New Roman"/>
                <w:color w:val="auto"/>
                <w:w w:val="99"/>
                <w:kern w:val="2"/>
                <w:sz w:val="21"/>
                <w:szCs w:val="21"/>
                <w:highlight w:val="none"/>
                <w:lang w:val="zh-CN"/>
              </w:rPr>
              <w:t>月完成自主验收</w:t>
            </w:r>
          </w:p>
        </w:tc>
        <w:tc>
          <w:tcPr>
            <w:tcW w:w="659" w:type="pct"/>
            <w:vMerge w:val="continue"/>
            <w:vAlign w:val="center"/>
          </w:tcPr>
          <w:p w14:paraId="3AC747F0">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p>
        </w:tc>
      </w:tr>
    </w:tbl>
    <w:p w14:paraId="79DCA846">
      <w:pPr>
        <w:spacing w:line="95" w:lineRule="exact"/>
        <w:rPr>
          <w:rFonts w:hint="eastAsia" w:ascii="Arial"/>
          <w:color w:val="auto"/>
          <w:sz w:val="8"/>
          <w:highlight w:val="none"/>
        </w:rPr>
      </w:pPr>
    </w:p>
    <w:p w14:paraId="21306DBB">
      <w:pPr>
        <w:pStyle w:val="7"/>
        <w:keepNext w:val="0"/>
        <w:keepLines w:val="0"/>
        <w:widowControl w:val="0"/>
        <w:spacing w:before="60" w:after="60" w:line="440" w:lineRule="exact"/>
        <w:jc w:val="both"/>
        <w:rPr>
          <w:rFonts w:eastAsia="宋体"/>
          <w:b/>
          <w:color w:val="auto"/>
          <w:w w:val="99"/>
          <w:kern w:val="2"/>
          <w:sz w:val="24"/>
          <w:szCs w:val="24"/>
          <w:highlight w:val="none"/>
        </w:rPr>
      </w:pPr>
      <w:r>
        <w:rPr>
          <w:rFonts w:hint="eastAsia" w:eastAsia="宋体"/>
          <w:b/>
          <w:color w:val="auto"/>
          <w:w w:val="99"/>
          <w:kern w:val="2"/>
          <w:sz w:val="24"/>
          <w:szCs w:val="24"/>
          <w:highlight w:val="none"/>
        </w:rPr>
        <w:t>3.9</w:t>
      </w:r>
      <w:r>
        <w:rPr>
          <w:rFonts w:eastAsia="宋体"/>
          <w:b/>
          <w:color w:val="auto"/>
          <w:w w:val="99"/>
          <w:kern w:val="2"/>
          <w:sz w:val="24"/>
          <w:szCs w:val="24"/>
          <w:highlight w:val="none"/>
        </w:rPr>
        <w:t>.2依托工程能力核实及运行现状分析</w:t>
      </w:r>
      <w:bookmarkEnd w:id="509"/>
      <w:bookmarkEnd w:id="510"/>
    </w:p>
    <w:p w14:paraId="59EE72C7">
      <w:pPr>
        <w:spacing w:line="440" w:lineRule="exact"/>
        <w:ind w:firstLine="476" w:firstLineChars="200"/>
        <w:jc w:val="both"/>
        <w:rPr>
          <w:rFonts w:ascii="Times New Roman" w:hAnsi="Times New Roman" w:cs="Times New Roman"/>
          <w:b/>
          <w:bCs/>
          <w:color w:val="auto"/>
          <w:w w:val="99"/>
          <w:highlight w:val="none"/>
        </w:rPr>
      </w:pPr>
      <w:r>
        <w:rPr>
          <w:rFonts w:ascii="Times New Roman" w:hAnsi="Times New Roman" w:cs="Times New Roman"/>
          <w:b/>
          <w:bCs/>
          <w:color w:val="auto"/>
          <w:w w:val="99"/>
          <w:highlight w:val="none"/>
        </w:rPr>
        <w:t>（1）徐深</w:t>
      </w:r>
      <w:r>
        <w:rPr>
          <w:rFonts w:hint="eastAsia" w:ascii="Times New Roman" w:hAnsi="Times New Roman" w:cs="Times New Roman"/>
          <w:b/>
          <w:bCs/>
          <w:color w:val="auto"/>
          <w:w w:val="99"/>
          <w:highlight w:val="none"/>
        </w:rPr>
        <w:t>27</w:t>
      </w:r>
      <w:r>
        <w:rPr>
          <w:rFonts w:ascii="Times New Roman" w:hAnsi="Times New Roman" w:cs="Times New Roman"/>
          <w:b/>
          <w:bCs/>
          <w:color w:val="auto"/>
          <w:w w:val="99"/>
          <w:highlight w:val="none"/>
        </w:rPr>
        <w:t>集气站</w:t>
      </w:r>
    </w:p>
    <w:p w14:paraId="2BB61FF3">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徐深27集气站始建于2017年，按照“无人值守，有人巡检”模式进行建设。截至2025年底，徐深27集气站目前共辖井3口，建成生产装置1列。建设规模为30×10</w:t>
      </w:r>
      <w:r>
        <w:rPr>
          <w:rFonts w:ascii="Times New Roman" w:hAnsi="Times New Roman" w:cs="Times New Roman"/>
          <w:color w:val="auto"/>
          <w:w w:val="99"/>
          <w:highlight w:val="none"/>
          <w:vertAlign w:val="superscript"/>
        </w:rPr>
        <w:t>4</w:t>
      </w:r>
      <w:r>
        <w:rPr>
          <w:rFonts w:ascii="Times New Roman" w:hAnsi="Times New Roman" w:cs="Times New Roman"/>
          <w:color w:val="auto"/>
          <w:w w:val="99"/>
          <w:highlight w:val="none"/>
        </w:rPr>
        <w:t>m</w:t>
      </w:r>
      <w:r>
        <w:rPr>
          <w:rFonts w:ascii="Times New Roman" w:hAnsi="Times New Roman" w:cs="Times New Roman"/>
          <w:color w:val="auto"/>
          <w:w w:val="99"/>
          <w:highlight w:val="none"/>
          <w:vertAlign w:val="superscript"/>
        </w:rPr>
        <w:t>3</w:t>
      </w:r>
      <w:r>
        <w:rPr>
          <w:rFonts w:ascii="Times New Roman" w:hAnsi="Times New Roman" w:cs="Times New Roman"/>
          <w:color w:val="auto"/>
          <w:w w:val="99"/>
          <w:highlight w:val="none"/>
        </w:rPr>
        <w:t>/d。徐深27集气站为高含碳集气站，气井气经采气管道电伴热至集气站，在集气站内经加热、节流降压、多井轮换计量、分离和脱水处理，处理后的天然气输送至徐深9净化厂脱碳处理后外输。</w:t>
      </w:r>
    </w:p>
    <w:p w14:paraId="04F47716">
      <w:pPr>
        <w:spacing w:after="120" w:afterLines="50" w:line="50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目前该站处理气量为1.51×10</w:t>
      </w:r>
      <w:r>
        <w:rPr>
          <w:rFonts w:hint="eastAsia" w:ascii="Times New Roman" w:hAnsi="Times New Roman" w:cs="Times New Roman"/>
          <w:color w:val="auto"/>
          <w:w w:val="99"/>
          <w:highlight w:val="none"/>
          <w:vertAlign w:val="superscript"/>
        </w:rPr>
        <w:t>4</w:t>
      </w:r>
      <w:r>
        <w:rPr>
          <w:rFonts w:hint="eastAsia" w:ascii="Times New Roman" w:hAnsi="Times New Roman" w:cs="Times New Roman"/>
          <w:color w:val="auto"/>
          <w:w w:val="99"/>
          <w:highlight w:val="none"/>
        </w:rPr>
        <w:t>m</w:t>
      </w:r>
      <w:r>
        <w:rPr>
          <w:rFonts w:hint="eastAsia" w:ascii="Times New Roman" w:hAnsi="Times New Roman" w:cs="Times New Roman"/>
          <w:color w:val="auto"/>
          <w:w w:val="99"/>
          <w:highlight w:val="none"/>
          <w:vertAlign w:val="superscript"/>
        </w:rPr>
        <w:t>3</w:t>
      </w:r>
      <w:r>
        <w:rPr>
          <w:rFonts w:hint="eastAsia" w:ascii="Times New Roman" w:hAnsi="Times New Roman" w:cs="Times New Roman"/>
          <w:color w:val="auto"/>
          <w:w w:val="99"/>
          <w:highlight w:val="none"/>
        </w:rPr>
        <w:t>/d，本项目新增产气量为9.0×10</w:t>
      </w:r>
      <w:r>
        <w:rPr>
          <w:rFonts w:hint="eastAsia" w:ascii="Times New Roman" w:hAnsi="Times New Roman" w:cs="Times New Roman"/>
          <w:color w:val="auto"/>
          <w:w w:val="99"/>
          <w:highlight w:val="none"/>
          <w:vertAlign w:val="superscript"/>
        </w:rPr>
        <w:t>4</w:t>
      </w:r>
      <w:r>
        <w:rPr>
          <w:rFonts w:hint="eastAsia" w:ascii="Times New Roman" w:hAnsi="Times New Roman" w:cs="Times New Roman"/>
          <w:color w:val="auto"/>
          <w:w w:val="99"/>
          <w:highlight w:val="none"/>
        </w:rPr>
        <w:t>m</w:t>
      </w:r>
      <w:r>
        <w:rPr>
          <w:rFonts w:hint="eastAsia" w:ascii="Times New Roman" w:hAnsi="Times New Roman" w:cs="Times New Roman"/>
          <w:color w:val="auto"/>
          <w:w w:val="99"/>
          <w:highlight w:val="none"/>
          <w:vertAlign w:val="superscript"/>
        </w:rPr>
        <w:t>3</w:t>
      </w:r>
      <w:r>
        <w:rPr>
          <w:rFonts w:hint="eastAsia" w:ascii="Times New Roman" w:hAnsi="Times New Roman" w:cs="Times New Roman"/>
          <w:color w:val="auto"/>
          <w:w w:val="99"/>
          <w:highlight w:val="none"/>
        </w:rPr>
        <w:t>/d，则新增后处理负荷为35.03%，处理负荷满足依托要求</w:t>
      </w:r>
      <w:r>
        <w:rPr>
          <w:rFonts w:ascii="Times New Roman" w:hAnsi="Times New Roman" w:cs="Times New Roman"/>
          <w:color w:val="auto"/>
          <w:w w:val="99"/>
          <w:highlight w:val="none"/>
        </w:rPr>
        <w:t>。</w:t>
      </w:r>
      <w:r>
        <w:rPr>
          <w:rFonts w:hint="eastAsia" w:ascii="Times New Roman" w:hAnsi="Times New Roman" w:cs="Times New Roman"/>
          <w:color w:val="auto"/>
          <w:w w:val="99"/>
          <w:highlight w:val="none"/>
        </w:rPr>
        <w:t>场站各设备能力核实如下：</w:t>
      </w:r>
    </w:p>
    <w:p w14:paraId="3189373F">
      <w:pPr>
        <w:spacing w:line="50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（1）加热炉能力核实</w:t>
      </w:r>
    </w:p>
    <w:p w14:paraId="781944D3">
      <w:pPr>
        <w:spacing w:line="50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站内已建真空加热炉</w:t>
      </w:r>
      <w:r>
        <w:rPr>
          <w:rFonts w:hint="eastAsia" w:ascii="Times New Roman" w:hAnsi="Times New Roman" w:cs="Times New Roman"/>
          <w:color w:val="auto"/>
          <w:w w:val="99"/>
          <w:highlight w:val="none"/>
        </w:rPr>
        <w:t>1</w:t>
      </w:r>
      <w:r>
        <w:rPr>
          <w:rFonts w:ascii="Times New Roman" w:hAnsi="Times New Roman" w:cs="Times New Roman"/>
          <w:color w:val="auto"/>
          <w:w w:val="99"/>
          <w:highlight w:val="none"/>
        </w:rPr>
        <w:t>台，剩余</w:t>
      </w:r>
      <w:r>
        <w:rPr>
          <w:rFonts w:hint="eastAsia" w:ascii="Times New Roman" w:hAnsi="Times New Roman" w:cs="Times New Roman"/>
          <w:color w:val="auto"/>
          <w:w w:val="99"/>
          <w:highlight w:val="none"/>
        </w:rPr>
        <w:t>2</w:t>
      </w:r>
      <w:r>
        <w:rPr>
          <w:rFonts w:ascii="Times New Roman" w:hAnsi="Times New Roman" w:cs="Times New Roman"/>
          <w:color w:val="auto"/>
          <w:w w:val="99"/>
          <w:highlight w:val="none"/>
        </w:rPr>
        <w:t>处预留盘管，设计加热负荷</w:t>
      </w:r>
      <w:r>
        <w:rPr>
          <w:rFonts w:hint="eastAsia" w:ascii="Times New Roman" w:hAnsi="Times New Roman" w:cs="Times New Roman"/>
          <w:color w:val="auto"/>
          <w:w w:val="99"/>
          <w:highlight w:val="none"/>
        </w:rPr>
        <w:t>分别</w:t>
      </w:r>
      <w:r>
        <w:rPr>
          <w:rFonts w:ascii="Times New Roman" w:hAnsi="Times New Roman" w:cs="Times New Roman"/>
          <w:color w:val="auto"/>
          <w:w w:val="99"/>
          <w:highlight w:val="none"/>
        </w:rPr>
        <w:t>为</w:t>
      </w:r>
      <w:r>
        <w:rPr>
          <w:rFonts w:hint="eastAsia" w:ascii="Times New Roman" w:hAnsi="Times New Roman" w:cs="Times New Roman"/>
          <w:color w:val="auto"/>
          <w:w w:val="99"/>
          <w:highlight w:val="none"/>
        </w:rPr>
        <w:t>130</w:t>
      </w:r>
      <w:r>
        <w:rPr>
          <w:rFonts w:ascii="Times New Roman" w:hAnsi="Times New Roman" w:cs="Times New Roman"/>
          <w:color w:val="auto"/>
          <w:w w:val="99"/>
          <w:highlight w:val="none"/>
        </w:rPr>
        <w:t>kW</w:t>
      </w:r>
      <w:r>
        <w:rPr>
          <w:rFonts w:hint="eastAsia" w:ascii="Times New Roman" w:hAnsi="Times New Roman" w:cs="Times New Roman"/>
          <w:color w:val="auto"/>
          <w:w w:val="99"/>
          <w:highlight w:val="none"/>
        </w:rPr>
        <w:t>、30kW</w:t>
      </w:r>
      <w:r>
        <w:rPr>
          <w:rFonts w:ascii="Times New Roman" w:hAnsi="Times New Roman" w:cs="Times New Roman"/>
          <w:color w:val="auto"/>
          <w:w w:val="99"/>
          <w:highlight w:val="none"/>
        </w:rPr>
        <w:t>。经计算，本次接入的徐深</w:t>
      </w:r>
      <w:r>
        <w:rPr>
          <w:rFonts w:hint="eastAsia" w:ascii="Times New Roman" w:hAnsi="Times New Roman" w:cs="Times New Roman"/>
          <w:color w:val="auto"/>
          <w:w w:val="99"/>
          <w:highlight w:val="none"/>
        </w:rPr>
        <w:t>27</w:t>
      </w:r>
      <w:r>
        <w:rPr>
          <w:rFonts w:ascii="Times New Roman" w:hAnsi="Times New Roman" w:cs="Times New Roman"/>
          <w:color w:val="auto"/>
          <w:w w:val="99"/>
          <w:highlight w:val="none"/>
        </w:rPr>
        <w:t>-</w:t>
      </w:r>
      <w:r>
        <w:rPr>
          <w:rFonts w:hint="eastAsia" w:ascii="Times New Roman" w:hAnsi="Times New Roman" w:cs="Times New Roman"/>
          <w:color w:val="auto"/>
          <w:w w:val="99"/>
          <w:highlight w:val="none"/>
        </w:rPr>
        <w:t>H1</w:t>
      </w:r>
      <w:r>
        <w:rPr>
          <w:rFonts w:ascii="Times New Roman" w:hAnsi="Times New Roman" w:cs="Times New Roman"/>
          <w:color w:val="auto"/>
          <w:w w:val="99"/>
          <w:highlight w:val="none"/>
        </w:rPr>
        <w:t>井加热负荷需求为</w:t>
      </w:r>
      <w:r>
        <w:rPr>
          <w:rFonts w:hint="eastAsia" w:ascii="Times New Roman" w:hAnsi="Times New Roman" w:cs="Times New Roman"/>
          <w:color w:val="auto"/>
          <w:w w:val="99"/>
          <w:highlight w:val="none"/>
        </w:rPr>
        <w:t>111.3</w:t>
      </w:r>
      <w:r>
        <w:rPr>
          <w:rFonts w:ascii="Times New Roman" w:hAnsi="Times New Roman" w:cs="Times New Roman"/>
          <w:color w:val="auto"/>
          <w:w w:val="99"/>
          <w:highlight w:val="none"/>
        </w:rPr>
        <w:t>kW，已建预留盘管能力满足处理需求</w:t>
      </w:r>
      <w:r>
        <w:rPr>
          <w:rFonts w:hint="eastAsia" w:ascii="Times New Roman" w:hAnsi="Times New Roman" w:cs="Times New Roman"/>
          <w:color w:val="auto"/>
          <w:w w:val="99"/>
          <w:highlight w:val="none"/>
        </w:rPr>
        <w:t>。</w:t>
      </w:r>
    </w:p>
    <w:p w14:paraId="7C7243CA">
      <w:pPr>
        <w:spacing w:line="50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（2）分离器能力核实</w:t>
      </w:r>
    </w:p>
    <w:p w14:paraId="469FA760">
      <w:pPr>
        <w:spacing w:line="50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计量分离器和生产分离器规格型号均为 Φ1200×4</w:t>
      </w:r>
      <w:r>
        <w:rPr>
          <w:rFonts w:hint="eastAsia" w:ascii="Times New Roman" w:hAnsi="Times New Roman" w:cs="Times New Roman"/>
          <w:color w:val="auto"/>
          <w:w w:val="99"/>
          <w:highlight w:val="none"/>
        </w:rPr>
        <w:t>6</w:t>
      </w:r>
      <w:r>
        <w:rPr>
          <w:rFonts w:ascii="Times New Roman" w:hAnsi="Times New Roman" w:cs="Times New Roman"/>
          <w:color w:val="auto"/>
          <w:w w:val="99"/>
          <w:highlight w:val="none"/>
        </w:rPr>
        <w:t>12（设计压力 8.0MPa）</w:t>
      </w:r>
      <w:r>
        <w:rPr>
          <w:rFonts w:hint="eastAsia" w:ascii="Times New Roman" w:hAnsi="Times New Roman" w:cs="Times New Roman"/>
          <w:color w:val="auto"/>
          <w:w w:val="99"/>
          <w:highlight w:val="none"/>
        </w:rPr>
        <w:t>，</w:t>
      </w:r>
      <w:r>
        <w:rPr>
          <w:rFonts w:ascii="Times New Roman" w:hAnsi="Times New Roman" w:cs="Times New Roman"/>
          <w:color w:val="auto"/>
          <w:w w:val="99"/>
          <w:highlight w:val="none"/>
        </w:rPr>
        <w:t>过滤分离器型号为 Φ450×2200/Φ400×2200（设计压力 8.0MPa），处理能力</w:t>
      </w:r>
      <w:r>
        <w:rPr>
          <w:rFonts w:hint="eastAsia" w:ascii="Times New Roman" w:hAnsi="Times New Roman" w:cs="Times New Roman"/>
          <w:color w:val="auto"/>
          <w:w w:val="99"/>
          <w:highlight w:val="none"/>
        </w:rPr>
        <w:t>均</w:t>
      </w:r>
      <w:r>
        <w:rPr>
          <w:rFonts w:ascii="Times New Roman" w:hAnsi="Times New Roman" w:cs="Times New Roman"/>
          <w:color w:val="auto"/>
          <w:w w:val="99"/>
          <w:highlight w:val="none"/>
        </w:rPr>
        <w:t xml:space="preserve">为 </w:t>
      </w:r>
      <w:r>
        <w:rPr>
          <w:rFonts w:hint="eastAsia" w:ascii="Times New Roman" w:hAnsi="Times New Roman" w:cs="Times New Roman"/>
          <w:color w:val="auto"/>
          <w:w w:val="99"/>
          <w:highlight w:val="none"/>
        </w:rPr>
        <w:t>3</w:t>
      </w:r>
      <w:r>
        <w:rPr>
          <w:rFonts w:ascii="Times New Roman" w:hAnsi="Times New Roman" w:cs="Times New Roman"/>
          <w:color w:val="auto"/>
          <w:w w:val="99"/>
          <w:highlight w:val="none"/>
        </w:rPr>
        <w:t>0×10</w:t>
      </w:r>
      <w:r>
        <w:rPr>
          <w:rFonts w:ascii="Times New Roman" w:hAnsi="Times New Roman" w:cs="Times New Roman"/>
          <w:color w:val="auto"/>
          <w:w w:val="99"/>
          <w:highlight w:val="none"/>
          <w:vertAlign w:val="superscript"/>
        </w:rPr>
        <w:t>4</w:t>
      </w:r>
      <w:r>
        <w:rPr>
          <w:rFonts w:ascii="Times New Roman" w:hAnsi="Times New Roman" w:cs="Times New Roman"/>
          <w:color w:val="auto"/>
          <w:w w:val="99"/>
          <w:highlight w:val="none"/>
        </w:rPr>
        <w:t>m</w:t>
      </w:r>
      <w:r>
        <w:rPr>
          <w:rFonts w:ascii="Times New Roman" w:hAnsi="Times New Roman" w:cs="Times New Roman"/>
          <w:color w:val="auto"/>
          <w:w w:val="99"/>
          <w:highlight w:val="none"/>
          <w:vertAlign w:val="superscript"/>
        </w:rPr>
        <w:t>3</w:t>
      </w:r>
      <w:r>
        <w:rPr>
          <w:rFonts w:ascii="Times New Roman" w:hAnsi="Times New Roman" w:cs="Times New Roman"/>
          <w:color w:val="auto"/>
          <w:w w:val="99"/>
          <w:highlight w:val="none"/>
        </w:rPr>
        <w:t xml:space="preserve"> /d。本次新增产能后，总处理气量</w:t>
      </w:r>
      <w:r>
        <w:rPr>
          <w:rFonts w:hint="eastAsia" w:ascii="Times New Roman" w:hAnsi="Times New Roman" w:cs="Times New Roman"/>
          <w:color w:val="auto"/>
          <w:w w:val="99"/>
          <w:highlight w:val="none"/>
        </w:rPr>
        <w:t>10.51</w:t>
      </w:r>
      <w:r>
        <w:rPr>
          <w:rFonts w:ascii="Times New Roman" w:hAnsi="Times New Roman" w:cs="Times New Roman"/>
          <w:color w:val="auto"/>
          <w:w w:val="99"/>
          <w:highlight w:val="none"/>
        </w:rPr>
        <w:t>×10</w:t>
      </w:r>
      <w:r>
        <w:rPr>
          <w:rFonts w:ascii="Times New Roman" w:hAnsi="Times New Roman" w:cs="Times New Roman"/>
          <w:color w:val="auto"/>
          <w:w w:val="99"/>
          <w:highlight w:val="none"/>
          <w:vertAlign w:val="superscript"/>
        </w:rPr>
        <w:t>4</w:t>
      </w:r>
      <w:r>
        <w:rPr>
          <w:rFonts w:ascii="Times New Roman" w:hAnsi="Times New Roman" w:cs="Times New Roman"/>
          <w:color w:val="auto"/>
          <w:w w:val="99"/>
          <w:highlight w:val="none"/>
        </w:rPr>
        <w:t>m</w:t>
      </w:r>
      <w:r>
        <w:rPr>
          <w:rFonts w:ascii="Times New Roman" w:hAnsi="Times New Roman" w:cs="Times New Roman"/>
          <w:color w:val="auto"/>
          <w:w w:val="99"/>
          <w:highlight w:val="none"/>
          <w:vertAlign w:val="superscript"/>
        </w:rPr>
        <w:t>3</w:t>
      </w:r>
      <w:r>
        <w:rPr>
          <w:rFonts w:ascii="Times New Roman" w:hAnsi="Times New Roman" w:cs="Times New Roman"/>
          <w:color w:val="auto"/>
          <w:w w:val="99"/>
          <w:highlight w:val="none"/>
        </w:rPr>
        <w:t>/d，已建分离器能够满足处理需求。</w:t>
      </w:r>
    </w:p>
    <w:p w14:paraId="75E4E59D">
      <w:pPr>
        <w:spacing w:line="50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（3）脱水装置</w:t>
      </w:r>
    </w:p>
    <w:p w14:paraId="6949ACC5">
      <w:pPr>
        <w:spacing w:line="50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站内已建三甘醇脱水装置</w:t>
      </w:r>
      <w:r>
        <w:rPr>
          <w:rFonts w:hint="eastAsia" w:ascii="Times New Roman" w:hAnsi="Times New Roman" w:cs="Times New Roman"/>
          <w:color w:val="auto"/>
          <w:w w:val="99"/>
          <w:highlight w:val="none"/>
        </w:rPr>
        <w:t>1</w:t>
      </w:r>
      <w:r>
        <w:rPr>
          <w:rFonts w:ascii="Times New Roman" w:hAnsi="Times New Roman" w:cs="Times New Roman"/>
          <w:color w:val="auto"/>
          <w:w w:val="99"/>
          <w:highlight w:val="none"/>
        </w:rPr>
        <w:t>套，处理规模为</w:t>
      </w:r>
      <w:r>
        <w:rPr>
          <w:rFonts w:hint="eastAsia" w:ascii="Times New Roman" w:hAnsi="Times New Roman" w:cs="Times New Roman"/>
          <w:color w:val="auto"/>
          <w:w w:val="99"/>
          <w:highlight w:val="none"/>
        </w:rPr>
        <w:t>3</w:t>
      </w:r>
      <w:r>
        <w:rPr>
          <w:rFonts w:ascii="Times New Roman" w:hAnsi="Times New Roman" w:cs="Times New Roman"/>
          <w:color w:val="auto"/>
          <w:w w:val="99"/>
          <w:highlight w:val="none"/>
        </w:rPr>
        <w:t>0×10</w:t>
      </w:r>
      <w:r>
        <w:rPr>
          <w:rFonts w:ascii="Times New Roman" w:hAnsi="Times New Roman" w:cs="Times New Roman"/>
          <w:color w:val="auto"/>
          <w:w w:val="99"/>
          <w:highlight w:val="none"/>
          <w:vertAlign w:val="superscript"/>
        </w:rPr>
        <w:t>4</w:t>
      </w:r>
      <w:r>
        <w:rPr>
          <w:rFonts w:ascii="Times New Roman" w:hAnsi="Times New Roman" w:cs="Times New Roman"/>
          <w:color w:val="auto"/>
          <w:w w:val="99"/>
          <w:highlight w:val="none"/>
        </w:rPr>
        <w:t>m</w:t>
      </w:r>
      <w:r>
        <w:rPr>
          <w:rFonts w:ascii="Times New Roman" w:hAnsi="Times New Roman" w:cs="Times New Roman"/>
          <w:color w:val="auto"/>
          <w:w w:val="99"/>
          <w:highlight w:val="none"/>
          <w:vertAlign w:val="superscript"/>
        </w:rPr>
        <w:t>3</w:t>
      </w:r>
      <w:r>
        <w:rPr>
          <w:rFonts w:ascii="Times New Roman" w:hAnsi="Times New Roman" w:cs="Times New Roman"/>
          <w:color w:val="auto"/>
          <w:w w:val="99"/>
          <w:highlight w:val="none"/>
        </w:rPr>
        <w:t>/d，接入新井后，最大气量为10</w:t>
      </w:r>
      <w:r>
        <w:rPr>
          <w:rFonts w:hint="eastAsia" w:ascii="Times New Roman" w:hAnsi="Times New Roman" w:cs="Times New Roman"/>
          <w:color w:val="auto"/>
          <w:w w:val="99"/>
          <w:highlight w:val="none"/>
        </w:rPr>
        <w:t>.51</w:t>
      </w:r>
      <w:r>
        <w:rPr>
          <w:rFonts w:ascii="Times New Roman" w:hAnsi="Times New Roman" w:cs="Times New Roman"/>
          <w:color w:val="auto"/>
          <w:w w:val="99"/>
          <w:highlight w:val="none"/>
        </w:rPr>
        <w:t>×10</w:t>
      </w:r>
      <w:r>
        <w:rPr>
          <w:rFonts w:ascii="Times New Roman" w:hAnsi="Times New Roman" w:cs="Times New Roman"/>
          <w:color w:val="auto"/>
          <w:w w:val="99"/>
          <w:highlight w:val="none"/>
          <w:vertAlign w:val="superscript"/>
        </w:rPr>
        <w:t>4</w:t>
      </w:r>
      <w:r>
        <w:rPr>
          <w:rFonts w:ascii="Times New Roman" w:hAnsi="Times New Roman" w:cs="Times New Roman"/>
          <w:color w:val="auto"/>
          <w:w w:val="99"/>
          <w:highlight w:val="none"/>
        </w:rPr>
        <w:t>m</w:t>
      </w:r>
      <w:r>
        <w:rPr>
          <w:rFonts w:ascii="Times New Roman" w:hAnsi="Times New Roman" w:cs="Times New Roman"/>
          <w:color w:val="auto"/>
          <w:w w:val="99"/>
          <w:highlight w:val="none"/>
          <w:vertAlign w:val="superscript"/>
        </w:rPr>
        <w:t>3</w:t>
      </w:r>
      <w:r>
        <w:rPr>
          <w:rFonts w:ascii="Times New Roman" w:hAnsi="Times New Roman" w:cs="Times New Roman"/>
          <w:color w:val="auto"/>
          <w:w w:val="99"/>
          <w:highlight w:val="none"/>
        </w:rPr>
        <w:t>/d，运行负荷率为</w:t>
      </w:r>
      <w:r>
        <w:rPr>
          <w:rFonts w:hint="eastAsia" w:ascii="Times New Roman" w:hAnsi="Times New Roman" w:cs="Times New Roman"/>
          <w:color w:val="auto"/>
          <w:w w:val="99"/>
          <w:highlight w:val="none"/>
        </w:rPr>
        <w:t>5</w:t>
      </w:r>
      <w:r>
        <w:rPr>
          <w:rFonts w:ascii="Times New Roman" w:hAnsi="Times New Roman" w:cs="Times New Roman"/>
          <w:color w:val="auto"/>
          <w:w w:val="99"/>
          <w:highlight w:val="none"/>
        </w:rPr>
        <w:t>%~</w:t>
      </w:r>
      <w:r>
        <w:rPr>
          <w:rFonts w:hint="eastAsia" w:ascii="Times New Roman" w:hAnsi="Times New Roman" w:cs="Times New Roman"/>
          <w:color w:val="auto"/>
          <w:w w:val="99"/>
          <w:highlight w:val="none"/>
        </w:rPr>
        <w:t>33</w:t>
      </w:r>
      <w:r>
        <w:rPr>
          <w:rFonts w:ascii="Times New Roman" w:hAnsi="Times New Roman" w:cs="Times New Roman"/>
          <w:color w:val="auto"/>
          <w:w w:val="99"/>
          <w:highlight w:val="none"/>
        </w:rPr>
        <w:t>%</w:t>
      </w:r>
      <w:r>
        <w:rPr>
          <w:rFonts w:hint="eastAsia" w:ascii="Times New Roman" w:hAnsi="Times New Roman" w:cs="Times New Roman"/>
          <w:color w:val="auto"/>
          <w:w w:val="99"/>
          <w:highlight w:val="none"/>
        </w:rPr>
        <w:t>.</w:t>
      </w:r>
    </w:p>
    <w:p w14:paraId="4A7601C5">
      <w:pPr>
        <w:spacing w:line="50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（4）放空火炬能力核实</w:t>
      </w:r>
    </w:p>
    <w:p w14:paraId="2C2EB43D">
      <w:pPr>
        <w:spacing w:line="50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徐深</w:t>
      </w:r>
      <w:r>
        <w:rPr>
          <w:rFonts w:hint="eastAsia" w:ascii="Times New Roman" w:hAnsi="Times New Roman" w:cs="Times New Roman"/>
          <w:color w:val="auto"/>
          <w:w w:val="99"/>
          <w:highlight w:val="none"/>
        </w:rPr>
        <w:t>27</w:t>
      </w:r>
      <w:r>
        <w:rPr>
          <w:rFonts w:ascii="Times New Roman" w:hAnsi="Times New Roman" w:cs="Times New Roman"/>
          <w:color w:val="auto"/>
          <w:w w:val="99"/>
          <w:highlight w:val="none"/>
        </w:rPr>
        <w:t>集气站已建火炬设计规模</w:t>
      </w:r>
      <w:r>
        <w:rPr>
          <w:rFonts w:hint="eastAsia" w:ascii="Times New Roman" w:hAnsi="Times New Roman" w:cs="Times New Roman"/>
          <w:color w:val="auto"/>
          <w:w w:val="99"/>
          <w:highlight w:val="none"/>
        </w:rPr>
        <w:t>2</w:t>
      </w:r>
      <w:r>
        <w:rPr>
          <w:rFonts w:ascii="Times New Roman" w:hAnsi="Times New Roman" w:cs="Times New Roman"/>
          <w:color w:val="auto"/>
          <w:w w:val="99"/>
          <w:highlight w:val="none"/>
        </w:rPr>
        <w:t>0×10</w:t>
      </w:r>
      <w:r>
        <w:rPr>
          <w:rFonts w:ascii="Times New Roman" w:hAnsi="Times New Roman" w:cs="Times New Roman"/>
          <w:color w:val="auto"/>
          <w:w w:val="99"/>
          <w:highlight w:val="none"/>
          <w:vertAlign w:val="superscript"/>
        </w:rPr>
        <w:t>4</w:t>
      </w:r>
      <w:r>
        <w:rPr>
          <w:rFonts w:ascii="Times New Roman" w:hAnsi="Times New Roman" w:cs="Times New Roman"/>
          <w:color w:val="auto"/>
          <w:w w:val="99"/>
          <w:highlight w:val="none"/>
        </w:rPr>
        <w:t>m</w:t>
      </w:r>
      <w:r>
        <w:rPr>
          <w:rFonts w:ascii="Times New Roman" w:hAnsi="Times New Roman" w:cs="Times New Roman"/>
          <w:color w:val="auto"/>
          <w:w w:val="99"/>
          <w:highlight w:val="none"/>
          <w:vertAlign w:val="superscript"/>
        </w:rPr>
        <w:t>3</w:t>
      </w:r>
      <w:r>
        <w:rPr>
          <w:rFonts w:ascii="Times New Roman" w:hAnsi="Times New Roman" w:cs="Times New Roman"/>
          <w:color w:val="auto"/>
          <w:w w:val="99"/>
          <w:highlight w:val="none"/>
        </w:rPr>
        <w:t>/d（DN400/DN</w:t>
      </w:r>
      <w:r>
        <w:rPr>
          <w:rFonts w:hint="eastAsia" w:ascii="Times New Roman" w:hAnsi="Times New Roman" w:cs="Times New Roman"/>
          <w:color w:val="auto"/>
          <w:w w:val="99"/>
          <w:highlight w:val="none"/>
        </w:rPr>
        <w:t>250</w:t>
      </w:r>
      <w:r>
        <w:rPr>
          <w:rFonts w:ascii="Times New Roman" w:hAnsi="Times New Roman" w:cs="Times New Roman"/>
          <w:color w:val="auto"/>
          <w:w w:val="99"/>
          <w:highlight w:val="none"/>
        </w:rPr>
        <w:t xml:space="preserve">  H=3</w:t>
      </w:r>
      <w:r>
        <w:rPr>
          <w:rFonts w:hint="eastAsia" w:ascii="Times New Roman" w:hAnsi="Times New Roman" w:cs="Times New Roman"/>
          <w:color w:val="auto"/>
          <w:w w:val="99"/>
          <w:highlight w:val="none"/>
        </w:rPr>
        <w:t>0</w:t>
      </w:r>
      <w:r>
        <w:rPr>
          <w:rFonts w:ascii="Times New Roman" w:hAnsi="Times New Roman" w:cs="Times New Roman"/>
          <w:color w:val="auto"/>
          <w:w w:val="99"/>
          <w:highlight w:val="none"/>
        </w:rPr>
        <w:t>m），新井进站后，本站最大产气量为</w:t>
      </w:r>
      <w:r>
        <w:rPr>
          <w:rFonts w:hint="eastAsia" w:ascii="Times New Roman" w:hAnsi="Times New Roman" w:cs="Times New Roman"/>
          <w:color w:val="auto"/>
          <w:w w:val="99"/>
          <w:highlight w:val="none"/>
        </w:rPr>
        <w:t>10.51</w:t>
      </w:r>
      <w:r>
        <w:rPr>
          <w:rFonts w:ascii="Times New Roman" w:hAnsi="Times New Roman" w:cs="Times New Roman"/>
          <w:color w:val="auto"/>
          <w:w w:val="99"/>
          <w:highlight w:val="none"/>
        </w:rPr>
        <w:t>×10</w:t>
      </w:r>
      <w:r>
        <w:rPr>
          <w:rFonts w:ascii="Times New Roman" w:hAnsi="Times New Roman" w:cs="Times New Roman"/>
          <w:color w:val="auto"/>
          <w:w w:val="99"/>
          <w:highlight w:val="none"/>
          <w:vertAlign w:val="superscript"/>
        </w:rPr>
        <w:t>4</w:t>
      </w:r>
      <w:r>
        <w:rPr>
          <w:rFonts w:ascii="Times New Roman" w:hAnsi="Times New Roman" w:cs="Times New Roman"/>
          <w:color w:val="auto"/>
          <w:w w:val="99"/>
          <w:highlight w:val="none"/>
        </w:rPr>
        <w:t>m</w:t>
      </w:r>
      <w:r>
        <w:rPr>
          <w:rFonts w:ascii="Times New Roman" w:hAnsi="Times New Roman" w:cs="Times New Roman"/>
          <w:color w:val="auto"/>
          <w:w w:val="99"/>
          <w:highlight w:val="none"/>
          <w:vertAlign w:val="superscript"/>
        </w:rPr>
        <w:t>3</w:t>
      </w:r>
      <w:r>
        <w:rPr>
          <w:rFonts w:ascii="Times New Roman" w:hAnsi="Times New Roman" w:cs="Times New Roman"/>
          <w:color w:val="auto"/>
          <w:w w:val="99"/>
          <w:highlight w:val="none"/>
        </w:rPr>
        <w:t>/d，本次按照站内装置最大泄放气量计算，已建火炬系统满足放空需求。</w:t>
      </w:r>
    </w:p>
    <w:p w14:paraId="16C5618D">
      <w:pPr>
        <w:jc w:val="center"/>
        <w:rPr>
          <w:rFonts w:hint="eastAsia"/>
          <w:b/>
          <w:color w:val="auto"/>
          <w:w w:val="99"/>
          <w:kern w:val="2"/>
          <w:highlight w:val="none"/>
        </w:rPr>
      </w:pPr>
      <w:r>
        <w:rPr>
          <w:rFonts w:ascii="Times New Roman" w:hAnsi="Times New Roman"/>
          <w:color w:val="auto"/>
          <w:highlight w:val="none"/>
        </w:rPr>
        <w:drawing>
          <wp:inline distT="0" distB="0" distL="114300" distR="114300">
            <wp:extent cx="5566410" cy="2255520"/>
            <wp:effectExtent l="0" t="0" r="0" b="0"/>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pic:cNvPicPr>
                      <a:picLocks noChangeAspect="1"/>
                    </pic:cNvPicPr>
                  </pic:nvPicPr>
                  <pic:blipFill>
                    <a:blip r:embed="rId42"/>
                    <a:stretch>
                      <a:fillRect/>
                    </a:stretch>
                  </pic:blipFill>
                  <pic:spPr>
                    <a:xfrm>
                      <a:off x="0" y="0"/>
                      <a:ext cx="5566410" cy="2255520"/>
                    </a:xfrm>
                    <a:prstGeom prst="rect">
                      <a:avLst/>
                    </a:prstGeom>
                  </pic:spPr>
                </pic:pic>
              </a:graphicData>
            </a:graphic>
          </wp:inline>
        </w:drawing>
      </w:r>
    </w:p>
    <w:p w14:paraId="2D3C2C73">
      <w:pPr>
        <w:pStyle w:val="104"/>
        <w:spacing w:line="440" w:lineRule="exact"/>
        <w:ind w:firstLine="476" w:firstLineChars="200"/>
        <w:rPr>
          <w:rFonts w:ascii="Times New Roman" w:hAnsi="Times New Roman" w:eastAsia="宋体"/>
          <w:b/>
          <w:bCs/>
          <w:color w:val="auto"/>
          <w:w w:val="99"/>
          <w:sz w:val="24"/>
          <w:szCs w:val="24"/>
          <w:highlight w:val="none"/>
        </w:rPr>
      </w:pPr>
      <w:r>
        <w:rPr>
          <w:rFonts w:ascii="Times New Roman" w:hAnsi="Times New Roman" w:eastAsia="宋体"/>
          <w:b/>
          <w:bCs/>
          <w:color w:val="auto"/>
          <w:w w:val="99"/>
          <w:sz w:val="24"/>
          <w:szCs w:val="24"/>
          <w:highlight w:val="none"/>
        </w:rPr>
        <w:t>图</w:t>
      </w:r>
      <w:r>
        <w:rPr>
          <w:rFonts w:hint="eastAsia" w:ascii="Times New Roman" w:hAnsi="Times New Roman" w:eastAsia="宋体"/>
          <w:b/>
          <w:bCs/>
          <w:color w:val="auto"/>
          <w:w w:val="99"/>
          <w:sz w:val="24"/>
          <w:szCs w:val="24"/>
          <w:highlight w:val="none"/>
        </w:rPr>
        <w:t>3.9-1徐深27集气站工艺流程</w:t>
      </w:r>
      <w:r>
        <w:rPr>
          <w:rFonts w:ascii="Times New Roman" w:hAnsi="Times New Roman" w:eastAsia="宋体"/>
          <w:b/>
          <w:bCs/>
          <w:color w:val="auto"/>
          <w:w w:val="99"/>
          <w:sz w:val="24"/>
          <w:szCs w:val="24"/>
          <w:highlight w:val="none"/>
        </w:rPr>
        <w:t>示意图</w:t>
      </w:r>
    </w:p>
    <w:p w14:paraId="78820387">
      <w:pPr>
        <w:pStyle w:val="153"/>
        <w:spacing w:line="440" w:lineRule="exact"/>
        <w:ind w:firstLine="474"/>
        <w:jc w:val="both"/>
        <w:rPr>
          <w:rFonts w:ascii="Times New Roman" w:hAnsi="Times New Roman"/>
          <w:b/>
          <w:bCs/>
          <w:snapToGrid w:val="0"/>
          <w:color w:val="auto"/>
          <w:w w:val="99"/>
          <w:highlight w:val="none"/>
        </w:rPr>
      </w:pPr>
      <w:r>
        <w:rPr>
          <w:rFonts w:ascii="Times New Roman" w:hAnsi="Times New Roman"/>
          <w:b/>
          <w:bCs/>
          <w:snapToGrid w:val="0"/>
          <w:color w:val="auto"/>
          <w:w w:val="99"/>
          <w:highlight w:val="none"/>
        </w:rPr>
        <w:t>（</w:t>
      </w:r>
      <w:r>
        <w:rPr>
          <w:rFonts w:hint="eastAsia" w:ascii="Times New Roman" w:hAnsi="Times New Roman"/>
          <w:b/>
          <w:bCs/>
          <w:snapToGrid w:val="0"/>
          <w:color w:val="auto"/>
          <w:w w:val="99"/>
          <w:highlight w:val="none"/>
        </w:rPr>
        <w:t>2</w:t>
      </w:r>
      <w:r>
        <w:rPr>
          <w:rFonts w:ascii="Times New Roman" w:hAnsi="Times New Roman"/>
          <w:b/>
          <w:bCs/>
          <w:snapToGrid w:val="0"/>
          <w:color w:val="auto"/>
          <w:w w:val="99"/>
          <w:highlight w:val="none"/>
        </w:rPr>
        <w:t>）第八采油厂工业固废填埋场</w:t>
      </w:r>
    </w:p>
    <w:p w14:paraId="2ECE4463">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本项目施工期产生的施工废料（废焊渣、废防腐材料）等一般工业固废依托第八采油厂工业固废填埋场处理。第八采油厂工业固废填埋场位于大庆市肇州县新福乡双龙山村北侧1.8km，乐业村东南1.05km，占地1.91hm</w:t>
      </w:r>
      <w:r>
        <w:rPr>
          <w:rFonts w:ascii="Times New Roman" w:hAnsi="Times New Roman" w:cs="Times New Roman"/>
          <w:color w:val="auto"/>
          <w:w w:val="99"/>
          <w:highlight w:val="none"/>
          <w:vertAlign w:val="superscript"/>
        </w:rPr>
        <w:t>2</w:t>
      </w:r>
      <w:r>
        <w:rPr>
          <w:rFonts w:ascii="Times New Roman" w:hAnsi="Times New Roman" w:cs="Times New Roman"/>
          <w:color w:val="auto"/>
          <w:w w:val="99"/>
          <w:highlight w:val="none"/>
        </w:rPr>
        <w:t>，由大庆油田有限责任公司第八采油厂负责运营管理。</w:t>
      </w:r>
    </w:p>
    <w:p w14:paraId="3A2244A2">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第八采油厂工业固废填埋场总容量为11624m</w:t>
      </w:r>
      <w:r>
        <w:rPr>
          <w:rFonts w:ascii="Times New Roman" w:hAnsi="Times New Roman" w:cs="Times New Roman"/>
          <w:color w:val="auto"/>
          <w:w w:val="99"/>
          <w:highlight w:val="none"/>
          <w:vertAlign w:val="superscript"/>
        </w:rPr>
        <w:t>3</w:t>
      </w:r>
      <w:r>
        <w:rPr>
          <w:rFonts w:ascii="Times New Roman" w:hAnsi="Times New Roman" w:cs="Times New Roman"/>
          <w:color w:val="auto"/>
          <w:w w:val="99"/>
          <w:highlight w:val="none"/>
        </w:rPr>
        <w:t>，目前实际容纳约8800m</w:t>
      </w:r>
      <w:r>
        <w:rPr>
          <w:rFonts w:ascii="Times New Roman" w:hAnsi="Times New Roman" w:cs="Times New Roman"/>
          <w:color w:val="auto"/>
          <w:w w:val="99"/>
          <w:highlight w:val="none"/>
          <w:vertAlign w:val="superscript"/>
        </w:rPr>
        <w:t>3</w:t>
      </w:r>
      <w:r>
        <w:rPr>
          <w:rFonts w:ascii="Times New Roman" w:hAnsi="Times New Roman" w:cs="Times New Roman"/>
          <w:color w:val="auto"/>
          <w:w w:val="99"/>
          <w:highlight w:val="none"/>
        </w:rPr>
        <w:t>，剩余能力为2824m</w:t>
      </w:r>
      <w:r>
        <w:rPr>
          <w:rFonts w:ascii="Times New Roman" w:hAnsi="Times New Roman" w:cs="Times New Roman"/>
          <w:color w:val="auto"/>
          <w:w w:val="99"/>
          <w:highlight w:val="none"/>
          <w:vertAlign w:val="superscript"/>
        </w:rPr>
        <w:t>3</w:t>
      </w:r>
      <w:r>
        <w:rPr>
          <w:rFonts w:ascii="Times New Roman" w:hAnsi="Times New Roman" w:cs="Times New Roman"/>
          <w:color w:val="auto"/>
          <w:w w:val="99"/>
          <w:highlight w:val="none"/>
        </w:rPr>
        <w:t>，施工废料（废焊渣、废防腐材料）共为</w:t>
      </w:r>
      <w:r>
        <w:rPr>
          <w:rFonts w:hint="eastAsia" w:ascii="Times New Roman" w:hAnsi="Times New Roman" w:cs="Times New Roman"/>
          <w:color w:val="auto"/>
          <w:w w:val="99"/>
          <w:highlight w:val="none"/>
        </w:rPr>
        <w:t>0.04</w:t>
      </w:r>
      <w:r>
        <w:rPr>
          <w:rFonts w:ascii="Times New Roman" w:hAnsi="Times New Roman" w:cs="Times New Roman"/>
          <w:color w:val="auto"/>
          <w:w w:val="99"/>
          <w:highlight w:val="none"/>
        </w:rPr>
        <w:t>t，第八采油厂工业固废填埋剩余能力满足本项目新增固废处理要求。</w:t>
      </w:r>
    </w:p>
    <w:p w14:paraId="4FAFDD4F">
      <w:pPr>
        <w:spacing w:line="440" w:lineRule="exact"/>
        <w:ind w:firstLine="476" w:firstLineChars="200"/>
        <w:jc w:val="both"/>
        <w:rPr>
          <w:rFonts w:ascii="Times New Roman" w:hAnsi="Times New Roman" w:cs="Times New Roman"/>
          <w:b/>
          <w:bCs/>
          <w:snapToGrid w:val="0"/>
          <w:color w:val="auto"/>
          <w:w w:val="99"/>
          <w:highlight w:val="none"/>
        </w:rPr>
      </w:pPr>
      <w:r>
        <w:rPr>
          <w:rFonts w:ascii="Times New Roman" w:hAnsi="Times New Roman" w:cs="Times New Roman"/>
          <w:b/>
          <w:bCs/>
          <w:snapToGrid w:val="0"/>
          <w:color w:val="auto"/>
          <w:w w:val="99"/>
          <w:highlight w:val="none"/>
        </w:rPr>
        <w:t>（</w:t>
      </w:r>
      <w:r>
        <w:rPr>
          <w:rFonts w:hint="eastAsia" w:ascii="Times New Roman" w:hAnsi="Times New Roman" w:cs="Times New Roman"/>
          <w:b/>
          <w:bCs/>
          <w:snapToGrid w:val="0"/>
          <w:color w:val="auto"/>
          <w:w w:val="99"/>
          <w:highlight w:val="none"/>
        </w:rPr>
        <w:t>3</w:t>
      </w:r>
      <w:r>
        <w:rPr>
          <w:rFonts w:ascii="Times New Roman" w:hAnsi="Times New Roman" w:cs="Times New Roman"/>
          <w:b/>
          <w:bCs/>
          <w:snapToGrid w:val="0"/>
          <w:color w:val="auto"/>
          <w:w w:val="99"/>
          <w:highlight w:val="none"/>
        </w:rPr>
        <w:t>）升一联气田污水预处理站</w:t>
      </w:r>
    </w:p>
    <w:p w14:paraId="28C9ED1A">
      <w:pPr>
        <w:spacing w:line="440" w:lineRule="exact"/>
        <w:ind w:firstLine="474" w:firstLineChars="200"/>
        <w:jc w:val="both"/>
        <w:rPr>
          <w:rFonts w:ascii="Times New Roman" w:hAnsi="Times New Roman" w:cs="Times New Roman"/>
          <w:snapToGrid w:val="0"/>
          <w:color w:val="auto"/>
          <w:w w:val="99"/>
          <w:highlight w:val="none"/>
        </w:rPr>
      </w:pPr>
      <w:r>
        <w:rPr>
          <w:rFonts w:ascii="Times New Roman" w:hAnsi="Times New Roman" w:cs="Times New Roman"/>
          <w:snapToGrid w:val="0"/>
          <w:color w:val="auto"/>
          <w:w w:val="99"/>
          <w:highlight w:val="none"/>
        </w:rPr>
        <w:t>本项目气田采出水暂存于</w:t>
      </w:r>
      <w:r>
        <w:rPr>
          <w:rFonts w:hint="eastAsia" w:ascii="Times New Roman" w:hAnsi="Times New Roman" w:cs="Times New Roman"/>
          <w:snapToGrid w:val="0"/>
          <w:color w:val="auto"/>
          <w:w w:val="99"/>
          <w:highlight w:val="none"/>
        </w:rPr>
        <w:t>徐深27</w:t>
      </w:r>
      <w:r>
        <w:rPr>
          <w:rFonts w:ascii="Times New Roman" w:hAnsi="Times New Roman" w:cs="Times New Roman"/>
          <w:snapToGrid w:val="0"/>
          <w:color w:val="auto"/>
          <w:w w:val="99"/>
          <w:highlight w:val="none"/>
        </w:rPr>
        <w:t>集气站污水储罐临时储存，再定期通过外输泵升压外输至气田采出水集输管网，并统一管输至升一联气田污水预处理站处理达标后回注，本项目气田采出水最大产生量为</w:t>
      </w:r>
      <w:r>
        <w:rPr>
          <w:rFonts w:hint="eastAsia" w:ascii="Times New Roman" w:hAnsi="Times New Roman" w:cs="Times New Roman"/>
          <w:snapToGrid w:val="0"/>
          <w:color w:val="auto"/>
          <w:w w:val="99"/>
          <w:highlight w:val="none"/>
        </w:rPr>
        <w:t>3.0</w:t>
      </w:r>
      <w:r>
        <w:rPr>
          <w:rFonts w:ascii="Times New Roman" w:hAnsi="Times New Roman" w:cs="Times New Roman"/>
          <w:snapToGrid w:val="0"/>
          <w:color w:val="auto"/>
          <w:w w:val="99"/>
          <w:highlight w:val="none"/>
        </w:rPr>
        <w:t>m</w:t>
      </w:r>
      <w:r>
        <w:rPr>
          <w:rFonts w:ascii="Times New Roman" w:hAnsi="Times New Roman" w:cs="Times New Roman"/>
          <w:snapToGrid w:val="0"/>
          <w:color w:val="auto"/>
          <w:w w:val="99"/>
          <w:highlight w:val="none"/>
          <w:vertAlign w:val="superscript"/>
        </w:rPr>
        <w:t>3</w:t>
      </w:r>
      <w:r>
        <w:rPr>
          <w:rFonts w:ascii="Times New Roman" w:hAnsi="Times New Roman" w:cs="Times New Roman"/>
          <w:snapToGrid w:val="0"/>
          <w:color w:val="auto"/>
          <w:w w:val="99"/>
          <w:highlight w:val="none"/>
        </w:rPr>
        <w:t>/d。</w:t>
      </w:r>
    </w:p>
    <w:p w14:paraId="6599CA45">
      <w:pPr>
        <w:spacing w:line="440" w:lineRule="exact"/>
        <w:ind w:firstLine="474" w:firstLineChars="200"/>
        <w:jc w:val="both"/>
        <w:rPr>
          <w:rFonts w:ascii="Times New Roman" w:hAnsi="Times New Roman" w:cs="Times New Roman"/>
          <w:snapToGrid w:val="0"/>
          <w:color w:val="auto"/>
          <w:w w:val="99"/>
          <w:highlight w:val="none"/>
        </w:rPr>
      </w:pPr>
      <w:r>
        <w:rPr>
          <w:rFonts w:ascii="Times New Roman" w:hAnsi="Times New Roman" w:cs="Times New Roman"/>
          <w:snapToGrid w:val="0"/>
          <w:color w:val="auto"/>
          <w:w w:val="99"/>
          <w:highlight w:val="none"/>
        </w:rPr>
        <w:t>升一联气田污水预处理站建于黑龙江省安达市升一联合站院内， 由大庆油田有限责任公司第八采油厂负责生产管理，该站</w:t>
      </w:r>
      <w:r>
        <w:rPr>
          <w:rFonts w:hint="eastAsia" w:ascii="Times New Roman" w:hAnsi="Times New Roman" w:cs="Times New Roman"/>
          <w:snapToGrid w:val="0"/>
          <w:color w:val="auto"/>
          <w:w w:val="99"/>
          <w:highlight w:val="none"/>
        </w:rPr>
        <w:t>于</w:t>
      </w:r>
      <w:r>
        <w:rPr>
          <w:rFonts w:ascii="Times New Roman" w:hAnsi="Times New Roman" w:cs="Times New Roman"/>
          <w:snapToGrid w:val="0"/>
          <w:color w:val="auto"/>
          <w:w w:val="99"/>
          <w:highlight w:val="none"/>
        </w:rPr>
        <w:t xml:space="preserve"> 2015 年进行了改造，2019年完成了自主验收，根据验收结论，升一联气田污水预处理站环保手续完备，技术资料齐全，执行了环境影响评价和“三同时”管理制度，落实了环评报告表及其批复所规定的各项环境污染防治措施，外排污染物达标排放，达到竣工环保验收要求。</w:t>
      </w:r>
    </w:p>
    <w:p w14:paraId="57F1B260">
      <w:pPr>
        <w:spacing w:line="440" w:lineRule="exact"/>
        <w:ind w:firstLine="474" w:firstLineChars="200"/>
        <w:jc w:val="both"/>
        <w:rPr>
          <w:rFonts w:ascii="Times New Roman" w:hAnsi="Times New Roman" w:cs="Times New Roman"/>
          <w:snapToGrid w:val="0"/>
          <w:color w:val="auto"/>
          <w:w w:val="99"/>
          <w:highlight w:val="none"/>
        </w:rPr>
      </w:pPr>
      <w:r>
        <w:rPr>
          <w:rFonts w:ascii="Times New Roman" w:hAnsi="Times New Roman" w:cs="Times New Roman"/>
          <w:snapToGrid w:val="0"/>
          <w:color w:val="auto"/>
          <w:w w:val="99"/>
          <w:highlight w:val="none"/>
        </w:rPr>
        <w:t>升一联气田污水预处理站采用“调储缓冲→ 气浮→ 缓冲→ 两级过滤”处理工艺。处理后的水质执行《大庆油田地面工程建设设计规定》（Q/SYDQ 0639- 2015）限值“含油量≤10mg/L 、悬浮固体含量≤5mg/L 、粒径中值≤2μm” ，同时满足《碎屑岩油藏注水水质指标技术要求及分析方法》(SY/T5329-2022)中标准限值，回注地下。</w:t>
      </w:r>
    </w:p>
    <w:p w14:paraId="6E54E9A2">
      <w:pPr>
        <w:spacing w:line="440" w:lineRule="exact"/>
        <w:ind w:firstLine="474" w:firstLineChars="200"/>
        <w:jc w:val="both"/>
        <w:rPr>
          <w:rFonts w:ascii="Times New Roman" w:hAnsi="Times New Roman" w:cs="Times New Roman"/>
          <w:snapToGrid w:val="0"/>
          <w:color w:val="auto"/>
          <w:w w:val="99"/>
          <w:highlight w:val="none"/>
        </w:rPr>
      </w:pPr>
      <w:r>
        <w:rPr>
          <w:rFonts w:ascii="Times New Roman" w:hAnsi="Times New Roman" w:cs="Times New Roman"/>
          <w:snapToGrid w:val="0"/>
          <w:color w:val="auto"/>
          <w:w w:val="99"/>
          <w:highlight w:val="none"/>
        </w:rPr>
        <w:t>升一联气田污水预处理站主工艺流程见图</w:t>
      </w:r>
      <w:r>
        <w:rPr>
          <w:rFonts w:hint="eastAsia" w:ascii="Times New Roman" w:hAnsi="Times New Roman" w:cs="Times New Roman"/>
          <w:snapToGrid w:val="0"/>
          <w:color w:val="auto"/>
          <w:w w:val="99"/>
          <w:highlight w:val="none"/>
        </w:rPr>
        <w:t>3.10-2</w:t>
      </w:r>
      <w:r>
        <w:rPr>
          <w:rFonts w:ascii="Times New Roman" w:hAnsi="Times New Roman" w:cs="Times New Roman"/>
          <w:snapToGrid w:val="0"/>
          <w:color w:val="auto"/>
          <w:w w:val="99"/>
          <w:highlight w:val="none"/>
        </w:rPr>
        <w:t>。</w:t>
      </w:r>
    </w:p>
    <w:p w14:paraId="4A93E71C">
      <w:pPr>
        <w:spacing w:line="3243" w:lineRule="exact"/>
        <w:ind w:firstLine="108"/>
        <w:rPr>
          <w:rFonts w:hint="eastAsia"/>
          <w:color w:val="auto"/>
          <w:highlight w:val="none"/>
        </w:rPr>
      </w:pPr>
      <w:r>
        <w:rPr>
          <w:color w:val="auto"/>
          <w:position w:val="-64"/>
          <w:highlight w:val="none"/>
        </w:rPr>
        <w:drawing>
          <wp:inline distT="0" distB="0" distL="0" distR="0">
            <wp:extent cx="5172075" cy="2058670"/>
            <wp:effectExtent l="0" t="0" r="9525" b="17780"/>
            <wp:docPr id="510" name="IM 510"/>
            <wp:cNvGraphicFramePr/>
            <a:graphic xmlns:a="http://schemas.openxmlformats.org/drawingml/2006/main">
              <a:graphicData uri="http://schemas.openxmlformats.org/drawingml/2006/picture">
                <pic:pic xmlns:pic="http://schemas.openxmlformats.org/drawingml/2006/picture">
                  <pic:nvPicPr>
                    <pic:cNvPr id="510" name="IM 510"/>
                    <pic:cNvPicPr/>
                  </pic:nvPicPr>
                  <pic:blipFill>
                    <a:blip r:embed="rId43"/>
                    <a:stretch>
                      <a:fillRect/>
                    </a:stretch>
                  </pic:blipFill>
                  <pic:spPr>
                    <a:xfrm>
                      <a:off x="0" y="0"/>
                      <a:ext cx="5172455" cy="2058923"/>
                    </a:xfrm>
                    <a:prstGeom prst="rect">
                      <a:avLst/>
                    </a:prstGeom>
                  </pic:spPr>
                </pic:pic>
              </a:graphicData>
            </a:graphic>
          </wp:inline>
        </w:drawing>
      </w:r>
    </w:p>
    <w:p w14:paraId="2715EF5F">
      <w:pPr>
        <w:pStyle w:val="32"/>
        <w:spacing w:line="440" w:lineRule="exact"/>
        <w:ind w:firstLine="476" w:firstLineChars="200"/>
        <w:jc w:val="center"/>
        <w:rPr>
          <w:rFonts w:ascii="Times New Roman" w:hAnsi="Times New Roman"/>
          <w:b/>
          <w:bCs/>
          <w:snapToGrid w:val="0"/>
          <w:color w:val="auto"/>
          <w:w w:val="99"/>
          <w:kern w:val="0"/>
          <w:szCs w:val="24"/>
          <w:highlight w:val="none"/>
        </w:rPr>
      </w:pPr>
      <w:r>
        <w:rPr>
          <w:rFonts w:ascii="Times New Roman" w:hAnsi="Times New Roman"/>
          <w:b/>
          <w:bCs/>
          <w:snapToGrid w:val="0"/>
          <w:color w:val="auto"/>
          <w:w w:val="99"/>
          <w:kern w:val="0"/>
          <w:szCs w:val="24"/>
          <w:highlight w:val="none"/>
        </w:rPr>
        <w:t xml:space="preserve">图 </w:t>
      </w:r>
      <w:r>
        <w:rPr>
          <w:rFonts w:hint="eastAsia" w:ascii="Times New Roman" w:hAnsi="Times New Roman"/>
          <w:b/>
          <w:bCs/>
          <w:snapToGrid w:val="0"/>
          <w:color w:val="auto"/>
          <w:w w:val="99"/>
          <w:kern w:val="0"/>
          <w:szCs w:val="24"/>
          <w:highlight w:val="none"/>
        </w:rPr>
        <w:t>3.9-2</w:t>
      </w:r>
      <w:r>
        <w:rPr>
          <w:rFonts w:ascii="Times New Roman" w:hAnsi="Times New Roman"/>
          <w:b/>
          <w:bCs/>
          <w:snapToGrid w:val="0"/>
          <w:color w:val="auto"/>
          <w:w w:val="99"/>
          <w:kern w:val="0"/>
          <w:szCs w:val="24"/>
          <w:highlight w:val="none"/>
        </w:rPr>
        <w:t xml:space="preserve">  升一联气田污水预处理站工艺流程</w:t>
      </w:r>
    </w:p>
    <w:p w14:paraId="0F8CCCF5">
      <w:pPr>
        <w:spacing w:line="440" w:lineRule="exact"/>
        <w:ind w:firstLine="474" w:firstLineChars="200"/>
        <w:jc w:val="both"/>
        <w:rPr>
          <w:rFonts w:ascii="Times New Roman" w:hAnsi="Times New Roman" w:cs="Times New Roman"/>
          <w:snapToGrid w:val="0"/>
          <w:color w:val="auto"/>
          <w:w w:val="99"/>
          <w:highlight w:val="none"/>
        </w:rPr>
      </w:pPr>
      <w:r>
        <w:rPr>
          <w:rFonts w:ascii="Times New Roman" w:hAnsi="Times New Roman" w:cs="Times New Roman"/>
          <w:snapToGrid w:val="0"/>
          <w:color w:val="auto"/>
          <w:w w:val="99"/>
          <w:highlight w:val="none"/>
        </w:rPr>
        <w:t>升一联气田污水预处理站设计的总规模为1400m</w:t>
      </w:r>
      <w:r>
        <w:rPr>
          <w:rFonts w:ascii="Times New Roman" w:hAnsi="Times New Roman" w:cs="Times New Roman"/>
          <w:snapToGrid w:val="0"/>
          <w:color w:val="auto"/>
          <w:w w:val="99"/>
          <w:highlight w:val="none"/>
          <w:vertAlign w:val="superscript"/>
        </w:rPr>
        <w:t>3</w:t>
      </w:r>
      <w:r>
        <w:rPr>
          <w:rFonts w:ascii="Times New Roman" w:hAnsi="Times New Roman" w:cs="Times New Roman"/>
          <w:snapToGrid w:val="0"/>
          <w:color w:val="auto"/>
          <w:w w:val="99"/>
          <w:highlight w:val="none"/>
        </w:rPr>
        <w:t>/d ，根据企业核实目前处理量 390m</w:t>
      </w:r>
      <w:r>
        <w:rPr>
          <w:rFonts w:ascii="Times New Roman" w:hAnsi="Times New Roman" w:cs="Times New Roman"/>
          <w:snapToGrid w:val="0"/>
          <w:color w:val="auto"/>
          <w:w w:val="99"/>
          <w:highlight w:val="none"/>
          <w:vertAlign w:val="superscript"/>
        </w:rPr>
        <w:t>3</w:t>
      </w:r>
      <w:r>
        <w:rPr>
          <w:rFonts w:ascii="Times New Roman" w:hAnsi="Times New Roman" w:cs="Times New Roman"/>
          <w:snapToGrid w:val="0"/>
          <w:color w:val="auto"/>
          <w:w w:val="99"/>
          <w:highlight w:val="none"/>
        </w:rPr>
        <w:t>/d，剩余处理能力为1010m</w:t>
      </w:r>
      <w:r>
        <w:rPr>
          <w:rFonts w:ascii="Times New Roman" w:hAnsi="Times New Roman" w:cs="Times New Roman"/>
          <w:snapToGrid w:val="0"/>
          <w:color w:val="auto"/>
          <w:w w:val="99"/>
          <w:highlight w:val="none"/>
          <w:vertAlign w:val="superscript"/>
        </w:rPr>
        <w:t>3</w:t>
      </w:r>
      <w:r>
        <w:rPr>
          <w:rFonts w:ascii="Times New Roman" w:hAnsi="Times New Roman" w:cs="Times New Roman"/>
          <w:snapToGrid w:val="0"/>
          <w:color w:val="auto"/>
          <w:w w:val="99"/>
          <w:highlight w:val="none"/>
        </w:rPr>
        <w:t>/d。本项目气田采出水最大产生量为</w:t>
      </w:r>
      <w:r>
        <w:rPr>
          <w:rFonts w:hint="eastAsia" w:ascii="Times New Roman" w:hAnsi="Times New Roman" w:cs="Times New Roman"/>
          <w:snapToGrid w:val="0"/>
          <w:color w:val="auto"/>
          <w:w w:val="99"/>
          <w:highlight w:val="none"/>
        </w:rPr>
        <w:t>3.0</w:t>
      </w:r>
      <w:r>
        <w:rPr>
          <w:rFonts w:ascii="Times New Roman" w:hAnsi="Times New Roman" w:cs="Times New Roman"/>
          <w:snapToGrid w:val="0"/>
          <w:color w:val="auto"/>
          <w:w w:val="99"/>
          <w:highlight w:val="none"/>
        </w:rPr>
        <w:t>m</w:t>
      </w:r>
      <w:r>
        <w:rPr>
          <w:rFonts w:ascii="Times New Roman" w:hAnsi="Times New Roman" w:cs="Times New Roman"/>
          <w:snapToGrid w:val="0"/>
          <w:color w:val="auto"/>
          <w:w w:val="99"/>
          <w:highlight w:val="none"/>
          <w:vertAlign w:val="superscript"/>
        </w:rPr>
        <w:t>3</w:t>
      </w:r>
      <w:r>
        <w:rPr>
          <w:rFonts w:ascii="Times New Roman" w:hAnsi="Times New Roman" w:cs="Times New Roman"/>
          <w:snapToGrid w:val="0"/>
          <w:color w:val="auto"/>
          <w:w w:val="99"/>
          <w:highlight w:val="none"/>
        </w:rPr>
        <w:t>/d，满足本项目依托需求。</w:t>
      </w:r>
    </w:p>
    <w:p w14:paraId="279F8462">
      <w:pPr>
        <w:pStyle w:val="102"/>
        <w:spacing w:line="440" w:lineRule="exact"/>
        <w:ind w:left="0" w:firstLine="476" w:firstLineChars="200"/>
        <w:jc w:val="both"/>
        <w:rPr>
          <w:rFonts w:hint="default" w:ascii="Times New Roman" w:hAnsi="Times New Roman" w:eastAsia="宋体"/>
          <w:b/>
          <w:bCs/>
          <w:snapToGrid w:val="0"/>
          <w:color w:val="auto"/>
          <w:w w:val="99"/>
          <w:kern w:val="0"/>
          <w:sz w:val="24"/>
          <w:szCs w:val="24"/>
          <w:highlight w:val="none"/>
        </w:rPr>
      </w:pPr>
      <w:r>
        <w:rPr>
          <w:rFonts w:ascii="Times New Roman" w:hAnsi="Times New Roman" w:eastAsia="宋体"/>
          <w:b/>
          <w:bCs/>
          <w:snapToGrid w:val="0"/>
          <w:color w:val="auto"/>
          <w:w w:val="99"/>
          <w:kern w:val="0"/>
          <w:sz w:val="24"/>
          <w:szCs w:val="24"/>
          <w:highlight w:val="none"/>
        </w:rPr>
        <w:t>（4）采气分公司危险废物贮存库</w:t>
      </w:r>
    </w:p>
    <w:p w14:paraId="2DA671FA">
      <w:pPr>
        <w:spacing w:line="440" w:lineRule="exact"/>
        <w:ind w:firstLine="474" w:firstLineChars="200"/>
        <w:jc w:val="both"/>
        <w:rPr>
          <w:rFonts w:ascii="Times New Roman" w:hAnsi="Times New Roman" w:cs="Times New Roman"/>
          <w:snapToGrid w:val="0"/>
          <w:color w:val="auto"/>
          <w:w w:val="99"/>
          <w:highlight w:val="none"/>
        </w:rPr>
      </w:pPr>
      <w:r>
        <w:rPr>
          <w:rFonts w:ascii="Times New Roman" w:hAnsi="Times New Roman" w:cs="Times New Roman"/>
          <w:snapToGrid w:val="0"/>
          <w:color w:val="auto"/>
          <w:w w:val="99"/>
          <w:highlight w:val="none"/>
        </w:rPr>
        <w:t>采气分公司在安达市升63调压计量站生活区院内南侧建设了规范化的危废贮存库，对危险化学品及危险废物进行分类储存、统一管理。建筑面积170.19m</w:t>
      </w:r>
      <w:r>
        <w:rPr>
          <w:rFonts w:ascii="Times New Roman" w:hAnsi="Times New Roman" w:cs="Times New Roman"/>
          <w:snapToGrid w:val="0"/>
          <w:color w:val="auto"/>
          <w:w w:val="99"/>
          <w:highlight w:val="none"/>
          <w:vertAlign w:val="superscript"/>
        </w:rPr>
        <w:t>2</w:t>
      </w:r>
      <w:r>
        <w:rPr>
          <w:rFonts w:ascii="Times New Roman" w:hAnsi="Times New Roman" w:cs="Times New Roman"/>
          <w:snapToGrid w:val="0"/>
          <w:color w:val="auto"/>
          <w:w w:val="99"/>
          <w:highlight w:val="none"/>
        </w:rPr>
        <w:t>，单层砌体结构，建筑高度4.55m。功能区包括：化验废液库、腐蚀品库（酸）、毒害品库、腐蚀品库（盐、碱）、废铅蓄电瓶库、不含液体废物的废分离器滤芯库6个功能房间分区。该库整体为钢结构，建设有遮雨棚，按照《石油化工工程防渗技术规范》(GB/T50934-2013)进行了防渗，可以做到防风、防晒、防雨、防漏防渗、防腐。库内进行了分区设置，各分区之前设置0.3m高水泥围堰，可避免不相容的危险废物接触、混合。该库存储的危废均进行密封包装后再存储，不会产生粉尘、VOCs、酸雾、有毒有害大气污染物和刺激性气味气体。该贮存库设置了危险废物识别标志，并建立危险废物管理台账，定期委托有危废处置资质的单位处置，并规范填写危险废物转移联单。</w:t>
      </w:r>
    </w:p>
    <w:p w14:paraId="656F5D82">
      <w:pPr>
        <w:spacing w:line="440" w:lineRule="exact"/>
        <w:ind w:firstLine="474" w:firstLineChars="200"/>
        <w:jc w:val="both"/>
        <w:rPr>
          <w:rFonts w:ascii="Times New Roman" w:hAnsi="Times New Roman" w:cs="Times New Roman"/>
          <w:snapToGrid w:val="0"/>
          <w:color w:val="auto"/>
          <w:w w:val="99"/>
          <w:highlight w:val="none"/>
        </w:rPr>
      </w:pPr>
      <w:r>
        <w:rPr>
          <w:rFonts w:ascii="Times New Roman" w:hAnsi="Times New Roman" w:cs="Times New Roman"/>
          <w:snapToGrid w:val="0"/>
          <w:color w:val="auto"/>
          <w:w w:val="99"/>
          <w:highlight w:val="none"/>
        </w:rPr>
        <w:t>本工程投产后产生的</w:t>
      </w:r>
      <w:r>
        <w:rPr>
          <w:rFonts w:hint="eastAsia" w:ascii="Times New Roman" w:hAnsi="Times New Roman" w:cs="Times New Roman"/>
          <w:snapToGrid w:val="0"/>
          <w:color w:val="auto"/>
          <w:w w:val="99"/>
          <w:highlight w:val="none"/>
        </w:rPr>
        <w:t>井口含油</w:t>
      </w:r>
      <w:r>
        <w:rPr>
          <w:rFonts w:hint="eastAsia" w:ascii="Times New Roman" w:hAnsi="Times New Roman" w:cs="Times New Roman"/>
          <w:snapToGrid w:val="0"/>
          <w:color w:val="auto"/>
          <w:w w:val="99"/>
          <w:highlight w:val="none"/>
          <w:lang w:eastAsia="zh-CN"/>
        </w:rPr>
        <w:t>砂粒</w:t>
      </w:r>
      <w:r>
        <w:rPr>
          <w:rFonts w:hint="eastAsia" w:ascii="Times New Roman" w:hAnsi="Times New Roman" w:cs="Times New Roman"/>
          <w:snapToGrid w:val="0"/>
          <w:color w:val="auto"/>
          <w:w w:val="99"/>
          <w:highlight w:val="none"/>
        </w:rPr>
        <w:t>约0.01t/a，废变压器油0.05t/a，</w:t>
      </w:r>
      <w:r>
        <w:rPr>
          <w:rFonts w:ascii="Times New Roman" w:hAnsi="Times New Roman" w:cs="Times New Roman"/>
          <w:snapToGrid w:val="0"/>
          <w:color w:val="auto"/>
          <w:w w:val="99"/>
          <w:highlight w:val="none"/>
        </w:rPr>
        <w:t>临时存储在危险废物储存库内，采气分公司定期对存储的危险废物进行清运，委托有危废处置资质的单位进行处置，并填写危险废物转移联单，根据上述分析本项目依托可行。</w:t>
      </w:r>
    </w:p>
    <w:p w14:paraId="7C632E52">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511" w:name="_Toc22813"/>
      <w:r>
        <w:rPr>
          <w:rFonts w:hint="eastAsia" w:ascii="Times New Roman" w:hAnsi="Times New Roman" w:eastAsia="宋体"/>
          <w:b/>
          <w:snapToGrid w:val="0"/>
          <w:color w:val="auto"/>
          <w:w w:val="99"/>
          <w:highlight w:val="none"/>
        </w:rPr>
        <w:t>3.10</w:t>
      </w:r>
      <w:r>
        <w:rPr>
          <w:rFonts w:ascii="Times New Roman" w:hAnsi="Times New Roman" w:eastAsia="宋体"/>
          <w:b/>
          <w:snapToGrid w:val="0"/>
          <w:color w:val="auto"/>
          <w:w w:val="99"/>
          <w:highlight w:val="none"/>
        </w:rPr>
        <w:t>建设项目工程分析</w:t>
      </w:r>
      <w:bookmarkEnd w:id="511"/>
    </w:p>
    <w:p w14:paraId="03F507CA">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512" w:name="_Toc61597243"/>
      <w:bookmarkStart w:id="513" w:name="_Toc76976263"/>
      <w:bookmarkStart w:id="514" w:name="_Toc70050201"/>
      <w:bookmarkStart w:id="515" w:name="_Toc78816477"/>
      <w:bookmarkStart w:id="516" w:name="_Toc67860152"/>
      <w:bookmarkStart w:id="517" w:name="_Toc83209494"/>
      <w:bookmarkStart w:id="518" w:name="_Toc77067675"/>
      <w:bookmarkStart w:id="519" w:name="_Toc186444300"/>
      <w:bookmarkStart w:id="520" w:name="_Toc80588272"/>
      <w:bookmarkStart w:id="521" w:name="_Toc80971394"/>
      <w:bookmarkStart w:id="522" w:name="_Toc19619"/>
      <w:r>
        <w:rPr>
          <w:rFonts w:hint="eastAsia" w:eastAsia="宋体"/>
          <w:b/>
          <w:color w:val="auto"/>
          <w:w w:val="99"/>
          <w:kern w:val="2"/>
          <w:sz w:val="24"/>
          <w:szCs w:val="24"/>
          <w:highlight w:val="none"/>
        </w:rPr>
        <w:t>3.10</w:t>
      </w:r>
      <w:r>
        <w:rPr>
          <w:rFonts w:eastAsia="宋体"/>
          <w:b/>
          <w:color w:val="auto"/>
          <w:w w:val="99"/>
          <w:kern w:val="2"/>
          <w:sz w:val="24"/>
          <w:szCs w:val="24"/>
          <w:highlight w:val="none"/>
        </w:rPr>
        <w:t>.1</w:t>
      </w:r>
      <w:bookmarkEnd w:id="512"/>
      <w:r>
        <w:rPr>
          <w:rFonts w:eastAsia="宋体"/>
          <w:b/>
          <w:color w:val="auto"/>
          <w:w w:val="99"/>
          <w:kern w:val="2"/>
          <w:sz w:val="24"/>
          <w:szCs w:val="24"/>
          <w:highlight w:val="none"/>
        </w:rPr>
        <w:t>污染影响因素分析</w:t>
      </w:r>
      <w:bookmarkEnd w:id="513"/>
      <w:bookmarkEnd w:id="514"/>
      <w:bookmarkEnd w:id="515"/>
      <w:bookmarkEnd w:id="516"/>
      <w:bookmarkEnd w:id="517"/>
      <w:bookmarkEnd w:id="518"/>
      <w:bookmarkEnd w:id="519"/>
      <w:bookmarkEnd w:id="520"/>
      <w:bookmarkEnd w:id="521"/>
    </w:p>
    <w:p w14:paraId="6A387791">
      <w:pPr>
        <w:spacing w:line="440" w:lineRule="exact"/>
        <w:outlineLvl w:val="3"/>
        <w:rPr>
          <w:rFonts w:ascii="Times New Roman" w:hAnsi="Times New Roman" w:cs="Times New Roman"/>
          <w:b/>
          <w:color w:val="auto"/>
          <w:w w:val="99"/>
          <w:szCs w:val="20"/>
          <w:highlight w:val="none"/>
        </w:rPr>
      </w:pPr>
      <w:r>
        <w:rPr>
          <w:rFonts w:hint="eastAsia" w:ascii="Times New Roman" w:hAnsi="Times New Roman" w:cs="Times New Roman"/>
          <w:b/>
          <w:color w:val="auto"/>
          <w:w w:val="99"/>
          <w:szCs w:val="20"/>
          <w:highlight w:val="none"/>
        </w:rPr>
        <w:t>3.10</w:t>
      </w:r>
      <w:r>
        <w:rPr>
          <w:rFonts w:ascii="Times New Roman" w:hAnsi="Times New Roman" w:cs="Times New Roman"/>
          <w:b/>
          <w:color w:val="auto"/>
          <w:w w:val="99"/>
          <w:szCs w:val="20"/>
          <w:highlight w:val="none"/>
        </w:rPr>
        <w:t>.1.1施工期</w:t>
      </w:r>
    </w:p>
    <w:p w14:paraId="134FF5CE">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项目施工期主要内容为</w:t>
      </w:r>
      <w:r>
        <w:rPr>
          <w:rFonts w:hint="eastAsia" w:ascii="Times New Roman" w:hAnsi="Times New Roman" w:cs="Times New Roman" w:eastAsiaTheme="minorEastAsia"/>
          <w:color w:val="auto"/>
          <w:w w:val="99"/>
          <w:kern w:val="2"/>
          <w:szCs w:val="20"/>
          <w:highlight w:val="none"/>
        </w:rPr>
        <w:t>地面工程</w:t>
      </w:r>
      <w:r>
        <w:rPr>
          <w:rFonts w:ascii="Times New Roman" w:hAnsi="Times New Roman" w:cs="Times New Roman" w:eastAsiaTheme="minorEastAsia"/>
          <w:color w:val="auto"/>
          <w:w w:val="99"/>
          <w:kern w:val="2"/>
          <w:szCs w:val="20"/>
          <w:highlight w:val="none"/>
        </w:rPr>
        <w:t>。</w:t>
      </w:r>
    </w:p>
    <w:p w14:paraId="7D95AA89">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①井场施工</w:t>
      </w:r>
    </w:p>
    <w:p w14:paraId="71BC4DA4">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本工程新建</w:t>
      </w:r>
      <w:r>
        <w:rPr>
          <w:rFonts w:hint="eastAsia" w:ascii="Times New Roman" w:hAnsi="Times New Roman" w:cs="Times New Roman"/>
          <w:color w:val="auto"/>
          <w:w w:val="99"/>
          <w:kern w:val="2"/>
          <w:szCs w:val="20"/>
          <w:highlight w:val="none"/>
        </w:rPr>
        <w:t>1</w:t>
      </w:r>
      <w:r>
        <w:rPr>
          <w:rFonts w:ascii="Times New Roman" w:hAnsi="Times New Roman" w:cs="Times New Roman"/>
          <w:color w:val="auto"/>
          <w:w w:val="99"/>
          <w:kern w:val="2"/>
          <w:szCs w:val="20"/>
          <w:highlight w:val="none"/>
        </w:rPr>
        <w:t>座采气井场，施工主要包括对新征占地范围内土地进行清理、测量放线，建设设备间等土建部分，然后安装设备等。</w:t>
      </w:r>
    </w:p>
    <w:p w14:paraId="5FFB80CA">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②</w:t>
      </w:r>
      <w:r>
        <w:rPr>
          <w:rFonts w:ascii="Times New Roman" w:hAnsi="Times New Roman" w:cs="Times New Roman"/>
          <w:color w:val="auto"/>
          <w:w w:val="99"/>
          <w:kern w:val="2"/>
          <w:szCs w:val="20"/>
          <w:highlight w:val="none"/>
        </w:rPr>
        <w:t>管道施工</w:t>
      </w:r>
    </w:p>
    <w:p w14:paraId="4E88BB18">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管线施工程序为：测量定线，施工作业带清理，清除障碍物，平整工作带，成品防腐钢管运输，布管、组装焊接，无损探伤，补口及防腐检漏，管沟开挖、下沟，分段清水试压，站间连接，通球扫线，阴极保护，工程验收。</w:t>
      </w:r>
    </w:p>
    <w:p w14:paraId="6E7E6F44">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A.施工作业带清理</w:t>
      </w:r>
    </w:p>
    <w:p w14:paraId="037F84F5">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管道施工采用人工开挖和机械开挖相结合的方式施工，施工初期，首先要对施工作业带进行清理和平整，进行布管、开挖管沟及焊接等施工作业。在场地清理过程中，施工带范围内的土壤、植被和农作物都将受到扰动和破坏，不过其造成的影响仅局限在施工带宽度的范围内。</w:t>
      </w:r>
    </w:p>
    <w:p w14:paraId="4E1C6B38">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B.管沟敷设</w:t>
      </w:r>
    </w:p>
    <w:p w14:paraId="334A105F">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管道采用沟埋方式敷设。开挖后，将运到现场的管道进行焊接、补口、补伤，然后下到管沟内。</w:t>
      </w:r>
    </w:p>
    <w:p w14:paraId="3B62DBDD">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C.防腐及阴极保护</w:t>
      </w:r>
    </w:p>
    <w:p w14:paraId="5A996E79">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提高管道的防腐等级，采用熔结环氧粉末内防腐钢管；管道接头采用一次成型涂料新技术，使用寿命可达30年以上，并采用强制电流阴极保护法。</w:t>
      </w:r>
    </w:p>
    <w:p w14:paraId="4B2FF2D8">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D.试压</w:t>
      </w:r>
    </w:p>
    <w:p w14:paraId="09842EF9">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bCs/>
          <w:color w:val="auto"/>
          <w:w w:val="99"/>
          <w:kern w:val="2"/>
          <w:szCs w:val="20"/>
          <w:highlight w:val="none"/>
        </w:rPr>
        <w:t>用清水进行试压，严密性实验合格后，试压废水由罐车拉运至含油污水处理站处理达标后回注</w:t>
      </w:r>
      <w:r>
        <w:rPr>
          <w:rFonts w:ascii="Times New Roman" w:hAnsi="Times New Roman" w:cs="Times New Roman" w:eastAsiaTheme="minorEastAsia"/>
          <w:color w:val="auto"/>
          <w:w w:val="99"/>
          <w:kern w:val="2"/>
          <w:szCs w:val="20"/>
          <w:highlight w:val="none"/>
        </w:rPr>
        <w:t>。</w:t>
      </w:r>
    </w:p>
    <w:p w14:paraId="2F0ACC84">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E.管沟回填</w:t>
      </w:r>
    </w:p>
    <w:p w14:paraId="4C54B76C">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开挖管沟时在耕植地开挖，将表层耕植土和下层土分别堆放。在可耕植地回填时，需先回填下层土，后回填表层耕植土。管道出土端及弯头两侧分层回填夯实；管沟回填后立即恢复地貌。</w:t>
      </w:r>
    </w:p>
    <w:p w14:paraId="690D9169">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管道施工产污节点图见图</w:t>
      </w:r>
      <w:r>
        <w:rPr>
          <w:rFonts w:hint="eastAsia" w:ascii="Times New Roman" w:hAnsi="Times New Roman" w:cs="Times New Roman"/>
          <w:color w:val="auto"/>
          <w:w w:val="99"/>
          <w:kern w:val="2"/>
          <w:szCs w:val="20"/>
          <w:highlight w:val="none"/>
        </w:rPr>
        <w:t>3.10</w:t>
      </w:r>
      <w:r>
        <w:rPr>
          <w:rFonts w:ascii="Times New Roman" w:hAnsi="Times New Roman" w:cs="Times New Roman"/>
          <w:color w:val="auto"/>
          <w:w w:val="99"/>
          <w:kern w:val="2"/>
          <w:szCs w:val="20"/>
          <w:highlight w:val="none"/>
        </w:rPr>
        <w:t>-</w:t>
      </w:r>
      <w:r>
        <w:rPr>
          <w:rFonts w:hint="eastAsia" w:ascii="Times New Roman" w:hAnsi="Times New Roman" w:cs="Times New Roman"/>
          <w:color w:val="auto"/>
          <w:w w:val="99"/>
          <w:kern w:val="2"/>
          <w:szCs w:val="20"/>
          <w:highlight w:val="none"/>
        </w:rPr>
        <w:t>1</w:t>
      </w:r>
      <w:r>
        <w:rPr>
          <w:rFonts w:ascii="Times New Roman" w:hAnsi="Times New Roman" w:cs="Times New Roman"/>
          <w:color w:val="auto"/>
          <w:w w:val="99"/>
          <w:kern w:val="2"/>
          <w:szCs w:val="20"/>
          <w:highlight w:val="none"/>
        </w:rPr>
        <w:t>。</w:t>
      </w:r>
    </w:p>
    <w:p w14:paraId="4890478E">
      <w:pPr>
        <w:widowControl w:val="0"/>
        <w:ind w:firstLine="480" w:firstLineChars="200"/>
        <w:jc w:val="center"/>
        <w:rPr>
          <w:rFonts w:hint="eastAsia"/>
          <w:color w:val="auto"/>
          <w:w w:val="99"/>
          <w:kern w:val="2"/>
          <w:szCs w:val="20"/>
          <w:highlight w:val="none"/>
        </w:rPr>
      </w:pPr>
      <w:r>
        <w:rPr>
          <w:color w:val="auto"/>
          <w:highlight w:val="none"/>
        </w:rPr>
        <w:drawing>
          <wp:inline distT="0" distB="0" distL="114300" distR="114300">
            <wp:extent cx="2876550" cy="3571875"/>
            <wp:effectExtent l="0" t="0" r="0" b="9525"/>
            <wp:docPr id="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
                    <pic:cNvPicPr>
                      <a:picLocks noChangeAspect="1"/>
                    </pic:cNvPicPr>
                  </pic:nvPicPr>
                  <pic:blipFill>
                    <a:blip r:embed="rId44"/>
                    <a:stretch>
                      <a:fillRect/>
                    </a:stretch>
                  </pic:blipFill>
                  <pic:spPr>
                    <a:xfrm>
                      <a:off x="0" y="0"/>
                      <a:ext cx="2876550" cy="3571875"/>
                    </a:xfrm>
                    <a:prstGeom prst="rect">
                      <a:avLst/>
                    </a:prstGeom>
                    <a:noFill/>
                    <a:ln>
                      <a:noFill/>
                    </a:ln>
                  </pic:spPr>
                </pic:pic>
              </a:graphicData>
            </a:graphic>
          </wp:inline>
        </w:drawing>
      </w:r>
    </w:p>
    <w:p w14:paraId="6215E754">
      <w:pPr>
        <w:widowControl w:val="0"/>
        <w:spacing w:line="440" w:lineRule="exact"/>
        <w:ind w:firstLine="476" w:firstLineChars="200"/>
        <w:jc w:val="center"/>
        <w:rPr>
          <w:rFonts w:ascii="Times New Roman" w:hAnsi="Times New Roman" w:cs="Times New Roman"/>
          <w:b/>
          <w:bCs/>
          <w:color w:val="auto"/>
          <w:w w:val="99"/>
          <w:kern w:val="2"/>
          <w:szCs w:val="20"/>
          <w:highlight w:val="none"/>
        </w:rPr>
      </w:pPr>
      <w:r>
        <w:rPr>
          <w:rFonts w:ascii="Times New Roman" w:hAnsi="Times New Roman" w:cs="Times New Roman"/>
          <w:b/>
          <w:bCs/>
          <w:color w:val="auto"/>
          <w:w w:val="99"/>
          <w:kern w:val="2"/>
          <w:szCs w:val="20"/>
          <w:highlight w:val="none"/>
        </w:rPr>
        <w:t>图</w:t>
      </w:r>
      <w:r>
        <w:rPr>
          <w:rFonts w:hint="eastAsia" w:ascii="Times New Roman" w:hAnsi="Times New Roman" w:cs="Times New Roman"/>
          <w:b/>
          <w:bCs/>
          <w:color w:val="auto"/>
          <w:w w:val="99"/>
          <w:kern w:val="2"/>
          <w:szCs w:val="20"/>
          <w:highlight w:val="none"/>
        </w:rPr>
        <w:t>3.10</w:t>
      </w:r>
      <w:r>
        <w:rPr>
          <w:rFonts w:ascii="Times New Roman" w:hAnsi="Times New Roman" w:cs="Times New Roman"/>
          <w:b/>
          <w:bCs/>
          <w:color w:val="auto"/>
          <w:w w:val="99"/>
          <w:kern w:val="2"/>
          <w:szCs w:val="20"/>
          <w:highlight w:val="none"/>
        </w:rPr>
        <w:t>-</w:t>
      </w:r>
      <w:r>
        <w:rPr>
          <w:rFonts w:hint="eastAsia" w:ascii="Times New Roman" w:hAnsi="Times New Roman" w:cs="Times New Roman"/>
          <w:b/>
          <w:bCs/>
          <w:color w:val="auto"/>
          <w:w w:val="99"/>
          <w:kern w:val="2"/>
          <w:szCs w:val="20"/>
          <w:highlight w:val="none"/>
        </w:rPr>
        <w:t>1</w:t>
      </w:r>
      <w:r>
        <w:rPr>
          <w:rFonts w:ascii="Times New Roman" w:hAnsi="Times New Roman" w:cs="Times New Roman"/>
          <w:b/>
          <w:bCs/>
          <w:color w:val="auto"/>
          <w:w w:val="99"/>
          <w:kern w:val="2"/>
          <w:szCs w:val="20"/>
          <w:highlight w:val="none"/>
        </w:rPr>
        <w:t xml:space="preserve">  管道施工产污节点图</w:t>
      </w:r>
    </w:p>
    <w:p w14:paraId="7D586C0F">
      <w:pPr>
        <w:widowControl w:val="0"/>
        <w:spacing w:line="440" w:lineRule="exact"/>
        <w:ind w:firstLine="474" w:firstLineChars="200"/>
        <w:jc w:val="both"/>
        <w:rPr>
          <w:rFonts w:hint="eastAsia"/>
          <w:color w:val="auto"/>
          <w:w w:val="99"/>
          <w:kern w:val="2"/>
          <w:szCs w:val="20"/>
          <w:highlight w:val="none"/>
        </w:rPr>
      </w:pPr>
      <w:r>
        <w:rPr>
          <w:rFonts w:hint="eastAsia"/>
          <w:color w:val="auto"/>
          <w:w w:val="99"/>
          <w:kern w:val="2"/>
          <w:szCs w:val="20"/>
          <w:highlight w:val="none"/>
        </w:rPr>
        <w:t>①施工作业带清理</w:t>
      </w:r>
    </w:p>
    <w:p w14:paraId="443686E4">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管沟开挖以机械开挖为主，施工初期，首先要对施工作业带进行清理和平整，进行布管、开挖管沟及焊接等施工作业。在场地清理过程中，施工带范围内的土壤、植被和农作物都将受到扰动和破坏，不过其造成的影响仅局限在施工带宽度的范围内，管道施工平面布置图见图</w:t>
      </w:r>
      <w:r>
        <w:rPr>
          <w:rFonts w:hint="eastAsia" w:ascii="Times New Roman" w:hAnsi="Times New Roman" w:cs="Times New Roman"/>
          <w:color w:val="auto"/>
          <w:w w:val="99"/>
          <w:kern w:val="2"/>
          <w:szCs w:val="20"/>
          <w:highlight w:val="none"/>
        </w:rPr>
        <w:t>3.1</w:t>
      </w:r>
      <w:r>
        <w:rPr>
          <w:rFonts w:hint="eastAsia" w:ascii="Times New Roman" w:hAnsi="Times New Roman" w:cs="Times New Roman"/>
          <w:color w:val="auto"/>
          <w:w w:val="99"/>
          <w:kern w:val="2"/>
          <w:szCs w:val="20"/>
          <w:highlight w:val="none"/>
          <w:lang w:val="en-US" w:eastAsia="zh-CN"/>
        </w:rPr>
        <w:t>0</w:t>
      </w:r>
      <w:r>
        <w:rPr>
          <w:rFonts w:ascii="Times New Roman" w:hAnsi="Times New Roman" w:cs="Times New Roman"/>
          <w:color w:val="auto"/>
          <w:w w:val="99"/>
          <w:kern w:val="2"/>
          <w:szCs w:val="20"/>
          <w:highlight w:val="none"/>
        </w:rPr>
        <w:t>-</w:t>
      </w:r>
      <w:r>
        <w:rPr>
          <w:rFonts w:hint="eastAsia" w:ascii="Times New Roman" w:hAnsi="Times New Roman" w:cs="Times New Roman"/>
          <w:color w:val="auto"/>
          <w:w w:val="99"/>
          <w:kern w:val="2"/>
          <w:szCs w:val="20"/>
          <w:highlight w:val="none"/>
        </w:rPr>
        <w:t>2</w:t>
      </w:r>
      <w:r>
        <w:rPr>
          <w:rFonts w:ascii="Times New Roman" w:hAnsi="Times New Roman" w:cs="Times New Roman"/>
          <w:color w:val="auto"/>
          <w:w w:val="99"/>
          <w:kern w:val="2"/>
          <w:szCs w:val="20"/>
          <w:highlight w:val="none"/>
        </w:rPr>
        <w:t>。施工作业面宽10m，其中施工便道宽4m，管沟带宽2m，置土带4m。</w:t>
      </w:r>
    </w:p>
    <w:p w14:paraId="7AE1B403">
      <w:pPr>
        <w:widowControl w:val="0"/>
        <w:ind w:firstLine="474" w:firstLineChars="200"/>
        <w:jc w:val="center"/>
        <w:rPr>
          <w:rFonts w:hint="eastAsia"/>
          <w:color w:val="auto"/>
          <w:w w:val="99"/>
          <w:kern w:val="2"/>
          <w:szCs w:val="20"/>
          <w:highlight w:val="none"/>
        </w:rPr>
      </w:pPr>
      <w:r>
        <w:rPr>
          <w:rFonts w:hint="eastAsia"/>
          <w:color w:val="auto"/>
          <w:w w:val="99"/>
          <w:kern w:val="2"/>
          <w:szCs w:val="20"/>
          <w:highlight w:val="none"/>
        </w:rPr>
        <w:drawing>
          <wp:inline distT="0" distB="0" distL="114300" distR="114300">
            <wp:extent cx="4261485" cy="1266190"/>
            <wp:effectExtent l="0" t="0" r="5715" b="10160"/>
            <wp:docPr id="1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8"/>
                    <pic:cNvPicPr>
                      <a:picLocks noChangeAspect="1"/>
                    </pic:cNvPicPr>
                  </pic:nvPicPr>
                  <pic:blipFill>
                    <a:blip r:embed="rId45"/>
                    <a:stretch>
                      <a:fillRect/>
                    </a:stretch>
                  </pic:blipFill>
                  <pic:spPr>
                    <a:xfrm>
                      <a:off x="0" y="0"/>
                      <a:ext cx="4261485" cy="1266190"/>
                    </a:xfrm>
                    <a:prstGeom prst="rect">
                      <a:avLst/>
                    </a:prstGeom>
                    <a:noFill/>
                    <a:ln>
                      <a:noFill/>
                    </a:ln>
                  </pic:spPr>
                </pic:pic>
              </a:graphicData>
            </a:graphic>
          </wp:inline>
        </w:drawing>
      </w:r>
    </w:p>
    <w:p w14:paraId="3FC3D977">
      <w:pPr>
        <w:widowControl w:val="0"/>
        <w:spacing w:line="440" w:lineRule="exact"/>
        <w:ind w:firstLine="476" w:firstLineChars="200"/>
        <w:jc w:val="center"/>
        <w:rPr>
          <w:rFonts w:ascii="Times New Roman" w:hAnsi="Times New Roman" w:cs="Times New Roman"/>
          <w:b/>
          <w:bCs/>
          <w:color w:val="auto"/>
          <w:w w:val="99"/>
          <w:kern w:val="2"/>
          <w:szCs w:val="20"/>
          <w:highlight w:val="none"/>
        </w:rPr>
      </w:pPr>
      <w:r>
        <w:rPr>
          <w:rFonts w:ascii="Times New Roman" w:hAnsi="Times New Roman" w:cs="Times New Roman"/>
          <w:b/>
          <w:bCs/>
          <w:color w:val="auto"/>
          <w:w w:val="99"/>
          <w:kern w:val="2"/>
          <w:szCs w:val="20"/>
          <w:highlight w:val="none"/>
        </w:rPr>
        <w:t>图</w:t>
      </w:r>
      <w:r>
        <w:rPr>
          <w:rFonts w:hint="eastAsia" w:ascii="Times New Roman" w:hAnsi="Times New Roman" w:cs="Times New Roman"/>
          <w:b/>
          <w:bCs/>
          <w:color w:val="auto"/>
          <w:w w:val="99"/>
          <w:kern w:val="2"/>
          <w:szCs w:val="20"/>
          <w:highlight w:val="none"/>
        </w:rPr>
        <w:t>3.10</w:t>
      </w:r>
      <w:r>
        <w:rPr>
          <w:rFonts w:ascii="Times New Roman" w:hAnsi="Times New Roman" w:cs="Times New Roman"/>
          <w:b/>
          <w:bCs/>
          <w:color w:val="auto"/>
          <w:w w:val="99"/>
          <w:kern w:val="2"/>
          <w:szCs w:val="20"/>
          <w:highlight w:val="none"/>
        </w:rPr>
        <w:t>-</w:t>
      </w:r>
      <w:r>
        <w:rPr>
          <w:rFonts w:hint="eastAsia" w:ascii="Times New Roman" w:hAnsi="Times New Roman" w:cs="Times New Roman"/>
          <w:b/>
          <w:bCs/>
          <w:color w:val="auto"/>
          <w:w w:val="99"/>
          <w:kern w:val="2"/>
          <w:szCs w:val="20"/>
          <w:highlight w:val="none"/>
        </w:rPr>
        <w:t>2</w:t>
      </w:r>
      <w:r>
        <w:rPr>
          <w:rFonts w:ascii="Times New Roman" w:hAnsi="Times New Roman" w:cs="Times New Roman"/>
          <w:b/>
          <w:bCs/>
          <w:color w:val="auto"/>
          <w:w w:val="99"/>
          <w:kern w:val="2"/>
          <w:szCs w:val="20"/>
          <w:highlight w:val="none"/>
        </w:rPr>
        <w:t xml:space="preserve">  管道施工平面布置图</w:t>
      </w:r>
    </w:p>
    <w:p w14:paraId="577A862B">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②管沟开挖、穿越工程</w:t>
      </w:r>
    </w:p>
    <w:p w14:paraId="1279F498">
      <w:pPr>
        <w:widowControl w:val="0"/>
        <w:spacing w:line="440" w:lineRule="exact"/>
        <w:ind w:firstLine="474" w:firstLineChars="200"/>
        <w:jc w:val="both"/>
        <w:rPr>
          <w:rFonts w:hint="eastAsia"/>
          <w:color w:val="auto"/>
          <w:w w:val="99"/>
          <w:kern w:val="2"/>
          <w:szCs w:val="20"/>
          <w:highlight w:val="none"/>
        </w:rPr>
      </w:pPr>
      <w:r>
        <w:rPr>
          <w:rFonts w:ascii="Times New Roman" w:hAnsi="Times New Roman" w:cs="Times New Roman"/>
          <w:color w:val="auto"/>
          <w:w w:val="99"/>
          <w:kern w:val="2"/>
          <w:szCs w:val="20"/>
          <w:highlight w:val="none"/>
        </w:rPr>
        <w:t>管道采用沟埋方式敷设，一般</w:t>
      </w:r>
      <w:r>
        <w:rPr>
          <w:rFonts w:hint="eastAsia"/>
          <w:color w:val="auto"/>
          <w:w w:val="99"/>
          <w:kern w:val="2"/>
          <w:szCs w:val="20"/>
          <w:highlight w:val="none"/>
        </w:rPr>
        <w:t>路段施工采用开挖方式施工，特殊地段根据实际情况，施工采用钢顶的施工方式。</w:t>
      </w:r>
    </w:p>
    <w:p w14:paraId="6BA91DF1">
      <w:pPr>
        <w:widowControl w:val="0"/>
        <w:spacing w:line="440" w:lineRule="exact"/>
        <w:ind w:firstLine="474" w:firstLineChars="200"/>
        <w:jc w:val="both"/>
        <w:rPr>
          <w:rFonts w:hint="eastAsia"/>
          <w:color w:val="auto"/>
          <w:w w:val="99"/>
          <w:kern w:val="2"/>
          <w:szCs w:val="20"/>
          <w:highlight w:val="none"/>
        </w:rPr>
      </w:pPr>
      <w:r>
        <w:rPr>
          <w:rFonts w:hint="eastAsia"/>
          <w:color w:val="auto"/>
          <w:w w:val="99"/>
          <w:kern w:val="2"/>
          <w:szCs w:val="20"/>
          <w:highlight w:val="none"/>
        </w:rPr>
        <w:t>③焊接、防腐及阴极保护</w:t>
      </w:r>
    </w:p>
    <w:p w14:paraId="51EEA5A1">
      <w:pPr>
        <w:widowControl w:val="0"/>
        <w:spacing w:line="440" w:lineRule="exact"/>
        <w:ind w:firstLine="474" w:firstLineChars="200"/>
        <w:jc w:val="both"/>
        <w:rPr>
          <w:rFonts w:hint="eastAsia"/>
          <w:color w:val="auto"/>
          <w:w w:val="99"/>
          <w:kern w:val="2"/>
          <w:szCs w:val="20"/>
          <w:highlight w:val="none"/>
        </w:rPr>
      </w:pPr>
      <w:r>
        <w:rPr>
          <w:rFonts w:hint="eastAsia"/>
          <w:color w:val="auto"/>
          <w:w w:val="99"/>
          <w:kern w:val="2"/>
          <w:szCs w:val="20"/>
          <w:highlight w:val="none"/>
        </w:rPr>
        <w:t>将运到现场的管道进行焊接、补口、补伤、防腐检漏，然后下到管沟内。 提高管道的防腐等级，采用熔结环氧粉末内防腐钢管；管道接头采用一次成型涂料新技术，使用寿命可</w:t>
      </w:r>
      <w:r>
        <w:rPr>
          <w:rFonts w:hint="eastAsia" w:ascii="Times New Roman" w:hAnsi="Times New Roman" w:cs="Times New Roman"/>
          <w:color w:val="auto"/>
          <w:w w:val="99"/>
          <w:kern w:val="2"/>
          <w:szCs w:val="20"/>
          <w:highlight w:val="none"/>
        </w:rPr>
        <w:t>达30</w:t>
      </w:r>
      <w:r>
        <w:rPr>
          <w:rFonts w:hint="eastAsia"/>
          <w:color w:val="auto"/>
          <w:w w:val="99"/>
          <w:kern w:val="2"/>
          <w:szCs w:val="20"/>
          <w:highlight w:val="none"/>
        </w:rPr>
        <w:t>年以上，并采用强制电流阴极保护法。</w:t>
      </w:r>
    </w:p>
    <w:p w14:paraId="4B54EDBA">
      <w:pPr>
        <w:widowControl w:val="0"/>
        <w:spacing w:line="440" w:lineRule="exact"/>
        <w:ind w:firstLine="474" w:firstLineChars="200"/>
        <w:jc w:val="both"/>
        <w:rPr>
          <w:rFonts w:hint="eastAsia"/>
          <w:color w:val="auto"/>
          <w:w w:val="99"/>
          <w:kern w:val="2"/>
          <w:szCs w:val="20"/>
          <w:highlight w:val="none"/>
        </w:rPr>
      </w:pPr>
      <w:r>
        <w:rPr>
          <w:rFonts w:hint="eastAsia"/>
          <w:color w:val="auto"/>
          <w:w w:val="99"/>
          <w:kern w:val="2"/>
          <w:szCs w:val="20"/>
          <w:highlight w:val="none"/>
        </w:rPr>
        <w:t>④清管试压、干燥</w:t>
      </w:r>
    </w:p>
    <w:p w14:paraId="1430C30D">
      <w:pPr>
        <w:widowControl w:val="0"/>
        <w:spacing w:line="440" w:lineRule="exact"/>
        <w:ind w:firstLine="474" w:firstLineChars="200"/>
        <w:jc w:val="both"/>
        <w:rPr>
          <w:rFonts w:hint="eastAsia"/>
          <w:color w:val="auto"/>
          <w:w w:val="99"/>
          <w:kern w:val="2"/>
          <w:szCs w:val="20"/>
          <w:highlight w:val="none"/>
        </w:rPr>
      </w:pPr>
      <w:r>
        <w:rPr>
          <w:rFonts w:hint="eastAsia"/>
          <w:color w:val="auto"/>
          <w:w w:val="99"/>
          <w:kern w:val="2"/>
          <w:szCs w:val="20"/>
          <w:highlight w:val="none"/>
        </w:rPr>
        <w:t>管道在下沟回填后应试压。采用清水进行试压，管道试压时，由水罐车在管道一端注水，管道另一端接入另一台水罐车，同时管道与罐车接口处设有截断阀，注水时关闭截断阀，试压结束后，注水端水罐车停止注水，打开截断阀，起点处水罐车配套基本压力推送，将管道内残余水量推送至终点水罐车，并由罐车拉运至升一联气田预处理站处理。</w:t>
      </w:r>
    </w:p>
    <w:p w14:paraId="2DB79254">
      <w:pPr>
        <w:widowControl w:val="0"/>
        <w:spacing w:line="440" w:lineRule="exact"/>
        <w:ind w:firstLine="474" w:firstLineChars="200"/>
        <w:jc w:val="both"/>
        <w:rPr>
          <w:rFonts w:hint="eastAsia"/>
          <w:color w:val="auto"/>
          <w:w w:val="99"/>
          <w:kern w:val="2"/>
          <w:szCs w:val="20"/>
          <w:highlight w:val="none"/>
        </w:rPr>
      </w:pPr>
      <w:r>
        <w:rPr>
          <w:rFonts w:hint="eastAsia"/>
          <w:color w:val="auto"/>
          <w:w w:val="99"/>
          <w:kern w:val="2"/>
          <w:szCs w:val="20"/>
          <w:highlight w:val="none"/>
        </w:rPr>
        <w:t>⑤管沟回填</w:t>
      </w:r>
    </w:p>
    <w:p w14:paraId="76757ABA">
      <w:pPr>
        <w:widowControl w:val="0"/>
        <w:spacing w:line="440" w:lineRule="exact"/>
        <w:ind w:firstLine="474" w:firstLineChars="200"/>
        <w:jc w:val="both"/>
        <w:rPr>
          <w:rFonts w:hint="eastAsia"/>
          <w:color w:val="auto"/>
          <w:w w:val="99"/>
          <w:kern w:val="2"/>
          <w:szCs w:val="20"/>
          <w:highlight w:val="none"/>
        </w:rPr>
      </w:pPr>
      <w:r>
        <w:rPr>
          <w:rFonts w:hint="eastAsia"/>
          <w:color w:val="auto"/>
          <w:w w:val="99"/>
          <w:kern w:val="2"/>
          <w:szCs w:val="20"/>
          <w:highlight w:val="none"/>
        </w:rPr>
        <w:t>开挖管沟时在耕植地开挖，将表层耕植土和下层土分别堆放。在可耕植地回填时，需先回填下层土，后回填表层耕植土。管道出土端及弯头两侧分层回填夯实；管沟回填后立即恢复地貌。</w:t>
      </w:r>
    </w:p>
    <w:p w14:paraId="13F22616">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本项目管线施工过程主要污染源为施工时管沟开挖、土方堆填、车辆运输、恢复原有地貌等过程中产生的施工扬尘，管道焊接过程产生的焊接烟尘、管道防腐废气，以及施工机械设备和运输车辆尾气；管线试压废水以及施工人员生活污水；施工机械设备和运输车辆运行产生的噪声；管线施工废料（废焊渣、废防腐材料等）、定向钻废弃泥浆和生活垃圾等。</w:t>
      </w:r>
    </w:p>
    <w:p w14:paraId="4BABDEDA">
      <w:pPr>
        <w:widowControl w:val="0"/>
        <w:spacing w:line="440" w:lineRule="exact"/>
        <w:ind w:firstLine="474" w:firstLineChars="200"/>
        <w:jc w:val="both"/>
        <w:rPr>
          <w:rFonts w:ascii="Times New Roman" w:hAnsi="Times New Roman" w:cs="Times New Roman"/>
          <w:color w:val="auto"/>
          <w:w w:val="99"/>
          <w:kern w:val="2"/>
          <w:szCs w:val="20"/>
          <w:highlight w:val="none"/>
          <w:lang w:val="zh-CN"/>
        </w:rPr>
      </w:pPr>
      <w:r>
        <w:rPr>
          <w:rFonts w:ascii="Times New Roman" w:hAnsi="Times New Roman" w:cs="Times New Roman"/>
          <w:color w:val="auto"/>
          <w:w w:val="99"/>
          <w:kern w:val="2"/>
          <w:szCs w:val="20"/>
          <w:highlight w:val="none"/>
          <w:lang w:val="zh-CN"/>
        </w:rPr>
        <w:t>工艺管线施工技术要求及验收均按国家标准《工业金属管道工程施工及验收标准》(GB50235-2010)、《现场设备、工业管道焊接工程施工及验收规范》 (GB50236-9</w:t>
      </w:r>
      <w:r>
        <w:rPr>
          <w:rFonts w:hint="eastAsia" w:ascii="Times New Roman" w:hAnsi="Times New Roman" w:cs="Times New Roman"/>
          <w:color w:val="auto"/>
          <w:w w:val="99"/>
          <w:kern w:val="2"/>
          <w:szCs w:val="20"/>
          <w:highlight w:val="none"/>
        </w:rPr>
        <w:t>2011</w:t>
      </w:r>
      <w:r>
        <w:rPr>
          <w:rFonts w:ascii="Times New Roman" w:hAnsi="Times New Roman" w:cs="Times New Roman"/>
          <w:color w:val="auto"/>
          <w:w w:val="99"/>
          <w:kern w:val="2"/>
          <w:szCs w:val="20"/>
          <w:highlight w:val="none"/>
          <w:lang w:val="zh-CN"/>
        </w:rPr>
        <w:t>)、《油田集输管道施工及验收规范》 (SY/T0422-2010)以及有关国家及行业标准执行。</w:t>
      </w:r>
    </w:p>
    <w:p w14:paraId="1B912844">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（3）道路施工</w:t>
      </w:r>
    </w:p>
    <w:p w14:paraId="2AC26EBA">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施工范围内的表层土、杂草、树根等用人工或推土机予以清除并且将道路进行平整，敷设外购垫土或砂石并压实，敷设沥青碎石，摊铺碾压成型。</w:t>
      </w:r>
    </w:p>
    <w:p w14:paraId="001EADFD">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（4）站场施工</w:t>
      </w:r>
    </w:p>
    <w:p w14:paraId="34058346">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本项目场站改造主要为设备安装。</w:t>
      </w:r>
    </w:p>
    <w:p w14:paraId="5289EF65">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（5）表土剥离方案</w:t>
      </w:r>
    </w:p>
    <w:p w14:paraId="10B1CB30">
      <w:pPr>
        <w:widowControl w:val="0"/>
        <w:spacing w:line="440" w:lineRule="exact"/>
        <w:ind w:firstLine="474" w:firstLineChars="200"/>
        <w:jc w:val="both"/>
        <w:rPr>
          <w:rFonts w:hint="eastAsia"/>
          <w:color w:val="auto"/>
          <w:w w:val="99"/>
          <w:kern w:val="2"/>
          <w:szCs w:val="20"/>
          <w:highlight w:val="none"/>
        </w:rPr>
      </w:pPr>
      <w:r>
        <w:rPr>
          <w:rFonts w:ascii="Times New Roman" w:hAnsi="Times New Roman" w:cs="Times New Roman"/>
          <w:color w:val="auto"/>
          <w:w w:val="99"/>
          <w:kern w:val="2"/>
          <w:szCs w:val="20"/>
          <w:highlight w:val="none"/>
        </w:rPr>
        <w:t>施工前对施工扰动区进行表土（耕作层）剥离，剥离厚度0.3m，采用分层开挖，分层堆放，剥离的表土推放在井场占地范围内的存储区，堆土表面设纱网或草栅覆盖，防</w:t>
      </w:r>
      <w:r>
        <w:rPr>
          <w:color w:val="auto"/>
          <w:w w:val="99"/>
          <w:kern w:val="2"/>
          <w:szCs w:val="20"/>
          <w:highlight w:val="none"/>
        </w:rPr>
        <w:t>止出现水土流失，并定期采取洒水抑尘措施，待本工程施工结束后用于其它劣质地改良。管道施工前，对施工扰动区进行表土（耕作层）剥离，</w:t>
      </w:r>
      <w:r>
        <w:rPr>
          <w:rFonts w:ascii="Times New Roman" w:hAnsi="Times New Roman" w:cs="Times New Roman"/>
          <w:color w:val="auto"/>
          <w:w w:val="99"/>
          <w:kern w:val="2"/>
          <w:szCs w:val="20"/>
          <w:highlight w:val="none"/>
        </w:rPr>
        <w:t>剥离厚度0.3m，采用分层开挖，分层堆放，道路管线施工剥离的表土推放在管道、道路占地范围内的存储</w:t>
      </w:r>
      <w:r>
        <w:rPr>
          <w:color w:val="auto"/>
          <w:w w:val="99"/>
          <w:kern w:val="2"/>
          <w:szCs w:val="20"/>
          <w:highlight w:val="none"/>
        </w:rPr>
        <w:t>区，井场施工剥离的表土</w:t>
      </w:r>
      <w:r>
        <w:rPr>
          <w:rFonts w:hint="eastAsia"/>
          <w:color w:val="auto"/>
          <w:w w:val="99"/>
          <w:kern w:val="2"/>
          <w:szCs w:val="20"/>
          <w:highlight w:val="none"/>
        </w:rPr>
        <w:t>堆</w:t>
      </w:r>
      <w:r>
        <w:rPr>
          <w:color w:val="auto"/>
          <w:w w:val="99"/>
          <w:kern w:val="2"/>
          <w:szCs w:val="20"/>
          <w:highlight w:val="none"/>
        </w:rPr>
        <w:t>放在钻井井场占地范围内的表土堆场，存储区堆土表面设纱网或草栅覆盖，防止出现水土流失，并定期采取洒水抑尘措施，待本工程施工结束后运回原位分层回填，并及时恢复地表植被</w:t>
      </w:r>
      <w:r>
        <w:rPr>
          <w:rFonts w:hint="eastAsia"/>
          <w:color w:val="auto"/>
          <w:w w:val="99"/>
          <w:kern w:val="2"/>
          <w:szCs w:val="20"/>
          <w:highlight w:val="none"/>
        </w:rPr>
        <w:t>。</w:t>
      </w:r>
    </w:p>
    <w:p w14:paraId="0FCCAD95">
      <w:pPr>
        <w:spacing w:line="440" w:lineRule="exact"/>
        <w:outlineLvl w:val="3"/>
        <w:rPr>
          <w:rFonts w:ascii="Times New Roman" w:hAnsi="Times New Roman" w:cs="Times New Roman"/>
          <w:b/>
          <w:color w:val="auto"/>
          <w:w w:val="99"/>
          <w:highlight w:val="none"/>
        </w:rPr>
      </w:pPr>
      <w:r>
        <w:rPr>
          <w:rFonts w:hint="eastAsia" w:ascii="Times New Roman" w:hAnsi="Times New Roman" w:cs="Times New Roman"/>
          <w:b/>
          <w:color w:val="auto"/>
          <w:w w:val="99"/>
          <w:highlight w:val="none"/>
        </w:rPr>
        <w:t>3.1</w:t>
      </w:r>
      <w:r>
        <w:rPr>
          <w:rFonts w:hint="eastAsia" w:ascii="Times New Roman" w:hAnsi="Times New Roman" w:cs="Times New Roman"/>
          <w:b/>
          <w:color w:val="auto"/>
          <w:w w:val="99"/>
          <w:highlight w:val="none"/>
          <w:lang w:val="en-US" w:eastAsia="zh-CN"/>
        </w:rPr>
        <w:t>0</w:t>
      </w:r>
      <w:r>
        <w:rPr>
          <w:rFonts w:ascii="Times New Roman" w:hAnsi="Times New Roman" w:cs="Times New Roman"/>
          <w:b/>
          <w:color w:val="auto"/>
          <w:w w:val="99"/>
          <w:highlight w:val="none"/>
        </w:rPr>
        <w:t>.1.2运营期</w:t>
      </w:r>
    </w:p>
    <w:p w14:paraId="3A2BE8FF">
      <w:pPr>
        <w:snapToGrid w:val="0"/>
        <w:spacing w:line="440" w:lineRule="exact"/>
        <w:ind w:firstLine="474" w:firstLineChars="200"/>
        <w:jc w:val="both"/>
        <w:rPr>
          <w:rFonts w:ascii="Times New Roman" w:hAnsi="Times New Roman" w:cs="Times New Roman"/>
          <w:bCs/>
          <w:color w:val="auto"/>
          <w:w w:val="99"/>
          <w:kern w:val="2"/>
          <w:highlight w:val="none"/>
        </w:rPr>
      </w:pPr>
      <w:r>
        <w:rPr>
          <w:rFonts w:hint="eastAsia" w:ascii="Times New Roman" w:hAnsi="Times New Roman" w:cs="Times New Roman"/>
          <w:bCs/>
          <w:color w:val="auto"/>
          <w:w w:val="99"/>
          <w:kern w:val="2"/>
          <w:highlight w:val="none"/>
        </w:rPr>
        <w:t>（1）正常工况</w:t>
      </w:r>
    </w:p>
    <w:p w14:paraId="41965D7F">
      <w:pPr>
        <w:snapToGrid w:val="0"/>
        <w:spacing w:line="440" w:lineRule="exact"/>
        <w:ind w:firstLine="474" w:firstLineChars="200"/>
        <w:jc w:val="both"/>
        <w:rPr>
          <w:rFonts w:ascii="Times New Roman" w:hAnsi="Times New Roman" w:cs="Times New Roman"/>
          <w:bCs/>
          <w:color w:val="auto"/>
          <w:w w:val="99"/>
          <w:kern w:val="2"/>
          <w:highlight w:val="none"/>
        </w:rPr>
      </w:pPr>
      <w:r>
        <w:rPr>
          <w:rFonts w:hint="eastAsia" w:ascii="Times New Roman" w:hAnsi="Times New Roman" w:cs="Times New Roman"/>
          <w:bCs/>
          <w:color w:val="auto"/>
          <w:w w:val="99"/>
          <w:kern w:val="2"/>
          <w:highlight w:val="none"/>
        </w:rPr>
        <w:t>①产能建设工程</w:t>
      </w:r>
    </w:p>
    <w:p w14:paraId="408DA954">
      <w:pPr>
        <w:snapToGrid w:val="0"/>
        <w:spacing w:line="440" w:lineRule="exact"/>
        <w:ind w:firstLine="474" w:firstLineChars="200"/>
        <w:jc w:val="both"/>
        <w:rPr>
          <w:rFonts w:ascii="Times New Roman" w:hAnsi="Times New Roman" w:cs="Times New Roman"/>
          <w:bCs/>
          <w:color w:val="auto"/>
          <w:w w:val="99"/>
          <w:kern w:val="2"/>
          <w:highlight w:val="none"/>
        </w:rPr>
      </w:pPr>
      <w:r>
        <w:rPr>
          <w:rFonts w:hint="eastAsia" w:ascii="Times New Roman" w:hAnsi="Times New Roman" w:cs="Times New Roman"/>
          <w:bCs/>
          <w:color w:val="auto"/>
          <w:w w:val="99"/>
          <w:kern w:val="2"/>
          <w:highlight w:val="none"/>
        </w:rPr>
        <w:t>本项目采气系统采用简易井口，高压集气工艺，井场工艺流程为：井口来气井气→电磁加热节流装置加热、节流阀降压至10.0MPa→外输截断阀→采气管道。</w:t>
      </w:r>
    </w:p>
    <w:p w14:paraId="15A5CD57">
      <w:pPr>
        <w:snapToGrid w:val="0"/>
        <w:spacing w:line="440" w:lineRule="exact"/>
        <w:ind w:firstLine="474" w:firstLineChars="200"/>
        <w:jc w:val="both"/>
        <w:rPr>
          <w:rFonts w:ascii="Times New Roman" w:hAnsi="Times New Roman" w:cs="Times New Roman"/>
          <w:bCs/>
          <w:color w:val="auto"/>
          <w:w w:val="99"/>
          <w:kern w:val="2"/>
          <w:highlight w:val="none"/>
        </w:rPr>
      </w:pPr>
      <w:r>
        <w:rPr>
          <w:rFonts w:hint="eastAsia" w:ascii="Times New Roman" w:hAnsi="Times New Roman" w:cs="Times New Roman"/>
          <w:bCs/>
          <w:color w:val="auto"/>
          <w:w w:val="99"/>
          <w:kern w:val="2"/>
          <w:highlight w:val="none"/>
        </w:rPr>
        <w:t>本项目气井具备生产条件后，</w:t>
      </w:r>
      <w:r>
        <w:rPr>
          <w:rFonts w:ascii="Times New Roman" w:hAnsi="Times New Roman" w:cs="Times New Roman"/>
          <w:bCs/>
          <w:color w:val="auto"/>
          <w:w w:val="99"/>
          <w:kern w:val="2"/>
          <w:highlight w:val="none"/>
        </w:rPr>
        <w:t>气井气经采气管道至集气站，</w:t>
      </w:r>
      <w:r>
        <w:rPr>
          <w:rFonts w:hint="eastAsia" w:ascii="Times New Roman" w:hAnsi="Times New Roman" w:cs="Times New Roman"/>
          <w:bCs/>
          <w:color w:val="auto"/>
          <w:w w:val="99"/>
          <w:kern w:val="2"/>
          <w:highlight w:val="none"/>
        </w:rPr>
        <w:t>先进入电磁加热节流装置加热、节流降压，而后利用已建计量</w:t>
      </w:r>
      <w:r>
        <w:rPr>
          <w:rFonts w:ascii="Times New Roman" w:hAnsi="Times New Roman" w:cs="Times New Roman"/>
          <w:bCs/>
          <w:color w:val="auto"/>
          <w:w w:val="99"/>
          <w:kern w:val="2"/>
          <w:highlight w:val="none"/>
        </w:rPr>
        <w:t>分离器</w:t>
      </w:r>
      <w:r>
        <w:rPr>
          <w:rFonts w:hint="eastAsia" w:ascii="Times New Roman" w:hAnsi="Times New Roman" w:cs="Times New Roman"/>
          <w:bCs/>
          <w:color w:val="auto"/>
          <w:w w:val="99"/>
          <w:kern w:val="2"/>
          <w:highlight w:val="none"/>
        </w:rPr>
        <w:t>和生产分离器轮换计量、分离出游离水，再</w:t>
      </w:r>
      <w:r>
        <w:rPr>
          <w:rFonts w:ascii="Times New Roman" w:hAnsi="Times New Roman" w:cs="Times New Roman"/>
          <w:bCs/>
          <w:color w:val="auto"/>
          <w:w w:val="99"/>
          <w:kern w:val="2"/>
          <w:highlight w:val="none"/>
        </w:rPr>
        <w:t>接入</w:t>
      </w:r>
      <w:r>
        <w:rPr>
          <w:rFonts w:hint="eastAsia" w:ascii="Times New Roman" w:hAnsi="Times New Roman" w:cs="Times New Roman"/>
          <w:bCs/>
          <w:color w:val="auto"/>
          <w:w w:val="99"/>
          <w:kern w:val="2"/>
          <w:highlight w:val="none"/>
        </w:rPr>
        <w:t>已建</w:t>
      </w:r>
      <w:r>
        <w:rPr>
          <w:rFonts w:ascii="Times New Roman" w:hAnsi="Times New Roman" w:cs="Times New Roman"/>
          <w:bCs/>
          <w:color w:val="auto"/>
          <w:w w:val="99"/>
          <w:kern w:val="2"/>
          <w:highlight w:val="none"/>
        </w:rPr>
        <w:t>过滤分离器</w:t>
      </w:r>
      <w:r>
        <w:rPr>
          <w:rFonts w:hint="eastAsia" w:ascii="Times New Roman" w:hAnsi="Times New Roman" w:cs="Times New Roman"/>
          <w:bCs/>
          <w:color w:val="auto"/>
          <w:w w:val="99"/>
          <w:kern w:val="2"/>
          <w:highlight w:val="none"/>
        </w:rPr>
        <w:t>分离出水和杂质，最后计量外输至徐深</w:t>
      </w:r>
      <w:r>
        <w:rPr>
          <w:rFonts w:hint="eastAsia" w:ascii="Times New Roman" w:hAnsi="Times New Roman" w:cs="Times New Roman"/>
          <w:bCs/>
          <w:color w:val="auto"/>
          <w:w w:val="99"/>
          <w:kern w:val="2"/>
          <w:highlight w:val="none"/>
          <w:lang w:val="en-US" w:eastAsia="zh-CN"/>
        </w:rPr>
        <w:t>9净化厂</w:t>
      </w:r>
      <w:r>
        <w:rPr>
          <w:rFonts w:hint="eastAsia" w:ascii="Times New Roman" w:hAnsi="Times New Roman" w:cs="Times New Roman"/>
          <w:bCs/>
          <w:color w:val="auto"/>
          <w:w w:val="99"/>
          <w:kern w:val="2"/>
          <w:highlight w:val="none"/>
        </w:rPr>
        <w:t>。</w:t>
      </w:r>
    </w:p>
    <w:p w14:paraId="14C34392">
      <w:pPr>
        <w:snapToGrid w:val="0"/>
        <w:spacing w:line="440" w:lineRule="exact"/>
        <w:ind w:firstLine="474" w:firstLineChars="200"/>
        <w:jc w:val="both"/>
        <w:rPr>
          <w:rFonts w:ascii="Times New Roman" w:hAnsi="Times New Roman" w:cs="Times New Roman"/>
          <w:bCs/>
          <w:color w:val="auto"/>
          <w:w w:val="99"/>
          <w:kern w:val="2"/>
          <w:highlight w:val="none"/>
        </w:rPr>
      </w:pPr>
      <w:r>
        <w:rPr>
          <w:rFonts w:ascii="Times New Roman" w:hAnsi="Times New Roman" w:cs="Times New Roman"/>
          <w:bCs/>
          <w:color w:val="auto"/>
          <w:w w:val="99"/>
          <w:kern w:val="2"/>
          <w:highlight w:val="none"/>
        </w:rPr>
        <w:t>生产污水进入已建污水罐集中外输，放空天然气进入新建火炬。</w:t>
      </w:r>
    </w:p>
    <w:p w14:paraId="2203FE06">
      <w:pPr>
        <w:snapToGrid w:val="0"/>
        <w:spacing w:line="440" w:lineRule="exact"/>
        <w:ind w:firstLine="474" w:firstLineChars="200"/>
        <w:jc w:val="both"/>
        <w:rPr>
          <w:rFonts w:ascii="Times New Roman" w:hAnsi="Times New Roman" w:cs="Times New Roman"/>
          <w:bCs/>
          <w:color w:val="auto"/>
          <w:w w:val="99"/>
          <w:kern w:val="2"/>
          <w:highlight w:val="none"/>
        </w:rPr>
      </w:pPr>
      <w:r>
        <w:rPr>
          <w:rFonts w:hint="eastAsia" w:ascii="Times New Roman" w:hAnsi="Times New Roman" w:cs="Times New Roman"/>
          <w:bCs/>
          <w:color w:val="auto"/>
          <w:w w:val="99"/>
          <w:kern w:val="2"/>
          <w:highlight w:val="none"/>
        </w:rPr>
        <w:t>具体工艺流程及产污环节详见图3.1</w:t>
      </w:r>
      <w:r>
        <w:rPr>
          <w:rFonts w:hint="eastAsia" w:ascii="Times New Roman" w:hAnsi="Times New Roman" w:cs="Times New Roman"/>
          <w:bCs/>
          <w:color w:val="auto"/>
          <w:w w:val="99"/>
          <w:kern w:val="2"/>
          <w:highlight w:val="none"/>
          <w:lang w:val="en-US" w:eastAsia="zh-CN"/>
        </w:rPr>
        <w:t>0</w:t>
      </w:r>
      <w:r>
        <w:rPr>
          <w:rFonts w:hint="eastAsia" w:ascii="Times New Roman" w:hAnsi="Times New Roman" w:cs="Times New Roman"/>
          <w:bCs/>
          <w:color w:val="auto"/>
          <w:w w:val="99"/>
          <w:kern w:val="2"/>
          <w:highlight w:val="none"/>
        </w:rPr>
        <w:t>-</w:t>
      </w:r>
      <w:r>
        <w:rPr>
          <w:rFonts w:hint="eastAsia" w:ascii="Times New Roman" w:hAnsi="Times New Roman" w:cs="Times New Roman"/>
          <w:bCs/>
          <w:color w:val="auto"/>
          <w:w w:val="99"/>
          <w:kern w:val="2"/>
          <w:highlight w:val="none"/>
          <w:lang w:val="en-US" w:eastAsia="zh-CN"/>
        </w:rPr>
        <w:t>3</w:t>
      </w:r>
      <w:r>
        <w:rPr>
          <w:rFonts w:hint="eastAsia" w:ascii="Times New Roman" w:hAnsi="Times New Roman" w:cs="Times New Roman"/>
          <w:bCs/>
          <w:color w:val="auto"/>
          <w:w w:val="99"/>
          <w:kern w:val="2"/>
          <w:highlight w:val="none"/>
        </w:rPr>
        <w:t>。</w:t>
      </w:r>
    </w:p>
    <w:p w14:paraId="0E34F8AF">
      <w:pPr>
        <w:keepNext/>
        <w:keepLines/>
        <w:rPr>
          <w:rFonts w:ascii="Times New Roman" w:hAnsi="Times New Roman" w:cs="Times New Roman"/>
          <w:bCs/>
          <w:color w:val="auto"/>
          <w:w w:val="99"/>
          <w:kern w:val="2"/>
          <w:highlight w:val="none"/>
        </w:rPr>
      </w:pPr>
      <w:r>
        <w:rPr>
          <w:color w:val="auto"/>
          <w:highlight w:val="none"/>
        </w:rPr>
        <mc:AlternateContent>
          <mc:Choice Requires="wpg">
            <w:drawing>
              <wp:anchor distT="0" distB="0" distL="114300" distR="114300" simplePos="0" relativeHeight="251668480" behindDoc="0" locked="0" layoutInCell="1" allowOverlap="1">
                <wp:simplePos x="0" y="0"/>
                <wp:positionH relativeFrom="column">
                  <wp:posOffset>168275</wp:posOffset>
                </wp:positionH>
                <wp:positionV relativeFrom="paragraph">
                  <wp:posOffset>208280</wp:posOffset>
                </wp:positionV>
                <wp:extent cx="4834255" cy="1632585"/>
                <wp:effectExtent l="0" t="4445" r="0" b="0"/>
                <wp:wrapNone/>
                <wp:docPr id="74" name="组合 74"/>
                <wp:cNvGraphicFramePr/>
                <a:graphic xmlns:a="http://schemas.openxmlformats.org/drawingml/2006/main">
                  <a:graphicData uri="http://schemas.microsoft.com/office/word/2010/wordprocessingGroup">
                    <wpg:wgp>
                      <wpg:cNvGrpSpPr/>
                      <wpg:grpSpPr>
                        <a:xfrm>
                          <a:off x="0" y="0"/>
                          <a:ext cx="4834255" cy="1632585"/>
                          <a:chOff x="1966" y="3357905"/>
                          <a:chExt cx="7613" cy="2571"/>
                        </a:xfrm>
                      </wpg:grpSpPr>
                      <wps:wsp>
                        <wps:cNvPr id="136" name="文本框 136"/>
                        <wps:cNvSpPr txBox="1"/>
                        <wps:spPr>
                          <a:xfrm>
                            <a:off x="5017" y="3357905"/>
                            <a:ext cx="1347" cy="445"/>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0C9063B">
                              <w:pPr>
                                <w:rPr>
                                  <w:rFonts w:hint="eastAsia"/>
                                  <w:w w:val="99"/>
                                </w:rPr>
                              </w:pPr>
                              <w:r>
                                <w:rPr>
                                  <w:rFonts w:hint="eastAsia"/>
                                  <w:w w:val="99"/>
                                </w:rPr>
                                <w:t xml:space="preserve"> </w:t>
                              </w:r>
                              <w:r>
                                <w:rPr>
                                  <w:rFonts w:hint="eastAsia"/>
                                  <w:w w:val="99"/>
                                  <w:sz w:val="21"/>
                                  <w:szCs w:val="21"/>
                                </w:rPr>
                                <w:t>采气井场</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7" name="文本框 137"/>
                        <wps:cNvSpPr txBox="1"/>
                        <wps:spPr>
                          <a:xfrm>
                            <a:off x="5186" y="3358973"/>
                            <a:ext cx="1083" cy="417"/>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2DFD58E">
                              <w:pPr>
                                <w:rPr>
                                  <w:rFonts w:hint="eastAsia"/>
                                  <w:w w:val="99"/>
                                </w:rPr>
                              </w:pPr>
                              <w:r>
                                <w:rPr>
                                  <w:rFonts w:hint="eastAsia"/>
                                  <w:w w:val="99"/>
                                  <w:sz w:val="21"/>
                                  <w:szCs w:val="21"/>
                                </w:rPr>
                                <w:t>集气站</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8" name="文本框 138"/>
                        <wps:cNvSpPr txBox="1"/>
                        <wps:spPr>
                          <a:xfrm>
                            <a:off x="3309" y="3360031"/>
                            <a:ext cx="4679" cy="4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CD2842">
                              <w:pPr>
                                <w:rPr>
                                  <w:rFonts w:hint="eastAsia"/>
                                  <w:w w:val="99"/>
                                  <w:sz w:val="21"/>
                                  <w:szCs w:val="21"/>
                                </w:rPr>
                              </w:pPr>
                              <w:r>
                                <w:rPr>
                                  <w:rFonts w:hint="eastAsia"/>
                                  <w:w w:val="99"/>
                                  <w:sz w:val="21"/>
                                  <w:szCs w:val="21"/>
                                </w:rPr>
                                <w:t>升一联污水预处理站处理达标后回注地下油层</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0" name="直接箭头连接符 140"/>
                        <wps:cNvCnPr>
                          <a:stCxn id="136" idx="2"/>
                        </wps:cNvCnPr>
                        <wps:spPr>
                          <a:xfrm>
                            <a:off x="5691" y="3358351"/>
                            <a:ext cx="0" cy="60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41" name="直接箭头连接符 141"/>
                        <wps:cNvCnPr/>
                        <wps:spPr>
                          <a:xfrm>
                            <a:off x="5721" y="3359404"/>
                            <a:ext cx="0" cy="60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42" name="直接箭头连接符 142"/>
                        <wps:cNvCnPr>
                          <a:stCxn id="136" idx="1"/>
                        </wps:cNvCnPr>
                        <wps:spPr>
                          <a:xfrm flipH="1">
                            <a:off x="3842" y="3358129"/>
                            <a:ext cx="1175" cy="0"/>
                          </a:xfrm>
                          <a:prstGeom prst="straightConnector1">
                            <a:avLst/>
                          </a:prstGeom>
                          <a:ln w="6350">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143" name="直接箭头连接符 143"/>
                        <wps:cNvCnPr/>
                        <wps:spPr>
                          <a:xfrm>
                            <a:off x="6420" y="3358172"/>
                            <a:ext cx="1053" cy="0"/>
                          </a:xfrm>
                          <a:prstGeom prst="straightConnector1">
                            <a:avLst/>
                          </a:prstGeom>
                          <a:ln w="6350">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145" name="文本框 145"/>
                        <wps:cNvSpPr txBox="1"/>
                        <wps:spPr>
                          <a:xfrm>
                            <a:off x="2018" y="3357935"/>
                            <a:ext cx="1782" cy="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231270">
                              <w:pPr>
                                <w:rPr>
                                  <w:rFonts w:hint="eastAsia"/>
                                  <w:w w:val="99"/>
                                  <w:sz w:val="21"/>
                                  <w:szCs w:val="21"/>
                                </w:rPr>
                              </w:pPr>
                              <w:r>
                                <w:rPr>
                                  <w:rFonts w:hint="eastAsia"/>
                                  <w:w w:val="99"/>
                                  <w:sz w:val="21"/>
                                  <w:szCs w:val="21"/>
                                </w:rPr>
                                <w:t>放空噪声、放空燃烧废气</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6" name="文本框 146"/>
                        <wps:cNvSpPr txBox="1"/>
                        <wps:spPr>
                          <a:xfrm>
                            <a:off x="7502" y="3357908"/>
                            <a:ext cx="2077" cy="46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90CD93">
                              <w:pPr>
                                <w:rPr>
                                  <w:rFonts w:hint="eastAsia" w:eastAsia="宋体"/>
                                  <w:w w:val="99"/>
                                  <w:sz w:val="21"/>
                                  <w:szCs w:val="21"/>
                                  <w:lang w:eastAsia="zh-CN"/>
                                </w:rPr>
                              </w:pPr>
                              <w:r>
                                <w:rPr>
                                  <w:rFonts w:hint="eastAsia"/>
                                  <w:w w:val="99"/>
                                  <w:sz w:val="21"/>
                                  <w:szCs w:val="21"/>
                                </w:rPr>
                                <w:t>废气、井口含油</w:t>
                              </w:r>
                              <w:r>
                                <w:rPr>
                                  <w:rFonts w:hint="eastAsia"/>
                                  <w:w w:val="99"/>
                                  <w:sz w:val="21"/>
                                  <w:szCs w:val="21"/>
                                  <w:lang w:eastAsia="zh-CN"/>
                                </w:rPr>
                                <w:t>砂粒</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7" name="文本框 147"/>
                        <wps:cNvSpPr txBox="1"/>
                        <wps:spPr>
                          <a:xfrm>
                            <a:off x="5779" y="3358429"/>
                            <a:ext cx="1249" cy="4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EA4873">
                              <w:pPr>
                                <w:rPr>
                                  <w:rFonts w:hint="eastAsia"/>
                                  <w:w w:val="99"/>
                                  <w:sz w:val="21"/>
                                  <w:szCs w:val="21"/>
                                </w:rPr>
                              </w:pPr>
                              <w:r>
                                <w:rPr>
                                  <w:rFonts w:hint="eastAsia"/>
                                  <w:w w:val="99"/>
                                  <w:sz w:val="21"/>
                                  <w:szCs w:val="21"/>
                                </w:rPr>
                                <w:t>管道集输</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8" name="直接箭头连接符 148"/>
                        <wps:cNvCnPr/>
                        <wps:spPr>
                          <a:xfrm flipH="1">
                            <a:off x="3816" y="3359211"/>
                            <a:ext cx="1263" cy="0"/>
                          </a:xfrm>
                          <a:prstGeom prst="straightConnector1">
                            <a:avLst/>
                          </a:prstGeom>
                          <a:ln w="6350">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149" name="文本框 149"/>
                        <wps:cNvSpPr txBox="1"/>
                        <wps:spPr>
                          <a:xfrm>
                            <a:off x="1966" y="3358582"/>
                            <a:ext cx="1976" cy="134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1CD5A6">
                              <w:pPr>
                                <w:rPr>
                                  <w:rFonts w:hint="eastAsia"/>
                                  <w:w w:val="99"/>
                                  <w:sz w:val="21"/>
                                  <w:szCs w:val="21"/>
                                </w:rPr>
                              </w:pPr>
                              <w:r>
                                <w:rPr>
                                  <w:rFonts w:hint="eastAsia"/>
                                  <w:w w:val="99"/>
                                  <w:sz w:val="21"/>
                                  <w:szCs w:val="21"/>
                                </w:rPr>
                                <w:t>加热炉燃烧烟气、无组织烃类、放空燃烧废气、噪声、甲醇</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1" name="文本框 151"/>
                        <wps:cNvSpPr txBox="1"/>
                        <wps:spPr>
                          <a:xfrm>
                            <a:off x="7451" y="3359014"/>
                            <a:ext cx="1935" cy="4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D0FA65">
                              <w:pPr>
                                <w:rPr>
                                  <w:rFonts w:hint="eastAsia"/>
                                  <w:w w:val="99"/>
                                  <w:sz w:val="21"/>
                                  <w:szCs w:val="21"/>
                                </w:rPr>
                              </w:pPr>
                              <w:r>
                                <w:rPr>
                                  <w:rFonts w:hint="eastAsia"/>
                                  <w:w w:val="99"/>
                                  <w:sz w:val="21"/>
                                  <w:szCs w:val="21"/>
                                </w:rPr>
                                <w:t>外输</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2" name="直接箭头连接符 152"/>
                        <wps:cNvCnPr/>
                        <wps:spPr>
                          <a:xfrm>
                            <a:off x="6401" y="3359213"/>
                            <a:ext cx="1053" cy="0"/>
                          </a:xfrm>
                          <a:prstGeom prst="straightConnector1">
                            <a:avLst/>
                          </a:prstGeom>
                          <a:ln w="6350">
                            <a:solidFill>
                              <a:schemeClr val="tx1"/>
                            </a:solidFill>
                            <a:prstDash val="solid"/>
                            <a:tailEnd type="arrow"/>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13.25pt;margin-top:16.4pt;height:128.55pt;width:380.65pt;z-index:251668480;mso-width-relative:page;mso-height-relative:page;" coordorigin="1966,3357905" coordsize="7613,2571" o:gfxdata="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">
                <o:lock v:ext="edit" aspectratio="f"/>
                <v:shape id="_x0000_s1026" o:spid="_x0000_s1026" o:spt="202" type="#_x0000_t202" style="position:absolute;left:5017;top:3357905;height:445;width:1347;" filled="f" stroked="t" coordsize="21600,21600" o:gfxdata="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etc1vQAA&#10;ANwAAAAPAAAAAAAAAAEAIAAAACIAAABkcnMvZG93bnJldi54bWxQSwECFAAUAAAACACHTuJAMy8F&#10;njsAAAA5AAAAEAAAAAAAAAABACAAAAAMAQAAZHJzL3NoYXBleG1sLnhtbFBLBQYAAAAABgAGAFsB&#10;AAC2AwAAAAA=&#10;">
                  <v:fill on="f" focussize="0,0"/>
                  <v:stroke weight="0.5pt" color="#000000 [3204]" joinstyle="round"/>
                  <v:imagedata o:title=""/>
                  <o:lock v:ext="edit" aspectratio="f"/>
                  <v:textbox>
                    <w:txbxContent>
                      <w:p w14:paraId="00C9063B">
                        <w:pPr>
                          <w:rPr>
                            <w:rFonts w:hint="eastAsia"/>
                            <w:w w:val="99"/>
                          </w:rPr>
                        </w:pPr>
                        <w:r>
                          <w:rPr>
                            <w:rFonts w:hint="eastAsia"/>
                            <w:w w:val="99"/>
                          </w:rPr>
                          <w:t xml:space="preserve"> </w:t>
                        </w:r>
                        <w:r>
                          <w:rPr>
                            <w:rFonts w:hint="eastAsia"/>
                            <w:w w:val="99"/>
                            <w:sz w:val="21"/>
                            <w:szCs w:val="21"/>
                          </w:rPr>
                          <w:t>采气井场</w:t>
                        </w:r>
                      </w:p>
                    </w:txbxContent>
                  </v:textbox>
                </v:shape>
                <v:shape id="_x0000_s1026" o:spid="_x0000_s1026" o:spt="202" type="#_x0000_t202" style="position:absolute;left:5186;top:3358973;height:417;width:1083;" filled="f" stroked="t" coordsize="21600,21600" o:gfxdata="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DZyrr4A&#10;AADcAAAADwAAAAAAAAABACAAAAAiAAAAZHJzL2Rvd25yZXYueG1sUEsBAhQAFAAAAAgAh07iQDMv&#10;BZ47AAAAOQAAABAAAAAAAAAAAQAgAAAADQEAAGRycy9zaGFwZXhtbC54bWxQSwUGAAAAAAYABgBb&#10;AQAAtwMAAAAA&#10;">
                  <v:fill on="f" focussize="0,0"/>
                  <v:stroke weight="0.5pt" color="#000000 [3204]" joinstyle="round"/>
                  <v:imagedata o:title=""/>
                  <o:lock v:ext="edit" aspectratio="f"/>
                  <v:textbox>
                    <w:txbxContent>
                      <w:p w14:paraId="22DFD58E">
                        <w:pPr>
                          <w:rPr>
                            <w:rFonts w:hint="eastAsia"/>
                            <w:w w:val="99"/>
                          </w:rPr>
                        </w:pPr>
                        <w:r>
                          <w:rPr>
                            <w:rFonts w:hint="eastAsia"/>
                            <w:w w:val="99"/>
                            <w:sz w:val="21"/>
                            <w:szCs w:val="21"/>
                          </w:rPr>
                          <w:t>集气站</w:t>
                        </w:r>
                      </w:p>
                    </w:txbxContent>
                  </v:textbox>
                </v:shape>
                <v:shape id="_x0000_s1026" o:spid="_x0000_s1026" o:spt="202" type="#_x0000_t202" style="position:absolute;left:3309;top:3360031;height:445;width:4679;" filled="f" stroked="f" coordsize="21600,21600" o:gfxdata="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f0Ms1&#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13CD2842">
                        <w:pPr>
                          <w:rPr>
                            <w:rFonts w:hint="eastAsia"/>
                            <w:w w:val="99"/>
                            <w:sz w:val="21"/>
                            <w:szCs w:val="21"/>
                          </w:rPr>
                        </w:pPr>
                        <w:r>
                          <w:rPr>
                            <w:rFonts w:hint="eastAsia"/>
                            <w:w w:val="99"/>
                            <w:sz w:val="21"/>
                            <w:szCs w:val="21"/>
                          </w:rPr>
                          <w:t>升一联污水预处理站处理达标后回注地下油层</w:t>
                        </w:r>
                      </w:p>
                    </w:txbxContent>
                  </v:textbox>
                </v:shape>
                <v:shape id="_x0000_s1026" o:spid="_x0000_s1026" o:spt="32" type="#_x0000_t32" style="position:absolute;left:5691;top:3358351;height:605;width:0;" filled="f" stroked="t" coordsize="21600,21600" o:gfxdata="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Q/HX74A&#10;AADcAAAADwAAAAAAAAABACAAAAAiAAAAZHJzL2Rvd25yZXYueG1sUEsBAhQAFAAAAAgAh07iQDMv&#10;BZ47AAAAOQAAABAAAAAAAAAAAQAgAAAADQEAAGRycy9zaGFwZXhtbC54bWxQSwUGAAAAAAYABgBb&#10;AQAAtwMAAAAA&#10;">
                  <v:fill on="f" focussize="0,0"/>
                  <v:stroke weight="0.5pt" color="#000000 [3213]" miterlimit="8" joinstyle="miter" endarrow="open"/>
                  <v:imagedata o:title=""/>
                  <o:lock v:ext="edit" aspectratio="f"/>
                </v:shape>
                <v:shape id="_x0000_s1026" o:spid="_x0000_s1026" o:spt="32" type="#_x0000_t32" style="position:absolute;left:5721;top:3359404;height:605;width:0;" filled="f" stroked="t" coordsize="21600,21600" o:gfxdata="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iQ2LEugAAANwA&#10;AAAPAAAAAAAAAAEAIAAAACIAAABkcnMvZG93bnJldi54bWxQSwECFAAUAAAACACHTuJAMy8FnjsA&#10;AAA5AAAAEAAAAAAAAAABACAAAAAJAQAAZHJzL3NoYXBleG1sLnhtbFBLBQYAAAAABgAGAFsBAACz&#10;AwAAAAA=&#10;">
                  <v:fill on="f" focussize="0,0"/>
                  <v:stroke weight="0.5pt" color="#000000 [3213]" miterlimit="8" joinstyle="miter" endarrow="open"/>
                  <v:imagedata o:title=""/>
                  <o:lock v:ext="edit" aspectratio="f"/>
                </v:shape>
                <v:shape id="_x0000_s1026" o:spid="_x0000_s1026" o:spt="32" type="#_x0000_t32" style="position:absolute;left:3842;top:3358129;flip:x;height:0;width:1175;" filled="f" stroked="t" coordsize="21600,21600" o:gfxdata="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MIw5rsAAADc&#10;AAAADwAAAAAAAAABACAAAAAiAAAAZHJzL2Rvd25yZXYueG1sUEsBAhQAFAAAAAgAh07iQDMvBZ47&#10;AAAAOQAAABAAAAAAAAAAAQAgAAAACgEAAGRycy9zaGFwZXhtbC54bWxQSwUGAAAAAAYABgBbAQAA&#10;tAMAAAAA&#10;">
                  <v:fill on="f" focussize="0,0"/>
                  <v:stroke weight="0.5pt" color="#000000 [3213]" miterlimit="8" joinstyle="miter" dashstyle="dash" endarrow="open"/>
                  <v:imagedata o:title=""/>
                  <o:lock v:ext="edit" aspectratio="f"/>
                </v:shape>
                <v:shape id="_x0000_s1026" o:spid="_x0000_s1026" o:spt="32" type="#_x0000_t32" style="position:absolute;left:6420;top:3358172;height:0;width:1053;" filled="f" stroked="t" coordsize="21600,21600" o:gfxdata="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pfEqvQAA&#10;ANwAAAAPAAAAAAAAAAEAIAAAACIAAABkcnMvZG93bnJldi54bWxQSwECFAAUAAAACACHTuJAMy8F&#10;njsAAAA5AAAAEAAAAAAAAAABACAAAAAMAQAAZHJzL3NoYXBleG1sLnhtbFBLBQYAAAAABgAGAFsB&#10;AAC2AwAAAAA=&#10;">
                  <v:fill on="f" focussize="0,0"/>
                  <v:stroke weight="0.5pt" color="#000000 [3213]" miterlimit="8" joinstyle="miter" dashstyle="dash" endarrow="open"/>
                  <v:imagedata o:title=""/>
                  <o:lock v:ext="edit" aspectratio="f"/>
                </v:shape>
                <v:shape id="_x0000_s1026" o:spid="_x0000_s1026" o:spt="202" type="#_x0000_t202" style="position:absolute;left:2018;top:3357935;height:850;width:1782;" filled="f" stroked="f" coordsize="21600,21600" o:gfxdata="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nXF9a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26231270">
                        <w:pPr>
                          <w:rPr>
                            <w:rFonts w:hint="eastAsia"/>
                            <w:w w:val="99"/>
                            <w:sz w:val="21"/>
                            <w:szCs w:val="21"/>
                          </w:rPr>
                        </w:pPr>
                        <w:r>
                          <w:rPr>
                            <w:rFonts w:hint="eastAsia"/>
                            <w:w w:val="99"/>
                            <w:sz w:val="21"/>
                            <w:szCs w:val="21"/>
                          </w:rPr>
                          <w:t>放空噪声、放空燃烧废气</w:t>
                        </w:r>
                      </w:p>
                    </w:txbxContent>
                  </v:textbox>
                </v:shape>
                <v:shape id="_x0000_s1026" o:spid="_x0000_s1026" o:spt="202" type="#_x0000_t202" style="position:absolute;left:7502;top:3357908;height:461;width:2077;" filled="f" stroked="f" coordsize="21600,21600" o:gfxdata="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kFiaG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1B90CD93">
                        <w:pPr>
                          <w:rPr>
                            <w:rFonts w:hint="eastAsia" w:eastAsia="宋体"/>
                            <w:w w:val="99"/>
                            <w:sz w:val="21"/>
                            <w:szCs w:val="21"/>
                            <w:lang w:eastAsia="zh-CN"/>
                          </w:rPr>
                        </w:pPr>
                        <w:r>
                          <w:rPr>
                            <w:rFonts w:hint="eastAsia"/>
                            <w:w w:val="99"/>
                            <w:sz w:val="21"/>
                            <w:szCs w:val="21"/>
                          </w:rPr>
                          <w:t>废气、井口含油</w:t>
                        </w:r>
                        <w:r>
                          <w:rPr>
                            <w:rFonts w:hint="eastAsia"/>
                            <w:w w:val="99"/>
                            <w:sz w:val="21"/>
                            <w:szCs w:val="21"/>
                            <w:lang w:eastAsia="zh-CN"/>
                          </w:rPr>
                          <w:t>砂粒</w:t>
                        </w:r>
                      </w:p>
                    </w:txbxContent>
                  </v:textbox>
                </v:shape>
                <v:shape id="_x0000_s1026" o:spid="_x0000_s1026" o:spt="202" type="#_x0000_t202" style="position:absolute;left:5779;top:3358429;height:445;width:1249;" filled="f" stroked="f" coordsize="21600,21600" o:gfxdata="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SSw6vQAA&#10;ANw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20EA4873">
                        <w:pPr>
                          <w:rPr>
                            <w:rFonts w:hint="eastAsia"/>
                            <w:w w:val="99"/>
                            <w:sz w:val="21"/>
                            <w:szCs w:val="21"/>
                          </w:rPr>
                        </w:pPr>
                        <w:r>
                          <w:rPr>
                            <w:rFonts w:hint="eastAsia"/>
                            <w:w w:val="99"/>
                            <w:sz w:val="21"/>
                            <w:szCs w:val="21"/>
                          </w:rPr>
                          <w:t>管道集输</w:t>
                        </w:r>
                      </w:p>
                    </w:txbxContent>
                  </v:textbox>
                </v:shape>
                <v:shape id="_x0000_s1026" o:spid="_x0000_s1026" o:spt="32" type="#_x0000_t32" style="position:absolute;left:3816;top:3359211;flip:x;height:0;width:1263;" filled="f" stroked="t" coordsize="21600,21600" o:gfxdata="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SoHDL4A&#10;AADcAAAADwAAAAAAAAABACAAAAAiAAAAZHJzL2Rvd25yZXYueG1sUEsBAhQAFAAAAAgAh07iQDMv&#10;BZ47AAAAOQAAABAAAAAAAAAAAQAgAAAADQEAAGRycy9zaGFwZXhtbC54bWxQSwUGAAAAAAYABgBb&#10;AQAAtwMAAAAA&#10;">
                  <v:fill on="f" focussize="0,0"/>
                  <v:stroke weight="0.5pt" color="#000000 [3213]" miterlimit="8" joinstyle="miter" dashstyle="dash" endarrow="open"/>
                  <v:imagedata o:title=""/>
                  <o:lock v:ext="edit" aspectratio="f"/>
                </v:shape>
                <v:shape id="_x0000_s1026" o:spid="_x0000_s1026" o:spt="202" type="#_x0000_t202" style="position:absolute;left:1966;top:3358582;height:1344;width:1976;" filled="f" stroked="f" coordsize="21600,21600" o:gfxdata="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Jod07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721CD5A6">
                        <w:pPr>
                          <w:rPr>
                            <w:rFonts w:hint="eastAsia"/>
                            <w:w w:val="99"/>
                            <w:sz w:val="21"/>
                            <w:szCs w:val="21"/>
                          </w:rPr>
                        </w:pPr>
                        <w:r>
                          <w:rPr>
                            <w:rFonts w:hint="eastAsia"/>
                            <w:w w:val="99"/>
                            <w:sz w:val="21"/>
                            <w:szCs w:val="21"/>
                          </w:rPr>
                          <w:t>加热炉燃烧烟气、无组织烃类、放空燃烧废气、噪声、甲醇</w:t>
                        </w:r>
                      </w:p>
                    </w:txbxContent>
                  </v:textbox>
                </v:shape>
                <v:shape id="_x0000_s1026" o:spid="_x0000_s1026" o:spt="202" type="#_x0000_t202" style="position:absolute;left:7451;top:3359014;height:445;width:1935;" filled="f" stroked="f" coordsize="21600,21600" o:gfxdata="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zWHCLsAAADc&#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14:paraId="5FD0FA65">
                        <w:pPr>
                          <w:rPr>
                            <w:rFonts w:hint="eastAsia"/>
                            <w:w w:val="99"/>
                            <w:sz w:val="21"/>
                            <w:szCs w:val="21"/>
                          </w:rPr>
                        </w:pPr>
                        <w:r>
                          <w:rPr>
                            <w:rFonts w:hint="eastAsia"/>
                            <w:w w:val="99"/>
                            <w:sz w:val="21"/>
                            <w:szCs w:val="21"/>
                          </w:rPr>
                          <w:t>外输</w:t>
                        </w:r>
                      </w:p>
                    </w:txbxContent>
                  </v:textbox>
                </v:shape>
                <v:shape id="_x0000_s1026" o:spid="_x0000_s1026" o:spt="32" type="#_x0000_t32" style="position:absolute;left:6401;top:3359213;height:0;width:1053;" filled="f" stroked="t" coordsize="21600,21600" o:gfxdata="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0hqbrsAAADc&#10;AAAADwAAAAAAAAABACAAAAAiAAAAZHJzL2Rvd25yZXYueG1sUEsBAhQAFAAAAAgAh07iQDMvBZ47&#10;AAAAOQAAABAAAAAAAAAAAQAgAAAACgEAAGRycy9zaGFwZXhtbC54bWxQSwUGAAAAAAYABgBbAQAA&#10;tAMAAAAA&#10;">
                  <v:fill on="f" focussize="0,0"/>
                  <v:stroke weight="0.5pt" color="#000000 [3213]" miterlimit="8" joinstyle="miter" endarrow="open"/>
                  <v:imagedata o:title=""/>
                  <o:lock v:ext="edit" aspectratio="f"/>
                </v:shape>
              </v:group>
            </w:pict>
          </mc:Fallback>
        </mc:AlternateContent>
      </w:r>
    </w:p>
    <w:p w14:paraId="21351683">
      <w:pPr>
        <w:rPr>
          <w:rFonts w:ascii="Times New Roman" w:hAnsi="Times New Roman" w:cs="Times New Roman"/>
          <w:bCs/>
          <w:color w:val="auto"/>
          <w:w w:val="99"/>
          <w:kern w:val="2"/>
          <w:highlight w:val="none"/>
        </w:rPr>
      </w:pPr>
    </w:p>
    <w:p w14:paraId="0CAD5744">
      <w:pPr>
        <w:keepNext/>
        <w:keepLines/>
        <w:rPr>
          <w:rFonts w:hint="eastAsia"/>
          <w:color w:val="auto"/>
          <w:highlight w:val="none"/>
        </w:rPr>
      </w:pPr>
    </w:p>
    <w:p w14:paraId="70F97D9A">
      <w:pPr>
        <w:snapToGrid w:val="0"/>
        <w:spacing w:line="440" w:lineRule="exact"/>
        <w:ind w:firstLine="474" w:firstLineChars="200"/>
        <w:jc w:val="both"/>
        <w:rPr>
          <w:rFonts w:ascii="Times New Roman" w:hAnsi="Times New Roman" w:cs="Times New Roman"/>
          <w:bCs/>
          <w:color w:val="auto"/>
          <w:w w:val="99"/>
          <w:kern w:val="2"/>
          <w:highlight w:val="none"/>
        </w:rPr>
      </w:pPr>
    </w:p>
    <w:p w14:paraId="2E547C1A">
      <w:pPr>
        <w:snapToGrid w:val="0"/>
        <w:spacing w:line="440" w:lineRule="exact"/>
        <w:ind w:firstLine="474" w:firstLineChars="200"/>
        <w:jc w:val="both"/>
        <w:rPr>
          <w:rFonts w:ascii="Times New Roman" w:hAnsi="Times New Roman" w:cs="Times New Roman"/>
          <w:bCs/>
          <w:color w:val="auto"/>
          <w:w w:val="99"/>
          <w:kern w:val="2"/>
          <w:highlight w:val="none"/>
        </w:rPr>
      </w:pPr>
    </w:p>
    <w:p w14:paraId="7A29AE5C">
      <w:pPr>
        <w:snapToGrid w:val="0"/>
        <w:spacing w:line="440" w:lineRule="exact"/>
        <w:ind w:firstLine="474" w:firstLineChars="200"/>
        <w:jc w:val="both"/>
        <w:rPr>
          <w:rFonts w:ascii="Times New Roman" w:hAnsi="Times New Roman" w:cs="Times New Roman"/>
          <w:bCs/>
          <w:color w:val="auto"/>
          <w:w w:val="99"/>
          <w:kern w:val="2"/>
          <w:highlight w:val="none"/>
        </w:rPr>
      </w:pPr>
    </w:p>
    <w:p w14:paraId="2C12F31D">
      <w:pPr>
        <w:snapToGrid w:val="0"/>
        <w:spacing w:line="440" w:lineRule="exact"/>
        <w:ind w:firstLine="474" w:firstLineChars="200"/>
        <w:jc w:val="both"/>
        <w:rPr>
          <w:rFonts w:ascii="Times New Roman" w:hAnsi="Times New Roman" w:cs="Times New Roman"/>
          <w:bCs/>
          <w:color w:val="auto"/>
          <w:w w:val="99"/>
          <w:kern w:val="2"/>
          <w:highlight w:val="none"/>
        </w:rPr>
      </w:pPr>
    </w:p>
    <w:p w14:paraId="6E056464">
      <w:pPr>
        <w:snapToGrid w:val="0"/>
        <w:spacing w:line="440" w:lineRule="exact"/>
        <w:ind w:firstLine="474" w:firstLineChars="200"/>
        <w:jc w:val="both"/>
        <w:rPr>
          <w:rFonts w:ascii="Times New Roman" w:hAnsi="Times New Roman" w:cs="Times New Roman"/>
          <w:bCs/>
          <w:color w:val="auto"/>
          <w:w w:val="99"/>
          <w:kern w:val="2"/>
          <w:highlight w:val="none"/>
        </w:rPr>
      </w:pPr>
    </w:p>
    <w:p w14:paraId="5FE94DC2">
      <w:pPr>
        <w:keepNext/>
        <w:keepLines/>
        <w:spacing w:line="440" w:lineRule="exact"/>
        <w:jc w:val="center"/>
        <w:rPr>
          <w:rFonts w:ascii="Times New Roman" w:hAnsi="Times New Roman" w:cs="Times New Roman"/>
          <w:b/>
          <w:color w:val="auto"/>
          <w:w w:val="99"/>
          <w:kern w:val="2"/>
          <w:highlight w:val="none"/>
        </w:rPr>
      </w:pPr>
      <w:r>
        <w:rPr>
          <w:rFonts w:ascii="Times New Roman" w:hAnsi="Times New Roman" w:cs="Times New Roman"/>
          <w:b/>
          <w:color w:val="auto"/>
          <w:w w:val="99"/>
          <w:kern w:val="2"/>
          <w:highlight w:val="none"/>
        </w:rPr>
        <w:t>图</w:t>
      </w:r>
      <w:r>
        <w:rPr>
          <w:rFonts w:hint="eastAsia" w:ascii="Times New Roman" w:hAnsi="Times New Roman" w:cs="Times New Roman"/>
          <w:b/>
          <w:color w:val="auto"/>
          <w:w w:val="99"/>
          <w:kern w:val="2"/>
          <w:highlight w:val="none"/>
        </w:rPr>
        <w:t>3.10-3</w:t>
      </w:r>
      <w:r>
        <w:rPr>
          <w:rFonts w:ascii="Times New Roman" w:hAnsi="Times New Roman" w:cs="Times New Roman"/>
          <w:b/>
          <w:color w:val="auto"/>
          <w:w w:val="99"/>
          <w:kern w:val="2"/>
          <w:highlight w:val="none"/>
        </w:rPr>
        <w:t xml:space="preserve"> 本项目运营期工艺流程及产污环节图</w:t>
      </w:r>
    </w:p>
    <w:p w14:paraId="1458E804">
      <w:pPr>
        <w:snapToGrid w:val="0"/>
        <w:spacing w:line="440" w:lineRule="exact"/>
        <w:ind w:firstLine="474" w:firstLineChars="200"/>
        <w:jc w:val="both"/>
        <w:rPr>
          <w:rFonts w:ascii="Times New Roman" w:hAnsi="Times New Roman" w:cs="Times New Roman"/>
          <w:bCs/>
          <w:color w:val="auto"/>
          <w:w w:val="99"/>
          <w:kern w:val="2"/>
          <w:highlight w:val="none"/>
        </w:rPr>
      </w:pPr>
      <w:r>
        <w:rPr>
          <w:rFonts w:ascii="Times New Roman" w:hAnsi="Times New Roman" w:cs="Times New Roman"/>
          <w:bCs/>
          <w:color w:val="auto"/>
          <w:w w:val="99"/>
          <w:kern w:val="2"/>
          <w:highlight w:val="none"/>
        </w:rPr>
        <w:t>正常工况下，本项目运营期主要新增污染源为井场、场站无组织挥发烃类气体（非甲烷总烃）、气田采出水、</w:t>
      </w:r>
      <w:r>
        <w:rPr>
          <w:rFonts w:hint="eastAsia" w:ascii="Times New Roman" w:hAnsi="Times New Roman" w:cs="Times New Roman"/>
          <w:bCs/>
          <w:color w:val="auto"/>
          <w:w w:val="99"/>
          <w:kern w:val="2"/>
          <w:highlight w:val="none"/>
        </w:rPr>
        <w:t>井场放空</w:t>
      </w:r>
      <w:r>
        <w:rPr>
          <w:rFonts w:ascii="Times New Roman" w:hAnsi="Times New Roman" w:cs="Times New Roman"/>
          <w:bCs/>
          <w:color w:val="auto"/>
          <w:w w:val="99"/>
          <w:kern w:val="2"/>
          <w:highlight w:val="none"/>
        </w:rPr>
        <w:t>噪声。</w:t>
      </w:r>
    </w:p>
    <w:p w14:paraId="31C9A171">
      <w:pPr>
        <w:snapToGrid w:val="0"/>
        <w:spacing w:line="440" w:lineRule="exact"/>
        <w:ind w:firstLine="474" w:firstLineChars="200"/>
        <w:jc w:val="both"/>
        <w:rPr>
          <w:rFonts w:ascii="Times New Roman" w:hAnsi="Times New Roman" w:cs="Times New Roman"/>
          <w:bCs/>
          <w:color w:val="auto"/>
          <w:w w:val="99"/>
          <w:kern w:val="2"/>
          <w:highlight w:val="none"/>
        </w:rPr>
      </w:pPr>
      <w:r>
        <w:rPr>
          <w:rFonts w:hint="eastAsia" w:ascii="Times New Roman" w:hAnsi="Times New Roman" w:cs="Times New Roman"/>
          <w:bCs/>
          <w:color w:val="auto"/>
          <w:w w:val="99"/>
          <w:kern w:val="2"/>
          <w:highlight w:val="none"/>
        </w:rPr>
        <w:t>（2）</w:t>
      </w:r>
      <w:r>
        <w:rPr>
          <w:rFonts w:ascii="Times New Roman" w:hAnsi="Times New Roman" w:cs="Times New Roman"/>
          <w:bCs/>
          <w:color w:val="auto"/>
          <w:w w:val="99"/>
          <w:kern w:val="2"/>
          <w:highlight w:val="none"/>
        </w:rPr>
        <w:t xml:space="preserve"> 非正常工况 </w:t>
      </w:r>
    </w:p>
    <w:p w14:paraId="1F434A8A">
      <w:pPr>
        <w:snapToGrid w:val="0"/>
        <w:spacing w:line="440" w:lineRule="exact"/>
        <w:ind w:firstLine="474" w:firstLineChars="200"/>
        <w:jc w:val="both"/>
        <w:rPr>
          <w:rFonts w:ascii="Times New Roman" w:hAnsi="Times New Roman" w:cs="Times New Roman"/>
          <w:bCs/>
          <w:color w:val="auto"/>
          <w:w w:val="99"/>
          <w:kern w:val="2"/>
          <w:highlight w:val="none"/>
        </w:rPr>
      </w:pPr>
      <w:r>
        <w:rPr>
          <w:rFonts w:hint="eastAsia" w:ascii="Times New Roman" w:hAnsi="Times New Roman" w:cs="Times New Roman"/>
          <w:bCs/>
          <w:color w:val="auto"/>
          <w:w w:val="99"/>
          <w:kern w:val="2"/>
          <w:highlight w:val="none"/>
        </w:rPr>
        <w:t>本项目非正常工况下，主要是气井井场检修过程中放空燃烧废气、放空噪声等，井口除砂器产生少量井口砂粒。井口砂粒属于危险废物，由检维修队送采气分公司危险废物贮存库内，定期委托有危废处置资质的单位处置。</w:t>
      </w:r>
    </w:p>
    <w:p w14:paraId="738F457B">
      <w:pPr>
        <w:widowControl w:val="0"/>
        <w:spacing w:line="440" w:lineRule="exact"/>
        <w:jc w:val="both"/>
        <w:outlineLvl w:val="3"/>
        <w:rPr>
          <w:rFonts w:ascii="Times New Roman" w:hAnsi="Times New Roman" w:cs="Times New Roman"/>
          <w:b/>
          <w:color w:val="auto"/>
          <w:w w:val="99"/>
          <w:highlight w:val="none"/>
        </w:rPr>
      </w:pPr>
      <w:r>
        <w:rPr>
          <w:rFonts w:hint="eastAsia" w:ascii="Times New Roman" w:hAnsi="Times New Roman" w:cs="Times New Roman"/>
          <w:b/>
          <w:color w:val="auto"/>
          <w:w w:val="99"/>
          <w:highlight w:val="none"/>
        </w:rPr>
        <w:t>3.10.</w:t>
      </w:r>
      <w:r>
        <w:rPr>
          <w:rFonts w:ascii="Times New Roman" w:hAnsi="Times New Roman" w:cs="Times New Roman"/>
          <w:b/>
          <w:color w:val="auto"/>
          <w:w w:val="99"/>
          <w:highlight w:val="none"/>
        </w:rPr>
        <w:t>1.3退役期</w:t>
      </w:r>
    </w:p>
    <w:p w14:paraId="5A69661C">
      <w:pPr>
        <w:snapToGrid w:val="0"/>
        <w:spacing w:line="440" w:lineRule="exact"/>
        <w:ind w:firstLine="474" w:firstLineChars="200"/>
        <w:jc w:val="both"/>
        <w:rPr>
          <w:rFonts w:ascii="Times New Roman" w:hAnsi="Times New Roman" w:cs="Times New Roman"/>
          <w:bCs/>
          <w:color w:val="auto"/>
          <w:w w:val="99"/>
          <w:kern w:val="2"/>
          <w:highlight w:val="none"/>
        </w:rPr>
      </w:pPr>
      <w:r>
        <w:rPr>
          <w:rFonts w:ascii="Times New Roman" w:hAnsi="Times New Roman" w:cs="Times New Roman"/>
          <w:bCs/>
          <w:color w:val="auto"/>
          <w:w w:val="99"/>
          <w:kern w:val="2"/>
          <w:highlight w:val="none"/>
        </w:rPr>
        <w:t>本项目退役期是建设项目气井产能逐年递减，至最后气井关停、站场关停、管线停用，站场设备、井场设备、光伏发电设备拆除。该时段主要是气井的陆续停运、关闭和恢复土地使用功能时段。项目退役期作业主要包括井筒试压、打底塞试压、储气层挤堵、打水泥塞并加压候凝等气井封堵作业、拆除井场、拆除光伏发电设备、站场地面的采气设施、平整场地对井场等占地进行生态恢复、管线两端用混凝土封堵后埋地等。项目气井封堵作业应严格执行中华人民共和国天然气行业标准《废弃井及长停井处置指南》（SY/T6646-2017）的要求。闭井应采用注水泥塞封堵作业来保护淡水层，同时阻止地层流体在井内运移。封堵和闭井作业一般自下而上进行，封隔从井底到地面的各个层段，最终达到闭井作业的目的。正确的封堵方式能够保证封堵效果，包括在裸眼井注水泥塞；在套管被割断位置注水泥塞或坐封桥塞；在注采层位的射孔井段以上注水泥塞或坐封桥塞；最深淡水层的底部注水泥塞或坐封桥塞等。管道退役后，采用混凝土对两端管口进行封堵埋地。退役期将产生的固体废物（建筑垃圾等）集中进行收集，拉运至建筑垃圾</w:t>
      </w:r>
      <w:r>
        <w:rPr>
          <w:rFonts w:hint="eastAsia" w:ascii="Times New Roman" w:hAnsi="Times New Roman" w:cs="Times New Roman"/>
          <w:bCs/>
          <w:color w:val="auto"/>
          <w:w w:val="99"/>
          <w:kern w:val="2"/>
          <w:highlight w:val="none"/>
        </w:rPr>
        <w:t>调配场</w:t>
      </w:r>
      <w:r>
        <w:rPr>
          <w:rFonts w:ascii="Times New Roman" w:hAnsi="Times New Roman" w:cs="Times New Roman"/>
          <w:bCs/>
          <w:color w:val="auto"/>
          <w:w w:val="99"/>
          <w:kern w:val="2"/>
          <w:highlight w:val="none"/>
        </w:rPr>
        <w:t>处理；产生的废旧设备由财务资产库进行回收。</w:t>
      </w:r>
    </w:p>
    <w:p w14:paraId="187F25B4">
      <w:pPr>
        <w:widowControl w:val="0"/>
        <w:spacing w:before="60" w:after="60"/>
        <w:jc w:val="center"/>
        <w:rPr>
          <w:rFonts w:hint="eastAsia"/>
          <w:color w:val="auto"/>
          <w:highlight w:val="none"/>
          <w:lang w:bidi="ar"/>
        </w:rPr>
      </w:pPr>
      <w:bookmarkStart w:id="523" w:name="_Toc70050202"/>
      <w:bookmarkStart w:id="524" w:name="_Toc77067676"/>
      <w:bookmarkStart w:id="525" w:name="_Toc186444301"/>
      <w:bookmarkStart w:id="526" w:name="_Toc80588273"/>
      <w:bookmarkStart w:id="527" w:name="_Toc76976264"/>
      <w:bookmarkStart w:id="528" w:name="_Toc67860153"/>
      <w:bookmarkStart w:id="529" w:name="_Toc78816478"/>
      <w:bookmarkStart w:id="530" w:name="_Toc83209495"/>
      <w:bookmarkStart w:id="531" w:name="_Toc80971395"/>
      <w:r>
        <w:rPr>
          <w:color w:val="auto"/>
          <w:highlight w:val="none"/>
          <w:lang w:bidi="ar"/>
        </w:rPr>
        <w:drawing>
          <wp:inline distT="0" distB="0" distL="114300" distR="114300">
            <wp:extent cx="3590925" cy="3400425"/>
            <wp:effectExtent l="0" t="0" r="9525" b="9525"/>
            <wp:docPr id="156"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3" descr="IMG_256"/>
                    <pic:cNvPicPr>
                      <a:picLocks noChangeAspect="1"/>
                    </pic:cNvPicPr>
                  </pic:nvPicPr>
                  <pic:blipFill>
                    <a:blip r:embed="rId46"/>
                    <a:stretch>
                      <a:fillRect/>
                    </a:stretch>
                  </pic:blipFill>
                  <pic:spPr>
                    <a:xfrm>
                      <a:off x="0" y="0"/>
                      <a:ext cx="3590925" cy="3400425"/>
                    </a:xfrm>
                    <a:prstGeom prst="rect">
                      <a:avLst/>
                    </a:prstGeom>
                    <a:noFill/>
                    <a:ln w="9525">
                      <a:noFill/>
                    </a:ln>
                  </pic:spPr>
                </pic:pic>
              </a:graphicData>
            </a:graphic>
          </wp:inline>
        </w:drawing>
      </w:r>
    </w:p>
    <w:p w14:paraId="60D62296">
      <w:pPr>
        <w:keepNext/>
        <w:keepLines/>
        <w:spacing w:line="440" w:lineRule="exact"/>
        <w:jc w:val="center"/>
        <w:rPr>
          <w:rFonts w:ascii="Times New Roman" w:hAnsi="Times New Roman" w:cs="Times New Roman"/>
          <w:b/>
          <w:color w:val="auto"/>
          <w:w w:val="99"/>
          <w:kern w:val="2"/>
          <w:highlight w:val="none"/>
        </w:rPr>
      </w:pPr>
      <w:r>
        <w:rPr>
          <w:rFonts w:hint="eastAsia" w:ascii="Times New Roman" w:hAnsi="Times New Roman" w:cs="Times New Roman"/>
          <w:b/>
          <w:color w:val="auto"/>
          <w:w w:val="99"/>
          <w:kern w:val="2"/>
          <w:highlight w:val="none"/>
        </w:rPr>
        <w:t>图3.10-4   退役期工艺流程及产污节点图</w:t>
      </w:r>
    </w:p>
    <w:p w14:paraId="11F9B72D">
      <w:pPr>
        <w:pStyle w:val="7"/>
        <w:keepNext w:val="0"/>
        <w:keepLines w:val="0"/>
        <w:widowControl w:val="0"/>
        <w:spacing w:before="60" w:after="60" w:line="440" w:lineRule="exact"/>
        <w:jc w:val="both"/>
        <w:rPr>
          <w:rFonts w:eastAsia="宋体"/>
          <w:b/>
          <w:color w:val="auto"/>
          <w:w w:val="99"/>
          <w:kern w:val="2"/>
          <w:sz w:val="24"/>
          <w:szCs w:val="24"/>
          <w:highlight w:val="none"/>
        </w:rPr>
      </w:pPr>
      <w:r>
        <w:rPr>
          <w:rFonts w:hint="eastAsia" w:eastAsia="宋体"/>
          <w:b/>
          <w:color w:val="auto"/>
          <w:w w:val="99"/>
          <w:kern w:val="2"/>
          <w:sz w:val="24"/>
          <w:szCs w:val="24"/>
          <w:highlight w:val="none"/>
        </w:rPr>
        <w:t>3.10</w:t>
      </w:r>
      <w:r>
        <w:rPr>
          <w:rFonts w:eastAsia="宋体"/>
          <w:b/>
          <w:color w:val="auto"/>
          <w:w w:val="99"/>
          <w:kern w:val="2"/>
          <w:sz w:val="24"/>
          <w:szCs w:val="24"/>
          <w:highlight w:val="none"/>
        </w:rPr>
        <w:t>.2生态影响因素分析</w:t>
      </w:r>
      <w:bookmarkEnd w:id="523"/>
      <w:bookmarkEnd w:id="524"/>
      <w:bookmarkEnd w:id="525"/>
      <w:bookmarkEnd w:id="526"/>
      <w:bookmarkEnd w:id="527"/>
      <w:bookmarkEnd w:id="528"/>
      <w:bookmarkEnd w:id="529"/>
      <w:bookmarkEnd w:id="530"/>
      <w:bookmarkEnd w:id="531"/>
    </w:p>
    <w:p w14:paraId="33F4F54B">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（1）施工期</w:t>
      </w:r>
    </w:p>
    <w:p w14:paraId="5772FDB6">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本项目施工期生态影响主要来自施工土壤扰动、地表植被破坏、土地占用导致的土地类型利用改变与对原有动植物的侵扰，以及道路、管线等线性工程导致的区域整体景观破碎化程度上升等。</w:t>
      </w:r>
    </w:p>
    <w:p w14:paraId="717C032F">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①占用土地</w:t>
      </w:r>
    </w:p>
    <w:p w14:paraId="3D931AA2">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本工程</w:t>
      </w:r>
      <w:r>
        <w:rPr>
          <w:rFonts w:ascii="Times New Roman" w:hAnsi="Times New Roman" w:cs="Times New Roman"/>
          <w:color w:val="auto"/>
          <w:w w:val="99"/>
          <w:kern w:val="2"/>
          <w:szCs w:val="20"/>
          <w:highlight w:val="none"/>
        </w:rPr>
        <w:t>基建</w:t>
      </w:r>
      <w:r>
        <w:rPr>
          <w:rFonts w:hint="eastAsia" w:ascii="Times New Roman" w:hAnsi="Times New Roman" w:cs="Times New Roman"/>
          <w:color w:val="auto"/>
          <w:w w:val="99"/>
          <w:kern w:val="2"/>
          <w:szCs w:val="20"/>
          <w:highlight w:val="none"/>
        </w:rPr>
        <w:t>1</w:t>
      </w:r>
      <w:r>
        <w:rPr>
          <w:rFonts w:ascii="Times New Roman" w:hAnsi="Times New Roman" w:cs="Times New Roman"/>
          <w:color w:val="auto"/>
          <w:w w:val="99"/>
          <w:kern w:val="2"/>
          <w:szCs w:val="20"/>
          <w:highlight w:val="none"/>
        </w:rPr>
        <w:t>口</w:t>
      </w:r>
      <w:r>
        <w:rPr>
          <w:rFonts w:hint="eastAsia" w:ascii="Times New Roman" w:hAnsi="Times New Roman" w:cs="Times New Roman"/>
          <w:color w:val="auto"/>
          <w:w w:val="99"/>
          <w:kern w:val="2"/>
          <w:szCs w:val="20"/>
          <w:highlight w:val="none"/>
        </w:rPr>
        <w:t>气井、1座徐深27集气站改建，</w:t>
      </w:r>
      <w:r>
        <w:rPr>
          <w:rFonts w:hint="eastAsia" w:ascii="Times New Roman" w:hAnsi="Times New Roman" w:cs="Times New Roman"/>
          <w:snapToGrid w:val="0"/>
          <w:color w:val="auto"/>
          <w:w w:val="99"/>
          <w:highlight w:val="none"/>
        </w:rPr>
        <w:t>配套建设道路工程、供配电工程、自动控制、通信工程等</w:t>
      </w:r>
      <w:r>
        <w:rPr>
          <w:rFonts w:ascii="Times New Roman" w:hAnsi="Times New Roman" w:cs="Times New Roman"/>
          <w:color w:val="auto"/>
          <w:w w:val="99"/>
          <w:kern w:val="2"/>
          <w:szCs w:val="20"/>
          <w:highlight w:val="none"/>
        </w:rPr>
        <w:t>。</w:t>
      </w:r>
      <w:r>
        <w:rPr>
          <w:rFonts w:hint="eastAsia" w:ascii="Times New Roman" w:hAnsi="Times New Roman" w:cs="Times New Roman"/>
          <w:color w:val="auto"/>
          <w:w w:val="99"/>
          <w:kern w:val="2"/>
          <w:szCs w:val="20"/>
          <w:highlight w:val="none"/>
        </w:rPr>
        <w:t>新增总占地面积为2.013</w:t>
      </w:r>
      <w:r>
        <w:rPr>
          <w:rFonts w:ascii="Times New Roman" w:hAnsi="Times New Roman" w:cs="Times New Roman"/>
          <w:color w:val="auto"/>
          <w:w w:val="99"/>
          <w:kern w:val="2"/>
          <w:szCs w:val="20"/>
          <w:highlight w:val="none"/>
        </w:rPr>
        <w:t>hm</w:t>
      </w:r>
      <w:r>
        <w:rPr>
          <w:rFonts w:ascii="Times New Roman" w:hAnsi="Times New Roman" w:cs="Times New Roman"/>
          <w:color w:val="auto"/>
          <w:w w:val="99"/>
          <w:kern w:val="2"/>
          <w:szCs w:val="20"/>
          <w:highlight w:val="none"/>
          <w:vertAlign w:val="superscript"/>
        </w:rPr>
        <w:t>2</w:t>
      </w:r>
      <w:r>
        <w:rPr>
          <w:rFonts w:ascii="Times New Roman" w:hAnsi="Times New Roman" w:cs="Times New Roman"/>
          <w:color w:val="auto"/>
          <w:w w:val="99"/>
          <w:kern w:val="2"/>
          <w:szCs w:val="20"/>
          <w:highlight w:val="none"/>
        </w:rPr>
        <w:t>，</w:t>
      </w:r>
      <w:r>
        <w:rPr>
          <w:rFonts w:hint="eastAsia" w:ascii="Times New Roman" w:hAnsi="Times New Roman" w:cs="Times New Roman"/>
          <w:color w:val="auto"/>
          <w:w w:val="99"/>
          <w:kern w:val="2"/>
          <w:szCs w:val="20"/>
          <w:highlight w:val="none"/>
        </w:rPr>
        <w:t>其中</w:t>
      </w:r>
      <w:r>
        <w:rPr>
          <w:rFonts w:ascii="Times New Roman" w:hAnsi="Times New Roman" w:cs="Times New Roman"/>
          <w:color w:val="auto"/>
          <w:w w:val="99"/>
          <w:kern w:val="2"/>
          <w:szCs w:val="20"/>
          <w:highlight w:val="none"/>
        </w:rPr>
        <w:t>永久</w:t>
      </w:r>
      <w:r>
        <w:rPr>
          <w:rFonts w:hint="eastAsia" w:ascii="Times New Roman" w:hAnsi="Times New Roman" w:cs="Times New Roman"/>
          <w:color w:val="auto"/>
          <w:w w:val="99"/>
          <w:kern w:val="2"/>
          <w:szCs w:val="20"/>
          <w:highlight w:val="none"/>
        </w:rPr>
        <w:t>占地0.0901</w:t>
      </w:r>
      <w:r>
        <w:rPr>
          <w:rFonts w:ascii="Times New Roman" w:hAnsi="Times New Roman" w:cs="Times New Roman"/>
          <w:color w:val="auto"/>
          <w:w w:val="99"/>
          <w:kern w:val="2"/>
          <w:szCs w:val="20"/>
          <w:highlight w:val="none"/>
        </w:rPr>
        <w:t>hm</w:t>
      </w:r>
      <w:r>
        <w:rPr>
          <w:rFonts w:ascii="Times New Roman" w:hAnsi="Times New Roman" w:cs="Times New Roman"/>
          <w:color w:val="auto"/>
          <w:w w:val="99"/>
          <w:kern w:val="2"/>
          <w:szCs w:val="20"/>
          <w:highlight w:val="none"/>
          <w:vertAlign w:val="superscript"/>
        </w:rPr>
        <w:t>2</w:t>
      </w:r>
      <w:r>
        <w:rPr>
          <w:rFonts w:hint="eastAsia" w:ascii="Times New Roman" w:hAnsi="Times New Roman" w:cs="Times New Roman"/>
          <w:color w:val="auto"/>
          <w:w w:val="99"/>
          <w:kern w:val="2"/>
          <w:szCs w:val="20"/>
          <w:highlight w:val="none"/>
        </w:rPr>
        <w:t>（基本农田）；临时占地1.9229</w:t>
      </w:r>
      <w:r>
        <w:rPr>
          <w:rFonts w:ascii="Times New Roman" w:hAnsi="Times New Roman" w:cs="Times New Roman"/>
          <w:color w:val="auto"/>
          <w:w w:val="99"/>
          <w:kern w:val="2"/>
          <w:szCs w:val="20"/>
          <w:highlight w:val="none"/>
        </w:rPr>
        <w:t>hm</w:t>
      </w:r>
      <w:r>
        <w:rPr>
          <w:rFonts w:ascii="Times New Roman" w:hAnsi="Times New Roman" w:cs="Times New Roman"/>
          <w:color w:val="auto"/>
          <w:w w:val="99"/>
          <w:kern w:val="2"/>
          <w:szCs w:val="20"/>
          <w:highlight w:val="none"/>
          <w:vertAlign w:val="superscript"/>
        </w:rPr>
        <w:t>2</w:t>
      </w:r>
      <w:r>
        <w:rPr>
          <w:rFonts w:hint="eastAsia" w:ascii="Times New Roman" w:hAnsi="Times New Roman" w:cs="Times New Roman"/>
          <w:color w:val="auto"/>
          <w:w w:val="99"/>
          <w:kern w:val="2"/>
          <w:szCs w:val="20"/>
          <w:highlight w:val="none"/>
        </w:rPr>
        <w:t>。</w:t>
      </w:r>
    </w:p>
    <w:p w14:paraId="4F719CBB">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永久占用的土地将永久性的改变土地利用结构和功能；临时占地将在短期改变土地利用的结构和功能，但施工结束后可恢复原有使用功能。</w:t>
      </w:r>
    </w:p>
    <w:p w14:paraId="549690A4">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②破坏植被</w:t>
      </w:r>
    </w:p>
    <w:p w14:paraId="2F37D432">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施工期对植物的影响主要表现在对永久占地和临时占地范围内地表植被的清理、占压及施工人群的干扰。项目施工不但造成直接破坏区的植被剥离，还将对间接破坏区的植被造成压占，将导致局部区域生物量的减少。</w:t>
      </w:r>
    </w:p>
    <w:p w14:paraId="0BD45C3B">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③破坏、污染土壤</w:t>
      </w:r>
    </w:p>
    <w:p w14:paraId="6CE303A5">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本项目对土壤的影响主要表现为对土壤性质、土壤肥力和土壤污染的影响三个方面。项目土方的开挖和回填，将造成土壤结构的改变，进而导致土壤肥力的降低，对当地农作物等植被的生长和产量造成一定影响。</w:t>
      </w:r>
    </w:p>
    <w:p w14:paraId="5C0FC454">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④破坏景观</w:t>
      </w:r>
    </w:p>
    <w:p w14:paraId="63EBC03A">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项目建设对原有景观的连通性造成一定程度的破坏影响，同时在施工期形成点状、线状工程建设景观。项目建设对景观格局和功能产生临时性的影响。</w:t>
      </w:r>
    </w:p>
    <w:p w14:paraId="663A589F">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⑤破坏干扰生态系统</w:t>
      </w:r>
    </w:p>
    <w:p w14:paraId="6766A6A6">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项目建设将对评价区内的农田生态系统产生一定的不利影响，使局部生态系统受到一定程度的破坏干扰。</w:t>
      </w:r>
    </w:p>
    <w:p w14:paraId="681414CE">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⑥水土流失</w:t>
      </w:r>
    </w:p>
    <w:p w14:paraId="656F0F41">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项目井场、站场及管线施工扰动，将使施工区域周围的土壤结构和地表植被遭到破坏，打破了地表的原有平衡状态，使得土壤结构变松，加剧区域的水土流失。</w:t>
      </w:r>
    </w:p>
    <w:p w14:paraId="70A92A72">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（2）运行期</w:t>
      </w:r>
    </w:p>
    <w:p w14:paraId="24CE3E98">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本项目建成后，临时占地得到有效的填充平整、恢复植被，道路两侧及站场周围植被得到恢复，以降低土地沙漠化，减少水土流失。</w:t>
      </w:r>
    </w:p>
    <w:p w14:paraId="17440558">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本项目生产运营期对生态环境的影响较小，主要为事故状态下污水管线破裂对周边植被、土壤等生态要素的影响；以及采气管道发生破裂后，在空气中形成爆炸性气体，遇火源发生火灾爆炸事故时，对生态环境带来的危害。</w:t>
      </w:r>
    </w:p>
    <w:p w14:paraId="278DB652">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（3）退役期</w:t>
      </w:r>
    </w:p>
    <w:p w14:paraId="029827DB">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退役期主要是井场采气井的陆续停运、关闭、恢复土地使用功能时段。退役期作业主要包括拆除井场的采油设备、设施，封闭井口，对井场和道路等占地进行生态恢复等。设备拆除时将对地表植被产生破坏和干扰，同时也可能引起新的水土流失。</w:t>
      </w:r>
    </w:p>
    <w:p w14:paraId="223DBBA6">
      <w:pPr>
        <w:pStyle w:val="7"/>
        <w:keepNext w:val="0"/>
        <w:keepLines w:val="0"/>
        <w:widowControl w:val="0"/>
        <w:spacing w:before="60" w:after="60" w:line="440" w:lineRule="exact"/>
        <w:jc w:val="both"/>
        <w:rPr>
          <w:rFonts w:eastAsia="宋体"/>
          <w:b/>
          <w:color w:val="auto"/>
          <w:w w:val="99"/>
          <w:kern w:val="2"/>
          <w:sz w:val="24"/>
          <w:szCs w:val="24"/>
          <w:highlight w:val="none"/>
        </w:rPr>
      </w:pPr>
      <w:r>
        <w:rPr>
          <w:rFonts w:hint="eastAsia" w:eastAsia="宋体"/>
          <w:b/>
          <w:color w:val="auto"/>
          <w:w w:val="99"/>
          <w:kern w:val="2"/>
          <w:sz w:val="24"/>
          <w:szCs w:val="24"/>
          <w:highlight w:val="none"/>
        </w:rPr>
        <w:t>3.10.3环境风险</w:t>
      </w:r>
      <w:r>
        <w:rPr>
          <w:rFonts w:eastAsia="宋体"/>
          <w:b/>
          <w:color w:val="auto"/>
          <w:w w:val="99"/>
          <w:kern w:val="2"/>
          <w:sz w:val="24"/>
          <w:szCs w:val="24"/>
          <w:highlight w:val="none"/>
        </w:rPr>
        <w:t>分析</w:t>
      </w:r>
    </w:p>
    <w:p w14:paraId="3554A6E6">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本项目气田开发过程中，可能发生井喷事故，井场、采气管道天然气、采出水发生泄漏事故，甚至引发火灾、爆炸等。在运行过程中，由于操作失误、设备或阀门失控、采气管道破裂等原因会导致天然气排入大气环境，其中的非甲烷总烃会污染环境空气；天然气泄漏可能引发火灾爆炸，则会产生CO等次生污染物，从而污染事故附近的环境空气，并对附近的人群造成伤害。</w:t>
      </w:r>
    </w:p>
    <w:p w14:paraId="0B939D00">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532" w:name="_Toc80588274"/>
      <w:bookmarkStart w:id="533" w:name="_Toc83209496"/>
      <w:bookmarkStart w:id="534" w:name="_Toc186444302"/>
      <w:bookmarkStart w:id="535" w:name="_Toc78816479"/>
      <w:bookmarkStart w:id="536" w:name="_Toc80971396"/>
      <w:bookmarkStart w:id="537" w:name="_Toc70050203"/>
      <w:bookmarkStart w:id="538" w:name="_Toc76976265"/>
      <w:bookmarkStart w:id="539" w:name="_Toc67860154"/>
      <w:bookmarkStart w:id="540" w:name="_Toc77067677"/>
      <w:r>
        <w:rPr>
          <w:rFonts w:hint="eastAsia" w:eastAsia="宋体"/>
          <w:b/>
          <w:color w:val="auto"/>
          <w:w w:val="99"/>
          <w:kern w:val="2"/>
          <w:sz w:val="24"/>
          <w:szCs w:val="24"/>
          <w:highlight w:val="none"/>
        </w:rPr>
        <w:t>3.10</w:t>
      </w:r>
      <w:r>
        <w:rPr>
          <w:rFonts w:eastAsia="宋体"/>
          <w:b/>
          <w:color w:val="auto"/>
          <w:w w:val="99"/>
          <w:kern w:val="2"/>
          <w:sz w:val="24"/>
          <w:szCs w:val="24"/>
          <w:highlight w:val="none"/>
        </w:rPr>
        <w:t>.</w:t>
      </w:r>
      <w:r>
        <w:rPr>
          <w:rFonts w:hint="eastAsia" w:eastAsia="宋体"/>
          <w:b/>
          <w:color w:val="auto"/>
          <w:w w:val="99"/>
          <w:kern w:val="2"/>
          <w:sz w:val="24"/>
          <w:szCs w:val="24"/>
          <w:highlight w:val="none"/>
        </w:rPr>
        <w:t>4</w:t>
      </w:r>
      <w:r>
        <w:rPr>
          <w:rFonts w:eastAsia="宋体"/>
          <w:b/>
          <w:color w:val="auto"/>
          <w:w w:val="99"/>
          <w:kern w:val="2"/>
          <w:sz w:val="24"/>
          <w:szCs w:val="24"/>
          <w:highlight w:val="none"/>
        </w:rPr>
        <w:t>污染源源强核算</w:t>
      </w:r>
      <w:bookmarkEnd w:id="532"/>
      <w:bookmarkEnd w:id="533"/>
      <w:bookmarkEnd w:id="534"/>
      <w:bookmarkEnd w:id="535"/>
      <w:bookmarkEnd w:id="536"/>
      <w:bookmarkEnd w:id="537"/>
      <w:bookmarkEnd w:id="538"/>
      <w:bookmarkEnd w:id="539"/>
      <w:bookmarkEnd w:id="540"/>
    </w:p>
    <w:p w14:paraId="38FABB81">
      <w:pPr>
        <w:spacing w:line="440" w:lineRule="exact"/>
        <w:outlineLvl w:val="3"/>
        <w:rPr>
          <w:rFonts w:ascii="Times New Roman" w:hAnsi="Times New Roman" w:cs="Times New Roman"/>
          <w:b/>
          <w:color w:val="auto"/>
          <w:w w:val="99"/>
          <w:highlight w:val="none"/>
        </w:rPr>
      </w:pPr>
      <w:r>
        <w:rPr>
          <w:rFonts w:hint="eastAsia" w:ascii="Times New Roman" w:hAnsi="Times New Roman" w:cs="Times New Roman"/>
          <w:b/>
          <w:color w:val="auto"/>
          <w:w w:val="99"/>
          <w:highlight w:val="none"/>
        </w:rPr>
        <w:t>3.10</w:t>
      </w:r>
      <w:r>
        <w:rPr>
          <w:rFonts w:ascii="Times New Roman" w:hAnsi="Times New Roman" w:cs="Times New Roman"/>
          <w:b/>
          <w:color w:val="auto"/>
          <w:w w:val="99"/>
          <w:highlight w:val="none"/>
        </w:rPr>
        <w:t>.</w:t>
      </w:r>
      <w:r>
        <w:rPr>
          <w:rFonts w:hint="eastAsia" w:ascii="Times New Roman" w:hAnsi="Times New Roman" w:cs="Times New Roman"/>
          <w:b/>
          <w:color w:val="auto"/>
          <w:w w:val="99"/>
          <w:highlight w:val="none"/>
        </w:rPr>
        <w:t>4</w:t>
      </w:r>
      <w:r>
        <w:rPr>
          <w:rFonts w:ascii="Times New Roman" w:hAnsi="Times New Roman" w:cs="Times New Roman"/>
          <w:b/>
          <w:color w:val="auto"/>
          <w:w w:val="99"/>
          <w:highlight w:val="none"/>
        </w:rPr>
        <w:t>.1施工期</w:t>
      </w:r>
      <w:bookmarkStart w:id="541" w:name="OLE_LINK21"/>
      <w:bookmarkStart w:id="542" w:name="OLE_LINK17"/>
      <w:r>
        <w:rPr>
          <w:rFonts w:ascii="Times New Roman" w:hAnsi="Times New Roman" w:cs="Times New Roman"/>
          <w:b/>
          <w:color w:val="auto"/>
          <w:w w:val="99"/>
          <w:highlight w:val="none"/>
        </w:rPr>
        <w:t>污染源源强核算</w:t>
      </w:r>
      <w:bookmarkEnd w:id="541"/>
      <w:bookmarkEnd w:id="542"/>
    </w:p>
    <w:p w14:paraId="05F807AD">
      <w:pPr>
        <w:widowControl w:val="0"/>
        <w:snapToGrid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（1）废气</w:t>
      </w:r>
    </w:p>
    <w:p w14:paraId="174B3A16">
      <w:pPr>
        <w:widowControl w:val="0"/>
        <w:snapToGrid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施工期废气主要为地面工程施工时管沟开挖、道路敷设、土方堆填</w:t>
      </w:r>
      <w:r>
        <w:rPr>
          <w:rFonts w:hint="eastAsia" w:ascii="Times New Roman" w:hAnsi="Times New Roman" w:cs="Times New Roman"/>
          <w:color w:val="auto"/>
          <w:w w:val="99"/>
          <w:kern w:val="2"/>
          <w:highlight w:val="none"/>
        </w:rPr>
        <w:t>，站场工程地面施工</w:t>
      </w:r>
      <w:r>
        <w:rPr>
          <w:rFonts w:ascii="Times New Roman" w:hAnsi="Times New Roman" w:cs="Times New Roman"/>
          <w:color w:val="auto"/>
          <w:w w:val="99"/>
          <w:kern w:val="2"/>
          <w:highlight w:val="none"/>
        </w:rPr>
        <w:t>、车辆运输、恢复原有地面等过程中产生的粉尘、二次扬尘，管道焊接过程产生的焊接烟尘，施工设备和运输车辆尾气</w:t>
      </w:r>
      <w:r>
        <w:rPr>
          <w:rFonts w:hint="eastAsia" w:ascii="Times New Roman" w:hAnsi="Times New Roman" w:cs="Times New Roman"/>
          <w:color w:val="auto"/>
          <w:w w:val="99"/>
          <w:kern w:val="2"/>
          <w:highlight w:val="none"/>
        </w:rPr>
        <w:t>，以及试过过程产生的燃烧废气</w:t>
      </w:r>
      <w:r>
        <w:rPr>
          <w:rFonts w:ascii="Times New Roman" w:hAnsi="Times New Roman" w:cs="Times New Roman"/>
          <w:color w:val="auto"/>
          <w:w w:val="99"/>
          <w:kern w:val="2"/>
          <w:highlight w:val="none"/>
        </w:rPr>
        <w:t>。</w:t>
      </w:r>
    </w:p>
    <w:p w14:paraId="3C002759">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①</w:t>
      </w:r>
      <w:r>
        <w:rPr>
          <w:rFonts w:ascii="Times New Roman" w:hAnsi="Times New Roman" w:cs="Times New Roman"/>
          <w:color w:val="auto"/>
          <w:w w:val="99"/>
          <w:kern w:val="2"/>
          <w:szCs w:val="20"/>
          <w:highlight w:val="none"/>
        </w:rPr>
        <w:t>施工扬尘</w:t>
      </w:r>
    </w:p>
    <w:p w14:paraId="6CF25480">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本项目施工扬尘主要来自平整土地、开挖土方、材料运输、装卸等过程，其污染范围和程度与施工工艺、施工管理、土方含水率、气象条件、土方工程量等多种因素有关。本项目所在区域平坦空旷，大气扩散条件好。管线敷设、各种施工材料的运输给道路沿线带来扬尘污染，运输车辆行驶扬尘与车辆行驶速度、风速、路面积尘量和积尘湿度等因素有关。</w:t>
      </w:r>
    </w:p>
    <w:p w14:paraId="27A0A42B">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1）</w:t>
      </w:r>
      <w:r>
        <w:rPr>
          <w:rFonts w:ascii="Times New Roman" w:hAnsi="Times New Roman" w:cs="Times New Roman"/>
          <w:color w:val="auto"/>
          <w:w w:val="99"/>
          <w:kern w:val="2"/>
          <w:szCs w:val="20"/>
          <w:highlight w:val="none"/>
        </w:rPr>
        <w:t>施工产生的施工扬尘</w:t>
      </w:r>
    </w:p>
    <w:p w14:paraId="58C6CE3A">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根据《大气环境影响评价实用技术》（中国环境出版社）中北京市环境保护科学研究院对多个建筑施工场地的施工扬尘情况（包括清理渣土、土方挖掘、现场堆放、车辆往来）进行现场监测的数据</w:t>
      </w:r>
      <w:r>
        <w:rPr>
          <w:rFonts w:hint="eastAsia" w:ascii="Times New Roman" w:hAnsi="Times New Roman" w:cs="Times New Roman"/>
          <w:color w:val="auto"/>
          <w:w w:val="99"/>
          <w:kern w:val="2"/>
          <w:szCs w:val="20"/>
          <w:highlight w:val="none"/>
        </w:rPr>
        <w:t>，具体见表3.10-1。</w:t>
      </w:r>
    </w:p>
    <w:p w14:paraId="5DE26148">
      <w:pPr>
        <w:widowControl w:val="0"/>
        <w:adjustRightInd w:val="0"/>
        <w:snapToGrid w:val="0"/>
        <w:spacing w:line="440" w:lineRule="exact"/>
        <w:ind w:firstLine="476" w:firstLineChars="200"/>
        <w:jc w:val="both"/>
        <w:rPr>
          <w:rFonts w:ascii="Times New Roman" w:hAnsi="Times New Roman" w:cs="Times New Roman"/>
          <w:b/>
          <w:color w:val="auto"/>
          <w:szCs w:val="22"/>
          <w:highlight w:val="none"/>
        </w:rPr>
      </w:pPr>
      <w:r>
        <w:rPr>
          <w:rFonts w:ascii="Times New Roman" w:hAnsi="Times New Roman" w:cs="Times New Roman" w:eastAsiaTheme="minorEastAsia"/>
          <w:b/>
          <w:color w:val="auto"/>
          <w:w w:val="99"/>
          <w:highlight w:val="none"/>
        </w:rPr>
        <w:t>表</w:t>
      </w:r>
      <w:r>
        <w:rPr>
          <w:rFonts w:hint="eastAsia" w:ascii="Times New Roman" w:hAnsi="Times New Roman" w:cs="Times New Roman" w:eastAsiaTheme="minorEastAsia"/>
          <w:b/>
          <w:color w:val="auto"/>
          <w:w w:val="99"/>
          <w:highlight w:val="none"/>
        </w:rPr>
        <w:t>3.10</w:t>
      </w:r>
      <w:r>
        <w:rPr>
          <w:rFonts w:ascii="Times New Roman" w:hAnsi="Times New Roman" w:cs="Times New Roman" w:eastAsiaTheme="minorEastAsia"/>
          <w:b/>
          <w:color w:val="auto"/>
          <w:w w:val="99"/>
          <w:highlight w:val="none"/>
        </w:rPr>
        <w:t>-</w:t>
      </w:r>
      <w:r>
        <w:rPr>
          <w:rFonts w:hint="eastAsia" w:ascii="Times New Roman" w:hAnsi="Times New Roman" w:cs="Times New Roman" w:eastAsiaTheme="minorEastAsia"/>
          <w:b/>
          <w:color w:val="auto"/>
          <w:w w:val="99"/>
          <w:highlight w:val="none"/>
        </w:rPr>
        <w:t>1</w:t>
      </w:r>
      <w:r>
        <w:rPr>
          <w:rFonts w:ascii="Times New Roman" w:hAnsi="Times New Roman" w:cs="Times New Roman" w:eastAsiaTheme="minorEastAsia"/>
          <w:b/>
          <w:color w:val="auto"/>
          <w:w w:val="99"/>
          <w:highlight w:val="none"/>
        </w:rPr>
        <w:t xml:space="preserve">  </w:t>
      </w:r>
      <w:r>
        <w:rPr>
          <w:rFonts w:hint="eastAsia" w:ascii="Times New Roman" w:hAnsi="Times New Roman" w:cs="Times New Roman" w:eastAsiaTheme="minorEastAsia"/>
          <w:b/>
          <w:color w:val="auto"/>
          <w:w w:val="99"/>
          <w:highlight w:val="none"/>
        </w:rPr>
        <w:t>施工场地扬尘污染的颗粒物浓度值</w:t>
      </w:r>
      <w:r>
        <w:rPr>
          <w:rFonts w:ascii="Times New Roman" w:hAnsi="Times New Roman" w:cs="Times New Roman" w:eastAsiaTheme="minorEastAsia"/>
          <w:b/>
          <w:color w:val="auto"/>
          <w:w w:val="99"/>
          <w:highlight w:val="none"/>
        </w:rPr>
        <w:t xml:space="preserve">  单位：</w:t>
      </w:r>
      <w:r>
        <w:rPr>
          <w:rFonts w:hint="eastAsia" w:ascii="Times New Roman" w:hAnsi="Times New Roman" w:cs="Times New Roman" w:eastAsiaTheme="minorEastAsia"/>
          <w:b/>
          <w:color w:val="auto"/>
          <w:w w:val="99"/>
          <w:highlight w:val="none"/>
        </w:rPr>
        <w:t>mg/</w:t>
      </w:r>
      <w:r>
        <w:rPr>
          <w:rFonts w:hint="eastAsia" w:ascii="Times New Roman" w:hAnsi="Times New Roman" w:cs="Times New Roman"/>
          <w:b/>
          <w:color w:val="auto"/>
          <w:szCs w:val="22"/>
          <w:highlight w:val="none"/>
        </w:rPr>
        <w:t>m</w:t>
      </w:r>
      <w:r>
        <w:rPr>
          <w:rFonts w:hint="eastAsia" w:ascii="Times New Roman" w:hAnsi="Times New Roman" w:cs="Times New Roman"/>
          <w:b/>
          <w:color w:val="auto"/>
          <w:szCs w:val="22"/>
          <w:highlight w:val="none"/>
          <w:vertAlign w:val="superscript"/>
        </w:rPr>
        <w:t>3</w:t>
      </w:r>
    </w:p>
    <w:tbl>
      <w:tblPr>
        <w:tblStyle w:val="8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1"/>
        <w:gridCol w:w="1499"/>
        <w:gridCol w:w="1650"/>
        <w:gridCol w:w="1275"/>
        <w:gridCol w:w="1289"/>
        <w:gridCol w:w="1362"/>
      </w:tblGrid>
      <w:tr w14:paraId="78781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pct"/>
            <w:vMerge w:val="restart"/>
            <w:tcBorders>
              <w:tl2br w:val="nil"/>
              <w:tr2bl w:val="nil"/>
            </w:tcBorders>
            <w:vAlign w:val="center"/>
          </w:tcPr>
          <w:p w14:paraId="50BAFBAB">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工程名称</w:t>
            </w:r>
          </w:p>
        </w:tc>
        <w:tc>
          <w:tcPr>
            <w:tcW w:w="807" w:type="pct"/>
            <w:vMerge w:val="restart"/>
            <w:tcBorders>
              <w:tl2br w:val="nil"/>
              <w:tr2bl w:val="nil"/>
            </w:tcBorders>
            <w:vAlign w:val="center"/>
          </w:tcPr>
          <w:p w14:paraId="3055BA45">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工地内</w:t>
            </w:r>
          </w:p>
        </w:tc>
        <w:tc>
          <w:tcPr>
            <w:tcW w:w="888" w:type="pct"/>
            <w:tcBorders>
              <w:tl2br w:val="nil"/>
              <w:tr2bl w:val="nil"/>
            </w:tcBorders>
          </w:tcPr>
          <w:p w14:paraId="63D7B92A">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工地上风向</w:t>
            </w:r>
          </w:p>
        </w:tc>
        <w:tc>
          <w:tcPr>
            <w:tcW w:w="2113" w:type="pct"/>
            <w:gridSpan w:val="3"/>
            <w:tcBorders>
              <w:tl2br w:val="nil"/>
              <w:tr2bl w:val="nil"/>
            </w:tcBorders>
          </w:tcPr>
          <w:p w14:paraId="65E760C3">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工地下风向</w:t>
            </w:r>
          </w:p>
        </w:tc>
      </w:tr>
      <w:tr w14:paraId="1B58E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pct"/>
            <w:vMerge w:val="continue"/>
            <w:tcBorders>
              <w:tl2br w:val="nil"/>
              <w:tr2bl w:val="nil"/>
            </w:tcBorders>
          </w:tcPr>
          <w:p w14:paraId="32208FC6">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807" w:type="pct"/>
            <w:vMerge w:val="continue"/>
            <w:tcBorders>
              <w:tl2br w:val="nil"/>
              <w:tr2bl w:val="nil"/>
            </w:tcBorders>
          </w:tcPr>
          <w:p w14:paraId="26386849">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888" w:type="pct"/>
            <w:tcBorders>
              <w:tl2br w:val="nil"/>
              <w:tr2bl w:val="nil"/>
            </w:tcBorders>
          </w:tcPr>
          <w:p w14:paraId="5D058BB0">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50m</w:t>
            </w:r>
          </w:p>
        </w:tc>
        <w:tc>
          <w:tcPr>
            <w:tcW w:w="686" w:type="pct"/>
            <w:tcBorders>
              <w:tl2br w:val="nil"/>
              <w:tr2bl w:val="nil"/>
            </w:tcBorders>
          </w:tcPr>
          <w:p w14:paraId="38CCD09B">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50m</w:t>
            </w:r>
          </w:p>
        </w:tc>
        <w:tc>
          <w:tcPr>
            <w:tcW w:w="694" w:type="pct"/>
            <w:tcBorders>
              <w:tl2br w:val="nil"/>
              <w:tr2bl w:val="nil"/>
            </w:tcBorders>
          </w:tcPr>
          <w:p w14:paraId="246B92D7">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100m</w:t>
            </w:r>
          </w:p>
        </w:tc>
        <w:tc>
          <w:tcPr>
            <w:tcW w:w="732" w:type="pct"/>
            <w:tcBorders>
              <w:tl2br w:val="nil"/>
              <w:tr2bl w:val="nil"/>
            </w:tcBorders>
          </w:tcPr>
          <w:p w14:paraId="4DED155A">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150m</w:t>
            </w:r>
          </w:p>
        </w:tc>
      </w:tr>
      <w:tr w14:paraId="24F08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pct"/>
            <w:tcBorders>
              <w:tl2br w:val="nil"/>
              <w:tr2bl w:val="nil"/>
            </w:tcBorders>
          </w:tcPr>
          <w:p w14:paraId="3DFAC181">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侨办工地</w:t>
            </w:r>
          </w:p>
        </w:tc>
        <w:tc>
          <w:tcPr>
            <w:tcW w:w="807" w:type="pct"/>
            <w:tcBorders>
              <w:tl2br w:val="nil"/>
              <w:tr2bl w:val="nil"/>
            </w:tcBorders>
          </w:tcPr>
          <w:p w14:paraId="57DE457B">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0.759</w:t>
            </w:r>
          </w:p>
        </w:tc>
        <w:tc>
          <w:tcPr>
            <w:tcW w:w="888" w:type="pct"/>
            <w:tcBorders>
              <w:tl2br w:val="nil"/>
              <w:tr2bl w:val="nil"/>
            </w:tcBorders>
          </w:tcPr>
          <w:p w14:paraId="051C74CD">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0.328</w:t>
            </w:r>
          </w:p>
        </w:tc>
        <w:tc>
          <w:tcPr>
            <w:tcW w:w="686" w:type="pct"/>
            <w:tcBorders>
              <w:tl2br w:val="nil"/>
              <w:tr2bl w:val="nil"/>
            </w:tcBorders>
          </w:tcPr>
          <w:p w14:paraId="2FB98C47">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0.502</w:t>
            </w:r>
          </w:p>
        </w:tc>
        <w:tc>
          <w:tcPr>
            <w:tcW w:w="694" w:type="pct"/>
            <w:tcBorders>
              <w:tl2br w:val="nil"/>
              <w:tr2bl w:val="nil"/>
            </w:tcBorders>
          </w:tcPr>
          <w:p w14:paraId="7C475548">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0.367</w:t>
            </w:r>
          </w:p>
        </w:tc>
        <w:tc>
          <w:tcPr>
            <w:tcW w:w="732" w:type="pct"/>
            <w:tcBorders>
              <w:tl2br w:val="nil"/>
              <w:tr2bl w:val="nil"/>
            </w:tcBorders>
          </w:tcPr>
          <w:p w14:paraId="579FB506">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0.336</w:t>
            </w:r>
          </w:p>
        </w:tc>
      </w:tr>
      <w:tr w14:paraId="04791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pct"/>
            <w:tcBorders>
              <w:tl2br w:val="nil"/>
              <w:tr2bl w:val="nil"/>
            </w:tcBorders>
          </w:tcPr>
          <w:p w14:paraId="3AD46001">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金属材料总公司工地</w:t>
            </w:r>
          </w:p>
        </w:tc>
        <w:tc>
          <w:tcPr>
            <w:tcW w:w="807" w:type="pct"/>
            <w:tcBorders>
              <w:tl2br w:val="nil"/>
              <w:tr2bl w:val="nil"/>
            </w:tcBorders>
          </w:tcPr>
          <w:p w14:paraId="0073DE8F">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0.618</w:t>
            </w:r>
          </w:p>
        </w:tc>
        <w:tc>
          <w:tcPr>
            <w:tcW w:w="888" w:type="pct"/>
            <w:tcBorders>
              <w:tl2br w:val="nil"/>
              <w:tr2bl w:val="nil"/>
            </w:tcBorders>
          </w:tcPr>
          <w:p w14:paraId="782DBF68">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0.325</w:t>
            </w:r>
          </w:p>
        </w:tc>
        <w:tc>
          <w:tcPr>
            <w:tcW w:w="686" w:type="pct"/>
            <w:tcBorders>
              <w:tl2br w:val="nil"/>
              <w:tr2bl w:val="nil"/>
            </w:tcBorders>
          </w:tcPr>
          <w:p w14:paraId="0E14E01D">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0.472</w:t>
            </w:r>
          </w:p>
        </w:tc>
        <w:tc>
          <w:tcPr>
            <w:tcW w:w="694" w:type="pct"/>
            <w:tcBorders>
              <w:tl2br w:val="nil"/>
              <w:tr2bl w:val="nil"/>
            </w:tcBorders>
          </w:tcPr>
          <w:p w14:paraId="51E663C5">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0.356</w:t>
            </w:r>
          </w:p>
        </w:tc>
        <w:tc>
          <w:tcPr>
            <w:tcW w:w="732" w:type="pct"/>
            <w:tcBorders>
              <w:tl2br w:val="nil"/>
              <w:tr2bl w:val="nil"/>
            </w:tcBorders>
          </w:tcPr>
          <w:p w14:paraId="0E8E4EFE">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0.332</w:t>
            </w:r>
          </w:p>
        </w:tc>
      </w:tr>
      <w:tr w14:paraId="52F87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pct"/>
            <w:tcBorders>
              <w:tl2br w:val="nil"/>
              <w:tr2bl w:val="nil"/>
            </w:tcBorders>
          </w:tcPr>
          <w:p w14:paraId="33BE395B">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广播电视部工地</w:t>
            </w:r>
          </w:p>
        </w:tc>
        <w:tc>
          <w:tcPr>
            <w:tcW w:w="807" w:type="pct"/>
            <w:tcBorders>
              <w:tl2br w:val="nil"/>
              <w:tr2bl w:val="nil"/>
            </w:tcBorders>
          </w:tcPr>
          <w:p w14:paraId="23AB278F">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0.596</w:t>
            </w:r>
          </w:p>
        </w:tc>
        <w:tc>
          <w:tcPr>
            <w:tcW w:w="888" w:type="pct"/>
            <w:tcBorders>
              <w:tl2br w:val="nil"/>
              <w:tr2bl w:val="nil"/>
            </w:tcBorders>
          </w:tcPr>
          <w:p w14:paraId="78196812">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0.311</w:t>
            </w:r>
          </w:p>
        </w:tc>
        <w:tc>
          <w:tcPr>
            <w:tcW w:w="686" w:type="pct"/>
            <w:tcBorders>
              <w:tl2br w:val="nil"/>
              <w:tr2bl w:val="nil"/>
            </w:tcBorders>
          </w:tcPr>
          <w:p w14:paraId="01BA738D">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0.434</w:t>
            </w:r>
          </w:p>
        </w:tc>
        <w:tc>
          <w:tcPr>
            <w:tcW w:w="694" w:type="pct"/>
            <w:tcBorders>
              <w:tl2br w:val="nil"/>
              <w:tr2bl w:val="nil"/>
            </w:tcBorders>
          </w:tcPr>
          <w:p w14:paraId="68EFA92F">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0.376</w:t>
            </w:r>
          </w:p>
        </w:tc>
        <w:tc>
          <w:tcPr>
            <w:tcW w:w="732" w:type="pct"/>
            <w:tcBorders>
              <w:tl2br w:val="nil"/>
              <w:tr2bl w:val="nil"/>
            </w:tcBorders>
          </w:tcPr>
          <w:p w14:paraId="4D3A5C6C">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0.309</w:t>
            </w:r>
          </w:p>
        </w:tc>
      </w:tr>
      <w:tr w14:paraId="3BD8C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pct"/>
            <w:tcBorders>
              <w:tl2br w:val="nil"/>
              <w:tr2bl w:val="nil"/>
            </w:tcBorders>
          </w:tcPr>
          <w:p w14:paraId="2222FAE5">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劲松小区工地</w:t>
            </w:r>
          </w:p>
        </w:tc>
        <w:tc>
          <w:tcPr>
            <w:tcW w:w="807" w:type="pct"/>
            <w:tcBorders>
              <w:tl2br w:val="nil"/>
              <w:tr2bl w:val="nil"/>
            </w:tcBorders>
          </w:tcPr>
          <w:p w14:paraId="32FFDBB0">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0.509</w:t>
            </w:r>
          </w:p>
        </w:tc>
        <w:tc>
          <w:tcPr>
            <w:tcW w:w="888" w:type="pct"/>
            <w:tcBorders>
              <w:tl2br w:val="nil"/>
              <w:tr2bl w:val="nil"/>
            </w:tcBorders>
          </w:tcPr>
          <w:p w14:paraId="1C9BC721">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0.303</w:t>
            </w:r>
          </w:p>
        </w:tc>
        <w:tc>
          <w:tcPr>
            <w:tcW w:w="686" w:type="pct"/>
            <w:tcBorders>
              <w:tl2br w:val="nil"/>
              <w:tr2bl w:val="nil"/>
            </w:tcBorders>
          </w:tcPr>
          <w:p w14:paraId="1F330ED0">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0.538</w:t>
            </w:r>
          </w:p>
        </w:tc>
        <w:tc>
          <w:tcPr>
            <w:tcW w:w="694" w:type="pct"/>
            <w:tcBorders>
              <w:tl2br w:val="nil"/>
              <w:tr2bl w:val="nil"/>
            </w:tcBorders>
          </w:tcPr>
          <w:p w14:paraId="04CC0287">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0.465</w:t>
            </w:r>
          </w:p>
        </w:tc>
        <w:tc>
          <w:tcPr>
            <w:tcW w:w="732" w:type="pct"/>
            <w:tcBorders>
              <w:tl2br w:val="nil"/>
              <w:tr2bl w:val="nil"/>
            </w:tcBorders>
          </w:tcPr>
          <w:p w14:paraId="2189BB07">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0.314</w:t>
            </w:r>
          </w:p>
        </w:tc>
      </w:tr>
      <w:tr w14:paraId="5EACB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90" w:type="pct"/>
            <w:tcBorders>
              <w:tl2br w:val="nil"/>
              <w:tr2bl w:val="nil"/>
            </w:tcBorders>
          </w:tcPr>
          <w:p w14:paraId="067F394C">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平均值</w:t>
            </w:r>
          </w:p>
        </w:tc>
        <w:tc>
          <w:tcPr>
            <w:tcW w:w="807" w:type="pct"/>
            <w:tcBorders>
              <w:tl2br w:val="nil"/>
              <w:tr2bl w:val="nil"/>
            </w:tcBorders>
          </w:tcPr>
          <w:p w14:paraId="59C5D048">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0.6205</w:t>
            </w:r>
          </w:p>
        </w:tc>
        <w:tc>
          <w:tcPr>
            <w:tcW w:w="888" w:type="pct"/>
            <w:tcBorders>
              <w:tl2br w:val="nil"/>
              <w:tr2bl w:val="nil"/>
            </w:tcBorders>
          </w:tcPr>
          <w:p w14:paraId="14D4326D">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0.3167</w:t>
            </w:r>
          </w:p>
        </w:tc>
        <w:tc>
          <w:tcPr>
            <w:tcW w:w="686" w:type="pct"/>
            <w:tcBorders>
              <w:tl2br w:val="nil"/>
              <w:tr2bl w:val="nil"/>
            </w:tcBorders>
          </w:tcPr>
          <w:p w14:paraId="2B9F3207">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0.4865</w:t>
            </w:r>
          </w:p>
        </w:tc>
        <w:tc>
          <w:tcPr>
            <w:tcW w:w="694" w:type="pct"/>
            <w:tcBorders>
              <w:tl2br w:val="nil"/>
              <w:tr2bl w:val="nil"/>
            </w:tcBorders>
          </w:tcPr>
          <w:p w14:paraId="154EF363">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0.390</w:t>
            </w:r>
          </w:p>
        </w:tc>
        <w:tc>
          <w:tcPr>
            <w:tcW w:w="732" w:type="pct"/>
            <w:tcBorders>
              <w:tl2br w:val="nil"/>
              <w:tr2bl w:val="nil"/>
            </w:tcBorders>
          </w:tcPr>
          <w:p w14:paraId="10DBE353">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0.322</w:t>
            </w:r>
          </w:p>
        </w:tc>
      </w:tr>
    </w:tbl>
    <w:p w14:paraId="21EDDF0C">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项目施工工地的扬尘主要来自运输车辆的行驶、土方开挖、回填使用的材料的露</w:t>
      </w:r>
      <w:r>
        <w:rPr>
          <w:rFonts w:hint="eastAsia" w:ascii="Times New Roman" w:hAnsi="Times New Roman" w:cs="Times New Roman"/>
          <w:color w:val="auto"/>
          <w:w w:val="99"/>
          <w:kern w:val="2"/>
          <w:szCs w:val="20"/>
          <w:highlight w:val="none"/>
        </w:rPr>
        <w:t>天</w:t>
      </w:r>
      <w:r>
        <w:rPr>
          <w:rFonts w:ascii="Times New Roman" w:hAnsi="Times New Roman" w:cs="Times New Roman"/>
          <w:color w:val="auto"/>
          <w:w w:val="99"/>
          <w:kern w:val="2"/>
          <w:szCs w:val="20"/>
          <w:highlight w:val="none"/>
        </w:rPr>
        <w:t>堆放产生，</w:t>
      </w:r>
      <w:r>
        <w:rPr>
          <w:rFonts w:hint="eastAsia" w:ascii="Times New Roman" w:hAnsi="Times New Roman" w:cs="Times New Roman"/>
          <w:color w:val="auto"/>
          <w:w w:val="99"/>
          <w:kern w:val="2"/>
          <w:szCs w:val="20"/>
          <w:highlight w:val="none"/>
        </w:rPr>
        <w:t>工地内的扬尘浓度在1mg/m</w:t>
      </w:r>
      <w:r>
        <w:rPr>
          <w:rFonts w:hint="eastAsia" w:ascii="Times New Roman" w:hAnsi="Times New Roman" w:cs="Times New Roman"/>
          <w:color w:val="auto"/>
          <w:w w:val="99"/>
          <w:kern w:val="2"/>
          <w:szCs w:val="20"/>
          <w:highlight w:val="none"/>
          <w:vertAlign w:val="superscript"/>
        </w:rPr>
        <w:t>3</w:t>
      </w:r>
      <w:r>
        <w:rPr>
          <w:rFonts w:hint="eastAsia" w:ascii="Times New Roman" w:hAnsi="Times New Roman" w:cs="Times New Roman"/>
          <w:color w:val="auto"/>
          <w:w w:val="99"/>
          <w:kern w:val="2"/>
          <w:szCs w:val="20"/>
          <w:highlight w:val="none"/>
        </w:rPr>
        <w:t>以内。</w:t>
      </w:r>
    </w:p>
    <w:p w14:paraId="3D9288E8">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本项目</w:t>
      </w:r>
      <w:r>
        <w:rPr>
          <w:rFonts w:hint="eastAsia" w:ascii="Times New Roman" w:hAnsi="Times New Roman" w:cs="Times New Roman"/>
          <w:color w:val="auto"/>
          <w:w w:val="99"/>
          <w:kern w:val="2"/>
          <w:szCs w:val="20"/>
          <w:highlight w:val="none"/>
        </w:rPr>
        <w:t>管道</w:t>
      </w:r>
      <w:r>
        <w:rPr>
          <w:rFonts w:ascii="Times New Roman" w:hAnsi="Times New Roman" w:cs="Times New Roman"/>
          <w:color w:val="auto"/>
          <w:w w:val="99"/>
          <w:kern w:val="2"/>
          <w:szCs w:val="20"/>
          <w:highlight w:val="none"/>
        </w:rPr>
        <w:t>、道路</w:t>
      </w:r>
      <w:r>
        <w:rPr>
          <w:rFonts w:hint="eastAsia" w:ascii="Times New Roman" w:hAnsi="Times New Roman" w:cs="Times New Roman"/>
          <w:color w:val="auto"/>
          <w:w w:val="99"/>
          <w:kern w:val="2"/>
          <w:szCs w:val="20"/>
          <w:highlight w:val="none"/>
        </w:rPr>
        <w:t>等扰动</w:t>
      </w:r>
      <w:r>
        <w:rPr>
          <w:rFonts w:ascii="Times New Roman" w:hAnsi="Times New Roman" w:cs="Times New Roman"/>
          <w:color w:val="auto"/>
          <w:w w:val="99"/>
          <w:kern w:val="2"/>
          <w:szCs w:val="20"/>
          <w:highlight w:val="none"/>
        </w:rPr>
        <w:t>面</w:t>
      </w:r>
      <w:r>
        <w:rPr>
          <w:rFonts w:hint="eastAsia" w:ascii="Times New Roman" w:hAnsi="Times New Roman" w:cs="Times New Roman"/>
          <w:color w:val="auto"/>
          <w:w w:val="99"/>
          <w:kern w:val="2"/>
          <w:szCs w:val="20"/>
          <w:highlight w:val="none"/>
        </w:rPr>
        <w:t>等</w:t>
      </w:r>
      <w:r>
        <w:rPr>
          <w:rFonts w:ascii="Times New Roman" w:hAnsi="Times New Roman" w:cs="Times New Roman"/>
          <w:color w:val="auto"/>
          <w:w w:val="99"/>
          <w:kern w:val="2"/>
          <w:szCs w:val="20"/>
          <w:highlight w:val="none"/>
        </w:rPr>
        <w:t>积约为</w:t>
      </w:r>
      <w:r>
        <w:rPr>
          <w:rFonts w:hint="eastAsia" w:ascii="Times New Roman" w:hAnsi="Times New Roman" w:cs="Times New Roman"/>
          <w:color w:val="auto"/>
          <w:w w:val="99"/>
          <w:kern w:val="2"/>
          <w:szCs w:val="20"/>
          <w:highlight w:val="none"/>
        </w:rPr>
        <w:t>2.013</w:t>
      </w:r>
      <w:r>
        <w:rPr>
          <w:rFonts w:ascii="Times New Roman" w:hAnsi="Times New Roman" w:cs="Times New Roman"/>
          <w:color w:val="auto"/>
          <w:w w:val="99"/>
          <w:kern w:val="2"/>
          <w:szCs w:val="20"/>
          <w:highlight w:val="none"/>
        </w:rPr>
        <w:t>hm</w:t>
      </w:r>
      <w:r>
        <w:rPr>
          <w:rFonts w:ascii="Times New Roman" w:hAnsi="Times New Roman" w:cs="Times New Roman"/>
          <w:color w:val="auto"/>
          <w:w w:val="99"/>
          <w:kern w:val="2"/>
          <w:szCs w:val="20"/>
          <w:highlight w:val="none"/>
          <w:vertAlign w:val="superscript"/>
        </w:rPr>
        <w:t>2</w:t>
      </w:r>
      <w:r>
        <w:rPr>
          <w:rFonts w:ascii="Times New Roman" w:hAnsi="Times New Roman" w:cs="Times New Roman"/>
          <w:color w:val="auto"/>
          <w:w w:val="99"/>
          <w:kern w:val="2"/>
          <w:szCs w:val="20"/>
          <w:highlight w:val="none"/>
        </w:rPr>
        <w:t>。参考土建工程现场扬尘实地监测结果，TSP产生系数为 0.01-0.05mg/m</w:t>
      </w:r>
      <w:r>
        <w:rPr>
          <w:rFonts w:ascii="Times New Roman" w:hAnsi="Times New Roman" w:cs="Times New Roman"/>
          <w:color w:val="auto"/>
          <w:w w:val="99"/>
          <w:kern w:val="2"/>
          <w:szCs w:val="20"/>
          <w:highlight w:val="none"/>
          <w:vertAlign w:val="superscript"/>
        </w:rPr>
        <w:t>2</w:t>
      </w:r>
      <w:r>
        <w:rPr>
          <w:rFonts w:ascii="Times New Roman" w:hAnsi="Times New Roman" w:cs="Times New Roman"/>
          <w:color w:val="auto"/>
          <w:w w:val="99"/>
          <w:kern w:val="2"/>
          <w:szCs w:val="20"/>
          <w:highlight w:val="none"/>
        </w:rPr>
        <w:t>·s，考虑最不利情况，TSP产生系数取0.05mg/m</w:t>
      </w:r>
      <w:r>
        <w:rPr>
          <w:rFonts w:ascii="Times New Roman" w:hAnsi="Times New Roman" w:cs="Times New Roman"/>
          <w:color w:val="auto"/>
          <w:w w:val="99"/>
          <w:kern w:val="2"/>
          <w:szCs w:val="20"/>
          <w:highlight w:val="none"/>
          <w:vertAlign w:val="superscript"/>
        </w:rPr>
        <w:t>2</w:t>
      </w:r>
      <w:r>
        <w:rPr>
          <w:rFonts w:ascii="Times New Roman" w:hAnsi="Times New Roman" w:cs="Times New Roman"/>
          <w:color w:val="auto"/>
          <w:w w:val="99"/>
          <w:kern w:val="2"/>
          <w:szCs w:val="20"/>
          <w:highlight w:val="none"/>
        </w:rPr>
        <w:t>·s，取施工现场的扰动面积为70%，按每天施工时间8h计算，施工扬尘产生量为</w:t>
      </w:r>
      <w:r>
        <w:rPr>
          <w:rFonts w:hint="eastAsia" w:ascii="Times New Roman" w:hAnsi="Times New Roman" w:cs="Times New Roman"/>
          <w:color w:val="auto"/>
          <w:w w:val="99"/>
          <w:kern w:val="2"/>
          <w:szCs w:val="20"/>
          <w:highlight w:val="none"/>
        </w:rPr>
        <w:t>20.29</w:t>
      </w:r>
      <w:r>
        <w:rPr>
          <w:rFonts w:ascii="Times New Roman" w:hAnsi="Times New Roman" w:cs="Times New Roman"/>
          <w:color w:val="auto"/>
          <w:w w:val="99"/>
          <w:kern w:val="2"/>
          <w:szCs w:val="20"/>
          <w:highlight w:val="none"/>
        </w:rPr>
        <w:t>kg/d</w:t>
      </w:r>
      <w:r>
        <w:rPr>
          <w:rFonts w:hint="eastAsia" w:ascii="Times New Roman" w:hAnsi="Times New Roman" w:cs="Times New Roman"/>
          <w:color w:val="auto"/>
          <w:w w:val="99"/>
          <w:kern w:val="2"/>
          <w:szCs w:val="20"/>
          <w:highlight w:val="none"/>
        </w:rPr>
        <w:t>（2.54kg/h）</w:t>
      </w:r>
      <w:r>
        <w:rPr>
          <w:rFonts w:ascii="Times New Roman" w:hAnsi="Times New Roman" w:cs="Times New Roman"/>
          <w:color w:val="auto"/>
          <w:w w:val="99"/>
          <w:kern w:val="2"/>
          <w:szCs w:val="20"/>
          <w:highlight w:val="none"/>
        </w:rPr>
        <w:t>。</w:t>
      </w:r>
    </w:p>
    <w:p w14:paraId="399AF2F0">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2）</w:t>
      </w:r>
      <w:r>
        <w:rPr>
          <w:rFonts w:ascii="Times New Roman" w:hAnsi="Times New Roman" w:cs="Times New Roman"/>
          <w:color w:val="auto"/>
          <w:w w:val="99"/>
          <w:kern w:val="2"/>
          <w:szCs w:val="20"/>
          <w:highlight w:val="none"/>
        </w:rPr>
        <w:t>运输车辆产生的扬尘</w:t>
      </w:r>
    </w:p>
    <w:p w14:paraId="0866C60B">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油</w:t>
      </w:r>
      <w:r>
        <w:rPr>
          <w:rFonts w:hint="eastAsia" w:ascii="Times New Roman" w:hAnsi="Times New Roman" w:cs="Times New Roman"/>
          <w:color w:val="auto"/>
          <w:w w:val="99"/>
          <w:kern w:val="2"/>
          <w:szCs w:val="20"/>
          <w:highlight w:val="none"/>
        </w:rPr>
        <w:t>气</w:t>
      </w:r>
      <w:r>
        <w:rPr>
          <w:rFonts w:ascii="Times New Roman" w:hAnsi="Times New Roman" w:cs="Times New Roman"/>
          <w:color w:val="auto"/>
          <w:w w:val="99"/>
          <w:kern w:val="2"/>
          <w:szCs w:val="20"/>
          <w:highlight w:val="none"/>
        </w:rPr>
        <w:t>田开发时各类运输车辆较多，排放的尾气会对大气环境造成一定污染。但由于车辆数量与每辆车行驶里程不易确定，因此本次评价仅简单分析。</w:t>
      </w:r>
    </w:p>
    <w:p w14:paraId="69C85A34">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③</w:t>
      </w:r>
      <w:r>
        <w:rPr>
          <w:rFonts w:ascii="Times New Roman" w:hAnsi="Times New Roman" w:cs="Times New Roman"/>
          <w:color w:val="auto"/>
          <w:w w:val="99"/>
          <w:kern w:val="2"/>
          <w:szCs w:val="20"/>
          <w:highlight w:val="none"/>
        </w:rPr>
        <w:t>焊接烟尘</w:t>
      </w:r>
    </w:p>
    <w:p w14:paraId="46395E4C">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本项目在管道接口处进行焊接时，采用二氧化碳气体保护焊技术，使用药芯焊丝焊接，利用二氧化碳气体做为保护气体，焊接过程中，在高温电弧作用下，焊丝端部及其母材被熔化，溶液表面剧烈喷射由药皮焊芯产生的高温高压蒸汽并向四周扩散。当蒸汽进入周围空气中时，被冷却并氧化，部分结成固体微粒，形成由气体和固体微粒组成的焊接烟尘。焊接烟尘中的主要成分是金属氧化物。</w:t>
      </w:r>
    </w:p>
    <w:p w14:paraId="21E3688C">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根据《排放源统计调查产排污核算方法和系数手册》中机械行业系数手册，药芯焊丝颗粒物产生量为20.5kg/t原料，本项目焊丝使用总量约为</w:t>
      </w:r>
      <w:r>
        <w:rPr>
          <w:rFonts w:hint="eastAsia" w:ascii="Times New Roman" w:hAnsi="Times New Roman" w:cs="Times New Roman"/>
          <w:color w:val="auto"/>
          <w:w w:val="99"/>
          <w:kern w:val="2"/>
          <w:szCs w:val="20"/>
          <w:highlight w:val="none"/>
        </w:rPr>
        <w:t>80</w:t>
      </w:r>
      <w:r>
        <w:rPr>
          <w:rFonts w:ascii="Times New Roman" w:hAnsi="Times New Roman" w:cs="Times New Roman"/>
          <w:color w:val="auto"/>
          <w:w w:val="99"/>
          <w:kern w:val="2"/>
          <w:szCs w:val="20"/>
          <w:highlight w:val="none"/>
        </w:rPr>
        <w:t>kg，焊接烟尘（颗粒物）的产生最大量为</w:t>
      </w:r>
      <w:r>
        <w:rPr>
          <w:rFonts w:hint="eastAsia" w:ascii="Times New Roman" w:hAnsi="Times New Roman" w:cs="Times New Roman"/>
          <w:color w:val="auto"/>
          <w:w w:val="99"/>
          <w:kern w:val="2"/>
          <w:szCs w:val="20"/>
          <w:highlight w:val="none"/>
        </w:rPr>
        <w:t>0.002</w:t>
      </w:r>
      <w:r>
        <w:rPr>
          <w:rFonts w:ascii="Times New Roman" w:hAnsi="Times New Roman" w:cs="Times New Roman"/>
          <w:color w:val="auto"/>
          <w:w w:val="99"/>
          <w:kern w:val="2"/>
          <w:szCs w:val="20"/>
          <w:highlight w:val="none"/>
        </w:rPr>
        <w:t>t。</w:t>
      </w:r>
    </w:p>
    <w:p w14:paraId="2C2E7BA8">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④</w:t>
      </w:r>
      <w:r>
        <w:rPr>
          <w:rFonts w:ascii="Times New Roman" w:hAnsi="Times New Roman" w:cs="Times New Roman"/>
          <w:color w:val="auto"/>
          <w:w w:val="99"/>
          <w:kern w:val="2"/>
          <w:szCs w:val="20"/>
          <w:highlight w:val="none"/>
        </w:rPr>
        <w:t>施工机械、运输车辆排放的废气</w:t>
      </w:r>
    </w:p>
    <w:p w14:paraId="0E4AA9BC">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油田开发时各类运输车辆较多，排放的尾气会对大气环境造成一定污染。但由于车辆数量与每辆车行驶里程不易确定，因此，本次评价仅简单分析。</w:t>
      </w:r>
    </w:p>
    <w:p w14:paraId="615E52A2">
      <w:pPr>
        <w:snapToGrid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（2）废水</w:t>
      </w:r>
    </w:p>
    <w:p w14:paraId="7A94F9AC">
      <w:pPr>
        <w:widowControl w:val="0"/>
        <w:spacing w:line="440" w:lineRule="exact"/>
        <w:ind w:firstLine="474" w:firstLineChars="200"/>
        <w:jc w:val="both"/>
        <w:rPr>
          <w:rFonts w:hint="eastAsia"/>
          <w:color w:val="auto"/>
          <w:w w:val="99"/>
          <w:kern w:val="2"/>
          <w:highlight w:val="none"/>
        </w:rPr>
      </w:pPr>
      <w:r>
        <w:rPr>
          <w:rFonts w:hint="eastAsia"/>
          <w:color w:val="auto"/>
          <w:w w:val="99"/>
          <w:kern w:val="2"/>
          <w:highlight w:val="none"/>
        </w:rPr>
        <w:t>施工期废水主要为管线试压废水及施工人员产生的生活污水。</w:t>
      </w:r>
    </w:p>
    <w:p w14:paraId="403B401C">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①试压废水</w:t>
      </w:r>
    </w:p>
    <w:p w14:paraId="3C173921">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本项目管道敷设完成后进行试压，本项目新建Φ76×（9+2）集气管道1.92km，管线试压用水量为 4.39m</w:t>
      </w:r>
      <w:r>
        <w:rPr>
          <w:rFonts w:hint="eastAsia" w:ascii="Times New Roman" w:hAnsi="Times New Roman" w:cs="Times New Roman"/>
          <w:color w:val="auto"/>
          <w:w w:val="99"/>
          <w:kern w:val="2"/>
          <w:highlight w:val="none"/>
          <w:vertAlign w:val="superscript"/>
        </w:rPr>
        <w:t>3</w:t>
      </w:r>
      <w:r>
        <w:rPr>
          <w:rFonts w:hint="eastAsia" w:ascii="Times New Roman" w:hAnsi="Times New Roman" w:cs="Times New Roman"/>
          <w:color w:val="auto"/>
          <w:w w:val="99"/>
          <w:kern w:val="2"/>
          <w:highlight w:val="none"/>
        </w:rPr>
        <w:t>。管线试压废水按试压用水量的 95%计，则试压废水产生量为4.17m</w:t>
      </w:r>
      <w:r>
        <w:rPr>
          <w:rFonts w:hint="eastAsia" w:ascii="Times New Roman" w:hAnsi="Times New Roman" w:cs="Times New Roman"/>
          <w:color w:val="auto"/>
          <w:w w:val="99"/>
          <w:kern w:val="2"/>
          <w:highlight w:val="none"/>
          <w:vertAlign w:val="superscript"/>
        </w:rPr>
        <w:t>3</w:t>
      </w:r>
      <w:r>
        <w:rPr>
          <w:rFonts w:hint="eastAsia" w:ascii="Times New Roman" w:hAnsi="Times New Roman" w:cs="Times New Roman"/>
          <w:color w:val="auto"/>
          <w:w w:val="99"/>
          <w:kern w:val="2"/>
          <w:highlight w:val="none"/>
        </w:rPr>
        <w:t>。项目管线试压废水通过罐车拉运至升一联气田污水预处理站处理，满足</w:t>
      </w:r>
      <w:r>
        <w:rPr>
          <w:rFonts w:ascii="Times New Roman" w:hAnsi="Times New Roman" w:cs="Times New Roman"/>
          <w:color w:val="auto"/>
          <w:w w:val="99"/>
          <w:kern w:val="2"/>
          <w:highlight w:val="none"/>
        </w:rPr>
        <w:t>《大庆油田地面工程建设设计规定》（Q/SYDQ 0639-2015）限值“含油量≤10mg/L、悬浮固体含量≤5mg/L、粒径中值≤2μm”</w:t>
      </w:r>
      <w:r>
        <w:rPr>
          <w:rFonts w:hint="eastAsia" w:ascii="Times New Roman" w:hAnsi="Times New Roman" w:cs="Times New Roman"/>
          <w:color w:val="auto"/>
          <w:w w:val="99"/>
          <w:kern w:val="2"/>
          <w:highlight w:val="none"/>
          <w:lang w:eastAsia="zh-CN"/>
        </w:rPr>
        <w:t>，</w:t>
      </w:r>
      <w:r>
        <w:rPr>
          <w:rFonts w:hint="eastAsia" w:ascii="Times New Roman" w:hAnsi="Times New Roman" w:cs="Times New Roman"/>
          <w:color w:val="auto"/>
          <w:w w:val="99"/>
          <w:kern w:val="2"/>
          <w:highlight w:val="none"/>
          <w:lang w:val="en-US" w:eastAsia="zh-CN"/>
        </w:rPr>
        <w:t>同时满足</w:t>
      </w:r>
      <w:r>
        <w:rPr>
          <w:rFonts w:ascii="Times New Roman" w:hAnsi="Times New Roman" w:cs="Times New Roman"/>
          <w:bCs/>
          <w:color w:val="auto"/>
          <w:w w:val="99"/>
          <w:highlight w:val="none"/>
        </w:rPr>
        <w:t>《碎屑岩油藏注水水质指标技术要求及分析方法》(SY/T5329-2022)中标准限值，</w:t>
      </w:r>
      <w:r>
        <w:rPr>
          <w:rFonts w:hint="eastAsia" w:ascii="Times New Roman" w:hAnsi="Times New Roman" w:cs="Times New Roman"/>
          <w:color w:val="auto"/>
          <w:w w:val="99"/>
          <w:kern w:val="2"/>
          <w:highlight w:val="none"/>
        </w:rPr>
        <w:t>回注到现役油气藏层位。</w:t>
      </w:r>
    </w:p>
    <w:p w14:paraId="61F7815A">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②生活污水</w:t>
      </w:r>
    </w:p>
    <w:p w14:paraId="6F2A35C8">
      <w:pPr>
        <w:widowControl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eastAsiaTheme="minorEastAsia"/>
          <w:color w:val="auto"/>
          <w:w w:val="99"/>
          <w:kern w:val="21"/>
          <w:highlight w:val="none"/>
        </w:rPr>
        <w:t>地面工程施工时间约30d，施工人数30人，根据《用水定额》（</w:t>
      </w:r>
      <w:r>
        <w:rPr>
          <w:rFonts w:ascii="Times New Roman" w:hAnsi="Times New Roman" w:cs="Times New Roman" w:eastAsiaTheme="minorEastAsia"/>
          <w:color w:val="auto"/>
          <w:w w:val="99"/>
          <w:kern w:val="21"/>
          <w:highlight w:val="none"/>
        </w:rPr>
        <w:t>DB23/T727-202</w:t>
      </w:r>
      <w:r>
        <w:rPr>
          <w:rFonts w:hint="eastAsia" w:ascii="Times New Roman" w:hAnsi="Times New Roman" w:cs="Times New Roman" w:eastAsiaTheme="minorEastAsia"/>
          <w:color w:val="auto"/>
          <w:w w:val="99"/>
          <w:kern w:val="21"/>
          <w:highlight w:val="none"/>
        </w:rPr>
        <w:t>5）项目施工期生活用水量按</w:t>
      </w:r>
      <w:r>
        <w:rPr>
          <w:rFonts w:ascii="Times New Roman" w:hAnsi="Times New Roman" w:cs="Times New Roman" w:eastAsiaTheme="minorEastAsia"/>
          <w:color w:val="auto"/>
          <w:w w:val="99"/>
          <w:kern w:val="21"/>
          <w:highlight w:val="none"/>
        </w:rPr>
        <w:t>80L/</w:t>
      </w:r>
      <w:r>
        <w:rPr>
          <w:rFonts w:hint="eastAsia" w:ascii="Times New Roman" w:hAnsi="Times New Roman" w:cs="Times New Roman" w:eastAsiaTheme="minorEastAsia"/>
          <w:color w:val="auto"/>
          <w:w w:val="99"/>
          <w:kern w:val="21"/>
          <w:highlight w:val="none"/>
        </w:rPr>
        <w:t>人</w:t>
      </w:r>
      <w:r>
        <w:rPr>
          <w:rFonts w:ascii="Times New Roman" w:hAnsi="Times New Roman" w:cs="Times New Roman" w:eastAsiaTheme="minorEastAsia"/>
          <w:color w:val="auto"/>
          <w:w w:val="99"/>
          <w:kern w:val="21"/>
          <w:highlight w:val="none"/>
        </w:rPr>
        <w:t xml:space="preserve">·d </w:t>
      </w:r>
      <w:r>
        <w:rPr>
          <w:rFonts w:hint="eastAsia" w:ascii="Times New Roman" w:hAnsi="Times New Roman" w:cs="Times New Roman" w:eastAsiaTheme="minorEastAsia"/>
          <w:color w:val="auto"/>
          <w:w w:val="99"/>
          <w:kern w:val="21"/>
          <w:highlight w:val="none"/>
        </w:rPr>
        <w:t>计，则施工期间施工人员生活用水量为720</w:t>
      </w:r>
      <w:r>
        <w:rPr>
          <w:rFonts w:ascii="Times New Roman" w:hAnsi="Times New Roman" w:cs="Times New Roman" w:eastAsiaTheme="minorEastAsia"/>
          <w:color w:val="auto"/>
          <w:w w:val="99"/>
          <w:kern w:val="21"/>
          <w:highlight w:val="none"/>
        </w:rPr>
        <w:t>m</w:t>
      </w:r>
      <w:r>
        <w:rPr>
          <w:rFonts w:ascii="Times New Roman" w:hAnsi="Times New Roman" w:cs="Times New Roman" w:eastAsiaTheme="minorEastAsia"/>
          <w:color w:val="auto"/>
          <w:w w:val="99"/>
          <w:kern w:val="21"/>
          <w:highlight w:val="none"/>
          <w:vertAlign w:val="superscript"/>
        </w:rPr>
        <w:t>3</w:t>
      </w:r>
      <w:r>
        <w:rPr>
          <w:rFonts w:hint="eastAsia" w:ascii="Times New Roman" w:hAnsi="Times New Roman" w:cs="Times New Roman" w:eastAsiaTheme="minorEastAsia"/>
          <w:color w:val="auto"/>
          <w:w w:val="99"/>
          <w:kern w:val="21"/>
          <w:highlight w:val="none"/>
        </w:rPr>
        <w:t>（30</w:t>
      </w:r>
      <w:r>
        <w:rPr>
          <w:rFonts w:ascii="Times New Roman" w:hAnsi="Times New Roman" w:cs="Times New Roman" w:eastAsiaTheme="minorEastAsia"/>
          <w:color w:val="auto"/>
          <w:w w:val="99"/>
          <w:kern w:val="21"/>
          <w:highlight w:val="none"/>
        </w:rPr>
        <w:t>×</w:t>
      </w:r>
      <w:r>
        <w:rPr>
          <w:rFonts w:hint="eastAsia" w:ascii="Times New Roman" w:hAnsi="Times New Roman" w:cs="Times New Roman" w:eastAsiaTheme="minorEastAsia"/>
          <w:color w:val="auto"/>
          <w:w w:val="99"/>
          <w:kern w:val="21"/>
          <w:highlight w:val="none"/>
        </w:rPr>
        <w:t>3</w:t>
      </w:r>
      <w:r>
        <w:rPr>
          <w:rFonts w:ascii="Times New Roman" w:hAnsi="Times New Roman" w:cs="Times New Roman" w:eastAsiaTheme="minorEastAsia"/>
          <w:color w:val="auto"/>
          <w:w w:val="99"/>
          <w:kern w:val="21"/>
          <w:highlight w:val="none"/>
        </w:rPr>
        <w:t>0×80×10</w:t>
      </w:r>
      <w:r>
        <w:rPr>
          <w:rFonts w:ascii="Times New Roman" w:hAnsi="Times New Roman" w:cs="Times New Roman" w:eastAsiaTheme="minorEastAsia"/>
          <w:color w:val="auto"/>
          <w:w w:val="99"/>
          <w:kern w:val="21"/>
          <w:highlight w:val="none"/>
          <w:vertAlign w:val="superscript"/>
        </w:rPr>
        <w:t>-3</w:t>
      </w:r>
      <w:r>
        <w:rPr>
          <w:rFonts w:ascii="Times New Roman" w:hAnsi="Times New Roman" w:cs="Times New Roman" w:eastAsiaTheme="minorEastAsia"/>
          <w:color w:val="auto"/>
          <w:w w:val="99"/>
          <w:kern w:val="21"/>
          <w:highlight w:val="none"/>
        </w:rPr>
        <w:t>=</w:t>
      </w:r>
      <w:r>
        <w:rPr>
          <w:rFonts w:hint="eastAsia" w:ascii="Times New Roman" w:hAnsi="Times New Roman" w:cs="Times New Roman" w:eastAsiaTheme="minorEastAsia"/>
          <w:color w:val="auto"/>
          <w:w w:val="99"/>
          <w:kern w:val="21"/>
          <w:highlight w:val="none"/>
        </w:rPr>
        <w:t>720），生活污水按生活用水量的</w:t>
      </w:r>
      <w:r>
        <w:rPr>
          <w:rFonts w:ascii="Times New Roman" w:hAnsi="Times New Roman" w:cs="Times New Roman" w:eastAsiaTheme="minorEastAsia"/>
          <w:color w:val="auto"/>
          <w:w w:val="99"/>
          <w:kern w:val="21"/>
          <w:highlight w:val="none"/>
        </w:rPr>
        <w:t>80%</w:t>
      </w:r>
      <w:r>
        <w:rPr>
          <w:rFonts w:hint="eastAsia" w:ascii="Times New Roman" w:hAnsi="Times New Roman" w:cs="Times New Roman" w:eastAsiaTheme="minorEastAsia"/>
          <w:color w:val="auto"/>
          <w:w w:val="99"/>
          <w:kern w:val="21"/>
          <w:highlight w:val="none"/>
        </w:rPr>
        <w:t>计，则施工期间施工人员生活污水产生量为576</w:t>
      </w:r>
      <w:r>
        <w:rPr>
          <w:rFonts w:ascii="Times New Roman" w:hAnsi="Times New Roman" w:cs="Times New Roman" w:eastAsiaTheme="minorEastAsia"/>
          <w:color w:val="auto"/>
          <w:w w:val="99"/>
          <w:kern w:val="21"/>
          <w:highlight w:val="none"/>
        </w:rPr>
        <w:t>m</w:t>
      </w:r>
      <w:r>
        <w:rPr>
          <w:rFonts w:ascii="Times New Roman" w:hAnsi="Times New Roman" w:cs="Times New Roman" w:eastAsiaTheme="minorEastAsia"/>
          <w:color w:val="auto"/>
          <w:w w:val="99"/>
          <w:kern w:val="21"/>
          <w:highlight w:val="none"/>
          <w:vertAlign w:val="superscript"/>
        </w:rPr>
        <w:t>3</w:t>
      </w:r>
      <w:r>
        <w:rPr>
          <w:rFonts w:hint="eastAsia" w:ascii="Times New Roman" w:hAnsi="Times New Roman" w:cs="Times New Roman" w:eastAsiaTheme="minorEastAsia"/>
          <w:color w:val="auto"/>
          <w:w w:val="99"/>
          <w:kern w:val="21"/>
          <w:highlight w:val="none"/>
        </w:rPr>
        <w:t>。施工期地面生活污水排入附近场站已建生活污水收集设施，</w:t>
      </w:r>
      <w:r>
        <w:rPr>
          <w:rFonts w:hint="eastAsia" w:ascii="Times New Roman" w:hAnsi="Times New Roman" w:cs="Times New Roman"/>
          <w:color w:val="auto"/>
          <w:w w:val="99"/>
          <w:highlight w:val="none"/>
        </w:rPr>
        <w:t>定期由大庆石油管理局有限公司庆南工矿服务公司红岗分公司拉运至大庆红岗区西巷污水回收站，管输至南区污水处理厂进行处理。</w:t>
      </w:r>
    </w:p>
    <w:p w14:paraId="415E1C90">
      <w:pPr>
        <w:adjustRightInd w:val="0"/>
        <w:snapToGrid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项目施工期废水产生及排放情况详见表</w:t>
      </w:r>
      <w:r>
        <w:rPr>
          <w:rFonts w:hint="eastAsia" w:ascii="Times New Roman" w:hAnsi="Times New Roman" w:cs="Times New Roman"/>
          <w:color w:val="auto"/>
          <w:w w:val="99"/>
          <w:kern w:val="2"/>
          <w:highlight w:val="none"/>
        </w:rPr>
        <w:t>3.10</w:t>
      </w:r>
      <w:r>
        <w:rPr>
          <w:rFonts w:ascii="Times New Roman" w:hAnsi="Times New Roman" w:cs="Times New Roman"/>
          <w:color w:val="auto"/>
          <w:w w:val="99"/>
          <w:kern w:val="2"/>
          <w:highlight w:val="none"/>
        </w:rPr>
        <w:t>-</w:t>
      </w:r>
      <w:r>
        <w:rPr>
          <w:rFonts w:hint="eastAsia" w:ascii="Times New Roman" w:hAnsi="Times New Roman" w:cs="Times New Roman"/>
          <w:color w:val="auto"/>
          <w:w w:val="99"/>
          <w:kern w:val="2"/>
          <w:highlight w:val="none"/>
        </w:rPr>
        <w:t>2</w:t>
      </w:r>
      <w:r>
        <w:rPr>
          <w:rFonts w:ascii="Times New Roman" w:hAnsi="Times New Roman" w:cs="Times New Roman"/>
          <w:color w:val="auto"/>
          <w:w w:val="99"/>
          <w:kern w:val="2"/>
          <w:highlight w:val="none"/>
        </w:rPr>
        <w:t>。</w:t>
      </w:r>
    </w:p>
    <w:p w14:paraId="527A9129">
      <w:pPr>
        <w:adjustRightInd w:val="0"/>
        <w:snapToGrid w:val="0"/>
        <w:spacing w:line="440" w:lineRule="exact"/>
        <w:ind w:firstLine="476" w:firstLineChars="200"/>
        <w:jc w:val="both"/>
        <w:rPr>
          <w:rFonts w:ascii="Times New Roman" w:hAnsi="Times New Roman" w:cs="Times New Roman"/>
          <w:b/>
          <w:bCs/>
          <w:color w:val="auto"/>
          <w:w w:val="99"/>
          <w:kern w:val="2"/>
          <w:highlight w:val="none"/>
        </w:rPr>
      </w:pPr>
      <w:r>
        <w:rPr>
          <w:rFonts w:ascii="Times New Roman" w:hAnsi="Times New Roman" w:cs="Times New Roman"/>
          <w:b/>
          <w:bCs/>
          <w:color w:val="auto"/>
          <w:w w:val="99"/>
          <w:kern w:val="2"/>
          <w:highlight w:val="none"/>
        </w:rPr>
        <w:t>表</w:t>
      </w:r>
      <w:r>
        <w:rPr>
          <w:rFonts w:hint="eastAsia" w:ascii="Times New Roman" w:hAnsi="Times New Roman" w:cs="Times New Roman"/>
          <w:b/>
          <w:bCs/>
          <w:color w:val="auto"/>
          <w:w w:val="99"/>
          <w:kern w:val="2"/>
          <w:highlight w:val="none"/>
        </w:rPr>
        <w:t>3.10</w:t>
      </w:r>
      <w:r>
        <w:rPr>
          <w:rFonts w:ascii="Times New Roman" w:hAnsi="Times New Roman" w:cs="Times New Roman"/>
          <w:b/>
          <w:bCs/>
          <w:color w:val="auto"/>
          <w:w w:val="99"/>
          <w:kern w:val="2"/>
          <w:highlight w:val="none"/>
        </w:rPr>
        <w:t>-</w:t>
      </w:r>
      <w:r>
        <w:rPr>
          <w:rFonts w:hint="eastAsia" w:ascii="Times New Roman" w:hAnsi="Times New Roman" w:cs="Times New Roman"/>
          <w:b/>
          <w:bCs/>
          <w:color w:val="auto"/>
          <w:w w:val="99"/>
          <w:kern w:val="2"/>
          <w:highlight w:val="none"/>
        </w:rPr>
        <w:t>2</w:t>
      </w:r>
      <w:r>
        <w:rPr>
          <w:rFonts w:ascii="Times New Roman" w:hAnsi="Times New Roman" w:cs="Times New Roman"/>
          <w:b/>
          <w:bCs/>
          <w:color w:val="auto"/>
          <w:w w:val="99"/>
          <w:kern w:val="2"/>
          <w:highlight w:val="none"/>
        </w:rPr>
        <w:t xml:space="preserve">    施工期废水污染物排放量表</w:t>
      </w:r>
    </w:p>
    <w:tbl>
      <w:tblPr>
        <w:tblStyle w:val="81"/>
        <w:tblW w:w="923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7"/>
        <w:gridCol w:w="851"/>
        <w:gridCol w:w="992"/>
        <w:gridCol w:w="1134"/>
        <w:gridCol w:w="5693"/>
      </w:tblGrid>
      <w:tr w14:paraId="4F94B3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tcMar>
              <w:left w:w="57" w:type="dxa"/>
              <w:right w:w="57" w:type="dxa"/>
            </w:tcMar>
            <w:vAlign w:val="center"/>
          </w:tcPr>
          <w:p w14:paraId="431FAB5C">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序号</w:t>
            </w:r>
          </w:p>
        </w:tc>
        <w:tc>
          <w:tcPr>
            <w:tcW w:w="851" w:type="dxa"/>
            <w:tcMar>
              <w:left w:w="57" w:type="dxa"/>
              <w:right w:w="57" w:type="dxa"/>
            </w:tcMar>
            <w:vAlign w:val="center"/>
          </w:tcPr>
          <w:p w14:paraId="30FDBD9E">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污染物名称</w:t>
            </w:r>
          </w:p>
        </w:tc>
        <w:tc>
          <w:tcPr>
            <w:tcW w:w="992" w:type="dxa"/>
            <w:tcMar>
              <w:left w:w="57" w:type="dxa"/>
              <w:right w:w="57" w:type="dxa"/>
            </w:tcMar>
            <w:vAlign w:val="center"/>
          </w:tcPr>
          <w:p w14:paraId="11601E08">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产生量</w:t>
            </w:r>
          </w:p>
        </w:tc>
        <w:tc>
          <w:tcPr>
            <w:tcW w:w="1134" w:type="dxa"/>
            <w:tcMar>
              <w:left w:w="57" w:type="dxa"/>
              <w:right w:w="57" w:type="dxa"/>
            </w:tcMar>
            <w:vAlign w:val="center"/>
          </w:tcPr>
          <w:p w14:paraId="2F6CE542">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主要污染物</w:t>
            </w:r>
          </w:p>
        </w:tc>
        <w:tc>
          <w:tcPr>
            <w:tcW w:w="5693" w:type="dxa"/>
            <w:vAlign w:val="center"/>
          </w:tcPr>
          <w:p w14:paraId="7FA3F255">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去向及措施</w:t>
            </w:r>
          </w:p>
        </w:tc>
      </w:tr>
      <w:tr w14:paraId="5ADC4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tcMar>
              <w:left w:w="57" w:type="dxa"/>
              <w:right w:w="57" w:type="dxa"/>
            </w:tcMar>
            <w:vAlign w:val="center"/>
          </w:tcPr>
          <w:p w14:paraId="16B7CCE9">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1</w:t>
            </w:r>
          </w:p>
        </w:tc>
        <w:tc>
          <w:tcPr>
            <w:tcW w:w="851" w:type="dxa"/>
            <w:tcMar>
              <w:left w:w="57" w:type="dxa"/>
              <w:right w:w="57" w:type="dxa"/>
            </w:tcMar>
            <w:vAlign w:val="center"/>
          </w:tcPr>
          <w:p w14:paraId="243CC716">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试压废水</w:t>
            </w:r>
          </w:p>
        </w:tc>
        <w:tc>
          <w:tcPr>
            <w:tcW w:w="992" w:type="dxa"/>
            <w:tcMar>
              <w:left w:w="57" w:type="dxa"/>
              <w:right w:w="57" w:type="dxa"/>
            </w:tcMar>
            <w:vAlign w:val="center"/>
          </w:tcPr>
          <w:p w14:paraId="4AAE528F">
            <w:pPr>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4.17m</w:t>
            </w:r>
            <w:r>
              <w:rPr>
                <w:rFonts w:hint="eastAsia" w:ascii="Times New Roman" w:hAnsi="Times New Roman" w:cs="Times New Roman"/>
                <w:color w:val="auto"/>
                <w:w w:val="99"/>
                <w:kern w:val="2"/>
                <w:sz w:val="21"/>
                <w:szCs w:val="21"/>
                <w:highlight w:val="none"/>
                <w:vertAlign w:val="superscript"/>
              </w:rPr>
              <w:t>3</w:t>
            </w:r>
          </w:p>
        </w:tc>
        <w:tc>
          <w:tcPr>
            <w:tcW w:w="1134" w:type="dxa"/>
            <w:tcMar>
              <w:left w:w="57" w:type="dxa"/>
              <w:right w:w="57" w:type="dxa"/>
            </w:tcMar>
            <w:vAlign w:val="center"/>
          </w:tcPr>
          <w:p w14:paraId="1CA2214D">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SS</w:t>
            </w:r>
          </w:p>
        </w:tc>
        <w:tc>
          <w:tcPr>
            <w:tcW w:w="5693" w:type="dxa"/>
            <w:vAlign w:val="center"/>
          </w:tcPr>
          <w:p w14:paraId="12E4494A">
            <w:pPr>
              <w:adjustRightInd w:val="0"/>
              <w:snapToGrid w:val="0"/>
              <w:spacing w:line="360" w:lineRule="exact"/>
              <w:jc w:val="both"/>
              <w:rPr>
                <w:rFonts w:ascii="Times New Roman" w:hAnsi="Times New Roman" w:cs="Times New Roman"/>
                <w:color w:val="auto"/>
                <w:w w:val="99"/>
                <w:kern w:val="2"/>
                <w:sz w:val="21"/>
                <w:szCs w:val="21"/>
                <w:highlight w:val="none"/>
              </w:rPr>
            </w:pPr>
            <w:r>
              <w:rPr>
                <w:rFonts w:ascii="Times New Roman" w:hAnsi="Times New Roman" w:cs="Times New Roman"/>
                <w:bCs/>
                <w:color w:val="auto"/>
                <w:w w:val="99"/>
                <w:kern w:val="2"/>
                <w:sz w:val="21"/>
                <w:szCs w:val="21"/>
                <w:highlight w:val="none"/>
              </w:rPr>
              <w:t>由罐车拉运至升一联气田污水预处理站处理后满足《大庆油田地面工程建设设计规定》（Q/SYDQ 0639-2015）限值“含油量≤10mg/L、悬浮固体含量≤5mg/L、粒径中值≤2μm”</w:t>
            </w:r>
            <w:r>
              <w:rPr>
                <w:rFonts w:hint="eastAsia" w:ascii="Times New Roman" w:hAnsi="Times New Roman" w:cs="Times New Roman"/>
                <w:bCs/>
                <w:color w:val="auto"/>
                <w:w w:val="99"/>
                <w:kern w:val="2"/>
                <w:sz w:val="21"/>
                <w:szCs w:val="21"/>
                <w:highlight w:val="none"/>
                <w:lang w:eastAsia="zh-CN"/>
              </w:rPr>
              <w:t>，</w:t>
            </w:r>
            <w:r>
              <w:rPr>
                <w:rFonts w:hint="eastAsia" w:ascii="Times New Roman" w:hAnsi="Times New Roman" w:cs="Times New Roman"/>
                <w:bCs/>
                <w:color w:val="auto"/>
                <w:w w:val="99"/>
                <w:kern w:val="2"/>
                <w:sz w:val="21"/>
                <w:szCs w:val="21"/>
                <w:highlight w:val="none"/>
                <w:lang w:val="en-US" w:eastAsia="zh-CN"/>
              </w:rPr>
              <w:t>同时满足</w:t>
            </w:r>
            <w:r>
              <w:rPr>
                <w:rFonts w:ascii="Times New Roman" w:hAnsi="Times New Roman" w:cs="Times New Roman"/>
                <w:bCs/>
                <w:color w:val="auto"/>
                <w:w w:val="99"/>
                <w:kern w:val="2"/>
                <w:sz w:val="21"/>
                <w:szCs w:val="21"/>
                <w:highlight w:val="none"/>
              </w:rPr>
              <w:t>《碎屑岩油藏注水水质指标技术要求及分析方法》(SY/T5329-2022)中标准限值，回注地下，不外排。</w:t>
            </w:r>
          </w:p>
        </w:tc>
      </w:tr>
      <w:tr w14:paraId="07523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tcMar>
              <w:left w:w="57" w:type="dxa"/>
              <w:right w:w="57" w:type="dxa"/>
            </w:tcMar>
            <w:vAlign w:val="center"/>
          </w:tcPr>
          <w:p w14:paraId="4F703E84">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2</w:t>
            </w:r>
          </w:p>
        </w:tc>
        <w:tc>
          <w:tcPr>
            <w:tcW w:w="851" w:type="dxa"/>
            <w:tcMar>
              <w:left w:w="57" w:type="dxa"/>
              <w:right w:w="57" w:type="dxa"/>
            </w:tcMar>
            <w:vAlign w:val="center"/>
          </w:tcPr>
          <w:p w14:paraId="201B3FFF">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生活污水</w:t>
            </w:r>
          </w:p>
        </w:tc>
        <w:tc>
          <w:tcPr>
            <w:tcW w:w="992" w:type="dxa"/>
            <w:tcMar>
              <w:left w:w="57" w:type="dxa"/>
              <w:right w:w="57" w:type="dxa"/>
            </w:tcMar>
            <w:vAlign w:val="center"/>
          </w:tcPr>
          <w:p w14:paraId="5072DEA5">
            <w:pPr>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576m</w:t>
            </w:r>
            <w:r>
              <w:rPr>
                <w:rFonts w:hint="eastAsia" w:ascii="Times New Roman" w:hAnsi="Times New Roman" w:cs="Times New Roman"/>
                <w:color w:val="auto"/>
                <w:w w:val="99"/>
                <w:kern w:val="2"/>
                <w:sz w:val="21"/>
                <w:szCs w:val="21"/>
                <w:highlight w:val="none"/>
                <w:vertAlign w:val="superscript"/>
              </w:rPr>
              <w:t>3</w:t>
            </w:r>
          </w:p>
        </w:tc>
        <w:tc>
          <w:tcPr>
            <w:tcW w:w="1134" w:type="dxa"/>
            <w:tcMar>
              <w:left w:w="57" w:type="dxa"/>
              <w:right w:w="57" w:type="dxa"/>
            </w:tcMar>
            <w:vAlign w:val="center"/>
          </w:tcPr>
          <w:p w14:paraId="61D444F1">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COD、NH</w:t>
            </w:r>
            <w:r>
              <w:rPr>
                <w:rFonts w:ascii="Times New Roman" w:hAnsi="Times New Roman" w:cs="Times New Roman"/>
                <w:color w:val="auto"/>
                <w:w w:val="99"/>
                <w:kern w:val="2"/>
                <w:sz w:val="21"/>
                <w:szCs w:val="21"/>
                <w:highlight w:val="none"/>
                <w:vertAlign w:val="subscript"/>
              </w:rPr>
              <w:t>3</w:t>
            </w:r>
            <w:r>
              <w:rPr>
                <w:rFonts w:ascii="Times New Roman" w:hAnsi="Times New Roman" w:cs="Times New Roman"/>
                <w:color w:val="auto"/>
                <w:w w:val="99"/>
                <w:kern w:val="2"/>
                <w:sz w:val="21"/>
                <w:szCs w:val="21"/>
                <w:highlight w:val="none"/>
              </w:rPr>
              <w:t>-N</w:t>
            </w:r>
          </w:p>
        </w:tc>
        <w:tc>
          <w:tcPr>
            <w:tcW w:w="5693" w:type="dxa"/>
            <w:vAlign w:val="center"/>
          </w:tcPr>
          <w:p w14:paraId="2765CC0F">
            <w:pPr>
              <w:pStyle w:val="153"/>
              <w:widowControl w:val="0"/>
              <w:spacing w:line="440" w:lineRule="exact"/>
              <w:ind w:firstLine="0" w:firstLineChars="0"/>
              <w:jc w:val="both"/>
              <w:rPr>
                <w:rFonts w:ascii="Times New Roman" w:hAnsi="Times New Roman"/>
                <w:color w:val="auto"/>
                <w:w w:val="99"/>
                <w:kern w:val="2"/>
                <w:sz w:val="21"/>
                <w:szCs w:val="21"/>
                <w:highlight w:val="none"/>
              </w:rPr>
            </w:pPr>
            <w:r>
              <w:rPr>
                <w:rFonts w:ascii="Times New Roman" w:hAnsi="Times New Roman"/>
                <w:color w:val="auto"/>
                <w:w w:val="99"/>
                <w:kern w:val="2"/>
                <w:sz w:val="21"/>
                <w:szCs w:val="21"/>
                <w:highlight w:val="none"/>
              </w:rPr>
              <w:t>施工期施工人员产生的</w:t>
            </w:r>
            <w:r>
              <w:rPr>
                <w:rFonts w:hint="eastAsia" w:ascii="Times New Roman" w:hAnsi="Times New Roman"/>
                <w:color w:val="auto"/>
                <w:w w:val="99"/>
                <w:kern w:val="2"/>
                <w:sz w:val="21"/>
                <w:szCs w:val="21"/>
                <w:highlight w:val="none"/>
              </w:rPr>
              <w:t>生活污水排入</w:t>
            </w:r>
            <w:r>
              <w:rPr>
                <w:rFonts w:hint="eastAsia" w:ascii="Times New Roman" w:hAnsi="Times New Roman"/>
                <w:color w:val="auto"/>
                <w:w w:val="99"/>
                <w:sz w:val="21"/>
                <w:szCs w:val="21"/>
                <w:highlight w:val="none"/>
              </w:rPr>
              <w:t>周边集气站已建生活污水收集设施，均定期由大庆石油管理局有限公司庆南工矿服务公司红岗分公司拉运至大庆红岗区西巷污水回收站，管输至南区污水处理厂进行处理。</w:t>
            </w:r>
          </w:p>
        </w:tc>
      </w:tr>
    </w:tbl>
    <w:p w14:paraId="77B94AB7">
      <w:pPr>
        <w:widowControl w:val="0"/>
        <w:spacing w:line="440" w:lineRule="exact"/>
        <w:ind w:firstLine="474" w:firstLineChars="200"/>
        <w:jc w:val="both"/>
        <w:rPr>
          <w:rFonts w:ascii="Times New Roman" w:hAnsi="Times New Roman" w:cs="Times New Roman"/>
          <w:color w:val="auto"/>
          <w:w w:val="99"/>
          <w:kern w:val="2"/>
          <w:highlight w:val="none"/>
          <w:lang w:val="zh-CN"/>
        </w:rPr>
      </w:pPr>
      <w:r>
        <w:rPr>
          <w:rFonts w:hint="eastAsia" w:ascii="Times New Roman" w:hAnsi="Times New Roman" w:cs="Times New Roman"/>
          <w:color w:val="auto"/>
          <w:w w:val="99"/>
          <w:kern w:val="2"/>
          <w:highlight w:val="none"/>
          <w:lang w:val="zh-CN"/>
        </w:rPr>
        <w:t>（3）噪声污染源项分析</w:t>
      </w:r>
    </w:p>
    <w:p w14:paraId="1A744CF6">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施工期产生的噪声主要施工机械和车辆运营噪声，参考《环境噪声与振动控制工程技术导则》（HJ 2034-2013）附录A中的噪声源强数据，本项目噪声源具体排放情况</w:t>
      </w:r>
      <w:r>
        <w:rPr>
          <w:rFonts w:ascii="Times New Roman" w:hAnsi="Times New Roman" w:cs="Times New Roman"/>
          <w:color w:val="auto"/>
          <w:w w:val="99"/>
          <w:kern w:val="2"/>
          <w:highlight w:val="none"/>
        </w:rPr>
        <w:t>详见表</w:t>
      </w:r>
      <w:r>
        <w:rPr>
          <w:rFonts w:hint="eastAsia" w:ascii="Times New Roman" w:hAnsi="Times New Roman" w:cs="Times New Roman"/>
          <w:color w:val="auto"/>
          <w:w w:val="99"/>
          <w:kern w:val="2"/>
          <w:highlight w:val="none"/>
        </w:rPr>
        <w:t>3.10-3</w:t>
      </w:r>
      <w:r>
        <w:rPr>
          <w:rFonts w:ascii="Times New Roman" w:hAnsi="Times New Roman" w:cs="Times New Roman"/>
          <w:color w:val="auto"/>
          <w:w w:val="99"/>
          <w:kern w:val="2"/>
          <w:highlight w:val="none"/>
        </w:rPr>
        <w:t>。</w:t>
      </w:r>
    </w:p>
    <w:p w14:paraId="7AB94438">
      <w:pPr>
        <w:widowControl w:val="0"/>
        <w:spacing w:line="440" w:lineRule="exact"/>
        <w:ind w:firstLine="476" w:firstLineChars="200"/>
        <w:jc w:val="both"/>
        <w:rPr>
          <w:rFonts w:ascii="Times New Roman" w:hAnsi="Times New Roman" w:cs="Times New Roman" w:eastAsiaTheme="minorEastAsia"/>
          <w:b/>
          <w:color w:val="auto"/>
          <w:w w:val="99"/>
          <w:kern w:val="2"/>
          <w:szCs w:val="20"/>
          <w:highlight w:val="none"/>
        </w:rPr>
      </w:pPr>
      <w:r>
        <w:rPr>
          <w:rFonts w:ascii="Times New Roman" w:hAnsi="Times New Roman" w:cs="Times New Roman" w:eastAsiaTheme="minorEastAsia"/>
          <w:b/>
          <w:color w:val="auto"/>
          <w:w w:val="99"/>
          <w:kern w:val="2"/>
          <w:szCs w:val="20"/>
          <w:highlight w:val="none"/>
        </w:rPr>
        <w:t>表</w:t>
      </w:r>
      <w:r>
        <w:rPr>
          <w:rFonts w:hint="eastAsia" w:ascii="Times New Roman" w:hAnsi="Times New Roman" w:cs="Times New Roman" w:eastAsiaTheme="minorEastAsia"/>
          <w:b/>
          <w:color w:val="auto"/>
          <w:w w:val="99"/>
          <w:kern w:val="2"/>
          <w:szCs w:val="20"/>
          <w:highlight w:val="none"/>
        </w:rPr>
        <w:t xml:space="preserve">3.10-3    </w:t>
      </w:r>
      <w:r>
        <w:rPr>
          <w:rFonts w:ascii="Times New Roman" w:hAnsi="Times New Roman" w:cs="Times New Roman" w:eastAsiaTheme="minorEastAsia"/>
          <w:b/>
          <w:color w:val="auto"/>
          <w:w w:val="99"/>
          <w:kern w:val="2"/>
          <w:szCs w:val="20"/>
          <w:highlight w:val="none"/>
        </w:rPr>
        <w:t>施工机械噪声统计表  单位：dB（A）</w:t>
      </w:r>
    </w:p>
    <w:tbl>
      <w:tblPr>
        <w:tblStyle w:val="1662"/>
        <w:tblW w:w="500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80"/>
        <w:gridCol w:w="1660"/>
        <w:gridCol w:w="1660"/>
        <w:gridCol w:w="1711"/>
        <w:gridCol w:w="3174"/>
      </w:tblGrid>
      <w:tr w14:paraId="73A8B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7" w:hRule="atLeast"/>
        </w:trPr>
        <w:tc>
          <w:tcPr>
            <w:tcW w:w="484" w:type="pct"/>
            <w:vAlign w:val="center"/>
          </w:tcPr>
          <w:p w14:paraId="307B03CB">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序号</w:t>
            </w:r>
          </w:p>
        </w:tc>
        <w:tc>
          <w:tcPr>
            <w:tcW w:w="913" w:type="pct"/>
            <w:vAlign w:val="center"/>
          </w:tcPr>
          <w:p w14:paraId="7A4D4880">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噪声源</w:t>
            </w:r>
          </w:p>
        </w:tc>
        <w:tc>
          <w:tcPr>
            <w:tcW w:w="913" w:type="pct"/>
            <w:vAlign w:val="center"/>
          </w:tcPr>
          <w:p w14:paraId="01E35AD4">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噪声级 dB(A)</w:t>
            </w:r>
          </w:p>
        </w:tc>
        <w:tc>
          <w:tcPr>
            <w:tcW w:w="941" w:type="pct"/>
            <w:vAlign w:val="center"/>
          </w:tcPr>
          <w:p w14:paraId="0A20221A">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测量距离</w:t>
            </w:r>
          </w:p>
        </w:tc>
        <w:tc>
          <w:tcPr>
            <w:tcW w:w="1745" w:type="pct"/>
            <w:vAlign w:val="center"/>
          </w:tcPr>
          <w:p w14:paraId="0DC903EF">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来源依据</w:t>
            </w:r>
          </w:p>
        </w:tc>
      </w:tr>
      <w:tr w14:paraId="4626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484" w:type="pct"/>
            <w:vAlign w:val="center"/>
          </w:tcPr>
          <w:p w14:paraId="29E985AD">
            <w:pPr>
              <w:widowControl w:val="0"/>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1</w:t>
            </w:r>
          </w:p>
        </w:tc>
        <w:tc>
          <w:tcPr>
            <w:tcW w:w="913" w:type="pct"/>
            <w:vAlign w:val="center"/>
          </w:tcPr>
          <w:p w14:paraId="7EBA0374">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挖掘机</w:t>
            </w:r>
          </w:p>
        </w:tc>
        <w:tc>
          <w:tcPr>
            <w:tcW w:w="913" w:type="pct"/>
            <w:vAlign w:val="center"/>
          </w:tcPr>
          <w:p w14:paraId="41236F87">
            <w:pPr>
              <w:widowControl w:val="0"/>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90</w:t>
            </w:r>
          </w:p>
        </w:tc>
        <w:tc>
          <w:tcPr>
            <w:tcW w:w="941" w:type="pct"/>
            <w:vAlign w:val="center"/>
          </w:tcPr>
          <w:p w14:paraId="077A6796">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5m 处</w:t>
            </w:r>
          </w:p>
        </w:tc>
        <w:tc>
          <w:tcPr>
            <w:tcW w:w="1745" w:type="pct"/>
            <w:vMerge w:val="restart"/>
            <w:vAlign w:val="center"/>
          </w:tcPr>
          <w:p w14:paraId="7DE49B4A">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《环境噪声与振动控制工程技术导则》（HJ2034-2013）表 A.2 常见施工设备噪声源不同距离声压级，全部取最大值。</w:t>
            </w:r>
          </w:p>
        </w:tc>
      </w:tr>
      <w:tr w14:paraId="3A7AB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484" w:type="pct"/>
            <w:vAlign w:val="center"/>
          </w:tcPr>
          <w:p w14:paraId="46CE9247">
            <w:pPr>
              <w:widowControl w:val="0"/>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2</w:t>
            </w:r>
          </w:p>
        </w:tc>
        <w:tc>
          <w:tcPr>
            <w:tcW w:w="913" w:type="pct"/>
            <w:vAlign w:val="center"/>
          </w:tcPr>
          <w:p w14:paraId="7DCE8E99">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推土机</w:t>
            </w:r>
          </w:p>
        </w:tc>
        <w:tc>
          <w:tcPr>
            <w:tcW w:w="913" w:type="pct"/>
            <w:vAlign w:val="center"/>
          </w:tcPr>
          <w:p w14:paraId="7841777E">
            <w:pPr>
              <w:widowControl w:val="0"/>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88</w:t>
            </w:r>
          </w:p>
        </w:tc>
        <w:tc>
          <w:tcPr>
            <w:tcW w:w="941" w:type="pct"/>
            <w:vAlign w:val="center"/>
          </w:tcPr>
          <w:p w14:paraId="02921CFB">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5m 处</w:t>
            </w:r>
          </w:p>
        </w:tc>
        <w:tc>
          <w:tcPr>
            <w:tcW w:w="1745" w:type="pct"/>
            <w:vMerge w:val="continue"/>
            <w:vAlign w:val="center"/>
          </w:tcPr>
          <w:p w14:paraId="3A6E7491">
            <w:pPr>
              <w:widowControl w:val="0"/>
              <w:spacing w:line="360" w:lineRule="exact"/>
              <w:jc w:val="center"/>
              <w:rPr>
                <w:rFonts w:ascii="Times New Roman" w:hAnsi="Times New Roman" w:cs="Times New Roman"/>
                <w:color w:val="auto"/>
                <w:w w:val="99"/>
                <w:kern w:val="2"/>
                <w:sz w:val="21"/>
                <w:szCs w:val="21"/>
                <w:highlight w:val="none"/>
                <w:lang w:eastAsia="en-US"/>
              </w:rPr>
            </w:pPr>
          </w:p>
        </w:tc>
      </w:tr>
      <w:tr w14:paraId="4B00B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484" w:type="pct"/>
            <w:vAlign w:val="center"/>
          </w:tcPr>
          <w:p w14:paraId="11FF9D61">
            <w:pPr>
              <w:widowControl w:val="0"/>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3</w:t>
            </w:r>
          </w:p>
        </w:tc>
        <w:tc>
          <w:tcPr>
            <w:tcW w:w="913" w:type="pct"/>
            <w:vAlign w:val="center"/>
          </w:tcPr>
          <w:p w14:paraId="1645554D">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压路机</w:t>
            </w:r>
          </w:p>
        </w:tc>
        <w:tc>
          <w:tcPr>
            <w:tcW w:w="913" w:type="pct"/>
            <w:vAlign w:val="center"/>
          </w:tcPr>
          <w:p w14:paraId="7CE63440">
            <w:pPr>
              <w:widowControl w:val="0"/>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90</w:t>
            </w:r>
          </w:p>
        </w:tc>
        <w:tc>
          <w:tcPr>
            <w:tcW w:w="941" w:type="pct"/>
            <w:vAlign w:val="center"/>
          </w:tcPr>
          <w:p w14:paraId="266F6DD1">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5m 处</w:t>
            </w:r>
          </w:p>
        </w:tc>
        <w:tc>
          <w:tcPr>
            <w:tcW w:w="1745" w:type="pct"/>
            <w:vMerge w:val="continue"/>
            <w:vAlign w:val="center"/>
          </w:tcPr>
          <w:p w14:paraId="1BD4BA6D">
            <w:pPr>
              <w:widowControl w:val="0"/>
              <w:spacing w:line="360" w:lineRule="exact"/>
              <w:jc w:val="center"/>
              <w:rPr>
                <w:rFonts w:ascii="Times New Roman" w:hAnsi="Times New Roman" w:cs="Times New Roman"/>
                <w:color w:val="auto"/>
                <w:w w:val="99"/>
                <w:kern w:val="2"/>
                <w:sz w:val="21"/>
                <w:szCs w:val="21"/>
                <w:highlight w:val="none"/>
                <w:lang w:eastAsia="en-US"/>
              </w:rPr>
            </w:pPr>
          </w:p>
        </w:tc>
      </w:tr>
      <w:tr w14:paraId="21423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484" w:type="pct"/>
            <w:vAlign w:val="center"/>
          </w:tcPr>
          <w:p w14:paraId="756EA9DA">
            <w:pPr>
              <w:widowControl w:val="0"/>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4</w:t>
            </w:r>
          </w:p>
        </w:tc>
        <w:tc>
          <w:tcPr>
            <w:tcW w:w="913" w:type="pct"/>
            <w:vAlign w:val="center"/>
          </w:tcPr>
          <w:p w14:paraId="3176F773">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运输车辆</w:t>
            </w:r>
          </w:p>
        </w:tc>
        <w:tc>
          <w:tcPr>
            <w:tcW w:w="913" w:type="pct"/>
            <w:vAlign w:val="center"/>
          </w:tcPr>
          <w:p w14:paraId="3BFFB5F1">
            <w:pPr>
              <w:widowControl w:val="0"/>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90</w:t>
            </w:r>
          </w:p>
        </w:tc>
        <w:tc>
          <w:tcPr>
            <w:tcW w:w="941" w:type="pct"/>
            <w:vAlign w:val="center"/>
          </w:tcPr>
          <w:p w14:paraId="5BF3BD1C">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5m 处</w:t>
            </w:r>
          </w:p>
        </w:tc>
        <w:tc>
          <w:tcPr>
            <w:tcW w:w="1745" w:type="pct"/>
            <w:vMerge w:val="continue"/>
            <w:vAlign w:val="center"/>
          </w:tcPr>
          <w:p w14:paraId="30AABDDB">
            <w:pPr>
              <w:widowControl w:val="0"/>
              <w:spacing w:line="360" w:lineRule="exact"/>
              <w:jc w:val="center"/>
              <w:rPr>
                <w:rFonts w:ascii="Times New Roman" w:hAnsi="Times New Roman" w:cs="Times New Roman"/>
                <w:color w:val="auto"/>
                <w:w w:val="99"/>
                <w:kern w:val="2"/>
                <w:sz w:val="21"/>
                <w:szCs w:val="21"/>
                <w:highlight w:val="none"/>
                <w:lang w:eastAsia="en-US"/>
              </w:rPr>
            </w:pPr>
          </w:p>
        </w:tc>
      </w:tr>
      <w:tr w14:paraId="1D3FC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484" w:type="pct"/>
            <w:vAlign w:val="center"/>
          </w:tcPr>
          <w:p w14:paraId="0431B255">
            <w:pPr>
              <w:widowControl w:val="0"/>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5</w:t>
            </w:r>
          </w:p>
        </w:tc>
        <w:tc>
          <w:tcPr>
            <w:tcW w:w="913" w:type="pct"/>
            <w:vAlign w:val="center"/>
          </w:tcPr>
          <w:p w14:paraId="01931497">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电焊机</w:t>
            </w:r>
          </w:p>
        </w:tc>
        <w:tc>
          <w:tcPr>
            <w:tcW w:w="913" w:type="pct"/>
            <w:vAlign w:val="center"/>
          </w:tcPr>
          <w:p w14:paraId="028990B1">
            <w:pPr>
              <w:widowControl w:val="0"/>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95</w:t>
            </w:r>
          </w:p>
        </w:tc>
        <w:tc>
          <w:tcPr>
            <w:tcW w:w="941" w:type="pct"/>
            <w:vAlign w:val="center"/>
          </w:tcPr>
          <w:p w14:paraId="728093BE">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1m 处</w:t>
            </w:r>
          </w:p>
        </w:tc>
        <w:tc>
          <w:tcPr>
            <w:tcW w:w="1745" w:type="pct"/>
            <w:vAlign w:val="center"/>
          </w:tcPr>
          <w:p w14:paraId="49B0C343">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厂家提供参数</w:t>
            </w:r>
          </w:p>
        </w:tc>
      </w:tr>
      <w:tr w14:paraId="7221D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 w:hRule="atLeast"/>
        </w:trPr>
        <w:tc>
          <w:tcPr>
            <w:tcW w:w="484" w:type="pct"/>
            <w:vAlign w:val="center"/>
          </w:tcPr>
          <w:p w14:paraId="33C58550">
            <w:pPr>
              <w:widowControl w:val="0"/>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6</w:t>
            </w:r>
          </w:p>
        </w:tc>
        <w:tc>
          <w:tcPr>
            <w:tcW w:w="913" w:type="pct"/>
            <w:vAlign w:val="center"/>
          </w:tcPr>
          <w:p w14:paraId="3B980EE0">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吊管机</w:t>
            </w:r>
          </w:p>
        </w:tc>
        <w:tc>
          <w:tcPr>
            <w:tcW w:w="913" w:type="pct"/>
            <w:vAlign w:val="center"/>
          </w:tcPr>
          <w:p w14:paraId="537F85C9">
            <w:pPr>
              <w:widowControl w:val="0"/>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75</w:t>
            </w:r>
          </w:p>
        </w:tc>
        <w:tc>
          <w:tcPr>
            <w:tcW w:w="941" w:type="pct"/>
            <w:vAlign w:val="center"/>
          </w:tcPr>
          <w:p w14:paraId="5E3C44C3">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1m 处</w:t>
            </w:r>
          </w:p>
        </w:tc>
        <w:tc>
          <w:tcPr>
            <w:tcW w:w="1745" w:type="pct"/>
            <w:vAlign w:val="center"/>
          </w:tcPr>
          <w:p w14:paraId="4926D763">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厂家提供参数</w:t>
            </w:r>
          </w:p>
        </w:tc>
      </w:tr>
      <w:tr w14:paraId="6915C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484" w:type="pct"/>
            <w:vAlign w:val="center"/>
          </w:tcPr>
          <w:p w14:paraId="171D3F1D">
            <w:pPr>
              <w:widowControl w:val="0"/>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7</w:t>
            </w:r>
          </w:p>
        </w:tc>
        <w:tc>
          <w:tcPr>
            <w:tcW w:w="913" w:type="pct"/>
            <w:vAlign w:val="center"/>
          </w:tcPr>
          <w:p w14:paraId="580AEA37">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定向钻机</w:t>
            </w:r>
          </w:p>
        </w:tc>
        <w:tc>
          <w:tcPr>
            <w:tcW w:w="913" w:type="pct"/>
            <w:vAlign w:val="center"/>
          </w:tcPr>
          <w:p w14:paraId="35C8200A">
            <w:pPr>
              <w:widowControl w:val="0"/>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100</w:t>
            </w:r>
          </w:p>
        </w:tc>
        <w:tc>
          <w:tcPr>
            <w:tcW w:w="941" w:type="pct"/>
            <w:vAlign w:val="center"/>
          </w:tcPr>
          <w:p w14:paraId="5981F43A">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1m 处</w:t>
            </w:r>
          </w:p>
        </w:tc>
        <w:tc>
          <w:tcPr>
            <w:tcW w:w="1745" w:type="pct"/>
            <w:vAlign w:val="center"/>
          </w:tcPr>
          <w:p w14:paraId="698331AE">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厂家提供参数</w:t>
            </w:r>
          </w:p>
        </w:tc>
      </w:tr>
      <w:tr w14:paraId="1BF0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5" w:hRule="atLeast"/>
        </w:trPr>
        <w:tc>
          <w:tcPr>
            <w:tcW w:w="484" w:type="pct"/>
            <w:vAlign w:val="center"/>
          </w:tcPr>
          <w:p w14:paraId="047AB4C6">
            <w:pPr>
              <w:widowControl w:val="0"/>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8</w:t>
            </w:r>
          </w:p>
        </w:tc>
        <w:tc>
          <w:tcPr>
            <w:tcW w:w="913" w:type="pct"/>
            <w:vAlign w:val="center"/>
          </w:tcPr>
          <w:p w14:paraId="7275C5A7">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混凝土搅拌罐车</w:t>
            </w:r>
          </w:p>
        </w:tc>
        <w:tc>
          <w:tcPr>
            <w:tcW w:w="913" w:type="pct"/>
            <w:vAlign w:val="center"/>
          </w:tcPr>
          <w:p w14:paraId="2B2C7A93">
            <w:pPr>
              <w:widowControl w:val="0"/>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95</w:t>
            </w:r>
          </w:p>
        </w:tc>
        <w:tc>
          <w:tcPr>
            <w:tcW w:w="941" w:type="pct"/>
            <w:vAlign w:val="center"/>
          </w:tcPr>
          <w:p w14:paraId="64672A40">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1m 处</w:t>
            </w:r>
          </w:p>
        </w:tc>
        <w:tc>
          <w:tcPr>
            <w:tcW w:w="1745" w:type="pct"/>
            <w:vAlign w:val="center"/>
          </w:tcPr>
          <w:p w14:paraId="64CCB2B6">
            <w:pPr>
              <w:pStyle w:val="2857"/>
              <w:widowControl w:val="0"/>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厂家提供参数</w:t>
            </w:r>
          </w:p>
        </w:tc>
      </w:tr>
    </w:tbl>
    <w:p w14:paraId="048E137C">
      <w:pPr>
        <w:widowControl w:val="0"/>
        <w:spacing w:line="440" w:lineRule="exact"/>
        <w:ind w:firstLine="474" w:firstLineChars="200"/>
        <w:jc w:val="both"/>
        <w:rPr>
          <w:rFonts w:ascii="Times New Roman" w:hAnsi="Times New Roman" w:cs="Times New Roman"/>
          <w:color w:val="auto"/>
          <w:w w:val="99"/>
          <w:kern w:val="2"/>
          <w:highlight w:val="none"/>
          <w:lang w:val="zh-CN"/>
        </w:rPr>
      </w:pPr>
      <w:r>
        <w:rPr>
          <w:rFonts w:ascii="Times New Roman" w:hAnsi="Times New Roman" w:cs="Times New Roman"/>
          <w:color w:val="auto"/>
          <w:w w:val="99"/>
          <w:kern w:val="2"/>
          <w:highlight w:val="none"/>
          <w:lang w:val="zh-CN"/>
        </w:rPr>
        <w:t>（4）固体废物</w:t>
      </w:r>
    </w:p>
    <w:p w14:paraId="598E2209">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施工期固体废物</w:t>
      </w:r>
      <w:r>
        <w:rPr>
          <w:rFonts w:ascii="Times New Roman" w:hAnsi="Times New Roman" w:cs="Times New Roman"/>
          <w:color w:val="auto"/>
          <w:w w:val="99"/>
          <w:kern w:val="2"/>
          <w:highlight w:val="none"/>
        </w:rPr>
        <w:t>主要为管道施工废料</w:t>
      </w:r>
      <w:r>
        <w:rPr>
          <w:rFonts w:hint="eastAsia" w:ascii="Times New Roman" w:hAnsi="Times New Roman" w:cs="Times New Roman"/>
          <w:color w:val="auto"/>
          <w:w w:val="99"/>
          <w:kern w:val="2"/>
          <w:highlight w:val="none"/>
        </w:rPr>
        <w:t>、</w:t>
      </w:r>
      <w:r>
        <w:rPr>
          <w:rFonts w:ascii="Times New Roman" w:hAnsi="Times New Roman" w:cs="Times New Roman"/>
          <w:color w:val="auto"/>
          <w:w w:val="99"/>
          <w:kern w:val="2"/>
          <w:highlight w:val="none"/>
        </w:rPr>
        <w:t>施工人员生活垃圾。</w:t>
      </w:r>
    </w:p>
    <w:p w14:paraId="3CBC90A1">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①</w:t>
      </w:r>
      <w:r>
        <w:rPr>
          <w:rFonts w:ascii="Times New Roman" w:hAnsi="Times New Roman" w:cs="Times New Roman"/>
          <w:color w:val="auto"/>
          <w:w w:val="99"/>
          <w:kern w:val="2"/>
          <w:highlight w:val="none"/>
        </w:rPr>
        <w:t>施工废料</w:t>
      </w:r>
    </w:p>
    <w:p w14:paraId="290556C4">
      <w:pPr>
        <w:widowControl w:val="0"/>
        <w:spacing w:line="440" w:lineRule="exact"/>
        <w:ind w:firstLine="474" w:firstLineChars="200"/>
        <w:jc w:val="both"/>
        <w:rPr>
          <w:rFonts w:ascii="Times New Roman" w:hAnsi="Times New Roman" w:cs="Times New Roman"/>
          <w:color w:val="auto"/>
          <w:w w:val="99"/>
          <w:kern w:val="2"/>
          <w:highlight w:val="none"/>
        </w:rPr>
      </w:pPr>
      <w:bookmarkStart w:id="543" w:name="OLE_LINK146"/>
      <w:bookmarkStart w:id="544" w:name="OLE_LINK152"/>
      <w:r>
        <w:rPr>
          <w:rFonts w:ascii="Times New Roman" w:hAnsi="Times New Roman" w:cs="Times New Roman"/>
          <w:color w:val="auto"/>
          <w:w w:val="99"/>
          <w:kern w:val="2"/>
          <w:highlight w:val="none"/>
        </w:rPr>
        <w:t>本项目施工废料主要为焊接施工中产生废焊条和管道防腐施工过程中产生的废防腐材料，属于一般工业固体废物，根据《固体废物分类与代码目录》（</w:t>
      </w:r>
      <w:r>
        <w:rPr>
          <w:rFonts w:hint="eastAsia" w:ascii="Times New Roman" w:hAnsi="Times New Roman" w:cs="Times New Roman"/>
          <w:color w:val="auto"/>
          <w:w w:val="99"/>
          <w:kern w:val="2"/>
          <w:highlight w:val="none"/>
        </w:rPr>
        <w:t>环境部公告〔</w:t>
      </w:r>
      <w:r>
        <w:rPr>
          <w:rFonts w:ascii="Times New Roman" w:hAnsi="Times New Roman" w:cs="Times New Roman"/>
          <w:color w:val="auto"/>
          <w:w w:val="99"/>
          <w:kern w:val="2"/>
          <w:highlight w:val="none"/>
        </w:rPr>
        <w:t>2024〕4号），施工废料的分类代码为900-099-S59。</w:t>
      </w:r>
      <w:r>
        <w:rPr>
          <w:rFonts w:hint="eastAsia" w:ascii="Times New Roman" w:hAnsi="Times New Roman" w:cs="Times New Roman"/>
          <w:color w:val="auto"/>
          <w:w w:val="99"/>
          <w:kern w:val="2"/>
          <w:highlight w:val="none"/>
        </w:rPr>
        <w:t>根据油气/长输管道环评领域长期沿用的类比经验系数，</w:t>
      </w:r>
      <w:r>
        <w:rPr>
          <w:rFonts w:ascii="Times New Roman" w:hAnsi="Times New Roman" w:cs="Times New Roman"/>
          <w:color w:val="auto"/>
          <w:w w:val="99"/>
          <w:kern w:val="2"/>
          <w:highlight w:val="none"/>
        </w:rPr>
        <w:t>管道施工废料产生量以20kg/km管道计，本项目新建</w:t>
      </w:r>
      <w:r>
        <w:rPr>
          <w:rFonts w:hint="eastAsia" w:ascii="Times New Roman" w:hAnsi="Times New Roman" w:cs="Times New Roman"/>
          <w:color w:val="auto"/>
          <w:w w:val="99"/>
          <w:kern w:val="2"/>
          <w:highlight w:val="none"/>
        </w:rPr>
        <w:t>采气</w:t>
      </w:r>
      <w:r>
        <w:rPr>
          <w:rFonts w:ascii="Times New Roman" w:hAnsi="Times New Roman" w:cs="Times New Roman"/>
          <w:color w:val="auto"/>
          <w:w w:val="99"/>
          <w:kern w:val="2"/>
          <w:highlight w:val="none"/>
        </w:rPr>
        <w:t>管道合计</w:t>
      </w:r>
      <w:r>
        <w:rPr>
          <w:rFonts w:hint="eastAsia" w:ascii="Times New Roman" w:hAnsi="Times New Roman" w:cs="Times New Roman"/>
          <w:color w:val="auto"/>
          <w:w w:val="99"/>
          <w:kern w:val="2"/>
          <w:highlight w:val="none"/>
        </w:rPr>
        <w:t>1.92</w:t>
      </w:r>
      <w:r>
        <w:rPr>
          <w:rFonts w:ascii="Times New Roman" w:hAnsi="Times New Roman" w:cs="Times New Roman"/>
          <w:color w:val="auto"/>
          <w:w w:val="99"/>
          <w:kern w:val="2"/>
          <w:highlight w:val="none"/>
        </w:rPr>
        <w:t>km，因此，施工废料产生量约为0.</w:t>
      </w:r>
      <w:r>
        <w:rPr>
          <w:rFonts w:hint="eastAsia" w:ascii="Times New Roman" w:hAnsi="Times New Roman" w:cs="Times New Roman"/>
          <w:color w:val="auto"/>
          <w:w w:val="99"/>
          <w:kern w:val="2"/>
          <w:highlight w:val="none"/>
        </w:rPr>
        <w:t>04</w:t>
      </w:r>
      <w:r>
        <w:rPr>
          <w:rFonts w:ascii="Times New Roman" w:hAnsi="Times New Roman" w:cs="Times New Roman"/>
          <w:color w:val="auto"/>
          <w:w w:val="99"/>
          <w:kern w:val="2"/>
          <w:highlight w:val="none"/>
        </w:rPr>
        <w:t>t。施工废料由施工单位拉运至第八采油厂工业固废填埋场处理。</w:t>
      </w:r>
    </w:p>
    <w:bookmarkEnd w:id="543"/>
    <w:bookmarkEnd w:id="544"/>
    <w:p w14:paraId="4CDE74B8">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②</w:t>
      </w:r>
      <w:r>
        <w:rPr>
          <w:rFonts w:ascii="Times New Roman" w:hAnsi="Times New Roman" w:cs="Times New Roman"/>
          <w:color w:val="auto"/>
          <w:w w:val="99"/>
          <w:kern w:val="2"/>
          <w:highlight w:val="none"/>
        </w:rPr>
        <w:t>生活垃圾</w:t>
      </w:r>
    </w:p>
    <w:p w14:paraId="0D3096AE">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本项目</w:t>
      </w:r>
      <w:r>
        <w:rPr>
          <w:rFonts w:hint="eastAsia" w:ascii="Times New Roman" w:hAnsi="Times New Roman" w:cs="Times New Roman"/>
          <w:color w:val="auto"/>
          <w:w w:val="99"/>
          <w:kern w:val="2"/>
          <w:highlight w:val="none"/>
        </w:rPr>
        <w:t>地面工程施工时间约30d，施工人数30人，每人产生生活垃圾按 0.5kg/d 计，</w:t>
      </w:r>
      <w:r>
        <w:rPr>
          <w:rFonts w:ascii="Times New Roman" w:hAnsi="Times New Roman" w:cs="Times New Roman"/>
          <w:color w:val="auto"/>
          <w:w w:val="99"/>
          <w:kern w:val="2"/>
          <w:highlight w:val="none"/>
        </w:rPr>
        <w:t>则</w:t>
      </w:r>
      <w:r>
        <w:rPr>
          <w:rFonts w:hint="eastAsia" w:ascii="Times New Roman" w:hAnsi="Times New Roman" w:cs="Times New Roman"/>
          <w:color w:val="auto"/>
          <w:w w:val="99"/>
          <w:kern w:val="2"/>
          <w:highlight w:val="none"/>
        </w:rPr>
        <w:t>地面工程</w:t>
      </w:r>
      <w:r>
        <w:rPr>
          <w:rFonts w:ascii="Times New Roman" w:hAnsi="Times New Roman" w:cs="Times New Roman"/>
          <w:color w:val="auto"/>
          <w:w w:val="99"/>
          <w:kern w:val="2"/>
          <w:highlight w:val="none"/>
        </w:rPr>
        <w:t>施工人员生活垃圾产生量为</w:t>
      </w:r>
      <w:r>
        <w:rPr>
          <w:rFonts w:hint="eastAsia" w:ascii="Times New Roman" w:hAnsi="Times New Roman" w:cs="Times New Roman"/>
          <w:color w:val="auto"/>
          <w:w w:val="99"/>
          <w:kern w:val="2"/>
          <w:highlight w:val="none"/>
        </w:rPr>
        <w:t>0.45</w:t>
      </w:r>
      <w:r>
        <w:rPr>
          <w:rFonts w:ascii="Times New Roman" w:hAnsi="Times New Roman" w:cs="Times New Roman"/>
          <w:color w:val="auto"/>
          <w:w w:val="99"/>
          <w:kern w:val="2"/>
          <w:highlight w:val="none"/>
        </w:rPr>
        <w:t>t（</w:t>
      </w:r>
      <w:r>
        <w:rPr>
          <w:rFonts w:hint="eastAsia" w:ascii="Times New Roman" w:hAnsi="Times New Roman" w:cs="Times New Roman"/>
          <w:color w:val="auto"/>
          <w:w w:val="99"/>
          <w:kern w:val="2"/>
          <w:highlight w:val="none"/>
        </w:rPr>
        <w:t>30</w:t>
      </w:r>
      <w:r>
        <w:rPr>
          <w:rFonts w:ascii="Times New Roman" w:hAnsi="Times New Roman" w:cs="Times New Roman"/>
          <w:color w:val="auto"/>
          <w:w w:val="99"/>
          <w:kern w:val="2"/>
          <w:highlight w:val="none"/>
        </w:rPr>
        <w:t>×</w:t>
      </w:r>
      <w:r>
        <w:rPr>
          <w:rFonts w:hint="eastAsia" w:ascii="Times New Roman" w:hAnsi="Times New Roman" w:cs="Times New Roman"/>
          <w:color w:val="auto"/>
          <w:w w:val="99"/>
          <w:kern w:val="2"/>
          <w:highlight w:val="none"/>
        </w:rPr>
        <w:t>30</w:t>
      </w:r>
      <w:r>
        <w:rPr>
          <w:rFonts w:ascii="Times New Roman" w:hAnsi="Times New Roman" w:cs="Times New Roman"/>
          <w:color w:val="auto"/>
          <w:w w:val="99"/>
          <w:kern w:val="2"/>
          <w:highlight w:val="none"/>
        </w:rPr>
        <w:t>×0.5×10</w:t>
      </w:r>
      <w:r>
        <w:rPr>
          <w:rFonts w:ascii="Times New Roman" w:hAnsi="Times New Roman" w:cs="Times New Roman"/>
          <w:color w:val="auto"/>
          <w:w w:val="99"/>
          <w:kern w:val="2"/>
          <w:highlight w:val="none"/>
          <w:vertAlign w:val="superscript"/>
        </w:rPr>
        <w:t>-3</w:t>
      </w:r>
      <w:r>
        <w:rPr>
          <w:rFonts w:ascii="Times New Roman" w:hAnsi="Times New Roman" w:cs="Times New Roman"/>
          <w:color w:val="auto"/>
          <w:w w:val="99"/>
          <w:kern w:val="2"/>
          <w:highlight w:val="none"/>
        </w:rPr>
        <w:t>=</w:t>
      </w:r>
      <w:r>
        <w:rPr>
          <w:rFonts w:hint="eastAsia" w:ascii="Times New Roman" w:hAnsi="Times New Roman" w:cs="Times New Roman"/>
          <w:color w:val="auto"/>
          <w:w w:val="99"/>
          <w:kern w:val="2"/>
          <w:highlight w:val="none"/>
        </w:rPr>
        <w:t>0.45</w:t>
      </w:r>
      <w:r>
        <w:rPr>
          <w:rFonts w:ascii="Times New Roman" w:hAnsi="Times New Roman" w:cs="Times New Roman"/>
          <w:color w:val="auto"/>
          <w:w w:val="99"/>
          <w:kern w:val="2"/>
          <w:highlight w:val="none"/>
        </w:rPr>
        <w:t>），生活垃圾统一收集后拉运至</w:t>
      </w:r>
      <w:r>
        <w:rPr>
          <w:rFonts w:hint="eastAsia" w:ascii="Times New Roman" w:hAnsi="Times New Roman" w:cs="Times New Roman"/>
          <w:color w:val="auto"/>
          <w:w w:val="99"/>
          <w:kern w:val="2"/>
          <w:highlight w:val="none"/>
        </w:rPr>
        <w:t>肇东北控环境再生能源有限公司</w:t>
      </w:r>
      <w:r>
        <w:rPr>
          <w:rFonts w:ascii="Times New Roman" w:hAnsi="Times New Roman" w:cs="Times New Roman"/>
          <w:color w:val="auto"/>
          <w:w w:val="99"/>
          <w:kern w:val="2"/>
          <w:highlight w:val="none"/>
        </w:rPr>
        <w:t>处理。</w:t>
      </w:r>
    </w:p>
    <w:p w14:paraId="1C1150E7">
      <w:pPr>
        <w:pStyle w:val="153"/>
        <w:widowControl w:val="0"/>
        <w:spacing w:line="440" w:lineRule="exact"/>
        <w:ind w:firstLine="474"/>
        <w:rPr>
          <w:rFonts w:ascii="Times New Roman" w:hAnsi="Times New Roman"/>
          <w:b/>
          <w:color w:val="auto"/>
          <w:w w:val="99"/>
          <w:kern w:val="2"/>
          <w:highlight w:val="none"/>
        </w:rPr>
      </w:pPr>
      <w:r>
        <w:rPr>
          <w:rFonts w:ascii="Times New Roman" w:hAnsi="Times New Roman"/>
          <w:b/>
          <w:color w:val="auto"/>
          <w:w w:val="99"/>
          <w:kern w:val="2"/>
          <w:highlight w:val="none"/>
        </w:rPr>
        <w:t>表</w:t>
      </w:r>
      <w:r>
        <w:rPr>
          <w:rFonts w:hint="eastAsia" w:ascii="Times New Roman" w:hAnsi="Times New Roman"/>
          <w:b/>
          <w:color w:val="auto"/>
          <w:w w:val="99"/>
          <w:kern w:val="2"/>
          <w:highlight w:val="none"/>
        </w:rPr>
        <w:t>3.10</w:t>
      </w:r>
      <w:r>
        <w:rPr>
          <w:rFonts w:ascii="Times New Roman" w:hAnsi="Times New Roman"/>
          <w:b/>
          <w:color w:val="auto"/>
          <w:w w:val="99"/>
          <w:kern w:val="2"/>
          <w:highlight w:val="none"/>
        </w:rPr>
        <w:t>-</w:t>
      </w:r>
      <w:r>
        <w:rPr>
          <w:rFonts w:hint="eastAsia" w:ascii="Times New Roman" w:hAnsi="Times New Roman"/>
          <w:b/>
          <w:color w:val="auto"/>
          <w:w w:val="99"/>
          <w:kern w:val="2"/>
          <w:highlight w:val="none"/>
        </w:rPr>
        <w:t>4</w:t>
      </w:r>
      <w:r>
        <w:rPr>
          <w:rFonts w:ascii="Times New Roman" w:hAnsi="Times New Roman"/>
          <w:b/>
          <w:color w:val="auto"/>
          <w:w w:val="99"/>
          <w:kern w:val="2"/>
          <w:highlight w:val="none"/>
        </w:rPr>
        <w:t xml:space="preserve">    本工程施工期固体废物产生量统计表</w:t>
      </w:r>
    </w:p>
    <w:tbl>
      <w:tblPr>
        <w:tblStyle w:val="8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4"/>
        <w:gridCol w:w="2032"/>
        <w:gridCol w:w="1306"/>
        <w:gridCol w:w="5224"/>
      </w:tblGrid>
      <w:tr w14:paraId="008665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pct"/>
            <w:vAlign w:val="center"/>
          </w:tcPr>
          <w:p w14:paraId="5F597087">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序号</w:t>
            </w:r>
          </w:p>
        </w:tc>
        <w:tc>
          <w:tcPr>
            <w:tcW w:w="1094" w:type="pct"/>
            <w:vAlign w:val="center"/>
          </w:tcPr>
          <w:p w14:paraId="053ED73E">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污染物名称</w:t>
            </w:r>
          </w:p>
        </w:tc>
        <w:tc>
          <w:tcPr>
            <w:tcW w:w="703" w:type="pct"/>
            <w:vAlign w:val="center"/>
          </w:tcPr>
          <w:p w14:paraId="56D42416">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产生量</w:t>
            </w:r>
          </w:p>
        </w:tc>
        <w:tc>
          <w:tcPr>
            <w:tcW w:w="2812" w:type="pct"/>
            <w:vAlign w:val="center"/>
          </w:tcPr>
          <w:p w14:paraId="23795389">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处置去向</w:t>
            </w:r>
          </w:p>
        </w:tc>
      </w:tr>
      <w:tr w14:paraId="3A327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pct"/>
            <w:vAlign w:val="center"/>
          </w:tcPr>
          <w:p w14:paraId="3EF8169C">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1</w:t>
            </w:r>
          </w:p>
        </w:tc>
        <w:tc>
          <w:tcPr>
            <w:tcW w:w="1094" w:type="pct"/>
            <w:vAlign w:val="center"/>
          </w:tcPr>
          <w:p w14:paraId="4E883A4F">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施工废料</w:t>
            </w:r>
          </w:p>
        </w:tc>
        <w:tc>
          <w:tcPr>
            <w:tcW w:w="703" w:type="pct"/>
            <w:vAlign w:val="center"/>
          </w:tcPr>
          <w:p w14:paraId="5B31D39F">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0.</w:t>
            </w:r>
            <w:r>
              <w:rPr>
                <w:rFonts w:hint="eastAsia" w:ascii="Times New Roman" w:hAnsi="Times New Roman" w:cs="Times New Roman"/>
                <w:color w:val="auto"/>
                <w:w w:val="99"/>
                <w:kern w:val="2"/>
                <w:sz w:val="21"/>
                <w:szCs w:val="21"/>
                <w:highlight w:val="none"/>
              </w:rPr>
              <w:t>04</w:t>
            </w:r>
            <w:r>
              <w:rPr>
                <w:rFonts w:ascii="Times New Roman" w:hAnsi="Times New Roman" w:cs="Times New Roman"/>
                <w:color w:val="auto"/>
                <w:w w:val="99"/>
                <w:kern w:val="2"/>
                <w:sz w:val="21"/>
                <w:szCs w:val="21"/>
                <w:highlight w:val="none"/>
              </w:rPr>
              <w:t>t</w:t>
            </w:r>
          </w:p>
        </w:tc>
        <w:tc>
          <w:tcPr>
            <w:tcW w:w="2812" w:type="pct"/>
            <w:vAlign w:val="center"/>
          </w:tcPr>
          <w:p w14:paraId="21905C52">
            <w:pPr>
              <w:widowControl w:val="0"/>
              <w:adjustRightInd w:val="0"/>
              <w:snapToGrid w:val="0"/>
              <w:spacing w:line="320" w:lineRule="exact"/>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施工结束后由施工单位拉运至第八采油厂工业固废填埋场处理。</w:t>
            </w:r>
          </w:p>
        </w:tc>
      </w:tr>
      <w:tr w14:paraId="6903BB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pct"/>
            <w:vAlign w:val="center"/>
          </w:tcPr>
          <w:p w14:paraId="3DD74687">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2</w:t>
            </w:r>
          </w:p>
        </w:tc>
        <w:tc>
          <w:tcPr>
            <w:tcW w:w="1094" w:type="pct"/>
            <w:vAlign w:val="center"/>
          </w:tcPr>
          <w:p w14:paraId="06B9777F">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生活垃圾</w:t>
            </w:r>
          </w:p>
        </w:tc>
        <w:tc>
          <w:tcPr>
            <w:tcW w:w="703" w:type="pct"/>
            <w:vAlign w:val="center"/>
          </w:tcPr>
          <w:p w14:paraId="1429FD6F">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0.45t</w:t>
            </w:r>
          </w:p>
        </w:tc>
        <w:tc>
          <w:tcPr>
            <w:tcW w:w="2812" w:type="pct"/>
            <w:vAlign w:val="center"/>
          </w:tcPr>
          <w:p w14:paraId="29EC4AF1">
            <w:pPr>
              <w:widowControl w:val="0"/>
              <w:adjustRightInd w:val="0"/>
              <w:snapToGrid w:val="0"/>
              <w:spacing w:line="320" w:lineRule="exact"/>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统一收集后拉运至</w:t>
            </w:r>
            <w:r>
              <w:rPr>
                <w:rFonts w:hint="eastAsia" w:ascii="Times New Roman" w:hAnsi="Times New Roman" w:cs="Times New Roman"/>
                <w:color w:val="auto"/>
                <w:w w:val="99"/>
                <w:kern w:val="2"/>
                <w:sz w:val="21"/>
                <w:szCs w:val="21"/>
                <w:highlight w:val="none"/>
              </w:rPr>
              <w:t>肇东北控环境再生能源有限公司</w:t>
            </w:r>
            <w:r>
              <w:rPr>
                <w:rFonts w:ascii="Times New Roman" w:hAnsi="Times New Roman" w:cs="Times New Roman"/>
                <w:color w:val="auto"/>
                <w:w w:val="99"/>
                <w:kern w:val="2"/>
                <w:sz w:val="21"/>
                <w:szCs w:val="21"/>
                <w:highlight w:val="none"/>
              </w:rPr>
              <w:t>处理</w:t>
            </w:r>
          </w:p>
        </w:tc>
      </w:tr>
    </w:tbl>
    <w:p w14:paraId="4F31371E">
      <w:pPr>
        <w:widowControl w:val="0"/>
        <w:spacing w:line="440" w:lineRule="exact"/>
        <w:ind w:firstLine="474" w:firstLineChars="200"/>
        <w:jc w:val="both"/>
        <w:rPr>
          <w:rFonts w:ascii="Times New Roman" w:hAnsi="Times New Roman" w:cs="Times New Roman"/>
          <w:color w:val="auto"/>
          <w:w w:val="99"/>
          <w:kern w:val="2"/>
          <w:szCs w:val="20"/>
          <w:highlight w:val="none"/>
        </w:rPr>
      </w:pPr>
    </w:p>
    <w:p w14:paraId="2E1C5E74">
      <w:pPr>
        <w:spacing w:line="440" w:lineRule="exact"/>
        <w:outlineLvl w:val="3"/>
        <w:rPr>
          <w:rFonts w:ascii="Times New Roman" w:hAnsi="Times New Roman" w:cs="Times New Roman"/>
          <w:b/>
          <w:color w:val="auto"/>
          <w:w w:val="99"/>
          <w:highlight w:val="none"/>
        </w:rPr>
      </w:pPr>
      <w:r>
        <w:rPr>
          <w:rFonts w:hint="eastAsia" w:ascii="Times New Roman" w:hAnsi="Times New Roman" w:cs="Times New Roman"/>
          <w:b/>
          <w:color w:val="auto"/>
          <w:w w:val="99"/>
          <w:highlight w:val="none"/>
        </w:rPr>
        <w:t>3.10</w:t>
      </w:r>
      <w:r>
        <w:rPr>
          <w:rFonts w:ascii="Times New Roman" w:hAnsi="Times New Roman" w:cs="Times New Roman"/>
          <w:b/>
          <w:color w:val="auto"/>
          <w:w w:val="99"/>
          <w:highlight w:val="none"/>
        </w:rPr>
        <w:t>.</w:t>
      </w:r>
      <w:r>
        <w:rPr>
          <w:rFonts w:hint="eastAsia" w:ascii="Times New Roman" w:hAnsi="Times New Roman" w:cs="Times New Roman"/>
          <w:b/>
          <w:color w:val="auto"/>
          <w:w w:val="99"/>
          <w:highlight w:val="none"/>
        </w:rPr>
        <w:t>4</w:t>
      </w:r>
      <w:r>
        <w:rPr>
          <w:rFonts w:ascii="Times New Roman" w:hAnsi="Times New Roman" w:cs="Times New Roman"/>
          <w:b/>
          <w:color w:val="auto"/>
          <w:w w:val="99"/>
          <w:highlight w:val="none"/>
        </w:rPr>
        <w:t>.2运营期污染源源强核算</w:t>
      </w:r>
    </w:p>
    <w:p w14:paraId="116058D7">
      <w:pPr>
        <w:numPr>
          <w:ilvl w:val="0"/>
          <w:numId w:val="10"/>
        </w:numPr>
        <w:snapToGrid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正常工况</w:t>
      </w:r>
    </w:p>
    <w:p w14:paraId="383CFBA2">
      <w:pPr>
        <w:widowControl w:val="0"/>
        <w:spacing w:line="440" w:lineRule="exact"/>
        <w:ind w:firstLine="474" w:firstLineChars="200"/>
        <w:jc w:val="both"/>
        <w:rPr>
          <w:rFonts w:ascii="Times New Roman" w:hAnsi="Times New Roman" w:cs="Times New Roman"/>
          <w:color w:val="auto"/>
          <w:w w:val="99"/>
          <w:kern w:val="2"/>
          <w:highlight w:val="none"/>
          <w:lang w:val="zh-CN"/>
        </w:rPr>
      </w:pPr>
      <w:r>
        <w:rPr>
          <w:rFonts w:hint="eastAsia" w:ascii="Times New Roman" w:hAnsi="Times New Roman" w:cs="Times New Roman"/>
          <w:color w:val="auto"/>
          <w:w w:val="99"/>
          <w:kern w:val="2"/>
          <w:highlight w:val="none"/>
        </w:rPr>
        <w:t>①</w:t>
      </w:r>
      <w:r>
        <w:rPr>
          <w:rFonts w:ascii="Times New Roman" w:hAnsi="Times New Roman" w:cs="Times New Roman"/>
          <w:color w:val="auto"/>
          <w:w w:val="99"/>
          <w:kern w:val="2"/>
          <w:highlight w:val="none"/>
          <w:lang w:val="zh-CN"/>
        </w:rPr>
        <w:t>废气</w:t>
      </w:r>
    </w:p>
    <w:p w14:paraId="168E534A">
      <w:pPr>
        <w:widowControl w:val="0"/>
        <w:spacing w:line="440" w:lineRule="exact"/>
        <w:ind w:firstLine="474" w:firstLineChars="200"/>
        <w:jc w:val="both"/>
        <w:rPr>
          <w:rFonts w:ascii="Times New Roman" w:hAnsi="Times New Roman" w:cs="Times New Roman"/>
          <w:color w:val="auto"/>
          <w:w w:val="99"/>
          <w:kern w:val="2"/>
          <w:highlight w:val="none"/>
          <w:lang w:val="zh-CN"/>
        </w:rPr>
      </w:pPr>
      <w:r>
        <w:rPr>
          <w:rFonts w:ascii="Times New Roman" w:hAnsi="Times New Roman" w:cs="Times New Roman"/>
          <w:color w:val="auto"/>
          <w:w w:val="99"/>
          <w:kern w:val="2"/>
          <w:highlight w:val="none"/>
          <w:lang w:val="zh-CN"/>
        </w:rPr>
        <w:t>正常工况下，井场、站场工艺设备会有少量天然气以无组织形式进行排放，天然气加热炉燃烧排放烟气；项目运营期天然气均由管线运输，因此本项目不涉及新增的交通运输移动源。</w:t>
      </w:r>
    </w:p>
    <w:p w14:paraId="6D1E04C3">
      <w:pPr>
        <w:widowControl w:val="0"/>
        <w:spacing w:line="440" w:lineRule="exact"/>
        <w:ind w:firstLine="474" w:firstLineChars="200"/>
        <w:jc w:val="both"/>
        <w:rPr>
          <w:rFonts w:ascii="Times New Roman" w:hAnsi="Times New Roman" w:cs="Times New Roman"/>
          <w:color w:val="auto"/>
          <w:w w:val="99"/>
          <w:kern w:val="2"/>
          <w:highlight w:val="none"/>
          <w:lang w:val="zh-CN"/>
        </w:rPr>
      </w:pPr>
      <w:r>
        <w:rPr>
          <w:rFonts w:ascii="Times New Roman" w:hAnsi="Times New Roman" w:cs="Times New Roman"/>
          <w:color w:val="auto"/>
          <w:w w:val="99"/>
          <w:kern w:val="2"/>
          <w:highlight w:val="none"/>
          <w:lang w:val="zh-CN"/>
        </w:rPr>
        <w:t>集气站脱水再生尾气属于现有装置，尾气回收装置（水引射增压回收工 艺）对尾气进行回收处理，尾气从收集到处理直至回收整个过程为全封闭态，回收的气体作为三甘醇装置燃料气利用，整个工艺过程无尾气排放口，即尾气回收率100%，因此本次不进行尾气定量核算。</w:t>
      </w:r>
    </w:p>
    <w:p w14:paraId="33A9A699">
      <w:pPr>
        <w:widowControl w:val="0"/>
        <w:spacing w:line="440" w:lineRule="exact"/>
        <w:ind w:firstLine="474" w:firstLineChars="200"/>
        <w:jc w:val="both"/>
        <w:rPr>
          <w:rFonts w:ascii="Times New Roman" w:hAnsi="Times New Roman" w:cs="Times New Roman"/>
          <w:color w:val="auto"/>
          <w:w w:val="99"/>
          <w:kern w:val="2"/>
          <w:highlight w:val="none"/>
          <w:lang w:val="zh-CN"/>
        </w:rPr>
      </w:pPr>
      <w:r>
        <w:rPr>
          <w:rFonts w:hint="eastAsia" w:ascii="Times New Roman" w:hAnsi="Times New Roman" w:cs="Times New Roman"/>
          <w:color w:val="auto"/>
          <w:w w:val="99"/>
          <w:kern w:val="2"/>
          <w:highlight w:val="none"/>
        </w:rPr>
        <w:t>1）</w:t>
      </w:r>
      <w:r>
        <w:rPr>
          <w:rFonts w:ascii="Times New Roman" w:hAnsi="Times New Roman" w:cs="Times New Roman"/>
          <w:color w:val="auto"/>
          <w:w w:val="99"/>
          <w:kern w:val="2"/>
          <w:highlight w:val="none"/>
          <w:lang w:val="zh-CN"/>
        </w:rPr>
        <w:t xml:space="preserve">无组织挥发非甲烷总烃 </w:t>
      </w:r>
    </w:p>
    <w:p w14:paraId="0E691BDE">
      <w:pPr>
        <w:widowControl w:val="0"/>
        <w:spacing w:line="440" w:lineRule="exact"/>
        <w:ind w:firstLine="474" w:firstLineChars="200"/>
        <w:jc w:val="both"/>
        <w:rPr>
          <w:rFonts w:ascii="Times New Roman" w:hAnsi="Times New Roman" w:cs="Times New Roman"/>
          <w:color w:val="auto"/>
          <w:w w:val="99"/>
          <w:kern w:val="2"/>
          <w:highlight w:val="none"/>
          <w:lang w:val="zh-CN"/>
        </w:rPr>
      </w:pPr>
      <w:r>
        <w:rPr>
          <w:rFonts w:ascii="Times New Roman" w:hAnsi="Times New Roman" w:cs="Times New Roman"/>
          <w:bCs/>
          <w:color w:val="auto"/>
          <w:w w:val="99"/>
          <w:kern w:val="2"/>
          <w:szCs w:val="20"/>
          <w:highlight w:val="none"/>
        </w:rPr>
        <w:t>本项目</w:t>
      </w:r>
      <w:r>
        <w:rPr>
          <w:rFonts w:hint="eastAsia" w:ascii="Times New Roman" w:hAnsi="Times New Roman" w:cs="Times New Roman"/>
          <w:bCs/>
          <w:color w:val="auto"/>
          <w:w w:val="99"/>
          <w:kern w:val="2"/>
          <w:szCs w:val="20"/>
          <w:highlight w:val="none"/>
        </w:rPr>
        <w:t>建成产能</w:t>
      </w:r>
      <w:r>
        <w:rPr>
          <w:rFonts w:ascii="Times New Roman" w:hAnsi="Times New Roman" w:cs="Times New Roman"/>
          <w:bCs/>
          <w:color w:val="auto"/>
          <w:w w:val="99"/>
          <w:kern w:val="2"/>
          <w:szCs w:val="20"/>
          <w:highlight w:val="none"/>
        </w:rPr>
        <w:t>约</w:t>
      </w:r>
      <w:r>
        <w:rPr>
          <w:rFonts w:hint="eastAsia" w:ascii="Times New Roman" w:hAnsi="Times New Roman" w:cs="Times New Roman"/>
          <w:bCs/>
          <w:color w:val="auto"/>
          <w:w w:val="99"/>
          <w:kern w:val="2"/>
          <w:szCs w:val="20"/>
          <w:highlight w:val="none"/>
        </w:rPr>
        <w:t>9.0</w:t>
      </w:r>
      <w:r>
        <w:rPr>
          <w:rFonts w:ascii="Times New Roman" w:hAnsi="Times New Roman" w:cs="Times New Roman"/>
          <w:bCs/>
          <w:color w:val="auto"/>
          <w:w w:val="99"/>
          <w:kern w:val="2"/>
          <w:szCs w:val="20"/>
          <w:highlight w:val="none"/>
        </w:rPr>
        <w:t>×10</w:t>
      </w:r>
      <w:r>
        <w:rPr>
          <w:rFonts w:hint="eastAsia" w:ascii="Times New Roman" w:hAnsi="Times New Roman" w:cs="Times New Roman"/>
          <w:bCs/>
          <w:color w:val="auto"/>
          <w:w w:val="99"/>
          <w:kern w:val="2"/>
          <w:szCs w:val="20"/>
          <w:highlight w:val="none"/>
          <w:vertAlign w:val="superscript"/>
        </w:rPr>
        <w:t>4</w:t>
      </w:r>
      <w:r>
        <w:rPr>
          <w:rFonts w:ascii="Times New Roman" w:hAnsi="Times New Roman" w:cs="Times New Roman"/>
          <w:bCs/>
          <w:color w:val="auto"/>
          <w:w w:val="99"/>
          <w:kern w:val="2"/>
          <w:szCs w:val="20"/>
          <w:highlight w:val="none"/>
        </w:rPr>
        <w:t>m</w:t>
      </w:r>
      <w:r>
        <w:rPr>
          <w:rFonts w:ascii="Times New Roman" w:hAnsi="Times New Roman" w:cs="Times New Roman"/>
          <w:bCs/>
          <w:color w:val="auto"/>
          <w:w w:val="99"/>
          <w:kern w:val="2"/>
          <w:szCs w:val="20"/>
          <w:highlight w:val="none"/>
          <w:vertAlign w:val="superscript"/>
        </w:rPr>
        <w:t>3</w:t>
      </w:r>
      <w:r>
        <w:rPr>
          <w:rFonts w:ascii="Times New Roman" w:hAnsi="Times New Roman" w:cs="Times New Roman"/>
          <w:bCs/>
          <w:color w:val="auto"/>
          <w:w w:val="99"/>
          <w:kern w:val="2"/>
          <w:szCs w:val="20"/>
          <w:highlight w:val="none"/>
        </w:rPr>
        <w:t>/</w:t>
      </w:r>
      <w:r>
        <w:rPr>
          <w:rFonts w:hint="eastAsia" w:ascii="Times New Roman" w:hAnsi="Times New Roman" w:cs="Times New Roman"/>
          <w:bCs/>
          <w:color w:val="auto"/>
          <w:w w:val="99"/>
          <w:kern w:val="2"/>
          <w:szCs w:val="20"/>
          <w:highlight w:val="none"/>
        </w:rPr>
        <w:t>d</w:t>
      </w:r>
      <w:r>
        <w:rPr>
          <w:rFonts w:ascii="Times New Roman" w:hAnsi="Times New Roman" w:cs="Times New Roman"/>
          <w:bCs/>
          <w:color w:val="auto"/>
          <w:w w:val="99"/>
          <w:kern w:val="2"/>
          <w:szCs w:val="20"/>
          <w:highlight w:val="none"/>
        </w:rPr>
        <w:t>。根据《大气挥发性有机物源排放清单编制技术指南（试行）》中石油化工业天然原油和天然气开采，其中天然气开采挥发性有机物排放系数推荐值为0.5</w:t>
      </w:r>
      <w:r>
        <w:rPr>
          <w:rFonts w:hint="eastAsia" w:ascii="Times New Roman" w:hAnsi="Times New Roman" w:cs="Times New Roman"/>
          <w:bCs/>
          <w:color w:val="auto"/>
          <w:w w:val="99"/>
          <w:kern w:val="2"/>
          <w:szCs w:val="20"/>
          <w:highlight w:val="none"/>
        </w:rPr>
        <w:t>g/kg</w:t>
      </w:r>
      <w:r>
        <w:rPr>
          <w:rFonts w:ascii="Times New Roman" w:hAnsi="Times New Roman" w:cs="Times New Roman"/>
          <w:bCs/>
          <w:color w:val="auto"/>
          <w:w w:val="99"/>
          <w:kern w:val="2"/>
          <w:szCs w:val="20"/>
          <w:highlight w:val="none"/>
        </w:rPr>
        <w:t>，天然气密度按0.71kg/m</w:t>
      </w:r>
      <w:r>
        <w:rPr>
          <w:rFonts w:ascii="Times New Roman" w:hAnsi="Times New Roman" w:cs="Times New Roman"/>
          <w:bCs/>
          <w:color w:val="auto"/>
          <w:w w:val="99"/>
          <w:kern w:val="2"/>
          <w:szCs w:val="20"/>
          <w:highlight w:val="none"/>
          <w:vertAlign w:val="superscript"/>
        </w:rPr>
        <w:t>3</w:t>
      </w:r>
      <w:r>
        <w:rPr>
          <w:rFonts w:ascii="Times New Roman" w:hAnsi="Times New Roman" w:cs="Times New Roman"/>
          <w:bCs/>
          <w:color w:val="auto"/>
          <w:w w:val="99"/>
          <w:kern w:val="2"/>
          <w:szCs w:val="20"/>
          <w:highlight w:val="none"/>
        </w:rPr>
        <w:t>计，则非甲烷总烃挥发量为</w:t>
      </w:r>
      <w:r>
        <w:rPr>
          <w:rFonts w:hint="eastAsia" w:ascii="Times New Roman" w:hAnsi="Times New Roman" w:cs="Times New Roman"/>
          <w:bCs/>
          <w:color w:val="auto"/>
          <w:w w:val="99"/>
          <w:kern w:val="2"/>
          <w:szCs w:val="20"/>
          <w:highlight w:val="none"/>
        </w:rPr>
        <w:t>11.66</w:t>
      </w:r>
      <w:r>
        <w:rPr>
          <w:rFonts w:ascii="Times New Roman" w:hAnsi="Times New Roman" w:cs="Times New Roman"/>
          <w:bCs/>
          <w:color w:val="auto"/>
          <w:w w:val="99"/>
          <w:kern w:val="2"/>
          <w:szCs w:val="20"/>
          <w:highlight w:val="none"/>
        </w:rPr>
        <w:t>t/a。气井在运行期间非正常工况包括气井开井、关井、检修以及事故时紧急切断阀门后，气井内剩余气通向井口房外放空池放空。</w:t>
      </w:r>
    </w:p>
    <w:p w14:paraId="715ED6C8">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2）加热炉烟气</w:t>
      </w:r>
    </w:p>
    <w:p w14:paraId="5E62AD44">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本工程运行期产生的废气主要来自依托的集气站加热炉产生的烟气，燃料为天然气，产生的烟气较为清洁，并采用了低氮燃烧器。由于本工程未新建加热炉，依托场站加热炉均满足相应的负荷状态下运行，且大气污染物总量在原申请总量范围内，因此本项目仅计算污染物分担量。</w:t>
      </w:r>
    </w:p>
    <w:p w14:paraId="0A9DF83A">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本工程运行期产生的废气主要来自</w:t>
      </w:r>
      <w:r>
        <w:rPr>
          <w:rFonts w:hint="eastAsia" w:ascii="Times New Roman" w:hAnsi="Times New Roman" w:cs="Times New Roman"/>
          <w:color w:val="auto"/>
          <w:w w:val="99"/>
          <w:kern w:val="2"/>
          <w:highlight w:val="none"/>
        </w:rPr>
        <w:t>徐深27集气站5井式真空加热炉及三甘醇脱水装置</w:t>
      </w:r>
      <w:r>
        <w:rPr>
          <w:rFonts w:ascii="Times New Roman" w:hAnsi="Times New Roman" w:cs="Times New Roman"/>
          <w:color w:val="auto"/>
          <w:w w:val="99"/>
          <w:kern w:val="2"/>
          <w:highlight w:val="none"/>
        </w:rPr>
        <w:t>排放的</w:t>
      </w:r>
      <w:r>
        <w:rPr>
          <w:rFonts w:hint="eastAsia" w:ascii="Times New Roman" w:hAnsi="Times New Roman" w:cs="Times New Roman"/>
          <w:color w:val="auto"/>
          <w:w w:val="99"/>
          <w:kern w:val="2"/>
          <w:highlight w:val="none"/>
        </w:rPr>
        <w:t>燃烧</w:t>
      </w:r>
      <w:r>
        <w:rPr>
          <w:rFonts w:ascii="Times New Roman" w:hAnsi="Times New Roman" w:cs="Times New Roman"/>
          <w:color w:val="auto"/>
          <w:w w:val="99"/>
          <w:kern w:val="2"/>
          <w:highlight w:val="none"/>
        </w:rPr>
        <w:t>烟气。</w:t>
      </w:r>
    </w:p>
    <w:p w14:paraId="69487979">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徐深27集气站</w:t>
      </w:r>
      <w:r>
        <w:rPr>
          <w:rFonts w:ascii="Times New Roman" w:hAnsi="Times New Roman" w:cs="Times New Roman"/>
          <w:color w:val="auto"/>
          <w:w w:val="99"/>
          <w:kern w:val="2"/>
          <w:highlight w:val="none"/>
        </w:rPr>
        <w:t>加热</w:t>
      </w:r>
      <w:r>
        <w:rPr>
          <w:rFonts w:hint="eastAsia" w:ascii="Times New Roman" w:hAnsi="Times New Roman" w:cs="Times New Roman"/>
          <w:color w:val="auto"/>
          <w:w w:val="99"/>
          <w:kern w:val="2"/>
          <w:highlight w:val="none"/>
        </w:rPr>
        <w:t>装置均</w:t>
      </w:r>
      <w:r>
        <w:rPr>
          <w:rFonts w:ascii="Times New Roman" w:hAnsi="Times New Roman" w:cs="Times New Roman"/>
          <w:color w:val="auto"/>
          <w:w w:val="99"/>
          <w:kern w:val="2"/>
          <w:highlight w:val="none"/>
        </w:rPr>
        <w:t>为燃气炉，</w:t>
      </w:r>
      <w:r>
        <w:rPr>
          <w:rFonts w:hint="eastAsia" w:ascii="Times New Roman" w:hAnsi="Times New Roman" w:cs="Times New Roman"/>
          <w:color w:val="auto"/>
          <w:w w:val="99"/>
          <w:kern w:val="2"/>
          <w:highlight w:val="none"/>
        </w:rPr>
        <w:t>燃烧天然气为本项目气井采出气，燃烧</w:t>
      </w:r>
      <w:r>
        <w:rPr>
          <w:rFonts w:ascii="Times New Roman" w:hAnsi="Times New Roman" w:cs="Times New Roman"/>
          <w:color w:val="auto"/>
          <w:w w:val="99"/>
          <w:kern w:val="2"/>
          <w:highlight w:val="none"/>
        </w:rPr>
        <w:t>产生的烟气较为清洁，经</w:t>
      </w:r>
      <w:r>
        <w:rPr>
          <w:rFonts w:hint="eastAsia" w:ascii="Times New Roman" w:hAnsi="Times New Roman" w:cs="Times New Roman"/>
          <w:color w:val="auto"/>
          <w:w w:val="99"/>
          <w:kern w:val="2"/>
          <w:highlight w:val="none"/>
        </w:rPr>
        <w:t>8m高</w:t>
      </w:r>
      <w:r>
        <w:rPr>
          <w:rFonts w:ascii="Times New Roman" w:hAnsi="Times New Roman" w:cs="Times New Roman"/>
          <w:color w:val="auto"/>
          <w:w w:val="99"/>
          <w:kern w:val="2"/>
          <w:highlight w:val="none"/>
        </w:rPr>
        <w:t>烟囱排放</w:t>
      </w:r>
      <w:r>
        <w:rPr>
          <w:rFonts w:hint="eastAsia" w:ascii="Times New Roman" w:hAnsi="Times New Roman" w:cs="Times New Roman"/>
          <w:color w:val="auto"/>
          <w:w w:val="99"/>
          <w:kern w:val="2"/>
          <w:highlight w:val="none"/>
        </w:rPr>
        <w:t>（高于周围200m建筑物高度3m以上）。</w:t>
      </w:r>
    </w:p>
    <w:p w14:paraId="1C68FDD6">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根据</w:t>
      </w:r>
      <w:r>
        <w:rPr>
          <w:rFonts w:hint="eastAsia" w:ascii="Times New Roman" w:hAnsi="Times New Roman" w:cs="Times New Roman"/>
          <w:bCs/>
          <w:color w:val="auto"/>
          <w:w w:val="99"/>
          <w:szCs w:val="20"/>
          <w:highlight w:val="none"/>
        </w:rPr>
        <w:t>大庆石油管理局环境监测中心站2025年12月20日</w:t>
      </w:r>
      <w:r>
        <w:rPr>
          <w:rFonts w:hint="eastAsia" w:ascii="Times New Roman" w:hAnsi="Times New Roman" w:cs="Times New Roman"/>
          <w:bCs/>
          <w:color w:val="auto"/>
          <w:w w:val="99"/>
          <w:kern w:val="2"/>
          <w:szCs w:val="20"/>
          <w:highlight w:val="none"/>
        </w:rPr>
        <w:t>对已建徐深27集气站1号加热炉的监测报告（报告编号DQWE-RE2-2512-399，附件6），</w:t>
      </w:r>
      <w:r>
        <w:rPr>
          <w:rFonts w:hint="eastAsia" w:ascii="Times New Roman" w:hAnsi="Times New Roman" w:cs="Times New Roman" w:eastAsiaTheme="minorEastAsia"/>
          <w:color w:val="auto"/>
          <w:w w:val="99"/>
          <w:kern w:val="2"/>
          <w:szCs w:val="20"/>
          <w:highlight w:val="none"/>
        </w:rPr>
        <w:t>徐深</w:t>
      </w:r>
      <w:r>
        <w:rPr>
          <w:rFonts w:ascii="Times New Roman" w:hAnsi="Times New Roman" w:cs="Times New Roman" w:eastAsiaTheme="minorEastAsia"/>
          <w:color w:val="auto"/>
          <w:w w:val="99"/>
          <w:kern w:val="2"/>
          <w:szCs w:val="20"/>
          <w:highlight w:val="none"/>
        </w:rPr>
        <w:t>27</w:t>
      </w:r>
      <w:r>
        <w:rPr>
          <w:rFonts w:hint="eastAsia" w:ascii="Times New Roman" w:hAnsi="Times New Roman" w:cs="Times New Roman" w:eastAsiaTheme="minorEastAsia"/>
          <w:color w:val="auto"/>
          <w:w w:val="99"/>
          <w:kern w:val="2"/>
          <w:szCs w:val="20"/>
          <w:highlight w:val="none"/>
        </w:rPr>
        <w:t>集气站</w:t>
      </w:r>
      <w:r>
        <w:rPr>
          <w:rFonts w:ascii="Times New Roman" w:hAnsi="Times New Roman" w:cs="Times New Roman" w:eastAsiaTheme="minorEastAsia"/>
          <w:color w:val="auto"/>
          <w:w w:val="99"/>
          <w:kern w:val="2"/>
          <w:szCs w:val="20"/>
          <w:highlight w:val="none"/>
        </w:rPr>
        <w:t>加热炉烟气中</w:t>
      </w:r>
      <w:r>
        <w:rPr>
          <w:rFonts w:ascii="Times New Roman" w:hAnsi="Times New Roman" w:cs="Times New Roman" w:eastAsiaTheme="minorEastAsia"/>
          <w:color w:val="auto"/>
          <w:w w:val="99"/>
          <w:kern w:val="2"/>
          <w:szCs w:val="20"/>
          <w:highlight w:val="none"/>
          <w:lang w:val="zh-CN"/>
        </w:rPr>
        <w:t>SO</w:t>
      </w:r>
      <w:r>
        <w:rPr>
          <w:rFonts w:ascii="Times New Roman" w:hAnsi="Times New Roman" w:cs="Times New Roman" w:eastAsiaTheme="minorEastAsia"/>
          <w:color w:val="auto"/>
          <w:w w:val="99"/>
          <w:kern w:val="2"/>
          <w:szCs w:val="20"/>
          <w:highlight w:val="none"/>
          <w:vertAlign w:val="subscript"/>
          <w:lang w:val="zh-CN"/>
        </w:rPr>
        <w:t>2</w:t>
      </w:r>
      <w:r>
        <w:rPr>
          <w:rFonts w:ascii="Times New Roman" w:hAnsi="Times New Roman" w:cs="Times New Roman" w:eastAsiaTheme="minorEastAsia"/>
          <w:color w:val="auto"/>
          <w:w w:val="99"/>
          <w:kern w:val="2"/>
          <w:szCs w:val="20"/>
          <w:highlight w:val="none"/>
          <w:lang w:val="zh-CN"/>
        </w:rPr>
        <w:t>、NO</w:t>
      </w:r>
      <w:r>
        <w:rPr>
          <w:rFonts w:ascii="Times New Roman" w:hAnsi="Times New Roman" w:cs="Times New Roman" w:eastAsiaTheme="minorEastAsia"/>
          <w:color w:val="auto"/>
          <w:w w:val="99"/>
          <w:kern w:val="2"/>
          <w:szCs w:val="20"/>
          <w:highlight w:val="none"/>
          <w:vertAlign w:val="subscript"/>
          <w:lang w:val="zh-CN"/>
        </w:rPr>
        <w:t>x</w:t>
      </w:r>
      <w:r>
        <w:rPr>
          <w:rFonts w:ascii="Times New Roman" w:hAnsi="Times New Roman" w:cs="Times New Roman" w:eastAsiaTheme="minorEastAsia"/>
          <w:color w:val="auto"/>
          <w:w w:val="99"/>
          <w:kern w:val="2"/>
          <w:szCs w:val="20"/>
          <w:highlight w:val="none"/>
          <w:lang w:val="zh-CN"/>
        </w:rPr>
        <w:t>、</w:t>
      </w:r>
      <w:r>
        <w:rPr>
          <w:rFonts w:hint="eastAsia" w:ascii="Times New Roman" w:hAnsi="Times New Roman" w:cs="Times New Roman" w:eastAsiaTheme="minorEastAsia"/>
          <w:color w:val="auto"/>
          <w:w w:val="99"/>
          <w:kern w:val="2"/>
          <w:szCs w:val="20"/>
          <w:highlight w:val="none"/>
        </w:rPr>
        <w:t>颗粒物的排放浓度分别为0mg/m</w:t>
      </w:r>
      <w:r>
        <w:rPr>
          <w:rFonts w:hint="eastAsia" w:ascii="Times New Roman" w:hAnsi="Times New Roman" w:cs="Times New Roman" w:eastAsiaTheme="minorEastAsia"/>
          <w:color w:val="auto"/>
          <w:w w:val="99"/>
          <w:kern w:val="2"/>
          <w:szCs w:val="20"/>
          <w:highlight w:val="none"/>
          <w:vertAlign w:val="superscript"/>
        </w:rPr>
        <w:t>3</w:t>
      </w:r>
      <w:r>
        <w:rPr>
          <w:rFonts w:hint="eastAsia" w:ascii="Times New Roman" w:hAnsi="Times New Roman" w:cs="Times New Roman" w:eastAsiaTheme="minorEastAsia"/>
          <w:color w:val="auto"/>
          <w:w w:val="99"/>
          <w:kern w:val="2"/>
          <w:szCs w:val="20"/>
          <w:highlight w:val="none"/>
        </w:rPr>
        <w:t>，53~61mg/m</w:t>
      </w:r>
      <w:r>
        <w:rPr>
          <w:rFonts w:hint="eastAsia" w:ascii="Times New Roman" w:hAnsi="Times New Roman" w:cs="Times New Roman" w:eastAsiaTheme="minorEastAsia"/>
          <w:color w:val="auto"/>
          <w:w w:val="99"/>
          <w:kern w:val="2"/>
          <w:szCs w:val="20"/>
          <w:highlight w:val="none"/>
          <w:vertAlign w:val="superscript"/>
        </w:rPr>
        <w:t>3</w:t>
      </w:r>
      <w:r>
        <w:rPr>
          <w:rFonts w:hint="eastAsia" w:ascii="Times New Roman" w:hAnsi="Times New Roman" w:cs="Times New Roman" w:eastAsiaTheme="minorEastAsia"/>
          <w:color w:val="auto"/>
          <w:w w:val="99"/>
          <w:kern w:val="2"/>
          <w:szCs w:val="20"/>
          <w:highlight w:val="none"/>
        </w:rPr>
        <w:t>，6.2~6.7mg/m</w:t>
      </w:r>
      <w:r>
        <w:rPr>
          <w:rFonts w:hint="eastAsia" w:ascii="Times New Roman" w:hAnsi="Times New Roman" w:cs="Times New Roman" w:eastAsiaTheme="minorEastAsia"/>
          <w:color w:val="auto"/>
          <w:w w:val="99"/>
          <w:kern w:val="2"/>
          <w:szCs w:val="20"/>
          <w:highlight w:val="none"/>
          <w:vertAlign w:val="superscript"/>
        </w:rPr>
        <w:t>3</w:t>
      </w:r>
      <w:r>
        <w:rPr>
          <w:rFonts w:hint="eastAsia" w:ascii="Times New Roman" w:hAnsi="Times New Roman" w:cs="Times New Roman" w:eastAsiaTheme="minorEastAsia"/>
          <w:color w:val="auto"/>
          <w:w w:val="99"/>
          <w:kern w:val="2"/>
          <w:szCs w:val="20"/>
          <w:highlight w:val="none"/>
        </w:rPr>
        <w:t>，</w:t>
      </w:r>
      <w:r>
        <w:rPr>
          <w:rFonts w:ascii="Times New Roman" w:hAnsi="Times New Roman" w:cs="Times New Roman" w:eastAsiaTheme="minorEastAsia"/>
          <w:color w:val="auto"/>
          <w:w w:val="99"/>
          <w:kern w:val="2"/>
          <w:szCs w:val="20"/>
          <w:highlight w:val="none"/>
          <w:lang w:val="zh-CN"/>
        </w:rPr>
        <w:t>均</w:t>
      </w:r>
      <w:r>
        <w:rPr>
          <w:rFonts w:ascii="Times New Roman" w:hAnsi="Times New Roman" w:cs="Times New Roman" w:eastAsiaTheme="minorEastAsia"/>
          <w:color w:val="auto"/>
          <w:w w:val="99"/>
          <w:kern w:val="2"/>
          <w:szCs w:val="20"/>
          <w:highlight w:val="none"/>
        </w:rPr>
        <w:t>满足《锅炉大气污染物排放标准》（GB13271-2014）中表2</w:t>
      </w:r>
      <w:r>
        <w:rPr>
          <w:rFonts w:hint="eastAsia" w:ascii="Times New Roman" w:hAnsi="Times New Roman" w:cs="Times New Roman" w:eastAsiaTheme="minorEastAsia"/>
          <w:color w:val="auto"/>
          <w:w w:val="99"/>
          <w:kern w:val="2"/>
          <w:szCs w:val="20"/>
          <w:highlight w:val="none"/>
        </w:rPr>
        <w:t>新建</w:t>
      </w:r>
      <w:r>
        <w:rPr>
          <w:rFonts w:ascii="Times New Roman" w:hAnsi="Times New Roman" w:cs="Times New Roman" w:eastAsiaTheme="minorEastAsia"/>
          <w:color w:val="auto"/>
          <w:w w:val="99"/>
          <w:kern w:val="2"/>
          <w:szCs w:val="20"/>
          <w:highlight w:val="none"/>
        </w:rPr>
        <w:t>燃气锅炉标准，且排气筒高度满足《锅炉大气污染物排放标准》（GB13271-2014）中对燃气锅炉烟囱不低于8m的要求。</w:t>
      </w:r>
    </w:p>
    <w:p w14:paraId="02DEBD48">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根据《纳入排污许可管理的火电等17个行业污染物实际排放量计算方法（含排污系数、物料衡算方法）》表B.5中燃气锅炉的废气产排污系数（139854.28m</w:t>
      </w:r>
      <w:r>
        <w:rPr>
          <w:rFonts w:ascii="Times New Roman" w:hAnsi="Times New Roman" w:cs="Times New Roman"/>
          <w:color w:val="auto"/>
          <w:w w:val="99"/>
          <w:kern w:val="2"/>
          <w:highlight w:val="none"/>
          <w:vertAlign w:val="superscript"/>
        </w:rPr>
        <w:t>3</w:t>
      </w:r>
      <w:r>
        <w:rPr>
          <w:rFonts w:ascii="Times New Roman" w:hAnsi="Times New Roman" w:cs="Times New Roman"/>
          <w:color w:val="auto"/>
          <w:w w:val="99"/>
          <w:kern w:val="2"/>
          <w:highlight w:val="none"/>
        </w:rPr>
        <w:t>/万m</w:t>
      </w:r>
      <w:r>
        <w:rPr>
          <w:rFonts w:ascii="Times New Roman" w:hAnsi="Times New Roman" w:cs="Times New Roman"/>
          <w:color w:val="auto"/>
          <w:w w:val="99"/>
          <w:kern w:val="2"/>
          <w:highlight w:val="none"/>
          <w:vertAlign w:val="superscript"/>
        </w:rPr>
        <w:t>3</w:t>
      </w:r>
      <w:r>
        <w:rPr>
          <w:rFonts w:ascii="Times New Roman" w:hAnsi="Times New Roman" w:cs="Times New Roman"/>
          <w:color w:val="auto"/>
          <w:w w:val="99"/>
          <w:kern w:val="2"/>
          <w:highlight w:val="none"/>
        </w:rPr>
        <w:t>-原料）</w:t>
      </w:r>
      <w:r>
        <w:rPr>
          <w:rFonts w:hint="eastAsia" w:ascii="Times New Roman" w:hAnsi="Times New Roman" w:cs="Times New Roman"/>
          <w:color w:val="auto"/>
          <w:w w:val="99"/>
          <w:kern w:val="2"/>
          <w:highlight w:val="none"/>
        </w:rPr>
        <w:t>。根据设计方案，本项目新增耗气量7.07万m</w:t>
      </w:r>
      <w:r>
        <w:rPr>
          <w:rFonts w:hint="eastAsia" w:ascii="Times New Roman" w:hAnsi="Times New Roman" w:cs="Times New Roman"/>
          <w:color w:val="auto"/>
          <w:w w:val="99"/>
          <w:kern w:val="2"/>
          <w:highlight w:val="none"/>
          <w:vertAlign w:val="superscript"/>
        </w:rPr>
        <w:t>3</w:t>
      </w:r>
      <w:r>
        <w:rPr>
          <w:rFonts w:hint="eastAsia" w:ascii="Times New Roman" w:hAnsi="Times New Roman" w:cs="Times New Roman"/>
          <w:color w:val="auto"/>
          <w:w w:val="99"/>
          <w:kern w:val="2"/>
          <w:highlight w:val="none"/>
        </w:rPr>
        <w:t>/a，则烟气量约98.88万m</w:t>
      </w:r>
      <w:r>
        <w:rPr>
          <w:rFonts w:hint="eastAsia" w:ascii="Times New Roman" w:hAnsi="Times New Roman" w:cs="Times New Roman"/>
          <w:color w:val="auto"/>
          <w:w w:val="99"/>
          <w:kern w:val="2"/>
          <w:highlight w:val="none"/>
          <w:vertAlign w:val="superscript"/>
        </w:rPr>
        <w:t>3</w:t>
      </w:r>
      <w:r>
        <w:rPr>
          <w:rFonts w:hint="eastAsia" w:ascii="Times New Roman" w:hAnsi="Times New Roman" w:cs="Times New Roman"/>
          <w:color w:val="auto"/>
          <w:w w:val="99"/>
          <w:kern w:val="2"/>
          <w:highlight w:val="none"/>
        </w:rPr>
        <w:t>/a</w:t>
      </w:r>
      <w:r>
        <w:rPr>
          <w:rFonts w:hint="eastAsia" w:ascii="Times New Roman" w:hAnsi="Times New Roman" w:cs="Times New Roman"/>
          <w:color w:val="auto"/>
          <w:w w:val="99"/>
          <w:kern w:val="2"/>
          <w:highlight w:val="none"/>
          <w:lang w:eastAsia="zh-CN"/>
        </w:rPr>
        <w:t>（</w:t>
      </w:r>
      <w:r>
        <w:rPr>
          <w:rFonts w:ascii="Times New Roman" w:hAnsi="Times New Roman" w:cs="Times New Roman"/>
          <w:color w:val="auto"/>
          <w:w w:val="99"/>
          <w:kern w:val="2"/>
          <w:highlight w:val="none"/>
        </w:rPr>
        <w:t>139854.28</w:t>
      </w:r>
      <w:r>
        <w:rPr>
          <w:rFonts w:hint="eastAsia" w:ascii="Times New Roman" w:hAnsi="Times New Roman" w:cs="Times New Roman"/>
          <w:color w:val="auto"/>
          <w:w w:val="99"/>
          <w:kern w:val="2"/>
          <w:highlight w:val="none"/>
          <w:lang w:val="en-US" w:eastAsia="zh-CN"/>
        </w:rPr>
        <w:t>×</w:t>
      </w:r>
      <w:r>
        <w:rPr>
          <w:rFonts w:hint="eastAsia" w:ascii="Times New Roman" w:hAnsi="Times New Roman" w:cs="Times New Roman"/>
          <w:color w:val="auto"/>
          <w:w w:val="99"/>
          <w:kern w:val="2"/>
          <w:highlight w:val="none"/>
        </w:rPr>
        <w:t>7.07</w:t>
      </w:r>
      <w:r>
        <w:rPr>
          <w:rFonts w:hint="eastAsia" w:ascii="Times New Roman" w:hAnsi="Times New Roman" w:cs="Times New Roman"/>
          <w:color w:val="auto"/>
          <w:w w:val="99"/>
          <w:kern w:val="2"/>
          <w:highlight w:val="none"/>
          <w:lang w:val="en-US" w:eastAsia="zh-CN"/>
        </w:rPr>
        <w:t>×10</w:t>
      </w:r>
      <w:r>
        <w:rPr>
          <w:rFonts w:hint="eastAsia" w:ascii="Times New Roman" w:hAnsi="Times New Roman" w:cs="Times New Roman"/>
          <w:color w:val="auto"/>
          <w:w w:val="99"/>
          <w:kern w:val="2"/>
          <w:highlight w:val="none"/>
          <w:vertAlign w:val="superscript"/>
          <w:lang w:val="en-US" w:eastAsia="zh-CN"/>
        </w:rPr>
        <w:t>-4</w:t>
      </w:r>
      <w:r>
        <w:rPr>
          <w:rFonts w:hint="eastAsia" w:ascii="Times New Roman" w:hAnsi="Times New Roman" w:cs="Times New Roman"/>
          <w:color w:val="auto"/>
          <w:w w:val="99"/>
          <w:kern w:val="2"/>
          <w:highlight w:val="none"/>
          <w:vertAlign w:val="baseline"/>
          <w:lang w:val="en-US" w:eastAsia="zh-CN"/>
        </w:rPr>
        <w:t>=</w:t>
      </w:r>
      <w:r>
        <w:rPr>
          <w:rFonts w:hint="eastAsia" w:ascii="Times New Roman" w:hAnsi="Times New Roman" w:cs="Times New Roman"/>
          <w:color w:val="auto"/>
          <w:w w:val="99"/>
          <w:kern w:val="2"/>
          <w:highlight w:val="none"/>
        </w:rPr>
        <w:t>98.88</w:t>
      </w:r>
      <w:r>
        <w:rPr>
          <w:rFonts w:hint="eastAsia" w:ascii="Times New Roman" w:hAnsi="Times New Roman" w:cs="Times New Roman"/>
          <w:color w:val="auto"/>
          <w:w w:val="99"/>
          <w:kern w:val="2"/>
          <w:highlight w:val="none"/>
          <w:lang w:eastAsia="zh-CN"/>
        </w:rPr>
        <w:t>）</w:t>
      </w:r>
      <w:r>
        <w:rPr>
          <w:rFonts w:hint="eastAsia" w:ascii="Times New Roman" w:hAnsi="Times New Roman" w:cs="Times New Roman"/>
          <w:color w:val="auto"/>
          <w:w w:val="99"/>
          <w:kern w:val="2"/>
          <w:highlight w:val="none"/>
        </w:rPr>
        <w:t>。</w:t>
      </w:r>
    </w:p>
    <w:p w14:paraId="36103206">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本项目</w:t>
      </w:r>
      <w:r>
        <w:rPr>
          <w:rFonts w:ascii="Times New Roman" w:hAnsi="Times New Roman" w:cs="Times New Roman"/>
          <w:color w:val="auto"/>
          <w:w w:val="99"/>
          <w:kern w:val="2"/>
          <w:highlight w:val="none"/>
        </w:rPr>
        <w:t>新增加的大气污染物排放情况详见表</w:t>
      </w:r>
      <w:r>
        <w:rPr>
          <w:rFonts w:hint="eastAsia" w:ascii="Times New Roman" w:hAnsi="Times New Roman" w:cs="Times New Roman"/>
          <w:color w:val="auto"/>
          <w:w w:val="99"/>
          <w:kern w:val="2"/>
          <w:highlight w:val="none"/>
        </w:rPr>
        <w:t>3.10-5</w:t>
      </w:r>
      <w:r>
        <w:rPr>
          <w:rFonts w:ascii="Times New Roman" w:hAnsi="Times New Roman" w:cs="Times New Roman"/>
          <w:color w:val="auto"/>
          <w:w w:val="99"/>
          <w:kern w:val="2"/>
          <w:highlight w:val="none"/>
        </w:rPr>
        <w:t>。</w:t>
      </w:r>
    </w:p>
    <w:p w14:paraId="265BD2DF">
      <w:pPr>
        <w:widowControl w:val="0"/>
        <w:spacing w:line="440" w:lineRule="exact"/>
        <w:ind w:firstLine="476" w:firstLineChars="200"/>
        <w:jc w:val="both"/>
        <w:rPr>
          <w:rFonts w:ascii="Times New Roman" w:hAnsi="Times New Roman" w:cs="Times New Roman"/>
          <w:b/>
          <w:bCs/>
          <w:color w:val="auto"/>
          <w:w w:val="99"/>
          <w:kern w:val="2"/>
          <w:highlight w:val="none"/>
        </w:rPr>
      </w:pPr>
      <w:r>
        <w:rPr>
          <w:rFonts w:ascii="Times New Roman" w:hAnsi="Times New Roman" w:cs="Times New Roman"/>
          <w:b/>
          <w:bCs/>
          <w:color w:val="auto"/>
          <w:w w:val="99"/>
          <w:kern w:val="2"/>
          <w:highlight w:val="none"/>
        </w:rPr>
        <w:t>表</w:t>
      </w:r>
      <w:r>
        <w:rPr>
          <w:rFonts w:hint="eastAsia" w:ascii="Times New Roman" w:hAnsi="Times New Roman" w:cs="Times New Roman"/>
          <w:b/>
          <w:bCs/>
          <w:color w:val="auto"/>
          <w:w w:val="99"/>
          <w:kern w:val="2"/>
          <w:highlight w:val="none"/>
        </w:rPr>
        <w:t>3.10</w:t>
      </w:r>
      <w:r>
        <w:rPr>
          <w:rFonts w:ascii="Times New Roman" w:hAnsi="Times New Roman" w:cs="Times New Roman"/>
          <w:b/>
          <w:bCs/>
          <w:color w:val="auto"/>
          <w:w w:val="99"/>
          <w:kern w:val="2"/>
          <w:highlight w:val="none"/>
        </w:rPr>
        <w:t>-</w:t>
      </w:r>
      <w:r>
        <w:rPr>
          <w:rFonts w:hint="eastAsia" w:ascii="Times New Roman" w:hAnsi="Times New Roman" w:cs="Times New Roman"/>
          <w:b/>
          <w:bCs/>
          <w:color w:val="auto"/>
          <w:w w:val="99"/>
          <w:kern w:val="2"/>
          <w:highlight w:val="none"/>
        </w:rPr>
        <w:t xml:space="preserve">5 </w:t>
      </w:r>
      <w:r>
        <w:rPr>
          <w:rFonts w:ascii="Times New Roman" w:hAnsi="Times New Roman" w:cs="Times New Roman"/>
          <w:b/>
          <w:bCs/>
          <w:color w:val="auto"/>
          <w:w w:val="99"/>
          <w:kern w:val="2"/>
          <w:highlight w:val="none"/>
        </w:rPr>
        <w:t xml:space="preserve"> </w:t>
      </w:r>
      <w:r>
        <w:rPr>
          <w:rFonts w:hint="eastAsia" w:ascii="Times New Roman" w:hAnsi="Times New Roman" w:cs="Times New Roman"/>
          <w:b/>
          <w:bCs/>
          <w:color w:val="auto"/>
          <w:w w:val="99"/>
          <w:kern w:val="2"/>
          <w:highlight w:val="none"/>
        </w:rPr>
        <w:t>本项目涉及加热装置大气污染物排放</w:t>
      </w:r>
      <w:r>
        <w:rPr>
          <w:rFonts w:ascii="Times New Roman" w:hAnsi="Times New Roman" w:cs="Times New Roman"/>
          <w:b/>
          <w:bCs/>
          <w:color w:val="auto"/>
          <w:w w:val="99"/>
          <w:kern w:val="2"/>
          <w:highlight w:val="none"/>
        </w:rPr>
        <w:t>情况</w:t>
      </w:r>
      <w:r>
        <w:rPr>
          <w:rFonts w:hint="eastAsia" w:ascii="Times New Roman" w:hAnsi="Times New Roman" w:cs="Times New Roman"/>
          <w:b/>
          <w:bCs/>
          <w:color w:val="auto"/>
          <w:w w:val="99"/>
          <w:kern w:val="2"/>
          <w:highlight w:val="none"/>
        </w:rPr>
        <w:t>（分担量）</w:t>
      </w:r>
    </w:p>
    <w:tbl>
      <w:tblPr>
        <w:tblStyle w:val="1662"/>
        <w:tblW w:w="4823" w:type="pct"/>
        <w:jc w:val="center"/>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Layout w:type="fixed"/>
        <w:tblCellMar>
          <w:top w:w="0" w:type="dxa"/>
          <w:left w:w="0" w:type="dxa"/>
          <w:bottom w:w="0" w:type="dxa"/>
          <w:right w:w="0" w:type="dxa"/>
        </w:tblCellMar>
      </w:tblPr>
      <w:tblGrid>
        <w:gridCol w:w="636"/>
        <w:gridCol w:w="1254"/>
        <w:gridCol w:w="1283"/>
        <w:gridCol w:w="925"/>
        <w:gridCol w:w="925"/>
        <w:gridCol w:w="1093"/>
        <w:gridCol w:w="799"/>
        <w:gridCol w:w="881"/>
        <w:gridCol w:w="962"/>
      </w:tblGrid>
      <w:tr w14:paraId="3AF6D82C">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363" w:type="pct"/>
            <w:vMerge w:val="restart"/>
            <w:vAlign w:val="center"/>
          </w:tcPr>
          <w:p w14:paraId="2BB57274">
            <w:pPr>
              <w:widowControl/>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序号</w:t>
            </w:r>
          </w:p>
        </w:tc>
        <w:tc>
          <w:tcPr>
            <w:tcW w:w="715" w:type="pct"/>
            <w:vMerge w:val="restart"/>
            <w:vAlign w:val="center"/>
          </w:tcPr>
          <w:p w14:paraId="6AF4A3E1">
            <w:pPr>
              <w:widowControl/>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场站</w:t>
            </w:r>
          </w:p>
        </w:tc>
        <w:tc>
          <w:tcPr>
            <w:tcW w:w="732" w:type="pct"/>
            <w:vMerge w:val="restart"/>
            <w:vAlign w:val="center"/>
          </w:tcPr>
          <w:p w14:paraId="463FE37A">
            <w:pPr>
              <w:widowControl/>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污染源名称</w:t>
            </w:r>
          </w:p>
        </w:tc>
        <w:tc>
          <w:tcPr>
            <w:tcW w:w="528" w:type="pct"/>
            <w:vMerge w:val="restart"/>
            <w:vAlign w:val="center"/>
          </w:tcPr>
          <w:p w14:paraId="1C069929">
            <w:pPr>
              <w:widowControl/>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烟囱高度</w:t>
            </w:r>
          </w:p>
        </w:tc>
        <w:tc>
          <w:tcPr>
            <w:tcW w:w="528" w:type="pct"/>
            <w:vMerge w:val="restart"/>
            <w:vAlign w:val="center"/>
          </w:tcPr>
          <w:p w14:paraId="442E8B91">
            <w:pPr>
              <w:widowControl/>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燃气量10</w:t>
            </w:r>
            <w:r>
              <w:rPr>
                <w:rFonts w:hint="eastAsia" w:ascii="Times New Roman" w:hAnsi="Times New Roman" w:cs="Times New Roman"/>
                <w:color w:val="auto"/>
                <w:w w:val="99"/>
                <w:sz w:val="21"/>
                <w:szCs w:val="21"/>
                <w:highlight w:val="none"/>
                <w:vertAlign w:val="superscript"/>
                <w:lang w:eastAsia="en-US"/>
              </w:rPr>
              <w:t>4</w:t>
            </w:r>
            <w:r>
              <w:rPr>
                <w:rFonts w:hint="eastAsia" w:ascii="Times New Roman" w:hAnsi="Times New Roman" w:cs="Times New Roman"/>
                <w:color w:val="auto"/>
                <w:w w:val="99"/>
                <w:sz w:val="21"/>
                <w:szCs w:val="21"/>
                <w:highlight w:val="none"/>
                <w:lang w:eastAsia="en-US"/>
              </w:rPr>
              <w:t>m</w:t>
            </w:r>
            <w:r>
              <w:rPr>
                <w:rFonts w:hint="eastAsia" w:ascii="Times New Roman" w:hAnsi="Times New Roman" w:cs="Times New Roman"/>
                <w:color w:val="auto"/>
                <w:w w:val="99"/>
                <w:sz w:val="21"/>
                <w:szCs w:val="21"/>
                <w:highlight w:val="none"/>
                <w:vertAlign w:val="superscript"/>
                <w:lang w:eastAsia="en-US"/>
              </w:rPr>
              <w:t>3</w:t>
            </w:r>
          </w:p>
        </w:tc>
        <w:tc>
          <w:tcPr>
            <w:tcW w:w="624" w:type="pct"/>
            <w:vMerge w:val="restart"/>
            <w:vAlign w:val="center"/>
          </w:tcPr>
          <w:p w14:paraId="48AD1311">
            <w:pPr>
              <w:widowControl/>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烟气排放量10</w:t>
            </w:r>
            <w:r>
              <w:rPr>
                <w:rFonts w:hint="eastAsia" w:ascii="Times New Roman" w:hAnsi="Times New Roman" w:cs="Times New Roman"/>
                <w:color w:val="auto"/>
                <w:w w:val="99"/>
                <w:sz w:val="21"/>
                <w:szCs w:val="21"/>
                <w:highlight w:val="none"/>
                <w:vertAlign w:val="superscript"/>
                <w:lang w:eastAsia="en-US"/>
              </w:rPr>
              <w:t>4</w:t>
            </w:r>
            <w:r>
              <w:rPr>
                <w:rFonts w:hint="eastAsia" w:ascii="Times New Roman" w:hAnsi="Times New Roman" w:cs="Times New Roman"/>
                <w:color w:val="auto"/>
                <w:w w:val="99"/>
                <w:sz w:val="21"/>
                <w:szCs w:val="21"/>
                <w:highlight w:val="none"/>
                <w:lang w:eastAsia="en-US"/>
              </w:rPr>
              <w:t>m</w:t>
            </w:r>
            <w:r>
              <w:rPr>
                <w:rFonts w:hint="eastAsia" w:ascii="Times New Roman" w:hAnsi="Times New Roman" w:cs="Times New Roman"/>
                <w:color w:val="auto"/>
                <w:w w:val="99"/>
                <w:sz w:val="21"/>
                <w:szCs w:val="21"/>
                <w:highlight w:val="none"/>
                <w:vertAlign w:val="superscript"/>
                <w:lang w:eastAsia="en-US"/>
              </w:rPr>
              <w:t>3</w:t>
            </w:r>
          </w:p>
        </w:tc>
        <w:tc>
          <w:tcPr>
            <w:tcW w:w="1508" w:type="pct"/>
            <w:gridSpan w:val="3"/>
            <w:vAlign w:val="center"/>
          </w:tcPr>
          <w:p w14:paraId="32C14167">
            <w:pPr>
              <w:widowControl/>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污染物排放总量</w:t>
            </w:r>
          </w:p>
        </w:tc>
      </w:tr>
      <w:tr w14:paraId="5695411A">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363" w:type="pct"/>
            <w:vMerge w:val="continue"/>
            <w:vAlign w:val="center"/>
          </w:tcPr>
          <w:p w14:paraId="2ACFDBF7">
            <w:pPr>
              <w:widowControl/>
              <w:spacing w:line="360" w:lineRule="exact"/>
              <w:jc w:val="center"/>
              <w:rPr>
                <w:rFonts w:ascii="Times New Roman" w:hAnsi="Times New Roman" w:cs="Times New Roman"/>
                <w:color w:val="auto"/>
                <w:w w:val="99"/>
                <w:sz w:val="21"/>
                <w:szCs w:val="21"/>
                <w:highlight w:val="none"/>
                <w:lang w:eastAsia="en-US"/>
              </w:rPr>
            </w:pPr>
          </w:p>
        </w:tc>
        <w:tc>
          <w:tcPr>
            <w:tcW w:w="715" w:type="pct"/>
            <w:vMerge w:val="continue"/>
            <w:vAlign w:val="center"/>
          </w:tcPr>
          <w:p w14:paraId="03364D41">
            <w:pPr>
              <w:widowControl/>
              <w:spacing w:line="360" w:lineRule="exact"/>
              <w:jc w:val="center"/>
              <w:rPr>
                <w:rFonts w:ascii="Times New Roman" w:hAnsi="Times New Roman" w:cs="Times New Roman"/>
                <w:color w:val="auto"/>
                <w:w w:val="99"/>
                <w:sz w:val="21"/>
                <w:szCs w:val="21"/>
                <w:highlight w:val="none"/>
                <w:lang w:eastAsia="en-US"/>
              </w:rPr>
            </w:pPr>
          </w:p>
        </w:tc>
        <w:tc>
          <w:tcPr>
            <w:tcW w:w="732" w:type="pct"/>
            <w:vMerge w:val="continue"/>
            <w:vAlign w:val="center"/>
          </w:tcPr>
          <w:p w14:paraId="553E64C5">
            <w:pPr>
              <w:widowControl/>
              <w:spacing w:line="360" w:lineRule="exact"/>
              <w:jc w:val="center"/>
              <w:rPr>
                <w:rFonts w:ascii="Times New Roman" w:hAnsi="Times New Roman" w:cs="Times New Roman"/>
                <w:color w:val="auto"/>
                <w:w w:val="99"/>
                <w:sz w:val="21"/>
                <w:szCs w:val="21"/>
                <w:highlight w:val="none"/>
                <w:lang w:eastAsia="en-US"/>
              </w:rPr>
            </w:pPr>
          </w:p>
        </w:tc>
        <w:tc>
          <w:tcPr>
            <w:tcW w:w="528" w:type="pct"/>
            <w:vMerge w:val="continue"/>
            <w:vAlign w:val="center"/>
          </w:tcPr>
          <w:p w14:paraId="55ACAF36">
            <w:pPr>
              <w:widowControl/>
              <w:spacing w:line="360" w:lineRule="exact"/>
              <w:jc w:val="center"/>
              <w:rPr>
                <w:rFonts w:ascii="Times New Roman" w:hAnsi="Times New Roman" w:cs="Times New Roman"/>
                <w:color w:val="auto"/>
                <w:w w:val="99"/>
                <w:sz w:val="21"/>
                <w:szCs w:val="21"/>
                <w:highlight w:val="none"/>
                <w:lang w:eastAsia="en-US"/>
              </w:rPr>
            </w:pPr>
          </w:p>
        </w:tc>
        <w:tc>
          <w:tcPr>
            <w:tcW w:w="528" w:type="pct"/>
            <w:vMerge w:val="continue"/>
            <w:vAlign w:val="center"/>
          </w:tcPr>
          <w:p w14:paraId="5CCA8CB2">
            <w:pPr>
              <w:widowControl/>
              <w:spacing w:line="360" w:lineRule="exact"/>
              <w:jc w:val="center"/>
              <w:rPr>
                <w:rFonts w:ascii="Times New Roman" w:hAnsi="Times New Roman" w:cs="Times New Roman"/>
                <w:color w:val="auto"/>
                <w:w w:val="99"/>
                <w:sz w:val="21"/>
                <w:szCs w:val="21"/>
                <w:highlight w:val="none"/>
                <w:lang w:eastAsia="en-US"/>
              </w:rPr>
            </w:pPr>
          </w:p>
        </w:tc>
        <w:tc>
          <w:tcPr>
            <w:tcW w:w="624" w:type="pct"/>
            <w:vMerge w:val="continue"/>
            <w:vAlign w:val="center"/>
          </w:tcPr>
          <w:p w14:paraId="61847FF3">
            <w:pPr>
              <w:widowControl/>
              <w:spacing w:line="360" w:lineRule="exact"/>
              <w:jc w:val="center"/>
              <w:rPr>
                <w:rFonts w:ascii="Times New Roman" w:hAnsi="Times New Roman" w:cs="Times New Roman"/>
                <w:color w:val="auto"/>
                <w:w w:val="99"/>
                <w:sz w:val="21"/>
                <w:szCs w:val="21"/>
                <w:highlight w:val="none"/>
                <w:lang w:eastAsia="en-US"/>
              </w:rPr>
            </w:pPr>
          </w:p>
        </w:tc>
        <w:tc>
          <w:tcPr>
            <w:tcW w:w="456" w:type="pct"/>
            <w:vAlign w:val="center"/>
          </w:tcPr>
          <w:p w14:paraId="332D6DB6">
            <w:pPr>
              <w:widowControl/>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SO</w:t>
            </w:r>
            <w:r>
              <w:rPr>
                <w:rFonts w:ascii="Times New Roman" w:hAnsi="Times New Roman" w:cs="Times New Roman"/>
                <w:color w:val="auto"/>
                <w:w w:val="99"/>
                <w:sz w:val="21"/>
                <w:szCs w:val="21"/>
                <w:highlight w:val="none"/>
                <w:vertAlign w:val="subscript"/>
                <w:lang w:eastAsia="en-US"/>
              </w:rPr>
              <w:t>2</w:t>
            </w:r>
          </w:p>
        </w:tc>
        <w:tc>
          <w:tcPr>
            <w:tcW w:w="503" w:type="pct"/>
            <w:vAlign w:val="center"/>
          </w:tcPr>
          <w:p w14:paraId="70D6B030">
            <w:pPr>
              <w:widowControl/>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NOx</w:t>
            </w:r>
          </w:p>
        </w:tc>
        <w:tc>
          <w:tcPr>
            <w:tcW w:w="548" w:type="pct"/>
            <w:vAlign w:val="center"/>
          </w:tcPr>
          <w:p w14:paraId="77320FCE">
            <w:pPr>
              <w:widowControl/>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颗粒物</w:t>
            </w:r>
          </w:p>
        </w:tc>
      </w:tr>
      <w:tr w14:paraId="0138A808">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363" w:type="pct"/>
            <w:vAlign w:val="center"/>
          </w:tcPr>
          <w:p w14:paraId="36EF789C">
            <w:pPr>
              <w:widowControl/>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1</w:t>
            </w:r>
          </w:p>
        </w:tc>
        <w:tc>
          <w:tcPr>
            <w:tcW w:w="715" w:type="pct"/>
            <w:vAlign w:val="center"/>
          </w:tcPr>
          <w:p w14:paraId="1BF2BD4F">
            <w:pPr>
              <w:widowControl/>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徐深27集气站</w:t>
            </w:r>
          </w:p>
        </w:tc>
        <w:tc>
          <w:tcPr>
            <w:tcW w:w="732" w:type="pct"/>
            <w:vAlign w:val="center"/>
          </w:tcPr>
          <w:p w14:paraId="4A5541DC">
            <w:pPr>
              <w:widowControl/>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加热装置</w:t>
            </w:r>
          </w:p>
        </w:tc>
        <w:tc>
          <w:tcPr>
            <w:tcW w:w="528" w:type="pct"/>
            <w:vAlign w:val="center"/>
          </w:tcPr>
          <w:p w14:paraId="43CC7DAC">
            <w:pPr>
              <w:widowControl/>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8</w:t>
            </w:r>
          </w:p>
        </w:tc>
        <w:tc>
          <w:tcPr>
            <w:tcW w:w="528" w:type="pct"/>
            <w:vAlign w:val="center"/>
          </w:tcPr>
          <w:p w14:paraId="16FE06C7">
            <w:pPr>
              <w:widowControl/>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7.07</w:t>
            </w:r>
          </w:p>
        </w:tc>
        <w:tc>
          <w:tcPr>
            <w:tcW w:w="624" w:type="pct"/>
            <w:vAlign w:val="center"/>
          </w:tcPr>
          <w:p w14:paraId="2A56CB39">
            <w:pPr>
              <w:widowControl/>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98.88</w:t>
            </w:r>
          </w:p>
        </w:tc>
        <w:tc>
          <w:tcPr>
            <w:tcW w:w="456" w:type="pct"/>
            <w:vAlign w:val="center"/>
          </w:tcPr>
          <w:p w14:paraId="5EBF15C2">
            <w:pPr>
              <w:widowControl/>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0</w:t>
            </w:r>
          </w:p>
        </w:tc>
        <w:tc>
          <w:tcPr>
            <w:tcW w:w="503" w:type="pct"/>
            <w:vAlign w:val="center"/>
          </w:tcPr>
          <w:p w14:paraId="63B29B53">
            <w:pPr>
              <w:widowControl/>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0.057</w:t>
            </w:r>
          </w:p>
        </w:tc>
        <w:tc>
          <w:tcPr>
            <w:tcW w:w="548" w:type="pct"/>
            <w:vAlign w:val="center"/>
          </w:tcPr>
          <w:p w14:paraId="55FDB5EA">
            <w:pPr>
              <w:widowControl/>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0.006</w:t>
            </w:r>
          </w:p>
        </w:tc>
      </w:tr>
    </w:tbl>
    <w:p w14:paraId="7592DC19">
      <w:pPr>
        <w:snapToGrid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3）温室气体</w:t>
      </w:r>
    </w:p>
    <w:p w14:paraId="1E1296D5">
      <w:pPr>
        <w:snapToGrid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本项目温室气体排放涉及到运营期新建井场到</w:t>
      </w:r>
      <w:r>
        <w:rPr>
          <w:rFonts w:hint="eastAsia" w:ascii="Times New Roman" w:hAnsi="Times New Roman" w:cs="Times New Roman"/>
          <w:color w:val="auto"/>
          <w:w w:val="99"/>
          <w:kern w:val="2"/>
          <w:highlight w:val="none"/>
        </w:rPr>
        <w:t>集气站</w:t>
      </w:r>
      <w:r>
        <w:rPr>
          <w:rFonts w:ascii="Times New Roman" w:hAnsi="Times New Roman" w:cs="Times New Roman"/>
          <w:color w:val="auto"/>
          <w:w w:val="99"/>
          <w:kern w:val="2"/>
          <w:highlight w:val="none"/>
        </w:rPr>
        <w:t>等运输处理环节，逸散排放主要为井口装置、接转站以及</w:t>
      </w:r>
      <w:r>
        <w:rPr>
          <w:rFonts w:hint="eastAsia" w:ascii="Times New Roman" w:hAnsi="Times New Roman" w:cs="Times New Roman"/>
          <w:color w:val="auto"/>
          <w:w w:val="99"/>
          <w:kern w:val="2"/>
          <w:highlight w:val="none"/>
        </w:rPr>
        <w:t>天然气</w:t>
      </w:r>
      <w:r>
        <w:rPr>
          <w:rFonts w:ascii="Times New Roman" w:hAnsi="Times New Roman" w:cs="Times New Roman"/>
          <w:color w:val="auto"/>
          <w:w w:val="99"/>
          <w:kern w:val="2"/>
          <w:highlight w:val="none"/>
        </w:rPr>
        <w:t>输送管道，产生的温室气体主要为油田伴生气中含有的甲烷，本项目产生的烃类气体与甲烷协同控制，采取在井口装置安装密封垫，</w:t>
      </w:r>
      <w:r>
        <w:rPr>
          <w:rFonts w:hint="eastAsia" w:ascii="Times New Roman" w:hAnsi="Times New Roman" w:cs="Times New Roman"/>
          <w:color w:val="auto"/>
          <w:w w:val="99"/>
          <w:kern w:val="2"/>
          <w:highlight w:val="none"/>
        </w:rPr>
        <w:t>天然气</w:t>
      </w:r>
      <w:r>
        <w:rPr>
          <w:rFonts w:ascii="Times New Roman" w:hAnsi="Times New Roman" w:cs="Times New Roman"/>
          <w:color w:val="auto"/>
          <w:w w:val="99"/>
          <w:kern w:val="2"/>
          <w:highlight w:val="none"/>
        </w:rPr>
        <w:t>集输采用密闭管道集输流程，最大限度减少温室气体的逸散。黑龙江省不属于大气污染重点管控区域，因此，不做定量分析。</w:t>
      </w:r>
    </w:p>
    <w:p w14:paraId="4A313009">
      <w:pPr>
        <w:snapToGrid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②</w:t>
      </w:r>
      <w:r>
        <w:rPr>
          <w:rFonts w:ascii="Times New Roman" w:hAnsi="Times New Roman" w:cs="Times New Roman"/>
          <w:color w:val="auto"/>
          <w:w w:val="99"/>
          <w:kern w:val="2"/>
          <w:highlight w:val="none"/>
        </w:rPr>
        <w:t>废水</w:t>
      </w:r>
    </w:p>
    <w:p w14:paraId="0E387CEE">
      <w:pPr>
        <w:widowControl w:val="0"/>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color w:val="auto"/>
          <w:w w:val="99"/>
          <w:kern w:val="2"/>
          <w:highlight w:val="none"/>
        </w:rPr>
        <w:t>本工程运行期废水主要为气田采出水，气田污水主要是从集气站工艺过程“分离”中出来的，主要含溶解性轻烃、溶解性矿物质和悬浮物。污水靠余压直接进入污水储罐，通过已建管道最终送至升一联气田污水预处理站处理</w:t>
      </w:r>
      <w:r>
        <w:rPr>
          <w:rFonts w:hint="eastAsia" w:ascii="Times New Roman" w:hAnsi="Times New Roman" w:cs="Times New Roman"/>
          <w:color w:val="auto"/>
          <w:w w:val="99"/>
          <w:kern w:val="2"/>
          <w:highlight w:val="none"/>
          <w:lang w:eastAsia="zh-CN"/>
        </w:rPr>
        <w:t>，</w:t>
      </w:r>
      <w:r>
        <w:rPr>
          <w:rFonts w:hint="eastAsia" w:ascii="Times New Roman" w:hAnsi="Times New Roman" w:cs="Times New Roman"/>
          <w:bCs/>
          <w:color w:val="auto"/>
          <w:w w:val="99"/>
          <w:kern w:val="0"/>
          <w:sz w:val="24"/>
          <w:szCs w:val="20"/>
          <w:highlight w:val="none"/>
          <w:lang w:val="en-US" w:eastAsia="zh-CN" w:bidi="ar-SA"/>
        </w:rPr>
        <w:t>根据</w:t>
      </w:r>
      <w:r>
        <w:rPr>
          <w:rFonts w:hint="eastAsia" w:ascii="Times New Roman" w:hAnsi="Times New Roman" w:cs="Times New Roman"/>
          <w:bCs/>
          <w:color w:val="auto"/>
          <w:w w:val="99"/>
          <w:szCs w:val="20"/>
          <w:highlight w:val="none"/>
          <w:lang w:val="en-US" w:eastAsia="zh-CN"/>
        </w:rPr>
        <w:t>《</w:t>
      </w:r>
      <w:r>
        <w:rPr>
          <w:rFonts w:hint="default" w:ascii="Times New Roman" w:hAnsi="Times New Roman" w:eastAsia="宋体" w:cs="Times New Roman"/>
          <w:bCs/>
          <w:color w:val="auto"/>
          <w:w w:val="99"/>
          <w:kern w:val="2"/>
          <w:sz w:val="24"/>
          <w:szCs w:val="20"/>
          <w:highlight w:val="none"/>
          <w:lang w:val="en-US" w:eastAsia="zh-CN" w:bidi="ar-SA"/>
        </w:rPr>
        <w:t>徐深</w:t>
      </w:r>
      <w:r>
        <w:rPr>
          <w:rFonts w:hint="eastAsia" w:ascii="Times New Roman" w:hAnsi="Times New Roman" w:eastAsia="宋体" w:cs="Times New Roman"/>
          <w:bCs/>
          <w:color w:val="auto"/>
          <w:w w:val="99"/>
          <w:kern w:val="2"/>
          <w:sz w:val="24"/>
          <w:szCs w:val="20"/>
          <w:highlight w:val="none"/>
          <w:lang w:val="en-US" w:eastAsia="zh-CN" w:bidi="ar-SA"/>
        </w:rPr>
        <w:t>气田徐深</w:t>
      </w:r>
      <w:r>
        <w:rPr>
          <w:rFonts w:hint="default" w:ascii="Times New Roman" w:hAnsi="Times New Roman" w:eastAsia="宋体" w:cs="Times New Roman"/>
          <w:bCs/>
          <w:color w:val="auto"/>
          <w:w w:val="99"/>
          <w:kern w:val="2"/>
          <w:sz w:val="24"/>
          <w:szCs w:val="20"/>
          <w:highlight w:val="none"/>
          <w:lang w:val="en-US" w:eastAsia="zh-CN" w:bidi="ar-SA"/>
        </w:rPr>
        <w:t xml:space="preserve"> 1 区块 201</w:t>
      </w:r>
      <w:r>
        <w:rPr>
          <w:rFonts w:hint="eastAsia" w:ascii="Times New Roman" w:hAnsi="Times New Roman" w:eastAsia="宋体" w:cs="Times New Roman"/>
          <w:bCs/>
          <w:color w:val="auto"/>
          <w:w w:val="99"/>
          <w:kern w:val="2"/>
          <w:sz w:val="24"/>
          <w:szCs w:val="20"/>
          <w:highlight w:val="none"/>
          <w:lang w:val="en-US" w:eastAsia="zh-CN" w:bidi="ar-SA"/>
        </w:rPr>
        <w:t>4</w:t>
      </w:r>
      <w:r>
        <w:rPr>
          <w:rFonts w:hint="default" w:ascii="Times New Roman" w:hAnsi="Times New Roman" w:eastAsia="宋体" w:cs="Times New Roman"/>
          <w:bCs/>
          <w:color w:val="auto"/>
          <w:w w:val="99"/>
          <w:kern w:val="2"/>
          <w:sz w:val="24"/>
          <w:szCs w:val="20"/>
          <w:highlight w:val="none"/>
          <w:lang w:val="en-US" w:eastAsia="zh-CN" w:bidi="ar-SA"/>
        </w:rPr>
        <w:t xml:space="preserve"> 年产能建设工程</w:t>
      </w:r>
      <w:r>
        <w:rPr>
          <w:rFonts w:hint="eastAsia" w:ascii="Times New Roman" w:hAnsi="Times New Roman" w:eastAsia="宋体" w:cs="Times New Roman"/>
          <w:bCs/>
          <w:color w:val="auto"/>
          <w:w w:val="99"/>
          <w:kern w:val="2"/>
          <w:sz w:val="24"/>
          <w:szCs w:val="20"/>
          <w:highlight w:val="none"/>
          <w:lang w:val="en-US" w:eastAsia="zh-CN" w:bidi="ar-SA"/>
        </w:rPr>
        <w:t>地面工程</w:t>
      </w:r>
      <w:r>
        <w:rPr>
          <w:rFonts w:hint="default" w:ascii="Times New Roman" w:hAnsi="Times New Roman" w:eastAsia="宋体" w:cs="Times New Roman"/>
          <w:bCs/>
          <w:color w:val="auto"/>
          <w:w w:val="99"/>
          <w:kern w:val="2"/>
          <w:sz w:val="24"/>
          <w:szCs w:val="20"/>
          <w:highlight w:val="none"/>
          <w:lang w:val="en-US" w:eastAsia="zh-CN" w:bidi="ar-SA"/>
        </w:rPr>
        <w:t>监测报告</w:t>
      </w:r>
      <w:r>
        <w:rPr>
          <w:rFonts w:hint="eastAsia" w:ascii="Times New Roman" w:hAnsi="Times New Roman" w:cs="Times New Roman"/>
          <w:bCs/>
          <w:color w:val="auto"/>
          <w:w w:val="99"/>
          <w:szCs w:val="20"/>
          <w:highlight w:val="none"/>
          <w:lang w:val="en-US" w:eastAsia="zh-CN"/>
        </w:rPr>
        <w:t>》</w:t>
      </w:r>
      <w:r>
        <w:rPr>
          <w:rFonts w:ascii="Times New Roman" w:hAnsi="Times New Roman" w:eastAsia="宋体" w:cs="Times New Roman"/>
          <w:bCs/>
          <w:color w:val="auto"/>
          <w:w w:val="99"/>
          <w:szCs w:val="20"/>
          <w:highlight w:val="none"/>
        </w:rPr>
        <w:t>（</w:t>
      </w:r>
      <w:r>
        <w:rPr>
          <w:rFonts w:hint="eastAsia" w:ascii="Times New Roman" w:hAnsi="Times New Roman" w:eastAsia="宋体" w:cs="Times New Roman"/>
          <w:bCs/>
          <w:color w:val="auto"/>
          <w:w w:val="99"/>
          <w:szCs w:val="20"/>
          <w:highlight w:val="none"/>
        </w:rPr>
        <w:t>中检(</w:t>
      </w:r>
      <w:r>
        <w:rPr>
          <w:rFonts w:hint="eastAsia" w:ascii="Times New Roman" w:hAnsi="Times New Roman" w:eastAsia="宋体" w:cs="Times New Roman"/>
          <w:bCs/>
          <w:color w:val="auto"/>
          <w:w w:val="99"/>
          <w:szCs w:val="20"/>
          <w:highlight w:val="none"/>
          <w:lang w:val="en-US" w:eastAsia="zh-CN"/>
        </w:rPr>
        <w:t>BH</w:t>
      </w:r>
      <w:r>
        <w:rPr>
          <w:rFonts w:hint="eastAsia" w:ascii="Times New Roman" w:hAnsi="Times New Roman" w:eastAsia="宋体" w:cs="Times New Roman"/>
          <w:bCs/>
          <w:color w:val="auto"/>
          <w:w w:val="99"/>
          <w:szCs w:val="20"/>
          <w:highlight w:val="none"/>
        </w:rPr>
        <w:t>)字202</w:t>
      </w:r>
      <w:r>
        <w:rPr>
          <w:rFonts w:hint="eastAsia" w:ascii="Times New Roman" w:hAnsi="Times New Roman" w:eastAsia="宋体" w:cs="Times New Roman"/>
          <w:bCs/>
          <w:color w:val="auto"/>
          <w:w w:val="99"/>
          <w:szCs w:val="20"/>
          <w:highlight w:val="none"/>
          <w:lang w:val="en-US" w:eastAsia="zh-CN"/>
        </w:rPr>
        <w:t>5</w:t>
      </w:r>
      <w:r>
        <w:rPr>
          <w:rFonts w:hint="eastAsia" w:ascii="Times New Roman" w:hAnsi="Times New Roman" w:eastAsia="宋体" w:cs="Times New Roman"/>
          <w:bCs/>
          <w:color w:val="auto"/>
          <w:w w:val="99"/>
          <w:szCs w:val="20"/>
          <w:highlight w:val="none"/>
        </w:rPr>
        <w:t>第</w:t>
      </w:r>
      <w:r>
        <w:rPr>
          <w:rFonts w:hint="eastAsia" w:ascii="Times New Roman" w:hAnsi="Times New Roman" w:eastAsia="宋体" w:cs="Times New Roman"/>
          <w:bCs/>
          <w:color w:val="auto"/>
          <w:w w:val="99"/>
          <w:szCs w:val="20"/>
          <w:highlight w:val="none"/>
          <w:lang w:val="en-US" w:eastAsia="zh-CN"/>
        </w:rPr>
        <w:t>12-010</w:t>
      </w:r>
      <w:r>
        <w:rPr>
          <w:rFonts w:hint="eastAsia" w:ascii="Times New Roman" w:hAnsi="Times New Roman" w:eastAsia="宋体" w:cs="Times New Roman"/>
          <w:bCs/>
          <w:color w:val="auto"/>
          <w:w w:val="99"/>
          <w:szCs w:val="20"/>
          <w:highlight w:val="none"/>
        </w:rPr>
        <w:t>号</w:t>
      </w:r>
      <w:r>
        <w:rPr>
          <w:rFonts w:ascii="Times New Roman" w:hAnsi="Times New Roman" w:eastAsia="宋体" w:cs="Times New Roman"/>
          <w:bCs/>
          <w:color w:val="auto"/>
          <w:w w:val="99"/>
          <w:szCs w:val="20"/>
          <w:highlight w:val="none"/>
        </w:rPr>
        <w:t>）</w:t>
      </w:r>
      <w:r>
        <w:rPr>
          <w:rFonts w:hint="eastAsia" w:ascii="Times New Roman" w:hAnsi="Times New Roman" w:eastAsia="宋体" w:cs="Times New Roman"/>
          <w:bCs/>
          <w:color w:val="auto"/>
          <w:w w:val="99"/>
          <w:szCs w:val="20"/>
          <w:highlight w:val="none"/>
          <w:lang w:eastAsia="zh-CN"/>
        </w:rPr>
        <w:t>（</w:t>
      </w:r>
      <w:r>
        <w:rPr>
          <w:rFonts w:hint="eastAsia" w:ascii="Times New Roman" w:hAnsi="Times New Roman" w:eastAsia="宋体" w:cs="Times New Roman"/>
          <w:bCs/>
          <w:color w:val="auto"/>
          <w:w w:val="99"/>
          <w:szCs w:val="20"/>
          <w:highlight w:val="none"/>
          <w:lang w:val="en-US" w:eastAsia="zh-CN"/>
        </w:rPr>
        <w:t>检测时间2025.12.24-2025.12.25</w:t>
      </w:r>
      <w:r>
        <w:rPr>
          <w:rFonts w:hint="eastAsia" w:ascii="Times New Roman" w:hAnsi="Times New Roman" w:eastAsia="宋体" w:cs="Times New Roman"/>
          <w:bCs/>
          <w:color w:val="auto"/>
          <w:w w:val="99"/>
          <w:szCs w:val="20"/>
          <w:highlight w:val="none"/>
          <w:lang w:eastAsia="zh-CN"/>
        </w:rPr>
        <w:t>），</w:t>
      </w:r>
      <w:r>
        <w:rPr>
          <w:rFonts w:hint="eastAsia" w:ascii="Times New Roman" w:hAnsi="Times New Roman" w:cs="Times New Roman"/>
          <w:bCs/>
          <w:color w:val="auto"/>
          <w:w w:val="99"/>
          <w:szCs w:val="20"/>
          <w:highlight w:val="none"/>
          <w:lang w:val="en-US" w:eastAsia="zh-CN"/>
        </w:rPr>
        <w:t>处理前废水</w:t>
      </w:r>
      <w:r>
        <w:rPr>
          <w:rFonts w:hint="eastAsia" w:ascii="Times New Roman" w:hAnsi="Times New Roman" w:eastAsia="宋体" w:cs="Times New Roman"/>
          <w:bCs/>
          <w:color w:val="auto"/>
          <w:w w:val="99"/>
          <w:kern w:val="2"/>
          <w:sz w:val="24"/>
          <w:szCs w:val="20"/>
          <w:highlight w:val="none"/>
          <w:lang w:val="en-US" w:eastAsia="zh-CN" w:bidi="ar-SA"/>
        </w:rPr>
        <w:t>含油量为</w:t>
      </w:r>
      <w:r>
        <w:rPr>
          <w:rFonts w:hint="eastAsia" w:ascii="Times New Roman" w:hAnsi="Times New Roman" w:cs="Times New Roman"/>
          <w:bCs/>
          <w:color w:val="auto"/>
          <w:w w:val="99"/>
          <w:kern w:val="2"/>
          <w:sz w:val="24"/>
          <w:szCs w:val="20"/>
          <w:highlight w:val="none"/>
          <w:lang w:val="en-US" w:eastAsia="zh-CN" w:bidi="ar-SA"/>
        </w:rPr>
        <w:t>21.5</w:t>
      </w:r>
      <w:r>
        <w:rPr>
          <w:rFonts w:hint="eastAsia" w:ascii="Times New Roman" w:hAnsi="Times New Roman" w:eastAsia="宋体" w:cs="Times New Roman"/>
          <w:bCs/>
          <w:color w:val="auto"/>
          <w:w w:val="99"/>
          <w:kern w:val="2"/>
          <w:sz w:val="24"/>
          <w:szCs w:val="20"/>
          <w:highlight w:val="none"/>
          <w:lang w:val="en-US" w:eastAsia="zh-CN" w:bidi="ar-SA"/>
        </w:rPr>
        <w:t>-</w:t>
      </w:r>
      <w:r>
        <w:rPr>
          <w:rFonts w:hint="eastAsia" w:ascii="Times New Roman" w:hAnsi="Times New Roman" w:cs="Times New Roman"/>
          <w:bCs/>
          <w:color w:val="auto"/>
          <w:w w:val="99"/>
          <w:kern w:val="2"/>
          <w:sz w:val="24"/>
          <w:szCs w:val="20"/>
          <w:highlight w:val="none"/>
          <w:lang w:val="en-US" w:eastAsia="zh-CN" w:bidi="ar-SA"/>
        </w:rPr>
        <w:t>24.4</w:t>
      </w:r>
      <w:r>
        <w:rPr>
          <w:rFonts w:hint="eastAsia" w:ascii="Times New Roman" w:hAnsi="Times New Roman" w:eastAsia="宋体" w:cs="Times New Roman"/>
          <w:bCs/>
          <w:color w:val="auto"/>
          <w:w w:val="99"/>
          <w:kern w:val="2"/>
          <w:sz w:val="24"/>
          <w:szCs w:val="20"/>
          <w:highlight w:val="none"/>
          <w:lang w:val="en-US" w:eastAsia="zh-CN" w:bidi="ar-SA"/>
        </w:rPr>
        <w:t>mg/L，悬浮固体含量为</w:t>
      </w:r>
      <w:r>
        <w:rPr>
          <w:rFonts w:hint="eastAsia" w:ascii="Times New Roman" w:hAnsi="Times New Roman" w:cs="Times New Roman"/>
          <w:bCs/>
          <w:color w:val="auto"/>
          <w:w w:val="99"/>
          <w:kern w:val="2"/>
          <w:sz w:val="24"/>
          <w:szCs w:val="20"/>
          <w:highlight w:val="none"/>
          <w:lang w:val="en-US" w:eastAsia="zh-CN" w:bidi="ar-SA"/>
        </w:rPr>
        <w:t>20-26</w:t>
      </w:r>
      <w:r>
        <w:rPr>
          <w:rFonts w:hint="eastAsia" w:ascii="Times New Roman" w:hAnsi="Times New Roman" w:eastAsia="宋体" w:cs="Times New Roman"/>
          <w:bCs/>
          <w:color w:val="auto"/>
          <w:w w:val="99"/>
          <w:kern w:val="2"/>
          <w:sz w:val="24"/>
          <w:szCs w:val="20"/>
          <w:highlight w:val="none"/>
          <w:lang w:val="en-US" w:eastAsia="zh-CN" w:bidi="ar-SA"/>
        </w:rPr>
        <w:t>mg/L、悬浮物颗粒直径中值为</w:t>
      </w:r>
      <w:r>
        <w:rPr>
          <w:rFonts w:hint="eastAsia" w:ascii="Times New Roman" w:hAnsi="Times New Roman" w:cs="Times New Roman"/>
          <w:bCs/>
          <w:color w:val="auto"/>
          <w:w w:val="99"/>
          <w:kern w:val="2"/>
          <w:sz w:val="24"/>
          <w:szCs w:val="20"/>
          <w:highlight w:val="none"/>
          <w:lang w:val="en-US" w:eastAsia="zh-CN" w:bidi="ar-SA"/>
        </w:rPr>
        <w:t>2-3</w:t>
      </w:r>
      <w:r>
        <w:rPr>
          <w:rFonts w:hint="eastAsia" w:ascii="Times New Roman" w:hAnsi="Times New Roman" w:eastAsia="宋体" w:cs="Times New Roman"/>
          <w:bCs/>
          <w:color w:val="auto"/>
          <w:w w:val="99"/>
          <w:kern w:val="2"/>
          <w:sz w:val="24"/>
          <w:szCs w:val="20"/>
          <w:highlight w:val="none"/>
          <w:lang w:val="en-US" w:eastAsia="zh-CN" w:bidi="ar-SA"/>
        </w:rPr>
        <w:t>μm，</w:t>
      </w:r>
      <w:r>
        <w:rPr>
          <w:rFonts w:hint="eastAsia" w:ascii="Times New Roman" w:hAnsi="Times New Roman" w:cs="Times New Roman"/>
          <w:bCs/>
          <w:color w:val="auto"/>
          <w:w w:val="99"/>
          <w:kern w:val="2"/>
          <w:sz w:val="24"/>
          <w:szCs w:val="20"/>
          <w:highlight w:val="none"/>
          <w:lang w:val="en-US" w:eastAsia="zh-CN" w:bidi="ar-SA"/>
        </w:rPr>
        <w:t>处理后水质</w:t>
      </w:r>
      <w:r>
        <w:rPr>
          <w:rFonts w:hint="eastAsia" w:ascii="Times New Roman" w:hAnsi="Times New Roman" w:eastAsia="宋体" w:cs="Times New Roman"/>
          <w:bCs/>
          <w:color w:val="auto"/>
          <w:w w:val="99"/>
          <w:kern w:val="2"/>
          <w:sz w:val="24"/>
          <w:szCs w:val="20"/>
          <w:highlight w:val="none"/>
          <w:lang w:val="en-US" w:eastAsia="zh-CN" w:bidi="ar-SA"/>
        </w:rPr>
        <w:t>含油量为0.88-1.25mg/L，悬浮固体含量为2mg/L、悬浮物颗粒直径中值为1μm，</w:t>
      </w:r>
      <w:r>
        <w:rPr>
          <w:rFonts w:hint="eastAsia" w:ascii="Times New Roman" w:hAnsi="Times New Roman" w:cs="Times New Roman"/>
          <w:color w:val="auto"/>
          <w:w w:val="99"/>
          <w:kern w:val="2"/>
          <w:highlight w:val="none"/>
          <w:lang w:val="en-US" w:eastAsia="zh-CN"/>
        </w:rPr>
        <w:t>满足</w:t>
      </w:r>
      <w:r>
        <w:rPr>
          <w:rFonts w:ascii="Times New Roman" w:hAnsi="Times New Roman" w:cs="Times New Roman"/>
          <w:color w:val="auto"/>
          <w:w w:val="99"/>
          <w:kern w:val="2"/>
          <w:highlight w:val="none"/>
        </w:rPr>
        <w:t>《大庆油田地面工程建设设计规定》（Q/SYDQ 0639-2015）限值“含油量≤10mg/L、悬浮固体含量≤5mg/L、粒径中值≤2μm”</w:t>
      </w:r>
      <w:r>
        <w:rPr>
          <w:rFonts w:hint="eastAsia" w:ascii="Times New Roman" w:hAnsi="Times New Roman" w:cs="Times New Roman"/>
          <w:color w:val="auto"/>
          <w:w w:val="99"/>
          <w:kern w:val="2"/>
          <w:highlight w:val="none"/>
          <w:lang w:eastAsia="zh-CN"/>
        </w:rPr>
        <w:t>，</w:t>
      </w:r>
      <w:r>
        <w:rPr>
          <w:rFonts w:hint="eastAsia" w:ascii="Times New Roman" w:hAnsi="Times New Roman" w:cs="Times New Roman"/>
          <w:color w:val="auto"/>
          <w:w w:val="99"/>
          <w:kern w:val="2"/>
          <w:highlight w:val="none"/>
          <w:lang w:val="en-US" w:eastAsia="zh-CN"/>
        </w:rPr>
        <w:t>同时满足</w:t>
      </w:r>
      <w:r>
        <w:rPr>
          <w:rFonts w:ascii="Times New Roman" w:hAnsi="Times New Roman" w:cs="Times New Roman"/>
          <w:bCs/>
          <w:color w:val="auto"/>
          <w:w w:val="99"/>
          <w:highlight w:val="none"/>
        </w:rPr>
        <w:t>《碎屑岩油藏注水水质指标技术要求及分析方法》(SY/T5329-2022)中标准限值，回注地下。</w:t>
      </w:r>
    </w:p>
    <w:p w14:paraId="5C0CAE1F">
      <w:pPr>
        <w:snapToGrid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根据产能开发方案，本项目气田采出水最大产生量为</w:t>
      </w:r>
      <w:r>
        <w:rPr>
          <w:rFonts w:hint="eastAsia" w:ascii="Times New Roman" w:hAnsi="Times New Roman" w:cs="Times New Roman"/>
          <w:color w:val="auto"/>
          <w:w w:val="99"/>
          <w:kern w:val="2"/>
          <w:highlight w:val="none"/>
        </w:rPr>
        <w:t>3.0</w:t>
      </w:r>
      <w:r>
        <w:rPr>
          <w:rFonts w:ascii="Times New Roman" w:hAnsi="Times New Roman" w:cs="Times New Roman"/>
          <w:color w:val="auto"/>
          <w:w w:val="99"/>
          <w:kern w:val="2"/>
          <w:highlight w:val="none"/>
        </w:rPr>
        <w:t>m</w:t>
      </w:r>
      <w:r>
        <w:rPr>
          <w:rFonts w:ascii="Times New Roman" w:hAnsi="Times New Roman" w:cs="Times New Roman"/>
          <w:color w:val="auto"/>
          <w:w w:val="99"/>
          <w:kern w:val="2"/>
          <w:highlight w:val="none"/>
          <w:vertAlign w:val="superscript"/>
        </w:rPr>
        <w:t>3</w:t>
      </w:r>
      <w:r>
        <w:rPr>
          <w:rFonts w:ascii="Times New Roman" w:hAnsi="Times New Roman" w:cs="Times New Roman"/>
          <w:color w:val="auto"/>
          <w:w w:val="99"/>
          <w:kern w:val="2"/>
          <w:highlight w:val="none"/>
        </w:rPr>
        <w:t>/d，一年按365天计算，则产生废水</w:t>
      </w:r>
      <w:r>
        <w:rPr>
          <w:rFonts w:hint="eastAsia" w:ascii="Times New Roman" w:hAnsi="Times New Roman" w:cs="Times New Roman"/>
          <w:color w:val="auto"/>
          <w:w w:val="99"/>
          <w:kern w:val="2"/>
          <w:highlight w:val="none"/>
        </w:rPr>
        <w:t>1095</w:t>
      </w:r>
      <w:r>
        <w:rPr>
          <w:rFonts w:ascii="Times New Roman" w:hAnsi="Times New Roman" w:cs="Times New Roman"/>
          <w:color w:val="auto"/>
          <w:w w:val="99"/>
          <w:kern w:val="2"/>
          <w:highlight w:val="none"/>
        </w:rPr>
        <w:t>m</w:t>
      </w:r>
      <w:r>
        <w:rPr>
          <w:rFonts w:ascii="Times New Roman" w:hAnsi="Times New Roman" w:cs="Times New Roman"/>
          <w:color w:val="auto"/>
          <w:w w:val="99"/>
          <w:kern w:val="2"/>
          <w:highlight w:val="none"/>
          <w:vertAlign w:val="superscript"/>
        </w:rPr>
        <w:t>3</w:t>
      </w:r>
      <w:r>
        <w:rPr>
          <w:rFonts w:ascii="Times New Roman" w:hAnsi="Times New Roman" w:cs="Times New Roman"/>
          <w:color w:val="auto"/>
          <w:w w:val="99"/>
          <w:kern w:val="2"/>
          <w:highlight w:val="none"/>
        </w:rPr>
        <w:t>/a。</w:t>
      </w:r>
    </w:p>
    <w:p w14:paraId="6D80C7D5">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③</w:t>
      </w:r>
      <w:r>
        <w:rPr>
          <w:rFonts w:ascii="Times New Roman" w:hAnsi="Times New Roman" w:cs="Times New Roman"/>
          <w:color w:val="auto"/>
          <w:w w:val="99"/>
          <w:kern w:val="2"/>
          <w:szCs w:val="20"/>
          <w:highlight w:val="none"/>
        </w:rPr>
        <w:t>噪声</w:t>
      </w:r>
    </w:p>
    <w:p w14:paraId="26C058F5">
      <w:pPr>
        <w:snapToGrid w:val="0"/>
        <w:spacing w:line="440" w:lineRule="exact"/>
        <w:ind w:firstLine="474" w:firstLineChars="200"/>
        <w:jc w:val="both"/>
        <w:rPr>
          <w:rFonts w:ascii="Times New Roman" w:hAnsi="Times New Roman"/>
          <w:b/>
          <w:bCs/>
          <w:color w:val="auto"/>
          <w:w w:val="99"/>
          <w:szCs w:val="24"/>
          <w:highlight w:val="none"/>
        </w:rPr>
      </w:pPr>
      <w:r>
        <w:rPr>
          <w:rFonts w:ascii="Times New Roman" w:hAnsi="Times New Roman" w:cs="Times New Roman"/>
          <w:color w:val="auto"/>
          <w:w w:val="99"/>
          <w:kern w:val="2"/>
          <w:szCs w:val="20"/>
          <w:highlight w:val="none"/>
        </w:rPr>
        <w:t>本项目运营期</w:t>
      </w:r>
      <w:r>
        <w:rPr>
          <w:rFonts w:hint="eastAsia" w:ascii="Times New Roman" w:hAnsi="Times New Roman" w:cs="Times New Roman"/>
          <w:color w:val="auto"/>
          <w:w w:val="99"/>
          <w:kern w:val="2"/>
          <w:szCs w:val="20"/>
          <w:highlight w:val="none"/>
        </w:rPr>
        <w:t>正常工况下，无</w:t>
      </w:r>
      <w:r>
        <w:rPr>
          <w:rFonts w:hint="eastAsia" w:ascii="Times New Roman" w:hAnsi="Times New Roman" w:cs="Times New Roman"/>
          <w:color w:val="auto"/>
          <w:w w:val="99"/>
          <w:kern w:val="2"/>
          <w:szCs w:val="20"/>
          <w:highlight w:val="none"/>
          <w:lang w:val="en-US" w:eastAsia="zh-CN"/>
        </w:rPr>
        <w:t>噪声</w:t>
      </w:r>
      <w:r>
        <w:rPr>
          <w:rFonts w:hint="eastAsia" w:ascii="Times New Roman" w:hAnsi="Times New Roman" w:cs="Times New Roman"/>
          <w:color w:val="auto"/>
          <w:w w:val="99"/>
          <w:kern w:val="2"/>
          <w:szCs w:val="20"/>
          <w:highlight w:val="none"/>
        </w:rPr>
        <w:t>产生</w:t>
      </w:r>
      <w:r>
        <w:rPr>
          <w:rFonts w:ascii="Times New Roman" w:hAnsi="Times New Roman" w:cs="Times New Roman"/>
          <w:color w:val="auto"/>
          <w:w w:val="99"/>
          <w:kern w:val="2"/>
          <w:highlight w:val="none"/>
        </w:rPr>
        <w:t>。</w:t>
      </w:r>
    </w:p>
    <w:p w14:paraId="3C2167CD">
      <w:pPr>
        <w:spacing w:line="77" w:lineRule="exact"/>
        <w:rPr>
          <w:rFonts w:hint="eastAsia"/>
          <w:color w:val="auto"/>
          <w:highlight w:val="none"/>
        </w:rPr>
      </w:pPr>
    </w:p>
    <w:p w14:paraId="2F96626D">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④</w:t>
      </w:r>
      <w:r>
        <w:rPr>
          <w:rFonts w:ascii="Times New Roman" w:hAnsi="Times New Roman" w:cs="Times New Roman"/>
          <w:color w:val="auto"/>
          <w:w w:val="99"/>
          <w:highlight w:val="none"/>
        </w:rPr>
        <w:t>固体废物</w:t>
      </w:r>
    </w:p>
    <w:p w14:paraId="374AC983">
      <w:pPr>
        <w:widowControl w:val="0"/>
        <w:spacing w:line="440" w:lineRule="exact"/>
        <w:ind w:left="480" w:leftChars="200"/>
        <w:jc w:val="both"/>
        <w:rPr>
          <w:rFonts w:ascii="Times New Roman" w:hAnsi="Times New Roman" w:cs="Times New Roman" w:eastAsiaTheme="minorEastAsia"/>
          <w:b/>
          <w:color w:val="auto"/>
          <w:w w:val="99"/>
          <w:highlight w:val="none"/>
        </w:rPr>
      </w:pPr>
      <w:r>
        <w:rPr>
          <w:rFonts w:ascii="Times New Roman" w:hAnsi="Times New Roman" w:cs="Times New Roman"/>
          <w:color w:val="auto"/>
          <w:w w:val="99"/>
          <w:kern w:val="2"/>
          <w:szCs w:val="20"/>
          <w:highlight w:val="none"/>
        </w:rPr>
        <w:t>本项目运营期</w:t>
      </w:r>
      <w:r>
        <w:rPr>
          <w:rFonts w:hint="eastAsia" w:ascii="Times New Roman" w:hAnsi="Times New Roman" w:cs="Times New Roman"/>
          <w:color w:val="auto"/>
          <w:w w:val="99"/>
          <w:kern w:val="2"/>
          <w:szCs w:val="20"/>
          <w:highlight w:val="none"/>
        </w:rPr>
        <w:t>正常工况下，无固体废物产生。</w:t>
      </w:r>
    </w:p>
    <w:p w14:paraId="4B217F3B">
      <w:pPr>
        <w:widowControl w:val="0"/>
        <w:numPr>
          <w:ilvl w:val="0"/>
          <w:numId w:val="10"/>
        </w:numPr>
        <w:spacing w:line="440" w:lineRule="exact"/>
        <w:ind w:firstLine="476" w:firstLineChars="200"/>
        <w:jc w:val="both"/>
        <w:rPr>
          <w:rFonts w:ascii="Times New Roman" w:hAnsi="Times New Roman" w:cs="Times New Roman" w:eastAsiaTheme="minorEastAsia"/>
          <w:b/>
          <w:color w:val="auto"/>
          <w:w w:val="99"/>
          <w:highlight w:val="none"/>
        </w:rPr>
      </w:pPr>
      <w:r>
        <w:rPr>
          <w:rFonts w:hint="eastAsia" w:ascii="Times New Roman" w:hAnsi="Times New Roman" w:cs="Times New Roman" w:eastAsiaTheme="minorEastAsia"/>
          <w:b/>
          <w:color w:val="auto"/>
          <w:w w:val="99"/>
          <w:highlight w:val="none"/>
        </w:rPr>
        <w:t>非正常工况</w:t>
      </w:r>
    </w:p>
    <w:p w14:paraId="5F1ACFB3">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①废气</w:t>
      </w:r>
    </w:p>
    <w:p w14:paraId="229EFAFE">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本项目在运营期间非正常工况下，井场气井开井、关井、检修以及事故时紧急切断阀门后，气井内剩余气通向井口房外放空池放空。每口气井放空频次每口气井约3~5次/年，每次放空约 10min，放空量约 500m</w:t>
      </w:r>
      <w:r>
        <w:rPr>
          <w:rFonts w:ascii="Times New Roman" w:hAnsi="Times New Roman" w:cs="Times New Roman"/>
          <w:color w:val="auto"/>
          <w:w w:val="99"/>
          <w:kern w:val="2"/>
          <w:szCs w:val="20"/>
          <w:highlight w:val="none"/>
          <w:vertAlign w:val="superscript"/>
        </w:rPr>
        <w:t>3</w:t>
      </w:r>
      <w:r>
        <w:rPr>
          <w:rFonts w:ascii="Times New Roman" w:hAnsi="Times New Roman" w:cs="Times New Roman"/>
          <w:color w:val="auto"/>
          <w:w w:val="99"/>
          <w:kern w:val="2"/>
          <w:szCs w:val="20"/>
          <w:highlight w:val="none"/>
        </w:rPr>
        <w:t>。按最大放空频次及放空量考虑，本项目</w:t>
      </w:r>
      <w:r>
        <w:rPr>
          <w:rFonts w:hint="eastAsia" w:ascii="Times New Roman" w:hAnsi="Times New Roman" w:cs="Times New Roman"/>
          <w:color w:val="auto"/>
          <w:w w:val="99"/>
          <w:kern w:val="2"/>
          <w:szCs w:val="20"/>
          <w:highlight w:val="none"/>
        </w:rPr>
        <w:t>1</w:t>
      </w:r>
      <w:r>
        <w:rPr>
          <w:rFonts w:ascii="Times New Roman" w:hAnsi="Times New Roman" w:cs="Times New Roman"/>
          <w:color w:val="auto"/>
          <w:w w:val="99"/>
          <w:kern w:val="2"/>
          <w:szCs w:val="20"/>
          <w:highlight w:val="none"/>
        </w:rPr>
        <w:t>口气井井场的放空气量为</w:t>
      </w:r>
      <w:r>
        <w:rPr>
          <w:rFonts w:hint="eastAsia" w:ascii="Times New Roman" w:hAnsi="Times New Roman" w:cs="Times New Roman"/>
          <w:color w:val="auto"/>
          <w:w w:val="99"/>
          <w:kern w:val="2"/>
          <w:szCs w:val="20"/>
          <w:highlight w:val="none"/>
        </w:rPr>
        <w:t>25</w:t>
      </w:r>
      <w:r>
        <w:rPr>
          <w:rFonts w:ascii="Times New Roman" w:hAnsi="Times New Roman" w:cs="Times New Roman"/>
          <w:color w:val="auto"/>
          <w:w w:val="99"/>
          <w:kern w:val="2"/>
          <w:szCs w:val="20"/>
          <w:highlight w:val="none"/>
        </w:rPr>
        <w:t>00m</w:t>
      </w:r>
      <w:r>
        <w:rPr>
          <w:rFonts w:ascii="Times New Roman" w:hAnsi="Times New Roman" w:cs="Times New Roman"/>
          <w:color w:val="auto"/>
          <w:w w:val="99"/>
          <w:kern w:val="2"/>
          <w:szCs w:val="20"/>
          <w:highlight w:val="none"/>
          <w:vertAlign w:val="superscript"/>
        </w:rPr>
        <w:t>3</w:t>
      </w:r>
      <w:r>
        <w:rPr>
          <w:rFonts w:ascii="Times New Roman" w:hAnsi="Times New Roman" w:cs="Times New Roman"/>
          <w:color w:val="auto"/>
          <w:w w:val="99"/>
          <w:kern w:val="2"/>
          <w:szCs w:val="20"/>
          <w:highlight w:val="none"/>
        </w:rPr>
        <w:t xml:space="preserve">/a。根据环境保护部环境工程评估中心发布的《社会区域类环境影响评价》，天然气燃烧产生的污染排放因子排放率为 </w:t>
      </w:r>
      <w:r>
        <w:rPr>
          <w:rFonts w:hint="eastAsia" w:ascii="Times New Roman" w:hAnsi="Times New Roman" w:cs="Times New Roman"/>
          <w:color w:val="auto"/>
          <w:w w:val="99"/>
          <w:kern w:val="2"/>
          <w:szCs w:val="20"/>
          <w:highlight w:val="none"/>
        </w:rPr>
        <w:t>PM</w:t>
      </w:r>
      <w:r>
        <w:rPr>
          <w:rFonts w:hint="eastAsia" w:ascii="Times New Roman" w:hAnsi="Times New Roman" w:cs="Times New Roman"/>
          <w:color w:val="auto"/>
          <w:w w:val="99"/>
          <w:kern w:val="2"/>
          <w:szCs w:val="20"/>
          <w:highlight w:val="none"/>
          <w:vertAlign w:val="subscript"/>
        </w:rPr>
        <w:t>10</w:t>
      </w:r>
      <w:r>
        <w:rPr>
          <w:rFonts w:ascii="Times New Roman" w:hAnsi="Times New Roman" w:cs="Times New Roman"/>
          <w:color w:val="auto"/>
          <w:w w:val="99"/>
          <w:kern w:val="2"/>
          <w:szCs w:val="20"/>
          <w:highlight w:val="none"/>
        </w:rPr>
        <w:t>：0.14kg/km</w:t>
      </w:r>
      <w:r>
        <w:rPr>
          <w:rFonts w:ascii="Times New Roman" w:hAnsi="Times New Roman" w:cs="Times New Roman"/>
          <w:color w:val="auto"/>
          <w:w w:val="99"/>
          <w:kern w:val="2"/>
          <w:szCs w:val="20"/>
          <w:highlight w:val="none"/>
          <w:vertAlign w:val="superscript"/>
        </w:rPr>
        <w:t>3</w:t>
      </w:r>
      <w:r>
        <w:rPr>
          <w:rFonts w:ascii="Times New Roman" w:hAnsi="Times New Roman" w:cs="Times New Roman"/>
          <w:color w:val="auto"/>
          <w:w w:val="99"/>
          <w:kern w:val="2"/>
          <w:szCs w:val="20"/>
          <w:highlight w:val="none"/>
        </w:rPr>
        <w:t>，SO</w:t>
      </w:r>
      <w:r>
        <w:rPr>
          <w:rFonts w:ascii="Times New Roman" w:hAnsi="Times New Roman" w:cs="Times New Roman"/>
          <w:color w:val="auto"/>
          <w:w w:val="99"/>
          <w:kern w:val="2"/>
          <w:szCs w:val="20"/>
          <w:highlight w:val="none"/>
          <w:vertAlign w:val="subscript"/>
        </w:rPr>
        <w:t>2</w:t>
      </w:r>
      <w:r>
        <w:rPr>
          <w:rFonts w:ascii="Times New Roman" w:hAnsi="Times New Roman" w:cs="Times New Roman"/>
          <w:color w:val="auto"/>
          <w:w w:val="99"/>
          <w:kern w:val="2"/>
          <w:szCs w:val="20"/>
          <w:highlight w:val="none"/>
        </w:rPr>
        <w:t>：0.18kg/km</w:t>
      </w:r>
      <w:r>
        <w:rPr>
          <w:rFonts w:ascii="Times New Roman" w:hAnsi="Times New Roman" w:cs="Times New Roman"/>
          <w:color w:val="auto"/>
          <w:w w:val="99"/>
          <w:kern w:val="2"/>
          <w:szCs w:val="20"/>
          <w:highlight w:val="none"/>
          <w:vertAlign w:val="superscript"/>
        </w:rPr>
        <w:t>3</w:t>
      </w:r>
      <w:r>
        <w:rPr>
          <w:rFonts w:ascii="Times New Roman" w:hAnsi="Times New Roman" w:cs="Times New Roman"/>
          <w:color w:val="auto"/>
          <w:w w:val="99"/>
          <w:kern w:val="2"/>
          <w:szCs w:val="20"/>
          <w:highlight w:val="none"/>
        </w:rPr>
        <w:t>，NO</w:t>
      </w:r>
      <w:r>
        <w:rPr>
          <w:rFonts w:ascii="Times New Roman" w:hAnsi="Times New Roman" w:cs="Times New Roman"/>
          <w:color w:val="auto"/>
          <w:w w:val="99"/>
          <w:kern w:val="2"/>
          <w:szCs w:val="20"/>
          <w:highlight w:val="none"/>
          <w:vertAlign w:val="subscript"/>
        </w:rPr>
        <w:t>X</w:t>
      </w:r>
      <w:r>
        <w:rPr>
          <w:rFonts w:ascii="Times New Roman" w:hAnsi="Times New Roman" w:cs="Times New Roman"/>
          <w:color w:val="auto"/>
          <w:w w:val="99"/>
          <w:kern w:val="2"/>
          <w:szCs w:val="20"/>
          <w:highlight w:val="none"/>
        </w:rPr>
        <w:t>：1.76kg/km</w:t>
      </w:r>
      <w:r>
        <w:rPr>
          <w:rFonts w:ascii="Times New Roman" w:hAnsi="Times New Roman" w:cs="Times New Roman"/>
          <w:color w:val="auto"/>
          <w:w w:val="99"/>
          <w:kern w:val="2"/>
          <w:szCs w:val="20"/>
          <w:highlight w:val="none"/>
          <w:vertAlign w:val="superscript"/>
        </w:rPr>
        <w:t>3</w:t>
      </w:r>
      <w:r>
        <w:rPr>
          <w:rFonts w:ascii="Times New Roman" w:hAnsi="Times New Roman" w:cs="Times New Roman"/>
          <w:color w:val="auto"/>
          <w:w w:val="99"/>
          <w:kern w:val="2"/>
          <w:szCs w:val="20"/>
          <w:highlight w:val="none"/>
        </w:rPr>
        <w:t>。 则本项目气井放空排放</w:t>
      </w:r>
      <w:r>
        <w:rPr>
          <w:rFonts w:hint="eastAsia" w:ascii="Times New Roman" w:hAnsi="Times New Roman" w:cs="Times New Roman"/>
          <w:color w:val="auto"/>
          <w:w w:val="99"/>
          <w:kern w:val="2"/>
          <w:szCs w:val="20"/>
          <w:highlight w:val="none"/>
        </w:rPr>
        <w:t>PM</w:t>
      </w:r>
      <w:r>
        <w:rPr>
          <w:rFonts w:hint="eastAsia" w:ascii="Times New Roman" w:hAnsi="Times New Roman" w:cs="Times New Roman"/>
          <w:color w:val="auto"/>
          <w:w w:val="99"/>
          <w:kern w:val="2"/>
          <w:szCs w:val="20"/>
          <w:highlight w:val="none"/>
          <w:vertAlign w:val="subscript"/>
        </w:rPr>
        <w:t>10</w:t>
      </w:r>
      <w:r>
        <w:rPr>
          <w:rFonts w:ascii="Times New Roman" w:hAnsi="Times New Roman" w:cs="Times New Roman"/>
          <w:color w:val="auto"/>
          <w:w w:val="99"/>
          <w:kern w:val="2"/>
          <w:szCs w:val="20"/>
          <w:highlight w:val="none"/>
        </w:rPr>
        <w:t>：0.00</w:t>
      </w:r>
      <w:r>
        <w:rPr>
          <w:rFonts w:hint="eastAsia" w:ascii="Times New Roman" w:hAnsi="Times New Roman" w:cs="Times New Roman"/>
          <w:color w:val="auto"/>
          <w:w w:val="99"/>
          <w:kern w:val="2"/>
          <w:szCs w:val="20"/>
          <w:highlight w:val="none"/>
        </w:rPr>
        <w:t>03</w:t>
      </w:r>
      <w:r>
        <w:rPr>
          <w:rFonts w:ascii="Times New Roman" w:hAnsi="Times New Roman" w:cs="Times New Roman"/>
          <w:color w:val="auto"/>
          <w:w w:val="99"/>
          <w:kern w:val="2"/>
          <w:szCs w:val="20"/>
          <w:highlight w:val="none"/>
        </w:rPr>
        <w:t>t/a，SO</w:t>
      </w:r>
      <w:r>
        <w:rPr>
          <w:rFonts w:ascii="Times New Roman" w:hAnsi="Times New Roman" w:cs="Times New Roman"/>
          <w:color w:val="auto"/>
          <w:w w:val="99"/>
          <w:kern w:val="2"/>
          <w:szCs w:val="20"/>
          <w:highlight w:val="none"/>
          <w:vertAlign w:val="subscript"/>
        </w:rPr>
        <w:t>2</w:t>
      </w:r>
      <w:r>
        <w:rPr>
          <w:rFonts w:ascii="Times New Roman" w:hAnsi="Times New Roman" w:cs="Times New Roman"/>
          <w:color w:val="auto"/>
          <w:w w:val="99"/>
          <w:kern w:val="2"/>
          <w:szCs w:val="20"/>
          <w:highlight w:val="none"/>
        </w:rPr>
        <w:t>：0.00</w:t>
      </w:r>
      <w:r>
        <w:rPr>
          <w:rFonts w:hint="eastAsia" w:ascii="Times New Roman" w:hAnsi="Times New Roman" w:cs="Times New Roman"/>
          <w:color w:val="auto"/>
          <w:w w:val="99"/>
          <w:kern w:val="2"/>
          <w:szCs w:val="20"/>
          <w:highlight w:val="none"/>
        </w:rPr>
        <w:t>04</w:t>
      </w:r>
      <w:r>
        <w:rPr>
          <w:rFonts w:ascii="Times New Roman" w:hAnsi="Times New Roman" w:cs="Times New Roman"/>
          <w:color w:val="auto"/>
          <w:w w:val="99"/>
          <w:kern w:val="2"/>
          <w:szCs w:val="20"/>
          <w:highlight w:val="none"/>
        </w:rPr>
        <w:t>t/a，NO</w:t>
      </w:r>
      <w:r>
        <w:rPr>
          <w:rFonts w:ascii="Times New Roman" w:hAnsi="Times New Roman" w:cs="Times New Roman"/>
          <w:color w:val="auto"/>
          <w:w w:val="99"/>
          <w:kern w:val="2"/>
          <w:szCs w:val="20"/>
          <w:highlight w:val="none"/>
          <w:vertAlign w:val="subscript"/>
        </w:rPr>
        <w:t>X</w:t>
      </w:r>
      <w:r>
        <w:rPr>
          <w:rFonts w:ascii="Times New Roman" w:hAnsi="Times New Roman" w:cs="Times New Roman"/>
          <w:color w:val="auto"/>
          <w:w w:val="99"/>
          <w:kern w:val="2"/>
          <w:szCs w:val="20"/>
          <w:highlight w:val="none"/>
        </w:rPr>
        <w:t>：0.0</w:t>
      </w:r>
      <w:r>
        <w:rPr>
          <w:rFonts w:hint="eastAsia" w:ascii="Times New Roman" w:hAnsi="Times New Roman" w:cs="Times New Roman"/>
          <w:color w:val="auto"/>
          <w:w w:val="99"/>
          <w:kern w:val="2"/>
          <w:szCs w:val="20"/>
          <w:highlight w:val="none"/>
        </w:rPr>
        <w:t>044</w:t>
      </w:r>
      <w:r>
        <w:rPr>
          <w:rFonts w:ascii="Times New Roman" w:hAnsi="Times New Roman" w:cs="Times New Roman"/>
          <w:color w:val="auto"/>
          <w:w w:val="99"/>
          <w:kern w:val="2"/>
          <w:szCs w:val="20"/>
          <w:highlight w:val="none"/>
        </w:rPr>
        <w:t>t/a。</w:t>
      </w:r>
    </w:p>
    <w:p w14:paraId="480FAA81">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②噪声</w:t>
      </w:r>
    </w:p>
    <w:p w14:paraId="1C0CF49A">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非正常工况噪声源主要为井场、站场放空系统噪声</w:t>
      </w:r>
      <w:r>
        <w:rPr>
          <w:rFonts w:hint="eastAsia" w:ascii="Times New Roman" w:hAnsi="Times New Roman" w:cs="Times New Roman"/>
          <w:color w:val="auto"/>
          <w:w w:val="99"/>
          <w:kern w:val="2"/>
          <w:szCs w:val="20"/>
          <w:highlight w:val="none"/>
        </w:rPr>
        <w:t>等</w:t>
      </w:r>
      <w:r>
        <w:rPr>
          <w:rFonts w:ascii="Times New Roman" w:hAnsi="Times New Roman" w:cs="Times New Roman"/>
          <w:color w:val="auto"/>
          <w:w w:val="99"/>
          <w:kern w:val="2"/>
          <w:szCs w:val="20"/>
          <w:highlight w:val="none"/>
        </w:rPr>
        <w:t xml:space="preserve">。主要噪声源强见表 </w:t>
      </w:r>
      <w:r>
        <w:rPr>
          <w:rFonts w:hint="eastAsia" w:ascii="Times New Roman" w:hAnsi="Times New Roman" w:cs="Times New Roman"/>
          <w:color w:val="auto"/>
          <w:w w:val="99"/>
          <w:kern w:val="2"/>
          <w:szCs w:val="20"/>
          <w:highlight w:val="none"/>
        </w:rPr>
        <w:t>3.10</w:t>
      </w:r>
      <w:r>
        <w:rPr>
          <w:rFonts w:ascii="Times New Roman" w:hAnsi="Times New Roman" w:cs="Times New Roman"/>
          <w:color w:val="auto"/>
          <w:w w:val="99"/>
          <w:kern w:val="2"/>
          <w:szCs w:val="20"/>
          <w:highlight w:val="none"/>
        </w:rPr>
        <w:t>-</w:t>
      </w:r>
      <w:r>
        <w:rPr>
          <w:rFonts w:hint="eastAsia" w:ascii="Times New Roman" w:hAnsi="Times New Roman" w:cs="Times New Roman"/>
          <w:color w:val="auto"/>
          <w:w w:val="99"/>
          <w:kern w:val="2"/>
          <w:szCs w:val="20"/>
          <w:highlight w:val="none"/>
        </w:rPr>
        <w:t>7</w:t>
      </w:r>
      <w:r>
        <w:rPr>
          <w:rFonts w:ascii="Times New Roman" w:hAnsi="Times New Roman" w:cs="Times New Roman"/>
          <w:color w:val="auto"/>
          <w:w w:val="99"/>
          <w:kern w:val="2"/>
          <w:szCs w:val="20"/>
          <w:highlight w:val="none"/>
        </w:rPr>
        <w:t>。</w:t>
      </w:r>
    </w:p>
    <w:p w14:paraId="38107457">
      <w:pPr>
        <w:widowControl w:val="0"/>
        <w:spacing w:line="440" w:lineRule="exact"/>
        <w:ind w:firstLine="476" w:firstLineChars="200"/>
        <w:jc w:val="both"/>
        <w:rPr>
          <w:rFonts w:ascii="Times New Roman" w:hAnsi="Times New Roman" w:cs="Times New Roman"/>
          <w:b/>
          <w:bCs/>
          <w:color w:val="auto"/>
          <w:w w:val="99"/>
          <w:kern w:val="2"/>
          <w:szCs w:val="20"/>
          <w:highlight w:val="none"/>
        </w:rPr>
      </w:pPr>
      <w:r>
        <w:rPr>
          <w:rFonts w:ascii="Times New Roman" w:hAnsi="Times New Roman" w:cs="Times New Roman"/>
          <w:b/>
          <w:bCs/>
          <w:color w:val="auto"/>
          <w:w w:val="99"/>
          <w:kern w:val="2"/>
          <w:szCs w:val="20"/>
          <w:highlight w:val="none"/>
        </w:rPr>
        <w:t xml:space="preserve">表 </w:t>
      </w:r>
      <w:r>
        <w:rPr>
          <w:rFonts w:hint="eastAsia" w:ascii="Times New Roman" w:hAnsi="Times New Roman" w:cs="Times New Roman"/>
          <w:b/>
          <w:bCs/>
          <w:color w:val="auto"/>
          <w:w w:val="99"/>
          <w:kern w:val="2"/>
          <w:szCs w:val="20"/>
          <w:highlight w:val="none"/>
        </w:rPr>
        <w:t>3.10</w:t>
      </w:r>
      <w:r>
        <w:rPr>
          <w:rFonts w:ascii="Times New Roman" w:hAnsi="Times New Roman" w:cs="Times New Roman"/>
          <w:b/>
          <w:bCs/>
          <w:color w:val="auto"/>
          <w:w w:val="99"/>
          <w:kern w:val="2"/>
          <w:szCs w:val="20"/>
          <w:highlight w:val="none"/>
        </w:rPr>
        <w:t>-</w:t>
      </w:r>
      <w:r>
        <w:rPr>
          <w:rFonts w:hint="eastAsia" w:ascii="Times New Roman" w:hAnsi="Times New Roman" w:cs="Times New Roman"/>
          <w:b/>
          <w:bCs/>
          <w:color w:val="auto"/>
          <w:w w:val="99"/>
          <w:kern w:val="2"/>
          <w:szCs w:val="20"/>
          <w:highlight w:val="none"/>
        </w:rPr>
        <w:t xml:space="preserve">7 </w:t>
      </w:r>
      <w:r>
        <w:rPr>
          <w:rFonts w:ascii="Times New Roman" w:hAnsi="Times New Roman" w:cs="Times New Roman"/>
          <w:b/>
          <w:bCs/>
          <w:color w:val="auto"/>
          <w:w w:val="99"/>
          <w:kern w:val="2"/>
          <w:szCs w:val="20"/>
          <w:highlight w:val="none"/>
        </w:rPr>
        <w:t xml:space="preserve"> 运行期站场主要噪声源强</w:t>
      </w:r>
    </w:p>
    <w:p w14:paraId="6A4BF084">
      <w:pPr>
        <w:spacing w:line="80" w:lineRule="exact"/>
        <w:rPr>
          <w:rFonts w:hint="eastAsia"/>
          <w:color w:val="auto"/>
          <w:highlight w:val="none"/>
        </w:rPr>
      </w:pPr>
    </w:p>
    <w:tbl>
      <w:tblPr>
        <w:tblStyle w:val="1662"/>
        <w:tblW w:w="4998" w:type="pct"/>
        <w:jc w:val="center"/>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autofit"/>
        <w:tblCellMar>
          <w:top w:w="0" w:type="dxa"/>
          <w:left w:w="0" w:type="dxa"/>
          <w:bottom w:w="0" w:type="dxa"/>
          <w:right w:w="0" w:type="dxa"/>
        </w:tblCellMar>
      </w:tblPr>
      <w:tblGrid>
        <w:gridCol w:w="859"/>
        <w:gridCol w:w="2697"/>
        <w:gridCol w:w="3163"/>
        <w:gridCol w:w="2357"/>
      </w:tblGrid>
      <w:tr w14:paraId="00BD0211">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91" w:hRule="atLeast"/>
          <w:jc w:val="center"/>
        </w:trPr>
        <w:tc>
          <w:tcPr>
            <w:tcW w:w="473" w:type="pct"/>
            <w:vAlign w:val="center"/>
          </w:tcPr>
          <w:p w14:paraId="7E56D9A8">
            <w:pPr>
              <w:pStyle w:val="2857"/>
              <w:widowControl w:val="0"/>
              <w:kinsoku w:val="0"/>
              <w:autoSpaceDE w:val="0"/>
              <w:autoSpaceDN w:val="0"/>
              <w:adjustRightInd w:val="0"/>
              <w:snapToGrid w:val="0"/>
              <w:spacing w:line="360" w:lineRule="exact"/>
              <w:jc w:val="center"/>
              <w:textAlignment w:val="baseline"/>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序号</w:t>
            </w:r>
          </w:p>
        </w:tc>
        <w:tc>
          <w:tcPr>
            <w:tcW w:w="1485" w:type="pct"/>
            <w:vAlign w:val="center"/>
          </w:tcPr>
          <w:p w14:paraId="64E8FCD6">
            <w:pPr>
              <w:pStyle w:val="2857"/>
              <w:widowControl w:val="0"/>
              <w:kinsoku w:val="0"/>
              <w:autoSpaceDE w:val="0"/>
              <w:autoSpaceDN w:val="0"/>
              <w:adjustRightInd w:val="0"/>
              <w:snapToGrid w:val="0"/>
              <w:spacing w:line="360" w:lineRule="exact"/>
              <w:jc w:val="center"/>
              <w:textAlignment w:val="baseline"/>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设备名称</w:t>
            </w:r>
          </w:p>
        </w:tc>
        <w:tc>
          <w:tcPr>
            <w:tcW w:w="1742" w:type="pct"/>
            <w:vAlign w:val="center"/>
          </w:tcPr>
          <w:p w14:paraId="593892DB">
            <w:pPr>
              <w:pStyle w:val="2857"/>
              <w:widowControl w:val="0"/>
              <w:kinsoku w:val="0"/>
              <w:autoSpaceDE w:val="0"/>
              <w:autoSpaceDN w:val="0"/>
              <w:adjustRightInd w:val="0"/>
              <w:snapToGrid w:val="0"/>
              <w:spacing w:line="360" w:lineRule="exact"/>
              <w:jc w:val="center"/>
              <w:textAlignment w:val="baseline"/>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噪声强度范围（dB(A))</w:t>
            </w:r>
          </w:p>
        </w:tc>
        <w:tc>
          <w:tcPr>
            <w:tcW w:w="1298" w:type="pct"/>
            <w:vAlign w:val="center"/>
          </w:tcPr>
          <w:p w14:paraId="6A66B1B9">
            <w:pPr>
              <w:pStyle w:val="2857"/>
              <w:widowControl w:val="0"/>
              <w:kinsoku w:val="0"/>
              <w:autoSpaceDE w:val="0"/>
              <w:autoSpaceDN w:val="0"/>
              <w:adjustRightInd w:val="0"/>
              <w:snapToGrid w:val="0"/>
              <w:spacing w:line="360" w:lineRule="exact"/>
              <w:jc w:val="center"/>
              <w:textAlignment w:val="baseline"/>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备注</w:t>
            </w:r>
          </w:p>
        </w:tc>
      </w:tr>
      <w:tr w14:paraId="3EE4F4B1">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87" w:hRule="atLeast"/>
          <w:jc w:val="center"/>
        </w:trPr>
        <w:tc>
          <w:tcPr>
            <w:tcW w:w="473" w:type="pct"/>
            <w:vAlign w:val="center"/>
          </w:tcPr>
          <w:p w14:paraId="6E050351">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w:t>
            </w:r>
          </w:p>
        </w:tc>
        <w:tc>
          <w:tcPr>
            <w:tcW w:w="1485" w:type="pct"/>
            <w:vAlign w:val="center"/>
          </w:tcPr>
          <w:p w14:paraId="515D1CA8">
            <w:pPr>
              <w:pStyle w:val="2857"/>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集气站放空系统</w:t>
            </w:r>
          </w:p>
        </w:tc>
        <w:tc>
          <w:tcPr>
            <w:tcW w:w="1742" w:type="pct"/>
            <w:vAlign w:val="center"/>
          </w:tcPr>
          <w:p w14:paraId="7C214380">
            <w:pPr>
              <w:pStyle w:val="2857"/>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95～105</w:t>
            </w:r>
          </w:p>
        </w:tc>
        <w:tc>
          <w:tcPr>
            <w:tcW w:w="1298" w:type="pct"/>
            <w:vAlign w:val="center"/>
          </w:tcPr>
          <w:p w14:paraId="232789FA">
            <w:pPr>
              <w:pStyle w:val="2857"/>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突发</w:t>
            </w:r>
          </w:p>
        </w:tc>
      </w:tr>
      <w:tr w14:paraId="73BA8984">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87" w:hRule="atLeast"/>
          <w:jc w:val="center"/>
        </w:trPr>
        <w:tc>
          <w:tcPr>
            <w:tcW w:w="473" w:type="pct"/>
            <w:vAlign w:val="center"/>
          </w:tcPr>
          <w:p w14:paraId="708BFEF8">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w:t>
            </w:r>
          </w:p>
        </w:tc>
        <w:tc>
          <w:tcPr>
            <w:tcW w:w="1485" w:type="pct"/>
            <w:vAlign w:val="center"/>
          </w:tcPr>
          <w:p w14:paraId="45C153AC">
            <w:pPr>
              <w:pStyle w:val="2857"/>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井场放空</w:t>
            </w:r>
          </w:p>
        </w:tc>
        <w:tc>
          <w:tcPr>
            <w:tcW w:w="1742" w:type="pct"/>
            <w:vAlign w:val="center"/>
          </w:tcPr>
          <w:p w14:paraId="24B3D6C3">
            <w:pPr>
              <w:pStyle w:val="2857"/>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95～105</w:t>
            </w:r>
          </w:p>
        </w:tc>
        <w:tc>
          <w:tcPr>
            <w:tcW w:w="1298" w:type="pct"/>
            <w:vAlign w:val="center"/>
          </w:tcPr>
          <w:p w14:paraId="2242B22F">
            <w:pPr>
              <w:pStyle w:val="2857"/>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突发</w:t>
            </w:r>
          </w:p>
        </w:tc>
      </w:tr>
      <w:tr w14:paraId="38E7EAC8">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87" w:hRule="atLeast"/>
          <w:jc w:val="center"/>
        </w:trPr>
        <w:tc>
          <w:tcPr>
            <w:tcW w:w="473" w:type="pct"/>
            <w:vAlign w:val="center"/>
          </w:tcPr>
          <w:p w14:paraId="563A81FD">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w:t>
            </w:r>
          </w:p>
        </w:tc>
        <w:tc>
          <w:tcPr>
            <w:tcW w:w="1485" w:type="pct"/>
            <w:vAlign w:val="center"/>
          </w:tcPr>
          <w:p w14:paraId="1D99BCA0">
            <w:pPr>
              <w:pStyle w:val="2857"/>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作业施工噪声</w:t>
            </w:r>
          </w:p>
        </w:tc>
        <w:tc>
          <w:tcPr>
            <w:tcW w:w="1742" w:type="pct"/>
            <w:vAlign w:val="center"/>
          </w:tcPr>
          <w:p w14:paraId="2DE60750">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75~95</w:t>
            </w:r>
          </w:p>
        </w:tc>
        <w:tc>
          <w:tcPr>
            <w:tcW w:w="1298" w:type="pct"/>
            <w:vMerge w:val="restart"/>
            <w:tcBorders>
              <w:bottom w:val="nil"/>
            </w:tcBorders>
            <w:vAlign w:val="center"/>
          </w:tcPr>
          <w:p w14:paraId="6CB362F3">
            <w:pPr>
              <w:pStyle w:val="2857"/>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作业时产生</w:t>
            </w:r>
          </w:p>
        </w:tc>
      </w:tr>
      <w:tr w14:paraId="3508C9F8">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91" w:hRule="atLeast"/>
          <w:jc w:val="center"/>
        </w:trPr>
        <w:tc>
          <w:tcPr>
            <w:tcW w:w="473" w:type="pct"/>
            <w:vAlign w:val="center"/>
          </w:tcPr>
          <w:p w14:paraId="3426C0B7">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w:t>
            </w:r>
          </w:p>
        </w:tc>
        <w:tc>
          <w:tcPr>
            <w:tcW w:w="1485" w:type="pct"/>
            <w:vAlign w:val="center"/>
          </w:tcPr>
          <w:p w14:paraId="4DBBFFF3">
            <w:pPr>
              <w:pStyle w:val="2857"/>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放喷噪声</w:t>
            </w:r>
          </w:p>
        </w:tc>
        <w:tc>
          <w:tcPr>
            <w:tcW w:w="1742" w:type="pct"/>
            <w:vAlign w:val="center"/>
          </w:tcPr>
          <w:p w14:paraId="4056F474">
            <w:pPr>
              <w:pStyle w:val="2857"/>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95～105</w:t>
            </w:r>
          </w:p>
        </w:tc>
        <w:tc>
          <w:tcPr>
            <w:tcW w:w="1298" w:type="pct"/>
            <w:vMerge w:val="continue"/>
            <w:tcBorders>
              <w:top w:val="nil"/>
            </w:tcBorders>
            <w:vAlign w:val="center"/>
          </w:tcPr>
          <w:p w14:paraId="62ECE48C">
            <w:pPr>
              <w:widowControl w:val="0"/>
              <w:spacing w:line="360" w:lineRule="exact"/>
              <w:jc w:val="center"/>
              <w:rPr>
                <w:rFonts w:hint="eastAsia" w:ascii="Arial"/>
                <w:color w:val="auto"/>
                <w:sz w:val="21"/>
                <w:highlight w:val="none"/>
                <w:lang w:eastAsia="en-US"/>
              </w:rPr>
            </w:pPr>
          </w:p>
        </w:tc>
      </w:tr>
    </w:tbl>
    <w:p w14:paraId="2D38F348">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③固体废物</w:t>
      </w:r>
    </w:p>
    <w:p w14:paraId="7CD9CFDE">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项目非正常工况下，产生的固体废物主要为</w:t>
      </w:r>
      <w:r>
        <w:rPr>
          <w:rFonts w:ascii="Times New Roman" w:hAnsi="Times New Roman" w:cs="Times New Roman"/>
          <w:color w:val="auto"/>
          <w:w w:val="99"/>
          <w:kern w:val="2"/>
          <w:szCs w:val="20"/>
          <w:highlight w:val="none"/>
        </w:rPr>
        <w:t>井口除砂器产生少量</w:t>
      </w:r>
      <w:r>
        <w:rPr>
          <w:rFonts w:hint="eastAsia" w:ascii="Times New Roman" w:hAnsi="Times New Roman" w:cs="Times New Roman"/>
          <w:color w:val="auto"/>
          <w:w w:val="99"/>
          <w:kern w:val="2"/>
          <w:szCs w:val="20"/>
          <w:highlight w:val="none"/>
        </w:rPr>
        <w:t>井口含油</w:t>
      </w:r>
      <w:r>
        <w:rPr>
          <w:rFonts w:hint="eastAsia" w:ascii="Times New Roman" w:hAnsi="Times New Roman" w:cs="Times New Roman"/>
          <w:color w:val="auto"/>
          <w:w w:val="99"/>
          <w:kern w:val="2"/>
          <w:szCs w:val="20"/>
          <w:highlight w:val="none"/>
          <w:lang w:eastAsia="zh-CN"/>
        </w:rPr>
        <w:t>砂粒</w:t>
      </w:r>
      <w:r>
        <w:rPr>
          <w:rFonts w:hint="eastAsia" w:ascii="Times New Roman" w:hAnsi="Times New Roman" w:cs="Times New Roman"/>
          <w:color w:val="auto"/>
          <w:w w:val="99"/>
          <w:kern w:val="2"/>
          <w:szCs w:val="20"/>
          <w:highlight w:val="none"/>
        </w:rPr>
        <w:t>、废变压器油</w:t>
      </w:r>
      <w:r>
        <w:rPr>
          <w:rFonts w:ascii="Times New Roman" w:hAnsi="Times New Roman" w:cs="Times New Roman"/>
          <w:color w:val="auto"/>
          <w:w w:val="99"/>
          <w:kern w:val="2"/>
          <w:szCs w:val="20"/>
          <w:highlight w:val="none"/>
        </w:rPr>
        <w:t>。</w:t>
      </w:r>
    </w:p>
    <w:p w14:paraId="4B087920">
      <w:pPr>
        <w:widowControl w:val="0"/>
        <w:spacing w:line="440" w:lineRule="exact"/>
        <w:ind w:firstLine="474" w:firstLineChars="200"/>
        <w:jc w:val="both"/>
        <w:rPr>
          <w:rFonts w:hint="eastAsia" w:ascii="Times New Roman" w:hAnsi="Times New Roman" w:eastAsia="宋体" w:cs="Times New Roman"/>
          <w:color w:val="auto"/>
          <w:w w:val="99"/>
          <w:kern w:val="2"/>
          <w:szCs w:val="20"/>
          <w:highlight w:val="none"/>
          <w:lang w:eastAsia="zh-CN"/>
        </w:rPr>
      </w:pPr>
      <w:r>
        <w:rPr>
          <w:rFonts w:hint="eastAsia" w:ascii="Times New Roman" w:hAnsi="Times New Roman" w:cs="Times New Roman"/>
          <w:color w:val="auto"/>
          <w:w w:val="99"/>
          <w:kern w:val="2"/>
          <w:szCs w:val="20"/>
          <w:highlight w:val="none"/>
        </w:rPr>
        <w:t>1）井口含油</w:t>
      </w:r>
      <w:r>
        <w:rPr>
          <w:rFonts w:hint="eastAsia" w:ascii="Times New Roman" w:hAnsi="Times New Roman" w:cs="Times New Roman"/>
          <w:color w:val="auto"/>
          <w:w w:val="99"/>
          <w:kern w:val="2"/>
          <w:szCs w:val="20"/>
          <w:highlight w:val="none"/>
          <w:lang w:eastAsia="zh-CN"/>
        </w:rPr>
        <w:t>砂粒</w:t>
      </w:r>
    </w:p>
    <w:p w14:paraId="1F1B95AC">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由于气井投产后地层未完全闭合原因，导致偶有气井在投产初出现地层压裂砂、地层砂被采出气气流带到地面的现象，为避免这部分砂粒对场站设备造成损伤，本工程气井井口安装有井口除砂器，投产初会定期检查井口除砂器，如有砂粒，委托有资质单位处置。气井如产生这部分砂粒，单井产生量约为0.01t/a，本项目1口井产生量约为0.01t/a，这部分砂粒内会混有烃类物质，井口含油</w:t>
      </w:r>
      <w:r>
        <w:rPr>
          <w:rFonts w:hint="eastAsia" w:ascii="Times New Roman" w:hAnsi="Times New Roman" w:cs="Times New Roman"/>
          <w:color w:val="auto"/>
          <w:w w:val="99"/>
          <w:kern w:val="2"/>
          <w:szCs w:val="20"/>
          <w:highlight w:val="none"/>
          <w:lang w:eastAsia="zh-CN"/>
        </w:rPr>
        <w:t>砂粒</w:t>
      </w:r>
      <w:r>
        <w:rPr>
          <w:rFonts w:hint="eastAsia" w:ascii="Times New Roman" w:hAnsi="Times New Roman" w:cs="Times New Roman"/>
          <w:color w:val="auto"/>
          <w:w w:val="99"/>
          <w:kern w:val="2"/>
          <w:szCs w:val="20"/>
          <w:highlight w:val="none"/>
        </w:rPr>
        <w:t>属于危险废物“HW08 废矿物油与含矿物油废物”中的“900-249-08 其他生产、销售、使用过程中产生的废矿物油及沾染矿物油的废弃包装物”。在井场产生后装入加盖钢制桶中，由检维修队送采气分公司危险废物贮存库内，定期委托有危废处置资质的单位处置。</w:t>
      </w:r>
    </w:p>
    <w:p w14:paraId="0049A12F">
      <w:pPr>
        <w:widowControl w:val="0"/>
        <w:spacing w:line="440" w:lineRule="exact"/>
        <w:ind w:left="48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2）废变压器油</w:t>
      </w:r>
    </w:p>
    <w:p w14:paraId="23B9364F">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运营期井场柱上变电站为湿式变压器，检修时会产生废变压器油，按照单座柱上变电站产生废变压器油0.05t/a计算，项目共新建1座柱上变电站，则本项目废变压器油产生量为0.05t/a，根据《国家危险废物名录（2025年）》废变压器油属于危险废物，危险废物类别为HW08废矿物油与含矿物油废物，代码为900-220-08，送采气分公司危险废物贮存库内，定期委托有危废处置资质的单位处置。</w:t>
      </w:r>
    </w:p>
    <w:p w14:paraId="13652AF4">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本项目</w:t>
      </w:r>
      <w:r>
        <w:rPr>
          <w:rFonts w:ascii="Times New Roman" w:hAnsi="Times New Roman" w:cs="Times New Roman" w:eastAsiaTheme="minorEastAsia"/>
          <w:color w:val="auto"/>
          <w:w w:val="99"/>
          <w:kern w:val="2"/>
          <w:highlight w:val="none"/>
        </w:rPr>
        <w:t>运营期</w:t>
      </w:r>
      <w:r>
        <w:rPr>
          <w:rFonts w:ascii="Times New Roman" w:hAnsi="Times New Roman" w:cs="Times New Roman"/>
          <w:color w:val="auto"/>
          <w:w w:val="99"/>
          <w:kern w:val="2"/>
          <w:szCs w:val="20"/>
          <w:highlight w:val="none"/>
        </w:rPr>
        <w:t>危险废物具体情况见表</w:t>
      </w:r>
      <w:r>
        <w:rPr>
          <w:rFonts w:hint="eastAsia" w:ascii="Times New Roman" w:hAnsi="Times New Roman" w:cs="Times New Roman"/>
          <w:color w:val="auto"/>
          <w:w w:val="99"/>
          <w:highlight w:val="none"/>
        </w:rPr>
        <w:t>3.10</w:t>
      </w:r>
      <w:r>
        <w:rPr>
          <w:rFonts w:ascii="Times New Roman" w:hAnsi="Times New Roman" w:cs="Times New Roman"/>
          <w:color w:val="auto"/>
          <w:w w:val="99"/>
          <w:highlight w:val="none"/>
        </w:rPr>
        <w:t>-</w:t>
      </w:r>
      <w:r>
        <w:rPr>
          <w:rFonts w:hint="eastAsia" w:ascii="Times New Roman" w:hAnsi="Times New Roman" w:cs="Times New Roman"/>
          <w:color w:val="auto"/>
          <w:w w:val="99"/>
          <w:highlight w:val="none"/>
        </w:rPr>
        <w:t>8</w:t>
      </w:r>
      <w:r>
        <w:rPr>
          <w:rFonts w:ascii="Times New Roman" w:hAnsi="Times New Roman" w:cs="Times New Roman"/>
          <w:color w:val="auto"/>
          <w:w w:val="99"/>
          <w:kern w:val="2"/>
          <w:szCs w:val="20"/>
          <w:highlight w:val="none"/>
        </w:rPr>
        <w:t>。</w:t>
      </w:r>
    </w:p>
    <w:p w14:paraId="2B2D819F">
      <w:pPr>
        <w:widowControl w:val="0"/>
        <w:spacing w:line="440" w:lineRule="exact"/>
        <w:ind w:firstLine="476" w:firstLineChars="200"/>
        <w:rPr>
          <w:rFonts w:ascii="Times New Roman" w:hAnsi="Times New Roman" w:cs="Times New Roman"/>
          <w:b/>
          <w:bCs/>
          <w:color w:val="auto"/>
          <w:w w:val="99"/>
          <w:kern w:val="2"/>
          <w:highlight w:val="none"/>
        </w:rPr>
      </w:pPr>
      <w:r>
        <w:rPr>
          <w:rFonts w:ascii="Times New Roman" w:hAnsi="Times New Roman" w:cs="Times New Roman"/>
          <w:b/>
          <w:bCs/>
          <w:color w:val="auto"/>
          <w:w w:val="99"/>
          <w:kern w:val="2"/>
          <w:highlight w:val="none"/>
        </w:rPr>
        <w:t>表</w:t>
      </w:r>
      <w:r>
        <w:rPr>
          <w:rFonts w:hint="eastAsia" w:ascii="Times New Roman" w:hAnsi="Times New Roman" w:cs="Times New Roman"/>
          <w:b/>
          <w:bCs/>
          <w:color w:val="auto"/>
          <w:w w:val="99"/>
          <w:kern w:val="2"/>
          <w:highlight w:val="none"/>
        </w:rPr>
        <w:t>3.10</w:t>
      </w:r>
      <w:r>
        <w:rPr>
          <w:rFonts w:ascii="Times New Roman" w:hAnsi="Times New Roman" w:cs="Times New Roman"/>
          <w:b/>
          <w:bCs/>
          <w:color w:val="auto"/>
          <w:w w:val="99"/>
          <w:kern w:val="2"/>
          <w:highlight w:val="none"/>
        </w:rPr>
        <w:t>-</w:t>
      </w:r>
      <w:r>
        <w:rPr>
          <w:rFonts w:hint="eastAsia" w:ascii="Times New Roman" w:hAnsi="Times New Roman" w:cs="Times New Roman"/>
          <w:b/>
          <w:bCs/>
          <w:color w:val="auto"/>
          <w:w w:val="99"/>
          <w:kern w:val="2"/>
          <w:highlight w:val="none"/>
        </w:rPr>
        <w:t>8</w:t>
      </w:r>
      <w:r>
        <w:rPr>
          <w:rFonts w:ascii="Times New Roman" w:hAnsi="Times New Roman" w:cs="Times New Roman"/>
          <w:b/>
          <w:bCs/>
          <w:color w:val="auto"/>
          <w:w w:val="99"/>
          <w:kern w:val="2"/>
          <w:highlight w:val="none"/>
        </w:rPr>
        <w:t xml:space="preserve">    危险废物情况一览表</w:t>
      </w:r>
    </w:p>
    <w:tbl>
      <w:tblPr>
        <w:tblStyle w:val="81"/>
        <w:tblW w:w="500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04"/>
        <w:gridCol w:w="655"/>
        <w:gridCol w:w="1016"/>
        <w:gridCol w:w="727"/>
        <w:gridCol w:w="728"/>
        <w:gridCol w:w="728"/>
        <w:gridCol w:w="728"/>
        <w:gridCol w:w="727"/>
        <w:gridCol w:w="583"/>
        <w:gridCol w:w="1019"/>
        <w:gridCol w:w="585"/>
        <w:gridCol w:w="1289"/>
      </w:tblGrid>
      <w:tr w14:paraId="0BD4DD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dxa"/>
            <w:vAlign w:val="center"/>
          </w:tcPr>
          <w:p w14:paraId="0BD28655">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序号</w:t>
            </w:r>
          </w:p>
        </w:tc>
        <w:tc>
          <w:tcPr>
            <w:tcW w:w="655" w:type="dxa"/>
            <w:vAlign w:val="center"/>
          </w:tcPr>
          <w:p w14:paraId="26782EFE">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危险废物名称</w:t>
            </w:r>
          </w:p>
        </w:tc>
        <w:tc>
          <w:tcPr>
            <w:tcW w:w="1018" w:type="dxa"/>
            <w:vAlign w:val="center"/>
          </w:tcPr>
          <w:p w14:paraId="6BAF7E05">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危险废物类别</w:t>
            </w:r>
          </w:p>
        </w:tc>
        <w:tc>
          <w:tcPr>
            <w:tcW w:w="726" w:type="dxa"/>
            <w:vAlign w:val="center"/>
          </w:tcPr>
          <w:p w14:paraId="4682650D">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危险废物代码</w:t>
            </w:r>
          </w:p>
        </w:tc>
        <w:tc>
          <w:tcPr>
            <w:tcW w:w="727" w:type="dxa"/>
            <w:vAlign w:val="center"/>
          </w:tcPr>
          <w:p w14:paraId="136B7878">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产生量</w:t>
            </w:r>
          </w:p>
        </w:tc>
        <w:tc>
          <w:tcPr>
            <w:tcW w:w="727" w:type="dxa"/>
            <w:vAlign w:val="center"/>
          </w:tcPr>
          <w:p w14:paraId="1CF957C8">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产生工序</w:t>
            </w:r>
          </w:p>
        </w:tc>
        <w:tc>
          <w:tcPr>
            <w:tcW w:w="727" w:type="dxa"/>
            <w:vAlign w:val="center"/>
          </w:tcPr>
          <w:p w14:paraId="24A95260">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形态</w:t>
            </w:r>
          </w:p>
        </w:tc>
        <w:tc>
          <w:tcPr>
            <w:tcW w:w="726" w:type="dxa"/>
            <w:vAlign w:val="center"/>
          </w:tcPr>
          <w:p w14:paraId="0EC9E1A1">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主要成分</w:t>
            </w:r>
          </w:p>
        </w:tc>
        <w:tc>
          <w:tcPr>
            <w:tcW w:w="581" w:type="dxa"/>
            <w:vAlign w:val="center"/>
          </w:tcPr>
          <w:p w14:paraId="71E18C2A">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有害成分</w:t>
            </w:r>
          </w:p>
        </w:tc>
        <w:tc>
          <w:tcPr>
            <w:tcW w:w="1021" w:type="dxa"/>
            <w:vAlign w:val="center"/>
          </w:tcPr>
          <w:p w14:paraId="74CB2DAD">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产废周期</w:t>
            </w:r>
          </w:p>
        </w:tc>
        <w:tc>
          <w:tcPr>
            <w:tcW w:w="583" w:type="dxa"/>
            <w:vAlign w:val="center"/>
          </w:tcPr>
          <w:p w14:paraId="31A440F5">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危险</w:t>
            </w:r>
          </w:p>
          <w:p w14:paraId="055CBB44">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特性</w:t>
            </w:r>
          </w:p>
        </w:tc>
        <w:tc>
          <w:tcPr>
            <w:tcW w:w="1295" w:type="dxa"/>
            <w:vAlign w:val="center"/>
          </w:tcPr>
          <w:p w14:paraId="5188E563">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污染防治措施</w:t>
            </w:r>
          </w:p>
        </w:tc>
      </w:tr>
      <w:tr w14:paraId="1E1AD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dxa"/>
            <w:vAlign w:val="center"/>
          </w:tcPr>
          <w:p w14:paraId="0053D56D">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p>
        </w:tc>
        <w:tc>
          <w:tcPr>
            <w:tcW w:w="655" w:type="dxa"/>
            <w:vAlign w:val="center"/>
          </w:tcPr>
          <w:p w14:paraId="2B2F6CC6">
            <w:pPr>
              <w:topLinePunct/>
              <w:snapToGrid w:val="0"/>
              <w:jc w:val="center"/>
              <w:rPr>
                <w:rFonts w:hint="eastAsia" w:ascii="Times New Roman" w:hAnsi="Times New Roman" w:eastAsia="宋体" w:cs="Times New Roman"/>
                <w:color w:val="auto"/>
                <w:w w:val="99"/>
                <w:sz w:val="21"/>
                <w:szCs w:val="21"/>
                <w:highlight w:val="none"/>
                <w:lang w:eastAsia="zh-CN"/>
              </w:rPr>
            </w:pPr>
            <w:r>
              <w:rPr>
                <w:rFonts w:hint="eastAsia" w:ascii="Times New Roman" w:hAnsi="Times New Roman" w:cs="Times New Roman"/>
                <w:color w:val="auto"/>
                <w:w w:val="99"/>
                <w:kern w:val="2"/>
                <w:sz w:val="21"/>
                <w:szCs w:val="21"/>
                <w:highlight w:val="none"/>
              </w:rPr>
              <w:t>井口含油</w:t>
            </w:r>
            <w:r>
              <w:rPr>
                <w:rFonts w:hint="eastAsia" w:ascii="Times New Roman" w:hAnsi="Times New Roman" w:cs="Times New Roman"/>
                <w:color w:val="auto"/>
                <w:w w:val="99"/>
                <w:kern w:val="2"/>
                <w:sz w:val="21"/>
                <w:szCs w:val="21"/>
                <w:highlight w:val="none"/>
                <w:lang w:eastAsia="zh-CN"/>
              </w:rPr>
              <w:t>砂粒</w:t>
            </w:r>
          </w:p>
        </w:tc>
        <w:tc>
          <w:tcPr>
            <w:tcW w:w="1018" w:type="dxa"/>
            <w:vAlign w:val="center"/>
          </w:tcPr>
          <w:p w14:paraId="556CA7EB">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HW08废矿物油与含矿物油废物</w:t>
            </w:r>
          </w:p>
        </w:tc>
        <w:tc>
          <w:tcPr>
            <w:tcW w:w="726" w:type="dxa"/>
            <w:vAlign w:val="center"/>
          </w:tcPr>
          <w:p w14:paraId="4472CF3E">
            <w:pPr>
              <w:topLinePunct/>
              <w:snapToGrid w:val="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900-249-08</w:t>
            </w:r>
            <w:r>
              <w:rPr>
                <w:rFonts w:ascii="Times New Roman" w:hAnsi="Times New Roman" w:cs="Times New Roman" w:eastAsiaTheme="minorEastAsia"/>
                <w:color w:val="auto"/>
                <w:w w:val="99"/>
                <w:sz w:val="21"/>
                <w:szCs w:val="21"/>
                <w:highlight w:val="none"/>
              </w:rPr>
              <w:t>8</w:t>
            </w:r>
          </w:p>
        </w:tc>
        <w:tc>
          <w:tcPr>
            <w:tcW w:w="727" w:type="dxa"/>
            <w:vAlign w:val="center"/>
          </w:tcPr>
          <w:p w14:paraId="03855472">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r>
              <w:rPr>
                <w:rFonts w:hint="eastAsia" w:ascii="Times New Roman" w:hAnsi="Times New Roman" w:cs="Times New Roman" w:eastAsiaTheme="minorEastAsia"/>
                <w:color w:val="auto"/>
                <w:w w:val="99"/>
                <w:sz w:val="21"/>
                <w:szCs w:val="21"/>
                <w:highlight w:val="none"/>
              </w:rPr>
              <w:t>01</w:t>
            </w:r>
            <w:r>
              <w:rPr>
                <w:rFonts w:ascii="Times New Roman" w:hAnsi="Times New Roman" w:cs="Times New Roman" w:eastAsiaTheme="minorEastAsia"/>
                <w:color w:val="auto"/>
                <w:w w:val="99"/>
                <w:sz w:val="21"/>
                <w:szCs w:val="21"/>
                <w:highlight w:val="none"/>
              </w:rPr>
              <w:t>t/a</w:t>
            </w:r>
          </w:p>
        </w:tc>
        <w:tc>
          <w:tcPr>
            <w:tcW w:w="727" w:type="dxa"/>
            <w:vAlign w:val="center"/>
          </w:tcPr>
          <w:p w14:paraId="2D054181">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集输</w:t>
            </w:r>
          </w:p>
          <w:p w14:paraId="3DAEAC28">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与处理环节</w:t>
            </w:r>
          </w:p>
        </w:tc>
        <w:tc>
          <w:tcPr>
            <w:tcW w:w="727" w:type="dxa"/>
            <w:vAlign w:val="center"/>
          </w:tcPr>
          <w:p w14:paraId="710F6082">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固体</w:t>
            </w:r>
          </w:p>
        </w:tc>
        <w:tc>
          <w:tcPr>
            <w:tcW w:w="726" w:type="dxa"/>
            <w:vAlign w:val="center"/>
          </w:tcPr>
          <w:p w14:paraId="75F63D3B">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废矿物油</w:t>
            </w:r>
          </w:p>
        </w:tc>
        <w:tc>
          <w:tcPr>
            <w:tcW w:w="581" w:type="dxa"/>
            <w:vAlign w:val="center"/>
          </w:tcPr>
          <w:p w14:paraId="0297F0C1">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废矿物油</w:t>
            </w:r>
          </w:p>
        </w:tc>
        <w:tc>
          <w:tcPr>
            <w:tcW w:w="1021" w:type="dxa"/>
            <w:vAlign w:val="center"/>
          </w:tcPr>
          <w:p w14:paraId="19FBDA62">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设备清淤每年一次</w:t>
            </w:r>
          </w:p>
        </w:tc>
        <w:tc>
          <w:tcPr>
            <w:tcW w:w="583" w:type="dxa"/>
            <w:vAlign w:val="center"/>
          </w:tcPr>
          <w:p w14:paraId="6DF592E7">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T、I</w:t>
            </w:r>
          </w:p>
        </w:tc>
        <w:tc>
          <w:tcPr>
            <w:tcW w:w="1295" w:type="dxa"/>
            <w:vMerge w:val="restart"/>
            <w:vAlign w:val="center"/>
          </w:tcPr>
          <w:p w14:paraId="0111ACB2">
            <w:pPr>
              <w:topLinePunct/>
              <w:snapToGrid w:val="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暂存于采气分公司危险废物贮存库内，定期委托有危废处置资质的单位处置</w:t>
            </w:r>
          </w:p>
        </w:tc>
      </w:tr>
      <w:tr w14:paraId="1151B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dxa"/>
            <w:vAlign w:val="center"/>
          </w:tcPr>
          <w:p w14:paraId="06B8AB8D">
            <w:pPr>
              <w:topLinePunct/>
              <w:snapToGrid w:val="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w:t>
            </w:r>
          </w:p>
        </w:tc>
        <w:tc>
          <w:tcPr>
            <w:tcW w:w="655" w:type="dxa"/>
            <w:vAlign w:val="center"/>
          </w:tcPr>
          <w:p w14:paraId="7599E413">
            <w:pPr>
              <w:topLinePunct/>
              <w:snapToGrid w:val="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废变压器油</w:t>
            </w:r>
          </w:p>
        </w:tc>
        <w:tc>
          <w:tcPr>
            <w:tcW w:w="1018" w:type="dxa"/>
            <w:vAlign w:val="center"/>
          </w:tcPr>
          <w:p w14:paraId="2BCF96AA">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HW08废矿物油与含矿物油废物</w:t>
            </w:r>
          </w:p>
        </w:tc>
        <w:tc>
          <w:tcPr>
            <w:tcW w:w="726" w:type="dxa"/>
            <w:vAlign w:val="center"/>
          </w:tcPr>
          <w:p w14:paraId="55D3CD40">
            <w:pPr>
              <w:topLinePunct/>
              <w:snapToGrid w:val="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900-220-08</w:t>
            </w:r>
          </w:p>
        </w:tc>
        <w:tc>
          <w:tcPr>
            <w:tcW w:w="727" w:type="dxa"/>
            <w:vAlign w:val="center"/>
          </w:tcPr>
          <w:p w14:paraId="3975F3C1">
            <w:pPr>
              <w:topLinePunct/>
              <w:snapToGrid w:val="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0.05</w:t>
            </w:r>
            <w:r>
              <w:rPr>
                <w:rFonts w:ascii="Times New Roman" w:hAnsi="Times New Roman" w:cs="Times New Roman" w:eastAsiaTheme="minorEastAsia"/>
                <w:color w:val="auto"/>
                <w:w w:val="99"/>
                <w:sz w:val="21"/>
                <w:szCs w:val="21"/>
                <w:highlight w:val="none"/>
              </w:rPr>
              <w:t>t/a</w:t>
            </w:r>
          </w:p>
        </w:tc>
        <w:tc>
          <w:tcPr>
            <w:tcW w:w="727" w:type="dxa"/>
            <w:vAlign w:val="center"/>
          </w:tcPr>
          <w:p w14:paraId="7D151557">
            <w:pPr>
              <w:topLinePunct/>
              <w:snapToGrid w:val="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设备检修</w:t>
            </w:r>
          </w:p>
        </w:tc>
        <w:tc>
          <w:tcPr>
            <w:tcW w:w="727" w:type="dxa"/>
            <w:vAlign w:val="center"/>
          </w:tcPr>
          <w:p w14:paraId="2CE0AFD4">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液态</w:t>
            </w:r>
          </w:p>
        </w:tc>
        <w:tc>
          <w:tcPr>
            <w:tcW w:w="726" w:type="dxa"/>
            <w:vAlign w:val="center"/>
          </w:tcPr>
          <w:p w14:paraId="42C6305B">
            <w:pPr>
              <w:topLinePunct/>
              <w:snapToGrid w:val="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润滑油</w:t>
            </w:r>
          </w:p>
        </w:tc>
        <w:tc>
          <w:tcPr>
            <w:tcW w:w="581" w:type="dxa"/>
            <w:vAlign w:val="center"/>
          </w:tcPr>
          <w:p w14:paraId="4839F2D1">
            <w:pPr>
              <w:topLinePunct/>
              <w:snapToGrid w:val="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石油类</w:t>
            </w:r>
          </w:p>
        </w:tc>
        <w:tc>
          <w:tcPr>
            <w:tcW w:w="1021" w:type="dxa"/>
            <w:vAlign w:val="center"/>
          </w:tcPr>
          <w:p w14:paraId="72251B02">
            <w:pPr>
              <w:topLinePunct/>
              <w:snapToGrid w:val="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设备检修每年一次</w:t>
            </w:r>
          </w:p>
        </w:tc>
        <w:tc>
          <w:tcPr>
            <w:tcW w:w="583" w:type="dxa"/>
            <w:vAlign w:val="center"/>
          </w:tcPr>
          <w:p w14:paraId="148A08D3">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T、I</w:t>
            </w:r>
          </w:p>
        </w:tc>
        <w:tc>
          <w:tcPr>
            <w:tcW w:w="1295" w:type="dxa"/>
            <w:vMerge w:val="continue"/>
            <w:vAlign w:val="center"/>
          </w:tcPr>
          <w:p w14:paraId="0E814C1D">
            <w:pPr>
              <w:topLinePunct/>
              <w:snapToGrid w:val="0"/>
              <w:jc w:val="center"/>
              <w:rPr>
                <w:rFonts w:ascii="Times New Roman" w:hAnsi="Times New Roman" w:cs="Times New Roman" w:eastAsiaTheme="minorEastAsia"/>
                <w:color w:val="auto"/>
                <w:w w:val="99"/>
                <w:sz w:val="21"/>
                <w:szCs w:val="21"/>
                <w:highlight w:val="none"/>
              </w:rPr>
            </w:pPr>
          </w:p>
        </w:tc>
      </w:tr>
    </w:tbl>
    <w:p w14:paraId="06D7D38C">
      <w:pPr>
        <w:widowControl w:val="0"/>
        <w:spacing w:line="440" w:lineRule="exact"/>
        <w:jc w:val="both"/>
        <w:outlineLvl w:val="3"/>
        <w:rPr>
          <w:rFonts w:ascii="Times New Roman" w:hAnsi="Times New Roman" w:cs="Times New Roman" w:eastAsiaTheme="minorEastAsia"/>
          <w:b/>
          <w:color w:val="auto"/>
          <w:w w:val="99"/>
          <w:highlight w:val="none"/>
        </w:rPr>
      </w:pPr>
      <w:r>
        <w:rPr>
          <w:rFonts w:hint="eastAsia" w:ascii="Times New Roman" w:hAnsi="Times New Roman" w:cs="Times New Roman" w:eastAsiaTheme="minorEastAsia"/>
          <w:b/>
          <w:color w:val="auto"/>
          <w:w w:val="99"/>
          <w:highlight w:val="none"/>
        </w:rPr>
        <w:t>3.10</w:t>
      </w:r>
      <w:r>
        <w:rPr>
          <w:rFonts w:ascii="Times New Roman" w:hAnsi="Times New Roman" w:cs="Times New Roman" w:eastAsiaTheme="minorEastAsia"/>
          <w:b/>
          <w:color w:val="auto"/>
          <w:w w:val="99"/>
          <w:highlight w:val="none"/>
        </w:rPr>
        <w:t>.</w:t>
      </w:r>
      <w:r>
        <w:rPr>
          <w:rFonts w:hint="eastAsia" w:ascii="Times New Roman" w:hAnsi="Times New Roman" w:cs="Times New Roman" w:eastAsiaTheme="minorEastAsia"/>
          <w:b/>
          <w:color w:val="auto"/>
          <w:w w:val="99"/>
          <w:highlight w:val="none"/>
        </w:rPr>
        <w:t>4</w:t>
      </w:r>
      <w:r>
        <w:rPr>
          <w:rFonts w:ascii="Times New Roman" w:hAnsi="Times New Roman" w:cs="Times New Roman" w:eastAsiaTheme="minorEastAsia"/>
          <w:b/>
          <w:color w:val="auto"/>
          <w:w w:val="99"/>
          <w:highlight w:val="none"/>
        </w:rPr>
        <w:t>.3退役期污染源源强核算</w:t>
      </w:r>
    </w:p>
    <w:p w14:paraId="20DB56E9">
      <w:pPr>
        <w:widowControl w:val="0"/>
        <w:spacing w:line="440" w:lineRule="exact"/>
        <w:ind w:firstLine="474" w:firstLineChars="200"/>
        <w:jc w:val="both"/>
        <w:rPr>
          <w:rFonts w:ascii="Times New Roman" w:hAnsi="Times New Roman" w:cs="Times New Roman"/>
          <w:color w:val="auto"/>
          <w:w w:val="99"/>
          <w:kern w:val="2"/>
          <w:highlight w:val="none"/>
          <w:lang w:val="zh-CN"/>
        </w:rPr>
      </w:pPr>
      <w:r>
        <w:rPr>
          <w:rFonts w:ascii="Times New Roman" w:hAnsi="Times New Roman" w:cs="Times New Roman"/>
          <w:color w:val="auto"/>
          <w:w w:val="99"/>
          <w:kern w:val="2"/>
          <w:highlight w:val="none"/>
          <w:lang w:val="zh-CN"/>
        </w:rPr>
        <w:t>（1）废气</w:t>
      </w:r>
    </w:p>
    <w:p w14:paraId="19A1F333">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退役期废气主要为场地清理平整过程中产生的粉尘、二次扬尘，以及施工设备和运输车辆尾气。</w:t>
      </w:r>
    </w:p>
    <w:p w14:paraId="74FBBB19">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①</w:t>
      </w:r>
      <w:r>
        <w:rPr>
          <w:rFonts w:ascii="Times New Roman" w:hAnsi="Times New Roman" w:cs="Times New Roman"/>
          <w:color w:val="auto"/>
          <w:w w:val="99"/>
          <w:kern w:val="2"/>
          <w:highlight w:val="none"/>
        </w:rPr>
        <w:t>施工扬尘</w:t>
      </w:r>
    </w:p>
    <w:p w14:paraId="7845AA89">
      <w:pPr>
        <w:widowControl w:val="0"/>
        <w:spacing w:line="440" w:lineRule="exact"/>
        <w:ind w:firstLine="474" w:firstLineChars="200"/>
        <w:jc w:val="both"/>
        <w:rPr>
          <w:rFonts w:ascii="Times New Roman" w:hAnsi="Times New Roman" w:cs="Times New Roman"/>
          <w:color w:val="auto"/>
          <w:w w:val="99"/>
          <w:kern w:val="2"/>
          <w:highlight w:val="none"/>
          <w:lang w:val="zh-CN"/>
        </w:rPr>
      </w:pPr>
      <w:r>
        <w:rPr>
          <w:rFonts w:ascii="Times New Roman" w:hAnsi="Times New Roman" w:cs="Times New Roman"/>
          <w:color w:val="auto"/>
          <w:w w:val="99"/>
          <w:kern w:val="2"/>
          <w:highlight w:val="none"/>
        </w:rPr>
        <w:t>本项目退役期施工扬尘主要来自平整土地、材料运输、装卸等过程。本项目所在区域平坦空旷，大气扩散条件好。井场相对分散，且施工时间较短，在采取车辆密闭运输、洒水抑尘等措施后，退役期施工扬尘影响较小。</w:t>
      </w:r>
    </w:p>
    <w:p w14:paraId="23AC3EBC">
      <w:pPr>
        <w:widowControl w:val="0"/>
        <w:spacing w:line="440" w:lineRule="exact"/>
        <w:ind w:firstLine="474" w:firstLineChars="200"/>
        <w:jc w:val="both"/>
        <w:rPr>
          <w:rFonts w:ascii="Times New Roman" w:hAnsi="Times New Roman" w:cs="Times New Roman"/>
          <w:color w:val="auto"/>
          <w:w w:val="99"/>
          <w:kern w:val="2"/>
          <w:highlight w:val="none"/>
          <w:lang w:val="zh-CN"/>
        </w:rPr>
      </w:pPr>
      <w:r>
        <w:rPr>
          <w:rFonts w:hint="eastAsia" w:ascii="Times New Roman" w:hAnsi="Times New Roman" w:cs="Times New Roman"/>
          <w:color w:val="auto"/>
          <w:w w:val="99"/>
          <w:kern w:val="2"/>
          <w:highlight w:val="none"/>
          <w:lang w:val="zh-CN"/>
        </w:rPr>
        <w:t>②</w:t>
      </w:r>
      <w:r>
        <w:rPr>
          <w:rFonts w:ascii="Times New Roman" w:hAnsi="Times New Roman" w:cs="Times New Roman"/>
          <w:color w:val="auto"/>
          <w:w w:val="99"/>
          <w:kern w:val="2"/>
          <w:highlight w:val="none"/>
          <w:lang w:val="zh-CN"/>
        </w:rPr>
        <w:t>车辆尾气</w:t>
      </w:r>
    </w:p>
    <w:p w14:paraId="21EF7A9B">
      <w:pPr>
        <w:widowControl w:val="0"/>
        <w:spacing w:line="440" w:lineRule="exact"/>
        <w:ind w:firstLine="474" w:firstLineChars="200"/>
        <w:jc w:val="both"/>
        <w:rPr>
          <w:rFonts w:ascii="Times New Roman" w:hAnsi="Times New Roman" w:cs="Times New Roman"/>
          <w:color w:val="auto"/>
          <w:w w:val="99"/>
          <w:kern w:val="2"/>
          <w:highlight w:val="none"/>
          <w:lang w:val="zh-CN"/>
        </w:rPr>
      </w:pPr>
      <w:r>
        <w:rPr>
          <w:rFonts w:ascii="Times New Roman" w:hAnsi="Times New Roman" w:cs="Times New Roman"/>
          <w:color w:val="auto"/>
          <w:w w:val="99"/>
          <w:kern w:val="2"/>
          <w:highlight w:val="none"/>
          <w:lang w:val="zh-CN"/>
        </w:rPr>
        <w:t>在</w:t>
      </w:r>
      <w:r>
        <w:rPr>
          <w:rFonts w:ascii="Times New Roman" w:hAnsi="Times New Roman" w:cs="Times New Roman"/>
          <w:color w:val="auto"/>
          <w:w w:val="99"/>
          <w:kern w:val="2"/>
          <w:highlight w:val="none"/>
        </w:rPr>
        <w:t>退役期</w:t>
      </w:r>
      <w:r>
        <w:rPr>
          <w:rFonts w:ascii="Times New Roman" w:hAnsi="Times New Roman" w:cs="Times New Roman"/>
          <w:color w:val="auto"/>
          <w:w w:val="99"/>
          <w:kern w:val="2"/>
          <w:highlight w:val="none"/>
          <w:lang w:val="zh-CN"/>
        </w:rPr>
        <w:t>施工期间，使用液体燃料的施工机械及运输车辆的发动机排放的尾气在含有NO</w:t>
      </w:r>
      <w:r>
        <w:rPr>
          <w:rFonts w:ascii="Times New Roman" w:hAnsi="Times New Roman" w:cs="Times New Roman"/>
          <w:color w:val="auto"/>
          <w:w w:val="99"/>
          <w:kern w:val="2"/>
          <w:highlight w:val="none"/>
          <w:vertAlign w:val="subscript"/>
          <w:lang w:val="zh-CN"/>
        </w:rPr>
        <w:t>2</w:t>
      </w:r>
      <w:r>
        <w:rPr>
          <w:rFonts w:ascii="Times New Roman" w:hAnsi="Times New Roman" w:cs="Times New Roman"/>
          <w:color w:val="auto"/>
          <w:w w:val="99"/>
          <w:kern w:val="2"/>
          <w:highlight w:val="none"/>
          <w:lang w:val="zh-CN"/>
        </w:rPr>
        <w:t>、CO、HC等污染物，一般情况下，</w:t>
      </w:r>
      <w:r>
        <w:rPr>
          <w:rFonts w:ascii="Times New Roman" w:hAnsi="Times New Roman" w:cs="Times New Roman"/>
          <w:color w:val="auto"/>
          <w:w w:val="99"/>
          <w:kern w:val="2"/>
          <w:highlight w:val="none"/>
        </w:rPr>
        <w:t>施工车辆选用高标号汽柴油，</w:t>
      </w:r>
      <w:r>
        <w:rPr>
          <w:rFonts w:ascii="Times New Roman" w:hAnsi="Times New Roman" w:cs="Times New Roman"/>
          <w:color w:val="auto"/>
          <w:w w:val="99"/>
          <w:kern w:val="2"/>
          <w:highlight w:val="none"/>
          <w:lang w:val="zh-CN"/>
        </w:rPr>
        <w:t>各种污染物的排放量不大，对周围环境的影响较小。</w:t>
      </w:r>
    </w:p>
    <w:p w14:paraId="7B3F4AA5">
      <w:pPr>
        <w:widowControl w:val="0"/>
        <w:spacing w:line="440" w:lineRule="exact"/>
        <w:ind w:firstLine="474" w:firstLineChars="200"/>
        <w:jc w:val="both"/>
        <w:rPr>
          <w:rFonts w:ascii="Times New Roman" w:hAnsi="Times New Roman" w:cs="Times New Roman" w:eastAsiaTheme="minorEastAsia"/>
          <w:color w:val="auto"/>
          <w:w w:val="99"/>
          <w:highlight w:val="none"/>
          <w:lang w:val="zh-CN"/>
        </w:rPr>
      </w:pPr>
      <w:r>
        <w:rPr>
          <w:rFonts w:ascii="Times New Roman" w:hAnsi="Times New Roman" w:cs="Times New Roman" w:eastAsiaTheme="minorEastAsia"/>
          <w:color w:val="auto"/>
          <w:w w:val="99"/>
          <w:highlight w:val="none"/>
          <w:lang w:val="zh-CN"/>
        </w:rPr>
        <w:t>（2）废水</w:t>
      </w:r>
    </w:p>
    <w:p w14:paraId="461FA0F0">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退役期管线采用氮气扫线，</w:t>
      </w:r>
      <w:r>
        <w:rPr>
          <w:rFonts w:ascii="Times New Roman" w:hAnsi="Times New Roman" w:cs="Times New Roman"/>
          <w:color w:val="auto"/>
          <w:w w:val="99"/>
          <w:kern w:val="2"/>
          <w:highlight w:val="none"/>
        </w:rPr>
        <w:t>废水主要为设备清洗废水及生活污水。</w:t>
      </w:r>
    </w:p>
    <w:p w14:paraId="466E00E9">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①</w:t>
      </w:r>
      <w:r>
        <w:rPr>
          <w:rFonts w:ascii="Times New Roman" w:hAnsi="Times New Roman" w:cs="Times New Roman"/>
          <w:color w:val="auto"/>
          <w:w w:val="99"/>
          <w:kern w:val="2"/>
          <w:highlight w:val="none"/>
        </w:rPr>
        <w:t>设备清洗废水</w:t>
      </w:r>
    </w:p>
    <w:p w14:paraId="0525CFCD">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参考大庆油</w:t>
      </w:r>
      <w:r>
        <w:rPr>
          <w:rFonts w:hint="eastAsia" w:ascii="Times New Roman" w:hAnsi="Times New Roman" w:cs="Times New Roman"/>
          <w:color w:val="auto"/>
          <w:w w:val="99"/>
          <w:kern w:val="2"/>
          <w:highlight w:val="none"/>
        </w:rPr>
        <w:t>气</w:t>
      </w:r>
      <w:r>
        <w:rPr>
          <w:rFonts w:ascii="Times New Roman" w:hAnsi="Times New Roman" w:cs="Times New Roman"/>
          <w:color w:val="auto"/>
          <w:w w:val="99"/>
          <w:kern w:val="2"/>
          <w:highlight w:val="none"/>
        </w:rPr>
        <w:t>田已有生产经验，清洗废水产生量为0.52m</w:t>
      </w:r>
      <w:r>
        <w:rPr>
          <w:rFonts w:ascii="Times New Roman" w:hAnsi="Times New Roman" w:cs="Times New Roman"/>
          <w:color w:val="auto"/>
          <w:w w:val="99"/>
          <w:kern w:val="2"/>
          <w:highlight w:val="none"/>
          <w:vertAlign w:val="superscript"/>
        </w:rPr>
        <w:t>3</w:t>
      </w:r>
      <w:r>
        <w:rPr>
          <w:rFonts w:ascii="Times New Roman" w:hAnsi="Times New Roman" w:cs="Times New Roman"/>
          <w:color w:val="auto"/>
          <w:w w:val="99"/>
          <w:kern w:val="2"/>
          <w:highlight w:val="none"/>
        </w:rPr>
        <w:t>/井次，</w:t>
      </w:r>
      <w:r>
        <w:rPr>
          <w:rFonts w:hint="eastAsia" w:ascii="Times New Roman" w:hAnsi="Times New Roman" w:cs="Times New Roman"/>
          <w:color w:val="auto"/>
          <w:w w:val="99"/>
          <w:kern w:val="2"/>
          <w:highlight w:val="none"/>
        </w:rPr>
        <w:t>若本次投产的1口气井全部退役，</w:t>
      </w:r>
      <w:r>
        <w:rPr>
          <w:rFonts w:ascii="Times New Roman" w:hAnsi="Times New Roman" w:cs="Times New Roman"/>
          <w:color w:val="auto"/>
          <w:w w:val="99"/>
          <w:kern w:val="2"/>
          <w:highlight w:val="none"/>
        </w:rPr>
        <w:t>则清洗废水约为</w:t>
      </w:r>
      <w:r>
        <w:rPr>
          <w:rFonts w:hint="eastAsia" w:ascii="Times New Roman" w:hAnsi="Times New Roman" w:cs="Times New Roman"/>
          <w:color w:val="auto"/>
          <w:w w:val="99"/>
          <w:kern w:val="2"/>
          <w:highlight w:val="none"/>
        </w:rPr>
        <w:t>0.52</w:t>
      </w:r>
      <w:r>
        <w:rPr>
          <w:rFonts w:ascii="Times New Roman" w:hAnsi="Times New Roman" w:cs="Times New Roman"/>
          <w:color w:val="auto"/>
          <w:w w:val="99"/>
          <w:kern w:val="2"/>
          <w:highlight w:val="none"/>
        </w:rPr>
        <w:t>m</w:t>
      </w:r>
      <w:r>
        <w:rPr>
          <w:rFonts w:ascii="Times New Roman" w:hAnsi="Times New Roman" w:cs="Times New Roman"/>
          <w:color w:val="auto"/>
          <w:w w:val="99"/>
          <w:kern w:val="2"/>
          <w:highlight w:val="none"/>
          <w:vertAlign w:val="superscript"/>
        </w:rPr>
        <w:t>3</w:t>
      </w:r>
      <w:r>
        <w:rPr>
          <w:rFonts w:ascii="Times New Roman" w:hAnsi="Times New Roman" w:cs="Times New Roman"/>
          <w:color w:val="auto"/>
          <w:w w:val="99"/>
          <w:kern w:val="2"/>
          <w:highlight w:val="none"/>
        </w:rPr>
        <w:t>，主要污染因子为石油类、SS，清洗过程中在现场钢槽中进行，清洗废水收集后由罐车拉运至</w:t>
      </w:r>
      <w:r>
        <w:rPr>
          <w:rFonts w:hint="eastAsia" w:ascii="Times New Roman" w:hAnsi="Times New Roman" w:cs="Times New Roman"/>
          <w:color w:val="auto"/>
          <w:w w:val="99"/>
          <w:kern w:val="2"/>
          <w:highlight w:val="none"/>
        </w:rPr>
        <w:t>升一联气田</w:t>
      </w:r>
      <w:r>
        <w:rPr>
          <w:rFonts w:ascii="Times New Roman" w:hAnsi="Times New Roman" w:cs="Times New Roman"/>
          <w:color w:val="auto"/>
          <w:w w:val="99"/>
          <w:kern w:val="2"/>
          <w:highlight w:val="none"/>
        </w:rPr>
        <w:t>污水</w:t>
      </w:r>
      <w:r>
        <w:rPr>
          <w:rFonts w:hint="eastAsia" w:ascii="Times New Roman" w:hAnsi="Times New Roman" w:cs="Times New Roman"/>
          <w:color w:val="auto"/>
          <w:w w:val="99"/>
          <w:kern w:val="2"/>
          <w:highlight w:val="none"/>
        </w:rPr>
        <w:t>预</w:t>
      </w:r>
      <w:r>
        <w:rPr>
          <w:rFonts w:ascii="Times New Roman" w:hAnsi="Times New Roman" w:cs="Times New Roman"/>
          <w:color w:val="auto"/>
          <w:w w:val="99"/>
          <w:kern w:val="2"/>
          <w:highlight w:val="none"/>
        </w:rPr>
        <w:t>处理站处理。</w:t>
      </w:r>
    </w:p>
    <w:p w14:paraId="16A1A731">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②</w:t>
      </w:r>
      <w:r>
        <w:rPr>
          <w:rFonts w:ascii="Times New Roman" w:hAnsi="Times New Roman" w:cs="Times New Roman"/>
          <w:color w:val="auto"/>
          <w:w w:val="99"/>
          <w:kern w:val="2"/>
          <w:highlight w:val="none"/>
        </w:rPr>
        <w:t>生活污水</w:t>
      </w:r>
    </w:p>
    <w:p w14:paraId="5297D3B9">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退役期施工人员约20人，施工期约5d，根据《用水定额》（</w:t>
      </w:r>
      <w:r>
        <w:rPr>
          <w:rFonts w:ascii="Times New Roman" w:hAnsi="Times New Roman" w:cs="Times New Roman"/>
          <w:color w:val="auto"/>
          <w:w w:val="99"/>
          <w:kern w:val="2"/>
          <w:highlight w:val="none"/>
        </w:rPr>
        <w:t>DB23/T727-202</w:t>
      </w:r>
      <w:r>
        <w:rPr>
          <w:rFonts w:hint="eastAsia" w:ascii="Times New Roman" w:hAnsi="Times New Roman" w:cs="Times New Roman"/>
          <w:color w:val="auto"/>
          <w:w w:val="99"/>
          <w:kern w:val="2"/>
          <w:highlight w:val="none"/>
        </w:rPr>
        <w:t>5）项目施工期生活用水量按</w:t>
      </w:r>
      <w:r>
        <w:rPr>
          <w:rFonts w:ascii="Times New Roman" w:hAnsi="Times New Roman" w:cs="Times New Roman"/>
          <w:color w:val="auto"/>
          <w:w w:val="99"/>
          <w:kern w:val="2"/>
          <w:highlight w:val="none"/>
        </w:rPr>
        <w:t>80L/</w:t>
      </w:r>
      <w:r>
        <w:rPr>
          <w:rFonts w:hint="eastAsia" w:ascii="Times New Roman" w:hAnsi="Times New Roman" w:cs="Times New Roman"/>
          <w:color w:val="auto"/>
          <w:w w:val="99"/>
          <w:kern w:val="2"/>
          <w:highlight w:val="none"/>
        </w:rPr>
        <w:t>人</w:t>
      </w:r>
      <w:r>
        <w:rPr>
          <w:rFonts w:ascii="Times New Roman" w:hAnsi="Times New Roman" w:cs="Times New Roman"/>
          <w:color w:val="auto"/>
          <w:w w:val="99"/>
          <w:kern w:val="2"/>
          <w:highlight w:val="none"/>
        </w:rPr>
        <w:t xml:space="preserve">·d </w:t>
      </w:r>
      <w:r>
        <w:rPr>
          <w:rFonts w:hint="eastAsia" w:ascii="Times New Roman" w:hAnsi="Times New Roman" w:cs="Times New Roman"/>
          <w:color w:val="auto"/>
          <w:w w:val="99"/>
          <w:kern w:val="2"/>
          <w:highlight w:val="none"/>
        </w:rPr>
        <w:t>计，则退役期施工人员生活用水量为8</w:t>
      </w:r>
      <w:r>
        <w:rPr>
          <w:rFonts w:ascii="Times New Roman" w:hAnsi="Times New Roman" w:cs="Times New Roman"/>
          <w:color w:val="auto"/>
          <w:w w:val="99"/>
          <w:kern w:val="2"/>
          <w:highlight w:val="none"/>
        </w:rPr>
        <w:t>m</w:t>
      </w:r>
      <w:r>
        <w:rPr>
          <w:rFonts w:ascii="Times New Roman" w:hAnsi="Times New Roman" w:cs="Times New Roman"/>
          <w:color w:val="auto"/>
          <w:w w:val="99"/>
          <w:kern w:val="2"/>
          <w:highlight w:val="none"/>
          <w:vertAlign w:val="superscript"/>
        </w:rPr>
        <w:t>3</w:t>
      </w:r>
      <w:r>
        <w:rPr>
          <w:rFonts w:hint="eastAsia" w:ascii="Times New Roman" w:hAnsi="Times New Roman" w:cs="Times New Roman"/>
          <w:color w:val="auto"/>
          <w:w w:val="99"/>
          <w:kern w:val="2"/>
          <w:highlight w:val="none"/>
        </w:rPr>
        <w:t>，生活污水按生活用水量的</w:t>
      </w:r>
      <w:r>
        <w:rPr>
          <w:rFonts w:ascii="Times New Roman" w:hAnsi="Times New Roman" w:cs="Times New Roman"/>
          <w:color w:val="auto"/>
          <w:w w:val="99"/>
          <w:kern w:val="2"/>
          <w:highlight w:val="none"/>
        </w:rPr>
        <w:t>80%</w:t>
      </w:r>
      <w:r>
        <w:rPr>
          <w:rFonts w:hint="eastAsia" w:ascii="Times New Roman" w:hAnsi="Times New Roman" w:cs="Times New Roman"/>
          <w:color w:val="auto"/>
          <w:w w:val="99"/>
          <w:kern w:val="2"/>
          <w:highlight w:val="none"/>
        </w:rPr>
        <w:t>计，则钻井期间施工人员生活污水产生量为6.4</w:t>
      </w:r>
      <w:r>
        <w:rPr>
          <w:rFonts w:ascii="Times New Roman" w:hAnsi="Times New Roman" w:cs="Times New Roman"/>
          <w:color w:val="auto"/>
          <w:w w:val="99"/>
          <w:kern w:val="2"/>
          <w:highlight w:val="none"/>
        </w:rPr>
        <w:t>m</w:t>
      </w:r>
      <w:r>
        <w:rPr>
          <w:rFonts w:ascii="Times New Roman" w:hAnsi="Times New Roman" w:cs="Times New Roman"/>
          <w:color w:val="auto"/>
          <w:w w:val="99"/>
          <w:kern w:val="2"/>
          <w:highlight w:val="none"/>
          <w:vertAlign w:val="superscript"/>
        </w:rPr>
        <w:t>3</w:t>
      </w:r>
      <w:r>
        <w:rPr>
          <w:rFonts w:hint="eastAsia" w:ascii="Times New Roman" w:hAnsi="Times New Roman" w:cs="Times New Roman"/>
          <w:color w:val="auto"/>
          <w:w w:val="99"/>
          <w:kern w:val="2"/>
          <w:highlight w:val="none"/>
        </w:rPr>
        <w:t>。</w:t>
      </w:r>
    </w:p>
    <w:p w14:paraId="25A240A4">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kern w:val="2"/>
          <w:highlight w:val="none"/>
        </w:rPr>
        <w:t>生活污水排入周边集气站已建生活污水收集设施，均</w:t>
      </w:r>
      <w:r>
        <w:rPr>
          <w:rFonts w:hint="eastAsia" w:ascii="Times New Roman" w:hAnsi="Times New Roman"/>
          <w:color w:val="auto"/>
          <w:w w:val="99"/>
          <w:highlight w:val="none"/>
        </w:rPr>
        <w:t>定期由大庆石油管理局有限公司庆南工矿服务公司红岗分公司拉运至大庆红岗区西巷污水回收站，管输至南区污水处理厂进行处理。</w:t>
      </w:r>
    </w:p>
    <w:p w14:paraId="5C96A4A6">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（3）</w:t>
      </w:r>
      <w:r>
        <w:rPr>
          <w:rFonts w:ascii="Times New Roman" w:hAnsi="Times New Roman" w:cs="Times New Roman"/>
          <w:color w:val="auto"/>
          <w:w w:val="99"/>
          <w:kern w:val="2"/>
          <w:highlight w:val="none"/>
        </w:rPr>
        <w:t>噪声</w:t>
      </w:r>
    </w:p>
    <w:p w14:paraId="1A3762AD">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参照《环境噪声与振动控制工程技术导则》（HJ2034-2013）中表A.2常见施工设备噪声源不同距离声压级，</w:t>
      </w:r>
      <w:r>
        <w:rPr>
          <w:rFonts w:hint="eastAsia" w:ascii="Times New Roman" w:hAnsi="Times New Roman" w:cs="Times New Roman"/>
          <w:color w:val="auto"/>
          <w:w w:val="99"/>
          <w:kern w:val="2"/>
          <w:highlight w:val="none"/>
        </w:rPr>
        <w:t>退役期施工机械</w:t>
      </w:r>
      <w:r>
        <w:rPr>
          <w:rFonts w:ascii="Times New Roman" w:hAnsi="Times New Roman" w:cs="Times New Roman"/>
          <w:color w:val="auto"/>
          <w:w w:val="99"/>
          <w:kern w:val="2"/>
          <w:highlight w:val="none"/>
        </w:rPr>
        <w:t>噪声源详见表</w:t>
      </w:r>
      <w:r>
        <w:rPr>
          <w:rFonts w:hint="eastAsia" w:ascii="Times New Roman" w:hAnsi="Times New Roman" w:cs="Times New Roman"/>
          <w:color w:val="auto"/>
          <w:w w:val="99"/>
          <w:kern w:val="2"/>
          <w:highlight w:val="none"/>
        </w:rPr>
        <w:t>3.10</w:t>
      </w:r>
      <w:r>
        <w:rPr>
          <w:rFonts w:ascii="Times New Roman" w:hAnsi="Times New Roman" w:cs="Times New Roman"/>
          <w:color w:val="auto"/>
          <w:w w:val="99"/>
          <w:kern w:val="2"/>
          <w:highlight w:val="none"/>
        </w:rPr>
        <w:t>-</w:t>
      </w:r>
      <w:r>
        <w:rPr>
          <w:rFonts w:hint="eastAsia" w:ascii="Times New Roman" w:hAnsi="Times New Roman" w:cs="Times New Roman"/>
          <w:color w:val="auto"/>
          <w:w w:val="99"/>
          <w:kern w:val="2"/>
          <w:highlight w:val="none"/>
        </w:rPr>
        <w:t>9</w:t>
      </w:r>
      <w:r>
        <w:rPr>
          <w:rFonts w:ascii="Times New Roman" w:hAnsi="Times New Roman" w:cs="Times New Roman"/>
          <w:color w:val="auto"/>
          <w:w w:val="99"/>
          <w:kern w:val="2"/>
          <w:highlight w:val="none"/>
        </w:rPr>
        <w:t>。</w:t>
      </w:r>
    </w:p>
    <w:p w14:paraId="59D14FAD">
      <w:pPr>
        <w:widowControl w:val="0"/>
        <w:spacing w:line="440" w:lineRule="exact"/>
        <w:ind w:firstLine="476" w:firstLineChars="200"/>
        <w:jc w:val="both"/>
        <w:rPr>
          <w:rFonts w:ascii="Times New Roman" w:hAnsi="Times New Roman" w:cs="Times New Roman"/>
          <w:b/>
          <w:bCs/>
          <w:color w:val="auto"/>
          <w:w w:val="99"/>
          <w:kern w:val="2"/>
          <w:highlight w:val="none"/>
        </w:rPr>
      </w:pPr>
      <w:r>
        <w:rPr>
          <w:rFonts w:ascii="Times New Roman" w:hAnsi="Times New Roman" w:cs="Times New Roman"/>
          <w:b/>
          <w:bCs/>
          <w:color w:val="auto"/>
          <w:w w:val="99"/>
          <w:kern w:val="2"/>
          <w:highlight w:val="none"/>
        </w:rPr>
        <w:t>表</w:t>
      </w:r>
      <w:r>
        <w:rPr>
          <w:rFonts w:hint="eastAsia" w:ascii="Times New Roman" w:hAnsi="Times New Roman" w:cs="Times New Roman"/>
          <w:b/>
          <w:bCs/>
          <w:color w:val="auto"/>
          <w:w w:val="99"/>
          <w:kern w:val="2"/>
          <w:highlight w:val="none"/>
        </w:rPr>
        <w:t>3.10</w:t>
      </w:r>
      <w:r>
        <w:rPr>
          <w:rFonts w:ascii="Times New Roman" w:hAnsi="Times New Roman" w:cs="Times New Roman"/>
          <w:b/>
          <w:bCs/>
          <w:color w:val="auto"/>
          <w:w w:val="99"/>
          <w:kern w:val="2"/>
          <w:highlight w:val="none"/>
        </w:rPr>
        <w:t>-</w:t>
      </w:r>
      <w:r>
        <w:rPr>
          <w:rFonts w:hint="eastAsia" w:ascii="Times New Roman" w:hAnsi="Times New Roman" w:cs="Times New Roman"/>
          <w:b/>
          <w:bCs/>
          <w:color w:val="auto"/>
          <w:w w:val="99"/>
          <w:kern w:val="2"/>
          <w:highlight w:val="none"/>
        </w:rPr>
        <w:t>9</w:t>
      </w:r>
      <w:r>
        <w:rPr>
          <w:rFonts w:ascii="Times New Roman" w:hAnsi="Times New Roman" w:cs="Times New Roman"/>
          <w:b/>
          <w:bCs/>
          <w:color w:val="auto"/>
          <w:w w:val="99"/>
          <w:kern w:val="2"/>
          <w:highlight w:val="none"/>
        </w:rPr>
        <w:t xml:space="preserve">  </w:t>
      </w:r>
      <w:r>
        <w:rPr>
          <w:rFonts w:hint="eastAsia" w:ascii="Times New Roman" w:hAnsi="Times New Roman" w:cs="Times New Roman"/>
          <w:b/>
          <w:bCs/>
          <w:color w:val="auto"/>
          <w:w w:val="99"/>
          <w:kern w:val="2"/>
          <w:highlight w:val="none"/>
        </w:rPr>
        <w:t>退役期</w:t>
      </w:r>
      <w:r>
        <w:rPr>
          <w:rFonts w:ascii="Times New Roman" w:hAnsi="Times New Roman" w:cs="Times New Roman"/>
          <w:b/>
          <w:bCs/>
          <w:color w:val="auto"/>
          <w:w w:val="99"/>
          <w:kern w:val="2"/>
          <w:highlight w:val="none"/>
        </w:rPr>
        <w:t>施工机械噪声统计表  单位：dB（A）</w:t>
      </w:r>
    </w:p>
    <w:tbl>
      <w:tblPr>
        <w:tblStyle w:val="81"/>
        <w:tblW w:w="4996"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autofit"/>
        <w:tblCellMar>
          <w:top w:w="0" w:type="dxa"/>
          <w:left w:w="108" w:type="dxa"/>
          <w:bottom w:w="0" w:type="dxa"/>
          <w:right w:w="108" w:type="dxa"/>
        </w:tblCellMar>
      </w:tblPr>
      <w:tblGrid>
        <w:gridCol w:w="3509"/>
        <w:gridCol w:w="2885"/>
        <w:gridCol w:w="2885"/>
      </w:tblGrid>
      <w:tr w14:paraId="3F8C15A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PrEx>
        <w:trPr>
          <w:trHeight w:val="20" w:hRule="atLeast"/>
          <w:jc w:val="center"/>
        </w:trPr>
        <w:tc>
          <w:tcPr>
            <w:tcW w:w="1891" w:type="pct"/>
            <w:vAlign w:val="center"/>
          </w:tcPr>
          <w:p w14:paraId="4DEA8EF7">
            <w:pPr>
              <w:widowControl w:val="0"/>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设备名称</w:t>
            </w:r>
          </w:p>
        </w:tc>
        <w:tc>
          <w:tcPr>
            <w:tcW w:w="1554" w:type="pct"/>
            <w:vAlign w:val="center"/>
          </w:tcPr>
          <w:p w14:paraId="3A7B81E2">
            <w:pPr>
              <w:widowControl w:val="0"/>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距声源（m）</w:t>
            </w:r>
          </w:p>
        </w:tc>
        <w:tc>
          <w:tcPr>
            <w:tcW w:w="1554" w:type="pct"/>
            <w:vAlign w:val="center"/>
          </w:tcPr>
          <w:p w14:paraId="2F328103">
            <w:pPr>
              <w:widowControl w:val="0"/>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噪声值dB（A）</w:t>
            </w:r>
          </w:p>
        </w:tc>
      </w:tr>
      <w:tr w14:paraId="67230EB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891" w:type="pct"/>
            <w:vAlign w:val="center"/>
          </w:tcPr>
          <w:p w14:paraId="7C26642D">
            <w:pPr>
              <w:widowControl w:val="0"/>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挖掘机</w:t>
            </w:r>
          </w:p>
        </w:tc>
        <w:tc>
          <w:tcPr>
            <w:tcW w:w="1554" w:type="pct"/>
            <w:vAlign w:val="center"/>
          </w:tcPr>
          <w:p w14:paraId="67DE165F">
            <w:pPr>
              <w:widowControl w:val="0"/>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5</w:t>
            </w:r>
          </w:p>
        </w:tc>
        <w:tc>
          <w:tcPr>
            <w:tcW w:w="1554" w:type="pct"/>
            <w:vAlign w:val="center"/>
          </w:tcPr>
          <w:p w14:paraId="4E0D1673">
            <w:pPr>
              <w:widowControl w:val="0"/>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82-90</w:t>
            </w:r>
          </w:p>
        </w:tc>
      </w:tr>
      <w:tr w14:paraId="54C535C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52" w:hRule="atLeast"/>
          <w:jc w:val="center"/>
        </w:trPr>
        <w:tc>
          <w:tcPr>
            <w:tcW w:w="1891" w:type="pct"/>
            <w:vAlign w:val="center"/>
          </w:tcPr>
          <w:p w14:paraId="46F98E7A">
            <w:pPr>
              <w:widowControl w:val="0"/>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吊装机</w:t>
            </w:r>
          </w:p>
        </w:tc>
        <w:tc>
          <w:tcPr>
            <w:tcW w:w="1554" w:type="pct"/>
            <w:vAlign w:val="center"/>
          </w:tcPr>
          <w:p w14:paraId="6EDBB708">
            <w:pPr>
              <w:widowControl w:val="0"/>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5</w:t>
            </w:r>
          </w:p>
        </w:tc>
        <w:tc>
          <w:tcPr>
            <w:tcW w:w="1554" w:type="pct"/>
            <w:vAlign w:val="center"/>
          </w:tcPr>
          <w:p w14:paraId="7E09B081">
            <w:pPr>
              <w:widowControl w:val="0"/>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80-86</w:t>
            </w:r>
          </w:p>
        </w:tc>
      </w:tr>
      <w:tr w14:paraId="31EC398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52" w:hRule="atLeast"/>
          <w:jc w:val="center"/>
        </w:trPr>
        <w:tc>
          <w:tcPr>
            <w:tcW w:w="1891" w:type="pct"/>
            <w:vAlign w:val="center"/>
          </w:tcPr>
          <w:p w14:paraId="2CAD094E">
            <w:pPr>
              <w:widowControl w:val="0"/>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推土机</w:t>
            </w:r>
          </w:p>
        </w:tc>
        <w:tc>
          <w:tcPr>
            <w:tcW w:w="1554" w:type="pct"/>
            <w:vAlign w:val="center"/>
          </w:tcPr>
          <w:p w14:paraId="054AD267">
            <w:pPr>
              <w:widowControl w:val="0"/>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5</w:t>
            </w:r>
          </w:p>
        </w:tc>
        <w:tc>
          <w:tcPr>
            <w:tcW w:w="1554" w:type="pct"/>
            <w:vAlign w:val="center"/>
          </w:tcPr>
          <w:p w14:paraId="22765D76">
            <w:pPr>
              <w:widowControl w:val="0"/>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83-88</w:t>
            </w:r>
          </w:p>
        </w:tc>
      </w:tr>
      <w:tr w14:paraId="23531A4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52" w:hRule="atLeast"/>
          <w:jc w:val="center"/>
        </w:trPr>
        <w:tc>
          <w:tcPr>
            <w:tcW w:w="1891" w:type="pct"/>
            <w:vAlign w:val="center"/>
          </w:tcPr>
          <w:p w14:paraId="4E66E833">
            <w:pPr>
              <w:widowControl w:val="0"/>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重型运输车</w:t>
            </w:r>
          </w:p>
        </w:tc>
        <w:tc>
          <w:tcPr>
            <w:tcW w:w="1554" w:type="pct"/>
            <w:vAlign w:val="center"/>
          </w:tcPr>
          <w:p w14:paraId="5CE6BA4D">
            <w:pPr>
              <w:widowControl w:val="0"/>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5</w:t>
            </w:r>
          </w:p>
        </w:tc>
        <w:tc>
          <w:tcPr>
            <w:tcW w:w="1554" w:type="pct"/>
            <w:vAlign w:val="center"/>
          </w:tcPr>
          <w:p w14:paraId="1A860AA5">
            <w:pPr>
              <w:widowControl w:val="0"/>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82-90</w:t>
            </w:r>
          </w:p>
        </w:tc>
      </w:tr>
    </w:tbl>
    <w:p w14:paraId="46241ACA">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（4）</w:t>
      </w:r>
      <w:r>
        <w:rPr>
          <w:rFonts w:ascii="Times New Roman" w:hAnsi="Times New Roman" w:cs="Times New Roman"/>
          <w:color w:val="auto"/>
          <w:w w:val="99"/>
          <w:kern w:val="2"/>
          <w:highlight w:val="none"/>
        </w:rPr>
        <w:t>固体废物</w:t>
      </w:r>
    </w:p>
    <w:p w14:paraId="7224A107">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退役期</w:t>
      </w:r>
      <w:r>
        <w:rPr>
          <w:rFonts w:ascii="Times New Roman" w:hAnsi="Times New Roman" w:cs="Times New Roman"/>
          <w:color w:val="auto"/>
          <w:w w:val="99"/>
          <w:kern w:val="2"/>
          <w:highlight w:val="none"/>
        </w:rPr>
        <w:t>固体废物主要为</w:t>
      </w:r>
      <w:r>
        <w:rPr>
          <w:rFonts w:hint="eastAsia" w:ascii="Times New Roman" w:hAnsi="Times New Roman" w:cs="Times New Roman"/>
          <w:color w:val="auto"/>
          <w:w w:val="99"/>
          <w:kern w:val="2"/>
          <w:highlight w:val="none"/>
        </w:rPr>
        <w:t>封井垃圾、拆除废旧设备、含油废防渗布、生活垃圾。</w:t>
      </w:r>
    </w:p>
    <w:p w14:paraId="02428E18">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①拆除废旧设备</w:t>
      </w:r>
    </w:p>
    <w:p w14:paraId="4E51EEA2">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若本次投产的1口气井全部退役，则拆除的气井装置等回收至采气分公司</w:t>
      </w:r>
      <w:r>
        <w:rPr>
          <w:rFonts w:ascii="Times New Roman" w:hAnsi="Times New Roman" w:cs="Times New Roman"/>
          <w:color w:val="auto"/>
          <w:w w:val="99"/>
          <w:kern w:val="2"/>
          <w:highlight w:val="none"/>
        </w:rPr>
        <w:t>资产回收库</w:t>
      </w:r>
      <w:r>
        <w:rPr>
          <w:rFonts w:hint="eastAsia" w:ascii="Times New Roman" w:hAnsi="Times New Roman" w:cs="Times New Roman"/>
          <w:color w:val="auto"/>
          <w:w w:val="99"/>
          <w:kern w:val="2"/>
          <w:highlight w:val="none"/>
        </w:rPr>
        <w:t>。</w:t>
      </w:r>
    </w:p>
    <w:p w14:paraId="383C945F">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②含油废防渗布</w:t>
      </w:r>
    </w:p>
    <w:p w14:paraId="0714D0FD">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拆除施工时井场铺设防渗布，</w:t>
      </w:r>
      <w:r>
        <w:rPr>
          <w:rFonts w:ascii="Times New Roman" w:hAnsi="Times New Roman" w:cs="Times New Roman"/>
          <w:color w:val="auto"/>
          <w:w w:val="99"/>
          <w:kern w:val="2"/>
          <w:highlight w:val="none"/>
        </w:rPr>
        <w:t>根据大庆油</w:t>
      </w:r>
      <w:r>
        <w:rPr>
          <w:rFonts w:hint="eastAsia" w:ascii="Times New Roman" w:hAnsi="Times New Roman" w:cs="Times New Roman"/>
          <w:color w:val="auto"/>
          <w:w w:val="99"/>
          <w:kern w:val="2"/>
          <w:highlight w:val="none"/>
        </w:rPr>
        <w:t>气</w:t>
      </w:r>
      <w:r>
        <w:rPr>
          <w:rFonts w:ascii="Times New Roman" w:hAnsi="Times New Roman" w:cs="Times New Roman"/>
          <w:color w:val="auto"/>
          <w:w w:val="99"/>
          <w:kern w:val="2"/>
          <w:highlight w:val="none"/>
        </w:rPr>
        <w:t>田已有生产经验，单块防渗布重量按250kg（12m×12m）计，平均每口井作业用</w:t>
      </w:r>
      <w:r>
        <w:rPr>
          <w:rFonts w:hint="eastAsia" w:ascii="Times New Roman" w:hAnsi="Times New Roman" w:cs="Times New Roman"/>
          <w:color w:val="auto"/>
          <w:w w:val="99"/>
          <w:kern w:val="2"/>
          <w:highlight w:val="none"/>
        </w:rPr>
        <w:t>3</w:t>
      </w:r>
      <w:r>
        <w:rPr>
          <w:rFonts w:ascii="Times New Roman" w:hAnsi="Times New Roman" w:cs="Times New Roman"/>
          <w:color w:val="auto"/>
          <w:w w:val="99"/>
          <w:kern w:val="2"/>
          <w:highlight w:val="none"/>
        </w:rPr>
        <w:t>块，</w:t>
      </w:r>
      <w:r>
        <w:rPr>
          <w:rFonts w:hint="eastAsia" w:ascii="Times New Roman" w:hAnsi="Times New Roman" w:cs="Times New Roman"/>
          <w:color w:val="auto"/>
          <w:w w:val="99"/>
          <w:kern w:val="2"/>
          <w:highlight w:val="none"/>
        </w:rPr>
        <w:t>防渗布可能滴落含烃废水，退役期含油废防渗布最大产生量约0.75t。</w:t>
      </w:r>
    </w:p>
    <w:p w14:paraId="44A23088">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根据《国家危险废物名录（202</w:t>
      </w:r>
      <w:r>
        <w:rPr>
          <w:rFonts w:hint="eastAsia" w:ascii="Times New Roman" w:hAnsi="Times New Roman" w:cs="Times New Roman"/>
          <w:color w:val="auto"/>
          <w:w w:val="99"/>
          <w:kern w:val="2"/>
          <w:highlight w:val="none"/>
        </w:rPr>
        <w:t>5</w:t>
      </w:r>
      <w:r>
        <w:rPr>
          <w:rFonts w:ascii="Times New Roman" w:hAnsi="Times New Roman" w:cs="Times New Roman"/>
          <w:color w:val="auto"/>
          <w:w w:val="99"/>
          <w:kern w:val="2"/>
          <w:highlight w:val="none"/>
        </w:rPr>
        <w:t>年版）》，含油废弃防渗布为危险废物，类别为HW08废矿物油与含矿物油废物，危废代码为900-249-08其他生产、销售、使用过程中产生的废矿物油及沾染矿物油的废弃包装物。含油废防渗布在作业结束后，由施工单位运至采气分公司危险废物贮存库，委托</w:t>
      </w:r>
      <w:r>
        <w:rPr>
          <w:rFonts w:hint="eastAsia" w:ascii="Times New Roman" w:hAnsi="Times New Roman" w:cs="Times New Roman"/>
          <w:color w:val="auto"/>
          <w:w w:val="99"/>
          <w:kern w:val="2"/>
          <w:highlight w:val="none"/>
        </w:rPr>
        <w:t>有资质单位</w:t>
      </w:r>
      <w:r>
        <w:rPr>
          <w:rFonts w:ascii="Times New Roman" w:hAnsi="Times New Roman" w:cs="Times New Roman"/>
          <w:color w:val="auto"/>
          <w:w w:val="99"/>
          <w:kern w:val="2"/>
          <w:highlight w:val="none"/>
        </w:rPr>
        <w:t>转运处置</w:t>
      </w:r>
      <w:r>
        <w:rPr>
          <w:rFonts w:hint="eastAsia" w:ascii="Times New Roman" w:hAnsi="Times New Roman" w:cs="Times New Roman"/>
          <w:color w:val="auto"/>
          <w:w w:val="99"/>
          <w:kern w:val="2"/>
          <w:highlight w:val="none"/>
        </w:rPr>
        <w:t>。</w:t>
      </w:r>
    </w:p>
    <w:p w14:paraId="1D2CBB35">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③封井垃圾</w:t>
      </w:r>
    </w:p>
    <w:p w14:paraId="5816A603">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本</w:t>
      </w:r>
      <w:r>
        <w:rPr>
          <w:rFonts w:ascii="Times New Roman" w:hAnsi="Times New Roman" w:cs="Times New Roman"/>
          <w:color w:val="auto"/>
          <w:w w:val="99"/>
          <w:kern w:val="2"/>
          <w:highlight w:val="none"/>
        </w:rPr>
        <w:t>项目</w:t>
      </w:r>
      <w:r>
        <w:rPr>
          <w:rFonts w:hint="eastAsia" w:ascii="Times New Roman" w:hAnsi="Times New Roman" w:cs="Times New Roman"/>
          <w:color w:val="auto"/>
          <w:w w:val="99"/>
          <w:kern w:val="2"/>
          <w:highlight w:val="none"/>
        </w:rPr>
        <w:t>退役期</w:t>
      </w:r>
      <w:r>
        <w:rPr>
          <w:rFonts w:ascii="Times New Roman" w:hAnsi="Times New Roman" w:cs="Times New Roman"/>
          <w:color w:val="auto"/>
          <w:w w:val="99"/>
          <w:kern w:val="2"/>
          <w:highlight w:val="none"/>
        </w:rPr>
        <w:t>井场地面设施拆除、场地清理过程会产生少量</w:t>
      </w:r>
      <w:r>
        <w:rPr>
          <w:rFonts w:hint="eastAsia" w:ascii="Times New Roman" w:hAnsi="Times New Roman" w:cs="Times New Roman"/>
          <w:color w:val="auto"/>
          <w:w w:val="99"/>
          <w:kern w:val="2"/>
          <w:highlight w:val="none"/>
        </w:rPr>
        <w:t>固废</w:t>
      </w:r>
      <w:r>
        <w:rPr>
          <w:rFonts w:ascii="Times New Roman" w:hAnsi="Times New Roman" w:cs="Times New Roman"/>
          <w:color w:val="auto"/>
          <w:w w:val="99"/>
          <w:kern w:val="2"/>
          <w:highlight w:val="none"/>
        </w:rPr>
        <w:t>，根据大庆油</w:t>
      </w:r>
      <w:r>
        <w:rPr>
          <w:rFonts w:hint="eastAsia" w:ascii="Times New Roman" w:hAnsi="Times New Roman" w:cs="Times New Roman"/>
          <w:color w:val="auto"/>
          <w:w w:val="99"/>
          <w:kern w:val="2"/>
          <w:highlight w:val="none"/>
        </w:rPr>
        <w:t>气</w:t>
      </w:r>
      <w:r>
        <w:rPr>
          <w:rFonts w:ascii="Times New Roman" w:hAnsi="Times New Roman" w:cs="Times New Roman"/>
          <w:color w:val="auto"/>
          <w:w w:val="99"/>
          <w:kern w:val="2"/>
          <w:highlight w:val="none"/>
        </w:rPr>
        <w:t>田已有生产经验，</w:t>
      </w:r>
      <w:r>
        <w:rPr>
          <w:rFonts w:hint="eastAsia" w:ascii="Times New Roman" w:hAnsi="Times New Roman" w:cs="Times New Roman"/>
          <w:color w:val="auto"/>
          <w:w w:val="99"/>
          <w:kern w:val="2"/>
          <w:highlight w:val="none"/>
        </w:rPr>
        <w:t>单井封井垃圾产生量为</w:t>
      </w:r>
      <w:r>
        <w:rPr>
          <w:rFonts w:ascii="Times New Roman" w:hAnsi="Times New Roman" w:cs="Times New Roman"/>
          <w:color w:val="auto"/>
          <w:w w:val="99"/>
          <w:kern w:val="2"/>
          <w:highlight w:val="none"/>
        </w:rPr>
        <w:t>0.2t</w:t>
      </w:r>
      <w:r>
        <w:rPr>
          <w:rFonts w:hint="eastAsia" w:ascii="Times New Roman" w:hAnsi="Times New Roman" w:cs="Times New Roman"/>
          <w:color w:val="auto"/>
          <w:w w:val="99"/>
          <w:kern w:val="2"/>
          <w:highlight w:val="none"/>
        </w:rPr>
        <w:t>，若本次投产的1口气井退役，则封井垃圾</w:t>
      </w:r>
      <w:r>
        <w:rPr>
          <w:rFonts w:ascii="Times New Roman" w:hAnsi="Times New Roman" w:cs="Times New Roman"/>
          <w:color w:val="auto"/>
          <w:w w:val="99"/>
          <w:kern w:val="2"/>
          <w:highlight w:val="none"/>
        </w:rPr>
        <w:t>产生量约为</w:t>
      </w:r>
      <w:r>
        <w:rPr>
          <w:rFonts w:hint="eastAsia" w:ascii="Times New Roman" w:hAnsi="Times New Roman" w:cs="Times New Roman"/>
          <w:color w:val="auto"/>
          <w:w w:val="99"/>
          <w:kern w:val="2"/>
          <w:highlight w:val="none"/>
        </w:rPr>
        <w:t>0.2</w:t>
      </w:r>
      <w:r>
        <w:rPr>
          <w:rFonts w:ascii="Times New Roman" w:hAnsi="Times New Roman" w:cs="Times New Roman"/>
          <w:color w:val="auto"/>
          <w:w w:val="99"/>
          <w:kern w:val="2"/>
          <w:highlight w:val="none"/>
        </w:rPr>
        <w:t>t</w:t>
      </w:r>
      <w:r>
        <w:rPr>
          <w:rFonts w:hint="eastAsia" w:ascii="Times New Roman" w:hAnsi="Times New Roman" w:cs="Times New Roman"/>
          <w:color w:val="auto"/>
          <w:w w:val="99"/>
          <w:kern w:val="2"/>
          <w:highlight w:val="none"/>
        </w:rPr>
        <w:t>，收集后由施工单位清运至建筑垃圾调配场处理</w:t>
      </w:r>
      <w:r>
        <w:rPr>
          <w:rFonts w:ascii="Times New Roman" w:hAnsi="Times New Roman" w:cs="Times New Roman"/>
          <w:color w:val="auto"/>
          <w:w w:val="99"/>
          <w:kern w:val="2"/>
          <w:highlight w:val="none"/>
        </w:rPr>
        <w:t>。</w:t>
      </w:r>
    </w:p>
    <w:p w14:paraId="77EB9F0C">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④</w:t>
      </w:r>
      <w:r>
        <w:rPr>
          <w:rFonts w:ascii="Times New Roman" w:hAnsi="Times New Roman" w:cs="Times New Roman"/>
          <w:color w:val="auto"/>
          <w:w w:val="99"/>
          <w:kern w:val="2"/>
          <w:highlight w:val="none"/>
        </w:rPr>
        <w:t>生活垃圾</w:t>
      </w:r>
    </w:p>
    <w:p w14:paraId="25418706">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退役期施工人员约20人，施工期约5d，每人产生生活垃圾按0.5kg/d计，则退役期间施工人员产生的生活垃圾为0.05t（20×5×0.5×10</w:t>
      </w:r>
      <w:r>
        <w:rPr>
          <w:rFonts w:hint="eastAsia" w:ascii="Times New Roman" w:hAnsi="Times New Roman" w:cs="Times New Roman"/>
          <w:color w:val="auto"/>
          <w:w w:val="99"/>
          <w:kern w:val="2"/>
          <w:highlight w:val="none"/>
          <w:vertAlign w:val="superscript"/>
        </w:rPr>
        <w:t>-3</w:t>
      </w:r>
      <w:r>
        <w:rPr>
          <w:rFonts w:hint="eastAsia" w:ascii="Times New Roman" w:hAnsi="Times New Roman" w:cs="Times New Roman"/>
          <w:color w:val="auto"/>
          <w:w w:val="99"/>
          <w:kern w:val="2"/>
          <w:highlight w:val="none"/>
        </w:rPr>
        <w:t>=0.05）；</w:t>
      </w:r>
      <w:r>
        <w:rPr>
          <w:rFonts w:ascii="Times New Roman" w:hAnsi="Times New Roman" w:cs="Times New Roman"/>
          <w:color w:val="auto"/>
          <w:w w:val="99"/>
          <w:kern w:val="2"/>
          <w:highlight w:val="none"/>
        </w:rPr>
        <w:t>生活垃圾统一收集后拉运至</w:t>
      </w:r>
      <w:r>
        <w:rPr>
          <w:rFonts w:hint="eastAsia" w:ascii="Times New Roman" w:hAnsi="Times New Roman" w:cs="Times New Roman"/>
          <w:color w:val="auto"/>
          <w:w w:val="99"/>
          <w:kern w:val="2"/>
          <w:highlight w:val="none"/>
        </w:rPr>
        <w:t>肇东北控环境再生能源有限公司</w:t>
      </w:r>
      <w:r>
        <w:rPr>
          <w:rFonts w:ascii="Times New Roman" w:hAnsi="Times New Roman" w:cs="Times New Roman"/>
          <w:color w:val="auto"/>
          <w:w w:val="99"/>
          <w:kern w:val="2"/>
          <w:highlight w:val="none"/>
        </w:rPr>
        <w:t>处理</w:t>
      </w:r>
      <w:r>
        <w:rPr>
          <w:rFonts w:hint="eastAsia" w:ascii="Times New Roman" w:hAnsi="Times New Roman" w:cs="Times New Roman"/>
          <w:color w:val="auto"/>
          <w:w w:val="99"/>
          <w:kern w:val="2"/>
          <w:highlight w:val="none"/>
        </w:rPr>
        <w:t>。</w:t>
      </w:r>
    </w:p>
    <w:p w14:paraId="5DE5A7CD">
      <w:pPr>
        <w:widowControl w:val="0"/>
        <w:spacing w:line="440" w:lineRule="exact"/>
        <w:ind w:firstLine="476" w:firstLineChars="200"/>
        <w:jc w:val="both"/>
        <w:rPr>
          <w:rFonts w:ascii="Times New Roman" w:hAnsi="Times New Roman" w:cs="Times New Roman"/>
          <w:color w:val="auto"/>
          <w:w w:val="99"/>
          <w:kern w:val="2"/>
          <w:highlight w:val="none"/>
        </w:rPr>
      </w:pPr>
      <w:r>
        <w:rPr>
          <w:rFonts w:ascii="Times New Roman" w:hAnsi="Times New Roman" w:cs="Times New Roman"/>
          <w:b/>
          <w:color w:val="auto"/>
          <w:w w:val="99"/>
          <w:kern w:val="2"/>
          <w:highlight w:val="none"/>
        </w:rPr>
        <w:t>表</w:t>
      </w:r>
      <w:r>
        <w:rPr>
          <w:rFonts w:hint="eastAsia" w:ascii="Times New Roman" w:hAnsi="Times New Roman" w:cs="Times New Roman"/>
          <w:b/>
          <w:color w:val="auto"/>
          <w:w w:val="99"/>
          <w:kern w:val="2"/>
          <w:highlight w:val="none"/>
        </w:rPr>
        <w:t>3.10</w:t>
      </w:r>
      <w:r>
        <w:rPr>
          <w:rFonts w:ascii="Times New Roman" w:hAnsi="Times New Roman" w:cs="Times New Roman"/>
          <w:b/>
          <w:color w:val="auto"/>
          <w:w w:val="99"/>
          <w:kern w:val="2"/>
          <w:highlight w:val="none"/>
        </w:rPr>
        <w:t>-1</w:t>
      </w:r>
      <w:r>
        <w:rPr>
          <w:rFonts w:hint="eastAsia" w:ascii="Times New Roman" w:hAnsi="Times New Roman" w:cs="Times New Roman"/>
          <w:b/>
          <w:color w:val="auto"/>
          <w:w w:val="99"/>
          <w:kern w:val="2"/>
          <w:highlight w:val="none"/>
        </w:rPr>
        <w:t>0</w:t>
      </w:r>
      <w:r>
        <w:rPr>
          <w:rFonts w:ascii="Times New Roman" w:hAnsi="Times New Roman" w:cs="Times New Roman"/>
          <w:b/>
          <w:color w:val="auto"/>
          <w:w w:val="99"/>
          <w:kern w:val="2"/>
          <w:highlight w:val="none"/>
        </w:rPr>
        <w:t xml:space="preserve">    本项目退役期固体废物产生量统计表</w:t>
      </w:r>
    </w:p>
    <w:tbl>
      <w:tblPr>
        <w:tblStyle w:val="8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96"/>
        <w:gridCol w:w="1389"/>
        <w:gridCol w:w="1190"/>
        <w:gridCol w:w="1135"/>
        <w:gridCol w:w="5076"/>
      </w:tblGrid>
      <w:tr w14:paraId="09B823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67" w:type="pct"/>
            <w:vAlign w:val="center"/>
          </w:tcPr>
          <w:p w14:paraId="4E634D45">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序号</w:t>
            </w:r>
          </w:p>
        </w:tc>
        <w:tc>
          <w:tcPr>
            <w:tcW w:w="748" w:type="pct"/>
            <w:vAlign w:val="center"/>
          </w:tcPr>
          <w:p w14:paraId="52983C30">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污染物名称</w:t>
            </w:r>
          </w:p>
        </w:tc>
        <w:tc>
          <w:tcPr>
            <w:tcW w:w="641" w:type="pct"/>
            <w:vAlign w:val="center"/>
          </w:tcPr>
          <w:p w14:paraId="3549DB66">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产生量</w:t>
            </w:r>
          </w:p>
        </w:tc>
        <w:tc>
          <w:tcPr>
            <w:tcW w:w="611" w:type="pct"/>
            <w:vAlign w:val="center"/>
          </w:tcPr>
          <w:p w14:paraId="6D72A959">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废物类型</w:t>
            </w:r>
          </w:p>
        </w:tc>
        <w:tc>
          <w:tcPr>
            <w:tcW w:w="2734" w:type="pct"/>
            <w:vAlign w:val="center"/>
          </w:tcPr>
          <w:p w14:paraId="62D7BE9B">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处置去向</w:t>
            </w:r>
          </w:p>
        </w:tc>
      </w:tr>
      <w:tr w14:paraId="46D0D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7" w:type="pct"/>
            <w:vAlign w:val="center"/>
          </w:tcPr>
          <w:p w14:paraId="7828E5F4">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1</w:t>
            </w:r>
          </w:p>
        </w:tc>
        <w:tc>
          <w:tcPr>
            <w:tcW w:w="748" w:type="pct"/>
            <w:vAlign w:val="center"/>
          </w:tcPr>
          <w:p w14:paraId="540AC597">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废旧设备</w:t>
            </w:r>
          </w:p>
        </w:tc>
        <w:tc>
          <w:tcPr>
            <w:tcW w:w="641" w:type="pct"/>
            <w:vAlign w:val="center"/>
          </w:tcPr>
          <w:p w14:paraId="3C4B06C0">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1</w:t>
            </w:r>
            <w:r>
              <w:rPr>
                <w:rFonts w:ascii="Times New Roman" w:hAnsi="Times New Roman" w:cs="Times New Roman"/>
                <w:color w:val="auto"/>
                <w:w w:val="99"/>
                <w:kern w:val="2"/>
                <w:sz w:val="21"/>
                <w:szCs w:val="21"/>
                <w:highlight w:val="none"/>
              </w:rPr>
              <w:t>台套</w:t>
            </w:r>
          </w:p>
        </w:tc>
        <w:tc>
          <w:tcPr>
            <w:tcW w:w="611" w:type="pct"/>
            <w:vAlign w:val="center"/>
          </w:tcPr>
          <w:p w14:paraId="254EC5E0">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一般废物</w:t>
            </w:r>
          </w:p>
        </w:tc>
        <w:tc>
          <w:tcPr>
            <w:tcW w:w="2734" w:type="pct"/>
            <w:vAlign w:val="center"/>
          </w:tcPr>
          <w:p w14:paraId="5A09D8D9">
            <w:pPr>
              <w:widowControl w:val="0"/>
              <w:adjustRightInd w:val="0"/>
              <w:snapToGrid w:val="0"/>
              <w:spacing w:line="320" w:lineRule="exact"/>
              <w:jc w:val="both"/>
              <w:rPr>
                <w:rFonts w:ascii="Times New Roman" w:hAnsi="Times New Roman" w:cs="Times New Roman"/>
                <w:color w:val="auto"/>
                <w:w w:val="99"/>
                <w:kern w:val="2"/>
                <w:sz w:val="21"/>
                <w:szCs w:val="21"/>
                <w:highlight w:val="none"/>
              </w:rPr>
            </w:pPr>
            <w:r>
              <w:rPr>
                <w:rFonts w:ascii="Times New Roman" w:hAnsi="Times New Roman" w:cs="Times New Roman"/>
                <w:bCs/>
                <w:color w:val="auto"/>
                <w:w w:val="99"/>
                <w:kern w:val="2"/>
                <w:sz w:val="21"/>
                <w:szCs w:val="21"/>
                <w:highlight w:val="none"/>
              </w:rPr>
              <w:t>全部</w:t>
            </w:r>
            <w:r>
              <w:rPr>
                <w:rFonts w:ascii="Times New Roman" w:hAnsi="Times New Roman" w:cs="Times New Roman"/>
                <w:color w:val="auto"/>
                <w:w w:val="99"/>
                <w:kern w:val="2"/>
                <w:sz w:val="21"/>
                <w:szCs w:val="21"/>
                <w:highlight w:val="none"/>
              </w:rPr>
              <w:t>回收至</w:t>
            </w:r>
            <w:r>
              <w:rPr>
                <w:rFonts w:hint="eastAsia" w:ascii="Times New Roman" w:hAnsi="Times New Roman" w:cs="Times New Roman"/>
                <w:color w:val="auto"/>
                <w:w w:val="99"/>
                <w:kern w:val="2"/>
                <w:sz w:val="21"/>
                <w:szCs w:val="21"/>
                <w:highlight w:val="none"/>
              </w:rPr>
              <w:t>采气分公司</w:t>
            </w:r>
            <w:r>
              <w:rPr>
                <w:rFonts w:ascii="Times New Roman" w:hAnsi="Times New Roman" w:cs="Times New Roman"/>
                <w:color w:val="auto"/>
                <w:w w:val="99"/>
                <w:kern w:val="2"/>
                <w:sz w:val="21"/>
                <w:szCs w:val="21"/>
                <w:highlight w:val="none"/>
              </w:rPr>
              <w:t>物资库</w:t>
            </w:r>
          </w:p>
        </w:tc>
      </w:tr>
      <w:tr w14:paraId="57300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7" w:type="pct"/>
            <w:vAlign w:val="center"/>
          </w:tcPr>
          <w:p w14:paraId="5515F2AA">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2</w:t>
            </w:r>
          </w:p>
        </w:tc>
        <w:tc>
          <w:tcPr>
            <w:tcW w:w="748" w:type="pct"/>
            <w:vAlign w:val="center"/>
          </w:tcPr>
          <w:p w14:paraId="460B40F8">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封井建筑垃圾</w:t>
            </w:r>
          </w:p>
        </w:tc>
        <w:tc>
          <w:tcPr>
            <w:tcW w:w="641" w:type="pct"/>
            <w:vAlign w:val="center"/>
          </w:tcPr>
          <w:p w14:paraId="38C8426F">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0.2</w:t>
            </w:r>
            <w:r>
              <w:rPr>
                <w:rFonts w:ascii="Times New Roman" w:hAnsi="Times New Roman" w:cs="Times New Roman"/>
                <w:color w:val="auto"/>
                <w:w w:val="99"/>
                <w:kern w:val="2"/>
                <w:sz w:val="21"/>
                <w:szCs w:val="21"/>
                <w:highlight w:val="none"/>
              </w:rPr>
              <w:t>t</w:t>
            </w:r>
          </w:p>
        </w:tc>
        <w:tc>
          <w:tcPr>
            <w:tcW w:w="611" w:type="pct"/>
            <w:vAlign w:val="center"/>
          </w:tcPr>
          <w:p w14:paraId="75A97C14">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w:t>
            </w:r>
          </w:p>
        </w:tc>
        <w:tc>
          <w:tcPr>
            <w:tcW w:w="2734" w:type="pct"/>
            <w:vAlign w:val="center"/>
          </w:tcPr>
          <w:p w14:paraId="020A10B8">
            <w:pPr>
              <w:widowControl w:val="0"/>
              <w:adjustRightInd w:val="0"/>
              <w:snapToGrid w:val="0"/>
              <w:spacing w:line="320" w:lineRule="exact"/>
              <w:jc w:val="both"/>
              <w:rPr>
                <w:rFonts w:ascii="Times New Roman" w:hAnsi="Times New Roman" w:cs="Times New Roman"/>
                <w:color w:val="auto"/>
                <w:w w:val="99"/>
                <w:kern w:val="2"/>
                <w:sz w:val="21"/>
                <w:szCs w:val="21"/>
                <w:highlight w:val="none"/>
              </w:rPr>
            </w:pPr>
            <w:r>
              <w:rPr>
                <w:rFonts w:ascii="Times New Roman" w:hAnsi="Times New Roman" w:cs="Times New Roman"/>
                <w:bCs/>
                <w:color w:val="auto"/>
                <w:w w:val="99"/>
                <w:kern w:val="2"/>
                <w:sz w:val="21"/>
                <w:szCs w:val="21"/>
                <w:highlight w:val="none"/>
              </w:rPr>
              <w:t>统一收集后由施工单位清运至建筑垃圾调配场处理</w:t>
            </w:r>
          </w:p>
        </w:tc>
      </w:tr>
      <w:tr w14:paraId="068D7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7" w:type="pct"/>
            <w:vAlign w:val="center"/>
          </w:tcPr>
          <w:p w14:paraId="67FAFA4F">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3</w:t>
            </w:r>
          </w:p>
        </w:tc>
        <w:tc>
          <w:tcPr>
            <w:tcW w:w="748" w:type="pct"/>
            <w:vAlign w:val="center"/>
          </w:tcPr>
          <w:p w14:paraId="2261A409">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生活垃圾</w:t>
            </w:r>
          </w:p>
        </w:tc>
        <w:tc>
          <w:tcPr>
            <w:tcW w:w="641" w:type="pct"/>
            <w:vAlign w:val="center"/>
          </w:tcPr>
          <w:p w14:paraId="16DEA000">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0.</w:t>
            </w:r>
            <w:r>
              <w:rPr>
                <w:rFonts w:hint="eastAsia" w:ascii="Times New Roman" w:hAnsi="Times New Roman" w:cs="Times New Roman"/>
                <w:color w:val="auto"/>
                <w:w w:val="99"/>
                <w:kern w:val="2"/>
                <w:sz w:val="21"/>
                <w:szCs w:val="21"/>
                <w:highlight w:val="none"/>
              </w:rPr>
              <w:t>05</w:t>
            </w:r>
            <w:r>
              <w:rPr>
                <w:rFonts w:ascii="Times New Roman" w:hAnsi="Times New Roman" w:cs="Times New Roman"/>
                <w:color w:val="auto"/>
                <w:w w:val="99"/>
                <w:kern w:val="2"/>
                <w:sz w:val="21"/>
                <w:szCs w:val="21"/>
                <w:highlight w:val="none"/>
              </w:rPr>
              <w:t>t</w:t>
            </w:r>
          </w:p>
        </w:tc>
        <w:tc>
          <w:tcPr>
            <w:tcW w:w="611" w:type="pct"/>
            <w:vAlign w:val="center"/>
          </w:tcPr>
          <w:p w14:paraId="75ACD259">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w:t>
            </w:r>
          </w:p>
        </w:tc>
        <w:tc>
          <w:tcPr>
            <w:tcW w:w="2734" w:type="pct"/>
            <w:vAlign w:val="center"/>
          </w:tcPr>
          <w:p w14:paraId="020EA2F0">
            <w:pPr>
              <w:widowControl w:val="0"/>
              <w:adjustRightInd w:val="0"/>
              <w:snapToGrid w:val="0"/>
              <w:spacing w:line="320" w:lineRule="exact"/>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统一收集后拉运至</w:t>
            </w:r>
            <w:r>
              <w:rPr>
                <w:rFonts w:hint="eastAsia" w:ascii="Times New Roman" w:hAnsi="Times New Roman" w:cs="Times New Roman"/>
                <w:color w:val="auto"/>
                <w:w w:val="99"/>
                <w:kern w:val="2"/>
                <w:sz w:val="21"/>
                <w:szCs w:val="21"/>
                <w:highlight w:val="none"/>
              </w:rPr>
              <w:t>肇东北控环境再生能源有限公司</w:t>
            </w:r>
            <w:r>
              <w:rPr>
                <w:rFonts w:ascii="Times New Roman" w:hAnsi="Times New Roman" w:cs="Times New Roman"/>
                <w:color w:val="auto"/>
                <w:w w:val="99"/>
                <w:kern w:val="2"/>
                <w:sz w:val="21"/>
                <w:szCs w:val="21"/>
                <w:highlight w:val="none"/>
              </w:rPr>
              <w:t>处理</w:t>
            </w:r>
          </w:p>
        </w:tc>
      </w:tr>
      <w:tr w14:paraId="42A22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7" w:type="pct"/>
            <w:vAlign w:val="center"/>
          </w:tcPr>
          <w:p w14:paraId="7BDCD9D0">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4</w:t>
            </w:r>
          </w:p>
        </w:tc>
        <w:tc>
          <w:tcPr>
            <w:tcW w:w="748" w:type="pct"/>
            <w:vAlign w:val="center"/>
          </w:tcPr>
          <w:p w14:paraId="629CEDA6">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含油废防渗布</w:t>
            </w:r>
          </w:p>
        </w:tc>
        <w:tc>
          <w:tcPr>
            <w:tcW w:w="641" w:type="pct"/>
            <w:vAlign w:val="center"/>
          </w:tcPr>
          <w:p w14:paraId="3955D5FE">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0.75</w:t>
            </w:r>
          </w:p>
        </w:tc>
        <w:tc>
          <w:tcPr>
            <w:tcW w:w="611" w:type="pct"/>
            <w:vAlign w:val="center"/>
          </w:tcPr>
          <w:p w14:paraId="2CFF3F33">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危险废物</w:t>
            </w:r>
          </w:p>
        </w:tc>
        <w:tc>
          <w:tcPr>
            <w:tcW w:w="2734" w:type="pct"/>
            <w:vAlign w:val="center"/>
          </w:tcPr>
          <w:p w14:paraId="57285DC5">
            <w:pPr>
              <w:widowControl w:val="0"/>
              <w:adjustRightInd w:val="0"/>
              <w:snapToGrid w:val="0"/>
              <w:spacing w:line="320" w:lineRule="exact"/>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在作业结束后，</w:t>
            </w:r>
            <w:r>
              <w:rPr>
                <w:rFonts w:hint="eastAsia" w:ascii="Times New Roman" w:hAnsi="Times New Roman" w:cs="Times New Roman"/>
                <w:color w:val="auto"/>
                <w:w w:val="99"/>
                <w:kern w:val="2"/>
                <w:sz w:val="21"/>
                <w:szCs w:val="21"/>
                <w:highlight w:val="none"/>
              </w:rPr>
              <w:t>由施工单位运至采气分公司危险废物贮存库，</w:t>
            </w:r>
            <w:r>
              <w:rPr>
                <w:rFonts w:ascii="Times New Roman" w:hAnsi="Times New Roman" w:cs="Times New Roman"/>
                <w:color w:val="auto"/>
                <w:w w:val="99"/>
                <w:kern w:val="2"/>
                <w:sz w:val="21"/>
                <w:szCs w:val="21"/>
                <w:highlight w:val="none"/>
              </w:rPr>
              <w:t>委托</w:t>
            </w:r>
            <w:r>
              <w:rPr>
                <w:rFonts w:hint="eastAsia" w:ascii="Times New Roman" w:hAnsi="Times New Roman" w:cs="Times New Roman"/>
                <w:color w:val="auto"/>
                <w:w w:val="99"/>
                <w:kern w:val="2"/>
                <w:sz w:val="21"/>
                <w:szCs w:val="21"/>
                <w:highlight w:val="none"/>
              </w:rPr>
              <w:t>有资质单位</w:t>
            </w:r>
            <w:r>
              <w:rPr>
                <w:rFonts w:ascii="Times New Roman" w:hAnsi="Times New Roman" w:cs="Times New Roman"/>
                <w:color w:val="auto"/>
                <w:w w:val="99"/>
                <w:kern w:val="2"/>
                <w:sz w:val="21"/>
                <w:szCs w:val="21"/>
                <w:highlight w:val="none"/>
              </w:rPr>
              <w:t>转运处置</w:t>
            </w:r>
          </w:p>
        </w:tc>
      </w:tr>
    </w:tbl>
    <w:p w14:paraId="62598AED">
      <w:pPr>
        <w:pStyle w:val="47"/>
        <w:spacing w:after="0" w:line="440" w:lineRule="exact"/>
        <w:ind w:left="0" w:leftChars="0" w:firstLine="474" w:firstLineChars="200"/>
        <w:rPr>
          <w:color w:val="auto"/>
          <w:w w:val="99"/>
          <w:kern w:val="2"/>
          <w:sz w:val="24"/>
          <w:highlight w:val="none"/>
        </w:rPr>
        <w:sectPr>
          <w:headerReference r:id="rId7" w:type="default"/>
          <w:footerReference r:id="rId8" w:type="default"/>
          <w:pgSz w:w="11906" w:h="16838"/>
          <w:pgMar w:top="1418" w:right="1418" w:bottom="1418" w:left="1418" w:header="851" w:footer="992" w:gutter="0"/>
          <w:cols w:space="720" w:num="1"/>
          <w:docGrid w:linePitch="312" w:charSpace="0"/>
        </w:sectPr>
      </w:pPr>
      <w:r>
        <w:rPr>
          <w:rFonts w:hint="eastAsia"/>
          <w:color w:val="auto"/>
          <w:w w:val="99"/>
          <w:kern w:val="2"/>
          <w:sz w:val="24"/>
          <w:highlight w:val="none"/>
        </w:rPr>
        <w:t>本项目施工期污染源源强核算结果及相关参数汇总见表3.10-11~表3.10-14，运营期污染源源强核算结果及相关参数汇总见表3.10-15~表3.10-18，退役期污染源源强核算结果及相关参数汇总见表3.10-19~表3.10-22。</w:t>
      </w:r>
    </w:p>
    <w:p w14:paraId="203388B5">
      <w:pPr>
        <w:pStyle w:val="153"/>
        <w:widowControl w:val="0"/>
        <w:spacing w:line="440" w:lineRule="exact"/>
        <w:ind w:firstLine="474"/>
        <w:rPr>
          <w:rFonts w:ascii="Times New Roman" w:hAnsi="Times New Roman" w:eastAsiaTheme="minorEastAsia"/>
          <w:b/>
          <w:bCs/>
          <w:color w:val="auto"/>
          <w:w w:val="99"/>
          <w:highlight w:val="none"/>
        </w:rPr>
      </w:pPr>
      <w:r>
        <w:rPr>
          <w:rFonts w:ascii="Times New Roman" w:hAnsi="Times New Roman" w:eastAsiaTheme="minorEastAsia"/>
          <w:b/>
          <w:bCs/>
          <w:color w:val="auto"/>
          <w:w w:val="99"/>
          <w:highlight w:val="none"/>
        </w:rPr>
        <w:t>表</w:t>
      </w:r>
      <w:r>
        <w:rPr>
          <w:rFonts w:hint="eastAsia" w:ascii="Times New Roman" w:hAnsi="Times New Roman" w:eastAsiaTheme="minorEastAsia"/>
          <w:b/>
          <w:color w:val="auto"/>
          <w:w w:val="99"/>
          <w:highlight w:val="none"/>
        </w:rPr>
        <w:t>3.10</w:t>
      </w:r>
      <w:r>
        <w:rPr>
          <w:rFonts w:ascii="Times New Roman" w:hAnsi="Times New Roman" w:eastAsiaTheme="minorEastAsia"/>
          <w:b/>
          <w:color w:val="auto"/>
          <w:w w:val="99"/>
          <w:highlight w:val="none"/>
        </w:rPr>
        <w:t>-1</w:t>
      </w:r>
      <w:r>
        <w:rPr>
          <w:rFonts w:hint="eastAsia" w:ascii="Times New Roman" w:hAnsi="Times New Roman" w:eastAsiaTheme="minorEastAsia"/>
          <w:b/>
          <w:color w:val="auto"/>
          <w:w w:val="99"/>
          <w:highlight w:val="none"/>
        </w:rPr>
        <w:t>1</w:t>
      </w:r>
      <w:r>
        <w:rPr>
          <w:rFonts w:ascii="Times New Roman" w:hAnsi="Times New Roman" w:eastAsiaTheme="minorEastAsia"/>
          <w:b/>
          <w:bCs/>
          <w:color w:val="auto"/>
          <w:w w:val="99"/>
          <w:highlight w:val="none"/>
        </w:rPr>
        <w:t xml:space="preserve">    </w:t>
      </w:r>
      <w:r>
        <w:rPr>
          <w:rFonts w:ascii="Times New Roman" w:hAnsi="Times New Roman"/>
          <w:b/>
          <w:color w:val="auto"/>
          <w:w w:val="99"/>
          <w:kern w:val="2"/>
          <w:highlight w:val="none"/>
        </w:rPr>
        <w:t>施工期</w:t>
      </w:r>
      <w:r>
        <w:rPr>
          <w:rFonts w:ascii="Times New Roman" w:hAnsi="Times New Roman" w:eastAsiaTheme="minorEastAsia"/>
          <w:b/>
          <w:bCs/>
          <w:color w:val="auto"/>
          <w:w w:val="99"/>
          <w:highlight w:val="none"/>
        </w:rPr>
        <w:t>废气污染源源强核算结果及相关参数一览表</w:t>
      </w:r>
    </w:p>
    <w:tbl>
      <w:tblPr>
        <w:tblStyle w:val="81"/>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57"/>
        <w:gridCol w:w="657"/>
        <w:gridCol w:w="842"/>
        <w:gridCol w:w="1297"/>
        <w:gridCol w:w="717"/>
        <w:gridCol w:w="43"/>
        <w:gridCol w:w="1064"/>
        <w:gridCol w:w="23"/>
        <w:gridCol w:w="1158"/>
        <w:gridCol w:w="23"/>
        <w:gridCol w:w="1166"/>
        <w:gridCol w:w="657"/>
        <w:gridCol w:w="1058"/>
        <w:gridCol w:w="717"/>
        <w:gridCol w:w="1007"/>
        <w:gridCol w:w="1078"/>
        <w:gridCol w:w="1166"/>
        <w:gridCol w:w="888"/>
      </w:tblGrid>
      <w:tr w14:paraId="382840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31" w:type="pct"/>
            <w:vMerge w:val="restart"/>
            <w:vAlign w:val="center"/>
          </w:tcPr>
          <w:p w14:paraId="74103CBA">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工序</w:t>
            </w:r>
          </w:p>
        </w:tc>
        <w:tc>
          <w:tcPr>
            <w:tcW w:w="231" w:type="pct"/>
            <w:vMerge w:val="restart"/>
            <w:vAlign w:val="center"/>
          </w:tcPr>
          <w:p w14:paraId="2DF69585">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装置</w:t>
            </w:r>
          </w:p>
        </w:tc>
        <w:tc>
          <w:tcPr>
            <w:tcW w:w="296" w:type="pct"/>
            <w:vMerge w:val="restart"/>
            <w:vAlign w:val="center"/>
          </w:tcPr>
          <w:p w14:paraId="67D2E329">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污染源</w:t>
            </w:r>
          </w:p>
        </w:tc>
        <w:tc>
          <w:tcPr>
            <w:tcW w:w="456" w:type="pct"/>
            <w:vMerge w:val="restart"/>
            <w:vAlign w:val="center"/>
          </w:tcPr>
          <w:p w14:paraId="20617F8D">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污染物</w:t>
            </w:r>
          </w:p>
        </w:tc>
        <w:tc>
          <w:tcPr>
            <w:tcW w:w="1474" w:type="pct"/>
            <w:gridSpan w:val="7"/>
            <w:vAlign w:val="center"/>
          </w:tcPr>
          <w:p w14:paraId="57670E07">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污染物产生</w:t>
            </w:r>
          </w:p>
        </w:tc>
        <w:tc>
          <w:tcPr>
            <w:tcW w:w="603" w:type="pct"/>
            <w:gridSpan w:val="2"/>
            <w:vAlign w:val="center"/>
          </w:tcPr>
          <w:p w14:paraId="2791F929">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治理措施</w:t>
            </w:r>
          </w:p>
        </w:tc>
        <w:tc>
          <w:tcPr>
            <w:tcW w:w="1395" w:type="pct"/>
            <w:gridSpan w:val="4"/>
            <w:vAlign w:val="center"/>
          </w:tcPr>
          <w:p w14:paraId="261072D6">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污染物排放</w:t>
            </w:r>
          </w:p>
        </w:tc>
        <w:tc>
          <w:tcPr>
            <w:tcW w:w="312" w:type="pct"/>
            <w:vMerge w:val="restart"/>
            <w:vAlign w:val="center"/>
          </w:tcPr>
          <w:p w14:paraId="60124685">
            <w:pPr>
              <w:keepNext/>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排放时间</w:t>
            </w:r>
          </w:p>
        </w:tc>
      </w:tr>
      <w:tr w14:paraId="623CC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31" w:type="pct"/>
            <w:vMerge w:val="continue"/>
            <w:vAlign w:val="center"/>
          </w:tcPr>
          <w:p w14:paraId="7B4A9BD6">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c>
          <w:tcPr>
            <w:tcW w:w="231" w:type="pct"/>
            <w:vMerge w:val="continue"/>
            <w:vAlign w:val="center"/>
          </w:tcPr>
          <w:p w14:paraId="784956C0">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c>
          <w:tcPr>
            <w:tcW w:w="296" w:type="pct"/>
            <w:vMerge w:val="continue"/>
            <w:vAlign w:val="center"/>
          </w:tcPr>
          <w:p w14:paraId="30920740">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c>
          <w:tcPr>
            <w:tcW w:w="456" w:type="pct"/>
            <w:vMerge w:val="continue"/>
            <w:vAlign w:val="center"/>
          </w:tcPr>
          <w:p w14:paraId="6D2CF3B2">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c>
          <w:tcPr>
            <w:tcW w:w="267" w:type="pct"/>
            <w:gridSpan w:val="2"/>
            <w:vAlign w:val="center"/>
          </w:tcPr>
          <w:p w14:paraId="708DDE82">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核算方法</w:t>
            </w:r>
          </w:p>
        </w:tc>
        <w:tc>
          <w:tcPr>
            <w:tcW w:w="374" w:type="pct"/>
            <w:vAlign w:val="center"/>
          </w:tcPr>
          <w:p w14:paraId="0D9E2255">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废气产生量m</w:t>
            </w:r>
            <w:r>
              <w:rPr>
                <w:rFonts w:ascii="Times New Roman" w:hAnsi="Times New Roman" w:cs="Times New Roman" w:eastAsiaTheme="minorEastAsia"/>
                <w:color w:val="auto"/>
                <w:w w:val="99"/>
                <w:kern w:val="2"/>
                <w:sz w:val="21"/>
                <w:szCs w:val="21"/>
                <w:highlight w:val="none"/>
                <w:vertAlign w:val="superscript"/>
              </w:rPr>
              <w:t>3</w:t>
            </w:r>
          </w:p>
        </w:tc>
        <w:tc>
          <w:tcPr>
            <w:tcW w:w="423" w:type="pct"/>
            <w:gridSpan w:val="3"/>
            <w:vAlign w:val="center"/>
          </w:tcPr>
          <w:p w14:paraId="0697C929">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产生</w:t>
            </w:r>
          </w:p>
          <w:p w14:paraId="080CD8CE">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浓度mg/m</w:t>
            </w:r>
            <w:r>
              <w:rPr>
                <w:rFonts w:ascii="Times New Roman" w:hAnsi="Times New Roman" w:cs="Times New Roman" w:eastAsiaTheme="minorEastAsia"/>
                <w:color w:val="auto"/>
                <w:w w:val="99"/>
                <w:kern w:val="2"/>
                <w:sz w:val="21"/>
                <w:szCs w:val="21"/>
                <w:highlight w:val="none"/>
                <w:vertAlign w:val="superscript"/>
              </w:rPr>
              <w:t>3</w:t>
            </w:r>
          </w:p>
        </w:tc>
        <w:tc>
          <w:tcPr>
            <w:tcW w:w="410" w:type="pct"/>
            <w:vAlign w:val="center"/>
          </w:tcPr>
          <w:p w14:paraId="6FE5FF12">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产生量t</w:t>
            </w:r>
          </w:p>
        </w:tc>
        <w:tc>
          <w:tcPr>
            <w:tcW w:w="231" w:type="pct"/>
            <w:vAlign w:val="center"/>
          </w:tcPr>
          <w:p w14:paraId="65774422">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工艺</w:t>
            </w:r>
          </w:p>
        </w:tc>
        <w:tc>
          <w:tcPr>
            <w:tcW w:w="372" w:type="pct"/>
            <w:vAlign w:val="center"/>
          </w:tcPr>
          <w:p w14:paraId="2B7DAA17">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效率%</w:t>
            </w:r>
          </w:p>
        </w:tc>
        <w:tc>
          <w:tcPr>
            <w:tcW w:w="252" w:type="pct"/>
            <w:vAlign w:val="center"/>
          </w:tcPr>
          <w:p w14:paraId="0EF2F0C0">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核算方法</w:t>
            </w:r>
          </w:p>
        </w:tc>
        <w:tc>
          <w:tcPr>
            <w:tcW w:w="354" w:type="pct"/>
            <w:vAlign w:val="center"/>
          </w:tcPr>
          <w:p w14:paraId="190AB8AA">
            <w:pPr>
              <w:widowControl w:val="0"/>
              <w:adjustRightInd w:val="0"/>
              <w:spacing w:line="360" w:lineRule="exact"/>
              <w:jc w:val="center"/>
              <w:rPr>
                <w:rFonts w:ascii="Times New Roman" w:hAnsi="Times New Roman" w:cs="Times New Roman"/>
                <w:color w:val="auto"/>
                <w:w w:val="99"/>
                <w:highlight w:val="none"/>
                <w:vertAlign w:val="superscript"/>
              </w:rPr>
            </w:pPr>
            <w:r>
              <w:rPr>
                <w:rFonts w:ascii="Times New Roman" w:hAnsi="Times New Roman" w:cs="Times New Roman" w:eastAsiaTheme="minorEastAsia"/>
                <w:color w:val="auto"/>
                <w:w w:val="99"/>
                <w:kern w:val="2"/>
                <w:sz w:val="21"/>
                <w:szCs w:val="21"/>
                <w:highlight w:val="none"/>
              </w:rPr>
              <w:t>废气排放量m</w:t>
            </w:r>
            <w:r>
              <w:rPr>
                <w:rFonts w:ascii="Times New Roman" w:hAnsi="Times New Roman" w:cs="Times New Roman"/>
                <w:color w:val="auto"/>
                <w:w w:val="99"/>
                <w:highlight w:val="none"/>
                <w:vertAlign w:val="superscript"/>
              </w:rPr>
              <w:t>3</w:t>
            </w:r>
          </w:p>
        </w:tc>
        <w:tc>
          <w:tcPr>
            <w:tcW w:w="379" w:type="pct"/>
            <w:vAlign w:val="center"/>
          </w:tcPr>
          <w:p w14:paraId="4B5B0D1A">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排放浓度mg/m</w:t>
            </w:r>
            <w:r>
              <w:rPr>
                <w:rFonts w:ascii="Times New Roman" w:hAnsi="Times New Roman" w:cs="Times New Roman" w:eastAsiaTheme="minorEastAsia"/>
                <w:color w:val="auto"/>
                <w:w w:val="99"/>
                <w:kern w:val="2"/>
                <w:sz w:val="21"/>
                <w:szCs w:val="21"/>
                <w:highlight w:val="none"/>
                <w:vertAlign w:val="superscript"/>
              </w:rPr>
              <w:t>3</w:t>
            </w:r>
          </w:p>
        </w:tc>
        <w:tc>
          <w:tcPr>
            <w:tcW w:w="410" w:type="pct"/>
            <w:vAlign w:val="center"/>
          </w:tcPr>
          <w:p w14:paraId="7F1272E3">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排放量</w:t>
            </w:r>
          </w:p>
          <w:p w14:paraId="01CE6382">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t</w:t>
            </w:r>
          </w:p>
        </w:tc>
        <w:tc>
          <w:tcPr>
            <w:tcW w:w="312" w:type="pct"/>
            <w:vMerge w:val="continue"/>
            <w:vAlign w:val="center"/>
          </w:tcPr>
          <w:p w14:paraId="65CC1B36">
            <w:pPr>
              <w:keepNext/>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r>
      <w:tr w14:paraId="5D9A38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31" w:type="pct"/>
            <w:vMerge w:val="restart"/>
            <w:vAlign w:val="center"/>
          </w:tcPr>
          <w:p w14:paraId="51BE3983">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施工</w:t>
            </w:r>
          </w:p>
        </w:tc>
        <w:tc>
          <w:tcPr>
            <w:tcW w:w="231" w:type="pct"/>
            <w:vAlign w:val="center"/>
          </w:tcPr>
          <w:p w14:paraId="09B13407">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场地</w:t>
            </w:r>
          </w:p>
        </w:tc>
        <w:tc>
          <w:tcPr>
            <w:tcW w:w="296" w:type="pct"/>
            <w:vAlign w:val="center"/>
          </w:tcPr>
          <w:p w14:paraId="6E25B76C">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施工扬尘</w:t>
            </w:r>
          </w:p>
        </w:tc>
        <w:tc>
          <w:tcPr>
            <w:tcW w:w="456" w:type="pct"/>
            <w:vAlign w:val="center"/>
          </w:tcPr>
          <w:p w14:paraId="37FAA3FE">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颗粒物</w:t>
            </w:r>
          </w:p>
        </w:tc>
        <w:tc>
          <w:tcPr>
            <w:tcW w:w="267" w:type="pct"/>
            <w:gridSpan w:val="2"/>
            <w:vAlign w:val="center"/>
          </w:tcPr>
          <w:p w14:paraId="2572278F">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74" w:type="pct"/>
            <w:vAlign w:val="center"/>
          </w:tcPr>
          <w:p w14:paraId="27645C16">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23" w:type="pct"/>
            <w:gridSpan w:val="3"/>
            <w:vAlign w:val="center"/>
          </w:tcPr>
          <w:p w14:paraId="502D883D">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10" w:type="pct"/>
            <w:vAlign w:val="center"/>
          </w:tcPr>
          <w:p w14:paraId="7DD07A9A">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0.069</w:t>
            </w:r>
          </w:p>
        </w:tc>
        <w:tc>
          <w:tcPr>
            <w:tcW w:w="603" w:type="pct"/>
            <w:gridSpan w:val="2"/>
            <w:vAlign w:val="center"/>
          </w:tcPr>
          <w:p w14:paraId="41FC5C1C">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采取洒水抑尘，</w:t>
            </w:r>
            <w:r>
              <w:rPr>
                <w:rFonts w:ascii="Times New Roman" w:hAnsi="Times New Roman" w:cs="Times New Roman" w:eastAsiaTheme="minorEastAsia"/>
                <w:color w:val="auto"/>
                <w:w w:val="99"/>
                <w:kern w:val="2"/>
                <w:sz w:val="21"/>
                <w:szCs w:val="21"/>
                <w:highlight w:val="none"/>
              </w:rPr>
              <w:t>去除效率96%</w:t>
            </w:r>
          </w:p>
        </w:tc>
        <w:tc>
          <w:tcPr>
            <w:tcW w:w="252" w:type="pct"/>
            <w:vAlign w:val="center"/>
          </w:tcPr>
          <w:p w14:paraId="096662E3">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54" w:type="pct"/>
            <w:vAlign w:val="center"/>
          </w:tcPr>
          <w:p w14:paraId="37EC413B">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79" w:type="pct"/>
            <w:vAlign w:val="center"/>
          </w:tcPr>
          <w:p w14:paraId="7D8F590F">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10" w:type="pct"/>
            <w:vAlign w:val="center"/>
          </w:tcPr>
          <w:p w14:paraId="7F58927A">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0.069</w:t>
            </w:r>
          </w:p>
        </w:tc>
        <w:tc>
          <w:tcPr>
            <w:tcW w:w="312" w:type="pct"/>
            <w:vAlign w:val="center"/>
          </w:tcPr>
          <w:p w14:paraId="03F8403E">
            <w:pPr>
              <w:keepNext/>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施工</w:t>
            </w:r>
          </w:p>
          <w:p w14:paraId="65C54FFB">
            <w:pPr>
              <w:keepNext/>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期</w:t>
            </w:r>
          </w:p>
        </w:tc>
      </w:tr>
      <w:tr w14:paraId="12EF5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31" w:type="pct"/>
            <w:vMerge w:val="continue"/>
            <w:vAlign w:val="center"/>
          </w:tcPr>
          <w:p w14:paraId="007B80A3">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c>
          <w:tcPr>
            <w:tcW w:w="231" w:type="pct"/>
            <w:vAlign w:val="center"/>
          </w:tcPr>
          <w:p w14:paraId="1D02A244">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车辆</w:t>
            </w:r>
          </w:p>
        </w:tc>
        <w:tc>
          <w:tcPr>
            <w:tcW w:w="296" w:type="pct"/>
            <w:vAlign w:val="center"/>
          </w:tcPr>
          <w:p w14:paraId="0917D543">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车辆尾气</w:t>
            </w:r>
          </w:p>
        </w:tc>
        <w:tc>
          <w:tcPr>
            <w:tcW w:w="456" w:type="pct"/>
            <w:vAlign w:val="center"/>
          </w:tcPr>
          <w:p w14:paraId="725D200D">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SO</w:t>
            </w:r>
            <w:r>
              <w:rPr>
                <w:rFonts w:ascii="Times New Roman" w:hAnsi="Times New Roman" w:cs="Times New Roman" w:eastAsiaTheme="minorEastAsia"/>
                <w:color w:val="auto"/>
                <w:w w:val="99"/>
                <w:kern w:val="2"/>
                <w:sz w:val="21"/>
                <w:szCs w:val="21"/>
                <w:highlight w:val="none"/>
                <w:vertAlign w:val="subscript"/>
              </w:rPr>
              <w:t>2</w:t>
            </w:r>
            <w:r>
              <w:rPr>
                <w:rFonts w:ascii="Times New Roman" w:hAnsi="Times New Roman" w:cs="Times New Roman" w:eastAsiaTheme="minorEastAsia"/>
                <w:color w:val="auto"/>
                <w:w w:val="99"/>
                <w:kern w:val="2"/>
                <w:sz w:val="21"/>
                <w:szCs w:val="21"/>
                <w:highlight w:val="none"/>
              </w:rPr>
              <w:t>、NO</w:t>
            </w:r>
            <w:r>
              <w:rPr>
                <w:rFonts w:ascii="Times New Roman" w:hAnsi="Times New Roman" w:cs="Times New Roman" w:eastAsiaTheme="minorEastAsia"/>
                <w:color w:val="auto"/>
                <w:w w:val="99"/>
                <w:kern w:val="2"/>
                <w:sz w:val="21"/>
                <w:szCs w:val="21"/>
                <w:highlight w:val="none"/>
                <w:vertAlign w:val="subscript"/>
              </w:rPr>
              <w:t>X</w:t>
            </w:r>
            <w:r>
              <w:rPr>
                <w:rFonts w:ascii="Times New Roman" w:hAnsi="Times New Roman" w:cs="Times New Roman" w:eastAsiaTheme="minorEastAsia"/>
                <w:color w:val="auto"/>
                <w:w w:val="99"/>
                <w:kern w:val="2"/>
                <w:sz w:val="21"/>
                <w:szCs w:val="21"/>
                <w:highlight w:val="none"/>
              </w:rPr>
              <w:t>、TSP</w:t>
            </w:r>
          </w:p>
        </w:tc>
        <w:tc>
          <w:tcPr>
            <w:tcW w:w="1474" w:type="pct"/>
            <w:gridSpan w:val="7"/>
            <w:vAlign w:val="center"/>
          </w:tcPr>
          <w:p w14:paraId="79A37776">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由于车辆数量和每辆车行驶的公里数不易确定，</w:t>
            </w:r>
            <w:r>
              <w:rPr>
                <w:rFonts w:hint="eastAsia" w:ascii="Times New Roman" w:hAnsi="Times New Roman" w:cs="Times New Roman" w:eastAsiaTheme="minorEastAsia"/>
                <w:color w:val="auto"/>
                <w:w w:val="99"/>
                <w:kern w:val="2"/>
                <w:sz w:val="21"/>
                <w:szCs w:val="21"/>
                <w:highlight w:val="none"/>
              </w:rPr>
              <w:t>故</w:t>
            </w:r>
            <w:r>
              <w:rPr>
                <w:rFonts w:ascii="Times New Roman" w:hAnsi="Times New Roman" w:cs="Times New Roman" w:eastAsiaTheme="minorEastAsia"/>
                <w:color w:val="auto"/>
                <w:w w:val="99"/>
                <w:kern w:val="2"/>
                <w:sz w:val="21"/>
                <w:szCs w:val="21"/>
                <w:highlight w:val="none"/>
              </w:rPr>
              <w:t>不对其进行定量计算</w:t>
            </w:r>
          </w:p>
        </w:tc>
        <w:tc>
          <w:tcPr>
            <w:tcW w:w="603" w:type="pct"/>
            <w:gridSpan w:val="2"/>
            <w:vAlign w:val="center"/>
          </w:tcPr>
          <w:p w14:paraId="0F2ADF48">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施工车辆选用高标号汽柴油，尾气达标排放</w:t>
            </w:r>
          </w:p>
        </w:tc>
        <w:tc>
          <w:tcPr>
            <w:tcW w:w="252" w:type="pct"/>
            <w:vAlign w:val="center"/>
          </w:tcPr>
          <w:p w14:paraId="7AC498E8">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54" w:type="pct"/>
            <w:vAlign w:val="center"/>
          </w:tcPr>
          <w:p w14:paraId="632AEE9F">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79" w:type="pct"/>
            <w:vAlign w:val="center"/>
          </w:tcPr>
          <w:p w14:paraId="01112ACC">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10" w:type="pct"/>
            <w:vAlign w:val="center"/>
          </w:tcPr>
          <w:p w14:paraId="0AA39035">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12" w:type="pct"/>
            <w:vAlign w:val="center"/>
          </w:tcPr>
          <w:p w14:paraId="3FDFE84B">
            <w:pPr>
              <w:keepNext/>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施工</w:t>
            </w:r>
          </w:p>
          <w:p w14:paraId="0BDF5C94">
            <w:pPr>
              <w:keepNext/>
              <w:widowControl w:val="0"/>
              <w:adjustRightIn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1"/>
                <w:szCs w:val="21"/>
                <w:highlight w:val="none"/>
              </w:rPr>
              <w:t>期</w:t>
            </w:r>
          </w:p>
        </w:tc>
      </w:tr>
      <w:tr w14:paraId="4FF79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31" w:type="pct"/>
            <w:vMerge w:val="continue"/>
            <w:vAlign w:val="center"/>
          </w:tcPr>
          <w:p w14:paraId="029B27E1">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c>
          <w:tcPr>
            <w:tcW w:w="231" w:type="pct"/>
            <w:vAlign w:val="center"/>
          </w:tcPr>
          <w:p w14:paraId="1555934B">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电焊机</w:t>
            </w:r>
          </w:p>
        </w:tc>
        <w:tc>
          <w:tcPr>
            <w:tcW w:w="296" w:type="pct"/>
            <w:vAlign w:val="center"/>
          </w:tcPr>
          <w:p w14:paraId="0F0072B4">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焊接烟尘</w:t>
            </w:r>
          </w:p>
        </w:tc>
        <w:tc>
          <w:tcPr>
            <w:tcW w:w="456" w:type="pct"/>
            <w:vAlign w:val="center"/>
          </w:tcPr>
          <w:p w14:paraId="1F3D0E54">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颗粒物</w:t>
            </w:r>
          </w:p>
        </w:tc>
        <w:tc>
          <w:tcPr>
            <w:tcW w:w="252" w:type="pct"/>
            <w:tcBorders>
              <w:right w:val="single" w:color="auto" w:sz="4" w:space="0"/>
            </w:tcBorders>
            <w:vAlign w:val="center"/>
          </w:tcPr>
          <w:p w14:paraId="045B6311">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排污系数</w:t>
            </w:r>
          </w:p>
        </w:tc>
        <w:tc>
          <w:tcPr>
            <w:tcW w:w="397" w:type="pct"/>
            <w:gridSpan w:val="3"/>
            <w:tcBorders>
              <w:left w:val="single" w:color="auto" w:sz="4" w:space="0"/>
              <w:right w:val="single" w:color="auto" w:sz="4" w:space="0"/>
            </w:tcBorders>
            <w:vAlign w:val="center"/>
          </w:tcPr>
          <w:p w14:paraId="40F43FA5">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07" w:type="pct"/>
            <w:tcBorders>
              <w:left w:val="single" w:color="auto" w:sz="4" w:space="0"/>
              <w:right w:val="single" w:color="auto" w:sz="4" w:space="0"/>
            </w:tcBorders>
            <w:vAlign w:val="center"/>
          </w:tcPr>
          <w:p w14:paraId="753A66D1">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18" w:type="pct"/>
            <w:gridSpan w:val="2"/>
            <w:tcBorders>
              <w:left w:val="single" w:color="auto" w:sz="4" w:space="0"/>
            </w:tcBorders>
            <w:vAlign w:val="center"/>
          </w:tcPr>
          <w:p w14:paraId="5C8763E0">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0.00</w:t>
            </w:r>
            <w:r>
              <w:rPr>
                <w:rFonts w:hint="eastAsia" w:ascii="Times New Roman" w:hAnsi="Times New Roman" w:cs="Times New Roman" w:eastAsiaTheme="minorEastAsia"/>
                <w:bCs/>
                <w:color w:val="auto"/>
                <w:w w:val="99"/>
                <w:kern w:val="2"/>
                <w:sz w:val="21"/>
                <w:szCs w:val="21"/>
                <w:highlight w:val="none"/>
              </w:rPr>
              <w:t>2</w:t>
            </w:r>
          </w:p>
        </w:tc>
        <w:tc>
          <w:tcPr>
            <w:tcW w:w="603" w:type="pct"/>
            <w:gridSpan w:val="2"/>
            <w:vAlign w:val="center"/>
          </w:tcPr>
          <w:p w14:paraId="510F5D45">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252" w:type="pct"/>
            <w:vAlign w:val="center"/>
          </w:tcPr>
          <w:p w14:paraId="5579F230">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排污系数</w:t>
            </w:r>
          </w:p>
        </w:tc>
        <w:tc>
          <w:tcPr>
            <w:tcW w:w="354" w:type="pct"/>
            <w:vAlign w:val="center"/>
          </w:tcPr>
          <w:p w14:paraId="424CF846">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79" w:type="pct"/>
            <w:vAlign w:val="center"/>
          </w:tcPr>
          <w:p w14:paraId="1DDD714B">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10" w:type="pct"/>
            <w:vAlign w:val="center"/>
          </w:tcPr>
          <w:p w14:paraId="5350183F">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0.00</w:t>
            </w:r>
            <w:r>
              <w:rPr>
                <w:rFonts w:hint="eastAsia" w:ascii="Times New Roman" w:hAnsi="Times New Roman" w:cs="Times New Roman" w:eastAsiaTheme="minorEastAsia"/>
                <w:bCs/>
                <w:color w:val="auto"/>
                <w:w w:val="99"/>
                <w:kern w:val="2"/>
                <w:sz w:val="21"/>
                <w:szCs w:val="21"/>
                <w:highlight w:val="none"/>
              </w:rPr>
              <w:t>2</w:t>
            </w:r>
          </w:p>
        </w:tc>
        <w:tc>
          <w:tcPr>
            <w:tcW w:w="312" w:type="pct"/>
            <w:vAlign w:val="center"/>
          </w:tcPr>
          <w:p w14:paraId="42BF0619">
            <w:pPr>
              <w:widowControl w:val="0"/>
              <w:adjustRightIn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施工</w:t>
            </w:r>
          </w:p>
          <w:p w14:paraId="3559C56C">
            <w:pPr>
              <w:keepNext/>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期</w:t>
            </w:r>
          </w:p>
        </w:tc>
      </w:tr>
    </w:tbl>
    <w:p w14:paraId="69C1B25B">
      <w:pPr>
        <w:pStyle w:val="153"/>
        <w:widowControl w:val="0"/>
        <w:spacing w:line="440" w:lineRule="exact"/>
        <w:ind w:firstLine="474"/>
        <w:rPr>
          <w:rFonts w:ascii="Times New Roman" w:hAnsi="Times New Roman" w:eastAsiaTheme="minorEastAsia"/>
          <w:b/>
          <w:color w:val="auto"/>
          <w:w w:val="99"/>
          <w:kern w:val="21"/>
          <w:highlight w:val="none"/>
        </w:rPr>
      </w:pPr>
      <w:r>
        <w:rPr>
          <w:rFonts w:ascii="Times New Roman" w:hAnsi="Times New Roman" w:eastAsiaTheme="minorEastAsia"/>
          <w:b/>
          <w:color w:val="auto"/>
          <w:w w:val="99"/>
          <w:kern w:val="21"/>
          <w:highlight w:val="none"/>
        </w:rPr>
        <w:t>表</w:t>
      </w:r>
      <w:r>
        <w:rPr>
          <w:rFonts w:hint="eastAsia" w:ascii="Times New Roman" w:hAnsi="Times New Roman" w:eastAsiaTheme="minorEastAsia"/>
          <w:b/>
          <w:color w:val="auto"/>
          <w:w w:val="99"/>
          <w:highlight w:val="none"/>
        </w:rPr>
        <w:t>3.10</w:t>
      </w:r>
      <w:r>
        <w:rPr>
          <w:rFonts w:ascii="Times New Roman" w:hAnsi="Times New Roman" w:eastAsiaTheme="minorEastAsia"/>
          <w:b/>
          <w:color w:val="auto"/>
          <w:w w:val="99"/>
          <w:highlight w:val="none"/>
        </w:rPr>
        <w:t>-1</w:t>
      </w:r>
      <w:r>
        <w:rPr>
          <w:rFonts w:hint="eastAsia" w:ascii="Times New Roman" w:hAnsi="Times New Roman" w:eastAsiaTheme="minorEastAsia"/>
          <w:b/>
          <w:color w:val="auto"/>
          <w:w w:val="99"/>
          <w:highlight w:val="none"/>
        </w:rPr>
        <w:t>2</w:t>
      </w:r>
      <w:r>
        <w:rPr>
          <w:rFonts w:ascii="Times New Roman" w:hAnsi="Times New Roman" w:eastAsiaTheme="minorEastAsia"/>
          <w:b/>
          <w:color w:val="auto"/>
          <w:w w:val="99"/>
          <w:kern w:val="21"/>
          <w:highlight w:val="none"/>
        </w:rPr>
        <w:t xml:space="preserve">    施工期废水污染源源强核算结果及相关参数一览表</w:t>
      </w:r>
    </w:p>
    <w:tbl>
      <w:tblPr>
        <w:tblStyle w:val="81"/>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6"/>
        <w:gridCol w:w="871"/>
        <w:gridCol w:w="703"/>
        <w:gridCol w:w="800"/>
        <w:gridCol w:w="717"/>
        <w:gridCol w:w="720"/>
        <w:gridCol w:w="717"/>
        <w:gridCol w:w="580"/>
        <w:gridCol w:w="4038"/>
        <w:gridCol w:w="719"/>
        <w:gridCol w:w="770"/>
        <w:gridCol w:w="802"/>
        <w:gridCol w:w="781"/>
        <w:gridCol w:w="668"/>
        <w:gridCol w:w="682"/>
      </w:tblGrid>
      <w:tr w14:paraId="5991F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27" w:type="pct"/>
            <w:vMerge w:val="restart"/>
            <w:vAlign w:val="center"/>
          </w:tcPr>
          <w:p w14:paraId="46E43A27">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工序</w:t>
            </w:r>
          </w:p>
        </w:tc>
        <w:tc>
          <w:tcPr>
            <w:tcW w:w="306" w:type="pct"/>
            <w:vMerge w:val="restart"/>
            <w:vAlign w:val="center"/>
          </w:tcPr>
          <w:p w14:paraId="3C97D5FE">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装置</w:t>
            </w:r>
          </w:p>
        </w:tc>
        <w:tc>
          <w:tcPr>
            <w:tcW w:w="247" w:type="pct"/>
            <w:vMerge w:val="restart"/>
            <w:vAlign w:val="center"/>
          </w:tcPr>
          <w:p w14:paraId="27F9335D">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污染源</w:t>
            </w:r>
          </w:p>
        </w:tc>
        <w:tc>
          <w:tcPr>
            <w:tcW w:w="281" w:type="pct"/>
            <w:vMerge w:val="restart"/>
            <w:vAlign w:val="center"/>
          </w:tcPr>
          <w:p w14:paraId="1E343235">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w:t>
            </w:r>
          </w:p>
        </w:tc>
        <w:tc>
          <w:tcPr>
            <w:tcW w:w="961" w:type="pct"/>
            <w:gridSpan w:val="4"/>
            <w:vAlign w:val="center"/>
          </w:tcPr>
          <w:p w14:paraId="5376D04D">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污染物产生</w:t>
            </w:r>
          </w:p>
        </w:tc>
        <w:tc>
          <w:tcPr>
            <w:tcW w:w="1672" w:type="pct"/>
            <w:gridSpan w:val="2"/>
            <w:vAlign w:val="center"/>
          </w:tcPr>
          <w:p w14:paraId="10220AE5">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治理措施</w:t>
            </w:r>
          </w:p>
        </w:tc>
        <w:tc>
          <w:tcPr>
            <w:tcW w:w="1063" w:type="pct"/>
            <w:gridSpan w:val="4"/>
            <w:vAlign w:val="center"/>
          </w:tcPr>
          <w:p w14:paraId="05089C68">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污染物排放</w:t>
            </w:r>
          </w:p>
        </w:tc>
        <w:tc>
          <w:tcPr>
            <w:tcW w:w="240" w:type="pct"/>
            <w:vMerge w:val="restart"/>
            <w:vAlign w:val="center"/>
          </w:tcPr>
          <w:p w14:paraId="3664F183">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排放时间</w:t>
            </w:r>
          </w:p>
        </w:tc>
      </w:tr>
      <w:tr w14:paraId="4D0D08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27" w:type="pct"/>
            <w:vMerge w:val="continue"/>
            <w:vAlign w:val="center"/>
          </w:tcPr>
          <w:p w14:paraId="50A82929">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306" w:type="pct"/>
            <w:vMerge w:val="continue"/>
            <w:vAlign w:val="center"/>
          </w:tcPr>
          <w:p w14:paraId="5E3FEBC0">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47" w:type="pct"/>
            <w:vMerge w:val="continue"/>
            <w:vAlign w:val="center"/>
          </w:tcPr>
          <w:p w14:paraId="55440721">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81" w:type="pct"/>
            <w:vMerge w:val="continue"/>
            <w:vAlign w:val="center"/>
          </w:tcPr>
          <w:p w14:paraId="2DD269C9">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52" w:type="pct"/>
            <w:vAlign w:val="center"/>
          </w:tcPr>
          <w:p w14:paraId="7C3113F7">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核算方法</w:t>
            </w:r>
          </w:p>
        </w:tc>
        <w:tc>
          <w:tcPr>
            <w:tcW w:w="253" w:type="pct"/>
            <w:vAlign w:val="center"/>
          </w:tcPr>
          <w:p w14:paraId="01D7E3AB">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废水产生量m</w:t>
            </w:r>
            <w:r>
              <w:rPr>
                <w:rFonts w:ascii="Times New Roman" w:hAnsi="Times New Roman" w:cs="Times New Roman" w:eastAsiaTheme="minorEastAsia"/>
                <w:color w:val="auto"/>
                <w:w w:val="99"/>
                <w:sz w:val="21"/>
                <w:szCs w:val="21"/>
                <w:highlight w:val="none"/>
                <w:vertAlign w:val="superscript"/>
              </w:rPr>
              <w:t>3</w:t>
            </w:r>
          </w:p>
        </w:tc>
        <w:tc>
          <w:tcPr>
            <w:tcW w:w="252" w:type="pct"/>
            <w:vAlign w:val="center"/>
          </w:tcPr>
          <w:p w14:paraId="5245D131">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产生浓度mg/L</w:t>
            </w:r>
          </w:p>
        </w:tc>
        <w:tc>
          <w:tcPr>
            <w:tcW w:w="201" w:type="pct"/>
            <w:vAlign w:val="center"/>
          </w:tcPr>
          <w:p w14:paraId="5B7715E0">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产生量t</w:t>
            </w:r>
          </w:p>
        </w:tc>
        <w:tc>
          <w:tcPr>
            <w:tcW w:w="1419" w:type="pct"/>
            <w:vAlign w:val="center"/>
          </w:tcPr>
          <w:p w14:paraId="028F1163">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工艺</w:t>
            </w:r>
          </w:p>
        </w:tc>
        <w:tc>
          <w:tcPr>
            <w:tcW w:w="252" w:type="pct"/>
            <w:vAlign w:val="center"/>
          </w:tcPr>
          <w:p w14:paraId="459AC2BB">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效率/%</w:t>
            </w:r>
          </w:p>
        </w:tc>
        <w:tc>
          <w:tcPr>
            <w:tcW w:w="271" w:type="pct"/>
            <w:vAlign w:val="center"/>
          </w:tcPr>
          <w:p w14:paraId="5D2D4984">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核算方法</w:t>
            </w:r>
          </w:p>
        </w:tc>
        <w:tc>
          <w:tcPr>
            <w:tcW w:w="282" w:type="pct"/>
            <w:vAlign w:val="center"/>
          </w:tcPr>
          <w:p w14:paraId="2D6A25AB">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废水排放量m</w:t>
            </w:r>
            <w:r>
              <w:rPr>
                <w:rFonts w:ascii="Times New Roman" w:hAnsi="Times New Roman" w:cs="Times New Roman" w:eastAsiaTheme="minorEastAsia"/>
                <w:color w:val="auto"/>
                <w:w w:val="99"/>
                <w:sz w:val="21"/>
                <w:szCs w:val="21"/>
                <w:highlight w:val="none"/>
                <w:vertAlign w:val="superscript"/>
              </w:rPr>
              <w:t>3</w:t>
            </w:r>
          </w:p>
        </w:tc>
        <w:tc>
          <w:tcPr>
            <w:tcW w:w="275" w:type="pct"/>
            <w:vAlign w:val="center"/>
          </w:tcPr>
          <w:p w14:paraId="5C33ED5B">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排放浓度mg/L</w:t>
            </w:r>
          </w:p>
        </w:tc>
        <w:tc>
          <w:tcPr>
            <w:tcW w:w="234" w:type="pct"/>
            <w:vAlign w:val="center"/>
          </w:tcPr>
          <w:p w14:paraId="4F25ACE6">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排放量t</w:t>
            </w:r>
          </w:p>
        </w:tc>
        <w:tc>
          <w:tcPr>
            <w:tcW w:w="240" w:type="pct"/>
            <w:vMerge w:val="continue"/>
            <w:vAlign w:val="center"/>
          </w:tcPr>
          <w:p w14:paraId="7366E285">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r>
      <w:tr w14:paraId="1EE30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454" w:hRule="atLeast"/>
          <w:jc w:val="center"/>
        </w:trPr>
        <w:tc>
          <w:tcPr>
            <w:tcW w:w="227" w:type="pct"/>
            <w:vAlign w:val="center"/>
          </w:tcPr>
          <w:p w14:paraId="081B0758">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管线试压</w:t>
            </w:r>
          </w:p>
        </w:tc>
        <w:tc>
          <w:tcPr>
            <w:tcW w:w="306" w:type="pct"/>
            <w:vAlign w:val="center"/>
          </w:tcPr>
          <w:p w14:paraId="0FF57FC2">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试压</w:t>
            </w:r>
          </w:p>
        </w:tc>
        <w:tc>
          <w:tcPr>
            <w:tcW w:w="247" w:type="pct"/>
            <w:vAlign w:val="center"/>
          </w:tcPr>
          <w:p w14:paraId="5832DF36">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试压废水</w:t>
            </w:r>
          </w:p>
        </w:tc>
        <w:tc>
          <w:tcPr>
            <w:tcW w:w="281" w:type="pct"/>
            <w:vAlign w:val="center"/>
          </w:tcPr>
          <w:p w14:paraId="32A9FB20">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SS</w:t>
            </w:r>
          </w:p>
        </w:tc>
        <w:tc>
          <w:tcPr>
            <w:tcW w:w="252" w:type="pct"/>
            <w:vMerge w:val="restart"/>
            <w:vAlign w:val="center"/>
          </w:tcPr>
          <w:p w14:paraId="3E13D2AB">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类比法</w:t>
            </w:r>
          </w:p>
        </w:tc>
        <w:tc>
          <w:tcPr>
            <w:tcW w:w="253" w:type="pct"/>
            <w:vAlign w:val="center"/>
          </w:tcPr>
          <w:p w14:paraId="1985AE02">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bCs/>
                <w:color w:val="auto"/>
                <w:w w:val="99"/>
                <w:kern w:val="21"/>
                <w:sz w:val="21"/>
                <w:szCs w:val="21"/>
                <w:highlight w:val="none"/>
              </w:rPr>
              <w:t>4.17</w:t>
            </w:r>
          </w:p>
        </w:tc>
        <w:tc>
          <w:tcPr>
            <w:tcW w:w="252" w:type="pct"/>
            <w:vAlign w:val="center"/>
          </w:tcPr>
          <w:p w14:paraId="38714BEF">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w:t>
            </w:r>
          </w:p>
        </w:tc>
        <w:tc>
          <w:tcPr>
            <w:tcW w:w="201" w:type="pct"/>
            <w:vAlign w:val="center"/>
          </w:tcPr>
          <w:p w14:paraId="6D7AD50E">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bCs/>
                <w:snapToGrid w:val="0"/>
                <w:color w:val="auto"/>
                <w:w w:val="99"/>
                <w:sz w:val="21"/>
                <w:szCs w:val="21"/>
                <w:highlight w:val="none"/>
              </w:rPr>
              <w:t>/</w:t>
            </w:r>
          </w:p>
        </w:tc>
        <w:tc>
          <w:tcPr>
            <w:tcW w:w="1419" w:type="pct"/>
            <w:vAlign w:val="center"/>
          </w:tcPr>
          <w:p w14:paraId="1C4C73FF">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bCs/>
                <w:snapToGrid w:val="0"/>
                <w:color w:val="auto"/>
                <w:w w:val="99"/>
                <w:sz w:val="21"/>
                <w:szCs w:val="21"/>
                <w:highlight w:val="none"/>
              </w:rPr>
              <w:t>由罐车拉运至升一联气田污水预处理站处理达标后回注油层</w:t>
            </w:r>
          </w:p>
        </w:tc>
        <w:tc>
          <w:tcPr>
            <w:tcW w:w="252" w:type="pct"/>
            <w:vAlign w:val="center"/>
          </w:tcPr>
          <w:p w14:paraId="3C0AC57E">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100</w:t>
            </w:r>
          </w:p>
        </w:tc>
        <w:tc>
          <w:tcPr>
            <w:tcW w:w="271" w:type="pct"/>
            <w:vMerge w:val="restart"/>
            <w:vAlign w:val="center"/>
          </w:tcPr>
          <w:p w14:paraId="04475409">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类比法</w:t>
            </w:r>
          </w:p>
        </w:tc>
        <w:tc>
          <w:tcPr>
            <w:tcW w:w="282" w:type="pct"/>
            <w:vAlign w:val="center"/>
          </w:tcPr>
          <w:p w14:paraId="3F6F87E7">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0</w:t>
            </w:r>
          </w:p>
        </w:tc>
        <w:tc>
          <w:tcPr>
            <w:tcW w:w="275" w:type="pct"/>
            <w:vAlign w:val="center"/>
          </w:tcPr>
          <w:p w14:paraId="34BD9052">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0</w:t>
            </w:r>
          </w:p>
        </w:tc>
        <w:tc>
          <w:tcPr>
            <w:tcW w:w="234" w:type="pct"/>
            <w:vAlign w:val="center"/>
          </w:tcPr>
          <w:p w14:paraId="675666BD">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0</w:t>
            </w:r>
          </w:p>
        </w:tc>
        <w:tc>
          <w:tcPr>
            <w:tcW w:w="240" w:type="pct"/>
            <w:vAlign w:val="center"/>
          </w:tcPr>
          <w:p w14:paraId="78B04F67">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管线试压期间</w:t>
            </w:r>
          </w:p>
        </w:tc>
      </w:tr>
      <w:tr w14:paraId="68BB1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07" w:hRule="atLeast"/>
          <w:jc w:val="center"/>
        </w:trPr>
        <w:tc>
          <w:tcPr>
            <w:tcW w:w="227" w:type="pct"/>
            <w:vMerge w:val="restart"/>
            <w:vAlign w:val="center"/>
          </w:tcPr>
          <w:p w14:paraId="07A062F3">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施工</w:t>
            </w:r>
          </w:p>
        </w:tc>
        <w:tc>
          <w:tcPr>
            <w:tcW w:w="306" w:type="pct"/>
            <w:vMerge w:val="restart"/>
            <w:vAlign w:val="center"/>
          </w:tcPr>
          <w:p w14:paraId="2F00A88B">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生活</w:t>
            </w:r>
          </w:p>
        </w:tc>
        <w:tc>
          <w:tcPr>
            <w:tcW w:w="247" w:type="pct"/>
            <w:vMerge w:val="restart"/>
            <w:vAlign w:val="center"/>
          </w:tcPr>
          <w:p w14:paraId="474EB30A">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生活污水</w:t>
            </w:r>
          </w:p>
        </w:tc>
        <w:tc>
          <w:tcPr>
            <w:tcW w:w="281" w:type="pct"/>
            <w:vAlign w:val="center"/>
          </w:tcPr>
          <w:p w14:paraId="3137589B">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COD</w:t>
            </w:r>
          </w:p>
        </w:tc>
        <w:tc>
          <w:tcPr>
            <w:tcW w:w="252" w:type="pct"/>
            <w:vMerge w:val="continue"/>
            <w:vAlign w:val="center"/>
          </w:tcPr>
          <w:p w14:paraId="334F0136">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253" w:type="pct"/>
            <w:vMerge w:val="restart"/>
            <w:vAlign w:val="center"/>
          </w:tcPr>
          <w:p w14:paraId="78EE325B">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576</w:t>
            </w:r>
          </w:p>
        </w:tc>
        <w:tc>
          <w:tcPr>
            <w:tcW w:w="252" w:type="pct"/>
            <w:vAlign w:val="center"/>
          </w:tcPr>
          <w:p w14:paraId="650EC0AC">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300</w:t>
            </w:r>
          </w:p>
        </w:tc>
        <w:tc>
          <w:tcPr>
            <w:tcW w:w="201" w:type="pct"/>
            <w:vAlign w:val="center"/>
          </w:tcPr>
          <w:p w14:paraId="02026AD1">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0.</w:t>
            </w:r>
            <w:r>
              <w:rPr>
                <w:rFonts w:hint="eastAsia" w:ascii="Times New Roman" w:hAnsi="Times New Roman" w:cs="Times New Roman" w:eastAsiaTheme="minorEastAsia"/>
                <w:snapToGrid w:val="0"/>
                <w:color w:val="auto"/>
                <w:w w:val="99"/>
                <w:sz w:val="21"/>
                <w:szCs w:val="21"/>
                <w:highlight w:val="none"/>
              </w:rPr>
              <w:t>173</w:t>
            </w:r>
          </w:p>
        </w:tc>
        <w:tc>
          <w:tcPr>
            <w:tcW w:w="1419" w:type="pct"/>
            <w:vMerge w:val="restart"/>
            <w:vAlign w:val="center"/>
          </w:tcPr>
          <w:p w14:paraId="31C88FB8">
            <w:pPr>
              <w:pStyle w:val="153"/>
              <w:widowControl w:val="0"/>
              <w:spacing w:line="360" w:lineRule="exact"/>
              <w:ind w:firstLine="413"/>
              <w:jc w:val="both"/>
              <w:rPr>
                <w:rFonts w:ascii="Times New Roman" w:hAnsi="Times New Roman" w:eastAsiaTheme="minorEastAsia"/>
                <w:snapToGrid w:val="0"/>
                <w:color w:val="auto"/>
                <w:w w:val="99"/>
                <w:sz w:val="21"/>
                <w:szCs w:val="21"/>
                <w:highlight w:val="none"/>
              </w:rPr>
            </w:pPr>
            <w:r>
              <w:rPr>
                <w:rFonts w:hint="eastAsia" w:ascii="Times New Roman" w:hAnsi="Times New Roman" w:eastAsiaTheme="minorEastAsia"/>
                <w:snapToGrid w:val="0"/>
                <w:color w:val="auto"/>
                <w:w w:val="99"/>
                <w:sz w:val="21"/>
                <w:szCs w:val="21"/>
                <w:highlight w:val="none"/>
              </w:rPr>
              <w:t>排入附近场站已建生活污水收集设施，</w:t>
            </w:r>
            <w:r>
              <w:rPr>
                <w:rFonts w:hint="eastAsia" w:ascii="Times New Roman" w:hAnsi="Times New Roman"/>
                <w:color w:val="auto"/>
                <w:w w:val="99"/>
                <w:sz w:val="21"/>
                <w:szCs w:val="21"/>
                <w:highlight w:val="none"/>
              </w:rPr>
              <w:t>定期由大庆石油管理局有限公司庆南工矿服务公司红岗分公司拉运至大庆红岗区西巷污水回收站，管输至南区污水处理厂进行处理。</w:t>
            </w:r>
          </w:p>
        </w:tc>
        <w:tc>
          <w:tcPr>
            <w:tcW w:w="252" w:type="pct"/>
            <w:tcBorders>
              <w:bottom w:val="single" w:color="auto" w:sz="4" w:space="0"/>
            </w:tcBorders>
            <w:vAlign w:val="center"/>
          </w:tcPr>
          <w:p w14:paraId="763E5DBC">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w:t>
            </w:r>
          </w:p>
        </w:tc>
        <w:tc>
          <w:tcPr>
            <w:tcW w:w="271" w:type="pct"/>
            <w:vMerge w:val="continue"/>
            <w:vAlign w:val="center"/>
          </w:tcPr>
          <w:p w14:paraId="519EE89C">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282" w:type="pct"/>
            <w:vMerge w:val="restart"/>
            <w:vAlign w:val="center"/>
          </w:tcPr>
          <w:p w14:paraId="584E977D">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576</w:t>
            </w:r>
          </w:p>
        </w:tc>
        <w:tc>
          <w:tcPr>
            <w:tcW w:w="275" w:type="pct"/>
            <w:tcBorders>
              <w:bottom w:val="single" w:color="auto" w:sz="4" w:space="0"/>
            </w:tcBorders>
            <w:vAlign w:val="center"/>
          </w:tcPr>
          <w:p w14:paraId="5A16890D">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300</w:t>
            </w:r>
          </w:p>
        </w:tc>
        <w:tc>
          <w:tcPr>
            <w:tcW w:w="234" w:type="pct"/>
            <w:tcBorders>
              <w:bottom w:val="single" w:color="auto" w:sz="4" w:space="0"/>
            </w:tcBorders>
            <w:vAlign w:val="center"/>
          </w:tcPr>
          <w:p w14:paraId="2D948E1E">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0.</w:t>
            </w:r>
            <w:r>
              <w:rPr>
                <w:rFonts w:hint="eastAsia" w:ascii="Times New Roman" w:hAnsi="Times New Roman" w:cs="Times New Roman" w:eastAsiaTheme="minorEastAsia"/>
                <w:snapToGrid w:val="0"/>
                <w:color w:val="auto"/>
                <w:w w:val="99"/>
                <w:sz w:val="21"/>
                <w:szCs w:val="21"/>
                <w:highlight w:val="none"/>
              </w:rPr>
              <w:t>173</w:t>
            </w:r>
          </w:p>
        </w:tc>
        <w:tc>
          <w:tcPr>
            <w:tcW w:w="240" w:type="pct"/>
            <w:vMerge w:val="restart"/>
            <w:vAlign w:val="center"/>
          </w:tcPr>
          <w:p w14:paraId="371CD8EF">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施工期</w:t>
            </w:r>
          </w:p>
        </w:tc>
      </w:tr>
      <w:tr w14:paraId="131E6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27" w:type="pct"/>
            <w:vMerge w:val="continue"/>
            <w:vAlign w:val="center"/>
          </w:tcPr>
          <w:p w14:paraId="6DC62A15">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306" w:type="pct"/>
            <w:vMerge w:val="continue"/>
            <w:vAlign w:val="center"/>
          </w:tcPr>
          <w:p w14:paraId="66496249">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47" w:type="pct"/>
            <w:vMerge w:val="continue"/>
            <w:vAlign w:val="center"/>
          </w:tcPr>
          <w:p w14:paraId="284C71B3">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81" w:type="pct"/>
            <w:vAlign w:val="center"/>
          </w:tcPr>
          <w:p w14:paraId="17B29814">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氨氮</w:t>
            </w:r>
          </w:p>
        </w:tc>
        <w:tc>
          <w:tcPr>
            <w:tcW w:w="252" w:type="pct"/>
            <w:vMerge w:val="continue"/>
            <w:vAlign w:val="center"/>
          </w:tcPr>
          <w:p w14:paraId="3980E5A6">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53" w:type="pct"/>
            <w:vMerge w:val="continue"/>
            <w:vAlign w:val="center"/>
          </w:tcPr>
          <w:p w14:paraId="20F6D57E">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52" w:type="pct"/>
            <w:vAlign w:val="center"/>
          </w:tcPr>
          <w:p w14:paraId="3869017D">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30</w:t>
            </w:r>
          </w:p>
        </w:tc>
        <w:tc>
          <w:tcPr>
            <w:tcW w:w="201" w:type="pct"/>
            <w:vAlign w:val="center"/>
          </w:tcPr>
          <w:p w14:paraId="2F6AF386">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0.0</w:t>
            </w:r>
            <w:r>
              <w:rPr>
                <w:rFonts w:hint="eastAsia" w:ascii="Times New Roman" w:hAnsi="Times New Roman" w:cs="Times New Roman" w:eastAsiaTheme="minorEastAsia"/>
                <w:color w:val="auto"/>
                <w:w w:val="99"/>
                <w:sz w:val="21"/>
                <w:szCs w:val="21"/>
                <w:highlight w:val="none"/>
              </w:rPr>
              <w:t>17</w:t>
            </w:r>
          </w:p>
        </w:tc>
        <w:tc>
          <w:tcPr>
            <w:tcW w:w="1419" w:type="pct"/>
            <w:vMerge w:val="continue"/>
            <w:vAlign w:val="center"/>
          </w:tcPr>
          <w:p w14:paraId="350D30B9">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52" w:type="pct"/>
            <w:tcBorders>
              <w:top w:val="single" w:color="auto" w:sz="4" w:space="0"/>
              <w:bottom w:val="single" w:color="auto" w:sz="4" w:space="0"/>
            </w:tcBorders>
            <w:vAlign w:val="center"/>
          </w:tcPr>
          <w:p w14:paraId="56130944">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271" w:type="pct"/>
            <w:vMerge w:val="continue"/>
            <w:vAlign w:val="center"/>
          </w:tcPr>
          <w:p w14:paraId="33574A4C">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82" w:type="pct"/>
            <w:vMerge w:val="continue"/>
            <w:vAlign w:val="center"/>
          </w:tcPr>
          <w:p w14:paraId="36CA2239">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75" w:type="pct"/>
            <w:tcBorders>
              <w:top w:val="single" w:color="auto" w:sz="4" w:space="0"/>
              <w:bottom w:val="single" w:color="auto" w:sz="4" w:space="0"/>
            </w:tcBorders>
            <w:vAlign w:val="center"/>
          </w:tcPr>
          <w:p w14:paraId="038FABAB">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30</w:t>
            </w:r>
          </w:p>
        </w:tc>
        <w:tc>
          <w:tcPr>
            <w:tcW w:w="234" w:type="pct"/>
            <w:tcBorders>
              <w:top w:val="single" w:color="auto" w:sz="4" w:space="0"/>
              <w:bottom w:val="single" w:color="auto" w:sz="4" w:space="0"/>
            </w:tcBorders>
            <w:vAlign w:val="center"/>
          </w:tcPr>
          <w:p w14:paraId="39B9731F">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0.0</w:t>
            </w:r>
            <w:r>
              <w:rPr>
                <w:rFonts w:hint="eastAsia" w:ascii="Times New Roman" w:hAnsi="Times New Roman" w:cs="Times New Roman" w:eastAsiaTheme="minorEastAsia"/>
                <w:color w:val="auto"/>
                <w:w w:val="99"/>
                <w:sz w:val="21"/>
                <w:szCs w:val="21"/>
                <w:highlight w:val="none"/>
              </w:rPr>
              <w:t>17</w:t>
            </w:r>
          </w:p>
        </w:tc>
        <w:tc>
          <w:tcPr>
            <w:tcW w:w="240" w:type="pct"/>
            <w:vMerge w:val="continue"/>
            <w:vAlign w:val="center"/>
          </w:tcPr>
          <w:p w14:paraId="1A82485A">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r>
    </w:tbl>
    <w:p w14:paraId="0F853203">
      <w:pPr>
        <w:pStyle w:val="153"/>
        <w:widowControl w:val="0"/>
        <w:spacing w:line="440" w:lineRule="exact"/>
        <w:ind w:firstLine="474"/>
        <w:jc w:val="both"/>
        <w:rPr>
          <w:rFonts w:ascii="Times New Roman" w:hAnsi="Times New Roman" w:eastAsiaTheme="minorEastAsia"/>
          <w:b/>
          <w:color w:val="auto"/>
          <w:w w:val="99"/>
          <w:kern w:val="2"/>
          <w:szCs w:val="20"/>
          <w:highlight w:val="none"/>
        </w:rPr>
      </w:pPr>
      <w:r>
        <w:rPr>
          <w:rFonts w:ascii="Times New Roman" w:hAnsi="Times New Roman" w:eastAsiaTheme="minorEastAsia"/>
          <w:b/>
          <w:color w:val="auto"/>
          <w:w w:val="99"/>
          <w:kern w:val="2"/>
          <w:szCs w:val="20"/>
          <w:highlight w:val="none"/>
        </w:rPr>
        <w:t>表</w:t>
      </w:r>
      <w:r>
        <w:rPr>
          <w:rFonts w:hint="eastAsia" w:ascii="Times New Roman" w:hAnsi="Times New Roman" w:eastAsiaTheme="minorEastAsia"/>
          <w:b/>
          <w:color w:val="auto"/>
          <w:w w:val="99"/>
          <w:highlight w:val="none"/>
        </w:rPr>
        <w:t>3.10</w:t>
      </w:r>
      <w:r>
        <w:rPr>
          <w:rFonts w:ascii="Times New Roman" w:hAnsi="Times New Roman" w:eastAsiaTheme="minorEastAsia"/>
          <w:b/>
          <w:color w:val="auto"/>
          <w:w w:val="99"/>
          <w:highlight w:val="none"/>
        </w:rPr>
        <w:t>-1</w:t>
      </w:r>
      <w:r>
        <w:rPr>
          <w:rFonts w:hint="eastAsia" w:ascii="Times New Roman" w:hAnsi="Times New Roman" w:eastAsiaTheme="minorEastAsia"/>
          <w:b/>
          <w:color w:val="auto"/>
          <w:w w:val="99"/>
          <w:highlight w:val="none"/>
        </w:rPr>
        <w:t>3</w:t>
      </w:r>
      <w:r>
        <w:rPr>
          <w:rFonts w:ascii="Times New Roman" w:hAnsi="Times New Roman" w:eastAsiaTheme="minorEastAsia"/>
          <w:b/>
          <w:color w:val="auto"/>
          <w:w w:val="99"/>
          <w:kern w:val="2"/>
          <w:szCs w:val="20"/>
          <w:highlight w:val="none"/>
        </w:rPr>
        <w:t xml:space="preserve">    施工期</w:t>
      </w:r>
      <w:r>
        <w:rPr>
          <w:rFonts w:ascii="Times New Roman" w:hAnsi="Times New Roman" w:eastAsiaTheme="minorEastAsia"/>
          <w:b/>
          <w:color w:val="auto"/>
          <w:w w:val="99"/>
          <w:kern w:val="21"/>
          <w:highlight w:val="none"/>
        </w:rPr>
        <w:t>噪声污染</w:t>
      </w:r>
      <w:r>
        <w:rPr>
          <w:rFonts w:ascii="Times New Roman" w:hAnsi="Times New Roman" w:eastAsiaTheme="minorEastAsia"/>
          <w:b/>
          <w:color w:val="auto"/>
          <w:w w:val="99"/>
          <w:kern w:val="2"/>
          <w:szCs w:val="20"/>
          <w:highlight w:val="none"/>
        </w:rPr>
        <w:t>源源强核算结果及相关参数一览表</w:t>
      </w:r>
    </w:p>
    <w:tbl>
      <w:tblPr>
        <w:tblStyle w:val="81"/>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04"/>
        <w:gridCol w:w="1190"/>
        <w:gridCol w:w="1283"/>
        <w:gridCol w:w="1725"/>
        <w:gridCol w:w="734"/>
        <w:gridCol w:w="1588"/>
        <w:gridCol w:w="1719"/>
        <w:gridCol w:w="1110"/>
        <w:gridCol w:w="1204"/>
        <w:gridCol w:w="1457"/>
        <w:gridCol w:w="1104"/>
      </w:tblGrid>
      <w:tr w14:paraId="572C4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restart"/>
            <w:vAlign w:val="center"/>
          </w:tcPr>
          <w:p w14:paraId="03DC5032">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工序</w:t>
            </w:r>
          </w:p>
        </w:tc>
        <w:tc>
          <w:tcPr>
            <w:tcW w:w="418" w:type="pct"/>
            <w:vMerge w:val="restart"/>
            <w:vAlign w:val="center"/>
          </w:tcPr>
          <w:p w14:paraId="35FD3CFF">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装置</w:t>
            </w:r>
          </w:p>
        </w:tc>
        <w:tc>
          <w:tcPr>
            <w:tcW w:w="451" w:type="pct"/>
            <w:vMerge w:val="restart"/>
            <w:vAlign w:val="center"/>
          </w:tcPr>
          <w:p w14:paraId="4F19CA44">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噪声源</w:t>
            </w:r>
          </w:p>
        </w:tc>
        <w:tc>
          <w:tcPr>
            <w:tcW w:w="606" w:type="pct"/>
            <w:vMerge w:val="restart"/>
            <w:vAlign w:val="center"/>
          </w:tcPr>
          <w:p w14:paraId="2B71856B">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声源类型（频发、偶发等）</w:t>
            </w:r>
          </w:p>
        </w:tc>
        <w:tc>
          <w:tcPr>
            <w:tcW w:w="816" w:type="pct"/>
            <w:gridSpan w:val="2"/>
            <w:vAlign w:val="center"/>
          </w:tcPr>
          <w:p w14:paraId="3D18373B">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噪声源强</w:t>
            </w:r>
          </w:p>
        </w:tc>
        <w:tc>
          <w:tcPr>
            <w:tcW w:w="994" w:type="pct"/>
            <w:gridSpan w:val="2"/>
            <w:vAlign w:val="center"/>
          </w:tcPr>
          <w:p w14:paraId="650BB8B5">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降噪措施</w:t>
            </w:r>
          </w:p>
        </w:tc>
        <w:tc>
          <w:tcPr>
            <w:tcW w:w="935" w:type="pct"/>
            <w:gridSpan w:val="2"/>
            <w:vAlign w:val="center"/>
          </w:tcPr>
          <w:p w14:paraId="0DB9F5A3">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噪声值排放</w:t>
            </w:r>
          </w:p>
        </w:tc>
        <w:tc>
          <w:tcPr>
            <w:tcW w:w="388" w:type="pct"/>
            <w:vMerge w:val="restart"/>
            <w:vAlign w:val="center"/>
          </w:tcPr>
          <w:p w14:paraId="321127B0">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持续时间</w:t>
            </w:r>
          </w:p>
        </w:tc>
      </w:tr>
      <w:tr w14:paraId="423CA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5937C519">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18" w:type="pct"/>
            <w:vMerge w:val="continue"/>
            <w:vAlign w:val="center"/>
          </w:tcPr>
          <w:p w14:paraId="4B913C47">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51" w:type="pct"/>
            <w:vMerge w:val="continue"/>
            <w:vAlign w:val="center"/>
          </w:tcPr>
          <w:p w14:paraId="1DC254B9">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606" w:type="pct"/>
            <w:vMerge w:val="continue"/>
            <w:vAlign w:val="center"/>
          </w:tcPr>
          <w:p w14:paraId="43390A62">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258" w:type="pct"/>
            <w:vAlign w:val="center"/>
          </w:tcPr>
          <w:p w14:paraId="7E502EE2">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核算方法</w:t>
            </w:r>
          </w:p>
        </w:tc>
        <w:tc>
          <w:tcPr>
            <w:tcW w:w="558" w:type="pct"/>
            <w:vAlign w:val="center"/>
          </w:tcPr>
          <w:p w14:paraId="652399C6">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噪声值</w:t>
            </w:r>
          </w:p>
        </w:tc>
        <w:tc>
          <w:tcPr>
            <w:tcW w:w="604" w:type="pct"/>
            <w:vAlign w:val="center"/>
          </w:tcPr>
          <w:p w14:paraId="21CF1C92">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工艺</w:t>
            </w:r>
          </w:p>
        </w:tc>
        <w:tc>
          <w:tcPr>
            <w:tcW w:w="390" w:type="pct"/>
            <w:tcBorders>
              <w:left w:val="single" w:color="auto" w:sz="4" w:space="0"/>
            </w:tcBorders>
            <w:vAlign w:val="center"/>
          </w:tcPr>
          <w:p w14:paraId="2187C623">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降噪效果/dB（A）</w:t>
            </w:r>
          </w:p>
        </w:tc>
        <w:tc>
          <w:tcPr>
            <w:tcW w:w="423" w:type="pct"/>
            <w:vAlign w:val="center"/>
          </w:tcPr>
          <w:p w14:paraId="70C8EFEC">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核算方法</w:t>
            </w:r>
          </w:p>
        </w:tc>
        <w:tc>
          <w:tcPr>
            <w:tcW w:w="512" w:type="pct"/>
            <w:vAlign w:val="center"/>
          </w:tcPr>
          <w:p w14:paraId="67A92E50">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噪声值</w:t>
            </w:r>
          </w:p>
        </w:tc>
        <w:tc>
          <w:tcPr>
            <w:tcW w:w="388" w:type="pct"/>
            <w:vMerge w:val="continue"/>
            <w:vAlign w:val="center"/>
          </w:tcPr>
          <w:p w14:paraId="60629D62">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r>
      <w:tr w14:paraId="344E52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restart"/>
            <w:vAlign w:val="center"/>
          </w:tcPr>
          <w:p w14:paraId="2D17B931">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hint="eastAsia" w:ascii="Times New Roman" w:hAnsi="Times New Roman" w:cs="Times New Roman" w:eastAsiaTheme="minorEastAsia"/>
                <w:color w:val="auto"/>
                <w:w w:val="99"/>
                <w:kern w:val="2"/>
                <w:sz w:val="20"/>
                <w:szCs w:val="15"/>
                <w:highlight w:val="none"/>
              </w:rPr>
              <w:t>井场、</w:t>
            </w:r>
            <w:r>
              <w:rPr>
                <w:rFonts w:ascii="Times New Roman" w:hAnsi="Times New Roman" w:cs="Times New Roman" w:eastAsiaTheme="minorEastAsia"/>
                <w:color w:val="auto"/>
                <w:w w:val="99"/>
                <w:kern w:val="2"/>
                <w:sz w:val="20"/>
                <w:szCs w:val="15"/>
                <w:highlight w:val="none"/>
              </w:rPr>
              <w:t>管线施工</w:t>
            </w:r>
          </w:p>
        </w:tc>
        <w:tc>
          <w:tcPr>
            <w:tcW w:w="418" w:type="pct"/>
            <w:vMerge w:val="restart"/>
            <w:vAlign w:val="center"/>
          </w:tcPr>
          <w:p w14:paraId="022860B9">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施工机械</w:t>
            </w:r>
          </w:p>
        </w:tc>
        <w:tc>
          <w:tcPr>
            <w:tcW w:w="451" w:type="pct"/>
          </w:tcPr>
          <w:p w14:paraId="62135D77">
            <w:pPr>
              <w:pStyle w:val="2857"/>
              <w:spacing w:line="360" w:lineRule="exact"/>
              <w:jc w:val="center"/>
              <w:rPr>
                <w:rFonts w:ascii="Times New Roman" w:hAnsi="Times New Roman" w:cs="Times New Roman" w:eastAsiaTheme="minorEastAsia"/>
                <w:color w:val="auto"/>
                <w:w w:val="99"/>
                <w:kern w:val="2"/>
                <w:szCs w:val="15"/>
                <w:highlight w:val="none"/>
              </w:rPr>
            </w:pPr>
            <w:r>
              <w:rPr>
                <w:rFonts w:ascii="Times New Roman" w:hAnsi="Times New Roman" w:cs="Times New Roman" w:eastAsiaTheme="minorEastAsia"/>
                <w:color w:val="auto"/>
                <w:w w:val="99"/>
                <w:kern w:val="2"/>
                <w:szCs w:val="15"/>
                <w:highlight w:val="none"/>
                <w:lang w:eastAsia="zh-CN"/>
              </w:rPr>
              <w:t>挖掘机</w:t>
            </w:r>
          </w:p>
        </w:tc>
        <w:tc>
          <w:tcPr>
            <w:tcW w:w="606" w:type="pct"/>
          </w:tcPr>
          <w:p w14:paraId="1BF58A48">
            <w:pPr>
              <w:pStyle w:val="2857"/>
              <w:spacing w:line="360" w:lineRule="exact"/>
              <w:jc w:val="center"/>
              <w:rPr>
                <w:rFonts w:ascii="Times New Roman" w:hAnsi="Times New Roman" w:cs="Times New Roman" w:eastAsiaTheme="minorEastAsia"/>
                <w:color w:val="auto"/>
                <w:w w:val="99"/>
                <w:kern w:val="2"/>
                <w:szCs w:val="15"/>
                <w:highlight w:val="none"/>
              </w:rPr>
            </w:pPr>
            <w:r>
              <w:rPr>
                <w:rFonts w:ascii="Times New Roman" w:hAnsi="Times New Roman" w:cs="Times New Roman" w:eastAsiaTheme="minorEastAsia"/>
                <w:color w:val="auto"/>
                <w:w w:val="99"/>
                <w:kern w:val="2"/>
                <w:szCs w:val="15"/>
                <w:highlight w:val="none"/>
                <w:lang w:eastAsia="zh-CN"/>
              </w:rPr>
              <w:t>固定声源</w:t>
            </w:r>
          </w:p>
        </w:tc>
        <w:tc>
          <w:tcPr>
            <w:tcW w:w="258" w:type="pct"/>
            <w:vMerge w:val="restart"/>
            <w:vAlign w:val="center"/>
          </w:tcPr>
          <w:p w14:paraId="35C6B3CA">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类比法</w:t>
            </w:r>
          </w:p>
        </w:tc>
        <w:tc>
          <w:tcPr>
            <w:tcW w:w="558" w:type="pct"/>
          </w:tcPr>
          <w:p w14:paraId="22EC18BD">
            <w:pPr>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90</w:t>
            </w:r>
          </w:p>
        </w:tc>
        <w:tc>
          <w:tcPr>
            <w:tcW w:w="604" w:type="pct"/>
            <w:vMerge w:val="restart"/>
            <w:vAlign w:val="center"/>
          </w:tcPr>
          <w:p w14:paraId="567DC1A8">
            <w:pPr>
              <w:pStyle w:val="2857"/>
              <w:spacing w:line="360" w:lineRule="exact"/>
              <w:jc w:val="center"/>
              <w:rPr>
                <w:rFonts w:ascii="Times New Roman" w:hAnsi="Times New Roman" w:cs="Times New Roman" w:eastAsiaTheme="minorEastAsia"/>
                <w:color w:val="auto"/>
                <w:w w:val="99"/>
                <w:kern w:val="2"/>
                <w:szCs w:val="15"/>
                <w:highlight w:val="none"/>
                <w:lang w:eastAsia="zh-CN"/>
              </w:rPr>
            </w:pPr>
            <w:r>
              <w:rPr>
                <w:rFonts w:ascii="Times New Roman" w:hAnsi="Times New Roman" w:cs="Times New Roman" w:eastAsiaTheme="minorEastAsia"/>
                <w:color w:val="auto"/>
                <w:w w:val="99"/>
                <w:kern w:val="2"/>
                <w:szCs w:val="15"/>
                <w:highlight w:val="none"/>
                <w:lang w:eastAsia="zh-CN"/>
              </w:rPr>
              <w:t>选用低噪音设</w:t>
            </w:r>
          </w:p>
          <w:p w14:paraId="317B304F">
            <w:pPr>
              <w:pStyle w:val="2857"/>
              <w:spacing w:line="360" w:lineRule="exact"/>
              <w:jc w:val="center"/>
              <w:rPr>
                <w:rFonts w:ascii="Times New Roman" w:hAnsi="Times New Roman" w:cs="Times New Roman" w:eastAsiaTheme="minorEastAsia"/>
                <w:color w:val="auto"/>
                <w:w w:val="99"/>
                <w:kern w:val="2"/>
                <w:szCs w:val="15"/>
                <w:highlight w:val="none"/>
                <w:lang w:eastAsia="zh-CN"/>
              </w:rPr>
            </w:pPr>
            <w:r>
              <w:rPr>
                <w:rFonts w:ascii="Times New Roman" w:hAnsi="Times New Roman" w:cs="Times New Roman" w:eastAsiaTheme="minorEastAsia"/>
                <w:color w:val="auto"/>
                <w:w w:val="99"/>
                <w:kern w:val="2"/>
                <w:szCs w:val="15"/>
                <w:highlight w:val="none"/>
                <w:lang w:eastAsia="zh-CN"/>
              </w:rPr>
              <w:t>备，并采取减</w:t>
            </w:r>
          </w:p>
          <w:p w14:paraId="5DF91E37">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振、隔声等降噪措施</w:t>
            </w:r>
          </w:p>
        </w:tc>
        <w:tc>
          <w:tcPr>
            <w:tcW w:w="390" w:type="pct"/>
            <w:vAlign w:val="center"/>
          </w:tcPr>
          <w:p w14:paraId="390903D1">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w:t>
            </w:r>
          </w:p>
        </w:tc>
        <w:tc>
          <w:tcPr>
            <w:tcW w:w="423" w:type="pct"/>
            <w:vAlign w:val="center"/>
          </w:tcPr>
          <w:p w14:paraId="29E4289E">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类比法</w:t>
            </w:r>
          </w:p>
        </w:tc>
        <w:tc>
          <w:tcPr>
            <w:tcW w:w="512" w:type="pct"/>
          </w:tcPr>
          <w:p w14:paraId="30F6F803">
            <w:pPr>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90</w:t>
            </w:r>
          </w:p>
        </w:tc>
        <w:tc>
          <w:tcPr>
            <w:tcW w:w="388" w:type="pct"/>
            <w:vMerge w:val="restart"/>
            <w:vAlign w:val="center"/>
          </w:tcPr>
          <w:p w14:paraId="0D9550ED">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施工期</w:t>
            </w:r>
          </w:p>
        </w:tc>
      </w:tr>
      <w:tr w14:paraId="3192F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3BC610EF">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18" w:type="pct"/>
            <w:vMerge w:val="continue"/>
            <w:vAlign w:val="center"/>
          </w:tcPr>
          <w:p w14:paraId="38847E1C">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51" w:type="pct"/>
          </w:tcPr>
          <w:p w14:paraId="4DE6D77B">
            <w:pPr>
              <w:pStyle w:val="2857"/>
              <w:spacing w:line="360" w:lineRule="exact"/>
              <w:jc w:val="center"/>
              <w:rPr>
                <w:rFonts w:ascii="Times New Roman" w:hAnsi="Times New Roman" w:cs="Times New Roman" w:eastAsiaTheme="minorEastAsia"/>
                <w:color w:val="auto"/>
                <w:w w:val="99"/>
                <w:kern w:val="2"/>
                <w:szCs w:val="15"/>
                <w:highlight w:val="none"/>
              </w:rPr>
            </w:pPr>
            <w:r>
              <w:rPr>
                <w:rFonts w:ascii="Times New Roman" w:hAnsi="Times New Roman" w:cs="Times New Roman" w:eastAsiaTheme="minorEastAsia"/>
                <w:color w:val="auto"/>
                <w:w w:val="99"/>
                <w:kern w:val="2"/>
                <w:szCs w:val="15"/>
                <w:highlight w:val="none"/>
                <w:lang w:eastAsia="zh-CN"/>
              </w:rPr>
              <w:t>推土机</w:t>
            </w:r>
          </w:p>
        </w:tc>
        <w:tc>
          <w:tcPr>
            <w:tcW w:w="606" w:type="pct"/>
          </w:tcPr>
          <w:p w14:paraId="2BE56553">
            <w:pPr>
              <w:pStyle w:val="2857"/>
              <w:spacing w:line="360" w:lineRule="exact"/>
              <w:jc w:val="center"/>
              <w:rPr>
                <w:rFonts w:ascii="Times New Roman" w:hAnsi="Times New Roman" w:cs="Times New Roman" w:eastAsiaTheme="minorEastAsia"/>
                <w:color w:val="auto"/>
                <w:w w:val="99"/>
                <w:kern w:val="2"/>
                <w:szCs w:val="15"/>
                <w:highlight w:val="none"/>
              </w:rPr>
            </w:pPr>
            <w:r>
              <w:rPr>
                <w:rFonts w:ascii="Times New Roman" w:hAnsi="Times New Roman" w:cs="Times New Roman" w:eastAsiaTheme="minorEastAsia"/>
                <w:color w:val="auto"/>
                <w:w w:val="99"/>
                <w:kern w:val="2"/>
                <w:szCs w:val="15"/>
                <w:highlight w:val="none"/>
                <w:lang w:eastAsia="zh-CN"/>
              </w:rPr>
              <w:t>固定声源</w:t>
            </w:r>
          </w:p>
        </w:tc>
        <w:tc>
          <w:tcPr>
            <w:tcW w:w="258" w:type="pct"/>
            <w:vMerge w:val="continue"/>
            <w:vAlign w:val="center"/>
          </w:tcPr>
          <w:p w14:paraId="1A6CDA40">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558" w:type="pct"/>
          </w:tcPr>
          <w:p w14:paraId="5CFD8C76">
            <w:pPr>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88</w:t>
            </w:r>
          </w:p>
        </w:tc>
        <w:tc>
          <w:tcPr>
            <w:tcW w:w="604" w:type="pct"/>
            <w:vMerge w:val="continue"/>
            <w:vAlign w:val="center"/>
          </w:tcPr>
          <w:p w14:paraId="06026216">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390" w:type="pct"/>
            <w:vAlign w:val="center"/>
          </w:tcPr>
          <w:p w14:paraId="2479A9F4">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w:t>
            </w:r>
          </w:p>
        </w:tc>
        <w:tc>
          <w:tcPr>
            <w:tcW w:w="423" w:type="pct"/>
            <w:vAlign w:val="center"/>
          </w:tcPr>
          <w:p w14:paraId="6A79C5D0">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类比法</w:t>
            </w:r>
          </w:p>
        </w:tc>
        <w:tc>
          <w:tcPr>
            <w:tcW w:w="512" w:type="pct"/>
          </w:tcPr>
          <w:p w14:paraId="5CA6A409">
            <w:pPr>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88</w:t>
            </w:r>
          </w:p>
        </w:tc>
        <w:tc>
          <w:tcPr>
            <w:tcW w:w="388" w:type="pct"/>
            <w:vMerge w:val="continue"/>
            <w:vAlign w:val="center"/>
          </w:tcPr>
          <w:p w14:paraId="7FEFE78D">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r>
      <w:tr w14:paraId="6E0B9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6E14A896">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18" w:type="pct"/>
            <w:vMerge w:val="continue"/>
            <w:vAlign w:val="center"/>
          </w:tcPr>
          <w:p w14:paraId="299486D1">
            <w:pPr>
              <w:widowControl w:val="0"/>
              <w:spacing w:line="360" w:lineRule="exact"/>
              <w:jc w:val="center"/>
              <w:rPr>
                <w:rFonts w:ascii="Times New Roman" w:hAnsi="Times New Roman" w:cs="Times New Roman" w:eastAsiaTheme="minorEastAsia"/>
                <w:color w:val="auto"/>
                <w:w w:val="99"/>
                <w:kern w:val="2"/>
                <w:sz w:val="20"/>
                <w:szCs w:val="15"/>
                <w:highlight w:val="none"/>
              </w:rPr>
            </w:pPr>
          </w:p>
        </w:tc>
        <w:tc>
          <w:tcPr>
            <w:tcW w:w="451" w:type="pct"/>
          </w:tcPr>
          <w:p w14:paraId="4204D15F">
            <w:pPr>
              <w:pStyle w:val="2857"/>
              <w:spacing w:line="360" w:lineRule="exact"/>
              <w:jc w:val="center"/>
              <w:rPr>
                <w:rFonts w:ascii="Times New Roman" w:hAnsi="Times New Roman" w:cs="Times New Roman" w:eastAsiaTheme="minorEastAsia"/>
                <w:color w:val="auto"/>
                <w:w w:val="99"/>
                <w:kern w:val="2"/>
                <w:szCs w:val="15"/>
                <w:highlight w:val="none"/>
              </w:rPr>
            </w:pPr>
            <w:r>
              <w:rPr>
                <w:rFonts w:ascii="Times New Roman" w:hAnsi="Times New Roman" w:cs="Times New Roman" w:eastAsiaTheme="minorEastAsia"/>
                <w:color w:val="auto"/>
                <w:w w:val="99"/>
                <w:kern w:val="2"/>
                <w:szCs w:val="15"/>
                <w:highlight w:val="none"/>
                <w:lang w:eastAsia="zh-CN"/>
              </w:rPr>
              <w:t>压路机</w:t>
            </w:r>
          </w:p>
        </w:tc>
        <w:tc>
          <w:tcPr>
            <w:tcW w:w="606" w:type="pct"/>
          </w:tcPr>
          <w:p w14:paraId="4DE1145C">
            <w:pPr>
              <w:pStyle w:val="2857"/>
              <w:spacing w:line="360" w:lineRule="exact"/>
              <w:jc w:val="center"/>
              <w:rPr>
                <w:rFonts w:ascii="Times New Roman" w:hAnsi="Times New Roman" w:cs="Times New Roman" w:eastAsiaTheme="minorEastAsia"/>
                <w:color w:val="auto"/>
                <w:w w:val="99"/>
                <w:kern w:val="2"/>
                <w:szCs w:val="15"/>
                <w:highlight w:val="none"/>
              </w:rPr>
            </w:pPr>
            <w:r>
              <w:rPr>
                <w:rFonts w:ascii="Times New Roman" w:hAnsi="Times New Roman" w:cs="Times New Roman" w:eastAsiaTheme="minorEastAsia"/>
                <w:color w:val="auto"/>
                <w:w w:val="99"/>
                <w:kern w:val="2"/>
                <w:szCs w:val="15"/>
                <w:highlight w:val="none"/>
                <w:lang w:eastAsia="zh-CN"/>
              </w:rPr>
              <w:t>流动声源</w:t>
            </w:r>
          </w:p>
        </w:tc>
        <w:tc>
          <w:tcPr>
            <w:tcW w:w="258" w:type="pct"/>
            <w:vMerge w:val="continue"/>
            <w:vAlign w:val="center"/>
          </w:tcPr>
          <w:p w14:paraId="4ED6E802">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558" w:type="pct"/>
          </w:tcPr>
          <w:p w14:paraId="258F85B8">
            <w:pPr>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90</w:t>
            </w:r>
          </w:p>
        </w:tc>
        <w:tc>
          <w:tcPr>
            <w:tcW w:w="604" w:type="pct"/>
            <w:vMerge w:val="continue"/>
            <w:vAlign w:val="center"/>
          </w:tcPr>
          <w:p w14:paraId="0E09BA64">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390" w:type="pct"/>
            <w:vAlign w:val="center"/>
          </w:tcPr>
          <w:p w14:paraId="264039F0">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w:t>
            </w:r>
          </w:p>
        </w:tc>
        <w:tc>
          <w:tcPr>
            <w:tcW w:w="423" w:type="pct"/>
            <w:vAlign w:val="center"/>
          </w:tcPr>
          <w:p w14:paraId="08FB7B17">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类比法</w:t>
            </w:r>
          </w:p>
        </w:tc>
        <w:tc>
          <w:tcPr>
            <w:tcW w:w="512" w:type="pct"/>
          </w:tcPr>
          <w:p w14:paraId="32ADDF19">
            <w:pPr>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90</w:t>
            </w:r>
          </w:p>
        </w:tc>
        <w:tc>
          <w:tcPr>
            <w:tcW w:w="388" w:type="pct"/>
            <w:vMerge w:val="continue"/>
            <w:vAlign w:val="center"/>
          </w:tcPr>
          <w:p w14:paraId="53548F55">
            <w:pPr>
              <w:widowControl w:val="0"/>
              <w:adjustRightInd w:val="0"/>
              <w:spacing w:line="360" w:lineRule="exact"/>
              <w:ind w:firstLine="482"/>
              <w:jc w:val="center"/>
              <w:rPr>
                <w:rFonts w:ascii="Times New Roman" w:hAnsi="Times New Roman" w:cs="Times New Roman" w:eastAsiaTheme="minorEastAsia"/>
                <w:color w:val="auto"/>
                <w:w w:val="99"/>
                <w:kern w:val="2"/>
                <w:sz w:val="20"/>
                <w:szCs w:val="15"/>
                <w:highlight w:val="none"/>
              </w:rPr>
            </w:pPr>
          </w:p>
        </w:tc>
      </w:tr>
      <w:tr w14:paraId="0EABB9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4D3EB78A">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18" w:type="pct"/>
            <w:vMerge w:val="continue"/>
            <w:vAlign w:val="center"/>
          </w:tcPr>
          <w:p w14:paraId="7A140537">
            <w:pPr>
              <w:widowControl w:val="0"/>
              <w:spacing w:line="360" w:lineRule="exact"/>
              <w:jc w:val="center"/>
              <w:rPr>
                <w:rFonts w:ascii="Times New Roman" w:hAnsi="Times New Roman" w:cs="Times New Roman" w:eastAsiaTheme="minorEastAsia"/>
                <w:color w:val="auto"/>
                <w:w w:val="99"/>
                <w:kern w:val="2"/>
                <w:sz w:val="20"/>
                <w:szCs w:val="15"/>
                <w:highlight w:val="none"/>
              </w:rPr>
            </w:pPr>
          </w:p>
        </w:tc>
        <w:tc>
          <w:tcPr>
            <w:tcW w:w="451" w:type="pct"/>
          </w:tcPr>
          <w:p w14:paraId="6D19183F">
            <w:pPr>
              <w:pStyle w:val="2857"/>
              <w:spacing w:line="360" w:lineRule="exact"/>
              <w:jc w:val="center"/>
              <w:rPr>
                <w:rFonts w:ascii="Times New Roman" w:hAnsi="Times New Roman" w:cs="Times New Roman" w:eastAsiaTheme="minorEastAsia"/>
                <w:color w:val="auto"/>
                <w:w w:val="99"/>
                <w:kern w:val="2"/>
                <w:szCs w:val="15"/>
                <w:highlight w:val="none"/>
              </w:rPr>
            </w:pPr>
            <w:r>
              <w:rPr>
                <w:rFonts w:ascii="Times New Roman" w:hAnsi="Times New Roman" w:cs="Times New Roman" w:eastAsiaTheme="minorEastAsia"/>
                <w:color w:val="auto"/>
                <w:w w:val="99"/>
                <w:kern w:val="2"/>
                <w:szCs w:val="15"/>
                <w:highlight w:val="none"/>
                <w:lang w:eastAsia="zh-CN"/>
              </w:rPr>
              <w:t>运输车辆</w:t>
            </w:r>
          </w:p>
        </w:tc>
        <w:tc>
          <w:tcPr>
            <w:tcW w:w="606" w:type="pct"/>
          </w:tcPr>
          <w:p w14:paraId="76C42018">
            <w:pPr>
              <w:pStyle w:val="2857"/>
              <w:spacing w:line="360" w:lineRule="exact"/>
              <w:jc w:val="center"/>
              <w:rPr>
                <w:rFonts w:ascii="Times New Roman" w:hAnsi="Times New Roman" w:cs="Times New Roman" w:eastAsiaTheme="minorEastAsia"/>
                <w:color w:val="auto"/>
                <w:w w:val="99"/>
                <w:kern w:val="2"/>
                <w:szCs w:val="15"/>
                <w:highlight w:val="none"/>
              </w:rPr>
            </w:pPr>
            <w:r>
              <w:rPr>
                <w:rFonts w:ascii="Times New Roman" w:hAnsi="Times New Roman" w:cs="Times New Roman" w:eastAsiaTheme="minorEastAsia"/>
                <w:color w:val="auto"/>
                <w:w w:val="99"/>
                <w:kern w:val="2"/>
                <w:szCs w:val="15"/>
                <w:highlight w:val="none"/>
                <w:lang w:eastAsia="zh-CN"/>
              </w:rPr>
              <w:t>流动声源</w:t>
            </w:r>
          </w:p>
        </w:tc>
        <w:tc>
          <w:tcPr>
            <w:tcW w:w="258" w:type="pct"/>
            <w:vMerge w:val="continue"/>
            <w:vAlign w:val="center"/>
          </w:tcPr>
          <w:p w14:paraId="5D10389F">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558" w:type="pct"/>
          </w:tcPr>
          <w:p w14:paraId="525907FF">
            <w:pPr>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90</w:t>
            </w:r>
          </w:p>
        </w:tc>
        <w:tc>
          <w:tcPr>
            <w:tcW w:w="604" w:type="pct"/>
            <w:vMerge w:val="continue"/>
            <w:vAlign w:val="center"/>
          </w:tcPr>
          <w:p w14:paraId="3C94B27B">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390" w:type="pct"/>
            <w:vAlign w:val="center"/>
          </w:tcPr>
          <w:p w14:paraId="2F8FE14A">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w:t>
            </w:r>
          </w:p>
        </w:tc>
        <w:tc>
          <w:tcPr>
            <w:tcW w:w="423" w:type="pct"/>
            <w:vAlign w:val="center"/>
          </w:tcPr>
          <w:p w14:paraId="3DC2AE19">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类比法</w:t>
            </w:r>
          </w:p>
        </w:tc>
        <w:tc>
          <w:tcPr>
            <w:tcW w:w="512" w:type="pct"/>
          </w:tcPr>
          <w:p w14:paraId="709DC33B">
            <w:pPr>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90</w:t>
            </w:r>
          </w:p>
        </w:tc>
        <w:tc>
          <w:tcPr>
            <w:tcW w:w="388" w:type="pct"/>
            <w:vMerge w:val="continue"/>
            <w:vAlign w:val="center"/>
          </w:tcPr>
          <w:p w14:paraId="6F579994">
            <w:pPr>
              <w:widowControl w:val="0"/>
              <w:adjustRightInd w:val="0"/>
              <w:spacing w:line="360" w:lineRule="exact"/>
              <w:ind w:firstLine="482"/>
              <w:jc w:val="center"/>
              <w:rPr>
                <w:rFonts w:ascii="Times New Roman" w:hAnsi="Times New Roman" w:cs="Times New Roman" w:eastAsiaTheme="minorEastAsia"/>
                <w:color w:val="auto"/>
                <w:w w:val="99"/>
                <w:kern w:val="2"/>
                <w:sz w:val="20"/>
                <w:szCs w:val="15"/>
                <w:highlight w:val="none"/>
              </w:rPr>
            </w:pPr>
          </w:p>
        </w:tc>
      </w:tr>
      <w:tr w14:paraId="7AD5AC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6CF38664">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18" w:type="pct"/>
            <w:vMerge w:val="continue"/>
            <w:vAlign w:val="center"/>
          </w:tcPr>
          <w:p w14:paraId="5577A775">
            <w:pPr>
              <w:widowControl w:val="0"/>
              <w:spacing w:line="360" w:lineRule="exact"/>
              <w:jc w:val="center"/>
              <w:rPr>
                <w:rFonts w:ascii="Times New Roman" w:hAnsi="Times New Roman" w:cs="Times New Roman" w:eastAsiaTheme="minorEastAsia"/>
                <w:color w:val="auto"/>
                <w:w w:val="99"/>
                <w:kern w:val="2"/>
                <w:sz w:val="20"/>
                <w:szCs w:val="15"/>
                <w:highlight w:val="none"/>
              </w:rPr>
            </w:pPr>
          </w:p>
        </w:tc>
        <w:tc>
          <w:tcPr>
            <w:tcW w:w="451" w:type="pct"/>
          </w:tcPr>
          <w:p w14:paraId="6A601A87">
            <w:pPr>
              <w:pStyle w:val="2857"/>
              <w:spacing w:line="360" w:lineRule="exact"/>
              <w:jc w:val="center"/>
              <w:rPr>
                <w:rFonts w:ascii="Times New Roman" w:hAnsi="Times New Roman" w:cs="Times New Roman" w:eastAsiaTheme="minorEastAsia"/>
                <w:color w:val="auto"/>
                <w:w w:val="99"/>
                <w:kern w:val="2"/>
                <w:szCs w:val="15"/>
                <w:highlight w:val="none"/>
              </w:rPr>
            </w:pPr>
            <w:r>
              <w:rPr>
                <w:rFonts w:ascii="Times New Roman" w:hAnsi="Times New Roman" w:cs="Times New Roman" w:eastAsiaTheme="minorEastAsia"/>
                <w:color w:val="auto"/>
                <w:w w:val="99"/>
                <w:kern w:val="2"/>
                <w:szCs w:val="15"/>
                <w:highlight w:val="none"/>
                <w:lang w:eastAsia="zh-CN"/>
              </w:rPr>
              <w:t>电焊机</w:t>
            </w:r>
          </w:p>
        </w:tc>
        <w:tc>
          <w:tcPr>
            <w:tcW w:w="606" w:type="pct"/>
          </w:tcPr>
          <w:p w14:paraId="03E6A3E2">
            <w:pPr>
              <w:pStyle w:val="2857"/>
              <w:spacing w:line="360" w:lineRule="exact"/>
              <w:jc w:val="center"/>
              <w:rPr>
                <w:rFonts w:ascii="Times New Roman" w:hAnsi="Times New Roman" w:cs="Times New Roman" w:eastAsiaTheme="minorEastAsia"/>
                <w:color w:val="auto"/>
                <w:w w:val="99"/>
                <w:kern w:val="2"/>
                <w:szCs w:val="15"/>
                <w:highlight w:val="none"/>
              </w:rPr>
            </w:pPr>
            <w:r>
              <w:rPr>
                <w:rFonts w:ascii="Times New Roman" w:hAnsi="Times New Roman" w:cs="Times New Roman" w:eastAsiaTheme="minorEastAsia"/>
                <w:color w:val="auto"/>
                <w:w w:val="99"/>
                <w:kern w:val="2"/>
                <w:szCs w:val="15"/>
                <w:highlight w:val="none"/>
                <w:lang w:eastAsia="zh-CN"/>
              </w:rPr>
              <w:t>固定声源</w:t>
            </w:r>
          </w:p>
        </w:tc>
        <w:tc>
          <w:tcPr>
            <w:tcW w:w="258" w:type="pct"/>
            <w:vMerge w:val="continue"/>
            <w:vAlign w:val="center"/>
          </w:tcPr>
          <w:p w14:paraId="4229CBB9">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558" w:type="pct"/>
          </w:tcPr>
          <w:p w14:paraId="58796201">
            <w:pPr>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95</w:t>
            </w:r>
          </w:p>
        </w:tc>
        <w:tc>
          <w:tcPr>
            <w:tcW w:w="604" w:type="pct"/>
            <w:vMerge w:val="continue"/>
            <w:vAlign w:val="center"/>
          </w:tcPr>
          <w:p w14:paraId="43B1AC7C">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390" w:type="pct"/>
            <w:vAlign w:val="center"/>
          </w:tcPr>
          <w:p w14:paraId="1232EF03">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w:t>
            </w:r>
          </w:p>
        </w:tc>
        <w:tc>
          <w:tcPr>
            <w:tcW w:w="423" w:type="pct"/>
            <w:vAlign w:val="center"/>
          </w:tcPr>
          <w:p w14:paraId="4707F106">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类比法</w:t>
            </w:r>
          </w:p>
        </w:tc>
        <w:tc>
          <w:tcPr>
            <w:tcW w:w="512" w:type="pct"/>
          </w:tcPr>
          <w:p w14:paraId="16B65018">
            <w:pPr>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95</w:t>
            </w:r>
          </w:p>
        </w:tc>
        <w:tc>
          <w:tcPr>
            <w:tcW w:w="388" w:type="pct"/>
            <w:vMerge w:val="continue"/>
            <w:vAlign w:val="center"/>
          </w:tcPr>
          <w:p w14:paraId="6B2B652F">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r>
      <w:tr w14:paraId="5C31A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72407D29">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18" w:type="pct"/>
            <w:vMerge w:val="continue"/>
            <w:vAlign w:val="center"/>
          </w:tcPr>
          <w:p w14:paraId="2F0E70BA">
            <w:pPr>
              <w:widowControl w:val="0"/>
              <w:spacing w:line="360" w:lineRule="exact"/>
              <w:jc w:val="center"/>
              <w:rPr>
                <w:rFonts w:ascii="Times New Roman" w:hAnsi="Times New Roman" w:cs="Times New Roman" w:eastAsiaTheme="minorEastAsia"/>
                <w:color w:val="auto"/>
                <w:w w:val="99"/>
                <w:kern w:val="2"/>
                <w:sz w:val="20"/>
                <w:szCs w:val="15"/>
                <w:highlight w:val="none"/>
              </w:rPr>
            </w:pPr>
          </w:p>
        </w:tc>
        <w:tc>
          <w:tcPr>
            <w:tcW w:w="451" w:type="pct"/>
          </w:tcPr>
          <w:p w14:paraId="58075986">
            <w:pPr>
              <w:pStyle w:val="2857"/>
              <w:spacing w:line="360" w:lineRule="exact"/>
              <w:jc w:val="center"/>
              <w:rPr>
                <w:rFonts w:ascii="Times New Roman" w:hAnsi="Times New Roman" w:cs="Times New Roman" w:eastAsiaTheme="minorEastAsia"/>
                <w:color w:val="auto"/>
                <w:w w:val="99"/>
                <w:kern w:val="2"/>
                <w:szCs w:val="15"/>
                <w:highlight w:val="none"/>
              </w:rPr>
            </w:pPr>
            <w:r>
              <w:rPr>
                <w:rFonts w:ascii="Times New Roman" w:hAnsi="Times New Roman" w:cs="Times New Roman" w:eastAsiaTheme="minorEastAsia"/>
                <w:color w:val="auto"/>
                <w:w w:val="99"/>
                <w:kern w:val="2"/>
                <w:szCs w:val="15"/>
                <w:highlight w:val="none"/>
                <w:lang w:eastAsia="zh-CN"/>
              </w:rPr>
              <w:t>吊管机</w:t>
            </w:r>
          </w:p>
        </w:tc>
        <w:tc>
          <w:tcPr>
            <w:tcW w:w="606" w:type="pct"/>
          </w:tcPr>
          <w:p w14:paraId="2D024E3C">
            <w:pPr>
              <w:pStyle w:val="2857"/>
              <w:spacing w:line="360" w:lineRule="exact"/>
              <w:jc w:val="center"/>
              <w:rPr>
                <w:rFonts w:ascii="Times New Roman" w:hAnsi="Times New Roman" w:cs="Times New Roman" w:eastAsiaTheme="minorEastAsia"/>
                <w:color w:val="auto"/>
                <w:w w:val="99"/>
                <w:kern w:val="2"/>
                <w:szCs w:val="15"/>
                <w:highlight w:val="none"/>
              </w:rPr>
            </w:pPr>
            <w:r>
              <w:rPr>
                <w:rFonts w:ascii="Times New Roman" w:hAnsi="Times New Roman" w:cs="Times New Roman" w:eastAsiaTheme="minorEastAsia"/>
                <w:color w:val="auto"/>
                <w:w w:val="99"/>
                <w:kern w:val="2"/>
                <w:szCs w:val="15"/>
                <w:highlight w:val="none"/>
                <w:lang w:eastAsia="zh-CN"/>
              </w:rPr>
              <w:t>固定声源</w:t>
            </w:r>
          </w:p>
        </w:tc>
        <w:tc>
          <w:tcPr>
            <w:tcW w:w="258" w:type="pct"/>
            <w:vMerge w:val="continue"/>
            <w:vAlign w:val="center"/>
          </w:tcPr>
          <w:p w14:paraId="4C80247F">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558" w:type="pct"/>
          </w:tcPr>
          <w:p w14:paraId="6B04E7AA">
            <w:pPr>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75</w:t>
            </w:r>
          </w:p>
        </w:tc>
        <w:tc>
          <w:tcPr>
            <w:tcW w:w="604" w:type="pct"/>
            <w:vMerge w:val="continue"/>
            <w:vAlign w:val="center"/>
          </w:tcPr>
          <w:p w14:paraId="36384232">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390" w:type="pct"/>
            <w:vAlign w:val="center"/>
          </w:tcPr>
          <w:p w14:paraId="27503F1F">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w:t>
            </w:r>
          </w:p>
        </w:tc>
        <w:tc>
          <w:tcPr>
            <w:tcW w:w="423" w:type="pct"/>
            <w:vAlign w:val="center"/>
          </w:tcPr>
          <w:p w14:paraId="4C9262A0">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类比法</w:t>
            </w:r>
          </w:p>
        </w:tc>
        <w:tc>
          <w:tcPr>
            <w:tcW w:w="512" w:type="pct"/>
          </w:tcPr>
          <w:p w14:paraId="26DE7037">
            <w:pPr>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75</w:t>
            </w:r>
          </w:p>
        </w:tc>
        <w:tc>
          <w:tcPr>
            <w:tcW w:w="388" w:type="pct"/>
            <w:vMerge w:val="continue"/>
            <w:vAlign w:val="center"/>
          </w:tcPr>
          <w:p w14:paraId="3E83AA86">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r>
      <w:tr w14:paraId="0F92B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77F4BF81">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18" w:type="pct"/>
            <w:vMerge w:val="continue"/>
            <w:vAlign w:val="center"/>
          </w:tcPr>
          <w:p w14:paraId="0363B36D">
            <w:pPr>
              <w:widowControl w:val="0"/>
              <w:spacing w:line="360" w:lineRule="exact"/>
              <w:jc w:val="center"/>
              <w:rPr>
                <w:rFonts w:ascii="Times New Roman" w:hAnsi="Times New Roman" w:cs="Times New Roman" w:eastAsiaTheme="minorEastAsia"/>
                <w:color w:val="auto"/>
                <w:w w:val="99"/>
                <w:kern w:val="2"/>
                <w:sz w:val="20"/>
                <w:szCs w:val="15"/>
                <w:highlight w:val="none"/>
              </w:rPr>
            </w:pPr>
          </w:p>
        </w:tc>
        <w:tc>
          <w:tcPr>
            <w:tcW w:w="451" w:type="pct"/>
          </w:tcPr>
          <w:p w14:paraId="22E6FDF1">
            <w:pPr>
              <w:pStyle w:val="2857"/>
              <w:spacing w:line="360" w:lineRule="exact"/>
              <w:jc w:val="center"/>
              <w:rPr>
                <w:rFonts w:ascii="Times New Roman" w:hAnsi="Times New Roman" w:cs="Times New Roman" w:eastAsiaTheme="minorEastAsia"/>
                <w:color w:val="auto"/>
                <w:w w:val="99"/>
                <w:kern w:val="2"/>
                <w:szCs w:val="15"/>
                <w:highlight w:val="none"/>
              </w:rPr>
            </w:pPr>
            <w:r>
              <w:rPr>
                <w:rFonts w:ascii="Times New Roman" w:hAnsi="Times New Roman" w:cs="Times New Roman" w:eastAsiaTheme="minorEastAsia"/>
                <w:color w:val="auto"/>
                <w:w w:val="99"/>
                <w:kern w:val="2"/>
                <w:szCs w:val="15"/>
                <w:highlight w:val="none"/>
                <w:lang w:eastAsia="zh-CN"/>
              </w:rPr>
              <w:t>定向钻机</w:t>
            </w:r>
          </w:p>
        </w:tc>
        <w:tc>
          <w:tcPr>
            <w:tcW w:w="606" w:type="pct"/>
          </w:tcPr>
          <w:p w14:paraId="12A8D9E0">
            <w:pPr>
              <w:pStyle w:val="2857"/>
              <w:spacing w:line="360" w:lineRule="exact"/>
              <w:jc w:val="center"/>
              <w:rPr>
                <w:rFonts w:ascii="Times New Roman" w:hAnsi="Times New Roman" w:cs="Times New Roman" w:eastAsiaTheme="minorEastAsia"/>
                <w:color w:val="auto"/>
                <w:w w:val="99"/>
                <w:kern w:val="2"/>
                <w:szCs w:val="15"/>
                <w:highlight w:val="none"/>
              </w:rPr>
            </w:pPr>
            <w:r>
              <w:rPr>
                <w:rFonts w:ascii="Times New Roman" w:hAnsi="Times New Roman" w:cs="Times New Roman" w:eastAsiaTheme="minorEastAsia"/>
                <w:color w:val="auto"/>
                <w:w w:val="99"/>
                <w:kern w:val="2"/>
                <w:szCs w:val="15"/>
                <w:highlight w:val="none"/>
                <w:lang w:eastAsia="zh-CN"/>
              </w:rPr>
              <w:t>固定声源</w:t>
            </w:r>
          </w:p>
        </w:tc>
        <w:tc>
          <w:tcPr>
            <w:tcW w:w="258" w:type="pct"/>
            <w:vMerge w:val="continue"/>
            <w:vAlign w:val="center"/>
          </w:tcPr>
          <w:p w14:paraId="72BB1940">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558" w:type="pct"/>
          </w:tcPr>
          <w:p w14:paraId="0EC492E8">
            <w:pPr>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100</w:t>
            </w:r>
          </w:p>
        </w:tc>
        <w:tc>
          <w:tcPr>
            <w:tcW w:w="604" w:type="pct"/>
            <w:vMerge w:val="continue"/>
            <w:vAlign w:val="center"/>
          </w:tcPr>
          <w:p w14:paraId="26447C10">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390" w:type="pct"/>
            <w:vAlign w:val="center"/>
          </w:tcPr>
          <w:p w14:paraId="2C584AFB">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w:t>
            </w:r>
          </w:p>
        </w:tc>
        <w:tc>
          <w:tcPr>
            <w:tcW w:w="423" w:type="pct"/>
            <w:vAlign w:val="center"/>
          </w:tcPr>
          <w:p w14:paraId="52413881">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类比法</w:t>
            </w:r>
          </w:p>
        </w:tc>
        <w:tc>
          <w:tcPr>
            <w:tcW w:w="512" w:type="pct"/>
          </w:tcPr>
          <w:p w14:paraId="2B2184FB">
            <w:pPr>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100</w:t>
            </w:r>
          </w:p>
        </w:tc>
        <w:tc>
          <w:tcPr>
            <w:tcW w:w="388" w:type="pct"/>
            <w:vMerge w:val="continue"/>
            <w:vAlign w:val="center"/>
          </w:tcPr>
          <w:p w14:paraId="3FF75C0A">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r>
      <w:tr w14:paraId="2A589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09924875">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18" w:type="pct"/>
            <w:vMerge w:val="continue"/>
            <w:vAlign w:val="center"/>
          </w:tcPr>
          <w:p w14:paraId="4BF25A2A">
            <w:pPr>
              <w:widowControl w:val="0"/>
              <w:spacing w:line="360" w:lineRule="exact"/>
              <w:jc w:val="center"/>
              <w:rPr>
                <w:rFonts w:ascii="Times New Roman" w:hAnsi="Times New Roman" w:cs="Times New Roman" w:eastAsiaTheme="minorEastAsia"/>
                <w:color w:val="auto"/>
                <w:w w:val="99"/>
                <w:kern w:val="2"/>
                <w:sz w:val="20"/>
                <w:szCs w:val="15"/>
                <w:highlight w:val="none"/>
              </w:rPr>
            </w:pPr>
          </w:p>
        </w:tc>
        <w:tc>
          <w:tcPr>
            <w:tcW w:w="451" w:type="pct"/>
          </w:tcPr>
          <w:p w14:paraId="2B79D6CC">
            <w:pPr>
              <w:pStyle w:val="2857"/>
              <w:spacing w:line="360" w:lineRule="exact"/>
              <w:jc w:val="center"/>
              <w:rPr>
                <w:rFonts w:ascii="Times New Roman" w:hAnsi="Times New Roman" w:cs="Times New Roman" w:eastAsiaTheme="minorEastAsia"/>
                <w:color w:val="auto"/>
                <w:w w:val="99"/>
                <w:kern w:val="2"/>
                <w:szCs w:val="15"/>
                <w:highlight w:val="none"/>
              </w:rPr>
            </w:pPr>
            <w:r>
              <w:rPr>
                <w:rFonts w:ascii="Times New Roman" w:hAnsi="Times New Roman" w:cs="Times New Roman" w:eastAsiaTheme="minorEastAsia"/>
                <w:color w:val="auto"/>
                <w:w w:val="99"/>
                <w:kern w:val="2"/>
                <w:szCs w:val="15"/>
                <w:highlight w:val="none"/>
                <w:lang w:eastAsia="zh-CN"/>
              </w:rPr>
              <w:t>混凝土搅拌罐车</w:t>
            </w:r>
          </w:p>
        </w:tc>
        <w:tc>
          <w:tcPr>
            <w:tcW w:w="606" w:type="pct"/>
          </w:tcPr>
          <w:p w14:paraId="7C322C45">
            <w:pPr>
              <w:pStyle w:val="2857"/>
              <w:spacing w:line="360" w:lineRule="exact"/>
              <w:jc w:val="center"/>
              <w:rPr>
                <w:rFonts w:ascii="Times New Roman" w:hAnsi="Times New Roman" w:cs="Times New Roman" w:eastAsiaTheme="minorEastAsia"/>
                <w:color w:val="auto"/>
                <w:w w:val="99"/>
                <w:kern w:val="2"/>
                <w:szCs w:val="15"/>
                <w:highlight w:val="none"/>
              </w:rPr>
            </w:pPr>
            <w:r>
              <w:rPr>
                <w:rFonts w:ascii="Times New Roman" w:hAnsi="Times New Roman" w:cs="Times New Roman" w:eastAsiaTheme="minorEastAsia"/>
                <w:color w:val="auto"/>
                <w:w w:val="99"/>
                <w:kern w:val="2"/>
                <w:szCs w:val="15"/>
                <w:highlight w:val="none"/>
                <w:lang w:eastAsia="zh-CN"/>
              </w:rPr>
              <w:t>流动声源</w:t>
            </w:r>
          </w:p>
        </w:tc>
        <w:tc>
          <w:tcPr>
            <w:tcW w:w="258" w:type="pct"/>
            <w:vMerge w:val="continue"/>
            <w:vAlign w:val="center"/>
          </w:tcPr>
          <w:p w14:paraId="2BD93CF1">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558" w:type="pct"/>
          </w:tcPr>
          <w:p w14:paraId="4803B65A">
            <w:pPr>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95</w:t>
            </w:r>
          </w:p>
        </w:tc>
        <w:tc>
          <w:tcPr>
            <w:tcW w:w="604" w:type="pct"/>
            <w:vMerge w:val="continue"/>
            <w:vAlign w:val="center"/>
          </w:tcPr>
          <w:p w14:paraId="51777B80">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390" w:type="pct"/>
            <w:vAlign w:val="center"/>
          </w:tcPr>
          <w:p w14:paraId="6FC9D169">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w:t>
            </w:r>
          </w:p>
        </w:tc>
        <w:tc>
          <w:tcPr>
            <w:tcW w:w="423" w:type="pct"/>
            <w:vAlign w:val="center"/>
          </w:tcPr>
          <w:p w14:paraId="2C73A946">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类比法</w:t>
            </w:r>
          </w:p>
        </w:tc>
        <w:tc>
          <w:tcPr>
            <w:tcW w:w="512" w:type="pct"/>
          </w:tcPr>
          <w:p w14:paraId="6C31AD48">
            <w:pPr>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95</w:t>
            </w:r>
          </w:p>
        </w:tc>
        <w:tc>
          <w:tcPr>
            <w:tcW w:w="388" w:type="pct"/>
            <w:vMerge w:val="continue"/>
            <w:vAlign w:val="center"/>
          </w:tcPr>
          <w:p w14:paraId="48D18E9A">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r>
    </w:tbl>
    <w:p w14:paraId="2381E823">
      <w:pPr>
        <w:pStyle w:val="153"/>
        <w:widowControl w:val="0"/>
        <w:spacing w:line="440" w:lineRule="exact"/>
        <w:ind w:firstLine="474"/>
        <w:jc w:val="both"/>
        <w:rPr>
          <w:rFonts w:ascii="Times New Roman" w:hAnsi="Times New Roman" w:eastAsiaTheme="minorEastAsia"/>
          <w:b/>
          <w:color w:val="auto"/>
          <w:w w:val="99"/>
          <w:kern w:val="2"/>
          <w:highlight w:val="none"/>
        </w:rPr>
      </w:pPr>
      <w:r>
        <w:rPr>
          <w:rFonts w:ascii="Times New Roman" w:hAnsi="Times New Roman" w:eastAsiaTheme="minorEastAsia"/>
          <w:b/>
          <w:color w:val="auto"/>
          <w:w w:val="99"/>
          <w:kern w:val="2"/>
          <w:highlight w:val="none"/>
        </w:rPr>
        <w:t>表</w:t>
      </w:r>
      <w:r>
        <w:rPr>
          <w:rFonts w:hint="eastAsia" w:ascii="Times New Roman" w:hAnsi="Times New Roman" w:eastAsiaTheme="minorEastAsia"/>
          <w:b/>
          <w:color w:val="auto"/>
          <w:w w:val="99"/>
          <w:highlight w:val="none"/>
        </w:rPr>
        <w:t>3.10</w:t>
      </w:r>
      <w:r>
        <w:rPr>
          <w:rFonts w:ascii="Times New Roman" w:hAnsi="Times New Roman" w:eastAsiaTheme="minorEastAsia"/>
          <w:b/>
          <w:color w:val="auto"/>
          <w:w w:val="99"/>
          <w:highlight w:val="none"/>
        </w:rPr>
        <w:t>-1</w:t>
      </w:r>
      <w:r>
        <w:rPr>
          <w:rFonts w:hint="eastAsia" w:ascii="Times New Roman" w:hAnsi="Times New Roman" w:eastAsiaTheme="minorEastAsia"/>
          <w:b/>
          <w:color w:val="auto"/>
          <w:w w:val="99"/>
          <w:highlight w:val="none"/>
        </w:rPr>
        <w:t>4</w:t>
      </w:r>
      <w:r>
        <w:rPr>
          <w:rFonts w:ascii="Times New Roman" w:hAnsi="Times New Roman" w:eastAsiaTheme="minorEastAsia"/>
          <w:b/>
          <w:color w:val="auto"/>
          <w:w w:val="99"/>
          <w:kern w:val="2"/>
          <w:highlight w:val="none"/>
        </w:rPr>
        <w:t xml:space="preserve">    </w:t>
      </w:r>
      <w:r>
        <w:rPr>
          <w:rFonts w:ascii="Times New Roman" w:hAnsi="Times New Roman" w:eastAsiaTheme="minorEastAsia"/>
          <w:b/>
          <w:color w:val="auto"/>
          <w:w w:val="99"/>
          <w:kern w:val="21"/>
          <w:highlight w:val="none"/>
        </w:rPr>
        <w:t>施工期</w:t>
      </w:r>
      <w:r>
        <w:rPr>
          <w:rFonts w:ascii="Times New Roman" w:hAnsi="Times New Roman" w:eastAsiaTheme="minorEastAsia"/>
          <w:b/>
          <w:color w:val="auto"/>
          <w:w w:val="99"/>
          <w:kern w:val="2"/>
          <w:highlight w:val="none"/>
        </w:rPr>
        <w:t>固体废物污染源强核算结果表</w:t>
      </w:r>
    </w:p>
    <w:tbl>
      <w:tblPr>
        <w:tblStyle w:val="81"/>
        <w:tblW w:w="1400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7"/>
        <w:gridCol w:w="2095"/>
        <w:gridCol w:w="1134"/>
        <w:gridCol w:w="997"/>
        <w:gridCol w:w="1276"/>
        <w:gridCol w:w="992"/>
        <w:gridCol w:w="6631"/>
      </w:tblGrid>
      <w:tr w14:paraId="4676BC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restart"/>
            <w:vAlign w:val="center"/>
          </w:tcPr>
          <w:p w14:paraId="49B35803">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工序</w:t>
            </w:r>
          </w:p>
        </w:tc>
        <w:tc>
          <w:tcPr>
            <w:tcW w:w="2095" w:type="dxa"/>
            <w:vMerge w:val="restart"/>
            <w:vAlign w:val="center"/>
          </w:tcPr>
          <w:p w14:paraId="00444801">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固体废物名称</w:t>
            </w:r>
          </w:p>
        </w:tc>
        <w:tc>
          <w:tcPr>
            <w:tcW w:w="2131" w:type="dxa"/>
            <w:gridSpan w:val="2"/>
            <w:vAlign w:val="center"/>
          </w:tcPr>
          <w:p w14:paraId="568B0AD4">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产生情况</w:t>
            </w:r>
          </w:p>
        </w:tc>
        <w:tc>
          <w:tcPr>
            <w:tcW w:w="2268" w:type="dxa"/>
            <w:gridSpan w:val="2"/>
            <w:vAlign w:val="center"/>
          </w:tcPr>
          <w:p w14:paraId="2F2B5743">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处置措施</w:t>
            </w:r>
          </w:p>
        </w:tc>
        <w:tc>
          <w:tcPr>
            <w:tcW w:w="6631" w:type="dxa"/>
            <w:vMerge w:val="restart"/>
            <w:vAlign w:val="center"/>
          </w:tcPr>
          <w:p w14:paraId="2CBF6AF3">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最终排放去向</w:t>
            </w:r>
          </w:p>
        </w:tc>
      </w:tr>
      <w:tr w14:paraId="00CB1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continue"/>
            <w:vAlign w:val="center"/>
          </w:tcPr>
          <w:p w14:paraId="5422AF83">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2095" w:type="dxa"/>
            <w:vMerge w:val="continue"/>
            <w:vAlign w:val="center"/>
          </w:tcPr>
          <w:p w14:paraId="51B410C0">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1134" w:type="dxa"/>
            <w:vAlign w:val="center"/>
          </w:tcPr>
          <w:p w14:paraId="03F37FA1">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核算方法</w:t>
            </w:r>
          </w:p>
        </w:tc>
        <w:tc>
          <w:tcPr>
            <w:tcW w:w="997" w:type="dxa"/>
            <w:vAlign w:val="center"/>
          </w:tcPr>
          <w:p w14:paraId="2F73E9DA">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产生量</w:t>
            </w:r>
          </w:p>
        </w:tc>
        <w:tc>
          <w:tcPr>
            <w:tcW w:w="1276" w:type="dxa"/>
            <w:vAlign w:val="center"/>
          </w:tcPr>
          <w:p w14:paraId="0CDF2A0A">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工艺</w:t>
            </w:r>
          </w:p>
        </w:tc>
        <w:tc>
          <w:tcPr>
            <w:tcW w:w="992" w:type="dxa"/>
            <w:vAlign w:val="center"/>
          </w:tcPr>
          <w:p w14:paraId="685C6CF0">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处置量</w:t>
            </w:r>
          </w:p>
        </w:tc>
        <w:tc>
          <w:tcPr>
            <w:tcW w:w="6631" w:type="dxa"/>
            <w:vMerge w:val="continue"/>
            <w:vAlign w:val="center"/>
          </w:tcPr>
          <w:p w14:paraId="3CCC32F1">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r>
      <w:tr w14:paraId="7126F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restart"/>
            <w:tcBorders>
              <w:top w:val="single" w:color="auto" w:sz="4" w:space="0"/>
            </w:tcBorders>
            <w:vAlign w:val="center"/>
          </w:tcPr>
          <w:p w14:paraId="0A0F3F0D">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地面建设</w:t>
            </w:r>
          </w:p>
        </w:tc>
        <w:tc>
          <w:tcPr>
            <w:tcW w:w="2095" w:type="dxa"/>
            <w:tcBorders>
              <w:top w:val="single" w:color="auto" w:sz="4" w:space="0"/>
            </w:tcBorders>
            <w:vAlign w:val="center"/>
          </w:tcPr>
          <w:p w14:paraId="05F27B57">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生活垃圾</w:t>
            </w:r>
          </w:p>
        </w:tc>
        <w:tc>
          <w:tcPr>
            <w:tcW w:w="1134" w:type="dxa"/>
            <w:vAlign w:val="center"/>
          </w:tcPr>
          <w:p w14:paraId="42727EA0">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类比法</w:t>
            </w:r>
          </w:p>
        </w:tc>
        <w:tc>
          <w:tcPr>
            <w:tcW w:w="997" w:type="dxa"/>
            <w:vAlign w:val="center"/>
          </w:tcPr>
          <w:p w14:paraId="3D70A34B">
            <w:pPr>
              <w:widowControl w:val="0"/>
              <w:spacing w:line="360" w:lineRule="exact"/>
              <w:jc w:val="center"/>
              <w:rPr>
                <w:rFonts w:ascii="Times New Roman" w:hAnsi="Times New Roman" w:cs="Times New Roman" w:eastAsiaTheme="minorEastAsia"/>
                <w:color w:val="auto"/>
                <w:w w:val="99"/>
                <w:sz w:val="21"/>
                <w:szCs w:val="21"/>
                <w:highlight w:val="none"/>
                <w:lang w:val="zh-CN"/>
              </w:rPr>
            </w:pPr>
            <w:r>
              <w:rPr>
                <w:rFonts w:hint="eastAsia" w:ascii="Times New Roman" w:hAnsi="Times New Roman" w:cs="Times New Roman" w:eastAsiaTheme="minorEastAsia"/>
                <w:color w:val="auto"/>
                <w:w w:val="99"/>
                <w:sz w:val="21"/>
                <w:szCs w:val="21"/>
                <w:highlight w:val="none"/>
              </w:rPr>
              <w:t>0.45</w:t>
            </w:r>
            <w:r>
              <w:rPr>
                <w:rFonts w:ascii="Times New Roman" w:hAnsi="Times New Roman" w:cs="Times New Roman" w:eastAsiaTheme="minorEastAsia"/>
                <w:color w:val="auto"/>
                <w:w w:val="99"/>
                <w:sz w:val="21"/>
                <w:szCs w:val="21"/>
                <w:highlight w:val="none"/>
              </w:rPr>
              <w:t>t</w:t>
            </w:r>
          </w:p>
        </w:tc>
        <w:tc>
          <w:tcPr>
            <w:tcW w:w="1276" w:type="dxa"/>
            <w:vAlign w:val="center"/>
          </w:tcPr>
          <w:p w14:paraId="25354A44">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无害化处理</w:t>
            </w:r>
          </w:p>
        </w:tc>
        <w:tc>
          <w:tcPr>
            <w:tcW w:w="992" w:type="dxa"/>
            <w:vAlign w:val="center"/>
          </w:tcPr>
          <w:p w14:paraId="086EDA43">
            <w:pPr>
              <w:widowControl w:val="0"/>
              <w:spacing w:line="360" w:lineRule="exact"/>
              <w:jc w:val="center"/>
              <w:rPr>
                <w:rFonts w:ascii="Times New Roman" w:hAnsi="Times New Roman" w:cs="Times New Roman" w:eastAsiaTheme="minorEastAsia"/>
                <w:color w:val="auto"/>
                <w:w w:val="99"/>
                <w:sz w:val="21"/>
                <w:szCs w:val="21"/>
                <w:highlight w:val="none"/>
                <w:lang w:val="zh-CN"/>
              </w:rPr>
            </w:pPr>
            <w:r>
              <w:rPr>
                <w:rFonts w:hint="eastAsia" w:ascii="Times New Roman" w:hAnsi="Times New Roman" w:cs="Times New Roman" w:eastAsiaTheme="minorEastAsia"/>
                <w:color w:val="auto"/>
                <w:w w:val="99"/>
                <w:sz w:val="21"/>
                <w:szCs w:val="21"/>
                <w:highlight w:val="none"/>
              </w:rPr>
              <w:t>0.45</w:t>
            </w:r>
            <w:r>
              <w:rPr>
                <w:rFonts w:ascii="Times New Roman" w:hAnsi="Times New Roman" w:cs="Times New Roman" w:eastAsiaTheme="minorEastAsia"/>
                <w:color w:val="auto"/>
                <w:w w:val="99"/>
                <w:sz w:val="21"/>
                <w:szCs w:val="21"/>
                <w:highlight w:val="none"/>
              </w:rPr>
              <w:t>t</w:t>
            </w:r>
          </w:p>
        </w:tc>
        <w:tc>
          <w:tcPr>
            <w:tcW w:w="6631" w:type="dxa"/>
            <w:vAlign w:val="center"/>
          </w:tcPr>
          <w:p w14:paraId="1FB801BA">
            <w:pPr>
              <w:widowControl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统一收集后拉运至</w:t>
            </w:r>
            <w:r>
              <w:rPr>
                <w:rFonts w:hint="eastAsia" w:ascii="Times New Roman" w:hAnsi="Times New Roman" w:cs="Times New Roman" w:eastAsiaTheme="minorEastAsia"/>
                <w:snapToGrid w:val="0"/>
                <w:color w:val="auto"/>
                <w:w w:val="99"/>
                <w:sz w:val="21"/>
                <w:szCs w:val="21"/>
                <w:highlight w:val="none"/>
              </w:rPr>
              <w:t>肇东北控环境再生能源有限公司</w:t>
            </w:r>
            <w:r>
              <w:rPr>
                <w:rFonts w:ascii="Times New Roman" w:hAnsi="Times New Roman" w:cs="Times New Roman" w:eastAsiaTheme="minorEastAsia"/>
                <w:snapToGrid w:val="0"/>
                <w:color w:val="auto"/>
                <w:w w:val="99"/>
                <w:sz w:val="21"/>
                <w:szCs w:val="21"/>
                <w:highlight w:val="none"/>
              </w:rPr>
              <w:t>处理</w:t>
            </w:r>
          </w:p>
        </w:tc>
      </w:tr>
      <w:tr w14:paraId="45EE18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continue"/>
            <w:vAlign w:val="center"/>
          </w:tcPr>
          <w:p w14:paraId="7EF900D6">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2095" w:type="dxa"/>
            <w:vAlign w:val="center"/>
          </w:tcPr>
          <w:p w14:paraId="31A21325">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施工废料</w:t>
            </w:r>
          </w:p>
        </w:tc>
        <w:tc>
          <w:tcPr>
            <w:tcW w:w="1134" w:type="dxa"/>
            <w:vAlign w:val="center"/>
          </w:tcPr>
          <w:p w14:paraId="31C54098">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类比法</w:t>
            </w:r>
          </w:p>
        </w:tc>
        <w:tc>
          <w:tcPr>
            <w:tcW w:w="997" w:type="dxa"/>
            <w:vAlign w:val="center"/>
          </w:tcPr>
          <w:p w14:paraId="774BCC00">
            <w:pPr>
              <w:widowControl w:val="0"/>
              <w:spacing w:line="360" w:lineRule="exact"/>
              <w:jc w:val="center"/>
              <w:rPr>
                <w:rFonts w:ascii="Times New Roman" w:hAnsi="Times New Roman" w:cs="Times New Roman" w:eastAsiaTheme="minorEastAsia"/>
                <w:color w:val="auto"/>
                <w:w w:val="99"/>
                <w:sz w:val="21"/>
                <w:szCs w:val="21"/>
                <w:highlight w:val="none"/>
                <w:lang w:val="zh-CN"/>
              </w:rPr>
            </w:pPr>
            <w:r>
              <w:rPr>
                <w:rFonts w:hint="eastAsia" w:ascii="Times New Roman" w:hAnsi="Times New Roman" w:cs="Times New Roman" w:eastAsiaTheme="minorEastAsia"/>
                <w:color w:val="auto"/>
                <w:w w:val="99"/>
                <w:sz w:val="21"/>
                <w:szCs w:val="21"/>
                <w:highlight w:val="none"/>
              </w:rPr>
              <w:t>0.04</w:t>
            </w:r>
            <w:r>
              <w:rPr>
                <w:rFonts w:ascii="Times New Roman" w:hAnsi="Times New Roman" w:cs="Times New Roman" w:eastAsiaTheme="minorEastAsia"/>
                <w:color w:val="auto"/>
                <w:w w:val="99"/>
                <w:sz w:val="21"/>
                <w:szCs w:val="21"/>
                <w:highlight w:val="none"/>
              </w:rPr>
              <w:t>t</w:t>
            </w:r>
          </w:p>
        </w:tc>
        <w:tc>
          <w:tcPr>
            <w:tcW w:w="1276" w:type="dxa"/>
            <w:vAlign w:val="center"/>
          </w:tcPr>
          <w:p w14:paraId="31DE1276">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填埋处理</w:t>
            </w:r>
          </w:p>
        </w:tc>
        <w:tc>
          <w:tcPr>
            <w:tcW w:w="992" w:type="dxa"/>
            <w:vAlign w:val="center"/>
          </w:tcPr>
          <w:p w14:paraId="2F771973">
            <w:pPr>
              <w:widowControl w:val="0"/>
              <w:spacing w:line="360" w:lineRule="exact"/>
              <w:jc w:val="center"/>
              <w:rPr>
                <w:rFonts w:ascii="Times New Roman" w:hAnsi="Times New Roman" w:cs="Times New Roman" w:eastAsiaTheme="minorEastAsia"/>
                <w:color w:val="auto"/>
                <w:w w:val="99"/>
                <w:sz w:val="21"/>
                <w:szCs w:val="21"/>
                <w:highlight w:val="none"/>
                <w:lang w:val="zh-CN"/>
              </w:rPr>
            </w:pPr>
            <w:r>
              <w:rPr>
                <w:rFonts w:hint="eastAsia" w:ascii="Times New Roman" w:hAnsi="Times New Roman" w:cs="Times New Roman" w:eastAsiaTheme="minorEastAsia"/>
                <w:color w:val="auto"/>
                <w:w w:val="99"/>
                <w:sz w:val="21"/>
                <w:szCs w:val="21"/>
                <w:highlight w:val="none"/>
              </w:rPr>
              <w:t>0.04</w:t>
            </w:r>
            <w:r>
              <w:rPr>
                <w:rFonts w:ascii="Times New Roman" w:hAnsi="Times New Roman" w:cs="Times New Roman" w:eastAsiaTheme="minorEastAsia"/>
                <w:color w:val="auto"/>
                <w:w w:val="99"/>
                <w:sz w:val="21"/>
                <w:szCs w:val="21"/>
                <w:highlight w:val="none"/>
              </w:rPr>
              <w:t>t</w:t>
            </w:r>
          </w:p>
        </w:tc>
        <w:tc>
          <w:tcPr>
            <w:tcW w:w="6631" w:type="dxa"/>
            <w:vAlign w:val="center"/>
          </w:tcPr>
          <w:p w14:paraId="07182FCA">
            <w:pPr>
              <w:widowControl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color w:val="auto"/>
                <w:w w:val="99"/>
                <w:kern w:val="2"/>
                <w:sz w:val="21"/>
                <w:highlight w:val="none"/>
              </w:rPr>
              <w:t>由施工单位</w:t>
            </w:r>
            <w:r>
              <w:rPr>
                <w:rFonts w:ascii="Times New Roman" w:hAnsi="Times New Roman" w:cs="Times New Roman" w:eastAsiaTheme="minorEastAsia"/>
                <w:bCs/>
                <w:color w:val="auto"/>
                <w:w w:val="99"/>
                <w:kern w:val="2"/>
                <w:sz w:val="21"/>
                <w:highlight w:val="none"/>
              </w:rPr>
              <w:t>拉运至第八采油厂工业固废填埋场处理</w:t>
            </w:r>
          </w:p>
        </w:tc>
      </w:tr>
    </w:tbl>
    <w:p w14:paraId="5A213362">
      <w:pPr>
        <w:pStyle w:val="153"/>
        <w:widowControl w:val="0"/>
        <w:spacing w:line="440" w:lineRule="exact"/>
        <w:ind w:firstLine="474"/>
        <w:jc w:val="both"/>
        <w:rPr>
          <w:rFonts w:ascii="Times New Roman" w:hAnsi="Times New Roman" w:eastAsiaTheme="minorEastAsia"/>
          <w:b/>
          <w:color w:val="auto"/>
          <w:w w:val="99"/>
          <w:highlight w:val="none"/>
        </w:rPr>
      </w:pPr>
      <w:r>
        <w:rPr>
          <w:rFonts w:ascii="Times New Roman" w:hAnsi="Times New Roman" w:eastAsiaTheme="minorEastAsia"/>
          <w:b/>
          <w:color w:val="auto"/>
          <w:w w:val="99"/>
          <w:kern w:val="2"/>
          <w:szCs w:val="20"/>
          <w:highlight w:val="none"/>
        </w:rPr>
        <w:t>表</w:t>
      </w:r>
      <w:r>
        <w:rPr>
          <w:rFonts w:hint="eastAsia" w:ascii="Times New Roman" w:hAnsi="Times New Roman" w:eastAsiaTheme="minorEastAsia"/>
          <w:b/>
          <w:color w:val="auto"/>
          <w:w w:val="99"/>
          <w:kern w:val="2"/>
          <w:szCs w:val="20"/>
          <w:highlight w:val="none"/>
        </w:rPr>
        <w:t>3.10</w:t>
      </w:r>
      <w:r>
        <w:rPr>
          <w:rFonts w:ascii="Times New Roman" w:hAnsi="Times New Roman" w:eastAsiaTheme="minorEastAsia"/>
          <w:b/>
          <w:color w:val="auto"/>
          <w:w w:val="99"/>
          <w:kern w:val="2"/>
          <w:szCs w:val="20"/>
          <w:highlight w:val="none"/>
        </w:rPr>
        <w:t>-</w:t>
      </w:r>
      <w:r>
        <w:rPr>
          <w:rFonts w:ascii="Times New Roman" w:hAnsi="Times New Roman" w:eastAsiaTheme="minorEastAsia"/>
          <w:b/>
          <w:color w:val="auto"/>
          <w:w w:val="99"/>
          <w:highlight w:val="none"/>
        </w:rPr>
        <w:t>1</w:t>
      </w:r>
      <w:r>
        <w:rPr>
          <w:rFonts w:hint="eastAsia" w:ascii="Times New Roman" w:hAnsi="Times New Roman" w:eastAsiaTheme="minorEastAsia"/>
          <w:b/>
          <w:color w:val="auto"/>
          <w:w w:val="99"/>
          <w:highlight w:val="none"/>
        </w:rPr>
        <w:t>5</w:t>
      </w:r>
      <w:r>
        <w:rPr>
          <w:rFonts w:ascii="Times New Roman" w:hAnsi="Times New Roman" w:eastAsiaTheme="minorEastAsia"/>
          <w:b/>
          <w:color w:val="auto"/>
          <w:w w:val="99"/>
          <w:highlight w:val="none"/>
        </w:rPr>
        <w:t xml:space="preserve">    运营期</w:t>
      </w:r>
      <w:r>
        <w:rPr>
          <w:rFonts w:ascii="Times New Roman" w:hAnsi="Times New Roman" w:eastAsiaTheme="minorEastAsia"/>
          <w:b/>
          <w:color w:val="auto"/>
          <w:w w:val="99"/>
          <w:kern w:val="21"/>
          <w:highlight w:val="none"/>
        </w:rPr>
        <w:t>废气</w:t>
      </w:r>
      <w:r>
        <w:rPr>
          <w:rFonts w:ascii="Times New Roman" w:hAnsi="Times New Roman" w:eastAsiaTheme="minorEastAsia"/>
          <w:b/>
          <w:color w:val="auto"/>
          <w:w w:val="99"/>
          <w:highlight w:val="none"/>
        </w:rPr>
        <w:t>污染源源强核算结果及相关参数一览表</w:t>
      </w:r>
    </w:p>
    <w:tbl>
      <w:tblPr>
        <w:tblStyle w:val="81"/>
        <w:tblW w:w="1400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29"/>
        <w:gridCol w:w="1560"/>
        <w:gridCol w:w="992"/>
        <w:gridCol w:w="850"/>
        <w:gridCol w:w="1271"/>
        <w:gridCol w:w="861"/>
        <w:gridCol w:w="708"/>
        <w:gridCol w:w="988"/>
        <w:gridCol w:w="567"/>
        <w:gridCol w:w="567"/>
        <w:gridCol w:w="1275"/>
        <w:gridCol w:w="814"/>
        <w:gridCol w:w="746"/>
        <w:gridCol w:w="992"/>
        <w:gridCol w:w="682"/>
      </w:tblGrid>
      <w:tr w14:paraId="49EF36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29" w:type="dxa"/>
            <w:vMerge w:val="restart"/>
            <w:vAlign w:val="center"/>
          </w:tcPr>
          <w:p w14:paraId="46BD1EAD">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工序</w:t>
            </w:r>
          </w:p>
        </w:tc>
        <w:tc>
          <w:tcPr>
            <w:tcW w:w="1560" w:type="dxa"/>
            <w:vMerge w:val="restart"/>
            <w:vAlign w:val="center"/>
          </w:tcPr>
          <w:p w14:paraId="604EB826">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装置</w:t>
            </w:r>
          </w:p>
        </w:tc>
        <w:tc>
          <w:tcPr>
            <w:tcW w:w="992" w:type="dxa"/>
            <w:vMerge w:val="restart"/>
            <w:vAlign w:val="center"/>
          </w:tcPr>
          <w:p w14:paraId="46FB79D3">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污染源</w:t>
            </w:r>
          </w:p>
        </w:tc>
        <w:tc>
          <w:tcPr>
            <w:tcW w:w="850" w:type="dxa"/>
            <w:vMerge w:val="restart"/>
            <w:vAlign w:val="center"/>
          </w:tcPr>
          <w:p w14:paraId="387D5C55">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w:t>
            </w:r>
          </w:p>
        </w:tc>
        <w:tc>
          <w:tcPr>
            <w:tcW w:w="3828" w:type="dxa"/>
            <w:gridSpan w:val="4"/>
            <w:vAlign w:val="center"/>
          </w:tcPr>
          <w:p w14:paraId="3C4C0A10">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污染物产生</w:t>
            </w:r>
          </w:p>
        </w:tc>
        <w:tc>
          <w:tcPr>
            <w:tcW w:w="1134" w:type="dxa"/>
            <w:gridSpan w:val="2"/>
            <w:vAlign w:val="center"/>
          </w:tcPr>
          <w:p w14:paraId="4C2AD1D7">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治理措施</w:t>
            </w:r>
          </w:p>
        </w:tc>
        <w:tc>
          <w:tcPr>
            <w:tcW w:w="3827" w:type="dxa"/>
            <w:gridSpan w:val="4"/>
            <w:vAlign w:val="center"/>
          </w:tcPr>
          <w:p w14:paraId="21C110A1">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污染物排放</w:t>
            </w:r>
          </w:p>
        </w:tc>
        <w:tc>
          <w:tcPr>
            <w:tcW w:w="682" w:type="dxa"/>
            <w:vMerge w:val="restart"/>
            <w:vAlign w:val="center"/>
          </w:tcPr>
          <w:p w14:paraId="06A7BD12">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w:t>
            </w:r>
          </w:p>
          <w:p w14:paraId="6C0D0113">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时间/h</w:t>
            </w:r>
          </w:p>
        </w:tc>
      </w:tr>
      <w:tr w14:paraId="2E110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29" w:type="dxa"/>
            <w:vMerge w:val="continue"/>
            <w:vAlign w:val="center"/>
          </w:tcPr>
          <w:p w14:paraId="78FE5B59">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1560" w:type="dxa"/>
            <w:vMerge w:val="continue"/>
            <w:vAlign w:val="center"/>
          </w:tcPr>
          <w:p w14:paraId="510360F7">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992" w:type="dxa"/>
            <w:vMerge w:val="continue"/>
            <w:vAlign w:val="center"/>
          </w:tcPr>
          <w:p w14:paraId="09ABB27C">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850" w:type="dxa"/>
            <w:vMerge w:val="continue"/>
            <w:vAlign w:val="center"/>
          </w:tcPr>
          <w:p w14:paraId="1AEAEEDB">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1271" w:type="dxa"/>
            <w:vAlign w:val="center"/>
          </w:tcPr>
          <w:p w14:paraId="41D9F6B0">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核算方法</w:t>
            </w:r>
          </w:p>
        </w:tc>
        <w:tc>
          <w:tcPr>
            <w:tcW w:w="861" w:type="dxa"/>
            <w:vAlign w:val="center"/>
          </w:tcPr>
          <w:p w14:paraId="61D9A171">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废气产生量万m</w:t>
            </w:r>
            <w:r>
              <w:rPr>
                <w:rFonts w:ascii="Times New Roman" w:hAnsi="Times New Roman" w:cs="Times New Roman" w:eastAsiaTheme="minorEastAsia"/>
                <w:color w:val="auto"/>
                <w:w w:val="99"/>
                <w:sz w:val="21"/>
                <w:szCs w:val="21"/>
                <w:highlight w:val="none"/>
                <w:vertAlign w:val="superscript"/>
              </w:rPr>
              <w:t>3</w:t>
            </w:r>
            <w:r>
              <w:rPr>
                <w:rFonts w:ascii="Times New Roman" w:hAnsi="Times New Roman" w:cs="Times New Roman" w:eastAsiaTheme="minorEastAsia"/>
                <w:color w:val="auto"/>
                <w:w w:val="99"/>
                <w:sz w:val="21"/>
                <w:szCs w:val="21"/>
                <w:highlight w:val="none"/>
              </w:rPr>
              <w:t>/a</w:t>
            </w:r>
          </w:p>
        </w:tc>
        <w:tc>
          <w:tcPr>
            <w:tcW w:w="708" w:type="dxa"/>
            <w:vAlign w:val="center"/>
          </w:tcPr>
          <w:p w14:paraId="75134E47">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产生浓度mg/m</w:t>
            </w:r>
            <w:r>
              <w:rPr>
                <w:rFonts w:ascii="Times New Roman" w:hAnsi="Times New Roman" w:cs="Times New Roman" w:eastAsiaTheme="minorEastAsia"/>
                <w:color w:val="auto"/>
                <w:w w:val="99"/>
                <w:sz w:val="21"/>
                <w:szCs w:val="21"/>
                <w:highlight w:val="none"/>
                <w:vertAlign w:val="superscript"/>
              </w:rPr>
              <w:t>3</w:t>
            </w:r>
          </w:p>
        </w:tc>
        <w:tc>
          <w:tcPr>
            <w:tcW w:w="988" w:type="dxa"/>
            <w:vAlign w:val="center"/>
          </w:tcPr>
          <w:p w14:paraId="00AEFF05">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产生量</w:t>
            </w:r>
          </w:p>
          <w:p w14:paraId="547A14CB">
            <w:pPr>
              <w:widowControl w:val="0"/>
              <w:autoSpaceDE w:val="0"/>
              <w:autoSpaceDN w:val="0"/>
              <w:adjustRightInd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t/a</w:t>
            </w:r>
          </w:p>
        </w:tc>
        <w:tc>
          <w:tcPr>
            <w:tcW w:w="567" w:type="dxa"/>
            <w:vAlign w:val="center"/>
          </w:tcPr>
          <w:p w14:paraId="6A7C8F81">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工艺</w:t>
            </w:r>
          </w:p>
        </w:tc>
        <w:tc>
          <w:tcPr>
            <w:tcW w:w="567" w:type="dxa"/>
            <w:vAlign w:val="center"/>
          </w:tcPr>
          <w:p w14:paraId="479A3269">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效率/%</w:t>
            </w:r>
          </w:p>
        </w:tc>
        <w:tc>
          <w:tcPr>
            <w:tcW w:w="1275" w:type="dxa"/>
            <w:vAlign w:val="center"/>
          </w:tcPr>
          <w:p w14:paraId="018CCB3A">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核算方法</w:t>
            </w:r>
          </w:p>
        </w:tc>
        <w:tc>
          <w:tcPr>
            <w:tcW w:w="814" w:type="dxa"/>
            <w:vAlign w:val="center"/>
          </w:tcPr>
          <w:p w14:paraId="115D24D3">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废气排放量万m</w:t>
            </w:r>
            <w:r>
              <w:rPr>
                <w:rFonts w:ascii="Times New Roman" w:hAnsi="Times New Roman" w:cs="Times New Roman" w:eastAsiaTheme="minorEastAsia"/>
                <w:color w:val="auto"/>
                <w:w w:val="99"/>
                <w:sz w:val="21"/>
                <w:szCs w:val="21"/>
                <w:highlight w:val="none"/>
                <w:vertAlign w:val="superscript"/>
              </w:rPr>
              <w:t>3</w:t>
            </w:r>
            <w:r>
              <w:rPr>
                <w:rFonts w:ascii="Times New Roman" w:hAnsi="Times New Roman" w:cs="Times New Roman" w:eastAsiaTheme="minorEastAsia"/>
                <w:color w:val="auto"/>
                <w:w w:val="99"/>
                <w:sz w:val="21"/>
                <w:szCs w:val="21"/>
                <w:highlight w:val="none"/>
              </w:rPr>
              <w:t>/a</w:t>
            </w:r>
          </w:p>
        </w:tc>
        <w:tc>
          <w:tcPr>
            <w:tcW w:w="746" w:type="dxa"/>
            <w:vAlign w:val="center"/>
          </w:tcPr>
          <w:p w14:paraId="3D5A6156">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排放浓度mg/m</w:t>
            </w:r>
            <w:r>
              <w:rPr>
                <w:rFonts w:ascii="Times New Roman" w:hAnsi="Times New Roman" w:cs="Times New Roman" w:eastAsiaTheme="minorEastAsia"/>
                <w:color w:val="auto"/>
                <w:w w:val="99"/>
                <w:sz w:val="21"/>
                <w:szCs w:val="21"/>
                <w:highlight w:val="none"/>
                <w:vertAlign w:val="superscript"/>
              </w:rPr>
              <w:t>3</w:t>
            </w:r>
          </w:p>
        </w:tc>
        <w:tc>
          <w:tcPr>
            <w:tcW w:w="992" w:type="dxa"/>
            <w:vAlign w:val="center"/>
          </w:tcPr>
          <w:p w14:paraId="4F54E570">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排放量t/a</w:t>
            </w:r>
          </w:p>
        </w:tc>
        <w:tc>
          <w:tcPr>
            <w:tcW w:w="682" w:type="dxa"/>
            <w:vMerge w:val="continue"/>
            <w:vAlign w:val="center"/>
          </w:tcPr>
          <w:p w14:paraId="06F2DCE5">
            <w:pPr>
              <w:widowControl w:val="0"/>
              <w:spacing w:line="280" w:lineRule="exact"/>
              <w:jc w:val="center"/>
              <w:rPr>
                <w:rFonts w:ascii="Times New Roman" w:hAnsi="Times New Roman" w:cs="Times New Roman" w:eastAsiaTheme="minorEastAsia"/>
                <w:color w:val="auto"/>
                <w:w w:val="99"/>
                <w:sz w:val="21"/>
                <w:szCs w:val="21"/>
                <w:highlight w:val="none"/>
              </w:rPr>
            </w:pPr>
          </w:p>
        </w:tc>
      </w:tr>
      <w:tr w14:paraId="458F8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29" w:type="dxa"/>
            <w:vAlign w:val="center"/>
          </w:tcPr>
          <w:p w14:paraId="5DC20134">
            <w:pPr>
              <w:widowControl w:val="0"/>
              <w:spacing w:line="28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天然气</w:t>
            </w:r>
            <w:r>
              <w:rPr>
                <w:rFonts w:ascii="Times New Roman" w:hAnsi="Times New Roman" w:cs="Times New Roman" w:eastAsiaTheme="minorEastAsia"/>
                <w:color w:val="auto"/>
                <w:w w:val="99"/>
                <w:sz w:val="21"/>
                <w:szCs w:val="21"/>
                <w:highlight w:val="none"/>
              </w:rPr>
              <w:t>开采</w:t>
            </w:r>
          </w:p>
        </w:tc>
        <w:tc>
          <w:tcPr>
            <w:tcW w:w="1560" w:type="dxa"/>
            <w:vAlign w:val="center"/>
          </w:tcPr>
          <w:p w14:paraId="76B4FE94">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井场、场站</w:t>
            </w:r>
          </w:p>
        </w:tc>
        <w:tc>
          <w:tcPr>
            <w:tcW w:w="992" w:type="dxa"/>
            <w:vAlign w:val="center"/>
          </w:tcPr>
          <w:p w14:paraId="18977A0A">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井场无组织排放</w:t>
            </w:r>
          </w:p>
        </w:tc>
        <w:tc>
          <w:tcPr>
            <w:tcW w:w="850" w:type="dxa"/>
            <w:vAlign w:val="center"/>
          </w:tcPr>
          <w:p w14:paraId="0631984B">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非甲烷总烃</w:t>
            </w:r>
          </w:p>
        </w:tc>
        <w:tc>
          <w:tcPr>
            <w:tcW w:w="1271" w:type="dxa"/>
            <w:vAlign w:val="center"/>
          </w:tcPr>
          <w:p w14:paraId="37AC33BD">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产污系数法</w:t>
            </w:r>
          </w:p>
        </w:tc>
        <w:tc>
          <w:tcPr>
            <w:tcW w:w="861" w:type="dxa"/>
            <w:vAlign w:val="center"/>
          </w:tcPr>
          <w:p w14:paraId="64499FDE">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color w:val="auto"/>
                <w:w w:val="99"/>
                <w:kern w:val="2"/>
                <w:sz w:val="20"/>
                <w:szCs w:val="15"/>
                <w:highlight w:val="none"/>
              </w:rPr>
              <w:t>/</w:t>
            </w:r>
          </w:p>
        </w:tc>
        <w:tc>
          <w:tcPr>
            <w:tcW w:w="708" w:type="dxa"/>
            <w:vAlign w:val="center"/>
          </w:tcPr>
          <w:p w14:paraId="7786E90D">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color w:val="auto"/>
                <w:w w:val="99"/>
                <w:kern w:val="2"/>
                <w:sz w:val="20"/>
                <w:szCs w:val="15"/>
                <w:highlight w:val="none"/>
              </w:rPr>
              <w:t>/</w:t>
            </w:r>
          </w:p>
        </w:tc>
        <w:tc>
          <w:tcPr>
            <w:tcW w:w="988" w:type="dxa"/>
            <w:vAlign w:val="center"/>
          </w:tcPr>
          <w:p w14:paraId="0DA79D06">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11.66</w:t>
            </w:r>
          </w:p>
        </w:tc>
        <w:tc>
          <w:tcPr>
            <w:tcW w:w="567" w:type="dxa"/>
            <w:vAlign w:val="center"/>
          </w:tcPr>
          <w:p w14:paraId="723FA80C">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w:t>
            </w:r>
          </w:p>
        </w:tc>
        <w:tc>
          <w:tcPr>
            <w:tcW w:w="567" w:type="dxa"/>
            <w:vAlign w:val="center"/>
          </w:tcPr>
          <w:p w14:paraId="0F1ECF65">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0</w:t>
            </w:r>
          </w:p>
        </w:tc>
        <w:tc>
          <w:tcPr>
            <w:tcW w:w="1275" w:type="dxa"/>
            <w:vAlign w:val="center"/>
          </w:tcPr>
          <w:p w14:paraId="2C07130F">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产污系数法</w:t>
            </w:r>
          </w:p>
        </w:tc>
        <w:tc>
          <w:tcPr>
            <w:tcW w:w="814" w:type="dxa"/>
            <w:vAlign w:val="center"/>
          </w:tcPr>
          <w:p w14:paraId="2672F739">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color w:val="auto"/>
                <w:w w:val="99"/>
                <w:kern w:val="2"/>
                <w:sz w:val="20"/>
                <w:szCs w:val="15"/>
                <w:highlight w:val="none"/>
              </w:rPr>
              <w:t>/</w:t>
            </w:r>
          </w:p>
        </w:tc>
        <w:tc>
          <w:tcPr>
            <w:tcW w:w="746" w:type="dxa"/>
            <w:vAlign w:val="center"/>
          </w:tcPr>
          <w:p w14:paraId="23831835">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color w:val="auto"/>
                <w:w w:val="99"/>
                <w:kern w:val="2"/>
                <w:sz w:val="20"/>
                <w:szCs w:val="15"/>
                <w:highlight w:val="none"/>
              </w:rPr>
              <w:t>/</w:t>
            </w:r>
          </w:p>
        </w:tc>
        <w:tc>
          <w:tcPr>
            <w:tcW w:w="992" w:type="dxa"/>
            <w:vAlign w:val="center"/>
          </w:tcPr>
          <w:p w14:paraId="77445C34">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11.66</w:t>
            </w:r>
          </w:p>
        </w:tc>
        <w:tc>
          <w:tcPr>
            <w:tcW w:w="682" w:type="dxa"/>
            <w:vAlign w:val="center"/>
          </w:tcPr>
          <w:p w14:paraId="14922484">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8760</w:t>
            </w:r>
          </w:p>
        </w:tc>
      </w:tr>
      <w:tr w14:paraId="5A984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29" w:type="dxa"/>
            <w:vAlign w:val="center"/>
          </w:tcPr>
          <w:p w14:paraId="2E02D1B5">
            <w:pPr>
              <w:widowControl w:val="0"/>
              <w:spacing w:line="28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天然气</w:t>
            </w:r>
            <w:r>
              <w:rPr>
                <w:rFonts w:ascii="Times New Roman" w:hAnsi="Times New Roman" w:cs="Times New Roman" w:eastAsiaTheme="minorEastAsia"/>
                <w:color w:val="auto"/>
                <w:w w:val="99"/>
                <w:sz w:val="21"/>
                <w:szCs w:val="21"/>
                <w:highlight w:val="none"/>
              </w:rPr>
              <w:t>集输、油气处理</w:t>
            </w:r>
          </w:p>
        </w:tc>
        <w:tc>
          <w:tcPr>
            <w:tcW w:w="1560" w:type="dxa"/>
            <w:vAlign w:val="center"/>
          </w:tcPr>
          <w:p w14:paraId="3D33C6AD">
            <w:pPr>
              <w:widowControl w:val="0"/>
              <w:spacing w:line="28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spacing w:val="-20"/>
                <w:w w:val="99"/>
                <w:sz w:val="21"/>
                <w:szCs w:val="21"/>
                <w:highlight w:val="none"/>
              </w:rPr>
              <w:t>井场及场站</w:t>
            </w:r>
          </w:p>
        </w:tc>
        <w:tc>
          <w:tcPr>
            <w:tcW w:w="992" w:type="dxa"/>
            <w:vAlign w:val="center"/>
          </w:tcPr>
          <w:p w14:paraId="06599DFD">
            <w:pPr>
              <w:widowControl w:val="0"/>
              <w:spacing w:line="28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spacing w:val="-20"/>
                <w:w w:val="99"/>
                <w:sz w:val="21"/>
                <w:szCs w:val="21"/>
                <w:highlight w:val="none"/>
              </w:rPr>
              <w:t>井场及场站无组织排放</w:t>
            </w:r>
          </w:p>
        </w:tc>
        <w:tc>
          <w:tcPr>
            <w:tcW w:w="850" w:type="dxa"/>
            <w:vAlign w:val="center"/>
          </w:tcPr>
          <w:p w14:paraId="370E9CCC">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温室气体</w:t>
            </w:r>
          </w:p>
        </w:tc>
        <w:tc>
          <w:tcPr>
            <w:tcW w:w="3828" w:type="dxa"/>
            <w:gridSpan w:val="4"/>
            <w:vAlign w:val="center"/>
          </w:tcPr>
          <w:p w14:paraId="46A20631">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少量</w:t>
            </w:r>
          </w:p>
        </w:tc>
        <w:tc>
          <w:tcPr>
            <w:tcW w:w="567" w:type="dxa"/>
            <w:vAlign w:val="center"/>
          </w:tcPr>
          <w:p w14:paraId="50D45599">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密闭集输</w:t>
            </w:r>
          </w:p>
        </w:tc>
        <w:tc>
          <w:tcPr>
            <w:tcW w:w="567" w:type="dxa"/>
            <w:vAlign w:val="center"/>
          </w:tcPr>
          <w:p w14:paraId="7CE4B994">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1275" w:type="dxa"/>
            <w:vAlign w:val="center"/>
          </w:tcPr>
          <w:p w14:paraId="6DB04B4A">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0"/>
                <w:szCs w:val="15"/>
                <w:highlight w:val="none"/>
              </w:rPr>
              <w:t>/</w:t>
            </w:r>
          </w:p>
        </w:tc>
        <w:tc>
          <w:tcPr>
            <w:tcW w:w="814" w:type="dxa"/>
            <w:vAlign w:val="center"/>
          </w:tcPr>
          <w:p w14:paraId="1F453EB6">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0"/>
                <w:szCs w:val="15"/>
                <w:highlight w:val="none"/>
              </w:rPr>
              <w:t>/</w:t>
            </w:r>
          </w:p>
        </w:tc>
        <w:tc>
          <w:tcPr>
            <w:tcW w:w="746" w:type="dxa"/>
            <w:vAlign w:val="center"/>
          </w:tcPr>
          <w:p w14:paraId="3E838417">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0"/>
                <w:szCs w:val="15"/>
                <w:highlight w:val="none"/>
              </w:rPr>
              <w:t>/</w:t>
            </w:r>
          </w:p>
        </w:tc>
        <w:tc>
          <w:tcPr>
            <w:tcW w:w="992" w:type="dxa"/>
            <w:vAlign w:val="center"/>
          </w:tcPr>
          <w:p w14:paraId="566F3421">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0"/>
                <w:szCs w:val="15"/>
                <w:highlight w:val="none"/>
              </w:rPr>
              <w:t>/</w:t>
            </w:r>
          </w:p>
        </w:tc>
        <w:tc>
          <w:tcPr>
            <w:tcW w:w="682" w:type="dxa"/>
            <w:vAlign w:val="center"/>
          </w:tcPr>
          <w:p w14:paraId="032FC4A9">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0"/>
                <w:szCs w:val="15"/>
                <w:highlight w:val="none"/>
              </w:rPr>
              <w:t>/</w:t>
            </w:r>
          </w:p>
        </w:tc>
      </w:tr>
      <w:tr w14:paraId="481B25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29" w:type="dxa"/>
            <w:vMerge w:val="restart"/>
            <w:vAlign w:val="center"/>
          </w:tcPr>
          <w:p w14:paraId="1EB81BF0">
            <w:pPr>
              <w:widowControl w:val="0"/>
              <w:spacing w:line="28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天然气</w:t>
            </w:r>
            <w:r>
              <w:rPr>
                <w:rFonts w:ascii="Times New Roman" w:hAnsi="Times New Roman" w:cs="Times New Roman" w:eastAsiaTheme="minorEastAsia"/>
                <w:color w:val="auto"/>
                <w:w w:val="99"/>
                <w:sz w:val="21"/>
                <w:szCs w:val="21"/>
                <w:highlight w:val="none"/>
              </w:rPr>
              <w:t>处理</w:t>
            </w:r>
          </w:p>
        </w:tc>
        <w:tc>
          <w:tcPr>
            <w:tcW w:w="1560" w:type="dxa"/>
            <w:vMerge w:val="restart"/>
            <w:vAlign w:val="center"/>
          </w:tcPr>
          <w:p w14:paraId="18147A1E">
            <w:pPr>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kern w:val="2"/>
                <w:sz w:val="21"/>
                <w:szCs w:val="21"/>
                <w:highlight w:val="none"/>
              </w:rPr>
              <w:t>徐深</w:t>
            </w:r>
            <w:r>
              <w:rPr>
                <w:rFonts w:hint="eastAsia" w:ascii="Times New Roman" w:hAnsi="Times New Roman" w:cs="Times New Roman"/>
                <w:color w:val="auto"/>
                <w:w w:val="99"/>
                <w:kern w:val="2"/>
                <w:sz w:val="21"/>
                <w:szCs w:val="21"/>
                <w:highlight w:val="none"/>
              </w:rPr>
              <w:t>27</w:t>
            </w:r>
            <w:r>
              <w:rPr>
                <w:rFonts w:ascii="Times New Roman" w:hAnsi="Times New Roman" w:cs="Times New Roman"/>
                <w:color w:val="auto"/>
                <w:w w:val="99"/>
                <w:kern w:val="2"/>
                <w:sz w:val="21"/>
                <w:szCs w:val="21"/>
                <w:highlight w:val="none"/>
              </w:rPr>
              <w:t>集气站</w:t>
            </w:r>
          </w:p>
        </w:tc>
        <w:tc>
          <w:tcPr>
            <w:tcW w:w="992" w:type="dxa"/>
            <w:vMerge w:val="restart"/>
            <w:vAlign w:val="center"/>
          </w:tcPr>
          <w:p w14:paraId="649D7FA7">
            <w:pPr>
              <w:widowControl w:val="0"/>
              <w:spacing w:line="28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spacing w:val="-20"/>
                <w:w w:val="99"/>
                <w:sz w:val="21"/>
                <w:szCs w:val="21"/>
                <w:highlight w:val="none"/>
              </w:rPr>
              <w:t>加热炉</w:t>
            </w:r>
          </w:p>
        </w:tc>
        <w:tc>
          <w:tcPr>
            <w:tcW w:w="850" w:type="dxa"/>
            <w:vAlign w:val="center"/>
          </w:tcPr>
          <w:p w14:paraId="093710B3">
            <w:pPr>
              <w:pStyle w:val="105"/>
              <w:spacing w:line="28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2</w:t>
            </w:r>
          </w:p>
        </w:tc>
        <w:tc>
          <w:tcPr>
            <w:tcW w:w="1271" w:type="dxa"/>
            <w:vMerge w:val="restart"/>
            <w:tcBorders>
              <w:right w:val="single" w:color="auto" w:sz="4" w:space="0"/>
            </w:tcBorders>
            <w:vAlign w:val="center"/>
          </w:tcPr>
          <w:p w14:paraId="20884D24">
            <w:pPr>
              <w:widowControl w:val="0"/>
              <w:spacing w:line="28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color w:val="auto"/>
                <w:spacing w:val="-20"/>
                <w:w w:val="99"/>
                <w:kern w:val="2"/>
                <w:sz w:val="21"/>
                <w:szCs w:val="21"/>
                <w:highlight w:val="none"/>
              </w:rPr>
              <w:t>类比法</w:t>
            </w:r>
          </w:p>
        </w:tc>
        <w:tc>
          <w:tcPr>
            <w:tcW w:w="861" w:type="dxa"/>
            <w:vMerge w:val="restart"/>
            <w:tcBorders>
              <w:left w:val="single" w:color="auto" w:sz="4" w:space="0"/>
              <w:right w:val="single" w:color="auto" w:sz="4" w:space="0"/>
            </w:tcBorders>
            <w:vAlign w:val="center"/>
          </w:tcPr>
          <w:p w14:paraId="280414B4">
            <w:pPr>
              <w:widowControl w:val="0"/>
              <w:spacing w:line="28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98.88</w:t>
            </w:r>
          </w:p>
        </w:tc>
        <w:tc>
          <w:tcPr>
            <w:tcW w:w="708" w:type="dxa"/>
            <w:tcBorders>
              <w:left w:val="single" w:color="auto" w:sz="4" w:space="0"/>
              <w:right w:val="single" w:color="auto" w:sz="4" w:space="0"/>
            </w:tcBorders>
            <w:vAlign w:val="center"/>
          </w:tcPr>
          <w:p w14:paraId="3F9B00D4">
            <w:pPr>
              <w:pStyle w:val="105"/>
              <w:spacing w:line="280" w:lineRule="exact"/>
              <w:ind w:firstLine="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w:t>
            </w:r>
          </w:p>
        </w:tc>
        <w:tc>
          <w:tcPr>
            <w:tcW w:w="988" w:type="dxa"/>
            <w:tcBorders>
              <w:left w:val="single" w:color="auto" w:sz="4" w:space="0"/>
            </w:tcBorders>
            <w:vAlign w:val="center"/>
          </w:tcPr>
          <w:p w14:paraId="387B8AC6">
            <w:pPr>
              <w:pStyle w:val="105"/>
              <w:spacing w:line="280" w:lineRule="exact"/>
              <w:ind w:firstLine="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w:t>
            </w:r>
          </w:p>
        </w:tc>
        <w:tc>
          <w:tcPr>
            <w:tcW w:w="567" w:type="dxa"/>
            <w:vAlign w:val="center"/>
          </w:tcPr>
          <w:p w14:paraId="7687ABE3">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0"/>
                <w:szCs w:val="15"/>
                <w:highlight w:val="none"/>
              </w:rPr>
              <w:t>/</w:t>
            </w:r>
          </w:p>
        </w:tc>
        <w:tc>
          <w:tcPr>
            <w:tcW w:w="567" w:type="dxa"/>
            <w:vAlign w:val="center"/>
          </w:tcPr>
          <w:p w14:paraId="4DDA1B20">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1275" w:type="dxa"/>
            <w:vMerge w:val="restart"/>
            <w:vAlign w:val="center"/>
          </w:tcPr>
          <w:p w14:paraId="434F779C">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spacing w:val="-20"/>
                <w:w w:val="99"/>
                <w:kern w:val="2"/>
                <w:sz w:val="21"/>
                <w:szCs w:val="21"/>
                <w:highlight w:val="none"/>
              </w:rPr>
              <w:t>类比法</w:t>
            </w:r>
          </w:p>
        </w:tc>
        <w:tc>
          <w:tcPr>
            <w:tcW w:w="814" w:type="dxa"/>
            <w:vMerge w:val="restart"/>
            <w:vAlign w:val="center"/>
          </w:tcPr>
          <w:p w14:paraId="5AAC8578">
            <w:pPr>
              <w:widowControl w:val="0"/>
              <w:spacing w:line="28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98.88</w:t>
            </w:r>
          </w:p>
        </w:tc>
        <w:tc>
          <w:tcPr>
            <w:tcW w:w="746" w:type="dxa"/>
            <w:vAlign w:val="center"/>
          </w:tcPr>
          <w:p w14:paraId="278938B8">
            <w:pPr>
              <w:pStyle w:val="105"/>
              <w:spacing w:line="280" w:lineRule="exact"/>
              <w:ind w:firstLine="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w:t>
            </w:r>
          </w:p>
        </w:tc>
        <w:tc>
          <w:tcPr>
            <w:tcW w:w="992" w:type="dxa"/>
            <w:vAlign w:val="center"/>
          </w:tcPr>
          <w:p w14:paraId="5651A271">
            <w:pPr>
              <w:pStyle w:val="105"/>
              <w:spacing w:line="280" w:lineRule="exact"/>
              <w:ind w:firstLine="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w:t>
            </w:r>
          </w:p>
        </w:tc>
        <w:tc>
          <w:tcPr>
            <w:tcW w:w="682" w:type="dxa"/>
            <w:vMerge w:val="restart"/>
            <w:vAlign w:val="center"/>
          </w:tcPr>
          <w:p w14:paraId="14D19A5A">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8760</w:t>
            </w:r>
          </w:p>
        </w:tc>
      </w:tr>
      <w:tr w14:paraId="2B148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29" w:type="dxa"/>
            <w:vMerge w:val="continue"/>
            <w:vAlign w:val="center"/>
          </w:tcPr>
          <w:p w14:paraId="54709E5A">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1560" w:type="dxa"/>
            <w:vMerge w:val="continue"/>
            <w:vAlign w:val="center"/>
          </w:tcPr>
          <w:p w14:paraId="7F77D2EF">
            <w:pPr>
              <w:spacing w:line="280" w:lineRule="exact"/>
              <w:jc w:val="center"/>
              <w:rPr>
                <w:rFonts w:ascii="Times New Roman" w:hAnsi="Times New Roman" w:cs="Times New Roman" w:eastAsiaTheme="minorEastAsia"/>
                <w:color w:val="auto"/>
                <w:w w:val="99"/>
                <w:sz w:val="21"/>
                <w:szCs w:val="21"/>
                <w:highlight w:val="none"/>
              </w:rPr>
            </w:pPr>
          </w:p>
        </w:tc>
        <w:tc>
          <w:tcPr>
            <w:tcW w:w="992" w:type="dxa"/>
            <w:vMerge w:val="continue"/>
            <w:vAlign w:val="center"/>
          </w:tcPr>
          <w:p w14:paraId="32E41EC6">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850" w:type="dxa"/>
            <w:vAlign w:val="center"/>
          </w:tcPr>
          <w:p w14:paraId="747D66D2">
            <w:pPr>
              <w:pStyle w:val="105"/>
              <w:spacing w:line="28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NO</w:t>
            </w:r>
            <w:r>
              <w:rPr>
                <w:rFonts w:ascii="Times New Roman" w:hAnsi="Times New Roman" w:cs="Times New Roman" w:eastAsiaTheme="minorEastAsia"/>
                <w:color w:val="auto"/>
                <w:w w:val="99"/>
                <w:sz w:val="21"/>
                <w:szCs w:val="21"/>
                <w:highlight w:val="none"/>
                <w:vertAlign w:val="subscript"/>
              </w:rPr>
              <w:t>x</w:t>
            </w:r>
            <w:r>
              <w:rPr>
                <w:rFonts w:ascii="Times New Roman" w:hAnsi="Times New Roman" w:cs="Times New Roman" w:eastAsiaTheme="minorEastAsia"/>
                <w:color w:val="auto"/>
                <w:w w:val="99"/>
                <w:sz w:val="21"/>
                <w:szCs w:val="21"/>
                <w:highlight w:val="none"/>
              </w:rPr>
              <w:t xml:space="preserve"> </w:t>
            </w:r>
          </w:p>
        </w:tc>
        <w:tc>
          <w:tcPr>
            <w:tcW w:w="1271" w:type="dxa"/>
            <w:vMerge w:val="continue"/>
            <w:vAlign w:val="center"/>
          </w:tcPr>
          <w:p w14:paraId="09DE7EC7">
            <w:pPr>
              <w:widowControl w:val="0"/>
              <w:spacing w:line="280" w:lineRule="exact"/>
              <w:jc w:val="center"/>
              <w:rPr>
                <w:rFonts w:ascii="Times New Roman" w:hAnsi="Times New Roman" w:cs="Times New Roman" w:eastAsiaTheme="minorEastAsia"/>
                <w:color w:val="auto"/>
                <w:spacing w:val="-20"/>
                <w:w w:val="99"/>
                <w:sz w:val="21"/>
                <w:szCs w:val="21"/>
                <w:highlight w:val="none"/>
              </w:rPr>
            </w:pPr>
          </w:p>
        </w:tc>
        <w:tc>
          <w:tcPr>
            <w:tcW w:w="861" w:type="dxa"/>
            <w:vMerge w:val="continue"/>
            <w:tcBorders>
              <w:left w:val="single" w:color="auto" w:sz="4" w:space="0"/>
              <w:right w:val="single" w:color="auto" w:sz="4" w:space="0"/>
            </w:tcBorders>
            <w:vAlign w:val="center"/>
          </w:tcPr>
          <w:p w14:paraId="37B24EC4">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708" w:type="dxa"/>
            <w:vAlign w:val="center"/>
          </w:tcPr>
          <w:p w14:paraId="4E849111">
            <w:pPr>
              <w:pStyle w:val="105"/>
              <w:spacing w:line="280" w:lineRule="exact"/>
              <w:ind w:firstLine="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58</w:t>
            </w:r>
          </w:p>
        </w:tc>
        <w:tc>
          <w:tcPr>
            <w:tcW w:w="988" w:type="dxa"/>
            <w:vAlign w:val="center"/>
          </w:tcPr>
          <w:p w14:paraId="4EBE072D">
            <w:pPr>
              <w:pStyle w:val="105"/>
              <w:spacing w:line="280" w:lineRule="exact"/>
              <w:ind w:firstLine="0"/>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0.057</w:t>
            </w:r>
          </w:p>
        </w:tc>
        <w:tc>
          <w:tcPr>
            <w:tcW w:w="567" w:type="dxa"/>
            <w:vAlign w:val="center"/>
          </w:tcPr>
          <w:p w14:paraId="6B26268E">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0"/>
                <w:szCs w:val="15"/>
                <w:highlight w:val="none"/>
              </w:rPr>
              <w:t>/</w:t>
            </w:r>
          </w:p>
        </w:tc>
        <w:tc>
          <w:tcPr>
            <w:tcW w:w="567" w:type="dxa"/>
            <w:vAlign w:val="center"/>
          </w:tcPr>
          <w:p w14:paraId="31A2144A">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1275" w:type="dxa"/>
            <w:vMerge w:val="continue"/>
            <w:vAlign w:val="center"/>
          </w:tcPr>
          <w:p w14:paraId="31F13AB8">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814" w:type="dxa"/>
            <w:vMerge w:val="continue"/>
            <w:vAlign w:val="center"/>
          </w:tcPr>
          <w:p w14:paraId="0E666489">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746" w:type="dxa"/>
            <w:vAlign w:val="center"/>
          </w:tcPr>
          <w:p w14:paraId="092B9E62">
            <w:pPr>
              <w:pStyle w:val="105"/>
              <w:spacing w:line="280" w:lineRule="exact"/>
              <w:ind w:firstLine="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58</w:t>
            </w:r>
          </w:p>
        </w:tc>
        <w:tc>
          <w:tcPr>
            <w:tcW w:w="992" w:type="dxa"/>
            <w:vAlign w:val="center"/>
          </w:tcPr>
          <w:p w14:paraId="6967DB6F">
            <w:pPr>
              <w:pStyle w:val="105"/>
              <w:spacing w:line="280" w:lineRule="exact"/>
              <w:ind w:firstLine="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color w:val="auto"/>
                <w:w w:val="99"/>
                <w:sz w:val="21"/>
                <w:szCs w:val="21"/>
                <w:highlight w:val="none"/>
              </w:rPr>
              <w:t>0.057</w:t>
            </w:r>
          </w:p>
        </w:tc>
        <w:tc>
          <w:tcPr>
            <w:tcW w:w="682" w:type="dxa"/>
            <w:vMerge w:val="continue"/>
            <w:vAlign w:val="center"/>
          </w:tcPr>
          <w:p w14:paraId="505A1641">
            <w:pPr>
              <w:widowControl w:val="0"/>
              <w:spacing w:line="280" w:lineRule="exact"/>
              <w:jc w:val="center"/>
              <w:rPr>
                <w:rFonts w:ascii="Times New Roman" w:hAnsi="Times New Roman" w:cs="Times New Roman" w:eastAsiaTheme="minorEastAsia"/>
                <w:color w:val="auto"/>
                <w:w w:val="99"/>
                <w:sz w:val="21"/>
                <w:szCs w:val="21"/>
                <w:highlight w:val="none"/>
              </w:rPr>
            </w:pPr>
          </w:p>
        </w:tc>
      </w:tr>
      <w:tr w14:paraId="6C94A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29" w:type="dxa"/>
            <w:vMerge w:val="continue"/>
            <w:vAlign w:val="center"/>
          </w:tcPr>
          <w:p w14:paraId="4DD08AAB">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1560" w:type="dxa"/>
            <w:vMerge w:val="continue"/>
            <w:vAlign w:val="center"/>
          </w:tcPr>
          <w:p w14:paraId="5464A16E">
            <w:pPr>
              <w:spacing w:line="280" w:lineRule="exact"/>
              <w:jc w:val="center"/>
              <w:rPr>
                <w:rFonts w:ascii="Times New Roman" w:hAnsi="Times New Roman" w:cs="Times New Roman" w:eastAsiaTheme="minorEastAsia"/>
                <w:color w:val="auto"/>
                <w:w w:val="99"/>
                <w:sz w:val="21"/>
                <w:szCs w:val="21"/>
                <w:highlight w:val="none"/>
              </w:rPr>
            </w:pPr>
          </w:p>
        </w:tc>
        <w:tc>
          <w:tcPr>
            <w:tcW w:w="992" w:type="dxa"/>
            <w:vMerge w:val="continue"/>
            <w:vAlign w:val="center"/>
          </w:tcPr>
          <w:p w14:paraId="3391D499">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850" w:type="dxa"/>
            <w:vAlign w:val="center"/>
          </w:tcPr>
          <w:p w14:paraId="7C95D10A">
            <w:pPr>
              <w:pStyle w:val="105"/>
              <w:spacing w:line="28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颗粒物</w:t>
            </w:r>
          </w:p>
        </w:tc>
        <w:tc>
          <w:tcPr>
            <w:tcW w:w="1271" w:type="dxa"/>
            <w:vMerge w:val="continue"/>
            <w:vAlign w:val="center"/>
          </w:tcPr>
          <w:p w14:paraId="1A815636">
            <w:pPr>
              <w:widowControl w:val="0"/>
              <w:spacing w:line="280" w:lineRule="exact"/>
              <w:jc w:val="center"/>
              <w:rPr>
                <w:rFonts w:ascii="Times New Roman" w:hAnsi="Times New Roman" w:cs="Times New Roman" w:eastAsiaTheme="minorEastAsia"/>
                <w:color w:val="auto"/>
                <w:spacing w:val="-20"/>
                <w:w w:val="99"/>
                <w:sz w:val="21"/>
                <w:szCs w:val="21"/>
                <w:highlight w:val="none"/>
              </w:rPr>
            </w:pPr>
          </w:p>
        </w:tc>
        <w:tc>
          <w:tcPr>
            <w:tcW w:w="861" w:type="dxa"/>
            <w:vMerge w:val="continue"/>
            <w:tcBorders>
              <w:left w:val="single" w:color="auto" w:sz="4" w:space="0"/>
              <w:right w:val="single" w:color="auto" w:sz="4" w:space="0"/>
            </w:tcBorders>
            <w:vAlign w:val="center"/>
          </w:tcPr>
          <w:p w14:paraId="6ED5068B">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708" w:type="dxa"/>
            <w:vAlign w:val="center"/>
          </w:tcPr>
          <w:p w14:paraId="7D68F3C9">
            <w:pPr>
              <w:pStyle w:val="105"/>
              <w:spacing w:line="280" w:lineRule="exact"/>
              <w:ind w:firstLine="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6.4</w:t>
            </w:r>
          </w:p>
        </w:tc>
        <w:tc>
          <w:tcPr>
            <w:tcW w:w="988" w:type="dxa"/>
            <w:vAlign w:val="center"/>
          </w:tcPr>
          <w:p w14:paraId="3E5D586F">
            <w:pPr>
              <w:pStyle w:val="105"/>
              <w:spacing w:line="280" w:lineRule="exact"/>
              <w:ind w:firstLine="0"/>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0.006</w:t>
            </w:r>
          </w:p>
        </w:tc>
        <w:tc>
          <w:tcPr>
            <w:tcW w:w="567" w:type="dxa"/>
            <w:vAlign w:val="center"/>
          </w:tcPr>
          <w:p w14:paraId="1E168241">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0"/>
                <w:szCs w:val="15"/>
                <w:highlight w:val="none"/>
              </w:rPr>
              <w:t>/</w:t>
            </w:r>
          </w:p>
        </w:tc>
        <w:tc>
          <w:tcPr>
            <w:tcW w:w="567" w:type="dxa"/>
            <w:vAlign w:val="center"/>
          </w:tcPr>
          <w:p w14:paraId="608FA89D">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1275" w:type="dxa"/>
            <w:vMerge w:val="continue"/>
            <w:vAlign w:val="center"/>
          </w:tcPr>
          <w:p w14:paraId="0244874D">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814" w:type="dxa"/>
            <w:vMerge w:val="continue"/>
            <w:vAlign w:val="center"/>
          </w:tcPr>
          <w:p w14:paraId="1A07368B">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746" w:type="dxa"/>
            <w:vAlign w:val="center"/>
          </w:tcPr>
          <w:p w14:paraId="21C4345D">
            <w:pPr>
              <w:pStyle w:val="105"/>
              <w:spacing w:line="280" w:lineRule="exact"/>
              <w:ind w:firstLine="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6.4</w:t>
            </w:r>
          </w:p>
        </w:tc>
        <w:tc>
          <w:tcPr>
            <w:tcW w:w="992" w:type="dxa"/>
            <w:vAlign w:val="center"/>
          </w:tcPr>
          <w:p w14:paraId="7F19914C">
            <w:pPr>
              <w:pStyle w:val="105"/>
              <w:spacing w:line="280" w:lineRule="exact"/>
              <w:ind w:firstLine="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color w:val="auto"/>
                <w:w w:val="99"/>
                <w:sz w:val="21"/>
                <w:szCs w:val="21"/>
                <w:highlight w:val="none"/>
              </w:rPr>
              <w:t>0.006</w:t>
            </w:r>
          </w:p>
        </w:tc>
        <w:tc>
          <w:tcPr>
            <w:tcW w:w="682" w:type="dxa"/>
            <w:vMerge w:val="continue"/>
            <w:vAlign w:val="center"/>
          </w:tcPr>
          <w:p w14:paraId="12E815AF">
            <w:pPr>
              <w:widowControl w:val="0"/>
              <w:spacing w:line="280" w:lineRule="exact"/>
              <w:jc w:val="center"/>
              <w:rPr>
                <w:rFonts w:ascii="Times New Roman" w:hAnsi="Times New Roman" w:cs="Times New Roman" w:eastAsiaTheme="minorEastAsia"/>
                <w:color w:val="auto"/>
                <w:w w:val="99"/>
                <w:sz w:val="21"/>
                <w:szCs w:val="21"/>
                <w:highlight w:val="none"/>
              </w:rPr>
            </w:pPr>
          </w:p>
        </w:tc>
      </w:tr>
      <w:tr w14:paraId="51DEF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29" w:type="dxa"/>
            <w:vMerge w:val="restart"/>
            <w:vAlign w:val="center"/>
          </w:tcPr>
          <w:p w14:paraId="1D843315">
            <w:pPr>
              <w:widowControl w:val="0"/>
              <w:spacing w:line="28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井场放空</w:t>
            </w:r>
          </w:p>
        </w:tc>
        <w:tc>
          <w:tcPr>
            <w:tcW w:w="1560" w:type="dxa"/>
            <w:vMerge w:val="restart"/>
            <w:vAlign w:val="center"/>
          </w:tcPr>
          <w:p w14:paraId="73A86CFD">
            <w:pPr>
              <w:spacing w:line="28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井场</w:t>
            </w:r>
          </w:p>
        </w:tc>
        <w:tc>
          <w:tcPr>
            <w:tcW w:w="992" w:type="dxa"/>
            <w:vMerge w:val="restart"/>
            <w:vAlign w:val="center"/>
          </w:tcPr>
          <w:p w14:paraId="1F6A273D">
            <w:pPr>
              <w:widowControl w:val="0"/>
              <w:spacing w:line="28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放空池</w:t>
            </w:r>
          </w:p>
        </w:tc>
        <w:tc>
          <w:tcPr>
            <w:tcW w:w="850" w:type="dxa"/>
            <w:vAlign w:val="center"/>
          </w:tcPr>
          <w:p w14:paraId="4670166B">
            <w:pPr>
              <w:pStyle w:val="105"/>
              <w:spacing w:line="28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颗粒物</w:t>
            </w:r>
          </w:p>
        </w:tc>
        <w:tc>
          <w:tcPr>
            <w:tcW w:w="1271" w:type="dxa"/>
            <w:vMerge w:val="restart"/>
            <w:vAlign w:val="center"/>
          </w:tcPr>
          <w:p w14:paraId="5518D6BE">
            <w:pPr>
              <w:widowControl w:val="0"/>
              <w:spacing w:line="28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color w:val="auto"/>
                <w:w w:val="99"/>
                <w:kern w:val="2"/>
                <w:sz w:val="21"/>
                <w:szCs w:val="21"/>
                <w:highlight w:val="none"/>
              </w:rPr>
              <w:t>产污系数法</w:t>
            </w:r>
          </w:p>
        </w:tc>
        <w:tc>
          <w:tcPr>
            <w:tcW w:w="861" w:type="dxa"/>
            <w:vMerge w:val="restart"/>
            <w:vAlign w:val="center"/>
          </w:tcPr>
          <w:p w14:paraId="34F328FE">
            <w:pPr>
              <w:widowControl w:val="0"/>
              <w:spacing w:line="28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2500</w:t>
            </w:r>
          </w:p>
        </w:tc>
        <w:tc>
          <w:tcPr>
            <w:tcW w:w="708" w:type="dxa"/>
            <w:vAlign w:val="center"/>
          </w:tcPr>
          <w:p w14:paraId="6F785650">
            <w:pPr>
              <w:spacing w:line="280" w:lineRule="exact"/>
              <w:jc w:val="center"/>
              <w:rPr>
                <w:rFonts w:ascii="Times New Roman" w:hAnsi="Times New Roman" w:cs="Times New Roman"/>
                <w:color w:val="auto"/>
                <w:w w:val="99"/>
                <w:sz w:val="21"/>
                <w:szCs w:val="21"/>
                <w:highlight w:val="none"/>
              </w:rPr>
            </w:pPr>
            <w:r>
              <w:rPr>
                <w:rFonts w:ascii="Times New Roman" w:hAnsi="Times New Roman" w:cs="Times New Roman" w:eastAsiaTheme="minorEastAsia"/>
                <w:color w:val="auto"/>
                <w:w w:val="99"/>
                <w:kern w:val="2"/>
                <w:sz w:val="20"/>
                <w:szCs w:val="15"/>
                <w:highlight w:val="none"/>
              </w:rPr>
              <w:t>/</w:t>
            </w:r>
          </w:p>
        </w:tc>
        <w:tc>
          <w:tcPr>
            <w:tcW w:w="988" w:type="dxa"/>
            <w:vAlign w:val="center"/>
          </w:tcPr>
          <w:p w14:paraId="7694242F">
            <w:pPr>
              <w:pStyle w:val="105"/>
              <w:spacing w:line="280" w:lineRule="exact"/>
              <w:ind w:firstLine="0"/>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0.0003</w:t>
            </w:r>
          </w:p>
        </w:tc>
        <w:tc>
          <w:tcPr>
            <w:tcW w:w="567" w:type="dxa"/>
            <w:vAlign w:val="center"/>
          </w:tcPr>
          <w:p w14:paraId="2C3D1949">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0"/>
                <w:szCs w:val="15"/>
                <w:highlight w:val="none"/>
              </w:rPr>
              <w:t>/</w:t>
            </w:r>
          </w:p>
        </w:tc>
        <w:tc>
          <w:tcPr>
            <w:tcW w:w="567" w:type="dxa"/>
            <w:vAlign w:val="center"/>
          </w:tcPr>
          <w:p w14:paraId="3EFFC2E3">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1275" w:type="dxa"/>
            <w:vMerge w:val="restart"/>
            <w:vAlign w:val="center"/>
          </w:tcPr>
          <w:p w14:paraId="74E44F3C">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kern w:val="2"/>
                <w:sz w:val="21"/>
                <w:szCs w:val="21"/>
                <w:highlight w:val="none"/>
              </w:rPr>
              <w:t>产污系数法</w:t>
            </w:r>
          </w:p>
        </w:tc>
        <w:tc>
          <w:tcPr>
            <w:tcW w:w="814" w:type="dxa"/>
            <w:vMerge w:val="restart"/>
            <w:vAlign w:val="center"/>
          </w:tcPr>
          <w:p w14:paraId="75C0A9A7">
            <w:pPr>
              <w:widowControl w:val="0"/>
              <w:spacing w:line="28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2500</w:t>
            </w:r>
          </w:p>
        </w:tc>
        <w:tc>
          <w:tcPr>
            <w:tcW w:w="746" w:type="dxa"/>
            <w:vAlign w:val="center"/>
          </w:tcPr>
          <w:p w14:paraId="7B396B6B">
            <w:pPr>
              <w:spacing w:line="280" w:lineRule="exact"/>
              <w:jc w:val="center"/>
              <w:rPr>
                <w:rFonts w:ascii="Times New Roman" w:hAnsi="Times New Roman" w:cs="Times New Roman"/>
                <w:color w:val="auto"/>
                <w:w w:val="99"/>
                <w:sz w:val="21"/>
                <w:szCs w:val="21"/>
                <w:highlight w:val="none"/>
              </w:rPr>
            </w:pPr>
            <w:r>
              <w:rPr>
                <w:rFonts w:ascii="Times New Roman" w:hAnsi="Times New Roman" w:cs="Times New Roman" w:eastAsiaTheme="minorEastAsia"/>
                <w:color w:val="auto"/>
                <w:w w:val="99"/>
                <w:kern w:val="2"/>
                <w:sz w:val="20"/>
                <w:szCs w:val="15"/>
                <w:highlight w:val="none"/>
              </w:rPr>
              <w:t>/</w:t>
            </w:r>
          </w:p>
        </w:tc>
        <w:tc>
          <w:tcPr>
            <w:tcW w:w="992" w:type="dxa"/>
            <w:vAlign w:val="center"/>
          </w:tcPr>
          <w:p w14:paraId="64DADC88">
            <w:pPr>
              <w:pStyle w:val="105"/>
              <w:spacing w:line="280" w:lineRule="exact"/>
              <w:ind w:firstLine="0"/>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0.0003</w:t>
            </w:r>
          </w:p>
        </w:tc>
        <w:tc>
          <w:tcPr>
            <w:tcW w:w="682" w:type="dxa"/>
            <w:vMerge w:val="restart"/>
            <w:vAlign w:val="center"/>
          </w:tcPr>
          <w:p w14:paraId="3B4B4691">
            <w:pPr>
              <w:widowControl w:val="0"/>
              <w:spacing w:line="28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突发</w:t>
            </w:r>
          </w:p>
        </w:tc>
      </w:tr>
      <w:tr w14:paraId="7DD9D8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29" w:type="dxa"/>
            <w:vMerge w:val="continue"/>
            <w:vAlign w:val="center"/>
          </w:tcPr>
          <w:p w14:paraId="71C9C6A2">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1560" w:type="dxa"/>
            <w:vMerge w:val="continue"/>
            <w:vAlign w:val="center"/>
          </w:tcPr>
          <w:p w14:paraId="64D62C96">
            <w:pPr>
              <w:spacing w:line="280" w:lineRule="exact"/>
              <w:jc w:val="center"/>
              <w:rPr>
                <w:rFonts w:ascii="Times New Roman" w:hAnsi="Times New Roman" w:cs="Times New Roman" w:eastAsiaTheme="minorEastAsia"/>
                <w:color w:val="auto"/>
                <w:w w:val="99"/>
                <w:sz w:val="21"/>
                <w:szCs w:val="21"/>
                <w:highlight w:val="none"/>
              </w:rPr>
            </w:pPr>
          </w:p>
        </w:tc>
        <w:tc>
          <w:tcPr>
            <w:tcW w:w="992" w:type="dxa"/>
            <w:vMerge w:val="continue"/>
            <w:vAlign w:val="center"/>
          </w:tcPr>
          <w:p w14:paraId="07795A86">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850" w:type="dxa"/>
            <w:vAlign w:val="center"/>
          </w:tcPr>
          <w:p w14:paraId="55928CF6">
            <w:pPr>
              <w:pStyle w:val="105"/>
              <w:spacing w:line="28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NO</w:t>
            </w:r>
            <w:r>
              <w:rPr>
                <w:rFonts w:ascii="Times New Roman" w:hAnsi="Times New Roman" w:cs="Times New Roman" w:eastAsiaTheme="minorEastAsia"/>
                <w:color w:val="auto"/>
                <w:w w:val="99"/>
                <w:sz w:val="21"/>
                <w:szCs w:val="21"/>
                <w:highlight w:val="none"/>
                <w:vertAlign w:val="subscript"/>
              </w:rPr>
              <w:t>x</w:t>
            </w:r>
            <w:r>
              <w:rPr>
                <w:rFonts w:ascii="Times New Roman" w:hAnsi="Times New Roman" w:cs="Times New Roman" w:eastAsiaTheme="minorEastAsia"/>
                <w:color w:val="auto"/>
                <w:w w:val="99"/>
                <w:sz w:val="21"/>
                <w:szCs w:val="21"/>
                <w:highlight w:val="none"/>
              </w:rPr>
              <w:t xml:space="preserve"> </w:t>
            </w:r>
          </w:p>
        </w:tc>
        <w:tc>
          <w:tcPr>
            <w:tcW w:w="1271" w:type="dxa"/>
            <w:vMerge w:val="continue"/>
            <w:vAlign w:val="center"/>
          </w:tcPr>
          <w:p w14:paraId="7236A1BD">
            <w:pPr>
              <w:widowControl w:val="0"/>
              <w:spacing w:line="280" w:lineRule="exact"/>
              <w:jc w:val="center"/>
              <w:rPr>
                <w:rFonts w:ascii="Times New Roman" w:hAnsi="Times New Roman" w:cs="Times New Roman" w:eastAsiaTheme="minorEastAsia"/>
                <w:color w:val="auto"/>
                <w:spacing w:val="-20"/>
                <w:w w:val="99"/>
                <w:sz w:val="21"/>
                <w:szCs w:val="21"/>
                <w:highlight w:val="none"/>
              </w:rPr>
            </w:pPr>
          </w:p>
        </w:tc>
        <w:tc>
          <w:tcPr>
            <w:tcW w:w="861" w:type="dxa"/>
            <w:vMerge w:val="continue"/>
            <w:vAlign w:val="center"/>
          </w:tcPr>
          <w:p w14:paraId="34E7D0D6">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708" w:type="dxa"/>
            <w:vAlign w:val="center"/>
          </w:tcPr>
          <w:p w14:paraId="3C438147">
            <w:pPr>
              <w:spacing w:line="280" w:lineRule="exact"/>
              <w:jc w:val="center"/>
              <w:rPr>
                <w:rFonts w:ascii="Times New Roman" w:hAnsi="Times New Roman" w:cs="Times New Roman"/>
                <w:color w:val="auto"/>
                <w:w w:val="99"/>
                <w:sz w:val="21"/>
                <w:szCs w:val="21"/>
                <w:highlight w:val="none"/>
              </w:rPr>
            </w:pPr>
            <w:r>
              <w:rPr>
                <w:rFonts w:ascii="Times New Roman" w:hAnsi="Times New Roman" w:cs="Times New Roman" w:eastAsiaTheme="minorEastAsia"/>
                <w:color w:val="auto"/>
                <w:w w:val="99"/>
                <w:kern w:val="2"/>
                <w:sz w:val="20"/>
                <w:szCs w:val="15"/>
                <w:highlight w:val="none"/>
              </w:rPr>
              <w:t>/</w:t>
            </w:r>
          </w:p>
        </w:tc>
        <w:tc>
          <w:tcPr>
            <w:tcW w:w="988" w:type="dxa"/>
            <w:vAlign w:val="center"/>
          </w:tcPr>
          <w:p w14:paraId="04C34AFA">
            <w:pPr>
              <w:pStyle w:val="105"/>
              <w:spacing w:line="280" w:lineRule="exact"/>
              <w:ind w:firstLine="0"/>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0.0044</w:t>
            </w:r>
          </w:p>
        </w:tc>
        <w:tc>
          <w:tcPr>
            <w:tcW w:w="567" w:type="dxa"/>
            <w:vAlign w:val="center"/>
          </w:tcPr>
          <w:p w14:paraId="5320058D">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0"/>
                <w:szCs w:val="15"/>
                <w:highlight w:val="none"/>
              </w:rPr>
              <w:t>/</w:t>
            </w:r>
          </w:p>
        </w:tc>
        <w:tc>
          <w:tcPr>
            <w:tcW w:w="567" w:type="dxa"/>
            <w:vAlign w:val="center"/>
          </w:tcPr>
          <w:p w14:paraId="0E81DCED">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1275" w:type="dxa"/>
            <w:vMerge w:val="continue"/>
            <w:vAlign w:val="center"/>
          </w:tcPr>
          <w:p w14:paraId="27051663">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814" w:type="dxa"/>
            <w:vMerge w:val="continue"/>
            <w:vAlign w:val="center"/>
          </w:tcPr>
          <w:p w14:paraId="0938A6D7">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746" w:type="dxa"/>
            <w:vAlign w:val="center"/>
          </w:tcPr>
          <w:p w14:paraId="5D653589">
            <w:pPr>
              <w:spacing w:line="280" w:lineRule="exact"/>
              <w:jc w:val="center"/>
              <w:rPr>
                <w:rFonts w:ascii="Times New Roman" w:hAnsi="Times New Roman" w:cs="Times New Roman"/>
                <w:color w:val="auto"/>
                <w:w w:val="99"/>
                <w:sz w:val="21"/>
                <w:szCs w:val="21"/>
                <w:highlight w:val="none"/>
              </w:rPr>
            </w:pPr>
            <w:r>
              <w:rPr>
                <w:rFonts w:ascii="Times New Roman" w:hAnsi="Times New Roman" w:cs="Times New Roman" w:eastAsiaTheme="minorEastAsia"/>
                <w:color w:val="auto"/>
                <w:w w:val="99"/>
                <w:kern w:val="2"/>
                <w:sz w:val="20"/>
                <w:szCs w:val="15"/>
                <w:highlight w:val="none"/>
              </w:rPr>
              <w:t>/</w:t>
            </w:r>
          </w:p>
        </w:tc>
        <w:tc>
          <w:tcPr>
            <w:tcW w:w="992" w:type="dxa"/>
            <w:vAlign w:val="center"/>
          </w:tcPr>
          <w:p w14:paraId="0EC3A1CA">
            <w:pPr>
              <w:pStyle w:val="105"/>
              <w:spacing w:line="280" w:lineRule="exact"/>
              <w:ind w:firstLine="0"/>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0.0044</w:t>
            </w:r>
          </w:p>
        </w:tc>
        <w:tc>
          <w:tcPr>
            <w:tcW w:w="682" w:type="dxa"/>
            <w:vMerge w:val="continue"/>
            <w:vAlign w:val="center"/>
          </w:tcPr>
          <w:p w14:paraId="02226DC5">
            <w:pPr>
              <w:widowControl w:val="0"/>
              <w:spacing w:line="280" w:lineRule="exact"/>
              <w:jc w:val="center"/>
              <w:rPr>
                <w:rFonts w:ascii="Times New Roman" w:hAnsi="Times New Roman" w:cs="Times New Roman" w:eastAsiaTheme="minorEastAsia"/>
                <w:color w:val="auto"/>
                <w:w w:val="99"/>
                <w:sz w:val="21"/>
                <w:szCs w:val="21"/>
                <w:highlight w:val="none"/>
              </w:rPr>
            </w:pPr>
          </w:p>
        </w:tc>
      </w:tr>
      <w:tr w14:paraId="202C6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29" w:type="dxa"/>
            <w:vMerge w:val="continue"/>
            <w:vAlign w:val="center"/>
          </w:tcPr>
          <w:p w14:paraId="2955D66C">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1560" w:type="dxa"/>
            <w:vMerge w:val="continue"/>
            <w:vAlign w:val="center"/>
          </w:tcPr>
          <w:p w14:paraId="5D0FAA00">
            <w:pPr>
              <w:spacing w:line="280" w:lineRule="exact"/>
              <w:jc w:val="center"/>
              <w:rPr>
                <w:rFonts w:ascii="Times New Roman" w:hAnsi="Times New Roman" w:cs="Times New Roman" w:eastAsiaTheme="minorEastAsia"/>
                <w:color w:val="auto"/>
                <w:w w:val="99"/>
                <w:sz w:val="21"/>
                <w:szCs w:val="21"/>
                <w:highlight w:val="none"/>
              </w:rPr>
            </w:pPr>
          </w:p>
        </w:tc>
        <w:tc>
          <w:tcPr>
            <w:tcW w:w="992" w:type="dxa"/>
            <w:vMerge w:val="continue"/>
            <w:vAlign w:val="center"/>
          </w:tcPr>
          <w:p w14:paraId="3CF9A7C1">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850" w:type="dxa"/>
            <w:vAlign w:val="center"/>
          </w:tcPr>
          <w:p w14:paraId="50A56437">
            <w:pPr>
              <w:pStyle w:val="105"/>
              <w:spacing w:line="28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2</w:t>
            </w:r>
          </w:p>
        </w:tc>
        <w:tc>
          <w:tcPr>
            <w:tcW w:w="1271" w:type="dxa"/>
            <w:vMerge w:val="continue"/>
            <w:vAlign w:val="center"/>
          </w:tcPr>
          <w:p w14:paraId="7402684C">
            <w:pPr>
              <w:widowControl w:val="0"/>
              <w:spacing w:line="280" w:lineRule="exact"/>
              <w:jc w:val="center"/>
              <w:rPr>
                <w:rFonts w:ascii="Times New Roman" w:hAnsi="Times New Roman" w:cs="Times New Roman" w:eastAsiaTheme="minorEastAsia"/>
                <w:color w:val="auto"/>
                <w:spacing w:val="-20"/>
                <w:w w:val="99"/>
                <w:sz w:val="21"/>
                <w:szCs w:val="21"/>
                <w:highlight w:val="none"/>
              </w:rPr>
            </w:pPr>
          </w:p>
        </w:tc>
        <w:tc>
          <w:tcPr>
            <w:tcW w:w="861" w:type="dxa"/>
            <w:vMerge w:val="continue"/>
            <w:vAlign w:val="center"/>
          </w:tcPr>
          <w:p w14:paraId="1B680F0B">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708" w:type="dxa"/>
            <w:vAlign w:val="center"/>
          </w:tcPr>
          <w:p w14:paraId="0215CDF9">
            <w:pPr>
              <w:spacing w:line="280" w:lineRule="exact"/>
              <w:jc w:val="center"/>
              <w:rPr>
                <w:rFonts w:ascii="Times New Roman" w:hAnsi="Times New Roman" w:cs="Times New Roman"/>
                <w:color w:val="auto"/>
                <w:w w:val="99"/>
                <w:sz w:val="21"/>
                <w:szCs w:val="21"/>
                <w:highlight w:val="none"/>
              </w:rPr>
            </w:pPr>
            <w:r>
              <w:rPr>
                <w:rFonts w:ascii="Times New Roman" w:hAnsi="Times New Roman" w:cs="Times New Roman" w:eastAsiaTheme="minorEastAsia"/>
                <w:color w:val="auto"/>
                <w:w w:val="99"/>
                <w:kern w:val="2"/>
                <w:sz w:val="20"/>
                <w:szCs w:val="15"/>
                <w:highlight w:val="none"/>
              </w:rPr>
              <w:t>/</w:t>
            </w:r>
          </w:p>
        </w:tc>
        <w:tc>
          <w:tcPr>
            <w:tcW w:w="988" w:type="dxa"/>
            <w:vAlign w:val="center"/>
          </w:tcPr>
          <w:p w14:paraId="198B8D0C">
            <w:pPr>
              <w:pStyle w:val="105"/>
              <w:spacing w:line="280" w:lineRule="exact"/>
              <w:ind w:firstLine="0"/>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0.0004</w:t>
            </w:r>
          </w:p>
        </w:tc>
        <w:tc>
          <w:tcPr>
            <w:tcW w:w="567" w:type="dxa"/>
            <w:vAlign w:val="center"/>
          </w:tcPr>
          <w:p w14:paraId="19AEB2B2">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0"/>
                <w:szCs w:val="15"/>
                <w:highlight w:val="none"/>
              </w:rPr>
              <w:t>/</w:t>
            </w:r>
          </w:p>
        </w:tc>
        <w:tc>
          <w:tcPr>
            <w:tcW w:w="567" w:type="dxa"/>
            <w:vAlign w:val="center"/>
          </w:tcPr>
          <w:p w14:paraId="5E0A1D05">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1275" w:type="dxa"/>
            <w:vMerge w:val="continue"/>
            <w:vAlign w:val="center"/>
          </w:tcPr>
          <w:p w14:paraId="45083829">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814" w:type="dxa"/>
            <w:vMerge w:val="continue"/>
            <w:vAlign w:val="center"/>
          </w:tcPr>
          <w:p w14:paraId="675F5396">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746" w:type="dxa"/>
            <w:vAlign w:val="center"/>
          </w:tcPr>
          <w:p w14:paraId="4F168166">
            <w:pPr>
              <w:spacing w:line="280" w:lineRule="exact"/>
              <w:jc w:val="center"/>
              <w:rPr>
                <w:rFonts w:ascii="Times New Roman" w:hAnsi="Times New Roman" w:cs="Times New Roman"/>
                <w:color w:val="auto"/>
                <w:w w:val="99"/>
                <w:sz w:val="21"/>
                <w:szCs w:val="21"/>
                <w:highlight w:val="none"/>
              </w:rPr>
            </w:pPr>
            <w:r>
              <w:rPr>
                <w:rFonts w:ascii="Times New Roman" w:hAnsi="Times New Roman" w:cs="Times New Roman" w:eastAsiaTheme="minorEastAsia"/>
                <w:color w:val="auto"/>
                <w:w w:val="99"/>
                <w:kern w:val="2"/>
                <w:sz w:val="20"/>
                <w:szCs w:val="15"/>
                <w:highlight w:val="none"/>
              </w:rPr>
              <w:t>/</w:t>
            </w:r>
          </w:p>
        </w:tc>
        <w:tc>
          <w:tcPr>
            <w:tcW w:w="992" w:type="dxa"/>
            <w:vAlign w:val="center"/>
          </w:tcPr>
          <w:p w14:paraId="2D6F1314">
            <w:pPr>
              <w:pStyle w:val="105"/>
              <w:spacing w:line="280" w:lineRule="exact"/>
              <w:ind w:firstLine="0"/>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0.0004</w:t>
            </w:r>
          </w:p>
        </w:tc>
        <w:tc>
          <w:tcPr>
            <w:tcW w:w="682" w:type="dxa"/>
            <w:vMerge w:val="continue"/>
            <w:vAlign w:val="center"/>
          </w:tcPr>
          <w:p w14:paraId="193BA4C2">
            <w:pPr>
              <w:widowControl w:val="0"/>
              <w:spacing w:line="280" w:lineRule="exact"/>
              <w:jc w:val="center"/>
              <w:rPr>
                <w:rFonts w:ascii="Times New Roman" w:hAnsi="Times New Roman" w:cs="Times New Roman" w:eastAsiaTheme="minorEastAsia"/>
                <w:color w:val="auto"/>
                <w:w w:val="99"/>
                <w:sz w:val="21"/>
                <w:szCs w:val="21"/>
                <w:highlight w:val="none"/>
              </w:rPr>
            </w:pPr>
          </w:p>
        </w:tc>
      </w:tr>
    </w:tbl>
    <w:p w14:paraId="635256FB">
      <w:pPr>
        <w:pStyle w:val="153"/>
        <w:widowControl w:val="0"/>
        <w:spacing w:line="440" w:lineRule="exact"/>
        <w:ind w:firstLine="474"/>
        <w:jc w:val="both"/>
        <w:rPr>
          <w:rFonts w:ascii="Times New Roman" w:hAnsi="Times New Roman" w:eastAsiaTheme="minorEastAsia"/>
          <w:b/>
          <w:color w:val="auto"/>
          <w:w w:val="99"/>
          <w:highlight w:val="none"/>
        </w:rPr>
      </w:pPr>
      <w:r>
        <w:rPr>
          <w:rFonts w:ascii="Times New Roman" w:hAnsi="Times New Roman" w:eastAsiaTheme="minorEastAsia"/>
          <w:b/>
          <w:color w:val="auto"/>
          <w:w w:val="99"/>
          <w:kern w:val="2"/>
          <w:szCs w:val="20"/>
          <w:highlight w:val="none"/>
        </w:rPr>
        <w:t>表</w:t>
      </w:r>
      <w:r>
        <w:rPr>
          <w:rFonts w:hint="eastAsia" w:ascii="Times New Roman" w:hAnsi="Times New Roman" w:eastAsiaTheme="minorEastAsia"/>
          <w:b/>
          <w:color w:val="auto"/>
          <w:w w:val="99"/>
          <w:kern w:val="2"/>
          <w:szCs w:val="20"/>
          <w:highlight w:val="none"/>
        </w:rPr>
        <w:t>3.10</w:t>
      </w:r>
      <w:r>
        <w:rPr>
          <w:rFonts w:ascii="Times New Roman" w:hAnsi="Times New Roman" w:eastAsiaTheme="minorEastAsia"/>
          <w:b/>
          <w:color w:val="auto"/>
          <w:w w:val="99"/>
          <w:kern w:val="2"/>
          <w:szCs w:val="20"/>
          <w:highlight w:val="none"/>
        </w:rPr>
        <w:t>-1</w:t>
      </w:r>
      <w:r>
        <w:rPr>
          <w:rFonts w:hint="eastAsia" w:ascii="Times New Roman" w:hAnsi="Times New Roman" w:eastAsiaTheme="minorEastAsia"/>
          <w:b/>
          <w:color w:val="auto"/>
          <w:w w:val="99"/>
          <w:kern w:val="2"/>
          <w:szCs w:val="20"/>
          <w:highlight w:val="none"/>
        </w:rPr>
        <w:t>6</w:t>
      </w:r>
      <w:r>
        <w:rPr>
          <w:rFonts w:ascii="Times New Roman" w:hAnsi="Times New Roman" w:eastAsiaTheme="minorEastAsia"/>
          <w:b/>
          <w:color w:val="auto"/>
          <w:w w:val="99"/>
          <w:highlight w:val="none"/>
        </w:rPr>
        <w:t xml:space="preserve">    运营期废水污染源源强核算结果及相关参数一览表</w:t>
      </w:r>
    </w:p>
    <w:tbl>
      <w:tblPr>
        <w:tblStyle w:val="8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65"/>
        <w:gridCol w:w="1078"/>
        <w:gridCol w:w="777"/>
        <w:gridCol w:w="731"/>
        <w:gridCol w:w="782"/>
        <w:gridCol w:w="1087"/>
        <w:gridCol w:w="1098"/>
        <w:gridCol w:w="1212"/>
        <w:gridCol w:w="2214"/>
        <w:gridCol w:w="711"/>
        <w:gridCol w:w="848"/>
        <w:gridCol w:w="1098"/>
        <w:gridCol w:w="860"/>
        <w:gridCol w:w="857"/>
      </w:tblGrid>
      <w:tr w14:paraId="453BB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04" w:type="pct"/>
            <w:vMerge w:val="restart"/>
            <w:vAlign w:val="center"/>
          </w:tcPr>
          <w:p w14:paraId="68DFBA1E">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工序</w:t>
            </w:r>
          </w:p>
        </w:tc>
        <w:tc>
          <w:tcPr>
            <w:tcW w:w="379" w:type="pct"/>
            <w:vMerge w:val="restart"/>
            <w:vAlign w:val="center"/>
          </w:tcPr>
          <w:p w14:paraId="69F3F00E">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装置</w:t>
            </w:r>
          </w:p>
        </w:tc>
        <w:tc>
          <w:tcPr>
            <w:tcW w:w="273" w:type="pct"/>
            <w:vMerge w:val="restart"/>
            <w:vAlign w:val="center"/>
          </w:tcPr>
          <w:p w14:paraId="4E4D3D26">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污染源</w:t>
            </w:r>
          </w:p>
        </w:tc>
        <w:tc>
          <w:tcPr>
            <w:tcW w:w="257" w:type="pct"/>
            <w:vMerge w:val="restart"/>
            <w:vAlign w:val="center"/>
          </w:tcPr>
          <w:p w14:paraId="042FC282">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w:t>
            </w:r>
          </w:p>
        </w:tc>
        <w:tc>
          <w:tcPr>
            <w:tcW w:w="1469" w:type="pct"/>
            <w:gridSpan w:val="4"/>
            <w:vAlign w:val="center"/>
          </w:tcPr>
          <w:p w14:paraId="3745B7B0">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污染物产生</w:t>
            </w:r>
          </w:p>
        </w:tc>
        <w:tc>
          <w:tcPr>
            <w:tcW w:w="778" w:type="pct"/>
            <w:vMerge w:val="restart"/>
            <w:vAlign w:val="center"/>
          </w:tcPr>
          <w:p w14:paraId="08A4B933">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治理措施</w:t>
            </w:r>
          </w:p>
        </w:tc>
        <w:tc>
          <w:tcPr>
            <w:tcW w:w="1236" w:type="pct"/>
            <w:gridSpan w:val="4"/>
            <w:vAlign w:val="center"/>
          </w:tcPr>
          <w:p w14:paraId="3261A056">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污染物排放</w:t>
            </w:r>
          </w:p>
        </w:tc>
        <w:tc>
          <w:tcPr>
            <w:tcW w:w="301" w:type="pct"/>
            <w:vMerge w:val="restart"/>
            <w:vAlign w:val="center"/>
          </w:tcPr>
          <w:p w14:paraId="6650CFAB">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排放时间（h）</w:t>
            </w:r>
          </w:p>
        </w:tc>
      </w:tr>
      <w:tr w14:paraId="4B1F9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04" w:type="pct"/>
            <w:vMerge w:val="continue"/>
            <w:vAlign w:val="center"/>
          </w:tcPr>
          <w:p w14:paraId="1EF998F0">
            <w:pPr>
              <w:rPr>
                <w:rFonts w:ascii="Times New Roman" w:hAnsi="Times New Roman" w:cs="Times New Roman" w:eastAsiaTheme="minorEastAsia"/>
                <w:color w:val="auto"/>
                <w:w w:val="99"/>
                <w:sz w:val="21"/>
                <w:szCs w:val="21"/>
                <w:highlight w:val="none"/>
              </w:rPr>
            </w:pPr>
          </w:p>
        </w:tc>
        <w:tc>
          <w:tcPr>
            <w:tcW w:w="379" w:type="pct"/>
            <w:vMerge w:val="continue"/>
            <w:vAlign w:val="center"/>
          </w:tcPr>
          <w:p w14:paraId="686CE0B7">
            <w:pPr>
              <w:rPr>
                <w:rFonts w:ascii="Times New Roman" w:hAnsi="Times New Roman" w:cs="Times New Roman" w:eastAsiaTheme="minorEastAsia"/>
                <w:color w:val="auto"/>
                <w:w w:val="99"/>
                <w:sz w:val="21"/>
                <w:szCs w:val="21"/>
                <w:highlight w:val="none"/>
              </w:rPr>
            </w:pPr>
          </w:p>
        </w:tc>
        <w:tc>
          <w:tcPr>
            <w:tcW w:w="273" w:type="pct"/>
            <w:vMerge w:val="continue"/>
            <w:vAlign w:val="center"/>
          </w:tcPr>
          <w:p w14:paraId="33F5A8CB">
            <w:pPr>
              <w:rPr>
                <w:rFonts w:ascii="Times New Roman" w:hAnsi="Times New Roman" w:cs="Times New Roman" w:eastAsiaTheme="minorEastAsia"/>
                <w:color w:val="auto"/>
                <w:w w:val="99"/>
                <w:sz w:val="21"/>
                <w:szCs w:val="21"/>
                <w:highlight w:val="none"/>
              </w:rPr>
            </w:pPr>
          </w:p>
        </w:tc>
        <w:tc>
          <w:tcPr>
            <w:tcW w:w="257" w:type="pct"/>
            <w:vMerge w:val="continue"/>
            <w:vAlign w:val="center"/>
          </w:tcPr>
          <w:p w14:paraId="72594531">
            <w:pPr>
              <w:rPr>
                <w:rFonts w:ascii="Times New Roman" w:hAnsi="Times New Roman" w:cs="Times New Roman" w:eastAsiaTheme="minorEastAsia"/>
                <w:color w:val="auto"/>
                <w:w w:val="99"/>
                <w:sz w:val="21"/>
                <w:szCs w:val="21"/>
                <w:highlight w:val="none"/>
              </w:rPr>
            </w:pPr>
          </w:p>
        </w:tc>
        <w:tc>
          <w:tcPr>
            <w:tcW w:w="275" w:type="pct"/>
            <w:vAlign w:val="center"/>
          </w:tcPr>
          <w:p w14:paraId="65C053A6">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核算</w:t>
            </w:r>
          </w:p>
          <w:p w14:paraId="1E55E20C">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方法</w:t>
            </w:r>
          </w:p>
        </w:tc>
        <w:tc>
          <w:tcPr>
            <w:tcW w:w="382" w:type="pct"/>
            <w:vAlign w:val="center"/>
          </w:tcPr>
          <w:p w14:paraId="5FCD988F">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产生废水量（t/a）</w:t>
            </w:r>
          </w:p>
        </w:tc>
        <w:tc>
          <w:tcPr>
            <w:tcW w:w="386" w:type="pct"/>
            <w:vAlign w:val="center"/>
          </w:tcPr>
          <w:p w14:paraId="6D629A9C">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产生浓度（mg/L）</w:t>
            </w:r>
          </w:p>
        </w:tc>
        <w:tc>
          <w:tcPr>
            <w:tcW w:w="426" w:type="pct"/>
            <w:vAlign w:val="center"/>
          </w:tcPr>
          <w:p w14:paraId="7AD24BC1">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产生</w:t>
            </w:r>
          </w:p>
          <w:p w14:paraId="70B11955">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量（t/a）</w:t>
            </w:r>
          </w:p>
        </w:tc>
        <w:tc>
          <w:tcPr>
            <w:tcW w:w="778" w:type="pct"/>
            <w:vMerge w:val="continue"/>
            <w:vAlign w:val="center"/>
          </w:tcPr>
          <w:p w14:paraId="5525B336">
            <w:pPr>
              <w:rPr>
                <w:rFonts w:ascii="Times New Roman" w:hAnsi="Times New Roman" w:cs="Times New Roman" w:eastAsiaTheme="minorEastAsia"/>
                <w:color w:val="auto"/>
                <w:w w:val="99"/>
                <w:sz w:val="21"/>
                <w:szCs w:val="21"/>
                <w:highlight w:val="none"/>
              </w:rPr>
            </w:pPr>
          </w:p>
        </w:tc>
        <w:tc>
          <w:tcPr>
            <w:tcW w:w="250" w:type="pct"/>
            <w:vAlign w:val="center"/>
          </w:tcPr>
          <w:p w14:paraId="2258F6A9">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核算方法</w:t>
            </w:r>
          </w:p>
        </w:tc>
        <w:tc>
          <w:tcPr>
            <w:tcW w:w="298" w:type="pct"/>
            <w:vAlign w:val="center"/>
          </w:tcPr>
          <w:p w14:paraId="49FB7547">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排放废水量（t/a）</w:t>
            </w:r>
          </w:p>
        </w:tc>
        <w:tc>
          <w:tcPr>
            <w:tcW w:w="386" w:type="pct"/>
            <w:vAlign w:val="center"/>
          </w:tcPr>
          <w:p w14:paraId="4ECF145C">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排放浓度（mg/L）</w:t>
            </w:r>
          </w:p>
        </w:tc>
        <w:tc>
          <w:tcPr>
            <w:tcW w:w="302" w:type="pct"/>
            <w:vAlign w:val="center"/>
          </w:tcPr>
          <w:p w14:paraId="794CF904">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排放量（t/a）</w:t>
            </w:r>
          </w:p>
        </w:tc>
        <w:tc>
          <w:tcPr>
            <w:tcW w:w="301" w:type="pct"/>
            <w:vMerge w:val="continue"/>
            <w:vAlign w:val="center"/>
          </w:tcPr>
          <w:p w14:paraId="18FA085D">
            <w:pPr>
              <w:rPr>
                <w:rFonts w:ascii="Times New Roman" w:hAnsi="Times New Roman" w:cs="Times New Roman" w:eastAsiaTheme="minorEastAsia"/>
                <w:color w:val="auto"/>
                <w:w w:val="99"/>
                <w:sz w:val="21"/>
                <w:szCs w:val="21"/>
                <w:highlight w:val="none"/>
              </w:rPr>
            </w:pPr>
          </w:p>
        </w:tc>
      </w:tr>
      <w:tr w14:paraId="2C4AB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04" w:type="pct"/>
            <w:vMerge w:val="restart"/>
            <w:vAlign w:val="center"/>
          </w:tcPr>
          <w:p w14:paraId="173C37D6">
            <w:pPr>
              <w:spacing w:line="240" w:lineRule="atLeas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天然气</w:t>
            </w:r>
            <w:r>
              <w:rPr>
                <w:rFonts w:ascii="Times New Roman" w:hAnsi="Times New Roman" w:cs="Times New Roman" w:eastAsiaTheme="minorEastAsia"/>
                <w:color w:val="auto"/>
                <w:w w:val="99"/>
                <w:sz w:val="21"/>
                <w:szCs w:val="21"/>
                <w:highlight w:val="none"/>
              </w:rPr>
              <w:t>集输</w:t>
            </w:r>
          </w:p>
        </w:tc>
        <w:tc>
          <w:tcPr>
            <w:tcW w:w="379" w:type="pct"/>
            <w:vMerge w:val="restart"/>
            <w:vAlign w:val="center"/>
          </w:tcPr>
          <w:p w14:paraId="7C36DDBC">
            <w:pPr>
              <w:spacing w:line="240" w:lineRule="atLeas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天然气</w:t>
            </w:r>
            <w:r>
              <w:rPr>
                <w:rFonts w:ascii="Times New Roman" w:hAnsi="Times New Roman" w:cs="Times New Roman" w:eastAsiaTheme="minorEastAsia"/>
                <w:color w:val="auto"/>
                <w:w w:val="99"/>
                <w:sz w:val="21"/>
                <w:szCs w:val="21"/>
                <w:highlight w:val="none"/>
              </w:rPr>
              <w:t>处理装置</w:t>
            </w:r>
          </w:p>
        </w:tc>
        <w:tc>
          <w:tcPr>
            <w:tcW w:w="273" w:type="pct"/>
            <w:vMerge w:val="restart"/>
            <w:vAlign w:val="center"/>
          </w:tcPr>
          <w:p w14:paraId="5FE5830F">
            <w:pPr>
              <w:spacing w:line="240" w:lineRule="atLeas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气田</w:t>
            </w:r>
            <w:r>
              <w:rPr>
                <w:rFonts w:ascii="Times New Roman" w:hAnsi="Times New Roman" w:cs="Times New Roman" w:eastAsiaTheme="minorEastAsia"/>
                <w:color w:val="auto"/>
                <w:w w:val="99"/>
                <w:sz w:val="21"/>
                <w:szCs w:val="21"/>
                <w:highlight w:val="none"/>
              </w:rPr>
              <w:t>采出水</w:t>
            </w:r>
          </w:p>
        </w:tc>
        <w:tc>
          <w:tcPr>
            <w:tcW w:w="257" w:type="pct"/>
            <w:vAlign w:val="center"/>
          </w:tcPr>
          <w:p w14:paraId="02E1C9C5">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石油类</w:t>
            </w:r>
          </w:p>
        </w:tc>
        <w:tc>
          <w:tcPr>
            <w:tcW w:w="275" w:type="pct"/>
            <w:vMerge w:val="restart"/>
            <w:vAlign w:val="center"/>
          </w:tcPr>
          <w:p w14:paraId="2B062C96">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类比法</w:t>
            </w:r>
          </w:p>
        </w:tc>
        <w:tc>
          <w:tcPr>
            <w:tcW w:w="382" w:type="pct"/>
            <w:vMerge w:val="restart"/>
            <w:vAlign w:val="center"/>
          </w:tcPr>
          <w:p w14:paraId="26E93BCE">
            <w:pPr>
              <w:spacing w:line="240" w:lineRule="atLeas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1095</w:t>
            </w:r>
          </w:p>
        </w:tc>
        <w:tc>
          <w:tcPr>
            <w:tcW w:w="386" w:type="pct"/>
            <w:vAlign w:val="center"/>
          </w:tcPr>
          <w:p w14:paraId="5CA818FD">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1000</w:t>
            </w:r>
          </w:p>
        </w:tc>
        <w:tc>
          <w:tcPr>
            <w:tcW w:w="426" w:type="pct"/>
            <w:vAlign w:val="center"/>
          </w:tcPr>
          <w:p w14:paraId="37D382DE">
            <w:pPr>
              <w:spacing w:line="240" w:lineRule="atLeas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1.095</w:t>
            </w:r>
          </w:p>
        </w:tc>
        <w:tc>
          <w:tcPr>
            <w:tcW w:w="778" w:type="pct"/>
            <w:vMerge w:val="restart"/>
            <w:vAlign w:val="center"/>
          </w:tcPr>
          <w:p w14:paraId="48505A23">
            <w:pPr>
              <w:spacing w:line="240" w:lineRule="atLeas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sz w:val="21"/>
                <w:szCs w:val="21"/>
                <w:highlight w:val="none"/>
              </w:rPr>
              <w:t>暂存于</w:t>
            </w:r>
            <w:r>
              <w:rPr>
                <w:rFonts w:hint="eastAsia" w:ascii="Times New Roman" w:hAnsi="Times New Roman" w:cs="Times New Roman" w:eastAsiaTheme="minorEastAsia"/>
                <w:bCs/>
                <w:color w:val="auto"/>
                <w:w w:val="99"/>
                <w:sz w:val="21"/>
                <w:szCs w:val="21"/>
                <w:highlight w:val="none"/>
              </w:rPr>
              <w:t>徐深27</w:t>
            </w:r>
            <w:r>
              <w:rPr>
                <w:rFonts w:ascii="Times New Roman" w:hAnsi="Times New Roman" w:cs="Times New Roman" w:eastAsiaTheme="minorEastAsia"/>
                <w:bCs/>
                <w:color w:val="auto"/>
                <w:w w:val="99"/>
                <w:sz w:val="21"/>
                <w:szCs w:val="21"/>
                <w:highlight w:val="none"/>
              </w:rPr>
              <w:t>集气站污水储罐，再定期通过外输泵升压外输至气田采出水集输管网，并统一外输至升一联气田污水预处理站处理达标后回注油层</w:t>
            </w:r>
          </w:p>
        </w:tc>
        <w:tc>
          <w:tcPr>
            <w:tcW w:w="250" w:type="pct"/>
            <w:vMerge w:val="restart"/>
            <w:vAlign w:val="center"/>
          </w:tcPr>
          <w:p w14:paraId="4D9EC23C">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298" w:type="pct"/>
            <w:vMerge w:val="restart"/>
            <w:vAlign w:val="center"/>
          </w:tcPr>
          <w:p w14:paraId="5E8E699D">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386" w:type="pct"/>
            <w:vAlign w:val="center"/>
          </w:tcPr>
          <w:p w14:paraId="18768281">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302" w:type="pct"/>
            <w:vAlign w:val="center"/>
          </w:tcPr>
          <w:p w14:paraId="157959DF">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301" w:type="pct"/>
            <w:vMerge w:val="restart"/>
            <w:vAlign w:val="center"/>
          </w:tcPr>
          <w:p w14:paraId="6B796CAB">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8760</w:t>
            </w:r>
          </w:p>
        </w:tc>
      </w:tr>
      <w:tr w14:paraId="5B1958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04" w:type="pct"/>
            <w:vMerge w:val="continue"/>
            <w:vAlign w:val="center"/>
          </w:tcPr>
          <w:p w14:paraId="4AAEDF0B">
            <w:pPr>
              <w:spacing w:line="240" w:lineRule="atLeast"/>
              <w:jc w:val="center"/>
              <w:rPr>
                <w:rFonts w:ascii="Times New Roman" w:hAnsi="Times New Roman" w:cs="Times New Roman" w:eastAsiaTheme="minorEastAsia"/>
                <w:color w:val="auto"/>
                <w:w w:val="99"/>
                <w:sz w:val="21"/>
                <w:szCs w:val="21"/>
                <w:highlight w:val="none"/>
              </w:rPr>
            </w:pPr>
          </w:p>
        </w:tc>
        <w:tc>
          <w:tcPr>
            <w:tcW w:w="379" w:type="pct"/>
            <w:vMerge w:val="continue"/>
            <w:vAlign w:val="center"/>
          </w:tcPr>
          <w:p w14:paraId="31AF8276">
            <w:pPr>
              <w:spacing w:line="240" w:lineRule="atLeast"/>
              <w:jc w:val="center"/>
              <w:rPr>
                <w:rFonts w:ascii="Times New Roman" w:hAnsi="Times New Roman" w:cs="Times New Roman" w:eastAsiaTheme="minorEastAsia"/>
                <w:color w:val="auto"/>
                <w:w w:val="99"/>
                <w:sz w:val="21"/>
                <w:szCs w:val="21"/>
                <w:highlight w:val="none"/>
              </w:rPr>
            </w:pPr>
          </w:p>
        </w:tc>
        <w:tc>
          <w:tcPr>
            <w:tcW w:w="273" w:type="pct"/>
            <w:vMerge w:val="continue"/>
            <w:vAlign w:val="center"/>
          </w:tcPr>
          <w:p w14:paraId="352CBE10">
            <w:pPr>
              <w:spacing w:line="240" w:lineRule="atLeast"/>
              <w:jc w:val="center"/>
              <w:rPr>
                <w:rFonts w:ascii="Times New Roman" w:hAnsi="Times New Roman" w:cs="Times New Roman" w:eastAsiaTheme="minorEastAsia"/>
                <w:color w:val="auto"/>
                <w:w w:val="99"/>
                <w:sz w:val="21"/>
                <w:szCs w:val="21"/>
                <w:highlight w:val="none"/>
              </w:rPr>
            </w:pPr>
          </w:p>
        </w:tc>
        <w:tc>
          <w:tcPr>
            <w:tcW w:w="257" w:type="pct"/>
            <w:vAlign w:val="center"/>
          </w:tcPr>
          <w:p w14:paraId="10843372">
            <w:pPr>
              <w:spacing w:line="240" w:lineRule="atLeas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COD</w:t>
            </w:r>
          </w:p>
        </w:tc>
        <w:tc>
          <w:tcPr>
            <w:tcW w:w="275" w:type="pct"/>
            <w:vMerge w:val="continue"/>
            <w:vAlign w:val="center"/>
          </w:tcPr>
          <w:p w14:paraId="3AB668C4">
            <w:pPr>
              <w:spacing w:line="240" w:lineRule="atLeast"/>
              <w:jc w:val="center"/>
              <w:rPr>
                <w:rFonts w:ascii="Times New Roman" w:hAnsi="Times New Roman" w:cs="Times New Roman" w:eastAsiaTheme="minorEastAsia"/>
                <w:color w:val="auto"/>
                <w:w w:val="99"/>
                <w:sz w:val="21"/>
                <w:szCs w:val="21"/>
                <w:highlight w:val="none"/>
              </w:rPr>
            </w:pPr>
          </w:p>
        </w:tc>
        <w:tc>
          <w:tcPr>
            <w:tcW w:w="382" w:type="pct"/>
            <w:vMerge w:val="continue"/>
            <w:vAlign w:val="center"/>
          </w:tcPr>
          <w:p w14:paraId="02DE0491">
            <w:pPr>
              <w:spacing w:line="240" w:lineRule="atLeast"/>
              <w:jc w:val="center"/>
              <w:rPr>
                <w:rFonts w:ascii="Times New Roman" w:hAnsi="Times New Roman" w:cs="Times New Roman" w:eastAsiaTheme="minorEastAsia"/>
                <w:snapToGrid w:val="0"/>
                <w:color w:val="auto"/>
                <w:w w:val="99"/>
                <w:sz w:val="21"/>
                <w:szCs w:val="21"/>
                <w:highlight w:val="none"/>
              </w:rPr>
            </w:pPr>
          </w:p>
        </w:tc>
        <w:tc>
          <w:tcPr>
            <w:tcW w:w="386" w:type="pct"/>
            <w:vAlign w:val="center"/>
          </w:tcPr>
          <w:p w14:paraId="1A61EE98">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50</w:t>
            </w:r>
          </w:p>
        </w:tc>
        <w:tc>
          <w:tcPr>
            <w:tcW w:w="426" w:type="pct"/>
            <w:vAlign w:val="center"/>
          </w:tcPr>
          <w:p w14:paraId="3A0AEE60">
            <w:pPr>
              <w:spacing w:line="240" w:lineRule="atLeas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0.055</w:t>
            </w:r>
          </w:p>
        </w:tc>
        <w:tc>
          <w:tcPr>
            <w:tcW w:w="778" w:type="pct"/>
            <w:vMerge w:val="continue"/>
            <w:vAlign w:val="center"/>
          </w:tcPr>
          <w:p w14:paraId="5067A959">
            <w:pPr>
              <w:spacing w:line="240" w:lineRule="atLeast"/>
              <w:jc w:val="both"/>
              <w:rPr>
                <w:rFonts w:ascii="Times New Roman" w:hAnsi="Times New Roman" w:cs="Times New Roman" w:eastAsiaTheme="minorEastAsia"/>
                <w:color w:val="auto"/>
                <w:w w:val="99"/>
                <w:sz w:val="21"/>
                <w:szCs w:val="21"/>
                <w:highlight w:val="none"/>
              </w:rPr>
            </w:pPr>
          </w:p>
        </w:tc>
        <w:tc>
          <w:tcPr>
            <w:tcW w:w="250" w:type="pct"/>
            <w:vMerge w:val="continue"/>
            <w:vAlign w:val="center"/>
          </w:tcPr>
          <w:p w14:paraId="33D89852">
            <w:pPr>
              <w:spacing w:line="240" w:lineRule="atLeast"/>
              <w:jc w:val="center"/>
              <w:rPr>
                <w:rFonts w:ascii="Times New Roman" w:hAnsi="Times New Roman" w:cs="Times New Roman" w:eastAsiaTheme="minorEastAsia"/>
                <w:color w:val="auto"/>
                <w:w w:val="99"/>
                <w:sz w:val="21"/>
                <w:szCs w:val="21"/>
                <w:highlight w:val="none"/>
              </w:rPr>
            </w:pPr>
          </w:p>
        </w:tc>
        <w:tc>
          <w:tcPr>
            <w:tcW w:w="298" w:type="pct"/>
            <w:vMerge w:val="continue"/>
            <w:vAlign w:val="center"/>
          </w:tcPr>
          <w:p w14:paraId="1758453A">
            <w:pPr>
              <w:spacing w:line="240" w:lineRule="atLeast"/>
              <w:jc w:val="center"/>
              <w:rPr>
                <w:rFonts w:ascii="Times New Roman" w:hAnsi="Times New Roman" w:cs="Times New Roman" w:eastAsiaTheme="minorEastAsia"/>
                <w:color w:val="auto"/>
                <w:w w:val="99"/>
                <w:sz w:val="21"/>
                <w:szCs w:val="21"/>
                <w:highlight w:val="none"/>
              </w:rPr>
            </w:pPr>
          </w:p>
        </w:tc>
        <w:tc>
          <w:tcPr>
            <w:tcW w:w="386" w:type="pct"/>
            <w:vAlign w:val="center"/>
          </w:tcPr>
          <w:p w14:paraId="306487D4">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302" w:type="pct"/>
            <w:vAlign w:val="center"/>
          </w:tcPr>
          <w:p w14:paraId="1BBBADFA">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301" w:type="pct"/>
            <w:vMerge w:val="continue"/>
            <w:vAlign w:val="center"/>
          </w:tcPr>
          <w:p w14:paraId="0A0E211F">
            <w:pPr>
              <w:spacing w:line="240" w:lineRule="atLeast"/>
              <w:jc w:val="center"/>
              <w:rPr>
                <w:rFonts w:ascii="Times New Roman" w:hAnsi="Times New Roman" w:cs="Times New Roman" w:eastAsiaTheme="minorEastAsia"/>
                <w:color w:val="auto"/>
                <w:w w:val="99"/>
                <w:sz w:val="21"/>
                <w:szCs w:val="21"/>
                <w:highlight w:val="none"/>
              </w:rPr>
            </w:pPr>
          </w:p>
        </w:tc>
      </w:tr>
    </w:tbl>
    <w:p w14:paraId="7670E007">
      <w:pPr>
        <w:pStyle w:val="153"/>
        <w:widowControl w:val="0"/>
        <w:spacing w:line="440" w:lineRule="exact"/>
        <w:ind w:firstLine="474"/>
        <w:jc w:val="both"/>
        <w:rPr>
          <w:rFonts w:ascii="Times New Roman" w:hAnsi="Times New Roman" w:eastAsiaTheme="minorEastAsia"/>
          <w:b/>
          <w:color w:val="auto"/>
          <w:w w:val="99"/>
          <w:highlight w:val="none"/>
        </w:rPr>
      </w:pPr>
      <w:r>
        <w:rPr>
          <w:rFonts w:ascii="Times New Roman" w:hAnsi="Times New Roman" w:eastAsiaTheme="minorEastAsia"/>
          <w:b/>
          <w:color w:val="auto"/>
          <w:w w:val="99"/>
          <w:kern w:val="2"/>
          <w:szCs w:val="20"/>
          <w:highlight w:val="none"/>
        </w:rPr>
        <w:t>表</w:t>
      </w:r>
      <w:r>
        <w:rPr>
          <w:rFonts w:hint="eastAsia" w:ascii="Times New Roman" w:hAnsi="Times New Roman" w:eastAsiaTheme="minorEastAsia"/>
          <w:b/>
          <w:color w:val="auto"/>
          <w:w w:val="99"/>
          <w:kern w:val="2"/>
          <w:szCs w:val="20"/>
          <w:highlight w:val="none"/>
        </w:rPr>
        <w:t>3.10</w:t>
      </w:r>
      <w:r>
        <w:rPr>
          <w:rFonts w:ascii="Times New Roman" w:hAnsi="Times New Roman" w:eastAsiaTheme="minorEastAsia"/>
          <w:b/>
          <w:color w:val="auto"/>
          <w:w w:val="99"/>
          <w:kern w:val="2"/>
          <w:szCs w:val="20"/>
          <w:highlight w:val="none"/>
        </w:rPr>
        <w:t>-</w:t>
      </w:r>
      <w:r>
        <w:rPr>
          <w:rFonts w:hint="eastAsia" w:ascii="Times New Roman" w:hAnsi="Times New Roman" w:eastAsiaTheme="minorEastAsia"/>
          <w:b/>
          <w:color w:val="auto"/>
          <w:w w:val="99"/>
          <w:kern w:val="2"/>
          <w:szCs w:val="20"/>
          <w:highlight w:val="none"/>
        </w:rPr>
        <w:t>17</w:t>
      </w:r>
      <w:r>
        <w:rPr>
          <w:rFonts w:ascii="Times New Roman" w:hAnsi="Times New Roman" w:eastAsiaTheme="minorEastAsia"/>
          <w:b/>
          <w:color w:val="auto"/>
          <w:w w:val="99"/>
          <w:highlight w:val="none"/>
        </w:rPr>
        <w:t xml:space="preserve">    运营期噪声污染源源强核算结果及相关参数表</w:t>
      </w:r>
    </w:p>
    <w:tbl>
      <w:tblPr>
        <w:tblStyle w:val="81"/>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23"/>
        <w:gridCol w:w="1536"/>
        <w:gridCol w:w="1143"/>
        <w:gridCol w:w="1530"/>
        <w:gridCol w:w="1408"/>
        <w:gridCol w:w="1669"/>
        <w:gridCol w:w="1197"/>
        <w:gridCol w:w="1200"/>
        <w:gridCol w:w="1263"/>
        <w:gridCol w:w="1538"/>
      </w:tblGrid>
      <w:tr w14:paraId="07E35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606" w:type="pct"/>
            <w:vMerge w:val="restart"/>
            <w:vAlign w:val="center"/>
          </w:tcPr>
          <w:p w14:paraId="634F5CC9">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工序/生产线</w:t>
            </w:r>
          </w:p>
        </w:tc>
        <w:tc>
          <w:tcPr>
            <w:tcW w:w="540" w:type="pct"/>
            <w:vMerge w:val="restart"/>
            <w:vAlign w:val="center"/>
          </w:tcPr>
          <w:p w14:paraId="76A768C0">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装置</w:t>
            </w:r>
          </w:p>
        </w:tc>
        <w:tc>
          <w:tcPr>
            <w:tcW w:w="402" w:type="pct"/>
            <w:vMerge w:val="restart"/>
            <w:vAlign w:val="center"/>
          </w:tcPr>
          <w:p w14:paraId="0F6A96DF">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声源类型</w:t>
            </w:r>
          </w:p>
        </w:tc>
        <w:tc>
          <w:tcPr>
            <w:tcW w:w="1033" w:type="pct"/>
            <w:gridSpan w:val="2"/>
            <w:vAlign w:val="center"/>
          </w:tcPr>
          <w:p w14:paraId="072AAC14">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噪声声源</w:t>
            </w:r>
          </w:p>
        </w:tc>
        <w:tc>
          <w:tcPr>
            <w:tcW w:w="1008" w:type="pct"/>
            <w:gridSpan w:val="2"/>
            <w:vAlign w:val="center"/>
          </w:tcPr>
          <w:p w14:paraId="0B181E30">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降噪措施</w:t>
            </w:r>
          </w:p>
        </w:tc>
        <w:tc>
          <w:tcPr>
            <w:tcW w:w="866" w:type="pct"/>
            <w:gridSpan w:val="2"/>
            <w:vAlign w:val="center"/>
          </w:tcPr>
          <w:p w14:paraId="374ABD47">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噪声排放值</w:t>
            </w:r>
          </w:p>
        </w:tc>
        <w:tc>
          <w:tcPr>
            <w:tcW w:w="541" w:type="pct"/>
            <w:vMerge w:val="restart"/>
            <w:vAlign w:val="center"/>
          </w:tcPr>
          <w:p w14:paraId="494C1C37">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持续时间（h）</w:t>
            </w:r>
          </w:p>
        </w:tc>
      </w:tr>
      <w:tr w14:paraId="2FBBC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606" w:type="pct"/>
            <w:vMerge w:val="continue"/>
            <w:vAlign w:val="center"/>
          </w:tcPr>
          <w:p w14:paraId="37C6FD45">
            <w:pPr>
              <w:jc w:val="center"/>
              <w:rPr>
                <w:rFonts w:ascii="Times New Roman" w:hAnsi="Times New Roman" w:cs="Times New Roman" w:eastAsiaTheme="minorEastAsia"/>
                <w:color w:val="auto"/>
                <w:w w:val="99"/>
                <w:sz w:val="21"/>
                <w:szCs w:val="21"/>
                <w:highlight w:val="none"/>
              </w:rPr>
            </w:pPr>
          </w:p>
        </w:tc>
        <w:tc>
          <w:tcPr>
            <w:tcW w:w="540" w:type="pct"/>
            <w:vMerge w:val="continue"/>
            <w:vAlign w:val="center"/>
          </w:tcPr>
          <w:p w14:paraId="67EF0094">
            <w:pPr>
              <w:jc w:val="center"/>
              <w:rPr>
                <w:rFonts w:ascii="Times New Roman" w:hAnsi="Times New Roman" w:cs="Times New Roman" w:eastAsiaTheme="minorEastAsia"/>
                <w:color w:val="auto"/>
                <w:w w:val="99"/>
                <w:sz w:val="21"/>
                <w:szCs w:val="21"/>
                <w:highlight w:val="none"/>
              </w:rPr>
            </w:pPr>
          </w:p>
        </w:tc>
        <w:tc>
          <w:tcPr>
            <w:tcW w:w="402" w:type="pct"/>
            <w:vMerge w:val="continue"/>
            <w:vAlign w:val="center"/>
          </w:tcPr>
          <w:p w14:paraId="56F616AA">
            <w:pPr>
              <w:jc w:val="center"/>
              <w:rPr>
                <w:rFonts w:ascii="Times New Roman" w:hAnsi="Times New Roman" w:cs="Times New Roman" w:eastAsiaTheme="minorEastAsia"/>
                <w:color w:val="auto"/>
                <w:w w:val="99"/>
                <w:sz w:val="21"/>
                <w:szCs w:val="21"/>
                <w:highlight w:val="none"/>
              </w:rPr>
            </w:pPr>
          </w:p>
        </w:tc>
        <w:tc>
          <w:tcPr>
            <w:tcW w:w="538" w:type="pct"/>
            <w:vAlign w:val="center"/>
          </w:tcPr>
          <w:p w14:paraId="39D05CFD">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核算方法</w:t>
            </w:r>
          </w:p>
        </w:tc>
        <w:tc>
          <w:tcPr>
            <w:tcW w:w="495" w:type="pct"/>
            <w:vAlign w:val="center"/>
          </w:tcPr>
          <w:p w14:paraId="098C189A">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噪声值</w:t>
            </w:r>
          </w:p>
          <w:p w14:paraId="5E987262">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dB（A）</w:t>
            </w:r>
          </w:p>
        </w:tc>
        <w:tc>
          <w:tcPr>
            <w:tcW w:w="587" w:type="pct"/>
            <w:vAlign w:val="center"/>
          </w:tcPr>
          <w:p w14:paraId="1968FA69">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工艺</w:t>
            </w:r>
          </w:p>
        </w:tc>
        <w:tc>
          <w:tcPr>
            <w:tcW w:w="421" w:type="pct"/>
            <w:vAlign w:val="center"/>
          </w:tcPr>
          <w:p w14:paraId="6B5B5BB1">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降噪效果</w:t>
            </w:r>
          </w:p>
        </w:tc>
        <w:tc>
          <w:tcPr>
            <w:tcW w:w="422" w:type="pct"/>
            <w:vAlign w:val="center"/>
          </w:tcPr>
          <w:p w14:paraId="2AD9956E">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核算方法</w:t>
            </w:r>
          </w:p>
        </w:tc>
        <w:tc>
          <w:tcPr>
            <w:tcW w:w="444" w:type="pct"/>
            <w:vAlign w:val="center"/>
          </w:tcPr>
          <w:p w14:paraId="784667D0">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噪声值</w:t>
            </w:r>
          </w:p>
          <w:p w14:paraId="40098203">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dB（A）</w:t>
            </w:r>
          </w:p>
        </w:tc>
        <w:tc>
          <w:tcPr>
            <w:tcW w:w="541" w:type="pct"/>
            <w:vMerge w:val="continue"/>
            <w:vAlign w:val="center"/>
          </w:tcPr>
          <w:p w14:paraId="47CD72D9">
            <w:pPr>
              <w:jc w:val="center"/>
              <w:rPr>
                <w:rFonts w:ascii="Times New Roman" w:hAnsi="Times New Roman" w:cs="Times New Roman" w:eastAsiaTheme="minorEastAsia"/>
                <w:color w:val="auto"/>
                <w:w w:val="99"/>
                <w:sz w:val="21"/>
                <w:szCs w:val="21"/>
                <w:highlight w:val="none"/>
              </w:rPr>
            </w:pPr>
          </w:p>
        </w:tc>
      </w:tr>
      <w:tr w14:paraId="1C2B10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606" w:type="pct"/>
            <w:vAlign w:val="center"/>
          </w:tcPr>
          <w:p w14:paraId="52AC590B">
            <w:pPr>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井场放空</w:t>
            </w:r>
          </w:p>
        </w:tc>
        <w:tc>
          <w:tcPr>
            <w:tcW w:w="540" w:type="pct"/>
            <w:vAlign w:val="center"/>
          </w:tcPr>
          <w:p w14:paraId="38E0D7E8">
            <w:pPr>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火炬</w:t>
            </w:r>
          </w:p>
        </w:tc>
        <w:tc>
          <w:tcPr>
            <w:tcW w:w="402" w:type="pct"/>
            <w:vAlign w:val="center"/>
          </w:tcPr>
          <w:p w14:paraId="24C7C21D">
            <w:pPr>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突发</w:t>
            </w:r>
          </w:p>
        </w:tc>
        <w:tc>
          <w:tcPr>
            <w:tcW w:w="538" w:type="pct"/>
            <w:vAlign w:val="center"/>
          </w:tcPr>
          <w:p w14:paraId="1E6E9C6B">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类比法</w:t>
            </w:r>
          </w:p>
        </w:tc>
        <w:tc>
          <w:tcPr>
            <w:tcW w:w="495" w:type="pct"/>
            <w:tcBorders>
              <w:top w:val="single" w:color="auto" w:sz="4" w:space="0"/>
            </w:tcBorders>
            <w:vAlign w:val="center"/>
          </w:tcPr>
          <w:p w14:paraId="14736C19">
            <w:pPr>
              <w:pStyle w:val="2857"/>
              <w:widowControl w:val="0"/>
              <w:spacing w:line="360" w:lineRule="exact"/>
              <w:jc w:val="center"/>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color w:val="auto"/>
                <w:w w:val="99"/>
                <w:sz w:val="21"/>
                <w:szCs w:val="21"/>
                <w:highlight w:val="none"/>
              </w:rPr>
              <w:t>95～105</w:t>
            </w:r>
          </w:p>
        </w:tc>
        <w:tc>
          <w:tcPr>
            <w:tcW w:w="587" w:type="pct"/>
            <w:vMerge w:val="restart"/>
            <w:tcBorders>
              <w:top w:val="single" w:color="auto" w:sz="4" w:space="0"/>
            </w:tcBorders>
            <w:vAlign w:val="center"/>
          </w:tcPr>
          <w:p w14:paraId="2B06A98A">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选用低噪声设备，采取隔声、基础减振等措</w:t>
            </w:r>
          </w:p>
        </w:tc>
        <w:tc>
          <w:tcPr>
            <w:tcW w:w="421" w:type="pct"/>
            <w:vAlign w:val="center"/>
          </w:tcPr>
          <w:p w14:paraId="39A2DE49">
            <w:pPr>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w:t>
            </w:r>
          </w:p>
        </w:tc>
        <w:tc>
          <w:tcPr>
            <w:tcW w:w="422" w:type="pct"/>
            <w:vAlign w:val="center"/>
          </w:tcPr>
          <w:p w14:paraId="3836777A">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类比法</w:t>
            </w:r>
          </w:p>
        </w:tc>
        <w:tc>
          <w:tcPr>
            <w:tcW w:w="444" w:type="pct"/>
            <w:vAlign w:val="center"/>
          </w:tcPr>
          <w:p w14:paraId="1C925ECF">
            <w:pPr>
              <w:pStyle w:val="2857"/>
              <w:widowControl w:val="0"/>
              <w:spacing w:line="360" w:lineRule="exact"/>
              <w:jc w:val="center"/>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color w:val="auto"/>
                <w:w w:val="99"/>
                <w:sz w:val="21"/>
                <w:szCs w:val="21"/>
                <w:highlight w:val="none"/>
              </w:rPr>
              <w:t>95～105</w:t>
            </w:r>
          </w:p>
        </w:tc>
        <w:tc>
          <w:tcPr>
            <w:tcW w:w="541" w:type="pct"/>
            <w:vAlign w:val="center"/>
          </w:tcPr>
          <w:p w14:paraId="364BFCB9">
            <w:pPr>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突发</w:t>
            </w:r>
          </w:p>
        </w:tc>
      </w:tr>
      <w:tr w14:paraId="51DF5A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606" w:type="pct"/>
            <w:vAlign w:val="center"/>
          </w:tcPr>
          <w:p w14:paraId="3B2AF9DD">
            <w:pPr>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color w:val="auto"/>
                <w:w w:val="99"/>
                <w:sz w:val="21"/>
                <w:szCs w:val="21"/>
                <w:highlight w:val="none"/>
                <w:lang w:eastAsia="en-US"/>
              </w:rPr>
              <w:t>集气站放空系统</w:t>
            </w:r>
          </w:p>
        </w:tc>
        <w:tc>
          <w:tcPr>
            <w:tcW w:w="540" w:type="pct"/>
            <w:vAlign w:val="center"/>
          </w:tcPr>
          <w:p w14:paraId="7AC05E49">
            <w:pPr>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火炬</w:t>
            </w:r>
          </w:p>
        </w:tc>
        <w:tc>
          <w:tcPr>
            <w:tcW w:w="402" w:type="pct"/>
            <w:vAlign w:val="center"/>
          </w:tcPr>
          <w:p w14:paraId="40EE0FE7">
            <w:pPr>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突发</w:t>
            </w:r>
          </w:p>
        </w:tc>
        <w:tc>
          <w:tcPr>
            <w:tcW w:w="538" w:type="pct"/>
            <w:vAlign w:val="center"/>
          </w:tcPr>
          <w:p w14:paraId="07E4F4A7">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类比法</w:t>
            </w:r>
          </w:p>
        </w:tc>
        <w:tc>
          <w:tcPr>
            <w:tcW w:w="495" w:type="pct"/>
            <w:vAlign w:val="center"/>
          </w:tcPr>
          <w:p w14:paraId="758A5513">
            <w:pPr>
              <w:pStyle w:val="2857"/>
              <w:widowControl w:val="0"/>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rPr>
              <w:t>95～105</w:t>
            </w:r>
          </w:p>
        </w:tc>
        <w:tc>
          <w:tcPr>
            <w:tcW w:w="587" w:type="pct"/>
            <w:vMerge w:val="continue"/>
            <w:vAlign w:val="center"/>
          </w:tcPr>
          <w:p w14:paraId="56EEB2C3">
            <w:pPr>
              <w:jc w:val="center"/>
              <w:rPr>
                <w:rFonts w:ascii="Times New Roman" w:hAnsi="Times New Roman" w:cs="Times New Roman" w:eastAsiaTheme="minorEastAsia"/>
                <w:color w:val="auto"/>
                <w:w w:val="99"/>
                <w:sz w:val="21"/>
                <w:szCs w:val="21"/>
                <w:highlight w:val="none"/>
              </w:rPr>
            </w:pPr>
          </w:p>
        </w:tc>
        <w:tc>
          <w:tcPr>
            <w:tcW w:w="421" w:type="pct"/>
            <w:vAlign w:val="center"/>
          </w:tcPr>
          <w:p w14:paraId="1E4CBC3B">
            <w:pPr>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w:t>
            </w:r>
          </w:p>
        </w:tc>
        <w:tc>
          <w:tcPr>
            <w:tcW w:w="422" w:type="pct"/>
            <w:vAlign w:val="center"/>
          </w:tcPr>
          <w:p w14:paraId="00DDF1AA">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类比法</w:t>
            </w:r>
          </w:p>
        </w:tc>
        <w:tc>
          <w:tcPr>
            <w:tcW w:w="444" w:type="pct"/>
            <w:vAlign w:val="center"/>
          </w:tcPr>
          <w:p w14:paraId="5D8CAC25">
            <w:pPr>
              <w:pStyle w:val="2857"/>
              <w:widowControl w:val="0"/>
              <w:spacing w:line="360" w:lineRule="exact"/>
              <w:jc w:val="center"/>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color w:val="auto"/>
                <w:w w:val="99"/>
                <w:sz w:val="21"/>
                <w:szCs w:val="21"/>
                <w:highlight w:val="none"/>
              </w:rPr>
              <w:t>95～105</w:t>
            </w:r>
          </w:p>
        </w:tc>
        <w:tc>
          <w:tcPr>
            <w:tcW w:w="541" w:type="pct"/>
            <w:vAlign w:val="center"/>
          </w:tcPr>
          <w:p w14:paraId="78B4F9C8">
            <w:pPr>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突发</w:t>
            </w:r>
          </w:p>
        </w:tc>
      </w:tr>
      <w:tr w14:paraId="1DB4C6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52" w:hRule="atLeast"/>
          <w:jc w:val="center"/>
        </w:trPr>
        <w:tc>
          <w:tcPr>
            <w:tcW w:w="606" w:type="pct"/>
            <w:vAlign w:val="center"/>
          </w:tcPr>
          <w:p w14:paraId="008CA505">
            <w:pPr>
              <w:pStyle w:val="2857"/>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作业施工噪声</w:t>
            </w:r>
          </w:p>
        </w:tc>
        <w:tc>
          <w:tcPr>
            <w:tcW w:w="540" w:type="pct"/>
            <w:vAlign w:val="center"/>
          </w:tcPr>
          <w:p w14:paraId="2EA35D53">
            <w:pPr>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施工机械</w:t>
            </w:r>
          </w:p>
        </w:tc>
        <w:tc>
          <w:tcPr>
            <w:tcW w:w="402" w:type="pct"/>
            <w:vAlign w:val="center"/>
          </w:tcPr>
          <w:p w14:paraId="4C400EF2">
            <w:pPr>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突发</w:t>
            </w:r>
          </w:p>
        </w:tc>
        <w:tc>
          <w:tcPr>
            <w:tcW w:w="538" w:type="pct"/>
            <w:vAlign w:val="center"/>
          </w:tcPr>
          <w:p w14:paraId="508A3E6E">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类比法</w:t>
            </w:r>
          </w:p>
        </w:tc>
        <w:tc>
          <w:tcPr>
            <w:tcW w:w="495" w:type="pct"/>
            <w:vAlign w:val="center"/>
          </w:tcPr>
          <w:p w14:paraId="6289E251">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75~95</w:t>
            </w:r>
          </w:p>
        </w:tc>
        <w:tc>
          <w:tcPr>
            <w:tcW w:w="587" w:type="pct"/>
            <w:vMerge w:val="continue"/>
            <w:vAlign w:val="center"/>
          </w:tcPr>
          <w:p w14:paraId="5EBC2DE4">
            <w:pPr>
              <w:jc w:val="center"/>
              <w:rPr>
                <w:rFonts w:ascii="Times New Roman" w:hAnsi="Times New Roman" w:cs="Times New Roman" w:eastAsiaTheme="minorEastAsia"/>
                <w:color w:val="auto"/>
                <w:w w:val="99"/>
                <w:sz w:val="21"/>
                <w:szCs w:val="21"/>
                <w:highlight w:val="none"/>
              </w:rPr>
            </w:pPr>
          </w:p>
        </w:tc>
        <w:tc>
          <w:tcPr>
            <w:tcW w:w="421" w:type="pct"/>
            <w:vAlign w:val="center"/>
          </w:tcPr>
          <w:p w14:paraId="74397651">
            <w:pPr>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w:t>
            </w:r>
          </w:p>
        </w:tc>
        <w:tc>
          <w:tcPr>
            <w:tcW w:w="422" w:type="pct"/>
            <w:vAlign w:val="center"/>
          </w:tcPr>
          <w:p w14:paraId="5B7CF03E">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类比法</w:t>
            </w:r>
          </w:p>
        </w:tc>
        <w:tc>
          <w:tcPr>
            <w:tcW w:w="444" w:type="pct"/>
            <w:vAlign w:val="center"/>
          </w:tcPr>
          <w:p w14:paraId="63196D3D">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75~95</w:t>
            </w:r>
          </w:p>
        </w:tc>
        <w:tc>
          <w:tcPr>
            <w:tcW w:w="541" w:type="pct"/>
            <w:vAlign w:val="center"/>
          </w:tcPr>
          <w:p w14:paraId="61809A85">
            <w:pPr>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突发</w:t>
            </w:r>
          </w:p>
        </w:tc>
      </w:tr>
      <w:tr w14:paraId="00446D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606" w:type="pct"/>
            <w:vAlign w:val="center"/>
          </w:tcPr>
          <w:p w14:paraId="3B338CBC">
            <w:pPr>
              <w:pStyle w:val="2857"/>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放喷噪声</w:t>
            </w:r>
          </w:p>
        </w:tc>
        <w:tc>
          <w:tcPr>
            <w:tcW w:w="540" w:type="pct"/>
            <w:vAlign w:val="center"/>
          </w:tcPr>
          <w:p w14:paraId="43AAE821">
            <w:pPr>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井场放喷</w:t>
            </w:r>
          </w:p>
        </w:tc>
        <w:tc>
          <w:tcPr>
            <w:tcW w:w="402" w:type="pct"/>
            <w:vAlign w:val="center"/>
          </w:tcPr>
          <w:p w14:paraId="0E98200B">
            <w:pPr>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突发</w:t>
            </w:r>
          </w:p>
        </w:tc>
        <w:tc>
          <w:tcPr>
            <w:tcW w:w="538" w:type="pct"/>
            <w:vAlign w:val="center"/>
          </w:tcPr>
          <w:p w14:paraId="7D12089B">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类比法</w:t>
            </w:r>
          </w:p>
        </w:tc>
        <w:tc>
          <w:tcPr>
            <w:tcW w:w="495" w:type="pct"/>
            <w:vAlign w:val="center"/>
          </w:tcPr>
          <w:p w14:paraId="37E10E82">
            <w:pPr>
              <w:pStyle w:val="2857"/>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95～105</w:t>
            </w:r>
          </w:p>
        </w:tc>
        <w:tc>
          <w:tcPr>
            <w:tcW w:w="587" w:type="pct"/>
            <w:vMerge w:val="continue"/>
            <w:vAlign w:val="center"/>
          </w:tcPr>
          <w:p w14:paraId="4FF64FCB">
            <w:pPr>
              <w:jc w:val="center"/>
              <w:rPr>
                <w:rFonts w:ascii="Times New Roman" w:hAnsi="Times New Roman" w:cs="Times New Roman" w:eastAsiaTheme="minorEastAsia"/>
                <w:color w:val="auto"/>
                <w:w w:val="99"/>
                <w:sz w:val="21"/>
                <w:szCs w:val="21"/>
                <w:highlight w:val="none"/>
              </w:rPr>
            </w:pPr>
          </w:p>
        </w:tc>
        <w:tc>
          <w:tcPr>
            <w:tcW w:w="421" w:type="pct"/>
            <w:vAlign w:val="center"/>
          </w:tcPr>
          <w:p w14:paraId="375FEBEC">
            <w:pPr>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w:t>
            </w:r>
          </w:p>
        </w:tc>
        <w:tc>
          <w:tcPr>
            <w:tcW w:w="422" w:type="pct"/>
            <w:vAlign w:val="center"/>
          </w:tcPr>
          <w:p w14:paraId="75EA9A04">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类比法</w:t>
            </w:r>
          </w:p>
        </w:tc>
        <w:tc>
          <w:tcPr>
            <w:tcW w:w="444" w:type="pct"/>
            <w:vAlign w:val="center"/>
          </w:tcPr>
          <w:p w14:paraId="44239120">
            <w:pPr>
              <w:pStyle w:val="2857"/>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95～105</w:t>
            </w:r>
          </w:p>
        </w:tc>
        <w:tc>
          <w:tcPr>
            <w:tcW w:w="541" w:type="pct"/>
            <w:vAlign w:val="center"/>
          </w:tcPr>
          <w:p w14:paraId="23835444">
            <w:pPr>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突发</w:t>
            </w:r>
          </w:p>
        </w:tc>
      </w:tr>
    </w:tbl>
    <w:p w14:paraId="5C3514AF">
      <w:pPr>
        <w:pStyle w:val="153"/>
        <w:widowControl w:val="0"/>
        <w:spacing w:line="440" w:lineRule="exact"/>
        <w:ind w:firstLine="474"/>
        <w:jc w:val="both"/>
        <w:rPr>
          <w:rFonts w:ascii="Times New Roman" w:hAnsi="Times New Roman" w:eastAsiaTheme="minorEastAsia"/>
          <w:b/>
          <w:color w:val="auto"/>
          <w:w w:val="99"/>
          <w:kern w:val="2"/>
          <w:highlight w:val="none"/>
        </w:rPr>
      </w:pPr>
      <w:r>
        <w:rPr>
          <w:rFonts w:ascii="Times New Roman" w:hAnsi="Times New Roman" w:eastAsiaTheme="minorEastAsia"/>
          <w:b/>
          <w:color w:val="auto"/>
          <w:w w:val="99"/>
          <w:kern w:val="2"/>
          <w:highlight w:val="none"/>
        </w:rPr>
        <w:t>表</w:t>
      </w:r>
      <w:r>
        <w:rPr>
          <w:rFonts w:hint="eastAsia" w:ascii="Times New Roman" w:hAnsi="Times New Roman" w:eastAsiaTheme="minorEastAsia"/>
          <w:b/>
          <w:color w:val="auto"/>
          <w:w w:val="99"/>
          <w:kern w:val="2"/>
          <w:highlight w:val="none"/>
        </w:rPr>
        <w:t>3.10</w:t>
      </w:r>
      <w:r>
        <w:rPr>
          <w:rFonts w:ascii="Times New Roman" w:hAnsi="Times New Roman" w:eastAsiaTheme="minorEastAsia"/>
          <w:b/>
          <w:color w:val="auto"/>
          <w:w w:val="99"/>
          <w:kern w:val="2"/>
          <w:highlight w:val="none"/>
        </w:rPr>
        <w:t>-</w:t>
      </w:r>
      <w:r>
        <w:rPr>
          <w:rFonts w:hint="eastAsia" w:ascii="Times New Roman" w:hAnsi="Times New Roman" w:eastAsiaTheme="minorEastAsia"/>
          <w:b/>
          <w:color w:val="auto"/>
          <w:w w:val="99"/>
          <w:kern w:val="2"/>
          <w:highlight w:val="none"/>
        </w:rPr>
        <w:t>18</w:t>
      </w:r>
      <w:r>
        <w:rPr>
          <w:rFonts w:ascii="Times New Roman" w:hAnsi="Times New Roman" w:eastAsiaTheme="minorEastAsia"/>
          <w:b/>
          <w:color w:val="auto"/>
          <w:w w:val="99"/>
          <w:kern w:val="2"/>
          <w:highlight w:val="none"/>
        </w:rPr>
        <w:t xml:space="preserve">    运营期</w:t>
      </w:r>
      <w:r>
        <w:rPr>
          <w:rFonts w:ascii="Times New Roman" w:hAnsi="Times New Roman" w:eastAsiaTheme="minorEastAsia"/>
          <w:b/>
          <w:color w:val="auto"/>
          <w:w w:val="99"/>
          <w:highlight w:val="none"/>
        </w:rPr>
        <w:t>固体废物</w:t>
      </w:r>
      <w:r>
        <w:rPr>
          <w:rFonts w:ascii="Times New Roman" w:hAnsi="Times New Roman" w:eastAsiaTheme="minorEastAsia"/>
          <w:b/>
          <w:color w:val="auto"/>
          <w:w w:val="99"/>
          <w:kern w:val="2"/>
          <w:highlight w:val="none"/>
        </w:rPr>
        <w:t>污染源源强核算结果及相关参数一览表</w:t>
      </w:r>
    </w:p>
    <w:tbl>
      <w:tblPr>
        <w:tblStyle w:val="81"/>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41"/>
        <w:gridCol w:w="1295"/>
        <w:gridCol w:w="1155"/>
        <w:gridCol w:w="1152"/>
        <w:gridCol w:w="1152"/>
        <w:gridCol w:w="1585"/>
        <w:gridCol w:w="2020"/>
        <w:gridCol w:w="1386"/>
        <w:gridCol w:w="3332"/>
      </w:tblGrid>
      <w:tr w14:paraId="6135C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1" w:type="pct"/>
            <w:vMerge w:val="restart"/>
            <w:vAlign w:val="center"/>
          </w:tcPr>
          <w:p w14:paraId="7B6754CA">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工序/生产线</w:t>
            </w:r>
          </w:p>
        </w:tc>
        <w:tc>
          <w:tcPr>
            <w:tcW w:w="455" w:type="pct"/>
            <w:vMerge w:val="restart"/>
            <w:vAlign w:val="center"/>
          </w:tcPr>
          <w:p w14:paraId="462CC218">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装置</w:t>
            </w:r>
          </w:p>
        </w:tc>
        <w:tc>
          <w:tcPr>
            <w:tcW w:w="406" w:type="pct"/>
            <w:vMerge w:val="restart"/>
            <w:vAlign w:val="center"/>
          </w:tcPr>
          <w:p w14:paraId="3E1EDE2C">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固体废物名称</w:t>
            </w:r>
          </w:p>
        </w:tc>
        <w:tc>
          <w:tcPr>
            <w:tcW w:w="405" w:type="pct"/>
            <w:vMerge w:val="restart"/>
            <w:vAlign w:val="center"/>
          </w:tcPr>
          <w:p w14:paraId="413E1474">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固废属性</w:t>
            </w:r>
          </w:p>
        </w:tc>
        <w:tc>
          <w:tcPr>
            <w:tcW w:w="962" w:type="pct"/>
            <w:gridSpan w:val="2"/>
            <w:vAlign w:val="center"/>
          </w:tcPr>
          <w:p w14:paraId="05A37126">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产生情况</w:t>
            </w:r>
          </w:p>
        </w:tc>
        <w:tc>
          <w:tcPr>
            <w:tcW w:w="1197" w:type="pct"/>
            <w:gridSpan w:val="2"/>
            <w:vAlign w:val="center"/>
          </w:tcPr>
          <w:p w14:paraId="6A386B76">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处置措施</w:t>
            </w:r>
          </w:p>
        </w:tc>
        <w:tc>
          <w:tcPr>
            <w:tcW w:w="1171" w:type="pct"/>
            <w:vMerge w:val="restart"/>
            <w:vAlign w:val="center"/>
          </w:tcPr>
          <w:p w14:paraId="117F719A">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最终去向</w:t>
            </w:r>
          </w:p>
        </w:tc>
      </w:tr>
      <w:tr w14:paraId="213A9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1" w:type="pct"/>
            <w:vMerge w:val="continue"/>
            <w:vAlign w:val="center"/>
          </w:tcPr>
          <w:p w14:paraId="67C7348D">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p>
        </w:tc>
        <w:tc>
          <w:tcPr>
            <w:tcW w:w="455" w:type="pct"/>
            <w:vMerge w:val="continue"/>
            <w:vAlign w:val="center"/>
          </w:tcPr>
          <w:p w14:paraId="603804E6">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p>
        </w:tc>
        <w:tc>
          <w:tcPr>
            <w:tcW w:w="406" w:type="pct"/>
            <w:vMerge w:val="continue"/>
            <w:vAlign w:val="center"/>
          </w:tcPr>
          <w:p w14:paraId="6020D92C">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p>
        </w:tc>
        <w:tc>
          <w:tcPr>
            <w:tcW w:w="405" w:type="pct"/>
            <w:vMerge w:val="continue"/>
            <w:vAlign w:val="center"/>
          </w:tcPr>
          <w:p w14:paraId="67386338">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p>
        </w:tc>
        <w:tc>
          <w:tcPr>
            <w:tcW w:w="405" w:type="pct"/>
            <w:vAlign w:val="center"/>
          </w:tcPr>
          <w:p w14:paraId="79434D4E">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核算方法</w:t>
            </w:r>
          </w:p>
        </w:tc>
        <w:tc>
          <w:tcPr>
            <w:tcW w:w="557" w:type="pct"/>
            <w:vAlign w:val="center"/>
          </w:tcPr>
          <w:p w14:paraId="25F9B41B">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产生量（t/a）</w:t>
            </w:r>
          </w:p>
        </w:tc>
        <w:tc>
          <w:tcPr>
            <w:tcW w:w="710" w:type="pct"/>
            <w:vAlign w:val="center"/>
          </w:tcPr>
          <w:p w14:paraId="777F3291">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工艺</w:t>
            </w:r>
          </w:p>
        </w:tc>
        <w:tc>
          <w:tcPr>
            <w:tcW w:w="487" w:type="pct"/>
            <w:vAlign w:val="center"/>
          </w:tcPr>
          <w:p w14:paraId="65C3DECF">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处置量（t/a）</w:t>
            </w:r>
          </w:p>
        </w:tc>
        <w:tc>
          <w:tcPr>
            <w:tcW w:w="1171" w:type="pct"/>
            <w:vMerge w:val="continue"/>
            <w:vAlign w:val="center"/>
          </w:tcPr>
          <w:p w14:paraId="2647880A">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p>
        </w:tc>
      </w:tr>
      <w:tr w14:paraId="5DF2E0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trPr>
        <w:tc>
          <w:tcPr>
            <w:tcW w:w="401" w:type="pct"/>
            <w:vAlign w:val="center"/>
          </w:tcPr>
          <w:p w14:paraId="60AAEF5A">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采气</w:t>
            </w:r>
          </w:p>
        </w:tc>
        <w:tc>
          <w:tcPr>
            <w:tcW w:w="455" w:type="pct"/>
            <w:vAlign w:val="center"/>
          </w:tcPr>
          <w:p w14:paraId="18AD2CE9">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井场</w:t>
            </w:r>
          </w:p>
        </w:tc>
        <w:tc>
          <w:tcPr>
            <w:tcW w:w="406" w:type="pct"/>
            <w:vAlign w:val="center"/>
          </w:tcPr>
          <w:p w14:paraId="46A0989F">
            <w:pPr>
              <w:tabs>
                <w:tab w:val="center" w:pos="4153"/>
                <w:tab w:val="right" w:pos="8306"/>
              </w:tabs>
              <w:spacing w:line="320" w:lineRule="exact"/>
              <w:jc w:val="center"/>
              <w:rPr>
                <w:rFonts w:hint="eastAsia" w:ascii="Times New Roman" w:hAnsi="Times New Roman" w:cs="Times New Roman" w:eastAsiaTheme="minorEastAsia"/>
                <w:snapToGrid w:val="0"/>
                <w:color w:val="auto"/>
                <w:w w:val="99"/>
                <w:sz w:val="21"/>
                <w:szCs w:val="21"/>
                <w:highlight w:val="none"/>
                <w:lang w:eastAsia="zh-CN"/>
              </w:rPr>
            </w:pPr>
            <w:r>
              <w:rPr>
                <w:rFonts w:hint="eastAsia" w:ascii="Times New Roman" w:hAnsi="Times New Roman" w:cs="Times New Roman" w:eastAsiaTheme="minorEastAsia"/>
                <w:snapToGrid w:val="0"/>
                <w:color w:val="auto"/>
                <w:w w:val="99"/>
                <w:sz w:val="21"/>
                <w:szCs w:val="21"/>
                <w:highlight w:val="none"/>
              </w:rPr>
              <w:t>井口含油</w:t>
            </w:r>
            <w:r>
              <w:rPr>
                <w:rFonts w:hint="eastAsia" w:ascii="Times New Roman" w:hAnsi="Times New Roman" w:cs="Times New Roman" w:eastAsiaTheme="minorEastAsia"/>
                <w:snapToGrid w:val="0"/>
                <w:color w:val="auto"/>
                <w:w w:val="99"/>
                <w:sz w:val="21"/>
                <w:szCs w:val="21"/>
                <w:highlight w:val="none"/>
                <w:lang w:eastAsia="zh-CN"/>
              </w:rPr>
              <w:t>砂粒</w:t>
            </w:r>
          </w:p>
        </w:tc>
        <w:tc>
          <w:tcPr>
            <w:tcW w:w="405" w:type="pct"/>
            <w:vAlign w:val="center"/>
          </w:tcPr>
          <w:p w14:paraId="1A0BEB86">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危险废物</w:t>
            </w:r>
          </w:p>
        </w:tc>
        <w:tc>
          <w:tcPr>
            <w:tcW w:w="405" w:type="pct"/>
            <w:vAlign w:val="center"/>
          </w:tcPr>
          <w:p w14:paraId="56572C66">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类比法</w:t>
            </w:r>
          </w:p>
        </w:tc>
        <w:tc>
          <w:tcPr>
            <w:tcW w:w="557" w:type="pct"/>
            <w:vAlign w:val="center"/>
          </w:tcPr>
          <w:p w14:paraId="694F3226">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color w:val="auto"/>
                <w:w w:val="99"/>
                <w:kern w:val="2"/>
                <w:sz w:val="21"/>
                <w:szCs w:val="21"/>
                <w:highlight w:val="none"/>
              </w:rPr>
              <w:t>0.01</w:t>
            </w:r>
          </w:p>
        </w:tc>
        <w:tc>
          <w:tcPr>
            <w:tcW w:w="710" w:type="pct"/>
            <w:vAlign w:val="center"/>
          </w:tcPr>
          <w:p w14:paraId="1E43C7A1">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委托有资质单位处理</w:t>
            </w:r>
          </w:p>
        </w:tc>
        <w:tc>
          <w:tcPr>
            <w:tcW w:w="1386" w:type="dxa"/>
            <w:vAlign w:val="center"/>
          </w:tcPr>
          <w:p w14:paraId="294E2D94">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color w:val="auto"/>
                <w:w w:val="99"/>
                <w:kern w:val="2"/>
                <w:sz w:val="21"/>
                <w:szCs w:val="21"/>
                <w:highlight w:val="none"/>
              </w:rPr>
              <w:t>0.01</w:t>
            </w:r>
          </w:p>
        </w:tc>
        <w:tc>
          <w:tcPr>
            <w:tcW w:w="1171" w:type="pct"/>
            <w:vAlign w:val="center"/>
          </w:tcPr>
          <w:p w14:paraId="3737422F">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送采气分公司危险废物贮存库内，定期委托有危废处置资质的单位处置</w:t>
            </w:r>
          </w:p>
        </w:tc>
      </w:tr>
      <w:tr w14:paraId="46FF2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1" w:type="pct"/>
            <w:vAlign w:val="center"/>
          </w:tcPr>
          <w:p w14:paraId="499AE5F7">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变压器检修</w:t>
            </w:r>
          </w:p>
        </w:tc>
        <w:tc>
          <w:tcPr>
            <w:tcW w:w="455" w:type="pct"/>
            <w:vAlign w:val="center"/>
          </w:tcPr>
          <w:p w14:paraId="5675044E">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柱上变</w:t>
            </w:r>
          </w:p>
        </w:tc>
        <w:tc>
          <w:tcPr>
            <w:tcW w:w="406" w:type="pct"/>
            <w:vAlign w:val="center"/>
          </w:tcPr>
          <w:p w14:paraId="6232FA6D">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废变压器油</w:t>
            </w:r>
          </w:p>
        </w:tc>
        <w:tc>
          <w:tcPr>
            <w:tcW w:w="405" w:type="pct"/>
            <w:vAlign w:val="center"/>
          </w:tcPr>
          <w:p w14:paraId="58BE1C7C">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危险废物</w:t>
            </w:r>
          </w:p>
        </w:tc>
        <w:tc>
          <w:tcPr>
            <w:tcW w:w="405" w:type="pct"/>
            <w:vAlign w:val="center"/>
          </w:tcPr>
          <w:p w14:paraId="1057A8AD">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类比法</w:t>
            </w:r>
          </w:p>
        </w:tc>
        <w:tc>
          <w:tcPr>
            <w:tcW w:w="557" w:type="pct"/>
            <w:vAlign w:val="center"/>
          </w:tcPr>
          <w:p w14:paraId="0DEEB058">
            <w:pPr>
              <w:tabs>
                <w:tab w:val="center" w:pos="4153"/>
                <w:tab w:val="right" w:pos="8306"/>
              </w:tabs>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0.05</w:t>
            </w:r>
          </w:p>
        </w:tc>
        <w:tc>
          <w:tcPr>
            <w:tcW w:w="710" w:type="pct"/>
            <w:vAlign w:val="center"/>
          </w:tcPr>
          <w:p w14:paraId="18EFDBFD">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委托有资质单位处理</w:t>
            </w:r>
          </w:p>
        </w:tc>
        <w:tc>
          <w:tcPr>
            <w:tcW w:w="1386" w:type="dxa"/>
            <w:vAlign w:val="center"/>
          </w:tcPr>
          <w:p w14:paraId="44D73F58">
            <w:pPr>
              <w:tabs>
                <w:tab w:val="center" w:pos="4153"/>
                <w:tab w:val="right" w:pos="8306"/>
              </w:tabs>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0.05</w:t>
            </w:r>
          </w:p>
        </w:tc>
        <w:tc>
          <w:tcPr>
            <w:tcW w:w="1171" w:type="pct"/>
            <w:vAlign w:val="center"/>
          </w:tcPr>
          <w:p w14:paraId="10A5E2EC">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由检维修队送采气分公司危险废物贮存库内，定期委托有危废处置资质的单位处置</w:t>
            </w:r>
          </w:p>
        </w:tc>
      </w:tr>
    </w:tbl>
    <w:p w14:paraId="4512B4D5">
      <w:pPr>
        <w:pStyle w:val="153"/>
        <w:widowControl w:val="0"/>
        <w:spacing w:line="440" w:lineRule="exact"/>
        <w:ind w:firstLine="474"/>
        <w:jc w:val="both"/>
        <w:rPr>
          <w:rFonts w:ascii="Times New Roman" w:hAnsi="Times New Roman" w:eastAsiaTheme="minorEastAsia"/>
          <w:b/>
          <w:bCs/>
          <w:color w:val="auto"/>
          <w:w w:val="99"/>
          <w:highlight w:val="none"/>
        </w:rPr>
      </w:pPr>
      <w:r>
        <w:rPr>
          <w:rFonts w:ascii="Times New Roman" w:hAnsi="Times New Roman" w:eastAsiaTheme="minorEastAsia"/>
          <w:b/>
          <w:bCs/>
          <w:color w:val="auto"/>
          <w:w w:val="99"/>
          <w:highlight w:val="none"/>
        </w:rPr>
        <w:t>表</w:t>
      </w:r>
      <w:r>
        <w:rPr>
          <w:rFonts w:hint="eastAsia" w:ascii="Times New Roman" w:hAnsi="Times New Roman" w:eastAsiaTheme="minorEastAsia"/>
          <w:b/>
          <w:color w:val="auto"/>
          <w:w w:val="99"/>
          <w:highlight w:val="none"/>
        </w:rPr>
        <w:t>3.10</w:t>
      </w:r>
      <w:r>
        <w:rPr>
          <w:rFonts w:ascii="Times New Roman" w:hAnsi="Times New Roman" w:eastAsiaTheme="minorEastAsia"/>
          <w:b/>
          <w:color w:val="auto"/>
          <w:w w:val="99"/>
          <w:highlight w:val="none"/>
        </w:rPr>
        <w:t>-</w:t>
      </w:r>
      <w:r>
        <w:rPr>
          <w:rFonts w:hint="eastAsia" w:ascii="Times New Roman" w:hAnsi="Times New Roman" w:eastAsiaTheme="minorEastAsia"/>
          <w:b/>
          <w:color w:val="auto"/>
          <w:w w:val="99"/>
          <w:highlight w:val="none"/>
        </w:rPr>
        <w:t>19</w:t>
      </w:r>
      <w:r>
        <w:rPr>
          <w:rFonts w:ascii="Times New Roman" w:hAnsi="Times New Roman" w:eastAsiaTheme="minorEastAsia"/>
          <w:b/>
          <w:bCs/>
          <w:color w:val="auto"/>
          <w:w w:val="99"/>
          <w:highlight w:val="none"/>
        </w:rPr>
        <w:t xml:space="preserve">    退役期废气污染源源强核算结果及相关参数一览表</w:t>
      </w:r>
    </w:p>
    <w:tbl>
      <w:tblPr>
        <w:tblStyle w:val="81"/>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53"/>
        <w:gridCol w:w="657"/>
        <w:gridCol w:w="697"/>
        <w:gridCol w:w="1271"/>
        <w:gridCol w:w="930"/>
        <w:gridCol w:w="1069"/>
        <w:gridCol w:w="1203"/>
        <w:gridCol w:w="6"/>
        <w:gridCol w:w="708"/>
        <w:gridCol w:w="1104"/>
        <w:gridCol w:w="1058"/>
        <w:gridCol w:w="720"/>
        <w:gridCol w:w="885"/>
        <w:gridCol w:w="1337"/>
        <w:gridCol w:w="1030"/>
        <w:gridCol w:w="890"/>
      </w:tblGrid>
      <w:tr w14:paraId="5C668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30" w:type="pct"/>
            <w:vMerge w:val="restart"/>
            <w:vAlign w:val="center"/>
          </w:tcPr>
          <w:p w14:paraId="79B038E0">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工序</w:t>
            </w:r>
          </w:p>
        </w:tc>
        <w:tc>
          <w:tcPr>
            <w:tcW w:w="231" w:type="pct"/>
            <w:vMerge w:val="restart"/>
            <w:vAlign w:val="center"/>
          </w:tcPr>
          <w:p w14:paraId="7882DFFC">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装置</w:t>
            </w:r>
          </w:p>
        </w:tc>
        <w:tc>
          <w:tcPr>
            <w:tcW w:w="245" w:type="pct"/>
            <w:vMerge w:val="restart"/>
            <w:vAlign w:val="center"/>
          </w:tcPr>
          <w:p w14:paraId="4FD7B511">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污染源</w:t>
            </w:r>
          </w:p>
        </w:tc>
        <w:tc>
          <w:tcPr>
            <w:tcW w:w="447" w:type="pct"/>
            <w:vMerge w:val="restart"/>
            <w:vAlign w:val="center"/>
          </w:tcPr>
          <w:p w14:paraId="214A2405">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污染物</w:t>
            </w:r>
          </w:p>
        </w:tc>
        <w:tc>
          <w:tcPr>
            <w:tcW w:w="1377" w:type="pct"/>
            <w:gridSpan w:val="5"/>
            <w:vAlign w:val="center"/>
          </w:tcPr>
          <w:p w14:paraId="34549B4D">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污染物产生</w:t>
            </w:r>
          </w:p>
        </w:tc>
        <w:tc>
          <w:tcPr>
            <w:tcW w:w="760" w:type="pct"/>
            <w:gridSpan w:val="2"/>
            <w:vAlign w:val="center"/>
          </w:tcPr>
          <w:p w14:paraId="2CD69764">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治理措施</w:t>
            </w:r>
          </w:p>
        </w:tc>
        <w:tc>
          <w:tcPr>
            <w:tcW w:w="1396" w:type="pct"/>
            <w:gridSpan w:val="4"/>
            <w:vAlign w:val="center"/>
          </w:tcPr>
          <w:p w14:paraId="3F7A9691">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污染物排放</w:t>
            </w:r>
          </w:p>
        </w:tc>
        <w:tc>
          <w:tcPr>
            <w:tcW w:w="313" w:type="pct"/>
            <w:vMerge w:val="restart"/>
            <w:vAlign w:val="center"/>
          </w:tcPr>
          <w:p w14:paraId="5CEF1E34">
            <w:pPr>
              <w:keepNext/>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排放时间d</w:t>
            </w:r>
          </w:p>
        </w:tc>
      </w:tr>
      <w:tr w14:paraId="45CC2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30" w:type="pct"/>
            <w:vMerge w:val="continue"/>
            <w:vAlign w:val="center"/>
          </w:tcPr>
          <w:p w14:paraId="659A1175">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c>
          <w:tcPr>
            <w:tcW w:w="231" w:type="pct"/>
            <w:vMerge w:val="continue"/>
            <w:vAlign w:val="center"/>
          </w:tcPr>
          <w:p w14:paraId="629C97CF">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c>
          <w:tcPr>
            <w:tcW w:w="245" w:type="pct"/>
            <w:vMerge w:val="continue"/>
            <w:vAlign w:val="center"/>
          </w:tcPr>
          <w:p w14:paraId="2C78C607">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c>
          <w:tcPr>
            <w:tcW w:w="447" w:type="pct"/>
            <w:vMerge w:val="continue"/>
            <w:vAlign w:val="center"/>
          </w:tcPr>
          <w:p w14:paraId="3051CE9D">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c>
          <w:tcPr>
            <w:tcW w:w="327" w:type="pct"/>
            <w:vAlign w:val="center"/>
          </w:tcPr>
          <w:p w14:paraId="4D702F3B">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核算方法</w:t>
            </w:r>
          </w:p>
        </w:tc>
        <w:tc>
          <w:tcPr>
            <w:tcW w:w="376" w:type="pct"/>
            <w:vAlign w:val="center"/>
          </w:tcPr>
          <w:p w14:paraId="63D0CE3C">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废气产生量m</w:t>
            </w:r>
            <w:r>
              <w:rPr>
                <w:rFonts w:ascii="Times New Roman" w:hAnsi="Times New Roman" w:cs="Times New Roman" w:eastAsiaTheme="minorEastAsia"/>
                <w:color w:val="auto"/>
                <w:w w:val="99"/>
                <w:kern w:val="2"/>
                <w:sz w:val="21"/>
                <w:szCs w:val="21"/>
                <w:highlight w:val="none"/>
                <w:vertAlign w:val="superscript"/>
              </w:rPr>
              <w:t>3</w:t>
            </w:r>
          </w:p>
        </w:tc>
        <w:tc>
          <w:tcPr>
            <w:tcW w:w="423" w:type="pct"/>
            <w:vAlign w:val="center"/>
          </w:tcPr>
          <w:p w14:paraId="5C84D1E6">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产生浓度mg/m</w:t>
            </w:r>
            <w:r>
              <w:rPr>
                <w:rFonts w:ascii="Times New Roman" w:hAnsi="Times New Roman" w:cs="Times New Roman" w:eastAsiaTheme="minorEastAsia"/>
                <w:color w:val="auto"/>
                <w:w w:val="99"/>
                <w:kern w:val="2"/>
                <w:sz w:val="21"/>
                <w:szCs w:val="21"/>
                <w:highlight w:val="none"/>
                <w:vertAlign w:val="superscript"/>
              </w:rPr>
              <w:t>3</w:t>
            </w:r>
          </w:p>
        </w:tc>
        <w:tc>
          <w:tcPr>
            <w:tcW w:w="251" w:type="pct"/>
            <w:gridSpan w:val="2"/>
            <w:vAlign w:val="center"/>
          </w:tcPr>
          <w:p w14:paraId="6E75594A">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产生量t</w:t>
            </w:r>
          </w:p>
        </w:tc>
        <w:tc>
          <w:tcPr>
            <w:tcW w:w="388" w:type="pct"/>
            <w:vAlign w:val="center"/>
          </w:tcPr>
          <w:p w14:paraId="26EF6BF0">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工艺</w:t>
            </w:r>
          </w:p>
        </w:tc>
        <w:tc>
          <w:tcPr>
            <w:tcW w:w="372" w:type="pct"/>
            <w:vAlign w:val="center"/>
          </w:tcPr>
          <w:p w14:paraId="4A0C99FF">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效率%</w:t>
            </w:r>
          </w:p>
        </w:tc>
        <w:tc>
          <w:tcPr>
            <w:tcW w:w="253" w:type="pct"/>
            <w:vAlign w:val="center"/>
          </w:tcPr>
          <w:p w14:paraId="607CB43C">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核算方法</w:t>
            </w:r>
          </w:p>
        </w:tc>
        <w:tc>
          <w:tcPr>
            <w:tcW w:w="311" w:type="pct"/>
            <w:vAlign w:val="center"/>
          </w:tcPr>
          <w:p w14:paraId="2B1B5184">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废气排放量</w:t>
            </w:r>
          </w:p>
        </w:tc>
        <w:tc>
          <w:tcPr>
            <w:tcW w:w="470" w:type="pct"/>
            <w:vAlign w:val="center"/>
          </w:tcPr>
          <w:p w14:paraId="5213081F">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排放浓度mg/m</w:t>
            </w:r>
            <w:r>
              <w:rPr>
                <w:rFonts w:ascii="Times New Roman" w:hAnsi="Times New Roman" w:cs="Times New Roman" w:eastAsiaTheme="minorEastAsia"/>
                <w:color w:val="auto"/>
                <w:w w:val="99"/>
                <w:kern w:val="2"/>
                <w:sz w:val="21"/>
                <w:szCs w:val="21"/>
                <w:highlight w:val="none"/>
                <w:vertAlign w:val="superscript"/>
              </w:rPr>
              <w:t>3</w:t>
            </w:r>
          </w:p>
        </w:tc>
        <w:tc>
          <w:tcPr>
            <w:tcW w:w="362" w:type="pct"/>
            <w:vAlign w:val="center"/>
          </w:tcPr>
          <w:p w14:paraId="3F2B7EEE">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排放量</w:t>
            </w:r>
          </w:p>
          <w:p w14:paraId="02B138FF">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t</w:t>
            </w:r>
          </w:p>
        </w:tc>
        <w:tc>
          <w:tcPr>
            <w:tcW w:w="313" w:type="pct"/>
            <w:vMerge w:val="continue"/>
            <w:vAlign w:val="center"/>
          </w:tcPr>
          <w:p w14:paraId="63E43B84">
            <w:pPr>
              <w:keepNext/>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r>
      <w:tr w14:paraId="135CE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30" w:type="pct"/>
            <w:vMerge w:val="restart"/>
            <w:vAlign w:val="center"/>
          </w:tcPr>
          <w:p w14:paraId="454A8F45">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施工</w:t>
            </w:r>
          </w:p>
        </w:tc>
        <w:tc>
          <w:tcPr>
            <w:tcW w:w="231" w:type="pct"/>
            <w:vAlign w:val="center"/>
          </w:tcPr>
          <w:p w14:paraId="5867149E">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施工场地</w:t>
            </w:r>
          </w:p>
        </w:tc>
        <w:tc>
          <w:tcPr>
            <w:tcW w:w="245" w:type="pct"/>
            <w:vAlign w:val="center"/>
          </w:tcPr>
          <w:p w14:paraId="058EE757">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施工扬尘</w:t>
            </w:r>
          </w:p>
        </w:tc>
        <w:tc>
          <w:tcPr>
            <w:tcW w:w="447" w:type="pct"/>
            <w:vAlign w:val="center"/>
          </w:tcPr>
          <w:p w14:paraId="564DA455">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颗粒物</w:t>
            </w:r>
          </w:p>
        </w:tc>
        <w:tc>
          <w:tcPr>
            <w:tcW w:w="327" w:type="pct"/>
            <w:tcBorders>
              <w:right w:val="single" w:color="auto" w:sz="4" w:space="0"/>
            </w:tcBorders>
            <w:vAlign w:val="center"/>
          </w:tcPr>
          <w:p w14:paraId="7BA645C4">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76" w:type="pct"/>
            <w:tcBorders>
              <w:left w:val="single" w:color="auto" w:sz="4" w:space="0"/>
              <w:right w:val="single" w:color="auto" w:sz="4" w:space="0"/>
            </w:tcBorders>
            <w:vAlign w:val="center"/>
          </w:tcPr>
          <w:p w14:paraId="34CF57D4">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23" w:type="pct"/>
            <w:tcBorders>
              <w:left w:val="single" w:color="auto" w:sz="4" w:space="0"/>
              <w:right w:val="single" w:color="auto" w:sz="4" w:space="0"/>
            </w:tcBorders>
            <w:vAlign w:val="center"/>
          </w:tcPr>
          <w:p w14:paraId="116941F3">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251" w:type="pct"/>
            <w:gridSpan w:val="2"/>
            <w:tcBorders>
              <w:left w:val="single" w:color="auto" w:sz="4" w:space="0"/>
            </w:tcBorders>
            <w:vAlign w:val="center"/>
          </w:tcPr>
          <w:p w14:paraId="0E13CA44">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少量</w:t>
            </w:r>
          </w:p>
        </w:tc>
        <w:tc>
          <w:tcPr>
            <w:tcW w:w="760" w:type="pct"/>
            <w:gridSpan w:val="2"/>
            <w:vAlign w:val="center"/>
          </w:tcPr>
          <w:p w14:paraId="28435504">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车辆密闭运输、施工材料覆盖、洒水抑尘</w:t>
            </w:r>
          </w:p>
        </w:tc>
        <w:tc>
          <w:tcPr>
            <w:tcW w:w="253" w:type="pct"/>
            <w:vAlign w:val="center"/>
          </w:tcPr>
          <w:p w14:paraId="3A214AC7">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11" w:type="pct"/>
            <w:vAlign w:val="center"/>
          </w:tcPr>
          <w:p w14:paraId="2A3E8358">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70" w:type="pct"/>
            <w:vAlign w:val="center"/>
          </w:tcPr>
          <w:p w14:paraId="3B4192A6">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62" w:type="pct"/>
            <w:vAlign w:val="center"/>
          </w:tcPr>
          <w:p w14:paraId="5DA3AF50">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少量</w:t>
            </w:r>
          </w:p>
        </w:tc>
        <w:tc>
          <w:tcPr>
            <w:tcW w:w="313" w:type="pct"/>
            <w:vAlign w:val="center"/>
          </w:tcPr>
          <w:p w14:paraId="6B897510">
            <w:pPr>
              <w:keepNext/>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5</w:t>
            </w:r>
          </w:p>
        </w:tc>
      </w:tr>
      <w:tr w14:paraId="19ACC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30" w:type="pct"/>
            <w:vMerge w:val="continue"/>
            <w:vAlign w:val="center"/>
          </w:tcPr>
          <w:p w14:paraId="6D3CE007">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c>
          <w:tcPr>
            <w:tcW w:w="231" w:type="pct"/>
            <w:vAlign w:val="center"/>
          </w:tcPr>
          <w:p w14:paraId="536B5332">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车辆</w:t>
            </w:r>
          </w:p>
        </w:tc>
        <w:tc>
          <w:tcPr>
            <w:tcW w:w="245" w:type="pct"/>
            <w:vAlign w:val="center"/>
          </w:tcPr>
          <w:p w14:paraId="5763794F">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车辆尾气</w:t>
            </w:r>
          </w:p>
        </w:tc>
        <w:tc>
          <w:tcPr>
            <w:tcW w:w="447" w:type="pct"/>
            <w:vAlign w:val="center"/>
          </w:tcPr>
          <w:p w14:paraId="1E31A4DE">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lang w:val="zh-CN"/>
              </w:rPr>
              <w:t>NO</w:t>
            </w:r>
            <w:r>
              <w:rPr>
                <w:rFonts w:ascii="Times New Roman" w:hAnsi="Times New Roman" w:cs="Times New Roman" w:eastAsiaTheme="minorEastAsia"/>
                <w:color w:val="auto"/>
                <w:w w:val="99"/>
                <w:kern w:val="2"/>
                <w:sz w:val="21"/>
                <w:szCs w:val="21"/>
                <w:highlight w:val="none"/>
                <w:vertAlign w:val="subscript"/>
                <w:lang w:val="zh-CN"/>
              </w:rPr>
              <w:t>2</w:t>
            </w:r>
            <w:r>
              <w:rPr>
                <w:rFonts w:ascii="Times New Roman" w:hAnsi="Times New Roman" w:cs="Times New Roman" w:eastAsiaTheme="minorEastAsia"/>
                <w:color w:val="auto"/>
                <w:w w:val="99"/>
                <w:kern w:val="2"/>
                <w:sz w:val="21"/>
                <w:szCs w:val="21"/>
                <w:highlight w:val="none"/>
                <w:lang w:val="zh-CN"/>
              </w:rPr>
              <w:t>、CO、HC</w:t>
            </w:r>
          </w:p>
        </w:tc>
        <w:tc>
          <w:tcPr>
            <w:tcW w:w="327" w:type="pct"/>
            <w:tcBorders>
              <w:right w:val="single" w:color="auto" w:sz="4" w:space="0"/>
            </w:tcBorders>
            <w:vAlign w:val="center"/>
          </w:tcPr>
          <w:p w14:paraId="718E91F7">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76" w:type="pct"/>
            <w:tcBorders>
              <w:left w:val="single" w:color="auto" w:sz="4" w:space="0"/>
              <w:right w:val="single" w:color="auto" w:sz="4" w:space="0"/>
            </w:tcBorders>
            <w:vAlign w:val="center"/>
          </w:tcPr>
          <w:p w14:paraId="0582AF37">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25" w:type="pct"/>
            <w:gridSpan w:val="2"/>
            <w:tcBorders>
              <w:left w:val="single" w:color="auto" w:sz="4" w:space="0"/>
              <w:right w:val="single" w:color="auto" w:sz="4" w:space="0"/>
            </w:tcBorders>
            <w:vAlign w:val="center"/>
          </w:tcPr>
          <w:p w14:paraId="0188757A">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249" w:type="pct"/>
            <w:tcBorders>
              <w:left w:val="single" w:color="auto" w:sz="4" w:space="0"/>
            </w:tcBorders>
            <w:vAlign w:val="center"/>
          </w:tcPr>
          <w:p w14:paraId="6B0F680A">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少量</w:t>
            </w:r>
          </w:p>
        </w:tc>
        <w:tc>
          <w:tcPr>
            <w:tcW w:w="760" w:type="pct"/>
            <w:gridSpan w:val="2"/>
            <w:vAlign w:val="center"/>
          </w:tcPr>
          <w:p w14:paraId="4917339B">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施工车辆选用高标号汽柴油，尾气达标排放</w:t>
            </w:r>
          </w:p>
        </w:tc>
        <w:tc>
          <w:tcPr>
            <w:tcW w:w="253" w:type="pct"/>
            <w:vAlign w:val="center"/>
          </w:tcPr>
          <w:p w14:paraId="1A239CF3">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11" w:type="pct"/>
            <w:vAlign w:val="center"/>
          </w:tcPr>
          <w:p w14:paraId="6348CF5F">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70" w:type="pct"/>
            <w:vAlign w:val="center"/>
          </w:tcPr>
          <w:p w14:paraId="7B485915">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62" w:type="pct"/>
            <w:vAlign w:val="center"/>
          </w:tcPr>
          <w:p w14:paraId="218E7836">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13" w:type="pct"/>
            <w:vAlign w:val="center"/>
          </w:tcPr>
          <w:p w14:paraId="71A67393">
            <w:pPr>
              <w:keepNext/>
              <w:widowControl w:val="0"/>
              <w:adjustRightIn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kern w:val="2"/>
                <w:sz w:val="21"/>
                <w:szCs w:val="21"/>
                <w:highlight w:val="none"/>
              </w:rPr>
              <w:t>5</w:t>
            </w:r>
          </w:p>
        </w:tc>
      </w:tr>
    </w:tbl>
    <w:p w14:paraId="140C12D1">
      <w:pPr>
        <w:pStyle w:val="153"/>
        <w:widowControl w:val="0"/>
        <w:spacing w:line="440" w:lineRule="exact"/>
        <w:ind w:firstLine="474"/>
        <w:jc w:val="both"/>
        <w:rPr>
          <w:rFonts w:ascii="Times New Roman" w:hAnsi="Times New Roman" w:eastAsiaTheme="minorEastAsia"/>
          <w:b/>
          <w:color w:val="auto"/>
          <w:w w:val="99"/>
          <w:kern w:val="21"/>
          <w:highlight w:val="none"/>
        </w:rPr>
      </w:pPr>
      <w:r>
        <w:rPr>
          <w:rFonts w:ascii="Times New Roman" w:hAnsi="Times New Roman" w:eastAsiaTheme="minorEastAsia"/>
          <w:b/>
          <w:color w:val="auto"/>
          <w:w w:val="99"/>
          <w:kern w:val="21"/>
          <w:highlight w:val="none"/>
        </w:rPr>
        <w:t>表</w:t>
      </w:r>
      <w:r>
        <w:rPr>
          <w:rFonts w:hint="eastAsia" w:ascii="Times New Roman" w:hAnsi="Times New Roman" w:eastAsiaTheme="minorEastAsia"/>
          <w:b/>
          <w:color w:val="auto"/>
          <w:w w:val="99"/>
          <w:highlight w:val="none"/>
        </w:rPr>
        <w:t>3.10</w:t>
      </w:r>
      <w:r>
        <w:rPr>
          <w:rFonts w:ascii="Times New Roman" w:hAnsi="Times New Roman" w:eastAsiaTheme="minorEastAsia"/>
          <w:b/>
          <w:color w:val="auto"/>
          <w:w w:val="99"/>
          <w:highlight w:val="none"/>
        </w:rPr>
        <w:t>-2</w:t>
      </w:r>
      <w:r>
        <w:rPr>
          <w:rFonts w:hint="eastAsia" w:ascii="Times New Roman" w:hAnsi="Times New Roman" w:eastAsiaTheme="minorEastAsia"/>
          <w:b/>
          <w:color w:val="auto"/>
          <w:w w:val="99"/>
          <w:highlight w:val="none"/>
        </w:rPr>
        <w:t>0</w:t>
      </w:r>
      <w:r>
        <w:rPr>
          <w:rFonts w:ascii="Times New Roman" w:hAnsi="Times New Roman" w:eastAsiaTheme="minorEastAsia"/>
          <w:b/>
          <w:color w:val="auto"/>
          <w:w w:val="99"/>
          <w:kern w:val="21"/>
          <w:highlight w:val="none"/>
        </w:rPr>
        <w:t xml:space="preserve">   </w:t>
      </w:r>
      <w:r>
        <w:rPr>
          <w:rFonts w:ascii="Times New Roman" w:hAnsi="Times New Roman" w:eastAsiaTheme="minorEastAsia"/>
          <w:b/>
          <w:bCs/>
          <w:color w:val="auto"/>
          <w:w w:val="99"/>
          <w:kern w:val="21"/>
          <w:highlight w:val="none"/>
        </w:rPr>
        <w:t>退役</w:t>
      </w:r>
      <w:r>
        <w:rPr>
          <w:rFonts w:ascii="Times New Roman" w:hAnsi="Times New Roman" w:eastAsiaTheme="minorEastAsia"/>
          <w:b/>
          <w:color w:val="auto"/>
          <w:w w:val="99"/>
          <w:kern w:val="21"/>
          <w:highlight w:val="none"/>
        </w:rPr>
        <w:t>期</w:t>
      </w:r>
      <w:r>
        <w:rPr>
          <w:rFonts w:ascii="Times New Roman" w:hAnsi="Times New Roman" w:eastAsiaTheme="minorEastAsia"/>
          <w:b/>
          <w:bCs/>
          <w:color w:val="auto"/>
          <w:w w:val="99"/>
          <w:highlight w:val="none"/>
        </w:rPr>
        <w:t>废水</w:t>
      </w:r>
      <w:r>
        <w:rPr>
          <w:rFonts w:ascii="Times New Roman" w:hAnsi="Times New Roman" w:eastAsiaTheme="minorEastAsia"/>
          <w:b/>
          <w:color w:val="auto"/>
          <w:w w:val="99"/>
          <w:kern w:val="21"/>
          <w:highlight w:val="none"/>
        </w:rPr>
        <w:t>污染源源强核算结果及相关参数一览表</w:t>
      </w:r>
    </w:p>
    <w:tbl>
      <w:tblPr>
        <w:tblStyle w:val="81"/>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72"/>
        <w:gridCol w:w="578"/>
        <w:gridCol w:w="720"/>
        <w:gridCol w:w="717"/>
        <w:gridCol w:w="717"/>
        <w:gridCol w:w="1007"/>
        <w:gridCol w:w="1007"/>
        <w:gridCol w:w="725"/>
        <w:gridCol w:w="3170"/>
        <w:gridCol w:w="719"/>
        <w:gridCol w:w="865"/>
        <w:gridCol w:w="1006"/>
        <w:gridCol w:w="1006"/>
        <w:gridCol w:w="722"/>
        <w:gridCol w:w="682"/>
      </w:tblGrid>
      <w:tr w14:paraId="4FAE9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01" w:type="pct"/>
            <w:vMerge w:val="restart"/>
            <w:vAlign w:val="center"/>
          </w:tcPr>
          <w:p w14:paraId="2E3A976C">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工序</w:t>
            </w:r>
          </w:p>
        </w:tc>
        <w:tc>
          <w:tcPr>
            <w:tcW w:w="203" w:type="pct"/>
            <w:vMerge w:val="restart"/>
            <w:vAlign w:val="center"/>
          </w:tcPr>
          <w:p w14:paraId="18CFC641">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装置</w:t>
            </w:r>
          </w:p>
        </w:tc>
        <w:tc>
          <w:tcPr>
            <w:tcW w:w="253" w:type="pct"/>
            <w:vMerge w:val="restart"/>
            <w:vAlign w:val="center"/>
          </w:tcPr>
          <w:p w14:paraId="75F5720B">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污染源</w:t>
            </w:r>
          </w:p>
        </w:tc>
        <w:tc>
          <w:tcPr>
            <w:tcW w:w="252" w:type="pct"/>
            <w:vMerge w:val="restart"/>
            <w:vAlign w:val="center"/>
          </w:tcPr>
          <w:p w14:paraId="6425064E">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w:t>
            </w:r>
          </w:p>
        </w:tc>
        <w:tc>
          <w:tcPr>
            <w:tcW w:w="1215" w:type="pct"/>
            <w:gridSpan w:val="4"/>
            <w:vAlign w:val="center"/>
          </w:tcPr>
          <w:p w14:paraId="7B6FD758">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污染物产生</w:t>
            </w:r>
          </w:p>
        </w:tc>
        <w:tc>
          <w:tcPr>
            <w:tcW w:w="1367" w:type="pct"/>
            <w:gridSpan w:val="2"/>
            <w:vAlign w:val="center"/>
          </w:tcPr>
          <w:p w14:paraId="0CA53239">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治理措施</w:t>
            </w:r>
          </w:p>
        </w:tc>
        <w:tc>
          <w:tcPr>
            <w:tcW w:w="1266" w:type="pct"/>
            <w:gridSpan w:val="4"/>
            <w:vAlign w:val="center"/>
          </w:tcPr>
          <w:p w14:paraId="388473DF">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污染物排放</w:t>
            </w:r>
          </w:p>
        </w:tc>
        <w:tc>
          <w:tcPr>
            <w:tcW w:w="240" w:type="pct"/>
            <w:vMerge w:val="restart"/>
            <w:vAlign w:val="center"/>
          </w:tcPr>
          <w:p w14:paraId="4C5E1092">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排放时间d</w:t>
            </w:r>
          </w:p>
        </w:tc>
      </w:tr>
      <w:tr w14:paraId="4D9DF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01" w:type="pct"/>
            <w:vMerge w:val="continue"/>
            <w:vAlign w:val="center"/>
          </w:tcPr>
          <w:p w14:paraId="7765DC26">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03" w:type="pct"/>
            <w:vMerge w:val="continue"/>
            <w:vAlign w:val="center"/>
          </w:tcPr>
          <w:p w14:paraId="19BB83A3">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53" w:type="pct"/>
            <w:vMerge w:val="continue"/>
            <w:vAlign w:val="center"/>
          </w:tcPr>
          <w:p w14:paraId="49B5B1FF">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52" w:type="pct"/>
            <w:vMerge w:val="continue"/>
            <w:vAlign w:val="center"/>
          </w:tcPr>
          <w:p w14:paraId="5A7A5CCD">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52" w:type="pct"/>
            <w:vAlign w:val="center"/>
          </w:tcPr>
          <w:p w14:paraId="23470428">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核算方法</w:t>
            </w:r>
          </w:p>
        </w:tc>
        <w:tc>
          <w:tcPr>
            <w:tcW w:w="354" w:type="pct"/>
            <w:vAlign w:val="center"/>
          </w:tcPr>
          <w:p w14:paraId="76774AA5">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废水产生量m</w:t>
            </w:r>
            <w:r>
              <w:rPr>
                <w:rFonts w:ascii="Times New Roman" w:hAnsi="Times New Roman" w:cs="Times New Roman" w:eastAsiaTheme="minorEastAsia"/>
                <w:color w:val="auto"/>
                <w:w w:val="99"/>
                <w:sz w:val="21"/>
                <w:szCs w:val="21"/>
                <w:highlight w:val="none"/>
                <w:vertAlign w:val="superscript"/>
              </w:rPr>
              <w:t>3</w:t>
            </w:r>
          </w:p>
        </w:tc>
        <w:tc>
          <w:tcPr>
            <w:tcW w:w="354" w:type="pct"/>
            <w:vAlign w:val="center"/>
          </w:tcPr>
          <w:p w14:paraId="59778D28">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产生浓度mg/L</w:t>
            </w:r>
          </w:p>
        </w:tc>
        <w:tc>
          <w:tcPr>
            <w:tcW w:w="253" w:type="pct"/>
            <w:vAlign w:val="center"/>
          </w:tcPr>
          <w:p w14:paraId="5A6F230D">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产生量t</w:t>
            </w:r>
          </w:p>
        </w:tc>
        <w:tc>
          <w:tcPr>
            <w:tcW w:w="1114" w:type="pct"/>
            <w:vAlign w:val="center"/>
          </w:tcPr>
          <w:p w14:paraId="74A09CA9">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工艺</w:t>
            </w:r>
          </w:p>
        </w:tc>
        <w:tc>
          <w:tcPr>
            <w:tcW w:w="252" w:type="pct"/>
            <w:vAlign w:val="center"/>
          </w:tcPr>
          <w:p w14:paraId="50A6F1A9">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效率/%</w:t>
            </w:r>
          </w:p>
        </w:tc>
        <w:tc>
          <w:tcPr>
            <w:tcW w:w="304" w:type="pct"/>
            <w:vAlign w:val="center"/>
          </w:tcPr>
          <w:p w14:paraId="2F91BA62">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核算方法</w:t>
            </w:r>
          </w:p>
        </w:tc>
        <w:tc>
          <w:tcPr>
            <w:tcW w:w="354" w:type="pct"/>
            <w:vAlign w:val="center"/>
          </w:tcPr>
          <w:p w14:paraId="04A82137">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废水排放量m</w:t>
            </w:r>
            <w:r>
              <w:rPr>
                <w:rFonts w:ascii="Times New Roman" w:hAnsi="Times New Roman" w:cs="Times New Roman" w:eastAsiaTheme="minorEastAsia"/>
                <w:color w:val="auto"/>
                <w:w w:val="99"/>
                <w:sz w:val="21"/>
                <w:szCs w:val="21"/>
                <w:highlight w:val="none"/>
                <w:vertAlign w:val="superscript"/>
              </w:rPr>
              <w:t>3</w:t>
            </w:r>
          </w:p>
        </w:tc>
        <w:tc>
          <w:tcPr>
            <w:tcW w:w="354" w:type="pct"/>
            <w:vAlign w:val="center"/>
          </w:tcPr>
          <w:p w14:paraId="410EE5C4">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排放浓度mg/L</w:t>
            </w:r>
          </w:p>
        </w:tc>
        <w:tc>
          <w:tcPr>
            <w:tcW w:w="252" w:type="pct"/>
            <w:vAlign w:val="center"/>
          </w:tcPr>
          <w:p w14:paraId="73915F2D">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排放量t</w:t>
            </w:r>
          </w:p>
        </w:tc>
        <w:tc>
          <w:tcPr>
            <w:tcW w:w="240" w:type="pct"/>
            <w:vMerge w:val="continue"/>
            <w:vAlign w:val="center"/>
          </w:tcPr>
          <w:p w14:paraId="2AFD2C6C">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r>
      <w:tr w14:paraId="1AE31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8" w:hRule="atLeast"/>
          <w:jc w:val="center"/>
        </w:trPr>
        <w:tc>
          <w:tcPr>
            <w:tcW w:w="201" w:type="pct"/>
            <w:vMerge w:val="restart"/>
            <w:vAlign w:val="center"/>
          </w:tcPr>
          <w:p w14:paraId="3FB75849">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施工</w:t>
            </w:r>
          </w:p>
        </w:tc>
        <w:tc>
          <w:tcPr>
            <w:tcW w:w="203" w:type="pct"/>
            <w:vMerge w:val="restart"/>
            <w:vAlign w:val="center"/>
          </w:tcPr>
          <w:p w14:paraId="77C2BC10">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生活</w:t>
            </w:r>
          </w:p>
        </w:tc>
        <w:tc>
          <w:tcPr>
            <w:tcW w:w="253" w:type="pct"/>
            <w:vMerge w:val="restart"/>
            <w:vAlign w:val="center"/>
          </w:tcPr>
          <w:p w14:paraId="04B59FF6">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生活污水</w:t>
            </w:r>
          </w:p>
        </w:tc>
        <w:tc>
          <w:tcPr>
            <w:tcW w:w="252" w:type="pct"/>
            <w:vAlign w:val="center"/>
          </w:tcPr>
          <w:p w14:paraId="46C65471">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COD</w:t>
            </w:r>
          </w:p>
        </w:tc>
        <w:tc>
          <w:tcPr>
            <w:tcW w:w="252" w:type="pct"/>
            <w:vMerge w:val="restart"/>
            <w:vAlign w:val="center"/>
          </w:tcPr>
          <w:p w14:paraId="41A2561B">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类比法</w:t>
            </w:r>
          </w:p>
        </w:tc>
        <w:tc>
          <w:tcPr>
            <w:tcW w:w="354" w:type="pct"/>
            <w:vMerge w:val="restart"/>
            <w:vAlign w:val="center"/>
          </w:tcPr>
          <w:p w14:paraId="0BCE2899">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6.4</w:t>
            </w:r>
          </w:p>
        </w:tc>
        <w:tc>
          <w:tcPr>
            <w:tcW w:w="354" w:type="pct"/>
            <w:vAlign w:val="center"/>
          </w:tcPr>
          <w:p w14:paraId="7EF82070">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300</w:t>
            </w:r>
          </w:p>
        </w:tc>
        <w:tc>
          <w:tcPr>
            <w:tcW w:w="253" w:type="pct"/>
            <w:vAlign w:val="center"/>
          </w:tcPr>
          <w:p w14:paraId="100164FF">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0.0</w:t>
            </w:r>
            <w:r>
              <w:rPr>
                <w:rFonts w:hint="eastAsia" w:ascii="Times New Roman" w:hAnsi="Times New Roman" w:cs="Times New Roman" w:eastAsiaTheme="minorEastAsia"/>
                <w:snapToGrid w:val="0"/>
                <w:color w:val="auto"/>
                <w:w w:val="99"/>
                <w:sz w:val="21"/>
                <w:szCs w:val="21"/>
                <w:highlight w:val="none"/>
              </w:rPr>
              <w:t>019</w:t>
            </w:r>
          </w:p>
        </w:tc>
        <w:tc>
          <w:tcPr>
            <w:tcW w:w="1114" w:type="pct"/>
            <w:vMerge w:val="restart"/>
            <w:vAlign w:val="center"/>
          </w:tcPr>
          <w:p w14:paraId="208C4B4D">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bCs/>
                <w:snapToGrid w:val="0"/>
                <w:color w:val="auto"/>
                <w:w w:val="99"/>
                <w:sz w:val="21"/>
                <w:szCs w:val="21"/>
                <w:highlight w:val="none"/>
              </w:rPr>
              <w:t>排入</w:t>
            </w:r>
            <w:r>
              <w:rPr>
                <w:rFonts w:hint="eastAsia" w:ascii="Times New Roman" w:hAnsi="Times New Roman" w:cs="Times New Roman" w:eastAsiaTheme="minorEastAsia"/>
                <w:snapToGrid w:val="0"/>
                <w:color w:val="auto"/>
                <w:w w:val="99"/>
                <w:sz w:val="21"/>
                <w:szCs w:val="21"/>
                <w:highlight w:val="none"/>
              </w:rPr>
              <w:t>附近场站已建生活污水收集设施，定期由大庆石油管理局有限公司庆南工矿服务公司红岗分公司拉运至大庆红岗区西巷污水回收站，管输至南区污水处理厂进行处理。</w:t>
            </w:r>
          </w:p>
        </w:tc>
        <w:tc>
          <w:tcPr>
            <w:tcW w:w="252" w:type="pct"/>
            <w:tcBorders>
              <w:bottom w:val="single" w:color="auto" w:sz="4" w:space="0"/>
            </w:tcBorders>
            <w:vAlign w:val="center"/>
          </w:tcPr>
          <w:p w14:paraId="41319972">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w:t>
            </w:r>
          </w:p>
        </w:tc>
        <w:tc>
          <w:tcPr>
            <w:tcW w:w="304" w:type="pct"/>
            <w:vMerge w:val="restart"/>
            <w:vAlign w:val="center"/>
          </w:tcPr>
          <w:p w14:paraId="26D88767">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类比法</w:t>
            </w:r>
          </w:p>
        </w:tc>
        <w:tc>
          <w:tcPr>
            <w:tcW w:w="354" w:type="pct"/>
            <w:vMerge w:val="restart"/>
            <w:vAlign w:val="center"/>
          </w:tcPr>
          <w:p w14:paraId="5BCF3DDA">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6.4</w:t>
            </w:r>
          </w:p>
        </w:tc>
        <w:tc>
          <w:tcPr>
            <w:tcW w:w="354" w:type="pct"/>
            <w:tcBorders>
              <w:bottom w:val="single" w:color="auto" w:sz="4" w:space="0"/>
            </w:tcBorders>
            <w:vAlign w:val="center"/>
          </w:tcPr>
          <w:p w14:paraId="3884C051">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300</w:t>
            </w:r>
          </w:p>
        </w:tc>
        <w:tc>
          <w:tcPr>
            <w:tcW w:w="719" w:type="dxa"/>
            <w:tcBorders>
              <w:bottom w:val="single" w:color="auto" w:sz="4" w:space="0"/>
            </w:tcBorders>
            <w:vAlign w:val="center"/>
          </w:tcPr>
          <w:p w14:paraId="57D2C162">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0.0</w:t>
            </w:r>
            <w:r>
              <w:rPr>
                <w:rFonts w:hint="eastAsia" w:ascii="Times New Roman" w:hAnsi="Times New Roman" w:cs="Times New Roman" w:eastAsiaTheme="minorEastAsia"/>
                <w:snapToGrid w:val="0"/>
                <w:color w:val="auto"/>
                <w:w w:val="99"/>
                <w:sz w:val="21"/>
                <w:szCs w:val="21"/>
                <w:highlight w:val="none"/>
              </w:rPr>
              <w:t>019</w:t>
            </w:r>
          </w:p>
        </w:tc>
        <w:tc>
          <w:tcPr>
            <w:tcW w:w="240" w:type="pct"/>
            <w:vMerge w:val="restart"/>
            <w:vAlign w:val="center"/>
          </w:tcPr>
          <w:p w14:paraId="4B51C443">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5</w:t>
            </w:r>
          </w:p>
        </w:tc>
      </w:tr>
      <w:tr w14:paraId="798B15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01" w:type="pct"/>
            <w:vMerge w:val="continue"/>
            <w:vAlign w:val="center"/>
          </w:tcPr>
          <w:p w14:paraId="15994915">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03" w:type="pct"/>
            <w:vMerge w:val="continue"/>
            <w:vAlign w:val="center"/>
          </w:tcPr>
          <w:p w14:paraId="34957482">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53" w:type="pct"/>
            <w:vMerge w:val="continue"/>
            <w:vAlign w:val="center"/>
          </w:tcPr>
          <w:p w14:paraId="64A37CCF">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52" w:type="pct"/>
            <w:vAlign w:val="center"/>
          </w:tcPr>
          <w:p w14:paraId="6EF80C61">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氨氮</w:t>
            </w:r>
          </w:p>
        </w:tc>
        <w:tc>
          <w:tcPr>
            <w:tcW w:w="252" w:type="pct"/>
            <w:vMerge w:val="continue"/>
            <w:vAlign w:val="center"/>
          </w:tcPr>
          <w:p w14:paraId="3CFFD6C1">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354" w:type="pct"/>
            <w:vMerge w:val="continue"/>
            <w:vAlign w:val="center"/>
          </w:tcPr>
          <w:p w14:paraId="3DDE8B25">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354" w:type="pct"/>
            <w:vAlign w:val="center"/>
          </w:tcPr>
          <w:p w14:paraId="1D8CECE6">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30</w:t>
            </w:r>
          </w:p>
        </w:tc>
        <w:tc>
          <w:tcPr>
            <w:tcW w:w="253" w:type="pct"/>
            <w:vAlign w:val="center"/>
          </w:tcPr>
          <w:p w14:paraId="426900F5">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0.00</w:t>
            </w:r>
            <w:r>
              <w:rPr>
                <w:rFonts w:hint="eastAsia" w:ascii="Times New Roman" w:hAnsi="Times New Roman" w:cs="Times New Roman" w:eastAsiaTheme="minorEastAsia"/>
                <w:color w:val="auto"/>
                <w:w w:val="99"/>
                <w:sz w:val="21"/>
                <w:szCs w:val="21"/>
                <w:highlight w:val="none"/>
              </w:rPr>
              <w:t>02</w:t>
            </w:r>
          </w:p>
        </w:tc>
        <w:tc>
          <w:tcPr>
            <w:tcW w:w="1114" w:type="pct"/>
            <w:vMerge w:val="continue"/>
            <w:vAlign w:val="center"/>
          </w:tcPr>
          <w:p w14:paraId="515682D5">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52" w:type="pct"/>
            <w:tcBorders>
              <w:top w:val="single" w:color="auto" w:sz="4" w:space="0"/>
              <w:bottom w:val="single" w:color="auto" w:sz="4" w:space="0"/>
            </w:tcBorders>
            <w:vAlign w:val="center"/>
          </w:tcPr>
          <w:p w14:paraId="7EE5F852">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304" w:type="pct"/>
            <w:vMerge w:val="continue"/>
            <w:vAlign w:val="center"/>
          </w:tcPr>
          <w:p w14:paraId="577464EA">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354" w:type="pct"/>
            <w:vMerge w:val="continue"/>
            <w:vAlign w:val="center"/>
          </w:tcPr>
          <w:p w14:paraId="27503A0E">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354" w:type="pct"/>
            <w:tcBorders>
              <w:top w:val="single" w:color="auto" w:sz="4" w:space="0"/>
              <w:bottom w:val="single" w:color="auto" w:sz="4" w:space="0"/>
            </w:tcBorders>
            <w:vAlign w:val="center"/>
          </w:tcPr>
          <w:p w14:paraId="4BCFE4C8">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30</w:t>
            </w:r>
          </w:p>
        </w:tc>
        <w:tc>
          <w:tcPr>
            <w:tcW w:w="719" w:type="dxa"/>
            <w:tcBorders>
              <w:top w:val="single" w:color="auto" w:sz="4" w:space="0"/>
              <w:bottom w:val="single" w:color="auto" w:sz="4" w:space="0"/>
            </w:tcBorders>
            <w:vAlign w:val="center"/>
          </w:tcPr>
          <w:p w14:paraId="0188A141">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0.00</w:t>
            </w:r>
            <w:r>
              <w:rPr>
                <w:rFonts w:hint="eastAsia" w:ascii="Times New Roman" w:hAnsi="Times New Roman" w:cs="Times New Roman" w:eastAsiaTheme="minorEastAsia"/>
                <w:color w:val="auto"/>
                <w:w w:val="99"/>
                <w:sz w:val="21"/>
                <w:szCs w:val="21"/>
                <w:highlight w:val="none"/>
              </w:rPr>
              <w:t>02</w:t>
            </w:r>
          </w:p>
        </w:tc>
        <w:tc>
          <w:tcPr>
            <w:tcW w:w="240" w:type="pct"/>
            <w:vMerge w:val="continue"/>
            <w:vAlign w:val="center"/>
          </w:tcPr>
          <w:p w14:paraId="719EF0DC">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r>
      <w:tr w14:paraId="156E8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01" w:type="pct"/>
            <w:vAlign w:val="center"/>
          </w:tcPr>
          <w:p w14:paraId="67BAD180">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施工</w:t>
            </w:r>
          </w:p>
        </w:tc>
        <w:tc>
          <w:tcPr>
            <w:tcW w:w="203" w:type="pct"/>
            <w:vAlign w:val="center"/>
          </w:tcPr>
          <w:p w14:paraId="0503FD96">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设备清洗</w:t>
            </w:r>
          </w:p>
        </w:tc>
        <w:tc>
          <w:tcPr>
            <w:tcW w:w="253" w:type="pct"/>
            <w:vAlign w:val="center"/>
          </w:tcPr>
          <w:p w14:paraId="05240E0E">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设备清洗废水</w:t>
            </w:r>
          </w:p>
        </w:tc>
        <w:tc>
          <w:tcPr>
            <w:tcW w:w="252" w:type="pct"/>
            <w:vAlign w:val="center"/>
          </w:tcPr>
          <w:p w14:paraId="533BE928">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石油类、SS</w:t>
            </w:r>
          </w:p>
        </w:tc>
        <w:tc>
          <w:tcPr>
            <w:tcW w:w="252" w:type="pct"/>
            <w:vAlign w:val="center"/>
          </w:tcPr>
          <w:p w14:paraId="3C6C749B">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类比法</w:t>
            </w:r>
          </w:p>
        </w:tc>
        <w:tc>
          <w:tcPr>
            <w:tcW w:w="354" w:type="pct"/>
            <w:vAlign w:val="center"/>
          </w:tcPr>
          <w:p w14:paraId="27C22651">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0.52</w:t>
            </w:r>
          </w:p>
        </w:tc>
        <w:tc>
          <w:tcPr>
            <w:tcW w:w="354" w:type="pct"/>
            <w:vAlign w:val="center"/>
          </w:tcPr>
          <w:p w14:paraId="5E44BA41">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w:t>
            </w:r>
          </w:p>
        </w:tc>
        <w:tc>
          <w:tcPr>
            <w:tcW w:w="253" w:type="pct"/>
            <w:vAlign w:val="center"/>
          </w:tcPr>
          <w:p w14:paraId="0DAA3EBC">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w:t>
            </w:r>
          </w:p>
        </w:tc>
        <w:tc>
          <w:tcPr>
            <w:tcW w:w="1114" w:type="pct"/>
            <w:vAlign w:val="center"/>
          </w:tcPr>
          <w:p w14:paraId="57357415">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由罐车拉运至</w:t>
            </w:r>
            <w:r>
              <w:rPr>
                <w:rFonts w:hint="eastAsia" w:ascii="Times New Roman" w:hAnsi="Times New Roman" w:cs="Times New Roman" w:eastAsiaTheme="minorEastAsia"/>
                <w:color w:val="auto"/>
                <w:w w:val="99"/>
                <w:sz w:val="21"/>
                <w:szCs w:val="21"/>
                <w:highlight w:val="none"/>
              </w:rPr>
              <w:t>升一联气田</w:t>
            </w:r>
            <w:r>
              <w:rPr>
                <w:rFonts w:ascii="Times New Roman" w:hAnsi="Times New Roman" w:cs="Times New Roman" w:eastAsiaTheme="minorEastAsia"/>
                <w:color w:val="auto"/>
                <w:w w:val="99"/>
                <w:sz w:val="21"/>
                <w:szCs w:val="21"/>
                <w:highlight w:val="none"/>
              </w:rPr>
              <w:t>污水</w:t>
            </w:r>
            <w:r>
              <w:rPr>
                <w:rFonts w:hint="eastAsia" w:ascii="Times New Roman" w:hAnsi="Times New Roman" w:cs="Times New Roman" w:eastAsiaTheme="minorEastAsia"/>
                <w:color w:val="auto"/>
                <w:w w:val="99"/>
                <w:sz w:val="21"/>
                <w:szCs w:val="21"/>
                <w:highlight w:val="none"/>
              </w:rPr>
              <w:t>预</w:t>
            </w:r>
            <w:r>
              <w:rPr>
                <w:rFonts w:ascii="Times New Roman" w:hAnsi="Times New Roman" w:cs="Times New Roman" w:eastAsiaTheme="minorEastAsia"/>
                <w:color w:val="auto"/>
                <w:w w:val="99"/>
                <w:sz w:val="21"/>
                <w:szCs w:val="21"/>
                <w:highlight w:val="none"/>
              </w:rPr>
              <w:t>处理站处理</w:t>
            </w:r>
          </w:p>
        </w:tc>
        <w:tc>
          <w:tcPr>
            <w:tcW w:w="252" w:type="pct"/>
            <w:tcBorders>
              <w:top w:val="single" w:color="auto" w:sz="4" w:space="0"/>
              <w:bottom w:val="single" w:color="auto" w:sz="4" w:space="0"/>
            </w:tcBorders>
            <w:vAlign w:val="center"/>
          </w:tcPr>
          <w:p w14:paraId="38B335E7">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304" w:type="pct"/>
            <w:vAlign w:val="center"/>
          </w:tcPr>
          <w:p w14:paraId="4E27A473">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354" w:type="pct"/>
            <w:vAlign w:val="center"/>
          </w:tcPr>
          <w:p w14:paraId="61DCBF32">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0.52</w:t>
            </w:r>
          </w:p>
        </w:tc>
        <w:tc>
          <w:tcPr>
            <w:tcW w:w="354" w:type="pct"/>
            <w:tcBorders>
              <w:top w:val="single" w:color="auto" w:sz="4" w:space="0"/>
              <w:bottom w:val="single" w:color="auto" w:sz="4" w:space="0"/>
            </w:tcBorders>
            <w:vAlign w:val="center"/>
          </w:tcPr>
          <w:p w14:paraId="6C9FBED2">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252" w:type="pct"/>
            <w:tcBorders>
              <w:top w:val="single" w:color="auto" w:sz="4" w:space="0"/>
              <w:bottom w:val="single" w:color="auto" w:sz="4" w:space="0"/>
            </w:tcBorders>
            <w:vAlign w:val="center"/>
          </w:tcPr>
          <w:p w14:paraId="47688070">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240" w:type="pct"/>
            <w:vAlign w:val="center"/>
          </w:tcPr>
          <w:p w14:paraId="0F143629">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5</w:t>
            </w:r>
          </w:p>
        </w:tc>
      </w:tr>
    </w:tbl>
    <w:p w14:paraId="4BEAB339">
      <w:pPr>
        <w:pStyle w:val="153"/>
        <w:widowControl w:val="0"/>
        <w:spacing w:line="440" w:lineRule="exact"/>
        <w:ind w:firstLine="474"/>
        <w:jc w:val="both"/>
        <w:rPr>
          <w:rFonts w:ascii="Times New Roman" w:hAnsi="Times New Roman" w:eastAsiaTheme="minorEastAsia"/>
          <w:b/>
          <w:color w:val="auto"/>
          <w:w w:val="99"/>
          <w:kern w:val="2"/>
          <w:szCs w:val="20"/>
          <w:highlight w:val="none"/>
        </w:rPr>
      </w:pPr>
      <w:r>
        <w:rPr>
          <w:rFonts w:ascii="Times New Roman" w:hAnsi="Times New Roman" w:eastAsiaTheme="minorEastAsia"/>
          <w:b/>
          <w:color w:val="auto"/>
          <w:w w:val="99"/>
          <w:kern w:val="2"/>
          <w:szCs w:val="20"/>
          <w:highlight w:val="none"/>
        </w:rPr>
        <w:t>表</w:t>
      </w:r>
      <w:r>
        <w:rPr>
          <w:rFonts w:hint="eastAsia" w:ascii="Times New Roman" w:hAnsi="Times New Roman" w:eastAsiaTheme="minorEastAsia"/>
          <w:b/>
          <w:color w:val="auto"/>
          <w:w w:val="99"/>
          <w:highlight w:val="none"/>
        </w:rPr>
        <w:t>3.10</w:t>
      </w:r>
      <w:r>
        <w:rPr>
          <w:rFonts w:ascii="Times New Roman" w:hAnsi="Times New Roman" w:eastAsiaTheme="minorEastAsia"/>
          <w:b/>
          <w:color w:val="auto"/>
          <w:w w:val="99"/>
          <w:highlight w:val="none"/>
        </w:rPr>
        <w:t>-2</w:t>
      </w:r>
      <w:r>
        <w:rPr>
          <w:rFonts w:hint="eastAsia" w:ascii="Times New Roman" w:hAnsi="Times New Roman" w:eastAsiaTheme="minorEastAsia"/>
          <w:b/>
          <w:color w:val="auto"/>
          <w:w w:val="99"/>
          <w:highlight w:val="none"/>
        </w:rPr>
        <w:t>1</w:t>
      </w:r>
      <w:r>
        <w:rPr>
          <w:rFonts w:ascii="Times New Roman" w:hAnsi="Times New Roman" w:eastAsiaTheme="minorEastAsia"/>
          <w:b/>
          <w:color w:val="auto"/>
          <w:w w:val="99"/>
          <w:kern w:val="2"/>
          <w:szCs w:val="20"/>
          <w:highlight w:val="none"/>
        </w:rPr>
        <w:t xml:space="preserve">   </w:t>
      </w:r>
      <w:r>
        <w:rPr>
          <w:rFonts w:ascii="Times New Roman" w:hAnsi="Times New Roman" w:eastAsiaTheme="minorEastAsia"/>
          <w:b/>
          <w:bCs/>
          <w:color w:val="auto"/>
          <w:w w:val="99"/>
          <w:kern w:val="2"/>
          <w:szCs w:val="20"/>
          <w:highlight w:val="none"/>
        </w:rPr>
        <w:t>退役</w:t>
      </w:r>
      <w:r>
        <w:rPr>
          <w:rFonts w:ascii="Times New Roman" w:hAnsi="Times New Roman" w:eastAsiaTheme="minorEastAsia"/>
          <w:b/>
          <w:color w:val="auto"/>
          <w:w w:val="99"/>
          <w:kern w:val="2"/>
          <w:szCs w:val="20"/>
          <w:highlight w:val="none"/>
        </w:rPr>
        <w:t>期</w:t>
      </w:r>
      <w:r>
        <w:rPr>
          <w:rFonts w:ascii="Times New Roman" w:hAnsi="Times New Roman" w:eastAsiaTheme="minorEastAsia"/>
          <w:b/>
          <w:bCs/>
          <w:color w:val="auto"/>
          <w:w w:val="99"/>
          <w:highlight w:val="none"/>
        </w:rPr>
        <w:t>噪声污染</w:t>
      </w:r>
      <w:r>
        <w:rPr>
          <w:rFonts w:ascii="Times New Roman" w:hAnsi="Times New Roman" w:eastAsiaTheme="minorEastAsia"/>
          <w:b/>
          <w:color w:val="auto"/>
          <w:w w:val="99"/>
          <w:kern w:val="2"/>
          <w:szCs w:val="20"/>
          <w:highlight w:val="none"/>
        </w:rPr>
        <w:t>源源强核算结果及相关参数一览表</w:t>
      </w:r>
    </w:p>
    <w:tbl>
      <w:tblPr>
        <w:tblStyle w:val="81"/>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11"/>
        <w:gridCol w:w="1043"/>
        <w:gridCol w:w="1152"/>
        <w:gridCol w:w="1729"/>
        <w:gridCol w:w="1439"/>
        <w:gridCol w:w="1729"/>
        <w:gridCol w:w="1129"/>
        <w:gridCol w:w="1112"/>
        <w:gridCol w:w="1075"/>
        <w:gridCol w:w="1729"/>
        <w:gridCol w:w="970"/>
      </w:tblGrid>
      <w:tr w14:paraId="4DCBB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91" w:type="pct"/>
            <w:vMerge w:val="restart"/>
            <w:vAlign w:val="center"/>
          </w:tcPr>
          <w:p w14:paraId="05EA755E">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工序</w:t>
            </w:r>
          </w:p>
        </w:tc>
        <w:tc>
          <w:tcPr>
            <w:tcW w:w="367" w:type="pct"/>
            <w:vMerge w:val="restart"/>
            <w:vAlign w:val="center"/>
          </w:tcPr>
          <w:p w14:paraId="0EA53A98">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装置</w:t>
            </w:r>
          </w:p>
        </w:tc>
        <w:tc>
          <w:tcPr>
            <w:tcW w:w="405" w:type="pct"/>
            <w:vMerge w:val="restart"/>
            <w:vAlign w:val="center"/>
          </w:tcPr>
          <w:p w14:paraId="73C58978">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噪声源</w:t>
            </w:r>
          </w:p>
        </w:tc>
        <w:tc>
          <w:tcPr>
            <w:tcW w:w="608" w:type="pct"/>
            <w:vMerge w:val="restart"/>
            <w:vAlign w:val="center"/>
          </w:tcPr>
          <w:p w14:paraId="7C37BFE5">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声源类型（频发、偶发等）</w:t>
            </w:r>
          </w:p>
        </w:tc>
        <w:tc>
          <w:tcPr>
            <w:tcW w:w="1114" w:type="pct"/>
            <w:gridSpan w:val="2"/>
            <w:vAlign w:val="center"/>
          </w:tcPr>
          <w:p w14:paraId="01C9A56A">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噪声源强</w:t>
            </w:r>
          </w:p>
        </w:tc>
        <w:tc>
          <w:tcPr>
            <w:tcW w:w="788" w:type="pct"/>
            <w:gridSpan w:val="2"/>
            <w:vAlign w:val="center"/>
          </w:tcPr>
          <w:p w14:paraId="2FDB724E">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降噪措施</w:t>
            </w:r>
          </w:p>
        </w:tc>
        <w:tc>
          <w:tcPr>
            <w:tcW w:w="986" w:type="pct"/>
            <w:gridSpan w:val="2"/>
            <w:vAlign w:val="center"/>
          </w:tcPr>
          <w:p w14:paraId="10BCE6EB">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噪声值排放</w:t>
            </w:r>
          </w:p>
        </w:tc>
        <w:tc>
          <w:tcPr>
            <w:tcW w:w="341" w:type="pct"/>
            <w:vMerge w:val="restart"/>
            <w:vAlign w:val="center"/>
          </w:tcPr>
          <w:p w14:paraId="39F381EA">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持续时间d</w:t>
            </w:r>
          </w:p>
        </w:tc>
      </w:tr>
      <w:tr w14:paraId="77D9D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91" w:type="pct"/>
            <w:vMerge w:val="continue"/>
            <w:vAlign w:val="center"/>
          </w:tcPr>
          <w:p w14:paraId="1C65B107">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367" w:type="pct"/>
            <w:vMerge w:val="continue"/>
            <w:vAlign w:val="center"/>
          </w:tcPr>
          <w:p w14:paraId="04450861">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05" w:type="pct"/>
            <w:vMerge w:val="continue"/>
            <w:vAlign w:val="center"/>
          </w:tcPr>
          <w:p w14:paraId="675F1281">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608" w:type="pct"/>
            <w:vMerge w:val="continue"/>
            <w:vAlign w:val="center"/>
          </w:tcPr>
          <w:p w14:paraId="4555D194">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506" w:type="pct"/>
            <w:vAlign w:val="center"/>
          </w:tcPr>
          <w:p w14:paraId="0855F821">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核算方法</w:t>
            </w:r>
          </w:p>
        </w:tc>
        <w:tc>
          <w:tcPr>
            <w:tcW w:w="608" w:type="pct"/>
            <w:vAlign w:val="center"/>
          </w:tcPr>
          <w:p w14:paraId="651CC9E6">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噪声值/dB（A）</w:t>
            </w:r>
          </w:p>
        </w:tc>
        <w:tc>
          <w:tcPr>
            <w:tcW w:w="397" w:type="pct"/>
            <w:vAlign w:val="center"/>
          </w:tcPr>
          <w:p w14:paraId="1C7A7A70">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工艺</w:t>
            </w:r>
          </w:p>
        </w:tc>
        <w:tc>
          <w:tcPr>
            <w:tcW w:w="391" w:type="pct"/>
            <w:vAlign w:val="center"/>
          </w:tcPr>
          <w:p w14:paraId="21B7D429">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降噪效果</w:t>
            </w:r>
          </w:p>
        </w:tc>
        <w:tc>
          <w:tcPr>
            <w:tcW w:w="378" w:type="pct"/>
            <w:vAlign w:val="center"/>
          </w:tcPr>
          <w:p w14:paraId="2452E896">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核算方法</w:t>
            </w:r>
          </w:p>
        </w:tc>
        <w:tc>
          <w:tcPr>
            <w:tcW w:w="608" w:type="pct"/>
            <w:vAlign w:val="center"/>
          </w:tcPr>
          <w:p w14:paraId="1BB1851B">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噪声值/dB（A）</w:t>
            </w:r>
          </w:p>
        </w:tc>
        <w:tc>
          <w:tcPr>
            <w:tcW w:w="341" w:type="pct"/>
            <w:vMerge w:val="continue"/>
            <w:vAlign w:val="center"/>
          </w:tcPr>
          <w:p w14:paraId="044C22A5">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r>
      <w:tr w14:paraId="79145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91" w:type="pct"/>
            <w:vMerge w:val="restart"/>
            <w:vAlign w:val="center"/>
          </w:tcPr>
          <w:p w14:paraId="7A6D9266">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退役井场、管线施工</w:t>
            </w:r>
          </w:p>
        </w:tc>
        <w:tc>
          <w:tcPr>
            <w:tcW w:w="367" w:type="pct"/>
            <w:vMerge w:val="restart"/>
            <w:vAlign w:val="center"/>
          </w:tcPr>
          <w:p w14:paraId="589656DA">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施工机械</w:t>
            </w:r>
          </w:p>
        </w:tc>
        <w:tc>
          <w:tcPr>
            <w:tcW w:w="405" w:type="pct"/>
            <w:vAlign w:val="center"/>
          </w:tcPr>
          <w:p w14:paraId="1A8ED685">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挖掘机</w:t>
            </w:r>
          </w:p>
        </w:tc>
        <w:tc>
          <w:tcPr>
            <w:tcW w:w="608" w:type="pct"/>
            <w:vAlign w:val="center"/>
          </w:tcPr>
          <w:p w14:paraId="74C86050">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非连续稳态声源</w:t>
            </w:r>
          </w:p>
        </w:tc>
        <w:tc>
          <w:tcPr>
            <w:tcW w:w="506" w:type="pct"/>
            <w:vMerge w:val="restart"/>
            <w:vAlign w:val="center"/>
          </w:tcPr>
          <w:p w14:paraId="4623DF83">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类比法</w:t>
            </w:r>
          </w:p>
        </w:tc>
        <w:tc>
          <w:tcPr>
            <w:tcW w:w="608" w:type="pct"/>
            <w:vAlign w:val="center"/>
          </w:tcPr>
          <w:p w14:paraId="69428791">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82～90</w:t>
            </w:r>
          </w:p>
        </w:tc>
        <w:tc>
          <w:tcPr>
            <w:tcW w:w="397" w:type="pct"/>
            <w:vMerge w:val="restart"/>
            <w:vAlign w:val="center"/>
          </w:tcPr>
          <w:p w14:paraId="3857C3DB">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 xml:space="preserve">定期维护和保养 </w:t>
            </w:r>
          </w:p>
        </w:tc>
        <w:tc>
          <w:tcPr>
            <w:tcW w:w="391" w:type="pct"/>
            <w:vAlign w:val="center"/>
          </w:tcPr>
          <w:p w14:paraId="1A017DE8">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w:t>
            </w:r>
          </w:p>
        </w:tc>
        <w:tc>
          <w:tcPr>
            <w:tcW w:w="378" w:type="pct"/>
            <w:vAlign w:val="center"/>
          </w:tcPr>
          <w:p w14:paraId="4647DC7C">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类比法</w:t>
            </w:r>
          </w:p>
        </w:tc>
        <w:tc>
          <w:tcPr>
            <w:tcW w:w="608" w:type="pct"/>
            <w:vAlign w:val="center"/>
          </w:tcPr>
          <w:p w14:paraId="4DE26B85">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82～90</w:t>
            </w:r>
          </w:p>
        </w:tc>
        <w:tc>
          <w:tcPr>
            <w:tcW w:w="341" w:type="pct"/>
            <w:vMerge w:val="restart"/>
            <w:vAlign w:val="center"/>
          </w:tcPr>
          <w:p w14:paraId="0243AB6E">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60</w:t>
            </w:r>
          </w:p>
        </w:tc>
      </w:tr>
      <w:tr w14:paraId="116D3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91" w:type="pct"/>
            <w:vMerge w:val="continue"/>
            <w:vAlign w:val="center"/>
          </w:tcPr>
          <w:p w14:paraId="1BE0E70E">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367" w:type="pct"/>
            <w:vMerge w:val="continue"/>
            <w:vAlign w:val="center"/>
          </w:tcPr>
          <w:p w14:paraId="1E0CB205">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05" w:type="pct"/>
            <w:vAlign w:val="center"/>
          </w:tcPr>
          <w:p w14:paraId="68162A8D">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吊装机</w:t>
            </w:r>
          </w:p>
        </w:tc>
        <w:tc>
          <w:tcPr>
            <w:tcW w:w="608" w:type="pct"/>
            <w:vAlign w:val="center"/>
          </w:tcPr>
          <w:p w14:paraId="356B6107">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连续稳态声源</w:t>
            </w:r>
          </w:p>
        </w:tc>
        <w:tc>
          <w:tcPr>
            <w:tcW w:w="506" w:type="pct"/>
            <w:vMerge w:val="continue"/>
            <w:vAlign w:val="center"/>
          </w:tcPr>
          <w:p w14:paraId="73762268">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608" w:type="pct"/>
            <w:vAlign w:val="center"/>
          </w:tcPr>
          <w:p w14:paraId="1612D9F5">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73～81</w:t>
            </w:r>
          </w:p>
        </w:tc>
        <w:tc>
          <w:tcPr>
            <w:tcW w:w="397" w:type="pct"/>
            <w:vMerge w:val="continue"/>
            <w:vAlign w:val="center"/>
          </w:tcPr>
          <w:p w14:paraId="6C404E50">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391" w:type="pct"/>
            <w:vAlign w:val="center"/>
          </w:tcPr>
          <w:p w14:paraId="7A0949BF">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w:t>
            </w:r>
          </w:p>
        </w:tc>
        <w:tc>
          <w:tcPr>
            <w:tcW w:w="378" w:type="pct"/>
            <w:vAlign w:val="center"/>
          </w:tcPr>
          <w:p w14:paraId="515F19CC">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类比法</w:t>
            </w:r>
          </w:p>
        </w:tc>
        <w:tc>
          <w:tcPr>
            <w:tcW w:w="608" w:type="pct"/>
            <w:vAlign w:val="center"/>
          </w:tcPr>
          <w:p w14:paraId="486D993A">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73～81</w:t>
            </w:r>
          </w:p>
        </w:tc>
        <w:tc>
          <w:tcPr>
            <w:tcW w:w="341" w:type="pct"/>
            <w:vMerge w:val="continue"/>
            <w:vAlign w:val="center"/>
          </w:tcPr>
          <w:p w14:paraId="2F9C120D">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r>
      <w:tr w14:paraId="2C5C3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91" w:type="pct"/>
            <w:vMerge w:val="continue"/>
            <w:vAlign w:val="center"/>
          </w:tcPr>
          <w:p w14:paraId="25ED1A0B">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367" w:type="pct"/>
            <w:vMerge w:val="continue"/>
            <w:vAlign w:val="center"/>
          </w:tcPr>
          <w:p w14:paraId="140CEDA4">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05" w:type="pct"/>
            <w:vAlign w:val="center"/>
          </w:tcPr>
          <w:p w14:paraId="4F0577A8">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推土机</w:t>
            </w:r>
          </w:p>
        </w:tc>
        <w:tc>
          <w:tcPr>
            <w:tcW w:w="608" w:type="pct"/>
            <w:vAlign w:val="center"/>
          </w:tcPr>
          <w:p w14:paraId="1FCC4206">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非连续稳态声源</w:t>
            </w:r>
          </w:p>
        </w:tc>
        <w:tc>
          <w:tcPr>
            <w:tcW w:w="506" w:type="pct"/>
            <w:vMerge w:val="continue"/>
            <w:vAlign w:val="center"/>
          </w:tcPr>
          <w:p w14:paraId="7A0D996C">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608" w:type="pct"/>
            <w:vAlign w:val="center"/>
          </w:tcPr>
          <w:p w14:paraId="76C3BBBE">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83～88</w:t>
            </w:r>
          </w:p>
        </w:tc>
        <w:tc>
          <w:tcPr>
            <w:tcW w:w="397" w:type="pct"/>
            <w:vMerge w:val="continue"/>
            <w:vAlign w:val="center"/>
          </w:tcPr>
          <w:p w14:paraId="4E065D6F">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391" w:type="pct"/>
            <w:vAlign w:val="center"/>
          </w:tcPr>
          <w:p w14:paraId="653B5D70">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w:t>
            </w:r>
          </w:p>
        </w:tc>
        <w:tc>
          <w:tcPr>
            <w:tcW w:w="378" w:type="pct"/>
            <w:vAlign w:val="center"/>
          </w:tcPr>
          <w:p w14:paraId="317C8407">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类比法</w:t>
            </w:r>
          </w:p>
        </w:tc>
        <w:tc>
          <w:tcPr>
            <w:tcW w:w="608" w:type="pct"/>
            <w:vAlign w:val="center"/>
          </w:tcPr>
          <w:p w14:paraId="10E1E16E">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83～88</w:t>
            </w:r>
          </w:p>
        </w:tc>
        <w:tc>
          <w:tcPr>
            <w:tcW w:w="341" w:type="pct"/>
            <w:vMerge w:val="continue"/>
            <w:vAlign w:val="center"/>
          </w:tcPr>
          <w:p w14:paraId="4491E71E">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r>
      <w:tr w14:paraId="28450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91" w:type="pct"/>
            <w:vMerge w:val="continue"/>
            <w:vAlign w:val="center"/>
          </w:tcPr>
          <w:p w14:paraId="69FE8292">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367" w:type="pct"/>
            <w:vMerge w:val="continue"/>
            <w:vAlign w:val="center"/>
          </w:tcPr>
          <w:p w14:paraId="63E41B64">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405" w:type="pct"/>
            <w:vAlign w:val="center"/>
          </w:tcPr>
          <w:p w14:paraId="40FBAAF0">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运输车辆</w:t>
            </w:r>
          </w:p>
        </w:tc>
        <w:tc>
          <w:tcPr>
            <w:tcW w:w="608" w:type="pct"/>
            <w:vAlign w:val="center"/>
          </w:tcPr>
          <w:p w14:paraId="11D98A57">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非连续稳态声源</w:t>
            </w:r>
          </w:p>
        </w:tc>
        <w:tc>
          <w:tcPr>
            <w:tcW w:w="506" w:type="pct"/>
            <w:vMerge w:val="continue"/>
            <w:vAlign w:val="center"/>
          </w:tcPr>
          <w:p w14:paraId="619CD437">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608" w:type="pct"/>
            <w:vAlign w:val="center"/>
          </w:tcPr>
          <w:p w14:paraId="58862D0D">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82～90</w:t>
            </w:r>
          </w:p>
        </w:tc>
        <w:tc>
          <w:tcPr>
            <w:tcW w:w="397" w:type="pct"/>
            <w:vMerge w:val="continue"/>
            <w:vAlign w:val="center"/>
          </w:tcPr>
          <w:p w14:paraId="2E7B3B38">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391" w:type="pct"/>
            <w:vAlign w:val="center"/>
          </w:tcPr>
          <w:p w14:paraId="489B919C">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w:t>
            </w:r>
          </w:p>
        </w:tc>
        <w:tc>
          <w:tcPr>
            <w:tcW w:w="378" w:type="pct"/>
            <w:vAlign w:val="center"/>
          </w:tcPr>
          <w:p w14:paraId="132DE557">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类比法</w:t>
            </w:r>
          </w:p>
        </w:tc>
        <w:tc>
          <w:tcPr>
            <w:tcW w:w="608" w:type="pct"/>
            <w:vAlign w:val="center"/>
          </w:tcPr>
          <w:p w14:paraId="62C40203">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82～90</w:t>
            </w:r>
          </w:p>
        </w:tc>
        <w:tc>
          <w:tcPr>
            <w:tcW w:w="341" w:type="pct"/>
            <w:vMerge w:val="continue"/>
            <w:vAlign w:val="center"/>
          </w:tcPr>
          <w:p w14:paraId="148E0AE7">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r>
    </w:tbl>
    <w:p w14:paraId="7A9B9FF1">
      <w:pPr>
        <w:pStyle w:val="153"/>
        <w:widowControl w:val="0"/>
        <w:spacing w:line="440" w:lineRule="exact"/>
        <w:ind w:firstLine="474"/>
        <w:jc w:val="both"/>
        <w:rPr>
          <w:rFonts w:ascii="Times New Roman" w:hAnsi="Times New Roman" w:eastAsiaTheme="minorEastAsia"/>
          <w:b/>
          <w:color w:val="auto"/>
          <w:w w:val="99"/>
          <w:kern w:val="2"/>
          <w:highlight w:val="none"/>
        </w:rPr>
      </w:pPr>
      <w:r>
        <w:rPr>
          <w:rFonts w:ascii="Times New Roman" w:hAnsi="Times New Roman" w:eastAsiaTheme="minorEastAsia"/>
          <w:b/>
          <w:color w:val="auto"/>
          <w:w w:val="99"/>
          <w:kern w:val="2"/>
          <w:highlight w:val="none"/>
        </w:rPr>
        <w:t>表</w:t>
      </w:r>
      <w:r>
        <w:rPr>
          <w:rFonts w:hint="eastAsia" w:ascii="Times New Roman" w:hAnsi="Times New Roman" w:eastAsiaTheme="minorEastAsia"/>
          <w:b/>
          <w:color w:val="auto"/>
          <w:w w:val="99"/>
          <w:highlight w:val="none"/>
        </w:rPr>
        <w:t>3.10</w:t>
      </w:r>
      <w:r>
        <w:rPr>
          <w:rFonts w:ascii="Times New Roman" w:hAnsi="Times New Roman" w:eastAsiaTheme="minorEastAsia"/>
          <w:b/>
          <w:color w:val="auto"/>
          <w:w w:val="99"/>
          <w:highlight w:val="none"/>
        </w:rPr>
        <w:t>-2</w:t>
      </w:r>
      <w:r>
        <w:rPr>
          <w:rFonts w:hint="eastAsia" w:ascii="Times New Roman" w:hAnsi="Times New Roman" w:eastAsiaTheme="minorEastAsia"/>
          <w:b/>
          <w:color w:val="auto"/>
          <w:w w:val="99"/>
          <w:highlight w:val="none"/>
        </w:rPr>
        <w:t>2</w:t>
      </w:r>
      <w:r>
        <w:rPr>
          <w:rFonts w:ascii="Times New Roman" w:hAnsi="Times New Roman" w:eastAsiaTheme="minorEastAsia"/>
          <w:b/>
          <w:color w:val="auto"/>
          <w:w w:val="99"/>
          <w:kern w:val="2"/>
          <w:highlight w:val="none"/>
        </w:rPr>
        <w:t xml:space="preserve">    </w:t>
      </w:r>
      <w:r>
        <w:rPr>
          <w:rFonts w:ascii="Times New Roman" w:hAnsi="Times New Roman" w:eastAsiaTheme="minorEastAsia"/>
          <w:b/>
          <w:bCs/>
          <w:color w:val="auto"/>
          <w:w w:val="99"/>
          <w:highlight w:val="none"/>
        </w:rPr>
        <w:t>退役</w:t>
      </w:r>
      <w:r>
        <w:rPr>
          <w:rFonts w:ascii="Times New Roman" w:hAnsi="Times New Roman" w:eastAsiaTheme="minorEastAsia"/>
          <w:b/>
          <w:color w:val="auto"/>
          <w:w w:val="99"/>
          <w:kern w:val="2"/>
          <w:highlight w:val="none"/>
        </w:rPr>
        <w:t>期固体废物污染源强核算结果表</w:t>
      </w:r>
    </w:p>
    <w:tbl>
      <w:tblPr>
        <w:tblStyle w:val="81"/>
        <w:tblW w:w="1400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7"/>
        <w:gridCol w:w="1528"/>
        <w:gridCol w:w="1134"/>
        <w:gridCol w:w="1276"/>
        <w:gridCol w:w="1276"/>
        <w:gridCol w:w="1280"/>
        <w:gridCol w:w="6631"/>
      </w:tblGrid>
      <w:tr w14:paraId="7DD05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restart"/>
            <w:vAlign w:val="center"/>
          </w:tcPr>
          <w:p w14:paraId="3F53E8FF">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工序</w:t>
            </w:r>
          </w:p>
        </w:tc>
        <w:tc>
          <w:tcPr>
            <w:tcW w:w="1528" w:type="dxa"/>
            <w:vMerge w:val="restart"/>
            <w:vAlign w:val="center"/>
          </w:tcPr>
          <w:p w14:paraId="111E4FA3">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固体废物名称</w:t>
            </w:r>
          </w:p>
        </w:tc>
        <w:tc>
          <w:tcPr>
            <w:tcW w:w="2410" w:type="dxa"/>
            <w:gridSpan w:val="2"/>
            <w:vAlign w:val="center"/>
          </w:tcPr>
          <w:p w14:paraId="52E1E140">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产生情况</w:t>
            </w:r>
          </w:p>
        </w:tc>
        <w:tc>
          <w:tcPr>
            <w:tcW w:w="2556" w:type="dxa"/>
            <w:gridSpan w:val="2"/>
            <w:vAlign w:val="center"/>
          </w:tcPr>
          <w:p w14:paraId="3E8B4791">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处置措施</w:t>
            </w:r>
          </w:p>
        </w:tc>
        <w:tc>
          <w:tcPr>
            <w:tcW w:w="6631" w:type="dxa"/>
            <w:vMerge w:val="restart"/>
            <w:vAlign w:val="center"/>
          </w:tcPr>
          <w:p w14:paraId="00454E10">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最终排放去向</w:t>
            </w:r>
          </w:p>
        </w:tc>
      </w:tr>
      <w:tr w14:paraId="5C250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continue"/>
            <w:tcBorders>
              <w:bottom w:val="single" w:color="auto" w:sz="4" w:space="0"/>
            </w:tcBorders>
            <w:vAlign w:val="center"/>
          </w:tcPr>
          <w:p w14:paraId="3D369EFE">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1528" w:type="dxa"/>
            <w:vMerge w:val="continue"/>
            <w:vAlign w:val="center"/>
          </w:tcPr>
          <w:p w14:paraId="737E4851">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1134" w:type="dxa"/>
            <w:vAlign w:val="center"/>
          </w:tcPr>
          <w:p w14:paraId="4EA947A8">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核算方法</w:t>
            </w:r>
          </w:p>
        </w:tc>
        <w:tc>
          <w:tcPr>
            <w:tcW w:w="1276" w:type="dxa"/>
            <w:vAlign w:val="center"/>
          </w:tcPr>
          <w:p w14:paraId="4F2ED82A">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产生量</w:t>
            </w:r>
          </w:p>
        </w:tc>
        <w:tc>
          <w:tcPr>
            <w:tcW w:w="1276" w:type="dxa"/>
            <w:vAlign w:val="center"/>
          </w:tcPr>
          <w:p w14:paraId="53279ED2">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工艺</w:t>
            </w:r>
          </w:p>
        </w:tc>
        <w:tc>
          <w:tcPr>
            <w:tcW w:w="1280" w:type="dxa"/>
            <w:vAlign w:val="center"/>
          </w:tcPr>
          <w:p w14:paraId="3204B6C8">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处置量</w:t>
            </w:r>
          </w:p>
        </w:tc>
        <w:tc>
          <w:tcPr>
            <w:tcW w:w="6631" w:type="dxa"/>
            <w:vMerge w:val="continue"/>
            <w:vAlign w:val="center"/>
          </w:tcPr>
          <w:p w14:paraId="79E4DDFC">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r>
      <w:tr w14:paraId="6E9E2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restart"/>
            <w:tcBorders>
              <w:top w:val="single" w:color="auto" w:sz="4" w:space="0"/>
            </w:tcBorders>
            <w:vAlign w:val="center"/>
          </w:tcPr>
          <w:p w14:paraId="13F3F8AC">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施工</w:t>
            </w:r>
          </w:p>
        </w:tc>
        <w:tc>
          <w:tcPr>
            <w:tcW w:w="1528" w:type="dxa"/>
            <w:vAlign w:val="center"/>
          </w:tcPr>
          <w:p w14:paraId="1197A3DF">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生活垃圾</w:t>
            </w:r>
          </w:p>
        </w:tc>
        <w:tc>
          <w:tcPr>
            <w:tcW w:w="1134" w:type="dxa"/>
            <w:vAlign w:val="center"/>
          </w:tcPr>
          <w:p w14:paraId="01765D22">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类比法</w:t>
            </w:r>
          </w:p>
        </w:tc>
        <w:tc>
          <w:tcPr>
            <w:tcW w:w="1276" w:type="dxa"/>
            <w:vAlign w:val="center"/>
          </w:tcPr>
          <w:p w14:paraId="34DFA0E4">
            <w:pPr>
              <w:widowControl w:val="0"/>
              <w:spacing w:line="360" w:lineRule="exact"/>
              <w:jc w:val="center"/>
              <w:rPr>
                <w:rFonts w:ascii="Times New Roman" w:hAnsi="Times New Roman" w:cs="Times New Roman" w:eastAsiaTheme="minorEastAsia"/>
                <w:color w:val="auto"/>
                <w:w w:val="99"/>
                <w:sz w:val="21"/>
                <w:szCs w:val="21"/>
                <w:highlight w:val="none"/>
                <w:lang w:val="zh-CN"/>
              </w:rPr>
            </w:pPr>
            <w:r>
              <w:rPr>
                <w:rFonts w:hint="eastAsia" w:ascii="Times New Roman" w:hAnsi="Times New Roman" w:cs="Times New Roman" w:eastAsiaTheme="minorEastAsia"/>
                <w:color w:val="auto"/>
                <w:w w:val="99"/>
                <w:sz w:val="21"/>
                <w:szCs w:val="21"/>
                <w:highlight w:val="none"/>
              </w:rPr>
              <w:t>0.05</w:t>
            </w:r>
            <w:r>
              <w:rPr>
                <w:rFonts w:ascii="Times New Roman" w:hAnsi="Times New Roman" w:cs="Times New Roman" w:eastAsiaTheme="minorEastAsia"/>
                <w:color w:val="auto"/>
                <w:w w:val="99"/>
                <w:sz w:val="21"/>
                <w:szCs w:val="21"/>
                <w:highlight w:val="none"/>
              </w:rPr>
              <w:t>t</w:t>
            </w:r>
          </w:p>
        </w:tc>
        <w:tc>
          <w:tcPr>
            <w:tcW w:w="1276" w:type="dxa"/>
            <w:vAlign w:val="center"/>
          </w:tcPr>
          <w:p w14:paraId="022C25DF">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无害化处理</w:t>
            </w:r>
          </w:p>
        </w:tc>
        <w:tc>
          <w:tcPr>
            <w:tcW w:w="1280" w:type="dxa"/>
            <w:vAlign w:val="center"/>
          </w:tcPr>
          <w:p w14:paraId="72B58F39">
            <w:pPr>
              <w:widowControl w:val="0"/>
              <w:spacing w:line="360" w:lineRule="exact"/>
              <w:jc w:val="center"/>
              <w:rPr>
                <w:rFonts w:ascii="Times New Roman" w:hAnsi="Times New Roman" w:cs="Times New Roman" w:eastAsiaTheme="minorEastAsia"/>
                <w:color w:val="auto"/>
                <w:w w:val="99"/>
                <w:sz w:val="21"/>
                <w:szCs w:val="21"/>
                <w:highlight w:val="none"/>
                <w:lang w:val="zh-CN"/>
              </w:rPr>
            </w:pPr>
            <w:r>
              <w:rPr>
                <w:rFonts w:hint="eastAsia" w:ascii="Times New Roman" w:hAnsi="Times New Roman" w:cs="Times New Roman" w:eastAsiaTheme="minorEastAsia"/>
                <w:color w:val="auto"/>
                <w:w w:val="99"/>
                <w:sz w:val="21"/>
                <w:szCs w:val="21"/>
                <w:highlight w:val="none"/>
              </w:rPr>
              <w:t>0.05</w:t>
            </w:r>
            <w:r>
              <w:rPr>
                <w:rFonts w:ascii="Times New Roman" w:hAnsi="Times New Roman" w:cs="Times New Roman" w:eastAsiaTheme="minorEastAsia"/>
                <w:color w:val="auto"/>
                <w:w w:val="99"/>
                <w:sz w:val="21"/>
                <w:szCs w:val="21"/>
                <w:highlight w:val="none"/>
              </w:rPr>
              <w:t>t</w:t>
            </w:r>
          </w:p>
        </w:tc>
        <w:tc>
          <w:tcPr>
            <w:tcW w:w="6631" w:type="dxa"/>
            <w:vAlign w:val="center"/>
          </w:tcPr>
          <w:p w14:paraId="3A44708A">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统一收集后拉运至</w:t>
            </w:r>
            <w:r>
              <w:rPr>
                <w:rFonts w:hint="eastAsia" w:ascii="Times New Roman" w:hAnsi="Times New Roman" w:cs="Times New Roman" w:eastAsiaTheme="minorEastAsia"/>
                <w:snapToGrid w:val="0"/>
                <w:color w:val="auto"/>
                <w:w w:val="99"/>
                <w:sz w:val="21"/>
                <w:szCs w:val="21"/>
                <w:highlight w:val="none"/>
              </w:rPr>
              <w:t>肇东北控环境再生能源有限公司</w:t>
            </w:r>
            <w:r>
              <w:rPr>
                <w:rFonts w:ascii="Times New Roman" w:hAnsi="Times New Roman" w:cs="Times New Roman" w:eastAsiaTheme="minorEastAsia"/>
                <w:snapToGrid w:val="0"/>
                <w:color w:val="auto"/>
                <w:w w:val="99"/>
                <w:sz w:val="21"/>
                <w:szCs w:val="21"/>
                <w:highlight w:val="none"/>
              </w:rPr>
              <w:t>处理</w:t>
            </w:r>
          </w:p>
        </w:tc>
      </w:tr>
      <w:tr w14:paraId="07E91B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continue"/>
            <w:vAlign w:val="center"/>
          </w:tcPr>
          <w:p w14:paraId="43C28090">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1528" w:type="dxa"/>
            <w:vAlign w:val="center"/>
          </w:tcPr>
          <w:p w14:paraId="17CAFE57">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封井建筑垃圾</w:t>
            </w:r>
          </w:p>
        </w:tc>
        <w:tc>
          <w:tcPr>
            <w:tcW w:w="1134" w:type="dxa"/>
            <w:vAlign w:val="center"/>
          </w:tcPr>
          <w:p w14:paraId="618C03E7">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类比法</w:t>
            </w:r>
          </w:p>
        </w:tc>
        <w:tc>
          <w:tcPr>
            <w:tcW w:w="1276" w:type="dxa"/>
            <w:vAlign w:val="center"/>
          </w:tcPr>
          <w:p w14:paraId="537EACE1">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bCs/>
                <w:color w:val="auto"/>
                <w:w w:val="99"/>
                <w:sz w:val="21"/>
                <w:szCs w:val="21"/>
                <w:highlight w:val="none"/>
              </w:rPr>
              <w:t>0.2</w:t>
            </w:r>
            <w:r>
              <w:rPr>
                <w:rFonts w:ascii="Times New Roman" w:hAnsi="Times New Roman" w:cs="Times New Roman" w:eastAsiaTheme="minorEastAsia"/>
                <w:bCs/>
                <w:color w:val="auto"/>
                <w:w w:val="99"/>
                <w:sz w:val="21"/>
                <w:szCs w:val="21"/>
                <w:highlight w:val="none"/>
              </w:rPr>
              <w:t>t</w:t>
            </w:r>
          </w:p>
        </w:tc>
        <w:tc>
          <w:tcPr>
            <w:tcW w:w="1276" w:type="dxa"/>
            <w:vAlign w:val="center"/>
          </w:tcPr>
          <w:p w14:paraId="3DBB0629">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填埋处理</w:t>
            </w:r>
          </w:p>
        </w:tc>
        <w:tc>
          <w:tcPr>
            <w:tcW w:w="1280" w:type="dxa"/>
            <w:vAlign w:val="center"/>
          </w:tcPr>
          <w:p w14:paraId="4AE8253E">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bCs/>
                <w:color w:val="auto"/>
                <w:w w:val="99"/>
                <w:sz w:val="21"/>
                <w:szCs w:val="21"/>
                <w:highlight w:val="none"/>
              </w:rPr>
              <w:t>0.2</w:t>
            </w:r>
            <w:r>
              <w:rPr>
                <w:rFonts w:ascii="Times New Roman" w:hAnsi="Times New Roman" w:cs="Times New Roman" w:eastAsiaTheme="minorEastAsia"/>
                <w:bCs/>
                <w:color w:val="auto"/>
                <w:w w:val="99"/>
                <w:sz w:val="21"/>
                <w:szCs w:val="21"/>
                <w:highlight w:val="none"/>
              </w:rPr>
              <w:t>t</w:t>
            </w:r>
          </w:p>
        </w:tc>
        <w:tc>
          <w:tcPr>
            <w:tcW w:w="6631" w:type="dxa"/>
            <w:vAlign w:val="center"/>
          </w:tcPr>
          <w:p w14:paraId="46E986E7">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bCs/>
                <w:snapToGrid w:val="0"/>
                <w:color w:val="auto"/>
                <w:w w:val="99"/>
                <w:sz w:val="21"/>
                <w:szCs w:val="21"/>
                <w:highlight w:val="none"/>
              </w:rPr>
              <w:t>统一收集后由施工单位清运至建筑垃圾调配场处理</w:t>
            </w:r>
          </w:p>
        </w:tc>
      </w:tr>
      <w:tr w14:paraId="1BE553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continue"/>
            <w:vAlign w:val="center"/>
          </w:tcPr>
          <w:p w14:paraId="14CDA700">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1528" w:type="dxa"/>
            <w:vAlign w:val="center"/>
          </w:tcPr>
          <w:p w14:paraId="308C5749">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废旧设备</w:t>
            </w:r>
          </w:p>
        </w:tc>
        <w:tc>
          <w:tcPr>
            <w:tcW w:w="1134" w:type="dxa"/>
            <w:vAlign w:val="center"/>
          </w:tcPr>
          <w:p w14:paraId="12FD4C69">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类比法</w:t>
            </w:r>
          </w:p>
        </w:tc>
        <w:tc>
          <w:tcPr>
            <w:tcW w:w="1276" w:type="dxa"/>
            <w:vAlign w:val="center"/>
          </w:tcPr>
          <w:p w14:paraId="1A691729">
            <w:pPr>
              <w:widowControl w:val="0"/>
              <w:spacing w:line="360" w:lineRule="exact"/>
              <w:jc w:val="center"/>
              <w:rPr>
                <w:rFonts w:ascii="Times New Roman" w:hAnsi="Times New Roman" w:cs="Times New Roman" w:eastAsiaTheme="minorEastAsia"/>
                <w:color w:val="auto"/>
                <w:w w:val="99"/>
                <w:sz w:val="21"/>
                <w:szCs w:val="21"/>
                <w:highlight w:val="none"/>
                <w:lang w:val="zh-CN"/>
              </w:rPr>
            </w:pPr>
            <w:r>
              <w:rPr>
                <w:rFonts w:hint="eastAsia" w:ascii="Times New Roman" w:hAnsi="Times New Roman" w:cs="Times New Roman" w:eastAsiaTheme="minorEastAsia"/>
                <w:color w:val="auto"/>
                <w:w w:val="99"/>
                <w:sz w:val="21"/>
                <w:szCs w:val="21"/>
                <w:highlight w:val="none"/>
              </w:rPr>
              <w:t>1</w:t>
            </w:r>
            <w:r>
              <w:rPr>
                <w:rFonts w:ascii="Times New Roman" w:hAnsi="Times New Roman" w:cs="Times New Roman" w:eastAsiaTheme="minorEastAsia"/>
                <w:color w:val="auto"/>
                <w:w w:val="99"/>
                <w:sz w:val="21"/>
                <w:szCs w:val="21"/>
                <w:highlight w:val="none"/>
              </w:rPr>
              <w:t>台套</w:t>
            </w:r>
          </w:p>
        </w:tc>
        <w:tc>
          <w:tcPr>
            <w:tcW w:w="1276" w:type="dxa"/>
            <w:vAlign w:val="center"/>
          </w:tcPr>
          <w:p w14:paraId="4CAA5084">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回收再利用</w:t>
            </w:r>
          </w:p>
        </w:tc>
        <w:tc>
          <w:tcPr>
            <w:tcW w:w="1280" w:type="dxa"/>
            <w:vAlign w:val="center"/>
          </w:tcPr>
          <w:p w14:paraId="3CDFC2E0">
            <w:pPr>
              <w:widowControl w:val="0"/>
              <w:spacing w:line="360" w:lineRule="exact"/>
              <w:jc w:val="center"/>
              <w:rPr>
                <w:rFonts w:ascii="Times New Roman" w:hAnsi="Times New Roman" w:cs="Times New Roman" w:eastAsiaTheme="minorEastAsia"/>
                <w:color w:val="auto"/>
                <w:w w:val="99"/>
                <w:sz w:val="21"/>
                <w:szCs w:val="21"/>
                <w:highlight w:val="none"/>
                <w:lang w:val="zh-CN"/>
              </w:rPr>
            </w:pPr>
            <w:r>
              <w:rPr>
                <w:rFonts w:hint="eastAsia" w:ascii="Times New Roman" w:hAnsi="Times New Roman" w:cs="Times New Roman" w:eastAsiaTheme="minorEastAsia"/>
                <w:color w:val="auto"/>
                <w:w w:val="99"/>
                <w:sz w:val="21"/>
                <w:szCs w:val="21"/>
                <w:highlight w:val="none"/>
              </w:rPr>
              <w:t>1</w:t>
            </w:r>
            <w:r>
              <w:rPr>
                <w:rFonts w:ascii="Times New Roman" w:hAnsi="Times New Roman" w:cs="Times New Roman" w:eastAsiaTheme="minorEastAsia"/>
                <w:color w:val="auto"/>
                <w:w w:val="99"/>
                <w:sz w:val="21"/>
                <w:szCs w:val="21"/>
                <w:highlight w:val="none"/>
              </w:rPr>
              <w:t>台套</w:t>
            </w:r>
          </w:p>
        </w:tc>
        <w:tc>
          <w:tcPr>
            <w:tcW w:w="6631" w:type="dxa"/>
            <w:vAlign w:val="center"/>
          </w:tcPr>
          <w:p w14:paraId="6F43ECEE">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bCs/>
                <w:color w:val="auto"/>
                <w:w w:val="99"/>
                <w:kern w:val="2"/>
                <w:sz w:val="21"/>
                <w:highlight w:val="none"/>
              </w:rPr>
              <w:t>全部</w:t>
            </w:r>
            <w:r>
              <w:rPr>
                <w:rFonts w:ascii="Times New Roman" w:hAnsi="Times New Roman" w:cs="Times New Roman" w:eastAsiaTheme="minorEastAsia"/>
                <w:color w:val="auto"/>
                <w:w w:val="99"/>
                <w:kern w:val="2"/>
                <w:sz w:val="21"/>
                <w:highlight w:val="none"/>
              </w:rPr>
              <w:t>回收至</w:t>
            </w:r>
            <w:r>
              <w:rPr>
                <w:rFonts w:hint="eastAsia" w:ascii="Times New Roman" w:hAnsi="Times New Roman" w:cs="Times New Roman" w:eastAsiaTheme="minorEastAsia"/>
                <w:color w:val="auto"/>
                <w:w w:val="99"/>
                <w:kern w:val="2"/>
                <w:sz w:val="21"/>
                <w:highlight w:val="none"/>
              </w:rPr>
              <w:t>采气分公司</w:t>
            </w:r>
            <w:r>
              <w:rPr>
                <w:rFonts w:ascii="Times New Roman" w:hAnsi="Times New Roman" w:cs="Times New Roman" w:eastAsiaTheme="minorEastAsia"/>
                <w:color w:val="auto"/>
                <w:w w:val="99"/>
                <w:kern w:val="2"/>
                <w:sz w:val="21"/>
                <w:highlight w:val="none"/>
              </w:rPr>
              <w:t>物资库</w:t>
            </w:r>
          </w:p>
        </w:tc>
      </w:tr>
      <w:tr w14:paraId="0C79D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continue"/>
            <w:vAlign w:val="center"/>
          </w:tcPr>
          <w:p w14:paraId="47BABADF">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1528" w:type="dxa"/>
            <w:vAlign w:val="center"/>
          </w:tcPr>
          <w:p w14:paraId="619FD26E">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含油防渗布</w:t>
            </w:r>
          </w:p>
        </w:tc>
        <w:tc>
          <w:tcPr>
            <w:tcW w:w="1134" w:type="dxa"/>
            <w:vAlign w:val="center"/>
          </w:tcPr>
          <w:p w14:paraId="4B58A27F">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类比法</w:t>
            </w:r>
          </w:p>
        </w:tc>
        <w:tc>
          <w:tcPr>
            <w:tcW w:w="1276" w:type="dxa"/>
            <w:vAlign w:val="center"/>
          </w:tcPr>
          <w:p w14:paraId="225EC87E">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0.75t</w:t>
            </w:r>
          </w:p>
        </w:tc>
        <w:tc>
          <w:tcPr>
            <w:tcW w:w="1276" w:type="dxa"/>
            <w:vAlign w:val="center"/>
          </w:tcPr>
          <w:p w14:paraId="293E41E5">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无害化处理</w:t>
            </w:r>
          </w:p>
        </w:tc>
        <w:tc>
          <w:tcPr>
            <w:tcW w:w="1280" w:type="dxa"/>
            <w:vAlign w:val="center"/>
          </w:tcPr>
          <w:p w14:paraId="5472C9E7">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0.75t</w:t>
            </w:r>
          </w:p>
        </w:tc>
        <w:tc>
          <w:tcPr>
            <w:tcW w:w="6631" w:type="dxa"/>
            <w:vAlign w:val="center"/>
          </w:tcPr>
          <w:p w14:paraId="52B88958">
            <w:pPr>
              <w:widowControl w:val="0"/>
              <w:spacing w:line="360" w:lineRule="exact"/>
              <w:jc w:val="center"/>
              <w:rPr>
                <w:rFonts w:ascii="Times New Roman" w:hAnsi="Times New Roman" w:cs="Times New Roman" w:eastAsiaTheme="minorEastAsia"/>
                <w:bCs/>
                <w:color w:val="auto"/>
                <w:w w:val="99"/>
                <w:kern w:val="2"/>
                <w:sz w:val="21"/>
                <w:highlight w:val="none"/>
              </w:rPr>
            </w:pPr>
            <w:r>
              <w:rPr>
                <w:rFonts w:ascii="Times New Roman" w:hAnsi="Times New Roman" w:cs="Times New Roman" w:eastAsiaTheme="minorEastAsia"/>
                <w:bCs/>
                <w:color w:val="auto"/>
                <w:w w:val="99"/>
                <w:kern w:val="2"/>
                <w:sz w:val="21"/>
                <w:highlight w:val="none"/>
              </w:rPr>
              <w:t>作业结束后，由施工单位运至采气分公司危险废物贮存库，委托</w:t>
            </w:r>
            <w:r>
              <w:rPr>
                <w:rFonts w:hint="eastAsia" w:ascii="Times New Roman" w:hAnsi="Times New Roman" w:cs="Times New Roman" w:eastAsiaTheme="minorEastAsia"/>
                <w:bCs/>
                <w:color w:val="auto"/>
                <w:w w:val="99"/>
                <w:kern w:val="2"/>
                <w:sz w:val="21"/>
                <w:highlight w:val="none"/>
              </w:rPr>
              <w:t>有资质单位</w:t>
            </w:r>
            <w:r>
              <w:rPr>
                <w:rFonts w:ascii="Times New Roman" w:hAnsi="Times New Roman" w:cs="Times New Roman" w:eastAsiaTheme="minorEastAsia"/>
                <w:bCs/>
                <w:color w:val="auto"/>
                <w:w w:val="99"/>
                <w:kern w:val="2"/>
                <w:sz w:val="21"/>
                <w:highlight w:val="none"/>
              </w:rPr>
              <w:t>转运处置</w:t>
            </w:r>
          </w:p>
        </w:tc>
      </w:tr>
    </w:tbl>
    <w:p w14:paraId="39BD38D4">
      <w:pPr>
        <w:rPr>
          <w:rFonts w:ascii="Times New Roman" w:hAnsi="Times New Roman" w:cs="Times New Roman" w:eastAsiaTheme="minorEastAsia"/>
          <w:color w:val="auto"/>
          <w:w w:val="99"/>
          <w:szCs w:val="20"/>
          <w:highlight w:val="none"/>
        </w:rPr>
        <w:sectPr>
          <w:type w:val="nextColumn"/>
          <w:pgSz w:w="16838" w:h="11906" w:orient="landscape"/>
          <w:pgMar w:top="1418" w:right="1418" w:bottom="1418" w:left="1418" w:header="851" w:footer="992" w:gutter="0"/>
          <w:cols w:space="720" w:num="1"/>
          <w:docGrid w:linePitch="326" w:charSpace="0"/>
        </w:sectPr>
      </w:pPr>
    </w:p>
    <w:p w14:paraId="2B39DD75">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545" w:name="_Toc161040854"/>
      <w:bookmarkStart w:id="546" w:name="_Toc80971397"/>
      <w:bookmarkStart w:id="547" w:name="_Toc161042136"/>
      <w:bookmarkStart w:id="548" w:name="_Toc187769962"/>
      <w:bookmarkStart w:id="549" w:name="_Toc401560716"/>
      <w:bookmarkStart w:id="550" w:name="_Toc303693581"/>
      <w:bookmarkStart w:id="551" w:name="_Toc196569738"/>
      <w:bookmarkStart w:id="552" w:name="_Toc80588275"/>
      <w:bookmarkStart w:id="553" w:name="_Toc78816480"/>
      <w:bookmarkStart w:id="554" w:name="_Toc298419504"/>
      <w:bookmarkStart w:id="555" w:name="_Toc186444303"/>
      <w:bookmarkStart w:id="556" w:name="_Toc76976266"/>
      <w:bookmarkStart w:id="557" w:name="_Toc77067678"/>
      <w:bookmarkStart w:id="558" w:name="_Toc306198592"/>
      <w:bookmarkStart w:id="559" w:name="_Toc67860155"/>
      <w:bookmarkStart w:id="560" w:name="_Toc83209497"/>
      <w:bookmarkStart w:id="561" w:name="_Toc326934136"/>
      <w:bookmarkStart w:id="562" w:name="_Toc70050204"/>
      <w:r>
        <w:rPr>
          <w:rFonts w:hint="eastAsia" w:eastAsia="宋体"/>
          <w:b/>
          <w:color w:val="auto"/>
          <w:w w:val="99"/>
          <w:kern w:val="2"/>
          <w:sz w:val="24"/>
          <w:szCs w:val="24"/>
          <w:highlight w:val="none"/>
        </w:rPr>
        <w:t>3.10</w:t>
      </w:r>
      <w:r>
        <w:rPr>
          <w:rFonts w:eastAsia="宋体"/>
          <w:b/>
          <w:color w:val="auto"/>
          <w:w w:val="99"/>
          <w:kern w:val="2"/>
          <w:sz w:val="24"/>
          <w:szCs w:val="24"/>
          <w:highlight w:val="none"/>
        </w:rPr>
        <w:t>.</w:t>
      </w:r>
      <w:r>
        <w:rPr>
          <w:rFonts w:hint="eastAsia" w:eastAsia="宋体"/>
          <w:b/>
          <w:color w:val="auto"/>
          <w:w w:val="99"/>
          <w:kern w:val="2"/>
          <w:sz w:val="24"/>
          <w:szCs w:val="24"/>
          <w:highlight w:val="none"/>
        </w:rPr>
        <w:t>5</w:t>
      </w:r>
      <w:r>
        <w:rPr>
          <w:rFonts w:eastAsia="宋体"/>
          <w:b/>
          <w:color w:val="auto"/>
          <w:w w:val="99"/>
          <w:kern w:val="2"/>
          <w:sz w:val="24"/>
          <w:szCs w:val="24"/>
          <w:highlight w:val="none"/>
        </w:rPr>
        <w:t>污染物“三本帐”汇总</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14:paraId="65F18D12">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由于本项目施工期、退役期产生的各种污染物将随施工活动的结束而消失，本项目运营期废水、固体废物不排入外环境，因此，本次评价只对本项目运营期大气污染物排放情况进行核定，污染物“三本帐”汇总见表</w:t>
      </w:r>
      <w:r>
        <w:rPr>
          <w:rFonts w:hint="eastAsia" w:ascii="Times New Roman" w:hAnsi="Times New Roman" w:cs="Times New Roman" w:eastAsiaTheme="minorEastAsia"/>
          <w:color w:val="auto"/>
          <w:w w:val="99"/>
          <w:kern w:val="2"/>
          <w:szCs w:val="20"/>
          <w:highlight w:val="none"/>
        </w:rPr>
        <w:t>3.10</w:t>
      </w:r>
      <w:r>
        <w:rPr>
          <w:rFonts w:ascii="Times New Roman" w:hAnsi="Times New Roman" w:cs="Times New Roman" w:eastAsiaTheme="minorEastAsia"/>
          <w:color w:val="auto"/>
          <w:w w:val="99"/>
          <w:kern w:val="2"/>
          <w:szCs w:val="20"/>
          <w:highlight w:val="none"/>
        </w:rPr>
        <w:t>-2</w:t>
      </w:r>
      <w:r>
        <w:rPr>
          <w:rFonts w:hint="eastAsia" w:ascii="Times New Roman" w:hAnsi="Times New Roman" w:cs="Times New Roman" w:eastAsiaTheme="minorEastAsia"/>
          <w:color w:val="auto"/>
          <w:w w:val="99"/>
          <w:kern w:val="2"/>
          <w:szCs w:val="20"/>
          <w:highlight w:val="none"/>
        </w:rPr>
        <w:t>3</w:t>
      </w:r>
      <w:r>
        <w:rPr>
          <w:rFonts w:ascii="Times New Roman" w:hAnsi="Times New Roman" w:cs="Times New Roman"/>
          <w:color w:val="auto"/>
          <w:w w:val="99"/>
          <w:kern w:val="2"/>
          <w:szCs w:val="20"/>
          <w:highlight w:val="none"/>
        </w:rPr>
        <w:t>。</w:t>
      </w:r>
    </w:p>
    <w:p w14:paraId="7EBDD4E2">
      <w:pPr>
        <w:widowControl w:val="0"/>
        <w:spacing w:line="440" w:lineRule="exact"/>
        <w:ind w:firstLine="476" w:firstLineChars="200"/>
        <w:jc w:val="both"/>
        <w:rPr>
          <w:rFonts w:ascii="Times New Roman" w:hAnsi="Times New Roman" w:cs="Times New Roman"/>
          <w:color w:val="auto"/>
          <w:w w:val="99"/>
          <w:kern w:val="2"/>
          <w:szCs w:val="20"/>
          <w:highlight w:val="none"/>
        </w:rPr>
      </w:pPr>
      <w:r>
        <w:rPr>
          <w:rFonts w:ascii="Times New Roman" w:hAnsi="Times New Roman" w:cs="Times New Roman" w:eastAsiaTheme="minorEastAsia"/>
          <w:b/>
          <w:color w:val="auto"/>
          <w:w w:val="99"/>
          <w:kern w:val="2"/>
          <w:szCs w:val="20"/>
          <w:highlight w:val="none"/>
        </w:rPr>
        <w:t>表</w:t>
      </w:r>
      <w:r>
        <w:rPr>
          <w:rFonts w:hint="eastAsia" w:ascii="Times New Roman" w:hAnsi="Times New Roman" w:cs="Times New Roman" w:eastAsiaTheme="minorEastAsia"/>
          <w:b/>
          <w:color w:val="auto"/>
          <w:w w:val="99"/>
          <w:kern w:val="2"/>
          <w:szCs w:val="20"/>
          <w:highlight w:val="none"/>
        </w:rPr>
        <w:t>3.10</w:t>
      </w:r>
      <w:r>
        <w:rPr>
          <w:rFonts w:ascii="Times New Roman" w:hAnsi="Times New Roman" w:cs="Times New Roman" w:eastAsiaTheme="minorEastAsia"/>
          <w:b/>
          <w:color w:val="auto"/>
          <w:w w:val="99"/>
          <w:kern w:val="2"/>
          <w:szCs w:val="20"/>
          <w:highlight w:val="none"/>
        </w:rPr>
        <w:t>-</w:t>
      </w:r>
      <w:r>
        <w:rPr>
          <w:rFonts w:hint="eastAsia" w:ascii="Times New Roman" w:hAnsi="Times New Roman" w:cs="Times New Roman" w:eastAsiaTheme="minorEastAsia"/>
          <w:b/>
          <w:color w:val="auto"/>
          <w:w w:val="99"/>
          <w:kern w:val="2"/>
          <w:szCs w:val="20"/>
          <w:highlight w:val="none"/>
        </w:rPr>
        <w:t>23</w:t>
      </w:r>
      <w:r>
        <w:rPr>
          <w:rFonts w:ascii="Times New Roman" w:hAnsi="Times New Roman" w:cs="Times New Roman"/>
          <w:b/>
          <w:color w:val="auto"/>
          <w:w w:val="99"/>
          <w:kern w:val="2"/>
          <w:szCs w:val="20"/>
          <w:highlight w:val="none"/>
        </w:rPr>
        <w:t xml:space="preserve">    </w:t>
      </w:r>
      <w:r>
        <w:rPr>
          <w:rFonts w:ascii="Times New Roman" w:hAnsi="Times New Roman" w:cs="Times New Roman" w:eastAsiaTheme="minorEastAsia"/>
          <w:b/>
          <w:bCs/>
          <w:color w:val="auto"/>
          <w:w w:val="99"/>
          <w:highlight w:val="none"/>
        </w:rPr>
        <w:t>污染物</w:t>
      </w:r>
      <w:r>
        <w:rPr>
          <w:rFonts w:ascii="Times New Roman" w:hAnsi="Times New Roman" w:cs="Times New Roman"/>
          <w:b/>
          <w:color w:val="auto"/>
          <w:w w:val="99"/>
          <w:kern w:val="2"/>
          <w:szCs w:val="20"/>
          <w:highlight w:val="none"/>
        </w:rPr>
        <w:t>“三本账”汇总一览表</w:t>
      </w:r>
    </w:p>
    <w:tbl>
      <w:tblPr>
        <w:tblStyle w:val="81"/>
        <w:tblW w:w="502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301"/>
        <w:gridCol w:w="1310"/>
        <w:gridCol w:w="938"/>
        <w:gridCol w:w="1235"/>
        <w:gridCol w:w="1038"/>
        <w:gridCol w:w="1038"/>
        <w:gridCol w:w="1038"/>
        <w:gridCol w:w="1219"/>
      </w:tblGrid>
      <w:tr w14:paraId="51259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432" w:type="pct"/>
            <w:gridSpan w:val="2"/>
            <w:vAlign w:val="center"/>
          </w:tcPr>
          <w:p w14:paraId="539CF124">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污染物名称</w:t>
            </w:r>
          </w:p>
        </w:tc>
        <w:tc>
          <w:tcPr>
            <w:tcW w:w="514" w:type="pct"/>
            <w:vAlign w:val="center"/>
          </w:tcPr>
          <w:p w14:paraId="46DBC27A">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单位</w:t>
            </w:r>
          </w:p>
        </w:tc>
        <w:tc>
          <w:tcPr>
            <w:tcW w:w="677" w:type="pct"/>
            <w:vAlign w:val="center"/>
          </w:tcPr>
          <w:p w14:paraId="77C09856">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现有工程排放量</w:t>
            </w:r>
          </w:p>
        </w:tc>
        <w:tc>
          <w:tcPr>
            <w:tcW w:w="569" w:type="pct"/>
            <w:vAlign w:val="center"/>
          </w:tcPr>
          <w:p w14:paraId="32A1092A">
            <w:pPr>
              <w:pStyle w:val="178"/>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以新代老消减量</w:t>
            </w:r>
          </w:p>
        </w:tc>
        <w:tc>
          <w:tcPr>
            <w:tcW w:w="569" w:type="pct"/>
            <w:vAlign w:val="center"/>
          </w:tcPr>
          <w:p w14:paraId="66E955B7">
            <w:pPr>
              <w:pStyle w:val="178"/>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rPr>
              <w:t>本工程</w:t>
            </w:r>
            <w:r>
              <w:rPr>
                <w:rFonts w:ascii="Times New Roman" w:hAnsi="Times New Roman" w:cs="Times New Roman" w:eastAsiaTheme="minorEastAsia"/>
                <w:color w:val="auto"/>
                <w:w w:val="99"/>
                <w:sz w:val="21"/>
                <w:szCs w:val="21"/>
                <w:highlight w:val="none"/>
                <w:lang w:eastAsia="zh-CN"/>
              </w:rPr>
              <w:t>排放量</w:t>
            </w:r>
          </w:p>
        </w:tc>
        <w:tc>
          <w:tcPr>
            <w:tcW w:w="569" w:type="pct"/>
            <w:vAlign w:val="center"/>
          </w:tcPr>
          <w:p w14:paraId="208A35EF">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总排放量</w:t>
            </w:r>
          </w:p>
        </w:tc>
        <w:tc>
          <w:tcPr>
            <w:tcW w:w="668" w:type="pct"/>
            <w:vAlign w:val="center"/>
          </w:tcPr>
          <w:p w14:paraId="7143CD3D">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排放增减量</w:t>
            </w:r>
          </w:p>
        </w:tc>
      </w:tr>
      <w:tr w14:paraId="11B22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14" w:type="pct"/>
            <w:vMerge w:val="restart"/>
            <w:vAlign w:val="center"/>
          </w:tcPr>
          <w:p w14:paraId="2B4F27BE">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废气</w:t>
            </w:r>
          </w:p>
        </w:tc>
        <w:tc>
          <w:tcPr>
            <w:tcW w:w="717" w:type="pct"/>
            <w:vAlign w:val="center"/>
          </w:tcPr>
          <w:p w14:paraId="16B4739A">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烟气量</w:t>
            </w:r>
          </w:p>
        </w:tc>
        <w:tc>
          <w:tcPr>
            <w:tcW w:w="514" w:type="pct"/>
            <w:vAlign w:val="center"/>
          </w:tcPr>
          <w:p w14:paraId="23C38AAD">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10</w:t>
            </w:r>
            <w:r>
              <w:rPr>
                <w:rFonts w:ascii="Times New Roman" w:hAnsi="Times New Roman" w:cs="Times New Roman" w:eastAsiaTheme="minorEastAsia"/>
                <w:color w:val="auto"/>
                <w:w w:val="99"/>
                <w:sz w:val="21"/>
                <w:szCs w:val="21"/>
                <w:highlight w:val="none"/>
                <w:vertAlign w:val="superscript"/>
              </w:rPr>
              <w:t>4</w:t>
            </w:r>
            <w:r>
              <w:rPr>
                <w:rFonts w:ascii="Times New Roman" w:hAnsi="Times New Roman" w:cs="Times New Roman" w:eastAsiaTheme="minorEastAsia"/>
                <w:color w:val="auto"/>
                <w:w w:val="99"/>
                <w:sz w:val="21"/>
                <w:szCs w:val="21"/>
                <w:highlight w:val="none"/>
              </w:rPr>
              <w:t>m</w:t>
            </w:r>
            <w:r>
              <w:rPr>
                <w:rFonts w:ascii="Times New Roman" w:hAnsi="Times New Roman" w:cs="Times New Roman" w:eastAsiaTheme="minorEastAsia"/>
                <w:color w:val="auto"/>
                <w:w w:val="99"/>
                <w:sz w:val="21"/>
                <w:szCs w:val="21"/>
                <w:highlight w:val="none"/>
                <w:vertAlign w:val="superscript"/>
              </w:rPr>
              <w:t>3</w:t>
            </w:r>
            <w:r>
              <w:rPr>
                <w:rFonts w:ascii="Times New Roman" w:hAnsi="Times New Roman" w:cs="Times New Roman" w:eastAsiaTheme="minorEastAsia"/>
                <w:color w:val="auto"/>
                <w:w w:val="99"/>
                <w:sz w:val="21"/>
                <w:szCs w:val="21"/>
                <w:highlight w:val="none"/>
              </w:rPr>
              <w:t>/a</w:t>
            </w:r>
          </w:p>
        </w:tc>
        <w:tc>
          <w:tcPr>
            <w:tcW w:w="677" w:type="pct"/>
            <w:vAlign w:val="center"/>
          </w:tcPr>
          <w:p w14:paraId="1FABDD60">
            <w:pPr>
              <w:pStyle w:val="178"/>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eastAsia="zh-CN"/>
              </w:rPr>
              <w:t>280.4</w:t>
            </w:r>
          </w:p>
        </w:tc>
        <w:tc>
          <w:tcPr>
            <w:tcW w:w="569" w:type="pct"/>
            <w:vAlign w:val="center"/>
          </w:tcPr>
          <w:p w14:paraId="1F586D24">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569" w:type="pct"/>
            <w:vAlign w:val="center"/>
          </w:tcPr>
          <w:p w14:paraId="1E5FB99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569" w:type="pct"/>
            <w:vAlign w:val="center"/>
          </w:tcPr>
          <w:p w14:paraId="595EF86B">
            <w:pPr>
              <w:pStyle w:val="178"/>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eastAsia="zh-CN"/>
              </w:rPr>
              <w:t>280.4</w:t>
            </w:r>
          </w:p>
        </w:tc>
        <w:tc>
          <w:tcPr>
            <w:tcW w:w="668" w:type="pct"/>
            <w:vAlign w:val="center"/>
          </w:tcPr>
          <w:p w14:paraId="2B6D0DA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r>
      <w:tr w14:paraId="4D349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14" w:type="pct"/>
            <w:vMerge w:val="continue"/>
            <w:vAlign w:val="center"/>
          </w:tcPr>
          <w:p w14:paraId="7ADE6A1B">
            <w:pPr>
              <w:pStyle w:val="178"/>
              <w:spacing w:line="360" w:lineRule="exact"/>
              <w:ind w:firstLine="0"/>
              <w:jc w:val="center"/>
              <w:rPr>
                <w:rFonts w:ascii="Times New Roman" w:hAnsi="Times New Roman" w:cs="Times New Roman" w:eastAsiaTheme="minorEastAsia"/>
                <w:color w:val="auto"/>
                <w:w w:val="99"/>
                <w:sz w:val="21"/>
                <w:szCs w:val="21"/>
                <w:highlight w:val="none"/>
              </w:rPr>
            </w:pPr>
          </w:p>
        </w:tc>
        <w:tc>
          <w:tcPr>
            <w:tcW w:w="717" w:type="pct"/>
            <w:vAlign w:val="center"/>
          </w:tcPr>
          <w:p w14:paraId="41999474">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颗粒物</w:t>
            </w:r>
          </w:p>
        </w:tc>
        <w:tc>
          <w:tcPr>
            <w:tcW w:w="514" w:type="pct"/>
            <w:vAlign w:val="center"/>
          </w:tcPr>
          <w:p w14:paraId="3BE10FB7">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t/a</w:t>
            </w:r>
          </w:p>
        </w:tc>
        <w:tc>
          <w:tcPr>
            <w:tcW w:w="677" w:type="pct"/>
            <w:vAlign w:val="center"/>
          </w:tcPr>
          <w:p w14:paraId="4424B6B2">
            <w:pPr>
              <w:pStyle w:val="178"/>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eastAsia="zh-CN"/>
              </w:rPr>
              <w:t>0.018</w:t>
            </w:r>
          </w:p>
        </w:tc>
        <w:tc>
          <w:tcPr>
            <w:tcW w:w="569" w:type="pct"/>
            <w:vAlign w:val="center"/>
          </w:tcPr>
          <w:p w14:paraId="4F81B4FD">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569" w:type="pct"/>
            <w:vAlign w:val="center"/>
          </w:tcPr>
          <w:p w14:paraId="3E091E1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569" w:type="pct"/>
            <w:vAlign w:val="center"/>
          </w:tcPr>
          <w:p w14:paraId="7ED3F31A">
            <w:pPr>
              <w:pStyle w:val="178"/>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eastAsia="zh-CN"/>
              </w:rPr>
              <w:t>0.018</w:t>
            </w:r>
          </w:p>
        </w:tc>
        <w:tc>
          <w:tcPr>
            <w:tcW w:w="668" w:type="pct"/>
            <w:vAlign w:val="center"/>
          </w:tcPr>
          <w:p w14:paraId="242226B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r>
      <w:tr w14:paraId="2DD57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14" w:type="pct"/>
            <w:vMerge w:val="continue"/>
            <w:vAlign w:val="center"/>
          </w:tcPr>
          <w:p w14:paraId="75BF7BD8">
            <w:pPr>
              <w:pStyle w:val="178"/>
              <w:spacing w:line="360" w:lineRule="exact"/>
              <w:ind w:firstLine="0"/>
              <w:jc w:val="center"/>
              <w:rPr>
                <w:rFonts w:ascii="Times New Roman" w:hAnsi="Times New Roman" w:cs="Times New Roman" w:eastAsiaTheme="minorEastAsia"/>
                <w:color w:val="auto"/>
                <w:w w:val="99"/>
                <w:sz w:val="21"/>
                <w:szCs w:val="21"/>
                <w:highlight w:val="none"/>
              </w:rPr>
            </w:pPr>
          </w:p>
        </w:tc>
        <w:tc>
          <w:tcPr>
            <w:tcW w:w="717" w:type="pct"/>
            <w:vAlign w:val="center"/>
          </w:tcPr>
          <w:p w14:paraId="4DFF0AD3">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2</w:t>
            </w:r>
          </w:p>
        </w:tc>
        <w:tc>
          <w:tcPr>
            <w:tcW w:w="514" w:type="pct"/>
            <w:vAlign w:val="center"/>
          </w:tcPr>
          <w:p w14:paraId="4C4F1625">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t/a</w:t>
            </w:r>
          </w:p>
        </w:tc>
        <w:tc>
          <w:tcPr>
            <w:tcW w:w="677" w:type="pct"/>
            <w:vAlign w:val="center"/>
          </w:tcPr>
          <w:p w14:paraId="11116CF3">
            <w:pPr>
              <w:pStyle w:val="178"/>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eastAsia="zh-CN"/>
              </w:rPr>
              <w:t>0</w:t>
            </w:r>
          </w:p>
        </w:tc>
        <w:tc>
          <w:tcPr>
            <w:tcW w:w="569" w:type="pct"/>
            <w:vAlign w:val="center"/>
          </w:tcPr>
          <w:p w14:paraId="648D6225">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569" w:type="pct"/>
            <w:vAlign w:val="center"/>
          </w:tcPr>
          <w:p w14:paraId="1EFB044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569" w:type="pct"/>
            <w:vAlign w:val="center"/>
          </w:tcPr>
          <w:p w14:paraId="1EE0D62A">
            <w:pPr>
              <w:pStyle w:val="178"/>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eastAsia="zh-CN"/>
              </w:rPr>
              <w:t>0</w:t>
            </w:r>
          </w:p>
        </w:tc>
        <w:tc>
          <w:tcPr>
            <w:tcW w:w="668" w:type="pct"/>
            <w:vAlign w:val="center"/>
          </w:tcPr>
          <w:p w14:paraId="3284DB1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r>
      <w:tr w14:paraId="63B88B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14" w:type="pct"/>
            <w:vMerge w:val="continue"/>
            <w:vAlign w:val="center"/>
          </w:tcPr>
          <w:p w14:paraId="710D0E33">
            <w:pPr>
              <w:pStyle w:val="178"/>
              <w:spacing w:line="360" w:lineRule="exact"/>
              <w:ind w:firstLine="0"/>
              <w:jc w:val="center"/>
              <w:rPr>
                <w:rFonts w:ascii="Times New Roman" w:hAnsi="Times New Roman" w:cs="Times New Roman" w:eastAsiaTheme="minorEastAsia"/>
                <w:color w:val="auto"/>
                <w:w w:val="99"/>
                <w:sz w:val="21"/>
                <w:szCs w:val="21"/>
                <w:highlight w:val="none"/>
              </w:rPr>
            </w:pPr>
          </w:p>
        </w:tc>
        <w:tc>
          <w:tcPr>
            <w:tcW w:w="717" w:type="pct"/>
            <w:vAlign w:val="center"/>
          </w:tcPr>
          <w:p w14:paraId="1CE6AD65">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NO</w:t>
            </w:r>
            <w:r>
              <w:rPr>
                <w:rFonts w:ascii="Times New Roman" w:hAnsi="Times New Roman" w:cs="Times New Roman" w:eastAsiaTheme="minorEastAsia"/>
                <w:color w:val="auto"/>
                <w:w w:val="99"/>
                <w:sz w:val="21"/>
                <w:szCs w:val="21"/>
                <w:highlight w:val="none"/>
                <w:vertAlign w:val="subscript"/>
              </w:rPr>
              <w:t>x</w:t>
            </w:r>
          </w:p>
        </w:tc>
        <w:tc>
          <w:tcPr>
            <w:tcW w:w="514" w:type="pct"/>
            <w:vAlign w:val="center"/>
          </w:tcPr>
          <w:p w14:paraId="5896C0B3">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t/a</w:t>
            </w:r>
          </w:p>
        </w:tc>
        <w:tc>
          <w:tcPr>
            <w:tcW w:w="677" w:type="pct"/>
            <w:vAlign w:val="center"/>
          </w:tcPr>
          <w:p w14:paraId="2A6B7808">
            <w:pPr>
              <w:pStyle w:val="178"/>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eastAsia="zh-CN"/>
              </w:rPr>
              <w:t>0.163</w:t>
            </w:r>
          </w:p>
        </w:tc>
        <w:tc>
          <w:tcPr>
            <w:tcW w:w="569" w:type="pct"/>
            <w:vAlign w:val="center"/>
          </w:tcPr>
          <w:p w14:paraId="77E89F0C">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569" w:type="pct"/>
            <w:vAlign w:val="center"/>
          </w:tcPr>
          <w:p w14:paraId="322A8EE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569" w:type="pct"/>
            <w:vAlign w:val="center"/>
          </w:tcPr>
          <w:p w14:paraId="25B87A4D">
            <w:pPr>
              <w:pStyle w:val="178"/>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eastAsia="zh-CN"/>
              </w:rPr>
              <w:t>0.163</w:t>
            </w:r>
          </w:p>
        </w:tc>
        <w:tc>
          <w:tcPr>
            <w:tcW w:w="668" w:type="pct"/>
            <w:vAlign w:val="center"/>
          </w:tcPr>
          <w:p w14:paraId="31389BA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r>
      <w:tr w14:paraId="024060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14" w:type="pct"/>
            <w:vMerge w:val="continue"/>
            <w:vAlign w:val="center"/>
          </w:tcPr>
          <w:p w14:paraId="39C78158">
            <w:pPr>
              <w:pStyle w:val="178"/>
              <w:spacing w:line="360" w:lineRule="exact"/>
              <w:ind w:firstLine="0"/>
              <w:jc w:val="center"/>
              <w:rPr>
                <w:rFonts w:ascii="Times New Roman" w:hAnsi="Times New Roman" w:cs="Times New Roman" w:eastAsiaTheme="minorEastAsia"/>
                <w:color w:val="auto"/>
                <w:w w:val="99"/>
                <w:sz w:val="21"/>
                <w:szCs w:val="21"/>
                <w:highlight w:val="none"/>
              </w:rPr>
            </w:pPr>
          </w:p>
        </w:tc>
        <w:tc>
          <w:tcPr>
            <w:tcW w:w="717" w:type="pct"/>
            <w:vAlign w:val="center"/>
          </w:tcPr>
          <w:p w14:paraId="35B9F1E6">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非甲烷总烃</w:t>
            </w:r>
          </w:p>
        </w:tc>
        <w:tc>
          <w:tcPr>
            <w:tcW w:w="514" w:type="pct"/>
            <w:vAlign w:val="center"/>
          </w:tcPr>
          <w:p w14:paraId="3981D1BB">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t/a</w:t>
            </w:r>
          </w:p>
        </w:tc>
        <w:tc>
          <w:tcPr>
            <w:tcW w:w="677" w:type="pct"/>
            <w:vAlign w:val="center"/>
          </w:tcPr>
          <w:p w14:paraId="4457D038">
            <w:pPr>
              <w:pStyle w:val="178"/>
              <w:spacing w:line="360" w:lineRule="exact"/>
              <w:ind w:firstLine="0"/>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11.66</w:t>
            </w:r>
          </w:p>
        </w:tc>
        <w:tc>
          <w:tcPr>
            <w:tcW w:w="569" w:type="pct"/>
            <w:vAlign w:val="center"/>
          </w:tcPr>
          <w:p w14:paraId="77DBD3A6">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569" w:type="pct"/>
            <w:vAlign w:val="center"/>
          </w:tcPr>
          <w:p w14:paraId="4753894E">
            <w:pPr>
              <w:pStyle w:val="178"/>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eastAsia="zh-CN"/>
              </w:rPr>
              <w:t>11.66</w:t>
            </w:r>
          </w:p>
        </w:tc>
        <w:tc>
          <w:tcPr>
            <w:tcW w:w="569" w:type="pct"/>
            <w:vAlign w:val="center"/>
          </w:tcPr>
          <w:p w14:paraId="6AC754DE">
            <w:pPr>
              <w:pStyle w:val="178"/>
              <w:spacing w:line="360" w:lineRule="exact"/>
              <w:ind w:firstLine="0"/>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23.32</w:t>
            </w:r>
          </w:p>
        </w:tc>
        <w:tc>
          <w:tcPr>
            <w:tcW w:w="668" w:type="pct"/>
            <w:vAlign w:val="center"/>
          </w:tcPr>
          <w:p w14:paraId="7C0FB930">
            <w:pPr>
              <w:pStyle w:val="178"/>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eastAsia="zh-CN"/>
              </w:rPr>
              <w:t>+11.66</w:t>
            </w:r>
          </w:p>
        </w:tc>
      </w:tr>
    </w:tbl>
    <w:p w14:paraId="7AB17EB4">
      <w:pPr>
        <w:pStyle w:val="5"/>
        <w:keepNext w:val="0"/>
        <w:keepLines w:val="0"/>
        <w:widowControl w:val="0"/>
        <w:spacing w:line="440" w:lineRule="exact"/>
        <w:jc w:val="both"/>
        <w:rPr>
          <w:rFonts w:ascii="Times New Roman" w:hAnsi="Times New Roman" w:eastAsia="宋体"/>
          <w:b/>
          <w:snapToGrid w:val="0"/>
          <w:color w:val="auto"/>
          <w:w w:val="99"/>
          <w:highlight w:val="none"/>
        </w:rPr>
      </w:pPr>
      <w:bookmarkStart w:id="563" w:name="_Toc74812351"/>
      <w:bookmarkStart w:id="564" w:name="_Toc62550103"/>
      <w:bookmarkStart w:id="565" w:name="_Toc28477"/>
      <w:r>
        <w:rPr>
          <w:rFonts w:hint="eastAsia" w:ascii="Times New Roman" w:hAnsi="Times New Roman" w:eastAsia="宋体"/>
          <w:b/>
          <w:snapToGrid w:val="0"/>
          <w:color w:val="auto"/>
          <w:w w:val="99"/>
          <w:highlight w:val="none"/>
        </w:rPr>
        <w:t>3.11</w:t>
      </w:r>
      <w:r>
        <w:rPr>
          <w:rFonts w:ascii="Times New Roman" w:hAnsi="Times New Roman" w:eastAsia="宋体"/>
          <w:b/>
          <w:snapToGrid w:val="0"/>
          <w:color w:val="auto"/>
          <w:w w:val="99"/>
          <w:highlight w:val="none"/>
        </w:rPr>
        <w:t>清洁生产分析</w:t>
      </w:r>
      <w:bookmarkEnd w:id="563"/>
      <w:bookmarkEnd w:id="564"/>
      <w:bookmarkEnd w:id="565"/>
    </w:p>
    <w:p w14:paraId="0656B123">
      <w:pPr>
        <w:pStyle w:val="7"/>
        <w:keepNext w:val="0"/>
        <w:keepLines w:val="0"/>
        <w:widowControl w:val="0"/>
        <w:spacing w:line="440" w:lineRule="exact"/>
        <w:jc w:val="both"/>
        <w:rPr>
          <w:rFonts w:eastAsia="宋体"/>
          <w:b/>
          <w:color w:val="auto"/>
          <w:w w:val="99"/>
          <w:kern w:val="2"/>
          <w:sz w:val="24"/>
          <w:szCs w:val="24"/>
          <w:highlight w:val="none"/>
        </w:rPr>
      </w:pPr>
      <w:r>
        <w:rPr>
          <w:rFonts w:hint="eastAsia" w:eastAsia="宋体"/>
          <w:b/>
          <w:color w:val="auto"/>
          <w:w w:val="99"/>
          <w:kern w:val="2"/>
          <w:sz w:val="24"/>
          <w:szCs w:val="24"/>
          <w:highlight w:val="none"/>
        </w:rPr>
        <w:t>3.11</w:t>
      </w:r>
      <w:r>
        <w:rPr>
          <w:rFonts w:eastAsia="宋体"/>
          <w:b/>
          <w:color w:val="auto"/>
          <w:w w:val="99"/>
          <w:kern w:val="2"/>
          <w:sz w:val="24"/>
          <w:szCs w:val="24"/>
          <w:highlight w:val="none"/>
        </w:rPr>
        <w:t>.1</w:t>
      </w:r>
      <w:r>
        <w:rPr>
          <w:rFonts w:hint="eastAsia" w:eastAsia="宋体"/>
          <w:b/>
          <w:color w:val="auto"/>
          <w:w w:val="99"/>
          <w:kern w:val="2"/>
          <w:sz w:val="24"/>
          <w:szCs w:val="24"/>
          <w:highlight w:val="none"/>
        </w:rPr>
        <w:t>清洁生产概述</w:t>
      </w:r>
    </w:p>
    <w:p w14:paraId="46D64BEE">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《中华人民共和国清洁生产促进法》中规定</w:t>
      </w:r>
      <w:r>
        <w:rPr>
          <w:rFonts w:hint="eastAsia" w:ascii="Times New Roman" w:hAnsi="Times New Roman" w:cs="Times New Roman"/>
          <w:color w:val="auto"/>
          <w:w w:val="99"/>
          <w:kern w:val="2"/>
          <w:highlight w:val="none"/>
        </w:rPr>
        <w:t>：</w:t>
      </w:r>
      <w:r>
        <w:rPr>
          <w:rFonts w:ascii="Times New Roman" w:hAnsi="Times New Roman" w:cs="Times New Roman"/>
          <w:color w:val="auto"/>
          <w:w w:val="99"/>
          <w:kern w:val="2"/>
          <w:highlight w:val="none"/>
        </w:rPr>
        <w:t>清洁生产是指不断采取改进设计、使用清洁生产的能源和原料、用先进的工艺技术与设备、改善管理、综合利用等措施，从源头削减污染，提高资源利用率，减少或者避免生产、服务和产品使用过程中污染物的产生和排放，以减轻或者消除对人类健康和环境的危害。</w:t>
      </w:r>
    </w:p>
    <w:p w14:paraId="262BB67D">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本工程实行清洁生产，通过生产全过程控制和资源能源的合理配置，最大限度地把原料转化为产品，把污染消灭在生产过程中，达到节能、降耗、减污、增效的目的。按照清洁生产的要求，本评价将从工艺设备的先进性、资源综合利用和环境保护等方面进行论述。</w:t>
      </w:r>
    </w:p>
    <w:p w14:paraId="7604A8C2">
      <w:pPr>
        <w:pStyle w:val="7"/>
        <w:keepNext w:val="0"/>
        <w:keepLines w:val="0"/>
        <w:widowControl w:val="0"/>
        <w:spacing w:line="440" w:lineRule="exact"/>
        <w:jc w:val="both"/>
        <w:rPr>
          <w:rFonts w:eastAsia="宋体"/>
          <w:b/>
          <w:color w:val="auto"/>
          <w:w w:val="99"/>
          <w:kern w:val="2"/>
          <w:sz w:val="24"/>
          <w:szCs w:val="24"/>
          <w:highlight w:val="none"/>
        </w:rPr>
      </w:pPr>
      <w:r>
        <w:rPr>
          <w:rFonts w:hint="eastAsia" w:eastAsia="宋体"/>
          <w:b/>
          <w:color w:val="auto"/>
          <w:w w:val="99"/>
          <w:kern w:val="2"/>
          <w:sz w:val="24"/>
          <w:szCs w:val="24"/>
          <w:highlight w:val="none"/>
        </w:rPr>
        <w:t>3.11.2生产工艺与装备水平</w:t>
      </w:r>
    </w:p>
    <w:p w14:paraId="2BCB0207">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w:t>
      </w:r>
      <w:r>
        <w:rPr>
          <w:rFonts w:ascii="Times New Roman" w:hAnsi="Times New Roman" w:cs="Times New Roman"/>
          <w:color w:val="auto"/>
          <w:w w:val="99"/>
          <w:kern w:val="2"/>
          <w:highlight w:val="none"/>
        </w:rPr>
        <w:t>1）加强气井井口的密闭集输</w:t>
      </w:r>
      <w:r>
        <w:rPr>
          <w:rFonts w:hint="eastAsia" w:ascii="Times New Roman" w:hAnsi="Times New Roman" w:cs="Times New Roman"/>
          <w:color w:val="auto"/>
          <w:w w:val="99"/>
          <w:kern w:val="2"/>
          <w:highlight w:val="none"/>
        </w:rPr>
        <w:t>，</w:t>
      </w:r>
      <w:r>
        <w:rPr>
          <w:rFonts w:ascii="Times New Roman" w:hAnsi="Times New Roman" w:cs="Times New Roman"/>
          <w:color w:val="auto"/>
          <w:w w:val="99"/>
          <w:kern w:val="2"/>
          <w:highlight w:val="none"/>
        </w:rPr>
        <w:t>减少井口天然气的无组织挥发，控制站场分离器压力，减少放空，并对设备的选型设计充分考虑其承压能力。</w:t>
      </w:r>
    </w:p>
    <w:p w14:paraId="2619A195">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w:t>
      </w:r>
      <w:r>
        <w:rPr>
          <w:rFonts w:ascii="Times New Roman" w:hAnsi="Times New Roman" w:cs="Times New Roman"/>
          <w:color w:val="auto"/>
          <w:w w:val="99"/>
          <w:kern w:val="2"/>
          <w:highlight w:val="none"/>
        </w:rPr>
        <w:t>2）由于采气井口及进站阀组的切换阀采用开关无磨损的轨道球阀，该阀采用硬密封，耐冲蚀，能达到零泄漏，避免天然气挥发。</w:t>
      </w:r>
    </w:p>
    <w:p w14:paraId="40589F34">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（3）</w:t>
      </w:r>
      <w:r>
        <w:rPr>
          <w:rFonts w:ascii="Times New Roman" w:hAnsi="Times New Roman" w:cs="Times New Roman"/>
          <w:color w:val="auto"/>
          <w:w w:val="99"/>
          <w:kern w:val="2"/>
          <w:highlight w:val="none"/>
        </w:rPr>
        <w:t>天然气开采和集输采用全密闭工艺流程，提高天然气输送量，降低天然气损耗，从而节约能源，降低对大气环境的污染。</w:t>
      </w:r>
    </w:p>
    <w:p w14:paraId="22E07212">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（4）</w:t>
      </w:r>
      <w:r>
        <w:rPr>
          <w:rFonts w:ascii="Times New Roman" w:hAnsi="Times New Roman" w:cs="Times New Roman"/>
          <w:color w:val="auto"/>
          <w:w w:val="99"/>
          <w:kern w:val="2"/>
          <w:highlight w:val="none"/>
        </w:rPr>
        <w:t>在天然气可能发生泄漏危险事故的地点设置可燃气体浓度报警器。</w:t>
      </w:r>
    </w:p>
    <w:p w14:paraId="1784F0C3">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（5）</w:t>
      </w:r>
      <w:r>
        <w:rPr>
          <w:rFonts w:ascii="Times New Roman" w:hAnsi="Times New Roman" w:cs="Times New Roman"/>
          <w:color w:val="auto"/>
          <w:w w:val="99"/>
          <w:kern w:val="2"/>
          <w:highlight w:val="none"/>
        </w:rPr>
        <w:t>本工程选用高质量节流阀，减小站内管道流速，选用高质量低分贝的机泵，将噪声较大的发电机等布置在隔声房间内。</w:t>
      </w:r>
    </w:p>
    <w:p w14:paraId="6215229C">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以上措施，从生产工艺技术和设备选型上充分体现了清洁生产的原则。</w:t>
      </w:r>
    </w:p>
    <w:p w14:paraId="5FDD963C">
      <w:pPr>
        <w:pStyle w:val="7"/>
        <w:keepNext w:val="0"/>
        <w:keepLines w:val="0"/>
        <w:widowControl w:val="0"/>
        <w:spacing w:line="440" w:lineRule="exact"/>
        <w:jc w:val="both"/>
        <w:rPr>
          <w:rFonts w:eastAsia="宋体"/>
          <w:b/>
          <w:color w:val="auto"/>
          <w:w w:val="99"/>
          <w:kern w:val="2"/>
          <w:sz w:val="24"/>
          <w:szCs w:val="24"/>
          <w:highlight w:val="none"/>
        </w:rPr>
      </w:pPr>
      <w:r>
        <w:rPr>
          <w:rFonts w:hint="eastAsia" w:eastAsia="宋体"/>
          <w:b/>
          <w:color w:val="auto"/>
          <w:w w:val="99"/>
          <w:kern w:val="2"/>
          <w:sz w:val="24"/>
          <w:szCs w:val="24"/>
          <w:highlight w:val="none"/>
        </w:rPr>
        <w:t>3.11.3节能和减排措施</w:t>
      </w:r>
    </w:p>
    <w:p w14:paraId="52D95449">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（1）</w:t>
      </w:r>
      <w:r>
        <w:rPr>
          <w:rFonts w:ascii="Times New Roman" w:hAnsi="Times New Roman" w:cs="Times New Roman"/>
          <w:color w:val="auto"/>
          <w:w w:val="99"/>
          <w:kern w:val="2"/>
          <w:highlight w:val="none"/>
        </w:rPr>
        <w:t>工艺流程全部选用高自动化程度的密闭流程</w:t>
      </w:r>
      <w:r>
        <w:rPr>
          <w:rFonts w:hint="eastAsia" w:ascii="Times New Roman" w:hAnsi="Times New Roman" w:cs="Times New Roman"/>
          <w:color w:val="auto"/>
          <w:w w:val="99"/>
          <w:kern w:val="2"/>
          <w:highlight w:val="none"/>
        </w:rPr>
        <w:t>，</w:t>
      </w:r>
      <w:r>
        <w:rPr>
          <w:rFonts w:ascii="Times New Roman" w:hAnsi="Times New Roman" w:cs="Times New Roman"/>
          <w:color w:val="auto"/>
          <w:w w:val="99"/>
          <w:kern w:val="2"/>
          <w:highlight w:val="none"/>
        </w:rPr>
        <w:t>确保生产安全的前提下，实现天然气“零排放”。</w:t>
      </w:r>
    </w:p>
    <w:p w14:paraId="76836236">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（2）</w:t>
      </w:r>
      <w:r>
        <w:rPr>
          <w:rFonts w:ascii="Times New Roman" w:hAnsi="Times New Roman" w:cs="Times New Roman"/>
          <w:color w:val="auto"/>
          <w:w w:val="99"/>
          <w:kern w:val="2"/>
          <w:highlight w:val="none"/>
        </w:rPr>
        <w:t>选用新型、高效低能耗的机电设备。</w:t>
      </w:r>
    </w:p>
    <w:p w14:paraId="295BAED3">
      <w:pPr>
        <w:pStyle w:val="7"/>
        <w:keepNext w:val="0"/>
        <w:keepLines w:val="0"/>
        <w:widowControl w:val="0"/>
        <w:spacing w:line="440" w:lineRule="exact"/>
        <w:jc w:val="both"/>
        <w:rPr>
          <w:rFonts w:eastAsia="宋体"/>
          <w:b/>
          <w:color w:val="auto"/>
          <w:w w:val="99"/>
          <w:kern w:val="2"/>
          <w:sz w:val="24"/>
          <w:szCs w:val="24"/>
          <w:highlight w:val="none"/>
        </w:rPr>
      </w:pPr>
      <w:r>
        <w:rPr>
          <w:rFonts w:hint="eastAsia" w:eastAsia="宋体"/>
          <w:b/>
          <w:color w:val="auto"/>
          <w:w w:val="99"/>
          <w:kern w:val="2"/>
          <w:sz w:val="24"/>
          <w:szCs w:val="24"/>
          <w:highlight w:val="none"/>
        </w:rPr>
        <w:t>3.11</w:t>
      </w:r>
      <w:r>
        <w:rPr>
          <w:rFonts w:eastAsia="宋体"/>
          <w:b/>
          <w:color w:val="auto"/>
          <w:w w:val="99"/>
          <w:kern w:val="2"/>
          <w:sz w:val="24"/>
          <w:szCs w:val="24"/>
          <w:highlight w:val="none"/>
        </w:rPr>
        <w:t>.4环境管理制度</w:t>
      </w:r>
    </w:p>
    <w:p w14:paraId="3D4E9C36">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在建设和生产过程中，积极推行QHSE管理体系，对全体员工进行相应的QHSE培训，使公司的员工自觉遵守QHSE管理体系以保护其人身安全和周围环境，尽量减少直至杜绝环境污染事故的发生。</w:t>
      </w:r>
    </w:p>
    <w:p w14:paraId="0BCB8901">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建立健全各项规章制度，以法规、行政、经济等手段，规范开发建设行为，对施工方案、作业工序等方面提出明确的污染防治措施和规定，使施工队伍、作业队伍实施清洁生产有法可依、有章可循，规范了企业及职工的生产行为。推行清洁生产，重视环保宣传教育和培训，依靠广大职工搞好污染防治、清洁生产工作。</w:t>
      </w:r>
    </w:p>
    <w:p w14:paraId="1A53A67C">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综上所述，本工程在</w:t>
      </w:r>
      <w:r>
        <w:rPr>
          <w:rFonts w:hint="eastAsia" w:ascii="Times New Roman" w:hAnsi="Times New Roman" w:cs="Times New Roman"/>
          <w:color w:val="auto"/>
          <w:w w:val="99"/>
          <w:kern w:val="2"/>
          <w:highlight w:val="none"/>
        </w:rPr>
        <w:t>生产</w:t>
      </w:r>
      <w:r>
        <w:rPr>
          <w:rFonts w:ascii="Times New Roman" w:hAnsi="Times New Roman" w:cs="Times New Roman"/>
          <w:color w:val="auto"/>
          <w:w w:val="99"/>
          <w:kern w:val="2"/>
          <w:highlight w:val="none"/>
        </w:rPr>
        <w:t>工艺、</w:t>
      </w:r>
      <w:r>
        <w:rPr>
          <w:rFonts w:hint="eastAsia" w:ascii="Times New Roman" w:hAnsi="Times New Roman" w:cs="Times New Roman"/>
          <w:color w:val="auto"/>
          <w:w w:val="99"/>
          <w:kern w:val="2"/>
          <w:highlight w:val="none"/>
        </w:rPr>
        <w:t>装备水平</w:t>
      </w:r>
      <w:r>
        <w:rPr>
          <w:rFonts w:ascii="Times New Roman" w:hAnsi="Times New Roman" w:cs="Times New Roman"/>
          <w:color w:val="auto"/>
          <w:w w:val="99"/>
          <w:kern w:val="2"/>
          <w:highlight w:val="none"/>
        </w:rPr>
        <w:t>、</w:t>
      </w:r>
      <w:r>
        <w:rPr>
          <w:rFonts w:hint="eastAsia" w:ascii="Times New Roman" w:hAnsi="Times New Roman" w:cs="Times New Roman"/>
          <w:color w:val="auto"/>
          <w:w w:val="99"/>
          <w:kern w:val="2"/>
          <w:highlight w:val="none"/>
        </w:rPr>
        <w:t>节能减排</w:t>
      </w:r>
      <w:r>
        <w:rPr>
          <w:rFonts w:ascii="Times New Roman" w:hAnsi="Times New Roman" w:cs="Times New Roman"/>
          <w:color w:val="auto"/>
          <w:w w:val="99"/>
          <w:kern w:val="2"/>
          <w:highlight w:val="none"/>
        </w:rPr>
        <w:t>、</w:t>
      </w:r>
      <w:r>
        <w:rPr>
          <w:rFonts w:hint="eastAsia" w:ascii="Times New Roman" w:hAnsi="Times New Roman" w:cs="Times New Roman"/>
          <w:color w:val="auto"/>
          <w:w w:val="99"/>
          <w:kern w:val="2"/>
          <w:highlight w:val="none"/>
        </w:rPr>
        <w:t>环境管理</w:t>
      </w:r>
      <w:r>
        <w:rPr>
          <w:rFonts w:ascii="Times New Roman" w:hAnsi="Times New Roman" w:cs="Times New Roman"/>
          <w:color w:val="auto"/>
          <w:w w:val="99"/>
          <w:kern w:val="2"/>
          <w:highlight w:val="none"/>
        </w:rPr>
        <w:t>等方面均采取一定有效措施，清洁生产达到了国内先进水平。</w:t>
      </w:r>
    </w:p>
    <w:p w14:paraId="1626A297">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63382F87">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7D84427A">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55F74CDD">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0B4C8E95">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1306AADF">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01D5DE18">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04B5F139">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52F3DB85">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7039568B">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62BA1039">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170D531F">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753A7BC3">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5FAAEE2F">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3B807524">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4A1AA76A">
      <w:pPr>
        <w:pStyle w:val="102"/>
        <w:rPr>
          <w:rFonts w:hint="default"/>
          <w:color w:val="auto"/>
          <w:highlight w:val="none"/>
        </w:rPr>
      </w:pPr>
    </w:p>
    <w:bookmarkEnd w:id="522"/>
    <w:p w14:paraId="7B957654">
      <w:pPr>
        <w:spacing w:before="180" w:after="180" w:line="440" w:lineRule="exact"/>
        <w:outlineLvl w:val="0"/>
        <w:rPr>
          <w:rFonts w:ascii="Times New Roman" w:hAnsi="Times New Roman" w:cs="Times New Roman"/>
          <w:b/>
          <w:bCs/>
          <w:color w:val="auto"/>
          <w:w w:val="99"/>
          <w:sz w:val="30"/>
          <w:szCs w:val="30"/>
          <w:highlight w:val="none"/>
        </w:rPr>
      </w:pPr>
      <w:bookmarkStart w:id="566" w:name="_Toc31988"/>
      <w:bookmarkStart w:id="567" w:name="_Toc502736485"/>
      <w:r>
        <w:rPr>
          <w:rFonts w:ascii="Times New Roman" w:hAnsi="Times New Roman" w:cs="Times New Roman"/>
          <w:b/>
          <w:bCs/>
          <w:color w:val="auto"/>
          <w:w w:val="99"/>
          <w:sz w:val="30"/>
          <w:szCs w:val="30"/>
          <w:highlight w:val="none"/>
        </w:rPr>
        <w:t>4环境现状调查与评价</w:t>
      </w:r>
      <w:bookmarkEnd w:id="566"/>
      <w:bookmarkEnd w:id="567"/>
    </w:p>
    <w:p w14:paraId="2FE97924">
      <w:pPr>
        <w:pStyle w:val="5"/>
        <w:keepNext w:val="0"/>
        <w:keepLines w:val="0"/>
        <w:widowControl w:val="0"/>
        <w:spacing w:before="120" w:after="120" w:line="440" w:lineRule="exact"/>
        <w:jc w:val="both"/>
        <w:rPr>
          <w:rFonts w:ascii="Times New Roman" w:hAnsi="Times New Roman" w:eastAsia="宋体"/>
          <w:b/>
          <w:snapToGrid w:val="0"/>
          <w:color w:val="auto"/>
          <w:w w:val="99"/>
          <w:highlight w:val="none"/>
        </w:rPr>
      </w:pPr>
      <w:bookmarkStart w:id="568" w:name="_Toc502736486"/>
      <w:bookmarkStart w:id="569" w:name="_Toc475378598"/>
      <w:bookmarkStart w:id="570" w:name="_Toc24635"/>
      <w:bookmarkStart w:id="571" w:name="_Toc472590896"/>
      <w:bookmarkStart w:id="572" w:name="_Toc255391947"/>
      <w:bookmarkStart w:id="573" w:name="_Toc127950100"/>
      <w:bookmarkStart w:id="574" w:name="_Toc449393546"/>
      <w:bookmarkStart w:id="575" w:name="_Toc472585619"/>
      <w:bookmarkStart w:id="576" w:name="_Toc101092159"/>
      <w:bookmarkStart w:id="577" w:name="_Toc296952023"/>
      <w:r>
        <w:rPr>
          <w:rFonts w:ascii="Times New Roman" w:hAnsi="Times New Roman" w:eastAsia="宋体"/>
          <w:b/>
          <w:snapToGrid w:val="0"/>
          <w:color w:val="auto"/>
          <w:w w:val="99"/>
          <w:highlight w:val="none"/>
        </w:rPr>
        <w:t>4.1自然环境</w:t>
      </w:r>
      <w:bookmarkEnd w:id="568"/>
      <w:bookmarkEnd w:id="569"/>
      <w:r>
        <w:rPr>
          <w:rFonts w:ascii="Times New Roman" w:hAnsi="Times New Roman" w:eastAsia="宋体"/>
          <w:b/>
          <w:snapToGrid w:val="0"/>
          <w:color w:val="auto"/>
          <w:w w:val="99"/>
          <w:highlight w:val="none"/>
        </w:rPr>
        <w:t>状况</w:t>
      </w:r>
      <w:bookmarkEnd w:id="570"/>
    </w:p>
    <w:bookmarkEnd w:id="571"/>
    <w:bookmarkEnd w:id="572"/>
    <w:bookmarkEnd w:id="573"/>
    <w:bookmarkEnd w:id="574"/>
    <w:bookmarkEnd w:id="575"/>
    <w:bookmarkEnd w:id="576"/>
    <w:bookmarkEnd w:id="577"/>
    <w:p w14:paraId="2AD92109">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578" w:name="_Toc83209505"/>
      <w:bookmarkStart w:id="579" w:name="_Toc67860158"/>
      <w:bookmarkStart w:id="580" w:name="_Toc80971405"/>
      <w:bookmarkStart w:id="581" w:name="_Toc244330360"/>
      <w:bookmarkStart w:id="582" w:name="_Toc57203273"/>
      <w:bookmarkStart w:id="583" w:name="_Toc70050207"/>
      <w:bookmarkStart w:id="584" w:name="_Toc57976695"/>
      <w:bookmarkStart w:id="585" w:name="_Toc186444311"/>
      <w:bookmarkStart w:id="586" w:name="_Toc402352943"/>
      <w:bookmarkStart w:id="587" w:name="_Toc78816488"/>
      <w:bookmarkStart w:id="588" w:name="_Toc17898192"/>
      <w:bookmarkStart w:id="589" w:name="_Toc77067686"/>
      <w:bookmarkStart w:id="590" w:name="_Toc76976274"/>
      <w:bookmarkStart w:id="591" w:name="_Toc244329286"/>
      <w:bookmarkStart w:id="592" w:name="_Toc61597257"/>
      <w:bookmarkStart w:id="593" w:name="_Toc422224741"/>
      <w:bookmarkStart w:id="594" w:name="_Toc244330526"/>
      <w:bookmarkStart w:id="595" w:name="_Toc80588283"/>
      <w:bookmarkStart w:id="596" w:name="_Toc57707943"/>
      <w:r>
        <w:rPr>
          <w:rFonts w:eastAsia="宋体"/>
          <w:b/>
          <w:color w:val="auto"/>
          <w:w w:val="99"/>
          <w:kern w:val="2"/>
          <w:sz w:val="24"/>
          <w:szCs w:val="24"/>
          <w:highlight w:val="none"/>
        </w:rPr>
        <w:t>4.1.1地理位置</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14:paraId="66D530A2">
      <w:pPr>
        <w:widowControl w:val="0"/>
        <w:spacing w:line="440" w:lineRule="exact"/>
        <w:ind w:firstLine="474" w:firstLineChars="200"/>
        <w:jc w:val="both"/>
        <w:rPr>
          <w:rFonts w:ascii="Times New Roman" w:hAnsi="Times New Roman" w:cs="Times New Roman" w:eastAsiaTheme="minorEastAsia"/>
          <w:color w:val="auto"/>
          <w:w w:val="99"/>
          <w:highlight w:val="none"/>
        </w:rPr>
      </w:pPr>
      <w:bookmarkStart w:id="597" w:name="_Toc57203274"/>
      <w:bookmarkStart w:id="598" w:name="_Toc70050208"/>
      <w:bookmarkStart w:id="599" w:name="_Toc80971406"/>
      <w:bookmarkStart w:id="600" w:name="_Toc67860159"/>
      <w:bookmarkStart w:id="601" w:name="_Toc57707944"/>
      <w:bookmarkStart w:id="602" w:name="_Toc61597258"/>
      <w:bookmarkStart w:id="603" w:name="_Toc77067687"/>
      <w:bookmarkStart w:id="604" w:name="_Toc17898193"/>
      <w:bookmarkStart w:id="605" w:name="_Toc76976275"/>
      <w:bookmarkStart w:id="606" w:name="_Toc78816489"/>
      <w:bookmarkStart w:id="607" w:name="_Toc83209506"/>
      <w:bookmarkStart w:id="608" w:name="_Toc80588284"/>
      <w:bookmarkStart w:id="609" w:name="_Toc57976696"/>
      <w:bookmarkStart w:id="610" w:name="_Toc402352946"/>
      <w:bookmarkStart w:id="611" w:name="_Toc244330362"/>
      <w:bookmarkStart w:id="612" w:name="_Toc244330528"/>
      <w:bookmarkStart w:id="613" w:name="_Toc422224744"/>
      <w:bookmarkStart w:id="614" w:name="_Toc244329288"/>
      <w:bookmarkStart w:id="615" w:name="_Toc502736490"/>
      <w:r>
        <w:rPr>
          <w:rFonts w:hint="eastAsia" w:ascii="Times New Roman" w:hAnsi="Times New Roman" w:cs="Times New Roman" w:eastAsiaTheme="minorEastAsia"/>
          <w:color w:val="auto"/>
          <w:w w:val="99"/>
          <w:highlight w:val="none"/>
        </w:rPr>
        <w:t>本项目</w:t>
      </w:r>
      <w:r>
        <w:rPr>
          <w:rFonts w:ascii="Times New Roman" w:hAnsi="Times New Roman" w:cs="Times New Roman" w:eastAsiaTheme="minorEastAsia"/>
          <w:color w:val="auto"/>
          <w:w w:val="99"/>
          <w:highlight w:val="none"/>
        </w:rPr>
        <w:t>位于黑龙江省绥化市肇东市跃进乡邢家围子屯西侧300m处，其中心坐标：125°30′30.661″，45°53′35.271″；区内油</w:t>
      </w:r>
      <w:r>
        <w:rPr>
          <w:rFonts w:hint="eastAsia" w:ascii="Times New Roman" w:hAnsi="Times New Roman" w:cs="Times New Roman" w:eastAsiaTheme="minorEastAsia"/>
          <w:color w:val="auto"/>
          <w:w w:val="99"/>
          <w:highlight w:val="none"/>
        </w:rPr>
        <w:t>气</w:t>
      </w:r>
      <w:r>
        <w:rPr>
          <w:rFonts w:ascii="Times New Roman" w:hAnsi="Times New Roman" w:cs="Times New Roman" w:eastAsiaTheme="minorEastAsia"/>
          <w:color w:val="auto"/>
          <w:w w:val="99"/>
          <w:highlight w:val="none"/>
        </w:rPr>
        <w:t>田公路四通八达，交通便利，移动、联通网络均覆盖该地区，通讯发达。区块周围分布有村屯、农田等。具体地理位置见附图1。</w:t>
      </w:r>
    </w:p>
    <w:p w14:paraId="1BB792F1">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616" w:name="_Toc186444312"/>
      <w:r>
        <w:rPr>
          <w:rFonts w:eastAsia="宋体"/>
          <w:b/>
          <w:color w:val="auto"/>
          <w:w w:val="99"/>
          <w:kern w:val="2"/>
          <w:sz w:val="24"/>
          <w:szCs w:val="24"/>
          <w:highlight w:val="none"/>
        </w:rPr>
        <w:t>4.1.2地形地貌</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6"/>
    </w:p>
    <w:p w14:paraId="6C8CE417">
      <w:pPr>
        <w:spacing w:line="440" w:lineRule="exact"/>
        <w:ind w:firstLine="474" w:firstLineChars="200"/>
        <w:rPr>
          <w:rFonts w:ascii="Times New Roman" w:hAnsi="Times New Roman" w:cs="Times New Roman"/>
          <w:bCs/>
          <w:color w:val="auto"/>
          <w:w w:val="99"/>
          <w:highlight w:val="none"/>
        </w:rPr>
      </w:pPr>
      <w:r>
        <w:rPr>
          <w:rFonts w:hint="eastAsia" w:ascii="Times New Roman" w:hAnsi="Times New Roman" w:cs="Times New Roman" w:eastAsiaTheme="minorEastAsia"/>
          <w:bCs/>
          <w:color w:val="auto"/>
          <w:w w:val="99"/>
          <w:highlight w:val="none"/>
        </w:rPr>
        <w:t>评价区处于松花江及嫩江冲积平原北部，地形呈北高南低的广阔波状平原。评价区位于绥化市南部跃进乡西南部，和肇州县永胜乡的东部接壤。区域地势平坦低洼，地面绝对标高在165.0～227.0m之间，东部高西部低，地表径流条件较好。地貌成因类型及形态特征为冲湖积微波状起伏低平原，其上湖泊、沼泽湿地及盐碱低地较为发育</w:t>
      </w:r>
      <w:r>
        <w:rPr>
          <w:rFonts w:ascii="Times New Roman" w:hAnsi="Times New Roman" w:cs="Times New Roman" w:eastAsiaTheme="minorEastAsia"/>
          <w:bCs/>
          <w:color w:val="auto"/>
          <w:w w:val="99"/>
          <w:highlight w:val="none"/>
        </w:rPr>
        <w:t>。</w:t>
      </w:r>
    </w:p>
    <w:p w14:paraId="74173D90">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617" w:name="_Toc57203275"/>
      <w:bookmarkStart w:id="618" w:name="_Toc57707945"/>
      <w:bookmarkStart w:id="619" w:name="_Toc186444313"/>
      <w:bookmarkStart w:id="620" w:name="_Toc80588285"/>
      <w:bookmarkStart w:id="621" w:name="_Toc76976276"/>
      <w:bookmarkStart w:id="622" w:name="_Toc77067688"/>
      <w:bookmarkStart w:id="623" w:name="_Toc70050209"/>
      <w:bookmarkStart w:id="624" w:name="_Toc61597259"/>
      <w:bookmarkStart w:id="625" w:name="_Toc83209507"/>
      <w:bookmarkStart w:id="626" w:name="_Toc67860160"/>
      <w:bookmarkStart w:id="627" w:name="_Toc78816490"/>
      <w:bookmarkStart w:id="628" w:name="_Toc57976697"/>
      <w:bookmarkStart w:id="629" w:name="_Toc80971407"/>
      <w:r>
        <w:rPr>
          <w:rFonts w:eastAsia="宋体"/>
          <w:b/>
          <w:color w:val="auto"/>
          <w:w w:val="99"/>
          <w:kern w:val="2"/>
          <w:sz w:val="24"/>
          <w:szCs w:val="24"/>
          <w:highlight w:val="none"/>
        </w:rPr>
        <w:t>4.1.3 气象特征</w:t>
      </w:r>
      <w:bookmarkEnd w:id="617"/>
      <w:bookmarkEnd w:id="618"/>
      <w:bookmarkEnd w:id="619"/>
      <w:bookmarkEnd w:id="620"/>
      <w:bookmarkEnd w:id="621"/>
      <w:bookmarkEnd w:id="622"/>
      <w:bookmarkEnd w:id="623"/>
      <w:bookmarkEnd w:id="624"/>
      <w:bookmarkEnd w:id="625"/>
      <w:bookmarkEnd w:id="626"/>
      <w:bookmarkEnd w:id="627"/>
      <w:bookmarkEnd w:id="628"/>
      <w:bookmarkEnd w:id="629"/>
    </w:p>
    <w:p w14:paraId="3AA1BD37">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bookmarkStart w:id="630" w:name="_Toc143099605"/>
      <w:bookmarkStart w:id="631" w:name="_Toc186444314"/>
      <w:r>
        <w:rPr>
          <w:rFonts w:ascii="Times New Roman" w:hAnsi="Times New Roman" w:cs="Times New Roman"/>
          <w:color w:val="auto"/>
          <w:w w:val="99"/>
          <w:kern w:val="2"/>
          <w:highlight w:val="none"/>
        </w:rPr>
        <w:t>该地区属北温带大陆性季风气候，四季分明，受蒙古内陆冷空气和海洋暖流季风影响较大，冬季漫长而寒冷干燥，夏季短暂而温湿多雨，春秋季风交替，气温变化大，冰封期长，无霜期短，冻土深达2-2.2m。</w:t>
      </w:r>
    </w:p>
    <w:p w14:paraId="69E4C337">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气温：年平均气温</w:t>
      </w:r>
      <w:r>
        <w:rPr>
          <w:rFonts w:hint="eastAsia" w:ascii="Times New Roman" w:hAnsi="Times New Roman" w:cs="Times New Roman"/>
          <w:color w:val="auto"/>
          <w:w w:val="99"/>
          <w:kern w:val="2"/>
          <w:highlight w:val="none"/>
        </w:rPr>
        <w:t>5.3</w:t>
      </w:r>
      <w:r>
        <w:rPr>
          <w:rFonts w:ascii="Times New Roman" w:hAnsi="Times New Roman" w:cs="Times New Roman"/>
          <w:color w:val="auto"/>
          <w:w w:val="99"/>
          <w:kern w:val="2"/>
          <w:highlight w:val="none"/>
        </w:rPr>
        <w:t>℃，年极端最高气温38.</w:t>
      </w:r>
      <w:r>
        <w:rPr>
          <w:rFonts w:hint="eastAsia" w:ascii="Times New Roman" w:hAnsi="Times New Roman" w:cs="Times New Roman"/>
          <w:color w:val="auto"/>
          <w:w w:val="99"/>
          <w:kern w:val="2"/>
          <w:highlight w:val="none"/>
        </w:rPr>
        <w:t>8</w:t>
      </w:r>
      <w:r>
        <w:rPr>
          <w:rFonts w:ascii="Times New Roman" w:hAnsi="Times New Roman" w:cs="Times New Roman"/>
          <w:color w:val="auto"/>
          <w:w w:val="99"/>
          <w:kern w:val="2"/>
          <w:highlight w:val="none"/>
        </w:rPr>
        <w:t>℃，年极端最低气温-3</w:t>
      </w:r>
      <w:r>
        <w:rPr>
          <w:rFonts w:hint="eastAsia" w:ascii="Times New Roman" w:hAnsi="Times New Roman" w:cs="Times New Roman"/>
          <w:color w:val="auto"/>
          <w:w w:val="99"/>
          <w:kern w:val="2"/>
          <w:highlight w:val="none"/>
        </w:rPr>
        <w:t>1.9</w:t>
      </w:r>
      <w:r>
        <w:rPr>
          <w:rFonts w:ascii="Times New Roman" w:hAnsi="Times New Roman" w:cs="Times New Roman"/>
          <w:color w:val="auto"/>
          <w:w w:val="99"/>
          <w:kern w:val="2"/>
          <w:highlight w:val="none"/>
        </w:rPr>
        <w:t>℃。</w:t>
      </w:r>
    </w:p>
    <w:p w14:paraId="082205D4">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风速：平均风速</w:t>
      </w:r>
      <w:r>
        <w:rPr>
          <w:rFonts w:hint="eastAsia" w:ascii="Times New Roman" w:hAnsi="Times New Roman" w:cs="Times New Roman"/>
          <w:color w:val="auto"/>
          <w:w w:val="99"/>
          <w:kern w:val="2"/>
          <w:highlight w:val="none"/>
        </w:rPr>
        <w:t>2.3</w:t>
      </w:r>
      <w:r>
        <w:rPr>
          <w:rFonts w:ascii="Times New Roman" w:hAnsi="Times New Roman" w:cs="Times New Roman"/>
          <w:color w:val="auto"/>
          <w:w w:val="99"/>
          <w:kern w:val="2"/>
          <w:highlight w:val="none"/>
        </w:rPr>
        <w:t xml:space="preserve"> m/s，年最大风速为</w:t>
      </w:r>
      <w:r>
        <w:rPr>
          <w:rFonts w:hint="eastAsia" w:ascii="Times New Roman" w:hAnsi="Times New Roman" w:cs="Times New Roman"/>
          <w:color w:val="auto"/>
          <w:w w:val="99"/>
          <w:kern w:val="2"/>
          <w:highlight w:val="none"/>
        </w:rPr>
        <w:t>26.2</w:t>
      </w:r>
      <w:r>
        <w:rPr>
          <w:rFonts w:ascii="Times New Roman" w:hAnsi="Times New Roman" w:cs="Times New Roman"/>
          <w:color w:val="auto"/>
          <w:w w:val="99"/>
          <w:kern w:val="2"/>
          <w:highlight w:val="none"/>
        </w:rPr>
        <w:t>m/s。</w:t>
      </w:r>
    </w:p>
    <w:p w14:paraId="1C463843">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降水量：年平均</w:t>
      </w:r>
      <w:r>
        <w:rPr>
          <w:rFonts w:hint="eastAsia" w:ascii="Times New Roman" w:hAnsi="Times New Roman" w:cs="Times New Roman"/>
          <w:color w:val="auto"/>
          <w:w w:val="99"/>
          <w:kern w:val="2"/>
          <w:highlight w:val="none"/>
        </w:rPr>
        <w:t>501.4</w:t>
      </w:r>
      <w:r>
        <w:rPr>
          <w:rFonts w:ascii="Times New Roman" w:hAnsi="Times New Roman" w:cs="Times New Roman"/>
          <w:color w:val="auto"/>
          <w:w w:val="99"/>
          <w:kern w:val="2"/>
          <w:highlight w:val="none"/>
        </w:rPr>
        <w:t>mm，年最大降水量651.2 mm。</w:t>
      </w:r>
    </w:p>
    <w:p w14:paraId="4CE91631">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湿度：年平均相对湿度为</w:t>
      </w:r>
      <w:r>
        <w:rPr>
          <w:rFonts w:hint="eastAsia" w:ascii="Times New Roman" w:hAnsi="Times New Roman" w:cs="Times New Roman"/>
          <w:color w:val="auto"/>
          <w:w w:val="99"/>
          <w:kern w:val="2"/>
          <w:highlight w:val="none"/>
        </w:rPr>
        <w:t>60.8</w:t>
      </w:r>
      <w:r>
        <w:rPr>
          <w:rFonts w:ascii="Times New Roman" w:hAnsi="Times New Roman" w:cs="Times New Roman"/>
          <w:color w:val="auto"/>
          <w:w w:val="99"/>
          <w:kern w:val="2"/>
          <w:highlight w:val="none"/>
        </w:rPr>
        <w:t>%。</w:t>
      </w:r>
    </w:p>
    <w:p w14:paraId="250523F4">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年日照时数：</w:t>
      </w:r>
      <w:r>
        <w:rPr>
          <w:rFonts w:hint="eastAsia" w:ascii="Times New Roman" w:hAnsi="Times New Roman" w:cs="Times New Roman"/>
          <w:color w:val="auto"/>
          <w:w w:val="99"/>
          <w:kern w:val="2"/>
          <w:highlight w:val="none"/>
        </w:rPr>
        <w:t>2515.2</w:t>
      </w:r>
      <w:r>
        <w:rPr>
          <w:rFonts w:ascii="Times New Roman" w:hAnsi="Times New Roman" w:cs="Times New Roman"/>
          <w:color w:val="auto"/>
          <w:w w:val="99"/>
          <w:kern w:val="2"/>
          <w:highlight w:val="none"/>
        </w:rPr>
        <w:t>小时。</w:t>
      </w:r>
    </w:p>
    <w:p w14:paraId="51410C6D">
      <w:pPr>
        <w:keepNext/>
        <w:keepLines/>
        <w:widowControl w:val="0"/>
        <w:spacing w:before="60" w:after="60" w:line="440" w:lineRule="exact"/>
        <w:jc w:val="both"/>
        <w:outlineLvl w:val="2"/>
        <w:rPr>
          <w:rFonts w:ascii="Times New Roman" w:hAnsi="Times New Roman" w:eastAsia="黑体" w:cs="Times New Roman"/>
          <w:b/>
          <w:bCs/>
          <w:color w:val="auto"/>
          <w:w w:val="99"/>
          <w:kern w:val="2"/>
          <w:highlight w:val="none"/>
        </w:rPr>
      </w:pPr>
      <w:r>
        <w:rPr>
          <w:rFonts w:ascii="Times New Roman" w:hAnsi="Times New Roman" w:eastAsia="黑体" w:cs="Times New Roman"/>
          <w:b/>
          <w:bCs/>
          <w:color w:val="auto"/>
          <w:w w:val="99"/>
          <w:kern w:val="2"/>
          <w:highlight w:val="none"/>
        </w:rPr>
        <w:t>4.1.4 地表水</w:t>
      </w:r>
      <w:bookmarkEnd w:id="630"/>
      <w:r>
        <w:rPr>
          <w:rFonts w:ascii="Times New Roman" w:hAnsi="Times New Roman" w:eastAsia="黑体" w:cs="Times New Roman"/>
          <w:b/>
          <w:bCs/>
          <w:color w:val="auto"/>
          <w:w w:val="99"/>
          <w:kern w:val="2"/>
          <w:highlight w:val="none"/>
        </w:rPr>
        <w:t>体</w:t>
      </w:r>
      <w:bookmarkEnd w:id="631"/>
    </w:p>
    <w:p w14:paraId="478681B2">
      <w:pPr>
        <w:widowControl w:val="0"/>
        <w:spacing w:line="500" w:lineRule="exact"/>
        <w:ind w:firstLine="480"/>
        <w:jc w:val="both"/>
        <w:rPr>
          <w:rFonts w:ascii="Times New Roman" w:hAnsi="Times New Roman" w:cs="Times New Roman" w:eastAsiaTheme="minorEastAsia"/>
          <w:color w:val="auto"/>
          <w:w w:val="99"/>
          <w:szCs w:val="20"/>
          <w:highlight w:val="none"/>
        </w:rPr>
      </w:pPr>
      <w:r>
        <w:rPr>
          <w:rFonts w:ascii="Times New Roman" w:hAnsi="Times New Roman" w:cs="Times New Roman"/>
          <w:color w:val="auto"/>
          <w:w w:val="99"/>
          <w:highlight w:val="none"/>
        </w:rPr>
        <w:t>区域内主要降水类型为大气降水，主要降水分布在6月～8月末，最高水位出现在8月上旬～9月下旬，最低水位出现在3月下旬～4月上旬。区块内地势总体上较平坦，起伏不大，地表径流排泄条件一般。</w:t>
      </w:r>
      <w:r>
        <w:rPr>
          <w:rFonts w:hint="eastAsia" w:ascii="Times New Roman" w:hAnsi="Times New Roman" w:cs="Times New Roman" w:eastAsiaTheme="minorEastAsia"/>
          <w:color w:val="auto"/>
          <w:w w:val="99"/>
          <w:szCs w:val="20"/>
          <w:highlight w:val="none"/>
        </w:rPr>
        <w:t>评价范围内涉及地表水体主要为北大干渠，位于徐深27集气站项目西北侧300m</w:t>
      </w:r>
      <w:r>
        <w:rPr>
          <w:rFonts w:ascii="Times New Roman" w:hAnsi="Times New Roman" w:cs="Times New Roman" w:eastAsiaTheme="minorEastAsia"/>
          <w:color w:val="auto"/>
          <w:w w:val="99"/>
          <w:szCs w:val="20"/>
          <w:highlight w:val="none"/>
        </w:rPr>
        <w:t>。</w:t>
      </w:r>
    </w:p>
    <w:p w14:paraId="0E2A6A2D">
      <w:pPr>
        <w:keepNext/>
        <w:keepLines/>
        <w:widowControl w:val="0"/>
        <w:spacing w:before="60" w:after="60" w:line="440" w:lineRule="exact"/>
        <w:jc w:val="both"/>
        <w:outlineLvl w:val="2"/>
        <w:rPr>
          <w:rFonts w:ascii="Times New Roman" w:hAnsi="Times New Roman" w:eastAsia="黑体" w:cs="Times New Roman"/>
          <w:b/>
          <w:bCs/>
          <w:color w:val="auto"/>
          <w:w w:val="99"/>
          <w:kern w:val="2"/>
          <w:highlight w:val="none"/>
        </w:rPr>
      </w:pPr>
      <w:bookmarkStart w:id="632" w:name="_Toc186444315"/>
      <w:r>
        <w:rPr>
          <w:rFonts w:ascii="Times New Roman" w:hAnsi="Times New Roman" w:eastAsia="黑体" w:cs="Times New Roman"/>
          <w:b/>
          <w:bCs/>
          <w:color w:val="auto"/>
          <w:w w:val="99"/>
          <w:kern w:val="2"/>
          <w:highlight w:val="none"/>
        </w:rPr>
        <w:t>4.1.5</w:t>
      </w:r>
      <w:r>
        <w:rPr>
          <w:rFonts w:hint="eastAsia" w:ascii="Times New Roman" w:hAnsi="Times New Roman" w:eastAsia="黑体" w:cs="Times New Roman"/>
          <w:b/>
          <w:bCs/>
          <w:color w:val="auto"/>
          <w:w w:val="99"/>
          <w:kern w:val="2"/>
          <w:highlight w:val="none"/>
        </w:rPr>
        <w:t>区域地质条件</w:t>
      </w:r>
    </w:p>
    <w:p w14:paraId="0C37F207">
      <w:pPr>
        <w:widowControl w:val="0"/>
        <w:spacing w:line="440" w:lineRule="exact"/>
        <w:outlineLvl w:val="3"/>
        <w:rPr>
          <w:rFonts w:ascii="Times New Roman" w:hAnsi="Times New Roman" w:cs="Times New Roman"/>
          <w:b/>
          <w:color w:val="auto"/>
          <w:w w:val="99"/>
          <w:highlight w:val="none"/>
        </w:rPr>
      </w:pPr>
      <w:r>
        <w:rPr>
          <w:rFonts w:hint="eastAsia" w:ascii="Times New Roman" w:hAnsi="Times New Roman" w:cs="Times New Roman"/>
          <w:b/>
          <w:color w:val="auto"/>
          <w:w w:val="99"/>
          <w:highlight w:val="none"/>
        </w:rPr>
        <w:t>4</w:t>
      </w:r>
      <w:r>
        <w:rPr>
          <w:rFonts w:ascii="Times New Roman" w:hAnsi="Times New Roman" w:cs="Times New Roman"/>
          <w:b/>
          <w:color w:val="auto"/>
          <w:w w:val="99"/>
          <w:highlight w:val="none"/>
        </w:rPr>
        <w:t>.1.5.1 地质</w:t>
      </w:r>
      <w:r>
        <w:rPr>
          <w:rFonts w:hint="eastAsia" w:ascii="Times New Roman" w:hAnsi="Times New Roman" w:cs="Times New Roman"/>
          <w:b/>
          <w:color w:val="auto"/>
          <w:w w:val="99"/>
          <w:highlight w:val="none"/>
        </w:rPr>
        <w:t>概况</w:t>
      </w:r>
    </w:p>
    <w:p w14:paraId="594CBA6D">
      <w:pPr>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区域地质构造属于徐家围子向斜构造的一部分，位于向斜构造的南部一部分，由于白垩系晚期以来，白垩系明水组没有接受沉积遭受剥蚀，第三系受地质运动影响，沉积大安组地层，第四系以来长期处于上升阶段，第四系地层沉积较薄，形成了多级阶地。根据地质钻探资料分析，区域浅部地层从上到下依次为第四系、第三系大安组，白垩系明水组地层。</w:t>
      </w:r>
    </w:p>
    <w:p w14:paraId="6F98D72A">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（1）白垩系明水组（K</w:t>
      </w:r>
      <w:r>
        <w:rPr>
          <w:rFonts w:ascii="Times New Roman" w:hAnsi="Times New Roman" w:cs="Times New Roman"/>
          <w:color w:val="auto"/>
          <w:w w:val="99"/>
          <w:highlight w:val="none"/>
          <w:vertAlign w:val="subscript"/>
        </w:rPr>
        <w:t>2</w:t>
      </w:r>
      <w:r>
        <w:rPr>
          <w:rFonts w:ascii="Times New Roman" w:hAnsi="Times New Roman" w:cs="Times New Roman"/>
          <w:color w:val="auto"/>
          <w:w w:val="99"/>
          <w:highlight w:val="none"/>
        </w:rPr>
        <w:t>m）</w:t>
      </w:r>
    </w:p>
    <w:p w14:paraId="558351DB">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1）明水组一段（K</w:t>
      </w:r>
      <w:r>
        <w:rPr>
          <w:rFonts w:ascii="Times New Roman" w:hAnsi="Times New Roman" w:cs="Times New Roman"/>
          <w:color w:val="auto"/>
          <w:w w:val="99"/>
          <w:highlight w:val="none"/>
          <w:vertAlign w:val="subscript"/>
        </w:rPr>
        <w:t>2</w:t>
      </w:r>
      <w:r>
        <w:rPr>
          <w:rFonts w:ascii="Times New Roman" w:hAnsi="Times New Roman" w:cs="Times New Roman"/>
          <w:color w:val="auto"/>
          <w:w w:val="99"/>
          <w:highlight w:val="none"/>
        </w:rPr>
        <w:t>m</w:t>
      </w:r>
      <w:r>
        <w:rPr>
          <w:rFonts w:ascii="Times New Roman" w:hAnsi="Times New Roman" w:cs="Times New Roman"/>
          <w:color w:val="auto"/>
          <w:w w:val="99"/>
          <w:highlight w:val="none"/>
          <w:vertAlign w:val="subscript"/>
        </w:rPr>
        <w:t>1</w:t>
      </w:r>
      <w:r>
        <w:rPr>
          <w:rFonts w:ascii="Times New Roman" w:hAnsi="Times New Roman" w:cs="Times New Roman"/>
          <w:color w:val="auto"/>
          <w:w w:val="99"/>
          <w:highlight w:val="none"/>
        </w:rPr>
        <w:t>）</w:t>
      </w:r>
    </w:p>
    <w:p w14:paraId="29E8121B">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明水组一段由灰绿色砂岩、泥质砂岩夹厚度为15.0～40.0m的两层灰黑色、灰色泥岩组成的两个明显正旋回沉积物组成。明水组一段在区内的厚度变化较大，局部地区相差较大，一般为120.0～163.5m，局部地区厚度大于200.0m。</w:t>
      </w:r>
    </w:p>
    <w:p w14:paraId="470B5D97">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2）明水组二段（K</w:t>
      </w:r>
      <w:r>
        <w:rPr>
          <w:rFonts w:ascii="Times New Roman" w:hAnsi="Times New Roman" w:cs="Times New Roman"/>
          <w:color w:val="auto"/>
          <w:w w:val="99"/>
          <w:highlight w:val="none"/>
          <w:vertAlign w:val="subscript"/>
        </w:rPr>
        <w:t>2</w:t>
      </w:r>
      <w:r>
        <w:rPr>
          <w:rFonts w:ascii="Times New Roman" w:hAnsi="Times New Roman" w:cs="Times New Roman"/>
          <w:color w:val="auto"/>
          <w:w w:val="99"/>
          <w:highlight w:val="none"/>
        </w:rPr>
        <w:t>m</w:t>
      </w:r>
      <w:r>
        <w:rPr>
          <w:rFonts w:ascii="Times New Roman" w:hAnsi="Times New Roman" w:cs="Times New Roman"/>
          <w:color w:val="auto"/>
          <w:w w:val="99"/>
          <w:highlight w:val="none"/>
          <w:vertAlign w:val="subscript"/>
        </w:rPr>
        <w:t>2</w:t>
      </w:r>
      <w:r>
        <w:rPr>
          <w:rFonts w:ascii="Times New Roman" w:hAnsi="Times New Roman" w:cs="Times New Roman"/>
          <w:color w:val="auto"/>
          <w:w w:val="99"/>
          <w:highlight w:val="none"/>
        </w:rPr>
        <w:t>）</w:t>
      </w:r>
    </w:p>
    <w:p w14:paraId="1A124426">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明水组二段为棕红色、砖红、灰及灰绿色泥岩，泥质粉砂岩与灰、灰绿、灰白色细砂岩、中粗砂岩及含砾中粗砂岩组成的湖相沉积或以湖相为主的湖相冲积层。顶部砖红色泥岩分布较为稳定。明水组二段的主要特点是多种颜色混杂，以棕红色为主。明水组二段区域分布特征与明水组一段基本相同，只是分布范围略小。南向北逐渐增厚，一般120.0～220.0m。明水组二段与下伏明水组一段呈整合接触。</w:t>
      </w:r>
    </w:p>
    <w:p w14:paraId="49CD148F">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（2）第四系（Q）</w:t>
      </w:r>
    </w:p>
    <w:p w14:paraId="5B9A98F9">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1）全新统冲积层（Q</w:t>
      </w:r>
      <w:r>
        <w:rPr>
          <w:rFonts w:ascii="Times New Roman" w:hAnsi="Times New Roman" w:cs="Times New Roman"/>
          <w:color w:val="auto"/>
          <w:w w:val="99"/>
          <w:highlight w:val="none"/>
          <w:vertAlign w:val="subscript"/>
        </w:rPr>
        <w:t>4</w:t>
      </w:r>
      <w:r>
        <w:rPr>
          <w:rFonts w:ascii="Times New Roman" w:hAnsi="Times New Roman" w:cs="Times New Roman"/>
          <w:color w:val="auto"/>
          <w:w w:val="99"/>
          <w:highlight w:val="none"/>
        </w:rPr>
        <w:t>）</w:t>
      </w:r>
    </w:p>
    <w:p w14:paraId="54EB7F4B">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主要分布在河漫滩冲积层、低平原内残留湖泡的沉积层及近代风砂层等。厚度不等，只有数米，分布不稳定。</w:t>
      </w:r>
    </w:p>
    <w:p w14:paraId="697F3D3B">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2）上更新统哈尔滨组（Q</w:t>
      </w:r>
      <w:r>
        <w:rPr>
          <w:rFonts w:ascii="Times New Roman" w:hAnsi="Times New Roman" w:cs="Times New Roman"/>
          <w:color w:val="auto"/>
          <w:w w:val="99"/>
          <w:highlight w:val="none"/>
          <w:vertAlign w:val="subscript"/>
        </w:rPr>
        <w:t>3</w:t>
      </w:r>
      <w:r>
        <w:rPr>
          <w:rFonts w:ascii="Times New Roman" w:hAnsi="Times New Roman" w:cs="Times New Roman"/>
          <w:color w:val="auto"/>
          <w:w w:val="99"/>
          <w:highlight w:val="none"/>
        </w:rPr>
        <w:t>）</w:t>
      </w:r>
    </w:p>
    <w:p w14:paraId="515CEA3B">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广泛分布于区域，岩性为粉质粘土和粉细砂。粉质粘土：黄褐色-褐黄色，软塑~可塑，土质不均匀，局部夹有粉土，手捻有砂粒感，含氧化铁斑点，中压缩性，干强度中等，韧性中等，稍有光滑，无摇振反应，地层厚度为5～10.5m。局部夹粉土、粉细砂层，微显层理，裂隙较发育，具有大的孔隙。分布于评价区表层。</w:t>
      </w:r>
    </w:p>
    <w:p w14:paraId="7492C58D">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3）中更新统荒山组（Q</w:t>
      </w:r>
      <w:r>
        <w:rPr>
          <w:rFonts w:ascii="Times New Roman" w:hAnsi="Times New Roman" w:cs="Times New Roman"/>
          <w:color w:val="auto"/>
          <w:w w:val="99"/>
          <w:highlight w:val="none"/>
          <w:vertAlign w:val="subscript"/>
        </w:rPr>
        <w:t>2</w:t>
      </w:r>
      <w:r>
        <w:rPr>
          <w:rFonts w:ascii="Times New Roman" w:hAnsi="Times New Roman" w:cs="Times New Roman"/>
          <w:color w:val="auto"/>
          <w:w w:val="99"/>
          <w:highlight w:val="none"/>
        </w:rPr>
        <w:t>）</w:t>
      </w:r>
    </w:p>
    <w:p w14:paraId="3DB1B68C">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广泛分布区域，岩性为河湖相沉积的灰黑色粘土，地层厚度较为均匀，微显层理，局部夹有粉细砂层，致密坚硬，局部由铁质浸染，地层厚度为25.0～30.5m。土质致密，渗透性较差，渗透系数一般在1.0×10</w:t>
      </w:r>
      <w:r>
        <w:rPr>
          <w:rFonts w:ascii="Times New Roman" w:hAnsi="Times New Roman" w:cs="Times New Roman"/>
          <w:color w:val="auto"/>
          <w:w w:val="99"/>
          <w:highlight w:val="none"/>
          <w:vertAlign w:val="superscript"/>
        </w:rPr>
        <w:t>-6</w:t>
      </w:r>
      <w:r>
        <w:rPr>
          <w:rFonts w:ascii="Times New Roman" w:hAnsi="Times New Roman" w:cs="Times New Roman"/>
          <w:color w:val="auto"/>
          <w:w w:val="99"/>
          <w:highlight w:val="none"/>
        </w:rPr>
        <w:t>～1.0×10</w:t>
      </w:r>
      <w:r>
        <w:rPr>
          <w:rFonts w:ascii="Times New Roman" w:hAnsi="Times New Roman" w:cs="Times New Roman"/>
          <w:color w:val="auto"/>
          <w:w w:val="99"/>
          <w:highlight w:val="none"/>
          <w:vertAlign w:val="superscript"/>
        </w:rPr>
        <w:t>-7</w:t>
      </w:r>
      <w:r>
        <w:rPr>
          <w:rFonts w:ascii="Times New Roman" w:hAnsi="Times New Roman" w:cs="Times New Roman"/>
          <w:color w:val="auto"/>
          <w:w w:val="99"/>
          <w:highlight w:val="none"/>
        </w:rPr>
        <w:t>cm/s，为区域弱透水层，由铁质浸染的斑点条带，含铁钙质结核及白色钙质斑点；</w:t>
      </w:r>
    </w:p>
    <w:p w14:paraId="65B4EA4E">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第四系与下伏第三系泰康组地层为不整合接触。</w:t>
      </w:r>
    </w:p>
    <w:p w14:paraId="688D9D2E">
      <w:pPr>
        <w:widowControl w:val="0"/>
        <w:spacing w:line="440" w:lineRule="exact"/>
        <w:outlineLvl w:val="3"/>
        <w:rPr>
          <w:rFonts w:ascii="Times New Roman" w:hAnsi="Times New Roman" w:cs="Times New Roman"/>
          <w:b/>
          <w:color w:val="auto"/>
          <w:w w:val="99"/>
          <w:highlight w:val="none"/>
        </w:rPr>
      </w:pPr>
      <w:r>
        <w:rPr>
          <w:rFonts w:hint="eastAsia" w:ascii="Times New Roman" w:hAnsi="Times New Roman" w:cs="Times New Roman"/>
          <w:b/>
          <w:color w:val="auto"/>
          <w:w w:val="99"/>
          <w:highlight w:val="none"/>
        </w:rPr>
        <w:t>4</w:t>
      </w:r>
      <w:r>
        <w:rPr>
          <w:rFonts w:ascii="Times New Roman" w:hAnsi="Times New Roman" w:cs="Times New Roman"/>
          <w:b/>
          <w:color w:val="auto"/>
          <w:w w:val="99"/>
          <w:highlight w:val="none"/>
        </w:rPr>
        <w:t>.1.5.</w:t>
      </w:r>
      <w:r>
        <w:rPr>
          <w:rFonts w:hint="eastAsia" w:ascii="Times New Roman" w:hAnsi="Times New Roman" w:cs="Times New Roman"/>
          <w:b/>
          <w:color w:val="auto"/>
          <w:w w:val="99"/>
          <w:highlight w:val="none"/>
        </w:rPr>
        <w:t>2</w:t>
      </w:r>
      <w:r>
        <w:rPr>
          <w:rFonts w:ascii="Times New Roman" w:hAnsi="Times New Roman" w:cs="Times New Roman"/>
          <w:b/>
          <w:color w:val="auto"/>
          <w:w w:val="99"/>
          <w:highlight w:val="none"/>
        </w:rPr>
        <w:t xml:space="preserve"> 地质</w:t>
      </w:r>
      <w:r>
        <w:rPr>
          <w:rFonts w:hint="eastAsia" w:ascii="Times New Roman" w:hAnsi="Times New Roman" w:cs="Times New Roman"/>
          <w:b/>
          <w:color w:val="auto"/>
          <w:w w:val="99"/>
          <w:highlight w:val="none"/>
        </w:rPr>
        <w:t>构造</w:t>
      </w:r>
    </w:p>
    <w:p w14:paraId="1BD3EEAA">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项目区位于松辽盆地北部区。松辽盆地是中、新生代形成的一北北东向菱形断拗盆地。沉积岩厚度最大可达6000m以上，区域地质构造位置属于徐家围子向斜构造一部分，位于向斜构造的南端。区内上部由第四系松散堆积物所覆盖，未发现断裂构造分布。</w:t>
      </w:r>
    </w:p>
    <w:p w14:paraId="2C77BA63">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根据《中国地震动参数区划图》(GB18306—20</w:t>
      </w:r>
      <w:r>
        <w:rPr>
          <w:rFonts w:hint="eastAsia" w:ascii="Times New Roman" w:hAnsi="Times New Roman" w:cs="Times New Roman"/>
          <w:color w:val="auto"/>
          <w:w w:val="99"/>
          <w:highlight w:val="none"/>
        </w:rPr>
        <w:t>15</w:t>
      </w:r>
      <w:r>
        <w:rPr>
          <w:rFonts w:ascii="Times New Roman" w:hAnsi="Times New Roman" w:cs="Times New Roman"/>
          <w:color w:val="auto"/>
          <w:w w:val="99"/>
          <w:highlight w:val="none"/>
        </w:rPr>
        <w:t>)，本区地震动峰值加。速度为0.05g，相应的地震基本烈度为Ⅵ度。</w:t>
      </w:r>
    </w:p>
    <w:p w14:paraId="08363E83">
      <w:pPr>
        <w:keepNext/>
        <w:keepLines/>
        <w:widowControl w:val="0"/>
        <w:spacing w:before="60" w:after="60" w:line="440" w:lineRule="exact"/>
        <w:jc w:val="both"/>
        <w:outlineLvl w:val="2"/>
        <w:rPr>
          <w:rFonts w:ascii="Times New Roman" w:hAnsi="Times New Roman" w:eastAsia="黑体" w:cs="Times New Roman"/>
          <w:b/>
          <w:bCs/>
          <w:color w:val="auto"/>
          <w:w w:val="99"/>
          <w:kern w:val="2"/>
          <w:highlight w:val="none"/>
          <w:lang w:val="zh-CN"/>
        </w:rPr>
      </w:pPr>
      <w:r>
        <w:rPr>
          <w:rFonts w:hint="eastAsia" w:ascii="Times New Roman" w:hAnsi="Times New Roman" w:eastAsia="黑体" w:cs="Times New Roman"/>
          <w:b/>
          <w:bCs/>
          <w:color w:val="auto"/>
          <w:w w:val="99"/>
          <w:kern w:val="2"/>
          <w:highlight w:val="none"/>
        </w:rPr>
        <w:t>4.1.6</w:t>
      </w:r>
      <w:r>
        <w:rPr>
          <w:rFonts w:hint="eastAsia" w:ascii="Times New Roman" w:hAnsi="Times New Roman" w:eastAsia="黑体" w:cs="Times New Roman"/>
          <w:b/>
          <w:bCs/>
          <w:color w:val="auto"/>
          <w:w w:val="99"/>
          <w:kern w:val="2"/>
          <w:highlight w:val="none"/>
          <w:lang w:val="zh-CN"/>
        </w:rPr>
        <w:t>区域水文地质条件</w:t>
      </w:r>
    </w:p>
    <w:p w14:paraId="2408D333">
      <w:pPr>
        <w:widowControl w:val="0"/>
        <w:spacing w:line="440" w:lineRule="exact"/>
        <w:outlineLvl w:val="3"/>
        <w:rPr>
          <w:rFonts w:ascii="Times New Roman" w:hAnsi="Times New Roman" w:cs="Times New Roman"/>
          <w:b/>
          <w:color w:val="auto"/>
          <w:w w:val="99"/>
          <w:highlight w:val="none"/>
        </w:rPr>
      </w:pPr>
      <w:r>
        <w:rPr>
          <w:rFonts w:hint="eastAsia" w:ascii="Times New Roman" w:hAnsi="Times New Roman" w:cs="Times New Roman"/>
          <w:b/>
          <w:color w:val="auto"/>
          <w:w w:val="99"/>
          <w:highlight w:val="none"/>
        </w:rPr>
        <w:t>4.1.6</w:t>
      </w:r>
      <w:r>
        <w:rPr>
          <w:rFonts w:ascii="Times New Roman" w:hAnsi="Times New Roman" w:cs="Times New Roman"/>
          <w:b/>
          <w:color w:val="auto"/>
          <w:w w:val="99"/>
          <w:highlight w:val="none"/>
        </w:rPr>
        <w:t>.</w:t>
      </w:r>
      <w:r>
        <w:rPr>
          <w:rFonts w:hint="eastAsia" w:ascii="Times New Roman" w:hAnsi="Times New Roman" w:cs="Times New Roman"/>
          <w:b/>
          <w:color w:val="auto"/>
          <w:w w:val="99"/>
          <w:highlight w:val="none"/>
        </w:rPr>
        <w:t>1</w:t>
      </w:r>
      <w:r>
        <w:rPr>
          <w:rFonts w:ascii="Times New Roman" w:hAnsi="Times New Roman" w:cs="Times New Roman"/>
          <w:b/>
          <w:color w:val="auto"/>
          <w:w w:val="99"/>
          <w:highlight w:val="none"/>
        </w:rPr>
        <w:t xml:space="preserve"> </w:t>
      </w:r>
      <w:r>
        <w:rPr>
          <w:rFonts w:hint="eastAsia" w:ascii="Times New Roman" w:hAnsi="Times New Roman" w:cs="Times New Roman"/>
          <w:b/>
          <w:color w:val="auto"/>
          <w:w w:val="99"/>
          <w:highlight w:val="none"/>
        </w:rPr>
        <w:t>地下水类型及赋存条件</w:t>
      </w:r>
    </w:p>
    <w:p w14:paraId="019B1A6E">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（1）地下水的形成条件</w:t>
      </w:r>
    </w:p>
    <w:p w14:paraId="3651ABB4">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评价区位于松辽盆地的北部，区域地质构造位置属于徐家围子向斜构造一部分，位于向斜构造的南端。中生界白垩系沉积了巨厚的碎屑岩，第四系则覆盖全区，不整合于白垩系地层之上。在各组岩层中沉积有厚薄不均的砂、</w:t>
      </w:r>
      <w:r>
        <w:rPr>
          <w:rFonts w:hint="eastAsia" w:ascii="Times New Roman" w:hAnsi="Times New Roman" w:cs="Times New Roman"/>
          <w:color w:val="auto"/>
          <w:w w:val="99"/>
          <w:highlight w:val="none"/>
          <w:lang w:eastAsia="zh-CN"/>
        </w:rPr>
        <w:t>砂粒</w:t>
      </w:r>
      <w:r>
        <w:rPr>
          <w:rFonts w:ascii="Times New Roman" w:hAnsi="Times New Roman" w:cs="Times New Roman"/>
          <w:color w:val="auto"/>
          <w:w w:val="99"/>
          <w:highlight w:val="none"/>
        </w:rPr>
        <w:t>石层及砂岩、</w:t>
      </w:r>
      <w:r>
        <w:rPr>
          <w:rFonts w:hint="eastAsia" w:ascii="Times New Roman" w:hAnsi="Times New Roman" w:cs="Times New Roman"/>
          <w:color w:val="auto"/>
          <w:w w:val="99"/>
          <w:highlight w:val="none"/>
          <w:lang w:eastAsia="zh-CN"/>
        </w:rPr>
        <w:t>砂粒</w:t>
      </w:r>
      <w:r>
        <w:rPr>
          <w:rFonts w:ascii="Times New Roman" w:hAnsi="Times New Roman" w:cs="Times New Roman"/>
          <w:color w:val="auto"/>
          <w:w w:val="99"/>
          <w:highlight w:val="none"/>
        </w:rPr>
        <w:t>岩层，为地下水的赋存提供了良好的条件。</w:t>
      </w:r>
    </w:p>
    <w:p w14:paraId="7634E5A4">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根据地下水的埋藏条件及含水层介质、水力性质等，区内地下水类型可划分为第四系上更新统松散层孔隙潜水、白垩系上统明水组孔隙裂隙承压水。详见区域综合水文地质图及水文地质剖面图、区域水文地质柱状图。评价区综合水文地质图</w:t>
      </w:r>
      <w:r>
        <w:rPr>
          <w:rFonts w:hint="eastAsia" w:ascii="Times New Roman" w:hAnsi="Times New Roman" w:cs="Times New Roman"/>
          <w:color w:val="auto"/>
          <w:w w:val="99"/>
          <w:highlight w:val="none"/>
        </w:rPr>
        <w:t>见附图16-1，</w:t>
      </w:r>
      <w:r>
        <w:rPr>
          <w:rFonts w:ascii="Times New Roman" w:hAnsi="Times New Roman" w:cs="Times New Roman"/>
          <w:color w:val="auto"/>
          <w:w w:val="99"/>
          <w:highlight w:val="none"/>
        </w:rPr>
        <w:t>水文地质剖面图</w:t>
      </w:r>
      <w:r>
        <w:rPr>
          <w:rFonts w:hint="eastAsia" w:ascii="Times New Roman" w:hAnsi="Times New Roman" w:cs="Times New Roman"/>
          <w:color w:val="auto"/>
          <w:w w:val="99"/>
          <w:highlight w:val="none"/>
        </w:rPr>
        <w:t>附图16-2，</w:t>
      </w:r>
      <w:r>
        <w:rPr>
          <w:rFonts w:ascii="Times New Roman" w:hAnsi="Times New Roman" w:cs="Times New Roman"/>
          <w:color w:val="auto"/>
          <w:w w:val="99"/>
          <w:highlight w:val="none"/>
        </w:rPr>
        <w:t>水文地质柱状图</w:t>
      </w:r>
      <w:r>
        <w:rPr>
          <w:rFonts w:hint="eastAsia" w:ascii="Times New Roman" w:hAnsi="Times New Roman" w:cs="Times New Roman"/>
          <w:color w:val="auto"/>
          <w:w w:val="99"/>
          <w:highlight w:val="none"/>
        </w:rPr>
        <w:t>见附图16-3。</w:t>
      </w:r>
    </w:p>
    <w:p w14:paraId="665AB44B">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（2）地下水含水岩组特征</w:t>
      </w:r>
    </w:p>
    <w:p w14:paraId="40C39ADB">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1）第四系上更新统松散层孔隙潜水</w:t>
      </w:r>
    </w:p>
    <w:p w14:paraId="2B1895D5">
      <w:pPr>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分布于全区，含水层岩性为上更新统哈尔滨组粉细砂组成，厚度0.5～3.5m。地下水水位埋深3.2～6.7m，弱富水性，单井涌水量在500～100m</w:t>
      </w:r>
      <w:r>
        <w:rPr>
          <w:rFonts w:hint="eastAsia" w:ascii="Times New Roman" w:hAnsi="Times New Roman" w:cs="Times New Roman"/>
          <w:color w:val="auto"/>
          <w:w w:val="99"/>
          <w:highlight w:val="none"/>
          <w:vertAlign w:val="superscript"/>
        </w:rPr>
        <w:t>3</w:t>
      </w:r>
      <w:r>
        <w:rPr>
          <w:rFonts w:hint="eastAsia" w:ascii="Times New Roman" w:hAnsi="Times New Roman" w:cs="Times New Roman"/>
          <w:color w:val="auto"/>
          <w:w w:val="99"/>
          <w:highlight w:val="none"/>
        </w:rPr>
        <w:t>/d，地下水化学类型以HCO</w:t>
      </w:r>
      <w:r>
        <w:rPr>
          <w:rFonts w:hint="eastAsia" w:ascii="Times New Roman" w:hAnsi="Times New Roman" w:cs="Times New Roman"/>
          <w:color w:val="auto"/>
          <w:w w:val="99"/>
          <w:highlight w:val="none"/>
          <w:vertAlign w:val="subscript"/>
        </w:rPr>
        <w:t>3</w:t>
      </w:r>
      <w:r>
        <w:rPr>
          <w:rFonts w:hint="eastAsia" w:ascii="Times New Roman" w:hAnsi="Times New Roman" w:cs="Times New Roman"/>
          <w:color w:val="auto"/>
          <w:w w:val="99"/>
          <w:highlight w:val="none"/>
        </w:rPr>
        <w:t>—Na、HCO</w:t>
      </w:r>
      <w:r>
        <w:rPr>
          <w:rFonts w:hint="eastAsia" w:ascii="Times New Roman" w:hAnsi="Times New Roman" w:cs="Times New Roman"/>
          <w:color w:val="auto"/>
          <w:w w:val="99"/>
          <w:highlight w:val="none"/>
          <w:vertAlign w:val="subscript"/>
        </w:rPr>
        <w:t>3</w:t>
      </w:r>
      <w:r>
        <w:rPr>
          <w:rFonts w:hint="eastAsia" w:ascii="Times New Roman" w:hAnsi="Times New Roman" w:cs="Times New Roman"/>
          <w:color w:val="auto"/>
          <w:w w:val="99"/>
          <w:highlight w:val="none"/>
        </w:rPr>
        <w:t>—Na·Ca型水为主。该层水为大气降水的垂直入渗补给，无开采供水条件。</w:t>
      </w:r>
    </w:p>
    <w:p w14:paraId="6938D0C9">
      <w:pPr>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2）第三系大安组孔隙裂隙承压水含水层</w:t>
      </w:r>
    </w:p>
    <w:p w14:paraId="43AEA901">
      <w:pPr>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上部灰白色绿色粉砂岩和灰绿色青灰色泥岩，中部深灰色页岩和泥岩。下部灰白色含砾砂岩和</w:t>
      </w:r>
      <w:r>
        <w:rPr>
          <w:rFonts w:hint="eastAsia" w:ascii="Times New Roman" w:hAnsi="Times New Roman" w:cs="Times New Roman"/>
          <w:color w:val="auto"/>
          <w:w w:val="99"/>
          <w:highlight w:val="none"/>
          <w:lang w:eastAsia="zh-CN"/>
        </w:rPr>
        <w:t>砂粒</w:t>
      </w:r>
      <w:r>
        <w:rPr>
          <w:rFonts w:hint="eastAsia" w:ascii="Times New Roman" w:hAnsi="Times New Roman" w:cs="Times New Roman"/>
          <w:color w:val="auto"/>
          <w:w w:val="99"/>
          <w:highlight w:val="none"/>
        </w:rPr>
        <w:t>岩。</w:t>
      </w:r>
    </w:p>
    <w:p w14:paraId="1E965A1E">
      <w:pPr>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主要分布在区域东南部，含水层为砂岩和粉砂岩。含水层厚度一般为10-20米，顶板埋深15-35m，单井涌水量860-1250t/d。</w:t>
      </w:r>
    </w:p>
    <w:p w14:paraId="090BE0B5">
      <w:pPr>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地下水化学类型以HCO</w:t>
      </w:r>
      <w:r>
        <w:rPr>
          <w:rFonts w:hint="eastAsia" w:ascii="Times New Roman" w:hAnsi="Times New Roman" w:cs="Times New Roman"/>
          <w:color w:val="auto"/>
          <w:w w:val="99"/>
          <w:highlight w:val="none"/>
          <w:vertAlign w:val="subscript"/>
        </w:rPr>
        <w:t>3</w:t>
      </w:r>
      <w:r>
        <w:rPr>
          <w:rFonts w:hint="eastAsia" w:ascii="Times New Roman" w:hAnsi="Times New Roman" w:cs="Times New Roman"/>
          <w:color w:val="auto"/>
          <w:w w:val="99"/>
          <w:highlight w:val="none"/>
        </w:rPr>
        <w:t>—Na、HCO</w:t>
      </w:r>
      <w:r>
        <w:rPr>
          <w:rFonts w:hint="eastAsia" w:ascii="Times New Roman" w:hAnsi="Times New Roman" w:cs="Times New Roman"/>
          <w:color w:val="auto"/>
          <w:w w:val="99"/>
          <w:highlight w:val="none"/>
          <w:vertAlign w:val="subscript"/>
        </w:rPr>
        <w:t>3</w:t>
      </w:r>
      <w:r>
        <w:rPr>
          <w:rFonts w:hint="eastAsia" w:ascii="Times New Roman" w:hAnsi="Times New Roman" w:cs="Times New Roman"/>
          <w:color w:val="auto"/>
          <w:w w:val="99"/>
          <w:highlight w:val="none"/>
        </w:rPr>
        <w:t>—Na·Ca型水为主。</w:t>
      </w:r>
    </w:p>
    <w:p w14:paraId="27B82EE3">
      <w:pPr>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3）白垩系上统明水组孔隙裂隙承压水含水层</w:t>
      </w:r>
    </w:p>
    <w:p w14:paraId="5FEB779B">
      <w:pPr>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明水组二段：岩性主要是含中粗砂岩组成，质软，成岩性较差，含水层分布不均，连续性较差，透水性一般、富水性一般，含砾砂岩含水层单层厚度较薄，层数较多，一般由4-6个层组成，单层厚度3.0～20.0m，含水层顶板埋深50～70m，二段含水层组单井涌水量一般可达800～1200m</w:t>
      </w:r>
      <w:r>
        <w:rPr>
          <w:rFonts w:hint="eastAsia" w:ascii="Times New Roman" w:hAnsi="Times New Roman" w:cs="Times New Roman"/>
          <w:color w:val="auto"/>
          <w:w w:val="99"/>
          <w:highlight w:val="none"/>
          <w:vertAlign w:val="superscript"/>
        </w:rPr>
        <w:t>3</w:t>
      </w:r>
      <w:r>
        <w:rPr>
          <w:rFonts w:hint="eastAsia" w:ascii="Times New Roman" w:hAnsi="Times New Roman" w:cs="Times New Roman"/>
          <w:color w:val="auto"/>
          <w:w w:val="99"/>
          <w:highlight w:val="none"/>
        </w:rPr>
        <w:t>/d（273mm）。</w:t>
      </w:r>
    </w:p>
    <w:p w14:paraId="6758578A">
      <w:pPr>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明水组一段：岩性主要是含砾砂岩和</w:t>
      </w:r>
      <w:r>
        <w:rPr>
          <w:rFonts w:hint="eastAsia" w:ascii="Times New Roman" w:hAnsi="Times New Roman" w:cs="Times New Roman"/>
          <w:color w:val="auto"/>
          <w:w w:val="99"/>
          <w:highlight w:val="none"/>
          <w:lang w:eastAsia="zh-CN"/>
        </w:rPr>
        <w:t>砂粒</w:t>
      </w:r>
      <w:r>
        <w:rPr>
          <w:rFonts w:hint="eastAsia" w:ascii="Times New Roman" w:hAnsi="Times New Roman" w:cs="Times New Roman"/>
          <w:color w:val="auto"/>
          <w:w w:val="99"/>
          <w:highlight w:val="none"/>
        </w:rPr>
        <w:t>岩组成，质软，成岩性较差，含水层分布稳定性较好，透水性一般、富水性一般，一段含砾砂岩含水层单层厚度较薄，层数一般3－5层，单层厚度3.0～29.0m，累计含水层厚度10.0～45.0m，含水层顶板埋深60～120m。单井涌水量（237mm井管）一般都能达到1000～1500m</w:t>
      </w:r>
      <w:r>
        <w:rPr>
          <w:rFonts w:hint="eastAsia" w:ascii="Times New Roman" w:hAnsi="Times New Roman" w:cs="Times New Roman"/>
          <w:color w:val="auto"/>
          <w:w w:val="99"/>
          <w:highlight w:val="none"/>
          <w:vertAlign w:val="superscript"/>
        </w:rPr>
        <w:t>3</w:t>
      </w:r>
      <w:r>
        <w:rPr>
          <w:rFonts w:hint="eastAsia" w:ascii="Times New Roman" w:hAnsi="Times New Roman" w:cs="Times New Roman"/>
          <w:color w:val="auto"/>
          <w:w w:val="99"/>
          <w:highlight w:val="none"/>
        </w:rPr>
        <w:t>/d，水质为重碳酸钠型水。</w:t>
      </w:r>
    </w:p>
    <w:p w14:paraId="432327FE">
      <w:pPr>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明水组含水层的矿化度为480—860g/L，总硬度为66-95mg/L（以CaCO</w:t>
      </w:r>
      <w:r>
        <w:rPr>
          <w:rFonts w:hint="eastAsia" w:ascii="Times New Roman" w:hAnsi="Times New Roman" w:cs="Times New Roman"/>
          <w:color w:val="auto"/>
          <w:w w:val="99"/>
          <w:highlight w:val="none"/>
          <w:vertAlign w:val="subscript"/>
        </w:rPr>
        <w:t>3</w:t>
      </w:r>
      <w:r>
        <w:rPr>
          <w:rFonts w:hint="eastAsia" w:ascii="Times New Roman" w:hAnsi="Times New Roman" w:cs="Times New Roman"/>
          <w:color w:val="auto"/>
          <w:w w:val="99"/>
          <w:highlight w:val="none"/>
        </w:rPr>
        <w:t>计），水质类型为重碳酸钠型水。</w:t>
      </w:r>
    </w:p>
    <w:p w14:paraId="36C21377">
      <w:pPr>
        <w:widowControl w:val="0"/>
        <w:spacing w:line="440" w:lineRule="exact"/>
        <w:outlineLvl w:val="3"/>
        <w:rPr>
          <w:rFonts w:ascii="Times New Roman" w:hAnsi="Times New Roman" w:cs="Times New Roman"/>
          <w:b/>
          <w:color w:val="auto"/>
          <w:w w:val="99"/>
          <w:highlight w:val="none"/>
        </w:rPr>
      </w:pPr>
      <w:r>
        <w:rPr>
          <w:rFonts w:hint="eastAsia" w:ascii="Times New Roman" w:hAnsi="Times New Roman" w:cs="Times New Roman"/>
          <w:b/>
          <w:color w:val="auto"/>
          <w:w w:val="99"/>
          <w:highlight w:val="none"/>
        </w:rPr>
        <w:t>4.1.6</w:t>
      </w:r>
      <w:r>
        <w:rPr>
          <w:rFonts w:ascii="Times New Roman" w:hAnsi="Times New Roman" w:cs="Times New Roman"/>
          <w:b/>
          <w:color w:val="auto"/>
          <w:w w:val="99"/>
          <w:highlight w:val="none"/>
        </w:rPr>
        <w:t>.2 地下水补给、径流、排泄特征</w:t>
      </w:r>
    </w:p>
    <w:p w14:paraId="4E718E0D">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地质环境决定了地下水的补给、径流、排泄规律。而其补给、径流和排泄构成了含水层地下水流系统的形成条件。</w:t>
      </w:r>
    </w:p>
    <w:p w14:paraId="7563700C">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（1）地下水补给</w:t>
      </w:r>
    </w:p>
    <w:p w14:paraId="02CE68B6">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1）大气降雨补给</w:t>
      </w:r>
    </w:p>
    <w:p w14:paraId="4393B468">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从区域主要含水层分布可以看出，含水层的补给主要地表水补给和降雨垂向补给上部第四系孔隙潜水含水层，潜水通过透水层越流补给下部的大安组、明水组含水层。</w:t>
      </w:r>
    </w:p>
    <w:p w14:paraId="147CCCA8">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2）地表水体的入渗补给</w:t>
      </w:r>
    </w:p>
    <w:p w14:paraId="12C40F78">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项目区内分布的湖泡水的入渗水量构成了第四系潜水补给的主要来源。</w:t>
      </w:r>
    </w:p>
    <w:p w14:paraId="0692182F">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3）侧向补给</w:t>
      </w:r>
    </w:p>
    <w:p w14:paraId="2DB66F49">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在天然条件下，主要来自区域以外广泛连续分布的同一含水层中的地下水，地下水在水动力驱动下，通过水平方向径流补给区域内地下水，根据水文地质分布特征，项目区地下水侧向主要接受东北向西南方向都有一定量的地下水侧向补给。</w:t>
      </w:r>
    </w:p>
    <w:p w14:paraId="4AD7FD70">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（2）地下水径流规律</w:t>
      </w:r>
    </w:p>
    <w:p w14:paraId="5B229B2F">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项目区内地下水的径流方向在不同层位有所不同。上部潜水含水层主要由粉细砂组成，颗粒较细，分布不连续，透水性较差，且受地形影响，地下水径流滞缓，项目区范围内地下水流向不明显，区域上总体流向随地势由东北向西南流。而承压含水层是该区供水的主要来源，地下水开采量较大而且相对集中，区域水位下降较大，由于人工流场的形成，改变了地下水的天然径流状态，地下水位是东北高西南低，地下水的径流方向则为北东向西南。</w:t>
      </w:r>
    </w:p>
    <w:p w14:paraId="59A850AF">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（3）地下水排泄</w:t>
      </w:r>
    </w:p>
    <w:p w14:paraId="292C3805">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在人为活动影响条件下，项目区地下水的排泄主要有三种类型，即蒸发排泄、侧向径流排泄、人工开采。</w:t>
      </w:r>
    </w:p>
    <w:p w14:paraId="206DE79E">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1）潜水蒸发排泄</w:t>
      </w:r>
    </w:p>
    <w:p w14:paraId="335B5D09">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该区属干旱、半干旱季风气候区，区内水面和沼泽湿地较为发育，由于气候干燥，尤其是在多风少雨的春末初夏，降水量小</w:t>
      </w:r>
      <w:r>
        <w:rPr>
          <w:rFonts w:hint="eastAsia" w:ascii="Times New Roman" w:hAnsi="Times New Roman" w:cs="Times New Roman"/>
          <w:color w:val="auto"/>
          <w:w w:val="99"/>
          <w:highlight w:val="none"/>
        </w:rPr>
        <w:t>于</w:t>
      </w:r>
      <w:r>
        <w:rPr>
          <w:rFonts w:ascii="Times New Roman" w:hAnsi="Times New Roman" w:cs="Times New Roman"/>
          <w:color w:val="auto"/>
          <w:w w:val="99"/>
          <w:highlight w:val="none"/>
        </w:rPr>
        <w:t>220mm，蒸发强度大（1100-1600mm），因此蒸发是潜水的主要排泄方式。</w:t>
      </w:r>
    </w:p>
    <w:p w14:paraId="530CE46E">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2）侧向径流排泄</w:t>
      </w:r>
    </w:p>
    <w:p w14:paraId="30A438B6">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地下水通过同一含水层向区域西南部径流流出区域。</w:t>
      </w:r>
    </w:p>
    <w:p w14:paraId="27207569">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3）人工开采</w:t>
      </w:r>
    </w:p>
    <w:p w14:paraId="23450813">
      <w:pPr>
        <w:spacing w:line="434"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区域是地下水人工开采主要地区。根据统计资料，目前区域已建成分散及集中地下水水井20多眼。区域地下现状年总开采量为75.00×10</w:t>
      </w:r>
      <w:r>
        <w:rPr>
          <w:rFonts w:ascii="Times New Roman" w:hAnsi="Times New Roman" w:cs="Times New Roman"/>
          <w:color w:val="auto"/>
          <w:w w:val="99"/>
          <w:highlight w:val="none"/>
          <w:vertAlign w:val="superscript"/>
        </w:rPr>
        <w:t>4</w:t>
      </w:r>
      <w:r>
        <w:rPr>
          <w:rFonts w:ascii="Times New Roman" w:hAnsi="Times New Roman" w:cs="Times New Roman"/>
          <w:color w:val="auto"/>
          <w:w w:val="99"/>
          <w:highlight w:val="none"/>
        </w:rPr>
        <w:t>m</w:t>
      </w:r>
      <w:r>
        <w:rPr>
          <w:rFonts w:ascii="Times New Roman" w:hAnsi="Times New Roman" w:cs="Times New Roman"/>
          <w:color w:val="auto"/>
          <w:w w:val="99"/>
          <w:highlight w:val="none"/>
          <w:vertAlign w:val="superscript"/>
        </w:rPr>
        <w:t>3</w:t>
      </w:r>
      <w:r>
        <w:rPr>
          <w:rFonts w:ascii="Times New Roman" w:hAnsi="Times New Roman" w:cs="Times New Roman"/>
          <w:color w:val="auto"/>
          <w:w w:val="99"/>
          <w:highlight w:val="none"/>
        </w:rPr>
        <w:t>/a。</w:t>
      </w:r>
    </w:p>
    <w:p w14:paraId="2A538CF5">
      <w:pPr>
        <w:widowControl w:val="0"/>
        <w:spacing w:line="440" w:lineRule="exact"/>
        <w:outlineLvl w:val="3"/>
        <w:rPr>
          <w:rFonts w:ascii="Times New Roman" w:hAnsi="Times New Roman" w:cs="Times New Roman"/>
          <w:b/>
          <w:color w:val="auto"/>
          <w:w w:val="99"/>
          <w:highlight w:val="none"/>
        </w:rPr>
      </w:pPr>
      <w:r>
        <w:rPr>
          <w:rFonts w:hint="eastAsia" w:ascii="Times New Roman" w:hAnsi="Times New Roman" w:cs="Times New Roman"/>
          <w:b/>
          <w:color w:val="auto"/>
          <w:w w:val="99"/>
          <w:highlight w:val="none"/>
        </w:rPr>
        <w:t>4.1.6</w:t>
      </w:r>
      <w:r>
        <w:rPr>
          <w:rFonts w:ascii="Times New Roman" w:hAnsi="Times New Roman" w:cs="Times New Roman"/>
          <w:b/>
          <w:color w:val="auto"/>
          <w:w w:val="99"/>
          <w:highlight w:val="none"/>
        </w:rPr>
        <w:t>.3 地下水的动态变化</w:t>
      </w:r>
    </w:p>
    <w:p w14:paraId="6253547D">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1、潜水地下水水位动态变化特征</w:t>
      </w:r>
    </w:p>
    <w:p w14:paraId="31DD362C">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区域潜水含水层埋深较浅，含水层岩性为粉细砂，水位变化主要受大气降水补给和人工开采影响较大，根据水位监测结果表明，区域潜水水位埋深4.9～5.3m之间，区域潜水埋深变化较小，水位变化差0.4m左右。</w:t>
      </w:r>
    </w:p>
    <w:p w14:paraId="0E740C01">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2、承压水地下水水位动态变化特征</w:t>
      </w:r>
    </w:p>
    <w:p w14:paraId="14FD49EC">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区域承压水主要含水层为明水组砂岩裂隙孔隙承压含水层，承压水受多年地下水开采，承压水地下水位总的趋势呈下降趋势。根据近年区域地下水动态监测井水位监测分析，地下水水位变化主要受开采量的影响，水位埋深由开采初期为5.8m，到2016年水位下降到6.5m。目前基本处于稳定状态。</w:t>
      </w:r>
    </w:p>
    <w:p w14:paraId="5409A81E">
      <w:pPr>
        <w:spacing w:line="440" w:lineRule="exact"/>
        <w:jc w:val="both"/>
        <w:outlineLvl w:val="3"/>
        <w:rPr>
          <w:rFonts w:hint="eastAsia"/>
          <w:color w:val="auto"/>
          <w:highlight w:val="none"/>
        </w:rPr>
      </w:pPr>
      <w:r>
        <w:rPr>
          <w:color w:val="auto"/>
          <w:highlight w:val="none"/>
        </w:rPr>
        <w:fldChar w:fldCharType="begin"/>
      </w:r>
      <w:r>
        <w:rPr>
          <w:color w:val="auto"/>
          <w:highlight w:val="none"/>
        </w:rPr>
        <w:instrText xml:space="preserve"> HYPERLINK "4.1.4.3" </w:instrText>
      </w:r>
      <w:r>
        <w:rPr>
          <w:color w:val="auto"/>
          <w:highlight w:val="none"/>
        </w:rPr>
        <w:fldChar w:fldCharType="separate"/>
      </w:r>
      <w:r>
        <w:rPr>
          <w:rFonts w:hint="eastAsia" w:ascii="Times New Roman" w:hAnsi="Times New Roman" w:cs="Times New Roman"/>
          <w:b/>
          <w:color w:val="auto"/>
          <w:w w:val="99"/>
          <w:highlight w:val="none"/>
        </w:rPr>
        <w:t>4.1.6.4</w:t>
      </w:r>
      <w:r>
        <w:rPr>
          <w:rFonts w:hint="eastAsia" w:ascii="Times New Roman" w:hAnsi="Times New Roman" w:cs="Times New Roman"/>
          <w:b/>
          <w:color w:val="auto"/>
          <w:w w:val="99"/>
          <w:highlight w:val="none"/>
        </w:rPr>
        <w:fldChar w:fldCharType="end"/>
      </w:r>
      <w:r>
        <w:rPr>
          <w:rFonts w:hint="eastAsia" w:ascii="Times New Roman" w:hAnsi="Times New Roman" w:cs="Times New Roman"/>
          <w:b/>
          <w:color w:val="auto"/>
          <w:w w:val="99"/>
          <w:highlight w:val="none"/>
        </w:rPr>
        <w:t>现状地下水流场</w:t>
      </w:r>
    </w:p>
    <w:p w14:paraId="11836862">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1、白垩系上统明水组孔隙裂隙承压水</w:t>
      </w:r>
    </w:p>
    <w:p w14:paraId="79483723">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地下水等水压线图见</w:t>
      </w:r>
      <w:r>
        <w:rPr>
          <w:rFonts w:hint="eastAsia" w:ascii="Times New Roman" w:hAnsi="Times New Roman" w:cs="Times New Roman"/>
          <w:color w:val="auto"/>
          <w:w w:val="99"/>
          <w:highlight w:val="none"/>
        </w:rPr>
        <w:t>附图17</w:t>
      </w:r>
      <w:r>
        <w:rPr>
          <w:rFonts w:ascii="Times New Roman" w:hAnsi="Times New Roman" w:cs="Times New Roman"/>
          <w:color w:val="auto"/>
          <w:w w:val="99"/>
          <w:highlight w:val="none"/>
        </w:rPr>
        <w:t>。项目区内地下水流由东北向西南。</w:t>
      </w:r>
    </w:p>
    <w:p w14:paraId="62783B1D">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2、第四系上更新统松散层孔隙潜水</w:t>
      </w:r>
    </w:p>
    <w:p w14:paraId="3980BC0D">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第四系上更新统松散层孔隙潜水水位监测孔为利用农村潜水井，地下水等水位线图见</w:t>
      </w:r>
      <w:r>
        <w:rPr>
          <w:rFonts w:hint="eastAsia" w:ascii="Times New Roman" w:hAnsi="Times New Roman" w:cs="Times New Roman"/>
          <w:color w:val="auto"/>
          <w:w w:val="99"/>
          <w:highlight w:val="none"/>
        </w:rPr>
        <w:t>附图17</w:t>
      </w:r>
      <w:r>
        <w:rPr>
          <w:rFonts w:ascii="Times New Roman" w:hAnsi="Times New Roman" w:cs="Times New Roman"/>
          <w:color w:val="auto"/>
          <w:w w:val="99"/>
          <w:highlight w:val="none"/>
        </w:rPr>
        <w:t>。项目区内地下水流由偏北东向西南。</w:t>
      </w:r>
    </w:p>
    <w:p w14:paraId="1ABB0382">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第四系上更新统松散层孔隙潜水含水层为粉细砂，地下水水平径流滞缓，以垂直交替作用为主，地下水流场随地形起伏而变化。</w:t>
      </w:r>
    </w:p>
    <w:p w14:paraId="13826254">
      <w:pPr>
        <w:widowControl w:val="0"/>
        <w:spacing w:line="440" w:lineRule="exact"/>
        <w:outlineLvl w:val="3"/>
        <w:rPr>
          <w:rFonts w:ascii="Times New Roman" w:hAnsi="Times New Roman" w:cs="Times New Roman"/>
          <w:b/>
          <w:color w:val="auto"/>
          <w:w w:val="99"/>
          <w:highlight w:val="none"/>
        </w:rPr>
      </w:pPr>
      <w:r>
        <w:rPr>
          <w:rFonts w:hint="eastAsia" w:ascii="Times New Roman" w:hAnsi="Times New Roman" w:cs="Times New Roman"/>
          <w:b/>
          <w:color w:val="auto"/>
          <w:w w:val="99"/>
          <w:highlight w:val="none"/>
        </w:rPr>
        <w:t>4.1.6</w:t>
      </w:r>
      <w:r>
        <w:rPr>
          <w:rFonts w:ascii="Times New Roman" w:hAnsi="Times New Roman" w:cs="Times New Roman"/>
          <w:b/>
          <w:color w:val="auto"/>
          <w:w w:val="99"/>
          <w:highlight w:val="none"/>
        </w:rPr>
        <w:t>.</w:t>
      </w:r>
      <w:r>
        <w:rPr>
          <w:rFonts w:hint="eastAsia" w:ascii="Times New Roman" w:hAnsi="Times New Roman" w:cs="Times New Roman"/>
          <w:b/>
          <w:color w:val="auto"/>
          <w:w w:val="99"/>
          <w:highlight w:val="none"/>
        </w:rPr>
        <w:t>5</w:t>
      </w:r>
      <w:r>
        <w:rPr>
          <w:rFonts w:ascii="Times New Roman" w:hAnsi="Times New Roman" w:cs="Times New Roman"/>
          <w:b/>
          <w:color w:val="auto"/>
          <w:w w:val="99"/>
          <w:highlight w:val="none"/>
        </w:rPr>
        <w:t xml:space="preserve"> 包气带现状</w:t>
      </w:r>
      <w:r>
        <w:rPr>
          <w:rFonts w:hint="eastAsia" w:ascii="Times New Roman" w:hAnsi="Times New Roman" w:cs="Times New Roman"/>
          <w:b/>
          <w:color w:val="auto"/>
          <w:w w:val="99"/>
          <w:highlight w:val="none"/>
        </w:rPr>
        <w:t>调查</w:t>
      </w:r>
    </w:p>
    <w:p w14:paraId="0C02EAAA">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项目区内包气带均为第四系松散堆积层，堆积厚度大，分布范围广。按地貌成因形态类型主要为冲积低平原沉积地层。</w:t>
      </w:r>
    </w:p>
    <w:p w14:paraId="66F12D6F">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根据项目区潜水地下水埋深特征，包气带厚度2.3m-3.1m。包气带地层成因及岩性。第四系包气带地层特征：</w:t>
      </w:r>
    </w:p>
    <w:p w14:paraId="4D68E592">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（1）粉质粘土：黄褐色-褐黄色，可塑，土质不均匀，局部夹有粉土，手捻有砂粒感，含氧化铁斑点，中压缩性，干强度中等，韧性中等，稍有光滑，无摇振反应，地层厚度3.10-4.50m。</w:t>
      </w:r>
    </w:p>
    <w:p w14:paraId="4C3C019B">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（2）粉细砂：黄色，稍密，饱和，颗粒均一，级配差，主要矿物成</w:t>
      </w:r>
      <w:r>
        <w:rPr>
          <w:rFonts w:hint="eastAsia" w:ascii="Times New Roman" w:hAnsi="Times New Roman" w:cs="Times New Roman" w:eastAsiaTheme="minorEastAsia"/>
          <w:color w:val="auto"/>
          <w:w w:val="99"/>
          <w:highlight w:val="none"/>
        </w:rPr>
        <w:t>分</w:t>
      </w:r>
      <w:r>
        <w:rPr>
          <w:rFonts w:ascii="Times New Roman" w:hAnsi="Times New Roman" w:cs="Times New Roman" w:eastAsiaTheme="minorEastAsia"/>
          <w:color w:val="auto"/>
          <w:w w:val="99"/>
          <w:highlight w:val="none"/>
        </w:rPr>
        <w:t>由石英、长石组成，含少量暗色矿物。土层分布不连续，地层厚度2.10-2.30m。</w:t>
      </w:r>
    </w:p>
    <w:p w14:paraId="351682E8">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（3）粘土：黄褐色-灰色，可塑，土质较均匀，粘性较强，含氧化铁斑点，中压缩性，干强度中等，韧性中等，该层未钻穿。</w:t>
      </w:r>
    </w:p>
    <w:p w14:paraId="3BA8D1D4">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w:t>
      </w:r>
      <w:r>
        <w:rPr>
          <w:rFonts w:hint="eastAsia" w:ascii="Times New Roman" w:hAnsi="Times New Roman" w:cs="Times New Roman"/>
          <w:color w:val="auto"/>
          <w:w w:val="99"/>
          <w:kern w:val="2"/>
          <w:highlight w:val="none"/>
        </w:rPr>
        <w:t>4</w:t>
      </w:r>
      <w:r>
        <w:rPr>
          <w:rFonts w:ascii="Times New Roman" w:hAnsi="Times New Roman" w:cs="Times New Roman"/>
          <w:color w:val="auto"/>
          <w:w w:val="99"/>
          <w:kern w:val="2"/>
          <w:highlight w:val="none"/>
        </w:rPr>
        <w:t>）建设场地包气带防污性能</w:t>
      </w:r>
    </w:p>
    <w:p w14:paraId="568679CC">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根据《环境影响评价技术导则地下水环境》（HJ610-2016）天然包气带防污性能分级参照表，本项目建设场地区包气带防污性能分级见表4.1-2。</w:t>
      </w:r>
    </w:p>
    <w:p w14:paraId="7FFB6165">
      <w:pPr>
        <w:pStyle w:val="153"/>
        <w:widowControl w:val="0"/>
        <w:spacing w:line="440" w:lineRule="exact"/>
        <w:ind w:firstLine="474"/>
        <w:jc w:val="both"/>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 xml:space="preserve">表 4.1-2    </w:t>
      </w:r>
      <w:r>
        <w:rPr>
          <w:rFonts w:ascii="Times New Roman" w:hAnsi="Times New Roman" w:eastAsiaTheme="minorEastAsia"/>
          <w:b/>
          <w:bCs/>
          <w:color w:val="auto"/>
          <w:w w:val="99"/>
          <w:highlight w:val="none"/>
        </w:rPr>
        <w:t>包气带</w:t>
      </w:r>
      <w:r>
        <w:rPr>
          <w:rFonts w:ascii="Times New Roman" w:hAnsi="Times New Roman" w:eastAsiaTheme="minorEastAsia"/>
          <w:b/>
          <w:color w:val="auto"/>
          <w:w w:val="99"/>
          <w:highlight w:val="none"/>
        </w:rPr>
        <w:t>防污性能分级</w:t>
      </w:r>
    </w:p>
    <w:tbl>
      <w:tblPr>
        <w:tblStyle w:val="8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8566"/>
      </w:tblGrid>
      <w:tr w14:paraId="19E6D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8" w:type="pct"/>
            <w:vAlign w:val="center"/>
          </w:tcPr>
          <w:p w14:paraId="69D45B2C">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分级</w:t>
            </w:r>
          </w:p>
        </w:tc>
        <w:tc>
          <w:tcPr>
            <w:tcW w:w="4612" w:type="pct"/>
            <w:vAlign w:val="center"/>
          </w:tcPr>
          <w:p w14:paraId="12BA8E04">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包气带岩土的渗透性能</w:t>
            </w:r>
          </w:p>
        </w:tc>
      </w:tr>
      <w:tr w14:paraId="4EE07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8" w:type="pct"/>
            <w:vAlign w:val="center"/>
          </w:tcPr>
          <w:p w14:paraId="4835464C">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强</w:t>
            </w:r>
          </w:p>
        </w:tc>
        <w:tc>
          <w:tcPr>
            <w:tcW w:w="4612" w:type="pct"/>
            <w:vAlign w:val="center"/>
          </w:tcPr>
          <w:p w14:paraId="3ED6BB69">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岩（土）层单层厚度Mb≥1.0m，渗透系数K≤10</w:t>
            </w:r>
            <w:r>
              <w:rPr>
                <w:rFonts w:ascii="Times New Roman" w:hAnsi="Times New Roman" w:cs="Times New Roman" w:eastAsiaTheme="minorEastAsia"/>
                <w:color w:val="auto"/>
                <w:w w:val="99"/>
                <w:kern w:val="2"/>
                <w:sz w:val="21"/>
                <w:szCs w:val="21"/>
                <w:highlight w:val="none"/>
                <w:vertAlign w:val="superscript"/>
              </w:rPr>
              <w:t>-6</w:t>
            </w:r>
            <w:r>
              <w:rPr>
                <w:rFonts w:ascii="Times New Roman" w:hAnsi="Times New Roman" w:cs="Times New Roman" w:eastAsiaTheme="minorEastAsia"/>
                <w:color w:val="auto"/>
                <w:w w:val="99"/>
                <w:kern w:val="2"/>
                <w:sz w:val="21"/>
                <w:szCs w:val="21"/>
                <w:highlight w:val="none"/>
              </w:rPr>
              <w:t>cm/s，且分布连续、稳定。</w:t>
            </w:r>
          </w:p>
        </w:tc>
      </w:tr>
      <w:tr w14:paraId="4044B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8" w:type="pct"/>
            <w:vAlign w:val="center"/>
          </w:tcPr>
          <w:p w14:paraId="13582BE2">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中</w:t>
            </w:r>
          </w:p>
        </w:tc>
        <w:tc>
          <w:tcPr>
            <w:tcW w:w="4612" w:type="pct"/>
            <w:vAlign w:val="center"/>
          </w:tcPr>
          <w:p w14:paraId="38982809">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岩（土）层单层厚度0.5m≤Mb＜1.0m，渗透系数K≤10</w:t>
            </w:r>
            <w:r>
              <w:rPr>
                <w:rFonts w:ascii="Times New Roman" w:hAnsi="Times New Roman" w:cs="Times New Roman" w:eastAsiaTheme="minorEastAsia"/>
                <w:color w:val="auto"/>
                <w:w w:val="99"/>
                <w:kern w:val="2"/>
                <w:sz w:val="21"/>
                <w:szCs w:val="21"/>
                <w:highlight w:val="none"/>
                <w:vertAlign w:val="superscript"/>
              </w:rPr>
              <w:t>-6</w:t>
            </w:r>
            <w:r>
              <w:rPr>
                <w:rFonts w:ascii="Times New Roman" w:hAnsi="Times New Roman" w:cs="Times New Roman" w:eastAsiaTheme="minorEastAsia"/>
                <w:color w:val="auto"/>
                <w:w w:val="99"/>
                <w:kern w:val="2"/>
                <w:sz w:val="21"/>
                <w:szCs w:val="21"/>
                <w:highlight w:val="none"/>
              </w:rPr>
              <w:t>cm/s，且分布连续、稳定。岩（土）层单层厚度Mb≥1.0m，渗透系数</w:t>
            </w:r>
            <w:bookmarkStart w:id="633" w:name="OLE_LINK23"/>
            <w:r>
              <w:rPr>
                <w:rFonts w:ascii="Times New Roman" w:hAnsi="Times New Roman" w:cs="Times New Roman" w:eastAsiaTheme="minorEastAsia"/>
                <w:color w:val="auto"/>
                <w:w w:val="99"/>
                <w:kern w:val="2"/>
                <w:sz w:val="21"/>
                <w:szCs w:val="21"/>
                <w:highlight w:val="none"/>
              </w:rPr>
              <w:t>1×10</w:t>
            </w:r>
            <w:r>
              <w:rPr>
                <w:rFonts w:ascii="Times New Roman" w:hAnsi="Times New Roman" w:cs="Times New Roman" w:eastAsiaTheme="minorEastAsia"/>
                <w:color w:val="auto"/>
                <w:w w:val="99"/>
                <w:kern w:val="2"/>
                <w:sz w:val="21"/>
                <w:szCs w:val="21"/>
                <w:highlight w:val="none"/>
                <w:vertAlign w:val="superscript"/>
              </w:rPr>
              <w:t>-6</w:t>
            </w:r>
            <w:r>
              <w:rPr>
                <w:rFonts w:ascii="Times New Roman" w:hAnsi="Times New Roman" w:cs="Times New Roman" w:eastAsiaTheme="minorEastAsia"/>
                <w:color w:val="auto"/>
                <w:w w:val="99"/>
                <w:kern w:val="2"/>
                <w:sz w:val="21"/>
                <w:szCs w:val="21"/>
                <w:highlight w:val="none"/>
              </w:rPr>
              <w:t>cm/s＜K≤1×10</w:t>
            </w:r>
            <w:r>
              <w:rPr>
                <w:rFonts w:ascii="Times New Roman" w:hAnsi="Times New Roman" w:cs="Times New Roman" w:eastAsiaTheme="minorEastAsia"/>
                <w:color w:val="auto"/>
                <w:w w:val="99"/>
                <w:kern w:val="2"/>
                <w:sz w:val="21"/>
                <w:szCs w:val="21"/>
                <w:highlight w:val="none"/>
                <w:vertAlign w:val="superscript"/>
              </w:rPr>
              <w:t>-4</w:t>
            </w:r>
            <w:r>
              <w:rPr>
                <w:rFonts w:ascii="Times New Roman" w:hAnsi="Times New Roman" w:cs="Times New Roman" w:eastAsiaTheme="minorEastAsia"/>
                <w:color w:val="auto"/>
                <w:w w:val="99"/>
                <w:kern w:val="2"/>
                <w:sz w:val="21"/>
                <w:szCs w:val="21"/>
                <w:highlight w:val="none"/>
              </w:rPr>
              <w:t>cm/s，且分布连续、稳定</w:t>
            </w:r>
            <w:bookmarkEnd w:id="633"/>
            <w:r>
              <w:rPr>
                <w:rFonts w:ascii="Times New Roman" w:hAnsi="Times New Roman" w:cs="Times New Roman" w:eastAsiaTheme="minorEastAsia"/>
                <w:color w:val="auto"/>
                <w:w w:val="99"/>
                <w:kern w:val="2"/>
                <w:sz w:val="21"/>
                <w:szCs w:val="21"/>
                <w:highlight w:val="none"/>
              </w:rPr>
              <w:t>。</w:t>
            </w:r>
          </w:p>
        </w:tc>
      </w:tr>
      <w:tr w14:paraId="58FF9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8" w:type="pct"/>
            <w:vAlign w:val="center"/>
          </w:tcPr>
          <w:p w14:paraId="2840CD8B">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弱</w:t>
            </w:r>
          </w:p>
        </w:tc>
        <w:tc>
          <w:tcPr>
            <w:tcW w:w="4612" w:type="pct"/>
            <w:vAlign w:val="center"/>
          </w:tcPr>
          <w:p w14:paraId="591A1760">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岩（土）层不满足上述“强”和“中”条件。</w:t>
            </w:r>
          </w:p>
        </w:tc>
      </w:tr>
    </w:tbl>
    <w:p w14:paraId="60FBD2AF">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本区域包气带厚度</w:t>
      </w:r>
      <w:r>
        <w:rPr>
          <w:rFonts w:hint="eastAsia" w:ascii="Times New Roman" w:hAnsi="Times New Roman" w:cs="Times New Roman" w:eastAsiaTheme="minorEastAsia"/>
          <w:color w:val="auto"/>
          <w:w w:val="99"/>
          <w:highlight w:val="none"/>
        </w:rPr>
        <w:t>2.3</w:t>
      </w:r>
      <w:r>
        <w:rPr>
          <w:rFonts w:ascii="Times New Roman" w:hAnsi="Times New Roman" w:cs="Times New Roman" w:eastAsiaTheme="minorEastAsia"/>
          <w:color w:val="auto"/>
          <w:w w:val="99"/>
          <w:highlight w:val="none"/>
        </w:rPr>
        <w:t>~</w:t>
      </w:r>
      <w:r>
        <w:rPr>
          <w:rFonts w:hint="eastAsia" w:ascii="Times New Roman" w:hAnsi="Times New Roman" w:cs="Times New Roman" w:eastAsiaTheme="minorEastAsia"/>
          <w:color w:val="auto"/>
          <w:w w:val="99"/>
          <w:highlight w:val="none"/>
        </w:rPr>
        <w:t>3.1</w:t>
      </w:r>
      <w:r>
        <w:rPr>
          <w:rFonts w:ascii="Times New Roman" w:hAnsi="Times New Roman" w:cs="Times New Roman" w:eastAsiaTheme="minorEastAsia"/>
          <w:color w:val="auto"/>
          <w:w w:val="99"/>
          <w:highlight w:val="none"/>
        </w:rPr>
        <w:t>m（大于1.0m），根据地质资料，项目包气带岩性主要为粘土、细砂，参照水文地质参数表，黏土、细砂渗透系数5.79×10</w:t>
      </w:r>
      <w:r>
        <w:rPr>
          <w:rFonts w:ascii="Times New Roman" w:hAnsi="Times New Roman" w:cs="Times New Roman" w:eastAsiaTheme="minorEastAsia"/>
          <w:color w:val="auto"/>
          <w:w w:val="99"/>
          <w:highlight w:val="none"/>
          <w:vertAlign w:val="superscript"/>
        </w:rPr>
        <w:t>-5</w:t>
      </w:r>
      <w:r>
        <w:rPr>
          <w:rFonts w:ascii="Times New Roman" w:hAnsi="Times New Roman" w:cs="Times New Roman" w:eastAsiaTheme="minorEastAsia"/>
          <w:color w:val="auto"/>
          <w:w w:val="99"/>
          <w:highlight w:val="none"/>
        </w:rPr>
        <w:t>-2.89×10</w:t>
      </w:r>
      <w:r>
        <w:rPr>
          <w:rFonts w:ascii="Times New Roman" w:hAnsi="Times New Roman" w:cs="Times New Roman" w:eastAsiaTheme="minorEastAsia"/>
          <w:color w:val="auto"/>
          <w:w w:val="99"/>
          <w:highlight w:val="none"/>
          <w:vertAlign w:val="superscript"/>
        </w:rPr>
        <w:t>-4</w:t>
      </w:r>
      <w:r>
        <w:rPr>
          <w:rFonts w:ascii="Times New Roman" w:hAnsi="Times New Roman" w:cs="Times New Roman" w:eastAsiaTheme="minorEastAsia"/>
          <w:color w:val="auto"/>
          <w:w w:val="99"/>
          <w:highlight w:val="none"/>
        </w:rPr>
        <w:t>cm/s（&gt;1×10</w:t>
      </w:r>
      <w:r>
        <w:rPr>
          <w:rFonts w:ascii="Times New Roman" w:hAnsi="Times New Roman" w:cs="Times New Roman" w:eastAsiaTheme="minorEastAsia"/>
          <w:color w:val="auto"/>
          <w:w w:val="99"/>
          <w:highlight w:val="none"/>
          <w:vertAlign w:val="superscript"/>
        </w:rPr>
        <w:t>-6</w:t>
      </w:r>
      <w:r>
        <w:rPr>
          <w:rFonts w:ascii="Times New Roman" w:hAnsi="Times New Roman" w:cs="Times New Roman" w:eastAsiaTheme="minorEastAsia"/>
          <w:color w:val="auto"/>
          <w:w w:val="99"/>
          <w:highlight w:val="none"/>
        </w:rPr>
        <w:t>cm/s，&lt;1×10</w:t>
      </w:r>
      <w:r>
        <w:rPr>
          <w:rFonts w:ascii="Times New Roman" w:hAnsi="Times New Roman" w:cs="Times New Roman" w:eastAsiaTheme="minorEastAsia"/>
          <w:color w:val="auto"/>
          <w:w w:val="99"/>
          <w:highlight w:val="none"/>
          <w:vertAlign w:val="superscript"/>
        </w:rPr>
        <w:t>-4</w:t>
      </w:r>
      <w:r>
        <w:rPr>
          <w:rFonts w:ascii="Times New Roman" w:hAnsi="Times New Roman" w:cs="Times New Roman" w:eastAsiaTheme="minorEastAsia"/>
          <w:color w:val="auto"/>
          <w:w w:val="99"/>
          <w:highlight w:val="none"/>
        </w:rPr>
        <w:t>cm/s），由此可知，项目区域包气带防污性能为中。</w:t>
      </w:r>
    </w:p>
    <w:p w14:paraId="37CE7517">
      <w:pPr>
        <w:keepNext/>
        <w:keepLines/>
        <w:widowControl w:val="0"/>
        <w:spacing w:before="60" w:after="60" w:line="440" w:lineRule="exact"/>
        <w:jc w:val="both"/>
        <w:outlineLvl w:val="2"/>
        <w:rPr>
          <w:rFonts w:ascii="Times New Roman" w:hAnsi="Times New Roman" w:eastAsia="黑体" w:cs="Times New Roman"/>
          <w:b/>
          <w:bCs/>
          <w:color w:val="auto"/>
          <w:w w:val="99"/>
          <w:kern w:val="2"/>
          <w:highlight w:val="none"/>
        </w:rPr>
      </w:pPr>
      <w:r>
        <w:rPr>
          <w:rFonts w:ascii="Times New Roman" w:hAnsi="Times New Roman" w:eastAsia="黑体" w:cs="Times New Roman"/>
          <w:b/>
          <w:bCs/>
          <w:color w:val="auto"/>
          <w:w w:val="99"/>
          <w:kern w:val="2"/>
          <w:highlight w:val="none"/>
        </w:rPr>
        <w:t>4.1.</w:t>
      </w:r>
      <w:r>
        <w:rPr>
          <w:rFonts w:hint="eastAsia" w:ascii="Times New Roman" w:hAnsi="Times New Roman" w:eastAsia="黑体" w:cs="Times New Roman"/>
          <w:b/>
          <w:bCs/>
          <w:color w:val="auto"/>
          <w:w w:val="99"/>
          <w:kern w:val="2"/>
          <w:highlight w:val="none"/>
        </w:rPr>
        <w:t>7</w:t>
      </w:r>
      <w:r>
        <w:rPr>
          <w:rFonts w:ascii="Times New Roman" w:hAnsi="Times New Roman" w:eastAsia="黑体" w:cs="Times New Roman"/>
          <w:b/>
          <w:bCs/>
          <w:color w:val="auto"/>
          <w:w w:val="99"/>
          <w:kern w:val="2"/>
          <w:highlight w:val="none"/>
        </w:rPr>
        <w:t>土壤与植被情况</w:t>
      </w:r>
    </w:p>
    <w:p w14:paraId="066ED451">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评价区地处松嫩平原，根据现场踏勘及国家土壤信息服务平台（http://www.soilinfo.cn/map/）资料显示，本项目评价范围内土壤种类主要有</w:t>
      </w:r>
      <w:r>
        <w:rPr>
          <w:rFonts w:hint="eastAsia" w:ascii="Times New Roman" w:hAnsi="Times New Roman" w:cs="Times New Roman"/>
          <w:color w:val="auto"/>
          <w:w w:val="99"/>
          <w:highlight w:val="none"/>
        </w:rPr>
        <w:t>黑钙</w:t>
      </w:r>
      <w:r>
        <w:rPr>
          <w:rFonts w:ascii="Times New Roman" w:hAnsi="Times New Roman" w:cs="Times New Roman"/>
          <w:color w:val="auto"/>
          <w:w w:val="99"/>
          <w:highlight w:val="none"/>
        </w:rPr>
        <w:t>土。区域土壤类型分布图见附图</w:t>
      </w:r>
      <w:r>
        <w:rPr>
          <w:rFonts w:hint="eastAsia" w:ascii="Times New Roman" w:hAnsi="Times New Roman" w:cs="Times New Roman"/>
          <w:color w:val="auto"/>
          <w:w w:val="99"/>
          <w:highlight w:val="none"/>
        </w:rPr>
        <w:t>8</w:t>
      </w:r>
      <w:r>
        <w:rPr>
          <w:rFonts w:ascii="Times New Roman" w:hAnsi="Times New Roman" w:cs="Times New Roman"/>
          <w:color w:val="auto"/>
          <w:w w:val="99"/>
          <w:highlight w:val="none"/>
        </w:rPr>
        <w:t>。</w:t>
      </w:r>
    </w:p>
    <w:p w14:paraId="64D3DC8C">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草甸土是形成农田和草原的主要土壤类型。草甸土主要是在草甸植被下变化而成。因为分布地形较低，地下水较高和气候因素，多数附加有盐化过程，部分附加有潜育化过程。草甸子肥力较高，一般黑土层20~40cm，有机质含量在3~4%，全氮在0.1~0.2%，全磷在0.09~0.12%。土浆粘重，冷浆，耕性不好，通透性差，该类土壤适宜发展水稻、向日葵、甜菜等作物。</w:t>
      </w:r>
    </w:p>
    <w:p w14:paraId="2EC0DEBF">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本评价区域内植被类型以农田植被为主。</w:t>
      </w:r>
    </w:p>
    <w:p w14:paraId="382E10D7">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评价区属于松嫩平原区，农耕历史悠久，栽培植被是最重要的植被类型，为人工种植的各种农作物。区域中农作物主要以玉米为主。玉米是一年生禾本科植物，是喜温作物，全生育期要求较高的温度，产量约为650kg/亩。经济作物主要有甜菜、芝麻、向日葵等。蔬菜类主要有茄子、豆角和白菜等。</w:t>
      </w:r>
    </w:p>
    <w:p w14:paraId="5A48DE92">
      <w:pPr>
        <w:keepNext/>
        <w:keepLines/>
        <w:widowControl w:val="0"/>
        <w:spacing w:before="60" w:after="60" w:line="440" w:lineRule="exact"/>
        <w:jc w:val="both"/>
        <w:outlineLvl w:val="2"/>
        <w:rPr>
          <w:rFonts w:ascii="Times New Roman" w:hAnsi="Times New Roman" w:eastAsia="黑体" w:cs="Times New Roman"/>
          <w:b/>
          <w:bCs/>
          <w:color w:val="auto"/>
          <w:w w:val="99"/>
          <w:kern w:val="2"/>
          <w:highlight w:val="none"/>
        </w:rPr>
      </w:pPr>
      <w:r>
        <w:rPr>
          <w:rFonts w:ascii="Times New Roman" w:hAnsi="Times New Roman" w:eastAsia="黑体" w:cs="Times New Roman"/>
          <w:b/>
          <w:bCs/>
          <w:color w:val="auto"/>
          <w:w w:val="99"/>
          <w:kern w:val="2"/>
          <w:highlight w:val="none"/>
        </w:rPr>
        <w:t>4.1.8</w:t>
      </w:r>
      <w:r>
        <w:rPr>
          <w:rFonts w:hint="eastAsia" w:ascii="Times New Roman" w:hAnsi="Times New Roman" w:eastAsia="黑体" w:cs="Times New Roman"/>
          <w:b/>
          <w:bCs/>
          <w:color w:val="auto"/>
          <w:w w:val="99"/>
          <w:kern w:val="2"/>
          <w:highlight w:val="none"/>
        </w:rPr>
        <w:t>动物分布</w:t>
      </w:r>
      <w:r>
        <w:rPr>
          <w:rFonts w:ascii="Times New Roman" w:hAnsi="Times New Roman" w:eastAsia="黑体" w:cs="Times New Roman"/>
          <w:b/>
          <w:bCs/>
          <w:color w:val="auto"/>
          <w:w w:val="99"/>
          <w:kern w:val="2"/>
          <w:highlight w:val="none"/>
        </w:rPr>
        <w:t>情况</w:t>
      </w:r>
    </w:p>
    <w:p w14:paraId="388F7868">
      <w:pPr>
        <w:widowControl w:val="0"/>
        <w:spacing w:line="440" w:lineRule="exact"/>
        <w:ind w:firstLine="474" w:firstLineChars="200"/>
        <w:jc w:val="both"/>
        <w:rPr>
          <w:rFonts w:ascii="Times New Roman" w:hAnsi="Times New Roman" w:cs="Times New Roman" w:eastAsiaTheme="minorEastAsia"/>
          <w:color w:val="auto"/>
          <w:w w:val="99"/>
          <w:kern w:val="2"/>
          <w:highlight w:val="none"/>
        </w:rPr>
      </w:pPr>
      <w:r>
        <w:rPr>
          <w:rFonts w:ascii="Times New Roman" w:hAnsi="Times New Roman" w:cs="Times New Roman" w:eastAsiaTheme="minorEastAsia"/>
          <w:color w:val="auto"/>
          <w:w w:val="99"/>
          <w:kern w:val="2"/>
          <w:highlight w:val="none"/>
        </w:rPr>
        <w:t>（1）陆生哺乳动物</w:t>
      </w:r>
    </w:p>
    <w:p w14:paraId="730B00CD">
      <w:pPr>
        <w:widowControl w:val="0"/>
        <w:spacing w:line="440" w:lineRule="exact"/>
        <w:ind w:firstLine="474" w:firstLineChars="200"/>
        <w:jc w:val="both"/>
        <w:rPr>
          <w:rFonts w:ascii="Times New Roman" w:hAnsi="Times New Roman" w:cs="Times New Roman" w:eastAsiaTheme="minorEastAsia"/>
          <w:color w:val="auto"/>
          <w:w w:val="99"/>
          <w:kern w:val="2"/>
          <w:highlight w:val="none"/>
        </w:rPr>
      </w:pPr>
      <w:r>
        <w:rPr>
          <w:rFonts w:ascii="Times New Roman" w:hAnsi="Times New Roman" w:cs="Times New Roman" w:eastAsiaTheme="minorEastAsia"/>
          <w:color w:val="auto"/>
          <w:w w:val="99"/>
          <w:kern w:val="2"/>
          <w:highlight w:val="none"/>
        </w:rPr>
        <w:t>评价区为典型农区，其动物的组成与分布具有明显的村栖型特点。主要分布有小家鼠（MusmusculusL.）、大仓鼠（Cricetulustriton）、普通田鼠（Microtusarvalis）等啮齿目动物。由于人类活动的干扰，较大型哺乳类动物基本绝迹，但小型哺乳类特别是鼠类仍为常见种。</w:t>
      </w:r>
    </w:p>
    <w:p w14:paraId="082A9C35">
      <w:pPr>
        <w:widowControl w:val="0"/>
        <w:spacing w:line="440" w:lineRule="exact"/>
        <w:ind w:firstLine="474" w:firstLineChars="200"/>
        <w:jc w:val="both"/>
        <w:rPr>
          <w:rFonts w:ascii="Times New Roman" w:hAnsi="Times New Roman" w:cs="Times New Roman" w:eastAsiaTheme="minorEastAsia"/>
          <w:color w:val="auto"/>
          <w:w w:val="99"/>
          <w:kern w:val="2"/>
          <w:highlight w:val="none"/>
        </w:rPr>
      </w:pPr>
      <w:r>
        <w:rPr>
          <w:rFonts w:ascii="Times New Roman" w:hAnsi="Times New Roman" w:cs="Times New Roman" w:eastAsiaTheme="minorEastAsia"/>
          <w:color w:val="auto"/>
          <w:w w:val="99"/>
          <w:kern w:val="2"/>
          <w:highlight w:val="none"/>
        </w:rPr>
        <w:t>（2）鸟类</w:t>
      </w:r>
    </w:p>
    <w:p w14:paraId="65B747BC">
      <w:pPr>
        <w:widowControl w:val="0"/>
        <w:spacing w:line="440" w:lineRule="exact"/>
        <w:ind w:firstLine="474" w:firstLineChars="200"/>
        <w:jc w:val="both"/>
        <w:rPr>
          <w:rFonts w:ascii="Times New Roman" w:hAnsi="Times New Roman" w:cs="Times New Roman" w:eastAsiaTheme="minorEastAsia"/>
          <w:color w:val="auto"/>
          <w:w w:val="99"/>
          <w:kern w:val="2"/>
          <w:highlight w:val="none"/>
        </w:rPr>
      </w:pPr>
      <w:r>
        <w:rPr>
          <w:rFonts w:ascii="Times New Roman" w:hAnsi="Times New Roman" w:cs="Times New Roman" w:eastAsiaTheme="minorEastAsia"/>
          <w:color w:val="auto"/>
          <w:w w:val="99"/>
          <w:kern w:val="2"/>
          <w:highlight w:val="none"/>
        </w:rPr>
        <w:t>本区人类生产活动频繁，因此鸟类的种类和分布亦较少。经调查，本区无国家和地方受保护的珍稀濒危野生动物，常见鸟类主要为喜鹊（P.picasericeaGould）、小嘴乌鸦（C.coroneorientalisEvers）、麻雀（P.montanusmontanus）、家燕（H.rusticagutturalisScopoli）等村栖型鸟类。</w:t>
      </w:r>
    </w:p>
    <w:p w14:paraId="4347F720">
      <w:pPr>
        <w:widowControl w:val="0"/>
        <w:spacing w:line="440" w:lineRule="exact"/>
        <w:ind w:firstLine="474" w:firstLineChars="200"/>
        <w:jc w:val="both"/>
        <w:rPr>
          <w:rFonts w:ascii="Times New Roman" w:hAnsi="Times New Roman" w:cs="Times New Roman" w:eastAsiaTheme="minorEastAsia"/>
          <w:color w:val="auto"/>
          <w:w w:val="99"/>
          <w:kern w:val="2"/>
          <w:highlight w:val="none"/>
        </w:rPr>
      </w:pPr>
      <w:r>
        <w:rPr>
          <w:rFonts w:ascii="Times New Roman" w:hAnsi="Times New Roman" w:cs="Times New Roman" w:eastAsiaTheme="minorEastAsia"/>
          <w:color w:val="auto"/>
          <w:w w:val="99"/>
          <w:kern w:val="2"/>
          <w:highlight w:val="none"/>
        </w:rPr>
        <w:t>项目工程占地区无国家重点保护野生动物、无《中国生物多样性红色名录》中珍稀濒危野生动物，无国家列入拯救保护的极小种群、特有种等动物资源的主要的天然集中分布区和繁殖区。</w:t>
      </w:r>
    </w:p>
    <w:bookmarkEnd w:id="632"/>
    <w:p w14:paraId="3AE05BD2">
      <w:pPr>
        <w:pStyle w:val="5"/>
        <w:keepNext w:val="0"/>
        <w:keepLines w:val="0"/>
        <w:widowControl w:val="0"/>
        <w:spacing w:before="120" w:after="120" w:line="440" w:lineRule="exact"/>
        <w:jc w:val="both"/>
        <w:rPr>
          <w:rFonts w:ascii="Times New Roman" w:hAnsi="Times New Roman" w:eastAsia="宋体"/>
          <w:b/>
          <w:snapToGrid w:val="0"/>
          <w:color w:val="auto"/>
          <w:w w:val="99"/>
          <w:highlight w:val="none"/>
        </w:rPr>
      </w:pPr>
      <w:bookmarkStart w:id="634" w:name="_Toc23320"/>
      <w:bookmarkStart w:id="635" w:name="_Toc15781"/>
      <w:r>
        <w:rPr>
          <w:rFonts w:ascii="Times New Roman" w:hAnsi="Times New Roman" w:eastAsia="宋体"/>
          <w:b/>
          <w:snapToGrid w:val="0"/>
          <w:color w:val="auto"/>
          <w:w w:val="99"/>
          <w:highlight w:val="none"/>
        </w:rPr>
        <w:t>4.2环境保护目标调查</w:t>
      </w:r>
      <w:bookmarkEnd w:id="634"/>
    </w:p>
    <w:p w14:paraId="4C2F4EEC">
      <w:pPr>
        <w:widowControl w:val="0"/>
        <w:spacing w:line="440" w:lineRule="exact"/>
        <w:ind w:firstLine="474" w:firstLineChars="200"/>
        <w:jc w:val="both"/>
        <w:rPr>
          <w:rFonts w:ascii="Times New Roman" w:hAnsi="Times New Roman" w:cs="Times New Roman" w:eastAsiaTheme="minorEastAsia"/>
          <w:color w:val="auto"/>
          <w:w w:val="99"/>
          <w:kern w:val="2"/>
          <w:highlight w:val="none"/>
        </w:rPr>
      </w:pPr>
      <w:r>
        <w:rPr>
          <w:rFonts w:ascii="Times New Roman" w:hAnsi="Times New Roman" w:cs="Times New Roman" w:eastAsiaTheme="minorEastAsia"/>
          <w:color w:val="auto"/>
          <w:w w:val="99"/>
          <w:kern w:val="2"/>
          <w:highlight w:val="none"/>
        </w:rPr>
        <w:t>本项目区域范围内不涉及国家公园、自然保护区、风景名胜区、世界文化和自然遗产地、海洋特别保护区、饮用水水源保护区，不涉及基本草原、自然公园（森林公园、地质公园、海洋公园等）、重要湿地、天然林、重点保护野生动物栖息地、重点保护野生植物生长繁殖地、重要水生生物的自然产卵场、索饵场、越冬场和洄游通道、天然渔场、水土流失重点预防区、</w:t>
      </w:r>
      <w:r>
        <w:rPr>
          <w:rFonts w:ascii="Times New Roman" w:hAnsi="Times New Roman" w:cs="Times New Roman" w:eastAsiaTheme="minorEastAsia"/>
          <w:bCs/>
          <w:color w:val="auto"/>
          <w:w w:val="99"/>
          <w:kern w:val="2"/>
          <w:highlight w:val="none"/>
        </w:rPr>
        <w:t>水土流失重点治理区</w:t>
      </w:r>
      <w:r>
        <w:rPr>
          <w:rFonts w:hint="eastAsia" w:ascii="Times New Roman" w:hAnsi="Times New Roman" w:cs="Times New Roman" w:eastAsiaTheme="minorEastAsia"/>
          <w:bCs/>
          <w:color w:val="auto"/>
          <w:w w:val="99"/>
          <w:kern w:val="2"/>
          <w:highlight w:val="none"/>
        </w:rPr>
        <w:t>、</w:t>
      </w:r>
      <w:r>
        <w:rPr>
          <w:rFonts w:ascii="Times New Roman" w:hAnsi="Times New Roman" w:cs="Times New Roman" w:eastAsiaTheme="minorEastAsia"/>
          <w:color w:val="auto"/>
          <w:w w:val="99"/>
          <w:kern w:val="2"/>
          <w:highlight w:val="none"/>
        </w:rPr>
        <w:t>沙化土地封禁保护区、封闭及半封闭海域，不涉及以医疗卫生、文化教育、科研、行政办公为主要功能的区域，以及文物保护单位等环境敏感区，也不在生态保护红线范围内。项目占地类型为</w:t>
      </w:r>
      <w:r>
        <w:rPr>
          <w:rFonts w:hint="eastAsia" w:ascii="Times New Roman" w:hAnsi="Times New Roman" w:cs="Times New Roman" w:eastAsiaTheme="minorEastAsia"/>
          <w:color w:val="auto"/>
          <w:w w:val="99"/>
          <w:kern w:val="2"/>
          <w:highlight w:val="none"/>
        </w:rPr>
        <w:t>永久基本农田</w:t>
      </w:r>
      <w:r>
        <w:rPr>
          <w:rFonts w:ascii="Times New Roman" w:hAnsi="Times New Roman" w:cs="Times New Roman" w:eastAsiaTheme="minorEastAsia"/>
          <w:color w:val="auto"/>
          <w:w w:val="99"/>
          <w:kern w:val="2"/>
          <w:highlight w:val="none"/>
        </w:rPr>
        <w:t>，开发区域不涉及地下水水源井</w:t>
      </w:r>
      <w:r>
        <w:rPr>
          <w:rFonts w:ascii="Times New Roman" w:hAnsi="Times New Roman" w:cs="Times New Roman" w:eastAsiaTheme="minorEastAsia"/>
          <w:bCs/>
          <w:color w:val="auto"/>
          <w:w w:val="99"/>
          <w:kern w:val="2"/>
          <w:highlight w:val="none"/>
        </w:rPr>
        <w:t>。</w:t>
      </w:r>
      <w:r>
        <w:rPr>
          <w:rFonts w:ascii="Times New Roman" w:hAnsi="Times New Roman" w:cs="Times New Roman" w:eastAsiaTheme="minorEastAsia"/>
          <w:color w:val="auto"/>
          <w:w w:val="99"/>
          <w:kern w:val="2"/>
          <w:highlight w:val="none"/>
        </w:rPr>
        <w:t>项目</w:t>
      </w:r>
      <w:r>
        <w:rPr>
          <w:rFonts w:hint="eastAsia" w:ascii="Times New Roman" w:hAnsi="Times New Roman" w:cs="Times New Roman" w:eastAsiaTheme="minorEastAsia"/>
          <w:color w:val="auto"/>
          <w:w w:val="99"/>
          <w:kern w:val="2"/>
          <w:highlight w:val="none"/>
        </w:rPr>
        <w:t>主要</w:t>
      </w:r>
      <w:r>
        <w:rPr>
          <w:rFonts w:ascii="Times New Roman" w:hAnsi="Times New Roman" w:cs="Times New Roman" w:eastAsiaTheme="minorEastAsia"/>
          <w:color w:val="auto"/>
          <w:w w:val="99"/>
          <w:kern w:val="2"/>
          <w:highlight w:val="none"/>
        </w:rPr>
        <w:t>涉及以居住为主要功能的区域</w:t>
      </w:r>
      <w:r>
        <w:rPr>
          <w:rFonts w:hint="eastAsia" w:ascii="Times New Roman" w:hAnsi="Times New Roman" w:cs="Times New Roman" w:eastAsiaTheme="minorEastAsia"/>
          <w:color w:val="auto"/>
          <w:w w:val="99"/>
          <w:kern w:val="2"/>
          <w:highlight w:val="none"/>
        </w:rPr>
        <w:t>及永久基本农田</w:t>
      </w:r>
      <w:r>
        <w:rPr>
          <w:rFonts w:ascii="Times New Roman" w:hAnsi="Times New Roman" w:cs="Times New Roman" w:eastAsiaTheme="minorEastAsia"/>
          <w:color w:val="auto"/>
          <w:w w:val="99"/>
          <w:kern w:val="2"/>
          <w:highlight w:val="none"/>
        </w:rPr>
        <w:t>。</w:t>
      </w:r>
    </w:p>
    <w:p w14:paraId="4DF38016">
      <w:pPr>
        <w:widowControl w:val="0"/>
        <w:spacing w:line="440" w:lineRule="exact"/>
        <w:ind w:firstLine="474" w:firstLineChars="200"/>
        <w:jc w:val="both"/>
        <w:rPr>
          <w:rFonts w:ascii="Times New Roman" w:hAnsi="Times New Roman" w:cs="Times New Roman" w:eastAsiaTheme="minorEastAsia"/>
          <w:bCs/>
          <w:color w:val="auto"/>
          <w:w w:val="99"/>
          <w:kern w:val="2"/>
          <w:highlight w:val="none"/>
        </w:rPr>
      </w:pPr>
      <w:r>
        <w:rPr>
          <w:rFonts w:ascii="Times New Roman" w:hAnsi="Times New Roman" w:cs="Times New Roman" w:eastAsiaTheme="minorEastAsia"/>
          <w:bCs/>
          <w:color w:val="auto"/>
          <w:w w:val="99"/>
          <w:kern w:val="2"/>
          <w:highlight w:val="none"/>
        </w:rPr>
        <w:t>（1）</w:t>
      </w:r>
      <w:r>
        <w:rPr>
          <w:rFonts w:hint="eastAsia" w:ascii="Times New Roman" w:hAnsi="Times New Roman" w:cs="Times New Roman" w:eastAsiaTheme="minorEastAsia"/>
          <w:bCs/>
          <w:color w:val="auto"/>
          <w:w w:val="99"/>
          <w:kern w:val="2"/>
          <w:highlight w:val="none"/>
        </w:rPr>
        <w:t>永久基本农田</w:t>
      </w:r>
    </w:p>
    <w:p w14:paraId="1185A95B">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eastAsiaTheme="minorEastAsia"/>
          <w:bCs/>
          <w:color w:val="auto"/>
          <w:w w:val="99"/>
          <w:kern w:val="2"/>
          <w:highlight w:val="none"/>
        </w:rPr>
        <w:t>本项目建设地点位于</w:t>
      </w:r>
      <w:r>
        <w:rPr>
          <w:rFonts w:hint="eastAsia" w:ascii="Times New Roman" w:hAnsi="Times New Roman" w:eastAsiaTheme="minorEastAsia"/>
          <w:color w:val="auto"/>
          <w:w w:val="99"/>
          <w:highlight w:val="none"/>
        </w:rPr>
        <w:t>绥化</w:t>
      </w:r>
      <w:r>
        <w:rPr>
          <w:rFonts w:ascii="Times New Roman" w:hAnsi="Times New Roman" w:eastAsiaTheme="minorEastAsia"/>
          <w:color w:val="auto"/>
          <w:w w:val="99"/>
          <w:highlight w:val="none"/>
          <w:lang w:val="en"/>
        </w:rPr>
        <w:t>市</w:t>
      </w:r>
      <w:r>
        <w:rPr>
          <w:rFonts w:hint="eastAsia" w:ascii="Times New Roman" w:hAnsi="Times New Roman" w:eastAsiaTheme="minorEastAsia"/>
          <w:color w:val="auto"/>
          <w:w w:val="99"/>
          <w:highlight w:val="none"/>
        </w:rPr>
        <w:t>肇东市</w:t>
      </w:r>
      <w:r>
        <w:rPr>
          <w:rFonts w:hint="eastAsia" w:ascii="Times New Roman" w:hAnsi="Times New Roman" w:cs="Times New Roman" w:eastAsiaTheme="minorEastAsia"/>
          <w:bCs/>
          <w:snapToGrid w:val="0"/>
          <w:color w:val="auto"/>
          <w:w w:val="99"/>
          <w:highlight w:val="none"/>
        </w:rPr>
        <w:t>境内</w:t>
      </w:r>
      <w:r>
        <w:rPr>
          <w:rFonts w:ascii="Times New Roman" w:hAnsi="Times New Roman" w:cs="Times New Roman" w:eastAsiaTheme="minorEastAsia"/>
          <w:bCs/>
          <w:color w:val="auto"/>
          <w:w w:val="99"/>
          <w:kern w:val="2"/>
          <w:highlight w:val="none"/>
        </w:rPr>
        <w:t>，</w:t>
      </w:r>
      <w:r>
        <w:rPr>
          <w:rFonts w:hint="eastAsia" w:ascii="Times New Roman" w:hAnsi="Times New Roman" w:cs="Times New Roman" w:eastAsiaTheme="minorEastAsia"/>
          <w:bCs/>
          <w:color w:val="auto"/>
          <w:w w:val="99"/>
          <w:kern w:val="2"/>
          <w:highlight w:val="none"/>
        </w:rPr>
        <w:t>占地类型为永久基本农田。油田采取了一系列生态保护和恢复措施，没有改变项目区的生态系统结构与功能，项目区的生态组分及生物多样性未受影响，生态格局变化不大；临时占地进行了恢复，临时占用的耕地进行了复垦，对永久占用的耕地执行了占一补一的措施。</w:t>
      </w:r>
    </w:p>
    <w:p w14:paraId="4FBEC7F9">
      <w:pPr>
        <w:widowControl w:val="0"/>
        <w:spacing w:line="440" w:lineRule="exact"/>
        <w:ind w:firstLine="474" w:firstLineChars="200"/>
        <w:jc w:val="both"/>
        <w:rPr>
          <w:rFonts w:ascii="Times New Roman" w:hAnsi="Times New Roman" w:cs="Times New Roman" w:eastAsiaTheme="minorEastAsia"/>
          <w:bCs/>
          <w:color w:val="auto"/>
          <w:w w:val="99"/>
          <w:kern w:val="2"/>
          <w:highlight w:val="none"/>
        </w:rPr>
      </w:pPr>
      <w:r>
        <w:rPr>
          <w:rFonts w:ascii="Times New Roman" w:hAnsi="Times New Roman" w:cs="Times New Roman" w:eastAsiaTheme="minorEastAsia"/>
          <w:bCs/>
          <w:color w:val="auto"/>
          <w:w w:val="99"/>
          <w:kern w:val="2"/>
          <w:highlight w:val="none"/>
        </w:rPr>
        <w:t>（2）居住区</w:t>
      </w:r>
    </w:p>
    <w:p w14:paraId="650A72F9">
      <w:pPr>
        <w:widowControl w:val="0"/>
        <w:spacing w:line="440" w:lineRule="exact"/>
        <w:ind w:firstLine="474" w:firstLineChars="200"/>
        <w:jc w:val="both"/>
        <w:rPr>
          <w:rFonts w:ascii="Times New Roman" w:hAnsi="Times New Roman" w:cs="Times New Roman" w:eastAsiaTheme="minorEastAsia"/>
          <w:bCs/>
          <w:color w:val="auto"/>
          <w:w w:val="99"/>
          <w:kern w:val="2"/>
          <w:highlight w:val="none"/>
        </w:rPr>
      </w:pPr>
      <w:r>
        <w:rPr>
          <w:rFonts w:ascii="Times New Roman" w:hAnsi="Times New Roman" w:cs="Times New Roman" w:eastAsiaTheme="minorEastAsia"/>
          <w:bCs/>
          <w:color w:val="auto"/>
          <w:w w:val="99"/>
          <w:kern w:val="2"/>
          <w:highlight w:val="none"/>
        </w:rPr>
        <w:t>本项目周边2.5km范围内主要分布有</w:t>
      </w:r>
      <w:r>
        <w:rPr>
          <w:rFonts w:hint="eastAsia" w:ascii="Times New Roman" w:hAnsi="Times New Roman" w:cs="Times New Roman" w:eastAsiaTheme="minorEastAsia"/>
          <w:bCs/>
          <w:color w:val="auto"/>
          <w:w w:val="99"/>
          <w:kern w:val="2"/>
          <w:highlight w:val="none"/>
        </w:rPr>
        <w:t>福龙村、邢家围子屯、杨家</w:t>
      </w:r>
      <w:r>
        <w:rPr>
          <w:rFonts w:ascii="Times New Roman" w:hAnsi="Times New Roman" w:cs="Times New Roman" w:eastAsiaTheme="minorEastAsia"/>
          <w:bCs/>
          <w:color w:val="auto"/>
          <w:w w:val="99"/>
          <w:kern w:val="2"/>
          <w:highlight w:val="none"/>
        </w:rPr>
        <w:t>屯</w:t>
      </w:r>
      <w:r>
        <w:rPr>
          <w:rFonts w:hint="eastAsia" w:ascii="Times New Roman" w:hAnsi="Times New Roman" w:cs="Times New Roman" w:eastAsiaTheme="minorEastAsia"/>
          <w:bCs/>
          <w:color w:val="auto"/>
          <w:w w:val="99"/>
          <w:kern w:val="2"/>
          <w:highlight w:val="none"/>
        </w:rPr>
        <w:t>等村屯</w:t>
      </w:r>
      <w:r>
        <w:rPr>
          <w:rFonts w:ascii="Times New Roman" w:hAnsi="Times New Roman" w:cs="Times New Roman" w:eastAsiaTheme="minorEastAsia"/>
          <w:bCs/>
          <w:color w:val="auto"/>
          <w:w w:val="99"/>
          <w:kern w:val="2"/>
          <w:highlight w:val="none"/>
        </w:rPr>
        <w:t>，区域内环境空气质量执行《环境空气质量标准》（GB3095-20</w:t>
      </w:r>
      <w:r>
        <w:rPr>
          <w:rFonts w:hint="eastAsia" w:ascii="Times New Roman" w:hAnsi="Times New Roman" w:cs="Times New Roman" w:eastAsiaTheme="minorEastAsia"/>
          <w:bCs/>
          <w:color w:val="auto"/>
          <w:w w:val="99"/>
          <w:kern w:val="2"/>
          <w:highlight w:val="none"/>
        </w:rPr>
        <w:t>26</w:t>
      </w:r>
      <w:r>
        <w:rPr>
          <w:rFonts w:ascii="Times New Roman" w:hAnsi="Times New Roman" w:cs="Times New Roman" w:eastAsiaTheme="minorEastAsia"/>
          <w:bCs/>
          <w:color w:val="auto"/>
          <w:w w:val="99"/>
          <w:kern w:val="2"/>
          <w:highlight w:val="none"/>
        </w:rPr>
        <w:t>）</w:t>
      </w:r>
      <w:r>
        <w:rPr>
          <w:rFonts w:hint="eastAsia" w:ascii="Times New Roman" w:hAnsi="Times New Roman" w:cs="Times New Roman" w:eastAsiaTheme="minorEastAsia"/>
          <w:bCs/>
          <w:color w:val="auto"/>
          <w:w w:val="99"/>
          <w:kern w:val="2"/>
          <w:highlight w:val="none"/>
          <w:lang w:val="en-US" w:eastAsia="zh-CN"/>
        </w:rPr>
        <w:t>中过渡阶段</w:t>
      </w:r>
      <w:r>
        <w:rPr>
          <w:rFonts w:ascii="Times New Roman" w:hAnsi="Times New Roman" w:cs="Times New Roman" w:eastAsiaTheme="minorEastAsia"/>
          <w:bCs/>
          <w:color w:val="auto"/>
          <w:w w:val="99"/>
          <w:kern w:val="2"/>
          <w:highlight w:val="none"/>
        </w:rPr>
        <w:t>二级标准，项目所在区域声环境执行《声环境质量标准》（GB3096-2008）中2类区标准，项目区域周边居住区声环境执行《声环境质量标准》（GB3096-2008）中1类区标准。</w:t>
      </w:r>
    </w:p>
    <w:p w14:paraId="5CE99A4A">
      <w:pPr>
        <w:widowControl w:val="0"/>
        <w:spacing w:line="440" w:lineRule="exact"/>
        <w:ind w:firstLine="474" w:firstLineChars="200"/>
        <w:jc w:val="both"/>
        <w:rPr>
          <w:rFonts w:ascii="Times New Roman" w:hAnsi="Times New Roman" w:cs="Times New Roman" w:eastAsiaTheme="minorEastAsia"/>
          <w:bCs/>
          <w:color w:val="auto"/>
          <w:w w:val="99"/>
          <w:kern w:val="2"/>
          <w:highlight w:val="none"/>
        </w:rPr>
      </w:pPr>
      <w:r>
        <w:rPr>
          <w:rFonts w:ascii="Times New Roman" w:hAnsi="Times New Roman" w:cs="Times New Roman" w:eastAsiaTheme="minorEastAsia"/>
          <w:bCs/>
          <w:color w:val="auto"/>
          <w:w w:val="99"/>
          <w:kern w:val="2"/>
          <w:highlight w:val="none"/>
        </w:rPr>
        <w:t>（3）占地类型</w:t>
      </w:r>
    </w:p>
    <w:p w14:paraId="08D0EEF0">
      <w:pPr>
        <w:widowControl w:val="0"/>
        <w:spacing w:line="440" w:lineRule="exact"/>
        <w:ind w:firstLine="474" w:firstLineChars="200"/>
        <w:jc w:val="both"/>
        <w:rPr>
          <w:rFonts w:ascii="Times New Roman" w:hAnsi="Times New Roman" w:cs="Times New Roman" w:eastAsiaTheme="minorEastAsia"/>
          <w:bCs/>
          <w:color w:val="auto"/>
          <w:w w:val="99"/>
          <w:kern w:val="2"/>
          <w:highlight w:val="none"/>
        </w:rPr>
      </w:pPr>
      <w:r>
        <w:rPr>
          <w:rFonts w:ascii="Times New Roman" w:hAnsi="Times New Roman" w:cs="Times New Roman" w:eastAsiaTheme="minorEastAsia"/>
          <w:bCs/>
          <w:color w:val="auto"/>
          <w:w w:val="99"/>
          <w:kern w:val="2"/>
          <w:highlight w:val="none"/>
        </w:rPr>
        <w:t>根据工程占地统计情况，本项目总占地</w:t>
      </w:r>
      <w:r>
        <w:rPr>
          <w:rFonts w:hint="eastAsia" w:ascii="Times New Roman" w:hAnsi="Times New Roman" w:cs="Times New Roman" w:eastAsiaTheme="minorEastAsia"/>
          <w:color w:val="auto"/>
          <w:w w:val="99"/>
          <w:highlight w:val="none"/>
          <w:lang w:bidi="ar"/>
        </w:rPr>
        <w:t>1.108</w:t>
      </w:r>
      <w:r>
        <w:rPr>
          <w:rFonts w:ascii="Times New Roman" w:hAnsi="Times New Roman" w:cs="Times New Roman" w:eastAsiaTheme="minorEastAsia"/>
          <w:bCs/>
          <w:color w:val="auto"/>
          <w:w w:val="99"/>
          <w:kern w:val="2"/>
          <w:highlight w:val="none"/>
        </w:rPr>
        <w:t>hm</w:t>
      </w:r>
      <w:r>
        <w:rPr>
          <w:rFonts w:ascii="Times New Roman" w:hAnsi="Times New Roman" w:cs="Times New Roman" w:eastAsiaTheme="minorEastAsia"/>
          <w:bCs/>
          <w:color w:val="auto"/>
          <w:w w:val="99"/>
          <w:kern w:val="2"/>
          <w:highlight w:val="none"/>
          <w:vertAlign w:val="superscript"/>
        </w:rPr>
        <w:t>2</w:t>
      </w:r>
      <w:r>
        <w:rPr>
          <w:rFonts w:ascii="Times New Roman" w:hAnsi="Times New Roman" w:cs="Times New Roman" w:eastAsiaTheme="minorEastAsia"/>
          <w:bCs/>
          <w:color w:val="auto"/>
          <w:w w:val="99"/>
          <w:kern w:val="2"/>
          <w:highlight w:val="none"/>
        </w:rPr>
        <w:t>，其中永久占地</w:t>
      </w:r>
      <w:r>
        <w:rPr>
          <w:rFonts w:hint="eastAsia" w:ascii="Times New Roman" w:hAnsi="Times New Roman" w:eastAsiaTheme="minorEastAsia"/>
          <w:bCs/>
          <w:snapToGrid w:val="0"/>
          <w:color w:val="auto"/>
          <w:w w:val="99"/>
          <w:highlight w:val="none"/>
        </w:rPr>
        <w:t>0.2676</w:t>
      </w:r>
      <w:r>
        <w:rPr>
          <w:rFonts w:ascii="Times New Roman" w:hAnsi="Times New Roman" w:cs="Times New Roman" w:eastAsiaTheme="minorEastAsia"/>
          <w:bCs/>
          <w:color w:val="auto"/>
          <w:w w:val="99"/>
          <w:kern w:val="2"/>
          <w:highlight w:val="none"/>
        </w:rPr>
        <w:t>hm</w:t>
      </w:r>
      <w:r>
        <w:rPr>
          <w:rFonts w:ascii="Times New Roman" w:hAnsi="Times New Roman" w:cs="Times New Roman" w:eastAsiaTheme="minorEastAsia"/>
          <w:bCs/>
          <w:color w:val="auto"/>
          <w:w w:val="99"/>
          <w:kern w:val="2"/>
          <w:highlight w:val="none"/>
          <w:vertAlign w:val="superscript"/>
        </w:rPr>
        <w:t>2</w:t>
      </w:r>
      <w:r>
        <w:rPr>
          <w:rFonts w:ascii="Times New Roman" w:hAnsi="Times New Roman" w:cs="Times New Roman" w:eastAsiaTheme="minorEastAsia"/>
          <w:bCs/>
          <w:color w:val="auto"/>
          <w:w w:val="99"/>
          <w:kern w:val="2"/>
          <w:highlight w:val="none"/>
        </w:rPr>
        <w:t>，临时占地</w:t>
      </w:r>
      <w:r>
        <w:rPr>
          <w:rFonts w:hint="eastAsia" w:ascii="Times New Roman" w:hAnsi="Times New Roman" w:eastAsiaTheme="minorEastAsia"/>
          <w:bCs/>
          <w:snapToGrid w:val="0"/>
          <w:color w:val="auto"/>
          <w:w w:val="99"/>
          <w:highlight w:val="none"/>
        </w:rPr>
        <w:t>0.8404</w:t>
      </w:r>
      <w:r>
        <w:rPr>
          <w:rFonts w:ascii="Times New Roman" w:hAnsi="Times New Roman" w:cs="Times New Roman" w:eastAsiaTheme="minorEastAsia"/>
          <w:bCs/>
          <w:color w:val="auto"/>
          <w:w w:val="99"/>
          <w:kern w:val="2"/>
          <w:highlight w:val="none"/>
        </w:rPr>
        <w:t>hm</w:t>
      </w:r>
      <w:r>
        <w:rPr>
          <w:rFonts w:ascii="Times New Roman" w:hAnsi="Times New Roman" w:cs="Times New Roman" w:eastAsiaTheme="minorEastAsia"/>
          <w:bCs/>
          <w:color w:val="auto"/>
          <w:w w:val="99"/>
          <w:kern w:val="2"/>
          <w:highlight w:val="none"/>
          <w:vertAlign w:val="superscript"/>
        </w:rPr>
        <w:t>2</w:t>
      </w:r>
      <w:r>
        <w:rPr>
          <w:rFonts w:ascii="Times New Roman" w:hAnsi="Times New Roman" w:cs="Times New Roman" w:eastAsiaTheme="minorEastAsia"/>
          <w:bCs/>
          <w:color w:val="auto"/>
          <w:w w:val="99"/>
          <w:kern w:val="2"/>
          <w:highlight w:val="none"/>
        </w:rPr>
        <w:t>，根据《</w:t>
      </w:r>
      <w:r>
        <w:rPr>
          <w:rFonts w:hint="eastAsia" w:ascii="Times New Roman" w:hAnsi="Times New Roman" w:cs="Times New Roman" w:eastAsiaTheme="minorEastAsia"/>
          <w:bCs/>
          <w:color w:val="auto"/>
          <w:w w:val="99"/>
          <w:kern w:val="2"/>
          <w:highlight w:val="none"/>
        </w:rPr>
        <w:t>绥化</w:t>
      </w:r>
      <w:r>
        <w:rPr>
          <w:rFonts w:ascii="Times New Roman" w:hAnsi="Times New Roman" w:cs="Times New Roman" w:eastAsiaTheme="minorEastAsia"/>
          <w:bCs/>
          <w:color w:val="auto"/>
          <w:w w:val="99"/>
          <w:kern w:val="2"/>
          <w:highlight w:val="none"/>
        </w:rPr>
        <w:t>市土地利用总体规划》（2006-2020）及现场勘查，项目占地类型为</w:t>
      </w:r>
      <w:r>
        <w:rPr>
          <w:rFonts w:hint="eastAsia" w:ascii="Times New Roman" w:hAnsi="Times New Roman" w:cs="Times New Roman" w:eastAsiaTheme="minorEastAsia"/>
          <w:bCs/>
          <w:color w:val="auto"/>
          <w:w w:val="99"/>
          <w:kern w:val="2"/>
          <w:highlight w:val="none"/>
        </w:rPr>
        <w:t>永久基本农田</w:t>
      </w:r>
      <w:r>
        <w:rPr>
          <w:rFonts w:ascii="Times New Roman" w:hAnsi="Times New Roman" w:cs="Times New Roman" w:eastAsiaTheme="minorEastAsia"/>
          <w:bCs/>
          <w:color w:val="auto"/>
          <w:w w:val="99"/>
          <w:kern w:val="2"/>
          <w:highlight w:val="none"/>
        </w:rPr>
        <w:t>。</w:t>
      </w:r>
    </w:p>
    <w:p w14:paraId="526B2FCC">
      <w:pPr>
        <w:widowControl w:val="0"/>
        <w:spacing w:line="440" w:lineRule="exact"/>
        <w:ind w:firstLine="474" w:firstLineChars="200"/>
        <w:jc w:val="both"/>
        <w:rPr>
          <w:rFonts w:ascii="Times New Roman" w:hAnsi="Times New Roman" w:cs="Times New Roman" w:eastAsiaTheme="minorEastAsia"/>
          <w:bCs/>
          <w:color w:val="auto"/>
          <w:w w:val="99"/>
          <w:kern w:val="2"/>
          <w:highlight w:val="none"/>
        </w:rPr>
      </w:pPr>
      <w:r>
        <w:rPr>
          <w:rFonts w:ascii="Times New Roman" w:hAnsi="Times New Roman" w:cs="Times New Roman" w:eastAsiaTheme="minorEastAsia"/>
          <w:bCs/>
          <w:color w:val="auto"/>
          <w:w w:val="99"/>
          <w:kern w:val="2"/>
          <w:highlight w:val="none"/>
        </w:rPr>
        <w:t>（4）地表水体</w:t>
      </w:r>
    </w:p>
    <w:p w14:paraId="7515914E">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eastAsiaTheme="minorEastAsia"/>
          <w:bCs/>
          <w:color w:val="auto"/>
          <w:w w:val="99"/>
          <w:kern w:val="2"/>
          <w:highlight w:val="none"/>
        </w:rPr>
        <w:t>本项目</w:t>
      </w:r>
      <w:r>
        <w:rPr>
          <w:rFonts w:hint="eastAsia" w:ascii="Times New Roman" w:hAnsi="Times New Roman"/>
          <w:color w:val="auto"/>
          <w:w w:val="99"/>
          <w:szCs w:val="20"/>
          <w:highlight w:val="none"/>
        </w:rPr>
        <w:t>距离最近的北大干渠位于徐深27集气站西北侧300m，</w:t>
      </w:r>
      <w:r>
        <w:rPr>
          <w:rFonts w:hint="eastAsia" w:ascii="Times New Roman" w:hAnsi="Times New Roman"/>
          <w:snapToGrid w:val="0"/>
          <w:color w:val="auto"/>
          <w:w w:val="99"/>
          <w:highlight w:val="none"/>
        </w:rPr>
        <w:t>根据现场调查，目前北大干渠为干涸状态，未对其进行监测</w:t>
      </w:r>
      <w:r>
        <w:rPr>
          <w:rFonts w:ascii="Times New Roman" w:hAnsi="Times New Roman"/>
          <w:snapToGrid w:val="0"/>
          <w:color w:val="auto"/>
          <w:w w:val="99"/>
          <w:highlight w:val="none"/>
        </w:rPr>
        <w:t>。</w:t>
      </w:r>
    </w:p>
    <w:p w14:paraId="57744243">
      <w:pPr>
        <w:widowControl w:val="0"/>
        <w:spacing w:line="440" w:lineRule="exact"/>
        <w:ind w:firstLine="474" w:firstLineChars="200"/>
        <w:jc w:val="both"/>
        <w:rPr>
          <w:rFonts w:ascii="Times New Roman" w:hAnsi="Times New Roman" w:cs="Times New Roman" w:eastAsiaTheme="minorEastAsia"/>
          <w:bCs/>
          <w:color w:val="auto"/>
          <w:w w:val="99"/>
          <w:kern w:val="2"/>
          <w:highlight w:val="none"/>
        </w:rPr>
      </w:pPr>
      <w:r>
        <w:rPr>
          <w:rFonts w:ascii="Times New Roman" w:hAnsi="Times New Roman" w:cs="Times New Roman" w:eastAsiaTheme="minorEastAsia"/>
          <w:bCs/>
          <w:color w:val="auto"/>
          <w:w w:val="99"/>
          <w:kern w:val="2"/>
          <w:highlight w:val="none"/>
        </w:rPr>
        <w:t>（5）地下饮用水源保护区</w:t>
      </w:r>
    </w:p>
    <w:p w14:paraId="221EF7F5">
      <w:pPr>
        <w:widowControl w:val="0"/>
        <w:spacing w:line="440" w:lineRule="exact"/>
        <w:ind w:firstLine="474" w:firstLineChars="200"/>
        <w:jc w:val="both"/>
        <w:rPr>
          <w:rFonts w:ascii="Times New Roman" w:hAnsi="Times New Roman" w:cs="Times New Roman" w:eastAsiaTheme="minorEastAsia"/>
          <w:bCs/>
          <w:color w:val="auto"/>
          <w:w w:val="99"/>
          <w:kern w:val="2"/>
          <w:highlight w:val="none"/>
        </w:rPr>
      </w:pPr>
      <w:r>
        <w:rPr>
          <w:rFonts w:ascii="Times New Roman" w:hAnsi="Times New Roman" w:cs="Times New Roman" w:eastAsiaTheme="minorEastAsia"/>
          <w:bCs/>
          <w:color w:val="auto"/>
          <w:w w:val="99"/>
          <w:kern w:val="2"/>
          <w:highlight w:val="none"/>
        </w:rPr>
        <w:t>根据《全省地市级饮用水水源保护区基础信息名录（2022年）》、《全省县区级饮用水水源保护区基础信息名录（2022年）》《黑龙江省人民政府关于调整撤销新建哈尔滨等11个地市384个集中式饮用水水源保护区》（黑政函〔2019〕118号）和《黑龙江省人民政府关于调整撤销新建哈尔滨市等市（地）197个集中式饮用水水源保护区》（黑政函〔2020〕97号））以及现场实际勘察，评价区域内无集中式饮用水水源，根据《全省在用饮用水水源保护区基础信息名录》（2020年），调查区域内分布有邢家围子地下饮用水井、</w:t>
      </w:r>
      <w:r>
        <w:rPr>
          <w:rFonts w:hint="eastAsia" w:ascii="Times New Roman" w:hAnsi="Times New Roman" w:cs="Times New Roman" w:eastAsiaTheme="minorEastAsia"/>
          <w:bCs/>
          <w:color w:val="auto"/>
          <w:w w:val="99"/>
          <w:kern w:val="2"/>
          <w:highlight w:val="none"/>
        </w:rPr>
        <w:t>福龙村</w:t>
      </w:r>
      <w:r>
        <w:rPr>
          <w:rFonts w:ascii="Times New Roman" w:hAnsi="Times New Roman" w:cs="Times New Roman" w:eastAsiaTheme="minorEastAsia"/>
          <w:bCs/>
          <w:color w:val="auto"/>
          <w:w w:val="99"/>
          <w:kern w:val="2"/>
          <w:highlight w:val="none"/>
        </w:rPr>
        <w:t>地下饮用水井</w:t>
      </w:r>
      <w:r>
        <w:rPr>
          <w:rFonts w:hint="eastAsia" w:ascii="Times New Roman" w:hAnsi="Times New Roman" w:cs="Times New Roman" w:eastAsiaTheme="minorEastAsia"/>
          <w:bCs/>
          <w:color w:val="auto"/>
          <w:w w:val="99"/>
          <w:kern w:val="2"/>
          <w:highlight w:val="none"/>
        </w:rPr>
        <w:t>、后柜屯</w:t>
      </w:r>
      <w:r>
        <w:rPr>
          <w:rFonts w:ascii="Times New Roman" w:hAnsi="Times New Roman" w:cs="Times New Roman" w:eastAsiaTheme="minorEastAsia"/>
          <w:bCs/>
          <w:color w:val="auto"/>
          <w:w w:val="99"/>
          <w:kern w:val="2"/>
          <w:highlight w:val="none"/>
        </w:rPr>
        <w:t>饮用</w:t>
      </w:r>
      <w:r>
        <w:rPr>
          <w:rFonts w:hint="eastAsia" w:ascii="Times New Roman" w:hAnsi="Times New Roman" w:cs="Times New Roman" w:eastAsiaTheme="minorEastAsia"/>
          <w:bCs/>
          <w:color w:val="auto"/>
          <w:w w:val="99"/>
          <w:kern w:val="2"/>
          <w:highlight w:val="none"/>
        </w:rPr>
        <w:t>井水</w:t>
      </w:r>
      <w:r>
        <w:rPr>
          <w:rFonts w:ascii="Times New Roman" w:hAnsi="Times New Roman" w:cs="Times New Roman" w:eastAsiaTheme="minorEastAsia"/>
          <w:bCs/>
          <w:color w:val="auto"/>
          <w:w w:val="99"/>
          <w:kern w:val="2"/>
          <w:highlight w:val="none"/>
        </w:rPr>
        <w:t>等，</w:t>
      </w:r>
      <w:r>
        <w:rPr>
          <w:rFonts w:hint="eastAsia" w:ascii="Times New Roman" w:hAnsi="Times New Roman" w:cs="Times New Roman"/>
          <w:color w:val="auto"/>
          <w:w w:val="99"/>
          <w:highlight w:val="none"/>
        </w:rPr>
        <w:t>开采层位均为承压含水层，地下水开采规模均小于5万m</w:t>
      </w:r>
      <w:r>
        <w:rPr>
          <w:rFonts w:hint="eastAsia" w:ascii="Times New Roman" w:hAnsi="Times New Roman" w:cs="Times New Roman"/>
          <w:color w:val="auto"/>
          <w:w w:val="99"/>
          <w:highlight w:val="none"/>
          <w:vertAlign w:val="superscript"/>
        </w:rPr>
        <w:t>3</w:t>
      </w:r>
      <w:r>
        <w:rPr>
          <w:rFonts w:hint="eastAsia" w:ascii="Times New Roman" w:hAnsi="Times New Roman" w:cs="Times New Roman"/>
          <w:color w:val="auto"/>
          <w:w w:val="99"/>
          <w:highlight w:val="none"/>
        </w:rPr>
        <w:t>/d，且分散式饮用水源井，均未划定一级保护区，未划定二级保护区，保护范围为以井口为圆心30m</w:t>
      </w:r>
      <w:r>
        <w:rPr>
          <w:rFonts w:ascii="Times New Roman" w:hAnsi="Times New Roman" w:cs="Times New Roman" w:eastAsiaTheme="minorEastAsia"/>
          <w:bCs/>
          <w:color w:val="auto"/>
          <w:w w:val="99"/>
          <w:kern w:val="2"/>
          <w:highlight w:val="none"/>
        </w:rPr>
        <w:t>。</w:t>
      </w:r>
      <w:r>
        <w:rPr>
          <w:rFonts w:hint="eastAsia" w:ascii="Times New Roman" w:hAnsi="Times New Roman" w:cs="Times New Roman" w:eastAsiaTheme="minorEastAsia"/>
          <w:bCs/>
          <w:color w:val="auto"/>
          <w:w w:val="99"/>
          <w:kern w:val="2"/>
          <w:highlight w:val="none"/>
        </w:rPr>
        <w:t>具体见表2.7-7。</w:t>
      </w:r>
    </w:p>
    <w:p w14:paraId="191B2FE6">
      <w:pPr>
        <w:pStyle w:val="5"/>
        <w:keepNext w:val="0"/>
        <w:keepLines w:val="0"/>
        <w:widowControl w:val="0"/>
        <w:spacing w:before="120" w:after="120" w:line="440" w:lineRule="exact"/>
        <w:jc w:val="both"/>
        <w:rPr>
          <w:rFonts w:ascii="Times New Roman" w:hAnsi="Times New Roman" w:eastAsia="宋体"/>
          <w:b/>
          <w:snapToGrid w:val="0"/>
          <w:color w:val="auto"/>
          <w:w w:val="99"/>
          <w:highlight w:val="none"/>
        </w:rPr>
      </w:pPr>
      <w:bookmarkStart w:id="636" w:name="_Toc24215"/>
      <w:r>
        <w:rPr>
          <w:rFonts w:ascii="Times New Roman" w:hAnsi="Times New Roman" w:eastAsia="宋体"/>
          <w:b/>
          <w:snapToGrid w:val="0"/>
          <w:color w:val="auto"/>
          <w:w w:val="99"/>
          <w:highlight w:val="none"/>
        </w:rPr>
        <w:t>4.3环境质量现状调查与评价</w:t>
      </w:r>
      <w:bookmarkEnd w:id="635"/>
      <w:bookmarkEnd w:id="636"/>
      <w:bookmarkStart w:id="637" w:name="_Toc438540824"/>
      <w:bookmarkStart w:id="638" w:name="_Toc430692059"/>
      <w:bookmarkStart w:id="639" w:name="_Toc430689874"/>
    </w:p>
    <w:p w14:paraId="43093F61">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委托大庆中环评价检测有限公司于</w:t>
      </w:r>
      <w:r>
        <w:rPr>
          <w:rFonts w:ascii="Times New Roman" w:hAnsi="Times New Roman" w:cs="Times New Roman"/>
          <w:bCs/>
          <w:color w:val="auto"/>
          <w:w w:val="99"/>
          <w:kern w:val="2"/>
          <w:highlight w:val="none"/>
        </w:rPr>
        <w:t>202</w:t>
      </w:r>
      <w:r>
        <w:rPr>
          <w:rFonts w:hint="eastAsia" w:ascii="Times New Roman" w:hAnsi="Times New Roman" w:cs="Times New Roman"/>
          <w:bCs/>
          <w:color w:val="auto"/>
          <w:w w:val="99"/>
          <w:kern w:val="2"/>
          <w:highlight w:val="none"/>
        </w:rPr>
        <w:t>6</w:t>
      </w:r>
      <w:r>
        <w:rPr>
          <w:rFonts w:ascii="Times New Roman" w:hAnsi="Times New Roman" w:cs="Times New Roman"/>
          <w:bCs/>
          <w:color w:val="auto"/>
          <w:w w:val="99"/>
          <w:kern w:val="2"/>
          <w:highlight w:val="none"/>
        </w:rPr>
        <w:t>年</w:t>
      </w:r>
      <w:r>
        <w:rPr>
          <w:rFonts w:hint="eastAsia" w:ascii="Times New Roman" w:hAnsi="Times New Roman" w:cs="Times New Roman"/>
          <w:bCs/>
          <w:color w:val="auto"/>
          <w:w w:val="99"/>
          <w:kern w:val="2"/>
          <w:highlight w:val="none"/>
        </w:rPr>
        <w:t>06</w:t>
      </w:r>
      <w:r>
        <w:rPr>
          <w:rFonts w:ascii="Times New Roman" w:hAnsi="Times New Roman" w:cs="Times New Roman"/>
          <w:bCs/>
          <w:color w:val="auto"/>
          <w:w w:val="99"/>
          <w:kern w:val="2"/>
          <w:highlight w:val="none"/>
        </w:rPr>
        <w:t>月</w:t>
      </w:r>
      <w:r>
        <w:rPr>
          <w:rFonts w:hint="eastAsia" w:ascii="Times New Roman" w:hAnsi="Times New Roman" w:cs="Times New Roman"/>
          <w:bCs/>
          <w:color w:val="auto"/>
          <w:w w:val="99"/>
          <w:kern w:val="2"/>
          <w:highlight w:val="none"/>
        </w:rPr>
        <w:t>01</w:t>
      </w:r>
      <w:r>
        <w:rPr>
          <w:rFonts w:ascii="Times New Roman" w:hAnsi="Times New Roman" w:cs="Times New Roman"/>
          <w:bCs/>
          <w:color w:val="auto"/>
          <w:w w:val="99"/>
          <w:kern w:val="2"/>
          <w:highlight w:val="none"/>
        </w:rPr>
        <w:t>日-</w:t>
      </w:r>
      <w:r>
        <w:rPr>
          <w:rFonts w:hint="eastAsia" w:ascii="Times New Roman" w:hAnsi="Times New Roman" w:cs="Times New Roman"/>
          <w:bCs/>
          <w:color w:val="auto"/>
          <w:w w:val="99"/>
          <w:kern w:val="2"/>
          <w:highlight w:val="none"/>
        </w:rPr>
        <w:t>06月07</w:t>
      </w:r>
      <w:r>
        <w:rPr>
          <w:rFonts w:ascii="Times New Roman" w:hAnsi="Times New Roman" w:cs="Times New Roman"/>
          <w:bCs/>
          <w:color w:val="auto"/>
          <w:w w:val="99"/>
          <w:kern w:val="2"/>
          <w:highlight w:val="none"/>
        </w:rPr>
        <w:t>日</w:t>
      </w:r>
      <w:r>
        <w:rPr>
          <w:rFonts w:ascii="Times New Roman" w:hAnsi="Times New Roman" w:cs="Times New Roman"/>
          <w:color w:val="auto"/>
          <w:w w:val="99"/>
          <w:kern w:val="2"/>
          <w:highlight w:val="none"/>
        </w:rPr>
        <w:t>对评价范围内环境空气、地表水环境、地下水环境、包气带、声环境、土壤环境质量现状进行了监测。</w:t>
      </w:r>
    </w:p>
    <w:p w14:paraId="54D14840">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640" w:name="_Toc57707954"/>
      <w:bookmarkStart w:id="641" w:name="_Toc29643949"/>
      <w:bookmarkStart w:id="642" w:name="_Toc186444321"/>
      <w:bookmarkStart w:id="643" w:name="_Toc80971416"/>
      <w:bookmarkStart w:id="644" w:name="_Toc77067697"/>
      <w:bookmarkStart w:id="645" w:name="_Toc80588294"/>
      <w:bookmarkStart w:id="646" w:name="_Toc31473"/>
      <w:bookmarkStart w:id="647" w:name="_Toc29642917"/>
      <w:bookmarkStart w:id="648" w:name="_Toc78816499"/>
      <w:bookmarkStart w:id="649" w:name="_Toc67860171"/>
      <w:bookmarkStart w:id="650" w:name="_Toc38545054"/>
      <w:bookmarkStart w:id="651" w:name="_Toc57203284"/>
      <w:bookmarkStart w:id="652" w:name="_Toc70050220"/>
      <w:bookmarkStart w:id="653" w:name="_Toc61597270"/>
      <w:bookmarkStart w:id="654" w:name="_Toc83209516"/>
      <w:bookmarkStart w:id="655" w:name="_Toc41655198"/>
      <w:bookmarkStart w:id="656" w:name="_Toc29644701"/>
      <w:bookmarkStart w:id="657" w:name="_Toc34124483"/>
      <w:bookmarkStart w:id="658" w:name="_Toc57976706"/>
      <w:bookmarkStart w:id="659" w:name="_Toc38296421"/>
      <w:bookmarkStart w:id="660" w:name="_Toc76976285"/>
      <w:r>
        <w:rPr>
          <w:rFonts w:eastAsia="宋体"/>
          <w:b/>
          <w:color w:val="auto"/>
          <w:w w:val="99"/>
          <w:kern w:val="2"/>
          <w:sz w:val="24"/>
          <w:szCs w:val="24"/>
          <w:highlight w:val="none"/>
        </w:rPr>
        <w:t>4.3.1环境空气质量现状监测与评价</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14:paraId="7BCD9B2F">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4.3.1.1环境空气质量达标判定</w:t>
      </w:r>
    </w:p>
    <w:p w14:paraId="19C75569">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本项目区域环境空气质量引用</w:t>
      </w:r>
      <w:r>
        <w:rPr>
          <w:rFonts w:ascii="Times New Roman" w:hAnsi="Times New Roman" w:cs="Times New Roman" w:eastAsiaTheme="minorEastAsia"/>
          <w:color w:val="auto"/>
          <w:w w:val="99"/>
          <w:kern w:val="2"/>
          <w:szCs w:val="20"/>
          <w:highlight w:val="none"/>
          <w:lang w:val="en-GB"/>
        </w:rPr>
        <w:t>《绥化市环境质量年报》（202</w:t>
      </w:r>
      <w:r>
        <w:rPr>
          <w:rFonts w:hint="eastAsia" w:ascii="Times New Roman" w:hAnsi="Times New Roman" w:cs="Times New Roman" w:eastAsiaTheme="minorEastAsia"/>
          <w:color w:val="auto"/>
          <w:w w:val="99"/>
          <w:kern w:val="2"/>
          <w:szCs w:val="20"/>
          <w:highlight w:val="none"/>
          <w:lang w:val="en-GB"/>
        </w:rPr>
        <w:t>4</w:t>
      </w:r>
      <w:r>
        <w:rPr>
          <w:rFonts w:ascii="Times New Roman" w:hAnsi="Times New Roman" w:cs="Times New Roman" w:eastAsiaTheme="minorEastAsia"/>
          <w:color w:val="auto"/>
          <w:w w:val="99"/>
          <w:kern w:val="2"/>
          <w:szCs w:val="20"/>
          <w:highlight w:val="none"/>
          <w:lang w:val="en-GB"/>
        </w:rPr>
        <w:t>年度）</w:t>
      </w:r>
      <w:r>
        <w:rPr>
          <w:rFonts w:ascii="Times New Roman" w:hAnsi="Times New Roman" w:cs="Times New Roman" w:eastAsiaTheme="minorEastAsia"/>
          <w:color w:val="auto"/>
          <w:w w:val="99"/>
          <w:kern w:val="2"/>
          <w:szCs w:val="20"/>
          <w:highlight w:val="none"/>
        </w:rPr>
        <w:t>结论：202</w:t>
      </w:r>
      <w:r>
        <w:rPr>
          <w:rFonts w:hint="eastAsia" w:ascii="Times New Roman" w:hAnsi="Times New Roman" w:cs="Times New Roman" w:eastAsiaTheme="minorEastAsia"/>
          <w:color w:val="auto"/>
          <w:w w:val="99"/>
          <w:kern w:val="2"/>
          <w:szCs w:val="20"/>
          <w:highlight w:val="none"/>
        </w:rPr>
        <w:t>4</w:t>
      </w:r>
      <w:r>
        <w:rPr>
          <w:rFonts w:ascii="Times New Roman" w:hAnsi="Times New Roman" w:cs="Times New Roman" w:eastAsiaTheme="minorEastAsia"/>
          <w:color w:val="auto"/>
          <w:w w:val="99"/>
          <w:kern w:val="2"/>
          <w:szCs w:val="20"/>
          <w:highlight w:val="none"/>
        </w:rPr>
        <w:t>年，</w:t>
      </w:r>
      <w:r>
        <w:rPr>
          <w:rFonts w:hint="eastAsia" w:ascii="Times New Roman" w:hAnsi="Times New Roman" w:cs="Times New Roman" w:eastAsiaTheme="minorEastAsia"/>
          <w:color w:val="auto"/>
          <w:w w:val="99"/>
          <w:kern w:val="2"/>
          <w:szCs w:val="20"/>
          <w:highlight w:val="none"/>
        </w:rPr>
        <w:t>绥化</w:t>
      </w:r>
      <w:r>
        <w:rPr>
          <w:rFonts w:ascii="Times New Roman" w:hAnsi="Times New Roman" w:cs="Times New Roman" w:eastAsiaTheme="minorEastAsia"/>
          <w:color w:val="auto"/>
          <w:w w:val="99"/>
          <w:kern w:val="2"/>
          <w:szCs w:val="20"/>
          <w:highlight w:val="none"/>
        </w:rPr>
        <w:t>市共进行了36</w:t>
      </w:r>
      <w:r>
        <w:rPr>
          <w:rFonts w:hint="eastAsia" w:ascii="Times New Roman" w:hAnsi="Times New Roman" w:cs="Times New Roman" w:eastAsiaTheme="minorEastAsia"/>
          <w:color w:val="auto"/>
          <w:w w:val="99"/>
          <w:kern w:val="2"/>
          <w:szCs w:val="20"/>
          <w:highlight w:val="none"/>
        </w:rPr>
        <w:t>6</w:t>
      </w:r>
      <w:r>
        <w:rPr>
          <w:rFonts w:ascii="Times New Roman" w:hAnsi="Times New Roman" w:cs="Times New Roman" w:eastAsiaTheme="minorEastAsia"/>
          <w:color w:val="auto"/>
          <w:w w:val="99"/>
          <w:kern w:val="2"/>
          <w:szCs w:val="20"/>
          <w:highlight w:val="none"/>
        </w:rPr>
        <w:t>天有效环境空气质量自动监测，</w:t>
      </w:r>
      <w:r>
        <w:rPr>
          <w:rFonts w:hint="eastAsia" w:ascii="Times New Roman" w:hAnsi="Times New Roman" w:cs="Times New Roman" w:eastAsiaTheme="minorEastAsia"/>
          <w:color w:val="auto"/>
          <w:w w:val="99"/>
          <w:kern w:val="2"/>
          <w:szCs w:val="20"/>
          <w:highlight w:val="none"/>
        </w:rPr>
        <w:t>达标天数为305天，达标率为83.3%，同比升高0.6个百分点。重度及以上污染天数共17天，同比增加5天，重污染天数比例为4.6%，同比升高1.3个百分点</w:t>
      </w:r>
      <w:r>
        <w:rPr>
          <w:rFonts w:ascii="Times New Roman" w:hAnsi="Times New Roman" w:cs="Times New Roman" w:eastAsiaTheme="minorEastAsia"/>
          <w:color w:val="auto"/>
          <w:w w:val="99"/>
          <w:kern w:val="2"/>
          <w:szCs w:val="20"/>
          <w:highlight w:val="none"/>
        </w:rPr>
        <w:t>。</w:t>
      </w:r>
    </w:p>
    <w:p w14:paraId="0F245006">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202</w:t>
      </w:r>
      <w:r>
        <w:rPr>
          <w:rFonts w:hint="eastAsia" w:ascii="Times New Roman" w:hAnsi="Times New Roman" w:cs="Times New Roman" w:eastAsiaTheme="minorEastAsia"/>
          <w:color w:val="auto"/>
          <w:w w:val="99"/>
          <w:kern w:val="2"/>
          <w:szCs w:val="20"/>
          <w:highlight w:val="none"/>
        </w:rPr>
        <w:t>4</w:t>
      </w:r>
      <w:r>
        <w:rPr>
          <w:rFonts w:ascii="Times New Roman" w:hAnsi="Times New Roman" w:cs="Times New Roman" w:eastAsiaTheme="minorEastAsia"/>
          <w:color w:val="auto"/>
          <w:w w:val="99"/>
          <w:kern w:val="2"/>
          <w:szCs w:val="20"/>
          <w:highlight w:val="none"/>
        </w:rPr>
        <w:t>年，环境空气中细颗粒物（PM</w:t>
      </w:r>
      <w:r>
        <w:rPr>
          <w:rFonts w:ascii="Times New Roman" w:hAnsi="Times New Roman" w:cs="Times New Roman" w:eastAsiaTheme="minorEastAsia"/>
          <w:color w:val="auto"/>
          <w:w w:val="99"/>
          <w:kern w:val="2"/>
          <w:szCs w:val="20"/>
          <w:highlight w:val="none"/>
          <w:vertAlign w:val="subscript"/>
        </w:rPr>
        <w:t>2.5</w:t>
      </w:r>
      <w:r>
        <w:rPr>
          <w:rFonts w:ascii="Times New Roman" w:hAnsi="Times New Roman" w:cs="Times New Roman" w:eastAsiaTheme="minorEastAsia"/>
          <w:color w:val="auto"/>
          <w:w w:val="99"/>
          <w:kern w:val="2"/>
          <w:szCs w:val="20"/>
          <w:highlight w:val="none"/>
        </w:rPr>
        <w:t>）年均值为</w:t>
      </w:r>
      <w:r>
        <w:rPr>
          <w:rFonts w:hint="eastAsia" w:ascii="Times New Roman" w:hAnsi="Times New Roman" w:cs="Times New Roman" w:eastAsiaTheme="minorEastAsia"/>
          <w:color w:val="auto"/>
          <w:w w:val="99"/>
          <w:kern w:val="2"/>
          <w:szCs w:val="20"/>
          <w:highlight w:val="none"/>
        </w:rPr>
        <w:t>43</w:t>
      </w:r>
      <w:r>
        <w:rPr>
          <w:rFonts w:ascii="Times New Roman" w:hAnsi="Times New Roman" w:cs="Times New Roman" w:eastAsiaTheme="minorEastAsia"/>
          <w:color w:val="auto"/>
          <w:w w:val="99"/>
          <w:kern w:val="2"/>
          <w:szCs w:val="20"/>
          <w:highlight w:val="none"/>
        </w:rPr>
        <w:t>μg/m</w:t>
      </w:r>
      <w:r>
        <w:rPr>
          <w:rFonts w:ascii="Times New Roman" w:hAnsi="Times New Roman" w:cs="Times New Roman" w:eastAsiaTheme="minorEastAsia"/>
          <w:color w:val="auto"/>
          <w:w w:val="99"/>
          <w:kern w:val="2"/>
          <w:szCs w:val="20"/>
          <w:highlight w:val="none"/>
          <w:vertAlign w:val="superscript"/>
        </w:rPr>
        <w:t>3</w:t>
      </w:r>
      <w:r>
        <w:rPr>
          <w:rFonts w:ascii="Times New Roman" w:hAnsi="Times New Roman" w:cs="Times New Roman" w:eastAsiaTheme="minorEastAsia"/>
          <w:color w:val="auto"/>
          <w:w w:val="99"/>
          <w:kern w:val="2"/>
          <w:szCs w:val="20"/>
          <w:highlight w:val="none"/>
        </w:rPr>
        <w:t>；可吸入颗粒物（PM</w:t>
      </w:r>
      <w:r>
        <w:rPr>
          <w:rFonts w:ascii="Times New Roman" w:hAnsi="Times New Roman" w:cs="Times New Roman" w:eastAsiaTheme="minorEastAsia"/>
          <w:color w:val="auto"/>
          <w:w w:val="99"/>
          <w:kern w:val="2"/>
          <w:szCs w:val="20"/>
          <w:highlight w:val="none"/>
          <w:vertAlign w:val="subscript"/>
        </w:rPr>
        <w:t>10</w:t>
      </w:r>
      <w:r>
        <w:rPr>
          <w:rFonts w:ascii="Times New Roman" w:hAnsi="Times New Roman" w:cs="Times New Roman" w:eastAsiaTheme="minorEastAsia"/>
          <w:color w:val="auto"/>
          <w:w w:val="99"/>
          <w:kern w:val="2"/>
          <w:szCs w:val="20"/>
          <w:highlight w:val="none"/>
        </w:rPr>
        <w:t>）年均值为</w:t>
      </w:r>
      <w:r>
        <w:rPr>
          <w:rFonts w:hint="eastAsia" w:ascii="Times New Roman" w:hAnsi="Times New Roman" w:cs="Times New Roman" w:eastAsiaTheme="minorEastAsia"/>
          <w:color w:val="auto"/>
          <w:w w:val="99"/>
          <w:kern w:val="2"/>
          <w:szCs w:val="20"/>
          <w:highlight w:val="none"/>
        </w:rPr>
        <w:t>57</w:t>
      </w:r>
      <w:r>
        <w:rPr>
          <w:rFonts w:ascii="Times New Roman" w:hAnsi="Times New Roman" w:cs="Times New Roman" w:eastAsiaTheme="minorEastAsia"/>
          <w:color w:val="auto"/>
          <w:w w:val="99"/>
          <w:kern w:val="2"/>
          <w:szCs w:val="20"/>
          <w:highlight w:val="none"/>
        </w:rPr>
        <w:t>μg/m</w:t>
      </w:r>
      <w:r>
        <w:rPr>
          <w:rFonts w:ascii="Times New Roman" w:hAnsi="Times New Roman" w:cs="Times New Roman" w:eastAsiaTheme="minorEastAsia"/>
          <w:color w:val="auto"/>
          <w:w w:val="99"/>
          <w:kern w:val="2"/>
          <w:szCs w:val="20"/>
          <w:highlight w:val="none"/>
          <w:vertAlign w:val="superscript"/>
        </w:rPr>
        <w:t>3</w:t>
      </w:r>
      <w:r>
        <w:rPr>
          <w:rFonts w:ascii="Times New Roman" w:hAnsi="Times New Roman" w:cs="Times New Roman" w:eastAsiaTheme="minorEastAsia"/>
          <w:color w:val="auto"/>
          <w:w w:val="99"/>
          <w:kern w:val="2"/>
          <w:szCs w:val="20"/>
          <w:highlight w:val="none"/>
        </w:rPr>
        <w:t>；二氧化硫年均值为</w:t>
      </w:r>
      <w:r>
        <w:rPr>
          <w:rFonts w:hint="eastAsia" w:ascii="Times New Roman" w:hAnsi="Times New Roman" w:cs="Times New Roman" w:eastAsiaTheme="minorEastAsia"/>
          <w:color w:val="auto"/>
          <w:w w:val="99"/>
          <w:kern w:val="2"/>
          <w:szCs w:val="20"/>
          <w:highlight w:val="none"/>
        </w:rPr>
        <w:t>7</w:t>
      </w:r>
      <w:r>
        <w:rPr>
          <w:rFonts w:ascii="Times New Roman" w:hAnsi="Times New Roman" w:cs="Times New Roman" w:eastAsiaTheme="minorEastAsia"/>
          <w:color w:val="auto"/>
          <w:w w:val="99"/>
          <w:kern w:val="2"/>
          <w:szCs w:val="20"/>
          <w:highlight w:val="none"/>
        </w:rPr>
        <w:t>μg/m</w:t>
      </w:r>
      <w:r>
        <w:rPr>
          <w:rFonts w:ascii="Times New Roman" w:hAnsi="Times New Roman" w:cs="Times New Roman" w:eastAsiaTheme="minorEastAsia"/>
          <w:color w:val="auto"/>
          <w:w w:val="99"/>
          <w:kern w:val="2"/>
          <w:szCs w:val="20"/>
          <w:highlight w:val="none"/>
          <w:vertAlign w:val="superscript"/>
        </w:rPr>
        <w:t>3</w:t>
      </w:r>
      <w:r>
        <w:rPr>
          <w:rFonts w:ascii="Times New Roman" w:hAnsi="Times New Roman" w:cs="Times New Roman" w:eastAsiaTheme="minorEastAsia"/>
          <w:color w:val="auto"/>
          <w:w w:val="99"/>
          <w:kern w:val="2"/>
          <w:szCs w:val="20"/>
          <w:highlight w:val="none"/>
        </w:rPr>
        <w:t>；二氧化氮年均值为1</w:t>
      </w:r>
      <w:r>
        <w:rPr>
          <w:rFonts w:hint="eastAsia" w:ascii="Times New Roman" w:hAnsi="Times New Roman" w:cs="Times New Roman" w:eastAsiaTheme="minorEastAsia"/>
          <w:color w:val="auto"/>
          <w:w w:val="99"/>
          <w:kern w:val="2"/>
          <w:szCs w:val="20"/>
          <w:highlight w:val="none"/>
        </w:rPr>
        <w:t>9</w:t>
      </w:r>
      <w:r>
        <w:rPr>
          <w:rFonts w:ascii="Times New Roman" w:hAnsi="Times New Roman" w:cs="Times New Roman" w:eastAsiaTheme="minorEastAsia"/>
          <w:color w:val="auto"/>
          <w:w w:val="99"/>
          <w:kern w:val="2"/>
          <w:szCs w:val="20"/>
          <w:highlight w:val="none"/>
        </w:rPr>
        <w:t>μg/m</w:t>
      </w:r>
      <w:r>
        <w:rPr>
          <w:rFonts w:ascii="Times New Roman" w:hAnsi="Times New Roman" w:cs="Times New Roman" w:eastAsiaTheme="minorEastAsia"/>
          <w:color w:val="auto"/>
          <w:w w:val="99"/>
          <w:kern w:val="2"/>
          <w:szCs w:val="20"/>
          <w:highlight w:val="none"/>
          <w:vertAlign w:val="superscript"/>
        </w:rPr>
        <w:t>3</w:t>
      </w:r>
      <w:r>
        <w:rPr>
          <w:rFonts w:ascii="Times New Roman" w:hAnsi="Times New Roman" w:cs="Times New Roman" w:eastAsiaTheme="minorEastAsia"/>
          <w:color w:val="auto"/>
          <w:w w:val="99"/>
          <w:kern w:val="2"/>
          <w:szCs w:val="20"/>
          <w:highlight w:val="none"/>
        </w:rPr>
        <w:t>；CO24小时平均第95百分位数为1.0mg/m</w:t>
      </w:r>
      <w:r>
        <w:rPr>
          <w:rFonts w:ascii="Times New Roman" w:hAnsi="Times New Roman" w:cs="Times New Roman" w:eastAsiaTheme="minorEastAsia"/>
          <w:color w:val="auto"/>
          <w:w w:val="99"/>
          <w:kern w:val="2"/>
          <w:szCs w:val="20"/>
          <w:highlight w:val="none"/>
          <w:vertAlign w:val="superscript"/>
        </w:rPr>
        <w:t>3</w:t>
      </w:r>
      <w:r>
        <w:rPr>
          <w:rFonts w:ascii="Times New Roman" w:hAnsi="Times New Roman" w:cs="Times New Roman" w:eastAsiaTheme="minorEastAsia"/>
          <w:color w:val="auto"/>
          <w:w w:val="99"/>
          <w:kern w:val="2"/>
          <w:szCs w:val="20"/>
          <w:highlight w:val="none"/>
        </w:rPr>
        <w:t>；O</w:t>
      </w:r>
      <w:r>
        <w:rPr>
          <w:rFonts w:ascii="Times New Roman" w:hAnsi="Times New Roman" w:cs="Times New Roman" w:eastAsiaTheme="minorEastAsia"/>
          <w:color w:val="auto"/>
          <w:w w:val="99"/>
          <w:kern w:val="2"/>
          <w:szCs w:val="20"/>
          <w:highlight w:val="none"/>
          <w:vertAlign w:val="subscript"/>
        </w:rPr>
        <w:t>3</w:t>
      </w:r>
      <w:r>
        <w:rPr>
          <w:rFonts w:ascii="Times New Roman" w:hAnsi="Times New Roman" w:cs="Times New Roman" w:eastAsiaTheme="minorEastAsia"/>
          <w:color w:val="auto"/>
          <w:w w:val="99"/>
          <w:kern w:val="2"/>
          <w:szCs w:val="20"/>
          <w:highlight w:val="none"/>
        </w:rPr>
        <w:t>日最大8小时平均第90百分位数为12</w:t>
      </w:r>
      <w:r>
        <w:rPr>
          <w:rFonts w:hint="eastAsia" w:ascii="Times New Roman" w:hAnsi="Times New Roman" w:cs="Times New Roman" w:eastAsiaTheme="minorEastAsia"/>
          <w:color w:val="auto"/>
          <w:w w:val="99"/>
          <w:kern w:val="2"/>
          <w:szCs w:val="20"/>
          <w:highlight w:val="none"/>
        </w:rPr>
        <w:t>0</w:t>
      </w:r>
      <w:r>
        <w:rPr>
          <w:rFonts w:ascii="Times New Roman" w:hAnsi="Times New Roman" w:cs="Times New Roman" w:eastAsiaTheme="minorEastAsia"/>
          <w:color w:val="auto"/>
          <w:w w:val="99"/>
          <w:kern w:val="2"/>
          <w:szCs w:val="20"/>
          <w:highlight w:val="none"/>
        </w:rPr>
        <w:t>μg/m</w:t>
      </w:r>
      <w:r>
        <w:rPr>
          <w:rFonts w:ascii="Times New Roman" w:hAnsi="Times New Roman" w:cs="Times New Roman" w:eastAsiaTheme="minorEastAsia"/>
          <w:color w:val="auto"/>
          <w:w w:val="99"/>
          <w:kern w:val="2"/>
          <w:szCs w:val="20"/>
          <w:highlight w:val="none"/>
          <w:vertAlign w:val="superscript"/>
        </w:rPr>
        <w:t>3</w:t>
      </w:r>
      <w:r>
        <w:rPr>
          <w:rFonts w:hint="eastAsia" w:ascii="Times New Roman" w:hAnsi="Times New Roman" w:cs="Times New Roman" w:eastAsiaTheme="minorEastAsia"/>
          <w:color w:val="auto"/>
          <w:w w:val="99"/>
          <w:kern w:val="2"/>
          <w:szCs w:val="20"/>
          <w:highlight w:val="none"/>
        </w:rPr>
        <w:t>；PM</w:t>
      </w:r>
      <w:r>
        <w:rPr>
          <w:rFonts w:hint="eastAsia" w:ascii="Times New Roman" w:hAnsi="Times New Roman" w:cs="Times New Roman" w:eastAsiaTheme="minorEastAsia"/>
          <w:color w:val="auto"/>
          <w:w w:val="99"/>
          <w:kern w:val="2"/>
          <w:szCs w:val="20"/>
          <w:highlight w:val="none"/>
          <w:vertAlign w:val="subscript"/>
        </w:rPr>
        <w:t>2.5</w:t>
      </w:r>
      <w:r>
        <w:rPr>
          <w:rFonts w:hint="eastAsia" w:ascii="Times New Roman" w:hAnsi="Times New Roman" w:cs="Times New Roman" w:eastAsiaTheme="minorEastAsia"/>
          <w:color w:val="auto"/>
          <w:w w:val="99"/>
          <w:kern w:val="2"/>
          <w:szCs w:val="20"/>
          <w:highlight w:val="none"/>
        </w:rPr>
        <w:t>超过《环境空气质量标准》(GB3095-2026)中过渡阶段二级标准限值。绥化地区为非达标区。</w:t>
      </w:r>
    </w:p>
    <w:p w14:paraId="7F1EB677">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本项目区域空气质量现状评价见表4.3-1。</w:t>
      </w:r>
    </w:p>
    <w:p w14:paraId="584AED96">
      <w:pPr>
        <w:widowControl w:val="0"/>
        <w:spacing w:line="440" w:lineRule="exact"/>
        <w:ind w:firstLine="476" w:firstLineChars="200"/>
        <w:rPr>
          <w:rFonts w:ascii="Times New Roman" w:hAnsi="Times New Roman" w:cs="Times New Roman"/>
          <w:b/>
          <w:color w:val="auto"/>
          <w:w w:val="99"/>
          <w:kern w:val="2"/>
          <w:highlight w:val="none"/>
        </w:rPr>
      </w:pPr>
      <w:r>
        <w:rPr>
          <w:rFonts w:ascii="Times New Roman" w:hAnsi="Times New Roman" w:cs="Times New Roman"/>
          <w:b/>
          <w:color w:val="auto"/>
          <w:w w:val="99"/>
          <w:kern w:val="2"/>
          <w:highlight w:val="none"/>
        </w:rPr>
        <w:t xml:space="preserve">表4.3-1   </w:t>
      </w:r>
      <w:r>
        <w:rPr>
          <w:rFonts w:ascii="Times New Roman" w:hAnsi="Times New Roman" w:cs="Times New Roman"/>
          <w:b/>
          <w:bCs/>
          <w:color w:val="auto"/>
          <w:w w:val="99"/>
          <w:highlight w:val="none"/>
        </w:rPr>
        <w:t>区域</w:t>
      </w:r>
      <w:r>
        <w:rPr>
          <w:rFonts w:ascii="Times New Roman" w:hAnsi="Times New Roman" w:cs="Times New Roman"/>
          <w:b/>
          <w:color w:val="auto"/>
          <w:w w:val="99"/>
          <w:kern w:val="2"/>
          <w:highlight w:val="none"/>
        </w:rPr>
        <w:t>空气质量现状评价表</w:t>
      </w:r>
    </w:p>
    <w:tbl>
      <w:tblPr>
        <w:tblStyle w:val="81"/>
        <w:tblW w:w="4996" w:type="pct"/>
        <w:tblInd w:w="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6"/>
        <w:gridCol w:w="2190"/>
        <w:gridCol w:w="1051"/>
        <w:gridCol w:w="1051"/>
        <w:gridCol w:w="1051"/>
        <w:gridCol w:w="1053"/>
        <w:gridCol w:w="1054"/>
        <w:gridCol w:w="1054"/>
      </w:tblGrid>
      <w:tr w14:paraId="36AAB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18" w:type="pct"/>
            <w:vAlign w:val="center"/>
          </w:tcPr>
          <w:p w14:paraId="4D898528">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污染物</w:t>
            </w:r>
          </w:p>
        </w:tc>
        <w:tc>
          <w:tcPr>
            <w:tcW w:w="1179" w:type="pct"/>
            <w:vAlign w:val="center"/>
          </w:tcPr>
          <w:p w14:paraId="2FC63E6D">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年评价指标</w:t>
            </w:r>
          </w:p>
        </w:tc>
        <w:tc>
          <w:tcPr>
            <w:tcW w:w="566" w:type="pct"/>
            <w:vAlign w:val="center"/>
          </w:tcPr>
          <w:p w14:paraId="6355AED7">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单位</w:t>
            </w:r>
          </w:p>
        </w:tc>
        <w:tc>
          <w:tcPr>
            <w:tcW w:w="566" w:type="pct"/>
            <w:vAlign w:val="center"/>
          </w:tcPr>
          <w:p w14:paraId="692166BD">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现状</w:t>
            </w:r>
            <w:r>
              <w:rPr>
                <w:rFonts w:ascii="Times New Roman" w:hAnsi="Times New Roman" w:cs="Times New Roman" w:eastAsiaTheme="minorEastAsia"/>
                <w:color w:val="auto"/>
                <w:w w:val="99"/>
                <w:kern w:val="2"/>
                <w:sz w:val="21"/>
                <w:szCs w:val="21"/>
                <w:highlight w:val="none"/>
              </w:rPr>
              <w:t>浓度</w:t>
            </w:r>
          </w:p>
        </w:tc>
        <w:tc>
          <w:tcPr>
            <w:tcW w:w="566" w:type="pct"/>
            <w:vAlign w:val="center"/>
          </w:tcPr>
          <w:p w14:paraId="416F4B6F">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标准限值</w:t>
            </w:r>
          </w:p>
        </w:tc>
        <w:tc>
          <w:tcPr>
            <w:tcW w:w="567" w:type="pct"/>
            <w:vAlign w:val="center"/>
          </w:tcPr>
          <w:p w14:paraId="65ADB4F1">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占标率%</w:t>
            </w:r>
          </w:p>
        </w:tc>
        <w:tc>
          <w:tcPr>
            <w:tcW w:w="567" w:type="pct"/>
            <w:vAlign w:val="center"/>
          </w:tcPr>
          <w:p w14:paraId="540376AA">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达标情况</w:t>
            </w:r>
          </w:p>
        </w:tc>
        <w:tc>
          <w:tcPr>
            <w:tcW w:w="567" w:type="pct"/>
            <w:vAlign w:val="center"/>
          </w:tcPr>
          <w:p w14:paraId="23EC2DED">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超标倍数</w:t>
            </w:r>
          </w:p>
        </w:tc>
      </w:tr>
      <w:tr w14:paraId="2D685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18" w:type="pct"/>
            <w:vAlign w:val="center"/>
          </w:tcPr>
          <w:p w14:paraId="4D922E5C">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SO</w:t>
            </w:r>
            <w:r>
              <w:rPr>
                <w:rFonts w:ascii="Times New Roman" w:hAnsi="Times New Roman" w:cs="Times New Roman" w:eastAsiaTheme="minorEastAsia"/>
                <w:color w:val="auto"/>
                <w:w w:val="99"/>
                <w:kern w:val="2"/>
                <w:sz w:val="21"/>
                <w:szCs w:val="21"/>
                <w:highlight w:val="none"/>
                <w:vertAlign w:val="subscript"/>
              </w:rPr>
              <w:t>2</w:t>
            </w:r>
          </w:p>
        </w:tc>
        <w:tc>
          <w:tcPr>
            <w:tcW w:w="1179" w:type="pct"/>
            <w:vAlign w:val="center"/>
          </w:tcPr>
          <w:p w14:paraId="7C0961A6">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年平均</w:t>
            </w:r>
          </w:p>
        </w:tc>
        <w:tc>
          <w:tcPr>
            <w:tcW w:w="566" w:type="pct"/>
            <w:vMerge w:val="restart"/>
            <w:vAlign w:val="center"/>
          </w:tcPr>
          <w:p w14:paraId="0EF42288">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μg/m</w:t>
            </w:r>
            <w:r>
              <w:rPr>
                <w:rFonts w:ascii="Times New Roman" w:hAnsi="Times New Roman" w:cs="Times New Roman" w:eastAsiaTheme="minorEastAsia"/>
                <w:color w:val="auto"/>
                <w:w w:val="99"/>
                <w:kern w:val="2"/>
                <w:sz w:val="21"/>
                <w:szCs w:val="21"/>
                <w:highlight w:val="none"/>
                <w:vertAlign w:val="superscript"/>
              </w:rPr>
              <w:t>3</w:t>
            </w:r>
          </w:p>
        </w:tc>
        <w:tc>
          <w:tcPr>
            <w:tcW w:w="566" w:type="pct"/>
            <w:vAlign w:val="center"/>
          </w:tcPr>
          <w:p w14:paraId="46DD6D62">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7</w:t>
            </w:r>
          </w:p>
        </w:tc>
        <w:tc>
          <w:tcPr>
            <w:tcW w:w="566" w:type="pct"/>
            <w:vAlign w:val="center"/>
          </w:tcPr>
          <w:p w14:paraId="37BA285C">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60</w:t>
            </w:r>
          </w:p>
        </w:tc>
        <w:tc>
          <w:tcPr>
            <w:tcW w:w="567" w:type="pct"/>
            <w:vAlign w:val="center"/>
          </w:tcPr>
          <w:p w14:paraId="7BAB3081">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11.67</w:t>
            </w:r>
          </w:p>
        </w:tc>
        <w:tc>
          <w:tcPr>
            <w:tcW w:w="567" w:type="pct"/>
            <w:vAlign w:val="center"/>
          </w:tcPr>
          <w:p w14:paraId="7170B1F5">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达标</w:t>
            </w:r>
          </w:p>
        </w:tc>
        <w:tc>
          <w:tcPr>
            <w:tcW w:w="567" w:type="pct"/>
            <w:vAlign w:val="center"/>
          </w:tcPr>
          <w:p w14:paraId="0B67EFD4">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w:t>
            </w:r>
          </w:p>
        </w:tc>
      </w:tr>
      <w:tr w14:paraId="26108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18" w:type="pct"/>
            <w:vAlign w:val="center"/>
          </w:tcPr>
          <w:p w14:paraId="1758591A">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NO</w:t>
            </w:r>
            <w:r>
              <w:rPr>
                <w:rFonts w:ascii="Times New Roman" w:hAnsi="Times New Roman" w:cs="Times New Roman" w:eastAsiaTheme="minorEastAsia"/>
                <w:color w:val="auto"/>
                <w:w w:val="99"/>
                <w:kern w:val="2"/>
                <w:sz w:val="21"/>
                <w:szCs w:val="21"/>
                <w:highlight w:val="none"/>
                <w:vertAlign w:val="subscript"/>
              </w:rPr>
              <w:t>2</w:t>
            </w:r>
          </w:p>
        </w:tc>
        <w:tc>
          <w:tcPr>
            <w:tcW w:w="1179" w:type="pct"/>
            <w:vAlign w:val="center"/>
          </w:tcPr>
          <w:p w14:paraId="335EEB60">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年平均</w:t>
            </w:r>
          </w:p>
        </w:tc>
        <w:tc>
          <w:tcPr>
            <w:tcW w:w="566" w:type="pct"/>
            <w:vMerge w:val="continue"/>
            <w:vAlign w:val="center"/>
          </w:tcPr>
          <w:p w14:paraId="5B788CCD">
            <w:pPr>
              <w:widowControl w:val="0"/>
              <w:spacing w:line="320" w:lineRule="exact"/>
              <w:jc w:val="center"/>
              <w:rPr>
                <w:rFonts w:ascii="Times New Roman" w:hAnsi="Times New Roman" w:cs="Times New Roman" w:eastAsiaTheme="minorEastAsia"/>
                <w:color w:val="auto"/>
                <w:w w:val="99"/>
                <w:kern w:val="2"/>
                <w:sz w:val="21"/>
                <w:szCs w:val="21"/>
                <w:highlight w:val="none"/>
              </w:rPr>
            </w:pPr>
          </w:p>
        </w:tc>
        <w:tc>
          <w:tcPr>
            <w:tcW w:w="566" w:type="pct"/>
            <w:vAlign w:val="center"/>
          </w:tcPr>
          <w:p w14:paraId="3ABE86E4">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19</w:t>
            </w:r>
          </w:p>
        </w:tc>
        <w:tc>
          <w:tcPr>
            <w:tcW w:w="566" w:type="pct"/>
            <w:vAlign w:val="center"/>
          </w:tcPr>
          <w:p w14:paraId="3A499A51">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40</w:t>
            </w:r>
          </w:p>
        </w:tc>
        <w:tc>
          <w:tcPr>
            <w:tcW w:w="567" w:type="pct"/>
            <w:vAlign w:val="center"/>
          </w:tcPr>
          <w:p w14:paraId="34B1E5D3">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47.50</w:t>
            </w:r>
          </w:p>
        </w:tc>
        <w:tc>
          <w:tcPr>
            <w:tcW w:w="567" w:type="pct"/>
            <w:vAlign w:val="center"/>
          </w:tcPr>
          <w:p w14:paraId="27CAA5AC">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达标</w:t>
            </w:r>
          </w:p>
        </w:tc>
        <w:tc>
          <w:tcPr>
            <w:tcW w:w="567" w:type="pct"/>
            <w:vAlign w:val="center"/>
          </w:tcPr>
          <w:p w14:paraId="24427F0B">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w:t>
            </w:r>
          </w:p>
        </w:tc>
      </w:tr>
      <w:tr w14:paraId="2D39D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18" w:type="pct"/>
            <w:vAlign w:val="center"/>
          </w:tcPr>
          <w:p w14:paraId="643300B8">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PM</w:t>
            </w:r>
            <w:r>
              <w:rPr>
                <w:rFonts w:ascii="Times New Roman" w:hAnsi="Times New Roman" w:cs="Times New Roman" w:eastAsiaTheme="minorEastAsia"/>
                <w:color w:val="auto"/>
                <w:w w:val="99"/>
                <w:kern w:val="2"/>
                <w:sz w:val="21"/>
                <w:szCs w:val="21"/>
                <w:highlight w:val="none"/>
                <w:vertAlign w:val="subscript"/>
              </w:rPr>
              <w:t>10</w:t>
            </w:r>
          </w:p>
        </w:tc>
        <w:tc>
          <w:tcPr>
            <w:tcW w:w="1179" w:type="pct"/>
            <w:vAlign w:val="center"/>
          </w:tcPr>
          <w:p w14:paraId="13AF78C0">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年平均</w:t>
            </w:r>
          </w:p>
        </w:tc>
        <w:tc>
          <w:tcPr>
            <w:tcW w:w="566" w:type="pct"/>
            <w:vMerge w:val="continue"/>
            <w:vAlign w:val="center"/>
          </w:tcPr>
          <w:p w14:paraId="4DB8126D">
            <w:pPr>
              <w:widowControl w:val="0"/>
              <w:spacing w:line="320" w:lineRule="exact"/>
              <w:jc w:val="center"/>
              <w:rPr>
                <w:rFonts w:ascii="Times New Roman" w:hAnsi="Times New Roman" w:cs="Times New Roman" w:eastAsiaTheme="minorEastAsia"/>
                <w:color w:val="auto"/>
                <w:w w:val="99"/>
                <w:kern w:val="2"/>
                <w:sz w:val="21"/>
                <w:szCs w:val="21"/>
                <w:highlight w:val="none"/>
              </w:rPr>
            </w:pPr>
          </w:p>
        </w:tc>
        <w:tc>
          <w:tcPr>
            <w:tcW w:w="566" w:type="pct"/>
            <w:vAlign w:val="center"/>
          </w:tcPr>
          <w:p w14:paraId="29A7ADAD">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57</w:t>
            </w:r>
          </w:p>
        </w:tc>
        <w:tc>
          <w:tcPr>
            <w:tcW w:w="566" w:type="pct"/>
            <w:vAlign w:val="center"/>
          </w:tcPr>
          <w:p w14:paraId="20BE83AA">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60</w:t>
            </w:r>
          </w:p>
        </w:tc>
        <w:tc>
          <w:tcPr>
            <w:tcW w:w="567" w:type="pct"/>
            <w:vAlign w:val="center"/>
          </w:tcPr>
          <w:p w14:paraId="47CDE4FA">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95.00</w:t>
            </w:r>
          </w:p>
        </w:tc>
        <w:tc>
          <w:tcPr>
            <w:tcW w:w="567" w:type="pct"/>
            <w:vAlign w:val="center"/>
          </w:tcPr>
          <w:p w14:paraId="40D62AF4">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达标</w:t>
            </w:r>
          </w:p>
        </w:tc>
        <w:tc>
          <w:tcPr>
            <w:tcW w:w="567" w:type="pct"/>
            <w:vAlign w:val="center"/>
          </w:tcPr>
          <w:p w14:paraId="733AAE33">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w:t>
            </w:r>
          </w:p>
        </w:tc>
      </w:tr>
      <w:tr w14:paraId="456EA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18" w:type="pct"/>
            <w:vAlign w:val="center"/>
          </w:tcPr>
          <w:p w14:paraId="1F554C03">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PM</w:t>
            </w:r>
            <w:r>
              <w:rPr>
                <w:rFonts w:ascii="Times New Roman" w:hAnsi="Times New Roman" w:cs="Times New Roman" w:eastAsiaTheme="minorEastAsia"/>
                <w:color w:val="auto"/>
                <w:w w:val="99"/>
                <w:kern w:val="2"/>
                <w:sz w:val="21"/>
                <w:szCs w:val="21"/>
                <w:highlight w:val="none"/>
                <w:vertAlign w:val="subscript"/>
              </w:rPr>
              <w:t>2.5</w:t>
            </w:r>
          </w:p>
        </w:tc>
        <w:tc>
          <w:tcPr>
            <w:tcW w:w="1179" w:type="pct"/>
            <w:vAlign w:val="center"/>
          </w:tcPr>
          <w:p w14:paraId="2651C68A">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年平均</w:t>
            </w:r>
          </w:p>
        </w:tc>
        <w:tc>
          <w:tcPr>
            <w:tcW w:w="566" w:type="pct"/>
            <w:vMerge w:val="continue"/>
            <w:vAlign w:val="center"/>
          </w:tcPr>
          <w:p w14:paraId="2A3A5F7F">
            <w:pPr>
              <w:widowControl w:val="0"/>
              <w:spacing w:line="320" w:lineRule="exact"/>
              <w:jc w:val="center"/>
              <w:rPr>
                <w:rFonts w:ascii="Times New Roman" w:hAnsi="Times New Roman" w:cs="Times New Roman" w:eastAsiaTheme="minorEastAsia"/>
                <w:color w:val="auto"/>
                <w:w w:val="99"/>
                <w:kern w:val="2"/>
                <w:sz w:val="21"/>
                <w:szCs w:val="21"/>
                <w:highlight w:val="none"/>
              </w:rPr>
            </w:pPr>
          </w:p>
        </w:tc>
        <w:tc>
          <w:tcPr>
            <w:tcW w:w="566" w:type="pct"/>
            <w:vAlign w:val="center"/>
          </w:tcPr>
          <w:p w14:paraId="1C6E49EE">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43</w:t>
            </w:r>
          </w:p>
        </w:tc>
        <w:tc>
          <w:tcPr>
            <w:tcW w:w="566" w:type="pct"/>
            <w:vAlign w:val="center"/>
          </w:tcPr>
          <w:p w14:paraId="4E16EB2E">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30</w:t>
            </w:r>
          </w:p>
        </w:tc>
        <w:tc>
          <w:tcPr>
            <w:tcW w:w="567" w:type="pct"/>
            <w:vAlign w:val="center"/>
          </w:tcPr>
          <w:p w14:paraId="604914A2">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143.33</w:t>
            </w:r>
          </w:p>
        </w:tc>
        <w:tc>
          <w:tcPr>
            <w:tcW w:w="567" w:type="pct"/>
            <w:vAlign w:val="center"/>
          </w:tcPr>
          <w:p w14:paraId="6EA96B48">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不</w:t>
            </w:r>
            <w:r>
              <w:rPr>
                <w:rFonts w:ascii="Times New Roman" w:hAnsi="Times New Roman" w:cs="Times New Roman" w:eastAsiaTheme="minorEastAsia"/>
                <w:color w:val="auto"/>
                <w:w w:val="99"/>
                <w:kern w:val="2"/>
                <w:sz w:val="21"/>
                <w:szCs w:val="21"/>
                <w:highlight w:val="none"/>
              </w:rPr>
              <w:t>达标</w:t>
            </w:r>
          </w:p>
        </w:tc>
        <w:tc>
          <w:tcPr>
            <w:tcW w:w="567" w:type="pct"/>
            <w:vAlign w:val="center"/>
          </w:tcPr>
          <w:p w14:paraId="7485A097">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lang w:val="en-US" w:eastAsia="zh-CN"/>
              </w:rPr>
              <w:t>0.43</w:t>
            </w:r>
            <w:r>
              <w:rPr>
                <w:rFonts w:hint="eastAsia" w:ascii="Times New Roman" w:hAnsi="Times New Roman" w:cs="Times New Roman" w:eastAsiaTheme="minorEastAsia"/>
                <w:color w:val="auto"/>
                <w:w w:val="99"/>
                <w:kern w:val="2"/>
                <w:sz w:val="21"/>
                <w:szCs w:val="21"/>
                <w:highlight w:val="none"/>
              </w:rPr>
              <w:t>/</w:t>
            </w:r>
          </w:p>
        </w:tc>
      </w:tr>
      <w:tr w14:paraId="4F74F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18" w:type="pct"/>
            <w:vAlign w:val="center"/>
          </w:tcPr>
          <w:p w14:paraId="424ACCB8">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O</w:t>
            </w:r>
            <w:r>
              <w:rPr>
                <w:rFonts w:ascii="Times New Roman" w:hAnsi="Times New Roman" w:cs="Times New Roman" w:eastAsiaTheme="minorEastAsia"/>
                <w:color w:val="auto"/>
                <w:w w:val="99"/>
                <w:kern w:val="2"/>
                <w:sz w:val="21"/>
                <w:szCs w:val="21"/>
                <w:highlight w:val="none"/>
                <w:vertAlign w:val="subscript"/>
              </w:rPr>
              <w:t>3</w:t>
            </w:r>
          </w:p>
        </w:tc>
        <w:tc>
          <w:tcPr>
            <w:tcW w:w="1179" w:type="pct"/>
            <w:vAlign w:val="center"/>
          </w:tcPr>
          <w:p w14:paraId="4A9C7653">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8小时最大平均第90百分位数</w:t>
            </w:r>
          </w:p>
        </w:tc>
        <w:tc>
          <w:tcPr>
            <w:tcW w:w="566" w:type="pct"/>
            <w:vMerge w:val="continue"/>
            <w:vAlign w:val="center"/>
          </w:tcPr>
          <w:p w14:paraId="6F7432EE">
            <w:pPr>
              <w:widowControl w:val="0"/>
              <w:spacing w:line="320" w:lineRule="exact"/>
              <w:jc w:val="center"/>
              <w:rPr>
                <w:rFonts w:ascii="Times New Roman" w:hAnsi="Times New Roman" w:cs="Times New Roman" w:eastAsiaTheme="minorEastAsia"/>
                <w:color w:val="auto"/>
                <w:w w:val="99"/>
                <w:kern w:val="2"/>
                <w:sz w:val="21"/>
                <w:szCs w:val="21"/>
                <w:highlight w:val="none"/>
              </w:rPr>
            </w:pPr>
          </w:p>
        </w:tc>
        <w:tc>
          <w:tcPr>
            <w:tcW w:w="566" w:type="pct"/>
            <w:vAlign w:val="center"/>
          </w:tcPr>
          <w:p w14:paraId="57D2BA10">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120</w:t>
            </w:r>
          </w:p>
        </w:tc>
        <w:tc>
          <w:tcPr>
            <w:tcW w:w="566" w:type="pct"/>
            <w:vAlign w:val="center"/>
          </w:tcPr>
          <w:p w14:paraId="4A38DD57">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160</w:t>
            </w:r>
          </w:p>
        </w:tc>
        <w:tc>
          <w:tcPr>
            <w:tcW w:w="567" w:type="pct"/>
            <w:vAlign w:val="center"/>
          </w:tcPr>
          <w:p w14:paraId="0290312B">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75.00</w:t>
            </w:r>
          </w:p>
        </w:tc>
        <w:tc>
          <w:tcPr>
            <w:tcW w:w="567" w:type="pct"/>
            <w:vAlign w:val="center"/>
          </w:tcPr>
          <w:p w14:paraId="70BAFAF0">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达标</w:t>
            </w:r>
          </w:p>
        </w:tc>
        <w:tc>
          <w:tcPr>
            <w:tcW w:w="567" w:type="pct"/>
            <w:vAlign w:val="center"/>
          </w:tcPr>
          <w:p w14:paraId="5039AB7F">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w:t>
            </w:r>
          </w:p>
        </w:tc>
      </w:tr>
      <w:tr w14:paraId="3FE3B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18" w:type="pct"/>
            <w:vAlign w:val="center"/>
          </w:tcPr>
          <w:p w14:paraId="5634CE2E">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CO</w:t>
            </w:r>
          </w:p>
        </w:tc>
        <w:tc>
          <w:tcPr>
            <w:tcW w:w="1179" w:type="pct"/>
            <w:vAlign w:val="center"/>
          </w:tcPr>
          <w:p w14:paraId="42D6AFF9">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24小时平均第95百分位数</w:t>
            </w:r>
          </w:p>
        </w:tc>
        <w:tc>
          <w:tcPr>
            <w:tcW w:w="566" w:type="pct"/>
            <w:vAlign w:val="center"/>
          </w:tcPr>
          <w:p w14:paraId="4129C790">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mg/m</w:t>
            </w:r>
            <w:r>
              <w:rPr>
                <w:rFonts w:ascii="Times New Roman" w:hAnsi="Times New Roman" w:cs="Times New Roman" w:eastAsiaTheme="minorEastAsia"/>
                <w:color w:val="auto"/>
                <w:w w:val="99"/>
                <w:kern w:val="2"/>
                <w:sz w:val="21"/>
                <w:szCs w:val="21"/>
                <w:highlight w:val="none"/>
                <w:vertAlign w:val="superscript"/>
              </w:rPr>
              <w:t>3</w:t>
            </w:r>
          </w:p>
        </w:tc>
        <w:tc>
          <w:tcPr>
            <w:tcW w:w="566" w:type="pct"/>
            <w:vAlign w:val="center"/>
          </w:tcPr>
          <w:p w14:paraId="7AD9AC8F">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1.0</w:t>
            </w:r>
          </w:p>
        </w:tc>
        <w:tc>
          <w:tcPr>
            <w:tcW w:w="566" w:type="pct"/>
            <w:vAlign w:val="center"/>
          </w:tcPr>
          <w:p w14:paraId="0BBDF492">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4</w:t>
            </w:r>
          </w:p>
        </w:tc>
        <w:tc>
          <w:tcPr>
            <w:tcW w:w="567" w:type="pct"/>
            <w:vAlign w:val="center"/>
          </w:tcPr>
          <w:p w14:paraId="115C3A04">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25.00</w:t>
            </w:r>
          </w:p>
        </w:tc>
        <w:tc>
          <w:tcPr>
            <w:tcW w:w="567" w:type="pct"/>
            <w:vAlign w:val="center"/>
          </w:tcPr>
          <w:p w14:paraId="1A2A6F0B">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达标</w:t>
            </w:r>
          </w:p>
        </w:tc>
        <w:tc>
          <w:tcPr>
            <w:tcW w:w="567" w:type="pct"/>
            <w:vAlign w:val="center"/>
          </w:tcPr>
          <w:p w14:paraId="68F2A653">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w:t>
            </w:r>
          </w:p>
        </w:tc>
      </w:tr>
    </w:tbl>
    <w:p w14:paraId="1E6C61D9">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4.3.1.2环境空气质量现状补充监测</w:t>
      </w:r>
    </w:p>
    <w:p w14:paraId="3EF27156">
      <w:pPr>
        <w:widowControl w:val="0"/>
        <w:tabs>
          <w:tab w:val="left" w:pos="5262"/>
        </w:tabs>
        <w:spacing w:line="440" w:lineRule="exact"/>
        <w:ind w:firstLine="474" w:firstLineChars="200"/>
        <w:jc w:val="both"/>
        <w:rPr>
          <w:rFonts w:ascii="Times New Roman" w:hAnsi="Times New Roman" w:cs="Times New Roman"/>
          <w:bCs/>
          <w:color w:val="auto"/>
          <w:w w:val="99"/>
          <w:kern w:val="21"/>
          <w:highlight w:val="none"/>
        </w:rPr>
      </w:pPr>
      <w:r>
        <w:rPr>
          <w:rFonts w:ascii="Times New Roman" w:hAnsi="Times New Roman" w:cs="Times New Roman"/>
          <w:bCs/>
          <w:color w:val="auto"/>
          <w:w w:val="99"/>
          <w:kern w:val="21"/>
          <w:highlight w:val="none"/>
        </w:rPr>
        <w:t>（1）监测点位布设</w:t>
      </w:r>
    </w:p>
    <w:p w14:paraId="75F2D039">
      <w:pPr>
        <w:widowControl w:val="0"/>
        <w:tabs>
          <w:tab w:val="left" w:pos="5262"/>
        </w:tabs>
        <w:spacing w:line="440" w:lineRule="exact"/>
        <w:ind w:firstLine="474" w:firstLineChars="200"/>
        <w:jc w:val="both"/>
        <w:rPr>
          <w:rFonts w:ascii="Times New Roman" w:hAnsi="Times New Roman" w:cs="Times New Roman"/>
          <w:bCs/>
          <w:color w:val="auto"/>
          <w:w w:val="99"/>
          <w:kern w:val="21"/>
          <w:highlight w:val="none"/>
        </w:rPr>
      </w:pPr>
      <w:r>
        <w:rPr>
          <w:rFonts w:ascii="Times New Roman" w:hAnsi="Times New Roman" w:cs="Times New Roman"/>
          <w:bCs/>
          <w:color w:val="auto"/>
          <w:w w:val="99"/>
          <w:kern w:val="21"/>
          <w:highlight w:val="none"/>
        </w:rPr>
        <w:t>根据《环境影响评价技术导则 大气环境》（HJ2.2-2018），以</w:t>
      </w:r>
      <w:r>
        <w:rPr>
          <w:rFonts w:hint="eastAsia" w:ascii="Times New Roman" w:hAnsi="Times New Roman" w:cs="Times New Roman"/>
          <w:bCs/>
          <w:color w:val="auto"/>
          <w:w w:val="99"/>
          <w:kern w:val="21"/>
          <w:highlight w:val="none"/>
        </w:rPr>
        <w:t>近二十年</w:t>
      </w:r>
      <w:r>
        <w:rPr>
          <w:rFonts w:ascii="Times New Roman" w:hAnsi="Times New Roman" w:cs="Times New Roman"/>
          <w:bCs/>
          <w:color w:val="auto"/>
          <w:w w:val="99"/>
          <w:kern w:val="21"/>
          <w:highlight w:val="none"/>
        </w:rPr>
        <w:t>统计的当地主导风向为轴向，在厂址及主导风向下风向5 km范围内设置 1～2 个监测点。本项目井位多，因此根据区域井位分布特点，本项目共布设</w:t>
      </w:r>
      <w:r>
        <w:rPr>
          <w:rFonts w:hint="eastAsia" w:ascii="Times New Roman" w:hAnsi="Times New Roman" w:cs="Times New Roman"/>
          <w:bCs/>
          <w:color w:val="auto"/>
          <w:w w:val="99"/>
          <w:kern w:val="21"/>
          <w:highlight w:val="none"/>
          <w:lang w:val="en-US" w:eastAsia="zh-CN"/>
        </w:rPr>
        <w:t>2</w:t>
      </w:r>
      <w:r>
        <w:rPr>
          <w:rFonts w:ascii="Times New Roman" w:hAnsi="Times New Roman" w:cs="Times New Roman"/>
          <w:bCs/>
          <w:color w:val="auto"/>
          <w:w w:val="99"/>
          <w:kern w:val="21"/>
          <w:highlight w:val="none"/>
        </w:rPr>
        <w:t>个环境空气监测点位。</w:t>
      </w:r>
    </w:p>
    <w:p w14:paraId="7F2B0EB1">
      <w:pPr>
        <w:widowControl w:val="0"/>
        <w:tabs>
          <w:tab w:val="left" w:pos="5262"/>
        </w:tabs>
        <w:spacing w:line="440" w:lineRule="exact"/>
        <w:ind w:firstLine="474" w:firstLineChars="200"/>
        <w:jc w:val="both"/>
        <w:rPr>
          <w:rFonts w:ascii="Times New Roman" w:hAnsi="Times New Roman" w:cs="Times New Roman"/>
          <w:bCs/>
          <w:color w:val="auto"/>
          <w:w w:val="99"/>
          <w:kern w:val="21"/>
          <w:highlight w:val="none"/>
        </w:rPr>
      </w:pPr>
      <w:r>
        <w:rPr>
          <w:rFonts w:ascii="Times New Roman" w:hAnsi="Times New Roman" w:cs="Times New Roman"/>
          <w:bCs/>
          <w:color w:val="auto"/>
          <w:w w:val="99"/>
          <w:kern w:val="21"/>
          <w:highlight w:val="none"/>
        </w:rPr>
        <w:t>本项目委托大庆中环评价检测有限公司于</w:t>
      </w:r>
      <w:r>
        <w:rPr>
          <w:rFonts w:ascii="Times New Roman" w:hAnsi="Times New Roman" w:cs="Times New Roman"/>
          <w:bCs/>
          <w:color w:val="auto"/>
          <w:w w:val="99"/>
          <w:kern w:val="2"/>
          <w:highlight w:val="none"/>
        </w:rPr>
        <w:t>202</w:t>
      </w:r>
      <w:r>
        <w:rPr>
          <w:rFonts w:hint="eastAsia" w:ascii="Times New Roman" w:hAnsi="Times New Roman" w:cs="Times New Roman"/>
          <w:bCs/>
          <w:color w:val="auto"/>
          <w:w w:val="99"/>
          <w:kern w:val="2"/>
          <w:highlight w:val="none"/>
        </w:rPr>
        <w:t>6</w:t>
      </w:r>
      <w:r>
        <w:rPr>
          <w:rFonts w:ascii="Times New Roman" w:hAnsi="Times New Roman" w:cs="Times New Roman"/>
          <w:bCs/>
          <w:color w:val="auto"/>
          <w:w w:val="99"/>
          <w:kern w:val="2"/>
          <w:highlight w:val="none"/>
        </w:rPr>
        <w:t>年</w:t>
      </w:r>
      <w:r>
        <w:rPr>
          <w:rFonts w:hint="eastAsia" w:ascii="Times New Roman" w:hAnsi="Times New Roman" w:cs="Times New Roman"/>
          <w:bCs/>
          <w:color w:val="auto"/>
          <w:w w:val="99"/>
          <w:kern w:val="2"/>
          <w:highlight w:val="none"/>
        </w:rPr>
        <w:t>06</w:t>
      </w:r>
      <w:r>
        <w:rPr>
          <w:rFonts w:ascii="Times New Roman" w:hAnsi="Times New Roman" w:cs="Times New Roman"/>
          <w:bCs/>
          <w:color w:val="auto"/>
          <w:w w:val="99"/>
          <w:kern w:val="2"/>
          <w:highlight w:val="none"/>
        </w:rPr>
        <w:t>月</w:t>
      </w:r>
      <w:r>
        <w:rPr>
          <w:rFonts w:hint="eastAsia" w:ascii="Times New Roman" w:hAnsi="Times New Roman" w:cs="Times New Roman"/>
          <w:bCs/>
          <w:color w:val="auto"/>
          <w:w w:val="99"/>
          <w:kern w:val="2"/>
          <w:highlight w:val="none"/>
        </w:rPr>
        <w:t>01</w:t>
      </w:r>
      <w:r>
        <w:rPr>
          <w:rFonts w:ascii="Times New Roman" w:hAnsi="Times New Roman" w:cs="Times New Roman"/>
          <w:bCs/>
          <w:color w:val="auto"/>
          <w:w w:val="99"/>
          <w:kern w:val="2"/>
          <w:highlight w:val="none"/>
        </w:rPr>
        <w:t>日-</w:t>
      </w:r>
      <w:r>
        <w:rPr>
          <w:rFonts w:hint="eastAsia" w:ascii="Times New Roman" w:hAnsi="Times New Roman" w:cs="Times New Roman"/>
          <w:bCs/>
          <w:color w:val="auto"/>
          <w:w w:val="99"/>
          <w:kern w:val="2"/>
          <w:highlight w:val="none"/>
        </w:rPr>
        <w:t>06月07</w:t>
      </w:r>
      <w:r>
        <w:rPr>
          <w:rFonts w:ascii="Times New Roman" w:hAnsi="Times New Roman" w:cs="Times New Roman"/>
          <w:bCs/>
          <w:color w:val="auto"/>
          <w:w w:val="99"/>
          <w:kern w:val="2"/>
          <w:highlight w:val="none"/>
        </w:rPr>
        <w:t>日</w:t>
      </w:r>
      <w:r>
        <w:rPr>
          <w:rFonts w:ascii="Times New Roman" w:hAnsi="Times New Roman" w:cs="Times New Roman"/>
          <w:bCs/>
          <w:color w:val="auto"/>
          <w:w w:val="99"/>
          <w:kern w:val="21"/>
          <w:highlight w:val="none"/>
        </w:rPr>
        <w:t>对评价区域特征污染物进行环境质量现状监测，区域特征污染物为非甲烷总烃，具体点位见表</w:t>
      </w:r>
      <w:r>
        <w:rPr>
          <w:rFonts w:ascii="Times New Roman" w:hAnsi="Times New Roman" w:cs="Times New Roman"/>
          <w:color w:val="auto"/>
          <w:w w:val="99"/>
          <w:kern w:val="2"/>
          <w:szCs w:val="20"/>
          <w:highlight w:val="none"/>
        </w:rPr>
        <w:t>4.3-</w:t>
      </w:r>
      <w:r>
        <w:rPr>
          <w:rFonts w:ascii="Times New Roman" w:hAnsi="Times New Roman" w:cs="Times New Roman"/>
          <w:bCs/>
          <w:color w:val="auto"/>
          <w:w w:val="99"/>
          <w:kern w:val="21"/>
          <w:highlight w:val="none"/>
        </w:rPr>
        <w:t>2，现状监测布点见附图</w:t>
      </w:r>
      <w:r>
        <w:rPr>
          <w:rFonts w:hint="eastAsia" w:ascii="Times New Roman" w:hAnsi="Times New Roman" w:cs="Times New Roman"/>
          <w:bCs/>
          <w:color w:val="auto"/>
          <w:w w:val="99"/>
          <w:kern w:val="21"/>
          <w:highlight w:val="none"/>
        </w:rPr>
        <w:t>6-1</w:t>
      </w:r>
      <w:r>
        <w:rPr>
          <w:rFonts w:ascii="Times New Roman" w:hAnsi="Times New Roman" w:cs="Times New Roman"/>
          <w:bCs/>
          <w:color w:val="auto"/>
          <w:w w:val="99"/>
          <w:kern w:val="21"/>
          <w:highlight w:val="none"/>
        </w:rPr>
        <w:t>。</w:t>
      </w:r>
    </w:p>
    <w:p w14:paraId="31DFA366">
      <w:pPr>
        <w:widowControl w:val="0"/>
        <w:tabs>
          <w:tab w:val="left" w:pos="5262"/>
        </w:tabs>
        <w:spacing w:line="440" w:lineRule="exact"/>
        <w:ind w:firstLine="476" w:firstLineChars="200"/>
        <w:jc w:val="both"/>
        <w:rPr>
          <w:rFonts w:ascii="Times New Roman" w:hAnsi="Times New Roman" w:cs="Times New Roman"/>
          <w:b/>
          <w:color w:val="auto"/>
          <w:w w:val="99"/>
          <w:kern w:val="21"/>
          <w:highlight w:val="none"/>
        </w:rPr>
      </w:pPr>
      <w:r>
        <w:rPr>
          <w:rFonts w:ascii="Times New Roman" w:hAnsi="Times New Roman" w:cs="Times New Roman"/>
          <w:b/>
          <w:color w:val="auto"/>
          <w:w w:val="99"/>
          <w:kern w:val="21"/>
          <w:highlight w:val="none"/>
        </w:rPr>
        <w:t>表</w:t>
      </w:r>
      <w:r>
        <w:rPr>
          <w:rFonts w:ascii="Times New Roman" w:hAnsi="Times New Roman" w:cs="Times New Roman"/>
          <w:b/>
          <w:color w:val="auto"/>
          <w:w w:val="99"/>
          <w:kern w:val="2"/>
          <w:szCs w:val="20"/>
          <w:highlight w:val="none"/>
        </w:rPr>
        <w:t>4.3-</w:t>
      </w:r>
      <w:r>
        <w:rPr>
          <w:rFonts w:ascii="Times New Roman" w:hAnsi="Times New Roman" w:cs="Times New Roman"/>
          <w:b/>
          <w:color w:val="auto"/>
          <w:w w:val="99"/>
          <w:kern w:val="21"/>
          <w:highlight w:val="none"/>
        </w:rPr>
        <w:t>2    环境空气现状监测点位</w:t>
      </w:r>
    </w:p>
    <w:tbl>
      <w:tblPr>
        <w:tblStyle w:val="8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1"/>
        <w:gridCol w:w="1701"/>
        <w:gridCol w:w="1134"/>
        <w:gridCol w:w="997"/>
        <w:gridCol w:w="845"/>
        <w:gridCol w:w="1134"/>
        <w:gridCol w:w="1418"/>
        <w:gridCol w:w="1410"/>
      </w:tblGrid>
      <w:tr w14:paraId="2371A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21" w:type="dxa"/>
            <w:vMerge w:val="restart"/>
            <w:vAlign w:val="center"/>
          </w:tcPr>
          <w:p w14:paraId="6B8C46B6">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序号</w:t>
            </w:r>
          </w:p>
        </w:tc>
        <w:tc>
          <w:tcPr>
            <w:tcW w:w="1701" w:type="dxa"/>
            <w:vMerge w:val="restart"/>
            <w:vAlign w:val="center"/>
          </w:tcPr>
          <w:p w14:paraId="7F8198F8">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监测点名称</w:t>
            </w:r>
          </w:p>
        </w:tc>
        <w:tc>
          <w:tcPr>
            <w:tcW w:w="2131" w:type="dxa"/>
            <w:gridSpan w:val="2"/>
            <w:vAlign w:val="center"/>
          </w:tcPr>
          <w:p w14:paraId="29D64ED1">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监测点坐标</w:t>
            </w:r>
          </w:p>
        </w:tc>
        <w:tc>
          <w:tcPr>
            <w:tcW w:w="845" w:type="dxa"/>
            <w:vMerge w:val="restart"/>
            <w:vAlign w:val="center"/>
          </w:tcPr>
          <w:p w14:paraId="1D9A70FC">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监测因子</w:t>
            </w:r>
          </w:p>
        </w:tc>
        <w:tc>
          <w:tcPr>
            <w:tcW w:w="1134" w:type="dxa"/>
            <w:vMerge w:val="restart"/>
            <w:vAlign w:val="center"/>
          </w:tcPr>
          <w:p w14:paraId="48ED2AD8">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监测时段</w:t>
            </w:r>
          </w:p>
        </w:tc>
        <w:tc>
          <w:tcPr>
            <w:tcW w:w="1418" w:type="dxa"/>
            <w:vMerge w:val="restart"/>
            <w:vAlign w:val="center"/>
          </w:tcPr>
          <w:p w14:paraId="4D917C41">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相对厂址方位</w:t>
            </w:r>
          </w:p>
        </w:tc>
        <w:tc>
          <w:tcPr>
            <w:tcW w:w="1410" w:type="dxa"/>
            <w:vMerge w:val="restart"/>
            <w:vAlign w:val="center"/>
          </w:tcPr>
          <w:p w14:paraId="6158B702">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相对厂界距离（m）</w:t>
            </w:r>
          </w:p>
        </w:tc>
      </w:tr>
      <w:tr w14:paraId="538DC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8" w:hRule="atLeast"/>
        </w:trPr>
        <w:tc>
          <w:tcPr>
            <w:tcW w:w="421" w:type="dxa"/>
            <w:vMerge w:val="continue"/>
            <w:vAlign w:val="center"/>
          </w:tcPr>
          <w:p w14:paraId="5A6F7C6A">
            <w:pPr>
              <w:widowControl w:val="0"/>
              <w:spacing w:line="360" w:lineRule="exact"/>
              <w:jc w:val="center"/>
              <w:rPr>
                <w:rFonts w:ascii="Times New Roman" w:hAnsi="Times New Roman" w:cs="Times New Roman" w:eastAsiaTheme="minorEastAsia"/>
                <w:color w:val="auto"/>
                <w:w w:val="99"/>
                <w:kern w:val="21"/>
                <w:sz w:val="21"/>
                <w:szCs w:val="21"/>
                <w:highlight w:val="none"/>
              </w:rPr>
            </w:pPr>
          </w:p>
        </w:tc>
        <w:tc>
          <w:tcPr>
            <w:tcW w:w="1701" w:type="dxa"/>
            <w:vMerge w:val="continue"/>
            <w:vAlign w:val="center"/>
          </w:tcPr>
          <w:p w14:paraId="0204D1CB">
            <w:pPr>
              <w:widowControl w:val="0"/>
              <w:spacing w:line="360" w:lineRule="exact"/>
              <w:jc w:val="center"/>
              <w:rPr>
                <w:rFonts w:ascii="Times New Roman" w:hAnsi="Times New Roman" w:cs="Times New Roman" w:eastAsiaTheme="minorEastAsia"/>
                <w:color w:val="auto"/>
                <w:w w:val="99"/>
                <w:kern w:val="21"/>
                <w:sz w:val="21"/>
                <w:szCs w:val="21"/>
                <w:highlight w:val="none"/>
              </w:rPr>
            </w:pPr>
          </w:p>
        </w:tc>
        <w:tc>
          <w:tcPr>
            <w:tcW w:w="1134" w:type="dxa"/>
            <w:vAlign w:val="center"/>
          </w:tcPr>
          <w:p w14:paraId="0DF0FFB6">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经度</w:t>
            </w:r>
          </w:p>
        </w:tc>
        <w:tc>
          <w:tcPr>
            <w:tcW w:w="997" w:type="dxa"/>
            <w:vAlign w:val="center"/>
          </w:tcPr>
          <w:p w14:paraId="718EADFA">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纬度</w:t>
            </w:r>
          </w:p>
        </w:tc>
        <w:tc>
          <w:tcPr>
            <w:tcW w:w="845" w:type="dxa"/>
            <w:vMerge w:val="continue"/>
            <w:vAlign w:val="center"/>
          </w:tcPr>
          <w:p w14:paraId="09B53DE5">
            <w:pPr>
              <w:widowControl w:val="0"/>
              <w:spacing w:line="360" w:lineRule="exact"/>
              <w:jc w:val="center"/>
              <w:rPr>
                <w:rFonts w:ascii="Times New Roman" w:hAnsi="Times New Roman" w:cs="Times New Roman" w:eastAsiaTheme="minorEastAsia"/>
                <w:color w:val="auto"/>
                <w:w w:val="99"/>
                <w:kern w:val="21"/>
                <w:sz w:val="21"/>
                <w:szCs w:val="21"/>
                <w:highlight w:val="none"/>
              </w:rPr>
            </w:pPr>
          </w:p>
        </w:tc>
        <w:tc>
          <w:tcPr>
            <w:tcW w:w="1134" w:type="dxa"/>
            <w:vMerge w:val="continue"/>
            <w:vAlign w:val="center"/>
          </w:tcPr>
          <w:p w14:paraId="0914273A">
            <w:pPr>
              <w:widowControl w:val="0"/>
              <w:spacing w:line="360" w:lineRule="exact"/>
              <w:jc w:val="center"/>
              <w:rPr>
                <w:rFonts w:ascii="Times New Roman" w:hAnsi="Times New Roman" w:cs="Times New Roman" w:eastAsiaTheme="minorEastAsia"/>
                <w:color w:val="auto"/>
                <w:w w:val="99"/>
                <w:kern w:val="21"/>
                <w:sz w:val="21"/>
                <w:szCs w:val="21"/>
                <w:highlight w:val="none"/>
              </w:rPr>
            </w:pPr>
          </w:p>
        </w:tc>
        <w:tc>
          <w:tcPr>
            <w:tcW w:w="1418" w:type="dxa"/>
            <w:vMerge w:val="continue"/>
            <w:vAlign w:val="center"/>
          </w:tcPr>
          <w:p w14:paraId="653195EA">
            <w:pPr>
              <w:widowControl w:val="0"/>
              <w:spacing w:line="360" w:lineRule="exact"/>
              <w:jc w:val="center"/>
              <w:rPr>
                <w:rFonts w:ascii="Times New Roman" w:hAnsi="Times New Roman" w:cs="Times New Roman" w:eastAsiaTheme="minorEastAsia"/>
                <w:color w:val="auto"/>
                <w:w w:val="99"/>
                <w:kern w:val="21"/>
                <w:sz w:val="21"/>
                <w:szCs w:val="21"/>
                <w:highlight w:val="none"/>
              </w:rPr>
            </w:pPr>
          </w:p>
        </w:tc>
        <w:tc>
          <w:tcPr>
            <w:tcW w:w="1410" w:type="dxa"/>
            <w:vMerge w:val="continue"/>
            <w:vAlign w:val="center"/>
          </w:tcPr>
          <w:p w14:paraId="3A51148A">
            <w:pPr>
              <w:widowControl w:val="0"/>
              <w:spacing w:line="360" w:lineRule="exact"/>
              <w:jc w:val="center"/>
              <w:rPr>
                <w:rFonts w:ascii="Times New Roman" w:hAnsi="Times New Roman" w:cs="Times New Roman" w:eastAsiaTheme="minorEastAsia"/>
                <w:color w:val="auto"/>
                <w:w w:val="99"/>
                <w:kern w:val="21"/>
                <w:sz w:val="21"/>
                <w:szCs w:val="21"/>
                <w:highlight w:val="none"/>
              </w:rPr>
            </w:pPr>
          </w:p>
        </w:tc>
      </w:tr>
      <w:tr w14:paraId="665A7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21" w:type="dxa"/>
            <w:noWrap/>
            <w:vAlign w:val="center"/>
          </w:tcPr>
          <w:p w14:paraId="01050A93">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1</w:t>
            </w:r>
          </w:p>
        </w:tc>
        <w:tc>
          <w:tcPr>
            <w:tcW w:w="1701" w:type="dxa"/>
            <w:noWrap/>
            <w:vAlign w:val="center"/>
          </w:tcPr>
          <w:p w14:paraId="3973565C">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拟建徐深27-H1井井场</w:t>
            </w:r>
          </w:p>
        </w:tc>
        <w:tc>
          <w:tcPr>
            <w:tcW w:w="1134" w:type="dxa"/>
            <w:vAlign w:val="center"/>
          </w:tcPr>
          <w:p w14:paraId="18C4E0AA">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125.50852</w:t>
            </w:r>
          </w:p>
        </w:tc>
        <w:tc>
          <w:tcPr>
            <w:tcW w:w="997" w:type="dxa"/>
            <w:vAlign w:val="center"/>
          </w:tcPr>
          <w:p w14:paraId="53EBA582">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45.89313</w:t>
            </w:r>
          </w:p>
        </w:tc>
        <w:tc>
          <w:tcPr>
            <w:tcW w:w="845" w:type="dxa"/>
            <w:vMerge w:val="restart"/>
            <w:noWrap/>
            <w:vAlign w:val="center"/>
          </w:tcPr>
          <w:p w14:paraId="12395E92">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 xml:space="preserve">非甲烷总烃 </w:t>
            </w:r>
          </w:p>
        </w:tc>
        <w:tc>
          <w:tcPr>
            <w:tcW w:w="1134" w:type="dxa"/>
            <w:vMerge w:val="restart"/>
            <w:noWrap/>
            <w:vAlign w:val="center"/>
          </w:tcPr>
          <w:p w14:paraId="3DEDC18F">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2026.06.01-2026.06.07</w:t>
            </w:r>
          </w:p>
        </w:tc>
        <w:tc>
          <w:tcPr>
            <w:tcW w:w="1418" w:type="dxa"/>
            <w:noWrap/>
            <w:vAlign w:val="center"/>
          </w:tcPr>
          <w:p w14:paraId="65275F77">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拟建井场</w:t>
            </w:r>
          </w:p>
        </w:tc>
        <w:tc>
          <w:tcPr>
            <w:tcW w:w="1410" w:type="dxa"/>
            <w:noWrap/>
            <w:vAlign w:val="center"/>
          </w:tcPr>
          <w:p w14:paraId="3286543D">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w:t>
            </w:r>
          </w:p>
        </w:tc>
      </w:tr>
      <w:tr w14:paraId="635B7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21" w:type="dxa"/>
            <w:noWrap/>
            <w:vAlign w:val="center"/>
          </w:tcPr>
          <w:p w14:paraId="3703C526">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2</w:t>
            </w:r>
          </w:p>
        </w:tc>
        <w:tc>
          <w:tcPr>
            <w:tcW w:w="1701" w:type="dxa"/>
            <w:noWrap/>
            <w:vAlign w:val="center"/>
          </w:tcPr>
          <w:p w14:paraId="26AF226A">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邢家围子屯</w:t>
            </w:r>
          </w:p>
        </w:tc>
        <w:tc>
          <w:tcPr>
            <w:tcW w:w="1134" w:type="dxa"/>
            <w:vAlign w:val="center"/>
          </w:tcPr>
          <w:p w14:paraId="27C80DA8">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125.51307</w:t>
            </w:r>
          </w:p>
        </w:tc>
        <w:tc>
          <w:tcPr>
            <w:tcW w:w="997" w:type="dxa"/>
            <w:vAlign w:val="center"/>
          </w:tcPr>
          <w:p w14:paraId="40C0B502">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45.89453</w:t>
            </w:r>
          </w:p>
        </w:tc>
        <w:tc>
          <w:tcPr>
            <w:tcW w:w="845" w:type="dxa"/>
            <w:vMerge w:val="continue"/>
            <w:noWrap/>
            <w:vAlign w:val="center"/>
          </w:tcPr>
          <w:p w14:paraId="3BECD270">
            <w:pPr>
              <w:widowControl w:val="0"/>
              <w:spacing w:line="360" w:lineRule="exact"/>
              <w:jc w:val="center"/>
              <w:rPr>
                <w:rFonts w:ascii="Times New Roman" w:hAnsi="Times New Roman" w:cs="Times New Roman" w:eastAsiaTheme="minorEastAsia"/>
                <w:color w:val="auto"/>
                <w:w w:val="99"/>
                <w:kern w:val="21"/>
                <w:sz w:val="21"/>
                <w:szCs w:val="21"/>
                <w:highlight w:val="none"/>
              </w:rPr>
            </w:pPr>
          </w:p>
        </w:tc>
        <w:tc>
          <w:tcPr>
            <w:tcW w:w="1134" w:type="dxa"/>
            <w:vMerge w:val="continue"/>
            <w:noWrap/>
            <w:vAlign w:val="center"/>
          </w:tcPr>
          <w:p w14:paraId="0751DBD2">
            <w:pPr>
              <w:widowControl w:val="0"/>
              <w:spacing w:line="360" w:lineRule="exact"/>
              <w:jc w:val="center"/>
              <w:rPr>
                <w:rFonts w:ascii="Times New Roman" w:hAnsi="Times New Roman" w:cs="Times New Roman" w:eastAsiaTheme="minorEastAsia"/>
                <w:color w:val="auto"/>
                <w:w w:val="99"/>
                <w:kern w:val="21"/>
                <w:sz w:val="21"/>
                <w:szCs w:val="21"/>
                <w:highlight w:val="none"/>
              </w:rPr>
            </w:pPr>
          </w:p>
        </w:tc>
        <w:tc>
          <w:tcPr>
            <w:tcW w:w="1418" w:type="dxa"/>
            <w:noWrap/>
            <w:vAlign w:val="center"/>
          </w:tcPr>
          <w:p w14:paraId="6A6AC58D">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徐深27-H1井东南</w:t>
            </w:r>
          </w:p>
        </w:tc>
        <w:tc>
          <w:tcPr>
            <w:tcW w:w="1410" w:type="dxa"/>
            <w:noWrap/>
            <w:vAlign w:val="center"/>
          </w:tcPr>
          <w:p w14:paraId="1D29B041">
            <w:pPr>
              <w:widowControl w:val="0"/>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450</w:t>
            </w:r>
          </w:p>
        </w:tc>
      </w:tr>
    </w:tbl>
    <w:p w14:paraId="46A51EA0">
      <w:pPr>
        <w:widowControl w:val="0"/>
        <w:spacing w:line="440" w:lineRule="exact"/>
        <w:ind w:firstLine="474" w:firstLineChars="200"/>
        <w:jc w:val="both"/>
        <w:rPr>
          <w:rFonts w:ascii="Times New Roman" w:hAnsi="Times New Roman" w:cs="Times New Roman"/>
          <w:color w:val="auto"/>
          <w:w w:val="99"/>
          <w:szCs w:val="28"/>
          <w:highlight w:val="none"/>
        </w:rPr>
      </w:pPr>
      <w:r>
        <w:rPr>
          <w:rFonts w:ascii="Times New Roman" w:hAnsi="Times New Roman" w:cs="Times New Roman"/>
          <w:color w:val="auto"/>
          <w:w w:val="99"/>
          <w:szCs w:val="28"/>
          <w:highlight w:val="none"/>
        </w:rPr>
        <w:t>（2）监测项目</w:t>
      </w:r>
    </w:p>
    <w:p w14:paraId="4794C9D9">
      <w:pPr>
        <w:widowControl w:val="0"/>
        <w:spacing w:line="440" w:lineRule="exact"/>
        <w:ind w:firstLine="474" w:firstLineChars="200"/>
        <w:jc w:val="both"/>
        <w:rPr>
          <w:rFonts w:ascii="Times New Roman" w:hAnsi="Times New Roman" w:cs="Times New Roman"/>
          <w:color w:val="auto"/>
          <w:w w:val="99"/>
          <w:szCs w:val="28"/>
          <w:highlight w:val="none"/>
        </w:rPr>
      </w:pPr>
      <w:r>
        <w:rPr>
          <w:rFonts w:ascii="Times New Roman" w:hAnsi="Times New Roman" w:cs="Times New Roman"/>
          <w:color w:val="auto"/>
          <w:w w:val="99"/>
          <w:szCs w:val="28"/>
          <w:highlight w:val="none"/>
        </w:rPr>
        <w:t>根据当地的环境空气质量特征，结合本项目大气污染物排放特点，确定环境空气质量监测因子为</w:t>
      </w:r>
      <w:r>
        <w:rPr>
          <w:rFonts w:ascii="Times New Roman" w:hAnsi="Times New Roman" w:cs="Times New Roman"/>
          <w:bCs/>
          <w:color w:val="auto"/>
          <w:w w:val="99"/>
          <w:szCs w:val="28"/>
          <w:highlight w:val="none"/>
        </w:rPr>
        <w:t>非甲烷总烃</w:t>
      </w:r>
      <w:r>
        <w:rPr>
          <w:rFonts w:ascii="Times New Roman" w:hAnsi="Times New Roman" w:cs="Times New Roman"/>
          <w:color w:val="auto"/>
          <w:w w:val="99"/>
          <w:szCs w:val="28"/>
          <w:highlight w:val="none"/>
        </w:rPr>
        <w:t>。</w:t>
      </w:r>
    </w:p>
    <w:p w14:paraId="32106EFD">
      <w:pPr>
        <w:widowControl w:val="0"/>
        <w:spacing w:line="440" w:lineRule="exact"/>
        <w:ind w:firstLine="474" w:firstLineChars="200"/>
        <w:jc w:val="both"/>
        <w:rPr>
          <w:rFonts w:ascii="Times New Roman" w:hAnsi="Times New Roman" w:cs="Times New Roman"/>
          <w:color w:val="auto"/>
          <w:w w:val="99"/>
          <w:szCs w:val="28"/>
          <w:highlight w:val="none"/>
        </w:rPr>
      </w:pPr>
      <w:r>
        <w:rPr>
          <w:rFonts w:ascii="Times New Roman" w:hAnsi="Times New Roman" w:cs="Times New Roman"/>
          <w:color w:val="auto"/>
          <w:w w:val="99"/>
          <w:szCs w:val="28"/>
          <w:highlight w:val="none"/>
        </w:rPr>
        <w:t>（3）监测频次</w:t>
      </w:r>
    </w:p>
    <w:p w14:paraId="3B7E9BA1">
      <w:pPr>
        <w:widowControl w:val="0"/>
        <w:spacing w:line="440" w:lineRule="exact"/>
        <w:ind w:firstLine="474" w:firstLineChars="200"/>
        <w:jc w:val="both"/>
        <w:rPr>
          <w:rFonts w:ascii="Times New Roman" w:hAnsi="Times New Roman" w:cs="Times New Roman"/>
          <w:bCs/>
          <w:color w:val="auto"/>
          <w:w w:val="99"/>
          <w:szCs w:val="28"/>
          <w:highlight w:val="none"/>
        </w:rPr>
      </w:pPr>
      <w:r>
        <w:rPr>
          <w:rFonts w:ascii="Times New Roman" w:hAnsi="Times New Roman" w:cs="Times New Roman"/>
          <w:bCs/>
          <w:color w:val="auto"/>
          <w:w w:val="99"/>
          <w:szCs w:val="28"/>
          <w:highlight w:val="none"/>
        </w:rPr>
        <w:t>连续监测七天</w:t>
      </w:r>
      <w:r>
        <w:rPr>
          <w:rFonts w:hint="eastAsia" w:ascii="Times New Roman" w:hAnsi="Times New Roman" w:cs="Times New Roman"/>
          <w:bCs/>
          <w:color w:val="auto"/>
          <w:w w:val="99"/>
          <w:szCs w:val="28"/>
          <w:highlight w:val="none"/>
        </w:rPr>
        <w:t>，非甲烷总烃</w:t>
      </w:r>
      <w:r>
        <w:rPr>
          <w:rFonts w:ascii="Times New Roman" w:hAnsi="Times New Roman" w:cs="Times New Roman"/>
          <w:bCs/>
          <w:color w:val="auto"/>
          <w:w w:val="99"/>
          <w:szCs w:val="28"/>
          <w:highlight w:val="none"/>
        </w:rPr>
        <w:t>每天取4次小时浓度值</w:t>
      </w:r>
      <w:r>
        <w:rPr>
          <w:rFonts w:hint="eastAsia" w:ascii="Times New Roman" w:hAnsi="Times New Roman" w:cs="Times New Roman"/>
          <w:bCs/>
          <w:color w:val="auto"/>
          <w:w w:val="99"/>
          <w:szCs w:val="28"/>
          <w:highlight w:val="none"/>
        </w:rPr>
        <w:t>，甲醇取</w:t>
      </w:r>
      <w:r>
        <w:rPr>
          <w:rFonts w:ascii="Times New Roman" w:hAnsi="Times New Roman" w:cs="Times New Roman"/>
          <w:bCs/>
          <w:color w:val="auto"/>
          <w:w w:val="99"/>
          <w:szCs w:val="28"/>
          <w:highlight w:val="none"/>
        </w:rPr>
        <w:t>4次</w:t>
      </w:r>
      <w:r>
        <w:rPr>
          <w:rFonts w:hint="eastAsia" w:ascii="Times New Roman" w:hAnsi="Times New Roman" w:cs="Times New Roman"/>
          <w:bCs/>
          <w:color w:val="auto"/>
          <w:w w:val="99"/>
          <w:szCs w:val="28"/>
          <w:highlight w:val="none"/>
        </w:rPr>
        <w:t>小时值</w:t>
      </w:r>
      <w:r>
        <w:rPr>
          <w:rFonts w:ascii="Times New Roman" w:hAnsi="Times New Roman" w:cs="Times New Roman"/>
          <w:bCs/>
          <w:color w:val="auto"/>
          <w:w w:val="99"/>
          <w:szCs w:val="28"/>
          <w:highlight w:val="none"/>
        </w:rPr>
        <w:t>。</w:t>
      </w:r>
    </w:p>
    <w:p w14:paraId="0325406A">
      <w:pPr>
        <w:widowControl w:val="0"/>
        <w:spacing w:line="440" w:lineRule="exact"/>
        <w:ind w:firstLine="474" w:firstLineChars="200"/>
        <w:jc w:val="both"/>
        <w:rPr>
          <w:rFonts w:ascii="Times New Roman" w:hAnsi="Times New Roman" w:cs="Times New Roman" w:eastAsiaTheme="minorEastAsia"/>
          <w:color w:val="auto"/>
          <w:w w:val="99"/>
          <w:szCs w:val="28"/>
          <w:highlight w:val="none"/>
        </w:rPr>
      </w:pPr>
      <w:r>
        <w:rPr>
          <w:rFonts w:ascii="Times New Roman" w:hAnsi="Times New Roman" w:cs="Times New Roman" w:eastAsiaTheme="minorEastAsia"/>
          <w:color w:val="auto"/>
          <w:w w:val="99"/>
          <w:szCs w:val="28"/>
          <w:highlight w:val="none"/>
        </w:rPr>
        <w:t>（4）评价方法</w:t>
      </w:r>
    </w:p>
    <w:p w14:paraId="4724DC94">
      <w:pPr>
        <w:widowControl w:val="0"/>
        <w:spacing w:line="440" w:lineRule="exact"/>
        <w:ind w:firstLine="474" w:firstLineChars="200"/>
        <w:jc w:val="both"/>
        <w:rPr>
          <w:rFonts w:ascii="Times New Roman" w:hAnsi="Times New Roman" w:cs="Times New Roman" w:eastAsiaTheme="minorEastAsia"/>
          <w:color w:val="auto"/>
          <w:w w:val="99"/>
          <w:szCs w:val="28"/>
          <w:highlight w:val="none"/>
        </w:rPr>
      </w:pPr>
      <w:r>
        <w:rPr>
          <w:rFonts w:ascii="Times New Roman" w:hAnsi="Times New Roman" w:cs="Times New Roman" w:eastAsiaTheme="minorEastAsia"/>
          <w:color w:val="auto"/>
          <w:w w:val="99"/>
          <w:szCs w:val="28"/>
          <w:highlight w:val="none"/>
        </w:rPr>
        <w:t>评价采用最大浓度占标率法，利用各监测点监测数据，统计各类污染物浓度范围、最大浓度占标率、最大超标倍数。数学表达式如下：</w:t>
      </w:r>
    </w:p>
    <w:p w14:paraId="6C2EEAD7">
      <w:pPr>
        <w:widowControl w:val="0"/>
        <w:spacing w:line="440" w:lineRule="exact"/>
        <w:ind w:firstLine="474" w:firstLineChars="200"/>
        <w:jc w:val="center"/>
        <w:rPr>
          <w:rFonts w:ascii="Times New Roman" w:hAnsi="Times New Roman" w:cs="Times New Roman" w:eastAsiaTheme="minorEastAsia"/>
          <w:color w:val="auto"/>
          <w:w w:val="99"/>
          <w:szCs w:val="28"/>
          <w:highlight w:val="none"/>
        </w:rPr>
      </w:pPr>
      <w:r>
        <w:rPr>
          <w:rFonts w:ascii="Times New Roman" w:hAnsi="Times New Roman" w:cs="Times New Roman" w:eastAsiaTheme="minorEastAsia"/>
          <w:color w:val="auto"/>
          <w:w w:val="99"/>
          <w:szCs w:val="28"/>
          <w:highlight w:val="none"/>
        </w:rPr>
        <w:t>I</w:t>
      </w:r>
      <w:r>
        <w:rPr>
          <w:rFonts w:ascii="Times New Roman" w:hAnsi="Times New Roman" w:cs="Times New Roman" w:eastAsiaTheme="minorEastAsia"/>
          <w:color w:val="auto"/>
          <w:w w:val="99"/>
          <w:szCs w:val="28"/>
          <w:highlight w:val="none"/>
          <w:vertAlign w:val="subscript"/>
        </w:rPr>
        <w:t>i</w:t>
      </w:r>
      <w:r>
        <w:rPr>
          <w:rFonts w:ascii="Times New Roman" w:hAnsi="Times New Roman" w:cs="Times New Roman" w:eastAsiaTheme="minorEastAsia"/>
          <w:color w:val="auto"/>
          <w:w w:val="99"/>
          <w:szCs w:val="28"/>
          <w:highlight w:val="none"/>
        </w:rPr>
        <w:t>＝C</w:t>
      </w:r>
      <w:r>
        <w:rPr>
          <w:rFonts w:ascii="Times New Roman" w:hAnsi="Times New Roman" w:cs="Times New Roman" w:eastAsiaTheme="minorEastAsia"/>
          <w:color w:val="auto"/>
          <w:w w:val="99"/>
          <w:szCs w:val="28"/>
          <w:highlight w:val="none"/>
          <w:vertAlign w:val="subscript"/>
        </w:rPr>
        <w:t>i</w:t>
      </w:r>
      <w:r>
        <w:rPr>
          <w:rFonts w:ascii="Times New Roman" w:hAnsi="Times New Roman" w:cs="Times New Roman" w:eastAsiaTheme="minorEastAsia"/>
          <w:color w:val="auto"/>
          <w:w w:val="99"/>
          <w:szCs w:val="28"/>
          <w:highlight w:val="none"/>
        </w:rPr>
        <w:t>/C</w:t>
      </w:r>
      <w:r>
        <w:rPr>
          <w:rFonts w:ascii="Times New Roman" w:hAnsi="Times New Roman" w:cs="Times New Roman" w:eastAsiaTheme="minorEastAsia"/>
          <w:color w:val="auto"/>
          <w:w w:val="99"/>
          <w:szCs w:val="28"/>
          <w:highlight w:val="none"/>
          <w:vertAlign w:val="subscript"/>
        </w:rPr>
        <w:t>oi</w:t>
      </w:r>
      <w:r>
        <w:rPr>
          <w:rFonts w:ascii="Times New Roman" w:hAnsi="Times New Roman" w:cs="Times New Roman" w:eastAsiaTheme="minorEastAsia"/>
          <w:color w:val="auto"/>
          <w:w w:val="99"/>
          <w:szCs w:val="28"/>
          <w:highlight w:val="none"/>
        </w:rPr>
        <w:t>×100%</w:t>
      </w:r>
    </w:p>
    <w:p w14:paraId="5EF4191D">
      <w:pPr>
        <w:widowControl w:val="0"/>
        <w:spacing w:line="440" w:lineRule="exact"/>
        <w:ind w:firstLine="474" w:firstLineChars="200"/>
        <w:jc w:val="both"/>
        <w:rPr>
          <w:rFonts w:ascii="Times New Roman" w:hAnsi="Times New Roman" w:cs="Times New Roman" w:eastAsiaTheme="minorEastAsia"/>
          <w:color w:val="auto"/>
          <w:w w:val="99"/>
          <w:szCs w:val="28"/>
          <w:highlight w:val="none"/>
        </w:rPr>
      </w:pPr>
      <w:r>
        <w:rPr>
          <w:rFonts w:ascii="Times New Roman" w:hAnsi="Times New Roman" w:cs="Times New Roman" w:eastAsiaTheme="minorEastAsia"/>
          <w:color w:val="auto"/>
          <w:w w:val="99"/>
          <w:szCs w:val="28"/>
          <w:highlight w:val="none"/>
        </w:rPr>
        <w:t>式中：I</w:t>
      </w:r>
      <w:r>
        <w:rPr>
          <w:rFonts w:ascii="Times New Roman" w:hAnsi="Times New Roman" w:cs="Times New Roman" w:eastAsiaTheme="minorEastAsia"/>
          <w:color w:val="auto"/>
          <w:w w:val="99"/>
          <w:szCs w:val="28"/>
          <w:highlight w:val="none"/>
          <w:vertAlign w:val="subscript"/>
        </w:rPr>
        <w:t>i</w:t>
      </w:r>
      <w:r>
        <w:rPr>
          <w:rFonts w:ascii="Times New Roman" w:hAnsi="Times New Roman" w:cs="Times New Roman" w:eastAsiaTheme="minorEastAsia"/>
          <w:color w:val="auto"/>
          <w:w w:val="99"/>
          <w:szCs w:val="28"/>
          <w:highlight w:val="none"/>
        </w:rPr>
        <w:t>—第i种污染物的最大浓度占标率，%；</w:t>
      </w:r>
    </w:p>
    <w:p w14:paraId="557453A9">
      <w:pPr>
        <w:widowControl w:val="0"/>
        <w:spacing w:line="440" w:lineRule="exact"/>
        <w:ind w:firstLine="474" w:firstLineChars="200"/>
        <w:jc w:val="both"/>
        <w:rPr>
          <w:rFonts w:ascii="Times New Roman" w:hAnsi="Times New Roman" w:cs="Times New Roman" w:eastAsiaTheme="minorEastAsia"/>
          <w:color w:val="auto"/>
          <w:w w:val="99"/>
          <w:szCs w:val="28"/>
          <w:highlight w:val="none"/>
        </w:rPr>
      </w:pPr>
      <w:r>
        <w:rPr>
          <w:rFonts w:ascii="Times New Roman" w:hAnsi="Times New Roman" w:cs="Times New Roman" w:eastAsiaTheme="minorEastAsia"/>
          <w:color w:val="auto"/>
          <w:w w:val="99"/>
          <w:szCs w:val="28"/>
          <w:highlight w:val="none"/>
        </w:rPr>
        <w:t xml:space="preserve">      C</w:t>
      </w:r>
      <w:r>
        <w:rPr>
          <w:rFonts w:ascii="Times New Roman" w:hAnsi="Times New Roman" w:cs="Times New Roman" w:eastAsiaTheme="minorEastAsia"/>
          <w:color w:val="auto"/>
          <w:w w:val="99"/>
          <w:szCs w:val="28"/>
          <w:highlight w:val="none"/>
          <w:vertAlign w:val="subscript"/>
        </w:rPr>
        <w:t>i</w:t>
      </w:r>
      <w:r>
        <w:rPr>
          <w:rFonts w:ascii="Times New Roman" w:hAnsi="Times New Roman" w:cs="Times New Roman" w:eastAsiaTheme="minorEastAsia"/>
          <w:color w:val="auto"/>
          <w:w w:val="99"/>
          <w:szCs w:val="28"/>
          <w:highlight w:val="none"/>
        </w:rPr>
        <w:t>—第i种污染物平均浓度，mg/m</w:t>
      </w:r>
      <w:r>
        <w:rPr>
          <w:rFonts w:ascii="Times New Roman" w:hAnsi="Times New Roman" w:cs="Times New Roman" w:eastAsiaTheme="minorEastAsia"/>
          <w:color w:val="auto"/>
          <w:w w:val="99"/>
          <w:szCs w:val="28"/>
          <w:highlight w:val="none"/>
          <w:vertAlign w:val="superscript"/>
        </w:rPr>
        <w:t>3</w:t>
      </w:r>
      <w:r>
        <w:rPr>
          <w:rFonts w:ascii="Times New Roman" w:hAnsi="Times New Roman" w:cs="Times New Roman" w:eastAsiaTheme="minorEastAsia"/>
          <w:color w:val="auto"/>
          <w:w w:val="99"/>
          <w:szCs w:val="28"/>
          <w:highlight w:val="none"/>
        </w:rPr>
        <w:t>；</w:t>
      </w:r>
    </w:p>
    <w:p w14:paraId="6ABA6A56">
      <w:pPr>
        <w:widowControl w:val="0"/>
        <w:spacing w:line="440" w:lineRule="exact"/>
        <w:ind w:firstLine="474" w:firstLineChars="200"/>
        <w:jc w:val="both"/>
        <w:rPr>
          <w:rFonts w:ascii="Times New Roman" w:hAnsi="Times New Roman" w:cs="Times New Roman" w:eastAsiaTheme="minorEastAsia"/>
          <w:color w:val="auto"/>
          <w:w w:val="99"/>
          <w:szCs w:val="28"/>
          <w:highlight w:val="none"/>
        </w:rPr>
      </w:pPr>
      <w:r>
        <w:rPr>
          <w:rFonts w:ascii="Times New Roman" w:hAnsi="Times New Roman" w:cs="Times New Roman" w:eastAsiaTheme="minorEastAsia"/>
          <w:color w:val="auto"/>
          <w:w w:val="99"/>
          <w:szCs w:val="28"/>
          <w:highlight w:val="none"/>
        </w:rPr>
        <w:t xml:space="preserve">      C</w:t>
      </w:r>
      <w:r>
        <w:rPr>
          <w:rFonts w:ascii="Times New Roman" w:hAnsi="Times New Roman" w:cs="Times New Roman" w:eastAsiaTheme="minorEastAsia"/>
          <w:color w:val="auto"/>
          <w:w w:val="99"/>
          <w:szCs w:val="28"/>
          <w:highlight w:val="none"/>
          <w:vertAlign w:val="subscript"/>
        </w:rPr>
        <w:t>0i</w:t>
      </w:r>
      <w:r>
        <w:rPr>
          <w:rFonts w:ascii="Times New Roman" w:hAnsi="Times New Roman" w:cs="Times New Roman" w:eastAsiaTheme="minorEastAsia"/>
          <w:color w:val="auto"/>
          <w:w w:val="99"/>
          <w:szCs w:val="28"/>
          <w:highlight w:val="none"/>
        </w:rPr>
        <w:t>—第i种污染物环境质量标准，mg/m</w:t>
      </w:r>
      <w:r>
        <w:rPr>
          <w:rFonts w:ascii="Times New Roman" w:hAnsi="Times New Roman" w:cs="Times New Roman" w:eastAsiaTheme="minorEastAsia"/>
          <w:color w:val="auto"/>
          <w:w w:val="99"/>
          <w:szCs w:val="28"/>
          <w:highlight w:val="none"/>
          <w:vertAlign w:val="superscript"/>
        </w:rPr>
        <w:t>3</w:t>
      </w:r>
      <w:r>
        <w:rPr>
          <w:rFonts w:ascii="Times New Roman" w:hAnsi="Times New Roman" w:cs="Times New Roman" w:eastAsiaTheme="minorEastAsia"/>
          <w:color w:val="auto"/>
          <w:w w:val="99"/>
          <w:szCs w:val="28"/>
          <w:highlight w:val="none"/>
        </w:rPr>
        <w:t>。</w:t>
      </w:r>
    </w:p>
    <w:p w14:paraId="0C8E4D52">
      <w:pPr>
        <w:widowControl w:val="0"/>
        <w:spacing w:line="440" w:lineRule="exact"/>
        <w:ind w:firstLine="474" w:firstLineChars="200"/>
        <w:jc w:val="both"/>
        <w:rPr>
          <w:rFonts w:ascii="Times New Roman" w:hAnsi="Times New Roman" w:cs="Times New Roman" w:eastAsiaTheme="minorEastAsia"/>
          <w:color w:val="auto"/>
          <w:w w:val="99"/>
          <w:szCs w:val="28"/>
          <w:highlight w:val="none"/>
        </w:rPr>
      </w:pPr>
      <w:r>
        <w:rPr>
          <w:rFonts w:ascii="Times New Roman" w:hAnsi="Times New Roman" w:cs="Times New Roman" w:eastAsiaTheme="minorEastAsia"/>
          <w:color w:val="auto"/>
          <w:w w:val="99"/>
          <w:szCs w:val="28"/>
          <w:highlight w:val="none"/>
        </w:rPr>
        <w:t>若I</w:t>
      </w:r>
      <w:r>
        <w:rPr>
          <w:rFonts w:ascii="Times New Roman" w:hAnsi="Times New Roman" w:cs="Times New Roman" w:eastAsiaTheme="minorEastAsia"/>
          <w:color w:val="auto"/>
          <w:w w:val="99"/>
          <w:szCs w:val="28"/>
          <w:highlight w:val="none"/>
          <w:vertAlign w:val="subscript"/>
        </w:rPr>
        <w:t>i</w:t>
      </w:r>
      <w:r>
        <w:rPr>
          <w:rFonts w:ascii="Times New Roman" w:hAnsi="Times New Roman" w:cs="Times New Roman" w:eastAsiaTheme="minorEastAsia"/>
          <w:color w:val="auto"/>
          <w:w w:val="99"/>
          <w:szCs w:val="28"/>
          <w:highlight w:val="none"/>
        </w:rPr>
        <w:t>≥100%，表明该项指标超过了相应的环境空气质量标准，不能满足使用功能要求。若I</w:t>
      </w:r>
      <w:r>
        <w:rPr>
          <w:rFonts w:ascii="Times New Roman" w:hAnsi="Times New Roman" w:cs="Times New Roman" w:eastAsiaTheme="minorEastAsia"/>
          <w:color w:val="auto"/>
          <w:w w:val="99"/>
          <w:szCs w:val="28"/>
          <w:highlight w:val="none"/>
          <w:vertAlign w:val="subscript"/>
        </w:rPr>
        <w:t>i</w:t>
      </w:r>
      <w:r>
        <w:rPr>
          <w:rFonts w:ascii="Times New Roman" w:hAnsi="Times New Roman" w:cs="Times New Roman" w:eastAsiaTheme="minorEastAsia"/>
          <w:color w:val="auto"/>
          <w:w w:val="99"/>
          <w:szCs w:val="28"/>
          <w:highlight w:val="none"/>
        </w:rPr>
        <w:t>＜100%，则该指标满足环境空气质量标准，可以满足使用功能要求。</w:t>
      </w:r>
    </w:p>
    <w:p w14:paraId="4A3901BB">
      <w:pPr>
        <w:widowControl w:val="0"/>
        <w:spacing w:line="440" w:lineRule="exact"/>
        <w:ind w:firstLine="474" w:firstLineChars="200"/>
        <w:jc w:val="both"/>
        <w:rPr>
          <w:rFonts w:ascii="Times New Roman" w:hAnsi="Times New Roman" w:cs="Times New Roman" w:eastAsiaTheme="minorEastAsia"/>
          <w:color w:val="auto"/>
          <w:w w:val="99"/>
          <w:szCs w:val="28"/>
          <w:highlight w:val="none"/>
        </w:rPr>
      </w:pPr>
      <w:r>
        <w:rPr>
          <w:rFonts w:ascii="Times New Roman" w:hAnsi="Times New Roman" w:cs="Times New Roman" w:eastAsiaTheme="minorEastAsia"/>
          <w:color w:val="auto"/>
          <w:w w:val="99"/>
          <w:szCs w:val="28"/>
          <w:highlight w:val="none"/>
        </w:rPr>
        <w:t>（5）评价标准</w:t>
      </w:r>
    </w:p>
    <w:p w14:paraId="08042C98">
      <w:pPr>
        <w:widowControl w:val="0"/>
        <w:spacing w:line="440" w:lineRule="exact"/>
        <w:ind w:firstLine="474" w:firstLineChars="200"/>
        <w:jc w:val="both"/>
        <w:rPr>
          <w:rFonts w:ascii="Times New Roman" w:hAnsi="Times New Roman" w:cs="Times New Roman" w:eastAsiaTheme="minorEastAsia"/>
          <w:color w:val="auto"/>
          <w:w w:val="99"/>
          <w:szCs w:val="28"/>
          <w:highlight w:val="none"/>
        </w:rPr>
      </w:pPr>
      <w:r>
        <w:rPr>
          <w:rFonts w:ascii="Times New Roman" w:hAnsi="Times New Roman" w:cs="Times New Roman" w:eastAsiaTheme="minorEastAsia"/>
          <w:color w:val="auto"/>
          <w:w w:val="99"/>
          <w:szCs w:val="28"/>
          <w:highlight w:val="none"/>
        </w:rPr>
        <w:t>非甲烷总烃执行《大气污染物综合排放标准详解》中的2.0mg/m</w:t>
      </w:r>
      <w:r>
        <w:rPr>
          <w:rFonts w:ascii="Times New Roman" w:hAnsi="Times New Roman" w:cs="Times New Roman" w:eastAsiaTheme="minorEastAsia"/>
          <w:color w:val="auto"/>
          <w:w w:val="99"/>
          <w:szCs w:val="28"/>
          <w:highlight w:val="none"/>
          <w:vertAlign w:val="superscript"/>
        </w:rPr>
        <w:t>3</w:t>
      </w:r>
      <w:r>
        <w:rPr>
          <w:rFonts w:ascii="Times New Roman" w:hAnsi="Times New Roman" w:cs="Times New Roman" w:eastAsiaTheme="minorEastAsia"/>
          <w:color w:val="auto"/>
          <w:w w:val="99"/>
          <w:szCs w:val="28"/>
          <w:highlight w:val="none"/>
        </w:rPr>
        <w:t>标准限值，甲醇执行标准《环境影响评价技术导则 大气环境》(HJ2.2-2018）附录 D 中甲醇 1h平均浓度参考限值 3.0mg/m</w:t>
      </w:r>
      <w:r>
        <w:rPr>
          <w:rFonts w:ascii="Times New Roman" w:hAnsi="Times New Roman" w:cs="Times New Roman" w:eastAsiaTheme="minorEastAsia"/>
          <w:color w:val="auto"/>
          <w:w w:val="99"/>
          <w:szCs w:val="28"/>
          <w:highlight w:val="none"/>
          <w:vertAlign w:val="superscript"/>
        </w:rPr>
        <w:t>3</w:t>
      </w:r>
      <w:r>
        <w:rPr>
          <w:rFonts w:ascii="Times New Roman" w:hAnsi="Times New Roman" w:cs="Times New Roman" w:eastAsiaTheme="minorEastAsia"/>
          <w:color w:val="auto"/>
          <w:w w:val="99"/>
          <w:szCs w:val="28"/>
          <w:highlight w:val="none"/>
        </w:rPr>
        <w:t>。</w:t>
      </w:r>
    </w:p>
    <w:p w14:paraId="232F658A">
      <w:pPr>
        <w:widowControl w:val="0"/>
        <w:spacing w:line="440" w:lineRule="exact"/>
        <w:ind w:firstLine="474" w:firstLineChars="200"/>
        <w:jc w:val="both"/>
        <w:rPr>
          <w:rFonts w:ascii="Times New Roman" w:hAnsi="Times New Roman" w:cs="Times New Roman"/>
          <w:color w:val="auto"/>
          <w:w w:val="99"/>
          <w:szCs w:val="28"/>
          <w:highlight w:val="none"/>
        </w:rPr>
      </w:pPr>
      <w:r>
        <w:rPr>
          <w:rFonts w:ascii="Times New Roman" w:hAnsi="Times New Roman" w:cs="Times New Roman"/>
          <w:color w:val="auto"/>
          <w:w w:val="99"/>
          <w:szCs w:val="28"/>
          <w:highlight w:val="none"/>
        </w:rPr>
        <w:t>（6）监测及评价结果</w:t>
      </w:r>
    </w:p>
    <w:p w14:paraId="6C5719F3">
      <w:pPr>
        <w:widowControl w:val="0"/>
        <w:tabs>
          <w:tab w:val="left" w:pos="5262"/>
        </w:tabs>
        <w:spacing w:line="440" w:lineRule="exact"/>
        <w:ind w:firstLine="474" w:firstLineChars="200"/>
        <w:jc w:val="both"/>
        <w:rPr>
          <w:rFonts w:ascii="Times New Roman" w:hAnsi="Times New Roman" w:cs="Times New Roman"/>
          <w:bCs/>
          <w:color w:val="auto"/>
          <w:w w:val="99"/>
          <w:kern w:val="21"/>
          <w:highlight w:val="none"/>
        </w:rPr>
      </w:pPr>
      <w:r>
        <w:rPr>
          <w:rFonts w:ascii="Times New Roman" w:hAnsi="Times New Roman" w:cs="Times New Roman"/>
          <w:color w:val="auto"/>
          <w:w w:val="99"/>
          <w:szCs w:val="28"/>
          <w:highlight w:val="none"/>
        </w:rPr>
        <w:t>特征污染物现状监测及评价结果详见表</w:t>
      </w:r>
      <w:r>
        <w:rPr>
          <w:rFonts w:ascii="Times New Roman" w:hAnsi="Times New Roman" w:cs="Times New Roman"/>
          <w:color w:val="auto"/>
          <w:w w:val="99"/>
          <w:kern w:val="2"/>
          <w:szCs w:val="20"/>
          <w:highlight w:val="none"/>
        </w:rPr>
        <w:t>4.3-</w:t>
      </w:r>
      <w:r>
        <w:rPr>
          <w:rFonts w:ascii="Times New Roman" w:hAnsi="Times New Roman" w:cs="Times New Roman"/>
          <w:color w:val="auto"/>
          <w:w w:val="99"/>
          <w:szCs w:val="28"/>
          <w:highlight w:val="none"/>
        </w:rPr>
        <w:t>3。</w:t>
      </w:r>
    </w:p>
    <w:p w14:paraId="648B6FAB">
      <w:pPr>
        <w:widowControl w:val="0"/>
        <w:tabs>
          <w:tab w:val="left" w:pos="5262"/>
        </w:tabs>
        <w:spacing w:line="440" w:lineRule="exact"/>
        <w:ind w:firstLine="476" w:firstLineChars="200"/>
        <w:jc w:val="both"/>
        <w:rPr>
          <w:rFonts w:ascii="Times New Roman" w:hAnsi="Times New Roman" w:cs="Times New Roman"/>
          <w:b/>
          <w:color w:val="auto"/>
          <w:w w:val="99"/>
          <w:kern w:val="21"/>
          <w:highlight w:val="none"/>
          <w:vertAlign w:val="superscript"/>
        </w:rPr>
      </w:pPr>
      <w:r>
        <w:rPr>
          <w:rFonts w:ascii="Times New Roman" w:hAnsi="Times New Roman" w:cs="Times New Roman"/>
          <w:b/>
          <w:color w:val="auto"/>
          <w:w w:val="99"/>
          <w:kern w:val="21"/>
          <w:highlight w:val="none"/>
        </w:rPr>
        <w:t>表</w:t>
      </w:r>
      <w:r>
        <w:rPr>
          <w:rFonts w:ascii="Times New Roman" w:hAnsi="Times New Roman" w:cs="Times New Roman"/>
          <w:b/>
          <w:color w:val="auto"/>
          <w:w w:val="99"/>
          <w:kern w:val="2"/>
          <w:szCs w:val="20"/>
          <w:highlight w:val="none"/>
        </w:rPr>
        <w:t>4.3-</w:t>
      </w:r>
      <w:r>
        <w:rPr>
          <w:rFonts w:ascii="Times New Roman" w:hAnsi="Times New Roman" w:cs="Times New Roman"/>
          <w:b/>
          <w:color w:val="auto"/>
          <w:w w:val="99"/>
          <w:kern w:val="21"/>
          <w:highlight w:val="none"/>
        </w:rPr>
        <w:t xml:space="preserve">3  </w:t>
      </w:r>
      <w:r>
        <w:rPr>
          <w:rFonts w:ascii="Times New Roman" w:hAnsi="Times New Roman" w:cs="Times New Roman"/>
          <w:b/>
          <w:color w:val="auto"/>
          <w:w w:val="99"/>
          <w:szCs w:val="28"/>
          <w:highlight w:val="none"/>
        </w:rPr>
        <w:t>特征污染物现状监测及评价结果</w:t>
      </w:r>
      <w:r>
        <w:rPr>
          <w:rFonts w:ascii="Times New Roman" w:hAnsi="Times New Roman" w:cs="Times New Roman"/>
          <w:b/>
          <w:color w:val="auto"/>
          <w:w w:val="99"/>
          <w:kern w:val="21"/>
          <w:highlight w:val="none"/>
        </w:rPr>
        <w:t xml:space="preserve">    单位：mg/m</w:t>
      </w:r>
      <w:r>
        <w:rPr>
          <w:rFonts w:ascii="Times New Roman" w:hAnsi="Times New Roman" w:cs="Times New Roman"/>
          <w:b/>
          <w:color w:val="auto"/>
          <w:w w:val="99"/>
          <w:kern w:val="21"/>
          <w:highlight w:val="none"/>
          <w:vertAlign w:val="superscript"/>
        </w:rPr>
        <w:t>3</w:t>
      </w:r>
    </w:p>
    <w:tbl>
      <w:tblPr>
        <w:tblStyle w:val="81"/>
        <w:tblW w:w="907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96"/>
        <w:gridCol w:w="1276"/>
        <w:gridCol w:w="1134"/>
        <w:gridCol w:w="425"/>
        <w:gridCol w:w="567"/>
        <w:gridCol w:w="851"/>
        <w:gridCol w:w="1134"/>
        <w:gridCol w:w="709"/>
        <w:gridCol w:w="567"/>
        <w:gridCol w:w="715"/>
      </w:tblGrid>
      <w:tr w14:paraId="450CCB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696" w:type="dxa"/>
            <w:vMerge w:val="restart"/>
            <w:vAlign w:val="center"/>
          </w:tcPr>
          <w:p w14:paraId="5447DEA4">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w:t>
            </w:r>
          </w:p>
        </w:tc>
        <w:tc>
          <w:tcPr>
            <w:tcW w:w="2410" w:type="dxa"/>
            <w:gridSpan w:val="2"/>
            <w:vAlign w:val="center"/>
          </w:tcPr>
          <w:p w14:paraId="64352C84">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监测点坐标</w:t>
            </w:r>
          </w:p>
        </w:tc>
        <w:tc>
          <w:tcPr>
            <w:tcW w:w="425" w:type="dxa"/>
            <w:vMerge w:val="restart"/>
            <w:vAlign w:val="center"/>
          </w:tcPr>
          <w:p w14:paraId="66F9B637">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w:t>
            </w:r>
          </w:p>
        </w:tc>
        <w:tc>
          <w:tcPr>
            <w:tcW w:w="567" w:type="dxa"/>
            <w:vMerge w:val="restart"/>
            <w:vAlign w:val="center"/>
          </w:tcPr>
          <w:p w14:paraId="14D05C43">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平均时间</w:t>
            </w:r>
          </w:p>
        </w:tc>
        <w:tc>
          <w:tcPr>
            <w:tcW w:w="851" w:type="dxa"/>
            <w:vMerge w:val="restart"/>
            <w:vAlign w:val="center"/>
          </w:tcPr>
          <w:p w14:paraId="1870289F">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w:t>
            </w:r>
          </w:p>
          <w:p w14:paraId="21D30AAB">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标准</w:t>
            </w:r>
          </w:p>
        </w:tc>
        <w:tc>
          <w:tcPr>
            <w:tcW w:w="1134" w:type="dxa"/>
            <w:vMerge w:val="restart"/>
            <w:vAlign w:val="center"/>
          </w:tcPr>
          <w:p w14:paraId="384D10B9">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监测浓度范围</w:t>
            </w:r>
          </w:p>
        </w:tc>
        <w:tc>
          <w:tcPr>
            <w:tcW w:w="709" w:type="dxa"/>
            <w:vMerge w:val="restart"/>
            <w:vAlign w:val="center"/>
          </w:tcPr>
          <w:p w14:paraId="7F87516F">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最大浓度占标率%</w:t>
            </w:r>
          </w:p>
        </w:tc>
        <w:tc>
          <w:tcPr>
            <w:tcW w:w="567" w:type="dxa"/>
            <w:vMerge w:val="restart"/>
            <w:vAlign w:val="center"/>
          </w:tcPr>
          <w:p w14:paraId="054C136D">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超标率%</w:t>
            </w:r>
          </w:p>
        </w:tc>
        <w:tc>
          <w:tcPr>
            <w:tcW w:w="715" w:type="dxa"/>
            <w:vMerge w:val="restart"/>
            <w:vAlign w:val="center"/>
          </w:tcPr>
          <w:p w14:paraId="5291F910">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达标情况</w:t>
            </w:r>
          </w:p>
        </w:tc>
      </w:tr>
      <w:tr w14:paraId="40A1E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696" w:type="dxa"/>
            <w:vMerge w:val="continue"/>
            <w:vAlign w:val="center"/>
          </w:tcPr>
          <w:p w14:paraId="16D6B5AD">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276" w:type="dxa"/>
            <w:vAlign w:val="center"/>
          </w:tcPr>
          <w:p w14:paraId="46045C4E">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经度</w:t>
            </w:r>
          </w:p>
        </w:tc>
        <w:tc>
          <w:tcPr>
            <w:tcW w:w="1134" w:type="dxa"/>
            <w:vAlign w:val="center"/>
          </w:tcPr>
          <w:p w14:paraId="3055E77E">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纬度</w:t>
            </w:r>
          </w:p>
        </w:tc>
        <w:tc>
          <w:tcPr>
            <w:tcW w:w="425" w:type="dxa"/>
            <w:vMerge w:val="continue"/>
            <w:vAlign w:val="center"/>
          </w:tcPr>
          <w:p w14:paraId="6A9E875D">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567" w:type="dxa"/>
            <w:vMerge w:val="continue"/>
            <w:vAlign w:val="center"/>
          </w:tcPr>
          <w:p w14:paraId="5EBBFCA2">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851" w:type="dxa"/>
            <w:vMerge w:val="continue"/>
            <w:vAlign w:val="center"/>
          </w:tcPr>
          <w:p w14:paraId="6CD7CABC">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134" w:type="dxa"/>
            <w:vMerge w:val="continue"/>
            <w:vAlign w:val="center"/>
          </w:tcPr>
          <w:p w14:paraId="2D89801D">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709" w:type="dxa"/>
            <w:vMerge w:val="continue"/>
            <w:vAlign w:val="center"/>
          </w:tcPr>
          <w:p w14:paraId="0F04AF15">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567" w:type="dxa"/>
            <w:vMerge w:val="continue"/>
            <w:vAlign w:val="center"/>
          </w:tcPr>
          <w:p w14:paraId="41BD643D">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715" w:type="dxa"/>
            <w:vMerge w:val="continue"/>
            <w:vAlign w:val="center"/>
          </w:tcPr>
          <w:p w14:paraId="19BB4710">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r>
      <w:tr w14:paraId="29E0C4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696" w:type="dxa"/>
            <w:vAlign w:val="center"/>
          </w:tcPr>
          <w:p w14:paraId="1F498AD7">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拟建徐深27-H1井井场</w:t>
            </w:r>
          </w:p>
        </w:tc>
        <w:tc>
          <w:tcPr>
            <w:tcW w:w="1276" w:type="dxa"/>
            <w:vAlign w:val="center"/>
          </w:tcPr>
          <w:p w14:paraId="636017FF">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125.50852</w:t>
            </w:r>
          </w:p>
        </w:tc>
        <w:tc>
          <w:tcPr>
            <w:tcW w:w="1134" w:type="dxa"/>
            <w:vAlign w:val="center"/>
          </w:tcPr>
          <w:p w14:paraId="78856CD2">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45.89313</w:t>
            </w:r>
          </w:p>
        </w:tc>
        <w:tc>
          <w:tcPr>
            <w:tcW w:w="425" w:type="dxa"/>
            <w:vMerge w:val="restart"/>
            <w:vAlign w:val="center"/>
          </w:tcPr>
          <w:p w14:paraId="31ACB6AA">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非甲烷总烃</w:t>
            </w:r>
          </w:p>
        </w:tc>
        <w:tc>
          <w:tcPr>
            <w:tcW w:w="567" w:type="dxa"/>
            <w:vMerge w:val="restart"/>
            <w:vAlign w:val="center"/>
          </w:tcPr>
          <w:p w14:paraId="49E873B2">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1h</w:t>
            </w:r>
          </w:p>
        </w:tc>
        <w:tc>
          <w:tcPr>
            <w:tcW w:w="851" w:type="dxa"/>
            <w:vAlign w:val="center"/>
          </w:tcPr>
          <w:p w14:paraId="75AB48A1">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2.0</w:t>
            </w:r>
          </w:p>
        </w:tc>
        <w:tc>
          <w:tcPr>
            <w:tcW w:w="1134" w:type="dxa"/>
            <w:vAlign w:val="center"/>
          </w:tcPr>
          <w:p w14:paraId="470E47F1">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0.41-0.60</w:t>
            </w:r>
          </w:p>
        </w:tc>
        <w:tc>
          <w:tcPr>
            <w:tcW w:w="709" w:type="dxa"/>
            <w:vAlign w:val="center"/>
          </w:tcPr>
          <w:p w14:paraId="09EAC158">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30.0</w:t>
            </w:r>
          </w:p>
        </w:tc>
        <w:tc>
          <w:tcPr>
            <w:tcW w:w="567" w:type="dxa"/>
            <w:vAlign w:val="center"/>
          </w:tcPr>
          <w:p w14:paraId="0E0809D0">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715" w:type="dxa"/>
            <w:vAlign w:val="center"/>
          </w:tcPr>
          <w:p w14:paraId="656D36EB">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达标</w:t>
            </w:r>
          </w:p>
        </w:tc>
      </w:tr>
      <w:tr w14:paraId="20A0F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696" w:type="dxa"/>
            <w:vAlign w:val="center"/>
          </w:tcPr>
          <w:p w14:paraId="2EE7772D">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邢家围子屯</w:t>
            </w:r>
          </w:p>
        </w:tc>
        <w:tc>
          <w:tcPr>
            <w:tcW w:w="1276" w:type="dxa"/>
            <w:vAlign w:val="center"/>
          </w:tcPr>
          <w:p w14:paraId="00D3B2E6">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125.51307</w:t>
            </w:r>
          </w:p>
        </w:tc>
        <w:tc>
          <w:tcPr>
            <w:tcW w:w="1134" w:type="dxa"/>
            <w:vAlign w:val="center"/>
          </w:tcPr>
          <w:p w14:paraId="5482C1D9">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45.89453</w:t>
            </w:r>
          </w:p>
        </w:tc>
        <w:tc>
          <w:tcPr>
            <w:tcW w:w="425" w:type="dxa"/>
            <w:vMerge w:val="continue"/>
            <w:vAlign w:val="center"/>
          </w:tcPr>
          <w:p w14:paraId="375386B0">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567" w:type="dxa"/>
            <w:vMerge w:val="continue"/>
            <w:vAlign w:val="center"/>
          </w:tcPr>
          <w:p w14:paraId="1A62DF9D">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851" w:type="dxa"/>
            <w:vAlign w:val="center"/>
          </w:tcPr>
          <w:p w14:paraId="5E293D0F">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2.0</w:t>
            </w:r>
          </w:p>
        </w:tc>
        <w:tc>
          <w:tcPr>
            <w:tcW w:w="1134" w:type="dxa"/>
            <w:vAlign w:val="center"/>
          </w:tcPr>
          <w:p w14:paraId="6F185D09">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0.40</w:t>
            </w:r>
            <w:r>
              <w:rPr>
                <w:rFonts w:ascii="Times New Roman" w:hAnsi="Times New Roman" w:cs="Times New Roman" w:eastAsiaTheme="minorEastAsia"/>
                <w:color w:val="auto"/>
                <w:w w:val="99"/>
                <w:sz w:val="21"/>
                <w:szCs w:val="21"/>
                <w:highlight w:val="none"/>
              </w:rPr>
              <w:t>-</w:t>
            </w:r>
            <w:r>
              <w:rPr>
                <w:rFonts w:hint="eastAsia" w:ascii="Times New Roman" w:hAnsi="Times New Roman" w:cs="Times New Roman" w:eastAsiaTheme="minorEastAsia"/>
                <w:color w:val="auto"/>
                <w:w w:val="99"/>
                <w:sz w:val="21"/>
                <w:szCs w:val="21"/>
                <w:highlight w:val="none"/>
              </w:rPr>
              <w:t>0.61</w:t>
            </w:r>
          </w:p>
        </w:tc>
        <w:tc>
          <w:tcPr>
            <w:tcW w:w="709" w:type="dxa"/>
            <w:vAlign w:val="center"/>
          </w:tcPr>
          <w:p w14:paraId="14B61463">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30.5</w:t>
            </w:r>
          </w:p>
        </w:tc>
        <w:tc>
          <w:tcPr>
            <w:tcW w:w="567" w:type="dxa"/>
            <w:vAlign w:val="center"/>
          </w:tcPr>
          <w:p w14:paraId="2838E605">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715" w:type="dxa"/>
            <w:vAlign w:val="center"/>
          </w:tcPr>
          <w:p w14:paraId="29DD0F4E">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达标</w:t>
            </w:r>
          </w:p>
        </w:tc>
      </w:tr>
    </w:tbl>
    <w:p w14:paraId="23BBDF1E">
      <w:pPr>
        <w:widowControl w:val="0"/>
        <w:spacing w:line="440" w:lineRule="exact"/>
        <w:ind w:firstLine="474" w:firstLineChars="200"/>
        <w:jc w:val="both"/>
        <w:rPr>
          <w:rFonts w:ascii="Times New Roman" w:hAnsi="Times New Roman" w:cs="Times New Roman" w:eastAsiaTheme="minorEastAsia"/>
          <w:bCs/>
          <w:color w:val="auto"/>
          <w:w w:val="99"/>
          <w:kern w:val="21"/>
          <w:highlight w:val="none"/>
        </w:rPr>
      </w:pPr>
      <w:r>
        <w:rPr>
          <w:rFonts w:ascii="Times New Roman" w:hAnsi="Times New Roman" w:cs="Times New Roman" w:eastAsiaTheme="minorEastAsia"/>
          <w:bCs/>
          <w:color w:val="auto"/>
          <w:w w:val="99"/>
          <w:kern w:val="21"/>
          <w:highlight w:val="none"/>
        </w:rPr>
        <w:t>评价结果表明，评价区域特征污染物非甲烷总烃满足《大气污染物综合排放标准详解》中的2.0mg/m</w:t>
      </w:r>
      <w:r>
        <w:rPr>
          <w:rFonts w:ascii="Times New Roman" w:hAnsi="Times New Roman" w:cs="Times New Roman" w:eastAsiaTheme="minorEastAsia"/>
          <w:bCs/>
          <w:color w:val="auto"/>
          <w:w w:val="99"/>
          <w:kern w:val="21"/>
          <w:highlight w:val="none"/>
          <w:vertAlign w:val="superscript"/>
        </w:rPr>
        <w:t>3</w:t>
      </w:r>
      <w:r>
        <w:rPr>
          <w:rFonts w:ascii="Times New Roman" w:hAnsi="Times New Roman" w:cs="Times New Roman" w:eastAsiaTheme="minorEastAsia"/>
          <w:bCs/>
          <w:color w:val="auto"/>
          <w:w w:val="99"/>
          <w:kern w:val="21"/>
          <w:highlight w:val="none"/>
        </w:rPr>
        <w:t>标准限值</w:t>
      </w:r>
      <w:r>
        <w:rPr>
          <w:rFonts w:hint="eastAsia" w:ascii="Times New Roman" w:hAnsi="Times New Roman" w:cs="Times New Roman" w:eastAsiaTheme="minorEastAsia"/>
          <w:color w:val="auto"/>
          <w:w w:val="99"/>
          <w:szCs w:val="28"/>
          <w:highlight w:val="none"/>
        </w:rPr>
        <w:t>。</w:t>
      </w:r>
      <w:r>
        <w:rPr>
          <w:rFonts w:ascii="Times New Roman" w:hAnsi="Times New Roman" w:cs="Times New Roman" w:eastAsiaTheme="minorEastAsia"/>
          <w:bCs/>
          <w:color w:val="auto"/>
          <w:w w:val="99"/>
          <w:kern w:val="21"/>
          <w:highlight w:val="none"/>
        </w:rPr>
        <w:t>说明评价区域内大气环境质量较好。</w:t>
      </w:r>
    </w:p>
    <w:p w14:paraId="796B3778">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661" w:name="_Toc34124484"/>
      <w:bookmarkStart w:id="662" w:name="_Toc67860172"/>
      <w:bookmarkStart w:id="663" w:name="_Toc57707955"/>
      <w:bookmarkStart w:id="664" w:name="_Toc41655199"/>
      <w:bookmarkStart w:id="665" w:name="_Toc83209517"/>
      <w:bookmarkStart w:id="666" w:name="_Toc76976286"/>
      <w:bookmarkStart w:id="667" w:name="_Toc29642918"/>
      <w:bookmarkStart w:id="668" w:name="_Toc38545055"/>
      <w:bookmarkStart w:id="669" w:name="_Toc8019"/>
      <w:bookmarkStart w:id="670" w:name="_Toc29644702"/>
      <w:bookmarkStart w:id="671" w:name="_Toc38296422"/>
      <w:bookmarkStart w:id="672" w:name="_Toc80971417"/>
      <w:bookmarkStart w:id="673" w:name="_Toc57976707"/>
      <w:bookmarkStart w:id="674" w:name="_Toc186444322"/>
      <w:bookmarkStart w:id="675" w:name="_Toc61597271"/>
      <w:bookmarkStart w:id="676" w:name="_Toc78816500"/>
      <w:bookmarkStart w:id="677" w:name="_Toc77067698"/>
      <w:bookmarkStart w:id="678" w:name="_Toc430692061"/>
      <w:bookmarkStart w:id="679" w:name="_Toc80588295"/>
      <w:bookmarkStart w:id="680" w:name="_Toc29643950"/>
      <w:bookmarkStart w:id="681" w:name="_Toc438540826"/>
      <w:bookmarkStart w:id="682" w:name="_Toc430689876"/>
      <w:bookmarkStart w:id="683" w:name="_Toc70050221"/>
      <w:bookmarkStart w:id="684" w:name="_Toc57203285"/>
      <w:r>
        <w:rPr>
          <w:rFonts w:eastAsia="宋体"/>
          <w:b/>
          <w:color w:val="auto"/>
          <w:w w:val="99"/>
          <w:kern w:val="2"/>
          <w:sz w:val="24"/>
          <w:szCs w:val="24"/>
          <w:highlight w:val="none"/>
        </w:rPr>
        <w:t>4.3.2地下水环境质量现状评价</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14:paraId="213BF1EE">
      <w:pPr>
        <w:widowControl w:val="0"/>
        <w:spacing w:line="440" w:lineRule="exact"/>
        <w:ind w:firstLine="474" w:firstLineChars="200"/>
        <w:jc w:val="both"/>
        <w:rPr>
          <w:rFonts w:ascii="Times New Roman" w:hAnsi="Times New Roman" w:cs="Times New Roman"/>
          <w:bCs/>
          <w:color w:val="auto"/>
          <w:w w:val="99"/>
          <w:kern w:val="21"/>
          <w:szCs w:val="20"/>
          <w:highlight w:val="none"/>
        </w:rPr>
      </w:pPr>
      <w:r>
        <w:rPr>
          <w:rFonts w:ascii="Times New Roman" w:hAnsi="Times New Roman" w:cs="Times New Roman"/>
          <w:bCs/>
          <w:color w:val="auto"/>
          <w:w w:val="99"/>
          <w:kern w:val="21"/>
          <w:szCs w:val="20"/>
          <w:highlight w:val="none"/>
        </w:rPr>
        <w:t>根据本项目地层特征，以及地下水含水层特点和区域水资源开发利用情况，参照《环境影响评价技术导则 地下水环境》（HJ 610-2016），详见下表。</w:t>
      </w:r>
    </w:p>
    <w:p w14:paraId="13BCEA57">
      <w:pPr>
        <w:widowControl w:val="0"/>
        <w:spacing w:line="440" w:lineRule="exact"/>
        <w:ind w:firstLine="476" w:firstLineChars="200"/>
        <w:jc w:val="both"/>
        <w:rPr>
          <w:rFonts w:ascii="Times New Roman" w:hAnsi="Times New Roman" w:cs="Times New Roman"/>
          <w:b/>
          <w:color w:val="auto"/>
          <w:w w:val="99"/>
          <w:kern w:val="21"/>
          <w:szCs w:val="20"/>
          <w:highlight w:val="none"/>
        </w:rPr>
      </w:pPr>
      <w:r>
        <w:rPr>
          <w:rFonts w:ascii="Times New Roman" w:hAnsi="Times New Roman" w:cs="Times New Roman"/>
          <w:b/>
          <w:color w:val="auto"/>
          <w:w w:val="99"/>
          <w:kern w:val="21"/>
          <w:szCs w:val="20"/>
          <w:highlight w:val="none"/>
        </w:rPr>
        <w:t>表</w:t>
      </w:r>
      <w:r>
        <w:rPr>
          <w:rFonts w:ascii="Times New Roman" w:hAnsi="Times New Roman" w:cs="Times New Roman"/>
          <w:b/>
          <w:color w:val="auto"/>
          <w:w w:val="99"/>
          <w:kern w:val="2"/>
          <w:szCs w:val="20"/>
          <w:highlight w:val="none"/>
        </w:rPr>
        <w:t>4.3-5</w:t>
      </w:r>
      <w:r>
        <w:rPr>
          <w:rFonts w:ascii="Times New Roman" w:hAnsi="Times New Roman" w:cs="Times New Roman"/>
          <w:b/>
          <w:color w:val="auto"/>
          <w:w w:val="99"/>
          <w:kern w:val="21"/>
          <w:szCs w:val="20"/>
          <w:highlight w:val="none"/>
        </w:rPr>
        <w:t xml:space="preserve">    地下水环境现状监测频率参照表</w:t>
      </w:r>
    </w:p>
    <w:tbl>
      <w:tblPr>
        <w:tblStyle w:val="8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0"/>
        <w:gridCol w:w="1103"/>
        <w:gridCol w:w="1421"/>
        <w:gridCol w:w="1111"/>
        <w:gridCol w:w="1263"/>
        <w:gridCol w:w="1421"/>
        <w:gridCol w:w="958"/>
      </w:tblGrid>
      <w:tr w14:paraId="610FF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2" w:type="pct"/>
            <w:vAlign w:val="center"/>
          </w:tcPr>
          <w:p w14:paraId="5176CBE5">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评价等级</w:t>
            </w:r>
          </w:p>
        </w:tc>
        <w:tc>
          <w:tcPr>
            <w:tcW w:w="1957" w:type="pct"/>
            <w:gridSpan w:val="3"/>
            <w:vAlign w:val="center"/>
          </w:tcPr>
          <w:p w14:paraId="5578E42F">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水位监测频率</w:t>
            </w:r>
          </w:p>
        </w:tc>
        <w:tc>
          <w:tcPr>
            <w:tcW w:w="1961" w:type="pct"/>
            <w:gridSpan w:val="3"/>
            <w:vAlign w:val="center"/>
          </w:tcPr>
          <w:p w14:paraId="19D6D0AB">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水质监测频率</w:t>
            </w:r>
          </w:p>
        </w:tc>
      </w:tr>
      <w:tr w14:paraId="6C7BC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2" w:type="pct"/>
            <w:vAlign w:val="center"/>
          </w:tcPr>
          <w:p w14:paraId="3BB79DF1">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分布区</w:t>
            </w:r>
          </w:p>
        </w:tc>
        <w:tc>
          <w:tcPr>
            <w:tcW w:w="594" w:type="pct"/>
            <w:vAlign w:val="center"/>
          </w:tcPr>
          <w:p w14:paraId="0E32F873">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一级</w:t>
            </w:r>
          </w:p>
        </w:tc>
        <w:tc>
          <w:tcPr>
            <w:tcW w:w="765" w:type="pct"/>
            <w:vAlign w:val="center"/>
          </w:tcPr>
          <w:p w14:paraId="54721BB5">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二级（√）</w:t>
            </w:r>
          </w:p>
        </w:tc>
        <w:tc>
          <w:tcPr>
            <w:tcW w:w="598" w:type="pct"/>
            <w:vAlign w:val="center"/>
          </w:tcPr>
          <w:p w14:paraId="389DD6FB">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三级</w:t>
            </w:r>
          </w:p>
        </w:tc>
        <w:tc>
          <w:tcPr>
            <w:tcW w:w="680" w:type="pct"/>
            <w:vAlign w:val="center"/>
          </w:tcPr>
          <w:p w14:paraId="1A4D2810">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一级</w:t>
            </w:r>
          </w:p>
        </w:tc>
        <w:tc>
          <w:tcPr>
            <w:tcW w:w="765" w:type="pct"/>
            <w:vAlign w:val="center"/>
          </w:tcPr>
          <w:p w14:paraId="1D06AF3A">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二级（√）</w:t>
            </w:r>
          </w:p>
        </w:tc>
        <w:tc>
          <w:tcPr>
            <w:tcW w:w="515" w:type="pct"/>
            <w:vAlign w:val="center"/>
          </w:tcPr>
          <w:p w14:paraId="247D0D81">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三级</w:t>
            </w:r>
          </w:p>
        </w:tc>
      </w:tr>
      <w:tr w14:paraId="2ADC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2" w:type="pct"/>
            <w:vAlign w:val="center"/>
          </w:tcPr>
          <w:p w14:paraId="62C077C2">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山前冲（洪）积</w:t>
            </w:r>
          </w:p>
        </w:tc>
        <w:tc>
          <w:tcPr>
            <w:tcW w:w="594" w:type="pct"/>
            <w:vAlign w:val="center"/>
          </w:tcPr>
          <w:p w14:paraId="0CBF3CE6">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枯平丰</w:t>
            </w:r>
          </w:p>
        </w:tc>
        <w:tc>
          <w:tcPr>
            <w:tcW w:w="765" w:type="pct"/>
            <w:vAlign w:val="center"/>
          </w:tcPr>
          <w:p w14:paraId="1F8FFADB">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枯丰</w:t>
            </w:r>
          </w:p>
        </w:tc>
        <w:tc>
          <w:tcPr>
            <w:tcW w:w="598" w:type="pct"/>
            <w:vAlign w:val="center"/>
          </w:tcPr>
          <w:p w14:paraId="719758FB">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680" w:type="pct"/>
            <w:vAlign w:val="center"/>
          </w:tcPr>
          <w:p w14:paraId="563D8294">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枯平丰</w:t>
            </w:r>
          </w:p>
        </w:tc>
        <w:tc>
          <w:tcPr>
            <w:tcW w:w="765" w:type="pct"/>
            <w:vAlign w:val="center"/>
          </w:tcPr>
          <w:p w14:paraId="10C7491A">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枯丰</w:t>
            </w:r>
          </w:p>
        </w:tc>
        <w:tc>
          <w:tcPr>
            <w:tcW w:w="515" w:type="pct"/>
            <w:vAlign w:val="center"/>
          </w:tcPr>
          <w:p w14:paraId="484C1C0C">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r>
      <w:tr w14:paraId="41B8F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2" w:type="pct"/>
            <w:vAlign w:val="center"/>
          </w:tcPr>
          <w:p w14:paraId="75E2EFE7">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滨海（含填海区）</w:t>
            </w:r>
          </w:p>
        </w:tc>
        <w:tc>
          <w:tcPr>
            <w:tcW w:w="594" w:type="pct"/>
            <w:vAlign w:val="center"/>
          </w:tcPr>
          <w:p w14:paraId="1E1A5C25">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二期a</w:t>
            </w:r>
          </w:p>
        </w:tc>
        <w:tc>
          <w:tcPr>
            <w:tcW w:w="765" w:type="pct"/>
            <w:vAlign w:val="center"/>
          </w:tcPr>
          <w:p w14:paraId="744DA838">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98" w:type="pct"/>
            <w:vAlign w:val="center"/>
          </w:tcPr>
          <w:p w14:paraId="623B4FB2">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680" w:type="pct"/>
            <w:vAlign w:val="center"/>
          </w:tcPr>
          <w:p w14:paraId="186D5A79">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765" w:type="pct"/>
            <w:vAlign w:val="center"/>
          </w:tcPr>
          <w:p w14:paraId="3634A2A2">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15" w:type="pct"/>
            <w:vAlign w:val="center"/>
          </w:tcPr>
          <w:p w14:paraId="1C4FF00E">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r>
      <w:tr w14:paraId="416E9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2" w:type="pct"/>
            <w:vAlign w:val="center"/>
          </w:tcPr>
          <w:p w14:paraId="70B5525F">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其他平原区（√）</w:t>
            </w:r>
          </w:p>
        </w:tc>
        <w:tc>
          <w:tcPr>
            <w:tcW w:w="594" w:type="pct"/>
            <w:vAlign w:val="center"/>
          </w:tcPr>
          <w:p w14:paraId="7725EC43">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枯丰</w:t>
            </w:r>
          </w:p>
        </w:tc>
        <w:tc>
          <w:tcPr>
            <w:tcW w:w="765" w:type="pct"/>
            <w:vAlign w:val="center"/>
          </w:tcPr>
          <w:p w14:paraId="04E5B9F5">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98" w:type="pct"/>
            <w:vAlign w:val="center"/>
          </w:tcPr>
          <w:p w14:paraId="7C1BA9F7">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680" w:type="pct"/>
            <w:vAlign w:val="center"/>
          </w:tcPr>
          <w:p w14:paraId="4C547140">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枯</w:t>
            </w:r>
          </w:p>
        </w:tc>
        <w:tc>
          <w:tcPr>
            <w:tcW w:w="765" w:type="pct"/>
            <w:vAlign w:val="center"/>
          </w:tcPr>
          <w:p w14:paraId="5E897C4A">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15" w:type="pct"/>
            <w:vAlign w:val="center"/>
          </w:tcPr>
          <w:p w14:paraId="5B720D21">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r>
      <w:tr w14:paraId="54D12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2" w:type="pct"/>
            <w:vAlign w:val="center"/>
          </w:tcPr>
          <w:p w14:paraId="4B2C252F">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黄土地区</w:t>
            </w:r>
          </w:p>
        </w:tc>
        <w:tc>
          <w:tcPr>
            <w:tcW w:w="594" w:type="pct"/>
            <w:vAlign w:val="center"/>
          </w:tcPr>
          <w:p w14:paraId="779B4F9E">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枯平丰</w:t>
            </w:r>
          </w:p>
        </w:tc>
        <w:tc>
          <w:tcPr>
            <w:tcW w:w="765" w:type="pct"/>
            <w:vAlign w:val="center"/>
          </w:tcPr>
          <w:p w14:paraId="1C4A4E8C">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98" w:type="pct"/>
            <w:vAlign w:val="center"/>
          </w:tcPr>
          <w:p w14:paraId="69B404EF">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680" w:type="pct"/>
            <w:vAlign w:val="center"/>
          </w:tcPr>
          <w:p w14:paraId="3A2E27E1">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二期</w:t>
            </w:r>
          </w:p>
        </w:tc>
        <w:tc>
          <w:tcPr>
            <w:tcW w:w="765" w:type="pct"/>
            <w:vAlign w:val="center"/>
          </w:tcPr>
          <w:p w14:paraId="17BCC186">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15" w:type="pct"/>
            <w:vAlign w:val="center"/>
          </w:tcPr>
          <w:p w14:paraId="3F5902E7">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r>
      <w:tr w14:paraId="55D6B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2" w:type="pct"/>
            <w:vAlign w:val="center"/>
          </w:tcPr>
          <w:p w14:paraId="77D937DF">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沙漠地区</w:t>
            </w:r>
          </w:p>
        </w:tc>
        <w:tc>
          <w:tcPr>
            <w:tcW w:w="594" w:type="pct"/>
            <w:vAlign w:val="center"/>
          </w:tcPr>
          <w:p w14:paraId="634155E1">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枯丰</w:t>
            </w:r>
          </w:p>
        </w:tc>
        <w:tc>
          <w:tcPr>
            <w:tcW w:w="765" w:type="pct"/>
            <w:vAlign w:val="center"/>
          </w:tcPr>
          <w:p w14:paraId="5C8879EB">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98" w:type="pct"/>
            <w:vAlign w:val="center"/>
          </w:tcPr>
          <w:p w14:paraId="7ABA1CC3">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680" w:type="pct"/>
            <w:vAlign w:val="center"/>
          </w:tcPr>
          <w:p w14:paraId="50EE505C">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765" w:type="pct"/>
            <w:vAlign w:val="center"/>
          </w:tcPr>
          <w:p w14:paraId="618DCC6F">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15" w:type="pct"/>
            <w:vAlign w:val="center"/>
          </w:tcPr>
          <w:p w14:paraId="17E8B790">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r>
      <w:tr w14:paraId="291A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2" w:type="pct"/>
            <w:vAlign w:val="center"/>
          </w:tcPr>
          <w:p w14:paraId="2A60580A">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丘陵山区</w:t>
            </w:r>
          </w:p>
        </w:tc>
        <w:tc>
          <w:tcPr>
            <w:tcW w:w="594" w:type="pct"/>
            <w:vAlign w:val="center"/>
          </w:tcPr>
          <w:p w14:paraId="4D1E4961">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枯丰</w:t>
            </w:r>
          </w:p>
        </w:tc>
        <w:tc>
          <w:tcPr>
            <w:tcW w:w="765" w:type="pct"/>
            <w:vAlign w:val="center"/>
          </w:tcPr>
          <w:p w14:paraId="1DF1EE99">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98" w:type="pct"/>
            <w:vAlign w:val="center"/>
          </w:tcPr>
          <w:p w14:paraId="655B2DAF">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680" w:type="pct"/>
            <w:vAlign w:val="center"/>
          </w:tcPr>
          <w:p w14:paraId="75F48510">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765" w:type="pct"/>
            <w:vAlign w:val="center"/>
          </w:tcPr>
          <w:p w14:paraId="40A1A5A2">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15" w:type="pct"/>
            <w:vAlign w:val="center"/>
          </w:tcPr>
          <w:p w14:paraId="145C0435">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r>
      <w:tr w14:paraId="03634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2" w:type="pct"/>
            <w:vAlign w:val="center"/>
          </w:tcPr>
          <w:p w14:paraId="69BAA986">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岩溶裂隙</w:t>
            </w:r>
          </w:p>
        </w:tc>
        <w:tc>
          <w:tcPr>
            <w:tcW w:w="594" w:type="pct"/>
            <w:vAlign w:val="center"/>
          </w:tcPr>
          <w:p w14:paraId="3906778F">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枯丰</w:t>
            </w:r>
          </w:p>
        </w:tc>
        <w:tc>
          <w:tcPr>
            <w:tcW w:w="765" w:type="pct"/>
            <w:vAlign w:val="center"/>
          </w:tcPr>
          <w:p w14:paraId="482588C8">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98" w:type="pct"/>
            <w:vAlign w:val="center"/>
          </w:tcPr>
          <w:p w14:paraId="62FD46B5">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680" w:type="pct"/>
            <w:vAlign w:val="center"/>
          </w:tcPr>
          <w:p w14:paraId="298E76BB">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枯丰</w:t>
            </w:r>
          </w:p>
        </w:tc>
        <w:tc>
          <w:tcPr>
            <w:tcW w:w="765" w:type="pct"/>
            <w:vAlign w:val="center"/>
          </w:tcPr>
          <w:p w14:paraId="596DA9C4">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15" w:type="pct"/>
            <w:vAlign w:val="center"/>
          </w:tcPr>
          <w:p w14:paraId="5F16A921">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r>
      <w:tr w14:paraId="1163D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2" w:type="pct"/>
            <w:vAlign w:val="center"/>
          </w:tcPr>
          <w:p w14:paraId="132EFA55">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岩溶管道</w:t>
            </w:r>
          </w:p>
        </w:tc>
        <w:tc>
          <w:tcPr>
            <w:tcW w:w="594" w:type="pct"/>
            <w:vAlign w:val="center"/>
          </w:tcPr>
          <w:p w14:paraId="0C4647D4">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二期</w:t>
            </w:r>
          </w:p>
        </w:tc>
        <w:tc>
          <w:tcPr>
            <w:tcW w:w="765" w:type="pct"/>
            <w:vAlign w:val="center"/>
          </w:tcPr>
          <w:p w14:paraId="7F3E4549">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98" w:type="pct"/>
            <w:vAlign w:val="center"/>
          </w:tcPr>
          <w:p w14:paraId="12F50758">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680" w:type="pct"/>
            <w:vAlign w:val="center"/>
          </w:tcPr>
          <w:p w14:paraId="5D277E54">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二期</w:t>
            </w:r>
          </w:p>
        </w:tc>
        <w:tc>
          <w:tcPr>
            <w:tcW w:w="765" w:type="pct"/>
            <w:vAlign w:val="center"/>
          </w:tcPr>
          <w:p w14:paraId="4F2641AB">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15" w:type="pct"/>
            <w:vAlign w:val="center"/>
          </w:tcPr>
          <w:p w14:paraId="09B21F35">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r>
      <w:tr w14:paraId="08245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7"/>
            <w:vAlign w:val="center"/>
          </w:tcPr>
          <w:p w14:paraId="3F67B1FF">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a “二期”的间隔有明显水位变化，其变化幅度接近年内变幅。</w:t>
            </w:r>
          </w:p>
        </w:tc>
      </w:tr>
    </w:tbl>
    <w:p w14:paraId="74D2921F">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根据《环境影响评价技术导则 地下水环境》（HJ610- 2016），本项目地下水评价等级为</w:t>
      </w:r>
      <w:r>
        <w:rPr>
          <w:rFonts w:hint="eastAsia" w:ascii="Times New Roman" w:hAnsi="Times New Roman" w:cs="Times New Roman" w:eastAsiaTheme="minorEastAsia"/>
          <w:color w:val="auto"/>
          <w:w w:val="99"/>
          <w:highlight w:val="none"/>
          <w:lang w:val="en-US" w:eastAsia="zh-CN"/>
        </w:rPr>
        <w:t>二</w:t>
      </w:r>
      <w:r>
        <w:rPr>
          <w:rFonts w:ascii="Times New Roman" w:hAnsi="Times New Roman" w:cs="Times New Roman" w:eastAsiaTheme="minorEastAsia"/>
          <w:color w:val="auto"/>
          <w:w w:val="99"/>
          <w:highlight w:val="none"/>
        </w:rPr>
        <w:t>级，</w:t>
      </w:r>
      <w:r>
        <w:rPr>
          <w:rFonts w:hint="eastAsia" w:ascii="Times New Roman" w:hAnsi="Times New Roman" w:cs="Times New Roman" w:eastAsiaTheme="minorEastAsia"/>
          <w:color w:val="auto"/>
          <w:w w:val="99"/>
          <w:highlight w:val="none"/>
          <w:lang w:val="en-US" w:eastAsia="zh-CN"/>
        </w:rPr>
        <w:t>二</w:t>
      </w:r>
      <w:r>
        <w:rPr>
          <w:rFonts w:ascii="Times New Roman" w:hAnsi="Times New Roman" w:cs="Times New Roman" w:eastAsiaTheme="minorEastAsia"/>
          <w:color w:val="auto"/>
          <w:w w:val="99"/>
          <w:highlight w:val="none"/>
        </w:rPr>
        <w:t>级评价项目潜水含水层水质监测点应不少于</w:t>
      </w:r>
      <w:r>
        <w:rPr>
          <w:rFonts w:hint="eastAsia" w:ascii="Times New Roman" w:hAnsi="Times New Roman" w:cs="Times New Roman" w:eastAsiaTheme="minorEastAsia"/>
          <w:color w:val="auto"/>
          <w:w w:val="99"/>
          <w:highlight w:val="none"/>
          <w:lang w:val="en-US" w:eastAsia="zh-CN"/>
        </w:rPr>
        <w:t>5</w:t>
      </w:r>
      <w:r>
        <w:rPr>
          <w:rFonts w:ascii="Times New Roman" w:hAnsi="Times New Roman" w:cs="Times New Roman" w:eastAsiaTheme="minorEastAsia"/>
          <w:color w:val="auto"/>
          <w:w w:val="99"/>
          <w:highlight w:val="none"/>
        </w:rPr>
        <w:t>个，可能受建设项目影响且具有饮用水开发利用价值的含水层</w:t>
      </w:r>
      <w:r>
        <w:rPr>
          <w:rFonts w:hint="eastAsia" w:ascii="Times New Roman" w:hAnsi="Times New Roman" w:cs="Times New Roman" w:eastAsiaTheme="minorEastAsia"/>
          <w:color w:val="auto"/>
          <w:w w:val="99"/>
          <w:highlight w:val="none"/>
          <w:lang w:val="en-US" w:eastAsia="zh-CN"/>
        </w:rPr>
        <w:t>2</w:t>
      </w:r>
      <w:r>
        <w:rPr>
          <w:rFonts w:ascii="Times New Roman" w:hAnsi="Times New Roman" w:cs="Times New Roman" w:eastAsiaTheme="minorEastAsia"/>
          <w:color w:val="auto"/>
          <w:w w:val="99"/>
          <w:highlight w:val="none"/>
        </w:rPr>
        <w:t>~</w:t>
      </w:r>
      <w:r>
        <w:rPr>
          <w:rFonts w:hint="eastAsia" w:ascii="Times New Roman" w:hAnsi="Times New Roman" w:cs="Times New Roman" w:eastAsiaTheme="minorEastAsia"/>
          <w:color w:val="auto"/>
          <w:w w:val="99"/>
          <w:highlight w:val="none"/>
          <w:lang w:val="en-US" w:eastAsia="zh-CN"/>
        </w:rPr>
        <w:t>4</w:t>
      </w:r>
      <w:r>
        <w:rPr>
          <w:rFonts w:ascii="Times New Roman" w:hAnsi="Times New Roman" w:cs="Times New Roman" w:eastAsiaTheme="minorEastAsia"/>
          <w:color w:val="auto"/>
          <w:w w:val="99"/>
          <w:highlight w:val="none"/>
        </w:rPr>
        <w:t>个</w:t>
      </w:r>
      <w:r>
        <w:rPr>
          <w:rFonts w:hint="eastAsia" w:ascii="Times New Roman" w:hAnsi="Times New Roman" w:cs="Times New Roman" w:eastAsiaTheme="minorEastAsia"/>
          <w:color w:val="auto"/>
          <w:w w:val="99"/>
          <w:highlight w:val="none"/>
        </w:rPr>
        <w:t>。原则上建设项目场地上游和两侧的地下水水质监测点均不得少于1个，建设项目场地及其下游影响区的地下水水质监测点不得少于2个</w:t>
      </w:r>
      <w:r>
        <w:rPr>
          <w:rFonts w:ascii="Times New Roman" w:hAnsi="Times New Roman" w:cs="Times New Roman" w:eastAsiaTheme="minorEastAsia"/>
          <w:color w:val="auto"/>
          <w:w w:val="99"/>
          <w:highlight w:val="none"/>
        </w:rPr>
        <w:t>；一般情况下，地下水水位监测点数以不小于相应评价级别地下水水质监测点数的 2 倍为宜。本项目监测点位满足要求</w:t>
      </w:r>
      <w:r>
        <w:rPr>
          <w:rFonts w:hint="eastAsia" w:ascii="Times New Roman" w:hAnsi="Times New Roman" w:cs="Times New Roman" w:eastAsiaTheme="minorEastAsia"/>
          <w:color w:val="auto"/>
          <w:w w:val="99"/>
          <w:highlight w:val="none"/>
        </w:rPr>
        <w:t>。</w:t>
      </w:r>
    </w:p>
    <w:p w14:paraId="4D3C9E74">
      <w:pPr>
        <w:widowControl w:val="0"/>
        <w:spacing w:line="440" w:lineRule="exact"/>
        <w:ind w:firstLine="474" w:firstLineChars="200"/>
        <w:jc w:val="both"/>
        <w:rPr>
          <w:rFonts w:hint="default" w:ascii="Times New Roman" w:hAnsi="Times New Roman" w:eastAsia="宋体" w:cs="Times New Roman"/>
          <w:color w:val="auto"/>
          <w:w w:val="99"/>
          <w:highlight w:val="none"/>
          <w:lang w:val="en-US" w:eastAsia="zh-CN"/>
        </w:rPr>
      </w:pPr>
      <w:r>
        <w:rPr>
          <w:rFonts w:ascii="Times New Roman" w:hAnsi="Times New Roman" w:cs="Times New Roman"/>
          <w:color w:val="auto"/>
          <w:w w:val="99"/>
          <w:highlight w:val="none"/>
        </w:rPr>
        <w:t>本项目</w:t>
      </w:r>
      <w:r>
        <w:rPr>
          <w:rFonts w:hint="eastAsia" w:ascii="Times New Roman" w:hAnsi="Times New Roman" w:cs="Times New Roman"/>
          <w:color w:val="auto"/>
          <w:w w:val="99"/>
          <w:highlight w:val="none"/>
          <w:lang w:val="en-US" w:eastAsia="zh-CN"/>
        </w:rPr>
        <w:t>共</w:t>
      </w:r>
      <w:r>
        <w:rPr>
          <w:rFonts w:hint="eastAsia" w:ascii="Times New Roman" w:hAnsi="Times New Roman" w:cs="Times New Roman"/>
          <w:color w:val="auto"/>
          <w:w w:val="99"/>
          <w:highlight w:val="none"/>
        </w:rPr>
        <w:t>布设</w:t>
      </w:r>
      <w:r>
        <w:rPr>
          <w:rFonts w:hint="eastAsia" w:ascii="Times New Roman" w:hAnsi="Times New Roman" w:cs="Times New Roman"/>
          <w:color w:val="auto"/>
          <w:w w:val="99"/>
          <w:highlight w:val="none"/>
          <w:lang w:val="en-US" w:eastAsia="zh-CN"/>
        </w:rPr>
        <w:t>7</w:t>
      </w:r>
      <w:r>
        <w:rPr>
          <w:rFonts w:hint="eastAsia" w:ascii="Times New Roman" w:hAnsi="Times New Roman" w:cs="Times New Roman"/>
          <w:color w:val="auto"/>
          <w:w w:val="99"/>
          <w:highlight w:val="none"/>
        </w:rPr>
        <w:t>个水质监测点，</w:t>
      </w:r>
      <w:r>
        <w:rPr>
          <w:rFonts w:hint="eastAsia" w:ascii="Times New Roman" w:hAnsi="Times New Roman" w:cs="Times New Roman"/>
          <w:color w:val="auto"/>
          <w:w w:val="99"/>
          <w:highlight w:val="none"/>
          <w:lang w:val="en-US" w:eastAsia="zh-CN"/>
        </w:rPr>
        <w:t>14</w:t>
      </w:r>
      <w:r>
        <w:rPr>
          <w:rFonts w:hint="eastAsia" w:ascii="Times New Roman" w:hAnsi="Times New Roman" w:cs="Times New Roman"/>
          <w:color w:val="auto"/>
          <w:w w:val="99"/>
          <w:highlight w:val="none"/>
        </w:rPr>
        <w:t>个水位监测点，</w:t>
      </w:r>
      <w:r>
        <w:rPr>
          <w:rFonts w:hint="eastAsia" w:ascii="Times New Roman" w:hAnsi="Times New Roman" w:cs="Times New Roman"/>
          <w:color w:val="auto"/>
          <w:w w:val="99"/>
          <w:highlight w:val="none"/>
          <w:lang w:val="en-US" w:eastAsia="zh-CN"/>
        </w:rPr>
        <w:t>其中部分点位</w:t>
      </w:r>
      <w:r>
        <w:rPr>
          <w:rFonts w:hint="eastAsia" w:ascii="Times New Roman" w:hAnsi="Times New Roman" w:cs="Times New Roman"/>
          <w:color w:val="auto"/>
          <w:w w:val="99"/>
          <w:highlight w:val="none"/>
        </w:rPr>
        <w:t>引用《徐深气田徐深27-H1钻井工程项目监测报告》中地下水水位及水质监测点位数据。</w:t>
      </w:r>
    </w:p>
    <w:p w14:paraId="2997B743">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4.3.2.1地下水位监测</w:t>
      </w:r>
    </w:p>
    <w:p w14:paraId="3C5E4721">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（1）监测点位</w:t>
      </w:r>
    </w:p>
    <w:p w14:paraId="07DB82E6">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根据本项目地层特征，以及地下水含水层特点和区域水资源开发利用情况，参照《环境影响评价技术导则 地下水环境》（HJ 610-2016），项目区域内共布设</w:t>
      </w:r>
      <w:r>
        <w:rPr>
          <w:rFonts w:hint="eastAsia" w:ascii="Times New Roman" w:hAnsi="Times New Roman" w:cs="Times New Roman"/>
          <w:color w:val="auto"/>
          <w:w w:val="99"/>
          <w:highlight w:val="none"/>
        </w:rPr>
        <w:t>15</w:t>
      </w:r>
      <w:r>
        <w:rPr>
          <w:rFonts w:ascii="Times New Roman" w:hAnsi="Times New Roman" w:cs="Times New Roman"/>
          <w:color w:val="auto"/>
          <w:w w:val="99"/>
          <w:highlight w:val="none"/>
        </w:rPr>
        <w:t>个地下水水位监测点，</w:t>
      </w:r>
      <w:r>
        <w:rPr>
          <w:rFonts w:ascii="Times New Roman" w:hAnsi="Times New Roman" w:cs="Times New Roman" w:eastAsiaTheme="minorEastAsia"/>
          <w:color w:val="auto"/>
          <w:w w:val="99"/>
          <w:highlight w:val="none"/>
        </w:rPr>
        <w:t>其中，潜水水位监测点</w:t>
      </w:r>
      <w:r>
        <w:rPr>
          <w:rFonts w:hint="eastAsia" w:ascii="Times New Roman" w:hAnsi="Times New Roman" w:cs="Times New Roman" w:eastAsiaTheme="minorEastAsia"/>
          <w:color w:val="auto"/>
          <w:w w:val="99"/>
          <w:highlight w:val="none"/>
        </w:rPr>
        <w:t>11</w:t>
      </w:r>
      <w:r>
        <w:rPr>
          <w:rFonts w:ascii="Times New Roman" w:hAnsi="Times New Roman" w:cs="Times New Roman" w:eastAsiaTheme="minorEastAsia"/>
          <w:color w:val="auto"/>
          <w:w w:val="99"/>
          <w:highlight w:val="none"/>
        </w:rPr>
        <w:t>个，承压水水位监测点</w:t>
      </w:r>
      <w:r>
        <w:rPr>
          <w:rFonts w:hint="eastAsia" w:ascii="Times New Roman" w:hAnsi="Times New Roman" w:cs="Times New Roman" w:eastAsiaTheme="minorEastAsia"/>
          <w:color w:val="auto"/>
          <w:w w:val="99"/>
          <w:highlight w:val="none"/>
        </w:rPr>
        <w:t>4</w:t>
      </w:r>
      <w:r>
        <w:rPr>
          <w:rFonts w:ascii="Times New Roman" w:hAnsi="Times New Roman" w:cs="Times New Roman" w:eastAsiaTheme="minorEastAsia"/>
          <w:color w:val="auto"/>
          <w:w w:val="99"/>
          <w:highlight w:val="none"/>
        </w:rPr>
        <w:t>个，地下水水位监测具体</w:t>
      </w:r>
      <w:r>
        <w:rPr>
          <w:rFonts w:ascii="Times New Roman" w:hAnsi="Times New Roman" w:cs="Times New Roman"/>
          <w:color w:val="auto"/>
          <w:w w:val="99"/>
          <w:highlight w:val="none"/>
        </w:rPr>
        <w:t>见下表。</w:t>
      </w:r>
    </w:p>
    <w:p w14:paraId="0B397717">
      <w:pPr>
        <w:widowControl w:val="0"/>
        <w:spacing w:line="440" w:lineRule="exact"/>
        <w:ind w:firstLine="476" w:firstLineChars="200"/>
        <w:jc w:val="both"/>
        <w:rPr>
          <w:rFonts w:ascii="Times New Roman" w:hAnsi="Times New Roman" w:cs="Times New Roman"/>
          <w:b/>
          <w:color w:val="auto"/>
          <w:w w:val="99"/>
          <w:kern w:val="21"/>
          <w:szCs w:val="20"/>
          <w:highlight w:val="none"/>
        </w:rPr>
      </w:pPr>
      <w:r>
        <w:rPr>
          <w:rFonts w:ascii="Times New Roman" w:hAnsi="Times New Roman" w:cs="Times New Roman"/>
          <w:b/>
          <w:color w:val="auto"/>
          <w:w w:val="99"/>
          <w:kern w:val="21"/>
          <w:szCs w:val="20"/>
          <w:highlight w:val="none"/>
        </w:rPr>
        <w:t>表4.3-6    地下水水位监测点基本情况表</w:t>
      </w:r>
    </w:p>
    <w:tbl>
      <w:tblPr>
        <w:tblStyle w:val="81"/>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89"/>
        <w:gridCol w:w="1891"/>
        <w:gridCol w:w="1168"/>
        <w:gridCol w:w="945"/>
        <w:gridCol w:w="945"/>
        <w:gridCol w:w="1161"/>
        <w:gridCol w:w="1239"/>
        <w:gridCol w:w="1242"/>
      </w:tblGrid>
      <w:tr w14:paraId="18A548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1" w:type="pct"/>
            <w:vAlign w:val="center"/>
          </w:tcPr>
          <w:p w14:paraId="369A7669">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编号</w:t>
            </w:r>
          </w:p>
        </w:tc>
        <w:tc>
          <w:tcPr>
            <w:tcW w:w="1018" w:type="pct"/>
            <w:vAlign w:val="center"/>
          </w:tcPr>
          <w:p w14:paraId="5EBD77CE">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监测点位置</w:t>
            </w:r>
          </w:p>
        </w:tc>
        <w:tc>
          <w:tcPr>
            <w:tcW w:w="629" w:type="pct"/>
            <w:vAlign w:val="center"/>
          </w:tcPr>
          <w:p w14:paraId="25A9F5A0">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与项目方位关系</w:t>
            </w:r>
          </w:p>
        </w:tc>
        <w:tc>
          <w:tcPr>
            <w:tcW w:w="509" w:type="pct"/>
            <w:vAlign w:val="center"/>
          </w:tcPr>
          <w:p w14:paraId="0440C229">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监测层位</w:t>
            </w:r>
          </w:p>
        </w:tc>
        <w:tc>
          <w:tcPr>
            <w:tcW w:w="509" w:type="pct"/>
            <w:vAlign w:val="center"/>
          </w:tcPr>
          <w:p w14:paraId="436559DD">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井深m</w:t>
            </w:r>
          </w:p>
        </w:tc>
        <w:tc>
          <w:tcPr>
            <w:tcW w:w="625" w:type="pct"/>
            <w:vAlign w:val="center"/>
          </w:tcPr>
          <w:p w14:paraId="22354B41">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水位（m）</w:t>
            </w:r>
          </w:p>
        </w:tc>
        <w:tc>
          <w:tcPr>
            <w:tcW w:w="667" w:type="pct"/>
            <w:vAlign w:val="center"/>
          </w:tcPr>
          <w:p w14:paraId="7194B987">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水井功能</w:t>
            </w:r>
          </w:p>
        </w:tc>
        <w:tc>
          <w:tcPr>
            <w:tcW w:w="668" w:type="pct"/>
            <w:vAlign w:val="center"/>
          </w:tcPr>
          <w:p w14:paraId="31929834">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备注</w:t>
            </w:r>
          </w:p>
        </w:tc>
      </w:tr>
      <w:tr w14:paraId="5F074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1" w:type="pct"/>
            <w:vAlign w:val="center"/>
          </w:tcPr>
          <w:p w14:paraId="6464E827">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p>
        </w:tc>
        <w:tc>
          <w:tcPr>
            <w:tcW w:w="1018" w:type="pct"/>
            <w:tcBorders>
              <w:bottom w:val="single" w:color="auto" w:sz="4" w:space="0"/>
            </w:tcBorders>
            <w:vAlign w:val="center"/>
          </w:tcPr>
          <w:p w14:paraId="0E2B1DAD">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尚家围子屯吕家水井</w:t>
            </w:r>
          </w:p>
        </w:tc>
        <w:tc>
          <w:tcPr>
            <w:tcW w:w="629" w:type="pct"/>
            <w:tcBorders>
              <w:bottom w:val="single" w:color="auto" w:sz="4" w:space="0"/>
            </w:tcBorders>
            <w:vAlign w:val="center"/>
          </w:tcPr>
          <w:p w14:paraId="271E32D7">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侧向</w:t>
            </w:r>
          </w:p>
        </w:tc>
        <w:tc>
          <w:tcPr>
            <w:tcW w:w="509" w:type="pct"/>
            <w:tcBorders>
              <w:bottom w:val="single" w:color="auto" w:sz="4" w:space="0"/>
            </w:tcBorders>
            <w:vAlign w:val="center"/>
          </w:tcPr>
          <w:p w14:paraId="4C913666">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潜水</w:t>
            </w:r>
          </w:p>
        </w:tc>
        <w:tc>
          <w:tcPr>
            <w:tcW w:w="509" w:type="pct"/>
            <w:vAlign w:val="center"/>
          </w:tcPr>
          <w:p w14:paraId="79E0CE27">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15</w:t>
            </w:r>
          </w:p>
        </w:tc>
        <w:tc>
          <w:tcPr>
            <w:tcW w:w="625" w:type="pct"/>
            <w:vAlign w:val="center"/>
          </w:tcPr>
          <w:p w14:paraId="4051ABF9">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171.2</w:t>
            </w:r>
          </w:p>
        </w:tc>
        <w:tc>
          <w:tcPr>
            <w:tcW w:w="667" w:type="pct"/>
            <w:vAlign w:val="center"/>
          </w:tcPr>
          <w:p w14:paraId="183F4866">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rPr>
              <w:t>、畜牧养殖</w:t>
            </w:r>
          </w:p>
        </w:tc>
        <w:tc>
          <w:tcPr>
            <w:tcW w:w="668" w:type="pct"/>
            <w:vAlign w:val="center"/>
          </w:tcPr>
          <w:p w14:paraId="4F597F1D">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引用</w:t>
            </w:r>
          </w:p>
        </w:tc>
      </w:tr>
      <w:tr w14:paraId="791A8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1" w:type="pct"/>
            <w:vAlign w:val="center"/>
          </w:tcPr>
          <w:p w14:paraId="19093EDC">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w:t>
            </w:r>
          </w:p>
        </w:tc>
        <w:tc>
          <w:tcPr>
            <w:tcW w:w="1018" w:type="pct"/>
            <w:tcBorders>
              <w:top w:val="single" w:color="auto" w:sz="4" w:space="0"/>
            </w:tcBorders>
            <w:vAlign w:val="center"/>
          </w:tcPr>
          <w:p w14:paraId="12BD47A8">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邢家围子屯周家水井</w:t>
            </w:r>
          </w:p>
        </w:tc>
        <w:tc>
          <w:tcPr>
            <w:tcW w:w="629" w:type="pct"/>
            <w:tcBorders>
              <w:top w:val="single" w:color="auto" w:sz="4" w:space="0"/>
            </w:tcBorders>
            <w:vAlign w:val="center"/>
          </w:tcPr>
          <w:p w14:paraId="0272A152">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侧向</w:t>
            </w:r>
          </w:p>
        </w:tc>
        <w:tc>
          <w:tcPr>
            <w:tcW w:w="509" w:type="pct"/>
            <w:tcBorders>
              <w:top w:val="single" w:color="auto" w:sz="4" w:space="0"/>
            </w:tcBorders>
            <w:vAlign w:val="center"/>
          </w:tcPr>
          <w:p w14:paraId="02A37D7E">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潜水</w:t>
            </w:r>
          </w:p>
        </w:tc>
        <w:tc>
          <w:tcPr>
            <w:tcW w:w="509" w:type="pct"/>
            <w:vAlign w:val="center"/>
          </w:tcPr>
          <w:p w14:paraId="5511EED1">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20</w:t>
            </w:r>
          </w:p>
        </w:tc>
        <w:tc>
          <w:tcPr>
            <w:tcW w:w="625" w:type="pct"/>
            <w:vAlign w:val="center"/>
          </w:tcPr>
          <w:p w14:paraId="2C03A090">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171.0</w:t>
            </w:r>
          </w:p>
        </w:tc>
        <w:tc>
          <w:tcPr>
            <w:tcW w:w="667" w:type="pct"/>
            <w:vAlign w:val="center"/>
          </w:tcPr>
          <w:p w14:paraId="223381F1">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rPr>
              <w:t>、畜牧养殖</w:t>
            </w:r>
          </w:p>
        </w:tc>
        <w:tc>
          <w:tcPr>
            <w:tcW w:w="668" w:type="pct"/>
            <w:vAlign w:val="center"/>
          </w:tcPr>
          <w:p w14:paraId="69EDC650">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引用</w:t>
            </w:r>
          </w:p>
        </w:tc>
      </w:tr>
      <w:tr w14:paraId="32159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1" w:type="pct"/>
            <w:vAlign w:val="center"/>
          </w:tcPr>
          <w:p w14:paraId="5B858851">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w:t>
            </w:r>
          </w:p>
        </w:tc>
        <w:tc>
          <w:tcPr>
            <w:tcW w:w="1018" w:type="pct"/>
            <w:tcBorders>
              <w:bottom w:val="single" w:color="auto" w:sz="4" w:space="0"/>
            </w:tcBorders>
            <w:vAlign w:val="center"/>
          </w:tcPr>
          <w:p w14:paraId="2CCB6950">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王家围子屯王家水井</w:t>
            </w:r>
          </w:p>
        </w:tc>
        <w:tc>
          <w:tcPr>
            <w:tcW w:w="629" w:type="pct"/>
            <w:tcBorders>
              <w:bottom w:val="single" w:color="auto" w:sz="4" w:space="0"/>
            </w:tcBorders>
            <w:vAlign w:val="center"/>
          </w:tcPr>
          <w:p w14:paraId="1293EC65">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上游</w:t>
            </w:r>
          </w:p>
        </w:tc>
        <w:tc>
          <w:tcPr>
            <w:tcW w:w="509" w:type="pct"/>
            <w:tcBorders>
              <w:bottom w:val="single" w:color="auto" w:sz="4" w:space="0"/>
            </w:tcBorders>
            <w:vAlign w:val="center"/>
          </w:tcPr>
          <w:p w14:paraId="4FE0995C">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潜水</w:t>
            </w:r>
          </w:p>
        </w:tc>
        <w:tc>
          <w:tcPr>
            <w:tcW w:w="509" w:type="pct"/>
            <w:vAlign w:val="center"/>
          </w:tcPr>
          <w:p w14:paraId="766840E0">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13</w:t>
            </w:r>
          </w:p>
        </w:tc>
        <w:tc>
          <w:tcPr>
            <w:tcW w:w="625" w:type="pct"/>
            <w:vAlign w:val="center"/>
          </w:tcPr>
          <w:p w14:paraId="188DC524">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172.3</w:t>
            </w:r>
          </w:p>
        </w:tc>
        <w:tc>
          <w:tcPr>
            <w:tcW w:w="667" w:type="pct"/>
            <w:vAlign w:val="center"/>
          </w:tcPr>
          <w:p w14:paraId="11D0C1FC">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rPr>
              <w:t>、畜牧养殖</w:t>
            </w:r>
          </w:p>
        </w:tc>
        <w:tc>
          <w:tcPr>
            <w:tcW w:w="668" w:type="pct"/>
            <w:vAlign w:val="center"/>
          </w:tcPr>
          <w:p w14:paraId="7D159FEA">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引用</w:t>
            </w:r>
          </w:p>
        </w:tc>
      </w:tr>
      <w:tr w14:paraId="11530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1" w:type="pct"/>
            <w:vAlign w:val="center"/>
          </w:tcPr>
          <w:p w14:paraId="14745BBA">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w:t>
            </w:r>
          </w:p>
        </w:tc>
        <w:tc>
          <w:tcPr>
            <w:tcW w:w="1018" w:type="pct"/>
            <w:tcBorders>
              <w:top w:val="single" w:color="auto" w:sz="4" w:space="0"/>
            </w:tcBorders>
            <w:vAlign w:val="center"/>
          </w:tcPr>
          <w:p w14:paraId="4EEF9D7A">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杨家屯陈家水井</w:t>
            </w:r>
          </w:p>
        </w:tc>
        <w:tc>
          <w:tcPr>
            <w:tcW w:w="629" w:type="pct"/>
            <w:tcBorders>
              <w:top w:val="single" w:color="auto" w:sz="4" w:space="0"/>
            </w:tcBorders>
            <w:vAlign w:val="center"/>
          </w:tcPr>
          <w:p w14:paraId="59791FEB">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下游</w:t>
            </w:r>
          </w:p>
        </w:tc>
        <w:tc>
          <w:tcPr>
            <w:tcW w:w="509" w:type="pct"/>
            <w:tcBorders>
              <w:top w:val="single" w:color="auto" w:sz="4" w:space="0"/>
            </w:tcBorders>
            <w:vAlign w:val="center"/>
          </w:tcPr>
          <w:p w14:paraId="16CA68F8">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潜水</w:t>
            </w:r>
          </w:p>
        </w:tc>
        <w:tc>
          <w:tcPr>
            <w:tcW w:w="509" w:type="pct"/>
            <w:vAlign w:val="center"/>
          </w:tcPr>
          <w:p w14:paraId="6E29A977">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18</w:t>
            </w:r>
          </w:p>
        </w:tc>
        <w:tc>
          <w:tcPr>
            <w:tcW w:w="625" w:type="pct"/>
            <w:vAlign w:val="center"/>
          </w:tcPr>
          <w:p w14:paraId="4F571CFC">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169.8</w:t>
            </w:r>
          </w:p>
        </w:tc>
        <w:tc>
          <w:tcPr>
            <w:tcW w:w="667" w:type="pct"/>
            <w:vAlign w:val="center"/>
          </w:tcPr>
          <w:p w14:paraId="5BFFD8F8">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rPr>
              <w:t>、畜牧养殖</w:t>
            </w:r>
          </w:p>
        </w:tc>
        <w:tc>
          <w:tcPr>
            <w:tcW w:w="668" w:type="pct"/>
            <w:vAlign w:val="center"/>
          </w:tcPr>
          <w:p w14:paraId="60BE7C7C">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引用</w:t>
            </w:r>
          </w:p>
        </w:tc>
      </w:tr>
      <w:tr w14:paraId="6717E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1" w:type="pct"/>
            <w:vAlign w:val="center"/>
          </w:tcPr>
          <w:p w14:paraId="326ACBDD">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5#</w:t>
            </w:r>
          </w:p>
        </w:tc>
        <w:tc>
          <w:tcPr>
            <w:tcW w:w="1018" w:type="pct"/>
            <w:tcBorders>
              <w:bottom w:val="single" w:color="auto" w:sz="4" w:space="0"/>
            </w:tcBorders>
            <w:shd w:val="clear" w:color="auto" w:fill="auto"/>
            <w:vAlign w:val="center"/>
          </w:tcPr>
          <w:p w14:paraId="461BACB6">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后柜屯</w:t>
            </w:r>
            <w:r>
              <w:rPr>
                <w:rFonts w:hint="eastAsia" w:ascii="Times New Roman" w:hAnsi="Times New Roman" w:cs="Times New Roman" w:eastAsiaTheme="minorEastAsia"/>
                <w:color w:val="auto"/>
                <w:w w:val="99"/>
                <w:sz w:val="21"/>
                <w:szCs w:val="21"/>
                <w:highlight w:val="none"/>
              </w:rPr>
              <w:t>赵家水井</w:t>
            </w:r>
          </w:p>
        </w:tc>
        <w:tc>
          <w:tcPr>
            <w:tcW w:w="629" w:type="pct"/>
            <w:tcBorders>
              <w:bottom w:val="single" w:color="auto" w:sz="4" w:space="0"/>
            </w:tcBorders>
            <w:shd w:val="clear" w:color="auto" w:fill="auto"/>
            <w:vAlign w:val="center"/>
          </w:tcPr>
          <w:p w14:paraId="2EBD95C7">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侧向</w:t>
            </w:r>
          </w:p>
        </w:tc>
        <w:tc>
          <w:tcPr>
            <w:tcW w:w="509" w:type="pct"/>
            <w:tcBorders>
              <w:bottom w:val="single" w:color="auto" w:sz="4" w:space="0"/>
            </w:tcBorders>
            <w:shd w:val="clear" w:color="auto" w:fill="auto"/>
            <w:vAlign w:val="center"/>
          </w:tcPr>
          <w:p w14:paraId="3A27B262">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潜水</w:t>
            </w:r>
          </w:p>
        </w:tc>
        <w:tc>
          <w:tcPr>
            <w:tcW w:w="509" w:type="pct"/>
            <w:shd w:val="clear" w:color="auto" w:fill="auto"/>
            <w:vAlign w:val="center"/>
          </w:tcPr>
          <w:p w14:paraId="1FF33132">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13</w:t>
            </w:r>
          </w:p>
        </w:tc>
        <w:tc>
          <w:tcPr>
            <w:tcW w:w="625" w:type="pct"/>
            <w:shd w:val="clear" w:color="auto" w:fill="auto"/>
            <w:vAlign w:val="center"/>
          </w:tcPr>
          <w:p w14:paraId="4FB30B9A">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171.4</w:t>
            </w:r>
          </w:p>
        </w:tc>
        <w:tc>
          <w:tcPr>
            <w:tcW w:w="667" w:type="pct"/>
            <w:shd w:val="clear" w:color="auto" w:fill="auto"/>
            <w:vAlign w:val="center"/>
          </w:tcPr>
          <w:p w14:paraId="22D0F4E1">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rPr>
              <w:t>、畜牧养殖</w:t>
            </w:r>
          </w:p>
        </w:tc>
        <w:tc>
          <w:tcPr>
            <w:tcW w:w="668" w:type="pct"/>
            <w:vAlign w:val="center"/>
          </w:tcPr>
          <w:p w14:paraId="63379525">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引用</w:t>
            </w:r>
          </w:p>
        </w:tc>
      </w:tr>
      <w:tr w14:paraId="7173AF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1" w:type="pct"/>
            <w:vAlign w:val="center"/>
          </w:tcPr>
          <w:p w14:paraId="075A87E3">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6#</w:t>
            </w:r>
          </w:p>
        </w:tc>
        <w:tc>
          <w:tcPr>
            <w:tcW w:w="1018" w:type="pct"/>
            <w:tcBorders>
              <w:top w:val="single" w:color="auto" w:sz="4" w:space="0"/>
            </w:tcBorders>
            <w:shd w:val="clear" w:color="auto" w:fill="auto"/>
            <w:vAlign w:val="center"/>
          </w:tcPr>
          <w:p w14:paraId="371BB96D">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崔永宝屯</w:t>
            </w:r>
            <w:r>
              <w:rPr>
                <w:rFonts w:hint="eastAsia" w:ascii="Times New Roman" w:hAnsi="Times New Roman" w:cs="Times New Roman" w:eastAsiaTheme="minorEastAsia"/>
                <w:color w:val="auto"/>
                <w:w w:val="99"/>
                <w:sz w:val="21"/>
                <w:szCs w:val="21"/>
                <w:highlight w:val="none"/>
              </w:rPr>
              <w:t>李家水井</w:t>
            </w:r>
          </w:p>
        </w:tc>
        <w:tc>
          <w:tcPr>
            <w:tcW w:w="629" w:type="pct"/>
            <w:tcBorders>
              <w:top w:val="single" w:color="auto" w:sz="4" w:space="0"/>
            </w:tcBorders>
            <w:shd w:val="clear" w:color="auto" w:fill="auto"/>
            <w:vAlign w:val="center"/>
          </w:tcPr>
          <w:p w14:paraId="3DA559A6">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下游</w:t>
            </w:r>
          </w:p>
        </w:tc>
        <w:tc>
          <w:tcPr>
            <w:tcW w:w="509" w:type="pct"/>
            <w:tcBorders>
              <w:top w:val="single" w:color="auto" w:sz="4" w:space="0"/>
            </w:tcBorders>
            <w:shd w:val="clear" w:color="auto" w:fill="auto"/>
            <w:vAlign w:val="center"/>
          </w:tcPr>
          <w:p w14:paraId="0B6D00FC">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潜水</w:t>
            </w:r>
          </w:p>
        </w:tc>
        <w:tc>
          <w:tcPr>
            <w:tcW w:w="509" w:type="pct"/>
            <w:shd w:val="clear" w:color="auto" w:fill="auto"/>
            <w:vAlign w:val="center"/>
          </w:tcPr>
          <w:p w14:paraId="6FCB888E">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20</w:t>
            </w:r>
          </w:p>
        </w:tc>
        <w:tc>
          <w:tcPr>
            <w:tcW w:w="625" w:type="pct"/>
            <w:shd w:val="clear" w:color="auto" w:fill="auto"/>
            <w:vAlign w:val="center"/>
          </w:tcPr>
          <w:p w14:paraId="6E429496">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170.2</w:t>
            </w:r>
          </w:p>
        </w:tc>
        <w:tc>
          <w:tcPr>
            <w:tcW w:w="667" w:type="pct"/>
            <w:shd w:val="clear" w:color="auto" w:fill="auto"/>
            <w:vAlign w:val="center"/>
          </w:tcPr>
          <w:p w14:paraId="0B4B3901">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rPr>
              <w:t>、畜牧养殖</w:t>
            </w:r>
          </w:p>
        </w:tc>
        <w:tc>
          <w:tcPr>
            <w:tcW w:w="668" w:type="pct"/>
            <w:vAlign w:val="center"/>
          </w:tcPr>
          <w:p w14:paraId="0FFD2700">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引用</w:t>
            </w:r>
          </w:p>
        </w:tc>
      </w:tr>
      <w:tr w14:paraId="3D93B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371" w:type="pct"/>
            <w:vAlign w:val="center"/>
          </w:tcPr>
          <w:p w14:paraId="451BA0D0">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7#</w:t>
            </w:r>
          </w:p>
        </w:tc>
        <w:tc>
          <w:tcPr>
            <w:tcW w:w="1018" w:type="pct"/>
            <w:tcBorders>
              <w:bottom w:val="single" w:color="auto" w:sz="4" w:space="0"/>
            </w:tcBorders>
            <w:shd w:val="clear" w:color="auto" w:fill="auto"/>
            <w:vAlign w:val="center"/>
          </w:tcPr>
          <w:p w14:paraId="4FF51F8E">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新发屯</w:t>
            </w:r>
            <w:r>
              <w:rPr>
                <w:rFonts w:hint="eastAsia" w:ascii="Times New Roman" w:hAnsi="Times New Roman" w:cs="Times New Roman" w:eastAsiaTheme="minorEastAsia"/>
                <w:color w:val="auto"/>
                <w:w w:val="99"/>
                <w:sz w:val="21"/>
                <w:szCs w:val="21"/>
                <w:highlight w:val="none"/>
              </w:rPr>
              <w:t>冯家水井</w:t>
            </w:r>
          </w:p>
        </w:tc>
        <w:tc>
          <w:tcPr>
            <w:tcW w:w="629" w:type="pct"/>
            <w:tcBorders>
              <w:bottom w:val="single" w:color="auto" w:sz="4" w:space="0"/>
            </w:tcBorders>
            <w:shd w:val="clear" w:color="auto" w:fill="auto"/>
            <w:vAlign w:val="center"/>
          </w:tcPr>
          <w:p w14:paraId="09C87C2E">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下游</w:t>
            </w:r>
          </w:p>
        </w:tc>
        <w:tc>
          <w:tcPr>
            <w:tcW w:w="509" w:type="pct"/>
            <w:tcBorders>
              <w:bottom w:val="single" w:color="auto" w:sz="4" w:space="0"/>
            </w:tcBorders>
            <w:shd w:val="clear" w:color="auto" w:fill="auto"/>
            <w:vAlign w:val="center"/>
          </w:tcPr>
          <w:p w14:paraId="6B50B245">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潜水</w:t>
            </w:r>
          </w:p>
        </w:tc>
        <w:tc>
          <w:tcPr>
            <w:tcW w:w="509" w:type="pct"/>
            <w:shd w:val="clear" w:color="auto" w:fill="auto"/>
            <w:vAlign w:val="center"/>
          </w:tcPr>
          <w:p w14:paraId="11D3FECD">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22</w:t>
            </w:r>
          </w:p>
        </w:tc>
        <w:tc>
          <w:tcPr>
            <w:tcW w:w="625" w:type="pct"/>
            <w:shd w:val="clear" w:color="auto" w:fill="auto"/>
            <w:vAlign w:val="center"/>
          </w:tcPr>
          <w:p w14:paraId="0CE2AA29">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170.8</w:t>
            </w:r>
          </w:p>
        </w:tc>
        <w:tc>
          <w:tcPr>
            <w:tcW w:w="667" w:type="pct"/>
            <w:shd w:val="clear" w:color="auto" w:fill="auto"/>
            <w:vAlign w:val="center"/>
          </w:tcPr>
          <w:p w14:paraId="6EA69666">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rPr>
              <w:t>、畜牧养殖</w:t>
            </w:r>
          </w:p>
        </w:tc>
        <w:tc>
          <w:tcPr>
            <w:tcW w:w="668" w:type="pct"/>
            <w:vAlign w:val="center"/>
          </w:tcPr>
          <w:p w14:paraId="20EFAAE6">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引用</w:t>
            </w:r>
          </w:p>
        </w:tc>
      </w:tr>
      <w:tr w14:paraId="145D68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1" w:type="pct"/>
            <w:vAlign w:val="center"/>
          </w:tcPr>
          <w:p w14:paraId="69E8F855">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8#</w:t>
            </w:r>
          </w:p>
        </w:tc>
        <w:tc>
          <w:tcPr>
            <w:tcW w:w="1018" w:type="pct"/>
            <w:tcBorders>
              <w:top w:val="single" w:color="auto" w:sz="4" w:space="0"/>
            </w:tcBorders>
            <w:shd w:val="clear" w:color="auto" w:fill="auto"/>
            <w:vAlign w:val="center"/>
          </w:tcPr>
          <w:p w14:paraId="298BBC95">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尚家围子屯孙家水井</w:t>
            </w:r>
          </w:p>
        </w:tc>
        <w:tc>
          <w:tcPr>
            <w:tcW w:w="629" w:type="pct"/>
            <w:tcBorders>
              <w:top w:val="single" w:color="auto" w:sz="4" w:space="0"/>
            </w:tcBorders>
            <w:shd w:val="clear" w:color="auto" w:fill="auto"/>
            <w:vAlign w:val="center"/>
          </w:tcPr>
          <w:p w14:paraId="70CE6296">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侧向</w:t>
            </w:r>
          </w:p>
        </w:tc>
        <w:tc>
          <w:tcPr>
            <w:tcW w:w="509" w:type="pct"/>
            <w:tcBorders>
              <w:top w:val="single" w:color="auto" w:sz="4" w:space="0"/>
            </w:tcBorders>
            <w:shd w:val="clear" w:color="auto" w:fill="auto"/>
            <w:vAlign w:val="center"/>
          </w:tcPr>
          <w:p w14:paraId="38A9191E">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承压水</w:t>
            </w:r>
          </w:p>
        </w:tc>
        <w:tc>
          <w:tcPr>
            <w:tcW w:w="509" w:type="pct"/>
            <w:shd w:val="clear" w:color="auto" w:fill="auto"/>
            <w:vAlign w:val="center"/>
          </w:tcPr>
          <w:p w14:paraId="4A355ADB">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65</w:t>
            </w:r>
          </w:p>
        </w:tc>
        <w:tc>
          <w:tcPr>
            <w:tcW w:w="625" w:type="pct"/>
            <w:shd w:val="clear" w:color="auto" w:fill="auto"/>
            <w:vAlign w:val="center"/>
          </w:tcPr>
          <w:p w14:paraId="7BEB5DEB">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184.5</w:t>
            </w:r>
          </w:p>
        </w:tc>
        <w:tc>
          <w:tcPr>
            <w:tcW w:w="667" w:type="pct"/>
            <w:shd w:val="clear" w:color="auto" w:fill="auto"/>
            <w:vAlign w:val="center"/>
          </w:tcPr>
          <w:p w14:paraId="0F7F02D3">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rPr>
              <w:t>、畜牧养殖</w:t>
            </w:r>
          </w:p>
        </w:tc>
        <w:tc>
          <w:tcPr>
            <w:tcW w:w="668" w:type="pct"/>
            <w:vAlign w:val="center"/>
          </w:tcPr>
          <w:p w14:paraId="76AC47CA">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引用</w:t>
            </w:r>
          </w:p>
        </w:tc>
      </w:tr>
      <w:tr w14:paraId="0E94D1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1" w:type="pct"/>
            <w:vAlign w:val="center"/>
          </w:tcPr>
          <w:p w14:paraId="7CE8CFE1">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9#</w:t>
            </w:r>
          </w:p>
        </w:tc>
        <w:tc>
          <w:tcPr>
            <w:tcW w:w="1018" w:type="pct"/>
            <w:tcBorders>
              <w:bottom w:val="single" w:color="auto" w:sz="4" w:space="0"/>
            </w:tcBorders>
            <w:shd w:val="clear" w:color="auto" w:fill="auto"/>
            <w:vAlign w:val="center"/>
          </w:tcPr>
          <w:p w14:paraId="0A7BE673">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崔永宝屯</w:t>
            </w:r>
            <w:r>
              <w:rPr>
                <w:rFonts w:hint="eastAsia" w:ascii="Times New Roman" w:hAnsi="Times New Roman" w:cs="Times New Roman" w:eastAsiaTheme="minorEastAsia"/>
                <w:color w:val="auto"/>
                <w:w w:val="99"/>
                <w:sz w:val="21"/>
                <w:szCs w:val="21"/>
                <w:highlight w:val="none"/>
              </w:rPr>
              <w:t>任家水井</w:t>
            </w:r>
          </w:p>
        </w:tc>
        <w:tc>
          <w:tcPr>
            <w:tcW w:w="629" w:type="pct"/>
            <w:tcBorders>
              <w:bottom w:val="single" w:color="auto" w:sz="4" w:space="0"/>
            </w:tcBorders>
            <w:shd w:val="clear" w:color="auto" w:fill="auto"/>
            <w:vAlign w:val="center"/>
          </w:tcPr>
          <w:p w14:paraId="4E44790E">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下游</w:t>
            </w:r>
          </w:p>
        </w:tc>
        <w:tc>
          <w:tcPr>
            <w:tcW w:w="509" w:type="pct"/>
            <w:tcBorders>
              <w:bottom w:val="single" w:color="auto" w:sz="4" w:space="0"/>
            </w:tcBorders>
            <w:shd w:val="clear" w:color="auto" w:fill="auto"/>
            <w:vAlign w:val="center"/>
          </w:tcPr>
          <w:p w14:paraId="33E4FF87">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承压水</w:t>
            </w:r>
          </w:p>
        </w:tc>
        <w:tc>
          <w:tcPr>
            <w:tcW w:w="509" w:type="pct"/>
            <w:shd w:val="clear" w:color="auto" w:fill="auto"/>
            <w:vAlign w:val="center"/>
          </w:tcPr>
          <w:p w14:paraId="732BB807">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65</w:t>
            </w:r>
          </w:p>
        </w:tc>
        <w:tc>
          <w:tcPr>
            <w:tcW w:w="625" w:type="pct"/>
            <w:shd w:val="clear" w:color="auto" w:fill="auto"/>
            <w:vAlign w:val="center"/>
          </w:tcPr>
          <w:p w14:paraId="6F3FEA83">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182.6</w:t>
            </w:r>
          </w:p>
        </w:tc>
        <w:tc>
          <w:tcPr>
            <w:tcW w:w="667" w:type="pct"/>
            <w:shd w:val="clear" w:color="auto" w:fill="auto"/>
            <w:vAlign w:val="center"/>
          </w:tcPr>
          <w:p w14:paraId="02149B1B">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rPr>
              <w:t>、畜牧养殖</w:t>
            </w:r>
          </w:p>
        </w:tc>
        <w:tc>
          <w:tcPr>
            <w:tcW w:w="668" w:type="pct"/>
            <w:vAlign w:val="center"/>
          </w:tcPr>
          <w:p w14:paraId="3B8C7F96">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引用</w:t>
            </w:r>
          </w:p>
        </w:tc>
      </w:tr>
      <w:tr w14:paraId="1BC97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1" w:type="pct"/>
            <w:vAlign w:val="center"/>
          </w:tcPr>
          <w:p w14:paraId="6885EAD1">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10#</w:t>
            </w:r>
          </w:p>
        </w:tc>
        <w:tc>
          <w:tcPr>
            <w:tcW w:w="1018" w:type="pct"/>
            <w:tcBorders>
              <w:top w:val="single" w:color="auto" w:sz="4" w:space="0"/>
              <w:bottom w:val="single" w:color="auto" w:sz="4" w:space="0"/>
            </w:tcBorders>
            <w:shd w:val="clear" w:color="auto" w:fill="auto"/>
            <w:vAlign w:val="center"/>
          </w:tcPr>
          <w:p w14:paraId="748E3003">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于洼子屯陈家水井</w:t>
            </w:r>
          </w:p>
        </w:tc>
        <w:tc>
          <w:tcPr>
            <w:tcW w:w="629" w:type="pct"/>
            <w:tcBorders>
              <w:top w:val="single" w:color="auto" w:sz="4" w:space="0"/>
              <w:bottom w:val="single" w:color="auto" w:sz="4" w:space="0"/>
            </w:tcBorders>
            <w:shd w:val="clear" w:color="auto" w:fill="auto"/>
            <w:vAlign w:val="center"/>
          </w:tcPr>
          <w:p w14:paraId="0DD4C600">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侧向</w:t>
            </w:r>
          </w:p>
        </w:tc>
        <w:tc>
          <w:tcPr>
            <w:tcW w:w="509" w:type="pct"/>
            <w:tcBorders>
              <w:top w:val="single" w:color="auto" w:sz="4" w:space="0"/>
              <w:bottom w:val="single" w:color="auto" w:sz="4" w:space="0"/>
            </w:tcBorders>
            <w:shd w:val="clear" w:color="auto" w:fill="auto"/>
            <w:vAlign w:val="center"/>
          </w:tcPr>
          <w:p w14:paraId="36BC987C">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潜水</w:t>
            </w:r>
          </w:p>
        </w:tc>
        <w:tc>
          <w:tcPr>
            <w:tcW w:w="509" w:type="pct"/>
            <w:shd w:val="clear" w:color="auto" w:fill="auto"/>
            <w:vAlign w:val="center"/>
          </w:tcPr>
          <w:p w14:paraId="7C32A682">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12</w:t>
            </w:r>
          </w:p>
        </w:tc>
        <w:tc>
          <w:tcPr>
            <w:tcW w:w="625" w:type="pct"/>
            <w:shd w:val="clear" w:color="auto" w:fill="auto"/>
            <w:vAlign w:val="center"/>
          </w:tcPr>
          <w:p w14:paraId="3E2AC4C9">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173.4</w:t>
            </w:r>
          </w:p>
        </w:tc>
        <w:tc>
          <w:tcPr>
            <w:tcW w:w="667" w:type="pct"/>
            <w:shd w:val="clear" w:color="auto" w:fill="auto"/>
            <w:vAlign w:val="center"/>
          </w:tcPr>
          <w:p w14:paraId="09CC1ABB">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rPr>
              <w:t>、畜牧养殖</w:t>
            </w:r>
          </w:p>
        </w:tc>
        <w:tc>
          <w:tcPr>
            <w:tcW w:w="668" w:type="pct"/>
            <w:vAlign w:val="center"/>
          </w:tcPr>
          <w:p w14:paraId="6EEA15E3">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本次监测</w:t>
            </w:r>
          </w:p>
        </w:tc>
      </w:tr>
      <w:tr w14:paraId="61985E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1" w:type="pct"/>
            <w:vAlign w:val="center"/>
          </w:tcPr>
          <w:p w14:paraId="49D61811">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r>
              <w:rPr>
                <w:rFonts w:hint="eastAsia" w:ascii="Times New Roman" w:hAnsi="Times New Roman" w:cs="Times New Roman" w:eastAsiaTheme="minorEastAsia"/>
                <w:color w:val="auto"/>
                <w:w w:val="99"/>
                <w:sz w:val="21"/>
                <w:szCs w:val="21"/>
                <w:highlight w:val="none"/>
              </w:rPr>
              <w:t>1</w:t>
            </w:r>
            <w:r>
              <w:rPr>
                <w:rFonts w:ascii="Times New Roman" w:hAnsi="Times New Roman" w:cs="Times New Roman" w:eastAsiaTheme="minorEastAsia"/>
                <w:color w:val="auto"/>
                <w:w w:val="99"/>
                <w:sz w:val="21"/>
                <w:szCs w:val="21"/>
                <w:highlight w:val="none"/>
              </w:rPr>
              <w:t>#</w:t>
            </w:r>
          </w:p>
        </w:tc>
        <w:tc>
          <w:tcPr>
            <w:tcW w:w="1018" w:type="pct"/>
            <w:tcBorders>
              <w:top w:val="single" w:color="auto" w:sz="4" w:space="0"/>
              <w:bottom w:val="single" w:color="auto" w:sz="4" w:space="0"/>
            </w:tcBorders>
            <w:shd w:val="clear" w:color="auto" w:fill="auto"/>
            <w:vAlign w:val="center"/>
          </w:tcPr>
          <w:p w14:paraId="35662AE7">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东双山屯孙家水井</w:t>
            </w:r>
          </w:p>
        </w:tc>
        <w:tc>
          <w:tcPr>
            <w:tcW w:w="629" w:type="pct"/>
            <w:tcBorders>
              <w:top w:val="single" w:color="auto" w:sz="4" w:space="0"/>
              <w:bottom w:val="single" w:color="auto" w:sz="4" w:space="0"/>
            </w:tcBorders>
            <w:shd w:val="clear" w:color="auto" w:fill="auto"/>
            <w:vAlign w:val="center"/>
          </w:tcPr>
          <w:p w14:paraId="2B88BAE2">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侧向</w:t>
            </w:r>
          </w:p>
        </w:tc>
        <w:tc>
          <w:tcPr>
            <w:tcW w:w="509" w:type="pct"/>
            <w:tcBorders>
              <w:top w:val="single" w:color="auto" w:sz="4" w:space="0"/>
              <w:bottom w:val="single" w:color="auto" w:sz="4" w:space="0"/>
            </w:tcBorders>
            <w:shd w:val="clear" w:color="auto" w:fill="auto"/>
            <w:vAlign w:val="center"/>
          </w:tcPr>
          <w:p w14:paraId="37763736">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潜水</w:t>
            </w:r>
          </w:p>
        </w:tc>
        <w:tc>
          <w:tcPr>
            <w:tcW w:w="509" w:type="pct"/>
            <w:shd w:val="clear" w:color="auto" w:fill="auto"/>
            <w:vAlign w:val="center"/>
          </w:tcPr>
          <w:p w14:paraId="4D30D48E">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15</w:t>
            </w:r>
          </w:p>
        </w:tc>
        <w:tc>
          <w:tcPr>
            <w:tcW w:w="625" w:type="pct"/>
            <w:shd w:val="clear" w:color="auto" w:fill="auto"/>
            <w:vAlign w:val="center"/>
          </w:tcPr>
          <w:p w14:paraId="65571F6E">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171.8</w:t>
            </w:r>
          </w:p>
        </w:tc>
        <w:tc>
          <w:tcPr>
            <w:tcW w:w="667" w:type="pct"/>
            <w:shd w:val="clear" w:color="auto" w:fill="auto"/>
            <w:vAlign w:val="center"/>
          </w:tcPr>
          <w:p w14:paraId="5A5DA29D">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rPr>
              <w:t>、畜牧养殖</w:t>
            </w:r>
          </w:p>
        </w:tc>
        <w:tc>
          <w:tcPr>
            <w:tcW w:w="668" w:type="pct"/>
            <w:vAlign w:val="center"/>
          </w:tcPr>
          <w:p w14:paraId="034D853C">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本次监测</w:t>
            </w:r>
          </w:p>
        </w:tc>
      </w:tr>
      <w:tr w14:paraId="545398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1" w:type="pct"/>
            <w:vAlign w:val="center"/>
          </w:tcPr>
          <w:p w14:paraId="531C0E82">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r>
              <w:rPr>
                <w:rFonts w:hint="eastAsia" w:ascii="Times New Roman" w:hAnsi="Times New Roman" w:cs="Times New Roman" w:eastAsiaTheme="minorEastAsia"/>
                <w:color w:val="auto"/>
                <w:w w:val="99"/>
                <w:sz w:val="21"/>
                <w:szCs w:val="21"/>
                <w:highlight w:val="none"/>
              </w:rPr>
              <w:t>2</w:t>
            </w:r>
            <w:r>
              <w:rPr>
                <w:rFonts w:ascii="Times New Roman" w:hAnsi="Times New Roman" w:cs="Times New Roman" w:eastAsiaTheme="minorEastAsia"/>
                <w:color w:val="auto"/>
                <w:w w:val="99"/>
                <w:sz w:val="21"/>
                <w:szCs w:val="21"/>
                <w:highlight w:val="none"/>
              </w:rPr>
              <w:t>#</w:t>
            </w:r>
          </w:p>
        </w:tc>
        <w:tc>
          <w:tcPr>
            <w:tcW w:w="1018" w:type="pct"/>
            <w:tcBorders>
              <w:top w:val="single" w:color="auto" w:sz="4" w:space="0"/>
              <w:bottom w:val="single" w:color="auto" w:sz="4" w:space="0"/>
            </w:tcBorders>
            <w:shd w:val="clear" w:color="auto" w:fill="auto"/>
            <w:vAlign w:val="center"/>
          </w:tcPr>
          <w:p w14:paraId="76656A2A">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西双山屯房家水井</w:t>
            </w:r>
          </w:p>
        </w:tc>
        <w:tc>
          <w:tcPr>
            <w:tcW w:w="629" w:type="pct"/>
            <w:tcBorders>
              <w:top w:val="single" w:color="auto" w:sz="4" w:space="0"/>
              <w:bottom w:val="single" w:color="auto" w:sz="4" w:space="0"/>
            </w:tcBorders>
            <w:shd w:val="clear" w:color="auto" w:fill="auto"/>
            <w:vAlign w:val="center"/>
          </w:tcPr>
          <w:p w14:paraId="2BA6BE67">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侧向</w:t>
            </w:r>
          </w:p>
        </w:tc>
        <w:tc>
          <w:tcPr>
            <w:tcW w:w="509" w:type="pct"/>
            <w:tcBorders>
              <w:top w:val="single" w:color="auto" w:sz="4" w:space="0"/>
              <w:bottom w:val="single" w:color="auto" w:sz="4" w:space="0"/>
            </w:tcBorders>
            <w:shd w:val="clear" w:color="auto" w:fill="auto"/>
            <w:vAlign w:val="center"/>
          </w:tcPr>
          <w:p w14:paraId="36E333AF">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潜水</w:t>
            </w:r>
          </w:p>
        </w:tc>
        <w:tc>
          <w:tcPr>
            <w:tcW w:w="509" w:type="pct"/>
            <w:shd w:val="clear" w:color="auto" w:fill="auto"/>
            <w:vAlign w:val="center"/>
          </w:tcPr>
          <w:p w14:paraId="4542983E">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18</w:t>
            </w:r>
          </w:p>
        </w:tc>
        <w:tc>
          <w:tcPr>
            <w:tcW w:w="625" w:type="pct"/>
            <w:shd w:val="clear" w:color="auto" w:fill="auto"/>
            <w:vAlign w:val="center"/>
          </w:tcPr>
          <w:p w14:paraId="26D749EF">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170.9</w:t>
            </w:r>
          </w:p>
        </w:tc>
        <w:tc>
          <w:tcPr>
            <w:tcW w:w="667" w:type="pct"/>
            <w:shd w:val="clear" w:color="auto" w:fill="auto"/>
            <w:vAlign w:val="center"/>
          </w:tcPr>
          <w:p w14:paraId="2C3C0D46">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rPr>
              <w:t>、畜牧养殖</w:t>
            </w:r>
          </w:p>
        </w:tc>
        <w:tc>
          <w:tcPr>
            <w:tcW w:w="668" w:type="pct"/>
            <w:vAlign w:val="center"/>
          </w:tcPr>
          <w:p w14:paraId="62F571D9">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本次监测</w:t>
            </w:r>
          </w:p>
        </w:tc>
      </w:tr>
      <w:tr w14:paraId="3729A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1" w:type="pct"/>
            <w:vAlign w:val="center"/>
          </w:tcPr>
          <w:p w14:paraId="29DC9F8A">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r>
              <w:rPr>
                <w:rFonts w:hint="eastAsia" w:ascii="Times New Roman" w:hAnsi="Times New Roman" w:cs="Times New Roman" w:eastAsiaTheme="minorEastAsia"/>
                <w:color w:val="auto"/>
                <w:w w:val="99"/>
                <w:sz w:val="21"/>
                <w:szCs w:val="21"/>
                <w:highlight w:val="none"/>
              </w:rPr>
              <w:t>3</w:t>
            </w:r>
            <w:r>
              <w:rPr>
                <w:rFonts w:ascii="Times New Roman" w:hAnsi="Times New Roman" w:cs="Times New Roman" w:eastAsiaTheme="minorEastAsia"/>
                <w:color w:val="auto"/>
                <w:w w:val="99"/>
                <w:sz w:val="21"/>
                <w:szCs w:val="21"/>
                <w:highlight w:val="none"/>
              </w:rPr>
              <w:t>#</w:t>
            </w:r>
          </w:p>
        </w:tc>
        <w:tc>
          <w:tcPr>
            <w:tcW w:w="1018" w:type="pct"/>
            <w:tcBorders>
              <w:top w:val="single" w:color="auto" w:sz="4" w:space="0"/>
              <w:bottom w:val="single" w:color="auto" w:sz="4" w:space="0"/>
            </w:tcBorders>
            <w:shd w:val="clear" w:color="auto" w:fill="auto"/>
            <w:vAlign w:val="center"/>
          </w:tcPr>
          <w:p w14:paraId="0FE12CDB">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东双山屯王家水井</w:t>
            </w:r>
          </w:p>
        </w:tc>
        <w:tc>
          <w:tcPr>
            <w:tcW w:w="629" w:type="pct"/>
            <w:tcBorders>
              <w:top w:val="single" w:color="auto" w:sz="4" w:space="0"/>
              <w:bottom w:val="single" w:color="auto" w:sz="4" w:space="0"/>
            </w:tcBorders>
            <w:shd w:val="clear" w:color="auto" w:fill="auto"/>
            <w:vAlign w:val="center"/>
          </w:tcPr>
          <w:p w14:paraId="4C82781E">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侧向</w:t>
            </w:r>
          </w:p>
        </w:tc>
        <w:tc>
          <w:tcPr>
            <w:tcW w:w="509" w:type="pct"/>
            <w:tcBorders>
              <w:top w:val="single" w:color="auto" w:sz="4" w:space="0"/>
              <w:bottom w:val="single" w:color="auto" w:sz="4" w:space="0"/>
            </w:tcBorders>
            <w:shd w:val="clear" w:color="auto" w:fill="auto"/>
            <w:vAlign w:val="center"/>
          </w:tcPr>
          <w:p w14:paraId="4446F755">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承压水</w:t>
            </w:r>
          </w:p>
        </w:tc>
        <w:tc>
          <w:tcPr>
            <w:tcW w:w="509" w:type="pct"/>
            <w:shd w:val="clear" w:color="auto" w:fill="auto"/>
            <w:vAlign w:val="center"/>
          </w:tcPr>
          <w:p w14:paraId="718B48F3">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80</w:t>
            </w:r>
          </w:p>
        </w:tc>
        <w:tc>
          <w:tcPr>
            <w:tcW w:w="625" w:type="pct"/>
            <w:shd w:val="clear" w:color="auto" w:fill="auto"/>
            <w:vAlign w:val="center"/>
          </w:tcPr>
          <w:p w14:paraId="077A80A7">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187.2</w:t>
            </w:r>
          </w:p>
        </w:tc>
        <w:tc>
          <w:tcPr>
            <w:tcW w:w="667" w:type="pct"/>
            <w:shd w:val="clear" w:color="auto" w:fill="auto"/>
            <w:vAlign w:val="center"/>
          </w:tcPr>
          <w:p w14:paraId="01A62937">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rPr>
              <w:t>、畜牧养殖</w:t>
            </w:r>
          </w:p>
        </w:tc>
        <w:tc>
          <w:tcPr>
            <w:tcW w:w="668" w:type="pct"/>
            <w:vAlign w:val="center"/>
          </w:tcPr>
          <w:p w14:paraId="79585AB1">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本次监测</w:t>
            </w:r>
          </w:p>
        </w:tc>
      </w:tr>
      <w:tr w14:paraId="2523C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1" w:type="pct"/>
            <w:vAlign w:val="center"/>
          </w:tcPr>
          <w:p w14:paraId="1AB709A3">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r>
              <w:rPr>
                <w:rFonts w:hint="eastAsia" w:ascii="Times New Roman" w:hAnsi="Times New Roman" w:cs="Times New Roman" w:eastAsiaTheme="minorEastAsia"/>
                <w:color w:val="auto"/>
                <w:w w:val="99"/>
                <w:sz w:val="21"/>
                <w:szCs w:val="21"/>
                <w:highlight w:val="none"/>
              </w:rPr>
              <w:t>4</w:t>
            </w:r>
            <w:r>
              <w:rPr>
                <w:rFonts w:ascii="Times New Roman" w:hAnsi="Times New Roman" w:cs="Times New Roman" w:eastAsiaTheme="minorEastAsia"/>
                <w:color w:val="auto"/>
                <w:w w:val="99"/>
                <w:sz w:val="21"/>
                <w:szCs w:val="21"/>
                <w:highlight w:val="none"/>
              </w:rPr>
              <w:t>#</w:t>
            </w:r>
          </w:p>
        </w:tc>
        <w:tc>
          <w:tcPr>
            <w:tcW w:w="1018" w:type="pct"/>
            <w:tcBorders>
              <w:top w:val="single" w:color="auto" w:sz="4" w:space="0"/>
              <w:bottom w:val="single" w:color="auto" w:sz="4" w:space="0"/>
            </w:tcBorders>
            <w:shd w:val="clear" w:color="auto" w:fill="auto"/>
            <w:vAlign w:val="center"/>
          </w:tcPr>
          <w:p w14:paraId="7AF983F5">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王家围子屯周家水井</w:t>
            </w:r>
          </w:p>
        </w:tc>
        <w:tc>
          <w:tcPr>
            <w:tcW w:w="629" w:type="pct"/>
            <w:tcBorders>
              <w:top w:val="single" w:color="auto" w:sz="4" w:space="0"/>
              <w:bottom w:val="single" w:color="auto" w:sz="4" w:space="0"/>
            </w:tcBorders>
            <w:shd w:val="clear" w:color="auto" w:fill="auto"/>
            <w:vAlign w:val="center"/>
          </w:tcPr>
          <w:p w14:paraId="514854B9">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上游</w:t>
            </w:r>
          </w:p>
        </w:tc>
        <w:tc>
          <w:tcPr>
            <w:tcW w:w="509" w:type="pct"/>
            <w:tcBorders>
              <w:top w:val="single" w:color="auto" w:sz="4" w:space="0"/>
              <w:bottom w:val="single" w:color="auto" w:sz="4" w:space="0"/>
            </w:tcBorders>
            <w:shd w:val="clear" w:color="auto" w:fill="auto"/>
            <w:vAlign w:val="center"/>
          </w:tcPr>
          <w:p w14:paraId="5EE72DD3">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承压水</w:t>
            </w:r>
          </w:p>
        </w:tc>
        <w:tc>
          <w:tcPr>
            <w:tcW w:w="509" w:type="pct"/>
            <w:shd w:val="clear" w:color="auto" w:fill="auto"/>
            <w:vAlign w:val="center"/>
          </w:tcPr>
          <w:p w14:paraId="65D5D1B7">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65</w:t>
            </w:r>
          </w:p>
        </w:tc>
        <w:tc>
          <w:tcPr>
            <w:tcW w:w="625" w:type="pct"/>
            <w:shd w:val="clear" w:color="auto" w:fill="auto"/>
            <w:vAlign w:val="center"/>
          </w:tcPr>
          <w:p w14:paraId="56DB400E">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188.4</w:t>
            </w:r>
          </w:p>
        </w:tc>
        <w:tc>
          <w:tcPr>
            <w:tcW w:w="667" w:type="pct"/>
            <w:shd w:val="clear" w:color="auto" w:fill="auto"/>
            <w:vAlign w:val="center"/>
          </w:tcPr>
          <w:p w14:paraId="34354C7A">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rPr>
              <w:t>、畜牧养殖</w:t>
            </w:r>
          </w:p>
        </w:tc>
        <w:tc>
          <w:tcPr>
            <w:tcW w:w="668" w:type="pct"/>
            <w:vAlign w:val="center"/>
          </w:tcPr>
          <w:p w14:paraId="5B3F6EA6">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本次监测</w:t>
            </w:r>
          </w:p>
        </w:tc>
      </w:tr>
    </w:tbl>
    <w:p w14:paraId="3B09197C">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（2）监测频率</w:t>
      </w:r>
    </w:p>
    <w:p w14:paraId="67238F89">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本项目位于松嫩平原区低平原区，依据《环境影响评价技术导则 地下水环境》（HJ 610-2016）中表4中的要求，本次地下水位监测频率为一期。</w:t>
      </w:r>
    </w:p>
    <w:p w14:paraId="5A466910">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4.3.2.2地下水水质监测</w:t>
      </w:r>
    </w:p>
    <w:p w14:paraId="5A397309">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（1）地下水质监测因子</w:t>
      </w:r>
    </w:p>
    <w:p w14:paraId="68FF1382">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监测因子：</w:t>
      </w:r>
      <w:r>
        <w:rPr>
          <w:rFonts w:ascii="Times New Roman" w:hAnsi="Times New Roman" w:cs="Times New Roman" w:eastAsiaTheme="minorEastAsia"/>
          <w:color w:val="auto"/>
          <w:w w:val="99"/>
          <w:highlight w:val="none"/>
        </w:rPr>
        <w:t>K</w:t>
      </w:r>
      <w:r>
        <w:rPr>
          <w:rFonts w:ascii="Times New Roman" w:hAnsi="Times New Roman" w:cs="Times New Roman" w:eastAsiaTheme="minorEastAsia"/>
          <w:color w:val="auto"/>
          <w:w w:val="99"/>
          <w:highlight w:val="none"/>
          <w:vertAlign w:val="superscript"/>
        </w:rPr>
        <w:t>+</w:t>
      </w:r>
      <w:r>
        <w:rPr>
          <w:rFonts w:ascii="Times New Roman" w:hAnsi="Times New Roman" w:cs="Times New Roman" w:eastAsiaTheme="minorEastAsia"/>
          <w:color w:val="auto"/>
          <w:w w:val="99"/>
          <w:highlight w:val="none"/>
        </w:rPr>
        <w:t>、Na</w:t>
      </w:r>
      <w:r>
        <w:rPr>
          <w:rFonts w:ascii="Times New Roman" w:hAnsi="Times New Roman" w:cs="Times New Roman" w:eastAsiaTheme="minorEastAsia"/>
          <w:color w:val="auto"/>
          <w:w w:val="99"/>
          <w:highlight w:val="none"/>
          <w:vertAlign w:val="superscript"/>
        </w:rPr>
        <w:t>+</w:t>
      </w:r>
      <w:r>
        <w:rPr>
          <w:rFonts w:ascii="Times New Roman" w:hAnsi="Times New Roman" w:cs="Times New Roman" w:eastAsiaTheme="minorEastAsia"/>
          <w:color w:val="auto"/>
          <w:w w:val="99"/>
          <w:highlight w:val="none"/>
        </w:rPr>
        <w:t>、Ca</w:t>
      </w:r>
      <w:r>
        <w:rPr>
          <w:rFonts w:ascii="Times New Roman" w:hAnsi="Times New Roman" w:cs="Times New Roman" w:eastAsiaTheme="minorEastAsia"/>
          <w:color w:val="auto"/>
          <w:w w:val="99"/>
          <w:highlight w:val="none"/>
          <w:vertAlign w:val="superscript"/>
        </w:rPr>
        <w:t>2+</w:t>
      </w:r>
      <w:r>
        <w:rPr>
          <w:rFonts w:ascii="Times New Roman" w:hAnsi="Times New Roman" w:cs="Times New Roman" w:eastAsiaTheme="minorEastAsia"/>
          <w:color w:val="auto"/>
          <w:w w:val="99"/>
          <w:highlight w:val="none"/>
        </w:rPr>
        <w:t>、Mg</w:t>
      </w:r>
      <w:r>
        <w:rPr>
          <w:rFonts w:ascii="Times New Roman" w:hAnsi="Times New Roman" w:cs="Times New Roman" w:eastAsiaTheme="minorEastAsia"/>
          <w:color w:val="auto"/>
          <w:w w:val="99"/>
          <w:highlight w:val="none"/>
          <w:vertAlign w:val="superscript"/>
        </w:rPr>
        <w:t>2+</w:t>
      </w:r>
      <w:r>
        <w:rPr>
          <w:rFonts w:ascii="Times New Roman" w:hAnsi="Times New Roman" w:cs="Times New Roman" w:eastAsiaTheme="minorEastAsia"/>
          <w:color w:val="auto"/>
          <w:w w:val="99"/>
          <w:highlight w:val="none"/>
        </w:rPr>
        <w:t>、CO</w:t>
      </w:r>
      <w:r>
        <w:rPr>
          <w:rFonts w:ascii="Times New Roman" w:hAnsi="Times New Roman" w:cs="Times New Roman" w:eastAsiaTheme="minorEastAsia"/>
          <w:color w:val="auto"/>
          <w:w w:val="99"/>
          <w:highlight w:val="none"/>
          <w:vertAlign w:val="subscript"/>
        </w:rPr>
        <w:t>3</w:t>
      </w:r>
      <w:r>
        <w:rPr>
          <w:rFonts w:ascii="Times New Roman" w:hAnsi="Times New Roman" w:cs="Times New Roman" w:eastAsiaTheme="minorEastAsia"/>
          <w:color w:val="auto"/>
          <w:w w:val="99"/>
          <w:highlight w:val="none"/>
          <w:vertAlign w:val="superscript"/>
        </w:rPr>
        <w:t>2-</w:t>
      </w:r>
      <w:r>
        <w:rPr>
          <w:rFonts w:ascii="Times New Roman" w:hAnsi="Times New Roman" w:cs="Times New Roman" w:eastAsiaTheme="minorEastAsia"/>
          <w:color w:val="auto"/>
          <w:w w:val="99"/>
          <w:highlight w:val="none"/>
        </w:rPr>
        <w:t>、HCO</w:t>
      </w:r>
      <w:r>
        <w:rPr>
          <w:rFonts w:ascii="Times New Roman" w:hAnsi="Times New Roman" w:cs="Times New Roman" w:eastAsiaTheme="minorEastAsia"/>
          <w:color w:val="auto"/>
          <w:w w:val="99"/>
          <w:highlight w:val="none"/>
          <w:vertAlign w:val="subscript"/>
        </w:rPr>
        <w:t>3</w:t>
      </w:r>
      <w:r>
        <w:rPr>
          <w:rFonts w:ascii="Times New Roman" w:hAnsi="Times New Roman" w:cs="Times New Roman" w:eastAsiaTheme="minorEastAsia"/>
          <w:color w:val="auto"/>
          <w:w w:val="99"/>
          <w:highlight w:val="none"/>
          <w:vertAlign w:val="superscript"/>
        </w:rPr>
        <w:t>-</w:t>
      </w:r>
      <w:r>
        <w:rPr>
          <w:rFonts w:ascii="Times New Roman" w:hAnsi="Times New Roman" w:cs="Times New Roman" w:eastAsiaTheme="minorEastAsia"/>
          <w:color w:val="auto"/>
          <w:w w:val="99"/>
          <w:highlight w:val="none"/>
        </w:rPr>
        <w:t>、Cl</w:t>
      </w:r>
      <w:r>
        <w:rPr>
          <w:rFonts w:ascii="Times New Roman" w:hAnsi="Times New Roman" w:cs="Times New Roman" w:eastAsiaTheme="minorEastAsia"/>
          <w:color w:val="auto"/>
          <w:w w:val="99"/>
          <w:highlight w:val="none"/>
          <w:vertAlign w:val="superscript"/>
        </w:rPr>
        <w:t>-</w:t>
      </w:r>
      <w:r>
        <w:rPr>
          <w:rFonts w:ascii="Times New Roman" w:hAnsi="Times New Roman" w:cs="Times New Roman" w:eastAsiaTheme="minorEastAsia"/>
          <w:color w:val="auto"/>
          <w:w w:val="99"/>
          <w:highlight w:val="none"/>
        </w:rPr>
        <w:t>、SO</w:t>
      </w:r>
      <w:r>
        <w:rPr>
          <w:rFonts w:ascii="Times New Roman" w:hAnsi="Times New Roman" w:cs="Times New Roman" w:eastAsiaTheme="minorEastAsia"/>
          <w:color w:val="auto"/>
          <w:w w:val="99"/>
          <w:highlight w:val="none"/>
          <w:vertAlign w:val="subscript"/>
        </w:rPr>
        <w:t>4</w:t>
      </w:r>
      <w:r>
        <w:rPr>
          <w:rFonts w:ascii="Times New Roman" w:hAnsi="Times New Roman" w:cs="Times New Roman" w:eastAsiaTheme="minorEastAsia"/>
          <w:color w:val="auto"/>
          <w:w w:val="99"/>
          <w:highlight w:val="none"/>
          <w:vertAlign w:val="superscript"/>
        </w:rPr>
        <w:t>2-</w:t>
      </w:r>
      <w:r>
        <w:rPr>
          <w:rFonts w:ascii="Times New Roman" w:hAnsi="Times New Roman" w:cs="Times New Roman" w:eastAsiaTheme="minorEastAsia"/>
          <w:color w:val="auto"/>
          <w:w w:val="99"/>
          <w:highlight w:val="none"/>
        </w:rPr>
        <w:t>、pH、氨氮、硝酸盐、亚硝酸盐、挥发性酚类、氰化物、砷、汞、铬（六价）、总硬度、铅、氟化物、镉、铁、锰、溶解性总固体、耗氧量、总大肠菌群、菌落总数、石油类、硫化物、钡</w:t>
      </w:r>
      <w:r>
        <w:rPr>
          <w:rFonts w:ascii="Times New Roman" w:hAnsi="Times New Roman" w:cs="Times New Roman"/>
          <w:color w:val="auto"/>
          <w:w w:val="99"/>
          <w:highlight w:val="none"/>
        </w:rPr>
        <w:t>。</w:t>
      </w:r>
    </w:p>
    <w:p w14:paraId="1C9C4A01">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（2）水质监测布点</w:t>
      </w:r>
    </w:p>
    <w:p w14:paraId="32CFD1CB">
      <w:pPr>
        <w:widowControl w:val="0"/>
        <w:spacing w:line="440" w:lineRule="exact"/>
        <w:ind w:firstLine="474" w:firstLineChars="200"/>
        <w:rPr>
          <w:rFonts w:ascii="Times New Roman" w:hAnsi="Times New Roman" w:cs="Times New Roman"/>
          <w:bCs/>
          <w:color w:val="auto"/>
          <w:w w:val="99"/>
          <w:kern w:val="21"/>
          <w:szCs w:val="20"/>
          <w:highlight w:val="none"/>
        </w:rPr>
      </w:pPr>
      <w:r>
        <w:rPr>
          <w:rFonts w:ascii="Times New Roman" w:hAnsi="Times New Roman" w:cs="Times New Roman"/>
          <w:bCs/>
          <w:color w:val="auto"/>
          <w:w w:val="99"/>
          <w:kern w:val="21"/>
          <w:szCs w:val="20"/>
          <w:highlight w:val="none"/>
        </w:rPr>
        <w:t>根据本项目地层特征，以及地下水含水层特点和区域水资源开发利用情况，参照《环境影响评价技术导则 地下水环境》（HJ610-2016），本</w:t>
      </w:r>
      <w:r>
        <w:rPr>
          <w:rFonts w:hint="eastAsia" w:ascii="Times New Roman" w:hAnsi="Times New Roman" w:cs="Times New Roman"/>
          <w:bCs/>
          <w:color w:val="auto"/>
          <w:w w:val="99"/>
          <w:kern w:val="21"/>
          <w:szCs w:val="20"/>
          <w:highlight w:val="none"/>
          <w:lang w:val="en-US" w:eastAsia="zh-CN"/>
        </w:rPr>
        <w:t>项目</w:t>
      </w:r>
      <w:r>
        <w:rPr>
          <w:rFonts w:ascii="Times New Roman" w:hAnsi="Times New Roman" w:cs="Times New Roman"/>
          <w:bCs/>
          <w:color w:val="auto"/>
          <w:w w:val="99"/>
          <w:kern w:val="21"/>
          <w:szCs w:val="20"/>
          <w:highlight w:val="none"/>
        </w:rPr>
        <w:t>共布设</w:t>
      </w:r>
      <w:r>
        <w:rPr>
          <w:rFonts w:hint="eastAsia" w:ascii="Times New Roman" w:hAnsi="Times New Roman" w:cs="Times New Roman"/>
          <w:bCs/>
          <w:color w:val="auto"/>
          <w:w w:val="99"/>
          <w:kern w:val="21"/>
          <w:szCs w:val="20"/>
          <w:highlight w:val="none"/>
          <w:lang w:val="en-US" w:eastAsia="zh-CN"/>
        </w:rPr>
        <w:t>7</w:t>
      </w:r>
      <w:r>
        <w:rPr>
          <w:rFonts w:ascii="Times New Roman" w:hAnsi="Times New Roman" w:cs="Times New Roman"/>
          <w:bCs/>
          <w:color w:val="auto"/>
          <w:w w:val="99"/>
          <w:kern w:val="21"/>
          <w:szCs w:val="20"/>
          <w:highlight w:val="none"/>
        </w:rPr>
        <w:t>个水质监测点</w:t>
      </w:r>
      <w:r>
        <w:rPr>
          <w:rFonts w:hint="eastAsia" w:ascii="Times New Roman" w:hAnsi="Times New Roman" w:cs="Times New Roman"/>
          <w:bCs/>
          <w:color w:val="auto"/>
          <w:w w:val="99"/>
          <w:kern w:val="21"/>
          <w:szCs w:val="20"/>
          <w:highlight w:val="none"/>
          <w:lang w:eastAsia="zh-CN"/>
        </w:rPr>
        <w:t>，</w:t>
      </w:r>
      <w:r>
        <w:rPr>
          <w:rFonts w:hint="eastAsia" w:ascii="Times New Roman" w:hAnsi="Times New Roman" w:cs="Times New Roman"/>
          <w:bCs/>
          <w:color w:val="auto"/>
          <w:w w:val="99"/>
          <w:kern w:val="21"/>
          <w:szCs w:val="20"/>
          <w:highlight w:val="none"/>
          <w:lang w:val="en-US" w:eastAsia="zh-CN"/>
        </w:rPr>
        <w:t>潜水5个，承压水2个</w:t>
      </w:r>
      <w:r>
        <w:rPr>
          <w:rFonts w:ascii="Times New Roman" w:hAnsi="Times New Roman" w:cs="Times New Roman"/>
          <w:bCs/>
          <w:color w:val="auto"/>
          <w:w w:val="99"/>
          <w:kern w:val="21"/>
          <w:szCs w:val="20"/>
          <w:highlight w:val="none"/>
        </w:rPr>
        <w:t>。</w:t>
      </w:r>
      <w:r>
        <w:rPr>
          <w:rFonts w:ascii="Times New Roman" w:hAnsi="Times New Roman" w:cs="Times New Roman"/>
          <w:color w:val="auto"/>
          <w:w w:val="99"/>
          <w:highlight w:val="none"/>
        </w:rPr>
        <w:t>地下水水质监测布点见附图</w:t>
      </w:r>
      <w:r>
        <w:rPr>
          <w:rFonts w:hint="eastAsia" w:ascii="Times New Roman" w:hAnsi="Times New Roman" w:cs="Times New Roman"/>
          <w:color w:val="auto"/>
          <w:w w:val="99"/>
          <w:highlight w:val="none"/>
        </w:rPr>
        <w:t>6-2</w:t>
      </w:r>
      <w:r>
        <w:rPr>
          <w:rFonts w:ascii="Times New Roman" w:hAnsi="Times New Roman" w:cs="Times New Roman"/>
          <w:color w:val="auto"/>
          <w:w w:val="99"/>
          <w:highlight w:val="none"/>
        </w:rPr>
        <w:t>。</w:t>
      </w:r>
    </w:p>
    <w:p w14:paraId="69B032E2">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地下水水质监测布点信息见表4.3-7。</w:t>
      </w:r>
    </w:p>
    <w:p w14:paraId="279CF5A6">
      <w:pPr>
        <w:widowControl w:val="0"/>
        <w:spacing w:line="440" w:lineRule="exact"/>
        <w:ind w:firstLine="476" w:firstLineChars="200"/>
        <w:rPr>
          <w:rFonts w:ascii="Times New Roman" w:hAnsi="Times New Roman" w:cs="Times New Roman"/>
          <w:b/>
          <w:bCs/>
          <w:color w:val="auto"/>
          <w:w w:val="99"/>
          <w:highlight w:val="none"/>
        </w:rPr>
      </w:pPr>
      <w:r>
        <w:rPr>
          <w:rFonts w:ascii="Times New Roman" w:hAnsi="Times New Roman" w:cs="Times New Roman"/>
          <w:b/>
          <w:bCs/>
          <w:color w:val="auto"/>
          <w:w w:val="99"/>
          <w:highlight w:val="none"/>
        </w:rPr>
        <w:t>表4.3-7  地下水水质监测布点信息表</w:t>
      </w:r>
    </w:p>
    <w:tbl>
      <w:tblPr>
        <w:tblStyle w:val="81"/>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23"/>
        <w:gridCol w:w="1134"/>
        <w:gridCol w:w="770"/>
        <w:gridCol w:w="1308"/>
        <w:gridCol w:w="1407"/>
        <w:gridCol w:w="857"/>
        <w:gridCol w:w="1095"/>
        <w:gridCol w:w="1143"/>
        <w:gridCol w:w="1144"/>
      </w:tblGrid>
      <w:tr w14:paraId="1B77A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28" w:type="pct"/>
            <w:vAlign w:val="center"/>
          </w:tcPr>
          <w:p w14:paraId="4B88AA36">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编号</w:t>
            </w:r>
          </w:p>
        </w:tc>
        <w:tc>
          <w:tcPr>
            <w:tcW w:w="637" w:type="pct"/>
            <w:vAlign w:val="center"/>
          </w:tcPr>
          <w:p w14:paraId="54F6A957">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监测点位</w:t>
            </w:r>
          </w:p>
        </w:tc>
        <w:tc>
          <w:tcPr>
            <w:tcW w:w="428" w:type="pct"/>
            <w:vAlign w:val="center"/>
          </w:tcPr>
          <w:p w14:paraId="15CB52A3">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监测层位</w:t>
            </w:r>
          </w:p>
        </w:tc>
        <w:tc>
          <w:tcPr>
            <w:tcW w:w="596" w:type="pct"/>
            <w:vAlign w:val="center"/>
          </w:tcPr>
          <w:p w14:paraId="342DFD80">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坐标</w:t>
            </w:r>
          </w:p>
        </w:tc>
        <w:tc>
          <w:tcPr>
            <w:tcW w:w="771" w:type="pct"/>
            <w:vAlign w:val="center"/>
          </w:tcPr>
          <w:p w14:paraId="6362D983">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相对位置</w:t>
            </w:r>
          </w:p>
        </w:tc>
        <w:tc>
          <w:tcPr>
            <w:tcW w:w="475" w:type="pct"/>
            <w:vAlign w:val="center"/>
          </w:tcPr>
          <w:p w14:paraId="623F5167">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井深（m）</w:t>
            </w:r>
          </w:p>
        </w:tc>
        <w:tc>
          <w:tcPr>
            <w:tcW w:w="603" w:type="pct"/>
            <w:vAlign w:val="center"/>
          </w:tcPr>
          <w:p w14:paraId="3222BBF4">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与地下水流向关系</w:t>
            </w:r>
          </w:p>
        </w:tc>
        <w:tc>
          <w:tcPr>
            <w:tcW w:w="629" w:type="pct"/>
            <w:vAlign w:val="center"/>
          </w:tcPr>
          <w:p w14:paraId="799149D1">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水井功能</w:t>
            </w:r>
          </w:p>
        </w:tc>
        <w:tc>
          <w:tcPr>
            <w:tcW w:w="629" w:type="pct"/>
            <w:vAlign w:val="center"/>
          </w:tcPr>
          <w:p w14:paraId="7ED990EB">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备注</w:t>
            </w:r>
          </w:p>
        </w:tc>
      </w:tr>
      <w:tr w14:paraId="196F7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28" w:type="pct"/>
            <w:vAlign w:val="center"/>
          </w:tcPr>
          <w:p w14:paraId="3A4C2A60">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w:t>
            </w:r>
          </w:p>
        </w:tc>
        <w:tc>
          <w:tcPr>
            <w:tcW w:w="637" w:type="pct"/>
            <w:vAlign w:val="center"/>
          </w:tcPr>
          <w:p w14:paraId="1702787F">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尚家围子屯吕家潜水井</w:t>
            </w:r>
          </w:p>
        </w:tc>
        <w:tc>
          <w:tcPr>
            <w:tcW w:w="428" w:type="pct"/>
            <w:vAlign w:val="center"/>
          </w:tcPr>
          <w:p w14:paraId="54D56EE3">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潜水</w:t>
            </w:r>
          </w:p>
        </w:tc>
        <w:tc>
          <w:tcPr>
            <w:tcW w:w="596" w:type="pct"/>
            <w:vAlign w:val="center"/>
          </w:tcPr>
          <w:p w14:paraId="1B0BD0A3">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125.50070，45.89536</w:t>
            </w:r>
          </w:p>
        </w:tc>
        <w:tc>
          <w:tcPr>
            <w:tcW w:w="771" w:type="pct"/>
            <w:vAlign w:val="center"/>
          </w:tcPr>
          <w:p w14:paraId="2F4FAC59">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拟建徐深27-H1井NW660m</w:t>
            </w:r>
          </w:p>
        </w:tc>
        <w:tc>
          <w:tcPr>
            <w:tcW w:w="475" w:type="pct"/>
            <w:vAlign w:val="center"/>
          </w:tcPr>
          <w:p w14:paraId="1E938F7A">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15</w:t>
            </w:r>
          </w:p>
        </w:tc>
        <w:tc>
          <w:tcPr>
            <w:tcW w:w="603" w:type="pct"/>
            <w:vAlign w:val="center"/>
          </w:tcPr>
          <w:p w14:paraId="1DF3F731">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lang w:val="en-US" w:eastAsia="zh-CN"/>
              </w:rPr>
              <w:t>区域内</w:t>
            </w:r>
            <w:r>
              <w:rPr>
                <w:rFonts w:hint="eastAsia" w:ascii="Times New Roman" w:hAnsi="Times New Roman" w:cs="Times New Roman" w:eastAsiaTheme="minorEastAsia"/>
                <w:color w:val="auto"/>
                <w:w w:val="99"/>
                <w:kern w:val="2"/>
                <w:sz w:val="21"/>
                <w:szCs w:val="21"/>
                <w:highlight w:val="none"/>
              </w:rPr>
              <w:t>水井</w:t>
            </w:r>
          </w:p>
        </w:tc>
        <w:tc>
          <w:tcPr>
            <w:tcW w:w="629" w:type="pct"/>
            <w:vAlign w:val="center"/>
          </w:tcPr>
          <w:p w14:paraId="335ECB4C">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牲畜饮用</w:t>
            </w:r>
            <w:r>
              <w:rPr>
                <w:rFonts w:hint="eastAsia" w:ascii="Times New Roman" w:hAnsi="Times New Roman" w:cs="Times New Roman" w:eastAsiaTheme="minorEastAsia"/>
                <w:color w:val="auto"/>
                <w:w w:val="99"/>
                <w:kern w:val="2"/>
                <w:sz w:val="21"/>
                <w:szCs w:val="21"/>
                <w:highlight w:val="none"/>
              </w:rPr>
              <w:t>、</w:t>
            </w:r>
            <w:r>
              <w:rPr>
                <w:rFonts w:ascii="Times New Roman" w:hAnsi="Times New Roman" w:cs="Times New Roman" w:eastAsiaTheme="minorEastAsia"/>
                <w:color w:val="auto"/>
                <w:w w:val="99"/>
                <w:kern w:val="2"/>
                <w:sz w:val="21"/>
                <w:szCs w:val="21"/>
                <w:highlight w:val="none"/>
              </w:rPr>
              <w:t>灌溉</w:t>
            </w:r>
          </w:p>
        </w:tc>
        <w:tc>
          <w:tcPr>
            <w:tcW w:w="629" w:type="pct"/>
            <w:vAlign w:val="center"/>
          </w:tcPr>
          <w:p w14:paraId="7B5C1904">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lang w:val="en-US" w:eastAsia="zh-CN"/>
              </w:rPr>
              <w:t>引用</w:t>
            </w:r>
          </w:p>
        </w:tc>
      </w:tr>
      <w:tr w14:paraId="15AE54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28" w:type="pct"/>
            <w:vAlign w:val="center"/>
          </w:tcPr>
          <w:p w14:paraId="66E71F75">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val="en-US" w:eastAsia="zh-CN"/>
              </w:rPr>
              <w:t>2</w:t>
            </w:r>
          </w:p>
        </w:tc>
        <w:tc>
          <w:tcPr>
            <w:tcW w:w="637" w:type="pct"/>
            <w:vAlign w:val="center"/>
          </w:tcPr>
          <w:p w14:paraId="4BAEC21D">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王家围子屯王家潜水井</w:t>
            </w:r>
          </w:p>
        </w:tc>
        <w:tc>
          <w:tcPr>
            <w:tcW w:w="428" w:type="pct"/>
            <w:vAlign w:val="center"/>
          </w:tcPr>
          <w:p w14:paraId="0A59C0FC">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潜水</w:t>
            </w:r>
          </w:p>
        </w:tc>
        <w:tc>
          <w:tcPr>
            <w:tcW w:w="596" w:type="pct"/>
            <w:vAlign w:val="center"/>
          </w:tcPr>
          <w:p w14:paraId="304D2CFC">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125.51605，45.90625</w:t>
            </w:r>
          </w:p>
        </w:tc>
        <w:tc>
          <w:tcPr>
            <w:tcW w:w="771" w:type="pct"/>
            <w:vAlign w:val="center"/>
          </w:tcPr>
          <w:p w14:paraId="1BC3842F">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拟建徐深27-H1井N1600m</w:t>
            </w:r>
          </w:p>
        </w:tc>
        <w:tc>
          <w:tcPr>
            <w:tcW w:w="475" w:type="pct"/>
            <w:vAlign w:val="center"/>
          </w:tcPr>
          <w:p w14:paraId="36B2C13D">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13</w:t>
            </w:r>
          </w:p>
        </w:tc>
        <w:tc>
          <w:tcPr>
            <w:tcW w:w="603" w:type="pct"/>
            <w:vAlign w:val="center"/>
          </w:tcPr>
          <w:p w14:paraId="02AC038D">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侧向水井</w:t>
            </w:r>
          </w:p>
        </w:tc>
        <w:tc>
          <w:tcPr>
            <w:tcW w:w="629" w:type="pct"/>
            <w:vAlign w:val="center"/>
          </w:tcPr>
          <w:p w14:paraId="1C10E927">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牲畜饮用</w:t>
            </w:r>
            <w:r>
              <w:rPr>
                <w:rFonts w:hint="eastAsia" w:ascii="Times New Roman" w:hAnsi="Times New Roman" w:cs="Times New Roman" w:eastAsiaTheme="minorEastAsia"/>
                <w:color w:val="auto"/>
                <w:w w:val="99"/>
                <w:kern w:val="2"/>
                <w:sz w:val="21"/>
                <w:szCs w:val="21"/>
                <w:highlight w:val="none"/>
              </w:rPr>
              <w:t>、</w:t>
            </w:r>
            <w:r>
              <w:rPr>
                <w:rFonts w:ascii="Times New Roman" w:hAnsi="Times New Roman" w:cs="Times New Roman" w:eastAsiaTheme="minorEastAsia"/>
                <w:color w:val="auto"/>
                <w:w w:val="99"/>
                <w:kern w:val="2"/>
                <w:sz w:val="21"/>
                <w:szCs w:val="21"/>
                <w:highlight w:val="none"/>
              </w:rPr>
              <w:t>灌溉</w:t>
            </w:r>
          </w:p>
        </w:tc>
        <w:tc>
          <w:tcPr>
            <w:tcW w:w="629" w:type="pct"/>
            <w:vAlign w:val="center"/>
          </w:tcPr>
          <w:p w14:paraId="615F83BE">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lang w:val="en-US" w:eastAsia="zh-CN"/>
              </w:rPr>
              <w:t>引用</w:t>
            </w:r>
          </w:p>
        </w:tc>
      </w:tr>
      <w:tr w14:paraId="03F89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28" w:type="pct"/>
            <w:vAlign w:val="center"/>
          </w:tcPr>
          <w:p w14:paraId="1153CA24">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val="en-US" w:eastAsia="zh-CN"/>
              </w:rPr>
              <w:t>3</w:t>
            </w:r>
          </w:p>
        </w:tc>
        <w:tc>
          <w:tcPr>
            <w:tcW w:w="637" w:type="pct"/>
            <w:vAlign w:val="center"/>
          </w:tcPr>
          <w:p w14:paraId="567E7F80">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杨家屯陈家潜水井</w:t>
            </w:r>
          </w:p>
        </w:tc>
        <w:tc>
          <w:tcPr>
            <w:tcW w:w="428" w:type="pct"/>
            <w:vAlign w:val="center"/>
          </w:tcPr>
          <w:p w14:paraId="4DEE22B9">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潜水</w:t>
            </w:r>
          </w:p>
        </w:tc>
        <w:tc>
          <w:tcPr>
            <w:tcW w:w="596" w:type="pct"/>
            <w:vAlign w:val="center"/>
          </w:tcPr>
          <w:p w14:paraId="43B6E926">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125.50195，45.88141</w:t>
            </w:r>
          </w:p>
        </w:tc>
        <w:tc>
          <w:tcPr>
            <w:tcW w:w="771" w:type="pct"/>
            <w:vAlign w:val="center"/>
          </w:tcPr>
          <w:p w14:paraId="5B1B3DC1">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拟建徐深27-H1井WS1400m</w:t>
            </w:r>
          </w:p>
        </w:tc>
        <w:tc>
          <w:tcPr>
            <w:tcW w:w="475" w:type="pct"/>
            <w:vAlign w:val="center"/>
          </w:tcPr>
          <w:p w14:paraId="3F1D04FB">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18</w:t>
            </w:r>
          </w:p>
        </w:tc>
        <w:tc>
          <w:tcPr>
            <w:tcW w:w="603" w:type="pct"/>
            <w:vAlign w:val="center"/>
          </w:tcPr>
          <w:p w14:paraId="5754F24A">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下游水井</w:t>
            </w:r>
          </w:p>
        </w:tc>
        <w:tc>
          <w:tcPr>
            <w:tcW w:w="629" w:type="pct"/>
            <w:vAlign w:val="center"/>
          </w:tcPr>
          <w:p w14:paraId="70DFEA4E">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牲畜饮用</w:t>
            </w:r>
            <w:r>
              <w:rPr>
                <w:rFonts w:hint="eastAsia" w:ascii="Times New Roman" w:hAnsi="Times New Roman" w:cs="Times New Roman" w:eastAsiaTheme="minorEastAsia"/>
                <w:color w:val="auto"/>
                <w:w w:val="99"/>
                <w:kern w:val="2"/>
                <w:sz w:val="21"/>
                <w:szCs w:val="21"/>
                <w:highlight w:val="none"/>
              </w:rPr>
              <w:t>、</w:t>
            </w:r>
            <w:r>
              <w:rPr>
                <w:rFonts w:ascii="Times New Roman" w:hAnsi="Times New Roman" w:cs="Times New Roman" w:eastAsiaTheme="minorEastAsia"/>
                <w:color w:val="auto"/>
                <w:w w:val="99"/>
                <w:kern w:val="2"/>
                <w:sz w:val="21"/>
                <w:szCs w:val="21"/>
                <w:highlight w:val="none"/>
              </w:rPr>
              <w:t>灌溉</w:t>
            </w:r>
          </w:p>
        </w:tc>
        <w:tc>
          <w:tcPr>
            <w:tcW w:w="629" w:type="pct"/>
            <w:vAlign w:val="center"/>
          </w:tcPr>
          <w:p w14:paraId="61EB60AB">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lang w:val="en-US" w:eastAsia="zh-CN"/>
              </w:rPr>
              <w:t>引用</w:t>
            </w:r>
          </w:p>
        </w:tc>
      </w:tr>
      <w:tr w14:paraId="4D4CA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28" w:type="pct"/>
            <w:vAlign w:val="center"/>
          </w:tcPr>
          <w:p w14:paraId="1B954011">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4</w:t>
            </w:r>
          </w:p>
        </w:tc>
        <w:tc>
          <w:tcPr>
            <w:tcW w:w="637" w:type="pct"/>
            <w:shd w:val="clear" w:color="auto" w:fill="auto"/>
            <w:vAlign w:val="center"/>
          </w:tcPr>
          <w:p w14:paraId="145F449B">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于洼子屯陈家潜水水井</w:t>
            </w:r>
          </w:p>
        </w:tc>
        <w:tc>
          <w:tcPr>
            <w:tcW w:w="428" w:type="pct"/>
            <w:shd w:val="clear" w:color="auto" w:fill="auto"/>
            <w:vAlign w:val="center"/>
          </w:tcPr>
          <w:p w14:paraId="7607EDA0">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潜水</w:t>
            </w:r>
          </w:p>
        </w:tc>
        <w:tc>
          <w:tcPr>
            <w:tcW w:w="596" w:type="pct"/>
            <w:shd w:val="clear" w:color="auto" w:fill="auto"/>
            <w:vAlign w:val="center"/>
          </w:tcPr>
          <w:p w14:paraId="74306C4A">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rPr>
              <w:t>125.50934，45.91835</w:t>
            </w:r>
          </w:p>
        </w:tc>
        <w:tc>
          <w:tcPr>
            <w:tcW w:w="771" w:type="pct"/>
            <w:shd w:val="clear" w:color="auto" w:fill="auto"/>
            <w:vAlign w:val="center"/>
          </w:tcPr>
          <w:p w14:paraId="2933EDDC">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rPr>
              <w:t>徐深27集气站EN1000m</w:t>
            </w:r>
          </w:p>
        </w:tc>
        <w:tc>
          <w:tcPr>
            <w:tcW w:w="475" w:type="pct"/>
            <w:shd w:val="clear" w:color="auto" w:fill="auto"/>
            <w:vAlign w:val="center"/>
          </w:tcPr>
          <w:p w14:paraId="7E1800C5">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12</w:t>
            </w:r>
          </w:p>
        </w:tc>
        <w:tc>
          <w:tcPr>
            <w:tcW w:w="603" w:type="pct"/>
            <w:shd w:val="clear" w:color="auto" w:fill="auto"/>
            <w:vAlign w:val="center"/>
          </w:tcPr>
          <w:p w14:paraId="75853FFD">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上游</w:t>
            </w:r>
            <w:r>
              <w:rPr>
                <w:rFonts w:ascii="Times New Roman" w:hAnsi="Times New Roman" w:cs="Times New Roman" w:eastAsiaTheme="minorEastAsia"/>
                <w:color w:val="auto"/>
                <w:w w:val="99"/>
                <w:kern w:val="2"/>
                <w:sz w:val="21"/>
                <w:szCs w:val="21"/>
                <w:highlight w:val="none"/>
              </w:rPr>
              <w:t>水井</w:t>
            </w:r>
          </w:p>
        </w:tc>
        <w:tc>
          <w:tcPr>
            <w:tcW w:w="629" w:type="pct"/>
            <w:shd w:val="clear" w:color="auto" w:fill="auto"/>
            <w:vAlign w:val="center"/>
          </w:tcPr>
          <w:p w14:paraId="4DF64196">
            <w:pPr>
              <w:widowControl w:val="0"/>
              <w:snapToGrid w:val="0"/>
              <w:spacing w:line="36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cs="Times New Roman" w:eastAsiaTheme="minorEastAsia"/>
                <w:color w:val="auto"/>
                <w:w w:val="99"/>
                <w:kern w:val="2"/>
                <w:sz w:val="21"/>
                <w:szCs w:val="21"/>
                <w:highlight w:val="none"/>
              </w:rPr>
              <w:t>牲畜饮用</w:t>
            </w:r>
            <w:r>
              <w:rPr>
                <w:rFonts w:hint="eastAsia" w:ascii="Times New Roman" w:hAnsi="Times New Roman" w:cs="Times New Roman" w:eastAsiaTheme="minorEastAsia"/>
                <w:color w:val="auto"/>
                <w:w w:val="99"/>
                <w:kern w:val="2"/>
                <w:sz w:val="21"/>
                <w:szCs w:val="21"/>
                <w:highlight w:val="none"/>
              </w:rPr>
              <w:t>、</w:t>
            </w:r>
            <w:r>
              <w:rPr>
                <w:rFonts w:ascii="Times New Roman" w:hAnsi="Times New Roman" w:cs="Times New Roman" w:eastAsiaTheme="minorEastAsia"/>
                <w:color w:val="auto"/>
                <w:w w:val="99"/>
                <w:kern w:val="2"/>
                <w:sz w:val="21"/>
                <w:szCs w:val="21"/>
                <w:highlight w:val="none"/>
              </w:rPr>
              <w:t>灌溉</w:t>
            </w:r>
          </w:p>
        </w:tc>
        <w:tc>
          <w:tcPr>
            <w:tcW w:w="629" w:type="pct"/>
            <w:vAlign w:val="center"/>
          </w:tcPr>
          <w:p w14:paraId="0328CE04">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本次监测</w:t>
            </w:r>
          </w:p>
        </w:tc>
      </w:tr>
      <w:tr w14:paraId="67FE9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28" w:type="pct"/>
            <w:vAlign w:val="center"/>
          </w:tcPr>
          <w:p w14:paraId="64F3A9F6">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5</w:t>
            </w:r>
          </w:p>
        </w:tc>
        <w:tc>
          <w:tcPr>
            <w:tcW w:w="637" w:type="pct"/>
            <w:shd w:val="clear" w:color="auto" w:fill="auto"/>
            <w:vAlign w:val="center"/>
          </w:tcPr>
          <w:p w14:paraId="27358F96">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东双山屯孙家潜水水井</w:t>
            </w:r>
          </w:p>
        </w:tc>
        <w:tc>
          <w:tcPr>
            <w:tcW w:w="428" w:type="pct"/>
            <w:shd w:val="clear" w:color="auto" w:fill="auto"/>
            <w:vAlign w:val="center"/>
          </w:tcPr>
          <w:p w14:paraId="30896AC4">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潜水</w:t>
            </w:r>
          </w:p>
        </w:tc>
        <w:tc>
          <w:tcPr>
            <w:tcW w:w="596" w:type="pct"/>
            <w:shd w:val="clear" w:color="auto" w:fill="auto"/>
            <w:vAlign w:val="center"/>
          </w:tcPr>
          <w:p w14:paraId="4F54FC2B">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rPr>
              <w:t>125.48984，45.91275</w:t>
            </w:r>
          </w:p>
        </w:tc>
        <w:tc>
          <w:tcPr>
            <w:tcW w:w="771" w:type="pct"/>
            <w:shd w:val="clear" w:color="auto" w:fill="auto"/>
            <w:vAlign w:val="center"/>
          </w:tcPr>
          <w:p w14:paraId="2733FA1A">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rPr>
              <w:t>徐深27集气站WN1100m</w:t>
            </w:r>
          </w:p>
        </w:tc>
        <w:tc>
          <w:tcPr>
            <w:tcW w:w="475" w:type="pct"/>
            <w:shd w:val="clear" w:color="auto" w:fill="auto"/>
            <w:vAlign w:val="center"/>
          </w:tcPr>
          <w:p w14:paraId="0D48AB4D">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15</w:t>
            </w:r>
          </w:p>
        </w:tc>
        <w:tc>
          <w:tcPr>
            <w:tcW w:w="603" w:type="pct"/>
            <w:shd w:val="clear" w:color="auto" w:fill="auto"/>
            <w:vAlign w:val="center"/>
          </w:tcPr>
          <w:p w14:paraId="23860B1A">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侧向</w:t>
            </w:r>
            <w:r>
              <w:rPr>
                <w:rFonts w:ascii="Times New Roman" w:hAnsi="Times New Roman" w:cs="Times New Roman" w:eastAsiaTheme="minorEastAsia"/>
                <w:color w:val="auto"/>
                <w:w w:val="99"/>
                <w:kern w:val="2"/>
                <w:sz w:val="21"/>
                <w:szCs w:val="21"/>
                <w:highlight w:val="none"/>
              </w:rPr>
              <w:t>水井</w:t>
            </w:r>
          </w:p>
        </w:tc>
        <w:tc>
          <w:tcPr>
            <w:tcW w:w="629" w:type="pct"/>
            <w:shd w:val="clear" w:color="auto" w:fill="auto"/>
            <w:vAlign w:val="center"/>
          </w:tcPr>
          <w:p w14:paraId="3EACC9DD">
            <w:pPr>
              <w:widowControl w:val="0"/>
              <w:snapToGrid w:val="0"/>
              <w:spacing w:line="36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cs="Times New Roman" w:eastAsiaTheme="minorEastAsia"/>
                <w:color w:val="auto"/>
                <w:w w:val="99"/>
                <w:kern w:val="2"/>
                <w:sz w:val="21"/>
                <w:szCs w:val="21"/>
                <w:highlight w:val="none"/>
              </w:rPr>
              <w:t>牲畜饮用</w:t>
            </w:r>
            <w:r>
              <w:rPr>
                <w:rFonts w:hint="eastAsia" w:ascii="Times New Roman" w:hAnsi="Times New Roman" w:cs="Times New Roman" w:eastAsiaTheme="minorEastAsia"/>
                <w:color w:val="auto"/>
                <w:w w:val="99"/>
                <w:kern w:val="2"/>
                <w:sz w:val="21"/>
                <w:szCs w:val="21"/>
                <w:highlight w:val="none"/>
              </w:rPr>
              <w:t>、</w:t>
            </w:r>
            <w:r>
              <w:rPr>
                <w:rFonts w:ascii="Times New Roman" w:hAnsi="Times New Roman" w:cs="Times New Roman" w:eastAsiaTheme="minorEastAsia"/>
                <w:color w:val="auto"/>
                <w:w w:val="99"/>
                <w:kern w:val="2"/>
                <w:sz w:val="21"/>
                <w:szCs w:val="21"/>
                <w:highlight w:val="none"/>
              </w:rPr>
              <w:t>灌溉</w:t>
            </w:r>
          </w:p>
        </w:tc>
        <w:tc>
          <w:tcPr>
            <w:tcW w:w="629" w:type="pct"/>
            <w:vAlign w:val="center"/>
          </w:tcPr>
          <w:p w14:paraId="25AF68AD">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lang w:val="en-US" w:eastAsia="zh-CN"/>
              </w:rPr>
              <w:t>本次监测</w:t>
            </w:r>
          </w:p>
        </w:tc>
      </w:tr>
      <w:tr w14:paraId="3707C8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28" w:type="pct"/>
            <w:vAlign w:val="center"/>
          </w:tcPr>
          <w:p w14:paraId="204EE68A">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val="en-US" w:eastAsia="zh-CN"/>
              </w:rPr>
              <w:t>6</w:t>
            </w:r>
          </w:p>
        </w:tc>
        <w:tc>
          <w:tcPr>
            <w:tcW w:w="637" w:type="pct"/>
            <w:vAlign w:val="center"/>
          </w:tcPr>
          <w:p w14:paraId="0DEEF322">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尚家围子屯孙家承压水井</w:t>
            </w:r>
          </w:p>
        </w:tc>
        <w:tc>
          <w:tcPr>
            <w:tcW w:w="428" w:type="pct"/>
            <w:vAlign w:val="center"/>
          </w:tcPr>
          <w:p w14:paraId="22F21F44">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承压水</w:t>
            </w:r>
          </w:p>
        </w:tc>
        <w:tc>
          <w:tcPr>
            <w:tcW w:w="596" w:type="pct"/>
            <w:vAlign w:val="center"/>
          </w:tcPr>
          <w:p w14:paraId="3DA64B38">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125.50178，45.89513</w:t>
            </w:r>
          </w:p>
        </w:tc>
        <w:tc>
          <w:tcPr>
            <w:tcW w:w="771" w:type="pct"/>
            <w:vAlign w:val="center"/>
          </w:tcPr>
          <w:p w14:paraId="2FA0832E">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拟建徐深27-H1井NW600m</w:t>
            </w:r>
          </w:p>
        </w:tc>
        <w:tc>
          <w:tcPr>
            <w:tcW w:w="475" w:type="pct"/>
            <w:vAlign w:val="center"/>
          </w:tcPr>
          <w:p w14:paraId="3BD53B67">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65</w:t>
            </w:r>
          </w:p>
        </w:tc>
        <w:tc>
          <w:tcPr>
            <w:tcW w:w="603" w:type="pct"/>
            <w:vAlign w:val="center"/>
          </w:tcPr>
          <w:p w14:paraId="7E54A107">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lang w:val="en-US" w:eastAsia="zh-CN"/>
              </w:rPr>
              <w:t>区域内</w:t>
            </w:r>
            <w:r>
              <w:rPr>
                <w:rFonts w:ascii="Times New Roman" w:hAnsi="Times New Roman" w:cs="Times New Roman" w:eastAsiaTheme="minorEastAsia"/>
                <w:color w:val="auto"/>
                <w:w w:val="99"/>
                <w:kern w:val="2"/>
                <w:sz w:val="21"/>
                <w:szCs w:val="21"/>
                <w:highlight w:val="none"/>
              </w:rPr>
              <w:t>水井</w:t>
            </w:r>
          </w:p>
        </w:tc>
        <w:tc>
          <w:tcPr>
            <w:tcW w:w="629" w:type="pct"/>
            <w:vAlign w:val="center"/>
          </w:tcPr>
          <w:p w14:paraId="0FB275BE">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牲畜饮用</w:t>
            </w:r>
            <w:r>
              <w:rPr>
                <w:rFonts w:hint="eastAsia" w:ascii="Times New Roman" w:hAnsi="Times New Roman" w:cs="Times New Roman" w:eastAsiaTheme="minorEastAsia"/>
                <w:color w:val="auto"/>
                <w:w w:val="99"/>
                <w:kern w:val="2"/>
                <w:sz w:val="21"/>
                <w:szCs w:val="21"/>
                <w:highlight w:val="none"/>
              </w:rPr>
              <w:t>、</w:t>
            </w:r>
            <w:r>
              <w:rPr>
                <w:rFonts w:ascii="Times New Roman" w:hAnsi="Times New Roman" w:cs="Times New Roman" w:eastAsiaTheme="minorEastAsia"/>
                <w:color w:val="auto"/>
                <w:w w:val="99"/>
                <w:kern w:val="2"/>
                <w:sz w:val="21"/>
                <w:szCs w:val="21"/>
                <w:highlight w:val="none"/>
              </w:rPr>
              <w:t>灌溉</w:t>
            </w:r>
          </w:p>
        </w:tc>
        <w:tc>
          <w:tcPr>
            <w:tcW w:w="629" w:type="pct"/>
            <w:vAlign w:val="center"/>
          </w:tcPr>
          <w:p w14:paraId="54BCF5DF">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引用</w:t>
            </w:r>
          </w:p>
        </w:tc>
      </w:tr>
      <w:tr w14:paraId="6CE97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28" w:type="pct"/>
            <w:vAlign w:val="center"/>
          </w:tcPr>
          <w:p w14:paraId="1AF38010">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7</w:t>
            </w:r>
          </w:p>
        </w:tc>
        <w:tc>
          <w:tcPr>
            <w:tcW w:w="637" w:type="pct"/>
            <w:shd w:val="clear" w:color="auto" w:fill="auto"/>
            <w:vAlign w:val="center"/>
          </w:tcPr>
          <w:p w14:paraId="0A849FD0">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王家围子屯周家承压水井</w:t>
            </w:r>
          </w:p>
        </w:tc>
        <w:tc>
          <w:tcPr>
            <w:tcW w:w="428" w:type="pct"/>
            <w:shd w:val="clear" w:color="auto" w:fill="auto"/>
            <w:vAlign w:val="center"/>
          </w:tcPr>
          <w:p w14:paraId="1CF3924E">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承压水</w:t>
            </w:r>
          </w:p>
        </w:tc>
        <w:tc>
          <w:tcPr>
            <w:tcW w:w="596" w:type="pct"/>
            <w:shd w:val="clear" w:color="auto" w:fill="auto"/>
            <w:vAlign w:val="center"/>
          </w:tcPr>
          <w:p w14:paraId="47408677">
            <w:pPr>
              <w:widowControl w:val="0"/>
              <w:snapToGrid w:val="0"/>
              <w:spacing w:line="36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rPr>
              <w:t>125.51837，45.90704</w:t>
            </w:r>
          </w:p>
        </w:tc>
        <w:tc>
          <w:tcPr>
            <w:tcW w:w="771" w:type="pct"/>
            <w:shd w:val="clear" w:color="auto" w:fill="auto"/>
            <w:vAlign w:val="center"/>
          </w:tcPr>
          <w:p w14:paraId="11734BB0">
            <w:pPr>
              <w:widowControl w:val="0"/>
              <w:snapToGrid w:val="0"/>
              <w:spacing w:line="36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rPr>
              <w:t>拟建徐深27-H1井EN970m</w:t>
            </w:r>
          </w:p>
        </w:tc>
        <w:tc>
          <w:tcPr>
            <w:tcW w:w="475" w:type="pct"/>
            <w:shd w:val="clear" w:color="auto" w:fill="auto"/>
            <w:vAlign w:val="center"/>
          </w:tcPr>
          <w:p w14:paraId="0F2B6B38">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65</w:t>
            </w:r>
          </w:p>
        </w:tc>
        <w:tc>
          <w:tcPr>
            <w:tcW w:w="603" w:type="pct"/>
            <w:shd w:val="clear" w:color="auto" w:fill="auto"/>
            <w:vAlign w:val="center"/>
          </w:tcPr>
          <w:p w14:paraId="0FBCF360">
            <w:pPr>
              <w:widowControl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上游</w:t>
            </w:r>
            <w:r>
              <w:rPr>
                <w:rFonts w:ascii="Times New Roman" w:hAnsi="Times New Roman" w:cs="Times New Roman" w:eastAsiaTheme="minorEastAsia"/>
                <w:color w:val="auto"/>
                <w:w w:val="99"/>
                <w:kern w:val="2"/>
                <w:sz w:val="21"/>
                <w:szCs w:val="21"/>
                <w:highlight w:val="none"/>
              </w:rPr>
              <w:t>水井</w:t>
            </w:r>
          </w:p>
        </w:tc>
        <w:tc>
          <w:tcPr>
            <w:tcW w:w="629" w:type="pct"/>
            <w:shd w:val="clear" w:color="auto" w:fill="auto"/>
            <w:vAlign w:val="center"/>
          </w:tcPr>
          <w:p w14:paraId="5ED16DE9">
            <w:pPr>
              <w:widowControl w:val="0"/>
              <w:snapToGrid w:val="0"/>
              <w:spacing w:line="36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cs="Times New Roman" w:eastAsiaTheme="minorEastAsia"/>
                <w:color w:val="auto"/>
                <w:w w:val="99"/>
                <w:kern w:val="2"/>
                <w:sz w:val="21"/>
                <w:szCs w:val="21"/>
                <w:highlight w:val="none"/>
              </w:rPr>
              <w:t>牲畜饮用</w:t>
            </w:r>
            <w:r>
              <w:rPr>
                <w:rFonts w:hint="eastAsia" w:ascii="Times New Roman" w:hAnsi="Times New Roman" w:cs="Times New Roman" w:eastAsiaTheme="minorEastAsia"/>
                <w:color w:val="auto"/>
                <w:w w:val="99"/>
                <w:kern w:val="2"/>
                <w:sz w:val="21"/>
                <w:szCs w:val="21"/>
                <w:highlight w:val="none"/>
              </w:rPr>
              <w:t>、</w:t>
            </w:r>
            <w:r>
              <w:rPr>
                <w:rFonts w:ascii="Times New Roman" w:hAnsi="Times New Roman" w:cs="Times New Roman" w:eastAsiaTheme="minorEastAsia"/>
                <w:color w:val="auto"/>
                <w:w w:val="99"/>
                <w:kern w:val="2"/>
                <w:sz w:val="21"/>
                <w:szCs w:val="21"/>
                <w:highlight w:val="none"/>
              </w:rPr>
              <w:t>灌溉</w:t>
            </w:r>
          </w:p>
        </w:tc>
        <w:tc>
          <w:tcPr>
            <w:tcW w:w="629" w:type="pct"/>
            <w:shd w:val="clear" w:color="auto" w:fill="auto"/>
            <w:vAlign w:val="center"/>
          </w:tcPr>
          <w:p w14:paraId="78269A7B">
            <w:pPr>
              <w:widowControl w:val="0"/>
              <w:snapToGrid w:val="0"/>
              <w:spacing w:line="36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rPr>
              <w:t>本次监测</w:t>
            </w:r>
          </w:p>
        </w:tc>
      </w:tr>
    </w:tbl>
    <w:p w14:paraId="681E3DD2">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（3）监测时间及频次</w:t>
      </w:r>
    </w:p>
    <w:p w14:paraId="6B368A39">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于</w:t>
      </w:r>
      <w:r>
        <w:rPr>
          <w:rFonts w:ascii="Times New Roman" w:hAnsi="Times New Roman" w:cs="Times New Roman" w:eastAsiaTheme="minorEastAsia"/>
          <w:color w:val="auto"/>
          <w:w w:val="99"/>
          <w:highlight w:val="none"/>
        </w:rPr>
        <w:t>202</w:t>
      </w:r>
      <w:r>
        <w:rPr>
          <w:rFonts w:hint="eastAsia" w:ascii="Times New Roman" w:hAnsi="Times New Roman" w:cs="Times New Roman" w:eastAsiaTheme="minorEastAsia"/>
          <w:color w:val="auto"/>
          <w:w w:val="99"/>
          <w:highlight w:val="none"/>
        </w:rPr>
        <w:t>5</w:t>
      </w:r>
      <w:r>
        <w:rPr>
          <w:rFonts w:ascii="Times New Roman" w:hAnsi="Times New Roman" w:cs="Times New Roman" w:eastAsiaTheme="minorEastAsia"/>
          <w:color w:val="auto"/>
          <w:w w:val="99"/>
          <w:highlight w:val="none"/>
        </w:rPr>
        <w:t>年</w:t>
      </w:r>
      <w:r>
        <w:rPr>
          <w:rFonts w:hint="eastAsia" w:ascii="Times New Roman" w:hAnsi="Times New Roman" w:cs="Times New Roman" w:eastAsiaTheme="minorEastAsia"/>
          <w:color w:val="auto"/>
          <w:w w:val="99"/>
          <w:highlight w:val="none"/>
        </w:rPr>
        <w:t>3</w:t>
      </w:r>
      <w:r>
        <w:rPr>
          <w:rFonts w:ascii="Times New Roman" w:hAnsi="Times New Roman" w:cs="Times New Roman" w:eastAsiaTheme="minorEastAsia"/>
          <w:color w:val="auto"/>
          <w:w w:val="99"/>
          <w:highlight w:val="none"/>
        </w:rPr>
        <w:t>月</w:t>
      </w:r>
      <w:r>
        <w:rPr>
          <w:rFonts w:hint="eastAsia" w:ascii="Times New Roman" w:hAnsi="Times New Roman" w:cs="Times New Roman" w:eastAsiaTheme="minorEastAsia"/>
          <w:color w:val="auto"/>
          <w:w w:val="99"/>
          <w:highlight w:val="none"/>
        </w:rPr>
        <w:t>26</w:t>
      </w:r>
      <w:r>
        <w:rPr>
          <w:rFonts w:ascii="Times New Roman" w:hAnsi="Times New Roman" w:cs="Times New Roman" w:eastAsiaTheme="minorEastAsia"/>
          <w:color w:val="auto"/>
          <w:w w:val="99"/>
          <w:highlight w:val="none"/>
        </w:rPr>
        <w:t>日</w:t>
      </w:r>
      <w:r>
        <w:rPr>
          <w:rFonts w:hint="eastAsia" w:ascii="Times New Roman" w:hAnsi="Times New Roman" w:cs="Times New Roman" w:eastAsiaTheme="minorEastAsia"/>
          <w:color w:val="auto"/>
          <w:w w:val="99"/>
          <w:highlight w:val="none"/>
        </w:rPr>
        <w:t>（引用）、</w:t>
      </w:r>
      <w:r>
        <w:rPr>
          <w:rFonts w:ascii="Times New Roman" w:hAnsi="Times New Roman" w:cs="Times New Roman"/>
          <w:color w:val="auto"/>
          <w:w w:val="99"/>
          <w:highlight w:val="none"/>
        </w:rPr>
        <w:t>202</w:t>
      </w:r>
      <w:r>
        <w:rPr>
          <w:rFonts w:hint="eastAsia" w:ascii="Times New Roman" w:hAnsi="Times New Roman" w:cs="Times New Roman"/>
          <w:color w:val="auto"/>
          <w:w w:val="99"/>
          <w:highlight w:val="none"/>
        </w:rPr>
        <w:t>6</w:t>
      </w:r>
      <w:r>
        <w:rPr>
          <w:rFonts w:ascii="Times New Roman" w:hAnsi="Times New Roman" w:cs="Times New Roman"/>
          <w:color w:val="auto"/>
          <w:w w:val="99"/>
          <w:highlight w:val="none"/>
        </w:rPr>
        <w:t>年</w:t>
      </w:r>
      <w:r>
        <w:rPr>
          <w:rFonts w:hint="eastAsia" w:ascii="Times New Roman" w:hAnsi="Times New Roman" w:cs="Times New Roman"/>
          <w:color w:val="auto"/>
          <w:w w:val="99"/>
          <w:highlight w:val="none"/>
        </w:rPr>
        <w:t>6</w:t>
      </w:r>
      <w:r>
        <w:rPr>
          <w:rFonts w:ascii="Times New Roman" w:hAnsi="Times New Roman" w:cs="Times New Roman"/>
          <w:color w:val="auto"/>
          <w:w w:val="99"/>
          <w:highlight w:val="none"/>
        </w:rPr>
        <w:t>月</w:t>
      </w:r>
      <w:r>
        <w:rPr>
          <w:rFonts w:hint="eastAsia" w:ascii="Times New Roman" w:hAnsi="Times New Roman" w:cs="Times New Roman"/>
          <w:color w:val="auto"/>
          <w:w w:val="99"/>
          <w:highlight w:val="none"/>
        </w:rPr>
        <w:t>1</w:t>
      </w:r>
      <w:r>
        <w:rPr>
          <w:rFonts w:ascii="Times New Roman" w:hAnsi="Times New Roman" w:cs="Times New Roman"/>
          <w:color w:val="auto"/>
          <w:w w:val="99"/>
          <w:highlight w:val="none"/>
        </w:rPr>
        <w:t>日监测，均取样1次，并进行水质分析。</w:t>
      </w:r>
    </w:p>
    <w:p w14:paraId="2661A8A4">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（4）分析方法</w:t>
      </w:r>
    </w:p>
    <w:p w14:paraId="0B8F5FD7">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地下水各监测因子分析方法见表4.3-8。</w:t>
      </w:r>
    </w:p>
    <w:p w14:paraId="165C80CB">
      <w:pPr>
        <w:pStyle w:val="2736"/>
        <w:keepNext w:val="0"/>
        <w:keepLines w:val="0"/>
        <w:widowControl w:val="0"/>
        <w:kinsoku w:val="0"/>
        <w:overflowPunct w:val="0"/>
        <w:spacing w:line="440" w:lineRule="exact"/>
        <w:ind w:left="480" w:leftChars="200" w:firstLine="0" w:firstLineChars="0"/>
        <w:outlineLvl w:val="9"/>
        <w:rPr>
          <w:rFonts w:ascii="Times New Roman" w:hAnsi="Times New Roman" w:eastAsia="宋体"/>
          <w:b/>
          <w:color w:val="auto"/>
          <w:w w:val="99"/>
          <w:sz w:val="24"/>
          <w:szCs w:val="24"/>
          <w:highlight w:val="none"/>
        </w:rPr>
      </w:pPr>
      <w:bookmarkStart w:id="685" w:name="_Toc25506"/>
      <w:bookmarkStart w:id="686" w:name="_Toc9096"/>
      <w:bookmarkStart w:id="687" w:name="_Toc7544"/>
      <w:bookmarkStart w:id="688" w:name="_Toc31911"/>
      <w:bookmarkStart w:id="689" w:name="_Toc18042"/>
      <w:bookmarkStart w:id="690" w:name="_Toc21808"/>
      <w:bookmarkStart w:id="691" w:name="_Toc22902"/>
      <w:bookmarkStart w:id="692" w:name="_Toc19563"/>
      <w:r>
        <w:rPr>
          <w:rFonts w:ascii="Times New Roman" w:hAnsi="Times New Roman" w:eastAsia="宋体"/>
          <w:b/>
          <w:color w:val="auto"/>
          <w:w w:val="99"/>
          <w:sz w:val="24"/>
          <w:szCs w:val="24"/>
          <w:highlight w:val="none"/>
        </w:rPr>
        <w:t>表4.3-8  地下水监测分析方法</w:t>
      </w:r>
      <w:bookmarkEnd w:id="685"/>
      <w:bookmarkEnd w:id="686"/>
      <w:bookmarkEnd w:id="687"/>
      <w:bookmarkEnd w:id="688"/>
      <w:bookmarkEnd w:id="689"/>
      <w:bookmarkEnd w:id="690"/>
      <w:bookmarkEnd w:id="691"/>
      <w:bookmarkEnd w:id="692"/>
    </w:p>
    <w:tbl>
      <w:tblPr>
        <w:tblStyle w:val="8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2766"/>
        <w:gridCol w:w="1598"/>
        <w:gridCol w:w="1742"/>
        <w:gridCol w:w="1306"/>
        <w:gridCol w:w="1014"/>
      </w:tblGrid>
      <w:tr w14:paraId="06BB9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75C59C5F">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监测</w:t>
            </w:r>
          </w:p>
          <w:p w14:paraId="390CE44B">
            <w:pPr>
              <w:widowControl w:val="0"/>
              <w:kinsoku w:val="0"/>
              <w:overflowPunct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项目</w:t>
            </w:r>
          </w:p>
        </w:tc>
        <w:tc>
          <w:tcPr>
            <w:tcW w:w="1489" w:type="pct"/>
            <w:vAlign w:val="center"/>
          </w:tcPr>
          <w:p w14:paraId="3E9EEDC8">
            <w:pPr>
              <w:widowControl w:val="0"/>
              <w:kinsoku w:val="0"/>
              <w:overflowPunct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分析方法名称</w:t>
            </w:r>
          </w:p>
        </w:tc>
        <w:tc>
          <w:tcPr>
            <w:tcW w:w="860" w:type="pct"/>
            <w:vAlign w:val="center"/>
          </w:tcPr>
          <w:p w14:paraId="7214F801">
            <w:pPr>
              <w:widowControl w:val="0"/>
              <w:kinsoku w:val="0"/>
              <w:overflowPunct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方法来源及标准号</w:t>
            </w:r>
          </w:p>
        </w:tc>
        <w:tc>
          <w:tcPr>
            <w:tcW w:w="938" w:type="pct"/>
            <w:vAlign w:val="center"/>
          </w:tcPr>
          <w:p w14:paraId="297B4336">
            <w:pPr>
              <w:widowControl w:val="0"/>
              <w:kinsoku w:val="0"/>
              <w:overflowPunct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分析仪器及型号</w:t>
            </w:r>
          </w:p>
        </w:tc>
        <w:tc>
          <w:tcPr>
            <w:tcW w:w="703" w:type="pct"/>
            <w:vAlign w:val="center"/>
          </w:tcPr>
          <w:p w14:paraId="78CE4A67">
            <w:pPr>
              <w:widowControl w:val="0"/>
              <w:kinsoku w:val="0"/>
              <w:overflowPunct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仪器编号</w:t>
            </w:r>
          </w:p>
        </w:tc>
        <w:tc>
          <w:tcPr>
            <w:tcW w:w="546" w:type="pct"/>
            <w:vAlign w:val="center"/>
          </w:tcPr>
          <w:p w14:paraId="1D093ED1">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方法检出限</w:t>
            </w:r>
          </w:p>
        </w:tc>
      </w:tr>
      <w:tr w14:paraId="4DB19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64FF3328">
            <w:pPr>
              <w:widowControl w:val="0"/>
              <w:kinsoku w:val="0"/>
              <w:overflowPunct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4"/>
                <w:sz w:val="21"/>
                <w:szCs w:val="21"/>
                <w:highlight w:val="none"/>
                <w:lang w:bidi="ar"/>
              </w:rPr>
              <w:t>K</w:t>
            </w:r>
            <w:r>
              <w:rPr>
                <w:rFonts w:ascii="Times New Roman" w:hAnsi="Times New Roman" w:cs="Times New Roman" w:eastAsiaTheme="minorEastAsia"/>
                <w:color w:val="auto"/>
                <w:w w:val="99"/>
                <w:kern w:val="24"/>
                <w:sz w:val="21"/>
                <w:szCs w:val="21"/>
                <w:highlight w:val="none"/>
                <w:vertAlign w:val="superscript"/>
                <w:lang w:bidi="ar"/>
              </w:rPr>
              <w:t>+</w:t>
            </w:r>
          </w:p>
        </w:tc>
        <w:tc>
          <w:tcPr>
            <w:tcW w:w="1489" w:type="pct"/>
            <w:vAlign w:val="center"/>
          </w:tcPr>
          <w:p w14:paraId="2D5A68D0">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lang w:val="zh-CN"/>
              </w:rPr>
              <w:t>水质 钾和钠的测定</w:t>
            </w:r>
            <w:r>
              <w:rPr>
                <w:rFonts w:ascii="Times New Roman" w:hAnsi="Times New Roman" w:cs="Times New Roman" w:eastAsiaTheme="minorEastAsia"/>
                <w:color w:val="auto"/>
                <w:w w:val="99"/>
                <w:kern w:val="2"/>
                <w:sz w:val="21"/>
                <w:szCs w:val="21"/>
                <w:highlight w:val="none"/>
              </w:rPr>
              <w:t xml:space="preserve">                  </w:t>
            </w:r>
            <w:r>
              <w:rPr>
                <w:rFonts w:ascii="Times New Roman" w:hAnsi="Times New Roman" w:cs="Times New Roman" w:eastAsiaTheme="minorEastAsia"/>
                <w:color w:val="auto"/>
                <w:w w:val="99"/>
                <w:kern w:val="2"/>
                <w:sz w:val="21"/>
                <w:szCs w:val="21"/>
                <w:highlight w:val="none"/>
                <w:lang w:val="zh-CN"/>
              </w:rPr>
              <w:t>火焰原子吸收分光光度法</w:t>
            </w:r>
          </w:p>
        </w:tc>
        <w:tc>
          <w:tcPr>
            <w:tcW w:w="860" w:type="pct"/>
            <w:vAlign w:val="center"/>
          </w:tcPr>
          <w:p w14:paraId="0073C0E5">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lang w:val="zh-CN"/>
              </w:rPr>
              <w:t>GB</w:t>
            </w:r>
            <w:r>
              <w:rPr>
                <w:rFonts w:ascii="Times New Roman" w:hAnsi="Times New Roman" w:cs="Times New Roman" w:eastAsiaTheme="minorEastAsia"/>
                <w:color w:val="auto"/>
                <w:w w:val="99"/>
                <w:kern w:val="2"/>
                <w:sz w:val="21"/>
                <w:szCs w:val="21"/>
                <w:highlight w:val="none"/>
              </w:rPr>
              <w:t xml:space="preserve">/T </w:t>
            </w:r>
            <w:r>
              <w:rPr>
                <w:rFonts w:ascii="Times New Roman" w:hAnsi="Times New Roman" w:cs="Times New Roman" w:eastAsiaTheme="minorEastAsia"/>
                <w:color w:val="auto"/>
                <w:w w:val="99"/>
                <w:kern w:val="2"/>
                <w:sz w:val="21"/>
                <w:szCs w:val="21"/>
                <w:highlight w:val="none"/>
                <w:lang w:val="zh-CN"/>
              </w:rPr>
              <w:t>11904-1989</w:t>
            </w:r>
          </w:p>
        </w:tc>
        <w:tc>
          <w:tcPr>
            <w:tcW w:w="938" w:type="pct"/>
            <w:vAlign w:val="center"/>
          </w:tcPr>
          <w:p w14:paraId="73BBAFAF">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1"/>
                <w:sz w:val="21"/>
                <w:szCs w:val="21"/>
                <w:highlight w:val="none"/>
              </w:rPr>
              <w:t>原子吸收分光光度计 AA320N</w:t>
            </w:r>
          </w:p>
        </w:tc>
        <w:tc>
          <w:tcPr>
            <w:tcW w:w="703" w:type="pct"/>
            <w:vAlign w:val="center"/>
          </w:tcPr>
          <w:p w14:paraId="024FCA02">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030916020216050002</w:t>
            </w:r>
          </w:p>
        </w:tc>
        <w:tc>
          <w:tcPr>
            <w:tcW w:w="546" w:type="pct"/>
            <w:vAlign w:val="center"/>
          </w:tcPr>
          <w:p w14:paraId="4A05704A">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1"/>
                <w:sz w:val="21"/>
                <w:szCs w:val="21"/>
                <w:highlight w:val="none"/>
              </w:rPr>
              <w:t>0.03mg/L</w:t>
            </w:r>
          </w:p>
        </w:tc>
      </w:tr>
      <w:tr w14:paraId="5180B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3210E627">
            <w:pPr>
              <w:widowControl w:val="0"/>
              <w:kinsoku w:val="0"/>
              <w:overflowPunct w:val="0"/>
              <w:spacing w:line="320" w:lineRule="exact"/>
              <w:jc w:val="center"/>
              <w:textAlignment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4"/>
                <w:sz w:val="21"/>
                <w:szCs w:val="21"/>
                <w:highlight w:val="none"/>
                <w:lang w:bidi="ar"/>
              </w:rPr>
              <w:t>Na</w:t>
            </w:r>
            <w:r>
              <w:rPr>
                <w:rFonts w:ascii="Times New Roman" w:hAnsi="Times New Roman" w:cs="Times New Roman" w:eastAsiaTheme="minorEastAsia"/>
                <w:color w:val="auto"/>
                <w:w w:val="99"/>
                <w:kern w:val="24"/>
                <w:sz w:val="21"/>
                <w:szCs w:val="21"/>
                <w:highlight w:val="none"/>
                <w:vertAlign w:val="superscript"/>
                <w:lang w:bidi="ar"/>
              </w:rPr>
              <w:t>+</w:t>
            </w:r>
          </w:p>
        </w:tc>
        <w:tc>
          <w:tcPr>
            <w:tcW w:w="1489" w:type="pct"/>
            <w:vAlign w:val="center"/>
          </w:tcPr>
          <w:p w14:paraId="4D5A2508">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水质 钾和钠的测定</w:t>
            </w:r>
          </w:p>
          <w:p w14:paraId="164B8CF5">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sz w:val="21"/>
                <w:szCs w:val="21"/>
                <w:highlight w:val="none"/>
              </w:rPr>
              <w:t>火焰原子吸收分光光度法</w:t>
            </w:r>
          </w:p>
        </w:tc>
        <w:tc>
          <w:tcPr>
            <w:tcW w:w="860" w:type="pct"/>
            <w:vAlign w:val="center"/>
          </w:tcPr>
          <w:p w14:paraId="6B6B5FCE">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sz w:val="21"/>
                <w:szCs w:val="21"/>
                <w:highlight w:val="none"/>
              </w:rPr>
              <w:t>GB/T 11904-1989</w:t>
            </w:r>
          </w:p>
        </w:tc>
        <w:tc>
          <w:tcPr>
            <w:tcW w:w="938" w:type="pct"/>
            <w:vAlign w:val="center"/>
          </w:tcPr>
          <w:p w14:paraId="114742A5">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1"/>
                <w:sz w:val="21"/>
                <w:szCs w:val="21"/>
                <w:highlight w:val="none"/>
              </w:rPr>
              <w:t>原子吸收分光光度计 AA320N</w:t>
            </w:r>
          </w:p>
        </w:tc>
        <w:tc>
          <w:tcPr>
            <w:tcW w:w="703" w:type="pct"/>
            <w:vAlign w:val="center"/>
          </w:tcPr>
          <w:p w14:paraId="75D4817D">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030916020216050002</w:t>
            </w:r>
          </w:p>
        </w:tc>
        <w:tc>
          <w:tcPr>
            <w:tcW w:w="546" w:type="pct"/>
            <w:vAlign w:val="center"/>
          </w:tcPr>
          <w:p w14:paraId="74789889">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rPr>
              <w:t>0.010</w:t>
            </w:r>
            <w:r>
              <w:rPr>
                <w:rFonts w:ascii="Times New Roman" w:hAnsi="Times New Roman" w:cs="Times New Roman" w:eastAsiaTheme="minorEastAsia"/>
                <w:color w:val="auto"/>
                <w:w w:val="99"/>
                <w:kern w:val="21"/>
                <w:sz w:val="21"/>
                <w:szCs w:val="21"/>
                <w:highlight w:val="none"/>
              </w:rPr>
              <w:t>mg/L</w:t>
            </w:r>
          </w:p>
        </w:tc>
      </w:tr>
      <w:tr w14:paraId="790AB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51129F11">
            <w:pPr>
              <w:widowControl w:val="0"/>
              <w:kinsoku w:val="0"/>
              <w:overflowPunct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4"/>
                <w:sz w:val="21"/>
                <w:szCs w:val="21"/>
                <w:highlight w:val="none"/>
                <w:lang w:bidi="ar"/>
              </w:rPr>
              <w:t>Ca</w:t>
            </w:r>
            <w:r>
              <w:rPr>
                <w:rFonts w:ascii="Times New Roman" w:hAnsi="Times New Roman" w:cs="Times New Roman" w:eastAsiaTheme="minorEastAsia"/>
                <w:color w:val="auto"/>
                <w:w w:val="99"/>
                <w:kern w:val="24"/>
                <w:sz w:val="21"/>
                <w:szCs w:val="21"/>
                <w:highlight w:val="none"/>
                <w:vertAlign w:val="superscript"/>
                <w:lang w:bidi="ar"/>
              </w:rPr>
              <w:t>2+</w:t>
            </w:r>
          </w:p>
        </w:tc>
        <w:tc>
          <w:tcPr>
            <w:tcW w:w="1489" w:type="pct"/>
            <w:vAlign w:val="center"/>
          </w:tcPr>
          <w:p w14:paraId="526D421D">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lang w:val="zh-CN"/>
              </w:rPr>
            </w:pPr>
            <w:r>
              <w:rPr>
                <w:rFonts w:ascii="Times New Roman" w:hAnsi="Times New Roman" w:cs="Times New Roman" w:eastAsiaTheme="minorEastAsia"/>
                <w:color w:val="auto"/>
                <w:w w:val="99"/>
                <w:kern w:val="2"/>
                <w:sz w:val="21"/>
                <w:szCs w:val="21"/>
                <w:highlight w:val="none"/>
                <w:lang w:val="zh-CN"/>
              </w:rPr>
              <w:t>水质 钙和镁的测定</w:t>
            </w:r>
          </w:p>
          <w:p w14:paraId="448E44CD">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lang w:val="zh-CN"/>
              </w:rPr>
              <w:t>原子吸收分光光度法</w:t>
            </w:r>
          </w:p>
        </w:tc>
        <w:tc>
          <w:tcPr>
            <w:tcW w:w="860" w:type="pct"/>
            <w:vAlign w:val="center"/>
          </w:tcPr>
          <w:p w14:paraId="20F24664">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lang w:val="zh-CN"/>
              </w:rPr>
              <w:t>GB</w:t>
            </w:r>
            <w:r>
              <w:rPr>
                <w:rFonts w:ascii="Times New Roman" w:hAnsi="Times New Roman" w:cs="Times New Roman" w:eastAsiaTheme="minorEastAsia"/>
                <w:color w:val="auto"/>
                <w:w w:val="99"/>
                <w:kern w:val="2"/>
                <w:sz w:val="21"/>
                <w:szCs w:val="21"/>
                <w:highlight w:val="none"/>
              </w:rPr>
              <w:t>/T</w:t>
            </w:r>
            <w:r>
              <w:rPr>
                <w:rFonts w:ascii="Times New Roman" w:hAnsi="Times New Roman" w:cs="Times New Roman" w:eastAsiaTheme="minorEastAsia"/>
                <w:color w:val="auto"/>
                <w:w w:val="99"/>
                <w:kern w:val="2"/>
                <w:sz w:val="21"/>
                <w:szCs w:val="21"/>
                <w:highlight w:val="none"/>
                <w:lang w:val="zh-CN"/>
              </w:rPr>
              <w:t xml:space="preserve"> 11905-1989</w:t>
            </w:r>
          </w:p>
        </w:tc>
        <w:tc>
          <w:tcPr>
            <w:tcW w:w="938" w:type="pct"/>
            <w:vAlign w:val="center"/>
          </w:tcPr>
          <w:p w14:paraId="09831C9C">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1"/>
                <w:sz w:val="21"/>
                <w:szCs w:val="21"/>
                <w:highlight w:val="none"/>
              </w:rPr>
              <w:t>原子吸收分光光度计 AA320N</w:t>
            </w:r>
          </w:p>
        </w:tc>
        <w:tc>
          <w:tcPr>
            <w:tcW w:w="703" w:type="pct"/>
            <w:vAlign w:val="center"/>
          </w:tcPr>
          <w:p w14:paraId="05ED3B95">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030916020216050002</w:t>
            </w:r>
          </w:p>
        </w:tc>
        <w:tc>
          <w:tcPr>
            <w:tcW w:w="546" w:type="pct"/>
            <w:vAlign w:val="center"/>
          </w:tcPr>
          <w:p w14:paraId="79136B5D">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0.02mg/L</w:t>
            </w:r>
          </w:p>
        </w:tc>
      </w:tr>
      <w:tr w14:paraId="7080E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2C100FFA">
            <w:pPr>
              <w:widowControl w:val="0"/>
              <w:kinsoku w:val="0"/>
              <w:overflowPunct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4"/>
                <w:sz w:val="21"/>
                <w:szCs w:val="21"/>
                <w:highlight w:val="none"/>
                <w:lang w:bidi="ar"/>
              </w:rPr>
              <w:t>Mg</w:t>
            </w:r>
            <w:r>
              <w:rPr>
                <w:rFonts w:ascii="Times New Roman" w:hAnsi="Times New Roman" w:cs="Times New Roman" w:eastAsiaTheme="minorEastAsia"/>
                <w:color w:val="auto"/>
                <w:w w:val="99"/>
                <w:kern w:val="24"/>
                <w:sz w:val="21"/>
                <w:szCs w:val="21"/>
                <w:highlight w:val="none"/>
                <w:vertAlign w:val="superscript"/>
                <w:lang w:bidi="ar"/>
              </w:rPr>
              <w:t>2+</w:t>
            </w:r>
          </w:p>
        </w:tc>
        <w:tc>
          <w:tcPr>
            <w:tcW w:w="1489" w:type="pct"/>
            <w:vAlign w:val="center"/>
          </w:tcPr>
          <w:p w14:paraId="7F41A649">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lang w:val="zh-CN"/>
              </w:rPr>
            </w:pPr>
            <w:r>
              <w:rPr>
                <w:rFonts w:ascii="Times New Roman" w:hAnsi="Times New Roman" w:cs="Times New Roman" w:eastAsiaTheme="minorEastAsia"/>
                <w:color w:val="auto"/>
                <w:w w:val="99"/>
                <w:kern w:val="2"/>
                <w:sz w:val="21"/>
                <w:szCs w:val="21"/>
                <w:highlight w:val="none"/>
                <w:lang w:val="zh-CN"/>
              </w:rPr>
              <w:t>水质 钙和镁的测定</w:t>
            </w:r>
          </w:p>
          <w:p w14:paraId="14952EC4">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lang w:val="zh-CN"/>
              </w:rPr>
              <w:t>原子吸收分光光度法</w:t>
            </w:r>
          </w:p>
        </w:tc>
        <w:tc>
          <w:tcPr>
            <w:tcW w:w="860" w:type="pct"/>
            <w:vAlign w:val="center"/>
          </w:tcPr>
          <w:p w14:paraId="3A2FCC93">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lang w:val="zh-CN"/>
              </w:rPr>
              <w:t>GB</w:t>
            </w:r>
            <w:r>
              <w:rPr>
                <w:rFonts w:ascii="Times New Roman" w:hAnsi="Times New Roman" w:cs="Times New Roman" w:eastAsiaTheme="minorEastAsia"/>
                <w:color w:val="auto"/>
                <w:w w:val="99"/>
                <w:kern w:val="2"/>
                <w:sz w:val="21"/>
                <w:szCs w:val="21"/>
                <w:highlight w:val="none"/>
              </w:rPr>
              <w:t>/T</w:t>
            </w:r>
            <w:r>
              <w:rPr>
                <w:rFonts w:ascii="Times New Roman" w:hAnsi="Times New Roman" w:cs="Times New Roman" w:eastAsiaTheme="minorEastAsia"/>
                <w:color w:val="auto"/>
                <w:w w:val="99"/>
                <w:kern w:val="2"/>
                <w:sz w:val="21"/>
                <w:szCs w:val="21"/>
                <w:highlight w:val="none"/>
                <w:lang w:val="zh-CN"/>
              </w:rPr>
              <w:t xml:space="preserve"> 11905-1989</w:t>
            </w:r>
          </w:p>
        </w:tc>
        <w:tc>
          <w:tcPr>
            <w:tcW w:w="938" w:type="pct"/>
            <w:vAlign w:val="center"/>
          </w:tcPr>
          <w:p w14:paraId="56C80628">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1"/>
                <w:sz w:val="21"/>
                <w:szCs w:val="21"/>
                <w:highlight w:val="none"/>
              </w:rPr>
              <w:t>原子吸收分光光度计 AA320N</w:t>
            </w:r>
          </w:p>
        </w:tc>
        <w:tc>
          <w:tcPr>
            <w:tcW w:w="703" w:type="pct"/>
            <w:vAlign w:val="center"/>
          </w:tcPr>
          <w:p w14:paraId="52A115CE">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030916020216050002</w:t>
            </w:r>
          </w:p>
        </w:tc>
        <w:tc>
          <w:tcPr>
            <w:tcW w:w="546" w:type="pct"/>
            <w:vAlign w:val="center"/>
          </w:tcPr>
          <w:p w14:paraId="08CE618C">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0.002mg/L</w:t>
            </w:r>
          </w:p>
        </w:tc>
      </w:tr>
      <w:tr w14:paraId="4286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1C021D3A">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CO</w:t>
            </w:r>
            <w:r>
              <w:rPr>
                <w:rFonts w:ascii="Times New Roman" w:hAnsi="Times New Roman" w:cs="Times New Roman" w:eastAsiaTheme="minorEastAsia"/>
                <w:color w:val="auto"/>
                <w:w w:val="99"/>
                <w:kern w:val="2"/>
                <w:sz w:val="21"/>
                <w:szCs w:val="21"/>
                <w:highlight w:val="none"/>
                <w:vertAlign w:val="subscript"/>
              </w:rPr>
              <w:t>3</w:t>
            </w:r>
            <w:r>
              <w:rPr>
                <w:rFonts w:ascii="Times New Roman" w:hAnsi="Times New Roman" w:cs="Times New Roman" w:eastAsiaTheme="minorEastAsia"/>
                <w:color w:val="auto"/>
                <w:w w:val="99"/>
                <w:kern w:val="2"/>
                <w:sz w:val="21"/>
                <w:szCs w:val="21"/>
                <w:highlight w:val="none"/>
                <w:vertAlign w:val="superscript"/>
              </w:rPr>
              <w:t>2-</w:t>
            </w:r>
          </w:p>
        </w:tc>
        <w:tc>
          <w:tcPr>
            <w:tcW w:w="1489" w:type="pct"/>
            <w:vAlign w:val="center"/>
          </w:tcPr>
          <w:p w14:paraId="1828096C">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rPr>
              <w:t>地下水质分析方法 第49部分：碳酸根、重碳酸根和氢氧根离子的测定 滴定法</w:t>
            </w:r>
          </w:p>
        </w:tc>
        <w:tc>
          <w:tcPr>
            <w:tcW w:w="860" w:type="pct"/>
            <w:vAlign w:val="center"/>
          </w:tcPr>
          <w:p w14:paraId="52FE356C">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rPr>
              <w:t xml:space="preserve">DZ/T 0064.49-2021 </w:t>
            </w:r>
          </w:p>
        </w:tc>
        <w:tc>
          <w:tcPr>
            <w:tcW w:w="938" w:type="pct"/>
            <w:vAlign w:val="center"/>
          </w:tcPr>
          <w:p w14:paraId="7D544B1E">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滴定管</w:t>
            </w:r>
          </w:p>
        </w:tc>
        <w:tc>
          <w:tcPr>
            <w:tcW w:w="703" w:type="pct"/>
            <w:vAlign w:val="center"/>
          </w:tcPr>
          <w:p w14:paraId="25D2CAC4">
            <w:pPr>
              <w:widowControl w:val="0"/>
              <w:kinsoku w:val="0"/>
              <w:overflowPunct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T011</w:t>
            </w:r>
          </w:p>
        </w:tc>
        <w:tc>
          <w:tcPr>
            <w:tcW w:w="546" w:type="pct"/>
            <w:vAlign w:val="center"/>
          </w:tcPr>
          <w:p w14:paraId="22B98743">
            <w:pPr>
              <w:widowControl w:val="0"/>
              <w:kinsoku w:val="0"/>
              <w:overflowPunct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
                <w:sz w:val="21"/>
                <w:szCs w:val="21"/>
                <w:highlight w:val="none"/>
              </w:rPr>
              <w:t>5mg/L</w:t>
            </w:r>
          </w:p>
        </w:tc>
      </w:tr>
      <w:tr w14:paraId="7EE8E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4C9E3460">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HCO</w:t>
            </w:r>
            <w:r>
              <w:rPr>
                <w:rFonts w:ascii="Times New Roman" w:hAnsi="Times New Roman" w:cs="Times New Roman" w:eastAsiaTheme="minorEastAsia"/>
                <w:color w:val="auto"/>
                <w:w w:val="99"/>
                <w:kern w:val="2"/>
                <w:sz w:val="21"/>
                <w:szCs w:val="21"/>
                <w:highlight w:val="none"/>
                <w:vertAlign w:val="subscript"/>
              </w:rPr>
              <w:t>3</w:t>
            </w:r>
            <w:r>
              <w:rPr>
                <w:rFonts w:ascii="Times New Roman" w:hAnsi="Times New Roman" w:cs="Times New Roman" w:eastAsiaTheme="minorEastAsia"/>
                <w:color w:val="auto"/>
                <w:w w:val="99"/>
                <w:kern w:val="2"/>
                <w:sz w:val="21"/>
                <w:szCs w:val="21"/>
                <w:highlight w:val="none"/>
                <w:vertAlign w:val="superscript"/>
              </w:rPr>
              <w:t>-</w:t>
            </w:r>
          </w:p>
        </w:tc>
        <w:tc>
          <w:tcPr>
            <w:tcW w:w="1489" w:type="pct"/>
            <w:vAlign w:val="center"/>
          </w:tcPr>
          <w:p w14:paraId="6C4C2548">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rPr>
              <w:t>地下水质分析方法 第49部分：碳酸根、重碳酸根和氢氧根离子的测定 滴定法</w:t>
            </w:r>
          </w:p>
        </w:tc>
        <w:tc>
          <w:tcPr>
            <w:tcW w:w="860" w:type="pct"/>
            <w:vAlign w:val="center"/>
          </w:tcPr>
          <w:p w14:paraId="403F3644">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rPr>
              <w:t xml:space="preserve">DZ/T 0064.49-2021 </w:t>
            </w:r>
          </w:p>
        </w:tc>
        <w:tc>
          <w:tcPr>
            <w:tcW w:w="938" w:type="pct"/>
            <w:vAlign w:val="center"/>
          </w:tcPr>
          <w:p w14:paraId="541192F6">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滴定管</w:t>
            </w:r>
          </w:p>
        </w:tc>
        <w:tc>
          <w:tcPr>
            <w:tcW w:w="703" w:type="pct"/>
            <w:vAlign w:val="center"/>
          </w:tcPr>
          <w:p w14:paraId="413FD36A">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T011</w:t>
            </w:r>
          </w:p>
        </w:tc>
        <w:tc>
          <w:tcPr>
            <w:tcW w:w="546" w:type="pct"/>
            <w:vAlign w:val="center"/>
          </w:tcPr>
          <w:p w14:paraId="489E6080">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5mg/L</w:t>
            </w:r>
          </w:p>
        </w:tc>
      </w:tr>
      <w:tr w14:paraId="6F791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477C8AE8">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SO</w:t>
            </w:r>
            <w:r>
              <w:rPr>
                <w:rFonts w:ascii="Times New Roman" w:hAnsi="Times New Roman" w:cs="Times New Roman" w:eastAsiaTheme="minorEastAsia"/>
                <w:color w:val="auto"/>
                <w:w w:val="99"/>
                <w:kern w:val="2"/>
                <w:sz w:val="21"/>
                <w:szCs w:val="21"/>
                <w:highlight w:val="none"/>
                <w:vertAlign w:val="subscript"/>
              </w:rPr>
              <w:t>4</w:t>
            </w:r>
            <w:r>
              <w:rPr>
                <w:rFonts w:ascii="Times New Roman" w:hAnsi="Times New Roman" w:cs="Times New Roman" w:eastAsiaTheme="minorEastAsia"/>
                <w:color w:val="auto"/>
                <w:w w:val="99"/>
                <w:kern w:val="2"/>
                <w:sz w:val="21"/>
                <w:szCs w:val="21"/>
                <w:highlight w:val="none"/>
                <w:vertAlign w:val="superscript"/>
              </w:rPr>
              <w:t>2-</w:t>
            </w:r>
          </w:p>
        </w:tc>
        <w:tc>
          <w:tcPr>
            <w:tcW w:w="1489" w:type="pct"/>
            <w:vAlign w:val="center"/>
          </w:tcPr>
          <w:p w14:paraId="0FE9CCB6">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sz w:val="21"/>
                <w:szCs w:val="21"/>
                <w:highlight w:val="none"/>
              </w:rPr>
              <w:t>水质 无机阴离子（F</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、Cl</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、NO</w:t>
            </w:r>
            <w:r>
              <w:rPr>
                <w:rFonts w:ascii="Times New Roman" w:hAnsi="Times New Roman" w:cs="Times New Roman" w:eastAsiaTheme="minorEastAsia"/>
                <w:color w:val="auto"/>
                <w:w w:val="99"/>
                <w:kern w:val="2"/>
                <w:sz w:val="21"/>
                <w:szCs w:val="21"/>
                <w:highlight w:val="none"/>
                <w:vertAlign w:val="subscript"/>
              </w:rPr>
              <w:t>2</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、Br</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、NO</w:t>
            </w:r>
            <w:r>
              <w:rPr>
                <w:rFonts w:ascii="Times New Roman" w:hAnsi="Times New Roman" w:cs="Times New Roman" w:eastAsiaTheme="minorEastAsia"/>
                <w:color w:val="auto"/>
                <w:w w:val="99"/>
                <w:kern w:val="2"/>
                <w:sz w:val="21"/>
                <w:szCs w:val="21"/>
                <w:highlight w:val="none"/>
                <w:vertAlign w:val="subscript"/>
              </w:rPr>
              <w:t>3</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、PO</w:t>
            </w:r>
            <w:r>
              <w:rPr>
                <w:rFonts w:ascii="Times New Roman" w:hAnsi="Times New Roman" w:cs="Times New Roman" w:eastAsiaTheme="minorEastAsia"/>
                <w:color w:val="auto"/>
                <w:w w:val="99"/>
                <w:kern w:val="2"/>
                <w:sz w:val="21"/>
                <w:szCs w:val="21"/>
                <w:highlight w:val="none"/>
                <w:vertAlign w:val="subscript"/>
              </w:rPr>
              <w:t>4</w:t>
            </w:r>
            <w:r>
              <w:rPr>
                <w:rFonts w:ascii="Times New Roman" w:hAnsi="Times New Roman" w:cs="Times New Roman" w:eastAsiaTheme="minorEastAsia"/>
                <w:color w:val="auto"/>
                <w:w w:val="99"/>
                <w:kern w:val="2"/>
                <w:sz w:val="21"/>
                <w:szCs w:val="21"/>
                <w:highlight w:val="none"/>
                <w:vertAlign w:val="superscript"/>
              </w:rPr>
              <w:t>3-</w:t>
            </w:r>
            <w:r>
              <w:rPr>
                <w:rFonts w:ascii="Times New Roman" w:hAnsi="Times New Roman" w:cs="Times New Roman" w:eastAsiaTheme="minorEastAsia"/>
                <w:color w:val="auto"/>
                <w:w w:val="99"/>
                <w:kern w:val="2"/>
                <w:sz w:val="21"/>
                <w:szCs w:val="21"/>
                <w:highlight w:val="none"/>
              </w:rPr>
              <w:t>、SO</w:t>
            </w:r>
            <w:r>
              <w:rPr>
                <w:rFonts w:ascii="Times New Roman" w:hAnsi="Times New Roman" w:cs="Times New Roman" w:eastAsiaTheme="minorEastAsia"/>
                <w:color w:val="auto"/>
                <w:w w:val="99"/>
                <w:kern w:val="2"/>
                <w:sz w:val="21"/>
                <w:szCs w:val="21"/>
                <w:highlight w:val="none"/>
                <w:vertAlign w:val="subscript"/>
              </w:rPr>
              <w:t>3</w:t>
            </w:r>
            <w:r>
              <w:rPr>
                <w:rFonts w:ascii="Times New Roman" w:hAnsi="Times New Roman" w:cs="Times New Roman" w:eastAsiaTheme="minorEastAsia"/>
                <w:color w:val="auto"/>
                <w:w w:val="99"/>
                <w:kern w:val="2"/>
                <w:sz w:val="21"/>
                <w:szCs w:val="21"/>
                <w:highlight w:val="none"/>
                <w:vertAlign w:val="superscript"/>
              </w:rPr>
              <w:t>2-</w:t>
            </w:r>
            <w:r>
              <w:rPr>
                <w:rFonts w:ascii="Times New Roman" w:hAnsi="Times New Roman" w:cs="Times New Roman" w:eastAsiaTheme="minorEastAsia"/>
                <w:color w:val="auto"/>
                <w:w w:val="99"/>
                <w:kern w:val="2"/>
                <w:sz w:val="21"/>
                <w:szCs w:val="21"/>
                <w:highlight w:val="none"/>
              </w:rPr>
              <w:t>、SO</w:t>
            </w:r>
            <w:r>
              <w:rPr>
                <w:rFonts w:ascii="Times New Roman" w:hAnsi="Times New Roman" w:cs="Times New Roman" w:eastAsiaTheme="minorEastAsia"/>
                <w:color w:val="auto"/>
                <w:w w:val="99"/>
                <w:kern w:val="2"/>
                <w:sz w:val="21"/>
                <w:szCs w:val="21"/>
                <w:highlight w:val="none"/>
                <w:vertAlign w:val="subscript"/>
              </w:rPr>
              <w:t>4</w:t>
            </w:r>
            <w:r>
              <w:rPr>
                <w:rFonts w:ascii="Times New Roman" w:hAnsi="Times New Roman" w:cs="Times New Roman" w:eastAsiaTheme="minorEastAsia"/>
                <w:color w:val="auto"/>
                <w:w w:val="99"/>
                <w:kern w:val="2"/>
                <w:sz w:val="21"/>
                <w:szCs w:val="21"/>
                <w:highlight w:val="none"/>
                <w:vertAlign w:val="superscript"/>
              </w:rPr>
              <w:t>2-</w:t>
            </w:r>
            <w:r>
              <w:rPr>
                <w:rFonts w:ascii="Times New Roman" w:hAnsi="Times New Roman" w:cs="Times New Roman" w:eastAsiaTheme="minorEastAsia"/>
                <w:color w:val="auto"/>
                <w:w w:val="99"/>
                <w:kern w:val="2"/>
                <w:sz w:val="21"/>
                <w:szCs w:val="21"/>
                <w:highlight w:val="none"/>
              </w:rPr>
              <w:t>）的测定 离子色谱法</w:t>
            </w:r>
          </w:p>
        </w:tc>
        <w:tc>
          <w:tcPr>
            <w:tcW w:w="860" w:type="pct"/>
            <w:vAlign w:val="center"/>
          </w:tcPr>
          <w:p w14:paraId="175F2136">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sz w:val="21"/>
                <w:szCs w:val="21"/>
                <w:highlight w:val="none"/>
              </w:rPr>
              <w:t>HJ 84-2016</w:t>
            </w:r>
          </w:p>
        </w:tc>
        <w:tc>
          <w:tcPr>
            <w:tcW w:w="938" w:type="pct"/>
            <w:vAlign w:val="center"/>
          </w:tcPr>
          <w:p w14:paraId="3789C5D9">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离子色谱仪</w:t>
            </w:r>
          </w:p>
          <w:p w14:paraId="3B77D645">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CIC-200</w:t>
            </w:r>
          </w:p>
        </w:tc>
        <w:tc>
          <w:tcPr>
            <w:tcW w:w="703" w:type="pct"/>
            <w:vAlign w:val="center"/>
          </w:tcPr>
          <w:p w14:paraId="7F63F6FE">
            <w:pPr>
              <w:widowControl w:val="0"/>
              <w:spacing w:line="320" w:lineRule="exact"/>
              <w:jc w:val="center"/>
              <w:textAlignment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lang w:bidi="ar"/>
              </w:rPr>
              <w:t>12185</w:t>
            </w:r>
          </w:p>
        </w:tc>
        <w:tc>
          <w:tcPr>
            <w:tcW w:w="546" w:type="pct"/>
            <w:vAlign w:val="center"/>
          </w:tcPr>
          <w:p w14:paraId="39077DFD">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1"/>
                <w:sz w:val="21"/>
                <w:szCs w:val="21"/>
                <w:highlight w:val="none"/>
              </w:rPr>
              <w:t>0.018mg/L</w:t>
            </w:r>
          </w:p>
        </w:tc>
      </w:tr>
      <w:tr w14:paraId="5AB36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1335BBC6">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Cl</w:t>
            </w:r>
            <w:r>
              <w:rPr>
                <w:rFonts w:ascii="Times New Roman" w:hAnsi="Times New Roman" w:cs="Times New Roman" w:eastAsiaTheme="minorEastAsia"/>
                <w:color w:val="auto"/>
                <w:w w:val="99"/>
                <w:kern w:val="2"/>
                <w:sz w:val="21"/>
                <w:szCs w:val="21"/>
                <w:highlight w:val="none"/>
                <w:vertAlign w:val="superscript"/>
              </w:rPr>
              <w:t>-</w:t>
            </w:r>
          </w:p>
        </w:tc>
        <w:tc>
          <w:tcPr>
            <w:tcW w:w="1489" w:type="pct"/>
            <w:vAlign w:val="center"/>
          </w:tcPr>
          <w:p w14:paraId="0F7161E4">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sz w:val="21"/>
                <w:szCs w:val="21"/>
                <w:highlight w:val="none"/>
              </w:rPr>
              <w:t>水质 无机阴离子（F</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、Cl</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、NO</w:t>
            </w:r>
            <w:r>
              <w:rPr>
                <w:rFonts w:ascii="Times New Roman" w:hAnsi="Times New Roman" w:cs="Times New Roman" w:eastAsiaTheme="minorEastAsia"/>
                <w:color w:val="auto"/>
                <w:w w:val="99"/>
                <w:kern w:val="2"/>
                <w:sz w:val="21"/>
                <w:szCs w:val="21"/>
                <w:highlight w:val="none"/>
                <w:vertAlign w:val="subscript"/>
              </w:rPr>
              <w:t>2</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、Br</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、NO</w:t>
            </w:r>
            <w:r>
              <w:rPr>
                <w:rFonts w:ascii="Times New Roman" w:hAnsi="Times New Roman" w:cs="Times New Roman" w:eastAsiaTheme="minorEastAsia"/>
                <w:color w:val="auto"/>
                <w:w w:val="99"/>
                <w:kern w:val="2"/>
                <w:sz w:val="21"/>
                <w:szCs w:val="21"/>
                <w:highlight w:val="none"/>
                <w:vertAlign w:val="subscript"/>
              </w:rPr>
              <w:t>3</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、PO</w:t>
            </w:r>
            <w:r>
              <w:rPr>
                <w:rFonts w:ascii="Times New Roman" w:hAnsi="Times New Roman" w:cs="Times New Roman" w:eastAsiaTheme="minorEastAsia"/>
                <w:color w:val="auto"/>
                <w:w w:val="99"/>
                <w:kern w:val="2"/>
                <w:sz w:val="21"/>
                <w:szCs w:val="21"/>
                <w:highlight w:val="none"/>
                <w:vertAlign w:val="subscript"/>
              </w:rPr>
              <w:t>4</w:t>
            </w:r>
            <w:r>
              <w:rPr>
                <w:rFonts w:ascii="Times New Roman" w:hAnsi="Times New Roman" w:cs="Times New Roman" w:eastAsiaTheme="minorEastAsia"/>
                <w:color w:val="auto"/>
                <w:w w:val="99"/>
                <w:kern w:val="2"/>
                <w:sz w:val="21"/>
                <w:szCs w:val="21"/>
                <w:highlight w:val="none"/>
                <w:vertAlign w:val="superscript"/>
              </w:rPr>
              <w:t>3-</w:t>
            </w:r>
            <w:r>
              <w:rPr>
                <w:rFonts w:ascii="Times New Roman" w:hAnsi="Times New Roman" w:cs="Times New Roman" w:eastAsiaTheme="minorEastAsia"/>
                <w:color w:val="auto"/>
                <w:w w:val="99"/>
                <w:kern w:val="2"/>
                <w:sz w:val="21"/>
                <w:szCs w:val="21"/>
                <w:highlight w:val="none"/>
              </w:rPr>
              <w:t>、SO</w:t>
            </w:r>
            <w:r>
              <w:rPr>
                <w:rFonts w:ascii="Times New Roman" w:hAnsi="Times New Roman" w:cs="Times New Roman" w:eastAsiaTheme="minorEastAsia"/>
                <w:color w:val="auto"/>
                <w:w w:val="99"/>
                <w:kern w:val="2"/>
                <w:sz w:val="21"/>
                <w:szCs w:val="21"/>
                <w:highlight w:val="none"/>
                <w:vertAlign w:val="subscript"/>
              </w:rPr>
              <w:t>3</w:t>
            </w:r>
            <w:r>
              <w:rPr>
                <w:rFonts w:ascii="Times New Roman" w:hAnsi="Times New Roman" w:cs="Times New Roman" w:eastAsiaTheme="minorEastAsia"/>
                <w:color w:val="auto"/>
                <w:w w:val="99"/>
                <w:kern w:val="2"/>
                <w:sz w:val="21"/>
                <w:szCs w:val="21"/>
                <w:highlight w:val="none"/>
                <w:vertAlign w:val="superscript"/>
              </w:rPr>
              <w:t>2-</w:t>
            </w:r>
            <w:r>
              <w:rPr>
                <w:rFonts w:ascii="Times New Roman" w:hAnsi="Times New Roman" w:cs="Times New Roman" w:eastAsiaTheme="minorEastAsia"/>
                <w:color w:val="auto"/>
                <w:w w:val="99"/>
                <w:kern w:val="2"/>
                <w:sz w:val="21"/>
                <w:szCs w:val="21"/>
                <w:highlight w:val="none"/>
              </w:rPr>
              <w:t>、SO</w:t>
            </w:r>
            <w:r>
              <w:rPr>
                <w:rFonts w:ascii="Times New Roman" w:hAnsi="Times New Roman" w:cs="Times New Roman" w:eastAsiaTheme="minorEastAsia"/>
                <w:color w:val="auto"/>
                <w:w w:val="99"/>
                <w:kern w:val="2"/>
                <w:sz w:val="21"/>
                <w:szCs w:val="21"/>
                <w:highlight w:val="none"/>
                <w:vertAlign w:val="subscript"/>
              </w:rPr>
              <w:t>4</w:t>
            </w:r>
            <w:r>
              <w:rPr>
                <w:rFonts w:ascii="Times New Roman" w:hAnsi="Times New Roman" w:cs="Times New Roman" w:eastAsiaTheme="minorEastAsia"/>
                <w:color w:val="auto"/>
                <w:w w:val="99"/>
                <w:kern w:val="2"/>
                <w:sz w:val="21"/>
                <w:szCs w:val="21"/>
                <w:highlight w:val="none"/>
                <w:vertAlign w:val="superscript"/>
              </w:rPr>
              <w:t>2-</w:t>
            </w:r>
            <w:r>
              <w:rPr>
                <w:rFonts w:ascii="Times New Roman" w:hAnsi="Times New Roman" w:cs="Times New Roman" w:eastAsiaTheme="minorEastAsia"/>
                <w:color w:val="auto"/>
                <w:w w:val="99"/>
                <w:kern w:val="2"/>
                <w:sz w:val="21"/>
                <w:szCs w:val="21"/>
                <w:highlight w:val="none"/>
              </w:rPr>
              <w:t>）的测定 离子色谱法</w:t>
            </w:r>
          </w:p>
        </w:tc>
        <w:tc>
          <w:tcPr>
            <w:tcW w:w="860" w:type="pct"/>
            <w:vAlign w:val="center"/>
          </w:tcPr>
          <w:p w14:paraId="0BC51BD5">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sz w:val="21"/>
                <w:szCs w:val="21"/>
                <w:highlight w:val="none"/>
              </w:rPr>
              <w:t>HJ 84-2016</w:t>
            </w:r>
          </w:p>
        </w:tc>
        <w:tc>
          <w:tcPr>
            <w:tcW w:w="938" w:type="pct"/>
            <w:vAlign w:val="center"/>
          </w:tcPr>
          <w:p w14:paraId="23C9701B">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离子色谱仪</w:t>
            </w:r>
          </w:p>
          <w:p w14:paraId="01DE785B">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CIC-200</w:t>
            </w:r>
          </w:p>
        </w:tc>
        <w:tc>
          <w:tcPr>
            <w:tcW w:w="703" w:type="pct"/>
            <w:vAlign w:val="center"/>
          </w:tcPr>
          <w:p w14:paraId="4EBBE58B">
            <w:pPr>
              <w:widowControl w:val="0"/>
              <w:spacing w:line="320" w:lineRule="exact"/>
              <w:jc w:val="center"/>
              <w:textAlignment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lang w:bidi="ar"/>
              </w:rPr>
              <w:t>12185</w:t>
            </w:r>
          </w:p>
        </w:tc>
        <w:tc>
          <w:tcPr>
            <w:tcW w:w="546" w:type="pct"/>
            <w:vAlign w:val="center"/>
          </w:tcPr>
          <w:p w14:paraId="1961DEF7">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0.007</w:t>
            </w:r>
            <w:r>
              <w:rPr>
                <w:rFonts w:ascii="Times New Roman" w:hAnsi="Times New Roman" w:cs="Times New Roman" w:eastAsiaTheme="minorEastAsia"/>
                <w:color w:val="auto"/>
                <w:w w:val="99"/>
                <w:kern w:val="21"/>
                <w:sz w:val="21"/>
                <w:szCs w:val="21"/>
                <w:highlight w:val="none"/>
              </w:rPr>
              <w:t>mg/L</w:t>
            </w:r>
          </w:p>
        </w:tc>
      </w:tr>
      <w:tr w14:paraId="72D20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30CBCC3E">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pH</w:t>
            </w:r>
          </w:p>
        </w:tc>
        <w:tc>
          <w:tcPr>
            <w:tcW w:w="1489" w:type="pct"/>
            <w:vAlign w:val="center"/>
          </w:tcPr>
          <w:p w14:paraId="156733B4">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shd w:val="clear" w:color="auto" w:fill="FFFFFF"/>
              </w:rPr>
              <w:t>水质 pH的测定</w:t>
            </w:r>
          </w:p>
          <w:p w14:paraId="33373750">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shd w:val="clear" w:color="auto" w:fill="FFFFFF"/>
              </w:rPr>
              <w:t xml:space="preserve"> 电极法</w:t>
            </w:r>
          </w:p>
        </w:tc>
        <w:tc>
          <w:tcPr>
            <w:tcW w:w="860" w:type="pct"/>
            <w:vAlign w:val="center"/>
          </w:tcPr>
          <w:p w14:paraId="6851D75F">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shd w:val="clear" w:color="auto" w:fill="FFFFFF"/>
              </w:rPr>
              <w:t>HJ 1147-2020</w:t>
            </w:r>
          </w:p>
        </w:tc>
        <w:tc>
          <w:tcPr>
            <w:tcW w:w="938" w:type="pct"/>
            <w:vAlign w:val="center"/>
          </w:tcPr>
          <w:p w14:paraId="26C03327">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便携式水质检测仪 pH-03/618/K13</w:t>
            </w:r>
          </w:p>
        </w:tc>
        <w:tc>
          <w:tcPr>
            <w:tcW w:w="703" w:type="pct"/>
            <w:vAlign w:val="center"/>
          </w:tcPr>
          <w:p w14:paraId="36771844">
            <w:pPr>
              <w:widowControl w:val="0"/>
              <w:spacing w:line="320" w:lineRule="exact"/>
              <w:jc w:val="center"/>
              <w:textAlignment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546" w:type="pct"/>
            <w:vAlign w:val="center"/>
          </w:tcPr>
          <w:p w14:paraId="11EAABEB">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r>
      <w:tr w14:paraId="5309E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7E6C0007">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总硬度</w:t>
            </w:r>
          </w:p>
        </w:tc>
        <w:tc>
          <w:tcPr>
            <w:tcW w:w="1489" w:type="pct"/>
            <w:vAlign w:val="center"/>
          </w:tcPr>
          <w:p w14:paraId="104A0328">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shd w:val="clear" w:color="auto" w:fill="FFFFFF"/>
              </w:rPr>
              <w:t>水质钙和镁的总量的测定EDTA滴定法</w:t>
            </w:r>
          </w:p>
        </w:tc>
        <w:tc>
          <w:tcPr>
            <w:tcW w:w="860" w:type="pct"/>
            <w:vAlign w:val="center"/>
          </w:tcPr>
          <w:p w14:paraId="0267DDB1">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shd w:val="clear" w:color="auto" w:fill="FFFFFF"/>
              </w:rPr>
              <w:t>GB/T 7477-1987</w:t>
            </w:r>
          </w:p>
        </w:tc>
        <w:tc>
          <w:tcPr>
            <w:tcW w:w="938" w:type="pct"/>
            <w:vAlign w:val="center"/>
          </w:tcPr>
          <w:p w14:paraId="65B07FB4">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滴定管</w:t>
            </w:r>
          </w:p>
        </w:tc>
        <w:tc>
          <w:tcPr>
            <w:tcW w:w="703" w:type="pct"/>
            <w:vAlign w:val="center"/>
          </w:tcPr>
          <w:p w14:paraId="3F200345">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T015</w:t>
            </w:r>
          </w:p>
        </w:tc>
        <w:tc>
          <w:tcPr>
            <w:tcW w:w="546" w:type="pct"/>
            <w:vAlign w:val="center"/>
          </w:tcPr>
          <w:p w14:paraId="4A2A479B">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5.00</w:t>
            </w:r>
            <w:r>
              <w:rPr>
                <w:rFonts w:ascii="Times New Roman" w:hAnsi="Times New Roman" w:cs="Times New Roman" w:eastAsiaTheme="minorEastAsia"/>
                <w:color w:val="auto"/>
                <w:w w:val="99"/>
                <w:kern w:val="21"/>
                <w:sz w:val="21"/>
                <w:szCs w:val="21"/>
                <w:highlight w:val="none"/>
              </w:rPr>
              <w:t>mg/L</w:t>
            </w:r>
          </w:p>
        </w:tc>
      </w:tr>
      <w:tr w14:paraId="75822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3D1BA278">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溶解性总固体</w:t>
            </w:r>
          </w:p>
        </w:tc>
        <w:tc>
          <w:tcPr>
            <w:tcW w:w="1489" w:type="pct"/>
            <w:vAlign w:val="center"/>
          </w:tcPr>
          <w:p w14:paraId="6834A251">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sz w:val="21"/>
                <w:szCs w:val="21"/>
                <w:highlight w:val="none"/>
              </w:rPr>
              <w:t>地下水质分析方法第 9 部分：溶解性固体总量的测定  重量法</w:t>
            </w:r>
          </w:p>
        </w:tc>
        <w:tc>
          <w:tcPr>
            <w:tcW w:w="860" w:type="pct"/>
            <w:vAlign w:val="center"/>
          </w:tcPr>
          <w:p w14:paraId="4643FDA1">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sz w:val="21"/>
                <w:szCs w:val="21"/>
                <w:highlight w:val="none"/>
              </w:rPr>
              <w:t>DZ/T 0064.9-2021</w:t>
            </w:r>
          </w:p>
        </w:tc>
        <w:tc>
          <w:tcPr>
            <w:tcW w:w="938" w:type="pct"/>
            <w:vAlign w:val="center"/>
          </w:tcPr>
          <w:p w14:paraId="3965DB29">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精密电子天平FA2004</w:t>
            </w:r>
          </w:p>
        </w:tc>
        <w:tc>
          <w:tcPr>
            <w:tcW w:w="703" w:type="pct"/>
            <w:vAlign w:val="center"/>
          </w:tcPr>
          <w:p w14:paraId="13958D49">
            <w:pPr>
              <w:widowControl w:val="0"/>
              <w:spacing w:line="320" w:lineRule="exact"/>
              <w:jc w:val="center"/>
              <w:textAlignment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lang w:bidi="ar"/>
              </w:rPr>
              <w:t>12011164</w:t>
            </w:r>
          </w:p>
        </w:tc>
        <w:tc>
          <w:tcPr>
            <w:tcW w:w="546" w:type="pct"/>
            <w:vAlign w:val="center"/>
          </w:tcPr>
          <w:p w14:paraId="6B59F7BE">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4mg/L</w:t>
            </w:r>
          </w:p>
        </w:tc>
      </w:tr>
      <w:tr w14:paraId="41143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1CFDFF22">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耗氧量</w:t>
            </w:r>
          </w:p>
          <w:p w14:paraId="57317CEA">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（高锰酸盐指数）</w:t>
            </w:r>
          </w:p>
        </w:tc>
        <w:tc>
          <w:tcPr>
            <w:tcW w:w="1489" w:type="pct"/>
            <w:vAlign w:val="center"/>
          </w:tcPr>
          <w:p w14:paraId="2091F460">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shd w:val="clear" w:color="auto" w:fill="FFFFFF"/>
              </w:rPr>
              <w:t>水质 高锰酸盐指数测定</w:t>
            </w:r>
          </w:p>
        </w:tc>
        <w:tc>
          <w:tcPr>
            <w:tcW w:w="860" w:type="pct"/>
            <w:vAlign w:val="center"/>
          </w:tcPr>
          <w:p w14:paraId="1A58D8C6">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shd w:val="clear" w:color="auto" w:fill="FFFFFF"/>
              </w:rPr>
              <w:t>GB/T 11892-1989</w:t>
            </w:r>
          </w:p>
        </w:tc>
        <w:tc>
          <w:tcPr>
            <w:tcW w:w="938" w:type="pct"/>
            <w:vAlign w:val="center"/>
          </w:tcPr>
          <w:p w14:paraId="5D80EBDC">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滴定管</w:t>
            </w:r>
          </w:p>
        </w:tc>
        <w:tc>
          <w:tcPr>
            <w:tcW w:w="703" w:type="pct"/>
            <w:vAlign w:val="center"/>
          </w:tcPr>
          <w:p w14:paraId="35E53F26">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T005</w:t>
            </w:r>
          </w:p>
        </w:tc>
        <w:tc>
          <w:tcPr>
            <w:tcW w:w="546" w:type="pct"/>
            <w:vAlign w:val="center"/>
          </w:tcPr>
          <w:p w14:paraId="36B461AF">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0.5</w:t>
            </w:r>
            <w:r>
              <w:rPr>
                <w:rFonts w:ascii="Times New Roman" w:hAnsi="Times New Roman" w:cs="Times New Roman" w:eastAsiaTheme="minorEastAsia"/>
                <w:color w:val="auto"/>
                <w:w w:val="99"/>
                <w:kern w:val="21"/>
                <w:sz w:val="21"/>
                <w:szCs w:val="21"/>
                <w:highlight w:val="none"/>
              </w:rPr>
              <w:t>mg/L</w:t>
            </w:r>
          </w:p>
        </w:tc>
      </w:tr>
      <w:tr w14:paraId="44382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3FB4AE57">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挥发酚</w:t>
            </w:r>
          </w:p>
        </w:tc>
        <w:tc>
          <w:tcPr>
            <w:tcW w:w="1489" w:type="pct"/>
            <w:vAlign w:val="center"/>
          </w:tcPr>
          <w:p w14:paraId="119119BF">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水质 挥发酚的测定</w:t>
            </w:r>
          </w:p>
          <w:p w14:paraId="06957B93">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4-氨基安替比林分光光度法（方法1萃取分光光度法）</w:t>
            </w:r>
          </w:p>
        </w:tc>
        <w:tc>
          <w:tcPr>
            <w:tcW w:w="860" w:type="pct"/>
            <w:vAlign w:val="center"/>
          </w:tcPr>
          <w:p w14:paraId="2FB258F2">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HJ 503-2009</w:t>
            </w:r>
          </w:p>
        </w:tc>
        <w:tc>
          <w:tcPr>
            <w:tcW w:w="938" w:type="pct"/>
            <w:vAlign w:val="center"/>
          </w:tcPr>
          <w:p w14:paraId="680B0BA3">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1"/>
                <w:sz w:val="21"/>
                <w:szCs w:val="21"/>
                <w:highlight w:val="none"/>
              </w:rPr>
              <w:t xml:space="preserve">可见分光光度计   </w:t>
            </w:r>
            <w:r>
              <w:rPr>
                <w:rFonts w:ascii="Times New Roman" w:hAnsi="Times New Roman" w:cs="Times New Roman" w:eastAsiaTheme="minorEastAsia"/>
                <w:color w:val="auto"/>
                <w:w w:val="99"/>
                <w:kern w:val="2"/>
                <w:sz w:val="21"/>
                <w:szCs w:val="21"/>
                <w:highlight w:val="none"/>
              </w:rPr>
              <w:t>722N</w:t>
            </w:r>
          </w:p>
        </w:tc>
        <w:tc>
          <w:tcPr>
            <w:tcW w:w="703" w:type="pct"/>
            <w:vAlign w:val="center"/>
          </w:tcPr>
          <w:p w14:paraId="0ACA503F">
            <w:pPr>
              <w:widowControl w:val="0"/>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bidi="ar"/>
              </w:rPr>
              <w:t>070722020222020043</w:t>
            </w:r>
          </w:p>
        </w:tc>
        <w:tc>
          <w:tcPr>
            <w:tcW w:w="546" w:type="pct"/>
            <w:vAlign w:val="center"/>
          </w:tcPr>
          <w:p w14:paraId="0E75472C">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rPr>
              <w:t>0.0003</w:t>
            </w:r>
            <w:r>
              <w:rPr>
                <w:rFonts w:ascii="Times New Roman" w:hAnsi="Times New Roman" w:cs="Times New Roman" w:eastAsiaTheme="minorEastAsia"/>
                <w:color w:val="auto"/>
                <w:w w:val="99"/>
                <w:kern w:val="21"/>
                <w:sz w:val="21"/>
                <w:szCs w:val="21"/>
                <w:highlight w:val="none"/>
              </w:rPr>
              <w:t>mg/L</w:t>
            </w:r>
          </w:p>
        </w:tc>
      </w:tr>
      <w:tr w14:paraId="4864C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38F02573">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氟化物</w:t>
            </w:r>
          </w:p>
        </w:tc>
        <w:tc>
          <w:tcPr>
            <w:tcW w:w="1489" w:type="pct"/>
            <w:vAlign w:val="center"/>
          </w:tcPr>
          <w:p w14:paraId="6FD98C4F">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水质 无机阴离子（F</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、Cl</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、NO</w:t>
            </w:r>
            <w:r>
              <w:rPr>
                <w:rFonts w:ascii="Times New Roman" w:hAnsi="Times New Roman" w:cs="Times New Roman" w:eastAsiaTheme="minorEastAsia"/>
                <w:color w:val="auto"/>
                <w:w w:val="99"/>
                <w:kern w:val="2"/>
                <w:sz w:val="21"/>
                <w:szCs w:val="21"/>
                <w:highlight w:val="none"/>
                <w:vertAlign w:val="subscript"/>
              </w:rPr>
              <w:t>2</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、Br</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、NO</w:t>
            </w:r>
            <w:r>
              <w:rPr>
                <w:rFonts w:ascii="Times New Roman" w:hAnsi="Times New Roman" w:cs="Times New Roman" w:eastAsiaTheme="minorEastAsia"/>
                <w:color w:val="auto"/>
                <w:w w:val="99"/>
                <w:kern w:val="2"/>
                <w:sz w:val="21"/>
                <w:szCs w:val="21"/>
                <w:highlight w:val="none"/>
                <w:vertAlign w:val="subscript"/>
              </w:rPr>
              <w:t>3</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、PO</w:t>
            </w:r>
            <w:r>
              <w:rPr>
                <w:rFonts w:ascii="Times New Roman" w:hAnsi="Times New Roman" w:cs="Times New Roman" w:eastAsiaTheme="minorEastAsia"/>
                <w:color w:val="auto"/>
                <w:w w:val="99"/>
                <w:kern w:val="2"/>
                <w:sz w:val="21"/>
                <w:szCs w:val="21"/>
                <w:highlight w:val="none"/>
                <w:vertAlign w:val="subscript"/>
              </w:rPr>
              <w:t>4</w:t>
            </w:r>
            <w:r>
              <w:rPr>
                <w:rFonts w:ascii="Times New Roman" w:hAnsi="Times New Roman" w:cs="Times New Roman" w:eastAsiaTheme="minorEastAsia"/>
                <w:color w:val="auto"/>
                <w:w w:val="99"/>
                <w:kern w:val="2"/>
                <w:sz w:val="21"/>
                <w:szCs w:val="21"/>
                <w:highlight w:val="none"/>
                <w:vertAlign w:val="superscript"/>
              </w:rPr>
              <w:t>3-</w:t>
            </w:r>
            <w:r>
              <w:rPr>
                <w:rFonts w:ascii="Times New Roman" w:hAnsi="Times New Roman" w:cs="Times New Roman" w:eastAsiaTheme="minorEastAsia"/>
                <w:color w:val="auto"/>
                <w:w w:val="99"/>
                <w:kern w:val="2"/>
                <w:sz w:val="21"/>
                <w:szCs w:val="21"/>
                <w:highlight w:val="none"/>
              </w:rPr>
              <w:t>、SO</w:t>
            </w:r>
            <w:r>
              <w:rPr>
                <w:rFonts w:ascii="Times New Roman" w:hAnsi="Times New Roman" w:cs="Times New Roman" w:eastAsiaTheme="minorEastAsia"/>
                <w:color w:val="auto"/>
                <w:w w:val="99"/>
                <w:kern w:val="2"/>
                <w:sz w:val="21"/>
                <w:szCs w:val="21"/>
                <w:highlight w:val="none"/>
                <w:vertAlign w:val="subscript"/>
              </w:rPr>
              <w:t>3</w:t>
            </w:r>
            <w:r>
              <w:rPr>
                <w:rFonts w:ascii="Times New Roman" w:hAnsi="Times New Roman" w:cs="Times New Roman" w:eastAsiaTheme="minorEastAsia"/>
                <w:color w:val="auto"/>
                <w:w w:val="99"/>
                <w:kern w:val="2"/>
                <w:sz w:val="21"/>
                <w:szCs w:val="21"/>
                <w:highlight w:val="none"/>
                <w:vertAlign w:val="superscript"/>
              </w:rPr>
              <w:t>2-</w:t>
            </w:r>
            <w:r>
              <w:rPr>
                <w:rFonts w:ascii="Times New Roman" w:hAnsi="Times New Roman" w:cs="Times New Roman" w:eastAsiaTheme="minorEastAsia"/>
                <w:color w:val="auto"/>
                <w:w w:val="99"/>
                <w:kern w:val="2"/>
                <w:sz w:val="21"/>
                <w:szCs w:val="21"/>
                <w:highlight w:val="none"/>
              </w:rPr>
              <w:t>、SO</w:t>
            </w:r>
            <w:r>
              <w:rPr>
                <w:rFonts w:ascii="Times New Roman" w:hAnsi="Times New Roman" w:cs="Times New Roman" w:eastAsiaTheme="minorEastAsia"/>
                <w:color w:val="auto"/>
                <w:w w:val="99"/>
                <w:kern w:val="2"/>
                <w:sz w:val="21"/>
                <w:szCs w:val="21"/>
                <w:highlight w:val="none"/>
                <w:vertAlign w:val="subscript"/>
              </w:rPr>
              <w:t>4</w:t>
            </w:r>
            <w:r>
              <w:rPr>
                <w:rFonts w:ascii="Times New Roman" w:hAnsi="Times New Roman" w:cs="Times New Roman" w:eastAsiaTheme="minorEastAsia"/>
                <w:color w:val="auto"/>
                <w:w w:val="99"/>
                <w:kern w:val="2"/>
                <w:sz w:val="21"/>
                <w:szCs w:val="21"/>
                <w:highlight w:val="none"/>
                <w:vertAlign w:val="superscript"/>
              </w:rPr>
              <w:t>2-</w:t>
            </w:r>
            <w:r>
              <w:rPr>
                <w:rFonts w:ascii="Times New Roman" w:hAnsi="Times New Roman" w:cs="Times New Roman" w:eastAsiaTheme="minorEastAsia"/>
                <w:color w:val="auto"/>
                <w:w w:val="99"/>
                <w:kern w:val="2"/>
                <w:sz w:val="21"/>
                <w:szCs w:val="21"/>
                <w:highlight w:val="none"/>
              </w:rPr>
              <w:t xml:space="preserve">）的测定 </w:t>
            </w:r>
            <w:r>
              <w:rPr>
                <w:rFonts w:ascii="Times New Roman" w:hAnsi="Times New Roman" w:cs="Times New Roman" w:eastAsiaTheme="minorEastAsia"/>
                <w:color w:val="auto"/>
                <w:w w:val="99"/>
                <w:sz w:val="21"/>
                <w:szCs w:val="21"/>
                <w:highlight w:val="none"/>
              </w:rPr>
              <w:t>离子色谱法</w:t>
            </w:r>
          </w:p>
        </w:tc>
        <w:tc>
          <w:tcPr>
            <w:tcW w:w="860" w:type="pct"/>
            <w:vAlign w:val="center"/>
          </w:tcPr>
          <w:p w14:paraId="07E8A33F">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HJ 84-2016</w:t>
            </w:r>
          </w:p>
        </w:tc>
        <w:tc>
          <w:tcPr>
            <w:tcW w:w="938" w:type="pct"/>
            <w:vAlign w:val="center"/>
          </w:tcPr>
          <w:p w14:paraId="02CB54C6">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离子色谱仪</w:t>
            </w:r>
          </w:p>
          <w:p w14:paraId="4D7FDBD6">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CIC-200</w:t>
            </w:r>
          </w:p>
        </w:tc>
        <w:tc>
          <w:tcPr>
            <w:tcW w:w="703" w:type="pct"/>
            <w:vAlign w:val="center"/>
          </w:tcPr>
          <w:p w14:paraId="3D218B85">
            <w:pPr>
              <w:widowControl w:val="0"/>
              <w:spacing w:line="320" w:lineRule="exact"/>
              <w:jc w:val="center"/>
              <w:textAlignment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lang w:bidi="ar"/>
              </w:rPr>
              <w:t>12185</w:t>
            </w:r>
          </w:p>
        </w:tc>
        <w:tc>
          <w:tcPr>
            <w:tcW w:w="546" w:type="pct"/>
            <w:vAlign w:val="center"/>
          </w:tcPr>
          <w:p w14:paraId="4AF23193">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
                <w:sz w:val="21"/>
                <w:szCs w:val="21"/>
                <w:highlight w:val="none"/>
              </w:rPr>
              <w:t>0.006</w:t>
            </w:r>
            <w:r>
              <w:rPr>
                <w:rFonts w:ascii="Times New Roman" w:hAnsi="Times New Roman" w:cs="Times New Roman" w:eastAsiaTheme="minorEastAsia"/>
                <w:color w:val="auto"/>
                <w:w w:val="99"/>
                <w:kern w:val="21"/>
                <w:sz w:val="21"/>
                <w:szCs w:val="21"/>
                <w:highlight w:val="none"/>
              </w:rPr>
              <w:t>mg/L</w:t>
            </w:r>
          </w:p>
        </w:tc>
      </w:tr>
      <w:tr w14:paraId="1E1CC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5C37D2C5">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硝酸盐氮</w:t>
            </w:r>
          </w:p>
        </w:tc>
        <w:tc>
          <w:tcPr>
            <w:tcW w:w="1489" w:type="pct"/>
            <w:vAlign w:val="center"/>
          </w:tcPr>
          <w:p w14:paraId="649DA4FC">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水质 无机阴离子（F</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、Cl</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、NO</w:t>
            </w:r>
            <w:r>
              <w:rPr>
                <w:rFonts w:ascii="Times New Roman" w:hAnsi="Times New Roman" w:cs="Times New Roman" w:eastAsiaTheme="minorEastAsia"/>
                <w:color w:val="auto"/>
                <w:w w:val="99"/>
                <w:kern w:val="2"/>
                <w:sz w:val="21"/>
                <w:szCs w:val="21"/>
                <w:highlight w:val="none"/>
                <w:vertAlign w:val="subscript"/>
              </w:rPr>
              <w:t>2</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、Br</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、NO</w:t>
            </w:r>
            <w:r>
              <w:rPr>
                <w:rFonts w:ascii="Times New Roman" w:hAnsi="Times New Roman" w:cs="Times New Roman" w:eastAsiaTheme="minorEastAsia"/>
                <w:color w:val="auto"/>
                <w:w w:val="99"/>
                <w:kern w:val="2"/>
                <w:sz w:val="21"/>
                <w:szCs w:val="21"/>
                <w:highlight w:val="none"/>
                <w:vertAlign w:val="subscript"/>
              </w:rPr>
              <w:t>3</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、PO</w:t>
            </w:r>
            <w:r>
              <w:rPr>
                <w:rFonts w:ascii="Times New Roman" w:hAnsi="Times New Roman" w:cs="Times New Roman" w:eastAsiaTheme="minorEastAsia"/>
                <w:color w:val="auto"/>
                <w:w w:val="99"/>
                <w:kern w:val="2"/>
                <w:sz w:val="21"/>
                <w:szCs w:val="21"/>
                <w:highlight w:val="none"/>
                <w:vertAlign w:val="subscript"/>
              </w:rPr>
              <w:t>4</w:t>
            </w:r>
            <w:r>
              <w:rPr>
                <w:rFonts w:ascii="Times New Roman" w:hAnsi="Times New Roman" w:cs="Times New Roman" w:eastAsiaTheme="minorEastAsia"/>
                <w:color w:val="auto"/>
                <w:w w:val="99"/>
                <w:kern w:val="2"/>
                <w:sz w:val="21"/>
                <w:szCs w:val="21"/>
                <w:highlight w:val="none"/>
                <w:vertAlign w:val="superscript"/>
              </w:rPr>
              <w:t>3-</w:t>
            </w:r>
            <w:r>
              <w:rPr>
                <w:rFonts w:ascii="Times New Roman" w:hAnsi="Times New Roman" w:cs="Times New Roman" w:eastAsiaTheme="minorEastAsia"/>
                <w:color w:val="auto"/>
                <w:w w:val="99"/>
                <w:kern w:val="2"/>
                <w:sz w:val="21"/>
                <w:szCs w:val="21"/>
                <w:highlight w:val="none"/>
              </w:rPr>
              <w:t>、SO</w:t>
            </w:r>
            <w:r>
              <w:rPr>
                <w:rFonts w:ascii="Times New Roman" w:hAnsi="Times New Roman" w:cs="Times New Roman" w:eastAsiaTheme="minorEastAsia"/>
                <w:color w:val="auto"/>
                <w:w w:val="99"/>
                <w:kern w:val="2"/>
                <w:sz w:val="21"/>
                <w:szCs w:val="21"/>
                <w:highlight w:val="none"/>
                <w:vertAlign w:val="subscript"/>
              </w:rPr>
              <w:t>3</w:t>
            </w:r>
            <w:r>
              <w:rPr>
                <w:rFonts w:ascii="Times New Roman" w:hAnsi="Times New Roman" w:cs="Times New Roman" w:eastAsiaTheme="minorEastAsia"/>
                <w:color w:val="auto"/>
                <w:w w:val="99"/>
                <w:kern w:val="2"/>
                <w:sz w:val="21"/>
                <w:szCs w:val="21"/>
                <w:highlight w:val="none"/>
                <w:vertAlign w:val="superscript"/>
              </w:rPr>
              <w:t>2-</w:t>
            </w:r>
            <w:r>
              <w:rPr>
                <w:rFonts w:ascii="Times New Roman" w:hAnsi="Times New Roman" w:cs="Times New Roman" w:eastAsiaTheme="minorEastAsia"/>
                <w:color w:val="auto"/>
                <w:w w:val="99"/>
                <w:kern w:val="2"/>
                <w:sz w:val="21"/>
                <w:szCs w:val="21"/>
                <w:highlight w:val="none"/>
              </w:rPr>
              <w:t>、SO</w:t>
            </w:r>
            <w:r>
              <w:rPr>
                <w:rFonts w:ascii="Times New Roman" w:hAnsi="Times New Roman" w:cs="Times New Roman" w:eastAsiaTheme="minorEastAsia"/>
                <w:color w:val="auto"/>
                <w:w w:val="99"/>
                <w:kern w:val="2"/>
                <w:sz w:val="21"/>
                <w:szCs w:val="21"/>
                <w:highlight w:val="none"/>
                <w:vertAlign w:val="subscript"/>
              </w:rPr>
              <w:t>4</w:t>
            </w:r>
            <w:r>
              <w:rPr>
                <w:rFonts w:ascii="Times New Roman" w:hAnsi="Times New Roman" w:cs="Times New Roman" w:eastAsiaTheme="minorEastAsia"/>
                <w:color w:val="auto"/>
                <w:w w:val="99"/>
                <w:kern w:val="2"/>
                <w:sz w:val="21"/>
                <w:szCs w:val="21"/>
                <w:highlight w:val="none"/>
                <w:vertAlign w:val="superscript"/>
              </w:rPr>
              <w:t>2-</w:t>
            </w:r>
            <w:r>
              <w:rPr>
                <w:rFonts w:ascii="Times New Roman" w:hAnsi="Times New Roman" w:cs="Times New Roman" w:eastAsiaTheme="minorEastAsia"/>
                <w:color w:val="auto"/>
                <w:w w:val="99"/>
                <w:kern w:val="2"/>
                <w:sz w:val="21"/>
                <w:szCs w:val="21"/>
                <w:highlight w:val="none"/>
              </w:rPr>
              <w:t xml:space="preserve">）的测定 </w:t>
            </w:r>
            <w:r>
              <w:rPr>
                <w:rFonts w:ascii="Times New Roman" w:hAnsi="Times New Roman" w:cs="Times New Roman" w:eastAsiaTheme="minorEastAsia"/>
                <w:color w:val="auto"/>
                <w:w w:val="99"/>
                <w:sz w:val="21"/>
                <w:szCs w:val="21"/>
                <w:highlight w:val="none"/>
              </w:rPr>
              <w:t>离子色谱法</w:t>
            </w:r>
          </w:p>
        </w:tc>
        <w:tc>
          <w:tcPr>
            <w:tcW w:w="860" w:type="pct"/>
            <w:vAlign w:val="center"/>
          </w:tcPr>
          <w:p w14:paraId="0ECF3416">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HJ 84-2016</w:t>
            </w:r>
          </w:p>
        </w:tc>
        <w:tc>
          <w:tcPr>
            <w:tcW w:w="938" w:type="pct"/>
            <w:vAlign w:val="center"/>
          </w:tcPr>
          <w:p w14:paraId="3E0DEFFB">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离子色谱仪</w:t>
            </w:r>
          </w:p>
          <w:p w14:paraId="37BC4EAB">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CIC-200</w:t>
            </w:r>
          </w:p>
        </w:tc>
        <w:tc>
          <w:tcPr>
            <w:tcW w:w="703" w:type="pct"/>
            <w:vAlign w:val="center"/>
          </w:tcPr>
          <w:p w14:paraId="4E22D1D5">
            <w:pPr>
              <w:widowControl w:val="0"/>
              <w:spacing w:line="320" w:lineRule="exact"/>
              <w:jc w:val="center"/>
              <w:textAlignment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lang w:bidi="ar"/>
              </w:rPr>
              <w:t>12185</w:t>
            </w:r>
          </w:p>
        </w:tc>
        <w:tc>
          <w:tcPr>
            <w:tcW w:w="546" w:type="pct"/>
            <w:vAlign w:val="center"/>
          </w:tcPr>
          <w:p w14:paraId="28D8BECF">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
                <w:sz w:val="21"/>
                <w:szCs w:val="21"/>
                <w:highlight w:val="none"/>
              </w:rPr>
              <w:t>0.004</w:t>
            </w:r>
            <w:r>
              <w:rPr>
                <w:rFonts w:ascii="Times New Roman" w:hAnsi="Times New Roman" w:cs="Times New Roman" w:eastAsiaTheme="minorEastAsia"/>
                <w:color w:val="auto"/>
                <w:w w:val="99"/>
                <w:kern w:val="21"/>
                <w:sz w:val="21"/>
                <w:szCs w:val="21"/>
                <w:highlight w:val="none"/>
              </w:rPr>
              <w:t>mg/L</w:t>
            </w:r>
          </w:p>
        </w:tc>
      </w:tr>
      <w:tr w14:paraId="1C64C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51895079">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亚硝酸盐（氮）</w:t>
            </w:r>
          </w:p>
        </w:tc>
        <w:tc>
          <w:tcPr>
            <w:tcW w:w="1489" w:type="pct"/>
            <w:vAlign w:val="center"/>
          </w:tcPr>
          <w:p w14:paraId="1BE118C3">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水质 亚硝酸盐氮的测定</w:t>
            </w:r>
          </w:p>
          <w:p w14:paraId="257FAC69">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分光光度法</w:t>
            </w:r>
          </w:p>
        </w:tc>
        <w:tc>
          <w:tcPr>
            <w:tcW w:w="860" w:type="pct"/>
            <w:vAlign w:val="center"/>
          </w:tcPr>
          <w:p w14:paraId="2E05FB22">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GB/T 7493-1987</w:t>
            </w:r>
          </w:p>
        </w:tc>
        <w:tc>
          <w:tcPr>
            <w:tcW w:w="938" w:type="pct"/>
            <w:vAlign w:val="center"/>
          </w:tcPr>
          <w:p w14:paraId="368009AA">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1"/>
                <w:sz w:val="21"/>
                <w:szCs w:val="21"/>
                <w:highlight w:val="none"/>
              </w:rPr>
              <w:t>紫外可见分光光度752N</w:t>
            </w:r>
          </w:p>
        </w:tc>
        <w:tc>
          <w:tcPr>
            <w:tcW w:w="703" w:type="pct"/>
            <w:vAlign w:val="center"/>
          </w:tcPr>
          <w:p w14:paraId="68FF8F14">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7521712023N</w:t>
            </w:r>
          </w:p>
        </w:tc>
        <w:tc>
          <w:tcPr>
            <w:tcW w:w="546" w:type="pct"/>
            <w:vAlign w:val="center"/>
          </w:tcPr>
          <w:p w14:paraId="2F20E7AE">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0.003</w:t>
            </w:r>
            <w:r>
              <w:rPr>
                <w:rFonts w:ascii="Times New Roman" w:hAnsi="Times New Roman" w:cs="Times New Roman" w:eastAsiaTheme="minorEastAsia"/>
                <w:color w:val="auto"/>
                <w:w w:val="99"/>
                <w:kern w:val="21"/>
                <w:sz w:val="21"/>
                <w:szCs w:val="21"/>
                <w:highlight w:val="none"/>
              </w:rPr>
              <w:t>mg/L</w:t>
            </w:r>
          </w:p>
        </w:tc>
      </w:tr>
      <w:tr w14:paraId="19499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61A1F4D6">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1"/>
                <w:szCs w:val="21"/>
                <w:highlight w:val="none"/>
              </w:rPr>
              <w:t>氨氮</w:t>
            </w:r>
          </w:p>
        </w:tc>
        <w:tc>
          <w:tcPr>
            <w:tcW w:w="1489" w:type="pct"/>
            <w:vAlign w:val="center"/>
          </w:tcPr>
          <w:p w14:paraId="1D3A9ABF">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shd w:val="clear" w:color="auto" w:fill="FFFFFF"/>
              </w:rPr>
              <w:t>水质 氨</w:t>
            </w:r>
            <w:r>
              <w:rPr>
                <w:rFonts w:ascii="Times New Roman" w:hAnsi="Times New Roman" w:cs="Times New Roman" w:eastAsiaTheme="minorEastAsia"/>
                <w:color w:val="auto"/>
                <w:w w:val="99"/>
                <w:kern w:val="2"/>
                <w:sz w:val="21"/>
                <w:szCs w:val="21"/>
                <w:highlight w:val="none"/>
              </w:rPr>
              <w:t>氮</w:t>
            </w:r>
            <w:r>
              <w:rPr>
                <w:rFonts w:ascii="Times New Roman" w:hAnsi="Times New Roman" w:cs="Times New Roman" w:eastAsiaTheme="minorEastAsia"/>
                <w:color w:val="auto"/>
                <w:w w:val="99"/>
                <w:kern w:val="2"/>
                <w:sz w:val="21"/>
                <w:szCs w:val="21"/>
                <w:highlight w:val="none"/>
                <w:shd w:val="clear" w:color="auto" w:fill="FFFFFF"/>
              </w:rPr>
              <w:t xml:space="preserve">的测定    </w:t>
            </w:r>
          </w:p>
          <w:p w14:paraId="6C4F6587">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1"/>
                <w:szCs w:val="21"/>
                <w:highlight w:val="none"/>
              </w:rPr>
              <w:t xml:space="preserve">纳氏试剂分光光度法 </w:t>
            </w:r>
          </w:p>
        </w:tc>
        <w:tc>
          <w:tcPr>
            <w:tcW w:w="860" w:type="pct"/>
            <w:vAlign w:val="center"/>
          </w:tcPr>
          <w:p w14:paraId="3CF6EB92">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1"/>
                <w:szCs w:val="21"/>
                <w:highlight w:val="none"/>
              </w:rPr>
              <w:t xml:space="preserve">HJ 535-2009 </w:t>
            </w:r>
          </w:p>
        </w:tc>
        <w:tc>
          <w:tcPr>
            <w:tcW w:w="938" w:type="pct"/>
            <w:vAlign w:val="center"/>
          </w:tcPr>
          <w:p w14:paraId="67B81FDF">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可见分光光度计722N</w:t>
            </w:r>
          </w:p>
        </w:tc>
        <w:tc>
          <w:tcPr>
            <w:tcW w:w="703" w:type="pct"/>
            <w:vAlign w:val="center"/>
          </w:tcPr>
          <w:p w14:paraId="1DAB9411">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lang w:bidi="ar"/>
              </w:rPr>
              <w:t>070722020222020043</w:t>
            </w:r>
          </w:p>
        </w:tc>
        <w:tc>
          <w:tcPr>
            <w:tcW w:w="546" w:type="pct"/>
            <w:vAlign w:val="center"/>
          </w:tcPr>
          <w:p w14:paraId="5A5C12C9">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
                <w:sz w:val="21"/>
                <w:szCs w:val="21"/>
                <w:highlight w:val="none"/>
              </w:rPr>
              <w:t>0.025</w:t>
            </w:r>
            <w:r>
              <w:rPr>
                <w:rFonts w:ascii="Times New Roman" w:hAnsi="Times New Roman" w:cs="Times New Roman" w:eastAsiaTheme="minorEastAsia"/>
                <w:color w:val="auto"/>
                <w:w w:val="99"/>
                <w:kern w:val="21"/>
                <w:sz w:val="21"/>
                <w:szCs w:val="21"/>
                <w:highlight w:val="none"/>
              </w:rPr>
              <w:t>mg/L</w:t>
            </w:r>
          </w:p>
        </w:tc>
      </w:tr>
      <w:tr w14:paraId="55B47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36EE43E9">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六价铬</w:t>
            </w:r>
          </w:p>
        </w:tc>
        <w:tc>
          <w:tcPr>
            <w:tcW w:w="1489" w:type="pct"/>
            <w:vAlign w:val="center"/>
          </w:tcPr>
          <w:p w14:paraId="6DB00ED1">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水质 六价铬的测定</w:t>
            </w:r>
          </w:p>
          <w:p w14:paraId="16356B94">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二苯碳酰二肼分光光度法</w:t>
            </w:r>
          </w:p>
        </w:tc>
        <w:tc>
          <w:tcPr>
            <w:tcW w:w="860" w:type="pct"/>
            <w:vAlign w:val="center"/>
          </w:tcPr>
          <w:p w14:paraId="1A6CC5CA">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GB/T 7467-1987</w:t>
            </w:r>
          </w:p>
        </w:tc>
        <w:tc>
          <w:tcPr>
            <w:tcW w:w="938" w:type="pct"/>
            <w:vAlign w:val="center"/>
          </w:tcPr>
          <w:p w14:paraId="59EC92A0">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1"/>
                <w:sz w:val="21"/>
                <w:szCs w:val="21"/>
                <w:highlight w:val="none"/>
              </w:rPr>
              <w:t xml:space="preserve">可见分光光度计   </w:t>
            </w:r>
            <w:r>
              <w:rPr>
                <w:rFonts w:ascii="Times New Roman" w:hAnsi="Times New Roman" w:cs="Times New Roman" w:eastAsiaTheme="minorEastAsia"/>
                <w:color w:val="auto"/>
                <w:w w:val="99"/>
                <w:kern w:val="2"/>
                <w:sz w:val="21"/>
                <w:szCs w:val="21"/>
                <w:highlight w:val="none"/>
              </w:rPr>
              <w:t>722N</w:t>
            </w:r>
          </w:p>
        </w:tc>
        <w:tc>
          <w:tcPr>
            <w:tcW w:w="703" w:type="pct"/>
            <w:vAlign w:val="center"/>
          </w:tcPr>
          <w:p w14:paraId="63C1DF76">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070722020222020043</w:t>
            </w:r>
          </w:p>
        </w:tc>
        <w:tc>
          <w:tcPr>
            <w:tcW w:w="546" w:type="pct"/>
            <w:vAlign w:val="center"/>
          </w:tcPr>
          <w:p w14:paraId="1FA69BD1">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0.004</w:t>
            </w:r>
            <w:r>
              <w:rPr>
                <w:rFonts w:ascii="Times New Roman" w:hAnsi="Times New Roman" w:cs="Times New Roman" w:eastAsiaTheme="minorEastAsia"/>
                <w:color w:val="auto"/>
                <w:w w:val="99"/>
                <w:kern w:val="21"/>
                <w:sz w:val="21"/>
                <w:szCs w:val="21"/>
                <w:highlight w:val="none"/>
              </w:rPr>
              <w:t>mg/L</w:t>
            </w:r>
          </w:p>
        </w:tc>
      </w:tr>
      <w:tr w14:paraId="5533F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06EACD7C">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kern w:val="2"/>
                <w:sz w:val="21"/>
                <w:szCs w:val="21"/>
                <w:highlight w:val="none"/>
              </w:rPr>
              <w:t>砷</w:t>
            </w:r>
          </w:p>
        </w:tc>
        <w:tc>
          <w:tcPr>
            <w:tcW w:w="1489" w:type="pct"/>
            <w:vAlign w:val="center"/>
          </w:tcPr>
          <w:p w14:paraId="78D9B9BA">
            <w:pPr>
              <w:widowControl w:val="0"/>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sz w:val="21"/>
                <w:szCs w:val="21"/>
                <w:highlight w:val="none"/>
              </w:rPr>
              <w:t>水质 汞、砷、硒、铋和锑的测定 原子荧光法</w:t>
            </w:r>
          </w:p>
        </w:tc>
        <w:tc>
          <w:tcPr>
            <w:tcW w:w="860" w:type="pct"/>
            <w:vAlign w:val="center"/>
          </w:tcPr>
          <w:p w14:paraId="53B710CD">
            <w:pPr>
              <w:widowControl w:val="0"/>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sz w:val="21"/>
                <w:szCs w:val="21"/>
                <w:highlight w:val="none"/>
              </w:rPr>
              <w:t>HJ 694-2014</w:t>
            </w:r>
          </w:p>
        </w:tc>
        <w:tc>
          <w:tcPr>
            <w:tcW w:w="938" w:type="pct"/>
            <w:vAlign w:val="center"/>
          </w:tcPr>
          <w:p w14:paraId="310C689B">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bCs/>
                <w:color w:val="auto"/>
                <w:w w:val="99"/>
                <w:kern w:val="21"/>
                <w:sz w:val="21"/>
                <w:szCs w:val="21"/>
                <w:highlight w:val="none"/>
              </w:rPr>
              <w:t>双道原子荧光光度计 AFS-230E</w:t>
            </w:r>
          </w:p>
        </w:tc>
        <w:tc>
          <w:tcPr>
            <w:tcW w:w="703" w:type="pct"/>
            <w:vAlign w:val="center"/>
          </w:tcPr>
          <w:p w14:paraId="4415DDDF">
            <w:pPr>
              <w:widowControl w:val="0"/>
              <w:spacing w:line="320" w:lineRule="exact"/>
              <w:jc w:val="center"/>
              <w:textAlignment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230E/2111565</w:t>
            </w:r>
          </w:p>
        </w:tc>
        <w:tc>
          <w:tcPr>
            <w:tcW w:w="546" w:type="pct"/>
            <w:vAlign w:val="center"/>
          </w:tcPr>
          <w:p w14:paraId="15ED8C81">
            <w:pPr>
              <w:widowControl w:val="0"/>
              <w:spacing w:line="320" w:lineRule="exact"/>
              <w:jc w:val="center"/>
              <w:textAlignment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sz w:val="21"/>
                <w:szCs w:val="21"/>
                <w:highlight w:val="none"/>
              </w:rPr>
              <w:t>0.0003</w:t>
            </w:r>
            <w:r>
              <w:rPr>
                <w:rFonts w:ascii="Times New Roman" w:hAnsi="Times New Roman" w:cs="Times New Roman" w:eastAsiaTheme="minorEastAsia"/>
                <w:bCs/>
                <w:color w:val="auto"/>
                <w:w w:val="99"/>
                <w:kern w:val="2"/>
                <w:sz w:val="21"/>
                <w:szCs w:val="21"/>
                <w:highlight w:val="none"/>
              </w:rPr>
              <w:t>mg/L</w:t>
            </w:r>
          </w:p>
        </w:tc>
      </w:tr>
      <w:tr w14:paraId="6FBF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45C56D02">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1"/>
                <w:szCs w:val="21"/>
                <w:highlight w:val="none"/>
              </w:rPr>
              <w:t>铅</w:t>
            </w:r>
          </w:p>
        </w:tc>
        <w:tc>
          <w:tcPr>
            <w:tcW w:w="1489" w:type="pct"/>
            <w:vAlign w:val="center"/>
          </w:tcPr>
          <w:p w14:paraId="41F3AD35">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1"/>
                <w:szCs w:val="21"/>
                <w:highlight w:val="none"/>
              </w:rPr>
              <w:t xml:space="preserve">铜、铅、镉 </w:t>
            </w:r>
            <w:r>
              <w:rPr>
                <w:rFonts w:ascii="Times New Roman" w:hAnsi="Times New Roman" w:cs="Times New Roman" w:eastAsiaTheme="minorEastAsia"/>
                <w:color w:val="auto"/>
                <w:w w:val="99"/>
                <w:kern w:val="2"/>
                <w:sz w:val="21"/>
                <w:szCs w:val="21"/>
                <w:highlight w:val="none"/>
                <w:shd w:val="clear" w:color="auto" w:fill="FFFFFF"/>
                <w:lang w:bidi="ar"/>
              </w:rPr>
              <w:t xml:space="preserve">石墨炉原子吸收法 </w:t>
            </w:r>
          </w:p>
        </w:tc>
        <w:tc>
          <w:tcPr>
            <w:tcW w:w="860" w:type="pct"/>
            <w:vAlign w:val="center"/>
          </w:tcPr>
          <w:p w14:paraId="3C48AF08">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1"/>
                <w:szCs w:val="21"/>
                <w:highlight w:val="none"/>
              </w:rPr>
              <w:t>《水和废水监测分析方法》（第四版）国家环境保护总（2002年）</w:t>
            </w:r>
          </w:p>
        </w:tc>
        <w:tc>
          <w:tcPr>
            <w:tcW w:w="938" w:type="pct"/>
            <w:vAlign w:val="center"/>
          </w:tcPr>
          <w:p w14:paraId="4B6FAB82">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
                <w:sz w:val="21"/>
                <w:szCs w:val="21"/>
                <w:highlight w:val="none"/>
                <w:shd w:val="clear" w:color="auto" w:fill="FFFFFF"/>
                <w:lang w:bidi="ar"/>
              </w:rPr>
              <w:t>石墨炉</w:t>
            </w:r>
            <w:r>
              <w:rPr>
                <w:rFonts w:ascii="Times New Roman" w:hAnsi="Times New Roman" w:cs="Times New Roman" w:eastAsiaTheme="minorEastAsia"/>
                <w:color w:val="auto"/>
                <w:w w:val="99"/>
                <w:kern w:val="21"/>
                <w:sz w:val="21"/>
                <w:szCs w:val="21"/>
                <w:highlight w:val="none"/>
              </w:rPr>
              <w:t xml:space="preserve">原子吸收分光光度计 </w:t>
            </w:r>
          </w:p>
          <w:p w14:paraId="16137FC2">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GA3202</w:t>
            </w:r>
          </w:p>
        </w:tc>
        <w:tc>
          <w:tcPr>
            <w:tcW w:w="703" w:type="pct"/>
            <w:vAlign w:val="center"/>
          </w:tcPr>
          <w:p w14:paraId="0518EDAD">
            <w:pPr>
              <w:widowControl w:val="0"/>
              <w:spacing w:line="320" w:lineRule="exact"/>
              <w:jc w:val="center"/>
              <w:textAlignment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030716010116050008</w:t>
            </w:r>
          </w:p>
        </w:tc>
        <w:tc>
          <w:tcPr>
            <w:tcW w:w="546" w:type="pct"/>
            <w:vAlign w:val="center"/>
          </w:tcPr>
          <w:p w14:paraId="2862C22B">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1.0</w:t>
            </w:r>
            <w:r>
              <w:rPr>
                <w:rFonts w:ascii="Times New Roman" w:hAnsi="Times New Roman" w:cs="Times New Roman" w:eastAsiaTheme="minorEastAsia"/>
                <w:color w:val="auto"/>
                <w:w w:val="99"/>
                <w:kern w:val="2"/>
                <w:sz w:val="21"/>
                <w:szCs w:val="21"/>
                <w:highlight w:val="none"/>
              </w:rPr>
              <w:t>μg/L</w:t>
            </w:r>
          </w:p>
        </w:tc>
      </w:tr>
      <w:tr w14:paraId="79DE6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268C2524">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铁</w:t>
            </w:r>
          </w:p>
        </w:tc>
        <w:tc>
          <w:tcPr>
            <w:tcW w:w="1489" w:type="pct"/>
            <w:vAlign w:val="center"/>
          </w:tcPr>
          <w:p w14:paraId="6979AA38">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水质 铁、锰的测定</w:t>
            </w:r>
          </w:p>
          <w:p w14:paraId="7B8425DE">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火焰原子吸收分光光度法</w:t>
            </w:r>
          </w:p>
        </w:tc>
        <w:tc>
          <w:tcPr>
            <w:tcW w:w="860" w:type="pct"/>
            <w:vAlign w:val="center"/>
          </w:tcPr>
          <w:p w14:paraId="17ADBBB3">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GB/T 11911-1989</w:t>
            </w:r>
          </w:p>
        </w:tc>
        <w:tc>
          <w:tcPr>
            <w:tcW w:w="938" w:type="pct"/>
            <w:vAlign w:val="center"/>
          </w:tcPr>
          <w:p w14:paraId="7F0673DA">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原子吸收分光光度计 AA320N</w:t>
            </w:r>
          </w:p>
        </w:tc>
        <w:tc>
          <w:tcPr>
            <w:tcW w:w="703" w:type="pct"/>
            <w:vAlign w:val="center"/>
          </w:tcPr>
          <w:p w14:paraId="35976A62">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
                <w:sz w:val="21"/>
                <w:szCs w:val="21"/>
                <w:highlight w:val="none"/>
                <w:shd w:val="clear" w:color="auto" w:fill="FFFFFF"/>
              </w:rPr>
              <w:t>030916020216050002</w:t>
            </w:r>
          </w:p>
        </w:tc>
        <w:tc>
          <w:tcPr>
            <w:tcW w:w="546" w:type="pct"/>
            <w:vAlign w:val="center"/>
          </w:tcPr>
          <w:p w14:paraId="0CD8F291">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0.03</w:t>
            </w:r>
            <w:r>
              <w:rPr>
                <w:rFonts w:ascii="Times New Roman" w:hAnsi="Times New Roman" w:cs="Times New Roman" w:eastAsiaTheme="minorEastAsia"/>
                <w:color w:val="auto"/>
                <w:w w:val="99"/>
                <w:kern w:val="21"/>
                <w:sz w:val="21"/>
                <w:szCs w:val="21"/>
                <w:highlight w:val="none"/>
              </w:rPr>
              <w:t>mg/L</w:t>
            </w:r>
          </w:p>
        </w:tc>
      </w:tr>
      <w:tr w14:paraId="08869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64AEA1E5">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锰</w:t>
            </w:r>
          </w:p>
        </w:tc>
        <w:tc>
          <w:tcPr>
            <w:tcW w:w="1489" w:type="pct"/>
            <w:vAlign w:val="center"/>
          </w:tcPr>
          <w:p w14:paraId="1A85B991">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水质 铁、锰的测定</w:t>
            </w:r>
          </w:p>
          <w:p w14:paraId="172CAE52">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火焰原子吸收分光光度法</w:t>
            </w:r>
          </w:p>
        </w:tc>
        <w:tc>
          <w:tcPr>
            <w:tcW w:w="860" w:type="pct"/>
            <w:vAlign w:val="center"/>
          </w:tcPr>
          <w:p w14:paraId="28282D92">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GB/T 11911-1989</w:t>
            </w:r>
          </w:p>
        </w:tc>
        <w:tc>
          <w:tcPr>
            <w:tcW w:w="938" w:type="pct"/>
            <w:vAlign w:val="center"/>
          </w:tcPr>
          <w:p w14:paraId="28691335">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原子吸收分光光度计 AA320N</w:t>
            </w:r>
          </w:p>
        </w:tc>
        <w:tc>
          <w:tcPr>
            <w:tcW w:w="703" w:type="pct"/>
            <w:vAlign w:val="center"/>
          </w:tcPr>
          <w:p w14:paraId="62129193">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30916020216050002</w:t>
            </w:r>
          </w:p>
        </w:tc>
        <w:tc>
          <w:tcPr>
            <w:tcW w:w="546" w:type="pct"/>
            <w:vAlign w:val="center"/>
          </w:tcPr>
          <w:p w14:paraId="7D678C84">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0.01</w:t>
            </w:r>
            <w:r>
              <w:rPr>
                <w:rFonts w:ascii="Times New Roman" w:hAnsi="Times New Roman" w:cs="Times New Roman" w:eastAsiaTheme="minorEastAsia"/>
                <w:color w:val="auto"/>
                <w:w w:val="99"/>
                <w:kern w:val="21"/>
                <w:sz w:val="21"/>
                <w:szCs w:val="21"/>
                <w:highlight w:val="none"/>
              </w:rPr>
              <w:t>mg/L</w:t>
            </w:r>
          </w:p>
        </w:tc>
      </w:tr>
      <w:tr w14:paraId="6C7C8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2E157E25">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kern w:val="2"/>
                <w:sz w:val="21"/>
                <w:szCs w:val="21"/>
                <w:highlight w:val="none"/>
              </w:rPr>
              <w:t>汞</w:t>
            </w:r>
          </w:p>
        </w:tc>
        <w:tc>
          <w:tcPr>
            <w:tcW w:w="1489" w:type="pct"/>
            <w:vAlign w:val="center"/>
          </w:tcPr>
          <w:p w14:paraId="09951E06">
            <w:pPr>
              <w:widowControl w:val="0"/>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sz w:val="21"/>
                <w:szCs w:val="21"/>
                <w:highlight w:val="none"/>
              </w:rPr>
              <w:t>水质 汞、砷、硒、铋和锑的测定 原子荧光法</w:t>
            </w:r>
          </w:p>
        </w:tc>
        <w:tc>
          <w:tcPr>
            <w:tcW w:w="860" w:type="pct"/>
            <w:vAlign w:val="center"/>
          </w:tcPr>
          <w:p w14:paraId="38AD71B8">
            <w:pPr>
              <w:widowControl w:val="0"/>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sz w:val="21"/>
                <w:szCs w:val="21"/>
                <w:highlight w:val="none"/>
              </w:rPr>
              <w:t>HJ 694-2014</w:t>
            </w:r>
          </w:p>
        </w:tc>
        <w:tc>
          <w:tcPr>
            <w:tcW w:w="938" w:type="pct"/>
            <w:vAlign w:val="center"/>
          </w:tcPr>
          <w:p w14:paraId="70F079C1">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bCs/>
                <w:color w:val="auto"/>
                <w:w w:val="99"/>
                <w:kern w:val="21"/>
                <w:sz w:val="21"/>
                <w:szCs w:val="21"/>
                <w:highlight w:val="none"/>
              </w:rPr>
              <w:t>双道原子荧光光度计 AFS-230E</w:t>
            </w:r>
          </w:p>
        </w:tc>
        <w:tc>
          <w:tcPr>
            <w:tcW w:w="703" w:type="pct"/>
            <w:vAlign w:val="center"/>
          </w:tcPr>
          <w:p w14:paraId="547BE01E">
            <w:pPr>
              <w:widowControl w:val="0"/>
              <w:spacing w:line="320" w:lineRule="exact"/>
              <w:jc w:val="center"/>
              <w:textAlignment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230E/2111565</w:t>
            </w:r>
          </w:p>
        </w:tc>
        <w:tc>
          <w:tcPr>
            <w:tcW w:w="546" w:type="pct"/>
            <w:vAlign w:val="center"/>
          </w:tcPr>
          <w:p w14:paraId="2F51B43E">
            <w:pPr>
              <w:widowControl w:val="0"/>
              <w:spacing w:line="320" w:lineRule="exact"/>
              <w:jc w:val="center"/>
              <w:textAlignment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sz w:val="21"/>
                <w:szCs w:val="21"/>
                <w:highlight w:val="none"/>
              </w:rPr>
              <w:t>0.00004</w:t>
            </w:r>
            <w:r>
              <w:rPr>
                <w:rFonts w:ascii="Times New Roman" w:hAnsi="Times New Roman" w:cs="Times New Roman" w:eastAsiaTheme="minorEastAsia"/>
                <w:bCs/>
                <w:color w:val="auto"/>
                <w:w w:val="99"/>
                <w:kern w:val="2"/>
                <w:sz w:val="21"/>
                <w:szCs w:val="21"/>
                <w:highlight w:val="none"/>
              </w:rPr>
              <w:t>mg/L</w:t>
            </w:r>
          </w:p>
        </w:tc>
      </w:tr>
      <w:tr w14:paraId="5D91F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7FE450D3">
            <w:pPr>
              <w:widowControl w:val="0"/>
              <w:adjustRightInd w:val="0"/>
              <w:snapToGrid w:val="0"/>
              <w:spacing w:line="320" w:lineRule="exact"/>
              <w:jc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color w:val="auto"/>
                <w:w w:val="99"/>
                <w:sz w:val="21"/>
                <w:szCs w:val="21"/>
                <w:highlight w:val="none"/>
              </w:rPr>
              <w:t>菌落总数</w:t>
            </w:r>
          </w:p>
        </w:tc>
        <w:tc>
          <w:tcPr>
            <w:tcW w:w="1489" w:type="pct"/>
            <w:vAlign w:val="center"/>
          </w:tcPr>
          <w:p w14:paraId="74FDB333">
            <w:pPr>
              <w:widowControl w:val="0"/>
              <w:adjustRightInd w:val="0"/>
              <w:snapToGrid w:val="0"/>
              <w:spacing w:line="320" w:lineRule="exact"/>
              <w:jc w:val="center"/>
              <w:rPr>
                <w:rFonts w:ascii="Times New Roman" w:hAnsi="Times New Roman" w:cs="Times New Roman" w:eastAsiaTheme="minorEastAsia"/>
                <w:bCs/>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rPr>
              <w:t xml:space="preserve"> 生活饮用水标准检验方法 微生物指标（4.1平皿计数法）</w:t>
            </w:r>
          </w:p>
        </w:tc>
        <w:tc>
          <w:tcPr>
            <w:tcW w:w="860" w:type="pct"/>
            <w:vAlign w:val="center"/>
          </w:tcPr>
          <w:p w14:paraId="43D091CE">
            <w:pPr>
              <w:widowControl w:val="0"/>
              <w:adjustRightInd w:val="0"/>
              <w:snapToGrid w:val="0"/>
              <w:spacing w:line="320" w:lineRule="exact"/>
              <w:jc w:val="center"/>
              <w:rPr>
                <w:rFonts w:ascii="Times New Roman" w:hAnsi="Times New Roman" w:cs="Times New Roman" w:eastAsiaTheme="minorEastAsia"/>
                <w:bCs/>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rPr>
              <w:t>GB/T5750.12-2023</w:t>
            </w:r>
          </w:p>
        </w:tc>
        <w:tc>
          <w:tcPr>
            <w:tcW w:w="938" w:type="pct"/>
            <w:vAlign w:val="center"/>
          </w:tcPr>
          <w:p w14:paraId="3376636E">
            <w:pPr>
              <w:widowControl w:val="0"/>
              <w:adjustRightInd w:val="0"/>
              <w:snapToGrid w:val="0"/>
              <w:spacing w:line="320" w:lineRule="exact"/>
              <w:jc w:val="center"/>
              <w:rPr>
                <w:rFonts w:ascii="Times New Roman" w:hAnsi="Times New Roman" w:cs="Times New Roman" w:eastAsiaTheme="minorEastAsia"/>
                <w:bCs/>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shd w:val="clear" w:color="auto" w:fill="FFFFFF"/>
              </w:rPr>
              <w:t xml:space="preserve">电热恒温培养箱 </w:t>
            </w:r>
            <w:r>
              <w:rPr>
                <w:rFonts w:ascii="Times New Roman" w:hAnsi="Times New Roman" w:cs="Times New Roman" w:eastAsiaTheme="minorEastAsia"/>
                <w:color w:val="auto"/>
                <w:w w:val="99"/>
                <w:kern w:val="2"/>
                <w:sz w:val="21"/>
                <w:szCs w:val="21"/>
                <w:highlight w:val="none"/>
              </w:rPr>
              <w:t>DH-250A</w:t>
            </w:r>
          </w:p>
        </w:tc>
        <w:tc>
          <w:tcPr>
            <w:tcW w:w="703" w:type="pct"/>
            <w:vAlign w:val="center"/>
          </w:tcPr>
          <w:p w14:paraId="5FD13366">
            <w:pPr>
              <w:widowControl w:val="0"/>
              <w:spacing w:line="320" w:lineRule="exact"/>
              <w:jc w:val="center"/>
              <w:textAlignment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lang w:bidi="ar"/>
              </w:rPr>
              <w:t>GL-278</w:t>
            </w:r>
          </w:p>
        </w:tc>
        <w:tc>
          <w:tcPr>
            <w:tcW w:w="546" w:type="pct"/>
            <w:vAlign w:val="center"/>
          </w:tcPr>
          <w:p w14:paraId="77ADB1FC">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color w:val="auto"/>
                <w:w w:val="99"/>
                <w:kern w:val="21"/>
                <w:sz w:val="21"/>
                <w:szCs w:val="21"/>
                <w:highlight w:val="none"/>
              </w:rPr>
              <w:t xml:space="preserve">-  </w:t>
            </w:r>
          </w:p>
        </w:tc>
      </w:tr>
      <w:tr w14:paraId="5AE84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442CAF04">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总大肠菌群</w:t>
            </w:r>
          </w:p>
        </w:tc>
        <w:tc>
          <w:tcPr>
            <w:tcW w:w="1489" w:type="pct"/>
            <w:vAlign w:val="center"/>
          </w:tcPr>
          <w:p w14:paraId="01430AB8">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多管发酵法</w:t>
            </w:r>
          </w:p>
        </w:tc>
        <w:tc>
          <w:tcPr>
            <w:tcW w:w="860" w:type="pct"/>
            <w:vAlign w:val="center"/>
          </w:tcPr>
          <w:p w14:paraId="03FED54B">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《水和废水监测分析方法》（第四版）国家环境保护总局（2002年）</w:t>
            </w:r>
          </w:p>
        </w:tc>
        <w:tc>
          <w:tcPr>
            <w:tcW w:w="938" w:type="pct"/>
            <w:vAlign w:val="center"/>
          </w:tcPr>
          <w:p w14:paraId="6249444F">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电热恒温培养箱 DH-250A</w:t>
            </w:r>
          </w:p>
        </w:tc>
        <w:tc>
          <w:tcPr>
            <w:tcW w:w="703" w:type="pct"/>
            <w:vAlign w:val="center"/>
          </w:tcPr>
          <w:p w14:paraId="2FCE7A87">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lang w:bidi="ar"/>
              </w:rPr>
              <w:t>GL-278</w:t>
            </w:r>
          </w:p>
        </w:tc>
        <w:tc>
          <w:tcPr>
            <w:tcW w:w="546" w:type="pct"/>
            <w:vAlign w:val="center"/>
          </w:tcPr>
          <w:p w14:paraId="1F3F4FE2">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2MPN/100mL</w:t>
            </w:r>
          </w:p>
        </w:tc>
      </w:tr>
      <w:tr w14:paraId="7BC98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1BBE31E3">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石油类</w:t>
            </w:r>
          </w:p>
        </w:tc>
        <w:tc>
          <w:tcPr>
            <w:tcW w:w="1489" w:type="pct"/>
            <w:vAlign w:val="center"/>
          </w:tcPr>
          <w:p w14:paraId="6A8C9FC3">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 xml:space="preserve">水质 石油类的测定 </w:t>
            </w:r>
          </w:p>
          <w:p w14:paraId="2FD9F4ED">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紫外分光光度法（试行）</w:t>
            </w:r>
          </w:p>
        </w:tc>
        <w:tc>
          <w:tcPr>
            <w:tcW w:w="860" w:type="pct"/>
            <w:vAlign w:val="center"/>
          </w:tcPr>
          <w:p w14:paraId="5795EFF4">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 xml:space="preserve"> HJ 970-2018</w:t>
            </w:r>
          </w:p>
        </w:tc>
        <w:tc>
          <w:tcPr>
            <w:tcW w:w="938" w:type="pct"/>
            <w:vAlign w:val="center"/>
          </w:tcPr>
          <w:p w14:paraId="2E2344E6">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紫外可见分光光度计UV752</w:t>
            </w:r>
          </w:p>
        </w:tc>
        <w:tc>
          <w:tcPr>
            <w:tcW w:w="703" w:type="pct"/>
            <w:vAlign w:val="center"/>
          </w:tcPr>
          <w:p w14:paraId="1A16FC8E">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AE1104016</w:t>
            </w:r>
          </w:p>
        </w:tc>
        <w:tc>
          <w:tcPr>
            <w:tcW w:w="546" w:type="pct"/>
            <w:vAlign w:val="center"/>
          </w:tcPr>
          <w:p w14:paraId="7EE3949F">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0.01</w:t>
            </w:r>
            <w:r>
              <w:rPr>
                <w:rFonts w:ascii="Times New Roman" w:hAnsi="Times New Roman" w:cs="Times New Roman" w:eastAsiaTheme="minorEastAsia"/>
                <w:color w:val="auto"/>
                <w:w w:val="99"/>
                <w:kern w:val="21"/>
                <w:sz w:val="21"/>
                <w:szCs w:val="21"/>
                <w:highlight w:val="none"/>
              </w:rPr>
              <w:t>mg/L</w:t>
            </w:r>
          </w:p>
        </w:tc>
      </w:tr>
      <w:tr w14:paraId="20C49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7DE946B8">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氰化物</w:t>
            </w:r>
          </w:p>
        </w:tc>
        <w:tc>
          <w:tcPr>
            <w:tcW w:w="1489" w:type="pct"/>
            <w:vAlign w:val="center"/>
          </w:tcPr>
          <w:p w14:paraId="794AF38E">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水质 氰化物的测定 容量法和分光光度法</w:t>
            </w:r>
            <w:r>
              <w:rPr>
                <w:rFonts w:ascii="Times New Roman" w:hAnsi="Times New Roman" w:cs="Times New Roman" w:eastAsiaTheme="minorEastAsia"/>
                <w:color w:val="auto"/>
                <w:w w:val="99"/>
                <w:kern w:val="2"/>
                <w:sz w:val="21"/>
                <w:szCs w:val="21"/>
                <w:highlight w:val="none"/>
                <w:shd w:val="clear" w:color="auto" w:fill="FFFFFF"/>
              </w:rPr>
              <w:t>（方法2异烟酸-吡唑啉酮分光光度法）</w:t>
            </w:r>
          </w:p>
        </w:tc>
        <w:tc>
          <w:tcPr>
            <w:tcW w:w="860" w:type="pct"/>
            <w:vAlign w:val="center"/>
          </w:tcPr>
          <w:p w14:paraId="4B6E9262">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HJ 484-2009 </w:t>
            </w:r>
          </w:p>
        </w:tc>
        <w:tc>
          <w:tcPr>
            <w:tcW w:w="938" w:type="pct"/>
            <w:vAlign w:val="center"/>
          </w:tcPr>
          <w:p w14:paraId="6BF2A6EB">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可见分光光度722N</w:t>
            </w:r>
          </w:p>
        </w:tc>
        <w:tc>
          <w:tcPr>
            <w:tcW w:w="703" w:type="pct"/>
            <w:vAlign w:val="center"/>
          </w:tcPr>
          <w:p w14:paraId="56FA8619">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070722020222020043</w:t>
            </w:r>
          </w:p>
        </w:tc>
        <w:tc>
          <w:tcPr>
            <w:tcW w:w="546" w:type="pct"/>
            <w:vAlign w:val="center"/>
          </w:tcPr>
          <w:p w14:paraId="63F74951">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0.004</w:t>
            </w:r>
            <w:r>
              <w:rPr>
                <w:rFonts w:ascii="Times New Roman" w:hAnsi="Times New Roman" w:cs="Times New Roman" w:eastAsiaTheme="minorEastAsia"/>
                <w:color w:val="auto"/>
                <w:w w:val="99"/>
                <w:kern w:val="21"/>
                <w:sz w:val="21"/>
                <w:szCs w:val="21"/>
                <w:highlight w:val="none"/>
              </w:rPr>
              <w:t>mg/L</w:t>
            </w:r>
          </w:p>
        </w:tc>
      </w:tr>
      <w:tr w14:paraId="5306A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3138B4AC">
            <w:pPr>
              <w:widowControl w:val="0"/>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1"/>
                <w:szCs w:val="21"/>
                <w:highlight w:val="none"/>
                <w:shd w:val="clear" w:color="auto" w:fill="FFFFFF"/>
                <w:lang w:bidi="ar"/>
              </w:rPr>
              <w:t>镉</w:t>
            </w:r>
          </w:p>
        </w:tc>
        <w:tc>
          <w:tcPr>
            <w:tcW w:w="1489" w:type="pct"/>
            <w:vAlign w:val="center"/>
          </w:tcPr>
          <w:p w14:paraId="677804B2">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1"/>
                <w:szCs w:val="21"/>
                <w:highlight w:val="none"/>
              </w:rPr>
              <w:t xml:space="preserve">铜、铅、镉 </w:t>
            </w:r>
            <w:r>
              <w:rPr>
                <w:rFonts w:ascii="Times New Roman" w:hAnsi="Times New Roman" w:cs="Times New Roman" w:eastAsiaTheme="minorEastAsia"/>
                <w:color w:val="auto"/>
                <w:w w:val="99"/>
                <w:kern w:val="2"/>
                <w:sz w:val="21"/>
                <w:szCs w:val="21"/>
                <w:highlight w:val="none"/>
                <w:shd w:val="clear" w:color="auto" w:fill="FFFFFF"/>
                <w:lang w:bidi="ar"/>
              </w:rPr>
              <w:t xml:space="preserve">石墨炉原子吸收法 </w:t>
            </w:r>
          </w:p>
        </w:tc>
        <w:tc>
          <w:tcPr>
            <w:tcW w:w="860" w:type="pct"/>
            <w:vAlign w:val="center"/>
          </w:tcPr>
          <w:p w14:paraId="0259152F">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1"/>
                <w:szCs w:val="21"/>
                <w:highlight w:val="none"/>
              </w:rPr>
              <w:t>《水和废水监测分析方法》（第四版）国家环境保护总（2002年）</w:t>
            </w:r>
          </w:p>
        </w:tc>
        <w:tc>
          <w:tcPr>
            <w:tcW w:w="938" w:type="pct"/>
            <w:vAlign w:val="center"/>
          </w:tcPr>
          <w:p w14:paraId="2E8E4A7F">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
                <w:sz w:val="21"/>
                <w:szCs w:val="21"/>
                <w:highlight w:val="none"/>
                <w:shd w:val="clear" w:color="auto" w:fill="FFFFFF"/>
                <w:lang w:bidi="ar"/>
              </w:rPr>
              <w:t>石墨炉</w:t>
            </w:r>
            <w:r>
              <w:rPr>
                <w:rFonts w:ascii="Times New Roman" w:hAnsi="Times New Roman" w:cs="Times New Roman" w:eastAsiaTheme="minorEastAsia"/>
                <w:color w:val="auto"/>
                <w:w w:val="99"/>
                <w:kern w:val="21"/>
                <w:sz w:val="21"/>
                <w:szCs w:val="21"/>
                <w:highlight w:val="none"/>
              </w:rPr>
              <w:t xml:space="preserve">原子吸收分光光度计 </w:t>
            </w:r>
          </w:p>
          <w:p w14:paraId="23CCBA3D">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GA3202</w:t>
            </w:r>
          </w:p>
        </w:tc>
        <w:tc>
          <w:tcPr>
            <w:tcW w:w="703" w:type="pct"/>
            <w:vAlign w:val="center"/>
          </w:tcPr>
          <w:p w14:paraId="00118750">
            <w:pPr>
              <w:widowControl w:val="0"/>
              <w:spacing w:line="320" w:lineRule="exact"/>
              <w:jc w:val="center"/>
              <w:textAlignment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030716010116050008</w:t>
            </w:r>
          </w:p>
        </w:tc>
        <w:tc>
          <w:tcPr>
            <w:tcW w:w="546" w:type="pct"/>
            <w:vAlign w:val="center"/>
          </w:tcPr>
          <w:p w14:paraId="3B80B0AD">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rPr>
              <w:t>0.10</w:t>
            </w:r>
            <w:r>
              <w:rPr>
                <w:rFonts w:ascii="Times New Roman" w:hAnsi="Times New Roman" w:cs="Times New Roman" w:eastAsiaTheme="minorEastAsia"/>
                <w:color w:val="auto"/>
                <w:w w:val="99"/>
                <w:kern w:val="2"/>
                <w:sz w:val="21"/>
                <w:szCs w:val="21"/>
                <w:highlight w:val="none"/>
              </w:rPr>
              <w:t>μg/L</w:t>
            </w:r>
          </w:p>
        </w:tc>
      </w:tr>
      <w:tr w14:paraId="296AD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4070C1B7">
            <w:pPr>
              <w:widowControl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lang w:bidi="ar"/>
              </w:rPr>
            </w:pPr>
            <w:r>
              <w:rPr>
                <w:rFonts w:ascii="Times New Roman" w:hAnsi="Times New Roman" w:cs="Times New Roman" w:eastAsiaTheme="minorEastAsia"/>
                <w:bCs/>
                <w:color w:val="auto"/>
                <w:w w:val="99"/>
                <w:kern w:val="2"/>
                <w:sz w:val="21"/>
                <w:szCs w:val="21"/>
                <w:highlight w:val="none"/>
              </w:rPr>
              <w:t>硫化物</w:t>
            </w:r>
          </w:p>
        </w:tc>
        <w:tc>
          <w:tcPr>
            <w:tcW w:w="1489" w:type="pct"/>
            <w:vAlign w:val="center"/>
          </w:tcPr>
          <w:p w14:paraId="40C4705B">
            <w:pPr>
              <w:widowControl w:val="0"/>
              <w:spacing w:line="320" w:lineRule="exact"/>
              <w:jc w:val="center"/>
              <w:rPr>
                <w:rFonts w:ascii="Times New Roman" w:hAnsi="Times New Roman" w:cs="Times New Roman" w:eastAsiaTheme="minorEastAsia"/>
                <w:bCs/>
                <w:color w:val="auto"/>
                <w:w w:val="99"/>
                <w:kern w:val="2"/>
                <w:sz w:val="21"/>
                <w:szCs w:val="21"/>
                <w:highlight w:val="none"/>
                <w:shd w:val="clear" w:color="auto" w:fill="FFFFFF"/>
              </w:rPr>
            </w:pPr>
            <w:r>
              <w:rPr>
                <w:rFonts w:ascii="Times New Roman" w:hAnsi="Times New Roman" w:cs="Times New Roman" w:eastAsiaTheme="minorEastAsia"/>
                <w:bCs/>
                <w:color w:val="auto"/>
                <w:w w:val="99"/>
                <w:kern w:val="2"/>
                <w:sz w:val="21"/>
                <w:szCs w:val="21"/>
                <w:highlight w:val="none"/>
                <w:shd w:val="clear" w:color="auto" w:fill="FFFFFF"/>
              </w:rPr>
              <w:t>水质 硫化物的测定</w:t>
            </w:r>
          </w:p>
          <w:p w14:paraId="4B173BF5">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shd w:val="clear" w:color="auto" w:fill="FFFFFF"/>
              </w:rPr>
              <w:t>亚甲基蓝分光光度法</w:t>
            </w:r>
          </w:p>
        </w:tc>
        <w:tc>
          <w:tcPr>
            <w:tcW w:w="860" w:type="pct"/>
            <w:vAlign w:val="center"/>
          </w:tcPr>
          <w:p w14:paraId="55640B3B">
            <w:pPr>
              <w:widowControl w:val="0"/>
              <w:spacing w:line="320" w:lineRule="exact"/>
              <w:jc w:val="center"/>
              <w:textAlignment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shd w:val="clear" w:color="auto" w:fill="FFFFFF"/>
              </w:rPr>
              <w:t>HJ1226-2021</w:t>
            </w:r>
          </w:p>
        </w:tc>
        <w:tc>
          <w:tcPr>
            <w:tcW w:w="938" w:type="pct"/>
            <w:vAlign w:val="center"/>
          </w:tcPr>
          <w:p w14:paraId="7A0FBF7B">
            <w:pPr>
              <w:widowControl w:val="0"/>
              <w:spacing w:line="32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bCs/>
                <w:color w:val="auto"/>
                <w:w w:val="99"/>
                <w:kern w:val="21"/>
                <w:sz w:val="21"/>
                <w:szCs w:val="21"/>
                <w:highlight w:val="none"/>
              </w:rPr>
              <w:t xml:space="preserve">可见分光光度计  </w:t>
            </w:r>
            <w:r>
              <w:rPr>
                <w:rFonts w:ascii="Times New Roman" w:hAnsi="Times New Roman" w:cs="Times New Roman" w:eastAsiaTheme="minorEastAsia"/>
                <w:bCs/>
                <w:color w:val="auto"/>
                <w:w w:val="99"/>
                <w:kern w:val="2"/>
                <w:sz w:val="21"/>
                <w:szCs w:val="21"/>
                <w:highlight w:val="none"/>
              </w:rPr>
              <w:t>722N</w:t>
            </w:r>
          </w:p>
        </w:tc>
        <w:tc>
          <w:tcPr>
            <w:tcW w:w="703" w:type="pct"/>
            <w:vAlign w:val="center"/>
          </w:tcPr>
          <w:p w14:paraId="4931C4D9">
            <w:pPr>
              <w:widowControl w:val="0"/>
              <w:spacing w:line="320" w:lineRule="exact"/>
              <w:jc w:val="center"/>
              <w:textAlignment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bCs/>
                <w:color w:val="auto"/>
                <w:w w:val="99"/>
                <w:sz w:val="21"/>
                <w:szCs w:val="21"/>
                <w:highlight w:val="none"/>
                <w:lang w:bidi="ar"/>
              </w:rPr>
              <w:t>070722020222020043</w:t>
            </w:r>
          </w:p>
        </w:tc>
        <w:tc>
          <w:tcPr>
            <w:tcW w:w="546" w:type="pct"/>
            <w:vAlign w:val="center"/>
          </w:tcPr>
          <w:p w14:paraId="155999B8">
            <w:pPr>
              <w:widowControl w:val="0"/>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sz w:val="21"/>
                <w:szCs w:val="21"/>
                <w:highlight w:val="none"/>
              </w:rPr>
              <w:t>0.01</w:t>
            </w:r>
            <w:r>
              <w:rPr>
                <w:rFonts w:ascii="Times New Roman" w:hAnsi="Times New Roman" w:cs="Times New Roman" w:eastAsiaTheme="minorEastAsia"/>
                <w:bCs/>
                <w:color w:val="auto"/>
                <w:w w:val="99"/>
                <w:kern w:val="2"/>
                <w:sz w:val="21"/>
                <w:szCs w:val="21"/>
                <w:highlight w:val="none"/>
              </w:rPr>
              <w:t>mg/L</w:t>
            </w:r>
          </w:p>
        </w:tc>
      </w:tr>
      <w:tr w14:paraId="278DB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02A093A6">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钡</w:t>
            </w:r>
          </w:p>
        </w:tc>
        <w:tc>
          <w:tcPr>
            <w:tcW w:w="1489" w:type="pct"/>
            <w:vAlign w:val="center"/>
          </w:tcPr>
          <w:p w14:paraId="654CEC05">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sz w:val="21"/>
                <w:szCs w:val="21"/>
                <w:highlight w:val="none"/>
                <w:shd w:val="clear" w:color="auto" w:fill="FFFFFF"/>
              </w:rPr>
              <w:t>水质 32种元素的测定 电感耦合等离子体发射光谱法</w:t>
            </w:r>
          </w:p>
        </w:tc>
        <w:tc>
          <w:tcPr>
            <w:tcW w:w="860" w:type="pct"/>
            <w:vAlign w:val="center"/>
          </w:tcPr>
          <w:p w14:paraId="530755CF">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sz w:val="21"/>
                <w:szCs w:val="21"/>
                <w:highlight w:val="none"/>
                <w:shd w:val="clear" w:color="auto" w:fill="FFFFFF"/>
              </w:rPr>
              <w:t>HJ 776-2015 </w:t>
            </w:r>
          </w:p>
        </w:tc>
        <w:tc>
          <w:tcPr>
            <w:tcW w:w="938" w:type="pct"/>
            <w:vAlign w:val="center"/>
          </w:tcPr>
          <w:p w14:paraId="5B73B672">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电感耦合等离子体发射光谱仪</w:t>
            </w:r>
            <w:r>
              <w:rPr>
                <w:rFonts w:ascii="Times New Roman" w:hAnsi="Times New Roman" w:cs="Times New Roman" w:eastAsiaTheme="minorEastAsia"/>
                <w:color w:val="auto"/>
                <w:w w:val="99"/>
                <w:sz w:val="21"/>
                <w:szCs w:val="21"/>
                <w:highlight w:val="none"/>
                <w:lang w:bidi="ar"/>
              </w:rPr>
              <w:t>ICP2100DV</w:t>
            </w:r>
          </w:p>
        </w:tc>
        <w:tc>
          <w:tcPr>
            <w:tcW w:w="703" w:type="pct"/>
            <w:vAlign w:val="center"/>
          </w:tcPr>
          <w:p w14:paraId="012B21DD">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N0800540</w:t>
            </w:r>
          </w:p>
        </w:tc>
        <w:tc>
          <w:tcPr>
            <w:tcW w:w="546" w:type="pct"/>
            <w:vAlign w:val="center"/>
          </w:tcPr>
          <w:p w14:paraId="6EBEC4B8">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1"/>
                <w:sz w:val="21"/>
                <w:szCs w:val="21"/>
                <w:highlight w:val="none"/>
              </w:rPr>
              <w:t>0.01mg/L</w:t>
            </w:r>
          </w:p>
        </w:tc>
      </w:tr>
    </w:tbl>
    <w:p w14:paraId="01EC792C">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（5）监测结果</w:t>
      </w:r>
    </w:p>
    <w:p w14:paraId="67F14E52">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地下水水质现状监测结果见表4.3-9。</w:t>
      </w:r>
    </w:p>
    <w:p w14:paraId="2F56889E">
      <w:pPr>
        <w:widowControl w:val="0"/>
        <w:spacing w:line="440" w:lineRule="exact"/>
        <w:ind w:firstLine="476" w:firstLineChars="200"/>
        <w:rPr>
          <w:rFonts w:hint="eastAsia" w:ascii="Times New Roman" w:hAnsi="Times New Roman" w:cs="Times New Roman" w:eastAsiaTheme="minorEastAsia"/>
          <w:color w:val="auto"/>
          <w:w w:val="99"/>
          <w:highlight w:val="none"/>
          <w:lang w:eastAsia="zh-CN"/>
        </w:rPr>
      </w:pPr>
      <w:r>
        <w:rPr>
          <w:rFonts w:ascii="Times New Roman" w:hAnsi="Times New Roman" w:cs="Times New Roman" w:eastAsiaTheme="minorEastAsia"/>
          <w:b/>
          <w:color w:val="auto"/>
          <w:w w:val="99"/>
          <w:highlight w:val="none"/>
        </w:rPr>
        <w:t xml:space="preserve">表4.3-9   </w:t>
      </w:r>
      <w:r>
        <w:rPr>
          <w:rFonts w:ascii="Times New Roman" w:hAnsi="Times New Roman" w:cs="Times New Roman" w:eastAsiaTheme="minorEastAsia"/>
          <w:b/>
          <w:color w:val="auto"/>
          <w:w w:val="99"/>
          <w:szCs w:val="28"/>
          <w:highlight w:val="none"/>
        </w:rPr>
        <w:t>地下水</w:t>
      </w:r>
      <w:r>
        <w:rPr>
          <w:rFonts w:ascii="Times New Roman" w:hAnsi="Times New Roman" w:cs="Times New Roman" w:eastAsiaTheme="minorEastAsia"/>
          <w:b/>
          <w:color w:val="auto"/>
          <w:w w:val="99"/>
          <w:highlight w:val="none"/>
        </w:rPr>
        <w:t>水质现状监测结果</w:t>
      </w:r>
      <w:r>
        <w:rPr>
          <w:rFonts w:hint="eastAsia" w:ascii="Times New Roman" w:hAnsi="Times New Roman" w:cs="Times New Roman" w:eastAsiaTheme="minorEastAsia"/>
          <w:b/>
          <w:color w:val="auto"/>
          <w:w w:val="99"/>
          <w:highlight w:val="none"/>
          <w:lang w:eastAsia="zh-CN"/>
        </w:rPr>
        <w:t>（</w:t>
      </w:r>
      <w:r>
        <w:rPr>
          <w:rFonts w:hint="eastAsia" w:ascii="Times New Roman" w:hAnsi="Times New Roman" w:cs="Times New Roman" w:eastAsiaTheme="minorEastAsia"/>
          <w:b/>
          <w:color w:val="auto"/>
          <w:w w:val="99"/>
          <w:highlight w:val="none"/>
          <w:lang w:val="en-US" w:eastAsia="zh-CN"/>
        </w:rPr>
        <w:t>引用</w:t>
      </w:r>
      <w:r>
        <w:rPr>
          <w:rFonts w:hint="eastAsia" w:ascii="Times New Roman" w:hAnsi="Times New Roman" w:cs="Times New Roman" w:eastAsiaTheme="minorEastAsia"/>
          <w:b/>
          <w:color w:val="auto"/>
          <w:w w:val="99"/>
          <w:highlight w:val="none"/>
          <w:lang w:eastAsia="zh-CN"/>
        </w:rPr>
        <w:t>）</w:t>
      </w:r>
    </w:p>
    <w:tbl>
      <w:tblPr>
        <w:tblStyle w:val="81"/>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624"/>
        <w:gridCol w:w="1352"/>
        <w:gridCol w:w="1352"/>
        <w:gridCol w:w="1374"/>
        <w:gridCol w:w="1370"/>
        <w:gridCol w:w="1209"/>
      </w:tblGrid>
      <w:tr w14:paraId="4FA9D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25C3E44D">
            <w:pPr>
              <w:spacing w:line="32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w w:val="99"/>
                <w:sz w:val="21"/>
                <w:szCs w:val="21"/>
                <w:highlight w:val="none"/>
              </w:rPr>
              <w:t>监测时间</w:t>
            </w:r>
          </w:p>
        </w:tc>
        <w:tc>
          <w:tcPr>
            <w:tcW w:w="2934" w:type="pct"/>
            <w:gridSpan w:val="4"/>
            <w:tcBorders>
              <w:right w:val="single" w:color="auto" w:sz="4" w:space="0"/>
            </w:tcBorders>
            <w:vAlign w:val="center"/>
          </w:tcPr>
          <w:p w14:paraId="0DE2B731">
            <w:pPr>
              <w:spacing w:line="320" w:lineRule="exact"/>
              <w:jc w:val="center"/>
              <w:rPr>
                <w:rFonts w:ascii="Times New Roman" w:hAnsi="Times New Roman" w:cs="Times New Roman" w:eastAsiaTheme="minorEastAsia"/>
                <w:color w:val="auto"/>
                <w:w w:val="99"/>
                <w:sz w:val="21"/>
                <w:szCs w:val="21"/>
                <w:highlight w:val="none"/>
                <w:lang w:val="zh-CN"/>
              </w:rPr>
            </w:pPr>
            <w:r>
              <w:rPr>
                <w:rFonts w:ascii="Times New Roman" w:hAnsi="Times New Roman" w:cs="Times New Roman" w:eastAsiaTheme="minorEastAsia"/>
                <w:color w:val="auto"/>
                <w:w w:val="99"/>
                <w:sz w:val="21"/>
                <w:szCs w:val="21"/>
                <w:highlight w:val="none"/>
                <w:lang w:val="zh-CN"/>
              </w:rPr>
              <w:t>2025.03.26</w:t>
            </w:r>
          </w:p>
        </w:tc>
        <w:tc>
          <w:tcPr>
            <w:tcW w:w="651" w:type="pct"/>
            <w:vMerge w:val="restart"/>
            <w:tcBorders>
              <w:left w:val="single" w:color="auto" w:sz="4" w:space="0"/>
            </w:tcBorders>
            <w:vAlign w:val="center"/>
          </w:tcPr>
          <w:p w14:paraId="6FA608BB">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zh-CN"/>
              </w:rPr>
              <w:t>标准限值</w:t>
            </w:r>
          </w:p>
        </w:tc>
      </w:tr>
      <w:tr w14:paraId="06C697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40F156C6">
            <w:pPr>
              <w:spacing w:line="32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w w:val="99"/>
                <w:sz w:val="21"/>
                <w:szCs w:val="21"/>
                <w:highlight w:val="none"/>
              </w:rPr>
              <w:t>监测项目</w:t>
            </w:r>
          </w:p>
        </w:tc>
        <w:tc>
          <w:tcPr>
            <w:tcW w:w="728" w:type="pct"/>
            <w:tcBorders>
              <w:right w:val="single" w:color="auto" w:sz="4" w:space="0"/>
            </w:tcBorders>
            <w:vAlign w:val="center"/>
          </w:tcPr>
          <w:p w14:paraId="059AD3E2">
            <w:pPr>
              <w:jc w:val="center"/>
              <w:textAlignment w:val="center"/>
              <w:rPr>
                <w:rFonts w:ascii="Times New Roman" w:hAnsi="Times New Roman" w:cs="Times New Roman"/>
                <w:color w:val="auto"/>
                <w:w w:val="99"/>
                <w:sz w:val="21"/>
                <w:szCs w:val="21"/>
                <w:highlight w:val="none"/>
                <w:lang w:bidi="ar"/>
              </w:rPr>
            </w:pPr>
            <w:r>
              <w:rPr>
                <w:rFonts w:ascii="Times New Roman" w:hAnsi="Times New Roman" w:cs="Times New Roman"/>
                <w:color w:val="auto"/>
                <w:w w:val="99"/>
                <w:sz w:val="21"/>
                <w:szCs w:val="21"/>
                <w:highlight w:val="none"/>
                <w:lang w:bidi="ar"/>
              </w:rPr>
              <w:t>尚家围子屯吕家潜水井</w:t>
            </w:r>
          </w:p>
        </w:tc>
        <w:tc>
          <w:tcPr>
            <w:tcW w:w="728" w:type="pct"/>
            <w:tcBorders>
              <w:left w:val="single" w:color="auto" w:sz="4" w:space="0"/>
            </w:tcBorders>
            <w:vAlign w:val="center"/>
          </w:tcPr>
          <w:p w14:paraId="04FEA20C">
            <w:pPr>
              <w:jc w:val="center"/>
              <w:textAlignment w:val="center"/>
              <w:rPr>
                <w:rFonts w:ascii="Times New Roman" w:hAnsi="Times New Roman" w:cs="Times New Roman"/>
                <w:color w:val="auto"/>
                <w:w w:val="99"/>
                <w:sz w:val="21"/>
                <w:szCs w:val="21"/>
                <w:highlight w:val="none"/>
                <w:lang w:bidi="ar"/>
              </w:rPr>
            </w:pPr>
            <w:r>
              <w:rPr>
                <w:rFonts w:ascii="Times New Roman" w:hAnsi="Times New Roman" w:cs="Times New Roman"/>
                <w:color w:val="auto"/>
                <w:w w:val="99"/>
                <w:sz w:val="21"/>
                <w:szCs w:val="21"/>
                <w:highlight w:val="none"/>
                <w:lang w:bidi="ar"/>
              </w:rPr>
              <w:t>王家围子屯王家潜水井</w:t>
            </w:r>
          </w:p>
        </w:tc>
        <w:tc>
          <w:tcPr>
            <w:tcW w:w="740" w:type="pct"/>
            <w:tcBorders>
              <w:right w:val="single" w:color="auto" w:sz="4" w:space="0"/>
            </w:tcBorders>
            <w:vAlign w:val="center"/>
          </w:tcPr>
          <w:p w14:paraId="379B520B">
            <w:pPr>
              <w:jc w:val="center"/>
              <w:textAlignment w:val="center"/>
              <w:rPr>
                <w:rFonts w:ascii="Times New Roman" w:hAnsi="Times New Roman" w:cs="Times New Roman"/>
                <w:color w:val="auto"/>
                <w:w w:val="99"/>
                <w:sz w:val="21"/>
                <w:szCs w:val="21"/>
                <w:highlight w:val="none"/>
                <w:lang w:bidi="ar"/>
              </w:rPr>
            </w:pPr>
            <w:r>
              <w:rPr>
                <w:rFonts w:ascii="Times New Roman" w:hAnsi="Times New Roman" w:cs="Times New Roman"/>
                <w:color w:val="auto"/>
                <w:w w:val="99"/>
                <w:sz w:val="21"/>
                <w:szCs w:val="21"/>
                <w:highlight w:val="none"/>
                <w:lang w:bidi="ar"/>
              </w:rPr>
              <w:t>杨</w:t>
            </w:r>
            <w:r>
              <w:rPr>
                <w:rFonts w:hint="eastAsia" w:ascii="Times New Roman" w:hAnsi="Times New Roman" w:cs="Times New Roman"/>
                <w:color w:val="auto"/>
                <w:w w:val="99"/>
                <w:sz w:val="21"/>
                <w:szCs w:val="21"/>
                <w:highlight w:val="none"/>
                <w:lang w:bidi="ar"/>
              </w:rPr>
              <w:t>家</w:t>
            </w:r>
            <w:r>
              <w:rPr>
                <w:rFonts w:ascii="Times New Roman" w:hAnsi="Times New Roman" w:cs="Times New Roman"/>
                <w:color w:val="auto"/>
                <w:w w:val="99"/>
                <w:sz w:val="21"/>
                <w:szCs w:val="21"/>
                <w:highlight w:val="none"/>
                <w:lang w:bidi="ar"/>
              </w:rPr>
              <w:t>屯陈家潜水井</w:t>
            </w:r>
          </w:p>
        </w:tc>
        <w:tc>
          <w:tcPr>
            <w:tcW w:w="738" w:type="pct"/>
            <w:tcBorders>
              <w:left w:val="single" w:color="auto" w:sz="4" w:space="0"/>
              <w:right w:val="single" w:color="auto" w:sz="4" w:space="0"/>
            </w:tcBorders>
            <w:vAlign w:val="center"/>
          </w:tcPr>
          <w:p w14:paraId="5CA745DD">
            <w:pPr>
              <w:jc w:val="center"/>
              <w:textAlignment w:val="center"/>
              <w:rPr>
                <w:rFonts w:ascii="Times New Roman" w:hAnsi="Times New Roman" w:cs="Times New Roman"/>
                <w:color w:val="auto"/>
                <w:w w:val="99"/>
                <w:sz w:val="21"/>
                <w:szCs w:val="21"/>
                <w:highlight w:val="none"/>
                <w:lang w:bidi="ar"/>
              </w:rPr>
            </w:pPr>
            <w:r>
              <w:rPr>
                <w:rFonts w:ascii="Times New Roman" w:hAnsi="Times New Roman" w:cs="Times New Roman"/>
                <w:color w:val="auto"/>
                <w:w w:val="99"/>
                <w:sz w:val="21"/>
                <w:szCs w:val="21"/>
                <w:highlight w:val="none"/>
                <w:lang w:bidi="ar"/>
              </w:rPr>
              <w:t>尚家围子屯孙家承压水井</w:t>
            </w:r>
          </w:p>
        </w:tc>
        <w:tc>
          <w:tcPr>
            <w:tcW w:w="651" w:type="pct"/>
            <w:vMerge w:val="continue"/>
            <w:tcBorders>
              <w:left w:val="single" w:color="auto" w:sz="4" w:space="0"/>
            </w:tcBorders>
            <w:vAlign w:val="center"/>
          </w:tcPr>
          <w:p w14:paraId="18300F45">
            <w:pPr>
              <w:spacing w:line="320" w:lineRule="exact"/>
              <w:jc w:val="center"/>
              <w:rPr>
                <w:rFonts w:ascii="Times New Roman" w:hAnsi="Times New Roman" w:cs="Times New Roman" w:eastAsiaTheme="minorEastAsia"/>
                <w:color w:val="auto"/>
                <w:spacing w:val="-20"/>
                <w:w w:val="99"/>
                <w:sz w:val="21"/>
                <w:szCs w:val="21"/>
                <w:highlight w:val="none"/>
              </w:rPr>
            </w:pPr>
          </w:p>
        </w:tc>
      </w:tr>
      <w:tr w14:paraId="5BC54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0BB64209">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K</w:t>
            </w:r>
            <w:r>
              <w:rPr>
                <w:rFonts w:ascii="Times New Roman" w:hAnsi="Times New Roman" w:cs="Times New Roman" w:eastAsiaTheme="minorEastAsia"/>
                <w:color w:val="auto"/>
                <w:w w:val="99"/>
                <w:sz w:val="21"/>
                <w:szCs w:val="21"/>
                <w:highlight w:val="none"/>
                <w:vertAlign w:val="superscript"/>
              </w:rPr>
              <w:t>+</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728" w:type="pct"/>
            <w:vAlign w:val="center"/>
          </w:tcPr>
          <w:p w14:paraId="6A1019DA">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2.40</w:t>
            </w:r>
          </w:p>
        </w:tc>
        <w:tc>
          <w:tcPr>
            <w:tcW w:w="728" w:type="pct"/>
            <w:vAlign w:val="center"/>
          </w:tcPr>
          <w:p w14:paraId="0D0955F6">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2.50</w:t>
            </w:r>
          </w:p>
        </w:tc>
        <w:tc>
          <w:tcPr>
            <w:tcW w:w="740" w:type="pct"/>
            <w:vAlign w:val="center"/>
          </w:tcPr>
          <w:p w14:paraId="3A337909">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1.90</w:t>
            </w:r>
          </w:p>
        </w:tc>
        <w:tc>
          <w:tcPr>
            <w:tcW w:w="738" w:type="pct"/>
            <w:vAlign w:val="center"/>
          </w:tcPr>
          <w:p w14:paraId="63B730B9">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1.10</w:t>
            </w:r>
          </w:p>
        </w:tc>
        <w:tc>
          <w:tcPr>
            <w:tcW w:w="651" w:type="pct"/>
            <w:vAlign w:val="center"/>
          </w:tcPr>
          <w:p w14:paraId="05D51CFA">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0E864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413" w:type="pct"/>
            <w:vAlign w:val="center"/>
          </w:tcPr>
          <w:p w14:paraId="3A72EB77">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Na</w:t>
            </w:r>
            <w:r>
              <w:rPr>
                <w:rFonts w:ascii="Times New Roman" w:hAnsi="Times New Roman" w:cs="Times New Roman" w:eastAsiaTheme="minorEastAsia"/>
                <w:color w:val="auto"/>
                <w:w w:val="99"/>
                <w:sz w:val="21"/>
                <w:szCs w:val="21"/>
                <w:highlight w:val="none"/>
                <w:vertAlign w:val="superscript"/>
              </w:rPr>
              <w:t>+</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728" w:type="pct"/>
            <w:vAlign w:val="center"/>
          </w:tcPr>
          <w:p w14:paraId="65C010FD">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52.7</w:t>
            </w:r>
          </w:p>
        </w:tc>
        <w:tc>
          <w:tcPr>
            <w:tcW w:w="728" w:type="pct"/>
            <w:vAlign w:val="center"/>
          </w:tcPr>
          <w:p w14:paraId="2A2B04BF">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62.2</w:t>
            </w:r>
          </w:p>
        </w:tc>
        <w:tc>
          <w:tcPr>
            <w:tcW w:w="740" w:type="pct"/>
            <w:vAlign w:val="center"/>
          </w:tcPr>
          <w:p w14:paraId="4F61C9DC">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58.8</w:t>
            </w:r>
          </w:p>
        </w:tc>
        <w:tc>
          <w:tcPr>
            <w:tcW w:w="738" w:type="pct"/>
            <w:vAlign w:val="center"/>
          </w:tcPr>
          <w:p w14:paraId="7589D8C8">
            <w:pPr>
              <w:jc w:val="center"/>
              <w:textAlignment w:val="center"/>
              <w:rPr>
                <w:rFonts w:ascii="Times New Roman" w:hAnsi="Times New Roman" w:cs="Times New Roman"/>
                <w:snapToGrid w:val="0"/>
                <w:color w:val="auto"/>
                <w:w w:val="99"/>
                <w:kern w:val="2"/>
                <w:sz w:val="21"/>
                <w:szCs w:val="21"/>
                <w:highlight w:val="none"/>
                <w:lang w:val="zh-CN"/>
              </w:rPr>
            </w:pPr>
            <w:r>
              <w:rPr>
                <w:rFonts w:ascii="Times New Roman" w:hAnsi="Times New Roman" w:cs="Times New Roman"/>
                <w:color w:val="auto"/>
                <w:w w:val="99"/>
                <w:sz w:val="21"/>
                <w:szCs w:val="21"/>
                <w:highlight w:val="none"/>
                <w:lang w:bidi="ar"/>
              </w:rPr>
              <w:t>42.3</w:t>
            </w:r>
          </w:p>
        </w:tc>
        <w:tc>
          <w:tcPr>
            <w:tcW w:w="651" w:type="pct"/>
            <w:vAlign w:val="center"/>
          </w:tcPr>
          <w:p w14:paraId="444E6505">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≤200</w:t>
            </w:r>
          </w:p>
        </w:tc>
      </w:tr>
      <w:tr w14:paraId="0C96C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516F1AC1">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Ca</w:t>
            </w:r>
            <w:r>
              <w:rPr>
                <w:rFonts w:ascii="Times New Roman" w:hAnsi="Times New Roman" w:cs="Times New Roman" w:eastAsiaTheme="minorEastAsia"/>
                <w:color w:val="auto"/>
                <w:w w:val="99"/>
                <w:sz w:val="21"/>
                <w:szCs w:val="21"/>
                <w:highlight w:val="none"/>
                <w:vertAlign w:val="superscript"/>
              </w:rPr>
              <w:t>2+</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728" w:type="pct"/>
            <w:vAlign w:val="center"/>
          </w:tcPr>
          <w:p w14:paraId="2E6239C1">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46.3</w:t>
            </w:r>
          </w:p>
        </w:tc>
        <w:tc>
          <w:tcPr>
            <w:tcW w:w="728" w:type="pct"/>
            <w:vAlign w:val="center"/>
          </w:tcPr>
          <w:p w14:paraId="1DE78CD5">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52.3</w:t>
            </w:r>
          </w:p>
        </w:tc>
        <w:tc>
          <w:tcPr>
            <w:tcW w:w="740" w:type="pct"/>
            <w:vAlign w:val="center"/>
          </w:tcPr>
          <w:p w14:paraId="5712783B">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48.3</w:t>
            </w:r>
          </w:p>
        </w:tc>
        <w:tc>
          <w:tcPr>
            <w:tcW w:w="738" w:type="pct"/>
            <w:vAlign w:val="center"/>
          </w:tcPr>
          <w:p w14:paraId="7A9B59C1">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34.5</w:t>
            </w:r>
          </w:p>
        </w:tc>
        <w:tc>
          <w:tcPr>
            <w:tcW w:w="651" w:type="pct"/>
            <w:vAlign w:val="center"/>
          </w:tcPr>
          <w:p w14:paraId="34CF37A7">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55D8E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0EC10652">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Mg</w:t>
            </w:r>
            <w:r>
              <w:rPr>
                <w:rFonts w:ascii="Times New Roman" w:hAnsi="Times New Roman" w:cs="Times New Roman" w:eastAsiaTheme="minorEastAsia"/>
                <w:color w:val="auto"/>
                <w:w w:val="99"/>
                <w:sz w:val="21"/>
                <w:szCs w:val="21"/>
                <w:highlight w:val="none"/>
                <w:vertAlign w:val="superscript"/>
              </w:rPr>
              <w:t>2+</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728" w:type="pct"/>
            <w:vAlign w:val="center"/>
          </w:tcPr>
          <w:p w14:paraId="1E1C33CF">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9.50</w:t>
            </w:r>
          </w:p>
        </w:tc>
        <w:tc>
          <w:tcPr>
            <w:tcW w:w="728" w:type="pct"/>
            <w:vAlign w:val="center"/>
          </w:tcPr>
          <w:p w14:paraId="7CFAE0CC">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10.7</w:t>
            </w:r>
          </w:p>
        </w:tc>
        <w:tc>
          <w:tcPr>
            <w:tcW w:w="740" w:type="pct"/>
            <w:vAlign w:val="center"/>
          </w:tcPr>
          <w:p w14:paraId="3F8EEB0B">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9.70</w:t>
            </w:r>
          </w:p>
        </w:tc>
        <w:tc>
          <w:tcPr>
            <w:tcW w:w="738" w:type="pct"/>
            <w:vAlign w:val="center"/>
          </w:tcPr>
          <w:p w14:paraId="68DBE56D">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6.20</w:t>
            </w:r>
          </w:p>
        </w:tc>
        <w:tc>
          <w:tcPr>
            <w:tcW w:w="651" w:type="pct"/>
            <w:vAlign w:val="center"/>
          </w:tcPr>
          <w:p w14:paraId="56FD7E08">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1E73A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7D2D579F">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HCO</w:t>
            </w:r>
            <w:r>
              <w:rPr>
                <w:rFonts w:ascii="Times New Roman" w:hAnsi="Times New Roman" w:cs="Times New Roman" w:eastAsiaTheme="minorEastAsia"/>
                <w:color w:val="auto"/>
                <w:w w:val="99"/>
                <w:sz w:val="21"/>
                <w:szCs w:val="21"/>
                <w:highlight w:val="none"/>
                <w:vertAlign w:val="subscript"/>
              </w:rPr>
              <w:t>3</w:t>
            </w:r>
            <w:r>
              <w:rPr>
                <w:rFonts w:ascii="Times New Roman" w:hAnsi="Times New Roman" w:cs="Times New Roman" w:eastAsiaTheme="minorEastAsia"/>
                <w:color w:val="auto"/>
                <w:w w:val="99"/>
                <w:sz w:val="21"/>
                <w:szCs w:val="21"/>
                <w:highlight w:val="none"/>
                <w:vertAlign w:val="superscript"/>
              </w:rPr>
              <w:t>-</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728" w:type="pct"/>
            <w:vAlign w:val="center"/>
          </w:tcPr>
          <w:p w14:paraId="4F875DE1">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214</w:t>
            </w:r>
          </w:p>
        </w:tc>
        <w:tc>
          <w:tcPr>
            <w:tcW w:w="728" w:type="pct"/>
            <w:vAlign w:val="center"/>
          </w:tcPr>
          <w:p w14:paraId="2AAC989C">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245</w:t>
            </w:r>
          </w:p>
        </w:tc>
        <w:tc>
          <w:tcPr>
            <w:tcW w:w="740" w:type="pct"/>
            <w:vAlign w:val="center"/>
          </w:tcPr>
          <w:p w14:paraId="3A675A16">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221</w:t>
            </w:r>
          </w:p>
        </w:tc>
        <w:tc>
          <w:tcPr>
            <w:tcW w:w="738" w:type="pct"/>
            <w:vAlign w:val="center"/>
          </w:tcPr>
          <w:p w14:paraId="29F7C76C">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163</w:t>
            </w:r>
          </w:p>
        </w:tc>
        <w:tc>
          <w:tcPr>
            <w:tcW w:w="651" w:type="pct"/>
            <w:vAlign w:val="center"/>
          </w:tcPr>
          <w:p w14:paraId="21AA5460">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35B4D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56E93E5A">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CO</w:t>
            </w:r>
            <w:r>
              <w:rPr>
                <w:rFonts w:ascii="Times New Roman" w:hAnsi="Times New Roman" w:cs="Times New Roman" w:eastAsiaTheme="minorEastAsia"/>
                <w:color w:val="auto"/>
                <w:w w:val="99"/>
                <w:sz w:val="21"/>
                <w:szCs w:val="21"/>
                <w:highlight w:val="none"/>
                <w:vertAlign w:val="subscript"/>
              </w:rPr>
              <w:t>3</w:t>
            </w:r>
            <w:r>
              <w:rPr>
                <w:rFonts w:ascii="Times New Roman" w:hAnsi="Times New Roman" w:cs="Times New Roman" w:eastAsiaTheme="minorEastAsia"/>
                <w:color w:val="auto"/>
                <w:w w:val="99"/>
                <w:sz w:val="21"/>
                <w:szCs w:val="21"/>
                <w:highlight w:val="none"/>
                <w:vertAlign w:val="superscript"/>
              </w:rPr>
              <w:t>2-</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728" w:type="pct"/>
            <w:vAlign w:val="center"/>
          </w:tcPr>
          <w:p w14:paraId="4D09F8C8">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5L</w:t>
            </w:r>
          </w:p>
        </w:tc>
        <w:tc>
          <w:tcPr>
            <w:tcW w:w="728" w:type="pct"/>
            <w:vAlign w:val="center"/>
          </w:tcPr>
          <w:p w14:paraId="374CCA39">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5L</w:t>
            </w:r>
          </w:p>
        </w:tc>
        <w:tc>
          <w:tcPr>
            <w:tcW w:w="740" w:type="pct"/>
            <w:vAlign w:val="center"/>
          </w:tcPr>
          <w:p w14:paraId="17F6AEB9">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5L</w:t>
            </w:r>
          </w:p>
        </w:tc>
        <w:tc>
          <w:tcPr>
            <w:tcW w:w="738" w:type="pct"/>
            <w:vAlign w:val="center"/>
          </w:tcPr>
          <w:p w14:paraId="6D99A3A8">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5L</w:t>
            </w:r>
          </w:p>
        </w:tc>
        <w:tc>
          <w:tcPr>
            <w:tcW w:w="651" w:type="pct"/>
            <w:vAlign w:val="center"/>
          </w:tcPr>
          <w:p w14:paraId="3A284391">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23A03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76661386">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Cl</w:t>
            </w:r>
            <w:r>
              <w:rPr>
                <w:rFonts w:ascii="Times New Roman" w:hAnsi="Times New Roman" w:cs="Times New Roman" w:eastAsiaTheme="minorEastAsia"/>
                <w:color w:val="auto"/>
                <w:w w:val="99"/>
                <w:sz w:val="21"/>
                <w:szCs w:val="21"/>
                <w:highlight w:val="none"/>
                <w:vertAlign w:val="superscript"/>
              </w:rPr>
              <w:t>-</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728" w:type="pct"/>
            <w:vAlign w:val="center"/>
          </w:tcPr>
          <w:p w14:paraId="4507E242">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48.5</w:t>
            </w:r>
          </w:p>
        </w:tc>
        <w:tc>
          <w:tcPr>
            <w:tcW w:w="728" w:type="pct"/>
            <w:vAlign w:val="center"/>
          </w:tcPr>
          <w:p w14:paraId="739E9495">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51.1</w:t>
            </w:r>
          </w:p>
        </w:tc>
        <w:tc>
          <w:tcPr>
            <w:tcW w:w="740" w:type="pct"/>
            <w:vAlign w:val="center"/>
          </w:tcPr>
          <w:p w14:paraId="25B6FB90">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47.2</w:t>
            </w:r>
          </w:p>
        </w:tc>
        <w:tc>
          <w:tcPr>
            <w:tcW w:w="738" w:type="pct"/>
            <w:vAlign w:val="center"/>
          </w:tcPr>
          <w:p w14:paraId="77DD7849">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36.5</w:t>
            </w:r>
          </w:p>
        </w:tc>
        <w:tc>
          <w:tcPr>
            <w:tcW w:w="651" w:type="pct"/>
            <w:vAlign w:val="center"/>
          </w:tcPr>
          <w:p w14:paraId="065C7279">
            <w:pPr>
              <w:spacing w:line="32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w w:val="99"/>
                <w:sz w:val="21"/>
                <w:szCs w:val="21"/>
                <w:highlight w:val="none"/>
              </w:rPr>
              <w:t>≤</w:t>
            </w:r>
            <w:r>
              <w:rPr>
                <w:rFonts w:ascii="Times New Roman" w:hAnsi="Times New Roman" w:cs="Times New Roman" w:eastAsiaTheme="minorEastAsia"/>
                <w:color w:val="auto"/>
                <w:spacing w:val="-20"/>
                <w:w w:val="99"/>
                <w:sz w:val="21"/>
                <w:szCs w:val="21"/>
                <w:highlight w:val="none"/>
              </w:rPr>
              <w:t>250</w:t>
            </w:r>
          </w:p>
        </w:tc>
      </w:tr>
      <w:tr w14:paraId="6CE78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54C86157">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4</w:t>
            </w:r>
            <w:r>
              <w:rPr>
                <w:rFonts w:ascii="Times New Roman" w:hAnsi="Times New Roman" w:cs="Times New Roman" w:eastAsiaTheme="minorEastAsia"/>
                <w:color w:val="auto"/>
                <w:w w:val="99"/>
                <w:sz w:val="21"/>
                <w:szCs w:val="21"/>
                <w:highlight w:val="none"/>
                <w:vertAlign w:val="superscript"/>
              </w:rPr>
              <w:t>2-</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728" w:type="pct"/>
            <w:vAlign w:val="center"/>
          </w:tcPr>
          <w:p w14:paraId="264B36C6">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36.7</w:t>
            </w:r>
          </w:p>
        </w:tc>
        <w:tc>
          <w:tcPr>
            <w:tcW w:w="728" w:type="pct"/>
            <w:vAlign w:val="center"/>
          </w:tcPr>
          <w:p w14:paraId="2ACA73CD">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46.2</w:t>
            </w:r>
          </w:p>
        </w:tc>
        <w:tc>
          <w:tcPr>
            <w:tcW w:w="740" w:type="pct"/>
            <w:vAlign w:val="center"/>
          </w:tcPr>
          <w:p w14:paraId="33C94A41">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35.5</w:t>
            </w:r>
          </w:p>
        </w:tc>
        <w:tc>
          <w:tcPr>
            <w:tcW w:w="738" w:type="pct"/>
            <w:vAlign w:val="center"/>
          </w:tcPr>
          <w:p w14:paraId="4C325DBA">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lang w:bidi="ar"/>
              </w:rPr>
              <w:t>24.7</w:t>
            </w:r>
          </w:p>
        </w:tc>
        <w:tc>
          <w:tcPr>
            <w:tcW w:w="651" w:type="pct"/>
            <w:vAlign w:val="center"/>
          </w:tcPr>
          <w:p w14:paraId="434298AA">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r>
              <w:rPr>
                <w:rFonts w:ascii="Times New Roman" w:hAnsi="Times New Roman" w:cs="Times New Roman" w:eastAsiaTheme="minorEastAsia"/>
                <w:color w:val="auto"/>
                <w:spacing w:val="-20"/>
                <w:w w:val="99"/>
                <w:sz w:val="21"/>
                <w:szCs w:val="21"/>
                <w:highlight w:val="none"/>
              </w:rPr>
              <w:t>250</w:t>
            </w:r>
          </w:p>
        </w:tc>
      </w:tr>
      <w:tr w14:paraId="5D731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085C4FD9">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pH</w:t>
            </w:r>
            <w:r>
              <w:rPr>
                <w:rFonts w:ascii="Times New Roman" w:hAnsi="Times New Roman" w:cs="Times New Roman" w:eastAsiaTheme="minorEastAsia"/>
                <w:color w:val="auto"/>
                <w:w w:val="99"/>
                <w:sz w:val="21"/>
                <w:szCs w:val="21"/>
                <w:highlight w:val="none"/>
                <w:lang w:val="zh-CN"/>
              </w:rPr>
              <w:t>（无量纲）</w:t>
            </w:r>
          </w:p>
        </w:tc>
        <w:tc>
          <w:tcPr>
            <w:tcW w:w="728" w:type="pct"/>
            <w:vAlign w:val="center"/>
          </w:tcPr>
          <w:p w14:paraId="586FDC05">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kern w:val="2"/>
                <w:sz w:val="21"/>
                <w:szCs w:val="21"/>
                <w:highlight w:val="none"/>
              </w:rPr>
              <w:t>7.7</w:t>
            </w:r>
          </w:p>
        </w:tc>
        <w:tc>
          <w:tcPr>
            <w:tcW w:w="728" w:type="pct"/>
            <w:vAlign w:val="center"/>
          </w:tcPr>
          <w:p w14:paraId="21423F35">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kern w:val="2"/>
                <w:sz w:val="21"/>
                <w:szCs w:val="21"/>
                <w:highlight w:val="none"/>
              </w:rPr>
              <w:t>7.6</w:t>
            </w:r>
          </w:p>
        </w:tc>
        <w:tc>
          <w:tcPr>
            <w:tcW w:w="740" w:type="pct"/>
            <w:vAlign w:val="center"/>
          </w:tcPr>
          <w:p w14:paraId="057FA2C8">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kern w:val="2"/>
                <w:sz w:val="21"/>
                <w:szCs w:val="21"/>
                <w:highlight w:val="none"/>
              </w:rPr>
              <w:t>7.7</w:t>
            </w:r>
          </w:p>
        </w:tc>
        <w:tc>
          <w:tcPr>
            <w:tcW w:w="738" w:type="pct"/>
            <w:vAlign w:val="center"/>
          </w:tcPr>
          <w:p w14:paraId="0C9493EC">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kern w:val="2"/>
                <w:sz w:val="21"/>
                <w:szCs w:val="21"/>
                <w:highlight w:val="none"/>
              </w:rPr>
              <w:t>7.5</w:t>
            </w:r>
          </w:p>
        </w:tc>
        <w:tc>
          <w:tcPr>
            <w:tcW w:w="651" w:type="pct"/>
            <w:vAlign w:val="center"/>
          </w:tcPr>
          <w:p w14:paraId="3AFB803A">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6.5～8.5</w:t>
            </w:r>
          </w:p>
        </w:tc>
      </w:tr>
      <w:tr w14:paraId="30868C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22BE0F93">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总硬度</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728" w:type="pct"/>
            <w:vAlign w:val="center"/>
          </w:tcPr>
          <w:p w14:paraId="70684A59">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kern w:val="2"/>
                <w:sz w:val="21"/>
                <w:szCs w:val="21"/>
                <w:highlight w:val="none"/>
              </w:rPr>
              <w:t>155</w:t>
            </w:r>
          </w:p>
        </w:tc>
        <w:tc>
          <w:tcPr>
            <w:tcW w:w="728" w:type="pct"/>
            <w:vAlign w:val="center"/>
          </w:tcPr>
          <w:p w14:paraId="51E3DE23">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kern w:val="2"/>
                <w:sz w:val="21"/>
                <w:szCs w:val="21"/>
                <w:highlight w:val="none"/>
              </w:rPr>
              <w:t>175</w:t>
            </w:r>
          </w:p>
        </w:tc>
        <w:tc>
          <w:tcPr>
            <w:tcW w:w="740" w:type="pct"/>
            <w:vAlign w:val="center"/>
          </w:tcPr>
          <w:p w14:paraId="2DCDB5DD">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kern w:val="2"/>
                <w:sz w:val="21"/>
                <w:szCs w:val="21"/>
                <w:highlight w:val="none"/>
              </w:rPr>
              <w:t>161</w:t>
            </w:r>
          </w:p>
        </w:tc>
        <w:tc>
          <w:tcPr>
            <w:tcW w:w="738" w:type="pct"/>
            <w:vAlign w:val="center"/>
          </w:tcPr>
          <w:p w14:paraId="47C6AE42">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kern w:val="2"/>
                <w:sz w:val="21"/>
                <w:szCs w:val="21"/>
                <w:highlight w:val="none"/>
              </w:rPr>
              <w:t>112</w:t>
            </w:r>
          </w:p>
        </w:tc>
        <w:tc>
          <w:tcPr>
            <w:tcW w:w="651" w:type="pct"/>
            <w:vAlign w:val="center"/>
          </w:tcPr>
          <w:p w14:paraId="2C18050D">
            <w:pPr>
              <w:widowControl w:val="0"/>
              <w:adjustRightInd w:val="0"/>
              <w:spacing w:line="320" w:lineRule="exact"/>
              <w:jc w:val="center"/>
              <w:textAlignment w:val="baseline"/>
              <w:rPr>
                <w:rFonts w:ascii="Times New Roman" w:hAnsi="Times New Roman" w:cs="Times New Roman" w:eastAsiaTheme="minorEastAsia"/>
                <w:color w:val="auto"/>
                <w:w w:val="99"/>
                <w:kern w:val="21"/>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≤450</w:t>
            </w:r>
          </w:p>
        </w:tc>
      </w:tr>
      <w:tr w14:paraId="05C92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34D66BD3">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溶解性总固体</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728" w:type="pct"/>
            <w:vAlign w:val="center"/>
          </w:tcPr>
          <w:p w14:paraId="20F35552">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kern w:val="2"/>
                <w:sz w:val="21"/>
                <w:szCs w:val="21"/>
                <w:highlight w:val="none"/>
              </w:rPr>
              <w:t>488</w:t>
            </w:r>
          </w:p>
        </w:tc>
        <w:tc>
          <w:tcPr>
            <w:tcW w:w="728" w:type="pct"/>
            <w:vAlign w:val="center"/>
          </w:tcPr>
          <w:p w14:paraId="1B8445FA">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kern w:val="2"/>
                <w:sz w:val="21"/>
                <w:szCs w:val="21"/>
                <w:highlight w:val="none"/>
              </w:rPr>
              <w:t>558</w:t>
            </w:r>
          </w:p>
        </w:tc>
        <w:tc>
          <w:tcPr>
            <w:tcW w:w="740" w:type="pct"/>
            <w:vAlign w:val="center"/>
          </w:tcPr>
          <w:p w14:paraId="3C7D4B2E">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kern w:val="2"/>
                <w:sz w:val="21"/>
                <w:szCs w:val="21"/>
                <w:highlight w:val="none"/>
              </w:rPr>
              <w:t>503</w:t>
            </w:r>
          </w:p>
        </w:tc>
        <w:tc>
          <w:tcPr>
            <w:tcW w:w="738" w:type="pct"/>
            <w:vAlign w:val="center"/>
          </w:tcPr>
          <w:p w14:paraId="2DBA08DE">
            <w:pPr>
              <w:jc w:val="center"/>
              <w:textAlignment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kern w:val="2"/>
                <w:sz w:val="21"/>
                <w:szCs w:val="21"/>
                <w:highlight w:val="none"/>
              </w:rPr>
              <w:t>364</w:t>
            </w:r>
          </w:p>
        </w:tc>
        <w:tc>
          <w:tcPr>
            <w:tcW w:w="651" w:type="pct"/>
            <w:vAlign w:val="center"/>
          </w:tcPr>
          <w:p w14:paraId="54F2E85E">
            <w:pPr>
              <w:spacing w:line="320" w:lineRule="exact"/>
              <w:jc w:val="center"/>
              <w:textAlignment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rPr>
              <w:t>≤1000</w:t>
            </w:r>
          </w:p>
        </w:tc>
      </w:tr>
      <w:tr w14:paraId="0DE10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121FA5FA">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耗氧量</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728" w:type="pct"/>
            <w:vAlign w:val="center"/>
          </w:tcPr>
          <w:p w14:paraId="632F1287">
            <w:pPr>
              <w:adjustRightInd w:val="0"/>
              <w:snapToGrid w:val="0"/>
              <w:spacing w:line="280" w:lineRule="exact"/>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kern w:val="2"/>
                <w:sz w:val="21"/>
                <w:szCs w:val="21"/>
                <w:highlight w:val="none"/>
              </w:rPr>
              <w:t>2.2</w:t>
            </w:r>
          </w:p>
        </w:tc>
        <w:tc>
          <w:tcPr>
            <w:tcW w:w="728" w:type="pct"/>
            <w:vAlign w:val="center"/>
          </w:tcPr>
          <w:p w14:paraId="707DB256">
            <w:pPr>
              <w:adjustRightInd w:val="0"/>
              <w:snapToGrid w:val="0"/>
              <w:spacing w:line="280" w:lineRule="exact"/>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kern w:val="2"/>
                <w:sz w:val="21"/>
                <w:szCs w:val="21"/>
                <w:highlight w:val="none"/>
              </w:rPr>
              <w:t>1.9</w:t>
            </w:r>
          </w:p>
        </w:tc>
        <w:tc>
          <w:tcPr>
            <w:tcW w:w="740" w:type="pct"/>
            <w:vAlign w:val="center"/>
          </w:tcPr>
          <w:p w14:paraId="212F7C5D">
            <w:pPr>
              <w:adjustRightInd w:val="0"/>
              <w:snapToGrid w:val="0"/>
              <w:spacing w:line="280" w:lineRule="exact"/>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kern w:val="2"/>
                <w:sz w:val="21"/>
                <w:szCs w:val="21"/>
                <w:highlight w:val="none"/>
              </w:rPr>
              <w:t>2.0</w:t>
            </w:r>
          </w:p>
        </w:tc>
        <w:tc>
          <w:tcPr>
            <w:tcW w:w="738" w:type="pct"/>
            <w:vAlign w:val="center"/>
          </w:tcPr>
          <w:p w14:paraId="35C2BDA6">
            <w:pPr>
              <w:adjustRightInd w:val="0"/>
              <w:snapToGrid w:val="0"/>
              <w:spacing w:line="280" w:lineRule="exact"/>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kern w:val="2"/>
                <w:sz w:val="21"/>
                <w:szCs w:val="21"/>
                <w:highlight w:val="none"/>
              </w:rPr>
              <w:t>1.6</w:t>
            </w:r>
          </w:p>
        </w:tc>
        <w:tc>
          <w:tcPr>
            <w:tcW w:w="651" w:type="pct"/>
            <w:vAlign w:val="center"/>
          </w:tcPr>
          <w:p w14:paraId="0AF2562F">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≤3.0</w:t>
            </w:r>
          </w:p>
        </w:tc>
      </w:tr>
      <w:tr w14:paraId="11276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0D5C26D8">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挥发性酚类</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728" w:type="pct"/>
            <w:vAlign w:val="center"/>
          </w:tcPr>
          <w:p w14:paraId="234AE03F">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0.0003L</w:t>
            </w:r>
          </w:p>
        </w:tc>
        <w:tc>
          <w:tcPr>
            <w:tcW w:w="728" w:type="pct"/>
            <w:vAlign w:val="center"/>
          </w:tcPr>
          <w:p w14:paraId="5B9BB371">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0.0003L</w:t>
            </w:r>
          </w:p>
        </w:tc>
        <w:tc>
          <w:tcPr>
            <w:tcW w:w="740" w:type="pct"/>
            <w:vAlign w:val="center"/>
          </w:tcPr>
          <w:p w14:paraId="7F3FEC22">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0.0003L</w:t>
            </w:r>
          </w:p>
        </w:tc>
        <w:tc>
          <w:tcPr>
            <w:tcW w:w="738" w:type="pct"/>
            <w:vAlign w:val="center"/>
          </w:tcPr>
          <w:p w14:paraId="5252DEBE">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0.0003L</w:t>
            </w:r>
          </w:p>
        </w:tc>
        <w:tc>
          <w:tcPr>
            <w:tcW w:w="651" w:type="pct"/>
            <w:vAlign w:val="center"/>
          </w:tcPr>
          <w:p w14:paraId="50380BBE">
            <w:pPr>
              <w:widowControl w:val="0"/>
              <w:adjustRightInd w:val="0"/>
              <w:spacing w:line="320" w:lineRule="exact"/>
              <w:jc w:val="center"/>
              <w:textAlignment w:val="baseline"/>
              <w:rPr>
                <w:rFonts w:ascii="Times New Roman" w:hAnsi="Times New Roman" w:cs="Times New Roman" w:eastAsiaTheme="minorEastAsia"/>
                <w:color w:val="auto"/>
                <w:w w:val="99"/>
                <w:kern w:val="21"/>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≤0.002</w:t>
            </w:r>
          </w:p>
        </w:tc>
      </w:tr>
      <w:tr w14:paraId="746AF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2FB557D7">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氰化物</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728" w:type="pct"/>
            <w:vAlign w:val="center"/>
          </w:tcPr>
          <w:p w14:paraId="5AF7B303">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0.004L</w:t>
            </w:r>
          </w:p>
        </w:tc>
        <w:tc>
          <w:tcPr>
            <w:tcW w:w="728" w:type="pct"/>
            <w:vAlign w:val="center"/>
          </w:tcPr>
          <w:p w14:paraId="43CF8207">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0.004L</w:t>
            </w:r>
          </w:p>
        </w:tc>
        <w:tc>
          <w:tcPr>
            <w:tcW w:w="740" w:type="pct"/>
            <w:vAlign w:val="center"/>
          </w:tcPr>
          <w:p w14:paraId="0ABC0CE7">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0.004L</w:t>
            </w:r>
          </w:p>
        </w:tc>
        <w:tc>
          <w:tcPr>
            <w:tcW w:w="738" w:type="pct"/>
            <w:vAlign w:val="center"/>
          </w:tcPr>
          <w:p w14:paraId="6B47C2E5">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0.004L</w:t>
            </w:r>
          </w:p>
        </w:tc>
        <w:tc>
          <w:tcPr>
            <w:tcW w:w="651" w:type="pct"/>
            <w:vAlign w:val="center"/>
          </w:tcPr>
          <w:p w14:paraId="3B0CC83F">
            <w:pPr>
              <w:widowControl w:val="0"/>
              <w:adjustRightInd w:val="0"/>
              <w:spacing w:line="320" w:lineRule="exact"/>
              <w:jc w:val="center"/>
              <w:textAlignment w:val="baseline"/>
              <w:rPr>
                <w:rFonts w:ascii="Times New Roman" w:hAnsi="Times New Roman" w:cs="Times New Roman" w:eastAsiaTheme="minorEastAsia"/>
                <w:color w:val="auto"/>
                <w:w w:val="99"/>
                <w:kern w:val="21"/>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≤0.05</w:t>
            </w:r>
          </w:p>
        </w:tc>
      </w:tr>
      <w:tr w14:paraId="0A18B0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46DA50A3">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氟化物</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728" w:type="pct"/>
            <w:vAlign w:val="center"/>
          </w:tcPr>
          <w:p w14:paraId="40545DF3">
            <w:pPr>
              <w:adjustRightInd w:val="0"/>
              <w:snapToGrid w:val="0"/>
              <w:spacing w:line="280" w:lineRule="exact"/>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0.505</w:t>
            </w:r>
          </w:p>
        </w:tc>
        <w:tc>
          <w:tcPr>
            <w:tcW w:w="728" w:type="pct"/>
            <w:vAlign w:val="center"/>
          </w:tcPr>
          <w:p w14:paraId="77124ACE">
            <w:pPr>
              <w:adjustRightInd w:val="0"/>
              <w:snapToGrid w:val="0"/>
              <w:spacing w:line="280" w:lineRule="exact"/>
              <w:jc w:val="center"/>
              <w:rPr>
                <w:rFonts w:ascii="Times New Roman" w:hAnsi="Times New Roman" w:cs="Times New Roman"/>
                <w:snapToGrid w:val="0"/>
                <w:color w:val="auto"/>
                <w:w w:val="99"/>
                <w:kern w:val="2"/>
                <w:sz w:val="21"/>
                <w:szCs w:val="21"/>
                <w:highlight w:val="none"/>
              </w:rPr>
            </w:pPr>
            <w:r>
              <w:rPr>
                <w:rFonts w:hint="eastAsia" w:ascii="Times New Roman" w:hAnsi="Times New Roman" w:cs="Times New Roman"/>
                <w:color w:val="auto"/>
                <w:w w:val="99"/>
                <w:sz w:val="21"/>
                <w:szCs w:val="21"/>
                <w:highlight w:val="none"/>
              </w:rPr>
              <w:t>0.2676</w:t>
            </w:r>
          </w:p>
        </w:tc>
        <w:tc>
          <w:tcPr>
            <w:tcW w:w="740" w:type="pct"/>
            <w:vAlign w:val="center"/>
          </w:tcPr>
          <w:p w14:paraId="13CCB19B">
            <w:pPr>
              <w:adjustRightInd w:val="0"/>
              <w:snapToGrid w:val="0"/>
              <w:spacing w:line="280" w:lineRule="exact"/>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0.524</w:t>
            </w:r>
          </w:p>
        </w:tc>
        <w:tc>
          <w:tcPr>
            <w:tcW w:w="738" w:type="pct"/>
            <w:vAlign w:val="center"/>
          </w:tcPr>
          <w:p w14:paraId="2EC64906">
            <w:pPr>
              <w:adjustRightInd w:val="0"/>
              <w:snapToGrid w:val="0"/>
              <w:spacing w:line="280" w:lineRule="exact"/>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0.138</w:t>
            </w:r>
          </w:p>
        </w:tc>
        <w:tc>
          <w:tcPr>
            <w:tcW w:w="651" w:type="pct"/>
            <w:vAlign w:val="center"/>
          </w:tcPr>
          <w:p w14:paraId="07EC2A20">
            <w:pPr>
              <w:widowControl w:val="0"/>
              <w:adjustRightInd w:val="0"/>
              <w:spacing w:line="320" w:lineRule="exact"/>
              <w:jc w:val="center"/>
              <w:textAlignment w:val="baseline"/>
              <w:rPr>
                <w:rFonts w:ascii="Times New Roman" w:hAnsi="Times New Roman" w:cs="Times New Roman" w:eastAsiaTheme="minorEastAsia"/>
                <w:color w:val="auto"/>
                <w:w w:val="99"/>
                <w:kern w:val="21"/>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≤1.0</w:t>
            </w:r>
          </w:p>
        </w:tc>
      </w:tr>
      <w:tr w14:paraId="2C988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7047F00D">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硝酸盐</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728" w:type="pct"/>
            <w:vAlign w:val="center"/>
          </w:tcPr>
          <w:p w14:paraId="12D103E8">
            <w:pPr>
              <w:adjustRightInd w:val="0"/>
              <w:snapToGrid w:val="0"/>
              <w:spacing w:line="280" w:lineRule="exact"/>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2.17</w:t>
            </w:r>
          </w:p>
        </w:tc>
        <w:tc>
          <w:tcPr>
            <w:tcW w:w="728" w:type="pct"/>
            <w:vAlign w:val="center"/>
          </w:tcPr>
          <w:p w14:paraId="5CC89317">
            <w:pPr>
              <w:adjustRightInd w:val="0"/>
              <w:snapToGrid w:val="0"/>
              <w:spacing w:line="280" w:lineRule="exact"/>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1.85</w:t>
            </w:r>
          </w:p>
        </w:tc>
        <w:tc>
          <w:tcPr>
            <w:tcW w:w="740" w:type="pct"/>
            <w:vAlign w:val="center"/>
          </w:tcPr>
          <w:p w14:paraId="15BFC82D">
            <w:pPr>
              <w:adjustRightInd w:val="0"/>
              <w:snapToGrid w:val="0"/>
              <w:spacing w:line="280" w:lineRule="exact"/>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2.07</w:t>
            </w:r>
          </w:p>
        </w:tc>
        <w:tc>
          <w:tcPr>
            <w:tcW w:w="738" w:type="pct"/>
            <w:vAlign w:val="center"/>
          </w:tcPr>
          <w:p w14:paraId="796F329F">
            <w:pPr>
              <w:adjustRightInd w:val="0"/>
              <w:snapToGrid w:val="0"/>
              <w:spacing w:line="280" w:lineRule="exact"/>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1.25</w:t>
            </w:r>
          </w:p>
        </w:tc>
        <w:tc>
          <w:tcPr>
            <w:tcW w:w="651" w:type="pct"/>
            <w:vAlign w:val="center"/>
          </w:tcPr>
          <w:p w14:paraId="39F5FA85">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≤20</w:t>
            </w:r>
          </w:p>
        </w:tc>
      </w:tr>
      <w:tr w14:paraId="5B276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721D27B4">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亚硝酸盐</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728" w:type="pct"/>
            <w:vAlign w:val="center"/>
          </w:tcPr>
          <w:p w14:paraId="638929FC">
            <w:pPr>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0.003L</w:t>
            </w:r>
          </w:p>
        </w:tc>
        <w:tc>
          <w:tcPr>
            <w:tcW w:w="728" w:type="pct"/>
            <w:vAlign w:val="center"/>
          </w:tcPr>
          <w:p w14:paraId="05BF2838">
            <w:pPr>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0.003L</w:t>
            </w:r>
          </w:p>
        </w:tc>
        <w:tc>
          <w:tcPr>
            <w:tcW w:w="740" w:type="pct"/>
            <w:vAlign w:val="center"/>
          </w:tcPr>
          <w:p w14:paraId="1176AB10">
            <w:pPr>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0.003L</w:t>
            </w:r>
          </w:p>
        </w:tc>
        <w:tc>
          <w:tcPr>
            <w:tcW w:w="738" w:type="pct"/>
            <w:vAlign w:val="center"/>
          </w:tcPr>
          <w:p w14:paraId="108D3991">
            <w:pPr>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0.003L</w:t>
            </w:r>
          </w:p>
        </w:tc>
        <w:tc>
          <w:tcPr>
            <w:tcW w:w="651" w:type="pct"/>
            <w:vAlign w:val="center"/>
          </w:tcPr>
          <w:p w14:paraId="14E61E5C">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≤1.0</w:t>
            </w:r>
          </w:p>
        </w:tc>
      </w:tr>
      <w:tr w14:paraId="1F568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11F8787F">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sz w:val="21"/>
                <w:szCs w:val="21"/>
                <w:highlight w:val="none"/>
              </w:rPr>
              <w:t>氨氮</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728" w:type="pct"/>
            <w:vAlign w:val="center"/>
          </w:tcPr>
          <w:p w14:paraId="04335664">
            <w:pPr>
              <w:adjustRightInd w:val="0"/>
              <w:snapToGrid w:val="0"/>
              <w:spacing w:line="280" w:lineRule="exact"/>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0.231</w:t>
            </w:r>
          </w:p>
        </w:tc>
        <w:tc>
          <w:tcPr>
            <w:tcW w:w="728" w:type="pct"/>
            <w:vAlign w:val="center"/>
          </w:tcPr>
          <w:p w14:paraId="6A2C6A18">
            <w:pPr>
              <w:adjustRightInd w:val="0"/>
              <w:snapToGrid w:val="0"/>
              <w:spacing w:line="280" w:lineRule="exact"/>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0.197</w:t>
            </w:r>
          </w:p>
        </w:tc>
        <w:tc>
          <w:tcPr>
            <w:tcW w:w="740" w:type="pct"/>
            <w:vAlign w:val="center"/>
          </w:tcPr>
          <w:p w14:paraId="44EF1D2B">
            <w:pPr>
              <w:adjustRightInd w:val="0"/>
              <w:snapToGrid w:val="0"/>
              <w:spacing w:line="280" w:lineRule="exact"/>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0.234</w:t>
            </w:r>
          </w:p>
        </w:tc>
        <w:tc>
          <w:tcPr>
            <w:tcW w:w="738" w:type="pct"/>
            <w:vAlign w:val="center"/>
          </w:tcPr>
          <w:p w14:paraId="243EDD87">
            <w:pPr>
              <w:adjustRightInd w:val="0"/>
              <w:snapToGrid w:val="0"/>
              <w:spacing w:line="280" w:lineRule="exact"/>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0.119</w:t>
            </w:r>
          </w:p>
        </w:tc>
        <w:tc>
          <w:tcPr>
            <w:tcW w:w="651" w:type="pct"/>
            <w:vAlign w:val="center"/>
          </w:tcPr>
          <w:p w14:paraId="1AC554E5">
            <w:pPr>
              <w:spacing w:line="320" w:lineRule="exact"/>
              <w:jc w:val="center"/>
              <w:textAlignment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rPr>
              <w:t>≤0.5</w:t>
            </w:r>
          </w:p>
        </w:tc>
      </w:tr>
      <w:tr w14:paraId="6C0A5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55B77A70">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六价铬</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728" w:type="pct"/>
            <w:vAlign w:val="center"/>
          </w:tcPr>
          <w:p w14:paraId="7AE108AE">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0.004L</w:t>
            </w:r>
          </w:p>
        </w:tc>
        <w:tc>
          <w:tcPr>
            <w:tcW w:w="728" w:type="pct"/>
            <w:vAlign w:val="center"/>
          </w:tcPr>
          <w:p w14:paraId="58B27A88">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0.004L</w:t>
            </w:r>
          </w:p>
        </w:tc>
        <w:tc>
          <w:tcPr>
            <w:tcW w:w="740" w:type="pct"/>
            <w:vAlign w:val="center"/>
          </w:tcPr>
          <w:p w14:paraId="5213A0A7">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0.004L</w:t>
            </w:r>
          </w:p>
        </w:tc>
        <w:tc>
          <w:tcPr>
            <w:tcW w:w="738" w:type="pct"/>
            <w:vAlign w:val="center"/>
          </w:tcPr>
          <w:p w14:paraId="5606FA10">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0.004L</w:t>
            </w:r>
          </w:p>
        </w:tc>
        <w:tc>
          <w:tcPr>
            <w:tcW w:w="651" w:type="pct"/>
            <w:vAlign w:val="center"/>
          </w:tcPr>
          <w:p w14:paraId="64B41805">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≤0.05</w:t>
            </w:r>
          </w:p>
        </w:tc>
      </w:tr>
      <w:tr w14:paraId="5E5C0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6438DCB3">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砷</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728" w:type="pct"/>
            <w:vAlign w:val="center"/>
          </w:tcPr>
          <w:p w14:paraId="7477AD3E">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0.0003L</w:t>
            </w:r>
          </w:p>
        </w:tc>
        <w:tc>
          <w:tcPr>
            <w:tcW w:w="728" w:type="pct"/>
            <w:vAlign w:val="center"/>
          </w:tcPr>
          <w:p w14:paraId="2209FB97">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0.0003L</w:t>
            </w:r>
          </w:p>
        </w:tc>
        <w:tc>
          <w:tcPr>
            <w:tcW w:w="740" w:type="pct"/>
            <w:vAlign w:val="center"/>
          </w:tcPr>
          <w:p w14:paraId="74059ED4">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0.0003L</w:t>
            </w:r>
          </w:p>
        </w:tc>
        <w:tc>
          <w:tcPr>
            <w:tcW w:w="738" w:type="pct"/>
            <w:vAlign w:val="center"/>
          </w:tcPr>
          <w:p w14:paraId="16AB1617">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0.0003L</w:t>
            </w:r>
          </w:p>
        </w:tc>
        <w:tc>
          <w:tcPr>
            <w:tcW w:w="651" w:type="pct"/>
            <w:vAlign w:val="center"/>
          </w:tcPr>
          <w:p w14:paraId="3C7B3990">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≤0.01</w:t>
            </w:r>
          </w:p>
        </w:tc>
      </w:tr>
      <w:tr w14:paraId="535715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0CA6E468">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铅</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728" w:type="pct"/>
            <w:vAlign w:val="center"/>
          </w:tcPr>
          <w:p w14:paraId="7995318F">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0.001</w:t>
            </w:r>
            <w:r>
              <w:rPr>
                <w:rFonts w:ascii="Times New Roman" w:hAnsi="Times New Roman" w:cs="Times New Roman"/>
                <w:bCs/>
                <w:color w:val="auto"/>
                <w:w w:val="99"/>
                <w:sz w:val="21"/>
                <w:szCs w:val="21"/>
                <w:highlight w:val="none"/>
              </w:rPr>
              <w:t>L</w:t>
            </w:r>
          </w:p>
        </w:tc>
        <w:tc>
          <w:tcPr>
            <w:tcW w:w="728" w:type="pct"/>
            <w:vAlign w:val="center"/>
          </w:tcPr>
          <w:p w14:paraId="3D4A5824">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0.001</w:t>
            </w:r>
            <w:r>
              <w:rPr>
                <w:rFonts w:ascii="Times New Roman" w:hAnsi="Times New Roman" w:cs="Times New Roman"/>
                <w:bCs/>
                <w:color w:val="auto"/>
                <w:w w:val="99"/>
                <w:sz w:val="21"/>
                <w:szCs w:val="21"/>
                <w:highlight w:val="none"/>
              </w:rPr>
              <w:t>L</w:t>
            </w:r>
          </w:p>
        </w:tc>
        <w:tc>
          <w:tcPr>
            <w:tcW w:w="740" w:type="pct"/>
            <w:vAlign w:val="center"/>
          </w:tcPr>
          <w:p w14:paraId="682424C8">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0.001</w:t>
            </w:r>
            <w:r>
              <w:rPr>
                <w:rFonts w:ascii="Times New Roman" w:hAnsi="Times New Roman" w:cs="Times New Roman"/>
                <w:bCs/>
                <w:color w:val="auto"/>
                <w:w w:val="99"/>
                <w:sz w:val="21"/>
                <w:szCs w:val="21"/>
                <w:highlight w:val="none"/>
              </w:rPr>
              <w:t>L</w:t>
            </w:r>
          </w:p>
        </w:tc>
        <w:tc>
          <w:tcPr>
            <w:tcW w:w="738" w:type="pct"/>
            <w:vAlign w:val="center"/>
          </w:tcPr>
          <w:p w14:paraId="4DA40657">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0.001</w:t>
            </w:r>
            <w:r>
              <w:rPr>
                <w:rFonts w:ascii="Times New Roman" w:hAnsi="Times New Roman" w:cs="Times New Roman"/>
                <w:bCs/>
                <w:color w:val="auto"/>
                <w:w w:val="99"/>
                <w:sz w:val="21"/>
                <w:szCs w:val="21"/>
                <w:highlight w:val="none"/>
              </w:rPr>
              <w:t>L</w:t>
            </w:r>
          </w:p>
        </w:tc>
        <w:tc>
          <w:tcPr>
            <w:tcW w:w="651" w:type="pct"/>
            <w:vAlign w:val="center"/>
          </w:tcPr>
          <w:p w14:paraId="289410D9">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≤0.01</w:t>
            </w:r>
          </w:p>
        </w:tc>
      </w:tr>
      <w:tr w14:paraId="07EF0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4ED21A41">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铁</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728" w:type="pct"/>
            <w:vAlign w:val="center"/>
          </w:tcPr>
          <w:p w14:paraId="6D462134">
            <w:pPr>
              <w:adjustRightInd w:val="0"/>
              <w:snapToGrid w:val="0"/>
              <w:spacing w:line="280" w:lineRule="exact"/>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0.27</w:t>
            </w:r>
          </w:p>
        </w:tc>
        <w:tc>
          <w:tcPr>
            <w:tcW w:w="728" w:type="pct"/>
            <w:vAlign w:val="center"/>
          </w:tcPr>
          <w:p w14:paraId="3589BC5E">
            <w:pPr>
              <w:adjustRightInd w:val="0"/>
              <w:snapToGrid w:val="0"/>
              <w:spacing w:line="280" w:lineRule="exact"/>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0.26</w:t>
            </w:r>
          </w:p>
        </w:tc>
        <w:tc>
          <w:tcPr>
            <w:tcW w:w="740" w:type="pct"/>
            <w:vAlign w:val="center"/>
          </w:tcPr>
          <w:p w14:paraId="000C3B05">
            <w:pPr>
              <w:adjustRightInd w:val="0"/>
              <w:snapToGrid w:val="0"/>
              <w:spacing w:line="280" w:lineRule="exact"/>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0.27</w:t>
            </w:r>
          </w:p>
        </w:tc>
        <w:tc>
          <w:tcPr>
            <w:tcW w:w="738" w:type="pct"/>
            <w:vAlign w:val="center"/>
          </w:tcPr>
          <w:p w14:paraId="7040CC43">
            <w:pPr>
              <w:adjustRightInd w:val="0"/>
              <w:snapToGrid w:val="0"/>
              <w:spacing w:line="280" w:lineRule="exact"/>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0.21</w:t>
            </w:r>
          </w:p>
        </w:tc>
        <w:tc>
          <w:tcPr>
            <w:tcW w:w="651" w:type="pct"/>
            <w:vAlign w:val="center"/>
          </w:tcPr>
          <w:p w14:paraId="00E90EF2">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≤0.3</w:t>
            </w:r>
          </w:p>
        </w:tc>
      </w:tr>
      <w:tr w14:paraId="359092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787A0BA7">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汞</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728" w:type="pct"/>
            <w:vAlign w:val="center"/>
          </w:tcPr>
          <w:p w14:paraId="7D1E0BD3">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0.00004L</w:t>
            </w:r>
          </w:p>
        </w:tc>
        <w:tc>
          <w:tcPr>
            <w:tcW w:w="728" w:type="pct"/>
            <w:vAlign w:val="center"/>
          </w:tcPr>
          <w:p w14:paraId="37FFFE27">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0.00004L</w:t>
            </w:r>
          </w:p>
        </w:tc>
        <w:tc>
          <w:tcPr>
            <w:tcW w:w="740" w:type="pct"/>
            <w:vAlign w:val="center"/>
          </w:tcPr>
          <w:p w14:paraId="72C5F7C8">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0.00004L</w:t>
            </w:r>
          </w:p>
        </w:tc>
        <w:tc>
          <w:tcPr>
            <w:tcW w:w="738" w:type="pct"/>
            <w:vAlign w:val="center"/>
          </w:tcPr>
          <w:p w14:paraId="2FBF96CA">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0.00004L</w:t>
            </w:r>
          </w:p>
        </w:tc>
        <w:tc>
          <w:tcPr>
            <w:tcW w:w="651" w:type="pct"/>
            <w:vAlign w:val="center"/>
          </w:tcPr>
          <w:p w14:paraId="640882D8">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≤0.001</w:t>
            </w:r>
          </w:p>
        </w:tc>
      </w:tr>
      <w:tr w14:paraId="32A6C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06607A1E">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锰</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728" w:type="pct"/>
            <w:vAlign w:val="center"/>
          </w:tcPr>
          <w:p w14:paraId="3E398E57">
            <w:pPr>
              <w:adjustRightInd w:val="0"/>
              <w:snapToGrid w:val="0"/>
              <w:spacing w:line="280" w:lineRule="exact"/>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0.11</w:t>
            </w:r>
          </w:p>
        </w:tc>
        <w:tc>
          <w:tcPr>
            <w:tcW w:w="728" w:type="pct"/>
            <w:vAlign w:val="center"/>
          </w:tcPr>
          <w:p w14:paraId="15ED5FB6">
            <w:pPr>
              <w:adjustRightInd w:val="0"/>
              <w:snapToGrid w:val="0"/>
              <w:spacing w:line="280" w:lineRule="exact"/>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0.09</w:t>
            </w:r>
          </w:p>
        </w:tc>
        <w:tc>
          <w:tcPr>
            <w:tcW w:w="740" w:type="pct"/>
            <w:vAlign w:val="center"/>
          </w:tcPr>
          <w:p w14:paraId="4E7D7C71">
            <w:pPr>
              <w:adjustRightInd w:val="0"/>
              <w:snapToGrid w:val="0"/>
              <w:spacing w:line="280" w:lineRule="exact"/>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0.11</w:t>
            </w:r>
          </w:p>
        </w:tc>
        <w:tc>
          <w:tcPr>
            <w:tcW w:w="738" w:type="pct"/>
            <w:vAlign w:val="center"/>
          </w:tcPr>
          <w:p w14:paraId="3F1BE526">
            <w:pPr>
              <w:adjustRightInd w:val="0"/>
              <w:snapToGrid w:val="0"/>
              <w:spacing w:line="280" w:lineRule="exact"/>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0.02</w:t>
            </w:r>
          </w:p>
        </w:tc>
        <w:tc>
          <w:tcPr>
            <w:tcW w:w="651" w:type="pct"/>
            <w:vAlign w:val="center"/>
          </w:tcPr>
          <w:p w14:paraId="2C32C470">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≤0.1</w:t>
            </w:r>
          </w:p>
        </w:tc>
      </w:tr>
      <w:tr w14:paraId="48087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43A6800E">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镉</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728" w:type="pct"/>
            <w:vAlign w:val="center"/>
          </w:tcPr>
          <w:p w14:paraId="658B67E9">
            <w:pPr>
              <w:pStyle w:val="173"/>
              <w:ind w:left="413" w:hanging="414" w:hangingChars="200"/>
              <w:rPr>
                <w:rFonts w:hint="default" w:ascii="Times New Roman" w:hAnsi="Times New Roman" w:eastAsia="宋体"/>
                <w:snapToGrid w:val="0"/>
                <w:color w:val="auto"/>
                <w:w w:val="99"/>
                <w:highlight w:val="none"/>
              </w:rPr>
            </w:pPr>
            <w:r>
              <w:rPr>
                <w:rFonts w:hint="default" w:ascii="Times New Roman" w:hAnsi="Times New Roman" w:eastAsia="宋体"/>
                <w:color w:val="auto"/>
                <w:w w:val="99"/>
                <w:highlight w:val="none"/>
              </w:rPr>
              <w:t>0.0001L</w:t>
            </w:r>
          </w:p>
        </w:tc>
        <w:tc>
          <w:tcPr>
            <w:tcW w:w="728" w:type="pct"/>
            <w:vAlign w:val="center"/>
          </w:tcPr>
          <w:p w14:paraId="118EF408">
            <w:pPr>
              <w:pStyle w:val="173"/>
              <w:ind w:left="413" w:hanging="414" w:hangingChars="200"/>
              <w:rPr>
                <w:rFonts w:hint="default" w:ascii="Times New Roman" w:hAnsi="Times New Roman" w:eastAsia="宋体"/>
                <w:snapToGrid w:val="0"/>
                <w:color w:val="auto"/>
                <w:w w:val="99"/>
                <w:highlight w:val="none"/>
              </w:rPr>
            </w:pPr>
            <w:r>
              <w:rPr>
                <w:rFonts w:hint="default" w:ascii="Times New Roman" w:hAnsi="Times New Roman" w:eastAsia="宋体"/>
                <w:color w:val="auto"/>
                <w:w w:val="99"/>
                <w:highlight w:val="none"/>
              </w:rPr>
              <w:t>0.0001L</w:t>
            </w:r>
          </w:p>
        </w:tc>
        <w:tc>
          <w:tcPr>
            <w:tcW w:w="740" w:type="pct"/>
            <w:vAlign w:val="center"/>
          </w:tcPr>
          <w:p w14:paraId="3434946C">
            <w:pPr>
              <w:pStyle w:val="173"/>
              <w:ind w:left="413" w:hanging="414" w:hangingChars="200"/>
              <w:rPr>
                <w:rFonts w:hint="default" w:ascii="Times New Roman" w:hAnsi="Times New Roman" w:eastAsia="宋体"/>
                <w:snapToGrid w:val="0"/>
                <w:color w:val="auto"/>
                <w:w w:val="99"/>
                <w:highlight w:val="none"/>
              </w:rPr>
            </w:pPr>
            <w:r>
              <w:rPr>
                <w:rFonts w:hint="default" w:ascii="Times New Roman" w:hAnsi="Times New Roman" w:eastAsia="宋体"/>
                <w:color w:val="auto"/>
                <w:w w:val="99"/>
                <w:highlight w:val="none"/>
              </w:rPr>
              <w:t>0.0001L</w:t>
            </w:r>
          </w:p>
        </w:tc>
        <w:tc>
          <w:tcPr>
            <w:tcW w:w="738" w:type="pct"/>
            <w:vAlign w:val="center"/>
          </w:tcPr>
          <w:p w14:paraId="602ED1F1">
            <w:pPr>
              <w:pStyle w:val="173"/>
              <w:ind w:left="413" w:hanging="414" w:hangingChars="200"/>
              <w:rPr>
                <w:rFonts w:hint="default" w:ascii="Times New Roman" w:hAnsi="Times New Roman" w:eastAsia="宋体"/>
                <w:snapToGrid w:val="0"/>
                <w:color w:val="auto"/>
                <w:w w:val="99"/>
                <w:highlight w:val="none"/>
              </w:rPr>
            </w:pPr>
            <w:r>
              <w:rPr>
                <w:rFonts w:hint="default" w:ascii="Times New Roman" w:hAnsi="Times New Roman" w:eastAsia="宋体"/>
                <w:color w:val="auto"/>
                <w:w w:val="99"/>
                <w:highlight w:val="none"/>
              </w:rPr>
              <w:t>0.0001L</w:t>
            </w:r>
          </w:p>
        </w:tc>
        <w:tc>
          <w:tcPr>
            <w:tcW w:w="651" w:type="pct"/>
            <w:vAlign w:val="center"/>
          </w:tcPr>
          <w:p w14:paraId="7F38FB2A">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≤0.005</w:t>
            </w:r>
          </w:p>
        </w:tc>
      </w:tr>
      <w:tr w14:paraId="1EEF63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0857724E">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石油类</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728" w:type="pct"/>
            <w:vAlign w:val="center"/>
          </w:tcPr>
          <w:p w14:paraId="1DC8CEF0">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0.01L</w:t>
            </w:r>
          </w:p>
        </w:tc>
        <w:tc>
          <w:tcPr>
            <w:tcW w:w="728" w:type="pct"/>
            <w:vAlign w:val="center"/>
          </w:tcPr>
          <w:p w14:paraId="0CC0E98D">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0.01L</w:t>
            </w:r>
          </w:p>
        </w:tc>
        <w:tc>
          <w:tcPr>
            <w:tcW w:w="740" w:type="pct"/>
            <w:vAlign w:val="center"/>
          </w:tcPr>
          <w:p w14:paraId="5FCC73B4">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0.01L</w:t>
            </w:r>
          </w:p>
        </w:tc>
        <w:tc>
          <w:tcPr>
            <w:tcW w:w="738" w:type="pct"/>
            <w:vAlign w:val="center"/>
          </w:tcPr>
          <w:p w14:paraId="417FA40C">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0.01L</w:t>
            </w:r>
          </w:p>
        </w:tc>
        <w:tc>
          <w:tcPr>
            <w:tcW w:w="651" w:type="pct"/>
            <w:vAlign w:val="center"/>
          </w:tcPr>
          <w:p w14:paraId="58C52A2A">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≤0.05</w:t>
            </w:r>
          </w:p>
        </w:tc>
      </w:tr>
      <w:tr w14:paraId="28AE19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60D76150">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总大肠菌群（MPN/100mL）</w:t>
            </w:r>
          </w:p>
        </w:tc>
        <w:tc>
          <w:tcPr>
            <w:tcW w:w="728" w:type="pct"/>
            <w:vAlign w:val="center"/>
          </w:tcPr>
          <w:p w14:paraId="41BD2B34">
            <w:pPr>
              <w:adjustRightInd w:val="0"/>
              <w:snapToGrid w:val="0"/>
              <w:jc w:val="center"/>
              <w:rPr>
                <w:rFonts w:ascii="Times New Roman" w:hAnsi="Times New Roman" w:cs="Times New Roman"/>
                <w:snapToGrid w:val="0"/>
                <w:color w:val="auto"/>
                <w:w w:val="99"/>
                <w:sz w:val="21"/>
                <w:szCs w:val="21"/>
                <w:highlight w:val="none"/>
              </w:rPr>
            </w:pPr>
            <w:r>
              <w:rPr>
                <w:rFonts w:ascii="Times New Roman" w:hAnsi="Times New Roman" w:cs="Times New Roman"/>
                <w:color w:val="auto"/>
                <w:w w:val="99"/>
                <w:sz w:val="21"/>
                <w:szCs w:val="21"/>
                <w:highlight w:val="none"/>
              </w:rPr>
              <w:t>2L</w:t>
            </w:r>
          </w:p>
        </w:tc>
        <w:tc>
          <w:tcPr>
            <w:tcW w:w="728" w:type="pct"/>
            <w:vAlign w:val="center"/>
          </w:tcPr>
          <w:p w14:paraId="5EDE5C3D">
            <w:pPr>
              <w:adjustRightInd w:val="0"/>
              <w:snapToGrid w:val="0"/>
              <w:jc w:val="center"/>
              <w:rPr>
                <w:rFonts w:ascii="Times New Roman" w:hAnsi="Times New Roman" w:cs="Times New Roman"/>
                <w:snapToGrid w:val="0"/>
                <w:color w:val="auto"/>
                <w:w w:val="99"/>
                <w:sz w:val="21"/>
                <w:szCs w:val="21"/>
                <w:highlight w:val="none"/>
              </w:rPr>
            </w:pPr>
            <w:r>
              <w:rPr>
                <w:rFonts w:ascii="Times New Roman" w:hAnsi="Times New Roman" w:cs="Times New Roman"/>
                <w:color w:val="auto"/>
                <w:w w:val="99"/>
                <w:sz w:val="21"/>
                <w:szCs w:val="21"/>
                <w:highlight w:val="none"/>
              </w:rPr>
              <w:t>2L</w:t>
            </w:r>
          </w:p>
        </w:tc>
        <w:tc>
          <w:tcPr>
            <w:tcW w:w="740" w:type="pct"/>
            <w:vAlign w:val="center"/>
          </w:tcPr>
          <w:p w14:paraId="1385862D">
            <w:pPr>
              <w:adjustRightInd w:val="0"/>
              <w:snapToGrid w:val="0"/>
              <w:jc w:val="center"/>
              <w:rPr>
                <w:rFonts w:ascii="Times New Roman" w:hAnsi="Times New Roman" w:cs="Times New Roman"/>
                <w:snapToGrid w:val="0"/>
                <w:color w:val="auto"/>
                <w:w w:val="99"/>
                <w:sz w:val="21"/>
                <w:szCs w:val="21"/>
                <w:highlight w:val="none"/>
              </w:rPr>
            </w:pPr>
            <w:r>
              <w:rPr>
                <w:rFonts w:ascii="Times New Roman" w:hAnsi="Times New Roman" w:cs="Times New Roman"/>
                <w:color w:val="auto"/>
                <w:w w:val="99"/>
                <w:sz w:val="21"/>
                <w:szCs w:val="21"/>
                <w:highlight w:val="none"/>
              </w:rPr>
              <w:t>2L</w:t>
            </w:r>
          </w:p>
        </w:tc>
        <w:tc>
          <w:tcPr>
            <w:tcW w:w="738" w:type="pct"/>
            <w:vAlign w:val="center"/>
          </w:tcPr>
          <w:p w14:paraId="0479230D">
            <w:pPr>
              <w:adjustRightInd w:val="0"/>
              <w:snapToGrid w:val="0"/>
              <w:jc w:val="center"/>
              <w:rPr>
                <w:rFonts w:ascii="Times New Roman" w:hAnsi="Times New Roman" w:cs="Times New Roman"/>
                <w:snapToGrid w:val="0"/>
                <w:color w:val="auto"/>
                <w:w w:val="99"/>
                <w:sz w:val="21"/>
                <w:szCs w:val="21"/>
                <w:highlight w:val="none"/>
              </w:rPr>
            </w:pPr>
            <w:r>
              <w:rPr>
                <w:rFonts w:ascii="Times New Roman" w:hAnsi="Times New Roman" w:cs="Times New Roman"/>
                <w:color w:val="auto"/>
                <w:w w:val="99"/>
                <w:sz w:val="21"/>
                <w:szCs w:val="21"/>
                <w:highlight w:val="none"/>
              </w:rPr>
              <w:t>2L</w:t>
            </w:r>
          </w:p>
        </w:tc>
        <w:tc>
          <w:tcPr>
            <w:tcW w:w="651" w:type="pct"/>
            <w:vAlign w:val="center"/>
          </w:tcPr>
          <w:p w14:paraId="36424DC4">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≤3.0</w:t>
            </w:r>
          </w:p>
        </w:tc>
      </w:tr>
      <w:tr w14:paraId="7B6E94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3A222B71">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菌落总数（CFU/mL）</w:t>
            </w:r>
          </w:p>
        </w:tc>
        <w:tc>
          <w:tcPr>
            <w:tcW w:w="728" w:type="pct"/>
            <w:vAlign w:val="center"/>
          </w:tcPr>
          <w:p w14:paraId="4BE95BD3">
            <w:pPr>
              <w:adjustRightInd w:val="0"/>
              <w:snapToGrid w:val="0"/>
              <w:spacing w:line="280" w:lineRule="exact"/>
              <w:jc w:val="center"/>
              <w:rPr>
                <w:rFonts w:ascii="Times New Roman" w:hAnsi="Times New Roman" w:cs="Times New Roman"/>
                <w:snapToGrid w:val="0"/>
                <w:color w:val="auto"/>
                <w:w w:val="99"/>
                <w:sz w:val="21"/>
                <w:szCs w:val="21"/>
                <w:highlight w:val="none"/>
              </w:rPr>
            </w:pPr>
            <w:r>
              <w:rPr>
                <w:rFonts w:ascii="Times New Roman" w:hAnsi="Times New Roman" w:cs="Times New Roman"/>
                <w:color w:val="auto"/>
                <w:w w:val="99"/>
                <w:sz w:val="21"/>
                <w:szCs w:val="21"/>
                <w:highlight w:val="none"/>
              </w:rPr>
              <w:t>12</w:t>
            </w:r>
          </w:p>
        </w:tc>
        <w:tc>
          <w:tcPr>
            <w:tcW w:w="728" w:type="pct"/>
            <w:vAlign w:val="center"/>
          </w:tcPr>
          <w:p w14:paraId="5E9DDA7E">
            <w:pPr>
              <w:adjustRightInd w:val="0"/>
              <w:snapToGrid w:val="0"/>
              <w:spacing w:line="280" w:lineRule="exact"/>
              <w:jc w:val="center"/>
              <w:rPr>
                <w:rFonts w:ascii="Times New Roman" w:hAnsi="Times New Roman" w:cs="Times New Roman"/>
                <w:snapToGrid w:val="0"/>
                <w:color w:val="auto"/>
                <w:w w:val="99"/>
                <w:sz w:val="21"/>
                <w:szCs w:val="21"/>
                <w:highlight w:val="none"/>
              </w:rPr>
            </w:pPr>
            <w:r>
              <w:rPr>
                <w:rFonts w:ascii="Times New Roman" w:hAnsi="Times New Roman" w:cs="Times New Roman"/>
                <w:color w:val="auto"/>
                <w:w w:val="99"/>
                <w:sz w:val="21"/>
                <w:szCs w:val="21"/>
                <w:highlight w:val="none"/>
              </w:rPr>
              <w:t>10</w:t>
            </w:r>
          </w:p>
        </w:tc>
        <w:tc>
          <w:tcPr>
            <w:tcW w:w="740" w:type="pct"/>
            <w:vAlign w:val="center"/>
          </w:tcPr>
          <w:p w14:paraId="68D3F268">
            <w:pPr>
              <w:adjustRightInd w:val="0"/>
              <w:snapToGrid w:val="0"/>
              <w:spacing w:line="280" w:lineRule="exact"/>
              <w:jc w:val="center"/>
              <w:rPr>
                <w:rFonts w:ascii="Times New Roman" w:hAnsi="Times New Roman" w:cs="Times New Roman"/>
                <w:snapToGrid w:val="0"/>
                <w:color w:val="auto"/>
                <w:w w:val="99"/>
                <w:sz w:val="21"/>
                <w:szCs w:val="21"/>
                <w:highlight w:val="none"/>
              </w:rPr>
            </w:pPr>
            <w:r>
              <w:rPr>
                <w:rFonts w:ascii="Times New Roman" w:hAnsi="Times New Roman" w:cs="Times New Roman"/>
                <w:color w:val="auto"/>
                <w:w w:val="99"/>
                <w:sz w:val="21"/>
                <w:szCs w:val="21"/>
                <w:highlight w:val="none"/>
              </w:rPr>
              <w:t>11</w:t>
            </w:r>
          </w:p>
        </w:tc>
        <w:tc>
          <w:tcPr>
            <w:tcW w:w="738" w:type="pct"/>
            <w:vAlign w:val="center"/>
          </w:tcPr>
          <w:p w14:paraId="2607696F">
            <w:pPr>
              <w:adjustRightInd w:val="0"/>
              <w:snapToGrid w:val="0"/>
              <w:spacing w:line="280" w:lineRule="exact"/>
              <w:jc w:val="center"/>
              <w:rPr>
                <w:rFonts w:ascii="Times New Roman" w:hAnsi="Times New Roman" w:cs="Times New Roman"/>
                <w:snapToGrid w:val="0"/>
                <w:color w:val="auto"/>
                <w:w w:val="99"/>
                <w:sz w:val="21"/>
                <w:szCs w:val="21"/>
                <w:highlight w:val="none"/>
              </w:rPr>
            </w:pPr>
            <w:r>
              <w:rPr>
                <w:rFonts w:ascii="Times New Roman" w:hAnsi="Times New Roman" w:cs="Times New Roman"/>
                <w:color w:val="auto"/>
                <w:w w:val="99"/>
                <w:sz w:val="21"/>
                <w:szCs w:val="21"/>
                <w:highlight w:val="none"/>
              </w:rPr>
              <w:t>7</w:t>
            </w:r>
          </w:p>
        </w:tc>
        <w:tc>
          <w:tcPr>
            <w:tcW w:w="651" w:type="pct"/>
            <w:vAlign w:val="center"/>
          </w:tcPr>
          <w:p w14:paraId="05647F26">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≤100</w:t>
            </w:r>
          </w:p>
        </w:tc>
      </w:tr>
      <w:tr w14:paraId="7C52A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5C494E7D">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硫化物（mg/L）</w:t>
            </w:r>
          </w:p>
        </w:tc>
        <w:tc>
          <w:tcPr>
            <w:tcW w:w="728" w:type="pct"/>
            <w:vAlign w:val="center"/>
          </w:tcPr>
          <w:p w14:paraId="0354F572">
            <w:pPr>
              <w:adjustRightInd w:val="0"/>
              <w:snapToGrid w:val="0"/>
              <w:jc w:val="center"/>
              <w:rPr>
                <w:rFonts w:ascii="Times New Roman" w:hAnsi="Times New Roman" w:cs="Times New Roman"/>
                <w:snapToGrid w:val="0"/>
                <w:color w:val="auto"/>
                <w:w w:val="99"/>
                <w:sz w:val="21"/>
                <w:szCs w:val="21"/>
                <w:highlight w:val="none"/>
              </w:rPr>
            </w:pPr>
            <w:r>
              <w:rPr>
                <w:rFonts w:ascii="Times New Roman" w:hAnsi="Times New Roman" w:cs="Times New Roman"/>
                <w:color w:val="auto"/>
                <w:w w:val="99"/>
                <w:sz w:val="21"/>
                <w:szCs w:val="21"/>
                <w:highlight w:val="none"/>
              </w:rPr>
              <w:t>0.003L</w:t>
            </w:r>
          </w:p>
        </w:tc>
        <w:tc>
          <w:tcPr>
            <w:tcW w:w="728" w:type="pct"/>
            <w:vAlign w:val="center"/>
          </w:tcPr>
          <w:p w14:paraId="7F57C341">
            <w:pPr>
              <w:adjustRightInd w:val="0"/>
              <w:snapToGrid w:val="0"/>
              <w:jc w:val="center"/>
              <w:rPr>
                <w:rFonts w:ascii="Times New Roman" w:hAnsi="Times New Roman" w:cs="Times New Roman"/>
                <w:snapToGrid w:val="0"/>
                <w:color w:val="auto"/>
                <w:w w:val="99"/>
                <w:sz w:val="21"/>
                <w:szCs w:val="21"/>
                <w:highlight w:val="none"/>
              </w:rPr>
            </w:pPr>
            <w:r>
              <w:rPr>
                <w:rFonts w:ascii="Times New Roman" w:hAnsi="Times New Roman" w:cs="Times New Roman"/>
                <w:color w:val="auto"/>
                <w:w w:val="99"/>
                <w:sz w:val="21"/>
                <w:szCs w:val="21"/>
                <w:highlight w:val="none"/>
              </w:rPr>
              <w:t>0.003L</w:t>
            </w:r>
          </w:p>
        </w:tc>
        <w:tc>
          <w:tcPr>
            <w:tcW w:w="740" w:type="pct"/>
            <w:vAlign w:val="center"/>
          </w:tcPr>
          <w:p w14:paraId="64EA866D">
            <w:pPr>
              <w:adjustRightInd w:val="0"/>
              <w:snapToGrid w:val="0"/>
              <w:jc w:val="center"/>
              <w:rPr>
                <w:rFonts w:ascii="Times New Roman" w:hAnsi="Times New Roman" w:cs="Times New Roman"/>
                <w:snapToGrid w:val="0"/>
                <w:color w:val="auto"/>
                <w:w w:val="99"/>
                <w:sz w:val="21"/>
                <w:szCs w:val="21"/>
                <w:highlight w:val="none"/>
              </w:rPr>
            </w:pPr>
            <w:r>
              <w:rPr>
                <w:rFonts w:ascii="Times New Roman" w:hAnsi="Times New Roman" w:cs="Times New Roman"/>
                <w:color w:val="auto"/>
                <w:w w:val="99"/>
                <w:sz w:val="21"/>
                <w:szCs w:val="21"/>
                <w:highlight w:val="none"/>
              </w:rPr>
              <w:t>0.003L</w:t>
            </w:r>
          </w:p>
        </w:tc>
        <w:tc>
          <w:tcPr>
            <w:tcW w:w="738" w:type="pct"/>
            <w:vAlign w:val="center"/>
          </w:tcPr>
          <w:p w14:paraId="14340082">
            <w:pPr>
              <w:adjustRightInd w:val="0"/>
              <w:snapToGrid w:val="0"/>
              <w:jc w:val="center"/>
              <w:rPr>
                <w:rFonts w:ascii="Times New Roman" w:hAnsi="Times New Roman" w:cs="Times New Roman"/>
                <w:snapToGrid w:val="0"/>
                <w:color w:val="auto"/>
                <w:w w:val="99"/>
                <w:sz w:val="21"/>
                <w:szCs w:val="21"/>
                <w:highlight w:val="none"/>
              </w:rPr>
            </w:pPr>
            <w:r>
              <w:rPr>
                <w:rFonts w:ascii="Times New Roman" w:hAnsi="Times New Roman" w:cs="Times New Roman"/>
                <w:color w:val="auto"/>
                <w:w w:val="99"/>
                <w:sz w:val="21"/>
                <w:szCs w:val="21"/>
                <w:highlight w:val="none"/>
              </w:rPr>
              <w:t>0.003L</w:t>
            </w:r>
          </w:p>
        </w:tc>
        <w:tc>
          <w:tcPr>
            <w:tcW w:w="651" w:type="pct"/>
            <w:vAlign w:val="center"/>
          </w:tcPr>
          <w:p w14:paraId="2A0426D6">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rPr>
              <w:t>≤0.02</w:t>
            </w:r>
          </w:p>
        </w:tc>
      </w:tr>
      <w:tr w14:paraId="14ADB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413" w:type="pct"/>
            <w:vAlign w:val="center"/>
          </w:tcPr>
          <w:p w14:paraId="0B02ADB0">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钡</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μg/L）</w:t>
            </w:r>
          </w:p>
        </w:tc>
        <w:tc>
          <w:tcPr>
            <w:tcW w:w="728" w:type="pct"/>
            <w:vAlign w:val="center"/>
          </w:tcPr>
          <w:p w14:paraId="00CDDFD4">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0.01L</w:t>
            </w:r>
          </w:p>
        </w:tc>
        <w:tc>
          <w:tcPr>
            <w:tcW w:w="728" w:type="pct"/>
            <w:vAlign w:val="center"/>
          </w:tcPr>
          <w:p w14:paraId="15EDF079">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0.01L</w:t>
            </w:r>
          </w:p>
        </w:tc>
        <w:tc>
          <w:tcPr>
            <w:tcW w:w="740" w:type="pct"/>
            <w:vAlign w:val="center"/>
          </w:tcPr>
          <w:p w14:paraId="642F1338">
            <w:pPr>
              <w:adjustRightInd w:val="0"/>
              <w:snapToGrid w:val="0"/>
              <w:jc w:val="center"/>
              <w:rPr>
                <w:rFonts w:ascii="Times New Roman" w:hAnsi="Times New Roman" w:cs="Times New Roman"/>
                <w:snapToGrid w:val="0"/>
                <w:color w:val="auto"/>
                <w:w w:val="99"/>
                <w:sz w:val="21"/>
                <w:szCs w:val="21"/>
                <w:highlight w:val="none"/>
              </w:rPr>
            </w:pPr>
            <w:r>
              <w:rPr>
                <w:rFonts w:ascii="Times New Roman" w:hAnsi="Times New Roman" w:cs="Times New Roman"/>
                <w:color w:val="auto"/>
                <w:w w:val="99"/>
                <w:sz w:val="21"/>
                <w:szCs w:val="21"/>
                <w:highlight w:val="none"/>
              </w:rPr>
              <w:t>0.01L</w:t>
            </w:r>
          </w:p>
        </w:tc>
        <w:tc>
          <w:tcPr>
            <w:tcW w:w="738" w:type="pct"/>
            <w:vAlign w:val="center"/>
          </w:tcPr>
          <w:p w14:paraId="7D012D32">
            <w:pPr>
              <w:adjustRightInd w:val="0"/>
              <w:snapToGrid w:val="0"/>
              <w:jc w:val="center"/>
              <w:rPr>
                <w:rFonts w:ascii="Times New Roman" w:hAnsi="Times New Roman" w:cs="Times New Roman"/>
                <w:snapToGrid w:val="0"/>
                <w:color w:val="auto"/>
                <w:w w:val="99"/>
                <w:kern w:val="2"/>
                <w:sz w:val="21"/>
                <w:szCs w:val="21"/>
                <w:highlight w:val="none"/>
              </w:rPr>
            </w:pPr>
            <w:r>
              <w:rPr>
                <w:rFonts w:ascii="Times New Roman" w:hAnsi="Times New Roman" w:cs="Times New Roman"/>
                <w:color w:val="auto"/>
                <w:w w:val="99"/>
                <w:sz w:val="21"/>
                <w:szCs w:val="21"/>
                <w:highlight w:val="none"/>
              </w:rPr>
              <w:t>0.01L</w:t>
            </w:r>
          </w:p>
        </w:tc>
        <w:tc>
          <w:tcPr>
            <w:tcW w:w="651" w:type="pct"/>
            <w:vAlign w:val="center"/>
          </w:tcPr>
          <w:p w14:paraId="312FDFE9">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rPr>
            </w:pPr>
            <w:r>
              <w:rPr>
                <w:rFonts w:ascii="Times New Roman" w:hAnsi="Times New Roman" w:cs="Times New Roman"/>
                <w:color w:val="auto"/>
                <w:kern w:val="2"/>
                <w:sz w:val="21"/>
                <w:szCs w:val="21"/>
                <w:highlight w:val="none"/>
              </w:rPr>
              <w:t>≤700</w:t>
            </w:r>
          </w:p>
        </w:tc>
      </w:tr>
    </w:tbl>
    <w:p w14:paraId="66E51315">
      <w:pPr>
        <w:widowControl w:val="0"/>
        <w:spacing w:line="440" w:lineRule="exact"/>
        <w:ind w:firstLine="476" w:firstLineChars="200"/>
        <w:rPr>
          <w:rFonts w:hint="eastAsia" w:ascii="Times New Roman" w:hAnsi="Times New Roman" w:cs="Times New Roman" w:eastAsiaTheme="minorEastAsia"/>
          <w:color w:val="auto"/>
          <w:w w:val="99"/>
          <w:highlight w:val="none"/>
          <w:lang w:eastAsia="zh-CN"/>
        </w:rPr>
      </w:pPr>
      <w:r>
        <w:rPr>
          <w:rFonts w:hint="eastAsia" w:ascii="Times New Roman" w:hAnsi="Times New Roman" w:cs="Times New Roman" w:eastAsiaTheme="minorEastAsia"/>
          <w:b/>
          <w:color w:val="auto"/>
          <w:w w:val="99"/>
          <w:highlight w:val="none"/>
        </w:rPr>
        <w:t>续</w:t>
      </w:r>
      <w:r>
        <w:rPr>
          <w:rFonts w:ascii="Times New Roman" w:hAnsi="Times New Roman" w:cs="Times New Roman" w:eastAsiaTheme="minorEastAsia"/>
          <w:b/>
          <w:color w:val="auto"/>
          <w:w w:val="99"/>
          <w:highlight w:val="none"/>
        </w:rPr>
        <w:t xml:space="preserve">表4.3-9   </w:t>
      </w:r>
      <w:r>
        <w:rPr>
          <w:rFonts w:ascii="Times New Roman" w:hAnsi="Times New Roman" w:cs="Times New Roman" w:eastAsiaTheme="minorEastAsia"/>
          <w:b/>
          <w:color w:val="auto"/>
          <w:w w:val="99"/>
          <w:szCs w:val="28"/>
          <w:highlight w:val="none"/>
        </w:rPr>
        <w:t>地下水</w:t>
      </w:r>
      <w:r>
        <w:rPr>
          <w:rFonts w:ascii="Times New Roman" w:hAnsi="Times New Roman" w:cs="Times New Roman" w:eastAsiaTheme="minorEastAsia"/>
          <w:b/>
          <w:color w:val="auto"/>
          <w:w w:val="99"/>
          <w:highlight w:val="none"/>
        </w:rPr>
        <w:t>水质现状监测结果</w:t>
      </w:r>
      <w:r>
        <w:rPr>
          <w:rFonts w:hint="eastAsia" w:ascii="Times New Roman" w:hAnsi="Times New Roman" w:cs="Times New Roman" w:eastAsiaTheme="minorEastAsia"/>
          <w:b/>
          <w:color w:val="auto"/>
          <w:w w:val="99"/>
          <w:highlight w:val="none"/>
          <w:lang w:eastAsia="zh-CN"/>
        </w:rPr>
        <w:t>（</w:t>
      </w:r>
      <w:r>
        <w:rPr>
          <w:rFonts w:hint="eastAsia" w:ascii="Times New Roman" w:hAnsi="Times New Roman" w:cs="Times New Roman" w:eastAsiaTheme="minorEastAsia"/>
          <w:b/>
          <w:color w:val="auto"/>
          <w:w w:val="99"/>
          <w:highlight w:val="none"/>
          <w:lang w:val="en-US" w:eastAsia="zh-CN"/>
        </w:rPr>
        <w:t>本次监测</w:t>
      </w:r>
      <w:r>
        <w:rPr>
          <w:rFonts w:hint="eastAsia" w:ascii="Times New Roman" w:hAnsi="Times New Roman" w:cs="Times New Roman" w:eastAsiaTheme="minorEastAsia"/>
          <w:b/>
          <w:color w:val="auto"/>
          <w:w w:val="99"/>
          <w:highlight w:val="none"/>
          <w:lang w:eastAsia="zh-CN"/>
        </w:rPr>
        <w:t>）</w:t>
      </w:r>
    </w:p>
    <w:tbl>
      <w:tblPr>
        <w:tblStyle w:val="81"/>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71"/>
        <w:gridCol w:w="1577"/>
        <w:gridCol w:w="1588"/>
        <w:gridCol w:w="1607"/>
        <w:gridCol w:w="28"/>
        <w:gridCol w:w="1384"/>
        <w:gridCol w:w="30"/>
      </w:tblGrid>
      <w:tr w14:paraId="3BFB04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653" w:type="pct"/>
            <w:vAlign w:val="center"/>
          </w:tcPr>
          <w:p w14:paraId="7D1A0170">
            <w:pPr>
              <w:spacing w:line="32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w w:val="99"/>
                <w:sz w:val="21"/>
                <w:szCs w:val="21"/>
                <w:highlight w:val="none"/>
              </w:rPr>
              <w:t>监测时间</w:t>
            </w:r>
          </w:p>
        </w:tc>
        <w:tc>
          <w:tcPr>
            <w:tcW w:w="2584" w:type="pct"/>
            <w:gridSpan w:val="4"/>
            <w:tcBorders>
              <w:right w:val="single" w:color="auto" w:sz="4" w:space="0"/>
            </w:tcBorders>
            <w:vAlign w:val="center"/>
          </w:tcPr>
          <w:p w14:paraId="5FF616E3">
            <w:pPr>
              <w:spacing w:line="320" w:lineRule="exact"/>
              <w:jc w:val="center"/>
              <w:rPr>
                <w:rFonts w:ascii="Times New Roman" w:hAnsi="Times New Roman" w:cs="Times New Roman" w:eastAsiaTheme="minorEastAsia"/>
                <w:color w:val="auto"/>
                <w:w w:val="99"/>
                <w:sz w:val="21"/>
                <w:szCs w:val="21"/>
                <w:highlight w:val="none"/>
                <w:lang w:val="zh-CN"/>
              </w:rPr>
            </w:pPr>
            <w:r>
              <w:rPr>
                <w:rFonts w:ascii="Times New Roman" w:hAnsi="Times New Roman" w:cs="Times New Roman" w:eastAsiaTheme="minorEastAsia"/>
                <w:color w:val="auto"/>
                <w:w w:val="99"/>
                <w:sz w:val="21"/>
                <w:szCs w:val="21"/>
                <w:highlight w:val="none"/>
                <w:lang w:val="zh-CN"/>
              </w:rPr>
              <w:t>202</w:t>
            </w:r>
            <w:r>
              <w:rPr>
                <w:rFonts w:hint="eastAsia" w:ascii="Times New Roman" w:hAnsi="Times New Roman" w:cs="Times New Roman" w:eastAsiaTheme="minorEastAsia"/>
                <w:color w:val="auto"/>
                <w:w w:val="99"/>
                <w:sz w:val="21"/>
                <w:szCs w:val="21"/>
                <w:highlight w:val="none"/>
              </w:rPr>
              <w:t>6</w:t>
            </w:r>
            <w:r>
              <w:rPr>
                <w:rFonts w:ascii="Times New Roman" w:hAnsi="Times New Roman" w:cs="Times New Roman" w:eastAsiaTheme="minorEastAsia"/>
                <w:color w:val="auto"/>
                <w:w w:val="99"/>
                <w:sz w:val="21"/>
                <w:szCs w:val="21"/>
                <w:highlight w:val="none"/>
                <w:lang w:val="zh-CN"/>
              </w:rPr>
              <w:t>.0</w:t>
            </w:r>
            <w:r>
              <w:rPr>
                <w:rFonts w:hint="eastAsia" w:ascii="Times New Roman" w:hAnsi="Times New Roman" w:cs="Times New Roman" w:eastAsiaTheme="minorEastAsia"/>
                <w:color w:val="auto"/>
                <w:w w:val="99"/>
                <w:sz w:val="21"/>
                <w:szCs w:val="21"/>
                <w:highlight w:val="none"/>
              </w:rPr>
              <w:t>6</w:t>
            </w:r>
            <w:r>
              <w:rPr>
                <w:rFonts w:ascii="Times New Roman" w:hAnsi="Times New Roman" w:cs="Times New Roman" w:eastAsiaTheme="minorEastAsia"/>
                <w:color w:val="auto"/>
                <w:w w:val="99"/>
                <w:sz w:val="21"/>
                <w:szCs w:val="21"/>
                <w:highlight w:val="none"/>
                <w:lang w:val="zh-CN"/>
              </w:rPr>
              <w:t>.</w:t>
            </w:r>
            <w:r>
              <w:rPr>
                <w:rFonts w:hint="eastAsia" w:ascii="Times New Roman" w:hAnsi="Times New Roman" w:cs="Times New Roman" w:eastAsiaTheme="minorEastAsia"/>
                <w:color w:val="auto"/>
                <w:w w:val="99"/>
                <w:sz w:val="21"/>
                <w:szCs w:val="21"/>
                <w:highlight w:val="none"/>
              </w:rPr>
              <w:t>01</w:t>
            </w:r>
          </w:p>
        </w:tc>
        <w:tc>
          <w:tcPr>
            <w:tcW w:w="761" w:type="pct"/>
            <w:gridSpan w:val="2"/>
            <w:tcBorders>
              <w:left w:val="single" w:color="auto" w:sz="4" w:space="0"/>
            </w:tcBorders>
            <w:vAlign w:val="center"/>
          </w:tcPr>
          <w:p w14:paraId="0CDE01E2">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zh-CN"/>
              </w:rPr>
              <w:t>标准限值</w:t>
            </w:r>
          </w:p>
        </w:tc>
      </w:tr>
      <w:tr w14:paraId="57411E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27EF6F4A">
            <w:pPr>
              <w:spacing w:line="32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w w:val="99"/>
                <w:sz w:val="21"/>
                <w:szCs w:val="21"/>
                <w:highlight w:val="none"/>
              </w:rPr>
              <w:t>监测项目</w:t>
            </w:r>
          </w:p>
        </w:tc>
        <w:tc>
          <w:tcPr>
            <w:tcW w:w="849" w:type="pct"/>
            <w:vAlign w:val="center"/>
          </w:tcPr>
          <w:p w14:paraId="278D28D3">
            <w:pPr>
              <w:pStyle w:val="27"/>
              <w:jc w:val="center"/>
              <w:rPr>
                <w:rFonts w:ascii="Times New Roman" w:hAnsi="Times New Roman" w:eastAsiaTheme="minorEastAsia"/>
                <w:color w:val="auto"/>
                <w:w w:val="99"/>
                <w:sz w:val="21"/>
                <w:szCs w:val="21"/>
                <w:highlight w:val="none"/>
              </w:rPr>
            </w:pPr>
            <w:r>
              <w:rPr>
                <w:rFonts w:hint="eastAsia" w:ascii="Times New Roman" w:hAnsi="Times New Roman" w:eastAsiaTheme="minorEastAsia"/>
                <w:color w:val="auto"/>
                <w:w w:val="99"/>
                <w:sz w:val="21"/>
                <w:szCs w:val="21"/>
                <w:highlight w:val="none"/>
              </w:rPr>
              <w:t>于洼子屯陈家潜水井</w:t>
            </w:r>
          </w:p>
        </w:tc>
        <w:tc>
          <w:tcPr>
            <w:tcW w:w="855" w:type="pct"/>
            <w:tcBorders>
              <w:right w:val="single" w:color="auto" w:sz="4" w:space="0"/>
            </w:tcBorders>
            <w:vAlign w:val="center"/>
          </w:tcPr>
          <w:p w14:paraId="6D63F04E">
            <w:pPr>
              <w:pStyle w:val="27"/>
              <w:jc w:val="center"/>
              <w:rPr>
                <w:rFonts w:ascii="Times New Roman" w:hAnsi="Times New Roman" w:eastAsiaTheme="minorEastAsia"/>
                <w:color w:val="auto"/>
                <w:w w:val="99"/>
                <w:sz w:val="21"/>
                <w:szCs w:val="21"/>
                <w:highlight w:val="none"/>
              </w:rPr>
            </w:pPr>
            <w:r>
              <w:rPr>
                <w:rFonts w:hint="eastAsia" w:ascii="Times New Roman" w:hAnsi="Times New Roman" w:eastAsiaTheme="minorEastAsia"/>
                <w:color w:val="auto"/>
                <w:w w:val="99"/>
                <w:sz w:val="21"/>
                <w:szCs w:val="21"/>
                <w:highlight w:val="none"/>
              </w:rPr>
              <w:t>东双山屯孙家潜水井</w:t>
            </w:r>
          </w:p>
        </w:tc>
        <w:tc>
          <w:tcPr>
            <w:tcW w:w="865" w:type="pct"/>
            <w:tcBorders>
              <w:left w:val="single" w:color="auto" w:sz="4" w:space="0"/>
              <w:right w:val="single" w:color="auto" w:sz="4" w:space="0"/>
            </w:tcBorders>
            <w:vAlign w:val="center"/>
          </w:tcPr>
          <w:p w14:paraId="20FFC202">
            <w:pPr>
              <w:pStyle w:val="27"/>
              <w:jc w:val="center"/>
              <w:rPr>
                <w:rFonts w:ascii="Times New Roman" w:hAnsi="Times New Roman" w:eastAsiaTheme="minorEastAsia"/>
                <w:color w:val="auto"/>
                <w:w w:val="99"/>
                <w:sz w:val="21"/>
                <w:szCs w:val="21"/>
                <w:highlight w:val="none"/>
              </w:rPr>
            </w:pPr>
            <w:r>
              <w:rPr>
                <w:rFonts w:hint="eastAsia" w:ascii="Times New Roman" w:hAnsi="Times New Roman" w:eastAsiaTheme="minorEastAsia"/>
                <w:color w:val="auto"/>
                <w:w w:val="99"/>
                <w:sz w:val="21"/>
                <w:szCs w:val="21"/>
                <w:highlight w:val="none"/>
              </w:rPr>
              <w:t>王家围子周家承压水井</w:t>
            </w:r>
          </w:p>
        </w:tc>
        <w:tc>
          <w:tcPr>
            <w:tcW w:w="760" w:type="pct"/>
            <w:gridSpan w:val="2"/>
            <w:tcBorders>
              <w:left w:val="single" w:color="auto" w:sz="4" w:space="0"/>
            </w:tcBorders>
            <w:vAlign w:val="center"/>
          </w:tcPr>
          <w:p w14:paraId="0EC283A6">
            <w:pPr>
              <w:spacing w:line="320" w:lineRule="exact"/>
              <w:jc w:val="center"/>
              <w:rPr>
                <w:rFonts w:ascii="Times New Roman" w:hAnsi="Times New Roman" w:cs="Times New Roman" w:eastAsiaTheme="minorEastAsia"/>
                <w:color w:val="auto"/>
                <w:spacing w:val="-20"/>
                <w:w w:val="99"/>
                <w:sz w:val="21"/>
                <w:szCs w:val="21"/>
                <w:highlight w:val="none"/>
              </w:rPr>
            </w:pPr>
          </w:p>
        </w:tc>
      </w:tr>
      <w:tr w14:paraId="14786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783301EC">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K</w:t>
            </w:r>
            <w:r>
              <w:rPr>
                <w:rFonts w:ascii="Times New Roman" w:hAnsi="Times New Roman" w:cs="Times New Roman" w:eastAsiaTheme="minorEastAsia"/>
                <w:color w:val="auto"/>
                <w:w w:val="99"/>
                <w:sz w:val="21"/>
                <w:szCs w:val="21"/>
                <w:highlight w:val="none"/>
                <w:vertAlign w:val="superscript"/>
              </w:rPr>
              <w:t>+</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849" w:type="pct"/>
            <w:vAlign w:val="center"/>
          </w:tcPr>
          <w:p w14:paraId="57DDB82A">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2.47</w:t>
            </w:r>
          </w:p>
        </w:tc>
        <w:tc>
          <w:tcPr>
            <w:tcW w:w="855" w:type="pct"/>
            <w:vAlign w:val="center"/>
          </w:tcPr>
          <w:p w14:paraId="6FEEFFCB">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1.71</w:t>
            </w:r>
          </w:p>
        </w:tc>
        <w:tc>
          <w:tcPr>
            <w:tcW w:w="865" w:type="pct"/>
            <w:vAlign w:val="center"/>
          </w:tcPr>
          <w:p w14:paraId="79EFBC20">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1.22</w:t>
            </w:r>
          </w:p>
        </w:tc>
        <w:tc>
          <w:tcPr>
            <w:tcW w:w="760" w:type="pct"/>
            <w:gridSpan w:val="2"/>
            <w:vAlign w:val="center"/>
          </w:tcPr>
          <w:p w14:paraId="7D111C52">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49A95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90" w:hRule="atLeast"/>
        </w:trPr>
        <w:tc>
          <w:tcPr>
            <w:tcW w:w="1653" w:type="pct"/>
            <w:vAlign w:val="center"/>
          </w:tcPr>
          <w:p w14:paraId="6A8777B6">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Na</w:t>
            </w:r>
            <w:r>
              <w:rPr>
                <w:rFonts w:ascii="Times New Roman" w:hAnsi="Times New Roman" w:cs="Times New Roman" w:eastAsiaTheme="minorEastAsia"/>
                <w:color w:val="auto"/>
                <w:w w:val="99"/>
                <w:sz w:val="21"/>
                <w:szCs w:val="21"/>
                <w:highlight w:val="none"/>
                <w:vertAlign w:val="superscript"/>
              </w:rPr>
              <w:t>+</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849" w:type="pct"/>
            <w:vAlign w:val="center"/>
          </w:tcPr>
          <w:p w14:paraId="6A0868AA">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56.3</w:t>
            </w:r>
          </w:p>
        </w:tc>
        <w:tc>
          <w:tcPr>
            <w:tcW w:w="855" w:type="pct"/>
            <w:vAlign w:val="center"/>
          </w:tcPr>
          <w:p w14:paraId="5FA44302">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61.4</w:t>
            </w:r>
          </w:p>
        </w:tc>
        <w:tc>
          <w:tcPr>
            <w:tcW w:w="865" w:type="pct"/>
            <w:vAlign w:val="center"/>
          </w:tcPr>
          <w:p w14:paraId="1BD9183F">
            <w:pPr>
              <w:spacing w:line="320" w:lineRule="exact"/>
              <w:jc w:val="center"/>
              <w:textAlignment w:val="center"/>
              <w:rPr>
                <w:rFonts w:ascii="Times New Roman" w:hAnsi="Times New Roman" w:cs="Times New Roman" w:eastAsiaTheme="minorEastAsia"/>
                <w:color w:val="auto"/>
                <w:w w:val="99"/>
                <w:sz w:val="21"/>
                <w:szCs w:val="21"/>
                <w:highlight w:val="none"/>
                <w:lang w:val="zh-CN"/>
              </w:rPr>
            </w:pPr>
            <w:r>
              <w:rPr>
                <w:rFonts w:hint="eastAsia" w:ascii="Times New Roman" w:hAnsi="Times New Roman" w:cs="Times New Roman" w:eastAsiaTheme="minorEastAsia"/>
                <w:color w:val="auto"/>
                <w:w w:val="99"/>
                <w:sz w:val="21"/>
                <w:szCs w:val="21"/>
                <w:highlight w:val="none"/>
              </w:rPr>
              <w:t>44.2</w:t>
            </w:r>
          </w:p>
        </w:tc>
        <w:tc>
          <w:tcPr>
            <w:tcW w:w="760" w:type="pct"/>
            <w:gridSpan w:val="2"/>
            <w:vAlign w:val="center"/>
          </w:tcPr>
          <w:p w14:paraId="7283E9B2">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≤200</w:t>
            </w:r>
          </w:p>
        </w:tc>
      </w:tr>
      <w:tr w14:paraId="2BD34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0065DB70">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Ca</w:t>
            </w:r>
            <w:r>
              <w:rPr>
                <w:rFonts w:ascii="Times New Roman" w:hAnsi="Times New Roman" w:cs="Times New Roman" w:eastAsiaTheme="minorEastAsia"/>
                <w:color w:val="auto"/>
                <w:w w:val="99"/>
                <w:sz w:val="21"/>
                <w:szCs w:val="21"/>
                <w:highlight w:val="none"/>
                <w:vertAlign w:val="superscript"/>
              </w:rPr>
              <w:t>2+</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849" w:type="pct"/>
            <w:vAlign w:val="center"/>
          </w:tcPr>
          <w:p w14:paraId="5E9FF582">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46.7</w:t>
            </w:r>
          </w:p>
        </w:tc>
        <w:tc>
          <w:tcPr>
            <w:tcW w:w="855" w:type="pct"/>
            <w:vAlign w:val="center"/>
          </w:tcPr>
          <w:p w14:paraId="399A614F">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52.5</w:t>
            </w:r>
          </w:p>
        </w:tc>
        <w:tc>
          <w:tcPr>
            <w:tcW w:w="865" w:type="pct"/>
            <w:vAlign w:val="center"/>
          </w:tcPr>
          <w:p w14:paraId="68F79B6D">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36.9</w:t>
            </w:r>
          </w:p>
        </w:tc>
        <w:tc>
          <w:tcPr>
            <w:tcW w:w="760" w:type="pct"/>
            <w:gridSpan w:val="2"/>
            <w:vAlign w:val="center"/>
          </w:tcPr>
          <w:p w14:paraId="7E12A1B9">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2F7D7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62CF5563">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Mg</w:t>
            </w:r>
            <w:r>
              <w:rPr>
                <w:rFonts w:ascii="Times New Roman" w:hAnsi="Times New Roman" w:cs="Times New Roman" w:eastAsiaTheme="minorEastAsia"/>
                <w:color w:val="auto"/>
                <w:w w:val="99"/>
                <w:sz w:val="21"/>
                <w:szCs w:val="21"/>
                <w:highlight w:val="none"/>
                <w:vertAlign w:val="superscript"/>
              </w:rPr>
              <w:t>2+</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849" w:type="pct"/>
            <w:vAlign w:val="center"/>
          </w:tcPr>
          <w:p w14:paraId="470BA329">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8.92</w:t>
            </w:r>
          </w:p>
        </w:tc>
        <w:tc>
          <w:tcPr>
            <w:tcW w:w="855" w:type="pct"/>
            <w:vAlign w:val="center"/>
          </w:tcPr>
          <w:p w14:paraId="247F40D3">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10.1</w:t>
            </w:r>
          </w:p>
        </w:tc>
        <w:tc>
          <w:tcPr>
            <w:tcW w:w="865" w:type="pct"/>
            <w:vAlign w:val="center"/>
          </w:tcPr>
          <w:p w14:paraId="70B68647">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6.48</w:t>
            </w:r>
          </w:p>
        </w:tc>
        <w:tc>
          <w:tcPr>
            <w:tcW w:w="760" w:type="pct"/>
            <w:gridSpan w:val="2"/>
            <w:vAlign w:val="center"/>
          </w:tcPr>
          <w:p w14:paraId="254A53CC">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0DAB1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7A95FE55">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HCO</w:t>
            </w:r>
            <w:r>
              <w:rPr>
                <w:rFonts w:ascii="Times New Roman" w:hAnsi="Times New Roman" w:cs="Times New Roman" w:eastAsiaTheme="minorEastAsia"/>
                <w:color w:val="auto"/>
                <w:w w:val="99"/>
                <w:sz w:val="21"/>
                <w:szCs w:val="21"/>
                <w:highlight w:val="none"/>
                <w:vertAlign w:val="subscript"/>
              </w:rPr>
              <w:t>3</w:t>
            </w:r>
            <w:r>
              <w:rPr>
                <w:rFonts w:ascii="Times New Roman" w:hAnsi="Times New Roman" w:cs="Times New Roman" w:eastAsiaTheme="minorEastAsia"/>
                <w:color w:val="auto"/>
                <w:w w:val="99"/>
                <w:sz w:val="21"/>
                <w:szCs w:val="21"/>
                <w:highlight w:val="none"/>
                <w:vertAlign w:val="superscript"/>
              </w:rPr>
              <w:t>-</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849" w:type="pct"/>
            <w:vAlign w:val="center"/>
          </w:tcPr>
          <w:p w14:paraId="674AFC56">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232</w:t>
            </w:r>
          </w:p>
        </w:tc>
        <w:tc>
          <w:tcPr>
            <w:tcW w:w="855" w:type="pct"/>
            <w:vAlign w:val="center"/>
          </w:tcPr>
          <w:p w14:paraId="42BF5A04">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245</w:t>
            </w:r>
          </w:p>
        </w:tc>
        <w:tc>
          <w:tcPr>
            <w:tcW w:w="865" w:type="pct"/>
            <w:vAlign w:val="center"/>
          </w:tcPr>
          <w:p w14:paraId="36AFDED6">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166</w:t>
            </w:r>
          </w:p>
        </w:tc>
        <w:tc>
          <w:tcPr>
            <w:tcW w:w="760" w:type="pct"/>
            <w:gridSpan w:val="2"/>
            <w:vAlign w:val="center"/>
          </w:tcPr>
          <w:p w14:paraId="14048D3D">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39F11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781CDE33">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CO</w:t>
            </w:r>
            <w:r>
              <w:rPr>
                <w:rFonts w:ascii="Times New Roman" w:hAnsi="Times New Roman" w:cs="Times New Roman" w:eastAsiaTheme="minorEastAsia"/>
                <w:color w:val="auto"/>
                <w:w w:val="99"/>
                <w:sz w:val="21"/>
                <w:szCs w:val="21"/>
                <w:highlight w:val="none"/>
                <w:vertAlign w:val="subscript"/>
              </w:rPr>
              <w:t>3</w:t>
            </w:r>
            <w:r>
              <w:rPr>
                <w:rFonts w:ascii="Times New Roman" w:hAnsi="Times New Roman" w:cs="Times New Roman" w:eastAsiaTheme="minorEastAsia"/>
                <w:color w:val="auto"/>
                <w:w w:val="99"/>
                <w:sz w:val="21"/>
                <w:szCs w:val="21"/>
                <w:highlight w:val="none"/>
                <w:vertAlign w:val="superscript"/>
              </w:rPr>
              <w:t>2-</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849" w:type="pct"/>
            <w:vAlign w:val="center"/>
          </w:tcPr>
          <w:p w14:paraId="06854FC1">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5L</w:t>
            </w:r>
          </w:p>
        </w:tc>
        <w:tc>
          <w:tcPr>
            <w:tcW w:w="855" w:type="pct"/>
            <w:vAlign w:val="center"/>
          </w:tcPr>
          <w:p w14:paraId="43515117">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5L</w:t>
            </w:r>
          </w:p>
        </w:tc>
        <w:tc>
          <w:tcPr>
            <w:tcW w:w="865" w:type="pct"/>
            <w:vAlign w:val="center"/>
          </w:tcPr>
          <w:p w14:paraId="13C88C7F">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5L</w:t>
            </w:r>
          </w:p>
        </w:tc>
        <w:tc>
          <w:tcPr>
            <w:tcW w:w="760" w:type="pct"/>
            <w:gridSpan w:val="2"/>
            <w:vAlign w:val="center"/>
          </w:tcPr>
          <w:p w14:paraId="0FC2A999">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3D4EE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70B2C5E6">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Cl</w:t>
            </w:r>
            <w:r>
              <w:rPr>
                <w:rFonts w:ascii="Times New Roman" w:hAnsi="Times New Roman" w:cs="Times New Roman" w:eastAsiaTheme="minorEastAsia"/>
                <w:color w:val="auto"/>
                <w:w w:val="99"/>
                <w:sz w:val="21"/>
                <w:szCs w:val="21"/>
                <w:highlight w:val="none"/>
                <w:vertAlign w:val="superscript"/>
              </w:rPr>
              <w:t>-</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849" w:type="pct"/>
            <w:vAlign w:val="center"/>
          </w:tcPr>
          <w:p w14:paraId="155F0A55">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43</w:t>
            </w:r>
          </w:p>
        </w:tc>
        <w:tc>
          <w:tcPr>
            <w:tcW w:w="855" w:type="pct"/>
            <w:vAlign w:val="center"/>
          </w:tcPr>
          <w:p w14:paraId="7A1C296E">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51</w:t>
            </w:r>
          </w:p>
        </w:tc>
        <w:tc>
          <w:tcPr>
            <w:tcW w:w="865" w:type="pct"/>
            <w:vAlign w:val="center"/>
          </w:tcPr>
          <w:p w14:paraId="03E7ED93">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33</w:t>
            </w:r>
          </w:p>
        </w:tc>
        <w:tc>
          <w:tcPr>
            <w:tcW w:w="760" w:type="pct"/>
            <w:gridSpan w:val="2"/>
            <w:vAlign w:val="center"/>
          </w:tcPr>
          <w:p w14:paraId="7391D96C">
            <w:pPr>
              <w:spacing w:line="32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w w:val="99"/>
                <w:sz w:val="21"/>
                <w:szCs w:val="21"/>
                <w:highlight w:val="none"/>
              </w:rPr>
              <w:t>≤</w:t>
            </w:r>
            <w:r>
              <w:rPr>
                <w:rFonts w:ascii="Times New Roman" w:hAnsi="Times New Roman" w:cs="Times New Roman" w:eastAsiaTheme="minorEastAsia"/>
                <w:color w:val="auto"/>
                <w:spacing w:val="-20"/>
                <w:w w:val="99"/>
                <w:sz w:val="21"/>
                <w:szCs w:val="21"/>
                <w:highlight w:val="none"/>
              </w:rPr>
              <w:t>250</w:t>
            </w:r>
          </w:p>
        </w:tc>
      </w:tr>
      <w:tr w14:paraId="2C147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16FAA172">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4</w:t>
            </w:r>
            <w:r>
              <w:rPr>
                <w:rFonts w:ascii="Times New Roman" w:hAnsi="Times New Roman" w:cs="Times New Roman" w:eastAsiaTheme="minorEastAsia"/>
                <w:color w:val="auto"/>
                <w:w w:val="99"/>
                <w:sz w:val="21"/>
                <w:szCs w:val="21"/>
                <w:highlight w:val="none"/>
                <w:vertAlign w:val="superscript"/>
              </w:rPr>
              <w:t>2-</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849" w:type="pct"/>
            <w:vAlign w:val="center"/>
          </w:tcPr>
          <w:p w14:paraId="28105600">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37</w:t>
            </w:r>
          </w:p>
        </w:tc>
        <w:tc>
          <w:tcPr>
            <w:tcW w:w="855" w:type="pct"/>
            <w:vAlign w:val="center"/>
          </w:tcPr>
          <w:p w14:paraId="15C011B3">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46</w:t>
            </w:r>
          </w:p>
        </w:tc>
        <w:tc>
          <w:tcPr>
            <w:tcW w:w="865" w:type="pct"/>
            <w:vAlign w:val="center"/>
          </w:tcPr>
          <w:p w14:paraId="0150FA2D">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23</w:t>
            </w:r>
          </w:p>
        </w:tc>
        <w:tc>
          <w:tcPr>
            <w:tcW w:w="760" w:type="pct"/>
            <w:gridSpan w:val="2"/>
            <w:vAlign w:val="center"/>
          </w:tcPr>
          <w:p w14:paraId="1A9A49F8">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r>
              <w:rPr>
                <w:rFonts w:ascii="Times New Roman" w:hAnsi="Times New Roman" w:cs="Times New Roman" w:eastAsiaTheme="minorEastAsia"/>
                <w:color w:val="auto"/>
                <w:spacing w:val="-20"/>
                <w:w w:val="99"/>
                <w:sz w:val="21"/>
                <w:szCs w:val="21"/>
                <w:highlight w:val="none"/>
              </w:rPr>
              <w:t>250</w:t>
            </w:r>
          </w:p>
        </w:tc>
      </w:tr>
      <w:tr w14:paraId="48A5D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29018B14">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pH</w:t>
            </w:r>
            <w:r>
              <w:rPr>
                <w:rFonts w:ascii="Times New Roman" w:hAnsi="Times New Roman" w:cs="Times New Roman" w:eastAsiaTheme="minorEastAsia"/>
                <w:color w:val="auto"/>
                <w:w w:val="99"/>
                <w:sz w:val="21"/>
                <w:szCs w:val="21"/>
                <w:highlight w:val="none"/>
                <w:lang w:val="zh-CN"/>
              </w:rPr>
              <w:t>（无量纲）</w:t>
            </w:r>
          </w:p>
        </w:tc>
        <w:tc>
          <w:tcPr>
            <w:tcW w:w="849" w:type="pct"/>
            <w:vAlign w:val="bottom"/>
          </w:tcPr>
          <w:p w14:paraId="3B41537F">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7.6</w:t>
            </w:r>
          </w:p>
        </w:tc>
        <w:tc>
          <w:tcPr>
            <w:tcW w:w="855" w:type="pct"/>
            <w:vAlign w:val="center"/>
          </w:tcPr>
          <w:p w14:paraId="542D0D6F">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7.7</w:t>
            </w:r>
          </w:p>
        </w:tc>
        <w:tc>
          <w:tcPr>
            <w:tcW w:w="865" w:type="pct"/>
            <w:vAlign w:val="bottom"/>
          </w:tcPr>
          <w:p w14:paraId="037F917F">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7.6</w:t>
            </w:r>
          </w:p>
        </w:tc>
        <w:tc>
          <w:tcPr>
            <w:tcW w:w="760" w:type="pct"/>
            <w:gridSpan w:val="2"/>
            <w:vAlign w:val="center"/>
          </w:tcPr>
          <w:p w14:paraId="4FFD6F5B">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6.5～8.5</w:t>
            </w:r>
          </w:p>
        </w:tc>
      </w:tr>
      <w:tr w14:paraId="2602E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1CEBD34E">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总硬度</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849" w:type="pct"/>
            <w:vAlign w:val="center"/>
          </w:tcPr>
          <w:p w14:paraId="1E1620EB">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154</w:t>
            </w:r>
          </w:p>
        </w:tc>
        <w:tc>
          <w:tcPr>
            <w:tcW w:w="855" w:type="pct"/>
            <w:vAlign w:val="center"/>
          </w:tcPr>
          <w:p w14:paraId="51F99915">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173</w:t>
            </w:r>
          </w:p>
        </w:tc>
        <w:tc>
          <w:tcPr>
            <w:tcW w:w="865" w:type="pct"/>
            <w:vAlign w:val="center"/>
          </w:tcPr>
          <w:p w14:paraId="74050070">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119</w:t>
            </w:r>
          </w:p>
        </w:tc>
        <w:tc>
          <w:tcPr>
            <w:tcW w:w="760" w:type="pct"/>
            <w:gridSpan w:val="2"/>
            <w:vAlign w:val="center"/>
          </w:tcPr>
          <w:p w14:paraId="7EEEB0D6">
            <w:pPr>
              <w:widowControl w:val="0"/>
              <w:adjustRightInd w:val="0"/>
              <w:spacing w:line="320" w:lineRule="exact"/>
              <w:jc w:val="center"/>
              <w:textAlignment w:val="baseline"/>
              <w:rPr>
                <w:rFonts w:ascii="Times New Roman" w:hAnsi="Times New Roman" w:cs="Times New Roman" w:eastAsiaTheme="minorEastAsia"/>
                <w:color w:val="auto"/>
                <w:w w:val="99"/>
                <w:kern w:val="21"/>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≤450</w:t>
            </w:r>
          </w:p>
        </w:tc>
      </w:tr>
      <w:tr w14:paraId="743E4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597794CD">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溶解性总固体</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849" w:type="pct"/>
            <w:vAlign w:val="bottom"/>
          </w:tcPr>
          <w:p w14:paraId="5B946A9E">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503</w:t>
            </w:r>
          </w:p>
        </w:tc>
        <w:tc>
          <w:tcPr>
            <w:tcW w:w="855" w:type="pct"/>
            <w:vAlign w:val="center"/>
          </w:tcPr>
          <w:p w14:paraId="67CB09AF">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554</w:t>
            </w:r>
          </w:p>
        </w:tc>
        <w:tc>
          <w:tcPr>
            <w:tcW w:w="865" w:type="pct"/>
            <w:vAlign w:val="bottom"/>
          </w:tcPr>
          <w:p w14:paraId="096CF316">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371</w:t>
            </w:r>
          </w:p>
        </w:tc>
        <w:tc>
          <w:tcPr>
            <w:tcW w:w="760" w:type="pct"/>
            <w:gridSpan w:val="2"/>
            <w:vAlign w:val="center"/>
          </w:tcPr>
          <w:p w14:paraId="33B65096">
            <w:pPr>
              <w:spacing w:line="320" w:lineRule="exact"/>
              <w:jc w:val="center"/>
              <w:textAlignment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rPr>
              <w:t>≤1000</w:t>
            </w:r>
          </w:p>
        </w:tc>
      </w:tr>
      <w:tr w14:paraId="2D532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14A25056">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耗氧量</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849" w:type="pct"/>
            <w:vAlign w:val="bottom"/>
          </w:tcPr>
          <w:p w14:paraId="31F0A752">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2.0</w:t>
            </w:r>
          </w:p>
        </w:tc>
        <w:tc>
          <w:tcPr>
            <w:tcW w:w="855" w:type="pct"/>
            <w:vAlign w:val="center"/>
          </w:tcPr>
          <w:p w14:paraId="784FB17A">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2.2</w:t>
            </w:r>
          </w:p>
        </w:tc>
        <w:tc>
          <w:tcPr>
            <w:tcW w:w="865" w:type="pct"/>
            <w:vAlign w:val="bottom"/>
          </w:tcPr>
          <w:p w14:paraId="60EA0DBD">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1.8</w:t>
            </w:r>
          </w:p>
        </w:tc>
        <w:tc>
          <w:tcPr>
            <w:tcW w:w="760" w:type="pct"/>
            <w:gridSpan w:val="2"/>
            <w:vAlign w:val="center"/>
          </w:tcPr>
          <w:p w14:paraId="0E1DEE7E">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≤3.0</w:t>
            </w:r>
          </w:p>
        </w:tc>
      </w:tr>
      <w:tr w14:paraId="1E833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693EE140">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挥发性酚类</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849" w:type="pct"/>
            <w:vAlign w:val="center"/>
          </w:tcPr>
          <w:p w14:paraId="2C544F6F">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0.0003L</w:t>
            </w:r>
          </w:p>
        </w:tc>
        <w:tc>
          <w:tcPr>
            <w:tcW w:w="855" w:type="pct"/>
            <w:vAlign w:val="center"/>
          </w:tcPr>
          <w:p w14:paraId="3978207A">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0.0003L</w:t>
            </w:r>
          </w:p>
        </w:tc>
        <w:tc>
          <w:tcPr>
            <w:tcW w:w="865" w:type="pct"/>
            <w:vAlign w:val="center"/>
          </w:tcPr>
          <w:p w14:paraId="2B8F8FAE">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0.0003L</w:t>
            </w:r>
          </w:p>
        </w:tc>
        <w:tc>
          <w:tcPr>
            <w:tcW w:w="760" w:type="pct"/>
            <w:gridSpan w:val="2"/>
            <w:vAlign w:val="center"/>
          </w:tcPr>
          <w:p w14:paraId="3D87D1AA">
            <w:pPr>
              <w:widowControl w:val="0"/>
              <w:adjustRightInd w:val="0"/>
              <w:spacing w:line="320" w:lineRule="exact"/>
              <w:jc w:val="center"/>
              <w:textAlignment w:val="baseline"/>
              <w:rPr>
                <w:rFonts w:ascii="Times New Roman" w:hAnsi="Times New Roman" w:cs="Times New Roman" w:eastAsiaTheme="minorEastAsia"/>
                <w:color w:val="auto"/>
                <w:w w:val="99"/>
                <w:kern w:val="21"/>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≤0.002</w:t>
            </w:r>
          </w:p>
        </w:tc>
      </w:tr>
      <w:tr w14:paraId="1794EF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2BD0A513">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氰化物</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849" w:type="pct"/>
            <w:vAlign w:val="center"/>
          </w:tcPr>
          <w:p w14:paraId="7E599CEB">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0.002L</w:t>
            </w:r>
          </w:p>
        </w:tc>
        <w:tc>
          <w:tcPr>
            <w:tcW w:w="855" w:type="pct"/>
            <w:vAlign w:val="center"/>
          </w:tcPr>
          <w:p w14:paraId="4EE5ED77">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0.002L</w:t>
            </w:r>
          </w:p>
        </w:tc>
        <w:tc>
          <w:tcPr>
            <w:tcW w:w="865" w:type="pct"/>
            <w:vAlign w:val="center"/>
          </w:tcPr>
          <w:p w14:paraId="123E4A21">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0.002L</w:t>
            </w:r>
          </w:p>
        </w:tc>
        <w:tc>
          <w:tcPr>
            <w:tcW w:w="760" w:type="pct"/>
            <w:gridSpan w:val="2"/>
            <w:vAlign w:val="center"/>
          </w:tcPr>
          <w:p w14:paraId="7AAE9B9E">
            <w:pPr>
              <w:widowControl w:val="0"/>
              <w:adjustRightInd w:val="0"/>
              <w:spacing w:line="320" w:lineRule="exact"/>
              <w:jc w:val="center"/>
              <w:textAlignment w:val="baseline"/>
              <w:rPr>
                <w:rFonts w:ascii="Times New Roman" w:hAnsi="Times New Roman" w:cs="Times New Roman" w:eastAsiaTheme="minorEastAsia"/>
                <w:color w:val="auto"/>
                <w:w w:val="99"/>
                <w:kern w:val="21"/>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≤0.05</w:t>
            </w:r>
          </w:p>
        </w:tc>
      </w:tr>
      <w:tr w14:paraId="076E1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47A608F8">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氟化物</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849" w:type="pct"/>
            <w:vAlign w:val="center"/>
          </w:tcPr>
          <w:p w14:paraId="47B2FF57">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0.29</w:t>
            </w:r>
          </w:p>
        </w:tc>
        <w:tc>
          <w:tcPr>
            <w:tcW w:w="855" w:type="pct"/>
            <w:vAlign w:val="center"/>
          </w:tcPr>
          <w:p w14:paraId="38FA8000">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0.31</w:t>
            </w:r>
          </w:p>
        </w:tc>
        <w:tc>
          <w:tcPr>
            <w:tcW w:w="865" w:type="pct"/>
            <w:vAlign w:val="center"/>
          </w:tcPr>
          <w:p w14:paraId="386DFA77">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0.11</w:t>
            </w:r>
          </w:p>
        </w:tc>
        <w:tc>
          <w:tcPr>
            <w:tcW w:w="760" w:type="pct"/>
            <w:gridSpan w:val="2"/>
            <w:vAlign w:val="center"/>
          </w:tcPr>
          <w:p w14:paraId="6E2E75E7">
            <w:pPr>
              <w:widowControl w:val="0"/>
              <w:adjustRightInd w:val="0"/>
              <w:spacing w:line="320" w:lineRule="exact"/>
              <w:jc w:val="center"/>
              <w:textAlignment w:val="baseline"/>
              <w:rPr>
                <w:rFonts w:ascii="Times New Roman" w:hAnsi="Times New Roman" w:cs="Times New Roman" w:eastAsiaTheme="minorEastAsia"/>
                <w:color w:val="auto"/>
                <w:w w:val="99"/>
                <w:kern w:val="21"/>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≤1.0</w:t>
            </w:r>
          </w:p>
        </w:tc>
      </w:tr>
      <w:tr w14:paraId="5EDDC0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25148C60">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硝酸盐</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849" w:type="pct"/>
            <w:vAlign w:val="center"/>
          </w:tcPr>
          <w:p w14:paraId="205A029D">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2.45</w:t>
            </w:r>
          </w:p>
        </w:tc>
        <w:tc>
          <w:tcPr>
            <w:tcW w:w="855" w:type="pct"/>
            <w:vAlign w:val="center"/>
          </w:tcPr>
          <w:p w14:paraId="3822FC4E">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1.91</w:t>
            </w:r>
          </w:p>
        </w:tc>
        <w:tc>
          <w:tcPr>
            <w:tcW w:w="865" w:type="pct"/>
            <w:vAlign w:val="center"/>
          </w:tcPr>
          <w:p w14:paraId="40DBEF3F">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1.41</w:t>
            </w:r>
          </w:p>
        </w:tc>
        <w:tc>
          <w:tcPr>
            <w:tcW w:w="760" w:type="pct"/>
            <w:gridSpan w:val="2"/>
            <w:vAlign w:val="center"/>
          </w:tcPr>
          <w:p w14:paraId="50762106">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≤20</w:t>
            </w:r>
          </w:p>
        </w:tc>
      </w:tr>
      <w:tr w14:paraId="05E87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7C1C3550">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亚硝酸盐</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849" w:type="pct"/>
            <w:vAlign w:val="center"/>
          </w:tcPr>
          <w:p w14:paraId="6136326D">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0.003L</w:t>
            </w:r>
          </w:p>
        </w:tc>
        <w:tc>
          <w:tcPr>
            <w:tcW w:w="855" w:type="pct"/>
            <w:vAlign w:val="center"/>
          </w:tcPr>
          <w:p w14:paraId="77395CE1">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0.003L</w:t>
            </w:r>
          </w:p>
        </w:tc>
        <w:tc>
          <w:tcPr>
            <w:tcW w:w="865" w:type="pct"/>
            <w:vAlign w:val="center"/>
          </w:tcPr>
          <w:p w14:paraId="0731E432">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0.003L</w:t>
            </w:r>
          </w:p>
        </w:tc>
        <w:tc>
          <w:tcPr>
            <w:tcW w:w="760" w:type="pct"/>
            <w:gridSpan w:val="2"/>
            <w:vAlign w:val="center"/>
          </w:tcPr>
          <w:p w14:paraId="200BF5FB">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≤1.0</w:t>
            </w:r>
          </w:p>
        </w:tc>
      </w:tr>
      <w:tr w14:paraId="3B3235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414E9B7E">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sz w:val="21"/>
                <w:szCs w:val="21"/>
                <w:highlight w:val="none"/>
              </w:rPr>
              <w:t>氨氮</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849" w:type="pct"/>
            <w:vAlign w:val="center"/>
          </w:tcPr>
          <w:p w14:paraId="7FAFFD6C">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0.289</w:t>
            </w:r>
          </w:p>
        </w:tc>
        <w:tc>
          <w:tcPr>
            <w:tcW w:w="855" w:type="pct"/>
            <w:vAlign w:val="center"/>
          </w:tcPr>
          <w:p w14:paraId="1D9A1179">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0.214</w:t>
            </w:r>
          </w:p>
        </w:tc>
        <w:tc>
          <w:tcPr>
            <w:tcW w:w="865" w:type="pct"/>
            <w:vAlign w:val="center"/>
          </w:tcPr>
          <w:p w14:paraId="5B6AE6B6">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0.112</w:t>
            </w:r>
          </w:p>
        </w:tc>
        <w:tc>
          <w:tcPr>
            <w:tcW w:w="760" w:type="pct"/>
            <w:gridSpan w:val="2"/>
            <w:vAlign w:val="center"/>
          </w:tcPr>
          <w:p w14:paraId="2F21B53A">
            <w:pPr>
              <w:spacing w:line="320" w:lineRule="exact"/>
              <w:jc w:val="center"/>
              <w:textAlignment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rPr>
              <w:t>≤0.5</w:t>
            </w:r>
          </w:p>
        </w:tc>
      </w:tr>
      <w:tr w14:paraId="45693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102D22A2">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六价铬</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849" w:type="pct"/>
            <w:vAlign w:val="center"/>
          </w:tcPr>
          <w:p w14:paraId="2E966D0E">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0.004L</w:t>
            </w:r>
          </w:p>
        </w:tc>
        <w:tc>
          <w:tcPr>
            <w:tcW w:w="855" w:type="pct"/>
            <w:vAlign w:val="center"/>
          </w:tcPr>
          <w:p w14:paraId="5BE28182">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0.004L</w:t>
            </w:r>
          </w:p>
        </w:tc>
        <w:tc>
          <w:tcPr>
            <w:tcW w:w="865" w:type="pct"/>
            <w:vAlign w:val="center"/>
          </w:tcPr>
          <w:p w14:paraId="44D2930B">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0.004L</w:t>
            </w:r>
          </w:p>
        </w:tc>
        <w:tc>
          <w:tcPr>
            <w:tcW w:w="760" w:type="pct"/>
            <w:gridSpan w:val="2"/>
            <w:vAlign w:val="center"/>
          </w:tcPr>
          <w:p w14:paraId="5D5FF5E5">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≤0.05</w:t>
            </w:r>
          </w:p>
        </w:tc>
      </w:tr>
      <w:tr w14:paraId="629A11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707FECEB">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砷</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849" w:type="pct"/>
            <w:vAlign w:val="center"/>
          </w:tcPr>
          <w:p w14:paraId="76B0E688">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0.0003L</w:t>
            </w:r>
          </w:p>
        </w:tc>
        <w:tc>
          <w:tcPr>
            <w:tcW w:w="855" w:type="pct"/>
            <w:vAlign w:val="center"/>
          </w:tcPr>
          <w:p w14:paraId="7B88F6A6">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0.0003L</w:t>
            </w:r>
          </w:p>
        </w:tc>
        <w:tc>
          <w:tcPr>
            <w:tcW w:w="865" w:type="pct"/>
            <w:vAlign w:val="center"/>
          </w:tcPr>
          <w:p w14:paraId="2CEE8678">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0.0003L</w:t>
            </w:r>
          </w:p>
        </w:tc>
        <w:tc>
          <w:tcPr>
            <w:tcW w:w="760" w:type="pct"/>
            <w:gridSpan w:val="2"/>
            <w:vAlign w:val="center"/>
          </w:tcPr>
          <w:p w14:paraId="55A97FD6">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≤0.01</w:t>
            </w:r>
          </w:p>
        </w:tc>
      </w:tr>
      <w:tr w14:paraId="5EBC1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4B92D746">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铅</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849" w:type="pct"/>
            <w:vAlign w:val="center"/>
          </w:tcPr>
          <w:p w14:paraId="5B597B09">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0.001L</w:t>
            </w:r>
          </w:p>
        </w:tc>
        <w:tc>
          <w:tcPr>
            <w:tcW w:w="855" w:type="pct"/>
            <w:vAlign w:val="center"/>
          </w:tcPr>
          <w:p w14:paraId="12D1E39C">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0.001L</w:t>
            </w:r>
          </w:p>
        </w:tc>
        <w:tc>
          <w:tcPr>
            <w:tcW w:w="865" w:type="pct"/>
            <w:vAlign w:val="center"/>
          </w:tcPr>
          <w:p w14:paraId="1BF6CA34">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0.001L</w:t>
            </w:r>
          </w:p>
        </w:tc>
        <w:tc>
          <w:tcPr>
            <w:tcW w:w="760" w:type="pct"/>
            <w:gridSpan w:val="2"/>
            <w:vAlign w:val="center"/>
          </w:tcPr>
          <w:p w14:paraId="65B7FEEF">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≤0.01</w:t>
            </w:r>
          </w:p>
        </w:tc>
      </w:tr>
      <w:tr w14:paraId="04F694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7033E011">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铁</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849" w:type="pct"/>
            <w:vAlign w:val="center"/>
          </w:tcPr>
          <w:p w14:paraId="1127E02B">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0.26</w:t>
            </w:r>
          </w:p>
        </w:tc>
        <w:tc>
          <w:tcPr>
            <w:tcW w:w="855" w:type="pct"/>
            <w:vAlign w:val="center"/>
          </w:tcPr>
          <w:p w14:paraId="41CF8BFE">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0.27</w:t>
            </w:r>
          </w:p>
        </w:tc>
        <w:tc>
          <w:tcPr>
            <w:tcW w:w="865" w:type="pct"/>
            <w:vAlign w:val="center"/>
          </w:tcPr>
          <w:p w14:paraId="4E3E2FBE">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0.20</w:t>
            </w:r>
          </w:p>
        </w:tc>
        <w:tc>
          <w:tcPr>
            <w:tcW w:w="760" w:type="pct"/>
            <w:gridSpan w:val="2"/>
            <w:vAlign w:val="center"/>
          </w:tcPr>
          <w:p w14:paraId="42BA6D0E">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≤0.3</w:t>
            </w:r>
          </w:p>
        </w:tc>
      </w:tr>
      <w:tr w14:paraId="53778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02AD65E7">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汞</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849" w:type="pct"/>
            <w:vAlign w:val="center"/>
          </w:tcPr>
          <w:p w14:paraId="512AF462">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0.00004L</w:t>
            </w:r>
          </w:p>
        </w:tc>
        <w:tc>
          <w:tcPr>
            <w:tcW w:w="855" w:type="pct"/>
            <w:vAlign w:val="center"/>
          </w:tcPr>
          <w:p w14:paraId="77EE268C">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0.00004L</w:t>
            </w:r>
          </w:p>
        </w:tc>
        <w:tc>
          <w:tcPr>
            <w:tcW w:w="865" w:type="pct"/>
            <w:vAlign w:val="center"/>
          </w:tcPr>
          <w:p w14:paraId="107E7076">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0.00004L</w:t>
            </w:r>
          </w:p>
        </w:tc>
        <w:tc>
          <w:tcPr>
            <w:tcW w:w="760" w:type="pct"/>
            <w:gridSpan w:val="2"/>
            <w:vAlign w:val="center"/>
          </w:tcPr>
          <w:p w14:paraId="5DAD1125">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≤0.001</w:t>
            </w:r>
          </w:p>
        </w:tc>
      </w:tr>
      <w:tr w14:paraId="02D62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2C844DB8">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锰</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849" w:type="pct"/>
            <w:vAlign w:val="center"/>
          </w:tcPr>
          <w:p w14:paraId="6AA65413">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0.09</w:t>
            </w:r>
          </w:p>
        </w:tc>
        <w:tc>
          <w:tcPr>
            <w:tcW w:w="855" w:type="pct"/>
            <w:vAlign w:val="center"/>
          </w:tcPr>
          <w:p w14:paraId="09F43AA4">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0.11</w:t>
            </w:r>
          </w:p>
        </w:tc>
        <w:tc>
          <w:tcPr>
            <w:tcW w:w="865" w:type="pct"/>
            <w:vAlign w:val="center"/>
          </w:tcPr>
          <w:p w14:paraId="04D107EF">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0.02</w:t>
            </w:r>
          </w:p>
        </w:tc>
        <w:tc>
          <w:tcPr>
            <w:tcW w:w="760" w:type="pct"/>
            <w:gridSpan w:val="2"/>
            <w:vAlign w:val="center"/>
          </w:tcPr>
          <w:p w14:paraId="622A10DF">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≤0.1</w:t>
            </w:r>
          </w:p>
        </w:tc>
      </w:tr>
      <w:tr w14:paraId="20768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6D601908">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镉</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849" w:type="pct"/>
            <w:vAlign w:val="center"/>
          </w:tcPr>
          <w:p w14:paraId="1AAD445E">
            <w:pPr>
              <w:pStyle w:val="173"/>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0.0001L</w:t>
            </w:r>
          </w:p>
        </w:tc>
        <w:tc>
          <w:tcPr>
            <w:tcW w:w="855" w:type="pct"/>
            <w:vAlign w:val="center"/>
          </w:tcPr>
          <w:p w14:paraId="04248951">
            <w:pPr>
              <w:pStyle w:val="173"/>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0.0001L</w:t>
            </w:r>
          </w:p>
        </w:tc>
        <w:tc>
          <w:tcPr>
            <w:tcW w:w="865" w:type="pct"/>
            <w:vAlign w:val="center"/>
          </w:tcPr>
          <w:p w14:paraId="7A698F5A">
            <w:pPr>
              <w:pStyle w:val="173"/>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0.0001L</w:t>
            </w:r>
          </w:p>
        </w:tc>
        <w:tc>
          <w:tcPr>
            <w:tcW w:w="760" w:type="pct"/>
            <w:gridSpan w:val="2"/>
            <w:vAlign w:val="center"/>
          </w:tcPr>
          <w:p w14:paraId="3EAD7BE3">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≤0.005</w:t>
            </w:r>
          </w:p>
        </w:tc>
      </w:tr>
      <w:tr w14:paraId="6D09E6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7E3D44D5">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石油类</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849" w:type="pct"/>
            <w:vAlign w:val="center"/>
          </w:tcPr>
          <w:p w14:paraId="0F86A56E">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0.01L</w:t>
            </w:r>
          </w:p>
        </w:tc>
        <w:tc>
          <w:tcPr>
            <w:tcW w:w="855" w:type="pct"/>
            <w:vAlign w:val="center"/>
          </w:tcPr>
          <w:p w14:paraId="3B851ECA">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0.01L</w:t>
            </w:r>
          </w:p>
        </w:tc>
        <w:tc>
          <w:tcPr>
            <w:tcW w:w="865" w:type="pct"/>
            <w:vAlign w:val="center"/>
          </w:tcPr>
          <w:p w14:paraId="34DF7967">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0.01L</w:t>
            </w:r>
          </w:p>
        </w:tc>
        <w:tc>
          <w:tcPr>
            <w:tcW w:w="760" w:type="pct"/>
            <w:gridSpan w:val="2"/>
            <w:vAlign w:val="center"/>
          </w:tcPr>
          <w:p w14:paraId="7C4137E2">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≤0.05</w:t>
            </w:r>
          </w:p>
        </w:tc>
      </w:tr>
      <w:tr w14:paraId="057353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2FE20010">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总大肠菌群（MPN/100mL）</w:t>
            </w:r>
          </w:p>
        </w:tc>
        <w:tc>
          <w:tcPr>
            <w:tcW w:w="849" w:type="pct"/>
            <w:vAlign w:val="center"/>
          </w:tcPr>
          <w:p w14:paraId="0C29419A">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2L</w:t>
            </w:r>
          </w:p>
        </w:tc>
        <w:tc>
          <w:tcPr>
            <w:tcW w:w="855" w:type="pct"/>
            <w:vAlign w:val="center"/>
          </w:tcPr>
          <w:p w14:paraId="25C677FB">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2L</w:t>
            </w:r>
          </w:p>
        </w:tc>
        <w:tc>
          <w:tcPr>
            <w:tcW w:w="865" w:type="pct"/>
            <w:vAlign w:val="center"/>
          </w:tcPr>
          <w:p w14:paraId="435356A2">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2L</w:t>
            </w:r>
          </w:p>
        </w:tc>
        <w:tc>
          <w:tcPr>
            <w:tcW w:w="760" w:type="pct"/>
            <w:gridSpan w:val="2"/>
            <w:vAlign w:val="center"/>
          </w:tcPr>
          <w:p w14:paraId="6F2F5240">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≤3.0</w:t>
            </w:r>
          </w:p>
        </w:tc>
      </w:tr>
      <w:tr w14:paraId="45965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3454E8FF">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菌落总数（CFU/mL）</w:t>
            </w:r>
          </w:p>
        </w:tc>
        <w:tc>
          <w:tcPr>
            <w:tcW w:w="849" w:type="pct"/>
            <w:vAlign w:val="center"/>
          </w:tcPr>
          <w:p w14:paraId="387B5B66">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10</w:t>
            </w:r>
          </w:p>
        </w:tc>
        <w:tc>
          <w:tcPr>
            <w:tcW w:w="855" w:type="pct"/>
            <w:vAlign w:val="center"/>
          </w:tcPr>
          <w:p w14:paraId="6F6E2CF2">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11</w:t>
            </w:r>
          </w:p>
        </w:tc>
        <w:tc>
          <w:tcPr>
            <w:tcW w:w="865" w:type="pct"/>
            <w:vAlign w:val="center"/>
          </w:tcPr>
          <w:p w14:paraId="1C616FC5">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8</w:t>
            </w:r>
          </w:p>
        </w:tc>
        <w:tc>
          <w:tcPr>
            <w:tcW w:w="760" w:type="pct"/>
            <w:gridSpan w:val="2"/>
            <w:vAlign w:val="center"/>
          </w:tcPr>
          <w:p w14:paraId="6109873F">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≤100</w:t>
            </w:r>
          </w:p>
        </w:tc>
      </w:tr>
      <w:tr w14:paraId="43B41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34522782">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硫化物（mg/L）</w:t>
            </w:r>
          </w:p>
        </w:tc>
        <w:tc>
          <w:tcPr>
            <w:tcW w:w="849" w:type="pct"/>
            <w:vAlign w:val="center"/>
          </w:tcPr>
          <w:p w14:paraId="4EC282D6">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0.003L</w:t>
            </w:r>
          </w:p>
        </w:tc>
        <w:tc>
          <w:tcPr>
            <w:tcW w:w="855" w:type="pct"/>
            <w:vAlign w:val="center"/>
          </w:tcPr>
          <w:p w14:paraId="17223911">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0.003L</w:t>
            </w:r>
          </w:p>
        </w:tc>
        <w:tc>
          <w:tcPr>
            <w:tcW w:w="865" w:type="pct"/>
            <w:vAlign w:val="center"/>
          </w:tcPr>
          <w:p w14:paraId="4684D43B">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0.003L</w:t>
            </w:r>
          </w:p>
        </w:tc>
        <w:tc>
          <w:tcPr>
            <w:tcW w:w="760" w:type="pct"/>
            <w:gridSpan w:val="2"/>
            <w:vAlign w:val="center"/>
          </w:tcPr>
          <w:p w14:paraId="70CEAC47">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rPr>
              <w:t>≤0.02</w:t>
            </w:r>
          </w:p>
        </w:tc>
      </w:tr>
      <w:tr w14:paraId="4A4B7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pct"/>
          <w:trHeight w:val="340" w:hRule="atLeast"/>
        </w:trPr>
        <w:tc>
          <w:tcPr>
            <w:tcW w:w="1653" w:type="pct"/>
            <w:vAlign w:val="center"/>
          </w:tcPr>
          <w:p w14:paraId="702DEC1A">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钡</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μg/L）</w:t>
            </w:r>
          </w:p>
        </w:tc>
        <w:tc>
          <w:tcPr>
            <w:tcW w:w="849" w:type="pct"/>
            <w:vAlign w:val="center"/>
          </w:tcPr>
          <w:p w14:paraId="2CC79D61">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0.01L</w:t>
            </w:r>
          </w:p>
        </w:tc>
        <w:tc>
          <w:tcPr>
            <w:tcW w:w="855" w:type="pct"/>
            <w:vAlign w:val="center"/>
          </w:tcPr>
          <w:p w14:paraId="00ED5681">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0.01L</w:t>
            </w:r>
          </w:p>
        </w:tc>
        <w:tc>
          <w:tcPr>
            <w:tcW w:w="865" w:type="pct"/>
            <w:vAlign w:val="center"/>
          </w:tcPr>
          <w:p w14:paraId="25E1C919">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0.01L</w:t>
            </w:r>
          </w:p>
        </w:tc>
        <w:tc>
          <w:tcPr>
            <w:tcW w:w="760" w:type="pct"/>
            <w:gridSpan w:val="2"/>
            <w:vAlign w:val="center"/>
          </w:tcPr>
          <w:p w14:paraId="61EC88DD">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rPr>
            </w:pPr>
            <w:r>
              <w:rPr>
                <w:rFonts w:ascii="Times New Roman" w:hAnsi="Times New Roman" w:cs="Times New Roman"/>
                <w:color w:val="auto"/>
                <w:kern w:val="2"/>
                <w:sz w:val="21"/>
                <w:szCs w:val="21"/>
                <w:highlight w:val="none"/>
              </w:rPr>
              <w:t>≤700</w:t>
            </w:r>
          </w:p>
        </w:tc>
      </w:tr>
    </w:tbl>
    <w:p w14:paraId="4CFD8BE5">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4.3.2.3地下水水质现状评价</w:t>
      </w:r>
    </w:p>
    <w:p w14:paraId="35ECA83C">
      <w:pPr>
        <w:pStyle w:val="42"/>
        <w:widowControl w:val="0"/>
        <w:spacing w:line="440" w:lineRule="exact"/>
        <w:ind w:firstLine="474" w:firstLineChars="200"/>
        <w:rPr>
          <w:rFonts w:ascii="Times New Roman" w:hAnsi="Times New Roman"/>
          <w:color w:val="auto"/>
          <w:w w:val="99"/>
          <w:sz w:val="24"/>
          <w:highlight w:val="none"/>
        </w:rPr>
      </w:pPr>
      <w:r>
        <w:rPr>
          <w:rFonts w:ascii="Times New Roman" w:hAnsi="Times New Roman"/>
          <w:color w:val="auto"/>
          <w:w w:val="99"/>
          <w:sz w:val="24"/>
          <w:highlight w:val="none"/>
        </w:rPr>
        <w:t>（1）评价标准</w:t>
      </w:r>
    </w:p>
    <w:p w14:paraId="52FEC9AE">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采用《地下水质量标准》（GB/T14848-2017）中Ⅲ类标准，石油类参照《地表水环境质量标准》（GB3838-2002）中的Ⅱ类标准执行≤0.05mg/L。</w:t>
      </w:r>
    </w:p>
    <w:p w14:paraId="138C07C8">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（2）评价方法</w:t>
      </w:r>
    </w:p>
    <w:p w14:paraId="7E1348E3">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采用单因子标准指数法对地下水水质现状监测结果进行评价，评价模式如下：</w:t>
      </w:r>
    </w:p>
    <w:p w14:paraId="44E02660">
      <w:pPr>
        <w:jc w:val="center"/>
        <w:rPr>
          <w:rFonts w:ascii="Times New Roman" w:hAnsi="Times New Roman" w:cs="Times New Roman"/>
          <w:color w:val="auto"/>
          <w:w w:val="99"/>
          <w:highlight w:val="none"/>
        </w:rPr>
      </w:pPr>
      <w:r>
        <w:rPr>
          <w:rFonts w:ascii="Times New Roman" w:hAnsi="Times New Roman" w:cs="Times New Roman"/>
          <w:color w:val="auto"/>
          <w:w w:val="99"/>
          <w:highlight w:val="none"/>
        </w:rPr>
        <w:drawing>
          <wp:inline distT="0" distB="0" distL="0" distR="0">
            <wp:extent cx="762000" cy="333375"/>
            <wp:effectExtent l="0" t="0" r="0" b="9525"/>
            <wp:docPr id="48"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762000" cy="333375"/>
                    </a:xfrm>
                    <a:prstGeom prst="rect">
                      <a:avLst/>
                    </a:prstGeom>
                    <a:noFill/>
                    <a:ln>
                      <a:noFill/>
                    </a:ln>
                  </pic:spPr>
                </pic:pic>
              </a:graphicData>
            </a:graphic>
          </wp:inline>
        </w:drawing>
      </w:r>
    </w:p>
    <w:p w14:paraId="662CF8BB">
      <w:pPr>
        <w:widowControl w:val="0"/>
        <w:spacing w:line="440" w:lineRule="exact"/>
        <w:ind w:firstLine="473"/>
        <w:rPr>
          <w:rFonts w:ascii="Times New Roman" w:hAnsi="Times New Roman" w:cs="Times New Roman"/>
          <w:color w:val="auto"/>
          <w:w w:val="99"/>
          <w:highlight w:val="none"/>
        </w:rPr>
      </w:pPr>
      <w:r>
        <w:rPr>
          <w:rFonts w:ascii="Times New Roman" w:hAnsi="Times New Roman" w:cs="Times New Roman"/>
          <w:color w:val="auto"/>
          <w:w w:val="99"/>
          <w:highlight w:val="none"/>
        </w:rPr>
        <w:t>式中：S</w:t>
      </w:r>
      <w:r>
        <w:rPr>
          <w:rFonts w:ascii="Times New Roman" w:hAnsi="Times New Roman" w:cs="Times New Roman"/>
          <w:color w:val="auto"/>
          <w:w w:val="99"/>
          <w:highlight w:val="none"/>
          <w:vertAlign w:val="subscript"/>
        </w:rPr>
        <w:t>i,j</w:t>
      </w:r>
      <w:r>
        <w:rPr>
          <w:rFonts w:ascii="Times New Roman" w:hAnsi="Times New Roman" w:cs="Times New Roman"/>
          <w:color w:val="auto"/>
          <w:w w:val="99"/>
          <w:highlight w:val="none"/>
        </w:rPr>
        <w:t>——水质单因子i在第j点的标准指数；</w:t>
      </w:r>
    </w:p>
    <w:p w14:paraId="664EFF30">
      <w:pPr>
        <w:widowControl w:val="0"/>
        <w:spacing w:line="440" w:lineRule="exact"/>
        <w:ind w:firstLine="1185" w:firstLineChars="500"/>
        <w:rPr>
          <w:rFonts w:ascii="Times New Roman" w:hAnsi="Times New Roman" w:cs="Times New Roman"/>
          <w:color w:val="auto"/>
          <w:w w:val="99"/>
          <w:highlight w:val="none"/>
        </w:rPr>
      </w:pPr>
      <w:r>
        <w:rPr>
          <w:rFonts w:ascii="Times New Roman" w:hAnsi="Times New Roman" w:cs="Times New Roman"/>
          <w:color w:val="auto"/>
          <w:w w:val="99"/>
          <w:highlight w:val="none"/>
        </w:rPr>
        <w:t>C</w:t>
      </w:r>
      <w:r>
        <w:rPr>
          <w:rFonts w:ascii="Times New Roman" w:hAnsi="Times New Roman" w:cs="Times New Roman"/>
          <w:color w:val="auto"/>
          <w:w w:val="99"/>
          <w:highlight w:val="none"/>
          <w:vertAlign w:val="subscript"/>
        </w:rPr>
        <w:t>ij</w:t>
      </w:r>
      <w:r>
        <w:rPr>
          <w:rFonts w:ascii="Times New Roman" w:hAnsi="Times New Roman" w:cs="Times New Roman"/>
          <w:color w:val="auto"/>
          <w:w w:val="99"/>
          <w:highlight w:val="none"/>
        </w:rPr>
        <w:t xml:space="preserve"> ——水质评价因子i在第j点的监测值，mg/L；</w:t>
      </w:r>
    </w:p>
    <w:p w14:paraId="7FA0CBCB">
      <w:pPr>
        <w:widowControl w:val="0"/>
        <w:spacing w:line="440" w:lineRule="exact"/>
        <w:ind w:firstLine="1185" w:firstLineChars="500"/>
        <w:rPr>
          <w:rFonts w:ascii="Times New Roman" w:hAnsi="Times New Roman" w:cs="Times New Roman"/>
          <w:color w:val="auto"/>
          <w:w w:val="99"/>
          <w:highlight w:val="none"/>
        </w:rPr>
      </w:pPr>
      <w:r>
        <w:rPr>
          <w:rFonts w:ascii="Times New Roman" w:hAnsi="Times New Roman" w:cs="Times New Roman"/>
          <w:color w:val="auto"/>
          <w:w w:val="99"/>
          <w:highlight w:val="none"/>
        </w:rPr>
        <w:t>C</w:t>
      </w:r>
      <w:r>
        <w:rPr>
          <w:rFonts w:ascii="Times New Roman" w:hAnsi="Times New Roman" w:cs="Times New Roman"/>
          <w:color w:val="auto"/>
          <w:w w:val="99"/>
          <w:highlight w:val="none"/>
          <w:vertAlign w:val="subscript"/>
        </w:rPr>
        <w:t>si</w:t>
      </w:r>
      <w:r>
        <w:rPr>
          <w:rFonts w:ascii="Times New Roman" w:hAnsi="Times New Roman" w:cs="Times New Roman"/>
          <w:color w:val="auto"/>
          <w:w w:val="99"/>
          <w:highlight w:val="none"/>
        </w:rPr>
        <w:t>——i因子的评价标准，mg/L。</w:t>
      </w:r>
    </w:p>
    <w:p w14:paraId="56B73882">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pH的标准指数公式：</w:t>
      </w:r>
    </w:p>
    <w:p w14:paraId="4DFFC68A">
      <w:pPr>
        <w:widowControl w:val="0"/>
        <w:spacing w:line="50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pH</w:t>
      </w:r>
      <w:r>
        <w:rPr>
          <w:rFonts w:ascii="Times New Roman" w:hAnsi="Times New Roman" w:cs="Times New Roman"/>
          <w:color w:val="auto"/>
          <w:w w:val="99"/>
          <w:highlight w:val="none"/>
          <w:vertAlign w:val="subscript"/>
        </w:rPr>
        <w:t>j</w:t>
      </w:r>
      <w:r>
        <w:rPr>
          <w:rFonts w:ascii="Times New Roman" w:hAnsi="Times New Roman" w:cs="Times New Roman"/>
          <w:color w:val="auto"/>
          <w:w w:val="99"/>
          <w:highlight w:val="none"/>
        </w:rPr>
        <w:t>≤7.0时</w:t>
      </w:r>
    </w:p>
    <w:p w14:paraId="68708AE0">
      <w:pPr>
        <w:spacing w:line="360" w:lineRule="auto"/>
        <w:ind w:firstLine="2488" w:firstLineChars="1050"/>
        <w:rPr>
          <w:rFonts w:ascii="Times New Roman" w:hAnsi="Times New Roman" w:cs="Times New Roman"/>
          <w:color w:val="auto"/>
          <w:w w:val="99"/>
          <w:highlight w:val="none"/>
        </w:rPr>
      </w:pPr>
      <w:r>
        <w:rPr>
          <w:rFonts w:ascii="Times New Roman" w:hAnsi="Times New Roman" w:cs="Times New Roman"/>
          <w:color w:val="auto"/>
          <w:w w:val="99"/>
          <w:highlight w:val="none"/>
        </w:rPr>
        <w:drawing>
          <wp:inline distT="0" distB="0" distL="0" distR="0">
            <wp:extent cx="1238250" cy="447675"/>
            <wp:effectExtent l="0" t="0" r="0" b="9525"/>
            <wp:docPr id="49"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1238250" cy="447675"/>
                    </a:xfrm>
                    <a:prstGeom prst="rect">
                      <a:avLst/>
                    </a:prstGeom>
                    <a:noFill/>
                    <a:ln>
                      <a:noFill/>
                    </a:ln>
                  </pic:spPr>
                </pic:pic>
              </a:graphicData>
            </a:graphic>
          </wp:inline>
        </w:drawing>
      </w:r>
    </w:p>
    <w:p w14:paraId="408C9F0C">
      <w:pPr>
        <w:widowControl w:val="0"/>
        <w:spacing w:line="500" w:lineRule="exact"/>
        <w:ind w:firstLine="471"/>
        <w:rPr>
          <w:rFonts w:ascii="Times New Roman" w:hAnsi="Times New Roman" w:cs="Times New Roman"/>
          <w:color w:val="auto"/>
          <w:w w:val="99"/>
          <w:highlight w:val="none"/>
        </w:rPr>
      </w:pPr>
      <w:r>
        <w:rPr>
          <w:rFonts w:ascii="Times New Roman" w:hAnsi="Times New Roman" w:cs="Times New Roman"/>
          <w:color w:val="auto"/>
          <w:w w:val="99"/>
          <w:highlight w:val="none"/>
        </w:rPr>
        <w:t>pH</w:t>
      </w:r>
      <w:r>
        <w:rPr>
          <w:rFonts w:ascii="Times New Roman" w:hAnsi="Times New Roman" w:cs="Times New Roman"/>
          <w:color w:val="auto"/>
          <w:w w:val="99"/>
          <w:highlight w:val="none"/>
          <w:vertAlign w:val="subscript"/>
        </w:rPr>
        <w:t>j</w:t>
      </w:r>
      <w:r>
        <w:rPr>
          <w:rFonts w:ascii="Times New Roman" w:hAnsi="Times New Roman" w:cs="Times New Roman"/>
          <w:color w:val="auto"/>
          <w:w w:val="99"/>
          <w:highlight w:val="none"/>
        </w:rPr>
        <w:t>＞7.0时</w:t>
      </w:r>
    </w:p>
    <w:p w14:paraId="6DBE69DF">
      <w:pPr>
        <w:spacing w:line="360" w:lineRule="auto"/>
        <w:ind w:firstLine="2488" w:firstLineChars="1050"/>
        <w:rPr>
          <w:rFonts w:ascii="Times New Roman" w:hAnsi="Times New Roman" w:cs="Times New Roman"/>
          <w:color w:val="auto"/>
          <w:w w:val="99"/>
          <w:highlight w:val="none"/>
        </w:rPr>
      </w:pPr>
      <w:r>
        <w:rPr>
          <w:rFonts w:ascii="Times New Roman" w:hAnsi="Times New Roman" w:cs="Times New Roman"/>
          <w:color w:val="auto"/>
          <w:w w:val="99"/>
          <w:highlight w:val="none"/>
        </w:rPr>
        <w:drawing>
          <wp:inline distT="0" distB="0" distL="0" distR="0">
            <wp:extent cx="1266825" cy="457200"/>
            <wp:effectExtent l="0" t="0" r="9525" b="0"/>
            <wp:docPr id="50"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1266825" cy="457200"/>
                    </a:xfrm>
                    <a:prstGeom prst="rect">
                      <a:avLst/>
                    </a:prstGeom>
                    <a:noFill/>
                    <a:ln>
                      <a:noFill/>
                    </a:ln>
                  </pic:spPr>
                </pic:pic>
              </a:graphicData>
            </a:graphic>
          </wp:inline>
        </w:drawing>
      </w:r>
    </w:p>
    <w:p w14:paraId="3CF07A09">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式中：S</w:t>
      </w:r>
      <w:r>
        <w:rPr>
          <w:rFonts w:ascii="Times New Roman" w:hAnsi="Times New Roman" w:cs="Times New Roman"/>
          <w:color w:val="auto"/>
          <w:w w:val="99"/>
          <w:highlight w:val="none"/>
          <w:vertAlign w:val="subscript"/>
        </w:rPr>
        <w:t>pH.j</w:t>
      </w:r>
      <w:r>
        <w:rPr>
          <w:rFonts w:ascii="Times New Roman" w:hAnsi="Times New Roman" w:cs="Times New Roman"/>
          <w:color w:val="auto"/>
          <w:w w:val="99"/>
          <w:highlight w:val="none"/>
        </w:rPr>
        <w:t>——pH值的单项指数；</w:t>
      </w:r>
    </w:p>
    <w:p w14:paraId="70868601">
      <w:pPr>
        <w:widowControl w:val="0"/>
        <w:spacing w:line="440" w:lineRule="exact"/>
        <w:ind w:firstLine="1185" w:firstLineChars="500"/>
        <w:rPr>
          <w:rFonts w:ascii="Times New Roman" w:hAnsi="Times New Roman" w:cs="Times New Roman"/>
          <w:color w:val="auto"/>
          <w:w w:val="99"/>
          <w:highlight w:val="none"/>
        </w:rPr>
      </w:pPr>
      <w:r>
        <w:rPr>
          <w:rFonts w:ascii="Times New Roman" w:hAnsi="Times New Roman" w:cs="Times New Roman"/>
          <w:color w:val="auto"/>
          <w:w w:val="99"/>
          <w:highlight w:val="none"/>
        </w:rPr>
        <w:t>pH</w:t>
      </w:r>
      <w:r>
        <w:rPr>
          <w:rFonts w:ascii="Times New Roman" w:hAnsi="Times New Roman" w:cs="Times New Roman"/>
          <w:color w:val="auto"/>
          <w:w w:val="99"/>
          <w:highlight w:val="none"/>
          <w:vertAlign w:val="subscript"/>
        </w:rPr>
        <w:t>j</w:t>
      </w:r>
      <w:r>
        <w:rPr>
          <w:rFonts w:ascii="Times New Roman" w:hAnsi="Times New Roman" w:cs="Times New Roman"/>
          <w:color w:val="auto"/>
          <w:w w:val="99"/>
          <w:highlight w:val="none"/>
        </w:rPr>
        <w:t>——j点pH值监测值；</w:t>
      </w:r>
    </w:p>
    <w:p w14:paraId="73CFD34A">
      <w:pPr>
        <w:widowControl w:val="0"/>
        <w:spacing w:line="440" w:lineRule="exact"/>
        <w:ind w:firstLine="1185" w:firstLineChars="500"/>
        <w:rPr>
          <w:rFonts w:ascii="Times New Roman" w:hAnsi="Times New Roman" w:cs="Times New Roman"/>
          <w:color w:val="auto"/>
          <w:w w:val="99"/>
          <w:highlight w:val="none"/>
        </w:rPr>
      </w:pPr>
      <w:r>
        <w:rPr>
          <w:rFonts w:ascii="Times New Roman" w:hAnsi="Times New Roman" w:cs="Times New Roman"/>
          <w:color w:val="auto"/>
          <w:w w:val="99"/>
          <w:highlight w:val="none"/>
        </w:rPr>
        <w:t>pH</w:t>
      </w:r>
      <w:r>
        <w:rPr>
          <w:rFonts w:ascii="Times New Roman" w:hAnsi="Times New Roman" w:cs="Times New Roman"/>
          <w:color w:val="auto"/>
          <w:w w:val="99"/>
          <w:highlight w:val="none"/>
          <w:vertAlign w:val="subscript"/>
        </w:rPr>
        <w:t>su</w:t>
      </w:r>
      <w:r>
        <w:rPr>
          <w:rFonts w:ascii="Times New Roman" w:hAnsi="Times New Roman" w:cs="Times New Roman"/>
          <w:color w:val="auto"/>
          <w:w w:val="99"/>
          <w:highlight w:val="none"/>
        </w:rPr>
        <w:t>——水质标准中pH值上限；</w:t>
      </w:r>
    </w:p>
    <w:p w14:paraId="06E9B2B3">
      <w:pPr>
        <w:widowControl w:val="0"/>
        <w:spacing w:line="440" w:lineRule="exact"/>
        <w:ind w:firstLine="1185" w:firstLineChars="500"/>
        <w:rPr>
          <w:rFonts w:ascii="Times New Roman" w:hAnsi="Times New Roman" w:cs="Times New Roman"/>
          <w:color w:val="auto"/>
          <w:w w:val="99"/>
          <w:highlight w:val="none"/>
        </w:rPr>
      </w:pPr>
      <w:r>
        <w:rPr>
          <w:rFonts w:ascii="Times New Roman" w:hAnsi="Times New Roman" w:cs="Times New Roman"/>
          <w:color w:val="auto"/>
          <w:w w:val="99"/>
          <w:highlight w:val="none"/>
        </w:rPr>
        <w:t>pH</w:t>
      </w:r>
      <w:r>
        <w:rPr>
          <w:rFonts w:ascii="Times New Roman" w:hAnsi="Times New Roman" w:cs="Times New Roman"/>
          <w:color w:val="auto"/>
          <w:w w:val="99"/>
          <w:highlight w:val="none"/>
          <w:vertAlign w:val="subscript"/>
        </w:rPr>
        <w:t>sd</w:t>
      </w:r>
      <w:r>
        <w:rPr>
          <w:rFonts w:ascii="Times New Roman" w:hAnsi="Times New Roman" w:cs="Times New Roman"/>
          <w:color w:val="auto"/>
          <w:w w:val="99"/>
          <w:highlight w:val="none"/>
        </w:rPr>
        <w:t>——水质标准中pH值下限。</w:t>
      </w:r>
    </w:p>
    <w:p w14:paraId="4E793765">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当单因子标准指数＞1 时，表示该水质参数所表征的污染物已满足不了标准要求，水体已受到污染；反之，则满足标准要求。</w:t>
      </w:r>
    </w:p>
    <w:p w14:paraId="1B4F0AA4">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（3）单因子标准指数</w:t>
      </w:r>
    </w:p>
    <w:p w14:paraId="4257ED1A">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地下水单因子标准指数计算结果见表4.3-1</w:t>
      </w:r>
      <w:r>
        <w:rPr>
          <w:rFonts w:hint="eastAsia" w:ascii="Times New Roman" w:hAnsi="Times New Roman" w:cs="Times New Roman"/>
          <w:color w:val="auto"/>
          <w:w w:val="99"/>
          <w:highlight w:val="none"/>
        </w:rPr>
        <w:t>0</w:t>
      </w:r>
      <w:r>
        <w:rPr>
          <w:rFonts w:ascii="Times New Roman" w:hAnsi="Times New Roman" w:cs="Times New Roman"/>
          <w:color w:val="auto"/>
          <w:w w:val="99"/>
          <w:highlight w:val="none"/>
        </w:rPr>
        <w:t>。</w:t>
      </w:r>
    </w:p>
    <w:p w14:paraId="422FC8C6">
      <w:pPr>
        <w:widowControl w:val="0"/>
        <w:spacing w:line="440" w:lineRule="exact"/>
        <w:ind w:firstLine="476" w:firstLineChars="200"/>
        <w:rPr>
          <w:rFonts w:ascii="Times New Roman" w:hAnsi="Times New Roman" w:cs="Times New Roman"/>
          <w:color w:val="auto"/>
          <w:w w:val="99"/>
          <w:highlight w:val="none"/>
        </w:rPr>
      </w:pPr>
      <w:r>
        <w:rPr>
          <w:rFonts w:ascii="Times New Roman" w:hAnsi="Times New Roman" w:cs="Times New Roman" w:eastAsiaTheme="minorEastAsia"/>
          <w:b/>
          <w:color w:val="auto"/>
          <w:w w:val="99"/>
          <w:highlight w:val="none"/>
        </w:rPr>
        <w:t>表4.3-1</w:t>
      </w:r>
      <w:r>
        <w:rPr>
          <w:rFonts w:hint="eastAsia" w:ascii="Times New Roman" w:hAnsi="Times New Roman" w:cs="Times New Roman" w:eastAsiaTheme="minorEastAsia"/>
          <w:b/>
          <w:color w:val="auto"/>
          <w:w w:val="99"/>
          <w:highlight w:val="none"/>
        </w:rPr>
        <w:t>0</w:t>
      </w:r>
      <w:r>
        <w:rPr>
          <w:rFonts w:ascii="Times New Roman" w:hAnsi="Times New Roman" w:cs="Times New Roman" w:eastAsiaTheme="minorEastAsia"/>
          <w:b/>
          <w:color w:val="auto"/>
          <w:w w:val="99"/>
          <w:highlight w:val="none"/>
        </w:rPr>
        <w:t xml:space="preserve">    </w:t>
      </w:r>
      <w:r>
        <w:rPr>
          <w:rFonts w:ascii="Times New Roman" w:hAnsi="Times New Roman" w:cs="Times New Roman" w:eastAsiaTheme="minorEastAsia"/>
          <w:b/>
          <w:color w:val="auto"/>
          <w:w w:val="99"/>
          <w:szCs w:val="28"/>
          <w:highlight w:val="none"/>
        </w:rPr>
        <w:t>地下水</w:t>
      </w:r>
      <w:r>
        <w:rPr>
          <w:rFonts w:ascii="Times New Roman" w:hAnsi="Times New Roman" w:cs="Times New Roman" w:eastAsiaTheme="minorEastAsia"/>
          <w:b/>
          <w:color w:val="auto"/>
          <w:w w:val="99"/>
          <w:highlight w:val="none"/>
        </w:rPr>
        <w:t>单因子标准指数计算结果</w:t>
      </w:r>
      <w:r>
        <w:rPr>
          <w:rFonts w:hint="eastAsia" w:ascii="Times New Roman" w:hAnsi="Times New Roman" w:cs="Times New Roman" w:eastAsiaTheme="minorEastAsia"/>
          <w:b/>
          <w:color w:val="auto"/>
          <w:w w:val="99"/>
          <w:highlight w:val="none"/>
          <w:lang w:eastAsia="zh-CN"/>
        </w:rPr>
        <w:t>（</w:t>
      </w:r>
      <w:r>
        <w:rPr>
          <w:rFonts w:hint="eastAsia" w:ascii="Times New Roman" w:hAnsi="Times New Roman" w:cs="Times New Roman" w:eastAsiaTheme="minorEastAsia"/>
          <w:b/>
          <w:color w:val="auto"/>
          <w:w w:val="99"/>
          <w:highlight w:val="none"/>
          <w:lang w:val="en-US" w:eastAsia="zh-CN"/>
        </w:rPr>
        <w:t>本次监测</w:t>
      </w:r>
      <w:r>
        <w:rPr>
          <w:rFonts w:hint="eastAsia" w:ascii="Times New Roman" w:hAnsi="Times New Roman" w:cs="Times New Roman" w:eastAsiaTheme="minorEastAsia"/>
          <w:b/>
          <w:color w:val="auto"/>
          <w:w w:val="99"/>
          <w:highlight w:val="none"/>
          <w:lang w:eastAsia="zh-CN"/>
        </w:rPr>
        <w:t>）</w:t>
      </w:r>
      <w:r>
        <w:rPr>
          <w:rFonts w:ascii="Times New Roman" w:hAnsi="Times New Roman" w:cs="Times New Roman" w:eastAsiaTheme="minorEastAsia"/>
          <w:b/>
          <w:color w:val="auto"/>
          <w:w w:val="99"/>
          <w:highlight w:val="none"/>
        </w:rPr>
        <w:t xml:space="preserve"> </w:t>
      </w:r>
    </w:p>
    <w:tbl>
      <w:tblPr>
        <w:tblStyle w:val="81"/>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515"/>
        <w:gridCol w:w="2400"/>
        <w:gridCol w:w="2087"/>
        <w:gridCol w:w="2263"/>
        <w:gridCol w:w="15"/>
      </w:tblGrid>
      <w:tr w14:paraId="47463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355" w:type="pct"/>
            <w:vAlign w:val="center"/>
          </w:tcPr>
          <w:p w14:paraId="3E3634F6">
            <w:pPr>
              <w:spacing w:line="36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w w:val="99"/>
                <w:sz w:val="21"/>
                <w:szCs w:val="21"/>
                <w:highlight w:val="none"/>
              </w:rPr>
              <w:t>监测时间</w:t>
            </w:r>
          </w:p>
        </w:tc>
        <w:tc>
          <w:tcPr>
            <w:tcW w:w="3644" w:type="pct"/>
            <w:gridSpan w:val="4"/>
            <w:tcBorders>
              <w:right w:val="single" w:color="auto" w:sz="4" w:space="0"/>
            </w:tcBorders>
            <w:vAlign w:val="center"/>
          </w:tcPr>
          <w:p w14:paraId="74061820">
            <w:pPr>
              <w:spacing w:line="320" w:lineRule="exact"/>
              <w:jc w:val="center"/>
              <w:rPr>
                <w:rFonts w:ascii="Times New Roman" w:hAnsi="Times New Roman" w:cs="Times New Roman" w:eastAsiaTheme="minorEastAsia"/>
                <w:color w:val="auto"/>
                <w:w w:val="99"/>
                <w:sz w:val="21"/>
                <w:szCs w:val="21"/>
                <w:highlight w:val="none"/>
                <w:lang w:val="zh-CN"/>
              </w:rPr>
            </w:pPr>
            <w:r>
              <w:rPr>
                <w:rFonts w:ascii="Times New Roman" w:hAnsi="Times New Roman" w:cs="Times New Roman" w:eastAsiaTheme="minorEastAsia"/>
                <w:color w:val="auto"/>
                <w:w w:val="99"/>
                <w:sz w:val="21"/>
                <w:szCs w:val="21"/>
                <w:highlight w:val="none"/>
                <w:lang w:val="zh-CN"/>
              </w:rPr>
              <w:t>202</w:t>
            </w:r>
            <w:r>
              <w:rPr>
                <w:rFonts w:hint="eastAsia" w:ascii="Times New Roman" w:hAnsi="Times New Roman" w:cs="Times New Roman" w:eastAsiaTheme="minorEastAsia"/>
                <w:color w:val="auto"/>
                <w:w w:val="99"/>
                <w:sz w:val="21"/>
                <w:szCs w:val="21"/>
                <w:highlight w:val="none"/>
              </w:rPr>
              <w:t>6</w:t>
            </w:r>
            <w:r>
              <w:rPr>
                <w:rFonts w:ascii="Times New Roman" w:hAnsi="Times New Roman" w:cs="Times New Roman" w:eastAsiaTheme="minorEastAsia"/>
                <w:color w:val="auto"/>
                <w:w w:val="99"/>
                <w:sz w:val="21"/>
                <w:szCs w:val="21"/>
                <w:highlight w:val="none"/>
                <w:lang w:val="zh-CN"/>
              </w:rPr>
              <w:t>.0</w:t>
            </w:r>
            <w:r>
              <w:rPr>
                <w:rFonts w:hint="eastAsia" w:ascii="Times New Roman" w:hAnsi="Times New Roman" w:cs="Times New Roman" w:eastAsiaTheme="minorEastAsia"/>
                <w:color w:val="auto"/>
                <w:w w:val="99"/>
                <w:sz w:val="21"/>
                <w:szCs w:val="21"/>
                <w:highlight w:val="none"/>
              </w:rPr>
              <w:t>6</w:t>
            </w:r>
            <w:r>
              <w:rPr>
                <w:rFonts w:ascii="Times New Roman" w:hAnsi="Times New Roman" w:cs="Times New Roman" w:eastAsiaTheme="minorEastAsia"/>
                <w:color w:val="auto"/>
                <w:w w:val="99"/>
                <w:sz w:val="21"/>
                <w:szCs w:val="21"/>
                <w:highlight w:val="none"/>
                <w:lang w:val="zh-CN"/>
              </w:rPr>
              <w:t>.</w:t>
            </w:r>
            <w:r>
              <w:rPr>
                <w:rFonts w:hint="eastAsia" w:ascii="Times New Roman" w:hAnsi="Times New Roman" w:cs="Times New Roman" w:eastAsiaTheme="minorEastAsia"/>
                <w:color w:val="auto"/>
                <w:w w:val="99"/>
                <w:sz w:val="21"/>
                <w:szCs w:val="21"/>
                <w:highlight w:val="none"/>
              </w:rPr>
              <w:t>01</w:t>
            </w:r>
          </w:p>
        </w:tc>
      </w:tr>
      <w:tr w14:paraId="54635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40" w:hRule="atLeast"/>
        </w:trPr>
        <w:tc>
          <w:tcPr>
            <w:tcW w:w="1355" w:type="pct"/>
            <w:vAlign w:val="center"/>
          </w:tcPr>
          <w:p w14:paraId="12FB1BEB">
            <w:pPr>
              <w:spacing w:line="36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w w:val="99"/>
                <w:sz w:val="21"/>
                <w:szCs w:val="21"/>
                <w:highlight w:val="none"/>
              </w:rPr>
              <w:t>监测项目</w:t>
            </w:r>
          </w:p>
        </w:tc>
        <w:tc>
          <w:tcPr>
            <w:tcW w:w="1293" w:type="pct"/>
            <w:vAlign w:val="center"/>
          </w:tcPr>
          <w:p w14:paraId="466AB2F4">
            <w:pPr>
              <w:pStyle w:val="27"/>
              <w:jc w:val="center"/>
              <w:rPr>
                <w:rFonts w:ascii="Times New Roman" w:hAnsi="Times New Roman" w:eastAsiaTheme="minorEastAsia"/>
                <w:color w:val="auto"/>
                <w:w w:val="99"/>
                <w:sz w:val="21"/>
                <w:szCs w:val="21"/>
                <w:highlight w:val="none"/>
              </w:rPr>
            </w:pPr>
            <w:r>
              <w:rPr>
                <w:rFonts w:hint="eastAsia" w:ascii="Times New Roman" w:hAnsi="Times New Roman" w:eastAsiaTheme="minorEastAsia"/>
                <w:color w:val="auto"/>
                <w:w w:val="99"/>
                <w:sz w:val="21"/>
                <w:szCs w:val="21"/>
                <w:highlight w:val="none"/>
              </w:rPr>
              <w:t>于洼子屯陈家潜水井</w:t>
            </w:r>
          </w:p>
        </w:tc>
        <w:tc>
          <w:tcPr>
            <w:tcW w:w="1124" w:type="pct"/>
            <w:tcBorders>
              <w:right w:val="single" w:color="auto" w:sz="4" w:space="0"/>
            </w:tcBorders>
            <w:vAlign w:val="center"/>
          </w:tcPr>
          <w:p w14:paraId="06601768">
            <w:pPr>
              <w:pStyle w:val="27"/>
              <w:jc w:val="center"/>
              <w:rPr>
                <w:rFonts w:ascii="Times New Roman" w:hAnsi="Times New Roman" w:eastAsiaTheme="minorEastAsia"/>
                <w:color w:val="auto"/>
                <w:w w:val="99"/>
                <w:sz w:val="21"/>
                <w:szCs w:val="21"/>
                <w:highlight w:val="none"/>
              </w:rPr>
            </w:pPr>
            <w:r>
              <w:rPr>
                <w:rFonts w:hint="eastAsia" w:ascii="Times New Roman" w:hAnsi="Times New Roman" w:eastAsiaTheme="minorEastAsia"/>
                <w:color w:val="auto"/>
                <w:w w:val="99"/>
                <w:sz w:val="21"/>
                <w:szCs w:val="21"/>
                <w:highlight w:val="none"/>
              </w:rPr>
              <w:t>东双山屯孙家潜水井</w:t>
            </w:r>
          </w:p>
        </w:tc>
        <w:tc>
          <w:tcPr>
            <w:tcW w:w="1219" w:type="pct"/>
            <w:tcBorders>
              <w:left w:val="single" w:color="auto" w:sz="4" w:space="0"/>
              <w:right w:val="single" w:color="auto" w:sz="4" w:space="0"/>
            </w:tcBorders>
            <w:vAlign w:val="center"/>
          </w:tcPr>
          <w:p w14:paraId="2C0EF1E9">
            <w:pPr>
              <w:pStyle w:val="27"/>
              <w:jc w:val="center"/>
              <w:rPr>
                <w:rFonts w:ascii="Times New Roman" w:hAnsi="Times New Roman" w:eastAsiaTheme="minorEastAsia"/>
                <w:color w:val="auto"/>
                <w:w w:val="99"/>
                <w:sz w:val="21"/>
                <w:szCs w:val="21"/>
                <w:highlight w:val="none"/>
              </w:rPr>
            </w:pPr>
            <w:r>
              <w:rPr>
                <w:rFonts w:hint="eastAsia" w:ascii="Times New Roman" w:hAnsi="Times New Roman" w:eastAsiaTheme="minorEastAsia"/>
                <w:color w:val="auto"/>
                <w:w w:val="99"/>
                <w:sz w:val="21"/>
                <w:szCs w:val="21"/>
                <w:highlight w:val="none"/>
              </w:rPr>
              <w:t>王家围子周家承压水井</w:t>
            </w:r>
          </w:p>
        </w:tc>
      </w:tr>
      <w:tr w14:paraId="697E4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40" w:hRule="atLeast"/>
        </w:trPr>
        <w:tc>
          <w:tcPr>
            <w:tcW w:w="1355" w:type="pct"/>
            <w:vAlign w:val="center"/>
          </w:tcPr>
          <w:p w14:paraId="0187703B">
            <w:pPr>
              <w:spacing w:line="36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Na</w:t>
            </w:r>
            <w:r>
              <w:rPr>
                <w:rFonts w:ascii="Times New Roman" w:hAnsi="Times New Roman" w:cs="Times New Roman" w:eastAsiaTheme="minorEastAsia"/>
                <w:color w:val="auto"/>
                <w:w w:val="99"/>
                <w:sz w:val="21"/>
                <w:szCs w:val="21"/>
                <w:highlight w:val="none"/>
                <w:vertAlign w:val="superscript"/>
              </w:rPr>
              <w:t>+</w:t>
            </w:r>
          </w:p>
        </w:tc>
        <w:tc>
          <w:tcPr>
            <w:tcW w:w="1293" w:type="pct"/>
            <w:vAlign w:val="center"/>
          </w:tcPr>
          <w:p w14:paraId="43E93E48">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0.282</w:t>
            </w:r>
          </w:p>
        </w:tc>
        <w:tc>
          <w:tcPr>
            <w:tcW w:w="1124" w:type="pct"/>
            <w:vAlign w:val="center"/>
          </w:tcPr>
          <w:p w14:paraId="6607287F">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0.307</w:t>
            </w:r>
          </w:p>
        </w:tc>
        <w:tc>
          <w:tcPr>
            <w:tcW w:w="1219" w:type="pct"/>
            <w:vAlign w:val="center"/>
          </w:tcPr>
          <w:p w14:paraId="246C4ACC">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0.221</w:t>
            </w:r>
          </w:p>
        </w:tc>
      </w:tr>
      <w:tr w14:paraId="0706D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39" w:hRule="atLeast"/>
        </w:trPr>
        <w:tc>
          <w:tcPr>
            <w:tcW w:w="1355" w:type="pct"/>
            <w:vAlign w:val="center"/>
          </w:tcPr>
          <w:p w14:paraId="2D4D7747">
            <w:pPr>
              <w:spacing w:line="36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Cl</w:t>
            </w:r>
            <w:r>
              <w:rPr>
                <w:rFonts w:ascii="Times New Roman" w:hAnsi="Times New Roman" w:cs="Times New Roman" w:eastAsiaTheme="minorEastAsia"/>
                <w:color w:val="auto"/>
                <w:w w:val="99"/>
                <w:sz w:val="21"/>
                <w:szCs w:val="21"/>
                <w:highlight w:val="none"/>
                <w:vertAlign w:val="superscript"/>
              </w:rPr>
              <w:t>-</w:t>
            </w:r>
          </w:p>
        </w:tc>
        <w:tc>
          <w:tcPr>
            <w:tcW w:w="1293" w:type="pct"/>
            <w:vAlign w:val="center"/>
          </w:tcPr>
          <w:p w14:paraId="0FE5B5A3">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0.172</w:t>
            </w:r>
          </w:p>
        </w:tc>
        <w:tc>
          <w:tcPr>
            <w:tcW w:w="1124" w:type="pct"/>
            <w:vAlign w:val="center"/>
          </w:tcPr>
          <w:p w14:paraId="7A75F5B1">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0.204</w:t>
            </w:r>
          </w:p>
        </w:tc>
        <w:tc>
          <w:tcPr>
            <w:tcW w:w="1219" w:type="pct"/>
            <w:vAlign w:val="center"/>
          </w:tcPr>
          <w:p w14:paraId="144A7212">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0.132</w:t>
            </w:r>
          </w:p>
        </w:tc>
      </w:tr>
      <w:tr w14:paraId="062DE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40" w:hRule="atLeast"/>
        </w:trPr>
        <w:tc>
          <w:tcPr>
            <w:tcW w:w="1355" w:type="pct"/>
            <w:vAlign w:val="center"/>
          </w:tcPr>
          <w:p w14:paraId="2B7DFA18">
            <w:pPr>
              <w:spacing w:line="36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4</w:t>
            </w:r>
            <w:r>
              <w:rPr>
                <w:rFonts w:ascii="Times New Roman" w:hAnsi="Times New Roman" w:cs="Times New Roman" w:eastAsiaTheme="minorEastAsia"/>
                <w:color w:val="auto"/>
                <w:w w:val="99"/>
                <w:sz w:val="21"/>
                <w:szCs w:val="21"/>
                <w:highlight w:val="none"/>
                <w:vertAlign w:val="superscript"/>
              </w:rPr>
              <w:t>2-</w:t>
            </w:r>
          </w:p>
        </w:tc>
        <w:tc>
          <w:tcPr>
            <w:tcW w:w="1293" w:type="pct"/>
            <w:vAlign w:val="center"/>
          </w:tcPr>
          <w:p w14:paraId="1AF02324">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0.148</w:t>
            </w:r>
          </w:p>
        </w:tc>
        <w:tc>
          <w:tcPr>
            <w:tcW w:w="1124" w:type="pct"/>
            <w:vAlign w:val="center"/>
          </w:tcPr>
          <w:p w14:paraId="0980ED4E">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0.184</w:t>
            </w:r>
          </w:p>
        </w:tc>
        <w:tc>
          <w:tcPr>
            <w:tcW w:w="1219" w:type="pct"/>
            <w:vAlign w:val="center"/>
          </w:tcPr>
          <w:p w14:paraId="7F3A99DE">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0.092</w:t>
            </w:r>
          </w:p>
        </w:tc>
      </w:tr>
      <w:tr w14:paraId="49DDD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40" w:hRule="atLeast"/>
        </w:trPr>
        <w:tc>
          <w:tcPr>
            <w:tcW w:w="1355" w:type="pct"/>
            <w:vAlign w:val="center"/>
          </w:tcPr>
          <w:p w14:paraId="29222553">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pH</w:t>
            </w:r>
          </w:p>
        </w:tc>
        <w:tc>
          <w:tcPr>
            <w:tcW w:w="1293" w:type="pct"/>
            <w:vAlign w:val="center"/>
          </w:tcPr>
          <w:p w14:paraId="1DFEAA6F">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0.400 </w:t>
            </w:r>
          </w:p>
        </w:tc>
        <w:tc>
          <w:tcPr>
            <w:tcW w:w="1124" w:type="pct"/>
            <w:vAlign w:val="center"/>
          </w:tcPr>
          <w:p w14:paraId="4DDD3087">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0.467 </w:t>
            </w:r>
          </w:p>
        </w:tc>
        <w:tc>
          <w:tcPr>
            <w:tcW w:w="1219" w:type="pct"/>
            <w:vAlign w:val="center"/>
          </w:tcPr>
          <w:p w14:paraId="106D3D85">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0.400 </w:t>
            </w:r>
          </w:p>
        </w:tc>
      </w:tr>
      <w:tr w14:paraId="36274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40" w:hRule="atLeast"/>
        </w:trPr>
        <w:tc>
          <w:tcPr>
            <w:tcW w:w="1355" w:type="pct"/>
            <w:vAlign w:val="center"/>
          </w:tcPr>
          <w:p w14:paraId="5EADC8EA">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总硬度</w:t>
            </w:r>
          </w:p>
        </w:tc>
        <w:tc>
          <w:tcPr>
            <w:tcW w:w="1293" w:type="pct"/>
            <w:vAlign w:val="center"/>
          </w:tcPr>
          <w:p w14:paraId="4C019E3C">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0.342</w:t>
            </w:r>
          </w:p>
        </w:tc>
        <w:tc>
          <w:tcPr>
            <w:tcW w:w="1124" w:type="pct"/>
            <w:vAlign w:val="center"/>
          </w:tcPr>
          <w:p w14:paraId="75204CD8">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0.384</w:t>
            </w:r>
          </w:p>
        </w:tc>
        <w:tc>
          <w:tcPr>
            <w:tcW w:w="1219" w:type="pct"/>
            <w:vAlign w:val="center"/>
          </w:tcPr>
          <w:p w14:paraId="5ED540E4">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0.264</w:t>
            </w:r>
          </w:p>
        </w:tc>
      </w:tr>
      <w:tr w14:paraId="7B1D9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40" w:hRule="atLeast"/>
        </w:trPr>
        <w:tc>
          <w:tcPr>
            <w:tcW w:w="1355" w:type="pct"/>
            <w:vAlign w:val="center"/>
          </w:tcPr>
          <w:p w14:paraId="1BEC8103">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溶解性总固体</w:t>
            </w:r>
          </w:p>
        </w:tc>
        <w:tc>
          <w:tcPr>
            <w:tcW w:w="1293" w:type="pct"/>
            <w:vAlign w:val="center"/>
          </w:tcPr>
          <w:p w14:paraId="5B1E0417">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0.503</w:t>
            </w:r>
          </w:p>
        </w:tc>
        <w:tc>
          <w:tcPr>
            <w:tcW w:w="1124" w:type="pct"/>
            <w:vAlign w:val="center"/>
          </w:tcPr>
          <w:p w14:paraId="298FC272">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0.554</w:t>
            </w:r>
          </w:p>
        </w:tc>
        <w:tc>
          <w:tcPr>
            <w:tcW w:w="1219" w:type="pct"/>
            <w:vAlign w:val="center"/>
          </w:tcPr>
          <w:p w14:paraId="184A72AA">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0.371</w:t>
            </w:r>
          </w:p>
        </w:tc>
      </w:tr>
      <w:tr w14:paraId="213D3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40" w:hRule="atLeast"/>
        </w:trPr>
        <w:tc>
          <w:tcPr>
            <w:tcW w:w="1355" w:type="pct"/>
            <w:vAlign w:val="center"/>
          </w:tcPr>
          <w:p w14:paraId="388D727D">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耗氧量</w:t>
            </w:r>
          </w:p>
        </w:tc>
        <w:tc>
          <w:tcPr>
            <w:tcW w:w="1293" w:type="pct"/>
            <w:vAlign w:val="center"/>
          </w:tcPr>
          <w:p w14:paraId="256DF1C4">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0.667</w:t>
            </w:r>
          </w:p>
        </w:tc>
        <w:tc>
          <w:tcPr>
            <w:tcW w:w="1124" w:type="pct"/>
            <w:vAlign w:val="center"/>
          </w:tcPr>
          <w:p w14:paraId="05E0A334">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0.733</w:t>
            </w:r>
          </w:p>
        </w:tc>
        <w:tc>
          <w:tcPr>
            <w:tcW w:w="1219" w:type="pct"/>
            <w:vAlign w:val="center"/>
          </w:tcPr>
          <w:p w14:paraId="4FBD0387">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0.600</w:t>
            </w:r>
          </w:p>
        </w:tc>
      </w:tr>
      <w:tr w14:paraId="65C6E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40" w:hRule="atLeast"/>
        </w:trPr>
        <w:tc>
          <w:tcPr>
            <w:tcW w:w="1355" w:type="pct"/>
            <w:vAlign w:val="center"/>
          </w:tcPr>
          <w:p w14:paraId="449DD9B1">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挥发性酚类</w:t>
            </w:r>
          </w:p>
        </w:tc>
        <w:tc>
          <w:tcPr>
            <w:tcW w:w="1293" w:type="pct"/>
            <w:vAlign w:val="center"/>
          </w:tcPr>
          <w:p w14:paraId="76B5477F">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124" w:type="pct"/>
            <w:vAlign w:val="center"/>
          </w:tcPr>
          <w:p w14:paraId="2384B811">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219" w:type="pct"/>
            <w:vAlign w:val="center"/>
          </w:tcPr>
          <w:p w14:paraId="4F5AB462">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r>
      <w:tr w14:paraId="6C1A7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40" w:hRule="atLeast"/>
        </w:trPr>
        <w:tc>
          <w:tcPr>
            <w:tcW w:w="1355" w:type="pct"/>
            <w:vAlign w:val="center"/>
          </w:tcPr>
          <w:p w14:paraId="1BE335FA">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氰化物</w:t>
            </w:r>
          </w:p>
        </w:tc>
        <w:tc>
          <w:tcPr>
            <w:tcW w:w="1293" w:type="pct"/>
            <w:vAlign w:val="center"/>
          </w:tcPr>
          <w:p w14:paraId="769A666C">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124" w:type="pct"/>
            <w:vAlign w:val="center"/>
          </w:tcPr>
          <w:p w14:paraId="1C583CB1">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219" w:type="pct"/>
            <w:vAlign w:val="center"/>
          </w:tcPr>
          <w:p w14:paraId="048136A8">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r>
      <w:tr w14:paraId="26FD9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40" w:hRule="atLeast"/>
        </w:trPr>
        <w:tc>
          <w:tcPr>
            <w:tcW w:w="1355" w:type="pct"/>
            <w:vAlign w:val="center"/>
          </w:tcPr>
          <w:p w14:paraId="4F181709">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氟化物</w:t>
            </w:r>
          </w:p>
        </w:tc>
        <w:tc>
          <w:tcPr>
            <w:tcW w:w="1293" w:type="pct"/>
            <w:vAlign w:val="center"/>
          </w:tcPr>
          <w:p w14:paraId="6A389E97">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0.290</w:t>
            </w:r>
          </w:p>
        </w:tc>
        <w:tc>
          <w:tcPr>
            <w:tcW w:w="1124" w:type="pct"/>
            <w:vAlign w:val="center"/>
          </w:tcPr>
          <w:p w14:paraId="1928FD65">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0.310</w:t>
            </w:r>
          </w:p>
        </w:tc>
        <w:tc>
          <w:tcPr>
            <w:tcW w:w="1219" w:type="pct"/>
            <w:vAlign w:val="center"/>
          </w:tcPr>
          <w:p w14:paraId="3D66ACBD">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0.110</w:t>
            </w:r>
          </w:p>
        </w:tc>
      </w:tr>
      <w:tr w14:paraId="3445C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40" w:hRule="atLeast"/>
        </w:trPr>
        <w:tc>
          <w:tcPr>
            <w:tcW w:w="1355" w:type="pct"/>
            <w:vAlign w:val="center"/>
          </w:tcPr>
          <w:p w14:paraId="6930CAF5">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硝酸盐</w:t>
            </w:r>
          </w:p>
        </w:tc>
        <w:tc>
          <w:tcPr>
            <w:tcW w:w="1293" w:type="pct"/>
            <w:vAlign w:val="center"/>
          </w:tcPr>
          <w:p w14:paraId="0FE714CA">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0.123</w:t>
            </w:r>
          </w:p>
        </w:tc>
        <w:tc>
          <w:tcPr>
            <w:tcW w:w="1124" w:type="pct"/>
            <w:vAlign w:val="center"/>
          </w:tcPr>
          <w:p w14:paraId="2F153F8F">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0.096</w:t>
            </w:r>
          </w:p>
        </w:tc>
        <w:tc>
          <w:tcPr>
            <w:tcW w:w="1219" w:type="pct"/>
            <w:vAlign w:val="center"/>
          </w:tcPr>
          <w:p w14:paraId="49329332">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0.071</w:t>
            </w:r>
          </w:p>
        </w:tc>
      </w:tr>
      <w:tr w14:paraId="1C047A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40" w:hRule="atLeast"/>
        </w:trPr>
        <w:tc>
          <w:tcPr>
            <w:tcW w:w="1355" w:type="pct"/>
            <w:vAlign w:val="center"/>
          </w:tcPr>
          <w:p w14:paraId="74A0454E">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亚硝酸盐</w:t>
            </w:r>
          </w:p>
        </w:tc>
        <w:tc>
          <w:tcPr>
            <w:tcW w:w="1293" w:type="pct"/>
            <w:vAlign w:val="center"/>
          </w:tcPr>
          <w:p w14:paraId="438FBF4A">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124" w:type="pct"/>
            <w:vAlign w:val="center"/>
          </w:tcPr>
          <w:p w14:paraId="7CAA60C2">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219" w:type="pct"/>
            <w:vAlign w:val="center"/>
          </w:tcPr>
          <w:p w14:paraId="4242E97F">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r>
      <w:tr w14:paraId="2B0F0E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40" w:hRule="atLeast"/>
        </w:trPr>
        <w:tc>
          <w:tcPr>
            <w:tcW w:w="1355" w:type="pct"/>
            <w:vAlign w:val="center"/>
          </w:tcPr>
          <w:p w14:paraId="72CC8CBC">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sz w:val="21"/>
                <w:szCs w:val="21"/>
                <w:highlight w:val="none"/>
              </w:rPr>
              <w:t>氨氮</w:t>
            </w:r>
          </w:p>
        </w:tc>
        <w:tc>
          <w:tcPr>
            <w:tcW w:w="1293" w:type="pct"/>
            <w:vAlign w:val="center"/>
          </w:tcPr>
          <w:p w14:paraId="2C3FF3F8">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0.578</w:t>
            </w:r>
          </w:p>
        </w:tc>
        <w:tc>
          <w:tcPr>
            <w:tcW w:w="1124" w:type="pct"/>
            <w:vAlign w:val="center"/>
          </w:tcPr>
          <w:p w14:paraId="2C7F4BAF">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0.428</w:t>
            </w:r>
          </w:p>
        </w:tc>
        <w:tc>
          <w:tcPr>
            <w:tcW w:w="1219" w:type="pct"/>
            <w:vAlign w:val="center"/>
          </w:tcPr>
          <w:p w14:paraId="3F2C8C4C">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0.224</w:t>
            </w:r>
          </w:p>
        </w:tc>
      </w:tr>
      <w:tr w14:paraId="43C4C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40" w:hRule="atLeast"/>
        </w:trPr>
        <w:tc>
          <w:tcPr>
            <w:tcW w:w="1355" w:type="pct"/>
            <w:vAlign w:val="center"/>
          </w:tcPr>
          <w:p w14:paraId="7BAC7554">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六价铬</w:t>
            </w:r>
          </w:p>
        </w:tc>
        <w:tc>
          <w:tcPr>
            <w:tcW w:w="1293" w:type="pct"/>
            <w:vAlign w:val="center"/>
          </w:tcPr>
          <w:p w14:paraId="221E0B22">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124" w:type="pct"/>
            <w:vAlign w:val="center"/>
          </w:tcPr>
          <w:p w14:paraId="759DD550">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219" w:type="pct"/>
            <w:vAlign w:val="center"/>
          </w:tcPr>
          <w:p w14:paraId="53356DDE">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r>
      <w:tr w14:paraId="05B4E2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40" w:hRule="atLeast"/>
        </w:trPr>
        <w:tc>
          <w:tcPr>
            <w:tcW w:w="1355" w:type="pct"/>
            <w:vAlign w:val="center"/>
          </w:tcPr>
          <w:p w14:paraId="70076251">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砷</w:t>
            </w:r>
          </w:p>
        </w:tc>
        <w:tc>
          <w:tcPr>
            <w:tcW w:w="1293" w:type="pct"/>
            <w:vAlign w:val="center"/>
          </w:tcPr>
          <w:p w14:paraId="6653AF17">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124" w:type="pct"/>
            <w:vAlign w:val="center"/>
          </w:tcPr>
          <w:p w14:paraId="3370F453">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219" w:type="pct"/>
            <w:vAlign w:val="center"/>
          </w:tcPr>
          <w:p w14:paraId="760700C1">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r>
      <w:tr w14:paraId="25537F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40" w:hRule="atLeast"/>
        </w:trPr>
        <w:tc>
          <w:tcPr>
            <w:tcW w:w="1355" w:type="pct"/>
            <w:vAlign w:val="center"/>
          </w:tcPr>
          <w:p w14:paraId="076501FD">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铅</w:t>
            </w:r>
          </w:p>
        </w:tc>
        <w:tc>
          <w:tcPr>
            <w:tcW w:w="1293" w:type="pct"/>
            <w:vAlign w:val="center"/>
          </w:tcPr>
          <w:p w14:paraId="4909FF8E">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124" w:type="pct"/>
            <w:vAlign w:val="center"/>
          </w:tcPr>
          <w:p w14:paraId="1F9DD0B7">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219" w:type="pct"/>
            <w:vAlign w:val="center"/>
          </w:tcPr>
          <w:p w14:paraId="54719AFB">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r>
      <w:tr w14:paraId="6A509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40" w:hRule="atLeast"/>
        </w:trPr>
        <w:tc>
          <w:tcPr>
            <w:tcW w:w="1355" w:type="pct"/>
            <w:vAlign w:val="center"/>
          </w:tcPr>
          <w:p w14:paraId="0F43B693">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铁</w:t>
            </w:r>
          </w:p>
        </w:tc>
        <w:tc>
          <w:tcPr>
            <w:tcW w:w="1293" w:type="pct"/>
            <w:vAlign w:val="center"/>
          </w:tcPr>
          <w:p w14:paraId="33BFE039">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0.867</w:t>
            </w:r>
          </w:p>
        </w:tc>
        <w:tc>
          <w:tcPr>
            <w:tcW w:w="1124" w:type="pct"/>
            <w:vAlign w:val="center"/>
          </w:tcPr>
          <w:p w14:paraId="6309B4BC">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0.900</w:t>
            </w:r>
          </w:p>
        </w:tc>
        <w:tc>
          <w:tcPr>
            <w:tcW w:w="1219" w:type="pct"/>
            <w:vAlign w:val="center"/>
          </w:tcPr>
          <w:p w14:paraId="3E69578D">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0.667</w:t>
            </w:r>
          </w:p>
        </w:tc>
      </w:tr>
      <w:tr w14:paraId="125C1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40" w:hRule="atLeast"/>
        </w:trPr>
        <w:tc>
          <w:tcPr>
            <w:tcW w:w="1355" w:type="pct"/>
            <w:vAlign w:val="center"/>
          </w:tcPr>
          <w:p w14:paraId="309C955B">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汞</w:t>
            </w:r>
          </w:p>
        </w:tc>
        <w:tc>
          <w:tcPr>
            <w:tcW w:w="1293" w:type="pct"/>
            <w:vAlign w:val="center"/>
          </w:tcPr>
          <w:p w14:paraId="021A9955">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124" w:type="pct"/>
            <w:vAlign w:val="center"/>
          </w:tcPr>
          <w:p w14:paraId="5178FA1D">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219" w:type="pct"/>
            <w:vAlign w:val="center"/>
          </w:tcPr>
          <w:p w14:paraId="3C75E843">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r>
      <w:tr w14:paraId="2CE31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40" w:hRule="atLeast"/>
        </w:trPr>
        <w:tc>
          <w:tcPr>
            <w:tcW w:w="1355" w:type="pct"/>
            <w:vAlign w:val="center"/>
          </w:tcPr>
          <w:p w14:paraId="71C7B888">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锰</w:t>
            </w:r>
          </w:p>
        </w:tc>
        <w:tc>
          <w:tcPr>
            <w:tcW w:w="1293" w:type="pct"/>
            <w:vAlign w:val="center"/>
          </w:tcPr>
          <w:p w14:paraId="15FF2D40">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0.900</w:t>
            </w:r>
          </w:p>
        </w:tc>
        <w:tc>
          <w:tcPr>
            <w:tcW w:w="1124" w:type="pct"/>
            <w:vAlign w:val="center"/>
          </w:tcPr>
          <w:p w14:paraId="79779CD4">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b/>
                <w:bCs/>
                <w:color w:val="auto"/>
                <w:w w:val="99"/>
                <w:sz w:val="21"/>
                <w:szCs w:val="21"/>
                <w:highlight w:val="none"/>
              </w:rPr>
              <w:t>1.100</w:t>
            </w:r>
          </w:p>
        </w:tc>
        <w:tc>
          <w:tcPr>
            <w:tcW w:w="1219" w:type="pct"/>
            <w:vAlign w:val="center"/>
          </w:tcPr>
          <w:p w14:paraId="2853AB66">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0.200</w:t>
            </w:r>
          </w:p>
        </w:tc>
      </w:tr>
      <w:tr w14:paraId="6A322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40" w:hRule="atLeast"/>
        </w:trPr>
        <w:tc>
          <w:tcPr>
            <w:tcW w:w="1355" w:type="pct"/>
            <w:vAlign w:val="center"/>
          </w:tcPr>
          <w:p w14:paraId="1FE61F1B">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镉</w:t>
            </w:r>
          </w:p>
        </w:tc>
        <w:tc>
          <w:tcPr>
            <w:tcW w:w="1293" w:type="pct"/>
            <w:vAlign w:val="center"/>
          </w:tcPr>
          <w:p w14:paraId="5A441624">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124" w:type="pct"/>
            <w:vAlign w:val="center"/>
          </w:tcPr>
          <w:p w14:paraId="011239ED">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219" w:type="pct"/>
            <w:vAlign w:val="center"/>
          </w:tcPr>
          <w:p w14:paraId="50E48795">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r>
      <w:tr w14:paraId="59D74E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40" w:hRule="atLeast"/>
        </w:trPr>
        <w:tc>
          <w:tcPr>
            <w:tcW w:w="1355" w:type="pct"/>
            <w:vAlign w:val="center"/>
          </w:tcPr>
          <w:p w14:paraId="21F46876">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石油类</w:t>
            </w:r>
          </w:p>
        </w:tc>
        <w:tc>
          <w:tcPr>
            <w:tcW w:w="1293" w:type="pct"/>
            <w:vAlign w:val="center"/>
          </w:tcPr>
          <w:p w14:paraId="38583116">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124" w:type="pct"/>
            <w:vAlign w:val="center"/>
          </w:tcPr>
          <w:p w14:paraId="2A5FF801">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219" w:type="pct"/>
            <w:vAlign w:val="center"/>
          </w:tcPr>
          <w:p w14:paraId="24E3FFC1">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r>
      <w:tr w14:paraId="4C93B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40" w:hRule="atLeast"/>
        </w:trPr>
        <w:tc>
          <w:tcPr>
            <w:tcW w:w="1355" w:type="pct"/>
            <w:vAlign w:val="center"/>
          </w:tcPr>
          <w:p w14:paraId="33DA4721">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总大肠菌群</w:t>
            </w:r>
          </w:p>
        </w:tc>
        <w:tc>
          <w:tcPr>
            <w:tcW w:w="1293" w:type="pct"/>
            <w:vAlign w:val="center"/>
          </w:tcPr>
          <w:p w14:paraId="57E780DF">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124" w:type="pct"/>
            <w:vAlign w:val="center"/>
          </w:tcPr>
          <w:p w14:paraId="6747DA94">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219" w:type="pct"/>
            <w:vAlign w:val="center"/>
          </w:tcPr>
          <w:p w14:paraId="207F3EAA">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r>
      <w:tr w14:paraId="48E08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40" w:hRule="atLeast"/>
        </w:trPr>
        <w:tc>
          <w:tcPr>
            <w:tcW w:w="1355" w:type="pct"/>
            <w:vAlign w:val="center"/>
          </w:tcPr>
          <w:p w14:paraId="5966D56F">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菌落总数</w:t>
            </w:r>
          </w:p>
        </w:tc>
        <w:tc>
          <w:tcPr>
            <w:tcW w:w="1293" w:type="pct"/>
            <w:vAlign w:val="center"/>
          </w:tcPr>
          <w:p w14:paraId="5916E21B">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0.100</w:t>
            </w:r>
          </w:p>
        </w:tc>
        <w:tc>
          <w:tcPr>
            <w:tcW w:w="1124" w:type="pct"/>
            <w:vAlign w:val="center"/>
          </w:tcPr>
          <w:p w14:paraId="5DED1D65">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0.110</w:t>
            </w:r>
          </w:p>
        </w:tc>
        <w:tc>
          <w:tcPr>
            <w:tcW w:w="1219" w:type="pct"/>
            <w:vAlign w:val="center"/>
          </w:tcPr>
          <w:p w14:paraId="6EB24A7D">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0.080</w:t>
            </w:r>
          </w:p>
        </w:tc>
      </w:tr>
      <w:tr w14:paraId="69A45F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40" w:hRule="atLeast"/>
        </w:trPr>
        <w:tc>
          <w:tcPr>
            <w:tcW w:w="1355" w:type="pct"/>
            <w:vAlign w:val="center"/>
          </w:tcPr>
          <w:p w14:paraId="69791F78">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硫化物</w:t>
            </w:r>
          </w:p>
        </w:tc>
        <w:tc>
          <w:tcPr>
            <w:tcW w:w="1293" w:type="pct"/>
            <w:vAlign w:val="center"/>
          </w:tcPr>
          <w:p w14:paraId="66B93CEC">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124" w:type="pct"/>
            <w:vAlign w:val="center"/>
          </w:tcPr>
          <w:p w14:paraId="6B630D03">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219" w:type="pct"/>
            <w:vAlign w:val="center"/>
          </w:tcPr>
          <w:p w14:paraId="3F9F9F05">
            <w:pPr>
              <w:jc w:val="center"/>
              <w:textAlignment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r>
      <w:tr w14:paraId="5F5F00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340" w:hRule="atLeast"/>
        </w:trPr>
        <w:tc>
          <w:tcPr>
            <w:tcW w:w="1355" w:type="pct"/>
            <w:vAlign w:val="center"/>
          </w:tcPr>
          <w:p w14:paraId="61E5264E">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钡</w:t>
            </w:r>
          </w:p>
        </w:tc>
        <w:tc>
          <w:tcPr>
            <w:tcW w:w="1293" w:type="pct"/>
            <w:vAlign w:val="center"/>
          </w:tcPr>
          <w:p w14:paraId="2EFB6510">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1124" w:type="pct"/>
            <w:vAlign w:val="center"/>
          </w:tcPr>
          <w:p w14:paraId="7D60F1C6">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1219" w:type="pct"/>
            <w:vAlign w:val="center"/>
          </w:tcPr>
          <w:p w14:paraId="6434F9C6">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r>
    </w:tbl>
    <w:p w14:paraId="5AA19F68">
      <w:pPr>
        <w:widowControl w:val="0"/>
        <w:spacing w:line="440" w:lineRule="exact"/>
        <w:ind w:firstLine="476" w:firstLineChars="200"/>
        <w:rPr>
          <w:rFonts w:ascii="Times New Roman" w:hAnsi="Times New Roman" w:cs="Times New Roman"/>
          <w:color w:val="auto"/>
          <w:w w:val="99"/>
          <w:highlight w:val="none"/>
        </w:rPr>
      </w:pPr>
      <w:r>
        <w:rPr>
          <w:rFonts w:hint="eastAsia" w:ascii="Times New Roman" w:hAnsi="Times New Roman" w:cs="Times New Roman" w:eastAsiaTheme="minorEastAsia"/>
          <w:b/>
          <w:color w:val="auto"/>
          <w:w w:val="99"/>
          <w:highlight w:val="none"/>
        </w:rPr>
        <w:t>续</w:t>
      </w:r>
      <w:r>
        <w:rPr>
          <w:rFonts w:ascii="Times New Roman" w:hAnsi="Times New Roman" w:cs="Times New Roman" w:eastAsiaTheme="minorEastAsia"/>
          <w:b/>
          <w:color w:val="auto"/>
          <w:w w:val="99"/>
          <w:highlight w:val="none"/>
        </w:rPr>
        <w:t>表4.3-1</w:t>
      </w:r>
      <w:r>
        <w:rPr>
          <w:rFonts w:hint="eastAsia" w:ascii="Times New Roman" w:hAnsi="Times New Roman" w:cs="Times New Roman" w:eastAsiaTheme="minorEastAsia"/>
          <w:b/>
          <w:color w:val="auto"/>
          <w:w w:val="99"/>
          <w:highlight w:val="none"/>
        </w:rPr>
        <w:t>0</w:t>
      </w:r>
      <w:r>
        <w:rPr>
          <w:rFonts w:ascii="Times New Roman" w:hAnsi="Times New Roman" w:cs="Times New Roman" w:eastAsiaTheme="minorEastAsia"/>
          <w:b/>
          <w:color w:val="auto"/>
          <w:w w:val="99"/>
          <w:highlight w:val="none"/>
        </w:rPr>
        <w:t xml:space="preserve">    </w:t>
      </w:r>
      <w:r>
        <w:rPr>
          <w:rFonts w:ascii="Times New Roman" w:hAnsi="Times New Roman" w:cs="Times New Roman" w:eastAsiaTheme="minorEastAsia"/>
          <w:b/>
          <w:color w:val="auto"/>
          <w:w w:val="99"/>
          <w:szCs w:val="28"/>
          <w:highlight w:val="none"/>
        </w:rPr>
        <w:t>地下水</w:t>
      </w:r>
      <w:r>
        <w:rPr>
          <w:rFonts w:ascii="Times New Roman" w:hAnsi="Times New Roman" w:cs="Times New Roman" w:eastAsiaTheme="minorEastAsia"/>
          <w:b/>
          <w:color w:val="auto"/>
          <w:w w:val="99"/>
          <w:highlight w:val="none"/>
        </w:rPr>
        <w:t>单因子标准指数计算结果</w:t>
      </w:r>
      <w:r>
        <w:rPr>
          <w:rFonts w:hint="eastAsia" w:ascii="Times New Roman" w:hAnsi="Times New Roman" w:cs="Times New Roman" w:eastAsiaTheme="minorEastAsia"/>
          <w:b/>
          <w:color w:val="auto"/>
          <w:w w:val="99"/>
          <w:highlight w:val="none"/>
          <w:lang w:eastAsia="zh-CN"/>
        </w:rPr>
        <w:t>（</w:t>
      </w:r>
      <w:r>
        <w:rPr>
          <w:rFonts w:hint="eastAsia" w:ascii="Times New Roman" w:hAnsi="Times New Roman" w:cs="Times New Roman" w:eastAsiaTheme="minorEastAsia"/>
          <w:b/>
          <w:color w:val="auto"/>
          <w:w w:val="99"/>
          <w:highlight w:val="none"/>
          <w:lang w:val="en-US" w:eastAsia="zh-CN"/>
        </w:rPr>
        <w:t>引用</w:t>
      </w:r>
      <w:r>
        <w:rPr>
          <w:rFonts w:hint="eastAsia" w:ascii="Times New Roman" w:hAnsi="Times New Roman" w:cs="Times New Roman" w:eastAsiaTheme="minorEastAsia"/>
          <w:b/>
          <w:color w:val="auto"/>
          <w:w w:val="99"/>
          <w:highlight w:val="none"/>
          <w:lang w:eastAsia="zh-CN"/>
        </w:rPr>
        <w:t>）</w:t>
      </w:r>
      <w:r>
        <w:rPr>
          <w:rFonts w:ascii="Times New Roman" w:hAnsi="Times New Roman" w:cs="Times New Roman" w:eastAsiaTheme="minorEastAsia"/>
          <w:b/>
          <w:color w:val="auto"/>
          <w:w w:val="99"/>
          <w:highlight w:val="none"/>
        </w:rPr>
        <w:t xml:space="preserve"> </w:t>
      </w:r>
    </w:p>
    <w:tbl>
      <w:tblPr>
        <w:tblStyle w:val="81"/>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958"/>
        <w:gridCol w:w="1870"/>
        <w:gridCol w:w="1625"/>
        <w:gridCol w:w="2173"/>
        <w:gridCol w:w="1646"/>
        <w:gridCol w:w="13"/>
      </w:tblGrid>
      <w:tr w14:paraId="15FFA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056D523E">
            <w:pPr>
              <w:spacing w:line="36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w w:val="99"/>
                <w:sz w:val="21"/>
                <w:szCs w:val="21"/>
                <w:highlight w:val="none"/>
              </w:rPr>
              <w:t>监测时间</w:t>
            </w:r>
          </w:p>
        </w:tc>
        <w:tc>
          <w:tcPr>
            <w:tcW w:w="3945" w:type="pct"/>
            <w:gridSpan w:val="5"/>
            <w:tcBorders>
              <w:right w:val="single" w:color="auto" w:sz="4" w:space="0"/>
            </w:tcBorders>
            <w:vAlign w:val="center"/>
          </w:tcPr>
          <w:p w14:paraId="02B0810D">
            <w:pPr>
              <w:spacing w:line="36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202</w:t>
            </w:r>
            <w:r>
              <w:rPr>
                <w:rFonts w:hint="eastAsia" w:ascii="Times New Roman" w:hAnsi="Times New Roman" w:cs="Times New Roman" w:eastAsiaTheme="minorEastAsia"/>
                <w:color w:val="auto"/>
                <w:w w:val="99"/>
                <w:sz w:val="21"/>
                <w:szCs w:val="21"/>
                <w:highlight w:val="none"/>
              </w:rPr>
              <w:t>5</w:t>
            </w:r>
            <w:r>
              <w:rPr>
                <w:rFonts w:ascii="Times New Roman" w:hAnsi="Times New Roman" w:cs="Times New Roman" w:eastAsiaTheme="minorEastAsia"/>
                <w:color w:val="auto"/>
                <w:w w:val="99"/>
                <w:sz w:val="21"/>
                <w:szCs w:val="21"/>
                <w:highlight w:val="none"/>
              </w:rPr>
              <w:t>.</w:t>
            </w:r>
            <w:r>
              <w:rPr>
                <w:rFonts w:hint="eastAsia" w:ascii="Times New Roman" w:hAnsi="Times New Roman" w:cs="Times New Roman" w:eastAsiaTheme="minorEastAsia"/>
                <w:color w:val="auto"/>
                <w:w w:val="99"/>
                <w:sz w:val="21"/>
                <w:szCs w:val="21"/>
                <w:highlight w:val="none"/>
              </w:rPr>
              <w:t>3</w:t>
            </w:r>
            <w:r>
              <w:rPr>
                <w:rFonts w:ascii="Times New Roman" w:hAnsi="Times New Roman" w:cs="Times New Roman" w:eastAsiaTheme="minorEastAsia"/>
                <w:color w:val="auto"/>
                <w:w w:val="99"/>
                <w:sz w:val="21"/>
                <w:szCs w:val="21"/>
                <w:highlight w:val="none"/>
              </w:rPr>
              <w:t>.</w:t>
            </w:r>
            <w:r>
              <w:rPr>
                <w:rFonts w:hint="eastAsia" w:ascii="Times New Roman" w:hAnsi="Times New Roman" w:cs="Times New Roman" w:eastAsiaTheme="minorEastAsia"/>
                <w:color w:val="auto"/>
                <w:w w:val="99"/>
                <w:sz w:val="21"/>
                <w:szCs w:val="21"/>
                <w:highlight w:val="none"/>
              </w:rPr>
              <w:t>26</w:t>
            </w:r>
          </w:p>
        </w:tc>
      </w:tr>
      <w:tr w14:paraId="51E68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40" w:hRule="atLeast"/>
        </w:trPr>
        <w:tc>
          <w:tcPr>
            <w:tcW w:w="1054" w:type="pct"/>
            <w:vAlign w:val="center"/>
          </w:tcPr>
          <w:p w14:paraId="5DB4A646">
            <w:pPr>
              <w:spacing w:line="36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w w:val="99"/>
                <w:sz w:val="21"/>
                <w:szCs w:val="21"/>
                <w:highlight w:val="none"/>
              </w:rPr>
              <w:t>监测项目</w:t>
            </w:r>
          </w:p>
        </w:tc>
        <w:tc>
          <w:tcPr>
            <w:tcW w:w="1007" w:type="pct"/>
            <w:tcBorders>
              <w:right w:val="single" w:color="auto" w:sz="4" w:space="0"/>
            </w:tcBorders>
            <w:vAlign w:val="center"/>
          </w:tcPr>
          <w:p w14:paraId="765BA138">
            <w:pPr>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sz w:val="21"/>
                <w:szCs w:val="21"/>
                <w:highlight w:val="none"/>
                <w:lang w:bidi="ar"/>
              </w:rPr>
              <w:t>尚家围子屯吕家潜水井</w:t>
            </w:r>
          </w:p>
        </w:tc>
        <w:tc>
          <w:tcPr>
            <w:tcW w:w="875" w:type="pct"/>
            <w:tcBorders>
              <w:left w:val="single" w:color="auto" w:sz="4" w:space="0"/>
            </w:tcBorders>
            <w:vAlign w:val="center"/>
          </w:tcPr>
          <w:p w14:paraId="516DEAF4">
            <w:pPr>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sz w:val="21"/>
                <w:szCs w:val="21"/>
                <w:highlight w:val="none"/>
                <w:lang w:bidi="ar"/>
              </w:rPr>
              <w:t>王家围子屯王家潜水井</w:t>
            </w:r>
          </w:p>
        </w:tc>
        <w:tc>
          <w:tcPr>
            <w:tcW w:w="1170" w:type="pct"/>
            <w:tcBorders>
              <w:right w:val="single" w:color="auto" w:sz="4" w:space="0"/>
            </w:tcBorders>
            <w:vAlign w:val="center"/>
          </w:tcPr>
          <w:p w14:paraId="00DB7301">
            <w:pPr>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sz w:val="21"/>
                <w:szCs w:val="21"/>
                <w:highlight w:val="none"/>
                <w:lang w:bidi="ar"/>
              </w:rPr>
              <w:t>杨</w:t>
            </w:r>
            <w:r>
              <w:rPr>
                <w:rFonts w:hint="eastAsia" w:ascii="Times New Roman" w:hAnsi="Times New Roman" w:cs="Times New Roman"/>
                <w:color w:val="auto"/>
                <w:w w:val="99"/>
                <w:sz w:val="21"/>
                <w:szCs w:val="21"/>
                <w:highlight w:val="none"/>
                <w:lang w:bidi="ar"/>
              </w:rPr>
              <w:t>家</w:t>
            </w:r>
            <w:r>
              <w:rPr>
                <w:rFonts w:ascii="Times New Roman" w:hAnsi="Times New Roman" w:cs="Times New Roman"/>
                <w:color w:val="auto"/>
                <w:w w:val="99"/>
                <w:sz w:val="21"/>
                <w:szCs w:val="21"/>
                <w:highlight w:val="none"/>
                <w:lang w:bidi="ar"/>
              </w:rPr>
              <w:t>屯陈家潜水井</w:t>
            </w:r>
          </w:p>
        </w:tc>
        <w:tc>
          <w:tcPr>
            <w:tcW w:w="886" w:type="pct"/>
            <w:tcBorders>
              <w:left w:val="single" w:color="auto" w:sz="4" w:space="0"/>
              <w:right w:val="single" w:color="auto" w:sz="4" w:space="0"/>
            </w:tcBorders>
            <w:vAlign w:val="center"/>
          </w:tcPr>
          <w:p w14:paraId="7DD7911A">
            <w:pPr>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sz w:val="21"/>
                <w:szCs w:val="21"/>
                <w:highlight w:val="none"/>
                <w:lang w:bidi="ar"/>
              </w:rPr>
              <w:t>尚家围子屯孙家承压水井</w:t>
            </w:r>
          </w:p>
        </w:tc>
      </w:tr>
      <w:tr w14:paraId="046269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40" w:hRule="atLeast"/>
        </w:trPr>
        <w:tc>
          <w:tcPr>
            <w:tcW w:w="1054" w:type="pct"/>
            <w:vAlign w:val="center"/>
          </w:tcPr>
          <w:p w14:paraId="1386BF2F">
            <w:pPr>
              <w:spacing w:line="36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Na</w:t>
            </w:r>
            <w:r>
              <w:rPr>
                <w:rFonts w:ascii="Times New Roman" w:hAnsi="Times New Roman" w:cs="Times New Roman" w:eastAsiaTheme="minorEastAsia"/>
                <w:color w:val="auto"/>
                <w:w w:val="99"/>
                <w:sz w:val="21"/>
                <w:szCs w:val="21"/>
                <w:highlight w:val="none"/>
                <w:vertAlign w:val="superscript"/>
              </w:rPr>
              <w:t>+</w:t>
            </w:r>
          </w:p>
        </w:tc>
        <w:tc>
          <w:tcPr>
            <w:tcW w:w="1007" w:type="pct"/>
            <w:vAlign w:val="center"/>
          </w:tcPr>
          <w:p w14:paraId="3361394E">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0.264</w:t>
            </w:r>
          </w:p>
        </w:tc>
        <w:tc>
          <w:tcPr>
            <w:tcW w:w="875" w:type="pct"/>
            <w:vAlign w:val="center"/>
          </w:tcPr>
          <w:p w14:paraId="39411CEC">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0.311</w:t>
            </w:r>
          </w:p>
        </w:tc>
        <w:tc>
          <w:tcPr>
            <w:tcW w:w="1170" w:type="pct"/>
            <w:vAlign w:val="center"/>
          </w:tcPr>
          <w:p w14:paraId="11FF5BA2">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0.294</w:t>
            </w:r>
          </w:p>
        </w:tc>
        <w:tc>
          <w:tcPr>
            <w:tcW w:w="886" w:type="pct"/>
            <w:vAlign w:val="center"/>
          </w:tcPr>
          <w:p w14:paraId="0C6B1DC9">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0.212</w:t>
            </w:r>
          </w:p>
        </w:tc>
      </w:tr>
      <w:tr w14:paraId="727F91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39" w:hRule="atLeast"/>
        </w:trPr>
        <w:tc>
          <w:tcPr>
            <w:tcW w:w="1054" w:type="pct"/>
            <w:vAlign w:val="center"/>
          </w:tcPr>
          <w:p w14:paraId="4E84CFFA">
            <w:pPr>
              <w:spacing w:line="36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Cl</w:t>
            </w:r>
            <w:r>
              <w:rPr>
                <w:rFonts w:ascii="Times New Roman" w:hAnsi="Times New Roman" w:cs="Times New Roman" w:eastAsiaTheme="minorEastAsia"/>
                <w:color w:val="auto"/>
                <w:w w:val="99"/>
                <w:sz w:val="21"/>
                <w:szCs w:val="21"/>
                <w:highlight w:val="none"/>
                <w:vertAlign w:val="superscript"/>
              </w:rPr>
              <w:t>-</w:t>
            </w:r>
          </w:p>
        </w:tc>
        <w:tc>
          <w:tcPr>
            <w:tcW w:w="1007" w:type="pct"/>
            <w:vAlign w:val="center"/>
          </w:tcPr>
          <w:p w14:paraId="582B9198">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0.194</w:t>
            </w:r>
          </w:p>
        </w:tc>
        <w:tc>
          <w:tcPr>
            <w:tcW w:w="875" w:type="pct"/>
            <w:vAlign w:val="center"/>
          </w:tcPr>
          <w:p w14:paraId="5772A13A">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0.204</w:t>
            </w:r>
          </w:p>
        </w:tc>
        <w:tc>
          <w:tcPr>
            <w:tcW w:w="1170" w:type="pct"/>
            <w:vAlign w:val="center"/>
          </w:tcPr>
          <w:p w14:paraId="63A01B9D">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0.189</w:t>
            </w:r>
          </w:p>
        </w:tc>
        <w:tc>
          <w:tcPr>
            <w:tcW w:w="886" w:type="pct"/>
            <w:vAlign w:val="center"/>
          </w:tcPr>
          <w:p w14:paraId="1050454F">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0.146</w:t>
            </w:r>
          </w:p>
        </w:tc>
      </w:tr>
      <w:tr w14:paraId="24857D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40" w:hRule="atLeast"/>
        </w:trPr>
        <w:tc>
          <w:tcPr>
            <w:tcW w:w="1054" w:type="pct"/>
            <w:vAlign w:val="center"/>
          </w:tcPr>
          <w:p w14:paraId="22ECD07B">
            <w:pPr>
              <w:spacing w:line="36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4</w:t>
            </w:r>
            <w:r>
              <w:rPr>
                <w:rFonts w:ascii="Times New Roman" w:hAnsi="Times New Roman" w:cs="Times New Roman" w:eastAsiaTheme="minorEastAsia"/>
                <w:color w:val="auto"/>
                <w:w w:val="99"/>
                <w:sz w:val="21"/>
                <w:szCs w:val="21"/>
                <w:highlight w:val="none"/>
                <w:vertAlign w:val="superscript"/>
              </w:rPr>
              <w:t>2-</w:t>
            </w:r>
          </w:p>
        </w:tc>
        <w:tc>
          <w:tcPr>
            <w:tcW w:w="1007" w:type="pct"/>
            <w:vAlign w:val="center"/>
          </w:tcPr>
          <w:p w14:paraId="7206C50A">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0.147</w:t>
            </w:r>
          </w:p>
        </w:tc>
        <w:tc>
          <w:tcPr>
            <w:tcW w:w="875" w:type="pct"/>
            <w:vAlign w:val="center"/>
          </w:tcPr>
          <w:p w14:paraId="1585F0AA">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0.185</w:t>
            </w:r>
          </w:p>
        </w:tc>
        <w:tc>
          <w:tcPr>
            <w:tcW w:w="1170" w:type="pct"/>
            <w:vAlign w:val="center"/>
          </w:tcPr>
          <w:p w14:paraId="4E6E713D">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0.142</w:t>
            </w:r>
          </w:p>
        </w:tc>
        <w:tc>
          <w:tcPr>
            <w:tcW w:w="886" w:type="pct"/>
            <w:vAlign w:val="center"/>
          </w:tcPr>
          <w:p w14:paraId="7DFB15EF">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0.099</w:t>
            </w:r>
          </w:p>
        </w:tc>
      </w:tr>
      <w:tr w14:paraId="322FB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40" w:hRule="atLeast"/>
        </w:trPr>
        <w:tc>
          <w:tcPr>
            <w:tcW w:w="1054" w:type="pct"/>
            <w:vAlign w:val="center"/>
          </w:tcPr>
          <w:p w14:paraId="303793E9">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pH</w:t>
            </w:r>
          </w:p>
        </w:tc>
        <w:tc>
          <w:tcPr>
            <w:tcW w:w="1007" w:type="pct"/>
            <w:vAlign w:val="center"/>
          </w:tcPr>
          <w:p w14:paraId="5F323034">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0.467</w:t>
            </w:r>
          </w:p>
        </w:tc>
        <w:tc>
          <w:tcPr>
            <w:tcW w:w="875" w:type="pct"/>
            <w:vAlign w:val="center"/>
          </w:tcPr>
          <w:p w14:paraId="1F2B4C59">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0.400</w:t>
            </w:r>
          </w:p>
        </w:tc>
        <w:tc>
          <w:tcPr>
            <w:tcW w:w="1170" w:type="pct"/>
            <w:vAlign w:val="center"/>
          </w:tcPr>
          <w:p w14:paraId="5B1CB1CC">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0.467</w:t>
            </w:r>
          </w:p>
        </w:tc>
        <w:tc>
          <w:tcPr>
            <w:tcW w:w="886" w:type="pct"/>
            <w:vAlign w:val="center"/>
          </w:tcPr>
          <w:p w14:paraId="76DDB32D">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0.333</w:t>
            </w:r>
          </w:p>
        </w:tc>
      </w:tr>
      <w:tr w14:paraId="2427BE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40" w:hRule="atLeast"/>
        </w:trPr>
        <w:tc>
          <w:tcPr>
            <w:tcW w:w="1054" w:type="pct"/>
            <w:vAlign w:val="center"/>
          </w:tcPr>
          <w:p w14:paraId="6C955129">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总硬度</w:t>
            </w:r>
          </w:p>
        </w:tc>
        <w:tc>
          <w:tcPr>
            <w:tcW w:w="1007" w:type="pct"/>
            <w:vAlign w:val="center"/>
          </w:tcPr>
          <w:p w14:paraId="3757709B">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0.344</w:t>
            </w:r>
          </w:p>
        </w:tc>
        <w:tc>
          <w:tcPr>
            <w:tcW w:w="875" w:type="pct"/>
            <w:vAlign w:val="center"/>
          </w:tcPr>
          <w:p w14:paraId="6126D260">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0.389</w:t>
            </w:r>
          </w:p>
        </w:tc>
        <w:tc>
          <w:tcPr>
            <w:tcW w:w="1170" w:type="pct"/>
            <w:vAlign w:val="center"/>
          </w:tcPr>
          <w:p w14:paraId="29619374">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0.358</w:t>
            </w:r>
          </w:p>
        </w:tc>
        <w:tc>
          <w:tcPr>
            <w:tcW w:w="886" w:type="pct"/>
            <w:vAlign w:val="center"/>
          </w:tcPr>
          <w:p w14:paraId="1F62962B">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0.249</w:t>
            </w:r>
          </w:p>
        </w:tc>
      </w:tr>
      <w:tr w14:paraId="2CCC9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40" w:hRule="atLeast"/>
        </w:trPr>
        <w:tc>
          <w:tcPr>
            <w:tcW w:w="1054" w:type="pct"/>
            <w:vAlign w:val="center"/>
          </w:tcPr>
          <w:p w14:paraId="23D617A6">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溶解性总固体</w:t>
            </w:r>
          </w:p>
        </w:tc>
        <w:tc>
          <w:tcPr>
            <w:tcW w:w="1007" w:type="pct"/>
            <w:vAlign w:val="center"/>
          </w:tcPr>
          <w:p w14:paraId="6755EFD4">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0.488</w:t>
            </w:r>
          </w:p>
        </w:tc>
        <w:tc>
          <w:tcPr>
            <w:tcW w:w="875" w:type="pct"/>
            <w:vAlign w:val="center"/>
          </w:tcPr>
          <w:p w14:paraId="00A87A61">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0.558</w:t>
            </w:r>
          </w:p>
        </w:tc>
        <w:tc>
          <w:tcPr>
            <w:tcW w:w="1170" w:type="pct"/>
            <w:vAlign w:val="center"/>
          </w:tcPr>
          <w:p w14:paraId="5A6B8858">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0.503</w:t>
            </w:r>
          </w:p>
        </w:tc>
        <w:tc>
          <w:tcPr>
            <w:tcW w:w="886" w:type="pct"/>
            <w:vAlign w:val="center"/>
          </w:tcPr>
          <w:p w14:paraId="6A5A7F25">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0.364</w:t>
            </w:r>
          </w:p>
        </w:tc>
      </w:tr>
      <w:tr w14:paraId="7E296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40" w:hRule="atLeast"/>
        </w:trPr>
        <w:tc>
          <w:tcPr>
            <w:tcW w:w="1054" w:type="pct"/>
            <w:vAlign w:val="center"/>
          </w:tcPr>
          <w:p w14:paraId="3FFC2827">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耗氧量</w:t>
            </w:r>
          </w:p>
        </w:tc>
        <w:tc>
          <w:tcPr>
            <w:tcW w:w="1007" w:type="pct"/>
            <w:vAlign w:val="center"/>
          </w:tcPr>
          <w:p w14:paraId="479D3A02">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0.733</w:t>
            </w:r>
          </w:p>
        </w:tc>
        <w:tc>
          <w:tcPr>
            <w:tcW w:w="875" w:type="pct"/>
            <w:vAlign w:val="center"/>
          </w:tcPr>
          <w:p w14:paraId="75989271">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0.633</w:t>
            </w:r>
          </w:p>
        </w:tc>
        <w:tc>
          <w:tcPr>
            <w:tcW w:w="1170" w:type="pct"/>
            <w:vAlign w:val="center"/>
          </w:tcPr>
          <w:p w14:paraId="7936EDB6">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0.667</w:t>
            </w:r>
          </w:p>
        </w:tc>
        <w:tc>
          <w:tcPr>
            <w:tcW w:w="886" w:type="pct"/>
            <w:vAlign w:val="center"/>
          </w:tcPr>
          <w:p w14:paraId="4B4A5847">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0.533</w:t>
            </w:r>
          </w:p>
        </w:tc>
      </w:tr>
      <w:tr w14:paraId="72B33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40" w:hRule="atLeast"/>
        </w:trPr>
        <w:tc>
          <w:tcPr>
            <w:tcW w:w="1054" w:type="pct"/>
            <w:vAlign w:val="center"/>
          </w:tcPr>
          <w:p w14:paraId="15EEEC68">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挥发性酚类</w:t>
            </w:r>
          </w:p>
        </w:tc>
        <w:tc>
          <w:tcPr>
            <w:tcW w:w="1007" w:type="pct"/>
            <w:vAlign w:val="center"/>
          </w:tcPr>
          <w:p w14:paraId="09F01F09">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875" w:type="pct"/>
            <w:vAlign w:val="center"/>
          </w:tcPr>
          <w:p w14:paraId="3C06B215">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1170" w:type="pct"/>
            <w:vAlign w:val="center"/>
          </w:tcPr>
          <w:p w14:paraId="67EAABA4">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886" w:type="pct"/>
            <w:vAlign w:val="center"/>
          </w:tcPr>
          <w:p w14:paraId="30C78E84">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r>
      <w:tr w14:paraId="32C6C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40" w:hRule="atLeast"/>
        </w:trPr>
        <w:tc>
          <w:tcPr>
            <w:tcW w:w="1054" w:type="pct"/>
            <w:vAlign w:val="center"/>
          </w:tcPr>
          <w:p w14:paraId="5FB560D3">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氰化物</w:t>
            </w:r>
          </w:p>
        </w:tc>
        <w:tc>
          <w:tcPr>
            <w:tcW w:w="1007" w:type="pct"/>
            <w:vAlign w:val="center"/>
          </w:tcPr>
          <w:p w14:paraId="4C505771">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875" w:type="pct"/>
            <w:vAlign w:val="center"/>
          </w:tcPr>
          <w:p w14:paraId="06674357">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1170" w:type="pct"/>
            <w:vAlign w:val="center"/>
          </w:tcPr>
          <w:p w14:paraId="428F0339">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886" w:type="pct"/>
            <w:vAlign w:val="center"/>
          </w:tcPr>
          <w:p w14:paraId="037B7867">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r>
      <w:tr w14:paraId="375FE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40" w:hRule="atLeast"/>
        </w:trPr>
        <w:tc>
          <w:tcPr>
            <w:tcW w:w="1054" w:type="pct"/>
            <w:vAlign w:val="center"/>
          </w:tcPr>
          <w:p w14:paraId="0DE58A64">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氟化物</w:t>
            </w:r>
          </w:p>
        </w:tc>
        <w:tc>
          <w:tcPr>
            <w:tcW w:w="1007" w:type="pct"/>
            <w:vAlign w:val="center"/>
          </w:tcPr>
          <w:p w14:paraId="39FADCD2">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0.505</w:t>
            </w:r>
          </w:p>
        </w:tc>
        <w:tc>
          <w:tcPr>
            <w:tcW w:w="875" w:type="pct"/>
            <w:vAlign w:val="center"/>
          </w:tcPr>
          <w:p w14:paraId="69C92B8B">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0.2676</w:t>
            </w:r>
          </w:p>
        </w:tc>
        <w:tc>
          <w:tcPr>
            <w:tcW w:w="1170" w:type="pct"/>
            <w:vAlign w:val="center"/>
          </w:tcPr>
          <w:p w14:paraId="6598526E">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0.524</w:t>
            </w:r>
          </w:p>
        </w:tc>
        <w:tc>
          <w:tcPr>
            <w:tcW w:w="886" w:type="pct"/>
            <w:vAlign w:val="center"/>
          </w:tcPr>
          <w:p w14:paraId="1F9F251F">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0.138</w:t>
            </w:r>
          </w:p>
        </w:tc>
      </w:tr>
      <w:tr w14:paraId="25B19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40" w:hRule="atLeast"/>
        </w:trPr>
        <w:tc>
          <w:tcPr>
            <w:tcW w:w="1054" w:type="pct"/>
            <w:vAlign w:val="center"/>
          </w:tcPr>
          <w:p w14:paraId="74B93C11">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硝酸盐</w:t>
            </w:r>
          </w:p>
        </w:tc>
        <w:tc>
          <w:tcPr>
            <w:tcW w:w="1007" w:type="pct"/>
            <w:vAlign w:val="center"/>
          </w:tcPr>
          <w:p w14:paraId="01424101">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0.109</w:t>
            </w:r>
          </w:p>
        </w:tc>
        <w:tc>
          <w:tcPr>
            <w:tcW w:w="875" w:type="pct"/>
            <w:vAlign w:val="center"/>
          </w:tcPr>
          <w:p w14:paraId="3DBC6005">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0.093</w:t>
            </w:r>
          </w:p>
        </w:tc>
        <w:tc>
          <w:tcPr>
            <w:tcW w:w="1170" w:type="pct"/>
            <w:vAlign w:val="center"/>
          </w:tcPr>
          <w:p w14:paraId="7EBC7395">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0.104</w:t>
            </w:r>
          </w:p>
        </w:tc>
        <w:tc>
          <w:tcPr>
            <w:tcW w:w="886" w:type="pct"/>
            <w:vAlign w:val="center"/>
          </w:tcPr>
          <w:p w14:paraId="1EAB1E2E">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0.063</w:t>
            </w:r>
          </w:p>
        </w:tc>
      </w:tr>
      <w:tr w14:paraId="4B1D76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40" w:hRule="atLeast"/>
        </w:trPr>
        <w:tc>
          <w:tcPr>
            <w:tcW w:w="1054" w:type="pct"/>
            <w:vAlign w:val="center"/>
          </w:tcPr>
          <w:p w14:paraId="293C5B54">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亚硝酸盐</w:t>
            </w:r>
          </w:p>
        </w:tc>
        <w:tc>
          <w:tcPr>
            <w:tcW w:w="1007" w:type="pct"/>
            <w:vAlign w:val="center"/>
          </w:tcPr>
          <w:p w14:paraId="0B887DDC">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875" w:type="pct"/>
            <w:vAlign w:val="center"/>
          </w:tcPr>
          <w:p w14:paraId="586B7482">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1170" w:type="pct"/>
            <w:vAlign w:val="center"/>
          </w:tcPr>
          <w:p w14:paraId="2D618C53">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886" w:type="pct"/>
            <w:vAlign w:val="center"/>
          </w:tcPr>
          <w:p w14:paraId="1251119D">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r>
      <w:tr w14:paraId="7FBBD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40" w:hRule="atLeast"/>
        </w:trPr>
        <w:tc>
          <w:tcPr>
            <w:tcW w:w="1054" w:type="pct"/>
            <w:vAlign w:val="center"/>
          </w:tcPr>
          <w:p w14:paraId="4449650B">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sz w:val="21"/>
                <w:szCs w:val="21"/>
                <w:highlight w:val="none"/>
              </w:rPr>
              <w:t>氨氮</w:t>
            </w:r>
          </w:p>
        </w:tc>
        <w:tc>
          <w:tcPr>
            <w:tcW w:w="1007" w:type="pct"/>
            <w:vAlign w:val="center"/>
          </w:tcPr>
          <w:p w14:paraId="4EB63268">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0.462</w:t>
            </w:r>
          </w:p>
        </w:tc>
        <w:tc>
          <w:tcPr>
            <w:tcW w:w="875" w:type="pct"/>
            <w:vAlign w:val="center"/>
          </w:tcPr>
          <w:p w14:paraId="4E5F929A">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0.394</w:t>
            </w:r>
          </w:p>
        </w:tc>
        <w:tc>
          <w:tcPr>
            <w:tcW w:w="1170" w:type="pct"/>
            <w:vAlign w:val="center"/>
          </w:tcPr>
          <w:p w14:paraId="4387F40A">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0.468</w:t>
            </w:r>
          </w:p>
        </w:tc>
        <w:tc>
          <w:tcPr>
            <w:tcW w:w="886" w:type="pct"/>
            <w:vAlign w:val="center"/>
          </w:tcPr>
          <w:p w14:paraId="51A9F228">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0.238</w:t>
            </w:r>
          </w:p>
        </w:tc>
      </w:tr>
      <w:tr w14:paraId="2FE33F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40" w:hRule="atLeast"/>
        </w:trPr>
        <w:tc>
          <w:tcPr>
            <w:tcW w:w="1054" w:type="pct"/>
            <w:vAlign w:val="center"/>
          </w:tcPr>
          <w:p w14:paraId="632D7063">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六价铬</w:t>
            </w:r>
          </w:p>
        </w:tc>
        <w:tc>
          <w:tcPr>
            <w:tcW w:w="1007" w:type="pct"/>
            <w:vAlign w:val="center"/>
          </w:tcPr>
          <w:p w14:paraId="613D687E">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875" w:type="pct"/>
            <w:vAlign w:val="center"/>
          </w:tcPr>
          <w:p w14:paraId="7759D6EE">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1170" w:type="pct"/>
            <w:vAlign w:val="center"/>
          </w:tcPr>
          <w:p w14:paraId="4C976225">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886" w:type="pct"/>
            <w:vAlign w:val="center"/>
          </w:tcPr>
          <w:p w14:paraId="669CFEAE">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r>
      <w:tr w14:paraId="234CE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40" w:hRule="atLeast"/>
        </w:trPr>
        <w:tc>
          <w:tcPr>
            <w:tcW w:w="1054" w:type="pct"/>
            <w:vAlign w:val="center"/>
          </w:tcPr>
          <w:p w14:paraId="3C15D548">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砷</w:t>
            </w:r>
          </w:p>
        </w:tc>
        <w:tc>
          <w:tcPr>
            <w:tcW w:w="1007" w:type="pct"/>
            <w:vAlign w:val="center"/>
          </w:tcPr>
          <w:p w14:paraId="2CA3F663">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875" w:type="pct"/>
            <w:vAlign w:val="center"/>
          </w:tcPr>
          <w:p w14:paraId="2FEB1369">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1170" w:type="pct"/>
            <w:vAlign w:val="center"/>
          </w:tcPr>
          <w:p w14:paraId="6854750A">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886" w:type="pct"/>
            <w:vAlign w:val="center"/>
          </w:tcPr>
          <w:p w14:paraId="0B1AEEEE">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r>
      <w:tr w14:paraId="16ACBB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40" w:hRule="atLeast"/>
        </w:trPr>
        <w:tc>
          <w:tcPr>
            <w:tcW w:w="1054" w:type="pct"/>
            <w:vAlign w:val="center"/>
          </w:tcPr>
          <w:p w14:paraId="57935707">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铅</w:t>
            </w:r>
          </w:p>
        </w:tc>
        <w:tc>
          <w:tcPr>
            <w:tcW w:w="1007" w:type="pct"/>
            <w:vAlign w:val="center"/>
          </w:tcPr>
          <w:p w14:paraId="4A7E8F51">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875" w:type="pct"/>
            <w:vAlign w:val="center"/>
          </w:tcPr>
          <w:p w14:paraId="49F46C7B">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1170" w:type="pct"/>
            <w:vAlign w:val="center"/>
          </w:tcPr>
          <w:p w14:paraId="40F2984E">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886" w:type="pct"/>
            <w:vAlign w:val="center"/>
          </w:tcPr>
          <w:p w14:paraId="35C9B836">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r>
      <w:tr w14:paraId="54129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40" w:hRule="atLeast"/>
        </w:trPr>
        <w:tc>
          <w:tcPr>
            <w:tcW w:w="1054" w:type="pct"/>
            <w:vAlign w:val="center"/>
          </w:tcPr>
          <w:p w14:paraId="7B9737BF">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铁</w:t>
            </w:r>
          </w:p>
        </w:tc>
        <w:tc>
          <w:tcPr>
            <w:tcW w:w="1007" w:type="pct"/>
            <w:vAlign w:val="center"/>
          </w:tcPr>
          <w:p w14:paraId="73428382">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0.900</w:t>
            </w:r>
          </w:p>
        </w:tc>
        <w:tc>
          <w:tcPr>
            <w:tcW w:w="875" w:type="pct"/>
            <w:vAlign w:val="center"/>
          </w:tcPr>
          <w:p w14:paraId="1E35E20E">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0.867</w:t>
            </w:r>
          </w:p>
        </w:tc>
        <w:tc>
          <w:tcPr>
            <w:tcW w:w="1170" w:type="pct"/>
            <w:vAlign w:val="center"/>
          </w:tcPr>
          <w:p w14:paraId="142E03DD">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0.900</w:t>
            </w:r>
          </w:p>
        </w:tc>
        <w:tc>
          <w:tcPr>
            <w:tcW w:w="886" w:type="pct"/>
            <w:vAlign w:val="center"/>
          </w:tcPr>
          <w:p w14:paraId="4456E16B">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0.700</w:t>
            </w:r>
          </w:p>
        </w:tc>
      </w:tr>
      <w:tr w14:paraId="725596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40" w:hRule="atLeast"/>
        </w:trPr>
        <w:tc>
          <w:tcPr>
            <w:tcW w:w="1054" w:type="pct"/>
            <w:vAlign w:val="center"/>
          </w:tcPr>
          <w:p w14:paraId="6971BBB1">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汞</w:t>
            </w:r>
          </w:p>
        </w:tc>
        <w:tc>
          <w:tcPr>
            <w:tcW w:w="1007" w:type="pct"/>
            <w:vAlign w:val="center"/>
          </w:tcPr>
          <w:p w14:paraId="4B3A6B8A">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875" w:type="pct"/>
            <w:vAlign w:val="center"/>
          </w:tcPr>
          <w:p w14:paraId="752508B3">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1170" w:type="pct"/>
            <w:vAlign w:val="center"/>
          </w:tcPr>
          <w:p w14:paraId="28CBA427">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886" w:type="pct"/>
            <w:vAlign w:val="center"/>
          </w:tcPr>
          <w:p w14:paraId="27654004">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r>
      <w:tr w14:paraId="67DDE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40" w:hRule="atLeast"/>
        </w:trPr>
        <w:tc>
          <w:tcPr>
            <w:tcW w:w="1054" w:type="pct"/>
            <w:vAlign w:val="center"/>
          </w:tcPr>
          <w:p w14:paraId="5884E731">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锰</w:t>
            </w:r>
          </w:p>
        </w:tc>
        <w:tc>
          <w:tcPr>
            <w:tcW w:w="1007" w:type="pct"/>
            <w:vAlign w:val="center"/>
          </w:tcPr>
          <w:p w14:paraId="7DA6197D">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b/>
                <w:bCs/>
                <w:color w:val="auto"/>
                <w:w w:val="99"/>
                <w:sz w:val="21"/>
                <w:szCs w:val="21"/>
                <w:highlight w:val="none"/>
                <w:lang w:bidi="ar"/>
              </w:rPr>
              <w:t>1.100</w:t>
            </w:r>
          </w:p>
        </w:tc>
        <w:tc>
          <w:tcPr>
            <w:tcW w:w="875" w:type="pct"/>
            <w:vAlign w:val="center"/>
          </w:tcPr>
          <w:p w14:paraId="1B34BE3C">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0.900</w:t>
            </w:r>
          </w:p>
        </w:tc>
        <w:tc>
          <w:tcPr>
            <w:tcW w:w="1170" w:type="pct"/>
            <w:vAlign w:val="center"/>
          </w:tcPr>
          <w:p w14:paraId="5172C249">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b/>
                <w:bCs/>
                <w:color w:val="auto"/>
                <w:w w:val="99"/>
                <w:sz w:val="21"/>
                <w:szCs w:val="21"/>
                <w:highlight w:val="none"/>
                <w:lang w:bidi="ar"/>
              </w:rPr>
              <w:t>1.100</w:t>
            </w:r>
          </w:p>
        </w:tc>
        <w:tc>
          <w:tcPr>
            <w:tcW w:w="886" w:type="pct"/>
            <w:vAlign w:val="center"/>
          </w:tcPr>
          <w:p w14:paraId="3A945717">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0.200</w:t>
            </w:r>
          </w:p>
        </w:tc>
      </w:tr>
      <w:tr w14:paraId="11ABD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40" w:hRule="atLeast"/>
        </w:trPr>
        <w:tc>
          <w:tcPr>
            <w:tcW w:w="1054" w:type="pct"/>
            <w:vAlign w:val="center"/>
          </w:tcPr>
          <w:p w14:paraId="481D8DC6">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镉</w:t>
            </w:r>
          </w:p>
        </w:tc>
        <w:tc>
          <w:tcPr>
            <w:tcW w:w="1007" w:type="pct"/>
            <w:vAlign w:val="center"/>
          </w:tcPr>
          <w:p w14:paraId="30D4C417">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875" w:type="pct"/>
            <w:vAlign w:val="center"/>
          </w:tcPr>
          <w:p w14:paraId="013824CA">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1170" w:type="pct"/>
            <w:vAlign w:val="center"/>
          </w:tcPr>
          <w:p w14:paraId="61E81BD8">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886" w:type="pct"/>
            <w:vAlign w:val="center"/>
          </w:tcPr>
          <w:p w14:paraId="20810BBB">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r>
      <w:tr w14:paraId="52995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40" w:hRule="atLeast"/>
        </w:trPr>
        <w:tc>
          <w:tcPr>
            <w:tcW w:w="1054" w:type="pct"/>
            <w:vAlign w:val="center"/>
          </w:tcPr>
          <w:p w14:paraId="086BD0AB">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石油类</w:t>
            </w:r>
          </w:p>
        </w:tc>
        <w:tc>
          <w:tcPr>
            <w:tcW w:w="1007" w:type="pct"/>
            <w:vAlign w:val="center"/>
          </w:tcPr>
          <w:p w14:paraId="2B30DD61">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875" w:type="pct"/>
            <w:vAlign w:val="center"/>
          </w:tcPr>
          <w:p w14:paraId="6291E013">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1170" w:type="pct"/>
            <w:vAlign w:val="center"/>
          </w:tcPr>
          <w:p w14:paraId="114E34C3">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886" w:type="pct"/>
            <w:vAlign w:val="center"/>
          </w:tcPr>
          <w:p w14:paraId="004AD9FC">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r>
      <w:tr w14:paraId="0B8CD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40" w:hRule="atLeast"/>
        </w:trPr>
        <w:tc>
          <w:tcPr>
            <w:tcW w:w="1054" w:type="pct"/>
            <w:vAlign w:val="center"/>
          </w:tcPr>
          <w:p w14:paraId="5F48455E">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总大肠菌群</w:t>
            </w:r>
          </w:p>
        </w:tc>
        <w:tc>
          <w:tcPr>
            <w:tcW w:w="1007" w:type="pct"/>
            <w:vAlign w:val="center"/>
          </w:tcPr>
          <w:p w14:paraId="729A0DB9">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875" w:type="pct"/>
            <w:vAlign w:val="center"/>
          </w:tcPr>
          <w:p w14:paraId="6BFF6DEE">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1170" w:type="pct"/>
            <w:vAlign w:val="center"/>
          </w:tcPr>
          <w:p w14:paraId="41292B03">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886" w:type="pct"/>
            <w:vAlign w:val="center"/>
          </w:tcPr>
          <w:p w14:paraId="6363ED20">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r>
      <w:tr w14:paraId="1C7F51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40" w:hRule="atLeast"/>
        </w:trPr>
        <w:tc>
          <w:tcPr>
            <w:tcW w:w="1054" w:type="pct"/>
            <w:vAlign w:val="center"/>
          </w:tcPr>
          <w:p w14:paraId="35701EFE">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菌落总数</w:t>
            </w:r>
          </w:p>
        </w:tc>
        <w:tc>
          <w:tcPr>
            <w:tcW w:w="1007" w:type="pct"/>
            <w:vAlign w:val="center"/>
          </w:tcPr>
          <w:p w14:paraId="2961CA7F">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0.120</w:t>
            </w:r>
          </w:p>
        </w:tc>
        <w:tc>
          <w:tcPr>
            <w:tcW w:w="875" w:type="pct"/>
            <w:vAlign w:val="center"/>
          </w:tcPr>
          <w:p w14:paraId="124856D9">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0.100</w:t>
            </w:r>
          </w:p>
        </w:tc>
        <w:tc>
          <w:tcPr>
            <w:tcW w:w="1170" w:type="pct"/>
            <w:vAlign w:val="center"/>
          </w:tcPr>
          <w:p w14:paraId="7C3874F5">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0.110</w:t>
            </w:r>
          </w:p>
        </w:tc>
        <w:tc>
          <w:tcPr>
            <w:tcW w:w="886" w:type="pct"/>
            <w:vAlign w:val="center"/>
          </w:tcPr>
          <w:p w14:paraId="1CEBC8B4">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color w:val="auto"/>
                <w:w w:val="99"/>
                <w:sz w:val="21"/>
                <w:szCs w:val="21"/>
                <w:highlight w:val="none"/>
                <w:lang w:bidi="ar"/>
              </w:rPr>
              <w:t>0.070</w:t>
            </w:r>
          </w:p>
        </w:tc>
      </w:tr>
      <w:tr w14:paraId="3E2560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40" w:hRule="atLeast"/>
        </w:trPr>
        <w:tc>
          <w:tcPr>
            <w:tcW w:w="1054" w:type="pct"/>
            <w:vAlign w:val="center"/>
          </w:tcPr>
          <w:p w14:paraId="5B749F7E">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硫化物</w:t>
            </w:r>
          </w:p>
        </w:tc>
        <w:tc>
          <w:tcPr>
            <w:tcW w:w="1007" w:type="pct"/>
            <w:vAlign w:val="center"/>
          </w:tcPr>
          <w:p w14:paraId="2417898E">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875" w:type="pct"/>
            <w:vAlign w:val="center"/>
          </w:tcPr>
          <w:p w14:paraId="710C432D">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1170" w:type="pct"/>
            <w:vAlign w:val="center"/>
          </w:tcPr>
          <w:p w14:paraId="7E7A1A44">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886" w:type="pct"/>
            <w:vAlign w:val="center"/>
          </w:tcPr>
          <w:p w14:paraId="2D4EABE6">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r>
      <w:tr w14:paraId="257CC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5" w:type="pct"/>
          <w:trHeight w:val="340" w:hRule="atLeast"/>
        </w:trPr>
        <w:tc>
          <w:tcPr>
            <w:tcW w:w="1054" w:type="pct"/>
            <w:vAlign w:val="center"/>
          </w:tcPr>
          <w:p w14:paraId="3AF43FC8">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钡</w:t>
            </w:r>
          </w:p>
        </w:tc>
        <w:tc>
          <w:tcPr>
            <w:tcW w:w="1007" w:type="pct"/>
            <w:vAlign w:val="center"/>
          </w:tcPr>
          <w:p w14:paraId="473FAC5B">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875" w:type="pct"/>
            <w:vAlign w:val="center"/>
          </w:tcPr>
          <w:p w14:paraId="270B59EE">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1170" w:type="pct"/>
            <w:vAlign w:val="center"/>
          </w:tcPr>
          <w:p w14:paraId="7985C66A">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c>
          <w:tcPr>
            <w:tcW w:w="886" w:type="pct"/>
            <w:vAlign w:val="center"/>
          </w:tcPr>
          <w:p w14:paraId="1C19D13D">
            <w:pPr>
              <w:jc w:val="center"/>
              <w:textAlignment w:val="center"/>
              <w:rPr>
                <w:rFonts w:ascii="Times New Roman" w:hAnsi="Times New Roman" w:cs="Times New Roman"/>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rPr>
              <w:t>ND</w:t>
            </w:r>
          </w:p>
        </w:tc>
      </w:tr>
    </w:tbl>
    <w:p w14:paraId="3EEC6EC0">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由以上地下水单因子标准指数分析可知，评价区域地下水水质除潜水中锰外均满足《地下水质量标准》（GB/T14848-2017）中的Ⅲ类标准要求，石油类满足《地表水环境质量标准》（GB3838-2002）</w:t>
      </w:r>
      <w:r>
        <w:rPr>
          <w:rFonts w:ascii="Times New Roman" w:hAnsi="Times New Roman" w:cs="Times New Roman" w:eastAsiaTheme="minorEastAsia"/>
          <w:color w:val="auto"/>
          <w:w w:val="99"/>
          <w:kern w:val="21"/>
          <w:highlight w:val="none"/>
        </w:rPr>
        <w:fldChar w:fldCharType="begin"/>
      </w:r>
      <w:r>
        <w:rPr>
          <w:rFonts w:ascii="Times New Roman" w:hAnsi="Times New Roman" w:cs="Times New Roman" w:eastAsiaTheme="minorEastAsia"/>
          <w:color w:val="auto"/>
          <w:w w:val="99"/>
          <w:kern w:val="21"/>
          <w:highlight w:val="none"/>
        </w:rPr>
        <w:instrText xml:space="preserve"> = 2 \* ROMAN </w:instrText>
      </w:r>
      <w:r>
        <w:rPr>
          <w:rFonts w:ascii="Times New Roman" w:hAnsi="Times New Roman" w:cs="Times New Roman" w:eastAsiaTheme="minorEastAsia"/>
          <w:color w:val="auto"/>
          <w:w w:val="99"/>
          <w:kern w:val="21"/>
          <w:highlight w:val="none"/>
        </w:rPr>
        <w:fldChar w:fldCharType="separate"/>
      </w:r>
      <w:r>
        <w:rPr>
          <w:rFonts w:ascii="Times New Roman" w:hAnsi="Times New Roman" w:cs="Times New Roman" w:eastAsiaTheme="minorEastAsia"/>
          <w:color w:val="auto"/>
          <w:w w:val="99"/>
          <w:kern w:val="21"/>
          <w:highlight w:val="none"/>
        </w:rPr>
        <w:t>II</w:t>
      </w:r>
      <w:r>
        <w:rPr>
          <w:rFonts w:ascii="Times New Roman" w:hAnsi="Times New Roman" w:cs="Times New Roman" w:eastAsiaTheme="minorEastAsia"/>
          <w:color w:val="auto"/>
          <w:w w:val="99"/>
          <w:kern w:val="21"/>
          <w:highlight w:val="none"/>
        </w:rPr>
        <w:fldChar w:fldCharType="end"/>
      </w:r>
      <w:r>
        <w:rPr>
          <w:rFonts w:ascii="Times New Roman" w:hAnsi="Times New Roman" w:cs="Times New Roman" w:eastAsiaTheme="minorEastAsia"/>
          <w:color w:val="auto"/>
          <w:w w:val="99"/>
          <w:kern w:val="21"/>
          <w:highlight w:val="none"/>
        </w:rPr>
        <w:t>类标准。其中锰因子水质监测浓度占标率偏高，主要是由于评价区域地层中富含锰矿物，还原条件下转化的可溶性Mn</w:t>
      </w:r>
      <w:r>
        <w:rPr>
          <w:rFonts w:ascii="Times New Roman" w:hAnsi="Times New Roman" w:cs="Times New Roman" w:eastAsiaTheme="minorEastAsia"/>
          <w:color w:val="auto"/>
          <w:w w:val="99"/>
          <w:kern w:val="21"/>
          <w:highlight w:val="none"/>
          <w:vertAlign w:val="superscript"/>
        </w:rPr>
        <w:t>2+</w:t>
      </w:r>
      <w:r>
        <w:rPr>
          <w:rFonts w:ascii="Times New Roman" w:hAnsi="Times New Roman" w:cs="Times New Roman" w:eastAsiaTheme="minorEastAsia"/>
          <w:color w:val="auto"/>
          <w:w w:val="99"/>
          <w:kern w:val="21"/>
          <w:highlight w:val="none"/>
        </w:rPr>
        <w:t>溶入地下水中，形成锰浓度偏高的水文地质化学环境。</w:t>
      </w:r>
    </w:p>
    <w:p w14:paraId="0F61845C">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（4）</w:t>
      </w:r>
      <w:bookmarkStart w:id="693" w:name="OLE_LINK184"/>
      <w:r>
        <w:rPr>
          <w:rFonts w:ascii="Times New Roman" w:hAnsi="Times New Roman" w:cs="Times New Roman" w:eastAsiaTheme="minorEastAsia"/>
          <w:color w:val="auto"/>
          <w:w w:val="99"/>
          <w:highlight w:val="none"/>
        </w:rPr>
        <w:t>区域</w:t>
      </w:r>
      <w:bookmarkStart w:id="694" w:name="OLE_LINK182"/>
      <w:bookmarkStart w:id="695" w:name="OLE_LINK183"/>
      <w:r>
        <w:rPr>
          <w:rFonts w:ascii="Times New Roman" w:hAnsi="Times New Roman" w:cs="Times New Roman" w:eastAsiaTheme="minorEastAsia"/>
          <w:color w:val="auto"/>
          <w:w w:val="99"/>
          <w:highlight w:val="none"/>
        </w:rPr>
        <w:t>地下水化学类型</w:t>
      </w:r>
      <w:bookmarkEnd w:id="694"/>
      <w:bookmarkEnd w:id="695"/>
      <w:r>
        <w:rPr>
          <w:rFonts w:ascii="Times New Roman" w:hAnsi="Times New Roman" w:cs="Times New Roman" w:eastAsiaTheme="minorEastAsia"/>
          <w:color w:val="auto"/>
          <w:w w:val="99"/>
          <w:highlight w:val="none"/>
        </w:rPr>
        <w:t>分析</w:t>
      </w:r>
      <w:bookmarkEnd w:id="693"/>
    </w:p>
    <w:p w14:paraId="2B1F7146">
      <w:pPr>
        <w:widowControl w:val="0"/>
        <w:spacing w:line="440" w:lineRule="exact"/>
        <w:ind w:firstLine="474" w:firstLineChars="200"/>
        <w:jc w:val="both"/>
        <w:rPr>
          <w:rFonts w:ascii="Times New Roman" w:hAnsi="Times New Roman" w:cs="Times New Roman" w:eastAsiaTheme="minorEastAsia"/>
          <w:color w:val="auto"/>
          <w:w w:val="99"/>
          <w:szCs w:val="20"/>
          <w:highlight w:val="none"/>
        </w:rPr>
      </w:pPr>
      <w:r>
        <w:rPr>
          <w:rFonts w:ascii="Times New Roman" w:hAnsi="Times New Roman" w:cs="Times New Roman" w:eastAsiaTheme="minorEastAsia"/>
          <w:color w:val="auto"/>
          <w:w w:val="99"/>
          <w:szCs w:val="20"/>
          <w:highlight w:val="none"/>
        </w:rPr>
        <w:t>根据舒卡列夫分类法，按地下水中Ca</w:t>
      </w:r>
      <w:r>
        <w:rPr>
          <w:rFonts w:ascii="Times New Roman" w:hAnsi="Times New Roman" w:cs="Times New Roman" w:eastAsiaTheme="minorEastAsia"/>
          <w:color w:val="auto"/>
          <w:w w:val="99"/>
          <w:szCs w:val="20"/>
          <w:highlight w:val="none"/>
          <w:vertAlign w:val="superscript"/>
        </w:rPr>
        <w:t>2+</w:t>
      </w:r>
      <w:r>
        <w:rPr>
          <w:rFonts w:ascii="Times New Roman" w:hAnsi="Times New Roman" w:cs="Times New Roman" w:eastAsiaTheme="minorEastAsia"/>
          <w:color w:val="auto"/>
          <w:w w:val="99"/>
          <w:szCs w:val="20"/>
          <w:highlight w:val="none"/>
        </w:rPr>
        <w:t>、Mg</w:t>
      </w:r>
      <w:r>
        <w:rPr>
          <w:rFonts w:ascii="Times New Roman" w:hAnsi="Times New Roman" w:cs="Times New Roman" w:eastAsiaTheme="minorEastAsia"/>
          <w:color w:val="auto"/>
          <w:w w:val="99"/>
          <w:szCs w:val="20"/>
          <w:highlight w:val="none"/>
          <w:vertAlign w:val="superscript"/>
        </w:rPr>
        <w:t>2+</w:t>
      </w:r>
      <w:r>
        <w:rPr>
          <w:rFonts w:ascii="Times New Roman" w:hAnsi="Times New Roman" w:cs="Times New Roman" w:eastAsiaTheme="minorEastAsia"/>
          <w:color w:val="auto"/>
          <w:w w:val="99"/>
          <w:szCs w:val="20"/>
          <w:highlight w:val="none"/>
        </w:rPr>
        <w:t>、Na</w:t>
      </w:r>
      <w:r>
        <w:rPr>
          <w:rFonts w:ascii="Times New Roman" w:hAnsi="Times New Roman" w:cs="Times New Roman" w:eastAsiaTheme="minorEastAsia"/>
          <w:color w:val="auto"/>
          <w:w w:val="99"/>
          <w:szCs w:val="20"/>
          <w:highlight w:val="none"/>
          <w:vertAlign w:val="superscript"/>
        </w:rPr>
        <w:t>+</w:t>
      </w:r>
      <w:r>
        <w:rPr>
          <w:rFonts w:ascii="Times New Roman" w:hAnsi="Times New Roman" w:cs="Times New Roman" w:eastAsiaTheme="minorEastAsia"/>
          <w:color w:val="auto"/>
          <w:w w:val="99"/>
          <w:szCs w:val="20"/>
          <w:highlight w:val="none"/>
        </w:rPr>
        <w:t>、K</w:t>
      </w:r>
      <w:r>
        <w:rPr>
          <w:rFonts w:ascii="Times New Roman" w:hAnsi="Times New Roman" w:cs="Times New Roman" w:eastAsiaTheme="minorEastAsia"/>
          <w:color w:val="auto"/>
          <w:w w:val="99"/>
          <w:szCs w:val="20"/>
          <w:highlight w:val="none"/>
          <w:vertAlign w:val="superscript"/>
        </w:rPr>
        <w:t>+</w:t>
      </w:r>
      <w:r>
        <w:rPr>
          <w:rFonts w:ascii="Times New Roman" w:hAnsi="Times New Roman" w:cs="Times New Roman" w:eastAsiaTheme="minorEastAsia"/>
          <w:color w:val="auto"/>
          <w:w w:val="99"/>
          <w:szCs w:val="20"/>
          <w:highlight w:val="none"/>
        </w:rPr>
        <w:t>、Cl</w:t>
      </w:r>
      <w:r>
        <w:rPr>
          <w:rFonts w:ascii="Times New Roman" w:hAnsi="Times New Roman" w:cs="Times New Roman" w:eastAsiaTheme="minorEastAsia"/>
          <w:color w:val="auto"/>
          <w:w w:val="99"/>
          <w:szCs w:val="20"/>
          <w:highlight w:val="none"/>
          <w:vertAlign w:val="superscript"/>
        </w:rPr>
        <w:t>-</w:t>
      </w:r>
      <w:r>
        <w:rPr>
          <w:rFonts w:ascii="Times New Roman" w:hAnsi="Times New Roman" w:cs="Times New Roman" w:eastAsiaTheme="minorEastAsia"/>
          <w:color w:val="auto"/>
          <w:w w:val="99"/>
          <w:szCs w:val="20"/>
          <w:highlight w:val="none"/>
        </w:rPr>
        <w:t>、SO</w:t>
      </w:r>
      <w:r>
        <w:rPr>
          <w:rFonts w:ascii="Times New Roman" w:hAnsi="Times New Roman" w:cs="Times New Roman" w:eastAsiaTheme="minorEastAsia"/>
          <w:color w:val="auto"/>
          <w:w w:val="99"/>
          <w:szCs w:val="20"/>
          <w:highlight w:val="none"/>
          <w:vertAlign w:val="subscript"/>
        </w:rPr>
        <w:t>4</w:t>
      </w:r>
      <w:r>
        <w:rPr>
          <w:rFonts w:ascii="Times New Roman" w:hAnsi="Times New Roman" w:cs="Times New Roman" w:eastAsiaTheme="minorEastAsia"/>
          <w:color w:val="auto"/>
          <w:w w:val="99"/>
          <w:szCs w:val="20"/>
          <w:highlight w:val="none"/>
          <w:vertAlign w:val="superscript"/>
        </w:rPr>
        <w:t>2-</w:t>
      </w:r>
      <w:r>
        <w:rPr>
          <w:rFonts w:ascii="Times New Roman" w:hAnsi="Times New Roman" w:cs="Times New Roman" w:eastAsiaTheme="minorEastAsia"/>
          <w:color w:val="auto"/>
          <w:w w:val="99"/>
          <w:szCs w:val="20"/>
          <w:highlight w:val="none"/>
        </w:rPr>
        <w:t>、HCO</w:t>
      </w:r>
      <w:r>
        <w:rPr>
          <w:rFonts w:ascii="Times New Roman" w:hAnsi="Times New Roman" w:cs="Times New Roman" w:eastAsiaTheme="minorEastAsia"/>
          <w:color w:val="auto"/>
          <w:w w:val="99"/>
          <w:szCs w:val="20"/>
          <w:highlight w:val="none"/>
          <w:vertAlign w:val="subscript"/>
        </w:rPr>
        <w:t>3</w:t>
      </w:r>
      <w:r>
        <w:rPr>
          <w:rFonts w:ascii="Times New Roman" w:hAnsi="Times New Roman" w:cs="Times New Roman" w:eastAsiaTheme="minorEastAsia"/>
          <w:color w:val="auto"/>
          <w:w w:val="99"/>
          <w:szCs w:val="20"/>
          <w:highlight w:val="none"/>
          <w:vertAlign w:val="superscript"/>
        </w:rPr>
        <w:t>-</w:t>
      </w:r>
      <w:r>
        <w:rPr>
          <w:rFonts w:ascii="Times New Roman" w:hAnsi="Times New Roman" w:cs="Times New Roman" w:eastAsiaTheme="minorEastAsia"/>
          <w:color w:val="auto"/>
          <w:w w:val="99"/>
          <w:szCs w:val="20"/>
          <w:highlight w:val="none"/>
        </w:rPr>
        <w:t>含量，将Meq（毫克当量）百分数大于25% 的阴、阳离子进行组合，每种类型以阿拉伯数字为代号，共49类。舒卡列夫分类表见</w:t>
      </w:r>
      <w:r>
        <w:rPr>
          <w:rFonts w:ascii="Times New Roman" w:hAnsi="Times New Roman" w:cs="Times New Roman" w:eastAsiaTheme="minorEastAsia"/>
          <w:color w:val="auto"/>
          <w:w w:val="99"/>
          <w:highlight w:val="none"/>
        </w:rPr>
        <w:t>表4.3-</w:t>
      </w:r>
      <w:r>
        <w:rPr>
          <w:rFonts w:ascii="Times New Roman" w:hAnsi="Times New Roman" w:cs="Times New Roman" w:eastAsiaTheme="minorEastAsia"/>
          <w:color w:val="auto"/>
          <w:w w:val="99"/>
          <w:szCs w:val="20"/>
          <w:highlight w:val="none"/>
        </w:rPr>
        <w:t>1</w:t>
      </w:r>
      <w:r>
        <w:rPr>
          <w:rFonts w:hint="eastAsia" w:ascii="Times New Roman" w:hAnsi="Times New Roman" w:cs="Times New Roman" w:eastAsiaTheme="minorEastAsia"/>
          <w:color w:val="auto"/>
          <w:w w:val="99"/>
          <w:szCs w:val="20"/>
          <w:highlight w:val="none"/>
        </w:rPr>
        <w:t>1</w:t>
      </w:r>
      <w:r>
        <w:rPr>
          <w:rFonts w:ascii="Times New Roman" w:hAnsi="Times New Roman" w:cs="Times New Roman" w:eastAsiaTheme="minorEastAsia"/>
          <w:color w:val="auto"/>
          <w:w w:val="99"/>
          <w:szCs w:val="20"/>
          <w:highlight w:val="none"/>
        </w:rPr>
        <w:t xml:space="preserve">。 </w:t>
      </w:r>
    </w:p>
    <w:p w14:paraId="70495894">
      <w:pPr>
        <w:pStyle w:val="153"/>
        <w:widowControl w:val="0"/>
        <w:spacing w:line="440" w:lineRule="exact"/>
        <w:ind w:firstLine="474"/>
        <w:rPr>
          <w:rFonts w:ascii="Times New Roman" w:hAnsi="Times New Roman" w:eastAsiaTheme="minorEastAsia"/>
          <w:b/>
          <w:color w:val="auto"/>
          <w:w w:val="99"/>
          <w:szCs w:val="20"/>
          <w:highlight w:val="none"/>
        </w:rPr>
      </w:pPr>
      <w:r>
        <w:rPr>
          <w:rFonts w:ascii="Times New Roman" w:hAnsi="Times New Roman" w:eastAsiaTheme="minorEastAsia"/>
          <w:b/>
          <w:color w:val="auto"/>
          <w:w w:val="99"/>
          <w:highlight w:val="none"/>
        </w:rPr>
        <w:t>表4.3-</w:t>
      </w:r>
      <w:r>
        <w:rPr>
          <w:rFonts w:ascii="Times New Roman" w:hAnsi="Times New Roman" w:eastAsiaTheme="minorEastAsia"/>
          <w:b/>
          <w:color w:val="auto"/>
          <w:w w:val="99"/>
          <w:szCs w:val="20"/>
          <w:highlight w:val="none"/>
        </w:rPr>
        <w:t>1</w:t>
      </w:r>
      <w:r>
        <w:rPr>
          <w:rFonts w:hint="eastAsia" w:ascii="Times New Roman" w:hAnsi="Times New Roman" w:eastAsiaTheme="minorEastAsia"/>
          <w:b/>
          <w:color w:val="auto"/>
          <w:w w:val="99"/>
          <w:szCs w:val="20"/>
          <w:highlight w:val="none"/>
        </w:rPr>
        <w:t>1</w:t>
      </w:r>
      <w:r>
        <w:rPr>
          <w:rFonts w:ascii="Times New Roman" w:hAnsi="Times New Roman" w:eastAsiaTheme="minorEastAsia"/>
          <w:b/>
          <w:color w:val="auto"/>
          <w:w w:val="99"/>
          <w:szCs w:val="20"/>
          <w:highlight w:val="none"/>
        </w:rPr>
        <w:t xml:space="preserve">    </w:t>
      </w:r>
      <w:r>
        <w:rPr>
          <w:rFonts w:ascii="Times New Roman" w:hAnsi="Times New Roman" w:eastAsiaTheme="minorEastAsia"/>
          <w:b/>
          <w:color w:val="auto"/>
          <w:w w:val="99"/>
          <w:highlight w:val="none"/>
        </w:rPr>
        <w:t>舒卡列夫</w:t>
      </w:r>
      <w:r>
        <w:rPr>
          <w:rFonts w:ascii="Times New Roman" w:hAnsi="Times New Roman" w:eastAsiaTheme="minorEastAsia"/>
          <w:b/>
          <w:color w:val="auto"/>
          <w:w w:val="99"/>
          <w:szCs w:val="20"/>
          <w:highlight w:val="none"/>
        </w:rPr>
        <w:t>分类表</w:t>
      </w:r>
    </w:p>
    <w:tbl>
      <w:tblPr>
        <w:tblStyle w:val="81"/>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329"/>
        <w:gridCol w:w="856"/>
        <w:gridCol w:w="1176"/>
        <w:gridCol w:w="1543"/>
        <w:gridCol w:w="1062"/>
        <w:gridCol w:w="812"/>
        <w:gridCol w:w="886"/>
        <w:gridCol w:w="623"/>
      </w:tblGrid>
      <w:tr w14:paraId="31630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blHeader/>
        </w:trPr>
        <w:tc>
          <w:tcPr>
            <w:tcW w:w="1254" w:type="pct"/>
            <w:vAlign w:val="center"/>
          </w:tcPr>
          <w:p w14:paraId="48D810E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含量＞25%Meq的离子</w:t>
            </w:r>
          </w:p>
        </w:tc>
        <w:tc>
          <w:tcPr>
            <w:tcW w:w="461" w:type="pct"/>
            <w:vAlign w:val="center"/>
          </w:tcPr>
          <w:p w14:paraId="240DB14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HCO</w:t>
            </w:r>
            <w:r>
              <w:rPr>
                <w:rFonts w:ascii="Times New Roman" w:hAnsi="Times New Roman" w:cs="Times New Roman" w:eastAsiaTheme="minorEastAsia"/>
                <w:color w:val="auto"/>
                <w:w w:val="99"/>
                <w:sz w:val="21"/>
                <w:szCs w:val="21"/>
                <w:highlight w:val="none"/>
                <w:vertAlign w:val="subscript"/>
              </w:rPr>
              <w:t>3</w:t>
            </w:r>
          </w:p>
        </w:tc>
        <w:tc>
          <w:tcPr>
            <w:tcW w:w="633" w:type="pct"/>
            <w:vAlign w:val="center"/>
          </w:tcPr>
          <w:p w14:paraId="3C55F90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HCO</w:t>
            </w:r>
            <w:r>
              <w:rPr>
                <w:rFonts w:ascii="Times New Roman" w:hAnsi="Times New Roman" w:cs="Times New Roman" w:eastAsiaTheme="minorEastAsia"/>
                <w:color w:val="auto"/>
                <w:w w:val="99"/>
                <w:sz w:val="21"/>
                <w:szCs w:val="21"/>
                <w:highlight w:val="none"/>
                <w:vertAlign w:val="subscript"/>
              </w:rPr>
              <w:t>3</w:t>
            </w: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4</w:t>
            </w:r>
          </w:p>
        </w:tc>
        <w:tc>
          <w:tcPr>
            <w:tcW w:w="831" w:type="pct"/>
            <w:vAlign w:val="center"/>
          </w:tcPr>
          <w:p w14:paraId="4940843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HCO</w:t>
            </w:r>
            <w:r>
              <w:rPr>
                <w:rFonts w:ascii="Times New Roman" w:hAnsi="Times New Roman" w:cs="Times New Roman" w:eastAsiaTheme="minorEastAsia"/>
                <w:color w:val="auto"/>
                <w:w w:val="99"/>
                <w:sz w:val="21"/>
                <w:szCs w:val="21"/>
                <w:highlight w:val="none"/>
                <w:vertAlign w:val="subscript"/>
              </w:rPr>
              <w:t>3</w:t>
            </w: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4</w:t>
            </w:r>
            <w:r>
              <w:rPr>
                <w:rFonts w:ascii="Times New Roman" w:hAnsi="Times New Roman" w:cs="Times New Roman" w:eastAsiaTheme="minorEastAsia"/>
                <w:color w:val="auto"/>
                <w:w w:val="99"/>
                <w:sz w:val="21"/>
                <w:szCs w:val="21"/>
                <w:highlight w:val="none"/>
              </w:rPr>
              <w:t>+Cl</w:t>
            </w:r>
          </w:p>
        </w:tc>
        <w:tc>
          <w:tcPr>
            <w:tcW w:w="572" w:type="pct"/>
            <w:vAlign w:val="center"/>
          </w:tcPr>
          <w:p w14:paraId="4B1E4FE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HCO</w:t>
            </w:r>
            <w:r>
              <w:rPr>
                <w:rFonts w:ascii="Times New Roman" w:hAnsi="Times New Roman" w:cs="Times New Roman" w:eastAsiaTheme="minorEastAsia"/>
                <w:color w:val="auto"/>
                <w:w w:val="99"/>
                <w:sz w:val="21"/>
                <w:szCs w:val="21"/>
                <w:highlight w:val="none"/>
                <w:vertAlign w:val="subscript"/>
              </w:rPr>
              <w:t>3</w:t>
            </w:r>
            <w:r>
              <w:rPr>
                <w:rFonts w:ascii="Times New Roman" w:hAnsi="Times New Roman" w:cs="Times New Roman" w:eastAsiaTheme="minorEastAsia"/>
                <w:color w:val="auto"/>
                <w:w w:val="99"/>
                <w:sz w:val="21"/>
                <w:szCs w:val="21"/>
                <w:highlight w:val="none"/>
              </w:rPr>
              <w:t>+Cl</w:t>
            </w:r>
          </w:p>
        </w:tc>
        <w:tc>
          <w:tcPr>
            <w:tcW w:w="437" w:type="pct"/>
            <w:vAlign w:val="center"/>
          </w:tcPr>
          <w:p w14:paraId="64EB79A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4</w:t>
            </w:r>
          </w:p>
        </w:tc>
        <w:tc>
          <w:tcPr>
            <w:tcW w:w="477" w:type="pct"/>
            <w:vAlign w:val="center"/>
          </w:tcPr>
          <w:p w14:paraId="38A5D7E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4</w:t>
            </w:r>
            <w:r>
              <w:rPr>
                <w:rFonts w:ascii="Times New Roman" w:hAnsi="Times New Roman" w:cs="Times New Roman" w:eastAsiaTheme="minorEastAsia"/>
                <w:color w:val="auto"/>
                <w:w w:val="99"/>
                <w:sz w:val="21"/>
                <w:szCs w:val="21"/>
                <w:highlight w:val="none"/>
              </w:rPr>
              <w:t>+Cl</w:t>
            </w:r>
          </w:p>
        </w:tc>
        <w:tc>
          <w:tcPr>
            <w:tcW w:w="335" w:type="pct"/>
            <w:vAlign w:val="center"/>
          </w:tcPr>
          <w:p w14:paraId="4D5783A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Cl</w:t>
            </w:r>
          </w:p>
        </w:tc>
      </w:tr>
      <w:tr w14:paraId="3F2BFD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3E5278C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Ca</w:t>
            </w:r>
          </w:p>
        </w:tc>
        <w:tc>
          <w:tcPr>
            <w:tcW w:w="461" w:type="pct"/>
            <w:vAlign w:val="center"/>
          </w:tcPr>
          <w:p w14:paraId="7CF02BC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p>
        </w:tc>
        <w:tc>
          <w:tcPr>
            <w:tcW w:w="633" w:type="pct"/>
            <w:vAlign w:val="center"/>
          </w:tcPr>
          <w:p w14:paraId="24CC680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8</w:t>
            </w:r>
          </w:p>
        </w:tc>
        <w:tc>
          <w:tcPr>
            <w:tcW w:w="831" w:type="pct"/>
            <w:vAlign w:val="center"/>
          </w:tcPr>
          <w:p w14:paraId="50C0B72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15</w:t>
            </w:r>
          </w:p>
        </w:tc>
        <w:tc>
          <w:tcPr>
            <w:tcW w:w="572" w:type="pct"/>
            <w:vAlign w:val="center"/>
          </w:tcPr>
          <w:p w14:paraId="0C402E3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22</w:t>
            </w:r>
          </w:p>
        </w:tc>
        <w:tc>
          <w:tcPr>
            <w:tcW w:w="437" w:type="pct"/>
            <w:vAlign w:val="center"/>
          </w:tcPr>
          <w:p w14:paraId="153A9B6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29</w:t>
            </w:r>
          </w:p>
        </w:tc>
        <w:tc>
          <w:tcPr>
            <w:tcW w:w="477" w:type="pct"/>
            <w:vAlign w:val="center"/>
          </w:tcPr>
          <w:p w14:paraId="0469601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36</w:t>
            </w:r>
          </w:p>
        </w:tc>
        <w:tc>
          <w:tcPr>
            <w:tcW w:w="335" w:type="pct"/>
            <w:vAlign w:val="center"/>
          </w:tcPr>
          <w:p w14:paraId="599834B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43</w:t>
            </w:r>
          </w:p>
        </w:tc>
      </w:tr>
      <w:tr w14:paraId="7E8E8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159951A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Ca+Mg</w:t>
            </w:r>
          </w:p>
        </w:tc>
        <w:tc>
          <w:tcPr>
            <w:tcW w:w="461" w:type="pct"/>
            <w:vAlign w:val="center"/>
          </w:tcPr>
          <w:p w14:paraId="35DEDFB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w:t>
            </w:r>
          </w:p>
        </w:tc>
        <w:tc>
          <w:tcPr>
            <w:tcW w:w="633" w:type="pct"/>
            <w:vAlign w:val="center"/>
          </w:tcPr>
          <w:p w14:paraId="4238699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9</w:t>
            </w:r>
          </w:p>
        </w:tc>
        <w:tc>
          <w:tcPr>
            <w:tcW w:w="831" w:type="pct"/>
            <w:vAlign w:val="center"/>
          </w:tcPr>
          <w:p w14:paraId="093762A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16</w:t>
            </w:r>
          </w:p>
        </w:tc>
        <w:tc>
          <w:tcPr>
            <w:tcW w:w="572" w:type="pct"/>
            <w:vAlign w:val="center"/>
          </w:tcPr>
          <w:p w14:paraId="2CCF8AB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23</w:t>
            </w:r>
          </w:p>
        </w:tc>
        <w:tc>
          <w:tcPr>
            <w:tcW w:w="437" w:type="pct"/>
            <w:vAlign w:val="center"/>
          </w:tcPr>
          <w:p w14:paraId="310A3CB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30</w:t>
            </w:r>
          </w:p>
        </w:tc>
        <w:tc>
          <w:tcPr>
            <w:tcW w:w="477" w:type="pct"/>
            <w:vAlign w:val="center"/>
          </w:tcPr>
          <w:p w14:paraId="70C914D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37</w:t>
            </w:r>
          </w:p>
        </w:tc>
        <w:tc>
          <w:tcPr>
            <w:tcW w:w="335" w:type="pct"/>
            <w:vAlign w:val="center"/>
          </w:tcPr>
          <w:p w14:paraId="6D30A74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44</w:t>
            </w:r>
          </w:p>
        </w:tc>
      </w:tr>
      <w:tr w14:paraId="73056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3C6C82D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Mg</w:t>
            </w:r>
          </w:p>
        </w:tc>
        <w:tc>
          <w:tcPr>
            <w:tcW w:w="461" w:type="pct"/>
            <w:vAlign w:val="center"/>
          </w:tcPr>
          <w:p w14:paraId="29E390A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w:t>
            </w:r>
          </w:p>
        </w:tc>
        <w:tc>
          <w:tcPr>
            <w:tcW w:w="633" w:type="pct"/>
            <w:vAlign w:val="center"/>
          </w:tcPr>
          <w:p w14:paraId="1A3017E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10</w:t>
            </w:r>
          </w:p>
        </w:tc>
        <w:tc>
          <w:tcPr>
            <w:tcW w:w="831" w:type="pct"/>
            <w:vAlign w:val="center"/>
          </w:tcPr>
          <w:p w14:paraId="4211C13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17</w:t>
            </w:r>
          </w:p>
        </w:tc>
        <w:tc>
          <w:tcPr>
            <w:tcW w:w="572" w:type="pct"/>
            <w:vAlign w:val="center"/>
          </w:tcPr>
          <w:p w14:paraId="3E2E8C6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24</w:t>
            </w:r>
          </w:p>
        </w:tc>
        <w:tc>
          <w:tcPr>
            <w:tcW w:w="437" w:type="pct"/>
            <w:vAlign w:val="center"/>
          </w:tcPr>
          <w:p w14:paraId="1ACD76C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31</w:t>
            </w:r>
          </w:p>
        </w:tc>
        <w:tc>
          <w:tcPr>
            <w:tcW w:w="477" w:type="pct"/>
            <w:vAlign w:val="center"/>
          </w:tcPr>
          <w:p w14:paraId="575299F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38</w:t>
            </w:r>
          </w:p>
        </w:tc>
        <w:tc>
          <w:tcPr>
            <w:tcW w:w="335" w:type="pct"/>
            <w:vAlign w:val="center"/>
          </w:tcPr>
          <w:p w14:paraId="16E890B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45</w:t>
            </w:r>
          </w:p>
        </w:tc>
      </w:tr>
      <w:tr w14:paraId="0359A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30A0990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Na+Ca</w:t>
            </w:r>
          </w:p>
        </w:tc>
        <w:tc>
          <w:tcPr>
            <w:tcW w:w="461" w:type="pct"/>
            <w:vAlign w:val="center"/>
          </w:tcPr>
          <w:p w14:paraId="1C1C456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w:t>
            </w:r>
          </w:p>
        </w:tc>
        <w:tc>
          <w:tcPr>
            <w:tcW w:w="633" w:type="pct"/>
            <w:vAlign w:val="center"/>
          </w:tcPr>
          <w:p w14:paraId="039ED39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w:t>
            </w:r>
          </w:p>
        </w:tc>
        <w:tc>
          <w:tcPr>
            <w:tcW w:w="831" w:type="pct"/>
            <w:vAlign w:val="center"/>
          </w:tcPr>
          <w:p w14:paraId="7F28F00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18</w:t>
            </w:r>
          </w:p>
        </w:tc>
        <w:tc>
          <w:tcPr>
            <w:tcW w:w="572" w:type="pct"/>
            <w:vAlign w:val="center"/>
          </w:tcPr>
          <w:p w14:paraId="608DD72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25</w:t>
            </w:r>
          </w:p>
        </w:tc>
        <w:tc>
          <w:tcPr>
            <w:tcW w:w="437" w:type="pct"/>
            <w:vAlign w:val="center"/>
          </w:tcPr>
          <w:p w14:paraId="3C84928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32</w:t>
            </w:r>
          </w:p>
        </w:tc>
        <w:tc>
          <w:tcPr>
            <w:tcW w:w="477" w:type="pct"/>
            <w:vAlign w:val="center"/>
          </w:tcPr>
          <w:p w14:paraId="44F5C27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39</w:t>
            </w:r>
          </w:p>
        </w:tc>
        <w:tc>
          <w:tcPr>
            <w:tcW w:w="335" w:type="pct"/>
            <w:vAlign w:val="center"/>
          </w:tcPr>
          <w:p w14:paraId="2333553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46</w:t>
            </w:r>
          </w:p>
        </w:tc>
      </w:tr>
      <w:tr w14:paraId="17650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20D41C0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Na+Ca+Mg</w:t>
            </w:r>
          </w:p>
        </w:tc>
        <w:tc>
          <w:tcPr>
            <w:tcW w:w="461" w:type="pct"/>
            <w:vAlign w:val="center"/>
          </w:tcPr>
          <w:p w14:paraId="0443253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5</w:t>
            </w:r>
          </w:p>
        </w:tc>
        <w:tc>
          <w:tcPr>
            <w:tcW w:w="633" w:type="pct"/>
            <w:vAlign w:val="center"/>
          </w:tcPr>
          <w:p w14:paraId="1EF8449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w:t>
            </w:r>
          </w:p>
        </w:tc>
        <w:tc>
          <w:tcPr>
            <w:tcW w:w="831" w:type="pct"/>
            <w:vAlign w:val="center"/>
          </w:tcPr>
          <w:p w14:paraId="356C2DD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19</w:t>
            </w:r>
          </w:p>
        </w:tc>
        <w:tc>
          <w:tcPr>
            <w:tcW w:w="572" w:type="pct"/>
            <w:vAlign w:val="center"/>
          </w:tcPr>
          <w:p w14:paraId="122895C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26</w:t>
            </w:r>
          </w:p>
        </w:tc>
        <w:tc>
          <w:tcPr>
            <w:tcW w:w="437" w:type="pct"/>
            <w:vAlign w:val="center"/>
          </w:tcPr>
          <w:p w14:paraId="3A0613D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33</w:t>
            </w:r>
          </w:p>
        </w:tc>
        <w:tc>
          <w:tcPr>
            <w:tcW w:w="477" w:type="pct"/>
            <w:vAlign w:val="center"/>
          </w:tcPr>
          <w:p w14:paraId="1633C2D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40</w:t>
            </w:r>
          </w:p>
        </w:tc>
        <w:tc>
          <w:tcPr>
            <w:tcW w:w="335" w:type="pct"/>
            <w:vAlign w:val="center"/>
          </w:tcPr>
          <w:p w14:paraId="5AC6CAF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47</w:t>
            </w:r>
          </w:p>
        </w:tc>
      </w:tr>
      <w:tr w14:paraId="6C48C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19E9F5E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Na+Mg</w:t>
            </w:r>
          </w:p>
        </w:tc>
        <w:tc>
          <w:tcPr>
            <w:tcW w:w="461" w:type="pct"/>
            <w:vAlign w:val="center"/>
          </w:tcPr>
          <w:p w14:paraId="3F8C81D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6</w:t>
            </w:r>
          </w:p>
        </w:tc>
        <w:tc>
          <w:tcPr>
            <w:tcW w:w="633" w:type="pct"/>
            <w:vAlign w:val="center"/>
          </w:tcPr>
          <w:p w14:paraId="0C5E729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13</w:t>
            </w:r>
          </w:p>
        </w:tc>
        <w:tc>
          <w:tcPr>
            <w:tcW w:w="831" w:type="pct"/>
            <w:vAlign w:val="center"/>
          </w:tcPr>
          <w:p w14:paraId="1E5F085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w:t>
            </w:r>
          </w:p>
        </w:tc>
        <w:tc>
          <w:tcPr>
            <w:tcW w:w="572" w:type="pct"/>
            <w:vAlign w:val="center"/>
          </w:tcPr>
          <w:p w14:paraId="3ED094C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27</w:t>
            </w:r>
          </w:p>
        </w:tc>
        <w:tc>
          <w:tcPr>
            <w:tcW w:w="437" w:type="pct"/>
            <w:vAlign w:val="center"/>
          </w:tcPr>
          <w:p w14:paraId="62E86A9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34</w:t>
            </w:r>
          </w:p>
        </w:tc>
        <w:tc>
          <w:tcPr>
            <w:tcW w:w="477" w:type="pct"/>
            <w:vAlign w:val="center"/>
          </w:tcPr>
          <w:p w14:paraId="094DE39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41</w:t>
            </w:r>
          </w:p>
        </w:tc>
        <w:tc>
          <w:tcPr>
            <w:tcW w:w="335" w:type="pct"/>
            <w:vAlign w:val="center"/>
          </w:tcPr>
          <w:p w14:paraId="0C2115A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48</w:t>
            </w:r>
          </w:p>
        </w:tc>
      </w:tr>
      <w:tr w14:paraId="30861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3FF7472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Na</w:t>
            </w:r>
          </w:p>
        </w:tc>
        <w:tc>
          <w:tcPr>
            <w:tcW w:w="461" w:type="pct"/>
            <w:vAlign w:val="center"/>
          </w:tcPr>
          <w:p w14:paraId="0C71657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7</w:t>
            </w:r>
          </w:p>
        </w:tc>
        <w:tc>
          <w:tcPr>
            <w:tcW w:w="633" w:type="pct"/>
            <w:vAlign w:val="center"/>
          </w:tcPr>
          <w:p w14:paraId="754EF00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14</w:t>
            </w:r>
          </w:p>
        </w:tc>
        <w:tc>
          <w:tcPr>
            <w:tcW w:w="831" w:type="pct"/>
            <w:vAlign w:val="center"/>
          </w:tcPr>
          <w:p w14:paraId="705A4BC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21</w:t>
            </w:r>
          </w:p>
        </w:tc>
        <w:tc>
          <w:tcPr>
            <w:tcW w:w="572" w:type="pct"/>
            <w:vAlign w:val="center"/>
          </w:tcPr>
          <w:p w14:paraId="5319DD0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28</w:t>
            </w:r>
          </w:p>
        </w:tc>
        <w:tc>
          <w:tcPr>
            <w:tcW w:w="437" w:type="pct"/>
            <w:vAlign w:val="center"/>
          </w:tcPr>
          <w:p w14:paraId="2241E16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35</w:t>
            </w:r>
          </w:p>
        </w:tc>
        <w:tc>
          <w:tcPr>
            <w:tcW w:w="477" w:type="pct"/>
            <w:vAlign w:val="center"/>
          </w:tcPr>
          <w:p w14:paraId="547160F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42</w:t>
            </w:r>
          </w:p>
        </w:tc>
        <w:tc>
          <w:tcPr>
            <w:tcW w:w="335" w:type="pct"/>
            <w:vAlign w:val="center"/>
          </w:tcPr>
          <w:p w14:paraId="1CA2E70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49</w:t>
            </w:r>
          </w:p>
        </w:tc>
      </w:tr>
    </w:tbl>
    <w:p w14:paraId="23AB5071">
      <w:pPr>
        <w:widowControl w:val="0"/>
        <w:spacing w:line="440" w:lineRule="exact"/>
        <w:ind w:firstLine="474" w:firstLineChars="200"/>
        <w:jc w:val="both"/>
        <w:rPr>
          <w:rFonts w:ascii="Times New Roman" w:hAnsi="Times New Roman" w:cs="Times New Roman" w:eastAsiaTheme="minorEastAsia"/>
          <w:color w:val="auto"/>
          <w:w w:val="99"/>
          <w:szCs w:val="20"/>
          <w:highlight w:val="none"/>
        </w:rPr>
      </w:pPr>
      <w:r>
        <w:rPr>
          <w:rFonts w:ascii="Times New Roman" w:hAnsi="Times New Roman" w:cs="Times New Roman" w:eastAsiaTheme="minorEastAsia"/>
          <w:color w:val="auto"/>
          <w:w w:val="99"/>
          <w:szCs w:val="20"/>
          <w:highlight w:val="none"/>
        </w:rPr>
        <w:t>按矿化度又分为4组：A组矿化度&lt; 1.5g/L，B组1.5～10g/L，C组10～40g/L，D组&gt; 40g/L。命名时在数字与字母间加连接号，如1-A型：指的是M &lt; 1.5g/L，阴离子只有HCO</w:t>
      </w:r>
      <w:r>
        <w:rPr>
          <w:rFonts w:ascii="Times New Roman" w:hAnsi="Times New Roman" w:cs="Times New Roman" w:eastAsiaTheme="minorEastAsia"/>
          <w:color w:val="auto"/>
          <w:w w:val="99"/>
          <w:szCs w:val="20"/>
          <w:highlight w:val="none"/>
          <w:vertAlign w:val="subscript"/>
        </w:rPr>
        <w:t>3</w:t>
      </w:r>
      <w:r>
        <w:rPr>
          <w:rFonts w:ascii="Times New Roman" w:hAnsi="Times New Roman" w:cs="Times New Roman" w:eastAsiaTheme="minorEastAsia"/>
          <w:color w:val="auto"/>
          <w:w w:val="99"/>
          <w:szCs w:val="20"/>
          <w:highlight w:val="none"/>
        </w:rPr>
        <w:t xml:space="preserve"> &gt; 25％Meq，阳离子只有Ca大于25 %Meq。49-D型，表示矿化度大于40g/L的Cl-Na型水，该型水可能是于海水及海相沉积有关的地下水，或是大陆盐化潜水。</w:t>
      </w:r>
    </w:p>
    <w:p w14:paraId="7E39C46E">
      <w:pPr>
        <w:widowControl w:val="0"/>
        <w:spacing w:line="440" w:lineRule="exact"/>
        <w:ind w:firstLine="474" w:firstLineChars="200"/>
        <w:jc w:val="both"/>
        <w:rPr>
          <w:rFonts w:ascii="Times New Roman" w:hAnsi="Times New Roman" w:cs="Times New Roman" w:eastAsiaTheme="minorEastAsia"/>
          <w:color w:val="auto"/>
          <w:w w:val="99"/>
          <w:kern w:val="2"/>
          <w:szCs w:val="32"/>
          <w:highlight w:val="none"/>
        </w:rPr>
      </w:pPr>
      <w:r>
        <w:rPr>
          <w:rFonts w:ascii="Times New Roman" w:hAnsi="Times New Roman" w:cs="Times New Roman" w:eastAsiaTheme="minorEastAsia"/>
          <w:color w:val="auto"/>
          <w:w w:val="99"/>
          <w:szCs w:val="32"/>
          <w:highlight w:val="none"/>
        </w:rPr>
        <w:t>根据本项目地下水监测结果，分别计算承压水、潜水各监测点位中SO</w:t>
      </w:r>
      <w:r>
        <w:rPr>
          <w:rFonts w:ascii="Times New Roman" w:hAnsi="Times New Roman" w:cs="Times New Roman" w:eastAsiaTheme="minorEastAsia"/>
          <w:color w:val="auto"/>
          <w:w w:val="99"/>
          <w:szCs w:val="32"/>
          <w:highlight w:val="none"/>
          <w:vertAlign w:val="subscript"/>
        </w:rPr>
        <w:t>4</w:t>
      </w:r>
      <w:r>
        <w:rPr>
          <w:rFonts w:ascii="Times New Roman" w:hAnsi="Times New Roman" w:cs="Times New Roman" w:eastAsiaTheme="minorEastAsia"/>
          <w:color w:val="auto"/>
          <w:w w:val="99"/>
          <w:szCs w:val="32"/>
          <w:highlight w:val="none"/>
          <w:vertAlign w:val="superscript"/>
        </w:rPr>
        <w:t>2－</w:t>
      </w:r>
      <w:r>
        <w:rPr>
          <w:rFonts w:ascii="Times New Roman" w:hAnsi="Times New Roman" w:cs="Times New Roman" w:eastAsiaTheme="minorEastAsia"/>
          <w:color w:val="auto"/>
          <w:w w:val="99"/>
          <w:szCs w:val="32"/>
          <w:highlight w:val="none"/>
        </w:rPr>
        <w:t>、Cl</w:t>
      </w:r>
      <w:r>
        <w:rPr>
          <w:rFonts w:ascii="Times New Roman" w:hAnsi="Times New Roman" w:cs="Times New Roman" w:eastAsiaTheme="minorEastAsia"/>
          <w:color w:val="auto"/>
          <w:w w:val="99"/>
          <w:szCs w:val="32"/>
          <w:highlight w:val="none"/>
          <w:vertAlign w:val="superscript"/>
        </w:rPr>
        <w:t>－</w:t>
      </w:r>
      <w:r>
        <w:rPr>
          <w:rFonts w:ascii="Times New Roman" w:hAnsi="Times New Roman" w:cs="Times New Roman" w:eastAsiaTheme="minorEastAsia"/>
          <w:color w:val="auto"/>
          <w:w w:val="99"/>
          <w:szCs w:val="32"/>
          <w:highlight w:val="none"/>
        </w:rPr>
        <w:t>、HCO</w:t>
      </w:r>
      <w:r>
        <w:rPr>
          <w:rFonts w:ascii="Times New Roman" w:hAnsi="Times New Roman" w:cs="Times New Roman" w:eastAsiaTheme="minorEastAsia"/>
          <w:color w:val="auto"/>
          <w:w w:val="99"/>
          <w:szCs w:val="32"/>
          <w:highlight w:val="none"/>
          <w:vertAlign w:val="subscript"/>
        </w:rPr>
        <w:t>3</w:t>
      </w:r>
      <w:r>
        <w:rPr>
          <w:rFonts w:ascii="Times New Roman" w:hAnsi="Times New Roman" w:cs="Times New Roman" w:eastAsiaTheme="minorEastAsia"/>
          <w:color w:val="auto"/>
          <w:w w:val="99"/>
          <w:szCs w:val="32"/>
          <w:highlight w:val="none"/>
          <w:vertAlign w:val="superscript"/>
        </w:rPr>
        <w:t>－</w:t>
      </w:r>
      <w:r>
        <w:rPr>
          <w:rFonts w:ascii="Times New Roman" w:hAnsi="Times New Roman" w:cs="Times New Roman" w:eastAsiaTheme="minorEastAsia"/>
          <w:color w:val="auto"/>
          <w:w w:val="99"/>
          <w:szCs w:val="32"/>
          <w:highlight w:val="none"/>
        </w:rPr>
        <w:t>、CO</w:t>
      </w:r>
      <w:r>
        <w:rPr>
          <w:rFonts w:ascii="Times New Roman" w:hAnsi="Times New Roman" w:cs="Times New Roman" w:eastAsiaTheme="minorEastAsia"/>
          <w:color w:val="auto"/>
          <w:w w:val="99"/>
          <w:szCs w:val="32"/>
          <w:highlight w:val="none"/>
          <w:vertAlign w:val="subscript"/>
        </w:rPr>
        <w:t>3</w:t>
      </w:r>
      <w:r>
        <w:rPr>
          <w:rFonts w:ascii="Times New Roman" w:hAnsi="Times New Roman" w:cs="Times New Roman" w:eastAsiaTheme="minorEastAsia"/>
          <w:color w:val="auto"/>
          <w:w w:val="99"/>
          <w:szCs w:val="32"/>
          <w:highlight w:val="none"/>
          <w:vertAlign w:val="superscript"/>
        </w:rPr>
        <w:t>2－</w:t>
      </w:r>
      <w:r>
        <w:rPr>
          <w:rFonts w:ascii="Times New Roman" w:hAnsi="Times New Roman" w:cs="Times New Roman" w:eastAsiaTheme="minorEastAsia"/>
          <w:color w:val="auto"/>
          <w:w w:val="99"/>
          <w:szCs w:val="32"/>
          <w:highlight w:val="none"/>
        </w:rPr>
        <w:t>、Ca</w:t>
      </w:r>
      <w:r>
        <w:rPr>
          <w:rFonts w:ascii="Times New Roman" w:hAnsi="Times New Roman" w:cs="Times New Roman" w:eastAsiaTheme="minorEastAsia"/>
          <w:color w:val="auto"/>
          <w:w w:val="99"/>
          <w:szCs w:val="32"/>
          <w:highlight w:val="none"/>
          <w:vertAlign w:val="superscript"/>
        </w:rPr>
        <w:t>2＋</w:t>
      </w:r>
      <w:r>
        <w:rPr>
          <w:rFonts w:ascii="Times New Roman" w:hAnsi="Times New Roman" w:cs="Times New Roman" w:eastAsiaTheme="minorEastAsia"/>
          <w:color w:val="auto"/>
          <w:w w:val="99"/>
          <w:szCs w:val="32"/>
          <w:highlight w:val="none"/>
        </w:rPr>
        <w:t>、Mg</w:t>
      </w:r>
      <w:r>
        <w:rPr>
          <w:rFonts w:ascii="Times New Roman" w:hAnsi="Times New Roman" w:cs="Times New Roman" w:eastAsiaTheme="minorEastAsia"/>
          <w:color w:val="auto"/>
          <w:w w:val="99"/>
          <w:szCs w:val="32"/>
          <w:highlight w:val="none"/>
          <w:vertAlign w:val="superscript"/>
        </w:rPr>
        <w:t>2＋</w:t>
      </w:r>
      <w:r>
        <w:rPr>
          <w:rFonts w:ascii="Times New Roman" w:hAnsi="Times New Roman" w:cs="Times New Roman" w:eastAsiaTheme="minorEastAsia"/>
          <w:color w:val="auto"/>
          <w:w w:val="99"/>
          <w:szCs w:val="32"/>
          <w:highlight w:val="none"/>
        </w:rPr>
        <w:t>、Na</w:t>
      </w:r>
      <w:r>
        <w:rPr>
          <w:rFonts w:ascii="Times New Roman" w:hAnsi="Times New Roman" w:cs="Times New Roman" w:eastAsiaTheme="minorEastAsia"/>
          <w:color w:val="auto"/>
          <w:w w:val="99"/>
          <w:szCs w:val="32"/>
          <w:highlight w:val="none"/>
          <w:vertAlign w:val="superscript"/>
        </w:rPr>
        <w:t>＋</w:t>
      </w:r>
      <w:r>
        <w:rPr>
          <w:rFonts w:ascii="Times New Roman" w:hAnsi="Times New Roman" w:cs="Times New Roman" w:eastAsiaTheme="minorEastAsia"/>
          <w:color w:val="auto"/>
          <w:w w:val="99"/>
          <w:szCs w:val="32"/>
          <w:highlight w:val="none"/>
        </w:rPr>
        <w:t>、 K</w:t>
      </w:r>
      <w:r>
        <w:rPr>
          <w:rFonts w:ascii="Times New Roman" w:hAnsi="Times New Roman" w:cs="Times New Roman" w:eastAsiaTheme="minorEastAsia"/>
          <w:color w:val="auto"/>
          <w:w w:val="99"/>
          <w:szCs w:val="32"/>
          <w:highlight w:val="none"/>
          <w:vertAlign w:val="superscript"/>
        </w:rPr>
        <w:t>＋</w:t>
      </w:r>
      <w:r>
        <w:rPr>
          <w:rFonts w:ascii="Times New Roman" w:hAnsi="Times New Roman" w:cs="Times New Roman" w:eastAsiaTheme="minorEastAsia"/>
          <w:color w:val="auto"/>
          <w:w w:val="99"/>
          <w:szCs w:val="32"/>
          <w:highlight w:val="none"/>
        </w:rPr>
        <w:t>浓度均值，进而计算各离子Meq（毫克当量）百分数及监测点位矿化度，从而对工程区域内承压水、潜水的水化学类型进行分类，</w:t>
      </w:r>
      <w:r>
        <w:rPr>
          <w:rFonts w:ascii="Times New Roman" w:hAnsi="Times New Roman" w:cs="Times New Roman" w:eastAsiaTheme="minorEastAsia"/>
          <w:color w:val="auto"/>
          <w:w w:val="99"/>
          <w:kern w:val="2"/>
          <w:szCs w:val="32"/>
          <w:highlight w:val="none"/>
        </w:rPr>
        <w:t>工程所在地潜水水质八大离子浓度统计结果见表</w:t>
      </w:r>
      <w:r>
        <w:rPr>
          <w:rFonts w:ascii="Times New Roman" w:hAnsi="Times New Roman" w:cs="Times New Roman" w:eastAsiaTheme="minorEastAsia"/>
          <w:color w:val="auto"/>
          <w:w w:val="99"/>
          <w:kern w:val="2"/>
          <w:szCs w:val="20"/>
          <w:highlight w:val="none"/>
        </w:rPr>
        <w:t>4.3-</w:t>
      </w:r>
      <w:r>
        <w:rPr>
          <w:rFonts w:hint="eastAsia" w:ascii="Times New Roman" w:hAnsi="Times New Roman" w:cs="Times New Roman" w:eastAsiaTheme="minorEastAsia"/>
          <w:color w:val="auto"/>
          <w:w w:val="99"/>
          <w:kern w:val="2"/>
          <w:szCs w:val="20"/>
          <w:highlight w:val="none"/>
        </w:rPr>
        <w:t>12</w:t>
      </w:r>
      <w:r>
        <w:rPr>
          <w:rFonts w:ascii="Times New Roman" w:hAnsi="Times New Roman" w:cs="Times New Roman" w:eastAsiaTheme="minorEastAsia"/>
          <w:color w:val="auto"/>
          <w:w w:val="99"/>
          <w:kern w:val="2"/>
          <w:szCs w:val="32"/>
          <w:highlight w:val="none"/>
        </w:rPr>
        <w:t>，工程所在地承压水水质八大离子浓度统计结果见表</w:t>
      </w:r>
      <w:r>
        <w:rPr>
          <w:rFonts w:ascii="Times New Roman" w:hAnsi="Times New Roman" w:cs="Times New Roman" w:eastAsiaTheme="minorEastAsia"/>
          <w:color w:val="auto"/>
          <w:w w:val="99"/>
          <w:kern w:val="2"/>
          <w:szCs w:val="20"/>
          <w:highlight w:val="none"/>
        </w:rPr>
        <w:t>4.3-</w:t>
      </w:r>
      <w:r>
        <w:rPr>
          <w:rFonts w:hint="eastAsia" w:ascii="Times New Roman" w:hAnsi="Times New Roman" w:cs="Times New Roman" w:eastAsiaTheme="minorEastAsia"/>
          <w:color w:val="auto"/>
          <w:w w:val="99"/>
          <w:kern w:val="2"/>
          <w:szCs w:val="20"/>
          <w:highlight w:val="none"/>
        </w:rPr>
        <w:t>13</w:t>
      </w:r>
      <w:r>
        <w:rPr>
          <w:rFonts w:ascii="Times New Roman" w:hAnsi="Times New Roman" w:cs="Times New Roman" w:eastAsiaTheme="minorEastAsia"/>
          <w:color w:val="auto"/>
          <w:w w:val="99"/>
          <w:kern w:val="2"/>
          <w:szCs w:val="32"/>
          <w:highlight w:val="none"/>
        </w:rPr>
        <w:t>。</w:t>
      </w:r>
    </w:p>
    <w:p w14:paraId="019DBAC1">
      <w:pPr>
        <w:pStyle w:val="32"/>
        <w:rPr>
          <w:rFonts w:ascii="Times New Roman" w:hAnsi="Times New Roman" w:cs="Times New Roman" w:eastAsiaTheme="minorEastAsia"/>
          <w:color w:val="auto"/>
          <w:w w:val="99"/>
          <w:kern w:val="2"/>
          <w:szCs w:val="32"/>
          <w:highlight w:val="none"/>
        </w:rPr>
      </w:pPr>
    </w:p>
    <w:p w14:paraId="0931B7CF">
      <w:pPr>
        <w:pStyle w:val="153"/>
        <w:widowControl w:val="0"/>
        <w:spacing w:line="440" w:lineRule="exact"/>
        <w:ind w:firstLine="474"/>
        <w:rPr>
          <w:rFonts w:ascii="Times New Roman" w:hAnsi="Times New Roman" w:eastAsiaTheme="minorEastAsia"/>
          <w:b/>
          <w:bCs/>
          <w:color w:val="auto"/>
          <w:w w:val="99"/>
          <w:kern w:val="21"/>
          <w:szCs w:val="20"/>
          <w:highlight w:val="none"/>
        </w:rPr>
      </w:pPr>
      <w:r>
        <w:rPr>
          <w:rFonts w:ascii="Times New Roman" w:hAnsi="Times New Roman" w:eastAsiaTheme="minorEastAsia"/>
          <w:b/>
          <w:bCs/>
          <w:color w:val="auto"/>
          <w:w w:val="99"/>
          <w:kern w:val="21"/>
          <w:szCs w:val="20"/>
          <w:highlight w:val="none"/>
        </w:rPr>
        <w:t>表</w:t>
      </w:r>
      <w:r>
        <w:rPr>
          <w:rFonts w:ascii="Times New Roman" w:hAnsi="Times New Roman" w:eastAsiaTheme="minorEastAsia"/>
          <w:b/>
          <w:color w:val="auto"/>
          <w:w w:val="99"/>
          <w:kern w:val="2"/>
          <w:szCs w:val="20"/>
          <w:highlight w:val="none"/>
        </w:rPr>
        <w:t>4.3-</w:t>
      </w:r>
      <w:r>
        <w:rPr>
          <w:rFonts w:hint="eastAsia" w:ascii="Times New Roman" w:hAnsi="Times New Roman" w:eastAsiaTheme="minorEastAsia"/>
          <w:b/>
          <w:color w:val="auto"/>
          <w:w w:val="99"/>
          <w:kern w:val="2"/>
          <w:szCs w:val="20"/>
          <w:highlight w:val="none"/>
        </w:rPr>
        <w:t>12</w:t>
      </w:r>
      <w:r>
        <w:rPr>
          <w:rFonts w:ascii="Times New Roman" w:hAnsi="Times New Roman" w:eastAsiaTheme="minorEastAsia"/>
          <w:b/>
          <w:bCs/>
          <w:color w:val="auto"/>
          <w:w w:val="99"/>
          <w:kern w:val="21"/>
          <w:szCs w:val="20"/>
          <w:highlight w:val="none"/>
        </w:rPr>
        <w:t xml:space="preserve">    </w:t>
      </w:r>
      <w:r>
        <w:rPr>
          <w:rFonts w:ascii="Times New Roman" w:hAnsi="Times New Roman" w:eastAsiaTheme="minorEastAsia"/>
          <w:b/>
          <w:color w:val="auto"/>
          <w:w w:val="99"/>
          <w:highlight w:val="none"/>
        </w:rPr>
        <w:t>潜水</w:t>
      </w:r>
      <w:r>
        <w:rPr>
          <w:rFonts w:ascii="Times New Roman" w:hAnsi="Times New Roman" w:eastAsiaTheme="minorEastAsia"/>
          <w:b/>
          <w:bCs/>
          <w:color w:val="auto"/>
          <w:w w:val="99"/>
          <w:kern w:val="21"/>
          <w:szCs w:val="20"/>
          <w:highlight w:val="none"/>
        </w:rPr>
        <w:t>水质八大离子水化学类型分析结果</w:t>
      </w:r>
    </w:p>
    <w:tbl>
      <w:tblPr>
        <w:tblStyle w:val="81"/>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47"/>
        <w:gridCol w:w="1235"/>
        <w:gridCol w:w="1480"/>
        <w:gridCol w:w="1482"/>
        <w:gridCol w:w="1629"/>
        <w:gridCol w:w="1046"/>
        <w:gridCol w:w="861"/>
      </w:tblGrid>
      <w:tr w14:paraId="7E3C1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Align w:val="center"/>
          </w:tcPr>
          <w:p w14:paraId="53653FD0">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监测井点位</w:t>
            </w:r>
          </w:p>
        </w:tc>
        <w:tc>
          <w:tcPr>
            <w:tcW w:w="665" w:type="pct"/>
            <w:vAlign w:val="center"/>
          </w:tcPr>
          <w:p w14:paraId="6E4DF091">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离子名称</w:t>
            </w:r>
          </w:p>
        </w:tc>
        <w:tc>
          <w:tcPr>
            <w:tcW w:w="797" w:type="pct"/>
            <w:vAlign w:val="center"/>
          </w:tcPr>
          <w:p w14:paraId="3F12DAFE">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毫克当量（mg/L）</w:t>
            </w:r>
          </w:p>
        </w:tc>
        <w:tc>
          <w:tcPr>
            <w:tcW w:w="798" w:type="pct"/>
            <w:vAlign w:val="center"/>
          </w:tcPr>
          <w:p w14:paraId="516826E7">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毫克当量百分比（%）</w:t>
            </w:r>
          </w:p>
        </w:tc>
        <w:tc>
          <w:tcPr>
            <w:tcW w:w="877" w:type="pct"/>
            <w:vAlign w:val="center"/>
          </w:tcPr>
          <w:p w14:paraId="23A94396">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离子毫克当量合计（mg/L）</w:t>
            </w:r>
          </w:p>
        </w:tc>
        <w:tc>
          <w:tcPr>
            <w:tcW w:w="563" w:type="pct"/>
            <w:vAlign w:val="center"/>
          </w:tcPr>
          <w:p w14:paraId="2F9298E6">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相对误差%</w:t>
            </w:r>
          </w:p>
        </w:tc>
        <w:tc>
          <w:tcPr>
            <w:tcW w:w="463" w:type="pct"/>
            <w:vAlign w:val="center"/>
          </w:tcPr>
          <w:p w14:paraId="26008D5E">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矿化度</w:t>
            </w:r>
          </w:p>
        </w:tc>
      </w:tr>
      <w:tr w14:paraId="60B738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vAlign w:val="center"/>
          </w:tcPr>
          <w:p w14:paraId="619EEA61">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color w:val="auto"/>
                <w:w w:val="99"/>
                <w:sz w:val="21"/>
                <w:szCs w:val="21"/>
                <w:highlight w:val="none"/>
                <w:lang w:bidi="ar"/>
              </w:rPr>
              <w:t>尚家围子屯吕家潜水井</w:t>
            </w:r>
          </w:p>
        </w:tc>
        <w:tc>
          <w:tcPr>
            <w:tcW w:w="665" w:type="pct"/>
            <w:vAlign w:val="center"/>
          </w:tcPr>
          <w:p w14:paraId="28926D79">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K</w:t>
            </w:r>
            <w:r>
              <w:rPr>
                <w:rFonts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147E7375">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0.062</w:t>
            </w:r>
          </w:p>
        </w:tc>
        <w:tc>
          <w:tcPr>
            <w:tcW w:w="798" w:type="pct"/>
            <w:vAlign w:val="center"/>
          </w:tcPr>
          <w:p w14:paraId="52200155">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1.127</w:t>
            </w:r>
          </w:p>
        </w:tc>
        <w:tc>
          <w:tcPr>
            <w:tcW w:w="877" w:type="pct"/>
            <w:vMerge w:val="restart"/>
            <w:vAlign w:val="center"/>
          </w:tcPr>
          <w:p w14:paraId="30DFEBB4">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5.460</w:t>
            </w:r>
          </w:p>
        </w:tc>
        <w:tc>
          <w:tcPr>
            <w:tcW w:w="563" w:type="pct"/>
            <w:vMerge w:val="restart"/>
            <w:vAlign w:val="center"/>
          </w:tcPr>
          <w:p w14:paraId="1962195B">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1.79</w:t>
            </w:r>
          </w:p>
        </w:tc>
        <w:tc>
          <w:tcPr>
            <w:tcW w:w="463" w:type="pct"/>
            <w:vMerge w:val="restart"/>
            <w:vAlign w:val="center"/>
          </w:tcPr>
          <w:p w14:paraId="63737E0A">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0.41</w:t>
            </w:r>
          </w:p>
        </w:tc>
      </w:tr>
      <w:tr w14:paraId="5BB524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FFF4B6E">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2FFDBF5C">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Na</w:t>
            </w:r>
            <w:r>
              <w:rPr>
                <w:rFonts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34A304C3">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2.291</w:t>
            </w:r>
          </w:p>
        </w:tc>
        <w:tc>
          <w:tcPr>
            <w:tcW w:w="798" w:type="pct"/>
            <w:vAlign w:val="center"/>
          </w:tcPr>
          <w:p w14:paraId="6CFA8C99">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41.969</w:t>
            </w:r>
          </w:p>
        </w:tc>
        <w:tc>
          <w:tcPr>
            <w:tcW w:w="877" w:type="pct"/>
            <w:vMerge w:val="continue"/>
            <w:vAlign w:val="center"/>
          </w:tcPr>
          <w:p w14:paraId="62F0A8AA">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45836EEE">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5E436CE3">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4C49F2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F5161E7">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0025B2D0">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Ca</w:t>
            </w:r>
            <w:r>
              <w:rPr>
                <w:rFonts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41498B83">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2.315</w:t>
            </w:r>
          </w:p>
        </w:tc>
        <w:tc>
          <w:tcPr>
            <w:tcW w:w="798" w:type="pct"/>
            <w:vAlign w:val="center"/>
          </w:tcPr>
          <w:p w14:paraId="3D79F20A">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42.403</w:t>
            </w:r>
          </w:p>
        </w:tc>
        <w:tc>
          <w:tcPr>
            <w:tcW w:w="877" w:type="pct"/>
            <w:vMerge w:val="continue"/>
            <w:vAlign w:val="center"/>
          </w:tcPr>
          <w:p w14:paraId="0A473C82">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69E8F6A7">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294B640C">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35363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BD9D62A">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7EF9F9B9">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Mg</w:t>
            </w:r>
            <w:r>
              <w:rPr>
                <w:rFonts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56EE20B2">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0.792</w:t>
            </w:r>
          </w:p>
        </w:tc>
        <w:tc>
          <w:tcPr>
            <w:tcW w:w="798" w:type="pct"/>
            <w:vAlign w:val="center"/>
          </w:tcPr>
          <w:p w14:paraId="08693B7D">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14.501</w:t>
            </w:r>
          </w:p>
        </w:tc>
        <w:tc>
          <w:tcPr>
            <w:tcW w:w="877" w:type="pct"/>
            <w:vMerge w:val="continue"/>
            <w:vAlign w:val="center"/>
          </w:tcPr>
          <w:p w14:paraId="481BD053">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6E13D68B">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0A1A7CE6">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1A503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B82843B">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5917C617">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HCO</w:t>
            </w:r>
            <w:r>
              <w:rPr>
                <w:rFonts w:ascii="Times New Roman" w:hAnsi="Times New Roman" w:cs="Times New Roman" w:eastAsiaTheme="minorEastAsia"/>
                <w:bCs/>
                <w:color w:val="auto"/>
                <w:w w:val="99"/>
                <w:kern w:val="2"/>
                <w:sz w:val="21"/>
                <w:szCs w:val="21"/>
                <w:highlight w:val="none"/>
                <w:vertAlign w:val="subscript"/>
              </w:rPr>
              <w:t>3</w:t>
            </w:r>
            <w:r>
              <w:rPr>
                <w:rFonts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00174789">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3.508</w:t>
            </w:r>
          </w:p>
        </w:tc>
        <w:tc>
          <w:tcPr>
            <w:tcW w:w="798" w:type="pct"/>
            <w:vAlign w:val="center"/>
          </w:tcPr>
          <w:p w14:paraId="18200AD2">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61.999</w:t>
            </w:r>
          </w:p>
        </w:tc>
        <w:tc>
          <w:tcPr>
            <w:tcW w:w="877" w:type="pct"/>
            <w:vMerge w:val="restart"/>
            <w:vAlign w:val="center"/>
          </w:tcPr>
          <w:p w14:paraId="204BC8AC">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5.658</w:t>
            </w:r>
          </w:p>
        </w:tc>
        <w:tc>
          <w:tcPr>
            <w:tcW w:w="563" w:type="pct"/>
            <w:vMerge w:val="continue"/>
            <w:vAlign w:val="center"/>
          </w:tcPr>
          <w:p w14:paraId="165E4054">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38D68F9D">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4C9D6D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134A711B">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29E1DCC5">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CO</w:t>
            </w:r>
            <w:r>
              <w:rPr>
                <w:rFonts w:ascii="Times New Roman" w:hAnsi="Times New Roman" w:cs="Times New Roman" w:eastAsiaTheme="minorEastAsia"/>
                <w:bCs/>
                <w:color w:val="auto"/>
                <w:w w:val="99"/>
                <w:kern w:val="2"/>
                <w:sz w:val="21"/>
                <w:szCs w:val="21"/>
                <w:highlight w:val="none"/>
                <w:vertAlign w:val="subscript"/>
              </w:rPr>
              <w:t>3</w:t>
            </w:r>
            <w:r>
              <w:rPr>
                <w:rFonts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58DF41BD">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0.000</w:t>
            </w:r>
          </w:p>
        </w:tc>
        <w:tc>
          <w:tcPr>
            <w:tcW w:w="798" w:type="pct"/>
            <w:vAlign w:val="center"/>
          </w:tcPr>
          <w:p w14:paraId="07E9D724">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0.000</w:t>
            </w:r>
          </w:p>
        </w:tc>
        <w:tc>
          <w:tcPr>
            <w:tcW w:w="877" w:type="pct"/>
            <w:vMerge w:val="continue"/>
            <w:vAlign w:val="center"/>
          </w:tcPr>
          <w:p w14:paraId="30EF2DA3">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62B68A79">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0FEB3002">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24041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E79117A">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15A051DC">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Cl</w:t>
            </w:r>
            <w:r>
              <w:rPr>
                <w:rFonts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427124E9">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1.386</w:t>
            </w:r>
          </w:p>
        </w:tc>
        <w:tc>
          <w:tcPr>
            <w:tcW w:w="798" w:type="pct"/>
            <w:vAlign w:val="center"/>
          </w:tcPr>
          <w:p w14:paraId="09A1DD22">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24.489</w:t>
            </w:r>
          </w:p>
        </w:tc>
        <w:tc>
          <w:tcPr>
            <w:tcW w:w="877" w:type="pct"/>
            <w:vMerge w:val="continue"/>
            <w:vAlign w:val="center"/>
          </w:tcPr>
          <w:p w14:paraId="21AD16B4">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084CB775">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0226C299">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71F15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C38A401">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33F88CEF">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SO</w:t>
            </w:r>
            <w:r>
              <w:rPr>
                <w:rFonts w:ascii="Times New Roman" w:hAnsi="Times New Roman" w:cs="Times New Roman" w:eastAsiaTheme="minorEastAsia"/>
                <w:bCs/>
                <w:color w:val="auto"/>
                <w:w w:val="99"/>
                <w:kern w:val="2"/>
                <w:sz w:val="21"/>
                <w:szCs w:val="21"/>
                <w:highlight w:val="none"/>
                <w:vertAlign w:val="subscript"/>
              </w:rPr>
              <w:t>4</w:t>
            </w:r>
            <w:r>
              <w:rPr>
                <w:rFonts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61438D1B">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0.765</w:t>
            </w:r>
          </w:p>
        </w:tc>
        <w:tc>
          <w:tcPr>
            <w:tcW w:w="798" w:type="pct"/>
            <w:vAlign w:val="center"/>
          </w:tcPr>
          <w:p w14:paraId="77892E4E">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13.512</w:t>
            </w:r>
          </w:p>
        </w:tc>
        <w:tc>
          <w:tcPr>
            <w:tcW w:w="877" w:type="pct"/>
            <w:vMerge w:val="continue"/>
            <w:vAlign w:val="center"/>
          </w:tcPr>
          <w:p w14:paraId="64C25CF2">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0F749E70">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07EEDF18">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099BA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vAlign w:val="center"/>
          </w:tcPr>
          <w:p w14:paraId="3405F72F">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color w:val="auto"/>
                <w:w w:val="99"/>
                <w:sz w:val="21"/>
                <w:szCs w:val="21"/>
                <w:highlight w:val="none"/>
                <w:lang w:bidi="ar"/>
              </w:rPr>
              <w:t>王家围子屯王家潜水井</w:t>
            </w:r>
          </w:p>
        </w:tc>
        <w:tc>
          <w:tcPr>
            <w:tcW w:w="665" w:type="pct"/>
            <w:vAlign w:val="center"/>
          </w:tcPr>
          <w:p w14:paraId="63E8A78E">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K</w:t>
            </w:r>
            <w:r>
              <w:rPr>
                <w:rFonts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6F70D87C">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0.064</w:t>
            </w:r>
          </w:p>
        </w:tc>
        <w:tc>
          <w:tcPr>
            <w:tcW w:w="798" w:type="pct"/>
            <w:vAlign w:val="center"/>
          </w:tcPr>
          <w:p w14:paraId="572E0E72">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1.022</w:t>
            </w:r>
          </w:p>
        </w:tc>
        <w:tc>
          <w:tcPr>
            <w:tcW w:w="877" w:type="pct"/>
            <w:vMerge w:val="restart"/>
            <w:vAlign w:val="center"/>
          </w:tcPr>
          <w:p w14:paraId="1CED1FEE">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6.275</w:t>
            </w:r>
          </w:p>
        </w:tc>
        <w:tc>
          <w:tcPr>
            <w:tcW w:w="563" w:type="pct"/>
            <w:vMerge w:val="restart"/>
            <w:vAlign w:val="center"/>
          </w:tcPr>
          <w:p w14:paraId="4FEEB23F">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1.29</w:t>
            </w:r>
          </w:p>
        </w:tc>
        <w:tc>
          <w:tcPr>
            <w:tcW w:w="463" w:type="pct"/>
            <w:vMerge w:val="restart"/>
            <w:vAlign w:val="center"/>
          </w:tcPr>
          <w:p w14:paraId="1338EAFD">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0.47</w:t>
            </w:r>
          </w:p>
        </w:tc>
      </w:tr>
      <w:tr w14:paraId="2CBD45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333E3F21">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760898DF">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Na</w:t>
            </w:r>
            <w:r>
              <w:rPr>
                <w:rFonts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42DD9295">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2.704</w:t>
            </w:r>
          </w:p>
        </w:tc>
        <w:tc>
          <w:tcPr>
            <w:tcW w:w="798" w:type="pct"/>
            <w:vAlign w:val="center"/>
          </w:tcPr>
          <w:p w14:paraId="494D2370">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43.096</w:t>
            </w:r>
          </w:p>
        </w:tc>
        <w:tc>
          <w:tcPr>
            <w:tcW w:w="877" w:type="pct"/>
            <w:vMerge w:val="continue"/>
            <w:vAlign w:val="center"/>
          </w:tcPr>
          <w:p w14:paraId="2F555A34">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7872408C">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52233BE3">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1DA58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41508F9">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660628EC">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Ca</w:t>
            </w:r>
            <w:r>
              <w:rPr>
                <w:rFonts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155CD84D">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2.615</w:t>
            </w:r>
          </w:p>
        </w:tc>
        <w:tc>
          <w:tcPr>
            <w:tcW w:w="798" w:type="pct"/>
            <w:vAlign w:val="center"/>
          </w:tcPr>
          <w:p w14:paraId="25E2D166">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41.673</w:t>
            </w:r>
          </w:p>
        </w:tc>
        <w:tc>
          <w:tcPr>
            <w:tcW w:w="877" w:type="pct"/>
            <w:vMerge w:val="continue"/>
            <w:vAlign w:val="center"/>
          </w:tcPr>
          <w:p w14:paraId="0987FE37">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41303462">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71567A7A">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3EB1FD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1A7E092">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505F2A16">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Mg</w:t>
            </w:r>
            <w:r>
              <w:rPr>
                <w:rFonts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6DDE814E">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0.892</w:t>
            </w:r>
          </w:p>
        </w:tc>
        <w:tc>
          <w:tcPr>
            <w:tcW w:w="798" w:type="pct"/>
            <w:vAlign w:val="center"/>
          </w:tcPr>
          <w:p w14:paraId="0C137C15">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14.210</w:t>
            </w:r>
          </w:p>
        </w:tc>
        <w:tc>
          <w:tcPr>
            <w:tcW w:w="877" w:type="pct"/>
            <w:vMerge w:val="continue"/>
            <w:vAlign w:val="center"/>
          </w:tcPr>
          <w:p w14:paraId="628BF716">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2E92EF72">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55F8A3D5">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7FE07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D621F4D">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48579C8C">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HCO</w:t>
            </w:r>
            <w:r>
              <w:rPr>
                <w:rFonts w:ascii="Times New Roman" w:hAnsi="Times New Roman" w:cs="Times New Roman" w:eastAsiaTheme="minorEastAsia"/>
                <w:bCs/>
                <w:color w:val="auto"/>
                <w:w w:val="99"/>
                <w:kern w:val="2"/>
                <w:sz w:val="21"/>
                <w:szCs w:val="21"/>
                <w:highlight w:val="none"/>
                <w:vertAlign w:val="subscript"/>
              </w:rPr>
              <w:t>3</w:t>
            </w:r>
            <w:r>
              <w:rPr>
                <w:rFonts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641D7CF3">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4.016</w:t>
            </w:r>
          </w:p>
        </w:tc>
        <w:tc>
          <w:tcPr>
            <w:tcW w:w="798" w:type="pct"/>
            <w:vAlign w:val="center"/>
          </w:tcPr>
          <w:p w14:paraId="5A4F6B2A">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62.377</w:t>
            </w:r>
          </w:p>
        </w:tc>
        <w:tc>
          <w:tcPr>
            <w:tcW w:w="877" w:type="pct"/>
            <w:vMerge w:val="restart"/>
            <w:vAlign w:val="center"/>
          </w:tcPr>
          <w:p w14:paraId="33CF11E2">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6.439</w:t>
            </w:r>
          </w:p>
        </w:tc>
        <w:tc>
          <w:tcPr>
            <w:tcW w:w="563" w:type="pct"/>
            <w:vMerge w:val="continue"/>
            <w:vAlign w:val="center"/>
          </w:tcPr>
          <w:p w14:paraId="29EDECF6">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27A85563">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64BCA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2378200">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06833303">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CO</w:t>
            </w:r>
            <w:r>
              <w:rPr>
                <w:rFonts w:ascii="Times New Roman" w:hAnsi="Times New Roman" w:cs="Times New Roman" w:eastAsiaTheme="minorEastAsia"/>
                <w:bCs/>
                <w:color w:val="auto"/>
                <w:w w:val="99"/>
                <w:kern w:val="2"/>
                <w:sz w:val="21"/>
                <w:szCs w:val="21"/>
                <w:highlight w:val="none"/>
                <w:vertAlign w:val="subscript"/>
              </w:rPr>
              <w:t>3</w:t>
            </w:r>
            <w:r>
              <w:rPr>
                <w:rFonts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7248BAFA">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0.000</w:t>
            </w:r>
          </w:p>
        </w:tc>
        <w:tc>
          <w:tcPr>
            <w:tcW w:w="798" w:type="pct"/>
            <w:vAlign w:val="center"/>
          </w:tcPr>
          <w:p w14:paraId="6B39EE32">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0.000</w:t>
            </w:r>
          </w:p>
        </w:tc>
        <w:tc>
          <w:tcPr>
            <w:tcW w:w="877" w:type="pct"/>
            <w:vMerge w:val="continue"/>
            <w:vAlign w:val="center"/>
          </w:tcPr>
          <w:p w14:paraId="2873EB3A">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0213DBAD">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4EDF39E3">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017F8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33B665A1">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7765A51B">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Cl</w:t>
            </w:r>
            <w:r>
              <w:rPr>
                <w:rFonts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117BF1ED">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1.460</w:t>
            </w:r>
          </w:p>
        </w:tc>
        <w:tc>
          <w:tcPr>
            <w:tcW w:w="798" w:type="pct"/>
            <w:vAlign w:val="center"/>
          </w:tcPr>
          <w:p w14:paraId="5AFCC0FA">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22.675</w:t>
            </w:r>
          </w:p>
        </w:tc>
        <w:tc>
          <w:tcPr>
            <w:tcW w:w="877" w:type="pct"/>
            <w:vMerge w:val="continue"/>
            <w:vAlign w:val="center"/>
          </w:tcPr>
          <w:p w14:paraId="2D841349">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3EE4908A">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6189E0BD">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289A6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15775997">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1EB4A331">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SO</w:t>
            </w:r>
            <w:r>
              <w:rPr>
                <w:rFonts w:ascii="Times New Roman" w:hAnsi="Times New Roman" w:cs="Times New Roman" w:eastAsiaTheme="minorEastAsia"/>
                <w:bCs/>
                <w:color w:val="auto"/>
                <w:w w:val="99"/>
                <w:kern w:val="2"/>
                <w:sz w:val="21"/>
                <w:szCs w:val="21"/>
                <w:highlight w:val="none"/>
                <w:vertAlign w:val="subscript"/>
              </w:rPr>
              <w:t>4</w:t>
            </w:r>
            <w:r>
              <w:rPr>
                <w:rFonts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12E549A9">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0.963</w:t>
            </w:r>
          </w:p>
        </w:tc>
        <w:tc>
          <w:tcPr>
            <w:tcW w:w="798" w:type="pct"/>
            <w:vAlign w:val="center"/>
          </w:tcPr>
          <w:p w14:paraId="014792BB">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14.948</w:t>
            </w:r>
          </w:p>
        </w:tc>
        <w:tc>
          <w:tcPr>
            <w:tcW w:w="877" w:type="pct"/>
            <w:vMerge w:val="continue"/>
            <w:vAlign w:val="center"/>
          </w:tcPr>
          <w:p w14:paraId="31D4BFDA">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49D0DAF6">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6C6CE502">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41D54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vAlign w:val="center"/>
          </w:tcPr>
          <w:p w14:paraId="47A79EC2">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color w:val="auto"/>
                <w:w w:val="99"/>
                <w:sz w:val="21"/>
                <w:szCs w:val="21"/>
                <w:highlight w:val="none"/>
                <w:lang w:bidi="ar"/>
              </w:rPr>
              <w:t>杨</w:t>
            </w:r>
            <w:r>
              <w:rPr>
                <w:rFonts w:hint="eastAsia" w:ascii="Times New Roman" w:hAnsi="Times New Roman" w:cs="Times New Roman"/>
                <w:color w:val="auto"/>
                <w:w w:val="99"/>
                <w:sz w:val="21"/>
                <w:szCs w:val="21"/>
                <w:highlight w:val="none"/>
                <w:lang w:bidi="ar"/>
              </w:rPr>
              <w:t>家</w:t>
            </w:r>
            <w:r>
              <w:rPr>
                <w:rFonts w:ascii="Times New Roman" w:hAnsi="Times New Roman" w:cs="Times New Roman"/>
                <w:color w:val="auto"/>
                <w:w w:val="99"/>
                <w:sz w:val="21"/>
                <w:szCs w:val="21"/>
                <w:highlight w:val="none"/>
                <w:lang w:bidi="ar"/>
              </w:rPr>
              <w:t>屯陈家潜水井</w:t>
            </w:r>
          </w:p>
        </w:tc>
        <w:tc>
          <w:tcPr>
            <w:tcW w:w="665" w:type="pct"/>
            <w:vAlign w:val="center"/>
          </w:tcPr>
          <w:p w14:paraId="04826607">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K</w:t>
            </w:r>
            <w:r>
              <w:rPr>
                <w:rFonts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1990BD16">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0.049</w:t>
            </w:r>
          </w:p>
        </w:tc>
        <w:tc>
          <w:tcPr>
            <w:tcW w:w="798" w:type="pct"/>
            <w:vAlign w:val="center"/>
          </w:tcPr>
          <w:p w14:paraId="60B2C4B7">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0.836</w:t>
            </w:r>
          </w:p>
        </w:tc>
        <w:tc>
          <w:tcPr>
            <w:tcW w:w="877" w:type="pct"/>
            <w:vMerge w:val="restart"/>
            <w:vAlign w:val="center"/>
          </w:tcPr>
          <w:p w14:paraId="45318482">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5.829</w:t>
            </w:r>
          </w:p>
        </w:tc>
        <w:tc>
          <w:tcPr>
            <w:tcW w:w="563" w:type="pct"/>
            <w:vMerge w:val="restart"/>
            <w:vAlign w:val="center"/>
          </w:tcPr>
          <w:p w14:paraId="17B55BE0">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-1.02</w:t>
            </w:r>
          </w:p>
        </w:tc>
        <w:tc>
          <w:tcPr>
            <w:tcW w:w="463" w:type="pct"/>
            <w:vMerge w:val="restart"/>
            <w:vAlign w:val="center"/>
          </w:tcPr>
          <w:p w14:paraId="23926264">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0.42</w:t>
            </w:r>
          </w:p>
        </w:tc>
      </w:tr>
      <w:tr w14:paraId="11101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2EA293D4">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2E0DF632">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Na</w:t>
            </w:r>
            <w:r>
              <w:rPr>
                <w:rFonts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68AAAF42">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2.557</w:t>
            </w:r>
          </w:p>
        </w:tc>
        <w:tc>
          <w:tcPr>
            <w:tcW w:w="798" w:type="pct"/>
            <w:vAlign w:val="center"/>
          </w:tcPr>
          <w:p w14:paraId="771261AC">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43.862</w:t>
            </w:r>
          </w:p>
        </w:tc>
        <w:tc>
          <w:tcPr>
            <w:tcW w:w="877" w:type="pct"/>
            <w:vMerge w:val="continue"/>
            <w:vAlign w:val="center"/>
          </w:tcPr>
          <w:p w14:paraId="1739F681">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25B25F73">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4704752D">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0827DC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30E560A5">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6AB976C6">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Ca</w:t>
            </w:r>
            <w:r>
              <w:rPr>
                <w:rFonts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680E8C27">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2.415</w:t>
            </w:r>
          </w:p>
        </w:tc>
        <w:tc>
          <w:tcPr>
            <w:tcW w:w="798" w:type="pct"/>
            <w:vAlign w:val="center"/>
          </w:tcPr>
          <w:p w14:paraId="1123A889">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41.434</w:t>
            </w:r>
          </w:p>
        </w:tc>
        <w:tc>
          <w:tcPr>
            <w:tcW w:w="877" w:type="pct"/>
            <w:vMerge w:val="continue"/>
            <w:vAlign w:val="center"/>
          </w:tcPr>
          <w:p w14:paraId="2005469F">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0572F3BE">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25FD796C">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2AA08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C5469BC">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4D693D1E">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Mg</w:t>
            </w:r>
            <w:r>
              <w:rPr>
                <w:rFonts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595A906C">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0.808</w:t>
            </w:r>
          </w:p>
        </w:tc>
        <w:tc>
          <w:tcPr>
            <w:tcW w:w="798" w:type="pct"/>
            <w:vAlign w:val="center"/>
          </w:tcPr>
          <w:p w14:paraId="026367FD">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13.868</w:t>
            </w:r>
          </w:p>
        </w:tc>
        <w:tc>
          <w:tcPr>
            <w:tcW w:w="877" w:type="pct"/>
            <w:vMerge w:val="continue"/>
            <w:vAlign w:val="center"/>
          </w:tcPr>
          <w:p w14:paraId="3A9905D7">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1B81D40A">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5EB04053">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7D175E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C985E68">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2C6AB817">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HCO</w:t>
            </w:r>
            <w:r>
              <w:rPr>
                <w:rFonts w:ascii="Times New Roman" w:hAnsi="Times New Roman" w:cs="Times New Roman" w:eastAsiaTheme="minorEastAsia"/>
                <w:bCs/>
                <w:color w:val="auto"/>
                <w:w w:val="99"/>
                <w:kern w:val="2"/>
                <w:sz w:val="21"/>
                <w:szCs w:val="21"/>
                <w:highlight w:val="none"/>
                <w:vertAlign w:val="subscript"/>
              </w:rPr>
              <w:t>3</w:t>
            </w:r>
            <w:r>
              <w:rPr>
                <w:rFonts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15250B06">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3.623</w:t>
            </w:r>
          </w:p>
        </w:tc>
        <w:tc>
          <w:tcPr>
            <w:tcW w:w="798" w:type="pct"/>
            <w:vAlign w:val="center"/>
          </w:tcPr>
          <w:p w14:paraId="49248F4A">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63.437</w:t>
            </w:r>
          </w:p>
        </w:tc>
        <w:tc>
          <w:tcPr>
            <w:tcW w:w="877" w:type="pct"/>
            <w:vMerge w:val="restart"/>
            <w:vAlign w:val="center"/>
          </w:tcPr>
          <w:p w14:paraId="1A99E6DF">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5.711</w:t>
            </w:r>
          </w:p>
        </w:tc>
        <w:tc>
          <w:tcPr>
            <w:tcW w:w="563" w:type="pct"/>
            <w:vMerge w:val="continue"/>
            <w:vAlign w:val="center"/>
          </w:tcPr>
          <w:p w14:paraId="1D3ABC73">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715C4D88">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7F93D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499FD62">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229A5D2A">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CO</w:t>
            </w:r>
            <w:r>
              <w:rPr>
                <w:rFonts w:ascii="Times New Roman" w:hAnsi="Times New Roman" w:cs="Times New Roman" w:eastAsiaTheme="minorEastAsia"/>
                <w:bCs/>
                <w:color w:val="auto"/>
                <w:w w:val="99"/>
                <w:kern w:val="2"/>
                <w:sz w:val="21"/>
                <w:szCs w:val="21"/>
                <w:highlight w:val="none"/>
                <w:vertAlign w:val="subscript"/>
              </w:rPr>
              <w:t>3</w:t>
            </w:r>
            <w:r>
              <w:rPr>
                <w:rFonts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16F4CF74">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0.000</w:t>
            </w:r>
          </w:p>
        </w:tc>
        <w:tc>
          <w:tcPr>
            <w:tcW w:w="798" w:type="pct"/>
            <w:vAlign w:val="center"/>
          </w:tcPr>
          <w:p w14:paraId="48C75BA6">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0.000</w:t>
            </w:r>
          </w:p>
        </w:tc>
        <w:tc>
          <w:tcPr>
            <w:tcW w:w="877" w:type="pct"/>
            <w:vMerge w:val="continue"/>
            <w:vAlign w:val="center"/>
          </w:tcPr>
          <w:p w14:paraId="2313C639">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48A84728">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7ABEAA2F">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06D27E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6089996">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72F906DA">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Cl</w:t>
            </w:r>
            <w:r>
              <w:rPr>
                <w:rFonts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5688C098">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1.349</w:t>
            </w:r>
          </w:p>
        </w:tc>
        <w:tc>
          <w:tcPr>
            <w:tcW w:w="798" w:type="pct"/>
            <w:vAlign w:val="center"/>
          </w:tcPr>
          <w:p w14:paraId="57517A88">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23.613</w:t>
            </w:r>
          </w:p>
        </w:tc>
        <w:tc>
          <w:tcPr>
            <w:tcW w:w="877" w:type="pct"/>
            <w:vMerge w:val="continue"/>
            <w:vAlign w:val="center"/>
          </w:tcPr>
          <w:p w14:paraId="6BD6A226">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2417777B">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334F5DE9">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424826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544319F9">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2D48376E">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SO</w:t>
            </w:r>
            <w:r>
              <w:rPr>
                <w:rFonts w:ascii="Times New Roman" w:hAnsi="Times New Roman" w:cs="Times New Roman" w:eastAsiaTheme="minorEastAsia"/>
                <w:bCs/>
                <w:color w:val="auto"/>
                <w:w w:val="99"/>
                <w:kern w:val="2"/>
                <w:sz w:val="21"/>
                <w:szCs w:val="21"/>
                <w:highlight w:val="none"/>
                <w:vertAlign w:val="subscript"/>
              </w:rPr>
              <w:t>4</w:t>
            </w:r>
            <w:r>
              <w:rPr>
                <w:rFonts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468345DC">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0.740</w:t>
            </w:r>
          </w:p>
        </w:tc>
        <w:tc>
          <w:tcPr>
            <w:tcW w:w="798" w:type="pct"/>
            <w:vAlign w:val="center"/>
          </w:tcPr>
          <w:p w14:paraId="351BED07">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12.950</w:t>
            </w:r>
          </w:p>
        </w:tc>
        <w:tc>
          <w:tcPr>
            <w:tcW w:w="877" w:type="pct"/>
            <w:vMerge w:val="continue"/>
            <w:vAlign w:val="center"/>
          </w:tcPr>
          <w:p w14:paraId="0B60F2CC">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214F3A01">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7770ED2F">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74CF3C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vAlign w:val="center"/>
          </w:tcPr>
          <w:p w14:paraId="64F7E5B6">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color w:val="auto"/>
                <w:w w:val="99"/>
                <w:sz w:val="21"/>
                <w:szCs w:val="21"/>
                <w:highlight w:val="none"/>
              </w:rPr>
              <w:t>于洼子屯陈家潜水水井</w:t>
            </w:r>
          </w:p>
        </w:tc>
        <w:tc>
          <w:tcPr>
            <w:tcW w:w="665" w:type="pct"/>
            <w:vAlign w:val="center"/>
          </w:tcPr>
          <w:p w14:paraId="15347274">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K</w:t>
            </w:r>
            <w:r>
              <w:rPr>
                <w:rFonts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18177EDF">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0.063 </w:t>
            </w:r>
          </w:p>
        </w:tc>
        <w:tc>
          <w:tcPr>
            <w:tcW w:w="798" w:type="pct"/>
            <w:vAlign w:val="center"/>
          </w:tcPr>
          <w:p w14:paraId="586AE35D">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1.133 </w:t>
            </w:r>
          </w:p>
        </w:tc>
        <w:tc>
          <w:tcPr>
            <w:tcW w:w="877" w:type="pct"/>
            <w:vMerge w:val="restart"/>
            <w:vAlign w:val="center"/>
          </w:tcPr>
          <w:p w14:paraId="17A14306">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5.589 </w:t>
            </w:r>
          </w:p>
          <w:p w14:paraId="209507A9">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restart"/>
            <w:vAlign w:val="center"/>
          </w:tcPr>
          <w:p w14:paraId="1053A701">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1.87</w:t>
            </w:r>
          </w:p>
          <w:p w14:paraId="743A8536">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restart"/>
            <w:vAlign w:val="center"/>
          </w:tcPr>
          <w:p w14:paraId="04155D22">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0.43</w:t>
            </w:r>
          </w:p>
          <w:p w14:paraId="42A2A636">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4ECDC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D57E1F6">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3F8472DC">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Na</w:t>
            </w:r>
            <w:r>
              <w:rPr>
                <w:rFonts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57372941">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2.448 </w:t>
            </w:r>
          </w:p>
        </w:tc>
        <w:tc>
          <w:tcPr>
            <w:tcW w:w="798" w:type="pct"/>
            <w:vAlign w:val="center"/>
          </w:tcPr>
          <w:p w14:paraId="7A367974">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43.793 </w:t>
            </w:r>
          </w:p>
        </w:tc>
        <w:tc>
          <w:tcPr>
            <w:tcW w:w="877" w:type="pct"/>
            <w:vMerge w:val="continue"/>
            <w:vAlign w:val="center"/>
          </w:tcPr>
          <w:p w14:paraId="16DE44FD">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68095C79">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4A2D817F">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222E1A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6A8888B">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4A8B1822">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Ca</w:t>
            </w:r>
            <w:r>
              <w:rPr>
                <w:rFonts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5529AFCF">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2.335 </w:t>
            </w:r>
          </w:p>
        </w:tc>
        <w:tc>
          <w:tcPr>
            <w:tcW w:w="798" w:type="pct"/>
            <w:vAlign w:val="center"/>
          </w:tcPr>
          <w:p w14:paraId="3B4A81C6">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41.775 </w:t>
            </w:r>
          </w:p>
        </w:tc>
        <w:tc>
          <w:tcPr>
            <w:tcW w:w="877" w:type="pct"/>
            <w:vMerge w:val="continue"/>
            <w:vAlign w:val="center"/>
          </w:tcPr>
          <w:p w14:paraId="34616026">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16B255C4">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52911060">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2E658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5DB5C29D">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20F7EBA9">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Mg</w:t>
            </w:r>
            <w:r>
              <w:rPr>
                <w:rFonts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62187813">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0.743 </w:t>
            </w:r>
          </w:p>
        </w:tc>
        <w:tc>
          <w:tcPr>
            <w:tcW w:w="798" w:type="pct"/>
            <w:vAlign w:val="center"/>
          </w:tcPr>
          <w:p w14:paraId="5FC36E41">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13.299 </w:t>
            </w:r>
          </w:p>
        </w:tc>
        <w:tc>
          <w:tcPr>
            <w:tcW w:w="877" w:type="pct"/>
            <w:vMerge w:val="continue"/>
            <w:vAlign w:val="center"/>
          </w:tcPr>
          <w:p w14:paraId="6769AF65">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5C7A923A">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6548A16C">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58989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887908F">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53C17E03">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HCO</w:t>
            </w:r>
            <w:r>
              <w:rPr>
                <w:rFonts w:ascii="Times New Roman" w:hAnsi="Times New Roman" w:cs="Times New Roman" w:eastAsiaTheme="minorEastAsia"/>
                <w:bCs/>
                <w:color w:val="auto"/>
                <w:w w:val="99"/>
                <w:kern w:val="2"/>
                <w:sz w:val="21"/>
                <w:szCs w:val="21"/>
                <w:highlight w:val="none"/>
                <w:vertAlign w:val="subscript"/>
              </w:rPr>
              <w:t>3</w:t>
            </w:r>
            <w:r>
              <w:rPr>
                <w:rFonts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410C1E8B">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3.803 </w:t>
            </w:r>
          </w:p>
        </w:tc>
        <w:tc>
          <w:tcPr>
            <w:tcW w:w="798" w:type="pct"/>
            <w:vAlign w:val="center"/>
          </w:tcPr>
          <w:p w14:paraId="08FC9217">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65.543 </w:t>
            </w:r>
          </w:p>
        </w:tc>
        <w:tc>
          <w:tcPr>
            <w:tcW w:w="877" w:type="pct"/>
            <w:vMerge w:val="restart"/>
            <w:vAlign w:val="center"/>
          </w:tcPr>
          <w:p w14:paraId="5C7D3CCB">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5.803 </w:t>
            </w:r>
          </w:p>
          <w:p w14:paraId="4B9219AD">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3EEFEB32">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151EC5D8">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5E5DF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142E002">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2D989EC5">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CO</w:t>
            </w:r>
            <w:r>
              <w:rPr>
                <w:rFonts w:ascii="Times New Roman" w:hAnsi="Times New Roman" w:cs="Times New Roman" w:eastAsiaTheme="minorEastAsia"/>
                <w:bCs/>
                <w:color w:val="auto"/>
                <w:w w:val="99"/>
                <w:kern w:val="2"/>
                <w:sz w:val="21"/>
                <w:szCs w:val="21"/>
                <w:highlight w:val="none"/>
                <w:vertAlign w:val="subscript"/>
              </w:rPr>
              <w:t>3</w:t>
            </w:r>
            <w:r>
              <w:rPr>
                <w:rFonts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530FB0B9">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0.000 </w:t>
            </w:r>
          </w:p>
        </w:tc>
        <w:tc>
          <w:tcPr>
            <w:tcW w:w="798" w:type="pct"/>
            <w:vAlign w:val="center"/>
          </w:tcPr>
          <w:p w14:paraId="1BFB9C26">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0.000 </w:t>
            </w:r>
          </w:p>
        </w:tc>
        <w:tc>
          <w:tcPr>
            <w:tcW w:w="877" w:type="pct"/>
            <w:vMerge w:val="continue"/>
            <w:vAlign w:val="center"/>
          </w:tcPr>
          <w:p w14:paraId="1EA229B6">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4E26DEAB">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44391EC3">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533F5F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556AA4C5">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77400828">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Cl</w:t>
            </w:r>
            <w:r>
              <w:rPr>
                <w:rFonts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6E85EAA1">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1.229 </w:t>
            </w:r>
          </w:p>
        </w:tc>
        <w:tc>
          <w:tcPr>
            <w:tcW w:w="798" w:type="pct"/>
            <w:vAlign w:val="center"/>
          </w:tcPr>
          <w:p w14:paraId="22870552">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21.172 </w:t>
            </w:r>
          </w:p>
        </w:tc>
        <w:tc>
          <w:tcPr>
            <w:tcW w:w="877" w:type="pct"/>
            <w:vMerge w:val="continue"/>
            <w:vAlign w:val="center"/>
          </w:tcPr>
          <w:p w14:paraId="30E3E4BF">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31CB3194">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5B39CB76">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12C0B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14972EA">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39CA41E4">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SO</w:t>
            </w:r>
            <w:r>
              <w:rPr>
                <w:rFonts w:ascii="Times New Roman" w:hAnsi="Times New Roman" w:cs="Times New Roman" w:eastAsiaTheme="minorEastAsia"/>
                <w:bCs/>
                <w:color w:val="auto"/>
                <w:w w:val="99"/>
                <w:kern w:val="2"/>
                <w:sz w:val="21"/>
                <w:szCs w:val="21"/>
                <w:highlight w:val="none"/>
                <w:vertAlign w:val="subscript"/>
              </w:rPr>
              <w:t>4</w:t>
            </w:r>
            <w:r>
              <w:rPr>
                <w:rFonts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1F4E9B3A">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0.771 </w:t>
            </w:r>
          </w:p>
        </w:tc>
        <w:tc>
          <w:tcPr>
            <w:tcW w:w="798" w:type="pct"/>
            <w:vAlign w:val="center"/>
          </w:tcPr>
          <w:p w14:paraId="25A5B9EB">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13.284 </w:t>
            </w:r>
          </w:p>
        </w:tc>
        <w:tc>
          <w:tcPr>
            <w:tcW w:w="877" w:type="pct"/>
            <w:vMerge w:val="continue"/>
            <w:vAlign w:val="center"/>
          </w:tcPr>
          <w:p w14:paraId="61DA2889">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09520A81">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2B69BE92">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2ABEF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vAlign w:val="center"/>
          </w:tcPr>
          <w:p w14:paraId="06BA34AA">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color w:val="auto"/>
                <w:w w:val="99"/>
                <w:sz w:val="21"/>
                <w:szCs w:val="21"/>
                <w:highlight w:val="none"/>
              </w:rPr>
              <w:t>东双山屯孙家潜水水井</w:t>
            </w:r>
          </w:p>
        </w:tc>
        <w:tc>
          <w:tcPr>
            <w:tcW w:w="665" w:type="pct"/>
            <w:vAlign w:val="center"/>
          </w:tcPr>
          <w:p w14:paraId="30831E0C">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K</w:t>
            </w:r>
            <w:r>
              <w:rPr>
                <w:rFonts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3124865B">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0.044 </w:t>
            </w:r>
          </w:p>
        </w:tc>
        <w:tc>
          <w:tcPr>
            <w:tcW w:w="798" w:type="pct"/>
            <w:vAlign w:val="center"/>
          </w:tcPr>
          <w:p w14:paraId="61431C49">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0.709 </w:t>
            </w:r>
          </w:p>
        </w:tc>
        <w:tc>
          <w:tcPr>
            <w:tcW w:w="877" w:type="pct"/>
            <w:vMerge w:val="restart"/>
            <w:vAlign w:val="center"/>
          </w:tcPr>
          <w:p w14:paraId="66A10471">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6.180 </w:t>
            </w:r>
          </w:p>
          <w:p w14:paraId="4A3460C8">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restart"/>
            <w:vAlign w:val="center"/>
          </w:tcPr>
          <w:p w14:paraId="5671AA8D">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2.00</w:t>
            </w:r>
          </w:p>
          <w:p w14:paraId="61A8D184">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restart"/>
            <w:vAlign w:val="center"/>
          </w:tcPr>
          <w:p w14:paraId="247A9D2E">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0.47</w:t>
            </w:r>
          </w:p>
          <w:p w14:paraId="0EECBA97">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43846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AADC47E">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77581646">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Na</w:t>
            </w:r>
            <w:r>
              <w:rPr>
                <w:rFonts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095B690E">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2.670 </w:t>
            </w:r>
          </w:p>
        </w:tc>
        <w:tc>
          <w:tcPr>
            <w:tcW w:w="798" w:type="pct"/>
            <w:vAlign w:val="center"/>
          </w:tcPr>
          <w:p w14:paraId="12D9E7AD">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43.196 </w:t>
            </w:r>
          </w:p>
        </w:tc>
        <w:tc>
          <w:tcPr>
            <w:tcW w:w="877" w:type="pct"/>
            <w:vMerge w:val="continue"/>
            <w:vAlign w:val="center"/>
          </w:tcPr>
          <w:p w14:paraId="4C99840E">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386BED5F">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1F7E18A6">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200FD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9ABD7AB">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607D8AEB">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Ca</w:t>
            </w:r>
            <w:r>
              <w:rPr>
                <w:rFonts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4B47445E">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2.625 </w:t>
            </w:r>
          </w:p>
        </w:tc>
        <w:tc>
          <w:tcPr>
            <w:tcW w:w="798" w:type="pct"/>
            <w:vAlign w:val="center"/>
          </w:tcPr>
          <w:p w14:paraId="0816B2AD">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42.475 </w:t>
            </w:r>
          </w:p>
        </w:tc>
        <w:tc>
          <w:tcPr>
            <w:tcW w:w="877" w:type="pct"/>
            <w:vMerge w:val="continue"/>
            <w:vAlign w:val="center"/>
          </w:tcPr>
          <w:p w14:paraId="69D1593B">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1F592A17">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3AB07F49">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201E3A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1C00CBE4">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659ABA39">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Mg</w:t>
            </w:r>
            <w:r>
              <w:rPr>
                <w:rFonts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7BE71916">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0.842 </w:t>
            </w:r>
          </w:p>
        </w:tc>
        <w:tc>
          <w:tcPr>
            <w:tcW w:w="798" w:type="pct"/>
            <w:vAlign w:val="center"/>
          </w:tcPr>
          <w:p w14:paraId="6BBA4EE9">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13.619 </w:t>
            </w:r>
          </w:p>
        </w:tc>
        <w:tc>
          <w:tcPr>
            <w:tcW w:w="877" w:type="pct"/>
            <w:vMerge w:val="continue"/>
            <w:vAlign w:val="center"/>
          </w:tcPr>
          <w:p w14:paraId="65722C77">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6820B9C1">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4A8309DD">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37288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2BA0AB2">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76391AB7">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HCO</w:t>
            </w:r>
            <w:r>
              <w:rPr>
                <w:rFonts w:ascii="Times New Roman" w:hAnsi="Times New Roman" w:cs="Times New Roman" w:eastAsiaTheme="minorEastAsia"/>
                <w:bCs/>
                <w:color w:val="auto"/>
                <w:w w:val="99"/>
                <w:kern w:val="2"/>
                <w:sz w:val="21"/>
                <w:szCs w:val="21"/>
                <w:highlight w:val="none"/>
                <w:vertAlign w:val="subscript"/>
              </w:rPr>
              <w:t>3</w:t>
            </w:r>
            <w:r>
              <w:rPr>
                <w:rFonts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07C2C656">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4.016 </w:t>
            </w:r>
          </w:p>
        </w:tc>
        <w:tc>
          <w:tcPr>
            <w:tcW w:w="798" w:type="pct"/>
            <w:vAlign w:val="center"/>
          </w:tcPr>
          <w:p w14:paraId="563F7B6D">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62.445 </w:t>
            </w:r>
          </w:p>
        </w:tc>
        <w:tc>
          <w:tcPr>
            <w:tcW w:w="877" w:type="pct"/>
            <w:vMerge w:val="restart"/>
            <w:vAlign w:val="center"/>
          </w:tcPr>
          <w:p w14:paraId="5C6EE88D">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6.432 </w:t>
            </w:r>
          </w:p>
          <w:p w14:paraId="25DC4EE7">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0FCBBA0E">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15AD5F2A">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659A3C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29676B10">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7F831608">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CO</w:t>
            </w:r>
            <w:r>
              <w:rPr>
                <w:rFonts w:ascii="Times New Roman" w:hAnsi="Times New Roman" w:cs="Times New Roman" w:eastAsiaTheme="minorEastAsia"/>
                <w:bCs/>
                <w:color w:val="auto"/>
                <w:w w:val="99"/>
                <w:kern w:val="2"/>
                <w:sz w:val="21"/>
                <w:szCs w:val="21"/>
                <w:highlight w:val="none"/>
                <w:vertAlign w:val="subscript"/>
              </w:rPr>
              <w:t>3</w:t>
            </w:r>
            <w:r>
              <w:rPr>
                <w:rFonts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62F12D36">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0.000 </w:t>
            </w:r>
          </w:p>
        </w:tc>
        <w:tc>
          <w:tcPr>
            <w:tcW w:w="798" w:type="pct"/>
            <w:vAlign w:val="center"/>
          </w:tcPr>
          <w:p w14:paraId="596057A4">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0.000 </w:t>
            </w:r>
          </w:p>
        </w:tc>
        <w:tc>
          <w:tcPr>
            <w:tcW w:w="877" w:type="pct"/>
            <w:vMerge w:val="continue"/>
            <w:vAlign w:val="center"/>
          </w:tcPr>
          <w:p w14:paraId="600F256A">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401B307F">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6E203B92">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3928A6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902CEED">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2BC958BA">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Cl</w:t>
            </w:r>
            <w:r>
              <w:rPr>
                <w:rFonts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665DB05C">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1.457 </w:t>
            </w:r>
          </w:p>
        </w:tc>
        <w:tc>
          <w:tcPr>
            <w:tcW w:w="798" w:type="pct"/>
            <w:vAlign w:val="center"/>
          </w:tcPr>
          <w:p w14:paraId="33439CA1">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22.655 </w:t>
            </w:r>
          </w:p>
        </w:tc>
        <w:tc>
          <w:tcPr>
            <w:tcW w:w="877" w:type="pct"/>
            <w:vMerge w:val="continue"/>
            <w:vAlign w:val="center"/>
          </w:tcPr>
          <w:p w14:paraId="43DC92D9">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7FFA57CF">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42079D41">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r w14:paraId="2CD9C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78C0935">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665" w:type="pct"/>
            <w:vAlign w:val="center"/>
          </w:tcPr>
          <w:p w14:paraId="024A16FE">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SO</w:t>
            </w:r>
            <w:r>
              <w:rPr>
                <w:rFonts w:ascii="Times New Roman" w:hAnsi="Times New Roman" w:cs="Times New Roman" w:eastAsiaTheme="minorEastAsia"/>
                <w:bCs/>
                <w:color w:val="auto"/>
                <w:w w:val="99"/>
                <w:kern w:val="2"/>
                <w:sz w:val="21"/>
                <w:szCs w:val="21"/>
                <w:highlight w:val="none"/>
                <w:vertAlign w:val="subscript"/>
              </w:rPr>
              <w:t>4</w:t>
            </w:r>
            <w:r>
              <w:rPr>
                <w:rFonts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6F60AE7D">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0.958 </w:t>
            </w:r>
          </w:p>
        </w:tc>
        <w:tc>
          <w:tcPr>
            <w:tcW w:w="798" w:type="pct"/>
            <w:vAlign w:val="center"/>
          </w:tcPr>
          <w:p w14:paraId="6B12F5A9">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14.900 </w:t>
            </w:r>
          </w:p>
        </w:tc>
        <w:tc>
          <w:tcPr>
            <w:tcW w:w="877" w:type="pct"/>
            <w:vMerge w:val="continue"/>
            <w:vAlign w:val="center"/>
          </w:tcPr>
          <w:p w14:paraId="516735BA">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7F84F89C">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2B4262EC">
            <w:pPr>
              <w:widowControl w:val="0"/>
              <w:spacing w:line="360" w:lineRule="exact"/>
              <w:jc w:val="center"/>
              <w:rPr>
                <w:rFonts w:ascii="Times New Roman" w:hAnsi="Times New Roman" w:cs="Times New Roman" w:eastAsiaTheme="minorEastAsia"/>
                <w:bCs/>
                <w:color w:val="auto"/>
                <w:w w:val="99"/>
                <w:kern w:val="2"/>
                <w:sz w:val="21"/>
                <w:szCs w:val="21"/>
                <w:highlight w:val="none"/>
              </w:rPr>
            </w:pPr>
          </w:p>
        </w:tc>
      </w:tr>
    </w:tbl>
    <w:p w14:paraId="71AFD3A9">
      <w:pPr>
        <w:rPr>
          <w:rFonts w:ascii="Times New Roman" w:hAnsi="Times New Roman" w:eastAsiaTheme="minorEastAsia"/>
          <w:b/>
          <w:bCs/>
          <w:color w:val="auto"/>
          <w:w w:val="99"/>
          <w:kern w:val="21"/>
          <w:szCs w:val="20"/>
          <w:highlight w:val="none"/>
        </w:rPr>
      </w:pPr>
    </w:p>
    <w:p w14:paraId="01580192">
      <w:pPr>
        <w:pStyle w:val="153"/>
        <w:widowControl w:val="0"/>
        <w:spacing w:line="440" w:lineRule="exact"/>
        <w:ind w:firstLine="474"/>
        <w:rPr>
          <w:rFonts w:ascii="Times New Roman" w:hAnsi="Times New Roman" w:eastAsiaTheme="minorEastAsia"/>
          <w:b/>
          <w:bCs/>
          <w:color w:val="auto"/>
          <w:w w:val="99"/>
          <w:kern w:val="21"/>
          <w:szCs w:val="20"/>
          <w:highlight w:val="none"/>
        </w:rPr>
      </w:pPr>
      <w:r>
        <w:rPr>
          <w:rFonts w:ascii="Times New Roman" w:hAnsi="Times New Roman" w:eastAsiaTheme="minorEastAsia"/>
          <w:b/>
          <w:bCs/>
          <w:color w:val="auto"/>
          <w:w w:val="99"/>
          <w:kern w:val="21"/>
          <w:szCs w:val="20"/>
          <w:highlight w:val="none"/>
        </w:rPr>
        <w:t>表</w:t>
      </w:r>
      <w:r>
        <w:rPr>
          <w:rFonts w:ascii="Times New Roman" w:hAnsi="Times New Roman" w:eastAsiaTheme="minorEastAsia"/>
          <w:b/>
          <w:color w:val="auto"/>
          <w:w w:val="99"/>
          <w:kern w:val="2"/>
          <w:szCs w:val="20"/>
          <w:highlight w:val="none"/>
        </w:rPr>
        <w:t>4.3-</w:t>
      </w:r>
      <w:r>
        <w:rPr>
          <w:rFonts w:hint="eastAsia" w:ascii="Times New Roman" w:hAnsi="Times New Roman" w:eastAsiaTheme="minorEastAsia"/>
          <w:b/>
          <w:color w:val="auto"/>
          <w:w w:val="99"/>
          <w:kern w:val="2"/>
          <w:szCs w:val="20"/>
          <w:highlight w:val="none"/>
        </w:rPr>
        <w:t>13</w:t>
      </w:r>
      <w:r>
        <w:rPr>
          <w:rFonts w:ascii="Times New Roman" w:hAnsi="Times New Roman" w:eastAsiaTheme="minorEastAsia"/>
          <w:b/>
          <w:bCs/>
          <w:color w:val="auto"/>
          <w:w w:val="99"/>
          <w:kern w:val="21"/>
          <w:szCs w:val="20"/>
          <w:highlight w:val="none"/>
        </w:rPr>
        <w:t xml:space="preserve">   承压水</w:t>
      </w:r>
      <w:r>
        <w:rPr>
          <w:rFonts w:ascii="Times New Roman" w:hAnsi="Times New Roman" w:eastAsiaTheme="minorEastAsia"/>
          <w:b/>
          <w:color w:val="auto"/>
          <w:w w:val="99"/>
          <w:highlight w:val="none"/>
        </w:rPr>
        <w:t>水质</w:t>
      </w:r>
      <w:r>
        <w:rPr>
          <w:rFonts w:ascii="Times New Roman" w:hAnsi="Times New Roman" w:eastAsiaTheme="minorEastAsia"/>
          <w:b/>
          <w:bCs/>
          <w:color w:val="auto"/>
          <w:w w:val="99"/>
          <w:kern w:val="21"/>
          <w:szCs w:val="20"/>
          <w:highlight w:val="none"/>
        </w:rPr>
        <w:t>八大离子浓度评价结果</w:t>
      </w:r>
    </w:p>
    <w:tbl>
      <w:tblPr>
        <w:tblStyle w:val="81"/>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47"/>
        <w:gridCol w:w="1235"/>
        <w:gridCol w:w="1480"/>
        <w:gridCol w:w="1482"/>
        <w:gridCol w:w="1629"/>
        <w:gridCol w:w="1046"/>
        <w:gridCol w:w="861"/>
      </w:tblGrid>
      <w:tr w14:paraId="701A4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Align w:val="center"/>
          </w:tcPr>
          <w:p w14:paraId="2840E53A">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ascii="Times New Roman" w:hAnsi="Times New Roman" w:cs="Times New Roman" w:eastAsiaTheme="minorEastAsia"/>
                <w:bCs/>
                <w:color w:val="auto"/>
                <w:w w:val="95"/>
                <w:kern w:val="2"/>
                <w:sz w:val="21"/>
                <w:szCs w:val="21"/>
                <w:highlight w:val="none"/>
              </w:rPr>
              <w:t>监测井点位</w:t>
            </w:r>
          </w:p>
        </w:tc>
        <w:tc>
          <w:tcPr>
            <w:tcW w:w="665" w:type="pct"/>
            <w:vAlign w:val="center"/>
          </w:tcPr>
          <w:p w14:paraId="5CA6BBD6">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ascii="Times New Roman" w:hAnsi="Times New Roman" w:cs="Times New Roman" w:eastAsiaTheme="minorEastAsia"/>
                <w:bCs/>
                <w:color w:val="auto"/>
                <w:w w:val="95"/>
                <w:kern w:val="2"/>
                <w:sz w:val="21"/>
                <w:szCs w:val="21"/>
                <w:highlight w:val="none"/>
              </w:rPr>
              <w:t>离子名称</w:t>
            </w:r>
          </w:p>
        </w:tc>
        <w:tc>
          <w:tcPr>
            <w:tcW w:w="797" w:type="pct"/>
            <w:vAlign w:val="center"/>
          </w:tcPr>
          <w:p w14:paraId="0380D6F4">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ascii="Times New Roman" w:hAnsi="Times New Roman" w:cs="Times New Roman" w:eastAsiaTheme="minorEastAsia"/>
                <w:bCs/>
                <w:color w:val="auto"/>
                <w:w w:val="95"/>
                <w:kern w:val="2"/>
                <w:sz w:val="21"/>
                <w:szCs w:val="21"/>
                <w:highlight w:val="none"/>
              </w:rPr>
              <w:t>毫克当量（mg/L）</w:t>
            </w:r>
          </w:p>
        </w:tc>
        <w:tc>
          <w:tcPr>
            <w:tcW w:w="798" w:type="pct"/>
            <w:vAlign w:val="center"/>
          </w:tcPr>
          <w:p w14:paraId="00C2EE1D">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ascii="Times New Roman" w:hAnsi="Times New Roman" w:cs="Times New Roman" w:eastAsiaTheme="minorEastAsia"/>
                <w:bCs/>
                <w:color w:val="auto"/>
                <w:w w:val="95"/>
                <w:kern w:val="2"/>
                <w:sz w:val="21"/>
                <w:szCs w:val="21"/>
                <w:highlight w:val="none"/>
              </w:rPr>
              <w:t>毫克当量百分比（%）</w:t>
            </w:r>
          </w:p>
        </w:tc>
        <w:tc>
          <w:tcPr>
            <w:tcW w:w="877" w:type="pct"/>
            <w:vAlign w:val="center"/>
          </w:tcPr>
          <w:p w14:paraId="51358D19">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ascii="Times New Roman" w:hAnsi="Times New Roman" w:cs="Times New Roman" w:eastAsiaTheme="minorEastAsia"/>
                <w:bCs/>
                <w:color w:val="auto"/>
                <w:w w:val="95"/>
                <w:kern w:val="2"/>
                <w:sz w:val="21"/>
                <w:szCs w:val="21"/>
                <w:highlight w:val="none"/>
              </w:rPr>
              <w:t>离子毫克当量合计（mg/L）</w:t>
            </w:r>
          </w:p>
        </w:tc>
        <w:tc>
          <w:tcPr>
            <w:tcW w:w="563" w:type="pct"/>
            <w:vAlign w:val="center"/>
          </w:tcPr>
          <w:p w14:paraId="0E72EBA0">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ascii="Times New Roman" w:hAnsi="Times New Roman" w:cs="Times New Roman" w:eastAsiaTheme="minorEastAsia"/>
                <w:bCs/>
                <w:color w:val="auto"/>
                <w:w w:val="95"/>
                <w:kern w:val="2"/>
                <w:sz w:val="21"/>
                <w:szCs w:val="21"/>
                <w:highlight w:val="none"/>
              </w:rPr>
              <w:t>相对误差%</w:t>
            </w:r>
          </w:p>
        </w:tc>
        <w:tc>
          <w:tcPr>
            <w:tcW w:w="463" w:type="pct"/>
            <w:vAlign w:val="center"/>
          </w:tcPr>
          <w:p w14:paraId="69C61B82">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ascii="Times New Roman" w:hAnsi="Times New Roman" w:cs="Times New Roman" w:eastAsiaTheme="minorEastAsia"/>
                <w:bCs/>
                <w:color w:val="auto"/>
                <w:w w:val="95"/>
                <w:kern w:val="2"/>
                <w:sz w:val="21"/>
                <w:szCs w:val="21"/>
                <w:highlight w:val="none"/>
              </w:rPr>
              <w:t>矿化度</w:t>
            </w:r>
          </w:p>
        </w:tc>
      </w:tr>
      <w:tr w14:paraId="1347D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vAlign w:val="center"/>
          </w:tcPr>
          <w:p w14:paraId="3B447408">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ascii="Times New Roman" w:hAnsi="Times New Roman" w:cs="Times New Roman"/>
                <w:color w:val="auto"/>
                <w:w w:val="95"/>
                <w:sz w:val="21"/>
                <w:szCs w:val="21"/>
                <w:highlight w:val="none"/>
                <w:lang w:bidi="ar"/>
              </w:rPr>
              <w:t>尚家围子屯孙家承压水井</w:t>
            </w:r>
          </w:p>
        </w:tc>
        <w:tc>
          <w:tcPr>
            <w:tcW w:w="665" w:type="pct"/>
            <w:vAlign w:val="center"/>
          </w:tcPr>
          <w:p w14:paraId="4C2422F5">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ascii="Times New Roman" w:hAnsi="Times New Roman" w:cs="Times New Roman" w:eastAsiaTheme="minorEastAsia"/>
                <w:bCs/>
                <w:color w:val="auto"/>
                <w:w w:val="95"/>
                <w:kern w:val="2"/>
                <w:sz w:val="21"/>
                <w:szCs w:val="21"/>
                <w:highlight w:val="none"/>
              </w:rPr>
              <w:t>K</w:t>
            </w:r>
            <w:r>
              <w:rPr>
                <w:rFonts w:ascii="Times New Roman" w:hAnsi="Times New Roman" w:cs="Times New Roman" w:eastAsiaTheme="minorEastAsia"/>
                <w:bCs/>
                <w:color w:val="auto"/>
                <w:w w:val="95"/>
                <w:kern w:val="2"/>
                <w:sz w:val="21"/>
                <w:szCs w:val="21"/>
                <w:highlight w:val="none"/>
                <w:vertAlign w:val="superscript"/>
              </w:rPr>
              <w:t>+</w:t>
            </w:r>
          </w:p>
        </w:tc>
        <w:tc>
          <w:tcPr>
            <w:tcW w:w="797" w:type="pct"/>
            <w:vAlign w:val="center"/>
          </w:tcPr>
          <w:p w14:paraId="215DF8DB">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0.028</w:t>
            </w:r>
          </w:p>
        </w:tc>
        <w:tc>
          <w:tcPr>
            <w:tcW w:w="798" w:type="pct"/>
            <w:vAlign w:val="center"/>
          </w:tcPr>
          <w:p w14:paraId="2D20B9F5">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0.686</w:t>
            </w:r>
          </w:p>
        </w:tc>
        <w:tc>
          <w:tcPr>
            <w:tcW w:w="877" w:type="pct"/>
            <w:vMerge w:val="restart"/>
            <w:vAlign w:val="center"/>
          </w:tcPr>
          <w:p w14:paraId="5B8AC205">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4.109</w:t>
            </w:r>
          </w:p>
        </w:tc>
        <w:tc>
          <w:tcPr>
            <w:tcW w:w="563" w:type="pct"/>
            <w:vMerge w:val="restart"/>
            <w:vAlign w:val="center"/>
          </w:tcPr>
          <w:p w14:paraId="754227BC">
            <w:pPr>
              <w:jc w:val="center"/>
              <w:textAlignment w:val="center"/>
              <w:rPr>
                <w:rFonts w:ascii="Times New Roman" w:hAnsi="Times New Roman" w:cs="Times New Roman" w:eastAsiaTheme="minorEastAsia"/>
                <w:bCs/>
                <w:color w:val="auto"/>
                <w:w w:val="95"/>
                <w:kern w:val="2"/>
                <w:sz w:val="21"/>
                <w:szCs w:val="21"/>
                <w:highlight w:val="none"/>
              </w:rPr>
            </w:pPr>
            <w:r>
              <w:rPr>
                <w:rFonts w:hint="eastAsia" w:ascii="Times New Roman" w:hAnsi="Times New Roman" w:cs="Times New Roman"/>
                <w:color w:val="auto"/>
                <w:w w:val="95"/>
                <w:sz w:val="21"/>
                <w:szCs w:val="21"/>
                <w:highlight w:val="none"/>
                <w:lang w:bidi="ar"/>
              </w:rPr>
              <w:t>1.45</w:t>
            </w:r>
          </w:p>
        </w:tc>
        <w:tc>
          <w:tcPr>
            <w:tcW w:w="463" w:type="pct"/>
            <w:vMerge w:val="restart"/>
            <w:vAlign w:val="center"/>
          </w:tcPr>
          <w:p w14:paraId="05FB430C">
            <w:pPr>
              <w:jc w:val="center"/>
              <w:textAlignment w:val="center"/>
              <w:rPr>
                <w:rFonts w:ascii="Times New Roman" w:hAnsi="Times New Roman" w:cs="Times New Roman" w:eastAsiaTheme="minorEastAsia"/>
                <w:bCs/>
                <w:color w:val="auto"/>
                <w:w w:val="95"/>
                <w:kern w:val="2"/>
                <w:sz w:val="21"/>
                <w:szCs w:val="21"/>
                <w:highlight w:val="none"/>
              </w:rPr>
            </w:pPr>
            <w:r>
              <w:rPr>
                <w:rFonts w:ascii="Times New Roman" w:hAnsi="Times New Roman" w:cs="Times New Roman"/>
                <w:color w:val="auto"/>
                <w:w w:val="95"/>
                <w:sz w:val="21"/>
                <w:szCs w:val="21"/>
                <w:highlight w:val="none"/>
                <w:lang w:bidi="ar"/>
              </w:rPr>
              <w:t>0.</w:t>
            </w:r>
            <w:r>
              <w:rPr>
                <w:rFonts w:hint="eastAsia" w:ascii="Times New Roman" w:hAnsi="Times New Roman" w:cs="Times New Roman"/>
                <w:color w:val="auto"/>
                <w:w w:val="95"/>
                <w:sz w:val="21"/>
                <w:szCs w:val="21"/>
                <w:highlight w:val="none"/>
                <w:lang w:bidi="ar"/>
              </w:rPr>
              <w:t>31</w:t>
            </w:r>
          </w:p>
        </w:tc>
      </w:tr>
      <w:tr w14:paraId="2BA0CB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73493F7">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665" w:type="pct"/>
            <w:vAlign w:val="center"/>
          </w:tcPr>
          <w:p w14:paraId="471D3D87">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ascii="Times New Roman" w:hAnsi="Times New Roman" w:cs="Times New Roman" w:eastAsiaTheme="minorEastAsia"/>
                <w:bCs/>
                <w:color w:val="auto"/>
                <w:w w:val="95"/>
                <w:kern w:val="2"/>
                <w:sz w:val="21"/>
                <w:szCs w:val="21"/>
                <w:highlight w:val="none"/>
              </w:rPr>
              <w:t>Na</w:t>
            </w:r>
            <w:r>
              <w:rPr>
                <w:rFonts w:ascii="Times New Roman" w:hAnsi="Times New Roman" w:cs="Times New Roman" w:eastAsiaTheme="minorEastAsia"/>
                <w:bCs/>
                <w:color w:val="auto"/>
                <w:w w:val="95"/>
                <w:kern w:val="2"/>
                <w:sz w:val="21"/>
                <w:szCs w:val="21"/>
                <w:highlight w:val="none"/>
                <w:vertAlign w:val="superscript"/>
              </w:rPr>
              <w:t>+</w:t>
            </w:r>
          </w:p>
        </w:tc>
        <w:tc>
          <w:tcPr>
            <w:tcW w:w="797" w:type="pct"/>
            <w:vAlign w:val="center"/>
          </w:tcPr>
          <w:p w14:paraId="47CE32DE">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1.839</w:t>
            </w:r>
          </w:p>
        </w:tc>
        <w:tc>
          <w:tcPr>
            <w:tcW w:w="798" w:type="pct"/>
            <w:vAlign w:val="center"/>
          </w:tcPr>
          <w:p w14:paraId="4C824BC9">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44.759</w:t>
            </w:r>
          </w:p>
        </w:tc>
        <w:tc>
          <w:tcPr>
            <w:tcW w:w="877" w:type="pct"/>
            <w:vMerge w:val="continue"/>
            <w:vAlign w:val="center"/>
          </w:tcPr>
          <w:p w14:paraId="3DA22F64">
            <w:pPr>
              <w:jc w:val="center"/>
              <w:textAlignment w:val="center"/>
              <w:rPr>
                <w:rFonts w:ascii="Times New Roman" w:hAnsi="Times New Roman" w:cs="Times New Roman"/>
                <w:color w:val="auto"/>
                <w:w w:val="95"/>
                <w:sz w:val="21"/>
                <w:szCs w:val="21"/>
                <w:highlight w:val="none"/>
                <w:lang w:bidi="ar"/>
              </w:rPr>
            </w:pPr>
          </w:p>
        </w:tc>
        <w:tc>
          <w:tcPr>
            <w:tcW w:w="563" w:type="pct"/>
            <w:vMerge w:val="continue"/>
            <w:vAlign w:val="center"/>
          </w:tcPr>
          <w:p w14:paraId="1200F336">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497F16F7">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r>
      <w:tr w14:paraId="41520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52BE5C9C">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665" w:type="pct"/>
            <w:vAlign w:val="center"/>
          </w:tcPr>
          <w:p w14:paraId="6BF3B33F">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ascii="Times New Roman" w:hAnsi="Times New Roman" w:cs="Times New Roman" w:eastAsiaTheme="minorEastAsia"/>
                <w:bCs/>
                <w:color w:val="auto"/>
                <w:w w:val="95"/>
                <w:kern w:val="2"/>
                <w:sz w:val="21"/>
                <w:szCs w:val="21"/>
                <w:highlight w:val="none"/>
              </w:rPr>
              <w:t>Ca</w:t>
            </w:r>
            <w:r>
              <w:rPr>
                <w:rFonts w:ascii="Times New Roman" w:hAnsi="Times New Roman" w:cs="Times New Roman" w:eastAsiaTheme="minorEastAsia"/>
                <w:bCs/>
                <w:color w:val="auto"/>
                <w:w w:val="95"/>
                <w:kern w:val="2"/>
                <w:sz w:val="21"/>
                <w:szCs w:val="21"/>
                <w:highlight w:val="none"/>
                <w:vertAlign w:val="superscript"/>
              </w:rPr>
              <w:t>2+</w:t>
            </w:r>
          </w:p>
        </w:tc>
        <w:tc>
          <w:tcPr>
            <w:tcW w:w="797" w:type="pct"/>
            <w:vAlign w:val="center"/>
          </w:tcPr>
          <w:p w14:paraId="7F306B46">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1.725</w:t>
            </w:r>
          </w:p>
        </w:tc>
        <w:tc>
          <w:tcPr>
            <w:tcW w:w="798" w:type="pct"/>
            <w:vAlign w:val="center"/>
          </w:tcPr>
          <w:p w14:paraId="7F905223">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41.981</w:t>
            </w:r>
          </w:p>
        </w:tc>
        <w:tc>
          <w:tcPr>
            <w:tcW w:w="877" w:type="pct"/>
            <w:vMerge w:val="continue"/>
            <w:vAlign w:val="center"/>
          </w:tcPr>
          <w:p w14:paraId="5EAC16B4">
            <w:pPr>
              <w:jc w:val="center"/>
              <w:textAlignment w:val="center"/>
              <w:rPr>
                <w:rFonts w:ascii="Times New Roman" w:hAnsi="Times New Roman" w:cs="Times New Roman"/>
                <w:color w:val="auto"/>
                <w:w w:val="95"/>
                <w:sz w:val="21"/>
                <w:szCs w:val="21"/>
                <w:highlight w:val="none"/>
                <w:lang w:bidi="ar"/>
              </w:rPr>
            </w:pPr>
          </w:p>
        </w:tc>
        <w:tc>
          <w:tcPr>
            <w:tcW w:w="563" w:type="pct"/>
            <w:vMerge w:val="continue"/>
            <w:vAlign w:val="center"/>
          </w:tcPr>
          <w:p w14:paraId="0AEFD953">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2E710824">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r>
      <w:tr w14:paraId="6E4F8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4253FA8">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665" w:type="pct"/>
            <w:vAlign w:val="center"/>
          </w:tcPr>
          <w:p w14:paraId="2407B8B8">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ascii="Times New Roman" w:hAnsi="Times New Roman" w:cs="Times New Roman" w:eastAsiaTheme="minorEastAsia"/>
                <w:bCs/>
                <w:color w:val="auto"/>
                <w:w w:val="95"/>
                <w:kern w:val="2"/>
                <w:sz w:val="21"/>
                <w:szCs w:val="21"/>
                <w:highlight w:val="none"/>
              </w:rPr>
              <w:t>Mg</w:t>
            </w:r>
            <w:r>
              <w:rPr>
                <w:rFonts w:ascii="Times New Roman" w:hAnsi="Times New Roman" w:cs="Times New Roman" w:eastAsiaTheme="minorEastAsia"/>
                <w:bCs/>
                <w:color w:val="auto"/>
                <w:w w:val="95"/>
                <w:kern w:val="2"/>
                <w:sz w:val="21"/>
                <w:szCs w:val="21"/>
                <w:highlight w:val="none"/>
                <w:vertAlign w:val="superscript"/>
              </w:rPr>
              <w:t>2+</w:t>
            </w:r>
          </w:p>
        </w:tc>
        <w:tc>
          <w:tcPr>
            <w:tcW w:w="797" w:type="pct"/>
            <w:vAlign w:val="center"/>
          </w:tcPr>
          <w:p w14:paraId="57463685">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0.517</w:t>
            </w:r>
          </w:p>
        </w:tc>
        <w:tc>
          <w:tcPr>
            <w:tcW w:w="798" w:type="pct"/>
            <w:vAlign w:val="center"/>
          </w:tcPr>
          <w:p w14:paraId="3BA677B0">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12.574</w:t>
            </w:r>
          </w:p>
        </w:tc>
        <w:tc>
          <w:tcPr>
            <w:tcW w:w="877" w:type="pct"/>
            <w:vMerge w:val="continue"/>
            <w:vAlign w:val="center"/>
          </w:tcPr>
          <w:p w14:paraId="7C4A7FF0">
            <w:pPr>
              <w:jc w:val="center"/>
              <w:textAlignment w:val="center"/>
              <w:rPr>
                <w:rFonts w:ascii="Times New Roman" w:hAnsi="Times New Roman" w:cs="Times New Roman"/>
                <w:color w:val="auto"/>
                <w:w w:val="95"/>
                <w:sz w:val="21"/>
                <w:szCs w:val="21"/>
                <w:highlight w:val="none"/>
                <w:lang w:bidi="ar"/>
              </w:rPr>
            </w:pPr>
          </w:p>
        </w:tc>
        <w:tc>
          <w:tcPr>
            <w:tcW w:w="563" w:type="pct"/>
            <w:vMerge w:val="continue"/>
            <w:vAlign w:val="center"/>
          </w:tcPr>
          <w:p w14:paraId="511B14B2">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16F5C9E8">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r>
      <w:tr w14:paraId="46466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C5D7A08">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665" w:type="pct"/>
            <w:vAlign w:val="center"/>
          </w:tcPr>
          <w:p w14:paraId="291F7693">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ascii="Times New Roman" w:hAnsi="Times New Roman" w:cs="Times New Roman" w:eastAsiaTheme="minorEastAsia"/>
                <w:bCs/>
                <w:color w:val="auto"/>
                <w:w w:val="95"/>
                <w:kern w:val="2"/>
                <w:sz w:val="21"/>
                <w:szCs w:val="21"/>
                <w:highlight w:val="none"/>
              </w:rPr>
              <w:t>HCO</w:t>
            </w:r>
            <w:r>
              <w:rPr>
                <w:rFonts w:ascii="Times New Roman" w:hAnsi="Times New Roman" w:cs="Times New Roman" w:eastAsiaTheme="minorEastAsia"/>
                <w:bCs/>
                <w:color w:val="auto"/>
                <w:w w:val="95"/>
                <w:kern w:val="2"/>
                <w:sz w:val="21"/>
                <w:szCs w:val="21"/>
                <w:highlight w:val="none"/>
                <w:vertAlign w:val="subscript"/>
              </w:rPr>
              <w:t>3</w:t>
            </w:r>
            <w:r>
              <w:rPr>
                <w:rFonts w:ascii="Times New Roman" w:hAnsi="Times New Roman" w:cs="Times New Roman" w:eastAsiaTheme="minorEastAsia"/>
                <w:bCs/>
                <w:color w:val="auto"/>
                <w:w w:val="95"/>
                <w:kern w:val="2"/>
                <w:sz w:val="21"/>
                <w:szCs w:val="21"/>
                <w:highlight w:val="none"/>
                <w:vertAlign w:val="superscript"/>
              </w:rPr>
              <w:t>-</w:t>
            </w:r>
          </w:p>
        </w:tc>
        <w:tc>
          <w:tcPr>
            <w:tcW w:w="797" w:type="pct"/>
            <w:vAlign w:val="center"/>
          </w:tcPr>
          <w:p w14:paraId="3714AE02">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2.672</w:t>
            </w:r>
          </w:p>
        </w:tc>
        <w:tc>
          <w:tcPr>
            <w:tcW w:w="798" w:type="pct"/>
            <w:vAlign w:val="center"/>
          </w:tcPr>
          <w:p w14:paraId="2F645CF1">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63.177</w:t>
            </w:r>
          </w:p>
        </w:tc>
        <w:tc>
          <w:tcPr>
            <w:tcW w:w="877" w:type="pct"/>
            <w:vMerge w:val="restart"/>
            <w:vAlign w:val="center"/>
          </w:tcPr>
          <w:p w14:paraId="384E57B4">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4.230</w:t>
            </w:r>
          </w:p>
        </w:tc>
        <w:tc>
          <w:tcPr>
            <w:tcW w:w="563" w:type="pct"/>
            <w:vMerge w:val="continue"/>
            <w:vAlign w:val="center"/>
          </w:tcPr>
          <w:p w14:paraId="3087592D">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5374E372">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r>
      <w:tr w14:paraId="6A7CCF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trPr>
        <w:tc>
          <w:tcPr>
            <w:tcW w:w="833" w:type="pct"/>
            <w:vMerge w:val="continue"/>
            <w:vAlign w:val="center"/>
          </w:tcPr>
          <w:p w14:paraId="16CD71C7">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665" w:type="pct"/>
            <w:vAlign w:val="center"/>
          </w:tcPr>
          <w:p w14:paraId="6292A32D">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ascii="Times New Roman" w:hAnsi="Times New Roman" w:cs="Times New Roman" w:eastAsiaTheme="minorEastAsia"/>
                <w:bCs/>
                <w:color w:val="auto"/>
                <w:w w:val="95"/>
                <w:kern w:val="2"/>
                <w:sz w:val="21"/>
                <w:szCs w:val="21"/>
                <w:highlight w:val="none"/>
              </w:rPr>
              <w:t>CO</w:t>
            </w:r>
            <w:r>
              <w:rPr>
                <w:rFonts w:ascii="Times New Roman" w:hAnsi="Times New Roman" w:cs="Times New Roman" w:eastAsiaTheme="minorEastAsia"/>
                <w:bCs/>
                <w:color w:val="auto"/>
                <w:w w:val="95"/>
                <w:kern w:val="2"/>
                <w:sz w:val="21"/>
                <w:szCs w:val="21"/>
                <w:highlight w:val="none"/>
                <w:vertAlign w:val="subscript"/>
              </w:rPr>
              <w:t>3</w:t>
            </w:r>
            <w:r>
              <w:rPr>
                <w:rFonts w:ascii="Times New Roman" w:hAnsi="Times New Roman" w:cs="Times New Roman" w:eastAsiaTheme="minorEastAsia"/>
                <w:bCs/>
                <w:color w:val="auto"/>
                <w:w w:val="95"/>
                <w:kern w:val="2"/>
                <w:sz w:val="21"/>
                <w:szCs w:val="21"/>
                <w:highlight w:val="none"/>
                <w:vertAlign w:val="superscript"/>
              </w:rPr>
              <w:t>2-</w:t>
            </w:r>
          </w:p>
        </w:tc>
        <w:tc>
          <w:tcPr>
            <w:tcW w:w="797" w:type="pct"/>
            <w:vAlign w:val="center"/>
          </w:tcPr>
          <w:p w14:paraId="2E8AE4EB">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0.000</w:t>
            </w:r>
          </w:p>
        </w:tc>
        <w:tc>
          <w:tcPr>
            <w:tcW w:w="798" w:type="pct"/>
            <w:vAlign w:val="center"/>
          </w:tcPr>
          <w:p w14:paraId="217CD09B">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0.000</w:t>
            </w:r>
          </w:p>
        </w:tc>
        <w:tc>
          <w:tcPr>
            <w:tcW w:w="877" w:type="pct"/>
            <w:vMerge w:val="continue"/>
            <w:vAlign w:val="center"/>
          </w:tcPr>
          <w:p w14:paraId="4C5B9DDA">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563" w:type="pct"/>
            <w:vMerge w:val="continue"/>
            <w:vAlign w:val="center"/>
          </w:tcPr>
          <w:p w14:paraId="71C3A256">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7937BDE4">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r>
      <w:tr w14:paraId="3B114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512CD0AC">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665" w:type="pct"/>
            <w:vAlign w:val="center"/>
          </w:tcPr>
          <w:p w14:paraId="3F4E29CE">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ascii="Times New Roman" w:hAnsi="Times New Roman" w:cs="Times New Roman" w:eastAsiaTheme="minorEastAsia"/>
                <w:bCs/>
                <w:color w:val="auto"/>
                <w:w w:val="95"/>
                <w:kern w:val="2"/>
                <w:sz w:val="21"/>
                <w:szCs w:val="21"/>
                <w:highlight w:val="none"/>
              </w:rPr>
              <w:t>Cl</w:t>
            </w:r>
            <w:r>
              <w:rPr>
                <w:rFonts w:ascii="Times New Roman" w:hAnsi="Times New Roman" w:cs="Times New Roman" w:eastAsiaTheme="minorEastAsia"/>
                <w:bCs/>
                <w:color w:val="auto"/>
                <w:w w:val="95"/>
                <w:kern w:val="2"/>
                <w:sz w:val="21"/>
                <w:szCs w:val="21"/>
                <w:highlight w:val="none"/>
                <w:vertAlign w:val="superscript"/>
              </w:rPr>
              <w:t>-</w:t>
            </w:r>
          </w:p>
        </w:tc>
        <w:tc>
          <w:tcPr>
            <w:tcW w:w="797" w:type="pct"/>
            <w:vAlign w:val="center"/>
          </w:tcPr>
          <w:p w14:paraId="34A69D14">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1.043</w:t>
            </w:r>
          </w:p>
        </w:tc>
        <w:tc>
          <w:tcPr>
            <w:tcW w:w="798" w:type="pct"/>
            <w:vAlign w:val="center"/>
          </w:tcPr>
          <w:p w14:paraId="76E4C88D">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24.656</w:t>
            </w:r>
          </w:p>
        </w:tc>
        <w:tc>
          <w:tcPr>
            <w:tcW w:w="877" w:type="pct"/>
            <w:vMerge w:val="continue"/>
            <w:vAlign w:val="center"/>
          </w:tcPr>
          <w:p w14:paraId="41EEC395">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563" w:type="pct"/>
            <w:vMerge w:val="continue"/>
            <w:vAlign w:val="center"/>
          </w:tcPr>
          <w:p w14:paraId="7FD1F66E">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34E7C8DB">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r>
      <w:tr w14:paraId="2AD82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21BC4D1C">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665" w:type="pct"/>
            <w:vAlign w:val="center"/>
          </w:tcPr>
          <w:p w14:paraId="4FE6EF95">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ascii="Times New Roman" w:hAnsi="Times New Roman" w:cs="Times New Roman" w:eastAsiaTheme="minorEastAsia"/>
                <w:bCs/>
                <w:color w:val="auto"/>
                <w:w w:val="95"/>
                <w:kern w:val="2"/>
                <w:sz w:val="21"/>
                <w:szCs w:val="21"/>
                <w:highlight w:val="none"/>
              </w:rPr>
              <w:t>SO</w:t>
            </w:r>
            <w:r>
              <w:rPr>
                <w:rFonts w:ascii="Times New Roman" w:hAnsi="Times New Roman" w:cs="Times New Roman" w:eastAsiaTheme="minorEastAsia"/>
                <w:bCs/>
                <w:color w:val="auto"/>
                <w:w w:val="95"/>
                <w:kern w:val="2"/>
                <w:sz w:val="21"/>
                <w:szCs w:val="21"/>
                <w:highlight w:val="none"/>
                <w:vertAlign w:val="subscript"/>
              </w:rPr>
              <w:t>4</w:t>
            </w:r>
            <w:r>
              <w:rPr>
                <w:rFonts w:ascii="Times New Roman" w:hAnsi="Times New Roman" w:cs="Times New Roman" w:eastAsiaTheme="minorEastAsia"/>
                <w:bCs/>
                <w:color w:val="auto"/>
                <w:w w:val="95"/>
                <w:kern w:val="2"/>
                <w:sz w:val="21"/>
                <w:szCs w:val="21"/>
                <w:highlight w:val="none"/>
                <w:vertAlign w:val="superscript"/>
              </w:rPr>
              <w:t>2-</w:t>
            </w:r>
          </w:p>
        </w:tc>
        <w:tc>
          <w:tcPr>
            <w:tcW w:w="797" w:type="pct"/>
            <w:vAlign w:val="center"/>
          </w:tcPr>
          <w:p w14:paraId="6981FABF">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0.515</w:t>
            </w:r>
          </w:p>
        </w:tc>
        <w:tc>
          <w:tcPr>
            <w:tcW w:w="798" w:type="pct"/>
            <w:vAlign w:val="center"/>
          </w:tcPr>
          <w:p w14:paraId="3A7D6680">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12.166</w:t>
            </w:r>
          </w:p>
        </w:tc>
        <w:tc>
          <w:tcPr>
            <w:tcW w:w="877" w:type="pct"/>
            <w:vMerge w:val="continue"/>
            <w:vAlign w:val="center"/>
          </w:tcPr>
          <w:p w14:paraId="77D212AA">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563" w:type="pct"/>
            <w:vMerge w:val="continue"/>
            <w:vAlign w:val="center"/>
          </w:tcPr>
          <w:p w14:paraId="5122FF9D">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46B50D9D">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r>
      <w:tr w14:paraId="62E21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vAlign w:val="center"/>
          </w:tcPr>
          <w:p w14:paraId="7B3F62D3">
            <w:pPr>
              <w:widowControl w:val="0"/>
              <w:spacing w:line="360" w:lineRule="exact"/>
              <w:jc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王家围子屯周家承压水井</w:t>
            </w:r>
          </w:p>
        </w:tc>
        <w:tc>
          <w:tcPr>
            <w:tcW w:w="665" w:type="pct"/>
            <w:vAlign w:val="center"/>
          </w:tcPr>
          <w:p w14:paraId="49BF230D">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ascii="Times New Roman" w:hAnsi="Times New Roman" w:cs="Times New Roman" w:eastAsiaTheme="minorEastAsia"/>
                <w:bCs/>
                <w:color w:val="auto"/>
                <w:w w:val="95"/>
                <w:kern w:val="2"/>
                <w:sz w:val="21"/>
                <w:szCs w:val="21"/>
                <w:highlight w:val="none"/>
              </w:rPr>
              <w:t>K</w:t>
            </w:r>
            <w:r>
              <w:rPr>
                <w:rFonts w:ascii="Times New Roman" w:hAnsi="Times New Roman" w:cs="Times New Roman" w:eastAsiaTheme="minorEastAsia"/>
                <w:bCs/>
                <w:color w:val="auto"/>
                <w:w w:val="95"/>
                <w:kern w:val="2"/>
                <w:sz w:val="21"/>
                <w:szCs w:val="21"/>
                <w:highlight w:val="none"/>
                <w:vertAlign w:val="superscript"/>
              </w:rPr>
              <w:t>+</w:t>
            </w:r>
          </w:p>
        </w:tc>
        <w:tc>
          <w:tcPr>
            <w:tcW w:w="797" w:type="pct"/>
            <w:vAlign w:val="center"/>
          </w:tcPr>
          <w:p w14:paraId="44B080DD">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 xml:space="preserve">0.031 </w:t>
            </w:r>
          </w:p>
        </w:tc>
        <w:tc>
          <w:tcPr>
            <w:tcW w:w="798" w:type="pct"/>
            <w:vAlign w:val="center"/>
          </w:tcPr>
          <w:p w14:paraId="424C81A4">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 xml:space="preserve">0.721 </w:t>
            </w:r>
          </w:p>
        </w:tc>
        <w:tc>
          <w:tcPr>
            <w:tcW w:w="877" w:type="pct"/>
            <w:vMerge w:val="restart"/>
            <w:vAlign w:val="center"/>
          </w:tcPr>
          <w:p w14:paraId="0C1644E0">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 xml:space="preserve">4.338 </w:t>
            </w:r>
          </w:p>
        </w:tc>
        <w:tc>
          <w:tcPr>
            <w:tcW w:w="563" w:type="pct"/>
            <w:vMerge w:val="restart"/>
            <w:vAlign w:val="center"/>
          </w:tcPr>
          <w:p w14:paraId="4D5D061D">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hint="eastAsia" w:ascii="Times New Roman" w:hAnsi="Times New Roman" w:cs="Times New Roman" w:eastAsiaTheme="minorEastAsia"/>
                <w:bCs/>
                <w:color w:val="auto"/>
                <w:w w:val="95"/>
                <w:kern w:val="2"/>
                <w:sz w:val="21"/>
                <w:szCs w:val="21"/>
                <w:highlight w:val="none"/>
              </w:rPr>
              <w:t>-2.30</w:t>
            </w:r>
          </w:p>
        </w:tc>
        <w:tc>
          <w:tcPr>
            <w:tcW w:w="463" w:type="pct"/>
            <w:vMerge w:val="restart"/>
            <w:vAlign w:val="center"/>
          </w:tcPr>
          <w:p w14:paraId="04C05DFB">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hint="eastAsia" w:ascii="Times New Roman" w:hAnsi="Times New Roman" w:cs="Times New Roman" w:eastAsiaTheme="minorEastAsia"/>
                <w:bCs/>
                <w:color w:val="auto"/>
                <w:w w:val="95"/>
                <w:kern w:val="2"/>
                <w:sz w:val="21"/>
                <w:szCs w:val="21"/>
                <w:highlight w:val="none"/>
              </w:rPr>
              <w:t>0.31</w:t>
            </w:r>
          </w:p>
        </w:tc>
      </w:tr>
      <w:tr w14:paraId="09ECD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16D9DBC0">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665" w:type="pct"/>
            <w:vAlign w:val="center"/>
          </w:tcPr>
          <w:p w14:paraId="3ED016FD">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ascii="Times New Roman" w:hAnsi="Times New Roman" w:cs="Times New Roman" w:eastAsiaTheme="minorEastAsia"/>
                <w:bCs/>
                <w:color w:val="auto"/>
                <w:w w:val="95"/>
                <w:kern w:val="2"/>
                <w:sz w:val="21"/>
                <w:szCs w:val="21"/>
                <w:highlight w:val="none"/>
              </w:rPr>
              <w:t>Na</w:t>
            </w:r>
            <w:r>
              <w:rPr>
                <w:rFonts w:ascii="Times New Roman" w:hAnsi="Times New Roman" w:cs="Times New Roman" w:eastAsiaTheme="minorEastAsia"/>
                <w:bCs/>
                <w:color w:val="auto"/>
                <w:w w:val="95"/>
                <w:kern w:val="2"/>
                <w:sz w:val="21"/>
                <w:szCs w:val="21"/>
                <w:highlight w:val="none"/>
                <w:vertAlign w:val="superscript"/>
              </w:rPr>
              <w:t>+</w:t>
            </w:r>
          </w:p>
        </w:tc>
        <w:tc>
          <w:tcPr>
            <w:tcW w:w="797" w:type="pct"/>
            <w:vAlign w:val="center"/>
          </w:tcPr>
          <w:p w14:paraId="500EB144">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 xml:space="preserve">1.922 </w:t>
            </w:r>
          </w:p>
        </w:tc>
        <w:tc>
          <w:tcPr>
            <w:tcW w:w="798" w:type="pct"/>
            <w:vAlign w:val="center"/>
          </w:tcPr>
          <w:p w14:paraId="5EB350DF">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 xml:space="preserve">44.300 </w:t>
            </w:r>
          </w:p>
        </w:tc>
        <w:tc>
          <w:tcPr>
            <w:tcW w:w="877" w:type="pct"/>
            <w:vMerge w:val="continue"/>
            <w:vAlign w:val="center"/>
          </w:tcPr>
          <w:p w14:paraId="20326CAE">
            <w:pPr>
              <w:jc w:val="center"/>
              <w:textAlignment w:val="center"/>
              <w:rPr>
                <w:rFonts w:ascii="Times New Roman" w:hAnsi="Times New Roman" w:cs="Times New Roman"/>
                <w:color w:val="auto"/>
                <w:w w:val="95"/>
                <w:sz w:val="21"/>
                <w:szCs w:val="21"/>
                <w:highlight w:val="none"/>
                <w:lang w:bidi="ar"/>
              </w:rPr>
            </w:pPr>
          </w:p>
        </w:tc>
        <w:tc>
          <w:tcPr>
            <w:tcW w:w="563" w:type="pct"/>
            <w:vMerge w:val="continue"/>
            <w:vAlign w:val="center"/>
          </w:tcPr>
          <w:p w14:paraId="498017BE">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521BA745">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r>
      <w:tr w14:paraId="748E27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5D9AD203">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665" w:type="pct"/>
            <w:vAlign w:val="center"/>
          </w:tcPr>
          <w:p w14:paraId="1777B713">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ascii="Times New Roman" w:hAnsi="Times New Roman" w:cs="Times New Roman" w:eastAsiaTheme="minorEastAsia"/>
                <w:bCs/>
                <w:color w:val="auto"/>
                <w:w w:val="95"/>
                <w:kern w:val="2"/>
                <w:sz w:val="21"/>
                <w:szCs w:val="21"/>
                <w:highlight w:val="none"/>
              </w:rPr>
              <w:t>Ca</w:t>
            </w:r>
            <w:r>
              <w:rPr>
                <w:rFonts w:ascii="Times New Roman" w:hAnsi="Times New Roman" w:cs="Times New Roman" w:eastAsiaTheme="minorEastAsia"/>
                <w:bCs/>
                <w:color w:val="auto"/>
                <w:w w:val="95"/>
                <w:kern w:val="2"/>
                <w:sz w:val="21"/>
                <w:szCs w:val="21"/>
                <w:highlight w:val="none"/>
                <w:vertAlign w:val="superscript"/>
              </w:rPr>
              <w:t>2+</w:t>
            </w:r>
          </w:p>
        </w:tc>
        <w:tc>
          <w:tcPr>
            <w:tcW w:w="797" w:type="pct"/>
            <w:vAlign w:val="center"/>
          </w:tcPr>
          <w:p w14:paraId="66B722A6">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 xml:space="preserve">1.845 </w:t>
            </w:r>
          </w:p>
        </w:tc>
        <w:tc>
          <w:tcPr>
            <w:tcW w:w="798" w:type="pct"/>
            <w:vAlign w:val="center"/>
          </w:tcPr>
          <w:p w14:paraId="1AB936D7">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 xml:space="preserve">42.531 </w:t>
            </w:r>
          </w:p>
        </w:tc>
        <w:tc>
          <w:tcPr>
            <w:tcW w:w="877" w:type="pct"/>
            <w:vMerge w:val="continue"/>
            <w:vAlign w:val="center"/>
          </w:tcPr>
          <w:p w14:paraId="4E79853C">
            <w:pPr>
              <w:jc w:val="center"/>
              <w:textAlignment w:val="center"/>
              <w:rPr>
                <w:rFonts w:ascii="Times New Roman" w:hAnsi="Times New Roman" w:cs="Times New Roman"/>
                <w:color w:val="auto"/>
                <w:w w:val="95"/>
                <w:sz w:val="21"/>
                <w:szCs w:val="21"/>
                <w:highlight w:val="none"/>
                <w:lang w:bidi="ar"/>
              </w:rPr>
            </w:pPr>
          </w:p>
        </w:tc>
        <w:tc>
          <w:tcPr>
            <w:tcW w:w="563" w:type="pct"/>
            <w:vMerge w:val="continue"/>
            <w:vAlign w:val="center"/>
          </w:tcPr>
          <w:p w14:paraId="26F9324E">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410B9634">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r>
      <w:tr w14:paraId="3C244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C97C8F2">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665" w:type="pct"/>
            <w:vAlign w:val="center"/>
          </w:tcPr>
          <w:p w14:paraId="36049773">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ascii="Times New Roman" w:hAnsi="Times New Roman" w:cs="Times New Roman" w:eastAsiaTheme="minorEastAsia"/>
                <w:bCs/>
                <w:color w:val="auto"/>
                <w:w w:val="95"/>
                <w:kern w:val="2"/>
                <w:sz w:val="21"/>
                <w:szCs w:val="21"/>
                <w:highlight w:val="none"/>
              </w:rPr>
              <w:t>Mg</w:t>
            </w:r>
            <w:r>
              <w:rPr>
                <w:rFonts w:ascii="Times New Roman" w:hAnsi="Times New Roman" w:cs="Times New Roman" w:eastAsiaTheme="minorEastAsia"/>
                <w:bCs/>
                <w:color w:val="auto"/>
                <w:w w:val="95"/>
                <w:kern w:val="2"/>
                <w:sz w:val="21"/>
                <w:szCs w:val="21"/>
                <w:highlight w:val="none"/>
                <w:vertAlign w:val="superscript"/>
              </w:rPr>
              <w:t>2+</w:t>
            </w:r>
          </w:p>
        </w:tc>
        <w:tc>
          <w:tcPr>
            <w:tcW w:w="797" w:type="pct"/>
            <w:vAlign w:val="center"/>
          </w:tcPr>
          <w:p w14:paraId="6932DEB5">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 xml:space="preserve">0.540 </w:t>
            </w:r>
          </w:p>
        </w:tc>
        <w:tc>
          <w:tcPr>
            <w:tcW w:w="798" w:type="pct"/>
            <w:vAlign w:val="center"/>
          </w:tcPr>
          <w:p w14:paraId="5F96ADFA">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 xml:space="preserve">12.448 </w:t>
            </w:r>
          </w:p>
        </w:tc>
        <w:tc>
          <w:tcPr>
            <w:tcW w:w="877" w:type="pct"/>
            <w:vMerge w:val="continue"/>
            <w:vAlign w:val="center"/>
          </w:tcPr>
          <w:p w14:paraId="329D4310">
            <w:pPr>
              <w:jc w:val="center"/>
              <w:textAlignment w:val="center"/>
              <w:rPr>
                <w:rFonts w:ascii="Times New Roman" w:hAnsi="Times New Roman" w:cs="Times New Roman"/>
                <w:color w:val="auto"/>
                <w:w w:val="95"/>
                <w:sz w:val="21"/>
                <w:szCs w:val="21"/>
                <w:highlight w:val="none"/>
                <w:lang w:bidi="ar"/>
              </w:rPr>
            </w:pPr>
          </w:p>
        </w:tc>
        <w:tc>
          <w:tcPr>
            <w:tcW w:w="563" w:type="pct"/>
            <w:vMerge w:val="continue"/>
            <w:vAlign w:val="center"/>
          </w:tcPr>
          <w:p w14:paraId="56227E39">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04514081">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r>
      <w:tr w14:paraId="6E984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570382C2">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665" w:type="pct"/>
            <w:vAlign w:val="center"/>
          </w:tcPr>
          <w:p w14:paraId="3CBC3BBF">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ascii="Times New Roman" w:hAnsi="Times New Roman" w:cs="Times New Roman" w:eastAsiaTheme="minorEastAsia"/>
                <w:bCs/>
                <w:color w:val="auto"/>
                <w:w w:val="95"/>
                <w:kern w:val="2"/>
                <w:sz w:val="21"/>
                <w:szCs w:val="21"/>
                <w:highlight w:val="none"/>
              </w:rPr>
              <w:t>HCO</w:t>
            </w:r>
            <w:r>
              <w:rPr>
                <w:rFonts w:ascii="Times New Roman" w:hAnsi="Times New Roman" w:cs="Times New Roman" w:eastAsiaTheme="minorEastAsia"/>
                <w:bCs/>
                <w:color w:val="auto"/>
                <w:w w:val="95"/>
                <w:kern w:val="2"/>
                <w:sz w:val="21"/>
                <w:szCs w:val="21"/>
                <w:highlight w:val="none"/>
                <w:vertAlign w:val="subscript"/>
              </w:rPr>
              <w:t>3</w:t>
            </w:r>
            <w:r>
              <w:rPr>
                <w:rFonts w:ascii="Times New Roman" w:hAnsi="Times New Roman" w:cs="Times New Roman" w:eastAsiaTheme="minorEastAsia"/>
                <w:bCs/>
                <w:color w:val="auto"/>
                <w:w w:val="95"/>
                <w:kern w:val="2"/>
                <w:sz w:val="21"/>
                <w:szCs w:val="21"/>
                <w:highlight w:val="none"/>
                <w:vertAlign w:val="superscript"/>
              </w:rPr>
              <w:t>-</w:t>
            </w:r>
          </w:p>
        </w:tc>
        <w:tc>
          <w:tcPr>
            <w:tcW w:w="797" w:type="pct"/>
            <w:vAlign w:val="center"/>
          </w:tcPr>
          <w:p w14:paraId="1C4CDE1D">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 xml:space="preserve">2.721 </w:t>
            </w:r>
          </w:p>
        </w:tc>
        <w:tc>
          <w:tcPr>
            <w:tcW w:w="798" w:type="pct"/>
            <w:vAlign w:val="center"/>
          </w:tcPr>
          <w:p w14:paraId="4BF1BC33">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 xml:space="preserve">65.679 </w:t>
            </w:r>
          </w:p>
        </w:tc>
        <w:tc>
          <w:tcPr>
            <w:tcW w:w="877" w:type="pct"/>
            <w:vMerge w:val="restart"/>
            <w:vAlign w:val="center"/>
          </w:tcPr>
          <w:p w14:paraId="13CDDD2D">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 xml:space="preserve">4.143 </w:t>
            </w:r>
          </w:p>
        </w:tc>
        <w:tc>
          <w:tcPr>
            <w:tcW w:w="563" w:type="pct"/>
            <w:vMerge w:val="continue"/>
            <w:vAlign w:val="center"/>
          </w:tcPr>
          <w:p w14:paraId="5BAAC95C">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41FBA93C">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r>
      <w:tr w14:paraId="725B2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235810E">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665" w:type="pct"/>
            <w:vAlign w:val="center"/>
          </w:tcPr>
          <w:p w14:paraId="39A4EFB2">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ascii="Times New Roman" w:hAnsi="Times New Roman" w:cs="Times New Roman" w:eastAsiaTheme="minorEastAsia"/>
                <w:bCs/>
                <w:color w:val="auto"/>
                <w:w w:val="95"/>
                <w:kern w:val="2"/>
                <w:sz w:val="21"/>
                <w:szCs w:val="21"/>
                <w:highlight w:val="none"/>
              </w:rPr>
              <w:t>CO</w:t>
            </w:r>
            <w:r>
              <w:rPr>
                <w:rFonts w:ascii="Times New Roman" w:hAnsi="Times New Roman" w:cs="Times New Roman" w:eastAsiaTheme="minorEastAsia"/>
                <w:bCs/>
                <w:color w:val="auto"/>
                <w:w w:val="95"/>
                <w:kern w:val="2"/>
                <w:sz w:val="21"/>
                <w:szCs w:val="21"/>
                <w:highlight w:val="none"/>
                <w:vertAlign w:val="subscript"/>
              </w:rPr>
              <w:t>3</w:t>
            </w:r>
            <w:r>
              <w:rPr>
                <w:rFonts w:ascii="Times New Roman" w:hAnsi="Times New Roman" w:cs="Times New Roman" w:eastAsiaTheme="minorEastAsia"/>
                <w:bCs/>
                <w:color w:val="auto"/>
                <w:w w:val="95"/>
                <w:kern w:val="2"/>
                <w:sz w:val="21"/>
                <w:szCs w:val="21"/>
                <w:highlight w:val="none"/>
                <w:vertAlign w:val="superscript"/>
              </w:rPr>
              <w:t>2-</w:t>
            </w:r>
          </w:p>
        </w:tc>
        <w:tc>
          <w:tcPr>
            <w:tcW w:w="797" w:type="pct"/>
            <w:vAlign w:val="center"/>
          </w:tcPr>
          <w:p w14:paraId="078C51F0">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 xml:space="preserve">0.000 </w:t>
            </w:r>
          </w:p>
        </w:tc>
        <w:tc>
          <w:tcPr>
            <w:tcW w:w="798" w:type="pct"/>
            <w:vAlign w:val="center"/>
          </w:tcPr>
          <w:p w14:paraId="2D302899">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 xml:space="preserve">0.000 </w:t>
            </w:r>
          </w:p>
        </w:tc>
        <w:tc>
          <w:tcPr>
            <w:tcW w:w="877" w:type="pct"/>
            <w:vMerge w:val="continue"/>
            <w:vAlign w:val="center"/>
          </w:tcPr>
          <w:p w14:paraId="2B924934">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563" w:type="pct"/>
            <w:vMerge w:val="continue"/>
            <w:vAlign w:val="center"/>
          </w:tcPr>
          <w:p w14:paraId="260F1EA4">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2D174FBF">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r>
      <w:tr w14:paraId="27D07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2E15C63F">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665" w:type="pct"/>
            <w:vAlign w:val="center"/>
          </w:tcPr>
          <w:p w14:paraId="14631AC2">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ascii="Times New Roman" w:hAnsi="Times New Roman" w:cs="Times New Roman" w:eastAsiaTheme="minorEastAsia"/>
                <w:bCs/>
                <w:color w:val="auto"/>
                <w:w w:val="95"/>
                <w:kern w:val="2"/>
                <w:sz w:val="21"/>
                <w:szCs w:val="21"/>
                <w:highlight w:val="none"/>
              </w:rPr>
              <w:t>Cl</w:t>
            </w:r>
            <w:r>
              <w:rPr>
                <w:rFonts w:ascii="Times New Roman" w:hAnsi="Times New Roman" w:cs="Times New Roman" w:eastAsiaTheme="minorEastAsia"/>
                <w:bCs/>
                <w:color w:val="auto"/>
                <w:w w:val="95"/>
                <w:kern w:val="2"/>
                <w:sz w:val="21"/>
                <w:szCs w:val="21"/>
                <w:highlight w:val="none"/>
                <w:vertAlign w:val="superscript"/>
              </w:rPr>
              <w:t>-</w:t>
            </w:r>
          </w:p>
        </w:tc>
        <w:tc>
          <w:tcPr>
            <w:tcW w:w="797" w:type="pct"/>
            <w:vAlign w:val="center"/>
          </w:tcPr>
          <w:p w14:paraId="39063CF9">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 xml:space="preserve">0.943 </w:t>
            </w:r>
          </w:p>
        </w:tc>
        <w:tc>
          <w:tcPr>
            <w:tcW w:w="798" w:type="pct"/>
            <w:vAlign w:val="center"/>
          </w:tcPr>
          <w:p w14:paraId="3F5DF4A6">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 xml:space="preserve">22.756 </w:t>
            </w:r>
          </w:p>
        </w:tc>
        <w:tc>
          <w:tcPr>
            <w:tcW w:w="877" w:type="pct"/>
            <w:vMerge w:val="continue"/>
            <w:vAlign w:val="center"/>
          </w:tcPr>
          <w:p w14:paraId="127F5621">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563" w:type="pct"/>
            <w:vMerge w:val="continue"/>
            <w:vAlign w:val="center"/>
          </w:tcPr>
          <w:p w14:paraId="3A17F0F4">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438386A0">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r>
      <w:tr w14:paraId="7FFE6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317096D">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665" w:type="pct"/>
            <w:vAlign w:val="center"/>
          </w:tcPr>
          <w:p w14:paraId="25D15245">
            <w:pPr>
              <w:widowControl w:val="0"/>
              <w:spacing w:line="360" w:lineRule="exact"/>
              <w:jc w:val="center"/>
              <w:rPr>
                <w:rFonts w:ascii="Times New Roman" w:hAnsi="Times New Roman" w:cs="Times New Roman" w:eastAsiaTheme="minorEastAsia"/>
                <w:bCs/>
                <w:color w:val="auto"/>
                <w:w w:val="95"/>
                <w:kern w:val="2"/>
                <w:sz w:val="21"/>
                <w:szCs w:val="21"/>
                <w:highlight w:val="none"/>
              </w:rPr>
            </w:pPr>
            <w:r>
              <w:rPr>
                <w:rFonts w:ascii="Times New Roman" w:hAnsi="Times New Roman" w:cs="Times New Roman" w:eastAsiaTheme="minorEastAsia"/>
                <w:bCs/>
                <w:color w:val="auto"/>
                <w:w w:val="95"/>
                <w:kern w:val="2"/>
                <w:sz w:val="21"/>
                <w:szCs w:val="21"/>
                <w:highlight w:val="none"/>
              </w:rPr>
              <w:t>SO</w:t>
            </w:r>
            <w:r>
              <w:rPr>
                <w:rFonts w:ascii="Times New Roman" w:hAnsi="Times New Roman" w:cs="Times New Roman" w:eastAsiaTheme="minorEastAsia"/>
                <w:bCs/>
                <w:color w:val="auto"/>
                <w:w w:val="95"/>
                <w:kern w:val="2"/>
                <w:sz w:val="21"/>
                <w:szCs w:val="21"/>
                <w:highlight w:val="none"/>
                <w:vertAlign w:val="subscript"/>
              </w:rPr>
              <w:t>4</w:t>
            </w:r>
            <w:r>
              <w:rPr>
                <w:rFonts w:ascii="Times New Roman" w:hAnsi="Times New Roman" w:cs="Times New Roman" w:eastAsiaTheme="minorEastAsia"/>
                <w:bCs/>
                <w:color w:val="auto"/>
                <w:w w:val="95"/>
                <w:kern w:val="2"/>
                <w:sz w:val="21"/>
                <w:szCs w:val="21"/>
                <w:highlight w:val="none"/>
                <w:vertAlign w:val="superscript"/>
              </w:rPr>
              <w:t>2-</w:t>
            </w:r>
          </w:p>
        </w:tc>
        <w:tc>
          <w:tcPr>
            <w:tcW w:w="797" w:type="pct"/>
            <w:vAlign w:val="center"/>
          </w:tcPr>
          <w:p w14:paraId="6A4DF955">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 xml:space="preserve">0.479 </w:t>
            </w:r>
          </w:p>
        </w:tc>
        <w:tc>
          <w:tcPr>
            <w:tcW w:w="798" w:type="pct"/>
            <w:vAlign w:val="center"/>
          </w:tcPr>
          <w:p w14:paraId="4C6321AC">
            <w:pPr>
              <w:jc w:val="center"/>
              <w:textAlignment w:val="center"/>
              <w:rPr>
                <w:rFonts w:ascii="Times New Roman" w:hAnsi="Times New Roman" w:cs="Times New Roman"/>
                <w:color w:val="auto"/>
                <w:w w:val="95"/>
                <w:sz w:val="21"/>
                <w:szCs w:val="21"/>
                <w:highlight w:val="none"/>
                <w:lang w:bidi="ar"/>
              </w:rPr>
            </w:pPr>
            <w:r>
              <w:rPr>
                <w:rFonts w:hint="eastAsia" w:ascii="Times New Roman" w:hAnsi="Times New Roman" w:cs="Times New Roman"/>
                <w:color w:val="auto"/>
                <w:w w:val="95"/>
                <w:sz w:val="21"/>
                <w:szCs w:val="21"/>
                <w:highlight w:val="none"/>
                <w:lang w:bidi="ar"/>
              </w:rPr>
              <w:t xml:space="preserve">11.565 </w:t>
            </w:r>
          </w:p>
        </w:tc>
        <w:tc>
          <w:tcPr>
            <w:tcW w:w="877" w:type="pct"/>
            <w:vMerge w:val="continue"/>
            <w:vAlign w:val="center"/>
          </w:tcPr>
          <w:p w14:paraId="120F9DA0">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563" w:type="pct"/>
            <w:vMerge w:val="continue"/>
            <w:vAlign w:val="center"/>
          </w:tcPr>
          <w:p w14:paraId="7C1ECA4E">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4444019B">
            <w:pPr>
              <w:widowControl w:val="0"/>
              <w:spacing w:line="360" w:lineRule="exact"/>
              <w:jc w:val="center"/>
              <w:rPr>
                <w:rFonts w:ascii="Times New Roman" w:hAnsi="Times New Roman" w:cs="Times New Roman" w:eastAsiaTheme="minorEastAsia"/>
                <w:bCs/>
                <w:color w:val="auto"/>
                <w:w w:val="95"/>
                <w:kern w:val="2"/>
                <w:sz w:val="21"/>
                <w:szCs w:val="21"/>
                <w:highlight w:val="none"/>
              </w:rPr>
            </w:pPr>
          </w:p>
        </w:tc>
      </w:tr>
    </w:tbl>
    <w:p w14:paraId="5DC661CE">
      <w:pPr>
        <w:widowControl w:val="0"/>
        <w:spacing w:line="440" w:lineRule="exact"/>
        <w:ind w:firstLine="474" w:firstLineChars="200"/>
        <w:jc w:val="both"/>
        <w:rPr>
          <w:rFonts w:ascii="Times New Roman" w:hAnsi="Times New Roman" w:cs="Times New Roman" w:eastAsiaTheme="minorEastAsia"/>
          <w:color w:val="auto"/>
          <w:w w:val="99"/>
          <w:kern w:val="2"/>
          <w:szCs w:val="32"/>
          <w:highlight w:val="none"/>
        </w:rPr>
      </w:pPr>
      <w:r>
        <w:rPr>
          <w:rFonts w:ascii="Times New Roman" w:hAnsi="Times New Roman" w:cs="Times New Roman" w:eastAsiaTheme="minorEastAsia"/>
          <w:color w:val="auto"/>
          <w:w w:val="99"/>
          <w:kern w:val="2"/>
          <w:szCs w:val="32"/>
          <w:highlight w:val="none"/>
        </w:rPr>
        <w:t>通过对区域内地下水八大离子监测结果可知，本项目所在区域地下水化学类型以HCO</w:t>
      </w:r>
      <w:r>
        <w:rPr>
          <w:rFonts w:ascii="Times New Roman" w:hAnsi="Times New Roman" w:cs="Times New Roman" w:eastAsiaTheme="minorEastAsia"/>
          <w:color w:val="auto"/>
          <w:w w:val="99"/>
          <w:kern w:val="2"/>
          <w:szCs w:val="32"/>
          <w:highlight w:val="none"/>
          <w:vertAlign w:val="subscript"/>
        </w:rPr>
        <w:t>3</w:t>
      </w:r>
      <w:r>
        <w:rPr>
          <w:rFonts w:ascii="Times New Roman" w:hAnsi="Times New Roman" w:cs="Times New Roman" w:eastAsiaTheme="minorEastAsia"/>
          <w:color w:val="auto"/>
          <w:w w:val="99"/>
          <w:kern w:val="2"/>
          <w:szCs w:val="32"/>
          <w:highlight w:val="none"/>
        </w:rPr>
        <w:t>-Na+Ca，4-A型淡水型为主，地下水矿化度较低，水质情况较好。根据上表可知，项目区域水质总阳离子（钠、钾、钙、镁）与阴离子（硫酸盐、氯化物、碳酸盐、重碳酸盐）毫克当量浓度相对误差不大于5%，阴阳离子平衡。</w:t>
      </w:r>
    </w:p>
    <w:p w14:paraId="1EA3045D">
      <w:pPr>
        <w:widowControl w:val="0"/>
        <w:spacing w:line="440" w:lineRule="exact"/>
        <w:jc w:val="both"/>
        <w:outlineLvl w:val="3"/>
        <w:rPr>
          <w:rFonts w:ascii="Times New Roman" w:hAnsi="Times New Roman" w:cs="Times New Roman" w:eastAsiaTheme="minorEastAsia"/>
          <w:b/>
          <w:color w:val="auto"/>
          <w:w w:val="99"/>
          <w:highlight w:val="none"/>
        </w:rPr>
      </w:pPr>
      <w:r>
        <w:rPr>
          <w:rFonts w:ascii="Times New Roman" w:hAnsi="Times New Roman" w:cs="Times New Roman" w:eastAsiaTheme="minorEastAsia"/>
          <w:b/>
          <w:color w:val="auto"/>
          <w:w w:val="99"/>
          <w:highlight w:val="none"/>
        </w:rPr>
        <w:t>4.3.2.</w:t>
      </w:r>
      <w:r>
        <w:rPr>
          <w:rFonts w:hint="eastAsia" w:ascii="Times New Roman" w:hAnsi="Times New Roman" w:cs="Times New Roman" w:eastAsiaTheme="minorEastAsia"/>
          <w:b/>
          <w:color w:val="auto"/>
          <w:w w:val="99"/>
          <w:highlight w:val="none"/>
        </w:rPr>
        <w:t>4</w:t>
      </w:r>
      <w:r>
        <w:rPr>
          <w:rFonts w:ascii="Times New Roman" w:hAnsi="Times New Roman" w:cs="Times New Roman" w:eastAsiaTheme="minorEastAsia"/>
          <w:b/>
          <w:color w:val="auto"/>
          <w:w w:val="99"/>
          <w:highlight w:val="none"/>
        </w:rPr>
        <w:t>包气带污染现状调查</w:t>
      </w:r>
    </w:p>
    <w:p w14:paraId="6EEB262B">
      <w:pPr>
        <w:widowControl w:val="0"/>
        <w:spacing w:line="440" w:lineRule="exact"/>
        <w:ind w:firstLine="474" w:firstLineChars="200"/>
        <w:jc w:val="both"/>
        <w:rPr>
          <w:rFonts w:ascii="Times New Roman" w:hAnsi="Times New Roman" w:cs="Times New Roman" w:eastAsiaTheme="minorEastAsia"/>
          <w:bCs/>
          <w:color w:val="auto"/>
          <w:w w:val="99"/>
          <w:kern w:val="21"/>
          <w:szCs w:val="20"/>
          <w:highlight w:val="none"/>
        </w:rPr>
      </w:pPr>
      <w:bookmarkStart w:id="696" w:name="_Toc11456"/>
      <w:r>
        <w:rPr>
          <w:rFonts w:ascii="Times New Roman" w:hAnsi="Times New Roman" w:cs="Times New Roman" w:eastAsiaTheme="minorEastAsia"/>
          <w:bCs/>
          <w:color w:val="auto"/>
          <w:w w:val="99"/>
          <w:kern w:val="21"/>
          <w:szCs w:val="20"/>
          <w:highlight w:val="none"/>
        </w:rPr>
        <w:t>（1）包气带现状分布特征</w:t>
      </w:r>
    </w:p>
    <w:p w14:paraId="4E243D46">
      <w:pPr>
        <w:widowControl w:val="0"/>
        <w:spacing w:line="440" w:lineRule="exact"/>
        <w:ind w:firstLine="474" w:firstLineChars="200"/>
        <w:jc w:val="both"/>
        <w:rPr>
          <w:rFonts w:ascii="Times New Roman" w:hAnsi="Times New Roman" w:cs="Times New Roman" w:eastAsiaTheme="minorEastAsia"/>
          <w:bCs/>
          <w:color w:val="auto"/>
          <w:w w:val="99"/>
          <w:kern w:val="21"/>
          <w:szCs w:val="20"/>
          <w:highlight w:val="none"/>
        </w:rPr>
      </w:pPr>
      <w:r>
        <w:rPr>
          <w:rFonts w:ascii="Times New Roman" w:hAnsi="Times New Roman" w:cs="Times New Roman" w:eastAsiaTheme="minorEastAsia"/>
          <w:bCs/>
          <w:color w:val="auto"/>
          <w:w w:val="99"/>
          <w:kern w:val="21"/>
          <w:szCs w:val="20"/>
          <w:highlight w:val="none"/>
        </w:rPr>
        <w:t>评价区内第四系松散堆积层发育，堆积厚度大，分布范围广。按地貌成因形态类型主要为冲积低平原沉积地层。根据评价区潜水地下水埋深特征，包气带厚度1.05m～5.0m。包气带地层岩性主要为表层杂填土、粉质黏土及粉砂。</w:t>
      </w:r>
    </w:p>
    <w:p w14:paraId="5F4F97CB">
      <w:pPr>
        <w:widowControl w:val="0"/>
        <w:spacing w:line="440" w:lineRule="exact"/>
        <w:ind w:firstLine="474" w:firstLineChars="200"/>
        <w:jc w:val="both"/>
        <w:rPr>
          <w:rFonts w:ascii="Times New Roman" w:hAnsi="Times New Roman" w:cs="Times New Roman" w:eastAsiaTheme="minorEastAsia"/>
          <w:color w:val="auto"/>
          <w:w w:val="99"/>
          <w:szCs w:val="20"/>
          <w:highlight w:val="none"/>
        </w:rPr>
      </w:pPr>
      <w:r>
        <w:rPr>
          <w:rFonts w:ascii="Times New Roman" w:hAnsi="Times New Roman" w:cs="Times New Roman" w:eastAsiaTheme="minorEastAsia"/>
          <w:color w:val="auto"/>
          <w:w w:val="99"/>
          <w:szCs w:val="20"/>
          <w:highlight w:val="none"/>
        </w:rPr>
        <w:t>（2）</w:t>
      </w:r>
      <w:r>
        <w:rPr>
          <w:rFonts w:ascii="Times New Roman" w:hAnsi="Times New Roman" w:cs="Times New Roman" w:eastAsiaTheme="minorEastAsia"/>
          <w:bCs/>
          <w:color w:val="auto"/>
          <w:w w:val="99"/>
          <w:kern w:val="21"/>
          <w:szCs w:val="20"/>
          <w:highlight w:val="none"/>
        </w:rPr>
        <w:t>包气带污染现状监测</w:t>
      </w:r>
    </w:p>
    <w:p w14:paraId="0B7F4022">
      <w:pPr>
        <w:widowControl w:val="0"/>
        <w:spacing w:line="440" w:lineRule="exact"/>
        <w:ind w:firstLine="474" w:firstLineChars="200"/>
        <w:jc w:val="both"/>
        <w:rPr>
          <w:rFonts w:ascii="Times New Roman" w:hAnsi="Times New Roman" w:cs="Times New Roman"/>
          <w:bCs/>
          <w:color w:val="auto"/>
          <w:w w:val="99"/>
          <w:kern w:val="21"/>
          <w:szCs w:val="20"/>
          <w:highlight w:val="none"/>
        </w:rPr>
      </w:pPr>
      <w:r>
        <w:rPr>
          <w:rFonts w:ascii="Times New Roman" w:hAnsi="Times New Roman" w:cs="Times New Roman"/>
          <w:bCs/>
          <w:color w:val="auto"/>
          <w:w w:val="99"/>
          <w:kern w:val="21"/>
          <w:szCs w:val="20"/>
          <w:highlight w:val="none"/>
          <w:lang w:eastAsia="ja-JP"/>
        </w:rPr>
        <w:t>根据《环境影响评价技术导则</w:t>
      </w:r>
      <w:r>
        <w:rPr>
          <w:rFonts w:hint="eastAsia" w:ascii="Times New Roman" w:hAnsi="Times New Roman" w:cs="Times New Roman"/>
          <w:bCs/>
          <w:color w:val="auto"/>
          <w:w w:val="99"/>
          <w:kern w:val="21"/>
          <w:szCs w:val="20"/>
          <w:highlight w:val="none"/>
        </w:rPr>
        <w:t xml:space="preserve"> </w:t>
      </w:r>
      <w:r>
        <w:rPr>
          <w:rFonts w:ascii="Times New Roman" w:hAnsi="Times New Roman" w:cs="Times New Roman"/>
          <w:bCs/>
          <w:color w:val="auto"/>
          <w:w w:val="99"/>
          <w:kern w:val="21"/>
          <w:szCs w:val="20"/>
          <w:highlight w:val="none"/>
          <w:lang w:eastAsia="ja-JP"/>
        </w:rPr>
        <w:t>地下水环境》（HJ610-2016），对于一、二级的改扩建项目，应在可能造成地下水污染的主要装置或设施附近开展包气带污染现状调查，对包气带进行分层取样</w:t>
      </w:r>
      <w:r>
        <w:rPr>
          <w:rFonts w:ascii="Times New Roman" w:hAnsi="Times New Roman" w:cs="Times New Roman"/>
          <w:bCs/>
          <w:color w:val="auto"/>
          <w:w w:val="99"/>
          <w:kern w:val="21"/>
          <w:szCs w:val="20"/>
          <w:highlight w:val="none"/>
        </w:rPr>
        <w:t>，根据现场调查，本项目可能造成地下水污染的主要工程为区块内已建井场及已建场站</w:t>
      </w:r>
      <w:r>
        <w:rPr>
          <w:rFonts w:ascii="Times New Roman" w:hAnsi="Times New Roman" w:cs="Times New Roman"/>
          <w:bCs/>
          <w:color w:val="auto"/>
          <w:w w:val="99"/>
          <w:kern w:val="21"/>
          <w:szCs w:val="20"/>
          <w:highlight w:val="none"/>
          <w:lang w:eastAsia="ja-JP"/>
        </w:rPr>
        <w:t>。</w:t>
      </w:r>
      <w:r>
        <w:rPr>
          <w:rFonts w:hint="eastAsia" w:ascii="Times New Roman" w:hAnsi="Times New Roman" w:cs="Times New Roman"/>
          <w:bCs/>
          <w:color w:val="auto"/>
          <w:w w:val="99"/>
          <w:kern w:val="21"/>
          <w:szCs w:val="20"/>
          <w:highlight w:val="none"/>
        </w:rPr>
        <w:t>本次引用</w:t>
      </w:r>
      <w:r>
        <w:rPr>
          <w:rFonts w:hint="eastAsia" w:ascii="Times New Roman" w:hAnsi="Times New Roman" w:cs="Times New Roman" w:eastAsiaTheme="minorEastAsia"/>
          <w:color w:val="auto"/>
          <w:w w:val="99"/>
          <w:kern w:val="21"/>
          <w:highlight w:val="none"/>
        </w:rPr>
        <w:t>《徐深27-H1钻井工程监测报告》（中检（BH）字2025第03-009号）中对已建井场的包气带监测数据，以表示该区域包气带现状。</w:t>
      </w:r>
    </w:p>
    <w:p w14:paraId="2BCC15B8">
      <w:pPr>
        <w:widowControl w:val="0"/>
        <w:spacing w:line="440" w:lineRule="exact"/>
        <w:ind w:firstLine="474" w:firstLineChars="200"/>
        <w:jc w:val="both"/>
        <w:rPr>
          <w:rFonts w:ascii="Times New Roman" w:hAnsi="Times New Roman" w:cs="Times New Roman" w:eastAsiaTheme="minorEastAsia"/>
          <w:bCs/>
          <w:color w:val="auto"/>
          <w:w w:val="99"/>
          <w:kern w:val="21"/>
          <w:szCs w:val="20"/>
          <w:highlight w:val="none"/>
        </w:rPr>
      </w:pPr>
      <w:r>
        <w:rPr>
          <w:rFonts w:hint="eastAsia"/>
          <w:bCs/>
          <w:color w:val="auto"/>
          <w:w w:val="99"/>
          <w:kern w:val="21"/>
          <w:szCs w:val="20"/>
          <w:highlight w:val="none"/>
          <w:lang w:eastAsia="ja-JP"/>
        </w:rPr>
        <w:t>①</w:t>
      </w:r>
      <w:r>
        <w:rPr>
          <w:rFonts w:ascii="Times New Roman" w:hAnsi="Times New Roman" w:cs="Times New Roman" w:eastAsiaTheme="minorEastAsia"/>
          <w:bCs/>
          <w:color w:val="auto"/>
          <w:w w:val="99"/>
          <w:kern w:val="21"/>
          <w:szCs w:val="20"/>
          <w:highlight w:val="none"/>
        </w:rPr>
        <w:t>监测点位</w:t>
      </w:r>
    </w:p>
    <w:p w14:paraId="4F6A049E">
      <w:pPr>
        <w:widowControl w:val="0"/>
        <w:spacing w:line="440" w:lineRule="exact"/>
        <w:ind w:firstLine="474" w:firstLineChars="200"/>
        <w:jc w:val="both"/>
        <w:rPr>
          <w:rFonts w:ascii="Times New Roman" w:hAnsi="Times New Roman" w:cs="Times New Roman" w:eastAsiaTheme="minorEastAsia"/>
          <w:bCs/>
          <w:color w:val="auto"/>
          <w:w w:val="99"/>
          <w:kern w:val="21"/>
          <w:szCs w:val="20"/>
          <w:highlight w:val="none"/>
        </w:rPr>
      </w:pPr>
      <w:r>
        <w:rPr>
          <w:rFonts w:ascii="Times New Roman" w:hAnsi="Times New Roman" w:cs="Times New Roman" w:eastAsiaTheme="minorEastAsia"/>
          <w:bCs/>
          <w:color w:val="auto"/>
          <w:w w:val="99"/>
          <w:kern w:val="21"/>
          <w:szCs w:val="20"/>
          <w:highlight w:val="none"/>
        </w:rPr>
        <w:t>本项目在现有区块内选取代表性井场、场站布设</w:t>
      </w:r>
      <w:r>
        <w:rPr>
          <w:rFonts w:hint="eastAsia" w:ascii="Times New Roman" w:hAnsi="Times New Roman" w:cs="Times New Roman" w:eastAsiaTheme="minorEastAsia"/>
          <w:bCs/>
          <w:color w:val="auto"/>
          <w:w w:val="99"/>
          <w:kern w:val="21"/>
          <w:szCs w:val="20"/>
          <w:highlight w:val="none"/>
          <w:lang w:val="en-US" w:eastAsia="zh-CN"/>
        </w:rPr>
        <w:t>2</w:t>
      </w:r>
      <w:r>
        <w:rPr>
          <w:rFonts w:ascii="Times New Roman" w:hAnsi="Times New Roman" w:cs="Times New Roman" w:eastAsiaTheme="minorEastAsia"/>
          <w:bCs/>
          <w:color w:val="auto"/>
          <w:w w:val="99"/>
          <w:kern w:val="21"/>
          <w:szCs w:val="20"/>
          <w:highlight w:val="none"/>
        </w:rPr>
        <w:t>个包气带监测点，每个点在0-20cm深度取1个样，在20-40cm深度取1个样。包气带现状调查见表</w:t>
      </w:r>
      <w:r>
        <w:rPr>
          <w:rFonts w:ascii="Times New Roman" w:hAnsi="Times New Roman" w:cs="Times New Roman" w:eastAsiaTheme="minorEastAsia"/>
          <w:color w:val="auto"/>
          <w:w w:val="99"/>
          <w:kern w:val="2"/>
          <w:szCs w:val="20"/>
          <w:highlight w:val="none"/>
        </w:rPr>
        <w:t>4.3-1</w:t>
      </w:r>
      <w:r>
        <w:rPr>
          <w:rFonts w:hint="eastAsia" w:ascii="Times New Roman" w:hAnsi="Times New Roman" w:cs="Times New Roman" w:eastAsiaTheme="minorEastAsia"/>
          <w:color w:val="auto"/>
          <w:w w:val="99"/>
          <w:kern w:val="2"/>
          <w:szCs w:val="20"/>
          <w:highlight w:val="none"/>
        </w:rPr>
        <w:t>4</w:t>
      </w:r>
      <w:r>
        <w:rPr>
          <w:rFonts w:ascii="Times New Roman" w:hAnsi="Times New Roman" w:cs="Times New Roman" w:eastAsiaTheme="minorEastAsia"/>
          <w:bCs/>
          <w:color w:val="auto"/>
          <w:w w:val="99"/>
          <w:kern w:val="21"/>
          <w:szCs w:val="20"/>
          <w:highlight w:val="none"/>
        </w:rPr>
        <w:t>。</w:t>
      </w:r>
    </w:p>
    <w:p w14:paraId="313FF3E5">
      <w:pPr>
        <w:pStyle w:val="153"/>
        <w:widowControl w:val="0"/>
        <w:spacing w:line="440" w:lineRule="exact"/>
        <w:ind w:firstLine="474"/>
        <w:jc w:val="both"/>
        <w:rPr>
          <w:rFonts w:ascii="Times New Roman" w:hAnsi="Times New Roman" w:eastAsiaTheme="minorEastAsia"/>
          <w:b/>
          <w:bCs/>
          <w:color w:val="auto"/>
          <w:w w:val="99"/>
          <w:kern w:val="21"/>
          <w:szCs w:val="20"/>
          <w:highlight w:val="none"/>
        </w:rPr>
      </w:pPr>
      <w:r>
        <w:rPr>
          <w:rFonts w:ascii="Times New Roman" w:hAnsi="Times New Roman" w:eastAsiaTheme="minorEastAsia"/>
          <w:b/>
          <w:bCs/>
          <w:color w:val="auto"/>
          <w:w w:val="99"/>
          <w:kern w:val="21"/>
          <w:szCs w:val="20"/>
          <w:highlight w:val="none"/>
        </w:rPr>
        <w:t>表</w:t>
      </w:r>
      <w:r>
        <w:rPr>
          <w:rFonts w:ascii="Times New Roman" w:hAnsi="Times New Roman" w:eastAsiaTheme="minorEastAsia"/>
          <w:b/>
          <w:color w:val="auto"/>
          <w:w w:val="99"/>
          <w:kern w:val="2"/>
          <w:szCs w:val="20"/>
          <w:highlight w:val="none"/>
        </w:rPr>
        <w:t>4.3-1</w:t>
      </w:r>
      <w:r>
        <w:rPr>
          <w:rFonts w:hint="eastAsia" w:ascii="Times New Roman" w:hAnsi="Times New Roman" w:eastAsiaTheme="minorEastAsia"/>
          <w:b/>
          <w:color w:val="auto"/>
          <w:w w:val="99"/>
          <w:kern w:val="2"/>
          <w:szCs w:val="20"/>
          <w:highlight w:val="none"/>
        </w:rPr>
        <w:t>4</w:t>
      </w:r>
      <w:r>
        <w:rPr>
          <w:rFonts w:ascii="Times New Roman" w:hAnsi="Times New Roman" w:eastAsiaTheme="minorEastAsia"/>
          <w:b/>
          <w:bCs/>
          <w:color w:val="auto"/>
          <w:w w:val="99"/>
          <w:kern w:val="21"/>
          <w:szCs w:val="20"/>
          <w:highlight w:val="none"/>
        </w:rPr>
        <w:t xml:space="preserve">    </w:t>
      </w:r>
      <w:r>
        <w:rPr>
          <w:rFonts w:ascii="Times New Roman" w:hAnsi="Times New Roman" w:eastAsiaTheme="minorEastAsia"/>
          <w:b/>
          <w:color w:val="auto"/>
          <w:w w:val="99"/>
          <w:highlight w:val="none"/>
        </w:rPr>
        <w:t>包气带</w:t>
      </w:r>
      <w:r>
        <w:rPr>
          <w:rFonts w:ascii="Times New Roman" w:hAnsi="Times New Roman" w:eastAsiaTheme="minorEastAsia"/>
          <w:b/>
          <w:bCs/>
          <w:color w:val="auto"/>
          <w:w w:val="99"/>
          <w:kern w:val="21"/>
          <w:szCs w:val="20"/>
          <w:highlight w:val="none"/>
        </w:rPr>
        <w:t>监测点</w:t>
      </w:r>
    </w:p>
    <w:tbl>
      <w:tblPr>
        <w:tblStyle w:val="8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30" w:type="dxa"/>
          <w:bottom w:w="0" w:type="dxa"/>
          <w:right w:w="30" w:type="dxa"/>
        </w:tblCellMar>
      </w:tblPr>
      <w:tblGrid>
        <w:gridCol w:w="375"/>
        <w:gridCol w:w="2346"/>
        <w:gridCol w:w="1983"/>
        <w:gridCol w:w="1942"/>
        <w:gridCol w:w="2485"/>
      </w:tblGrid>
      <w:tr w14:paraId="7F45A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340" w:hRule="atLeast"/>
          <w:jc w:val="center"/>
        </w:trPr>
        <w:tc>
          <w:tcPr>
            <w:tcW w:w="205" w:type="pct"/>
            <w:vAlign w:val="center"/>
          </w:tcPr>
          <w:p w14:paraId="7D7C7181">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序号</w:t>
            </w:r>
          </w:p>
        </w:tc>
        <w:tc>
          <w:tcPr>
            <w:tcW w:w="1284" w:type="pct"/>
            <w:vAlign w:val="center"/>
          </w:tcPr>
          <w:p w14:paraId="2A1B4F7C">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w:t>
            </w:r>
          </w:p>
        </w:tc>
        <w:tc>
          <w:tcPr>
            <w:tcW w:w="1085" w:type="pct"/>
            <w:vAlign w:val="center"/>
          </w:tcPr>
          <w:p w14:paraId="74C517FE">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采样深度</w:t>
            </w:r>
          </w:p>
        </w:tc>
        <w:tc>
          <w:tcPr>
            <w:tcW w:w="1063" w:type="pct"/>
            <w:vAlign w:val="center"/>
          </w:tcPr>
          <w:p w14:paraId="48366435">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与拟建工程相对位置</w:t>
            </w:r>
          </w:p>
        </w:tc>
        <w:tc>
          <w:tcPr>
            <w:tcW w:w="1360" w:type="pct"/>
            <w:vAlign w:val="center"/>
          </w:tcPr>
          <w:p w14:paraId="69AF25AF">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备注</w:t>
            </w:r>
          </w:p>
        </w:tc>
      </w:tr>
      <w:tr w14:paraId="0716D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cantSplit/>
          <w:trHeight w:val="340" w:hRule="atLeast"/>
          <w:jc w:val="center"/>
        </w:trPr>
        <w:tc>
          <w:tcPr>
            <w:tcW w:w="205" w:type="pct"/>
            <w:vAlign w:val="center"/>
          </w:tcPr>
          <w:p w14:paraId="2D651519">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p>
        </w:tc>
        <w:tc>
          <w:tcPr>
            <w:tcW w:w="1284" w:type="pct"/>
            <w:vAlign w:val="center"/>
          </w:tcPr>
          <w:p w14:paraId="19E728FD">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区域已建徐深27井场</w:t>
            </w:r>
          </w:p>
        </w:tc>
        <w:tc>
          <w:tcPr>
            <w:tcW w:w="1085" w:type="pct"/>
            <w:tcBorders>
              <w:bottom w:val="single" w:color="auto" w:sz="4" w:space="0"/>
            </w:tcBorders>
            <w:vAlign w:val="center"/>
          </w:tcPr>
          <w:p w14:paraId="541C41A2">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0~20cm、20~40cm</w:t>
            </w:r>
          </w:p>
        </w:tc>
        <w:tc>
          <w:tcPr>
            <w:tcW w:w="1063" w:type="pct"/>
            <w:tcBorders>
              <w:bottom w:val="single" w:color="auto" w:sz="4" w:space="0"/>
            </w:tcBorders>
            <w:vAlign w:val="center"/>
          </w:tcPr>
          <w:p w14:paraId="5B0EC7E1">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NE790m</w:t>
            </w:r>
          </w:p>
        </w:tc>
        <w:tc>
          <w:tcPr>
            <w:tcW w:w="1360" w:type="pct"/>
            <w:vAlign w:val="center"/>
          </w:tcPr>
          <w:p w14:paraId="6116EF62">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污染控制点</w:t>
            </w:r>
          </w:p>
          <w:p w14:paraId="47EA6AFA">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r>
              <w:rPr>
                <w:rFonts w:hint="eastAsia" w:ascii="Times New Roman" w:hAnsi="Times New Roman" w:cs="Times New Roman" w:eastAsiaTheme="minorEastAsia"/>
                <w:color w:val="auto"/>
                <w:w w:val="99"/>
                <w:sz w:val="21"/>
                <w:szCs w:val="21"/>
                <w:highlight w:val="none"/>
              </w:rPr>
              <w:t>125.51040,45.90029</w:t>
            </w:r>
            <w:r>
              <w:rPr>
                <w:rFonts w:ascii="Times New Roman" w:hAnsi="Times New Roman" w:cs="Times New Roman" w:eastAsiaTheme="minorEastAsia"/>
                <w:color w:val="auto"/>
                <w:w w:val="99"/>
                <w:sz w:val="21"/>
                <w:szCs w:val="21"/>
                <w:highlight w:val="none"/>
              </w:rPr>
              <w:t>）</w:t>
            </w:r>
          </w:p>
        </w:tc>
      </w:tr>
      <w:tr w14:paraId="2F2044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cantSplit/>
          <w:trHeight w:val="340" w:hRule="atLeast"/>
          <w:jc w:val="center"/>
        </w:trPr>
        <w:tc>
          <w:tcPr>
            <w:tcW w:w="205" w:type="pct"/>
            <w:vAlign w:val="center"/>
          </w:tcPr>
          <w:p w14:paraId="11C1CD63">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w:t>
            </w:r>
          </w:p>
        </w:tc>
        <w:tc>
          <w:tcPr>
            <w:tcW w:w="1284" w:type="pct"/>
            <w:vAlign w:val="center"/>
          </w:tcPr>
          <w:p w14:paraId="52F11925">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已建徐深27井场南侧200m耕地</w:t>
            </w:r>
          </w:p>
        </w:tc>
        <w:tc>
          <w:tcPr>
            <w:tcW w:w="1085" w:type="pct"/>
            <w:tcBorders>
              <w:top w:val="single" w:color="auto" w:sz="4" w:space="0"/>
            </w:tcBorders>
            <w:vAlign w:val="center"/>
          </w:tcPr>
          <w:p w14:paraId="065E738A">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0~20cm、20~40cm</w:t>
            </w:r>
          </w:p>
        </w:tc>
        <w:tc>
          <w:tcPr>
            <w:tcW w:w="1063" w:type="pct"/>
            <w:tcBorders>
              <w:top w:val="single" w:color="auto" w:sz="4" w:space="0"/>
            </w:tcBorders>
            <w:vAlign w:val="center"/>
          </w:tcPr>
          <w:p w14:paraId="70833977">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NE590m</w:t>
            </w:r>
          </w:p>
        </w:tc>
        <w:tc>
          <w:tcPr>
            <w:tcW w:w="1360" w:type="pct"/>
            <w:vAlign w:val="center"/>
          </w:tcPr>
          <w:p w14:paraId="75407D3E">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清洁对照点</w:t>
            </w:r>
          </w:p>
          <w:p w14:paraId="4611ACD5">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r>
              <w:rPr>
                <w:rFonts w:hint="eastAsia" w:ascii="Times New Roman" w:hAnsi="Times New Roman" w:cs="Times New Roman"/>
                <w:color w:val="auto"/>
                <w:sz w:val="21"/>
                <w:szCs w:val="21"/>
                <w:highlight w:val="none"/>
              </w:rPr>
              <w:t>125.51062，45.89826</w:t>
            </w:r>
            <w:r>
              <w:rPr>
                <w:rFonts w:ascii="Times New Roman" w:hAnsi="Times New Roman" w:cs="Times New Roman" w:eastAsiaTheme="minorEastAsia"/>
                <w:color w:val="auto"/>
                <w:w w:val="99"/>
                <w:sz w:val="21"/>
                <w:szCs w:val="21"/>
                <w:highlight w:val="none"/>
              </w:rPr>
              <w:t>）</w:t>
            </w:r>
          </w:p>
        </w:tc>
      </w:tr>
    </w:tbl>
    <w:p w14:paraId="03E5CDD9">
      <w:pPr>
        <w:widowControl w:val="0"/>
        <w:spacing w:line="440" w:lineRule="exact"/>
        <w:ind w:firstLine="474" w:firstLineChars="200"/>
        <w:jc w:val="both"/>
        <w:rPr>
          <w:rFonts w:ascii="Times New Roman" w:hAnsi="Times New Roman" w:cs="Times New Roman" w:eastAsiaTheme="minorEastAsia"/>
          <w:bCs/>
          <w:color w:val="auto"/>
          <w:w w:val="99"/>
          <w:kern w:val="21"/>
          <w:szCs w:val="20"/>
          <w:highlight w:val="none"/>
        </w:rPr>
      </w:pPr>
      <w:r>
        <w:rPr>
          <w:rFonts w:hint="eastAsia"/>
          <w:bCs/>
          <w:color w:val="auto"/>
          <w:w w:val="99"/>
          <w:kern w:val="21"/>
          <w:szCs w:val="20"/>
          <w:highlight w:val="none"/>
          <w:lang w:eastAsia="ja-JP"/>
        </w:rPr>
        <w:t>②</w:t>
      </w:r>
      <w:r>
        <w:rPr>
          <w:rFonts w:ascii="Times New Roman" w:hAnsi="Times New Roman" w:cs="Times New Roman" w:eastAsiaTheme="minorEastAsia"/>
          <w:bCs/>
          <w:color w:val="auto"/>
          <w:w w:val="99"/>
          <w:kern w:val="21"/>
          <w:szCs w:val="20"/>
          <w:highlight w:val="none"/>
        </w:rPr>
        <w:t>监测因子</w:t>
      </w:r>
    </w:p>
    <w:p w14:paraId="2216A579">
      <w:pPr>
        <w:widowControl w:val="0"/>
        <w:spacing w:line="440" w:lineRule="exact"/>
        <w:ind w:firstLine="474" w:firstLineChars="200"/>
        <w:jc w:val="both"/>
        <w:rPr>
          <w:rFonts w:ascii="Times New Roman" w:hAnsi="Times New Roman" w:cs="Times New Roman" w:eastAsiaTheme="minorEastAsia"/>
          <w:bCs/>
          <w:color w:val="auto"/>
          <w:w w:val="99"/>
          <w:kern w:val="21"/>
          <w:szCs w:val="20"/>
          <w:highlight w:val="none"/>
        </w:rPr>
      </w:pPr>
      <w:r>
        <w:rPr>
          <w:rFonts w:ascii="Times New Roman" w:hAnsi="Times New Roman" w:cs="Times New Roman" w:eastAsiaTheme="minorEastAsia"/>
          <w:bCs/>
          <w:color w:val="auto"/>
          <w:w w:val="99"/>
          <w:kern w:val="21"/>
          <w:szCs w:val="20"/>
          <w:highlight w:val="none"/>
        </w:rPr>
        <w:t>根据区块内已建场站及井场的污染特点，选取可能对地下水造成污染的特征因子进行监测，即监测pH、铅、铬、汞、砷、石油类</w:t>
      </w:r>
      <w:r>
        <w:rPr>
          <w:rFonts w:hint="eastAsia" w:ascii="Times New Roman" w:hAnsi="Times New Roman" w:cs="Times New Roman" w:eastAsiaTheme="minorEastAsia"/>
          <w:bCs/>
          <w:color w:val="auto"/>
          <w:w w:val="99"/>
          <w:kern w:val="21"/>
          <w:szCs w:val="20"/>
          <w:highlight w:val="none"/>
        </w:rPr>
        <w:t>、挥发酚、铜、镍、锌</w:t>
      </w:r>
      <w:r>
        <w:rPr>
          <w:rFonts w:ascii="Times New Roman" w:hAnsi="Times New Roman" w:cs="Times New Roman" w:eastAsiaTheme="minorEastAsia"/>
          <w:bCs/>
          <w:color w:val="auto"/>
          <w:w w:val="99"/>
          <w:kern w:val="21"/>
          <w:szCs w:val="20"/>
          <w:highlight w:val="none"/>
        </w:rPr>
        <w:t>，共</w:t>
      </w:r>
      <w:r>
        <w:rPr>
          <w:rFonts w:hint="eastAsia" w:ascii="Times New Roman" w:hAnsi="Times New Roman" w:cs="Times New Roman" w:eastAsiaTheme="minorEastAsia"/>
          <w:bCs/>
          <w:color w:val="auto"/>
          <w:w w:val="99"/>
          <w:kern w:val="21"/>
          <w:szCs w:val="20"/>
          <w:highlight w:val="none"/>
        </w:rPr>
        <w:t>11</w:t>
      </w:r>
      <w:r>
        <w:rPr>
          <w:rFonts w:ascii="Times New Roman" w:hAnsi="Times New Roman" w:cs="Times New Roman" w:eastAsiaTheme="minorEastAsia"/>
          <w:bCs/>
          <w:color w:val="auto"/>
          <w:w w:val="99"/>
          <w:kern w:val="21"/>
          <w:szCs w:val="20"/>
          <w:highlight w:val="none"/>
        </w:rPr>
        <w:t>项指标。</w:t>
      </w:r>
    </w:p>
    <w:p w14:paraId="59D6C9CE">
      <w:pPr>
        <w:widowControl w:val="0"/>
        <w:spacing w:line="440" w:lineRule="exact"/>
        <w:ind w:firstLine="474" w:firstLineChars="200"/>
        <w:jc w:val="both"/>
        <w:rPr>
          <w:rFonts w:ascii="Times New Roman" w:hAnsi="Times New Roman" w:cs="Times New Roman" w:eastAsiaTheme="minorEastAsia"/>
          <w:bCs/>
          <w:color w:val="auto"/>
          <w:w w:val="99"/>
          <w:kern w:val="21"/>
          <w:szCs w:val="20"/>
          <w:highlight w:val="none"/>
        </w:rPr>
      </w:pPr>
      <w:r>
        <w:rPr>
          <w:rFonts w:hint="eastAsia"/>
          <w:bCs/>
          <w:color w:val="auto"/>
          <w:w w:val="99"/>
          <w:kern w:val="21"/>
          <w:szCs w:val="20"/>
          <w:highlight w:val="none"/>
          <w:lang w:eastAsia="ja-JP"/>
        </w:rPr>
        <w:t>③</w:t>
      </w:r>
      <w:r>
        <w:rPr>
          <w:rFonts w:ascii="Times New Roman" w:hAnsi="Times New Roman" w:cs="Times New Roman" w:eastAsiaTheme="minorEastAsia"/>
          <w:bCs/>
          <w:color w:val="auto"/>
          <w:w w:val="99"/>
          <w:kern w:val="21"/>
          <w:szCs w:val="20"/>
          <w:highlight w:val="none"/>
        </w:rPr>
        <w:t>监测时间</w:t>
      </w:r>
    </w:p>
    <w:p w14:paraId="2008BC2E">
      <w:pPr>
        <w:widowControl w:val="0"/>
        <w:spacing w:line="440" w:lineRule="exact"/>
        <w:ind w:firstLine="474" w:firstLineChars="200"/>
        <w:jc w:val="both"/>
        <w:rPr>
          <w:rFonts w:ascii="Times New Roman" w:hAnsi="Times New Roman" w:cs="Times New Roman" w:eastAsiaTheme="minorEastAsia"/>
          <w:bCs/>
          <w:color w:val="auto"/>
          <w:w w:val="99"/>
          <w:kern w:val="21"/>
          <w:szCs w:val="20"/>
          <w:highlight w:val="none"/>
        </w:rPr>
      </w:pPr>
      <w:r>
        <w:rPr>
          <w:rFonts w:ascii="Times New Roman" w:hAnsi="Times New Roman" w:cs="Times New Roman" w:eastAsiaTheme="minorEastAsia"/>
          <w:bCs/>
          <w:color w:val="auto"/>
          <w:w w:val="99"/>
          <w:kern w:val="21"/>
          <w:szCs w:val="20"/>
          <w:highlight w:val="none"/>
        </w:rPr>
        <w:t>202</w:t>
      </w:r>
      <w:r>
        <w:rPr>
          <w:rFonts w:hint="eastAsia" w:ascii="Times New Roman" w:hAnsi="Times New Roman" w:cs="Times New Roman" w:eastAsiaTheme="minorEastAsia"/>
          <w:bCs/>
          <w:color w:val="auto"/>
          <w:w w:val="99"/>
          <w:kern w:val="21"/>
          <w:szCs w:val="20"/>
          <w:highlight w:val="none"/>
        </w:rPr>
        <w:t>5</w:t>
      </w:r>
      <w:r>
        <w:rPr>
          <w:rFonts w:ascii="Times New Roman" w:hAnsi="Times New Roman" w:cs="Times New Roman" w:eastAsiaTheme="minorEastAsia"/>
          <w:bCs/>
          <w:color w:val="auto"/>
          <w:w w:val="99"/>
          <w:kern w:val="21"/>
          <w:szCs w:val="20"/>
          <w:highlight w:val="none"/>
        </w:rPr>
        <w:t>年</w:t>
      </w:r>
      <w:r>
        <w:rPr>
          <w:rFonts w:hint="eastAsia" w:ascii="Times New Roman" w:hAnsi="Times New Roman" w:cs="Times New Roman" w:eastAsiaTheme="minorEastAsia"/>
          <w:bCs/>
          <w:color w:val="auto"/>
          <w:w w:val="99"/>
          <w:kern w:val="21"/>
          <w:szCs w:val="20"/>
          <w:highlight w:val="none"/>
        </w:rPr>
        <w:t>3</w:t>
      </w:r>
      <w:r>
        <w:rPr>
          <w:rFonts w:ascii="Times New Roman" w:hAnsi="Times New Roman" w:cs="Times New Roman" w:eastAsiaTheme="minorEastAsia"/>
          <w:bCs/>
          <w:color w:val="auto"/>
          <w:w w:val="99"/>
          <w:kern w:val="21"/>
          <w:szCs w:val="20"/>
          <w:highlight w:val="none"/>
        </w:rPr>
        <w:t>月</w:t>
      </w:r>
      <w:r>
        <w:rPr>
          <w:rFonts w:hint="eastAsia" w:ascii="Times New Roman" w:hAnsi="Times New Roman" w:cs="Times New Roman" w:eastAsiaTheme="minorEastAsia"/>
          <w:bCs/>
          <w:color w:val="auto"/>
          <w:w w:val="99"/>
          <w:kern w:val="21"/>
          <w:szCs w:val="20"/>
          <w:highlight w:val="none"/>
        </w:rPr>
        <w:t>26</w:t>
      </w:r>
      <w:r>
        <w:rPr>
          <w:rFonts w:ascii="Times New Roman" w:hAnsi="Times New Roman" w:cs="Times New Roman" w:eastAsiaTheme="minorEastAsia"/>
          <w:bCs/>
          <w:color w:val="auto"/>
          <w:w w:val="99"/>
          <w:kern w:val="21"/>
          <w:szCs w:val="20"/>
          <w:highlight w:val="none"/>
        </w:rPr>
        <w:t>日。</w:t>
      </w:r>
    </w:p>
    <w:p w14:paraId="0A27EA1C">
      <w:pPr>
        <w:widowControl w:val="0"/>
        <w:spacing w:line="440" w:lineRule="exact"/>
        <w:ind w:firstLine="474" w:firstLineChars="200"/>
        <w:jc w:val="both"/>
        <w:rPr>
          <w:rFonts w:ascii="Times New Roman" w:hAnsi="Times New Roman" w:cs="Times New Roman" w:eastAsiaTheme="minorEastAsia"/>
          <w:bCs/>
          <w:color w:val="auto"/>
          <w:w w:val="99"/>
          <w:kern w:val="21"/>
          <w:szCs w:val="20"/>
          <w:highlight w:val="none"/>
        </w:rPr>
      </w:pPr>
      <w:r>
        <w:rPr>
          <w:rFonts w:hint="eastAsia"/>
          <w:bCs/>
          <w:color w:val="auto"/>
          <w:w w:val="99"/>
          <w:kern w:val="21"/>
          <w:szCs w:val="20"/>
          <w:highlight w:val="none"/>
          <w:lang w:eastAsia="ja-JP"/>
        </w:rPr>
        <w:t>④</w:t>
      </w:r>
      <w:r>
        <w:rPr>
          <w:rFonts w:ascii="Times New Roman" w:hAnsi="Times New Roman" w:cs="Times New Roman" w:eastAsiaTheme="minorEastAsia"/>
          <w:bCs/>
          <w:color w:val="auto"/>
          <w:w w:val="99"/>
          <w:kern w:val="21"/>
          <w:szCs w:val="20"/>
          <w:highlight w:val="none"/>
        </w:rPr>
        <w:t>监测结果</w:t>
      </w:r>
    </w:p>
    <w:p w14:paraId="384CECE5">
      <w:pPr>
        <w:pStyle w:val="153"/>
        <w:widowControl w:val="0"/>
        <w:spacing w:line="440" w:lineRule="exact"/>
        <w:ind w:firstLine="474"/>
        <w:jc w:val="both"/>
        <w:rPr>
          <w:rFonts w:ascii="Times New Roman" w:hAnsi="Times New Roman" w:eastAsiaTheme="minorEastAsia"/>
          <w:b/>
          <w:bCs/>
          <w:color w:val="auto"/>
          <w:w w:val="99"/>
          <w:kern w:val="21"/>
          <w:szCs w:val="20"/>
          <w:highlight w:val="none"/>
        </w:rPr>
      </w:pPr>
      <w:r>
        <w:rPr>
          <w:rFonts w:ascii="Times New Roman" w:hAnsi="Times New Roman" w:eastAsiaTheme="minorEastAsia"/>
          <w:b/>
          <w:bCs/>
          <w:color w:val="auto"/>
          <w:w w:val="99"/>
          <w:kern w:val="21"/>
          <w:szCs w:val="20"/>
          <w:highlight w:val="none"/>
        </w:rPr>
        <w:t>表</w:t>
      </w:r>
      <w:r>
        <w:rPr>
          <w:rFonts w:ascii="Times New Roman" w:hAnsi="Times New Roman" w:eastAsiaTheme="minorEastAsia"/>
          <w:b/>
          <w:color w:val="auto"/>
          <w:w w:val="99"/>
          <w:kern w:val="2"/>
          <w:szCs w:val="20"/>
          <w:highlight w:val="none"/>
        </w:rPr>
        <w:t>4.3-1</w:t>
      </w:r>
      <w:r>
        <w:rPr>
          <w:rFonts w:hint="eastAsia" w:ascii="Times New Roman" w:hAnsi="Times New Roman" w:eastAsiaTheme="minorEastAsia"/>
          <w:b/>
          <w:color w:val="auto"/>
          <w:w w:val="99"/>
          <w:kern w:val="2"/>
          <w:szCs w:val="20"/>
          <w:highlight w:val="none"/>
        </w:rPr>
        <w:t>5</w:t>
      </w:r>
      <w:r>
        <w:rPr>
          <w:rFonts w:ascii="Times New Roman" w:hAnsi="Times New Roman" w:eastAsiaTheme="minorEastAsia"/>
          <w:b/>
          <w:bCs/>
          <w:color w:val="auto"/>
          <w:w w:val="99"/>
          <w:kern w:val="21"/>
          <w:szCs w:val="20"/>
          <w:highlight w:val="none"/>
        </w:rPr>
        <w:t xml:space="preserve">    包气带现状调查结果</w:t>
      </w:r>
    </w:p>
    <w:tbl>
      <w:tblPr>
        <w:tblStyle w:val="8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9"/>
        <w:gridCol w:w="1648"/>
        <w:gridCol w:w="1701"/>
        <w:gridCol w:w="2597"/>
        <w:gridCol w:w="2012"/>
      </w:tblGrid>
      <w:tr w14:paraId="21576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vAlign w:val="center"/>
          </w:tcPr>
          <w:p w14:paraId="7A28D3EC">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监测时间</w:t>
            </w:r>
          </w:p>
        </w:tc>
        <w:tc>
          <w:tcPr>
            <w:tcW w:w="4283" w:type="pct"/>
            <w:gridSpan w:val="4"/>
            <w:vAlign w:val="center"/>
          </w:tcPr>
          <w:p w14:paraId="0B56F08F">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w:t>
            </w:r>
            <w:r>
              <w:rPr>
                <w:rFonts w:hint="eastAsia" w:ascii="Times New Roman" w:hAnsi="Times New Roman" w:cs="Times New Roman" w:eastAsiaTheme="minorEastAsia"/>
                <w:color w:val="auto"/>
                <w:w w:val="99"/>
                <w:sz w:val="21"/>
                <w:szCs w:val="21"/>
                <w:highlight w:val="none"/>
              </w:rPr>
              <w:t>025</w:t>
            </w:r>
            <w:r>
              <w:rPr>
                <w:rFonts w:ascii="Times New Roman" w:hAnsi="Times New Roman" w:cs="Times New Roman" w:eastAsiaTheme="minorEastAsia"/>
                <w:color w:val="auto"/>
                <w:w w:val="99"/>
                <w:sz w:val="21"/>
                <w:szCs w:val="21"/>
                <w:highlight w:val="none"/>
              </w:rPr>
              <w:t>.</w:t>
            </w:r>
            <w:r>
              <w:rPr>
                <w:rFonts w:hint="eastAsia" w:ascii="Times New Roman" w:hAnsi="Times New Roman" w:cs="Times New Roman" w:eastAsiaTheme="minorEastAsia"/>
                <w:color w:val="auto"/>
                <w:w w:val="99"/>
                <w:sz w:val="21"/>
                <w:szCs w:val="21"/>
                <w:highlight w:val="none"/>
              </w:rPr>
              <w:t>3.26</w:t>
            </w:r>
          </w:p>
        </w:tc>
      </w:tr>
      <w:tr w14:paraId="29A58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vMerge w:val="restart"/>
            <w:vAlign w:val="center"/>
          </w:tcPr>
          <w:p w14:paraId="300EFAEC">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监测项目</w:t>
            </w:r>
          </w:p>
        </w:tc>
        <w:tc>
          <w:tcPr>
            <w:tcW w:w="3351" w:type="dxa"/>
            <w:gridSpan w:val="2"/>
            <w:vAlign w:val="center"/>
          </w:tcPr>
          <w:p w14:paraId="49BD0707">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区域已建徐深27井场</w:t>
            </w:r>
          </w:p>
        </w:tc>
        <w:tc>
          <w:tcPr>
            <w:tcW w:w="4605" w:type="dxa"/>
            <w:gridSpan w:val="2"/>
            <w:vAlign w:val="center"/>
          </w:tcPr>
          <w:p w14:paraId="73C36278">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已建徐深27井场南侧200m耕地</w:t>
            </w:r>
          </w:p>
        </w:tc>
      </w:tr>
      <w:tr w14:paraId="7B2C8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vMerge w:val="continue"/>
            <w:vAlign w:val="center"/>
          </w:tcPr>
          <w:p w14:paraId="4E5F9CA7">
            <w:pPr>
              <w:spacing w:line="320" w:lineRule="exact"/>
              <w:jc w:val="center"/>
              <w:rPr>
                <w:rFonts w:ascii="Times New Roman" w:hAnsi="Times New Roman" w:cs="Times New Roman" w:eastAsiaTheme="minorEastAsia"/>
                <w:color w:val="auto"/>
                <w:w w:val="99"/>
                <w:sz w:val="21"/>
                <w:szCs w:val="21"/>
                <w:highlight w:val="none"/>
              </w:rPr>
            </w:pPr>
          </w:p>
        </w:tc>
        <w:tc>
          <w:tcPr>
            <w:tcW w:w="887" w:type="pct"/>
            <w:vAlign w:val="center"/>
          </w:tcPr>
          <w:p w14:paraId="45098A09">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0～20cm</w:t>
            </w:r>
          </w:p>
        </w:tc>
        <w:tc>
          <w:tcPr>
            <w:tcW w:w="916" w:type="pct"/>
            <w:vAlign w:val="center"/>
          </w:tcPr>
          <w:p w14:paraId="1A014D2B">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20～40cm</w:t>
            </w:r>
          </w:p>
        </w:tc>
        <w:tc>
          <w:tcPr>
            <w:tcW w:w="1398" w:type="pct"/>
            <w:vAlign w:val="center"/>
          </w:tcPr>
          <w:p w14:paraId="3EFA328D">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0～20cm</w:t>
            </w:r>
          </w:p>
        </w:tc>
        <w:tc>
          <w:tcPr>
            <w:tcW w:w="1081" w:type="pct"/>
            <w:vAlign w:val="center"/>
          </w:tcPr>
          <w:p w14:paraId="1F723373">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20～40cm</w:t>
            </w:r>
          </w:p>
        </w:tc>
      </w:tr>
      <w:tr w14:paraId="156C0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vAlign w:val="center"/>
          </w:tcPr>
          <w:p w14:paraId="778FE171">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pH</w:t>
            </w:r>
          </w:p>
        </w:tc>
        <w:tc>
          <w:tcPr>
            <w:tcW w:w="887" w:type="pct"/>
            <w:vAlign w:val="center"/>
          </w:tcPr>
          <w:p w14:paraId="65C89BEB">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7.9</w:t>
            </w:r>
          </w:p>
        </w:tc>
        <w:tc>
          <w:tcPr>
            <w:tcW w:w="916" w:type="pct"/>
            <w:vAlign w:val="center"/>
          </w:tcPr>
          <w:p w14:paraId="5C12678D">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8.0</w:t>
            </w:r>
          </w:p>
        </w:tc>
        <w:tc>
          <w:tcPr>
            <w:tcW w:w="1398" w:type="pct"/>
            <w:vAlign w:val="center"/>
          </w:tcPr>
          <w:p w14:paraId="491B7C9D">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7.8</w:t>
            </w:r>
          </w:p>
        </w:tc>
        <w:tc>
          <w:tcPr>
            <w:tcW w:w="1081" w:type="pct"/>
            <w:vAlign w:val="center"/>
          </w:tcPr>
          <w:p w14:paraId="3E887E8F">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7.7</w:t>
            </w:r>
          </w:p>
        </w:tc>
      </w:tr>
      <w:tr w14:paraId="05740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vAlign w:val="center"/>
          </w:tcPr>
          <w:p w14:paraId="6B5D06F1">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铅</w:t>
            </w:r>
          </w:p>
        </w:tc>
        <w:tc>
          <w:tcPr>
            <w:tcW w:w="887" w:type="pct"/>
            <w:vAlign w:val="center"/>
          </w:tcPr>
          <w:p w14:paraId="6AE04BD3">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5.0</w:t>
            </w:r>
          </w:p>
        </w:tc>
        <w:tc>
          <w:tcPr>
            <w:tcW w:w="916" w:type="pct"/>
            <w:vAlign w:val="center"/>
          </w:tcPr>
          <w:p w14:paraId="39C9DCA8">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5.3</w:t>
            </w:r>
          </w:p>
        </w:tc>
        <w:tc>
          <w:tcPr>
            <w:tcW w:w="1398" w:type="pct"/>
            <w:vAlign w:val="center"/>
          </w:tcPr>
          <w:p w14:paraId="1022EE61">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5.4</w:t>
            </w:r>
          </w:p>
        </w:tc>
        <w:tc>
          <w:tcPr>
            <w:tcW w:w="1081" w:type="pct"/>
            <w:vAlign w:val="center"/>
          </w:tcPr>
          <w:p w14:paraId="271FAE72">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5.0</w:t>
            </w:r>
          </w:p>
        </w:tc>
      </w:tr>
      <w:tr w14:paraId="4F254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vAlign w:val="center"/>
          </w:tcPr>
          <w:p w14:paraId="508465CA">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镉</w:t>
            </w:r>
          </w:p>
        </w:tc>
        <w:tc>
          <w:tcPr>
            <w:tcW w:w="887" w:type="pct"/>
            <w:vAlign w:val="center"/>
          </w:tcPr>
          <w:p w14:paraId="0241D59F">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0.12</w:t>
            </w:r>
          </w:p>
        </w:tc>
        <w:tc>
          <w:tcPr>
            <w:tcW w:w="916" w:type="pct"/>
            <w:vAlign w:val="center"/>
          </w:tcPr>
          <w:p w14:paraId="32ACE312">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0.11</w:t>
            </w:r>
          </w:p>
        </w:tc>
        <w:tc>
          <w:tcPr>
            <w:tcW w:w="1398" w:type="pct"/>
            <w:vAlign w:val="center"/>
          </w:tcPr>
          <w:p w14:paraId="2D8FE6C2">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0.13</w:t>
            </w:r>
          </w:p>
        </w:tc>
        <w:tc>
          <w:tcPr>
            <w:tcW w:w="1081" w:type="pct"/>
            <w:vAlign w:val="center"/>
          </w:tcPr>
          <w:p w14:paraId="04947A52">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0.11</w:t>
            </w:r>
          </w:p>
        </w:tc>
      </w:tr>
      <w:tr w14:paraId="2D5D3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vAlign w:val="center"/>
          </w:tcPr>
          <w:p w14:paraId="64256378">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汞</w:t>
            </w:r>
          </w:p>
        </w:tc>
        <w:tc>
          <w:tcPr>
            <w:tcW w:w="887" w:type="pct"/>
            <w:vAlign w:val="center"/>
          </w:tcPr>
          <w:p w14:paraId="0965E730">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0.04L</w:t>
            </w:r>
          </w:p>
        </w:tc>
        <w:tc>
          <w:tcPr>
            <w:tcW w:w="916" w:type="pct"/>
            <w:vAlign w:val="center"/>
          </w:tcPr>
          <w:p w14:paraId="2562C1D4">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0.04L</w:t>
            </w:r>
          </w:p>
        </w:tc>
        <w:tc>
          <w:tcPr>
            <w:tcW w:w="1398" w:type="pct"/>
            <w:vAlign w:val="center"/>
          </w:tcPr>
          <w:p w14:paraId="58B2ADFE">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0.04L</w:t>
            </w:r>
          </w:p>
        </w:tc>
        <w:tc>
          <w:tcPr>
            <w:tcW w:w="1081" w:type="pct"/>
            <w:vAlign w:val="center"/>
          </w:tcPr>
          <w:p w14:paraId="59C9CA28">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0.04L</w:t>
            </w:r>
          </w:p>
        </w:tc>
      </w:tr>
      <w:tr w14:paraId="448D4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vAlign w:val="center"/>
          </w:tcPr>
          <w:p w14:paraId="6BC9095D">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总铬</w:t>
            </w:r>
          </w:p>
        </w:tc>
        <w:tc>
          <w:tcPr>
            <w:tcW w:w="887" w:type="pct"/>
            <w:vAlign w:val="center"/>
          </w:tcPr>
          <w:p w14:paraId="1A79263B">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0.12</w:t>
            </w:r>
          </w:p>
        </w:tc>
        <w:tc>
          <w:tcPr>
            <w:tcW w:w="916" w:type="pct"/>
            <w:vAlign w:val="center"/>
          </w:tcPr>
          <w:p w14:paraId="34BC5936">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0.10</w:t>
            </w:r>
          </w:p>
        </w:tc>
        <w:tc>
          <w:tcPr>
            <w:tcW w:w="1398" w:type="pct"/>
            <w:vAlign w:val="center"/>
          </w:tcPr>
          <w:p w14:paraId="38B733CD">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0.13</w:t>
            </w:r>
          </w:p>
        </w:tc>
        <w:tc>
          <w:tcPr>
            <w:tcW w:w="1081" w:type="pct"/>
            <w:vAlign w:val="center"/>
          </w:tcPr>
          <w:p w14:paraId="674B0860">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0.15</w:t>
            </w:r>
          </w:p>
        </w:tc>
      </w:tr>
      <w:tr w14:paraId="3AAAE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vAlign w:val="center"/>
          </w:tcPr>
          <w:p w14:paraId="7A020165">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石油类</w:t>
            </w:r>
          </w:p>
        </w:tc>
        <w:tc>
          <w:tcPr>
            <w:tcW w:w="887" w:type="pct"/>
            <w:vAlign w:val="center"/>
          </w:tcPr>
          <w:p w14:paraId="39FC6C57">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0.06</w:t>
            </w:r>
          </w:p>
        </w:tc>
        <w:tc>
          <w:tcPr>
            <w:tcW w:w="916" w:type="pct"/>
            <w:vAlign w:val="center"/>
          </w:tcPr>
          <w:p w14:paraId="23D507C5">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0.11</w:t>
            </w:r>
          </w:p>
        </w:tc>
        <w:tc>
          <w:tcPr>
            <w:tcW w:w="1398" w:type="pct"/>
            <w:vAlign w:val="center"/>
          </w:tcPr>
          <w:p w14:paraId="3E97D2F4">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0.10</w:t>
            </w:r>
          </w:p>
        </w:tc>
        <w:tc>
          <w:tcPr>
            <w:tcW w:w="1081" w:type="pct"/>
            <w:vAlign w:val="center"/>
          </w:tcPr>
          <w:p w14:paraId="6184B1EE">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0.07</w:t>
            </w:r>
          </w:p>
        </w:tc>
      </w:tr>
      <w:tr w14:paraId="48025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vAlign w:val="bottom"/>
          </w:tcPr>
          <w:p w14:paraId="49B0002A">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砷</w:t>
            </w:r>
          </w:p>
        </w:tc>
        <w:tc>
          <w:tcPr>
            <w:tcW w:w="887" w:type="pct"/>
            <w:vAlign w:val="bottom"/>
          </w:tcPr>
          <w:p w14:paraId="0003331D">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0.3L</w:t>
            </w:r>
          </w:p>
        </w:tc>
        <w:tc>
          <w:tcPr>
            <w:tcW w:w="916" w:type="pct"/>
            <w:vAlign w:val="bottom"/>
          </w:tcPr>
          <w:p w14:paraId="15CC8993">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0.3L</w:t>
            </w:r>
          </w:p>
        </w:tc>
        <w:tc>
          <w:tcPr>
            <w:tcW w:w="1398" w:type="pct"/>
            <w:vAlign w:val="bottom"/>
          </w:tcPr>
          <w:p w14:paraId="62C67C0E">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0.3L</w:t>
            </w:r>
          </w:p>
        </w:tc>
        <w:tc>
          <w:tcPr>
            <w:tcW w:w="1081" w:type="pct"/>
            <w:vAlign w:val="bottom"/>
          </w:tcPr>
          <w:p w14:paraId="739220D4">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0.3L</w:t>
            </w:r>
          </w:p>
        </w:tc>
      </w:tr>
      <w:tr w14:paraId="7DC00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vAlign w:val="bottom"/>
          </w:tcPr>
          <w:p w14:paraId="1BF2698C">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挥发酚</w:t>
            </w:r>
          </w:p>
        </w:tc>
        <w:tc>
          <w:tcPr>
            <w:tcW w:w="887" w:type="pct"/>
            <w:vAlign w:val="bottom"/>
          </w:tcPr>
          <w:p w14:paraId="3DC7ED09">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0.0012</w:t>
            </w:r>
          </w:p>
        </w:tc>
        <w:tc>
          <w:tcPr>
            <w:tcW w:w="916" w:type="pct"/>
            <w:vAlign w:val="bottom"/>
          </w:tcPr>
          <w:p w14:paraId="39DD4F8E">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0.0014</w:t>
            </w:r>
          </w:p>
        </w:tc>
        <w:tc>
          <w:tcPr>
            <w:tcW w:w="1398" w:type="pct"/>
            <w:vAlign w:val="bottom"/>
          </w:tcPr>
          <w:p w14:paraId="7A41D9E4">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0.0009</w:t>
            </w:r>
          </w:p>
        </w:tc>
        <w:tc>
          <w:tcPr>
            <w:tcW w:w="1081" w:type="pct"/>
            <w:vAlign w:val="bottom"/>
          </w:tcPr>
          <w:p w14:paraId="4B5101D4">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0.0012</w:t>
            </w:r>
          </w:p>
        </w:tc>
      </w:tr>
      <w:tr w14:paraId="64664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vAlign w:val="bottom"/>
          </w:tcPr>
          <w:p w14:paraId="4A084867">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铜</w:t>
            </w:r>
          </w:p>
        </w:tc>
        <w:tc>
          <w:tcPr>
            <w:tcW w:w="887" w:type="pct"/>
            <w:vAlign w:val="bottom"/>
          </w:tcPr>
          <w:p w14:paraId="3ACE6AAA">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0.008</w:t>
            </w:r>
          </w:p>
        </w:tc>
        <w:tc>
          <w:tcPr>
            <w:tcW w:w="916" w:type="pct"/>
            <w:vAlign w:val="bottom"/>
          </w:tcPr>
          <w:p w14:paraId="1BDECE08">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0.010</w:t>
            </w:r>
          </w:p>
        </w:tc>
        <w:tc>
          <w:tcPr>
            <w:tcW w:w="1398" w:type="pct"/>
            <w:vAlign w:val="bottom"/>
          </w:tcPr>
          <w:p w14:paraId="4D92CD51">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0.009</w:t>
            </w:r>
          </w:p>
        </w:tc>
        <w:tc>
          <w:tcPr>
            <w:tcW w:w="1081" w:type="pct"/>
            <w:vAlign w:val="bottom"/>
          </w:tcPr>
          <w:p w14:paraId="13DB700C">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0.011</w:t>
            </w:r>
          </w:p>
        </w:tc>
      </w:tr>
      <w:tr w14:paraId="645AC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vAlign w:val="bottom"/>
          </w:tcPr>
          <w:p w14:paraId="435C4757">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镍</w:t>
            </w:r>
          </w:p>
        </w:tc>
        <w:tc>
          <w:tcPr>
            <w:tcW w:w="887" w:type="pct"/>
            <w:vAlign w:val="bottom"/>
          </w:tcPr>
          <w:p w14:paraId="4629AA19">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0.07</w:t>
            </w:r>
          </w:p>
        </w:tc>
        <w:tc>
          <w:tcPr>
            <w:tcW w:w="916" w:type="pct"/>
            <w:vAlign w:val="bottom"/>
          </w:tcPr>
          <w:p w14:paraId="476F6496">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0.09</w:t>
            </w:r>
          </w:p>
        </w:tc>
        <w:tc>
          <w:tcPr>
            <w:tcW w:w="1398" w:type="pct"/>
            <w:vAlign w:val="bottom"/>
          </w:tcPr>
          <w:p w14:paraId="1772B0BA">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0.11</w:t>
            </w:r>
          </w:p>
        </w:tc>
        <w:tc>
          <w:tcPr>
            <w:tcW w:w="1081" w:type="pct"/>
            <w:vAlign w:val="bottom"/>
          </w:tcPr>
          <w:p w14:paraId="25F28811">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0.09</w:t>
            </w:r>
          </w:p>
        </w:tc>
      </w:tr>
      <w:tr w14:paraId="40EF9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vAlign w:val="bottom"/>
          </w:tcPr>
          <w:p w14:paraId="0A5F03F9">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锌</w:t>
            </w:r>
          </w:p>
        </w:tc>
        <w:tc>
          <w:tcPr>
            <w:tcW w:w="887" w:type="pct"/>
            <w:vAlign w:val="bottom"/>
          </w:tcPr>
          <w:p w14:paraId="7A28286B">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0.10</w:t>
            </w:r>
          </w:p>
        </w:tc>
        <w:tc>
          <w:tcPr>
            <w:tcW w:w="916" w:type="pct"/>
            <w:vAlign w:val="bottom"/>
          </w:tcPr>
          <w:p w14:paraId="71A37D37">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0.08</w:t>
            </w:r>
          </w:p>
        </w:tc>
        <w:tc>
          <w:tcPr>
            <w:tcW w:w="1398" w:type="pct"/>
            <w:vAlign w:val="bottom"/>
          </w:tcPr>
          <w:p w14:paraId="280799FF">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0.07</w:t>
            </w:r>
          </w:p>
        </w:tc>
        <w:tc>
          <w:tcPr>
            <w:tcW w:w="1081" w:type="pct"/>
            <w:vAlign w:val="bottom"/>
          </w:tcPr>
          <w:p w14:paraId="46AB9E95">
            <w:pPr>
              <w:spacing w:line="24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0.06</w:t>
            </w:r>
          </w:p>
        </w:tc>
      </w:tr>
      <w:tr w14:paraId="45F5B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5"/>
            <w:vAlign w:val="center"/>
          </w:tcPr>
          <w:p w14:paraId="427C7DB9">
            <w:pPr>
              <w:pStyle w:val="67"/>
              <w:adjustRightInd w:val="0"/>
              <w:spacing w:line="320" w:lineRule="exact"/>
              <w:ind w:left="0"/>
              <w:rPr>
                <w:rFonts w:ascii="Times New Roman" w:hAnsi="Times New Roman" w:eastAsiaTheme="minorEastAsia"/>
                <w:smallCaps w:val="0"/>
                <w:color w:val="auto"/>
                <w:w w:val="99"/>
                <w:kern w:val="0"/>
                <w:sz w:val="21"/>
                <w:szCs w:val="21"/>
                <w:highlight w:val="none"/>
              </w:rPr>
            </w:pPr>
            <w:r>
              <w:rPr>
                <w:rFonts w:ascii="Times New Roman" w:hAnsi="Times New Roman" w:eastAsiaTheme="minorEastAsia"/>
                <w:smallCaps w:val="0"/>
                <w:color w:val="auto"/>
                <w:w w:val="99"/>
                <w:kern w:val="0"/>
                <w:sz w:val="21"/>
                <w:szCs w:val="21"/>
                <w:highlight w:val="none"/>
              </w:rPr>
              <w:t>注：</w:t>
            </w:r>
            <w:r>
              <w:rPr>
                <w:rFonts w:hint="eastAsia" w:ascii="Times New Roman" w:hAnsi="Times New Roman" w:eastAsiaTheme="minorEastAsia"/>
                <w:smallCaps w:val="0"/>
                <w:color w:val="auto"/>
                <w:w w:val="99"/>
                <w:kern w:val="0"/>
                <w:sz w:val="21"/>
                <w:szCs w:val="21"/>
                <w:highlight w:val="none"/>
              </w:rPr>
              <w:t>1、采样深度位于0cm～20cm、20cm～40cm；</w:t>
            </w:r>
          </w:p>
          <w:p w14:paraId="3CEFF454">
            <w:pPr>
              <w:pStyle w:val="67"/>
              <w:adjustRightInd w:val="0"/>
              <w:spacing w:line="320" w:lineRule="exact"/>
              <w:ind w:left="0"/>
              <w:rPr>
                <w:rFonts w:ascii="Times New Roman" w:hAnsi="Times New Roman" w:eastAsiaTheme="minorEastAsia"/>
                <w:smallCaps w:val="0"/>
                <w:color w:val="auto"/>
                <w:w w:val="99"/>
                <w:kern w:val="0"/>
                <w:sz w:val="21"/>
                <w:szCs w:val="21"/>
                <w:highlight w:val="none"/>
              </w:rPr>
            </w:pPr>
            <w:r>
              <w:rPr>
                <w:rFonts w:hint="eastAsia" w:ascii="Times New Roman" w:hAnsi="Times New Roman" w:eastAsiaTheme="minorEastAsia"/>
                <w:smallCaps w:val="0"/>
                <w:color w:val="auto"/>
                <w:w w:val="99"/>
                <w:kern w:val="0"/>
                <w:sz w:val="21"/>
                <w:szCs w:val="21"/>
                <w:highlight w:val="none"/>
              </w:rPr>
              <w:t>2、实测值数值后面的“L”，表示此检测项目实测值为“未检出”；</w:t>
            </w:r>
          </w:p>
          <w:p w14:paraId="5C7D175A">
            <w:pPr>
              <w:pStyle w:val="67"/>
              <w:adjustRightInd w:val="0"/>
              <w:spacing w:line="320" w:lineRule="exact"/>
              <w:ind w:left="0"/>
              <w:rPr>
                <w:rFonts w:ascii="Times New Roman" w:hAnsi="Times New Roman" w:eastAsiaTheme="minorEastAsia"/>
                <w:smallCaps w:val="0"/>
                <w:color w:val="auto"/>
                <w:w w:val="99"/>
                <w:kern w:val="0"/>
                <w:sz w:val="21"/>
                <w:szCs w:val="21"/>
                <w:highlight w:val="none"/>
              </w:rPr>
            </w:pPr>
            <w:r>
              <w:rPr>
                <w:rFonts w:hint="eastAsia" w:ascii="Times New Roman" w:hAnsi="Times New Roman" w:eastAsiaTheme="minorEastAsia"/>
                <w:smallCaps w:val="0"/>
                <w:color w:val="auto"/>
                <w:w w:val="99"/>
                <w:kern w:val="0"/>
                <w:sz w:val="21"/>
                <w:szCs w:val="21"/>
                <w:highlight w:val="none"/>
              </w:rPr>
              <w:t>3、计量单位：pH无量纲，铅、镉、汞和砷μg/L，总铬和石油类、铜、镍、锌、挥发酚为mg/L</w:t>
            </w:r>
            <w:r>
              <w:rPr>
                <w:rFonts w:ascii="Times New Roman" w:hAnsi="Times New Roman" w:eastAsiaTheme="minorEastAsia"/>
                <w:smallCaps w:val="0"/>
                <w:color w:val="auto"/>
                <w:w w:val="99"/>
                <w:kern w:val="0"/>
                <w:sz w:val="21"/>
                <w:szCs w:val="21"/>
                <w:highlight w:val="none"/>
              </w:rPr>
              <w:t>。</w:t>
            </w:r>
          </w:p>
        </w:tc>
      </w:tr>
    </w:tbl>
    <w:p w14:paraId="7DF642F2">
      <w:pPr>
        <w:widowControl w:val="0"/>
        <w:spacing w:line="440" w:lineRule="exact"/>
        <w:ind w:firstLine="474" w:firstLineChars="200"/>
        <w:jc w:val="both"/>
        <w:rPr>
          <w:rFonts w:ascii="Times New Roman" w:hAnsi="Times New Roman" w:cs="Times New Roman" w:eastAsiaTheme="minorEastAsia"/>
          <w:bCs/>
          <w:color w:val="auto"/>
          <w:w w:val="99"/>
          <w:kern w:val="21"/>
          <w:szCs w:val="20"/>
          <w:highlight w:val="none"/>
        </w:rPr>
      </w:pPr>
      <w:r>
        <w:rPr>
          <w:rFonts w:ascii="Times New Roman" w:hAnsi="Times New Roman" w:cs="Times New Roman" w:eastAsiaTheme="minorEastAsia"/>
          <w:bCs/>
          <w:color w:val="auto"/>
          <w:w w:val="99"/>
          <w:kern w:val="21"/>
          <w:szCs w:val="20"/>
          <w:highlight w:val="none"/>
        </w:rPr>
        <w:t>从调查结果可知，评价区域内包气带中汞、</w:t>
      </w:r>
      <w:r>
        <w:rPr>
          <w:rFonts w:hint="eastAsia" w:ascii="Times New Roman" w:hAnsi="Times New Roman" w:cs="Times New Roman" w:eastAsiaTheme="minorEastAsia"/>
          <w:bCs/>
          <w:color w:val="auto"/>
          <w:w w:val="99"/>
          <w:kern w:val="21"/>
          <w:szCs w:val="20"/>
          <w:highlight w:val="none"/>
        </w:rPr>
        <w:t>挥发酚</w:t>
      </w:r>
      <w:r>
        <w:rPr>
          <w:rFonts w:ascii="Times New Roman" w:hAnsi="Times New Roman" w:cs="Times New Roman" w:eastAsiaTheme="minorEastAsia"/>
          <w:bCs/>
          <w:color w:val="auto"/>
          <w:w w:val="99"/>
          <w:kern w:val="21"/>
          <w:szCs w:val="20"/>
          <w:highlight w:val="none"/>
        </w:rPr>
        <w:t>均未检出，且污染控制点与清洁对照点油田特征污染物石油类、挥发酚所测数值相差不大，评价区域内包气带未被污染。</w:t>
      </w:r>
    </w:p>
    <w:bookmarkEnd w:id="696"/>
    <w:p w14:paraId="6B73417C">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4.3.2.</w:t>
      </w:r>
      <w:r>
        <w:rPr>
          <w:rFonts w:hint="eastAsia" w:ascii="Times New Roman" w:hAnsi="Times New Roman" w:cs="Times New Roman"/>
          <w:b/>
          <w:color w:val="auto"/>
          <w:w w:val="99"/>
          <w:highlight w:val="none"/>
        </w:rPr>
        <w:t>5</w:t>
      </w:r>
      <w:r>
        <w:rPr>
          <w:rFonts w:ascii="Times New Roman" w:hAnsi="Times New Roman" w:cs="Times New Roman"/>
          <w:b/>
          <w:color w:val="auto"/>
          <w:w w:val="99"/>
          <w:highlight w:val="none"/>
        </w:rPr>
        <w:t>地下水环境质量现状评价结论</w:t>
      </w:r>
    </w:p>
    <w:p w14:paraId="3FA430C0">
      <w:pPr>
        <w:pStyle w:val="160"/>
        <w:widowControl w:val="0"/>
        <w:spacing w:line="440" w:lineRule="exact"/>
        <w:ind w:firstLine="473"/>
        <w:jc w:val="both"/>
        <w:rPr>
          <w:rFonts w:ascii="Times New Roman" w:hAnsi="Times New Roman" w:cs="Times New Roman"/>
          <w:color w:val="auto"/>
          <w:w w:val="99"/>
          <w:szCs w:val="20"/>
          <w:highlight w:val="none"/>
        </w:rPr>
      </w:pPr>
      <w:r>
        <w:rPr>
          <w:rFonts w:ascii="Times New Roman" w:hAnsi="Times New Roman" w:cs="Times New Roman"/>
          <w:color w:val="auto"/>
          <w:w w:val="99"/>
          <w:szCs w:val="20"/>
          <w:highlight w:val="none"/>
        </w:rPr>
        <w:t>由以上地下水单因子标准指数分析可知，评价区域地下水水质除潜水中锰外均满足《地下水质量标准》（GB/T14848-2017）中的Ⅲ类标准要求</w:t>
      </w:r>
      <w:r>
        <w:rPr>
          <w:rFonts w:ascii="Times New Roman" w:hAnsi="Times New Roman" w:cs="Times New Roman"/>
          <w:color w:val="auto"/>
          <w:w w:val="99"/>
          <w:highlight w:val="none"/>
        </w:rPr>
        <w:t>。其中锰</w:t>
      </w:r>
      <w:r>
        <w:rPr>
          <w:rFonts w:ascii="Times New Roman" w:hAnsi="Times New Roman" w:cs="Times New Roman"/>
          <w:color w:val="auto"/>
          <w:w w:val="99"/>
          <w:szCs w:val="20"/>
          <w:highlight w:val="none"/>
        </w:rPr>
        <w:t>因子水质监测浓度占标率偏高，主要是由于</w:t>
      </w:r>
      <w:r>
        <w:rPr>
          <w:rFonts w:ascii="Times New Roman" w:hAnsi="Times New Roman" w:cs="Times New Roman"/>
          <w:color w:val="auto"/>
          <w:w w:val="99"/>
          <w:highlight w:val="none"/>
        </w:rPr>
        <w:t>评价区域地层中富含锰矿物，还原条件下转化的可溶性Mn</w:t>
      </w:r>
      <w:r>
        <w:rPr>
          <w:rFonts w:ascii="Times New Roman" w:hAnsi="Times New Roman" w:cs="Times New Roman"/>
          <w:color w:val="auto"/>
          <w:w w:val="99"/>
          <w:highlight w:val="none"/>
          <w:vertAlign w:val="superscript"/>
        </w:rPr>
        <w:t>2+</w:t>
      </w:r>
      <w:r>
        <w:rPr>
          <w:rFonts w:ascii="Times New Roman" w:hAnsi="Times New Roman" w:cs="Times New Roman"/>
          <w:color w:val="auto"/>
          <w:w w:val="99"/>
          <w:highlight w:val="none"/>
        </w:rPr>
        <w:t>溶入地下水中，形成锰浓度偏高的水文地质化学环境。评价区域</w:t>
      </w:r>
      <w:r>
        <w:rPr>
          <w:rFonts w:ascii="Times New Roman" w:hAnsi="Times New Roman" w:cs="Times New Roman"/>
          <w:color w:val="auto"/>
          <w:w w:val="99"/>
          <w:szCs w:val="20"/>
          <w:highlight w:val="none"/>
        </w:rPr>
        <w:t>地下水化学类型主要为4-A型HCO</w:t>
      </w:r>
      <w:r>
        <w:rPr>
          <w:rFonts w:ascii="Times New Roman" w:hAnsi="Times New Roman" w:cs="Times New Roman"/>
          <w:color w:val="auto"/>
          <w:w w:val="99"/>
          <w:szCs w:val="20"/>
          <w:highlight w:val="none"/>
          <w:vertAlign w:val="subscript"/>
        </w:rPr>
        <w:t>3</w:t>
      </w:r>
      <w:r>
        <w:rPr>
          <w:rFonts w:ascii="Times New Roman" w:hAnsi="Times New Roman" w:cs="Times New Roman"/>
          <w:color w:val="auto"/>
          <w:w w:val="99"/>
          <w:szCs w:val="20"/>
          <w:highlight w:val="none"/>
        </w:rPr>
        <w:t>-</w:t>
      </w:r>
      <w:r>
        <w:rPr>
          <w:rFonts w:ascii="Times New Roman" w:hAnsi="Times New Roman" w:cs="Times New Roman"/>
          <w:color w:val="auto"/>
          <w:w w:val="99"/>
          <w:szCs w:val="21"/>
          <w:highlight w:val="none"/>
        </w:rPr>
        <w:t xml:space="preserve"> </w:t>
      </w:r>
      <w:r>
        <w:rPr>
          <w:rFonts w:ascii="Times New Roman" w:hAnsi="Times New Roman" w:cs="Times New Roman"/>
          <w:color w:val="auto"/>
          <w:w w:val="99"/>
          <w:szCs w:val="20"/>
          <w:highlight w:val="none"/>
        </w:rPr>
        <w:t>Na+Ca淡水。</w:t>
      </w:r>
      <w:r>
        <w:rPr>
          <w:rFonts w:ascii="Times New Roman" w:hAnsi="Times New Roman" w:cs="Times New Roman"/>
          <w:color w:val="auto"/>
          <w:w w:val="99"/>
          <w:szCs w:val="20"/>
          <w:highlight w:val="none"/>
          <w:lang w:eastAsia="ja-JP"/>
        </w:rPr>
        <w:t>从</w:t>
      </w:r>
      <w:r>
        <w:rPr>
          <w:rFonts w:hint="eastAsia" w:ascii="Times New Roman" w:hAnsi="Times New Roman" w:cs="Times New Roman"/>
          <w:color w:val="auto"/>
          <w:w w:val="99"/>
          <w:szCs w:val="20"/>
          <w:highlight w:val="none"/>
        </w:rPr>
        <w:t>包气带监测数据</w:t>
      </w:r>
      <w:r>
        <w:rPr>
          <w:rFonts w:ascii="Times New Roman" w:hAnsi="Times New Roman" w:cs="Times New Roman"/>
          <w:color w:val="auto"/>
          <w:w w:val="99"/>
          <w:szCs w:val="20"/>
          <w:highlight w:val="none"/>
          <w:lang w:eastAsia="ja-JP"/>
        </w:rPr>
        <w:t>可知，评价区域内包气带中汞、砷均未检出，且污染控制点与清洁对照点油田特征污染物石油类、挥发酚所测数值相差不大，评价区域内包气带未被污染。</w:t>
      </w:r>
    </w:p>
    <w:p w14:paraId="18EF1596">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697" w:name="_Toc80971418"/>
      <w:bookmarkStart w:id="698" w:name="_Toc38545057"/>
      <w:bookmarkStart w:id="699" w:name="_Toc41655201"/>
      <w:bookmarkStart w:id="700" w:name="_Toc29643951"/>
      <w:bookmarkStart w:id="701" w:name="_Toc61597272"/>
      <w:bookmarkStart w:id="702" w:name="_Toc70050222"/>
      <w:bookmarkStart w:id="703" w:name="_Toc57203286"/>
      <w:bookmarkStart w:id="704" w:name="_Toc21648"/>
      <w:bookmarkStart w:id="705" w:name="_Toc29644703"/>
      <w:bookmarkStart w:id="706" w:name="_Toc80588296"/>
      <w:bookmarkStart w:id="707" w:name="_Toc38296424"/>
      <w:bookmarkStart w:id="708" w:name="_Toc29642919"/>
      <w:bookmarkStart w:id="709" w:name="_Toc77067699"/>
      <w:bookmarkStart w:id="710" w:name="_Toc78816501"/>
      <w:bookmarkStart w:id="711" w:name="_Toc57707956"/>
      <w:bookmarkStart w:id="712" w:name="_Toc83209518"/>
      <w:bookmarkStart w:id="713" w:name="_Toc76976287"/>
      <w:bookmarkStart w:id="714" w:name="_Toc186444323"/>
      <w:bookmarkStart w:id="715" w:name="_Toc57976708"/>
      <w:bookmarkStart w:id="716" w:name="_Toc67860173"/>
      <w:bookmarkStart w:id="717" w:name="_Toc34124485"/>
      <w:r>
        <w:rPr>
          <w:rFonts w:eastAsia="宋体"/>
          <w:b/>
          <w:color w:val="auto"/>
          <w:w w:val="99"/>
          <w:kern w:val="2"/>
          <w:sz w:val="24"/>
          <w:szCs w:val="24"/>
          <w:highlight w:val="none"/>
        </w:rPr>
        <w:t>4.3.3地表水环境质量现状</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14:paraId="271BDB2F">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color w:val="auto"/>
          <w:w w:val="99"/>
          <w:szCs w:val="20"/>
          <w:highlight w:val="none"/>
        </w:rPr>
        <w:t>本项目属于水污染影响型三级B评价，可不开展区域污染源调查，</w:t>
      </w:r>
      <w:r>
        <w:rPr>
          <w:rFonts w:hint="eastAsia" w:ascii="Times New Roman" w:hAnsi="Times New Roman"/>
          <w:color w:val="auto"/>
          <w:w w:val="99"/>
          <w:szCs w:val="20"/>
          <w:highlight w:val="none"/>
        </w:rPr>
        <w:t>本项目距离最近的北大干渠位于徐深27集气站西北侧300m，</w:t>
      </w:r>
      <w:r>
        <w:rPr>
          <w:rFonts w:hint="eastAsia" w:ascii="Times New Roman" w:hAnsi="Times New Roman"/>
          <w:snapToGrid w:val="0"/>
          <w:color w:val="auto"/>
          <w:w w:val="99"/>
          <w:highlight w:val="none"/>
        </w:rPr>
        <w:t>根据现场调查，目前北大干渠为干涸状态，未对其进行监测</w:t>
      </w:r>
      <w:r>
        <w:rPr>
          <w:rFonts w:ascii="Times New Roman" w:hAnsi="Times New Roman"/>
          <w:snapToGrid w:val="0"/>
          <w:color w:val="auto"/>
          <w:w w:val="99"/>
          <w:highlight w:val="none"/>
        </w:rPr>
        <w:t>。</w:t>
      </w:r>
    </w:p>
    <w:p w14:paraId="72B45CAF">
      <w:pPr>
        <w:pStyle w:val="7"/>
        <w:keepNext w:val="0"/>
        <w:keepLines w:val="0"/>
        <w:widowControl w:val="0"/>
        <w:spacing w:line="440" w:lineRule="exact"/>
        <w:jc w:val="both"/>
        <w:rPr>
          <w:rFonts w:eastAsia="宋体"/>
          <w:b/>
          <w:color w:val="auto"/>
          <w:w w:val="99"/>
          <w:kern w:val="2"/>
          <w:sz w:val="24"/>
          <w:szCs w:val="24"/>
          <w:highlight w:val="none"/>
        </w:rPr>
      </w:pPr>
      <w:bookmarkStart w:id="718" w:name="_Toc57976709"/>
      <w:bookmarkStart w:id="719" w:name="_Toc38545058"/>
      <w:bookmarkStart w:id="720" w:name="_Toc41655202"/>
      <w:bookmarkStart w:id="721" w:name="_Toc26653"/>
      <w:bookmarkStart w:id="722" w:name="_Toc80971419"/>
      <w:bookmarkStart w:id="723" w:name="_Toc29643952"/>
      <w:bookmarkStart w:id="724" w:name="_Toc186444324"/>
      <w:bookmarkStart w:id="725" w:name="_Toc38296425"/>
      <w:bookmarkStart w:id="726" w:name="_Toc70050223"/>
      <w:bookmarkStart w:id="727" w:name="_Toc83209519"/>
      <w:bookmarkStart w:id="728" w:name="_Toc61597273"/>
      <w:bookmarkStart w:id="729" w:name="_Toc67860174"/>
      <w:bookmarkStart w:id="730" w:name="_Toc78816502"/>
      <w:bookmarkStart w:id="731" w:name="_Toc29642920"/>
      <w:bookmarkStart w:id="732" w:name="_Toc29644704"/>
      <w:bookmarkStart w:id="733" w:name="_Toc80588297"/>
      <w:bookmarkStart w:id="734" w:name="_Toc77067700"/>
      <w:bookmarkStart w:id="735" w:name="_Toc76976288"/>
      <w:bookmarkStart w:id="736" w:name="_Toc57707957"/>
      <w:bookmarkStart w:id="737" w:name="_Toc34124486"/>
      <w:bookmarkStart w:id="738" w:name="_Toc57203287"/>
      <w:r>
        <w:rPr>
          <w:rFonts w:eastAsia="宋体"/>
          <w:b/>
          <w:color w:val="auto"/>
          <w:w w:val="99"/>
          <w:kern w:val="2"/>
          <w:sz w:val="24"/>
          <w:szCs w:val="24"/>
          <w:highlight w:val="none"/>
        </w:rPr>
        <w:t>4.3.4声环境质量现状监测与评价</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14:paraId="0C5491C6">
      <w:pPr>
        <w:pStyle w:val="153"/>
        <w:widowControl w:val="0"/>
        <w:spacing w:line="440" w:lineRule="exact"/>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4.3.4.1声环境质量现状监测</w:t>
      </w:r>
    </w:p>
    <w:p w14:paraId="2369177F">
      <w:pPr>
        <w:widowControl w:val="0"/>
        <w:tabs>
          <w:tab w:val="left" w:pos="5262"/>
        </w:tabs>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（1）监测点布设</w:t>
      </w:r>
    </w:p>
    <w:p w14:paraId="11B73051">
      <w:pPr>
        <w:widowControl w:val="0"/>
        <w:tabs>
          <w:tab w:val="left" w:pos="5262"/>
        </w:tabs>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根据</w:t>
      </w:r>
      <w:r>
        <w:rPr>
          <w:rFonts w:ascii="Times New Roman" w:hAnsi="Times New Roman" w:cs="Times New Roman" w:eastAsiaTheme="minorEastAsia"/>
          <w:color w:val="auto"/>
          <w:w w:val="99"/>
          <w:kern w:val="21"/>
          <w:highlight w:val="none"/>
          <w:lang w:bidi="zh-CN"/>
        </w:rPr>
        <w:t>《环境影响评价技术导则 陆地石油天然气开发建设项目》（HJ349-2023）</w:t>
      </w:r>
      <w:r>
        <w:rPr>
          <w:rFonts w:ascii="Times New Roman" w:hAnsi="Times New Roman" w:cs="Times New Roman" w:eastAsiaTheme="minorEastAsia"/>
          <w:color w:val="auto"/>
          <w:w w:val="99"/>
          <w:kern w:val="21"/>
          <w:highlight w:val="none"/>
        </w:rPr>
        <w:t>要求，滚动开发区块建设项目应列表给出代表性的场站厂界、各声环境保护目标现状值和达标情况分析。</w:t>
      </w:r>
      <w:r>
        <w:rPr>
          <w:rFonts w:hint="eastAsia" w:ascii="Times New Roman" w:hAnsi="Times New Roman" w:cs="Times New Roman" w:eastAsiaTheme="minorEastAsia"/>
          <w:color w:val="auto"/>
          <w:w w:val="99"/>
          <w:kern w:val="21"/>
          <w:highlight w:val="none"/>
        </w:rPr>
        <w:t>本项目选取距离拟建井场最近的一个处敏感目标、拟建徐深27-H1井井场以及作为监测点位；其他拟建井场周围环境及周边类似，无其他噪声源，故监测点位符合布点要求。数据为本次监测及引用《徐深27-H1钻井工程监测报告》（中检（BH）字2025第03-009号）</w:t>
      </w:r>
      <w:r>
        <w:rPr>
          <w:rFonts w:hint="eastAsia" w:ascii="Times New Roman" w:hAnsi="Times New Roman" w:cs="Times New Roman" w:eastAsiaTheme="minorEastAsia"/>
          <w:color w:val="auto"/>
          <w:w w:val="99"/>
          <w:kern w:val="21"/>
          <w:highlight w:val="none"/>
          <w:lang w:eastAsia="zh-CN"/>
        </w:rPr>
        <w:t>、</w:t>
      </w:r>
      <w:r>
        <w:rPr>
          <w:rFonts w:hint="eastAsia" w:ascii="Times New Roman" w:hAnsi="Times New Roman" w:cs="Times New Roman" w:eastAsiaTheme="minorEastAsia"/>
          <w:color w:val="auto"/>
          <w:w w:val="99"/>
          <w:kern w:val="21"/>
          <w:highlight w:val="none"/>
          <w:lang w:val="en-US" w:eastAsia="zh-CN"/>
        </w:rPr>
        <w:t>企业自行监测报告</w:t>
      </w:r>
      <w:r>
        <w:rPr>
          <w:rFonts w:hint="eastAsia" w:ascii="Times New Roman" w:hAnsi="Times New Roman" w:cs="Times New Roman" w:eastAsiaTheme="minorEastAsia"/>
          <w:color w:val="auto"/>
          <w:w w:val="99"/>
          <w:kern w:val="21"/>
          <w:highlight w:val="none"/>
          <w:lang w:eastAsia="zh-CN"/>
        </w:rPr>
        <w:t>DQWE-RE3-2510-026</w:t>
      </w:r>
      <w:r>
        <w:rPr>
          <w:rFonts w:hint="eastAsia" w:ascii="Times New Roman" w:hAnsi="Times New Roman" w:cs="Times New Roman" w:eastAsiaTheme="minorEastAsia"/>
          <w:color w:val="auto"/>
          <w:w w:val="99"/>
          <w:kern w:val="21"/>
          <w:highlight w:val="none"/>
        </w:rPr>
        <w:t>。</w:t>
      </w:r>
    </w:p>
    <w:p w14:paraId="3BC54A59">
      <w:pPr>
        <w:widowControl w:val="0"/>
        <w:tabs>
          <w:tab w:val="left" w:pos="5262"/>
        </w:tabs>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监测点布设见表</w:t>
      </w:r>
      <w:r>
        <w:rPr>
          <w:rFonts w:ascii="Times New Roman" w:hAnsi="Times New Roman" w:cs="Times New Roman" w:eastAsiaTheme="minorEastAsia"/>
          <w:color w:val="auto"/>
          <w:w w:val="99"/>
          <w:kern w:val="2"/>
          <w:szCs w:val="20"/>
          <w:highlight w:val="none"/>
        </w:rPr>
        <w:t>4.3-</w:t>
      </w:r>
      <w:r>
        <w:rPr>
          <w:rFonts w:hint="eastAsia" w:ascii="Times New Roman" w:hAnsi="Times New Roman" w:cs="Times New Roman" w:eastAsiaTheme="minorEastAsia"/>
          <w:color w:val="auto"/>
          <w:w w:val="99"/>
          <w:kern w:val="2"/>
          <w:szCs w:val="20"/>
          <w:highlight w:val="none"/>
        </w:rPr>
        <w:t>1</w:t>
      </w:r>
      <w:r>
        <w:rPr>
          <w:rFonts w:ascii="Times New Roman" w:hAnsi="Times New Roman" w:cs="Times New Roman" w:eastAsiaTheme="minorEastAsia"/>
          <w:color w:val="auto"/>
          <w:w w:val="99"/>
          <w:kern w:val="2"/>
          <w:szCs w:val="20"/>
          <w:highlight w:val="none"/>
        </w:rPr>
        <w:t>6</w:t>
      </w:r>
      <w:r>
        <w:rPr>
          <w:rFonts w:ascii="Times New Roman" w:hAnsi="Times New Roman" w:cs="Times New Roman" w:eastAsiaTheme="minorEastAsia"/>
          <w:color w:val="auto"/>
          <w:w w:val="99"/>
          <w:kern w:val="21"/>
          <w:highlight w:val="none"/>
        </w:rPr>
        <w:t>，具体监测点位见附图</w:t>
      </w:r>
      <w:r>
        <w:rPr>
          <w:rFonts w:hint="eastAsia" w:ascii="Times New Roman" w:hAnsi="Times New Roman" w:cs="Times New Roman" w:eastAsiaTheme="minorEastAsia"/>
          <w:color w:val="auto"/>
          <w:w w:val="99"/>
          <w:kern w:val="21"/>
          <w:highlight w:val="none"/>
        </w:rPr>
        <w:t>6-3</w:t>
      </w:r>
      <w:r>
        <w:rPr>
          <w:rFonts w:ascii="Times New Roman" w:hAnsi="Times New Roman" w:cs="Times New Roman" w:eastAsiaTheme="minorEastAsia"/>
          <w:color w:val="auto"/>
          <w:w w:val="99"/>
          <w:kern w:val="21"/>
          <w:highlight w:val="none"/>
        </w:rPr>
        <w:t>。</w:t>
      </w:r>
    </w:p>
    <w:p w14:paraId="1AC217A5">
      <w:pPr>
        <w:widowControl w:val="0"/>
        <w:tabs>
          <w:tab w:val="left" w:pos="5262"/>
        </w:tabs>
        <w:spacing w:line="440" w:lineRule="exact"/>
        <w:ind w:firstLine="476"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b/>
          <w:bCs/>
          <w:color w:val="auto"/>
          <w:w w:val="99"/>
          <w:kern w:val="21"/>
          <w:highlight w:val="none"/>
        </w:rPr>
        <w:t>表</w:t>
      </w:r>
      <w:r>
        <w:rPr>
          <w:rFonts w:ascii="Times New Roman" w:hAnsi="Times New Roman" w:cs="Times New Roman" w:eastAsiaTheme="minorEastAsia"/>
          <w:b/>
          <w:color w:val="auto"/>
          <w:w w:val="99"/>
          <w:kern w:val="2"/>
          <w:szCs w:val="20"/>
          <w:highlight w:val="none"/>
        </w:rPr>
        <w:t>4.3-</w:t>
      </w:r>
      <w:r>
        <w:rPr>
          <w:rFonts w:hint="eastAsia" w:ascii="Times New Roman" w:hAnsi="Times New Roman" w:cs="Times New Roman" w:eastAsiaTheme="minorEastAsia"/>
          <w:b/>
          <w:color w:val="auto"/>
          <w:w w:val="99"/>
          <w:kern w:val="2"/>
          <w:szCs w:val="20"/>
          <w:highlight w:val="none"/>
        </w:rPr>
        <w:t>1</w:t>
      </w:r>
      <w:r>
        <w:rPr>
          <w:rFonts w:ascii="Times New Roman" w:hAnsi="Times New Roman" w:cs="Times New Roman" w:eastAsiaTheme="minorEastAsia"/>
          <w:b/>
          <w:color w:val="auto"/>
          <w:w w:val="99"/>
          <w:kern w:val="2"/>
          <w:szCs w:val="20"/>
          <w:highlight w:val="none"/>
        </w:rPr>
        <w:t>6</w:t>
      </w:r>
      <w:r>
        <w:rPr>
          <w:rFonts w:ascii="Times New Roman" w:hAnsi="Times New Roman" w:cs="Times New Roman" w:eastAsiaTheme="minorEastAsia"/>
          <w:b/>
          <w:bCs/>
          <w:color w:val="auto"/>
          <w:w w:val="99"/>
          <w:kern w:val="21"/>
          <w:highlight w:val="none"/>
        </w:rPr>
        <w:t xml:space="preserve">    声环境现状监测点位表</w:t>
      </w:r>
    </w:p>
    <w:tbl>
      <w:tblPr>
        <w:tblStyle w:val="8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04"/>
        <w:gridCol w:w="1701"/>
        <w:gridCol w:w="2403"/>
        <w:gridCol w:w="2700"/>
        <w:gridCol w:w="1553"/>
      </w:tblGrid>
      <w:tr w14:paraId="7F9AA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Align w:val="center"/>
          </w:tcPr>
          <w:p w14:paraId="2311CA38">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序号</w:t>
            </w:r>
          </w:p>
        </w:tc>
        <w:tc>
          <w:tcPr>
            <w:tcW w:w="1701" w:type="dxa"/>
            <w:vAlign w:val="center"/>
          </w:tcPr>
          <w:p w14:paraId="7C877F70">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监测点</w:t>
            </w:r>
          </w:p>
        </w:tc>
        <w:tc>
          <w:tcPr>
            <w:tcW w:w="2403" w:type="dxa"/>
            <w:vAlign w:val="center"/>
          </w:tcPr>
          <w:p w14:paraId="7530D542">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监测坐标</w:t>
            </w:r>
          </w:p>
        </w:tc>
        <w:tc>
          <w:tcPr>
            <w:tcW w:w="2700" w:type="dxa"/>
            <w:vAlign w:val="center"/>
          </w:tcPr>
          <w:p w14:paraId="6D7242A1">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项目位置关系</w:t>
            </w:r>
          </w:p>
        </w:tc>
        <w:tc>
          <w:tcPr>
            <w:tcW w:w="1553" w:type="dxa"/>
            <w:vAlign w:val="center"/>
          </w:tcPr>
          <w:p w14:paraId="53730BDB">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备注</w:t>
            </w:r>
          </w:p>
        </w:tc>
      </w:tr>
      <w:tr w14:paraId="5612F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Align w:val="center"/>
          </w:tcPr>
          <w:p w14:paraId="6A85285D">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1</w:t>
            </w:r>
          </w:p>
        </w:tc>
        <w:tc>
          <w:tcPr>
            <w:tcW w:w="1701" w:type="dxa"/>
            <w:vAlign w:val="center"/>
          </w:tcPr>
          <w:p w14:paraId="116A6ACE">
            <w:pPr>
              <w:adjustRightInd w:val="0"/>
              <w:snapToGrid w:val="0"/>
              <w:spacing w:line="360" w:lineRule="exact"/>
              <w:jc w:val="center"/>
              <w:rPr>
                <w:rFonts w:ascii="Times New Roman" w:hAnsi="Times New Roman" w:cs="Times New Roman" w:eastAsiaTheme="minorEastAsia"/>
                <w:color w:val="auto"/>
                <w:w w:val="99"/>
                <w:kern w:val="21"/>
                <w:highlight w:val="none"/>
              </w:rPr>
            </w:pPr>
            <w:r>
              <w:rPr>
                <w:rFonts w:hint="eastAsia" w:ascii="Times New Roman" w:hAnsi="Times New Roman" w:cs="Times New Roman" w:eastAsiaTheme="minorEastAsia"/>
                <w:color w:val="auto"/>
                <w:w w:val="99"/>
                <w:kern w:val="21"/>
                <w:sz w:val="21"/>
                <w:szCs w:val="21"/>
                <w:highlight w:val="none"/>
              </w:rPr>
              <w:t>邢家围子屯</w:t>
            </w:r>
          </w:p>
        </w:tc>
        <w:tc>
          <w:tcPr>
            <w:tcW w:w="2403" w:type="dxa"/>
            <w:vAlign w:val="center"/>
          </w:tcPr>
          <w:p w14:paraId="3A900D58">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125.51232，45.89338</w:t>
            </w:r>
          </w:p>
        </w:tc>
        <w:tc>
          <w:tcPr>
            <w:tcW w:w="2700" w:type="dxa"/>
            <w:vAlign w:val="center"/>
          </w:tcPr>
          <w:p w14:paraId="435CBEC3">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徐深27-H1井W</w:t>
            </w:r>
            <w:r>
              <w:rPr>
                <w:rFonts w:ascii="Times New Roman" w:hAnsi="Times New Roman" w:cs="Times New Roman" w:eastAsiaTheme="minorEastAsia"/>
                <w:color w:val="auto"/>
                <w:w w:val="99"/>
                <w:kern w:val="21"/>
                <w:sz w:val="21"/>
                <w:szCs w:val="21"/>
                <w:highlight w:val="none"/>
              </w:rPr>
              <w:t>300m</w:t>
            </w:r>
          </w:p>
        </w:tc>
        <w:tc>
          <w:tcPr>
            <w:tcW w:w="1553" w:type="dxa"/>
            <w:vAlign w:val="center"/>
          </w:tcPr>
          <w:p w14:paraId="580F17DA">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测1个点</w:t>
            </w:r>
          </w:p>
        </w:tc>
      </w:tr>
      <w:tr w14:paraId="371E7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Align w:val="center"/>
          </w:tcPr>
          <w:p w14:paraId="31B2D6B2">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2</w:t>
            </w:r>
          </w:p>
        </w:tc>
        <w:tc>
          <w:tcPr>
            <w:tcW w:w="1701" w:type="dxa"/>
            <w:vAlign w:val="center"/>
          </w:tcPr>
          <w:p w14:paraId="34E334C5">
            <w:pPr>
              <w:adjustRightInd w:val="0"/>
              <w:snapToGrid w:val="0"/>
              <w:spacing w:line="360" w:lineRule="exact"/>
              <w:jc w:val="center"/>
              <w:rPr>
                <w:rFonts w:ascii="Times New Roman" w:hAnsi="Times New Roman" w:cs="Times New Roman" w:eastAsiaTheme="minorEastAsia"/>
                <w:color w:val="auto"/>
                <w:w w:val="99"/>
                <w:kern w:val="21"/>
                <w:highlight w:val="none"/>
              </w:rPr>
            </w:pPr>
            <w:r>
              <w:rPr>
                <w:rFonts w:hint="eastAsia" w:ascii="Times New Roman" w:hAnsi="Times New Roman" w:cs="Times New Roman" w:eastAsiaTheme="minorEastAsia"/>
                <w:color w:val="auto"/>
                <w:w w:val="99"/>
                <w:kern w:val="21"/>
                <w:sz w:val="21"/>
                <w:szCs w:val="21"/>
                <w:highlight w:val="none"/>
              </w:rPr>
              <w:t>拟建徐深27-H1井井场</w:t>
            </w:r>
          </w:p>
        </w:tc>
        <w:tc>
          <w:tcPr>
            <w:tcW w:w="2403" w:type="dxa"/>
            <w:vAlign w:val="center"/>
          </w:tcPr>
          <w:p w14:paraId="0B6C35B2">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125.50852，45.89313</w:t>
            </w:r>
          </w:p>
        </w:tc>
        <w:tc>
          <w:tcPr>
            <w:tcW w:w="2700" w:type="dxa"/>
            <w:vAlign w:val="center"/>
          </w:tcPr>
          <w:p w14:paraId="5154B61E">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本项目</w:t>
            </w:r>
          </w:p>
        </w:tc>
        <w:tc>
          <w:tcPr>
            <w:tcW w:w="1553" w:type="dxa"/>
            <w:vAlign w:val="center"/>
          </w:tcPr>
          <w:p w14:paraId="39DB8F8A">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测1个点</w:t>
            </w:r>
          </w:p>
        </w:tc>
      </w:tr>
      <w:tr w14:paraId="43C80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Align w:val="center"/>
          </w:tcPr>
          <w:p w14:paraId="67644E67">
            <w:pPr>
              <w:adjustRightInd w:val="0"/>
              <w:snapToGrid w:val="0"/>
              <w:spacing w:line="360" w:lineRule="exact"/>
              <w:jc w:val="center"/>
              <w:rPr>
                <w:rFonts w:hint="eastAsia"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lang w:val="en-US" w:eastAsia="zh-CN"/>
              </w:rPr>
              <w:t>3</w:t>
            </w:r>
          </w:p>
        </w:tc>
        <w:tc>
          <w:tcPr>
            <w:tcW w:w="1701" w:type="dxa"/>
            <w:vAlign w:val="center"/>
          </w:tcPr>
          <w:p w14:paraId="5D79B635">
            <w:pPr>
              <w:adjustRightInd w:val="0"/>
              <w:snapToGrid w:val="0"/>
              <w:spacing w:line="360" w:lineRule="exact"/>
              <w:jc w:val="center"/>
              <w:rPr>
                <w:rFonts w:hint="default"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lang w:val="en-US" w:eastAsia="zh-CN"/>
              </w:rPr>
              <w:t>徐深27集气站</w:t>
            </w:r>
          </w:p>
        </w:tc>
        <w:tc>
          <w:tcPr>
            <w:tcW w:w="2403" w:type="dxa"/>
            <w:vAlign w:val="center"/>
          </w:tcPr>
          <w:p w14:paraId="3D22D11E">
            <w:pPr>
              <w:adjustRightInd w:val="0"/>
              <w:snapToGrid w:val="0"/>
              <w:spacing w:line="360" w:lineRule="exact"/>
              <w:jc w:val="center"/>
              <w:rPr>
                <w:rFonts w:hint="eastAsia"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125.5118056</w:t>
            </w:r>
            <w:r>
              <w:rPr>
                <w:rFonts w:hint="eastAsia" w:ascii="Times New Roman" w:hAnsi="Times New Roman" w:cs="Times New Roman" w:eastAsiaTheme="minorEastAsia"/>
                <w:color w:val="auto"/>
                <w:w w:val="99"/>
                <w:kern w:val="21"/>
                <w:sz w:val="21"/>
                <w:szCs w:val="21"/>
                <w:highlight w:val="none"/>
                <w:lang w:eastAsia="zh-CN"/>
              </w:rPr>
              <w:t>，</w:t>
            </w:r>
            <w:r>
              <w:rPr>
                <w:rFonts w:hint="eastAsia" w:ascii="Times New Roman" w:hAnsi="Times New Roman" w:cs="Times New Roman" w:eastAsiaTheme="minorEastAsia"/>
                <w:color w:val="auto"/>
                <w:w w:val="99"/>
                <w:kern w:val="21"/>
                <w:sz w:val="21"/>
                <w:szCs w:val="21"/>
                <w:highlight w:val="none"/>
              </w:rPr>
              <w:t>45.91098402</w:t>
            </w:r>
          </w:p>
        </w:tc>
        <w:tc>
          <w:tcPr>
            <w:tcW w:w="2700" w:type="dxa"/>
            <w:vAlign w:val="center"/>
          </w:tcPr>
          <w:p w14:paraId="509A4A63">
            <w:pPr>
              <w:adjustRightInd w:val="0"/>
              <w:snapToGrid w:val="0"/>
              <w:spacing w:line="360" w:lineRule="exact"/>
              <w:jc w:val="center"/>
              <w:rPr>
                <w:rFonts w:hint="default"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rPr>
              <w:t>本项目</w:t>
            </w:r>
            <w:r>
              <w:rPr>
                <w:rFonts w:hint="eastAsia" w:ascii="Times New Roman" w:hAnsi="Times New Roman" w:cs="Times New Roman" w:eastAsiaTheme="minorEastAsia"/>
                <w:color w:val="auto"/>
                <w:w w:val="99"/>
                <w:kern w:val="21"/>
                <w:sz w:val="21"/>
                <w:szCs w:val="21"/>
                <w:highlight w:val="none"/>
                <w:lang w:val="en-US" w:eastAsia="zh-CN"/>
              </w:rPr>
              <w:t>依托场站</w:t>
            </w:r>
          </w:p>
        </w:tc>
        <w:tc>
          <w:tcPr>
            <w:tcW w:w="1553" w:type="dxa"/>
            <w:vAlign w:val="center"/>
          </w:tcPr>
          <w:p w14:paraId="624CBA07">
            <w:pPr>
              <w:adjustRightInd w:val="0"/>
              <w:snapToGrid w:val="0"/>
              <w:spacing w:line="360" w:lineRule="exact"/>
              <w:jc w:val="center"/>
              <w:rPr>
                <w:rFonts w:hint="default"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lang w:val="en-US" w:eastAsia="zh-CN"/>
              </w:rPr>
              <w:t>厂界4个点</w:t>
            </w:r>
          </w:p>
        </w:tc>
      </w:tr>
    </w:tbl>
    <w:p w14:paraId="26DC3A14">
      <w:pPr>
        <w:widowControl w:val="0"/>
        <w:tabs>
          <w:tab w:val="left" w:pos="5262"/>
        </w:tabs>
        <w:spacing w:line="440" w:lineRule="exact"/>
        <w:ind w:firstLine="474" w:firstLineChars="200"/>
        <w:jc w:val="both"/>
        <w:rPr>
          <w:rFonts w:ascii="Times New Roman" w:hAnsi="Times New Roman" w:cs="Times New Roman" w:eastAsiaTheme="minorEastAsia"/>
          <w:bCs/>
          <w:color w:val="auto"/>
          <w:w w:val="99"/>
          <w:kern w:val="21"/>
          <w:highlight w:val="none"/>
        </w:rPr>
      </w:pPr>
      <w:r>
        <w:rPr>
          <w:rFonts w:ascii="Times New Roman" w:hAnsi="Times New Roman" w:cs="Times New Roman" w:eastAsiaTheme="minorEastAsia"/>
          <w:bCs/>
          <w:color w:val="auto"/>
          <w:w w:val="99"/>
          <w:kern w:val="21"/>
          <w:highlight w:val="none"/>
        </w:rPr>
        <w:t>（2）监测时间</w:t>
      </w:r>
    </w:p>
    <w:p w14:paraId="69ACE868">
      <w:pPr>
        <w:widowControl w:val="0"/>
        <w:tabs>
          <w:tab w:val="left" w:pos="5262"/>
        </w:tabs>
        <w:spacing w:line="440" w:lineRule="exact"/>
        <w:ind w:firstLine="474" w:firstLineChars="200"/>
        <w:jc w:val="both"/>
        <w:rPr>
          <w:rFonts w:ascii="Times New Roman" w:hAnsi="Times New Roman" w:cs="Times New Roman" w:eastAsiaTheme="minorEastAsia"/>
          <w:bCs/>
          <w:color w:val="auto"/>
          <w:w w:val="99"/>
          <w:kern w:val="21"/>
          <w:highlight w:val="none"/>
        </w:rPr>
      </w:pPr>
      <w:r>
        <w:rPr>
          <w:rFonts w:ascii="Times New Roman" w:hAnsi="Times New Roman" w:cs="Times New Roman" w:eastAsiaTheme="minorEastAsia"/>
          <w:color w:val="auto"/>
          <w:w w:val="99"/>
          <w:szCs w:val="20"/>
          <w:highlight w:val="none"/>
        </w:rPr>
        <w:t>202</w:t>
      </w:r>
      <w:r>
        <w:rPr>
          <w:rFonts w:hint="eastAsia" w:ascii="Times New Roman" w:hAnsi="Times New Roman" w:cs="Times New Roman" w:eastAsiaTheme="minorEastAsia"/>
          <w:color w:val="auto"/>
          <w:w w:val="99"/>
          <w:szCs w:val="20"/>
          <w:highlight w:val="none"/>
        </w:rPr>
        <w:t>5</w:t>
      </w:r>
      <w:r>
        <w:rPr>
          <w:rFonts w:ascii="Times New Roman" w:hAnsi="Times New Roman" w:cs="Times New Roman" w:eastAsiaTheme="minorEastAsia"/>
          <w:color w:val="auto"/>
          <w:w w:val="99"/>
          <w:szCs w:val="20"/>
          <w:highlight w:val="none"/>
        </w:rPr>
        <w:t>年</w:t>
      </w:r>
      <w:r>
        <w:rPr>
          <w:rFonts w:hint="eastAsia" w:ascii="Times New Roman" w:hAnsi="Times New Roman" w:cs="Times New Roman" w:eastAsiaTheme="minorEastAsia"/>
          <w:color w:val="auto"/>
          <w:w w:val="99"/>
          <w:szCs w:val="20"/>
          <w:highlight w:val="none"/>
        </w:rPr>
        <w:t>3</w:t>
      </w:r>
      <w:r>
        <w:rPr>
          <w:rFonts w:ascii="Times New Roman" w:hAnsi="Times New Roman" w:cs="Times New Roman" w:eastAsiaTheme="minorEastAsia"/>
          <w:color w:val="auto"/>
          <w:w w:val="99"/>
          <w:szCs w:val="20"/>
          <w:highlight w:val="none"/>
        </w:rPr>
        <w:t>月</w:t>
      </w:r>
      <w:r>
        <w:rPr>
          <w:rFonts w:hint="eastAsia" w:ascii="Times New Roman" w:hAnsi="Times New Roman" w:cs="Times New Roman" w:eastAsiaTheme="minorEastAsia"/>
          <w:color w:val="auto"/>
          <w:w w:val="99"/>
          <w:szCs w:val="20"/>
          <w:highlight w:val="none"/>
        </w:rPr>
        <w:t>26</w:t>
      </w:r>
      <w:r>
        <w:rPr>
          <w:rFonts w:ascii="Times New Roman" w:hAnsi="Times New Roman" w:cs="Times New Roman" w:eastAsiaTheme="minorEastAsia"/>
          <w:color w:val="auto"/>
          <w:w w:val="99"/>
          <w:szCs w:val="20"/>
          <w:highlight w:val="none"/>
        </w:rPr>
        <w:t>日~</w:t>
      </w:r>
      <w:r>
        <w:rPr>
          <w:rFonts w:hint="eastAsia" w:ascii="Times New Roman" w:hAnsi="Times New Roman" w:cs="Times New Roman" w:eastAsiaTheme="minorEastAsia"/>
          <w:color w:val="auto"/>
          <w:w w:val="99"/>
          <w:szCs w:val="20"/>
          <w:highlight w:val="none"/>
        </w:rPr>
        <w:t>3</w:t>
      </w:r>
      <w:r>
        <w:rPr>
          <w:rFonts w:ascii="Times New Roman" w:hAnsi="Times New Roman" w:cs="Times New Roman" w:eastAsiaTheme="minorEastAsia"/>
          <w:color w:val="auto"/>
          <w:w w:val="99"/>
          <w:szCs w:val="20"/>
          <w:highlight w:val="none"/>
        </w:rPr>
        <w:t>月</w:t>
      </w:r>
      <w:r>
        <w:rPr>
          <w:rFonts w:hint="eastAsia" w:ascii="Times New Roman" w:hAnsi="Times New Roman" w:cs="Times New Roman" w:eastAsiaTheme="minorEastAsia"/>
          <w:color w:val="auto"/>
          <w:w w:val="99"/>
          <w:szCs w:val="20"/>
          <w:highlight w:val="none"/>
        </w:rPr>
        <w:t>27</w:t>
      </w:r>
      <w:r>
        <w:rPr>
          <w:rFonts w:ascii="Times New Roman" w:hAnsi="Times New Roman" w:cs="Times New Roman" w:eastAsiaTheme="minorEastAsia"/>
          <w:color w:val="auto"/>
          <w:w w:val="99"/>
          <w:szCs w:val="20"/>
          <w:highlight w:val="none"/>
        </w:rPr>
        <w:t>日</w:t>
      </w:r>
      <w:r>
        <w:rPr>
          <w:rFonts w:hint="eastAsia" w:ascii="Times New Roman" w:hAnsi="Times New Roman" w:cs="Times New Roman" w:eastAsiaTheme="minorEastAsia"/>
          <w:color w:val="auto"/>
          <w:w w:val="99"/>
          <w:szCs w:val="20"/>
          <w:highlight w:val="none"/>
        </w:rPr>
        <w:t>、</w:t>
      </w:r>
      <w:r>
        <w:rPr>
          <w:rFonts w:ascii="Times New Roman" w:hAnsi="Times New Roman" w:cs="Times New Roman" w:eastAsiaTheme="minorEastAsia"/>
          <w:color w:val="auto"/>
          <w:w w:val="99"/>
          <w:szCs w:val="20"/>
          <w:highlight w:val="none"/>
        </w:rPr>
        <w:t>202</w:t>
      </w:r>
      <w:r>
        <w:rPr>
          <w:rFonts w:hint="eastAsia" w:ascii="Times New Roman" w:hAnsi="Times New Roman" w:cs="Times New Roman" w:eastAsiaTheme="minorEastAsia"/>
          <w:color w:val="auto"/>
          <w:w w:val="99"/>
          <w:szCs w:val="20"/>
          <w:highlight w:val="none"/>
        </w:rPr>
        <w:t>6</w:t>
      </w:r>
      <w:r>
        <w:rPr>
          <w:rFonts w:ascii="Times New Roman" w:hAnsi="Times New Roman" w:cs="Times New Roman" w:eastAsiaTheme="minorEastAsia"/>
          <w:color w:val="auto"/>
          <w:w w:val="99"/>
          <w:szCs w:val="20"/>
          <w:highlight w:val="none"/>
        </w:rPr>
        <w:t>年</w:t>
      </w:r>
      <w:r>
        <w:rPr>
          <w:rFonts w:hint="eastAsia" w:ascii="Times New Roman" w:hAnsi="Times New Roman" w:cs="Times New Roman" w:eastAsiaTheme="minorEastAsia"/>
          <w:color w:val="auto"/>
          <w:w w:val="99"/>
          <w:szCs w:val="20"/>
          <w:highlight w:val="none"/>
        </w:rPr>
        <w:t>6</w:t>
      </w:r>
      <w:r>
        <w:rPr>
          <w:rFonts w:ascii="Times New Roman" w:hAnsi="Times New Roman" w:cs="Times New Roman" w:eastAsiaTheme="minorEastAsia"/>
          <w:color w:val="auto"/>
          <w:w w:val="99"/>
          <w:szCs w:val="20"/>
          <w:highlight w:val="none"/>
        </w:rPr>
        <w:t>月</w:t>
      </w:r>
      <w:r>
        <w:rPr>
          <w:rFonts w:hint="eastAsia" w:ascii="Times New Roman" w:hAnsi="Times New Roman" w:cs="Times New Roman" w:eastAsiaTheme="minorEastAsia"/>
          <w:color w:val="auto"/>
          <w:w w:val="99"/>
          <w:szCs w:val="20"/>
          <w:highlight w:val="none"/>
        </w:rPr>
        <w:t>1</w:t>
      </w:r>
      <w:r>
        <w:rPr>
          <w:rFonts w:ascii="Times New Roman" w:hAnsi="Times New Roman" w:cs="Times New Roman" w:eastAsiaTheme="minorEastAsia"/>
          <w:color w:val="auto"/>
          <w:w w:val="99"/>
          <w:szCs w:val="20"/>
          <w:highlight w:val="none"/>
        </w:rPr>
        <w:t>日~</w:t>
      </w:r>
      <w:r>
        <w:rPr>
          <w:rFonts w:hint="eastAsia" w:ascii="Times New Roman" w:hAnsi="Times New Roman" w:cs="Times New Roman" w:eastAsiaTheme="minorEastAsia"/>
          <w:color w:val="auto"/>
          <w:w w:val="99"/>
          <w:szCs w:val="20"/>
          <w:highlight w:val="none"/>
        </w:rPr>
        <w:t>6</w:t>
      </w:r>
      <w:r>
        <w:rPr>
          <w:rFonts w:ascii="Times New Roman" w:hAnsi="Times New Roman" w:cs="Times New Roman" w:eastAsiaTheme="minorEastAsia"/>
          <w:color w:val="auto"/>
          <w:w w:val="99"/>
          <w:szCs w:val="20"/>
          <w:highlight w:val="none"/>
        </w:rPr>
        <w:t>月</w:t>
      </w:r>
      <w:r>
        <w:rPr>
          <w:rFonts w:hint="eastAsia" w:ascii="Times New Roman" w:hAnsi="Times New Roman" w:cs="Times New Roman" w:eastAsiaTheme="minorEastAsia"/>
          <w:color w:val="auto"/>
          <w:w w:val="99"/>
          <w:szCs w:val="20"/>
          <w:highlight w:val="none"/>
        </w:rPr>
        <w:t>2</w:t>
      </w:r>
      <w:r>
        <w:rPr>
          <w:rFonts w:ascii="Times New Roman" w:hAnsi="Times New Roman" w:cs="Times New Roman" w:eastAsiaTheme="minorEastAsia"/>
          <w:color w:val="auto"/>
          <w:w w:val="99"/>
          <w:szCs w:val="20"/>
          <w:highlight w:val="none"/>
        </w:rPr>
        <w:t>日</w:t>
      </w:r>
      <w:r>
        <w:rPr>
          <w:rFonts w:ascii="Times New Roman" w:hAnsi="Times New Roman" w:cs="Times New Roman" w:eastAsiaTheme="minorEastAsia"/>
          <w:bCs/>
          <w:color w:val="auto"/>
          <w:w w:val="99"/>
          <w:kern w:val="21"/>
          <w:highlight w:val="none"/>
        </w:rPr>
        <w:t>。</w:t>
      </w:r>
    </w:p>
    <w:p w14:paraId="295CC123">
      <w:pPr>
        <w:widowControl w:val="0"/>
        <w:tabs>
          <w:tab w:val="left" w:pos="5262"/>
        </w:tabs>
        <w:spacing w:line="440" w:lineRule="exact"/>
        <w:ind w:firstLine="474" w:firstLineChars="200"/>
        <w:jc w:val="both"/>
        <w:rPr>
          <w:rFonts w:ascii="Times New Roman" w:hAnsi="Times New Roman" w:cs="Times New Roman" w:eastAsiaTheme="minorEastAsia"/>
          <w:bCs/>
          <w:color w:val="auto"/>
          <w:w w:val="99"/>
          <w:kern w:val="21"/>
          <w:highlight w:val="none"/>
        </w:rPr>
      </w:pPr>
      <w:r>
        <w:rPr>
          <w:rFonts w:ascii="Times New Roman" w:hAnsi="Times New Roman" w:cs="Times New Roman" w:eastAsiaTheme="minorEastAsia"/>
          <w:bCs/>
          <w:color w:val="auto"/>
          <w:w w:val="99"/>
          <w:kern w:val="21"/>
          <w:highlight w:val="none"/>
        </w:rPr>
        <w:t>（3）监测频次</w:t>
      </w:r>
    </w:p>
    <w:p w14:paraId="666A3002">
      <w:pPr>
        <w:widowControl w:val="0"/>
        <w:tabs>
          <w:tab w:val="left" w:pos="5262"/>
        </w:tabs>
        <w:spacing w:line="440" w:lineRule="exact"/>
        <w:ind w:firstLine="474" w:firstLineChars="200"/>
        <w:jc w:val="both"/>
        <w:rPr>
          <w:rFonts w:ascii="Times New Roman" w:hAnsi="Times New Roman" w:cs="Times New Roman" w:eastAsiaTheme="minorEastAsia"/>
          <w:bCs/>
          <w:color w:val="auto"/>
          <w:w w:val="99"/>
          <w:kern w:val="21"/>
          <w:highlight w:val="none"/>
        </w:rPr>
      </w:pPr>
      <w:r>
        <w:rPr>
          <w:rFonts w:ascii="Times New Roman" w:hAnsi="Times New Roman" w:cs="Times New Roman" w:eastAsiaTheme="minorEastAsia"/>
          <w:bCs/>
          <w:color w:val="auto"/>
          <w:w w:val="99"/>
          <w:kern w:val="21"/>
          <w:highlight w:val="none"/>
        </w:rPr>
        <w:t>连续监测2天，昼夜各1次。</w:t>
      </w:r>
    </w:p>
    <w:p w14:paraId="12C0A3D5">
      <w:pPr>
        <w:widowControl w:val="0"/>
        <w:tabs>
          <w:tab w:val="left" w:pos="5262"/>
        </w:tabs>
        <w:spacing w:line="440" w:lineRule="exact"/>
        <w:ind w:firstLine="474" w:firstLineChars="200"/>
        <w:jc w:val="both"/>
        <w:rPr>
          <w:rFonts w:ascii="Times New Roman" w:hAnsi="Times New Roman" w:cs="Times New Roman" w:eastAsiaTheme="minorEastAsia"/>
          <w:bCs/>
          <w:color w:val="auto"/>
          <w:w w:val="99"/>
          <w:kern w:val="21"/>
          <w:highlight w:val="none"/>
        </w:rPr>
      </w:pPr>
      <w:r>
        <w:rPr>
          <w:rFonts w:ascii="Times New Roman" w:hAnsi="Times New Roman" w:cs="Times New Roman" w:eastAsiaTheme="minorEastAsia"/>
          <w:bCs/>
          <w:color w:val="auto"/>
          <w:w w:val="99"/>
          <w:kern w:val="21"/>
          <w:highlight w:val="none"/>
        </w:rPr>
        <w:t>（4）监测结果</w:t>
      </w:r>
    </w:p>
    <w:p w14:paraId="0359D376">
      <w:pPr>
        <w:widowControl w:val="0"/>
        <w:tabs>
          <w:tab w:val="left" w:pos="5262"/>
        </w:tabs>
        <w:spacing w:line="440" w:lineRule="exact"/>
        <w:ind w:firstLine="474" w:firstLineChars="200"/>
        <w:jc w:val="both"/>
        <w:rPr>
          <w:rFonts w:ascii="Times New Roman" w:hAnsi="Times New Roman" w:cs="Times New Roman" w:eastAsiaTheme="minorEastAsia"/>
          <w:bCs/>
          <w:color w:val="auto"/>
          <w:w w:val="99"/>
          <w:kern w:val="21"/>
          <w:highlight w:val="none"/>
        </w:rPr>
      </w:pPr>
      <w:r>
        <w:rPr>
          <w:rFonts w:ascii="Times New Roman" w:hAnsi="Times New Roman" w:cs="Times New Roman" w:eastAsiaTheme="minorEastAsia"/>
          <w:bCs/>
          <w:color w:val="auto"/>
          <w:w w:val="99"/>
          <w:kern w:val="21"/>
          <w:highlight w:val="none"/>
        </w:rPr>
        <w:t>声环境现状监测结果见表</w:t>
      </w:r>
      <w:r>
        <w:rPr>
          <w:rFonts w:ascii="Times New Roman" w:hAnsi="Times New Roman" w:cs="Times New Roman" w:eastAsiaTheme="minorEastAsia"/>
          <w:color w:val="auto"/>
          <w:w w:val="99"/>
          <w:kern w:val="2"/>
          <w:szCs w:val="20"/>
          <w:highlight w:val="none"/>
        </w:rPr>
        <w:t>4.3-</w:t>
      </w:r>
      <w:r>
        <w:rPr>
          <w:rFonts w:hint="eastAsia" w:ascii="Times New Roman" w:hAnsi="Times New Roman" w:cs="Times New Roman" w:eastAsiaTheme="minorEastAsia"/>
          <w:color w:val="auto"/>
          <w:w w:val="99"/>
          <w:kern w:val="2"/>
          <w:szCs w:val="20"/>
          <w:highlight w:val="none"/>
        </w:rPr>
        <w:t>1</w:t>
      </w:r>
      <w:r>
        <w:rPr>
          <w:rFonts w:ascii="Times New Roman" w:hAnsi="Times New Roman" w:cs="Times New Roman" w:eastAsiaTheme="minorEastAsia"/>
          <w:color w:val="auto"/>
          <w:w w:val="99"/>
          <w:kern w:val="2"/>
          <w:szCs w:val="20"/>
          <w:highlight w:val="none"/>
        </w:rPr>
        <w:t>7</w:t>
      </w:r>
      <w:r>
        <w:rPr>
          <w:rFonts w:hint="eastAsia" w:ascii="Times New Roman" w:hAnsi="Times New Roman" w:cs="Times New Roman" w:eastAsiaTheme="minorEastAsia"/>
          <w:color w:val="auto"/>
          <w:w w:val="99"/>
          <w:kern w:val="2"/>
          <w:szCs w:val="20"/>
          <w:highlight w:val="none"/>
          <w:lang w:eastAsia="zh-CN"/>
        </w:rPr>
        <w:t>、</w:t>
      </w:r>
      <w:r>
        <w:rPr>
          <w:rFonts w:hint="eastAsia" w:ascii="Times New Roman" w:hAnsi="Times New Roman" w:cs="Times New Roman" w:eastAsiaTheme="minorEastAsia"/>
          <w:color w:val="auto"/>
          <w:w w:val="99"/>
          <w:kern w:val="2"/>
          <w:szCs w:val="20"/>
          <w:highlight w:val="none"/>
          <w:lang w:val="en-US" w:eastAsia="zh-CN"/>
        </w:rPr>
        <w:t>表4.3-17</w:t>
      </w:r>
      <w:r>
        <w:rPr>
          <w:rFonts w:ascii="Times New Roman" w:hAnsi="Times New Roman" w:cs="Times New Roman" w:eastAsiaTheme="minorEastAsia"/>
          <w:bCs/>
          <w:color w:val="auto"/>
          <w:w w:val="99"/>
          <w:kern w:val="21"/>
          <w:highlight w:val="none"/>
        </w:rPr>
        <w:t>。</w:t>
      </w:r>
    </w:p>
    <w:p w14:paraId="2812085F">
      <w:pPr>
        <w:widowControl w:val="0"/>
        <w:tabs>
          <w:tab w:val="left" w:pos="5262"/>
        </w:tabs>
        <w:spacing w:line="440" w:lineRule="exact"/>
        <w:ind w:firstLine="476" w:firstLineChars="200"/>
        <w:jc w:val="both"/>
        <w:rPr>
          <w:rFonts w:ascii="Times New Roman" w:hAnsi="Times New Roman" w:cs="Times New Roman" w:eastAsiaTheme="minorEastAsia"/>
          <w:bCs/>
          <w:color w:val="auto"/>
          <w:w w:val="99"/>
          <w:kern w:val="21"/>
          <w:highlight w:val="none"/>
        </w:rPr>
      </w:pPr>
      <w:r>
        <w:rPr>
          <w:rFonts w:ascii="Times New Roman" w:hAnsi="Times New Roman" w:cs="Times New Roman" w:eastAsiaTheme="minorEastAsia"/>
          <w:b/>
          <w:bCs/>
          <w:color w:val="auto"/>
          <w:w w:val="99"/>
          <w:kern w:val="21"/>
          <w:highlight w:val="none"/>
        </w:rPr>
        <w:t>表</w:t>
      </w:r>
      <w:r>
        <w:rPr>
          <w:rFonts w:ascii="Times New Roman" w:hAnsi="Times New Roman" w:cs="Times New Roman" w:eastAsiaTheme="minorEastAsia"/>
          <w:b/>
          <w:color w:val="auto"/>
          <w:w w:val="99"/>
          <w:kern w:val="2"/>
          <w:szCs w:val="20"/>
          <w:highlight w:val="none"/>
        </w:rPr>
        <w:t>4.3-</w:t>
      </w:r>
      <w:r>
        <w:rPr>
          <w:rFonts w:hint="eastAsia" w:ascii="Times New Roman" w:hAnsi="Times New Roman" w:cs="Times New Roman" w:eastAsiaTheme="minorEastAsia"/>
          <w:b/>
          <w:color w:val="auto"/>
          <w:w w:val="99"/>
          <w:kern w:val="2"/>
          <w:szCs w:val="20"/>
          <w:highlight w:val="none"/>
        </w:rPr>
        <w:t>1</w:t>
      </w:r>
      <w:r>
        <w:rPr>
          <w:rFonts w:ascii="Times New Roman" w:hAnsi="Times New Roman" w:cs="Times New Roman" w:eastAsiaTheme="minorEastAsia"/>
          <w:b/>
          <w:color w:val="auto"/>
          <w:w w:val="99"/>
          <w:kern w:val="2"/>
          <w:szCs w:val="20"/>
          <w:highlight w:val="none"/>
        </w:rPr>
        <w:t>7</w:t>
      </w:r>
      <w:r>
        <w:rPr>
          <w:rFonts w:ascii="Times New Roman" w:hAnsi="Times New Roman" w:cs="Times New Roman" w:eastAsiaTheme="minorEastAsia"/>
          <w:b/>
          <w:bCs/>
          <w:color w:val="auto"/>
          <w:w w:val="99"/>
          <w:kern w:val="21"/>
          <w:highlight w:val="none"/>
        </w:rPr>
        <w:t xml:space="preserve">    声环境现状监测结果表    单位：dB（A）</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9"/>
        <w:gridCol w:w="1510"/>
        <w:gridCol w:w="1510"/>
        <w:gridCol w:w="1510"/>
        <w:gridCol w:w="1510"/>
        <w:gridCol w:w="630"/>
      </w:tblGrid>
      <w:tr w14:paraId="3989D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0" w:type="auto"/>
            <w:vMerge w:val="restart"/>
            <w:vAlign w:val="center"/>
          </w:tcPr>
          <w:p w14:paraId="56D7E852">
            <w:pPr>
              <w:pStyle w:val="188"/>
              <w:adjustRightInd w:val="0"/>
              <w:snapToGrid w:val="0"/>
              <w:spacing w:line="280" w:lineRule="exact"/>
              <w:jc w:val="center"/>
              <w:rPr>
                <w:rFonts w:ascii="Times New Roman" w:hAnsi="Times New Roman" w:eastAsiaTheme="minorEastAsia"/>
                <w:b w:val="0"/>
                <w:color w:val="auto"/>
                <w:w w:val="99"/>
                <w:kern w:val="21"/>
                <w:szCs w:val="21"/>
                <w:highlight w:val="none"/>
              </w:rPr>
            </w:pPr>
            <w:r>
              <w:rPr>
                <w:rFonts w:hint="eastAsia" w:ascii="Times New Roman" w:hAnsi="Times New Roman" w:eastAsiaTheme="minorEastAsia"/>
                <w:b w:val="0"/>
                <w:color w:val="auto"/>
                <w:w w:val="99"/>
                <w:kern w:val="21"/>
                <w:szCs w:val="21"/>
                <w:highlight w:val="none"/>
              </w:rPr>
              <w:t>监测点位</w:t>
            </w:r>
          </w:p>
        </w:tc>
        <w:tc>
          <w:tcPr>
            <w:tcW w:w="0" w:type="auto"/>
            <w:gridSpan w:val="2"/>
            <w:vAlign w:val="center"/>
          </w:tcPr>
          <w:p w14:paraId="33F87A64">
            <w:pPr>
              <w:pStyle w:val="188"/>
              <w:adjustRightInd w:val="0"/>
              <w:snapToGrid w:val="0"/>
              <w:spacing w:line="280" w:lineRule="exact"/>
              <w:jc w:val="center"/>
              <w:rPr>
                <w:rFonts w:ascii="Times New Roman" w:hAnsi="Times New Roman" w:eastAsiaTheme="minorEastAsia"/>
                <w:b w:val="0"/>
                <w:color w:val="auto"/>
                <w:w w:val="99"/>
                <w:kern w:val="21"/>
                <w:szCs w:val="21"/>
                <w:highlight w:val="none"/>
              </w:rPr>
            </w:pPr>
            <w:r>
              <w:rPr>
                <w:rFonts w:hint="eastAsia" w:ascii="Times New Roman" w:hAnsi="Times New Roman" w:eastAsiaTheme="minorEastAsia"/>
                <w:b w:val="0"/>
                <w:color w:val="auto"/>
                <w:w w:val="99"/>
                <w:kern w:val="21"/>
                <w:szCs w:val="21"/>
                <w:highlight w:val="none"/>
              </w:rPr>
              <w:t>2025.03.26</w:t>
            </w:r>
          </w:p>
        </w:tc>
        <w:tc>
          <w:tcPr>
            <w:tcW w:w="0" w:type="auto"/>
            <w:gridSpan w:val="2"/>
            <w:vAlign w:val="center"/>
          </w:tcPr>
          <w:p w14:paraId="5E7C17AE">
            <w:pPr>
              <w:pStyle w:val="188"/>
              <w:adjustRightInd w:val="0"/>
              <w:snapToGrid w:val="0"/>
              <w:spacing w:line="280" w:lineRule="exact"/>
              <w:jc w:val="center"/>
              <w:rPr>
                <w:rFonts w:ascii="Times New Roman" w:hAnsi="Times New Roman" w:eastAsiaTheme="minorEastAsia"/>
                <w:b w:val="0"/>
                <w:color w:val="auto"/>
                <w:w w:val="99"/>
                <w:kern w:val="21"/>
                <w:szCs w:val="21"/>
                <w:highlight w:val="none"/>
              </w:rPr>
            </w:pPr>
            <w:r>
              <w:rPr>
                <w:rFonts w:hint="eastAsia" w:ascii="Times New Roman" w:hAnsi="Times New Roman" w:eastAsiaTheme="minorEastAsia"/>
                <w:b w:val="0"/>
                <w:color w:val="auto"/>
                <w:w w:val="99"/>
                <w:kern w:val="21"/>
                <w:szCs w:val="21"/>
                <w:highlight w:val="none"/>
              </w:rPr>
              <w:t>2025.03.27</w:t>
            </w:r>
          </w:p>
        </w:tc>
        <w:tc>
          <w:tcPr>
            <w:tcW w:w="0" w:type="auto"/>
            <w:vAlign w:val="center"/>
          </w:tcPr>
          <w:p w14:paraId="59A567BE">
            <w:pPr>
              <w:pStyle w:val="188"/>
              <w:adjustRightInd w:val="0"/>
              <w:snapToGrid w:val="0"/>
              <w:spacing w:line="280" w:lineRule="exact"/>
              <w:jc w:val="center"/>
              <w:rPr>
                <w:rFonts w:ascii="Times New Roman" w:hAnsi="Times New Roman" w:eastAsiaTheme="minorEastAsia"/>
                <w:b w:val="0"/>
                <w:color w:val="auto"/>
                <w:w w:val="99"/>
                <w:kern w:val="21"/>
                <w:szCs w:val="21"/>
                <w:highlight w:val="none"/>
              </w:rPr>
            </w:pPr>
            <w:r>
              <w:rPr>
                <w:rFonts w:hint="eastAsia" w:ascii="Times New Roman" w:hAnsi="Times New Roman" w:eastAsiaTheme="minorEastAsia"/>
                <w:b w:val="0"/>
                <w:color w:val="auto"/>
                <w:w w:val="99"/>
                <w:kern w:val="21"/>
                <w:szCs w:val="21"/>
                <w:highlight w:val="none"/>
              </w:rPr>
              <w:t>备注</w:t>
            </w:r>
          </w:p>
        </w:tc>
      </w:tr>
      <w:tr w14:paraId="72DE4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0" w:type="auto"/>
            <w:vMerge w:val="continue"/>
            <w:vAlign w:val="center"/>
          </w:tcPr>
          <w:p w14:paraId="77D7AFD4">
            <w:pPr>
              <w:pStyle w:val="188"/>
              <w:adjustRightInd w:val="0"/>
              <w:snapToGrid w:val="0"/>
              <w:spacing w:line="280" w:lineRule="exact"/>
              <w:jc w:val="center"/>
              <w:rPr>
                <w:rFonts w:ascii="Times New Roman" w:hAnsi="Times New Roman" w:eastAsiaTheme="minorEastAsia"/>
                <w:b w:val="0"/>
                <w:color w:val="auto"/>
                <w:w w:val="99"/>
                <w:kern w:val="21"/>
                <w:szCs w:val="21"/>
                <w:highlight w:val="none"/>
              </w:rPr>
            </w:pPr>
          </w:p>
        </w:tc>
        <w:tc>
          <w:tcPr>
            <w:tcW w:w="0" w:type="auto"/>
            <w:vAlign w:val="center"/>
          </w:tcPr>
          <w:p w14:paraId="288151A0">
            <w:pPr>
              <w:pStyle w:val="188"/>
              <w:adjustRightInd w:val="0"/>
              <w:snapToGrid w:val="0"/>
              <w:spacing w:line="280" w:lineRule="exact"/>
              <w:jc w:val="center"/>
              <w:rPr>
                <w:rFonts w:ascii="Times New Roman" w:hAnsi="Times New Roman" w:eastAsiaTheme="minorEastAsia"/>
                <w:b w:val="0"/>
                <w:color w:val="auto"/>
                <w:w w:val="99"/>
                <w:kern w:val="21"/>
                <w:szCs w:val="21"/>
                <w:highlight w:val="none"/>
              </w:rPr>
            </w:pPr>
            <w:r>
              <w:rPr>
                <w:rFonts w:hint="eastAsia" w:ascii="Times New Roman" w:hAnsi="Times New Roman" w:eastAsiaTheme="minorEastAsia"/>
                <w:b w:val="0"/>
                <w:color w:val="auto"/>
                <w:w w:val="99"/>
                <w:kern w:val="21"/>
                <w:szCs w:val="21"/>
                <w:highlight w:val="none"/>
              </w:rPr>
              <w:t>昼间</w:t>
            </w:r>
          </w:p>
          <w:p w14:paraId="0425397A">
            <w:pPr>
              <w:pStyle w:val="188"/>
              <w:adjustRightInd w:val="0"/>
              <w:snapToGrid w:val="0"/>
              <w:spacing w:line="280" w:lineRule="exact"/>
              <w:jc w:val="center"/>
              <w:rPr>
                <w:rFonts w:ascii="Times New Roman" w:hAnsi="Times New Roman" w:eastAsiaTheme="minorEastAsia"/>
                <w:b w:val="0"/>
                <w:color w:val="auto"/>
                <w:w w:val="99"/>
                <w:kern w:val="21"/>
                <w:szCs w:val="21"/>
                <w:highlight w:val="none"/>
              </w:rPr>
            </w:pPr>
            <w:r>
              <w:rPr>
                <w:rFonts w:hint="eastAsia" w:ascii="Times New Roman" w:hAnsi="Times New Roman" w:eastAsiaTheme="minorEastAsia"/>
                <w:b w:val="0"/>
                <w:color w:val="auto"/>
                <w:w w:val="99"/>
                <w:kern w:val="21"/>
                <w:szCs w:val="21"/>
                <w:highlight w:val="none"/>
              </w:rPr>
              <w:t>(12:03～12:08)</w:t>
            </w:r>
          </w:p>
        </w:tc>
        <w:tc>
          <w:tcPr>
            <w:tcW w:w="0" w:type="auto"/>
            <w:vAlign w:val="center"/>
          </w:tcPr>
          <w:p w14:paraId="231AA256">
            <w:pPr>
              <w:pStyle w:val="188"/>
              <w:adjustRightInd w:val="0"/>
              <w:snapToGrid w:val="0"/>
              <w:spacing w:line="280" w:lineRule="exact"/>
              <w:jc w:val="center"/>
              <w:rPr>
                <w:rFonts w:ascii="Times New Roman" w:hAnsi="Times New Roman" w:eastAsiaTheme="minorEastAsia"/>
                <w:b w:val="0"/>
                <w:color w:val="auto"/>
                <w:w w:val="99"/>
                <w:kern w:val="21"/>
                <w:szCs w:val="21"/>
                <w:highlight w:val="none"/>
              </w:rPr>
            </w:pPr>
            <w:r>
              <w:rPr>
                <w:rFonts w:hint="eastAsia" w:ascii="Times New Roman" w:hAnsi="Times New Roman" w:eastAsiaTheme="minorEastAsia"/>
                <w:b w:val="0"/>
                <w:color w:val="auto"/>
                <w:w w:val="99"/>
                <w:kern w:val="21"/>
                <w:szCs w:val="21"/>
                <w:highlight w:val="none"/>
              </w:rPr>
              <w:t>夜间</w:t>
            </w:r>
          </w:p>
          <w:p w14:paraId="4FD28CBE">
            <w:pPr>
              <w:pStyle w:val="188"/>
              <w:adjustRightInd w:val="0"/>
              <w:snapToGrid w:val="0"/>
              <w:spacing w:line="280" w:lineRule="exact"/>
              <w:jc w:val="center"/>
              <w:rPr>
                <w:rFonts w:ascii="Times New Roman" w:hAnsi="Times New Roman" w:eastAsiaTheme="minorEastAsia"/>
                <w:b w:val="0"/>
                <w:color w:val="auto"/>
                <w:w w:val="99"/>
                <w:kern w:val="21"/>
                <w:szCs w:val="21"/>
                <w:highlight w:val="none"/>
              </w:rPr>
            </w:pPr>
            <w:r>
              <w:rPr>
                <w:rFonts w:hint="eastAsia" w:ascii="Times New Roman" w:hAnsi="Times New Roman" w:eastAsiaTheme="minorEastAsia"/>
                <w:b w:val="0"/>
                <w:color w:val="auto"/>
                <w:w w:val="99"/>
                <w:kern w:val="21"/>
                <w:szCs w:val="21"/>
                <w:highlight w:val="none"/>
              </w:rPr>
              <w:t>(00:01～00:06)</w:t>
            </w:r>
          </w:p>
        </w:tc>
        <w:tc>
          <w:tcPr>
            <w:tcW w:w="0" w:type="auto"/>
            <w:vAlign w:val="center"/>
          </w:tcPr>
          <w:p w14:paraId="5B6E2425">
            <w:pPr>
              <w:pStyle w:val="188"/>
              <w:adjustRightInd w:val="0"/>
              <w:snapToGrid w:val="0"/>
              <w:spacing w:line="280" w:lineRule="exact"/>
              <w:jc w:val="center"/>
              <w:rPr>
                <w:rFonts w:ascii="Times New Roman" w:hAnsi="Times New Roman" w:eastAsiaTheme="minorEastAsia"/>
                <w:b w:val="0"/>
                <w:color w:val="auto"/>
                <w:w w:val="99"/>
                <w:kern w:val="21"/>
                <w:szCs w:val="21"/>
                <w:highlight w:val="none"/>
              </w:rPr>
            </w:pPr>
            <w:r>
              <w:rPr>
                <w:rFonts w:hint="eastAsia" w:ascii="Times New Roman" w:hAnsi="Times New Roman" w:eastAsiaTheme="minorEastAsia"/>
                <w:b w:val="0"/>
                <w:color w:val="auto"/>
                <w:w w:val="99"/>
                <w:kern w:val="21"/>
                <w:szCs w:val="21"/>
                <w:highlight w:val="none"/>
              </w:rPr>
              <w:t>昼间</w:t>
            </w:r>
          </w:p>
          <w:p w14:paraId="2B6D9874">
            <w:pPr>
              <w:pStyle w:val="188"/>
              <w:adjustRightInd w:val="0"/>
              <w:snapToGrid w:val="0"/>
              <w:spacing w:line="280" w:lineRule="exact"/>
              <w:jc w:val="center"/>
              <w:rPr>
                <w:rFonts w:ascii="Times New Roman" w:hAnsi="Times New Roman" w:eastAsiaTheme="minorEastAsia"/>
                <w:b w:val="0"/>
                <w:color w:val="auto"/>
                <w:w w:val="99"/>
                <w:kern w:val="21"/>
                <w:szCs w:val="21"/>
                <w:highlight w:val="none"/>
              </w:rPr>
            </w:pPr>
            <w:r>
              <w:rPr>
                <w:rFonts w:hint="eastAsia" w:ascii="Times New Roman" w:hAnsi="Times New Roman" w:eastAsiaTheme="minorEastAsia"/>
                <w:b w:val="0"/>
                <w:color w:val="auto"/>
                <w:w w:val="99"/>
                <w:kern w:val="21"/>
                <w:szCs w:val="21"/>
                <w:highlight w:val="none"/>
              </w:rPr>
              <w:t>(12:01～12:06)</w:t>
            </w:r>
          </w:p>
        </w:tc>
        <w:tc>
          <w:tcPr>
            <w:tcW w:w="0" w:type="auto"/>
            <w:vAlign w:val="center"/>
          </w:tcPr>
          <w:p w14:paraId="267E5B08">
            <w:pPr>
              <w:pStyle w:val="188"/>
              <w:adjustRightInd w:val="0"/>
              <w:snapToGrid w:val="0"/>
              <w:spacing w:line="280" w:lineRule="exact"/>
              <w:jc w:val="center"/>
              <w:rPr>
                <w:rFonts w:ascii="Times New Roman" w:hAnsi="Times New Roman" w:eastAsiaTheme="minorEastAsia"/>
                <w:b w:val="0"/>
                <w:color w:val="auto"/>
                <w:w w:val="99"/>
                <w:kern w:val="21"/>
                <w:szCs w:val="21"/>
                <w:highlight w:val="none"/>
              </w:rPr>
            </w:pPr>
            <w:r>
              <w:rPr>
                <w:rFonts w:hint="eastAsia" w:ascii="Times New Roman" w:hAnsi="Times New Roman" w:eastAsiaTheme="minorEastAsia"/>
                <w:b w:val="0"/>
                <w:color w:val="auto"/>
                <w:w w:val="99"/>
                <w:kern w:val="21"/>
                <w:szCs w:val="21"/>
                <w:highlight w:val="none"/>
              </w:rPr>
              <w:t>夜间</w:t>
            </w:r>
          </w:p>
          <w:p w14:paraId="587700EB">
            <w:pPr>
              <w:pStyle w:val="188"/>
              <w:adjustRightInd w:val="0"/>
              <w:snapToGrid w:val="0"/>
              <w:spacing w:line="280" w:lineRule="exact"/>
              <w:jc w:val="center"/>
              <w:rPr>
                <w:rFonts w:ascii="Times New Roman" w:hAnsi="Times New Roman" w:eastAsiaTheme="minorEastAsia"/>
                <w:b w:val="0"/>
                <w:color w:val="auto"/>
                <w:w w:val="99"/>
                <w:kern w:val="21"/>
                <w:szCs w:val="21"/>
                <w:highlight w:val="none"/>
              </w:rPr>
            </w:pPr>
            <w:r>
              <w:rPr>
                <w:rFonts w:hint="eastAsia" w:ascii="Times New Roman" w:hAnsi="Times New Roman" w:eastAsiaTheme="minorEastAsia"/>
                <w:b w:val="0"/>
                <w:color w:val="auto"/>
                <w:w w:val="99"/>
                <w:kern w:val="21"/>
                <w:szCs w:val="21"/>
                <w:highlight w:val="none"/>
              </w:rPr>
              <w:t>(00:07～00:12)</w:t>
            </w:r>
          </w:p>
        </w:tc>
        <w:tc>
          <w:tcPr>
            <w:tcW w:w="0" w:type="auto"/>
            <w:vMerge w:val="restart"/>
            <w:vAlign w:val="center"/>
          </w:tcPr>
          <w:p w14:paraId="686B2E5B">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引用</w:t>
            </w:r>
          </w:p>
        </w:tc>
      </w:tr>
      <w:tr w14:paraId="0BA1D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0" w:type="auto"/>
            <w:vAlign w:val="center"/>
          </w:tcPr>
          <w:p w14:paraId="53E2D5BD">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邢家围子屯</w:t>
            </w:r>
          </w:p>
        </w:tc>
        <w:tc>
          <w:tcPr>
            <w:tcW w:w="0" w:type="auto"/>
            <w:vAlign w:val="center"/>
          </w:tcPr>
          <w:p w14:paraId="402EA0AE">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46.6</w:t>
            </w:r>
          </w:p>
        </w:tc>
        <w:tc>
          <w:tcPr>
            <w:tcW w:w="0" w:type="auto"/>
            <w:vAlign w:val="center"/>
          </w:tcPr>
          <w:p w14:paraId="57D71810">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42.4</w:t>
            </w:r>
          </w:p>
        </w:tc>
        <w:tc>
          <w:tcPr>
            <w:tcW w:w="0" w:type="auto"/>
            <w:vAlign w:val="center"/>
          </w:tcPr>
          <w:p w14:paraId="71C30A62">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46.5</w:t>
            </w:r>
          </w:p>
        </w:tc>
        <w:tc>
          <w:tcPr>
            <w:tcW w:w="0" w:type="auto"/>
            <w:vAlign w:val="center"/>
          </w:tcPr>
          <w:p w14:paraId="62723302">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42.1</w:t>
            </w:r>
          </w:p>
        </w:tc>
        <w:tc>
          <w:tcPr>
            <w:tcW w:w="0" w:type="auto"/>
            <w:vMerge w:val="continue"/>
            <w:vAlign w:val="center"/>
          </w:tcPr>
          <w:p w14:paraId="521BB2A9">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p>
        </w:tc>
      </w:tr>
      <w:tr w14:paraId="1764D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0" w:type="auto"/>
            <w:vMerge w:val="restart"/>
            <w:vAlign w:val="center"/>
          </w:tcPr>
          <w:p w14:paraId="5B970149">
            <w:pPr>
              <w:pStyle w:val="188"/>
              <w:adjustRightInd w:val="0"/>
              <w:snapToGrid w:val="0"/>
              <w:spacing w:line="280" w:lineRule="exact"/>
              <w:jc w:val="center"/>
              <w:rPr>
                <w:rFonts w:ascii="Times New Roman" w:hAnsi="Times New Roman" w:eastAsiaTheme="minorEastAsia"/>
                <w:b w:val="0"/>
                <w:color w:val="auto"/>
                <w:w w:val="99"/>
                <w:kern w:val="21"/>
                <w:szCs w:val="21"/>
                <w:highlight w:val="none"/>
              </w:rPr>
            </w:pPr>
            <w:r>
              <w:rPr>
                <w:rFonts w:hint="eastAsia" w:ascii="Times New Roman" w:hAnsi="Times New Roman" w:eastAsiaTheme="minorEastAsia"/>
                <w:b w:val="0"/>
                <w:color w:val="auto"/>
                <w:w w:val="99"/>
                <w:kern w:val="21"/>
                <w:szCs w:val="21"/>
                <w:highlight w:val="none"/>
              </w:rPr>
              <w:t>监测点位</w:t>
            </w:r>
          </w:p>
        </w:tc>
        <w:tc>
          <w:tcPr>
            <w:tcW w:w="0" w:type="auto"/>
            <w:gridSpan w:val="2"/>
            <w:vAlign w:val="center"/>
          </w:tcPr>
          <w:p w14:paraId="4B193538">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2026.06.01</w:t>
            </w:r>
          </w:p>
        </w:tc>
        <w:tc>
          <w:tcPr>
            <w:tcW w:w="0" w:type="auto"/>
            <w:gridSpan w:val="2"/>
            <w:vAlign w:val="center"/>
          </w:tcPr>
          <w:p w14:paraId="211B8E2C">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2026.06.02</w:t>
            </w:r>
          </w:p>
        </w:tc>
        <w:tc>
          <w:tcPr>
            <w:tcW w:w="0" w:type="auto"/>
            <w:vAlign w:val="center"/>
          </w:tcPr>
          <w:p w14:paraId="3929E5E2">
            <w:pPr>
              <w:pStyle w:val="188"/>
              <w:adjustRightInd w:val="0"/>
              <w:snapToGrid w:val="0"/>
              <w:spacing w:line="280" w:lineRule="exact"/>
              <w:jc w:val="center"/>
              <w:rPr>
                <w:rFonts w:ascii="Times New Roman" w:hAnsi="Times New Roman" w:eastAsiaTheme="minorEastAsia"/>
                <w:b w:val="0"/>
                <w:color w:val="auto"/>
                <w:w w:val="99"/>
                <w:kern w:val="21"/>
                <w:szCs w:val="21"/>
                <w:highlight w:val="none"/>
              </w:rPr>
            </w:pPr>
            <w:r>
              <w:rPr>
                <w:rFonts w:hint="eastAsia" w:ascii="Times New Roman" w:hAnsi="Times New Roman" w:eastAsiaTheme="minorEastAsia"/>
                <w:b w:val="0"/>
                <w:color w:val="auto"/>
                <w:w w:val="99"/>
                <w:kern w:val="21"/>
                <w:szCs w:val="21"/>
                <w:highlight w:val="none"/>
              </w:rPr>
              <w:t>/</w:t>
            </w:r>
          </w:p>
        </w:tc>
      </w:tr>
      <w:tr w14:paraId="6B3EE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0" w:type="auto"/>
            <w:vMerge w:val="continue"/>
            <w:vAlign w:val="center"/>
          </w:tcPr>
          <w:p w14:paraId="126F1813">
            <w:pPr>
              <w:pStyle w:val="188"/>
              <w:adjustRightInd w:val="0"/>
              <w:snapToGrid w:val="0"/>
              <w:spacing w:line="280" w:lineRule="exact"/>
              <w:jc w:val="center"/>
              <w:rPr>
                <w:rFonts w:ascii="Times New Roman" w:hAnsi="Times New Roman" w:eastAsiaTheme="minorEastAsia"/>
                <w:b w:val="0"/>
                <w:color w:val="auto"/>
                <w:w w:val="99"/>
                <w:kern w:val="21"/>
                <w:szCs w:val="21"/>
                <w:highlight w:val="none"/>
              </w:rPr>
            </w:pPr>
          </w:p>
        </w:tc>
        <w:tc>
          <w:tcPr>
            <w:tcW w:w="0" w:type="auto"/>
            <w:vAlign w:val="center"/>
          </w:tcPr>
          <w:p w14:paraId="4AFB4EDE">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昼间</w:t>
            </w:r>
          </w:p>
          <w:p w14:paraId="260D7CCE">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(08:02～08:07)</w:t>
            </w:r>
          </w:p>
        </w:tc>
        <w:tc>
          <w:tcPr>
            <w:tcW w:w="0" w:type="auto"/>
            <w:vAlign w:val="center"/>
          </w:tcPr>
          <w:p w14:paraId="6E79C2B9">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夜间</w:t>
            </w:r>
          </w:p>
          <w:p w14:paraId="503035E2">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(22:01～22:06)</w:t>
            </w:r>
          </w:p>
        </w:tc>
        <w:tc>
          <w:tcPr>
            <w:tcW w:w="0" w:type="auto"/>
            <w:vAlign w:val="center"/>
          </w:tcPr>
          <w:p w14:paraId="648FF08C">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昼间</w:t>
            </w:r>
          </w:p>
          <w:p w14:paraId="010C15B6">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(08:01～08:06)</w:t>
            </w:r>
          </w:p>
        </w:tc>
        <w:tc>
          <w:tcPr>
            <w:tcW w:w="0" w:type="auto"/>
            <w:vAlign w:val="center"/>
          </w:tcPr>
          <w:p w14:paraId="47A99B58">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夜间</w:t>
            </w:r>
          </w:p>
          <w:p w14:paraId="50B94999">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(22:02～22:07)</w:t>
            </w:r>
          </w:p>
        </w:tc>
        <w:tc>
          <w:tcPr>
            <w:tcW w:w="0" w:type="auto"/>
            <w:vAlign w:val="center"/>
          </w:tcPr>
          <w:p w14:paraId="6F495496">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w:t>
            </w:r>
          </w:p>
        </w:tc>
      </w:tr>
      <w:tr w14:paraId="0C33C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0" w:type="auto"/>
            <w:vAlign w:val="center"/>
          </w:tcPr>
          <w:p w14:paraId="685C5FD3">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拟建徐深27-H1井井场</w:t>
            </w:r>
          </w:p>
        </w:tc>
        <w:tc>
          <w:tcPr>
            <w:tcW w:w="0" w:type="auto"/>
            <w:vAlign w:val="center"/>
          </w:tcPr>
          <w:p w14:paraId="3AD51FC2">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45.3</w:t>
            </w:r>
          </w:p>
        </w:tc>
        <w:tc>
          <w:tcPr>
            <w:tcW w:w="0" w:type="auto"/>
            <w:vAlign w:val="center"/>
          </w:tcPr>
          <w:p w14:paraId="1D3023DB">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43.8</w:t>
            </w:r>
          </w:p>
        </w:tc>
        <w:tc>
          <w:tcPr>
            <w:tcW w:w="0" w:type="auto"/>
            <w:vAlign w:val="center"/>
          </w:tcPr>
          <w:p w14:paraId="5ADC3BE2">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45.1</w:t>
            </w:r>
          </w:p>
        </w:tc>
        <w:tc>
          <w:tcPr>
            <w:tcW w:w="0" w:type="auto"/>
            <w:vAlign w:val="center"/>
          </w:tcPr>
          <w:p w14:paraId="4DF23733">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43.5</w:t>
            </w:r>
          </w:p>
        </w:tc>
        <w:tc>
          <w:tcPr>
            <w:tcW w:w="0" w:type="auto"/>
            <w:vAlign w:val="center"/>
          </w:tcPr>
          <w:p w14:paraId="603C8128">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w:t>
            </w:r>
          </w:p>
        </w:tc>
      </w:tr>
    </w:tbl>
    <w:p w14:paraId="530ED385">
      <w:pPr>
        <w:pStyle w:val="153"/>
        <w:widowControl w:val="0"/>
        <w:spacing w:line="440" w:lineRule="exact"/>
        <w:ind w:firstLine="476" w:firstLineChars="200"/>
        <w:jc w:val="both"/>
        <w:outlineLvl w:val="3"/>
        <w:rPr>
          <w:rFonts w:hint="eastAsia" w:ascii="Times New Roman" w:hAnsi="Times New Roman"/>
          <w:b/>
          <w:color w:val="auto"/>
          <w:w w:val="99"/>
          <w:highlight w:val="none"/>
          <w:lang w:val="en-US" w:eastAsia="zh-CN"/>
        </w:rPr>
      </w:pPr>
      <w:r>
        <w:rPr>
          <w:rFonts w:hint="eastAsia" w:ascii="Times New Roman" w:hAnsi="Times New Roman"/>
          <w:b/>
          <w:color w:val="auto"/>
          <w:w w:val="99"/>
          <w:highlight w:val="none"/>
          <w:lang w:val="en-US" w:eastAsia="zh-CN"/>
        </w:rPr>
        <w:t xml:space="preserve">续表4.3-17  </w:t>
      </w:r>
      <w:r>
        <w:rPr>
          <w:rFonts w:ascii="Times New Roman" w:hAnsi="Times New Roman" w:cs="Times New Roman" w:eastAsiaTheme="minorEastAsia"/>
          <w:b/>
          <w:bCs/>
          <w:color w:val="auto"/>
          <w:w w:val="99"/>
          <w:kern w:val="21"/>
          <w:highlight w:val="none"/>
        </w:rPr>
        <w:t>声环境现状监测结果表    单位：dB（A）</w:t>
      </w:r>
    </w:p>
    <w:tbl>
      <w:tblPr>
        <w:tblStyle w:val="8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64"/>
        <w:gridCol w:w="2664"/>
        <w:gridCol w:w="2241"/>
        <w:gridCol w:w="1416"/>
      </w:tblGrid>
      <w:tr w14:paraId="67C42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596" w:type="pct"/>
            <w:shd w:val="clear" w:color="auto" w:fill="auto"/>
            <w:vAlign w:val="center"/>
          </w:tcPr>
          <w:p w14:paraId="7D328260">
            <w:pPr>
              <w:pStyle w:val="188"/>
              <w:adjustRightInd w:val="0"/>
              <w:snapToGrid w:val="0"/>
              <w:spacing w:line="28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eastAsiaTheme="minorEastAsia"/>
                <w:b w:val="0"/>
                <w:color w:val="auto"/>
                <w:w w:val="99"/>
                <w:kern w:val="21"/>
                <w:szCs w:val="21"/>
                <w:highlight w:val="none"/>
              </w:rPr>
              <w:t>监测点位</w:t>
            </w:r>
          </w:p>
        </w:tc>
        <w:tc>
          <w:tcPr>
            <w:tcW w:w="2640" w:type="pct"/>
            <w:gridSpan w:val="2"/>
            <w:shd w:val="clear" w:color="auto" w:fill="auto"/>
            <w:vAlign w:val="center"/>
          </w:tcPr>
          <w:p w14:paraId="266DF9EE">
            <w:pPr>
              <w:adjustRightInd w:val="0"/>
              <w:snapToGrid w:val="0"/>
              <w:spacing w:line="360" w:lineRule="exact"/>
              <w:jc w:val="center"/>
              <w:rPr>
                <w:rFonts w:hint="eastAsia" w:ascii="Times New Roman" w:hAnsi="Times New Roman" w:cs="Times New Roman" w:eastAsiaTheme="minorEastAsia"/>
                <w:color w:val="auto"/>
                <w:w w:val="99"/>
                <w:kern w:val="21"/>
                <w:sz w:val="21"/>
                <w:szCs w:val="21"/>
                <w:highlight w:val="none"/>
                <w:lang w:val="en-US" w:eastAsia="zh-CN" w:bidi="ar-SA"/>
              </w:rPr>
            </w:pPr>
            <w:r>
              <w:rPr>
                <w:rFonts w:hint="eastAsia" w:ascii="Times New Roman" w:hAnsi="Times New Roman" w:cs="Times New Roman" w:eastAsiaTheme="minorEastAsia"/>
                <w:color w:val="auto"/>
                <w:w w:val="99"/>
                <w:kern w:val="21"/>
                <w:sz w:val="21"/>
                <w:szCs w:val="21"/>
                <w:highlight w:val="none"/>
              </w:rPr>
              <w:t>202</w:t>
            </w:r>
            <w:r>
              <w:rPr>
                <w:rFonts w:hint="eastAsia" w:ascii="Times New Roman" w:hAnsi="Times New Roman" w:cs="Times New Roman" w:eastAsiaTheme="minorEastAsia"/>
                <w:color w:val="auto"/>
                <w:w w:val="99"/>
                <w:kern w:val="21"/>
                <w:sz w:val="21"/>
                <w:szCs w:val="21"/>
                <w:highlight w:val="none"/>
                <w:lang w:val="en-US" w:eastAsia="zh-CN"/>
              </w:rPr>
              <w:t>5</w:t>
            </w:r>
            <w:r>
              <w:rPr>
                <w:rFonts w:hint="eastAsia" w:ascii="Times New Roman" w:hAnsi="Times New Roman" w:cs="Times New Roman" w:eastAsiaTheme="minorEastAsia"/>
                <w:color w:val="auto"/>
                <w:w w:val="99"/>
                <w:kern w:val="21"/>
                <w:sz w:val="21"/>
                <w:szCs w:val="21"/>
                <w:highlight w:val="none"/>
              </w:rPr>
              <w:t>.</w:t>
            </w:r>
            <w:r>
              <w:rPr>
                <w:rFonts w:hint="eastAsia" w:ascii="Times New Roman" w:hAnsi="Times New Roman" w:cs="Times New Roman" w:eastAsiaTheme="minorEastAsia"/>
                <w:color w:val="auto"/>
                <w:w w:val="99"/>
                <w:kern w:val="21"/>
                <w:sz w:val="21"/>
                <w:szCs w:val="21"/>
                <w:highlight w:val="none"/>
                <w:lang w:val="en-US" w:eastAsia="zh-CN"/>
              </w:rPr>
              <w:t>10</w:t>
            </w:r>
            <w:r>
              <w:rPr>
                <w:rFonts w:hint="eastAsia" w:ascii="Times New Roman" w:hAnsi="Times New Roman" w:cs="Times New Roman" w:eastAsiaTheme="minorEastAsia"/>
                <w:color w:val="auto"/>
                <w:w w:val="99"/>
                <w:kern w:val="21"/>
                <w:sz w:val="21"/>
                <w:szCs w:val="21"/>
                <w:highlight w:val="none"/>
              </w:rPr>
              <w:t>.</w:t>
            </w:r>
            <w:r>
              <w:rPr>
                <w:rFonts w:hint="eastAsia" w:ascii="Times New Roman" w:hAnsi="Times New Roman" w:cs="Times New Roman" w:eastAsiaTheme="minorEastAsia"/>
                <w:color w:val="auto"/>
                <w:w w:val="99"/>
                <w:kern w:val="21"/>
                <w:sz w:val="21"/>
                <w:szCs w:val="21"/>
                <w:highlight w:val="none"/>
                <w:lang w:val="en-US" w:eastAsia="zh-CN"/>
              </w:rPr>
              <w:t>27</w:t>
            </w:r>
          </w:p>
        </w:tc>
        <w:tc>
          <w:tcPr>
            <w:tcW w:w="762" w:type="pct"/>
            <w:vAlign w:val="center"/>
          </w:tcPr>
          <w:p w14:paraId="65383716">
            <w:pPr>
              <w:adjustRightInd w:val="0"/>
              <w:snapToGrid w:val="0"/>
              <w:spacing w:line="360" w:lineRule="exact"/>
              <w:jc w:val="center"/>
              <w:rPr>
                <w:rFonts w:hint="default"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lang w:val="en-US" w:eastAsia="zh-CN"/>
              </w:rPr>
              <w:t>备注</w:t>
            </w:r>
          </w:p>
        </w:tc>
      </w:tr>
      <w:tr w14:paraId="48F62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596" w:type="pct"/>
            <w:vMerge w:val="restart"/>
            <w:vAlign w:val="center"/>
          </w:tcPr>
          <w:p w14:paraId="6124D8F8">
            <w:pPr>
              <w:adjustRightInd w:val="0"/>
              <w:snapToGrid w:val="0"/>
              <w:spacing w:line="360" w:lineRule="exact"/>
              <w:jc w:val="center"/>
              <w:rPr>
                <w:rFonts w:hint="default" w:ascii="Times New Roman" w:hAnsi="Times New Roman" w:cs="Times New Roman" w:eastAsiaTheme="minorEastAsia"/>
                <w:color w:val="auto"/>
                <w:w w:val="99"/>
                <w:kern w:val="21"/>
                <w:sz w:val="21"/>
                <w:szCs w:val="21"/>
                <w:highlight w:val="none"/>
                <w:lang w:val="en-US" w:eastAsia="zh-CN" w:bidi="ar-SA"/>
              </w:rPr>
            </w:pPr>
            <w:r>
              <w:rPr>
                <w:rFonts w:hint="eastAsia" w:ascii="Times New Roman" w:hAnsi="Times New Roman" w:cs="Times New Roman" w:eastAsiaTheme="minorEastAsia"/>
                <w:color w:val="auto"/>
                <w:w w:val="99"/>
                <w:kern w:val="21"/>
                <w:sz w:val="21"/>
                <w:szCs w:val="21"/>
                <w:highlight w:val="none"/>
              </w:rPr>
              <w:t>徐深27</w:t>
            </w:r>
            <w:r>
              <w:rPr>
                <w:rFonts w:hint="eastAsia" w:ascii="Times New Roman" w:hAnsi="Times New Roman" w:cs="Times New Roman" w:eastAsiaTheme="minorEastAsia"/>
                <w:color w:val="auto"/>
                <w:w w:val="99"/>
                <w:kern w:val="21"/>
                <w:sz w:val="21"/>
                <w:szCs w:val="21"/>
                <w:highlight w:val="none"/>
                <w:lang w:val="en-US" w:eastAsia="zh-CN"/>
              </w:rPr>
              <w:t>集气站厂界西侧</w:t>
            </w:r>
          </w:p>
        </w:tc>
        <w:tc>
          <w:tcPr>
            <w:tcW w:w="1434" w:type="pct"/>
            <w:shd w:val="clear" w:color="auto" w:fill="auto"/>
            <w:vAlign w:val="center"/>
          </w:tcPr>
          <w:p w14:paraId="7338A558">
            <w:pPr>
              <w:adjustRightInd w:val="0"/>
              <w:snapToGrid w:val="0"/>
              <w:spacing w:line="360" w:lineRule="exact"/>
              <w:jc w:val="center"/>
              <w:rPr>
                <w:rFonts w:hint="eastAsia" w:ascii="Times New Roman" w:hAnsi="Times New Roman" w:cs="Times New Roman" w:eastAsiaTheme="minorEastAsia"/>
                <w:color w:val="auto"/>
                <w:w w:val="99"/>
                <w:kern w:val="21"/>
                <w:sz w:val="21"/>
                <w:szCs w:val="21"/>
                <w:highlight w:val="none"/>
                <w:lang w:val="en-US" w:eastAsia="zh-CN" w:bidi="ar-SA"/>
              </w:rPr>
            </w:pPr>
            <w:r>
              <w:rPr>
                <w:rFonts w:hint="eastAsia" w:ascii="Times New Roman" w:hAnsi="Times New Roman" w:cs="Times New Roman" w:eastAsiaTheme="minorEastAsia"/>
                <w:color w:val="auto"/>
                <w:w w:val="99"/>
                <w:kern w:val="21"/>
                <w:sz w:val="21"/>
                <w:szCs w:val="21"/>
                <w:highlight w:val="none"/>
              </w:rPr>
              <w:t>昼间</w:t>
            </w:r>
            <w:r>
              <w:rPr>
                <w:rFonts w:hint="eastAsia" w:ascii="Times New Roman" w:hAnsi="Times New Roman" w:cs="Times New Roman" w:eastAsiaTheme="minorEastAsia"/>
                <w:color w:val="auto"/>
                <w:w w:val="99"/>
                <w:kern w:val="21"/>
                <w:sz w:val="21"/>
                <w:szCs w:val="21"/>
                <w:highlight w:val="none"/>
                <w:lang w:val="en-US" w:eastAsia="zh-CN"/>
              </w:rPr>
              <w:t>11：09</w:t>
            </w:r>
          </w:p>
        </w:tc>
        <w:tc>
          <w:tcPr>
            <w:tcW w:w="1206" w:type="pct"/>
            <w:shd w:val="clear" w:color="auto" w:fill="auto"/>
            <w:vAlign w:val="center"/>
          </w:tcPr>
          <w:p w14:paraId="09EB4F8F">
            <w:pPr>
              <w:adjustRightInd w:val="0"/>
              <w:snapToGrid w:val="0"/>
              <w:spacing w:line="360" w:lineRule="exact"/>
              <w:jc w:val="center"/>
              <w:rPr>
                <w:rFonts w:hint="default" w:ascii="Times New Roman" w:hAnsi="Times New Roman" w:cs="Times New Roman" w:eastAsiaTheme="minorEastAsia"/>
                <w:color w:val="auto"/>
                <w:w w:val="99"/>
                <w:kern w:val="21"/>
                <w:sz w:val="21"/>
                <w:szCs w:val="21"/>
                <w:highlight w:val="none"/>
                <w:lang w:val="en-US" w:eastAsia="zh-CN" w:bidi="ar-SA"/>
              </w:rPr>
            </w:pPr>
            <w:r>
              <w:rPr>
                <w:rFonts w:hint="eastAsia" w:ascii="Times New Roman" w:hAnsi="Times New Roman" w:cs="Times New Roman" w:eastAsiaTheme="minorEastAsia"/>
                <w:color w:val="auto"/>
                <w:w w:val="99"/>
                <w:kern w:val="21"/>
                <w:sz w:val="21"/>
                <w:szCs w:val="21"/>
                <w:highlight w:val="none"/>
              </w:rPr>
              <w:t>夜间</w:t>
            </w:r>
            <w:r>
              <w:rPr>
                <w:rFonts w:hint="eastAsia" w:ascii="Times New Roman" w:hAnsi="Times New Roman" w:cs="Times New Roman" w:eastAsiaTheme="minorEastAsia"/>
                <w:color w:val="auto"/>
                <w:w w:val="99"/>
                <w:kern w:val="21"/>
                <w:sz w:val="21"/>
                <w:szCs w:val="21"/>
                <w:highlight w:val="none"/>
                <w:lang w:val="en-US" w:eastAsia="zh-CN" w:bidi="ar-SA"/>
              </w:rPr>
              <w:t>22:10</w:t>
            </w:r>
          </w:p>
        </w:tc>
        <w:tc>
          <w:tcPr>
            <w:tcW w:w="762" w:type="pct"/>
            <w:vMerge w:val="restart"/>
            <w:shd w:val="clear" w:color="auto" w:fill="auto"/>
            <w:vAlign w:val="center"/>
          </w:tcPr>
          <w:p w14:paraId="4D035BED">
            <w:pPr>
              <w:adjustRightInd w:val="0"/>
              <w:snapToGrid w:val="0"/>
              <w:spacing w:line="360" w:lineRule="exact"/>
              <w:jc w:val="center"/>
              <w:rPr>
                <w:rFonts w:hint="eastAsia" w:ascii="Times New Roman" w:hAnsi="Times New Roman" w:cs="Times New Roman" w:eastAsiaTheme="minorEastAsia"/>
                <w:color w:val="auto"/>
                <w:w w:val="99"/>
                <w:kern w:val="21"/>
                <w:sz w:val="21"/>
                <w:szCs w:val="21"/>
                <w:highlight w:val="none"/>
                <w:lang w:val="en-US" w:eastAsia="zh-CN" w:bidi="ar-SA"/>
              </w:rPr>
            </w:pPr>
            <w:r>
              <w:rPr>
                <w:rFonts w:hint="eastAsia" w:ascii="Times New Roman" w:hAnsi="Times New Roman" w:cs="Times New Roman" w:eastAsiaTheme="minorEastAsia"/>
                <w:color w:val="auto"/>
                <w:w w:val="99"/>
                <w:kern w:val="21"/>
                <w:sz w:val="21"/>
                <w:szCs w:val="21"/>
                <w:highlight w:val="none"/>
                <w:lang w:val="en-US" w:eastAsia="zh-CN"/>
              </w:rPr>
              <w:t>引用</w:t>
            </w:r>
          </w:p>
        </w:tc>
      </w:tr>
      <w:tr w14:paraId="34355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596" w:type="pct"/>
            <w:vMerge w:val="continue"/>
            <w:shd w:val="clear" w:color="auto" w:fill="auto"/>
            <w:vAlign w:val="center"/>
          </w:tcPr>
          <w:p w14:paraId="06D6850D">
            <w:pPr>
              <w:adjustRightInd w:val="0"/>
              <w:snapToGrid w:val="0"/>
              <w:spacing w:line="360" w:lineRule="exact"/>
              <w:jc w:val="center"/>
              <w:rPr>
                <w:rFonts w:hint="default" w:ascii="Times New Roman" w:hAnsi="Times New Roman" w:cs="Times New Roman" w:eastAsiaTheme="minorEastAsia"/>
                <w:color w:val="auto"/>
                <w:w w:val="99"/>
                <w:kern w:val="21"/>
                <w:sz w:val="21"/>
                <w:szCs w:val="21"/>
                <w:highlight w:val="none"/>
                <w:lang w:val="en-US" w:eastAsia="zh-CN" w:bidi="ar-SA"/>
              </w:rPr>
            </w:pPr>
          </w:p>
        </w:tc>
        <w:tc>
          <w:tcPr>
            <w:tcW w:w="1434" w:type="pct"/>
            <w:shd w:val="clear" w:color="auto" w:fill="auto"/>
            <w:vAlign w:val="center"/>
          </w:tcPr>
          <w:p w14:paraId="533559D8">
            <w:pPr>
              <w:adjustRightInd w:val="0"/>
              <w:snapToGrid w:val="0"/>
              <w:spacing w:line="360" w:lineRule="exact"/>
              <w:jc w:val="center"/>
              <w:rPr>
                <w:rFonts w:hint="default" w:ascii="Times New Roman" w:hAnsi="Times New Roman" w:cs="Times New Roman" w:eastAsiaTheme="minorEastAsia"/>
                <w:color w:val="auto"/>
                <w:w w:val="99"/>
                <w:kern w:val="21"/>
                <w:sz w:val="21"/>
                <w:szCs w:val="21"/>
                <w:highlight w:val="none"/>
                <w:lang w:val="en-US" w:eastAsia="zh-CN" w:bidi="ar-SA"/>
              </w:rPr>
            </w:pPr>
            <w:r>
              <w:rPr>
                <w:rFonts w:hint="eastAsia" w:ascii="Times New Roman" w:hAnsi="Times New Roman" w:cs="Times New Roman" w:eastAsiaTheme="minorEastAsia"/>
                <w:color w:val="auto"/>
                <w:w w:val="99"/>
                <w:kern w:val="21"/>
                <w:sz w:val="21"/>
                <w:szCs w:val="21"/>
                <w:highlight w:val="none"/>
                <w:lang w:val="en-US" w:eastAsia="zh-CN" w:bidi="ar-SA"/>
              </w:rPr>
              <w:t>53</w:t>
            </w:r>
          </w:p>
        </w:tc>
        <w:tc>
          <w:tcPr>
            <w:tcW w:w="1206" w:type="pct"/>
            <w:shd w:val="clear" w:color="auto" w:fill="auto"/>
            <w:vAlign w:val="center"/>
          </w:tcPr>
          <w:p w14:paraId="71B15EF3">
            <w:pPr>
              <w:adjustRightInd w:val="0"/>
              <w:snapToGrid w:val="0"/>
              <w:spacing w:line="360" w:lineRule="exact"/>
              <w:jc w:val="center"/>
              <w:rPr>
                <w:rFonts w:hint="default" w:ascii="Times New Roman" w:hAnsi="Times New Roman" w:cs="Times New Roman" w:eastAsiaTheme="minorEastAsia"/>
                <w:color w:val="auto"/>
                <w:w w:val="99"/>
                <w:kern w:val="21"/>
                <w:sz w:val="21"/>
                <w:szCs w:val="21"/>
                <w:highlight w:val="none"/>
                <w:lang w:val="en-US" w:eastAsia="zh-CN" w:bidi="ar-SA"/>
              </w:rPr>
            </w:pPr>
            <w:r>
              <w:rPr>
                <w:rFonts w:hint="eastAsia" w:ascii="Times New Roman" w:hAnsi="Times New Roman" w:cs="Times New Roman" w:eastAsiaTheme="minorEastAsia"/>
                <w:color w:val="auto"/>
                <w:w w:val="99"/>
                <w:kern w:val="21"/>
                <w:sz w:val="21"/>
                <w:szCs w:val="21"/>
                <w:highlight w:val="none"/>
                <w:lang w:val="en-US" w:eastAsia="zh-CN" w:bidi="ar-SA"/>
              </w:rPr>
              <w:t>47</w:t>
            </w:r>
          </w:p>
        </w:tc>
        <w:tc>
          <w:tcPr>
            <w:tcW w:w="762" w:type="pct"/>
            <w:vMerge w:val="continue"/>
            <w:shd w:val="clear" w:color="auto" w:fill="auto"/>
            <w:vAlign w:val="center"/>
          </w:tcPr>
          <w:p w14:paraId="5754BF66">
            <w:pPr>
              <w:adjustRightInd w:val="0"/>
              <w:snapToGrid w:val="0"/>
              <w:spacing w:line="360" w:lineRule="exact"/>
              <w:jc w:val="center"/>
              <w:rPr>
                <w:rFonts w:hint="eastAsia" w:ascii="Times New Roman" w:hAnsi="Times New Roman" w:cs="Times New Roman" w:eastAsiaTheme="minorEastAsia"/>
                <w:color w:val="auto"/>
                <w:w w:val="99"/>
                <w:kern w:val="21"/>
                <w:sz w:val="21"/>
                <w:szCs w:val="21"/>
                <w:highlight w:val="none"/>
                <w:lang w:val="en-US" w:eastAsia="zh-CN" w:bidi="ar-SA"/>
              </w:rPr>
            </w:pPr>
          </w:p>
        </w:tc>
      </w:tr>
      <w:tr w14:paraId="4AA8B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596" w:type="pct"/>
            <w:vMerge w:val="restart"/>
            <w:vAlign w:val="center"/>
          </w:tcPr>
          <w:p w14:paraId="375AF002">
            <w:pPr>
              <w:adjustRightInd w:val="0"/>
              <w:snapToGrid w:val="0"/>
              <w:spacing w:line="360" w:lineRule="exact"/>
              <w:jc w:val="center"/>
              <w:rPr>
                <w:rFonts w:hint="eastAsia"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rPr>
              <w:t>徐深27</w:t>
            </w:r>
            <w:r>
              <w:rPr>
                <w:rFonts w:hint="eastAsia" w:ascii="Times New Roman" w:hAnsi="Times New Roman" w:cs="Times New Roman" w:eastAsiaTheme="minorEastAsia"/>
                <w:color w:val="auto"/>
                <w:w w:val="99"/>
                <w:kern w:val="21"/>
                <w:sz w:val="21"/>
                <w:szCs w:val="21"/>
                <w:highlight w:val="none"/>
                <w:lang w:val="en-US" w:eastAsia="zh-CN"/>
              </w:rPr>
              <w:t>集气站厂界南侧</w:t>
            </w:r>
          </w:p>
        </w:tc>
        <w:tc>
          <w:tcPr>
            <w:tcW w:w="1434" w:type="pct"/>
            <w:vAlign w:val="center"/>
          </w:tcPr>
          <w:p w14:paraId="05A041FF">
            <w:pPr>
              <w:adjustRightInd w:val="0"/>
              <w:snapToGrid w:val="0"/>
              <w:spacing w:line="360" w:lineRule="exact"/>
              <w:jc w:val="center"/>
              <w:rPr>
                <w:rFonts w:hint="eastAsia"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昼间</w:t>
            </w:r>
            <w:r>
              <w:rPr>
                <w:rFonts w:hint="eastAsia" w:ascii="Times New Roman" w:hAnsi="Times New Roman" w:cs="Times New Roman" w:eastAsiaTheme="minorEastAsia"/>
                <w:color w:val="auto"/>
                <w:w w:val="99"/>
                <w:kern w:val="21"/>
                <w:sz w:val="21"/>
                <w:szCs w:val="21"/>
                <w:highlight w:val="none"/>
                <w:lang w:val="en-US" w:eastAsia="zh-CN"/>
              </w:rPr>
              <w:t>11：18</w:t>
            </w:r>
          </w:p>
        </w:tc>
        <w:tc>
          <w:tcPr>
            <w:tcW w:w="1206" w:type="pct"/>
            <w:vAlign w:val="center"/>
          </w:tcPr>
          <w:p w14:paraId="30B60452">
            <w:pPr>
              <w:adjustRightInd w:val="0"/>
              <w:snapToGrid w:val="0"/>
              <w:spacing w:line="360" w:lineRule="exact"/>
              <w:jc w:val="center"/>
              <w:rPr>
                <w:rFonts w:hint="default"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rPr>
              <w:t>夜间</w:t>
            </w:r>
            <w:r>
              <w:rPr>
                <w:rFonts w:hint="eastAsia" w:ascii="Times New Roman" w:hAnsi="Times New Roman" w:cs="Times New Roman" w:eastAsiaTheme="minorEastAsia"/>
                <w:color w:val="auto"/>
                <w:w w:val="99"/>
                <w:kern w:val="21"/>
                <w:sz w:val="21"/>
                <w:szCs w:val="21"/>
                <w:highlight w:val="none"/>
                <w:lang w:val="en-US" w:eastAsia="zh-CN"/>
              </w:rPr>
              <w:t>22:18</w:t>
            </w:r>
          </w:p>
        </w:tc>
        <w:tc>
          <w:tcPr>
            <w:tcW w:w="762" w:type="pct"/>
            <w:vMerge w:val="restart"/>
            <w:vAlign w:val="center"/>
          </w:tcPr>
          <w:p w14:paraId="3FFDC98C">
            <w:pPr>
              <w:adjustRightInd w:val="0"/>
              <w:snapToGrid w:val="0"/>
              <w:spacing w:line="360" w:lineRule="exact"/>
              <w:jc w:val="center"/>
              <w:rPr>
                <w:rFonts w:hint="eastAsia"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lang w:val="en-US" w:eastAsia="zh-CN"/>
              </w:rPr>
              <w:t>引用</w:t>
            </w:r>
          </w:p>
        </w:tc>
      </w:tr>
      <w:tr w14:paraId="05818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596" w:type="pct"/>
            <w:vMerge w:val="continue"/>
            <w:vAlign w:val="center"/>
          </w:tcPr>
          <w:p w14:paraId="033BD12F">
            <w:pPr>
              <w:adjustRightInd w:val="0"/>
              <w:snapToGrid w:val="0"/>
              <w:spacing w:line="360" w:lineRule="exact"/>
              <w:jc w:val="center"/>
              <w:rPr>
                <w:rFonts w:hint="eastAsia" w:ascii="Times New Roman" w:hAnsi="Times New Roman" w:cs="Times New Roman" w:eastAsiaTheme="minorEastAsia"/>
                <w:color w:val="auto"/>
                <w:w w:val="99"/>
                <w:kern w:val="21"/>
                <w:sz w:val="21"/>
                <w:szCs w:val="21"/>
                <w:highlight w:val="none"/>
              </w:rPr>
            </w:pPr>
          </w:p>
        </w:tc>
        <w:tc>
          <w:tcPr>
            <w:tcW w:w="1434" w:type="pct"/>
            <w:vAlign w:val="center"/>
          </w:tcPr>
          <w:p w14:paraId="793BC69E">
            <w:pPr>
              <w:adjustRightInd w:val="0"/>
              <w:snapToGrid w:val="0"/>
              <w:spacing w:line="360" w:lineRule="exact"/>
              <w:jc w:val="center"/>
              <w:rPr>
                <w:rFonts w:hint="default"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lang w:val="en-US" w:eastAsia="zh-CN"/>
              </w:rPr>
              <w:t>55</w:t>
            </w:r>
          </w:p>
        </w:tc>
        <w:tc>
          <w:tcPr>
            <w:tcW w:w="1206" w:type="pct"/>
            <w:vAlign w:val="center"/>
          </w:tcPr>
          <w:p w14:paraId="29DDB645">
            <w:pPr>
              <w:adjustRightInd w:val="0"/>
              <w:snapToGrid w:val="0"/>
              <w:spacing w:line="360" w:lineRule="exact"/>
              <w:jc w:val="center"/>
              <w:rPr>
                <w:rFonts w:hint="default"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lang w:val="en-US" w:eastAsia="zh-CN"/>
              </w:rPr>
              <w:t>45</w:t>
            </w:r>
          </w:p>
        </w:tc>
        <w:tc>
          <w:tcPr>
            <w:tcW w:w="762" w:type="pct"/>
            <w:vMerge w:val="continue"/>
            <w:vAlign w:val="center"/>
          </w:tcPr>
          <w:p w14:paraId="0DE5A18F">
            <w:pPr>
              <w:adjustRightInd w:val="0"/>
              <w:snapToGrid w:val="0"/>
              <w:spacing w:line="360" w:lineRule="exact"/>
              <w:jc w:val="center"/>
              <w:rPr>
                <w:rFonts w:hint="eastAsia" w:ascii="Times New Roman" w:hAnsi="Times New Roman" w:cs="Times New Roman" w:eastAsiaTheme="minorEastAsia"/>
                <w:color w:val="auto"/>
                <w:w w:val="99"/>
                <w:kern w:val="21"/>
                <w:sz w:val="21"/>
                <w:szCs w:val="21"/>
                <w:highlight w:val="none"/>
              </w:rPr>
            </w:pPr>
          </w:p>
        </w:tc>
      </w:tr>
      <w:tr w14:paraId="77C97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596" w:type="pct"/>
            <w:vMerge w:val="restart"/>
            <w:vAlign w:val="center"/>
          </w:tcPr>
          <w:p w14:paraId="471D643D">
            <w:pPr>
              <w:adjustRightInd w:val="0"/>
              <w:snapToGrid w:val="0"/>
              <w:spacing w:line="360" w:lineRule="exact"/>
              <w:jc w:val="center"/>
              <w:rPr>
                <w:rFonts w:hint="eastAsia"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rPr>
              <w:t>徐深27</w:t>
            </w:r>
            <w:r>
              <w:rPr>
                <w:rFonts w:hint="eastAsia" w:ascii="Times New Roman" w:hAnsi="Times New Roman" w:cs="Times New Roman" w:eastAsiaTheme="minorEastAsia"/>
                <w:color w:val="auto"/>
                <w:w w:val="99"/>
                <w:kern w:val="21"/>
                <w:sz w:val="21"/>
                <w:szCs w:val="21"/>
                <w:highlight w:val="none"/>
                <w:lang w:val="en-US" w:eastAsia="zh-CN"/>
              </w:rPr>
              <w:t>集气站厂界东侧</w:t>
            </w:r>
          </w:p>
        </w:tc>
        <w:tc>
          <w:tcPr>
            <w:tcW w:w="1434" w:type="pct"/>
            <w:vAlign w:val="center"/>
          </w:tcPr>
          <w:p w14:paraId="6C3A7C2C">
            <w:pPr>
              <w:adjustRightInd w:val="0"/>
              <w:snapToGrid w:val="0"/>
              <w:spacing w:line="360" w:lineRule="exact"/>
              <w:jc w:val="center"/>
              <w:rPr>
                <w:rFonts w:hint="default" w:ascii="Times New Roman" w:hAnsi="Times New Roman" w:cs="Times New Roman" w:eastAsiaTheme="minorEastAsia"/>
                <w:color w:val="auto"/>
                <w:w w:val="99"/>
                <w:kern w:val="21"/>
                <w:sz w:val="21"/>
                <w:szCs w:val="21"/>
                <w:highlight w:val="none"/>
                <w:lang w:val="en-US"/>
              </w:rPr>
            </w:pPr>
            <w:r>
              <w:rPr>
                <w:rFonts w:hint="eastAsia" w:ascii="Times New Roman" w:hAnsi="Times New Roman" w:cs="Times New Roman" w:eastAsiaTheme="minorEastAsia"/>
                <w:color w:val="auto"/>
                <w:w w:val="99"/>
                <w:kern w:val="21"/>
                <w:sz w:val="21"/>
                <w:szCs w:val="21"/>
                <w:highlight w:val="none"/>
              </w:rPr>
              <w:t>昼间</w:t>
            </w:r>
            <w:r>
              <w:rPr>
                <w:rFonts w:hint="eastAsia" w:ascii="Times New Roman" w:hAnsi="Times New Roman" w:cs="Times New Roman" w:eastAsiaTheme="minorEastAsia"/>
                <w:color w:val="auto"/>
                <w:w w:val="99"/>
                <w:kern w:val="21"/>
                <w:sz w:val="21"/>
                <w:szCs w:val="21"/>
                <w:highlight w:val="none"/>
                <w:lang w:val="en-US" w:eastAsia="zh-CN"/>
              </w:rPr>
              <w:t>11：27</w:t>
            </w:r>
          </w:p>
        </w:tc>
        <w:tc>
          <w:tcPr>
            <w:tcW w:w="1206" w:type="pct"/>
            <w:vAlign w:val="center"/>
          </w:tcPr>
          <w:p w14:paraId="23EC2757">
            <w:pPr>
              <w:adjustRightInd w:val="0"/>
              <w:snapToGrid w:val="0"/>
              <w:spacing w:line="360" w:lineRule="exact"/>
              <w:jc w:val="center"/>
              <w:rPr>
                <w:rFonts w:hint="default"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rPr>
              <w:t>夜间</w:t>
            </w:r>
            <w:r>
              <w:rPr>
                <w:rFonts w:hint="eastAsia" w:ascii="Times New Roman" w:hAnsi="Times New Roman" w:cs="Times New Roman" w:eastAsiaTheme="minorEastAsia"/>
                <w:color w:val="auto"/>
                <w:w w:val="99"/>
                <w:kern w:val="21"/>
                <w:sz w:val="21"/>
                <w:szCs w:val="21"/>
                <w:highlight w:val="none"/>
                <w:lang w:val="en-US" w:eastAsia="zh-CN"/>
              </w:rPr>
              <w:t>22:25</w:t>
            </w:r>
          </w:p>
        </w:tc>
        <w:tc>
          <w:tcPr>
            <w:tcW w:w="762" w:type="pct"/>
            <w:vMerge w:val="restart"/>
            <w:vAlign w:val="center"/>
          </w:tcPr>
          <w:p w14:paraId="09DD876E">
            <w:pPr>
              <w:adjustRightInd w:val="0"/>
              <w:snapToGrid w:val="0"/>
              <w:spacing w:line="360" w:lineRule="exact"/>
              <w:jc w:val="center"/>
              <w:rPr>
                <w:rFonts w:hint="eastAsia"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lang w:val="en-US" w:eastAsia="zh-CN"/>
              </w:rPr>
              <w:t>引用</w:t>
            </w:r>
          </w:p>
        </w:tc>
      </w:tr>
      <w:tr w14:paraId="29DB8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596" w:type="pct"/>
            <w:vMerge w:val="continue"/>
            <w:vAlign w:val="center"/>
          </w:tcPr>
          <w:p w14:paraId="52F7FF9C">
            <w:pPr>
              <w:adjustRightInd w:val="0"/>
              <w:snapToGrid w:val="0"/>
              <w:spacing w:line="360" w:lineRule="exact"/>
              <w:jc w:val="center"/>
              <w:rPr>
                <w:rFonts w:hint="eastAsia" w:ascii="Times New Roman" w:hAnsi="Times New Roman" w:cs="Times New Roman" w:eastAsiaTheme="minorEastAsia"/>
                <w:color w:val="auto"/>
                <w:w w:val="99"/>
                <w:kern w:val="21"/>
                <w:sz w:val="21"/>
                <w:szCs w:val="21"/>
                <w:highlight w:val="none"/>
              </w:rPr>
            </w:pPr>
          </w:p>
        </w:tc>
        <w:tc>
          <w:tcPr>
            <w:tcW w:w="1434" w:type="pct"/>
            <w:vAlign w:val="center"/>
          </w:tcPr>
          <w:p w14:paraId="5779B070">
            <w:pPr>
              <w:adjustRightInd w:val="0"/>
              <w:snapToGrid w:val="0"/>
              <w:spacing w:line="360" w:lineRule="exact"/>
              <w:jc w:val="center"/>
              <w:rPr>
                <w:rFonts w:hint="default"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lang w:val="en-US" w:eastAsia="zh-CN"/>
              </w:rPr>
              <w:t>47</w:t>
            </w:r>
          </w:p>
        </w:tc>
        <w:tc>
          <w:tcPr>
            <w:tcW w:w="1206" w:type="pct"/>
            <w:vAlign w:val="center"/>
          </w:tcPr>
          <w:p w14:paraId="1A290BAB">
            <w:pPr>
              <w:adjustRightInd w:val="0"/>
              <w:snapToGrid w:val="0"/>
              <w:spacing w:line="360" w:lineRule="exact"/>
              <w:jc w:val="center"/>
              <w:rPr>
                <w:rFonts w:hint="default"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lang w:val="en-US" w:eastAsia="zh-CN"/>
              </w:rPr>
              <w:t>43</w:t>
            </w:r>
          </w:p>
        </w:tc>
        <w:tc>
          <w:tcPr>
            <w:tcW w:w="762" w:type="pct"/>
            <w:vMerge w:val="continue"/>
            <w:vAlign w:val="center"/>
          </w:tcPr>
          <w:p w14:paraId="00CC384E">
            <w:pPr>
              <w:adjustRightInd w:val="0"/>
              <w:snapToGrid w:val="0"/>
              <w:spacing w:line="360" w:lineRule="exact"/>
              <w:jc w:val="center"/>
              <w:rPr>
                <w:rFonts w:hint="eastAsia" w:ascii="Times New Roman" w:hAnsi="Times New Roman" w:cs="Times New Roman" w:eastAsiaTheme="minorEastAsia"/>
                <w:color w:val="auto"/>
                <w:w w:val="99"/>
                <w:kern w:val="21"/>
                <w:sz w:val="21"/>
                <w:szCs w:val="21"/>
                <w:highlight w:val="none"/>
              </w:rPr>
            </w:pPr>
          </w:p>
        </w:tc>
      </w:tr>
      <w:tr w14:paraId="18453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596" w:type="pct"/>
            <w:vMerge w:val="restart"/>
            <w:vAlign w:val="center"/>
          </w:tcPr>
          <w:p w14:paraId="33F2503C">
            <w:pPr>
              <w:adjustRightInd w:val="0"/>
              <w:snapToGrid w:val="0"/>
              <w:spacing w:line="360" w:lineRule="exact"/>
              <w:jc w:val="center"/>
              <w:rPr>
                <w:rFonts w:hint="eastAsia"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rPr>
              <w:t>徐深27</w:t>
            </w:r>
            <w:r>
              <w:rPr>
                <w:rFonts w:hint="eastAsia" w:ascii="Times New Roman" w:hAnsi="Times New Roman" w:cs="Times New Roman" w:eastAsiaTheme="minorEastAsia"/>
                <w:color w:val="auto"/>
                <w:w w:val="99"/>
                <w:kern w:val="21"/>
                <w:sz w:val="21"/>
                <w:szCs w:val="21"/>
                <w:highlight w:val="none"/>
                <w:lang w:val="en-US" w:eastAsia="zh-CN"/>
              </w:rPr>
              <w:t>集气站厂界北侧</w:t>
            </w:r>
          </w:p>
        </w:tc>
        <w:tc>
          <w:tcPr>
            <w:tcW w:w="1434" w:type="pct"/>
            <w:vAlign w:val="center"/>
          </w:tcPr>
          <w:p w14:paraId="5FF6B170">
            <w:pPr>
              <w:adjustRightInd w:val="0"/>
              <w:snapToGrid w:val="0"/>
              <w:spacing w:line="360" w:lineRule="exact"/>
              <w:jc w:val="center"/>
              <w:rPr>
                <w:rFonts w:hint="default" w:ascii="Times New Roman" w:hAnsi="Times New Roman" w:cs="Times New Roman" w:eastAsiaTheme="minorEastAsia"/>
                <w:color w:val="auto"/>
                <w:w w:val="99"/>
                <w:kern w:val="21"/>
                <w:sz w:val="21"/>
                <w:szCs w:val="21"/>
                <w:highlight w:val="none"/>
                <w:lang w:val="en-US"/>
              </w:rPr>
            </w:pPr>
            <w:r>
              <w:rPr>
                <w:rFonts w:hint="eastAsia" w:ascii="Times New Roman" w:hAnsi="Times New Roman" w:cs="Times New Roman" w:eastAsiaTheme="minorEastAsia"/>
                <w:color w:val="auto"/>
                <w:w w:val="99"/>
                <w:kern w:val="21"/>
                <w:sz w:val="21"/>
                <w:szCs w:val="21"/>
                <w:highlight w:val="none"/>
              </w:rPr>
              <w:t>昼间</w:t>
            </w:r>
            <w:r>
              <w:rPr>
                <w:rFonts w:hint="eastAsia" w:ascii="Times New Roman" w:hAnsi="Times New Roman" w:cs="Times New Roman" w:eastAsiaTheme="minorEastAsia"/>
                <w:color w:val="auto"/>
                <w:w w:val="99"/>
                <w:kern w:val="21"/>
                <w:sz w:val="21"/>
                <w:szCs w:val="21"/>
                <w:highlight w:val="none"/>
                <w:lang w:val="en-US" w:eastAsia="zh-CN"/>
              </w:rPr>
              <w:t>11：26</w:t>
            </w:r>
          </w:p>
        </w:tc>
        <w:tc>
          <w:tcPr>
            <w:tcW w:w="1206" w:type="pct"/>
            <w:vAlign w:val="center"/>
          </w:tcPr>
          <w:p w14:paraId="3B420676">
            <w:pPr>
              <w:adjustRightInd w:val="0"/>
              <w:snapToGrid w:val="0"/>
              <w:spacing w:line="360" w:lineRule="exact"/>
              <w:jc w:val="center"/>
              <w:rPr>
                <w:rFonts w:hint="default"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rPr>
              <w:t>夜间</w:t>
            </w:r>
            <w:r>
              <w:rPr>
                <w:rFonts w:hint="eastAsia" w:ascii="Times New Roman" w:hAnsi="Times New Roman" w:cs="Times New Roman" w:eastAsiaTheme="minorEastAsia"/>
                <w:color w:val="auto"/>
                <w:w w:val="99"/>
                <w:kern w:val="21"/>
                <w:sz w:val="21"/>
                <w:szCs w:val="21"/>
                <w:highlight w:val="none"/>
                <w:lang w:val="en-US" w:eastAsia="zh-CN"/>
              </w:rPr>
              <w:t>22:34</w:t>
            </w:r>
          </w:p>
        </w:tc>
        <w:tc>
          <w:tcPr>
            <w:tcW w:w="762" w:type="pct"/>
            <w:vMerge w:val="restart"/>
            <w:vAlign w:val="center"/>
          </w:tcPr>
          <w:p w14:paraId="0362BE16">
            <w:pPr>
              <w:adjustRightInd w:val="0"/>
              <w:snapToGrid w:val="0"/>
              <w:spacing w:line="360" w:lineRule="exact"/>
              <w:jc w:val="center"/>
              <w:rPr>
                <w:rFonts w:hint="eastAsia"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lang w:val="en-US" w:eastAsia="zh-CN"/>
              </w:rPr>
              <w:t>引用</w:t>
            </w:r>
          </w:p>
        </w:tc>
      </w:tr>
      <w:tr w14:paraId="5CA6A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596" w:type="pct"/>
            <w:vMerge w:val="continue"/>
            <w:vAlign w:val="center"/>
          </w:tcPr>
          <w:p w14:paraId="27C85C67">
            <w:pPr>
              <w:adjustRightInd w:val="0"/>
              <w:snapToGrid w:val="0"/>
              <w:spacing w:line="360" w:lineRule="exact"/>
              <w:jc w:val="center"/>
              <w:rPr>
                <w:rFonts w:hint="eastAsia" w:ascii="Times New Roman" w:hAnsi="Times New Roman" w:cs="Times New Roman" w:eastAsiaTheme="minorEastAsia"/>
                <w:color w:val="auto"/>
                <w:w w:val="99"/>
                <w:kern w:val="21"/>
                <w:sz w:val="21"/>
                <w:szCs w:val="21"/>
                <w:highlight w:val="none"/>
              </w:rPr>
            </w:pPr>
          </w:p>
        </w:tc>
        <w:tc>
          <w:tcPr>
            <w:tcW w:w="1434" w:type="pct"/>
            <w:vAlign w:val="center"/>
          </w:tcPr>
          <w:p w14:paraId="7C3999B4">
            <w:pPr>
              <w:adjustRightInd w:val="0"/>
              <w:snapToGrid w:val="0"/>
              <w:spacing w:line="360" w:lineRule="exact"/>
              <w:jc w:val="center"/>
              <w:rPr>
                <w:rFonts w:hint="default"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lang w:val="en-US" w:eastAsia="zh-CN"/>
              </w:rPr>
              <w:t>53</w:t>
            </w:r>
          </w:p>
        </w:tc>
        <w:tc>
          <w:tcPr>
            <w:tcW w:w="1206" w:type="pct"/>
            <w:vAlign w:val="center"/>
          </w:tcPr>
          <w:p w14:paraId="35194740">
            <w:pPr>
              <w:adjustRightInd w:val="0"/>
              <w:snapToGrid w:val="0"/>
              <w:spacing w:line="360" w:lineRule="exact"/>
              <w:jc w:val="center"/>
              <w:rPr>
                <w:rFonts w:hint="default"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lang w:val="en-US" w:eastAsia="zh-CN"/>
              </w:rPr>
              <w:t>43</w:t>
            </w:r>
          </w:p>
        </w:tc>
        <w:tc>
          <w:tcPr>
            <w:tcW w:w="762" w:type="pct"/>
            <w:vMerge w:val="continue"/>
            <w:vAlign w:val="center"/>
          </w:tcPr>
          <w:p w14:paraId="577BACAF">
            <w:pPr>
              <w:adjustRightInd w:val="0"/>
              <w:snapToGrid w:val="0"/>
              <w:spacing w:line="360" w:lineRule="exact"/>
              <w:jc w:val="center"/>
              <w:rPr>
                <w:rFonts w:hint="eastAsia" w:ascii="Times New Roman" w:hAnsi="Times New Roman" w:cs="Times New Roman" w:eastAsiaTheme="minorEastAsia"/>
                <w:color w:val="auto"/>
                <w:w w:val="99"/>
                <w:kern w:val="21"/>
                <w:sz w:val="21"/>
                <w:szCs w:val="21"/>
                <w:highlight w:val="none"/>
              </w:rPr>
            </w:pPr>
          </w:p>
        </w:tc>
      </w:tr>
    </w:tbl>
    <w:p w14:paraId="71D6C41E">
      <w:pPr>
        <w:rPr>
          <w:rFonts w:hint="eastAsia"/>
          <w:color w:val="auto"/>
          <w:highlight w:val="none"/>
          <w:lang w:val="en-US" w:eastAsia="zh-CN"/>
        </w:rPr>
      </w:pPr>
    </w:p>
    <w:p w14:paraId="3AA7424F">
      <w:pPr>
        <w:pStyle w:val="153"/>
        <w:widowControl w:val="0"/>
        <w:spacing w:line="440" w:lineRule="exact"/>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4.3.4.2声环境质量现状评价</w:t>
      </w:r>
    </w:p>
    <w:p w14:paraId="3DA79F86">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bCs/>
          <w:color w:val="auto"/>
          <w:w w:val="99"/>
          <w:highlight w:val="none"/>
        </w:rPr>
        <w:t>本项目评价范围内噪声源主要来</w:t>
      </w:r>
      <w:r>
        <w:rPr>
          <w:rFonts w:hint="eastAsia" w:ascii="Times New Roman" w:hAnsi="Times New Roman" w:cs="Times New Roman"/>
          <w:bCs/>
          <w:color w:val="auto"/>
          <w:w w:val="99"/>
          <w:highlight w:val="none"/>
          <w:lang w:val="en-US" w:eastAsia="zh-CN"/>
        </w:rPr>
        <w:t>非正常工况下，</w:t>
      </w:r>
      <w:r>
        <w:rPr>
          <w:rFonts w:ascii="Times New Roman" w:hAnsi="Times New Roman" w:cs="Times New Roman"/>
          <w:color w:val="auto"/>
          <w:w w:val="99"/>
          <w:kern w:val="2"/>
          <w:szCs w:val="20"/>
          <w:highlight w:val="none"/>
        </w:rPr>
        <w:t>井场、站场放空系统</w:t>
      </w:r>
      <w:r>
        <w:rPr>
          <w:rFonts w:hint="eastAsia" w:ascii="Times New Roman" w:hAnsi="Times New Roman" w:cs="Times New Roman"/>
          <w:color w:val="auto"/>
          <w:w w:val="99"/>
          <w:kern w:val="2"/>
          <w:szCs w:val="20"/>
          <w:highlight w:val="none"/>
          <w:lang w:val="en-US" w:eastAsia="zh-CN"/>
        </w:rPr>
        <w:t>等</w:t>
      </w:r>
      <w:r>
        <w:rPr>
          <w:rFonts w:ascii="Times New Roman" w:hAnsi="Times New Roman" w:cs="Times New Roman"/>
          <w:color w:val="auto"/>
          <w:w w:val="99"/>
          <w:kern w:val="2"/>
          <w:szCs w:val="20"/>
          <w:highlight w:val="none"/>
        </w:rPr>
        <w:t>噪声</w:t>
      </w:r>
      <w:r>
        <w:rPr>
          <w:rFonts w:ascii="Times New Roman" w:hAnsi="Times New Roman" w:cs="Times New Roman"/>
          <w:bCs/>
          <w:color w:val="auto"/>
          <w:w w:val="99"/>
          <w:highlight w:val="none"/>
        </w:rPr>
        <w:t>，源强约在</w:t>
      </w:r>
      <w:r>
        <w:rPr>
          <w:rFonts w:hint="eastAsia" w:ascii="Times New Roman" w:hAnsi="Times New Roman" w:cs="Times New Roman"/>
          <w:bCs/>
          <w:color w:val="auto"/>
          <w:w w:val="99"/>
          <w:highlight w:val="none"/>
          <w:lang w:val="en-US" w:eastAsia="zh-CN"/>
        </w:rPr>
        <w:t>7</w:t>
      </w:r>
      <w:r>
        <w:rPr>
          <w:rFonts w:hint="eastAsia" w:ascii="Times New Roman" w:hAnsi="Times New Roman" w:cs="Times New Roman"/>
          <w:bCs/>
          <w:color w:val="auto"/>
          <w:w w:val="99"/>
          <w:highlight w:val="none"/>
        </w:rPr>
        <w:t>5</w:t>
      </w:r>
      <w:r>
        <w:rPr>
          <w:rFonts w:ascii="Times New Roman" w:hAnsi="Times New Roman" w:cs="Times New Roman"/>
          <w:bCs/>
          <w:color w:val="auto"/>
          <w:w w:val="99"/>
          <w:highlight w:val="none"/>
        </w:rPr>
        <w:t>～</w:t>
      </w:r>
      <w:r>
        <w:rPr>
          <w:rFonts w:hint="eastAsia" w:ascii="Times New Roman" w:hAnsi="Times New Roman" w:cs="Times New Roman"/>
          <w:bCs/>
          <w:color w:val="auto"/>
          <w:w w:val="99"/>
          <w:highlight w:val="none"/>
        </w:rPr>
        <w:t>10</w:t>
      </w:r>
      <w:r>
        <w:rPr>
          <w:rFonts w:ascii="Times New Roman" w:hAnsi="Times New Roman" w:cs="Times New Roman"/>
          <w:bCs/>
          <w:color w:val="auto"/>
          <w:w w:val="99"/>
          <w:highlight w:val="none"/>
        </w:rPr>
        <w:t>5dB(A)之间，为</w:t>
      </w:r>
      <w:r>
        <w:rPr>
          <w:rFonts w:hint="eastAsia" w:ascii="Times New Roman" w:hAnsi="Times New Roman" w:cs="Times New Roman"/>
          <w:bCs/>
          <w:color w:val="auto"/>
          <w:w w:val="99"/>
          <w:highlight w:val="none"/>
        </w:rPr>
        <w:t>突发</w:t>
      </w:r>
      <w:r>
        <w:rPr>
          <w:rFonts w:ascii="Times New Roman" w:hAnsi="Times New Roman" w:cs="Times New Roman"/>
          <w:bCs/>
          <w:color w:val="auto"/>
          <w:w w:val="99"/>
          <w:highlight w:val="none"/>
        </w:rPr>
        <w:t>声源。</w:t>
      </w:r>
    </w:p>
    <w:p w14:paraId="629FB4D0">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（1）评价标准</w:t>
      </w:r>
    </w:p>
    <w:p w14:paraId="23E8874D">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根据本项目区域声环境功能区划，</w:t>
      </w:r>
      <w:r>
        <w:rPr>
          <w:rFonts w:ascii="Times New Roman" w:hAnsi="Times New Roman" w:cs="Times New Roman" w:eastAsiaTheme="minorEastAsia"/>
          <w:color w:val="auto"/>
          <w:w w:val="99"/>
          <w:kern w:val="2"/>
          <w:highlight w:val="none"/>
        </w:rPr>
        <w:t>项目区域声环境</w:t>
      </w:r>
      <w:r>
        <w:rPr>
          <w:rFonts w:ascii="Times New Roman" w:hAnsi="Times New Roman" w:cs="Times New Roman" w:eastAsiaTheme="minorEastAsia"/>
          <w:color w:val="auto"/>
          <w:w w:val="99"/>
          <w:highlight w:val="none"/>
        </w:rPr>
        <w:t>执行《声环境质量标准》（GB3096-2008）2类标准，项目周边村屯声环境执行《声环境质量标准》（GB3096-2008）1类标准。</w:t>
      </w:r>
    </w:p>
    <w:p w14:paraId="2A9B527E">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（2）评价方法</w:t>
      </w:r>
    </w:p>
    <w:p w14:paraId="23B8641F">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声环境质量现状评价采用对标法进行评价。</w:t>
      </w:r>
    </w:p>
    <w:p w14:paraId="73E5C383">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（3）评价结论</w:t>
      </w:r>
    </w:p>
    <w:p w14:paraId="508A7904">
      <w:pPr>
        <w:widowControl w:val="0"/>
        <w:spacing w:line="440" w:lineRule="exact"/>
        <w:ind w:firstLine="474" w:firstLineChars="200"/>
        <w:jc w:val="both"/>
        <w:rPr>
          <w:rFonts w:ascii="Times New Roman" w:hAnsi="Times New Roman" w:cs="Times New Roman" w:eastAsiaTheme="minorEastAsia"/>
          <w:bCs/>
          <w:color w:val="auto"/>
          <w:w w:val="99"/>
          <w:highlight w:val="none"/>
        </w:rPr>
      </w:pPr>
      <w:r>
        <w:rPr>
          <w:rFonts w:ascii="Times New Roman" w:hAnsi="Times New Roman" w:cs="Times New Roman" w:eastAsiaTheme="minorEastAsia"/>
          <w:color w:val="auto"/>
          <w:w w:val="99"/>
          <w:highlight w:val="none"/>
        </w:rPr>
        <w:t>由本项目区域声环境质量现状监测结果与执行评价标准限值对比分析可知，项目拟建井场区域声环境满足《声环境质量标准》（GB3096-2008）2类标准，</w:t>
      </w:r>
      <w:r>
        <w:rPr>
          <w:rFonts w:ascii="Times New Roman" w:hAnsi="Times New Roman" w:cs="Times New Roman" w:eastAsiaTheme="minorEastAsia"/>
          <w:bCs/>
          <w:color w:val="auto"/>
          <w:w w:val="99"/>
          <w:highlight w:val="none"/>
        </w:rPr>
        <w:t>项目周边村屯声环境满足《声环境质量标准》（GB3096-2008）1类标准。</w:t>
      </w:r>
    </w:p>
    <w:p w14:paraId="6B51752D">
      <w:pPr>
        <w:pStyle w:val="7"/>
        <w:keepNext w:val="0"/>
        <w:keepLines w:val="0"/>
        <w:widowControl w:val="0"/>
        <w:spacing w:line="440" w:lineRule="exact"/>
        <w:jc w:val="both"/>
        <w:rPr>
          <w:rFonts w:eastAsia="宋体"/>
          <w:b/>
          <w:color w:val="auto"/>
          <w:w w:val="99"/>
          <w:kern w:val="2"/>
          <w:sz w:val="24"/>
          <w:szCs w:val="24"/>
          <w:highlight w:val="none"/>
        </w:rPr>
      </w:pPr>
      <w:bookmarkStart w:id="739" w:name="_Toc57707958"/>
      <w:bookmarkStart w:id="740" w:name="_Toc70050224"/>
      <w:bookmarkStart w:id="741" w:name="_Toc61597274"/>
      <w:bookmarkStart w:id="742" w:name="_Toc41655203"/>
      <w:bookmarkStart w:id="743" w:name="_Toc29643953"/>
      <w:bookmarkStart w:id="744" w:name="_Toc29644705"/>
      <w:bookmarkStart w:id="745" w:name="_Toc38545059"/>
      <w:bookmarkStart w:id="746" w:name="_Toc78816503"/>
      <w:bookmarkStart w:id="747" w:name="_Toc57976710"/>
      <w:bookmarkStart w:id="748" w:name="_Toc186444325"/>
      <w:bookmarkStart w:id="749" w:name="_Toc38296426"/>
      <w:bookmarkStart w:id="750" w:name="_Toc29642921"/>
      <w:bookmarkStart w:id="751" w:name="_Toc67860175"/>
      <w:bookmarkStart w:id="752" w:name="_Toc80971420"/>
      <w:bookmarkStart w:id="753" w:name="_Toc80588298"/>
      <w:bookmarkStart w:id="754" w:name="_Toc77067701"/>
      <w:bookmarkStart w:id="755" w:name="_Toc76976289"/>
      <w:bookmarkStart w:id="756" w:name="_Toc34124487"/>
      <w:bookmarkStart w:id="757" w:name="_Toc83209520"/>
      <w:bookmarkStart w:id="758" w:name="_Toc1114"/>
      <w:bookmarkStart w:id="759" w:name="_Toc57203288"/>
      <w:r>
        <w:rPr>
          <w:rFonts w:eastAsia="宋体"/>
          <w:b/>
          <w:color w:val="auto"/>
          <w:w w:val="99"/>
          <w:kern w:val="2"/>
          <w:sz w:val="24"/>
          <w:szCs w:val="24"/>
          <w:highlight w:val="none"/>
        </w:rPr>
        <w:t>4.3.5土壤质量现状监测与评价</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14:paraId="2F0940AD">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4.3.5.1土壤理化特性调查</w:t>
      </w:r>
    </w:p>
    <w:p w14:paraId="1102F41C">
      <w:pPr>
        <w:widowControl w:val="0"/>
        <w:spacing w:line="440" w:lineRule="exact"/>
        <w:ind w:firstLine="480"/>
        <w:jc w:val="both"/>
        <w:rPr>
          <w:rFonts w:ascii="Times New Roman" w:hAnsi="Times New Roman" w:cs="Times New Roman" w:eastAsiaTheme="minorEastAsia"/>
          <w:color w:val="auto"/>
          <w:w w:val="99"/>
          <w:szCs w:val="20"/>
          <w:highlight w:val="none"/>
        </w:rPr>
      </w:pPr>
      <w:r>
        <w:rPr>
          <w:rFonts w:ascii="Times New Roman" w:hAnsi="Times New Roman" w:cs="Times New Roman" w:eastAsiaTheme="minorEastAsia"/>
          <w:color w:val="auto"/>
          <w:w w:val="99"/>
          <w:szCs w:val="20"/>
          <w:highlight w:val="none"/>
        </w:rPr>
        <w:t>本项目评价范围内主要为</w:t>
      </w:r>
      <w:r>
        <w:rPr>
          <w:rFonts w:hint="eastAsia" w:ascii="Times New Roman" w:hAnsi="Times New Roman" w:cs="Times New Roman" w:eastAsiaTheme="minorEastAsia"/>
          <w:color w:val="auto"/>
          <w:w w:val="99"/>
          <w:szCs w:val="20"/>
          <w:highlight w:val="none"/>
        </w:rPr>
        <w:t>黑钙</w:t>
      </w:r>
      <w:r>
        <w:rPr>
          <w:rFonts w:ascii="Times New Roman" w:hAnsi="Times New Roman" w:cs="Times New Roman" w:eastAsiaTheme="minorEastAsia"/>
          <w:color w:val="auto"/>
          <w:w w:val="99"/>
          <w:szCs w:val="20"/>
          <w:highlight w:val="none"/>
        </w:rPr>
        <w:t>土，在充分收集资料的基础上，根据土壤环境影响类型、建设项目特征与评价需要，有针对性地选择土壤理化特性调查内容，具体土壤理化特性调查见表4.3-</w:t>
      </w:r>
      <w:r>
        <w:rPr>
          <w:rFonts w:hint="eastAsia" w:ascii="Times New Roman" w:hAnsi="Times New Roman" w:cs="Times New Roman" w:eastAsiaTheme="minorEastAsia"/>
          <w:color w:val="auto"/>
          <w:w w:val="99"/>
          <w:szCs w:val="20"/>
          <w:highlight w:val="none"/>
        </w:rPr>
        <w:t>1</w:t>
      </w:r>
      <w:r>
        <w:rPr>
          <w:rFonts w:ascii="Times New Roman" w:hAnsi="Times New Roman" w:cs="Times New Roman" w:eastAsiaTheme="minorEastAsia"/>
          <w:color w:val="auto"/>
          <w:w w:val="99"/>
          <w:szCs w:val="20"/>
          <w:highlight w:val="none"/>
        </w:rPr>
        <w:t>8，区域内土壤构型（土壤剖面）见表4.3-</w:t>
      </w:r>
      <w:r>
        <w:rPr>
          <w:rFonts w:hint="eastAsia" w:ascii="Times New Roman" w:hAnsi="Times New Roman" w:cs="Times New Roman" w:eastAsiaTheme="minorEastAsia"/>
          <w:color w:val="auto"/>
          <w:w w:val="99"/>
          <w:szCs w:val="20"/>
          <w:highlight w:val="none"/>
        </w:rPr>
        <w:t>1</w:t>
      </w:r>
      <w:r>
        <w:rPr>
          <w:rFonts w:ascii="Times New Roman" w:hAnsi="Times New Roman" w:cs="Times New Roman" w:eastAsiaTheme="minorEastAsia"/>
          <w:color w:val="auto"/>
          <w:w w:val="99"/>
          <w:szCs w:val="20"/>
          <w:highlight w:val="none"/>
        </w:rPr>
        <w:t>9。</w:t>
      </w:r>
    </w:p>
    <w:p w14:paraId="395B7FAF">
      <w:pPr>
        <w:widowControl w:val="0"/>
        <w:spacing w:line="440" w:lineRule="exact"/>
        <w:ind w:firstLine="480"/>
        <w:jc w:val="both"/>
        <w:rPr>
          <w:rFonts w:ascii="Times New Roman" w:hAnsi="Times New Roman" w:cs="Times New Roman" w:eastAsiaTheme="minorEastAsia"/>
          <w:color w:val="auto"/>
          <w:w w:val="99"/>
          <w:szCs w:val="20"/>
          <w:highlight w:val="none"/>
        </w:rPr>
      </w:pPr>
      <w:r>
        <w:rPr>
          <w:rFonts w:ascii="Times New Roman" w:hAnsi="Times New Roman" w:cs="Times New Roman" w:eastAsiaTheme="minorEastAsia"/>
          <w:b/>
          <w:color w:val="auto"/>
          <w:w w:val="99"/>
          <w:szCs w:val="20"/>
          <w:highlight w:val="none"/>
        </w:rPr>
        <w:t>表4.3-</w:t>
      </w:r>
      <w:r>
        <w:rPr>
          <w:rFonts w:hint="eastAsia" w:ascii="Times New Roman" w:hAnsi="Times New Roman" w:cs="Times New Roman" w:eastAsiaTheme="minorEastAsia"/>
          <w:b/>
          <w:color w:val="auto"/>
          <w:w w:val="99"/>
          <w:szCs w:val="20"/>
          <w:highlight w:val="none"/>
        </w:rPr>
        <w:t>1</w:t>
      </w:r>
      <w:r>
        <w:rPr>
          <w:rFonts w:ascii="Times New Roman" w:hAnsi="Times New Roman" w:cs="Times New Roman" w:eastAsiaTheme="minorEastAsia"/>
          <w:b/>
          <w:color w:val="auto"/>
          <w:w w:val="99"/>
          <w:szCs w:val="20"/>
          <w:highlight w:val="none"/>
        </w:rPr>
        <w:t>8    土壤</w:t>
      </w:r>
      <w:r>
        <w:rPr>
          <w:rFonts w:ascii="Times New Roman" w:hAnsi="Times New Roman" w:cs="Times New Roman" w:eastAsiaTheme="minorEastAsia"/>
          <w:b/>
          <w:bCs/>
          <w:color w:val="auto"/>
          <w:w w:val="99"/>
          <w:kern w:val="21"/>
          <w:highlight w:val="none"/>
        </w:rPr>
        <w:t>理化</w:t>
      </w:r>
      <w:r>
        <w:rPr>
          <w:rFonts w:ascii="Times New Roman" w:hAnsi="Times New Roman" w:cs="Times New Roman" w:eastAsiaTheme="minorEastAsia"/>
          <w:b/>
          <w:color w:val="auto"/>
          <w:w w:val="99"/>
          <w:szCs w:val="20"/>
          <w:highlight w:val="none"/>
        </w:rPr>
        <w:t>特性调查表</w:t>
      </w:r>
    </w:p>
    <w:tbl>
      <w:tblPr>
        <w:tblStyle w:val="81"/>
        <w:tblW w:w="4999" w:type="pct"/>
        <w:tblInd w:w="0" w:type="dxa"/>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autofit"/>
        <w:tblCellMar>
          <w:top w:w="0" w:type="dxa"/>
          <w:left w:w="0" w:type="dxa"/>
          <w:bottom w:w="0" w:type="dxa"/>
          <w:right w:w="0" w:type="dxa"/>
        </w:tblCellMar>
      </w:tblPr>
      <w:tblGrid>
        <w:gridCol w:w="1086"/>
        <w:gridCol w:w="2296"/>
        <w:gridCol w:w="1896"/>
        <w:gridCol w:w="1896"/>
        <w:gridCol w:w="1905"/>
      </w:tblGrid>
      <w:tr w14:paraId="7DACF0D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1862" w:type="pct"/>
            <w:gridSpan w:val="2"/>
            <w:tcBorders>
              <w:bottom w:val="single" w:color="000000" w:sz="4" w:space="0"/>
              <w:right w:val="single" w:color="000000" w:sz="4" w:space="0"/>
            </w:tcBorders>
            <w:vAlign w:val="center"/>
          </w:tcPr>
          <w:p w14:paraId="063E282E">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时间</w:t>
            </w:r>
          </w:p>
        </w:tc>
        <w:tc>
          <w:tcPr>
            <w:tcW w:w="3137" w:type="pct"/>
            <w:gridSpan w:val="3"/>
            <w:tcBorders>
              <w:left w:val="nil"/>
              <w:bottom w:val="single" w:color="000000" w:sz="4" w:space="0"/>
            </w:tcBorders>
            <w:vAlign w:val="center"/>
          </w:tcPr>
          <w:p w14:paraId="19982AC1">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2026.06.01</w:t>
            </w:r>
          </w:p>
        </w:tc>
      </w:tr>
      <w:tr w14:paraId="7F1644B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62" w:type="pct"/>
            <w:gridSpan w:val="2"/>
            <w:tcBorders>
              <w:top w:val="single" w:color="000000" w:sz="4" w:space="0"/>
              <w:bottom w:val="single" w:color="000000" w:sz="4" w:space="0"/>
              <w:right w:val="single" w:color="000000" w:sz="4" w:space="0"/>
            </w:tcBorders>
            <w:vAlign w:val="center"/>
          </w:tcPr>
          <w:p w14:paraId="6EA19524">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点号</w:t>
            </w:r>
          </w:p>
        </w:tc>
        <w:tc>
          <w:tcPr>
            <w:tcW w:w="3137" w:type="pct"/>
            <w:gridSpan w:val="3"/>
            <w:tcBorders>
              <w:top w:val="single" w:color="000000" w:sz="4" w:space="0"/>
              <w:left w:val="nil"/>
              <w:bottom w:val="single" w:color="000000" w:sz="4" w:space="0"/>
            </w:tcBorders>
            <w:vAlign w:val="center"/>
          </w:tcPr>
          <w:p w14:paraId="47E38947">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拟建徐深27-H1井井场占地内1#</w:t>
            </w:r>
          </w:p>
        </w:tc>
      </w:tr>
      <w:tr w14:paraId="158F9E3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62" w:type="pct"/>
            <w:gridSpan w:val="2"/>
            <w:tcBorders>
              <w:top w:val="single" w:color="000000" w:sz="4" w:space="0"/>
              <w:bottom w:val="single" w:color="000000" w:sz="4" w:space="0"/>
              <w:right w:val="single" w:color="000000" w:sz="4" w:space="0"/>
            </w:tcBorders>
            <w:vAlign w:val="center"/>
          </w:tcPr>
          <w:p w14:paraId="14578EE8">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经纬度</w:t>
            </w:r>
          </w:p>
        </w:tc>
        <w:tc>
          <w:tcPr>
            <w:tcW w:w="3137" w:type="pct"/>
            <w:gridSpan w:val="3"/>
            <w:tcBorders>
              <w:top w:val="single" w:color="000000" w:sz="4" w:space="0"/>
              <w:left w:val="nil"/>
              <w:bottom w:val="single" w:color="000000" w:sz="4" w:space="0"/>
            </w:tcBorders>
            <w:vAlign w:val="center"/>
          </w:tcPr>
          <w:p w14:paraId="7E120D27">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125.519037  45.895931</w:t>
            </w:r>
          </w:p>
        </w:tc>
      </w:tr>
      <w:tr w14:paraId="1929ADB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77" w:hRule="atLeast"/>
        </w:trPr>
        <w:tc>
          <w:tcPr>
            <w:tcW w:w="1862" w:type="pct"/>
            <w:gridSpan w:val="2"/>
            <w:tcBorders>
              <w:top w:val="single" w:color="000000" w:sz="4" w:space="0"/>
              <w:bottom w:val="single" w:color="000000" w:sz="4" w:space="0"/>
              <w:right w:val="single" w:color="000000" w:sz="4" w:space="0"/>
            </w:tcBorders>
            <w:vAlign w:val="center"/>
          </w:tcPr>
          <w:p w14:paraId="41B44538">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层次</w:t>
            </w:r>
          </w:p>
        </w:tc>
        <w:tc>
          <w:tcPr>
            <w:tcW w:w="1044" w:type="pct"/>
            <w:tcBorders>
              <w:top w:val="single" w:color="000000" w:sz="4" w:space="0"/>
              <w:left w:val="nil"/>
              <w:bottom w:val="single" w:color="000000" w:sz="4" w:space="0"/>
              <w:right w:val="single" w:color="000000" w:sz="4" w:space="0"/>
            </w:tcBorders>
            <w:vAlign w:val="center"/>
          </w:tcPr>
          <w:p w14:paraId="3BD04E82">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0-50cm</w:t>
            </w:r>
          </w:p>
        </w:tc>
        <w:tc>
          <w:tcPr>
            <w:tcW w:w="1044" w:type="pct"/>
            <w:tcBorders>
              <w:top w:val="single" w:color="000000" w:sz="4" w:space="0"/>
              <w:left w:val="nil"/>
              <w:bottom w:val="single" w:color="000000" w:sz="4" w:space="0"/>
            </w:tcBorders>
            <w:vAlign w:val="center"/>
          </w:tcPr>
          <w:p w14:paraId="4160B0E9">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50-150cm</w:t>
            </w:r>
          </w:p>
        </w:tc>
        <w:tc>
          <w:tcPr>
            <w:tcW w:w="1047" w:type="pct"/>
            <w:tcBorders>
              <w:top w:val="single" w:color="000000" w:sz="4" w:space="0"/>
              <w:left w:val="nil"/>
              <w:bottom w:val="single" w:color="000000" w:sz="4" w:space="0"/>
            </w:tcBorders>
            <w:vAlign w:val="center"/>
          </w:tcPr>
          <w:p w14:paraId="356FB2C3">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150-300cm</w:t>
            </w:r>
          </w:p>
        </w:tc>
      </w:tr>
      <w:tr w14:paraId="664468A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67" w:hRule="atLeast"/>
        </w:trPr>
        <w:tc>
          <w:tcPr>
            <w:tcW w:w="598" w:type="pct"/>
            <w:vMerge w:val="restart"/>
            <w:tcBorders>
              <w:top w:val="nil"/>
              <w:bottom w:val="single" w:color="000000" w:sz="4" w:space="0"/>
              <w:right w:val="single" w:color="000000" w:sz="4" w:space="0"/>
            </w:tcBorders>
            <w:vAlign w:val="center"/>
          </w:tcPr>
          <w:p w14:paraId="6EF94ABF">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p w14:paraId="6CB56D5B">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现场记录</w:t>
            </w:r>
          </w:p>
        </w:tc>
        <w:tc>
          <w:tcPr>
            <w:tcW w:w="1264" w:type="pct"/>
            <w:tcBorders>
              <w:top w:val="single" w:color="000000" w:sz="4" w:space="0"/>
              <w:left w:val="nil"/>
              <w:bottom w:val="single" w:color="000000" w:sz="4" w:space="0"/>
              <w:right w:val="single" w:color="000000" w:sz="4" w:space="0"/>
            </w:tcBorders>
            <w:vAlign w:val="center"/>
          </w:tcPr>
          <w:p w14:paraId="07313286">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颜色</w:t>
            </w:r>
          </w:p>
        </w:tc>
        <w:tc>
          <w:tcPr>
            <w:tcW w:w="1044" w:type="pct"/>
            <w:tcBorders>
              <w:top w:val="single" w:color="000000" w:sz="4" w:space="0"/>
              <w:left w:val="nil"/>
              <w:bottom w:val="single" w:color="000000" w:sz="4" w:space="0"/>
              <w:right w:val="single" w:color="000000" w:sz="4" w:space="0"/>
            </w:tcBorders>
            <w:vAlign w:val="center"/>
          </w:tcPr>
          <w:p w14:paraId="056BF8E7">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黑色</w:t>
            </w:r>
          </w:p>
        </w:tc>
        <w:tc>
          <w:tcPr>
            <w:tcW w:w="1044" w:type="pct"/>
            <w:tcBorders>
              <w:top w:val="single" w:color="000000" w:sz="4" w:space="0"/>
              <w:left w:val="nil"/>
              <w:bottom w:val="single" w:color="000000" w:sz="4" w:space="0"/>
            </w:tcBorders>
            <w:vAlign w:val="center"/>
          </w:tcPr>
          <w:p w14:paraId="1A386E91">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黑色</w:t>
            </w:r>
          </w:p>
        </w:tc>
        <w:tc>
          <w:tcPr>
            <w:tcW w:w="1047" w:type="pct"/>
            <w:tcBorders>
              <w:top w:val="single" w:color="000000" w:sz="4" w:space="0"/>
              <w:left w:val="nil"/>
              <w:bottom w:val="single" w:color="000000" w:sz="4" w:space="0"/>
            </w:tcBorders>
            <w:vAlign w:val="center"/>
          </w:tcPr>
          <w:p w14:paraId="01F67072">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黑色</w:t>
            </w:r>
          </w:p>
        </w:tc>
      </w:tr>
      <w:tr w14:paraId="677B7B4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598" w:type="pct"/>
            <w:vMerge w:val="continue"/>
            <w:tcBorders>
              <w:top w:val="nil"/>
              <w:bottom w:val="single" w:color="000000" w:sz="4" w:space="0"/>
              <w:right w:val="single" w:color="000000" w:sz="4" w:space="0"/>
            </w:tcBorders>
            <w:vAlign w:val="center"/>
          </w:tcPr>
          <w:p w14:paraId="696ED090">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264" w:type="pct"/>
            <w:tcBorders>
              <w:top w:val="single" w:color="000000" w:sz="4" w:space="0"/>
              <w:left w:val="nil"/>
              <w:bottom w:val="single" w:color="000000" w:sz="4" w:space="0"/>
              <w:right w:val="single" w:color="000000" w:sz="4" w:space="0"/>
            </w:tcBorders>
            <w:vAlign w:val="center"/>
          </w:tcPr>
          <w:p w14:paraId="5B44209E">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结构</w:t>
            </w:r>
          </w:p>
        </w:tc>
        <w:tc>
          <w:tcPr>
            <w:tcW w:w="1044" w:type="pct"/>
            <w:tcBorders>
              <w:top w:val="single" w:color="000000" w:sz="4" w:space="0"/>
              <w:left w:val="nil"/>
              <w:bottom w:val="single" w:color="000000" w:sz="4" w:space="0"/>
              <w:right w:val="single" w:color="000000" w:sz="4" w:space="0"/>
            </w:tcBorders>
            <w:vAlign w:val="center"/>
          </w:tcPr>
          <w:p w14:paraId="5FA43459">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块状</w:t>
            </w:r>
          </w:p>
        </w:tc>
        <w:tc>
          <w:tcPr>
            <w:tcW w:w="1044" w:type="pct"/>
            <w:tcBorders>
              <w:top w:val="single" w:color="000000" w:sz="4" w:space="0"/>
              <w:left w:val="nil"/>
              <w:bottom w:val="single" w:color="000000" w:sz="4" w:space="0"/>
            </w:tcBorders>
            <w:vAlign w:val="center"/>
          </w:tcPr>
          <w:p w14:paraId="39792A33">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面状</w:t>
            </w:r>
          </w:p>
        </w:tc>
        <w:tc>
          <w:tcPr>
            <w:tcW w:w="1047" w:type="pct"/>
            <w:tcBorders>
              <w:top w:val="single" w:color="000000" w:sz="4" w:space="0"/>
              <w:left w:val="nil"/>
              <w:bottom w:val="single" w:color="000000" w:sz="4" w:space="0"/>
            </w:tcBorders>
            <w:vAlign w:val="center"/>
          </w:tcPr>
          <w:p w14:paraId="7854C7A2">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面状</w:t>
            </w:r>
          </w:p>
        </w:tc>
      </w:tr>
      <w:tr w14:paraId="5697BF9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98" w:type="pct"/>
            <w:vMerge w:val="continue"/>
            <w:tcBorders>
              <w:top w:val="nil"/>
              <w:bottom w:val="single" w:color="000000" w:sz="4" w:space="0"/>
              <w:right w:val="single" w:color="000000" w:sz="4" w:space="0"/>
            </w:tcBorders>
            <w:vAlign w:val="center"/>
          </w:tcPr>
          <w:p w14:paraId="07351C27">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264" w:type="pct"/>
            <w:tcBorders>
              <w:top w:val="single" w:color="000000" w:sz="4" w:space="0"/>
              <w:left w:val="nil"/>
              <w:bottom w:val="single" w:color="000000" w:sz="4" w:space="0"/>
              <w:right w:val="single" w:color="000000" w:sz="4" w:space="0"/>
            </w:tcBorders>
            <w:vAlign w:val="center"/>
          </w:tcPr>
          <w:p w14:paraId="1B85B0FA">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质地</w:t>
            </w:r>
          </w:p>
        </w:tc>
        <w:tc>
          <w:tcPr>
            <w:tcW w:w="1044" w:type="pct"/>
            <w:tcBorders>
              <w:top w:val="single" w:color="000000" w:sz="4" w:space="0"/>
              <w:left w:val="nil"/>
              <w:bottom w:val="single" w:color="000000" w:sz="4" w:space="0"/>
              <w:right w:val="single" w:color="000000" w:sz="4" w:space="0"/>
            </w:tcBorders>
            <w:vAlign w:val="center"/>
          </w:tcPr>
          <w:p w14:paraId="72E3321F">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壤土</w:t>
            </w:r>
          </w:p>
        </w:tc>
        <w:tc>
          <w:tcPr>
            <w:tcW w:w="1044" w:type="pct"/>
            <w:tcBorders>
              <w:top w:val="single" w:color="000000" w:sz="4" w:space="0"/>
              <w:left w:val="nil"/>
              <w:bottom w:val="single" w:color="000000" w:sz="4" w:space="0"/>
            </w:tcBorders>
            <w:vAlign w:val="center"/>
          </w:tcPr>
          <w:p w14:paraId="1106BE29">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壤土</w:t>
            </w:r>
          </w:p>
        </w:tc>
        <w:tc>
          <w:tcPr>
            <w:tcW w:w="1047" w:type="pct"/>
            <w:tcBorders>
              <w:top w:val="single" w:color="000000" w:sz="4" w:space="0"/>
              <w:left w:val="nil"/>
              <w:bottom w:val="single" w:color="000000" w:sz="4" w:space="0"/>
            </w:tcBorders>
            <w:vAlign w:val="center"/>
          </w:tcPr>
          <w:p w14:paraId="4AB9D7C7">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壤土</w:t>
            </w:r>
          </w:p>
        </w:tc>
      </w:tr>
      <w:tr w14:paraId="6FEB4B0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598" w:type="pct"/>
            <w:vMerge w:val="continue"/>
            <w:tcBorders>
              <w:top w:val="nil"/>
              <w:bottom w:val="single" w:color="000000" w:sz="4" w:space="0"/>
              <w:right w:val="single" w:color="000000" w:sz="4" w:space="0"/>
            </w:tcBorders>
            <w:vAlign w:val="center"/>
          </w:tcPr>
          <w:p w14:paraId="169CE217">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264" w:type="pct"/>
            <w:tcBorders>
              <w:top w:val="single" w:color="000000" w:sz="4" w:space="0"/>
              <w:left w:val="nil"/>
              <w:bottom w:val="single" w:color="000000" w:sz="4" w:space="0"/>
              <w:right w:val="single" w:color="000000" w:sz="4" w:space="0"/>
            </w:tcBorders>
            <w:vAlign w:val="center"/>
          </w:tcPr>
          <w:p w14:paraId="1B9A399D">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eastAsia="zh-CN"/>
              </w:rPr>
              <w:t>砂粒</w:t>
            </w:r>
            <w:r>
              <w:rPr>
                <w:rFonts w:hint="eastAsia" w:ascii="Times New Roman" w:hAnsi="Times New Roman" w:cs="Times New Roman" w:eastAsiaTheme="minorEastAsia"/>
                <w:color w:val="auto"/>
                <w:w w:val="99"/>
                <w:sz w:val="21"/>
                <w:szCs w:val="21"/>
                <w:highlight w:val="none"/>
              </w:rPr>
              <w:t>含量</w:t>
            </w:r>
          </w:p>
        </w:tc>
        <w:tc>
          <w:tcPr>
            <w:tcW w:w="1044" w:type="pct"/>
            <w:tcBorders>
              <w:top w:val="single" w:color="000000" w:sz="4" w:space="0"/>
              <w:left w:val="nil"/>
              <w:bottom w:val="single" w:color="000000" w:sz="4" w:space="0"/>
              <w:right w:val="single" w:color="000000" w:sz="4" w:space="0"/>
            </w:tcBorders>
            <w:vAlign w:val="center"/>
          </w:tcPr>
          <w:p w14:paraId="06A10ACA">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25～45%</w:t>
            </w:r>
          </w:p>
        </w:tc>
        <w:tc>
          <w:tcPr>
            <w:tcW w:w="1044" w:type="pct"/>
            <w:tcBorders>
              <w:top w:val="single" w:color="000000" w:sz="4" w:space="0"/>
              <w:left w:val="nil"/>
              <w:bottom w:val="single" w:color="000000" w:sz="4" w:space="0"/>
            </w:tcBorders>
            <w:vAlign w:val="center"/>
          </w:tcPr>
          <w:p w14:paraId="6B27972F">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25～45%</w:t>
            </w:r>
          </w:p>
        </w:tc>
        <w:tc>
          <w:tcPr>
            <w:tcW w:w="1047" w:type="pct"/>
            <w:tcBorders>
              <w:top w:val="single" w:color="000000" w:sz="4" w:space="0"/>
              <w:left w:val="nil"/>
              <w:bottom w:val="single" w:color="000000" w:sz="4" w:space="0"/>
            </w:tcBorders>
            <w:vAlign w:val="center"/>
          </w:tcPr>
          <w:p w14:paraId="68DFE1EE">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25～45%</w:t>
            </w:r>
          </w:p>
        </w:tc>
      </w:tr>
      <w:tr w14:paraId="08686CB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598" w:type="pct"/>
            <w:vMerge w:val="continue"/>
            <w:tcBorders>
              <w:top w:val="nil"/>
              <w:bottom w:val="single" w:color="000000" w:sz="4" w:space="0"/>
              <w:right w:val="single" w:color="000000" w:sz="4" w:space="0"/>
            </w:tcBorders>
            <w:vAlign w:val="center"/>
          </w:tcPr>
          <w:p w14:paraId="30AAA7D5">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264" w:type="pct"/>
            <w:tcBorders>
              <w:top w:val="single" w:color="000000" w:sz="4" w:space="0"/>
              <w:left w:val="nil"/>
              <w:bottom w:val="single" w:color="000000" w:sz="4" w:space="0"/>
              <w:right w:val="single" w:color="000000" w:sz="4" w:space="0"/>
            </w:tcBorders>
            <w:vAlign w:val="center"/>
          </w:tcPr>
          <w:p w14:paraId="1DF5711F">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其他异物</w:t>
            </w:r>
          </w:p>
        </w:tc>
        <w:tc>
          <w:tcPr>
            <w:tcW w:w="1044" w:type="pct"/>
            <w:tcBorders>
              <w:top w:val="single" w:color="000000" w:sz="4" w:space="0"/>
              <w:left w:val="nil"/>
              <w:bottom w:val="single" w:color="000000" w:sz="4" w:space="0"/>
              <w:right w:val="single" w:color="000000" w:sz="4" w:space="0"/>
            </w:tcBorders>
            <w:vAlign w:val="center"/>
          </w:tcPr>
          <w:p w14:paraId="6C016476">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植物根系</w:t>
            </w:r>
          </w:p>
        </w:tc>
        <w:tc>
          <w:tcPr>
            <w:tcW w:w="1044" w:type="pct"/>
            <w:tcBorders>
              <w:top w:val="single" w:color="000000" w:sz="4" w:space="0"/>
              <w:left w:val="nil"/>
              <w:bottom w:val="single" w:color="000000" w:sz="4" w:space="0"/>
            </w:tcBorders>
            <w:vAlign w:val="center"/>
          </w:tcPr>
          <w:p w14:paraId="0C77F789">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w:t>
            </w:r>
          </w:p>
        </w:tc>
        <w:tc>
          <w:tcPr>
            <w:tcW w:w="1047" w:type="pct"/>
            <w:tcBorders>
              <w:top w:val="single" w:color="000000" w:sz="4" w:space="0"/>
              <w:left w:val="nil"/>
              <w:bottom w:val="single" w:color="000000" w:sz="4" w:space="0"/>
            </w:tcBorders>
            <w:vAlign w:val="center"/>
          </w:tcPr>
          <w:p w14:paraId="715FEF33">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w:t>
            </w:r>
          </w:p>
        </w:tc>
      </w:tr>
      <w:tr w14:paraId="7DF4690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77" w:hRule="atLeast"/>
        </w:trPr>
        <w:tc>
          <w:tcPr>
            <w:tcW w:w="598" w:type="pct"/>
            <w:vMerge w:val="restart"/>
            <w:tcBorders>
              <w:top w:val="nil"/>
              <w:bottom w:val="single" w:color="000000" w:sz="4" w:space="0"/>
              <w:right w:val="single" w:color="000000" w:sz="4" w:space="0"/>
            </w:tcBorders>
            <w:vAlign w:val="center"/>
          </w:tcPr>
          <w:p w14:paraId="291F859E">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p w14:paraId="3955CFC5">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实验室测定</w:t>
            </w:r>
          </w:p>
        </w:tc>
        <w:tc>
          <w:tcPr>
            <w:tcW w:w="1264" w:type="pct"/>
            <w:tcBorders>
              <w:top w:val="single" w:color="000000" w:sz="4" w:space="0"/>
              <w:left w:val="nil"/>
              <w:bottom w:val="single" w:color="000000" w:sz="4" w:space="0"/>
              <w:right w:val="single" w:color="000000" w:sz="4" w:space="0"/>
            </w:tcBorders>
            <w:vAlign w:val="center"/>
          </w:tcPr>
          <w:p w14:paraId="2C109C73">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pH 值</w:t>
            </w:r>
          </w:p>
        </w:tc>
        <w:tc>
          <w:tcPr>
            <w:tcW w:w="1044" w:type="pct"/>
            <w:tcBorders>
              <w:top w:val="single" w:color="000000" w:sz="4" w:space="0"/>
              <w:left w:val="nil"/>
              <w:bottom w:val="single" w:color="000000" w:sz="4" w:space="0"/>
              <w:right w:val="single" w:color="000000" w:sz="4" w:space="0"/>
            </w:tcBorders>
            <w:vAlign w:val="center"/>
          </w:tcPr>
          <w:p w14:paraId="144EA020">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7.91</w:t>
            </w:r>
          </w:p>
        </w:tc>
        <w:tc>
          <w:tcPr>
            <w:tcW w:w="1044" w:type="pct"/>
            <w:tcBorders>
              <w:top w:val="single" w:color="000000" w:sz="4" w:space="0"/>
              <w:left w:val="nil"/>
              <w:bottom w:val="single" w:color="000000" w:sz="4" w:space="0"/>
            </w:tcBorders>
            <w:vAlign w:val="center"/>
          </w:tcPr>
          <w:p w14:paraId="2761B5E1">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7.74</w:t>
            </w:r>
          </w:p>
        </w:tc>
        <w:tc>
          <w:tcPr>
            <w:tcW w:w="1047" w:type="pct"/>
            <w:tcBorders>
              <w:top w:val="single" w:color="000000" w:sz="4" w:space="0"/>
              <w:left w:val="nil"/>
              <w:bottom w:val="single" w:color="000000" w:sz="4" w:space="0"/>
            </w:tcBorders>
            <w:vAlign w:val="center"/>
          </w:tcPr>
          <w:p w14:paraId="6A8B52CD">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8.01</w:t>
            </w:r>
          </w:p>
        </w:tc>
      </w:tr>
      <w:tr w14:paraId="7508A65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598" w:type="pct"/>
            <w:vMerge w:val="continue"/>
            <w:tcBorders>
              <w:top w:val="nil"/>
              <w:bottom w:val="single" w:color="000000" w:sz="4" w:space="0"/>
              <w:right w:val="single" w:color="000000" w:sz="4" w:space="0"/>
            </w:tcBorders>
            <w:vAlign w:val="center"/>
          </w:tcPr>
          <w:p w14:paraId="246EE4C0">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264" w:type="pct"/>
            <w:tcBorders>
              <w:top w:val="single" w:color="000000" w:sz="4" w:space="0"/>
              <w:left w:val="nil"/>
              <w:bottom w:val="single" w:color="000000" w:sz="4" w:space="0"/>
              <w:right w:val="single" w:color="000000" w:sz="4" w:space="0"/>
            </w:tcBorders>
            <w:vAlign w:val="center"/>
          </w:tcPr>
          <w:p w14:paraId="4D4A6919">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阳离子交换量(cmol+/kg)</w:t>
            </w:r>
          </w:p>
        </w:tc>
        <w:tc>
          <w:tcPr>
            <w:tcW w:w="1044" w:type="pct"/>
            <w:tcBorders>
              <w:top w:val="single" w:color="000000" w:sz="4" w:space="0"/>
              <w:left w:val="nil"/>
              <w:bottom w:val="single" w:color="000000" w:sz="4" w:space="0"/>
              <w:right w:val="single" w:color="000000" w:sz="4" w:space="0"/>
            </w:tcBorders>
            <w:vAlign w:val="center"/>
          </w:tcPr>
          <w:p w14:paraId="3AAECBA2">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12.2</w:t>
            </w:r>
          </w:p>
        </w:tc>
        <w:tc>
          <w:tcPr>
            <w:tcW w:w="1044" w:type="pct"/>
            <w:tcBorders>
              <w:top w:val="single" w:color="000000" w:sz="4" w:space="0"/>
              <w:left w:val="nil"/>
              <w:bottom w:val="single" w:color="000000" w:sz="4" w:space="0"/>
            </w:tcBorders>
            <w:vAlign w:val="center"/>
          </w:tcPr>
          <w:p w14:paraId="5EC6E0BD">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10.7</w:t>
            </w:r>
          </w:p>
        </w:tc>
        <w:tc>
          <w:tcPr>
            <w:tcW w:w="1047" w:type="pct"/>
            <w:tcBorders>
              <w:top w:val="single" w:color="000000" w:sz="4" w:space="0"/>
              <w:left w:val="nil"/>
              <w:bottom w:val="single" w:color="000000" w:sz="4" w:space="0"/>
            </w:tcBorders>
            <w:vAlign w:val="center"/>
          </w:tcPr>
          <w:p w14:paraId="0EA8992A">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11.5</w:t>
            </w:r>
          </w:p>
        </w:tc>
      </w:tr>
      <w:tr w14:paraId="6BBA0AA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98" w:type="pct"/>
            <w:vMerge w:val="continue"/>
            <w:tcBorders>
              <w:top w:val="nil"/>
              <w:bottom w:val="single" w:color="000000" w:sz="4" w:space="0"/>
              <w:right w:val="single" w:color="000000" w:sz="4" w:space="0"/>
            </w:tcBorders>
            <w:vAlign w:val="center"/>
          </w:tcPr>
          <w:p w14:paraId="67E144E5">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264" w:type="pct"/>
            <w:tcBorders>
              <w:top w:val="single" w:color="000000" w:sz="4" w:space="0"/>
              <w:left w:val="nil"/>
              <w:bottom w:val="single" w:color="000000" w:sz="4" w:space="0"/>
              <w:right w:val="single" w:color="000000" w:sz="4" w:space="0"/>
            </w:tcBorders>
            <w:vAlign w:val="center"/>
          </w:tcPr>
          <w:p w14:paraId="481CEC84">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氧化还原电位（mv）</w:t>
            </w:r>
          </w:p>
        </w:tc>
        <w:tc>
          <w:tcPr>
            <w:tcW w:w="1044" w:type="pct"/>
            <w:tcBorders>
              <w:top w:val="single" w:color="000000" w:sz="4" w:space="0"/>
              <w:left w:val="nil"/>
              <w:bottom w:val="single" w:color="000000" w:sz="4" w:space="0"/>
              <w:right w:val="single" w:color="000000" w:sz="4" w:space="0"/>
            </w:tcBorders>
            <w:vAlign w:val="center"/>
          </w:tcPr>
          <w:p w14:paraId="18AA704D">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204</w:t>
            </w:r>
          </w:p>
        </w:tc>
        <w:tc>
          <w:tcPr>
            <w:tcW w:w="1044" w:type="pct"/>
            <w:tcBorders>
              <w:top w:val="single" w:color="000000" w:sz="4" w:space="0"/>
              <w:left w:val="nil"/>
              <w:bottom w:val="single" w:color="000000" w:sz="4" w:space="0"/>
            </w:tcBorders>
            <w:vAlign w:val="center"/>
          </w:tcPr>
          <w:p w14:paraId="5DA30679">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185</w:t>
            </w:r>
          </w:p>
        </w:tc>
        <w:tc>
          <w:tcPr>
            <w:tcW w:w="1047" w:type="pct"/>
            <w:tcBorders>
              <w:top w:val="single" w:color="000000" w:sz="4" w:space="0"/>
              <w:left w:val="nil"/>
              <w:bottom w:val="single" w:color="000000" w:sz="4" w:space="0"/>
            </w:tcBorders>
            <w:vAlign w:val="center"/>
          </w:tcPr>
          <w:p w14:paraId="523C3B41">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191</w:t>
            </w:r>
          </w:p>
        </w:tc>
      </w:tr>
      <w:tr w14:paraId="76D874B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598" w:type="pct"/>
            <w:vMerge w:val="continue"/>
            <w:tcBorders>
              <w:top w:val="nil"/>
              <w:bottom w:val="single" w:color="000000" w:sz="4" w:space="0"/>
              <w:right w:val="single" w:color="000000" w:sz="4" w:space="0"/>
            </w:tcBorders>
            <w:vAlign w:val="center"/>
          </w:tcPr>
          <w:p w14:paraId="5B375A92">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264" w:type="pct"/>
            <w:tcBorders>
              <w:top w:val="single" w:color="000000" w:sz="4" w:space="0"/>
              <w:left w:val="nil"/>
              <w:bottom w:val="single" w:color="000000" w:sz="4" w:space="0"/>
              <w:right w:val="single" w:color="000000" w:sz="4" w:space="0"/>
            </w:tcBorders>
            <w:vAlign w:val="center"/>
          </w:tcPr>
          <w:p w14:paraId="759A6BFA">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饱和导水率(mm/min)</w:t>
            </w:r>
          </w:p>
        </w:tc>
        <w:tc>
          <w:tcPr>
            <w:tcW w:w="1044" w:type="pct"/>
            <w:tcBorders>
              <w:top w:val="single" w:color="000000" w:sz="4" w:space="0"/>
              <w:left w:val="nil"/>
              <w:bottom w:val="single" w:color="000000" w:sz="4" w:space="0"/>
              <w:right w:val="single" w:color="000000" w:sz="4" w:space="0"/>
            </w:tcBorders>
            <w:vAlign w:val="center"/>
          </w:tcPr>
          <w:p w14:paraId="402D46F6">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1.304</w:t>
            </w:r>
          </w:p>
        </w:tc>
        <w:tc>
          <w:tcPr>
            <w:tcW w:w="1044" w:type="pct"/>
            <w:tcBorders>
              <w:top w:val="single" w:color="000000" w:sz="4" w:space="0"/>
              <w:left w:val="nil"/>
              <w:bottom w:val="single" w:color="000000" w:sz="4" w:space="0"/>
            </w:tcBorders>
            <w:vAlign w:val="center"/>
          </w:tcPr>
          <w:p w14:paraId="24082FFF">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1.318</w:t>
            </w:r>
          </w:p>
        </w:tc>
        <w:tc>
          <w:tcPr>
            <w:tcW w:w="1047" w:type="pct"/>
            <w:tcBorders>
              <w:top w:val="single" w:color="000000" w:sz="4" w:space="0"/>
              <w:left w:val="nil"/>
              <w:bottom w:val="single" w:color="000000" w:sz="4" w:space="0"/>
            </w:tcBorders>
            <w:vAlign w:val="center"/>
          </w:tcPr>
          <w:p w14:paraId="6926214D">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1.323</w:t>
            </w:r>
          </w:p>
        </w:tc>
      </w:tr>
      <w:tr w14:paraId="053D25A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598" w:type="pct"/>
            <w:vMerge w:val="continue"/>
            <w:tcBorders>
              <w:top w:val="nil"/>
              <w:bottom w:val="single" w:color="000000" w:sz="4" w:space="0"/>
              <w:right w:val="single" w:color="000000" w:sz="4" w:space="0"/>
            </w:tcBorders>
            <w:vAlign w:val="center"/>
          </w:tcPr>
          <w:p w14:paraId="69037AD5">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264" w:type="pct"/>
            <w:tcBorders>
              <w:top w:val="single" w:color="000000" w:sz="4" w:space="0"/>
              <w:left w:val="nil"/>
              <w:bottom w:val="single" w:color="000000" w:sz="4" w:space="0"/>
              <w:right w:val="single" w:color="000000" w:sz="4" w:space="0"/>
            </w:tcBorders>
            <w:vAlign w:val="center"/>
          </w:tcPr>
          <w:p w14:paraId="458C271A">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土壤容重 (g/cm</w:t>
            </w:r>
            <w:r>
              <w:rPr>
                <w:rFonts w:hint="eastAsia" w:ascii="Times New Roman" w:hAnsi="Times New Roman" w:cs="Times New Roman" w:eastAsiaTheme="minorEastAsia"/>
                <w:color w:val="auto"/>
                <w:w w:val="99"/>
                <w:sz w:val="21"/>
                <w:szCs w:val="21"/>
                <w:highlight w:val="none"/>
                <w:vertAlign w:val="superscript"/>
              </w:rPr>
              <w:t>3</w:t>
            </w:r>
            <w:r>
              <w:rPr>
                <w:rFonts w:hint="eastAsia" w:ascii="Times New Roman" w:hAnsi="Times New Roman" w:cs="Times New Roman" w:eastAsiaTheme="minorEastAsia"/>
                <w:color w:val="auto"/>
                <w:w w:val="99"/>
                <w:sz w:val="21"/>
                <w:szCs w:val="21"/>
                <w:highlight w:val="none"/>
              </w:rPr>
              <w:t>)</w:t>
            </w:r>
          </w:p>
        </w:tc>
        <w:tc>
          <w:tcPr>
            <w:tcW w:w="1044" w:type="pct"/>
            <w:tcBorders>
              <w:top w:val="single" w:color="000000" w:sz="4" w:space="0"/>
              <w:left w:val="nil"/>
              <w:bottom w:val="single" w:color="000000" w:sz="4" w:space="0"/>
              <w:right w:val="single" w:color="000000" w:sz="4" w:space="0"/>
            </w:tcBorders>
            <w:vAlign w:val="center"/>
          </w:tcPr>
          <w:p w14:paraId="2CC4F59A">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1.46</w:t>
            </w:r>
          </w:p>
        </w:tc>
        <w:tc>
          <w:tcPr>
            <w:tcW w:w="1044" w:type="pct"/>
            <w:tcBorders>
              <w:top w:val="single" w:color="000000" w:sz="4" w:space="0"/>
              <w:left w:val="nil"/>
              <w:bottom w:val="single" w:color="000000" w:sz="4" w:space="0"/>
            </w:tcBorders>
            <w:vAlign w:val="center"/>
          </w:tcPr>
          <w:p w14:paraId="1B0ED0AA">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1.50</w:t>
            </w:r>
          </w:p>
        </w:tc>
        <w:tc>
          <w:tcPr>
            <w:tcW w:w="1047" w:type="pct"/>
            <w:tcBorders>
              <w:top w:val="single" w:color="000000" w:sz="4" w:space="0"/>
              <w:left w:val="nil"/>
              <w:bottom w:val="single" w:color="000000" w:sz="4" w:space="0"/>
            </w:tcBorders>
            <w:vAlign w:val="center"/>
          </w:tcPr>
          <w:p w14:paraId="2267DAAF">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1.48</w:t>
            </w:r>
          </w:p>
        </w:tc>
      </w:tr>
      <w:tr w14:paraId="24E8AE1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598" w:type="pct"/>
            <w:vMerge w:val="continue"/>
            <w:tcBorders>
              <w:top w:val="nil"/>
              <w:right w:val="single" w:color="000000" w:sz="4" w:space="0"/>
            </w:tcBorders>
            <w:vAlign w:val="center"/>
          </w:tcPr>
          <w:p w14:paraId="15D9FC04">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264" w:type="pct"/>
            <w:tcBorders>
              <w:top w:val="single" w:color="000000" w:sz="4" w:space="0"/>
              <w:left w:val="nil"/>
              <w:right w:val="single" w:color="000000" w:sz="4" w:space="0"/>
            </w:tcBorders>
            <w:vAlign w:val="center"/>
          </w:tcPr>
          <w:p w14:paraId="66A5ED75">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孔隙度(%)</w:t>
            </w:r>
          </w:p>
        </w:tc>
        <w:tc>
          <w:tcPr>
            <w:tcW w:w="1044" w:type="pct"/>
            <w:tcBorders>
              <w:top w:val="single" w:color="000000" w:sz="4" w:space="0"/>
              <w:left w:val="nil"/>
              <w:right w:val="single" w:color="000000" w:sz="4" w:space="0"/>
            </w:tcBorders>
            <w:vAlign w:val="center"/>
          </w:tcPr>
          <w:p w14:paraId="069390B4">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44.9</w:t>
            </w:r>
          </w:p>
        </w:tc>
        <w:tc>
          <w:tcPr>
            <w:tcW w:w="1044" w:type="pct"/>
            <w:tcBorders>
              <w:top w:val="single" w:color="000000" w:sz="4" w:space="0"/>
              <w:left w:val="nil"/>
            </w:tcBorders>
            <w:vAlign w:val="center"/>
          </w:tcPr>
          <w:p w14:paraId="6622EBC8">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43.4</w:t>
            </w:r>
          </w:p>
        </w:tc>
        <w:tc>
          <w:tcPr>
            <w:tcW w:w="1047" w:type="pct"/>
            <w:tcBorders>
              <w:top w:val="single" w:color="000000" w:sz="4" w:space="0"/>
              <w:left w:val="nil"/>
            </w:tcBorders>
            <w:vAlign w:val="center"/>
          </w:tcPr>
          <w:p w14:paraId="64BC3FCE">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44.2</w:t>
            </w:r>
          </w:p>
        </w:tc>
      </w:tr>
    </w:tbl>
    <w:p w14:paraId="0D6C2DB5">
      <w:pPr>
        <w:pStyle w:val="153"/>
        <w:widowControl w:val="0"/>
        <w:spacing w:line="440" w:lineRule="exact"/>
        <w:ind w:firstLine="474"/>
        <w:rPr>
          <w:rFonts w:ascii="Times New Roman" w:hAnsi="Times New Roman" w:eastAsiaTheme="minorEastAsia"/>
          <w:b/>
          <w:color w:val="auto"/>
          <w:w w:val="99"/>
          <w:szCs w:val="20"/>
          <w:highlight w:val="none"/>
        </w:rPr>
      </w:pPr>
      <w:r>
        <w:rPr>
          <w:rFonts w:ascii="Times New Roman" w:hAnsi="Times New Roman" w:eastAsiaTheme="minorEastAsia"/>
          <w:b/>
          <w:color w:val="auto"/>
          <w:w w:val="99"/>
          <w:szCs w:val="20"/>
          <w:highlight w:val="none"/>
        </w:rPr>
        <w:t>表4.3-</w:t>
      </w:r>
      <w:r>
        <w:rPr>
          <w:rFonts w:hint="eastAsia" w:ascii="Times New Roman" w:hAnsi="Times New Roman" w:eastAsiaTheme="minorEastAsia"/>
          <w:b/>
          <w:color w:val="auto"/>
          <w:w w:val="99"/>
          <w:szCs w:val="20"/>
          <w:highlight w:val="none"/>
        </w:rPr>
        <w:t>1</w:t>
      </w:r>
      <w:r>
        <w:rPr>
          <w:rFonts w:ascii="Times New Roman" w:hAnsi="Times New Roman" w:eastAsiaTheme="minorEastAsia"/>
          <w:b/>
          <w:color w:val="auto"/>
          <w:w w:val="99"/>
          <w:szCs w:val="20"/>
          <w:highlight w:val="none"/>
        </w:rPr>
        <w:t>9    区域内土体构型（土壤剖面）</w:t>
      </w:r>
    </w:p>
    <w:tbl>
      <w:tblPr>
        <w:tblStyle w:val="81"/>
        <w:tblW w:w="93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2986"/>
        <w:gridCol w:w="2607"/>
        <w:gridCol w:w="2823"/>
      </w:tblGrid>
      <w:tr w14:paraId="47D87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963" w:type="dxa"/>
            <w:vAlign w:val="center"/>
          </w:tcPr>
          <w:p w14:paraId="0A2241D0">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点号</w:t>
            </w:r>
          </w:p>
        </w:tc>
        <w:tc>
          <w:tcPr>
            <w:tcW w:w="2986" w:type="dxa"/>
            <w:vAlign w:val="center"/>
          </w:tcPr>
          <w:p w14:paraId="5F437FDC">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景观照片</w:t>
            </w:r>
          </w:p>
        </w:tc>
        <w:tc>
          <w:tcPr>
            <w:tcW w:w="2607" w:type="dxa"/>
            <w:vAlign w:val="center"/>
          </w:tcPr>
          <w:p w14:paraId="3B8CF6B6">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土壤剖面照片</w:t>
            </w:r>
          </w:p>
        </w:tc>
        <w:tc>
          <w:tcPr>
            <w:tcW w:w="2823" w:type="dxa"/>
            <w:vAlign w:val="center"/>
          </w:tcPr>
          <w:p w14:paraId="29E16B27">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层次</w:t>
            </w:r>
          </w:p>
        </w:tc>
      </w:tr>
      <w:tr w14:paraId="781FF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63" w:type="dxa"/>
            <w:vMerge w:val="restart"/>
            <w:vAlign w:val="center"/>
          </w:tcPr>
          <w:p w14:paraId="559F80AE">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拟建徐深27-H1井井场占地内1#</w:t>
            </w:r>
          </w:p>
        </w:tc>
        <w:tc>
          <w:tcPr>
            <w:tcW w:w="2986" w:type="dxa"/>
            <w:vMerge w:val="restart"/>
            <w:vAlign w:val="center"/>
          </w:tcPr>
          <w:p w14:paraId="6318767D">
            <w:pPr>
              <w:widowControl w:val="0"/>
              <w:snapToGrid w:val="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drawing>
                <wp:inline distT="0" distB="0" distL="114300" distR="114300">
                  <wp:extent cx="1755775" cy="3286125"/>
                  <wp:effectExtent l="0" t="0" r="15875" b="9525"/>
                  <wp:docPr id="29" name="图片 2" descr="微信图片_20260530214416_197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descr="微信图片_20260530214416_197_6"/>
                          <pic:cNvPicPr>
                            <a:picLocks noChangeAspect="1"/>
                          </pic:cNvPicPr>
                        </pic:nvPicPr>
                        <pic:blipFill>
                          <a:blip r:embed="rId50"/>
                          <a:stretch>
                            <a:fillRect/>
                          </a:stretch>
                        </pic:blipFill>
                        <pic:spPr>
                          <a:xfrm>
                            <a:off x="0" y="0"/>
                            <a:ext cx="1755775" cy="3286125"/>
                          </a:xfrm>
                          <a:prstGeom prst="rect">
                            <a:avLst/>
                          </a:prstGeom>
                          <a:noFill/>
                          <a:ln>
                            <a:noFill/>
                          </a:ln>
                        </pic:spPr>
                      </pic:pic>
                    </a:graphicData>
                  </a:graphic>
                </wp:inline>
              </w:drawing>
            </w:r>
          </w:p>
        </w:tc>
        <w:tc>
          <w:tcPr>
            <w:tcW w:w="2607" w:type="dxa"/>
            <w:vMerge w:val="restart"/>
            <w:vAlign w:val="center"/>
          </w:tcPr>
          <w:p w14:paraId="3C868D1A">
            <w:pPr>
              <w:widowControl w:val="0"/>
              <w:snapToGrid w:val="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drawing>
                <wp:inline distT="0" distB="0" distL="114300" distR="114300">
                  <wp:extent cx="1515745" cy="3355340"/>
                  <wp:effectExtent l="0" t="0" r="8255" b="16510"/>
                  <wp:docPr id="26" name="图片 3" descr="微信图片_20260530134012_177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 descr="微信图片_20260530134012_177_6"/>
                          <pic:cNvPicPr>
                            <a:picLocks noChangeAspect="1"/>
                          </pic:cNvPicPr>
                        </pic:nvPicPr>
                        <pic:blipFill>
                          <a:blip r:embed="rId51"/>
                          <a:stretch>
                            <a:fillRect/>
                          </a:stretch>
                        </pic:blipFill>
                        <pic:spPr>
                          <a:xfrm>
                            <a:off x="0" y="0"/>
                            <a:ext cx="1515745" cy="3355340"/>
                          </a:xfrm>
                          <a:prstGeom prst="rect">
                            <a:avLst/>
                          </a:prstGeom>
                          <a:noFill/>
                          <a:ln>
                            <a:noFill/>
                          </a:ln>
                        </pic:spPr>
                      </pic:pic>
                    </a:graphicData>
                  </a:graphic>
                </wp:inline>
              </w:drawing>
            </w:r>
          </w:p>
        </w:tc>
        <w:tc>
          <w:tcPr>
            <w:tcW w:w="2823" w:type="dxa"/>
            <w:vAlign w:val="center"/>
          </w:tcPr>
          <w:p w14:paraId="10DFE34F">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0-0.5m   块状结构  壤土</w:t>
            </w:r>
          </w:p>
        </w:tc>
      </w:tr>
      <w:tr w14:paraId="483B2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63" w:type="dxa"/>
            <w:vMerge w:val="continue"/>
            <w:vAlign w:val="center"/>
          </w:tcPr>
          <w:p w14:paraId="7E6F91CD">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2986" w:type="dxa"/>
            <w:vMerge w:val="continue"/>
            <w:vAlign w:val="center"/>
          </w:tcPr>
          <w:p w14:paraId="19396454">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2607" w:type="dxa"/>
            <w:vMerge w:val="continue"/>
            <w:vAlign w:val="center"/>
          </w:tcPr>
          <w:p w14:paraId="49CAB1EC">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2823" w:type="dxa"/>
            <w:vAlign w:val="center"/>
          </w:tcPr>
          <w:p w14:paraId="0018888C">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0.5-1.5m 面状结构  壤土</w:t>
            </w:r>
          </w:p>
        </w:tc>
      </w:tr>
      <w:tr w14:paraId="71DB3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63" w:type="dxa"/>
            <w:vMerge w:val="continue"/>
            <w:vAlign w:val="center"/>
          </w:tcPr>
          <w:p w14:paraId="20361780">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2986" w:type="dxa"/>
            <w:vMerge w:val="continue"/>
            <w:vAlign w:val="center"/>
          </w:tcPr>
          <w:p w14:paraId="563052DB">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2607" w:type="dxa"/>
            <w:vMerge w:val="continue"/>
            <w:vAlign w:val="center"/>
          </w:tcPr>
          <w:p w14:paraId="16E76EBB">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2823" w:type="dxa"/>
            <w:vAlign w:val="center"/>
          </w:tcPr>
          <w:p w14:paraId="478FC73D">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1.5-3m   面状结构  壤土</w:t>
            </w:r>
          </w:p>
        </w:tc>
      </w:tr>
      <w:tr w14:paraId="1F72F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1" w:hRule="atLeast"/>
        </w:trPr>
        <w:tc>
          <w:tcPr>
            <w:tcW w:w="963" w:type="dxa"/>
            <w:vMerge w:val="continue"/>
            <w:vAlign w:val="center"/>
          </w:tcPr>
          <w:p w14:paraId="01F4548D">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2986" w:type="dxa"/>
            <w:vMerge w:val="continue"/>
            <w:vAlign w:val="center"/>
          </w:tcPr>
          <w:p w14:paraId="155C5135">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2607" w:type="dxa"/>
            <w:vMerge w:val="continue"/>
            <w:vAlign w:val="center"/>
          </w:tcPr>
          <w:p w14:paraId="11A429A3">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2823" w:type="dxa"/>
            <w:vAlign w:val="center"/>
          </w:tcPr>
          <w:p w14:paraId="61DE125A">
            <w:pPr>
              <w:widowControl w:val="0"/>
              <w:snapToGrid w:val="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drawing>
                <wp:inline distT="0" distB="0" distL="114300" distR="114300">
                  <wp:extent cx="1645920" cy="2354580"/>
                  <wp:effectExtent l="0" t="0" r="11430" b="7620"/>
                  <wp:docPr id="12" name="图片 4" descr="微信图片_20260530214352_184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descr="微信图片_20260530214352_184_6"/>
                          <pic:cNvPicPr>
                            <a:picLocks noChangeAspect="1"/>
                          </pic:cNvPicPr>
                        </pic:nvPicPr>
                        <pic:blipFill>
                          <a:blip r:embed="rId52"/>
                          <a:stretch>
                            <a:fillRect/>
                          </a:stretch>
                        </pic:blipFill>
                        <pic:spPr>
                          <a:xfrm>
                            <a:off x="0" y="0"/>
                            <a:ext cx="1645920" cy="2354580"/>
                          </a:xfrm>
                          <a:prstGeom prst="rect">
                            <a:avLst/>
                          </a:prstGeom>
                          <a:noFill/>
                          <a:ln>
                            <a:noFill/>
                          </a:ln>
                        </pic:spPr>
                      </pic:pic>
                    </a:graphicData>
                  </a:graphic>
                </wp:inline>
              </w:drawing>
            </w:r>
          </w:p>
        </w:tc>
      </w:tr>
      <w:tr w14:paraId="5E399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9379" w:type="dxa"/>
            <w:gridSpan w:val="4"/>
            <w:vAlign w:val="center"/>
          </w:tcPr>
          <w:p w14:paraId="17E5995F">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注：应给出带标尺的土壤剖面照片及其景观照片。</w:t>
            </w:r>
          </w:p>
        </w:tc>
      </w:tr>
      <w:tr w14:paraId="1EE56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9379" w:type="dxa"/>
            <w:gridSpan w:val="4"/>
            <w:vAlign w:val="center"/>
          </w:tcPr>
          <w:p w14:paraId="61AF588F">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根据土壤分层情况描述土壤的理化特性。</w:t>
            </w:r>
          </w:p>
        </w:tc>
      </w:tr>
    </w:tbl>
    <w:p w14:paraId="60C940A2">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4.3.5.2土壤环境质量现状监测</w:t>
      </w:r>
    </w:p>
    <w:p w14:paraId="23C16BEF">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（1）采样点布设</w:t>
      </w:r>
    </w:p>
    <w:p w14:paraId="4E566493">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本项目土壤环境影响类型属于污染影响型项目，评价等级为</w:t>
      </w:r>
      <w:r>
        <w:rPr>
          <w:rFonts w:hint="eastAsia" w:ascii="Times New Roman" w:hAnsi="Times New Roman" w:cs="Times New Roman" w:eastAsiaTheme="minorEastAsia"/>
          <w:color w:val="auto"/>
          <w:w w:val="99"/>
          <w:kern w:val="21"/>
          <w:highlight w:val="none"/>
        </w:rPr>
        <w:t>二</w:t>
      </w:r>
      <w:r>
        <w:rPr>
          <w:rFonts w:ascii="Times New Roman" w:hAnsi="Times New Roman" w:cs="Times New Roman" w:eastAsiaTheme="minorEastAsia"/>
          <w:color w:val="auto"/>
          <w:w w:val="99"/>
          <w:kern w:val="21"/>
          <w:highlight w:val="none"/>
        </w:rPr>
        <w:t>级，由于本项目分布较分散，且根据</w:t>
      </w:r>
      <w:r>
        <w:rPr>
          <w:rFonts w:ascii="Times New Roman" w:hAnsi="Times New Roman" w:cs="Times New Roman" w:eastAsiaTheme="minorEastAsia"/>
          <w:color w:val="auto"/>
          <w:w w:val="99"/>
          <w:kern w:val="21"/>
          <w:highlight w:val="none"/>
          <w:lang w:bidi="zh-CN"/>
        </w:rPr>
        <w:t>《环境影响评价技术导则 土壤环境（试行）》（HJ964-2018）及《环境影响评价技术导则 陆地石油天然气开发建设项目》（HJ349-2023）中现状监测布点要求，</w:t>
      </w:r>
      <w:r>
        <w:rPr>
          <w:rFonts w:ascii="Times New Roman" w:hAnsi="Times New Roman" w:cs="Times New Roman" w:eastAsiaTheme="minorEastAsia"/>
          <w:color w:val="auto"/>
          <w:w w:val="99"/>
          <w:kern w:val="21"/>
          <w:highlight w:val="none"/>
        </w:rPr>
        <w:t>确定本项目永久占地范围内共布设</w:t>
      </w:r>
      <w:r>
        <w:rPr>
          <w:rFonts w:hint="eastAsia" w:ascii="Times New Roman" w:hAnsi="Times New Roman" w:cs="Times New Roman" w:eastAsiaTheme="minorEastAsia"/>
          <w:color w:val="auto"/>
          <w:w w:val="99"/>
          <w:kern w:val="21"/>
          <w:highlight w:val="none"/>
          <w:lang w:val="en-US" w:eastAsia="zh-CN"/>
        </w:rPr>
        <w:t>1</w:t>
      </w:r>
      <w:r>
        <w:rPr>
          <w:rFonts w:ascii="Times New Roman" w:hAnsi="Times New Roman" w:cs="Times New Roman" w:eastAsiaTheme="minorEastAsia"/>
          <w:color w:val="auto"/>
          <w:w w:val="99"/>
          <w:kern w:val="21"/>
          <w:highlight w:val="none"/>
        </w:rPr>
        <w:t>个表层样监测点、</w:t>
      </w:r>
      <w:r>
        <w:rPr>
          <w:rFonts w:hint="eastAsia" w:ascii="Times New Roman" w:hAnsi="Times New Roman" w:cs="Times New Roman" w:eastAsiaTheme="minorEastAsia"/>
          <w:color w:val="auto"/>
          <w:w w:val="99"/>
          <w:kern w:val="21"/>
          <w:highlight w:val="none"/>
        </w:rPr>
        <w:t>3</w:t>
      </w:r>
      <w:r>
        <w:rPr>
          <w:rFonts w:ascii="Times New Roman" w:hAnsi="Times New Roman" w:cs="Times New Roman" w:eastAsiaTheme="minorEastAsia"/>
          <w:color w:val="auto"/>
          <w:w w:val="99"/>
          <w:kern w:val="21"/>
          <w:highlight w:val="none"/>
        </w:rPr>
        <w:t>个柱状样监测点，占地范围外农用地共布设</w:t>
      </w:r>
      <w:r>
        <w:rPr>
          <w:rFonts w:hint="eastAsia" w:ascii="Times New Roman" w:hAnsi="Times New Roman" w:cs="Times New Roman" w:eastAsiaTheme="minorEastAsia"/>
          <w:color w:val="auto"/>
          <w:w w:val="99"/>
          <w:kern w:val="21"/>
          <w:highlight w:val="none"/>
        </w:rPr>
        <w:t>2</w:t>
      </w:r>
      <w:r>
        <w:rPr>
          <w:rFonts w:ascii="Times New Roman" w:hAnsi="Times New Roman" w:cs="Times New Roman" w:eastAsiaTheme="minorEastAsia"/>
          <w:color w:val="auto"/>
          <w:w w:val="99"/>
          <w:kern w:val="21"/>
          <w:highlight w:val="none"/>
        </w:rPr>
        <w:t>个表层样点，土壤现状监测点位详见表</w:t>
      </w:r>
      <w:r>
        <w:rPr>
          <w:rFonts w:ascii="Times New Roman" w:hAnsi="Times New Roman" w:cs="Times New Roman" w:eastAsiaTheme="minorEastAsia"/>
          <w:color w:val="auto"/>
          <w:w w:val="99"/>
          <w:kern w:val="2"/>
          <w:szCs w:val="20"/>
          <w:highlight w:val="none"/>
        </w:rPr>
        <w:t>4.3-</w:t>
      </w:r>
      <w:r>
        <w:rPr>
          <w:rFonts w:hint="eastAsia" w:ascii="Times New Roman" w:hAnsi="Times New Roman" w:cs="Times New Roman" w:eastAsiaTheme="minorEastAsia"/>
          <w:color w:val="auto"/>
          <w:w w:val="99"/>
          <w:kern w:val="2"/>
          <w:szCs w:val="20"/>
          <w:highlight w:val="none"/>
        </w:rPr>
        <w:t>20</w:t>
      </w:r>
      <w:r>
        <w:rPr>
          <w:rFonts w:ascii="Times New Roman" w:hAnsi="Times New Roman" w:cs="Times New Roman" w:eastAsiaTheme="minorEastAsia"/>
          <w:color w:val="auto"/>
          <w:w w:val="99"/>
          <w:kern w:val="21"/>
          <w:highlight w:val="none"/>
        </w:rPr>
        <w:t>，监测点位置见附图</w:t>
      </w:r>
      <w:r>
        <w:rPr>
          <w:rFonts w:hint="eastAsia" w:ascii="Times New Roman" w:hAnsi="Times New Roman" w:cs="Times New Roman" w:eastAsiaTheme="minorEastAsia"/>
          <w:color w:val="auto"/>
          <w:w w:val="99"/>
          <w:kern w:val="21"/>
          <w:highlight w:val="none"/>
        </w:rPr>
        <w:t>6-3</w:t>
      </w:r>
      <w:r>
        <w:rPr>
          <w:rFonts w:ascii="Times New Roman" w:hAnsi="Times New Roman" w:cs="Times New Roman" w:eastAsiaTheme="minorEastAsia"/>
          <w:color w:val="auto"/>
          <w:w w:val="99"/>
          <w:kern w:val="21"/>
          <w:highlight w:val="none"/>
        </w:rPr>
        <w:t>。</w:t>
      </w:r>
    </w:p>
    <w:p w14:paraId="635D3072">
      <w:pPr>
        <w:widowControl w:val="0"/>
        <w:spacing w:line="440" w:lineRule="exact"/>
        <w:ind w:firstLine="476"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b/>
          <w:color w:val="auto"/>
          <w:w w:val="99"/>
          <w:kern w:val="21"/>
          <w:highlight w:val="none"/>
          <w:lang w:bidi="zh-CN"/>
        </w:rPr>
        <w:t>表</w:t>
      </w:r>
      <w:r>
        <w:rPr>
          <w:rFonts w:ascii="Times New Roman" w:hAnsi="Times New Roman" w:cs="Times New Roman" w:eastAsiaTheme="minorEastAsia"/>
          <w:b/>
          <w:color w:val="auto"/>
          <w:w w:val="99"/>
          <w:kern w:val="2"/>
          <w:szCs w:val="20"/>
          <w:highlight w:val="none"/>
        </w:rPr>
        <w:t>4.3-</w:t>
      </w:r>
      <w:r>
        <w:rPr>
          <w:rFonts w:hint="eastAsia" w:ascii="Times New Roman" w:hAnsi="Times New Roman" w:cs="Times New Roman" w:eastAsiaTheme="minorEastAsia"/>
          <w:b/>
          <w:color w:val="auto"/>
          <w:w w:val="99"/>
          <w:kern w:val="2"/>
          <w:szCs w:val="20"/>
          <w:highlight w:val="none"/>
        </w:rPr>
        <w:t>20</w:t>
      </w:r>
      <w:r>
        <w:rPr>
          <w:rFonts w:ascii="Times New Roman" w:hAnsi="Times New Roman" w:cs="Times New Roman" w:eastAsiaTheme="minorEastAsia"/>
          <w:b/>
          <w:color w:val="auto"/>
          <w:w w:val="99"/>
          <w:kern w:val="21"/>
          <w:highlight w:val="none"/>
          <w:lang w:bidi="zh-CN"/>
        </w:rPr>
        <w:t xml:space="preserve">    土壤现状监测点位</w:t>
      </w:r>
    </w:p>
    <w:tbl>
      <w:tblPr>
        <w:tblStyle w:val="81"/>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28"/>
        <w:gridCol w:w="1896"/>
        <w:gridCol w:w="1534"/>
        <w:gridCol w:w="2086"/>
        <w:gridCol w:w="895"/>
        <w:gridCol w:w="2242"/>
      </w:tblGrid>
      <w:tr w14:paraId="06E08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38" w:type="pct"/>
            <w:vAlign w:val="center"/>
          </w:tcPr>
          <w:p w14:paraId="0918657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编号</w:t>
            </w:r>
          </w:p>
        </w:tc>
        <w:tc>
          <w:tcPr>
            <w:tcW w:w="1021" w:type="pct"/>
            <w:vAlign w:val="center"/>
          </w:tcPr>
          <w:p w14:paraId="07F9A78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监测点名称</w:t>
            </w:r>
          </w:p>
        </w:tc>
        <w:tc>
          <w:tcPr>
            <w:tcW w:w="826" w:type="pct"/>
            <w:vAlign w:val="center"/>
          </w:tcPr>
          <w:p w14:paraId="0F9DA8D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坐标</w:t>
            </w:r>
          </w:p>
        </w:tc>
        <w:tc>
          <w:tcPr>
            <w:tcW w:w="1123" w:type="pct"/>
            <w:vAlign w:val="center"/>
          </w:tcPr>
          <w:p w14:paraId="2E62E0B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执行标准</w:t>
            </w:r>
          </w:p>
        </w:tc>
        <w:tc>
          <w:tcPr>
            <w:tcW w:w="482" w:type="pct"/>
            <w:vAlign w:val="center"/>
          </w:tcPr>
          <w:p w14:paraId="22530D6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土壤类型</w:t>
            </w:r>
          </w:p>
        </w:tc>
        <w:tc>
          <w:tcPr>
            <w:tcW w:w="1207" w:type="pct"/>
            <w:vAlign w:val="center"/>
          </w:tcPr>
          <w:p w14:paraId="6735916A">
            <w:pPr>
              <w:spacing w:line="36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采样层深</w:t>
            </w:r>
          </w:p>
        </w:tc>
      </w:tr>
      <w:tr w14:paraId="49C6D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38" w:type="pct"/>
            <w:vAlign w:val="center"/>
          </w:tcPr>
          <w:p w14:paraId="7DEA1D5A">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T</w:t>
            </w:r>
            <w:r>
              <w:rPr>
                <w:rFonts w:ascii="Times New Roman" w:hAnsi="Times New Roman" w:cs="Times New Roman" w:eastAsiaTheme="minorEastAsia"/>
                <w:color w:val="auto"/>
                <w:w w:val="99"/>
                <w:sz w:val="21"/>
                <w:szCs w:val="21"/>
                <w:highlight w:val="none"/>
              </w:rPr>
              <w:t>1</w:t>
            </w:r>
          </w:p>
        </w:tc>
        <w:tc>
          <w:tcPr>
            <w:tcW w:w="1021" w:type="pct"/>
            <w:vAlign w:val="center"/>
          </w:tcPr>
          <w:p w14:paraId="19750587">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拟建徐深27-H1井井场占地内1#</w:t>
            </w:r>
          </w:p>
        </w:tc>
        <w:tc>
          <w:tcPr>
            <w:tcW w:w="826" w:type="pct"/>
            <w:vAlign w:val="center"/>
          </w:tcPr>
          <w:p w14:paraId="3961BB06">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125.50851，45.89323</w:t>
            </w:r>
          </w:p>
        </w:tc>
        <w:tc>
          <w:tcPr>
            <w:tcW w:w="1123" w:type="pct"/>
            <w:vMerge w:val="restart"/>
            <w:vAlign w:val="center"/>
          </w:tcPr>
          <w:p w14:paraId="7550AABF">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《土壤环境质量建设用地土壤污染风险管控标准（试行）》（GB36600-2018）中第二类用地筛选值</w:t>
            </w:r>
          </w:p>
        </w:tc>
        <w:tc>
          <w:tcPr>
            <w:tcW w:w="482" w:type="pct"/>
            <w:vAlign w:val="center"/>
          </w:tcPr>
          <w:p w14:paraId="32B34BDC">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黑钙土</w:t>
            </w:r>
          </w:p>
        </w:tc>
        <w:tc>
          <w:tcPr>
            <w:tcW w:w="1207" w:type="pct"/>
            <w:vAlign w:val="center"/>
          </w:tcPr>
          <w:p w14:paraId="2372151C">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采取柱状样，在0~0.5m、0.5~1.5m、1.5~3m分别取样</w:t>
            </w:r>
          </w:p>
        </w:tc>
      </w:tr>
      <w:tr w14:paraId="07C7A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38" w:type="pct"/>
            <w:vAlign w:val="center"/>
          </w:tcPr>
          <w:p w14:paraId="2D34AAA4">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T</w:t>
            </w:r>
            <w:r>
              <w:rPr>
                <w:rFonts w:ascii="Times New Roman" w:hAnsi="Times New Roman" w:cs="Times New Roman" w:eastAsiaTheme="minorEastAsia"/>
                <w:color w:val="auto"/>
                <w:w w:val="99"/>
                <w:sz w:val="21"/>
                <w:szCs w:val="21"/>
                <w:highlight w:val="none"/>
              </w:rPr>
              <w:t>2</w:t>
            </w:r>
          </w:p>
        </w:tc>
        <w:tc>
          <w:tcPr>
            <w:tcW w:w="1021" w:type="pct"/>
            <w:vAlign w:val="center"/>
          </w:tcPr>
          <w:p w14:paraId="5883132B">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拟建徐深27-H1井井场占地内2#</w:t>
            </w:r>
          </w:p>
        </w:tc>
        <w:tc>
          <w:tcPr>
            <w:tcW w:w="826" w:type="pct"/>
            <w:vAlign w:val="center"/>
          </w:tcPr>
          <w:p w14:paraId="37833E4D">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125.50864，45.89324</w:t>
            </w:r>
          </w:p>
        </w:tc>
        <w:tc>
          <w:tcPr>
            <w:tcW w:w="1123" w:type="pct"/>
            <w:vMerge w:val="continue"/>
            <w:vAlign w:val="center"/>
          </w:tcPr>
          <w:p w14:paraId="40F9D61B">
            <w:pPr>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482" w:type="pct"/>
            <w:vAlign w:val="center"/>
          </w:tcPr>
          <w:p w14:paraId="4B97A43F">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黑钙土</w:t>
            </w:r>
          </w:p>
        </w:tc>
        <w:tc>
          <w:tcPr>
            <w:tcW w:w="1207" w:type="pct"/>
            <w:vAlign w:val="center"/>
          </w:tcPr>
          <w:p w14:paraId="1384E7F2">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采取柱状样，在0~0.5m、0.5~1.5m、1.5~3m分别取样</w:t>
            </w:r>
          </w:p>
        </w:tc>
      </w:tr>
      <w:tr w14:paraId="1621E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38" w:type="pct"/>
            <w:vAlign w:val="center"/>
          </w:tcPr>
          <w:p w14:paraId="0C319F78">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T</w:t>
            </w:r>
            <w:r>
              <w:rPr>
                <w:rFonts w:ascii="Times New Roman" w:hAnsi="Times New Roman" w:cs="Times New Roman" w:eastAsiaTheme="minorEastAsia"/>
                <w:color w:val="auto"/>
                <w:w w:val="99"/>
                <w:sz w:val="21"/>
                <w:szCs w:val="21"/>
                <w:highlight w:val="none"/>
              </w:rPr>
              <w:t>3</w:t>
            </w:r>
          </w:p>
        </w:tc>
        <w:tc>
          <w:tcPr>
            <w:tcW w:w="1021" w:type="pct"/>
            <w:vAlign w:val="center"/>
          </w:tcPr>
          <w:p w14:paraId="66BF6E2C">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拟建徐深27-H1井井场占地内3#</w:t>
            </w:r>
          </w:p>
        </w:tc>
        <w:tc>
          <w:tcPr>
            <w:tcW w:w="826" w:type="pct"/>
            <w:vAlign w:val="center"/>
          </w:tcPr>
          <w:p w14:paraId="58F274EF">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125.50864，45.89315</w:t>
            </w:r>
          </w:p>
        </w:tc>
        <w:tc>
          <w:tcPr>
            <w:tcW w:w="1123" w:type="pct"/>
            <w:vMerge w:val="continue"/>
            <w:vAlign w:val="center"/>
          </w:tcPr>
          <w:p w14:paraId="687CE4B1">
            <w:pPr>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482" w:type="pct"/>
            <w:vAlign w:val="center"/>
          </w:tcPr>
          <w:p w14:paraId="1A5E3B69">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黑钙土</w:t>
            </w:r>
          </w:p>
        </w:tc>
        <w:tc>
          <w:tcPr>
            <w:tcW w:w="1207" w:type="pct"/>
            <w:vAlign w:val="center"/>
          </w:tcPr>
          <w:p w14:paraId="2C19EE35">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采取柱状样，在0~0.5m、0.5~1.5m、1.5~3m分别取样</w:t>
            </w:r>
          </w:p>
        </w:tc>
      </w:tr>
      <w:tr w14:paraId="347BA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38" w:type="pct"/>
            <w:vAlign w:val="center"/>
          </w:tcPr>
          <w:p w14:paraId="5C56C3F8">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T</w:t>
            </w:r>
            <w:r>
              <w:rPr>
                <w:rFonts w:ascii="Times New Roman" w:hAnsi="Times New Roman" w:cs="Times New Roman" w:eastAsiaTheme="minorEastAsia"/>
                <w:color w:val="auto"/>
                <w:w w:val="99"/>
                <w:sz w:val="21"/>
                <w:szCs w:val="21"/>
                <w:highlight w:val="none"/>
              </w:rPr>
              <w:t>4</w:t>
            </w:r>
          </w:p>
        </w:tc>
        <w:tc>
          <w:tcPr>
            <w:tcW w:w="1021" w:type="pct"/>
            <w:vAlign w:val="center"/>
          </w:tcPr>
          <w:p w14:paraId="07A8F6F6">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已建徐深27井井场占地内</w:t>
            </w:r>
          </w:p>
        </w:tc>
        <w:tc>
          <w:tcPr>
            <w:tcW w:w="826" w:type="pct"/>
            <w:tcBorders>
              <w:bottom w:val="single" w:color="auto" w:sz="4" w:space="0"/>
            </w:tcBorders>
            <w:vAlign w:val="center"/>
          </w:tcPr>
          <w:p w14:paraId="7816E420">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125.51040，45.90029</w:t>
            </w:r>
          </w:p>
        </w:tc>
        <w:tc>
          <w:tcPr>
            <w:tcW w:w="1123" w:type="pct"/>
            <w:vMerge w:val="continue"/>
            <w:vAlign w:val="center"/>
          </w:tcPr>
          <w:p w14:paraId="213A98A3">
            <w:pPr>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482" w:type="pct"/>
            <w:vAlign w:val="center"/>
          </w:tcPr>
          <w:p w14:paraId="5FFE662D">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黑钙土</w:t>
            </w:r>
          </w:p>
        </w:tc>
        <w:tc>
          <w:tcPr>
            <w:tcW w:w="1207" w:type="pct"/>
            <w:vAlign w:val="center"/>
          </w:tcPr>
          <w:p w14:paraId="3DA2B8B2">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采取柱状样，在0~0.5m、0.5~1.5m、1.5~3m分别取样</w:t>
            </w:r>
          </w:p>
        </w:tc>
      </w:tr>
      <w:tr w14:paraId="241DB2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38" w:type="pct"/>
            <w:vAlign w:val="center"/>
          </w:tcPr>
          <w:p w14:paraId="22FAA38F">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T</w:t>
            </w:r>
            <w:r>
              <w:rPr>
                <w:rFonts w:ascii="Times New Roman" w:hAnsi="Times New Roman" w:cs="Times New Roman" w:eastAsiaTheme="minorEastAsia"/>
                <w:color w:val="auto"/>
                <w:w w:val="99"/>
                <w:sz w:val="21"/>
                <w:szCs w:val="21"/>
                <w:highlight w:val="none"/>
              </w:rPr>
              <w:t>5</w:t>
            </w:r>
          </w:p>
        </w:tc>
        <w:tc>
          <w:tcPr>
            <w:tcW w:w="1021" w:type="pct"/>
            <w:vAlign w:val="center"/>
          </w:tcPr>
          <w:p w14:paraId="04615CA0">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徐深27集气站内拟建生产阀组区</w:t>
            </w:r>
          </w:p>
        </w:tc>
        <w:tc>
          <w:tcPr>
            <w:tcW w:w="826" w:type="pct"/>
            <w:tcBorders>
              <w:top w:val="single" w:color="auto" w:sz="4" w:space="0"/>
              <w:bottom w:val="single" w:color="auto" w:sz="4" w:space="0"/>
            </w:tcBorders>
            <w:vAlign w:val="center"/>
          </w:tcPr>
          <w:p w14:paraId="262B1807">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125.50521，45.90880</w:t>
            </w:r>
          </w:p>
        </w:tc>
        <w:tc>
          <w:tcPr>
            <w:tcW w:w="1123" w:type="pct"/>
            <w:vMerge w:val="continue"/>
            <w:tcBorders>
              <w:bottom w:val="single" w:color="auto" w:sz="4" w:space="0"/>
            </w:tcBorders>
            <w:vAlign w:val="center"/>
          </w:tcPr>
          <w:p w14:paraId="5E459D55">
            <w:pPr>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482" w:type="pct"/>
            <w:vAlign w:val="center"/>
          </w:tcPr>
          <w:p w14:paraId="2FB1A916">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黑钙土</w:t>
            </w:r>
          </w:p>
        </w:tc>
        <w:tc>
          <w:tcPr>
            <w:tcW w:w="1207" w:type="pct"/>
            <w:vAlign w:val="center"/>
          </w:tcPr>
          <w:p w14:paraId="4DB07759">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采取表层样，在0~0.2m取样</w:t>
            </w:r>
          </w:p>
        </w:tc>
      </w:tr>
      <w:tr w14:paraId="24138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38" w:type="pct"/>
            <w:vAlign w:val="center"/>
          </w:tcPr>
          <w:p w14:paraId="6A58438A">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T6</w:t>
            </w:r>
          </w:p>
        </w:tc>
        <w:tc>
          <w:tcPr>
            <w:tcW w:w="1021" w:type="pct"/>
            <w:vAlign w:val="center"/>
          </w:tcPr>
          <w:p w14:paraId="5723E50A">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拟建徐深27-H1井井场占地外南侧200m</w:t>
            </w:r>
          </w:p>
        </w:tc>
        <w:tc>
          <w:tcPr>
            <w:tcW w:w="826" w:type="pct"/>
            <w:tcBorders>
              <w:top w:val="single" w:color="auto" w:sz="4" w:space="0"/>
              <w:bottom w:val="single" w:color="auto" w:sz="4" w:space="0"/>
            </w:tcBorders>
            <w:vAlign w:val="center"/>
          </w:tcPr>
          <w:p w14:paraId="17169DA8">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125.50857，45.89132</w:t>
            </w:r>
          </w:p>
        </w:tc>
        <w:tc>
          <w:tcPr>
            <w:tcW w:w="1123" w:type="pct"/>
            <w:vMerge w:val="restart"/>
            <w:tcBorders>
              <w:top w:val="single" w:color="auto" w:sz="4" w:space="0"/>
            </w:tcBorders>
            <w:vAlign w:val="center"/>
          </w:tcPr>
          <w:p w14:paraId="59AAF485">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《土壤环境质量农用地土壤污染风险管控标准（试行）》（GB15618—2018）中的筛选值</w:t>
            </w:r>
          </w:p>
        </w:tc>
        <w:tc>
          <w:tcPr>
            <w:tcW w:w="482" w:type="pct"/>
            <w:vAlign w:val="center"/>
          </w:tcPr>
          <w:p w14:paraId="0E737EE4">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黑钙土</w:t>
            </w:r>
          </w:p>
        </w:tc>
        <w:tc>
          <w:tcPr>
            <w:tcW w:w="1207" w:type="pct"/>
            <w:vAlign w:val="center"/>
          </w:tcPr>
          <w:p w14:paraId="7FD7ABDE">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采取表层样，在0~0.2m取样</w:t>
            </w:r>
          </w:p>
        </w:tc>
      </w:tr>
      <w:tr w14:paraId="57BE8E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38" w:type="pct"/>
            <w:vAlign w:val="center"/>
          </w:tcPr>
          <w:p w14:paraId="086BEB27">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T7</w:t>
            </w:r>
          </w:p>
        </w:tc>
        <w:tc>
          <w:tcPr>
            <w:tcW w:w="1021" w:type="pct"/>
            <w:vAlign w:val="center"/>
          </w:tcPr>
          <w:p w14:paraId="2F28E57A">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拟建徐深27-H1井井场占地外西侧200m</w:t>
            </w:r>
          </w:p>
        </w:tc>
        <w:tc>
          <w:tcPr>
            <w:tcW w:w="826" w:type="pct"/>
            <w:tcBorders>
              <w:top w:val="single" w:color="auto" w:sz="4" w:space="0"/>
              <w:bottom w:val="single" w:color="auto" w:sz="4" w:space="0"/>
            </w:tcBorders>
            <w:vAlign w:val="center"/>
          </w:tcPr>
          <w:p w14:paraId="4EF83689">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125.50551，45.89318</w:t>
            </w:r>
          </w:p>
        </w:tc>
        <w:tc>
          <w:tcPr>
            <w:tcW w:w="1123" w:type="pct"/>
            <w:vMerge w:val="continue"/>
            <w:tcBorders>
              <w:bottom w:val="single" w:color="auto" w:sz="4" w:space="0"/>
            </w:tcBorders>
            <w:vAlign w:val="center"/>
          </w:tcPr>
          <w:p w14:paraId="23510EF9">
            <w:pPr>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482" w:type="pct"/>
            <w:vAlign w:val="center"/>
          </w:tcPr>
          <w:p w14:paraId="77B81AD4">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黑钙土</w:t>
            </w:r>
          </w:p>
        </w:tc>
        <w:tc>
          <w:tcPr>
            <w:tcW w:w="1207" w:type="pct"/>
            <w:vAlign w:val="center"/>
          </w:tcPr>
          <w:p w14:paraId="6CEA35F1">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采取表层样，在0~0.2m取样</w:t>
            </w:r>
          </w:p>
        </w:tc>
      </w:tr>
    </w:tbl>
    <w:p w14:paraId="3C9EF785">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（2）监测项目</w:t>
      </w:r>
    </w:p>
    <w:p w14:paraId="398A6FF9">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hint="eastAsia" w:ascii="Times New Roman" w:hAnsi="Times New Roman" w:cs="Times New Roman" w:eastAsiaTheme="minorEastAsia"/>
          <w:color w:val="auto"/>
          <w:w w:val="99"/>
          <w:kern w:val="21"/>
          <w:highlight w:val="none"/>
        </w:rPr>
        <w:t>1</w:t>
      </w:r>
      <w:r>
        <w:rPr>
          <w:rFonts w:ascii="Times New Roman" w:hAnsi="Times New Roman" w:cs="Times New Roman" w:eastAsiaTheme="minorEastAsia"/>
          <w:color w:val="auto"/>
          <w:w w:val="99"/>
          <w:kern w:val="21"/>
          <w:highlight w:val="none"/>
        </w:rPr>
        <w:t>#~</w:t>
      </w:r>
      <w:r>
        <w:rPr>
          <w:rFonts w:hint="eastAsia" w:ascii="Times New Roman" w:hAnsi="Times New Roman" w:cs="Times New Roman" w:eastAsiaTheme="minorEastAsia"/>
          <w:color w:val="auto"/>
          <w:w w:val="99"/>
          <w:kern w:val="21"/>
          <w:highlight w:val="none"/>
        </w:rPr>
        <w:t>5</w:t>
      </w:r>
      <w:r>
        <w:rPr>
          <w:rFonts w:ascii="Times New Roman" w:hAnsi="Times New Roman" w:cs="Times New Roman" w:eastAsiaTheme="minorEastAsia"/>
          <w:color w:val="auto"/>
          <w:w w:val="99"/>
          <w:kern w:val="21"/>
          <w:highlight w:val="none"/>
        </w:rPr>
        <w:t>#点位监测项目：pH、Cd、Hg、As、Pb、Cr（六价）、Cu、Ni、苯、甲苯、乙苯、氯苯、苯乙烯、间二甲苯+对二甲苯、邻二甲苯、氯乙烯、1,2-二氯苯、1,4-二氯苯、四氯化碳、氯仿、氯甲烷、1,1-二氯乙烷、1,2-二氯乙烷、1,1-二氯乙烯、顺-1,2-二氯乙烯、反-1,2-二氯乙烯、二氯甲烷、1,2-二氯丙烷、1,1,1,2-四氯乙烷、1,1,2,2-四氯乙烷、四氯乙烯、1,1,1-三氯乙烷、1,1,2-三氯乙烷、三氯乙烯、1,2,3- 三氯丙烷、硝基苯、苯胺、2-氯酚、䓛、萘、苯并（a）蒽、苯并（b）荧蒽、苯并（k）荧蒽、苯并(a)芘、茚并（1，2，3-cd）芘、二苯并（a,h）蒽、石油烃（C</w:t>
      </w:r>
      <w:r>
        <w:rPr>
          <w:rFonts w:ascii="Times New Roman" w:hAnsi="Times New Roman" w:cs="Times New Roman" w:eastAsiaTheme="minorEastAsia"/>
          <w:color w:val="auto"/>
          <w:w w:val="99"/>
          <w:kern w:val="21"/>
          <w:highlight w:val="none"/>
          <w:vertAlign w:val="subscript"/>
        </w:rPr>
        <w:t>10</w:t>
      </w:r>
      <w:r>
        <w:rPr>
          <w:rFonts w:ascii="Times New Roman" w:hAnsi="Times New Roman" w:cs="Times New Roman" w:eastAsiaTheme="minorEastAsia"/>
          <w:color w:val="auto"/>
          <w:w w:val="99"/>
          <w:kern w:val="21"/>
          <w:highlight w:val="none"/>
        </w:rPr>
        <w:t>-C</w:t>
      </w:r>
      <w:r>
        <w:rPr>
          <w:rFonts w:ascii="Times New Roman" w:hAnsi="Times New Roman" w:cs="Times New Roman" w:eastAsiaTheme="minorEastAsia"/>
          <w:color w:val="auto"/>
          <w:w w:val="99"/>
          <w:kern w:val="21"/>
          <w:highlight w:val="none"/>
          <w:vertAlign w:val="subscript"/>
        </w:rPr>
        <w:t>40</w:t>
      </w:r>
      <w:r>
        <w:rPr>
          <w:rFonts w:ascii="Times New Roman" w:hAnsi="Times New Roman" w:cs="Times New Roman" w:eastAsiaTheme="minorEastAsia"/>
          <w:color w:val="auto"/>
          <w:w w:val="99"/>
          <w:kern w:val="21"/>
          <w:highlight w:val="none"/>
        </w:rPr>
        <w:t>）、石油类、石油烃（C</w:t>
      </w:r>
      <w:r>
        <w:rPr>
          <w:rFonts w:ascii="Times New Roman" w:hAnsi="Times New Roman" w:cs="Times New Roman" w:eastAsiaTheme="minorEastAsia"/>
          <w:color w:val="auto"/>
          <w:w w:val="99"/>
          <w:kern w:val="21"/>
          <w:highlight w:val="none"/>
          <w:vertAlign w:val="subscript"/>
        </w:rPr>
        <w:t>6</w:t>
      </w:r>
      <w:r>
        <w:rPr>
          <w:rFonts w:ascii="Times New Roman" w:hAnsi="Times New Roman" w:cs="Times New Roman" w:eastAsiaTheme="minorEastAsia"/>
          <w:color w:val="auto"/>
          <w:w w:val="99"/>
          <w:kern w:val="21"/>
          <w:highlight w:val="none"/>
        </w:rPr>
        <w:t>-C</w:t>
      </w:r>
      <w:r>
        <w:rPr>
          <w:rFonts w:ascii="Times New Roman" w:hAnsi="Times New Roman" w:cs="Times New Roman" w:eastAsiaTheme="minorEastAsia"/>
          <w:color w:val="auto"/>
          <w:w w:val="99"/>
          <w:kern w:val="21"/>
          <w:highlight w:val="none"/>
          <w:vertAlign w:val="subscript"/>
        </w:rPr>
        <w:t>9</w:t>
      </w:r>
      <w:r>
        <w:rPr>
          <w:rFonts w:ascii="Times New Roman" w:hAnsi="Times New Roman" w:cs="Times New Roman" w:eastAsiaTheme="minorEastAsia"/>
          <w:color w:val="auto"/>
          <w:w w:val="99"/>
          <w:kern w:val="21"/>
          <w:highlight w:val="none"/>
        </w:rPr>
        <w:t>）、水溶性盐总量，共50项。</w:t>
      </w:r>
    </w:p>
    <w:p w14:paraId="0EF68850">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hint="eastAsia" w:ascii="Times New Roman" w:hAnsi="Times New Roman" w:cs="Times New Roman" w:eastAsiaTheme="minorEastAsia"/>
          <w:color w:val="auto"/>
          <w:w w:val="99"/>
          <w:kern w:val="21"/>
          <w:highlight w:val="none"/>
        </w:rPr>
        <w:t>6#-7#</w:t>
      </w:r>
      <w:r>
        <w:rPr>
          <w:rFonts w:ascii="Times New Roman" w:hAnsi="Times New Roman" w:cs="Times New Roman" w:eastAsiaTheme="minorEastAsia"/>
          <w:color w:val="auto"/>
          <w:w w:val="99"/>
          <w:kern w:val="21"/>
          <w:highlight w:val="none"/>
        </w:rPr>
        <w:t>点位监测项目：pH、镉、汞、砷、铅、铬、铜、镍、锌、石油烃（C</w:t>
      </w:r>
      <w:r>
        <w:rPr>
          <w:rFonts w:ascii="Times New Roman" w:hAnsi="Times New Roman" w:cs="Times New Roman" w:eastAsiaTheme="minorEastAsia"/>
          <w:color w:val="auto"/>
          <w:w w:val="99"/>
          <w:kern w:val="21"/>
          <w:highlight w:val="none"/>
          <w:vertAlign w:val="subscript"/>
        </w:rPr>
        <w:t>10</w:t>
      </w:r>
      <w:r>
        <w:rPr>
          <w:rFonts w:ascii="Times New Roman" w:hAnsi="Times New Roman" w:cs="Times New Roman" w:eastAsiaTheme="minorEastAsia"/>
          <w:color w:val="auto"/>
          <w:w w:val="99"/>
          <w:kern w:val="21"/>
          <w:highlight w:val="none"/>
        </w:rPr>
        <w:t>-C</w:t>
      </w:r>
      <w:r>
        <w:rPr>
          <w:rFonts w:ascii="Times New Roman" w:hAnsi="Times New Roman" w:cs="Times New Roman" w:eastAsiaTheme="minorEastAsia"/>
          <w:color w:val="auto"/>
          <w:w w:val="99"/>
          <w:kern w:val="21"/>
          <w:highlight w:val="none"/>
          <w:vertAlign w:val="subscript"/>
        </w:rPr>
        <w:t>40</w:t>
      </w:r>
      <w:r>
        <w:rPr>
          <w:rFonts w:ascii="Times New Roman" w:hAnsi="Times New Roman" w:cs="Times New Roman" w:eastAsiaTheme="minorEastAsia"/>
          <w:color w:val="auto"/>
          <w:w w:val="99"/>
          <w:kern w:val="21"/>
          <w:highlight w:val="none"/>
        </w:rPr>
        <w:t>）、石油类、石油烃（C</w:t>
      </w:r>
      <w:r>
        <w:rPr>
          <w:rFonts w:ascii="Times New Roman" w:hAnsi="Times New Roman" w:cs="Times New Roman" w:eastAsiaTheme="minorEastAsia"/>
          <w:color w:val="auto"/>
          <w:w w:val="99"/>
          <w:kern w:val="21"/>
          <w:highlight w:val="none"/>
          <w:vertAlign w:val="subscript"/>
        </w:rPr>
        <w:t>6</w:t>
      </w:r>
      <w:r>
        <w:rPr>
          <w:rFonts w:ascii="Times New Roman" w:hAnsi="Times New Roman" w:cs="Times New Roman" w:eastAsiaTheme="minorEastAsia"/>
          <w:color w:val="auto"/>
          <w:w w:val="99"/>
          <w:kern w:val="21"/>
          <w:highlight w:val="none"/>
        </w:rPr>
        <w:t>-C</w:t>
      </w:r>
      <w:r>
        <w:rPr>
          <w:rFonts w:ascii="Times New Roman" w:hAnsi="Times New Roman" w:cs="Times New Roman" w:eastAsiaTheme="minorEastAsia"/>
          <w:color w:val="auto"/>
          <w:w w:val="99"/>
          <w:kern w:val="21"/>
          <w:highlight w:val="none"/>
          <w:vertAlign w:val="subscript"/>
        </w:rPr>
        <w:t>9</w:t>
      </w:r>
      <w:r>
        <w:rPr>
          <w:rFonts w:ascii="Times New Roman" w:hAnsi="Times New Roman" w:cs="Times New Roman" w:eastAsiaTheme="minorEastAsia"/>
          <w:color w:val="auto"/>
          <w:w w:val="99"/>
          <w:kern w:val="21"/>
          <w:highlight w:val="none"/>
        </w:rPr>
        <w:t>）、水溶性盐总量，共13项。</w:t>
      </w:r>
    </w:p>
    <w:p w14:paraId="22D82B46">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（3）监测时间</w:t>
      </w:r>
    </w:p>
    <w:p w14:paraId="5A00D779">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202</w:t>
      </w:r>
      <w:r>
        <w:rPr>
          <w:rFonts w:hint="eastAsia" w:ascii="Times New Roman" w:hAnsi="Times New Roman" w:cs="Times New Roman" w:eastAsiaTheme="minorEastAsia"/>
          <w:color w:val="auto"/>
          <w:w w:val="99"/>
          <w:kern w:val="21"/>
          <w:highlight w:val="none"/>
        </w:rPr>
        <w:t>6</w:t>
      </w:r>
      <w:r>
        <w:rPr>
          <w:rFonts w:ascii="Times New Roman" w:hAnsi="Times New Roman" w:cs="Times New Roman" w:eastAsiaTheme="minorEastAsia"/>
          <w:color w:val="auto"/>
          <w:w w:val="99"/>
          <w:kern w:val="21"/>
          <w:highlight w:val="none"/>
        </w:rPr>
        <w:t>年</w:t>
      </w:r>
      <w:r>
        <w:rPr>
          <w:rFonts w:hint="eastAsia" w:ascii="Times New Roman" w:hAnsi="Times New Roman" w:cs="Times New Roman" w:eastAsiaTheme="minorEastAsia"/>
          <w:color w:val="auto"/>
          <w:w w:val="99"/>
          <w:kern w:val="21"/>
          <w:highlight w:val="none"/>
        </w:rPr>
        <w:t>06</w:t>
      </w:r>
      <w:r>
        <w:rPr>
          <w:rFonts w:ascii="Times New Roman" w:hAnsi="Times New Roman" w:cs="Times New Roman" w:eastAsiaTheme="minorEastAsia"/>
          <w:color w:val="auto"/>
          <w:w w:val="99"/>
          <w:kern w:val="21"/>
          <w:highlight w:val="none"/>
        </w:rPr>
        <w:t>月</w:t>
      </w:r>
      <w:r>
        <w:rPr>
          <w:rFonts w:hint="eastAsia" w:ascii="Times New Roman" w:hAnsi="Times New Roman" w:cs="Times New Roman" w:eastAsiaTheme="minorEastAsia"/>
          <w:color w:val="auto"/>
          <w:w w:val="99"/>
          <w:kern w:val="21"/>
          <w:highlight w:val="none"/>
        </w:rPr>
        <w:t>01</w:t>
      </w:r>
      <w:r>
        <w:rPr>
          <w:rFonts w:ascii="Times New Roman" w:hAnsi="Times New Roman" w:cs="Times New Roman" w:eastAsiaTheme="minorEastAsia"/>
          <w:color w:val="auto"/>
          <w:w w:val="99"/>
          <w:kern w:val="21"/>
          <w:highlight w:val="none"/>
        </w:rPr>
        <w:t>日。</w:t>
      </w:r>
    </w:p>
    <w:p w14:paraId="6D571BE4">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kern w:val="21"/>
          <w:highlight w:val="none"/>
        </w:rPr>
        <w:t>（4）</w:t>
      </w:r>
      <w:r>
        <w:rPr>
          <w:rFonts w:ascii="Times New Roman" w:hAnsi="Times New Roman" w:cs="Times New Roman" w:eastAsiaTheme="minorEastAsia"/>
          <w:color w:val="auto"/>
          <w:w w:val="99"/>
          <w:highlight w:val="none"/>
        </w:rPr>
        <w:t>监测频次</w:t>
      </w:r>
    </w:p>
    <w:p w14:paraId="41D5D8FD">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采样1次，分别对各采样土壤进行监测因子全分析。</w:t>
      </w:r>
    </w:p>
    <w:p w14:paraId="43F22FC3">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（5）监测结果</w:t>
      </w:r>
    </w:p>
    <w:p w14:paraId="3D1F1B1D">
      <w:pPr>
        <w:pStyle w:val="153"/>
        <w:widowControl w:val="0"/>
        <w:spacing w:line="440" w:lineRule="exact"/>
        <w:ind w:firstLine="474"/>
        <w:rPr>
          <w:rFonts w:ascii="Times New Roman" w:hAnsi="Times New Roman" w:eastAsiaTheme="minorEastAsia"/>
          <w:b/>
          <w:color w:val="auto"/>
          <w:w w:val="99"/>
          <w:kern w:val="21"/>
          <w:highlight w:val="none"/>
        </w:rPr>
      </w:pPr>
      <w:r>
        <w:rPr>
          <w:rFonts w:ascii="Times New Roman" w:hAnsi="Times New Roman" w:eastAsiaTheme="minorEastAsia"/>
          <w:b/>
          <w:color w:val="auto"/>
          <w:w w:val="99"/>
          <w:kern w:val="21"/>
          <w:highlight w:val="none"/>
          <w:lang w:bidi="zh-CN"/>
        </w:rPr>
        <w:t>表</w:t>
      </w:r>
      <w:r>
        <w:rPr>
          <w:rFonts w:ascii="Times New Roman" w:hAnsi="Times New Roman" w:eastAsiaTheme="minorEastAsia"/>
          <w:b/>
          <w:color w:val="auto"/>
          <w:w w:val="99"/>
          <w:kern w:val="2"/>
          <w:szCs w:val="20"/>
          <w:highlight w:val="none"/>
        </w:rPr>
        <w:t>4.3-</w:t>
      </w:r>
      <w:r>
        <w:rPr>
          <w:rFonts w:hint="eastAsia" w:ascii="Times New Roman" w:hAnsi="Times New Roman" w:eastAsiaTheme="minorEastAsia"/>
          <w:b/>
          <w:color w:val="auto"/>
          <w:w w:val="99"/>
          <w:kern w:val="2"/>
          <w:szCs w:val="20"/>
          <w:highlight w:val="none"/>
        </w:rPr>
        <w:t>2</w:t>
      </w:r>
      <w:r>
        <w:rPr>
          <w:rFonts w:ascii="Times New Roman" w:hAnsi="Times New Roman" w:eastAsiaTheme="minorEastAsia"/>
          <w:b/>
          <w:color w:val="auto"/>
          <w:w w:val="99"/>
          <w:kern w:val="2"/>
          <w:szCs w:val="20"/>
          <w:highlight w:val="none"/>
        </w:rPr>
        <w:t>1</w:t>
      </w:r>
      <w:r>
        <w:rPr>
          <w:rFonts w:ascii="Times New Roman" w:hAnsi="Times New Roman" w:eastAsiaTheme="minorEastAsia"/>
          <w:b/>
          <w:color w:val="auto"/>
          <w:w w:val="99"/>
          <w:kern w:val="21"/>
          <w:highlight w:val="none"/>
          <w:lang w:bidi="zh-CN"/>
        </w:rPr>
        <w:t xml:space="preserve">  </w:t>
      </w:r>
      <w:r>
        <w:rPr>
          <w:rFonts w:ascii="Times New Roman" w:hAnsi="Times New Roman" w:eastAsiaTheme="minorEastAsia"/>
          <w:b/>
          <w:color w:val="auto"/>
          <w:w w:val="99"/>
          <w:kern w:val="21"/>
          <w:highlight w:val="none"/>
        </w:rPr>
        <w:t>建设用地土壤环境质量现状监测结果  单位：mg/kg（pH无量纲）</w:t>
      </w:r>
    </w:p>
    <w:tbl>
      <w:tblPr>
        <w:tblStyle w:val="81"/>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99"/>
        <w:gridCol w:w="868"/>
        <w:gridCol w:w="867"/>
        <w:gridCol w:w="878"/>
        <w:gridCol w:w="869"/>
        <w:gridCol w:w="869"/>
        <w:gridCol w:w="876"/>
        <w:gridCol w:w="873"/>
        <w:gridCol w:w="931"/>
        <w:gridCol w:w="954"/>
      </w:tblGrid>
      <w:tr w14:paraId="429ABB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Merge w:val="restart"/>
            <w:vAlign w:val="center"/>
          </w:tcPr>
          <w:p w14:paraId="6D60081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监测项目</w:t>
            </w:r>
          </w:p>
        </w:tc>
        <w:tc>
          <w:tcPr>
            <w:tcW w:w="4300" w:type="pct"/>
            <w:gridSpan w:val="9"/>
            <w:vAlign w:val="center"/>
          </w:tcPr>
          <w:p w14:paraId="182445E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监测点位及监测结果</w:t>
            </w:r>
          </w:p>
        </w:tc>
      </w:tr>
      <w:tr w14:paraId="66BFB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Merge w:val="continue"/>
            <w:vAlign w:val="center"/>
          </w:tcPr>
          <w:p w14:paraId="451474B9">
            <w:pPr>
              <w:pStyle w:val="103"/>
              <w:widowControl/>
              <w:spacing w:line="360" w:lineRule="exact"/>
              <w:rPr>
                <w:rFonts w:ascii="Times New Roman" w:hAnsi="Times New Roman" w:eastAsiaTheme="minorEastAsia"/>
                <w:color w:val="auto"/>
                <w:w w:val="99"/>
                <w:sz w:val="21"/>
                <w:szCs w:val="21"/>
                <w:highlight w:val="none"/>
              </w:rPr>
            </w:pPr>
          </w:p>
        </w:tc>
        <w:tc>
          <w:tcPr>
            <w:tcW w:w="1407" w:type="pct"/>
            <w:gridSpan w:val="3"/>
            <w:vAlign w:val="center"/>
          </w:tcPr>
          <w:p w14:paraId="3CCEC548">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拟建徐深27-H1井井场占地内1#</w:t>
            </w:r>
          </w:p>
        </w:tc>
        <w:tc>
          <w:tcPr>
            <w:tcW w:w="1408" w:type="pct"/>
            <w:gridSpan w:val="3"/>
            <w:vAlign w:val="center"/>
          </w:tcPr>
          <w:p w14:paraId="6373407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拟建徐深27-H1井井场占地内2#</w:t>
            </w:r>
          </w:p>
        </w:tc>
        <w:tc>
          <w:tcPr>
            <w:tcW w:w="1484" w:type="pct"/>
            <w:gridSpan w:val="3"/>
            <w:vAlign w:val="center"/>
          </w:tcPr>
          <w:p w14:paraId="577CB88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拟建徐深27-H1井井场占地内3#</w:t>
            </w:r>
          </w:p>
        </w:tc>
      </w:tr>
      <w:tr w14:paraId="0CCD1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Merge w:val="continue"/>
            <w:vAlign w:val="center"/>
          </w:tcPr>
          <w:p w14:paraId="639D6B9A">
            <w:pPr>
              <w:pStyle w:val="103"/>
              <w:widowControl/>
              <w:spacing w:line="360" w:lineRule="exact"/>
              <w:rPr>
                <w:rFonts w:ascii="Times New Roman" w:hAnsi="Times New Roman" w:eastAsiaTheme="minorEastAsia"/>
                <w:color w:val="auto"/>
                <w:w w:val="99"/>
                <w:sz w:val="21"/>
                <w:szCs w:val="21"/>
                <w:highlight w:val="none"/>
              </w:rPr>
            </w:pPr>
          </w:p>
        </w:tc>
        <w:tc>
          <w:tcPr>
            <w:tcW w:w="467" w:type="pct"/>
            <w:vAlign w:val="center"/>
          </w:tcPr>
          <w:p w14:paraId="2935E35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0-50cm</w:t>
            </w:r>
          </w:p>
        </w:tc>
        <w:tc>
          <w:tcPr>
            <w:tcW w:w="467" w:type="pct"/>
            <w:vAlign w:val="center"/>
          </w:tcPr>
          <w:p w14:paraId="135F45C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50-150cm</w:t>
            </w:r>
          </w:p>
        </w:tc>
        <w:tc>
          <w:tcPr>
            <w:tcW w:w="471" w:type="pct"/>
            <w:vAlign w:val="center"/>
          </w:tcPr>
          <w:p w14:paraId="49043CC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150-300cm</w:t>
            </w:r>
          </w:p>
        </w:tc>
        <w:tc>
          <w:tcPr>
            <w:tcW w:w="468" w:type="pct"/>
            <w:vAlign w:val="center"/>
          </w:tcPr>
          <w:p w14:paraId="429C908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0-50cm</w:t>
            </w:r>
          </w:p>
        </w:tc>
        <w:tc>
          <w:tcPr>
            <w:tcW w:w="468" w:type="pct"/>
            <w:vAlign w:val="center"/>
          </w:tcPr>
          <w:p w14:paraId="0B6297D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50-150cm</w:t>
            </w:r>
          </w:p>
        </w:tc>
        <w:tc>
          <w:tcPr>
            <w:tcW w:w="470" w:type="pct"/>
            <w:vAlign w:val="center"/>
          </w:tcPr>
          <w:p w14:paraId="6068D1E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150-300cm</w:t>
            </w:r>
          </w:p>
        </w:tc>
        <w:tc>
          <w:tcPr>
            <w:tcW w:w="470" w:type="pct"/>
            <w:vAlign w:val="center"/>
          </w:tcPr>
          <w:p w14:paraId="304A465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0-50cm</w:t>
            </w:r>
          </w:p>
        </w:tc>
        <w:tc>
          <w:tcPr>
            <w:tcW w:w="501" w:type="pct"/>
            <w:vAlign w:val="center"/>
          </w:tcPr>
          <w:p w14:paraId="2C7A52C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50-150cm</w:t>
            </w:r>
          </w:p>
        </w:tc>
        <w:tc>
          <w:tcPr>
            <w:tcW w:w="513" w:type="pct"/>
            <w:vAlign w:val="center"/>
          </w:tcPr>
          <w:p w14:paraId="6BC557F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150-300cm</w:t>
            </w:r>
          </w:p>
        </w:tc>
      </w:tr>
      <w:tr w14:paraId="3401AD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32CEBB3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pH</w:t>
            </w:r>
          </w:p>
        </w:tc>
        <w:tc>
          <w:tcPr>
            <w:tcW w:w="869" w:type="dxa"/>
            <w:vAlign w:val="center"/>
          </w:tcPr>
          <w:p w14:paraId="3FF083C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7.91</w:t>
            </w:r>
          </w:p>
        </w:tc>
        <w:tc>
          <w:tcPr>
            <w:tcW w:w="869" w:type="dxa"/>
            <w:vAlign w:val="center"/>
          </w:tcPr>
          <w:p w14:paraId="08FBFA28">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7.74</w:t>
            </w:r>
          </w:p>
        </w:tc>
        <w:tc>
          <w:tcPr>
            <w:tcW w:w="876" w:type="dxa"/>
            <w:vAlign w:val="center"/>
          </w:tcPr>
          <w:p w14:paraId="45B87EFD">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8.01</w:t>
            </w:r>
          </w:p>
        </w:tc>
        <w:tc>
          <w:tcPr>
            <w:tcW w:w="871" w:type="dxa"/>
            <w:vAlign w:val="center"/>
          </w:tcPr>
          <w:p w14:paraId="51EC7B10">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7.88</w:t>
            </w:r>
          </w:p>
        </w:tc>
        <w:tc>
          <w:tcPr>
            <w:tcW w:w="871" w:type="dxa"/>
            <w:vAlign w:val="center"/>
          </w:tcPr>
          <w:p w14:paraId="7839F5C4">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8.11</w:t>
            </w:r>
          </w:p>
        </w:tc>
        <w:tc>
          <w:tcPr>
            <w:tcW w:w="873" w:type="dxa"/>
            <w:vAlign w:val="center"/>
          </w:tcPr>
          <w:p w14:paraId="6296620D">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7.79</w:t>
            </w:r>
          </w:p>
        </w:tc>
        <w:tc>
          <w:tcPr>
            <w:tcW w:w="873" w:type="dxa"/>
            <w:vAlign w:val="center"/>
          </w:tcPr>
          <w:p w14:paraId="3E3C84AF">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8.01</w:t>
            </w:r>
          </w:p>
        </w:tc>
        <w:tc>
          <w:tcPr>
            <w:tcW w:w="931" w:type="dxa"/>
            <w:vAlign w:val="center"/>
          </w:tcPr>
          <w:p w14:paraId="32BAFFFF">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7.71</w:t>
            </w:r>
          </w:p>
        </w:tc>
        <w:tc>
          <w:tcPr>
            <w:tcW w:w="952" w:type="dxa"/>
            <w:vAlign w:val="center"/>
          </w:tcPr>
          <w:p w14:paraId="4AFBABFC">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7.93</w:t>
            </w:r>
          </w:p>
        </w:tc>
      </w:tr>
      <w:tr w14:paraId="74BBA8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3F7A2C9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镉（Cd）</w:t>
            </w:r>
          </w:p>
        </w:tc>
        <w:tc>
          <w:tcPr>
            <w:tcW w:w="869" w:type="dxa"/>
            <w:vAlign w:val="center"/>
          </w:tcPr>
          <w:p w14:paraId="4D0DB8B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0.08</w:t>
            </w:r>
          </w:p>
        </w:tc>
        <w:tc>
          <w:tcPr>
            <w:tcW w:w="869" w:type="dxa"/>
            <w:vAlign w:val="center"/>
          </w:tcPr>
          <w:p w14:paraId="2273CA67">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0.11</w:t>
            </w:r>
          </w:p>
        </w:tc>
        <w:tc>
          <w:tcPr>
            <w:tcW w:w="876" w:type="dxa"/>
            <w:vAlign w:val="center"/>
          </w:tcPr>
          <w:p w14:paraId="4F28924E">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0.13</w:t>
            </w:r>
          </w:p>
        </w:tc>
        <w:tc>
          <w:tcPr>
            <w:tcW w:w="871" w:type="dxa"/>
            <w:vAlign w:val="center"/>
          </w:tcPr>
          <w:p w14:paraId="62819FB6">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0.10</w:t>
            </w:r>
          </w:p>
        </w:tc>
        <w:tc>
          <w:tcPr>
            <w:tcW w:w="871" w:type="dxa"/>
            <w:vAlign w:val="center"/>
          </w:tcPr>
          <w:p w14:paraId="21D9001B">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0.13</w:t>
            </w:r>
          </w:p>
        </w:tc>
        <w:tc>
          <w:tcPr>
            <w:tcW w:w="873" w:type="dxa"/>
            <w:vAlign w:val="center"/>
          </w:tcPr>
          <w:p w14:paraId="1CE5D05F">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0.09</w:t>
            </w:r>
          </w:p>
        </w:tc>
        <w:tc>
          <w:tcPr>
            <w:tcW w:w="873" w:type="dxa"/>
            <w:vAlign w:val="center"/>
          </w:tcPr>
          <w:p w14:paraId="377787B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0.09</w:t>
            </w:r>
          </w:p>
        </w:tc>
        <w:tc>
          <w:tcPr>
            <w:tcW w:w="931" w:type="dxa"/>
            <w:vAlign w:val="center"/>
          </w:tcPr>
          <w:p w14:paraId="7F9DF142">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0.10</w:t>
            </w:r>
          </w:p>
        </w:tc>
        <w:tc>
          <w:tcPr>
            <w:tcW w:w="952" w:type="dxa"/>
            <w:vAlign w:val="center"/>
          </w:tcPr>
          <w:p w14:paraId="693D6E41">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0.07</w:t>
            </w:r>
          </w:p>
        </w:tc>
      </w:tr>
      <w:tr w14:paraId="03329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5E393E4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汞（Hg）</w:t>
            </w:r>
          </w:p>
        </w:tc>
        <w:tc>
          <w:tcPr>
            <w:tcW w:w="869" w:type="dxa"/>
            <w:vAlign w:val="center"/>
          </w:tcPr>
          <w:p w14:paraId="551629BD">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0.024</w:t>
            </w:r>
          </w:p>
        </w:tc>
        <w:tc>
          <w:tcPr>
            <w:tcW w:w="869" w:type="dxa"/>
            <w:vAlign w:val="center"/>
          </w:tcPr>
          <w:p w14:paraId="4E4C279A">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0.016</w:t>
            </w:r>
          </w:p>
        </w:tc>
        <w:tc>
          <w:tcPr>
            <w:tcW w:w="876" w:type="dxa"/>
            <w:vAlign w:val="center"/>
          </w:tcPr>
          <w:p w14:paraId="5A98270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0.021</w:t>
            </w:r>
          </w:p>
        </w:tc>
        <w:tc>
          <w:tcPr>
            <w:tcW w:w="871" w:type="dxa"/>
            <w:vAlign w:val="center"/>
          </w:tcPr>
          <w:p w14:paraId="1A1DD01F">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0.018</w:t>
            </w:r>
          </w:p>
        </w:tc>
        <w:tc>
          <w:tcPr>
            <w:tcW w:w="871" w:type="dxa"/>
            <w:vAlign w:val="center"/>
          </w:tcPr>
          <w:p w14:paraId="04C5FEEC">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0.022</w:t>
            </w:r>
          </w:p>
        </w:tc>
        <w:tc>
          <w:tcPr>
            <w:tcW w:w="873" w:type="dxa"/>
            <w:vAlign w:val="center"/>
          </w:tcPr>
          <w:p w14:paraId="3AD1460D">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0.017</w:t>
            </w:r>
          </w:p>
        </w:tc>
        <w:tc>
          <w:tcPr>
            <w:tcW w:w="873" w:type="dxa"/>
            <w:vAlign w:val="center"/>
          </w:tcPr>
          <w:p w14:paraId="097941E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0.016</w:t>
            </w:r>
          </w:p>
        </w:tc>
        <w:tc>
          <w:tcPr>
            <w:tcW w:w="931" w:type="dxa"/>
            <w:vAlign w:val="center"/>
          </w:tcPr>
          <w:p w14:paraId="0BE22B50">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0.019</w:t>
            </w:r>
          </w:p>
        </w:tc>
        <w:tc>
          <w:tcPr>
            <w:tcW w:w="952" w:type="dxa"/>
            <w:vAlign w:val="center"/>
          </w:tcPr>
          <w:p w14:paraId="7EA46138">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0.022</w:t>
            </w:r>
          </w:p>
        </w:tc>
      </w:tr>
      <w:tr w14:paraId="67EC0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466F809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砷（As）</w:t>
            </w:r>
          </w:p>
        </w:tc>
        <w:tc>
          <w:tcPr>
            <w:tcW w:w="869" w:type="dxa"/>
            <w:vAlign w:val="center"/>
          </w:tcPr>
          <w:p w14:paraId="3EA448E4">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3.45</w:t>
            </w:r>
          </w:p>
        </w:tc>
        <w:tc>
          <w:tcPr>
            <w:tcW w:w="869" w:type="dxa"/>
            <w:vAlign w:val="center"/>
          </w:tcPr>
          <w:p w14:paraId="3F8D3A3B">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4.12</w:t>
            </w:r>
          </w:p>
        </w:tc>
        <w:tc>
          <w:tcPr>
            <w:tcW w:w="876" w:type="dxa"/>
            <w:vAlign w:val="center"/>
          </w:tcPr>
          <w:p w14:paraId="27FFB663">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3.96</w:t>
            </w:r>
          </w:p>
        </w:tc>
        <w:tc>
          <w:tcPr>
            <w:tcW w:w="871" w:type="dxa"/>
            <w:vAlign w:val="center"/>
          </w:tcPr>
          <w:p w14:paraId="1804BC5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4.01</w:t>
            </w:r>
          </w:p>
        </w:tc>
        <w:tc>
          <w:tcPr>
            <w:tcW w:w="871" w:type="dxa"/>
            <w:vAlign w:val="center"/>
          </w:tcPr>
          <w:p w14:paraId="08BA67A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3.56</w:t>
            </w:r>
          </w:p>
        </w:tc>
        <w:tc>
          <w:tcPr>
            <w:tcW w:w="873" w:type="dxa"/>
            <w:vAlign w:val="center"/>
          </w:tcPr>
          <w:p w14:paraId="7226D917">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3.39</w:t>
            </w:r>
          </w:p>
        </w:tc>
        <w:tc>
          <w:tcPr>
            <w:tcW w:w="873" w:type="dxa"/>
            <w:vAlign w:val="center"/>
          </w:tcPr>
          <w:p w14:paraId="57633161">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3.45</w:t>
            </w:r>
          </w:p>
        </w:tc>
        <w:tc>
          <w:tcPr>
            <w:tcW w:w="931" w:type="dxa"/>
            <w:vAlign w:val="center"/>
          </w:tcPr>
          <w:p w14:paraId="136A30FB">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3.24</w:t>
            </w:r>
          </w:p>
        </w:tc>
        <w:tc>
          <w:tcPr>
            <w:tcW w:w="952" w:type="dxa"/>
            <w:vAlign w:val="center"/>
          </w:tcPr>
          <w:p w14:paraId="6BE5BF62">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3.77</w:t>
            </w:r>
          </w:p>
        </w:tc>
      </w:tr>
      <w:tr w14:paraId="0BA86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64DF8E7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铅（Pb）</w:t>
            </w:r>
          </w:p>
        </w:tc>
        <w:tc>
          <w:tcPr>
            <w:tcW w:w="869" w:type="dxa"/>
            <w:vAlign w:val="center"/>
          </w:tcPr>
          <w:p w14:paraId="6F6A9352">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18</w:t>
            </w:r>
          </w:p>
        </w:tc>
        <w:tc>
          <w:tcPr>
            <w:tcW w:w="869" w:type="dxa"/>
            <w:vAlign w:val="center"/>
          </w:tcPr>
          <w:p w14:paraId="66A2B44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20</w:t>
            </w:r>
          </w:p>
        </w:tc>
        <w:tc>
          <w:tcPr>
            <w:tcW w:w="876" w:type="dxa"/>
            <w:vAlign w:val="center"/>
          </w:tcPr>
          <w:p w14:paraId="0AEB4C5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15</w:t>
            </w:r>
          </w:p>
        </w:tc>
        <w:tc>
          <w:tcPr>
            <w:tcW w:w="871" w:type="dxa"/>
            <w:vAlign w:val="center"/>
          </w:tcPr>
          <w:p w14:paraId="7FDC1D5C">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w:t>
            </w:r>
          </w:p>
        </w:tc>
        <w:tc>
          <w:tcPr>
            <w:tcW w:w="871" w:type="dxa"/>
            <w:vAlign w:val="center"/>
          </w:tcPr>
          <w:p w14:paraId="3A5F5360">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17</w:t>
            </w:r>
          </w:p>
        </w:tc>
        <w:tc>
          <w:tcPr>
            <w:tcW w:w="873" w:type="dxa"/>
            <w:vAlign w:val="center"/>
          </w:tcPr>
          <w:p w14:paraId="760E5493">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14</w:t>
            </w:r>
          </w:p>
        </w:tc>
        <w:tc>
          <w:tcPr>
            <w:tcW w:w="873" w:type="dxa"/>
            <w:vAlign w:val="center"/>
          </w:tcPr>
          <w:p w14:paraId="1ECF8F47">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16</w:t>
            </w:r>
          </w:p>
        </w:tc>
        <w:tc>
          <w:tcPr>
            <w:tcW w:w="931" w:type="dxa"/>
            <w:vAlign w:val="center"/>
          </w:tcPr>
          <w:p w14:paraId="1BB864A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18</w:t>
            </w:r>
          </w:p>
        </w:tc>
        <w:tc>
          <w:tcPr>
            <w:tcW w:w="952" w:type="dxa"/>
            <w:vAlign w:val="center"/>
          </w:tcPr>
          <w:p w14:paraId="0BF9DD38">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15</w:t>
            </w:r>
          </w:p>
        </w:tc>
      </w:tr>
      <w:tr w14:paraId="4BDC5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5699DE5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铬（六价）</w:t>
            </w:r>
          </w:p>
        </w:tc>
        <w:tc>
          <w:tcPr>
            <w:tcW w:w="869" w:type="dxa"/>
            <w:vAlign w:val="center"/>
          </w:tcPr>
          <w:p w14:paraId="67F2D5EA">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未检出</w:t>
            </w:r>
          </w:p>
        </w:tc>
        <w:tc>
          <w:tcPr>
            <w:tcW w:w="869" w:type="dxa"/>
            <w:vAlign w:val="center"/>
          </w:tcPr>
          <w:p w14:paraId="6A0561F3">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未检出</w:t>
            </w:r>
          </w:p>
        </w:tc>
        <w:tc>
          <w:tcPr>
            <w:tcW w:w="876" w:type="dxa"/>
            <w:vAlign w:val="center"/>
          </w:tcPr>
          <w:p w14:paraId="6B8B8F5A">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未检出</w:t>
            </w:r>
          </w:p>
        </w:tc>
        <w:tc>
          <w:tcPr>
            <w:tcW w:w="871" w:type="dxa"/>
            <w:vAlign w:val="center"/>
          </w:tcPr>
          <w:p w14:paraId="640754FF">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未检出</w:t>
            </w:r>
          </w:p>
        </w:tc>
        <w:tc>
          <w:tcPr>
            <w:tcW w:w="871" w:type="dxa"/>
            <w:vAlign w:val="center"/>
          </w:tcPr>
          <w:p w14:paraId="0854AAA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未检出</w:t>
            </w:r>
          </w:p>
        </w:tc>
        <w:tc>
          <w:tcPr>
            <w:tcW w:w="873" w:type="dxa"/>
            <w:vAlign w:val="center"/>
          </w:tcPr>
          <w:p w14:paraId="3323B7B6">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未检出</w:t>
            </w:r>
          </w:p>
        </w:tc>
        <w:tc>
          <w:tcPr>
            <w:tcW w:w="873" w:type="dxa"/>
            <w:vAlign w:val="center"/>
          </w:tcPr>
          <w:p w14:paraId="7C4BA24C">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未检出</w:t>
            </w:r>
          </w:p>
        </w:tc>
        <w:tc>
          <w:tcPr>
            <w:tcW w:w="931" w:type="dxa"/>
            <w:vAlign w:val="center"/>
          </w:tcPr>
          <w:p w14:paraId="7C9E2E00">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未检出</w:t>
            </w:r>
          </w:p>
        </w:tc>
        <w:tc>
          <w:tcPr>
            <w:tcW w:w="952" w:type="dxa"/>
            <w:vAlign w:val="center"/>
          </w:tcPr>
          <w:p w14:paraId="5B57A18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未检出</w:t>
            </w:r>
          </w:p>
        </w:tc>
      </w:tr>
      <w:tr w14:paraId="73BF0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601BB5B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铜（Cu）</w:t>
            </w:r>
          </w:p>
        </w:tc>
        <w:tc>
          <w:tcPr>
            <w:tcW w:w="869" w:type="dxa"/>
            <w:vAlign w:val="center"/>
          </w:tcPr>
          <w:p w14:paraId="22185C8C">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17</w:t>
            </w:r>
          </w:p>
        </w:tc>
        <w:tc>
          <w:tcPr>
            <w:tcW w:w="869" w:type="dxa"/>
            <w:vAlign w:val="center"/>
          </w:tcPr>
          <w:p w14:paraId="1BA31983">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13</w:t>
            </w:r>
          </w:p>
        </w:tc>
        <w:tc>
          <w:tcPr>
            <w:tcW w:w="876" w:type="dxa"/>
            <w:vAlign w:val="center"/>
          </w:tcPr>
          <w:p w14:paraId="5B168856">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18</w:t>
            </w:r>
          </w:p>
        </w:tc>
        <w:tc>
          <w:tcPr>
            <w:tcW w:w="871" w:type="dxa"/>
            <w:vAlign w:val="center"/>
          </w:tcPr>
          <w:p w14:paraId="0A792B9B">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15</w:t>
            </w:r>
          </w:p>
        </w:tc>
        <w:tc>
          <w:tcPr>
            <w:tcW w:w="871" w:type="dxa"/>
            <w:vAlign w:val="center"/>
          </w:tcPr>
          <w:p w14:paraId="658A7D0C">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16</w:t>
            </w:r>
          </w:p>
        </w:tc>
        <w:tc>
          <w:tcPr>
            <w:tcW w:w="873" w:type="dxa"/>
            <w:vAlign w:val="center"/>
          </w:tcPr>
          <w:p w14:paraId="0CEC27DA">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13</w:t>
            </w:r>
          </w:p>
        </w:tc>
        <w:tc>
          <w:tcPr>
            <w:tcW w:w="873" w:type="dxa"/>
            <w:vAlign w:val="center"/>
          </w:tcPr>
          <w:p w14:paraId="5AC19EA6">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11</w:t>
            </w:r>
          </w:p>
        </w:tc>
        <w:tc>
          <w:tcPr>
            <w:tcW w:w="931" w:type="dxa"/>
            <w:vAlign w:val="center"/>
          </w:tcPr>
          <w:p w14:paraId="50F038F2">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14</w:t>
            </w:r>
          </w:p>
        </w:tc>
        <w:tc>
          <w:tcPr>
            <w:tcW w:w="952" w:type="dxa"/>
            <w:vAlign w:val="center"/>
          </w:tcPr>
          <w:p w14:paraId="2AC5724F">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16</w:t>
            </w:r>
          </w:p>
        </w:tc>
      </w:tr>
      <w:tr w14:paraId="0DB3F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0225777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镍（Ni）</w:t>
            </w:r>
          </w:p>
        </w:tc>
        <w:tc>
          <w:tcPr>
            <w:tcW w:w="869" w:type="dxa"/>
            <w:vAlign w:val="center"/>
          </w:tcPr>
          <w:p w14:paraId="7263E71D">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19</w:t>
            </w:r>
          </w:p>
        </w:tc>
        <w:tc>
          <w:tcPr>
            <w:tcW w:w="869" w:type="dxa"/>
            <w:vAlign w:val="center"/>
          </w:tcPr>
          <w:p w14:paraId="7DA6452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25</w:t>
            </w:r>
          </w:p>
        </w:tc>
        <w:tc>
          <w:tcPr>
            <w:tcW w:w="876" w:type="dxa"/>
            <w:vAlign w:val="center"/>
          </w:tcPr>
          <w:p w14:paraId="6EB82FF3">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20</w:t>
            </w:r>
          </w:p>
        </w:tc>
        <w:tc>
          <w:tcPr>
            <w:tcW w:w="871" w:type="dxa"/>
            <w:vAlign w:val="center"/>
          </w:tcPr>
          <w:p w14:paraId="2B14796F">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22</w:t>
            </w:r>
          </w:p>
        </w:tc>
        <w:tc>
          <w:tcPr>
            <w:tcW w:w="871" w:type="dxa"/>
            <w:vAlign w:val="center"/>
          </w:tcPr>
          <w:p w14:paraId="4B83706A">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21</w:t>
            </w:r>
          </w:p>
        </w:tc>
        <w:tc>
          <w:tcPr>
            <w:tcW w:w="873" w:type="dxa"/>
            <w:vAlign w:val="center"/>
          </w:tcPr>
          <w:p w14:paraId="0C7C6B3A">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18</w:t>
            </w:r>
          </w:p>
        </w:tc>
        <w:tc>
          <w:tcPr>
            <w:tcW w:w="873" w:type="dxa"/>
            <w:vAlign w:val="center"/>
          </w:tcPr>
          <w:p w14:paraId="1C2A45F2">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21</w:t>
            </w:r>
          </w:p>
        </w:tc>
        <w:tc>
          <w:tcPr>
            <w:tcW w:w="931" w:type="dxa"/>
            <w:vAlign w:val="center"/>
          </w:tcPr>
          <w:p w14:paraId="1CCA1F6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20</w:t>
            </w:r>
          </w:p>
        </w:tc>
        <w:tc>
          <w:tcPr>
            <w:tcW w:w="952" w:type="dxa"/>
            <w:vAlign w:val="center"/>
          </w:tcPr>
          <w:p w14:paraId="11232E4D">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25</w:t>
            </w:r>
          </w:p>
        </w:tc>
      </w:tr>
      <w:tr w14:paraId="49B0D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4B9DB3C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水溶性盐总量</w:t>
            </w:r>
          </w:p>
        </w:tc>
        <w:tc>
          <w:tcPr>
            <w:tcW w:w="869" w:type="dxa"/>
            <w:vAlign w:val="center"/>
          </w:tcPr>
          <w:p w14:paraId="7C07AA9E">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600</w:t>
            </w:r>
          </w:p>
        </w:tc>
        <w:tc>
          <w:tcPr>
            <w:tcW w:w="869" w:type="dxa"/>
            <w:vAlign w:val="center"/>
          </w:tcPr>
          <w:p w14:paraId="4D2965DC">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800</w:t>
            </w:r>
          </w:p>
        </w:tc>
        <w:tc>
          <w:tcPr>
            <w:tcW w:w="876" w:type="dxa"/>
            <w:vAlign w:val="center"/>
          </w:tcPr>
          <w:p w14:paraId="48358981">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500</w:t>
            </w:r>
          </w:p>
        </w:tc>
        <w:tc>
          <w:tcPr>
            <w:tcW w:w="871" w:type="dxa"/>
            <w:vAlign w:val="center"/>
          </w:tcPr>
          <w:p w14:paraId="48E8F8DF">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700</w:t>
            </w:r>
          </w:p>
        </w:tc>
        <w:tc>
          <w:tcPr>
            <w:tcW w:w="871" w:type="dxa"/>
            <w:vAlign w:val="center"/>
          </w:tcPr>
          <w:p w14:paraId="2CA06924">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600</w:t>
            </w:r>
          </w:p>
        </w:tc>
        <w:tc>
          <w:tcPr>
            <w:tcW w:w="873" w:type="dxa"/>
            <w:vAlign w:val="center"/>
          </w:tcPr>
          <w:p w14:paraId="20EE53A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800</w:t>
            </w:r>
          </w:p>
        </w:tc>
        <w:tc>
          <w:tcPr>
            <w:tcW w:w="873" w:type="dxa"/>
            <w:vAlign w:val="center"/>
          </w:tcPr>
          <w:p w14:paraId="720C3C1B">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600</w:t>
            </w:r>
          </w:p>
        </w:tc>
        <w:tc>
          <w:tcPr>
            <w:tcW w:w="931" w:type="dxa"/>
            <w:vAlign w:val="center"/>
          </w:tcPr>
          <w:p w14:paraId="5A6ABD1C">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700</w:t>
            </w:r>
          </w:p>
        </w:tc>
        <w:tc>
          <w:tcPr>
            <w:tcW w:w="952" w:type="dxa"/>
            <w:vAlign w:val="center"/>
          </w:tcPr>
          <w:p w14:paraId="4BE5CB30">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900</w:t>
            </w:r>
          </w:p>
        </w:tc>
      </w:tr>
      <w:tr w14:paraId="22650D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217A52D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石油类</w:t>
            </w:r>
          </w:p>
        </w:tc>
        <w:tc>
          <w:tcPr>
            <w:tcW w:w="869" w:type="dxa"/>
            <w:vAlign w:val="center"/>
          </w:tcPr>
          <w:p w14:paraId="6CC9D8AD">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w:t>
            </w:r>
          </w:p>
        </w:tc>
        <w:tc>
          <w:tcPr>
            <w:tcW w:w="869" w:type="dxa"/>
            <w:vAlign w:val="center"/>
          </w:tcPr>
          <w:p w14:paraId="168A505F">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10</w:t>
            </w:r>
          </w:p>
        </w:tc>
        <w:tc>
          <w:tcPr>
            <w:tcW w:w="876" w:type="dxa"/>
            <w:vAlign w:val="center"/>
          </w:tcPr>
          <w:p w14:paraId="533A192A">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13</w:t>
            </w:r>
          </w:p>
        </w:tc>
        <w:tc>
          <w:tcPr>
            <w:tcW w:w="871" w:type="dxa"/>
            <w:vAlign w:val="center"/>
          </w:tcPr>
          <w:p w14:paraId="76E43320">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11</w:t>
            </w:r>
          </w:p>
        </w:tc>
        <w:tc>
          <w:tcPr>
            <w:tcW w:w="871" w:type="dxa"/>
            <w:vAlign w:val="center"/>
          </w:tcPr>
          <w:p w14:paraId="2B8A4EC8">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13</w:t>
            </w:r>
          </w:p>
        </w:tc>
        <w:tc>
          <w:tcPr>
            <w:tcW w:w="873" w:type="dxa"/>
            <w:vAlign w:val="center"/>
          </w:tcPr>
          <w:p w14:paraId="73FD27BE">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10</w:t>
            </w:r>
          </w:p>
        </w:tc>
        <w:tc>
          <w:tcPr>
            <w:tcW w:w="873" w:type="dxa"/>
            <w:vAlign w:val="center"/>
          </w:tcPr>
          <w:p w14:paraId="51EAA31A">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w:t>
            </w:r>
          </w:p>
        </w:tc>
        <w:tc>
          <w:tcPr>
            <w:tcW w:w="931" w:type="dxa"/>
            <w:vAlign w:val="center"/>
          </w:tcPr>
          <w:p w14:paraId="317FF8AF">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10</w:t>
            </w:r>
          </w:p>
        </w:tc>
        <w:tc>
          <w:tcPr>
            <w:tcW w:w="952" w:type="dxa"/>
            <w:vAlign w:val="center"/>
          </w:tcPr>
          <w:p w14:paraId="15741C0E">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11</w:t>
            </w:r>
          </w:p>
        </w:tc>
      </w:tr>
      <w:tr w14:paraId="272E83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19CB198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w:t>
            </w:r>
          </w:p>
        </w:tc>
        <w:tc>
          <w:tcPr>
            <w:tcW w:w="467" w:type="pct"/>
            <w:vAlign w:val="center"/>
          </w:tcPr>
          <w:p w14:paraId="1F9EAB1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2516EF9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7BF26A5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1DE585F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094FF9D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5C317D8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71A9B9F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1750710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040DF9A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40008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3E7CB82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甲苯</w:t>
            </w:r>
          </w:p>
        </w:tc>
        <w:tc>
          <w:tcPr>
            <w:tcW w:w="467" w:type="pct"/>
            <w:vAlign w:val="center"/>
          </w:tcPr>
          <w:p w14:paraId="51B1123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1113EF3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44CBFB4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6073896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4B6B914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78B2497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6AB8EB7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532E05A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279CA8B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75F18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70847B3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乙苯</w:t>
            </w:r>
          </w:p>
        </w:tc>
        <w:tc>
          <w:tcPr>
            <w:tcW w:w="467" w:type="pct"/>
            <w:vAlign w:val="center"/>
          </w:tcPr>
          <w:p w14:paraId="2578D01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26D2EE3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0509D69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6579A56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06CA949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24B3459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0C81787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5DF63E9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4ACB57B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0169F8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4D13C33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氯苯</w:t>
            </w:r>
          </w:p>
        </w:tc>
        <w:tc>
          <w:tcPr>
            <w:tcW w:w="467" w:type="pct"/>
            <w:vAlign w:val="center"/>
          </w:tcPr>
          <w:p w14:paraId="0A33D5F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01A524A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377CCB8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4999BDB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2A10AE9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5D07844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046B012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1816CDD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3DE47BB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29434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595E519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苯乙烯</w:t>
            </w:r>
          </w:p>
        </w:tc>
        <w:tc>
          <w:tcPr>
            <w:tcW w:w="467" w:type="pct"/>
            <w:vAlign w:val="center"/>
          </w:tcPr>
          <w:p w14:paraId="126C9DD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6BEF345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52B6D5A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4B2F336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6CD4823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2F94328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63622D1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4868CE5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77C059D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2FACE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1425850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间二甲苯+对二甲苯</w:t>
            </w:r>
          </w:p>
        </w:tc>
        <w:tc>
          <w:tcPr>
            <w:tcW w:w="467" w:type="pct"/>
            <w:vAlign w:val="center"/>
          </w:tcPr>
          <w:p w14:paraId="7E6DE7D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5963EBB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69567F6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6628DE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7DEA979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2BC5FF9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65EB941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199CBB0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2CBED2E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23333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162B660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邻二甲苯</w:t>
            </w:r>
          </w:p>
        </w:tc>
        <w:tc>
          <w:tcPr>
            <w:tcW w:w="467" w:type="pct"/>
            <w:vAlign w:val="center"/>
          </w:tcPr>
          <w:p w14:paraId="19F61AF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117582A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6422CD8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2632E9F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0A4583B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27DBC48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3510155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451056D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1EE06FF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7BA4B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7DF99B3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氯乙烯</w:t>
            </w:r>
          </w:p>
        </w:tc>
        <w:tc>
          <w:tcPr>
            <w:tcW w:w="467" w:type="pct"/>
            <w:vAlign w:val="center"/>
          </w:tcPr>
          <w:p w14:paraId="6BC3A1E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4B272BE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38CC290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0B4F429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7ABA928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6293AED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56A8371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0E5743C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44D006E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7CA419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7995CB1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1,2-二氯苯</w:t>
            </w:r>
          </w:p>
        </w:tc>
        <w:tc>
          <w:tcPr>
            <w:tcW w:w="467" w:type="pct"/>
            <w:vAlign w:val="center"/>
          </w:tcPr>
          <w:p w14:paraId="029D857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70167BD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299A2E9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1AF94F7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696A331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2A36CF4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13BB7D9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1ACCC6D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3CF4210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12778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3E6C9B2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1,4-二氯苯</w:t>
            </w:r>
          </w:p>
        </w:tc>
        <w:tc>
          <w:tcPr>
            <w:tcW w:w="467" w:type="pct"/>
            <w:vAlign w:val="center"/>
          </w:tcPr>
          <w:p w14:paraId="6789403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17728E4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20C7ED2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0E23BC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721BFAC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366FF0E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7F7943F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6A30BB6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6A9287F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28D103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0E118E5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四氯化碳</w:t>
            </w:r>
          </w:p>
        </w:tc>
        <w:tc>
          <w:tcPr>
            <w:tcW w:w="467" w:type="pct"/>
            <w:vAlign w:val="center"/>
          </w:tcPr>
          <w:p w14:paraId="528F3CA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5C15EB3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4FEC968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4258CB0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6371DF0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2284EED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60CAD6B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609CF27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000DB47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288FE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758B059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氯仿</w:t>
            </w:r>
          </w:p>
        </w:tc>
        <w:tc>
          <w:tcPr>
            <w:tcW w:w="467" w:type="pct"/>
            <w:vAlign w:val="center"/>
          </w:tcPr>
          <w:p w14:paraId="71627BF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6A39EA1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4AD7A72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4E34D26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5B793CB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551C381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36A18A6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6E46568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1B73124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050F5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34E5C6F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氯甲烷</w:t>
            </w:r>
          </w:p>
        </w:tc>
        <w:tc>
          <w:tcPr>
            <w:tcW w:w="467" w:type="pct"/>
            <w:vAlign w:val="center"/>
          </w:tcPr>
          <w:p w14:paraId="6E0DF9C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2933DBD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4584FEC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1A2FCD7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6E9797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35E6798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65D187C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32521B8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12F611A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7C8FD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37BCAA1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1,1-二氯乙烷</w:t>
            </w:r>
          </w:p>
        </w:tc>
        <w:tc>
          <w:tcPr>
            <w:tcW w:w="467" w:type="pct"/>
            <w:vAlign w:val="center"/>
          </w:tcPr>
          <w:p w14:paraId="5BD7260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67DBA2C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700189C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060EB7E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7DB236C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38ECD8B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7142F61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30E6C13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1F90441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1C99B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35A36BF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1,2-二氯乙烷</w:t>
            </w:r>
          </w:p>
        </w:tc>
        <w:tc>
          <w:tcPr>
            <w:tcW w:w="467" w:type="pct"/>
            <w:vAlign w:val="center"/>
          </w:tcPr>
          <w:p w14:paraId="597171C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70273FC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2CC696A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598D502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1D49458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1EFC556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5166488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5BFA697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30ADF4E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1AA3C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4FDAE98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1,1-二氯乙烯</w:t>
            </w:r>
          </w:p>
        </w:tc>
        <w:tc>
          <w:tcPr>
            <w:tcW w:w="467" w:type="pct"/>
            <w:vAlign w:val="center"/>
          </w:tcPr>
          <w:p w14:paraId="1C3D2D9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720BD6D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4B3F05F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4BD5F18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699EFB5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131C2C4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3ADAFE6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7E5D824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645B38E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74359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192ADFF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顺-1,2-二氯乙烯</w:t>
            </w:r>
          </w:p>
        </w:tc>
        <w:tc>
          <w:tcPr>
            <w:tcW w:w="467" w:type="pct"/>
            <w:vAlign w:val="center"/>
          </w:tcPr>
          <w:p w14:paraId="1CDE9AE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22E8CAF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57BFFB3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7B1451E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5595FEB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765A054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768866B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69D9DEC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6644B08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47589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460B51C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反-1,2-二氯乙烯</w:t>
            </w:r>
          </w:p>
        </w:tc>
        <w:tc>
          <w:tcPr>
            <w:tcW w:w="467" w:type="pct"/>
            <w:vAlign w:val="center"/>
          </w:tcPr>
          <w:p w14:paraId="3B4E25D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400DEF4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71A0AE7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C52C06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4DAB5AD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41C827B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36A89A3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7D31A1D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741AE88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447767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2BBF081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二氯甲烷</w:t>
            </w:r>
          </w:p>
        </w:tc>
        <w:tc>
          <w:tcPr>
            <w:tcW w:w="467" w:type="pct"/>
            <w:vAlign w:val="center"/>
          </w:tcPr>
          <w:p w14:paraId="5AA5129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09C747A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3D15BEB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064270E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DF1785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73A2DDE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4A27AC2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6F0427B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0D745F4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3BB10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33D5205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1,2-二氯丙烷</w:t>
            </w:r>
          </w:p>
        </w:tc>
        <w:tc>
          <w:tcPr>
            <w:tcW w:w="467" w:type="pct"/>
            <w:vAlign w:val="center"/>
          </w:tcPr>
          <w:p w14:paraId="1246D51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426AB11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1219C83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022259D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7ADD7CF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1E103D9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7016BDD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337CC21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542F753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515B3A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12B554B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1,1,1,2-四氯乙烷</w:t>
            </w:r>
          </w:p>
        </w:tc>
        <w:tc>
          <w:tcPr>
            <w:tcW w:w="467" w:type="pct"/>
            <w:vAlign w:val="center"/>
          </w:tcPr>
          <w:p w14:paraId="5180043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372F797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3354AEB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52C06BF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AF9C9E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1BC2819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0FF2A1A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6A3039B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572213B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6711F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33D4DE3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1,1,2,2-四氯乙烷</w:t>
            </w:r>
          </w:p>
        </w:tc>
        <w:tc>
          <w:tcPr>
            <w:tcW w:w="467" w:type="pct"/>
            <w:vAlign w:val="center"/>
          </w:tcPr>
          <w:p w14:paraId="085DD17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1239111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3251001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687E15D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48182FD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62EF61E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148BDA3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543F877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243D848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64D716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3781939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四氯乙烯</w:t>
            </w:r>
          </w:p>
        </w:tc>
        <w:tc>
          <w:tcPr>
            <w:tcW w:w="467" w:type="pct"/>
            <w:vAlign w:val="center"/>
          </w:tcPr>
          <w:p w14:paraId="010771D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15A69C6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33CB9CE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254E00D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C83614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1736E9B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30B0233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7042B3E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49FC084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60F72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2A9117C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1,1,1-三氯乙烷</w:t>
            </w:r>
          </w:p>
        </w:tc>
        <w:tc>
          <w:tcPr>
            <w:tcW w:w="467" w:type="pct"/>
            <w:vAlign w:val="center"/>
          </w:tcPr>
          <w:p w14:paraId="1B4AC89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1EFE671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20C6424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70E8DAC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01F023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30A457F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2BD0493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7096C28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62B1FB0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15E8B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0545364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1,1,2-三氯乙烷</w:t>
            </w:r>
          </w:p>
        </w:tc>
        <w:tc>
          <w:tcPr>
            <w:tcW w:w="467" w:type="pct"/>
            <w:vAlign w:val="center"/>
          </w:tcPr>
          <w:p w14:paraId="4B407E6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043D7D1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45F404F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D6F410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701DDC4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4498F8A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3B88A6A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046DB85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0045EED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416B6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1CB5A46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三氯乙烯</w:t>
            </w:r>
          </w:p>
        </w:tc>
        <w:tc>
          <w:tcPr>
            <w:tcW w:w="467" w:type="pct"/>
            <w:vAlign w:val="center"/>
          </w:tcPr>
          <w:p w14:paraId="7F6FEE4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0415832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4854080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5AC44D6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7DB55D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747913F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6400A68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080260B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5E46139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53508D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51B028F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1,2,3-三氯丙烷</w:t>
            </w:r>
          </w:p>
        </w:tc>
        <w:tc>
          <w:tcPr>
            <w:tcW w:w="467" w:type="pct"/>
            <w:vAlign w:val="center"/>
          </w:tcPr>
          <w:p w14:paraId="6E213D5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0C3BEF4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72565BC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760B4F2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2AE8B38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3C3C47F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6FA0B2B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02F5830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1FB08E5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587B76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543FEB1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硝基苯</w:t>
            </w:r>
          </w:p>
        </w:tc>
        <w:tc>
          <w:tcPr>
            <w:tcW w:w="467" w:type="pct"/>
            <w:vAlign w:val="center"/>
          </w:tcPr>
          <w:p w14:paraId="332B84A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278C378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493B3FD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010CD00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6394995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56CB9CC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5C4AABD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37AEB19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43DEE17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383F4B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1387A7A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苯胺</w:t>
            </w:r>
          </w:p>
        </w:tc>
        <w:tc>
          <w:tcPr>
            <w:tcW w:w="467" w:type="pct"/>
            <w:vAlign w:val="center"/>
          </w:tcPr>
          <w:p w14:paraId="563672F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01E5B01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63A1694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42518DF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4DC0D35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79778AF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7A1A021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52CEEB3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6722AC7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58F53A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6F3B0B7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2-氯酚</w:t>
            </w:r>
          </w:p>
        </w:tc>
        <w:tc>
          <w:tcPr>
            <w:tcW w:w="467" w:type="pct"/>
            <w:vAlign w:val="center"/>
          </w:tcPr>
          <w:p w14:paraId="4733EEE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2E602A5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3A454E6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0FDEB15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6D465F9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3FCD65B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45C4EDA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2EDF2D3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42D74EC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1D25A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52E15BE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䓛</w:t>
            </w:r>
          </w:p>
        </w:tc>
        <w:tc>
          <w:tcPr>
            <w:tcW w:w="467" w:type="pct"/>
            <w:vAlign w:val="center"/>
          </w:tcPr>
          <w:p w14:paraId="2A8F784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5D06CB1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68AAC04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799FF64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08B702D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6FF5BDC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417FB31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5B078F1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4C09559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6D43D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494AC27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萘</w:t>
            </w:r>
          </w:p>
        </w:tc>
        <w:tc>
          <w:tcPr>
            <w:tcW w:w="467" w:type="pct"/>
            <w:vAlign w:val="center"/>
          </w:tcPr>
          <w:p w14:paraId="5412343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59698FD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41C0535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0A49425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781C28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0810186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6C85B23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6013A12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6C1B457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6ECA1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5DAF014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苯并[a]蒽</w:t>
            </w:r>
          </w:p>
        </w:tc>
        <w:tc>
          <w:tcPr>
            <w:tcW w:w="467" w:type="pct"/>
            <w:vAlign w:val="center"/>
          </w:tcPr>
          <w:p w14:paraId="1DD1A7F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0F24682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02BD2C7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2E607C5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468F1A0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7AE587A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5291219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24C1E86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3DFEB09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470DFE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593B9E6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苯并[b]荧蒽</w:t>
            </w:r>
          </w:p>
        </w:tc>
        <w:tc>
          <w:tcPr>
            <w:tcW w:w="467" w:type="pct"/>
            <w:vAlign w:val="center"/>
          </w:tcPr>
          <w:p w14:paraId="5F381B7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0683C7A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0890314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1EC0680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5663EDE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52AB499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1033951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25EBDF7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64E8839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5FD9E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7EE532C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苯并[k]荧蒽</w:t>
            </w:r>
          </w:p>
        </w:tc>
        <w:tc>
          <w:tcPr>
            <w:tcW w:w="467" w:type="pct"/>
            <w:vAlign w:val="center"/>
          </w:tcPr>
          <w:p w14:paraId="39DA883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0FA9549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6E1FFDA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5C53AC3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11038AA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4FEA46F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69B12A9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4CBC2A9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69BBAC9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18BE9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4648948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苯并[a]芘</w:t>
            </w:r>
          </w:p>
        </w:tc>
        <w:tc>
          <w:tcPr>
            <w:tcW w:w="467" w:type="pct"/>
            <w:vAlign w:val="center"/>
          </w:tcPr>
          <w:p w14:paraId="6977245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1AB9C58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63DC383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1265843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5B8D79C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5D85E50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74AFB1D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1346EB8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22C5C90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05449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63B24C9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茚并[1,2,3-cd]芘</w:t>
            </w:r>
          </w:p>
        </w:tc>
        <w:tc>
          <w:tcPr>
            <w:tcW w:w="467" w:type="pct"/>
            <w:vAlign w:val="center"/>
          </w:tcPr>
          <w:p w14:paraId="4A31C0B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71BAB6E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2307528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6AF6994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1164140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4760867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5D125E3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24B6250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7AB823D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776B0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3408528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二苯并[a, h]蒽</w:t>
            </w:r>
          </w:p>
        </w:tc>
        <w:tc>
          <w:tcPr>
            <w:tcW w:w="467" w:type="pct"/>
            <w:vAlign w:val="center"/>
          </w:tcPr>
          <w:p w14:paraId="3E5259B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78495B9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314B5E9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3796DB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54723C8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3D87D77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1F6299D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24B4DF9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49F281D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51469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5EF4679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10</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40</w:t>
            </w:r>
            <w:r>
              <w:rPr>
                <w:rFonts w:ascii="Times New Roman" w:hAnsi="Times New Roman" w:cs="Times New Roman" w:eastAsiaTheme="minorEastAsia"/>
                <w:color w:val="auto"/>
                <w:w w:val="99"/>
                <w:sz w:val="21"/>
                <w:szCs w:val="21"/>
                <w:highlight w:val="none"/>
              </w:rPr>
              <w:t>）</w:t>
            </w:r>
          </w:p>
        </w:tc>
        <w:tc>
          <w:tcPr>
            <w:tcW w:w="467" w:type="pct"/>
            <w:vAlign w:val="center"/>
          </w:tcPr>
          <w:p w14:paraId="6137FB3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3BADD05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161D6AA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0191372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AFC91C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0671604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46865E3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2BD8BA6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347395C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59501D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1CEFFD0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6</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9</w:t>
            </w:r>
            <w:r>
              <w:rPr>
                <w:rFonts w:ascii="Times New Roman" w:hAnsi="Times New Roman" w:cs="Times New Roman" w:eastAsiaTheme="minorEastAsia"/>
                <w:color w:val="auto"/>
                <w:w w:val="99"/>
                <w:sz w:val="21"/>
                <w:szCs w:val="21"/>
                <w:highlight w:val="none"/>
              </w:rPr>
              <w:t>）</w:t>
            </w:r>
          </w:p>
        </w:tc>
        <w:tc>
          <w:tcPr>
            <w:tcW w:w="467" w:type="pct"/>
            <w:vAlign w:val="center"/>
          </w:tcPr>
          <w:p w14:paraId="3DCBA7E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48F5FE8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203222D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E6F428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4D575C1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2B753A5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4B4C273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4388923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695E14C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bl>
    <w:p w14:paraId="71872BC7">
      <w:pPr>
        <w:pStyle w:val="153"/>
        <w:widowControl w:val="0"/>
        <w:spacing w:line="440" w:lineRule="exact"/>
        <w:ind w:firstLine="474"/>
        <w:rPr>
          <w:rFonts w:ascii="Times New Roman" w:hAnsi="Times New Roman" w:eastAsiaTheme="minorEastAsia"/>
          <w:b/>
          <w:color w:val="auto"/>
          <w:w w:val="99"/>
          <w:kern w:val="21"/>
          <w:highlight w:val="none"/>
        </w:rPr>
      </w:pPr>
      <w:r>
        <w:rPr>
          <w:rFonts w:ascii="Times New Roman" w:hAnsi="Times New Roman" w:eastAsiaTheme="minorEastAsia"/>
          <w:b/>
          <w:color w:val="auto"/>
          <w:w w:val="99"/>
          <w:kern w:val="21"/>
          <w:highlight w:val="none"/>
          <w:lang w:bidi="zh-CN"/>
        </w:rPr>
        <w:t>续表</w:t>
      </w:r>
      <w:r>
        <w:rPr>
          <w:rFonts w:ascii="Times New Roman" w:hAnsi="Times New Roman" w:eastAsiaTheme="minorEastAsia"/>
          <w:b/>
          <w:color w:val="auto"/>
          <w:w w:val="99"/>
          <w:kern w:val="2"/>
          <w:szCs w:val="20"/>
          <w:highlight w:val="none"/>
        </w:rPr>
        <w:t>4.3-</w:t>
      </w:r>
      <w:r>
        <w:rPr>
          <w:rFonts w:hint="eastAsia" w:ascii="Times New Roman" w:hAnsi="Times New Roman" w:eastAsiaTheme="minorEastAsia"/>
          <w:b/>
          <w:color w:val="auto"/>
          <w:w w:val="99"/>
          <w:kern w:val="2"/>
          <w:szCs w:val="20"/>
          <w:highlight w:val="none"/>
        </w:rPr>
        <w:t>2</w:t>
      </w:r>
      <w:r>
        <w:rPr>
          <w:rFonts w:ascii="Times New Roman" w:hAnsi="Times New Roman" w:eastAsiaTheme="minorEastAsia"/>
          <w:b/>
          <w:color w:val="auto"/>
          <w:w w:val="99"/>
          <w:kern w:val="2"/>
          <w:szCs w:val="20"/>
          <w:highlight w:val="none"/>
        </w:rPr>
        <w:t>1</w:t>
      </w:r>
      <w:r>
        <w:rPr>
          <w:rFonts w:ascii="Times New Roman" w:hAnsi="Times New Roman" w:eastAsiaTheme="minorEastAsia"/>
          <w:b/>
          <w:color w:val="auto"/>
          <w:w w:val="99"/>
          <w:kern w:val="21"/>
          <w:highlight w:val="none"/>
          <w:lang w:bidi="zh-CN"/>
        </w:rPr>
        <w:t xml:space="preserve">  </w:t>
      </w:r>
      <w:r>
        <w:rPr>
          <w:rFonts w:ascii="Times New Roman" w:hAnsi="Times New Roman" w:eastAsiaTheme="minorEastAsia"/>
          <w:b/>
          <w:color w:val="auto"/>
          <w:w w:val="99"/>
          <w:kern w:val="21"/>
          <w:highlight w:val="none"/>
        </w:rPr>
        <w:t>建设用地土壤环境质量现状监测结果  单位：mg/kg（pH无量纲）</w:t>
      </w:r>
    </w:p>
    <w:p w14:paraId="69A7716B">
      <w:pPr>
        <w:rPr>
          <w:rFonts w:ascii="Times New Roman" w:hAnsi="Times New Roman" w:eastAsiaTheme="minorEastAsia"/>
          <w:b/>
          <w:color w:val="auto"/>
          <w:w w:val="99"/>
          <w:kern w:val="21"/>
          <w:highlight w:val="none"/>
        </w:rPr>
      </w:pPr>
    </w:p>
    <w:tbl>
      <w:tblPr>
        <w:tblStyle w:val="81"/>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516"/>
        <w:gridCol w:w="1685"/>
        <w:gridCol w:w="1685"/>
        <w:gridCol w:w="1700"/>
        <w:gridCol w:w="1688"/>
        <w:gridCol w:w="11"/>
      </w:tblGrid>
      <w:tr w14:paraId="3EE6A2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355" w:type="pct"/>
            <w:vMerge w:val="restart"/>
            <w:vAlign w:val="center"/>
          </w:tcPr>
          <w:p w14:paraId="57B7071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监测项目</w:t>
            </w:r>
          </w:p>
        </w:tc>
        <w:tc>
          <w:tcPr>
            <w:tcW w:w="3644" w:type="pct"/>
            <w:gridSpan w:val="5"/>
            <w:tcBorders>
              <w:right w:val="single" w:color="auto" w:sz="4" w:space="0"/>
            </w:tcBorders>
            <w:vAlign w:val="center"/>
          </w:tcPr>
          <w:p w14:paraId="2397C27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监测点位及监测结果</w:t>
            </w:r>
          </w:p>
        </w:tc>
      </w:tr>
      <w:tr w14:paraId="2606E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355" w:type="pct"/>
            <w:vMerge w:val="continue"/>
            <w:vAlign w:val="center"/>
          </w:tcPr>
          <w:p w14:paraId="1809D96C">
            <w:pPr>
              <w:pStyle w:val="103"/>
              <w:widowControl/>
              <w:spacing w:line="360" w:lineRule="exact"/>
              <w:rPr>
                <w:rFonts w:ascii="Times New Roman" w:hAnsi="Times New Roman" w:eastAsiaTheme="minorEastAsia"/>
                <w:color w:val="auto"/>
                <w:w w:val="99"/>
                <w:sz w:val="21"/>
                <w:szCs w:val="21"/>
                <w:highlight w:val="none"/>
              </w:rPr>
            </w:pPr>
          </w:p>
        </w:tc>
        <w:tc>
          <w:tcPr>
            <w:tcW w:w="2729" w:type="pct"/>
            <w:gridSpan w:val="3"/>
            <w:vAlign w:val="center"/>
          </w:tcPr>
          <w:p w14:paraId="4CE6B76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已建徐深27井井场占地内</w:t>
            </w:r>
          </w:p>
        </w:tc>
        <w:tc>
          <w:tcPr>
            <w:tcW w:w="914" w:type="pct"/>
            <w:gridSpan w:val="2"/>
            <w:tcBorders>
              <w:right w:val="single" w:color="auto" w:sz="4" w:space="0"/>
            </w:tcBorders>
            <w:vAlign w:val="center"/>
          </w:tcPr>
          <w:p w14:paraId="4A17134E">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徐深27集气站内拟建生产阀组区</w:t>
            </w:r>
          </w:p>
        </w:tc>
      </w:tr>
      <w:tr w14:paraId="47E7E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Merge w:val="continue"/>
            <w:vAlign w:val="center"/>
          </w:tcPr>
          <w:p w14:paraId="7C05C157">
            <w:pPr>
              <w:pStyle w:val="103"/>
              <w:widowControl/>
              <w:spacing w:line="360" w:lineRule="exact"/>
              <w:rPr>
                <w:rFonts w:ascii="Times New Roman" w:hAnsi="Times New Roman" w:eastAsiaTheme="minorEastAsia"/>
                <w:color w:val="auto"/>
                <w:w w:val="99"/>
                <w:sz w:val="21"/>
                <w:szCs w:val="21"/>
                <w:highlight w:val="none"/>
              </w:rPr>
            </w:pPr>
          </w:p>
        </w:tc>
        <w:tc>
          <w:tcPr>
            <w:tcW w:w="907" w:type="pct"/>
            <w:vAlign w:val="center"/>
          </w:tcPr>
          <w:p w14:paraId="03D726D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0-50cm</w:t>
            </w:r>
          </w:p>
        </w:tc>
        <w:tc>
          <w:tcPr>
            <w:tcW w:w="907" w:type="pct"/>
            <w:vAlign w:val="center"/>
          </w:tcPr>
          <w:p w14:paraId="6FF8A4F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50-150cm</w:t>
            </w:r>
          </w:p>
        </w:tc>
        <w:tc>
          <w:tcPr>
            <w:tcW w:w="915" w:type="pct"/>
            <w:vAlign w:val="center"/>
          </w:tcPr>
          <w:p w14:paraId="30DCB84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150-300cm</w:t>
            </w:r>
          </w:p>
        </w:tc>
        <w:tc>
          <w:tcPr>
            <w:tcW w:w="909" w:type="pct"/>
            <w:tcBorders>
              <w:right w:val="single" w:color="auto" w:sz="4" w:space="0"/>
            </w:tcBorders>
            <w:vAlign w:val="center"/>
          </w:tcPr>
          <w:p w14:paraId="1E961FB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r>
              <w:rPr>
                <w:rFonts w:hint="eastAsia" w:ascii="Times New Roman" w:hAnsi="Times New Roman" w:cs="Times New Roman" w:eastAsiaTheme="minorEastAsia"/>
                <w:color w:val="auto"/>
                <w:w w:val="99"/>
                <w:sz w:val="21"/>
                <w:szCs w:val="21"/>
                <w:highlight w:val="none"/>
                <w:lang w:val="en-US" w:eastAsia="zh-CN"/>
              </w:rPr>
              <w:t>20</w:t>
            </w:r>
            <w:r>
              <w:rPr>
                <w:rFonts w:ascii="Times New Roman" w:hAnsi="Times New Roman" w:cs="Times New Roman" w:eastAsiaTheme="minorEastAsia"/>
                <w:color w:val="auto"/>
                <w:w w:val="99"/>
                <w:sz w:val="21"/>
                <w:szCs w:val="21"/>
                <w:highlight w:val="none"/>
              </w:rPr>
              <w:t>cm</w:t>
            </w:r>
          </w:p>
        </w:tc>
      </w:tr>
      <w:tr w14:paraId="617316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2666BAA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pH</w:t>
            </w:r>
          </w:p>
        </w:tc>
        <w:tc>
          <w:tcPr>
            <w:tcW w:w="907" w:type="pct"/>
            <w:vAlign w:val="center"/>
          </w:tcPr>
          <w:p w14:paraId="4E13EE83">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7.81</w:t>
            </w:r>
          </w:p>
        </w:tc>
        <w:tc>
          <w:tcPr>
            <w:tcW w:w="907" w:type="pct"/>
            <w:vAlign w:val="center"/>
          </w:tcPr>
          <w:p w14:paraId="6DB200DD">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7.99</w:t>
            </w:r>
          </w:p>
        </w:tc>
        <w:tc>
          <w:tcPr>
            <w:tcW w:w="915" w:type="pct"/>
            <w:vAlign w:val="center"/>
          </w:tcPr>
          <w:p w14:paraId="60D7FFFD">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7.78</w:t>
            </w:r>
          </w:p>
        </w:tc>
        <w:tc>
          <w:tcPr>
            <w:tcW w:w="909" w:type="pct"/>
            <w:vAlign w:val="center"/>
          </w:tcPr>
          <w:p w14:paraId="598487B7">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7.79</w:t>
            </w:r>
          </w:p>
        </w:tc>
      </w:tr>
      <w:tr w14:paraId="11C48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17359BC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镉（Cd）</w:t>
            </w:r>
          </w:p>
        </w:tc>
        <w:tc>
          <w:tcPr>
            <w:tcW w:w="907" w:type="pct"/>
            <w:vAlign w:val="center"/>
          </w:tcPr>
          <w:p w14:paraId="7EA71396">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0.08</w:t>
            </w:r>
          </w:p>
        </w:tc>
        <w:tc>
          <w:tcPr>
            <w:tcW w:w="907" w:type="pct"/>
            <w:vAlign w:val="center"/>
          </w:tcPr>
          <w:p w14:paraId="6AA754F4">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0.12</w:t>
            </w:r>
          </w:p>
        </w:tc>
        <w:tc>
          <w:tcPr>
            <w:tcW w:w="915" w:type="pct"/>
            <w:vAlign w:val="center"/>
          </w:tcPr>
          <w:p w14:paraId="30731166">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0.11</w:t>
            </w:r>
          </w:p>
        </w:tc>
        <w:tc>
          <w:tcPr>
            <w:tcW w:w="909" w:type="pct"/>
            <w:vAlign w:val="center"/>
          </w:tcPr>
          <w:p w14:paraId="496F3A17">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0.09</w:t>
            </w:r>
          </w:p>
        </w:tc>
      </w:tr>
      <w:tr w14:paraId="25DED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3BA4DB4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汞（Hg）</w:t>
            </w:r>
          </w:p>
        </w:tc>
        <w:tc>
          <w:tcPr>
            <w:tcW w:w="907" w:type="pct"/>
            <w:vAlign w:val="center"/>
          </w:tcPr>
          <w:p w14:paraId="3E7D0A3C">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0.023</w:t>
            </w:r>
          </w:p>
        </w:tc>
        <w:tc>
          <w:tcPr>
            <w:tcW w:w="907" w:type="pct"/>
            <w:vAlign w:val="center"/>
          </w:tcPr>
          <w:p w14:paraId="5DFE78A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0.016</w:t>
            </w:r>
          </w:p>
        </w:tc>
        <w:tc>
          <w:tcPr>
            <w:tcW w:w="915" w:type="pct"/>
            <w:vAlign w:val="center"/>
          </w:tcPr>
          <w:p w14:paraId="0667D592">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0.021</w:t>
            </w:r>
          </w:p>
        </w:tc>
        <w:tc>
          <w:tcPr>
            <w:tcW w:w="909" w:type="pct"/>
            <w:vAlign w:val="center"/>
          </w:tcPr>
          <w:p w14:paraId="58790446">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0.024</w:t>
            </w:r>
          </w:p>
        </w:tc>
      </w:tr>
      <w:tr w14:paraId="4085F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7222972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砷（As）</w:t>
            </w:r>
          </w:p>
        </w:tc>
        <w:tc>
          <w:tcPr>
            <w:tcW w:w="907" w:type="pct"/>
            <w:vAlign w:val="center"/>
          </w:tcPr>
          <w:p w14:paraId="340DACC7">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3.81</w:t>
            </w:r>
          </w:p>
        </w:tc>
        <w:tc>
          <w:tcPr>
            <w:tcW w:w="907" w:type="pct"/>
            <w:vAlign w:val="center"/>
          </w:tcPr>
          <w:p w14:paraId="0BAA20A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4.04</w:t>
            </w:r>
          </w:p>
        </w:tc>
        <w:tc>
          <w:tcPr>
            <w:tcW w:w="915" w:type="pct"/>
            <w:vAlign w:val="center"/>
          </w:tcPr>
          <w:p w14:paraId="18B2FEF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3.96</w:t>
            </w:r>
          </w:p>
        </w:tc>
        <w:tc>
          <w:tcPr>
            <w:tcW w:w="909" w:type="pct"/>
            <w:vAlign w:val="center"/>
          </w:tcPr>
          <w:p w14:paraId="25EBCC81">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3.56</w:t>
            </w:r>
          </w:p>
        </w:tc>
      </w:tr>
      <w:tr w14:paraId="155C2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6D9B841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铅（Pb）</w:t>
            </w:r>
          </w:p>
        </w:tc>
        <w:tc>
          <w:tcPr>
            <w:tcW w:w="907" w:type="pct"/>
            <w:vAlign w:val="center"/>
          </w:tcPr>
          <w:p w14:paraId="022869E3">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15</w:t>
            </w:r>
          </w:p>
        </w:tc>
        <w:tc>
          <w:tcPr>
            <w:tcW w:w="907" w:type="pct"/>
            <w:vAlign w:val="center"/>
          </w:tcPr>
          <w:p w14:paraId="6372EE06">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21</w:t>
            </w:r>
          </w:p>
        </w:tc>
        <w:tc>
          <w:tcPr>
            <w:tcW w:w="915" w:type="pct"/>
            <w:vAlign w:val="center"/>
          </w:tcPr>
          <w:p w14:paraId="4B223DBD">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24</w:t>
            </w:r>
          </w:p>
        </w:tc>
        <w:tc>
          <w:tcPr>
            <w:tcW w:w="909" w:type="pct"/>
            <w:vAlign w:val="center"/>
          </w:tcPr>
          <w:p w14:paraId="7BA7592B">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16</w:t>
            </w:r>
          </w:p>
        </w:tc>
      </w:tr>
      <w:tr w14:paraId="31EF4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0A673F2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铬（六价）</w:t>
            </w:r>
          </w:p>
        </w:tc>
        <w:tc>
          <w:tcPr>
            <w:tcW w:w="907" w:type="pct"/>
            <w:vAlign w:val="center"/>
          </w:tcPr>
          <w:p w14:paraId="35EF3B20">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未检出</w:t>
            </w:r>
          </w:p>
        </w:tc>
        <w:tc>
          <w:tcPr>
            <w:tcW w:w="907" w:type="pct"/>
            <w:vAlign w:val="center"/>
          </w:tcPr>
          <w:p w14:paraId="35BC00AF">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未检出</w:t>
            </w:r>
          </w:p>
        </w:tc>
        <w:tc>
          <w:tcPr>
            <w:tcW w:w="915" w:type="pct"/>
            <w:vAlign w:val="center"/>
          </w:tcPr>
          <w:p w14:paraId="08730D0C">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未检出</w:t>
            </w:r>
          </w:p>
        </w:tc>
        <w:tc>
          <w:tcPr>
            <w:tcW w:w="909" w:type="pct"/>
            <w:vAlign w:val="center"/>
          </w:tcPr>
          <w:p w14:paraId="40C8462C">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未检出</w:t>
            </w:r>
          </w:p>
        </w:tc>
      </w:tr>
      <w:tr w14:paraId="0FF09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443E8F1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铜（Cu）</w:t>
            </w:r>
          </w:p>
        </w:tc>
        <w:tc>
          <w:tcPr>
            <w:tcW w:w="907" w:type="pct"/>
            <w:vAlign w:val="center"/>
          </w:tcPr>
          <w:p w14:paraId="2F044078">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13</w:t>
            </w:r>
          </w:p>
        </w:tc>
        <w:tc>
          <w:tcPr>
            <w:tcW w:w="907" w:type="pct"/>
            <w:vAlign w:val="center"/>
          </w:tcPr>
          <w:p w14:paraId="512A10A3">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10</w:t>
            </w:r>
          </w:p>
        </w:tc>
        <w:tc>
          <w:tcPr>
            <w:tcW w:w="915" w:type="pct"/>
            <w:vAlign w:val="center"/>
          </w:tcPr>
          <w:p w14:paraId="55CD1D46">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14</w:t>
            </w:r>
          </w:p>
        </w:tc>
        <w:tc>
          <w:tcPr>
            <w:tcW w:w="909" w:type="pct"/>
            <w:vAlign w:val="center"/>
          </w:tcPr>
          <w:p w14:paraId="38E8DB06">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18</w:t>
            </w:r>
          </w:p>
        </w:tc>
      </w:tr>
      <w:tr w14:paraId="134D69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1BD4465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镍（Ni）</w:t>
            </w:r>
          </w:p>
        </w:tc>
        <w:tc>
          <w:tcPr>
            <w:tcW w:w="907" w:type="pct"/>
            <w:vAlign w:val="center"/>
          </w:tcPr>
          <w:p w14:paraId="399BB52D">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19</w:t>
            </w:r>
          </w:p>
        </w:tc>
        <w:tc>
          <w:tcPr>
            <w:tcW w:w="907" w:type="pct"/>
            <w:vAlign w:val="center"/>
          </w:tcPr>
          <w:p w14:paraId="258247F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21</w:t>
            </w:r>
          </w:p>
        </w:tc>
        <w:tc>
          <w:tcPr>
            <w:tcW w:w="915" w:type="pct"/>
            <w:vAlign w:val="center"/>
          </w:tcPr>
          <w:p w14:paraId="120F35DB">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24</w:t>
            </w:r>
          </w:p>
        </w:tc>
        <w:tc>
          <w:tcPr>
            <w:tcW w:w="909" w:type="pct"/>
            <w:vAlign w:val="center"/>
          </w:tcPr>
          <w:p w14:paraId="6C91E0B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22</w:t>
            </w:r>
          </w:p>
        </w:tc>
      </w:tr>
      <w:tr w14:paraId="30159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1BDCEE5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水溶性盐总量</w:t>
            </w:r>
          </w:p>
        </w:tc>
        <w:tc>
          <w:tcPr>
            <w:tcW w:w="907" w:type="pct"/>
            <w:vAlign w:val="center"/>
          </w:tcPr>
          <w:p w14:paraId="05B0522E">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700</w:t>
            </w:r>
          </w:p>
        </w:tc>
        <w:tc>
          <w:tcPr>
            <w:tcW w:w="907" w:type="pct"/>
            <w:vAlign w:val="center"/>
          </w:tcPr>
          <w:p w14:paraId="584D68A1">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600</w:t>
            </w:r>
          </w:p>
        </w:tc>
        <w:tc>
          <w:tcPr>
            <w:tcW w:w="915" w:type="pct"/>
            <w:vAlign w:val="center"/>
          </w:tcPr>
          <w:p w14:paraId="2CB3D1FD">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500</w:t>
            </w:r>
          </w:p>
        </w:tc>
        <w:tc>
          <w:tcPr>
            <w:tcW w:w="909" w:type="pct"/>
            <w:vAlign w:val="center"/>
          </w:tcPr>
          <w:p w14:paraId="098BA72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600</w:t>
            </w:r>
          </w:p>
        </w:tc>
      </w:tr>
      <w:tr w14:paraId="0115C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47112C3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石油类</w:t>
            </w:r>
          </w:p>
        </w:tc>
        <w:tc>
          <w:tcPr>
            <w:tcW w:w="907" w:type="pct"/>
            <w:vAlign w:val="center"/>
          </w:tcPr>
          <w:p w14:paraId="78DA22BA">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13</w:t>
            </w:r>
          </w:p>
        </w:tc>
        <w:tc>
          <w:tcPr>
            <w:tcW w:w="907" w:type="pct"/>
            <w:vAlign w:val="center"/>
          </w:tcPr>
          <w:p w14:paraId="6373373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11</w:t>
            </w:r>
          </w:p>
        </w:tc>
        <w:tc>
          <w:tcPr>
            <w:tcW w:w="915" w:type="pct"/>
            <w:vAlign w:val="center"/>
          </w:tcPr>
          <w:p w14:paraId="561A7713">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14</w:t>
            </w:r>
          </w:p>
        </w:tc>
        <w:tc>
          <w:tcPr>
            <w:tcW w:w="909" w:type="pct"/>
            <w:vAlign w:val="center"/>
          </w:tcPr>
          <w:p w14:paraId="5056E6EC">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w:t>
            </w:r>
          </w:p>
        </w:tc>
      </w:tr>
      <w:tr w14:paraId="305B6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3C874A5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w:t>
            </w:r>
          </w:p>
        </w:tc>
        <w:tc>
          <w:tcPr>
            <w:tcW w:w="907" w:type="pct"/>
            <w:vAlign w:val="center"/>
          </w:tcPr>
          <w:p w14:paraId="2D3AAD4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3F16C71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67E0F46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3C0D09F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07814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3E39C5E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甲苯</w:t>
            </w:r>
          </w:p>
        </w:tc>
        <w:tc>
          <w:tcPr>
            <w:tcW w:w="907" w:type="pct"/>
            <w:vAlign w:val="center"/>
          </w:tcPr>
          <w:p w14:paraId="496A2C4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09314ED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43AAB75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0749778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7ADBB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065CF0F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乙苯</w:t>
            </w:r>
          </w:p>
        </w:tc>
        <w:tc>
          <w:tcPr>
            <w:tcW w:w="907" w:type="pct"/>
            <w:vAlign w:val="center"/>
          </w:tcPr>
          <w:p w14:paraId="3694527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732CCEA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1900258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35AC452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796D00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5A74AB6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氯苯</w:t>
            </w:r>
          </w:p>
        </w:tc>
        <w:tc>
          <w:tcPr>
            <w:tcW w:w="907" w:type="pct"/>
            <w:vAlign w:val="center"/>
          </w:tcPr>
          <w:p w14:paraId="48E0102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56D815B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3AC6B34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73D8666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56A98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65C9252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苯乙烯</w:t>
            </w:r>
          </w:p>
        </w:tc>
        <w:tc>
          <w:tcPr>
            <w:tcW w:w="907" w:type="pct"/>
            <w:vAlign w:val="center"/>
          </w:tcPr>
          <w:p w14:paraId="70A2B3F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2CDED51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7BA0817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57942E2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656FC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3FF93AF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间二甲苯+对二甲苯</w:t>
            </w:r>
          </w:p>
        </w:tc>
        <w:tc>
          <w:tcPr>
            <w:tcW w:w="907" w:type="pct"/>
            <w:vAlign w:val="center"/>
          </w:tcPr>
          <w:p w14:paraId="5756D70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398469E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27DFC9D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4F50024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2DF9F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0CD3E24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邻二甲苯</w:t>
            </w:r>
          </w:p>
        </w:tc>
        <w:tc>
          <w:tcPr>
            <w:tcW w:w="907" w:type="pct"/>
            <w:vAlign w:val="center"/>
          </w:tcPr>
          <w:p w14:paraId="379CD42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16848B0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75D66CB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3E15E59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28EDA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690D658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氯乙烯</w:t>
            </w:r>
          </w:p>
        </w:tc>
        <w:tc>
          <w:tcPr>
            <w:tcW w:w="907" w:type="pct"/>
            <w:vAlign w:val="center"/>
          </w:tcPr>
          <w:p w14:paraId="41FE1DF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4CCFEEE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600D2F3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74DA4C1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39982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3F343F9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1,2-二氯苯</w:t>
            </w:r>
          </w:p>
        </w:tc>
        <w:tc>
          <w:tcPr>
            <w:tcW w:w="907" w:type="pct"/>
            <w:vAlign w:val="center"/>
          </w:tcPr>
          <w:p w14:paraId="5278A14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78D012A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6169A10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2C52B70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51B95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1D98CAE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1,4-二氯苯</w:t>
            </w:r>
          </w:p>
        </w:tc>
        <w:tc>
          <w:tcPr>
            <w:tcW w:w="907" w:type="pct"/>
            <w:vAlign w:val="center"/>
          </w:tcPr>
          <w:p w14:paraId="09AC52D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32F1C21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7FAECB1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6FB2CF3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38E8C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4F9C17E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四氯化碳</w:t>
            </w:r>
          </w:p>
        </w:tc>
        <w:tc>
          <w:tcPr>
            <w:tcW w:w="907" w:type="pct"/>
            <w:vAlign w:val="center"/>
          </w:tcPr>
          <w:p w14:paraId="324DE51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715B6E7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5BA9986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1448AB3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180B29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549E823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氯仿</w:t>
            </w:r>
          </w:p>
        </w:tc>
        <w:tc>
          <w:tcPr>
            <w:tcW w:w="907" w:type="pct"/>
            <w:vAlign w:val="center"/>
          </w:tcPr>
          <w:p w14:paraId="5FF672B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0C9B9E3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49106AC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15DC6DB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56B59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7F463AD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氯甲烷</w:t>
            </w:r>
          </w:p>
        </w:tc>
        <w:tc>
          <w:tcPr>
            <w:tcW w:w="907" w:type="pct"/>
            <w:vAlign w:val="center"/>
          </w:tcPr>
          <w:p w14:paraId="444D7AB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6B6A9D1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7418916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6D8F22E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7B54D5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10680A9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1,1-二氯乙烷</w:t>
            </w:r>
          </w:p>
        </w:tc>
        <w:tc>
          <w:tcPr>
            <w:tcW w:w="907" w:type="pct"/>
            <w:vAlign w:val="center"/>
          </w:tcPr>
          <w:p w14:paraId="026B53E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6A7F2B0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2BA2580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0E18D78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1C964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0097909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1,2-二氯乙烷</w:t>
            </w:r>
          </w:p>
        </w:tc>
        <w:tc>
          <w:tcPr>
            <w:tcW w:w="907" w:type="pct"/>
            <w:vAlign w:val="center"/>
          </w:tcPr>
          <w:p w14:paraId="5193CDA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2E45216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2D1EAE3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0D0ECA0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65A77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4B442EF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1,1-二氯乙烯</w:t>
            </w:r>
          </w:p>
        </w:tc>
        <w:tc>
          <w:tcPr>
            <w:tcW w:w="907" w:type="pct"/>
            <w:vAlign w:val="center"/>
          </w:tcPr>
          <w:p w14:paraId="11C9A24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7F643A2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43174C9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6FE1609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0606D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638E215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顺-1,2-二氯乙烯</w:t>
            </w:r>
          </w:p>
        </w:tc>
        <w:tc>
          <w:tcPr>
            <w:tcW w:w="907" w:type="pct"/>
            <w:vAlign w:val="center"/>
          </w:tcPr>
          <w:p w14:paraId="5EA2992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1ED9E84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28B18CD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3E75F1A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4F3AA2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4E6AD45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反-1,2-二氯乙烯</w:t>
            </w:r>
          </w:p>
        </w:tc>
        <w:tc>
          <w:tcPr>
            <w:tcW w:w="907" w:type="pct"/>
            <w:vAlign w:val="center"/>
          </w:tcPr>
          <w:p w14:paraId="73618F8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00CB500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12C9383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4C7E678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4F49E2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1773015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二氯甲烷</w:t>
            </w:r>
          </w:p>
        </w:tc>
        <w:tc>
          <w:tcPr>
            <w:tcW w:w="907" w:type="pct"/>
            <w:vAlign w:val="center"/>
          </w:tcPr>
          <w:p w14:paraId="3206DAE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4C09365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1875D68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7BB40B1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3A34C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60735DF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1,2-二氯丙烷</w:t>
            </w:r>
          </w:p>
        </w:tc>
        <w:tc>
          <w:tcPr>
            <w:tcW w:w="907" w:type="pct"/>
            <w:vAlign w:val="center"/>
          </w:tcPr>
          <w:p w14:paraId="44E82C1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19EF342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08B0D44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02CC50E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6B536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15C1F46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1,1,1,2-四氯乙烷</w:t>
            </w:r>
          </w:p>
        </w:tc>
        <w:tc>
          <w:tcPr>
            <w:tcW w:w="907" w:type="pct"/>
            <w:vAlign w:val="center"/>
          </w:tcPr>
          <w:p w14:paraId="4CCA0B3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7E1D9AE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50CD03F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641DBF1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53557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78D70A6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1,1,2,2-四氯乙烷</w:t>
            </w:r>
          </w:p>
        </w:tc>
        <w:tc>
          <w:tcPr>
            <w:tcW w:w="907" w:type="pct"/>
            <w:vAlign w:val="center"/>
          </w:tcPr>
          <w:p w14:paraId="6CB7FD0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69737C2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0E6F4A2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5E7B728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50E0F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0FC40FF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四氯乙烯</w:t>
            </w:r>
          </w:p>
        </w:tc>
        <w:tc>
          <w:tcPr>
            <w:tcW w:w="907" w:type="pct"/>
            <w:vAlign w:val="center"/>
          </w:tcPr>
          <w:p w14:paraId="6FA5B72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436FF1A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3896DDE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0ECBA3E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31957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6096D60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1,1,1-三氯乙烷</w:t>
            </w:r>
          </w:p>
        </w:tc>
        <w:tc>
          <w:tcPr>
            <w:tcW w:w="907" w:type="pct"/>
            <w:vAlign w:val="center"/>
          </w:tcPr>
          <w:p w14:paraId="159D41A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4CEB7FB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018FCBE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048F164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0B413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4E38C4C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1,1,2-三氯乙烷</w:t>
            </w:r>
          </w:p>
        </w:tc>
        <w:tc>
          <w:tcPr>
            <w:tcW w:w="907" w:type="pct"/>
            <w:vAlign w:val="center"/>
          </w:tcPr>
          <w:p w14:paraId="72E182C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50641B1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2B6F02F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5CD1828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5B68C3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6020643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三氯乙烯</w:t>
            </w:r>
          </w:p>
        </w:tc>
        <w:tc>
          <w:tcPr>
            <w:tcW w:w="907" w:type="pct"/>
            <w:vAlign w:val="center"/>
          </w:tcPr>
          <w:p w14:paraId="55B10E7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04848A1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6BB2DAF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47880A0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6A761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5D10CDD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1,2,3-三氯丙烷</w:t>
            </w:r>
          </w:p>
        </w:tc>
        <w:tc>
          <w:tcPr>
            <w:tcW w:w="907" w:type="pct"/>
            <w:vAlign w:val="center"/>
          </w:tcPr>
          <w:p w14:paraId="68B5FA2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2849F7A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38AF24A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321CEF3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78124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5093AB2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硝基苯</w:t>
            </w:r>
          </w:p>
        </w:tc>
        <w:tc>
          <w:tcPr>
            <w:tcW w:w="907" w:type="pct"/>
            <w:vAlign w:val="center"/>
          </w:tcPr>
          <w:p w14:paraId="4C19729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074E2E5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5D54F33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1F03212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676378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7166D57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苯胺</w:t>
            </w:r>
          </w:p>
        </w:tc>
        <w:tc>
          <w:tcPr>
            <w:tcW w:w="907" w:type="pct"/>
            <w:vAlign w:val="center"/>
          </w:tcPr>
          <w:p w14:paraId="1117E8F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5D50D7C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017369F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43B47C0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42436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6E183C3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2-氯酚</w:t>
            </w:r>
          </w:p>
        </w:tc>
        <w:tc>
          <w:tcPr>
            <w:tcW w:w="907" w:type="pct"/>
            <w:vAlign w:val="center"/>
          </w:tcPr>
          <w:p w14:paraId="32C9ED0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07962B0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26FDD2C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728C2CA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3FC94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2FD136D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䓛</w:t>
            </w:r>
          </w:p>
        </w:tc>
        <w:tc>
          <w:tcPr>
            <w:tcW w:w="907" w:type="pct"/>
            <w:vAlign w:val="center"/>
          </w:tcPr>
          <w:p w14:paraId="0832BC6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1D72F93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5ECF6A2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562741D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0014CA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26B489B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萘</w:t>
            </w:r>
          </w:p>
        </w:tc>
        <w:tc>
          <w:tcPr>
            <w:tcW w:w="907" w:type="pct"/>
            <w:vAlign w:val="center"/>
          </w:tcPr>
          <w:p w14:paraId="7714E13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7711C93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0061E82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4714D70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0FBBDF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38BB6DE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苯并[a]蒽</w:t>
            </w:r>
          </w:p>
        </w:tc>
        <w:tc>
          <w:tcPr>
            <w:tcW w:w="907" w:type="pct"/>
            <w:vAlign w:val="center"/>
          </w:tcPr>
          <w:p w14:paraId="097305C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1CB1EE9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711A4F3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195E250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487EE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35829A9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苯并[b]荧蒽</w:t>
            </w:r>
          </w:p>
        </w:tc>
        <w:tc>
          <w:tcPr>
            <w:tcW w:w="907" w:type="pct"/>
            <w:vAlign w:val="center"/>
          </w:tcPr>
          <w:p w14:paraId="6E72742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37DE73A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6C06A65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5628B3B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10A93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477EE99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苯并[k]荧蒽</w:t>
            </w:r>
          </w:p>
        </w:tc>
        <w:tc>
          <w:tcPr>
            <w:tcW w:w="907" w:type="pct"/>
            <w:vAlign w:val="center"/>
          </w:tcPr>
          <w:p w14:paraId="6AD4745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7380EF3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3465421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2BA4EF4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2F257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47F3B75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苯并[a]芘</w:t>
            </w:r>
          </w:p>
        </w:tc>
        <w:tc>
          <w:tcPr>
            <w:tcW w:w="907" w:type="pct"/>
            <w:vAlign w:val="center"/>
          </w:tcPr>
          <w:p w14:paraId="6BCDE7B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553F202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71C1A63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2D12D70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1508AE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4C80BC1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茚并[1,2,3-cd]芘</w:t>
            </w:r>
          </w:p>
        </w:tc>
        <w:tc>
          <w:tcPr>
            <w:tcW w:w="907" w:type="pct"/>
            <w:vAlign w:val="center"/>
          </w:tcPr>
          <w:p w14:paraId="01BD06C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4BBA48F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448D7CC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02F7C6D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0FB99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0915D89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二苯并[a, h]蒽</w:t>
            </w:r>
          </w:p>
        </w:tc>
        <w:tc>
          <w:tcPr>
            <w:tcW w:w="907" w:type="pct"/>
            <w:vAlign w:val="center"/>
          </w:tcPr>
          <w:p w14:paraId="2622D22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20E5E07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2DE1001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2BCD111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6BEE8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5E1FDB6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10</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40</w:t>
            </w:r>
            <w:r>
              <w:rPr>
                <w:rFonts w:ascii="Times New Roman" w:hAnsi="Times New Roman" w:cs="Times New Roman" w:eastAsiaTheme="minorEastAsia"/>
                <w:color w:val="auto"/>
                <w:w w:val="99"/>
                <w:sz w:val="21"/>
                <w:szCs w:val="21"/>
                <w:highlight w:val="none"/>
              </w:rPr>
              <w:t>）</w:t>
            </w:r>
          </w:p>
        </w:tc>
        <w:tc>
          <w:tcPr>
            <w:tcW w:w="907" w:type="pct"/>
            <w:vAlign w:val="center"/>
          </w:tcPr>
          <w:p w14:paraId="0730021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57CDDF4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0FFAE72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2783A16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3E5B9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4" w:type="pct"/>
          <w:trHeight w:val="340" w:hRule="atLeast"/>
          <w:jc w:val="center"/>
        </w:trPr>
        <w:tc>
          <w:tcPr>
            <w:tcW w:w="1355" w:type="pct"/>
            <w:vAlign w:val="center"/>
          </w:tcPr>
          <w:p w14:paraId="39ADC29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6</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9</w:t>
            </w:r>
            <w:r>
              <w:rPr>
                <w:rFonts w:ascii="Times New Roman" w:hAnsi="Times New Roman" w:cs="Times New Roman" w:eastAsiaTheme="minorEastAsia"/>
                <w:color w:val="auto"/>
                <w:w w:val="99"/>
                <w:sz w:val="21"/>
                <w:szCs w:val="21"/>
                <w:highlight w:val="none"/>
              </w:rPr>
              <w:t>）</w:t>
            </w:r>
          </w:p>
        </w:tc>
        <w:tc>
          <w:tcPr>
            <w:tcW w:w="907" w:type="pct"/>
            <w:vAlign w:val="center"/>
          </w:tcPr>
          <w:p w14:paraId="5A0EFBE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7" w:type="pct"/>
            <w:vAlign w:val="center"/>
          </w:tcPr>
          <w:p w14:paraId="0BE215E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15" w:type="pct"/>
            <w:vAlign w:val="center"/>
          </w:tcPr>
          <w:p w14:paraId="7B6FCC2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909" w:type="pct"/>
            <w:vAlign w:val="center"/>
          </w:tcPr>
          <w:p w14:paraId="0AF7268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bl>
    <w:p w14:paraId="5B8E06A0">
      <w:pPr>
        <w:pStyle w:val="103"/>
        <w:rPr>
          <w:rFonts w:ascii="Times New Roman" w:hAnsi="Times New Roman" w:eastAsiaTheme="minorEastAsia"/>
          <w:b/>
          <w:color w:val="auto"/>
          <w:w w:val="99"/>
          <w:kern w:val="21"/>
          <w:highlight w:val="none"/>
        </w:rPr>
      </w:pPr>
    </w:p>
    <w:p w14:paraId="72A104F5">
      <w:pPr>
        <w:pStyle w:val="103"/>
        <w:rPr>
          <w:color w:val="auto"/>
          <w:highlight w:val="none"/>
        </w:rPr>
      </w:pPr>
    </w:p>
    <w:p w14:paraId="26482D3B">
      <w:pPr>
        <w:pStyle w:val="153"/>
        <w:widowControl w:val="0"/>
        <w:spacing w:line="440" w:lineRule="exact"/>
        <w:ind w:firstLine="474"/>
        <w:rPr>
          <w:rFonts w:ascii="Times New Roman" w:hAnsi="Times New Roman" w:eastAsiaTheme="minorEastAsia"/>
          <w:b/>
          <w:color w:val="auto"/>
          <w:w w:val="99"/>
          <w:kern w:val="21"/>
          <w:highlight w:val="none"/>
        </w:rPr>
      </w:pPr>
      <w:r>
        <w:rPr>
          <w:rFonts w:ascii="Times New Roman" w:hAnsi="Times New Roman" w:eastAsiaTheme="minorEastAsia"/>
          <w:b/>
          <w:color w:val="auto"/>
          <w:w w:val="99"/>
          <w:kern w:val="21"/>
          <w:highlight w:val="none"/>
          <w:lang w:bidi="zh-CN"/>
        </w:rPr>
        <w:t>表</w:t>
      </w:r>
      <w:r>
        <w:rPr>
          <w:rFonts w:ascii="Times New Roman" w:hAnsi="Times New Roman" w:eastAsiaTheme="minorEastAsia"/>
          <w:b/>
          <w:color w:val="auto"/>
          <w:w w:val="99"/>
          <w:kern w:val="2"/>
          <w:szCs w:val="20"/>
          <w:highlight w:val="none"/>
        </w:rPr>
        <w:t>4.3-</w:t>
      </w:r>
      <w:r>
        <w:rPr>
          <w:rFonts w:hint="eastAsia" w:ascii="Times New Roman" w:hAnsi="Times New Roman" w:eastAsiaTheme="minorEastAsia"/>
          <w:b/>
          <w:color w:val="auto"/>
          <w:w w:val="99"/>
          <w:kern w:val="2"/>
          <w:szCs w:val="20"/>
          <w:highlight w:val="none"/>
        </w:rPr>
        <w:t>2</w:t>
      </w:r>
      <w:r>
        <w:rPr>
          <w:rFonts w:ascii="Times New Roman" w:hAnsi="Times New Roman" w:eastAsiaTheme="minorEastAsia"/>
          <w:b/>
          <w:color w:val="auto"/>
          <w:w w:val="99"/>
          <w:kern w:val="2"/>
          <w:szCs w:val="20"/>
          <w:highlight w:val="none"/>
        </w:rPr>
        <w:t>2</w:t>
      </w:r>
      <w:r>
        <w:rPr>
          <w:rFonts w:ascii="Times New Roman" w:hAnsi="Times New Roman" w:eastAsiaTheme="minorEastAsia"/>
          <w:b/>
          <w:color w:val="auto"/>
          <w:w w:val="99"/>
          <w:kern w:val="21"/>
          <w:highlight w:val="none"/>
          <w:lang w:bidi="zh-CN"/>
        </w:rPr>
        <w:t xml:space="preserve">    </w:t>
      </w:r>
      <w:r>
        <w:rPr>
          <w:rFonts w:ascii="Times New Roman" w:hAnsi="Times New Roman" w:eastAsiaTheme="minorEastAsia"/>
          <w:b/>
          <w:color w:val="auto"/>
          <w:w w:val="99"/>
          <w:kern w:val="21"/>
          <w:highlight w:val="none"/>
        </w:rPr>
        <w:t>农用地土壤环境质量现状监测结果    单位：mg/kg（pH无量纲）</w:t>
      </w:r>
    </w:p>
    <w:tbl>
      <w:tblPr>
        <w:tblStyle w:val="81"/>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380"/>
        <w:gridCol w:w="3308"/>
        <w:gridCol w:w="3592"/>
      </w:tblGrid>
      <w:tr w14:paraId="459FC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Merge w:val="restart"/>
            <w:vAlign w:val="center"/>
          </w:tcPr>
          <w:p w14:paraId="39FBFE9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监测项目</w:t>
            </w:r>
          </w:p>
        </w:tc>
        <w:tc>
          <w:tcPr>
            <w:tcW w:w="3717" w:type="pct"/>
            <w:gridSpan w:val="2"/>
            <w:tcBorders>
              <w:right w:val="single" w:color="auto" w:sz="4" w:space="0"/>
            </w:tcBorders>
            <w:vAlign w:val="center"/>
          </w:tcPr>
          <w:p w14:paraId="1362854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监测点位及监测结果</w:t>
            </w:r>
          </w:p>
        </w:tc>
      </w:tr>
      <w:tr w14:paraId="3B81D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Merge w:val="continue"/>
            <w:vAlign w:val="center"/>
          </w:tcPr>
          <w:p w14:paraId="1D513F57">
            <w:pPr>
              <w:spacing w:line="360" w:lineRule="exact"/>
              <w:jc w:val="center"/>
              <w:rPr>
                <w:rFonts w:ascii="Times New Roman" w:hAnsi="Times New Roman" w:cs="Times New Roman" w:eastAsiaTheme="minorEastAsia"/>
                <w:color w:val="auto"/>
                <w:w w:val="99"/>
                <w:sz w:val="21"/>
                <w:szCs w:val="21"/>
                <w:highlight w:val="none"/>
              </w:rPr>
            </w:pPr>
          </w:p>
        </w:tc>
        <w:tc>
          <w:tcPr>
            <w:tcW w:w="1782" w:type="pct"/>
            <w:vAlign w:val="center"/>
          </w:tcPr>
          <w:p w14:paraId="50F79E48">
            <w:pPr>
              <w:pStyle w:val="27"/>
              <w:jc w:val="center"/>
              <w:rPr>
                <w:rFonts w:ascii="Times New Roman" w:hAnsi="Times New Roman" w:eastAsiaTheme="minorEastAsia"/>
                <w:color w:val="auto"/>
                <w:w w:val="99"/>
                <w:sz w:val="21"/>
                <w:szCs w:val="21"/>
                <w:highlight w:val="none"/>
              </w:rPr>
            </w:pPr>
            <w:r>
              <w:rPr>
                <w:rFonts w:hint="eastAsia" w:ascii="Times New Roman" w:hAnsi="Times New Roman" w:eastAsiaTheme="minorEastAsia"/>
                <w:color w:val="auto"/>
                <w:w w:val="99"/>
                <w:sz w:val="21"/>
                <w:szCs w:val="21"/>
                <w:highlight w:val="none"/>
              </w:rPr>
              <w:t>拟建徐深27-H1井井场占地外南侧200m</w:t>
            </w:r>
          </w:p>
        </w:tc>
        <w:tc>
          <w:tcPr>
            <w:tcW w:w="1935" w:type="pct"/>
            <w:tcBorders>
              <w:right w:val="single" w:color="auto" w:sz="4" w:space="0"/>
            </w:tcBorders>
            <w:vAlign w:val="center"/>
          </w:tcPr>
          <w:p w14:paraId="46801A68">
            <w:pPr>
              <w:pStyle w:val="27"/>
              <w:jc w:val="center"/>
              <w:rPr>
                <w:rFonts w:ascii="Times New Roman" w:hAnsi="Times New Roman" w:eastAsiaTheme="minorEastAsia"/>
                <w:color w:val="auto"/>
                <w:w w:val="99"/>
                <w:sz w:val="21"/>
                <w:szCs w:val="21"/>
                <w:highlight w:val="none"/>
              </w:rPr>
            </w:pPr>
            <w:r>
              <w:rPr>
                <w:rFonts w:hint="eastAsia" w:ascii="Times New Roman" w:hAnsi="Times New Roman" w:eastAsiaTheme="minorEastAsia"/>
                <w:color w:val="auto"/>
                <w:w w:val="99"/>
                <w:sz w:val="21"/>
                <w:szCs w:val="21"/>
                <w:highlight w:val="none"/>
              </w:rPr>
              <w:t>拟建徐深27-H1井井场占地外西侧200m</w:t>
            </w:r>
          </w:p>
        </w:tc>
      </w:tr>
      <w:tr w14:paraId="230C96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Merge w:val="continue"/>
            <w:vAlign w:val="center"/>
          </w:tcPr>
          <w:p w14:paraId="7E3B3F24">
            <w:pPr>
              <w:spacing w:line="360" w:lineRule="exact"/>
              <w:jc w:val="center"/>
              <w:rPr>
                <w:rFonts w:ascii="Times New Roman" w:hAnsi="Times New Roman" w:cs="Times New Roman" w:eastAsiaTheme="minorEastAsia"/>
                <w:color w:val="auto"/>
                <w:w w:val="99"/>
                <w:sz w:val="21"/>
                <w:szCs w:val="21"/>
                <w:highlight w:val="none"/>
              </w:rPr>
            </w:pPr>
          </w:p>
        </w:tc>
        <w:tc>
          <w:tcPr>
            <w:tcW w:w="1782" w:type="pct"/>
            <w:vAlign w:val="center"/>
          </w:tcPr>
          <w:p w14:paraId="41F241F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0-20cm</w:t>
            </w:r>
          </w:p>
        </w:tc>
        <w:tc>
          <w:tcPr>
            <w:tcW w:w="1935" w:type="pct"/>
            <w:vAlign w:val="center"/>
          </w:tcPr>
          <w:p w14:paraId="05DA4EC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0-20cm</w:t>
            </w:r>
          </w:p>
        </w:tc>
      </w:tr>
      <w:tr w14:paraId="4A35C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Align w:val="center"/>
          </w:tcPr>
          <w:p w14:paraId="34F4FDD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pH</w:t>
            </w:r>
          </w:p>
        </w:tc>
        <w:tc>
          <w:tcPr>
            <w:tcW w:w="1782" w:type="pct"/>
            <w:vAlign w:val="center"/>
          </w:tcPr>
          <w:p w14:paraId="35BBEEB0">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8.08</w:t>
            </w:r>
          </w:p>
        </w:tc>
        <w:tc>
          <w:tcPr>
            <w:tcW w:w="1935" w:type="pct"/>
            <w:vAlign w:val="center"/>
          </w:tcPr>
          <w:p w14:paraId="05C0A2E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7.68</w:t>
            </w:r>
          </w:p>
        </w:tc>
      </w:tr>
      <w:tr w14:paraId="0D61E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Align w:val="center"/>
          </w:tcPr>
          <w:p w14:paraId="0D0E55E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镉</w:t>
            </w:r>
          </w:p>
        </w:tc>
        <w:tc>
          <w:tcPr>
            <w:tcW w:w="1782" w:type="pct"/>
            <w:vAlign w:val="center"/>
          </w:tcPr>
          <w:p w14:paraId="7A033F9C">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0.10</w:t>
            </w:r>
          </w:p>
        </w:tc>
        <w:tc>
          <w:tcPr>
            <w:tcW w:w="1935" w:type="pct"/>
            <w:vAlign w:val="center"/>
          </w:tcPr>
          <w:p w14:paraId="69AC2DB1">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0.12</w:t>
            </w:r>
          </w:p>
        </w:tc>
      </w:tr>
      <w:tr w14:paraId="0655A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Align w:val="center"/>
          </w:tcPr>
          <w:p w14:paraId="7EEAA7F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汞</w:t>
            </w:r>
          </w:p>
        </w:tc>
        <w:tc>
          <w:tcPr>
            <w:tcW w:w="1782" w:type="pct"/>
            <w:vAlign w:val="center"/>
          </w:tcPr>
          <w:p w14:paraId="0B3B3CDA">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0.019</w:t>
            </w:r>
          </w:p>
        </w:tc>
        <w:tc>
          <w:tcPr>
            <w:tcW w:w="1935" w:type="pct"/>
            <w:vAlign w:val="center"/>
          </w:tcPr>
          <w:p w14:paraId="7A9A23A0">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0.025</w:t>
            </w:r>
          </w:p>
        </w:tc>
      </w:tr>
      <w:tr w14:paraId="2CC735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Align w:val="center"/>
          </w:tcPr>
          <w:p w14:paraId="1EDA283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砷</w:t>
            </w:r>
          </w:p>
        </w:tc>
        <w:tc>
          <w:tcPr>
            <w:tcW w:w="1782" w:type="pct"/>
            <w:vAlign w:val="center"/>
          </w:tcPr>
          <w:p w14:paraId="3244FDE7">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3.57</w:t>
            </w:r>
          </w:p>
        </w:tc>
        <w:tc>
          <w:tcPr>
            <w:tcW w:w="1935" w:type="pct"/>
            <w:vAlign w:val="center"/>
          </w:tcPr>
          <w:p w14:paraId="1BCD4470">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3.66</w:t>
            </w:r>
          </w:p>
        </w:tc>
      </w:tr>
      <w:tr w14:paraId="0C6FF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Align w:val="center"/>
          </w:tcPr>
          <w:p w14:paraId="714A648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铅</w:t>
            </w:r>
          </w:p>
        </w:tc>
        <w:tc>
          <w:tcPr>
            <w:tcW w:w="1782" w:type="pct"/>
            <w:vAlign w:val="center"/>
          </w:tcPr>
          <w:p w14:paraId="4DFF42BE">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15</w:t>
            </w:r>
          </w:p>
        </w:tc>
        <w:tc>
          <w:tcPr>
            <w:tcW w:w="1935" w:type="pct"/>
            <w:vAlign w:val="center"/>
          </w:tcPr>
          <w:p w14:paraId="54B059C0">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19</w:t>
            </w:r>
          </w:p>
        </w:tc>
      </w:tr>
      <w:tr w14:paraId="3CF05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Align w:val="center"/>
          </w:tcPr>
          <w:p w14:paraId="3E32349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铬</w:t>
            </w:r>
          </w:p>
        </w:tc>
        <w:tc>
          <w:tcPr>
            <w:tcW w:w="1782" w:type="pct"/>
            <w:vAlign w:val="center"/>
          </w:tcPr>
          <w:p w14:paraId="271846CB">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48</w:t>
            </w:r>
          </w:p>
        </w:tc>
        <w:tc>
          <w:tcPr>
            <w:tcW w:w="1935" w:type="pct"/>
            <w:vAlign w:val="center"/>
          </w:tcPr>
          <w:p w14:paraId="6960AD97">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53</w:t>
            </w:r>
          </w:p>
        </w:tc>
      </w:tr>
      <w:tr w14:paraId="75C37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Align w:val="center"/>
          </w:tcPr>
          <w:p w14:paraId="6C40346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铜</w:t>
            </w:r>
          </w:p>
        </w:tc>
        <w:tc>
          <w:tcPr>
            <w:tcW w:w="1782" w:type="pct"/>
            <w:vAlign w:val="center"/>
          </w:tcPr>
          <w:p w14:paraId="7626DD4E">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19</w:t>
            </w:r>
          </w:p>
        </w:tc>
        <w:tc>
          <w:tcPr>
            <w:tcW w:w="1935" w:type="pct"/>
            <w:vAlign w:val="center"/>
          </w:tcPr>
          <w:p w14:paraId="4C04F8A4">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11</w:t>
            </w:r>
          </w:p>
        </w:tc>
      </w:tr>
      <w:tr w14:paraId="0966D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0" w:hRule="atLeast"/>
          <w:jc w:val="center"/>
        </w:trPr>
        <w:tc>
          <w:tcPr>
            <w:tcW w:w="1282" w:type="pct"/>
            <w:vAlign w:val="center"/>
          </w:tcPr>
          <w:p w14:paraId="66A3456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镍</w:t>
            </w:r>
          </w:p>
        </w:tc>
        <w:tc>
          <w:tcPr>
            <w:tcW w:w="1782" w:type="pct"/>
            <w:vAlign w:val="center"/>
          </w:tcPr>
          <w:p w14:paraId="20AA92E8">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22</w:t>
            </w:r>
          </w:p>
        </w:tc>
        <w:tc>
          <w:tcPr>
            <w:tcW w:w="1935" w:type="pct"/>
            <w:vAlign w:val="center"/>
          </w:tcPr>
          <w:p w14:paraId="4AD285E1">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24</w:t>
            </w:r>
          </w:p>
        </w:tc>
      </w:tr>
      <w:tr w14:paraId="3B5CED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Align w:val="center"/>
          </w:tcPr>
          <w:p w14:paraId="49C7682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锌</w:t>
            </w:r>
          </w:p>
        </w:tc>
        <w:tc>
          <w:tcPr>
            <w:tcW w:w="1782" w:type="pct"/>
            <w:vAlign w:val="center"/>
          </w:tcPr>
          <w:p w14:paraId="01F48F8C">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61</w:t>
            </w:r>
          </w:p>
        </w:tc>
        <w:tc>
          <w:tcPr>
            <w:tcW w:w="1935" w:type="pct"/>
            <w:vAlign w:val="center"/>
          </w:tcPr>
          <w:p w14:paraId="1E339161">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57</w:t>
            </w:r>
          </w:p>
        </w:tc>
      </w:tr>
      <w:tr w14:paraId="738BB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Align w:val="center"/>
          </w:tcPr>
          <w:p w14:paraId="770EB3B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10</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40</w:t>
            </w:r>
            <w:r>
              <w:rPr>
                <w:rFonts w:ascii="Times New Roman" w:hAnsi="Times New Roman" w:cs="Times New Roman" w:eastAsiaTheme="minorEastAsia"/>
                <w:color w:val="auto"/>
                <w:w w:val="99"/>
                <w:sz w:val="21"/>
                <w:szCs w:val="21"/>
                <w:highlight w:val="none"/>
              </w:rPr>
              <w:t>）</w:t>
            </w:r>
          </w:p>
        </w:tc>
        <w:tc>
          <w:tcPr>
            <w:tcW w:w="1782" w:type="pct"/>
            <w:vAlign w:val="center"/>
          </w:tcPr>
          <w:p w14:paraId="0A104F64">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未检出</w:t>
            </w:r>
          </w:p>
        </w:tc>
        <w:tc>
          <w:tcPr>
            <w:tcW w:w="1935" w:type="pct"/>
            <w:vAlign w:val="center"/>
          </w:tcPr>
          <w:p w14:paraId="2EC26AE6">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未检出</w:t>
            </w:r>
          </w:p>
        </w:tc>
      </w:tr>
      <w:tr w14:paraId="574F59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Align w:val="center"/>
          </w:tcPr>
          <w:p w14:paraId="52CCE2C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6</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9</w:t>
            </w:r>
            <w:r>
              <w:rPr>
                <w:rFonts w:ascii="Times New Roman" w:hAnsi="Times New Roman" w:cs="Times New Roman" w:eastAsiaTheme="minorEastAsia"/>
                <w:color w:val="auto"/>
                <w:w w:val="99"/>
                <w:sz w:val="21"/>
                <w:szCs w:val="21"/>
                <w:highlight w:val="none"/>
              </w:rPr>
              <w:t>）</w:t>
            </w:r>
          </w:p>
        </w:tc>
        <w:tc>
          <w:tcPr>
            <w:tcW w:w="1782" w:type="pct"/>
            <w:vAlign w:val="center"/>
          </w:tcPr>
          <w:p w14:paraId="1925EF9A">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未检出</w:t>
            </w:r>
          </w:p>
        </w:tc>
        <w:tc>
          <w:tcPr>
            <w:tcW w:w="1935" w:type="pct"/>
            <w:vAlign w:val="center"/>
          </w:tcPr>
          <w:p w14:paraId="5F65969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未检出</w:t>
            </w:r>
          </w:p>
        </w:tc>
      </w:tr>
      <w:tr w14:paraId="40DBE6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Align w:val="center"/>
          </w:tcPr>
          <w:p w14:paraId="1A296F4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水溶性盐总量</w:t>
            </w:r>
          </w:p>
        </w:tc>
        <w:tc>
          <w:tcPr>
            <w:tcW w:w="1782" w:type="pct"/>
            <w:vAlign w:val="center"/>
          </w:tcPr>
          <w:p w14:paraId="429DA55E">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700</w:t>
            </w:r>
          </w:p>
        </w:tc>
        <w:tc>
          <w:tcPr>
            <w:tcW w:w="1935" w:type="pct"/>
            <w:vAlign w:val="center"/>
          </w:tcPr>
          <w:p w14:paraId="34DDED0D">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600</w:t>
            </w:r>
          </w:p>
        </w:tc>
      </w:tr>
      <w:tr w14:paraId="71451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Align w:val="center"/>
          </w:tcPr>
          <w:p w14:paraId="4F3094E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石油类</w:t>
            </w:r>
          </w:p>
        </w:tc>
        <w:tc>
          <w:tcPr>
            <w:tcW w:w="1782" w:type="pct"/>
            <w:vAlign w:val="center"/>
          </w:tcPr>
          <w:p w14:paraId="15CDB931">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11</w:t>
            </w:r>
          </w:p>
        </w:tc>
        <w:tc>
          <w:tcPr>
            <w:tcW w:w="1935" w:type="pct"/>
            <w:vAlign w:val="center"/>
          </w:tcPr>
          <w:p w14:paraId="10463AA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w:t>
            </w:r>
          </w:p>
        </w:tc>
      </w:tr>
    </w:tbl>
    <w:p w14:paraId="03C969D3">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4.3.5.3土壤环境质量现状评价</w:t>
      </w:r>
    </w:p>
    <w:p w14:paraId="60ED75ED">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（1）评价方法</w:t>
      </w:r>
    </w:p>
    <w:p w14:paraId="10D200BC">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评价方法采用标准指数法进行土壤环境质量现状评价，即通过指数的大小反应土壤环境受污染的程度，公式为：</w:t>
      </w:r>
    </w:p>
    <w:p w14:paraId="6372D488">
      <w:pPr>
        <w:widowControl w:val="0"/>
        <w:spacing w:line="440" w:lineRule="exact"/>
        <w:jc w:val="center"/>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K</w:t>
      </w:r>
      <w:r>
        <w:rPr>
          <w:rFonts w:ascii="Times New Roman" w:hAnsi="Times New Roman" w:cs="Times New Roman" w:eastAsiaTheme="minorEastAsia"/>
          <w:color w:val="auto"/>
          <w:w w:val="99"/>
          <w:highlight w:val="none"/>
          <w:vertAlign w:val="subscript"/>
        </w:rPr>
        <w:t>i</w:t>
      </w:r>
      <w:r>
        <w:rPr>
          <w:rFonts w:ascii="Times New Roman" w:hAnsi="Times New Roman" w:cs="Times New Roman" w:eastAsiaTheme="minorEastAsia"/>
          <w:color w:val="auto"/>
          <w:w w:val="99"/>
          <w:highlight w:val="none"/>
        </w:rPr>
        <w:t>＝X</w:t>
      </w:r>
      <w:r>
        <w:rPr>
          <w:rFonts w:ascii="Times New Roman" w:hAnsi="Times New Roman" w:cs="Times New Roman" w:eastAsiaTheme="minorEastAsia"/>
          <w:color w:val="auto"/>
          <w:w w:val="99"/>
          <w:highlight w:val="none"/>
          <w:vertAlign w:val="subscript"/>
        </w:rPr>
        <w:t>i</w:t>
      </w:r>
      <w:r>
        <w:rPr>
          <w:rFonts w:ascii="Times New Roman" w:hAnsi="Times New Roman" w:cs="Times New Roman" w:eastAsiaTheme="minorEastAsia"/>
          <w:color w:val="auto"/>
          <w:w w:val="99"/>
          <w:highlight w:val="none"/>
        </w:rPr>
        <w:t>/Xo</w:t>
      </w:r>
      <w:r>
        <w:rPr>
          <w:rFonts w:ascii="Times New Roman" w:hAnsi="Times New Roman" w:cs="Times New Roman" w:eastAsiaTheme="minorEastAsia"/>
          <w:color w:val="auto"/>
          <w:w w:val="99"/>
          <w:highlight w:val="none"/>
          <w:vertAlign w:val="subscript"/>
        </w:rPr>
        <w:t>i</w:t>
      </w:r>
    </w:p>
    <w:p w14:paraId="47505400">
      <w:pPr>
        <w:widowControl w:val="0"/>
        <w:spacing w:line="440" w:lineRule="exact"/>
        <w:ind w:firstLine="474" w:firstLineChars="200"/>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式中：K</w:t>
      </w:r>
      <w:r>
        <w:rPr>
          <w:rFonts w:ascii="Times New Roman" w:hAnsi="Times New Roman" w:cs="Times New Roman" w:eastAsiaTheme="minorEastAsia"/>
          <w:color w:val="auto"/>
          <w:w w:val="99"/>
          <w:highlight w:val="none"/>
          <w:vertAlign w:val="subscript"/>
        </w:rPr>
        <w:t>i</w:t>
      </w:r>
      <w:r>
        <w:rPr>
          <w:rFonts w:ascii="Times New Roman" w:hAnsi="Times New Roman" w:cs="Times New Roman" w:eastAsiaTheme="minorEastAsia"/>
          <w:color w:val="auto"/>
          <w:w w:val="99"/>
          <w:highlight w:val="none"/>
        </w:rPr>
        <w:t>——第i项分指数；</w:t>
      </w:r>
    </w:p>
    <w:p w14:paraId="6FB361BC">
      <w:pPr>
        <w:widowControl w:val="0"/>
        <w:spacing w:line="440" w:lineRule="exact"/>
        <w:ind w:firstLine="474" w:firstLineChars="200"/>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 xml:space="preserve">      X</w:t>
      </w:r>
      <w:r>
        <w:rPr>
          <w:rFonts w:ascii="Times New Roman" w:hAnsi="Times New Roman" w:cs="Times New Roman" w:eastAsiaTheme="minorEastAsia"/>
          <w:color w:val="auto"/>
          <w:w w:val="99"/>
          <w:highlight w:val="none"/>
          <w:vertAlign w:val="subscript"/>
        </w:rPr>
        <w:t>i</w:t>
      </w:r>
      <w:r>
        <w:rPr>
          <w:rFonts w:ascii="Times New Roman" w:hAnsi="Times New Roman" w:cs="Times New Roman" w:eastAsiaTheme="minorEastAsia"/>
          <w:color w:val="auto"/>
          <w:w w:val="99"/>
          <w:highlight w:val="none"/>
        </w:rPr>
        <w:t>——土壤中i污染物的实测含量，mg/kg；</w:t>
      </w:r>
    </w:p>
    <w:p w14:paraId="4FB94C0D">
      <w:pPr>
        <w:widowControl w:val="0"/>
        <w:spacing w:line="440" w:lineRule="exact"/>
        <w:ind w:firstLine="474" w:firstLineChars="200"/>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 xml:space="preserve">      Xo</w:t>
      </w:r>
      <w:r>
        <w:rPr>
          <w:rFonts w:ascii="Times New Roman" w:hAnsi="Times New Roman" w:cs="Times New Roman" w:eastAsiaTheme="minorEastAsia"/>
          <w:color w:val="auto"/>
          <w:w w:val="99"/>
          <w:highlight w:val="none"/>
          <w:vertAlign w:val="subscript"/>
        </w:rPr>
        <w:t>i</w:t>
      </w:r>
      <w:r>
        <w:rPr>
          <w:rFonts w:ascii="Times New Roman" w:hAnsi="Times New Roman" w:cs="Times New Roman" w:eastAsiaTheme="minorEastAsia"/>
          <w:color w:val="auto"/>
          <w:w w:val="99"/>
          <w:highlight w:val="none"/>
        </w:rPr>
        <w:t>——土壤中i污染物的标准值，mg/kg。</w:t>
      </w:r>
    </w:p>
    <w:p w14:paraId="12A77826">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（2）评价标准</w:t>
      </w:r>
    </w:p>
    <w:p w14:paraId="3DB91316">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hint="eastAsia" w:ascii="Times New Roman" w:hAnsi="Times New Roman" w:cs="Times New Roman" w:eastAsiaTheme="minorEastAsia"/>
          <w:color w:val="auto"/>
          <w:w w:val="99"/>
          <w:kern w:val="21"/>
          <w:highlight w:val="none"/>
        </w:rPr>
        <w:t>1</w:t>
      </w:r>
      <w:r>
        <w:rPr>
          <w:rFonts w:ascii="Times New Roman" w:hAnsi="Times New Roman" w:cs="Times New Roman" w:eastAsiaTheme="minorEastAsia"/>
          <w:color w:val="auto"/>
          <w:w w:val="99"/>
          <w:kern w:val="21"/>
          <w:highlight w:val="none"/>
        </w:rPr>
        <w:t>#~</w:t>
      </w:r>
      <w:r>
        <w:rPr>
          <w:rFonts w:hint="eastAsia" w:ascii="Times New Roman" w:hAnsi="Times New Roman" w:cs="Times New Roman" w:eastAsiaTheme="minorEastAsia"/>
          <w:color w:val="auto"/>
          <w:w w:val="99"/>
          <w:kern w:val="21"/>
          <w:highlight w:val="none"/>
        </w:rPr>
        <w:t>5</w:t>
      </w:r>
      <w:r>
        <w:rPr>
          <w:rFonts w:ascii="Times New Roman" w:hAnsi="Times New Roman" w:cs="Times New Roman" w:eastAsiaTheme="minorEastAsia"/>
          <w:color w:val="auto"/>
          <w:w w:val="99"/>
          <w:kern w:val="21"/>
          <w:highlight w:val="none"/>
        </w:rPr>
        <w:t>#监测点位土壤执行《土壤环境质量 建设用地土壤污染风险管控标准（试行）》（GB36600-2018）中第二类用地筛选值标准，</w:t>
      </w:r>
      <w:r>
        <w:rPr>
          <w:rFonts w:hint="eastAsia" w:ascii="Times New Roman" w:hAnsi="Times New Roman" w:cs="Times New Roman" w:eastAsiaTheme="minorEastAsia"/>
          <w:color w:val="auto"/>
          <w:w w:val="99"/>
          <w:kern w:val="21"/>
          <w:highlight w:val="none"/>
        </w:rPr>
        <w:t>6</w:t>
      </w:r>
      <w:r>
        <w:rPr>
          <w:rFonts w:ascii="Times New Roman" w:hAnsi="Times New Roman" w:cs="Times New Roman" w:eastAsiaTheme="minorEastAsia"/>
          <w:color w:val="auto"/>
          <w:w w:val="99"/>
          <w:kern w:val="21"/>
          <w:highlight w:val="none"/>
        </w:rPr>
        <w:t>#~</w:t>
      </w:r>
      <w:r>
        <w:rPr>
          <w:rFonts w:hint="eastAsia" w:ascii="Times New Roman" w:hAnsi="Times New Roman" w:cs="Times New Roman" w:eastAsiaTheme="minorEastAsia"/>
          <w:color w:val="auto"/>
          <w:w w:val="99"/>
          <w:kern w:val="21"/>
          <w:highlight w:val="none"/>
        </w:rPr>
        <w:t>7</w:t>
      </w:r>
      <w:r>
        <w:rPr>
          <w:rFonts w:ascii="Times New Roman" w:hAnsi="Times New Roman" w:cs="Times New Roman" w:eastAsiaTheme="minorEastAsia"/>
          <w:color w:val="auto"/>
          <w:w w:val="99"/>
          <w:kern w:val="21"/>
          <w:highlight w:val="none"/>
        </w:rPr>
        <w:t>#监测点位土壤执行《土壤环境质量 农用地土壤污染风险管控标准（试行）》（GB15618-2018）</w:t>
      </w:r>
      <w:r>
        <w:rPr>
          <w:rFonts w:hint="eastAsia" w:ascii="Times New Roman" w:hAnsi="Times New Roman" w:cs="Times New Roman" w:eastAsiaTheme="minorEastAsia"/>
          <w:color w:val="auto"/>
          <w:w w:val="99"/>
          <w:kern w:val="21"/>
          <w:highlight w:val="none"/>
        </w:rPr>
        <w:t>表1</w:t>
      </w:r>
      <w:r>
        <w:rPr>
          <w:rFonts w:ascii="Times New Roman" w:hAnsi="Times New Roman" w:cs="Times New Roman" w:eastAsiaTheme="minorEastAsia"/>
          <w:color w:val="auto"/>
          <w:w w:val="99"/>
          <w:kern w:val="21"/>
          <w:highlight w:val="none"/>
        </w:rPr>
        <w:t>中</w:t>
      </w:r>
      <w:r>
        <w:rPr>
          <w:rFonts w:hint="eastAsia" w:ascii="Times New Roman" w:hAnsi="Times New Roman" w:cs="Times New Roman" w:eastAsiaTheme="minorEastAsia"/>
          <w:color w:val="auto"/>
          <w:w w:val="99"/>
          <w:kern w:val="21"/>
          <w:highlight w:val="none"/>
        </w:rPr>
        <w:t>其它</w:t>
      </w:r>
      <w:r>
        <w:rPr>
          <w:rFonts w:ascii="Times New Roman" w:hAnsi="Times New Roman" w:cs="Times New Roman" w:eastAsiaTheme="minorEastAsia"/>
          <w:color w:val="auto"/>
          <w:w w:val="99"/>
          <w:kern w:val="21"/>
          <w:highlight w:val="none"/>
        </w:rPr>
        <w:t>农用地土壤风险筛选值</w:t>
      </w:r>
      <w:r>
        <w:rPr>
          <w:rFonts w:hint="eastAsia" w:ascii="Times New Roman" w:hAnsi="Times New Roman" w:cs="Times New Roman" w:eastAsiaTheme="minorEastAsia"/>
          <w:color w:val="auto"/>
          <w:w w:val="99"/>
          <w:kern w:val="21"/>
          <w:highlight w:val="none"/>
        </w:rPr>
        <w:t>。</w:t>
      </w:r>
    </w:p>
    <w:p w14:paraId="001DFF33">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（3）土壤现状评价结果分析</w:t>
      </w:r>
    </w:p>
    <w:p w14:paraId="19D3F097">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建设用地土壤环境质量现状评价结果见表4.3-</w:t>
      </w:r>
      <w:r>
        <w:rPr>
          <w:rFonts w:hint="eastAsia" w:ascii="Times New Roman" w:hAnsi="Times New Roman" w:cs="Times New Roman" w:eastAsiaTheme="minorEastAsia"/>
          <w:color w:val="auto"/>
          <w:w w:val="99"/>
          <w:highlight w:val="none"/>
        </w:rPr>
        <w:t>2</w:t>
      </w:r>
      <w:r>
        <w:rPr>
          <w:rFonts w:ascii="Times New Roman" w:hAnsi="Times New Roman" w:cs="Times New Roman" w:eastAsiaTheme="minorEastAsia"/>
          <w:color w:val="auto"/>
          <w:w w:val="99"/>
          <w:highlight w:val="none"/>
        </w:rPr>
        <w:t>3。</w:t>
      </w:r>
      <w:r>
        <w:rPr>
          <w:rFonts w:ascii="Times New Roman" w:hAnsi="Times New Roman" w:cs="Times New Roman" w:eastAsiaTheme="minorEastAsia"/>
          <w:color w:val="auto"/>
          <w:w w:val="99"/>
          <w:kern w:val="21"/>
          <w:highlight w:val="none"/>
        </w:rPr>
        <w:t>农用地土壤环境质量现状评价结果见表</w:t>
      </w:r>
      <w:r>
        <w:rPr>
          <w:rFonts w:ascii="Times New Roman" w:hAnsi="Times New Roman" w:cs="Times New Roman" w:eastAsiaTheme="minorEastAsia"/>
          <w:color w:val="auto"/>
          <w:w w:val="99"/>
          <w:highlight w:val="none"/>
        </w:rPr>
        <w:t>4.3-</w:t>
      </w:r>
      <w:r>
        <w:rPr>
          <w:rFonts w:hint="eastAsia" w:ascii="Times New Roman" w:hAnsi="Times New Roman" w:cs="Times New Roman" w:eastAsiaTheme="minorEastAsia"/>
          <w:color w:val="auto"/>
          <w:w w:val="99"/>
          <w:highlight w:val="none"/>
        </w:rPr>
        <w:t>2</w:t>
      </w:r>
      <w:r>
        <w:rPr>
          <w:rFonts w:ascii="Times New Roman" w:hAnsi="Times New Roman" w:cs="Times New Roman" w:eastAsiaTheme="minorEastAsia"/>
          <w:color w:val="auto"/>
          <w:w w:val="99"/>
          <w:highlight w:val="none"/>
        </w:rPr>
        <w:t>4。</w:t>
      </w:r>
    </w:p>
    <w:p w14:paraId="72C19903">
      <w:pPr>
        <w:widowControl w:val="0"/>
        <w:spacing w:line="440" w:lineRule="exact"/>
        <w:ind w:firstLine="476"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b/>
          <w:color w:val="auto"/>
          <w:w w:val="99"/>
          <w:highlight w:val="none"/>
        </w:rPr>
        <w:t>表4.3-</w:t>
      </w:r>
      <w:r>
        <w:rPr>
          <w:rFonts w:hint="eastAsia" w:ascii="Times New Roman" w:hAnsi="Times New Roman" w:cs="Times New Roman" w:eastAsiaTheme="minorEastAsia"/>
          <w:b/>
          <w:color w:val="auto"/>
          <w:w w:val="99"/>
          <w:highlight w:val="none"/>
        </w:rPr>
        <w:t>2</w:t>
      </w:r>
      <w:r>
        <w:rPr>
          <w:rFonts w:ascii="Times New Roman" w:hAnsi="Times New Roman" w:cs="Times New Roman" w:eastAsiaTheme="minorEastAsia"/>
          <w:b/>
          <w:color w:val="auto"/>
          <w:w w:val="99"/>
          <w:highlight w:val="none"/>
        </w:rPr>
        <w:t>3    建设用地土壤环境质量现状评价结果（K</w:t>
      </w:r>
      <w:r>
        <w:rPr>
          <w:rFonts w:ascii="Times New Roman" w:hAnsi="Times New Roman" w:cs="Times New Roman" w:eastAsiaTheme="minorEastAsia"/>
          <w:b/>
          <w:color w:val="auto"/>
          <w:w w:val="99"/>
          <w:highlight w:val="none"/>
          <w:vertAlign w:val="subscript"/>
        </w:rPr>
        <w:t>i</w:t>
      </w:r>
      <w:r>
        <w:rPr>
          <w:rFonts w:ascii="Times New Roman" w:hAnsi="Times New Roman" w:cs="Times New Roman" w:eastAsiaTheme="minorEastAsia"/>
          <w:b/>
          <w:color w:val="auto"/>
          <w:w w:val="99"/>
          <w:highlight w:val="none"/>
        </w:rPr>
        <w:t>值）</w:t>
      </w:r>
    </w:p>
    <w:tbl>
      <w:tblPr>
        <w:tblStyle w:val="81"/>
        <w:tblW w:w="428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01"/>
        <w:gridCol w:w="761"/>
        <w:gridCol w:w="939"/>
        <w:gridCol w:w="1028"/>
        <w:gridCol w:w="761"/>
        <w:gridCol w:w="939"/>
        <w:gridCol w:w="1028"/>
        <w:gridCol w:w="761"/>
        <w:gridCol w:w="940"/>
        <w:gridCol w:w="1029"/>
      </w:tblGrid>
      <w:tr w14:paraId="78EE1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Merge w:val="restart"/>
            <w:vAlign w:val="center"/>
          </w:tcPr>
          <w:p w14:paraId="0817ED3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监测项目</w:t>
            </w:r>
          </w:p>
        </w:tc>
        <w:tc>
          <w:tcPr>
            <w:tcW w:w="4411" w:type="pct"/>
            <w:gridSpan w:val="9"/>
            <w:vAlign w:val="center"/>
          </w:tcPr>
          <w:p w14:paraId="18F48DB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监测点位及评价结果</w:t>
            </w:r>
          </w:p>
        </w:tc>
      </w:tr>
      <w:tr w14:paraId="683F7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Merge w:val="continue"/>
            <w:vAlign w:val="center"/>
          </w:tcPr>
          <w:p w14:paraId="6158D42D">
            <w:pPr>
              <w:pStyle w:val="103"/>
              <w:widowControl/>
              <w:spacing w:line="360" w:lineRule="exact"/>
              <w:rPr>
                <w:rFonts w:ascii="Times New Roman" w:hAnsi="Times New Roman" w:eastAsiaTheme="minorEastAsia"/>
                <w:color w:val="auto"/>
                <w:w w:val="99"/>
                <w:sz w:val="21"/>
                <w:szCs w:val="21"/>
                <w:highlight w:val="none"/>
              </w:rPr>
            </w:pPr>
          </w:p>
        </w:tc>
        <w:tc>
          <w:tcPr>
            <w:tcW w:w="2728" w:type="dxa"/>
            <w:gridSpan w:val="3"/>
            <w:vAlign w:val="center"/>
          </w:tcPr>
          <w:p w14:paraId="27D0BB3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拟建徐深27-H1井井场占地内1#</w:t>
            </w:r>
          </w:p>
        </w:tc>
        <w:tc>
          <w:tcPr>
            <w:tcW w:w="2728" w:type="dxa"/>
            <w:gridSpan w:val="3"/>
            <w:vAlign w:val="center"/>
          </w:tcPr>
          <w:p w14:paraId="0DAAB992">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拟建徐深27-H1井井场占地内2#</w:t>
            </w:r>
          </w:p>
        </w:tc>
        <w:tc>
          <w:tcPr>
            <w:tcW w:w="2730" w:type="dxa"/>
            <w:gridSpan w:val="3"/>
            <w:vAlign w:val="center"/>
          </w:tcPr>
          <w:p w14:paraId="699DDD4B">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拟建徐深27-H1井井场占地内3#</w:t>
            </w:r>
          </w:p>
        </w:tc>
      </w:tr>
      <w:tr w14:paraId="1229D5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Merge w:val="continue"/>
            <w:vAlign w:val="center"/>
          </w:tcPr>
          <w:p w14:paraId="66976CA6">
            <w:pPr>
              <w:pStyle w:val="103"/>
              <w:widowControl/>
              <w:spacing w:line="360" w:lineRule="exact"/>
              <w:rPr>
                <w:rFonts w:ascii="Times New Roman" w:hAnsi="Times New Roman" w:eastAsiaTheme="minorEastAsia"/>
                <w:color w:val="auto"/>
                <w:w w:val="99"/>
                <w:sz w:val="21"/>
                <w:szCs w:val="21"/>
                <w:highlight w:val="none"/>
              </w:rPr>
            </w:pPr>
          </w:p>
        </w:tc>
        <w:tc>
          <w:tcPr>
            <w:tcW w:w="414" w:type="pct"/>
            <w:vAlign w:val="center"/>
          </w:tcPr>
          <w:p w14:paraId="5A3000B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0-50cm</w:t>
            </w:r>
          </w:p>
        </w:tc>
        <w:tc>
          <w:tcPr>
            <w:tcW w:w="505" w:type="pct"/>
            <w:vAlign w:val="center"/>
          </w:tcPr>
          <w:p w14:paraId="7E9808E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50-150cm</w:t>
            </w:r>
          </w:p>
        </w:tc>
        <w:tc>
          <w:tcPr>
            <w:tcW w:w="551" w:type="pct"/>
            <w:vAlign w:val="center"/>
          </w:tcPr>
          <w:p w14:paraId="2999738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150-300cm</w:t>
            </w:r>
          </w:p>
        </w:tc>
        <w:tc>
          <w:tcPr>
            <w:tcW w:w="414" w:type="pct"/>
            <w:vAlign w:val="center"/>
          </w:tcPr>
          <w:p w14:paraId="7EF11F0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0-50cm</w:t>
            </w:r>
          </w:p>
        </w:tc>
        <w:tc>
          <w:tcPr>
            <w:tcW w:w="505" w:type="pct"/>
            <w:vAlign w:val="center"/>
          </w:tcPr>
          <w:p w14:paraId="034184A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50-150cm</w:t>
            </w:r>
          </w:p>
        </w:tc>
        <w:tc>
          <w:tcPr>
            <w:tcW w:w="551" w:type="pct"/>
            <w:vAlign w:val="center"/>
          </w:tcPr>
          <w:p w14:paraId="038BAF0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150-300cm</w:t>
            </w:r>
          </w:p>
        </w:tc>
        <w:tc>
          <w:tcPr>
            <w:tcW w:w="414" w:type="pct"/>
            <w:vAlign w:val="center"/>
          </w:tcPr>
          <w:p w14:paraId="20C557C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r>
              <w:rPr>
                <w:rFonts w:hint="eastAsia" w:ascii="Times New Roman" w:hAnsi="Times New Roman" w:cs="Times New Roman" w:eastAsiaTheme="minorEastAsia"/>
                <w:color w:val="auto"/>
                <w:w w:val="99"/>
                <w:sz w:val="21"/>
                <w:szCs w:val="21"/>
                <w:highlight w:val="none"/>
                <w:lang w:val="en-US" w:eastAsia="zh-CN"/>
              </w:rPr>
              <w:t>50</w:t>
            </w:r>
            <w:r>
              <w:rPr>
                <w:rFonts w:ascii="Times New Roman" w:hAnsi="Times New Roman" w:cs="Times New Roman" w:eastAsiaTheme="minorEastAsia"/>
                <w:color w:val="auto"/>
                <w:w w:val="99"/>
                <w:sz w:val="21"/>
                <w:szCs w:val="21"/>
                <w:highlight w:val="none"/>
              </w:rPr>
              <w:t>cm</w:t>
            </w:r>
          </w:p>
        </w:tc>
        <w:tc>
          <w:tcPr>
            <w:tcW w:w="505" w:type="pct"/>
            <w:vAlign w:val="center"/>
          </w:tcPr>
          <w:p w14:paraId="4DC5A11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50-150cm</w:t>
            </w:r>
          </w:p>
        </w:tc>
        <w:tc>
          <w:tcPr>
            <w:tcW w:w="551" w:type="pct"/>
            <w:vAlign w:val="center"/>
          </w:tcPr>
          <w:p w14:paraId="31C29DB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150-300cm</w:t>
            </w:r>
          </w:p>
        </w:tc>
      </w:tr>
      <w:tr w14:paraId="22AF2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6A02460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镉（Cd）</w:t>
            </w:r>
          </w:p>
        </w:tc>
        <w:tc>
          <w:tcPr>
            <w:tcW w:w="761" w:type="dxa"/>
            <w:vAlign w:val="center"/>
          </w:tcPr>
          <w:p w14:paraId="7446ABC7">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0.0012 </w:t>
            </w:r>
          </w:p>
        </w:tc>
        <w:tc>
          <w:tcPr>
            <w:tcW w:w="939" w:type="dxa"/>
            <w:vAlign w:val="center"/>
          </w:tcPr>
          <w:p w14:paraId="5638D492">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0.0017 </w:t>
            </w:r>
          </w:p>
        </w:tc>
        <w:tc>
          <w:tcPr>
            <w:tcW w:w="1028" w:type="dxa"/>
            <w:vAlign w:val="center"/>
          </w:tcPr>
          <w:p w14:paraId="5D3FD8CD">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0.0020 </w:t>
            </w:r>
          </w:p>
        </w:tc>
        <w:tc>
          <w:tcPr>
            <w:tcW w:w="761" w:type="dxa"/>
            <w:vAlign w:val="center"/>
          </w:tcPr>
          <w:p w14:paraId="756D22A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0.0015 </w:t>
            </w:r>
          </w:p>
        </w:tc>
        <w:tc>
          <w:tcPr>
            <w:tcW w:w="939" w:type="dxa"/>
            <w:vAlign w:val="center"/>
          </w:tcPr>
          <w:p w14:paraId="76D7A6B3">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0.0020 </w:t>
            </w:r>
          </w:p>
        </w:tc>
        <w:tc>
          <w:tcPr>
            <w:tcW w:w="1028" w:type="dxa"/>
            <w:vAlign w:val="center"/>
          </w:tcPr>
          <w:p w14:paraId="4A23243A">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0.0014 </w:t>
            </w:r>
          </w:p>
        </w:tc>
        <w:tc>
          <w:tcPr>
            <w:tcW w:w="761" w:type="dxa"/>
            <w:vAlign w:val="center"/>
          </w:tcPr>
          <w:p w14:paraId="4131A102">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0.0014 </w:t>
            </w:r>
          </w:p>
        </w:tc>
        <w:tc>
          <w:tcPr>
            <w:tcW w:w="940" w:type="dxa"/>
            <w:vAlign w:val="center"/>
          </w:tcPr>
          <w:p w14:paraId="27FA9EB2">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0.0015 </w:t>
            </w:r>
          </w:p>
        </w:tc>
        <w:tc>
          <w:tcPr>
            <w:tcW w:w="1029" w:type="dxa"/>
            <w:vAlign w:val="center"/>
          </w:tcPr>
          <w:p w14:paraId="54A6EBC1">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0.0011 </w:t>
            </w:r>
          </w:p>
        </w:tc>
      </w:tr>
      <w:tr w14:paraId="57F07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33FE584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汞（Hg）</w:t>
            </w:r>
          </w:p>
        </w:tc>
        <w:tc>
          <w:tcPr>
            <w:tcW w:w="761" w:type="dxa"/>
            <w:vAlign w:val="center"/>
          </w:tcPr>
          <w:p w14:paraId="3F8C8018">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0.0006 </w:t>
            </w:r>
          </w:p>
        </w:tc>
        <w:tc>
          <w:tcPr>
            <w:tcW w:w="939" w:type="dxa"/>
            <w:vAlign w:val="center"/>
          </w:tcPr>
          <w:p w14:paraId="0C1AE154">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0.0004 </w:t>
            </w:r>
          </w:p>
        </w:tc>
        <w:tc>
          <w:tcPr>
            <w:tcW w:w="1028" w:type="dxa"/>
            <w:vAlign w:val="center"/>
          </w:tcPr>
          <w:p w14:paraId="7E43075D">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0.0006 </w:t>
            </w:r>
          </w:p>
        </w:tc>
        <w:tc>
          <w:tcPr>
            <w:tcW w:w="761" w:type="dxa"/>
            <w:vAlign w:val="center"/>
          </w:tcPr>
          <w:p w14:paraId="6C7E6F4C">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0.0005 </w:t>
            </w:r>
          </w:p>
        </w:tc>
        <w:tc>
          <w:tcPr>
            <w:tcW w:w="939" w:type="dxa"/>
            <w:vAlign w:val="center"/>
          </w:tcPr>
          <w:p w14:paraId="4980A1D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0.0006 </w:t>
            </w:r>
          </w:p>
        </w:tc>
        <w:tc>
          <w:tcPr>
            <w:tcW w:w="1028" w:type="dxa"/>
            <w:vAlign w:val="center"/>
          </w:tcPr>
          <w:p w14:paraId="66CD3F8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0.0004 </w:t>
            </w:r>
          </w:p>
        </w:tc>
        <w:tc>
          <w:tcPr>
            <w:tcW w:w="761" w:type="dxa"/>
            <w:vAlign w:val="center"/>
          </w:tcPr>
          <w:p w14:paraId="6B0AB4AB">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0.0004 </w:t>
            </w:r>
          </w:p>
        </w:tc>
        <w:tc>
          <w:tcPr>
            <w:tcW w:w="940" w:type="dxa"/>
            <w:vAlign w:val="center"/>
          </w:tcPr>
          <w:p w14:paraId="14C1FEC8">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0.0005 </w:t>
            </w:r>
          </w:p>
        </w:tc>
        <w:tc>
          <w:tcPr>
            <w:tcW w:w="1029" w:type="dxa"/>
            <w:vAlign w:val="center"/>
          </w:tcPr>
          <w:p w14:paraId="7157FF77">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0.0006 </w:t>
            </w:r>
          </w:p>
        </w:tc>
      </w:tr>
      <w:tr w14:paraId="6D9E0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3FF8641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砷（As）</w:t>
            </w:r>
          </w:p>
        </w:tc>
        <w:tc>
          <w:tcPr>
            <w:tcW w:w="761" w:type="dxa"/>
            <w:vAlign w:val="center"/>
          </w:tcPr>
          <w:p w14:paraId="37254A5C">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0.0575 </w:t>
            </w:r>
          </w:p>
        </w:tc>
        <w:tc>
          <w:tcPr>
            <w:tcW w:w="939" w:type="dxa"/>
            <w:vAlign w:val="center"/>
          </w:tcPr>
          <w:p w14:paraId="2CA26A23">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0.0687 </w:t>
            </w:r>
          </w:p>
        </w:tc>
        <w:tc>
          <w:tcPr>
            <w:tcW w:w="1028" w:type="dxa"/>
            <w:vAlign w:val="center"/>
          </w:tcPr>
          <w:p w14:paraId="6DCE9BD3">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0.0660 </w:t>
            </w:r>
          </w:p>
        </w:tc>
        <w:tc>
          <w:tcPr>
            <w:tcW w:w="761" w:type="dxa"/>
            <w:vAlign w:val="center"/>
          </w:tcPr>
          <w:p w14:paraId="2A3CE910">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0.0668 </w:t>
            </w:r>
          </w:p>
        </w:tc>
        <w:tc>
          <w:tcPr>
            <w:tcW w:w="939" w:type="dxa"/>
            <w:vAlign w:val="center"/>
          </w:tcPr>
          <w:p w14:paraId="7DC5C494">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0.0593 </w:t>
            </w:r>
          </w:p>
        </w:tc>
        <w:tc>
          <w:tcPr>
            <w:tcW w:w="1028" w:type="dxa"/>
            <w:vAlign w:val="center"/>
          </w:tcPr>
          <w:p w14:paraId="271363B1">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0.0565 </w:t>
            </w:r>
          </w:p>
        </w:tc>
        <w:tc>
          <w:tcPr>
            <w:tcW w:w="761" w:type="dxa"/>
            <w:vAlign w:val="center"/>
          </w:tcPr>
          <w:p w14:paraId="2DE455F1">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0.0575 </w:t>
            </w:r>
          </w:p>
        </w:tc>
        <w:tc>
          <w:tcPr>
            <w:tcW w:w="940" w:type="dxa"/>
            <w:vAlign w:val="center"/>
          </w:tcPr>
          <w:p w14:paraId="2BC1D3D2">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0.0540 </w:t>
            </w:r>
          </w:p>
        </w:tc>
        <w:tc>
          <w:tcPr>
            <w:tcW w:w="1029" w:type="dxa"/>
            <w:vAlign w:val="center"/>
          </w:tcPr>
          <w:p w14:paraId="45E7EDE4">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0.0628 </w:t>
            </w:r>
          </w:p>
        </w:tc>
      </w:tr>
      <w:tr w14:paraId="542325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6341792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铅（Pb）</w:t>
            </w:r>
          </w:p>
        </w:tc>
        <w:tc>
          <w:tcPr>
            <w:tcW w:w="761" w:type="dxa"/>
            <w:vAlign w:val="center"/>
          </w:tcPr>
          <w:p w14:paraId="61D2E2E7">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0.0225 </w:t>
            </w:r>
          </w:p>
        </w:tc>
        <w:tc>
          <w:tcPr>
            <w:tcW w:w="939" w:type="dxa"/>
            <w:vAlign w:val="center"/>
          </w:tcPr>
          <w:p w14:paraId="7257A828">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0.0250 </w:t>
            </w:r>
          </w:p>
        </w:tc>
        <w:tc>
          <w:tcPr>
            <w:tcW w:w="1028" w:type="dxa"/>
            <w:vAlign w:val="center"/>
          </w:tcPr>
          <w:p w14:paraId="27DB0A7B">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0.0188 </w:t>
            </w:r>
          </w:p>
        </w:tc>
        <w:tc>
          <w:tcPr>
            <w:tcW w:w="761" w:type="dxa"/>
            <w:vAlign w:val="center"/>
          </w:tcPr>
          <w:p w14:paraId="192DE594">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0.0150 </w:t>
            </w:r>
          </w:p>
        </w:tc>
        <w:tc>
          <w:tcPr>
            <w:tcW w:w="939" w:type="dxa"/>
            <w:vAlign w:val="center"/>
          </w:tcPr>
          <w:p w14:paraId="10CD30E4">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0.0213 </w:t>
            </w:r>
          </w:p>
        </w:tc>
        <w:tc>
          <w:tcPr>
            <w:tcW w:w="1028" w:type="dxa"/>
            <w:vAlign w:val="center"/>
          </w:tcPr>
          <w:p w14:paraId="2AD9514D">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0.0175 </w:t>
            </w:r>
          </w:p>
        </w:tc>
        <w:tc>
          <w:tcPr>
            <w:tcW w:w="761" w:type="dxa"/>
            <w:vAlign w:val="center"/>
          </w:tcPr>
          <w:p w14:paraId="6E10D2D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0.0200 </w:t>
            </w:r>
          </w:p>
        </w:tc>
        <w:tc>
          <w:tcPr>
            <w:tcW w:w="940" w:type="dxa"/>
            <w:vAlign w:val="center"/>
          </w:tcPr>
          <w:p w14:paraId="167529BF">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0.0225 </w:t>
            </w:r>
          </w:p>
        </w:tc>
        <w:tc>
          <w:tcPr>
            <w:tcW w:w="1029" w:type="dxa"/>
            <w:vAlign w:val="center"/>
          </w:tcPr>
          <w:p w14:paraId="27CF3B50">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0.0188 </w:t>
            </w:r>
          </w:p>
        </w:tc>
      </w:tr>
      <w:tr w14:paraId="421F1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634F995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铬（六价）</w:t>
            </w:r>
          </w:p>
        </w:tc>
        <w:tc>
          <w:tcPr>
            <w:tcW w:w="414" w:type="pct"/>
            <w:vAlign w:val="bottom"/>
          </w:tcPr>
          <w:p w14:paraId="7FBB643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bottom"/>
          </w:tcPr>
          <w:p w14:paraId="5301881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bottom"/>
          </w:tcPr>
          <w:p w14:paraId="7CCEFE5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bottom"/>
          </w:tcPr>
          <w:p w14:paraId="2C0173C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bottom"/>
          </w:tcPr>
          <w:p w14:paraId="4EC471E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bottom"/>
          </w:tcPr>
          <w:p w14:paraId="6151F95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bottom"/>
          </w:tcPr>
          <w:p w14:paraId="20D668D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bottom"/>
          </w:tcPr>
          <w:p w14:paraId="5C803CA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bottom"/>
          </w:tcPr>
          <w:p w14:paraId="3EA45A0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4E169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3EB6F3B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铜（Cu）</w:t>
            </w:r>
          </w:p>
        </w:tc>
        <w:tc>
          <w:tcPr>
            <w:tcW w:w="761" w:type="dxa"/>
            <w:vAlign w:val="center"/>
          </w:tcPr>
          <w:p w14:paraId="0BB0BFC0">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0.0009 </w:t>
            </w:r>
          </w:p>
        </w:tc>
        <w:tc>
          <w:tcPr>
            <w:tcW w:w="939" w:type="dxa"/>
            <w:vAlign w:val="center"/>
          </w:tcPr>
          <w:p w14:paraId="16B8DD6D">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0.0007 </w:t>
            </w:r>
          </w:p>
        </w:tc>
        <w:tc>
          <w:tcPr>
            <w:tcW w:w="1028" w:type="dxa"/>
            <w:vAlign w:val="center"/>
          </w:tcPr>
          <w:p w14:paraId="4D136CAC">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0.0010 </w:t>
            </w:r>
          </w:p>
        </w:tc>
        <w:tc>
          <w:tcPr>
            <w:tcW w:w="761" w:type="dxa"/>
            <w:vAlign w:val="center"/>
          </w:tcPr>
          <w:p w14:paraId="7D3CE6A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0.0008 </w:t>
            </w:r>
          </w:p>
        </w:tc>
        <w:tc>
          <w:tcPr>
            <w:tcW w:w="939" w:type="dxa"/>
            <w:vAlign w:val="center"/>
          </w:tcPr>
          <w:p w14:paraId="2469DBFB">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0.0009 </w:t>
            </w:r>
          </w:p>
        </w:tc>
        <w:tc>
          <w:tcPr>
            <w:tcW w:w="1028" w:type="dxa"/>
            <w:vAlign w:val="center"/>
          </w:tcPr>
          <w:p w14:paraId="0C28E5F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0.0007 </w:t>
            </w:r>
          </w:p>
        </w:tc>
        <w:tc>
          <w:tcPr>
            <w:tcW w:w="761" w:type="dxa"/>
            <w:vAlign w:val="center"/>
          </w:tcPr>
          <w:p w14:paraId="180A9D3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0.0006 </w:t>
            </w:r>
          </w:p>
        </w:tc>
        <w:tc>
          <w:tcPr>
            <w:tcW w:w="940" w:type="dxa"/>
            <w:vAlign w:val="center"/>
          </w:tcPr>
          <w:p w14:paraId="6A3DAC61">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0.0008 </w:t>
            </w:r>
          </w:p>
        </w:tc>
        <w:tc>
          <w:tcPr>
            <w:tcW w:w="1029" w:type="dxa"/>
            <w:vAlign w:val="center"/>
          </w:tcPr>
          <w:p w14:paraId="5B0AF2EF">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0.0009 </w:t>
            </w:r>
          </w:p>
        </w:tc>
      </w:tr>
      <w:tr w14:paraId="1F265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52DF149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镍（Ni）</w:t>
            </w:r>
          </w:p>
        </w:tc>
        <w:tc>
          <w:tcPr>
            <w:tcW w:w="761" w:type="dxa"/>
            <w:vAlign w:val="center"/>
          </w:tcPr>
          <w:p w14:paraId="53263CB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0.0211 </w:t>
            </w:r>
          </w:p>
        </w:tc>
        <w:tc>
          <w:tcPr>
            <w:tcW w:w="939" w:type="dxa"/>
            <w:vAlign w:val="center"/>
          </w:tcPr>
          <w:p w14:paraId="7CF46ACE">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0.0278 </w:t>
            </w:r>
          </w:p>
        </w:tc>
        <w:tc>
          <w:tcPr>
            <w:tcW w:w="1028" w:type="dxa"/>
            <w:vAlign w:val="center"/>
          </w:tcPr>
          <w:p w14:paraId="47B26CBA">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0.0222 </w:t>
            </w:r>
          </w:p>
        </w:tc>
        <w:tc>
          <w:tcPr>
            <w:tcW w:w="761" w:type="dxa"/>
            <w:vAlign w:val="center"/>
          </w:tcPr>
          <w:p w14:paraId="2301FA3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0.0244 </w:t>
            </w:r>
          </w:p>
        </w:tc>
        <w:tc>
          <w:tcPr>
            <w:tcW w:w="939" w:type="dxa"/>
            <w:vAlign w:val="center"/>
          </w:tcPr>
          <w:p w14:paraId="1DE8868B">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0.0233 </w:t>
            </w:r>
          </w:p>
        </w:tc>
        <w:tc>
          <w:tcPr>
            <w:tcW w:w="1028" w:type="dxa"/>
            <w:vAlign w:val="center"/>
          </w:tcPr>
          <w:p w14:paraId="7C7E3A50">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0.0200 </w:t>
            </w:r>
          </w:p>
        </w:tc>
        <w:tc>
          <w:tcPr>
            <w:tcW w:w="761" w:type="dxa"/>
            <w:vAlign w:val="center"/>
          </w:tcPr>
          <w:p w14:paraId="11901BA2">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0.0233 </w:t>
            </w:r>
          </w:p>
        </w:tc>
        <w:tc>
          <w:tcPr>
            <w:tcW w:w="940" w:type="dxa"/>
            <w:vAlign w:val="center"/>
          </w:tcPr>
          <w:p w14:paraId="6080C00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0.0222 </w:t>
            </w:r>
          </w:p>
        </w:tc>
        <w:tc>
          <w:tcPr>
            <w:tcW w:w="1029" w:type="dxa"/>
            <w:vAlign w:val="center"/>
          </w:tcPr>
          <w:p w14:paraId="4653FD3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0.0278 </w:t>
            </w:r>
          </w:p>
        </w:tc>
      </w:tr>
      <w:tr w14:paraId="77045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1D3FF11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w:t>
            </w:r>
          </w:p>
        </w:tc>
        <w:tc>
          <w:tcPr>
            <w:tcW w:w="414" w:type="pct"/>
            <w:vAlign w:val="center"/>
          </w:tcPr>
          <w:p w14:paraId="3911268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1FF9F5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691DE4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4509DAD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61CF35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FAF77B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49917D8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D89852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FC5EC3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30BE0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7D68848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甲苯</w:t>
            </w:r>
          </w:p>
        </w:tc>
        <w:tc>
          <w:tcPr>
            <w:tcW w:w="414" w:type="pct"/>
            <w:vAlign w:val="center"/>
          </w:tcPr>
          <w:p w14:paraId="2DB2070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1C4E12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18FF4D5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54611B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C21710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9FA803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4A16D52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8FBA14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186689B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7EF80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061596D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乙苯</w:t>
            </w:r>
          </w:p>
        </w:tc>
        <w:tc>
          <w:tcPr>
            <w:tcW w:w="414" w:type="pct"/>
            <w:vAlign w:val="center"/>
          </w:tcPr>
          <w:p w14:paraId="05488F3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BAA49E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5EE118F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7C87F94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773C79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7FBC530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76CB153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7F952E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2EED1E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34592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0C643DD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氯苯</w:t>
            </w:r>
          </w:p>
        </w:tc>
        <w:tc>
          <w:tcPr>
            <w:tcW w:w="414" w:type="pct"/>
            <w:vAlign w:val="center"/>
          </w:tcPr>
          <w:p w14:paraId="7CA4DA9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5B628DE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EEA8F7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378F8D9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1936E7E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A6AE51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21E3F70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188A68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26A555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5220E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5B44908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苯乙烯</w:t>
            </w:r>
          </w:p>
        </w:tc>
        <w:tc>
          <w:tcPr>
            <w:tcW w:w="414" w:type="pct"/>
            <w:vAlign w:val="center"/>
          </w:tcPr>
          <w:p w14:paraId="70688A2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5895D4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1CC358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022F241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5882CD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42E286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69D1BE0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E7409F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4AFAA3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28A91B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52A3299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间二甲苯+对二甲苯</w:t>
            </w:r>
          </w:p>
        </w:tc>
        <w:tc>
          <w:tcPr>
            <w:tcW w:w="414" w:type="pct"/>
            <w:vAlign w:val="center"/>
          </w:tcPr>
          <w:p w14:paraId="5880077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2AAFFC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5233AD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2394A01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17CDB03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8ED705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57FA9A7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4045BD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7643F8B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3C68FB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7A7EF5A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邻二甲苯</w:t>
            </w:r>
          </w:p>
        </w:tc>
        <w:tc>
          <w:tcPr>
            <w:tcW w:w="414" w:type="pct"/>
            <w:vAlign w:val="center"/>
          </w:tcPr>
          <w:p w14:paraId="73A3934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557370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5DE6249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6115842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117C805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7054B38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7C78B3D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D97F89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0A28058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5BCC2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2297DAA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氯乙烯</w:t>
            </w:r>
          </w:p>
        </w:tc>
        <w:tc>
          <w:tcPr>
            <w:tcW w:w="414" w:type="pct"/>
            <w:vAlign w:val="center"/>
          </w:tcPr>
          <w:p w14:paraId="36AAEB1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5608B4D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70E181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62BDD8A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82C88E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F8C0B4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4A98D5E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453644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E3AAB5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5BC24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4218610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1,2-二氯苯</w:t>
            </w:r>
          </w:p>
        </w:tc>
        <w:tc>
          <w:tcPr>
            <w:tcW w:w="414" w:type="pct"/>
            <w:vAlign w:val="center"/>
          </w:tcPr>
          <w:p w14:paraId="3C4EAC0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12A264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90BC2F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344698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29074E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AE158C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721766C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6CE47F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2AAC13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39C83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47A0632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1,4-二氯苯</w:t>
            </w:r>
          </w:p>
        </w:tc>
        <w:tc>
          <w:tcPr>
            <w:tcW w:w="414" w:type="pct"/>
            <w:vAlign w:val="center"/>
          </w:tcPr>
          <w:p w14:paraId="6F08244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665C87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9C72D2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591C216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73A96B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0DB558C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011AAF4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7C2A4A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0133C2E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66259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50AF368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四氯化碳</w:t>
            </w:r>
          </w:p>
        </w:tc>
        <w:tc>
          <w:tcPr>
            <w:tcW w:w="414" w:type="pct"/>
            <w:vAlign w:val="center"/>
          </w:tcPr>
          <w:p w14:paraId="6CCBEEB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693127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337590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6D5F7BE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320E0E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1F61AAC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00E092F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273114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536BB5A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6C0F5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4B6E1E9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氯仿</w:t>
            </w:r>
          </w:p>
        </w:tc>
        <w:tc>
          <w:tcPr>
            <w:tcW w:w="414" w:type="pct"/>
            <w:vAlign w:val="center"/>
          </w:tcPr>
          <w:p w14:paraId="5A98FCB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A23111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E5312F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040C753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CFA6C6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5E1E14B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430EAF2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561C40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2AB2DF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2320BF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23A0F7A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氯甲烷</w:t>
            </w:r>
          </w:p>
        </w:tc>
        <w:tc>
          <w:tcPr>
            <w:tcW w:w="414" w:type="pct"/>
            <w:vAlign w:val="center"/>
          </w:tcPr>
          <w:p w14:paraId="714A995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55EA65B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1C4E05A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783C03D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16CABC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1067BD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60CA71D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517E843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7DA44CB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1BC6C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3A4E788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1,1-二氯乙烷</w:t>
            </w:r>
          </w:p>
        </w:tc>
        <w:tc>
          <w:tcPr>
            <w:tcW w:w="414" w:type="pct"/>
            <w:vAlign w:val="center"/>
          </w:tcPr>
          <w:p w14:paraId="6F733B0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2AC167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0EE5CEF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21425C8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9E4B61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62A13F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374C46B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440BFF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311C53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5D8A22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34D22BF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1,2-二氯乙烷</w:t>
            </w:r>
          </w:p>
        </w:tc>
        <w:tc>
          <w:tcPr>
            <w:tcW w:w="414" w:type="pct"/>
            <w:vAlign w:val="center"/>
          </w:tcPr>
          <w:p w14:paraId="7DEE155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1B5D70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8068CA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E4E67C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0EF8B2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0BAB69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55FC24C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51D047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05425A2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7F668E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1750CA0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1,1-二氯乙烯</w:t>
            </w:r>
          </w:p>
        </w:tc>
        <w:tc>
          <w:tcPr>
            <w:tcW w:w="414" w:type="pct"/>
            <w:vAlign w:val="center"/>
          </w:tcPr>
          <w:p w14:paraId="1163C4D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B83327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333C83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6494964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357349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38A0B5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51E17A5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522054B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D5EF84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0B781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1C69803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顺-1,2-二氯乙烯</w:t>
            </w:r>
          </w:p>
        </w:tc>
        <w:tc>
          <w:tcPr>
            <w:tcW w:w="414" w:type="pct"/>
            <w:vAlign w:val="center"/>
          </w:tcPr>
          <w:p w14:paraId="16694BA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087EE9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59D8845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625A295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7F0D4B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D1DF9E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7207EE7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553971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2D7CA4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7E2352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19B854B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反-1,2-二氯乙烯</w:t>
            </w:r>
          </w:p>
        </w:tc>
        <w:tc>
          <w:tcPr>
            <w:tcW w:w="414" w:type="pct"/>
            <w:vAlign w:val="center"/>
          </w:tcPr>
          <w:p w14:paraId="4F96942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5EBE3AF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2E8E24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7B3EBC9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0D639D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576859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4EEEBA9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778B4B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CBA322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39B27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2C33BD0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二氯甲烷</w:t>
            </w:r>
          </w:p>
        </w:tc>
        <w:tc>
          <w:tcPr>
            <w:tcW w:w="414" w:type="pct"/>
            <w:vAlign w:val="center"/>
          </w:tcPr>
          <w:p w14:paraId="57E79EF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BCA595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CD3841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697EC2C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F02A85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400712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0002192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B8B85D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29999E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3BD73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0EC5C62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1,2-二氯丙烷</w:t>
            </w:r>
          </w:p>
        </w:tc>
        <w:tc>
          <w:tcPr>
            <w:tcW w:w="414" w:type="pct"/>
            <w:vAlign w:val="center"/>
          </w:tcPr>
          <w:p w14:paraId="545099F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32F8EF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28C8BB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24D8101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FED454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1C886EB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390D4BB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E1E530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7C64A33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05E8EC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4A7DAE4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1,1,1,2-四氯乙烷</w:t>
            </w:r>
          </w:p>
        </w:tc>
        <w:tc>
          <w:tcPr>
            <w:tcW w:w="414" w:type="pct"/>
            <w:vAlign w:val="center"/>
          </w:tcPr>
          <w:p w14:paraId="529463C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1C50F7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1FEFA60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47C0DA7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C8A007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540AB0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7CEDDE3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C71F5E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AF3CC1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1D97D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53BF8D9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1,1,2,2-四氯乙烷</w:t>
            </w:r>
          </w:p>
        </w:tc>
        <w:tc>
          <w:tcPr>
            <w:tcW w:w="414" w:type="pct"/>
            <w:vAlign w:val="center"/>
          </w:tcPr>
          <w:p w14:paraId="76A888D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A97756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5F7FD8A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46A6FED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F8A7FB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F51E5D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3EA836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6C0DA2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F7D865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5CE6C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64AF011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四氯乙烯</w:t>
            </w:r>
          </w:p>
        </w:tc>
        <w:tc>
          <w:tcPr>
            <w:tcW w:w="414" w:type="pct"/>
            <w:vAlign w:val="center"/>
          </w:tcPr>
          <w:p w14:paraId="28CAA22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0BCA71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062D1C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4A17AB5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916312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368969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4E66B8A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55C70B0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FFDF68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008AB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1D8F556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1,1,1-三氯乙烷</w:t>
            </w:r>
          </w:p>
        </w:tc>
        <w:tc>
          <w:tcPr>
            <w:tcW w:w="414" w:type="pct"/>
            <w:vAlign w:val="center"/>
          </w:tcPr>
          <w:p w14:paraId="1ECB801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FFDFD5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DED16F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B98228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6728D5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3A4D75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45E6CA5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1ECAD3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FBCFEE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74D0A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654A0AC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1,1,2-三氯乙烷</w:t>
            </w:r>
          </w:p>
        </w:tc>
        <w:tc>
          <w:tcPr>
            <w:tcW w:w="414" w:type="pct"/>
            <w:vAlign w:val="center"/>
          </w:tcPr>
          <w:p w14:paraId="648D60F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1ECDF11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5DA802B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17DC34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0B98AF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09149EC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771B7CC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48F95C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371838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29DE9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02E765D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三氯乙烯</w:t>
            </w:r>
          </w:p>
        </w:tc>
        <w:tc>
          <w:tcPr>
            <w:tcW w:w="414" w:type="pct"/>
            <w:vAlign w:val="center"/>
          </w:tcPr>
          <w:p w14:paraId="0239900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557A14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DD41DB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0D85263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818B87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7768AF6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061EC36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53B72A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4AB476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348C89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5BD70BE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1,2,3-三氯丙烷</w:t>
            </w:r>
          </w:p>
        </w:tc>
        <w:tc>
          <w:tcPr>
            <w:tcW w:w="414" w:type="pct"/>
            <w:vAlign w:val="center"/>
          </w:tcPr>
          <w:p w14:paraId="63F19C7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70CC73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5042789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2119383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5F8F278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11ECDFD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47549EA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1457ABE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0269EBE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59B4C7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0E710E7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硝基苯</w:t>
            </w:r>
          </w:p>
        </w:tc>
        <w:tc>
          <w:tcPr>
            <w:tcW w:w="414" w:type="pct"/>
            <w:vAlign w:val="center"/>
          </w:tcPr>
          <w:p w14:paraId="2245861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035C81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0A49185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31382F4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537A96E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0FCDDA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FD074E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1B20EFC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599C3BF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6EA4A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0747D50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苯胺</w:t>
            </w:r>
          </w:p>
        </w:tc>
        <w:tc>
          <w:tcPr>
            <w:tcW w:w="414" w:type="pct"/>
            <w:vAlign w:val="center"/>
          </w:tcPr>
          <w:p w14:paraId="69C4C63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CF5D15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D6C3BB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7C3B97C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153B4F6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1F627B5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2022665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2BBDD4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5C2410C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2AE4A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3CAA376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2-氯酚</w:t>
            </w:r>
          </w:p>
        </w:tc>
        <w:tc>
          <w:tcPr>
            <w:tcW w:w="414" w:type="pct"/>
            <w:vAlign w:val="center"/>
          </w:tcPr>
          <w:p w14:paraId="691D50C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4B19A2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C7356D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7FD6F79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4E5C10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D2C4ED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7DA5C3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F105AF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17F477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5D761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211B203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䓛</w:t>
            </w:r>
          </w:p>
        </w:tc>
        <w:tc>
          <w:tcPr>
            <w:tcW w:w="414" w:type="pct"/>
            <w:vAlign w:val="center"/>
          </w:tcPr>
          <w:p w14:paraId="28AEEB0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597BC66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7C77739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0D99A88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5AE3A3C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A0DF2F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342F9F8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20748F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0C88216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6335BB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16C9905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萘</w:t>
            </w:r>
          </w:p>
        </w:tc>
        <w:tc>
          <w:tcPr>
            <w:tcW w:w="414" w:type="pct"/>
            <w:vAlign w:val="center"/>
          </w:tcPr>
          <w:p w14:paraId="4DB3278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D0062A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2D556C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0D6E7CB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2B428D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48F933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030EF63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008DBB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1EE21B1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466EF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1F5904A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苯并[a]蒽</w:t>
            </w:r>
          </w:p>
        </w:tc>
        <w:tc>
          <w:tcPr>
            <w:tcW w:w="414" w:type="pct"/>
            <w:vAlign w:val="center"/>
          </w:tcPr>
          <w:p w14:paraId="3513894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9872FA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23B197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04CCC3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D440A1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644DF1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7B2F463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5FA5125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5ABE026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6089E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2B38F40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苯并[b]荧蒽</w:t>
            </w:r>
          </w:p>
        </w:tc>
        <w:tc>
          <w:tcPr>
            <w:tcW w:w="414" w:type="pct"/>
            <w:vAlign w:val="center"/>
          </w:tcPr>
          <w:p w14:paraId="42F641E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C4C005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0AB5918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729D8B9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100F0A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C1C232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E7CB69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176175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1A699BC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304BE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2543BDC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苯并[k]荧蒽</w:t>
            </w:r>
          </w:p>
        </w:tc>
        <w:tc>
          <w:tcPr>
            <w:tcW w:w="414" w:type="pct"/>
            <w:vAlign w:val="center"/>
          </w:tcPr>
          <w:p w14:paraId="32D35B9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16EB9A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FD616A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330322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AFFE29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05A3D8E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79C5C66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35A24A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43C170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734107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6C23CC2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苯并[a]芘</w:t>
            </w:r>
          </w:p>
        </w:tc>
        <w:tc>
          <w:tcPr>
            <w:tcW w:w="414" w:type="pct"/>
            <w:vAlign w:val="center"/>
          </w:tcPr>
          <w:p w14:paraId="345B7AC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481641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2E939E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285FC05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C63A16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1532C7C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5827DAE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C061BE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168242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69F98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20D0413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茚并[1,2,3-cd]芘</w:t>
            </w:r>
          </w:p>
        </w:tc>
        <w:tc>
          <w:tcPr>
            <w:tcW w:w="414" w:type="pct"/>
            <w:vAlign w:val="center"/>
          </w:tcPr>
          <w:p w14:paraId="70623B2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3837FF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6D1D17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A5DCA2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1B2100A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5C23C3C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631A04A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8315B5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1889652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6E3DA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2472D47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二苯并[a, h]蒽</w:t>
            </w:r>
          </w:p>
        </w:tc>
        <w:tc>
          <w:tcPr>
            <w:tcW w:w="414" w:type="pct"/>
            <w:vAlign w:val="center"/>
          </w:tcPr>
          <w:p w14:paraId="644D934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F18C20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3D90E5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7908F4F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7AB09F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7A9246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EE6C36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15E26E6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AB148A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0382F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4D86AB8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10</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40</w:t>
            </w:r>
            <w:r>
              <w:rPr>
                <w:rFonts w:ascii="Times New Roman" w:hAnsi="Times New Roman" w:cs="Times New Roman" w:eastAsiaTheme="minorEastAsia"/>
                <w:color w:val="auto"/>
                <w:w w:val="99"/>
                <w:sz w:val="21"/>
                <w:szCs w:val="21"/>
                <w:highlight w:val="none"/>
              </w:rPr>
              <w:t>）</w:t>
            </w:r>
          </w:p>
        </w:tc>
        <w:tc>
          <w:tcPr>
            <w:tcW w:w="414" w:type="pct"/>
            <w:vAlign w:val="center"/>
          </w:tcPr>
          <w:p w14:paraId="426EFCB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6E295F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D9FB3C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62C139C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9D268A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08049A1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339847A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401058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63E6A5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bl>
    <w:p w14:paraId="101C5962">
      <w:pPr>
        <w:pStyle w:val="153"/>
        <w:widowControl w:val="0"/>
        <w:spacing w:line="440" w:lineRule="exact"/>
        <w:ind w:firstLine="474"/>
        <w:rPr>
          <w:rFonts w:ascii="Times New Roman" w:hAnsi="Times New Roman" w:eastAsiaTheme="minorEastAsia"/>
          <w:b/>
          <w:color w:val="auto"/>
          <w:w w:val="99"/>
          <w:highlight w:val="none"/>
        </w:rPr>
      </w:pPr>
    </w:p>
    <w:p w14:paraId="34BCF7CD">
      <w:pPr>
        <w:pStyle w:val="153"/>
        <w:widowControl w:val="0"/>
        <w:spacing w:line="440" w:lineRule="exact"/>
        <w:ind w:firstLine="474"/>
        <w:rPr>
          <w:rFonts w:ascii="Times New Roman" w:hAnsi="Times New Roman" w:eastAsiaTheme="minorEastAsia"/>
          <w:b/>
          <w:color w:val="auto"/>
          <w:w w:val="99"/>
          <w:highlight w:val="none"/>
        </w:rPr>
      </w:pPr>
    </w:p>
    <w:p w14:paraId="531213E2">
      <w:pPr>
        <w:pStyle w:val="153"/>
        <w:widowControl w:val="0"/>
        <w:spacing w:line="440" w:lineRule="exact"/>
        <w:ind w:firstLine="474"/>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续表4.3-</w:t>
      </w:r>
      <w:r>
        <w:rPr>
          <w:rFonts w:hint="eastAsia" w:ascii="Times New Roman" w:hAnsi="Times New Roman" w:eastAsiaTheme="minorEastAsia"/>
          <w:b/>
          <w:color w:val="auto"/>
          <w:w w:val="99"/>
          <w:highlight w:val="none"/>
        </w:rPr>
        <w:t>2</w:t>
      </w:r>
      <w:r>
        <w:rPr>
          <w:rFonts w:ascii="Times New Roman" w:hAnsi="Times New Roman" w:eastAsiaTheme="minorEastAsia"/>
          <w:b/>
          <w:color w:val="auto"/>
          <w:w w:val="99"/>
          <w:highlight w:val="none"/>
        </w:rPr>
        <w:t>3    建设用地土壤环境质量现状评价结果（K</w:t>
      </w:r>
      <w:r>
        <w:rPr>
          <w:rFonts w:ascii="Times New Roman" w:hAnsi="Times New Roman" w:eastAsiaTheme="minorEastAsia"/>
          <w:b/>
          <w:color w:val="auto"/>
          <w:w w:val="99"/>
          <w:highlight w:val="none"/>
          <w:vertAlign w:val="subscript"/>
        </w:rPr>
        <w:t>i</w:t>
      </w:r>
      <w:r>
        <w:rPr>
          <w:rFonts w:ascii="Times New Roman" w:hAnsi="Times New Roman" w:eastAsiaTheme="minorEastAsia"/>
          <w:b/>
          <w:color w:val="auto"/>
          <w:w w:val="99"/>
          <w:highlight w:val="none"/>
        </w:rPr>
        <w:t>值）</w:t>
      </w:r>
    </w:p>
    <w:tbl>
      <w:tblPr>
        <w:tblStyle w:val="81"/>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57"/>
        <w:gridCol w:w="1353"/>
        <w:gridCol w:w="1680"/>
        <w:gridCol w:w="1548"/>
        <w:gridCol w:w="1621"/>
        <w:gridCol w:w="21"/>
      </w:tblGrid>
      <w:tr w14:paraId="107F7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4" w:hRule="atLeast"/>
          <w:jc w:val="center"/>
        </w:trPr>
        <w:tc>
          <w:tcPr>
            <w:tcW w:w="1647" w:type="pct"/>
            <w:vMerge w:val="restart"/>
            <w:vAlign w:val="center"/>
          </w:tcPr>
          <w:p w14:paraId="7791996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监测项目</w:t>
            </w:r>
          </w:p>
        </w:tc>
        <w:tc>
          <w:tcPr>
            <w:tcW w:w="3352" w:type="pct"/>
            <w:gridSpan w:val="5"/>
            <w:tcBorders>
              <w:right w:val="single" w:color="auto" w:sz="4" w:space="0"/>
            </w:tcBorders>
            <w:vAlign w:val="center"/>
          </w:tcPr>
          <w:p w14:paraId="27B69EC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监测点位及评价结果</w:t>
            </w:r>
          </w:p>
        </w:tc>
      </w:tr>
      <w:tr w14:paraId="564E0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647" w:type="pct"/>
            <w:vMerge w:val="continue"/>
            <w:vAlign w:val="center"/>
          </w:tcPr>
          <w:p w14:paraId="48C56F4D">
            <w:pPr>
              <w:spacing w:line="360" w:lineRule="exact"/>
              <w:jc w:val="center"/>
              <w:rPr>
                <w:rFonts w:ascii="Times New Roman" w:hAnsi="Times New Roman" w:cs="Times New Roman" w:eastAsiaTheme="minorEastAsia"/>
                <w:color w:val="auto"/>
                <w:w w:val="99"/>
                <w:sz w:val="21"/>
                <w:szCs w:val="21"/>
                <w:highlight w:val="none"/>
              </w:rPr>
            </w:pPr>
          </w:p>
        </w:tc>
        <w:tc>
          <w:tcPr>
            <w:tcW w:w="2468" w:type="pct"/>
            <w:gridSpan w:val="3"/>
            <w:tcBorders>
              <w:left w:val="single" w:color="auto" w:sz="4" w:space="0"/>
              <w:right w:val="single" w:color="auto" w:sz="4" w:space="0"/>
            </w:tcBorders>
            <w:vAlign w:val="center"/>
          </w:tcPr>
          <w:p w14:paraId="594BC72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拟建徐深27-H1井井场占地内1#</w:t>
            </w:r>
          </w:p>
        </w:tc>
        <w:tc>
          <w:tcPr>
            <w:tcW w:w="884" w:type="pct"/>
            <w:gridSpan w:val="2"/>
            <w:tcBorders>
              <w:left w:val="single" w:color="auto" w:sz="4" w:space="0"/>
              <w:right w:val="single" w:color="auto" w:sz="4" w:space="0"/>
            </w:tcBorders>
            <w:vAlign w:val="center"/>
          </w:tcPr>
          <w:p w14:paraId="4B23BF0A">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徐深27集气站内拟建阀组区</w:t>
            </w:r>
          </w:p>
        </w:tc>
      </w:tr>
      <w:tr w14:paraId="2F1F2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Merge w:val="continue"/>
            <w:vAlign w:val="center"/>
          </w:tcPr>
          <w:p w14:paraId="77E699DD">
            <w:pPr>
              <w:spacing w:line="360" w:lineRule="exact"/>
              <w:jc w:val="center"/>
              <w:rPr>
                <w:rFonts w:ascii="Times New Roman" w:hAnsi="Times New Roman" w:cs="Times New Roman" w:eastAsiaTheme="minorEastAsia"/>
                <w:color w:val="auto"/>
                <w:w w:val="99"/>
                <w:sz w:val="21"/>
                <w:szCs w:val="21"/>
                <w:highlight w:val="none"/>
              </w:rPr>
            </w:pPr>
          </w:p>
        </w:tc>
        <w:tc>
          <w:tcPr>
            <w:tcW w:w="729" w:type="pct"/>
            <w:vAlign w:val="center"/>
          </w:tcPr>
          <w:p w14:paraId="64A9A4F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0-50cm</w:t>
            </w:r>
          </w:p>
        </w:tc>
        <w:tc>
          <w:tcPr>
            <w:tcW w:w="905" w:type="pct"/>
            <w:vAlign w:val="center"/>
          </w:tcPr>
          <w:p w14:paraId="5B29ED3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50-150cm</w:t>
            </w:r>
          </w:p>
        </w:tc>
        <w:tc>
          <w:tcPr>
            <w:tcW w:w="833" w:type="pct"/>
            <w:vAlign w:val="center"/>
          </w:tcPr>
          <w:p w14:paraId="727F641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150-300cm</w:t>
            </w:r>
          </w:p>
        </w:tc>
        <w:tc>
          <w:tcPr>
            <w:tcW w:w="873" w:type="pct"/>
            <w:tcBorders>
              <w:right w:val="single" w:color="auto" w:sz="4" w:space="0"/>
            </w:tcBorders>
            <w:vAlign w:val="center"/>
          </w:tcPr>
          <w:p w14:paraId="1C30079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r>
              <w:rPr>
                <w:rFonts w:hint="eastAsia" w:ascii="Times New Roman" w:hAnsi="Times New Roman" w:cs="Times New Roman" w:eastAsiaTheme="minorEastAsia"/>
                <w:color w:val="auto"/>
                <w:w w:val="99"/>
                <w:sz w:val="21"/>
                <w:szCs w:val="21"/>
                <w:highlight w:val="none"/>
                <w:lang w:val="en-US" w:eastAsia="zh-CN"/>
              </w:rPr>
              <w:t>20</w:t>
            </w:r>
            <w:r>
              <w:rPr>
                <w:rFonts w:ascii="Times New Roman" w:hAnsi="Times New Roman" w:cs="Times New Roman" w:eastAsiaTheme="minorEastAsia"/>
                <w:color w:val="auto"/>
                <w:w w:val="99"/>
                <w:sz w:val="21"/>
                <w:szCs w:val="21"/>
                <w:highlight w:val="none"/>
              </w:rPr>
              <w:t>cm</w:t>
            </w:r>
          </w:p>
        </w:tc>
      </w:tr>
      <w:tr w14:paraId="659E5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5A453EA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镉（Cd）</w:t>
            </w:r>
          </w:p>
        </w:tc>
        <w:tc>
          <w:tcPr>
            <w:tcW w:w="729" w:type="pct"/>
            <w:vAlign w:val="center"/>
          </w:tcPr>
          <w:p w14:paraId="2D82515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0.0012 </w:t>
            </w:r>
          </w:p>
        </w:tc>
        <w:tc>
          <w:tcPr>
            <w:tcW w:w="905" w:type="pct"/>
            <w:vAlign w:val="center"/>
          </w:tcPr>
          <w:p w14:paraId="7B770596">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0.0018 </w:t>
            </w:r>
          </w:p>
        </w:tc>
        <w:tc>
          <w:tcPr>
            <w:tcW w:w="833" w:type="pct"/>
            <w:vAlign w:val="center"/>
          </w:tcPr>
          <w:p w14:paraId="201E584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0.0017 </w:t>
            </w:r>
          </w:p>
        </w:tc>
        <w:tc>
          <w:tcPr>
            <w:tcW w:w="873" w:type="pct"/>
            <w:vAlign w:val="center"/>
          </w:tcPr>
          <w:p w14:paraId="472DA7AF">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0.0014 </w:t>
            </w:r>
          </w:p>
        </w:tc>
      </w:tr>
      <w:tr w14:paraId="7A38E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07B7807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汞（Hg）</w:t>
            </w:r>
          </w:p>
        </w:tc>
        <w:tc>
          <w:tcPr>
            <w:tcW w:w="729" w:type="pct"/>
            <w:vAlign w:val="center"/>
          </w:tcPr>
          <w:p w14:paraId="25C7697C">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0.0006 </w:t>
            </w:r>
          </w:p>
        </w:tc>
        <w:tc>
          <w:tcPr>
            <w:tcW w:w="905" w:type="pct"/>
            <w:vAlign w:val="center"/>
          </w:tcPr>
          <w:p w14:paraId="6E268C3E">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0.0004 </w:t>
            </w:r>
          </w:p>
        </w:tc>
        <w:tc>
          <w:tcPr>
            <w:tcW w:w="833" w:type="pct"/>
            <w:vAlign w:val="center"/>
          </w:tcPr>
          <w:p w14:paraId="57DF0A54">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0.0006 </w:t>
            </w:r>
          </w:p>
        </w:tc>
        <w:tc>
          <w:tcPr>
            <w:tcW w:w="873" w:type="pct"/>
            <w:vAlign w:val="center"/>
          </w:tcPr>
          <w:p w14:paraId="229C1042">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0.0006 </w:t>
            </w:r>
          </w:p>
        </w:tc>
      </w:tr>
      <w:tr w14:paraId="7B5E4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746A59A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砷（As）</w:t>
            </w:r>
          </w:p>
        </w:tc>
        <w:tc>
          <w:tcPr>
            <w:tcW w:w="729" w:type="pct"/>
            <w:vAlign w:val="center"/>
          </w:tcPr>
          <w:p w14:paraId="2EFE75F2">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0.0635 </w:t>
            </w:r>
          </w:p>
        </w:tc>
        <w:tc>
          <w:tcPr>
            <w:tcW w:w="905" w:type="pct"/>
            <w:vAlign w:val="center"/>
          </w:tcPr>
          <w:p w14:paraId="72FF9EC0">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0.0673 </w:t>
            </w:r>
          </w:p>
        </w:tc>
        <w:tc>
          <w:tcPr>
            <w:tcW w:w="833" w:type="pct"/>
            <w:vAlign w:val="center"/>
          </w:tcPr>
          <w:p w14:paraId="537A23C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0.0660 </w:t>
            </w:r>
          </w:p>
        </w:tc>
        <w:tc>
          <w:tcPr>
            <w:tcW w:w="873" w:type="pct"/>
            <w:vAlign w:val="center"/>
          </w:tcPr>
          <w:p w14:paraId="0FBBAF90">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0.0593 </w:t>
            </w:r>
          </w:p>
        </w:tc>
      </w:tr>
      <w:tr w14:paraId="2C869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6B4D07D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铅（Pb）</w:t>
            </w:r>
          </w:p>
        </w:tc>
        <w:tc>
          <w:tcPr>
            <w:tcW w:w="729" w:type="pct"/>
            <w:vAlign w:val="center"/>
          </w:tcPr>
          <w:p w14:paraId="05324821">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0.0188 </w:t>
            </w:r>
          </w:p>
        </w:tc>
        <w:tc>
          <w:tcPr>
            <w:tcW w:w="905" w:type="pct"/>
            <w:vAlign w:val="center"/>
          </w:tcPr>
          <w:p w14:paraId="7505D40E">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0.0263 </w:t>
            </w:r>
          </w:p>
        </w:tc>
        <w:tc>
          <w:tcPr>
            <w:tcW w:w="833" w:type="pct"/>
            <w:vAlign w:val="center"/>
          </w:tcPr>
          <w:p w14:paraId="7BA5148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0.0300 </w:t>
            </w:r>
          </w:p>
        </w:tc>
        <w:tc>
          <w:tcPr>
            <w:tcW w:w="873" w:type="pct"/>
            <w:vAlign w:val="center"/>
          </w:tcPr>
          <w:p w14:paraId="071120D7">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0.0200 </w:t>
            </w:r>
          </w:p>
        </w:tc>
      </w:tr>
      <w:tr w14:paraId="6F3BC0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42D7D56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铬（六价）</w:t>
            </w:r>
          </w:p>
        </w:tc>
        <w:tc>
          <w:tcPr>
            <w:tcW w:w="729" w:type="pct"/>
            <w:vAlign w:val="center"/>
          </w:tcPr>
          <w:p w14:paraId="6D228F9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61EB25B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1511B3C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632A567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2D3AC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6252900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铜（Cu）</w:t>
            </w:r>
          </w:p>
        </w:tc>
        <w:tc>
          <w:tcPr>
            <w:tcW w:w="729" w:type="pct"/>
            <w:vAlign w:val="center"/>
          </w:tcPr>
          <w:p w14:paraId="146B785E">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0.0007 </w:t>
            </w:r>
          </w:p>
        </w:tc>
        <w:tc>
          <w:tcPr>
            <w:tcW w:w="905" w:type="pct"/>
            <w:vAlign w:val="center"/>
          </w:tcPr>
          <w:p w14:paraId="79F5673E">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0.0006 </w:t>
            </w:r>
          </w:p>
        </w:tc>
        <w:tc>
          <w:tcPr>
            <w:tcW w:w="833" w:type="pct"/>
            <w:vAlign w:val="center"/>
          </w:tcPr>
          <w:p w14:paraId="56869F1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0.0008 </w:t>
            </w:r>
          </w:p>
        </w:tc>
        <w:tc>
          <w:tcPr>
            <w:tcW w:w="873" w:type="pct"/>
            <w:vAlign w:val="center"/>
          </w:tcPr>
          <w:p w14:paraId="05925961">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0.0010 </w:t>
            </w:r>
          </w:p>
        </w:tc>
      </w:tr>
      <w:tr w14:paraId="21609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41F0B3D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镍（Ni）</w:t>
            </w:r>
          </w:p>
        </w:tc>
        <w:tc>
          <w:tcPr>
            <w:tcW w:w="729" w:type="pct"/>
            <w:vAlign w:val="center"/>
          </w:tcPr>
          <w:p w14:paraId="4A2F7BAB">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0.0211 </w:t>
            </w:r>
          </w:p>
        </w:tc>
        <w:tc>
          <w:tcPr>
            <w:tcW w:w="905" w:type="pct"/>
            <w:vAlign w:val="center"/>
          </w:tcPr>
          <w:p w14:paraId="1AA83D0B">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0.0233 </w:t>
            </w:r>
          </w:p>
        </w:tc>
        <w:tc>
          <w:tcPr>
            <w:tcW w:w="833" w:type="pct"/>
            <w:vAlign w:val="center"/>
          </w:tcPr>
          <w:p w14:paraId="433A9461">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0.0267 </w:t>
            </w:r>
          </w:p>
        </w:tc>
        <w:tc>
          <w:tcPr>
            <w:tcW w:w="873" w:type="pct"/>
            <w:vAlign w:val="center"/>
          </w:tcPr>
          <w:p w14:paraId="395B2EB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0.0244 </w:t>
            </w:r>
          </w:p>
        </w:tc>
      </w:tr>
      <w:tr w14:paraId="17A98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1110F18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w:t>
            </w:r>
          </w:p>
        </w:tc>
        <w:tc>
          <w:tcPr>
            <w:tcW w:w="729" w:type="pct"/>
            <w:vAlign w:val="center"/>
          </w:tcPr>
          <w:p w14:paraId="520EE4D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206EF92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5C594B9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68B50A4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731D9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5CD6143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甲苯</w:t>
            </w:r>
          </w:p>
        </w:tc>
        <w:tc>
          <w:tcPr>
            <w:tcW w:w="729" w:type="pct"/>
            <w:vAlign w:val="center"/>
          </w:tcPr>
          <w:p w14:paraId="1BD1C2D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592BA10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79CE0A0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706358A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1BDB7D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515D38F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乙苯</w:t>
            </w:r>
          </w:p>
        </w:tc>
        <w:tc>
          <w:tcPr>
            <w:tcW w:w="729" w:type="pct"/>
            <w:vAlign w:val="center"/>
          </w:tcPr>
          <w:p w14:paraId="005EB35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4C13147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1305808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5520E56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367C3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4E7D2AE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氯苯</w:t>
            </w:r>
          </w:p>
        </w:tc>
        <w:tc>
          <w:tcPr>
            <w:tcW w:w="729" w:type="pct"/>
            <w:vAlign w:val="center"/>
          </w:tcPr>
          <w:p w14:paraId="32E2B6A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3E86185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3961464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63D20F3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145569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5633783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苯乙烯</w:t>
            </w:r>
          </w:p>
        </w:tc>
        <w:tc>
          <w:tcPr>
            <w:tcW w:w="729" w:type="pct"/>
            <w:vAlign w:val="center"/>
          </w:tcPr>
          <w:p w14:paraId="0F98368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5D71346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5AF55A2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1191074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1BB7A3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2BBBEB6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间二甲苯+对二甲苯</w:t>
            </w:r>
          </w:p>
        </w:tc>
        <w:tc>
          <w:tcPr>
            <w:tcW w:w="729" w:type="pct"/>
            <w:vAlign w:val="center"/>
          </w:tcPr>
          <w:p w14:paraId="634196F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664A754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5182DB7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2429816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3CF0BA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6F03DE6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邻二甲苯</w:t>
            </w:r>
          </w:p>
        </w:tc>
        <w:tc>
          <w:tcPr>
            <w:tcW w:w="729" w:type="pct"/>
            <w:vAlign w:val="center"/>
          </w:tcPr>
          <w:p w14:paraId="02784CF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5C2E870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7FFE56A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5B4F505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259E8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7A41F93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氯乙烯</w:t>
            </w:r>
          </w:p>
        </w:tc>
        <w:tc>
          <w:tcPr>
            <w:tcW w:w="729" w:type="pct"/>
            <w:vAlign w:val="center"/>
          </w:tcPr>
          <w:p w14:paraId="5002782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09C7C9B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5092DDC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2D53FDA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0A3171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4CC8DA0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1,2-二氯苯</w:t>
            </w:r>
          </w:p>
        </w:tc>
        <w:tc>
          <w:tcPr>
            <w:tcW w:w="729" w:type="pct"/>
            <w:vAlign w:val="center"/>
          </w:tcPr>
          <w:p w14:paraId="5060713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1EE439C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348A39C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35D6512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0A8A6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25D44BE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1,4-二氯苯</w:t>
            </w:r>
          </w:p>
        </w:tc>
        <w:tc>
          <w:tcPr>
            <w:tcW w:w="729" w:type="pct"/>
            <w:vAlign w:val="center"/>
          </w:tcPr>
          <w:p w14:paraId="5C6F8CF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3E80C41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6CEF7BB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3A69579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099C8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7BDD0D0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四氯化碳</w:t>
            </w:r>
          </w:p>
        </w:tc>
        <w:tc>
          <w:tcPr>
            <w:tcW w:w="729" w:type="pct"/>
            <w:vAlign w:val="center"/>
          </w:tcPr>
          <w:p w14:paraId="6A4AA66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4CDDBE6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71DEC6E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0A81FA1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7E271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54777EE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氯仿</w:t>
            </w:r>
          </w:p>
        </w:tc>
        <w:tc>
          <w:tcPr>
            <w:tcW w:w="729" w:type="pct"/>
            <w:vAlign w:val="center"/>
          </w:tcPr>
          <w:p w14:paraId="074BF3B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07D20CE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2046983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4F4A780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43CFDE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3CC67C1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氯甲烷</w:t>
            </w:r>
          </w:p>
        </w:tc>
        <w:tc>
          <w:tcPr>
            <w:tcW w:w="729" w:type="pct"/>
            <w:vAlign w:val="center"/>
          </w:tcPr>
          <w:p w14:paraId="25941EE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3E7270D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4760AC2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62B9DE5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6A347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18A1379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1,1-二氯乙烷</w:t>
            </w:r>
          </w:p>
        </w:tc>
        <w:tc>
          <w:tcPr>
            <w:tcW w:w="729" w:type="pct"/>
            <w:vAlign w:val="center"/>
          </w:tcPr>
          <w:p w14:paraId="7BDE12B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1180CA2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14D8F62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62679C1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7E2AE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7904B67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1,2-二氯乙烷</w:t>
            </w:r>
          </w:p>
        </w:tc>
        <w:tc>
          <w:tcPr>
            <w:tcW w:w="729" w:type="pct"/>
            <w:vAlign w:val="center"/>
          </w:tcPr>
          <w:p w14:paraId="44D9EE9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77A3099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44B3036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2296467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11019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4EF4EB9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1,1-二氯乙烯</w:t>
            </w:r>
          </w:p>
        </w:tc>
        <w:tc>
          <w:tcPr>
            <w:tcW w:w="729" w:type="pct"/>
            <w:vAlign w:val="center"/>
          </w:tcPr>
          <w:p w14:paraId="24FEEC2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62B5738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661DA4B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1A459DF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04734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0416221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顺-1,2-二氯乙烯</w:t>
            </w:r>
          </w:p>
        </w:tc>
        <w:tc>
          <w:tcPr>
            <w:tcW w:w="729" w:type="pct"/>
            <w:vAlign w:val="center"/>
          </w:tcPr>
          <w:p w14:paraId="6026BB2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48E609B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3C0E908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15CBAB5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6B940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54CF681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反-1,2-二氯乙烯</w:t>
            </w:r>
          </w:p>
        </w:tc>
        <w:tc>
          <w:tcPr>
            <w:tcW w:w="729" w:type="pct"/>
            <w:vAlign w:val="center"/>
          </w:tcPr>
          <w:p w14:paraId="33D7FE4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0043138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285025A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25C1B08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0BCF6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2A1A0EA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二氯甲烷</w:t>
            </w:r>
          </w:p>
        </w:tc>
        <w:tc>
          <w:tcPr>
            <w:tcW w:w="729" w:type="pct"/>
            <w:vAlign w:val="center"/>
          </w:tcPr>
          <w:p w14:paraId="44B0CEA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4DF46FB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356E051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58C6F04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4154B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2EF328F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1,2-二氯丙烷</w:t>
            </w:r>
          </w:p>
        </w:tc>
        <w:tc>
          <w:tcPr>
            <w:tcW w:w="729" w:type="pct"/>
            <w:vAlign w:val="center"/>
          </w:tcPr>
          <w:p w14:paraId="4177EFB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3134F53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57B0D4E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35E3FD5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57BF5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68FD269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1,1,1,2-四氯乙烷</w:t>
            </w:r>
          </w:p>
        </w:tc>
        <w:tc>
          <w:tcPr>
            <w:tcW w:w="729" w:type="pct"/>
            <w:vAlign w:val="center"/>
          </w:tcPr>
          <w:p w14:paraId="52BE187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61BC799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1692A90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136BF48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43710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638C0F8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1,1,2,2-四氯乙烷</w:t>
            </w:r>
          </w:p>
        </w:tc>
        <w:tc>
          <w:tcPr>
            <w:tcW w:w="729" w:type="pct"/>
            <w:vAlign w:val="center"/>
          </w:tcPr>
          <w:p w14:paraId="0F3C969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2269216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363429E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0A37DAC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0BF6A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62D675D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四氯乙烯</w:t>
            </w:r>
          </w:p>
        </w:tc>
        <w:tc>
          <w:tcPr>
            <w:tcW w:w="729" w:type="pct"/>
            <w:vAlign w:val="center"/>
          </w:tcPr>
          <w:p w14:paraId="5874D9E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15D96B3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50F2B1B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09995F3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564BA4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0FFBB5A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1,1,1-三氯乙烷</w:t>
            </w:r>
          </w:p>
        </w:tc>
        <w:tc>
          <w:tcPr>
            <w:tcW w:w="729" w:type="pct"/>
            <w:vAlign w:val="center"/>
          </w:tcPr>
          <w:p w14:paraId="4675B45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2C946F8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55878CE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4C351AE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57255C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2EF2350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1,1,2-三氯乙烷</w:t>
            </w:r>
          </w:p>
        </w:tc>
        <w:tc>
          <w:tcPr>
            <w:tcW w:w="729" w:type="pct"/>
            <w:vAlign w:val="center"/>
          </w:tcPr>
          <w:p w14:paraId="1CE8999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225A20F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76AF39A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3B44D0E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3D55D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4F5DA40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三氯乙烯</w:t>
            </w:r>
          </w:p>
        </w:tc>
        <w:tc>
          <w:tcPr>
            <w:tcW w:w="729" w:type="pct"/>
            <w:vAlign w:val="center"/>
          </w:tcPr>
          <w:p w14:paraId="5669BF6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31E1F5F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44A4F89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07E2859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481C0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21AA224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1,2,3-三氯丙烷</w:t>
            </w:r>
          </w:p>
        </w:tc>
        <w:tc>
          <w:tcPr>
            <w:tcW w:w="729" w:type="pct"/>
            <w:vAlign w:val="center"/>
          </w:tcPr>
          <w:p w14:paraId="16F2CA7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7B4E706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0B3A0CB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4D06631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1DE8D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7707C63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硝基苯</w:t>
            </w:r>
          </w:p>
        </w:tc>
        <w:tc>
          <w:tcPr>
            <w:tcW w:w="729" w:type="pct"/>
            <w:vAlign w:val="center"/>
          </w:tcPr>
          <w:p w14:paraId="004BDDE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798C000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0AEA70C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5EF54EC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229A7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082074C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苯胺</w:t>
            </w:r>
          </w:p>
        </w:tc>
        <w:tc>
          <w:tcPr>
            <w:tcW w:w="729" w:type="pct"/>
            <w:vAlign w:val="center"/>
          </w:tcPr>
          <w:p w14:paraId="602CB32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2DE10C1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2D98FDE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61509DC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1A1C1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1C2834E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2-氯酚</w:t>
            </w:r>
          </w:p>
        </w:tc>
        <w:tc>
          <w:tcPr>
            <w:tcW w:w="729" w:type="pct"/>
            <w:vAlign w:val="center"/>
          </w:tcPr>
          <w:p w14:paraId="4D823FC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18D6C36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021288F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1C1DBAC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18544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438C9A8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䓛</w:t>
            </w:r>
          </w:p>
        </w:tc>
        <w:tc>
          <w:tcPr>
            <w:tcW w:w="729" w:type="pct"/>
            <w:vAlign w:val="center"/>
          </w:tcPr>
          <w:p w14:paraId="041064F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03FE154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4581F09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24F7E7D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5043F8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7422C51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萘</w:t>
            </w:r>
          </w:p>
        </w:tc>
        <w:tc>
          <w:tcPr>
            <w:tcW w:w="729" w:type="pct"/>
            <w:vAlign w:val="center"/>
          </w:tcPr>
          <w:p w14:paraId="74F0F77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5B51D1D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6CEB0D1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10617D0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4AD730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5AB1AD7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苯并[a]蒽</w:t>
            </w:r>
          </w:p>
        </w:tc>
        <w:tc>
          <w:tcPr>
            <w:tcW w:w="729" w:type="pct"/>
            <w:vAlign w:val="center"/>
          </w:tcPr>
          <w:p w14:paraId="6D584A0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6F1CD74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407C2FB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773E4BE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26346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3C77C9A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苯并[b]荧蒽</w:t>
            </w:r>
          </w:p>
        </w:tc>
        <w:tc>
          <w:tcPr>
            <w:tcW w:w="729" w:type="pct"/>
            <w:vAlign w:val="center"/>
          </w:tcPr>
          <w:p w14:paraId="5A806A8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0B82B85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30E6EDD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26405F0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334F0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42F1199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苯并[k]荧蒽</w:t>
            </w:r>
          </w:p>
        </w:tc>
        <w:tc>
          <w:tcPr>
            <w:tcW w:w="729" w:type="pct"/>
            <w:vAlign w:val="center"/>
          </w:tcPr>
          <w:p w14:paraId="366F1E5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5FEB550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6228F50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584E174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6CFBB9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79C9E45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苯并[a]芘</w:t>
            </w:r>
          </w:p>
        </w:tc>
        <w:tc>
          <w:tcPr>
            <w:tcW w:w="729" w:type="pct"/>
            <w:vAlign w:val="center"/>
          </w:tcPr>
          <w:p w14:paraId="514A2F4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2603B37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7707E64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051AA8D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5D7F7C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0FF7505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茚并[1,2,3-cd]芘</w:t>
            </w:r>
          </w:p>
        </w:tc>
        <w:tc>
          <w:tcPr>
            <w:tcW w:w="729" w:type="pct"/>
            <w:vAlign w:val="center"/>
          </w:tcPr>
          <w:p w14:paraId="1DD0DB3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707691C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0FC2DC4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418A568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7CB00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7EEABE9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二苯并[a, h]蒽</w:t>
            </w:r>
          </w:p>
        </w:tc>
        <w:tc>
          <w:tcPr>
            <w:tcW w:w="729" w:type="pct"/>
            <w:vAlign w:val="center"/>
          </w:tcPr>
          <w:p w14:paraId="0E9E880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72D5B1B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0B106BC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1003ECD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2764D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08BCA82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10</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40</w:t>
            </w:r>
            <w:r>
              <w:rPr>
                <w:rFonts w:ascii="Times New Roman" w:hAnsi="Times New Roman" w:cs="Times New Roman" w:eastAsiaTheme="minorEastAsia"/>
                <w:color w:val="auto"/>
                <w:w w:val="99"/>
                <w:sz w:val="21"/>
                <w:szCs w:val="21"/>
                <w:highlight w:val="none"/>
              </w:rPr>
              <w:t>）</w:t>
            </w:r>
          </w:p>
        </w:tc>
        <w:tc>
          <w:tcPr>
            <w:tcW w:w="729" w:type="pct"/>
            <w:vAlign w:val="center"/>
          </w:tcPr>
          <w:p w14:paraId="488AC5B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0ED0D60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7CAE9EE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5212189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2891A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632EFC4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6</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9</w:t>
            </w:r>
            <w:r>
              <w:rPr>
                <w:rFonts w:ascii="Times New Roman" w:hAnsi="Times New Roman" w:cs="Times New Roman" w:eastAsiaTheme="minorEastAsia"/>
                <w:color w:val="auto"/>
                <w:w w:val="99"/>
                <w:sz w:val="21"/>
                <w:szCs w:val="21"/>
                <w:highlight w:val="none"/>
              </w:rPr>
              <w:t>）</w:t>
            </w:r>
          </w:p>
        </w:tc>
        <w:tc>
          <w:tcPr>
            <w:tcW w:w="729" w:type="pct"/>
            <w:vAlign w:val="center"/>
          </w:tcPr>
          <w:p w14:paraId="1C901AC3">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5F5F79D0">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6CD10BA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2AB8355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32C996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779F4694">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石油类</w:t>
            </w:r>
          </w:p>
        </w:tc>
        <w:tc>
          <w:tcPr>
            <w:tcW w:w="729" w:type="pct"/>
            <w:vAlign w:val="center"/>
          </w:tcPr>
          <w:p w14:paraId="3463A39D">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6D887DA6">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28492B5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1A0F660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2006D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0" w:type="pct"/>
          <w:trHeight w:val="340" w:hRule="atLeast"/>
          <w:jc w:val="center"/>
        </w:trPr>
        <w:tc>
          <w:tcPr>
            <w:tcW w:w="1647" w:type="pct"/>
            <w:vAlign w:val="center"/>
          </w:tcPr>
          <w:p w14:paraId="7A91270F">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水溶性盐总量</w:t>
            </w:r>
          </w:p>
        </w:tc>
        <w:tc>
          <w:tcPr>
            <w:tcW w:w="729" w:type="pct"/>
            <w:vAlign w:val="center"/>
          </w:tcPr>
          <w:p w14:paraId="2D9457B2">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905" w:type="pct"/>
            <w:vAlign w:val="center"/>
          </w:tcPr>
          <w:p w14:paraId="2EF51B36">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33" w:type="pct"/>
            <w:vAlign w:val="center"/>
          </w:tcPr>
          <w:p w14:paraId="0C21AE6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873" w:type="pct"/>
            <w:vAlign w:val="center"/>
          </w:tcPr>
          <w:p w14:paraId="032C595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bl>
    <w:p w14:paraId="41A4893E">
      <w:pPr>
        <w:pStyle w:val="153"/>
        <w:widowControl w:val="0"/>
        <w:spacing w:line="440" w:lineRule="exact"/>
        <w:ind w:firstLine="474"/>
        <w:rPr>
          <w:rFonts w:ascii="Times New Roman" w:hAnsi="Times New Roman" w:eastAsiaTheme="minorEastAsia"/>
          <w:b/>
          <w:color w:val="auto"/>
          <w:w w:val="99"/>
          <w:kern w:val="21"/>
          <w:highlight w:val="none"/>
        </w:rPr>
      </w:pPr>
      <w:r>
        <w:rPr>
          <w:rFonts w:ascii="Times New Roman" w:hAnsi="Times New Roman" w:eastAsiaTheme="minorEastAsia"/>
          <w:b/>
          <w:color w:val="auto"/>
          <w:w w:val="99"/>
          <w:kern w:val="21"/>
          <w:highlight w:val="none"/>
          <w:lang w:bidi="zh-CN"/>
        </w:rPr>
        <w:t>表</w:t>
      </w:r>
      <w:r>
        <w:rPr>
          <w:rFonts w:ascii="Times New Roman" w:hAnsi="Times New Roman" w:eastAsiaTheme="minorEastAsia"/>
          <w:b/>
          <w:color w:val="auto"/>
          <w:w w:val="99"/>
          <w:kern w:val="2"/>
          <w:szCs w:val="20"/>
          <w:highlight w:val="none"/>
        </w:rPr>
        <w:t>4.3-</w:t>
      </w:r>
      <w:r>
        <w:rPr>
          <w:rFonts w:hint="eastAsia" w:ascii="Times New Roman" w:hAnsi="Times New Roman" w:eastAsiaTheme="minorEastAsia"/>
          <w:b/>
          <w:color w:val="auto"/>
          <w:w w:val="99"/>
          <w:kern w:val="2"/>
          <w:szCs w:val="20"/>
          <w:highlight w:val="none"/>
        </w:rPr>
        <w:t>2</w:t>
      </w:r>
      <w:r>
        <w:rPr>
          <w:rFonts w:ascii="Times New Roman" w:hAnsi="Times New Roman" w:eastAsiaTheme="minorEastAsia"/>
          <w:b/>
          <w:color w:val="auto"/>
          <w:w w:val="99"/>
          <w:kern w:val="2"/>
          <w:szCs w:val="20"/>
          <w:highlight w:val="none"/>
        </w:rPr>
        <w:t>4</w:t>
      </w:r>
      <w:r>
        <w:rPr>
          <w:rFonts w:ascii="Times New Roman" w:hAnsi="Times New Roman" w:eastAsiaTheme="minorEastAsia"/>
          <w:b/>
          <w:color w:val="auto"/>
          <w:w w:val="99"/>
          <w:kern w:val="21"/>
          <w:highlight w:val="none"/>
          <w:lang w:bidi="zh-CN"/>
        </w:rPr>
        <w:t xml:space="preserve">    </w:t>
      </w:r>
      <w:r>
        <w:rPr>
          <w:rFonts w:ascii="Times New Roman" w:hAnsi="Times New Roman" w:eastAsiaTheme="minorEastAsia"/>
          <w:b/>
          <w:color w:val="auto"/>
          <w:w w:val="99"/>
          <w:kern w:val="21"/>
          <w:highlight w:val="none"/>
        </w:rPr>
        <w:t>农用地</w:t>
      </w:r>
      <w:r>
        <w:rPr>
          <w:rFonts w:ascii="Times New Roman" w:hAnsi="Times New Roman" w:eastAsiaTheme="minorEastAsia"/>
          <w:b/>
          <w:color w:val="auto"/>
          <w:w w:val="99"/>
          <w:highlight w:val="none"/>
        </w:rPr>
        <w:t>土壤环境质量</w:t>
      </w:r>
      <w:r>
        <w:rPr>
          <w:rFonts w:ascii="Times New Roman" w:hAnsi="Times New Roman" w:eastAsiaTheme="minorEastAsia"/>
          <w:b/>
          <w:color w:val="auto"/>
          <w:w w:val="99"/>
          <w:kern w:val="21"/>
          <w:highlight w:val="none"/>
        </w:rPr>
        <w:t>现状评价结果</w:t>
      </w:r>
      <w:r>
        <w:rPr>
          <w:rFonts w:ascii="Times New Roman" w:hAnsi="Times New Roman" w:eastAsiaTheme="minorEastAsia"/>
          <w:b/>
          <w:color w:val="auto"/>
          <w:w w:val="99"/>
          <w:highlight w:val="none"/>
        </w:rPr>
        <w:t>（K</w:t>
      </w:r>
      <w:r>
        <w:rPr>
          <w:rFonts w:ascii="Times New Roman" w:hAnsi="Times New Roman" w:eastAsiaTheme="minorEastAsia"/>
          <w:b/>
          <w:color w:val="auto"/>
          <w:w w:val="99"/>
          <w:highlight w:val="none"/>
          <w:vertAlign w:val="subscript"/>
        </w:rPr>
        <w:t>i</w:t>
      </w:r>
      <w:r>
        <w:rPr>
          <w:rFonts w:ascii="Times New Roman" w:hAnsi="Times New Roman" w:eastAsiaTheme="minorEastAsia"/>
          <w:b/>
          <w:color w:val="auto"/>
          <w:w w:val="99"/>
          <w:highlight w:val="none"/>
        </w:rPr>
        <w:t>值）</w:t>
      </w:r>
    </w:p>
    <w:tbl>
      <w:tblPr>
        <w:tblStyle w:val="81"/>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923"/>
        <w:gridCol w:w="2680"/>
        <w:gridCol w:w="2680"/>
      </w:tblGrid>
      <w:tr w14:paraId="240EC7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vMerge w:val="restart"/>
            <w:vAlign w:val="center"/>
          </w:tcPr>
          <w:p w14:paraId="6031DAC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监测项目</w:t>
            </w:r>
          </w:p>
        </w:tc>
        <w:tc>
          <w:tcPr>
            <w:tcW w:w="2886" w:type="pct"/>
            <w:gridSpan w:val="2"/>
            <w:tcBorders>
              <w:right w:val="single" w:color="auto" w:sz="4" w:space="0"/>
            </w:tcBorders>
            <w:vAlign w:val="center"/>
          </w:tcPr>
          <w:p w14:paraId="73A1DFA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监测点位及评价结果</w:t>
            </w:r>
          </w:p>
        </w:tc>
      </w:tr>
      <w:tr w14:paraId="3D69A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vMerge w:val="continue"/>
            <w:vAlign w:val="center"/>
          </w:tcPr>
          <w:p w14:paraId="65FD5B06">
            <w:pPr>
              <w:spacing w:line="360" w:lineRule="exact"/>
              <w:jc w:val="center"/>
              <w:rPr>
                <w:rFonts w:ascii="Times New Roman" w:hAnsi="Times New Roman" w:cs="Times New Roman" w:eastAsiaTheme="minorEastAsia"/>
                <w:color w:val="auto"/>
                <w:w w:val="99"/>
                <w:sz w:val="21"/>
                <w:szCs w:val="21"/>
                <w:highlight w:val="none"/>
              </w:rPr>
            </w:pPr>
          </w:p>
        </w:tc>
        <w:tc>
          <w:tcPr>
            <w:tcW w:w="2680" w:type="dxa"/>
            <w:vAlign w:val="center"/>
          </w:tcPr>
          <w:p w14:paraId="4399F169">
            <w:pPr>
              <w:pStyle w:val="27"/>
              <w:jc w:val="center"/>
              <w:rPr>
                <w:rFonts w:ascii="Times New Roman" w:hAnsi="Times New Roman" w:eastAsiaTheme="minorEastAsia"/>
                <w:color w:val="auto"/>
                <w:w w:val="99"/>
                <w:sz w:val="21"/>
                <w:szCs w:val="21"/>
                <w:highlight w:val="none"/>
              </w:rPr>
            </w:pPr>
            <w:r>
              <w:rPr>
                <w:rFonts w:hint="eastAsia" w:ascii="Times New Roman" w:hAnsi="Times New Roman" w:eastAsiaTheme="minorEastAsia"/>
                <w:color w:val="auto"/>
                <w:w w:val="99"/>
                <w:sz w:val="21"/>
                <w:szCs w:val="21"/>
                <w:highlight w:val="none"/>
              </w:rPr>
              <w:t>拟建徐深27-H1井井场占地外南侧200m</w:t>
            </w:r>
          </w:p>
        </w:tc>
        <w:tc>
          <w:tcPr>
            <w:tcW w:w="2680" w:type="dxa"/>
            <w:tcBorders>
              <w:right w:val="single" w:color="auto" w:sz="4" w:space="0"/>
            </w:tcBorders>
            <w:vAlign w:val="center"/>
          </w:tcPr>
          <w:p w14:paraId="03CF2922">
            <w:pPr>
              <w:pStyle w:val="27"/>
              <w:jc w:val="center"/>
              <w:rPr>
                <w:rFonts w:ascii="Times New Roman" w:hAnsi="Times New Roman" w:eastAsiaTheme="minorEastAsia"/>
                <w:color w:val="auto"/>
                <w:w w:val="99"/>
                <w:sz w:val="21"/>
                <w:szCs w:val="21"/>
                <w:highlight w:val="none"/>
              </w:rPr>
            </w:pPr>
            <w:r>
              <w:rPr>
                <w:rFonts w:hint="eastAsia" w:ascii="Times New Roman" w:hAnsi="Times New Roman" w:eastAsiaTheme="minorEastAsia"/>
                <w:color w:val="auto"/>
                <w:w w:val="99"/>
                <w:sz w:val="21"/>
                <w:szCs w:val="21"/>
                <w:highlight w:val="none"/>
              </w:rPr>
              <w:t>拟建徐深27-H1井井场占地外西侧200m</w:t>
            </w:r>
          </w:p>
        </w:tc>
      </w:tr>
      <w:tr w14:paraId="75D9D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vMerge w:val="continue"/>
            <w:vAlign w:val="center"/>
          </w:tcPr>
          <w:p w14:paraId="18DCFBC5">
            <w:pPr>
              <w:spacing w:line="360" w:lineRule="exact"/>
              <w:jc w:val="center"/>
              <w:rPr>
                <w:rFonts w:ascii="Times New Roman" w:hAnsi="Times New Roman" w:cs="Times New Roman" w:eastAsiaTheme="minorEastAsia"/>
                <w:color w:val="auto"/>
                <w:w w:val="99"/>
                <w:sz w:val="21"/>
                <w:szCs w:val="21"/>
                <w:highlight w:val="none"/>
              </w:rPr>
            </w:pPr>
          </w:p>
        </w:tc>
        <w:tc>
          <w:tcPr>
            <w:tcW w:w="1443" w:type="pct"/>
            <w:vAlign w:val="center"/>
          </w:tcPr>
          <w:p w14:paraId="70B37B2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0-20cm</w:t>
            </w:r>
          </w:p>
        </w:tc>
        <w:tc>
          <w:tcPr>
            <w:tcW w:w="1443" w:type="pct"/>
            <w:vAlign w:val="center"/>
          </w:tcPr>
          <w:p w14:paraId="30883EB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0-20cm</w:t>
            </w:r>
          </w:p>
        </w:tc>
      </w:tr>
      <w:tr w14:paraId="63E46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vAlign w:val="center"/>
          </w:tcPr>
          <w:p w14:paraId="410E9F6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镉</w:t>
            </w:r>
          </w:p>
        </w:tc>
        <w:tc>
          <w:tcPr>
            <w:tcW w:w="2680" w:type="dxa"/>
            <w:vAlign w:val="center"/>
          </w:tcPr>
          <w:p w14:paraId="69059DA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0.1667 </w:t>
            </w:r>
          </w:p>
        </w:tc>
        <w:tc>
          <w:tcPr>
            <w:tcW w:w="2680" w:type="dxa"/>
            <w:vAlign w:val="center"/>
          </w:tcPr>
          <w:p w14:paraId="177E508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0.2000 </w:t>
            </w:r>
          </w:p>
        </w:tc>
      </w:tr>
      <w:tr w14:paraId="2A05F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vAlign w:val="center"/>
          </w:tcPr>
          <w:p w14:paraId="4B469D9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汞</w:t>
            </w:r>
          </w:p>
        </w:tc>
        <w:tc>
          <w:tcPr>
            <w:tcW w:w="2680" w:type="dxa"/>
            <w:vAlign w:val="center"/>
          </w:tcPr>
          <w:p w14:paraId="6F1921F1">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0.0054 </w:t>
            </w:r>
          </w:p>
        </w:tc>
        <w:tc>
          <w:tcPr>
            <w:tcW w:w="2680" w:type="dxa"/>
            <w:vAlign w:val="center"/>
          </w:tcPr>
          <w:p w14:paraId="32380433">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0.0071 </w:t>
            </w:r>
          </w:p>
        </w:tc>
      </w:tr>
      <w:tr w14:paraId="2C257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vAlign w:val="center"/>
          </w:tcPr>
          <w:p w14:paraId="41DC4A1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砷</w:t>
            </w:r>
          </w:p>
        </w:tc>
        <w:tc>
          <w:tcPr>
            <w:tcW w:w="2680" w:type="dxa"/>
            <w:vAlign w:val="center"/>
          </w:tcPr>
          <w:p w14:paraId="3B12101E">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0.1428 </w:t>
            </w:r>
          </w:p>
        </w:tc>
        <w:tc>
          <w:tcPr>
            <w:tcW w:w="2680" w:type="dxa"/>
            <w:vAlign w:val="center"/>
          </w:tcPr>
          <w:p w14:paraId="3F01339A">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0.1464 </w:t>
            </w:r>
          </w:p>
        </w:tc>
      </w:tr>
      <w:tr w14:paraId="3ABB5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vAlign w:val="center"/>
          </w:tcPr>
          <w:p w14:paraId="34B60C6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铅</w:t>
            </w:r>
          </w:p>
        </w:tc>
        <w:tc>
          <w:tcPr>
            <w:tcW w:w="2680" w:type="dxa"/>
            <w:vAlign w:val="center"/>
          </w:tcPr>
          <w:p w14:paraId="47071CB1">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0.0882 </w:t>
            </w:r>
          </w:p>
        </w:tc>
        <w:tc>
          <w:tcPr>
            <w:tcW w:w="2680" w:type="dxa"/>
            <w:vAlign w:val="center"/>
          </w:tcPr>
          <w:p w14:paraId="76E49880">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0.1118 </w:t>
            </w:r>
          </w:p>
        </w:tc>
      </w:tr>
      <w:tr w14:paraId="578992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vAlign w:val="center"/>
          </w:tcPr>
          <w:p w14:paraId="40FB692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铬</w:t>
            </w:r>
          </w:p>
        </w:tc>
        <w:tc>
          <w:tcPr>
            <w:tcW w:w="2680" w:type="dxa"/>
            <w:vAlign w:val="center"/>
          </w:tcPr>
          <w:p w14:paraId="07FEA9A2">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0.1920 </w:t>
            </w:r>
          </w:p>
        </w:tc>
        <w:tc>
          <w:tcPr>
            <w:tcW w:w="2680" w:type="dxa"/>
            <w:vAlign w:val="center"/>
          </w:tcPr>
          <w:p w14:paraId="4FBE6DDD">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0.2120 </w:t>
            </w:r>
          </w:p>
        </w:tc>
      </w:tr>
      <w:tr w14:paraId="7B329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vAlign w:val="center"/>
          </w:tcPr>
          <w:p w14:paraId="53B6A89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铜</w:t>
            </w:r>
          </w:p>
        </w:tc>
        <w:tc>
          <w:tcPr>
            <w:tcW w:w="2680" w:type="dxa"/>
            <w:vAlign w:val="center"/>
          </w:tcPr>
          <w:p w14:paraId="216F7F94">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0.1900 </w:t>
            </w:r>
          </w:p>
        </w:tc>
        <w:tc>
          <w:tcPr>
            <w:tcW w:w="2680" w:type="dxa"/>
            <w:vAlign w:val="center"/>
          </w:tcPr>
          <w:p w14:paraId="4D7E23DC">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0.1100 </w:t>
            </w:r>
          </w:p>
        </w:tc>
      </w:tr>
      <w:tr w14:paraId="0D201E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0" w:hRule="atLeast"/>
          <w:jc w:val="center"/>
        </w:trPr>
        <w:tc>
          <w:tcPr>
            <w:tcW w:w="2113" w:type="pct"/>
            <w:vAlign w:val="center"/>
          </w:tcPr>
          <w:p w14:paraId="5F3C356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镍</w:t>
            </w:r>
          </w:p>
        </w:tc>
        <w:tc>
          <w:tcPr>
            <w:tcW w:w="2680" w:type="dxa"/>
            <w:vAlign w:val="center"/>
          </w:tcPr>
          <w:p w14:paraId="23D9F67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0.1158 </w:t>
            </w:r>
          </w:p>
        </w:tc>
        <w:tc>
          <w:tcPr>
            <w:tcW w:w="2680" w:type="dxa"/>
            <w:vAlign w:val="center"/>
          </w:tcPr>
          <w:p w14:paraId="7BD09CE6">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0.1263 </w:t>
            </w:r>
          </w:p>
        </w:tc>
      </w:tr>
      <w:tr w14:paraId="1D095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vAlign w:val="center"/>
          </w:tcPr>
          <w:p w14:paraId="244AE3C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锌</w:t>
            </w:r>
          </w:p>
        </w:tc>
        <w:tc>
          <w:tcPr>
            <w:tcW w:w="2680" w:type="dxa"/>
            <w:vAlign w:val="center"/>
          </w:tcPr>
          <w:p w14:paraId="68106D47">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0.2033 </w:t>
            </w:r>
          </w:p>
        </w:tc>
        <w:tc>
          <w:tcPr>
            <w:tcW w:w="2680" w:type="dxa"/>
            <w:vAlign w:val="center"/>
          </w:tcPr>
          <w:p w14:paraId="593D3AE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0.1900 </w:t>
            </w:r>
          </w:p>
        </w:tc>
      </w:tr>
      <w:tr w14:paraId="3CFB5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vAlign w:val="center"/>
          </w:tcPr>
          <w:p w14:paraId="0A7F1F2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10</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40</w:t>
            </w:r>
            <w:r>
              <w:rPr>
                <w:rFonts w:ascii="Times New Roman" w:hAnsi="Times New Roman" w:cs="Times New Roman" w:eastAsiaTheme="minorEastAsia"/>
                <w:color w:val="auto"/>
                <w:w w:val="99"/>
                <w:sz w:val="21"/>
                <w:szCs w:val="21"/>
                <w:highlight w:val="none"/>
              </w:rPr>
              <w:t>）</w:t>
            </w:r>
          </w:p>
        </w:tc>
        <w:tc>
          <w:tcPr>
            <w:tcW w:w="1443" w:type="pct"/>
            <w:vAlign w:val="center"/>
          </w:tcPr>
          <w:p w14:paraId="49DADEE7">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443" w:type="pct"/>
            <w:vAlign w:val="center"/>
          </w:tcPr>
          <w:p w14:paraId="6CA6258C">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r>
      <w:tr w14:paraId="5CFFC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vAlign w:val="center"/>
          </w:tcPr>
          <w:p w14:paraId="129328FA">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石油烃（</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6</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9</w:t>
            </w:r>
            <w:r>
              <w:rPr>
                <w:rFonts w:hint="eastAsia" w:ascii="Times New Roman" w:hAnsi="Times New Roman" w:cs="Times New Roman" w:eastAsiaTheme="minorEastAsia"/>
                <w:color w:val="auto"/>
                <w:w w:val="99"/>
                <w:sz w:val="21"/>
                <w:szCs w:val="21"/>
                <w:highlight w:val="none"/>
              </w:rPr>
              <w:t>）</w:t>
            </w:r>
          </w:p>
        </w:tc>
        <w:tc>
          <w:tcPr>
            <w:tcW w:w="1443" w:type="pct"/>
            <w:vAlign w:val="center"/>
          </w:tcPr>
          <w:p w14:paraId="3297B538">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443" w:type="pct"/>
            <w:vAlign w:val="center"/>
          </w:tcPr>
          <w:p w14:paraId="010FFA3E">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r>
      <w:tr w14:paraId="373BC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vAlign w:val="center"/>
          </w:tcPr>
          <w:p w14:paraId="5BB34EFE">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石油类</w:t>
            </w:r>
          </w:p>
        </w:tc>
        <w:tc>
          <w:tcPr>
            <w:tcW w:w="1443" w:type="pct"/>
            <w:vAlign w:val="center"/>
          </w:tcPr>
          <w:p w14:paraId="08EA4D9A">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443" w:type="pct"/>
            <w:vAlign w:val="center"/>
          </w:tcPr>
          <w:p w14:paraId="1FAFD2EE">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r>
      <w:tr w14:paraId="5472F6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vAlign w:val="center"/>
          </w:tcPr>
          <w:p w14:paraId="0A6688AB">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水溶性盐总量</w:t>
            </w:r>
          </w:p>
        </w:tc>
        <w:tc>
          <w:tcPr>
            <w:tcW w:w="1443" w:type="pct"/>
            <w:vAlign w:val="center"/>
          </w:tcPr>
          <w:p w14:paraId="1A95BFCC">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c>
          <w:tcPr>
            <w:tcW w:w="1443" w:type="pct"/>
            <w:vAlign w:val="center"/>
          </w:tcPr>
          <w:p w14:paraId="7DEBA702">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ND</w:t>
            </w:r>
          </w:p>
        </w:tc>
      </w:tr>
    </w:tbl>
    <w:p w14:paraId="5975F904">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（4）评价结论</w:t>
      </w:r>
    </w:p>
    <w:p w14:paraId="1DDF0225">
      <w:pPr>
        <w:pStyle w:val="160"/>
        <w:widowControl w:val="0"/>
        <w:spacing w:line="440" w:lineRule="exact"/>
        <w:ind w:firstLine="473"/>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从表中可以看出，评价区域内土壤环境质量较好，没有出现超标情况。本项目永久占地内土壤及现有井场土壤满足《土壤环境质量 建设用地土壤污染风险管控标准（试行）》（GB36600-2018）中第二类用地筛选值标准，评价范围内临时占地范围内及评价范围内土壤满足《土壤环境质量 农用地土壤污染风险管控标准（试行）》（GB15618-2018）表1中</w:t>
      </w:r>
      <w:r>
        <w:rPr>
          <w:rFonts w:hint="eastAsia" w:ascii="Times New Roman" w:hAnsi="Times New Roman" w:cs="Times New Roman" w:eastAsiaTheme="minorEastAsia"/>
          <w:color w:val="auto"/>
          <w:w w:val="99"/>
          <w:highlight w:val="none"/>
        </w:rPr>
        <w:t>其它</w:t>
      </w:r>
      <w:r>
        <w:rPr>
          <w:rFonts w:ascii="Times New Roman" w:hAnsi="Times New Roman" w:cs="Times New Roman" w:eastAsiaTheme="minorEastAsia"/>
          <w:color w:val="auto"/>
          <w:w w:val="99"/>
          <w:highlight w:val="none"/>
        </w:rPr>
        <w:t>农用地土壤风险筛选值。</w:t>
      </w:r>
    </w:p>
    <w:bookmarkEnd w:id="610"/>
    <w:bookmarkEnd w:id="611"/>
    <w:bookmarkEnd w:id="612"/>
    <w:bookmarkEnd w:id="613"/>
    <w:bookmarkEnd w:id="614"/>
    <w:bookmarkEnd w:id="615"/>
    <w:p w14:paraId="0F620A4E">
      <w:pPr>
        <w:pStyle w:val="7"/>
        <w:keepNext w:val="0"/>
        <w:keepLines w:val="0"/>
        <w:widowControl w:val="0"/>
        <w:spacing w:line="440" w:lineRule="exact"/>
        <w:jc w:val="both"/>
        <w:rPr>
          <w:rFonts w:eastAsia="宋体"/>
          <w:b/>
          <w:color w:val="auto"/>
          <w:w w:val="99"/>
          <w:kern w:val="2"/>
          <w:sz w:val="24"/>
          <w:szCs w:val="24"/>
          <w:highlight w:val="none"/>
        </w:rPr>
      </w:pPr>
      <w:bookmarkStart w:id="760" w:name="_Toc67860176"/>
      <w:bookmarkStart w:id="761" w:name="_Toc12972"/>
      <w:bookmarkStart w:id="762" w:name="_Toc57203289"/>
      <w:bookmarkStart w:id="763" w:name="_Toc57976711"/>
      <w:bookmarkStart w:id="764" w:name="_Toc508022098"/>
      <w:bookmarkStart w:id="765" w:name="_Toc78816504"/>
      <w:bookmarkStart w:id="766" w:name="_Toc70050225"/>
      <w:bookmarkStart w:id="767" w:name="_Toc57707959"/>
      <w:bookmarkStart w:id="768" w:name="_Toc83209521"/>
      <w:bookmarkStart w:id="769" w:name="_Toc77067702"/>
      <w:bookmarkStart w:id="770" w:name="_Toc17898212"/>
      <w:bookmarkStart w:id="771" w:name="_Toc61597275"/>
      <w:bookmarkStart w:id="772" w:name="_Toc80971421"/>
      <w:bookmarkStart w:id="773" w:name="_Toc186444326"/>
      <w:bookmarkStart w:id="774" w:name="_Toc76976290"/>
      <w:bookmarkStart w:id="775" w:name="_Toc80588299"/>
      <w:bookmarkStart w:id="776" w:name="_Toc371751574"/>
      <w:bookmarkStart w:id="777" w:name="_Toc480447669"/>
      <w:bookmarkStart w:id="778" w:name="_Toc45678581"/>
      <w:bookmarkStart w:id="779" w:name="_Toc502736497"/>
      <w:bookmarkStart w:id="780" w:name="_Toc415146701"/>
      <w:bookmarkStart w:id="781" w:name="_Toc75075806"/>
      <w:bookmarkStart w:id="782" w:name="_Toc75075744"/>
      <w:r>
        <w:rPr>
          <w:rFonts w:eastAsia="宋体"/>
          <w:b/>
          <w:color w:val="auto"/>
          <w:w w:val="99"/>
          <w:kern w:val="2"/>
          <w:sz w:val="24"/>
          <w:szCs w:val="24"/>
          <w:highlight w:val="none"/>
        </w:rPr>
        <w:t>4.3.6生态</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r>
        <w:rPr>
          <w:rFonts w:eastAsia="宋体"/>
          <w:b/>
          <w:color w:val="auto"/>
          <w:w w:val="99"/>
          <w:kern w:val="2"/>
          <w:sz w:val="24"/>
          <w:szCs w:val="24"/>
          <w:highlight w:val="none"/>
        </w:rPr>
        <w:t>环境质量现状调查与评价</w:t>
      </w:r>
    </w:p>
    <w:p w14:paraId="3F32030A">
      <w:pPr>
        <w:widowControl w:val="0"/>
        <w:spacing w:line="440" w:lineRule="exact"/>
        <w:outlineLvl w:val="3"/>
        <w:rPr>
          <w:rFonts w:ascii="Times New Roman" w:hAnsi="Times New Roman" w:cs="Times New Roman"/>
          <w:b/>
          <w:color w:val="auto"/>
          <w:w w:val="99"/>
          <w:highlight w:val="none"/>
        </w:rPr>
      </w:pPr>
      <w:bookmarkStart w:id="783" w:name="_Toc43686764"/>
      <w:bookmarkStart w:id="784" w:name="_Toc30114"/>
      <w:r>
        <w:rPr>
          <w:rFonts w:ascii="Times New Roman" w:hAnsi="Times New Roman" w:cs="Times New Roman"/>
          <w:b/>
          <w:color w:val="auto"/>
          <w:w w:val="99"/>
          <w:highlight w:val="none"/>
        </w:rPr>
        <w:t>4.3.6.1</w:t>
      </w:r>
      <w:r>
        <w:rPr>
          <w:rFonts w:hint="eastAsia" w:ascii="Times New Roman" w:hAnsi="Times New Roman" w:cs="Times New Roman"/>
          <w:b/>
          <w:color w:val="auto"/>
          <w:w w:val="99"/>
          <w:highlight w:val="none"/>
        </w:rPr>
        <w:t>现有区块生态影响回顾</w:t>
      </w:r>
    </w:p>
    <w:p w14:paraId="7CAB7304">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本项目位于</w:t>
      </w:r>
      <w:r>
        <w:rPr>
          <w:rFonts w:ascii="Times New Roman" w:hAnsi="Times New Roman" w:cs="Times New Roman"/>
          <w:color w:val="auto"/>
          <w:w w:val="99"/>
          <w:kern w:val="2"/>
          <w:highlight w:val="none"/>
        </w:rPr>
        <w:t>黑龙江省</w:t>
      </w:r>
      <w:r>
        <w:rPr>
          <w:rFonts w:hint="eastAsia" w:ascii="Times New Roman" w:hAnsi="Times New Roman" w:cs="Times New Roman"/>
          <w:color w:val="auto"/>
          <w:w w:val="99"/>
          <w:kern w:val="2"/>
          <w:highlight w:val="none"/>
        </w:rPr>
        <w:t>绥化市肇东市跃进乡</w:t>
      </w:r>
      <w:r>
        <w:rPr>
          <w:rFonts w:ascii="Times New Roman" w:hAnsi="Times New Roman" w:cs="Times New Roman"/>
          <w:color w:val="auto"/>
          <w:w w:val="99"/>
          <w:kern w:val="2"/>
          <w:highlight w:val="none"/>
        </w:rPr>
        <w:t>境内</w:t>
      </w:r>
      <w:r>
        <w:rPr>
          <w:rFonts w:hint="eastAsia" w:ascii="Times New Roman" w:hAnsi="Times New Roman" w:cs="Times New Roman"/>
          <w:color w:val="auto"/>
          <w:w w:val="99"/>
          <w:kern w:val="2"/>
          <w:highlight w:val="none"/>
        </w:rPr>
        <w:t>。项目所在区块为</w:t>
      </w:r>
      <w:r>
        <w:rPr>
          <w:rFonts w:ascii="Times New Roman" w:hAnsi="Times New Roman" w:cs="Times New Roman"/>
          <w:color w:val="auto"/>
          <w:w w:val="99"/>
          <w:kern w:val="2"/>
          <w:highlight w:val="none"/>
        </w:rPr>
        <w:t>徐深气田</w:t>
      </w:r>
      <w:r>
        <w:rPr>
          <w:rFonts w:hint="eastAsia" w:ascii="Times New Roman" w:hAnsi="Times New Roman" w:cs="Times New Roman"/>
          <w:color w:val="auto"/>
          <w:w w:val="99"/>
          <w:kern w:val="2"/>
          <w:highlight w:val="none"/>
        </w:rPr>
        <w:t>徐深27</w:t>
      </w:r>
      <w:r>
        <w:rPr>
          <w:rFonts w:ascii="Times New Roman" w:hAnsi="Times New Roman" w:cs="Times New Roman"/>
          <w:color w:val="auto"/>
          <w:w w:val="99"/>
          <w:kern w:val="2"/>
          <w:highlight w:val="none"/>
        </w:rPr>
        <w:t>区块</w:t>
      </w:r>
      <w:r>
        <w:rPr>
          <w:rFonts w:hint="eastAsia" w:ascii="Times New Roman" w:hAnsi="Times New Roman" w:cs="Times New Roman"/>
          <w:color w:val="auto"/>
          <w:w w:val="99"/>
          <w:kern w:val="2"/>
          <w:highlight w:val="none"/>
        </w:rPr>
        <w:t>。根据现有区块已建工程周边的植被和植物现状调查，区块内已建工程占用面积最大类型为耕地（基本农田），现有工程在施工期影响的主要植物种类均为区域常见植物种类，施工过程中未发现珍稀保护植物。现有区块在建设过程中采取了一系列的措施进行生态保护。施工期严格控制井场的临时及永久占地面积；管沟挖、填方作业做到了互补平衡，未造成弃土方堆积和过多借土，未增加新的水土流失，管沟回填阶段均按层回填，回填后予以平整、压实；施工结束后妥善处理了施工期产生的各类污染物，并进行了施工现场清理，井场进行了平整、压实的措施，对临时占地及时进行了地貌植被恢复、耕地恢复耕作等，最大力度的降低气田开发对区域农田生态系统的影响。根据现场调查，本项目区域内已建井的井场永久性占地面积符合要求，井场地面均进行了平整，场站内道路两侧和场站院墙内外均已绿化，生态恢复较好。井场永久性占地面积符合设计要求，井场地面均进行了平整，在临时性占地范围内，地表基本进行了平整，并已完成了生态恢复。现有区块的气田开发没有改变项目区的生态系统结构与功能，区域生态组分及多样性未受影响，生态格局变化不大。除了占地直接减少了粮食的产量外，对生态目前所采取的各项环保措施是有效的，未发现需要整改的生态环境问题。</w:t>
      </w:r>
    </w:p>
    <w:p w14:paraId="58685F3B">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4.3.6.2</w:t>
      </w:r>
      <w:bookmarkEnd w:id="783"/>
      <w:r>
        <w:rPr>
          <w:rFonts w:ascii="Times New Roman" w:hAnsi="Times New Roman" w:cs="Times New Roman"/>
          <w:b/>
          <w:color w:val="auto"/>
          <w:w w:val="99"/>
          <w:highlight w:val="none"/>
        </w:rPr>
        <w:t>生态功能区划</w:t>
      </w:r>
    </w:p>
    <w:p w14:paraId="371A4129">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根据《全国生态功能区划》（修编版，2015），本工程位于</w:t>
      </w:r>
      <w:r>
        <w:rPr>
          <w:rFonts w:ascii="Times New Roman" w:hAnsi="Times New Roman" w:cs="Times New Roman"/>
          <w:color w:val="auto"/>
          <w:w w:val="99"/>
          <w:highlight w:val="none"/>
        </w:rPr>
        <w:t>Ⅱ</w:t>
      </w:r>
      <w:r>
        <w:rPr>
          <w:rFonts w:ascii="Times New Roman" w:hAnsi="Times New Roman" w:cs="Times New Roman" w:eastAsiaTheme="minorEastAsia"/>
          <w:color w:val="auto"/>
          <w:w w:val="99"/>
          <w:highlight w:val="none"/>
        </w:rPr>
        <w:t>-01-04松嫩平原东部农产品提供功能区。该区主要生态问题包括农田侵占、土壤肥力下降、农业面源污染严重。农产品提供功能区生态保护的主要方向为严格保护基本农田，培养土壤肥力；加强农田基本建设，增强抗自然灾害的能力等。</w:t>
      </w:r>
    </w:p>
    <w:p w14:paraId="05429CDD">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在全国生态功能区划的基础上，结合黑龙江省详细的生态功能区划，对本工程所在的生态功能区划进行详细说明。根据黑龙江省人民政府批准的《黑龙江省生态功能区划》(黑政函〔2006〕75号)，</w:t>
      </w:r>
      <w:r>
        <w:rPr>
          <w:rFonts w:ascii="Times New Roman" w:hAnsi="Times New Roman" w:cs="Times New Roman"/>
          <w:color w:val="auto"/>
          <w:w w:val="99"/>
          <w:highlight w:val="none"/>
        </w:rPr>
        <w:t>本项目所在区域属于松嫩平原西部草甸草原生态区，松嫩平原西部草甸草原与农业生态亚区，嫩江下游湿地保护与沙化和盐渍化控制生态功能区</w:t>
      </w:r>
      <w:r>
        <w:rPr>
          <w:rFonts w:ascii="Times New Roman" w:hAnsi="Times New Roman" w:cs="Times New Roman" w:eastAsiaTheme="minorEastAsia"/>
          <w:color w:val="auto"/>
          <w:w w:val="99"/>
          <w:highlight w:val="none"/>
        </w:rPr>
        <w:t>。本工程区生态功能区划见表4.3-2</w:t>
      </w:r>
      <w:r>
        <w:rPr>
          <w:rFonts w:hint="eastAsia" w:ascii="Times New Roman" w:hAnsi="Times New Roman" w:cs="Times New Roman" w:eastAsiaTheme="minorEastAsia"/>
          <w:color w:val="auto"/>
          <w:w w:val="99"/>
          <w:highlight w:val="none"/>
          <w:lang w:val="en-US" w:eastAsia="zh-CN"/>
        </w:rPr>
        <w:t>5</w:t>
      </w:r>
      <w:r>
        <w:rPr>
          <w:rFonts w:ascii="Times New Roman" w:hAnsi="Times New Roman" w:cs="Times New Roman" w:eastAsiaTheme="minorEastAsia"/>
          <w:color w:val="auto"/>
          <w:w w:val="99"/>
          <w:highlight w:val="none"/>
        </w:rPr>
        <w:t>。</w:t>
      </w:r>
    </w:p>
    <w:p w14:paraId="67886B07">
      <w:pPr>
        <w:pStyle w:val="153"/>
        <w:widowControl w:val="0"/>
        <w:spacing w:line="440" w:lineRule="exact"/>
        <w:ind w:firstLine="476" w:firstLineChars="200"/>
        <w:jc w:val="both"/>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表4.3-2</w:t>
      </w:r>
      <w:r>
        <w:rPr>
          <w:rFonts w:hint="eastAsia" w:ascii="Times New Roman" w:hAnsi="Times New Roman" w:eastAsiaTheme="minorEastAsia"/>
          <w:b/>
          <w:color w:val="auto"/>
          <w:w w:val="99"/>
          <w:highlight w:val="none"/>
          <w:lang w:val="en-US" w:eastAsia="zh-CN"/>
        </w:rPr>
        <w:t>5</w:t>
      </w:r>
      <w:r>
        <w:rPr>
          <w:rFonts w:ascii="Times New Roman" w:hAnsi="Times New Roman" w:eastAsiaTheme="minorEastAsia"/>
          <w:b/>
          <w:color w:val="auto"/>
          <w:w w:val="99"/>
          <w:highlight w:val="none"/>
        </w:rPr>
        <w:t xml:space="preserve">    本</w:t>
      </w:r>
      <w:r>
        <w:rPr>
          <w:rFonts w:ascii="Times New Roman" w:hAnsi="Times New Roman" w:eastAsiaTheme="minorEastAsia"/>
          <w:b/>
          <w:color w:val="auto"/>
          <w:w w:val="99"/>
          <w:kern w:val="2"/>
          <w:szCs w:val="20"/>
          <w:highlight w:val="none"/>
        </w:rPr>
        <w:t>工程</w:t>
      </w:r>
      <w:r>
        <w:rPr>
          <w:rFonts w:ascii="Times New Roman" w:hAnsi="Times New Roman" w:eastAsiaTheme="minorEastAsia"/>
          <w:b/>
          <w:color w:val="auto"/>
          <w:w w:val="99"/>
          <w:highlight w:val="none"/>
        </w:rPr>
        <w:t>区域生态功能区划表</w:t>
      </w:r>
    </w:p>
    <w:tbl>
      <w:tblPr>
        <w:tblStyle w:val="81"/>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30" w:type="dxa"/>
          <w:bottom w:w="0" w:type="dxa"/>
          <w:right w:w="30" w:type="dxa"/>
        </w:tblCellMar>
      </w:tblPr>
      <w:tblGrid>
        <w:gridCol w:w="694"/>
        <w:gridCol w:w="803"/>
        <w:gridCol w:w="1161"/>
        <w:gridCol w:w="1152"/>
        <w:gridCol w:w="1152"/>
        <w:gridCol w:w="1152"/>
        <w:gridCol w:w="1152"/>
        <w:gridCol w:w="1860"/>
      </w:tblGrid>
      <w:tr w14:paraId="76BDA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1456" w:type="pct"/>
            <w:gridSpan w:val="3"/>
            <w:vAlign w:val="center"/>
          </w:tcPr>
          <w:p w14:paraId="777ED3D7">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项目区生态功能分区单元</w:t>
            </w:r>
          </w:p>
        </w:tc>
        <w:tc>
          <w:tcPr>
            <w:tcW w:w="631" w:type="pct"/>
            <w:vAlign w:val="center"/>
          </w:tcPr>
          <w:p w14:paraId="5791D950">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所在区域面积</w:t>
            </w:r>
          </w:p>
        </w:tc>
        <w:tc>
          <w:tcPr>
            <w:tcW w:w="631" w:type="pct"/>
            <w:vAlign w:val="center"/>
          </w:tcPr>
          <w:p w14:paraId="114AB5CC">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主要生态环境问题</w:t>
            </w:r>
          </w:p>
        </w:tc>
        <w:tc>
          <w:tcPr>
            <w:tcW w:w="631" w:type="pct"/>
            <w:vAlign w:val="center"/>
          </w:tcPr>
          <w:p w14:paraId="7A2CFD84">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生态环境敏感性</w:t>
            </w:r>
          </w:p>
        </w:tc>
        <w:tc>
          <w:tcPr>
            <w:tcW w:w="631" w:type="pct"/>
            <w:vAlign w:val="center"/>
          </w:tcPr>
          <w:p w14:paraId="2B06A9D0">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主要生态系统服务</w:t>
            </w:r>
          </w:p>
          <w:p w14:paraId="39AD69F4">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功能</w:t>
            </w:r>
          </w:p>
        </w:tc>
        <w:tc>
          <w:tcPr>
            <w:tcW w:w="1018" w:type="pct"/>
            <w:vAlign w:val="center"/>
          </w:tcPr>
          <w:p w14:paraId="4CC683DE">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保护措施与发展方向</w:t>
            </w:r>
          </w:p>
        </w:tc>
      </w:tr>
      <w:tr w14:paraId="1E1E50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380" w:type="pct"/>
            <w:vAlign w:val="center"/>
          </w:tcPr>
          <w:p w14:paraId="64CBE665">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Ⅰ-6松嫩平原西部草甸草原生态区</w:t>
            </w:r>
          </w:p>
        </w:tc>
        <w:tc>
          <w:tcPr>
            <w:tcW w:w="440" w:type="pct"/>
            <w:vAlign w:val="center"/>
          </w:tcPr>
          <w:p w14:paraId="7D5291B8">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Ⅰ-6-1松</w:t>
            </w:r>
          </w:p>
          <w:p w14:paraId="63AD48A9">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嫩平原西部草甸草原与农业生态亚区</w:t>
            </w:r>
          </w:p>
        </w:tc>
        <w:tc>
          <w:tcPr>
            <w:tcW w:w="635" w:type="pct"/>
            <w:vAlign w:val="center"/>
          </w:tcPr>
          <w:p w14:paraId="09C96F50">
            <w:pPr>
              <w:widowControl w:val="0"/>
              <w:spacing w:before="3" w:line="242" w:lineRule="auto"/>
              <w:ind w:left="143" w:right="110"/>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Ⅰ-6-1-3安达-肇东-肇源农、牧业与盐渍化控制生态功能功能区</w:t>
            </w:r>
          </w:p>
        </w:tc>
        <w:tc>
          <w:tcPr>
            <w:tcW w:w="631" w:type="pct"/>
            <w:vAlign w:val="center"/>
          </w:tcPr>
          <w:p w14:paraId="0FC00377">
            <w:pPr>
              <w:widowControl w:val="0"/>
              <w:spacing w:before="137" w:line="242" w:lineRule="auto"/>
              <w:ind w:left="139" w:right="110"/>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肇州县、肇东市和安达市，面积10000平方公里</w:t>
            </w:r>
          </w:p>
        </w:tc>
        <w:tc>
          <w:tcPr>
            <w:tcW w:w="631" w:type="pct"/>
            <w:vAlign w:val="center"/>
          </w:tcPr>
          <w:p w14:paraId="5451B6EF">
            <w:pPr>
              <w:widowControl w:val="0"/>
              <w:spacing w:before="137" w:line="242" w:lineRule="auto"/>
              <w:ind w:left="139" w:right="110"/>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盲目开荒草地，使草地面积减少，盐碱斑地不断扩大，严重制约当地经济的发展</w:t>
            </w:r>
          </w:p>
        </w:tc>
        <w:tc>
          <w:tcPr>
            <w:tcW w:w="631" w:type="pct"/>
            <w:vAlign w:val="center"/>
          </w:tcPr>
          <w:p w14:paraId="5DE3CC55">
            <w:pPr>
              <w:widowControl w:val="0"/>
              <w:spacing w:before="137" w:line="242" w:lineRule="auto"/>
              <w:ind w:left="139" w:right="110"/>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区内土地盐渍化敏感性为轻度敏感</w:t>
            </w:r>
          </w:p>
        </w:tc>
        <w:tc>
          <w:tcPr>
            <w:tcW w:w="631" w:type="pct"/>
            <w:vAlign w:val="center"/>
          </w:tcPr>
          <w:p w14:paraId="0722CD19">
            <w:pPr>
              <w:widowControl w:val="0"/>
              <w:spacing w:before="137" w:line="242" w:lineRule="auto"/>
              <w:ind w:left="139" w:right="110"/>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盐渍化控制、生态系统产品提供</w:t>
            </w:r>
          </w:p>
        </w:tc>
        <w:tc>
          <w:tcPr>
            <w:tcW w:w="1018" w:type="pct"/>
            <w:vAlign w:val="center"/>
          </w:tcPr>
          <w:p w14:paraId="5D22E0FE">
            <w:pPr>
              <w:widowControl w:val="0"/>
              <w:spacing w:before="1" w:line="242" w:lineRule="auto"/>
              <w:ind w:left="163" w:right="139"/>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对草地进行恢复，禁止盲目开荒，对家畜进行圈养或轮牧，加大生态农业建设</w:t>
            </w:r>
          </w:p>
        </w:tc>
      </w:tr>
    </w:tbl>
    <w:p w14:paraId="0C10C092">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4.3.6.3</w:t>
      </w:r>
      <w:r>
        <w:rPr>
          <w:rFonts w:hint="eastAsia" w:ascii="Times New Roman" w:hAnsi="Times New Roman" w:cs="Times New Roman"/>
          <w:b/>
          <w:color w:val="auto"/>
          <w:w w:val="99"/>
          <w:highlight w:val="none"/>
        </w:rPr>
        <w:t>区域</w:t>
      </w:r>
      <w:r>
        <w:rPr>
          <w:rFonts w:ascii="Times New Roman" w:hAnsi="Times New Roman" w:cs="Times New Roman"/>
          <w:b/>
          <w:color w:val="auto"/>
          <w:w w:val="99"/>
          <w:highlight w:val="none"/>
        </w:rPr>
        <w:t>土地利用现状</w:t>
      </w:r>
    </w:p>
    <w:p w14:paraId="79B860CD">
      <w:pPr>
        <w:widowControl w:val="0"/>
        <w:spacing w:line="440" w:lineRule="exact"/>
        <w:ind w:firstLine="474" w:firstLineChars="200"/>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按照《土地利用现状分类》</w:t>
      </w:r>
      <w:r>
        <w:rPr>
          <w:rFonts w:hint="eastAsia" w:ascii="Times New Roman" w:hAnsi="Times New Roman" w:cs="Times New Roman" w:eastAsiaTheme="minorEastAsia"/>
          <w:color w:val="auto"/>
          <w:w w:val="99"/>
          <w:highlight w:val="none"/>
        </w:rPr>
        <w:t>（GB21010-2017）</w:t>
      </w:r>
      <w:r>
        <w:rPr>
          <w:rFonts w:ascii="Times New Roman" w:hAnsi="Times New Roman" w:cs="Times New Roman" w:eastAsiaTheme="minorEastAsia"/>
          <w:color w:val="auto"/>
          <w:w w:val="99"/>
          <w:highlight w:val="none"/>
        </w:rPr>
        <w:t>的分类系统，《土地利用现状分类》国家标准采用一级、二级两个层次的分类体系，共分12个一级类、73个二级类。</w:t>
      </w:r>
    </w:p>
    <w:p w14:paraId="3166886B">
      <w:pPr>
        <w:widowControl w:val="0"/>
        <w:spacing w:line="440" w:lineRule="exact"/>
        <w:ind w:firstLine="474" w:firstLineChars="200"/>
        <w:rPr>
          <w:rFonts w:ascii="Times New Roman" w:hAnsi="Times New Roman" w:cs="Times New Roman" w:eastAsiaTheme="minorEastAsia"/>
          <w:color w:val="auto"/>
          <w:w w:val="99"/>
          <w:highlight w:val="none"/>
        </w:rPr>
      </w:pPr>
      <w:r>
        <w:rPr>
          <w:rFonts w:hint="eastAsia" w:ascii="Times New Roman" w:hAnsi="Times New Roman" w:cs="Times New Roman" w:eastAsiaTheme="minorEastAsia"/>
          <w:color w:val="auto"/>
          <w:w w:val="99"/>
          <w:highlight w:val="none"/>
        </w:rPr>
        <w:t>评价范围土地利用现状分类系统按照全国土地利用分类系统标准，</w:t>
      </w:r>
      <w:r>
        <w:rPr>
          <w:rFonts w:ascii="Times New Roman" w:hAnsi="Times New Roman" w:cs="Times New Roman" w:eastAsiaTheme="minorEastAsia"/>
          <w:color w:val="auto"/>
          <w:w w:val="99"/>
          <w:highlight w:val="none"/>
        </w:rPr>
        <w:t>调查采用2021年</w:t>
      </w:r>
      <w:r>
        <w:rPr>
          <w:rFonts w:hint="eastAsia" w:ascii="Times New Roman" w:hAnsi="Times New Roman" w:cs="Times New Roman" w:eastAsiaTheme="minorEastAsia"/>
          <w:color w:val="auto"/>
          <w:w w:val="99"/>
          <w:highlight w:val="none"/>
        </w:rPr>
        <w:t>8</w:t>
      </w:r>
      <w:r>
        <w:rPr>
          <w:rFonts w:ascii="Times New Roman" w:hAnsi="Times New Roman" w:cs="Times New Roman" w:eastAsiaTheme="minorEastAsia"/>
          <w:color w:val="auto"/>
          <w:w w:val="99"/>
          <w:highlight w:val="none"/>
        </w:rPr>
        <w:t>月</w:t>
      </w:r>
      <w:r>
        <w:rPr>
          <w:rFonts w:hint="eastAsia" w:ascii="Times New Roman" w:hAnsi="Times New Roman" w:cs="Times New Roman" w:eastAsiaTheme="minorEastAsia"/>
          <w:color w:val="auto"/>
          <w:w w:val="99"/>
          <w:highlight w:val="none"/>
        </w:rPr>
        <w:t>31</w:t>
      </w:r>
      <w:r>
        <w:rPr>
          <w:rFonts w:ascii="Times New Roman" w:hAnsi="Times New Roman" w:cs="Times New Roman" w:eastAsiaTheme="minorEastAsia"/>
          <w:color w:val="auto"/>
          <w:w w:val="99"/>
          <w:highlight w:val="none"/>
        </w:rPr>
        <w:t>日的哨兵2号遥感卫星影像（分辨率10</w:t>
      </w:r>
      <w:r>
        <w:rPr>
          <w:rFonts w:hint="eastAsia" w:ascii="Times New Roman" w:hAnsi="Times New Roman" w:cs="Times New Roman" w:eastAsiaTheme="minorEastAsia"/>
          <w:color w:val="auto"/>
          <w:w w:val="99"/>
          <w:highlight w:val="none"/>
        </w:rPr>
        <w:t>m</w:t>
      </w:r>
      <w:r>
        <w:rPr>
          <w:rFonts w:ascii="Times New Roman" w:hAnsi="Times New Roman" w:cs="Times New Roman" w:eastAsiaTheme="minorEastAsia"/>
          <w:color w:val="auto"/>
          <w:w w:val="99"/>
          <w:highlight w:val="none"/>
        </w:rPr>
        <w:t>）</w:t>
      </w:r>
      <w:r>
        <w:rPr>
          <w:rFonts w:hint="eastAsia" w:ascii="Times New Roman" w:hAnsi="Times New Roman" w:cs="Times New Roman" w:eastAsiaTheme="minorEastAsia"/>
          <w:color w:val="auto"/>
          <w:w w:val="99"/>
          <w:highlight w:val="none"/>
        </w:rPr>
        <w:t>，在ArcGIS10.2软件支持下，进行数据解译、编绘成图，在此基础上，分析评价范围土地利用现状。</w:t>
      </w:r>
    </w:p>
    <w:p w14:paraId="458C32BC">
      <w:pPr>
        <w:widowControl w:val="0"/>
        <w:spacing w:line="440" w:lineRule="exact"/>
        <w:ind w:firstLine="474" w:firstLineChars="200"/>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本项目生态评价范围内主要以</w:t>
      </w:r>
      <w:r>
        <w:rPr>
          <w:rFonts w:hint="eastAsia" w:ascii="Times New Roman" w:hAnsi="Times New Roman" w:cs="Times New Roman" w:eastAsiaTheme="minorEastAsia"/>
          <w:color w:val="auto"/>
          <w:w w:val="99"/>
          <w:highlight w:val="none"/>
        </w:rPr>
        <w:t>耕地（基本农田）</w:t>
      </w:r>
      <w:r>
        <w:rPr>
          <w:rFonts w:ascii="Times New Roman" w:hAnsi="Times New Roman" w:cs="Times New Roman" w:eastAsiaTheme="minorEastAsia"/>
          <w:color w:val="auto"/>
          <w:w w:val="99"/>
          <w:highlight w:val="none"/>
        </w:rPr>
        <w:t>为主。由于工程所在区域为已开发区，人类活动频繁，野生动物较少。评价区总</w:t>
      </w:r>
      <w:r>
        <w:rPr>
          <w:rFonts w:hint="eastAsia" w:ascii="Times New Roman" w:hAnsi="Times New Roman" w:cs="Times New Roman" w:eastAsiaTheme="minorEastAsia"/>
          <w:color w:val="auto"/>
          <w:w w:val="99"/>
          <w:highlight w:val="none"/>
        </w:rPr>
        <w:t>占地</w:t>
      </w:r>
      <w:r>
        <w:rPr>
          <w:rFonts w:ascii="Times New Roman" w:hAnsi="Times New Roman" w:cs="Times New Roman" w:eastAsiaTheme="minorEastAsia"/>
          <w:color w:val="auto"/>
          <w:w w:val="99"/>
          <w:highlight w:val="none"/>
        </w:rPr>
        <w:t>面积</w:t>
      </w:r>
      <w:r>
        <w:rPr>
          <w:rFonts w:hint="eastAsia" w:ascii="Times New Roman" w:hAnsi="Times New Roman" w:cs="Times New Roman" w:eastAsiaTheme="minorEastAsia"/>
          <w:color w:val="auto"/>
          <w:w w:val="99"/>
          <w:highlight w:val="none"/>
        </w:rPr>
        <w:t>约</w:t>
      </w:r>
      <w:r>
        <w:rPr>
          <w:rFonts w:ascii="Times New Roman" w:hAnsi="Times New Roman" w:cs="Times New Roman" w:eastAsiaTheme="minorEastAsia"/>
          <w:color w:val="auto"/>
          <w:w w:val="99"/>
          <w:highlight w:val="none"/>
        </w:rPr>
        <w:t>为</w:t>
      </w:r>
      <w:r>
        <w:rPr>
          <w:rFonts w:hint="eastAsia" w:ascii="Times New Roman" w:hAnsi="Times New Roman" w:cs="Times New Roman" w:eastAsiaTheme="minorEastAsia"/>
          <w:color w:val="auto"/>
          <w:w w:val="99"/>
          <w:highlight w:val="none"/>
        </w:rPr>
        <w:t>0.58</w:t>
      </w:r>
      <w:r>
        <w:rPr>
          <w:rFonts w:ascii="Times New Roman" w:hAnsi="Times New Roman" w:cs="Times New Roman" w:eastAsiaTheme="minorEastAsia"/>
          <w:color w:val="auto"/>
          <w:w w:val="99"/>
          <w:highlight w:val="none"/>
        </w:rPr>
        <w:t>km</w:t>
      </w:r>
      <w:r>
        <w:rPr>
          <w:rFonts w:ascii="Times New Roman" w:hAnsi="Times New Roman" w:cs="Times New Roman" w:eastAsiaTheme="minorEastAsia"/>
          <w:color w:val="auto"/>
          <w:w w:val="99"/>
          <w:highlight w:val="none"/>
          <w:vertAlign w:val="superscript"/>
        </w:rPr>
        <w:t>2</w:t>
      </w:r>
      <w:r>
        <w:rPr>
          <w:rFonts w:ascii="Times New Roman" w:hAnsi="Times New Roman" w:cs="Times New Roman" w:eastAsiaTheme="minorEastAsia"/>
          <w:color w:val="auto"/>
          <w:w w:val="99"/>
          <w:highlight w:val="none"/>
        </w:rPr>
        <w:t>，土地利用结构大体可分</w:t>
      </w:r>
      <w:r>
        <w:rPr>
          <w:rFonts w:hint="eastAsia" w:ascii="Times New Roman" w:hAnsi="Times New Roman" w:cs="Times New Roman" w:eastAsiaTheme="minorEastAsia"/>
          <w:color w:val="auto"/>
          <w:w w:val="99"/>
          <w:highlight w:val="none"/>
        </w:rPr>
        <w:t>5</w:t>
      </w:r>
      <w:r>
        <w:rPr>
          <w:rFonts w:ascii="Times New Roman" w:hAnsi="Times New Roman" w:cs="Times New Roman" w:eastAsiaTheme="minorEastAsia"/>
          <w:color w:val="auto"/>
          <w:w w:val="99"/>
          <w:highlight w:val="none"/>
        </w:rPr>
        <w:t>个类型：</w:t>
      </w:r>
    </w:p>
    <w:p w14:paraId="2E83232D">
      <w:pPr>
        <w:widowControl w:val="0"/>
        <w:spacing w:line="440" w:lineRule="exact"/>
        <w:ind w:firstLine="474" w:firstLineChars="200"/>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区域生态评价范围内土</w:t>
      </w:r>
      <w:r>
        <w:rPr>
          <w:rFonts w:hint="eastAsia" w:ascii="Times New Roman" w:hAnsi="Times New Roman" w:cs="Times New Roman" w:eastAsiaTheme="minorEastAsia"/>
          <w:color w:val="auto"/>
          <w:w w:val="99"/>
          <w:highlight w:val="none"/>
        </w:rPr>
        <w:t>地</w:t>
      </w:r>
      <w:r>
        <w:rPr>
          <w:rFonts w:ascii="Times New Roman" w:hAnsi="Times New Roman" w:cs="Times New Roman" w:eastAsiaTheme="minorEastAsia"/>
          <w:color w:val="auto"/>
          <w:w w:val="99"/>
          <w:highlight w:val="none"/>
        </w:rPr>
        <w:t>利用现状见图</w:t>
      </w:r>
      <w:r>
        <w:rPr>
          <w:rFonts w:hint="eastAsia" w:ascii="Times New Roman" w:hAnsi="Times New Roman" w:cs="Times New Roman" w:eastAsiaTheme="minorEastAsia"/>
          <w:color w:val="auto"/>
          <w:w w:val="99"/>
          <w:highlight w:val="none"/>
        </w:rPr>
        <w:t>附图9</w:t>
      </w:r>
      <w:r>
        <w:rPr>
          <w:rFonts w:ascii="Times New Roman" w:hAnsi="Times New Roman" w:cs="Times New Roman" w:eastAsiaTheme="minorEastAsia"/>
          <w:color w:val="auto"/>
          <w:w w:val="99"/>
          <w:highlight w:val="none"/>
        </w:rPr>
        <w:t>。</w:t>
      </w:r>
    </w:p>
    <w:p w14:paraId="77E936C2">
      <w:pPr>
        <w:widowControl w:val="0"/>
        <w:spacing w:line="440" w:lineRule="exact"/>
        <w:ind w:firstLine="476" w:firstLineChars="200"/>
        <w:rPr>
          <w:rFonts w:ascii="Times New Roman" w:hAnsi="Times New Roman" w:cs="Times New Roman" w:eastAsiaTheme="minorEastAsia"/>
          <w:b/>
          <w:bCs/>
          <w:color w:val="auto"/>
          <w:w w:val="99"/>
          <w:highlight w:val="none"/>
        </w:rPr>
      </w:pPr>
      <w:r>
        <w:rPr>
          <w:rFonts w:ascii="Times New Roman" w:hAnsi="Times New Roman" w:cs="Times New Roman" w:eastAsiaTheme="minorEastAsia"/>
          <w:b/>
          <w:bCs/>
          <w:color w:val="auto"/>
          <w:w w:val="99"/>
          <w:highlight w:val="none"/>
        </w:rPr>
        <w:t>表</w:t>
      </w:r>
      <w:r>
        <w:rPr>
          <w:rFonts w:hint="eastAsia" w:ascii="Times New Roman" w:hAnsi="Times New Roman" w:cs="Times New Roman" w:eastAsiaTheme="minorEastAsia"/>
          <w:b/>
          <w:bCs/>
          <w:color w:val="auto"/>
          <w:w w:val="99"/>
          <w:highlight w:val="none"/>
        </w:rPr>
        <w:t xml:space="preserve">4.3-26   </w:t>
      </w:r>
      <w:r>
        <w:rPr>
          <w:rFonts w:ascii="Times New Roman" w:hAnsi="Times New Roman" w:cs="Times New Roman" w:eastAsiaTheme="minorEastAsia"/>
          <w:b/>
          <w:bCs/>
          <w:color w:val="auto"/>
          <w:w w:val="99"/>
          <w:highlight w:val="none"/>
        </w:rPr>
        <w:t>评价区土地利用结构</w:t>
      </w:r>
    </w:p>
    <w:tbl>
      <w:tblPr>
        <w:tblStyle w:val="81"/>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9"/>
        <w:gridCol w:w="4334"/>
        <w:gridCol w:w="2087"/>
        <w:gridCol w:w="1870"/>
      </w:tblGrid>
      <w:tr w14:paraId="06E85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3" w:type="pct"/>
            <w:vAlign w:val="center"/>
          </w:tcPr>
          <w:p w14:paraId="48E6A045">
            <w:pPr>
              <w:tabs>
                <w:tab w:val="left" w:pos="4154"/>
                <w:tab w:val="center" w:pos="8305"/>
              </w:tabs>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序号</w:t>
            </w:r>
          </w:p>
        </w:tc>
        <w:tc>
          <w:tcPr>
            <w:tcW w:w="2334" w:type="pct"/>
            <w:vAlign w:val="center"/>
          </w:tcPr>
          <w:p w14:paraId="529F5134">
            <w:pPr>
              <w:tabs>
                <w:tab w:val="left" w:pos="4154"/>
                <w:tab w:val="center" w:pos="8305"/>
              </w:tabs>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地类</w:t>
            </w:r>
          </w:p>
        </w:tc>
        <w:tc>
          <w:tcPr>
            <w:tcW w:w="1124" w:type="pct"/>
            <w:vAlign w:val="center"/>
          </w:tcPr>
          <w:p w14:paraId="44FB2570">
            <w:pPr>
              <w:tabs>
                <w:tab w:val="left" w:pos="4154"/>
                <w:tab w:val="center" w:pos="8305"/>
              </w:tabs>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面积（km</w:t>
            </w:r>
            <w:r>
              <w:rPr>
                <w:rFonts w:hint="eastAsia" w:ascii="Times New Roman" w:hAnsi="Times New Roman" w:cs="Times New Roman" w:eastAsiaTheme="minorEastAsia"/>
                <w:bCs/>
                <w:color w:val="auto"/>
                <w:w w:val="99"/>
                <w:kern w:val="2"/>
                <w:sz w:val="21"/>
                <w:szCs w:val="21"/>
                <w:highlight w:val="none"/>
                <w:vertAlign w:val="superscript"/>
              </w:rPr>
              <w:t>2</w:t>
            </w:r>
            <w:r>
              <w:rPr>
                <w:rFonts w:hint="eastAsia" w:ascii="Times New Roman" w:hAnsi="Times New Roman" w:cs="Times New Roman" w:eastAsiaTheme="minorEastAsia"/>
                <w:bCs/>
                <w:color w:val="auto"/>
                <w:w w:val="99"/>
                <w:kern w:val="2"/>
                <w:sz w:val="21"/>
                <w:szCs w:val="21"/>
                <w:highlight w:val="none"/>
              </w:rPr>
              <w:t>）</w:t>
            </w:r>
          </w:p>
        </w:tc>
        <w:tc>
          <w:tcPr>
            <w:tcW w:w="1007" w:type="pct"/>
            <w:vAlign w:val="center"/>
          </w:tcPr>
          <w:p w14:paraId="71D80297">
            <w:pPr>
              <w:tabs>
                <w:tab w:val="left" w:pos="4154"/>
                <w:tab w:val="center" w:pos="8305"/>
              </w:tabs>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比例（%）</w:t>
            </w:r>
          </w:p>
        </w:tc>
      </w:tr>
      <w:tr w14:paraId="6A9BF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533" w:type="pct"/>
            <w:vAlign w:val="center"/>
          </w:tcPr>
          <w:p w14:paraId="19761195">
            <w:pPr>
              <w:tabs>
                <w:tab w:val="left" w:pos="4154"/>
                <w:tab w:val="center" w:pos="8305"/>
              </w:tabs>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1</w:t>
            </w:r>
          </w:p>
        </w:tc>
        <w:tc>
          <w:tcPr>
            <w:tcW w:w="2334" w:type="pct"/>
            <w:vAlign w:val="center"/>
          </w:tcPr>
          <w:p w14:paraId="618D4769">
            <w:pPr>
              <w:tabs>
                <w:tab w:val="left" w:pos="4154"/>
                <w:tab w:val="center" w:pos="8305"/>
              </w:tabs>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建设用地</w:t>
            </w:r>
          </w:p>
        </w:tc>
        <w:tc>
          <w:tcPr>
            <w:tcW w:w="1124" w:type="pct"/>
            <w:vAlign w:val="center"/>
          </w:tcPr>
          <w:p w14:paraId="03F96F86">
            <w:pPr>
              <w:tabs>
                <w:tab w:val="left" w:pos="4154"/>
                <w:tab w:val="center" w:pos="8305"/>
              </w:tabs>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0.067</w:t>
            </w:r>
          </w:p>
        </w:tc>
        <w:tc>
          <w:tcPr>
            <w:tcW w:w="1870" w:type="dxa"/>
            <w:vAlign w:val="center"/>
          </w:tcPr>
          <w:p w14:paraId="13381C22">
            <w:pPr>
              <w:tabs>
                <w:tab w:val="left" w:pos="4154"/>
                <w:tab w:val="center" w:pos="8305"/>
              </w:tabs>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5.45 </w:t>
            </w:r>
          </w:p>
        </w:tc>
      </w:tr>
      <w:tr w14:paraId="4C7D3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3" w:type="pct"/>
            <w:vAlign w:val="center"/>
          </w:tcPr>
          <w:p w14:paraId="7D59C7DB">
            <w:pPr>
              <w:tabs>
                <w:tab w:val="left" w:pos="4154"/>
                <w:tab w:val="center" w:pos="8305"/>
              </w:tabs>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2</w:t>
            </w:r>
          </w:p>
        </w:tc>
        <w:tc>
          <w:tcPr>
            <w:tcW w:w="2334" w:type="pct"/>
            <w:vAlign w:val="center"/>
          </w:tcPr>
          <w:p w14:paraId="78551604">
            <w:pPr>
              <w:tabs>
                <w:tab w:val="left" w:pos="4154"/>
                <w:tab w:val="center" w:pos="8305"/>
              </w:tabs>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道路</w:t>
            </w:r>
          </w:p>
        </w:tc>
        <w:tc>
          <w:tcPr>
            <w:tcW w:w="1124" w:type="pct"/>
            <w:vAlign w:val="center"/>
          </w:tcPr>
          <w:p w14:paraId="733A8239">
            <w:pPr>
              <w:tabs>
                <w:tab w:val="left" w:pos="4154"/>
                <w:tab w:val="center" w:pos="8305"/>
              </w:tabs>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0.001</w:t>
            </w:r>
          </w:p>
        </w:tc>
        <w:tc>
          <w:tcPr>
            <w:tcW w:w="1870" w:type="dxa"/>
            <w:vAlign w:val="center"/>
          </w:tcPr>
          <w:p w14:paraId="26A2BEC4">
            <w:pPr>
              <w:tabs>
                <w:tab w:val="left" w:pos="4154"/>
                <w:tab w:val="center" w:pos="8305"/>
              </w:tabs>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0.08 </w:t>
            </w:r>
          </w:p>
        </w:tc>
      </w:tr>
      <w:tr w14:paraId="74C9B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3" w:type="pct"/>
            <w:vAlign w:val="center"/>
          </w:tcPr>
          <w:p w14:paraId="7B4D21A6">
            <w:pPr>
              <w:tabs>
                <w:tab w:val="left" w:pos="4154"/>
                <w:tab w:val="center" w:pos="8305"/>
              </w:tabs>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3</w:t>
            </w:r>
          </w:p>
        </w:tc>
        <w:tc>
          <w:tcPr>
            <w:tcW w:w="2334" w:type="pct"/>
            <w:vAlign w:val="center"/>
          </w:tcPr>
          <w:p w14:paraId="5910D56A">
            <w:pPr>
              <w:tabs>
                <w:tab w:val="left" w:pos="4154"/>
                <w:tab w:val="center" w:pos="8305"/>
              </w:tabs>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旱地</w:t>
            </w:r>
          </w:p>
        </w:tc>
        <w:tc>
          <w:tcPr>
            <w:tcW w:w="1124" w:type="pct"/>
            <w:vAlign w:val="center"/>
          </w:tcPr>
          <w:p w14:paraId="75D823F0">
            <w:pPr>
              <w:tabs>
                <w:tab w:val="left" w:pos="4154"/>
                <w:tab w:val="center" w:pos="8305"/>
              </w:tabs>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1.089</w:t>
            </w:r>
          </w:p>
        </w:tc>
        <w:tc>
          <w:tcPr>
            <w:tcW w:w="1870" w:type="dxa"/>
            <w:vAlign w:val="center"/>
          </w:tcPr>
          <w:p w14:paraId="7FE7A59F">
            <w:pPr>
              <w:tabs>
                <w:tab w:val="left" w:pos="4154"/>
                <w:tab w:val="center" w:pos="8305"/>
              </w:tabs>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88.54 </w:t>
            </w:r>
          </w:p>
        </w:tc>
      </w:tr>
      <w:tr w14:paraId="799C9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3" w:type="pct"/>
            <w:vAlign w:val="center"/>
          </w:tcPr>
          <w:p w14:paraId="78EFA7FF">
            <w:pPr>
              <w:tabs>
                <w:tab w:val="left" w:pos="4154"/>
                <w:tab w:val="center" w:pos="8305"/>
              </w:tabs>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4</w:t>
            </w:r>
          </w:p>
        </w:tc>
        <w:tc>
          <w:tcPr>
            <w:tcW w:w="2334" w:type="pct"/>
            <w:vAlign w:val="center"/>
          </w:tcPr>
          <w:p w14:paraId="1D0CCF8F">
            <w:pPr>
              <w:tabs>
                <w:tab w:val="left" w:pos="4154"/>
                <w:tab w:val="center" w:pos="8305"/>
              </w:tabs>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林地</w:t>
            </w:r>
          </w:p>
        </w:tc>
        <w:tc>
          <w:tcPr>
            <w:tcW w:w="1124" w:type="pct"/>
            <w:vAlign w:val="center"/>
          </w:tcPr>
          <w:p w14:paraId="0F836669">
            <w:pPr>
              <w:tabs>
                <w:tab w:val="left" w:pos="4154"/>
                <w:tab w:val="center" w:pos="8305"/>
              </w:tabs>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0.073</w:t>
            </w:r>
          </w:p>
        </w:tc>
        <w:tc>
          <w:tcPr>
            <w:tcW w:w="1870" w:type="dxa"/>
            <w:vAlign w:val="center"/>
          </w:tcPr>
          <w:p w14:paraId="3EFC8C3B">
            <w:pPr>
              <w:tabs>
                <w:tab w:val="left" w:pos="4154"/>
                <w:tab w:val="center" w:pos="8305"/>
              </w:tabs>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 xml:space="preserve">5.93 </w:t>
            </w:r>
          </w:p>
        </w:tc>
      </w:tr>
      <w:tr w14:paraId="30F5D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33" w:type="pct"/>
            <w:vAlign w:val="center"/>
          </w:tcPr>
          <w:p w14:paraId="07153A66">
            <w:pPr>
              <w:tabs>
                <w:tab w:val="left" w:pos="4154"/>
                <w:tab w:val="center" w:pos="8305"/>
              </w:tabs>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5</w:t>
            </w:r>
          </w:p>
        </w:tc>
        <w:tc>
          <w:tcPr>
            <w:tcW w:w="2334" w:type="pct"/>
            <w:vAlign w:val="center"/>
          </w:tcPr>
          <w:p w14:paraId="546DFF3E">
            <w:pPr>
              <w:tabs>
                <w:tab w:val="left" w:pos="4154"/>
                <w:tab w:val="center" w:pos="8305"/>
              </w:tabs>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合计</w:t>
            </w:r>
          </w:p>
        </w:tc>
        <w:tc>
          <w:tcPr>
            <w:tcW w:w="1124" w:type="pct"/>
            <w:vAlign w:val="center"/>
          </w:tcPr>
          <w:p w14:paraId="1AE5E377">
            <w:pPr>
              <w:tabs>
                <w:tab w:val="left" w:pos="4154"/>
                <w:tab w:val="center" w:pos="8305"/>
              </w:tabs>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1.23</w:t>
            </w:r>
          </w:p>
        </w:tc>
        <w:tc>
          <w:tcPr>
            <w:tcW w:w="1007" w:type="pct"/>
            <w:vAlign w:val="center"/>
          </w:tcPr>
          <w:p w14:paraId="0053FBF7">
            <w:pPr>
              <w:tabs>
                <w:tab w:val="left" w:pos="4154"/>
                <w:tab w:val="center" w:pos="8305"/>
              </w:tabs>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100</w:t>
            </w:r>
          </w:p>
        </w:tc>
      </w:tr>
    </w:tbl>
    <w:p w14:paraId="62DB4474">
      <w:pPr>
        <w:widowControl w:val="0"/>
        <w:adjustRightInd w:val="0"/>
        <w:snapToGrid w:val="0"/>
        <w:spacing w:line="480" w:lineRule="exact"/>
        <w:ind w:firstLine="474" w:firstLineChars="200"/>
        <w:jc w:val="both"/>
        <w:rPr>
          <w:rFonts w:ascii="Times New Roman" w:hAnsi="Times New Roman" w:cs="Times New Roman"/>
          <w:b/>
          <w:color w:val="auto"/>
          <w:kern w:val="2"/>
          <w:highlight w:val="none"/>
        </w:rPr>
      </w:pPr>
      <w:r>
        <w:rPr>
          <w:rFonts w:ascii="Times New Roman" w:hAnsi="Times New Roman" w:cs="Times New Roman" w:eastAsiaTheme="minorEastAsia"/>
          <w:color w:val="auto"/>
          <w:w w:val="99"/>
          <w:highlight w:val="none"/>
        </w:rPr>
        <w:t>从表中可以看出，本评价区内</w:t>
      </w:r>
      <w:r>
        <w:rPr>
          <w:rFonts w:hint="eastAsia" w:ascii="Times New Roman" w:hAnsi="Times New Roman" w:cs="Times New Roman" w:eastAsiaTheme="minorEastAsia"/>
          <w:color w:val="auto"/>
          <w:w w:val="99"/>
          <w:highlight w:val="none"/>
        </w:rPr>
        <w:t>耕地</w:t>
      </w:r>
      <w:r>
        <w:rPr>
          <w:rFonts w:ascii="Times New Roman" w:hAnsi="Times New Roman" w:cs="Times New Roman" w:eastAsiaTheme="minorEastAsia"/>
          <w:color w:val="auto"/>
          <w:w w:val="99"/>
          <w:highlight w:val="none"/>
        </w:rPr>
        <w:t>占主要地位，面积为</w:t>
      </w:r>
      <w:r>
        <w:rPr>
          <w:rFonts w:hint="eastAsia" w:ascii="Times New Roman" w:hAnsi="Times New Roman" w:cs="Times New Roman" w:eastAsiaTheme="minorEastAsia"/>
          <w:color w:val="auto"/>
          <w:w w:val="99"/>
          <w:highlight w:val="none"/>
        </w:rPr>
        <w:t>2.908</w:t>
      </w:r>
      <w:r>
        <w:rPr>
          <w:rFonts w:ascii="Times New Roman" w:hAnsi="Times New Roman" w:cs="Times New Roman" w:eastAsiaTheme="minorEastAsia"/>
          <w:color w:val="auto"/>
          <w:w w:val="99"/>
          <w:highlight w:val="none"/>
        </w:rPr>
        <w:t>km</w:t>
      </w:r>
      <w:r>
        <w:rPr>
          <w:rFonts w:ascii="Times New Roman" w:hAnsi="Times New Roman" w:cs="Times New Roman" w:eastAsiaTheme="minorEastAsia"/>
          <w:color w:val="auto"/>
          <w:w w:val="99"/>
          <w:highlight w:val="none"/>
          <w:vertAlign w:val="superscript"/>
        </w:rPr>
        <w:t>2</w:t>
      </w:r>
      <w:r>
        <w:rPr>
          <w:rFonts w:ascii="Times New Roman" w:hAnsi="Times New Roman" w:cs="Times New Roman" w:eastAsiaTheme="minorEastAsia"/>
          <w:color w:val="auto"/>
          <w:w w:val="99"/>
          <w:highlight w:val="none"/>
        </w:rPr>
        <w:t>，占评价区总体面积的</w:t>
      </w:r>
      <w:r>
        <w:rPr>
          <w:rFonts w:hint="eastAsia" w:ascii="Times New Roman" w:hAnsi="Times New Roman" w:cs="Times New Roman" w:eastAsiaTheme="minorEastAsia"/>
          <w:color w:val="auto"/>
          <w:w w:val="99"/>
          <w:highlight w:val="none"/>
        </w:rPr>
        <w:t>90.65%，其他类型占地</w:t>
      </w:r>
      <w:r>
        <w:rPr>
          <w:rFonts w:ascii="Times New Roman" w:hAnsi="Times New Roman" w:cs="Times New Roman" w:eastAsiaTheme="minorEastAsia"/>
          <w:color w:val="auto"/>
          <w:w w:val="99"/>
          <w:highlight w:val="none"/>
        </w:rPr>
        <w:t>占评价区总面积的比例较小。</w:t>
      </w:r>
    </w:p>
    <w:p w14:paraId="10DE0663">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4.3.6.</w:t>
      </w:r>
      <w:r>
        <w:rPr>
          <w:rFonts w:hint="eastAsia" w:ascii="Times New Roman" w:hAnsi="Times New Roman" w:cs="Times New Roman"/>
          <w:b/>
          <w:color w:val="auto"/>
          <w:w w:val="99"/>
          <w:highlight w:val="none"/>
        </w:rPr>
        <w:t>4区域陆生</w:t>
      </w:r>
      <w:r>
        <w:rPr>
          <w:rFonts w:ascii="Times New Roman" w:hAnsi="Times New Roman" w:cs="Times New Roman"/>
          <w:b/>
          <w:color w:val="auto"/>
          <w:w w:val="99"/>
          <w:highlight w:val="none"/>
        </w:rPr>
        <w:t>植被现状调查</w:t>
      </w:r>
    </w:p>
    <w:p w14:paraId="30A7BB30">
      <w:pPr>
        <w:pStyle w:val="33"/>
        <w:spacing w:after="0" w:line="440" w:lineRule="exact"/>
        <w:ind w:left="0" w:leftChars="0" w:firstLine="474" w:firstLineChars="200"/>
        <w:jc w:val="both"/>
        <w:rPr>
          <w:rFonts w:ascii="Times New Roman" w:hAnsi="Times New Roman" w:eastAsiaTheme="minorEastAsia"/>
          <w:color w:val="auto"/>
          <w:spacing w:val="0"/>
          <w:w w:val="99"/>
          <w:sz w:val="24"/>
          <w:szCs w:val="24"/>
          <w:highlight w:val="none"/>
        </w:rPr>
      </w:pPr>
      <w:r>
        <w:rPr>
          <w:rFonts w:ascii="Times New Roman" w:hAnsi="Times New Roman" w:eastAsiaTheme="minorEastAsia"/>
          <w:color w:val="auto"/>
          <w:spacing w:val="0"/>
          <w:w w:val="99"/>
          <w:sz w:val="24"/>
          <w:szCs w:val="24"/>
          <w:highlight w:val="none"/>
        </w:rPr>
        <w:t>经过实地考察与参考相关资料，评价区的植被分类系统、主要植被情况见表4.3-</w:t>
      </w:r>
      <w:r>
        <w:rPr>
          <w:rFonts w:hint="eastAsia" w:ascii="Times New Roman" w:hAnsi="Times New Roman" w:eastAsiaTheme="minorEastAsia"/>
          <w:color w:val="auto"/>
          <w:spacing w:val="0"/>
          <w:w w:val="99"/>
          <w:sz w:val="24"/>
          <w:szCs w:val="24"/>
          <w:highlight w:val="none"/>
        </w:rPr>
        <w:t>27</w:t>
      </w:r>
      <w:r>
        <w:rPr>
          <w:rFonts w:ascii="Times New Roman" w:hAnsi="Times New Roman" w:eastAsiaTheme="minorEastAsia"/>
          <w:color w:val="auto"/>
          <w:spacing w:val="0"/>
          <w:w w:val="99"/>
          <w:sz w:val="24"/>
          <w:szCs w:val="24"/>
          <w:highlight w:val="none"/>
        </w:rPr>
        <w:t>。</w:t>
      </w:r>
    </w:p>
    <w:p w14:paraId="2DC4F542">
      <w:pPr>
        <w:pStyle w:val="33"/>
        <w:spacing w:after="0" w:line="440" w:lineRule="exact"/>
        <w:ind w:left="0" w:leftChars="0" w:firstLine="476" w:firstLineChars="200"/>
        <w:jc w:val="both"/>
        <w:rPr>
          <w:rFonts w:ascii="Times New Roman" w:hAnsi="Times New Roman" w:eastAsiaTheme="minorEastAsia"/>
          <w:b/>
          <w:bCs/>
          <w:color w:val="auto"/>
          <w:spacing w:val="0"/>
          <w:w w:val="99"/>
          <w:sz w:val="24"/>
          <w:szCs w:val="24"/>
          <w:highlight w:val="none"/>
        </w:rPr>
      </w:pPr>
      <w:r>
        <w:rPr>
          <w:rFonts w:ascii="Times New Roman" w:hAnsi="Times New Roman" w:eastAsiaTheme="minorEastAsia"/>
          <w:b/>
          <w:bCs/>
          <w:color w:val="auto"/>
          <w:spacing w:val="0"/>
          <w:w w:val="99"/>
          <w:sz w:val="24"/>
          <w:szCs w:val="24"/>
          <w:highlight w:val="none"/>
        </w:rPr>
        <w:t>表4.3-</w:t>
      </w:r>
      <w:r>
        <w:rPr>
          <w:rFonts w:hint="eastAsia" w:ascii="Times New Roman" w:hAnsi="Times New Roman" w:eastAsiaTheme="minorEastAsia"/>
          <w:b/>
          <w:bCs/>
          <w:color w:val="auto"/>
          <w:spacing w:val="0"/>
          <w:w w:val="99"/>
          <w:sz w:val="24"/>
          <w:szCs w:val="24"/>
          <w:highlight w:val="none"/>
        </w:rPr>
        <w:t xml:space="preserve">27  </w:t>
      </w:r>
      <w:r>
        <w:rPr>
          <w:rFonts w:ascii="Times New Roman" w:hAnsi="Times New Roman" w:eastAsiaTheme="minorEastAsia"/>
          <w:b/>
          <w:bCs/>
          <w:color w:val="auto"/>
          <w:spacing w:val="0"/>
          <w:w w:val="99"/>
          <w:sz w:val="24"/>
          <w:szCs w:val="24"/>
          <w:highlight w:val="none"/>
        </w:rPr>
        <w:t>评价区主要植被类型</w:t>
      </w:r>
    </w:p>
    <w:tbl>
      <w:tblPr>
        <w:tblStyle w:val="81"/>
        <w:tblW w:w="499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1415"/>
        <w:gridCol w:w="1443"/>
        <w:gridCol w:w="2069"/>
        <w:gridCol w:w="4356"/>
      </w:tblGrid>
      <w:tr w14:paraId="7191FD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340" w:hRule="exact"/>
          <w:jc w:val="center"/>
        </w:trPr>
        <w:tc>
          <w:tcPr>
            <w:tcW w:w="762" w:type="pct"/>
            <w:vAlign w:val="center"/>
          </w:tcPr>
          <w:p w14:paraId="7801B02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植被型组</w:t>
            </w:r>
          </w:p>
        </w:tc>
        <w:tc>
          <w:tcPr>
            <w:tcW w:w="777" w:type="pct"/>
            <w:vAlign w:val="center"/>
          </w:tcPr>
          <w:p w14:paraId="73CEC2F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植被型</w:t>
            </w:r>
          </w:p>
        </w:tc>
        <w:tc>
          <w:tcPr>
            <w:tcW w:w="1114" w:type="pct"/>
            <w:vAlign w:val="center"/>
          </w:tcPr>
          <w:p w14:paraId="5E19998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群丛</w:t>
            </w:r>
          </w:p>
        </w:tc>
        <w:tc>
          <w:tcPr>
            <w:tcW w:w="2345" w:type="pct"/>
            <w:vAlign w:val="center"/>
          </w:tcPr>
          <w:p w14:paraId="172495C2">
            <w:pPr>
              <w:spacing w:line="360" w:lineRule="exact"/>
              <w:jc w:val="center"/>
              <w:rPr>
                <w:rFonts w:ascii="Times New Roman" w:hAnsi="Times New Roman" w:cs="Times New Roman" w:eastAsiaTheme="minorEastAsia"/>
                <w:color w:val="auto"/>
                <w:w w:val="99"/>
                <w:sz w:val="21"/>
                <w:szCs w:val="21"/>
                <w:highlight w:val="none"/>
              </w:rPr>
            </w:pPr>
            <w:bookmarkStart w:id="785" w:name="_Toc309557369"/>
            <w:bookmarkStart w:id="786" w:name="_Toc309391233"/>
            <w:bookmarkStart w:id="787" w:name="_Toc1559"/>
            <w:bookmarkStart w:id="788" w:name="_Toc21665"/>
            <w:bookmarkStart w:id="789" w:name="_Toc308794890"/>
            <w:bookmarkStart w:id="790" w:name="_Toc308801028"/>
            <w:r>
              <w:rPr>
                <w:rFonts w:ascii="Times New Roman" w:hAnsi="Times New Roman" w:cs="Times New Roman" w:eastAsiaTheme="minorEastAsia"/>
                <w:color w:val="auto"/>
                <w:w w:val="99"/>
                <w:sz w:val="21"/>
                <w:szCs w:val="21"/>
                <w:highlight w:val="none"/>
              </w:rPr>
              <w:t>群丛拉丁名</w:t>
            </w:r>
            <w:bookmarkEnd w:id="785"/>
            <w:bookmarkEnd w:id="786"/>
            <w:bookmarkEnd w:id="787"/>
            <w:bookmarkEnd w:id="788"/>
            <w:bookmarkEnd w:id="789"/>
            <w:bookmarkEnd w:id="790"/>
          </w:p>
        </w:tc>
      </w:tr>
      <w:tr w14:paraId="0B835A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340" w:hRule="exact"/>
          <w:jc w:val="center"/>
        </w:trPr>
        <w:tc>
          <w:tcPr>
            <w:tcW w:w="762" w:type="pct"/>
            <w:vAlign w:val="center"/>
          </w:tcPr>
          <w:p w14:paraId="08BCE921">
            <w:pPr>
              <w:spacing w:line="360" w:lineRule="exact"/>
              <w:jc w:val="center"/>
              <w:rPr>
                <w:rFonts w:ascii="Times New Roman" w:hAnsi="Times New Roman" w:cs="Times New Roman" w:eastAsiaTheme="minorEastAsia"/>
                <w:color w:val="auto"/>
                <w:w w:val="99"/>
                <w:sz w:val="21"/>
                <w:szCs w:val="21"/>
                <w:highlight w:val="none"/>
                <w:lang w:val="pt-BR"/>
              </w:rPr>
            </w:pPr>
            <w:r>
              <w:rPr>
                <w:rFonts w:ascii="Times New Roman" w:hAnsi="Times New Roman" w:cs="Times New Roman" w:eastAsiaTheme="minorEastAsia"/>
                <w:color w:val="auto"/>
                <w:w w:val="99"/>
                <w:sz w:val="21"/>
                <w:szCs w:val="21"/>
                <w:highlight w:val="none"/>
              </w:rPr>
              <w:t>农业植被</w:t>
            </w:r>
          </w:p>
        </w:tc>
        <w:tc>
          <w:tcPr>
            <w:tcW w:w="777" w:type="pct"/>
            <w:vAlign w:val="center"/>
          </w:tcPr>
          <w:p w14:paraId="52485B66">
            <w:pPr>
              <w:spacing w:line="360" w:lineRule="exact"/>
              <w:jc w:val="center"/>
              <w:rPr>
                <w:rFonts w:ascii="Times New Roman" w:hAnsi="Times New Roman" w:cs="Times New Roman" w:eastAsiaTheme="minorEastAsia"/>
                <w:color w:val="auto"/>
                <w:w w:val="99"/>
                <w:sz w:val="21"/>
                <w:szCs w:val="21"/>
                <w:highlight w:val="none"/>
                <w:lang w:val="pt-BR"/>
              </w:rPr>
            </w:pPr>
            <w:r>
              <w:rPr>
                <w:rFonts w:ascii="Times New Roman" w:hAnsi="Times New Roman" w:cs="Times New Roman" w:eastAsiaTheme="minorEastAsia"/>
                <w:color w:val="auto"/>
                <w:w w:val="99"/>
                <w:sz w:val="21"/>
                <w:szCs w:val="21"/>
                <w:highlight w:val="none"/>
              </w:rPr>
              <w:t>农作物</w:t>
            </w:r>
          </w:p>
        </w:tc>
        <w:tc>
          <w:tcPr>
            <w:tcW w:w="3459" w:type="pct"/>
            <w:gridSpan w:val="2"/>
            <w:vAlign w:val="center"/>
          </w:tcPr>
          <w:p w14:paraId="3CE72BAD">
            <w:pPr>
              <w:spacing w:line="360" w:lineRule="exact"/>
              <w:jc w:val="center"/>
              <w:rPr>
                <w:rFonts w:ascii="Times New Roman" w:hAnsi="Times New Roman" w:cs="Times New Roman" w:eastAsiaTheme="minorEastAsia"/>
                <w:color w:val="auto"/>
                <w:w w:val="99"/>
                <w:sz w:val="21"/>
                <w:szCs w:val="21"/>
                <w:highlight w:val="none"/>
                <w:lang w:val="pt-BR"/>
              </w:rPr>
            </w:pPr>
            <w:bookmarkStart w:id="791" w:name="_Toc309391242"/>
            <w:bookmarkStart w:id="792" w:name="_Toc309557378"/>
            <w:bookmarkStart w:id="793" w:name="_Toc308801037"/>
            <w:bookmarkStart w:id="794" w:name="_Toc308794899"/>
            <w:bookmarkStart w:id="795" w:name="_Toc6083"/>
            <w:bookmarkStart w:id="796" w:name="_Toc26358"/>
            <w:r>
              <w:rPr>
                <w:rFonts w:ascii="Times New Roman" w:hAnsi="Times New Roman" w:cs="Times New Roman" w:eastAsiaTheme="minorEastAsia"/>
                <w:color w:val="auto"/>
                <w:w w:val="99"/>
                <w:sz w:val="21"/>
                <w:szCs w:val="21"/>
                <w:highlight w:val="none"/>
              </w:rPr>
              <w:t>粮食作物</w:t>
            </w:r>
            <w:r>
              <w:rPr>
                <w:rFonts w:ascii="Times New Roman" w:hAnsi="Times New Roman" w:cs="Times New Roman" w:eastAsiaTheme="minorEastAsia"/>
                <w:color w:val="auto"/>
                <w:w w:val="99"/>
                <w:sz w:val="21"/>
                <w:szCs w:val="21"/>
                <w:highlight w:val="none"/>
                <w:lang w:val="pt-BR"/>
              </w:rPr>
              <w:t>：</w:t>
            </w:r>
            <w:bookmarkEnd w:id="791"/>
            <w:bookmarkEnd w:id="792"/>
            <w:bookmarkEnd w:id="793"/>
            <w:bookmarkEnd w:id="794"/>
            <w:r>
              <w:rPr>
                <w:rFonts w:ascii="Times New Roman" w:hAnsi="Times New Roman" w:cs="Times New Roman" w:eastAsiaTheme="minorEastAsia"/>
                <w:color w:val="auto"/>
                <w:w w:val="99"/>
                <w:sz w:val="21"/>
                <w:szCs w:val="21"/>
                <w:highlight w:val="none"/>
              </w:rPr>
              <w:t>玉米</w:t>
            </w:r>
            <w:bookmarkEnd w:id="795"/>
            <w:bookmarkEnd w:id="796"/>
          </w:p>
        </w:tc>
      </w:tr>
    </w:tbl>
    <w:p w14:paraId="493775C0">
      <w:pPr>
        <w:snapToGrid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评价区属于松嫩平原区，农耕历史悠久，栽培植被是最重要的植被类型，为人工种植的各种农作物。区域中农作物主要以玉米为主。玉米是一年生</w:t>
      </w:r>
      <w:r>
        <w:rPr>
          <w:color w:val="auto"/>
          <w:highlight w:val="none"/>
        </w:rPr>
        <w:fldChar w:fldCharType="begin"/>
      </w:r>
      <w:r>
        <w:rPr>
          <w:color w:val="auto"/>
          <w:highlight w:val="none"/>
        </w:rPr>
        <w:instrText xml:space="preserve"> HYPERLINK "http://baike.baidu.com/view/39012.htm" </w:instrText>
      </w:r>
      <w:r>
        <w:rPr>
          <w:color w:val="auto"/>
          <w:highlight w:val="none"/>
        </w:rPr>
        <w:fldChar w:fldCharType="separate"/>
      </w:r>
      <w:r>
        <w:rPr>
          <w:rFonts w:ascii="Times New Roman" w:hAnsi="Times New Roman" w:cs="Times New Roman" w:eastAsiaTheme="minorEastAsia"/>
          <w:color w:val="auto"/>
          <w:w w:val="99"/>
          <w:highlight w:val="none"/>
        </w:rPr>
        <w:t>禾本科植物</w:t>
      </w:r>
      <w:r>
        <w:rPr>
          <w:rFonts w:ascii="Times New Roman" w:hAnsi="Times New Roman" w:cs="Times New Roman" w:eastAsiaTheme="minorEastAsia"/>
          <w:color w:val="auto"/>
          <w:w w:val="99"/>
          <w:highlight w:val="none"/>
        </w:rPr>
        <w:fldChar w:fldCharType="end"/>
      </w:r>
      <w:r>
        <w:rPr>
          <w:rFonts w:ascii="Times New Roman" w:hAnsi="Times New Roman" w:cs="Times New Roman" w:eastAsiaTheme="minorEastAsia"/>
          <w:color w:val="auto"/>
          <w:w w:val="99"/>
          <w:highlight w:val="none"/>
        </w:rPr>
        <w:t>，是喜温作物，全生育期要求较高的温度，产量约为650kg/亩。经济作物主要有甜菜、芝麻、向日葵等。蔬菜类主要有茄子、豆角和白菜等。</w:t>
      </w:r>
    </w:p>
    <w:tbl>
      <w:tblPr>
        <w:tblStyle w:val="82"/>
        <w:tblW w:w="509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27"/>
        <w:gridCol w:w="4736"/>
      </w:tblGrid>
      <w:tr w14:paraId="1D87A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27" w:type="dxa"/>
          </w:tcPr>
          <w:p w14:paraId="6FAD1C3E">
            <w:pPr>
              <w:widowControl w:val="0"/>
              <w:jc w:val="center"/>
              <w:rPr>
                <w:rFonts w:hint="eastAsia"/>
                <w:color w:val="auto"/>
                <w:highlight w:val="none"/>
              </w:rPr>
            </w:pPr>
            <w:r>
              <w:rPr>
                <w:color w:val="auto"/>
                <w:highlight w:val="none"/>
              </w:rPr>
              <w:drawing>
                <wp:inline distT="0" distB="0" distL="114300" distR="114300">
                  <wp:extent cx="2857500" cy="2129155"/>
                  <wp:effectExtent l="0" t="0" r="0" b="4445"/>
                  <wp:docPr id="10" name="图片 6" descr="IMG_20220225_140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IMG_20220225_140545"/>
                          <pic:cNvPicPr>
                            <a:picLocks noChangeAspect="1"/>
                          </pic:cNvPicPr>
                        </pic:nvPicPr>
                        <pic:blipFill>
                          <a:blip r:embed="rId53"/>
                          <a:stretch>
                            <a:fillRect/>
                          </a:stretch>
                        </pic:blipFill>
                        <pic:spPr>
                          <a:xfrm>
                            <a:off x="0" y="0"/>
                            <a:ext cx="2857500" cy="2129155"/>
                          </a:xfrm>
                          <a:prstGeom prst="rect">
                            <a:avLst/>
                          </a:prstGeom>
                          <a:noFill/>
                          <a:ln>
                            <a:noFill/>
                          </a:ln>
                        </pic:spPr>
                      </pic:pic>
                    </a:graphicData>
                  </a:graphic>
                </wp:inline>
              </w:drawing>
            </w:r>
          </w:p>
        </w:tc>
        <w:tc>
          <w:tcPr>
            <w:tcW w:w="4736" w:type="dxa"/>
            <w:vAlign w:val="center"/>
          </w:tcPr>
          <w:p w14:paraId="5F215A07">
            <w:pPr>
              <w:widowControl w:val="0"/>
              <w:jc w:val="center"/>
              <w:rPr>
                <w:rFonts w:hint="eastAsia"/>
                <w:color w:val="auto"/>
                <w:highlight w:val="none"/>
              </w:rPr>
            </w:pPr>
            <w:r>
              <w:rPr>
                <w:color w:val="auto"/>
                <w:highlight w:val="none"/>
              </w:rPr>
              <w:drawing>
                <wp:inline distT="0" distB="0" distL="114300" distR="114300">
                  <wp:extent cx="2819400" cy="2114550"/>
                  <wp:effectExtent l="0" t="0" r="0" b="0"/>
                  <wp:docPr id="11" name="图片 7" descr="IMG_20220225_140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descr="IMG_20220225_140555"/>
                          <pic:cNvPicPr>
                            <a:picLocks noChangeAspect="1"/>
                          </pic:cNvPicPr>
                        </pic:nvPicPr>
                        <pic:blipFill>
                          <a:blip r:embed="rId54"/>
                          <a:stretch>
                            <a:fillRect/>
                          </a:stretch>
                        </pic:blipFill>
                        <pic:spPr>
                          <a:xfrm>
                            <a:off x="0" y="0"/>
                            <a:ext cx="2819400" cy="2114550"/>
                          </a:xfrm>
                          <a:prstGeom prst="rect">
                            <a:avLst/>
                          </a:prstGeom>
                          <a:noFill/>
                          <a:ln>
                            <a:noFill/>
                          </a:ln>
                        </pic:spPr>
                      </pic:pic>
                    </a:graphicData>
                  </a:graphic>
                </wp:inline>
              </w:drawing>
            </w:r>
          </w:p>
        </w:tc>
      </w:tr>
    </w:tbl>
    <w:p w14:paraId="772FAAC9">
      <w:pPr>
        <w:widowControl w:val="0"/>
        <w:spacing w:line="440" w:lineRule="exact"/>
        <w:outlineLvl w:val="3"/>
        <w:rPr>
          <w:rFonts w:ascii="Times New Roman" w:hAnsi="Times New Roman" w:cs="Times New Roman"/>
          <w:b/>
          <w:color w:val="auto"/>
          <w:w w:val="99"/>
          <w:highlight w:val="none"/>
        </w:rPr>
      </w:pPr>
      <w:r>
        <w:rPr>
          <w:rFonts w:hint="eastAsia" w:ascii="Times New Roman" w:hAnsi="Times New Roman" w:cs="Times New Roman"/>
          <w:b/>
          <w:color w:val="auto"/>
          <w:w w:val="99"/>
          <w:highlight w:val="none"/>
        </w:rPr>
        <w:t>4.3</w:t>
      </w:r>
      <w:r>
        <w:rPr>
          <w:rFonts w:ascii="Times New Roman" w:hAnsi="Times New Roman" w:cs="Times New Roman"/>
          <w:b/>
          <w:color w:val="auto"/>
          <w:w w:val="99"/>
          <w:highlight w:val="none"/>
        </w:rPr>
        <w:t>.6.</w:t>
      </w:r>
      <w:r>
        <w:rPr>
          <w:rFonts w:hint="eastAsia" w:ascii="Times New Roman" w:hAnsi="Times New Roman" w:cs="Times New Roman"/>
          <w:b/>
          <w:color w:val="auto"/>
          <w:w w:val="99"/>
          <w:highlight w:val="none"/>
        </w:rPr>
        <w:t>5</w:t>
      </w:r>
      <w:r>
        <w:rPr>
          <w:rFonts w:ascii="Times New Roman" w:hAnsi="Times New Roman" w:cs="Times New Roman"/>
          <w:b/>
          <w:color w:val="auto"/>
          <w:w w:val="99"/>
          <w:highlight w:val="none"/>
        </w:rPr>
        <w:t>区域陆生野生动物调查</w:t>
      </w:r>
    </w:p>
    <w:p w14:paraId="7AB7DF92">
      <w:pPr>
        <w:snapToGrid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1）陆生哺乳动物</w:t>
      </w:r>
    </w:p>
    <w:p w14:paraId="7B08DC4C">
      <w:pPr>
        <w:snapToGrid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评价区为典型农区，其动物的组成与分布具有明显的村栖型特点。主要分布有小家鼠（Mus musculus L.）、大仓鼠（Cricetulus triton）、普通田鼠（M icrotus arvalis）等啮齿目动物。由于人类活动的干扰，较大型哺乳类动物基本绝迹，但小型哺乳类特别是鼠类仍为常见种。</w:t>
      </w:r>
    </w:p>
    <w:p w14:paraId="1DF83DFB">
      <w:pPr>
        <w:snapToGrid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 xml:space="preserve">2）鸟类 </w:t>
      </w:r>
    </w:p>
    <w:p w14:paraId="576E8F16">
      <w:pPr>
        <w:snapToGrid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本区人类生产活动频繁，因此鸟类的种类和分布亦较少。经调查，本区无国家和地方受保护的珍稀濒危野生动物，常见鸟类主要为喜鹊（P. pica sericea Gould）、小嘴乌鸦（C. corone orientalis Evers）、麻雀（P. montanus montanus）、家燕（H. rustica gutturalis Scopoli）等村栖型鸟类。</w:t>
      </w:r>
    </w:p>
    <w:p w14:paraId="47743514">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4.3.6.</w:t>
      </w:r>
      <w:r>
        <w:rPr>
          <w:rFonts w:hint="eastAsia" w:ascii="Times New Roman" w:hAnsi="Times New Roman" w:cs="Times New Roman"/>
          <w:b/>
          <w:color w:val="auto"/>
          <w:w w:val="99"/>
          <w:highlight w:val="none"/>
        </w:rPr>
        <w:t>6</w:t>
      </w:r>
      <w:r>
        <w:rPr>
          <w:rFonts w:ascii="Times New Roman" w:hAnsi="Times New Roman" w:cs="Times New Roman"/>
          <w:b/>
          <w:color w:val="auto"/>
          <w:w w:val="99"/>
          <w:highlight w:val="none"/>
        </w:rPr>
        <w:t>水土流失现状调查</w:t>
      </w:r>
    </w:p>
    <w:p w14:paraId="5025244B">
      <w:pPr>
        <w:widowControl w:val="0"/>
        <w:spacing w:line="440" w:lineRule="exact"/>
        <w:ind w:firstLine="474" w:firstLineChars="200"/>
        <w:jc w:val="both"/>
        <w:rPr>
          <w:rFonts w:ascii="Times New Roman" w:hAnsi="Times New Roman" w:cs="Times New Roman" w:eastAsiaTheme="minorEastAsia"/>
          <w:color w:val="auto"/>
          <w:w w:val="99"/>
          <w:kern w:val="2"/>
          <w:szCs w:val="28"/>
          <w:highlight w:val="none"/>
        </w:rPr>
      </w:pPr>
      <w:r>
        <w:rPr>
          <w:rFonts w:ascii="Times New Roman" w:hAnsi="Times New Roman" w:cs="Times New Roman" w:eastAsiaTheme="minorEastAsia"/>
          <w:bCs/>
          <w:color w:val="auto"/>
          <w:w w:val="99"/>
          <w:kern w:val="2"/>
          <w:szCs w:val="28"/>
          <w:highlight w:val="none"/>
        </w:rPr>
        <w:t>根据《</w:t>
      </w:r>
      <w:r>
        <w:rPr>
          <w:rFonts w:hint="eastAsia" w:ascii="Times New Roman" w:hAnsi="Times New Roman" w:cs="Times New Roman" w:eastAsiaTheme="minorEastAsia"/>
          <w:bCs/>
          <w:color w:val="auto"/>
          <w:w w:val="99"/>
          <w:kern w:val="2"/>
          <w:szCs w:val="28"/>
          <w:highlight w:val="none"/>
        </w:rPr>
        <w:t>绥化</w:t>
      </w:r>
      <w:r>
        <w:rPr>
          <w:rFonts w:ascii="Times New Roman" w:hAnsi="Times New Roman" w:cs="Times New Roman" w:eastAsiaTheme="minorEastAsia"/>
          <w:bCs/>
          <w:color w:val="auto"/>
          <w:w w:val="99"/>
          <w:kern w:val="2"/>
          <w:szCs w:val="28"/>
          <w:highlight w:val="none"/>
        </w:rPr>
        <w:t>市水土保持规划（201</w:t>
      </w:r>
      <w:r>
        <w:rPr>
          <w:rFonts w:hint="eastAsia" w:ascii="Times New Roman" w:hAnsi="Times New Roman" w:cs="Times New Roman" w:eastAsiaTheme="minorEastAsia"/>
          <w:bCs/>
          <w:color w:val="auto"/>
          <w:w w:val="99"/>
          <w:kern w:val="2"/>
          <w:szCs w:val="28"/>
          <w:highlight w:val="none"/>
        </w:rPr>
        <w:t>9</w:t>
      </w:r>
      <w:r>
        <w:rPr>
          <w:rFonts w:ascii="Times New Roman" w:hAnsi="Times New Roman" w:cs="Times New Roman" w:eastAsiaTheme="minorEastAsia"/>
          <w:bCs/>
          <w:color w:val="auto"/>
          <w:w w:val="99"/>
          <w:kern w:val="2"/>
          <w:szCs w:val="28"/>
          <w:highlight w:val="none"/>
        </w:rPr>
        <w:t>~2030）》</w:t>
      </w:r>
      <w:r>
        <w:rPr>
          <w:rFonts w:ascii="Times New Roman" w:hAnsi="Times New Roman" w:cs="Times New Roman" w:eastAsiaTheme="minorEastAsia"/>
          <w:color w:val="auto"/>
          <w:w w:val="99"/>
          <w:kern w:val="2"/>
          <w:szCs w:val="28"/>
          <w:highlight w:val="none"/>
        </w:rPr>
        <w:t>，</w:t>
      </w:r>
      <w:r>
        <w:rPr>
          <w:rFonts w:hint="eastAsia" w:ascii="Times New Roman" w:hAnsi="Times New Roman" w:cs="Times New Roman" w:eastAsiaTheme="minorEastAsia"/>
          <w:bCs/>
          <w:color w:val="auto"/>
          <w:w w:val="99"/>
          <w:kern w:val="2"/>
          <w:szCs w:val="28"/>
          <w:highlight w:val="none"/>
        </w:rPr>
        <w:t>绥化</w:t>
      </w:r>
      <w:r>
        <w:rPr>
          <w:rFonts w:ascii="Times New Roman" w:hAnsi="Times New Roman" w:cs="Times New Roman" w:eastAsiaTheme="minorEastAsia"/>
          <w:color w:val="auto"/>
          <w:w w:val="99"/>
          <w:kern w:val="2"/>
          <w:szCs w:val="28"/>
          <w:highlight w:val="none"/>
          <w:lang w:val="en"/>
        </w:rPr>
        <w:t>市划定了市级水土流失重点预防区和重点治理区，本项目位于</w:t>
      </w:r>
      <w:r>
        <w:rPr>
          <w:rFonts w:hint="eastAsia" w:ascii="Times New Roman" w:hAnsi="Times New Roman" w:cs="Times New Roman" w:eastAsiaTheme="minorEastAsia"/>
          <w:color w:val="auto"/>
          <w:w w:val="99"/>
          <w:kern w:val="2"/>
          <w:szCs w:val="28"/>
          <w:highlight w:val="none"/>
        </w:rPr>
        <w:t>绥化</w:t>
      </w:r>
      <w:r>
        <w:rPr>
          <w:rFonts w:ascii="Times New Roman" w:hAnsi="Times New Roman" w:cs="Times New Roman" w:eastAsiaTheme="minorEastAsia"/>
          <w:color w:val="auto"/>
          <w:w w:val="99"/>
          <w:kern w:val="2"/>
          <w:szCs w:val="28"/>
          <w:highlight w:val="none"/>
        </w:rPr>
        <w:t>市</w:t>
      </w:r>
      <w:r>
        <w:rPr>
          <w:rFonts w:hint="eastAsia" w:ascii="Times New Roman" w:hAnsi="Times New Roman" w:cs="Times New Roman" w:eastAsiaTheme="minorEastAsia"/>
          <w:color w:val="auto"/>
          <w:w w:val="99"/>
          <w:kern w:val="2"/>
          <w:szCs w:val="28"/>
          <w:highlight w:val="none"/>
        </w:rPr>
        <w:t>肇东市境内</w:t>
      </w:r>
      <w:r>
        <w:rPr>
          <w:rFonts w:ascii="Times New Roman" w:hAnsi="Times New Roman" w:cs="Times New Roman" w:eastAsiaTheme="minorEastAsia"/>
          <w:color w:val="auto"/>
          <w:w w:val="99"/>
          <w:kern w:val="2"/>
          <w:szCs w:val="28"/>
          <w:highlight w:val="none"/>
          <w:lang w:val="en"/>
        </w:rPr>
        <w:t>，</w:t>
      </w:r>
      <w:r>
        <w:rPr>
          <w:rFonts w:hint="eastAsia" w:ascii="Times New Roman" w:hAnsi="Times New Roman" w:cs="Times New Roman" w:eastAsiaTheme="minorEastAsia"/>
          <w:color w:val="auto"/>
          <w:w w:val="99"/>
          <w:kern w:val="2"/>
          <w:szCs w:val="28"/>
          <w:highlight w:val="none"/>
        </w:rPr>
        <w:t>不</w:t>
      </w:r>
      <w:r>
        <w:rPr>
          <w:rFonts w:ascii="Times New Roman" w:hAnsi="Times New Roman" w:cs="Times New Roman" w:eastAsiaTheme="minorEastAsia"/>
          <w:color w:val="auto"/>
          <w:w w:val="99"/>
          <w:kern w:val="2"/>
          <w:szCs w:val="28"/>
          <w:highlight w:val="none"/>
          <w:lang w:val="en"/>
        </w:rPr>
        <w:t>属于市级水土流失重点治理区</w:t>
      </w:r>
      <w:r>
        <w:rPr>
          <w:rFonts w:hint="eastAsia" w:ascii="Times New Roman" w:hAnsi="Times New Roman" w:cs="Times New Roman" w:eastAsiaTheme="minorEastAsia"/>
          <w:color w:val="auto"/>
          <w:w w:val="99"/>
          <w:kern w:val="2"/>
          <w:szCs w:val="28"/>
          <w:highlight w:val="none"/>
        </w:rPr>
        <w:t>及</w:t>
      </w:r>
      <w:r>
        <w:rPr>
          <w:rFonts w:ascii="Times New Roman" w:hAnsi="Times New Roman" w:cs="Times New Roman" w:eastAsiaTheme="minorEastAsia"/>
          <w:color w:val="auto"/>
          <w:w w:val="99"/>
          <w:kern w:val="2"/>
          <w:szCs w:val="28"/>
          <w:highlight w:val="none"/>
          <w:lang w:val="en"/>
        </w:rPr>
        <w:t>预防区。</w:t>
      </w:r>
    </w:p>
    <w:p w14:paraId="3BEE3DE5">
      <w:pPr>
        <w:widowControl w:val="0"/>
        <w:spacing w:line="440" w:lineRule="exact"/>
        <w:ind w:firstLine="474" w:firstLineChars="200"/>
        <w:jc w:val="both"/>
        <w:rPr>
          <w:rFonts w:ascii="Times New Roman" w:hAnsi="Times New Roman" w:cs="Times New Roman" w:eastAsiaTheme="minorEastAsia"/>
          <w:color w:val="auto"/>
          <w:w w:val="99"/>
          <w:kern w:val="2"/>
          <w:szCs w:val="28"/>
          <w:highlight w:val="none"/>
          <w:lang w:val="en"/>
        </w:rPr>
      </w:pPr>
      <w:r>
        <w:rPr>
          <w:rFonts w:ascii="Times New Roman" w:hAnsi="Times New Roman" w:cs="Times New Roman" w:eastAsiaTheme="minorEastAsia"/>
          <w:color w:val="auto"/>
          <w:w w:val="99"/>
          <w:kern w:val="2"/>
          <w:szCs w:val="28"/>
          <w:highlight w:val="none"/>
          <w:lang w:val="en"/>
        </w:rPr>
        <w:t>本项目区域水土流失类型为风水蚀交错类型。成因包括石油天然气开发引起的水土流失、交通建设引起的水土流失、农业开发引起的水土流失。石油天然气开发主要表现在对土地的占用和破坏，地质地貌的变化等。交通建设主要表现在土地占用和土壤侵蚀；地表景观的破坏和生态功能的扰动加剧水土流失；弃土场处理不当引起的水土流失；道路边坡稳定性引发的水土流失。农业开发主要表现在破坏原生植被，导致生态系统退化；干扰原有的土壤基准条件，引发土壤沙化或土地盐渍化；影响水文水情及生态系统，如抽取地下水导致水位下降，地面沉降；化学肥料的过渡使用对土壤、地下水的污染等。</w:t>
      </w:r>
    </w:p>
    <w:p w14:paraId="3DC93C34">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kern w:val="2"/>
          <w:szCs w:val="28"/>
          <w:highlight w:val="none"/>
          <w:lang w:val="en"/>
        </w:rPr>
        <w:t>目前我省经济社会发展的重要时期，经济社会发展总体形势对水土保持工作提出了新要求。全省水土流失综合防治逐步进入法制化轨道，重点地区水土流失治理成效显著，植被保护和生态修复初见成效，退耕还林还草面积得到巩固，黑土区保土蓄水功能持续增强，水土流失面积和强度呈现总体下降趋势。</w:t>
      </w:r>
    </w:p>
    <w:p w14:paraId="6C1771B4">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4.3.6.</w:t>
      </w:r>
      <w:r>
        <w:rPr>
          <w:rFonts w:hint="eastAsia" w:ascii="Times New Roman" w:hAnsi="Times New Roman" w:cs="Times New Roman"/>
          <w:b/>
          <w:color w:val="auto"/>
          <w:w w:val="99"/>
          <w:highlight w:val="none"/>
        </w:rPr>
        <w:t>7</w:t>
      </w:r>
      <w:r>
        <w:rPr>
          <w:rFonts w:ascii="Times New Roman" w:hAnsi="Times New Roman" w:cs="Times New Roman"/>
          <w:b/>
          <w:color w:val="auto"/>
          <w:w w:val="99"/>
          <w:highlight w:val="none"/>
        </w:rPr>
        <w:t>防沙治沙情况调查</w:t>
      </w:r>
    </w:p>
    <w:p w14:paraId="5A71E5EC">
      <w:pPr>
        <w:widowControl w:val="0"/>
        <w:spacing w:line="440" w:lineRule="exact"/>
        <w:ind w:firstLine="474" w:firstLineChars="200"/>
        <w:jc w:val="both"/>
        <w:rPr>
          <w:rFonts w:ascii="Times New Roman" w:hAnsi="Times New Roman" w:cs="Times New Roman"/>
          <w:bCs/>
          <w:color w:val="auto"/>
          <w:w w:val="99"/>
          <w:kern w:val="2"/>
          <w:highlight w:val="none"/>
        </w:rPr>
      </w:pPr>
      <w:r>
        <w:rPr>
          <w:rFonts w:ascii="Times New Roman" w:hAnsi="Times New Roman" w:cs="Times New Roman"/>
          <w:bCs/>
          <w:color w:val="auto"/>
          <w:w w:val="99"/>
          <w:kern w:val="2"/>
          <w:highlight w:val="none"/>
        </w:rPr>
        <w:t>《黑龙江省防沙治沙条例》第二十六条规定：“油气勘探开发以及矿产资源开采应当按照规划组织实施，并将地表植被恢复和建设纳入规划。在开发和开采前，应当进行环境影响评价，依法提交包括有关防沙治沙内容的环境影响报告。县级以上人民政府林业、国土资源、环境保护、草原等行政主管部门应当对开发和开采单位的地表植被恢复情况进行监督检查。”第二十七条：“在沙化土地所在地区从事开发建设活动，应当事先就开发建设项目可能对当地及相关地区生态环境产生的影响进行环境影响评价和水资源论证。对不具备水源条件，且有可能造成土地沙化、水土流失等灾害，严重破坏生态环境的开发建设项目，不得批准立项。环境保护行政主管部门在审批环境影响报告时，应当就报告中有关防沙治沙的内容征得同级林业行政主管部门同意。”</w:t>
      </w:r>
    </w:p>
    <w:p w14:paraId="5E8E7F5A">
      <w:pPr>
        <w:widowControl w:val="0"/>
        <w:spacing w:line="440" w:lineRule="exact"/>
        <w:ind w:firstLine="474" w:firstLineChars="200"/>
        <w:jc w:val="both"/>
        <w:rPr>
          <w:rFonts w:ascii="Times New Roman" w:hAnsi="Times New Roman" w:cs="Times New Roman"/>
          <w:bCs/>
          <w:color w:val="auto"/>
          <w:w w:val="99"/>
          <w:kern w:val="2"/>
          <w:highlight w:val="none"/>
        </w:rPr>
      </w:pPr>
      <w:r>
        <w:rPr>
          <w:rFonts w:ascii="Times New Roman" w:hAnsi="Times New Roman" w:cs="Times New Roman"/>
          <w:bCs/>
          <w:color w:val="auto"/>
          <w:w w:val="99"/>
          <w:kern w:val="2"/>
          <w:highlight w:val="none"/>
        </w:rPr>
        <w:t>本项目位于</w:t>
      </w:r>
      <w:r>
        <w:rPr>
          <w:rFonts w:hint="eastAsia" w:ascii="Times New Roman" w:hAnsi="Times New Roman" w:cs="Times New Roman"/>
          <w:bCs/>
          <w:color w:val="auto"/>
          <w:w w:val="99"/>
          <w:kern w:val="2"/>
          <w:highlight w:val="none"/>
        </w:rPr>
        <w:t>绥化</w:t>
      </w:r>
      <w:r>
        <w:rPr>
          <w:rFonts w:ascii="Times New Roman" w:hAnsi="Times New Roman" w:cs="Times New Roman"/>
          <w:bCs/>
          <w:color w:val="auto"/>
          <w:w w:val="99"/>
          <w:kern w:val="2"/>
          <w:highlight w:val="none"/>
        </w:rPr>
        <w:t>市</w:t>
      </w:r>
      <w:r>
        <w:rPr>
          <w:rFonts w:hint="eastAsia" w:ascii="Times New Roman" w:hAnsi="Times New Roman" w:cs="Times New Roman"/>
          <w:bCs/>
          <w:color w:val="auto"/>
          <w:w w:val="99"/>
          <w:kern w:val="2"/>
          <w:highlight w:val="none"/>
        </w:rPr>
        <w:t>肇东市跃进乡</w:t>
      </w:r>
      <w:r>
        <w:rPr>
          <w:rFonts w:ascii="Times New Roman" w:hAnsi="Times New Roman" w:cs="Times New Roman"/>
          <w:bCs/>
          <w:color w:val="auto"/>
          <w:w w:val="99"/>
          <w:kern w:val="2"/>
          <w:highlight w:val="none"/>
        </w:rPr>
        <w:t>，根据黑龙江省防沙治沙工作领导小组《关于印发&lt;关于贯彻落实《沙化土地封禁保护修复制度方案》的实施意见&gt;的通知》（黑防沙发〔</w:t>
      </w:r>
      <w:r>
        <w:rPr>
          <w:rFonts w:hint="eastAsia" w:ascii="Times New Roman" w:hAnsi="Times New Roman" w:cs="Times New Roman"/>
          <w:bCs/>
          <w:color w:val="auto"/>
          <w:w w:val="99"/>
          <w:kern w:val="2"/>
          <w:highlight w:val="none"/>
        </w:rPr>
        <w:t>2</w:t>
      </w:r>
      <w:r>
        <w:rPr>
          <w:rFonts w:ascii="Times New Roman" w:hAnsi="Times New Roman" w:cs="Times New Roman"/>
          <w:bCs/>
          <w:color w:val="auto"/>
          <w:w w:val="99"/>
          <w:kern w:val="2"/>
          <w:highlight w:val="none"/>
        </w:rPr>
        <w:t>020</w:t>
      </w:r>
      <w:r>
        <w:rPr>
          <w:rFonts w:hint="eastAsia" w:ascii="Times New Roman" w:hAnsi="Times New Roman" w:cs="Times New Roman"/>
          <w:bCs/>
          <w:color w:val="auto"/>
          <w:w w:val="99"/>
          <w:kern w:val="2"/>
          <w:highlight w:val="none"/>
        </w:rPr>
        <w:t>〕3号</w:t>
      </w:r>
      <w:r>
        <w:rPr>
          <w:rFonts w:ascii="Times New Roman" w:hAnsi="Times New Roman" w:cs="Times New Roman"/>
          <w:bCs/>
          <w:color w:val="auto"/>
          <w:w w:val="99"/>
          <w:kern w:val="2"/>
          <w:highlight w:val="none"/>
        </w:rPr>
        <w:t>），</w:t>
      </w:r>
      <w:r>
        <w:rPr>
          <w:rFonts w:hint="eastAsia" w:ascii="Times New Roman" w:hAnsi="Times New Roman" w:cs="Times New Roman"/>
          <w:bCs/>
          <w:color w:val="auto"/>
          <w:w w:val="99"/>
          <w:kern w:val="2"/>
          <w:highlight w:val="none"/>
        </w:rPr>
        <w:t>绥化市不</w:t>
      </w:r>
      <w:r>
        <w:rPr>
          <w:rFonts w:ascii="Times New Roman" w:hAnsi="Times New Roman" w:cs="Times New Roman"/>
          <w:bCs/>
          <w:color w:val="auto"/>
          <w:w w:val="99"/>
          <w:kern w:val="2"/>
          <w:highlight w:val="none"/>
        </w:rPr>
        <w:t>属于沙化土地所在区。</w:t>
      </w:r>
    </w:p>
    <w:p w14:paraId="1BB879C3">
      <w:pPr>
        <w:widowControl w:val="0"/>
        <w:spacing w:line="440" w:lineRule="exact"/>
        <w:ind w:firstLine="474" w:firstLineChars="200"/>
        <w:jc w:val="both"/>
        <w:rPr>
          <w:rFonts w:ascii="Times New Roman" w:hAnsi="Times New Roman" w:cs="Times New Roman"/>
          <w:bCs/>
          <w:color w:val="auto"/>
          <w:w w:val="99"/>
          <w:kern w:val="2"/>
          <w:highlight w:val="none"/>
        </w:rPr>
      </w:pPr>
      <w:r>
        <w:rPr>
          <w:rFonts w:ascii="Times New Roman" w:hAnsi="Times New Roman" w:cs="Times New Roman"/>
          <w:bCs/>
          <w:color w:val="auto"/>
          <w:w w:val="99"/>
          <w:kern w:val="2"/>
          <w:highlight w:val="none"/>
        </w:rPr>
        <w:t>根据现场调查，项目占地区域未出现土壤沙化现象，为保护区域生态环境，针对本工程的具体特点，应制定生态环境影响减缓措施和防沙治沙措施。</w:t>
      </w:r>
    </w:p>
    <w:p w14:paraId="0F23EE0F">
      <w:pPr>
        <w:keepNext/>
        <w:widowControl w:val="0"/>
        <w:adjustRightInd w:val="0"/>
        <w:snapToGrid w:val="0"/>
        <w:spacing w:line="440" w:lineRule="exact"/>
        <w:ind w:firstLine="474" w:firstLineChars="200"/>
        <w:jc w:val="both"/>
        <w:rPr>
          <w:rFonts w:ascii="Times New Roman" w:hAnsi="Times New Roman" w:cs="Times New Roman"/>
          <w:bCs/>
          <w:color w:val="auto"/>
          <w:w w:val="99"/>
          <w:kern w:val="2"/>
          <w:highlight w:val="none"/>
        </w:rPr>
      </w:pPr>
      <w:r>
        <w:rPr>
          <w:rFonts w:ascii="Times New Roman" w:hAnsi="Times New Roman" w:cs="Times New Roman"/>
          <w:bCs/>
          <w:color w:val="auto"/>
          <w:w w:val="99"/>
          <w:kern w:val="2"/>
          <w:highlight w:val="none"/>
        </w:rPr>
        <w:t>施工期临时占地及施工车辆行驶将对区域地表植被产生破坏。因此施工期须严格落实各项目生态保护措施及生态减缓措施，严格控制施工作业占地范围，尽量减小施工期对区域生态影响。</w:t>
      </w:r>
    </w:p>
    <w:p w14:paraId="70705C1C">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4.3.6.</w:t>
      </w:r>
      <w:r>
        <w:rPr>
          <w:rFonts w:hint="eastAsia" w:ascii="Times New Roman" w:hAnsi="Times New Roman" w:cs="Times New Roman"/>
          <w:b/>
          <w:color w:val="auto"/>
          <w:w w:val="99"/>
          <w:highlight w:val="none"/>
        </w:rPr>
        <w:t>8</w:t>
      </w:r>
      <w:r>
        <w:rPr>
          <w:rFonts w:ascii="Times New Roman" w:hAnsi="Times New Roman" w:cs="Times New Roman"/>
          <w:b/>
          <w:color w:val="auto"/>
          <w:w w:val="99"/>
          <w:highlight w:val="none"/>
        </w:rPr>
        <w:t>生态敏感区现状调查</w:t>
      </w:r>
    </w:p>
    <w:p w14:paraId="218A93E3">
      <w:pPr>
        <w:keepNext/>
        <w:widowControl w:val="0"/>
        <w:adjustRightInd w:val="0"/>
        <w:snapToGrid w:val="0"/>
        <w:spacing w:line="440" w:lineRule="exact"/>
        <w:ind w:firstLine="474" w:firstLineChars="200"/>
        <w:jc w:val="both"/>
        <w:rPr>
          <w:rFonts w:ascii="Times New Roman" w:hAnsi="Times New Roman" w:cs="Times New Roman"/>
          <w:bCs/>
          <w:color w:val="auto"/>
          <w:w w:val="99"/>
          <w:kern w:val="2"/>
          <w:highlight w:val="none"/>
        </w:rPr>
      </w:pPr>
      <w:r>
        <w:rPr>
          <w:rFonts w:ascii="Times New Roman" w:hAnsi="Times New Roman" w:cs="Times New Roman"/>
          <w:bCs/>
          <w:color w:val="auto"/>
          <w:w w:val="99"/>
          <w:kern w:val="2"/>
          <w:highlight w:val="none"/>
        </w:rPr>
        <w:t>根据《环境影响评价技术导则生态影响》（HJ19-2022）中生态敏感区定义，本项目所在区域不涉及国家公园、自然保护区、自然公园等自然保护地、世界自然遗产、生态保护红线等法定生态保护区域；重要物种的天然集中分布区、栖息地，重要水生生物的产卵场、索饵场、越冬场和洄游通道，迁徙鸟类的重要繁殖地、停歇地、越冬地以及野生动物迁徙通道等重要生境以及其他具有重要生态功能、对保护生物多样性具有重要意义的区域。</w:t>
      </w:r>
    </w:p>
    <w:p w14:paraId="5C582CBA">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4.3.6.</w:t>
      </w:r>
      <w:r>
        <w:rPr>
          <w:rFonts w:hint="eastAsia" w:ascii="Times New Roman" w:hAnsi="Times New Roman" w:cs="Times New Roman"/>
          <w:b/>
          <w:color w:val="auto"/>
          <w:w w:val="99"/>
          <w:highlight w:val="none"/>
        </w:rPr>
        <w:t>9</w:t>
      </w:r>
      <w:r>
        <w:rPr>
          <w:rFonts w:ascii="Times New Roman" w:hAnsi="Times New Roman" w:cs="Times New Roman"/>
          <w:b/>
          <w:color w:val="auto"/>
          <w:w w:val="99"/>
          <w:highlight w:val="none"/>
        </w:rPr>
        <w:t>生态景观类型调查</w:t>
      </w:r>
    </w:p>
    <w:p w14:paraId="3DB8BD6D">
      <w:pPr>
        <w:widowControl w:val="0"/>
        <w:spacing w:line="440" w:lineRule="exact"/>
        <w:ind w:firstLine="474" w:firstLineChars="200"/>
        <w:jc w:val="both"/>
        <w:rPr>
          <w:rFonts w:ascii="Times New Roman" w:hAnsi="Times New Roman" w:cs="Times New Roman"/>
          <w:color w:val="auto"/>
          <w:w w:val="99"/>
          <w:kern w:val="2"/>
          <w:szCs w:val="22"/>
          <w:highlight w:val="none"/>
          <w:lang w:bidi="zh-CN"/>
        </w:rPr>
      </w:pPr>
      <w:r>
        <w:rPr>
          <w:rFonts w:ascii="Times New Roman" w:hAnsi="Times New Roman" w:cs="Times New Roman"/>
          <w:color w:val="auto"/>
          <w:w w:val="99"/>
          <w:kern w:val="2"/>
          <w:szCs w:val="22"/>
          <w:highlight w:val="none"/>
          <w:lang w:bidi="zh-CN"/>
        </w:rPr>
        <w:t>采用地理信息系统技术并结合地面实际调查，对油田开发区所涉及区域内的生态景观构成进行调查。景观调查以工程用地为中心，采用国家生态环境现状调查所用分类系统进行分类。区域内的景观共分为三类，主要由耕地景观、草甸景观、林地景观构成。</w:t>
      </w:r>
    </w:p>
    <w:p w14:paraId="7347E0FA">
      <w:pPr>
        <w:widowControl w:val="0"/>
        <w:spacing w:line="440" w:lineRule="exact"/>
        <w:ind w:firstLine="474" w:firstLineChars="200"/>
        <w:jc w:val="both"/>
        <w:rPr>
          <w:rFonts w:ascii="Times New Roman" w:hAnsi="Times New Roman" w:cs="Times New Roman"/>
          <w:color w:val="auto"/>
          <w:w w:val="99"/>
          <w:kern w:val="2"/>
          <w:szCs w:val="22"/>
          <w:highlight w:val="none"/>
          <w:lang w:bidi="zh-CN"/>
        </w:rPr>
      </w:pPr>
      <w:r>
        <w:rPr>
          <w:rFonts w:ascii="Times New Roman" w:hAnsi="Times New Roman" w:cs="Times New Roman"/>
          <w:color w:val="auto"/>
          <w:w w:val="99"/>
          <w:kern w:val="2"/>
          <w:szCs w:val="22"/>
          <w:highlight w:val="none"/>
          <w:lang w:bidi="zh-CN"/>
        </w:rPr>
        <w:t>（1）耕地景观是评价区域内面积最大景观类型，总面积</w:t>
      </w:r>
      <w:r>
        <w:rPr>
          <w:rFonts w:hint="eastAsia" w:ascii="Times New Roman" w:hAnsi="Times New Roman" w:cs="Times New Roman"/>
          <w:color w:val="auto"/>
          <w:w w:val="99"/>
          <w:kern w:val="2"/>
          <w:szCs w:val="22"/>
          <w:highlight w:val="none"/>
          <w:lang w:bidi="zh-CN"/>
        </w:rPr>
        <w:t>1.0898k</w:t>
      </w:r>
      <w:r>
        <w:rPr>
          <w:rFonts w:ascii="Times New Roman" w:hAnsi="Times New Roman" w:cs="Times New Roman"/>
          <w:color w:val="auto"/>
          <w:w w:val="99"/>
          <w:kern w:val="2"/>
          <w:szCs w:val="22"/>
          <w:highlight w:val="none"/>
          <w:lang w:bidi="zh-CN"/>
        </w:rPr>
        <w:t>m</w:t>
      </w:r>
      <w:r>
        <w:rPr>
          <w:rFonts w:ascii="Times New Roman" w:hAnsi="Times New Roman" w:cs="Times New Roman"/>
          <w:color w:val="auto"/>
          <w:w w:val="99"/>
          <w:kern w:val="2"/>
          <w:szCs w:val="22"/>
          <w:highlight w:val="none"/>
          <w:vertAlign w:val="superscript"/>
          <w:lang w:bidi="zh-CN"/>
        </w:rPr>
        <w:t>2</w:t>
      </w:r>
      <w:r>
        <w:rPr>
          <w:rFonts w:ascii="Times New Roman" w:hAnsi="Times New Roman" w:cs="Times New Roman"/>
          <w:color w:val="auto"/>
          <w:w w:val="99"/>
          <w:kern w:val="2"/>
          <w:szCs w:val="22"/>
          <w:highlight w:val="none"/>
          <w:lang w:bidi="zh-CN"/>
        </w:rPr>
        <w:t>，占评价区域总面积的</w:t>
      </w:r>
      <w:r>
        <w:rPr>
          <w:rFonts w:hint="eastAsia" w:ascii="Times New Roman" w:hAnsi="Times New Roman" w:cs="Times New Roman"/>
          <w:color w:val="auto"/>
          <w:w w:val="99"/>
          <w:kern w:val="2"/>
          <w:szCs w:val="22"/>
          <w:highlight w:val="none"/>
          <w:lang w:bidi="zh-CN"/>
        </w:rPr>
        <w:t>88.54</w:t>
      </w:r>
      <w:r>
        <w:rPr>
          <w:rFonts w:ascii="Times New Roman" w:hAnsi="Times New Roman" w:cs="Times New Roman"/>
          <w:color w:val="auto"/>
          <w:w w:val="99"/>
          <w:kern w:val="2"/>
          <w:szCs w:val="22"/>
          <w:highlight w:val="none"/>
          <w:lang w:bidi="zh-CN"/>
        </w:rPr>
        <w:t>%。主要种植以玉米、大豆为主的农作物。</w:t>
      </w:r>
    </w:p>
    <w:p w14:paraId="278EC39E">
      <w:pPr>
        <w:widowControl w:val="0"/>
        <w:spacing w:line="440" w:lineRule="exact"/>
        <w:ind w:firstLine="474" w:firstLineChars="200"/>
        <w:jc w:val="both"/>
        <w:rPr>
          <w:rFonts w:ascii="Times New Roman" w:hAnsi="Times New Roman" w:cs="Times New Roman"/>
          <w:color w:val="auto"/>
          <w:w w:val="99"/>
          <w:kern w:val="2"/>
          <w:szCs w:val="22"/>
          <w:highlight w:val="none"/>
          <w:lang w:bidi="zh-CN"/>
        </w:rPr>
      </w:pPr>
      <w:r>
        <w:rPr>
          <w:rFonts w:ascii="Times New Roman" w:hAnsi="Times New Roman" w:cs="Times New Roman"/>
          <w:color w:val="auto"/>
          <w:w w:val="99"/>
          <w:kern w:val="2"/>
          <w:szCs w:val="22"/>
          <w:highlight w:val="none"/>
          <w:lang w:bidi="zh-CN"/>
        </w:rPr>
        <w:t>（</w:t>
      </w:r>
      <w:r>
        <w:rPr>
          <w:rFonts w:hint="eastAsia" w:ascii="Times New Roman" w:hAnsi="Times New Roman" w:cs="Times New Roman"/>
          <w:color w:val="auto"/>
          <w:w w:val="99"/>
          <w:kern w:val="2"/>
          <w:szCs w:val="22"/>
          <w:highlight w:val="none"/>
          <w:lang w:bidi="zh-CN"/>
        </w:rPr>
        <w:t>2</w:t>
      </w:r>
      <w:r>
        <w:rPr>
          <w:rFonts w:ascii="Times New Roman" w:hAnsi="Times New Roman" w:cs="Times New Roman"/>
          <w:color w:val="auto"/>
          <w:w w:val="99"/>
          <w:kern w:val="2"/>
          <w:szCs w:val="22"/>
          <w:highlight w:val="none"/>
          <w:lang w:bidi="zh-CN"/>
        </w:rPr>
        <w:t>）林地景观主要为道路和农田人工防护林用地，总面积</w:t>
      </w:r>
      <w:r>
        <w:rPr>
          <w:rFonts w:hint="eastAsia" w:ascii="Times New Roman" w:hAnsi="Times New Roman" w:cs="Times New Roman"/>
          <w:color w:val="auto"/>
          <w:w w:val="99"/>
          <w:kern w:val="2"/>
          <w:szCs w:val="22"/>
          <w:highlight w:val="none"/>
          <w:lang w:bidi="zh-CN"/>
        </w:rPr>
        <w:t>0.073k</w:t>
      </w:r>
      <w:r>
        <w:rPr>
          <w:rFonts w:ascii="Times New Roman" w:hAnsi="Times New Roman" w:cs="Times New Roman"/>
          <w:color w:val="auto"/>
          <w:w w:val="99"/>
          <w:kern w:val="2"/>
          <w:szCs w:val="22"/>
          <w:highlight w:val="none"/>
          <w:lang w:bidi="zh-CN"/>
        </w:rPr>
        <w:t>m</w:t>
      </w:r>
      <w:r>
        <w:rPr>
          <w:rFonts w:ascii="Times New Roman" w:hAnsi="Times New Roman" w:cs="Times New Roman"/>
          <w:color w:val="auto"/>
          <w:w w:val="99"/>
          <w:kern w:val="2"/>
          <w:szCs w:val="22"/>
          <w:highlight w:val="none"/>
          <w:vertAlign w:val="superscript"/>
          <w:lang w:bidi="zh-CN"/>
        </w:rPr>
        <w:t>2</w:t>
      </w:r>
      <w:r>
        <w:rPr>
          <w:rFonts w:ascii="Times New Roman" w:hAnsi="Times New Roman" w:cs="Times New Roman"/>
          <w:color w:val="auto"/>
          <w:w w:val="99"/>
          <w:kern w:val="2"/>
          <w:szCs w:val="22"/>
          <w:highlight w:val="none"/>
          <w:lang w:bidi="zh-CN"/>
        </w:rPr>
        <w:t>，占评价区总面积的</w:t>
      </w:r>
      <w:r>
        <w:rPr>
          <w:rFonts w:hint="eastAsia" w:ascii="Times New Roman" w:hAnsi="Times New Roman" w:cs="Times New Roman"/>
          <w:color w:val="auto"/>
          <w:w w:val="99"/>
          <w:kern w:val="2"/>
          <w:szCs w:val="22"/>
          <w:highlight w:val="none"/>
          <w:lang w:bidi="zh-CN"/>
        </w:rPr>
        <w:t>5.93</w:t>
      </w:r>
      <w:r>
        <w:rPr>
          <w:rFonts w:ascii="Times New Roman" w:hAnsi="Times New Roman" w:cs="Times New Roman"/>
          <w:color w:val="auto"/>
          <w:w w:val="99"/>
          <w:kern w:val="2"/>
          <w:szCs w:val="22"/>
          <w:highlight w:val="none"/>
          <w:lang w:bidi="zh-CN"/>
        </w:rPr>
        <w:t xml:space="preserve">%。  </w:t>
      </w:r>
    </w:p>
    <w:p w14:paraId="2AF35459">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4.3.6.</w:t>
      </w:r>
      <w:r>
        <w:rPr>
          <w:rFonts w:hint="eastAsia" w:ascii="Times New Roman" w:hAnsi="Times New Roman" w:cs="Times New Roman"/>
          <w:b/>
          <w:color w:val="auto"/>
          <w:w w:val="99"/>
          <w:highlight w:val="none"/>
        </w:rPr>
        <w:t>10</w:t>
      </w:r>
      <w:r>
        <w:rPr>
          <w:rFonts w:ascii="Times New Roman" w:hAnsi="Times New Roman" w:cs="Times New Roman"/>
          <w:b/>
          <w:color w:val="auto"/>
          <w:w w:val="99"/>
          <w:highlight w:val="none"/>
        </w:rPr>
        <w:t xml:space="preserve">生态环境现状评价结论 </w:t>
      </w:r>
    </w:p>
    <w:p w14:paraId="53F7ACE7">
      <w:pPr>
        <w:widowControl w:val="0"/>
        <w:spacing w:line="440" w:lineRule="exact"/>
        <w:ind w:firstLine="474" w:firstLineChars="200"/>
        <w:jc w:val="both"/>
        <w:rPr>
          <w:rFonts w:ascii="Times New Roman" w:hAnsi="Times New Roman" w:cs="Times New Roman"/>
          <w:color w:val="auto"/>
          <w:w w:val="99"/>
          <w:kern w:val="2"/>
          <w:szCs w:val="22"/>
          <w:highlight w:val="none"/>
          <w:lang w:bidi="zh-CN"/>
        </w:rPr>
      </w:pPr>
      <w:r>
        <w:rPr>
          <w:rFonts w:ascii="Times New Roman" w:hAnsi="Times New Roman" w:cs="Times New Roman"/>
          <w:color w:val="auto"/>
          <w:w w:val="99"/>
          <w:kern w:val="2"/>
          <w:szCs w:val="22"/>
          <w:highlight w:val="none"/>
          <w:lang w:bidi="zh-CN"/>
        </w:rPr>
        <w:t>本项目评价范围内生态系统类型主要为草地及农田生态系统。本项目评价范围内土地利用类型以耕地为主，工程所在区域内主要土壤类型以草甸土为主，工程所在区域人类活动频繁，野生动物较少，区域生态环境总体质量较好。</w:t>
      </w:r>
    </w:p>
    <w:bookmarkEnd w:id="784"/>
    <w:p w14:paraId="5FB0FA33">
      <w:pPr>
        <w:pStyle w:val="5"/>
        <w:keepNext w:val="0"/>
        <w:keepLines w:val="0"/>
        <w:widowControl w:val="0"/>
        <w:spacing w:before="120" w:after="120" w:line="440" w:lineRule="exact"/>
        <w:jc w:val="both"/>
        <w:rPr>
          <w:rFonts w:ascii="Times New Roman" w:hAnsi="Times New Roman" w:eastAsia="宋体"/>
          <w:b/>
          <w:bCs w:val="0"/>
          <w:color w:val="auto"/>
          <w:w w:val="99"/>
          <w:highlight w:val="none"/>
        </w:rPr>
      </w:pPr>
      <w:bookmarkStart w:id="797" w:name="_Toc13683"/>
      <w:bookmarkStart w:id="798" w:name="_Toc16483"/>
      <w:r>
        <w:rPr>
          <w:rFonts w:ascii="Times New Roman" w:hAnsi="Times New Roman" w:eastAsia="宋体"/>
          <w:b/>
          <w:bCs w:val="0"/>
          <w:color w:val="auto"/>
          <w:w w:val="99"/>
          <w:highlight w:val="none"/>
        </w:rPr>
        <w:t>4.</w:t>
      </w:r>
      <w:r>
        <w:rPr>
          <w:rFonts w:hint="eastAsia" w:ascii="Times New Roman" w:hAnsi="Times New Roman" w:eastAsia="宋体"/>
          <w:b/>
          <w:bCs w:val="0"/>
          <w:color w:val="auto"/>
          <w:w w:val="99"/>
          <w:highlight w:val="none"/>
        </w:rPr>
        <w:t>4</w:t>
      </w:r>
      <w:r>
        <w:rPr>
          <w:rFonts w:ascii="Times New Roman" w:hAnsi="Times New Roman" w:eastAsia="宋体"/>
          <w:b/>
          <w:bCs w:val="0"/>
          <w:color w:val="auto"/>
          <w:w w:val="99"/>
          <w:highlight w:val="none"/>
        </w:rPr>
        <w:t>区域污染源调查</w:t>
      </w:r>
      <w:bookmarkEnd w:id="797"/>
      <w:bookmarkEnd w:id="798"/>
    </w:p>
    <w:p w14:paraId="237B6007">
      <w:pPr>
        <w:widowControl w:val="0"/>
        <w:spacing w:line="440" w:lineRule="exact"/>
        <w:ind w:firstLine="474" w:firstLineChars="200"/>
        <w:jc w:val="both"/>
        <w:rPr>
          <w:rFonts w:ascii="Times New Roman" w:hAnsi="Times New Roman" w:cs="Times New Roman"/>
          <w:color w:val="auto"/>
          <w:w w:val="99"/>
          <w:highlight w:val="none"/>
          <w:lang w:val="zh-CN" w:bidi="zh-CN"/>
        </w:rPr>
      </w:pPr>
      <w:r>
        <w:rPr>
          <w:rFonts w:ascii="Times New Roman" w:hAnsi="Times New Roman" w:cs="Times New Roman"/>
          <w:color w:val="auto"/>
          <w:w w:val="99"/>
          <w:highlight w:val="none"/>
          <w:lang w:val="zh-CN" w:bidi="zh-CN"/>
        </w:rPr>
        <w:t>本项目属于天然气开采工程，经现场调查，工程区域内已有气田开发，原有采气井场永久性占地面积符合设计要求，井场地面均进行了平整，在临时占地范围内，地表进行了平整，区域内临时占地已复耕或恢复地表原态，已开发区域的生态得到一定程度的恢复。通过现场调查，项目评价区域内主要为农田、村庄、已建的采气井场、天然气集输管线，周边无其他工业企业。根据调查，本项目所在的区块开展了区块内工程的环境影响评价，区块的环评批复及验收情况详见表3.1-</w:t>
      </w:r>
      <w:r>
        <w:rPr>
          <w:rFonts w:hint="eastAsia" w:ascii="Times New Roman" w:hAnsi="Times New Roman" w:cs="Times New Roman"/>
          <w:color w:val="auto"/>
          <w:w w:val="99"/>
          <w:highlight w:val="none"/>
          <w:lang w:bidi="zh-CN"/>
        </w:rPr>
        <w:t>2</w:t>
      </w:r>
      <w:r>
        <w:rPr>
          <w:rFonts w:ascii="Times New Roman" w:hAnsi="Times New Roman" w:cs="Times New Roman"/>
          <w:color w:val="auto"/>
          <w:w w:val="99"/>
          <w:highlight w:val="none"/>
          <w:lang w:val="zh-CN" w:bidi="zh-CN"/>
        </w:rPr>
        <w:t>。大庆油田有限责任公司采气分公司已办理固定污染源排污许可证登记，登记编号</w:t>
      </w:r>
      <w:r>
        <w:rPr>
          <w:rFonts w:hint="eastAsia" w:ascii="Times New Roman" w:hAnsi="Times New Roman" w:cs="Times New Roman"/>
          <w:color w:val="auto"/>
          <w:w w:val="99"/>
          <w:highlight w:val="none"/>
          <w:lang w:val="zh-CN" w:bidi="zh-CN"/>
        </w:rPr>
        <w:t>：</w:t>
      </w:r>
      <w:r>
        <w:rPr>
          <w:rFonts w:ascii="Times New Roman" w:hAnsi="Times New Roman"/>
          <w:bCs/>
          <w:color w:val="auto"/>
          <w:w w:val="99"/>
          <w:szCs w:val="20"/>
          <w:highlight w:val="none"/>
        </w:rPr>
        <w:t>91230607716675409L007W</w:t>
      </w:r>
      <w:r>
        <w:rPr>
          <w:rFonts w:ascii="Times New Roman" w:hAnsi="Times New Roman" w:cs="Times New Roman"/>
          <w:color w:val="auto"/>
          <w:w w:val="99"/>
          <w:highlight w:val="none"/>
          <w:lang w:val="zh-CN" w:bidi="zh-CN"/>
        </w:rPr>
        <w:t>，有效日期为 202</w:t>
      </w:r>
      <w:r>
        <w:rPr>
          <w:rFonts w:hint="eastAsia" w:ascii="Times New Roman" w:hAnsi="Times New Roman" w:cs="Times New Roman"/>
          <w:color w:val="auto"/>
          <w:w w:val="99"/>
          <w:highlight w:val="none"/>
          <w:lang w:bidi="zh-CN"/>
        </w:rPr>
        <w:t>4</w:t>
      </w:r>
      <w:r>
        <w:rPr>
          <w:rFonts w:ascii="Times New Roman" w:hAnsi="Times New Roman" w:cs="Times New Roman"/>
          <w:color w:val="auto"/>
          <w:w w:val="99"/>
          <w:highlight w:val="none"/>
          <w:lang w:val="zh-CN" w:bidi="zh-CN"/>
        </w:rPr>
        <w:t xml:space="preserve">年 </w:t>
      </w:r>
      <w:r>
        <w:rPr>
          <w:rFonts w:hint="eastAsia" w:ascii="Times New Roman" w:hAnsi="Times New Roman" w:cs="Times New Roman"/>
          <w:color w:val="auto"/>
          <w:w w:val="99"/>
          <w:highlight w:val="none"/>
          <w:lang w:bidi="zh-CN"/>
        </w:rPr>
        <w:t>10</w:t>
      </w:r>
      <w:r>
        <w:rPr>
          <w:rFonts w:ascii="Times New Roman" w:hAnsi="Times New Roman" w:cs="Times New Roman"/>
          <w:color w:val="auto"/>
          <w:w w:val="99"/>
          <w:highlight w:val="none"/>
          <w:lang w:val="zh-CN" w:bidi="zh-CN"/>
        </w:rPr>
        <w:t>月</w:t>
      </w:r>
      <w:r>
        <w:rPr>
          <w:rFonts w:hint="eastAsia" w:ascii="Times New Roman" w:hAnsi="Times New Roman" w:cs="Times New Roman"/>
          <w:color w:val="auto"/>
          <w:w w:val="99"/>
          <w:highlight w:val="none"/>
          <w:lang w:bidi="zh-CN"/>
        </w:rPr>
        <w:t>24</w:t>
      </w:r>
      <w:r>
        <w:rPr>
          <w:rFonts w:ascii="Times New Roman" w:hAnsi="Times New Roman" w:cs="Times New Roman"/>
          <w:color w:val="auto"/>
          <w:w w:val="99"/>
          <w:highlight w:val="none"/>
          <w:lang w:val="zh-CN" w:bidi="zh-CN"/>
        </w:rPr>
        <w:t>日至 202</w:t>
      </w:r>
      <w:r>
        <w:rPr>
          <w:rFonts w:hint="eastAsia" w:ascii="Times New Roman" w:hAnsi="Times New Roman" w:cs="Times New Roman"/>
          <w:color w:val="auto"/>
          <w:w w:val="99"/>
          <w:highlight w:val="none"/>
          <w:lang w:bidi="zh-CN"/>
        </w:rPr>
        <w:t>9</w:t>
      </w:r>
      <w:r>
        <w:rPr>
          <w:rFonts w:ascii="Times New Roman" w:hAnsi="Times New Roman" w:cs="Times New Roman"/>
          <w:color w:val="auto"/>
          <w:w w:val="99"/>
          <w:highlight w:val="none"/>
          <w:lang w:val="zh-CN" w:bidi="zh-CN"/>
        </w:rPr>
        <w:t>年</w:t>
      </w:r>
      <w:r>
        <w:rPr>
          <w:rFonts w:hint="eastAsia" w:ascii="Times New Roman" w:hAnsi="Times New Roman" w:cs="Times New Roman"/>
          <w:color w:val="auto"/>
          <w:w w:val="99"/>
          <w:highlight w:val="none"/>
          <w:lang w:bidi="zh-CN"/>
        </w:rPr>
        <w:t>10</w:t>
      </w:r>
      <w:r>
        <w:rPr>
          <w:rFonts w:ascii="Times New Roman" w:hAnsi="Times New Roman" w:cs="Times New Roman"/>
          <w:color w:val="auto"/>
          <w:w w:val="99"/>
          <w:highlight w:val="none"/>
          <w:lang w:val="zh-CN" w:bidi="zh-CN"/>
        </w:rPr>
        <w:t>月</w:t>
      </w:r>
      <w:r>
        <w:rPr>
          <w:rFonts w:hint="eastAsia" w:ascii="Times New Roman" w:hAnsi="Times New Roman" w:cs="Times New Roman"/>
          <w:color w:val="auto"/>
          <w:w w:val="99"/>
          <w:highlight w:val="none"/>
          <w:lang w:bidi="zh-CN"/>
        </w:rPr>
        <w:t>23</w:t>
      </w:r>
      <w:r>
        <w:rPr>
          <w:rFonts w:ascii="Times New Roman" w:hAnsi="Times New Roman" w:cs="Times New Roman"/>
          <w:color w:val="auto"/>
          <w:w w:val="99"/>
          <w:highlight w:val="none"/>
          <w:lang w:val="zh-CN" w:bidi="zh-CN"/>
        </w:rPr>
        <w:t>日，申报的排污许可内容主要包括各场站内加热炉、锅炉等。本项目依托的徐深</w:t>
      </w:r>
      <w:r>
        <w:rPr>
          <w:rFonts w:hint="eastAsia" w:ascii="Times New Roman" w:hAnsi="Times New Roman" w:cs="Times New Roman"/>
          <w:color w:val="auto"/>
          <w:w w:val="99"/>
          <w:highlight w:val="none"/>
          <w:lang w:bidi="zh-CN"/>
        </w:rPr>
        <w:t>27</w:t>
      </w:r>
      <w:r>
        <w:rPr>
          <w:rFonts w:ascii="Times New Roman" w:hAnsi="Times New Roman" w:cs="Times New Roman"/>
          <w:color w:val="auto"/>
          <w:w w:val="99"/>
          <w:highlight w:val="none"/>
          <w:lang w:val="zh-CN" w:bidi="zh-CN"/>
        </w:rPr>
        <w:t>集气站已经纳入排污许可管理。大庆油田有限责任公司采气分公司已按照排污许可证的相关要求对各场站加热装置排气筒进行定期监测，定期将各场站污染源监测数据填报在全国排污许可证管理信息平台上，公开采气分公司各场站污染源的污染物排放信息，已按照排污许可证的相关要求建立环境管理台账。</w:t>
      </w:r>
    </w:p>
    <w:p w14:paraId="4F1FBCCA">
      <w:pPr>
        <w:keepNext/>
        <w:keepLines/>
        <w:widowControl w:val="0"/>
        <w:tabs>
          <w:tab w:val="left" w:pos="892"/>
        </w:tabs>
        <w:spacing w:before="60" w:after="60" w:line="440" w:lineRule="exact"/>
        <w:jc w:val="both"/>
        <w:outlineLvl w:val="2"/>
        <w:rPr>
          <w:rFonts w:ascii="Times New Roman" w:hAnsi="Times New Roman" w:cs="Times New Roman"/>
          <w:b/>
          <w:bCs/>
          <w:color w:val="auto"/>
          <w:w w:val="99"/>
          <w:highlight w:val="none"/>
          <w:lang w:val="zh-CN" w:bidi="zh-CN"/>
        </w:rPr>
      </w:pPr>
      <w:r>
        <w:rPr>
          <w:rFonts w:ascii="Times New Roman" w:hAnsi="Times New Roman" w:cs="Times New Roman"/>
          <w:b/>
          <w:bCs/>
          <w:color w:val="auto"/>
          <w:w w:val="99"/>
          <w:highlight w:val="none"/>
          <w:lang w:val="zh-CN" w:bidi="zh-CN"/>
        </w:rPr>
        <w:t xml:space="preserve">4.4.1大气污染源调查 </w:t>
      </w:r>
    </w:p>
    <w:p w14:paraId="0F9A7FD5">
      <w:pPr>
        <w:widowControl w:val="0"/>
        <w:spacing w:line="440" w:lineRule="exact"/>
        <w:ind w:firstLine="474" w:firstLineChars="200"/>
        <w:jc w:val="both"/>
        <w:rPr>
          <w:rFonts w:ascii="Times New Roman" w:hAnsi="Times New Roman" w:cs="Times New Roman"/>
          <w:color w:val="auto"/>
          <w:w w:val="99"/>
          <w:highlight w:val="none"/>
          <w:lang w:val="zh-CN" w:bidi="zh-CN"/>
        </w:rPr>
      </w:pPr>
      <w:r>
        <w:rPr>
          <w:rFonts w:ascii="Times New Roman" w:hAnsi="Times New Roman" w:cs="Times New Roman"/>
          <w:color w:val="auto"/>
          <w:w w:val="99"/>
          <w:highlight w:val="none"/>
          <w:lang w:val="zh-CN" w:bidi="zh-CN"/>
        </w:rPr>
        <w:t>包括井场、场站、管线等无组织排放的非甲烷总烃和设备检修时放空燃烧的天然气、集气站加热炉烟气、集气站三甘醇脱水装置尾气等，同时区域内农村居民生活燃用燃料也会排放燃烧烟气。根据现状监测结果，徐深</w:t>
      </w:r>
      <w:r>
        <w:rPr>
          <w:rFonts w:hint="eastAsia" w:ascii="Times New Roman" w:hAnsi="Times New Roman" w:cs="Times New Roman"/>
          <w:color w:val="auto"/>
          <w:w w:val="99"/>
          <w:highlight w:val="none"/>
          <w:lang w:bidi="zh-CN"/>
        </w:rPr>
        <w:t>27</w:t>
      </w:r>
      <w:r>
        <w:rPr>
          <w:rFonts w:ascii="Times New Roman" w:hAnsi="Times New Roman" w:cs="Times New Roman"/>
          <w:color w:val="auto"/>
          <w:w w:val="99"/>
          <w:highlight w:val="none"/>
          <w:lang w:val="zh-CN" w:bidi="zh-CN"/>
        </w:rPr>
        <w:t>集气站厂界外10m处非甲烷总烃无组织排放浓度均满足《陆上石油天然气开采工业大气污染物排放标准》（GB39728-2020）中5.9企业边界污染物控制要求限值（4.0mg/m</w:t>
      </w:r>
      <w:r>
        <w:rPr>
          <w:rFonts w:ascii="Times New Roman" w:hAnsi="Times New Roman" w:cs="Times New Roman"/>
          <w:color w:val="auto"/>
          <w:w w:val="99"/>
          <w:highlight w:val="none"/>
          <w:vertAlign w:val="superscript"/>
          <w:lang w:val="zh-CN" w:bidi="zh-CN"/>
        </w:rPr>
        <w:t>3</w:t>
      </w:r>
      <w:r>
        <w:rPr>
          <w:rFonts w:ascii="Times New Roman" w:hAnsi="Times New Roman" w:cs="Times New Roman"/>
          <w:color w:val="auto"/>
          <w:w w:val="99"/>
          <w:highlight w:val="none"/>
          <w:lang w:val="zh-CN" w:bidi="zh-CN"/>
        </w:rPr>
        <w:t>）要求。徐深</w:t>
      </w:r>
      <w:r>
        <w:rPr>
          <w:rFonts w:hint="eastAsia" w:ascii="Times New Roman" w:hAnsi="Times New Roman" w:cs="Times New Roman"/>
          <w:color w:val="auto"/>
          <w:w w:val="99"/>
          <w:highlight w:val="none"/>
          <w:lang w:bidi="zh-CN"/>
        </w:rPr>
        <w:t>27</w:t>
      </w:r>
      <w:r>
        <w:rPr>
          <w:rFonts w:ascii="Times New Roman" w:hAnsi="Times New Roman" w:cs="Times New Roman"/>
          <w:color w:val="auto"/>
          <w:w w:val="99"/>
          <w:highlight w:val="none"/>
          <w:lang w:val="zh-CN" w:bidi="zh-CN"/>
        </w:rPr>
        <w:t>集气站加热炉排气筒烟气满足《锅炉大气污染物排放标准》（GB13271-2014）中表2新建燃气锅炉标准。根据本次对项目区块内</w:t>
      </w:r>
      <w:r>
        <w:rPr>
          <w:rFonts w:hint="eastAsia" w:ascii="Times New Roman" w:hAnsi="Times New Roman" w:cs="Times New Roman"/>
          <w:color w:val="auto"/>
          <w:w w:val="99"/>
          <w:highlight w:val="none"/>
          <w:lang w:bidi="zh-CN"/>
        </w:rPr>
        <w:t>邢家围子</w:t>
      </w:r>
      <w:r>
        <w:rPr>
          <w:rFonts w:ascii="Times New Roman" w:hAnsi="Times New Roman" w:cs="Times New Roman"/>
          <w:color w:val="auto"/>
          <w:w w:val="99"/>
          <w:highlight w:val="none"/>
          <w:lang w:val="zh-CN" w:bidi="zh-CN"/>
        </w:rPr>
        <w:t>屯环境空气质量现状监测数据可知，项目所在区域非甲烷总烃浓度可以满足《大气污染物综合排放标准详解》中相关标准限值。区块开发对周围环境影响较小。</w:t>
      </w:r>
    </w:p>
    <w:p w14:paraId="3526B7D1">
      <w:pPr>
        <w:keepNext/>
        <w:keepLines/>
        <w:widowControl w:val="0"/>
        <w:tabs>
          <w:tab w:val="left" w:pos="892"/>
        </w:tabs>
        <w:spacing w:before="60" w:after="60" w:line="440" w:lineRule="exact"/>
        <w:jc w:val="both"/>
        <w:outlineLvl w:val="2"/>
        <w:rPr>
          <w:rFonts w:ascii="Times New Roman" w:hAnsi="Times New Roman" w:cs="Times New Roman"/>
          <w:b/>
          <w:bCs/>
          <w:color w:val="auto"/>
          <w:w w:val="99"/>
          <w:highlight w:val="none"/>
          <w:lang w:val="zh-CN" w:bidi="zh-CN"/>
        </w:rPr>
      </w:pPr>
      <w:r>
        <w:rPr>
          <w:rFonts w:ascii="Times New Roman" w:hAnsi="Times New Roman" w:cs="Times New Roman"/>
          <w:b/>
          <w:bCs/>
          <w:color w:val="auto"/>
          <w:w w:val="99"/>
          <w:highlight w:val="none"/>
          <w:lang w:val="zh-CN" w:bidi="zh-CN"/>
        </w:rPr>
        <w:t>4.4.</w:t>
      </w:r>
      <w:r>
        <w:rPr>
          <w:rFonts w:hint="eastAsia" w:ascii="Times New Roman" w:hAnsi="Times New Roman" w:cs="Times New Roman"/>
          <w:b/>
          <w:bCs/>
          <w:color w:val="auto"/>
          <w:w w:val="99"/>
          <w:highlight w:val="none"/>
          <w:lang w:bidi="zh-CN"/>
        </w:rPr>
        <w:t>2</w:t>
      </w:r>
      <w:r>
        <w:rPr>
          <w:rFonts w:ascii="Times New Roman" w:hAnsi="Times New Roman" w:cs="Times New Roman"/>
          <w:b/>
          <w:bCs/>
          <w:color w:val="auto"/>
          <w:w w:val="99"/>
          <w:highlight w:val="none"/>
          <w:lang w:val="zh-CN" w:bidi="zh-CN"/>
        </w:rPr>
        <w:t>水污染源调查</w:t>
      </w:r>
    </w:p>
    <w:p w14:paraId="29669190">
      <w:pPr>
        <w:pStyle w:val="153"/>
        <w:widowControl w:val="0"/>
        <w:spacing w:line="440" w:lineRule="exact"/>
        <w:ind w:firstLine="473"/>
        <w:jc w:val="both"/>
        <w:rPr>
          <w:rFonts w:ascii="Times New Roman" w:hAnsi="Times New Roman"/>
          <w:color w:val="auto"/>
          <w:w w:val="99"/>
          <w:highlight w:val="none"/>
          <w:lang w:val="zh-CN" w:bidi="zh-CN"/>
        </w:rPr>
      </w:pPr>
      <w:r>
        <w:rPr>
          <w:rFonts w:ascii="Times New Roman" w:hAnsi="Times New Roman"/>
          <w:color w:val="auto"/>
          <w:w w:val="99"/>
          <w:highlight w:val="none"/>
          <w:lang w:val="zh-CN" w:bidi="zh-CN"/>
        </w:rPr>
        <w:t>现有区块内</w:t>
      </w:r>
      <w:r>
        <w:rPr>
          <w:rFonts w:hint="eastAsia" w:ascii="Times New Roman" w:hAnsi="Times New Roman"/>
          <w:color w:val="auto"/>
          <w:w w:val="99"/>
          <w:highlight w:val="none"/>
          <w:lang w:val="zh-CN" w:bidi="zh-CN"/>
        </w:rPr>
        <w:t>气井采出水</w:t>
      </w:r>
      <w:r>
        <w:rPr>
          <w:rFonts w:ascii="Times New Roman" w:hAnsi="Times New Roman"/>
          <w:color w:val="auto"/>
          <w:w w:val="99"/>
          <w:highlight w:val="none"/>
          <w:lang w:val="zh-CN" w:bidi="zh-CN"/>
        </w:rPr>
        <w:t>在各集气站污水储罐暂存，然后由集输管网统一输送至升一联气田污水处理站集中处理；区块内场站员工产生的生活污水</w:t>
      </w:r>
      <w:r>
        <w:rPr>
          <w:rFonts w:hint="eastAsia" w:ascii="Times New Roman" w:hAnsi="Times New Roman"/>
          <w:color w:val="auto"/>
          <w:w w:val="99"/>
          <w:highlight w:val="none"/>
          <w:lang w:val="zh-CN" w:bidi="zh-CN"/>
        </w:rPr>
        <w:t>排入附近场站已建生活污水收集设施，</w:t>
      </w:r>
      <w:r>
        <w:rPr>
          <w:rFonts w:hint="eastAsia" w:ascii="Times New Roman" w:hAnsi="Times New Roman"/>
          <w:color w:val="auto"/>
          <w:w w:val="99"/>
          <w:highlight w:val="none"/>
        </w:rPr>
        <w:t>定期由大庆石油管理局有限公司庆南工矿服务公司红岗分公司拉运至大庆红岗区西巷污水回收站，管输至南区污水处理厂进行处理</w:t>
      </w:r>
      <w:r>
        <w:rPr>
          <w:rFonts w:ascii="Times New Roman" w:hAnsi="Times New Roman"/>
          <w:color w:val="auto"/>
          <w:w w:val="99"/>
          <w:highlight w:val="none"/>
          <w:lang w:val="zh-CN" w:bidi="zh-CN"/>
        </w:rPr>
        <w:t>，因此本区块内无废水排放。区域内存在农业生产使用化肥、农药以及居民生活排放的生活污水等。</w:t>
      </w:r>
    </w:p>
    <w:p w14:paraId="5EEB0379">
      <w:pPr>
        <w:keepNext/>
        <w:keepLines/>
        <w:widowControl w:val="0"/>
        <w:tabs>
          <w:tab w:val="left" w:pos="892"/>
        </w:tabs>
        <w:spacing w:before="60" w:after="60" w:line="440" w:lineRule="exact"/>
        <w:jc w:val="both"/>
        <w:outlineLvl w:val="2"/>
        <w:rPr>
          <w:rFonts w:ascii="Times New Roman" w:hAnsi="Times New Roman" w:cs="Times New Roman"/>
          <w:b/>
          <w:bCs/>
          <w:color w:val="auto"/>
          <w:w w:val="99"/>
          <w:highlight w:val="none"/>
          <w:lang w:val="zh-CN" w:bidi="zh-CN"/>
        </w:rPr>
      </w:pPr>
      <w:r>
        <w:rPr>
          <w:rFonts w:hint="eastAsia" w:ascii="Times New Roman" w:hAnsi="Times New Roman" w:cs="Times New Roman"/>
          <w:b/>
          <w:bCs/>
          <w:color w:val="auto"/>
          <w:w w:val="99"/>
          <w:highlight w:val="none"/>
          <w:lang w:bidi="zh-CN"/>
        </w:rPr>
        <w:t>4.4.3</w:t>
      </w:r>
      <w:r>
        <w:rPr>
          <w:rFonts w:ascii="Times New Roman" w:hAnsi="Times New Roman" w:cs="Times New Roman"/>
          <w:b/>
          <w:bCs/>
          <w:color w:val="auto"/>
          <w:w w:val="99"/>
          <w:highlight w:val="none"/>
          <w:lang w:val="zh-CN" w:bidi="zh-CN"/>
        </w:rPr>
        <w:t>噪声污染源调查</w:t>
      </w:r>
    </w:p>
    <w:p w14:paraId="78F121B4">
      <w:pPr>
        <w:widowControl w:val="0"/>
        <w:spacing w:line="440" w:lineRule="exact"/>
        <w:ind w:firstLine="474" w:firstLineChars="200"/>
        <w:jc w:val="both"/>
        <w:rPr>
          <w:rFonts w:ascii="Times New Roman" w:hAnsi="Times New Roman" w:cs="Times New Roman"/>
          <w:color w:val="auto"/>
          <w:w w:val="99"/>
          <w:highlight w:val="none"/>
          <w:lang w:val="zh-CN" w:bidi="zh-CN"/>
        </w:rPr>
      </w:pPr>
      <w:r>
        <w:rPr>
          <w:rFonts w:ascii="Times New Roman" w:hAnsi="Times New Roman" w:cs="Times New Roman"/>
          <w:color w:val="auto"/>
          <w:w w:val="99"/>
          <w:highlight w:val="none"/>
          <w:lang w:val="zh-CN" w:bidi="zh-CN"/>
        </w:rPr>
        <w:t>现有工程主要声源来自井场和场站检修时的天然气放空噪声、集气站内设备、机泵运行产生的噪声以及运输车辆噪声。根据现状监测结果，现有场站厂界噪声满足《工业企业厂界环境噪声排放标准》（GB12348-2008）中2类标准要求。由于场站检修时放空时间和井场放空时间较短，且距离村屯等声环境保护目标较远，对周边声环境影响较小。</w:t>
      </w:r>
    </w:p>
    <w:p w14:paraId="55A6F40B">
      <w:pPr>
        <w:keepNext/>
        <w:keepLines/>
        <w:widowControl w:val="0"/>
        <w:tabs>
          <w:tab w:val="left" w:pos="892"/>
        </w:tabs>
        <w:spacing w:before="60" w:after="60" w:line="440" w:lineRule="exact"/>
        <w:jc w:val="both"/>
        <w:outlineLvl w:val="2"/>
        <w:rPr>
          <w:rFonts w:ascii="Times New Roman" w:hAnsi="Times New Roman" w:cs="Times New Roman"/>
          <w:b/>
          <w:bCs/>
          <w:color w:val="auto"/>
          <w:w w:val="99"/>
          <w:highlight w:val="none"/>
          <w:lang w:val="zh-CN" w:bidi="zh-CN"/>
        </w:rPr>
      </w:pPr>
      <w:r>
        <w:rPr>
          <w:rFonts w:hint="eastAsia" w:ascii="Times New Roman" w:hAnsi="Times New Roman" w:cs="Times New Roman"/>
          <w:b/>
          <w:bCs/>
          <w:color w:val="auto"/>
          <w:w w:val="99"/>
          <w:highlight w:val="none"/>
          <w:lang w:bidi="zh-CN"/>
        </w:rPr>
        <w:t>4.4.4</w:t>
      </w:r>
      <w:r>
        <w:rPr>
          <w:rFonts w:ascii="Times New Roman" w:hAnsi="Times New Roman" w:cs="Times New Roman"/>
          <w:b/>
          <w:bCs/>
          <w:color w:val="auto"/>
          <w:w w:val="99"/>
          <w:highlight w:val="none"/>
          <w:lang w:val="zh-CN" w:bidi="zh-CN"/>
        </w:rPr>
        <w:t>固体废物污染源调查</w:t>
      </w:r>
    </w:p>
    <w:p w14:paraId="00ED3B5E">
      <w:pPr>
        <w:widowControl w:val="0"/>
        <w:spacing w:line="440" w:lineRule="exact"/>
        <w:ind w:firstLine="474" w:firstLineChars="200"/>
        <w:jc w:val="both"/>
        <w:rPr>
          <w:rFonts w:ascii="Times New Roman" w:hAnsi="Times New Roman" w:cs="Times New Roman"/>
          <w:color w:val="auto"/>
          <w:w w:val="99"/>
          <w:highlight w:val="none"/>
          <w:lang w:val="zh-CN" w:bidi="zh-CN"/>
        </w:rPr>
      </w:pPr>
      <w:r>
        <w:rPr>
          <w:rFonts w:ascii="Times New Roman" w:hAnsi="Times New Roman" w:cs="Times New Roman"/>
          <w:color w:val="auto"/>
          <w:w w:val="99"/>
          <w:highlight w:val="none"/>
          <w:lang w:val="zh-CN" w:bidi="zh-CN"/>
        </w:rPr>
        <w:t>项目所在区域内固体废物污染源主要为</w:t>
      </w:r>
      <w:r>
        <w:rPr>
          <w:rFonts w:hint="eastAsia" w:ascii="Times New Roman" w:hAnsi="Times New Roman" w:cs="Times New Roman"/>
          <w:color w:val="auto"/>
          <w:w w:val="99"/>
          <w:highlight w:val="none"/>
          <w:lang w:val="zh-CN" w:bidi="zh-CN"/>
        </w:rPr>
        <w:t>井口含油砂粒</w:t>
      </w:r>
      <w:r>
        <w:rPr>
          <w:rFonts w:ascii="Times New Roman" w:hAnsi="Times New Roman" w:cs="Times New Roman"/>
          <w:color w:val="auto"/>
          <w:w w:val="99"/>
          <w:highlight w:val="none"/>
          <w:lang w:val="zh-CN" w:bidi="zh-CN"/>
        </w:rPr>
        <w:t>、废三甘醇、废活性炭、废润滑油、废润滑油桶、分离器检修废渣和生活垃圾等。</w:t>
      </w:r>
      <w:r>
        <w:rPr>
          <w:rFonts w:hint="eastAsia" w:ascii="Times New Roman" w:hAnsi="Times New Roman" w:cs="Times New Roman"/>
          <w:color w:val="auto"/>
          <w:w w:val="99"/>
          <w:highlight w:val="none"/>
          <w:lang w:val="zh-CN" w:bidi="zh-CN"/>
        </w:rPr>
        <w:t>井口含油砂粒</w:t>
      </w:r>
      <w:r>
        <w:rPr>
          <w:rFonts w:hint="eastAsia" w:ascii="Times New Roman" w:hAnsi="Times New Roman" w:cs="Times New Roman"/>
          <w:color w:val="auto"/>
          <w:w w:val="99"/>
          <w:highlight w:val="none"/>
          <w:lang w:bidi="zh-CN"/>
        </w:rPr>
        <w:t>目前未产生，如产生，</w:t>
      </w:r>
      <w:r>
        <w:rPr>
          <w:rFonts w:ascii="Times New Roman" w:hAnsi="Times New Roman" w:cs="Times New Roman"/>
          <w:color w:val="auto"/>
          <w:w w:val="99"/>
          <w:highlight w:val="none"/>
          <w:lang w:val="zh-CN" w:bidi="zh-CN"/>
        </w:rPr>
        <w:t>由检维修队送采气分公司危险废物贮存库内，定期委托有危废处置资质的单位处置；集气站三甘醇脱水装置产生的废活性炭暂存于采气分公司危险废物贮存库，定期委托有危废处置资质的单位处置；集气站压缩机运行过程产生的废润滑油和废油桶暂存于采气分公司危险废物贮存库内，定期委托有危废处置资质的单位处置；集气站分离器检修废渣暂存于采气分公司危险废物贮存库内，定期委托有危废处置资质的单位处置。集气站三甘醇脱水装置产生的废三甘醇由厂家回收处理。生活垃圾集中收集，统一收集后运至</w:t>
      </w:r>
      <w:r>
        <w:rPr>
          <w:rFonts w:hint="eastAsia" w:ascii="Times New Roman" w:hAnsi="Times New Roman" w:cs="Times New Roman"/>
          <w:color w:val="auto"/>
          <w:w w:val="99"/>
          <w:highlight w:val="none"/>
          <w:lang w:val="zh-CN" w:bidi="zh-CN"/>
        </w:rPr>
        <w:t>肇东北控环境再生能源有限公司</w:t>
      </w:r>
      <w:r>
        <w:rPr>
          <w:rFonts w:ascii="Times New Roman" w:hAnsi="Times New Roman" w:cs="Times New Roman"/>
          <w:color w:val="auto"/>
          <w:w w:val="99"/>
          <w:highlight w:val="none"/>
          <w:lang w:val="zh-CN" w:bidi="zh-CN"/>
        </w:rPr>
        <w:t>垃圾处理厂进行处理。</w:t>
      </w:r>
    </w:p>
    <w:bookmarkEnd w:id="776"/>
    <w:bookmarkEnd w:id="777"/>
    <w:bookmarkEnd w:id="778"/>
    <w:bookmarkEnd w:id="779"/>
    <w:bookmarkEnd w:id="780"/>
    <w:bookmarkEnd w:id="781"/>
    <w:bookmarkEnd w:id="782"/>
    <w:p w14:paraId="280B31CF">
      <w:pPr>
        <w:pStyle w:val="4"/>
        <w:widowControl w:val="0"/>
        <w:spacing w:before="180" w:after="180" w:line="440" w:lineRule="exact"/>
        <w:rPr>
          <w:rFonts w:ascii="Times New Roman" w:hAnsi="Times New Roman" w:eastAsia="宋体"/>
          <w:b/>
          <w:snapToGrid w:val="0"/>
          <w:color w:val="auto"/>
          <w:w w:val="99"/>
          <w:sz w:val="30"/>
          <w:szCs w:val="30"/>
          <w:highlight w:val="none"/>
        </w:rPr>
      </w:pPr>
      <w:bookmarkStart w:id="799" w:name="_Toc31030"/>
      <w:bookmarkStart w:id="800" w:name="_Toc480447673"/>
      <w:bookmarkStart w:id="801" w:name="_Toc502736513"/>
      <w:r>
        <w:rPr>
          <w:rFonts w:ascii="Times New Roman" w:hAnsi="Times New Roman" w:eastAsia="宋体"/>
          <w:b/>
          <w:snapToGrid w:val="0"/>
          <w:color w:val="auto"/>
          <w:w w:val="99"/>
          <w:sz w:val="30"/>
          <w:szCs w:val="30"/>
          <w:highlight w:val="none"/>
        </w:rPr>
        <w:t>5环境影响预测与评价</w:t>
      </w:r>
      <w:bookmarkEnd w:id="799"/>
    </w:p>
    <w:p w14:paraId="50828F91">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802" w:name="_Toc17898220"/>
      <w:bookmarkStart w:id="803" w:name="_Toc57203297"/>
      <w:bookmarkStart w:id="804" w:name="_Toc9760"/>
      <w:bookmarkStart w:id="805" w:name="_Toc57976719"/>
      <w:bookmarkStart w:id="806" w:name="_Toc502736499"/>
      <w:bookmarkStart w:id="807" w:name="_Toc57707967"/>
      <w:bookmarkStart w:id="808" w:name="_Toc11814"/>
      <w:r>
        <w:rPr>
          <w:rFonts w:ascii="Times New Roman" w:hAnsi="Times New Roman" w:eastAsia="宋体"/>
          <w:b/>
          <w:snapToGrid w:val="0"/>
          <w:color w:val="auto"/>
          <w:w w:val="99"/>
          <w:highlight w:val="none"/>
        </w:rPr>
        <w:t>5.1大气环境影响</w:t>
      </w:r>
      <w:bookmarkEnd w:id="802"/>
      <w:bookmarkEnd w:id="803"/>
      <w:bookmarkEnd w:id="804"/>
      <w:bookmarkEnd w:id="805"/>
      <w:bookmarkEnd w:id="806"/>
      <w:bookmarkEnd w:id="807"/>
      <w:r>
        <w:rPr>
          <w:rFonts w:ascii="Times New Roman" w:hAnsi="Times New Roman" w:eastAsia="宋体"/>
          <w:b/>
          <w:snapToGrid w:val="0"/>
          <w:color w:val="auto"/>
          <w:w w:val="99"/>
          <w:highlight w:val="none"/>
        </w:rPr>
        <w:t>预测与评价</w:t>
      </w:r>
      <w:bookmarkEnd w:id="808"/>
    </w:p>
    <w:p w14:paraId="3BCA89F3">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809" w:name="_Toc78816512"/>
      <w:bookmarkStart w:id="810" w:name="_Toc67860184"/>
      <w:bookmarkStart w:id="811" w:name="_Toc80971429"/>
      <w:bookmarkStart w:id="812" w:name="_Toc80588307"/>
      <w:bookmarkStart w:id="813" w:name="_Toc76976298"/>
      <w:bookmarkStart w:id="814" w:name="_Toc77067710"/>
      <w:bookmarkStart w:id="815" w:name="_Toc70050233"/>
      <w:bookmarkStart w:id="816" w:name="_Toc186444334"/>
      <w:bookmarkStart w:id="817" w:name="_Toc83209529"/>
      <w:bookmarkStart w:id="818" w:name="_Toc11047899"/>
      <w:r>
        <w:rPr>
          <w:rFonts w:eastAsia="宋体"/>
          <w:b/>
          <w:color w:val="auto"/>
          <w:w w:val="99"/>
          <w:kern w:val="2"/>
          <w:sz w:val="24"/>
          <w:szCs w:val="24"/>
          <w:highlight w:val="none"/>
        </w:rPr>
        <w:t>5.1.1施工期</w:t>
      </w:r>
      <w:bookmarkEnd w:id="809"/>
      <w:bookmarkEnd w:id="810"/>
      <w:bookmarkEnd w:id="811"/>
      <w:bookmarkEnd w:id="812"/>
      <w:bookmarkEnd w:id="813"/>
      <w:bookmarkEnd w:id="814"/>
      <w:bookmarkEnd w:id="815"/>
      <w:bookmarkEnd w:id="816"/>
      <w:bookmarkEnd w:id="817"/>
    </w:p>
    <w:p w14:paraId="641B1062">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本工程施工期对大气环境的影响主要是施工产生的扬尘、运输车辆排放的尾气、焊接烟尘。</w:t>
      </w:r>
    </w:p>
    <w:p w14:paraId="7D506906">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（1）施工扬尘</w:t>
      </w:r>
    </w:p>
    <w:p w14:paraId="10D9FAD3">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运输车辆行驶扬尘与车辆行驶速度、风速、路面积尘量和积尘湿度等因素有关。当车辆通过干燥且路况较差路段时，在行车道</w:t>
      </w:r>
      <w:r>
        <w:rPr>
          <w:rFonts w:hint="eastAsia" w:ascii="Times New Roman" w:hAnsi="Times New Roman" w:cs="Times New Roman"/>
          <w:color w:val="auto"/>
          <w:w w:val="99"/>
          <w:highlight w:val="none"/>
        </w:rPr>
        <w:t>路</w:t>
      </w:r>
      <w:r>
        <w:rPr>
          <w:rFonts w:ascii="Times New Roman" w:hAnsi="Times New Roman" w:cs="Times New Roman"/>
          <w:color w:val="auto"/>
          <w:w w:val="99"/>
          <w:highlight w:val="none"/>
        </w:rPr>
        <w:t>两侧扬尘的TSP浓度短期内可达8-10mg/m</w:t>
      </w:r>
      <w:r>
        <w:rPr>
          <w:rFonts w:ascii="Times New Roman" w:hAnsi="Times New Roman" w:cs="Times New Roman"/>
          <w:color w:val="auto"/>
          <w:w w:val="99"/>
          <w:highlight w:val="none"/>
          <w:vertAlign w:val="superscript"/>
        </w:rPr>
        <w:t>3</w:t>
      </w:r>
      <w:r>
        <w:rPr>
          <w:rFonts w:ascii="Times New Roman" w:hAnsi="Times New Roman" w:cs="Times New Roman"/>
          <w:color w:val="auto"/>
          <w:w w:val="99"/>
          <w:highlight w:val="none"/>
        </w:rPr>
        <w:t>。</w:t>
      </w:r>
    </w:p>
    <w:p w14:paraId="15783D02">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一般情况下，施工场地、施工道路在自然风作用下产生的扬尘所影响的范围在100m以内，本项目施工区域100m范围内无环境敏感点，建设过程中产生的施工扬尘不会对周边环境产生较大影响。根据本工程特点，在施工过程中应采取以下措施：</w:t>
      </w:r>
    </w:p>
    <w:p w14:paraId="40C92CB9">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color w:val="auto"/>
          <w:w w:val="99"/>
          <w:highlight w:val="none"/>
        </w:rPr>
        <w:t>1）</w:t>
      </w:r>
      <w:r>
        <w:rPr>
          <w:rFonts w:ascii="Times New Roman" w:hAnsi="Times New Roman" w:cs="Times New Roman" w:eastAsiaTheme="minorEastAsia"/>
          <w:color w:val="auto"/>
          <w:w w:val="99"/>
          <w:highlight w:val="none"/>
        </w:rPr>
        <w:t>材料运输过程中，进行材料遮盖，防止材料洒落、风刮起的粉尘；</w:t>
      </w:r>
    </w:p>
    <w:p w14:paraId="00C59B7D">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color w:val="auto"/>
          <w:w w:val="99"/>
          <w:highlight w:val="none"/>
        </w:rPr>
        <w:t>2）</w:t>
      </w:r>
      <w:r>
        <w:rPr>
          <w:rFonts w:ascii="Times New Roman" w:hAnsi="Times New Roman" w:cs="Times New Roman" w:eastAsiaTheme="minorEastAsia"/>
          <w:color w:val="auto"/>
          <w:w w:val="99"/>
          <w:highlight w:val="none"/>
        </w:rPr>
        <w:t>施工场地干燥时适当洒水抑尘，建材堆放应定位定点，并采取防尘、抑尘措施，如设置挡风板、上覆遮盖材料等；</w:t>
      </w:r>
    </w:p>
    <w:p w14:paraId="37EABB90">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color w:val="auto"/>
          <w:w w:val="99"/>
          <w:highlight w:val="none"/>
        </w:rPr>
        <w:t>3）</w:t>
      </w:r>
      <w:r>
        <w:rPr>
          <w:rFonts w:ascii="Times New Roman" w:hAnsi="Times New Roman" w:cs="Times New Roman" w:eastAsiaTheme="minorEastAsia"/>
          <w:color w:val="auto"/>
          <w:w w:val="99"/>
          <w:highlight w:val="none"/>
        </w:rPr>
        <w:t>运输车辆进入居民区附近施工场地应低速行驶或限速行驶，减少扬尘产生。</w:t>
      </w:r>
    </w:p>
    <w:p w14:paraId="432A6326">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4）在施工过程中，应定时适量洒水，并在大风天加大洒水量及洒水次数，使作业面保持一定的湿度；</w:t>
      </w:r>
    </w:p>
    <w:p w14:paraId="4C2A73F5">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5）加强回填土方堆放场的管理，要采取土方表面压实、覆盖等措施；</w:t>
      </w:r>
    </w:p>
    <w:p w14:paraId="13AF5EF7">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6）在距离</w:t>
      </w:r>
      <w:r>
        <w:rPr>
          <w:rFonts w:hint="eastAsia" w:ascii="Times New Roman" w:hAnsi="Times New Roman" w:cs="Times New Roman" w:eastAsiaTheme="minorEastAsia"/>
          <w:color w:val="auto"/>
          <w:w w:val="99"/>
          <w:highlight w:val="none"/>
        </w:rPr>
        <w:t>邢家围子</w:t>
      </w:r>
      <w:r>
        <w:rPr>
          <w:rFonts w:ascii="Times New Roman" w:hAnsi="Times New Roman" w:cs="Times New Roman" w:eastAsiaTheme="minorEastAsia"/>
          <w:color w:val="auto"/>
          <w:w w:val="99"/>
          <w:highlight w:val="none"/>
        </w:rPr>
        <w:t>屯较近</w:t>
      </w:r>
      <w:r>
        <w:rPr>
          <w:rFonts w:ascii="Times New Roman" w:hAnsi="Times New Roman" w:cs="Times New Roman" w:eastAsiaTheme="minorEastAsia"/>
          <w:bCs/>
          <w:color w:val="auto"/>
          <w:w w:val="99"/>
          <w:highlight w:val="none"/>
        </w:rPr>
        <w:t>管线施工过程中采取人工开挖，施工阶段设置围挡等方式降低施工噪声及扬尘对周边村屯的影响，围挡设置在临时占地范围内，</w:t>
      </w:r>
      <w:r>
        <w:rPr>
          <w:rFonts w:hint="eastAsia" w:ascii="Times New Roman" w:hAnsi="Times New Roman" w:cs="Times New Roman" w:eastAsiaTheme="minorEastAsia"/>
          <w:bCs/>
          <w:color w:val="auto"/>
          <w:w w:val="99"/>
          <w:highlight w:val="none"/>
        </w:rPr>
        <w:t>优先选用环保、可回收利用的材料，围挡高度不低于</w:t>
      </w:r>
      <w:r>
        <w:rPr>
          <w:rFonts w:ascii="Times New Roman" w:hAnsi="Times New Roman" w:cs="Times New Roman" w:eastAsiaTheme="minorEastAsia"/>
          <w:bCs/>
          <w:color w:val="auto"/>
          <w:w w:val="99"/>
          <w:highlight w:val="none"/>
        </w:rPr>
        <w:t>1.8</w:t>
      </w:r>
      <w:r>
        <w:rPr>
          <w:rFonts w:hint="eastAsia" w:ascii="Times New Roman" w:hAnsi="Times New Roman" w:cs="Times New Roman" w:eastAsiaTheme="minorEastAsia"/>
          <w:bCs/>
          <w:color w:val="auto"/>
          <w:w w:val="99"/>
          <w:highlight w:val="none"/>
        </w:rPr>
        <w:t>m，围挡应连续设置，不得有缺口、裂缝或破损，确保施工现场的封闭性</w:t>
      </w:r>
      <w:r>
        <w:rPr>
          <w:rFonts w:ascii="Times New Roman" w:hAnsi="Times New Roman" w:cs="Times New Roman" w:eastAsiaTheme="minorEastAsia"/>
          <w:color w:val="auto"/>
          <w:w w:val="99"/>
          <w:highlight w:val="none"/>
        </w:rPr>
        <w:t>。</w:t>
      </w:r>
    </w:p>
    <w:p w14:paraId="49DADEDB">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采取上述措施后，可有效降低施工期产生的扬尘，颗粒物浓度能够满足《大气污染物综合排放标准》（GB16297-1996）表2中无组织排放监控浓度限值要求。项目施工结束后及时恢复施工占地的原有地表形态。施工扬尘对沿线敏感目标影响具有一定的时段性，这种影响随着施工期的结束而消失。</w:t>
      </w:r>
    </w:p>
    <w:p w14:paraId="6CA44914">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（2）</w:t>
      </w:r>
      <w:r>
        <w:rPr>
          <w:rFonts w:ascii="Times New Roman" w:hAnsi="Times New Roman" w:cs="Times New Roman"/>
          <w:color w:val="auto"/>
          <w:w w:val="99"/>
          <w:highlight w:val="none"/>
        </w:rPr>
        <w:t>施工车辆尾气</w:t>
      </w:r>
    </w:p>
    <w:p w14:paraId="75947614">
      <w:pPr>
        <w:widowControl w:val="0"/>
        <w:spacing w:line="440" w:lineRule="exact"/>
        <w:ind w:firstLine="474" w:firstLineChars="200"/>
        <w:jc w:val="both"/>
        <w:rPr>
          <w:rFonts w:ascii="Times New Roman" w:hAnsi="Times New Roman" w:eastAsia="黑体" w:cs="Times New Roman"/>
          <w:color w:val="auto"/>
          <w:w w:val="99"/>
          <w:highlight w:val="none"/>
        </w:rPr>
      </w:pPr>
      <w:r>
        <w:rPr>
          <w:rFonts w:ascii="Times New Roman" w:hAnsi="Times New Roman" w:cs="Times New Roman"/>
          <w:color w:val="auto"/>
          <w:w w:val="99"/>
          <w:highlight w:val="none"/>
        </w:rPr>
        <w:t>本工程施工期各类工程及运输车辆排放的尾气会对大气环境造成一定污染，排放主要污染物为NOx、CO、HC等，均属于无组织排放，施工所处地区宽阔，地形简单，污染物在大气中可快速扩散，由于车辆排放的尾气为流动的线源，影响范围较大，但其污染不集中且扩散能力相对较快，因此对环境空气的影响不是很大。</w:t>
      </w:r>
    </w:p>
    <w:p w14:paraId="5B82DA2B">
      <w:pPr>
        <w:widowControl w:val="0"/>
        <w:spacing w:line="440" w:lineRule="exact"/>
        <w:ind w:firstLine="474" w:firstLineChars="200"/>
        <w:jc w:val="both"/>
        <w:rPr>
          <w:rFonts w:ascii="Times New Roman" w:hAnsi="Times New Roman" w:cs="Times New Roman" w:eastAsiaTheme="minorEastAsia"/>
          <w:color w:val="auto"/>
          <w:w w:val="99"/>
          <w:highlight w:val="none"/>
          <w:lang w:val="zh-CN"/>
        </w:rPr>
      </w:pPr>
      <w:r>
        <w:rPr>
          <w:rFonts w:ascii="Times New Roman" w:hAnsi="Times New Roman" w:cs="Times New Roman" w:eastAsiaTheme="minorEastAsia"/>
          <w:color w:val="auto"/>
          <w:w w:val="99"/>
          <w:highlight w:val="none"/>
        </w:rPr>
        <w:t>（3）</w:t>
      </w:r>
      <w:r>
        <w:rPr>
          <w:rFonts w:ascii="Times New Roman" w:hAnsi="Times New Roman" w:cs="Times New Roman" w:eastAsiaTheme="minorEastAsia"/>
          <w:color w:val="auto"/>
          <w:w w:val="99"/>
          <w:highlight w:val="none"/>
          <w:lang w:val="zh-CN"/>
        </w:rPr>
        <w:t>焊接烟尘</w:t>
      </w:r>
    </w:p>
    <w:p w14:paraId="45F89C08">
      <w:pPr>
        <w:widowControl w:val="0"/>
        <w:spacing w:line="440" w:lineRule="exact"/>
        <w:ind w:firstLine="474" w:firstLineChars="200"/>
        <w:jc w:val="both"/>
        <w:rPr>
          <w:rFonts w:ascii="Times New Roman" w:hAnsi="Times New Roman" w:cs="Times New Roman" w:eastAsiaTheme="minorEastAsia"/>
          <w:color w:val="auto"/>
          <w:w w:val="99"/>
          <w:highlight w:val="none"/>
          <w:lang w:val="zh-CN"/>
        </w:rPr>
      </w:pPr>
      <w:r>
        <w:rPr>
          <w:rFonts w:ascii="Times New Roman" w:hAnsi="Times New Roman" w:cs="Times New Roman" w:eastAsiaTheme="minorEastAsia"/>
          <w:color w:val="auto"/>
          <w:w w:val="99"/>
          <w:highlight w:val="none"/>
          <w:lang w:val="zh-CN"/>
        </w:rPr>
        <w:t>项目管道焊接主要方式为电焊，焊接过程中会产生少量焊接烟尘，焊接烟气中有毒有害气体的成</w:t>
      </w:r>
      <w:r>
        <w:rPr>
          <w:rFonts w:hint="eastAsia" w:ascii="Times New Roman" w:hAnsi="Times New Roman" w:cs="Times New Roman" w:eastAsiaTheme="minorEastAsia"/>
          <w:color w:val="auto"/>
          <w:w w:val="99"/>
          <w:highlight w:val="none"/>
        </w:rPr>
        <w:t>分</w:t>
      </w:r>
      <w:r>
        <w:rPr>
          <w:rFonts w:ascii="Times New Roman" w:hAnsi="Times New Roman" w:cs="Times New Roman" w:eastAsiaTheme="minorEastAsia"/>
          <w:color w:val="auto"/>
          <w:w w:val="99"/>
          <w:highlight w:val="none"/>
          <w:lang w:val="zh-CN"/>
        </w:rPr>
        <w:t>主要为CO、CO</w:t>
      </w:r>
      <w:r>
        <w:rPr>
          <w:rFonts w:ascii="Times New Roman" w:hAnsi="Times New Roman" w:cs="Times New Roman" w:eastAsiaTheme="minorEastAsia"/>
          <w:color w:val="auto"/>
          <w:w w:val="99"/>
          <w:highlight w:val="none"/>
          <w:vertAlign w:val="subscript"/>
          <w:lang w:val="zh-CN"/>
        </w:rPr>
        <w:t>2</w:t>
      </w:r>
      <w:r>
        <w:rPr>
          <w:rFonts w:ascii="Times New Roman" w:hAnsi="Times New Roman" w:cs="Times New Roman" w:eastAsiaTheme="minorEastAsia"/>
          <w:color w:val="auto"/>
          <w:w w:val="99"/>
          <w:highlight w:val="none"/>
          <w:lang w:val="zh-CN"/>
        </w:rPr>
        <w:t>、O</w:t>
      </w:r>
      <w:r>
        <w:rPr>
          <w:rFonts w:ascii="Times New Roman" w:hAnsi="Times New Roman" w:cs="Times New Roman" w:eastAsiaTheme="minorEastAsia"/>
          <w:color w:val="auto"/>
          <w:w w:val="99"/>
          <w:highlight w:val="none"/>
          <w:vertAlign w:val="subscript"/>
          <w:lang w:val="zh-CN"/>
        </w:rPr>
        <w:t>3</w:t>
      </w:r>
      <w:r>
        <w:rPr>
          <w:rFonts w:ascii="Times New Roman" w:hAnsi="Times New Roman" w:cs="Times New Roman" w:eastAsiaTheme="minorEastAsia"/>
          <w:color w:val="auto"/>
          <w:w w:val="99"/>
          <w:highlight w:val="none"/>
          <w:lang w:val="zh-CN"/>
        </w:rPr>
        <w:t>、NO</w:t>
      </w:r>
      <w:r>
        <w:rPr>
          <w:rFonts w:ascii="Times New Roman" w:hAnsi="Times New Roman" w:cs="Times New Roman" w:eastAsiaTheme="minorEastAsia"/>
          <w:color w:val="auto"/>
          <w:w w:val="99"/>
          <w:highlight w:val="none"/>
          <w:vertAlign w:val="subscript"/>
          <w:lang w:val="zh-CN"/>
        </w:rPr>
        <w:t>x</w:t>
      </w:r>
      <w:r>
        <w:rPr>
          <w:rFonts w:ascii="Times New Roman" w:hAnsi="Times New Roman" w:cs="Times New Roman" w:eastAsiaTheme="minorEastAsia"/>
          <w:color w:val="auto"/>
          <w:w w:val="99"/>
          <w:highlight w:val="none"/>
          <w:lang w:val="zh-CN"/>
        </w:rPr>
        <w:t>、CH</w:t>
      </w:r>
      <w:r>
        <w:rPr>
          <w:rFonts w:ascii="Times New Roman" w:hAnsi="Times New Roman" w:cs="Times New Roman" w:eastAsiaTheme="minorEastAsia"/>
          <w:color w:val="auto"/>
          <w:w w:val="99"/>
          <w:highlight w:val="none"/>
          <w:vertAlign w:val="subscript"/>
          <w:lang w:val="zh-CN"/>
        </w:rPr>
        <w:t>4</w:t>
      </w:r>
      <w:r>
        <w:rPr>
          <w:rFonts w:ascii="Times New Roman" w:hAnsi="Times New Roman" w:cs="Times New Roman" w:eastAsiaTheme="minorEastAsia"/>
          <w:color w:val="auto"/>
          <w:w w:val="99"/>
          <w:highlight w:val="none"/>
          <w:lang w:val="zh-CN"/>
        </w:rPr>
        <w:t>等，其中以CO所占的比例最大，但由于项目焊接点较少，产生的焊接烟尘量较小，且项目位于室外，空气扩散条件较好，对大气环境影响较小。</w:t>
      </w:r>
    </w:p>
    <w:p w14:paraId="6D86B4C6">
      <w:pPr>
        <w:widowControl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bCs/>
          <w:color w:val="auto"/>
          <w:w w:val="99"/>
          <w:highlight w:val="none"/>
        </w:rPr>
        <w:t>综上所述，项目施工期产生的废气，通过采取有效的抑尘、规划行车路线及管理养护措施，施工期场界扬尘（颗粒物）浓度满足《大气污染物综合排放标准》（</w:t>
      </w:r>
      <w:r>
        <w:rPr>
          <w:rFonts w:ascii="Times New Roman" w:hAnsi="Times New Roman" w:cs="Times New Roman"/>
          <w:bCs/>
          <w:color w:val="auto"/>
          <w:w w:val="99"/>
          <w:highlight w:val="none"/>
        </w:rPr>
        <w:t>GB16297-1996</w:t>
      </w:r>
      <w:r>
        <w:rPr>
          <w:rFonts w:hint="eastAsia" w:ascii="Times New Roman" w:hAnsi="Times New Roman" w:cs="Times New Roman"/>
          <w:bCs/>
          <w:color w:val="auto"/>
          <w:w w:val="99"/>
          <w:highlight w:val="none"/>
        </w:rPr>
        <w:t>）要求，对区域空气环境及环保目标影响较小</w:t>
      </w:r>
      <w:r>
        <w:rPr>
          <w:rFonts w:ascii="Times New Roman" w:hAnsi="Times New Roman" w:cs="Times New Roman"/>
          <w:bCs/>
          <w:color w:val="auto"/>
          <w:w w:val="99"/>
          <w:highlight w:val="none"/>
        </w:rPr>
        <w:t>。</w:t>
      </w:r>
    </w:p>
    <w:p w14:paraId="63D1EFE9">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819" w:name="_Toc76976299"/>
      <w:bookmarkStart w:id="820" w:name="_Toc78816513"/>
      <w:bookmarkStart w:id="821" w:name="_Toc186444335"/>
      <w:bookmarkStart w:id="822" w:name="_Toc77067711"/>
      <w:bookmarkStart w:id="823" w:name="_Toc80971430"/>
      <w:bookmarkStart w:id="824" w:name="_Toc83209530"/>
      <w:bookmarkStart w:id="825" w:name="_Toc67860185"/>
      <w:bookmarkStart w:id="826" w:name="_Toc70050234"/>
      <w:bookmarkStart w:id="827" w:name="_Toc80588308"/>
      <w:r>
        <w:rPr>
          <w:rFonts w:eastAsia="宋体"/>
          <w:b/>
          <w:color w:val="auto"/>
          <w:w w:val="99"/>
          <w:kern w:val="2"/>
          <w:sz w:val="24"/>
          <w:szCs w:val="24"/>
          <w:highlight w:val="none"/>
        </w:rPr>
        <w:t>5.1.2运营期</w:t>
      </w:r>
      <w:bookmarkEnd w:id="819"/>
      <w:bookmarkEnd w:id="820"/>
      <w:bookmarkEnd w:id="821"/>
      <w:bookmarkEnd w:id="822"/>
      <w:bookmarkEnd w:id="823"/>
      <w:bookmarkEnd w:id="824"/>
      <w:bookmarkEnd w:id="825"/>
      <w:bookmarkEnd w:id="826"/>
      <w:bookmarkEnd w:id="827"/>
    </w:p>
    <w:p w14:paraId="07EDB1B6">
      <w:pPr>
        <w:widowControl w:val="0"/>
        <w:spacing w:line="440" w:lineRule="exact"/>
        <w:jc w:val="both"/>
        <w:outlineLvl w:val="3"/>
        <w:rPr>
          <w:rFonts w:ascii="Times New Roman" w:hAnsi="Times New Roman" w:cs="Times New Roman" w:eastAsiaTheme="minorEastAsia"/>
          <w:b/>
          <w:color w:val="auto"/>
          <w:w w:val="99"/>
          <w:highlight w:val="none"/>
        </w:rPr>
      </w:pPr>
      <w:r>
        <w:rPr>
          <w:rFonts w:ascii="Times New Roman" w:hAnsi="Times New Roman" w:cs="Times New Roman" w:eastAsiaTheme="minorEastAsia"/>
          <w:b/>
          <w:color w:val="auto"/>
          <w:w w:val="99"/>
          <w:highlight w:val="none"/>
        </w:rPr>
        <w:t>5.1.2.1评价区域二十年地面气象资料</w:t>
      </w:r>
    </w:p>
    <w:p w14:paraId="44C75474">
      <w:pPr>
        <w:widowControl w:val="0"/>
        <w:numPr>
          <w:ilvl w:val="0"/>
          <w:numId w:val="11"/>
        </w:numPr>
        <w:spacing w:line="440" w:lineRule="exact"/>
        <w:ind w:firstLine="474" w:firstLineChars="200"/>
        <w:jc w:val="both"/>
        <w:rPr>
          <w:rFonts w:ascii="Times New Roman" w:hAnsi="Times New Roman" w:cs="Times New Roman" w:eastAsiaTheme="minorEastAsia"/>
          <w:color w:val="auto"/>
          <w:w w:val="99"/>
          <w:highlight w:val="none"/>
          <w:lang w:val="zh-CN"/>
        </w:rPr>
      </w:pPr>
      <w:r>
        <w:rPr>
          <w:rFonts w:hint="eastAsia" w:ascii="Times New Roman" w:hAnsi="Times New Roman" w:cs="Times New Roman" w:eastAsiaTheme="minorEastAsia"/>
          <w:color w:val="auto"/>
          <w:w w:val="99"/>
          <w:highlight w:val="none"/>
          <w:lang w:val="zh-CN"/>
        </w:rPr>
        <w:t>评价区域二十年地面气象资料</w:t>
      </w:r>
    </w:p>
    <w:p w14:paraId="2DFFCEF7">
      <w:pPr>
        <w:widowControl w:val="0"/>
        <w:spacing w:line="440" w:lineRule="exact"/>
        <w:ind w:firstLine="474" w:firstLineChars="200"/>
        <w:jc w:val="both"/>
        <w:rPr>
          <w:rFonts w:ascii="Times New Roman" w:hAnsi="Times New Roman" w:cs="Times New Roman"/>
          <w:bCs/>
          <w:color w:val="auto"/>
          <w:w w:val="99"/>
          <w:highlight w:val="none"/>
        </w:rPr>
      </w:pPr>
      <w:r>
        <w:rPr>
          <w:rFonts w:hint="eastAsia" w:ascii="Times New Roman" w:hAnsi="Times New Roman" w:cs="Times New Roman"/>
          <w:bCs/>
          <w:color w:val="auto"/>
          <w:w w:val="99"/>
          <w:highlight w:val="none"/>
        </w:rPr>
        <w:t>本项目位于东经125.50852°，北纬45.89313°，项目采用的是大庆气象站（一般气象站，50850）资料，气象站位于黑龙江省大庆市，地理坐标为东经124.9903°，北纬46.6208°，海拔高度152m。气象站始建于2005年，于2005年正式进行气象观测。大庆气象站距离本项目90km，是距本项目最近的气象站，拥有长期的气象观测资料，以下资料根据2005-2024年气象数据统计分析。</w:t>
      </w:r>
    </w:p>
    <w:p w14:paraId="49B3B7FD">
      <w:pPr>
        <w:widowControl w:val="0"/>
        <w:spacing w:line="440" w:lineRule="exact"/>
        <w:ind w:firstLine="474" w:firstLineChars="200"/>
        <w:jc w:val="both"/>
        <w:rPr>
          <w:rFonts w:ascii="Times New Roman" w:hAnsi="Times New Roman" w:cs="Times New Roman" w:eastAsiaTheme="minorEastAsia"/>
          <w:color w:val="auto"/>
          <w:w w:val="99"/>
          <w:highlight w:val="none"/>
          <w:lang w:val="zh-CN"/>
        </w:rPr>
      </w:pPr>
      <w:r>
        <w:rPr>
          <w:rFonts w:hint="eastAsia" w:ascii="Times New Roman" w:hAnsi="Times New Roman" w:cs="Times New Roman"/>
          <w:bCs/>
          <w:color w:val="auto"/>
          <w:w w:val="99"/>
          <w:highlight w:val="none"/>
        </w:rPr>
        <w:t>大庆气象站（50850）2005年至2024年气象统计数据见</w:t>
      </w:r>
      <w:r>
        <w:rPr>
          <w:rFonts w:ascii="Times New Roman" w:hAnsi="Times New Roman" w:cs="Times New Roman" w:eastAsiaTheme="minorEastAsia"/>
          <w:color w:val="auto"/>
          <w:w w:val="99"/>
          <w:highlight w:val="none"/>
          <w:lang w:val="zh-CN"/>
        </w:rPr>
        <w:t>表5</w:t>
      </w:r>
      <w:r>
        <w:rPr>
          <w:rFonts w:hint="eastAsia" w:ascii="Times New Roman" w:hAnsi="Times New Roman" w:cs="Times New Roman" w:eastAsiaTheme="minorEastAsia"/>
          <w:color w:val="auto"/>
          <w:w w:val="99"/>
          <w:highlight w:val="none"/>
        </w:rPr>
        <w:t>.1-1</w:t>
      </w:r>
      <w:r>
        <w:rPr>
          <w:rFonts w:ascii="Times New Roman" w:hAnsi="Times New Roman" w:cs="Times New Roman" w:eastAsiaTheme="minorEastAsia"/>
          <w:color w:val="auto"/>
          <w:w w:val="99"/>
          <w:highlight w:val="none"/>
          <w:lang w:val="zh-CN"/>
        </w:rPr>
        <w:t>。</w:t>
      </w:r>
    </w:p>
    <w:p w14:paraId="0EA65216">
      <w:pPr>
        <w:widowControl w:val="0"/>
        <w:spacing w:line="440" w:lineRule="exact"/>
        <w:ind w:firstLine="476" w:firstLineChars="200"/>
        <w:jc w:val="both"/>
        <w:rPr>
          <w:rFonts w:ascii="Times New Roman" w:hAnsi="Times New Roman" w:cs="Times New Roman"/>
          <w:b/>
          <w:color w:val="auto"/>
          <w:w w:val="99"/>
          <w:highlight w:val="none"/>
          <w:lang w:val="zh-CN"/>
        </w:rPr>
      </w:pPr>
      <w:r>
        <w:rPr>
          <w:rFonts w:ascii="Times New Roman" w:hAnsi="Times New Roman" w:cs="Times New Roman"/>
          <w:b/>
          <w:color w:val="auto"/>
          <w:w w:val="99"/>
          <w:highlight w:val="none"/>
          <w:lang w:val="zh-CN"/>
        </w:rPr>
        <w:t>表5.</w:t>
      </w:r>
      <w:r>
        <w:rPr>
          <w:rFonts w:hint="eastAsia" w:ascii="Times New Roman" w:hAnsi="Times New Roman" w:cs="Times New Roman"/>
          <w:b/>
          <w:color w:val="auto"/>
          <w:w w:val="99"/>
          <w:highlight w:val="none"/>
        </w:rPr>
        <w:t>1-1</w:t>
      </w:r>
      <w:r>
        <w:rPr>
          <w:rFonts w:ascii="Times New Roman" w:hAnsi="Times New Roman" w:cs="Times New Roman"/>
          <w:b/>
          <w:color w:val="auto"/>
          <w:w w:val="99"/>
          <w:highlight w:val="none"/>
          <w:lang w:val="zh-CN"/>
        </w:rPr>
        <w:t xml:space="preserve">      </w:t>
      </w:r>
      <w:r>
        <w:rPr>
          <w:rFonts w:hint="eastAsia" w:ascii="Times New Roman" w:hAnsi="Times New Roman" w:cs="Times New Roman"/>
          <w:b/>
          <w:color w:val="auto"/>
          <w:w w:val="99"/>
          <w:highlight w:val="none"/>
          <w:lang w:val="zh-CN"/>
        </w:rPr>
        <w:t>气象站常规气象项目统计表</w:t>
      </w:r>
    </w:p>
    <w:tbl>
      <w:tblPr>
        <w:tblStyle w:val="1662"/>
        <w:tblW w:w="5003" w:type="pct"/>
        <w:tblInd w:w="0" w:type="dxa"/>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Layout w:type="autofit"/>
        <w:tblCellMar>
          <w:top w:w="0" w:type="dxa"/>
          <w:left w:w="0" w:type="dxa"/>
          <w:bottom w:w="0" w:type="dxa"/>
          <w:right w:w="0" w:type="dxa"/>
        </w:tblCellMar>
      </w:tblPr>
      <w:tblGrid>
        <w:gridCol w:w="2025"/>
        <w:gridCol w:w="1847"/>
        <w:gridCol w:w="1525"/>
        <w:gridCol w:w="1942"/>
        <w:gridCol w:w="1747"/>
      </w:tblGrid>
      <w:tr w14:paraId="60E87A9D">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2130" w:type="pct"/>
            <w:gridSpan w:val="2"/>
            <w:vAlign w:val="center"/>
          </w:tcPr>
          <w:p w14:paraId="1DA7BC0F">
            <w:pPr>
              <w:widowControl/>
              <w:spacing w:line="30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统计项目</w:t>
            </w:r>
          </w:p>
        </w:tc>
        <w:tc>
          <w:tcPr>
            <w:tcW w:w="839" w:type="pct"/>
            <w:vAlign w:val="center"/>
          </w:tcPr>
          <w:p w14:paraId="46E6496A">
            <w:pPr>
              <w:widowControl/>
              <w:spacing w:line="30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统计值</w:t>
            </w:r>
          </w:p>
        </w:tc>
        <w:tc>
          <w:tcPr>
            <w:tcW w:w="1068" w:type="pct"/>
            <w:vAlign w:val="center"/>
          </w:tcPr>
          <w:p w14:paraId="0B9B49AB">
            <w:pPr>
              <w:widowControl/>
              <w:spacing w:line="30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极值出现时间</w:t>
            </w:r>
          </w:p>
        </w:tc>
        <w:tc>
          <w:tcPr>
            <w:tcW w:w="961" w:type="pct"/>
            <w:vAlign w:val="center"/>
          </w:tcPr>
          <w:p w14:paraId="5F65D6A6">
            <w:pPr>
              <w:widowControl/>
              <w:spacing w:line="30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极值</w:t>
            </w:r>
          </w:p>
        </w:tc>
      </w:tr>
      <w:tr w14:paraId="3022FB2C">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2130" w:type="pct"/>
            <w:gridSpan w:val="2"/>
            <w:vAlign w:val="center"/>
          </w:tcPr>
          <w:p w14:paraId="51B4D0D8">
            <w:pPr>
              <w:widowControl/>
              <w:spacing w:line="30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多年平均气温 （℃）</w:t>
            </w:r>
          </w:p>
        </w:tc>
        <w:tc>
          <w:tcPr>
            <w:tcW w:w="839" w:type="pct"/>
            <w:vAlign w:val="center"/>
          </w:tcPr>
          <w:p w14:paraId="20BCD952">
            <w:pPr>
              <w:widowControl/>
              <w:spacing w:line="300" w:lineRule="exact"/>
              <w:jc w:val="center"/>
              <w:rPr>
                <w:rFonts w:ascii="Times New Roman" w:hAnsi="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5.</w:t>
            </w:r>
            <w:r>
              <w:rPr>
                <w:rFonts w:ascii="Times New Roman" w:hAnsi="Times New Roman" w:cs="Times New Roman"/>
                <w:color w:val="auto"/>
                <w:w w:val="99"/>
                <w:sz w:val="21"/>
                <w:szCs w:val="21"/>
                <w:highlight w:val="none"/>
                <w:lang w:eastAsia="en-US"/>
              </w:rPr>
              <w:t>3</w:t>
            </w:r>
          </w:p>
        </w:tc>
        <w:tc>
          <w:tcPr>
            <w:tcW w:w="1068" w:type="pct"/>
            <w:vAlign w:val="center"/>
          </w:tcPr>
          <w:p w14:paraId="07E9D305">
            <w:pPr>
              <w:widowControl/>
              <w:spacing w:line="30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w:t>
            </w:r>
          </w:p>
        </w:tc>
        <w:tc>
          <w:tcPr>
            <w:tcW w:w="961" w:type="pct"/>
            <w:vAlign w:val="center"/>
          </w:tcPr>
          <w:p w14:paraId="30510B15">
            <w:pPr>
              <w:widowControl/>
              <w:spacing w:line="30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w:t>
            </w:r>
          </w:p>
        </w:tc>
      </w:tr>
      <w:tr w14:paraId="1C9E2A38">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2130" w:type="pct"/>
            <w:gridSpan w:val="2"/>
            <w:vAlign w:val="center"/>
          </w:tcPr>
          <w:p w14:paraId="490A98F5">
            <w:pPr>
              <w:widowControl/>
              <w:spacing w:line="30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累年极端最高气温 （℃）</w:t>
            </w:r>
          </w:p>
        </w:tc>
        <w:tc>
          <w:tcPr>
            <w:tcW w:w="839" w:type="pct"/>
            <w:vAlign w:val="center"/>
          </w:tcPr>
          <w:p w14:paraId="369ABDE8">
            <w:pPr>
              <w:widowControl/>
              <w:spacing w:line="30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35.3</w:t>
            </w:r>
          </w:p>
        </w:tc>
        <w:tc>
          <w:tcPr>
            <w:tcW w:w="1068" w:type="pct"/>
            <w:vAlign w:val="center"/>
          </w:tcPr>
          <w:p w14:paraId="69742B05">
            <w:pPr>
              <w:widowControl/>
              <w:spacing w:line="30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2018-06-02</w:t>
            </w:r>
          </w:p>
        </w:tc>
        <w:tc>
          <w:tcPr>
            <w:tcW w:w="961" w:type="pct"/>
            <w:vAlign w:val="center"/>
          </w:tcPr>
          <w:p w14:paraId="28A3526F">
            <w:pPr>
              <w:widowControl/>
              <w:spacing w:line="300" w:lineRule="exact"/>
              <w:jc w:val="center"/>
              <w:rPr>
                <w:rFonts w:ascii="Times New Roman" w:hAnsi="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38.</w:t>
            </w:r>
            <w:r>
              <w:rPr>
                <w:rFonts w:ascii="Times New Roman" w:hAnsi="Times New Roman" w:cs="Times New Roman"/>
                <w:color w:val="auto"/>
                <w:w w:val="99"/>
                <w:sz w:val="21"/>
                <w:szCs w:val="21"/>
                <w:highlight w:val="none"/>
                <w:lang w:eastAsia="en-US"/>
              </w:rPr>
              <w:t>8</w:t>
            </w:r>
          </w:p>
        </w:tc>
      </w:tr>
      <w:tr w14:paraId="74F645C8">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2130" w:type="pct"/>
            <w:gridSpan w:val="2"/>
            <w:vAlign w:val="center"/>
          </w:tcPr>
          <w:p w14:paraId="7AC65B2A">
            <w:pPr>
              <w:widowControl/>
              <w:spacing w:line="30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累年极端最低气温 （℃）</w:t>
            </w:r>
          </w:p>
        </w:tc>
        <w:tc>
          <w:tcPr>
            <w:tcW w:w="839" w:type="pct"/>
            <w:vAlign w:val="center"/>
          </w:tcPr>
          <w:p w14:paraId="26A45CA3">
            <w:pPr>
              <w:widowControl/>
              <w:spacing w:line="300" w:lineRule="exact"/>
              <w:jc w:val="center"/>
              <w:rPr>
                <w:rFonts w:ascii="Times New Roman" w:hAnsi="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-2</w:t>
            </w:r>
            <w:r>
              <w:rPr>
                <w:rFonts w:ascii="Times New Roman" w:hAnsi="Times New Roman" w:cs="Times New Roman"/>
                <w:color w:val="auto"/>
                <w:w w:val="99"/>
                <w:sz w:val="21"/>
                <w:szCs w:val="21"/>
                <w:highlight w:val="none"/>
                <w:lang w:eastAsia="en-US"/>
              </w:rPr>
              <w:t>8.1</w:t>
            </w:r>
          </w:p>
        </w:tc>
        <w:tc>
          <w:tcPr>
            <w:tcW w:w="1068" w:type="pct"/>
            <w:vAlign w:val="center"/>
          </w:tcPr>
          <w:p w14:paraId="0A828ECB">
            <w:pPr>
              <w:widowControl/>
              <w:spacing w:line="30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2013-01-01</w:t>
            </w:r>
          </w:p>
        </w:tc>
        <w:tc>
          <w:tcPr>
            <w:tcW w:w="961" w:type="pct"/>
            <w:vAlign w:val="center"/>
          </w:tcPr>
          <w:p w14:paraId="4DACB05A">
            <w:pPr>
              <w:widowControl/>
              <w:spacing w:line="300" w:lineRule="exact"/>
              <w:jc w:val="center"/>
              <w:rPr>
                <w:rFonts w:ascii="Times New Roman" w:hAnsi="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-3</w:t>
            </w:r>
            <w:r>
              <w:rPr>
                <w:rFonts w:ascii="Times New Roman" w:hAnsi="Times New Roman" w:cs="Times New Roman"/>
                <w:color w:val="auto"/>
                <w:w w:val="99"/>
                <w:sz w:val="21"/>
                <w:szCs w:val="21"/>
                <w:highlight w:val="none"/>
                <w:lang w:eastAsia="en-US"/>
              </w:rPr>
              <w:t>1.9</w:t>
            </w:r>
          </w:p>
        </w:tc>
      </w:tr>
      <w:tr w14:paraId="674D0096">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262" w:hRule="atLeast"/>
        </w:trPr>
        <w:tc>
          <w:tcPr>
            <w:tcW w:w="2130" w:type="pct"/>
            <w:gridSpan w:val="2"/>
            <w:vAlign w:val="center"/>
          </w:tcPr>
          <w:p w14:paraId="26E008BD">
            <w:pPr>
              <w:widowControl/>
              <w:spacing w:line="30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多年平均气压 （</w:t>
            </w:r>
            <w:r>
              <w:rPr>
                <w:rFonts w:ascii="Times New Roman" w:hAnsi="Times New Roman" w:eastAsia="Times New Roman" w:cs="Times New Roman"/>
                <w:color w:val="auto"/>
                <w:w w:val="99"/>
                <w:sz w:val="21"/>
                <w:szCs w:val="21"/>
                <w:highlight w:val="none"/>
                <w:lang w:eastAsia="en-US"/>
              </w:rPr>
              <w:t>hpa</w:t>
            </w:r>
            <w:r>
              <w:rPr>
                <w:rFonts w:ascii="Times New Roman" w:hAnsi="Times New Roman" w:cs="Times New Roman"/>
                <w:color w:val="auto"/>
                <w:w w:val="99"/>
                <w:sz w:val="21"/>
                <w:szCs w:val="21"/>
                <w:highlight w:val="none"/>
                <w:lang w:eastAsia="en-US"/>
              </w:rPr>
              <w:t>）</w:t>
            </w:r>
          </w:p>
        </w:tc>
        <w:tc>
          <w:tcPr>
            <w:tcW w:w="839" w:type="pct"/>
            <w:vAlign w:val="center"/>
          </w:tcPr>
          <w:p w14:paraId="7BBBF088">
            <w:pPr>
              <w:widowControl/>
              <w:spacing w:line="300" w:lineRule="exact"/>
              <w:jc w:val="center"/>
              <w:rPr>
                <w:rFonts w:ascii="Times New Roman" w:hAnsi="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99</w:t>
            </w:r>
            <w:r>
              <w:rPr>
                <w:rFonts w:ascii="Times New Roman" w:hAnsi="Times New Roman" w:cs="Times New Roman"/>
                <w:color w:val="auto"/>
                <w:w w:val="99"/>
                <w:sz w:val="21"/>
                <w:szCs w:val="21"/>
                <w:highlight w:val="none"/>
                <w:lang w:eastAsia="en-US"/>
              </w:rPr>
              <w:t>5.9</w:t>
            </w:r>
          </w:p>
        </w:tc>
        <w:tc>
          <w:tcPr>
            <w:tcW w:w="1068" w:type="pct"/>
            <w:vAlign w:val="center"/>
          </w:tcPr>
          <w:p w14:paraId="7407823F">
            <w:pPr>
              <w:widowControl/>
              <w:spacing w:line="30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w:t>
            </w:r>
          </w:p>
        </w:tc>
        <w:tc>
          <w:tcPr>
            <w:tcW w:w="961" w:type="pct"/>
            <w:vAlign w:val="center"/>
          </w:tcPr>
          <w:p w14:paraId="5F1C9A01">
            <w:pPr>
              <w:widowControl/>
              <w:spacing w:line="30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w:t>
            </w:r>
          </w:p>
        </w:tc>
      </w:tr>
      <w:tr w14:paraId="21808D30">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223" w:hRule="atLeast"/>
        </w:trPr>
        <w:tc>
          <w:tcPr>
            <w:tcW w:w="2130" w:type="pct"/>
            <w:gridSpan w:val="2"/>
            <w:vAlign w:val="center"/>
          </w:tcPr>
          <w:p w14:paraId="101C6DBC">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多年平均相对湿度 （</w:t>
            </w:r>
            <w:r>
              <w:rPr>
                <w:rFonts w:ascii="Times New Roman" w:hAnsi="Times New Roman" w:eastAsia="Times New Roman" w:cs="Times New Roman"/>
                <w:color w:val="auto"/>
                <w:w w:val="99"/>
                <w:sz w:val="21"/>
                <w:szCs w:val="21"/>
                <w:highlight w:val="none"/>
                <w:lang w:eastAsia="en-US"/>
              </w:rPr>
              <w:t>%</w:t>
            </w:r>
            <w:r>
              <w:rPr>
                <w:rFonts w:ascii="Times New Roman" w:hAnsi="Times New Roman" w:cs="Times New Roman"/>
                <w:color w:val="auto"/>
                <w:w w:val="99"/>
                <w:sz w:val="21"/>
                <w:szCs w:val="21"/>
                <w:highlight w:val="none"/>
                <w:lang w:eastAsia="en-US"/>
              </w:rPr>
              <w:t>）</w:t>
            </w:r>
          </w:p>
        </w:tc>
        <w:tc>
          <w:tcPr>
            <w:tcW w:w="839" w:type="pct"/>
            <w:vAlign w:val="center"/>
          </w:tcPr>
          <w:p w14:paraId="2DAA86B6">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60.</w:t>
            </w:r>
            <w:r>
              <w:rPr>
                <w:rFonts w:ascii="Times New Roman" w:hAnsi="Times New Roman" w:cs="Times New Roman"/>
                <w:color w:val="auto"/>
                <w:w w:val="99"/>
                <w:sz w:val="21"/>
                <w:szCs w:val="21"/>
                <w:highlight w:val="none"/>
                <w:lang w:eastAsia="en-US"/>
              </w:rPr>
              <w:t>8</w:t>
            </w:r>
          </w:p>
        </w:tc>
        <w:tc>
          <w:tcPr>
            <w:tcW w:w="1068" w:type="pct"/>
            <w:vAlign w:val="center"/>
          </w:tcPr>
          <w:p w14:paraId="01FEBD8D">
            <w:pPr>
              <w:widowControl/>
              <w:spacing w:line="32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w:t>
            </w:r>
          </w:p>
        </w:tc>
        <w:tc>
          <w:tcPr>
            <w:tcW w:w="961" w:type="pct"/>
            <w:vAlign w:val="center"/>
          </w:tcPr>
          <w:p w14:paraId="24BA7E00">
            <w:pPr>
              <w:widowControl/>
              <w:spacing w:line="32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w:t>
            </w:r>
          </w:p>
        </w:tc>
      </w:tr>
      <w:tr w14:paraId="195F05A1">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312" w:hRule="atLeast"/>
        </w:trPr>
        <w:tc>
          <w:tcPr>
            <w:tcW w:w="2130" w:type="pct"/>
            <w:gridSpan w:val="2"/>
            <w:vAlign w:val="center"/>
          </w:tcPr>
          <w:p w14:paraId="5BB523FB">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多年平均降雨量 （</w:t>
            </w:r>
            <w:r>
              <w:rPr>
                <w:rFonts w:ascii="Times New Roman" w:hAnsi="Times New Roman" w:eastAsia="Times New Roman" w:cs="Times New Roman"/>
                <w:color w:val="auto"/>
                <w:w w:val="99"/>
                <w:sz w:val="21"/>
                <w:szCs w:val="21"/>
                <w:highlight w:val="none"/>
                <w:lang w:eastAsia="en-US"/>
              </w:rPr>
              <w:t xml:space="preserve">mm </w:t>
            </w:r>
            <w:r>
              <w:rPr>
                <w:rFonts w:ascii="Times New Roman" w:hAnsi="Times New Roman" w:cs="Times New Roman"/>
                <w:color w:val="auto"/>
                <w:w w:val="99"/>
                <w:sz w:val="21"/>
                <w:szCs w:val="21"/>
                <w:highlight w:val="none"/>
                <w:lang w:eastAsia="en-US"/>
              </w:rPr>
              <w:t>）</w:t>
            </w:r>
          </w:p>
        </w:tc>
        <w:tc>
          <w:tcPr>
            <w:tcW w:w="839" w:type="pct"/>
            <w:vAlign w:val="center"/>
          </w:tcPr>
          <w:p w14:paraId="4F324134">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5</w:t>
            </w:r>
            <w:r>
              <w:rPr>
                <w:rFonts w:ascii="Times New Roman" w:hAnsi="Times New Roman" w:cs="Times New Roman"/>
                <w:color w:val="auto"/>
                <w:w w:val="99"/>
                <w:sz w:val="21"/>
                <w:szCs w:val="21"/>
                <w:highlight w:val="none"/>
                <w:lang w:eastAsia="en-US"/>
              </w:rPr>
              <w:t>01.4</w:t>
            </w:r>
          </w:p>
        </w:tc>
        <w:tc>
          <w:tcPr>
            <w:tcW w:w="1068" w:type="pct"/>
            <w:vAlign w:val="center"/>
          </w:tcPr>
          <w:p w14:paraId="55FC4CBE">
            <w:pPr>
              <w:widowControl/>
              <w:spacing w:line="32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w:t>
            </w:r>
          </w:p>
        </w:tc>
        <w:tc>
          <w:tcPr>
            <w:tcW w:w="961" w:type="pct"/>
            <w:vAlign w:val="center"/>
          </w:tcPr>
          <w:p w14:paraId="4B190198">
            <w:pPr>
              <w:widowControl/>
              <w:spacing w:line="32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w:t>
            </w:r>
          </w:p>
        </w:tc>
      </w:tr>
      <w:tr w14:paraId="06F76660">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260" w:hRule="atLeast"/>
        </w:trPr>
        <w:tc>
          <w:tcPr>
            <w:tcW w:w="2130" w:type="pct"/>
            <w:gridSpan w:val="2"/>
            <w:vAlign w:val="center"/>
          </w:tcPr>
          <w:p w14:paraId="6D67AA0F">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日照时长 （</w:t>
            </w:r>
            <w:r>
              <w:rPr>
                <w:rFonts w:ascii="Times New Roman" w:hAnsi="Times New Roman" w:eastAsia="Times New Roman" w:cs="Times New Roman"/>
                <w:color w:val="auto"/>
                <w:w w:val="99"/>
                <w:sz w:val="21"/>
                <w:szCs w:val="21"/>
                <w:highlight w:val="none"/>
                <w:lang w:eastAsia="en-US"/>
              </w:rPr>
              <w:t>h</w:t>
            </w:r>
            <w:r>
              <w:rPr>
                <w:rFonts w:ascii="Times New Roman" w:hAnsi="Times New Roman" w:cs="Times New Roman"/>
                <w:color w:val="auto"/>
                <w:w w:val="99"/>
                <w:sz w:val="21"/>
                <w:szCs w:val="21"/>
                <w:highlight w:val="none"/>
                <w:lang w:eastAsia="en-US"/>
              </w:rPr>
              <w:t>）</w:t>
            </w:r>
          </w:p>
        </w:tc>
        <w:tc>
          <w:tcPr>
            <w:tcW w:w="839" w:type="pct"/>
            <w:vAlign w:val="center"/>
          </w:tcPr>
          <w:p w14:paraId="3CF3E09C">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2515.2</w:t>
            </w:r>
          </w:p>
        </w:tc>
        <w:tc>
          <w:tcPr>
            <w:tcW w:w="1068" w:type="pct"/>
            <w:vAlign w:val="center"/>
          </w:tcPr>
          <w:p w14:paraId="72FC8E85">
            <w:pPr>
              <w:widowControl/>
              <w:spacing w:line="32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w:t>
            </w:r>
          </w:p>
        </w:tc>
        <w:tc>
          <w:tcPr>
            <w:tcW w:w="961" w:type="pct"/>
            <w:vAlign w:val="center"/>
          </w:tcPr>
          <w:p w14:paraId="5DF479F4">
            <w:pPr>
              <w:widowControl/>
              <w:spacing w:line="32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w:t>
            </w:r>
          </w:p>
        </w:tc>
      </w:tr>
      <w:tr w14:paraId="1FD7B945">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208" w:hRule="atLeast"/>
        </w:trPr>
        <w:tc>
          <w:tcPr>
            <w:tcW w:w="2130" w:type="pct"/>
            <w:gridSpan w:val="2"/>
            <w:vAlign w:val="center"/>
          </w:tcPr>
          <w:p w14:paraId="5C1F3775">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平均风速 （</w:t>
            </w:r>
            <w:r>
              <w:rPr>
                <w:rFonts w:ascii="Times New Roman" w:hAnsi="Times New Roman" w:eastAsia="Times New Roman" w:cs="Times New Roman"/>
                <w:color w:val="auto"/>
                <w:w w:val="99"/>
                <w:sz w:val="21"/>
                <w:szCs w:val="21"/>
                <w:highlight w:val="none"/>
                <w:lang w:eastAsia="en-US"/>
              </w:rPr>
              <w:t xml:space="preserve">m/s </w:t>
            </w:r>
            <w:r>
              <w:rPr>
                <w:rFonts w:ascii="Times New Roman" w:hAnsi="Times New Roman" w:cs="Times New Roman"/>
                <w:color w:val="auto"/>
                <w:w w:val="99"/>
                <w:sz w:val="21"/>
                <w:szCs w:val="21"/>
                <w:highlight w:val="none"/>
                <w:lang w:eastAsia="en-US"/>
              </w:rPr>
              <w:t>）</w:t>
            </w:r>
          </w:p>
        </w:tc>
        <w:tc>
          <w:tcPr>
            <w:tcW w:w="839" w:type="pct"/>
            <w:vAlign w:val="center"/>
          </w:tcPr>
          <w:p w14:paraId="349F6164">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2.3</w:t>
            </w:r>
          </w:p>
        </w:tc>
        <w:tc>
          <w:tcPr>
            <w:tcW w:w="1068" w:type="pct"/>
            <w:vAlign w:val="center"/>
          </w:tcPr>
          <w:p w14:paraId="616803A8">
            <w:pPr>
              <w:widowControl/>
              <w:spacing w:line="32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w:t>
            </w:r>
          </w:p>
        </w:tc>
        <w:tc>
          <w:tcPr>
            <w:tcW w:w="961" w:type="pct"/>
            <w:vAlign w:val="center"/>
          </w:tcPr>
          <w:p w14:paraId="6E612510">
            <w:pPr>
              <w:widowControl/>
              <w:spacing w:line="32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w:t>
            </w:r>
          </w:p>
        </w:tc>
      </w:tr>
      <w:tr w14:paraId="4978E097">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156" w:hRule="atLeast"/>
        </w:trPr>
        <w:tc>
          <w:tcPr>
            <w:tcW w:w="2130" w:type="pct"/>
            <w:gridSpan w:val="2"/>
            <w:vAlign w:val="center"/>
          </w:tcPr>
          <w:p w14:paraId="31EB599E">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静风频率 （</w:t>
            </w:r>
            <w:r>
              <w:rPr>
                <w:rFonts w:ascii="Times New Roman" w:hAnsi="Times New Roman" w:eastAsia="Times New Roman" w:cs="Times New Roman"/>
                <w:color w:val="auto"/>
                <w:w w:val="99"/>
                <w:sz w:val="21"/>
                <w:szCs w:val="21"/>
                <w:highlight w:val="none"/>
                <w:lang w:eastAsia="en-US"/>
              </w:rPr>
              <w:t>%</w:t>
            </w:r>
            <w:r>
              <w:rPr>
                <w:rFonts w:ascii="Times New Roman" w:hAnsi="Times New Roman" w:cs="Times New Roman"/>
                <w:color w:val="auto"/>
                <w:w w:val="99"/>
                <w:sz w:val="21"/>
                <w:szCs w:val="21"/>
                <w:highlight w:val="none"/>
                <w:lang w:eastAsia="en-US"/>
              </w:rPr>
              <w:t>）</w:t>
            </w:r>
          </w:p>
        </w:tc>
        <w:tc>
          <w:tcPr>
            <w:tcW w:w="839" w:type="pct"/>
            <w:vAlign w:val="center"/>
          </w:tcPr>
          <w:p w14:paraId="2CD9DC2A">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5.2</w:t>
            </w:r>
          </w:p>
        </w:tc>
        <w:tc>
          <w:tcPr>
            <w:tcW w:w="1068" w:type="pct"/>
            <w:vAlign w:val="center"/>
          </w:tcPr>
          <w:p w14:paraId="3CE001F6">
            <w:pPr>
              <w:widowControl/>
              <w:spacing w:line="32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w:t>
            </w:r>
          </w:p>
        </w:tc>
        <w:tc>
          <w:tcPr>
            <w:tcW w:w="961" w:type="pct"/>
            <w:vAlign w:val="center"/>
          </w:tcPr>
          <w:p w14:paraId="78B817E0">
            <w:pPr>
              <w:widowControl/>
              <w:spacing w:line="32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w:t>
            </w:r>
          </w:p>
        </w:tc>
      </w:tr>
      <w:tr w14:paraId="575AB05C">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2130" w:type="pct"/>
            <w:gridSpan w:val="2"/>
            <w:vAlign w:val="center"/>
          </w:tcPr>
          <w:p w14:paraId="3D4CD034">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极大风速 （</w:t>
            </w:r>
            <w:r>
              <w:rPr>
                <w:rFonts w:ascii="Times New Roman" w:hAnsi="Times New Roman" w:eastAsia="Times New Roman" w:cs="Times New Roman"/>
                <w:color w:val="auto"/>
                <w:w w:val="99"/>
                <w:sz w:val="21"/>
                <w:szCs w:val="21"/>
                <w:highlight w:val="none"/>
                <w:lang w:eastAsia="en-US"/>
              </w:rPr>
              <w:t xml:space="preserve">m/s </w:t>
            </w:r>
            <w:r>
              <w:rPr>
                <w:rFonts w:ascii="Times New Roman" w:hAnsi="Times New Roman" w:cs="Times New Roman"/>
                <w:color w:val="auto"/>
                <w:w w:val="99"/>
                <w:sz w:val="21"/>
                <w:szCs w:val="21"/>
                <w:highlight w:val="none"/>
                <w:lang w:eastAsia="en-US"/>
              </w:rPr>
              <w:t>）、相应风向</w:t>
            </w:r>
          </w:p>
        </w:tc>
        <w:tc>
          <w:tcPr>
            <w:tcW w:w="839" w:type="pct"/>
            <w:vAlign w:val="center"/>
          </w:tcPr>
          <w:p w14:paraId="46DC4271">
            <w:pPr>
              <w:widowControl/>
              <w:spacing w:line="32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 xml:space="preserve">26.2 </w:t>
            </w:r>
            <w:r>
              <w:rPr>
                <w:rFonts w:ascii="Times New Roman" w:hAnsi="Times New Roman" w:cs="Times New Roman"/>
                <w:color w:val="auto"/>
                <w:w w:val="99"/>
                <w:sz w:val="21"/>
                <w:szCs w:val="21"/>
                <w:highlight w:val="none"/>
                <w:lang w:eastAsia="en-US"/>
              </w:rPr>
              <w:t>、</w:t>
            </w:r>
            <w:r>
              <w:rPr>
                <w:rFonts w:ascii="Times New Roman" w:hAnsi="Times New Roman" w:eastAsia="Times New Roman" w:cs="Times New Roman"/>
                <w:color w:val="auto"/>
                <w:w w:val="99"/>
                <w:sz w:val="21"/>
                <w:szCs w:val="21"/>
                <w:highlight w:val="none"/>
                <w:lang w:eastAsia="en-US"/>
              </w:rPr>
              <w:t>NW</w:t>
            </w:r>
          </w:p>
        </w:tc>
        <w:tc>
          <w:tcPr>
            <w:tcW w:w="1068" w:type="pct"/>
            <w:vAlign w:val="center"/>
          </w:tcPr>
          <w:p w14:paraId="0AEDC3F1">
            <w:pPr>
              <w:widowControl/>
              <w:spacing w:line="32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2019-07-28</w:t>
            </w:r>
          </w:p>
        </w:tc>
        <w:tc>
          <w:tcPr>
            <w:tcW w:w="961" w:type="pct"/>
            <w:vAlign w:val="center"/>
          </w:tcPr>
          <w:p w14:paraId="5E82B4B0">
            <w:pPr>
              <w:widowControl/>
              <w:spacing w:line="32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w:t>
            </w:r>
          </w:p>
        </w:tc>
      </w:tr>
      <w:tr w14:paraId="1C5B46FD">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195" w:hRule="atLeast"/>
        </w:trPr>
        <w:tc>
          <w:tcPr>
            <w:tcW w:w="1114" w:type="pct"/>
            <w:vMerge w:val="restart"/>
            <w:vAlign w:val="center"/>
          </w:tcPr>
          <w:p w14:paraId="4D2C8CE4">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灾害天气统计</w:t>
            </w:r>
          </w:p>
        </w:tc>
        <w:tc>
          <w:tcPr>
            <w:tcW w:w="1016" w:type="pct"/>
            <w:vAlign w:val="center"/>
          </w:tcPr>
          <w:p w14:paraId="4125EE01">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多年平均雷暴日数</w:t>
            </w:r>
          </w:p>
        </w:tc>
        <w:tc>
          <w:tcPr>
            <w:tcW w:w="839" w:type="pct"/>
            <w:vAlign w:val="center"/>
          </w:tcPr>
          <w:p w14:paraId="67287AC5">
            <w:pPr>
              <w:widowControl/>
              <w:spacing w:line="32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20</w:t>
            </w:r>
            <w:r>
              <w:rPr>
                <w:rFonts w:ascii="Times New Roman" w:hAnsi="Times New Roman" w:cs="Times New Roman" w:eastAsiaTheme="minorEastAsia"/>
                <w:color w:val="auto"/>
                <w:w w:val="99"/>
                <w:sz w:val="21"/>
                <w:szCs w:val="21"/>
                <w:highlight w:val="none"/>
                <w:lang w:eastAsia="en-US"/>
              </w:rPr>
              <w:t>.</w:t>
            </w:r>
            <w:r>
              <w:rPr>
                <w:rFonts w:ascii="Times New Roman" w:hAnsi="Times New Roman" w:eastAsia="Times New Roman" w:cs="Times New Roman"/>
                <w:color w:val="auto"/>
                <w:w w:val="99"/>
                <w:sz w:val="21"/>
                <w:szCs w:val="21"/>
                <w:highlight w:val="none"/>
                <w:lang w:eastAsia="en-US"/>
              </w:rPr>
              <w:t>8</w:t>
            </w:r>
          </w:p>
        </w:tc>
        <w:tc>
          <w:tcPr>
            <w:tcW w:w="1068" w:type="pct"/>
            <w:vAlign w:val="center"/>
          </w:tcPr>
          <w:p w14:paraId="16FAD2AD">
            <w:pPr>
              <w:widowControl/>
              <w:spacing w:line="32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w:t>
            </w:r>
          </w:p>
        </w:tc>
        <w:tc>
          <w:tcPr>
            <w:tcW w:w="961" w:type="pct"/>
            <w:vAlign w:val="center"/>
          </w:tcPr>
          <w:p w14:paraId="2F70FB09">
            <w:pPr>
              <w:widowControl/>
              <w:spacing w:line="32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w:t>
            </w:r>
          </w:p>
        </w:tc>
      </w:tr>
      <w:tr w14:paraId="70F6F544">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1114" w:type="pct"/>
            <w:vMerge w:val="continue"/>
            <w:vAlign w:val="center"/>
          </w:tcPr>
          <w:p w14:paraId="74BF0CA8">
            <w:pPr>
              <w:widowControl/>
              <w:spacing w:line="320" w:lineRule="exact"/>
              <w:jc w:val="center"/>
              <w:rPr>
                <w:rFonts w:ascii="Times New Roman" w:hAnsi="Times New Roman" w:cs="Times New Roman"/>
                <w:color w:val="auto"/>
                <w:w w:val="99"/>
                <w:sz w:val="21"/>
                <w:szCs w:val="21"/>
                <w:highlight w:val="none"/>
                <w:lang w:eastAsia="en-US"/>
              </w:rPr>
            </w:pPr>
          </w:p>
        </w:tc>
        <w:tc>
          <w:tcPr>
            <w:tcW w:w="1016" w:type="pct"/>
            <w:vAlign w:val="center"/>
          </w:tcPr>
          <w:p w14:paraId="60558470">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多年平均大风日数</w:t>
            </w:r>
          </w:p>
        </w:tc>
        <w:tc>
          <w:tcPr>
            <w:tcW w:w="839" w:type="pct"/>
            <w:vAlign w:val="center"/>
          </w:tcPr>
          <w:p w14:paraId="4BC69CD2">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3.</w:t>
            </w:r>
            <w:r>
              <w:rPr>
                <w:rFonts w:ascii="Times New Roman" w:hAnsi="Times New Roman" w:cs="Times New Roman"/>
                <w:color w:val="auto"/>
                <w:w w:val="99"/>
                <w:sz w:val="21"/>
                <w:szCs w:val="21"/>
                <w:highlight w:val="none"/>
                <w:lang w:eastAsia="en-US"/>
              </w:rPr>
              <w:t>5</w:t>
            </w:r>
          </w:p>
        </w:tc>
        <w:tc>
          <w:tcPr>
            <w:tcW w:w="1068" w:type="pct"/>
            <w:vAlign w:val="center"/>
          </w:tcPr>
          <w:p w14:paraId="1D7AFFDB">
            <w:pPr>
              <w:widowControl/>
              <w:spacing w:line="32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w:t>
            </w:r>
          </w:p>
        </w:tc>
        <w:tc>
          <w:tcPr>
            <w:tcW w:w="961" w:type="pct"/>
            <w:vAlign w:val="center"/>
          </w:tcPr>
          <w:p w14:paraId="12B626B0">
            <w:pPr>
              <w:widowControl/>
              <w:spacing w:line="32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w:t>
            </w:r>
          </w:p>
        </w:tc>
      </w:tr>
      <w:tr w14:paraId="4E42EBE6">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1114" w:type="pct"/>
            <w:vMerge w:val="continue"/>
            <w:vAlign w:val="center"/>
          </w:tcPr>
          <w:p w14:paraId="4D2C2EE8">
            <w:pPr>
              <w:widowControl/>
              <w:spacing w:line="320" w:lineRule="exact"/>
              <w:jc w:val="center"/>
              <w:rPr>
                <w:rFonts w:ascii="Times New Roman" w:hAnsi="Times New Roman" w:cs="Times New Roman"/>
                <w:color w:val="auto"/>
                <w:w w:val="99"/>
                <w:sz w:val="21"/>
                <w:szCs w:val="21"/>
                <w:highlight w:val="none"/>
                <w:lang w:eastAsia="en-US"/>
              </w:rPr>
            </w:pPr>
          </w:p>
        </w:tc>
        <w:tc>
          <w:tcPr>
            <w:tcW w:w="1016" w:type="pct"/>
            <w:vAlign w:val="center"/>
          </w:tcPr>
          <w:p w14:paraId="33106834">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多年平均冰雹日数</w:t>
            </w:r>
          </w:p>
        </w:tc>
        <w:tc>
          <w:tcPr>
            <w:tcW w:w="839" w:type="pct"/>
            <w:vAlign w:val="center"/>
          </w:tcPr>
          <w:p w14:paraId="177A5847">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0.</w:t>
            </w:r>
            <w:r>
              <w:rPr>
                <w:rFonts w:ascii="Times New Roman" w:hAnsi="Times New Roman" w:cs="Times New Roman"/>
                <w:color w:val="auto"/>
                <w:w w:val="99"/>
                <w:sz w:val="21"/>
                <w:szCs w:val="21"/>
                <w:highlight w:val="none"/>
                <w:lang w:eastAsia="en-US"/>
              </w:rPr>
              <w:t>6</w:t>
            </w:r>
          </w:p>
        </w:tc>
        <w:tc>
          <w:tcPr>
            <w:tcW w:w="1068" w:type="pct"/>
            <w:vAlign w:val="center"/>
          </w:tcPr>
          <w:p w14:paraId="4B9956E9">
            <w:pPr>
              <w:widowControl/>
              <w:spacing w:line="320" w:lineRule="exact"/>
              <w:jc w:val="center"/>
              <w:rPr>
                <w:rFonts w:ascii="Times New Roman" w:hAnsi="Times New Roman" w:eastAsia="Times New Roman" w:cs="Times New Roman"/>
                <w:color w:val="auto"/>
                <w:w w:val="99"/>
                <w:sz w:val="21"/>
                <w:szCs w:val="21"/>
                <w:highlight w:val="none"/>
                <w:lang w:eastAsia="en-US"/>
              </w:rPr>
            </w:pPr>
            <w:r>
              <w:rPr>
                <w:rFonts w:ascii="Times New Roman" w:hAnsi="Times New Roman" w:eastAsia="Times New Roman" w:cs="Times New Roman"/>
                <w:color w:val="auto"/>
                <w:w w:val="99"/>
                <w:sz w:val="21"/>
                <w:szCs w:val="21"/>
                <w:highlight w:val="none"/>
                <w:lang w:eastAsia="en-US"/>
              </w:rPr>
              <w:t>/</w:t>
            </w:r>
          </w:p>
        </w:tc>
        <w:tc>
          <w:tcPr>
            <w:tcW w:w="961" w:type="pct"/>
            <w:vAlign w:val="center"/>
          </w:tcPr>
          <w:p w14:paraId="54A80E8C">
            <w:pPr>
              <w:widowControl/>
              <w:spacing w:line="320" w:lineRule="exact"/>
              <w:jc w:val="center"/>
              <w:rPr>
                <w:rFonts w:ascii="Times New Roman" w:hAnsi="Times New Roman" w:cs="Times New Roman"/>
                <w:color w:val="auto"/>
                <w:w w:val="99"/>
                <w:sz w:val="21"/>
                <w:szCs w:val="21"/>
                <w:highlight w:val="none"/>
                <w:lang w:eastAsia="en-US"/>
              </w:rPr>
            </w:pPr>
          </w:p>
        </w:tc>
      </w:tr>
    </w:tbl>
    <w:p w14:paraId="7860A4A0">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w:t>
      </w:r>
      <w:r>
        <w:rPr>
          <w:rFonts w:ascii="Times New Roman" w:hAnsi="Times New Roman" w:cs="Times New Roman"/>
          <w:color w:val="auto"/>
          <w:w w:val="99"/>
          <w:highlight w:val="none"/>
        </w:rPr>
        <w:t>2</w:t>
      </w:r>
      <w:r>
        <w:rPr>
          <w:rFonts w:ascii="Times New Roman" w:hAnsi="Times New Roman" w:cs="Times New Roman"/>
          <w:color w:val="auto"/>
          <w:w w:val="99"/>
          <w:highlight w:val="none"/>
          <w:lang w:val="zh-CN"/>
        </w:rPr>
        <w:t>）气象站风观测数据统计</w:t>
      </w:r>
    </w:p>
    <w:p w14:paraId="2E9898AB">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①月平均风速</w:t>
      </w:r>
    </w:p>
    <w:p w14:paraId="2F25AC6B">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大庆气象站月平均风速见表5.1-2，04月平均风速最大（2.8m/s），8月风最小（1.8m/s）。</w:t>
      </w:r>
    </w:p>
    <w:p w14:paraId="5354459C">
      <w:pPr>
        <w:pStyle w:val="153"/>
        <w:widowControl w:val="0"/>
        <w:spacing w:line="440" w:lineRule="exact"/>
        <w:ind w:firstLine="474"/>
        <w:jc w:val="both"/>
        <w:rPr>
          <w:rFonts w:ascii="Times New Roman" w:hAnsi="Times New Roman"/>
          <w:b/>
          <w:color w:val="auto"/>
          <w:w w:val="99"/>
          <w:highlight w:val="none"/>
        </w:rPr>
      </w:pPr>
      <w:r>
        <w:rPr>
          <w:rFonts w:ascii="Times New Roman" w:hAnsi="Times New Roman"/>
          <w:b/>
          <w:color w:val="auto"/>
          <w:w w:val="99"/>
          <w:highlight w:val="none"/>
        </w:rPr>
        <w:t>表5.1-2    气象站</w:t>
      </w:r>
      <w:r>
        <w:rPr>
          <w:rFonts w:ascii="Times New Roman" w:hAnsi="Times New Roman"/>
          <w:b/>
          <w:color w:val="auto"/>
          <w:w w:val="99"/>
          <w:kern w:val="2"/>
          <w:szCs w:val="20"/>
          <w:highlight w:val="none"/>
        </w:rPr>
        <w:t>月平均</w:t>
      </w:r>
      <w:r>
        <w:rPr>
          <w:rFonts w:ascii="Times New Roman" w:hAnsi="Times New Roman"/>
          <w:b/>
          <w:color w:val="auto"/>
          <w:w w:val="99"/>
          <w:highlight w:val="none"/>
        </w:rPr>
        <w:t>风速统计（单位：m/s）</w:t>
      </w:r>
    </w:p>
    <w:tbl>
      <w:tblPr>
        <w:tblStyle w:val="1662"/>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872"/>
        <w:gridCol w:w="599"/>
        <w:gridCol w:w="599"/>
        <w:gridCol w:w="599"/>
        <w:gridCol w:w="599"/>
        <w:gridCol w:w="599"/>
        <w:gridCol w:w="599"/>
        <w:gridCol w:w="599"/>
        <w:gridCol w:w="599"/>
        <w:gridCol w:w="599"/>
        <w:gridCol w:w="599"/>
        <w:gridCol w:w="599"/>
        <w:gridCol w:w="632"/>
      </w:tblGrid>
      <w:tr w14:paraId="3D1F08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028" w:type="pct"/>
            <w:tcBorders>
              <w:left w:val="single" w:color="000000" w:sz="10" w:space="0"/>
              <w:right w:val="single" w:color="000000" w:sz="4" w:space="0"/>
            </w:tcBorders>
            <w:vAlign w:val="center"/>
          </w:tcPr>
          <w:p w14:paraId="62FF491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月份</w:t>
            </w:r>
          </w:p>
        </w:tc>
        <w:tc>
          <w:tcPr>
            <w:tcW w:w="329" w:type="pct"/>
            <w:tcBorders>
              <w:left w:val="single" w:color="000000" w:sz="4" w:space="0"/>
              <w:right w:val="single" w:color="000000" w:sz="4" w:space="0"/>
            </w:tcBorders>
            <w:vAlign w:val="center"/>
          </w:tcPr>
          <w:p w14:paraId="76A4B666">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w:t>
            </w:r>
          </w:p>
        </w:tc>
        <w:tc>
          <w:tcPr>
            <w:tcW w:w="329" w:type="pct"/>
            <w:tcBorders>
              <w:left w:val="single" w:color="000000" w:sz="4" w:space="0"/>
              <w:right w:val="single" w:color="000000" w:sz="4" w:space="0"/>
            </w:tcBorders>
            <w:vAlign w:val="center"/>
          </w:tcPr>
          <w:p w14:paraId="27F6513B">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w:t>
            </w:r>
          </w:p>
        </w:tc>
        <w:tc>
          <w:tcPr>
            <w:tcW w:w="329" w:type="pct"/>
            <w:tcBorders>
              <w:left w:val="single" w:color="000000" w:sz="4" w:space="0"/>
              <w:right w:val="single" w:color="000000" w:sz="4" w:space="0"/>
            </w:tcBorders>
            <w:vAlign w:val="center"/>
          </w:tcPr>
          <w:p w14:paraId="2F9706BF">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w:t>
            </w:r>
          </w:p>
        </w:tc>
        <w:tc>
          <w:tcPr>
            <w:tcW w:w="329" w:type="pct"/>
            <w:tcBorders>
              <w:left w:val="single" w:color="000000" w:sz="4" w:space="0"/>
              <w:right w:val="single" w:color="000000" w:sz="4" w:space="0"/>
            </w:tcBorders>
            <w:vAlign w:val="center"/>
          </w:tcPr>
          <w:p w14:paraId="4FEA9DB6">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w:t>
            </w:r>
          </w:p>
        </w:tc>
        <w:tc>
          <w:tcPr>
            <w:tcW w:w="329" w:type="pct"/>
            <w:tcBorders>
              <w:left w:val="single" w:color="000000" w:sz="4" w:space="0"/>
              <w:right w:val="single" w:color="000000" w:sz="4" w:space="0"/>
            </w:tcBorders>
            <w:vAlign w:val="center"/>
          </w:tcPr>
          <w:p w14:paraId="76B11E2A">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w:t>
            </w:r>
          </w:p>
        </w:tc>
        <w:tc>
          <w:tcPr>
            <w:tcW w:w="329" w:type="pct"/>
            <w:tcBorders>
              <w:left w:val="single" w:color="000000" w:sz="4" w:space="0"/>
              <w:right w:val="single" w:color="000000" w:sz="4" w:space="0"/>
            </w:tcBorders>
            <w:vAlign w:val="center"/>
          </w:tcPr>
          <w:p w14:paraId="03DF234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w:t>
            </w:r>
          </w:p>
        </w:tc>
        <w:tc>
          <w:tcPr>
            <w:tcW w:w="329" w:type="pct"/>
            <w:tcBorders>
              <w:left w:val="single" w:color="000000" w:sz="4" w:space="0"/>
              <w:right w:val="single" w:color="000000" w:sz="4" w:space="0"/>
            </w:tcBorders>
            <w:vAlign w:val="center"/>
          </w:tcPr>
          <w:p w14:paraId="225A0622">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w:t>
            </w:r>
          </w:p>
        </w:tc>
        <w:tc>
          <w:tcPr>
            <w:tcW w:w="329" w:type="pct"/>
            <w:tcBorders>
              <w:left w:val="single" w:color="000000" w:sz="4" w:space="0"/>
              <w:right w:val="single" w:color="000000" w:sz="4" w:space="0"/>
            </w:tcBorders>
            <w:vAlign w:val="center"/>
          </w:tcPr>
          <w:p w14:paraId="72AA12E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8</w:t>
            </w:r>
          </w:p>
        </w:tc>
        <w:tc>
          <w:tcPr>
            <w:tcW w:w="329" w:type="pct"/>
            <w:tcBorders>
              <w:left w:val="single" w:color="000000" w:sz="4" w:space="0"/>
              <w:right w:val="single" w:color="000000" w:sz="4" w:space="0"/>
            </w:tcBorders>
            <w:vAlign w:val="center"/>
          </w:tcPr>
          <w:p w14:paraId="01A5005E">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9</w:t>
            </w:r>
          </w:p>
        </w:tc>
        <w:tc>
          <w:tcPr>
            <w:tcW w:w="329" w:type="pct"/>
            <w:tcBorders>
              <w:left w:val="single" w:color="000000" w:sz="4" w:space="0"/>
              <w:right w:val="single" w:color="000000" w:sz="4" w:space="0"/>
            </w:tcBorders>
            <w:vAlign w:val="center"/>
          </w:tcPr>
          <w:p w14:paraId="320BC9C6">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10</w:t>
            </w:r>
          </w:p>
        </w:tc>
        <w:tc>
          <w:tcPr>
            <w:tcW w:w="329" w:type="pct"/>
            <w:tcBorders>
              <w:left w:val="single" w:color="000000" w:sz="4" w:space="0"/>
              <w:right w:val="single" w:color="000000" w:sz="4" w:space="0"/>
            </w:tcBorders>
            <w:vAlign w:val="center"/>
          </w:tcPr>
          <w:p w14:paraId="0948908B">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11</w:t>
            </w:r>
          </w:p>
        </w:tc>
        <w:tc>
          <w:tcPr>
            <w:tcW w:w="347" w:type="pct"/>
            <w:tcBorders>
              <w:left w:val="single" w:color="000000" w:sz="4" w:space="0"/>
              <w:right w:val="single" w:color="000000" w:sz="10" w:space="0"/>
            </w:tcBorders>
            <w:vAlign w:val="center"/>
          </w:tcPr>
          <w:p w14:paraId="3FDDDAC8">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12</w:t>
            </w:r>
          </w:p>
        </w:tc>
      </w:tr>
      <w:tr w14:paraId="531525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028" w:type="pct"/>
            <w:tcBorders>
              <w:left w:val="single" w:color="000000" w:sz="10" w:space="0"/>
              <w:right w:val="single" w:color="000000" w:sz="4" w:space="0"/>
            </w:tcBorders>
            <w:vAlign w:val="center"/>
          </w:tcPr>
          <w:p w14:paraId="6A8D773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平均风速</w:t>
            </w:r>
          </w:p>
        </w:tc>
        <w:tc>
          <w:tcPr>
            <w:tcW w:w="329" w:type="pct"/>
            <w:tcBorders>
              <w:left w:val="single" w:color="000000" w:sz="4" w:space="0"/>
              <w:right w:val="single" w:color="000000" w:sz="4" w:space="0"/>
            </w:tcBorders>
            <w:vAlign w:val="center"/>
          </w:tcPr>
          <w:p w14:paraId="50244B22">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1.9</w:t>
            </w:r>
          </w:p>
        </w:tc>
        <w:tc>
          <w:tcPr>
            <w:tcW w:w="329" w:type="pct"/>
            <w:tcBorders>
              <w:left w:val="single" w:color="000000" w:sz="4" w:space="0"/>
              <w:right w:val="single" w:color="000000" w:sz="4" w:space="0"/>
            </w:tcBorders>
            <w:vAlign w:val="center"/>
          </w:tcPr>
          <w:p w14:paraId="1B632761">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2.2</w:t>
            </w:r>
          </w:p>
        </w:tc>
        <w:tc>
          <w:tcPr>
            <w:tcW w:w="329" w:type="pct"/>
            <w:tcBorders>
              <w:left w:val="single" w:color="000000" w:sz="4" w:space="0"/>
              <w:right w:val="single" w:color="000000" w:sz="4" w:space="0"/>
            </w:tcBorders>
            <w:vAlign w:val="center"/>
          </w:tcPr>
          <w:p w14:paraId="45EA676A">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2.6</w:t>
            </w:r>
          </w:p>
        </w:tc>
        <w:tc>
          <w:tcPr>
            <w:tcW w:w="329" w:type="pct"/>
            <w:tcBorders>
              <w:left w:val="single" w:color="000000" w:sz="4" w:space="0"/>
              <w:right w:val="single" w:color="000000" w:sz="4" w:space="0"/>
            </w:tcBorders>
            <w:vAlign w:val="center"/>
          </w:tcPr>
          <w:p w14:paraId="4C8E29AB">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2.8</w:t>
            </w:r>
          </w:p>
        </w:tc>
        <w:tc>
          <w:tcPr>
            <w:tcW w:w="329" w:type="pct"/>
            <w:tcBorders>
              <w:left w:val="single" w:color="000000" w:sz="4" w:space="0"/>
              <w:right w:val="single" w:color="000000" w:sz="4" w:space="0"/>
            </w:tcBorders>
            <w:vAlign w:val="center"/>
          </w:tcPr>
          <w:p w14:paraId="04E16F00">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2.7</w:t>
            </w:r>
          </w:p>
        </w:tc>
        <w:tc>
          <w:tcPr>
            <w:tcW w:w="329" w:type="pct"/>
            <w:tcBorders>
              <w:left w:val="single" w:color="000000" w:sz="4" w:space="0"/>
              <w:right w:val="single" w:color="000000" w:sz="4" w:space="0"/>
            </w:tcBorders>
            <w:vAlign w:val="center"/>
          </w:tcPr>
          <w:p w14:paraId="576BF95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2.1</w:t>
            </w:r>
          </w:p>
        </w:tc>
        <w:tc>
          <w:tcPr>
            <w:tcW w:w="329" w:type="pct"/>
            <w:tcBorders>
              <w:left w:val="single" w:color="000000" w:sz="4" w:space="0"/>
              <w:right w:val="single" w:color="000000" w:sz="4" w:space="0"/>
            </w:tcBorders>
            <w:vAlign w:val="center"/>
          </w:tcPr>
          <w:p w14:paraId="644A3E9F">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2.0</w:t>
            </w:r>
          </w:p>
        </w:tc>
        <w:tc>
          <w:tcPr>
            <w:tcW w:w="329" w:type="pct"/>
            <w:tcBorders>
              <w:left w:val="single" w:color="000000" w:sz="4" w:space="0"/>
              <w:right w:val="single" w:color="000000" w:sz="4" w:space="0"/>
            </w:tcBorders>
            <w:vAlign w:val="center"/>
          </w:tcPr>
          <w:p w14:paraId="0F5151C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1.8</w:t>
            </w:r>
          </w:p>
        </w:tc>
        <w:tc>
          <w:tcPr>
            <w:tcW w:w="329" w:type="pct"/>
            <w:tcBorders>
              <w:left w:val="single" w:color="000000" w:sz="4" w:space="0"/>
              <w:right w:val="single" w:color="000000" w:sz="4" w:space="0"/>
            </w:tcBorders>
            <w:vAlign w:val="center"/>
          </w:tcPr>
          <w:p w14:paraId="3DBBD880">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2.1</w:t>
            </w:r>
          </w:p>
        </w:tc>
        <w:tc>
          <w:tcPr>
            <w:tcW w:w="329" w:type="pct"/>
            <w:tcBorders>
              <w:left w:val="single" w:color="000000" w:sz="4" w:space="0"/>
              <w:right w:val="single" w:color="000000" w:sz="4" w:space="0"/>
            </w:tcBorders>
            <w:vAlign w:val="center"/>
          </w:tcPr>
          <w:p w14:paraId="6A6D74B9">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2.2</w:t>
            </w:r>
          </w:p>
        </w:tc>
        <w:tc>
          <w:tcPr>
            <w:tcW w:w="329" w:type="pct"/>
            <w:tcBorders>
              <w:left w:val="single" w:color="000000" w:sz="4" w:space="0"/>
              <w:right w:val="single" w:color="000000" w:sz="4" w:space="0"/>
            </w:tcBorders>
            <w:vAlign w:val="center"/>
          </w:tcPr>
          <w:p w14:paraId="0423CF54">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2.2</w:t>
            </w:r>
          </w:p>
        </w:tc>
        <w:tc>
          <w:tcPr>
            <w:tcW w:w="347" w:type="pct"/>
            <w:tcBorders>
              <w:left w:val="single" w:color="000000" w:sz="4" w:space="0"/>
              <w:right w:val="single" w:color="000000" w:sz="10" w:space="0"/>
            </w:tcBorders>
            <w:vAlign w:val="center"/>
          </w:tcPr>
          <w:p w14:paraId="6CD56F21">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1.9</w:t>
            </w:r>
          </w:p>
        </w:tc>
      </w:tr>
    </w:tbl>
    <w:p w14:paraId="6D5AB09A">
      <w:pPr>
        <w:kinsoku w:val="0"/>
        <w:autoSpaceDE w:val="0"/>
        <w:autoSpaceDN w:val="0"/>
        <w:adjustRightInd w:val="0"/>
        <w:snapToGrid w:val="0"/>
        <w:jc w:val="center"/>
        <w:textAlignment w:val="baseline"/>
        <w:rPr>
          <w:rFonts w:ascii="Times New Roman" w:hAnsi="Times New Roman" w:cs="Times New Roman"/>
          <w:color w:val="auto"/>
          <w:w w:val="99"/>
          <w:highlight w:val="none"/>
        </w:rPr>
      </w:pPr>
      <w:r>
        <w:rPr>
          <w:rFonts w:ascii="Times New Roman" w:hAnsi="Times New Roman" w:cs="Times New Roman"/>
          <w:color w:val="auto"/>
          <w:w w:val="99"/>
          <w:highlight w:val="none"/>
        </w:rPr>
        <w:drawing>
          <wp:inline distT="0" distB="0" distL="0" distR="0">
            <wp:extent cx="3529965" cy="2091055"/>
            <wp:effectExtent l="0" t="0" r="13335" b="44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55"/>
                    <a:stretch>
                      <a:fillRect/>
                    </a:stretch>
                  </pic:blipFill>
                  <pic:spPr>
                    <a:xfrm>
                      <a:off x="0" y="0"/>
                      <a:ext cx="3581641" cy="2121504"/>
                    </a:xfrm>
                    <a:prstGeom prst="rect">
                      <a:avLst/>
                    </a:prstGeom>
                  </pic:spPr>
                </pic:pic>
              </a:graphicData>
            </a:graphic>
          </wp:inline>
        </w:drawing>
      </w:r>
    </w:p>
    <w:p w14:paraId="4B3606EB">
      <w:pPr>
        <w:snapToGrid w:val="0"/>
        <w:jc w:val="center"/>
        <w:rPr>
          <w:rFonts w:ascii="Times New Roman" w:hAnsi="Times New Roman" w:cs="Times New Roman"/>
          <w:b/>
          <w:color w:val="auto"/>
          <w:w w:val="99"/>
          <w:highlight w:val="none"/>
        </w:rPr>
      </w:pPr>
      <w:r>
        <w:rPr>
          <w:rFonts w:ascii="Times New Roman" w:hAnsi="Times New Roman" w:cs="Times New Roman"/>
          <w:b/>
          <w:color w:val="auto"/>
          <w:w w:val="99"/>
          <w:highlight w:val="none"/>
        </w:rPr>
        <w:t>图5.1-1    月平均风速（单位：m/s）</w:t>
      </w:r>
    </w:p>
    <w:p w14:paraId="72B452B0">
      <w:pPr>
        <w:widowControl w:val="0"/>
        <w:adjustRightInd w:val="0"/>
        <w:snapToGrid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②风向特征</w:t>
      </w:r>
    </w:p>
    <w:p w14:paraId="0AD52AAB">
      <w:pPr>
        <w:widowControl w:val="0"/>
        <w:spacing w:line="440" w:lineRule="exact"/>
        <w:ind w:firstLine="474" w:firstLineChars="200"/>
        <w:jc w:val="both"/>
        <w:rPr>
          <w:rFonts w:ascii="Times New Roman" w:hAnsi="Times New Roman" w:cs="Times New Roman"/>
          <w:color w:val="auto"/>
          <w:w w:val="99"/>
          <w:highlight w:val="none"/>
          <w:lang w:val="zh-CN"/>
        </w:rPr>
      </w:pPr>
      <w:r>
        <w:rPr>
          <w:rFonts w:hint="eastAsia" w:ascii="Times New Roman" w:hAnsi="Times New Roman" w:cs="Times New Roman"/>
          <w:color w:val="auto"/>
          <w:w w:val="99"/>
          <w:highlight w:val="none"/>
          <w:lang w:val="zh-CN"/>
        </w:rPr>
        <w:t>近二十年</w:t>
      </w:r>
      <w:r>
        <w:rPr>
          <w:rFonts w:ascii="Times New Roman" w:hAnsi="Times New Roman" w:cs="Times New Roman"/>
          <w:color w:val="auto"/>
          <w:w w:val="99"/>
          <w:highlight w:val="none"/>
          <w:lang w:val="zh-CN"/>
        </w:rPr>
        <w:t>资料分析的风向玫瑰图见图5.1-2，大庆气象站主要风向为S、SSW、WSW、WNW，占32.5％，其中以S为主风向，占到全年的8.6%左右。</w:t>
      </w:r>
    </w:p>
    <w:p w14:paraId="2ED297FF">
      <w:pPr>
        <w:pStyle w:val="153"/>
        <w:widowControl w:val="0"/>
        <w:spacing w:line="440" w:lineRule="exact"/>
        <w:ind w:firstLine="474"/>
        <w:jc w:val="both"/>
        <w:rPr>
          <w:rFonts w:ascii="Times New Roman" w:hAnsi="Times New Roman"/>
          <w:b/>
          <w:color w:val="auto"/>
          <w:w w:val="99"/>
          <w:highlight w:val="none"/>
        </w:rPr>
      </w:pPr>
      <w:r>
        <w:rPr>
          <w:rFonts w:ascii="Times New Roman" w:hAnsi="Times New Roman"/>
          <w:b/>
          <w:color w:val="auto"/>
          <w:w w:val="99"/>
          <w:highlight w:val="none"/>
        </w:rPr>
        <w:t xml:space="preserve">表5.1-3    </w:t>
      </w:r>
      <w:r>
        <w:rPr>
          <w:rFonts w:ascii="Times New Roman" w:hAnsi="Times New Roman"/>
          <w:b/>
          <w:color w:val="auto"/>
          <w:w w:val="99"/>
          <w:kern w:val="2"/>
          <w:szCs w:val="20"/>
          <w:highlight w:val="none"/>
        </w:rPr>
        <w:t>气象站</w:t>
      </w:r>
      <w:r>
        <w:rPr>
          <w:rFonts w:ascii="Times New Roman" w:hAnsi="Times New Roman"/>
          <w:b/>
          <w:color w:val="auto"/>
          <w:w w:val="99"/>
          <w:highlight w:val="none"/>
        </w:rPr>
        <w:t>年风向频率统计（单位：%）</w:t>
      </w:r>
    </w:p>
    <w:tbl>
      <w:tblPr>
        <w:tblStyle w:val="1662"/>
        <w:tblW w:w="499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07"/>
        <w:gridCol w:w="371"/>
        <w:gridCol w:w="598"/>
        <w:gridCol w:w="391"/>
        <w:gridCol w:w="564"/>
        <w:gridCol w:w="371"/>
        <w:gridCol w:w="516"/>
        <w:gridCol w:w="371"/>
        <w:gridCol w:w="502"/>
        <w:gridCol w:w="371"/>
        <w:gridCol w:w="598"/>
        <w:gridCol w:w="436"/>
        <w:gridCol w:w="707"/>
        <w:gridCol w:w="369"/>
        <w:gridCol w:w="754"/>
        <w:gridCol w:w="485"/>
        <w:gridCol w:w="691"/>
        <w:gridCol w:w="388"/>
      </w:tblGrid>
      <w:tr w14:paraId="3BC43D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34" w:type="pct"/>
            <w:tcBorders>
              <w:left w:val="single" w:color="000000" w:sz="10" w:space="0"/>
            </w:tcBorders>
          </w:tcPr>
          <w:p w14:paraId="601DDC1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风向</w:t>
            </w:r>
          </w:p>
        </w:tc>
        <w:tc>
          <w:tcPr>
            <w:tcW w:w="204" w:type="pct"/>
          </w:tcPr>
          <w:p w14:paraId="74923380">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N</w:t>
            </w:r>
          </w:p>
        </w:tc>
        <w:tc>
          <w:tcPr>
            <w:tcW w:w="329" w:type="pct"/>
          </w:tcPr>
          <w:p w14:paraId="27CEB614">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NNE</w:t>
            </w:r>
          </w:p>
        </w:tc>
        <w:tc>
          <w:tcPr>
            <w:tcW w:w="215" w:type="pct"/>
          </w:tcPr>
          <w:p w14:paraId="402BEB6B">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NE</w:t>
            </w:r>
          </w:p>
        </w:tc>
        <w:tc>
          <w:tcPr>
            <w:tcW w:w="310" w:type="pct"/>
          </w:tcPr>
          <w:p w14:paraId="6FF32CA7">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ENE</w:t>
            </w:r>
          </w:p>
        </w:tc>
        <w:tc>
          <w:tcPr>
            <w:tcW w:w="204" w:type="pct"/>
          </w:tcPr>
          <w:p w14:paraId="5F04F921">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E</w:t>
            </w:r>
          </w:p>
        </w:tc>
        <w:tc>
          <w:tcPr>
            <w:tcW w:w="284" w:type="pct"/>
          </w:tcPr>
          <w:p w14:paraId="5CD64792">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ESE</w:t>
            </w:r>
          </w:p>
        </w:tc>
        <w:tc>
          <w:tcPr>
            <w:tcW w:w="204" w:type="pct"/>
          </w:tcPr>
          <w:p w14:paraId="23848B0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SE</w:t>
            </w:r>
          </w:p>
        </w:tc>
        <w:tc>
          <w:tcPr>
            <w:tcW w:w="276" w:type="pct"/>
          </w:tcPr>
          <w:p w14:paraId="2ED7317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SSE</w:t>
            </w:r>
          </w:p>
        </w:tc>
        <w:tc>
          <w:tcPr>
            <w:tcW w:w="204" w:type="pct"/>
          </w:tcPr>
          <w:p w14:paraId="109251FE">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S</w:t>
            </w:r>
          </w:p>
        </w:tc>
        <w:tc>
          <w:tcPr>
            <w:tcW w:w="329" w:type="pct"/>
          </w:tcPr>
          <w:p w14:paraId="58603EFC">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SSW</w:t>
            </w:r>
          </w:p>
        </w:tc>
        <w:tc>
          <w:tcPr>
            <w:tcW w:w="240" w:type="pct"/>
          </w:tcPr>
          <w:p w14:paraId="7F5D2ED9">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SW</w:t>
            </w:r>
          </w:p>
        </w:tc>
        <w:tc>
          <w:tcPr>
            <w:tcW w:w="389" w:type="pct"/>
          </w:tcPr>
          <w:p w14:paraId="34DB2ADA">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WSW</w:t>
            </w:r>
          </w:p>
        </w:tc>
        <w:tc>
          <w:tcPr>
            <w:tcW w:w="203" w:type="pct"/>
          </w:tcPr>
          <w:p w14:paraId="5707B5F3">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W</w:t>
            </w:r>
          </w:p>
        </w:tc>
        <w:tc>
          <w:tcPr>
            <w:tcW w:w="415" w:type="pct"/>
          </w:tcPr>
          <w:p w14:paraId="5DDC136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WNW</w:t>
            </w:r>
          </w:p>
        </w:tc>
        <w:tc>
          <w:tcPr>
            <w:tcW w:w="267" w:type="pct"/>
          </w:tcPr>
          <w:p w14:paraId="5EE228DE">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NW</w:t>
            </w:r>
          </w:p>
        </w:tc>
        <w:tc>
          <w:tcPr>
            <w:tcW w:w="380" w:type="pct"/>
          </w:tcPr>
          <w:p w14:paraId="2546B88C">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NNW</w:t>
            </w:r>
          </w:p>
        </w:tc>
        <w:tc>
          <w:tcPr>
            <w:tcW w:w="216" w:type="pct"/>
            <w:tcBorders>
              <w:right w:val="single" w:color="000000" w:sz="10" w:space="0"/>
            </w:tcBorders>
          </w:tcPr>
          <w:p w14:paraId="25229BEB">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C</w:t>
            </w:r>
          </w:p>
        </w:tc>
      </w:tr>
      <w:tr w14:paraId="6080EF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34" w:type="pct"/>
            <w:tcBorders>
              <w:left w:val="single" w:color="000000" w:sz="10" w:space="0"/>
            </w:tcBorders>
          </w:tcPr>
          <w:p w14:paraId="727EA4E8">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频率</w:t>
            </w:r>
          </w:p>
        </w:tc>
        <w:tc>
          <w:tcPr>
            <w:tcW w:w="204" w:type="pct"/>
          </w:tcPr>
          <w:p w14:paraId="7F8945AC">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6.5</w:t>
            </w:r>
          </w:p>
        </w:tc>
        <w:tc>
          <w:tcPr>
            <w:tcW w:w="329" w:type="pct"/>
          </w:tcPr>
          <w:p w14:paraId="5042DF2E">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4.9</w:t>
            </w:r>
          </w:p>
        </w:tc>
        <w:tc>
          <w:tcPr>
            <w:tcW w:w="215" w:type="pct"/>
          </w:tcPr>
          <w:p w14:paraId="3078BFC1">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3.9</w:t>
            </w:r>
          </w:p>
        </w:tc>
        <w:tc>
          <w:tcPr>
            <w:tcW w:w="310" w:type="pct"/>
          </w:tcPr>
          <w:p w14:paraId="23611300">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4.0</w:t>
            </w:r>
          </w:p>
        </w:tc>
        <w:tc>
          <w:tcPr>
            <w:tcW w:w="204" w:type="pct"/>
          </w:tcPr>
          <w:p w14:paraId="5E22B034">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3.6</w:t>
            </w:r>
          </w:p>
        </w:tc>
        <w:tc>
          <w:tcPr>
            <w:tcW w:w="284" w:type="pct"/>
          </w:tcPr>
          <w:p w14:paraId="73CEA67C">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3.5</w:t>
            </w:r>
          </w:p>
        </w:tc>
        <w:tc>
          <w:tcPr>
            <w:tcW w:w="204" w:type="pct"/>
          </w:tcPr>
          <w:p w14:paraId="59D5DCF4">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3.8</w:t>
            </w:r>
          </w:p>
        </w:tc>
        <w:tc>
          <w:tcPr>
            <w:tcW w:w="276" w:type="pct"/>
          </w:tcPr>
          <w:p w14:paraId="7C8A6ADB">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4.7</w:t>
            </w:r>
          </w:p>
        </w:tc>
        <w:tc>
          <w:tcPr>
            <w:tcW w:w="204" w:type="pct"/>
          </w:tcPr>
          <w:p w14:paraId="65325B2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8.6</w:t>
            </w:r>
          </w:p>
        </w:tc>
        <w:tc>
          <w:tcPr>
            <w:tcW w:w="329" w:type="pct"/>
          </w:tcPr>
          <w:p w14:paraId="57E0C4DB">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8.1</w:t>
            </w:r>
          </w:p>
        </w:tc>
        <w:tc>
          <w:tcPr>
            <w:tcW w:w="240" w:type="pct"/>
          </w:tcPr>
          <w:p w14:paraId="64ECFAE5">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5.6</w:t>
            </w:r>
          </w:p>
        </w:tc>
        <w:tc>
          <w:tcPr>
            <w:tcW w:w="389" w:type="pct"/>
          </w:tcPr>
          <w:p w14:paraId="72620E43">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8.0</w:t>
            </w:r>
          </w:p>
        </w:tc>
        <w:tc>
          <w:tcPr>
            <w:tcW w:w="203" w:type="pct"/>
          </w:tcPr>
          <w:p w14:paraId="36CA0FD6">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7.3</w:t>
            </w:r>
          </w:p>
        </w:tc>
        <w:tc>
          <w:tcPr>
            <w:tcW w:w="415" w:type="pct"/>
          </w:tcPr>
          <w:p w14:paraId="00CE4303">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7.7</w:t>
            </w:r>
          </w:p>
        </w:tc>
        <w:tc>
          <w:tcPr>
            <w:tcW w:w="267" w:type="pct"/>
          </w:tcPr>
          <w:p w14:paraId="03ED7B66">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7.2</w:t>
            </w:r>
          </w:p>
        </w:tc>
        <w:tc>
          <w:tcPr>
            <w:tcW w:w="380" w:type="pct"/>
          </w:tcPr>
          <w:p w14:paraId="48A39919">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6.7</w:t>
            </w:r>
          </w:p>
        </w:tc>
        <w:tc>
          <w:tcPr>
            <w:tcW w:w="216" w:type="pct"/>
            <w:tcBorders>
              <w:right w:val="single" w:color="000000" w:sz="10" w:space="0"/>
            </w:tcBorders>
          </w:tcPr>
          <w:p w14:paraId="47353D64">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5.5</w:t>
            </w:r>
          </w:p>
        </w:tc>
      </w:tr>
    </w:tbl>
    <w:p w14:paraId="4D79C0EF">
      <w:pPr>
        <w:snapToGrid w:val="0"/>
        <w:jc w:val="center"/>
        <w:rPr>
          <w:rFonts w:ascii="Times New Roman" w:hAnsi="Times New Roman" w:cs="Times New Roman"/>
          <w:color w:val="auto"/>
          <w:w w:val="99"/>
          <w:highlight w:val="none"/>
        </w:rPr>
      </w:pPr>
      <w:r>
        <w:rPr>
          <w:rFonts w:ascii="Times New Roman" w:hAnsi="Times New Roman" w:cs="Times New Roman"/>
          <w:color w:val="auto"/>
          <w:w w:val="99"/>
          <w:highlight w:val="none"/>
        </w:rPr>
        <w:drawing>
          <wp:inline distT="0" distB="0" distL="0" distR="0">
            <wp:extent cx="1762125" cy="1670685"/>
            <wp:effectExtent l="0" t="0" r="9525" b="5715"/>
            <wp:docPr id="477" name="图片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图片 47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1766961" cy="1675279"/>
                    </a:xfrm>
                    <a:prstGeom prst="rect">
                      <a:avLst/>
                    </a:prstGeom>
                    <a:noFill/>
                    <a:ln>
                      <a:noFill/>
                    </a:ln>
                  </pic:spPr>
                </pic:pic>
              </a:graphicData>
            </a:graphic>
          </wp:inline>
        </w:drawing>
      </w:r>
    </w:p>
    <w:p w14:paraId="52EB6F28">
      <w:pPr>
        <w:snapToGrid w:val="0"/>
        <w:spacing w:line="440" w:lineRule="exact"/>
        <w:jc w:val="center"/>
        <w:rPr>
          <w:rFonts w:ascii="Times New Roman" w:hAnsi="Times New Roman" w:cs="Times New Roman"/>
          <w:b/>
          <w:color w:val="auto"/>
          <w:w w:val="99"/>
          <w:highlight w:val="none"/>
        </w:rPr>
      </w:pPr>
      <w:r>
        <w:rPr>
          <w:rFonts w:ascii="Times New Roman" w:hAnsi="Times New Roman" w:cs="Times New Roman"/>
          <w:b/>
          <w:color w:val="auto"/>
          <w:w w:val="99"/>
          <w:highlight w:val="none"/>
        </w:rPr>
        <w:t>图5.1-2    风向玫瑰图（静风频率5.5%）</w:t>
      </w:r>
    </w:p>
    <w:p w14:paraId="2D1445AC">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各月风向频率见表5.1-4，月风向玫瑰图见图5.1-3。</w:t>
      </w:r>
    </w:p>
    <w:p w14:paraId="7DC19FC9">
      <w:pPr>
        <w:pStyle w:val="47"/>
        <w:spacing w:after="0" w:line="240" w:lineRule="auto"/>
        <w:ind w:left="0" w:leftChars="0"/>
        <w:jc w:val="center"/>
        <w:rPr>
          <w:color w:val="auto"/>
          <w:w w:val="99"/>
          <w:highlight w:val="none"/>
        </w:rPr>
      </w:pPr>
      <w:r>
        <w:rPr>
          <w:color w:val="auto"/>
          <w:w w:val="99"/>
          <w:highlight w:val="none"/>
        </w:rPr>
        <w:drawing>
          <wp:inline distT="0" distB="0" distL="0" distR="0">
            <wp:extent cx="3390900" cy="4028440"/>
            <wp:effectExtent l="0" t="0" r="0" b="1016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57">
                      <a:extLst>
                        <a:ext uri="{28A0092B-C50C-407E-A947-70E740481C1C}">
                          <a14:useLocalDpi xmlns:a14="http://schemas.microsoft.com/office/drawing/2010/main" val="0"/>
                        </a:ext>
                      </a:extLst>
                    </a:blip>
                    <a:stretch>
                      <a:fillRect/>
                    </a:stretch>
                  </pic:blipFill>
                  <pic:spPr>
                    <a:xfrm>
                      <a:off x="0" y="0"/>
                      <a:ext cx="3403531" cy="4043640"/>
                    </a:xfrm>
                    <a:prstGeom prst="rect">
                      <a:avLst/>
                    </a:prstGeom>
                  </pic:spPr>
                </pic:pic>
              </a:graphicData>
            </a:graphic>
          </wp:inline>
        </w:drawing>
      </w:r>
    </w:p>
    <w:p w14:paraId="081BED17">
      <w:pPr>
        <w:pStyle w:val="47"/>
        <w:spacing w:after="0" w:line="240" w:lineRule="auto"/>
        <w:ind w:left="0" w:leftChars="0" w:firstLine="478"/>
        <w:jc w:val="center"/>
        <w:rPr>
          <w:b/>
          <w:color w:val="auto"/>
          <w:w w:val="99"/>
          <w:sz w:val="24"/>
          <w:highlight w:val="none"/>
        </w:rPr>
      </w:pPr>
      <w:r>
        <w:rPr>
          <w:b/>
          <w:color w:val="auto"/>
          <w:w w:val="99"/>
          <w:sz w:val="24"/>
          <w:highlight w:val="none"/>
        </w:rPr>
        <w:t>图5.1-3    月风向玫瑰图（静风频率5.5%）</w:t>
      </w:r>
    </w:p>
    <w:p w14:paraId="326343A1">
      <w:pPr>
        <w:pStyle w:val="153"/>
        <w:widowControl w:val="0"/>
        <w:spacing w:line="440" w:lineRule="exact"/>
        <w:ind w:firstLine="474"/>
        <w:jc w:val="both"/>
        <w:rPr>
          <w:rFonts w:ascii="Times New Roman" w:hAnsi="Times New Roman"/>
          <w:b/>
          <w:color w:val="auto"/>
          <w:w w:val="99"/>
          <w:highlight w:val="none"/>
        </w:rPr>
      </w:pPr>
      <w:r>
        <w:rPr>
          <w:rFonts w:ascii="Times New Roman" w:hAnsi="Times New Roman"/>
          <w:b/>
          <w:color w:val="auto"/>
          <w:w w:val="99"/>
          <w:highlight w:val="none"/>
        </w:rPr>
        <w:t xml:space="preserve">表5.1-4    </w:t>
      </w:r>
      <w:r>
        <w:rPr>
          <w:rFonts w:ascii="Times New Roman" w:hAnsi="Times New Roman"/>
          <w:b/>
          <w:color w:val="auto"/>
          <w:w w:val="99"/>
          <w:kern w:val="2"/>
          <w:szCs w:val="20"/>
          <w:highlight w:val="none"/>
        </w:rPr>
        <w:t>气象站</w:t>
      </w:r>
      <w:r>
        <w:rPr>
          <w:rFonts w:ascii="Times New Roman" w:hAnsi="Times New Roman"/>
          <w:b/>
          <w:color w:val="auto"/>
          <w:w w:val="99"/>
          <w:highlight w:val="none"/>
        </w:rPr>
        <w:t>月风向频率统计（单位%）</w:t>
      </w:r>
    </w:p>
    <w:tbl>
      <w:tblPr>
        <w:tblStyle w:val="1662"/>
        <w:tblW w:w="909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10"/>
        <w:gridCol w:w="325"/>
        <w:gridCol w:w="522"/>
        <w:gridCol w:w="345"/>
        <w:gridCol w:w="496"/>
        <w:gridCol w:w="325"/>
        <w:gridCol w:w="454"/>
        <w:gridCol w:w="325"/>
        <w:gridCol w:w="440"/>
        <w:gridCol w:w="447"/>
        <w:gridCol w:w="522"/>
        <w:gridCol w:w="385"/>
        <w:gridCol w:w="617"/>
        <w:gridCol w:w="325"/>
        <w:gridCol w:w="659"/>
        <w:gridCol w:w="447"/>
        <w:gridCol w:w="603"/>
        <w:gridCol w:w="347"/>
      </w:tblGrid>
      <w:tr w14:paraId="556E69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25263AC7">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风向频率月份</w:t>
            </w:r>
          </w:p>
        </w:tc>
        <w:tc>
          <w:tcPr>
            <w:tcW w:w="325" w:type="dxa"/>
            <w:tcBorders>
              <w:left w:val="single" w:color="000000" w:sz="4" w:space="0"/>
              <w:right w:val="single" w:color="000000" w:sz="4" w:space="0"/>
            </w:tcBorders>
            <w:vAlign w:val="center"/>
          </w:tcPr>
          <w:p w14:paraId="46A99C1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N</w:t>
            </w:r>
          </w:p>
        </w:tc>
        <w:tc>
          <w:tcPr>
            <w:tcW w:w="522" w:type="dxa"/>
            <w:tcBorders>
              <w:left w:val="single" w:color="000000" w:sz="4" w:space="0"/>
              <w:right w:val="single" w:color="000000" w:sz="4" w:space="0"/>
            </w:tcBorders>
            <w:vAlign w:val="center"/>
          </w:tcPr>
          <w:p w14:paraId="73D6EABC">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NNE</w:t>
            </w:r>
          </w:p>
        </w:tc>
        <w:tc>
          <w:tcPr>
            <w:tcW w:w="345" w:type="dxa"/>
            <w:tcBorders>
              <w:left w:val="single" w:color="000000" w:sz="4" w:space="0"/>
              <w:right w:val="single" w:color="000000" w:sz="4" w:space="0"/>
            </w:tcBorders>
            <w:vAlign w:val="center"/>
          </w:tcPr>
          <w:p w14:paraId="16F82536">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NE</w:t>
            </w:r>
          </w:p>
        </w:tc>
        <w:tc>
          <w:tcPr>
            <w:tcW w:w="496" w:type="dxa"/>
            <w:tcBorders>
              <w:left w:val="single" w:color="000000" w:sz="4" w:space="0"/>
              <w:right w:val="single" w:color="000000" w:sz="4" w:space="0"/>
            </w:tcBorders>
            <w:vAlign w:val="center"/>
          </w:tcPr>
          <w:p w14:paraId="48B84648">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ENE</w:t>
            </w:r>
          </w:p>
        </w:tc>
        <w:tc>
          <w:tcPr>
            <w:tcW w:w="325" w:type="dxa"/>
            <w:tcBorders>
              <w:left w:val="single" w:color="000000" w:sz="4" w:space="0"/>
              <w:right w:val="single" w:color="000000" w:sz="4" w:space="0"/>
            </w:tcBorders>
            <w:vAlign w:val="center"/>
          </w:tcPr>
          <w:p w14:paraId="606D24C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E</w:t>
            </w:r>
          </w:p>
        </w:tc>
        <w:tc>
          <w:tcPr>
            <w:tcW w:w="454" w:type="dxa"/>
            <w:tcBorders>
              <w:left w:val="single" w:color="000000" w:sz="4" w:space="0"/>
              <w:right w:val="single" w:color="000000" w:sz="4" w:space="0"/>
            </w:tcBorders>
            <w:vAlign w:val="center"/>
          </w:tcPr>
          <w:p w14:paraId="5629B4D9">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ESE</w:t>
            </w:r>
          </w:p>
        </w:tc>
        <w:tc>
          <w:tcPr>
            <w:tcW w:w="325" w:type="dxa"/>
            <w:tcBorders>
              <w:left w:val="single" w:color="000000" w:sz="4" w:space="0"/>
              <w:right w:val="single" w:color="000000" w:sz="4" w:space="0"/>
            </w:tcBorders>
            <w:vAlign w:val="center"/>
          </w:tcPr>
          <w:p w14:paraId="190BC3A6">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SE</w:t>
            </w:r>
          </w:p>
        </w:tc>
        <w:tc>
          <w:tcPr>
            <w:tcW w:w="440" w:type="dxa"/>
            <w:tcBorders>
              <w:left w:val="single" w:color="000000" w:sz="4" w:space="0"/>
              <w:right w:val="single" w:color="000000" w:sz="4" w:space="0"/>
            </w:tcBorders>
            <w:vAlign w:val="center"/>
          </w:tcPr>
          <w:p w14:paraId="735D7079">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SSE</w:t>
            </w:r>
          </w:p>
        </w:tc>
        <w:tc>
          <w:tcPr>
            <w:tcW w:w="447" w:type="dxa"/>
            <w:tcBorders>
              <w:left w:val="single" w:color="000000" w:sz="4" w:space="0"/>
              <w:right w:val="single" w:color="000000" w:sz="4" w:space="0"/>
            </w:tcBorders>
            <w:vAlign w:val="center"/>
          </w:tcPr>
          <w:p w14:paraId="62B0C27F">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S</w:t>
            </w:r>
          </w:p>
        </w:tc>
        <w:tc>
          <w:tcPr>
            <w:tcW w:w="521" w:type="dxa"/>
            <w:tcBorders>
              <w:left w:val="single" w:color="000000" w:sz="4" w:space="0"/>
              <w:right w:val="single" w:color="000000" w:sz="4" w:space="0"/>
            </w:tcBorders>
            <w:vAlign w:val="center"/>
          </w:tcPr>
          <w:p w14:paraId="32227BBF">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SSW</w:t>
            </w:r>
          </w:p>
        </w:tc>
        <w:tc>
          <w:tcPr>
            <w:tcW w:w="385" w:type="dxa"/>
            <w:tcBorders>
              <w:left w:val="single" w:color="000000" w:sz="4" w:space="0"/>
              <w:right w:val="single" w:color="000000" w:sz="4" w:space="0"/>
            </w:tcBorders>
            <w:vAlign w:val="center"/>
          </w:tcPr>
          <w:p w14:paraId="6FF220A8">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SW</w:t>
            </w:r>
          </w:p>
        </w:tc>
        <w:tc>
          <w:tcPr>
            <w:tcW w:w="617" w:type="dxa"/>
            <w:tcBorders>
              <w:left w:val="single" w:color="000000" w:sz="4" w:space="0"/>
              <w:right w:val="single" w:color="000000" w:sz="4" w:space="0"/>
            </w:tcBorders>
            <w:vAlign w:val="center"/>
          </w:tcPr>
          <w:p w14:paraId="36DBB7CE">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WSW</w:t>
            </w:r>
          </w:p>
        </w:tc>
        <w:tc>
          <w:tcPr>
            <w:tcW w:w="325" w:type="dxa"/>
            <w:tcBorders>
              <w:left w:val="single" w:color="000000" w:sz="4" w:space="0"/>
              <w:right w:val="single" w:color="000000" w:sz="4" w:space="0"/>
            </w:tcBorders>
            <w:vAlign w:val="center"/>
          </w:tcPr>
          <w:p w14:paraId="26272D88">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W</w:t>
            </w:r>
          </w:p>
        </w:tc>
        <w:tc>
          <w:tcPr>
            <w:tcW w:w="659" w:type="dxa"/>
            <w:tcBorders>
              <w:left w:val="single" w:color="000000" w:sz="4" w:space="0"/>
              <w:right w:val="single" w:color="000000" w:sz="4" w:space="0"/>
            </w:tcBorders>
            <w:vAlign w:val="center"/>
          </w:tcPr>
          <w:p w14:paraId="480A9020">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WNW</w:t>
            </w:r>
          </w:p>
        </w:tc>
        <w:tc>
          <w:tcPr>
            <w:tcW w:w="447" w:type="dxa"/>
            <w:tcBorders>
              <w:left w:val="single" w:color="000000" w:sz="4" w:space="0"/>
              <w:right w:val="single" w:color="000000" w:sz="4" w:space="0"/>
            </w:tcBorders>
            <w:vAlign w:val="center"/>
          </w:tcPr>
          <w:p w14:paraId="5847EDAC">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NW</w:t>
            </w:r>
          </w:p>
        </w:tc>
        <w:tc>
          <w:tcPr>
            <w:tcW w:w="603" w:type="dxa"/>
            <w:tcBorders>
              <w:left w:val="single" w:color="000000" w:sz="4" w:space="0"/>
              <w:right w:val="single" w:color="000000" w:sz="4" w:space="0"/>
            </w:tcBorders>
            <w:vAlign w:val="center"/>
          </w:tcPr>
          <w:p w14:paraId="5A75B55A">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NNW</w:t>
            </w:r>
          </w:p>
        </w:tc>
        <w:tc>
          <w:tcPr>
            <w:tcW w:w="347" w:type="dxa"/>
            <w:tcBorders>
              <w:left w:val="single" w:color="000000" w:sz="4" w:space="0"/>
              <w:right w:val="single" w:color="000000" w:sz="10" w:space="0"/>
            </w:tcBorders>
            <w:vAlign w:val="center"/>
          </w:tcPr>
          <w:p w14:paraId="70BB1DA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C</w:t>
            </w:r>
          </w:p>
        </w:tc>
      </w:tr>
      <w:tr w14:paraId="4C7CB4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07DF177A">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01</w:t>
            </w:r>
          </w:p>
        </w:tc>
        <w:tc>
          <w:tcPr>
            <w:tcW w:w="325" w:type="dxa"/>
            <w:tcBorders>
              <w:left w:val="single" w:color="000000" w:sz="4" w:space="0"/>
              <w:right w:val="single" w:color="000000" w:sz="4" w:space="0"/>
            </w:tcBorders>
            <w:vAlign w:val="center"/>
          </w:tcPr>
          <w:p w14:paraId="149469E8">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6.8</w:t>
            </w:r>
          </w:p>
        </w:tc>
        <w:tc>
          <w:tcPr>
            <w:tcW w:w="522" w:type="dxa"/>
            <w:tcBorders>
              <w:left w:val="single" w:color="000000" w:sz="4" w:space="0"/>
              <w:right w:val="single" w:color="000000" w:sz="4" w:space="0"/>
            </w:tcBorders>
            <w:vAlign w:val="center"/>
          </w:tcPr>
          <w:p w14:paraId="1CAFA0CE">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3.2</w:t>
            </w:r>
          </w:p>
        </w:tc>
        <w:tc>
          <w:tcPr>
            <w:tcW w:w="345" w:type="dxa"/>
            <w:tcBorders>
              <w:left w:val="single" w:color="000000" w:sz="4" w:space="0"/>
              <w:right w:val="single" w:color="000000" w:sz="4" w:space="0"/>
            </w:tcBorders>
            <w:vAlign w:val="center"/>
          </w:tcPr>
          <w:p w14:paraId="18B8C92B">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2.5</w:t>
            </w:r>
          </w:p>
        </w:tc>
        <w:tc>
          <w:tcPr>
            <w:tcW w:w="496" w:type="dxa"/>
            <w:tcBorders>
              <w:left w:val="single" w:color="000000" w:sz="4" w:space="0"/>
              <w:right w:val="single" w:color="000000" w:sz="4" w:space="0"/>
            </w:tcBorders>
            <w:vAlign w:val="center"/>
          </w:tcPr>
          <w:p w14:paraId="040A314B">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3.3</w:t>
            </w:r>
          </w:p>
        </w:tc>
        <w:tc>
          <w:tcPr>
            <w:tcW w:w="325" w:type="dxa"/>
            <w:tcBorders>
              <w:left w:val="single" w:color="000000" w:sz="4" w:space="0"/>
              <w:right w:val="single" w:color="000000" w:sz="4" w:space="0"/>
            </w:tcBorders>
            <w:vAlign w:val="center"/>
          </w:tcPr>
          <w:p w14:paraId="1611C657">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2.7</w:t>
            </w:r>
          </w:p>
        </w:tc>
        <w:tc>
          <w:tcPr>
            <w:tcW w:w="454" w:type="dxa"/>
            <w:tcBorders>
              <w:left w:val="single" w:color="000000" w:sz="4" w:space="0"/>
              <w:right w:val="single" w:color="000000" w:sz="4" w:space="0"/>
            </w:tcBorders>
            <w:vAlign w:val="center"/>
          </w:tcPr>
          <w:p w14:paraId="42F2C502">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2.5</w:t>
            </w:r>
          </w:p>
        </w:tc>
        <w:tc>
          <w:tcPr>
            <w:tcW w:w="325" w:type="dxa"/>
            <w:tcBorders>
              <w:left w:val="single" w:color="000000" w:sz="4" w:space="0"/>
              <w:right w:val="single" w:color="000000" w:sz="4" w:space="0"/>
            </w:tcBorders>
            <w:vAlign w:val="center"/>
          </w:tcPr>
          <w:p w14:paraId="767CA98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2.4</w:t>
            </w:r>
          </w:p>
        </w:tc>
        <w:tc>
          <w:tcPr>
            <w:tcW w:w="440" w:type="dxa"/>
            <w:tcBorders>
              <w:left w:val="single" w:color="000000" w:sz="4" w:space="0"/>
              <w:right w:val="single" w:color="000000" w:sz="4" w:space="0"/>
            </w:tcBorders>
            <w:vAlign w:val="center"/>
          </w:tcPr>
          <w:p w14:paraId="27817F89">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3.2</w:t>
            </w:r>
          </w:p>
        </w:tc>
        <w:tc>
          <w:tcPr>
            <w:tcW w:w="447" w:type="dxa"/>
            <w:tcBorders>
              <w:left w:val="single" w:color="000000" w:sz="4" w:space="0"/>
              <w:right w:val="single" w:color="000000" w:sz="4" w:space="0"/>
            </w:tcBorders>
            <w:vAlign w:val="center"/>
          </w:tcPr>
          <w:p w14:paraId="2E06613E">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6.6</w:t>
            </w:r>
          </w:p>
        </w:tc>
        <w:tc>
          <w:tcPr>
            <w:tcW w:w="521" w:type="dxa"/>
            <w:tcBorders>
              <w:left w:val="single" w:color="000000" w:sz="4" w:space="0"/>
              <w:right w:val="single" w:color="000000" w:sz="4" w:space="0"/>
            </w:tcBorders>
            <w:vAlign w:val="center"/>
          </w:tcPr>
          <w:p w14:paraId="45CD6363">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6.6</w:t>
            </w:r>
          </w:p>
        </w:tc>
        <w:tc>
          <w:tcPr>
            <w:tcW w:w="385" w:type="dxa"/>
            <w:tcBorders>
              <w:left w:val="single" w:color="000000" w:sz="4" w:space="0"/>
              <w:right w:val="single" w:color="000000" w:sz="4" w:space="0"/>
            </w:tcBorders>
            <w:vAlign w:val="center"/>
          </w:tcPr>
          <w:p w14:paraId="736A9AF6">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5.4</w:t>
            </w:r>
          </w:p>
        </w:tc>
        <w:tc>
          <w:tcPr>
            <w:tcW w:w="617" w:type="dxa"/>
            <w:tcBorders>
              <w:left w:val="single" w:color="000000" w:sz="4" w:space="0"/>
              <w:right w:val="single" w:color="000000" w:sz="4" w:space="0"/>
            </w:tcBorders>
            <w:vAlign w:val="center"/>
          </w:tcPr>
          <w:p w14:paraId="5BC7D2F1">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10.8</w:t>
            </w:r>
          </w:p>
        </w:tc>
        <w:tc>
          <w:tcPr>
            <w:tcW w:w="325" w:type="dxa"/>
            <w:tcBorders>
              <w:left w:val="single" w:color="000000" w:sz="4" w:space="0"/>
              <w:right w:val="single" w:color="000000" w:sz="4" w:space="0"/>
            </w:tcBorders>
            <w:vAlign w:val="center"/>
          </w:tcPr>
          <w:p w14:paraId="1BF43FE5">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9.4</w:t>
            </w:r>
          </w:p>
        </w:tc>
        <w:tc>
          <w:tcPr>
            <w:tcW w:w="659" w:type="dxa"/>
            <w:tcBorders>
              <w:left w:val="single" w:color="000000" w:sz="4" w:space="0"/>
              <w:right w:val="single" w:color="000000" w:sz="4" w:space="0"/>
            </w:tcBorders>
            <w:vAlign w:val="center"/>
          </w:tcPr>
          <w:p w14:paraId="0443ED97">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11.5</w:t>
            </w:r>
          </w:p>
        </w:tc>
        <w:tc>
          <w:tcPr>
            <w:tcW w:w="447" w:type="dxa"/>
            <w:tcBorders>
              <w:left w:val="single" w:color="000000" w:sz="4" w:space="0"/>
              <w:right w:val="single" w:color="000000" w:sz="4" w:space="0"/>
            </w:tcBorders>
            <w:vAlign w:val="center"/>
          </w:tcPr>
          <w:p w14:paraId="3CFE7294">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10.5</w:t>
            </w:r>
          </w:p>
        </w:tc>
        <w:tc>
          <w:tcPr>
            <w:tcW w:w="603" w:type="dxa"/>
            <w:tcBorders>
              <w:left w:val="single" w:color="000000" w:sz="4" w:space="0"/>
              <w:right w:val="single" w:color="000000" w:sz="4" w:space="0"/>
            </w:tcBorders>
            <w:vAlign w:val="center"/>
          </w:tcPr>
          <w:p w14:paraId="087E5E80">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9.1</w:t>
            </w:r>
          </w:p>
        </w:tc>
        <w:tc>
          <w:tcPr>
            <w:tcW w:w="347" w:type="dxa"/>
            <w:tcBorders>
              <w:left w:val="single" w:color="000000" w:sz="4" w:space="0"/>
              <w:right w:val="single" w:color="000000" w:sz="10" w:space="0"/>
            </w:tcBorders>
            <w:vAlign w:val="center"/>
          </w:tcPr>
          <w:p w14:paraId="72FC19F5">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6.2</w:t>
            </w:r>
          </w:p>
        </w:tc>
      </w:tr>
      <w:tr w14:paraId="2D8E00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6723A812">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02</w:t>
            </w:r>
          </w:p>
        </w:tc>
        <w:tc>
          <w:tcPr>
            <w:tcW w:w="325" w:type="dxa"/>
            <w:tcBorders>
              <w:left w:val="single" w:color="000000" w:sz="4" w:space="0"/>
              <w:right w:val="single" w:color="000000" w:sz="4" w:space="0"/>
            </w:tcBorders>
            <w:vAlign w:val="center"/>
          </w:tcPr>
          <w:p w14:paraId="5DF3A3E3">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6.3</w:t>
            </w:r>
          </w:p>
        </w:tc>
        <w:tc>
          <w:tcPr>
            <w:tcW w:w="522" w:type="dxa"/>
            <w:tcBorders>
              <w:left w:val="single" w:color="000000" w:sz="4" w:space="0"/>
              <w:right w:val="single" w:color="000000" w:sz="4" w:space="0"/>
            </w:tcBorders>
            <w:vAlign w:val="center"/>
          </w:tcPr>
          <w:p w14:paraId="66E32423">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4.4</w:t>
            </w:r>
          </w:p>
        </w:tc>
        <w:tc>
          <w:tcPr>
            <w:tcW w:w="345" w:type="dxa"/>
            <w:tcBorders>
              <w:left w:val="single" w:color="000000" w:sz="4" w:space="0"/>
              <w:right w:val="single" w:color="000000" w:sz="4" w:space="0"/>
            </w:tcBorders>
            <w:vAlign w:val="center"/>
          </w:tcPr>
          <w:p w14:paraId="32EE4967">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3.2</w:t>
            </w:r>
          </w:p>
        </w:tc>
        <w:tc>
          <w:tcPr>
            <w:tcW w:w="496" w:type="dxa"/>
            <w:tcBorders>
              <w:left w:val="single" w:color="000000" w:sz="4" w:space="0"/>
              <w:right w:val="single" w:color="000000" w:sz="4" w:space="0"/>
            </w:tcBorders>
            <w:vAlign w:val="center"/>
          </w:tcPr>
          <w:p w14:paraId="7A82C377">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3.7</w:t>
            </w:r>
          </w:p>
        </w:tc>
        <w:tc>
          <w:tcPr>
            <w:tcW w:w="325" w:type="dxa"/>
            <w:tcBorders>
              <w:left w:val="single" w:color="000000" w:sz="4" w:space="0"/>
              <w:right w:val="single" w:color="000000" w:sz="4" w:space="0"/>
            </w:tcBorders>
            <w:vAlign w:val="center"/>
          </w:tcPr>
          <w:p w14:paraId="05919E46">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2.8</w:t>
            </w:r>
          </w:p>
        </w:tc>
        <w:tc>
          <w:tcPr>
            <w:tcW w:w="454" w:type="dxa"/>
            <w:tcBorders>
              <w:left w:val="single" w:color="000000" w:sz="4" w:space="0"/>
              <w:right w:val="single" w:color="000000" w:sz="4" w:space="0"/>
            </w:tcBorders>
            <w:vAlign w:val="center"/>
          </w:tcPr>
          <w:p w14:paraId="3E71A897">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3.4</w:t>
            </w:r>
          </w:p>
        </w:tc>
        <w:tc>
          <w:tcPr>
            <w:tcW w:w="325" w:type="dxa"/>
            <w:tcBorders>
              <w:left w:val="single" w:color="000000" w:sz="4" w:space="0"/>
              <w:right w:val="single" w:color="000000" w:sz="4" w:space="0"/>
            </w:tcBorders>
            <w:vAlign w:val="center"/>
          </w:tcPr>
          <w:p w14:paraId="295D756F">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3.5</w:t>
            </w:r>
          </w:p>
        </w:tc>
        <w:tc>
          <w:tcPr>
            <w:tcW w:w="440" w:type="dxa"/>
            <w:tcBorders>
              <w:left w:val="single" w:color="000000" w:sz="4" w:space="0"/>
              <w:right w:val="single" w:color="000000" w:sz="4" w:space="0"/>
            </w:tcBorders>
            <w:vAlign w:val="center"/>
          </w:tcPr>
          <w:p w14:paraId="016EEF3B">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3.7</w:t>
            </w:r>
          </w:p>
        </w:tc>
        <w:tc>
          <w:tcPr>
            <w:tcW w:w="447" w:type="dxa"/>
            <w:tcBorders>
              <w:left w:val="single" w:color="000000" w:sz="4" w:space="0"/>
              <w:right w:val="single" w:color="000000" w:sz="4" w:space="0"/>
            </w:tcBorders>
            <w:vAlign w:val="center"/>
          </w:tcPr>
          <w:p w14:paraId="17DC5DF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6.1</w:t>
            </w:r>
          </w:p>
        </w:tc>
        <w:tc>
          <w:tcPr>
            <w:tcW w:w="521" w:type="dxa"/>
            <w:tcBorders>
              <w:left w:val="single" w:color="000000" w:sz="4" w:space="0"/>
              <w:right w:val="single" w:color="000000" w:sz="4" w:space="0"/>
            </w:tcBorders>
            <w:vAlign w:val="center"/>
          </w:tcPr>
          <w:p w14:paraId="7C0E652F">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7.6</w:t>
            </w:r>
          </w:p>
        </w:tc>
        <w:tc>
          <w:tcPr>
            <w:tcW w:w="385" w:type="dxa"/>
            <w:tcBorders>
              <w:left w:val="single" w:color="000000" w:sz="4" w:space="0"/>
              <w:right w:val="single" w:color="000000" w:sz="4" w:space="0"/>
            </w:tcBorders>
            <w:vAlign w:val="center"/>
          </w:tcPr>
          <w:p w14:paraId="4F4CC335">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5.6</w:t>
            </w:r>
          </w:p>
        </w:tc>
        <w:tc>
          <w:tcPr>
            <w:tcW w:w="617" w:type="dxa"/>
            <w:tcBorders>
              <w:left w:val="single" w:color="000000" w:sz="4" w:space="0"/>
              <w:right w:val="single" w:color="000000" w:sz="4" w:space="0"/>
            </w:tcBorders>
            <w:vAlign w:val="center"/>
          </w:tcPr>
          <w:p w14:paraId="4EE9A58A">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11.1</w:t>
            </w:r>
          </w:p>
        </w:tc>
        <w:tc>
          <w:tcPr>
            <w:tcW w:w="325" w:type="dxa"/>
            <w:tcBorders>
              <w:left w:val="single" w:color="000000" w:sz="4" w:space="0"/>
              <w:right w:val="single" w:color="000000" w:sz="4" w:space="0"/>
            </w:tcBorders>
            <w:vAlign w:val="center"/>
          </w:tcPr>
          <w:p w14:paraId="74807E70">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9.4</w:t>
            </w:r>
          </w:p>
        </w:tc>
        <w:tc>
          <w:tcPr>
            <w:tcW w:w="659" w:type="dxa"/>
            <w:tcBorders>
              <w:left w:val="single" w:color="000000" w:sz="4" w:space="0"/>
              <w:right w:val="single" w:color="000000" w:sz="4" w:space="0"/>
            </w:tcBorders>
            <w:vAlign w:val="center"/>
          </w:tcPr>
          <w:p w14:paraId="007F90B1">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10</w:t>
            </w:r>
          </w:p>
        </w:tc>
        <w:tc>
          <w:tcPr>
            <w:tcW w:w="447" w:type="dxa"/>
            <w:tcBorders>
              <w:left w:val="single" w:color="000000" w:sz="4" w:space="0"/>
              <w:right w:val="single" w:color="000000" w:sz="4" w:space="0"/>
            </w:tcBorders>
            <w:vAlign w:val="center"/>
          </w:tcPr>
          <w:p w14:paraId="38DE8F79">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12.5</w:t>
            </w:r>
          </w:p>
        </w:tc>
        <w:tc>
          <w:tcPr>
            <w:tcW w:w="603" w:type="dxa"/>
            <w:tcBorders>
              <w:left w:val="single" w:color="000000" w:sz="4" w:space="0"/>
              <w:right w:val="single" w:color="000000" w:sz="4" w:space="0"/>
            </w:tcBorders>
            <w:vAlign w:val="center"/>
          </w:tcPr>
          <w:p w14:paraId="4D32DF23">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7.9</w:t>
            </w:r>
          </w:p>
        </w:tc>
        <w:tc>
          <w:tcPr>
            <w:tcW w:w="347" w:type="dxa"/>
            <w:tcBorders>
              <w:left w:val="single" w:color="000000" w:sz="4" w:space="0"/>
              <w:right w:val="single" w:color="000000" w:sz="10" w:space="0"/>
            </w:tcBorders>
            <w:vAlign w:val="center"/>
          </w:tcPr>
          <w:p w14:paraId="33A72047">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4.5</w:t>
            </w:r>
          </w:p>
        </w:tc>
      </w:tr>
      <w:tr w14:paraId="2CF7B0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3BA7147A">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03</w:t>
            </w:r>
          </w:p>
        </w:tc>
        <w:tc>
          <w:tcPr>
            <w:tcW w:w="325" w:type="dxa"/>
            <w:tcBorders>
              <w:left w:val="single" w:color="000000" w:sz="4" w:space="0"/>
              <w:right w:val="single" w:color="000000" w:sz="4" w:space="0"/>
            </w:tcBorders>
            <w:vAlign w:val="center"/>
          </w:tcPr>
          <w:p w14:paraId="13C97227">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9.1</w:t>
            </w:r>
          </w:p>
        </w:tc>
        <w:tc>
          <w:tcPr>
            <w:tcW w:w="522" w:type="dxa"/>
            <w:tcBorders>
              <w:left w:val="single" w:color="000000" w:sz="4" w:space="0"/>
              <w:right w:val="single" w:color="000000" w:sz="4" w:space="0"/>
            </w:tcBorders>
            <w:vAlign w:val="center"/>
          </w:tcPr>
          <w:p w14:paraId="322CEFE0">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5.2</w:t>
            </w:r>
          </w:p>
        </w:tc>
        <w:tc>
          <w:tcPr>
            <w:tcW w:w="345" w:type="dxa"/>
            <w:tcBorders>
              <w:left w:val="single" w:color="000000" w:sz="4" w:space="0"/>
              <w:right w:val="single" w:color="000000" w:sz="4" w:space="0"/>
            </w:tcBorders>
            <w:vAlign w:val="center"/>
          </w:tcPr>
          <w:p w14:paraId="00FB3693">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3.7</w:t>
            </w:r>
          </w:p>
        </w:tc>
        <w:tc>
          <w:tcPr>
            <w:tcW w:w="496" w:type="dxa"/>
            <w:tcBorders>
              <w:left w:val="single" w:color="000000" w:sz="4" w:space="0"/>
              <w:right w:val="single" w:color="000000" w:sz="4" w:space="0"/>
            </w:tcBorders>
            <w:vAlign w:val="center"/>
          </w:tcPr>
          <w:p w14:paraId="406962D8">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3.9</w:t>
            </w:r>
          </w:p>
        </w:tc>
        <w:tc>
          <w:tcPr>
            <w:tcW w:w="325" w:type="dxa"/>
            <w:tcBorders>
              <w:left w:val="single" w:color="000000" w:sz="4" w:space="0"/>
              <w:right w:val="single" w:color="000000" w:sz="4" w:space="0"/>
            </w:tcBorders>
            <w:vAlign w:val="center"/>
          </w:tcPr>
          <w:p w14:paraId="2601D036">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3.5</w:t>
            </w:r>
          </w:p>
        </w:tc>
        <w:tc>
          <w:tcPr>
            <w:tcW w:w="454" w:type="dxa"/>
            <w:tcBorders>
              <w:left w:val="single" w:color="000000" w:sz="4" w:space="0"/>
              <w:right w:val="single" w:color="000000" w:sz="4" w:space="0"/>
            </w:tcBorders>
            <w:vAlign w:val="center"/>
          </w:tcPr>
          <w:p w14:paraId="2E9D8175">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3.1</w:t>
            </w:r>
          </w:p>
        </w:tc>
        <w:tc>
          <w:tcPr>
            <w:tcW w:w="325" w:type="dxa"/>
            <w:tcBorders>
              <w:left w:val="single" w:color="000000" w:sz="4" w:space="0"/>
              <w:right w:val="single" w:color="000000" w:sz="4" w:space="0"/>
            </w:tcBorders>
            <w:vAlign w:val="center"/>
          </w:tcPr>
          <w:p w14:paraId="6B7C372C">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3.6</w:t>
            </w:r>
          </w:p>
        </w:tc>
        <w:tc>
          <w:tcPr>
            <w:tcW w:w="440" w:type="dxa"/>
            <w:tcBorders>
              <w:left w:val="single" w:color="000000" w:sz="4" w:space="0"/>
              <w:right w:val="single" w:color="000000" w:sz="4" w:space="0"/>
            </w:tcBorders>
            <w:vAlign w:val="center"/>
          </w:tcPr>
          <w:p w14:paraId="175D92B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3.4</w:t>
            </w:r>
          </w:p>
        </w:tc>
        <w:tc>
          <w:tcPr>
            <w:tcW w:w="447" w:type="dxa"/>
            <w:tcBorders>
              <w:left w:val="single" w:color="000000" w:sz="4" w:space="0"/>
              <w:right w:val="single" w:color="000000" w:sz="4" w:space="0"/>
            </w:tcBorders>
            <w:vAlign w:val="center"/>
          </w:tcPr>
          <w:p w14:paraId="7BD32AF5">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6.6</w:t>
            </w:r>
          </w:p>
        </w:tc>
        <w:tc>
          <w:tcPr>
            <w:tcW w:w="521" w:type="dxa"/>
            <w:tcBorders>
              <w:left w:val="single" w:color="000000" w:sz="4" w:space="0"/>
              <w:right w:val="single" w:color="000000" w:sz="4" w:space="0"/>
            </w:tcBorders>
            <w:vAlign w:val="center"/>
          </w:tcPr>
          <w:p w14:paraId="6F23F216">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7.1</w:t>
            </w:r>
          </w:p>
        </w:tc>
        <w:tc>
          <w:tcPr>
            <w:tcW w:w="385" w:type="dxa"/>
            <w:tcBorders>
              <w:left w:val="single" w:color="000000" w:sz="4" w:space="0"/>
              <w:right w:val="single" w:color="000000" w:sz="4" w:space="0"/>
            </w:tcBorders>
            <w:vAlign w:val="center"/>
          </w:tcPr>
          <w:p w14:paraId="510B2436">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5.4</w:t>
            </w:r>
          </w:p>
        </w:tc>
        <w:tc>
          <w:tcPr>
            <w:tcW w:w="617" w:type="dxa"/>
            <w:tcBorders>
              <w:left w:val="single" w:color="000000" w:sz="4" w:space="0"/>
              <w:right w:val="single" w:color="000000" w:sz="4" w:space="0"/>
            </w:tcBorders>
            <w:vAlign w:val="center"/>
          </w:tcPr>
          <w:p w14:paraId="33790CF3">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8.9</w:t>
            </w:r>
          </w:p>
        </w:tc>
        <w:tc>
          <w:tcPr>
            <w:tcW w:w="325" w:type="dxa"/>
            <w:tcBorders>
              <w:left w:val="single" w:color="000000" w:sz="4" w:space="0"/>
              <w:right w:val="single" w:color="000000" w:sz="4" w:space="0"/>
            </w:tcBorders>
            <w:vAlign w:val="center"/>
          </w:tcPr>
          <w:p w14:paraId="45F29E3E">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8.2</w:t>
            </w:r>
          </w:p>
        </w:tc>
        <w:tc>
          <w:tcPr>
            <w:tcW w:w="659" w:type="dxa"/>
            <w:tcBorders>
              <w:left w:val="single" w:color="000000" w:sz="4" w:space="0"/>
              <w:right w:val="single" w:color="000000" w:sz="4" w:space="0"/>
            </w:tcBorders>
            <w:vAlign w:val="center"/>
          </w:tcPr>
          <w:p w14:paraId="07AD93CF">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8.6</w:t>
            </w:r>
          </w:p>
        </w:tc>
        <w:tc>
          <w:tcPr>
            <w:tcW w:w="447" w:type="dxa"/>
            <w:tcBorders>
              <w:left w:val="single" w:color="000000" w:sz="4" w:space="0"/>
              <w:right w:val="single" w:color="000000" w:sz="4" w:space="0"/>
            </w:tcBorders>
            <w:vAlign w:val="center"/>
          </w:tcPr>
          <w:p w14:paraId="290C132A">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10.2</w:t>
            </w:r>
          </w:p>
        </w:tc>
        <w:tc>
          <w:tcPr>
            <w:tcW w:w="603" w:type="dxa"/>
            <w:tcBorders>
              <w:left w:val="single" w:color="000000" w:sz="4" w:space="0"/>
              <w:right w:val="single" w:color="000000" w:sz="4" w:space="0"/>
            </w:tcBorders>
            <w:vAlign w:val="center"/>
          </w:tcPr>
          <w:p w14:paraId="4F47F71E">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9.4</w:t>
            </w:r>
          </w:p>
        </w:tc>
        <w:tc>
          <w:tcPr>
            <w:tcW w:w="347" w:type="dxa"/>
            <w:tcBorders>
              <w:left w:val="single" w:color="000000" w:sz="4" w:space="0"/>
              <w:right w:val="single" w:color="000000" w:sz="10" w:space="0"/>
            </w:tcBorders>
            <w:vAlign w:val="center"/>
          </w:tcPr>
          <w:p w14:paraId="16E010F8">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3.8</w:t>
            </w:r>
          </w:p>
        </w:tc>
      </w:tr>
      <w:tr w14:paraId="7AF28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352C4751">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04</w:t>
            </w:r>
          </w:p>
        </w:tc>
        <w:tc>
          <w:tcPr>
            <w:tcW w:w="325" w:type="dxa"/>
            <w:tcBorders>
              <w:left w:val="single" w:color="000000" w:sz="4" w:space="0"/>
              <w:right w:val="single" w:color="000000" w:sz="4" w:space="0"/>
            </w:tcBorders>
            <w:vAlign w:val="center"/>
          </w:tcPr>
          <w:p w14:paraId="7EB8AEC9">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8.8</w:t>
            </w:r>
          </w:p>
        </w:tc>
        <w:tc>
          <w:tcPr>
            <w:tcW w:w="521" w:type="dxa"/>
            <w:tcBorders>
              <w:left w:val="single" w:color="000000" w:sz="4" w:space="0"/>
              <w:right w:val="single" w:color="000000" w:sz="4" w:space="0"/>
            </w:tcBorders>
            <w:vAlign w:val="center"/>
          </w:tcPr>
          <w:p w14:paraId="0E165659">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6.1</w:t>
            </w:r>
          </w:p>
        </w:tc>
        <w:tc>
          <w:tcPr>
            <w:tcW w:w="345" w:type="dxa"/>
            <w:tcBorders>
              <w:left w:val="single" w:color="000000" w:sz="4" w:space="0"/>
              <w:right w:val="single" w:color="000000" w:sz="4" w:space="0"/>
            </w:tcBorders>
            <w:vAlign w:val="center"/>
          </w:tcPr>
          <w:p w14:paraId="09FB5B98">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5.8</w:t>
            </w:r>
          </w:p>
        </w:tc>
        <w:tc>
          <w:tcPr>
            <w:tcW w:w="496" w:type="dxa"/>
            <w:tcBorders>
              <w:left w:val="single" w:color="000000" w:sz="4" w:space="0"/>
              <w:right w:val="single" w:color="000000" w:sz="4" w:space="0"/>
            </w:tcBorders>
            <w:vAlign w:val="center"/>
          </w:tcPr>
          <w:p w14:paraId="0AF57FBC">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4.8</w:t>
            </w:r>
          </w:p>
        </w:tc>
        <w:tc>
          <w:tcPr>
            <w:tcW w:w="325" w:type="dxa"/>
            <w:tcBorders>
              <w:left w:val="single" w:color="000000" w:sz="4" w:space="0"/>
              <w:right w:val="single" w:color="000000" w:sz="4" w:space="0"/>
            </w:tcBorders>
            <w:vAlign w:val="center"/>
          </w:tcPr>
          <w:p w14:paraId="0731F48A">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w:t>
            </w:r>
          </w:p>
        </w:tc>
        <w:tc>
          <w:tcPr>
            <w:tcW w:w="454" w:type="dxa"/>
            <w:tcBorders>
              <w:left w:val="single" w:color="000000" w:sz="4" w:space="0"/>
              <w:right w:val="single" w:color="000000" w:sz="4" w:space="0"/>
            </w:tcBorders>
            <w:vAlign w:val="center"/>
          </w:tcPr>
          <w:p w14:paraId="227F102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3.3</w:t>
            </w:r>
          </w:p>
        </w:tc>
        <w:tc>
          <w:tcPr>
            <w:tcW w:w="325" w:type="dxa"/>
            <w:tcBorders>
              <w:left w:val="single" w:color="000000" w:sz="4" w:space="0"/>
              <w:right w:val="single" w:color="000000" w:sz="4" w:space="0"/>
            </w:tcBorders>
            <w:vAlign w:val="center"/>
          </w:tcPr>
          <w:p w14:paraId="7F9C511B">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3.5</w:t>
            </w:r>
          </w:p>
        </w:tc>
        <w:tc>
          <w:tcPr>
            <w:tcW w:w="440" w:type="dxa"/>
            <w:tcBorders>
              <w:left w:val="single" w:color="000000" w:sz="4" w:space="0"/>
              <w:right w:val="single" w:color="000000" w:sz="4" w:space="0"/>
            </w:tcBorders>
            <w:vAlign w:val="center"/>
          </w:tcPr>
          <w:p w14:paraId="2AE072F1">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4.1</w:t>
            </w:r>
          </w:p>
        </w:tc>
        <w:tc>
          <w:tcPr>
            <w:tcW w:w="447" w:type="dxa"/>
            <w:tcBorders>
              <w:left w:val="single" w:color="000000" w:sz="4" w:space="0"/>
              <w:right w:val="single" w:color="000000" w:sz="4" w:space="0"/>
            </w:tcBorders>
            <w:vAlign w:val="center"/>
          </w:tcPr>
          <w:p w14:paraId="7FA66462">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8</w:t>
            </w:r>
          </w:p>
        </w:tc>
        <w:tc>
          <w:tcPr>
            <w:tcW w:w="522" w:type="dxa"/>
            <w:tcBorders>
              <w:left w:val="single" w:color="000000" w:sz="4" w:space="0"/>
              <w:right w:val="single" w:color="000000" w:sz="4" w:space="0"/>
            </w:tcBorders>
            <w:vAlign w:val="center"/>
          </w:tcPr>
          <w:p w14:paraId="2D6605D4">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9.1</w:t>
            </w:r>
          </w:p>
        </w:tc>
        <w:tc>
          <w:tcPr>
            <w:tcW w:w="385" w:type="dxa"/>
            <w:tcBorders>
              <w:left w:val="single" w:color="000000" w:sz="4" w:space="0"/>
              <w:right w:val="single" w:color="000000" w:sz="4" w:space="0"/>
            </w:tcBorders>
            <w:vAlign w:val="center"/>
          </w:tcPr>
          <w:p w14:paraId="3DFA642B">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6.6</w:t>
            </w:r>
          </w:p>
        </w:tc>
        <w:tc>
          <w:tcPr>
            <w:tcW w:w="617" w:type="dxa"/>
            <w:tcBorders>
              <w:left w:val="single" w:color="000000" w:sz="4" w:space="0"/>
              <w:right w:val="single" w:color="000000" w:sz="4" w:space="0"/>
            </w:tcBorders>
            <w:vAlign w:val="center"/>
          </w:tcPr>
          <w:p w14:paraId="49E18A68">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8.8</w:t>
            </w:r>
          </w:p>
        </w:tc>
        <w:tc>
          <w:tcPr>
            <w:tcW w:w="325" w:type="dxa"/>
            <w:tcBorders>
              <w:left w:val="single" w:color="000000" w:sz="4" w:space="0"/>
              <w:right w:val="single" w:color="000000" w:sz="4" w:space="0"/>
            </w:tcBorders>
            <w:vAlign w:val="center"/>
          </w:tcPr>
          <w:p w14:paraId="6C8787E1">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6.8</w:t>
            </w:r>
          </w:p>
        </w:tc>
        <w:tc>
          <w:tcPr>
            <w:tcW w:w="659" w:type="dxa"/>
            <w:tcBorders>
              <w:left w:val="single" w:color="000000" w:sz="4" w:space="0"/>
              <w:right w:val="single" w:color="000000" w:sz="4" w:space="0"/>
            </w:tcBorders>
            <w:vAlign w:val="center"/>
          </w:tcPr>
          <w:p w14:paraId="2674A33F">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7.4</w:t>
            </w:r>
          </w:p>
        </w:tc>
        <w:tc>
          <w:tcPr>
            <w:tcW w:w="447" w:type="dxa"/>
            <w:tcBorders>
              <w:left w:val="single" w:color="000000" w:sz="4" w:space="0"/>
              <w:right w:val="single" w:color="000000" w:sz="4" w:space="0"/>
            </w:tcBorders>
            <w:vAlign w:val="center"/>
          </w:tcPr>
          <w:p w14:paraId="63A77FE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7.6</w:t>
            </w:r>
          </w:p>
        </w:tc>
        <w:tc>
          <w:tcPr>
            <w:tcW w:w="603" w:type="dxa"/>
            <w:tcBorders>
              <w:left w:val="single" w:color="000000" w:sz="4" w:space="0"/>
              <w:right w:val="single" w:color="000000" w:sz="4" w:space="0"/>
            </w:tcBorders>
            <w:vAlign w:val="center"/>
          </w:tcPr>
          <w:p w14:paraId="2BE39159">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7.1</w:t>
            </w:r>
          </w:p>
        </w:tc>
        <w:tc>
          <w:tcPr>
            <w:tcW w:w="347" w:type="dxa"/>
            <w:tcBorders>
              <w:left w:val="single" w:color="000000" w:sz="4" w:space="0"/>
              <w:right w:val="single" w:color="000000" w:sz="10" w:space="0"/>
            </w:tcBorders>
            <w:vAlign w:val="center"/>
          </w:tcPr>
          <w:p w14:paraId="544BCC89">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3.7</w:t>
            </w:r>
          </w:p>
        </w:tc>
      </w:tr>
      <w:tr w14:paraId="2AEF2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4672DCB2">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05</w:t>
            </w:r>
          </w:p>
        </w:tc>
        <w:tc>
          <w:tcPr>
            <w:tcW w:w="325" w:type="dxa"/>
            <w:tcBorders>
              <w:left w:val="single" w:color="000000" w:sz="4" w:space="0"/>
              <w:right w:val="single" w:color="000000" w:sz="4" w:space="0"/>
            </w:tcBorders>
            <w:vAlign w:val="center"/>
          </w:tcPr>
          <w:p w14:paraId="3F896085">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w:t>
            </w:r>
          </w:p>
        </w:tc>
        <w:tc>
          <w:tcPr>
            <w:tcW w:w="521" w:type="dxa"/>
            <w:tcBorders>
              <w:left w:val="single" w:color="000000" w:sz="4" w:space="0"/>
              <w:right w:val="single" w:color="000000" w:sz="4" w:space="0"/>
            </w:tcBorders>
            <w:vAlign w:val="center"/>
          </w:tcPr>
          <w:p w14:paraId="1448AF94">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5.5</w:t>
            </w:r>
          </w:p>
        </w:tc>
        <w:tc>
          <w:tcPr>
            <w:tcW w:w="345" w:type="dxa"/>
            <w:tcBorders>
              <w:left w:val="single" w:color="000000" w:sz="4" w:space="0"/>
              <w:right w:val="single" w:color="000000" w:sz="4" w:space="0"/>
            </w:tcBorders>
            <w:vAlign w:val="center"/>
          </w:tcPr>
          <w:p w14:paraId="43846B66">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5.1</w:t>
            </w:r>
          </w:p>
        </w:tc>
        <w:tc>
          <w:tcPr>
            <w:tcW w:w="496" w:type="dxa"/>
            <w:tcBorders>
              <w:left w:val="single" w:color="000000" w:sz="4" w:space="0"/>
              <w:right w:val="single" w:color="000000" w:sz="4" w:space="0"/>
            </w:tcBorders>
            <w:vAlign w:val="center"/>
          </w:tcPr>
          <w:p w14:paraId="4A190F75">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5.2</w:t>
            </w:r>
          </w:p>
        </w:tc>
        <w:tc>
          <w:tcPr>
            <w:tcW w:w="325" w:type="dxa"/>
            <w:tcBorders>
              <w:left w:val="single" w:color="000000" w:sz="4" w:space="0"/>
              <w:right w:val="single" w:color="000000" w:sz="4" w:space="0"/>
            </w:tcBorders>
            <w:vAlign w:val="center"/>
          </w:tcPr>
          <w:p w14:paraId="3E72C875">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4.6</w:t>
            </w:r>
          </w:p>
        </w:tc>
        <w:tc>
          <w:tcPr>
            <w:tcW w:w="454" w:type="dxa"/>
            <w:tcBorders>
              <w:left w:val="single" w:color="000000" w:sz="4" w:space="0"/>
              <w:right w:val="single" w:color="000000" w:sz="4" w:space="0"/>
            </w:tcBorders>
            <w:vAlign w:val="center"/>
          </w:tcPr>
          <w:p w14:paraId="5480F8E2">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w:t>
            </w:r>
          </w:p>
        </w:tc>
        <w:tc>
          <w:tcPr>
            <w:tcW w:w="325" w:type="dxa"/>
            <w:tcBorders>
              <w:left w:val="single" w:color="000000" w:sz="4" w:space="0"/>
              <w:right w:val="single" w:color="000000" w:sz="4" w:space="0"/>
            </w:tcBorders>
            <w:vAlign w:val="center"/>
          </w:tcPr>
          <w:p w14:paraId="72D8E1C5">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4.9</w:t>
            </w:r>
          </w:p>
        </w:tc>
        <w:tc>
          <w:tcPr>
            <w:tcW w:w="440" w:type="dxa"/>
            <w:tcBorders>
              <w:left w:val="single" w:color="000000" w:sz="4" w:space="0"/>
              <w:right w:val="single" w:color="000000" w:sz="4" w:space="0"/>
            </w:tcBorders>
            <w:vAlign w:val="center"/>
          </w:tcPr>
          <w:p w14:paraId="055A4372">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5.4</w:t>
            </w:r>
          </w:p>
        </w:tc>
        <w:tc>
          <w:tcPr>
            <w:tcW w:w="447" w:type="dxa"/>
            <w:tcBorders>
              <w:left w:val="single" w:color="000000" w:sz="4" w:space="0"/>
              <w:right w:val="single" w:color="000000" w:sz="4" w:space="0"/>
            </w:tcBorders>
            <w:vAlign w:val="center"/>
          </w:tcPr>
          <w:p w14:paraId="72DA3012">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9.8</w:t>
            </w:r>
          </w:p>
        </w:tc>
        <w:tc>
          <w:tcPr>
            <w:tcW w:w="522" w:type="dxa"/>
            <w:tcBorders>
              <w:left w:val="single" w:color="000000" w:sz="4" w:space="0"/>
              <w:right w:val="single" w:color="000000" w:sz="4" w:space="0"/>
            </w:tcBorders>
            <w:vAlign w:val="center"/>
          </w:tcPr>
          <w:p w14:paraId="37732391">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11.2</w:t>
            </w:r>
          </w:p>
        </w:tc>
        <w:tc>
          <w:tcPr>
            <w:tcW w:w="385" w:type="dxa"/>
            <w:tcBorders>
              <w:left w:val="single" w:color="000000" w:sz="4" w:space="0"/>
              <w:right w:val="single" w:color="000000" w:sz="4" w:space="0"/>
            </w:tcBorders>
            <w:vAlign w:val="center"/>
          </w:tcPr>
          <w:p w14:paraId="5728436C">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6.7</w:t>
            </w:r>
          </w:p>
        </w:tc>
        <w:tc>
          <w:tcPr>
            <w:tcW w:w="617" w:type="dxa"/>
            <w:tcBorders>
              <w:left w:val="single" w:color="000000" w:sz="4" w:space="0"/>
              <w:right w:val="single" w:color="000000" w:sz="4" w:space="0"/>
            </w:tcBorders>
            <w:vAlign w:val="center"/>
          </w:tcPr>
          <w:p w14:paraId="3EAF6698">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7.6</w:t>
            </w:r>
          </w:p>
        </w:tc>
        <w:tc>
          <w:tcPr>
            <w:tcW w:w="325" w:type="dxa"/>
            <w:tcBorders>
              <w:left w:val="single" w:color="000000" w:sz="4" w:space="0"/>
              <w:right w:val="single" w:color="000000" w:sz="4" w:space="0"/>
            </w:tcBorders>
            <w:vAlign w:val="center"/>
          </w:tcPr>
          <w:p w14:paraId="69FF9F52">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w:t>
            </w:r>
          </w:p>
        </w:tc>
        <w:tc>
          <w:tcPr>
            <w:tcW w:w="659" w:type="dxa"/>
            <w:tcBorders>
              <w:left w:val="single" w:color="000000" w:sz="4" w:space="0"/>
              <w:right w:val="single" w:color="000000" w:sz="4" w:space="0"/>
            </w:tcBorders>
            <w:vAlign w:val="center"/>
          </w:tcPr>
          <w:p w14:paraId="0E8FFF48">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6.5</w:t>
            </w:r>
          </w:p>
        </w:tc>
        <w:tc>
          <w:tcPr>
            <w:tcW w:w="447" w:type="dxa"/>
            <w:tcBorders>
              <w:left w:val="single" w:color="000000" w:sz="4" w:space="0"/>
              <w:right w:val="single" w:color="000000" w:sz="4" w:space="0"/>
            </w:tcBorders>
            <w:vAlign w:val="center"/>
          </w:tcPr>
          <w:p w14:paraId="4541359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4.9</w:t>
            </w:r>
          </w:p>
        </w:tc>
        <w:tc>
          <w:tcPr>
            <w:tcW w:w="603" w:type="dxa"/>
            <w:tcBorders>
              <w:left w:val="single" w:color="000000" w:sz="4" w:space="0"/>
              <w:right w:val="single" w:color="000000" w:sz="4" w:space="0"/>
            </w:tcBorders>
            <w:vAlign w:val="center"/>
          </w:tcPr>
          <w:p w14:paraId="71B2944F">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5.1</w:t>
            </w:r>
          </w:p>
        </w:tc>
        <w:tc>
          <w:tcPr>
            <w:tcW w:w="347" w:type="dxa"/>
            <w:tcBorders>
              <w:left w:val="single" w:color="000000" w:sz="4" w:space="0"/>
              <w:right w:val="single" w:color="000000" w:sz="10" w:space="0"/>
            </w:tcBorders>
            <w:vAlign w:val="center"/>
          </w:tcPr>
          <w:p w14:paraId="6AF09774">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4.4</w:t>
            </w:r>
          </w:p>
        </w:tc>
      </w:tr>
      <w:tr w14:paraId="0B3F76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33CF9039">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06</w:t>
            </w:r>
          </w:p>
        </w:tc>
        <w:tc>
          <w:tcPr>
            <w:tcW w:w="325" w:type="dxa"/>
            <w:tcBorders>
              <w:left w:val="single" w:color="000000" w:sz="4" w:space="0"/>
              <w:right w:val="single" w:color="000000" w:sz="4" w:space="0"/>
            </w:tcBorders>
            <w:vAlign w:val="center"/>
          </w:tcPr>
          <w:p w14:paraId="3CDC9A8C">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5.5</w:t>
            </w:r>
          </w:p>
        </w:tc>
        <w:tc>
          <w:tcPr>
            <w:tcW w:w="521" w:type="dxa"/>
            <w:tcBorders>
              <w:left w:val="single" w:color="000000" w:sz="4" w:space="0"/>
              <w:right w:val="single" w:color="000000" w:sz="4" w:space="0"/>
            </w:tcBorders>
            <w:vAlign w:val="center"/>
          </w:tcPr>
          <w:p w14:paraId="7621BD68">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6.1</w:t>
            </w:r>
          </w:p>
        </w:tc>
        <w:tc>
          <w:tcPr>
            <w:tcW w:w="345" w:type="dxa"/>
            <w:tcBorders>
              <w:left w:val="single" w:color="000000" w:sz="4" w:space="0"/>
              <w:right w:val="single" w:color="000000" w:sz="4" w:space="0"/>
            </w:tcBorders>
            <w:vAlign w:val="center"/>
          </w:tcPr>
          <w:p w14:paraId="076C22B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5.4</w:t>
            </w:r>
          </w:p>
        </w:tc>
        <w:tc>
          <w:tcPr>
            <w:tcW w:w="496" w:type="dxa"/>
            <w:tcBorders>
              <w:left w:val="single" w:color="000000" w:sz="4" w:space="0"/>
              <w:right w:val="single" w:color="000000" w:sz="4" w:space="0"/>
            </w:tcBorders>
            <w:vAlign w:val="center"/>
          </w:tcPr>
          <w:p w14:paraId="5A7D6C20">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6.9</w:t>
            </w:r>
          </w:p>
        </w:tc>
        <w:tc>
          <w:tcPr>
            <w:tcW w:w="325" w:type="dxa"/>
            <w:tcBorders>
              <w:left w:val="single" w:color="000000" w:sz="4" w:space="0"/>
              <w:right w:val="single" w:color="000000" w:sz="4" w:space="0"/>
            </w:tcBorders>
            <w:vAlign w:val="center"/>
          </w:tcPr>
          <w:p w14:paraId="18A9DBB3">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6.4</w:t>
            </w:r>
          </w:p>
        </w:tc>
        <w:tc>
          <w:tcPr>
            <w:tcW w:w="454" w:type="dxa"/>
            <w:tcBorders>
              <w:left w:val="single" w:color="000000" w:sz="4" w:space="0"/>
              <w:right w:val="single" w:color="000000" w:sz="4" w:space="0"/>
            </w:tcBorders>
            <w:vAlign w:val="center"/>
          </w:tcPr>
          <w:p w14:paraId="475E0DDC">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6.5</w:t>
            </w:r>
          </w:p>
        </w:tc>
        <w:tc>
          <w:tcPr>
            <w:tcW w:w="325" w:type="dxa"/>
            <w:tcBorders>
              <w:left w:val="single" w:color="000000" w:sz="4" w:space="0"/>
              <w:right w:val="single" w:color="000000" w:sz="4" w:space="0"/>
            </w:tcBorders>
            <w:vAlign w:val="center"/>
          </w:tcPr>
          <w:p w14:paraId="7E4694B9">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7.5</w:t>
            </w:r>
          </w:p>
        </w:tc>
        <w:tc>
          <w:tcPr>
            <w:tcW w:w="440" w:type="dxa"/>
            <w:tcBorders>
              <w:left w:val="single" w:color="000000" w:sz="4" w:space="0"/>
              <w:right w:val="single" w:color="000000" w:sz="4" w:space="0"/>
            </w:tcBorders>
            <w:vAlign w:val="center"/>
          </w:tcPr>
          <w:p w14:paraId="74C47B4F">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6.1</w:t>
            </w:r>
          </w:p>
        </w:tc>
        <w:tc>
          <w:tcPr>
            <w:tcW w:w="447" w:type="dxa"/>
            <w:tcBorders>
              <w:left w:val="single" w:color="000000" w:sz="4" w:space="0"/>
              <w:right w:val="single" w:color="000000" w:sz="4" w:space="0"/>
            </w:tcBorders>
            <w:vAlign w:val="center"/>
          </w:tcPr>
          <w:p w14:paraId="30BB7A84">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9.3</w:t>
            </w:r>
          </w:p>
        </w:tc>
        <w:tc>
          <w:tcPr>
            <w:tcW w:w="522" w:type="dxa"/>
            <w:tcBorders>
              <w:left w:val="single" w:color="000000" w:sz="4" w:space="0"/>
              <w:right w:val="single" w:color="000000" w:sz="4" w:space="0"/>
            </w:tcBorders>
            <w:vAlign w:val="center"/>
          </w:tcPr>
          <w:p w14:paraId="2357D453">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7.9</w:t>
            </w:r>
          </w:p>
        </w:tc>
        <w:tc>
          <w:tcPr>
            <w:tcW w:w="385" w:type="dxa"/>
            <w:tcBorders>
              <w:left w:val="single" w:color="000000" w:sz="4" w:space="0"/>
              <w:right w:val="single" w:color="000000" w:sz="4" w:space="0"/>
            </w:tcBorders>
            <w:vAlign w:val="center"/>
          </w:tcPr>
          <w:p w14:paraId="7B793ABB">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5.5</w:t>
            </w:r>
          </w:p>
        </w:tc>
        <w:tc>
          <w:tcPr>
            <w:tcW w:w="617" w:type="dxa"/>
            <w:tcBorders>
              <w:left w:val="single" w:color="000000" w:sz="4" w:space="0"/>
              <w:right w:val="single" w:color="000000" w:sz="4" w:space="0"/>
            </w:tcBorders>
            <w:vAlign w:val="center"/>
          </w:tcPr>
          <w:p w14:paraId="74CF1C2E">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7.7</w:t>
            </w:r>
          </w:p>
        </w:tc>
        <w:tc>
          <w:tcPr>
            <w:tcW w:w="325" w:type="dxa"/>
            <w:tcBorders>
              <w:left w:val="single" w:color="000000" w:sz="4" w:space="0"/>
              <w:right w:val="single" w:color="000000" w:sz="4" w:space="0"/>
            </w:tcBorders>
            <w:vAlign w:val="center"/>
          </w:tcPr>
          <w:p w14:paraId="4879017A">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5.4</w:t>
            </w:r>
          </w:p>
        </w:tc>
        <w:tc>
          <w:tcPr>
            <w:tcW w:w="659" w:type="dxa"/>
            <w:tcBorders>
              <w:left w:val="single" w:color="000000" w:sz="4" w:space="0"/>
              <w:right w:val="single" w:color="000000" w:sz="4" w:space="0"/>
            </w:tcBorders>
            <w:vAlign w:val="center"/>
          </w:tcPr>
          <w:p w14:paraId="653A8D65">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4.4</w:t>
            </w:r>
          </w:p>
        </w:tc>
        <w:tc>
          <w:tcPr>
            <w:tcW w:w="447" w:type="dxa"/>
            <w:tcBorders>
              <w:left w:val="single" w:color="000000" w:sz="4" w:space="0"/>
              <w:right w:val="single" w:color="000000" w:sz="4" w:space="0"/>
            </w:tcBorders>
            <w:vAlign w:val="center"/>
          </w:tcPr>
          <w:p w14:paraId="124F40FF">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3.9</w:t>
            </w:r>
          </w:p>
        </w:tc>
        <w:tc>
          <w:tcPr>
            <w:tcW w:w="603" w:type="dxa"/>
            <w:tcBorders>
              <w:left w:val="single" w:color="000000" w:sz="4" w:space="0"/>
              <w:right w:val="single" w:color="000000" w:sz="4" w:space="0"/>
            </w:tcBorders>
            <w:vAlign w:val="center"/>
          </w:tcPr>
          <w:p w14:paraId="057D404C">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5.2</w:t>
            </w:r>
          </w:p>
        </w:tc>
        <w:tc>
          <w:tcPr>
            <w:tcW w:w="347" w:type="dxa"/>
            <w:tcBorders>
              <w:left w:val="single" w:color="000000" w:sz="4" w:space="0"/>
              <w:right w:val="single" w:color="000000" w:sz="10" w:space="0"/>
            </w:tcBorders>
            <w:vAlign w:val="center"/>
          </w:tcPr>
          <w:p w14:paraId="311845EE">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5.9</w:t>
            </w:r>
          </w:p>
        </w:tc>
      </w:tr>
      <w:tr w14:paraId="01883C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1CA97230">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07</w:t>
            </w:r>
          </w:p>
        </w:tc>
        <w:tc>
          <w:tcPr>
            <w:tcW w:w="325" w:type="dxa"/>
            <w:tcBorders>
              <w:left w:val="single" w:color="000000" w:sz="4" w:space="0"/>
              <w:right w:val="single" w:color="000000" w:sz="4" w:space="0"/>
            </w:tcBorders>
            <w:vAlign w:val="center"/>
          </w:tcPr>
          <w:p w14:paraId="2B8E6099">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5.4</w:t>
            </w:r>
          </w:p>
        </w:tc>
        <w:tc>
          <w:tcPr>
            <w:tcW w:w="521" w:type="dxa"/>
            <w:tcBorders>
              <w:left w:val="single" w:color="000000" w:sz="4" w:space="0"/>
              <w:right w:val="single" w:color="000000" w:sz="4" w:space="0"/>
            </w:tcBorders>
            <w:vAlign w:val="center"/>
          </w:tcPr>
          <w:p w14:paraId="101C9A29">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4.6</w:t>
            </w:r>
          </w:p>
        </w:tc>
        <w:tc>
          <w:tcPr>
            <w:tcW w:w="345" w:type="dxa"/>
            <w:tcBorders>
              <w:left w:val="single" w:color="000000" w:sz="4" w:space="0"/>
              <w:right w:val="single" w:color="000000" w:sz="4" w:space="0"/>
            </w:tcBorders>
            <w:vAlign w:val="center"/>
          </w:tcPr>
          <w:p w14:paraId="3452E2CC">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4.3</w:t>
            </w:r>
          </w:p>
        </w:tc>
        <w:tc>
          <w:tcPr>
            <w:tcW w:w="496" w:type="dxa"/>
            <w:tcBorders>
              <w:left w:val="single" w:color="000000" w:sz="4" w:space="0"/>
              <w:right w:val="single" w:color="000000" w:sz="4" w:space="0"/>
            </w:tcBorders>
            <w:vAlign w:val="center"/>
          </w:tcPr>
          <w:p w14:paraId="6AD38605">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5.5</w:t>
            </w:r>
          </w:p>
        </w:tc>
        <w:tc>
          <w:tcPr>
            <w:tcW w:w="325" w:type="dxa"/>
            <w:tcBorders>
              <w:left w:val="single" w:color="000000" w:sz="4" w:space="0"/>
              <w:right w:val="single" w:color="000000" w:sz="4" w:space="0"/>
            </w:tcBorders>
            <w:vAlign w:val="center"/>
          </w:tcPr>
          <w:p w14:paraId="4FC96CD2">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6.1</w:t>
            </w:r>
          </w:p>
        </w:tc>
        <w:tc>
          <w:tcPr>
            <w:tcW w:w="454" w:type="dxa"/>
            <w:tcBorders>
              <w:left w:val="single" w:color="000000" w:sz="4" w:space="0"/>
              <w:right w:val="single" w:color="000000" w:sz="4" w:space="0"/>
            </w:tcBorders>
            <w:vAlign w:val="center"/>
          </w:tcPr>
          <w:p w14:paraId="7D6089A1">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6.7</w:t>
            </w:r>
          </w:p>
        </w:tc>
        <w:tc>
          <w:tcPr>
            <w:tcW w:w="325" w:type="dxa"/>
            <w:tcBorders>
              <w:left w:val="single" w:color="000000" w:sz="4" w:space="0"/>
              <w:right w:val="single" w:color="000000" w:sz="4" w:space="0"/>
            </w:tcBorders>
            <w:vAlign w:val="center"/>
          </w:tcPr>
          <w:p w14:paraId="7B8CE16B">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7.2</w:t>
            </w:r>
          </w:p>
        </w:tc>
        <w:tc>
          <w:tcPr>
            <w:tcW w:w="440" w:type="dxa"/>
            <w:tcBorders>
              <w:left w:val="single" w:color="000000" w:sz="4" w:space="0"/>
              <w:right w:val="single" w:color="000000" w:sz="4" w:space="0"/>
            </w:tcBorders>
            <w:vAlign w:val="center"/>
          </w:tcPr>
          <w:p w14:paraId="66B0B07E">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9.5</w:t>
            </w:r>
          </w:p>
        </w:tc>
        <w:tc>
          <w:tcPr>
            <w:tcW w:w="447" w:type="dxa"/>
            <w:tcBorders>
              <w:left w:val="single" w:color="000000" w:sz="4" w:space="0"/>
              <w:right w:val="single" w:color="000000" w:sz="4" w:space="0"/>
            </w:tcBorders>
            <w:vAlign w:val="center"/>
          </w:tcPr>
          <w:p w14:paraId="236FBDE6">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14.2</w:t>
            </w:r>
          </w:p>
        </w:tc>
        <w:tc>
          <w:tcPr>
            <w:tcW w:w="522" w:type="dxa"/>
            <w:tcBorders>
              <w:left w:val="single" w:color="000000" w:sz="4" w:space="0"/>
              <w:right w:val="single" w:color="000000" w:sz="4" w:space="0"/>
            </w:tcBorders>
            <w:vAlign w:val="center"/>
          </w:tcPr>
          <w:p w14:paraId="10D4D828">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9.8</w:t>
            </w:r>
          </w:p>
        </w:tc>
        <w:tc>
          <w:tcPr>
            <w:tcW w:w="385" w:type="dxa"/>
            <w:tcBorders>
              <w:left w:val="single" w:color="000000" w:sz="4" w:space="0"/>
              <w:right w:val="single" w:color="000000" w:sz="4" w:space="0"/>
            </w:tcBorders>
            <w:vAlign w:val="center"/>
          </w:tcPr>
          <w:p w14:paraId="50752177">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4.4</w:t>
            </w:r>
          </w:p>
        </w:tc>
        <w:tc>
          <w:tcPr>
            <w:tcW w:w="617" w:type="dxa"/>
            <w:tcBorders>
              <w:left w:val="single" w:color="000000" w:sz="4" w:space="0"/>
              <w:right w:val="single" w:color="000000" w:sz="4" w:space="0"/>
            </w:tcBorders>
            <w:vAlign w:val="center"/>
          </w:tcPr>
          <w:p w14:paraId="3891AF24">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4.2</w:t>
            </w:r>
          </w:p>
        </w:tc>
        <w:tc>
          <w:tcPr>
            <w:tcW w:w="325" w:type="dxa"/>
            <w:tcBorders>
              <w:left w:val="single" w:color="000000" w:sz="4" w:space="0"/>
              <w:right w:val="single" w:color="000000" w:sz="4" w:space="0"/>
            </w:tcBorders>
            <w:vAlign w:val="center"/>
          </w:tcPr>
          <w:p w14:paraId="47F8DAE9">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w:t>
            </w:r>
          </w:p>
        </w:tc>
        <w:tc>
          <w:tcPr>
            <w:tcW w:w="659" w:type="dxa"/>
            <w:tcBorders>
              <w:left w:val="single" w:color="000000" w:sz="4" w:space="0"/>
              <w:right w:val="single" w:color="000000" w:sz="4" w:space="0"/>
            </w:tcBorders>
            <w:vAlign w:val="center"/>
          </w:tcPr>
          <w:p w14:paraId="30F2E686">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3.2</w:t>
            </w:r>
          </w:p>
        </w:tc>
        <w:tc>
          <w:tcPr>
            <w:tcW w:w="447" w:type="dxa"/>
            <w:tcBorders>
              <w:left w:val="single" w:color="000000" w:sz="4" w:space="0"/>
              <w:right w:val="single" w:color="000000" w:sz="4" w:space="0"/>
            </w:tcBorders>
            <w:vAlign w:val="center"/>
          </w:tcPr>
          <w:p w14:paraId="71828043">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3.6</w:t>
            </w:r>
          </w:p>
        </w:tc>
        <w:tc>
          <w:tcPr>
            <w:tcW w:w="603" w:type="dxa"/>
            <w:tcBorders>
              <w:left w:val="single" w:color="000000" w:sz="4" w:space="0"/>
              <w:right w:val="single" w:color="000000" w:sz="4" w:space="0"/>
            </w:tcBorders>
            <w:vAlign w:val="center"/>
          </w:tcPr>
          <w:p w14:paraId="367F8586">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4.8</w:t>
            </w:r>
          </w:p>
        </w:tc>
        <w:tc>
          <w:tcPr>
            <w:tcW w:w="347" w:type="dxa"/>
            <w:tcBorders>
              <w:left w:val="single" w:color="000000" w:sz="4" w:space="0"/>
              <w:right w:val="single" w:color="000000" w:sz="10" w:space="0"/>
            </w:tcBorders>
            <w:vAlign w:val="center"/>
          </w:tcPr>
          <w:p w14:paraId="553230D5">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6.5</w:t>
            </w:r>
          </w:p>
        </w:tc>
      </w:tr>
      <w:tr w14:paraId="5830EC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627F8ABA">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08</w:t>
            </w:r>
          </w:p>
        </w:tc>
        <w:tc>
          <w:tcPr>
            <w:tcW w:w="325" w:type="dxa"/>
            <w:tcBorders>
              <w:left w:val="single" w:color="000000" w:sz="4" w:space="0"/>
              <w:right w:val="single" w:color="000000" w:sz="4" w:space="0"/>
            </w:tcBorders>
            <w:vAlign w:val="center"/>
          </w:tcPr>
          <w:p w14:paraId="51F9F975">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6.4</w:t>
            </w:r>
          </w:p>
        </w:tc>
        <w:tc>
          <w:tcPr>
            <w:tcW w:w="521" w:type="dxa"/>
            <w:tcBorders>
              <w:left w:val="single" w:color="000000" w:sz="4" w:space="0"/>
              <w:right w:val="single" w:color="000000" w:sz="4" w:space="0"/>
            </w:tcBorders>
            <w:vAlign w:val="center"/>
          </w:tcPr>
          <w:p w14:paraId="7DE3D46B">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6.3</w:t>
            </w:r>
          </w:p>
        </w:tc>
        <w:tc>
          <w:tcPr>
            <w:tcW w:w="345" w:type="dxa"/>
            <w:tcBorders>
              <w:left w:val="single" w:color="000000" w:sz="4" w:space="0"/>
              <w:right w:val="single" w:color="000000" w:sz="4" w:space="0"/>
            </w:tcBorders>
            <w:vAlign w:val="center"/>
          </w:tcPr>
          <w:p w14:paraId="285901B0">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w:t>
            </w:r>
          </w:p>
        </w:tc>
        <w:tc>
          <w:tcPr>
            <w:tcW w:w="496" w:type="dxa"/>
            <w:tcBorders>
              <w:left w:val="single" w:color="000000" w:sz="4" w:space="0"/>
              <w:right w:val="single" w:color="000000" w:sz="4" w:space="0"/>
            </w:tcBorders>
            <w:vAlign w:val="center"/>
          </w:tcPr>
          <w:p w14:paraId="79A2774E">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5.8</w:t>
            </w:r>
          </w:p>
        </w:tc>
        <w:tc>
          <w:tcPr>
            <w:tcW w:w="325" w:type="dxa"/>
            <w:tcBorders>
              <w:left w:val="single" w:color="000000" w:sz="4" w:space="0"/>
              <w:right w:val="single" w:color="000000" w:sz="4" w:space="0"/>
            </w:tcBorders>
            <w:vAlign w:val="center"/>
          </w:tcPr>
          <w:p w14:paraId="68C7D848">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4.7</w:t>
            </w:r>
          </w:p>
        </w:tc>
        <w:tc>
          <w:tcPr>
            <w:tcW w:w="454" w:type="dxa"/>
            <w:tcBorders>
              <w:left w:val="single" w:color="000000" w:sz="4" w:space="0"/>
              <w:right w:val="single" w:color="000000" w:sz="4" w:space="0"/>
            </w:tcBorders>
            <w:vAlign w:val="center"/>
          </w:tcPr>
          <w:p w14:paraId="55C12031">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4.9</w:t>
            </w:r>
          </w:p>
        </w:tc>
        <w:tc>
          <w:tcPr>
            <w:tcW w:w="325" w:type="dxa"/>
            <w:tcBorders>
              <w:left w:val="single" w:color="000000" w:sz="4" w:space="0"/>
              <w:right w:val="single" w:color="000000" w:sz="4" w:space="0"/>
            </w:tcBorders>
            <w:vAlign w:val="center"/>
          </w:tcPr>
          <w:p w14:paraId="6CFCD010">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4.9</w:t>
            </w:r>
          </w:p>
        </w:tc>
        <w:tc>
          <w:tcPr>
            <w:tcW w:w="440" w:type="dxa"/>
            <w:tcBorders>
              <w:left w:val="single" w:color="000000" w:sz="4" w:space="0"/>
              <w:right w:val="single" w:color="000000" w:sz="4" w:space="0"/>
            </w:tcBorders>
            <w:vAlign w:val="center"/>
          </w:tcPr>
          <w:p w14:paraId="39C6F4F7">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6.9</w:t>
            </w:r>
          </w:p>
        </w:tc>
        <w:tc>
          <w:tcPr>
            <w:tcW w:w="447" w:type="dxa"/>
            <w:tcBorders>
              <w:left w:val="single" w:color="000000" w:sz="4" w:space="0"/>
              <w:right w:val="single" w:color="000000" w:sz="4" w:space="0"/>
            </w:tcBorders>
            <w:vAlign w:val="center"/>
          </w:tcPr>
          <w:p w14:paraId="20B08B03">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11</w:t>
            </w:r>
          </w:p>
        </w:tc>
        <w:tc>
          <w:tcPr>
            <w:tcW w:w="522" w:type="dxa"/>
            <w:tcBorders>
              <w:left w:val="single" w:color="000000" w:sz="4" w:space="0"/>
              <w:right w:val="single" w:color="000000" w:sz="4" w:space="0"/>
            </w:tcBorders>
            <w:vAlign w:val="center"/>
          </w:tcPr>
          <w:p w14:paraId="2FD1BF6B">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8.3</w:t>
            </w:r>
          </w:p>
        </w:tc>
        <w:tc>
          <w:tcPr>
            <w:tcW w:w="385" w:type="dxa"/>
            <w:tcBorders>
              <w:left w:val="single" w:color="000000" w:sz="4" w:space="0"/>
              <w:right w:val="single" w:color="000000" w:sz="4" w:space="0"/>
            </w:tcBorders>
            <w:vAlign w:val="center"/>
          </w:tcPr>
          <w:p w14:paraId="1CA930BC">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4.6</w:t>
            </w:r>
          </w:p>
        </w:tc>
        <w:tc>
          <w:tcPr>
            <w:tcW w:w="617" w:type="dxa"/>
            <w:tcBorders>
              <w:left w:val="single" w:color="000000" w:sz="4" w:space="0"/>
              <w:right w:val="single" w:color="000000" w:sz="4" w:space="0"/>
            </w:tcBorders>
            <w:vAlign w:val="center"/>
          </w:tcPr>
          <w:p w14:paraId="21BF4D01">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6.5</w:t>
            </w:r>
          </w:p>
        </w:tc>
        <w:tc>
          <w:tcPr>
            <w:tcW w:w="325" w:type="dxa"/>
            <w:tcBorders>
              <w:left w:val="single" w:color="000000" w:sz="4" w:space="0"/>
              <w:right w:val="single" w:color="000000" w:sz="4" w:space="0"/>
            </w:tcBorders>
            <w:vAlign w:val="center"/>
          </w:tcPr>
          <w:p w14:paraId="42F9D563">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4.6</w:t>
            </w:r>
          </w:p>
        </w:tc>
        <w:tc>
          <w:tcPr>
            <w:tcW w:w="659" w:type="dxa"/>
            <w:tcBorders>
              <w:left w:val="single" w:color="000000" w:sz="4" w:space="0"/>
              <w:right w:val="single" w:color="000000" w:sz="4" w:space="0"/>
            </w:tcBorders>
            <w:vAlign w:val="center"/>
          </w:tcPr>
          <w:p w14:paraId="057C0F62">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3.8</w:t>
            </w:r>
          </w:p>
        </w:tc>
        <w:tc>
          <w:tcPr>
            <w:tcW w:w="447" w:type="dxa"/>
            <w:tcBorders>
              <w:left w:val="single" w:color="000000" w:sz="4" w:space="0"/>
              <w:right w:val="single" w:color="000000" w:sz="4" w:space="0"/>
            </w:tcBorders>
            <w:vAlign w:val="center"/>
          </w:tcPr>
          <w:p w14:paraId="0366E2F8">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3.8</w:t>
            </w:r>
          </w:p>
        </w:tc>
        <w:tc>
          <w:tcPr>
            <w:tcW w:w="603" w:type="dxa"/>
            <w:tcBorders>
              <w:left w:val="single" w:color="000000" w:sz="4" w:space="0"/>
              <w:right w:val="single" w:color="000000" w:sz="4" w:space="0"/>
            </w:tcBorders>
            <w:vAlign w:val="center"/>
          </w:tcPr>
          <w:p w14:paraId="1D1DF8B2">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5.8</w:t>
            </w:r>
          </w:p>
        </w:tc>
        <w:tc>
          <w:tcPr>
            <w:tcW w:w="347" w:type="dxa"/>
            <w:tcBorders>
              <w:left w:val="single" w:color="000000" w:sz="4" w:space="0"/>
              <w:right w:val="single" w:color="000000" w:sz="10" w:space="0"/>
            </w:tcBorders>
            <w:vAlign w:val="center"/>
          </w:tcPr>
          <w:p w14:paraId="21DA8BC6">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9.2</w:t>
            </w:r>
          </w:p>
        </w:tc>
      </w:tr>
      <w:tr w14:paraId="6FAB68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67FBD47E">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09</w:t>
            </w:r>
          </w:p>
        </w:tc>
        <w:tc>
          <w:tcPr>
            <w:tcW w:w="325" w:type="dxa"/>
            <w:tcBorders>
              <w:left w:val="single" w:color="000000" w:sz="4" w:space="0"/>
              <w:right w:val="single" w:color="000000" w:sz="4" w:space="0"/>
            </w:tcBorders>
            <w:vAlign w:val="center"/>
          </w:tcPr>
          <w:p w14:paraId="4313C96E">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6.4</w:t>
            </w:r>
          </w:p>
        </w:tc>
        <w:tc>
          <w:tcPr>
            <w:tcW w:w="521" w:type="dxa"/>
            <w:tcBorders>
              <w:left w:val="single" w:color="000000" w:sz="4" w:space="0"/>
              <w:right w:val="single" w:color="000000" w:sz="4" w:space="0"/>
            </w:tcBorders>
            <w:vAlign w:val="center"/>
          </w:tcPr>
          <w:p w14:paraId="69234AC3">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5.9</w:t>
            </w:r>
          </w:p>
        </w:tc>
        <w:tc>
          <w:tcPr>
            <w:tcW w:w="345" w:type="dxa"/>
            <w:tcBorders>
              <w:left w:val="single" w:color="000000" w:sz="4" w:space="0"/>
              <w:right w:val="single" w:color="000000" w:sz="4" w:space="0"/>
            </w:tcBorders>
            <w:vAlign w:val="center"/>
          </w:tcPr>
          <w:p w14:paraId="09F817D3">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4.4</w:t>
            </w:r>
          </w:p>
        </w:tc>
        <w:tc>
          <w:tcPr>
            <w:tcW w:w="496" w:type="dxa"/>
            <w:tcBorders>
              <w:left w:val="single" w:color="000000" w:sz="4" w:space="0"/>
              <w:right w:val="single" w:color="000000" w:sz="4" w:space="0"/>
            </w:tcBorders>
            <w:vAlign w:val="center"/>
          </w:tcPr>
          <w:p w14:paraId="0DB6AC3B">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4.5</w:t>
            </w:r>
          </w:p>
        </w:tc>
        <w:tc>
          <w:tcPr>
            <w:tcW w:w="325" w:type="dxa"/>
            <w:tcBorders>
              <w:left w:val="single" w:color="000000" w:sz="4" w:space="0"/>
              <w:right w:val="single" w:color="000000" w:sz="4" w:space="0"/>
            </w:tcBorders>
            <w:vAlign w:val="center"/>
          </w:tcPr>
          <w:p w14:paraId="33FA1E37">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3.2</w:t>
            </w:r>
          </w:p>
        </w:tc>
        <w:tc>
          <w:tcPr>
            <w:tcW w:w="454" w:type="dxa"/>
            <w:tcBorders>
              <w:left w:val="single" w:color="000000" w:sz="4" w:space="0"/>
              <w:right w:val="single" w:color="000000" w:sz="4" w:space="0"/>
            </w:tcBorders>
            <w:vAlign w:val="center"/>
          </w:tcPr>
          <w:p w14:paraId="1D65E219">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4.1</w:t>
            </w:r>
          </w:p>
        </w:tc>
        <w:tc>
          <w:tcPr>
            <w:tcW w:w="325" w:type="dxa"/>
            <w:tcBorders>
              <w:left w:val="single" w:color="000000" w:sz="4" w:space="0"/>
              <w:right w:val="single" w:color="000000" w:sz="4" w:space="0"/>
            </w:tcBorders>
            <w:vAlign w:val="center"/>
          </w:tcPr>
          <w:p w14:paraId="689FA2CF">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5.3</w:t>
            </w:r>
          </w:p>
        </w:tc>
        <w:tc>
          <w:tcPr>
            <w:tcW w:w="440" w:type="dxa"/>
            <w:tcBorders>
              <w:left w:val="single" w:color="000000" w:sz="4" w:space="0"/>
              <w:right w:val="single" w:color="000000" w:sz="4" w:space="0"/>
            </w:tcBorders>
            <w:vAlign w:val="center"/>
          </w:tcPr>
          <w:p w14:paraId="4F35D536">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6.7</w:t>
            </w:r>
          </w:p>
        </w:tc>
        <w:tc>
          <w:tcPr>
            <w:tcW w:w="447" w:type="dxa"/>
            <w:tcBorders>
              <w:left w:val="single" w:color="000000" w:sz="4" w:space="0"/>
              <w:right w:val="single" w:color="000000" w:sz="4" w:space="0"/>
            </w:tcBorders>
            <w:vAlign w:val="center"/>
          </w:tcPr>
          <w:p w14:paraId="5F4155A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12.2</w:t>
            </w:r>
          </w:p>
        </w:tc>
        <w:tc>
          <w:tcPr>
            <w:tcW w:w="522" w:type="dxa"/>
            <w:tcBorders>
              <w:left w:val="single" w:color="000000" w:sz="4" w:space="0"/>
              <w:right w:val="single" w:color="000000" w:sz="4" w:space="0"/>
            </w:tcBorders>
            <w:vAlign w:val="center"/>
          </w:tcPr>
          <w:p w14:paraId="6880BE9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9.6</w:t>
            </w:r>
          </w:p>
        </w:tc>
        <w:tc>
          <w:tcPr>
            <w:tcW w:w="385" w:type="dxa"/>
            <w:tcBorders>
              <w:left w:val="single" w:color="000000" w:sz="4" w:space="0"/>
              <w:right w:val="single" w:color="000000" w:sz="4" w:space="0"/>
            </w:tcBorders>
            <w:vAlign w:val="center"/>
          </w:tcPr>
          <w:p w14:paraId="2E1D7509">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6.3</w:t>
            </w:r>
          </w:p>
        </w:tc>
        <w:tc>
          <w:tcPr>
            <w:tcW w:w="617" w:type="dxa"/>
            <w:tcBorders>
              <w:left w:val="single" w:color="000000" w:sz="4" w:space="0"/>
              <w:right w:val="single" w:color="000000" w:sz="4" w:space="0"/>
            </w:tcBorders>
            <w:vAlign w:val="center"/>
          </w:tcPr>
          <w:p w14:paraId="3B1FB89B">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7.2</w:t>
            </w:r>
          </w:p>
        </w:tc>
        <w:tc>
          <w:tcPr>
            <w:tcW w:w="325" w:type="dxa"/>
            <w:tcBorders>
              <w:left w:val="single" w:color="000000" w:sz="4" w:space="0"/>
              <w:right w:val="single" w:color="000000" w:sz="4" w:space="0"/>
            </w:tcBorders>
            <w:vAlign w:val="center"/>
          </w:tcPr>
          <w:p w14:paraId="4AF9E015">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5.7</w:t>
            </w:r>
          </w:p>
        </w:tc>
        <w:tc>
          <w:tcPr>
            <w:tcW w:w="659" w:type="dxa"/>
            <w:tcBorders>
              <w:left w:val="single" w:color="000000" w:sz="4" w:space="0"/>
              <w:right w:val="single" w:color="000000" w:sz="4" w:space="0"/>
            </w:tcBorders>
            <w:vAlign w:val="center"/>
          </w:tcPr>
          <w:p w14:paraId="6F16744C">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6.6</w:t>
            </w:r>
          </w:p>
        </w:tc>
        <w:tc>
          <w:tcPr>
            <w:tcW w:w="447" w:type="dxa"/>
            <w:tcBorders>
              <w:left w:val="single" w:color="000000" w:sz="4" w:space="0"/>
              <w:right w:val="single" w:color="000000" w:sz="4" w:space="0"/>
            </w:tcBorders>
            <w:vAlign w:val="center"/>
          </w:tcPr>
          <w:p w14:paraId="4B786C50">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5.2</w:t>
            </w:r>
          </w:p>
        </w:tc>
        <w:tc>
          <w:tcPr>
            <w:tcW w:w="603" w:type="dxa"/>
            <w:tcBorders>
              <w:left w:val="single" w:color="000000" w:sz="4" w:space="0"/>
              <w:right w:val="single" w:color="000000" w:sz="4" w:space="0"/>
            </w:tcBorders>
            <w:vAlign w:val="center"/>
          </w:tcPr>
          <w:p w14:paraId="65E017B2">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5.6</w:t>
            </w:r>
          </w:p>
        </w:tc>
        <w:tc>
          <w:tcPr>
            <w:tcW w:w="347" w:type="dxa"/>
            <w:tcBorders>
              <w:left w:val="single" w:color="000000" w:sz="4" w:space="0"/>
              <w:right w:val="single" w:color="000000" w:sz="10" w:space="0"/>
            </w:tcBorders>
            <w:vAlign w:val="center"/>
          </w:tcPr>
          <w:p w14:paraId="60F9F150">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7.8</w:t>
            </w:r>
          </w:p>
        </w:tc>
      </w:tr>
      <w:tr w14:paraId="3C1D3F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1DCB1F17">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10</w:t>
            </w:r>
          </w:p>
        </w:tc>
        <w:tc>
          <w:tcPr>
            <w:tcW w:w="325" w:type="dxa"/>
            <w:tcBorders>
              <w:left w:val="single" w:color="000000" w:sz="4" w:space="0"/>
              <w:right w:val="single" w:color="000000" w:sz="4" w:space="0"/>
            </w:tcBorders>
            <w:vAlign w:val="center"/>
          </w:tcPr>
          <w:p w14:paraId="147485E8">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7.2</w:t>
            </w:r>
          </w:p>
        </w:tc>
        <w:tc>
          <w:tcPr>
            <w:tcW w:w="521" w:type="dxa"/>
            <w:tcBorders>
              <w:left w:val="single" w:color="000000" w:sz="4" w:space="0"/>
              <w:right w:val="single" w:color="000000" w:sz="4" w:space="0"/>
            </w:tcBorders>
            <w:vAlign w:val="center"/>
          </w:tcPr>
          <w:p w14:paraId="5541D2DF">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4.5</w:t>
            </w:r>
          </w:p>
        </w:tc>
        <w:tc>
          <w:tcPr>
            <w:tcW w:w="345" w:type="dxa"/>
            <w:tcBorders>
              <w:left w:val="single" w:color="000000" w:sz="4" w:space="0"/>
              <w:right w:val="single" w:color="000000" w:sz="4" w:space="0"/>
            </w:tcBorders>
            <w:vAlign w:val="center"/>
          </w:tcPr>
          <w:p w14:paraId="59439AB0">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3.2</w:t>
            </w:r>
          </w:p>
        </w:tc>
        <w:tc>
          <w:tcPr>
            <w:tcW w:w="496" w:type="dxa"/>
            <w:tcBorders>
              <w:left w:val="single" w:color="000000" w:sz="4" w:space="0"/>
              <w:right w:val="single" w:color="000000" w:sz="4" w:space="0"/>
            </w:tcBorders>
            <w:vAlign w:val="center"/>
          </w:tcPr>
          <w:p w14:paraId="11923E70">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2.9</w:t>
            </w:r>
          </w:p>
        </w:tc>
        <w:tc>
          <w:tcPr>
            <w:tcW w:w="325" w:type="dxa"/>
            <w:tcBorders>
              <w:left w:val="single" w:color="000000" w:sz="4" w:space="0"/>
              <w:right w:val="single" w:color="000000" w:sz="4" w:space="0"/>
            </w:tcBorders>
            <w:vAlign w:val="center"/>
          </w:tcPr>
          <w:p w14:paraId="327202C4">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2.2</w:t>
            </w:r>
          </w:p>
        </w:tc>
        <w:tc>
          <w:tcPr>
            <w:tcW w:w="454" w:type="dxa"/>
            <w:tcBorders>
              <w:left w:val="single" w:color="000000" w:sz="4" w:space="0"/>
              <w:right w:val="single" w:color="000000" w:sz="4" w:space="0"/>
            </w:tcBorders>
            <w:vAlign w:val="center"/>
          </w:tcPr>
          <w:p w14:paraId="5AE0D5E5">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2.3</w:t>
            </w:r>
          </w:p>
        </w:tc>
        <w:tc>
          <w:tcPr>
            <w:tcW w:w="325" w:type="dxa"/>
            <w:tcBorders>
              <w:left w:val="single" w:color="000000" w:sz="4" w:space="0"/>
              <w:right w:val="single" w:color="000000" w:sz="4" w:space="0"/>
            </w:tcBorders>
            <w:vAlign w:val="center"/>
          </w:tcPr>
          <w:p w14:paraId="7E7A90F9">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3.2</w:t>
            </w:r>
          </w:p>
        </w:tc>
        <w:tc>
          <w:tcPr>
            <w:tcW w:w="440" w:type="dxa"/>
            <w:tcBorders>
              <w:left w:val="single" w:color="000000" w:sz="4" w:space="0"/>
              <w:right w:val="single" w:color="000000" w:sz="4" w:space="0"/>
            </w:tcBorders>
            <w:vAlign w:val="center"/>
          </w:tcPr>
          <w:p w14:paraId="3F18980B">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4.5</w:t>
            </w:r>
          </w:p>
        </w:tc>
        <w:tc>
          <w:tcPr>
            <w:tcW w:w="447" w:type="dxa"/>
            <w:tcBorders>
              <w:left w:val="single" w:color="000000" w:sz="4" w:space="0"/>
              <w:right w:val="single" w:color="000000" w:sz="4" w:space="0"/>
            </w:tcBorders>
            <w:vAlign w:val="center"/>
          </w:tcPr>
          <w:p w14:paraId="2D8DB3F1">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12.5</w:t>
            </w:r>
          </w:p>
        </w:tc>
        <w:tc>
          <w:tcPr>
            <w:tcW w:w="522" w:type="dxa"/>
            <w:tcBorders>
              <w:left w:val="single" w:color="000000" w:sz="4" w:space="0"/>
              <w:right w:val="single" w:color="000000" w:sz="4" w:space="0"/>
            </w:tcBorders>
            <w:vAlign w:val="center"/>
          </w:tcPr>
          <w:p w14:paraId="303CE524">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10.4</w:t>
            </w:r>
          </w:p>
        </w:tc>
        <w:tc>
          <w:tcPr>
            <w:tcW w:w="385" w:type="dxa"/>
            <w:tcBorders>
              <w:left w:val="single" w:color="000000" w:sz="4" w:space="0"/>
              <w:right w:val="single" w:color="000000" w:sz="4" w:space="0"/>
            </w:tcBorders>
            <w:vAlign w:val="center"/>
          </w:tcPr>
          <w:p w14:paraId="2B2F5F96">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8</w:t>
            </w:r>
          </w:p>
        </w:tc>
        <w:tc>
          <w:tcPr>
            <w:tcW w:w="617" w:type="dxa"/>
            <w:tcBorders>
              <w:left w:val="single" w:color="000000" w:sz="4" w:space="0"/>
              <w:right w:val="single" w:color="000000" w:sz="4" w:space="0"/>
            </w:tcBorders>
            <w:vAlign w:val="center"/>
          </w:tcPr>
          <w:p w14:paraId="5372B83C">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10.4</w:t>
            </w:r>
          </w:p>
        </w:tc>
        <w:tc>
          <w:tcPr>
            <w:tcW w:w="325" w:type="dxa"/>
            <w:tcBorders>
              <w:left w:val="single" w:color="000000" w:sz="4" w:space="0"/>
              <w:right w:val="single" w:color="000000" w:sz="4" w:space="0"/>
            </w:tcBorders>
            <w:vAlign w:val="center"/>
          </w:tcPr>
          <w:p w14:paraId="7312BF38">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8.9</w:t>
            </w:r>
          </w:p>
        </w:tc>
        <w:tc>
          <w:tcPr>
            <w:tcW w:w="659" w:type="dxa"/>
            <w:tcBorders>
              <w:left w:val="single" w:color="000000" w:sz="4" w:space="0"/>
              <w:right w:val="single" w:color="000000" w:sz="4" w:space="0"/>
            </w:tcBorders>
            <w:vAlign w:val="center"/>
          </w:tcPr>
          <w:p w14:paraId="313EB6F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8.3</w:t>
            </w:r>
          </w:p>
        </w:tc>
        <w:tc>
          <w:tcPr>
            <w:tcW w:w="447" w:type="dxa"/>
            <w:tcBorders>
              <w:left w:val="single" w:color="000000" w:sz="4" w:space="0"/>
              <w:right w:val="single" w:color="000000" w:sz="4" w:space="0"/>
            </w:tcBorders>
            <w:vAlign w:val="center"/>
          </w:tcPr>
          <w:p w14:paraId="4DFED443">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7.9</w:t>
            </w:r>
          </w:p>
        </w:tc>
        <w:tc>
          <w:tcPr>
            <w:tcW w:w="603" w:type="dxa"/>
            <w:tcBorders>
              <w:left w:val="single" w:color="000000" w:sz="4" w:space="0"/>
              <w:right w:val="single" w:color="000000" w:sz="4" w:space="0"/>
            </w:tcBorders>
            <w:vAlign w:val="center"/>
          </w:tcPr>
          <w:p w14:paraId="4421EBB3">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6.2</w:t>
            </w:r>
          </w:p>
        </w:tc>
        <w:tc>
          <w:tcPr>
            <w:tcW w:w="347" w:type="dxa"/>
            <w:tcBorders>
              <w:left w:val="single" w:color="000000" w:sz="4" w:space="0"/>
              <w:right w:val="single" w:color="000000" w:sz="10" w:space="0"/>
            </w:tcBorders>
            <w:vAlign w:val="center"/>
          </w:tcPr>
          <w:p w14:paraId="645C184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5.9</w:t>
            </w:r>
          </w:p>
        </w:tc>
      </w:tr>
      <w:tr w14:paraId="008B31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49276E07">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11</w:t>
            </w:r>
          </w:p>
        </w:tc>
        <w:tc>
          <w:tcPr>
            <w:tcW w:w="325" w:type="dxa"/>
            <w:tcBorders>
              <w:left w:val="single" w:color="000000" w:sz="4" w:space="0"/>
              <w:right w:val="single" w:color="000000" w:sz="4" w:space="0"/>
            </w:tcBorders>
            <w:vAlign w:val="center"/>
          </w:tcPr>
          <w:p w14:paraId="08B4E899">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7.5</w:t>
            </w:r>
          </w:p>
        </w:tc>
        <w:tc>
          <w:tcPr>
            <w:tcW w:w="521" w:type="dxa"/>
            <w:tcBorders>
              <w:left w:val="single" w:color="000000" w:sz="4" w:space="0"/>
              <w:right w:val="single" w:color="000000" w:sz="4" w:space="0"/>
            </w:tcBorders>
            <w:vAlign w:val="center"/>
          </w:tcPr>
          <w:p w14:paraId="1F4BF832">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4.9</w:t>
            </w:r>
          </w:p>
        </w:tc>
        <w:tc>
          <w:tcPr>
            <w:tcW w:w="345" w:type="dxa"/>
            <w:tcBorders>
              <w:left w:val="single" w:color="000000" w:sz="4" w:space="0"/>
              <w:right w:val="single" w:color="000000" w:sz="4" w:space="0"/>
            </w:tcBorders>
            <w:vAlign w:val="center"/>
          </w:tcPr>
          <w:p w14:paraId="407D5BFF">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3.3</w:t>
            </w:r>
          </w:p>
        </w:tc>
        <w:tc>
          <w:tcPr>
            <w:tcW w:w="496" w:type="dxa"/>
            <w:tcBorders>
              <w:left w:val="single" w:color="000000" w:sz="4" w:space="0"/>
              <w:right w:val="single" w:color="000000" w:sz="4" w:space="0"/>
            </w:tcBorders>
            <w:vAlign w:val="center"/>
          </w:tcPr>
          <w:p w14:paraId="243F2A91">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3.4</w:t>
            </w:r>
          </w:p>
        </w:tc>
        <w:tc>
          <w:tcPr>
            <w:tcW w:w="325" w:type="dxa"/>
            <w:tcBorders>
              <w:left w:val="single" w:color="000000" w:sz="4" w:space="0"/>
              <w:right w:val="single" w:color="000000" w:sz="4" w:space="0"/>
            </w:tcBorders>
            <w:vAlign w:val="center"/>
          </w:tcPr>
          <w:p w14:paraId="2650C9DB">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2.7</w:t>
            </w:r>
          </w:p>
        </w:tc>
        <w:tc>
          <w:tcPr>
            <w:tcW w:w="454" w:type="dxa"/>
            <w:tcBorders>
              <w:left w:val="single" w:color="000000" w:sz="4" w:space="0"/>
              <w:right w:val="single" w:color="000000" w:sz="4" w:space="0"/>
            </w:tcBorders>
            <w:vAlign w:val="center"/>
          </w:tcPr>
          <w:p w14:paraId="045C8D7C">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2.4</w:t>
            </w:r>
          </w:p>
        </w:tc>
        <w:tc>
          <w:tcPr>
            <w:tcW w:w="325" w:type="dxa"/>
            <w:tcBorders>
              <w:left w:val="single" w:color="000000" w:sz="4" w:space="0"/>
              <w:right w:val="single" w:color="000000" w:sz="4" w:space="0"/>
            </w:tcBorders>
            <w:vAlign w:val="center"/>
          </w:tcPr>
          <w:p w14:paraId="6DAC86FD">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2.8</w:t>
            </w:r>
          </w:p>
        </w:tc>
        <w:tc>
          <w:tcPr>
            <w:tcW w:w="440" w:type="dxa"/>
            <w:tcBorders>
              <w:left w:val="single" w:color="000000" w:sz="4" w:space="0"/>
              <w:right w:val="single" w:color="000000" w:sz="4" w:space="0"/>
            </w:tcBorders>
            <w:vAlign w:val="center"/>
          </w:tcPr>
          <w:p w14:paraId="0EC399EA">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4.3</w:t>
            </w:r>
          </w:p>
        </w:tc>
        <w:tc>
          <w:tcPr>
            <w:tcW w:w="447" w:type="dxa"/>
            <w:tcBorders>
              <w:left w:val="single" w:color="000000" w:sz="4" w:space="0"/>
              <w:right w:val="single" w:color="000000" w:sz="4" w:space="0"/>
            </w:tcBorders>
            <w:vAlign w:val="center"/>
          </w:tcPr>
          <w:p w14:paraId="00F45F2F">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8.7</w:t>
            </w:r>
          </w:p>
        </w:tc>
        <w:tc>
          <w:tcPr>
            <w:tcW w:w="522" w:type="dxa"/>
            <w:tcBorders>
              <w:left w:val="single" w:color="000000" w:sz="4" w:space="0"/>
              <w:right w:val="single" w:color="000000" w:sz="4" w:space="0"/>
            </w:tcBorders>
            <w:vAlign w:val="center"/>
          </w:tcPr>
          <w:p w14:paraId="39F431E4">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8.5</w:t>
            </w:r>
          </w:p>
        </w:tc>
        <w:tc>
          <w:tcPr>
            <w:tcW w:w="385" w:type="dxa"/>
            <w:tcBorders>
              <w:left w:val="single" w:color="000000" w:sz="4" w:space="0"/>
              <w:right w:val="single" w:color="000000" w:sz="4" w:space="0"/>
            </w:tcBorders>
            <w:vAlign w:val="center"/>
          </w:tcPr>
          <w:p w14:paraId="682ACAEC">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w:t>
            </w:r>
          </w:p>
        </w:tc>
        <w:tc>
          <w:tcPr>
            <w:tcW w:w="617" w:type="dxa"/>
            <w:tcBorders>
              <w:left w:val="single" w:color="000000" w:sz="4" w:space="0"/>
              <w:right w:val="single" w:color="000000" w:sz="4" w:space="0"/>
            </w:tcBorders>
            <w:vAlign w:val="center"/>
          </w:tcPr>
          <w:p w14:paraId="4CB7B5E5">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11.1</w:t>
            </w:r>
          </w:p>
        </w:tc>
        <w:tc>
          <w:tcPr>
            <w:tcW w:w="325" w:type="dxa"/>
            <w:tcBorders>
              <w:left w:val="single" w:color="000000" w:sz="4" w:space="0"/>
              <w:right w:val="single" w:color="000000" w:sz="4" w:space="0"/>
            </w:tcBorders>
            <w:vAlign w:val="center"/>
          </w:tcPr>
          <w:p w14:paraId="3EC9FD30">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9</w:t>
            </w:r>
          </w:p>
        </w:tc>
        <w:tc>
          <w:tcPr>
            <w:tcW w:w="659" w:type="dxa"/>
            <w:tcBorders>
              <w:left w:val="single" w:color="000000" w:sz="4" w:space="0"/>
              <w:right w:val="single" w:color="000000" w:sz="4" w:space="0"/>
            </w:tcBorders>
            <w:vAlign w:val="center"/>
          </w:tcPr>
          <w:p w14:paraId="660302F6">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11.1</w:t>
            </w:r>
          </w:p>
        </w:tc>
        <w:tc>
          <w:tcPr>
            <w:tcW w:w="447" w:type="dxa"/>
            <w:tcBorders>
              <w:left w:val="single" w:color="000000" w:sz="4" w:space="0"/>
              <w:right w:val="single" w:color="000000" w:sz="4" w:space="0"/>
            </w:tcBorders>
            <w:vAlign w:val="center"/>
          </w:tcPr>
          <w:p w14:paraId="1C95801F">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9.6</w:t>
            </w:r>
          </w:p>
        </w:tc>
        <w:tc>
          <w:tcPr>
            <w:tcW w:w="603" w:type="dxa"/>
            <w:tcBorders>
              <w:left w:val="single" w:color="000000" w:sz="4" w:space="0"/>
              <w:right w:val="single" w:color="000000" w:sz="4" w:space="0"/>
            </w:tcBorders>
            <w:vAlign w:val="center"/>
          </w:tcPr>
          <w:p w14:paraId="2E60D631">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6.8</w:t>
            </w:r>
          </w:p>
        </w:tc>
        <w:tc>
          <w:tcPr>
            <w:tcW w:w="347" w:type="dxa"/>
            <w:tcBorders>
              <w:left w:val="single" w:color="000000" w:sz="4" w:space="0"/>
              <w:right w:val="single" w:color="000000" w:sz="10" w:space="0"/>
            </w:tcBorders>
            <w:vAlign w:val="center"/>
          </w:tcPr>
          <w:p w14:paraId="5405E0BA">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4.9</w:t>
            </w:r>
          </w:p>
        </w:tc>
      </w:tr>
      <w:tr w14:paraId="01727F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77097865">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12</w:t>
            </w:r>
          </w:p>
        </w:tc>
        <w:tc>
          <w:tcPr>
            <w:tcW w:w="325" w:type="dxa"/>
            <w:tcBorders>
              <w:left w:val="single" w:color="000000" w:sz="4" w:space="0"/>
              <w:right w:val="single" w:color="000000" w:sz="4" w:space="0"/>
            </w:tcBorders>
            <w:vAlign w:val="center"/>
          </w:tcPr>
          <w:p w14:paraId="415CB174">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6.5</w:t>
            </w:r>
          </w:p>
        </w:tc>
        <w:tc>
          <w:tcPr>
            <w:tcW w:w="521" w:type="dxa"/>
            <w:tcBorders>
              <w:left w:val="single" w:color="000000" w:sz="4" w:space="0"/>
              <w:right w:val="single" w:color="000000" w:sz="4" w:space="0"/>
            </w:tcBorders>
            <w:vAlign w:val="center"/>
          </w:tcPr>
          <w:p w14:paraId="1C1090C6">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3.8</w:t>
            </w:r>
          </w:p>
        </w:tc>
        <w:tc>
          <w:tcPr>
            <w:tcW w:w="345" w:type="dxa"/>
            <w:tcBorders>
              <w:left w:val="single" w:color="000000" w:sz="4" w:space="0"/>
              <w:right w:val="single" w:color="000000" w:sz="4" w:space="0"/>
            </w:tcBorders>
            <w:vAlign w:val="center"/>
          </w:tcPr>
          <w:p w14:paraId="428EC968">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2.7</w:t>
            </w:r>
          </w:p>
        </w:tc>
        <w:tc>
          <w:tcPr>
            <w:tcW w:w="496" w:type="dxa"/>
            <w:tcBorders>
              <w:left w:val="single" w:color="000000" w:sz="4" w:space="0"/>
              <w:right w:val="single" w:color="000000" w:sz="4" w:space="0"/>
            </w:tcBorders>
            <w:vAlign w:val="center"/>
          </w:tcPr>
          <w:p w14:paraId="7AD16D93">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3.4</w:t>
            </w:r>
          </w:p>
        </w:tc>
        <w:tc>
          <w:tcPr>
            <w:tcW w:w="325" w:type="dxa"/>
            <w:tcBorders>
              <w:left w:val="single" w:color="000000" w:sz="4" w:space="0"/>
              <w:right w:val="single" w:color="000000" w:sz="4" w:space="0"/>
            </w:tcBorders>
            <w:vAlign w:val="center"/>
          </w:tcPr>
          <w:p w14:paraId="4F659597">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3.3</w:t>
            </w:r>
          </w:p>
        </w:tc>
        <w:tc>
          <w:tcPr>
            <w:tcW w:w="454" w:type="dxa"/>
            <w:tcBorders>
              <w:left w:val="single" w:color="000000" w:sz="4" w:space="0"/>
              <w:right w:val="single" w:color="000000" w:sz="4" w:space="0"/>
            </w:tcBorders>
            <w:vAlign w:val="center"/>
          </w:tcPr>
          <w:p w14:paraId="07289EFF">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3.3</w:t>
            </w:r>
          </w:p>
        </w:tc>
        <w:tc>
          <w:tcPr>
            <w:tcW w:w="325" w:type="dxa"/>
            <w:tcBorders>
              <w:left w:val="single" w:color="000000" w:sz="4" w:space="0"/>
              <w:right w:val="single" w:color="000000" w:sz="4" w:space="0"/>
            </w:tcBorders>
            <w:vAlign w:val="center"/>
          </w:tcPr>
          <w:p w14:paraId="3C6847A5">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2.7</w:t>
            </w:r>
          </w:p>
        </w:tc>
        <w:tc>
          <w:tcPr>
            <w:tcW w:w="440" w:type="dxa"/>
            <w:tcBorders>
              <w:left w:val="single" w:color="000000" w:sz="4" w:space="0"/>
              <w:right w:val="single" w:color="000000" w:sz="4" w:space="0"/>
            </w:tcBorders>
            <w:vAlign w:val="center"/>
          </w:tcPr>
          <w:p w14:paraId="079168D3">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3.6</w:t>
            </w:r>
          </w:p>
        </w:tc>
        <w:tc>
          <w:tcPr>
            <w:tcW w:w="447" w:type="dxa"/>
            <w:tcBorders>
              <w:left w:val="single" w:color="000000" w:sz="4" w:space="0"/>
              <w:right w:val="single" w:color="000000" w:sz="4" w:space="0"/>
            </w:tcBorders>
            <w:vAlign w:val="center"/>
          </w:tcPr>
          <w:p w14:paraId="706F1EFF">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8.2</w:t>
            </w:r>
          </w:p>
        </w:tc>
        <w:tc>
          <w:tcPr>
            <w:tcW w:w="522" w:type="dxa"/>
            <w:tcBorders>
              <w:left w:val="single" w:color="000000" w:sz="4" w:space="0"/>
              <w:right w:val="single" w:color="000000" w:sz="4" w:space="0"/>
            </w:tcBorders>
            <w:vAlign w:val="center"/>
          </w:tcPr>
          <w:p w14:paraId="72050D40">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8.8</w:t>
            </w:r>
          </w:p>
        </w:tc>
        <w:tc>
          <w:tcPr>
            <w:tcW w:w="385" w:type="dxa"/>
            <w:tcBorders>
              <w:left w:val="single" w:color="000000" w:sz="4" w:space="0"/>
              <w:right w:val="single" w:color="000000" w:sz="4" w:space="0"/>
            </w:tcBorders>
            <w:vAlign w:val="center"/>
          </w:tcPr>
          <w:p w14:paraId="46DA50C0">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w:t>
            </w:r>
          </w:p>
        </w:tc>
        <w:tc>
          <w:tcPr>
            <w:tcW w:w="617" w:type="dxa"/>
            <w:tcBorders>
              <w:left w:val="single" w:color="000000" w:sz="4" w:space="0"/>
              <w:right w:val="single" w:color="000000" w:sz="4" w:space="0"/>
            </w:tcBorders>
            <w:vAlign w:val="center"/>
          </w:tcPr>
          <w:p w14:paraId="4058C35F">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11.1</w:t>
            </w:r>
          </w:p>
        </w:tc>
        <w:tc>
          <w:tcPr>
            <w:tcW w:w="325" w:type="dxa"/>
            <w:tcBorders>
              <w:left w:val="single" w:color="000000" w:sz="4" w:space="0"/>
              <w:right w:val="single" w:color="000000" w:sz="4" w:space="0"/>
            </w:tcBorders>
            <w:vAlign w:val="center"/>
          </w:tcPr>
          <w:p w14:paraId="284BE363">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9.6</w:t>
            </w:r>
          </w:p>
        </w:tc>
        <w:tc>
          <w:tcPr>
            <w:tcW w:w="659" w:type="dxa"/>
            <w:tcBorders>
              <w:left w:val="single" w:color="000000" w:sz="4" w:space="0"/>
              <w:right w:val="single" w:color="000000" w:sz="4" w:space="0"/>
            </w:tcBorders>
            <w:vAlign w:val="center"/>
          </w:tcPr>
          <w:p w14:paraId="025F1892">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11.6</w:t>
            </w:r>
          </w:p>
        </w:tc>
        <w:tc>
          <w:tcPr>
            <w:tcW w:w="447" w:type="dxa"/>
            <w:tcBorders>
              <w:left w:val="single" w:color="000000" w:sz="4" w:space="0"/>
              <w:right w:val="single" w:color="000000" w:sz="4" w:space="0"/>
            </w:tcBorders>
            <w:vAlign w:val="center"/>
          </w:tcPr>
          <w:p w14:paraId="153E5715">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9.8</w:t>
            </w:r>
          </w:p>
        </w:tc>
        <w:tc>
          <w:tcPr>
            <w:tcW w:w="603" w:type="dxa"/>
            <w:tcBorders>
              <w:left w:val="single" w:color="000000" w:sz="4" w:space="0"/>
              <w:right w:val="single" w:color="000000" w:sz="4" w:space="0"/>
            </w:tcBorders>
            <w:vAlign w:val="center"/>
          </w:tcPr>
          <w:p w14:paraId="139F8365">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8.1</w:t>
            </w:r>
          </w:p>
        </w:tc>
        <w:tc>
          <w:tcPr>
            <w:tcW w:w="347" w:type="dxa"/>
            <w:tcBorders>
              <w:left w:val="single" w:color="000000" w:sz="4" w:space="0"/>
              <w:right w:val="single" w:color="000000" w:sz="10" w:space="0"/>
            </w:tcBorders>
            <w:vAlign w:val="center"/>
          </w:tcPr>
          <w:p w14:paraId="69807E19">
            <w:pPr>
              <w:widowControl/>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5.2</w:t>
            </w:r>
          </w:p>
        </w:tc>
      </w:tr>
    </w:tbl>
    <w:p w14:paraId="20817DED">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③风速年际变化特征与周期分析</w:t>
      </w:r>
    </w:p>
    <w:p w14:paraId="22C8C345">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根据</w:t>
      </w:r>
      <w:r>
        <w:rPr>
          <w:rFonts w:hint="eastAsia" w:ascii="Times New Roman" w:hAnsi="Times New Roman" w:cs="Times New Roman"/>
          <w:color w:val="auto"/>
          <w:w w:val="99"/>
          <w:highlight w:val="none"/>
          <w:lang w:val="zh-CN"/>
        </w:rPr>
        <w:t>近二十年</w:t>
      </w:r>
      <w:r>
        <w:rPr>
          <w:rFonts w:ascii="Times New Roman" w:hAnsi="Times New Roman" w:cs="Times New Roman"/>
          <w:color w:val="auto"/>
          <w:w w:val="99"/>
          <w:highlight w:val="none"/>
          <w:lang w:val="zh-CN"/>
        </w:rPr>
        <w:t>资料分析，大庆气象站2019年年平均风速最大（3.1m/s），2014、2015年年平均风速最小（1.5m/s）。</w:t>
      </w:r>
    </w:p>
    <w:p w14:paraId="0AF7E8B4">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（3）气象站温度分析</w:t>
      </w:r>
    </w:p>
    <w:p w14:paraId="63A6E6D1">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①月平均气温与极端气温</w:t>
      </w:r>
    </w:p>
    <w:p w14:paraId="14F1C292">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大庆气象站07月气温最高（24.1℃），01月气温最低（-16.5℃），</w:t>
      </w:r>
      <w:r>
        <w:rPr>
          <w:rFonts w:hint="eastAsia" w:ascii="Times New Roman" w:hAnsi="Times New Roman" w:cs="Times New Roman"/>
          <w:color w:val="auto"/>
          <w:w w:val="99"/>
          <w:highlight w:val="none"/>
          <w:lang w:val="zh-CN"/>
        </w:rPr>
        <w:t>近二十年</w:t>
      </w:r>
      <w:r>
        <w:rPr>
          <w:rFonts w:ascii="Times New Roman" w:hAnsi="Times New Roman" w:cs="Times New Roman"/>
          <w:color w:val="auto"/>
          <w:w w:val="99"/>
          <w:highlight w:val="none"/>
          <w:lang w:val="zh-CN"/>
        </w:rPr>
        <w:t>极端最高气温出现在2018-06-02（38.9℃），极端最低气温出现在2013-01-01（-3</w:t>
      </w:r>
      <w:r>
        <w:rPr>
          <w:rFonts w:hint="eastAsia" w:ascii="Times New Roman" w:hAnsi="Times New Roman" w:cs="Times New Roman"/>
          <w:color w:val="auto"/>
          <w:w w:val="99"/>
          <w:highlight w:val="none"/>
        </w:rPr>
        <w:t>1.9</w:t>
      </w:r>
      <w:r>
        <w:rPr>
          <w:rFonts w:ascii="Times New Roman" w:hAnsi="Times New Roman" w:cs="Times New Roman"/>
          <w:color w:val="auto"/>
          <w:w w:val="99"/>
          <w:highlight w:val="none"/>
          <w:lang w:val="zh-CN"/>
        </w:rPr>
        <w:t>℃）。</w:t>
      </w:r>
    </w:p>
    <w:p w14:paraId="19C226B8">
      <w:pPr>
        <w:jc w:val="center"/>
        <w:rPr>
          <w:rFonts w:ascii="Times New Roman" w:hAnsi="Times New Roman" w:cs="Times New Roman"/>
          <w:color w:val="auto"/>
          <w:w w:val="99"/>
          <w:highlight w:val="none"/>
        </w:rPr>
      </w:pPr>
      <w:r>
        <w:rPr>
          <w:rFonts w:ascii="Times New Roman" w:hAnsi="Times New Roman" w:cs="Times New Roman"/>
          <w:color w:val="auto"/>
          <w:w w:val="99"/>
          <w:highlight w:val="none"/>
        </w:rPr>
        <w:drawing>
          <wp:inline distT="0" distB="0" distL="0" distR="0">
            <wp:extent cx="3474085" cy="2251075"/>
            <wp:effectExtent l="0" t="0" r="12065" b="1587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58"/>
                    <a:srcRect t="5593"/>
                    <a:stretch>
                      <a:fillRect/>
                    </a:stretch>
                  </pic:blipFill>
                  <pic:spPr>
                    <a:xfrm>
                      <a:off x="0" y="0"/>
                      <a:ext cx="3481737" cy="2255726"/>
                    </a:xfrm>
                    <a:prstGeom prst="rect">
                      <a:avLst/>
                    </a:prstGeom>
                    <a:ln>
                      <a:noFill/>
                    </a:ln>
                  </pic:spPr>
                </pic:pic>
              </a:graphicData>
            </a:graphic>
          </wp:inline>
        </w:drawing>
      </w:r>
    </w:p>
    <w:p w14:paraId="485425DA">
      <w:pPr>
        <w:jc w:val="center"/>
        <w:rPr>
          <w:rFonts w:ascii="Times New Roman" w:hAnsi="Times New Roman" w:cs="Times New Roman"/>
          <w:b/>
          <w:color w:val="auto"/>
          <w:w w:val="99"/>
          <w:highlight w:val="none"/>
        </w:rPr>
      </w:pPr>
      <w:r>
        <w:rPr>
          <w:rFonts w:ascii="Times New Roman" w:hAnsi="Times New Roman" w:cs="Times New Roman"/>
          <w:b/>
          <w:color w:val="auto"/>
          <w:w w:val="99"/>
          <w:highlight w:val="none"/>
        </w:rPr>
        <w:t>图5.1-4    月平均气温图（单位：℃）</w:t>
      </w:r>
    </w:p>
    <w:p w14:paraId="5F3D0132">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②温度年际变化趋势与周期分析</w:t>
      </w:r>
    </w:p>
    <w:p w14:paraId="4263D5AC">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大庆气象站</w:t>
      </w:r>
      <w:r>
        <w:rPr>
          <w:rFonts w:hint="eastAsia" w:ascii="Times New Roman" w:hAnsi="Times New Roman" w:cs="Times New Roman"/>
          <w:color w:val="auto"/>
          <w:w w:val="99"/>
          <w:highlight w:val="none"/>
          <w:lang w:val="zh-CN"/>
        </w:rPr>
        <w:t>近二十年</w:t>
      </w:r>
      <w:r>
        <w:rPr>
          <w:rFonts w:ascii="Times New Roman" w:hAnsi="Times New Roman" w:cs="Times New Roman"/>
          <w:color w:val="auto"/>
          <w:w w:val="99"/>
          <w:highlight w:val="none"/>
          <w:lang w:val="zh-CN"/>
        </w:rPr>
        <w:t>气温呈逐年上升趋势，20</w:t>
      </w:r>
      <w:r>
        <w:rPr>
          <w:rFonts w:hint="eastAsia" w:ascii="Times New Roman" w:hAnsi="Times New Roman" w:cs="Times New Roman"/>
          <w:color w:val="auto"/>
          <w:w w:val="99"/>
          <w:highlight w:val="none"/>
        </w:rPr>
        <w:t>10</w:t>
      </w:r>
      <w:r>
        <w:rPr>
          <w:rFonts w:ascii="Times New Roman" w:hAnsi="Times New Roman" w:cs="Times New Roman"/>
          <w:color w:val="auto"/>
          <w:w w:val="99"/>
          <w:highlight w:val="none"/>
          <w:lang w:val="zh-CN"/>
        </w:rPr>
        <w:t>年年平均气温最高（</w:t>
      </w:r>
      <w:r>
        <w:rPr>
          <w:rFonts w:hint="eastAsia" w:ascii="Times New Roman" w:hAnsi="Times New Roman" w:cs="Times New Roman"/>
          <w:color w:val="auto"/>
          <w:w w:val="99"/>
          <w:highlight w:val="none"/>
        </w:rPr>
        <w:t>4.1</w:t>
      </w:r>
      <w:r>
        <w:rPr>
          <w:rFonts w:ascii="Times New Roman" w:hAnsi="Times New Roman" w:cs="Times New Roman"/>
          <w:color w:val="auto"/>
          <w:w w:val="99"/>
          <w:highlight w:val="none"/>
          <w:lang w:val="zh-CN"/>
        </w:rPr>
        <w:t>℃），20</w:t>
      </w:r>
      <w:r>
        <w:rPr>
          <w:rFonts w:hint="eastAsia" w:ascii="Times New Roman" w:hAnsi="Times New Roman" w:cs="Times New Roman"/>
          <w:color w:val="auto"/>
          <w:w w:val="99"/>
          <w:highlight w:val="none"/>
        </w:rPr>
        <w:t>23</w:t>
      </w:r>
      <w:r>
        <w:rPr>
          <w:rFonts w:ascii="Times New Roman" w:hAnsi="Times New Roman" w:cs="Times New Roman"/>
          <w:color w:val="auto"/>
          <w:w w:val="99"/>
          <w:highlight w:val="none"/>
          <w:lang w:val="zh-CN"/>
        </w:rPr>
        <w:t>年年平均气温最低（</w:t>
      </w:r>
      <w:r>
        <w:rPr>
          <w:rFonts w:hint="eastAsia" w:ascii="Times New Roman" w:hAnsi="Times New Roman" w:cs="Times New Roman"/>
          <w:color w:val="auto"/>
          <w:w w:val="99"/>
          <w:highlight w:val="none"/>
        </w:rPr>
        <w:t>5.3</w:t>
      </w:r>
      <w:r>
        <w:rPr>
          <w:rFonts w:ascii="Times New Roman" w:hAnsi="Times New Roman" w:cs="Times New Roman"/>
          <w:color w:val="auto"/>
          <w:w w:val="99"/>
          <w:highlight w:val="none"/>
          <w:lang w:val="zh-CN"/>
        </w:rPr>
        <w:t>℃）。</w:t>
      </w:r>
    </w:p>
    <w:p w14:paraId="0B0900A7">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（4）</w:t>
      </w:r>
      <w:r>
        <w:rPr>
          <w:rFonts w:ascii="Times New Roman" w:hAnsi="Times New Roman" w:cs="Times New Roman"/>
          <w:color w:val="auto"/>
          <w:w w:val="99"/>
          <w:highlight w:val="none"/>
          <w:lang w:val="zh-CN"/>
        </w:rPr>
        <w:t>气象站降水分析</w:t>
      </w:r>
    </w:p>
    <w:p w14:paraId="736ABFFC">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①</w:t>
      </w:r>
      <w:r>
        <w:rPr>
          <w:rFonts w:ascii="Times New Roman" w:hAnsi="Times New Roman" w:cs="Times New Roman"/>
          <w:color w:val="auto"/>
          <w:w w:val="99"/>
          <w:highlight w:val="none"/>
          <w:lang w:val="zh-CN"/>
        </w:rPr>
        <w:t>月平均降水与极端降水</w:t>
      </w:r>
    </w:p>
    <w:p w14:paraId="61542506">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lang w:val="zh-CN"/>
        </w:rPr>
        <w:t>大庆气象站</w:t>
      </w:r>
      <w:r>
        <w:rPr>
          <w:rFonts w:ascii="Times New Roman" w:hAnsi="Times New Roman" w:cs="Times New Roman"/>
          <w:color w:val="auto"/>
          <w:w w:val="99"/>
          <w:highlight w:val="none"/>
        </w:rPr>
        <w:t>07</w:t>
      </w:r>
      <w:r>
        <w:rPr>
          <w:rFonts w:ascii="Times New Roman" w:hAnsi="Times New Roman" w:cs="Times New Roman"/>
          <w:color w:val="auto"/>
          <w:w w:val="99"/>
          <w:highlight w:val="none"/>
          <w:lang w:val="zh-CN"/>
        </w:rPr>
        <w:t>月降水量最大</w:t>
      </w:r>
      <w:r>
        <w:rPr>
          <w:rFonts w:ascii="Times New Roman" w:hAnsi="Times New Roman" w:cs="Times New Roman"/>
          <w:color w:val="auto"/>
          <w:w w:val="99"/>
          <w:highlight w:val="none"/>
        </w:rPr>
        <w:t>（147.7mm），1</w:t>
      </w:r>
      <w:r>
        <w:rPr>
          <w:rFonts w:ascii="Times New Roman" w:hAnsi="Times New Roman" w:cs="Times New Roman"/>
          <w:color w:val="auto"/>
          <w:w w:val="99"/>
          <w:highlight w:val="none"/>
          <w:lang w:val="zh-CN"/>
        </w:rPr>
        <w:t>月降水量最小</w:t>
      </w:r>
      <w:r>
        <w:rPr>
          <w:rFonts w:ascii="Times New Roman" w:hAnsi="Times New Roman" w:cs="Times New Roman"/>
          <w:color w:val="auto"/>
          <w:w w:val="99"/>
          <w:highlight w:val="none"/>
        </w:rPr>
        <w:t>（2.6mm），</w:t>
      </w:r>
      <w:r>
        <w:rPr>
          <w:rFonts w:hint="eastAsia" w:ascii="Times New Roman" w:hAnsi="Times New Roman" w:cs="Times New Roman"/>
          <w:color w:val="auto"/>
          <w:w w:val="99"/>
          <w:highlight w:val="none"/>
          <w:lang w:val="zh-CN"/>
        </w:rPr>
        <w:t>近二十年</w:t>
      </w:r>
      <w:r>
        <w:rPr>
          <w:rFonts w:ascii="Times New Roman" w:hAnsi="Times New Roman" w:cs="Times New Roman"/>
          <w:color w:val="auto"/>
          <w:w w:val="99"/>
          <w:highlight w:val="none"/>
          <w:lang w:val="zh-CN"/>
        </w:rPr>
        <w:t>极端最大日降水出现在</w:t>
      </w:r>
      <w:r>
        <w:rPr>
          <w:rFonts w:ascii="Times New Roman" w:hAnsi="Times New Roman" w:cs="Times New Roman"/>
          <w:color w:val="auto"/>
          <w:w w:val="99"/>
          <w:highlight w:val="none"/>
        </w:rPr>
        <w:t>2018-07-25（96.8mm）</w:t>
      </w:r>
      <w:r>
        <w:rPr>
          <w:rFonts w:ascii="Times New Roman" w:hAnsi="Times New Roman" w:cs="Times New Roman"/>
          <w:color w:val="auto"/>
          <w:w w:val="99"/>
          <w:highlight w:val="none"/>
          <w:lang w:val="zh-CN"/>
        </w:rPr>
        <w:t>。</w:t>
      </w:r>
    </w:p>
    <w:p w14:paraId="741D4865">
      <w:pPr>
        <w:jc w:val="center"/>
        <w:rPr>
          <w:rFonts w:ascii="Times New Roman" w:hAnsi="Times New Roman" w:cs="Times New Roman"/>
          <w:color w:val="auto"/>
          <w:w w:val="99"/>
          <w:highlight w:val="none"/>
        </w:rPr>
      </w:pPr>
      <w:r>
        <w:rPr>
          <w:rFonts w:ascii="Times New Roman" w:hAnsi="Times New Roman" w:cs="Times New Roman"/>
          <w:color w:val="auto"/>
          <w:w w:val="99"/>
          <w:highlight w:val="none"/>
        </w:rPr>
        <w:drawing>
          <wp:inline distT="0" distB="0" distL="0" distR="0">
            <wp:extent cx="4038600" cy="2609850"/>
            <wp:effectExtent l="0" t="0" r="0" b="0"/>
            <wp:docPr id="480" name="图片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图片 48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4038600" cy="2609850"/>
                    </a:xfrm>
                    <a:prstGeom prst="rect">
                      <a:avLst/>
                    </a:prstGeom>
                    <a:noFill/>
                    <a:ln>
                      <a:noFill/>
                    </a:ln>
                  </pic:spPr>
                </pic:pic>
              </a:graphicData>
            </a:graphic>
          </wp:inline>
        </w:drawing>
      </w:r>
    </w:p>
    <w:p w14:paraId="226F3624">
      <w:pPr>
        <w:spacing w:line="440" w:lineRule="exact"/>
        <w:jc w:val="center"/>
        <w:rPr>
          <w:rFonts w:ascii="Times New Roman" w:hAnsi="Times New Roman" w:cs="Times New Roman"/>
          <w:b/>
          <w:color w:val="auto"/>
          <w:w w:val="99"/>
          <w:highlight w:val="none"/>
        </w:rPr>
      </w:pPr>
      <w:r>
        <w:rPr>
          <w:rFonts w:ascii="Times New Roman" w:hAnsi="Times New Roman" w:cs="Times New Roman"/>
          <w:b/>
          <w:color w:val="auto"/>
          <w:w w:val="99"/>
          <w:highlight w:val="none"/>
        </w:rPr>
        <w:t>图5.1-5    月平均降水量（单位：毫米）</w:t>
      </w:r>
    </w:p>
    <w:p w14:paraId="1F7CC8D7">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②降水年际变化趋势与周期分析</w:t>
      </w:r>
    </w:p>
    <w:p w14:paraId="113197B5">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大庆气象站</w:t>
      </w:r>
      <w:r>
        <w:rPr>
          <w:rFonts w:hint="eastAsia" w:ascii="Times New Roman" w:hAnsi="Times New Roman" w:cs="Times New Roman"/>
          <w:color w:val="auto"/>
          <w:w w:val="99"/>
          <w:highlight w:val="none"/>
          <w:lang w:val="zh-CN"/>
        </w:rPr>
        <w:t>近二十年</w:t>
      </w:r>
      <w:r>
        <w:rPr>
          <w:rFonts w:ascii="Times New Roman" w:hAnsi="Times New Roman" w:cs="Times New Roman"/>
          <w:color w:val="auto"/>
          <w:w w:val="99"/>
          <w:highlight w:val="none"/>
          <w:lang w:val="zh-CN"/>
        </w:rPr>
        <w:t>年降水总量无明显变化趋势，2018年年总降水量最大（721.2mm），2007年年总降水量最小（316.9mm）。</w:t>
      </w:r>
    </w:p>
    <w:p w14:paraId="3695A5B0">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（5）气象站日照分析</w:t>
      </w:r>
    </w:p>
    <w:p w14:paraId="26022DDA">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①月日照时数</w:t>
      </w:r>
    </w:p>
    <w:p w14:paraId="3CA5C0AA">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大庆气象站05月日照最长（239.2小时），12月日照最短（155小时）。</w:t>
      </w:r>
    </w:p>
    <w:p w14:paraId="3DDD03A3">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②日照时数年际变化趋势与周期分析</w:t>
      </w:r>
    </w:p>
    <w:p w14:paraId="62E161CC">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大庆气象站</w:t>
      </w:r>
      <w:r>
        <w:rPr>
          <w:rFonts w:hint="eastAsia" w:ascii="Times New Roman" w:hAnsi="Times New Roman" w:cs="Times New Roman"/>
          <w:color w:val="auto"/>
          <w:w w:val="99"/>
          <w:highlight w:val="none"/>
          <w:lang w:val="zh-CN"/>
        </w:rPr>
        <w:t>近二十年</w:t>
      </w:r>
      <w:r>
        <w:rPr>
          <w:rFonts w:ascii="Times New Roman" w:hAnsi="Times New Roman" w:cs="Times New Roman"/>
          <w:color w:val="auto"/>
          <w:w w:val="99"/>
          <w:highlight w:val="none"/>
          <w:lang w:val="zh-CN"/>
        </w:rPr>
        <w:t>年日照时数呈现上升趋势，2020年年日照时数最长（2825.1小时），2015年年日照时数最短（2144.4小时）。</w:t>
      </w:r>
    </w:p>
    <w:p w14:paraId="7B71CA4A">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（6）气象站相对湿度分析</w:t>
      </w:r>
    </w:p>
    <w:p w14:paraId="576A6A66">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①月相对湿度分析</w:t>
      </w:r>
    </w:p>
    <w:p w14:paraId="2880AC17">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大庆气象站07月平均相对湿度最大（73.3%），04月平均相对湿度最小（44.1%）。</w:t>
      </w:r>
    </w:p>
    <w:p w14:paraId="6B56AA72">
      <w:pPr>
        <w:jc w:val="center"/>
        <w:rPr>
          <w:rFonts w:ascii="Times New Roman" w:hAnsi="Times New Roman" w:cs="Times New Roman"/>
          <w:color w:val="auto"/>
          <w:w w:val="99"/>
          <w:highlight w:val="none"/>
        </w:rPr>
      </w:pPr>
      <w:r>
        <w:rPr>
          <w:rFonts w:ascii="Times New Roman" w:hAnsi="Times New Roman" w:cs="Times New Roman"/>
          <w:color w:val="auto"/>
          <w:w w:val="99"/>
          <w:highlight w:val="none"/>
        </w:rPr>
        <w:drawing>
          <wp:inline distT="0" distB="0" distL="0" distR="0">
            <wp:extent cx="3676650" cy="2314575"/>
            <wp:effectExtent l="0" t="0" r="0" b="9525"/>
            <wp:docPr id="484" name="图片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图片 48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a:off x="0" y="0"/>
                      <a:ext cx="3676650" cy="2314575"/>
                    </a:xfrm>
                    <a:prstGeom prst="rect">
                      <a:avLst/>
                    </a:prstGeom>
                    <a:noFill/>
                    <a:ln>
                      <a:noFill/>
                    </a:ln>
                  </pic:spPr>
                </pic:pic>
              </a:graphicData>
            </a:graphic>
          </wp:inline>
        </w:drawing>
      </w:r>
    </w:p>
    <w:p w14:paraId="76D5CB2D">
      <w:pPr>
        <w:spacing w:line="440" w:lineRule="exact"/>
        <w:jc w:val="center"/>
        <w:rPr>
          <w:rFonts w:ascii="Times New Roman" w:hAnsi="Times New Roman" w:cs="Times New Roman"/>
          <w:b/>
          <w:color w:val="auto"/>
          <w:w w:val="99"/>
          <w:highlight w:val="none"/>
        </w:rPr>
      </w:pPr>
      <w:r>
        <w:rPr>
          <w:rFonts w:ascii="Times New Roman" w:hAnsi="Times New Roman" w:cs="Times New Roman"/>
          <w:b/>
          <w:color w:val="auto"/>
          <w:w w:val="99"/>
          <w:highlight w:val="none"/>
        </w:rPr>
        <w:t>图5.1-</w:t>
      </w:r>
      <w:r>
        <w:rPr>
          <w:rFonts w:hint="eastAsia" w:ascii="Times New Roman" w:hAnsi="Times New Roman" w:cs="Times New Roman"/>
          <w:b/>
          <w:color w:val="auto"/>
          <w:w w:val="99"/>
          <w:highlight w:val="none"/>
        </w:rPr>
        <w:t>6</w:t>
      </w:r>
      <w:r>
        <w:rPr>
          <w:rFonts w:ascii="Times New Roman" w:hAnsi="Times New Roman" w:cs="Times New Roman"/>
          <w:b/>
          <w:color w:val="auto"/>
          <w:w w:val="99"/>
          <w:highlight w:val="none"/>
        </w:rPr>
        <w:t xml:space="preserve">    月平均相对湿度</w:t>
      </w:r>
    </w:p>
    <w:p w14:paraId="02E06F9E">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②相对湿度年际变化趋势与周期分析</w:t>
      </w:r>
    </w:p>
    <w:p w14:paraId="7726B405">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大庆气象站</w:t>
      </w:r>
      <w:r>
        <w:rPr>
          <w:rFonts w:hint="eastAsia" w:ascii="Times New Roman" w:hAnsi="Times New Roman" w:cs="Times New Roman"/>
          <w:color w:val="auto"/>
          <w:w w:val="99"/>
          <w:highlight w:val="none"/>
          <w:lang w:val="zh-CN"/>
        </w:rPr>
        <w:t>近二十年</w:t>
      </w:r>
      <w:r>
        <w:rPr>
          <w:rFonts w:ascii="Times New Roman" w:hAnsi="Times New Roman" w:cs="Times New Roman"/>
          <w:color w:val="auto"/>
          <w:w w:val="99"/>
          <w:highlight w:val="none"/>
          <w:lang w:val="zh-CN"/>
        </w:rPr>
        <w:t>年平均相对湿度无明显变化趋势，2013年年平均相对湿度最大（67%），2017年年平均相对湿度最小（56%）。</w:t>
      </w:r>
    </w:p>
    <w:p w14:paraId="22D529CB">
      <w:pPr>
        <w:widowControl w:val="0"/>
        <w:spacing w:line="440" w:lineRule="exact"/>
        <w:jc w:val="both"/>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5.1.2.2近一年地面气象资料统计</w:t>
      </w:r>
    </w:p>
    <w:p w14:paraId="66B1129B">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本项目地面观测资料采用气象局提供的2024年1月至2024年12月全年风速、风向、干球温度、露点温度、相对湿度、气压观测资料以及观测的总云和低云资料进行统计分析。统计分析结果表明，2024年评价区域平均温度6.3℃，平均风速2.9m/s。</w:t>
      </w:r>
    </w:p>
    <w:p w14:paraId="3223B78D">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（1）气象台站的基本信息</w:t>
      </w:r>
    </w:p>
    <w:p w14:paraId="1F455DA3">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气象台站区站号（国家统一编号）50850；</w:t>
      </w:r>
    </w:p>
    <w:p w14:paraId="4325FFA5">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测风距离地面高度10.5米；</w:t>
      </w:r>
    </w:p>
    <w:p w14:paraId="23CD3715">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测温离地面高度1.5米；</w:t>
      </w:r>
    </w:p>
    <w:p w14:paraId="12C6E7D0">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气象站地面高程（拔海高度）152米；</w:t>
      </w:r>
    </w:p>
    <w:p w14:paraId="73B7DF77">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气象站类别（一般站）。</w:t>
      </w:r>
    </w:p>
    <w:p w14:paraId="7004CE51">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（2）温度统计分析</w:t>
      </w:r>
    </w:p>
    <w:p w14:paraId="036BDD76">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年平均温度月变化统计表见表5.1-5和图5.1-8。</w:t>
      </w:r>
    </w:p>
    <w:p w14:paraId="5C1B97DC">
      <w:pPr>
        <w:pStyle w:val="153"/>
        <w:widowControl w:val="0"/>
        <w:spacing w:line="440" w:lineRule="exact"/>
        <w:ind w:firstLine="474"/>
        <w:jc w:val="both"/>
        <w:rPr>
          <w:rFonts w:ascii="Times New Roman" w:hAnsi="Times New Roman"/>
          <w:b/>
          <w:color w:val="auto"/>
          <w:w w:val="99"/>
          <w:highlight w:val="none"/>
        </w:rPr>
      </w:pPr>
      <w:r>
        <w:rPr>
          <w:rFonts w:ascii="Times New Roman" w:hAnsi="Times New Roman"/>
          <w:b/>
          <w:color w:val="auto"/>
          <w:w w:val="99"/>
          <w:highlight w:val="none"/>
        </w:rPr>
        <w:t>表5.1-5    年平均温度月变化统计表</w:t>
      </w:r>
    </w:p>
    <w:tbl>
      <w:tblPr>
        <w:tblStyle w:val="1662"/>
        <w:tblW w:w="910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8"/>
        <w:gridCol w:w="614"/>
        <w:gridCol w:w="613"/>
        <w:gridCol w:w="614"/>
        <w:gridCol w:w="614"/>
        <w:gridCol w:w="614"/>
        <w:gridCol w:w="614"/>
        <w:gridCol w:w="614"/>
        <w:gridCol w:w="614"/>
        <w:gridCol w:w="614"/>
        <w:gridCol w:w="615"/>
        <w:gridCol w:w="615"/>
        <w:gridCol w:w="617"/>
        <w:gridCol w:w="631"/>
      </w:tblGrid>
      <w:tr w14:paraId="04356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098" w:type="dxa"/>
            <w:tcBorders>
              <w:left w:val="single" w:color="000000" w:sz="10" w:space="0"/>
            </w:tcBorders>
            <w:vAlign w:val="center"/>
          </w:tcPr>
          <w:p w14:paraId="299DC244">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月份</w:t>
            </w:r>
          </w:p>
        </w:tc>
        <w:tc>
          <w:tcPr>
            <w:tcW w:w="614" w:type="dxa"/>
            <w:vAlign w:val="center"/>
          </w:tcPr>
          <w:p w14:paraId="24328166">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1月</w:t>
            </w:r>
          </w:p>
        </w:tc>
        <w:tc>
          <w:tcPr>
            <w:tcW w:w="613" w:type="dxa"/>
            <w:vAlign w:val="center"/>
          </w:tcPr>
          <w:p w14:paraId="409ADF9A">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2月</w:t>
            </w:r>
          </w:p>
        </w:tc>
        <w:tc>
          <w:tcPr>
            <w:tcW w:w="614" w:type="dxa"/>
            <w:vAlign w:val="center"/>
          </w:tcPr>
          <w:p w14:paraId="1080DD9B">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3月</w:t>
            </w:r>
          </w:p>
        </w:tc>
        <w:tc>
          <w:tcPr>
            <w:tcW w:w="614" w:type="dxa"/>
            <w:vAlign w:val="center"/>
          </w:tcPr>
          <w:p w14:paraId="3AC241CD">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4月</w:t>
            </w:r>
          </w:p>
        </w:tc>
        <w:tc>
          <w:tcPr>
            <w:tcW w:w="614" w:type="dxa"/>
            <w:vAlign w:val="center"/>
          </w:tcPr>
          <w:p w14:paraId="49631BAE">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5月</w:t>
            </w:r>
          </w:p>
        </w:tc>
        <w:tc>
          <w:tcPr>
            <w:tcW w:w="614" w:type="dxa"/>
            <w:vAlign w:val="center"/>
          </w:tcPr>
          <w:p w14:paraId="7A29C39D">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6月</w:t>
            </w:r>
          </w:p>
        </w:tc>
        <w:tc>
          <w:tcPr>
            <w:tcW w:w="614" w:type="dxa"/>
            <w:vAlign w:val="center"/>
          </w:tcPr>
          <w:p w14:paraId="2F426355">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7月</w:t>
            </w:r>
          </w:p>
        </w:tc>
        <w:tc>
          <w:tcPr>
            <w:tcW w:w="614" w:type="dxa"/>
            <w:vAlign w:val="center"/>
          </w:tcPr>
          <w:p w14:paraId="20E9931D">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8月</w:t>
            </w:r>
          </w:p>
        </w:tc>
        <w:tc>
          <w:tcPr>
            <w:tcW w:w="614" w:type="dxa"/>
            <w:vAlign w:val="center"/>
          </w:tcPr>
          <w:p w14:paraId="3BBD9434">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9月</w:t>
            </w:r>
          </w:p>
        </w:tc>
        <w:tc>
          <w:tcPr>
            <w:tcW w:w="615" w:type="dxa"/>
            <w:vAlign w:val="center"/>
          </w:tcPr>
          <w:p w14:paraId="72EB7278">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10月</w:t>
            </w:r>
          </w:p>
        </w:tc>
        <w:tc>
          <w:tcPr>
            <w:tcW w:w="615" w:type="dxa"/>
            <w:vAlign w:val="center"/>
          </w:tcPr>
          <w:p w14:paraId="4D934ECB">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11月</w:t>
            </w:r>
          </w:p>
        </w:tc>
        <w:tc>
          <w:tcPr>
            <w:tcW w:w="617" w:type="dxa"/>
            <w:vAlign w:val="center"/>
          </w:tcPr>
          <w:p w14:paraId="27429C7C">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12月</w:t>
            </w:r>
          </w:p>
        </w:tc>
        <w:tc>
          <w:tcPr>
            <w:tcW w:w="631" w:type="dxa"/>
            <w:tcBorders>
              <w:right w:val="single" w:color="000000" w:sz="10" w:space="0"/>
            </w:tcBorders>
            <w:vAlign w:val="center"/>
          </w:tcPr>
          <w:p w14:paraId="417A199D">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全年</w:t>
            </w:r>
          </w:p>
        </w:tc>
      </w:tr>
      <w:tr w14:paraId="5100C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098" w:type="dxa"/>
            <w:tcBorders>
              <w:left w:val="single" w:color="000000" w:sz="10" w:space="0"/>
            </w:tcBorders>
            <w:vAlign w:val="center"/>
          </w:tcPr>
          <w:p w14:paraId="103D37F7">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气温（℃）</w:t>
            </w:r>
          </w:p>
        </w:tc>
        <w:tc>
          <w:tcPr>
            <w:tcW w:w="614" w:type="dxa"/>
            <w:vAlign w:val="bottom"/>
          </w:tcPr>
          <w:p w14:paraId="1798C697">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18"/>
                <w:szCs w:val="18"/>
                <w:highlight w:val="none"/>
                <w:lang w:eastAsia="en-US"/>
              </w:rPr>
              <w:t xml:space="preserve">-16.1 </w:t>
            </w:r>
          </w:p>
        </w:tc>
        <w:tc>
          <w:tcPr>
            <w:tcW w:w="613" w:type="dxa"/>
            <w:vAlign w:val="bottom"/>
          </w:tcPr>
          <w:p w14:paraId="5B0749BF">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18"/>
                <w:szCs w:val="18"/>
                <w:highlight w:val="none"/>
                <w:lang w:eastAsia="en-US"/>
              </w:rPr>
              <w:t xml:space="preserve">-10.0 </w:t>
            </w:r>
          </w:p>
        </w:tc>
        <w:tc>
          <w:tcPr>
            <w:tcW w:w="614" w:type="dxa"/>
            <w:vAlign w:val="bottom"/>
          </w:tcPr>
          <w:p w14:paraId="41A51BBF">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18"/>
                <w:szCs w:val="18"/>
                <w:highlight w:val="none"/>
                <w:lang w:eastAsia="en-US"/>
              </w:rPr>
              <w:t xml:space="preserve">-1.7 </w:t>
            </w:r>
          </w:p>
        </w:tc>
        <w:tc>
          <w:tcPr>
            <w:tcW w:w="614" w:type="dxa"/>
            <w:vAlign w:val="bottom"/>
          </w:tcPr>
          <w:p w14:paraId="762655C9">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18"/>
                <w:szCs w:val="18"/>
                <w:highlight w:val="none"/>
                <w:lang w:eastAsia="en-US"/>
              </w:rPr>
              <w:t xml:space="preserve">10.1 </w:t>
            </w:r>
          </w:p>
        </w:tc>
        <w:tc>
          <w:tcPr>
            <w:tcW w:w="614" w:type="dxa"/>
            <w:vAlign w:val="bottom"/>
          </w:tcPr>
          <w:p w14:paraId="37B5F356">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18"/>
                <w:szCs w:val="18"/>
                <w:highlight w:val="none"/>
                <w:lang w:eastAsia="en-US"/>
              </w:rPr>
              <w:t xml:space="preserve">15.6 </w:t>
            </w:r>
          </w:p>
        </w:tc>
        <w:tc>
          <w:tcPr>
            <w:tcW w:w="614" w:type="dxa"/>
            <w:vAlign w:val="bottom"/>
          </w:tcPr>
          <w:p w14:paraId="5A44F2B2">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18"/>
                <w:szCs w:val="18"/>
                <w:highlight w:val="none"/>
                <w:lang w:eastAsia="en-US"/>
              </w:rPr>
              <w:t xml:space="preserve">20.2 </w:t>
            </w:r>
          </w:p>
        </w:tc>
        <w:tc>
          <w:tcPr>
            <w:tcW w:w="614" w:type="dxa"/>
            <w:vAlign w:val="bottom"/>
          </w:tcPr>
          <w:p w14:paraId="221F894E">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18"/>
                <w:szCs w:val="18"/>
                <w:highlight w:val="none"/>
                <w:lang w:eastAsia="en-US"/>
              </w:rPr>
              <w:t xml:space="preserve">25.2 </w:t>
            </w:r>
          </w:p>
        </w:tc>
        <w:tc>
          <w:tcPr>
            <w:tcW w:w="614" w:type="dxa"/>
            <w:vAlign w:val="bottom"/>
          </w:tcPr>
          <w:p w14:paraId="2EE34BBB">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18"/>
                <w:szCs w:val="18"/>
                <w:highlight w:val="none"/>
                <w:lang w:eastAsia="en-US"/>
              </w:rPr>
              <w:t xml:space="preserve">23.3 </w:t>
            </w:r>
          </w:p>
        </w:tc>
        <w:tc>
          <w:tcPr>
            <w:tcW w:w="614" w:type="dxa"/>
            <w:vAlign w:val="bottom"/>
          </w:tcPr>
          <w:p w14:paraId="60DD08F8">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18"/>
                <w:szCs w:val="18"/>
                <w:highlight w:val="none"/>
                <w:lang w:eastAsia="en-US"/>
              </w:rPr>
              <w:t xml:space="preserve">16.8 </w:t>
            </w:r>
          </w:p>
        </w:tc>
        <w:tc>
          <w:tcPr>
            <w:tcW w:w="615" w:type="dxa"/>
            <w:vAlign w:val="bottom"/>
          </w:tcPr>
          <w:p w14:paraId="1AADE93D">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18"/>
                <w:szCs w:val="18"/>
                <w:highlight w:val="none"/>
                <w:lang w:eastAsia="en-US"/>
              </w:rPr>
              <w:t xml:space="preserve">7.8 </w:t>
            </w:r>
          </w:p>
        </w:tc>
        <w:tc>
          <w:tcPr>
            <w:tcW w:w="615" w:type="dxa"/>
            <w:vAlign w:val="bottom"/>
          </w:tcPr>
          <w:p w14:paraId="1CD98627">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18"/>
                <w:szCs w:val="18"/>
                <w:highlight w:val="none"/>
                <w:lang w:eastAsia="en-US"/>
              </w:rPr>
              <w:t xml:space="preserve">-2.5 </w:t>
            </w:r>
          </w:p>
        </w:tc>
        <w:tc>
          <w:tcPr>
            <w:tcW w:w="617" w:type="dxa"/>
            <w:vAlign w:val="bottom"/>
          </w:tcPr>
          <w:p w14:paraId="5FFC5A76">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18"/>
                <w:szCs w:val="18"/>
                <w:highlight w:val="none"/>
                <w:lang w:eastAsia="en-US"/>
              </w:rPr>
              <w:t xml:space="preserve">-13.2 </w:t>
            </w:r>
          </w:p>
        </w:tc>
        <w:tc>
          <w:tcPr>
            <w:tcW w:w="631" w:type="dxa"/>
            <w:tcBorders>
              <w:right w:val="single" w:color="000000" w:sz="10" w:space="0"/>
            </w:tcBorders>
            <w:vAlign w:val="center"/>
          </w:tcPr>
          <w:p w14:paraId="6F2747F7">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6.3</w:t>
            </w:r>
          </w:p>
        </w:tc>
      </w:tr>
    </w:tbl>
    <w:p w14:paraId="26B37CB6">
      <w:pPr>
        <w:widowControl w:val="0"/>
        <w:jc w:val="center"/>
        <w:rPr>
          <w:rFonts w:ascii="Times New Roman" w:hAnsi="Times New Roman" w:cs="Times New Roman"/>
          <w:color w:val="auto"/>
          <w:w w:val="99"/>
          <w:highlight w:val="none"/>
          <w:lang w:val="zh-CN"/>
        </w:rPr>
      </w:pPr>
      <w:r>
        <w:rPr>
          <w:rFonts w:ascii="Times New Roman" w:hAnsi="Times New Roman" w:cs="Times New Roman"/>
          <w:color w:val="auto"/>
          <w:w w:val="99"/>
          <w:highlight w:val="none"/>
        </w:rPr>
        <w:drawing>
          <wp:inline distT="0" distB="0" distL="0" distR="0">
            <wp:extent cx="3905885" cy="2339975"/>
            <wp:effectExtent l="0" t="0" r="18415" b="317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61"/>
                    <a:stretch>
                      <a:fillRect/>
                    </a:stretch>
                  </pic:blipFill>
                  <pic:spPr>
                    <a:xfrm>
                      <a:off x="0" y="0"/>
                      <a:ext cx="3905885" cy="2339975"/>
                    </a:xfrm>
                    <a:prstGeom prst="rect">
                      <a:avLst/>
                    </a:prstGeom>
                  </pic:spPr>
                </pic:pic>
              </a:graphicData>
            </a:graphic>
          </wp:inline>
        </w:drawing>
      </w:r>
    </w:p>
    <w:p w14:paraId="4EC41CE5">
      <w:pPr>
        <w:widowControl w:val="0"/>
        <w:jc w:val="center"/>
        <w:rPr>
          <w:rFonts w:ascii="Times New Roman" w:hAnsi="Times New Roman" w:cs="Times New Roman"/>
          <w:b/>
          <w:bCs/>
          <w:color w:val="auto"/>
          <w:w w:val="99"/>
          <w:highlight w:val="none"/>
          <w:lang w:val="zh-CN"/>
        </w:rPr>
      </w:pPr>
      <w:r>
        <w:rPr>
          <w:rFonts w:ascii="Times New Roman" w:hAnsi="Times New Roman" w:cs="Times New Roman"/>
          <w:b/>
          <w:bCs/>
          <w:color w:val="auto"/>
          <w:w w:val="99"/>
          <w:highlight w:val="none"/>
          <w:lang w:val="zh-CN"/>
        </w:rPr>
        <w:t>图5.1-</w:t>
      </w:r>
      <w:r>
        <w:rPr>
          <w:rFonts w:hint="eastAsia" w:ascii="Times New Roman" w:hAnsi="Times New Roman" w:cs="Times New Roman"/>
          <w:b/>
          <w:bCs/>
          <w:color w:val="auto"/>
          <w:w w:val="99"/>
          <w:highlight w:val="none"/>
        </w:rPr>
        <w:t>7</w:t>
      </w:r>
      <w:r>
        <w:rPr>
          <w:rFonts w:ascii="Times New Roman" w:hAnsi="Times New Roman" w:cs="Times New Roman"/>
          <w:b/>
          <w:bCs/>
          <w:color w:val="auto"/>
          <w:w w:val="99"/>
          <w:highlight w:val="none"/>
          <w:lang w:val="zh-CN"/>
        </w:rPr>
        <w:t xml:space="preserve">  年平均温度变化曲线图</w:t>
      </w:r>
    </w:p>
    <w:p w14:paraId="549561AB">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由上表可知，近1年的平均温度为6.3℃，4-10月份高于全年平均气温，其它月份小于全年平均值，7月份平均气温最高为25.2℃，1月份温度最低为-16.1℃。</w:t>
      </w:r>
    </w:p>
    <w:p w14:paraId="01D0CD38">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（3）风速统计分析</w:t>
      </w:r>
    </w:p>
    <w:p w14:paraId="425D86A1">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年平均风速为2.9m/s，4-5月份平均风速最大为3.6m/s；12月份平均风速最小为2.2m/s。年平均风速月变化统计见表5.1-6和图5.1-</w:t>
      </w:r>
      <w:r>
        <w:rPr>
          <w:rFonts w:hint="eastAsia" w:ascii="Times New Roman" w:hAnsi="Times New Roman" w:cs="Times New Roman"/>
          <w:color w:val="auto"/>
          <w:w w:val="99"/>
          <w:highlight w:val="none"/>
        </w:rPr>
        <w:t>8</w:t>
      </w:r>
      <w:r>
        <w:rPr>
          <w:rFonts w:ascii="Times New Roman" w:hAnsi="Times New Roman" w:cs="Times New Roman"/>
          <w:color w:val="auto"/>
          <w:w w:val="99"/>
          <w:highlight w:val="none"/>
          <w:lang w:val="zh-CN"/>
        </w:rPr>
        <w:t>。</w:t>
      </w:r>
    </w:p>
    <w:p w14:paraId="1902AB8E">
      <w:pPr>
        <w:pStyle w:val="153"/>
        <w:widowControl w:val="0"/>
        <w:spacing w:line="440" w:lineRule="exact"/>
        <w:ind w:firstLine="474"/>
        <w:jc w:val="both"/>
        <w:rPr>
          <w:rFonts w:ascii="Times New Roman" w:hAnsi="Times New Roman"/>
          <w:b/>
          <w:color w:val="auto"/>
          <w:w w:val="99"/>
          <w:highlight w:val="none"/>
        </w:rPr>
      </w:pPr>
      <w:r>
        <w:rPr>
          <w:rFonts w:ascii="Times New Roman" w:hAnsi="Times New Roman"/>
          <w:b/>
          <w:color w:val="auto"/>
          <w:w w:val="99"/>
          <w:highlight w:val="none"/>
        </w:rPr>
        <w:t>表5.1-6    年平均风速统计表</w:t>
      </w:r>
    </w:p>
    <w:tbl>
      <w:tblPr>
        <w:tblStyle w:val="1662"/>
        <w:tblW w:w="910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51"/>
        <w:gridCol w:w="567"/>
        <w:gridCol w:w="567"/>
        <w:gridCol w:w="549"/>
        <w:gridCol w:w="614"/>
        <w:gridCol w:w="615"/>
        <w:gridCol w:w="614"/>
        <w:gridCol w:w="615"/>
        <w:gridCol w:w="614"/>
        <w:gridCol w:w="614"/>
        <w:gridCol w:w="615"/>
        <w:gridCol w:w="616"/>
        <w:gridCol w:w="619"/>
        <w:gridCol w:w="631"/>
      </w:tblGrid>
      <w:tr w14:paraId="4427EF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51" w:type="dxa"/>
            <w:tcBorders>
              <w:left w:val="single" w:color="000000" w:sz="10" w:space="0"/>
            </w:tcBorders>
            <w:vAlign w:val="center"/>
          </w:tcPr>
          <w:p w14:paraId="167C21A2">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月份</w:t>
            </w:r>
          </w:p>
        </w:tc>
        <w:tc>
          <w:tcPr>
            <w:tcW w:w="567" w:type="dxa"/>
            <w:vAlign w:val="center"/>
          </w:tcPr>
          <w:p w14:paraId="3322FC6C">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1月</w:t>
            </w:r>
          </w:p>
        </w:tc>
        <w:tc>
          <w:tcPr>
            <w:tcW w:w="567" w:type="dxa"/>
            <w:vAlign w:val="center"/>
          </w:tcPr>
          <w:p w14:paraId="603A9A64">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2月</w:t>
            </w:r>
          </w:p>
        </w:tc>
        <w:tc>
          <w:tcPr>
            <w:tcW w:w="549" w:type="dxa"/>
            <w:vAlign w:val="center"/>
          </w:tcPr>
          <w:p w14:paraId="4341E264">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3月</w:t>
            </w:r>
          </w:p>
        </w:tc>
        <w:tc>
          <w:tcPr>
            <w:tcW w:w="614" w:type="dxa"/>
            <w:vAlign w:val="center"/>
          </w:tcPr>
          <w:p w14:paraId="5196FE07">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4月</w:t>
            </w:r>
          </w:p>
        </w:tc>
        <w:tc>
          <w:tcPr>
            <w:tcW w:w="615" w:type="dxa"/>
            <w:vAlign w:val="center"/>
          </w:tcPr>
          <w:p w14:paraId="289C3B5F">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5月</w:t>
            </w:r>
          </w:p>
        </w:tc>
        <w:tc>
          <w:tcPr>
            <w:tcW w:w="614" w:type="dxa"/>
            <w:vAlign w:val="center"/>
          </w:tcPr>
          <w:p w14:paraId="0C9E6369">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6月</w:t>
            </w:r>
          </w:p>
        </w:tc>
        <w:tc>
          <w:tcPr>
            <w:tcW w:w="615" w:type="dxa"/>
            <w:vAlign w:val="center"/>
          </w:tcPr>
          <w:p w14:paraId="335879F4">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7月</w:t>
            </w:r>
          </w:p>
        </w:tc>
        <w:tc>
          <w:tcPr>
            <w:tcW w:w="614" w:type="dxa"/>
            <w:vAlign w:val="center"/>
          </w:tcPr>
          <w:p w14:paraId="644B5211">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8月</w:t>
            </w:r>
          </w:p>
        </w:tc>
        <w:tc>
          <w:tcPr>
            <w:tcW w:w="614" w:type="dxa"/>
            <w:vAlign w:val="center"/>
          </w:tcPr>
          <w:p w14:paraId="38983A81">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9月</w:t>
            </w:r>
          </w:p>
        </w:tc>
        <w:tc>
          <w:tcPr>
            <w:tcW w:w="615" w:type="dxa"/>
            <w:vAlign w:val="center"/>
          </w:tcPr>
          <w:p w14:paraId="43094905">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10月</w:t>
            </w:r>
          </w:p>
        </w:tc>
        <w:tc>
          <w:tcPr>
            <w:tcW w:w="616" w:type="dxa"/>
            <w:vAlign w:val="center"/>
          </w:tcPr>
          <w:p w14:paraId="56431CB5">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11月</w:t>
            </w:r>
          </w:p>
        </w:tc>
        <w:tc>
          <w:tcPr>
            <w:tcW w:w="619" w:type="dxa"/>
            <w:vAlign w:val="center"/>
          </w:tcPr>
          <w:p w14:paraId="67B12810">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12月</w:t>
            </w:r>
          </w:p>
        </w:tc>
        <w:tc>
          <w:tcPr>
            <w:tcW w:w="631" w:type="dxa"/>
            <w:tcBorders>
              <w:right w:val="single" w:color="000000" w:sz="10" w:space="0"/>
            </w:tcBorders>
            <w:vAlign w:val="center"/>
          </w:tcPr>
          <w:p w14:paraId="125AE5A0">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全年</w:t>
            </w:r>
          </w:p>
        </w:tc>
      </w:tr>
      <w:tr w14:paraId="42503C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51" w:type="dxa"/>
            <w:tcBorders>
              <w:left w:val="single" w:color="000000" w:sz="10" w:space="0"/>
            </w:tcBorders>
            <w:vAlign w:val="center"/>
          </w:tcPr>
          <w:p w14:paraId="4B200E43">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风速（m/s）</w:t>
            </w:r>
          </w:p>
        </w:tc>
        <w:tc>
          <w:tcPr>
            <w:tcW w:w="567" w:type="dxa"/>
            <w:vAlign w:val="bottom"/>
          </w:tcPr>
          <w:p w14:paraId="27CFEAF8">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18"/>
                <w:szCs w:val="18"/>
                <w:highlight w:val="none"/>
                <w:lang w:eastAsia="en-US"/>
              </w:rPr>
              <w:t xml:space="preserve">2.5 </w:t>
            </w:r>
          </w:p>
        </w:tc>
        <w:tc>
          <w:tcPr>
            <w:tcW w:w="567" w:type="dxa"/>
            <w:vAlign w:val="bottom"/>
          </w:tcPr>
          <w:p w14:paraId="6E7602A2">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18"/>
                <w:szCs w:val="18"/>
                <w:highlight w:val="none"/>
                <w:lang w:eastAsia="en-US"/>
              </w:rPr>
              <w:t xml:space="preserve">2.7 </w:t>
            </w:r>
          </w:p>
        </w:tc>
        <w:tc>
          <w:tcPr>
            <w:tcW w:w="549" w:type="dxa"/>
            <w:vAlign w:val="bottom"/>
          </w:tcPr>
          <w:p w14:paraId="404FF930">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18"/>
                <w:szCs w:val="18"/>
                <w:highlight w:val="none"/>
                <w:lang w:eastAsia="en-US"/>
              </w:rPr>
              <w:t xml:space="preserve">3.1 </w:t>
            </w:r>
          </w:p>
        </w:tc>
        <w:tc>
          <w:tcPr>
            <w:tcW w:w="614" w:type="dxa"/>
            <w:vAlign w:val="bottom"/>
          </w:tcPr>
          <w:p w14:paraId="5717757C">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18"/>
                <w:szCs w:val="18"/>
                <w:highlight w:val="none"/>
                <w:lang w:eastAsia="en-US"/>
              </w:rPr>
              <w:t xml:space="preserve">3.6 </w:t>
            </w:r>
          </w:p>
        </w:tc>
        <w:tc>
          <w:tcPr>
            <w:tcW w:w="615" w:type="dxa"/>
            <w:vAlign w:val="bottom"/>
          </w:tcPr>
          <w:p w14:paraId="3A030817">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18"/>
                <w:szCs w:val="18"/>
                <w:highlight w:val="none"/>
                <w:lang w:eastAsia="en-US"/>
              </w:rPr>
              <w:t xml:space="preserve">3.6 </w:t>
            </w:r>
          </w:p>
        </w:tc>
        <w:tc>
          <w:tcPr>
            <w:tcW w:w="614" w:type="dxa"/>
            <w:vAlign w:val="bottom"/>
          </w:tcPr>
          <w:p w14:paraId="215A1F5E">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18"/>
                <w:szCs w:val="18"/>
                <w:highlight w:val="none"/>
                <w:lang w:eastAsia="en-US"/>
              </w:rPr>
              <w:t xml:space="preserve">3.0 </w:t>
            </w:r>
          </w:p>
        </w:tc>
        <w:tc>
          <w:tcPr>
            <w:tcW w:w="615" w:type="dxa"/>
            <w:vAlign w:val="bottom"/>
          </w:tcPr>
          <w:p w14:paraId="197217CB">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18"/>
                <w:szCs w:val="18"/>
                <w:highlight w:val="none"/>
                <w:lang w:eastAsia="en-US"/>
              </w:rPr>
              <w:t xml:space="preserve">2.7 </w:t>
            </w:r>
          </w:p>
        </w:tc>
        <w:tc>
          <w:tcPr>
            <w:tcW w:w="614" w:type="dxa"/>
            <w:vAlign w:val="bottom"/>
          </w:tcPr>
          <w:p w14:paraId="49077487">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18"/>
                <w:szCs w:val="18"/>
                <w:highlight w:val="none"/>
                <w:lang w:eastAsia="en-US"/>
              </w:rPr>
              <w:t xml:space="preserve">2.3 </w:t>
            </w:r>
          </w:p>
        </w:tc>
        <w:tc>
          <w:tcPr>
            <w:tcW w:w="614" w:type="dxa"/>
            <w:vAlign w:val="bottom"/>
          </w:tcPr>
          <w:p w14:paraId="3E0E3835">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18"/>
                <w:szCs w:val="18"/>
                <w:highlight w:val="none"/>
                <w:lang w:eastAsia="en-US"/>
              </w:rPr>
              <w:t xml:space="preserve">3.0 </w:t>
            </w:r>
          </w:p>
        </w:tc>
        <w:tc>
          <w:tcPr>
            <w:tcW w:w="615" w:type="dxa"/>
            <w:vAlign w:val="bottom"/>
          </w:tcPr>
          <w:p w14:paraId="428F28F0">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18"/>
                <w:szCs w:val="18"/>
                <w:highlight w:val="none"/>
                <w:lang w:eastAsia="en-US"/>
              </w:rPr>
              <w:t xml:space="preserve">3.0 </w:t>
            </w:r>
          </w:p>
        </w:tc>
        <w:tc>
          <w:tcPr>
            <w:tcW w:w="616" w:type="dxa"/>
            <w:vAlign w:val="bottom"/>
          </w:tcPr>
          <w:p w14:paraId="0922574F">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18"/>
                <w:szCs w:val="18"/>
                <w:highlight w:val="none"/>
                <w:lang w:eastAsia="en-US"/>
              </w:rPr>
              <w:t xml:space="preserve">2.8 </w:t>
            </w:r>
          </w:p>
        </w:tc>
        <w:tc>
          <w:tcPr>
            <w:tcW w:w="619" w:type="dxa"/>
            <w:vAlign w:val="bottom"/>
          </w:tcPr>
          <w:p w14:paraId="057C1631">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18"/>
                <w:szCs w:val="18"/>
                <w:highlight w:val="none"/>
                <w:lang w:eastAsia="en-US"/>
              </w:rPr>
              <w:t xml:space="preserve">2.2 </w:t>
            </w:r>
          </w:p>
        </w:tc>
        <w:tc>
          <w:tcPr>
            <w:tcW w:w="631" w:type="dxa"/>
            <w:tcBorders>
              <w:right w:val="single" w:color="000000" w:sz="10" w:space="0"/>
            </w:tcBorders>
            <w:vAlign w:val="center"/>
          </w:tcPr>
          <w:p w14:paraId="046C1AE3">
            <w:pPr>
              <w:widowControl w:val="0"/>
              <w:spacing w:line="320" w:lineRule="exact"/>
              <w:jc w:val="center"/>
              <w:rPr>
                <w:rFonts w:ascii="Times New Roman" w:hAnsi="Times New Roman" w:cs="Times New Roman"/>
                <w:color w:val="auto"/>
                <w:w w:val="99"/>
                <w:sz w:val="20"/>
                <w:szCs w:val="20"/>
                <w:highlight w:val="none"/>
                <w:lang w:eastAsia="en-US"/>
              </w:rPr>
            </w:pPr>
            <w:r>
              <w:rPr>
                <w:rFonts w:ascii="Times New Roman" w:hAnsi="Times New Roman" w:cs="Times New Roman"/>
                <w:color w:val="auto"/>
                <w:w w:val="99"/>
                <w:sz w:val="20"/>
                <w:szCs w:val="20"/>
                <w:highlight w:val="none"/>
                <w:lang w:eastAsia="en-US"/>
              </w:rPr>
              <w:t>2.9</w:t>
            </w:r>
          </w:p>
        </w:tc>
      </w:tr>
    </w:tbl>
    <w:p w14:paraId="1B1D74EE">
      <w:pPr>
        <w:widowControl w:val="0"/>
        <w:jc w:val="center"/>
        <w:rPr>
          <w:rFonts w:ascii="Times New Roman" w:hAnsi="Times New Roman" w:cs="Times New Roman"/>
          <w:color w:val="auto"/>
          <w:w w:val="99"/>
          <w:highlight w:val="none"/>
          <w:lang w:val="zh-CN"/>
        </w:rPr>
      </w:pPr>
      <w:r>
        <w:rPr>
          <w:rFonts w:ascii="Times New Roman" w:hAnsi="Times New Roman" w:cs="Times New Roman"/>
          <w:color w:val="auto"/>
          <w:w w:val="99"/>
          <w:highlight w:val="none"/>
        </w:rPr>
        <w:drawing>
          <wp:inline distT="0" distB="0" distL="0" distR="0">
            <wp:extent cx="3890645" cy="2324100"/>
            <wp:effectExtent l="0" t="0" r="14605"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62"/>
                    <a:stretch>
                      <a:fillRect/>
                    </a:stretch>
                  </pic:blipFill>
                  <pic:spPr>
                    <a:xfrm>
                      <a:off x="0" y="0"/>
                      <a:ext cx="3898557" cy="2328562"/>
                    </a:xfrm>
                    <a:prstGeom prst="rect">
                      <a:avLst/>
                    </a:prstGeom>
                  </pic:spPr>
                </pic:pic>
              </a:graphicData>
            </a:graphic>
          </wp:inline>
        </w:drawing>
      </w:r>
    </w:p>
    <w:p w14:paraId="541B81A3">
      <w:pPr>
        <w:widowControl w:val="0"/>
        <w:jc w:val="center"/>
        <w:rPr>
          <w:rFonts w:ascii="Times New Roman" w:hAnsi="Times New Roman" w:cs="Times New Roman"/>
          <w:b/>
          <w:bCs/>
          <w:color w:val="auto"/>
          <w:w w:val="99"/>
          <w:highlight w:val="none"/>
          <w:lang w:val="zh-CN"/>
        </w:rPr>
      </w:pPr>
      <w:r>
        <w:rPr>
          <w:rFonts w:ascii="Times New Roman" w:hAnsi="Times New Roman" w:cs="Times New Roman"/>
          <w:b/>
          <w:bCs/>
          <w:color w:val="auto"/>
          <w:w w:val="99"/>
          <w:highlight w:val="none"/>
          <w:lang w:val="zh-CN"/>
        </w:rPr>
        <w:t>图5.1-</w:t>
      </w:r>
      <w:r>
        <w:rPr>
          <w:rFonts w:hint="eastAsia" w:ascii="Times New Roman" w:hAnsi="Times New Roman" w:cs="Times New Roman"/>
          <w:b/>
          <w:bCs/>
          <w:color w:val="auto"/>
          <w:w w:val="99"/>
          <w:highlight w:val="none"/>
        </w:rPr>
        <w:t>8</w:t>
      </w:r>
      <w:r>
        <w:rPr>
          <w:rFonts w:ascii="Times New Roman" w:hAnsi="Times New Roman" w:cs="Times New Roman"/>
          <w:b/>
          <w:bCs/>
          <w:color w:val="auto"/>
          <w:w w:val="99"/>
          <w:highlight w:val="none"/>
          <w:lang w:val="zh-CN"/>
        </w:rPr>
        <w:t xml:space="preserve">  年平均风速月变化曲线图</w:t>
      </w:r>
    </w:p>
    <w:p w14:paraId="3E492661">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季小时平均风速的日变化见表5.1-7和图5.1-</w:t>
      </w:r>
      <w:r>
        <w:rPr>
          <w:rFonts w:hint="eastAsia" w:ascii="Times New Roman" w:hAnsi="Times New Roman" w:cs="Times New Roman"/>
          <w:color w:val="auto"/>
          <w:w w:val="99"/>
          <w:highlight w:val="none"/>
        </w:rPr>
        <w:t>9</w:t>
      </w:r>
      <w:r>
        <w:rPr>
          <w:rFonts w:ascii="Times New Roman" w:hAnsi="Times New Roman" w:cs="Times New Roman"/>
          <w:color w:val="auto"/>
          <w:w w:val="99"/>
          <w:highlight w:val="none"/>
          <w:lang w:val="zh-CN"/>
        </w:rPr>
        <w:t>。</w:t>
      </w:r>
    </w:p>
    <w:p w14:paraId="17521AC0">
      <w:pPr>
        <w:pStyle w:val="153"/>
        <w:widowControl w:val="0"/>
        <w:spacing w:line="440" w:lineRule="exact"/>
        <w:ind w:firstLine="474"/>
        <w:jc w:val="both"/>
        <w:rPr>
          <w:rFonts w:ascii="Times New Roman" w:hAnsi="Times New Roman"/>
          <w:b/>
          <w:color w:val="auto"/>
          <w:w w:val="99"/>
          <w:highlight w:val="none"/>
        </w:rPr>
      </w:pPr>
      <w:r>
        <w:rPr>
          <w:rFonts w:ascii="Times New Roman" w:hAnsi="Times New Roman"/>
          <w:b/>
          <w:color w:val="auto"/>
          <w:w w:val="99"/>
          <w:highlight w:val="none"/>
        </w:rPr>
        <w:t>表5.1-7    季小时平均风速的日变化（单位：m/s)</w:t>
      </w:r>
    </w:p>
    <w:tbl>
      <w:tblPr>
        <w:tblStyle w:val="81"/>
        <w:tblW w:w="9077" w:type="dxa"/>
        <w:tblInd w:w="0" w:type="dxa"/>
        <w:tblLayout w:type="autofit"/>
        <w:tblCellMar>
          <w:top w:w="0" w:type="dxa"/>
          <w:left w:w="108" w:type="dxa"/>
          <w:bottom w:w="0" w:type="dxa"/>
          <w:right w:w="108" w:type="dxa"/>
        </w:tblCellMar>
      </w:tblPr>
      <w:tblGrid>
        <w:gridCol w:w="1037"/>
        <w:gridCol w:w="670"/>
        <w:gridCol w:w="670"/>
        <w:gridCol w:w="670"/>
        <w:gridCol w:w="670"/>
        <w:gridCol w:w="670"/>
        <w:gridCol w:w="670"/>
        <w:gridCol w:w="670"/>
        <w:gridCol w:w="670"/>
        <w:gridCol w:w="670"/>
        <w:gridCol w:w="670"/>
        <w:gridCol w:w="670"/>
        <w:gridCol w:w="670"/>
      </w:tblGrid>
      <w:tr w14:paraId="4FB62D7A">
        <w:tblPrEx>
          <w:tblCellMar>
            <w:top w:w="0" w:type="dxa"/>
            <w:left w:w="108" w:type="dxa"/>
            <w:bottom w:w="0" w:type="dxa"/>
            <w:right w:w="108" w:type="dxa"/>
          </w:tblCellMar>
        </w:tblPrEx>
        <w:trPr>
          <w:trHeight w:val="471" w:hRule="atLeast"/>
        </w:trPr>
        <w:tc>
          <w:tcPr>
            <w:tcW w:w="1037" w:type="dxa"/>
            <w:tcBorders>
              <w:top w:val="single" w:color="auto" w:sz="8" w:space="0"/>
              <w:left w:val="single" w:color="auto" w:sz="8" w:space="0"/>
              <w:bottom w:val="single" w:color="auto" w:sz="8" w:space="0"/>
              <w:right w:val="single" w:color="auto" w:sz="8" w:space="0"/>
              <w:tl2br w:val="single" w:color="auto" w:sz="8" w:space="0"/>
            </w:tcBorders>
            <w:vAlign w:val="center"/>
          </w:tcPr>
          <w:p w14:paraId="43D9047A">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 xml:space="preserve">   小时</w:t>
            </w:r>
          </w:p>
          <w:p w14:paraId="778D9628">
            <w:pP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风速</w:t>
            </w:r>
          </w:p>
        </w:tc>
        <w:tc>
          <w:tcPr>
            <w:tcW w:w="670" w:type="dxa"/>
            <w:tcBorders>
              <w:top w:val="single" w:color="auto" w:sz="8" w:space="0"/>
              <w:left w:val="nil"/>
              <w:bottom w:val="single" w:color="auto" w:sz="8" w:space="0"/>
              <w:right w:val="single" w:color="auto" w:sz="8" w:space="0"/>
            </w:tcBorders>
            <w:noWrap/>
            <w:vAlign w:val="center"/>
          </w:tcPr>
          <w:p w14:paraId="0DC67492">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w:t>
            </w:r>
          </w:p>
        </w:tc>
        <w:tc>
          <w:tcPr>
            <w:tcW w:w="670" w:type="dxa"/>
            <w:tcBorders>
              <w:top w:val="single" w:color="auto" w:sz="8" w:space="0"/>
              <w:left w:val="nil"/>
              <w:bottom w:val="single" w:color="auto" w:sz="8" w:space="0"/>
              <w:right w:val="single" w:color="auto" w:sz="8" w:space="0"/>
            </w:tcBorders>
            <w:noWrap/>
            <w:vAlign w:val="center"/>
          </w:tcPr>
          <w:p w14:paraId="1172B838">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w:t>
            </w:r>
          </w:p>
        </w:tc>
        <w:tc>
          <w:tcPr>
            <w:tcW w:w="670" w:type="dxa"/>
            <w:tcBorders>
              <w:top w:val="single" w:color="auto" w:sz="8" w:space="0"/>
              <w:left w:val="nil"/>
              <w:bottom w:val="single" w:color="auto" w:sz="8" w:space="0"/>
              <w:right w:val="single" w:color="auto" w:sz="8" w:space="0"/>
            </w:tcBorders>
            <w:noWrap/>
            <w:vAlign w:val="center"/>
          </w:tcPr>
          <w:p w14:paraId="7911F224">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w:t>
            </w:r>
          </w:p>
        </w:tc>
        <w:tc>
          <w:tcPr>
            <w:tcW w:w="670" w:type="dxa"/>
            <w:tcBorders>
              <w:top w:val="single" w:color="auto" w:sz="8" w:space="0"/>
              <w:left w:val="nil"/>
              <w:bottom w:val="single" w:color="auto" w:sz="8" w:space="0"/>
              <w:right w:val="single" w:color="auto" w:sz="8" w:space="0"/>
            </w:tcBorders>
            <w:noWrap/>
            <w:vAlign w:val="center"/>
          </w:tcPr>
          <w:p w14:paraId="408338F4">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4</w:t>
            </w:r>
          </w:p>
        </w:tc>
        <w:tc>
          <w:tcPr>
            <w:tcW w:w="670" w:type="dxa"/>
            <w:tcBorders>
              <w:top w:val="single" w:color="auto" w:sz="8" w:space="0"/>
              <w:left w:val="nil"/>
              <w:bottom w:val="single" w:color="auto" w:sz="8" w:space="0"/>
              <w:right w:val="single" w:color="auto" w:sz="8" w:space="0"/>
            </w:tcBorders>
            <w:noWrap/>
            <w:vAlign w:val="center"/>
          </w:tcPr>
          <w:p w14:paraId="052CB572">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5</w:t>
            </w:r>
          </w:p>
        </w:tc>
        <w:tc>
          <w:tcPr>
            <w:tcW w:w="670" w:type="dxa"/>
            <w:tcBorders>
              <w:top w:val="single" w:color="auto" w:sz="8" w:space="0"/>
              <w:left w:val="nil"/>
              <w:bottom w:val="single" w:color="auto" w:sz="8" w:space="0"/>
              <w:right w:val="single" w:color="auto" w:sz="8" w:space="0"/>
            </w:tcBorders>
            <w:noWrap/>
            <w:vAlign w:val="center"/>
          </w:tcPr>
          <w:p w14:paraId="1F3990DC">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6</w:t>
            </w:r>
          </w:p>
        </w:tc>
        <w:tc>
          <w:tcPr>
            <w:tcW w:w="670" w:type="dxa"/>
            <w:tcBorders>
              <w:top w:val="single" w:color="auto" w:sz="8" w:space="0"/>
              <w:left w:val="nil"/>
              <w:bottom w:val="single" w:color="auto" w:sz="8" w:space="0"/>
              <w:right w:val="single" w:color="auto" w:sz="8" w:space="0"/>
            </w:tcBorders>
            <w:noWrap/>
            <w:vAlign w:val="center"/>
          </w:tcPr>
          <w:p w14:paraId="7E771578">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7</w:t>
            </w:r>
          </w:p>
        </w:tc>
        <w:tc>
          <w:tcPr>
            <w:tcW w:w="670" w:type="dxa"/>
            <w:tcBorders>
              <w:top w:val="single" w:color="auto" w:sz="8" w:space="0"/>
              <w:left w:val="nil"/>
              <w:bottom w:val="single" w:color="auto" w:sz="8" w:space="0"/>
              <w:right w:val="single" w:color="auto" w:sz="8" w:space="0"/>
            </w:tcBorders>
            <w:noWrap/>
            <w:vAlign w:val="center"/>
          </w:tcPr>
          <w:p w14:paraId="397F9CB9">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8</w:t>
            </w:r>
          </w:p>
        </w:tc>
        <w:tc>
          <w:tcPr>
            <w:tcW w:w="670" w:type="dxa"/>
            <w:tcBorders>
              <w:top w:val="single" w:color="auto" w:sz="8" w:space="0"/>
              <w:left w:val="nil"/>
              <w:bottom w:val="single" w:color="auto" w:sz="8" w:space="0"/>
              <w:right w:val="single" w:color="auto" w:sz="8" w:space="0"/>
            </w:tcBorders>
            <w:noWrap/>
            <w:vAlign w:val="center"/>
          </w:tcPr>
          <w:p w14:paraId="6FAC300F">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9</w:t>
            </w:r>
          </w:p>
        </w:tc>
        <w:tc>
          <w:tcPr>
            <w:tcW w:w="670" w:type="dxa"/>
            <w:tcBorders>
              <w:top w:val="single" w:color="auto" w:sz="8" w:space="0"/>
              <w:left w:val="nil"/>
              <w:bottom w:val="single" w:color="auto" w:sz="8" w:space="0"/>
              <w:right w:val="single" w:color="auto" w:sz="8" w:space="0"/>
            </w:tcBorders>
            <w:noWrap/>
            <w:vAlign w:val="center"/>
          </w:tcPr>
          <w:p w14:paraId="3BBC9AE6">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10</w:t>
            </w:r>
          </w:p>
        </w:tc>
        <w:tc>
          <w:tcPr>
            <w:tcW w:w="670" w:type="dxa"/>
            <w:tcBorders>
              <w:top w:val="single" w:color="auto" w:sz="8" w:space="0"/>
              <w:left w:val="nil"/>
              <w:bottom w:val="single" w:color="auto" w:sz="8" w:space="0"/>
              <w:right w:val="single" w:color="auto" w:sz="8" w:space="0"/>
            </w:tcBorders>
            <w:noWrap/>
            <w:vAlign w:val="center"/>
          </w:tcPr>
          <w:p w14:paraId="4D8F2F50">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11</w:t>
            </w:r>
          </w:p>
        </w:tc>
        <w:tc>
          <w:tcPr>
            <w:tcW w:w="670" w:type="dxa"/>
            <w:tcBorders>
              <w:top w:val="single" w:color="auto" w:sz="8" w:space="0"/>
              <w:left w:val="nil"/>
              <w:bottom w:val="single" w:color="auto" w:sz="8" w:space="0"/>
              <w:right w:val="single" w:color="auto" w:sz="8" w:space="0"/>
            </w:tcBorders>
            <w:noWrap/>
            <w:vAlign w:val="center"/>
          </w:tcPr>
          <w:p w14:paraId="0916EE07">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12</w:t>
            </w:r>
          </w:p>
        </w:tc>
      </w:tr>
      <w:tr w14:paraId="725A4951">
        <w:tblPrEx>
          <w:tblCellMar>
            <w:top w:w="0" w:type="dxa"/>
            <w:left w:w="108" w:type="dxa"/>
            <w:bottom w:w="0" w:type="dxa"/>
            <w:right w:w="108" w:type="dxa"/>
          </w:tblCellMar>
        </w:tblPrEx>
        <w:trPr>
          <w:trHeight w:val="222" w:hRule="atLeast"/>
        </w:trPr>
        <w:tc>
          <w:tcPr>
            <w:tcW w:w="1037" w:type="dxa"/>
            <w:tcBorders>
              <w:top w:val="single" w:color="auto" w:sz="8" w:space="0"/>
              <w:left w:val="single" w:color="auto" w:sz="8" w:space="0"/>
              <w:bottom w:val="single" w:color="auto" w:sz="8" w:space="0"/>
              <w:right w:val="single" w:color="auto" w:sz="8" w:space="0"/>
            </w:tcBorders>
            <w:noWrap/>
            <w:vAlign w:val="center"/>
          </w:tcPr>
          <w:p w14:paraId="1AFB7E3C">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春季</w:t>
            </w:r>
          </w:p>
        </w:tc>
        <w:tc>
          <w:tcPr>
            <w:tcW w:w="670" w:type="dxa"/>
            <w:tcBorders>
              <w:top w:val="single" w:color="auto" w:sz="8" w:space="0"/>
              <w:left w:val="nil"/>
              <w:bottom w:val="single" w:color="auto" w:sz="8" w:space="0"/>
              <w:right w:val="single" w:color="auto" w:sz="8" w:space="0"/>
            </w:tcBorders>
            <w:noWrap/>
            <w:vAlign w:val="center"/>
          </w:tcPr>
          <w:p w14:paraId="3D268044">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2.7</w:t>
            </w:r>
          </w:p>
        </w:tc>
        <w:tc>
          <w:tcPr>
            <w:tcW w:w="670" w:type="dxa"/>
            <w:tcBorders>
              <w:top w:val="single" w:color="auto" w:sz="8" w:space="0"/>
              <w:left w:val="nil"/>
              <w:bottom w:val="single" w:color="auto" w:sz="8" w:space="0"/>
              <w:right w:val="single" w:color="auto" w:sz="8" w:space="0"/>
            </w:tcBorders>
            <w:noWrap/>
            <w:vAlign w:val="center"/>
          </w:tcPr>
          <w:p w14:paraId="09137A96">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2.6</w:t>
            </w:r>
          </w:p>
        </w:tc>
        <w:tc>
          <w:tcPr>
            <w:tcW w:w="670" w:type="dxa"/>
            <w:tcBorders>
              <w:top w:val="single" w:color="auto" w:sz="8" w:space="0"/>
              <w:left w:val="nil"/>
              <w:bottom w:val="single" w:color="auto" w:sz="8" w:space="0"/>
              <w:right w:val="single" w:color="auto" w:sz="8" w:space="0"/>
            </w:tcBorders>
            <w:noWrap/>
            <w:vAlign w:val="center"/>
          </w:tcPr>
          <w:p w14:paraId="4B5283B7">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2.6</w:t>
            </w:r>
          </w:p>
        </w:tc>
        <w:tc>
          <w:tcPr>
            <w:tcW w:w="670" w:type="dxa"/>
            <w:tcBorders>
              <w:top w:val="single" w:color="auto" w:sz="8" w:space="0"/>
              <w:left w:val="nil"/>
              <w:bottom w:val="single" w:color="auto" w:sz="8" w:space="0"/>
              <w:right w:val="single" w:color="auto" w:sz="8" w:space="0"/>
            </w:tcBorders>
            <w:noWrap/>
            <w:vAlign w:val="center"/>
          </w:tcPr>
          <w:p w14:paraId="3793D84D">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2.5</w:t>
            </w:r>
          </w:p>
        </w:tc>
        <w:tc>
          <w:tcPr>
            <w:tcW w:w="670" w:type="dxa"/>
            <w:tcBorders>
              <w:top w:val="single" w:color="auto" w:sz="8" w:space="0"/>
              <w:left w:val="nil"/>
              <w:bottom w:val="single" w:color="auto" w:sz="8" w:space="0"/>
              <w:right w:val="single" w:color="auto" w:sz="8" w:space="0"/>
            </w:tcBorders>
            <w:noWrap/>
            <w:vAlign w:val="center"/>
          </w:tcPr>
          <w:p w14:paraId="3DDDCD20">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2.7</w:t>
            </w:r>
          </w:p>
        </w:tc>
        <w:tc>
          <w:tcPr>
            <w:tcW w:w="670" w:type="dxa"/>
            <w:tcBorders>
              <w:top w:val="single" w:color="auto" w:sz="8" w:space="0"/>
              <w:left w:val="nil"/>
              <w:bottom w:val="single" w:color="auto" w:sz="8" w:space="0"/>
              <w:right w:val="single" w:color="auto" w:sz="8" w:space="0"/>
            </w:tcBorders>
            <w:noWrap/>
            <w:vAlign w:val="center"/>
          </w:tcPr>
          <w:p w14:paraId="01132596">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2.8</w:t>
            </w:r>
          </w:p>
        </w:tc>
        <w:tc>
          <w:tcPr>
            <w:tcW w:w="670" w:type="dxa"/>
            <w:tcBorders>
              <w:top w:val="single" w:color="auto" w:sz="8" w:space="0"/>
              <w:left w:val="nil"/>
              <w:bottom w:val="single" w:color="auto" w:sz="8" w:space="0"/>
              <w:right w:val="single" w:color="auto" w:sz="8" w:space="0"/>
            </w:tcBorders>
            <w:noWrap/>
            <w:vAlign w:val="center"/>
          </w:tcPr>
          <w:p w14:paraId="5695A09E">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3.2</w:t>
            </w:r>
          </w:p>
        </w:tc>
        <w:tc>
          <w:tcPr>
            <w:tcW w:w="670" w:type="dxa"/>
            <w:tcBorders>
              <w:top w:val="single" w:color="auto" w:sz="8" w:space="0"/>
              <w:left w:val="nil"/>
              <w:bottom w:val="single" w:color="auto" w:sz="8" w:space="0"/>
              <w:right w:val="single" w:color="auto" w:sz="8" w:space="0"/>
            </w:tcBorders>
            <w:noWrap/>
            <w:vAlign w:val="center"/>
          </w:tcPr>
          <w:p w14:paraId="453F9EEC">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3.8</w:t>
            </w:r>
          </w:p>
        </w:tc>
        <w:tc>
          <w:tcPr>
            <w:tcW w:w="670" w:type="dxa"/>
            <w:tcBorders>
              <w:top w:val="single" w:color="auto" w:sz="8" w:space="0"/>
              <w:left w:val="nil"/>
              <w:bottom w:val="single" w:color="auto" w:sz="8" w:space="0"/>
              <w:right w:val="single" w:color="auto" w:sz="8" w:space="0"/>
            </w:tcBorders>
            <w:noWrap/>
            <w:vAlign w:val="center"/>
          </w:tcPr>
          <w:p w14:paraId="34C09AA7">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4.2</w:t>
            </w:r>
          </w:p>
        </w:tc>
        <w:tc>
          <w:tcPr>
            <w:tcW w:w="670" w:type="dxa"/>
            <w:tcBorders>
              <w:top w:val="single" w:color="auto" w:sz="8" w:space="0"/>
              <w:left w:val="nil"/>
              <w:bottom w:val="single" w:color="auto" w:sz="8" w:space="0"/>
              <w:right w:val="single" w:color="auto" w:sz="8" w:space="0"/>
            </w:tcBorders>
            <w:noWrap/>
            <w:vAlign w:val="center"/>
          </w:tcPr>
          <w:p w14:paraId="5BF9C71E">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4.4</w:t>
            </w:r>
          </w:p>
        </w:tc>
        <w:tc>
          <w:tcPr>
            <w:tcW w:w="670" w:type="dxa"/>
            <w:tcBorders>
              <w:top w:val="single" w:color="auto" w:sz="8" w:space="0"/>
              <w:left w:val="nil"/>
              <w:bottom w:val="single" w:color="auto" w:sz="8" w:space="0"/>
              <w:right w:val="single" w:color="auto" w:sz="8" w:space="0"/>
            </w:tcBorders>
            <w:noWrap/>
            <w:vAlign w:val="center"/>
          </w:tcPr>
          <w:p w14:paraId="1858AA8F">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4.6</w:t>
            </w:r>
          </w:p>
        </w:tc>
        <w:tc>
          <w:tcPr>
            <w:tcW w:w="670" w:type="dxa"/>
            <w:tcBorders>
              <w:top w:val="single" w:color="auto" w:sz="8" w:space="0"/>
              <w:left w:val="nil"/>
              <w:bottom w:val="single" w:color="auto" w:sz="8" w:space="0"/>
              <w:right w:val="single" w:color="auto" w:sz="8" w:space="0"/>
            </w:tcBorders>
            <w:noWrap/>
            <w:vAlign w:val="center"/>
          </w:tcPr>
          <w:p w14:paraId="1C93EF91">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4.8</w:t>
            </w:r>
          </w:p>
        </w:tc>
      </w:tr>
      <w:tr w14:paraId="4ADB1AF0">
        <w:tblPrEx>
          <w:tblCellMar>
            <w:top w:w="0" w:type="dxa"/>
            <w:left w:w="108" w:type="dxa"/>
            <w:bottom w:w="0" w:type="dxa"/>
            <w:right w:w="108" w:type="dxa"/>
          </w:tblCellMar>
        </w:tblPrEx>
        <w:trPr>
          <w:trHeight w:val="222" w:hRule="atLeast"/>
        </w:trPr>
        <w:tc>
          <w:tcPr>
            <w:tcW w:w="1037" w:type="dxa"/>
            <w:tcBorders>
              <w:top w:val="single" w:color="auto" w:sz="8" w:space="0"/>
              <w:left w:val="single" w:color="auto" w:sz="8" w:space="0"/>
              <w:bottom w:val="single" w:color="auto" w:sz="8" w:space="0"/>
              <w:right w:val="single" w:color="auto" w:sz="8" w:space="0"/>
            </w:tcBorders>
            <w:noWrap/>
            <w:vAlign w:val="center"/>
          </w:tcPr>
          <w:p w14:paraId="0CBB98BF">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夏季</w:t>
            </w:r>
          </w:p>
        </w:tc>
        <w:tc>
          <w:tcPr>
            <w:tcW w:w="670" w:type="dxa"/>
            <w:tcBorders>
              <w:top w:val="single" w:color="auto" w:sz="8" w:space="0"/>
              <w:left w:val="nil"/>
              <w:bottom w:val="single" w:color="auto" w:sz="8" w:space="0"/>
              <w:right w:val="single" w:color="auto" w:sz="8" w:space="0"/>
            </w:tcBorders>
            <w:noWrap/>
            <w:vAlign w:val="center"/>
          </w:tcPr>
          <w:p w14:paraId="13DF95A8">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2.0</w:t>
            </w:r>
          </w:p>
        </w:tc>
        <w:tc>
          <w:tcPr>
            <w:tcW w:w="670" w:type="dxa"/>
            <w:tcBorders>
              <w:top w:val="single" w:color="auto" w:sz="8" w:space="0"/>
              <w:left w:val="nil"/>
              <w:bottom w:val="single" w:color="auto" w:sz="8" w:space="0"/>
              <w:right w:val="single" w:color="auto" w:sz="8" w:space="0"/>
            </w:tcBorders>
            <w:noWrap/>
            <w:vAlign w:val="center"/>
          </w:tcPr>
          <w:p w14:paraId="037CFF57">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1.9</w:t>
            </w:r>
          </w:p>
        </w:tc>
        <w:tc>
          <w:tcPr>
            <w:tcW w:w="670" w:type="dxa"/>
            <w:tcBorders>
              <w:top w:val="single" w:color="auto" w:sz="8" w:space="0"/>
              <w:left w:val="nil"/>
              <w:bottom w:val="single" w:color="auto" w:sz="8" w:space="0"/>
              <w:right w:val="single" w:color="auto" w:sz="8" w:space="0"/>
            </w:tcBorders>
            <w:noWrap/>
            <w:vAlign w:val="center"/>
          </w:tcPr>
          <w:p w14:paraId="6D5C4DA5">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2.0</w:t>
            </w:r>
          </w:p>
        </w:tc>
        <w:tc>
          <w:tcPr>
            <w:tcW w:w="670" w:type="dxa"/>
            <w:tcBorders>
              <w:top w:val="single" w:color="auto" w:sz="8" w:space="0"/>
              <w:left w:val="nil"/>
              <w:bottom w:val="single" w:color="auto" w:sz="8" w:space="0"/>
              <w:right w:val="single" w:color="auto" w:sz="8" w:space="0"/>
            </w:tcBorders>
            <w:noWrap/>
            <w:vAlign w:val="center"/>
          </w:tcPr>
          <w:p w14:paraId="091BB71E">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2.0</w:t>
            </w:r>
          </w:p>
        </w:tc>
        <w:tc>
          <w:tcPr>
            <w:tcW w:w="670" w:type="dxa"/>
            <w:tcBorders>
              <w:top w:val="single" w:color="auto" w:sz="8" w:space="0"/>
              <w:left w:val="nil"/>
              <w:bottom w:val="single" w:color="auto" w:sz="8" w:space="0"/>
              <w:right w:val="single" w:color="auto" w:sz="8" w:space="0"/>
            </w:tcBorders>
            <w:noWrap/>
            <w:vAlign w:val="center"/>
          </w:tcPr>
          <w:p w14:paraId="074CBD43">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2.1</w:t>
            </w:r>
          </w:p>
        </w:tc>
        <w:tc>
          <w:tcPr>
            <w:tcW w:w="670" w:type="dxa"/>
            <w:tcBorders>
              <w:top w:val="single" w:color="auto" w:sz="8" w:space="0"/>
              <w:left w:val="nil"/>
              <w:bottom w:val="single" w:color="auto" w:sz="8" w:space="0"/>
              <w:right w:val="single" w:color="auto" w:sz="8" w:space="0"/>
            </w:tcBorders>
            <w:noWrap/>
            <w:vAlign w:val="center"/>
          </w:tcPr>
          <w:p w14:paraId="26057222">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2.4</w:t>
            </w:r>
          </w:p>
        </w:tc>
        <w:tc>
          <w:tcPr>
            <w:tcW w:w="670" w:type="dxa"/>
            <w:tcBorders>
              <w:top w:val="single" w:color="auto" w:sz="8" w:space="0"/>
              <w:left w:val="nil"/>
              <w:bottom w:val="single" w:color="auto" w:sz="8" w:space="0"/>
              <w:right w:val="single" w:color="auto" w:sz="8" w:space="0"/>
            </w:tcBorders>
            <w:noWrap/>
            <w:vAlign w:val="center"/>
          </w:tcPr>
          <w:p w14:paraId="39F83E12">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2.7</w:t>
            </w:r>
          </w:p>
        </w:tc>
        <w:tc>
          <w:tcPr>
            <w:tcW w:w="670" w:type="dxa"/>
            <w:tcBorders>
              <w:top w:val="single" w:color="auto" w:sz="8" w:space="0"/>
              <w:left w:val="nil"/>
              <w:bottom w:val="single" w:color="auto" w:sz="8" w:space="0"/>
              <w:right w:val="single" w:color="auto" w:sz="8" w:space="0"/>
            </w:tcBorders>
            <w:noWrap/>
            <w:vAlign w:val="center"/>
          </w:tcPr>
          <w:p w14:paraId="03720977">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2.9</w:t>
            </w:r>
          </w:p>
        </w:tc>
        <w:tc>
          <w:tcPr>
            <w:tcW w:w="670" w:type="dxa"/>
            <w:tcBorders>
              <w:top w:val="single" w:color="auto" w:sz="8" w:space="0"/>
              <w:left w:val="nil"/>
              <w:bottom w:val="single" w:color="auto" w:sz="8" w:space="0"/>
              <w:right w:val="single" w:color="auto" w:sz="8" w:space="0"/>
            </w:tcBorders>
            <w:noWrap/>
            <w:vAlign w:val="center"/>
          </w:tcPr>
          <w:p w14:paraId="48E1D44D">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3.1</w:t>
            </w:r>
          </w:p>
        </w:tc>
        <w:tc>
          <w:tcPr>
            <w:tcW w:w="670" w:type="dxa"/>
            <w:tcBorders>
              <w:top w:val="single" w:color="auto" w:sz="8" w:space="0"/>
              <w:left w:val="nil"/>
              <w:bottom w:val="single" w:color="auto" w:sz="8" w:space="0"/>
              <w:right w:val="single" w:color="auto" w:sz="8" w:space="0"/>
            </w:tcBorders>
            <w:noWrap/>
            <w:vAlign w:val="center"/>
          </w:tcPr>
          <w:p w14:paraId="1A9A5F0C">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3.3</w:t>
            </w:r>
          </w:p>
        </w:tc>
        <w:tc>
          <w:tcPr>
            <w:tcW w:w="670" w:type="dxa"/>
            <w:tcBorders>
              <w:top w:val="single" w:color="auto" w:sz="8" w:space="0"/>
              <w:left w:val="nil"/>
              <w:bottom w:val="single" w:color="auto" w:sz="8" w:space="0"/>
              <w:right w:val="single" w:color="auto" w:sz="8" w:space="0"/>
            </w:tcBorders>
            <w:noWrap/>
            <w:vAlign w:val="center"/>
          </w:tcPr>
          <w:p w14:paraId="2F3D175E">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3.3</w:t>
            </w:r>
          </w:p>
        </w:tc>
        <w:tc>
          <w:tcPr>
            <w:tcW w:w="670" w:type="dxa"/>
            <w:tcBorders>
              <w:top w:val="single" w:color="auto" w:sz="8" w:space="0"/>
              <w:left w:val="nil"/>
              <w:bottom w:val="single" w:color="auto" w:sz="8" w:space="0"/>
              <w:right w:val="single" w:color="auto" w:sz="8" w:space="0"/>
            </w:tcBorders>
            <w:noWrap/>
            <w:vAlign w:val="center"/>
          </w:tcPr>
          <w:p w14:paraId="55B639FA">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3.3</w:t>
            </w:r>
          </w:p>
        </w:tc>
      </w:tr>
      <w:tr w14:paraId="29113DB6">
        <w:tblPrEx>
          <w:tblCellMar>
            <w:top w:w="0" w:type="dxa"/>
            <w:left w:w="108" w:type="dxa"/>
            <w:bottom w:w="0" w:type="dxa"/>
            <w:right w:w="108" w:type="dxa"/>
          </w:tblCellMar>
        </w:tblPrEx>
        <w:trPr>
          <w:trHeight w:val="222" w:hRule="atLeast"/>
        </w:trPr>
        <w:tc>
          <w:tcPr>
            <w:tcW w:w="1037" w:type="dxa"/>
            <w:tcBorders>
              <w:top w:val="single" w:color="auto" w:sz="8" w:space="0"/>
              <w:left w:val="single" w:color="auto" w:sz="8" w:space="0"/>
              <w:bottom w:val="single" w:color="auto" w:sz="8" w:space="0"/>
              <w:right w:val="single" w:color="auto" w:sz="8" w:space="0"/>
            </w:tcBorders>
            <w:noWrap/>
            <w:vAlign w:val="center"/>
          </w:tcPr>
          <w:p w14:paraId="52A55156">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秋季</w:t>
            </w:r>
          </w:p>
        </w:tc>
        <w:tc>
          <w:tcPr>
            <w:tcW w:w="670" w:type="dxa"/>
            <w:tcBorders>
              <w:top w:val="single" w:color="auto" w:sz="8" w:space="0"/>
              <w:left w:val="nil"/>
              <w:bottom w:val="single" w:color="auto" w:sz="8" w:space="0"/>
              <w:right w:val="single" w:color="auto" w:sz="8" w:space="0"/>
            </w:tcBorders>
            <w:noWrap/>
            <w:vAlign w:val="center"/>
          </w:tcPr>
          <w:p w14:paraId="2B2E3C84">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2.5</w:t>
            </w:r>
          </w:p>
        </w:tc>
        <w:tc>
          <w:tcPr>
            <w:tcW w:w="670" w:type="dxa"/>
            <w:tcBorders>
              <w:top w:val="single" w:color="auto" w:sz="8" w:space="0"/>
              <w:left w:val="nil"/>
              <w:bottom w:val="single" w:color="auto" w:sz="8" w:space="0"/>
              <w:right w:val="single" w:color="auto" w:sz="8" w:space="0"/>
            </w:tcBorders>
            <w:noWrap/>
            <w:vAlign w:val="center"/>
          </w:tcPr>
          <w:p w14:paraId="27D4597D">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2.4</w:t>
            </w:r>
          </w:p>
        </w:tc>
        <w:tc>
          <w:tcPr>
            <w:tcW w:w="670" w:type="dxa"/>
            <w:tcBorders>
              <w:top w:val="single" w:color="auto" w:sz="8" w:space="0"/>
              <w:left w:val="nil"/>
              <w:bottom w:val="single" w:color="auto" w:sz="8" w:space="0"/>
              <w:right w:val="single" w:color="auto" w:sz="8" w:space="0"/>
            </w:tcBorders>
            <w:noWrap/>
            <w:vAlign w:val="center"/>
          </w:tcPr>
          <w:p w14:paraId="1879D978">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2.5</w:t>
            </w:r>
          </w:p>
        </w:tc>
        <w:tc>
          <w:tcPr>
            <w:tcW w:w="670" w:type="dxa"/>
            <w:tcBorders>
              <w:top w:val="single" w:color="auto" w:sz="8" w:space="0"/>
              <w:left w:val="nil"/>
              <w:bottom w:val="single" w:color="auto" w:sz="8" w:space="0"/>
              <w:right w:val="single" w:color="auto" w:sz="8" w:space="0"/>
            </w:tcBorders>
            <w:noWrap/>
            <w:vAlign w:val="center"/>
          </w:tcPr>
          <w:p w14:paraId="159887E5">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2.4</w:t>
            </w:r>
          </w:p>
        </w:tc>
        <w:tc>
          <w:tcPr>
            <w:tcW w:w="670" w:type="dxa"/>
            <w:tcBorders>
              <w:top w:val="single" w:color="auto" w:sz="8" w:space="0"/>
              <w:left w:val="nil"/>
              <w:bottom w:val="single" w:color="auto" w:sz="8" w:space="0"/>
              <w:right w:val="single" w:color="auto" w:sz="8" w:space="0"/>
            </w:tcBorders>
            <w:noWrap/>
            <w:vAlign w:val="center"/>
          </w:tcPr>
          <w:p w14:paraId="17A2119E">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2.3</w:t>
            </w:r>
          </w:p>
        </w:tc>
        <w:tc>
          <w:tcPr>
            <w:tcW w:w="670" w:type="dxa"/>
            <w:tcBorders>
              <w:top w:val="single" w:color="auto" w:sz="8" w:space="0"/>
              <w:left w:val="nil"/>
              <w:bottom w:val="single" w:color="auto" w:sz="8" w:space="0"/>
              <w:right w:val="single" w:color="auto" w:sz="8" w:space="0"/>
            </w:tcBorders>
            <w:noWrap/>
            <w:vAlign w:val="center"/>
          </w:tcPr>
          <w:p w14:paraId="3F8AA16E">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2.4</w:t>
            </w:r>
          </w:p>
        </w:tc>
        <w:tc>
          <w:tcPr>
            <w:tcW w:w="670" w:type="dxa"/>
            <w:tcBorders>
              <w:top w:val="single" w:color="auto" w:sz="8" w:space="0"/>
              <w:left w:val="nil"/>
              <w:bottom w:val="single" w:color="auto" w:sz="8" w:space="0"/>
              <w:right w:val="single" w:color="auto" w:sz="8" w:space="0"/>
            </w:tcBorders>
            <w:noWrap/>
            <w:vAlign w:val="center"/>
          </w:tcPr>
          <w:p w14:paraId="445FDA4B">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2.5</w:t>
            </w:r>
          </w:p>
        </w:tc>
        <w:tc>
          <w:tcPr>
            <w:tcW w:w="670" w:type="dxa"/>
            <w:tcBorders>
              <w:top w:val="single" w:color="auto" w:sz="8" w:space="0"/>
              <w:left w:val="nil"/>
              <w:bottom w:val="single" w:color="auto" w:sz="8" w:space="0"/>
              <w:right w:val="single" w:color="auto" w:sz="8" w:space="0"/>
            </w:tcBorders>
            <w:noWrap/>
            <w:vAlign w:val="center"/>
          </w:tcPr>
          <w:p w14:paraId="2C464737">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2.9</w:t>
            </w:r>
          </w:p>
        </w:tc>
        <w:tc>
          <w:tcPr>
            <w:tcW w:w="670" w:type="dxa"/>
            <w:tcBorders>
              <w:top w:val="single" w:color="auto" w:sz="8" w:space="0"/>
              <w:left w:val="nil"/>
              <w:bottom w:val="single" w:color="auto" w:sz="8" w:space="0"/>
              <w:right w:val="single" w:color="auto" w:sz="8" w:space="0"/>
            </w:tcBorders>
            <w:noWrap/>
            <w:vAlign w:val="center"/>
          </w:tcPr>
          <w:p w14:paraId="1F26C5E6">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3.4</w:t>
            </w:r>
          </w:p>
        </w:tc>
        <w:tc>
          <w:tcPr>
            <w:tcW w:w="670" w:type="dxa"/>
            <w:tcBorders>
              <w:top w:val="single" w:color="auto" w:sz="8" w:space="0"/>
              <w:left w:val="nil"/>
              <w:bottom w:val="single" w:color="auto" w:sz="8" w:space="0"/>
              <w:right w:val="single" w:color="auto" w:sz="8" w:space="0"/>
            </w:tcBorders>
            <w:noWrap/>
            <w:vAlign w:val="center"/>
          </w:tcPr>
          <w:p w14:paraId="2D82D5E2">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3.6</w:t>
            </w:r>
          </w:p>
        </w:tc>
        <w:tc>
          <w:tcPr>
            <w:tcW w:w="670" w:type="dxa"/>
            <w:tcBorders>
              <w:top w:val="single" w:color="auto" w:sz="8" w:space="0"/>
              <w:left w:val="nil"/>
              <w:bottom w:val="single" w:color="auto" w:sz="8" w:space="0"/>
              <w:right w:val="single" w:color="auto" w:sz="8" w:space="0"/>
            </w:tcBorders>
            <w:noWrap/>
            <w:vAlign w:val="center"/>
          </w:tcPr>
          <w:p w14:paraId="0F5403F7">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3.9</w:t>
            </w:r>
          </w:p>
        </w:tc>
        <w:tc>
          <w:tcPr>
            <w:tcW w:w="670" w:type="dxa"/>
            <w:tcBorders>
              <w:top w:val="single" w:color="auto" w:sz="8" w:space="0"/>
              <w:left w:val="nil"/>
              <w:bottom w:val="single" w:color="auto" w:sz="8" w:space="0"/>
              <w:right w:val="single" w:color="auto" w:sz="8" w:space="0"/>
            </w:tcBorders>
            <w:noWrap/>
            <w:vAlign w:val="center"/>
          </w:tcPr>
          <w:p w14:paraId="2528CB70">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4.0</w:t>
            </w:r>
          </w:p>
        </w:tc>
      </w:tr>
      <w:tr w14:paraId="6DB2086F">
        <w:tblPrEx>
          <w:tblCellMar>
            <w:top w:w="0" w:type="dxa"/>
            <w:left w:w="108" w:type="dxa"/>
            <w:bottom w:w="0" w:type="dxa"/>
            <w:right w:w="108" w:type="dxa"/>
          </w:tblCellMar>
        </w:tblPrEx>
        <w:trPr>
          <w:trHeight w:val="222" w:hRule="atLeast"/>
        </w:trPr>
        <w:tc>
          <w:tcPr>
            <w:tcW w:w="1037" w:type="dxa"/>
            <w:tcBorders>
              <w:top w:val="single" w:color="auto" w:sz="8" w:space="0"/>
              <w:left w:val="single" w:color="auto" w:sz="8" w:space="0"/>
              <w:bottom w:val="single" w:color="auto" w:sz="8" w:space="0"/>
              <w:right w:val="single" w:color="auto" w:sz="8" w:space="0"/>
            </w:tcBorders>
            <w:noWrap/>
            <w:vAlign w:val="center"/>
          </w:tcPr>
          <w:p w14:paraId="15794789">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冬季</w:t>
            </w:r>
          </w:p>
        </w:tc>
        <w:tc>
          <w:tcPr>
            <w:tcW w:w="670" w:type="dxa"/>
            <w:tcBorders>
              <w:top w:val="single" w:color="auto" w:sz="8" w:space="0"/>
              <w:left w:val="nil"/>
              <w:bottom w:val="single" w:color="auto" w:sz="8" w:space="0"/>
              <w:right w:val="single" w:color="auto" w:sz="8" w:space="0"/>
            </w:tcBorders>
            <w:noWrap/>
            <w:vAlign w:val="center"/>
          </w:tcPr>
          <w:p w14:paraId="68BA1321">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2.1</w:t>
            </w:r>
          </w:p>
        </w:tc>
        <w:tc>
          <w:tcPr>
            <w:tcW w:w="670" w:type="dxa"/>
            <w:tcBorders>
              <w:top w:val="single" w:color="auto" w:sz="8" w:space="0"/>
              <w:left w:val="nil"/>
              <w:bottom w:val="single" w:color="auto" w:sz="8" w:space="0"/>
              <w:right w:val="single" w:color="auto" w:sz="8" w:space="0"/>
            </w:tcBorders>
            <w:noWrap/>
            <w:vAlign w:val="center"/>
          </w:tcPr>
          <w:p w14:paraId="457CDA51">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2.2</w:t>
            </w:r>
          </w:p>
        </w:tc>
        <w:tc>
          <w:tcPr>
            <w:tcW w:w="670" w:type="dxa"/>
            <w:tcBorders>
              <w:top w:val="single" w:color="auto" w:sz="8" w:space="0"/>
              <w:left w:val="nil"/>
              <w:bottom w:val="single" w:color="auto" w:sz="8" w:space="0"/>
              <w:right w:val="single" w:color="auto" w:sz="8" w:space="0"/>
            </w:tcBorders>
            <w:noWrap/>
            <w:vAlign w:val="center"/>
          </w:tcPr>
          <w:p w14:paraId="61D01C88">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2.2</w:t>
            </w:r>
          </w:p>
        </w:tc>
        <w:tc>
          <w:tcPr>
            <w:tcW w:w="670" w:type="dxa"/>
            <w:tcBorders>
              <w:top w:val="single" w:color="auto" w:sz="8" w:space="0"/>
              <w:left w:val="nil"/>
              <w:bottom w:val="single" w:color="auto" w:sz="8" w:space="0"/>
              <w:right w:val="single" w:color="auto" w:sz="8" w:space="0"/>
            </w:tcBorders>
            <w:noWrap/>
            <w:vAlign w:val="center"/>
          </w:tcPr>
          <w:p w14:paraId="07E375B6">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2.3</w:t>
            </w:r>
          </w:p>
        </w:tc>
        <w:tc>
          <w:tcPr>
            <w:tcW w:w="670" w:type="dxa"/>
            <w:tcBorders>
              <w:top w:val="single" w:color="auto" w:sz="8" w:space="0"/>
              <w:left w:val="nil"/>
              <w:bottom w:val="single" w:color="auto" w:sz="8" w:space="0"/>
              <w:right w:val="single" w:color="auto" w:sz="8" w:space="0"/>
            </w:tcBorders>
            <w:noWrap/>
            <w:vAlign w:val="center"/>
          </w:tcPr>
          <w:p w14:paraId="3C277499">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2.2</w:t>
            </w:r>
          </w:p>
        </w:tc>
        <w:tc>
          <w:tcPr>
            <w:tcW w:w="670" w:type="dxa"/>
            <w:tcBorders>
              <w:top w:val="single" w:color="auto" w:sz="8" w:space="0"/>
              <w:left w:val="nil"/>
              <w:bottom w:val="single" w:color="auto" w:sz="8" w:space="0"/>
              <w:right w:val="single" w:color="auto" w:sz="8" w:space="0"/>
            </w:tcBorders>
            <w:noWrap/>
            <w:vAlign w:val="center"/>
          </w:tcPr>
          <w:p w14:paraId="50B0F53C">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2.2</w:t>
            </w:r>
          </w:p>
        </w:tc>
        <w:tc>
          <w:tcPr>
            <w:tcW w:w="670" w:type="dxa"/>
            <w:tcBorders>
              <w:top w:val="single" w:color="auto" w:sz="8" w:space="0"/>
              <w:left w:val="nil"/>
              <w:bottom w:val="single" w:color="auto" w:sz="8" w:space="0"/>
              <w:right w:val="single" w:color="auto" w:sz="8" w:space="0"/>
            </w:tcBorders>
            <w:noWrap/>
            <w:vAlign w:val="center"/>
          </w:tcPr>
          <w:p w14:paraId="2FBCEEF7">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2.3</w:t>
            </w:r>
          </w:p>
        </w:tc>
        <w:tc>
          <w:tcPr>
            <w:tcW w:w="670" w:type="dxa"/>
            <w:tcBorders>
              <w:top w:val="single" w:color="auto" w:sz="8" w:space="0"/>
              <w:left w:val="nil"/>
              <w:bottom w:val="single" w:color="auto" w:sz="8" w:space="0"/>
              <w:right w:val="single" w:color="auto" w:sz="8" w:space="0"/>
            </w:tcBorders>
            <w:noWrap/>
            <w:vAlign w:val="center"/>
          </w:tcPr>
          <w:p w14:paraId="7E285058">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2.3</w:t>
            </w:r>
          </w:p>
        </w:tc>
        <w:tc>
          <w:tcPr>
            <w:tcW w:w="670" w:type="dxa"/>
            <w:tcBorders>
              <w:top w:val="single" w:color="auto" w:sz="8" w:space="0"/>
              <w:left w:val="nil"/>
              <w:bottom w:val="single" w:color="auto" w:sz="8" w:space="0"/>
              <w:right w:val="single" w:color="auto" w:sz="8" w:space="0"/>
            </w:tcBorders>
            <w:noWrap/>
            <w:vAlign w:val="center"/>
          </w:tcPr>
          <w:p w14:paraId="6B9F3F45">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2.6</w:t>
            </w:r>
          </w:p>
        </w:tc>
        <w:tc>
          <w:tcPr>
            <w:tcW w:w="670" w:type="dxa"/>
            <w:tcBorders>
              <w:top w:val="single" w:color="auto" w:sz="8" w:space="0"/>
              <w:left w:val="nil"/>
              <w:bottom w:val="single" w:color="auto" w:sz="8" w:space="0"/>
              <w:right w:val="single" w:color="auto" w:sz="8" w:space="0"/>
            </w:tcBorders>
            <w:noWrap/>
            <w:vAlign w:val="center"/>
          </w:tcPr>
          <w:p w14:paraId="574B2B48">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3.0</w:t>
            </w:r>
          </w:p>
        </w:tc>
        <w:tc>
          <w:tcPr>
            <w:tcW w:w="670" w:type="dxa"/>
            <w:tcBorders>
              <w:top w:val="single" w:color="auto" w:sz="8" w:space="0"/>
              <w:left w:val="nil"/>
              <w:bottom w:val="single" w:color="auto" w:sz="8" w:space="0"/>
              <w:right w:val="single" w:color="auto" w:sz="8" w:space="0"/>
            </w:tcBorders>
            <w:noWrap/>
            <w:vAlign w:val="center"/>
          </w:tcPr>
          <w:p w14:paraId="79C854AD">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3.1</w:t>
            </w:r>
          </w:p>
        </w:tc>
        <w:tc>
          <w:tcPr>
            <w:tcW w:w="670" w:type="dxa"/>
            <w:tcBorders>
              <w:top w:val="single" w:color="auto" w:sz="8" w:space="0"/>
              <w:left w:val="nil"/>
              <w:bottom w:val="single" w:color="auto" w:sz="8" w:space="0"/>
              <w:right w:val="single" w:color="auto" w:sz="8" w:space="0"/>
            </w:tcBorders>
            <w:noWrap/>
            <w:vAlign w:val="center"/>
          </w:tcPr>
          <w:p w14:paraId="156563CA">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3.3</w:t>
            </w:r>
          </w:p>
        </w:tc>
      </w:tr>
      <w:tr w14:paraId="5AF9FBF5">
        <w:tblPrEx>
          <w:tblCellMar>
            <w:top w:w="0" w:type="dxa"/>
            <w:left w:w="108" w:type="dxa"/>
            <w:bottom w:w="0" w:type="dxa"/>
            <w:right w:w="108" w:type="dxa"/>
          </w:tblCellMar>
        </w:tblPrEx>
        <w:trPr>
          <w:trHeight w:val="418" w:hRule="atLeast"/>
        </w:trPr>
        <w:tc>
          <w:tcPr>
            <w:tcW w:w="1037" w:type="dxa"/>
            <w:tcBorders>
              <w:top w:val="single" w:color="auto" w:sz="8" w:space="0"/>
              <w:left w:val="single" w:color="auto" w:sz="8" w:space="0"/>
              <w:bottom w:val="single" w:color="auto" w:sz="8" w:space="0"/>
              <w:right w:val="single" w:color="auto" w:sz="8" w:space="0"/>
              <w:tl2br w:val="single" w:color="auto" w:sz="8" w:space="0"/>
            </w:tcBorders>
            <w:vAlign w:val="center"/>
          </w:tcPr>
          <w:p w14:paraId="61FA722C">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 xml:space="preserve">   小时</w:t>
            </w:r>
          </w:p>
          <w:p w14:paraId="5FFAF8E5">
            <w:pP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风速</w:t>
            </w:r>
          </w:p>
        </w:tc>
        <w:tc>
          <w:tcPr>
            <w:tcW w:w="670" w:type="dxa"/>
            <w:tcBorders>
              <w:top w:val="single" w:color="auto" w:sz="8" w:space="0"/>
              <w:left w:val="nil"/>
              <w:bottom w:val="single" w:color="auto" w:sz="8" w:space="0"/>
              <w:right w:val="single" w:color="auto" w:sz="8" w:space="0"/>
            </w:tcBorders>
            <w:noWrap/>
            <w:vAlign w:val="center"/>
          </w:tcPr>
          <w:p w14:paraId="3A2B4D25">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13</w:t>
            </w:r>
          </w:p>
        </w:tc>
        <w:tc>
          <w:tcPr>
            <w:tcW w:w="670" w:type="dxa"/>
            <w:tcBorders>
              <w:top w:val="single" w:color="auto" w:sz="8" w:space="0"/>
              <w:left w:val="nil"/>
              <w:bottom w:val="single" w:color="auto" w:sz="8" w:space="0"/>
              <w:right w:val="single" w:color="auto" w:sz="8" w:space="0"/>
            </w:tcBorders>
            <w:noWrap/>
            <w:vAlign w:val="center"/>
          </w:tcPr>
          <w:p w14:paraId="2A3B6A1F">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14</w:t>
            </w:r>
          </w:p>
        </w:tc>
        <w:tc>
          <w:tcPr>
            <w:tcW w:w="670" w:type="dxa"/>
            <w:tcBorders>
              <w:top w:val="single" w:color="auto" w:sz="8" w:space="0"/>
              <w:left w:val="nil"/>
              <w:bottom w:val="single" w:color="auto" w:sz="8" w:space="0"/>
              <w:right w:val="single" w:color="auto" w:sz="8" w:space="0"/>
            </w:tcBorders>
            <w:noWrap/>
            <w:vAlign w:val="center"/>
          </w:tcPr>
          <w:p w14:paraId="4462ED65">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15</w:t>
            </w:r>
          </w:p>
        </w:tc>
        <w:tc>
          <w:tcPr>
            <w:tcW w:w="670" w:type="dxa"/>
            <w:tcBorders>
              <w:top w:val="single" w:color="auto" w:sz="8" w:space="0"/>
              <w:left w:val="nil"/>
              <w:bottom w:val="single" w:color="auto" w:sz="8" w:space="0"/>
              <w:right w:val="single" w:color="auto" w:sz="8" w:space="0"/>
            </w:tcBorders>
            <w:noWrap/>
            <w:vAlign w:val="center"/>
          </w:tcPr>
          <w:p w14:paraId="223A1622">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16</w:t>
            </w:r>
          </w:p>
        </w:tc>
        <w:tc>
          <w:tcPr>
            <w:tcW w:w="670" w:type="dxa"/>
            <w:tcBorders>
              <w:top w:val="single" w:color="auto" w:sz="8" w:space="0"/>
              <w:left w:val="nil"/>
              <w:bottom w:val="single" w:color="auto" w:sz="8" w:space="0"/>
              <w:right w:val="single" w:color="auto" w:sz="8" w:space="0"/>
            </w:tcBorders>
            <w:noWrap/>
            <w:vAlign w:val="center"/>
          </w:tcPr>
          <w:p w14:paraId="296FD30C">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17</w:t>
            </w:r>
          </w:p>
        </w:tc>
        <w:tc>
          <w:tcPr>
            <w:tcW w:w="670" w:type="dxa"/>
            <w:tcBorders>
              <w:top w:val="single" w:color="auto" w:sz="8" w:space="0"/>
              <w:left w:val="nil"/>
              <w:bottom w:val="single" w:color="auto" w:sz="8" w:space="0"/>
              <w:right w:val="single" w:color="auto" w:sz="8" w:space="0"/>
            </w:tcBorders>
            <w:noWrap/>
            <w:vAlign w:val="center"/>
          </w:tcPr>
          <w:p w14:paraId="42002BC8">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18</w:t>
            </w:r>
          </w:p>
        </w:tc>
        <w:tc>
          <w:tcPr>
            <w:tcW w:w="670" w:type="dxa"/>
            <w:tcBorders>
              <w:top w:val="single" w:color="auto" w:sz="8" w:space="0"/>
              <w:left w:val="nil"/>
              <w:bottom w:val="single" w:color="auto" w:sz="8" w:space="0"/>
              <w:right w:val="single" w:color="auto" w:sz="8" w:space="0"/>
            </w:tcBorders>
            <w:noWrap/>
            <w:vAlign w:val="center"/>
          </w:tcPr>
          <w:p w14:paraId="1B9C68E2">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19</w:t>
            </w:r>
          </w:p>
        </w:tc>
        <w:tc>
          <w:tcPr>
            <w:tcW w:w="670" w:type="dxa"/>
            <w:tcBorders>
              <w:top w:val="single" w:color="auto" w:sz="8" w:space="0"/>
              <w:left w:val="nil"/>
              <w:bottom w:val="single" w:color="auto" w:sz="8" w:space="0"/>
              <w:right w:val="single" w:color="auto" w:sz="8" w:space="0"/>
            </w:tcBorders>
            <w:noWrap/>
            <w:vAlign w:val="center"/>
          </w:tcPr>
          <w:p w14:paraId="5A7055AE">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20</w:t>
            </w:r>
          </w:p>
        </w:tc>
        <w:tc>
          <w:tcPr>
            <w:tcW w:w="670" w:type="dxa"/>
            <w:tcBorders>
              <w:top w:val="single" w:color="auto" w:sz="8" w:space="0"/>
              <w:left w:val="nil"/>
              <w:bottom w:val="single" w:color="auto" w:sz="8" w:space="0"/>
              <w:right w:val="single" w:color="auto" w:sz="8" w:space="0"/>
            </w:tcBorders>
            <w:noWrap/>
            <w:vAlign w:val="center"/>
          </w:tcPr>
          <w:p w14:paraId="2293DB2A">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21</w:t>
            </w:r>
          </w:p>
        </w:tc>
        <w:tc>
          <w:tcPr>
            <w:tcW w:w="670" w:type="dxa"/>
            <w:tcBorders>
              <w:top w:val="single" w:color="auto" w:sz="8" w:space="0"/>
              <w:left w:val="nil"/>
              <w:bottom w:val="single" w:color="auto" w:sz="8" w:space="0"/>
              <w:right w:val="single" w:color="auto" w:sz="8" w:space="0"/>
            </w:tcBorders>
            <w:noWrap/>
            <w:vAlign w:val="center"/>
          </w:tcPr>
          <w:p w14:paraId="1D4BA3C4">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22</w:t>
            </w:r>
          </w:p>
        </w:tc>
        <w:tc>
          <w:tcPr>
            <w:tcW w:w="670" w:type="dxa"/>
            <w:tcBorders>
              <w:top w:val="single" w:color="auto" w:sz="8" w:space="0"/>
              <w:left w:val="nil"/>
              <w:bottom w:val="single" w:color="auto" w:sz="8" w:space="0"/>
              <w:right w:val="single" w:color="auto" w:sz="8" w:space="0"/>
            </w:tcBorders>
            <w:noWrap/>
            <w:vAlign w:val="center"/>
          </w:tcPr>
          <w:p w14:paraId="79D650F2">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23</w:t>
            </w:r>
          </w:p>
        </w:tc>
        <w:tc>
          <w:tcPr>
            <w:tcW w:w="670" w:type="dxa"/>
            <w:tcBorders>
              <w:top w:val="single" w:color="auto" w:sz="8" w:space="0"/>
              <w:left w:val="nil"/>
              <w:bottom w:val="single" w:color="auto" w:sz="8" w:space="0"/>
              <w:right w:val="single" w:color="auto" w:sz="8" w:space="0"/>
            </w:tcBorders>
            <w:noWrap/>
            <w:vAlign w:val="center"/>
          </w:tcPr>
          <w:p w14:paraId="2DEC3D57">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24</w:t>
            </w:r>
          </w:p>
        </w:tc>
      </w:tr>
      <w:tr w14:paraId="11F80DC1">
        <w:tblPrEx>
          <w:tblCellMar>
            <w:top w:w="0" w:type="dxa"/>
            <w:left w:w="108" w:type="dxa"/>
            <w:bottom w:w="0" w:type="dxa"/>
            <w:right w:w="108" w:type="dxa"/>
          </w:tblCellMar>
        </w:tblPrEx>
        <w:trPr>
          <w:trHeight w:val="222" w:hRule="atLeast"/>
        </w:trPr>
        <w:tc>
          <w:tcPr>
            <w:tcW w:w="1037" w:type="dxa"/>
            <w:tcBorders>
              <w:top w:val="single" w:color="auto" w:sz="8" w:space="0"/>
              <w:left w:val="single" w:color="auto" w:sz="8" w:space="0"/>
              <w:bottom w:val="single" w:color="auto" w:sz="8" w:space="0"/>
              <w:right w:val="single" w:color="auto" w:sz="8" w:space="0"/>
            </w:tcBorders>
            <w:noWrap/>
            <w:vAlign w:val="center"/>
          </w:tcPr>
          <w:p w14:paraId="4343DF8A">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春季</w:t>
            </w:r>
          </w:p>
        </w:tc>
        <w:tc>
          <w:tcPr>
            <w:tcW w:w="670" w:type="dxa"/>
            <w:tcBorders>
              <w:top w:val="single" w:color="auto" w:sz="8" w:space="0"/>
              <w:left w:val="nil"/>
              <w:bottom w:val="single" w:color="auto" w:sz="8" w:space="0"/>
              <w:right w:val="single" w:color="auto" w:sz="8" w:space="0"/>
            </w:tcBorders>
            <w:noWrap/>
            <w:vAlign w:val="center"/>
          </w:tcPr>
          <w:p w14:paraId="1DE37C70">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4.8</w:t>
            </w:r>
          </w:p>
        </w:tc>
        <w:tc>
          <w:tcPr>
            <w:tcW w:w="670" w:type="dxa"/>
            <w:tcBorders>
              <w:top w:val="single" w:color="auto" w:sz="8" w:space="0"/>
              <w:left w:val="nil"/>
              <w:bottom w:val="single" w:color="auto" w:sz="8" w:space="0"/>
              <w:right w:val="single" w:color="auto" w:sz="8" w:space="0"/>
            </w:tcBorders>
            <w:noWrap/>
            <w:vAlign w:val="center"/>
          </w:tcPr>
          <w:p w14:paraId="3B299D38">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4.8</w:t>
            </w:r>
          </w:p>
        </w:tc>
        <w:tc>
          <w:tcPr>
            <w:tcW w:w="670" w:type="dxa"/>
            <w:tcBorders>
              <w:top w:val="single" w:color="auto" w:sz="8" w:space="0"/>
              <w:left w:val="nil"/>
              <w:bottom w:val="single" w:color="auto" w:sz="8" w:space="0"/>
              <w:right w:val="single" w:color="auto" w:sz="8" w:space="0"/>
            </w:tcBorders>
            <w:noWrap/>
            <w:vAlign w:val="center"/>
          </w:tcPr>
          <w:p w14:paraId="46814097">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4.4</w:t>
            </w:r>
          </w:p>
        </w:tc>
        <w:tc>
          <w:tcPr>
            <w:tcW w:w="670" w:type="dxa"/>
            <w:tcBorders>
              <w:top w:val="single" w:color="auto" w:sz="8" w:space="0"/>
              <w:left w:val="nil"/>
              <w:bottom w:val="single" w:color="auto" w:sz="8" w:space="0"/>
              <w:right w:val="single" w:color="auto" w:sz="8" w:space="0"/>
            </w:tcBorders>
            <w:noWrap/>
            <w:vAlign w:val="center"/>
          </w:tcPr>
          <w:p w14:paraId="6797B320">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4.2</w:t>
            </w:r>
          </w:p>
        </w:tc>
        <w:tc>
          <w:tcPr>
            <w:tcW w:w="670" w:type="dxa"/>
            <w:tcBorders>
              <w:top w:val="single" w:color="auto" w:sz="8" w:space="0"/>
              <w:left w:val="nil"/>
              <w:bottom w:val="single" w:color="auto" w:sz="8" w:space="0"/>
              <w:right w:val="single" w:color="auto" w:sz="8" w:space="0"/>
            </w:tcBorders>
            <w:noWrap/>
            <w:vAlign w:val="center"/>
          </w:tcPr>
          <w:p w14:paraId="41BFBD66">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3.8</w:t>
            </w:r>
          </w:p>
        </w:tc>
        <w:tc>
          <w:tcPr>
            <w:tcW w:w="670" w:type="dxa"/>
            <w:tcBorders>
              <w:top w:val="single" w:color="auto" w:sz="8" w:space="0"/>
              <w:left w:val="nil"/>
              <w:bottom w:val="single" w:color="auto" w:sz="8" w:space="0"/>
              <w:right w:val="single" w:color="auto" w:sz="8" w:space="0"/>
            </w:tcBorders>
            <w:noWrap/>
            <w:vAlign w:val="center"/>
          </w:tcPr>
          <w:p w14:paraId="73D1C5AC">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3.0</w:t>
            </w:r>
          </w:p>
        </w:tc>
        <w:tc>
          <w:tcPr>
            <w:tcW w:w="670" w:type="dxa"/>
            <w:tcBorders>
              <w:top w:val="single" w:color="auto" w:sz="8" w:space="0"/>
              <w:left w:val="nil"/>
              <w:bottom w:val="single" w:color="auto" w:sz="8" w:space="0"/>
              <w:right w:val="single" w:color="auto" w:sz="8" w:space="0"/>
            </w:tcBorders>
            <w:noWrap/>
            <w:vAlign w:val="center"/>
          </w:tcPr>
          <w:p w14:paraId="51994C99">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2.7</w:t>
            </w:r>
          </w:p>
        </w:tc>
        <w:tc>
          <w:tcPr>
            <w:tcW w:w="670" w:type="dxa"/>
            <w:tcBorders>
              <w:top w:val="single" w:color="auto" w:sz="8" w:space="0"/>
              <w:left w:val="nil"/>
              <w:bottom w:val="single" w:color="auto" w:sz="8" w:space="0"/>
              <w:right w:val="single" w:color="auto" w:sz="8" w:space="0"/>
            </w:tcBorders>
            <w:noWrap/>
            <w:vAlign w:val="center"/>
          </w:tcPr>
          <w:p w14:paraId="011C5FD4">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2.6</w:t>
            </w:r>
          </w:p>
        </w:tc>
        <w:tc>
          <w:tcPr>
            <w:tcW w:w="670" w:type="dxa"/>
            <w:tcBorders>
              <w:top w:val="single" w:color="auto" w:sz="8" w:space="0"/>
              <w:left w:val="nil"/>
              <w:bottom w:val="single" w:color="auto" w:sz="8" w:space="0"/>
              <w:right w:val="single" w:color="auto" w:sz="8" w:space="0"/>
            </w:tcBorders>
            <w:noWrap/>
            <w:vAlign w:val="center"/>
          </w:tcPr>
          <w:p w14:paraId="3894FE1D">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2.8</w:t>
            </w:r>
          </w:p>
        </w:tc>
        <w:tc>
          <w:tcPr>
            <w:tcW w:w="670" w:type="dxa"/>
            <w:tcBorders>
              <w:top w:val="single" w:color="auto" w:sz="8" w:space="0"/>
              <w:left w:val="nil"/>
              <w:bottom w:val="single" w:color="auto" w:sz="8" w:space="0"/>
              <w:right w:val="single" w:color="auto" w:sz="8" w:space="0"/>
            </w:tcBorders>
            <w:noWrap/>
            <w:vAlign w:val="center"/>
          </w:tcPr>
          <w:p w14:paraId="46E57DEC">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2.8</w:t>
            </w:r>
          </w:p>
        </w:tc>
        <w:tc>
          <w:tcPr>
            <w:tcW w:w="670" w:type="dxa"/>
            <w:tcBorders>
              <w:top w:val="single" w:color="auto" w:sz="8" w:space="0"/>
              <w:left w:val="nil"/>
              <w:bottom w:val="single" w:color="auto" w:sz="8" w:space="0"/>
              <w:right w:val="single" w:color="auto" w:sz="8" w:space="0"/>
            </w:tcBorders>
            <w:noWrap/>
            <w:vAlign w:val="center"/>
          </w:tcPr>
          <w:p w14:paraId="6D1C8E70">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2.8</w:t>
            </w:r>
          </w:p>
        </w:tc>
        <w:tc>
          <w:tcPr>
            <w:tcW w:w="670" w:type="dxa"/>
            <w:tcBorders>
              <w:top w:val="single" w:color="auto" w:sz="8" w:space="0"/>
              <w:left w:val="nil"/>
              <w:bottom w:val="single" w:color="auto" w:sz="8" w:space="0"/>
              <w:right w:val="single" w:color="auto" w:sz="8" w:space="0"/>
            </w:tcBorders>
            <w:noWrap/>
            <w:vAlign w:val="center"/>
          </w:tcPr>
          <w:p w14:paraId="7B91585E">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2.9</w:t>
            </w:r>
          </w:p>
        </w:tc>
      </w:tr>
      <w:tr w14:paraId="4877F3F7">
        <w:tblPrEx>
          <w:tblCellMar>
            <w:top w:w="0" w:type="dxa"/>
            <w:left w:w="108" w:type="dxa"/>
            <w:bottom w:w="0" w:type="dxa"/>
            <w:right w:w="108" w:type="dxa"/>
          </w:tblCellMar>
        </w:tblPrEx>
        <w:trPr>
          <w:trHeight w:val="222" w:hRule="atLeast"/>
        </w:trPr>
        <w:tc>
          <w:tcPr>
            <w:tcW w:w="1037" w:type="dxa"/>
            <w:tcBorders>
              <w:top w:val="single" w:color="auto" w:sz="8" w:space="0"/>
              <w:left w:val="single" w:color="auto" w:sz="8" w:space="0"/>
              <w:bottom w:val="single" w:color="auto" w:sz="8" w:space="0"/>
              <w:right w:val="single" w:color="auto" w:sz="8" w:space="0"/>
            </w:tcBorders>
            <w:noWrap/>
            <w:vAlign w:val="center"/>
          </w:tcPr>
          <w:p w14:paraId="74346579">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夏季</w:t>
            </w:r>
          </w:p>
        </w:tc>
        <w:tc>
          <w:tcPr>
            <w:tcW w:w="670" w:type="dxa"/>
            <w:tcBorders>
              <w:top w:val="single" w:color="auto" w:sz="8" w:space="0"/>
              <w:left w:val="nil"/>
              <w:bottom w:val="single" w:color="auto" w:sz="8" w:space="0"/>
              <w:right w:val="single" w:color="auto" w:sz="8" w:space="0"/>
            </w:tcBorders>
            <w:noWrap/>
            <w:vAlign w:val="center"/>
          </w:tcPr>
          <w:p w14:paraId="1925D449">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3.5</w:t>
            </w:r>
          </w:p>
        </w:tc>
        <w:tc>
          <w:tcPr>
            <w:tcW w:w="670" w:type="dxa"/>
            <w:tcBorders>
              <w:top w:val="single" w:color="auto" w:sz="8" w:space="0"/>
              <w:left w:val="nil"/>
              <w:bottom w:val="single" w:color="auto" w:sz="8" w:space="0"/>
              <w:right w:val="single" w:color="auto" w:sz="8" w:space="0"/>
            </w:tcBorders>
            <w:noWrap/>
            <w:vAlign w:val="center"/>
          </w:tcPr>
          <w:p w14:paraId="5B4DBBC6">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3.4</w:t>
            </w:r>
          </w:p>
        </w:tc>
        <w:tc>
          <w:tcPr>
            <w:tcW w:w="670" w:type="dxa"/>
            <w:tcBorders>
              <w:top w:val="single" w:color="auto" w:sz="8" w:space="0"/>
              <w:left w:val="nil"/>
              <w:bottom w:val="single" w:color="auto" w:sz="8" w:space="0"/>
              <w:right w:val="single" w:color="auto" w:sz="8" w:space="0"/>
            </w:tcBorders>
            <w:noWrap/>
            <w:vAlign w:val="center"/>
          </w:tcPr>
          <w:p w14:paraId="5029912A">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3.4</w:t>
            </w:r>
          </w:p>
        </w:tc>
        <w:tc>
          <w:tcPr>
            <w:tcW w:w="670" w:type="dxa"/>
            <w:tcBorders>
              <w:top w:val="single" w:color="auto" w:sz="8" w:space="0"/>
              <w:left w:val="nil"/>
              <w:bottom w:val="single" w:color="auto" w:sz="8" w:space="0"/>
              <w:right w:val="single" w:color="auto" w:sz="8" w:space="0"/>
            </w:tcBorders>
            <w:noWrap/>
            <w:vAlign w:val="center"/>
          </w:tcPr>
          <w:p w14:paraId="65B2EA39">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3.3</w:t>
            </w:r>
          </w:p>
        </w:tc>
        <w:tc>
          <w:tcPr>
            <w:tcW w:w="670" w:type="dxa"/>
            <w:tcBorders>
              <w:top w:val="single" w:color="auto" w:sz="8" w:space="0"/>
              <w:left w:val="nil"/>
              <w:bottom w:val="single" w:color="auto" w:sz="8" w:space="0"/>
              <w:right w:val="single" w:color="auto" w:sz="8" w:space="0"/>
            </w:tcBorders>
            <w:noWrap/>
            <w:vAlign w:val="center"/>
          </w:tcPr>
          <w:p w14:paraId="1BD0711D">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3.2</w:t>
            </w:r>
          </w:p>
        </w:tc>
        <w:tc>
          <w:tcPr>
            <w:tcW w:w="670" w:type="dxa"/>
            <w:tcBorders>
              <w:top w:val="single" w:color="auto" w:sz="8" w:space="0"/>
              <w:left w:val="nil"/>
              <w:bottom w:val="single" w:color="auto" w:sz="8" w:space="0"/>
              <w:right w:val="single" w:color="auto" w:sz="8" w:space="0"/>
            </w:tcBorders>
            <w:noWrap/>
            <w:vAlign w:val="center"/>
          </w:tcPr>
          <w:p w14:paraId="2690284C">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2.9</w:t>
            </w:r>
          </w:p>
        </w:tc>
        <w:tc>
          <w:tcPr>
            <w:tcW w:w="670" w:type="dxa"/>
            <w:tcBorders>
              <w:top w:val="single" w:color="auto" w:sz="8" w:space="0"/>
              <w:left w:val="nil"/>
              <w:bottom w:val="single" w:color="auto" w:sz="8" w:space="0"/>
              <w:right w:val="single" w:color="auto" w:sz="8" w:space="0"/>
            </w:tcBorders>
            <w:noWrap/>
            <w:vAlign w:val="center"/>
          </w:tcPr>
          <w:p w14:paraId="0366BF62">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2.3</w:t>
            </w:r>
          </w:p>
        </w:tc>
        <w:tc>
          <w:tcPr>
            <w:tcW w:w="670" w:type="dxa"/>
            <w:tcBorders>
              <w:top w:val="single" w:color="auto" w:sz="8" w:space="0"/>
              <w:left w:val="nil"/>
              <w:bottom w:val="single" w:color="auto" w:sz="8" w:space="0"/>
              <w:right w:val="single" w:color="auto" w:sz="8" w:space="0"/>
            </w:tcBorders>
            <w:noWrap/>
            <w:vAlign w:val="center"/>
          </w:tcPr>
          <w:p w14:paraId="17C8C8ED">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2.1</w:t>
            </w:r>
          </w:p>
        </w:tc>
        <w:tc>
          <w:tcPr>
            <w:tcW w:w="670" w:type="dxa"/>
            <w:tcBorders>
              <w:top w:val="single" w:color="auto" w:sz="8" w:space="0"/>
              <w:left w:val="nil"/>
              <w:bottom w:val="single" w:color="auto" w:sz="8" w:space="0"/>
              <w:right w:val="single" w:color="auto" w:sz="8" w:space="0"/>
            </w:tcBorders>
            <w:noWrap/>
            <w:vAlign w:val="center"/>
          </w:tcPr>
          <w:p w14:paraId="0CD0FA07">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2.1</w:t>
            </w:r>
          </w:p>
        </w:tc>
        <w:tc>
          <w:tcPr>
            <w:tcW w:w="670" w:type="dxa"/>
            <w:tcBorders>
              <w:top w:val="single" w:color="auto" w:sz="8" w:space="0"/>
              <w:left w:val="nil"/>
              <w:bottom w:val="single" w:color="auto" w:sz="8" w:space="0"/>
              <w:right w:val="single" w:color="auto" w:sz="8" w:space="0"/>
            </w:tcBorders>
            <w:noWrap/>
            <w:vAlign w:val="center"/>
          </w:tcPr>
          <w:p w14:paraId="48148E6C">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2.1</w:t>
            </w:r>
          </w:p>
        </w:tc>
        <w:tc>
          <w:tcPr>
            <w:tcW w:w="670" w:type="dxa"/>
            <w:tcBorders>
              <w:top w:val="single" w:color="auto" w:sz="8" w:space="0"/>
              <w:left w:val="nil"/>
              <w:bottom w:val="single" w:color="auto" w:sz="8" w:space="0"/>
              <w:right w:val="single" w:color="auto" w:sz="8" w:space="0"/>
            </w:tcBorders>
            <w:noWrap/>
            <w:vAlign w:val="center"/>
          </w:tcPr>
          <w:p w14:paraId="57A8A1B2">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2.1</w:t>
            </w:r>
          </w:p>
        </w:tc>
        <w:tc>
          <w:tcPr>
            <w:tcW w:w="670" w:type="dxa"/>
            <w:tcBorders>
              <w:top w:val="single" w:color="auto" w:sz="8" w:space="0"/>
              <w:left w:val="nil"/>
              <w:bottom w:val="single" w:color="auto" w:sz="8" w:space="0"/>
              <w:right w:val="single" w:color="auto" w:sz="8" w:space="0"/>
            </w:tcBorders>
            <w:noWrap/>
            <w:vAlign w:val="center"/>
          </w:tcPr>
          <w:p w14:paraId="7B50090B">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2.0</w:t>
            </w:r>
          </w:p>
        </w:tc>
      </w:tr>
      <w:tr w14:paraId="0A655E46">
        <w:tblPrEx>
          <w:tblCellMar>
            <w:top w:w="0" w:type="dxa"/>
            <w:left w:w="108" w:type="dxa"/>
            <w:bottom w:w="0" w:type="dxa"/>
            <w:right w:w="108" w:type="dxa"/>
          </w:tblCellMar>
        </w:tblPrEx>
        <w:trPr>
          <w:trHeight w:val="222" w:hRule="atLeast"/>
        </w:trPr>
        <w:tc>
          <w:tcPr>
            <w:tcW w:w="1037" w:type="dxa"/>
            <w:tcBorders>
              <w:top w:val="single" w:color="auto" w:sz="8" w:space="0"/>
              <w:left w:val="single" w:color="auto" w:sz="8" w:space="0"/>
              <w:bottom w:val="single" w:color="auto" w:sz="8" w:space="0"/>
              <w:right w:val="single" w:color="auto" w:sz="8" w:space="0"/>
            </w:tcBorders>
            <w:noWrap/>
            <w:vAlign w:val="center"/>
          </w:tcPr>
          <w:p w14:paraId="3CD72612">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秋季</w:t>
            </w:r>
          </w:p>
        </w:tc>
        <w:tc>
          <w:tcPr>
            <w:tcW w:w="670" w:type="dxa"/>
            <w:tcBorders>
              <w:top w:val="single" w:color="auto" w:sz="8" w:space="0"/>
              <w:left w:val="nil"/>
              <w:bottom w:val="single" w:color="auto" w:sz="8" w:space="0"/>
              <w:right w:val="single" w:color="auto" w:sz="8" w:space="0"/>
            </w:tcBorders>
            <w:noWrap/>
            <w:vAlign w:val="center"/>
          </w:tcPr>
          <w:p w14:paraId="24DC4420">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4.1</w:t>
            </w:r>
          </w:p>
        </w:tc>
        <w:tc>
          <w:tcPr>
            <w:tcW w:w="670" w:type="dxa"/>
            <w:tcBorders>
              <w:top w:val="single" w:color="auto" w:sz="8" w:space="0"/>
              <w:left w:val="nil"/>
              <w:bottom w:val="single" w:color="auto" w:sz="8" w:space="0"/>
              <w:right w:val="single" w:color="auto" w:sz="8" w:space="0"/>
            </w:tcBorders>
            <w:noWrap/>
            <w:vAlign w:val="center"/>
          </w:tcPr>
          <w:p w14:paraId="312E5352">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4.1</w:t>
            </w:r>
          </w:p>
        </w:tc>
        <w:tc>
          <w:tcPr>
            <w:tcW w:w="670" w:type="dxa"/>
            <w:tcBorders>
              <w:top w:val="single" w:color="auto" w:sz="8" w:space="0"/>
              <w:left w:val="nil"/>
              <w:bottom w:val="single" w:color="auto" w:sz="8" w:space="0"/>
              <w:right w:val="single" w:color="auto" w:sz="8" w:space="0"/>
            </w:tcBorders>
            <w:noWrap/>
            <w:vAlign w:val="center"/>
          </w:tcPr>
          <w:p w14:paraId="593F4681">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3.8</w:t>
            </w:r>
          </w:p>
        </w:tc>
        <w:tc>
          <w:tcPr>
            <w:tcW w:w="670" w:type="dxa"/>
            <w:tcBorders>
              <w:top w:val="single" w:color="auto" w:sz="8" w:space="0"/>
              <w:left w:val="nil"/>
              <w:bottom w:val="single" w:color="auto" w:sz="8" w:space="0"/>
              <w:right w:val="single" w:color="auto" w:sz="8" w:space="0"/>
            </w:tcBorders>
            <w:noWrap/>
            <w:vAlign w:val="center"/>
          </w:tcPr>
          <w:p w14:paraId="6B80BB45">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3.2</w:t>
            </w:r>
          </w:p>
        </w:tc>
        <w:tc>
          <w:tcPr>
            <w:tcW w:w="670" w:type="dxa"/>
            <w:tcBorders>
              <w:top w:val="single" w:color="auto" w:sz="8" w:space="0"/>
              <w:left w:val="nil"/>
              <w:bottom w:val="single" w:color="auto" w:sz="8" w:space="0"/>
              <w:right w:val="single" w:color="auto" w:sz="8" w:space="0"/>
            </w:tcBorders>
            <w:noWrap/>
            <w:vAlign w:val="center"/>
          </w:tcPr>
          <w:p w14:paraId="449D424C">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2.6</w:t>
            </w:r>
          </w:p>
        </w:tc>
        <w:tc>
          <w:tcPr>
            <w:tcW w:w="670" w:type="dxa"/>
            <w:tcBorders>
              <w:top w:val="single" w:color="auto" w:sz="8" w:space="0"/>
              <w:left w:val="nil"/>
              <w:bottom w:val="single" w:color="auto" w:sz="8" w:space="0"/>
              <w:right w:val="single" w:color="auto" w:sz="8" w:space="0"/>
            </w:tcBorders>
            <w:noWrap/>
            <w:vAlign w:val="center"/>
          </w:tcPr>
          <w:p w14:paraId="60053DBE">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2.4</w:t>
            </w:r>
          </w:p>
        </w:tc>
        <w:tc>
          <w:tcPr>
            <w:tcW w:w="670" w:type="dxa"/>
            <w:tcBorders>
              <w:top w:val="single" w:color="auto" w:sz="8" w:space="0"/>
              <w:left w:val="nil"/>
              <w:bottom w:val="single" w:color="auto" w:sz="8" w:space="0"/>
              <w:right w:val="single" w:color="auto" w:sz="8" w:space="0"/>
            </w:tcBorders>
            <w:noWrap/>
            <w:vAlign w:val="center"/>
          </w:tcPr>
          <w:p w14:paraId="441E7D96">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2.3</w:t>
            </w:r>
          </w:p>
        </w:tc>
        <w:tc>
          <w:tcPr>
            <w:tcW w:w="670" w:type="dxa"/>
            <w:tcBorders>
              <w:top w:val="single" w:color="auto" w:sz="8" w:space="0"/>
              <w:left w:val="nil"/>
              <w:bottom w:val="single" w:color="auto" w:sz="8" w:space="0"/>
              <w:right w:val="single" w:color="auto" w:sz="8" w:space="0"/>
            </w:tcBorders>
            <w:noWrap/>
            <w:vAlign w:val="center"/>
          </w:tcPr>
          <w:p w14:paraId="60C4BBFB">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2.4</w:t>
            </w:r>
          </w:p>
        </w:tc>
        <w:tc>
          <w:tcPr>
            <w:tcW w:w="670" w:type="dxa"/>
            <w:tcBorders>
              <w:top w:val="single" w:color="auto" w:sz="8" w:space="0"/>
              <w:left w:val="nil"/>
              <w:bottom w:val="single" w:color="auto" w:sz="8" w:space="0"/>
              <w:right w:val="single" w:color="auto" w:sz="8" w:space="0"/>
            </w:tcBorders>
            <w:noWrap/>
            <w:vAlign w:val="center"/>
          </w:tcPr>
          <w:p w14:paraId="766C79E0">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2.4</w:t>
            </w:r>
          </w:p>
        </w:tc>
        <w:tc>
          <w:tcPr>
            <w:tcW w:w="670" w:type="dxa"/>
            <w:tcBorders>
              <w:top w:val="single" w:color="auto" w:sz="8" w:space="0"/>
              <w:left w:val="nil"/>
              <w:bottom w:val="single" w:color="auto" w:sz="8" w:space="0"/>
              <w:right w:val="single" w:color="auto" w:sz="8" w:space="0"/>
            </w:tcBorders>
            <w:noWrap/>
            <w:vAlign w:val="center"/>
          </w:tcPr>
          <w:p w14:paraId="3A8C8395">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2.4</w:t>
            </w:r>
          </w:p>
        </w:tc>
        <w:tc>
          <w:tcPr>
            <w:tcW w:w="670" w:type="dxa"/>
            <w:tcBorders>
              <w:top w:val="single" w:color="auto" w:sz="8" w:space="0"/>
              <w:left w:val="nil"/>
              <w:bottom w:val="single" w:color="auto" w:sz="8" w:space="0"/>
              <w:right w:val="single" w:color="auto" w:sz="8" w:space="0"/>
            </w:tcBorders>
            <w:noWrap/>
            <w:vAlign w:val="center"/>
          </w:tcPr>
          <w:p w14:paraId="3BA0B2B0">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2.5</w:t>
            </w:r>
          </w:p>
        </w:tc>
        <w:tc>
          <w:tcPr>
            <w:tcW w:w="670" w:type="dxa"/>
            <w:tcBorders>
              <w:top w:val="single" w:color="auto" w:sz="8" w:space="0"/>
              <w:left w:val="nil"/>
              <w:bottom w:val="single" w:color="auto" w:sz="8" w:space="0"/>
              <w:right w:val="single" w:color="auto" w:sz="8" w:space="0"/>
            </w:tcBorders>
            <w:noWrap/>
            <w:vAlign w:val="center"/>
          </w:tcPr>
          <w:p w14:paraId="1EF3CF53">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2.5</w:t>
            </w:r>
          </w:p>
        </w:tc>
      </w:tr>
      <w:tr w14:paraId="1548FBBD">
        <w:tblPrEx>
          <w:tblCellMar>
            <w:top w:w="0" w:type="dxa"/>
            <w:left w:w="108" w:type="dxa"/>
            <w:bottom w:w="0" w:type="dxa"/>
            <w:right w:w="108" w:type="dxa"/>
          </w:tblCellMar>
        </w:tblPrEx>
        <w:trPr>
          <w:trHeight w:val="222" w:hRule="atLeast"/>
        </w:trPr>
        <w:tc>
          <w:tcPr>
            <w:tcW w:w="1037" w:type="dxa"/>
            <w:tcBorders>
              <w:top w:val="single" w:color="auto" w:sz="8" w:space="0"/>
              <w:left w:val="single" w:color="auto" w:sz="8" w:space="0"/>
              <w:bottom w:val="single" w:color="auto" w:sz="8" w:space="0"/>
              <w:right w:val="single" w:color="auto" w:sz="8" w:space="0"/>
            </w:tcBorders>
            <w:noWrap/>
            <w:vAlign w:val="center"/>
          </w:tcPr>
          <w:p w14:paraId="6DDE62F7">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冬季</w:t>
            </w:r>
          </w:p>
        </w:tc>
        <w:tc>
          <w:tcPr>
            <w:tcW w:w="670" w:type="dxa"/>
            <w:tcBorders>
              <w:top w:val="single" w:color="auto" w:sz="8" w:space="0"/>
              <w:left w:val="nil"/>
              <w:bottom w:val="single" w:color="auto" w:sz="8" w:space="0"/>
              <w:right w:val="single" w:color="auto" w:sz="8" w:space="0"/>
            </w:tcBorders>
            <w:noWrap/>
            <w:vAlign w:val="center"/>
          </w:tcPr>
          <w:p w14:paraId="07879F23">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3.4</w:t>
            </w:r>
          </w:p>
        </w:tc>
        <w:tc>
          <w:tcPr>
            <w:tcW w:w="670" w:type="dxa"/>
            <w:tcBorders>
              <w:top w:val="single" w:color="auto" w:sz="8" w:space="0"/>
              <w:left w:val="nil"/>
              <w:bottom w:val="single" w:color="auto" w:sz="8" w:space="0"/>
              <w:right w:val="single" w:color="auto" w:sz="8" w:space="0"/>
            </w:tcBorders>
            <w:noWrap/>
            <w:vAlign w:val="center"/>
          </w:tcPr>
          <w:p w14:paraId="78F0A980">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3.3</w:t>
            </w:r>
          </w:p>
        </w:tc>
        <w:tc>
          <w:tcPr>
            <w:tcW w:w="670" w:type="dxa"/>
            <w:tcBorders>
              <w:top w:val="single" w:color="auto" w:sz="8" w:space="0"/>
              <w:left w:val="nil"/>
              <w:bottom w:val="single" w:color="auto" w:sz="8" w:space="0"/>
              <w:right w:val="single" w:color="auto" w:sz="8" w:space="0"/>
            </w:tcBorders>
            <w:noWrap/>
            <w:vAlign w:val="center"/>
          </w:tcPr>
          <w:p w14:paraId="43A37EA6">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3.0</w:t>
            </w:r>
          </w:p>
        </w:tc>
        <w:tc>
          <w:tcPr>
            <w:tcW w:w="670" w:type="dxa"/>
            <w:tcBorders>
              <w:top w:val="single" w:color="auto" w:sz="8" w:space="0"/>
              <w:left w:val="nil"/>
              <w:bottom w:val="single" w:color="auto" w:sz="8" w:space="0"/>
              <w:right w:val="single" w:color="auto" w:sz="8" w:space="0"/>
            </w:tcBorders>
            <w:noWrap/>
            <w:vAlign w:val="center"/>
          </w:tcPr>
          <w:p w14:paraId="723E768D">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2.5</w:t>
            </w:r>
          </w:p>
        </w:tc>
        <w:tc>
          <w:tcPr>
            <w:tcW w:w="670" w:type="dxa"/>
            <w:tcBorders>
              <w:top w:val="single" w:color="auto" w:sz="8" w:space="0"/>
              <w:left w:val="nil"/>
              <w:bottom w:val="single" w:color="auto" w:sz="8" w:space="0"/>
              <w:right w:val="single" w:color="auto" w:sz="8" w:space="0"/>
            </w:tcBorders>
            <w:noWrap/>
            <w:vAlign w:val="center"/>
          </w:tcPr>
          <w:p w14:paraId="6156EDAA">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2.1</w:t>
            </w:r>
          </w:p>
        </w:tc>
        <w:tc>
          <w:tcPr>
            <w:tcW w:w="670" w:type="dxa"/>
            <w:tcBorders>
              <w:top w:val="single" w:color="auto" w:sz="8" w:space="0"/>
              <w:left w:val="nil"/>
              <w:bottom w:val="single" w:color="auto" w:sz="8" w:space="0"/>
              <w:right w:val="single" w:color="auto" w:sz="8" w:space="0"/>
            </w:tcBorders>
            <w:noWrap/>
            <w:vAlign w:val="center"/>
          </w:tcPr>
          <w:p w14:paraId="5EE88911">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2.0</w:t>
            </w:r>
          </w:p>
        </w:tc>
        <w:tc>
          <w:tcPr>
            <w:tcW w:w="670" w:type="dxa"/>
            <w:tcBorders>
              <w:top w:val="single" w:color="auto" w:sz="8" w:space="0"/>
              <w:left w:val="nil"/>
              <w:bottom w:val="single" w:color="auto" w:sz="8" w:space="0"/>
              <w:right w:val="single" w:color="auto" w:sz="8" w:space="0"/>
            </w:tcBorders>
            <w:noWrap/>
            <w:vAlign w:val="center"/>
          </w:tcPr>
          <w:p w14:paraId="19DF4A1D">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2.0</w:t>
            </w:r>
          </w:p>
        </w:tc>
        <w:tc>
          <w:tcPr>
            <w:tcW w:w="670" w:type="dxa"/>
            <w:tcBorders>
              <w:top w:val="single" w:color="auto" w:sz="8" w:space="0"/>
              <w:left w:val="nil"/>
              <w:bottom w:val="single" w:color="auto" w:sz="8" w:space="0"/>
              <w:right w:val="single" w:color="auto" w:sz="8" w:space="0"/>
            </w:tcBorders>
            <w:noWrap/>
            <w:vAlign w:val="center"/>
          </w:tcPr>
          <w:p w14:paraId="262AF475">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2.0</w:t>
            </w:r>
          </w:p>
        </w:tc>
        <w:tc>
          <w:tcPr>
            <w:tcW w:w="670" w:type="dxa"/>
            <w:tcBorders>
              <w:top w:val="single" w:color="auto" w:sz="8" w:space="0"/>
              <w:left w:val="nil"/>
              <w:bottom w:val="single" w:color="auto" w:sz="8" w:space="0"/>
              <w:right w:val="single" w:color="auto" w:sz="8" w:space="0"/>
            </w:tcBorders>
            <w:noWrap/>
            <w:vAlign w:val="center"/>
          </w:tcPr>
          <w:p w14:paraId="58F0EFA3">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2.1</w:t>
            </w:r>
          </w:p>
        </w:tc>
        <w:tc>
          <w:tcPr>
            <w:tcW w:w="670" w:type="dxa"/>
            <w:tcBorders>
              <w:top w:val="single" w:color="auto" w:sz="8" w:space="0"/>
              <w:left w:val="nil"/>
              <w:bottom w:val="single" w:color="auto" w:sz="8" w:space="0"/>
              <w:right w:val="single" w:color="auto" w:sz="8" w:space="0"/>
            </w:tcBorders>
            <w:noWrap/>
            <w:vAlign w:val="center"/>
          </w:tcPr>
          <w:p w14:paraId="2E2636D4">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2.1</w:t>
            </w:r>
          </w:p>
        </w:tc>
        <w:tc>
          <w:tcPr>
            <w:tcW w:w="670" w:type="dxa"/>
            <w:tcBorders>
              <w:top w:val="single" w:color="auto" w:sz="8" w:space="0"/>
              <w:left w:val="nil"/>
              <w:bottom w:val="single" w:color="auto" w:sz="8" w:space="0"/>
              <w:right w:val="single" w:color="auto" w:sz="8" w:space="0"/>
            </w:tcBorders>
            <w:noWrap/>
            <w:vAlign w:val="center"/>
          </w:tcPr>
          <w:p w14:paraId="0B122B1A">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2.3</w:t>
            </w:r>
          </w:p>
        </w:tc>
        <w:tc>
          <w:tcPr>
            <w:tcW w:w="670" w:type="dxa"/>
            <w:tcBorders>
              <w:top w:val="single" w:color="auto" w:sz="8" w:space="0"/>
              <w:left w:val="nil"/>
              <w:bottom w:val="single" w:color="auto" w:sz="8" w:space="0"/>
              <w:right w:val="single" w:color="auto" w:sz="8" w:space="0"/>
            </w:tcBorders>
            <w:noWrap/>
            <w:vAlign w:val="center"/>
          </w:tcPr>
          <w:p w14:paraId="530C2DE1">
            <w:pPr>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2.2</w:t>
            </w:r>
          </w:p>
        </w:tc>
      </w:tr>
    </w:tbl>
    <w:p w14:paraId="2BEE43D3">
      <w:pPr>
        <w:widowControl w:val="0"/>
        <w:jc w:val="center"/>
        <w:rPr>
          <w:rFonts w:ascii="Times New Roman" w:hAnsi="Times New Roman" w:cs="Times New Roman"/>
          <w:color w:val="auto"/>
          <w:w w:val="99"/>
          <w:highlight w:val="none"/>
          <w:lang w:val="zh-CN"/>
        </w:rPr>
      </w:pPr>
      <w:r>
        <w:rPr>
          <w:rFonts w:ascii="Times New Roman" w:hAnsi="Times New Roman" w:cs="Times New Roman"/>
          <w:color w:val="auto"/>
          <w:w w:val="99"/>
          <w:highlight w:val="none"/>
        </w:rPr>
        <w:drawing>
          <wp:inline distT="0" distB="0" distL="0" distR="0">
            <wp:extent cx="4133850" cy="2425065"/>
            <wp:effectExtent l="0" t="0" r="0" b="1333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4152962" cy="2436863"/>
                    </a:xfrm>
                    <a:prstGeom prst="rect">
                      <a:avLst/>
                    </a:prstGeom>
                    <a:noFill/>
                    <a:ln>
                      <a:noFill/>
                    </a:ln>
                  </pic:spPr>
                </pic:pic>
              </a:graphicData>
            </a:graphic>
          </wp:inline>
        </w:drawing>
      </w:r>
    </w:p>
    <w:p w14:paraId="6EACB809">
      <w:pPr>
        <w:widowControl w:val="0"/>
        <w:jc w:val="center"/>
        <w:rPr>
          <w:rFonts w:ascii="Times New Roman" w:hAnsi="Times New Roman" w:cs="Times New Roman"/>
          <w:b/>
          <w:bCs/>
          <w:color w:val="auto"/>
          <w:w w:val="99"/>
          <w:highlight w:val="none"/>
          <w:lang w:val="zh-CN"/>
        </w:rPr>
      </w:pPr>
      <w:r>
        <w:rPr>
          <w:rFonts w:ascii="Times New Roman" w:hAnsi="Times New Roman" w:cs="Times New Roman"/>
          <w:b/>
          <w:bCs/>
          <w:color w:val="auto"/>
          <w:w w:val="99"/>
          <w:highlight w:val="none"/>
          <w:lang w:val="zh-CN"/>
        </w:rPr>
        <w:t>图5.1-</w:t>
      </w:r>
      <w:r>
        <w:rPr>
          <w:rFonts w:hint="eastAsia" w:ascii="Times New Roman" w:hAnsi="Times New Roman" w:cs="Times New Roman"/>
          <w:b/>
          <w:bCs/>
          <w:color w:val="auto"/>
          <w:w w:val="99"/>
          <w:highlight w:val="none"/>
        </w:rPr>
        <w:t>9</w:t>
      </w:r>
      <w:r>
        <w:rPr>
          <w:rFonts w:ascii="Times New Roman" w:hAnsi="Times New Roman" w:cs="Times New Roman"/>
          <w:b/>
          <w:bCs/>
          <w:color w:val="auto"/>
          <w:w w:val="99"/>
          <w:highlight w:val="none"/>
          <w:lang w:val="zh-CN"/>
        </w:rPr>
        <w:t xml:space="preserve">   季小时平</w:t>
      </w:r>
      <w:r>
        <w:rPr>
          <w:rFonts w:hint="eastAsia" w:ascii="Times New Roman" w:hAnsi="Times New Roman" w:cs="Times New Roman"/>
          <w:b/>
          <w:bCs/>
          <w:color w:val="auto"/>
          <w:w w:val="99"/>
          <w:highlight w:val="none"/>
        </w:rPr>
        <w:t>均</w:t>
      </w:r>
      <w:r>
        <w:rPr>
          <w:rFonts w:ascii="Times New Roman" w:hAnsi="Times New Roman" w:cs="Times New Roman"/>
          <w:b/>
          <w:bCs/>
          <w:color w:val="auto"/>
          <w:w w:val="99"/>
          <w:highlight w:val="none"/>
          <w:lang w:val="zh-CN"/>
        </w:rPr>
        <w:t>风速日变化曲线图</w:t>
      </w:r>
    </w:p>
    <w:p w14:paraId="731D2EEC">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上表给出了风速日变化趋势。由表可知，各季节内，风速较小值一般出现在夜间，风速在下午达到最大，有利于大气污染物的扩散。</w:t>
      </w:r>
    </w:p>
    <w:p w14:paraId="419E051A">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（4）风向、风频统计分析</w:t>
      </w:r>
    </w:p>
    <w:p w14:paraId="6636898A">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年均风频季变化及年均风频统计见表5.1-8和图5.1-1</w:t>
      </w:r>
      <w:r>
        <w:rPr>
          <w:rFonts w:hint="eastAsia" w:ascii="Times New Roman" w:hAnsi="Times New Roman" w:cs="Times New Roman"/>
          <w:color w:val="auto"/>
          <w:w w:val="99"/>
          <w:highlight w:val="none"/>
        </w:rPr>
        <w:t>0</w:t>
      </w:r>
      <w:r>
        <w:rPr>
          <w:rFonts w:ascii="Times New Roman" w:hAnsi="Times New Roman" w:cs="Times New Roman"/>
          <w:color w:val="auto"/>
          <w:w w:val="99"/>
          <w:highlight w:val="none"/>
          <w:lang w:val="zh-CN"/>
        </w:rPr>
        <w:t>。</w:t>
      </w:r>
    </w:p>
    <w:p w14:paraId="55475DD4">
      <w:pPr>
        <w:widowControl w:val="0"/>
        <w:spacing w:line="440" w:lineRule="exact"/>
        <w:ind w:firstLine="476" w:firstLineChars="200"/>
        <w:jc w:val="both"/>
        <w:rPr>
          <w:rFonts w:ascii="Times New Roman" w:hAnsi="Times New Roman" w:cs="Times New Roman"/>
          <w:b/>
          <w:color w:val="auto"/>
          <w:w w:val="99"/>
          <w:highlight w:val="none"/>
          <w:lang w:val="zh-CN"/>
        </w:rPr>
      </w:pPr>
      <w:r>
        <w:rPr>
          <w:rFonts w:ascii="Times New Roman" w:hAnsi="Times New Roman" w:cs="Times New Roman"/>
          <w:b/>
          <w:color w:val="auto"/>
          <w:w w:val="99"/>
          <w:highlight w:val="none"/>
          <w:lang w:val="zh-CN"/>
        </w:rPr>
        <w:t>表5.1-8     年均风频季变化及年均风频统计表      单位：%</w:t>
      </w:r>
    </w:p>
    <w:tbl>
      <w:tblPr>
        <w:tblStyle w:val="81"/>
        <w:tblW w:w="8978" w:type="dxa"/>
        <w:tblInd w:w="0" w:type="dxa"/>
        <w:tblLayout w:type="autofit"/>
        <w:tblCellMar>
          <w:top w:w="0" w:type="dxa"/>
          <w:left w:w="108" w:type="dxa"/>
          <w:bottom w:w="0" w:type="dxa"/>
          <w:right w:w="108" w:type="dxa"/>
        </w:tblCellMar>
      </w:tblPr>
      <w:tblGrid>
        <w:gridCol w:w="687"/>
        <w:gridCol w:w="452"/>
        <w:gridCol w:w="539"/>
        <w:gridCol w:w="453"/>
        <w:gridCol w:w="523"/>
        <w:gridCol w:w="453"/>
        <w:gridCol w:w="496"/>
        <w:gridCol w:w="453"/>
        <w:gridCol w:w="488"/>
        <w:gridCol w:w="492"/>
        <w:gridCol w:w="540"/>
        <w:gridCol w:w="492"/>
        <w:gridCol w:w="601"/>
        <w:gridCol w:w="453"/>
        <w:gridCol w:w="628"/>
        <w:gridCol w:w="492"/>
        <w:gridCol w:w="592"/>
        <w:gridCol w:w="453"/>
      </w:tblGrid>
      <w:tr w14:paraId="4E916DB6">
        <w:tblPrEx>
          <w:tblCellMar>
            <w:top w:w="0" w:type="dxa"/>
            <w:left w:w="108" w:type="dxa"/>
            <w:bottom w:w="0" w:type="dxa"/>
            <w:right w:w="108" w:type="dxa"/>
          </w:tblCellMar>
        </w:tblPrEx>
        <w:trPr>
          <w:trHeight w:val="349" w:hRule="atLeast"/>
        </w:trPr>
        <w:tc>
          <w:tcPr>
            <w:tcW w:w="750" w:type="dxa"/>
            <w:tcBorders>
              <w:top w:val="single" w:color="auto" w:sz="8" w:space="0"/>
              <w:left w:val="single" w:color="auto" w:sz="8" w:space="0"/>
              <w:bottom w:val="single" w:color="auto" w:sz="8" w:space="0"/>
              <w:right w:val="single" w:color="auto" w:sz="8" w:space="0"/>
              <w:tl2br w:val="single" w:color="auto" w:sz="8" w:space="0"/>
            </w:tcBorders>
            <w:vAlign w:val="center"/>
          </w:tcPr>
          <w:p w14:paraId="2DE78108">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风向</w:t>
            </w:r>
          </w:p>
          <w:p w14:paraId="254DE2C7">
            <w:pP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风频</w:t>
            </w:r>
          </w:p>
        </w:tc>
        <w:tc>
          <w:tcPr>
            <w:tcW w:w="484" w:type="dxa"/>
            <w:tcBorders>
              <w:top w:val="single" w:color="auto" w:sz="8" w:space="0"/>
              <w:left w:val="nil"/>
              <w:bottom w:val="nil"/>
              <w:right w:val="single" w:color="auto" w:sz="8" w:space="0"/>
            </w:tcBorders>
            <w:noWrap/>
            <w:vAlign w:val="center"/>
          </w:tcPr>
          <w:p w14:paraId="3801C216">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N</w:t>
            </w:r>
          </w:p>
        </w:tc>
        <w:tc>
          <w:tcPr>
            <w:tcW w:w="484" w:type="dxa"/>
            <w:tcBorders>
              <w:top w:val="single" w:color="auto" w:sz="8" w:space="0"/>
              <w:left w:val="nil"/>
              <w:bottom w:val="nil"/>
              <w:right w:val="single" w:color="auto" w:sz="8" w:space="0"/>
            </w:tcBorders>
            <w:noWrap/>
            <w:vAlign w:val="center"/>
          </w:tcPr>
          <w:p w14:paraId="367F9F02">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NNE</w:t>
            </w:r>
          </w:p>
        </w:tc>
        <w:tc>
          <w:tcPr>
            <w:tcW w:w="484" w:type="dxa"/>
            <w:tcBorders>
              <w:top w:val="single" w:color="auto" w:sz="8" w:space="0"/>
              <w:left w:val="nil"/>
              <w:bottom w:val="nil"/>
              <w:right w:val="single" w:color="auto" w:sz="8" w:space="0"/>
            </w:tcBorders>
            <w:noWrap/>
            <w:vAlign w:val="center"/>
          </w:tcPr>
          <w:p w14:paraId="5903E179">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NE</w:t>
            </w:r>
          </w:p>
        </w:tc>
        <w:tc>
          <w:tcPr>
            <w:tcW w:w="484" w:type="dxa"/>
            <w:tcBorders>
              <w:top w:val="single" w:color="auto" w:sz="8" w:space="0"/>
              <w:left w:val="nil"/>
              <w:bottom w:val="nil"/>
              <w:right w:val="single" w:color="auto" w:sz="8" w:space="0"/>
            </w:tcBorders>
            <w:noWrap/>
            <w:vAlign w:val="center"/>
          </w:tcPr>
          <w:p w14:paraId="04EDBF52">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ENE</w:t>
            </w:r>
          </w:p>
        </w:tc>
        <w:tc>
          <w:tcPr>
            <w:tcW w:w="484" w:type="dxa"/>
            <w:tcBorders>
              <w:top w:val="single" w:color="auto" w:sz="8" w:space="0"/>
              <w:left w:val="nil"/>
              <w:bottom w:val="nil"/>
              <w:right w:val="single" w:color="auto" w:sz="8" w:space="0"/>
            </w:tcBorders>
            <w:noWrap/>
            <w:vAlign w:val="center"/>
          </w:tcPr>
          <w:p w14:paraId="2FD15088">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E</w:t>
            </w:r>
          </w:p>
        </w:tc>
        <w:tc>
          <w:tcPr>
            <w:tcW w:w="484" w:type="dxa"/>
            <w:tcBorders>
              <w:top w:val="single" w:color="auto" w:sz="8" w:space="0"/>
              <w:left w:val="nil"/>
              <w:bottom w:val="nil"/>
              <w:right w:val="single" w:color="auto" w:sz="8" w:space="0"/>
            </w:tcBorders>
            <w:noWrap/>
            <w:vAlign w:val="center"/>
          </w:tcPr>
          <w:p w14:paraId="0C0B3D89">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ESE</w:t>
            </w:r>
          </w:p>
        </w:tc>
        <w:tc>
          <w:tcPr>
            <w:tcW w:w="484" w:type="dxa"/>
            <w:tcBorders>
              <w:top w:val="single" w:color="auto" w:sz="8" w:space="0"/>
              <w:left w:val="nil"/>
              <w:bottom w:val="nil"/>
              <w:right w:val="single" w:color="auto" w:sz="8" w:space="0"/>
            </w:tcBorders>
            <w:noWrap/>
            <w:vAlign w:val="center"/>
          </w:tcPr>
          <w:p w14:paraId="2644793A">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SE</w:t>
            </w:r>
          </w:p>
        </w:tc>
        <w:tc>
          <w:tcPr>
            <w:tcW w:w="484" w:type="dxa"/>
            <w:tcBorders>
              <w:top w:val="single" w:color="auto" w:sz="8" w:space="0"/>
              <w:left w:val="nil"/>
              <w:bottom w:val="nil"/>
              <w:right w:val="single" w:color="auto" w:sz="8" w:space="0"/>
            </w:tcBorders>
            <w:noWrap/>
            <w:vAlign w:val="center"/>
          </w:tcPr>
          <w:p w14:paraId="2BEB7259">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SSE</w:t>
            </w:r>
          </w:p>
        </w:tc>
        <w:tc>
          <w:tcPr>
            <w:tcW w:w="484" w:type="dxa"/>
            <w:tcBorders>
              <w:top w:val="single" w:color="auto" w:sz="8" w:space="0"/>
              <w:left w:val="nil"/>
              <w:bottom w:val="nil"/>
              <w:right w:val="single" w:color="auto" w:sz="8" w:space="0"/>
            </w:tcBorders>
            <w:noWrap/>
            <w:vAlign w:val="center"/>
          </w:tcPr>
          <w:p w14:paraId="028E96BA">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S</w:t>
            </w:r>
          </w:p>
        </w:tc>
        <w:tc>
          <w:tcPr>
            <w:tcW w:w="484" w:type="dxa"/>
            <w:tcBorders>
              <w:top w:val="single" w:color="auto" w:sz="8" w:space="0"/>
              <w:left w:val="nil"/>
              <w:bottom w:val="nil"/>
              <w:right w:val="single" w:color="auto" w:sz="8" w:space="0"/>
            </w:tcBorders>
            <w:noWrap/>
            <w:vAlign w:val="center"/>
          </w:tcPr>
          <w:p w14:paraId="3339219B">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SSW</w:t>
            </w:r>
          </w:p>
        </w:tc>
        <w:tc>
          <w:tcPr>
            <w:tcW w:w="484" w:type="dxa"/>
            <w:tcBorders>
              <w:top w:val="single" w:color="auto" w:sz="8" w:space="0"/>
              <w:left w:val="nil"/>
              <w:bottom w:val="nil"/>
              <w:right w:val="single" w:color="auto" w:sz="8" w:space="0"/>
            </w:tcBorders>
            <w:noWrap/>
            <w:vAlign w:val="center"/>
          </w:tcPr>
          <w:p w14:paraId="31CB0E74">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SW</w:t>
            </w:r>
          </w:p>
        </w:tc>
        <w:tc>
          <w:tcPr>
            <w:tcW w:w="484" w:type="dxa"/>
            <w:tcBorders>
              <w:top w:val="single" w:color="auto" w:sz="8" w:space="0"/>
              <w:left w:val="nil"/>
              <w:bottom w:val="nil"/>
              <w:right w:val="single" w:color="auto" w:sz="8" w:space="0"/>
            </w:tcBorders>
            <w:noWrap/>
            <w:vAlign w:val="center"/>
          </w:tcPr>
          <w:p w14:paraId="55F64C22">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WSW</w:t>
            </w:r>
          </w:p>
        </w:tc>
        <w:tc>
          <w:tcPr>
            <w:tcW w:w="484" w:type="dxa"/>
            <w:tcBorders>
              <w:top w:val="single" w:color="auto" w:sz="8" w:space="0"/>
              <w:left w:val="nil"/>
              <w:bottom w:val="nil"/>
              <w:right w:val="single" w:color="auto" w:sz="8" w:space="0"/>
            </w:tcBorders>
            <w:noWrap/>
            <w:vAlign w:val="center"/>
          </w:tcPr>
          <w:p w14:paraId="64D3A5F1">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W</w:t>
            </w:r>
          </w:p>
        </w:tc>
        <w:tc>
          <w:tcPr>
            <w:tcW w:w="484" w:type="dxa"/>
            <w:tcBorders>
              <w:top w:val="single" w:color="auto" w:sz="8" w:space="0"/>
              <w:left w:val="nil"/>
              <w:bottom w:val="nil"/>
              <w:right w:val="single" w:color="auto" w:sz="8" w:space="0"/>
            </w:tcBorders>
            <w:noWrap/>
            <w:vAlign w:val="center"/>
          </w:tcPr>
          <w:p w14:paraId="2691F67A">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WNW</w:t>
            </w:r>
          </w:p>
        </w:tc>
        <w:tc>
          <w:tcPr>
            <w:tcW w:w="484" w:type="dxa"/>
            <w:tcBorders>
              <w:top w:val="single" w:color="auto" w:sz="8" w:space="0"/>
              <w:left w:val="nil"/>
              <w:bottom w:val="nil"/>
              <w:right w:val="single" w:color="auto" w:sz="8" w:space="0"/>
            </w:tcBorders>
            <w:noWrap/>
            <w:vAlign w:val="center"/>
          </w:tcPr>
          <w:p w14:paraId="48A97DB0">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NW</w:t>
            </w:r>
          </w:p>
        </w:tc>
        <w:tc>
          <w:tcPr>
            <w:tcW w:w="484" w:type="dxa"/>
            <w:tcBorders>
              <w:top w:val="single" w:color="auto" w:sz="8" w:space="0"/>
              <w:left w:val="nil"/>
              <w:bottom w:val="nil"/>
              <w:right w:val="single" w:color="auto" w:sz="8" w:space="0"/>
            </w:tcBorders>
            <w:noWrap/>
            <w:vAlign w:val="center"/>
          </w:tcPr>
          <w:p w14:paraId="29479AD6">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NNW</w:t>
            </w:r>
          </w:p>
        </w:tc>
        <w:tc>
          <w:tcPr>
            <w:tcW w:w="484" w:type="dxa"/>
            <w:tcBorders>
              <w:top w:val="single" w:color="auto" w:sz="8" w:space="0"/>
              <w:left w:val="nil"/>
              <w:bottom w:val="nil"/>
              <w:right w:val="single" w:color="auto" w:sz="8" w:space="0"/>
            </w:tcBorders>
            <w:noWrap/>
            <w:vAlign w:val="center"/>
          </w:tcPr>
          <w:p w14:paraId="3B0BCBAD">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C</w:t>
            </w:r>
          </w:p>
        </w:tc>
      </w:tr>
      <w:tr w14:paraId="1FB2964A">
        <w:tblPrEx>
          <w:tblCellMar>
            <w:top w:w="0" w:type="dxa"/>
            <w:left w:w="108" w:type="dxa"/>
            <w:bottom w:w="0" w:type="dxa"/>
            <w:right w:w="108" w:type="dxa"/>
          </w:tblCellMar>
        </w:tblPrEx>
        <w:trPr>
          <w:trHeight w:val="207" w:hRule="atLeast"/>
        </w:trPr>
        <w:tc>
          <w:tcPr>
            <w:tcW w:w="750" w:type="dxa"/>
            <w:tcBorders>
              <w:top w:val="nil"/>
              <w:left w:val="single" w:color="auto" w:sz="8" w:space="0"/>
              <w:bottom w:val="single" w:color="auto" w:sz="8" w:space="0"/>
              <w:right w:val="single" w:color="auto" w:sz="8" w:space="0"/>
            </w:tcBorders>
            <w:noWrap/>
            <w:vAlign w:val="center"/>
          </w:tcPr>
          <w:p w14:paraId="3C2AABFF">
            <w:pPr>
              <w:jc w:val="center"/>
              <w:rPr>
                <w:rFonts w:ascii="Times New Roman" w:hAnsi="Times New Roman" w:cs="Times New Roman"/>
                <w:color w:val="auto"/>
                <w:w w:val="99"/>
                <w:sz w:val="18"/>
                <w:szCs w:val="18"/>
                <w:highlight w:val="none"/>
              </w:rPr>
            </w:pPr>
          </w:p>
        </w:tc>
        <w:tc>
          <w:tcPr>
            <w:tcW w:w="484" w:type="dxa"/>
            <w:tcBorders>
              <w:top w:val="single" w:color="auto" w:sz="8" w:space="0"/>
              <w:left w:val="nil"/>
              <w:bottom w:val="nil"/>
              <w:right w:val="single" w:color="auto" w:sz="8" w:space="0"/>
            </w:tcBorders>
            <w:noWrap/>
            <w:vAlign w:val="center"/>
          </w:tcPr>
          <w:p w14:paraId="4C15170C">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北</w:t>
            </w:r>
          </w:p>
        </w:tc>
        <w:tc>
          <w:tcPr>
            <w:tcW w:w="484" w:type="dxa"/>
            <w:tcBorders>
              <w:top w:val="single" w:color="auto" w:sz="8" w:space="0"/>
              <w:left w:val="nil"/>
              <w:bottom w:val="nil"/>
              <w:right w:val="single" w:color="auto" w:sz="8" w:space="0"/>
            </w:tcBorders>
            <w:noWrap/>
            <w:vAlign w:val="center"/>
          </w:tcPr>
          <w:p w14:paraId="60221727">
            <w:pPr>
              <w:jc w:val="center"/>
              <w:rPr>
                <w:rFonts w:ascii="Times New Roman" w:hAnsi="Times New Roman" w:cs="Times New Roman"/>
                <w:color w:val="auto"/>
                <w:w w:val="99"/>
                <w:sz w:val="18"/>
                <w:szCs w:val="18"/>
                <w:highlight w:val="none"/>
              </w:rPr>
            </w:pPr>
          </w:p>
        </w:tc>
        <w:tc>
          <w:tcPr>
            <w:tcW w:w="484" w:type="dxa"/>
            <w:tcBorders>
              <w:top w:val="single" w:color="auto" w:sz="8" w:space="0"/>
              <w:left w:val="nil"/>
              <w:bottom w:val="nil"/>
              <w:right w:val="single" w:color="auto" w:sz="8" w:space="0"/>
            </w:tcBorders>
            <w:noWrap/>
            <w:vAlign w:val="center"/>
          </w:tcPr>
          <w:p w14:paraId="16DF0D4F">
            <w:pPr>
              <w:jc w:val="center"/>
              <w:rPr>
                <w:rFonts w:ascii="Times New Roman" w:hAnsi="Times New Roman" w:cs="Times New Roman"/>
                <w:color w:val="auto"/>
                <w:w w:val="99"/>
                <w:sz w:val="18"/>
                <w:szCs w:val="18"/>
                <w:highlight w:val="none"/>
              </w:rPr>
            </w:pPr>
          </w:p>
        </w:tc>
        <w:tc>
          <w:tcPr>
            <w:tcW w:w="484" w:type="dxa"/>
            <w:tcBorders>
              <w:top w:val="single" w:color="auto" w:sz="8" w:space="0"/>
              <w:left w:val="nil"/>
              <w:bottom w:val="nil"/>
              <w:right w:val="single" w:color="auto" w:sz="8" w:space="0"/>
            </w:tcBorders>
            <w:noWrap/>
            <w:vAlign w:val="center"/>
          </w:tcPr>
          <w:p w14:paraId="060E56E3">
            <w:pPr>
              <w:jc w:val="center"/>
              <w:rPr>
                <w:rFonts w:ascii="Times New Roman" w:hAnsi="Times New Roman" w:cs="Times New Roman"/>
                <w:color w:val="auto"/>
                <w:w w:val="99"/>
                <w:sz w:val="18"/>
                <w:szCs w:val="18"/>
                <w:highlight w:val="none"/>
              </w:rPr>
            </w:pPr>
          </w:p>
        </w:tc>
        <w:tc>
          <w:tcPr>
            <w:tcW w:w="484" w:type="dxa"/>
            <w:tcBorders>
              <w:top w:val="single" w:color="auto" w:sz="8" w:space="0"/>
              <w:left w:val="nil"/>
              <w:bottom w:val="nil"/>
              <w:right w:val="single" w:color="auto" w:sz="8" w:space="0"/>
            </w:tcBorders>
            <w:noWrap/>
            <w:vAlign w:val="center"/>
          </w:tcPr>
          <w:p w14:paraId="6F27E501">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东</w:t>
            </w:r>
          </w:p>
        </w:tc>
        <w:tc>
          <w:tcPr>
            <w:tcW w:w="484" w:type="dxa"/>
            <w:tcBorders>
              <w:top w:val="single" w:color="auto" w:sz="8" w:space="0"/>
              <w:left w:val="nil"/>
              <w:bottom w:val="nil"/>
              <w:right w:val="single" w:color="auto" w:sz="8" w:space="0"/>
            </w:tcBorders>
            <w:noWrap/>
            <w:vAlign w:val="center"/>
          </w:tcPr>
          <w:p w14:paraId="68894D73">
            <w:pPr>
              <w:jc w:val="center"/>
              <w:rPr>
                <w:rFonts w:ascii="Times New Roman" w:hAnsi="Times New Roman" w:cs="Times New Roman"/>
                <w:color w:val="auto"/>
                <w:w w:val="99"/>
                <w:sz w:val="18"/>
                <w:szCs w:val="18"/>
                <w:highlight w:val="none"/>
              </w:rPr>
            </w:pPr>
          </w:p>
        </w:tc>
        <w:tc>
          <w:tcPr>
            <w:tcW w:w="484" w:type="dxa"/>
            <w:tcBorders>
              <w:top w:val="single" w:color="auto" w:sz="8" w:space="0"/>
              <w:left w:val="nil"/>
              <w:bottom w:val="nil"/>
              <w:right w:val="single" w:color="auto" w:sz="8" w:space="0"/>
            </w:tcBorders>
            <w:noWrap/>
            <w:vAlign w:val="center"/>
          </w:tcPr>
          <w:p w14:paraId="766D18CE">
            <w:pPr>
              <w:jc w:val="center"/>
              <w:rPr>
                <w:rFonts w:ascii="Times New Roman" w:hAnsi="Times New Roman" w:cs="Times New Roman"/>
                <w:color w:val="auto"/>
                <w:w w:val="99"/>
                <w:sz w:val="18"/>
                <w:szCs w:val="18"/>
                <w:highlight w:val="none"/>
              </w:rPr>
            </w:pPr>
          </w:p>
        </w:tc>
        <w:tc>
          <w:tcPr>
            <w:tcW w:w="484" w:type="dxa"/>
            <w:tcBorders>
              <w:top w:val="single" w:color="auto" w:sz="8" w:space="0"/>
              <w:left w:val="nil"/>
              <w:bottom w:val="nil"/>
              <w:right w:val="single" w:color="auto" w:sz="8" w:space="0"/>
            </w:tcBorders>
            <w:noWrap/>
            <w:vAlign w:val="center"/>
          </w:tcPr>
          <w:p w14:paraId="525D837B">
            <w:pPr>
              <w:jc w:val="center"/>
              <w:rPr>
                <w:rFonts w:ascii="Times New Roman" w:hAnsi="Times New Roman" w:cs="Times New Roman"/>
                <w:color w:val="auto"/>
                <w:w w:val="99"/>
                <w:sz w:val="18"/>
                <w:szCs w:val="18"/>
                <w:highlight w:val="none"/>
              </w:rPr>
            </w:pPr>
          </w:p>
        </w:tc>
        <w:tc>
          <w:tcPr>
            <w:tcW w:w="484" w:type="dxa"/>
            <w:tcBorders>
              <w:top w:val="single" w:color="auto" w:sz="8" w:space="0"/>
              <w:left w:val="nil"/>
              <w:bottom w:val="nil"/>
              <w:right w:val="single" w:color="auto" w:sz="8" w:space="0"/>
            </w:tcBorders>
            <w:noWrap/>
            <w:vAlign w:val="center"/>
          </w:tcPr>
          <w:p w14:paraId="6889EE35">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南</w:t>
            </w:r>
          </w:p>
        </w:tc>
        <w:tc>
          <w:tcPr>
            <w:tcW w:w="484" w:type="dxa"/>
            <w:tcBorders>
              <w:top w:val="single" w:color="auto" w:sz="8" w:space="0"/>
              <w:left w:val="nil"/>
              <w:bottom w:val="nil"/>
              <w:right w:val="single" w:color="auto" w:sz="8" w:space="0"/>
            </w:tcBorders>
            <w:noWrap/>
            <w:vAlign w:val="center"/>
          </w:tcPr>
          <w:p w14:paraId="0E845002">
            <w:pPr>
              <w:jc w:val="center"/>
              <w:rPr>
                <w:rFonts w:ascii="Times New Roman" w:hAnsi="Times New Roman" w:cs="Times New Roman"/>
                <w:color w:val="auto"/>
                <w:w w:val="99"/>
                <w:sz w:val="18"/>
                <w:szCs w:val="18"/>
                <w:highlight w:val="none"/>
              </w:rPr>
            </w:pPr>
          </w:p>
        </w:tc>
        <w:tc>
          <w:tcPr>
            <w:tcW w:w="484" w:type="dxa"/>
            <w:tcBorders>
              <w:top w:val="single" w:color="auto" w:sz="8" w:space="0"/>
              <w:left w:val="nil"/>
              <w:bottom w:val="nil"/>
              <w:right w:val="single" w:color="auto" w:sz="8" w:space="0"/>
            </w:tcBorders>
            <w:noWrap/>
            <w:vAlign w:val="center"/>
          </w:tcPr>
          <w:p w14:paraId="04FE0DA9">
            <w:pPr>
              <w:jc w:val="center"/>
              <w:rPr>
                <w:rFonts w:ascii="Times New Roman" w:hAnsi="Times New Roman" w:cs="Times New Roman"/>
                <w:color w:val="auto"/>
                <w:w w:val="99"/>
                <w:sz w:val="18"/>
                <w:szCs w:val="18"/>
                <w:highlight w:val="none"/>
              </w:rPr>
            </w:pPr>
          </w:p>
        </w:tc>
        <w:tc>
          <w:tcPr>
            <w:tcW w:w="484" w:type="dxa"/>
            <w:tcBorders>
              <w:top w:val="single" w:color="auto" w:sz="8" w:space="0"/>
              <w:left w:val="nil"/>
              <w:bottom w:val="nil"/>
              <w:right w:val="single" w:color="auto" w:sz="8" w:space="0"/>
            </w:tcBorders>
            <w:noWrap/>
            <w:vAlign w:val="center"/>
          </w:tcPr>
          <w:p w14:paraId="215EB0F6">
            <w:pPr>
              <w:jc w:val="center"/>
              <w:rPr>
                <w:rFonts w:ascii="Times New Roman" w:hAnsi="Times New Roman" w:cs="Times New Roman"/>
                <w:color w:val="auto"/>
                <w:w w:val="99"/>
                <w:sz w:val="18"/>
                <w:szCs w:val="18"/>
                <w:highlight w:val="none"/>
              </w:rPr>
            </w:pPr>
          </w:p>
        </w:tc>
        <w:tc>
          <w:tcPr>
            <w:tcW w:w="484" w:type="dxa"/>
            <w:tcBorders>
              <w:top w:val="single" w:color="auto" w:sz="8" w:space="0"/>
              <w:left w:val="nil"/>
              <w:bottom w:val="nil"/>
              <w:right w:val="single" w:color="auto" w:sz="8" w:space="0"/>
            </w:tcBorders>
            <w:noWrap/>
            <w:vAlign w:val="center"/>
          </w:tcPr>
          <w:p w14:paraId="48B7996B">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西</w:t>
            </w:r>
          </w:p>
        </w:tc>
        <w:tc>
          <w:tcPr>
            <w:tcW w:w="484" w:type="dxa"/>
            <w:tcBorders>
              <w:top w:val="single" w:color="auto" w:sz="8" w:space="0"/>
              <w:left w:val="nil"/>
              <w:bottom w:val="nil"/>
              <w:right w:val="single" w:color="auto" w:sz="8" w:space="0"/>
            </w:tcBorders>
            <w:noWrap/>
            <w:vAlign w:val="center"/>
          </w:tcPr>
          <w:p w14:paraId="468585B9">
            <w:pPr>
              <w:jc w:val="center"/>
              <w:rPr>
                <w:rFonts w:ascii="Times New Roman" w:hAnsi="Times New Roman" w:cs="Times New Roman"/>
                <w:color w:val="auto"/>
                <w:w w:val="99"/>
                <w:sz w:val="18"/>
                <w:szCs w:val="18"/>
                <w:highlight w:val="none"/>
              </w:rPr>
            </w:pPr>
          </w:p>
        </w:tc>
        <w:tc>
          <w:tcPr>
            <w:tcW w:w="484" w:type="dxa"/>
            <w:tcBorders>
              <w:top w:val="single" w:color="auto" w:sz="8" w:space="0"/>
              <w:left w:val="nil"/>
              <w:bottom w:val="nil"/>
              <w:right w:val="single" w:color="auto" w:sz="8" w:space="0"/>
            </w:tcBorders>
            <w:noWrap/>
            <w:vAlign w:val="center"/>
          </w:tcPr>
          <w:p w14:paraId="0B67DA9C">
            <w:pPr>
              <w:jc w:val="center"/>
              <w:rPr>
                <w:rFonts w:ascii="Times New Roman" w:hAnsi="Times New Roman" w:cs="Times New Roman"/>
                <w:color w:val="auto"/>
                <w:w w:val="99"/>
                <w:sz w:val="18"/>
                <w:szCs w:val="18"/>
                <w:highlight w:val="none"/>
              </w:rPr>
            </w:pPr>
          </w:p>
        </w:tc>
        <w:tc>
          <w:tcPr>
            <w:tcW w:w="484" w:type="dxa"/>
            <w:tcBorders>
              <w:top w:val="single" w:color="auto" w:sz="8" w:space="0"/>
              <w:left w:val="nil"/>
              <w:bottom w:val="nil"/>
              <w:right w:val="single" w:color="auto" w:sz="8" w:space="0"/>
            </w:tcBorders>
            <w:noWrap/>
            <w:vAlign w:val="center"/>
          </w:tcPr>
          <w:p w14:paraId="2A3A4254">
            <w:pPr>
              <w:jc w:val="center"/>
              <w:rPr>
                <w:rFonts w:ascii="Times New Roman" w:hAnsi="Times New Roman" w:cs="Times New Roman"/>
                <w:color w:val="auto"/>
                <w:w w:val="99"/>
                <w:sz w:val="18"/>
                <w:szCs w:val="18"/>
                <w:highlight w:val="none"/>
              </w:rPr>
            </w:pPr>
          </w:p>
        </w:tc>
        <w:tc>
          <w:tcPr>
            <w:tcW w:w="484" w:type="dxa"/>
            <w:tcBorders>
              <w:top w:val="single" w:color="auto" w:sz="8" w:space="0"/>
              <w:left w:val="nil"/>
              <w:bottom w:val="nil"/>
              <w:right w:val="single" w:color="auto" w:sz="8" w:space="0"/>
            </w:tcBorders>
            <w:noWrap/>
            <w:vAlign w:val="center"/>
          </w:tcPr>
          <w:p w14:paraId="180F5813">
            <w:pPr>
              <w:jc w:val="center"/>
              <w:rPr>
                <w:rFonts w:ascii="Times New Roman" w:hAnsi="Times New Roman" w:cs="Times New Roman"/>
                <w:color w:val="auto"/>
                <w:w w:val="99"/>
                <w:sz w:val="18"/>
                <w:szCs w:val="18"/>
                <w:highlight w:val="none"/>
              </w:rPr>
            </w:pPr>
          </w:p>
        </w:tc>
      </w:tr>
      <w:tr w14:paraId="3EFF9948">
        <w:tblPrEx>
          <w:tblCellMar>
            <w:top w:w="0" w:type="dxa"/>
            <w:left w:w="108" w:type="dxa"/>
            <w:bottom w:w="0" w:type="dxa"/>
            <w:right w:w="108" w:type="dxa"/>
          </w:tblCellMar>
        </w:tblPrEx>
        <w:trPr>
          <w:trHeight w:val="185" w:hRule="atLeast"/>
        </w:trPr>
        <w:tc>
          <w:tcPr>
            <w:tcW w:w="750" w:type="dxa"/>
            <w:tcBorders>
              <w:top w:val="nil"/>
              <w:left w:val="single" w:color="auto" w:sz="8" w:space="0"/>
              <w:bottom w:val="single" w:color="auto" w:sz="8" w:space="0"/>
              <w:right w:val="single" w:color="auto" w:sz="8" w:space="0"/>
            </w:tcBorders>
            <w:noWrap/>
            <w:vAlign w:val="center"/>
          </w:tcPr>
          <w:p w14:paraId="213C5001">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春季</w:t>
            </w:r>
          </w:p>
        </w:tc>
        <w:tc>
          <w:tcPr>
            <w:tcW w:w="484" w:type="dxa"/>
            <w:tcBorders>
              <w:top w:val="single" w:color="auto" w:sz="8" w:space="0"/>
              <w:left w:val="nil"/>
              <w:bottom w:val="single" w:color="auto" w:sz="8" w:space="0"/>
              <w:right w:val="single" w:color="auto" w:sz="8" w:space="0"/>
            </w:tcBorders>
            <w:noWrap/>
            <w:vAlign w:val="center"/>
          </w:tcPr>
          <w:p w14:paraId="21D5F5E8">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5.1</w:t>
            </w:r>
          </w:p>
        </w:tc>
        <w:tc>
          <w:tcPr>
            <w:tcW w:w="484" w:type="dxa"/>
            <w:tcBorders>
              <w:top w:val="single" w:color="auto" w:sz="8" w:space="0"/>
              <w:left w:val="nil"/>
              <w:bottom w:val="single" w:color="auto" w:sz="8" w:space="0"/>
              <w:right w:val="single" w:color="auto" w:sz="8" w:space="0"/>
            </w:tcBorders>
            <w:noWrap/>
            <w:vAlign w:val="center"/>
          </w:tcPr>
          <w:p w14:paraId="284779F5">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3.8</w:t>
            </w:r>
          </w:p>
        </w:tc>
        <w:tc>
          <w:tcPr>
            <w:tcW w:w="484" w:type="dxa"/>
            <w:tcBorders>
              <w:top w:val="single" w:color="auto" w:sz="8" w:space="0"/>
              <w:left w:val="nil"/>
              <w:bottom w:val="single" w:color="auto" w:sz="8" w:space="0"/>
              <w:right w:val="single" w:color="auto" w:sz="8" w:space="0"/>
            </w:tcBorders>
            <w:noWrap/>
            <w:vAlign w:val="center"/>
          </w:tcPr>
          <w:p w14:paraId="591E7A14">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2.3</w:t>
            </w:r>
          </w:p>
        </w:tc>
        <w:tc>
          <w:tcPr>
            <w:tcW w:w="484" w:type="dxa"/>
            <w:tcBorders>
              <w:top w:val="single" w:color="auto" w:sz="8" w:space="0"/>
              <w:left w:val="nil"/>
              <w:bottom w:val="single" w:color="auto" w:sz="8" w:space="0"/>
              <w:right w:val="single" w:color="auto" w:sz="8" w:space="0"/>
            </w:tcBorders>
            <w:noWrap/>
            <w:vAlign w:val="center"/>
          </w:tcPr>
          <w:p w14:paraId="013E3573">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1.6</w:t>
            </w:r>
          </w:p>
        </w:tc>
        <w:tc>
          <w:tcPr>
            <w:tcW w:w="484" w:type="dxa"/>
            <w:tcBorders>
              <w:top w:val="single" w:color="auto" w:sz="8" w:space="0"/>
              <w:left w:val="nil"/>
              <w:bottom w:val="single" w:color="auto" w:sz="8" w:space="0"/>
              <w:right w:val="single" w:color="auto" w:sz="8" w:space="0"/>
            </w:tcBorders>
            <w:noWrap/>
            <w:vAlign w:val="center"/>
          </w:tcPr>
          <w:p w14:paraId="4A952AA2">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2.4</w:t>
            </w:r>
          </w:p>
        </w:tc>
        <w:tc>
          <w:tcPr>
            <w:tcW w:w="484" w:type="dxa"/>
            <w:tcBorders>
              <w:top w:val="single" w:color="auto" w:sz="8" w:space="0"/>
              <w:left w:val="nil"/>
              <w:bottom w:val="single" w:color="auto" w:sz="8" w:space="0"/>
              <w:right w:val="single" w:color="auto" w:sz="8" w:space="0"/>
            </w:tcBorders>
            <w:noWrap/>
            <w:vAlign w:val="center"/>
          </w:tcPr>
          <w:p w14:paraId="579168FC">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3.1</w:t>
            </w:r>
          </w:p>
        </w:tc>
        <w:tc>
          <w:tcPr>
            <w:tcW w:w="484" w:type="dxa"/>
            <w:tcBorders>
              <w:top w:val="single" w:color="auto" w:sz="8" w:space="0"/>
              <w:left w:val="nil"/>
              <w:bottom w:val="single" w:color="auto" w:sz="8" w:space="0"/>
              <w:right w:val="single" w:color="auto" w:sz="8" w:space="0"/>
            </w:tcBorders>
            <w:noWrap/>
            <w:vAlign w:val="center"/>
          </w:tcPr>
          <w:p w14:paraId="00757294">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2.9</w:t>
            </w:r>
          </w:p>
        </w:tc>
        <w:tc>
          <w:tcPr>
            <w:tcW w:w="484" w:type="dxa"/>
            <w:tcBorders>
              <w:top w:val="single" w:color="auto" w:sz="8" w:space="0"/>
              <w:left w:val="nil"/>
              <w:bottom w:val="single" w:color="auto" w:sz="8" w:space="0"/>
              <w:right w:val="single" w:color="auto" w:sz="8" w:space="0"/>
            </w:tcBorders>
            <w:noWrap/>
            <w:vAlign w:val="center"/>
          </w:tcPr>
          <w:p w14:paraId="34B941E0">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6.9</w:t>
            </w:r>
          </w:p>
        </w:tc>
        <w:tc>
          <w:tcPr>
            <w:tcW w:w="484" w:type="dxa"/>
            <w:tcBorders>
              <w:top w:val="single" w:color="auto" w:sz="8" w:space="0"/>
              <w:left w:val="nil"/>
              <w:bottom w:val="single" w:color="auto" w:sz="8" w:space="0"/>
              <w:right w:val="single" w:color="auto" w:sz="8" w:space="0"/>
            </w:tcBorders>
            <w:noWrap/>
            <w:vAlign w:val="center"/>
          </w:tcPr>
          <w:p w14:paraId="42210B5D">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13.3</w:t>
            </w:r>
          </w:p>
        </w:tc>
        <w:tc>
          <w:tcPr>
            <w:tcW w:w="484" w:type="dxa"/>
            <w:tcBorders>
              <w:top w:val="single" w:color="auto" w:sz="8" w:space="0"/>
              <w:left w:val="nil"/>
              <w:bottom w:val="single" w:color="auto" w:sz="8" w:space="0"/>
              <w:right w:val="single" w:color="auto" w:sz="8" w:space="0"/>
            </w:tcBorders>
            <w:noWrap/>
            <w:vAlign w:val="center"/>
          </w:tcPr>
          <w:p w14:paraId="08BDBDBA">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13.4</w:t>
            </w:r>
          </w:p>
        </w:tc>
        <w:tc>
          <w:tcPr>
            <w:tcW w:w="484" w:type="dxa"/>
            <w:tcBorders>
              <w:top w:val="single" w:color="auto" w:sz="8" w:space="0"/>
              <w:left w:val="nil"/>
              <w:bottom w:val="single" w:color="auto" w:sz="8" w:space="0"/>
              <w:right w:val="single" w:color="auto" w:sz="8" w:space="0"/>
            </w:tcBorders>
            <w:noWrap/>
            <w:vAlign w:val="center"/>
          </w:tcPr>
          <w:p w14:paraId="72243693">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6.7</w:t>
            </w:r>
          </w:p>
        </w:tc>
        <w:tc>
          <w:tcPr>
            <w:tcW w:w="484" w:type="dxa"/>
            <w:tcBorders>
              <w:top w:val="single" w:color="auto" w:sz="8" w:space="0"/>
              <w:left w:val="nil"/>
              <w:bottom w:val="single" w:color="auto" w:sz="8" w:space="0"/>
              <w:right w:val="single" w:color="auto" w:sz="8" w:space="0"/>
            </w:tcBorders>
            <w:noWrap/>
            <w:vAlign w:val="center"/>
          </w:tcPr>
          <w:p w14:paraId="724E9378">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5.9</w:t>
            </w:r>
          </w:p>
        </w:tc>
        <w:tc>
          <w:tcPr>
            <w:tcW w:w="484" w:type="dxa"/>
            <w:tcBorders>
              <w:top w:val="single" w:color="auto" w:sz="8" w:space="0"/>
              <w:left w:val="nil"/>
              <w:bottom w:val="single" w:color="auto" w:sz="8" w:space="0"/>
              <w:right w:val="single" w:color="auto" w:sz="8" w:space="0"/>
            </w:tcBorders>
            <w:noWrap/>
            <w:vAlign w:val="center"/>
          </w:tcPr>
          <w:p w14:paraId="4B7C5C5A">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5.0</w:t>
            </w:r>
          </w:p>
        </w:tc>
        <w:tc>
          <w:tcPr>
            <w:tcW w:w="484" w:type="dxa"/>
            <w:tcBorders>
              <w:top w:val="single" w:color="auto" w:sz="8" w:space="0"/>
              <w:left w:val="nil"/>
              <w:bottom w:val="single" w:color="auto" w:sz="8" w:space="0"/>
              <w:right w:val="single" w:color="auto" w:sz="8" w:space="0"/>
            </w:tcBorders>
            <w:noWrap/>
            <w:vAlign w:val="center"/>
          </w:tcPr>
          <w:p w14:paraId="7CEFC8FA">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10.1</w:t>
            </w:r>
          </w:p>
        </w:tc>
        <w:tc>
          <w:tcPr>
            <w:tcW w:w="484" w:type="dxa"/>
            <w:tcBorders>
              <w:top w:val="single" w:color="auto" w:sz="8" w:space="0"/>
              <w:left w:val="nil"/>
              <w:bottom w:val="single" w:color="auto" w:sz="8" w:space="0"/>
              <w:right w:val="single" w:color="auto" w:sz="8" w:space="0"/>
            </w:tcBorders>
            <w:noWrap/>
            <w:vAlign w:val="center"/>
          </w:tcPr>
          <w:p w14:paraId="15FE0852">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11.0</w:t>
            </w:r>
          </w:p>
        </w:tc>
        <w:tc>
          <w:tcPr>
            <w:tcW w:w="484" w:type="dxa"/>
            <w:tcBorders>
              <w:top w:val="single" w:color="auto" w:sz="8" w:space="0"/>
              <w:left w:val="nil"/>
              <w:bottom w:val="single" w:color="auto" w:sz="8" w:space="0"/>
              <w:right w:val="single" w:color="auto" w:sz="8" w:space="0"/>
            </w:tcBorders>
            <w:noWrap/>
            <w:vAlign w:val="center"/>
          </w:tcPr>
          <w:p w14:paraId="4D920209">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4.9</w:t>
            </w:r>
          </w:p>
        </w:tc>
        <w:tc>
          <w:tcPr>
            <w:tcW w:w="484" w:type="dxa"/>
            <w:tcBorders>
              <w:top w:val="single" w:color="auto" w:sz="8" w:space="0"/>
              <w:left w:val="nil"/>
              <w:bottom w:val="single" w:color="auto" w:sz="8" w:space="0"/>
              <w:right w:val="single" w:color="auto" w:sz="8" w:space="0"/>
            </w:tcBorders>
            <w:noWrap/>
            <w:vAlign w:val="center"/>
          </w:tcPr>
          <w:p w14:paraId="756501B6">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1.7</w:t>
            </w:r>
          </w:p>
        </w:tc>
      </w:tr>
      <w:tr w14:paraId="55722458">
        <w:tblPrEx>
          <w:tblCellMar>
            <w:top w:w="0" w:type="dxa"/>
            <w:left w:w="108" w:type="dxa"/>
            <w:bottom w:w="0" w:type="dxa"/>
            <w:right w:w="108" w:type="dxa"/>
          </w:tblCellMar>
        </w:tblPrEx>
        <w:trPr>
          <w:trHeight w:val="185" w:hRule="atLeast"/>
        </w:trPr>
        <w:tc>
          <w:tcPr>
            <w:tcW w:w="750" w:type="dxa"/>
            <w:tcBorders>
              <w:top w:val="nil"/>
              <w:left w:val="single" w:color="auto" w:sz="8" w:space="0"/>
              <w:bottom w:val="single" w:color="auto" w:sz="8" w:space="0"/>
              <w:right w:val="single" w:color="auto" w:sz="8" w:space="0"/>
            </w:tcBorders>
            <w:noWrap/>
            <w:vAlign w:val="center"/>
          </w:tcPr>
          <w:p w14:paraId="6EA823DD">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夏季</w:t>
            </w:r>
          </w:p>
        </w:tc>
        <w:tc>
          <w:tcPr>
            <w:tcW w:w="484" w:type="dxa"/>
            <w:tcBorders>
              <w:top w:val="nil"/>
              <w:left w:val="nil"/>
              <w:bottom w:val="single" w:color="auto" w:sz="8" w:space="0"/>
              <w:right w:val="single" w:color="auto" w:sz="8" w:space="0"/>
            </w:tcBorders>
            <w:noWrap/>
            <w:vAlign w:val="center"/>
          </w:tcPr>
          <w:p w14:paraId="4374C4C7">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7.0</w:t>
            </w:r>
          </w:p>
        </w:tc>
        <w:tc>
          <w:tcPr>
            <w:tcW w:w="484" w:type="dxa"/>
            <w:tcBorders>
              <w:top w:val="nil"/>
              <w:left w:val="nil"/>
              <w:bottom w:val="single" w:color="auto" w:sz="8" w:space="0"/>
              <w:right w:val="single" w:color="auto" w:sz="8" w:space="0"/>
            </w:tcBorders>
            <w:noWrap/>
            <w:vAlign w:val="center"/>
          </w:tcPr>
          <w:p w14:paraId="71ADEAEB">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7.2</w:t>
            </w:r>
          </w:p>
        </w:tc>
        <w:tc>
          <w:tcPr>
            <w:tcW w:w="484" w:type="dxa"/>
            <w:tcBorders>
              <w:top w:val="nil"/>
              <w:left w:val="nil"/>
              <w:bottom w:val="single" w:color="auto" w:sz="8" w:space="0"/>
              <w:right w:val="single" w:color="auto" w:sz="8" w:space="0"/>
            </w:tcBorders>
            <w:noWrap/>
            <w:vAlign w:val="center"/>
          </w:tcPr>
          <w:p w14:paraId="381A3767">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7.8</w:t>
            </w:r>
          </w:p>
        </w:tc>
        <w:tc>
          <w:tcPr>
            <w:tcW w:w="484" w:type="dxa"/>
            <w:tcBorders>
              <w:top w:val="nil"/>
              <w:left w:val="nil"/>
              <w:bottom w:val="single" w:color="auto" w:sz="8" w:space="0"/>
              <w:right w:val="single" w:color="auto" w:sz="8" w:space="0"/>
            </w:tcBorders>
            <w:noWrap/>
            <w:vAlign w:val="center"/>
          </w:tcPr>
          <w:p w14:paraId="60CC31F9">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6.3</w:t>
            </w:r>
          </w:p>
        </w:tc>
        <w:tc>
          <w:tcPr>
            <w:tcW w:w="484" w:type="dxa"/>
            <w:tcBorders>
              <w:top w:val="nil"/>
              <w:left w:val="nil"/>
              <w:bottom w:val="single" w:color="auto" w:sz="8" w:space="0"/>
              <w:right w:val="single" w:color="auto" w:sz="8" w:space="0"/>
            </w:tcBorders>
            <w:noWrap/>
            <w:vAlign w:val="center"/>
          </w:tcPr>
          <w:p w14:paraId="14A60935">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5.9</w:t>
            </w:r>
          </w:p>
        </w:tc>
        <w:tc>
          <w:tcPr>
            <w:tcW w:w="484" w:type="dxa"/>
            <w:tcBorders>
              <w:top w:val="nil"/>
              <w:left w:val="nil"/>
              <w:bottom w:val="single" w:color="auto" w:sz="8" w:space="0"/>
              <w:right w:val="single" w:color="auto" w:sz="8" w:space="0"/>
            </w:tcBorders>
            <w:noWrap/>
            <w:vAlign w:val="center"/>
          </w:tcPr>
          <w:p w14:paraId="40BBF15F">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5.8</w:t>
            </w:r>
          </w:p>
        </w:tc>
        <w:tc>
          <w:tcPr>
            <w:tcW w:w="484" w:type="dxa"/>
            <w:tcBorders>
              <w:top w:val="nil"/>
              <w:left w:val="nil"/>
              <w:bottom w:val="single" w:color="auto" w:sz="8" w:space="0"/>
              <w:right w:val="single" w:color="auto" w:sz="8" w:space="0"/>
            </w:tcBorders>
            <w:noWrap/>
            <w:vAlign w:val="center"/>
          </w:tcPr>
          <w:p w14:paraId="0527AF6B">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6.5</w:t>
            </w:r>
          </w:p>
        </w:tc>
        <w:tc>
          <w:tcPr>
            <w:tcW w:w="484" w:type="dxa"/>
            <w:tcBorders>
              <w:top w:val="nil"/>
              <w:left w:val="nil"/>
              <w:bottom w:val="single" w:color="auto" w:sz="8" w:space="0"/>
              <w:right w:val="single" w:color="auto" w:sz="8" w:space="0"/>
            </w:tcBorders>
            <w:noWrap/>
            <w:vAlign w:val="center"/>
          </w:tcPr>
          <w:p w14:paraId="5E81508B">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4.1</w:t>
            </w:r>
          </w:p>
        </w:tc>
        <w:tc>
          <w:tcPr>
            <w:tcW w:w="484" w:type="dxa"/>
            <w:tcBorders>
              <w:top w:val="nil"/>
              <w:left w:val="nil"/>
              <w:bottom w:val="single" w:color="auto" w:sz="8" w:space="0"/>
              <w:right w:val="single" w:color="auto" w:sz="8" w:space="0"/>
            </w:tcBorders>
            <w:noWrap/>
            <w:vAlign w:val="center"/>
          </w:tcPr>
          <w:p w14:paraId="21FBD8F0">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5.6</w:t>
            </w:r>
          </w:p>
        </w:tc>
        <w:tc>
          <w:tcPr>
            <w:tcW w:w="484" w:type="dxa"/>
            <w:tcBorders>
              <w:top w:val="nil"/>
              <w:left w:val="nil"/>
              <w:bottom w:val="single" w:color="auto" w:sz="8" w:space="0"/>
              <w:right w:val="single" w:color="auto" w:sz="8" w:space="0"/>
            </w:tcBorders>
            <w:noWrap/>
            <w:vAlign w:val="center"/>
          </w:tcPr>
          <w:p w14:paraId="55BE2D01">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6.9</w:t>
            </w:r>
          </w:p>
        </w:tc>
        <w:tc>
          <w:tcPr>
            <w:tcW w:w="484" w:type="dxa"/>
            <w:tcBorders>
              <w:top w:val="nil"/>
              <w:left w:val="nil"/>
              <w:bottom w:val="single" w:color="auto" w:sz="8" w:space="0"/>
              <w:right w:val="single" w:color="auto" w:sz="8" w:space="0"/>
            </w:tcBorders>
            <w:noWrap/>
            <w:vAlign w:val="center"/>
          </w:tcPr>
          <w:p w14:paraId="7BD15394">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10.1</w:t>
            </w:r>
          </w:p>
        </w:tc>
        <w:tc>
          <w:tcPr>
            <w:tcW w:w="484" w:type="dxa"/>
            <w:tcBorders>
              <w:top w:val="nil"/>
              <w:left w:val="nil"/>
              <w:bottom w:val="single" w:color="auto" w:sz="8" w:space="0"/>
              <w:right w:val="single" w:color="auto" w:sz="8" w:space="0"/>
            </w:tcBorders>
            <w:noWrap/>
            <w:vAlign w:val="center"/>
          </w:tcPr>
          <w:p w14:paraId="28805B43">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6.7</w:t>
            </w:r>
          </w:p>
        </w:tc>
        <w:tc>
          <w:tcPr>
            <w:tcW w:w="484" w:type="dxa"/>
            <w:tcBorders>
              <w:top w:val="nil"/>
              <w:left w:val="nil"/>
              <w:bottom w:val="single" w:color="auto" w:sz="8" w:space="0"/>
              <w:right w:val="single" w:color="auto" w:sz="8" w:space="0"/>
            </w:tcBorders>
            <w:noWrap/>
            <w:vAlign w:val="center"/>
          </w:tcPr>
          <w:p w14:paraId="5F39F4FA">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5.5</w:t>
            </w:r>
          </w:p>
        </w:tc>
        <w:tc>
          <w:tcPr>
            <w:tcW w:w="484" w:type="dxa"/>
            <w:tcBorders>
              <w:top w:val="nil"/>
              <w:left w:val="nil"/>
              <w:bottom w:val="single" w:color="auto" w:sz="8" w:space="0"/>
              <w:right w:val="single" w:color="auto" w:sz="8" w:space="0"/>
            </w:tcBorders>
            <w:noWrap/>
            <w:vAlign w:val="center"/>
          </w:tcPr>
          <w:p w14:paraId="4D77FA47">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4.1</w:t>
            </w:r>
          </w:p>
        </w:tc>
        <w:tc>
          <w:tcPr>
            <w:tcW w:w="484" w:type="dxa"/>
            <w:tcBorders>
              <w:top w:val="nil"/>
              <w:left w:val="nil"/>
              <w:bottom w:val="single" w:color="auto" w:sz="8" w:space="0"/>
              <w:right w:val="single" w:color="auto" w:sz="8" w:space="0"/>
            </w:tcBorders>
            <w:noWrap/>
            <w:vAlign w:val="center"/>
          </w:tcPr>
          <w:p w14:paraId="0EC95F5F">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4.0</w:t>
            </w:r>
          </w:p>
        </w:tc>
        <w:tc>
          <w:tcPr>
            <w:tcW w:w="484" w:type="dxa"/>
            <w:tcBorders>
              <w:top w:val="nil"/>
              <w:left w:val="nil"/>
              <w:bottom w:val="single" w:color="auto" w:sz="8" w:space="0"/>
              <w:right w:val="single" w:color="auto" w:sz="8" w:space="0"/>
            </w:tcBorders>
            <w:noWrap/>
            <w:vAlign w:val="center"/>
          </w:tcPr>
          <w:p w14:paraId="5E5C705D">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4.7</w:t>
            </w:r>
          </w:p>
        </w:tc>
        <w:tc>
          <w:tcPr>
            <w:tcW w:w="484" w:type="dxa"/>
            <w:tcBorders>
              <w:top w:val="nil"/>
              <w:left w:val="nil"/>
              <w:bottom w:val="single" w:color="auto" w:sz="8" w:space="0"/>
              <w:right w:val="single" w:color="auto" w:sz="8" w:space="0"/>
            </w:tcBorders>
            <w:noWrap/>
            <w:vAlign w:val="center"/>
          </w:tcPr>
          <w:p w14:paraId="1B4F8A1C">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1.8</w:t>
            </w:r>
          </w:p>
        </w:tc>
      </w:tr>
      <w:tr w14:paraId="7F7FED46">
        <w:tblPrEx>
          <w:tblCellMar>
            <w:top w:w="0" w:type="dxa"/>
            <w:left w:w="108" w:type="dxa"/>
            <w:bottom w:w="0" w:type="dxa"/>
            <w:right w:w="108" w:type="dxa"/>
          </w:tblCellMar>
        </w:tblPrEx>
        <w:trPr>
          <w:trHeight w:val="185" w:hRule="atLeast"/>
        </w:trPr>
        <w:tc>
          <w:tcPr>
            <w:tcW w:w="750" w:type="dxa"/>
            <w:tcBorders>
              <w:top w:val="nil"/>
              <w:left w:val="single" w:color="auto" w:sz="8" w:space="0"/>
              <w:bottom w:val="single" w:color="auto" w:sz="8" w:space="0"/>
              <w:right w:val="single" w:color="auto" w:sz="8" w:space="0"/>
            </w:tcBorders>
            <w:noWrap/>
            <w:vAlign w:val="center"/>
          </w:tcPr>
          <w:p w14:paraId="16E92B73">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秋季</w:t>
            </w:r>
          </w:p>
        </w:tc>
        <w:tc>
          <w:tcPr>
            <w:tcW w:w="484" w:type="dxa"/>
            <w:tcBorders>
              <w:top w:val="nil"/>
              <w:left w:val="nil"/>
              <w:bottom w:val="single" w:color="auto" w:sz="8" w:space="0"/>
              <w:right w:val="single" w:color="auto" w:sz="8" w:space="0"/>
            </w:tcBorders>
            <w:noWrap/>
            <w:vAlign w:val="center"/>
          </w:tcPr>
          <w:p w14:paraId="0A348856">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8.7</w:t>
            </w:r>
          </w:p>
        </w:tc>
        <w:tc>
          <w:tcPr>
            <w:tcW w:w="484" w:type="dxa"/>
            <w:tcBorders>
              <w:top w:val="nil"/>
              <w:left w:val="nil"/>
              <w:bottom w:val="single" w:color="auto" w:sz="8" w:space="0"/>
              <w:right w:val="single" w:color="auto" w:sz="8" w:space="0"/>
            </w:tcBorders>
            <w:noWrap/>
            <w:vAlign w:val="center"/>
          </w:tcPr>
          <w:p w14:paraId="1C5F0F81">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5.3</w:t>
            </w:r>
          </w:p>
        </w:tc>
        <w:tc>
          <w:tcPr>
            <w:tcW w:w="484" w:type="dxa"/>
            <w:tcBorders>
              <w:top w:val="nil"/>
              <w:left w:val="nil"/>
              <w:bottom w:val="single" w:color="auto" w:sz="8" w:space="0"/>
              <w:right w:val="single" w:color="auto" w:sz="8" w:space="0"/>
            </w:tcBorders>
            <w:noWrap/>
            <w:vAlign w:val="center"/>
          </w:tcPr>
          <w:p w14:paraId="05E28D8D">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4.1</w:t>
            </w:r>
          </w:p>
        </w:tc>
        <w:tc>
          <w:tcPr>
            <w:tcW w:w="484" w:type="dxa"/>
            <w:tcBorders>
              <w:top w:val="nil"/>
              <w:left w:val="nil"/>
              <w:bottom w:val="single" w:color="auto" w:sz="8" w:space="0"/>
              <w:right w:val="single" w:color="auto" w:sz="8" w:space="0"/>
            </w:tcBorders>
            <w:noWrap/>
            <w:vAlign w:val="center"/>
          </w:tcPr>
          <w:p w14:paraId="5F5D0AD9">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2.2</w:t>
            </w:r>
          </w:p>
        </w:tc>
        <w:tc>
          <w:tcPr>
            <w:tcW w:w="484" w:type="dxa"/>
            <w:tcBorders>
              <w:top w:val="nil"/>
              <w:left w:val="nil"/>
              <w:bottom w:val="single" w:color="auto" w:sz="8" w:space="0"/>
              <w:right w:val="single" w:color="auto" w:sz="8" w:space="0"/>
            </w:tcBorders>
            <w:noWrap/>
            <w:vAlign w:val="center"/>
          </w:tcPr>
          <w:p w14:paraId="0F76229E">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1.6</w:t>
            </w:r>
          </w:p>
        </w:tc>
        <w:tc>
          <w:tcPr>
            <w:tcW w:w="484" w:type="dxa"/>
            <w:tcBorders>
              <w:top w:val="nil"/>
              <w:left w:val="nil"/>
              <w:bottom w:val="single" w:color="auto" w:sz="8" w:space="0"/>
              <w:right w:val="single" w:color="auto" w:sz="8" w:space="0"/>
            </w:tcBorders>
            <w:noWrap/>
            <w:vAlign w:val="center"/>
          </w:tcPr>
          <w:p w14:paraId="421ABD92">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1.1</w:t>
            </w:r>
          </w:p>
        </w:tc>
        <w:tc>
          <w:tcPr>
            <w:tcW w:w="484" w:type="dxa"/>
            <w:tcBorders>
              <w:top w:val="nil"/>
              <w:left w:val="nil"/>
              <w:bottom w:val="single" w:color="auto" w:sz="8" w:space="0"/>
              <w:right w:val="single" w:color="auto" w:sz="8" w:space="0"/>
            </w:tcBorders>
            <w:noWrap/>
            <w:vAlign w:val="center"/>
          </w:tcPr>
          <w:p w14:paraId="16E77065">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1.4</w:t>
            </w:r>
          </w:p>
        </w:tc>
        <w:tc>
          <w:tcPr>
            <w:tcW w:w="484" w:type="dxa"/>
            <w:tcBorders>
              <w:top w:val="nil"/>
              <w:left w:val="nil"/>
              <w:bottom w:val="single" w:color="auto" w:sz="8" w:space="0"/>
              <w:right w:val="single" w:color="auto" w:sz="8" w:space="0"/>
            </w:tcBorders>
            <w:noWrap/>
            <w:vAlign w:val="center"/>
          </w:tcPr>
          <w:p w14:paraId="47CF8AD0">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2.5</w:t>
            </w:r>
          </w:p>
        </w:tc>
        <w:tc>
          <w:tcPr>
            <w:tcW w:w="484" w:type="dxa"/>
            <w:tcBorders>
              <w:top w:val="nil"/>
              <w:left w:val="nil"/>
              <w:bottom w:val="single" w:color="auto" w:sz="8" w:space="0"/>
              <w:right w:val="single" w:color="auto" w:sz="8" w:space="0"/>
            </w:tcBorders>
            <w:noWrap/>
            <w:vAlign w:val="center"/>
          </w:tcPr>
          <w:p w14:paraId="000D2947">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5.3</w:t>
            </w:r>
          </w:p>
        </w:tc>
        <w:tc>
          <w:tcPr>
            <w:tcW w:w="484" w:type="dxa"/>
            <w:tcBorders>
              <w:top w:val="nil"/>
              <w:left w:val="nil"/>
              <w:bottom w:val="single" w:color="auto" w:sz="8" w:space="0"/>
              <w:right w:val="single" w:color="auto" w:sz="8" w:space="0"/>
            </w:tcBorders>
            <w:noWrap/>
            <w:vAlign w:val="center"/>
          </w:tcPr>
          <w:p w14:paraId="13F548DC">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10.5</w:t>
            </w:r>
          </w:p>
        </w:tc>
        <w:tc>
          <w:tcPr>
            <w:tcW w:w="484" w:type="dxa"/>
            <w:tcBorders>
              <w:top w:val="nil"/>
              <w:left w:val="nil"/>
              <w:bottom w:val="single" w:color="auto" w:sz="8" w:space="0"/>
              <w:right w:val="single" w:color="auto" w:sz="8" w:space="0"/>
            </w:tcBorders>
            <w:noWrap/>
            <w:vAlign w:val="center"/>
          </w:tcPr>
          <w:p w14:paraId="43F8DF03">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16.1</w:t>
            </w:r>
          </w:p>
        </w:tc>
        <w:tc>
          <w:tcPr>
            <w:tcW w:w="484" w:type="dxa"/>
            <w:tcBorders>
              <w:top w:val="nil"/>
              <w:left w:val="nil"/>
              <w:bottom w:val="single" w:color="auto" w:sz="8" w:space="0"/>
              <w:right w:val="single" w:color="auto" w:sz="8" w:space="0"/>
            </w:tcBorders>
            <w:noWrap/>
            <w:vAlign w:val="center"/>
          </w:tcPr>
          <w:p w14:paraId="3D905B56">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11.8</w:t>
            </w:r>
          </w:p>
        </w:tc>
        <w:tc>
          <w:tcPr>
            <w:tcW w:w="484" w:type="dxa"/>
            <w:tcBorders>
              <w:top w:val="nil"/>
              <w:left w:val="nil"/>
              <w:bottom w:val="single" w:color="auto" w:sz="8" w:space="0"/>
              <w:right w:val="single" w:color="auto" w:sz="8" w:space="0"/>
            </w:tcBorders>
            <w:noWrap/>
            <w:vAlign w:val="center"/>
          </w:tcPr>
          <w:p w14:paraId="660CD36C">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9.8</w:t>
            </w:r>
          </w:p>
        </w:tc>
        <w:tc>
          <w:tcPr>
            <w:tcW w:w="484" w:type="dxa"/>
            <w:tcBorders>
              <w:top w:val="nil"/>
              <w:left w:val="nil"/>
              <w:bottom w:val="single" w:color="auto" w:sz="8" w:space="0"/>
              <w:right w:val="single" w:color="auto" w:sz="8" w:space="0"/>
            </w:tcBorders>
            <w:noWrap/>
            <w:vAlign w:val="center"/>
          </w:tcPr>
          <w:p w14:paraId="1517C6A1">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6.0</w:t>
            </w:r>
          </w:p>
        </w:tc>
        <w:tc>
          <w:tcPr>
            <w:tcW w:w="484" w:type="dxa"/>
            <w:tcBorders>
              <w:top w:val="nil"/>
              <w:left w:val="nil"/>
              <w:bottom w:val="single" w:color="auto" w:sz="8" w:space="0"/>
              <w:right w:val="single" w:color="auto" w:sz="8" w:space="0"/>
            </w:tcBorders>
            <w:noWrap/>
            <w:vAlign w:val="center"/>
          </w:tcPr>
          <w:p w14:paraId="4C2BD3A6">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4.3</w:t>
            </w:r>
          </w:p>
        </w:tc>
        <w:tc>
          <w:tcPr>
            <w:tcW w:w="484" w:type="dxa"/>
            <w:tcBorders>
              <w:top w:val="nil"/>
              <w:left w:val="nil"/>
              <w:bottom w:val="single" w:color="auto" w:sz="8" w:space="0"/>
              <w:right w:val="single" w:color="auto" w:sz="8" w:space="0"/>
            </w:tcBorders>
            <w:noWrap/>
            <w:vAlign w:val="center"/>
          </w:tcPr>
          <w:p w14:paraId="486353E2">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8.3</w:t>
            </w:r>
          </w:p>
        </w:tc>
        <w:tc>
          <w:tcPr>
            <w:tcW w:w="484" w:type="dxa"/>
            <w:tcBorders>
              <w:top w:val="nil"/>
              <w:left w:val="nil"/>
              <w:bottom w:val="single" w:color="auto" w:sz="8" w:space="0"/>
              <w:right w:val="single" w:color="auto" w:sz="8" w:space="0"/>
            </w:tcBorders>
            <w:noWrap/>
            <w:vAlign w:val="center"/>
          </w:tcPr>
          <w:p w14:paraId="2595D102">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1.1</w:t>
            </w:r>
          </w:p>
        </w:tc>
      </w:tr>
      <w:tr w14:paraId="1948CC2C">
        <w:tblPrEx>
          <w:tblCellMar>
            <w:top w:w="0" w:type="dxa"/>
            <w:left w:w="108" w:type="dxa"/>
            <w:bottom w:w="0" w:type="dxa"/>
            <w:right w:w="108" w:type="dxa"/>
          </w:tblCellMar>
        </w:tblPrEx>
        <w:trPr>
          <w:trHeight w:val="185" w:hRule="atLeast"/>
        </w:trPr>
        <w:tc>
          <w:tcPr>
            <w:tcW w:w="750" w:type="dxa"/>
            <w:tcBorders>
              <w:top w:val="nil"/>
              <w:left w:val="single" w:color="auto" w:sz="8" w:space="0"/>
              <w:bottom w:val="single" w:color="auto" w:sz="8" w:space="0"/>
              <w:right w:val="single" w:color="auto" w:sz="8" w:space="0"/>
            </w:tcBorders>
            <w:noWrap/>
            <w:vAlign w:val="center"/>
          </w:tcPr>
          <w:p w14:paraId="69BE956E">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冬季</w:t>
            </w:r>
          </w:p>
        </w:tc>
        <w:tc>
          <w:tcPr>
            <w:tcW w:w="484" w:type="dxa"/>
            <w:tcBorders>
              <w:top w:val="nil"/>
              <w:left w:val="nil"/>
              <w:bottom w:val="single" w:color="auto" w:sz="8" w:space="0"/>
              <w:right w:val="single" w:color="auto" w:sz="8" w:space="0"/>
            </w:tcBorders>
            <w:noWrap/>
            <w:vAlign w:val="center"/>
          </w:tcPr>
          <w:p w14:paraId="4F7798AB">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8.3</w:t>
            </w:r>
          </w:p>
        </w:tc>
        <w:tc>
          <w:tcPr>
            <w:tcW w:w="484" w:type="dxa"/>
            <w:tcBorders>
              <w:top w:val="nil"/>
              <w:left w:val="nil"/>
              <w:bottom w:val="single" w:color="auto" w:sz="8" w:space="0"/>
              <w:right w:val="single" w:color="auto" w:sz="8" w:space="0"/>
            </w:tcBorders>
            <w:noWrap/>
            <w:vAlign w:val="center"/>
          </w:tcPr>
          <w:p w14:paraId="3A28ADB1">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2.1</w:t>
            </w:r>
          </w:p>
        </w:tc>
        <w:tc>
          <w:tcPr>
            <w:tcW w:w="484" w:type="dxa"/>
            <w:tcBorders>
              <w:top w:val="nil"/>
              <w:left w:val="nil"/>
              <w:bottom w:val="single" w:color="auto" w:sz="8" w:space="0"/>
              <w:right w:val="single" w:color="auto" w:sz="8" w:space="0"/>
            </w:tcBorders>
            <w:noWrap/>
            <w:vAlign w:val="center"/>
          </w:tcPr>
          <w:p w14:paraId="459C2369">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2.4</w:t>
            </w:r>
          </w:p>
        </w:tc>
        <w:tc>
          <w:tcPr>
            <w:tcW w:w="484" w:type="dxa"/>
            <w:tcBorders>
              <w:top w:val="nil"/>
              <w:left w:val="nil"/>
              <w:bottom w:val="single" w:color="auto" w:sz="8" w:space="0"/>
              <w:right w:val="single" w:color="auto" w:sz="8" w:space="0"/>
            </w:tcBorders>
            <w:noWrap/>
            <w:vAlign w:val="center"/>
          </w:tcPr>
          <w:p w14:paraId="12075142">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1.0</w:t>
            </w:r>
          </w:p>
        </w:tc>
        <w:tc>
          <w:tcPr>
            <w:tcW w:w="484" w:type="dxa"/>
            <w:tcBorders>
              <w:top w:val="nil"/>
              <w:left w:val="nil"/>
              <w:bottom w:val="single" w:color="auto" w:sz="8" w:space="0"/>
              <w:right w:val="single" w:color="auto" w:sz="8" w:space="0"/>
            </w:tcBorders>
            <w:noWrap/>
            <w:vAlign w:val="center"/>
          </w:tcPr>
          <w:p w14:paraId="3DC509D9">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1.0</w:t>
            </w:r>
          </w:p>
        </w:tc>
        <w:tc>
          <w:tcPr>
            <w:tcW w:w="484" w:type="dxa"/>
            <w:tcBorders>
              <w:top w:val="nil"/>
              <w:left w:val="nil"/>
              <w:bottom w:val="single" w:color="auto" w:sz="8" w:space="0"/>
              <w:right w:val="single" w:color="auto" w:sz="8" w:space="0"/>
            </w:tcBorders>
            <w:noWrap/>
            <w:vAlign w:val="center"/>
          </w:tcPr>
          <w:p w14:paraId="4B179E80">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1.6</w:t>
            </w:r>
          </w:p>
        </w:tc>
        <w:tc>
          <w:tcPr>
            <w:tcW w:w="484" w:type="dxa"/>
            <w:tcBorders>
              <w:top w:val="nil"/>
              <w:left w:val="nil"/>
              <w:bottom w:val="single" w:color="auto" w:sz="8" w:space="0"/>
              <w:right w:val="single" w:color="auto" w:sz="8" w:space="0"/>
            </w:tcBorders>
            <w:noWrap/>
            <w:vAlign w:val="center"/>
          </w:tcPr>
          <w:p w14:paraId="64287814">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1.9</w:t>
            </w:r>
          </w:p>
        </w:tc>
        <w:tc>
          <w:tcPr>
            <w:tcW w:w="484" w:type="dxa"/>
            <w:tcBorders>
              <w:top w:val="nil"/>
              <w:left w:val="nil"/>
              <w:bottom w:val="single" w:color="auto" w:sz="8" w:space="0"/>
              <w:right w:val="single" w:color="auto" w:sz="8" w:space="0"/>
            </w:tcBorders>
            <w:noWrap/>
            <w:vAlign w:val="center"/>
          </w:tcPr>
          <w:p w14:paraId="7F938076">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4.8</w:t>
            </w:r>
          </w:p>
        </w:tc>
        <w:tc>
          <w:tcPr>
            <w:tcW w:w="484" w:type="dxa"/>
            <w:tcBorders>
              <w:top w:val="nil"/>
              <w:left w:val="nil"/>
              <w:bottom w:val="single" w:color="auto" w:sz="8" w:space="0"/>
              <w:right w:val="single" w:color="auto" w:sz="8" w:space="0"/>
            </w:tcBorders>
            <w:noWrap/>
            <w:vAlign w:val="center"/>
          </w:tcPr>
          <w:p w14:paraId="58B42FF8">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9.8</w:t>
            </w:r>
          </w:p>
        </w:tc>
        <w:tc>
          <w:tcPr>
            <w:tcW w:w="484" w:type="dxa"/>
            <w:tcBorders>
              <w:top w:val="nil"/>
              <w:left w:val="nil"/>
              <w:bottom w:val="single" w:color="auto" w:sz="8" w:space="0"/>
              <w:right w:val="single" w:color="auto" w:sz="8" w:space="0"/>
            </w:tcBorders>
            <w:noWrap/>
            <w:vAlign w:val="center"/>
          </w:tcPr>
          <w:p w14:paraId="13A115BD">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7.6</w:t>
            </w:r>
          </w:p>
        </w:tc>
        <w:tc>
          <w:tcPr>
            <w:tcW w:w="484" w:type="dxa"/>
            <w:tcBorders>
              <w:top w:val="nil"/>
              <w:left w:val="nil"/>
              <w:bottom w:val="single" w:color="auto" w:sz="8" w:space="0"/>
              <w:right w:val="single" w:color="auto" w:sz="8" w:space="0"/>
            </w:tcBorders>
            <w:noWrap/>
            <w:vAlign w:val="center"/>
          </w:tcPr>
          <w:p w14:paraId="25CBA291">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5.0</w:t>
            </w:r>
          </w:p>
        </w:tc>
        <w:tc>
          <w:tcPr>
            <w:tcW w:w="484" w:type="dxa"/>
            <w:tcBorders>
              <w:top w:val="nil"/>
              <w:left w:val="nil"/>
              <w:bottom w:val="single" w:color="auto" w:sz="8" w:space="0"/>
              <w:right w:val="single" w:color="auto" w:sz="8" w:space="0"/>
            </w:tcBorders>
            <w:noWrap/>
            <w:vAlign w:val="center"/>
          </w:tcPr>
          <w:p w14:paraId="10286347">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5.8</w:t>
            </w:r>
          </w:p>
        </w:tc>
        <w:tc>
          <w:tcPr>
            <w:tcW w:w="484" w:type="dxa"/>
            <w:tcBorders>
              <w:top w:val="nil"/>
              <w:left w:val="nil"/>
              <w:bottom w:val="single" w:color="auto" w:sz="8" w:space="0"/>
              <w:right w:val="single" w:color="auto" w:sz="8" w:space="0"/>
            </w:tcBorders>
            <w:noWrap/>
            <w:vAlign w:val="center"/>
          </w:tcPr>
          <w:p w14:paraId="78756305">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6.9</w:t>
            </w:r>
          </w:p>
        </w:tc>
        <w:tc>
          <w:tcPr>
            <w:tcW w:w="484" w:type="dxa"/>
            <w:tcBorders>
              <w:top w:val="nil"/>
              <w:left w:val="nil"/>
              <w:bottom w:val="single" w:color="auto" w:sz="8" w:space="0"/>
              <w:right w:val="single" w:color="auto" w:sz="8" w:space="0"/>
            </w:tcBorders>
            <w:noWrap/>
            <w:vAlign w:val="center"/>
          </w:tcPr>
          <w:p w14:paraId="4A64BAEA">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11.6</w:t>
            </w:r>
          </w:p>
        </w:tc>
        <w:tc>
          <w:tcPr>
            <w:tcW w:w="484" w:type="dxa"/>
            <w:tcBorders>
              <w:top w:val="nil"/>
              <w:left w:val="nil"/>
              <w:bottom w:val="single" w:color="auto" w:sz="8" w:space="0"/>
              <w:right w:val="single" w:color="auto" w:sz="8" w:space="0"/>
            </w:tcBorders>
            <w:noWrap/>
            <w:vAlign w:val="center"/>
          </w:tcPr>
          <w:p w14:paraId="156385D7">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17.2</w:t>
            </w:r>
          </w:p>
        </w:tc>
        <w:tc>
          <w:tcPr>
            <w:tcW w:w="484" w:type="dxa"/>
            <w:tcBorders>
              <w:top w:val="nil"/>
              <w:left w:val="nil"/>
              <w:bottom w:val="single" w:color="auto" w:sz="8" w:space="0"/>
              <w:right w:val="single" w:color="auto" w:sz="8" w:space="0"/>
            </w:tcBorders>
            <w:noWrap/>
            <w:vAlign w:val="center"/>
          </w:tcPr>
          <w:p w14:paraId="261252FD">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10.7</w:t>
            </w:r>
          </w:p>
        </w:tc>
        <w:tc>
          <w:tcPr>
            <w:tcW w:w="484" w:type="dxa"/>
            <w:tcBorders>
              <w:top w:val="nil"/>
              <w:left w:val="nil"/>
              <w:bottom w:val="single" w:color="auto" w:sz="8" w:space="0"/>
              <w:right w:val="single" w:color="auto" w:sz="8" w:space="0"/>
            </w:tcBorders>
            <w:noWrap/>
            <w:vAlign w:val="center"/>
          </w:tcPr>
          <w:p w14:paraId="28066B22">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2.4</w:t>
            </w:r>
          </w:p>
        </w:tc>
      </w:tr>
      <w:tr w14:paraId="63FA9ADE">
        <w:tblPrEx>
          <w:tblCellMar>
            <w:top w:w="0" w:type="dxa"/>
            <w:left w:w="108" w:type="dxa"/>
            <w:bottom w:w="0" w:type="dxa"/>
            <w:right w:w="108" w:type="dxa"/>
          </w:tblCellMar>
        </w:tblPrEx>
        <w:trPr>
          <w:trHeight w:val="185" w:hRule="atLeast"/>
        </w:trPr>
        <w:tc>
          <w:tcPr>
            <w:tcW w:w="750" w:type="dxa"/>
            <w:tcBorders>
              <w:top w:val="nil"/>
              <w:left w:val="single" w:color="auto" w:sz="8" w:space="0"/>
              <w:bottom w:val="single" w:color="auto" w:sz="8" w:space="0"/>
              <w:right w:val="single" w:color="auto" w:sz="8" w:space="0"/>
            </w:tcBorders>
            <w:noWrap/>
            <w:vAlign w:val="center"/>
          </w:tcPr>
          <w:p w14:paraId="18CD7F24">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年平均</w:t>
            </w:r>
          </w:p>
        </w:tc>
        <w:tc>
          <w:tcPr>
            <w:tcW w:w="484" w:type="dxa"/>
            <w:tcBorders>
              <w:top w:val="nil"/>
              <w:left w:val="nil"/>
              <w:bottom w:val="single" w:color="auto" w:sz="8" w:space="0"/>
              <w:right w:val="single" w:color="auto" w:sz="8" w:space="0"/>
            </w:tcBorders>
            <w:noWrap/>
            <w:vAlign w:val="center"/>
          </w:tcPr>
          <w:p w14:paraId="1E9342AD">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7.3</w:t>
            </w:r>
          </w:p>
        </w:tc>
        <w:tc>
          <w:tcPr>
            <w:tcW w:w="484" w:type="dxa"/>
            <w:tcBorders>
              <w:top w:val="nil"/>
              <w:left w:val="nil"/>
              <w:bottom w:val="single" w:color="auto" w:sz="8" w:space="0"/>
              <w:right w:val="single" w:color="auto" w:sz="8" w:space="0"/>
            </w:tcBorders>
            <w:noWrap/>
            <w:vAlign w:val="center"/>
          </w:tcPr>
          <w:p w14:paraId="12719BFA">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4.6</w:t>
            </w:r>
          </w:p>
        </w:tc>
        <w:tc>
          <w:tcPr>
            <w:tcW w:w="484" w:type="dxa"/>
            <w:tcBorders>
              <w:top w:val="nil"/>
              <w:left w:val="nil"/>
              <w:bottom w:val="single" w:color="auto" w:sz="8" w:space="0"/>
              <w:right w:val="single" w:color="auto" w:sz="8" w:space="0"/>
            </w:tcBorders>
            <w:noWrap/>
            <w:vAlign w:val="center"/>
          </w:tcPr>
          <w:p w14:paraId="2B7970FB">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4.2</w:t>
            </w:r>
          </w:p>
        </w:tc>
        <w:tc>
          <w:tcPr>
            <w:tcW w:w="484" w:type="dxa"/>
            <w:tcBorders>
              <w:top w:val="nil"/>
              <w:left w:val="nil"/>
              <w:bottom w:val="single" w:color="auto" w:sz="8" w:space="0"/>
              <w:right w:val="single" w:color="auto" w:sz="8" w:space="0"/>
            </w:tcBorders>
            <w:noWrap/>
            <w:vAlign w:val="center"/>
          </w:tcPr>
          <w:p w14:paraId="6CF018A2">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2.8</w:t>
            </w:r>
          </w:p>
        </w:tc>
        <w:tc>
          <w:tcPr>
            <w:tcW w:w="484" w:type="dxa"/>
            <w:tcBorders>
              <w:top w:val="nil"/>
              <w:left w:val="nil"/>
              <w:bottom w:val="single" w:color="auto" w:sz="8" w:space="0"/>
              <w:right w:val="single" w:color="auto" w:sz="8" w:space="0"/>
            </w:tcBorders>
            <w:noWrap/>
            <w:vAlign w:val="center"/>
          </w:tcPr>
          <w:p w14:paraId="51EDFBAE">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2.7</w:t>
            </w:r>
          </w:p>
        </w:tc>
        <w:tc>
          <w:tcPr>
            <w:tcW w:w="484" w:type="dxa"/>
            <w:tcBorders>
              <w:top w:val="nil"/>
              <w:left w:val="nil"/>
              <w:bottom w:val="single" w:color="auto" w:sz="8" w:space="0"/>
              <w:right w:val="single" w:color="auto" w:sz="8" w:space="0"/>
            </w:tcBorders>
            <w:noWrap/>
            <w:vAlign w:val="center"/>
          </w:tcPr>
          <w:p w14:paraId="31DD33BA">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2.9</w:t>
            </w:r>
          </w:p>
        </w:tc>
        <w:tc>
          <w:tcPr>
            <w:tcW w:w="484" w:type="dxa"/>
            <w:tcBorders>
              <w:top w:val="nil"/>
              <w:left w:val="nil"/>
              <w:bottom w:val="single" w:color="auto" w:sz="8" w:space="0"/>
              <w:right w:val="single" w:color="auto" w:sz="8" w:space="0"/>
            </w:tcBorders>
            <w:noWrap/>
            <w:vAlign w:val="center"/>
          </w:tcPr>
          <w:p w14:paraId="0E164788">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3.2</w:t>
            </w:r>
          </w:p>
        </w:tc>
        <w:tc>
          <w:tcPr>
            <w:tcW w:w="484" w:type="dxa"/>
            <w:tcBorders>
              <w:top w:val="nil"/>
              <w:left w:val="nil"/>
              <w:bottom w:val="single" w:color="auto" w:sz="8" w:space="0"/>
              <w:right w:val="single" w:color="auto" w:sz="8" w:space="0"/>
            </w:tcBorders>
            <w:noWrap/>
            <w:vAlign w:val="center"/>
          </w:tcPr>
          <w:p w14:paraId="07C2E189">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4.6</w:t>
            </w:r>
          </w:p>
        </w:tc>
        <w:tc>
          <w:tcPr>
            <w:tcW w:w="484" w:type="dxa"/>
            <w:tcBorders>
              <w:top w:val="nil"/>
              <w:left w:val="nil"/>
              <w:bottom w:val="single" w:color="auto" w:sz="8" w:space="0"/>
              <w:right w:val="single" w:color="auto" w:sz="8" w:space="0"/>
            </w:tcBorders>
            <w:noWrap/>
            <w:vAlign w:val="center"/>
          </w:tcPr>
          <w:p w14:paraId="5A52EFED">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8.5</w:t>
            </w:r>
          </w:p>
        </w:tc>
        <w:tc>
          <w:tcPr>
            <w:tcW w:w="484" w:type="dxa"/>
            <w:tcBorders>
              <w:top w:val="nil"/>
              <w:left w:val="nil"/>
              <w:bottom w:val="single" w:color="auto" w:sz="8" w:space="0"/>
              <w:right w:val="single" w:color="auto" w:sz="8" w:space="0"/>
            </w:tcBorders>
            <w:noWrap/>
            <w:vAlign w:val="center"/>
          </w:tcPr>
          <w:p w14:paraId="3ACB48EA">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9.6</w:t>
            </w:r>
          </w:p>
        </w:tc>
        <w:tc>
          <w:tcPr>
            <w:tcW w:w="484" w:type="dxa"/>
            <w:tcBorders>
              <w:top w:val="nil"/>
              <w:left w:val="nil"/>
              <w:bottom w:val="single" w:color="auto" w:sz="8" w:space="0"/>
              <w:right w:val="single" w:color="auto" w:sz="8" w:space="0"/>
            </w:tcBorders>
            <w:noWrap/>
            <w:vAlign w:val="center"/>
          </w:tcPr>
          <w:p w14:paraId="23B90F7A">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9.5</w:t>
            </w:r>
          </w:p>
        </w:tc>
        <w:tc>
          <w:tcPr>
            <w:tcW w:w="484" w:type="dxa"/>
            <w:tcBorders>
              <w:top w:val="nil"/>
              <w:left w:val="nil"/>
              <w:bottom w:val="single" w:color="auto" w:sz="8" w:space="0"/>
              <w:right w:val="single" w:color="auto" w:sz="8" w:space="0"/>
            </w:tcBorders>
            <w:noWrap/>
            <w:vAlign w:val="center"/>
          </w:tcPr>
          <w:p w14:paraId="0D938654">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7.5</w:t>
            </w:r>
          </w:p>
        </w:tc>
        <w:tc>
          <w:tcPr>
            <w:tcW w:w="484" w:type="dxa"/>
            <w:tcBorders>
              <w:top w:val="nil"/>
              <w:left w:val="nil"/>
              <w:bottom w:val="single" w:color="auto" w:sz="8" w:space="0"/>
              <w:right w:val="single" w:color="auto" w:sz="8" w:space="0"/>
            </w:tcBorders>
            <w:noWrap/>
            <w:vAlign w:val="center"/>
          </w:tcPr>
          <w:p w14:paraId="6F94F12C">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6.8</w:t>
            </w:r>
          </w:p>
        </w:tc>
        <w:tc>
          <w:tcPr>
            <w:tcW w:w="484" w:type="dxa"/>
            <w:tcBorders>
              <w:top w:val="nil"/>
              <w:left w:val="nil"/>
              <w:bottom w:val="single" w:color="auto" w:sz="8" w:space="0"/>
              <w:right w:val="single" w:color="auto" w:sz="8" w:space="0"/>
            </w:tcBorders>
            <w:noWrap/>
            <w:vAlign w:val="center"/>
          </w:tcPr>
          <w:p w14:paraId="3FF508B7">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7.9</w:t>
            </w:r>
          </w:p>
        </w:tc>
        <w:tc>
          <w:tcPr>
            <w:tcW w:w="484" w:type="dxa"/>
            <w:tcBorders>
              <w:top w:val="nil"/>
              <w:left w:val="nil"/>
              <w:bottom w:val="single" w:color="auto" w:sz="8" w:space="0"/>
              <w:right w:val="single" w:color="auto" w:sz="8" w:space="0"/>
            </w:tcBorders>
            <w:noWrap/>
            <w:vAlign w:val="center"/>
          </w:tcPr>
          <w:p w14:paraId="365C2554">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9.1</w:t>
            </w:r>
          </w:p>
        </w:tc>
        <w:tc>
          <w:tcPr>
            <w:tcW w:w="484" w:type="dxa"/>
            <w:tcBorders>
              <w:top w:val="nil"/>
              <w:left w:val="nil"/>
              <w:bottom w:val="single" w:color="auto" w:sz="8" w:space="0"/>
              <w:right w:val="single" w:color="auto" w:sz="8" w:space="0"/>
            </w:tcBorders>
            <w:noWrap/>
            <w:vAlign w:val="center"/>
          </w:tcPr>
          <w:p w14:paraId="0810E0FC">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7.1</w:t>
            </w:r>
          </w:p>
        </w:tc>
        <w:tc>
          <w:tcPr>
            <w:tcW w:w="484" w:type="dxa"/>
            <w:tcBorders>
              <w:top w:val="nil"/>
              <w:left w:val="nil"/>
              <w:bottom w:val="single" w:color="auto" w:sz="8" w:space="0"/>
              <w:right w:val="single" w:color="auto" w:sz="8" w:space="0"/>
            </w:tcBorders>
            <w:noWrap/>
            <w:vAlign w:val="center"/>
          </w:tcPr>
          <w:p w14:paraId="0A93D261">
            <w:pPr>
              <w:jc w:val="center"/>
              <w:rPr>
                <w:rFonts w:ascii="Times New Roman" w:hAnsi="Times New Roman" w:cs="Times New Roman"/>
                <w:color w:val="auto"/>
                <w:w w:val="99"/>
                <w:sz w:val="18"/>
                <w:szCs w:val="18"/>
                <w:highlight w:val="none"/>
              </w:rPr>
            </w:pPr>
            <w:r>
              <w:rPr>
                <w:rFonts w:ascii="Times New Roman" w:hAnsi="Times New Roman" w:cs="Times New Roman"/>
                <w:color w:val="auto"/>
                <w:w w:val="99"/>
                <w:sz w:val="18"/>
                <w:szCs w:val="18"/>
                <w:highlight w:val="none"/>
              </w:rPr>
              <w:t>1.8</w:t>
            </w:r>
          </w:p>
        </w:tc>
      </w:tr>
    </w:tbl>
    <w:p w14:paraId="2014295E">
      <w:pPr>
        <w:pStyle w:val="47"/>
        <w:spacing w:after="0" w:line="240" w:lineRule="auto"/>
        <w:ind w:left="0" w:leftChars="0" w:firstLine="400"/>
        <w:jc w:val="center"/>
        <w:rPr>
          <w:b/>
          <w:color w:val="auto"/>
          <w:w w:val="99"/>
          <w:sz w:val="24"/>
          <w:highlight w:val="none"/>
        </w:rPr>
      </w:pPr>
      <w:r>
        <w:rPr>
          <w:color w:val="auto"/>
          <w:w w:val="99"/>
          <w:highlight w:val="none"/>
        </w:rPr>
        <w:drawing>
          <wp:inline distT="0" distB="0" distL="0" distR="0">
            <wp:extent cx="3009900" cy="2717800"/>
            <wp:effectExtent l="0" t="0" r="0" b="635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64"/>
                    <a:stretch>
                      <a:fillRect/>
                    </a:stretch>
                  </pic:blipFill>
                  <pic:spPr>
                    <a:xfrm>
                      <a:off x="0" y="0"/>
                      <a:ext cx="3018680" cy="2725875"/>
                    </a:xfrm>
                    <a:prstGeom prst="rect">
                      <a:avLst/>
                    </a:prstGeom>
                  </pic:spPr>
                </pic:pic>
              </a:graphicData>
            </a:graphic>
          </wp:inline>
        </w:drawing>
      </w:r>
    </w:p>
    <w:p w14:paraId="4083B225">
      <w:pPr>
        <w:pStyle w:val="47"/>
        <w:spacing w:after="0" w:line="240" w:lineRule="auto"/>
        <w:ind w:left="0" w:leftChars="0" w:firstLine="400"/>
        <w:jc w:val="center"/>
        <w:rPr>
          <w:b/>
          <w:color w:val="auto"/>
          <w:w w:val="99"/>
          <w:sz w:val="24"/>
          <w:highlight w:val="none"/>
        </w:rPr>
      </w:pPr>
      <w:r>
        <w:rPr>
          <w:color w:val="auto"/>
          <w:w w:val="99"/>
          <w:highlight w:val="none"/>
        </w:rPr>
        <w:drawing>
          <wp:inline distT="0" distB="0" distL="0" distR="0">
            <wp:extent cx="1714500" cy="1556385"/>
            <wp:effectExtent l="0" t="0" r="0" b="571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65"/>
                    <a:stretch>
                      <a:fillRect/>
                    </a:stretch>
                  </pic:blipFill>
                  <pic:spPr>
                    <a:xfrm>
                      <a:off x="0" y="0"/>
                      <a:ext cx="1746315" cy="1585877"/>
                    </a:xfrm>
                    <a:prstGeom prst="rect">
                      <a:avLst/>
                    </a:prstGeom>
                  </pic:spPr>
                </pic:pic>
              </a:graphicData>
            </a:graphic>
          </wp:inline>
        </w:drawing>
      </w:r>
    </w:p>
    <w:p w14:paraId="17561BB9">
      <w:pPr>
        <w:pStyle w:val="47"/>
        <w:spacing w:after="0" w:line="240" w:lineRule="auto"/>
        <w:ind w:left="0" w:leftChars="0" w:firstLine="478"/>
        <w:jc w:val="center"/>
        <w:rPr>
          <w:b/>
          <w:color w:val="auto"/>
          <w:w w:val="99"/>
          <w:sz w:val="24"/>
          <w:highlight w:val="none"/>
        </w:rPr>
      </w:pPr>
      <w:r>
        <w:rPr>
          <w:b/>
          <w:color w:val="auto"/>
          <w:w w:val="99"/>
          <w:sz w:val="24"/>
          <w:highlight w:val="none"/>
        </w:rPr>
        <w:t>图5.1-1</w:t>
      </w:r>
      <w:r>
        <w:rPr>
          <w:rFonts w:hint="eastAsia"/>
          <w:b/>
          <w:color w:val="auto"/>
          <w:w w:val="99"/>
          <w:sz w:val="24"/>
          <w:highlight w:val="none"/>
        </w:rPr>
        <w:t>0</w:t>
      </w:r>
      <w:r>
        <w:rPr>
          <w:b/>
          <w:color w:val="auto"/>
          <w:w w:val="99"/>
          <w:sz w:val="24"/>
          <w:highlight w:val="none"/>
        </w:rPr>
        <w:t xml:space="preserve">   年均风频季变化及年均风频玫瑰图</w:t>
      </w:r>
    </w:p>
    <w:p w14:paraId="5D72395C">
      <w:pPr>
        <w:widowControl w:val="0"/>
        <w:spacing w:line="440" w:lineRule="exact"/>
        <w:jc w:val="both"/>
        <w:outlineLvl w:val="3"/>
        <w:rPr>
          <w:rFonts w:ascii="Times New Roman" w:hAnsi="Times New Roman" w:cs="Times New Roman" w:eastAsiaTheme="minorEastAsia"/>
          <w:b/>
          <w:color w:val="auto"/>
          <w:w w:val="99"/>
          <w:highlight w:val="none"/>
        </w:rPr>
      </w:pPr>
      <w:r>
        <w:rPr>
          <w:rFonts w:ascii="Times New Roman" w:hAnsi="Times New Roman" w:cs="Times New Roman" w:eastAsiaTheme="minorEastAsia"/>
          <w:b/>
          <w:color w:val="auto"/>
          <w:w w:val="99"/>
          <w:highlight w:val="none"/>
        </w:rPr>
        <w:t>5.1.2.3污染源调查</w:t>
      </w:r>
    </w:p>
    <w:p w14:paraId="020F5E42">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（1）本项目污染源</w:t>
      </w:r>
    </w:p>
    <w:p w14:paraId="229FC9AB">
      <w:pPr>
        <w:widowControl w:val="0"/>
        <w:spacing w:line="440" w:lineRule="exact"/>
        <w:ind w:firstLine="474" w:firstLineChars="200"/>
        <w:jc w:val="both"/>
        <w:rPr>
          <w:rFonts w:ascii="Times New Roman" w:hAnsi="Times New Roman" w:cs="Times New Roman" w:eastAsiaTheme="minorEastAsia"/>
          <w:color w:val="auto"/>
          <w:w w:val="99"/>
          <w:highlight w:val="none"/>
          <w:lang w:bidi="zh-CN"/>
        </w:rPr>
      </w:pPr>
      <w:r>
        <w:rPr>
          <w:rFonts w:ascii="Times New Roman" w:hAnsi="Times New Roman" w:cs="Times New Roman"/>
          <w:color w:val="auto"/>
          <w:w w:val="99"/>
          <w:highlight w:val="none"/>
          <w:lang w:val="zh-CN"/>
        </w:rPr>
        <w:t>根据对本项目的性质和环境要素分析可知，</w:t>
      </w:r>
      <w:r>
        <w:rPr>
          <w:rFonts w:ascii="Times New Roman" w:hAnsi="Times New Roman" w:cs="Times New Roman" w:eastAsiaTheme="minorEastAsia"/>
          <w:color w:val="auto"/>
          <w:w w:val="99"/>
          <w:highlight w:val="none"/>
          <w:lang w:bidi="zh-CN"/>
        </w:rPr>
        <w:t>本项目运营期大气污染源主要为</w:t>
      </w:r>
      <w:r>
        <w:rPr>
          <w:rFonts w:hint="eastAsia" w:ascii="Times New Roman" w:hAnsi="Times New Roman" w:cs="Times New Roman" w:eastAsiaTheme="minorEastAsia"/>
          <w:color w:val="auto"/>
          <w:w w:val="99"/>
          <w:highlight w:val="none"/>
          <w:lang w:bidi="zh-CN"/>
        </w:rPr>
        <w:t>依托集气站</w:t>
      </w:r>
      <w:r>
        <w:rPr>
          <w:rFonts w:ascii="Times New Roman" w:hAnsi="Times New Roman" w:cs="Times New Roman" w:eastAsiaTheme="minorEastAsia"/>
          <w:color w:val="auto"/>
          <w:w w:val="99"/>
          <w:highlight w:val="none"/>
          <w:lang w:bidi="zh-CN"/>
        </w:rPr>
        <w:t>天然气加热炉产生的燃烧烟气（SO</w:t>
      </w:r>
      <w:r>
        <w:rPr>
          <w:rFonts w:ascii="Times New Roman" w:hAnsi="Times New Roman" w:cs="Times New Roman" w:eastAsiaTheme="minorEastAsia"/>
          <w:color w:val="auto"/>
          <w:w w:val="99"/>
          <w:highlight w:val="none"/>
          <w:vertAlign w:val="subscript"/>
          <w:lang w:bidi="zh-CN"/>
        </w:rPr>
        <w:t>2</w:t>
      </w:r>
      <w:r>
        <w:rPr>
          <w:rFonts w:ascii="Times New Roman" w:hAnsi="Times New Roman" w:cs="Times New Roman" w:eastAsiaTheme="minorEastAsia"/>
          <w:color w:val="auto"/>
          <w:w w:val="99"/>
          <w:highlight w:val="none"/>
          <w:lang w:bidi="zh-CN"/>
        </w:rPr>
        <w:t>、NOx 、颗粒物、烟气黑度）、天然气开采及集输过程中无组织排放的烃类气体（以 NMHC 计）。</w:t>
      </w:r>
    </w:p>
    <w:p w14:paraId="670867BC">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根据《大气挥发性有机物源排放清单编制技术指南（试行）》中石油化工业天然原油和天然气开采，</w:t>
      </w:r>
      <w:r>
        <w:rPr>
          <w:rFonts w:hint="eastAsia" w:ascii="Times New Roman" w:hAnsi="Times New Roman" w:cs="Times New Roman"/>
          <w:color w:val="auto"/>
          <w:w w:val="99"/>
          <w:highlight w:val="none"/>
        </w:rPr>
        <w:t>天然气</w:t>
      </w:r>
      <w:r>
        <w:rPr>
          <w:rFonts w:ascii="Times New Roman" w:hAnsi="Times New Roman" w:cs="Times New Roman"/>
          <w:color w:val="auto"/>
          <w:w w:val="99"/>
          <w:highlight w:val="none"/>
          <w:lang w:val="zh-CN"/>
        </w:rPr>
        <w:t>开采挥发性有机物产生系数为</w:t>
      </w:r>
      <w:r>
        <w:rPr>
          <w:rFonts w:hint="eastAsia" w:ascii="Times New Roman" w:hAnsi="Times New Roman" w:cs="Times New Roman"/>
          <w:color w:val="auto"/>
          <w:w w:val="99"/>
          <w:highlight w:val="none"/>
        </w:rPr>
        <w:t>0.5</w:t>
      </w:r>
      <w:r>
        <w:rPr>
          <w:rFonts w:ascii="Times New Roman" w:hAnsi="Times New Roman" w:cs="Times New Roman"/>
          <w:color w:val="auto"/>
          <w:w w:val="99"/>
          <w:highlight w:val="none"/>
          <w:lang w:val="zh-CN"/>
        </w:rPr>
        <w:t>g/kg</w:t>
      </w:r>
      <w:r>
        <w:rPr>
          <w:rFonts w:hint="eastAsia" w:ascii="Times New Roman" w:hAnsi="Times New Roman" w:cs="Times New Roman"/>
          <w:color w:val="auto"/>
          <w:w w:val="99"/>
          <w:highlight w:val="none"/>
        </w:rPr>
        <w:t>天然气</w:t>
      </w:r>
      <w:r>
        <w:rPr>
          <w:rFonts w:ascii="Times New Roman" w:hAnsi="Times New Roman" w:cs="Times New Roman"/>
          <w:color w:val="auto"/>
          <w:w w:val="99"/>
          <w:highlight w:val="none"/>
          <w:lang w:val="zh-CN"/>
        </w:rPr>
        <w:t>，</w:t>
      </w:r>
      <w:r>
        <w:rPr>
          <w:rFonts w:hint="eastAsia" w:ascii="Times New Roman" w:hAnsi="Times New Roman" w:cs="Times New Roman" w:eastAsiaTheme="minorEastAsia"/>
          <w:color w:val="auto"/>
          <w:w w:val="99"/>
          <w:kern w:val="2"/>
          <w:szCs w:val="20"/>
          <w:highlight w:val="none"/>
          <w:lang w:val="en-US" w:eastAsia="zh-CN"/>
        </w:rPr>
        <w:t>根据源强核算</w:t>
      </w:r>
      <w:r>
        <w:rPr>
          <w:rFonts w:ascii="Times New Roman" w:hAnsi="Times New Roman" w:cs="Times New Roman" w:eastAsiaTheme="minorEastAsia"/>
          <w:color w:val="auto"/>
          <w:w w:val="99"/>
          <w:kern w:val="2"/>
          <w:szCs w:val="20"/>
          <w:highlight w:val="none"/>
        </w:rPr>
        <w:t>可知整个</w:t>
      </w:r>
      <w:r>
        <w:rPr>
          <w:rFonts w:hint="eastAsia" w:ascii="Times New Roman" w:hAnsi="Times New Roman" w:cs="Times New Roman" w:eastAsiaTheme="minorEastAsia"/>
          <w:color w:val="auto"/>
          <w:w w:val="99"/>
          <w:kern w:val="2"/>
          <w:szCs w:val="20"/>
          <w:highlight w:val="none"/>
        </w:rPr>
        <w:t>天然气</w:t>
      </w:r>
      <w:r>
        <w:rPr>
          <w:rFonts w:ascii="Times New Roman" w:hAnsi="Times New Roman" w:cs="Times New Roman" w:eastAsiaTheme="minorEastAsia"/>
          <w:color w:val="auto"/>
          <w:w w:val="99"/>
          <w:kern w:val="2"/>
          <w:szCs w:val="20"/>
          <w:highlight w:val="none"/>
        </w:rPr>
        <w:t>集输过程中非甲烷总烃挥发量为</w:t>
      </w:r>
      <w:r>
        <w:rPr>
          <w:rFonts w:hint="eastAsia" w:ascii="Times New Roman" w:hAnsi="Times New Roman" w:cs="Times New Roman" w:eastAsiaTheme="minorEastAsia"/>
          <w:color w:val="auto"/>
          <w:w w:val="99"/>
          <w:kern w:val="2"/>
          <w:szCs w:val="20"/>
          <w:highlight w:val="none"/>
        </w:rPr>
        <w:t>11.66t</w:t>
      </w:r>
      <w:r>
        <w:rPr>
          <w:rFonts w:ascii="Times New Roman" w:hAnsi="Times New Roman" w:cs="Times New Roman" w:eastAsiaTheme="minorEastAsia"/>
          <w:color w:val="auto"/>
          <w:w w:val="99"/>
          <w:kern w:val="2"/>
          <w:szCs w:val="20"/>
          <w:highlight w:val="none"/>
          <w:lang w:bidi="zh-CN"/>
        </w:rPr>
        <w:t>/a</w:t>
      </w:r>
      <w:r>
        <w:rPr>
          <w:rFonts w:ascii="Times New Roman" w:hAnsi="Times New Roman" w:cs="Times New Roman" w:eastAsiaTheme="minorEastAsia"/>
          <w:color w:val="auto"/>
          <w:w w:val="99"/>
          <w:kern w:val="2"/>
          <w:szCs w:val="20"/>
          <w:highlight w:val="none"/>
        </w:rPr>
        <w:t>，主要排放位置有井场、集输管道阀门、</w:t>
      </w:r>
      <w:r>
        <w:rPr>
          <w:rFonts w:hint="eastAsia" w:ascii="Times New Roman" w:hAnsi="Times New Roman" w:cs="Times New Roman" w:eastAsiaTheme="minorEastAsia"/>
          <w:color w:val="auto"/>
          <w:w w:val="99"/>
          <w:kern w:val="2"/>
          <w:szCs w:val="20"/>
          <w:highlight w:val="none"/>
        </w:rPr>
        <w:t>集气站</w:t>
      </w:r>
      <w:r>
        <w:rPr>
          <w:rFonts w:ascii="Times New Roman" w:hAnsi="Times New Roman" w:cs="Times New Roman" w:eastAsiaTheme="minorEastAsia"/>
          <w:color w:val="auto"/>
          <w:w w:val="99"/>
          <w:kern w:val="2"/>
          <w:szCs w:val="20"/>
          <w:highlight w:val="none"/>
        </w:rPr>
        <w:t>等位置，其中</w:t>
      </w:r>
      <w:r>
        <w:rPr>
          <w:rFonts w:hint="eastAsia" w:ascii="Times New Roman" w:hAnsi="Times New Roman" w:cs="Times New Roman" w:eastAsiaTheme="minorEastAsia"/>
          <w:color w:val="auto"/>
          <w:w w:val="99"/>
          <w:kern w:val="2"/>
          <w:szCs w:val="20"/>
          <w:highlight w:val="none"/>
        </w:rPr>
        <w:t>气井</w:t>
      </w:r>
      <w:r>
        <w:rPr>
          <w:rFonts w:ascii="Times New Roman" w:hAnsi="Times New Roman" w:cs="Times New Roman" w:eastAsiaTheme="minorEastAsia"/>
          <w:color w:val="auto"/>
          <w:w w:val="99"/>
          <w:kern w:val="2"/>
          <w:szCs w:val="20"/>
          <w:highlight w:val="none"/>
        </w:rPr>
        <w:t>井场占比约30%</w:t>
      </w:r>
      <w:r>
        <w:rPr>
          <w:rFonts w:hint="eastAsia" w:ascii="Times New Roman" w:hAnsi="Times New Roman" w:cs="Times New Roman" w:eastAsiaTheme="minorEastAsia"/>
          <w:color w:val="auto"/>
          <w:w w:val="99"/>
          <w:kern w:val="2"/>
          <w:szCs w:val="20"/>
          <w:highlight w:val="none"/>
        </w:rPr>
        <w:t>，</w:t>
      </w:r>
      <w:r>
        <w:rPr>
          <w:rFonts w:ascii="Times New Roman" w:hAnsi="Times New Roman" w:cs="Times New Roman" w:eastAsiaTheme="minorEastAsia"/>
          <w:color w:val="auto"/>
          <w:w w:val="99"/>
          <w:highlight w:val="none"/>
        </w:rPr>
        <w:t>经核算本项目</w:t>
      </w:r>
      <w:r>
        <w:rPr>
          <w:rFonts w:hint="eastAsia" w:ascii="Times New Roman" w:hAnsi="Times New Roman" w:cs="Times New Roman" w:eastAsiaTheme="minorEastAsia"/>
          <w:bCs/>
          <w:color w:val="auto"/>
          <w:w w:val="99"/>
          <w:highlight w:val="none"/>
        </w:rPr>
        <w:t>单井井场</w:t>
      </w:r>
      <w:r>
        <w:rPr>
          <w:rFonts w:ascii="Times New Roman" w:hAnsi="Times New Roman" w:cs="Times New Roman" w:eastAsiaTheme="minorEastAsia"/>
          <w:color w:val="auto"/>
          <w:w w:val="99"/>
          <w:highlight w:val="none"/>
        </w:rPr>
        <w:t>非甲烷总烃逸散量</w:t>
      </w:r>
      <w:r>
        <w:rPr>
          <w:rFonts w:hint="eastAsia" w:ascii="Times New Roman" w:hAnsi="Times New Roman" w:cs="Times New Roman" w:eastAsiaTheme="minorEastAsia"/>
          <w:color w:val="auto"/>
          <w:w w:val="99"/>
          <w:highlight w:val="none"/>
        </w:rPr>
        <w:t>均</w:t>
      </w:r>
      <w:r>
        <w:rPr>
          <w:rFonts w:ascii="Times New Roman" w:hAnsi="Times New Roman" w:cs="Times New Roman" w:eastAsiaTheme="minorEastAsia"/>
          <w:color w:val="auto"/>
          <w:w w:val="99"/>
          <w:highlight w:val="none"/>
        </w:rPr>
        <w:t>为</w:t>
      </w:r>
      <w:r>
        <w:rPr>
          <w:rFonts w:hint="eastAsia" w:ascii="Times New Roman" w:hAnsi="Times New Roman" w:cs="Times New Roman" w:eastAsiaTheme="minorEastAsia"/>
          <w:color w:val="auto"/>
          <w:w w:val="99"/>
          <w:highlight w:val="none"/>
        </w:rPr>
        <w:t>3.50</w:t>
      </w:r>
      <w:r>
        <w:rPr>
          <w:rFonts w:ascii="Times New Roman" w:hAnsi="Times New Roman" w:cs="Times New Roman" w:eastAsiaTheme="minorEastAsia"/>
          <w:color w:val="auto"/>
          <w:w w:val="99"/>
          <w:highlight w:val="none"/>
        </w:rPr>
        <w:t>t/a、</w:t>
      </w:r>
      <w:r>
        <w:rPr>
          <w:rFonts w:hint="eastAsia" w:ascii="Times New Roman" w:hAnsi="Times New Roman" w:cs="Times New Roman" w:eastAsiaTheme="minorEastAsia"/>
          <w:bCs/>
          <w:color w:val="auto"/>
          <w:w w:val="99"/>
          <w:highlight w:val="none"/>
        </w:rPr>
        <w:t>0.399</w:t>
      </w:r>
      <w:r>
        <w:rPr>
          <w:rFonts w:ascii="Times New Roman" w:hAnsi="Times New Roman" w:cs="Times New Roman" w:eastAsiaTheme="minorEastAsia"/>
          <w:bCs/>
          <w:color w:val="auto"/>
          <w:w w:val="99"/>
          <w:highlight w:val="none"/>
        </w:rPr>
        <w:t>kg/h</w:t>
      </w:r>
      <w:r>
        <w:rPr>
          <w:rFonts w:ascii="Times New Roman" w:hAnsi="Times New Roman" w:cs="Times New Roman" w:eastAsiaTheme="minorEastAsia"/>
          <w:color w:val="auto"/>
          <w:w w:val="99"/>
          <w:highlight w:val="none"/>
        </w:rPr>
        <w:t>。</w:t>
      </w:r>
      <w:r>
        <w:rPr>
          <w:rFonts w:ascii="Times New Roman" w:hAnsi="Times New Roman" w:cs="Times New Roman"/>
          <w:color w:val="auto"/>
          <w:w w:val="99"/>
          <w:highlight w:val="none"/>
          <w:lang w:val="zh-CN"/>
        </w:rPr>
        <w:t>根据大气评价等级判定分析，本项目大气评价等级为一级。</w:t>
      </w:r>
    </w:p>
    <w:p w14:paraId="48807422">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（2）本项目拟替代的污染源</w:t>
      </w:r>
    </w:p>
    <w:p w14:paraId="02F41838">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根据建设单位提供资料和现场调查，项目区域不存在拟替代的污染源。</w:t>
      </w:r>
    </w:p>
    <w:p w14:paraId="6951C3FB">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（3）其他在建项目、已批复环境影响评价文件的拟建项目污染源</w:t>
      </w:r>
    </w:p>
    <w:p w14:paraId="00D85167">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根据建设单位提供的项目区建设情况及现场调查本次拟开发的区块大气评价区域目前不存在与评价项目排放污染物有关的其他在建项目、已批复环境影响评价文件的拟建项目。</w:t>
      </w:r>
    </w:p>
    <w:p w14:paraId="05B77F0A">
      <w:pPr>
        <w:widowControl w:val="0"/>
        <w:spacing w:line="440" w:lineRule="exact"/>
        <w:jc w:val="both"/>
        <w:outlineLvl w:val="3"/>
        <w:rPr>
          <w:rFonts w:ascii="Times New Roman" w:hAnsi="Times New Roman" w:cs="Times New Roman" w:eastAsiaTheme="minorEastAsia"/>
          <w:b/>
          <w:color w:val="auto"/>
          <w:w w:val="99"/>
          <w:highlight w:val="none"/>
        </w:rPr>
      </w:pPr>
      <w:r>
        <w:rPr>
          <w:rFonts w:ascii="Times New Roman" w:hAnsi="Times New Roman" w:cs="Times New Roman" w:eastAsiaTheme="minorEastAsia"/>
          <w:b/>
          <w:color w:val="auto"/>
          <w:w w:val="99"/>
          <w:highlight w:val="none"/>
          <w:lang w:val="zh-CN"/>
        </w:rPr>
        <w:t>5.1.2.</w:t>
      </w:r>
      <w:r>
        <w:rPr>
          <w:rFonts w:hint="eastAsia" w:ascii="Times New Roman" w:hAnsi="Times New Roman" w:cs="Times New Roman" w:eastAsiaTheme="minorEastAsia"/>
          <w:b/>
          <w:color w:val="auto"/>
          <w:w w:val="99"/>
          <w:highlight w:val="none"/>
        </w:rPr>
        <w:t>4大气环境影响预测方案</w:t>
      </w:r>
    </w:p>
    <w:p w14:paraId="6B9152F6">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（1）预测模式</w:t>
      </w:r>
    </w:p>
    <w:p w14:paraId="412892C6">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采用HJ2.2-2018推荐模式清单中的AERMOD模型进行预测，AERMOD模型版本号为2.2.0.23875。地形按简单地形考虑。</w:t>
      </w:r>
    </w:p>
    <w:p w14:paraId="4C9383A1">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（2）气象资料</w:t>
      </w:r>
    </w:p>
    <w:p w14:paraId="522D9F30">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根据本工程的厂址位置，通过生态环境部环境工程评估中心环境空气质量模型技术支持服务系统查询确定气象资料站点，选择大庆气象站（124.99030°E，46.62080N）作为本次预测气象统计资料、地面气象数据、高空模拟气象数据来源。本工程大气预测所需的地面气象数据由国家气象信息中心提供；高空气象资料采用“中国全球大气再分析中间产品（CRA-Interim），购置于国家气象信息中心。</w:t>
      </w:r>
    </w:p>
    <w:p w14:paraId="3B40DD43">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观测气象数据及探空气象数据基本信息见表5.1-9。</w:t>
      </w:r>
    </w:p>
    <w:p w14:paraId="4275319A">
      <w:pPr>
        <w:widowControl w:val="0"/>
        <w:spacing w:line="440" w:lineRule="exact"/>
        <w:ind w:firstLine="476" w:firstLineChars="200"/>
        <w:jc w:val="both"/>
        <w:rPr>
          <w:rFonts w:ascii="Times New Roman" w:hAnsi="Times New Roman" w:cs="Times New Roman"/>
          <w:b/>
          <w:bCs/>
          <w:color w:val="auto"/>
          <w:w w:val="99"/>
          <w:highlight w:val="none"/>
          <w:lang w:val="zh-CN"/>
        </w:rPr>
      </w:pPr>
      <w:r>
        <w:rPr>
          <w:rFonts w:ascii="Times New Roman" w:hAnsi="Times New Roman" w:cs="Times New Roman"/>
          <w:b/>
          <w:bCs/>
          <w:color w:val="auto"/>
          <w:w w:val="99"/>
          <w:highlight w:val="none"/>
          <w:lang w:val="zh-CN"/>
        </w:rPr>
        <w:t>表5.1-9    观测气象数据信息</w:t>
      </w:r>
    </w:p>
    <w:tbl>
      <w:tblPr>
        <w:tblStyle w:val="1662"/>
        <w:tblW w:w="928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4"/>
        <w:gridCol w:w="887"/>
        <w:gridCol w:w="1139"/>
        <w:gridCol w:w="1126"/>
        <w:gridCol w:w="941"/>
        <w:gridCol w:w="1026"/>
        <w:gridCol w:w="626"/>
        <w:gridCol w:w="2506"/>
      </w:tblGrid>
      <w:tr w14:paraId="094AD4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034" w:type="dxa"/>
            <w:tcBorders>
              <w:left w:val="single" w:color="000000" w:sz="10" w:space="0"/>
            </w:tcBorders>
            <w:vAlign w:val="center"/>
          </w:tcPr>
          <w:p w14:paraId="24FCA7C1">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气象站</w:t>
            </w:r>
          </w:p>
          <w:p w14:paraId="0BBC638B">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名称</w:t>
            </w:r>
          </w:p>
        </w:tc>
        <w:tc>
          <w:tcPr>
            <w:tcW w:w="887" w:type="dxa"/>
            <w:vAlign w:val="center"/>
          </w:tcPr>
          <w:p w14:paraId="55438976">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气象站等级</w:t>
            </w:r>
          </w:p>
        </w:tc>
        <w:tc>
          <w:tcPr>
            <w:tcW w:w="2265" w:type="dxa"/>
            <w:gridSpan w:val="2"/>
            <w:vAlign w:val="center"/>
          </w:tcPr>
          <w:p w14:paraId="1AFD5607">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气象站坐标</w:t>
            </w:r>
          </w:p>
        </w:tc>
        <w:tc>
          <w:tcPr>
            <w:tcW w:w="941" w:type="dxa"/>
            <w:vAlign w:val="center"/>
          </w:tcPr>
          <w:p w14:paraId="03D9FC13">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相对距离/km</w:t>
            </w:r>
          </w:p>
        </w:tc>
        <w:tc>
          <w:tcPr>
            <w:tcW w:w="1026" w:type="dxa"/>
            <w:vAlign w:val="center"/>
          </w:tcPr>
          <w:p w14:paraId="5CA81AD9">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海拔高度/m</w:t>
            </w:r>
          </w:p>
        </w:tc>
        <w:tc>
          <w:tcPr>
            <w:tcW w:w="626" w:type="dxa"/>
            <w:vAlign w:val="center"/>
          </w:tcPr>
          <w:p w14:paraId="381AEEA5">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数据年份/年</w:t>
            </w:r>
          </w:p>
        </w:tc>
        <w:tc>
          <w:tcPr>
            <w:tcW w:w="2506" w:type="dxa"/>
            <w:tcBorders>
              <w:right w:val="single" w:color="000000" w:sz="10" w:space="0"/>
            </w:tcBorders>
            <w:vAlign w:val="center"/>
          </w:tcPr>
          <w:p w14:paraId="7C41F46C">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气象要素</w:t>
            </w:r>
          </w:p>
        </w:tc>
      </w:tr>
      <w:tr w14:paraId="3DF4F4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034" w:type="dxa"/>
            <w:tcBorders>
              <w:left w:val="single" w:color="000000" w:sz="10" w:space="0"/>
            </w:tcBorders>
            <w:vAlign w:val="center"/>
          </w:tcPr>
          <w:p w14:paraId="16BB0025">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50850</w:t>
            </w:r>
          </w:p>
        </w:tc>
        <w:tc>
          <w:tcPr>
            <w:tcW w:w="887" w:type="dxa"/>
            <w:vAlign w:val="center"/>
          </w:tcPr>
          <w:p w14:paraId="1F014297">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一般站</w:t>
            </w:r>
          </w:p>
        </w:tc>
        <w:tc>
          <w:tcPr>
            <w:tcW w:w="1139" w:type="dxa"/>
            <w:vAlign w:val="center"/>
          </w:tcPr>
          <w:p w14:paraId="0E6468B6">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124.99030E</w:t>
            </w:r>
          </w:p>
        </w:tc>
        <w:tc>
          <w:tcPr>
            <w:tcW w:w="1126" w:type="dxa"/>
            <w:vAlign w:val="center"/>
          </w:tcPr>
          <w:p w14:paraId="3D11B707">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46.62080N</w:t>
            </w:r>
          </w:p>
        </w:tc>
        <w:tc>
          <w:tcPr>
            <w:tcW w:w="941" w:type="dxa"/>
            <w:vAlign w:val="center"/>
          </w:tcPr>
          <w:p w14:paraId="6BA76820">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60-70</w:t>
            </w:r>
          </w:p>
        </w:tc>
        <w:tc>
          <w:tcPr>
            <w:tcW w:w="1026" w:type="dxa"/>
            <w:vAlign w:val="center"/>
          </w:tcPr>
          <w:p w14:paraId="105272A3">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152</w:t>
            </w:r>
          </w:p>
        </w:tc>
        <w:tc>
          <w:tcPr>
            <w:tcW w:w="626" w:type="dxa"/>
            <w:vAlign w:val="center"/>
          </w:tcPr>
          <w:p w14:paraId="460496FB">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202</w:t>
            </w:r>
            <w:r>
              <w:rPr>
                <w:rFonts w:hint="eastAsia" w:ascii="Times New Roman" w:hAnsi="Times New Roman" w:cs="Times New Roman" w:eastAsiaTheme="minorEastAsia"/>
                <w:color w:val="auto"/>
                <w:w w:val="99"/>
                <w:sz w:val="21"/>
                <w:szCs w:val="21"/>
                <w:highlight w:val="none"/>
                <w:lang w:eastAsia="en-US"/>
              </w:rPr>
              <w:t>3</w:t>
            </w:r>
          </w:p>
        </w:tc>
        <w:tc>
          <w:tcPr>
            <w:tcW w:w="2506" w:type="dxa"/>
            <w:tcBorders>
              <w:right w:val="single" w:color="000000" w:sz="10" w:space="0"/>
            </w:tcBorders>
            <w:vAlign w:val="center"/>
          </w:tcPr>
          <w:p w14:paraId="3920E4C4">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温度、风向、风速、总云量</w:t>
            </w:r>
          </w:p>
        </w:tc>
      </w:tr>
    </w:tbl>
    <w:p w14:paraId="79649A4F">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（3）地形及土地利用参数</w:t>
      </w:r>
    </w:p>
    <w:p w14:paraId="2380B8B8">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①地形参数</w:t>
      </w:r>
    </w:p>
    <w:p w14:paraId="1C3B339A">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地形采用 SRTM 的数据，土地利用类型采用中欧亚大陆的亚洲部分，并根据实际规划情况进行了调整。地形数据由软件配套数据库提供。</w:t>
      </w:r>
    </w:p>
    <w:p w14:paraId="26375CBC">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①地表参数</w:t>
      </w:r>
    </w:p>
    <w:p w14:paraId="34ED5E35">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评价区内地表特征为农作地（0°~360°），采用 1 个扇区。项目所处大庆市属于温带季风气候，四季气候区分明显，对地表参数按月份进行划分，其地表参数列于下表。</w:t>
      </w:r>
    </w:p>
    <w:p w14:paraId="1143DCCA">
      <w:pPr>
        <w:pStyle w:val="153"/>
        <w:widowControl w:val="0"/>
        <w:spacing w:line="440" w:lineRule="exact"/>
        <w:ind w:firstLine="474"/>
        <w:jc w:val="both"/>
        <w:rPr>
          <w:rFonts w:ascii="Times New Roman" w:hAnsi="Times New Roman"/>
          <w:b/>
          <w:color w:val="auto"/>
          <w:w w:val="99"/>
          <w:highlight w:val="none"/>
          <w:lang w:val="zh-CN"/>
        </w:rPr>
      </w:pPr>
      <w:r>
        <w:rPr>
          <w:rFonts w:ascii="Times New Roman" w:hAnsi="Times New Roman"/>
          <w:b/>
          <w:color w:val="auto"/>
          <w:w w:val="99"/>
          <w:highlight w:val="none"/>
          <w:lang w:val="zh-CN"/>
        </w:rPr>
        <w:t>表5.1-10    预测模式中应用的地表参数</w:t>
      </w:r>
    </w:p>
    <w:tbl>
      <w:tblPr>
        <w:tblStyle w:val="1662"/>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140"/>
        <w:gridCol w:w="1521"/>
        <w:gridCol w:w="1512"/>
        <w:gridCol w:w="1638"/>
        <w:gridCol w:w="1638"/>
        <w:gridCol w:w="1638"/>
      </w:tblGrid>
      <w:tr w14:paraId="3795DC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7379FA6F">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序号</w:t>
            </w:r>
          </w:p>
        </w:tc>
        <w:tc>
          <w:tcPr>
            <w:tcW w:w="837" w:type="pct"/>
            <w:vAlign w:val="center"/>
          </w:tcPr>
          <w:p w14:paraId="29897859">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扇区</w:t>
            </w:r>
          </w:p>
        </w:tc>
        <w:tc>
          <w:tcPr>
            <w:tcW w:w="832" w:type="pct"/>
            <w:vAlign w:val="center"/>
          </w:tcPr>
          <w:p w14:paraId="19DACA46">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时段</w:t>
            </w:r>
          </w:p>
        </w:tc>
        <w:tc>
          <w:tcPr>
            <w:tcW w:w="901" w:type="pct"/>
            <w:tcBorders>
              <w:right w:val="single" w:color="000000" w:sz="10" w:space="0"/>
            </w:tcBorders>
            <w:vAlign w:val="center"/>
          </w:tcPr>
          <w:p w14:paraId="798E8E08">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正午反照率</w:t>
            </w:r>
          </w:p>
        </w:tc>
        <w:tc>
          <w:tcPr>
            <w:tcW w:w="901" w:type="pct"/>
            <w:tcBorders>
              <w:right w:val="single" w:color="000000" w:sz="10" w:space="0"/>
            </w:tcBorders>
          </w:tcPr>
          <w:p w14:paraId="6CEBC85B">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BOWEN</w:t>
            </w:r>
          </w:p>
        </w:tc>
        <w:tc>
          <w:tcPr>
            <w:tcW w:w="901" w:type="pct"/>
            <w:tcBorders>
              <w:right w:val="single" w:color="000000" w:sz="10" w:space="0"/>
            </w:tcBorders>
          </w:tcPr>
          <w:p w14:paraId="2C724A37">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粗糙度</w:t>
            </w:r>
          </w:p>
        </w:tc>
      </w:tr>
      <w:tr w14:paraId="154B5D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0B4830E2">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w:t>
            </w:r>
          </w:p>
        </w:tc>
        <w:tc>
          <w:tcPr>
            <w:tcW w:w="837" w:type="pct"/>
            <w:vAlign w:val="center"/>
          </w:tcPr>
          <w:p w14:paraId="6B8812F5">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0-360</w:t>
            </w:r>
          </w:p>
        </w:tc>
        <w:tc>
          <w:tcPr>
            <w:tcW w:w="832" w:type="pct"/>
            <w:vAlign w:val="center"/>
          </w:tcPr>
          <w:p w14:paraId="5E4C3E6F">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一月</w:t>
            </w:r>
          </w:p>
        </w:tc>
        <w:tc>
          <w:tcPr>
            <w:tcW w:w="901" w:type="pct"/>
            <w:tcBorders>
              <w:right w:val="single" w:color="000000" w:sz="10" w:space="0"/>
            </w:tcBorders>
            <w:vAlign w:val="center"/>
          </w:tcPr>
          <w:p w14:paraId="2E0404DD">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0.6</w:t>
            </w:r>
          </w:p>
        </w:tc>
        <w:tc>
          <w:tcPr>
            <w:tcW w:w="901" w:type="pct"/>
            <w:tcBorders>
              <w:right w:val="single" w:color="000000" w:sz="10" w:space="0"/>
            </w:tcBorders>
          </w:tcPr>
          <w:p w14:paraId="6B3B5246">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1.5</w:t>
            </w:r>
          </w:p>
        </w:tc>
        <w:tc>
          <w:tcPr>
            <w:tcW w:w="901" w:type="pct"/>
            <w:tcBorders>
              <w:right w:val="single" w:color="000000" w:sz="10" w:space="0"/>
            </w:tcBorders>
          </w:tcPr>
          <w:p w14:paraId="5DD025EA">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0.01</w:t>
            </w:r>
          </w:p>
        </w:tc>
      </w:tr>
      <w:tr w14:paraId="278E3D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075A2225">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w:t>
            </w:r>
          </w:p>
        </w:tc>
        <w:tc>
          <w:tcPr>
            <w:tcW w:w="837" w:type="pct"/>
            <w:vAlign w:val="center"/>
          </w:tcPr>
          <w:p w14:paraId="27DCA069">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0-360</w:t>
            </w:r>
          </w:p>
        </w:tc>
        <w:tc>
          <w:tcPr>
            <w:tcW w:w="832" w:type="pct"/>
            <w:vAlign w:val="center"/>
          </w:tcPr>
          <w:p w14:paraId="5602B41C">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二月</w:t>
            </w:r>
          </w:p>
        </w:tc>
        <w:tc>
          <w:tcPr>
            <w:tcW w:w="901" w:type="pct"/>
            <w:tcBorders>
              <w:right w:val="single" w:color="000000" w:sz="10" w:space="0"/>
            </w:tcBorders>
            <w:vAlign w:val="center"/>
          </w:tcPr>
          <w:p w14:paraId="40C47974">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0.6</w:t>
            </w:r>
          </w:p>
        </w:tc>
        <w:tc>
          <w:tcPr>
            <w:tcW w:w="901" w:type="pct"/>
            <w:tcBorders>
              <w:right w:val="single" w:color="000000" w:sz="10" w:space="0"/>
            </w:tcBorders>
          </w:tcPr>
          <w:p w14:paraId="4C742477">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1.5</w:t>
            </w:r>
          </w:p>
        </w:tc>
        <w:tc>
          <w:tcPr>
            <w:tcW w:w="901" w:type="pct"/>
            <w:tcBorders>
              <w:right w:val="single" w:color="000000" w:sz="10" w:space="0"/>
            </w:tcBorders>
          </w:tcPr>
          <w:p w14:paraId="1EA7D475">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0.01</w:t>
            </w:r>
          </w:p>
        </w:tc>
      </w:tr>
      <w:tr w14:paraId="5595E3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16CEF6A5">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w:t>
            </w:r>
          </w:p>
        </w:tc>
        <w:tc>
          <w:tcPr>
            <w:tcW w:w="837" w:type="pct"/>
            <w:vAlign w:val="center"/>
          </w:tcPr>
          <w:p w14:paraId="1CD8C9FF">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0-360</w:t>
            </w:r>
          </w:p>
        </w:tc>
        <w:tc>
          <w:tcPr>
            <w:tcW w:w="832" w:type="pct"/>
            <w:vAlign w:val="center"/>
          </w:tcPr>
          <w:p w14:paraId="43C9FC00">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三月</w:t>
            </w:r>
          </w:p>
        </w:tc>
        <w:tc>
          <w:tcPr>
            <w:tcW w:w="901" w:type="pct"/>
            <w:tcBorders>
              <w:right w:val="single" w:color="000000" w:sz="10" w:space="0"/>
            </w:tcBorders>
            <w:vAlign w:val="center"/>
          </w:tcPr>
          <w:p w14:paraId="36D566F7">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0.14</w:t>
            </w:r>
          </w:p>
        </w:tc>
        <w:tc>
          <w:tcPr>
            <w:tcW w:w="901" w:type="pct"/>
            <w:tcBorders>
              <w:right w:val="single" w:color="000000" w:sz="10" w:space="0"/>
            </w:tcBorders>
          </w:tcPr>
          <w:p w14:paraId="33DBD8D7">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0.3</w:t>
            </w:r>
          </w:p>
        </w:tc>
        <w:tc>
          <w:tcPr>
            <w:tcW w:w="901" w:type="pct"/>
            <w:tcBorders>
              <w:right w:val="single" w:color="000000" w:sz="10" w:space="0"/>
            </w:tcBorders>
          </w:tcPr>
          <w:p w14:paraId="141A720C">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0.03</w:t>
            </w:r>
          </w:p>
        </w:tc>
      </w:tr>
      <w:tr w14:paraId="652313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725292C2">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w:t>
            </w:r>
          </w:p>
        </w:tc>
        <w:tc>
          <w:tcPr>
            <w:tcW w:w="837" w:type="pct"/>
            <w:vAlign w:val="center"/>
          </w:tcPr>
          <w:p w14:paraId="64D50CA4">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0-360</w:t>
            </w:r>
          </w:p>
        </w:tc>
        <w:tc>
          <w:tcPr>
            <w:tcW w:w="832" w:type="pct"/>
            <w:vAlign w:val="center"/>
          </w:tcPr>
          <w:p w14:paraId="5C52ECA2">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四月</w:t>
            </w:r>
          </w:p>
        </w:tc>
        <w:tc>
          <w:tcPr>
            <w:tcW w:w="901" w:type="pct"/>
            <w:tcBorders>
              <w:right w:val="single" w:color="000000" w:sz="10" w:space="0"/>
            </w:tcBorders>
            <w:vAlign w:val="center"/>
          </w:tcPr>
          <w:p w14:paraId="744CE2C2">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0.14</w:t>
            </w:r>
          </w:p>
        </w:tc>
        <w:tc>
          <w:tcPr>
            <w:tcW w:w="901" w:type="pct"/>
            <w:tcBorders>
              <w:right w:val="single" w:color="000000" w:sz="10" w:space="0"/>
            </w:tcBorders>
          </w:tcPr>
          <w:p w14:paraId="44A4197F">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0.3</w:t>
            </w:r>
          </w:p>
        </w:tc>
        <w:tc>
          <w:tcPr>
            <w:tcW w:w="901" w:type="pct"/>
            <w:tcBorders>
              <w:right w:val="single" w:color="000000" w:sz="10" w:space="0"/>
            </w:tcBorders>
          </w:tcPr>
          <w:p w14:paraId="66730210">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0.03</w:t>
            </w:r>
          </w:p>
        </w:tc>
      </w:tr>
      <w:tr w14:paraId="1559E1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0DAA40FC">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w:t>
            </w:r>
          </w:p>
        </w:tc>
        <w:tc>
          <w:tcPr>
            <w:tcW w:w="837" w:type="pct"/>
            <w:vAlign w:val="center"/>
          </w:tcPr>
          <w:p w14:paraId="578BBC7E">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0-360</w:t>
            </w:r>
          </w:p>
        </w:tc>
        <w:tc>
          <w:tcPr>
            <w:tcW w:w="832" w:type="pct"/>
            <w:vAlign w:val="center"/>
          </w:tcPr>
          <w:p w14:paraId="26CB096A">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五月</w:t>
            </w:r>
          </w:p>
        </w:tc>
        <w:tc>
          <w:tcPr>
            <w:tcW w:w="901" w:type="pct"/>
            <w:tcBorders>
              <w:right w:val="single" w:color="000000" w:sz="10" w:space="0"/>
            </w:tcBorders>
            <w:vAlign w:val="center"/>
          </w:tcPr>
          <w:p w14:paraId="5634E09A">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0.14</w:t>
            </w:r>
          </w:p>
        </w:tc>
        <w:tc>
          <w:tcPr>
            <w:tcW w:w="901" w:type="pct"/>
            <w:tcBorders>
              <w:right w:val="single" w:color="000000" w:sz="10" w:space="0"/>
            </w:tcBorders>
          </w:tcPr>
          <w:p w14:paraId="45995D85">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0.3</w:t>
            </w:r>
          </w:p>
        </w:tc>
        <w:tc>
          <w:tcPr>
            <w:tcW w:w="901" w:type="pct"/>
            <w:tcBorders>
              <w:right w:val="single" w:color="000000" w:sz="10" w:space="0"/>
            </w:tcBorders>
          </w:tcPr>
          <w:p w14:paraId="27A58E89">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0.03</w:t>
            </w:r>
          </w:p>
        </w:tc>
      </w:tr>
      <w:tr w14:paraId="09D96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3435931C">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w:t>
            </w:r>
          </w:p>
        </w:tc>
        <w:tc>
          <w:tcPr>
            <w:tcW w:w="837" w:type="pct"/>
            <w:vAlign w:val="center"/>
          </w:tcPr>
          <w:p w14:paraId="06595A4A">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0-360</w:t>
            </w:r>
          </w:p>
        </w:tc>
        <w:tc>
          <w:tcPr>
            <w:tcW w:w="832" w:type="pct"/>
            <w:vAlign w:val="center"/>
          </w:tcPr>
          <w:p w14:paraId="2CE97671">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六月</w:t>
            </w:r>
          </w:p>
        </w:tc>
        <w:tc>
          <w:tcPr>
            <w:tcW w:w="901" w:type="pct"/>
            <w:tcBorders>
              <w:right w:val="single" w:color="000000" w:sz="10" w:space="0"/>
            </w:tcBorders>
            <w:vAlign w:val="center"/>
          </w:tcPr>
          <w:p w14:paraId="13719150">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0.2</w:t>
            </w:r>
          </w:p>
        </w:tc>
        <w:tc>
          <w:tcPr>
            <w:tcW w:w="901" w:type="pct"/>
            <w:tcBorders>
              <w:right w:val="single" w:color="000000" w:sz="10" w:space="0"/>
            </w:tcBorders>
          </w:tcPr>
          <w:p w14:paraId="06E06FC0">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0.5</w:t>
            </w:r>
          </w:p>
        </w:tc>
        <w:tc>
          <w:tcPr>
            <w:tcW w:w="901" w:type="pct"/>
            <w:tcBorders>
              <w:right w:val="single" w:color="000000" w:sz="10" w:space="0"/>
            </w:tcBorders>
          </w:tcPr>
          <w:p w14:paraId="6B2BC960">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0.2</w:t>
            </w:r>
          </w:p>
        </w:tc>
      </w:tr>
      <w:tr w14:paraId="3E88B7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73D10091">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w:t>
            </w:r>
          </w:p>
        </w:tc>
        <w:tc>
          <w:tcPr>
            <w:tcW w:w="837" w:type="pct"/>
            <w:vAlign w:val="center"/>
          </w:tcPr>
          <w:p w14:paraId="340FA107">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0-360</w:t>
            </w:r>
          </w:p>
        </w:tc>
        <w:tc>
          <w:tcPr>
            <w:tcW w:w="832" w:type="pct"/>
            <w:vAlign w:val="center"/>
          </w:tcPr>
          <w:p w14:paraId="56A1682D">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七月</w:t>
            </w:r>
          </w:p>
        </w:tc>
        <w:tc>
          <w:tcPr>
            <w:tcW w:w="901" w:type="pct"/>
            <w:tcBorders>
              <w:right w:val="single" w:color="000000" w:sz="10" w:space="0"/>
            </w:tcBorders>
            <w:vAlign w:val="center"/>
          </w:tcPr>
          <w:p w14:paraId="09267000">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0.2</w:t>
            </w:r>
          </w:p>
        </w:tc>
        <w:tc>
          <w:tcPr>
            <w:tcW w:w="901" w:type="pct"/>
            <w:tcBorders>
              <w:right w:val="single" w:color="000000" w:sz="10" w:space="0"/>
            </w:tcBorders>
          </w:tcPr>
          <w:p w14:paraId="22A367D3">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0.5</w:t>
            </w:r>
          </w:p>
        </w:tc>
        <w:tc>
          <w:tcPr>
            <w:tcW w:w="901" w:type="pct"/>
            <w:tcBorders>
              <w:right w:val="single" w:color="000000" w:sz="10" w:space="0"/>
            </w:tcBorders>
          </w:tcPr>
          <w:p w14:paraId="71D2C97D">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0.2</w:t>
            </w:r>
          </w:p>
        </w:tc>
      </w:tr>
      <w:tr w14:paraId="41956B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1DEDA8D2">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8</w:t>
            </w:r>
          </w:p>
        </w:tc>
        <w:tc>
          <w:tcPr>
            <w:tcW w:w="837" w:type="pct"/>
            <w:vAlign w:val="center"/>
          </w:tcPr>
          <w:p w14:paraId="41724692">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0-360</w:t>
            </w:r>
          </w:p>
        </w:tc>
        <w:tc>
          <w:tcPr>
            <w:tcW w:w="832" w:type="pct"/>
            <w:vAlign w:val="center"/>
          </w:tcPr>
          <w:p w14:paraId="580A376A">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八月</w:t>
            </w:r>
          </w:p>
        </w:tc>
        <w:tc>
          <w:tcPr>
            <w:tcW w:w="901" w:type="pct"/>
            <w:tcBorders>
              <w:right w:val="single" w:color="000000" w:sz="10" w:space="0"/>
            </w:tcBorders>
            <w:vAlign w:val="center"/>
          </w:tcPr>
          <w:p w14:paraId="1AFCB853">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0.2</w:t>
            </w:r>
          </w:p>
        </w:tc>
        <w:tc>
          <w:tcPr>
            <w:tcW w:w="901" w:type="pct"/>
            <w:tcBorders>
              <w:right w:val="single" w:color="000000" w:sz="10" w:space="0"/>
            </w:tcBorders>
          </w:tcPr>
          <w:p w14:paraId="6C380152">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0.5</w:t>
            </w:r>
          </w:p>
        </w:tc>
        <w:tc>
          <w:tcPr>
            <w:tcW w:w="901" w:type="pct"/>
            <w:tcBorders>
              <w:right w:val="single" w:color="000000" w:sz="10" w:space="0"/>
            </w:tcBorders>
          </w:tcPr>
          <w:p w14:paraId="3B979755">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0.2</w:t>
            </w:r>
          </w:p>
        </w:tc>
      </w:tr>
      <w:tr w14:paraId="5FE6D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1C3B7CE6">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9</w:t>
            </w:r>
          </w:p>
        </w:tc>
        <w:tc>
          <w:tcPr>
            <w:tcW w:w="837" w:type="pct"/>
            <w:vAlign w:val="center"/>
          </w:tcPr>
          <w:p w14:paraId="313347F7">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0-360</w:t>
            </w:r>
          </w:p>
        </w:tc>
        <w:tc>
          <w:tcPr>
            <w:tcW w:w="832" w:type="pct"/>
            <w:vAlign w:val="center"/>
          </w:tcPr>
          <w:p w14:paraId="175CA25A">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九月</w:t>
            </w:r>
          </w:p>
        </w:tc>
        <w:tc>
          <w:tcPr>
            <w:tcW w:w="901" w:type="pct"/>
            <w:tcBorders>
              <w:right w:val="single" w:color="000000" w:sz="10" w:space="0"/>
            </w:tcBorders>
            <w:vAlign w:val="center"/>
          </w:tcPr>
          <w:p w14:paraId="57CD2572">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0.18</w:t>
            </w:r>
          </w:p>
        </w:tc>
        <w:tc>
          <w:tcPr>
            <w:tcW w:w="901" w:type="pct"/>
            <w:tcBorders>
              <w:right w:val="single" w:color="000000" w:sz="10" w:space="0"/>
            </w:tcBorders>
          </w:tcPr>
          <w:p w14:paraId="74225C94">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0.7</w:t>
            </w:r>
          </w:p>
        </w:tc>
        <w:tc>
          <w:tcPr>
            <w:tcW w:w="901" w:type="pct"/>
            <w:tcBorders>
              <w:right w:val="single" w:color="000000" w:sz="10" w:space="0"/>
            </w:tcBorders>
          </w:tcPr>
          <w:p w14:paraId="6546959F">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0.05</w:t>
            </w:r>
          </w:p>
        </w:tc>
      </w:tr>
      <w:tr w14:paraId="069676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36066ACE">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10</w:t>
            </w:r>
          </w:p>
        </w:tc>
        <w:tc>
          <w:tcPr>
            <w:tcW w:w="837" w:type="pct"/>
            <w:vAlign w:val="center"/>
          </w:tcPr>
          <w:p w14:paraId="2F3C3B93">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0-360</w:t>
            </w:r>
          </w:p>
        </w:tc>
        <w:tc>
          <w:tcPr>
            <w:tcW w:w="832" w:type="pct"/>
            <w:vAlign w:val="center"/>
          </w:tcPr>
          <w:p w14:paraId="34C64EF8">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十月</w:t>
            </w:r>
          </w:p>
        </w:tc>
        <w:tc>
          <w:tcPr>
            <w:tcW w:w="901" w:type="pct"/>
            <w:tcBorders>
              <w:right w:val="single" w:color="000000" w:sz="10" w:space="0"/>
            </w:tcBorders>
            <w:vAlign w:val="center"/>
          </w:tcPr>
          <w:p w14:paraId="36D04E65">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0.18</w:t>
            </w:r>
          </w:p>
        </w:tc>
        <w:tc>
          <w:tcPr>
            <w:tcW w:w="901" w:type="pct"/>
            <w:tcBorders>
              <w:right w:val="single" w:color="000000" w:sz="10" w:space="0"/>
            </w:tcBorders>
          </w:tcPr>
          <w:p w14:paraId="705C4B69">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0.7</w:t>
            </w:r>
          </w:p>
        </w:tc>
        <w:tc>
          <w:tcPr>
            <w:tcW w:w="901" w:type="pct"/>
            <w:tcBorders>
              <w:right w:val="single" w:color="000000" w:sz="10" w:space="0"/>
            </w:tcBorders>
          </w:tcPr>
          <w:p w14:paraId="1FC5E95E">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0.05</w:t>
            </w:r>
          </w:p>
        </w:tc>
      </w:tr>
      <w:tr w14:paraId="00D096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553E34DD">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11</w:t>
            </w:r>
          </w:p>
        </w:tc>
        <w:tc>
          <w:tcPr>
            <w:tcW w:w="837" w:type="pct"/>
            <w:vAlign w:val="center"/>
          </w:tcPr>
          <w:p w14:paraId="4E7EE591">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0-360</w:t>
            </w:r>
          </w:p>
        </w:tc>
        <w:tc>
          <w:tcPr>
            <w:tcW w:w="832" w:type="pct"/>
            <w:vAlign w:val="center"/>
          </w:tcPr>
          <w:p w14:paraId="7539B900">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十一月</w:t>
            </w:r>
          </w:p>
        </w:tc>
        <w:tc>
          <w:tcPr>
            <w:tcW w:w="901" w:type="pct"/>
            <w:tcBorders>
              <w:right w:val="single" w:color="000000" w:sz="10" w:space="0"/>
            </w:tcBorders>
            <w:vAlign w:val="center"/>
          </w:tcPr>
          <w:p w14:paraId="427B2039">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0.18</w:t>
            </w:r>
          </w:p>
        </w:tc>
        <w:tc>
          <w:tcPr>
            <w:tcW w:w="901" w:type="pct"/>
            <w:tcBorders>
              <w:right w:val="single" w:color="000000" w:sz="10" w:space="0"/>
            </w:tcBorders>
          </w:tcPr>
          <w:p w14:paraId="089001DA">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0.7</w:t>
            </w:r>
          </w:p>
        </w:tc>
        <w:tc>
          <w:tcPr>
            <w:tcW w:w="901" w:type="pct"/>
            <w:tcBorders>
              <w:right w:val="single" w:color="000000" w:sz="10" w:space="0"/>
            </w:tcBorders>
          </w:tcPr>
          <w:p w14:paraId="17A3C531">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0.05</w:t>
            </w:r>
          </w:p>
        </w:tc>
      </w:tr>
      <w:tr w14:paraId="14D21B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5D336B09">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12</w:t>
            </w:r>
          </w:p>
        </w:tc>
        <w:tc>
          <w:tcPr>
            <w:tcW w:w="837" w:type="pct"/>
            <w:vAlign w:val="center"/>
          </w:tcPr>
          <w:p w14:paraId="189E0FB7">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0-360</w:t>
            </w:r>
          </w:p>
        </w:tc>
        <w:tc>
          <w:tcPr>
            <w:tcW w:w="832" w:type="pct"/>
            <w:vAlign w:val="center"/>
          </w:tcPr>
          <w:p w14:paraId="02CD9D73">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十二月</w:t>
            </w:r>
          </w:p>
        </w:tc>
        <w:tc>
          <w:tcPr>
            <w:tcW w:w="901" w:type="pct"/>
            <w:tcBorders>
              <w:right w:val="single" w:color="000000" w:sz="10" w:space="0"/>
            </w:tcBorders>
            <w:vAlign w:val="center"/>
          </w:tcPr>
          <w:p w14:paraId="251E0092">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0.6</w:t>
            </w:r>
          </w:p>
        </w:tc>
        <w:tc>
          <w:tcPr>
            <w:tcW w:w="901" w:type="pct"/>
            <w:tcBorders>
              <w:right w:val="single" w:color="000000" w:sz="10" w:space="0"/>
            </w:tcBorders>
          </w:tcPr>
          <w:p w14:paraId="0B08B8F0">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1.5</w:t>
            </w:r>
          </w:p>
        </w:tc>
        <w:tc>
          <w:tcPr>
            <w:tcW w:w="901" w:type="pct"/>
            <w:tcBorders>
              <w:right w:val="single" w:color="000000" w:sz="10" w:space="0"/>
            </w:tcBorders>
          </w:tcPr>
          <w:p w14:paraId="68AB75C6">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0.01</w:t>
            </w:r>
          </w:p>
        </w:tc>
      </w:tr>
    </w:tbl>
    <w:p w14:paraId="5B7C8128">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（4）环境空气保护目标及网格点环境质量现状浓度</w:t>
      </w:r>
    </w:p>
    <w:p w14:paraId="5273B60B">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对于区块NMHC采用1个点位补充监测数据（</w:t>
      </w:r>
      <w:r>
        <w:rPr>
          <w:rFonts w:hint="eastAsia" w:ascii="Times New Roman" w:hAnsi="Times New Roman" w:cs="Times New Roman"/>
          <w:color w:val="auto"/>
          <w:w w:val="99"/>
          <w:highlight w:val="none"/>
        </w:rPr>
        <w:t>邢家围子</w:t>
      </w:r>
      <w:r>
        <w:rPr>
          <w:rFonts w:ascii="Times New Roman" w:hAnsi="Times New Roman" w:cs="Times New Roman"/>
          <w:color w:val="auto"/>
          <w:w w:val="99"/>
          <w:highlight w:val="none"/>
          <w:lang w:val="zh-CN"/>
        </w:rPr>
        <w:t>屯）作为环境空气保护目标及网格点环境质量现状浓度，首先计算相同时刻各监测点位平均值，再取各监测时段平均值中的最大值作为环境空气保护目标及网格点环境质量现状浓度。</w:t>
      </w:r>
    </w:p>
    <w:p w14:paraId="3C1BAE05">
      <w:pPr>
        <w:pStyle w:val="153"/>
        <w:widowControl w:val="0"/>
        <w:spacing w:line="440" w:lineRule="exact"/>
        <w:ind w:firstLine="474"/>
        <w:jc w:val="both"/>
        <w:rPr>
          <w:rFonts w:ascii="Times New Roman" w:hAnsi="Times New Roman"/>
          <w:b/>
          <w:color w:val="auto"/>
          <w:w w:val="99"/>
          <w:highlight w:val="none"/>
          <w:lang w:val="zh-CN"/>
        </w:rPr>
      </w:pPr>
      <w:r>
        <w:rPr>
          <w:rFonts w:ascii="Times New Roman" w:hAnsi="Times New Roman"/>
          <w:b/>
          <w:color w:val="auto"/>
          <w:w w:val="99"/>
          <w:highlight w:val="none"/>
          <w:lang w:val="zh-CN"/>
        </w:rPr>
        <w:t>表5.1-11    预测背景值</w:t>
      </w:r>
    </w:p>
    <w:tbl>
      <w:tblPr>
        <w:tblStyle w:val="1662"/>
        <w:tblW w:w="501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790"/>
        <w:gridCol w:w="1509"/>
        <w:gridCol w:w="1867"/>
        <w:gridCol w:w="3952"/>
      </w:tblGrid>
      <w:tr w14:paraId="7E92AF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981" w:type="pct"/>
            <w:vAlign w:val="center"/>
          </w:tcPr>
          <w:p w14:paraId="0CEFD07C">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预测因子</w:t>
            </w:r>
          </w:p>
        </w:tc>
        <w:tc>
          <w:tcPr>
            <w:tcW w:w="827" w:type="pct"/>
            <w:vAlign w:val="center"/>
          </w:tcPr>
          <w:p w14:paraId="671DD047">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类型</w:t>
            </w:r>
          </w:p>
        </w:tc>
        <w:tc>
          <w:tcPr>
            <w:tcW w:w="1023" w:type="pct"/>
            <w:vAlign w:val="center"/>
          </w:tcPr>
          <w:p w14:paraId="7DCC2C93">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背景值µg/m</w:t>
            </w:r>
            <w:r>
              <w:rPr>
                <w:rFonts w:ascii="Times New Roman" w:hAnsi="Times New Roman" w:cs="Times New Roman"/>
                <w:color w:val="auto"/>
                <w:w w:val="99"/>
                <w:sz w:val="21"/>
                <w:szCs w:val="21"/>
                <w:highlight w:val="none"/>
                <w:vertAlign w:val="superscript"/>
                <w:lang w:eastAsia="en-US"/>
              </w:rPr>
              <w:t>3</w:t>
            </w:r>
          </w:p>
        </w:tc>
        <w:tc>
          <w:tcPr>
            <w:tcW w:w="2166" w:type="pct"/>
            <w:tcBorders>
              <w:right w:val="single" w:color="000000" w:sz="10" w:space="0"/>
            </w:tcBorders>
            <w:vAlign w:val="center"/>
          </w:tcPr>
          <w:p w14:paraId="1CD6FC1D">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来源</w:t>
            </w:r>
          </w:p>
        </w:tc>
      </w:tr>
      <w:tr w14:paraId="4E2B2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981" w:type="pct"/>
            <w:vAlign w:val="center"/>
          </w:tcPr>
          <w:p w14:paraId="5C765360">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NMHC</w:t>
            </w:r>
          </w:p>
        </w:tc>
        <w:tc>
          <w:tcPr>
            <w:tcW w:w="827" w:type="pct"/>
            <w:vAlign w:val="center"/>
          </w:tcPr>
          <w:p w14:paraId="42697B64">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小时值</w:t>
            </w:r>
          </w:p>
        </w:tc>
        <w:tc>
          <w:tcPr>
            <w:tcW w:w="1023" w:type="pct"/>
            <w:vAlign w:val="center"/>
          </w:tcPr>
          <w:p w14:paraId="63AF8C49">
            <w:pPr>
              <w:widowControl w:val="0"/>
              <w:spacing w:line="32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610</w:t>
            </w:r>
          </w:p>
        </w:tc>
        <w:tc>
          <w:tcPr>
            <w:tcW w:w="2166" w:type="pct"/>
            <w:tcBorders>
              <w:right w:val="single" w:color="000000" w:sz="10" w:space="0"/>
            </w:tcBorders>
            <w:vAlign w:val="center"/>
          </w:tcPr>
          <w:p w14:paraId="60A5A801">
            <w:pPr>
              <w:widowControl w:val="0"/>
              <w:spacing w:line="32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补充监测数据最大值</w:t>
            </w:r>
          </w:p>
        </w:tc>
      </w:tr>
    </w:tbl>
    <w:p w14:paraId="686730B3">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（5）预测范围</w:t>
      </w:r>
    </w:p>
    <w:p w14:paraId="59C43FDB">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根据导则要求，预测范围应覆盖评价范围，且覆盖各污染物短期浓度贡献值占标率大于10%的区域，根据AERMOD模型预测结果，本项目废气污染物占标率10%最远影响距离不超过2.5km，因此确定本工程预测范围为以井场为中心外扩2.5km的矩形区域。</w:t>
      </w:r>
    </w:p>
    <w:p w14:paraId="58D2A5ED">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（2）预测参数及情景组合</w:t>
      </w:r>
    </w:p>
    <w:p w14:paraId="2434481F">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①预测因子：非甲烷总烃；</w:t>
      </w:r>
    </w:p>
    <w:p w14:paraId="04BF8AA2">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②预测范围：覆盖评价范围，以井场为中心外扩2.5km。</w:t>
      </w:r>
    </w:p>
    <w:p w14:paraId="43361343">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③网格划分：预测网格间距100m。</w:t>
      </w:r>
    </w:p>
    <w:p w14:paraId="0C8DC3D7">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④预测周期：根据导则要求，依据评价所需环境空气质量现状、气象资料等数据的可获得性、数据质量、代表性等因素，选择近3年中数据相对完整的1个日历年作为评价基准年。因此可选择202</w:t>
      </w:r>
      <w:r>
        <w:rPr>
          <w:rFonts w:hint="eastAsia" w:ascii="Times New Roman" w:hAnsi="Times New Roman" w:cs="Times New Roman"/>
          <w:color w:val="auto"/>
          <w:w w:val="99"/>
          <w:highlight w:val="none"/>
        </w:rPr>
        <w:t>4</w:t>
      </w:r>
      <w:r>
        <w:rPr>
          <w:rFonts w:ascii="Times New Roman" w:hAnsi="Times New Roman" w:cs="Times New Roman"/>
          <w:color w:val="auto"/>
          <w:w w:val="99"/>
          <w:highlight w:val="none"/>
          <w:lang w:val="zh-CN"/>
        </w:rPr>
        <w:t>年为评价基准年，预测周期为连续1年。</w:t>
      </w:r>
    </w:p>
    <w:p w14:paraId="359EC20F">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⑤敏感点：</w:t>
      </w:r>
      <w:r>
        <w:rPr>
          <w:rFonts w:hint="eastAsia" w:ascii="Times New Roman" w:hAnsi="Times New Roman" w:cs="Times New Roman"/>
          <w:color w:val="auto"/>
          <w:w w:val="99"/>
          <w:highlight w:val="none"/>
        </w:rPr>
        <w:t>邢家围子</w:t>
      </w:r>
      <w:r>
        <w:rPr>
          <w:rFonts w:ascii="Times New Roman" w:hAnsi="Times New Roman" w:cs="Times New Roman"/>
          <w:color w:val="auto"/>
          <w:w w:val="99"/>
          <w:highlight w:val="none"/>
        </w:rPr>
        <w:t>屯、</w:t>
      </w:r>
      <w:r>
        <w:rPr>
          <w:rFonts w:hint="eastAsia" w:ascii="Times New Roman" w:hAnsi="Times New Roman" w:cs="Times New Roman"/>
          <w:color w:val="auto"/>
          <w:w w:val="99"/>
          <w:highlight w:val="none"/>
        </w:rPr>
        <w:t>福龙村</w:t>
      </w:r>
      <w:r>
        <w:rPr>
          <w:rFonts w:ascii="Times New Roman" w:hAnsi="Times New Roman" w:cs="Times New Roman"/>
          <w:color w:val="auto"/>
          <w:w w:val="99"/>
          <w:highlight w:val="none"/>
        </w:rPr>
        <w:t>、</w:t>
      </w:r>
      <w:r>
        <w:rPr>
          <w:rFonts w:hint="eastAsia" w:ascii="Times New Roman" w:hAnsi="Times New Roman" w:cs="Times New Roman"/>
          <w:color w:val="auto"/>
          <w:w w:val="99"/>
          <w:highlight w:val="none"/>
        </w:rPr>
        <w:t>王家围子</w:t>
      </w:r>
      <w:r>
        <w:rPr>
          <w:rFonts w:ascii="Times New Roman" w:hAnsi="Times New Roman" w:cs="Times New Roman"/>
          <w:color w:val="auto"/>
          <w:w w:val="99"/>
          <w:highlight w:val="none"/>
        </w:rPr>
        <w:t>屯</w:t>
      </w:r>
      <w:r>
        <w:rPr>
          <w:rFonts w:hint="eastAsia" w:ascii="Times New Roman" w:hAnsi="Times New Roman" w:cs="Times New Roman"/>
          <w:color w:val="auto"/>
          <w:w w:val="99"/>
          <w:highlight w:val="none"/>
        </w:rPr>
        <w:t>等</w:t>
      </w:r>
      <w:r>
        <w:rPr>
          <w:rFonts w:ascii="Times New Roman" w:hAnsi="Times New Roman" w:cs="Times New Roman"/>
          <w:color w:val="auto"/>
          <w:w w:val="99"/>
          <w:highlight w:val="none"/>
          <w:lang w:val="zh-CN"/>
        </w:rPr>
        <w:t>。</w:t>
      </w:r>
    </w:p>
    <w:p w14:paraId="268780B5">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⑥预测与评价内容</w:t>
      </w:r>
    </w:p>
    <w:p w14:paraId="37616FA1">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本评价大气环境影响预测与评价内容见表5.1-12。</w:t>
      </w:r>
    </w:p>
    <w:p w14:paraId="30043F18">
      <w:pPr>
        <w:pStyle w:val="153"/>
        <w:widowControl w:val="0"/>
        <w:spacing w:line="440" w:lineRule="exact"/>
        <w:ind w:firstLine="474"/>
        <w:jc w:val="both"/>
        <w:rPr>
          <w:rFonts w:ascii="Times New Roman" w:hAnsi="Times New Roman"/>
          <w:b/>
          <w:color w:val="auto"/>
          <w:w w:val="99"/>
          <w:highlight w:val="none"/>
        </w:rPr>
      </w:pPr>
      <w:r>
        <w:rPr>
          <w:rFonts w:ascii="Times New Roman" w:hAnsi="Times New Roman"/>
          <w:b/>
          <w:color w:val="auto"/>
          <w:w w:val="99"/>
          <w:highlight w:val="none"/>
        </w:rPr>
        <w:t xml:space="preserve">表5.1-12    </w:t>
      </w:r>
      <w:r>
        <w:rPr>
          <w:rFonts w:ascii="Times New Roman" w:hAnsi="Times New Roman"/>
          <w:b/>
          <w:color w:val="auto"/>
          <w:w w:val="99"/>
          <w:highlight w:val="none"/>
          <w:lang w:val="zh-CN"/>
        </w:rPr>
        <w:t>大气环境</w:t>
      </w:r>
      <w:r>
        <w:rPr>
          <w:rFonts w:ascii="Times New Roman" w:hAnsi="Times New Roman"/>
          <w:b/>
          <w:color w:val="auto"/>
          <w:w w:val="99"/>
          <w:highlight w:val="none"/>
        </w:rPr>
        <w:t>影响预测与评价内容</w:t>
      </w:r>
    </w:p>
    <w:tbl>
      <w:tblPr>
        <w:tblStyle w:val="8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
        <w:gridCol w:w="2074"/>
        <w:gridCol w:w="1558"/>
        <w:gridCol w:w="1359"/>
        <w:gridCol w:w="3292"/>
      </w:tblGrid>
      <w:tr w14:paraId="7CF1A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537" w:type="pct"/>
            <w:tcBorders>
              <w:tl2br w:val="nil"/>
              <w:tr2bl w:val="nil"/>
            </w:tcBorders>
            <w:noWrap w:val="0"/>
            <w:vAlign w:val="center"/>
          </w:tcPr>
          <w:p w14:paraId="739CA797">
            <w:pPr>
              <w:widowControl w:val="0"/>
              <w:spacing w:line="320" w:lineRule="exact"/>
              <w:jc w:val="center"/>
              <w:rPr>
                <w:rFonts w:hint="default" w:ascii="Times New Roman" w:hAnsi="Times New Roman" w:cs="Times New Roman"/>
                <w:color w:val="auto"/>
                <w:w w:val="99"/>
                <w:sz w:val="21"/>
                <w:szCs w:val="21"/>
                <w:highlight w:val="none"/>
                <w:lang w:eastAsia="zh-CN"/>
              </w:rPr>
            </w:pPr>
            <w:r>
              <w:rPr>
                <w:rFonts w:hint="default" w:ascii="Times New Roman" w:hAnsi="Times New Roman" w:cs="Times New Roman"/>
                <w:color w:val="auto"/>
                <w:w w:val="99"/>
                <w:sz w:val="21"/>
                <w:szCs w:val="21"/>
                <w:highlight w:val="none"/>
                <w:lang w:eastAsia="zh-CN"/>
              </w:rPr>
              <w:t>评价</w:t>
            </w:r>
          </w:p>
          <w:p w14:paraId="01DC50D8">
            <w:pPr>
              <w:widowControl w:val="0"/>
              <w:spacing w:line="320" w:lineRule="exact"/>
              <w:jc w:val="center"/>
              <w:rPr>
                <w:rFonts w:hint="default" w:ascii="Times New Roman" w:hAnsi="Times New Roman" w:cs="Times New Roman"/>
                <w:color w:val="auto"/>
                <w:w w:val="99"/>
                <w:sz w:val="21"/>
                <w:szCs w:val="21"/>
                <w:highlight w:val="none"/>
                <w:lang w:eastAsia="zh-CN"/>
              </w:rPr>
            </w:pPr>
            <w:r>
              <w:rPr>
                <w:rFonts w:hint="default" w:ascii="Times New Roman" w:hAnsi="Times New Roman" w:cs="Times New Roman"/>
                <w:color w:val="auto"/>
                <w:w w:val="99"/>
                <w:sz w:val="21"/>
                <w:szCs w:val="21"/>
                <w:highlight w:val="none"/>
                <w:lang w:eastAsia="zh-CN"/>
              </w:rPr>
              <w:t>对象</w:t>
            </w:r>
          </w:p>
        </w:tc>
        <w:tc>
          <w:tcPr>
            <w:tcW w:w="1117" w:type="pct"/>
            <w:tcBorders>
              <w:tl2br w:val="nil"/>
              <w:tr2bl w:val="nil"/>
            </w:tcBorders>
            <w:noWrap w:val="0"/>
            <w:vAlign w:val="center"/>
          </w:tcPr>
          <w:p w14:paraId="04444639">
            <w:pPr>
              <w:widowControl w:val="0"/>
              <w:spacing w:line="320" w:lineRule="exact"/>
              <w:jc w:val="center"/>
              <w:rPr>
                <w:rFonts w:hint="default" w:ascii="Times New Roman" w:hAnsi="Times New Roman" w:cs="Times New Roman"/>
                <w:color w:val="auto"/>
                <w:w w:val="99"/>
                <w:sz w:val="21"/>
                <w:szCs w:val="21"/>
                <w:highlight w:val="none"/>
                <w:lang w:eastAsia="zh-CN"/>
              </w:rPr>
            </w:pPr>
            <w:r>
              <w:rPr>
                <w:rFonts w:hint="default" w:ascii="Times New Roman" w:hAnsi="Times New Roman" w:cs="Times New Roman"/>
                <w:color w:val="auto"/>
                <w:w w:val="99"/>
                <w:sz w:val="21"/>
                <w:szCs w:val="21"/>
                <w:highlight w:val="none"/>
                <w:lang w:eastAsia="zh-CN"/>
              </w:rPr>
              <w:t>污染源</w:t>
            </w:r>
          </w:p>
        </w:tc>
        <w:tc>
          <w:tcPr>
            <w:tcW w:w="839" w:type="pct"/>
            <w:tcBorders>
              <w:tl2br w:val="nil"/>
              <w:tr2bl w:val="nil"/>
            </w:tcBorders>
            <w:noWrap w:val="0"/>
            <w:vAlign w:val="center"/>
          </w:tcPr>
          <w:p w14:paraId="04B860DB">
            <w:pPr>
              <w:widowControl w:val="0"/>
              <w:spacing w:line="320" w:lineRule="exact"/>
              <w:jc w:val="center"/>
              <w:rPr>
                <w:rFonts w:hint="default" w:ascii="Times New Roman" w:hAnsi="Times New Roman" w:cs="Times New Roman"/>
                <w:color w:val="auto"/>
                <w:w w:val="99"/>
                <w:sz w:val="21"/>
                <w:szCs w:val="21"/>
                <w:highlight w:val="none"/>
                <w:lang w:eastAsia="zh-CN"/>
              </w:rPr>
            </w:pPr>
            <w:r>
              <w:rPr>
                <w:rFonts w:hint="default" w:ascii="Times New Roman" w:hAnsi="Times New Roman" w:cs="Times New Roman"/>
                <w:color w:val="auto"/>
                <w:w w:val="99"/>
                <w:sz w:val="21"/>
                <w:szCs w:val="21"/>
                <w:highlight w:val="none"/>
                <w:lang w:eastAsia="zh-CN"/>
              </w:rPr>
              <w:t>污染源</w:t>
            </w:r>
          </w:p>
          <w:p w14:paraId="7A77EF7C">
            <w:pPr>
              <w:widowControl w:val="0"/>
              <w:spacing w:line="320" w:lineRule="exact"/>
              <w:jc w:val="center"/>
              <w:rPr>
                <w:rFonts w:hint="default" w:ascii="Times New Roman" w:hAnsi="Times New Roman" w:cs="Times New Roman"/>
                <w:color w:val="auto"/>
                <w:w w:val="99"/>
                <w:sz w:val="21"/>
                <w:szCs w:val="21"/>
                <w:highlight w:val="none"/>
                <w:lang w:eastAsia="zh-CN"/>
              </w:rPr>
            </w:pPr>
            <w:r>
              <w:rPr>
                <w:rFonts w:hint="default" w:ascii="Times New Roman" w:hAnsi="Times New Roman" w:cs="Times New Roman"/>
                <w:color w:val="auto"/>
                <w:w w:val="99"/>
                <w:sz w:val="21"/>
                <w:szCs w:val="21"/>
                <w:highlight w:val="none"/>
                <w:lang w:eastAsia="zh-CN"/>
              </w:rPr>
              <w:t>排放形式</w:t>
            </w:r>
          </w:p>
        </w:tc>
        <w:tc>
          <w:tcPr>
            <w:tcW w:w="732" w:type="pct"/>
            <w:tcBorders>
              <w:tl2br w:val="nil"/>
              <w:tr2bl w:val="nil"/>
            </w:tcBorders>
            <w:noWrap w:val="0"/>
            <w:vAlign w:val="center"/>
          </w:tcPr>
          <w:p w14:paraId="2566FE37">
            <w:pPr>
              <w:widowControl w:val="0"/>
              <w:spacing w:line="320" w:lineRule="exact"/>
              <w:jc w:val="center"/>
              <w:rPr>
                <w:rFonts w:hint="default" w:ascii="Times New Roman" w:hAnsi="Times New Roman" w:cs="Times New Roman"/>
                <w:color w:val="auto"/>
                <w:w w:val="99"/>
                <w:sz w:val="21"/>
                <w:szCs w:val="21"/>
                <w:highlight w:val="none"/>
                <w:lang w:eastAsia="zh-CN"/>
              </w:rPr>
            </w:pPr>
            <w:r>
              <w:rPr>
                <w:rFonts w:hint="default" w:ascii="Times New Roman" w:hAnsi="Times New Roman" w:cs="Times New Roman"/>
                <w:color w:val="auto"/>
                <w:w w:val="99"/>
                <w:sz w:val="21"/>
                <w:szCs w:val="21"/>
                <w:highlight w:val="none"/>
                <w:lang w:eastAsia="zh-CN"/>
              </w:rPr>
              <w:t>预测内容</w:t>
            </w:r>
          </w:p>
        </w:tc>
        <w:tc>
          <w:tcPr>
            <w:tcW w:w="1773" w:type="pct"/>
            <w:tcBorders>
              <w:tl2br w:val="nil"/>
              <w:tr2bl w:val="nil"/>
            </w:tcBorders>
            <w:noWrap w:val="0"/>
            <w:vAlign w:val="center"/>
          </w:tcPr>
          <w:p w14:paraId="6AADE641">
            <w:pPr>
              <w:widowControl w:val="0"/>
              <w:spacing w:line="320" w:lineRule="exact"/>
              <w:jc w:val="center"/>
              <w:rPr>
                <w:rFonts w:hint="default" w:ascii="Times New Roman" w:hAnsi="Times New Roman" w:cs="Times New Roman"/>
                <w:color w:val="auto"/>
                <w:w w:val="99"/>
                <w:sz w:val="21"/>
                <w:szCs w:val="21"/>
                <w:highlight w:val="none"/>
                <w:lang w:eastAsia="zh-CN"/>
              </w:rPr>
            </w:pPr>
            <w:r>
              <w:rPr>
                <w:rFonts w:hint="default" w:ascii="Times New Roman" w:hAnsi="Times New Roman" w:cs="Times New Roman"/>
                <w:color w:val="auto"/>
                <w:w w:val="99"/>
                <w:sz w:val="21"/>
                <w:szCs w:val="21"/>
                <w:highlight w:val="none"/>
                <w:lang w:eastAsia="zh-CN"/>
              </w:rPr>
              <w:t>评价内容</w:t>
            </w:r>
          </w:p>
        </w:tc>
      </w:tr>
      <w:tr w14:paraId="50200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537" w:type="pct"/>
            <w:vMerge w:val="restart"/>
            <w:tcBorders>
              <w:tl2br w:val="nil"/>
              <w:tr2bl w:val="nil"/>
            </w:tcBorders>
            <w:noWrap w:val="0"/>
            <w:vAlign w:val="center"/>
          </w:tcPr>
          <w:p w14:paraId="2F8534C4">
            <w:pPr>
              <w:widowControl w:val="0"/>
              <w:spacing w:line="320" w:lineRule="exact"/>
              <w:jc w:val="center"/>
              <w:rPr>
                <w:rFonts w:hint="default" w:ascii="Times New Roman" w:hAnsi="Times New Roman" w:cs="Times New Roman"/>
                <w:color w:val="auto"/>
                <w:w w:val="99"/>
                <w:sz w:val="21"/>
                <w:szCs w:val="21"/>
                <w:highlight w:val="none"/>
                <w:lang w:eastAsia="zh-CN"/>
              </w:rPr>
            </w:pPr>
            <w:r>
              <w:rPr>
                <w:rFonts w:hint="default" w:ascii="Times New Roman" w:hAnsi="Times New Roman" w:cs="Times New Roman"/>
                <w:color w:val="auto"/>
                <w:w w:val="99"/>
                <w:sz w:val="21"/>
                <w:szCs w:val="21"/>
                <w:highlight w:val="none"/>
                <w:lang w:val="en-US" w:eastAsia="zh-CN"/>
              </w:rPr>
              <w:t>不</w:t>
            </w:r>
            <w:r>
              <w:rPr>
                <w:rFonts w:hint="default" w:ascii="Times New Roman" w:hAnsi="Times New Roman" w:cs="Times New Roman"/>
                <w:color w:val="auto"/>
                <w:w w:val="99"/>
                <w:sz w:val="21"/>
                <w:szCs w:val="21"/>
                <w:highlight w:val="none"/>
                <w:lang w:eastAsia="zh-CN"/>
              </w:rPr>
              <w:t>达标区评价项目</w:t>
            </w:r>
          </w:p>
        </w:tc>
        <w:tc>
          <w:tcPr>
            <w:tcW w:w="1117" w:type="pct"/>
            <w:tcBorders>
              <w:tl2br w:val="nil"/>
              <w:tr2bl w:val="nil"/>
            </w:tcBorders>
            <w:noWrap w:val="0"/>
            <w:vAlign w:val="center"/>
          </w:tcPr>
          <w:p w14:paraId="7E28E4FF">
            <w:pPr>
              <w:widowControl w:val="0"/>
              <w:spacing w:line="320" w:lineRule="exact"/>
              <w:jc w:val="center"/>
              <w:rPr>
                <w:rFonts w:hint="default" w:ascii="Times New Roman" w:hAnsi="Times New Roman" w:cs="Times New Roman"/>
                <w:color w:val="auto"/>
                <w:w w:val="99"/>
                <w:sz w:val="21"/>
                <w:szCs w:val="21"/>
                <w:highlight w:val="none"/>
                <w:lang w:eastAsia="zh-CN"/>
              </w:rPr>
            </w:pPr>
            <w:r>
              <w:rPr>
                <w:rFonts w:hint="default" w:ascii="Times New Roman" w:hAnsi="Times New Roman" w:cs="Times New Roman"/>
                <w:color w:val="auto"/>
                <w:w w:val="99"/>
                <w:sz w:val="21"/>
                <w:szCs w:val="21"/>
                <w:highlight w:val="none"/>
                <w:lang w:eastAsia="zh-CN"/>
              </w:rPr>
              <w:t>新增污染源</w:t>
            </w:r>
          </w:p>
        </w:tc>
        <w:tc>
          <w:tcPr>
            <w:tcW w:w="839" w:type="pct"/>
            <w:tcBorders>
              <w:tl2br w:val="nil"/>
              <w:tr2bl w:val="nil"/>
            </w:tcBorders>
            <w:noWrap w:val="0"/>
            <w:vAlign w:val="center"/>
          </w:tcPr>
          <w:p w14:paraId="516A7C36">
            <w:pPr>
              <w:widowControl w:val="0"/>
              <w:spacing w:line="320" w:lineRule="exact"/>
              <w:jc w:val="center"/>
              <w:rPr>
                <w:rFonts w:hint="default" w:ascii="Times New Roman" w:hAnsi="Times New Roman" w:cs="Times New Roman"/>
                <w:color w:val="auto"/>
                <w:w w:val="99"/>
                <w:sz w:val="21"/>
                <w:szCs w:val="21"/>
                <w:highlight w:val="none"/>
                <w:lang w:eastAsia="zh-CN"/>
              </w:rPr>
            </w:pPr>
            <w:r>
              <w:rPr>
                <w:rFonts w:hint="default" w:ascii="Times New Roman" w:hAnsi="Times New Roman" w:cs="Times New Roman"/>
                <w:color w:val="auto"/>
                <w:w w:val="99"/>
                <w:sz w:val="21"/>
                <w:szCs w:val="21"/>
                <w:highlight w:val="none"/>
                <w:lang w:eastAsia="zh-CN"/>
              </w:rPr>
              <w:t>正常排放</w:t>
            </w:r>
          </w:p>
        </w:tc>
        <w:tc>
          <w:tcPr>
            <w:tcW w:w="732" w:type="pct"/>
            <w:tcBorders>
              <w:tl2br w:val="nil"/>
              <w:tr2bl w:val="nil"/>
            </w:tcBorders>
            <w:noWrap w:val="0"/>
            <w:vAlign w:val="center"/>
          </w:tcPr>
          <w:p w14:paraId="69448C2F">
            <w:pPr>
              <w:widowControl w:val="0"/>
              <w:spacing w:line="320" w:lineRule="exact"/>
              <w:jc w:val="center"/>
              <w:rPr>
                <w:rFonts w:hint="default" w:ascii="Times New Roman" w:hAnsi="Times New Roman" w:cs="Times New Roman"/>
                <w:color w:val="auto"/>
                <w:w w:val="99"/>
                <w:sz w:val="21"/>
                <w:szCs w:val="21"/>
                <w:highlight w:val="none"/>
                <w:lang w:eastAsia="zh-CN"/>
              </w:rPr>
            </w:pPr>
            <w:r>
              <w:rPr>
                <w:rFonts w:hint="default" w:ascii="Times New Roman" w:hAnsi="Times New Roman" w:cs="Times New Roman"/>
                <w:color w:val="auto"/>
                <w:w w:val="99"/>
                <w:sz w:val="21"/>
                <w:szCs w:val="21"/>
                <w:highlight w:val="none"/>
                <w:lang w:eastAsia="zh-CN"/>
              </w:rPr>
              <w:t>短期浓度</w:t>
            </w:r>
          </w:p>
          <w:p w14:paraId="17757639">
            <w:pPr>
              <w:widowControl w:val="0"/>
              <w:spacing w:line="320" w:lineRule="exact"/>
              <w:jc w:val="center"/>
              <w:rPr>
                <w:rFonts w:hint="default" w:ascii="Times New Roman" w:hAnsi="Times New Roman" w:cs="Times New Roman"/>
                <w:color w:val="auto"/>
                <w:w w:val="99"/>
                <w:sz w:val="21"/>
                <w:szCs w:val="21"/>
                <w:highlight w:val="none"/>
                <w:lang w:eastAsia="zh-CN"/>
              </w:rPr>
            </w:pPr>
            <w:r>
              <w:rPr>
                <w:rFonts w:hint="default" w:ascii="Times New Roman" w:hAnsi="Times New Roman" w:cs="Times New Roman"/>
                <w:color w:val="auto"/>
                <w:w w:val="99"/>
                <w:sz w:val="21"/>
                <w:szCs w:val="21"/>
                <w:highlight w:val="none"/>
                <w:lang w:eastAsia="zh-CN"/>
              </w:rPr>
              <w:t>长期浓度</w:t>
            </w:r>
          </w:p>
        </w:tc>
        <w:tc>
          <w:tcPr>
            <w:tcW w:w="1773" w:type="pct"/>
            <w:tcBorders>
              <w:tl2br w:val="nil"/>
              <w:tr2bl w:val="nil"/>
            </w:tcBorders>
            <w:noWrap w:val="0"/>
            <w:vAlign w:val="center"/>
          </w:tcPr>
          <w:p w14:paraId="3DAAC334">
            <w:pPr>
              <w:widowControl w:val="0"/>
              <w:spacing w:line="320" w:lineRule="exact"/>
              <w:jc w:val="center"/>
              <w:rPr>
                <w:rFonts w:hint="default" w:ascii="Times New Roman" w:hAnsi="Times New Roman" w:cs="Times New Roman"/>
                <w:color w:val="auto"/>
                <w:w w:val="99"/>
                <w:sz w:val="21"/>
                <w:szCs w:val="21"/>
                <w:highlight w:val="none"/>
                <w:lang w:eastAsia="zh-CN"/>
              </w:rPr>
            </w:pPr>
            <w:r>
              <w:rPr>
                <w:rFonts w:hint="default" w:ascii="Times New Roman" w:hAnsi="Times New Roman" w:cs="Times New Roman"/>
                <w:color w:val="auto"/>
                <w:w w:val="99"/>
                <w:sz w:val="21"/>
                <w:szCs w:val="21"/>
                <w:highlight w:val="none"/>
                <w:lang w:eastAsia="zh-CN"/>
              </w:rPr>
              <w:t>最大浓度占标率</w:t>
            </w:r>
          </w:p>
        </w:tc>
      </w:tr>
      <w:tr w14:paraId="5F8DF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7" w:type="pct"/>
            <w:vMerge w:val="continue"/>
            <w:tcBorders>
              <w:tl2br w:val="nil"/>
              <w:tr2bl w:val="nil"/>
            </w:tcBorders>
            <w:noWrap w:val="0"/>
            <w:vAlign w:val="center"/>
          </w:tcPr>
          <w:p w14:paraId="4349A1FF">
            <w:pPr>
              <w:widowControl w:val="0"/>
              <w:spacing w:line="320" w:lineRule="exact"/>
              <w:jc w:val="center"/>
              <w:rPr>
                <w:rFonts w:hint="default" w:ascii="Times New Roman" w:hAnsi="Times New Roman" w:cs="Times New Roman"/>
                <w:color w:val="auto"/>
                <w:w w:val="99"/>
                <w:sz w:val="21"/>
                <w:szCs w:val="21"/>
                <w:highlight w:val="none"/>
                <w:lang w:eastAsia="en-US"/>
              </w:rPr>
            </w:pPr>
          </w:p>
        </w:tc>
        <w:tc>
          <w:tcPr>
            <w:tcW w:w="1117" w:type="pct"/>
            <w:tcBorders>
              <w:tl2br w:val="nil"/>
              <w:tr2bl w:val="nil"/>
            </w:tcBorders>
            <w:noWrap w:val="0"/>
            <w:vAlign w:val="center"/>
          </w:tcPr>
          <w:p w14:paraId="39A036A5">
            <w:pPr>
              <w:widowControl w:val="0"/>
              <w:spacing w:line="320" w:lineRule="exact"/>
              <w:jc w:val="center"/>
              <w:rPr>
                <w:rFonts w:hint="default" w:ascii="Times New Roman" w:hAnsi="Times New Roman" w:cs="Times New Roman"/>
                <w:color w:val="auto"/>
                <w:w w:val="99"/>
                <w:sz w:val="21"/>
                <w:szCs w:val="21"/>
                <w:highlight w:val="none"/>
                <w:lang w:eastAsia="zh-CN"/>
              </w:rPr>
            </w:pPr>
            <w:r>
              <w:rPr>
                <w:rFonts w:hint="default" w:ascii="Times New Roman" w:hAnsi="Times New Roman" w:cs="Times New Roman"/>
                <w:color w:val="auto"/>
                <w:w w:val="99"/>
                <w:sz w:val="21"/>
                <w:szCs w:val="21"/>
                <w:highlight w:val="none"/>
                <w:lang w:eastAsia="zh-CN"/>
              </w:rPr>
              <w:t>新增污染源</w:t>
            </w:r>
          </w:p>
          <w:p w14:paraId="6263D674">
            <w:pPr>
              <w:widowControl w:val="0"/>
              <w:spacing w:line="320" w:lineRule="exact"/>
              <w:jc w:val="center"/>
              <w:rPr>
                <w:rFonts w:hint="default" w:ascii="Times New Roman" w:hAnsi="Times New Roman" w:cs="Times New Roman"/>
                <w:color w:val="auto"/>
                <w:w w:val="99"/>
                <w:sz w:val="21"/>
                <w:szCs w:val="21"/>
                <w:highlight w:val="none"/>
                <w:lang w:val="en-US" w:eastAsia="zh-CN"/>
              </w:rPr>
            </w:pPr>
            <w:r>
              <w:rPr>
                <w:rFonts w:hint="default" w:ascii="Times New Roman" w:hAnsi="Times New Roman" w:cs="Times New Roman"/>
                <w:color w:val="auto"/>
                <w:w w:val="99"/>
                <w:sz w:val="21"/>
                <w:szCs w:val="21"/>
                <w:highlight w:val="none"/>
                <w:lang w:val="en-US" w:eastAsia="zh-CN"/>
              </w:rPr>
              <w:t>-</w:t>
            </w:r>
          </w:p>
          <w:p w14:paraId="26A64EA7">
            <w:pPr>
              <w:widowControl w:val="0"/>
              <w:spacing w:line="320" w:lineRule="exact"/>
              <w:jc w:val="center"/>
              <w:rPr>
                <w:rFonts w:hint="default" w:ascii="Times New Roman" w:hAnsi="Times New Roman" w:cs="Times New Roman"/>
                <w:color w:val="auto"/>
                <w:w w:val="99"/>
                <w:sz w:val="21"/>
                <w:szCs w:val="21"/>
                <w:highlight w:val="none"/>
                <w:lang w:val="en-US" w:eastAsia="zh-CN"/>
              </w:rPr>
            </w:pPr>
            <w:r>
              <w:rPr>
                <w:rFonts w:hint="default" w:ascii="Times New Roman" w:hAnsi="Times New Roman" w:cs="Times New Roman"/>
                <w:color w:val="auto"/>
                <w:w w:val="99"/>
                <w:sz w:val="21"/>
                <w:szCs w:val="21"/>
                <w:highlight w:val="none"/>
                <w:lang w:val="en-US" w:eastAsia="zh-CN"/>
              </w:rPr>
              <w:t>削减污染源</w:t>
            </w:r>
          </w:p>
          <w:p w14:paraId="1166C002">
            <w:pPr>
              <w:widowControl w:val="0"/>
              <w:spacing w:line="320" w:lineRule="exact"/>
              <w:jc w:val="center"/>
              <w:rPr>
                <w:rFonts w:hint="default" w:ascii="Times New Roman" w:hAnsi="Times New Roman" w:cs="Times New Roman"/>
                <w:color w:val="auto"/>
                <w:w w:val="99"/>
                <w:sz w:val="21"/>
                <w:szCs w:val="21"/>
                <w:highlight w:val="none"/>
                <w:lang w:val="en-US" w:eastAsia="zh-CN"/>
              </w:rPr>
            </w:pPr>
            <w:r>
              <w:rPr>
                <w:rFonts w:hint="default" w:ascii="Times New Roman" w:hAnsi="Times New Roman" w:cs="Times New Roman"/>
                <w:color w:val="auto"/>
                <w:w w:val="99"/>
                <w:sz w:val="21"/>
                <w:szCs w:val="21"/>
                <w:highlight w:val="none"/>
                <w:lang w:val="en-US" w:eastAsia="zh-CN"/>
              </w:rPr>
              <w:t>+</w:t>
            </w:r>
          </w:p>
          <w:p w14:paraId="35CE4B4F">
            <w:pPr>
              <w:widowControl w:val="0"/>
              <w:spacing w:line="320" w:lineRule="exact"/>
              <w:jc w:val="center"/>
              <w:rPr>
                <w:rFonts w:hint="default" w:ascii="Times New Roman" w:hAnsi="Times New Roman" w:cs="Times New Roman"/>
                <w:color w:val="auto"/>
                <w:w w:val="99"/>
                <w:sz w:val="21"/>
                <w:szCs w:val="21"/>
                <w:highlight w:val="none"/>
                <w:lang w:val="en-US" w:eastAsia="zh-CN"/>
              </w:rPr>
            </w:pPr>
            <w:r>
              <w:rPr>
                <w:rFonts w:hint="default" w:ascii="Times New Roman" w:hAnsi="Times New Roman" w:cs="Times New Roman"/>
                <w:color w:val="auto"/>
                <w:w w:val="99"/>
                <w:sz w:val="21"/>
                <w:szCs w:val="21"/>
                <w:highlight w:val="none"/>
                <w:lang w:val="en-US" w:eastAsia="zh-CN"/>
              </w:rPr>
              <w:t>拟建在建源</w:t>
            </w:r>
          </w:p>
        </w:tc>
        <w:tc>
          <w:tcPr>
            <w:tcW w:w="839" w:type="pct"/>
            <w:tcBorders>
              <w:tl2br w:val="nil"/>
              <w:tr2bl w:val="nil"/>
            </w:tcBorders>
            <w:noWrap w:val="0"/>
            <w:vAlign w:val="center"/>
          </w:tcPr>
          <w:p w14:paraId="4B035C83">
            <w:pPr>
              <w:widowControl w:val="0"/>
              <w:spacing w:line="320" w:lineRule="exact"/>
              <w:jc w:val="center"/>
              <w:rPr>
                <w:rFonts w:hint="default" w:ascii="Times New Roman" w:hAnsi="Times New Roman" w:cs="Times New Roman"/>
                <w:color w:val="auto"/>
                <w:w w:val="99"/>
                <w:sz w:val="21"/>
                <w:szCs w:val="21"/>
                <w:highlight w:val="none"/>
                <w:lang w:eastAsia="en-US"/>
              </w:rPr>
            </w:pPr>
            <w:r>
              <w:rPr>
                <w:rFonts w:hint="default" w:ascii="Times New Roman" w:hAnsi="Times New Roman" w:cs="Times New Roman"/>
                <w:color w:val="auto"/>
                <w:w w:val="99"/>
                <w:sz w:val="21"/>
                <w:szCs w:val="21"/>
                <w:highlight w:val="none"/>
                <w:lang w:eastAsia="zh-CN"/>
              </w:rPr>
              <w:t>正常排放</w:t>
            </w:r>
          </w:p>
        </w:tc>
        <w:tc>
          <w:tcPr>
            <w:tcW w:w="732" w:type="pct"/>
            <w:tcBorders>
              <w:tl2br w:val="nil"/>
              <w:tr2bl w:val="nil"/>
            </w:tcBorders>
            <w:noWrap w:val="0"/>
            <w:vAlign w:val="center"/>
          </w:tcPr>
          <w:p w14:paraId="4A2A5DF2">
            <w:pPr>
              <w:widowControl w:val="0"/>
              <w:spacing w:line="320" w:lineRule="exact"/>
              <w:jc w:val="center"/>
              <w:rPr>
                <w:rFonts w:hint="default" w:ascii="Times New Roman" w:hAnsi="Times New Roman" w:cs="Times New Roman"/>
                <w:color w:val="auto"/>
                <w:w w:val="99"/>
                <w:sz w:val="21"/>
                <w:szCs w:val="21"/>
                <w:highlight w:val="none"/>
                <w:lang w:eastAsia="zh-CN"/>
              </w:rPr>
            </w:pPr>
            <w:r>
              <w:rPr>
                <w:rFonts w:hint="default" w:ascii="Times New Roman" w:hAnsi="Times New Roman" w:cs="Times New Roman"/>
                <w:color w:val="auto"/>
                <w:w w:val="99"/>
                <w:sz w:val="21"/>
                <w:szCs w:val="21"/>
                <w:highlight w:val="none"/>
                <w:lang w:eastAsia="zh-CN"/>
              </w:rPr>
              <w:t>短期浓度</w:t>
            </w:r>
          </w:p>
          <w:p w14:paraId="2338DC9A">
            <w:pPr>
              <w:widowControl w:val="0"/>
              <w:spacing w:line="320" w:lineRule="exact"/>
              <w:jc w:val="center"/>
              <w:rPr>
                <w:rFonts w:hint="default" w:ascii="Times New Roman" w:hAnsi="Times New Roman" w:cs="Times New Roman"/>
                <w:color w:val="auto"/>
                <w:w w:val="99"/>
                <w:sz w:val="21"/>
                <w:szCs w:val="21"/>
                <w:highlight w:val="none"/>
                <w:lang w:eastAsia="zh-CN"/>
              </w:rPr>
            </w:pPr>
            <w:r>
              <w:rPr>
                <w:rFonts w:hint="default" w:ascii="Times New Roman" w:hAnsi="Times New Roman" w:cs="Times New Roman"/>
                <w:color w:val="auto"/>
                <w:w w:val="99"/>
                <w:sz w:val="21"/>
                <w:szCs w:val="21"/>
                <w:highlight w:val="none"/>
                <w:lang w:eastAsia="zh-CN"/>
              </w:rPr>
              <w:t>长期浓度</w:t>
            </w:r>
          </w:p>
        </w:tc>
        <w:tc>
          <w:tcPr>
            <w:tcW w:w="1773" w:type="pct"/>
            <w:tcBorders>
              <w:tl2br w:val="nil"/>
              <w:tr2bl w:val="nil"/>
            </w:tcBorders>
            <w:noWrap w:val="0"/>
            <w:vAlign w:val="center"/>
          </w:tcPr>
          <w:p w14:paraId="46663D57">
            <w:pPr>
              <w:widowControl w:val="0"/>
              <w:spacing w:line="320" w:lineRule="exact"/>
              <w:jc w:val="center"/>
              <w:rPr>
                <w:rFonts w:hint="default" w:ascii="Times New Roman" w:hAnsi="Times New Roman" w:cs="Times New Roman"/>
                <w:color w:val="auto"/>
                <w:w w:val="99"/>
                <w:sz w:val="21"/>
                <w:szCs w:val="21"/>
                <w:highlight w:val="none"/>
                <w:lang w:val="en-US" w:eastAsia="zh-CN"/>
              </w:rPr>
            </w:pPr>
            <w:r>
              <w:rPr>
                <w:rFonts w:hint="default" w:ascii="Times New Roman" w:hAnsi="Times New Roman" w:cs="Times New Roman"/>
                <w:color w:val="auto"/>
                <w:w w:val="99"/>
                <w:sz w:val="21"/>
                <w:szCs w:val="21"/>
                <w:highlight w:val="none"/>
                <w:lang w:eastAsia="zh-CN"/>
              </w:rPr>
              <w:t>叠加</w:t>
            </w:r>
            <w:r>
              <w:rPr>
                <w:rFonts w:hint="default" w:ascii="Times New Roman" w:hAnsi="Times New Roman" w:cs="Times New Roman"/>
                <w:color w:val="auto"/>
                <w:w w:val="99"/>
                <w:sz w:val="21"/>
                <w:szCs w:val="21"/>
                <w:highlight w:val="none"/>
                <w:lang w:val="en-US" w:eastAsia="zh-CN"/>
              </w:rPr>
              <w:t>达标规划目标浓度后的保证率</w:t>
            </w:r>
            <w:r>
              <w:rPr>
                <w:rFonts w:hint="default" w:ascii="Times New Roman" w:hAnsi="Times New Roman" w:cs="Times New Roman"/>
                <w:color w:val="auto"/>
                <w:w w:val="99"/>
                <w:sz w:val="21"/>
                <w:szCs w:val="21"/>
                <w:highlight w:val="none"/>
                <w:lang w:eastAsia="zh-CN"/>
              </w:rPr>
              <w:t>日平均质量浓度和年平均质量浓度的占标率，或短浓度的达标情况。</w:t>
            </w:r>
            <w:r>
              <w:rPr>
                <w:rFonts w:hint="default" w:ascii="Times New Roman" w:hAnsi="Times New Roman" w:cs="Times New Roman"/>
                <w:color w:val="auto"/>
                <w:w w:val="99"/>
                <w:sz w:val="21"/>
                <w:szCs w:val="21"/>
                <w:highlight w:val="none"/>
                <w:lang w:val="en-US" w:eastAsia="zh-CN"/>
              </w:rPr>
              <w:t>年平均质量浓度变化率</w:t>
            </w:r>
          </w:p>
        </w:tc>
      </w:tr>
      <w:tr w14:paraId="319EA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7" w:type="pct"/>
            <w:vMerge w:val="continue"/>
            <w:tcBorders>
              <w:tl2br w:val="nil"/>
              <w:tr2bl w:val="nil"/>
            </w:tcBorders>
            <w:noWrap w:val="0"/>
            <w:vAlign w:val="center"/>
          </w:tcPr>
          <w:p w14:paraId="00414C7D">
            <w:pPr>
              <w:widowControl w:val="0"/>
              <w:spacing w:line="320" w:lineRule="exact"/>
              <w:jc w:val="center"/>
              <w:rPr>
                <w:rFonts w:hint="default" w:ascii="Times New Roman" w:hAnsi="Times New Roman" w:cs="Times New Roman"/>
                <w:color w:val="auto"/>
                <w:w w:val="99"/>
                <w:sz w:val="21"/>
                <w:szCs w:val="21"/>
                <w:highlight w:val="none"/>
                <w:lang w:eastAsia="en-US"/>
              </w:rPr>
            </w:pPr>
          </w:p>
        </w:tc>
        <w:tc>
          <w:tcPr>
            <w:tcW w:w="1117" w:type="pct"/>
            <w:tcBorders>
              <w:tl2br w:val="nil"/>
              <w:tr2bl w:val="nil"/>
            </w:tcBorders>
            <w:noWrap w:val="0"/>
            <w:vAlign w:val="center"/>
          </w:tcPr>
          <w:p w14:paraId="2D9FA623">
            <w:pPr>
              <w:widowControl w:val="0"/>
              <w:spacing w:line="320" w:lineRule="exact"/>
              <w:jc w:val="center"/>
              <w:rPr>
                <w:rFonts w:hint="default" w:ascii="Times New Roman" w:hAnsi="Times New Roman" w:cs="Times New Roman"/>
                <w:color w:val="auto"/>
                <w:w w:val="99"/>
                <w:sz w:val="21"/>
                <w:szCs w:val="21"/>
                <w:highlight w:val="none"/>
                <w:lang w:eastAsia="en-US"/>
              </w:rPr>
            </w:pPr>
            <w:r>
              <w:rPr>
                <w:rFonts w:hint="default" w:ascii="Times New Roman" w:hAnsi="Times New Roman" w:cs="Times New Roman"/>
                <w:color w:val="auto"/>
                <w:w w:val="99"/>
                <w:sz w:val="21"/>
                <w:szCs w:val="21"/>
                <w:highlight w:val="none"/>
                <w:lang w:eastAsia="zh-CN"/>
              </w:rPr>
              <w:t>新增污染源</w:t>
            </w:r>
          </w:p>
        </w:tc>
        <w:tc>
          <w:tcPr>
            <w:tcW w:w="839" w:type="pct"/>
            <w:tcBorders>
              <w:tl2br w:val="nil"/>
              <w:tr2bl w:val="nil"/>
            </w:tcBorders>
            <w:noWrap w:val="0"/>
            <w:vAlign w:val="center"/>
          </w:tcPr>
          <w:p w14:paraId="38DBEB81">
            <w:pPr>
              <w:widowControl w:val="0"/>
              <w:spacing w:line="320" w:lineRule="exact"/>
              <w:jc w:val="center"/>
              <w:rPr>
                <w:rFonts w:hint="default" w:ascii="Times New Roman" w:hAnsi="Times New Roman" w:cs="Times New Roman"/>
                <w:color w:val="auto"/>
                <w:w w:val="99"/>
                <w:sz w:val="21"/>
                <w:szCs w:val="21"/>
                <w:highlight w:val="none"/>
                <w:lang w:eastAsia="zh-CN"/>
              </w:rPr>
            </w:pPr>
            <w:r>
              <w:rPr>
                <w:rFonts w:hint="default" w:ascii="Times New Roman" w:hAnsi="Times New Roman" w:cs="Times New Roman"/>
                <w:color w:val="auto"/>
                <w:w w:val="99"/>
                <w:sz w:val="21"/>
                <w:szCs w:val="21"/>
                <w:highlight w:val="none"/>
                <w:lang w:eastAsia="zh-CN"/>
              </w:rPr>
              <w:t>非正常排放</w:t>
            </w:r>
          </w:p>
        </w:tc>
        <w:tc>
          <w:tcPr>
            <w:tcW w:w="732" w:type="pct"/>
            <w:tcBorders>
              <w:tl2br w:val="nil"/>
              <w:tr2bl w:val="nil"/>
            </w:tcBorders>
            <w:noWrap w:val="0"/>
            <w:vAlign w:val="center"/>
          </w:tcPr>
          <w:p w14:paraId="1B83EDFF">
            <w:pPr>
              <w:widowControl w:val="0"/>
              <w:spacing w:line="320" w:lineRule="exact"/>
              <w:jc w:val="center"/>
              <w:rPr>
                <w:rFonts w:hint="default" w:ascii="Times New Roman" w:hAnsi="Times New Roman" w:cs="Times New Roman"/>
                <w:color w:val="auto"/>
                <w:w w:val="99"/>
                <w:sz w:val="21"/>
                <w:szCs w:val="21"/>
                <w:highlight w:val="none"/>
                <w:lang w:val="en-US" w:eastAsia="zh-CN"/>
              </w:rPr>
            </w:pPr>
            <w:r>
              <w:rPr>
                <w:rFonts w:hint="default" w:ascii="Times New Roman" w:hAnsi="Times New Roman" w:cs="Times New Roman"/>
                <w:color w:val="auto"/>
                <w:w w:val="99"/>
                <w:sz w:val="21"/>
                <w:szCs w:val="21"/>
                <w:highlight w:val="none"/>
                <w:lang w:val="en-US" w:eastAsia="zh-CN"/>
              </w:rPr>
              <w:t>1h平均质量浓度</w:t>
            </w:r>
          </w:p>
        </w:tc>
        <w:tc>
          <w:tcPr>
            <w:tcW w:w="1773" w:type="pct"/>
            <w:tcBorders>
              <w:tl2br w:val="nil"/>
              <w:tr2bl w:val="nil"/>
            </w:tcBorders>
            <w:noWrap w:val="0"/>
            <w:vAlign w:val="center"/>
          </w:tcPr>
          <w:p w14:paraId="2867F22F">
            <w:pPr>
              <w:widowControl w:val="0"/>
              <w:spacing w:line="320" w:lineRule="exact"/>
              <w:jc w:val="center"/>
              <w:rPr>
                <w:rFonts w:hint="default" w:ascii="Times New Roman" w:hAnsi="Times New Roman" w:cs="Times New Roman"/>
                <w:color w:val="auto"/>
                <w:w w:val="99"/>
                <w:sz w:val="21"/>
                <w:szCs w:val="21"/>
                <w:highlight w:val="none"/>
                <w:lang w:eastAsia="zh-CN"/>
              </w:rPr>
            </w:pPr>
            <w:r>
              <w:rPr>
                <w:rFonts w:hint="default" w:ascii="Times New Roman" w:hAnsi="Times New Roman" w:cs="Times New Roman"/>
                <w:color w:val="auto"/>
                <w:w w:val="99"/>
                <w:sz w:val="21"/>
                <w:szCs w:val="21"/>
                <w:highlight w:val="none"/>
                <w:lang w:eastAsia="zh-CN"/>
              </w:rPr>
              <w:t>最大浓度占标率</w:t>
            </w:r>
          </w:p>
        </w:tc>
      </w:tr>
    </w:tbl>
    <w:p w14:paraId="6C66E688">
      <w:pPr>
        <w:rPr>
          <w:color w:val="auto"/>
          <w:highlight w:val="none"/>
        </w:rPr>
      </w:pPr>
    </w:p>
    <w:p w14:paraId="5A56DAE2">
      <w:pPr>
        <w:widowControl w:val="0"/>
        <w:spacing w:line="440" w:lineRule="exact"/>
        <w:ind w:firstLine="474" w:firstLineChars="200"/>
        <w:jc w:val="both"/>
        <w:rPr>
          <w:rFonts w:ascii="Times New Roman" w:hAnsi="Times New Roman" w:cs="Times New Roman"/>
          <w:color w:val="auto"/>
          <w:w w:val="99"/>
          <w:highlight w:val="none"/>
          <w:lang w:val="zh-CN"/>
        </w:rPr>
      </w:pPr>
      <w:r>
        <w:rPr>
          <w:rFonts w:hint="eastAsia" w:ascii="Times New Roman" w:hAnsi="Times New Roman" w:cs="Times New Roman"/>
          <w:color w:val="auto"/>
          <w:w w:val="99"/>
          <w:highlight w:val="none"/>
          <w:lang w:val="zh-CN"/>
        </w:rPr>
        <w:t>由于本工程未新建</w:t>
      </w:r>
      <w:r>
        <w:rPr>
          <w:rFonts w:hint="eastAsia" w:ascii="Times New Roman" w:hAnsi="Times New Roman" w:cs="Times New Roman"/>
          <w:color w:val="auto"/>
          <w:w w:val="99"/>
          <w:highlight w:val="none"/>
        </w:rPr>
        <w:t>加热炉</w:t>
      </w:r>
      <w:r>
        <w:rPr>
          <w:rFonts w:hint="eastAsia" w:ascii="Times New Roman" w:hAnsi="Times New Roman" w:cs="Times New Roman"/>
          <w:color w:val="auto"/>
          <w:w w:val="99"/>
          <w:highlight w:val="none"/>
          <w:lang w:val="zh-CN"/>
        </w:rPr>
        <w:t>，依托场站加热炉均满足相应的负荷状态下运行，且大气污染物总量在原申请总量范围内，故不对锅炉烟气进行预测。</w:t>
      </w:r>
      <w:r>
        <w:rPr>
          <w:rFonts w:ascii="Times New Roman" w:hAnsi="Times New Roman" w:cs="Times New Roman"/>
          <w:color w:val="auto"/>
          <w:w w:val="99"/>
          <w:kern w:val="2"/>
          <w:szCs w:val="20"/>
          <w:highlight w:val="none"/>
        </w:rPr>
        <w:t>本工程排放的无组织挥发非甲烷总烃为面源形式排放，</w:t>
      </w:r>
      <w:r>
        <w:rPr>
          <w:rFonts w:hint="eastAsia" w:ascii="Times New Roman" w:hAnsi="Times New Roman" w:cs="Times New Roman"/>
          <w:color w:val="auto"/>
          <w:w w:val="99"/>
          <w:kern w:val="2"/>
          <w:szCs w:val="20"/>
          <w:highlight w:val="none"/>
        </w:rPr>
        <w:t>天然气</w:t>
      </w:r>
      <w:r>
        <w:rPr>
          <w:rFonts w:ascii="Times New Roman" w:hAnsi="Times New Roman" w:cs="Times New Roman"/>
          <w:color w:val="auto"/>
          <w:w w:val="99"/>
          <w:kern w:val="2"/>
          <w:szCs w:val="20"/>
          <w:highlight w:val="none"/>
        </w:rPr>
        <w:t>集输采用密闭</w:t>
      </w:r>
      <w:r>
        <w:rPr>
          <w:rFonts w:hint="eastAsia" w:ascii="Times New Roman" w:hAnsi="Times New Roman" w:cs="Times New Roman"/>
          <w:color w:val="auto"/>
          <w:w w:val="99"/>
          <w:kern w:val="2"/>
          <w:szCs w:val="20"/>
          <w:highlight w:val="none"/>
        </w:rPr>
        <w:t>集输</w:t>
      </w:r>
      <w:r>
        <w:rPr>
          <w:rFonts w:ascii="Times New Roman" w:hAnsi="Times New Roman" w:cs="Times New Roman"/>
          <w:color w:val="auto"/>
          <w:w w:val="99"/>
          <w:kern w:val="2"/>
          <w:szCs w:val="20"/>
          <w:highlight w:val="none"/>
        </w:rPr>
        <w:t>流程，可有效控制烃类物质的排放，根据工程分析可知整个</w:t>
      </w:r>
      <w:r>
        <w:rPr>
          <w:rFonts w:hint="eastAsia" w:ascii="Times New Roman" w:hAnsi="Times New Roman" w:cs="Times New Roman"/>
          <w:color w:val="auto"/>
          <w:w w:val="99"/>
          <w:kern w:val="2"/>
          <w:szCs w:val="20"/>
          <w:highlight w:val="none"/>
        </w:rPr>
        <w:t>天然气</w:t>
      </w:r>
      <w:r>
        <w:rPr>
          <w:rFonts w:ascii="Times New Roman" w:hAnsi="Times New Roman" w:cs="Times New Roman"/>
          <w:color w:val="auto"/>
          <w:w w:val="99"/>
          <w:kern w:val="2"/>
          <w:szCs w:val="20"/>
          <w:highlight w:val="none"/>
        </w:rPr>
        <w:t>集输过程中非甲烷总烃挥发量为</w:t>
      </w:r>
      <w:r>
        <w:rPr>
          <w:rFonts w:hint="eastAsia" w:ascii="Times New Roman" w:hAnsi="Times New Roman" w:cs="Times New Roman"/>
          <w:color w:val="auto"/>
          <w:w w:val="99"/>
          <w:kern w:val="2"/>
          <w:szCs w:val="20"/>
          <w:highlight w:val="none"/>
        </w:rPr>
        <w:t>11.66</w:t>
      </w:r>
      <w:r>
        <w:rPr>
          <w:rFonts w:ascii="Times New Roman" w:hAnsi="Times New Roman" w:cs="Times New Roman"/>
          <w:color w:val="auto"/>
          <w:w w:val="99"/>
          <w:kern w:val="2"/>
          <w:szCs w:val="20"/>
          <w:highlight w:val="none"/>
        </w:rPr>
        <w:t>t/a</w:t>
      </w:r>
      <w:r>
        <w:rPr>
          <w:rFonts w:hint="eastAsia" w:ascii="Times New Roman" w:hAnsi="Times New Roman" w:cs="Times New Roman"/>
          <w:color w:val="auto"/>
          <w:w w:val="99"/>
          <w:kern w:val="2"/>
          <w:szCs w:val="20"/>
          <w:highlight w:val="none"/>
        </w:rPr>
        <w:t>，其中井场挥发量约占总量的30%，</w:t>
      </w:r>
      <w:r>
        <w:rPr>
          <w:rFonts w:hint="eastAsia" w:ascii="Times New Roman" w:hAnsi="Times New Roman" w:cs="Times New Roman"/>
          <w:color w:val="auto"/>
          <w:w w:val="99"/>
          <w:highlight w:val="none"/>
        </w:rPr>
        <w:t>集输管道均为密闭，</w:t>
      </w:r>
      <w:r>
        <w:rPr>
          <w:rFonts w:ascii="Times New Roman" w:hAnsi="Times New Roman" w:cs="Times New Roman"/>
          <w:color w:val="auto"/>
          <w:w w:val="99"/>
          <w:kern w:val="2"/>
          <w:szCs w:val="20"/>
          <w:highlight w:val="none"/>
        </w:rPr>
        <w:t>非甲烷总烃</w:t>
      </w:r>
      <w:r>
        <w:rPr>
          <w:rFonts w:hint="eastAsia" w:ascii="Times New Roman" w:hAnsi="Times New Roman" w:cs="Times New Roman"/>
          <w:color w:val="auto"/>
          <w:w w:val="99"/>
          <w:highlight w:val="none"/>
        </w:rPr>
        <w:t>挥发量较小，徐深27集气站挥发性有机废气的</w:t>
      </w:r>
      <w:r>
        <w:rPr>
          <w:rFonts w:hint="eastAsia" w:ascii="Times New Roman" w:hAnsi="Times New Roman" w:cs="Times New Roman"/>
          <w:color w:val="auto"/>
          <w:w w:val="99"/>
          <w:highlight w:val="none"/>
          <w:lang w:val="zh-CN"/>
        </w:rPr>
        <w:t>总量在原申请总量范围内</w:t>
      </w:r>
      <w:r>
        <w:rPr>
          <w:rFonts w:ascii="Times New Roman" w:hAnsi="Times New Roman" w:cs="Times New Roman"/>
          <w:color w:val="auto"/>
          <w:w w:val="99"/>
          <w:highlight w:val="none"/>
        </w:rPr>
        <w:t>。</w:t>
      </w:r>
      <w:r>
        <w:rPr>
          <w:rFonts w:hint="eastAsia" w:ascii="Times New Roman" w:hAnsi="Times New Roman" w:cs="Times New Roman"/>
          <w:color w:val="auto"/>
          <w:w w:val="99"/>
          <w:highlight w:val="none"/>
        </w:rPr>
        <w:t>故</w:t>
      </w:r>
      <w:r>
        <w:rPr>
          <w:rFonts w:ascii="Times New Roman" w:hAnsi="Times New Roman" w:cs="Times New Roman"/>
          <w:color w:val="auto"/>
          <w:w w:val="99"/>
          <w:kern w:val="2"/>
          <w:szCs w:val="20"/>
          <w:highlight w:val="none"/>
        </w:rPr>
        <w:t>结合项目</w:t>
      </w:r>
      <w:r>
        <w:rPr>
          <w:rFonts w:hint="eastAsia" w:ascii="Times New Roman" w:hAnsi="Times New Roman" w:cs="Times New Roman"/>
          <w:color w:val="auto"/>
          <w:w w:val="99"/>
          <w:kern w:val="2"/>
          <w:szCs w:val="20"/>
          <w:highlight w:val="none"/>
        </w:rPr>
        <w:t>气井</w:t>
      </w:r>
      <w:r>
        <w:rPr>
          <w:rFonts w:ascii="Times New Roman" w:hAnsi="Times New Roman" w:cs="Times New Roman"/>
          <w:color w:val="auto"/>
          <w:w w:val="99"/>
          <w:kern w:val="2"/>
          <w:szCs w:val="20"/>
          <w:highlight w:val="none"/>
        </w:rPr>
        <w:t>分布、产能建设情况及实际占地情况，</w:t>
      </w:r>
      <w:r>
        <w:rPr>
          <w:rFonts w:ascii="Times New Roman" w:hAnsi="Times New Roman" w:cs="Times New Roman"/>
          <w:color w:val="auto"/>
          <w:w w:val="99"/>
          <w:highlight w:val="none"/>
          <w:lang w:val="zh-CN"/>
        </w:rPr>
        <w:t>本次预测本项目大气污染源技术数据详见表5.1-1</w:t>
      </w:r>
      <w:r>
        <w:rPr>
          <w:rFonts w:hint="eastAsia" w:ascii="Times New Roman" w:hAnsi="Times New Roman" w:cs="Times New Roman"/>
          <w:color w:val="auto"/>
          <w:w w:val="99"/>
          <w:highlight w:val="none"/>
        </w:rPr>
        <w:t>3</w:t>
      </w:r>
      <w:r>
        <w:rPr>
          <w:rFonts w:ascii="Times New Roman" w:hAnsi="Times New Roman" w:cs="Times New Roman"/>
          <w:color w:val="auto"/>
          <w:w w:val="99"/>
          <w:highlight w:val="none"/>
          <w:lang w:val="zh-CN"/>
        </w:rPr>
        <w:t>。</w:t>
      </w:r>
    </w:p>
    <w:p w14:paraId="5118085C">
      <w:pPr>
        <w:widowControl w:val="0"/>
        <w:spacing w:line="440" w:lineRule="exact"/>
        <w:ind w:firstLine="494"/>
        <w:jc w:val="both"/>
        <w:rPr>
          <w:rFonts w:ascii="Times New Roman" w:hAnsi="Times New Roman" w:cs="Times New Roman" w:eastAsiaTheme="minorEastAsia"/>
          <w:color w:val="auto"/>
          <w:w w:val="99"/>
          <w:highlight w:val="none"/>
          <w:lang w:bidi="zh-CN"/>
        </w:rPr>
      </w:pPr>
      <w:r>
        <w:rPr>
          <w:rFonts w:ascii="Times New Roman" w:hAnsi="Times New Roman" w:cs="Times New Roman"/>
          <w:b/>
          <w:color w:val="auto"/>
          <w:w w:val="99"/>
          <w:highlight w:val="none"/>
        </w:rPr>
        <w:t>表</w:t>
      </w:r>
      <w:r>
        <w:rPr>
          <w:rFonts w:hint="eastAsia" w:ascii="Times New Roman" w:hAnsi="Times New Roman" w:cs="Times New Roman"/>
          <w:b/>
          <w:color w:val="auto"/>
          <w:w w:val="99"/>
          <w:highlight w:val="none"/>
        </w:rPr>
        <w:t>5.1-13</w:t>
      </w:r>
      <w:r>
        <w:rPr>
          <w:rFonts w:ascii="Times New Roman" w:hAnsi="Times New Roman" w:cs="Times New Roman"/>
          <w:b/>
          <w:color w:val="auto"/>
          <w:w w:val="99"/>
          <w:highlight w:val="none"/>
        </w:rPr>
        <w:t xml:space="preserve">   面源参数调查清单</w:t>
      </w:r>
    </w:p>
    <w:tbl>
      <w:tblPr>
        <w:tblStyle w:val="8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5"/>
        <w:gridCol w:w="1100"/>
        <w:gridCol w:w="1013"/>
        <w:gridCol w:w="714"/>
        <w:gridCol w:w="900"/>
        <w:gridCol w:w="678"/>
        <w:gridCol w:w="717"/>
        <w:gridCol w:w="669"/>
        <w:gridCol w:w="639"/>
        <w:gridCol w:w="541"/>
        <w:gridCol w:w="1021"/>
      </w:tblGrid>
      <w:tr w14:paraId="4E458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697" w:type="pct"/>
            <w:vMerge w:val="restart"/>
            <w:vAlign w:val="center"/>
          </w:tcPr>
          <w:p w14:paraId="22059FB8">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污染源名称</w:t>
            </w:r>
          </w:p>
        </w:tc>
        <w:tc>
          <w:tcPr>
            <w:tcW w:w="1137" w:type="pct"/>
            <w:gridSpan w:val="2"/>
            <w:vAlign w:val="center"/>
          </w:tcPr>
          <w:p w14:paraId="4CCD17B5">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面源起点坐标</w:t>
            </w:r>
          </w:p>
        </w:tc>
        <w:tc>
          <w:tcPr>
            <w:tcW w:w="384" w:type="pct"/>
            <w:vMerge w:val="restart"/>
            <w:vAlign w:val="center"/>
          </w:tcPr>
          <w:p w14:paraId="731347A1">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海拔高度/m</w:t>
            </w:r>
          </w:p>
        </w:tc>
        <w:tc>
          <w:tcPr>
            <w:tcW w:w="484" w:type="pct"/>
            <w:vMerge w:val="restart"/>
            <w:vAlign w:val="center"/>
          </w:tcPr>
          <w:p w14:paraId="45AFD344">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与正北方向夹角/°</w:t>
            </w:r>
          </w:p>
        </w:tc>
        <w:tc>
          <w:tcPr>
            <w:tcW w:w="365" w:type="pct"/>
            <w:vMerge w:val="restart"/>
            <w:vAlign w:val="center"/>
          </w:tcPr>
          <w:p w14:paraId="0548A136">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面源长度/m</w:t>
            </w:r>
          </w:p>
        </w:tc>
        <w:tc>
          <w:tcPr>
            <w:tcW w:w="386" w:type="pct"/>
            <w:vMerge w:val="restart"/>
            <w:vAlign w:val="center"/>
          </w:tcPr>
          <w:p w14:paraId="4E5D4F5C">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面源宽度/m</w:t>
            </w:r>
          </w:p>
        </w:tc>
        <w:tc>
          <w:tcPr>
            <w:tcW w:w="360" w:type="pct"/>
            <w:vMerge w:val="restart"/>
            <w:vAlign w:val="center"/>
          </w:tcPr>
          <w:p w14:paraId="6CBA65D8">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面源有效排放高度/m</w:t>
            </w:r>
          </w:p>
        </w:tc>
        <w:tc>
          <w:tcPr>
            <w:tcW w:w="344" w:type="pct"/>
            <w:vMerge w:val="restart"/>
            <w:vAlign w:val="center"/>
          </w:tcPr>
          <w:p w14:paraId="45E1FF1D">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年排放小时数/h</w:t>
            </w:r>
          </w:p>
        </w:tc>
        <w:tc>
          <w:tcPr>
            <w:tcW w:w="291" w:type="pct"/>
            <w:vMerge w:val="restart"/>
            <w:vAlign w:val="center"/>
          </w:tcPr>
          <w:p w14:paraId="0A04C7E4">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排放工况</w:t>
            </w:r>
          </w:p>
        </w:tc>
        <w:tc>
          <w:tcPr>
            <w:tcW w:w="549" w:type="pct"/>
            <w:vAlign w:val="center"/>
          </w:tcPr>
          <w:p w14:paraId="74752CD3">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污染物排放速率（kg/h）</w:t>
            </w:r>
          </w:p>
        </w:tc>
      </w:tr>
      <w:tr w14:paraId="310E7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7" w:type="pct"/>
            <w:vMerge w:val="continue"/>
            <w:vAlign w:val="center"/>
          </w:tcPr>
          <w:p w14:paraId="5B70020D">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592" w:type="pct"/>
            <w:vAlign w:val="center"/>
          </w:tcPr>
          <w:p w14:paraId="730B9385">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经度</w:t>
            </w:r>
          </w:p>
        </w:tc>
        <w:tc>
          <w:tcPr>
            <w:tcW w:w="545" w:type="pct"/>
            <w:vAlign w:val="center"/>
          </w:tcPr>
          <w:p w14:paraId="1E275D9D">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纬度</w:t>
            </w:r>
          </w:p>
        </w:tc>
        <w:tc>
          <w:tcPr>
            <w:tcW w:w="384" w:type="pct"/>
            <w:vMerge w:val="continue"/>
            <w:vAlign w:val="center"/>
          </w:tcPr>
          <w:p w14:paraId="673F1318">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484" w:type="pct"/>
            <w:vMerge w:val="continue"/>
            <w:vAlign w:val="center"/>
          </w:tcPr>
          <w:p w14:paraId="79CC6F5C">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365" w:type="pct"/>
            <w:vMerge w:val="continue"/>
            <w:vAlign w:val="center"/>
          </w:tcPr>
          <w:p w14:paraId="32D90EFD">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386" w:type="pct"/>
            <w:vMerge w:val="continue"/>
            <w:vAlign w:val="center"/>
          </w:tcPr>
          <w:p w14:paraId="4C20CF69">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360" w:type="pct"/>
            <w:vMerge w:val="continue"/>
            <w:vAlign w:val="center"/>
          </w:tcPr>
          <w:p w14:paraId="21C1BE45">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344" w:type="pct"/>
            <w:vMerge w:val="continue"/>
            <w:vAlign w:val="center"/>
          </w:tcPr>
          <w:p w14:paraId="20AD2FB7">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291" w:type="pct"/>
            <w:vMerge w:val="continue"/>
            <w:vAlign w:val="center"/>
          </w:tcPr>
          <w:p w14:paraId="2F0C405F">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549" w:type="pct"/>
            <w:vAlign w:val="center"/>
          </w:tcPr>
          <w:p w14:paraId="040E3B88">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NMHC</w:t>
            </w:r>
          </w:p>
        </w:tc>
      </w:tr>
      <w:tr w14:paraId="1BF95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7" w:type="pct"/>
            <w:vAlign w:val="center"/>
          </w:tcPr>
          <w:p w14:paraId="1384B6AF">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hint="eastAsia" w:ascii="Times New Roman" w:hAnsi="Times New Roman" w:cs="Times New Roman"/>
                <w:color w:val="auto"/>
                <w:w w:val="99"/>
                <w:sz w:val="21"/>
                <w:szCs w:val="21"/>
                <w:highlight w:val="none"/>
              </w:rPr>
              <w:t>徐深27-H1井场</w:t>
            </w:r>
          </w:p>
        </w:tc>
        <w:tc>
          <w:tcPr>
            <w:tcW w:w="592" w:type="pct"/>
            <w:vAlign w:val="center"/>
          </w:tcPr>
          <w:p w14:paraId="656112C4">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125.50922</w:t>
            </w:r>
          </w:p>
        </w:tc>
        <w:tc>
          <w:tcPr>
            <w:tcW w:w="545" w:type="pct"/>
            <w:vAlign w:val="center"/>
          </w:tcPr>
          <w:p w14:paraId="5819D613">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45.89242</w:t>
            </w:r>
          </w:p>
        </w:tc>
        <w:tc>
          <w:tcPr>
            <w:tcW w:w="384" w:type="pct"/>
            <w:vAlign w:val="center"/>
          </w:tcPr>
          <w:p w14:paraId="72366DD1">
            <w:pPr>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197</w:t>
            </w:r>
          </w:p>
        </w:tc>
        <w:tc>
          <w:tcPr>
            <w:tcW w:w="484" w:type="pct"/>
            <w:vAlign w:val="center"/>
          </w:tcPr>
          <w:p w14:paraId="2D1FDFBE">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0</w:t>
            </w:r>
          </w:p>
        </w:tc>
        <w:tc>
          <w:tcPr>
            <w:tcW w:w="365" w:type="pct"/>
            <w:vAlign w:val="center"/>
          </w:tcPr>
          <w:p w14:paraId="3AD73665">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40</w:t>
            </w:r>
          </w:p>
        </w:tc>
        <w:tc>
          <w:tcPr>
            <w:tcW w:w="386" w:type="pct"/>
            <w:vAlign w:val="center"/>
          </w:tcPr>
          <w:p w14:paraId="6D4E8745">
            <w:pPr>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30</w:t>
            </w:r>
          </w:p>
        </w:tc>
        <w:tc>
          <w:tcPr>
            <w:tcW w:w="360" w:type="pct"/>
            <w:vAlign w:val="center"/>
          </w:tcPr>
          <w:p w14:paraId="78A86650">
            <w:pPr>
              <w:adjustRightInd w:val="0"/>
              <w:snapToGrid w:val="0"/>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3</w:t>
            </w:r>
          </w:p>
        </w:tc>
        <w:tc>
          <w:tcPr>
            <w:tcW w:w="344" w:type="pct"/>
            <w:vAlign w:val="center"/>
          </w:tcPr>
          <w:p w14:paraId="6F69FBD4">
            <w:pPr>
              <w:adjustRightInd w:val="0"/>
              <w:snapToGrid w:val="0"/>
              <w:spacing w:line="360" w:lineRule="exact"/>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8760</w:t>
            </w:r>
          </w:p>
        </w:tc>
        <w:tc>
          <w:tcPr>
            <w:tcW w:w="291" w:type="pct"/>
            <w:vAlign w:val="center"/>
          </w:tcPr>
          <w:p w14:paraId="4FEEDC17">
            <w:pPr>
              <w:adjustRightInd w:val="0"/>
              <w:snapToGrid w:val="0"/>
              <w:spacing w:line="360" w:lineRule="exact"/>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正常排放</w:t>
            </w:r>
          </w:p>
        </w:tc>
        <w:tc>
          <w:tcPr>
            <w:tcW w:w="549" w:type="pct"/>
            <w:vAlign w:val="center"/>
          </w:tcPr>
          <w:p w14:paraId="197E43BC">
            <w:pPr>
              <w:widowControl w:val="0"/>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hint="eastAsia" w:ascii="Times New Roman" w:hAnsi="Times New Roman" w:cs="Times New Roman"/>
                <w:color w:val="auto"/>
                <w:w w:val="99"/>
                <w:kern w:val="2"/>
                <w:sz w:val="21"/>
                <w:szCs w:val="21"/>
                <w:highlight w:val="none"/>
              </w:rPr>
              <w:t>0.399</w:t>
            </w:r>
          </w:p>
        </w:tc>
      </w:tr>
    </w:tbl>
    <w:p w14:paraId="4715494B">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5.1.2.5大气环境影响预测结果与分析</w:t>
      </w:r>
    </w:p>
    <w:p w14:paraId="16A9A3CE">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（1）新增污染源贡献浓度结果</w:t>
      </w:r>
    </w:p>
    <w:p w14:paraId="04FDDC59">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lang w:val="zh-CN"/>
        </w:rPr>
        <w:t>本项目主要选取大气环境影响评价范围内的大气环境保护目标进行预测，本评价采用AERMOD推荐模式计算评价范围内区域最大浓度影响值。拟建井场区域最大贡献浓度统计见表5.1-1</w:t>
      </w:r>
      <w:r>
        <w:rPr>
          <w:rFonts w:hint="eastAsia" w:ascii="Times New Roman" w:hAnsi="Times New Roman" w:cs="Times New Roman"/>
          <w:color w:val="auto"/>
          <w:w w:val="99"/>
          <w:highlight w:val="none"/>
        </w:rPr>
        <w:t>4</w:t>
      </w:r>
      <w:r>
        <w:rPr>
          <w:rFonts w:ascii="Times New Roman" w:hAnsi="Times New Roman" w:cs="Times New Roman"/>
          <w:color w:val="auto"/>
          <w:w w:val="99"/>
          <w:highlight w:val="none"/>
          <w:lang w:val="zh-CN"/>
        </w:rPr>
        <w:t>，保护目标非甲烷总烃新增污染源贡献浓度及叠加后环境质量浓度预测结果见表5.1-1</w:t>
      </w:r>
      <w:r>
        <w:rPr>
          <w:rFonts w:hint="eastAsia" w:ascii="Times New Roman" w:hAnsi="Times New Roman" w:cs="Times New Roman"/>
          <w:color w:val="auto"/>
          <w:w w:val="99"/>
          <w:highlight w:val="none"/>
        </w:rPr>
        <w:t>5</w:t>
      </w:r>
      <w:r>
        <w:rPr>
          <w:rFonts w:ascii="Times New Roman" w:hAnsi="Times New Roman" w:cs="Times New Roman"/>
          <w:color w:val="auto"/>
          <w:w w:val="99"/>
          <w:highlight w:val="none"/>
        </w:rPr>
        <w:t>，长期贡献浓度分布见图5.1-1</w:t>
      </w:r>
      <w:r>
        <w:rPr>
          <w:rFonts w:hint="eastAsia" w:ascii="Times New Roman" w:hAnsi="Times New Roman" w:cs="Times New Roman"/>
          <w:color w:val="auto"/>
          <w:w w:val="99"/>
          <w:highlight w:val="none"/>
        </w:rPr>
        <w:t>2</w:t>
      </w:r>
      <w:r>
        <w:rPr>
          <w:rFonts w:ascii="Times New Roman" w:hAnsi="Times New Roman" w:cs="Times New Roman"/>
          <w:color w:val="auto"/>
          <w:w w:val="99"/>
          <w:highlight w:val="none"/>
        </w:rPr>
        <w:t>-图5.1-</w:t>
      </w:r>
      <w:r>
        <w:rPr>
          <w:rFonts w:hint="eastAsia" w:ascii="Times New Roman" w:hAnsi="Times New Roman" w:cs="Times New Roman"/>
          <w:color w:val="auto"/>
          <w:w w:val="99"/>
          <w:highlight w:val="none"/>
        </w:rPr>
        <w:t>15</w:t>
      </w:r>
      <w:r>
        <w:rPr>
          <w:rFonts w:ascii="Times New Roman" w:hAnsi="Times New Roman" w:cs="Times New Roman"/>
          <w:color w:val="auto"/>
          <w:w w:val="99"/>
          <w:highlight w:val="none"/>
        </w:rPr>
        <w:t>。</w:t>
      </w:r>
    </w:p>
    <w:p w14:paraId="19FAF2E3">
      <w:pPr>
        <w:widowControl w:val="0"/>
        <w:spacing w:line="500" w:lineRule="exact"/>
        <w:ind w:firstLine="476" w:firstLineChars="200"/>
        <w:jc w:val="both"/>
        <w:rPr>
          <w:rFonts w:ascii="Times New Roman" w:hAnsi="Times New Roman" w:cs="Times New Roman"/>
          <w:b/>
          <w:color w:val="auto"/>
          <w:w w:val="99"/>
          <w:highlight w:val="none"/>
        </w:rPr>
      </w:pPr>
      <w:r>
        <w:rPr>
          <w:rFonts w:ascii="Times New Roman" w:hAnsi="Times New Roman" w:cs="Times New Roman"/>
          <w:b/>
          <w:color w:val="auto"/>
          <w:w w:val="99"/>
          <w:highlight w:val="none"/>
        </w:rPr>
        <w:t>表5.1-1</w:t>
      </w:r>
      <w:r>
        <w:rPr>
          <w:rFonts w:hint="eastAsia" w:ascii="Times New Roman" w:hAnsi="Times New Roman" w:cs="Times New Roman"/>
          <w:b/>
          <w:color w:val="auto"/>
          <w:w w:val="99"/>
          <w:highlight w:val="none"/>
        </w:rPr>
        <w:t>4</w:t>
      </w:r>
      <w:r>
        <w:rPr>
          <w:rFonts w:ascii="Times New Roman" w:hAnsi="Times New Roman" w:cs="Times New Roman"/>
          <w:b/>
          <w:color w:val="auto"/>
          <w:w w:val="99"/>
          <w:highlight w:val="none"/>
        </w:rPr>
        <w:t xml:space="preserve">      建设项目贡献浓度预测结果表</w:t>
      </w:r>
    </w:p>
    <w:tbl>
      <w:tblPr>
        <w:tblStyle w:val="81"/>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156"/>
        <w:gridCol w:w="1922"/>
        <w:gridCol w:w="1647"/>
        <w:gridCol w:w="2141"/>
        <w:gridCol w:w="1253"/>
        <w:gridCol w:w="1168"/>
      </w:tblGrid>
      <w:tr w14:paraId="0C7DE0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622" w:type="pct"/>
            <w:vAlign w:val="center"/>
          </w:tcPr>
          <w:p w14:paraId="4B44BCEA">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污染物</w:t>
            </w:r>
          </w:p>
        </w:tc>
        <w:tc>
          <w:tcPr>
            <w:tcW w:w="1034" w:type="pct"/>
            <w:vAlign w:val="center"/>
          </w:tcPr>
          <w:p w14:paraId="27103DAB">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预测点</w:t>
            </w:r>
          </w:p>
        </w:tc>
        <w:tc>
          <w:tcPr>
            <w:tcW w:w="886" w:type="pct"/>
            <w:vAlign w:val="center"/>
          </w:tcPr>
          <w:p w14:paraId="351A88BC">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平均时段</w:t>
            </w:r>
          </w:p>
        </w:tc>
        <w:tc>
          <w:tcPr>
            <w:tcW w:w="1152" w:type="pct"/>
            <w:vAlign w:val="center"/>
          </w:tcPr>
          <w:p w14:paraId="55FC764D">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最大贡献值/μg/m</w:t>
            </w:r>
            <w:r>
              <w:rPr>
                <w:rFonts w:ascii="Times New Roman" w:hAnsi="Times New Roman" w:cs="Times New Roman"/>
                <w:color w:val="auto"/>
                <w:w w:val="99"/>
                <w:kern w:val="2"/>
                <w:sz w:val="21"/>
                <w:szCs w:val="21"/>
                <w:highlight w:val="none"/>
                <w:vertAlign w:val="superscript"/>
              </w:rPr>
              <w:t>3</w:t>
            </w:r>
          </w:p>
        </w:tc>
        <w:tc>
          <w:tcPr>
            <w:tcW w:w="674" w:type="pct"/>
            <w:vAlign w:val="center"/>
          </w:tcPr>
          <w:p w14:paraId="5153584A">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占标率%</w:t>
            </w:r>
          </w:p>
        </w:tc>
        <w:tc>
          <w:tcPr>
            <w:tcW w:w="628" w:type="pct"/>
            <w:vAlign w:val="center"/>
          </w:tcPr>
          <w:p w14:paraId="056EF371">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达标情况</w:t>
            </w:r>
          </w:p>
        </w:tc>
      </w:tr>
      <w:tr w14:paraId="5EFAF6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23" w:hRule="atLeast"/>
        </w:trPr>
        <w:tc>
          <w:tcPr>
            <w:tcW w:w="622" w:type="pct"/>
            <w:vAlign w:val="center"/>
          </w:tcPr>
          <w:p w14:paraId="5416017E">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非甲烷总烃</w:t>
            </w:r>
          </w:p>
        </w:tc>
        <w:tc>
          <w:tcPr>
            <w:tcW w:w="1034" w:type="pct"/>
            <w:vAlign w:val="center"/>
          </w:tcPr>
          <w:p w14:paraId="6B441C35">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区域最大值</w:t>
            </w:r>
          </w:p>
        </w:tc>
        <w:tc>
          <w:tcPr>
            <w:tcW w:w="886" w:type="pct"/>
            <w:vAlign w:val="center"/>
          </w:tcPr>
          <w:p w14:paraId="2EFB0A80">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1h平均</w:t>
            </w:r>
          </w:p>
        </w:tc>
        <w:tc>
          <w:tcPr>
            <w:tcW w:w="1152" w:type="pct"/>
            <w:vAlign w:val="center"/>
          </w:tcPr>
          <w:p w14:paraId="6FCEA40B">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1474.25858</w:t>
            </w:r>
          </w:p>
        </w:tc>
        <w:tc>
          <w:tcPr>
            <w:tcW w:w="674" w:type="pct"/>
            <w:vAlign w:val="center"/>
          </w:tcPr>
          <w:p w14:paraId="65782824">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73.71</w:t>
            </w:r>
          </w:p>
        </w:tc>
        <w:tc>
          <w:tcPr>
            <w:tcW w:w="628" w:type="pct"/>
            <w:vAlign w:val="center"/>
          </w:tcPr>
          <w:p w14:paraId="4DA8C784">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达标</w:t>
            </w:r>
          </w:p>
        </w:tc>
      </w:tr>
    </w:tbl>
    <w:p w14:paraId="5CBC8982">
      <w:pPr>
        <w:pStyle w:val="153"/>
        <w:widowControl w:val="0"/>
        <w:spacing w:line="440" w:lineRule="exact"/>
        <w:ind w:firstLine="0" w:firstLineChars="0"/>
        <w:jc w:val="center"/>
        <w:rPr>
          <w:rFonts w:ascii="Times New Roman" w:hAnsi="Times New Roman"/>
          <w:b/>
          <w:color w:val="auto"/>
          <w:w w:val="99"/>
          <w:highlight w:val="none"/>
        </w:rPr>
      </w:pPr>
      <w:r>
        <w:rPr>
          <w:rFonts w:ascii="Times New Roman" w:hAnsi="Times New Roman"/>
          <w:b/>
          <w:color w:val="auto"/>
          <w:w w:val="99"/>
          <w:highlight w:val="none"/>
        </w:rPr>
        <w:t>表5.1-1</w:t>
      </w:r>
      <w:r>
        <w:rPr>
          <w:rFonts w:hint="eastAsia" w:ascii="Times New Roman" w:hAnsi="Times New Roman"/>
          <w:b/>
          <w:color w:val="auto"/>
          <w:w w:val="99"/>
          <w:highlight w:val="none"/>
        </w:rPr>
        <w:t>5</w:t>
      </w:r>
      <w:r>
        <w:rPr>
          <w:rFonts w:ascii="Times New Roman" w:hAnsi="Times New Roman"/>
          <w:b/>
          <w:color w:val="auto"/>
          <w:w w:val="99"/>
          <w:highlight w:val="none"/>
        </w:rPr>
        <w:t xml:space="preserve">   非</w:t>
      </w:r>
      <w:r>
        <w:rPr>
          <w:rFonts w:ascii="Times New Roman" w:hAnsi="Times New Roman"/>
          <w:b/>
          <w:color w:val="auto"/>
          <w:w w:val="99"/>
          <w:highlight w:val="none"/>
          <w:lang w:val="zh-CN"/>
        </w:rPr>
        <w:t>甲烷</w:t>
      </w:r>
      <w:r>
        <w:rPr>
          <w:rFonts w:ascii="Times New Roman" w:hAnsi="Times New Roman"/>
          <w:b/>
          <w:color w:val="auto"/>
          <w:w w:val="99"/>
          <w:highlight w:val="none"/>
        </w:rPr>
        <w:t>总烃新增污染源贡献浓度及叠加后环境质量浓度预测结果表</w:t>
      </w:r>
    </w:p>
    <w:tbl>
      <w:tblPr>
        <w:tblStyle w:val="1662"/>
        <w:tblW w:w="500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70"/>
        <w:gridCol w:w="1263"/>
        <w:gridCol w:w="893"/>
        <w:gridCol w:w="1194"/>
        <w:gridCol w:w="852"/>
        <w:gridCol w:w="997"/>
        <w:gridCol w:w="1283"/>
        <w:gridCol w:w="704"/>
        <w:gridCol w:w="1137"/>
      </w:tblGrid>
      <w:tr w14:paraId="4649C0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3" w:type="pct"/>
            <w:tcBorders>
              <w:tl2br w:val="nil"/>
              <w:tr2bl w:val="nil"/>
            </w:tcBorders>
            <w:vAlign w:val="center"/>
          </w:tcPr>
          <w:p w14:paraId="47F437D0">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污染物</w:t>
            </w:r>
          </w:p>
        </w:tc>
        <w:tc>
          <w:tcPr>
            <w:tcW w:w="694" w:type="pct"/>
            <w:tcBorders>
              <w:tl2br w:val="nil"/>
              <w:tr2bl w:val="nil"/>
            </w:tcBorders>
            <w:vAlign w:val="center"/>
          </w:tcPr>
          <w:p w14:paraId="7F0DFC80">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预测点</w:t>
            </w:r>
          </w:p>
        </w:tc>
        <w:tc>
          <w:tcPr>
            <w:tcW w:w="491" w:type="pct"/>
            <w:tcBorders>
              <w:tl2br w:val="nil"/>
              <w:tr2bl w:val="nil"/>
            </w:tcBorders>
            <w:vAlign w:val="center"/>
          </w:tcPr>
          <w:p w14:paraId="569CC7D0">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平均时段</w:t>
            </w:r>
          </w:p>
        </w:tc>
        <w:tc>
          <w:tcPr>
            <w:tcW w:w="656" w:type="pct"/>
            <w:tcBorders>
              <w:tl2br w:val="nil"/>
              <w:tr2bl w:val="nil"/>
            </w:tcBorders>
            <w:vAlign w:val="center"/>
          </w:tcPr>
          <w:p w14:paraId="57AA6694">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最大贡献值（μg/m</w:t>
            </w:r>
            <w:r>
              <w:rPr>
                <w:rFonts w:ascii="Times New Roman" w:hAnsi="Times New Roman" w:cs="Times New Roman"/>
                <w:color w:val="auto"/>
                <w:w w:val="99"/>
                <w:sz w:val="21"/>
                <w:szCs w:val="21"/>
                <w:highlight w:val="none"/>
                <w:vertAlign w:val="superscript"/>
                <w:lang w:eastAsia="en-US"/>
              </w:rPr>
              <w:t>3</w:t>
            </w:r>
            <w:r>
              <w:rPr>
                <w:rFonts w:ascii="Times New Roman" w:hAnsi="Times New Roman" w:cs="Times New Roman"/>
                <w:color w:val="auto"/>
                <w:w w:val="99"/>
                <w:sz w:val="21"/>
                <w:szCs w:val="21"/>
                <w:highlight w:val="none"/>
                <w:lang w:eastAsia="en-US"/>
              </w:rPr>
              <w:t>)</w:t>
            </w:r>
          </w:p>
        </w:tc>
        <w:tc>
          <w:tcPr>
            <w:tcW w:w="468" w:type="pct"/>
            <w:tcBorders>
              <w:tl2br w:val="nil"/>
              <w:tr2bl w:val="nil"/>
            </w:tcBorders>
            <w:vAlign w:val="center"/>
          </w:tcPr>
          <w:p w14:paraId="3F2E2ACF">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占标率/%</w:t>
            </w:r>
          </w:p>
        </w:tc>
        <w:tc>
          <w:tcPr>
            <w:tcW w:w="548" w:type="pct"/>
            <w:tcBorders>
              <w:tl2br w:val="nil"/>
              <w:tr2bl w:val="nil"/>
            </w:tcBorders>
          </w:tcPr>
          <w:p w14:paraId="692D2861">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背景值（μg/m</w:t>
            </w:r>
            <w:r>
              <w:rPr>
                <w:rFonts w:ascii="Times New Roman" w:hAnsi="Times New Roman" w:cs="Times New Roman"/>
                <w:color w:val="auto"/>
                <w:w w:val="99"/>
                <w:sz w:val="21"/>
                <w:szCs w:val="21"/>
                <w:highlight w:val="none"/>
                <w:vertAlign w:val="superscript"/>
                <w:lang w:eastAsia="en-US"/>
              </w:rPr>
              <w:t>3</w:t>
            </w:r>
            <w:r>
              <w:rPr>
                <w:rFonts w:ascii="Times New Roman" w:hAnsi="Times New Roman" w:cs="Times New Roman"/>
                <w:color w:val="auto"/>
                <w:w w:val="99"/>
                <w:sz w:val="21"/>
                <w:szCs w:val="21"/>
                <w:highlight w:val="none"/>
                <w:lang w:eastAsia="en-US"/>
              </w:rPr>
              <w:t>)</w:t>
            </w:r>
          </w:p>
        </w:tc>
        <w:tc>
          <w:tcPr>
            <w:tcW w:w="705" w:type="pct"/>
            <w:tcBorders>
              <w:right w:val="single" w:color="auto" w:sz="4" w:space="0"/>
              <w:tl2br w:val="nil"/>
              <w:tr2bl w:val="nil"/>
            </w:tcBorders>
          </w:tcPr>
          <w:p w14:paraId="047301A2">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叠加值（μg/m</w:t>
            </w:r>
            <w:r>
              <w:rPr>
                <w:rFonts w:ascii="Times New Roman" w:hAnsi="Times New Roman" w:cs="Times New Roman"/>
                <w:color w:val="auto"/>
                <w:w w:val="99"/>
                <w:sz w:val="21"/>
                <w:szCs w:val="21"/>
                <w:highlight w:val="none"/>
                <w:vertAlign w:val="superscript"/>
                <w:lang w:eastAsia="en-US"/>
              </w:rPr>
              <w:t>3</w:t>
            </w:r>
            <w:r>
              <w:rPr>
                <w:rFonts w:ascii="Times New Roman" w:hAnsi="Times New Roman" w:cs="Times New Roman"/>
                <w:color w:val="auto"/>
                <w:w w:val="99"/>
                <w:sz w:val="21"/>
                <w:szCs w:val="21"/>
                <w:highlight w:val="none"/>
                <w:lang w:eastAsia="en-US"/>
              </w:rPr>
              <w:t>)</w:t>
            </w:r>
          </w:p>
        </w:tc>
        <w:tc>
          <w:tcPr>
            <w:tcW w:w="387" w:type="pct"/>
            <w:tcBorders>
              <w:left w:val="single" w:color="auto" w:sz="4" w:space="0"/>
              <w:tl2br w:val="nil"/>
              <w:tr2bl w:val="nil"/>
            </w:tcBorders>
          </w:tcPr>
          <w:p w14:paraId="4B126903">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占标率/%</w:t>
            </w:r>
          </w:p>
        </w:tc>
        <w:tc>
          <w:tcPr>
            <w:tcW w:w="625" w:type="pct"/>
            <w:tcBorders>
              <w:tl2br w:val="nil"/>
              <w:tr2bl w:val="nil"/>
            </w:tcBorders>
            <w:vAlign w:val="center"/>
          </w:tcPr>
          <w:p w14:paraId="1C5364AB">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达标情况</w:t>
            </w:r>
          </w:p>
        </w:tc>
      </w:tr>
      <w:tr w14:paraId="6B76EB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3" w:type="pct"/>
            <w:tcBorders>
              <w:tl2br w:val="nil"/>
              <w:tr2bl w:val="nil"/>
            </w:tcBorders>
            <w:vAlign w:val="center"/>
          </w:tcPr>
          <w:p w14:paraId="16588019">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NMHC</w:t>
            </w:r>
          </w:p>
        </w:tc>
        <w:tc>
          <w:tcPr>
            <w:tcW w:w="694" w:type="pct"/>
            <w:tcBorders>
              <w:tl2br w:val="nil"/>
              <w:tr2bl w:val="nil"/>
            </w:tcBorders>
            <w:vAlign w:val="center"/>
          </w:tcPr>
          <w:p w14:paraId="5C36F15C">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王家围子</w:t>
            </w:r>
            <w:r>
              <w:rPr>
                <w:rFonts w:hint="eastAsia" w:ascii="Times New Roman" w:hAnsi="Times New Roman" w:cs="Times New Roman"/>
                <w:color w:val="auto"/>
                <w:w w:val="99"/>
                <w:sz w:val="21"/>
                <w:szCs w:val="21"/>
                <w:highlight w:val="none"/>
                <w:lang w:eastAsia="en-US"/>
              </w:rPr>
              <w:t>屯</w:t>
            </w:r>
          </w:p>
        </w:tc>
        <w:tc>
          <w:tcPr>
            <w:tcW w:w="491" w:type="pct"/>
            <w:tcBorders>
              <w:tl2br w:val="nil"/>
              <w:tr2bl w:val="nil"/>
            </w:tcBorders>
            <w:vAlign w:val="center"/>
          </w:tcPr>
          <w:p w14:paraId="42D62BB1">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小时值</w:t>
            </w:r>
          </w:p>
        </w:tc>
        <w:tc>
          <w:tcPr>
            <w:tcW w:w="656" w:type="pct"/>
            <w:tcBorders>
              <w:tl2br w:val="nil"/>
              <w:tr2bl w:val="nil"/>
            </w:tcBorders>
            <w:vAlign w:val="center"/>
          </w:tcPr>
          <w:p w14:paraId="2D56F3E7">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17.44962</w:t>
            </w:r>
          </w:p>
        </w:tc>
        <w:tc>
          <w:tcPr>
            <w:tcW w:w="468" w:type="pct"/>
            <w:tcBorders>
              <w:tl2br w:val="nil"/>
              <w:tr2bl w:val="nil"/>
            </w:tcBorders>
            <w:vAlign w:val="center"/>
          </w:tcPr>
          <w:p w14:paraId="7BD7AD25">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 xml:space="preserve">0.87 </w:t>
            </w:r>
          </w:p>
        </w:tc>
        <w:tc>
          <w:tcPr>
            <w:tcW w:w="548" w:type="pct"/>
            <w:tcBorders>
              <w:tl2br w:val="nil"/>
              <w:tr2bl w:val="nil"/>
            </w:tcBorders>
          </w:tcPr>
          <w:p w14:paraId="1C1A688B">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610</w:t>
            </w:r>
          </w:p>
        </w:tc>
        <w:tc>
          <w:tcPr>
            <w:tcW w:w="705" w:type="pct"/>
            <w:tcBorders>
              <w:right w:val="single" w:color="auto" w:sz="4" w:space="0"/>
              <w:tl2br w:val="nil"/>
              <w:tr2bl w:val="nil"/>
            </w:tcBorders>
            <w:vAlign w:val="center"/>
          </w:tcPr>
          <w:p w14:paraId="3C2958F7">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627.44962</w:t>
            </w:r>
          </w:p>
        </w:tc>
        <w:tc>
          <w:tcPr>
            <w:tcW w:w="387" w:type="pct"/>
            <w:tcBorders>
              <w:left w:val="single" w:color="auto" w:sz="4" w:space="0"/>
              <w:tl2br w:val="nil"/>
              <w:tr2bl w:val="nil"/>
            </w:tcBorders>
            <w:vAlign w:val="center"/>
          </w:tcPr>
          <w:p w14:paraId="1946C59D">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 xml:space="preserve">31.37 </w:t>
            </w:r>
          </w:p>
        </w:tc>
        <w:tc>
          <w:tcPr>
            <w:tcW w:w="625" w:type="pct"/>
            <w:tcBorders>
              <w:tl2br w:val="nil"/>
              <w:tr2bl w:val="nil"/>
            </w:tcBorders>
            <w:vAlign w:val="center"/>
          </w:tcPr>
          <w:p w14:paraId="4B17CF42">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达标</w:t>
            </w:r>
          </w:p>
        </w:tc>
      </w:tr>
      <w:tr w14:paraId="4E780A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23" w:type="pct"/>
            <w:tcBorders>
              <w:tl2br w:val="nil"/>
              <w:tr2bl w:val="nil"/>
            </w:tcBorders>
            <w:vAlign w:val="center"/>
          </w:tcPr>
          <w:p w14:paraId="4C40BC43">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NMHC</w:t>
            </w:r>
          </w:p>
        </w:tc>
        <w:tc>
          <w:tcPr>
            <w:tcW w:w="694" w:type="pct"/>
            <w:tcBorders>
              <w:tl2br w:val="nil"/>
              <w:tr2bl w:val="nil"/>
            </w:tcBorders>
            <w:vAlign w:val="center"/>
          </w:tcPr>
          <w:p w14:paraId="6A83375F">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东双山</w:t>
            </w:r>
            <w:r>
              <w:rPr>
                <w:rFonts w:hint="eastAsia" w:ascii="Times New Roman" w:hAnsi="Times New Roman" w:cs="Times New Roman"/>
                <w:color w:val="auto"/>
                <w:w w:val="99"/>
                <w:sz w:val="21"/>
                <w:szCs w:val="21"/>
                <w:highlight w:val="none"/>
                <w:lang w:eastAsia="en-US"/>
              </w:rPr>
              <w:t>屯</w:t>
            </w:r>
          </w:p>
        </w:tc>
        <w:tc>
          <w:tcPr>
            <w:tcW w:w="491" w:type="pct"/>
            <w:tcBorders>
              <w:tl2br w:val="nil"/>
              <w:tr2bl w:val="nil"/>
            </w:tcBorders>
            <w:vAlign w:val="center"/>
          </w:tcPr>
          <w:p w14:paraId="46F019F8">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小时值</w:t>
            </w:r>
          </w:p>
        </w:tc>
        <w:tc>
          <w:tcPr>
            <w:tcW w:w="656" w:type="pct"/>
            <w:tcBorders>
              <w:tl2br w:val="nil"/>
              <w:tr2bl w:val="nil"/>
            </w:tcBorders>
            <w:vAlign w:val="center"/>
          </w:tcPr>
          <w:p w14:paraId="04210C80">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6.08845</w:t>
            </w:r>
          </w:p>
        </w:tc>
        <w:tc>
          <w:tcPr>
            <w:tcW w:w="468" w:type="pct"/>
            <w:tcBorders>
              <w:tl2br w:val="nil"/>
              <w:tr2bl w:val="nil"/>
            </w:tcBorders>
            <w:vAlign w:val="center"/>
          </w:tcPr>
          <w:p w14:paraId="02E92FF8">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 xml:space="preserve">0.30 </w:t>
            </w:r>
          </w:p>
        </w:tc>
        <w:tc>
          <w:tcPr>
            <w:tcW w:w="548" w:type="pct"/>
            <w:tcBorders>
              <w:tl2br w:val="nil"/>
              <w:tr2bl w:val="nil"/>
            </w:tcBorders>
          </w:tcPr>
          <w:p w14:paraId="46E1E9AD">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610</w:t>
            </w:r>
          </w:p>
        </w:tc>
        <w:tc>
          <w:tcPr>
            <w:tcW w:w="705" w:type="pct"/>
            <w:tcBorders>
              <w:right w:val="single" w:color="auto" w:sz="4" w:space="0"/>
              <w:tl2br w:val="nil"/>
              <w:tr2bl w:val="nil"/>
            </w:tcBorders>
            <w:vAlign w:val="center"/>
          </w:tcPr>
          <w:p w14:paraId="63CE6E9C">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616.08845</w:t>
            </w:r>
          </w:p>
        </w:tc>
        <w:tc>
          <w:tcPr>
            <w:tcW w:w="387" w:type="pct"/>
            <w:tcBorders>
              <w:left w:val="single" w:color="auto" w:sz="4" w:space="0"/>
              <w:tl2br w:val="nil"/>
              <w:tr2bl w:val="nil"/>
            </w:tcBorders>
            <w:vAlign w:val="center"/>
          </w:tcPr>
          <w:p w14:paraId="01764293">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 xml:space="preserve">30.80 </w:t>
            </w:r>
          </w:p>
        </w:tc>
        <w:tc>
          <w:tcPr>
            <w:tcW w:w="625" w:type="pct"/>
            <w:tcBorders>
              <w:tl2br w:val="nil"/>
              <w:tr2bl w:val="nil"/>
            </w:tcBorders>
          </w:tcPr>
          <w:p w14:paraId="30E4A418">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达标</w:t>
            </w:r>
          </w:p>
        </w:tc>
      </w:tr>
      <w:tr w14:paraId="33B401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3" w:type="pct"/>
            <w:tcBorders>
              <w:tl2br w:val="nil"/>
              <w:tr2bl w:val="nil"/>
            </w:tcBorders>
            <w:vAlign w:val="center"/>
          </w:tcPr>
          <w:p w14:paraId="6E331286">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NMHC</w:t>
            </w:r>
          </w:p>
        </w:tc>
        <w:tc>
          <w:tcPr>
            <w:tcW w:w="694" w:type="pct"/>
            <w:tcBorders>
              <w:tl2br w:val="nil"/>
              <w:tr2bl w:val="nil"/>
            </w:tcBorders>
            <w:vAlign w:val="center"/>
          </w:tcPr>
          <w:p w14:paraId="385A9AC3">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西双山屯</w:t>
            </w:r>
          </w:p>
        </w:tc>
        <w:tc>
          <w:tcPr>
            <w:tcW w:w="491" w:type="pct"/>
            <w:tcBorders>
              <w:tl2br w:val="nil"/>
              <w:tr2bl w:val="nil"/>
            </w:tcBorders>
            <w:vAlign w:val="center"/>
          </w:tcPr>
          <w:p w14:paraId="06EFFCE4">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小时值</w:t>
            </w:r>
          </w:p>
        </w:tc>
        <w:tc>
          <w:tcPr>
            <w:tcW w:w="656" w:type="pct"/>
            <w:tcBorders>
              <w:tl2br w:val="nil"/>
              <w:tr2bl w:val="nil"/>
            </w:tcBorders>
            <w:vAlign w:val="center"/>
          </w:tcPr>
          <w:p w14:paraId="3FC56655">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5.64887</w:t>
            </w:r>
          </w:p>
        </w:tc>
        <w:tc>
          <w:tcPr>
            <w:tcW w:w="468" w:type="pct"/>
            <w:tcBorders>
              <w:tl2br w:val="nil"/>
              <w:tr2bl w:val="nil"/>
            </w:tcBorders>
            <w:vAlign w:val="center"/>
          </w:tcPr>
          <w:p w14:paraId="12F3AADD">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 xml:space="preserve">0.28 </w:t>
            </w:r>
          </w:p>
        </w:tc>
        <w:tc>
          <w:tcPr>
            <w:tcW w:w="548" w:type="pct"/>
            <w:tcBorders>
              <w:tl2br w:val="nil"/>
              <w:tr2bl w:val="nil"/>
            </w:tcBorders>
          </w:tcPr>
          <w:p w14:paraId="28EEADEA">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610</w:t>
            </w:r>
          </w:p>
        </w:tc>
        <w:tc>
          <w:tcPr>
            <w:tcW w:w="705" w:type="pct"/>
            <w:tcBorders>
              <w:right w:val="single" w:color="auto" w:sz="4" w:space="0"/>
              <w:tl2br w:val="nil"/>
              <w:tr2bl w:val="nil"/>
            </w:tcBorders>
            <w:vAlign w:val="center"/>
          </w:tcPr>
          <w:p w14:paraId="6792A460">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615.64887</w:t>
            </w:r>
          </w:p>
        </w:tc>
        <w:tc>
          <w:tcPr>
            <w:tcW w:w="387" w:type="pct"/>
            <w:tcBorders>
              <w:left w:val="single" w:color="auto" w:sz="4" w:space="0"/>
              <w:tl2br w:val="nil"/>
              <w:tr2bl w:val="nil"/>
            </w:tcBorders>
            <w:vAlign w:val="center"/>
          </w:tcPr>
          <w:p w14:paraId="7FB8E3D1">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 xml:space="preserve">30.78 </w:t>
            </w:r>
          </w:p>
        </w:tc>
        <w:tc>
          <w:tcPr>
            <w:tcW w:w="625" w:type="pct"/>
            <w:tcBorders>
              <w:tl2br w:val="nil"/>
              <w:tr2bl w:val="nil"/>
            </w:tcBorders>
          </w:tcPr>
          <w:p w14:paraId="7308CD2C">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达标</w:t>
            </w:r>
          </w:p>
        </w:tc>
      </w:tr>
      <w:tr w14:paraId="091F7E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3" w:type="pct"/>
            <w:tcBorders>
              <w:tl2br w:val="nil"/>
              <w:tr2bl w:val="nil"/>
            </w:tcBorders>
            <w:vAlign w:val="center"/>
          </w:tcPr>
          <w:p w14:paraId="1BB40AD4">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NMHC</w:t>
            </w:r>
          </w:p>
        </w:tc>
        <w:tc>
          <w:tcPr>
            <w:tcW w:w="694" w:type="pct"/>
            <w:tcBorders>
              <w:tl2br w:val="nil"/>
              <w:tr2bl w:val="nil"/>
            </w:tcBorders>
            <w:vAlign w:val="center"/>
          </w:tcPr>
          <w:p w14:paraId="651025F4">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新发屯</w:t>
            </w:r>
          </w:p>
        </w:tc>
        <w:tc>
          <w:tcPr>
            <w:tcW w:w="491" w:type="pct"/>
            <w:tcBorders>
              <w:tl2br w:val="nil"/>
              <w:tr2bl w:val="nil"/>
            </w:tcBorders>
            <w:vAlign w:val="center"/>
          </w:tcPr>
          <w:p w14:paraId="378CF1A9">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小时值</w:t>
            </w:r>
          </w:p>
        </w:tc>
        <w:tc>
          <w:tcPr>
            <w:tcW w:w="656" w:type="pct"/>
            <w:tcBorders>
              <w:tl2br w:val="nil"/>
              <w:tr2bl w:val="nil"/>
            </w:tcBorders>
            <w:vAlign w:val="center"/>
          </w:tcPr>
          <w:p w14:paraId="351FA913">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9.45256</w:t>
            </w:r>
          </w:p>
        </w:tc>
        <w:tc>
          <w:tcPr>
            <w:tcW w:w="468" w:type="pct"/>
            <w:tcBorders>
              <w:tl2br w:val="nil"/>
              <w:tr2bl w:val="nil"/>
            </w:tcBorders>
            <w:vAlign w:val="center"/>
          </w:tcPr>
          <w:p w14:paraId="1AA61F16">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 xml:space="preserve">0.47 </w:t>
            </w:r>
          </w:p>
        </w:tc>
        <w:tc>
          <w:tcPr>
            <w:tcW w:w="548" w:type="pct"/>
            <w:tcBorders>
              <w:tl2br w:val="nil"/>
              <w:tr2bl w:val="nil"/>
            </w:tcBorders>
          </w:tcPr>
          <w:p w14:paraId="72035905">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610</w:t>
            </w:r>
          </w:p>
        </w:tc>
        <w:tc>
          <w:tcPr>
            <w:tcW w:w="705" w:type="pct"/>
            <w:tcBorders>
              <w:right w:val="single" w:color="auto" w:sz="4" w:space="0"/>
              <w:tl2br w:val="nil"/>
              <w:tr2bl w:val="nil"/>
            </w:tcBorders>
            <w:vAlign w:val="center"/>
          </w:tcPr>
          <w:p w14:paraId="057B0058">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619.45256</w:t>
            </w:r>
          </w:p>
        </w:tc>
        <w:tc>
          <w:tcPr>
            <w:tcW w:w="387" w:type="pct"/>
            <w:tcBorders>
              <w:left w:val="single" w:color="auto" w:sz="4" w:space="0"/>
              <w:tl2br w:val="nil"/>
              <w:tr2bl w:val="nil"/>
            </w:tcBorders>
            <w:vAlign w:val="center"/>
          </w:tcPr>
          <w:p w14:paraId="5AC8D641">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 xml:space="preserve">30.97 </w:t>
            </w:r>
          </w:p>
        </w:tc>
        <w:tc>
          <w:tcPr>
            <w:tcW w:w="625" w:type="pct"/>
            <w:tcBorders>
              <w:tl2br w:val="nil"/>
              <w:tr2bl w:val="nil"/>
            </w:tcBorders>
          </w:tcPr>
          <w:p w14:paraId="65D074D8">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达标</w:t>
            </w:r>
          </w:p>
        </w:tc>
      </w:tr>
      <w:tr w14:paraId="48E461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3" w:type="pct"/>
            <w:tcBorders>
              <w:tl2br w:val="nil"/>
              <w:tr2bl w:val="nil"/>
            </w:tcBorders>
            <w:vAlign w:val="center"/>
          </w:tcPr>
          <w:p w14:paraId="18499924">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NMHC</w:t>
            </w:r>
          </w:p>
        </w:tc>
        <w:tc>
          <w:tcPr>
            <w:tcW w:w="694" w:type="pct"/>
            <w:tcBorders>
              <w:tl2br w:val="nil"/>
              <w:tr2bl w:val="nil"/>
            </w:tcBorders>
            <w:vAlign w:val="center"/>
          </w:tcPr>
          <w:p w14:paraId="5A84CBD3">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大太平川</w:t>
            </w:r>
            <w:r>
              <w:rPr>
                <w:rFonts w:hint="eastAsia" w:ascii="Times New Roman" w:hAnsi="Times New Roman" w:cs="Times New Roman"/>
                <w:color w:val="auto"/>
                <w:w w:val="99"/>
                <w:sz w:val="21"/>
                <w:szCs w:val="21"/>
                <w:highlight w:val="none"/>
                <w:lang w:eastAsia="en-US"/>
              </w:rPr>
              <w:t>屯</w:t>
            </w:r>
          </w:p>
        </w:tc>
        <w:tc>
          <w:tcPr>
            <w:tcW w:w="491" w:type="pct"/>
            <w:tcBorders>
              <w:tl2br w:val="nil"/>
              <w:tr2bl w:val="nil"/>
            </w:tcBorders>
            <w:vAlign w:val="center"/>
          </w:tcPr>
          <w:p w14:paraId="338C3E03">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小时值</w:t>
            </w:r>
          </w:p>
        </w:tc>
        <w:tc>
          <w:tcPr>
            <w:tcW w:w="656" w:type="pct"/>
            <w:tcBorders>
              <w:tl2br w:val="nil"/>
              <w:tr2bl w:val="nil"/>
            </w:tcBorders>
            <w:vAlign w:val="center"/>
          </w:tcPr>
          <w:p w14:paraId="2633C332">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12.40668</w:t>
            </w:r>
          </w:p>
        </w:tc>
        <w:tc>
          <w:tcPr>
            <w:tcW w:w="468" w:type="pct"/>
            <w:tcBorders>
              <w:tl2br w:val="nil"/>
              <w:tr2bl w:val="nil"/>
            </w:tcBorders>
            <w:vAlign w:val="center"/>
          </w:tcPr>
          <w:p w14:paraId="2AD4214B">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 xml:space="preserve">0.62 </w:t>
            </w:r>
          </w:p>
        </w:tc>
        <w:tc>
          <w:tcPr>
            <w:tcW w:w="548" w:type="pct"/>
            <w:tcBorders>
              <w:tl2br w:val="nil"/>
              <w:tr2bl w:val="nil"/>
            </w:tcBorders>
          </w:tcPr>
          <w:p w14:paraId="270E02B4">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610</w:t>
            </w:r>
          </w:p>
        </w:tc>
        <w:tc>
          <w:tcPr>
            <w:tcW w:w="705" w:type="pct"/>
            <w:tcBorders>
              <w:right w:val="single" w:color="auto" w:sz="4" w:space="0"/>
              <w:tl2br w:val="nil"/>
              <w:tr2bl w:val="nil"/>
            </w:tcBorders>
            <w:vAlign w:val="center"/>
          </w:tcPr>
          <w:p w14:paraId="5F8A7FAB">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622.40668</w:t>
            </w:r>
          </w:p>
        </w:tc>
        <w:tc>
          <w:tcPr>
            <w:tcW w:w="387" w:type="pct"/>
            <w:tcBorders>
              <w:left w:val="single" w:color="auto" w:sz="4" w:space="0"/>
              <w:tl2br w:val="nil"/>
              <w:tr2bl w:val="nil"/>
            </w:tcBorders>
            <w:vAlign w:val="center"/>
          </w:tcPr>
          <w:p w14:paraId="5F509983">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 xml:space="preserve">31.12 </w:t>
            </w:r>
          </w:p>
        </w:tc>
        <w:tc>
          <w:tcPr>
            <w:tcW w:w="625" w:type="pct"/>
            <w:tcBorders>
              <w:tl2br w:val="nil"/>
              <w:tr2bl w:val="nil"/>
            </w:tcBorders>
          </w:tcPr>
          <w:p w14:paraId="321E20FD">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达标</w:t>
            </w:r>
          </w:p>
        </w:tc>
      </w:tr>
      <w:tr w14:paraId="557774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3" w:type="pct"/>
            <w:tcBorders>
              <w:tl2br w:val="nil"/>
              <w:tr2bl w:val="nil"/>
            </w:tcBorders>
            <w:vAlign w:val="center"/>
          </w:tcPr>
          <w:p w14:paraId="7C6C1313">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NMHC</w:t>
            </w:r>
          </w:p>
        </w:tc>
        <w:tc>
          <w:tcPr>
            <w:tcW w:w="694" w:type="pct"/>
            <w:tcBorders>
              <w:tl2br w:val="nil"/>
              <w:tr2bl w:val="nil"/>
            </w:tcBorders>
            <w:vAlign w:val="center"/>
          </w:tcPr>
          <w:p w14:paraId="5924BA8F">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福龙村（</w:t>
            </w:r>
            <w:r>
              <w:rPr>
                <w:rFonts w:ascii="Times New Roman" w:hAnsi="Times New Roman" w:cs="Times New Roman"/>
                <w:color w:val="auto"/>
                <w:w w:val="99"/>
                <w:sz w:val="21"/>
                <w:szCs w:val="21"/>
                <w:highlight w:val="none"/>
                <w:lang w:eastAsia="en-US"/>
              </w:rPr>
              <w:t>尚家围子</w:t>
            </w:r>
            <w:r>
              <w:rPr>
                <w:rFonts w:hint="eastAsia" w:ascii="Times New Roman" w:hAnsi="Times New Roman" w:cs="Times New Roman"/>
                <w:color w:val="auto"/>
                <w:w w:val="99"/>
                <w:sz w:val="21"/>
                <w:szCs w:val="21"/>
                <w:highlight w:val="none"/>
                <w:lang w:eastAsia="en-US"/>
              </w:rPr>
              <w:t>屯）</w:t>
            </w:r>
          </w:p>
        </w:tc>
        <w:tc>
          <w:tcPr>
            <w:tcW w:w="491" w:type="pct"/>
            <w:tcBorders>
              <w:tl2br w:val="nil"/>
              <w:tr2bl w:val="nil"/>
            </w:tcBorders>
            <w:vAlign w:val="center"/>
          </w:tcPr>
          <w:p w14:paraId="7115E71F">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小时值</w:t>
            </w:r>
          </w:p>
        </w:tc>
        <w:tc>
          <w:tcPr>
            <w:tcW w:w="656" w:type="pct"/>
            <w:tcBorders>
              <w:tl2br w:val="nil"/>
              <w:tr2bl w:val="nil"/>
            </w:tcBorders>
            <w:vAlign w:val="center"/>
          </w:tcPr>
          <w:p w14:paraId="70509508">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44.1032</w:t>
            </w:r>
          </w:p>
        </w:tc>
        <w:tc>
          <w:tcPr>
            <w:tcW w:w="468" w:type="pct"/>
            <w:tcBorders>
              <w:tl2br w:val="nil"/>
              <w:tr2bl w:val="nil"/>
            </w:tcBorders>
            <w:vAlign w:val="center"/>
          </w:tcPr>
          <w:p w14:paraId="5E724F03">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 xml:space="preserve">2.21 </w:t>
            </w:r>
          </w:p>
        </w:tc>
        <w:tc>
          <w:tcPr>
            <w:tcW w:w="548" w:type="pct"/>
            <w:tcBorders>
              <w:tl2br w:val="nil"/>
              <w:tr2bl w:val="nil"/>
            </w:tcBorders>
            <w:vAlign w:val="center"/>
          </w:tcPr>
          <w:p w14:paraId="624E10B6">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610</w:t>
            </w:r>
          </w:p>
        </w:tc>
        <w:tc>
          <w:tcPr>
            <w:tcW w:w="705" w:type="pct"/>
            <w:tcBorders>
              <w:right w:val="single" w:color="auto" w:sz="4" w:space="0"/>
              <w:tl2br w:val="nil"/>
              <w:tr2bl w:val="nil"/>
            </w:tcBorders>
            <w:vAlign w:val="center"/>
          </w:tcPr>
          <w:p w14:paraId="67E40229">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654.1032</w:t>
            </w:r>
          </w:p>
        </w:tc>
        <w:tc>
          <w:tcPr>
            <w:tcW w:w="387" w:type="pct"/>
            <w:tcBorders>
              <w:left w:val="single" w:color="auto" w:sz="4" w:space="0"/>
              <w:tl2br w:val="nil"/>
              <w:tr2bl w:val="nil"/>
            </w:tcBorders>
            <w:vAlign w:val="center"/>
          </w:tcPr>
          <w:p w14:paraId="3133DC40">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 xml:space="preserve">32.71 </w:t>
            </w:r>
          </w:p>
        </w:tc>
        <w:tc>
          <w:tcPr>
            <w:tcW w:w="625" w:type="pct"/>
            <w:tcBorders>
              <w:tl2br w:val="nil"/>
              <w:tr2bl w:val="nil"/>
            </w:tcBorders>
            <w:vAlign w:val="center"/>
          </w:tcPr>
          <w:p w14:paraId="2D9558AB">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达标</w:t>
            </w:r>
          </w:p>
        </w:tc>
      </w:tr>
      <w:tr w14:paraId="53160E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3" w:type="pct"/>
            <w:tcBorders>
              <w:tl2br w:val="nil"/>
              <w:tr2bl w:val="nil"/>
            </w:tcBorders>
            <w:vAlign w:val="center"/>
          </w:tcPr>
          <w:p w14:paraId="62C33762">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NMHC</w:t>
            </w:r>
          </w:p>
        </w:tc>
        <w:tc>
          <w:tcPr>
            <w:tcW w:w="694" w:type="pct"/>
            <w:tcBorders>
              <w:tl2br w:val="nil"/>
              <w:tr2bl w:val="nil"/>
            </w:tcBorders>
            <w:vAlign w:val="center"/>
          </w:tcPr>
          <w:p w14:paraId="76308915">
            <w:pPr>
              <w:widowControl w:val="0"/>
              <w:spacing w:line="32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sz w:val="21"/>
                <w:szCs w:val="21"/>
                <w:highlight w:val="none"/>
                <w:lang w:eastAsia="en-US"/>
              </w:rPr>
              <w:t>邢家围子</w:t>
            </w:r>
            <w:r>
              <w:rPr>
                <w:rFonts w:hint="eastAsia" w:ascii="Times New Roman" w:hAnsi="Times New Roman" w:cs="Times New Roman"/>
                <w:color w:val="auto"/>
                <w:w w:val="99"/>
                <w:sz w:val="21"/>
                <w:szCs w:val="21"/>
                <w:highlight w:val="none"/>
                <w:lang w:eastAsia="en-US"/>
              </w:rPr>
              <w:t>屯</w:t>
            </w:r>
          </w:p>
        </w:tc>
        <w:tc>
          <w:tcPr>
            <w:tcW w:w="491" w:type="pct"/>
            <w:tcBorders>
              <w:tl2br w:val="nil"/>
              <w:tr2bl w:val="nil"/>
            </w:tcBorders>
            <w:vAlign w:val="center"/>
          </w:tcPr>
          <w:p w14:paraId="3F07ECB4">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小时值</w:t>
            </w:r>
          </w:p>
        </w:tc>
        <w:tc>
          <w:tcPr>
            <w:tcW w:w="656" w:type="pct"/>
            <w:tcBorders>
              <w:tl2br w:val="nil"/>
              <w:tr2bl w:val="nil"/>
            </w:tcBorders>
            <w:vAlign w:val="center"/>
          </w:tcPr>
          <w:p w14:paraId="2E109BD2">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129.6042</w:t>
            </w:r>
          </w:p>
        </w:tc>
        <w:tc>
          <w:tcPr>
            <w:tcW w:w="468" w:type="pct"/>
            <w:tcBorders>
              <w:tl2br w:val="nil"/>
              <w:tr2bl w:val="nil"/>
            </w:tcBorders>
            <w:vAlign w:val="center"/>
          </w:tcPr>
          <w:p w14:paraId="4E368661">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 xml:space="preserve">6.48 </w:t>
            </w:r>
          </w:p>
        </w:tc>
        <w:tc>
          <w:tcPr>
            <w:tcW w:w="548" w:type="pct"/>
            <w:tcBorders>
              <w:tl2br w:val="nil"/>
              <w:tr2bl w:val="nil"/>
            </w:tcBorders>
          </w:tcPr>
          <w:p w14:paraId="1CCE0ED5">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610</w:t>
            </w:r>
          </w:p>
        </w:tc>
        <w:tc>
          <w:tcPr>
            <w:tcW w:w="705" w:type="pct"/>
            <w:tcBorders>
              <w:right w:val="single" w:color="auto" w:sz="4" w:space="0"/>
              <w:tl2br w:val="nil"/>
              <w:tr2bl w:val="nil"/>
            </w:tcBorders>
            <w:vAlign w:val="center"/>
          </w:tcPr>
          <w:p w14:paraId="281BC1D2">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739.6042</w:t>
            </w:r>
          </w:p>
        </w:tc>
        <w:tc>
          <w:tcPr>
            <w:tcW w:w="387" w:type="pct"/>
            <w:tcBorders>
              <w:left w:val="single" w:color="auto" w:sz="4" w:space="0"/>
              <w:tl2br w:val="nil"/>
              <w:tr2bl w:val="nil"/>
            </w:tcBorders>
            <w:vAlign w:val="center"/>
          </w:tcPr>
          <w:p w14:paraId="4BE750DB">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 xml:space="preserve">36.98 </w:t>
            </w:r>
          </w:p>
        </w:tc>
        <w:tc>
          <w:tcPr>
            <w:tcW w:w="625" w:type="pct"/>
            <w:tcBorders>
              <w:tl2br w:val="nil"/>
              <w:tr2bl w:val="nil"/>
            </w:tcBorders>
          </w:tcPr>
          <w:p w14:paraId="0415CAE9">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达标</w:t>
            </w:r>
          </w:p>
        </w:tc>
      </w:tr>
      <w:tr w14:paraId="5FE59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3" w:type="pct"/>
            <w:tcBorders>
              <w:tl2br w:val="nil"/>
              <w:tr2bl w:val="nil"/>
            </w:tcBorders>
            <w:vAlign w:val="center"/>
          </w:tcPr>
          <w:p w14:paraId="10489D55">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NMHC</w:t>
            </w:r>
          </w:p>
        </w:tc>
        <w:tc>
          <w:tcPr>
            <w:tcW w:w="694" w:type="pct"/>
            <w:tcBorders>
              <w:tl2br w:val="nil"/>
              <w:tr2bl w:val="nil"/>
            </w:tcBorders>
            <w:vAlign w:val="center"/>
          </w:tcPr>
          <w:p w14:paraId="4CC86E91">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后柜</w:t>
            </w:r>
            <w:r>
              <w:rPr>
                <w:rFonts w:hint="eastAsia" w:ascii="Times New Roman" w:hAnsi="Times New Roman" w:cs="Times New Roman"/>
                <w:color w:val="auto"/>
                <w:w w:val="99"/>
                <w:sz w:val="21"/>
                <w:szCs w:val="21"/>
                <w:highlight w:val="none"/>
                <w:lang w:eastAsia="en-US"/>
              </w:rPr>
              <w:t>屯</w:t>
            </w:r>
          </w:p>
        </w:tc>
        <w:tc>
          <w:tcPr>
            <w:tcW w:w="491" w:type="pct"/>
            <w:tcBorders>
              <w:tl2br w:val="nil"/>
              <w:tr2bl w:val="nil"/>
            </w:tcBorders>
            <w:vAlign w:val="center"/>
          </w:tcPr>
          <w:p w14:paraId="40467C5B">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小时值</w:t>
            </w:r>
          </w:p>
        </w:tc>
        <w:tc>
          <w:tcPr>
            <w:tcW w:w="656" w:type="pct"/>
            <w:tcBorders>
              <w:tl2br w:val="nil"/>
              <w:tr2bl w:val="nil"/>
            </w:tcBorders>
            <w:vAlign w:val="center"/>
          </w:tcPr>
          <w:p w14:paraId="6B1D7411">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13.10081</w:t>
            </w:r>
          </w:p>
        </w:tc>
        <w:tc>
          <w:tcPr>
            <w:tcW w:w="468" w:type="pct"/>
            <w:tcBorders>
              <w:tl2br w:val="nil"/>
              <w:tr2bl w:val="nil"/>
            </w:tcBorders>
            <w:vAlign w:val="center"/>
          </w:tcPr>
          <w:p w14:paraId="63FA952D">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 xml:space="preserve">0.66 </w:t>
            </w:r>
          </w:p>
        </w:tc>
        <w:tc>
          <w:tcPr>
            <w:tcW w:w="548" w:type="pct"/>
            <w:tcBorders>
              <w:tl2br w:val="nil"/>
              <w:tr2bl w:val="nil"/>
            </w:tcBorders>
          </w:tcPr>
          <w:p w14:paraId="1F39D9DC">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610</w:t>
            </w:r>
          </w:p>
        </w:tc>
        <w:tc>
          <w:tcPr>
            <w:tcW w:w="705" w:type="pct"/>
            <w:tcBorders>
              <w:right w:val="single" w:color="auto" w:sz="4" w:space="0"/>
              <w:tl2br w:val="nil"/>
              <w:tr2bl w:val="nil"/>
            </w:tcBorders>
            <w:vAlign w:val="center"/>
          </w:tcPr>
          <w:p w14:paraId="09677FBA">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623.10081</w:t>
            </w:r>
          </w:p>
        </w:tc>
        <w:tc>
          <w:tcPr>
            <w:tcW w:w="387" w:type="pct"/>
            <w:tcBorders>
              <w:left w:val="single" w:color="auto" w:sz="4" w:space="0"/>
              <w:tl2br w:val="nil"/>
              <w:tr2bl w:val="nil"/>
            </w:tcBorders>
            <w:vAlign w:val="center"/>
          </w:tcPr>
          <w:p w14:paraId="629BBBE4">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 xml:space="preserve">31.16 </w:t>
            </w:r>
          </w:p>
        </w:tc>
        <w:tc>
          <w:tcPr>
            <w:tcW w:w="625" w:type="pct"/>
            <w:tcBorders>
              <w:tl2br w:val="nil"/>
              <w:tr2bl w:val="nil"/>
            </w:tcBorders>
          </w:tcPr>
          <w:p w14:paraId="0B83F1F3">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达标</w:t>
            </w:r>
          </w:p>
        </w:tc>
      </w:tr>
      <w:tr w14:paraId="563480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3" w:type="pct"/>
            <w:tcBorders>
              <w:tl2br w:val="nil"/>
              <w:tr2bl w:val="nil"/>
            </w:tcBorders>
            <w:vAlign w:val="center"/>
          </w:tcPr>
          <w:p w14:paraId="069599A7">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NMHC</w:t>
            </w:r>
          </w:p>
        </w:tc>
        <w:tc>
          <w:tcPr>
            <w:tcW w:w="694" w:type="pct"/>
            <w:tcBorders>
              <w:tl2br w:val="nil"/>
              <w:tr2bl w:val="nil"/>
            </w:tcBorders>
            <w:vAlign w:val="center"/>
          </w:tcPr>
          <w:p w14:paraId="34346147">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腰柜</w:t>
            </w:r>
            <w:r>
              <w:rPr>
                <w:rFonts w:hint="eastAsia" w:ascii="Times New Roman" w:hAnsi="Times New Roman" w:cs="Times New Roman"/>
                <w:color w:val="auto"/>
                <w:w w:val="99"/>
                <w:sz w:val="21"/>
                <w:szCs w:val="21"/>
                <w:highlight w:val="none"/>
                <w:lang w:eastAsia="en-US"/>
              </w:rPr>
              <w:t>屯</w:t>
            </w:r>
          </w:p>
        </w:tc>
        <w:tc>
          <w:tcPr>
            <w:tcW w:w="491" w:type="pct"/>
            <w:tcBorders>
              <w:tl2br w:val="nil"/>
              <w:tr2bl w:val="nil"/>
            </w:tcBorders>
            <w:vAlign w:val="center"/>
          </w:tcPr>
          <w:p w14:paraId="5884B0D1">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小时值</w:t>
            </w:r>
          </w:p>
        </w:tc>
        <w:tc>
          <w:tcPr>
            <w:tcW w:w="656" w:type="pct"/>
            <w:tcBorders>
              <w:tl2br w:val="nil"/>
              <w:tr2bl w:val="nil"/>
            </w:tcBorders>
            <w:vAlign w:val="center"/>
          </w:tcPr>
          <w:p w14:paraId="75801B76">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12.35210</w:t>
            </w:r>
          </w:p>
        </w:tc>
        <w:tc>
          <w:tcPr>
            <w:tcW w:w="468" w:type="pct"/>
            <w:tcBorders>
              <w:tl2br w:val="nil"/>
              <w:tr2bl w:val="nil"/>
            </w:tcBorders>
            <w:vAlign w:val="center"/>
          </w:tcPr>
          <w:p w14:paraId="4EAA8064">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 xml:space="preserve">0.62 </w:t>
            </w:r>
          </w:p>
        </w:tc>
        <w:tc>
          <w:tcPr>
            <w:tcW w:w="548" w:type="pct"/>
            <w:tcBorders>
              <w:tl2br w:val="nil"/>
              <w:tr2bl w:val="nil"/>
            </w:tcBorders>
          </w:tcPr>
          <w:p w14:paraId="7E0C6659">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610</w:t>
            </w:r>
          </w:p>
        </w:tc>
        <w:tc>
          <w:tcPr>
            <w:tcW w:w="705" w:type="pct"/>
            <w:tcBorders>
              <w:right w:val="single" w:color="auto" w:sz="4" w:space="0"/>
              <w:tl2br w:val="nil"/>
              <w:tr2bl w:val="nil"/>
            </w:tcBorders>
            <w:vAlign w:val="center"/>
          </w:tcPr>
          <w:p w14:paraId="3CBF655C">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622.3521</w:t>
            </w:r>
          </w:p>
        </w:tc>
        <w:tc>
          <w:tcPr>
            <w:tcW w:w="387" w:type="pct"/>
            <w:tcBorders>
              <w:left w:val="single" w:color="auto" w:sz="4" w:space="0"/>
              <w:tl2br w:val="nil"/>
              <w:tr2bl w:val="nil"/>
            </w:tcBorders>
            <w:vAlign w:val="center"/>
          </w:tcPr>
          <w:p w14:paraId="15A04C2C">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 xml:space="preserve">31.12 </w:t>
            </w:r>
          </w:p>
        </w:tc>
        <w:tc>
          <w:tcPr>
            <w:tcW w:w="625" w:type="pct"/>
            <w:tcBorders>
              <w:tl2br w:val="nil"/>
              <w:tr2bl w:val="nil"/>
            </w:tcBorders>
          </w:tcPr>
          <w:p w14:paraId="4196EDFB">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达标</w:t>
            </w:r>
          </w:p>
        </w:tc>
      </w:tr>
      <w:tr w14:paraId="38828C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3" w:type="pct"/>
            <w:tcBorders>
              <w:tl2br w:val="nil"/>
              <w:tr2bl w:val="nil"/>
            </w:tcBorders>
            <w:vAlign w:val="center"/>
          </w:tcPr>
          <w:p w14:paraId="372A6303">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NMHC</w:t>
            </w:r>
          </w:p>
        </w:tc>
        <w:tc>
          <w:tcPr>
            <w:tcW w:w="694" w:type="pct"/>
            <w:tcBorders>
              <w:tl2br w:val="nil"/>
              <w:tr2bl w:val="nil"/>
            </w:tcBorders>
            <w:vAlign w:val="center"/>
          </w:tcPr>
          <w:p w14:paraId="7025328B">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杨</w:t>
            </w:r>
            <w:r>
              <w:rPr>
                <w:rFonts w:hint="eastAsia" w:ascii="Times New Roman" w:hAnsi="Times New Roman" w:cs="Times New Roman"/>
                <w:color w:val="auto"/>
                <w:w w:val="99"/>
                <w:sz w:val="21"/>
                <w:szCs w:val="21"/>
                <w:highlight w:val="none"/>
                <w:lang w:eastAsia="en-US"/>
              </w:rPr>
              <w:t>家</w:t>
            </w:r>
            <w:r>
              <w:rPr>
                <w:rFonts w:ascii="Times New Roman" w:hAnsi="Times New Roman" w:cs="Times New Roman"/>
                <w:color w:val="auto"/>
                <w:w w:val="99"/>
                <w:sz w:val="21"/>
                <w:szCs w:val="21"/>
                <w:highlight w:val="none"/>
                <w:lang w:eastAsia="en-US"/>
              </w:rPr>
              <w:t>屯</w:t>
            </w:r>
          </w:p>
        </w:tc>
        <w:tc>
          <w:tcPr>
            <w:tcW w:w="491" w:type="pct"/>
            <w:tcBorders>
              <w:tl2br w:val="nil"/>
              <w:tr2bl w:val="nil"/>
            </w:tcBorders>
            <w:vAlign w:val="center"/>
          </w:tcPr>
          <w:p w14:paraId="5E10F123">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小时值</w:t>
            </w:r>
          </w:p>
        </w:tc>
        <w:tc>
          <w:tcPr>
            <w:tcW w:w="656" w:type="pct"/>
            <w:tcBorders>
              <w:tl2br w:val="nil"/>
              <w:tr2bl w:val="nil"/>
            </w:tcBorders>
            <w:vAlign w:val="center"/>
          </w:tcPr>
          <w:p w14:paraId="4AFFA242">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22.49884</w:t>
            </w:r>
          </w:p>
        </w:tc>
        <w:tc>
          <w:tcPr>
            <w:tcW w:w="468" w:type="pct"/>
            <w:tcBorders>
              <w:tl2br w:val="nil"/>
              <w:tr2bl w:val="nil"/>
            </w:tcBorders>
            <w:vAlign w:val="center"/>
          </w:tcPr>
          <w:p w14:paraId="4C008FF3">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 xml:space="preserve">1.12 </w:t>
            </w:r>
          </w:p>
        </w:tc>
        <w:tc>
          <w:tcPr>
            <w:tcW w:w="548" w:type="pct"/>
            <w:tcBorders>
              <w:tl2br w:val="nil"/>
              <w:tr2bl w:val="nil"/>
            </w:tcBorders>
          </w:tcPr>
          <w:p w14:paraId="4C9F2C2D">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610</w:t>
            </w:r>
          </w:p>
        </w:tc>
        <w:tc>
          <w:tcPr>
            <w:tcW w:w="705" w:type="pct"/>
            <w:tcBorders>
              <w:right w:val="single" w:color="auto" w:sz="4" w:space="0"/>
              <w:tl2br w:val="nil"/>
              <w:tr2bl w:val="nil"/>
            </w:tcBorders>
            <w:vAlign w:val="center"/>
          </w:tcPr>
          <w:p w14:paraId="116E9E74">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632.49884</w:t>
            </w:r>
          </w:p>
        </w:tc>
        <w:tc>
          <w:tcPr>
            <w:tcW w:w="387" w:type="pct"/>
            <w:tcBorders>
              <w:left w:val="single" w:color="auto" w:sz="4" w:space="0"/>
              <w:tl2br w:val="nil"/>
              <w:tr2bl w:val="nil"/>
            </w:tcBorders>
            <w:vAlign w:val="center"/>
          </w:tcPr>
          <w:p w14:paraId="5BC19564">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 xml:space="preserve">31.62 </w:t>
            </w:r>
          </w:p>
        </w:tc>
        <w:tc>
          <w:tcPr>
            <w:tcW w:w="625" w:type="pct"/>
            <w:tcBorders>
              <w:tl2br w:val="nil"/>
              <w:tr2bl w:val="nil"/>
            </w:tcBorders>
          </w:tcPr>
          <w:p w14:paraId="2C8D0195">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达标</w:t>
            </w:r>
          </w:p>
        </w:tc>
      </w:tr>
      <w:tr w14:paraId="091CCD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3" w:type="pct"/>
            <w:tcBorders>
              <w:tl2br w:val="nil"/>
              <w:tr2bl w:val="nil"/>
            </w:tcBorders>
            <w:vAlign w:val="center"/>
          </w:tcPr>
          <w:p w14:paraId="034DDB71">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NMHC</w:t>
            </w:r>
          </w:p>
        </w:tc>
        <w:tc>
          <w:tcPr>
            <w:tcW w:w="694" w:type="pct"/>
            <w:tcBorders>
              <w:tl2br w:val="nil"/>
              <w:tr2bl w:val="nil"/>
            </w:tcBorders>
            <w:vAlign w:val="center"/>
          </w:tcPr>
          <w:p w14:paraId="5CE833A0">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鹿家屯</w:t>
            </w:r>
          </w:p>
        </w:tc>
        <w:tc>
          <w:tcPr>
            <w:tcW w:w="491" w:type="pct"/>
            <w:tcBorders>
              <w:tl2br w:val="nil"/>
              <w:tr2bl w:val="nil"/>
            </w:tcBorders>
            <w:vAlign w:val="center"/>
          </w:tcPr>
          <w:p w14:paraId="53115618">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小时值</w:t>
            </w:r>
          </w:p>
        </w:tc>
        <w:tc>
          <w:tcPr>
            <w:tcW w:w="656" w:type="pct"/>
            <w:tcBorders>
              <w:tl2br w:val="nil"/>
              <w:tr2bl w:val="nil"/>
            </w:tcBorders>
            <w:vAlign w:val="center"/>
          </w:tcPr>
          <w:p w14:paraId="5B20C6CF">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21.02892</w:t>
            </w:r>
          </w:p>
        </w:tc>
        <w:tc>
          <w:tcPr>
            <w:tcW w:w="468" w:type="pct"/>
            <w:tcBorders>
              <w:tl2br w:val="nil"/>
              <w:tr2bl w:val="nil"/>
            </w:tcBorders>
            <w:vAlign w:val="center"/>
          </w:tcPr>
          <w:p w14:paraId="1377E937">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 xml:space="preserve">1.05 </w:t>
            </w:r>
          </w:p>
        </w:tc>
        <w:tc>
          <w:tcPr>
            <w:tcW w:w="548" w:type="pct"/>
            <w:tcBorders>
              <w:tl2br w:val="nil"/>
              <w:tr2bl w:val="nil"/>
            </w:tcBorders>
          </w:tcPr>
          <w:p w14:paraId="7A3A99AD">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610</w:t>
            </w:r>
          </w:p>
        </w:tc>
        <w:tc>
          <w:tcPr>
            <w:tcW w:w="705" w:type="pct"/>
            <w:tcBorders>
              <w:right w:val="single" w:color="auto" w:sz="4" w:space="0"/>
              <w:tl2br w:val="nil"/>
              <w:tr2bl w:val="nil"/>
            </w:tcBorders>
            <w:vAlign w:val="center"/>
          </w:tcPr>
          <w:p w14:paraId="3526729E">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631.02892</w:t>
            </w:r>
          </w:p>
        </w:tc>
        <w:tc>
          <w:tcPr>
            <w:tcW w:w="387" w:type="pct"/>
            <w:tcBorders>
              <w:left w:val="single" w:color="auto" w:sz="4" w:space="0"/>
              <w:tl2br w:val="nil"/>
              <w:tr2bl w:val="nil"/>
            </w:tcBorders>
            <w:vAlign w:val="center"/>
          </w:tcPr>
          <w:p w14:paraId="1F07D91D">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 xml:space="preserve">31.55 </w:t>
            </w:r>
          </w:p>
        </w:tc>
        <w:tc>
          <w:tcPr>
            <w:tcW w:w="625" w:type="pct"/>
            <w:tcBorders>
              <w:tl2br w:val="nil"/>
              <w:tr2bl w:val="nil"/>
            </w:tcBorders>
          </w:tcPr>
          <w:p w14:paraId="0B20EC7A">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达标</w:t>
            </w:r>
          </w:p>
        </w:tc>
      </w:tr>
      <w:tr w14:paraId="24603B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3" w:type="pct"/>
            <w:tcBorders>
              <w:tl2br w:val="nil"/>
              <w:tr2bl w:val="nil"/>
            </w:tcBorders>
            <w:vAlign w:val="center"/>
          </w:tcPr>
          <w:p w14:paraId="3116B881">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NMHC</w:t>
            </w:r>
          </w:p>
        </w:tc>
        <w:tc>
          <w:tcPr>
            <w:tcW w:w="694" w:type="pct"/>
            <w:tcBorders>
              <w:tl2br w:val="nil"/>
              <w:tr2bl w:val="nil"/>
            </w:tcBorders>
            <w:vAlign w:val="center"/>
          </w:tcPr>
          <w:p w14:paraId="4FB0E7AE">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崔永宝屯</w:t>
            </w:r>
          </w:p>
        </w:tc>
        <w:tc>
          <w:tcPr>
            <w:tcW w:w="491" w:type="pct"/>
            <w:tcBorders>
              <w:tl2br w:val="nil"/>
              <w:tr2bl w:val="nil"/>
            </w:tcBorders>
            <w:vAlign w:val="center"/>
          </w:tcPr>
          <w:p w14:paraId="50B4EE9A">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小时值</w:t>
            </w:r>
          </w:p>
        </w:tc>
        <w:tc>
          <w:tcPr>
            <w:tcW w:w="656" w:type="pct"/>
            <w:tcBorders>
              <w:tl2br w:val="nil"/>
              <w:tr2bl w:val="nil"/>
            </w:tcBorders>
            <w:vAlign w:val="center"/>
          </w:tcPr>
          <w:p w14:paraId="48327578">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19.68223</w:t>
            </w:r>
          </w:p>
        </w:tc>
        <w:tc>
          <w:tcPr>
            <w:tcW w:w="468" w:type="pct"/>
            <w:tcBorders>
              <w:tl2br w:val="nil"/>
              <w:tr2bl w:val="nil"/>
            </w:tcBorders>
            <w:vAlign w:val="center"/>
          </w:tcPr>
          <w:p w14:paraId="52D1492B">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 xml:space="preserve">0.98 </w:t>
            </w:r>
          </w:p>
        </w:tc>
        <w:tc>
          <w:tcPr>
            <w:tcW w:w="548" w:type="pct"/>
            <w:tcBorders>
              <w:tl2br w:val="nil"/>
              <w:tr2bl w:val="nil"/>
            </w:tcBorders>
          </w:tcPr>
          <w:p w14:paraId="41F0E8E3">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610</w:t>
            </w:r>
          </w:p>
        </w:tc>
        <w:tc>
          <w:tcPr>
            <w:tcW w:w="705" w:type="pct"/>
            <w:tcBorders>
              <w:right w:val="single" w:color="auto" w:sz="4" w:space="0"/>
              <w:tl2br w:val="nil"/>
              <w:tr2bl w:val="nil"/>
            </w:tcBorders>
            <w:vAlign w:val="center"/>
          </w:tcPr>
          <w:p w14:paraId="52232661">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629.68223</w:t>
            </w:r>
          </w:p>
        </w:tc>
        <w:tc>
          <w:tcPr>
            <w:tcW w:w="387" w:type="pct"/>
            <w:tcBorders>
              <w:left w:val="single" w:color="auto" w:sz="4" w:space="0"/>
              <w:tl2br w:val="nil"/>
              <w:tr2bl w:val="nil"/>
            </w:tcBorders>
            <w:vAlign w:val="center"/>
          </w:tcPr>
          <w:p w14:paraId="29842FE1">
            <w:pPr>
              <w:widowControl w:val="0"/>
              <w:spacing w:line="36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 xml:space="preserve">31.48 </w:t>
            </w:r>
          </w:p>
        </w:tc>
        <w:tc>
          <w:tcPr>
            <w:tcW w:w="625" w:type="pct"/>
            <w:tcBorders>
              <w:tl2br w:val="nil"/>
              <w:tr2bl w:val="nil"/>
            </w:tcBorders>
          </w:tcPr>
          <w:p w14:paraId="4F2DA002">
            <w:pPr>
              <w:widowControl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达标</w:t>
            </w:r>
          </w:p>
        </w:tc>
      </w:tr>
    </w:tbl>
    <w:p w14:paraId="1AD0CDC0">
      <w:pPr>
        <w:widowControl w:val="0"/>
        <w:jc w:val="both"/>
        <w:rPr>
          <w:rFonts w:ascii="Times New Roman" w:hAnsi="Times New Roman" w:cs="Times New Roman" w:eastAsiaTheme="minorEastAsia"/>
          <w:color w:val="auto"/>
          <w:w w:val="99"/>
          <w:highlight w:val="none"/>
          <w:lang w:bidi="zh-CN"/>
        </w:rPr>
      </w:pPr>
      <w:r>
        <w:rPr>
          <w:color w:val="auto"/>
          <w:highlight w:val="none"/>
        </w:rPr>
        <w:drawing>
          <wp:inline distT="0" distB="0" distL="114300" distR="114300">
            <wp:extent cx="5755005" cy="3653790"/>
            <wp:effectExtent l="0" t="0" r="17145" b="3810"/>
            <wp:docPr id="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
                    <pic:cNvPicPr>
                      <a:picLocks noChangeAspect="1"/>
                    </pic:cNvPicPr>
                  </pic:nvPicPr>
                  <pic:blipFill>
                    <a:blip r:embed="rId66"/>
                    <a:stretch>
                      <a:fillRect/>
                    </a:stretch>
                  </pic:blipFill>
                  <pic:spPr>
                    <a:xfrm>
                      <a:off x="0" y="0"/>
                      <a:ext cx="5755005" cy="3653790"/>
                    </a:xfrm>
                    <a:prstGeom prst="rect">
                      <a:avLst/>
                    </a:prstGeom>
                    <a:noFill/>
                    <a:ln>
                      <a:noFill/>
                    </a:ln>
                  </pic:spPr>
                </pic:pic>
              </a:graphicData>
            </a:graphic>
          </wp:inline>
        </w:drawing>
      </w:r>
    </w:p>
    <w:p w14:paraId="5771F61F">
      <w:pPr>
        <w:jc w:val="center"/>
        <w:rPr>
          <w:rFonts w:ascii="Times New Roman" w:hAnsi="Times New Roman" w:cs="Times New Roman"/>
          <w:b/>
          <w:color w:val="auto"/>
          <w:w w:val="99"/>
          <w:highlight w:val="none"/>
        </w:rPr>
      </w:pPr>
      <w:r>
        <w:rPr>
          <w:rFonts w:ascii="Times New Roman" w:hAnsi="Times New Roman" w:cs="Times New Roman"/>
          <w:b/>
          <w:color w:val="auto"/>
          <w:w w:val="99"/>
          <w:highlight w:val="none"/>
        </w:rPr>
        <w:t>图5.1-</w:t>
      </w:r>
      <w:r>
        <w:rPr>
          <w:rFonts w:hint="eastAsia" w:ascii="Times New Roman" w:hAnsi="Times New Roman" w:cs="Times New Roman"/>
          <w:b/>
          <w:color w:val="auto"/>
          <w:w w:val="99"/>
          <w:highlight w:val="none"/>
        </w:rPr>
        <w:t>11</w:t>
      </w:r>
      <w:r>
        <w:rPr>
          <w:rFonts w:ascii="Times New Roman" w:hAnsi="Times New Roman" w:cs="Times New Roman"/>
          <w:b/>
          <w:color w:val="auto"/>
          <w:w w:val="99"/>
          <w:highlight w:val="none"/>
        </w:rPr>
        <w:t xml:space="preserve">    NMHC小时值贡献浓度分布图</w:t>
      </w:r>
    </w:p>
    <w:p w14:paraId="49FBE604">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（2）非正常工况预测</w:t>
      </w:r>
    </w:p>
    <w:p w14:paraId="5FB410BA">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本项目在运营期间非正常工况下，井场气井开井、关井、检修以及事故时紧急切断阀门后，气井内剩余气通向井口房外放空池放空。</w:t>
      </w:r>
    </w:p>
    <w:p w14:paraId="19F29148">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（3）大气环境防护距离的设置</w:t>
      </w:r>
    </w:p>
    <w:p w14:paraId="09BC253E">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根据《环境影响评价技术导则大气环境》（HJ2.2-2018）的8.7.5条要求“对于项目厂界浓度满足大气污染物厂界浓度限值，但厂界外大气污染物短期贡献浓度超过环境质量浓度限值的，可以自厂界向外设置一定范围的大气环境防护区域，以确保大气环境防护区域外的贡献浓度满足环境质量标准”，根据预测结果，本项目无组织排放的非甲烷总烃厂界浓度值及厂界外短期贡献浓度均满足《大气污染物综合排放标准详解》中标准限值，故无需设置大气环境防护距离。</w:t>
      </w:r>
    </w:p>
    <w:p w14:paraId="11ED63D7">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（4）污染物排放量核算</w:t>
      </w:r>
    </w:p>
    <w:p w14:paraId="5B1BD7F1">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根据《环境影响评价技术导则 大气环境》（HJ2.2-2018），对污染物排放量进行核算，提出污染源监测计划。由于依托场站加热炉均满足相应的负荷状态下运行，且大气污染物总量在原申请总量范围内，故不对依托加热炉排放的污染物进行核算。本项目大气污染物</w:t>
      </w:r>
      <w:r>
        <w:rPr>
          <w:rFonts w:hint="eastAsia" w:ascii="Times New Roman" w:hAnsi="Times New Roman" w:cs="Times New Roman"/>
          <w:color w:val="auto"/>
          <w:w w:val="99"/>
          <w:highlight w:val="none"/>
        </w:rPr>
        <w:t>无</w:t>
      </w:r>
      <w:r>
        <w:rPr>
          <w:rFonts w:ascii="Times New Roman" w:hAnsi="Times New Roman" w:cs="Times New Roman"/>
          <w:color w:val="auto"/>
          <w:w w:val="99"/>
          <w:highlight w:val="none"/>
          <w:lang w:val="zh-CN"/>
        </w:rPr>
        <w:t>组织排放量核算见表5.1-</w:t>
      </w:r>
      <w:r>
        <w:rPr>
          <w:rFonts w:hint="eastAsia" w:ascii="Times New Roman" w:hAnsi="Times New Roman" w:cs="Times New Roman"/>
          <w:color w:val="auto"/>
          <w:w w:val="99"/>
          <w:highlight w:val="none"/>
        </w:rPr>
        <w:t>16</w:t>
      </w:r>
      <w:r>
        <w:rPr>
          <w:rFonts w:ascii="Times New Roman" w:hAnsi="Times New Roman" w:cs="Times New Roman"/>
          <w:color w:val="auto"/>
          <w:w w:val="99"/>
          <w:highlight w:val="none"/>
          <w:lang w:val="zh-CN"/>
        </w:rPr>
        <w:t>，无组织排放量核算见表5.1</w:t>
      </w:r>
      <w:r>
        <w:rPr>
          <w:rFonts w:hint="eastAsia" w:ascii="Times New Roman" w:hAnsi="Times New Roman" w:cs="Times New Roman"/>
          <w:color w:val="auto"/>
          <w:w w:val="99"/>
          <w:highlight w:val="none"/>
        </w:rPr>
        <w:t>-17</w:t>
      </w:r>
      <w:r>
        <w:rPr>
          <w:rFonts w:ascii="Times New Roman" w:hAnsi="Times New Roman" w:cs="Times New Roman"/>
          <w:color w:val="auto"/>
          <w:w w:val="99"/>
          <w:highlight w:val="none"/>
          <w:lang w:val="zh-CN"/>
        </w:rPr>
        <w:t>。</w:t>
      </w:r>
    </w:p>
    <w:p w14:paraId="5638122A">
      <w:pPr>
        <w:pStyle w:val="153"/>
        <w:widowControl w:val="0"/>
        <w:spacing w:line="440" w:lineRule="exact"/>
        <w:ind w:firstLine="474"/>
        <w:jc w:val="both"/>
        <w:rPr>
          <w:rFonts w:ascii="Times New Roman" w:hAnsi="Times New Roman"/>
          <w:b/>
          <w:snapToGrid w:val="0"/>
          <w:color w:val="auto"/>
          <w:w w:val="99"/>
          <w:szCs w:val="20"/>
          <w:highlight w:val="none"/>
        </w:rPr>
      </w:pPr>
      <w:r>
        <w:rPr>
          <w:rFonts w:ascii="Times New Roman" w:hAnsi="Times New Roman"/>
          <w:b/>
          <w:snapToGrid w:val="0"/>
          <w:color w:val="auto"/>
          <w:w w:val="99"/>
          <w:szCs w:val="20"/>
          <w:highlight w:val="none"/>
        </w:rPr>
        <w:t>表5.1-</w:t>
      </w:r>
      <w:r>
        <w:rPr>
          <w:rFonts w:hint="eastAsia" w:ascii="Times New Roman" w:hAnsi="Times New Roman"/>
          <w:b/>
          <w:snapToGrid w:val="0"/>
          <w:color w:val="auto"/>
          <w:w w:val="99"/>
          <w:szCs w:val="20"/>
          <w:highlight w:val="none"/>
        </w:rPr>
        <w:t>16</w:t>
      </w:r>
      <w:r>
        <w:rPr>
          <w:rFonts w:ascii="Times New Roman" w:hAnsi="Times New Roman"/>
          <w:b/>
          <w:snapToGrid w:val="0"/>
          <w:color w:val="auto"/>
          <w:w w:val="99"/>
          <w:szCs w:val="20"/>
          <w:highlight w:val="none"/>
        </w:rPr>
        <w:t xml:space="preserve">    </w:t>
      </w:r>
      <w:r>
        <w:rPr>
          <w:rFonts w:ascii="Times New Roman" w:hAnsi="Times New Roman"/>
          <w:b/>
          <w:color w:val="auto"/>
          <w:w w:val="99"/>
          <w:highlight w:val="none"/>
        </w:rPr>
        <w:t>大气污染</w:t>
      </w:r>
      <w:r>
        <w:rPr>
          <w:rFonts w:ascii="Times New Roman" w:hAnsi="Times New Roman"/>
          <w:b/>
          <w:snapToGrid w:val="0"/>
          <w:color w:val="auto"/>
          <w:w w:val="99"/>
          <w:szCs w:val="20"/>
          <w:highlight w:val="none"/>
        </w:rPr>
        <w:t>物无组织排放量核算</w:t>
      </w:r>
    </w:p>
    <w:tbl>
      <w:tblPr>
        <w:tblStyle w:val="8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9"/>
        <w:gridCol w:w="1132"/>
        <w:gridCol w:w="905"/>
        <w:gridCol w:w="875"/>
        <w:gridCol w:w="1884"/>
        <w:gridCol w:w="2032"/>
        <w:gridCol w:w="1162"/>
        <w:gridCol w:w="867"/>
      </w:tblGrid>
      <w:tr w14:paraId="002629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2" w:type="pct"/>
            <w:vMerge w:val="restart"/>
            <w:vAlign w:val="center"/>
          </w:tcPr>
          <w:p w14:paraId="401DB863">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sz w:val="21"/>
                <w:szCs w:val="21"/>
                <w:highlight w:val="none"/>
              </w:rPr>
              <w:t>序号</w:t>
            </w:r>
          </w:p>
        </w:tc>
        <w:tc>
          <w:tcPr>
            <w:tcW w:w="609" w:type="pct"/>
            <w:vMerge w:val="restart"/>
            <w:vAlign w:val="center"/>
          </w:tcPr>
          <w:p w14:paraId="4F3793B8">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sz w:val="21"/>
                <w:szCs w:val="21"/>
                <w:highlight w:val="none"/>
              </w:rPr>
              <w:t>排放口编号</w:t>
            </w:r>
          </w:p>
        </w:tc>
        <w:tc>
          <w:tcPr>
            <w:tcW w:w="487" w:type="pct"/>
            <w:vMerge w:val="restart"/>
            <w:vAlign w:val="center"/>
          </w:tcPr>
          <w:p w14:paraId="222AC6F2">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sz w:val="21"/>
                <w:szCs w:val="21"/>
                <w:highlight w:val="none"/>
              </w:rPr>
              <w:t>产污环节</w:t>
            </w:r>
          </w:p>
        </w:tc>
        <w:tc>
          <w:tcPr>
            <w:tcW w:w="470" w:type="pct"/>
            <w:vMerge w:val="restart"/>
            <w:vAlign w:val="center"/>
          </w:tcPr>
          <w:p w14:paraId="5E1F083B">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sz w:val="21"/>
                <w:szCs w:val="21"/>
                <w:highlight w:val="none"/>
              </w:rPr>
              <w:t>污染物</w:t>
            </w:r>
          </w:p>
        </w:tc>
        <w:tc>
          <w:tcPr>
            <w:tcW w:w="1014" w:type="pct"/>
            <w:vMerge w:val="restart"/>
            <w:vAlign w:val="center"/>
          </w:tcPr>
          <w:p w14:paraId="678BA2DD">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sz w:val="21"/>
                <w:szCs w:val="21"/>
                <w:highlight w:val="none"/>
              </w:rPr>
              <w:t>主要污染防治措施</w:t>
            </w:r>
          </w:p>
        </w:tc>
        <w:tc>
          <w:tcPr>
            <w:tcW w:w="1719" w:type="pct"/>
            <w:gridSpan w:val="2"/>
            <w:vAlign w:val="center"/>
          </w:tcPr>
          <w:p w14:paraId="72F3D38C">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sz w:val="21"/>
                <w:szCs w:val="21"/>
                <w:highlight w:val="none"/>
              </w:rPr>
              <w:t>国家或地方污染物排放标准</w:t>
            </w:r>
          </w:p>
          <w:p w14:paraId="0F0784D8">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sz w:val="21"/>
                <w:szCs w:val="21"/>
                <w:highlight w:val="none"/>
              </w:rPr>
              <w:t>（μg/m</w:t>
            </w:r>
            <w:r>
              <w:rPr>
                <w:rFonts w:hint="eastAsia" w:ascii="Times New Roman" w:hAnsi="Times New Roman" w:cs="Times New Roman" w:eastAsiaTheme="minorEastAsia"/>
                <w:bCs/>
                <w:color w:val="auto"/>
                <w:w w:val="99"/>
                <w:sz w:val="21"/>
                <w:szCs w:val="21"/>
                <w:highlight w:val="none"/>
                <w:vertAlign w:val="superscript"/>
              </w:rPr>
              <w:t>3</w:t>
            </w:r>
            <w:r>
              <w:rPr>
                <w:rFonts w:hint="eastAsia" w:ascii="Times New Roman" w:hAnsi="Times New Roman" w:cs="Times New Roman" w:eastAsiaTheme="minorEastAsia"/>
                <w:bCs/>
                <w:color w:val="auto"/>
                <w:w w:val="99"/>
                <w:sz w:val="21"/>
                <w:szCs w:val="21"/>
                <w:highlight w:val="none"/>
              </w:rPr>
              <w:t>）</w:t>
            </w:r>
          </w:p>
        </w:tc>
        <w:tc>
          <w:tcPr>
            <w:tcW w:w="465" w:type="pct"/>
            <w:vMerge w:val="restart"/>
            <w:vAlign w:val="center"/>
          </w:tcPr>
          <w:p w14:paraId="2E8003FF">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sz w:val="21"/>
                <w:szCs w:val="21"/>
                <w:highlight w:val="none"/>
              </w:rPr>
              <w:t>年排放量（t/a）</w:t>
            </w:r>
          </w:p>
        </w:tc>
      </w:tr>
      <w:tr w14:paraId="4ED38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2" w:type="pct"/>
            <w:vMerge w:val="continue"/>
            <w:vAlign w:val="center"/>
          </w:tcPr>
          <w:p w14:paraId="532420B9">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p>
        </w:tc>
        <w:tc>
          <w:tcPr>
            <w:tcW w:w="609" w:type="pct"/>
            <w:vMerge w:val="continue"/>
            <w:vAlign w:val="center"/>
          </w:tcPr>
          <w:p w14:paraId="2C08440F">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p>
        </w:tc>
        <w:tc>
          <w:tcPr>
            <w:tcW w:w="487" w:type="pct"/>
            <w:vMerge w:val="continue"/>
            <w:vAlign w:val="center"/>
          </w:tcPr>
          <w:p w14:paraId="5427B60F">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p>
        </w:tc>
        <w:tc>
          <w:tcPr>
            <w:tcW w:w="470" w:type="pct"/>
            <w:vMerge w:val="continue"/>
            <w:vAlign w:val="center"/>
          </w:tcPr>
          <w:p w14:paraId="128049A6">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p>
        </w:tc>
        <w:tc>
          <w:tcPr>
            <w:tcW w:w="1014" w:type="pct"/>
            <w:vMerge w:val="continue"/>
            <w:vAlign w:val="center"/>
          </w:tcPr>
          <w:p w14:paraId="5E9623DE">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p>
        </w:tc>
        <w:tc>
          <w:tcPr>
            <w:tcW w:w="1094" w:type="pct"/>
            <w:vAlign w:val="center"/>
          </w:tcPr>
          <w:p w14:paraId="40EAEF30">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sz w:val="21"/>
                <w:szCs w:val="21"/>
                <w:highlight w:val="none"/>
              </w:rPr>
              <w:t>标准名称</w:t>
            </w:r>
          </w:p>
        </w:tc>
        <w:tc>
          <w:tcPr>
            <w:tcW w:w="625" w:type="pct"/>
            <w:vAlign w:val="center"/>
          </w:tcPr>
          <w:p w14:paraId="0FE6E1BA">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sz w:val="21"/>
                <w:szCs w:val="21"/>
                <w:highlight w:val="none"/>
              </w:rPr>
              <w:t>浓度限值（mg/m</w:t>
            </w:r>
            <w:r>
              <w:rPr>
                <w:rFonts w:hint="eastAsia" w:ascii="Times New Roman" w:hAnsi="Times New Roman" w:cs="Times New Roman" w:eastAsiaTheme="minorEastAsia"/>
                <w:bCs/>
                <w:color w:val="auto"/>
                <w:w w:val="99"/>
                <w:sz w:val="21"/>
                <w:szCs w:val="21"/>
                <w:highlight w:val="none"/>
                <w:vertAlign w:val="superscript"/>
              </w:rPr>
              <w:t>3</w:t>
            </w:r>
            <w:r>
              <w:rPr>
                <w:rFonts w:hint="eastAsia" w:ascii="Times New Roman" w:hAnsi="Times New Roman" w:cs="Times New Roman" w:eastAsiaTheme="minorEastAsia"/>
                <w:bCs/>
                <w:color w:val="auto"/>
                <w:w w:val="99"/>
                <w:sz w:val="21"/>
                <w:szCs w:val="21"/>
                <w:highlight w:val="none"/>
              </w:rPr>
              <w:t>）</w:t>
            </w:r>
          </w:p>
        </w:tc>
        <w:tc>
          <w:tcPr>
            <w:tcW w:w="465" w:type="pct"/>
            <w:vMerge w:val="continue"/>
            <w:vAlign w:val="center"/>
          </w:tcPr>
          <w:p w14:paraId="276E5585">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p>
        </w:tc>
      </w:tr>
      <w:tr w14:paraId="0E404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6" w:hRule="atLeast"/>
          <w:jc w:val="center"/>
        </w:trPr>
        <w:tc>
          <w:tcPr>
            <w:tcW w:w="232" w:type="pct"/>
            <w:vAlign w:val="center"/>
          </w:tcPr>
          <w:p w14:paraId="23927451">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sz w:val="21"/>
                <w:szCs w:val="21"/>
                <w:highlight w:val="none"/>
              </w:rPr>
              <w:t>1</w:t>
            </w:r>
          </w:p>
        </w:tc>
        <w:tc>
          <w:tcPr>
            <w:tcW w:w="609" w:type="pct"/>
            <w:vAlign w:val="center"/>
          </w:tcPr>
          <w:p w14:paraId="44850AA3">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sz w:val="21"/>
                <w:szCs w:val="21"/>
                <w:highlight w:val="none"/>
              </w:rPr>
              <w:t>井场、管线等</w:t>
            </w:r>
          </w:p>
        </w:tc>
        <w:tc>
          <w:tcPr>
            <w:tcW w:w="487" w:type="pct"/>
            <w:vAlign w:val="center"/>
          </w:tcPr>
          <w:p w14:paraId="3EF5E66F">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sz w:val="21"/>
                <w:szCs w:val="21"/>
                <w:highlight w:val="none"/>
              </w:rPr>
              <w:t>天然气集输</w:t>
            </w:r>
          </w:p>
        </w:tc>
        <w:tc>
          <w:tcPr>
            <w:tcW w:w="470" w:type="pct"/>
            <w:vAlign w:val="center"/>
          </w:tcPr>
          <w:p w14:paraId="7A95F448">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sz w:val="21"/>
                <w:szCs w:val="21"/>
                <w:highlight w:val="none"/>
              </w:rPr>
              <w:t>非甲烷总烃</w:t>
            </w:r>
          </w:p>
        </w:tc>
        <w:tc>
          <w:tcPr>
            <w:tcW w:w="1014" w:type="pct"/>
            <w:vAlign w:val="center"/>
          </w:tcPr>
          <w:p w14:paraId="65C964B1">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sz w:val="21"/>
                <w:szCs w:val="21"/>
                <w:highlight w:val="none"/>
              </w:rPr>
              <w:t>采用密闭流程，井口安装密封垫</w:t>
            </w:r>
          </w:p>
        </w:tc>
        <w:tc>
          <w:tcPr>
            <w:tcW w:w="1094" w:type="pct"/>
            <w:vAlign w:val="center"/>
          </w:tcPr>
          <w:p w14:paraId="7A28C1EC">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sz w:val="21"/>
                <w:szCs w:val="21"/>
                <w:highlight w:val="none"/>
              </w:rPr>
              <w:t>《陆上石油天然气开采工业大气污染物排放标准》（GB39728-2020）5.9中规定要求</w:t>
            </w:r>
          </w:p>
        </w:tc>
        <w:tc>
          <w:tcPr>
            <w:tcW w:w="625" w:type="pct"/>
            <w:vAlign w:val="center"/>
          </w:tcPr>
          <w:p w14:paraId="08A482F5">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sz w:val="21"/>
                <w:szCs w:val="21"/>
                <w:highlight w:val="none"/>
              </w:rPr>
              <w:t>4.0</w:t>
            </w:r>
          </w:p>
        </w:tc>
        <w:tc>
          <w:tcPr>
            <w:tcW w:w="465" w:type="pct"/>
            <w:vAlign w:val="center"/>
          </w:tcPr>
          <w:p w14:paraId="2A40AD2C">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sz w:val="21"/>
                <w:szCs w:val="21"/>
                <w:highlight w:val="none"/>
              </w:rPr>
              <w:t>11.66</w:t>
            </w:r>
          </w:p>
        </w:tc>
      </w:tr>
      <w:tr w14:paraId="7DE5E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8"/>
            <w:vAlign w:val="center"/>
          </w:tcPr>
          <w:p w14:paraId="52B17BC4">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sz w:val="21"/>
                <w:szCs w:val="21"/>
                <w:highlight w:val="none"/>
              </w:rPr>
              <w:t>无组织排放总计</w:t>
            </w:r>
          </w:p>
        </w:tc>
      </w:tr>
      <w:tr w14:paraId="25E34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99" w:type="pct"/>
            <w:gridSpan w:val="4"/>
            <w:vAlign w:val="center"/>
          </w:tcPr>
          <w:p w14:paraId="7709AAEB">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sz w:val="21"/>
                <w:szCs w:val="21"/>
                <w:highlight w:val="none"/>
              </w:rPr>
              <w:t>无组织排放总计</w:t>
            </w:r>
          </w:p>
        </w:tc>
        <w:tc>
          <w:tcPr>
            <w:tcW w:w="2734" w:type="pct"/>
            <w:gridSpan w:val="3"/>
            <w:vAlign w:val="center"/>
          </w:tcPr>
          <w:p w14:paraId="48EEE019">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sz w:val="21"/>
                <w:szCs w:val="21"/>
                <w:highlight w:val="none"/>
              </w:rPr>
              <w:t>非甲烷总烃</w:t>
            </w:r>
          </w:p>
        </w:tc>
        <w:tc>
          <w:tcPr>
            <w:tcW w:w="465" w:type="pct"/>
            <w:vAlign w:val="center"/>
          </w:tcPr>
          <w:p w14:paraId="0F17FA20">
            <w:pPr>
              <w:widowControl w:val="0"/>
              <w:spacing w:line="360" w:lineRule="exact"/>
              <w:jc w:val="center"/>
              <w:outlineLvl w:val="3"/>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sz w:val="21"/>
                <w:szCs w:val="21"/>
                <w:highlight w:val="none"/>
              </w:rPr>
              <w:t>11.66</w:t>
            </w:r>
          </w:p>
        </w:tc>
      </w:tr>
    </w:tbl>
    <w:p w14:paraId="1AE7D86D">
      <w:pPr>
        <w:widowControl w:val="0"/>
        <w:spacing w:line="440" w:lineRule="exact"/>
        <w:ind w:firstLine="474" w:firstLineChars="200"/>
        <w:rPr>
          <w:rFonts w:ascii="Times New Roman" w:hAnsi="Times New Roman" w:cs="Times New Roman"/>
          <w:snapToGrid w:val="0"/>
          <w:color w:val="auto"/>
          <w:w w:val="99"/>
          <w:szCs w:val="20"/>
          <w:highlight w:val="none"/>
        </w:rPr>
      </w:pPr>
      <w:r>
        <w:rPr>
          <w:rFonts w:ascii="Times New Roman" w:hAnsi="Times New Roman" w:cs="Times New Roman"/>
          <w:snapToGrid w:val="0"/>
          <w:color w:val="auto"/>
          <w:w w:val="99"/>
          <w:szCs w:val="20"/>
          <w:highlight w:val="none"/>
        </w:rPr>
        <w:t>本项目大气污染物年排放量核算见表5.1-</w:t>
      </w:r>
      <w:r>
        <w:rPr>
          <w:rFonts w:hint="eastAsia" w:ascii="Times New Roman" w:hAnsi="Times New Roman" w:cs="Times New Roman"/>
          <w:snapToGrid w:val="0"/>
          <w:color w:val="auto"/>
          <w:w w:val="99"/>
          <w:szCs w:val="20"/>
          <w:highlight w:val="none"/>
        </w:rPr>
        <w:t>17</w:t>
      </w:r>
      <w:r>
        <w:rPr>
          <w:rFonts w:ascii="Times New Roman" w:hAnsi="Times New Roman" w:cs="Times New Roman"/>
          <w:snapToGrid w:val="0"/>
          <w:color w:val="auto"/>
          <w:w w:val="99"/>
          <w:szCs w:val="20"/>
          <w:highlight w:val="none"/>
        </w:rPr>
        <w:t>。</w:t>
      </w:r>
    </w:p>
    <w:p w14:paraId="4B667B74">
      <w:pPr>
        <w:pStyle w:val="153"/>
        <w:widowControl w:val="0"/>
        <w:spacing w:line="440" w:lineRule="exact"/>
        <w:ind w:firstLine="474"/>
        <w:jc w:val="both"/>
        <w:rPr>
          <w:rFonts w:ascii="Times New Roman" w:hAnsi="Times New Roman"/>
          <w:b/>
          <w:snapToGrid w:val="0"/>
          <w:color w:val="auto"/>
          <w:w w:val="99"/>
          <w:szCs w:val="20"/>
          <w:highlight w:val="none"/>
        </w:rPr>
      </w:pPr>
      <w:r>
        <w:rPr>
          <w:rFonts w:ascii="Times New Roman" w:hAnsi="Times New Roman"/>
          <w:b/>
          <w:snapToGrid w:val="0"/>
          <w:color w:val="auto"/>
          <w:w w:val="99"/>
          <w:szCs w:val="20"/>
          <w:highlight w:val="none"/>
        </w:rPr>
        <w:t>表5.1-</w:t>
      </w:r>
      <w:r>
        <w:rPr>
          <w:rFonts w:hint="eastAsia" w:ascii="Times New Roman" w:hAnsi="Times New Roman"/>
          <w:b/>
          <w:snapToGrid w:val="0"/>
          <w:color w:val="auto"/>
          <w:w w:val="99"/>
          <w:szCs w:val="20"/>
          <w:highlight w:val="none"/>
        </w:rPr>
        <w:t>17</w:t>
      </w:r>
      <w:r>
        <w:rPr>
          <w:rFonts w:ascii="Times New Roman" w:hAnsi="Times New Roman"/>
          <w:b/>
          <w:snapToGrid w:val="0"/>
          <w:color w:val="auto"/>
          <w:w w:val="99"/>
          <w:szCs w:val="20"/>
          <w:highlight w:val="none"/>
        </w:rPr>
        <w:t xml:space="preserve">    本项目大气污染物年排放量核算</w:t>
      </w:r>
    </w:p>
    <w:tbl>
      <w:tblPr>
        <w:tblStyle w:val="81"/>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42"/>
        <w:gridCol w:w="4064"/>
        <w:gridCol w:w="3481"/>
      </w:tblGrid>
      <w:tr w14:paraId="6FB33B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38" w:type="pct"/>
            <w:vAlign w:val="center"/>
          </w:tcPr>
          <w:p w14:paraId="359AF146">
            <w:pPr>
              <w:pStyle w:val="155"/>
              <w:tabs>
                <w:tab w:val="center" w:pos="743"/>
                <w:tab w:val="left" w:pos="1425"/>
              </w:tabs>
              <w:adjustRightInd w:val="0"/>
              <w:snapToGrid w:val="0"/>
              <w:spacing w:line="360" w:lineRule="exact"/>
              <w:jc w:val="left"/>
              <w:textAlignment w:val="center"/>
              <w:rPr>
                <w:rFonts w:ascii="Times New Roman" w:hAnsi="Times New Roman" w:eastAsia="宋体"/>
                <w:color w:val="auto"/>
                <w:w w:val="99"/>
                <w:sz w:val="21"/>
                <w:szCs w:val="21"/>
                <w:highlight w:val="none"/>
                <w:lang w:val="en-US"/>
              </w:rPr>
            </w:pPr>
            <w:r>
              <w:rPr>
                <w:rFonts w:ascii="Times New Roman" w:hAnsi="Times New Roman" w:eastAsia="宋体"/>
                <w:color w:val="auto"/>
                <w:w w:val="99"/>
                <w:sz w:val="21"/>
                <w:szCs w:val="21"/>
                <w:highlight w:val="none"/>
                <w:lang w:val="en-US"/>
              </w:rPr>
              <w:tab/>
            </w:r>
            <w:r>
              <w:rPr>
                <w:rFonts w:ascii="Times New Roman" w:hAnsi="Times New Roman" w:eastAsia="宋体"/>
                <w:color w:val="auto"/>
                <w:w w:val="99"/>
                <w:sz w:val="21"/>
                <w:szCs w:val="21"/>
                <w:highlight w:val="none"/>
                <w:lang w:val="en-US"/>
              </w:rPr>
              <w:t>序号</w:t>
            </w:r>
            <w:r>
              <w:rPr>
                <w:rFonts w:ascii="Times New Roman" w:hAnsi="Times New Roman" w:eastAsia="宋体"/>
                <w:color w:val="auto"/>
                <w:w w:val="99"/>
                <w:sz w:val="21"/>
                <w:szCs w:val="21"/>
                <w:highlight w:val="none"/>
                <w:lang w:val="en-US"/>
              </w:rPr>
              <w:tab/>
            </w:r>
          </w:p>
        </w:tc>
        <w:tc>
          <w:tcPr>
            <w:tcW w:w="2188" w:type="pct"/>
            <w:vAlign w:val="center"/>
          </w:tcPr>
          <w:p w14:paraId="1426E5FF">
            <w:pPr>
              <w:pStyle w:val="155"/>
              <w:adjustRightInd w:val="0"/>
              <w:snapToGrid w:val="0"/>
              <w:spacing w:line="360" w:lineRule="exact"/>
              <w:textAlignment w:val="center"/>
              <w:rPr>
                <w:rFonts w:ascii="Times New Roman" w:hAnsi="Times New Roman" w:eastAsia="宋体"/>
                <w:color w:val="auto"/>
                <w:w w:val="99"/>
                <w:sz w:val="21"/>
                <w:szCs w:val="21"/>
                <w:highlight w:val="none"/>
                <w:lang w:val="en-US"/>
              </w:rPr>
            </w:pPr>
            <w:r>
              <w:rPr>
                <w:rFonts w:ascii="Times New Roman" w:hAnsi="Times New Roman" w:eastAsia="宋体"/>
                <w:color w:val="auto"/>
                <w:w w:val="99"/>
                <w:sz w:val="21"/>
                <w:szCs w:val="21"/>
                <w:highlight w:val="none"/>
                <w:lang w:val="en-US"/>
              </w:rPr>
              <w:t>污染物</w:t>
            </w:r>
          </w:p>
        </w:tc>
        <w:tc>
          <w:tcPr>
            <w:tcW w:w="1874" w:type="pct"/>
            <w:vAlign w:val="center"/>
          </w:tcPr>
          <w:p w14:paraId="335219C4">
            <w:pPr>
              <w:pStyle w:val="155"/>
              <w:adjustRightInd w:val="0"/>
              <w:snapToGrid w:val="0"/>
              <w:spacing w:line="360" w:lineRule="exact"/>
              <w:textAlignment w:val="center"/>
              <w:rPr>
                <w:rFonts w:ascii="Times New Roman" w:hAnsi="Times New Roman" w:eastAsia="宋体"/>
                <w:color w:val="auto"/>
                <w:w w:val="99"/>
                <w:sz w:val="21"/>
                <w:szCs w:val="21"/>
                <w:highlight w:val="none"/>
                <w:lang w:val="en-US"/>
              </w:rPr>
            </w:pPr>
            <w:r>
              <w:rPr>
                <w:rFonts w:ascii="Times New Roman" w:hAnsi="Times New Roman" w:eastAsia="宋体"/>
                <w:color w:val="auto"/>
                <w:w w:val="99"/>
                <w:sz w:val="21"/>
                <w:szCs w:val="21"/>
                <w:highlight w:val="none"/>
                <w:lang w:val="en-US"/>
              </w:rPr>
              <w:t>年排放量（t/a）</w:t>
            </w:r>
          </w:p>
        </w:tc>
      </w:tr>
      <w:tr w14:paraId="4E141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38" w:type="pct"/>
            <w:vAlign w:val="center"/>
          </w:tcPr>
          <w:p w14:paraId="49FFCD9C">
            <w:pPr>
              <w:pStyle w:val="155"/>
              <w:adjustRightInd w:val="0"/>
              <w:snapToGrid w:val="0"/>
              <w:spacing w:line="360" w:lineRule="exact"/>
              <w:textAlignment w:val="center"/>
              <w:rPr>
                <w:rFonts w:ascii="Times New Roman" w:hAnsi="Times New Roman" w:eastAsia="宋体"/>
                <w:color w:val="auto"/>
                <w:w w:val="99"/>
                <w:sz w:val="21"/>
                <w:szCs w:val="21"/>
                <w:highlight w:val="none"/>
                <w:lang w:val="en-US"/>
              </w:rPr>
            </w:pPr>
            <w:r>
              <w:rPr>
                <w:rFonts w:ascii="Times New Roman" w:hAnsi="Times New Roman" w:eastAsia="宋体"/>
                <w:color w:val="auto"/>
                <w:w w:val="99"/>
                <w:sz w:val="21"/>
                <w:szCs w:val="21"/>
                <w:highlight w:val="none"/>
                <w:lang w:val="en-US"/>
              </w:rPr>
              <w:t>1</w:t>
            </w:r>
          </w:p>
        </w:tc>
        <w:tc>
          <w:tcPr>
            <w:tcW w:w="2188" w:type="pct"/>
            <w:vAlign w:val="center"/>
          </w:tcPr>
          <w:p w14:paraId="757FC797">
            <w:pPr>
              <w:pStyle w:val="155"/>
              <w:adjustRightInd w:val="0"/>
              <w:snapToGrid w:val="0"/>
              <w:spacing w:line="360" w:lineRule="exact"/>
              <w:textAlignment w:val="center"/>
              <w:rPr>
                <w:rFonts w:ascii="Times New Roman" w:hAnsi="Times New Roman" w:eastAsia="宋体"/>
                <w:color w:val="auto"/>
                <w:w w:val="99"/>
                <w:sz w:val="21"/>
                <w:szCs w:val="21"/>
                <w:highlight w:val="none"/>
                <w:lang w:val="en-US"/>
              </w:rPr>
            </w:pPr>
            <w:r>
              <w:rPr>
                <w:rFonts w:ascii="Times New Roman" w:hAnsi="Times New Roman" w:eastAsia="宋体"/>
                <w:color w:val="auto"/>
                <w:w w:val="99"/>
                <w:sz w:val="21"/>
                <w:szCs w:val="21"/>
                <w:highlight w:val="none"/>
              </w:rPr>
              <w:t>非甲烷总烃</w:t>
            </w:r>
          </w:p>
        </w:tc>
        <w:tc>
          <w:tcPr>
            <w:tcW w:w="1874" w:type="pct"/>
            <w:vAlign w:val="center"/>
          </w:tcPr>
          <w:p w14:paraId="4218D79A">
            <w:pPr>
              <w:pStyle w:val="155"/>
              <w:adjustRightInd w:val="0"/>
              <w:snapToGrid w:val="0"/>
              <w:spacing w:line="360" w:lineRule="exact"/>
              <w:textAlignment w:val="center"/>
              <w:rPr>
                <w:rFonts w:ascii="Times New Roman" w:hAnsi="Times New Roman" w:eastAsia="宋体"/>
                <w:color w:val="auto"/>
                <w:w w:val="99"/>
                <w:sz w:val="21"/>
                <w:szCs w:val="21"/>
                <w:highlight w:val="none"/>
                <w:lang w:val="en-US"/>
              </w:rPr>
            </w:pPr>
            <w:r>
              <w:rPr>
                <w:rFonts w:hint="eastAsia" w:ascii="Times New Roman" w:hAnsi="Times New Roman" w:eastAsiaTheme="minorEastAsia"/>
                <w:bCs/>
                <w:color w:val="auto"/>
                <w:w w:val="99"/>
                <w:sz w:val="21"/>
                <w:szCs w:val="21"/>
                <w:highlight w:val="none"/>
                <w:lang w:val="en-US"/>
              </w:rPr>
              <w:t>11.66</w:t>
            </w:r>
          </w:p>
        </w:tc>
      </w:tr>
    </w:tbl>
    <w:p w14:paraId="72CCCB3D">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（5）评价结论</w:t>
      </w:r>
    </w:p>
    <w:p w14:paraId="359DDC52">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①本项目新增污染物正常排放下，拟建井场</w:t>
      </w:r>
      <w:r>
        <w:rPr>
          <w:rFonts w:hint="eastAsia" w:ascii="Times New Roman" w:hAnsi="Times New Roman" w:cs="Times New Roman"/>
          <w:color w:val="auto"/>
          <w:w w:val="99"/>
          <w:highlight w:val="none"/>
          <w:lang w:val="zh-CN"/>
        </w:rPr>
        <w:t>、</w:t>
      </w:r>
      <w:r>
        <w:rPr>
          <w:rFonts w:hint="eastAsia" w:ascii="Times New Roman" w:hAnsi="Times New Roman" w:cs="Times New Roman"/>
          <w:color w:val="auto"/>
          <w:w w:val="99"/>
          <w:highlight w:val="none"/>
        </w:rPr>
        <w:t>扩建徐深27集气站</w:t>
      </w:r>
      <w:r>
        <w:rPr>
          <w:rFonts w:ascii="Times New Roman" w:hAnsi="Times New Roman" w:cs="Times New Roman"/>
          <w:color w:val="auto"/>
          <w:w w:val="99"/>
          <w:highlight w:val="none"/>
          <w:lang w:val="zh-CN"/>
        </w:rPr>
        <w:t>厂界非甲烷总烃贡献浓度满足</w:t>
      </w:r>
      <w:r>
        <w:rPr>
          <w:rFonts w:ascii="Times New Roman" w:hAnsi="Times New Roman" w:cs="Times New Roman"/>
          <w:color w:val="auto"/>
          <w:w w:val="99"/>
          <w:highlight w:val="none"/>
        </w:rPr>
        <w:t>《陆上石油天然气开采工业大气污染物排放标准》（GB39728-2020）5.9中规定要求</w:t>
      </w:r>
      <w:r>
        <w:rPr>
          <w:rFonts w:ascii="Times New Roman" w:hAnsi="Times New Roman" w:cs="Times New Roman"/>
          <w:color w:val="auto"/>
          <w:w w:val="99"/>
          <w:highlight w:val="none"/>
          <w:lang w:val="zh-CN"/>
        </w:rPr>
        <w:t>，非甲烷总烃小时值对环境敏感点最大浓度贡献值占标率为</w:t>
      </w:r>
      <w:r>
        <w:rPr>
          <w:rFonts w:hint="eastAsia" w:ascii="Times New Roman" w:hAnsi="Times New Roman" w:cs="Times New Roman"/>
          <w:color w:val="auto"/>
          <w:w w:val="99"/>
          <w:highlight w:val="none"/>
        </w:rPr>
        <w:t>6.27</w:t>
      </w:r>
      <w:r>
        <w:rPr>
          <w:rFonts w:ascii="Times New Roman" w:hAnsi="Times New Roman" w:cs="Times New Roman"/>
          <w:color w:val="auto"/>
          <w:w w:val="99"/>
          <w:highlight w:val="none"/>
          <w:lang w:val="zh-CN"/>
        </w:rPr>
        <w:t>%，均小于100%；叠加现状浓度后，环境敏感点处非甲烷总烃的短期浓度最大为</w:t>
      </w:r>
      <w:r>
        <w:rPr>
          <w:rFonts w:hint="eastAsia" w:ascii="Times New Roman" w:hAnsi="Times New Roman" w:cs="Times New Roman"/>
          <w:color w:val="auto"/>
          <w:w w:val="99"/>
          <w:sz w:val="21"/>
          <w:szCs w:val="21"/>
          <w:highlight w:val="none"/>
        </w:rPr>
        <w:t>739.6042</w:t>
      </w:r>
      <w:r>
        <w:rPr>
          <w:rFonts w:ascii="Times New Roman" w:hAnsi="Times New Roman" w:cs="Times New Roman"/>
          <w:color w:val="auto"/>
          <w:w w:val="99"/>
          <w:highlight w:val="none"/>
          <w:lang w:val="zh-CN"/>
        </w:rPr>
        <w:t>μg/m</w:t>
      </w:r>
      <w:r>
        <w:rPr>
          <w:rFonts w:ascii="Times New Roman" w:hAnsi="Times New Roman" w:cs="Times New Roman"/>
          <w:color w:val="auto"/>
          <w:w w:val="99"/>
          <w:highlight w:val="none"/>
          <w:vertAlign w:val="superscript"/>
          <w:lang w:val="zh-CN"/>
        </w:rPr>
        <w:t>3</w:t>
      </w:r>
      <w:r>
        <w:rPr>
          <w:rFonts w:ascii="Times New Roman" w:hAnsi="Times New Roman" w:cs="Times New Roman"/>
          <w:color w:val="auto"/>
          <w:w w:val="99"/>
          <w:highlight w:val="none"/>
          <w:lang w:val="zh-CN"/>
        </w:rPr>
        <w:t>，满足《大气污染物综合排放标准详解》2.0mg/m</w:t>
      </w:r>
      <w:r>
        <w:rPr>
          <w:rFonts w:ascii="Times New Roman" w:hAnsi="Times New Roman" w:cs="Times New Roman"/>
          <w:color w:val="auto"/>
          <w:w w:val="99"/>
          <w:highlight w:val="none"/>
          <w:vertAlign w:val="superscript"/>
          <w:lang w:val="zh-CN"/>
        </w:rPr>
        <w:t>3</w:t>
      </w:r>
      <w:r>
        <w:rPr>
          <w:rFonts w:ascii="Times New Roman" w:hAnsi="Times New Roman" w:cs="Times New Roman"/>
          <w:color w:val="auto"/>
          <w:w w:val="99"/>
          <w:highlight w:val="none"/>
          <w:lang w:val="zh-CN"/>
        </w:rPr>
        <w:t>要求。</w:t>
      </w:r>
    </w:p>
    <w:p w14:paraId="041A04B1">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②非正常工况下，预测NMHC的1h平均质量浓度贡献值最大浓度占标率均小于100%。</w:t>
      </w:r>
    </w:p>
    <w:p w14:paraId="7532B80A">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③</w:t>
      </w:r>
      <w:r>
        <w:rPr>
          <w:rFonts w:ascii="Times New Roman" w:hAnsi="Times New Roman" w:cs="Times New Roman"/>
          <w:color w:val="auto"/>
          <w:w w:val="99"/>
          <w:highlight w:val="none"/>
        </w:rPr>
        <w:t>通过预测可知，本项目对大气环境影响较小，无需设置大气环境防护区域</w:t>
      </w:r>
      <w:r>
        <w:rPr>
          <w:rFonts w:ascii="Times New Roman" w:hAnsi="Times New Roman" w:cs="Times New Roman"/>
          <w:color w:val="auto"/>
          <w:w w:val="99"/>
          <w:highlight w:val="none"/>
          <w:lang w:val="zh-CN"/>
        </w:rPr>
        <w:t>。</w:t>
      </w:r>
    </w:p>
    <w:p w14:paraId="35CB4B40">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color w:val="auto"/>
          <w:w w:val="99"/>
          <w:highlight w:val="none"/>
          <w:lang w:val="zh-CN"/>
        </w:rPr>
        <w:t>④正常工况下，本项目在运行期</w:t>
      </w:r>
      <w:r>
        <w:rPr>
          <w:rFonts w:hint="eastAsia" w:ascii="Times New Roman" w:hAnsi="Times New Roman" w:cs="Times New Roman"/>
          <w:color w:val="auto"/>
          <w:w w:val="99"/>
          <w:highlight w:val="none"/>
        </w:rPr>
        <w:t>气田</w:t>
      </w:r>
      <w:r>
        <w:rPr>
          <w:rFonts w:ascii="Times New Roman" w:hAnsi="Times New Roman" w:cs="Times New Roman"/>
          <w:color w:val="auto"/>
          <w:w w:val="99"/>
          <w:highlight w:val="none"/>
          <w:lang w:val="zh-CN"/>
        </w:rPr>
        <w:t>生产过程中采用全密闭工艺流程，井口均安装了密封垫，</w:t>
      </w:r>
      <w:r>
        <w:rPr>
          <w:rFonts w:ascii="Times New Roman" w:hAnsi="Times New Roman" w:cs="Times New Roman"/>
          <w:color w:val="auto"/>
          <w:w w:val="99"/>
          <w:highlight w:val="none"/>
        </w:rPr>
        <w:t>烃类气体的损失量可以控制在合理范围以内</w:t>
      </w:r>
      <w:r>
        <w:rPr>
          <w:rFonts w:ascii="Times New Roman" w:hAnsi="Times New Roman" w:cs="Times New Roman"/>
          <w:color w:val="auto"/>
          <w:w w:val="99"/>
          <w:highlight w:val="none"/>
          <w:lang w:val="zh-CN"/>
        </w:rPr>
        <w:t>，</w:t>
      </w:r>
      <w:r>
        <w:rPr>
          <w:rFonts w:ascii="Times New Roman" w:hAnsi="Times New Roman" w:cs="Times New Roman"/>
          <w:color w:val="auto"/>
          <w:w w:val="99"/>
          <w:highlight w:val="none"/>
        </w:rPr>
        <w:t>井场及</w:t>
      </w:r>
      <w:r>
        <w:rPr>
          <w:rFonts w:ascii="Times New Roman" w:hAnsi="Times New Roman" w:cs="Times New Roman"/>
          <w:bCs/>
          <w:color w:val="auto"/>
          <w:w w:val="99"/>
          <w:highlight w:val="none"/>
        </w:rPr>
        <w:t>依托的</w:t>
      </w:r>
      <w:r>
        <w:rPr>
          <w:rFonts w:hint="eastAsia" w:ascii="Times New Roman" w:hAnsi="Times New Roman" w:cs="Times New Roman"/>
          <w:bCs/>
          <w:color w:val="auto"/>
          <w:w w:val="99"/>
          <w:highlight w:val="none"/>
        </w:rPr>
        <w:t>场站</w:t>
      </w:r>
      <w:r>
        <w:rPr>
          <w:rFonts w:ascii="Times New Roman" w:hAnsi="Times New Roman" w:cs="Times New Roman"/>
          <w:color w:val="auto"/>
          <w:w w:val="99"/>
          <w:highlight w:val="none"/>
        </w:rPr>
        <w:t>排放的非甲烷总烃满足《陆上石油天然气开采工业大气污染物排放标准》（GB39728-2020）5.9中规定要求</w:t>
      </w:r>
      <w:r>
        <w:rPr>
          <w:rFonts w:ascii="Times New Roman" w:hAnsi="Times New Roman" w:cs="Times New Roman"/>
          <w:color w:val="auto"/>
          <w:w w:val="99"/>
          <w:highlight w:val="none"/>
          <w:lang w:val="zh-CN"/>
        </w:rPr>
        <w:t>。</w:t>
      </w:r>
      <w:r>
        <w:rPr>
          <w:rFonts w:ascii="Times New Roman" w:hAnsi="Times New Roman" w:cs="Times New Roman" w:eastAsiaTheme="minorEastAsia"/>
          <w:color w:val="auto"/>
          <w:w w:val="99"/>
          <w:highlight w:val="none"/>
        </w:rPr>
        <w:t>项目区域地形较为开阔，污染物扩散条件较好，项目投产后天然气开采及集输过程挥发的烃类气体不会使区域环境空气明显改变，项目建设对周围大气环境的影响较小。</w:t>
      </w:r>
      <w:r>
        <w:rPr>
          <w:rFonts w:hint="eastAsia" w:ascii="Times New Roman" w:hAnsi="Times New Roman" w:cs="Times New Roman" w:eastAsiaTheme="minorEastAsia"/>
          <w:color w:val="auto"/>
          <w:w w:val="99"/>
          <w:highlight w:val="none"/>
        </w:rPr>
        <w:t>依托集气站不新增加热装置，故本项目仅增加燃烧烟气的分担量，且现有加热装置采用天然气为燃料，属于清洁能源，产生的烟气经不低于8m高排气筒进行排放，故对环境影响不大。</w:t>
      </w:r>
    </w:p>
    <w:p w14:paraId="53129437">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非正常工况整个过程非甲烷总烃排放量很小，且作业时间很短，对大气环境影响较小。</w:t>
      </w:r>
    </w:p>
    <w:p w14:paraId="0ACCE424">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通过采取上述措施，区域环境质量</w:t>
      </w:r>
      <w:r>
        <w:rPr>
          <w:rFonts w:hint="eastAsia" w:ascii="Times New Roman" w:hAnsi="Times New Roman" w:cs="Times New Roman"/>
          <w:color w:val="auto"/>
          <w:w w:val="99"/>
          <w:highlight w:val="none"/>
        </w:rPr>
        <w:t>除PM</w:t>
      </w:r>
      <w:r>
        <w:rPr>
          <w:rFonts w:hint="eastAsia" w:ascii="Times New Roman" w:hAnsi="Times New Roman" w:cs="Times New Roman"/>
          <w:color w:val="auto"/>
          <w:w w:val="99"/>
          <w:highlight w:val="none"/>
          <w:vertAlign w:val="subscript"/>
        </w:rPr>
        <w:t>2.5</w:t>
      </w:r>
      <w:r>
        <w:rPr>
          <w:rFonts w:hint="eastAsia" w:ascii="Times New Roman" w:hAnsi="Times New Roman" w:cs="Times New Roman"/>
          <w:color w:val="auto"/>
          <w:w w:val="99"/>
          <w:highlight w:val="none"/>
        </w:rPr>
        <w:t>均</w:t>
      </w:r>
      <w:r>
        <w:rPr>
          <w:rFonts w:ascii="Times New Roman" w:hAnsi="Times New Roman" w:cs="Times New Roman"/>
          <w:color w:val="auto"/>
          <w:w w:val="99"/>
          <w:highlight w:val="none"/>
          <w:lang w:val="zh-CN"/>
        </w:rPr>
        <w:t>能够满足《环境空气质量标准》（GB3095-20</w:t>
      </w:r>
      <w:r>
        <w:rPr>
          <w:rFonts w:hint="eastAsia" w:ascii="Times New Roman" w:hAnsi="Times New Roman" w:cs="Times New Roman"/>
          <w:color w:val="auto"/>
          <w:w w:val="99"/>
          <w:highlight w:val="none"/>
        </w:rPr>
        <w:t>26</w:t>
      </w:r>
      <w:r>
        <w:rPr>
          <w:rFonts w:ascii="Times New Roman" w:hAnsi="Times New Roman" w:cs="Times New Roman"/>
          <w:color w:val="auto"/>
          <w:w w:val="99"/>
          <w:highlight w:val="none"/>
          <w:lang w:val="zh-CN"/>
        </w:rPr>
        <w:t>）</w:t>
      </w:r>
      <w:r>
        <w:rPr>
          <w:rFonts w:hint="eastAsia" w:ascii="Times New Roman" w:hAnsi="Times New Roman" w:cs="Times New Roman"/>
          <w:color w:val="auto"/>
          <w:w w:val="99"/>
          <w:highlight w:val="none"/>
          <w:lang w:val="en-US" w:eastAsia="zh-CN"/>
        </w:rPr>
        <w:t>过渡阶段</w:t>
      </w:r>
      <w:r>
        <w:rPr>
          <w:rFonts w:ascii="Times New Roman" w:hAnsi="Times New Roman" w:cs="Times New Roman"/>
          <w:color w:val="auto"/>
          <w:w w:val="99"/>
          <w:highlight w:val="none"/>
          <w:lang w:val="zh-CN"/>
        </w:rPr>
        <w:t>二级标准要求。本项目大气环境评价等级为一级，环境影响是可接受的，大气环境影响评价自查表见附表1。</w:t>
      </w:r>
    </w:p>
    <w:p w14:paraId="7158EA9A">
      <w:pPr>
        <w:pStyle w:val="7"/>
        <w:widowControl w:val="0"/>
        <w:spacing w:before="60" w:after="60" w:line="440" w:lineRule="exact"/>
        <w:jc w:val="both"/>
        <w:rPr>
          <w:rFonts w:eastAsiaTheme="minorEastAsia"/>
          <w:b/>
          <w:color w:val="auto"/>
          <w:w w:val="99"/>
          <w:kern w:val="2"/>
          <w:sz w:val="24"/>
          <w:szCs w:val="24"/>
          <w:highlight w:val="none"/>
        </w:rPr>
      </w:pPr>
      <w:bookmarkStart w:id="828" w:name="_Toc186444336"/>
      <w:r>
        <w:rPr>
          <w:rFonts w:eastAsiaTheme="minorEastAsia"/>
          <w:b/>
          <w:color w:val="auto"/>
          <w:w w:val="99"/>
          <w:kern w:val="2"/>
          <w:sz w:val="24"/>
          <w:szCs w:val="24"/>
          <w:highlight w:val="none"/>
        </w:rPr>
        <w:t>5.1.3退役期</w:t>
      </w:r>
      <w:bookmarkEnd w:id="828"/>
    </w:p>
    <w:p w14:paraId="7B2D189E">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本项目退役期对大气环境的影响主要是施工产生的扬尘、运输车辆排放的尾气。</w:t>
      </w:r>
    </w:p>
    <w:p w14:paraId="0C165D36">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（1）施工扬尘</w:t>
      </w:r>
    </w:p>
    <w:p w14:paraId="5102A52D">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运输车辆行驶扬尘与车辆行驶速度、风速、路面积尘量和积尘湿度等因素有关。施工场地、施工道路在自然风作用下产生的扬尘所影响的范围在100m以内，在退役期施工过程中应采取以下措施：</w:t>
      </w:r>
    </w:p>
    <w:p w14:paraId="6D8790E7">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color w:val="auto"/>
          <w:w w:val="99"/>
          <w:highlight w:val="none"/>
        </w:rPr>
        <w:t>1）</w:t>
      </w:r>
      <w:r>
        <w:rPr>
          <w:rFonts w:ascii="Times New Roman" w:hAnsi="Times New Roman" w:cs="Times New Roman" w:eastAsiaTheme="minorEastAsia"/>
          <w:color w:val="auto"/>
          <w:w w:val="99"/>
          <w:highlight w:val="none"/>
        </w:rPr>
        <w:t>材料运输过程中，进行材料遮盖，防止材料洒落、风刮起的粉尘；</w:t>
      </w:r>
    </w:p>
    <w:p w14:paraId="04CEDACB">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color w:val="auto"/>
          <w:w w:val="99"/>
          <w:highlight w:val="none"/>
        </w:rPr>
        <w:t>2）</w:t>
      </w:r>
      <w:r>
        <w:rPr>
          <w:rFonts w:ascii="Times New Roman" w:hAnsi="Times New Roman" w:cs="Times New Roman" w:eastAsiaTheme="minorEastAsia"/>
          <w:color w:val="auto"/>
          <w:w w:val="99"/>
          <w:highlight w:val="none"/>
        </w:rPr>
        <w:t>运输车辆进入居民区附近施工场地应低速行驶或限速行驶，减少扬尘产生。</w:t>
      </w:r>
    </w:p>
    <w:p w14:paraId="0EAC4E61">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3）在施工过程中，施工场地应定时适量洒水，并在大风天加大洒水量及洒水次数，使作业面保持一定的湿度；</w:t>
      </w:r>
    </w:p>
    <w:p w14:paraId="03478E4C">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采取上述措施后，可有效降低退役期施工过程中产生的扬尘，颗粒物浓度能够满足《大气污染物综合排放标准》（GB16297-1996）表2中无组织排放监控浓度限值要求。施工扬尘对周边敏感目标影响具有一定的时段性，这种影响随着施工的结束而消失。</w:t>
      </w:r>
    </w:p>
    <w:p w14:paraId="6B2AAFC8">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（2）</w:t>
      </w:r>
      <w:r>
        <w:rPr>
          <w:rFonts w:ascii="Times New Roman" w:hAnsi="Times New Roman" w:cs="Times New Roman"/>
          <w:color w:val="auto"/>
          <w:w w:val="99"/>
          <w:highlight w:val="none"/>
        </w:rPr>
        <w:t>车辆尾气</w:t>
      </w:r>
    </w:p>
    <w:p w14:paraId="5FA67202">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本项目退役期各类工程及运输车辆排放的尾气会对大气环境造成一定污染，排放主要污染物为NOx、CO、HC等，均属于无组织排放，施工所处地区宽阔，地形简单，污染物在大气中可快速扩散，由于车辆排放的尾气为流动的线源，其污染不集中且扩散能力相对较快，因此对环境空气的影响不是很大。</w:t>
      </w:r>
    </w:p>
    <w:p w14:paraId="0F70AC4B">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829" w:name="_Toc65426008"/>
      <w:bookmarkStart w:id="830" w:name="_Toc6940"/>
      <w:r>
        <w:rPr>
          <w:rFonts w:ascii="Times New Roman" w:hAnsi="Times New Roman" w:eastAsia="宋体"/>
          <w:b/>
          <w:snapToGrid w:val="0"/>
          <w:color w:val="auto"/>
          <w:w w:val="99"/>
          <w:highlight w:val="none"/>
        </w:rPr>
        <w:t>5.2地表水环境影响评价</w:t>
      </w:r>
      <w:bookmarkEnd w:id="829"/>
      <w:bookmarkEnd w:id="830"/>
    </w:p>
    <w:p w14:paraId="708E6C7F">
      <w:pPr>
        <w:pStyle w:val="47"/>
        <w:spacing w:after="0" w:line="440" w:lineRule="exact"/>
        <w:ind w:left="0" w:leftChars="0" w:firstLine="474" w:firstLineChars="200"/>
        <w:rPr>
          <w:rFonts w:eastAsiaTheme="minorEastAsia"/>
          <w:bCs/>
          <w:color w:val="auto"/>
          <w:w w:val="99"/>
          <w:sz w:val="24"/>
          <w:highlight w:val="none"/>
        </w:rPr>
      </w:pPr>
      <w:bookmarkStart w:id="831" w:name="_Toc70050266"/>
      <w:bookmarkStart w:id="832" w:name="_Toc67860216"/>
      <w:r>
        <w:rPr>
          <w:rFonts w:eastAsiaTheme="minorEastAsia"/>
          <w:bCs/>
          <w:color w:val="auto"/>
          <w:w w:val="99"/>
          <w:sz w:val="24"/>
          <w:highlight w:val="none"/>
        </w:rPr>
        <w:t>本项目开发区块及周边主要分布</w:t>
      </w:r>
      <w:r>
        <w:rPr>
          <w:rFonts w:hint="eastAsia" w:eastAsiaTheme="minorEastAsia"/>
          <w:bCs/>
          <w:color w:val="auto"/>
          <w:w w:val="99"/>
          <w:sz w:val="24"/>
          <w:highlight w:val="none"/>
        </w:rPr>
        <w:t>1</w:t>
      </w:r>
      <w:r>
        <w:rPr>
          <w:rFonts w:eastAsiaTheme="minorEastAsia"/>
          <w:bCs/>
          <w:color w:val="auto"/>
          <w:w w:val="99"/>
          <w:sz w:val="24"/>
          <w:highlight w:val="none"/>
        </w:rPr>
        <w:t>个较近的地表水体，</w:t>
      </w:r>
      <w:r>
        <w:rPr>
          <w:rFonts w:hint="eastAsia" w:eastAsiaTheme="minorEastAsia"/>
          <w:bCs/>
          <w:color w:val="auto"/>
          <w:w w:val="99"/>
          <w:sz w:val="24"/>
          <w:highlight w:val="none"/>
        </w:rPr>
        <w:t>位于徐深27集气站西北侧300m的北大干渠</w:t>
      </w:r>
      <w:r>
        <w:rPr>
          <w:rFonts w:eastAsiaTheme="minorEastAsia"/>
          <w:bCs/>
          <w:color w:val="auto"/>
          <w:w w:val="99"/>
          <w:sz w:val="24"/>
          <w:highlight w:val="none"/>
        </w:rPr>
        <w:t>，</w:t>
      </w:r>
      <w:r>
        <w:rPr>
          <w:rFonts w:hint="eastAsia" w:eastAsiaTheme="minorEastAsia"/>
          <w:bCs/>
          <w:color w:val="auto"/>
          <w:w w:val="99"/>
          <w:sz w:val="24"/>
          <w:highlight w:val="none"/>
        </w:rPr>
        <w:t>该干渠</w:t>
      </w:r>
      <w:r>
        <w:rPr>
          <w:rFonts w:eastAsiaTheme="minorEastAsia"/>
          <w:bCs/>
          <w:color w:val="auto"/>
          <w:w w:val="99"/>
          <w:sz w:val="24"/>
          <w:highlight w:val="none"/>
        </w:rPr>
        <w:t>未划分水环境功能区，不执行《地表水环境质量标准》（GB3838-2002）。主要功能为防洪调蓄及农业灌溉，</w:t>
      </w:r>
      <w:r>
        <w:rPr>
          <w:rFonts w:hint="eastAsia" w:eastAsiaTheme="minorEastAsia"/>
          <w:bCs/>
          <w:color w:val="auto"/>
          <w:w w:val="99"/>
          <w:sz w:val="24"/>
          <w:highlight w:val="none"/>
        </w:rPr>
        <w:t>长度</w:t>
      </w:r>
      <w:r>
        <w:rPr>
          <w:rFonts w:eastAsiaTheme="minorEastAsia"/>
          <w:bCs/>
          <w:color w:val="auto"/>
          <w:w w:val="99"/>
          <w:sz w:val="24"/>
          <w:highlight w:val="none"/>
        </w:rPr>
        <w:t>约</w:t>
      </w:r>
      <w:r>
        <w:rPr>
          <w:rFonts w:hint="eastAsia" w:eastAsiaTheme="minorEastAsia"/>
          <w:bCs/>
          <w:color w:val="auto"/>
          <w:w w:val="99"/>
          <w:sz w:val="24"/>
          <w:highlight w:val="none"/>
        </w:rPr>
        <w:t>50</w:t>
      </w:r>
      <w:r>
        <w:rPr>
          <w:rFonts w:eastAsiaTheme="minorEastAsia"/>
          <w:bCs/>
          <w:color w:val="auto"/>
          <w:w w:val="99"/>
          <w:sz w:val="24"/>
          <w:highlight w:val="none"/>
        </w:rPr>
        <w:t>km。</w:t>
      </w:r>
    </w:p>
    <w:p w14:paraId="22E52745">
      <w:pPr>
        <w:spacing w:line="440" w:lineRule="exact"/>
        <w:ind w:firstLine="474" w:firstLineChars="200"/>
        <w:jc w:val="both"/>
        <w:rPr>
          <w:rFonts w:hint="eastAsia" w:eastAsiaTheme="minorEastAsia"/>
          <w:bCs/>
          <w:color w:val="auto"/>
          <w:w w:val="99"/>
          <w:highlight w:val="none"/>
        </w:rPr>
      </w:pPr>
      <w:r>
        <w:rPr>
          <w:rFonts w:eastAsiaTheme="minorEastAsia"/>
          <w:bCs/>
          <w:color w:val="auto"/>
          <w:w w:val="99"/>
          <w:highlight w:val="none"/>
        </w:rPr>
        <w:t>施工期对地表水体可能造成污染的污染源主要是管线试压废水、生活污水</w:t>
      </w:r>
      <w:r>
        <w:rPr>
          <w:rFonts w:hint="eastAsia" w:eastAsiaTheme="minorEastAsia"/>
          <w:bCs/>
          <w:color w:val="auto"/>
          <w:w w:val="99"/>
          <w:highlight w:val="none"/>
        </w:rPr>
        <w:t>，</w:t>
      </w:r>
      <w:r>
        <w:rPr>
          <w:rFonts w:eastAsiaTheme="minorEastAsia"/>
          <w:bCs/>
          <w:color w:val="auto"/>
          <w:w w:val="99"/>
          <w:highlight w:val="none"/>
        </w:rPr>
        <w:t>污染因子主要为COD、氨氮、SS。</w:t>
      </w:r>
    </w:p>
    <w:p w14:paraId="4C204188">
      <w:pPr>
        <w:pStyle w:val="7"/>
        <w:widowControl w:val="0"/>
        <w:spacing w:before="60" w:after="60" w:line="440" w:lineRule="exact"/>
        <w:jc w:val="both"/>
        <w:rPr>
          <w:rFonts w:eastAsiaTheme="minorEastAsia"/>
          <w:b/>
          <w:color w:val="auto"/>
          <w:w w:val="99"/>
          <w:kern w:val="2"/>
          <w:sz w:val="24"/>
          <w:szCs w:val="24"/>
          <w:highlight w:val="none"/>
        </w:rPr>
      </w:pPr>
      <w:bookmarkStart w:id="833" w:name="_Toc131167343"/>
      <w:bookmarkStart w:id="834" w:name="_Toc85640812"/>
      <w:bookmarkStart w:id="835" w:name="_Toc86141987"/>
      <w:bookmarkStart w:id="836" w:name="_Toc186444338"/>
      <w:bookmarkStart w:id="837" w:name="_Toc143099630"/>
      <w:bookmarkStart w:id="838" w:name="_Toc126863443"/>
      <w:bookmarkStart w:id="839" w:name="_Toc127192392"/>
      <w:r>
        <w:rPr>
          <w:rFonts w:eastAsiaTheme="minorEastAsia"/>
          <w:b/>
          <w:color w:val="auto"/>
          <w:w w:val="99"/>
          <w:kern w:val="2"/>
          <w:sz w:val="24"/>
          <w:szCs w:val="24"/>
          <w:highlight w:val="none"/>
        </w:rPr>
        <w:t>5.2.1施工期</w:t>
      </w:r>
      <w:bookmarkEnd w:id="833"/>
      <w:bookmarkEnd w:id="834"/>
      <w:bookmarkEnd w:id="835"/>
      <w:bookmarkEnd w:id="836"/>
      <w:bookmarkEnd w:id="837"/>
      <w:bookmarkEnd w:id="838"/>
      <w:bookmarkEnd w:id="839"/>
    </w:p>
    <w:p w14:paraId="0C7ED27B">
      <w:pPr>
        <w:pStyle w:val="47"/>
        <w:spacing w:after="0" w:line="440" w:lineRule="exact"/>
        <w:ind w:left="0" w:leftChars="0" w:firstLine="474" w:firstLineChars="200"/>
        <w:rPr>
          <w:rFonts w:eastAsiaTheme="minorEastAsia"/>
          <w:bCs/>
          <w:color w:val="auto"/>
          <w:w w:val="99"/>
          <w:sz w:val="24"/>
          <w:highlight w:val="none"/>
        </w:rPr>
      </w:pPr>
      <w:r>
        <w:rPr>
          <w:rFonts w:eastAsiaTheme="minorEastAsia"/>
          <w:bCs/>
          <w:color w:val="auto"/>
          <w:w w:val="99"/>
          <w:sz w:val="24"/>
          <w:highlight w:val="none"/>
        </w:rPr>
        <w:t>（3）管线试压废水由罐车拉运至升一联气田污水预处理站处理满足《大庆油田地面工程建设设计规定》（Q/SYDQ0639-2015）及《碎屑岩油藏注水水质指标技术要求及分析方法》（SY/T5329-2022）限值要求后回注油层。</w:t>
      </w:r>
    </w:p>
    <w:p w14:paraId="785D6483">
      <w:pPr>
        <w:pStyle w:val="153"/>
        <w:widowControl w:val="0"/>
        <w:spacing w:line="440" w:lineRule="exact"/>
        <w:ind w:firstLine="473"/>
        <w:jc w:val="both"/>
        <w:rPr>
          <w:rFonts w:ascii="Times New Roman" w:hAnsi="Times New Roman"/>
          <w:color w:val="auto"/>
          <w:w w:val="99"/>
          <w:highlight w:val="none"/>
        </w:rPr>
      </w:pPr>
      <w:r>
        <w:rPr>
          <w:rFonts w:eastAsiaTheme="minorEastAsia"/>
          <w:bCs/>
          <w:color w:val="auto"/>
          <w:w w:val="99"/>
          <w:highlight w:val="none"/>
        </w:rPr>
        <w:t>（4）</w:t>
      </w:r>
      <w:r>
        <w:rPr>
          <w:rFonts w:hint="eastAsia" w:eastAsiaTheme="minorEastAsia"/>
          <w:bCs/>
          <w:color w:val="auto"/>
          <w:w w:val="99"/>
          <w:highlight w:val="none"/>
        </w:rPr>
        <w:t>施工期生活污水排入附近场站已建生活污水收集设施，</w:t>
      </w:r>
      <w:r>
        <w:rPr>
          <w:rFonts w:hint="eastAsia" w:ascii="Times New Roman" w:hAnsi="Times New Roman"/>
          <w:color w:val="auto"/>
          <w:w w:val="99"/>
          <w:highlight w:val="none"/>
        </w:rPr>
        <w:t>定期由大庆石油管理局有限公司庆南工矿服务公司红岗分公司拉运至大庆红岗区西巷污水回收站，管输至南区污水处理厂进行处理。</w:t>
      </w:r>
    </w:p>
    <w:p w14:paraId="31E5FFC2">
      <w:pPr>
        <w:pStyle w:val="47"/>
        <w:spacing w:after="0" w:line="440" w:lineRule="exact"/>
        <w:ind w:left="0" w:leftChars="0" w:firstLine="474" w:firstLineChars="200"/>
        <w:rPr>
          <w:rFonts w:eastAsiaTheme="minorEastAsia"/>
          <w:bCs/>
          <w:color w:val="auto"/>
          <w:w w:val="99"/>
          <w:sz w:val="24"/>
          <w:highlight w:val="none"/>
        </w:rPr>
      </w:pPr>
      <w:r>
        <w:rPr>
          <w:rFonts w:eastAsiaTheme="minorEastAsia"/>
          <w:bCs/>
          <w:color w:val="auto"/>
          <w:w w:val="99"/>
          <w:sz w:val="24"/>
          <w:highlight w:val="none"/>
        </w:rPr>
        <w:t>综上所述，本项目施工期废水均得到合理有效的处理，不会对区域内地表水体产生明显影响。</w:t>
      </w:r>
    </w:p>
    <w:p w14:paraId="5F918D37">
      <w:pPr>
        <w:pStyle w:val="7"/>
        <w:widowControl w:val="0"/>
        <w:spacing w:before="60" w:after="60" w:line="440" w:lineRule="exact"/>
        <w:jc w:val="both"/>
        <w:rPr>
          <w:rFonts w:eastAsiaTheme="minorEastAsia"/>
          <w:b/>
          <w:color w:val="auto"/>
          <w:w w:val="99"/>
          <w:kern w:val="2"/>
          <w:sz w:val="24"/>
          <w:szCs w:val="24"/>
          <w:highlight w:val="none"/>
        </w:rPr>
      </w:pPr>
      <w:bookmarkStart w:id="840" w:name="_Toc86141988"/>
      <w:bookmarkStart w:id="841" w:name="_Toc143099631"/>
      <w:bookmarkStart w:id="842" w:name="_Toc186444339"/>
      <w:bookmarkStart w:id="843" w:name="_Toc127192393"/>
      <w:bookmarkStart w:id="844" w:name="_Toc131167344"/>
      <w:bookmarkStart w:id="845" w:name="_Toc126863444"/>
      <w:bookmarkStart w:id="846" w:name="_Toc85640813"/>
      <w:r>
        <w:rPr>
          <w:rFonts w:eastAsiaTheme="minorEastAsia"/>
          <w:b/>
          <w:color w:val="auto"/>
          <w:w w:val="99"/>
          <w:kern w:val="2"/>
          <w:sz w:val="24"/>
          <w:szCs w:val="24"/>
          <w:highlight w:val="none"/>
        </w:rPr>
        <w:t>5.2.2运营期</w:t>
      </w:r>
      <w:bookmarkEnd w:id="840"/>
      <w:bookmarkEnd w:id="841"/>
      <w:bookmarkEnd w:id="842"/>
      <w:bookmarkEnd w:id="843"/>
      <w:bookmarkEnd w:id="844"/>
      <w:bookmarkEnd w:id="845"/>
      <w:bookmarkEnd w:id="846"/>
    </w:p>
    <w:p w14:paraId="6DE36BB7">
      <w:pPr>
        <w:pStyle w:val="47"/>
        <w:spacing w:after="0" w:line="440" w:lineRule="exact"/>
        <w:ind w:left="0" w:leftChars="0" w:firstLine="474" w:firstLineChars="200"/>
        <w:rPr>
          <w:rFonts w:eastAsiaTheme="minorEastAsia"/>
          <w:bCs/>
          <w:color w:val="auto"/>
          <w:w w:val="99"/>
          <w:sz w:val="24"/>
          <w:highlight w:val="none"/>
        </w:rPr>
      </w:pPr>
      <w:r>
        <w:rPr>
          <w:rFonts w:eastAsiaTheme="minorEastAsia"/>
          <w:bCs/>
          <w:color w:val="auto"/>
          <w:w w:val="99"/>
          <w:sz w:val="24"/>
          <w:highlight w:val="none"/>
        </w:rPr>
        <w:t>正常工况下，运营期</w:t>
      </w:r>
      <w:r>
        <w:rPr>
          <w:rFonts w:hint="eastAsia" w:eastAsiaTheme="minorEastAsia"/>
          <w:bCs/>
          <w:color w:val="auto"/>
          <w:w w:val="99"/>
          <w:sz w:val="24"/>
          <w:highlight w:val="none"/>
        </w:rPr>
        <w:t>气田采出水暂存于集气站污水储罐临时储存，再定期通过外输泵升压外输至气田采出水集输管网，并统一外输至升一联气田污水预处理站处理，处理后的水质执行《大庆油田地面工程建设设计规定》（Q/SYDQ 0639-2015）限值“含油量≤10mg/L、悬浮固体含量≤5mg/L、粒径中值≤2μm” ，同时满足《碎屑岩油藏注水水质指标技术要求及分析方法》(SY/T5329-2022)中标准限值，回注地下油层</w:t>
      </w:r>
      <w:r>
        <w:rPr>
          <w:rFonts w:eastAsiaTheme="minorEastAsia"/>
          <w:bCs/>
          <w:color w:val="auto"/>
          <w:w w:val="99"/>
          <w:sz w:val="24"/>
          <w:highlight w:val="none"/>
        </w:rPr>
        <w:t>。综上所述，本项目运营期废水均得到合理有效的处理，不排入外环境，因此，正常工况下对区域内地表水体几乎不产生影响。根据《环境影响评价技术导则地表水</w:t>
      </w:r>
      <w:r>
        <w:rPr>
          <w:rFonts w:hint="eastAsia" w:eastAsiaTheme="minorEastAsia"/>
          <w:bCs/>
          <w:color w:val="auto"/>
          <w:w w:val="99"/>
          <w:sz w:val="24"/>
          <w:highlight w:val="none"/>
        </w:rPr>
        <w:t>环境</w:t>
      </w:r>
      <w:r>
        <w:rPr>
          <w:rFonts w:eastAsiaTheme="minorEastAsia"/>
          <w:bCs/>
          <w:color w:val="auto"/>
          <w:w w:val="99"/>
          <w:sz w:val="24"/>
          <w:highlight w:val="none"/>
        </w:rPr>
        <w:t>》（HJ2.3-2018）中 8.1.2，水污染影响型为三级B评价，主要评价内容包括：水污染控制和水环境影响减缓措施有效性评价，及依托污水处理站的环境可行性评价。</w:t>
      </w:r>
    </w:p>
    <w:p w14:paraId="48A84B88">
      <w:pPr>
        <w:pStyle w:val="47"/>
        <w:spacing w:after="0" w:line="440" w:lineRule="exact"/>
        <w:ind w:left="0" w:leftChars="0" w:firstLine="474" w:firstLineChars="200"/>
        <w:rPr>
          <w:rFonts w:eastAsiaTheme="minorEastAsia"/>
          <w:bCs/>
          <w:color w:val="auto"/>
          <w:w w:val="99"/>
          <w:sz w:val="24"/>
          <w:highlight w:val="none"/>
        </w:rPr>
      </w:pPr>
      <w:r>
        <w:rPr>
          <w:rFonts w:eastAsiaTheme="minorEastAsia"/>
          <w:bCs/>
          <w:color w:val="auto"/>
          <w:w w:val="99"/>
          <w:sz w:val="24"/>
          <w:highlight w:val="none"/>
        </w:rPr>
        <w:t>（1）地表水环境保护措施有效性</w:t>
      </w:r>
    </w:p>
    <w:p w14:paraId="7B668A94">
      <w:pPr>
        <w:pStyle w:val="47"/>
        <w:spacing w:after="0" w:line="440" w:lineRule="exact"/>
        <w:ind w:left="0" w:leftChars="0" w:firstLine="474" w:firstLineChars="200"/>
        <w:rPr>
          <w:rFonts w:eastAsiaTheme="minorEastAsia"/>
          <w:bCs/>
          <w:color w:val="auto"/>
          <w:w w:val="99"/>
          <w:sz w:val="24"/>
          <w:highlight w:val="none"/>
        </w:rPr>
      </w:pPr>
      <w:r>
        <w:rPr>
          <w:rFonts w:eastAsiaTheme="minorEastAsia"/>
          <w:bCs/>
          <w:color w:val="auto"/>
          <w:w w:val="99"/>
          <w:sz w:val="24"/>
          <w:highlight w:val="none"/>
        </w:rPr>
        <w:t>在</w:t>
      </w:r>
      <w:r>
        <w:rPr>
          <w:rFonts w:hint="eastAsia" w:eastAsiaTheme="minorEastAsia"/>
          <w:bCs/>
          <w:color w:val="auto"/>
          <w:w w:val="99"/>
          <w:sz w:val="24"/>
          <w:highlight w:val="none"/>
        </w:rPr>
        <w:t>气</w:t>
      </w:r>
      <w:r>
        <w:rPr>
          <w:rFonts w:eastAsiaTheme="minorEastAsia"/>
          <w:bCs/>
          <w:color w:val="auto"/>
          <w:w w:val="99"/>
          <w:sz w:val="24"/>
          <w:highlight w:val="none"/>
        </w:rPr>
        <w:t>田生产建设及运营过程中，加强管理，同时确保各项污染控制措施及事故应急措施切实落实。</w:t>
      </w:r>
    </w:p>
    <w:p w14:paraId="27DF385E">
      <w:pPr>
        <w:pStyle w:val="47"/>
        <w:spacing w:after="0" w:line="440" w:lineRule="exact"/>
        <w:ind w:left="0" w:leftChars="0" w:firstLine="474" w:firstLineChars="200"/>
        <w:rPr>
          <w:bCs/>
          <w:color w:val="auto"/>
          <w:w w:val="99"/>
          <w:sz w:val="24"/>
          <w:highlight w:val="none"/>
        </w:rPr>
      </w:pPr>
      <w:r>
        <w:rPr>
          <w:rFonts w:hint="eastAsia" w:ascii="宋体" w:hAnsi="宋体" w:cs="宋体"/>
          <w:bCs/>
          <w:color w:val="auto"/>
          <w:w w:val="99"/>
          <w:sz w:val="24"/>
          <w:highlight w:val="none"/>
        </w:rPr>
        <w:t>①</w:t>
      </w:r>
      <w:r>
        <w:rPr>
          <w:bCs/>
          <w:color w:val="auto"/>
          <w:w w:val="99"/>
          <w:sz w:val="24"/>
          <w:highlight w:val="none"/>
        </w:rPr>
        <w:t>为避免井场对周边地表水的影响，对低洼地带的井场进行填筑，使井场标高高于地表水体丰水期高度，防止油污外溢。</w:t>
      </w:r>
    </w:p>
    <w:p w14:paraId="39823781">
      <w:pPr>
        <w:pStyle w:val="47"/>
        <w:spacing w:after="0" w:line="440" w:lineRule="exact"/>
        <w:ind w:left="0" w:leftChars="0" w:firstLine="474" w:firstLineChars="200"/>
        <w:rPr>
          <w:rFonts w:eastAsiaTheme="minorEastAsia"/>
          <w:bCs/>
          <w:color w:val="auto"/>
          <w:w w:val="99"/>
          <w:sz w:val="24"/>
          <w:highlight w:val="none"/>
        </w:rPr>
      </w:pPr>
      <w:r>
        <w:rPr>
          <w:rFonts w:hint="eastAsia" w:ascii="宋体" w:hAnsi="宋体" w:cs="宋体"/>
          <w:bCs/>
          <w:color w:val="auto"/>
          <w:w w:val="99"/>
          <w:sz w:val="24"/>
          <w:highlight w:val="none"/>
        </w:rPr>
        <w:t>②</w:t>
      </w:r>
      <w:r>
        <w:rPr>
          <w:rFonts w:hint="eastAsia" w:eastAsiaTheme="minorEastAsia"/>
          <w:bCs/>
          <w:color w:val="auto"/>
          <w:w w:val="99"/>
          <w:sz w:val="24"/>
          <w:highlight w:val="none"/>
        </w:rPr>
        <w:t>采气</w:t>
      </w:r>
      <w:r>
        <w:rPr>
          <w:rFonts w:eastAsiaTheme="minorEastAsia"/>
          <w:bCs/>
          <w:color w:val="auto"/>
          <w:w w:val="99"/>
          <w:sz w:val="24"/>
          <w:highlight w:val="none"/>
        </w:rPr>
        <w:t>管线采用无缝钢管，内缠聚乙烯胶带硬质聚氨酯塑料夹克保温管，能有效防止管线泄漏，同时定期对管线检查、维修，确保各部分的使用性能；</w:t>
      </w:r>
    </w:p>
    <w:p w14:paraId="53982308">
      <w:pPr>
        <w:pStyle w:val="47"/>
        <w:spacing w:after="0" w:line="440" w:lineRule="exact"/>
        <w:ind w:left="0" w:leftChars="0" w:firstLine="474" w:firstLineChars="200"/>
        <w:rPr>
          <w:rFonts w:eastAsiaTheme="minorEastAsia"/>
          <w:bCs/>
          <w:color w:val="auto"/>
          <w:w w:val="99"/>
          <w:sz w:val="24"/>
          <w:highlight w:val="none"/>
        </w:rPr>
      </w:pPr>
      <w:r>
        <w:rPr>
          <w:rFonts w:hint="eastAsia" w:ascii="宋体" w:hAnsi="宋体" w:cs="宋体" w:eastAsiaTheme="minorEastAsia"/>
          <w:bCs/>
          <w:color w:val="auto"/>
          <w:w w:val="99"/>
          <w:sz w:val="24"/>
          <w:highlight w:val="none"/>
        </w:rPr>
        <w:t>③</w:t>
      </w:r>
      <w:r>
        <w:rPr>
          <w:rFonts w:eastAsiaTheme="minorEastAsia"/>
          <w:bCs/>
          <w:color w:val="auto"/>
          <w:w w:val="99"/>
          <w:sz w:val="24"/>
          <w:highlight w:val="none"/>
        </w:rPr>
        <w:t>定期巡检，每天有专职人员对</w:t>
      </w:r>
      <w:r>
        <w:rPr>
          <w:rFonts w:hint="eastAsia" w:eastAsiaTheme="minorEastAsia"/>
          <w:bCs/>
          <w:color w:val="auto"/>
          <w:w w:val="99"/>
          <w:sz w:val="24"/>
          <w:highlight w:val="none"/>
        </w:rPr>
        <w:t>采气井</w:t>
      </w:r>
      <w:r>
        <w:rPr>
          <w:rFonts w:eastAsiaTheme="minorEastAsia"/>
          <w:bCs/>
          <w:color w:val="auto"/>
          <w:w w:val="99"/>
          <w:sz w:val="24"/>
          <w:highlight w:val="none"/>
        </w:rPr>
        <w:t>及管线进行检查，巡检次数至少为1次/d，雨季等特殊天气增加巡检次数，若管线泄漏应及时关闭切断阀，同时确保应急工具和设备齐备完好，准备围油栏、吸油毡、消油剂、接油桶等应急物资。</w:t>
      </w:r>
    </w:p>
    <w:p w14:paraId="0E84DB93">
      <w:pPr>
        <w:pStyle w:val="47"/>
        <w:spacing w:after="0" w:line="440" w:lineRule="exact"/>
        <w:ind w:left="0" w:leftChars="0" w:firstLine="474" w:firstLineChars="200"/>
        <w:rPr>
          <w:rFonts w:eastAsiaTheme="minorEastAsia"/>
          <w:bCs/>
          <w:color w:val="auto"/>
          <w:w w:val="99"/>
          <w:sz w:val="24"/>
          <w:highlight w:val="none"/>
        </w:rPr>
      </w:pPr>
      <w:r>
        <w:rPr>
          <w:rFonts w:eastAsiaTheme="minorEastAsia"/>
          <w:bCs/>
          <w:color w:val="auto"/>
          <w:w w:val="99"/>
          <w:sz w:val="24"/>
          <w:highlight w:val="none"/>
        </w:rPr>
        <w:t>综上所述，正常生产情况下，项目开发建设采取较为完善的环境保护措施，对周围环境不会产生不良影响。</w:t>
      </w:r>
    </w:p>
    <w:p w14:paraId="19E85EF0">
      <w:pPr>
        <w:pStyle w:val="47"/>
        <w:spacing w:after="0" w:line="440" w:lineRule="exact"/>
        <w:ind w:left="0" w:leftChars="0" w:firstLine="474" w:firstLineChars="200"/>
        <w:rPr>
          <w:rFonts w:eastAsiaTheme="minorEastAsia"/>
          <w:bCs/>
          <w:color w:val="auto"/>
          <w:w w:val="99"/>
          <w:sz w:val="24"/>
          <w:highlight w:val="none"/>
        </w:rPr>
      </w:pPr>
      <w:r>
        <w:rPr>
          <w:rFonts w:eastAsiaTheme="minorEastAsia"/>
          <w:bCs/>
          <w:color w:val="auto"/>
          <w:w w:val="99"/>
          <w:sz w:val="24"/>
          <w:highlight w:val="none"/>
        </w:rPr>
        <w:t>（2）依托污水处理站的环境可行性</w:t>
      </w:r>
    </w:p>
    <w:p w14:paraId="028ECA13">
      <w:pPr>
        <w:pStyle w:val="47"/>
        <w:spacing w:after="0" w:line="440" w:lineRule="exact"/>
        <w:ind w:left="0" w:leftChars="0" w:firstLine="474" w:firstLineChars="200"/>
        <w:rPr>
          <w:rFonts w:eastAsiaTheme="minorEastAsia"/>
          <w:bCs/>
          <w:color w:val="auto"/>
          <w:w w:val="99"/>
          <w:sz w:val="24"/>
          <w:highlight w:val="none"/>
        </w:rPr>
      </w:pPr>
      <w:r>
        <w:rPr>
          <w:rFonts w:hint="eastAsia" w:ascii="宋体" w:hAnsi="宋体" w:cs="宋体"/>
          <w:bCs/>
          <w:color w:val="auto"/>
          <w:w w:val="99"/>
          <w:sz w:val="24"/>
          <w:highlight w:val="none"/>
        </w:rPr>
        <w:t>①</w:t>
      </w:r>
      <w:r>
        <w:rPr>
          <w:rFonts w:eastAsiaTheme="minorEastAsia"/>
          <w:bCs/>
          <w:color w:val="auto"/>
          <w:w w:val="99"/>
          <w:sz w:val="24"/>
          <w:highlight w:val="none"/>
        </w:rPr>
        <w:t>污水站处理工艺及处理能力可行性分析</w:t>
      </w:r>
    </w:p>
    <w:p w14:paraId="3AEAE6D0">
      <w:pPr>
        <w:pStyle w:val="47"/>
        <w:spacing w:after="0" w:line="440" w:lineRule="exact"/>
        <w:ind w:left="0" w:leftChars="0" w:firstLine="474" w:firstLineChars="200"/>
        <w:rPr>
          <w:rFonts w:eastAsiaTheme="minorEastAsia"/>
          <w:bCs/>
          <w:color w:val="auto"/>
          <w:w w:val="99"/>
          <w:sz w:val="24"/>
          <w:highlight w:val="none"/>
        </w:rPr>
      </w:pPr>
      <w:r>
        <w:rPr>
          <w:rFonts w:eastAsiaTheme="minorEastAsia"/>
          <w:bCs/>
          <w:color w:val="auto"/>
          <w:w w:val="99"/>
          <w:sz w:val="24"/>
          <w:highlight w:val="none"/>
          <w:lang w:val="de-DE"/>
        </w:rPr>
        <w:t>本项目</w:t>
      </w:r>
      <w:r>
        <w:rPr>
          <w:rFonts w:hint="eastAsia" w:eastAsiaTheme="minorEastAsia"/>
          <w:bCs/>
          <w:color w:val="auto"/>
          <w:w w:val="99"/>
          <w:sz w:val="24"/>
          <w:highlight w:val="none"/>
        </w:rPr>
        <w:t>1</w:t>
      </w:r>
      <w:r>
        <w:rPr>
          <w:rFonts w:eastAsiaTheme="minorEastAsia"/>
          <w:bCs/>
          <w:color w:val="auto"/>
          <w:w w:val="99"/>
          <w:sz w:val="24"/>
          <w:highlight w:val="none"/>
        </w:rPr>
        <w:t>口</w:t>
      </w:r>
      <w:r>
        <w:rPr>
          <w:rFonts w:hint="eastAsia" w:eastAsiaTheme="minorEastAsia"/>
          <w:bCs/>
          <w:color w:val="auto"/>
          <w:w w:val="99"/>
          <w:sz w:val="24"/>
          <w:highlight w:val="none"/>
        </w:rPr>
        <w:t>气井的采出水</w:t>
      </w:r>
      <w:r>
        <w:rPr>
          <w:rFonts w:eastAsiaTheme="minorEastAsia"/>
          <w:bCs/>
          <w:color w:val="auto"/>
          <w:w w:val="99"/>
          <w:sz w:val="24"/>
          <w:highlight w:val="none"/>
          <w:lang w:val="de-DE"/>
        </w:rPr>
        <w:t>依托</w:t>
      </w:r>
      <w:r>
        <w:rPr>
          <w:snapToGrid w:val="0"/>
          <w:color w:val="auto"/>
          <w:w w:val="99"/>
          <w:sz w:val="24"/>
          <w:highlight w:val="none"/>
        </w:rPr>
        <w:t>升一联气田污水预处理站</w:t>
      </w:r>
      <w:r>
        <w:rPr>
          <w:rFonts w:eastAsiaTheme="minorEastAsia"/>
          <w:bCs/>
          <w:color w:val="auto"/>
          <w:w w:val="99"/>
          <w:sz w:val="24"/>
          <w:highlight w:val="none"/>
          <w:lang w:val="de-DE"/>
        </w:rPr>
        <w:t>处理，站内工艺采用</w:t>
      </w:r>
      <w:r>
        <w:rPr>
          <w:snapToGrid w:val="0"/>
          <w:color w:val="auto"/>
          <w:w w:val="99"/>
          <w:sz w:val="24"/>
          <w:highlight w:val="none"/>
        </w:rPr>
        <w:t>“调储缓冲→ 气浮→ 缓冲→ 两级过滤”</w:t>
      </w:r>
      <w:r>
        <w:rPr>
          <w:rFonts w:eastAsiaTheme="minorEastAsia"/>
          <w:bCs/>
          <w:color w:val="auto"/>
          <w:w w:val="99"/>
          <w:sz w:val="24"/>
          <w:highlight w:val="none"/>
        </w:rPr>
        <w:t>工艺流程</w:t>
      </w:r>
      <w:r>
        <w:rPr>
          <w:rFonts w:eastAsiaTheme="minorEastAsia"/>
          <w:bCs/>
          <w:color w:val="auto"/>
          <w:w w:val="99"/>
          <w:sz w:val="24"/>
          <w:highlight w:val="none"/>
          <w:lang w:val="de-DE"/>
        </w:rPr>
        <w:t>，设计出水水质指标为</w:t>
      </w:r>
      <w:r>
        <w:rPr>
          <w:rFonts w:eastAsiaTheme="minorEastAsia"/>
          <w:bCs/>
          <w:color w:val="auto"/>
          <w:w w:val="99"/>
          <w:sz w:val="24"/>
          <w:highlight w:val="none"/>
        </w:rPr>
        <w:t>《大庆油田地面工程建设设计规定》（Q/SYDQ0639-2015）中“含油量≤</w:t>
      </w:r>
      <w:r>
        <w:rPr>
          <w:rFonts w:hint="eastAsia" w:eastAsiaTheme="minorEastAsia"/>
          <w:bCs/>
          <w:color w:val="auto"/>
          <w:w w:val="99"/>
          <w:sz w:val="24"/>
          <w:highlight w:val="none"/>
        </w:rPr>
        <w:t>10</w:t>
      </w:r>
      <w:r>
        <w:rPr>
          <w:rFonts w:eastAsiaTheme="minorEastAsia"/>
          <w:bCs/>
          <w:color w:val="auto"/>
          <w:w w:val="99"/>
          <w:sz w:val="24"/>
          <w:highlight w:val="none"/>
        </w:rPr>
        <w:t>mg/L、悬浮固体≤</w:t>
      </w:r>
      <w:r>
        <w:rPr>
          <w:rFonts w:hint="eastAsia" w:eastAsiaTheme="minorEastAsia"/>
          <w:bCs/>
          <w:color w:val="auto"/>
          <w:w w:val="99"/>
          <w:sz w:val="24"/>
          <w:highlight w:val="none"/>
        </w:rPr>
        <w:t>5</w:t>
      </w:r>
      <w:r>
        <w:rPr>
          <w:rFonts w:eastAsiaTheme="minorEastAsia"/>
          <w:bCs/>
          <w:color w:val="auto"/>
          <w:w w:val="99"/>
          <w:sz w:val="24"/>
          <w:highlight w:val="none"/>
        </w:rPr>
        <w:t>mg/L、悬浮物颗粒直径中值≤</w:t>
      </w:r>
      <w:r>
        <w:rPr>
          <w:rFonts w:hint="eastAsia" w:eastAsiaTheme="minorEastAsia"/>
          <w:bCs/>
          <w:color w:val="auto"/>
          <w:w w:val="99"/>
          <w:sz w:val="24"/>
          <w:highlight w:val="none"/>
        </w:rPr>
        <w:t>2</w:t>
      </w:r>
      <w:r>
        <w:rPr>
          <w:rFonts w:eastAsiaTheme="minorEastAsia"/>
          <w:bCs/>
          <w:color w:val="auto"/>
          <w:w w:val="99"/>
          <w:sz w:val="24"/>
          <w:highlight w:val="none"/>
        </w:rPr>
        <w:t>μm”</w:t>
      </w:r>
      <w:r>
        <w:rPr>
          <w:rFonts w:eastAsiaTheme="minorEastAsia"/>
          <w:bCs/>
          <w:color w:val="auto"/>
          <w:w w:val="99"/>
          <w:sz w:val="24"/>
          <w:highlight w:val="none"/>
          <w:lang w:val="de-DE"/>
        </w:rPr>
        <w:t>，设计污水处理量为</w:t>
      </w:r>
      <w:r>
        <w:rPr>
          <w:rFonts w:hint="eastAsia" w:eastAsiaTheme="minorEastAsia"/>
          <w:bCs/>
          <w:color w:val="auto"/>
          <w:w w:val="99"/>
          <w:sz w:val="24"/>
          <w:highlight w:val="none"/>
        </w:rPr>
        <w:t>1400</w:t>
      </w:r>
      <w:r>
        <w:rPr>
          <w:rFonts w:eastAsiaTheme="minorEastAsia"/>
          <w:bCs/>
          <w:color w:val="auto"/>
          <w:w w:val="99"/>
          <w:sz w:val="24"/>
          <w:highlight w:val="none"/>
        </w:rPr>
        <w:t>m</w:t>
      </w:r>
      <w:r>
        <w:rPr>
          <w:rFonts w:eastAsiaTheme="minorEastAsia"/>
          <w:bCs/>
          <w:color w:val="auto"/>
          <w:w w:val="99"/>
          <w:sz w:val="24"/>
          <w:highlight w:val="none"/>
          <w:vertAlign w:val="superscript"/>
        </w:rPr>
        <w:t>3</w:t>
      </w:r>
      <w:r>
        <w:rPr>
          <w:rFonts w:eastAsiaTheme="minorEastAsia"/>
          <w:bCs/>
          <w:color w:val="auto"/>
          <w:w w:val="99"/>
          <w:sz w:val="24"/>
          <w:highlight w:val="none"/>
        </w:rPr>
        <w:t>/d。</w:t>
      </w:r>
      <w:r>
        <w:rPr>
          <w:rFonts w:eastAsiaTheme="minorEastAsia"/>
          <w:bCs/>
          <w:color w:val="auto"/>
          <w:w w:val="99"/>
          <w:sz w:val="24"/>
          <w:highlight w:val="none"/>
          <w:lang w:val="de-DE"/>
        </w:rPr>
        <w:t>目前实际污水处理量为</w:t>
      </w:r>
      <w:r>
        <w:rPr>
          <w:rFonts w:hint="eastAsia" w:eastAsiaTheme="minorEastAsia"/>
          <w:bCs/>
          <w:color w:val="auto"/>
          <w:w w:val="99"/>
          <w:sz w:val="24"/>
          <w:highlight w:val="none"/>
        </w:rPr>
        <w:t>390</w:t>
      </w:r>
      <w:r>
        <w:rPr>
          <w:rFonts w:eastAsiaTheme="minorEastAsia"/>
          <w:bCs/>
          <w:color w:val="auto"/>
          <w:w w:val="99"/>
          <w:sz w:val="24"/>
          <w:highlight w:val="none"/>
          <w:lang w:val="de-DE"/>
        </w:rPr>
        <w:t>m</w:t>
      </w:r>
      <w:r>
        <w:rPr>
          <w:rFonts w:eastAsiaTheme="minorEastAsia"/>
          <w:bCs/>
          <w:color w:val="auto"/>
          <w:w w:val="99"/>
          <w:sz w:val="24"/>
          <w:highlight w:val="none"/>
          <w:vertAlign w:val="superscript"/>
          <w:lang w:val="de-DE"/>
        </w:rPr>
        <w:t>3</w:t>
      </w:r>
      <w:r>
        <w:rPr>
          <w:rFonts w:eastAsiaTheme="minorEastAsia"/>
          <w:bCs/>
          <w:color w:val="auto"/>
          <w:w w:val="99"/>
          <w:sz w:val="24"/>
          <w:highlight w:val="none"/>
          <w:lang w:val="de-DE"/>
        </w:rPr>
        <w:t>/d，</w:t>
      </w:r>
      <w:r>
        <w:rPr>
          <w:rFonts w:eastAsiaTheme="minorEastAsia"/>
          <w:bCs/>
          <w:color w:val="auto"/>
          <w:w w:val="99"/>
          <w:sz w:val="24"/>
          <w:highlight w:val="none"/>
        </w:rPr>
        <w:t>本项目气田采出水最大产生量为</w:t>
      </w:r>
      <w:r>
        <w:rPr>
          <w:rFonts w:hint="eastAsia" w:eastAsiaTheme="minorEastAsia"/>
          <w:bCs/>
          <w:color w:val="auto"/>
          <w:w w:val="99"/>
          <w:sz w:val="24"/>
          <w:highlight w:val="none"/>
        </w:rPr>
        <w:t>3.0m</w:t>
      </w:r>
      <w:r>
        <w:rPr>
          <w:rFonts w:hint="eastAsia" w:eastAsiaTheme="minorEastAsia"/>
          <w:bCs/>
          <w:color w:val="auto"/>
          <w:w w:val="99"/>
          <w:sz w:val="24"/>
          <w:highlight w:val="none"/>
          <w:vertAlign w:val="superscript"/>
        </w:rPr>
        <w:t>3</w:t>
      </w:r>
      <w:r>
        <w:rPr>
          <w:rFonts w:eastAsiaTheme="minorEastAsia"/>
          <w:bCs/>
          <w:color w:val="auto"/>
          <w:w w:val="99"/>
          <w:sz w:val="24"/>
          <w:highlight w:val="none"/>
        </w:rPr>
        <w:t>/d</w:t>
      </w:r>
      <w:r>
        <w:rPr>
          <w:rFonts w:eastAsiaTheme="minorEastAsia"/>
          <w:bCs/>
          <w:color w:val="auto"/>
          <w:w w:val="99"/>
          <w:sz w:val="24"/>
          <w:highlight w:val="none"/>
          <w:lang w:val="de-DE"/>
        </w:rPr>
        <w:t>，满足开发需求。</w:t>
      </w:r>
    </w:p>
    <w:p w14:paraId="60A57DF9">
      <w:pPr>
        <w:pStyle w:val="47"/>
        <w:spacing w:after="0" w:line="440" w:lineRule="exact"/>
        <w:ind w:left="0" w:leftChars="0" w:firstLine="474" w:firstLineChars="200"/>
        <w:rPr>
          <w:rFonts w:eastAsiaTheme="minorEastAsia"/>
          <w:bCs/>
          <w:color w:val="auto"/>
          <w:w w:val="99"/>
          <w:sz w:val="24"/>
          <w:highlight w:val="none"/>
        </w:rPr>
      </w:pPr>
      <w:r>
        <w:rPr>
          <w:rFonts w:hint="eastAsia" w:ascii="宋体" w:hAnsi="宋体" w:cs="宋体"/>
          <w:bCs/>
          <w:color w:val="auto"/>
          <w:w w:val="99"/>
          <w:sz w:val="24"/>
          <w:highlight w:val="none"/>
        </w:rPr>
        <w:t>②</w:t>
      </w:r>
      <w:r>
        <w:rPr>
          <w:rFonts w:eastAsiaTheme="minorEastAsia"/>
          <w:bCs/>
          <w:color w:val="auto"/>
          <w:w w:val="99"/>
          <w:sz w:val="24"/>
          <w:highlight w:val="none"/>
        </w:rPr>
        <w:t>污水站处理达标后回注的环境可行性分析</w:t>
      </w:r>
    </w:p>
    <w:p w14:paraId="47DEA414">
      <w:pPr>
        <w:pStyle w:val="47"/>
        <w:spacing w:after="0" w:line="440" w:lineRule="exact"/>
        <w:ind w:left="0" w:leftChars="0" w:firstLine="474" w:firstLineChars="200"/>
        <w:rPr>
          <w:rFonts w:eastAsiaTheme="minorEastAsia"/>
          <w:bCs/>
          <w:color w:val="auto"/>
          <w:w w:val="99"/>
          <w:sz w:val="24"/>
          <w:highlight w:val="none"/>
        </w:rPr>
      </w:pPr>
      <w:r>
        <w:rPr>
          <w:rFonts w:eastAsiaTheme="minorEastAsia"/>
          <w:bCs/>
          <w:color w:val="auto"/>
          <w:w w:val="99"/>
          <w:sz w:val="24"/>
          <w:highlight w:val="none"/>
        </w:rPr>
        <w:t>根据现场调查，项目所属区域注水井回注层位与</w:t>
      </w:r>
      <w:r>
        <w:rPr>
          <w:rFonts w:hint="eastAsia" w:eastAsiaTheme="minorEastAsia"/>
          <w:bCs/>
          <w:color w:val="auto"/>
          <w:w w:val="99"/>
          <w:sz w:val="24"/>
          <w:highlight w:val="none"/>
        </w:rPr>
        <w:t>采气井</w:t>
      </w:r>
      <w:r>
        <w:rPr>
          <w:rFonts w:eastAsiaTheme="minorEastAsia"/>
          <w:bCs/>
          <w:color w:val="auto"/>
          <w:w w:val="99"/>
          <w:sz w:val="24"/>
          <w:highlight w:val="none"/>
        </w:rPr>
        <w:t>开采层位相同，属于回注到现役油气藏层位。</w:t>
      </w:r>
    </w:p>
    <w:p w14:paraId="43497F50">
      <w:pPr>
        <w:pStyle w:val="47"/>
        <w:spacing w:after="0" w:line="440" w:lineRule="exact"/>
        <w:ind w:left="0" w:leftChars="0" w:firstLine="474" w:firstLineChars="200"/>
        <w:rPr>
          <w:rFonts w:eastAsiaTheme="minorEastAsia"/>
          <w:bCs/>
          <w:color w:val="auto"/>
          <w:w w:val="99"/>
          <w:sz w:val="24"/>
          <w:highlight w:val="none"/>
        </w:rPr>
      </w:pPr>
      <w:r>
        <w:rPr>
          <w:rFonts w:hint="eastAsia" w:eastAsiaTheme="minorEastAsia"/>
          <w:bCs/>
          <w:color w:val="auto"/>
          <w:w w:val="99"/>
          <w:sz w:val="24"/>
          <w:highlight w:val="none"/>
        </w:rPr>
        <w:t>根据</w:t>
      </w:r>
      <w:r>
        <w:rPr>
          <w:rFonts w:eastAsiaTheme="minorEastAsia"/>
          <w:bCs/>
          <w:color w:val="auto"/>
          <w:w w:val="99"/>
          <w:sz w:val="24"/>
          <w:highlight w:val="none"/>
        </w:rPr>
        <w:t>大庆中环评价检测有限公司于2025年</w:t>
      </w:r>
      <w:r>
        <w:rPr>
          <w:rFonts w:hint="eastAsia" w:eastAsiaTheme="minorEastAsia"/>
          <w:bCs/>
          <w:color w:val="auto"/>
          <w:w w:val="99"/>
          <w:sz w:val="24"/>
          <w:highlight w:val="none"/>
        </w:rPr>
        <w:t>2</w:t>
      </w:r>
      <w:r>
        <w:rPr>
          <w:rFonts w:eastAsiaTheme="minorEastAsia"/>
          <w:bCs/>
          <w:color w:val="auto"/>
          <w:w w:val="99"/>
          <w:sz w:val="24"/>
          <w:highlight w:val="none"/>
        </w:rPr>
        <w:t>月</w:t>
      </w:r>
      <w:r>
        <w:rPr>
          <w:rFonts w:hint="eastAsia" w:eastAsiaTheme="minorEastAsia"/>
          <w:bCs/>
          <w:color w:val="auto"/>
          <w:w w:val="99"/>
          <w:sz w:val="24"/>
          <w:highlight w:val="none"/>
        </w:rPr>
        <w:t>20</w:t>
      </w:r>
      <w:r>
        <w:rPr>
          <w:rFonts w:eastAsiaTheme="minorEastAsia"/>
          <w:bCs/>
          <w:color w:val="auto"/>
          <w:w w:val="99"/>
          <w:sz w:val="24"/>
          <w:highlight w:val="none"/>
        </w:rPr>
        <w:t>日-</w:t>
      </w:r>
      <w:r>
        <w:rPr>
          <w:rFonts w:hint="eastAsia" w:eastAsiaTheme="minorEastAsia"/>
          <w:bCs/>
          <w:color w:val="auto"/>
          <w:w w:val="99"/>
          <w:sz w:val="24"/>
          <w:highlight w:val="none"/>
        </w:rPr>
        <w:t>21</w:t>
      </w:r>
      <w:r>
        <w:rPr>
          <w:rFonts w:eastAsiaTheme="minorEastAsia"/>
          <w:bCs/>
          <w:color w:val="auto"/>
          <w:w w:val="99"/>
          <w:sz w:val="24"/>
          <w:highlight w:val="none"/>
        </w:rPr>
        <w:t>日对</w:t>
      </w:r>
      <w:r>
        <w:rPr>
          <w:snapToGrid w:val="0"/>
          <w:color w:val="auto"/>
          <w:w w:val="99"/>
          <w:sz w:val="24"/>
          <w:highlight w:val="none"/>
        </w:rPr>
        <w:t>升一联气田污水预处理站</w:t>
      </w:r>
      <w:r>
        <w:rPr>
          <w:rFonts w:eastAsiaTheme="minorEastAsia"/>
          <w:bCs/>
          <w:color w:val="auto"/>
          <w:w w:val="99"/>
          <w:sz w:val="24"/>
          <w:highlight w:val="none"/>
        </w:rPr>
        <w:t>出水水质进行监测，根据监测结果可知，</w:t>
      </w:r>
      <w:r>
        <w:rPr>
          <w:snapToGrid w:val="0"/>
          <w:color w:val="auto"/>
          <w:w w:val="99"/>
          <w:sz w:val="24"/>
          <w:highlight w:val="none"/>
        </w:rPr>
        <w:t>升一联气田污水预处理站</w:t>
      </w:r>
      <w:r>
        <w:rPr>
          <w:rFonts w:eastAsiaTheme="minorEastAsia"/>
          <w:bCs/>
          <w:color w:val="auto"/>
          <w:w w:val="99"/>
          <w:sz w:val="24"/>
          <w:highlight w:val="none"/>
        </w:rPr>
        <w:t>处理后的污水含油量为</w:t>
      </w:r>
      <w:r>
        <w:rPr>
          <w:rFonts w:hint="eastAsia" w:eastAsiaTheme="minorEastAsia"/>
          <w:bCs/>
          <w:color w:val="auto"/>
          <w:w w:val="99"/>
          <w:sz w:val="24"/>
          <w:highlight w:val="none"/>
        </w:rPr>
        <w:t>2.13</w:t>
      </w:r>
      <w:r>
        <w:rPr>
          <w:rFonts w:eastAsiaTheme="minorEastAsia"/>
          <w:bCs/>
          <w:color w:val="auto"/>
          <w:w w:val="99"/>
          <w:sz w:val="24"/>
          <w:highlight w:val="none"/>
        </w:rPr>
        <w:t>~</w:t>
      </w:r>
      <w:r>
        <w:rPr>
          <w:rFonts w:hint="eastAsia" w:eastAsiaTheme="minorEastAsia"/>
          <w:bCs/>
          <w:color w:val="auto"/>
          <w:w w:val="99"/>
          <w:sz w:val="24"/>
          <w:highlight w:val="none"/>
        </w:rPr>
        <w:t>3.01</w:t>
      </w:r>
      <w:r>
        <w:rPr>
          <w:rFonts w:eastAsiaTheme="minorEastAsia"/>
          <w:bCs/>
          <w:color w:val="auto"/>
          <w:w w:val="99"/>
          <w:sz w:val="24"/>
          <w:highlight w:val="none"/>
        </w:rPr>
        <w:t>mg/L，悬浮固体含量为</w:t>
      </w:r>
      <w:r>
        <w:rPr>
          <w:rFonts w:hint="eastAsia" w:eastAsiaTheme="minorEastAsia"/>
          <w:bCs/>
          <w:color w:val="auto"/>
          <w:w w:val="99"/>
          <w:sz w:val="24"/>
          <w:highlight w:val="none"/>
        </w:rPr>
        <w:t>2-3</w:t>
      </w:r>
      <w:r>
        <w:rPr>
          <w:rFonts w:eastAsiaTheme="minorEastAsia"/>
          <w:bCs/>
          <w:color w:val="auto"/>
          <w:w w:val="99"/>
          <w:sz w:val="24"/>
          <w:highlight w:val="none"/>
        </w:rPr>
        <w:t>mg/L，悬浮物颗粒直径中值为1μm；处理后的污水</w:t>
      </w:r>
      <w:r>
        <w:rPr>
          <w:rFonts w:hint="eastAsia" w:eastAsiaTheme="minorEastAsia"/>
          <w:bCs/>
          <w:color w:val="auto"/>
          <w:w w:val="99"/>
          <w:sz w:val="24"/>
          <w:highlight w:val="none"/>
        </w:rPr>
        <w:t>水质</w:t>
      </w:r>
      <w:r>
        <w:rPr>
          <w:rFonts w:eastAsiaTheme="minorEastAsia"/>
          <w:bCs/>
          <w:color w:val="auto"/>
          <w:w w:val="99"/>
          <w:sz w:val="24"/>
          <w:highlight w:val="none"/>
        </w:rPr>
        <w:t>满足《大庆油田地面工程建设设计规定》（Q/SYDQ0639-2015）及《碎屑岩油藏注水水质指标技术要求及分析方法》（SY/T5329-2022）限值要求，处理后污水回注油层，符合《关于进一步加强石油天然气行业环境影响评价管理的通知》（环办环评函〔2019〕910号）中相关要求。</w:t>
      </w:r>
    </w:p>
    <w:p w14:paraId="75A5F70D">
      <w:pPr>
        <w:pStyle w:val="7"/>
        <w:widowControl w:val="0"/>
        <w:spacing w:before="60" w:after="60" w:line="440" w:lineRule="exact"/>
        <w:jc w:val="both"/>
        <w:rPr>
          <w:rFonts w:eastAsiaTheme="minorEastAsia"/>
          <w:b/>
          <w:color w:val="auto"/>
          <w:w w:val="99"/>
          <w:kern w:val="2"/>
          <w:sz w:val="24"/>
          <w:szCs w:val="24"/>
          <w:highlight w:val="none"/>
        </w:rPr>
      </w:pPr>
      <w:bookmarkStart w:id="847" w:name="_Toc186444340"/>
      <w:bookmarkStart w:id="848" w:name="_Toc131167345"/>
      <w:bookmarkStart w:id="849" w:name="_Toc86141989"/>
      <w:bookmarkStart w:id="850" w:name="_Toc127192394"/>
      <w:bookmarkStart w:id="851" w:name="_Toc85640814"/>
      <w:bookmarkStart w:id="852" w:name="_Toc126863445"/>
      <w:bookmarkStart w:id="853" w:name="_Toc143099632"/>
      <w:r>
        <w:rPr>
          <w:rFonts w:eastAsiaTheme="minorEastAsia"/>
          <w:b/>
          <w:color w:val="auto"/>
          <w:w w:val="99"/>
          <w:kern w:val="2"/>
          <w:sz w:val="24"/>
          <w:szCs w:val="24"/>
          <w:highlight w:val="none"/>
        </w:rPr>
        <w:t>5.2.3退役期</w:t>
      </w:r>
      <w:bookmarkEnd w:id="847"/>
    </w:p>
    <w:p w14:paraId="7B03A980">
      <w:pPr>
        <w:pStyle w:val="47"/>
        <w:spacing w:after="0" w:line="440" w:lineRule="exact"/>
        <w:ind w:left="0" w:leftChars="0" w:firstLine="474" w:firstLineChars="200"/>
        <w:rPr>
          <w:rFonts w:eastAsiaTheme="minorEastAsia"/>
          <w:bCs/>
          <w:color w:val="auto"/>
          <w:w w:val="99"/>
          <w:sz w:val="24"/>
          <w:highlight w:val="none"/>
        </w:rPr>
      </w:pPr>
      <w:r>
        <w:rPr>
          <w:rFonts w:hint="eastAsia" w:eastAsiaTheme="minorEastAsia"/>
          <w:bCs/>
          <w:color w:val="auto"/>
          <w:w w:val="99"/>
          <w:sz w:val="24"/>
          <w:highlight w:val="none"/>
        </w:rPr>
        <w:t>退役期</w:t>
      </w:r>
      <w:r>
        <w:rPr>
          <w:rFonts w:eastAsiaTheme="minorEastAsia"/>
          <w:bCs/>
          <w:color w:val="auto"/>
          <w:w w:val="99"/>
          <w:sz w:val="24"/>
          <w:highlight w:val="none"/>
        </w:rPr>
        <w:t>废水主要为设备清洗废水、</w:t>
      </w:r>
      <w:r>
        <w:rPr>
          <w:rFonts w:hint="eastAsia" w:eastAsiaTheme="minorEastAsia"/>
          <w:bCs/>
          <w:color w:val="auto"/>
          <w:w w:val="99"/>
          <w:sz w:val="24"/>
          <w:highlight w:val="none"/>
        </w:rPr>
        <w:t>废弃管道清管废水</w:t>
      </w:r>
      <w:r>
        <w:rPr>
          <w:rFonts w:eastAsiaTheme="minorEastAsia"/>
          <w:bCs/>
          <w:color w:val="auto"/>
          <w:w w:val="99"/>
          <w:sz w:val="24"/>
          <w:highlight w:val="none"/>
        </w:rPr>
        <w:t>及生活污水</w:t>
      </w:r>
      <w:r>
        <w:rPr>
          <w:rFonts w:hint="eastAsia" w:eastAsiaTheme="minorEastAsia"/>
          <w:bCs/>
          <w:color w:val="auto"/>
          <w:w w:val="99"/>
          <w:sz w:val="24"/>
          <w:highlight w:val="none"/>
        </w:rPr>
        <w:t>。</w:t>
      </w:r>
    </w:p>
    <w:p w14:paraId="568A9666">
      <w:pPr>
        <w:pStyle w:val="47"/>
        <w:spacing w:after="0" w:line="440" w:lineRule="exact"/>
        <w:ind w:left="0" w:leftChars="0" w:firstLine="474" w:firstLineChars="200"/>
        <w:rPr>
          <w:rFonts w:eastAsiaTheme="minorEastAsia"/>
          <w:bCs/>
          <w:color w:val="auto"/>
          <w:w w:val="99"/>
          <w:sz w:val="24"/>
          <w:highlight w:val="none"/>
        </w:rPr>
      </w:pPr>
      <w:r>
        <w:rPr>
          <w:rFonts w:hint="eastAsia" w:eastAsiaTheme="minorEastAsia"/>
          <w:bCs/>
          <w:color w:val="auto"/>
          <w:w w:val="99"/>
          <w:sz w:val="24"/>
          <w:highlight w:val="none"/>
        </w:rPr>
        <w:t>若本次投产的1口气井全部退役、集气管道全部废弃，则拆除设备清洗废水产生量为0.52t</w:t>
      </w:r>
      <w:r>
        <w:rPr>
          <w:rFonts w:eastAsiaTheme="minorEastAsia"/>
          <w:bCs/>
          <w:color w:val="auto"/>
          <w:w w:val="99"/>
          <w:sz w:val="24"/>
          <w:highlight w:val="none"/>
        </w:rPr>
        <w:t>，由罐车拉运至</w:t>
      </w:r>
      <w:r>
        <w:rPr>
          <w:rFonts w:hint="eastAsia" w:eastAsiaTheme="minorEastAsia"/>
          <w:bCs/>
          <w:color w:val="auto"/>
          <w:w w:val="99"/>
          <w:sz w:val="24"/>
          <w:highlight w:val="none"/>
        </w:rPr>
        <w:t>升一联气田污水预处理站处理达标后</w:t>
      </w:r>
      <w:r>
        <w:rPr>
          <w:rFonts w:eastAsiaTheme="minorEastAsia"/>
          <w:bCs/>
          <w:color w:val="auto"/>
          <w:w w:val="99"/>
          <w:sz w:val="24"/>
          <w:highlight w:val="none"/>
        </w:rPr>
        <w:t>回注地下开采油层，不外排</w:t>
      </w:r>
      <w:r>
        <w:rPr>
          <w:rFonts w:hint="eastAsia" w:eastAsiaTheme="minorEastAsia"/>
          <w:bCs/>
          <w:color w:val="auto"/>
          <w:w w:val="99"/>
          <w:sz w:val="24"/>
          <w:highlight w:val="none"/>
        </w:rPr>
        <w:t>。</w:t>
      </w:r>
    </w:p>
    <w:p w14:paraId="1DB8AD7C">
      <w:pPr>
        <w:pStyle w:val="153"/>
        <w:widowControl w:val="0"/>
        <w:spacing w:line="440" w:lineRule="exact"/>
        <w:ind w:firstLine="473"/>
        <w:jc w:val="both"/>
        <w:rPr>
          <w:rFonts w:ascii="Times New Roman" w:hAnsi="Times New Roman"/>
          <w:color w:val="auto"/>
          <w:w w:val="99"/>
          <w:highlight w:val="none"/>
        </w:rPr>
      </w:pPr>
      <w:r>
        <w:rPr>
          <w:rFonts w:hint="eastAsia" w:eastAsiaTheme="minorEastAsia"/>
          <w:bCs/>
          <w:color w:val="auto"/>
          <w:w w:val="99"/>
          <w:highlight w:val="none"/>
        </w:rPr>
        <w:t>项目退役期拆除设备、封井和清理井场时，施工时间较短，施工人员产生的生活污水量较少，排入周边集气站已建生活污水收集设施，均</w:t>
      </w:r>
      <w:r>
        <w:rPr>
          <w:rFonts w:hint="eastAsia" w:ascii="Times New Roman" w:hAnsi="Times New Roman"/>
          <w:color w:val="auto"/>
          <w:w w:val="99"/>
          <w:highlight w:val="none"/>
        </w:rPr>
        <w:t>定期由大庆石油管理局有限公司庆南工矿服务公司红岗分公司拉运至大庆红岗区西巷污水回收站，管输至南区污水处理厂进行处理。</w:t>
      </w:r>
    </w:p>
    <w:p w14:paraId="50E42D23">
      <w:pPr>
        <w:pStyle w:val="7"/>
        <w:widowControl w:val="0"/>
        <w:spacing w:before="60" w:after="60" w:line="440" w:lineRule="exact"/>
        <w:jc w:val="both"/>
        <w:rPr>
          <w:rFonts w:eastAsiaTheme="minorEastAsia"/>
          <w:b/>
          <w:color w:val="auto"/>
          <w:w w:val="99"/>
          <w:kern w:val="2"/>
          <w:sz w:val="24"/>
          <w:szCs w:val="24"/>
          <w:highlight w:val="none"/>
        </w:rPr>
      </w:pPr>
      <w:bookmarkStart w:id="854" w:name="_Toc186444341"/>
      <w:r>
        <w:rPr>
          <w:rFonts w:eastAsiaTheme="minorEastAsia"/>
          <w:b/>
          <w:color w:val="auto"/>
          <w:w w:val="99"/>
          <w:kern w:val="2"/>
          <w:sz w:val="24"/>
          <w:szCs w:val="24"/>
          <w:highlight w:val="none"/>
        </w:rPr>
        <w:t>5.2.4地表水环境影响评价结论</w:t>
      </w:r>
      <w:bookmarkEnd w:id="848"/>
      <w:bookmarkEnd w:id="849"/>
      <w:bookmarkEnd w:id="850"/>
      <w:bookmarkEnd w:id="851"/>
      <w:bookmarkEnd w:id="852"/>
      <w:bookmarkEnd w:id="853"/>
      <w:bookmarkEnd w:id="854"/>
    </w:p>
    <w:p w14:paraId="5CA46F4E">
      <w:pPr>
        <w:pStyle w:val="47"/>
        <w:spacing w:after="0" w:line="440" w:lineRule="exact"/>
        <w:ind w:left="0" w:leftChars="0" w:firstLine="474" w:firstLineChars="200"/>
        <w:rPr>
          <w:rFonts w:eastAsiaTheme="minorEastAsia"/>
          <w:bCs/>
          <w:color w:val="auto"/>
          <w:w w:val="99"/>
          <w:sz w:val="24"/>
          <w:highlight w:val="none"/>
        </w:rPr>
      </w:pPr>
      <w:r>
        <w:rPr>
          <w:rFonts w:eastAsiaTheme="minorEastAsia"/>
          <w:bCs/>
          <w:color w:val="auto"/>
          <w:w w:val="99"/>
          <w:sz w:val="24"/>
          <w:highlight w:val="none"/>
        </w:rPr>
        <w:t>本项目在施工期、运营期正、退役期情况下，采取了较为完善的环境保护措施，对地表水环境不会产生不良影响。在事故状态下，尤其是发生集输管线泄漏的情况下，若发现或处理不及时会对地表水环境产生一定影响。因此，运营期应加强检测、巡检巡视，及时发现问题及时处理，尽量避免事故的发生，降低事故发生后对环境的影响程度和范围。</w:t>
      </w:r>
    </w:p>
    <w:bookmarkEnd w:id="831"/>
    <w:bookmarkEnd w:id="832"/>
    <w:p w14:paraId="2B4EEA24">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855" w:name="_Toc19351"/>
      <w:r>
        <w:rPr>
          <w:rFonts w:ascii="Times New Roman" w:hAnsi="Times New Roman" w:eastAsia="宋体"/>
          <w:b/>
          <w:snapToGrid w:val="0"/>
          <w:color w:val="auto"/>
          <w:w w:val="99"/>
          <w:highlight w:val="none"/>
        </w:rPr>
        <w:t>5.3地下水环境影响预测与评价</w:t>
      </w:r>
      <w:bookmarkEnd w:id="855"/>
    </w:p>
    <w:p w14:paraId="0D7922A6">
      <w:pPr>
        <w:pStyle w:val="7"/>
        <w:widowControl w:val="0"/>
        <w:spacing w:before="60" w:after="60" w:line="440" w:lineRule="exact"/>
        <w:jc w:val="both"/>
        <w:rPr>
          <w:rFonts w:eastAsiaTheme="minorEastAsia"/>
          <w:b/>
          <w:color w:val="auto"/>
          <w:w w:val="99"/>
          <w:kern w:val="2"/>
          <w:sz w:val="24"/>
          <w:szCs w:val="24"/>
          <w:highlight w:val="none"/>
        </w:rPr>
      </w:pPr>
      <w:bookmarkStart w:id="856" w:name="_Toc86141991"/>
      <w:bookmarkStart w:id="857" w:name="_Toc143099634"/>
      <w:bookmarkStart w:id="858" w:name="_Toc131167347"/>
      <w:bookmarkStart w:id="859" w:name="_Toc126863447"/>
      <w:bookmarkStart w:id="860" w:name="_Toc85640816"/>
      <w:bookmarkStart w:id="861" w:name="_Toc127192396"/>
      <w:bookmarkStart w:id="862" w:name="_Toc84929288"/>
      <w:bookmarkStart w:id="863" w:name="_Toc186444343"/>
      <w:bookmarkStart w:id="864" w:name="_Toc78816516"/>
      <w:bookmarkStart w:id="865" w:name="_Toc77067713"/>
      <w:bookmarkStart w:id="866" w:name="_Toc80971433"/>
      <w:bookmarkStart w:id="867" w:name="_Toc67860187"/>
      <w:bookmarkStart w:id="868" w:name="_Toc80588311"/>
      <w:bookmarkStart w:id="869" w:name="_Toc76976301"/>
      <w:bookmarkStart w:id="870" w:name="_Toc83209533"/>
      <w:bookmarkStart w:id="871" w:name="_Toc19368"/>
      <w:bookmarkStart w:id="872" w:name="_Toc70050236"/>
      <w:r>
        <w:rPr>
          <w:rFonts w:eastAsiaTheme="minorEastAsia"/>
          <w:b/>
          <w:color w:val="auto"/>
          <w:w w:val="99"/>
          <w:kern w:val="2"/>
          <w:sz w:val="24"/>
          <w:szCs w:val="24"/>
          <w:highlight w:val="none"/>
        </w:rPr>
        <w:t>5.3.1正常情况下地下水环境影响分析</w:t>
      </w:r>
      <w:bookmarkEnd w:id="856"/>
      <w:bookmarkEnd w:id="857"/>
      <w:bookmarkEnd w:id="858"/>
      <w:bookmarkEnd w:id="859"/>
      <w:bookmarkEnd w:id="860"/>
      <w:bookmarkEnd w:id="861"/>
      <w:bookmarkEnd w:id="862"/>
      <w:bookmarkEnd w:id="863"/>
    </w:p>
    <w:p w14:paraId="7B32FD4A">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（1）施工期</w:t>
      </w:r>
    </w:p>
    <w:p w14:paraId="6E2BE88E">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本工程施工期废水主要为管线试压废水以及施工人员生活污水。</w:t>
      </w:r>
    </w:p>
    <w:p w14:paraId="25858659">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项目管线试压废水通过罐车拉运至升一联污水预处理站处理，满足</w:t>
      </w:r>
      <w:r>
        <w:rPr>
          <w:rFonts w:ascii="Times New Roman" w:hAnsi="Times New Roman" w:cs="Times New Roman"/>
          <w:color w:val="auto"/>
          <w:w w:val="99"/>
          <w:kern w:val="2"/>
          <w:highlight w:val="none"/>
        </w:rPr>
        <w:t>《大庆油田地面工程建设设计规定》（Q/SYDQ 0639-2015）限值“含油量≤10mg/L、悬浮固体含量≤5mg/L、粒径中值≤2μm”</w:t>
      </w:r>
      <w:r>
        <w:rPr>
          <w:rFonts w:hint="eastAsia" w:ascii="Times New Roman" w:hAnsi="Times New Roman" w:cs="Times New Roman"/>
          <w:color w:val="auto"/>
          <w:w w:val="99"/>
          <w:kern w:val="2"/>
          <w:highlight w:val="none"/>
          <w:lang w:eastAsia="zh-CN"/>
        </w:rPr>
        <w:t>，</w:t>
      </w:r>
      <w:r>
        <w:rPr>
          <w:rFonts w:hint="eastAsia" w:ascii="Times New Roman" w:hAnsi="Times New Roman" w:cs="Times New Roman"/>
          <w:color w:val="auto"/>
          <w:w w:val="99"/>
          <w:kern w:val="2"/>
          <w:highlight w:val="none"/>
          <w:lang w:val="en-US" w:eastAsia="zh-CN"/>
        </w:rPr>
        <w:t>同时满足</w:t>
      </w:r>
      <w:r>
        <w:rPr>
          <w:rFonts w:ascii="Times New Roman" w:hAnsi="Times New Roman" w:cs="Times New Roman"/>
          <w:bCs/>
          <w:color w:val="auto"/>
          <w:w w:val="99"/>
          <w:highlight w:val="none"/>
        </w:rPr>
        <w:t>《碎屑岩油藏注水水质指标技术要求及分析方法》(SY/T5329-2022)中标准限值，回注</w:t>
      </w:r>
      <w:r>
        <w:rPr>
          <w:rFonts w:ascii="Times New Roman" w:hAnsi="Times New Roman" w:cs="Times New Roman"/>
          <w:color w:val="auto"/>
          <w:w w:val="99"/>
          <w:kern w:val="2"/>
          <w:szCs w:val="20"/>
          <w:highlight w:val="none"/>
        </w:rPr>
        <w:t>到现役油气藏层位。施工期生活污水依托周边场站</w:t>
      </w:r>
      <w:r>
        <w:rPr>
          <w:rFonts w:ascii="Times New Roman" w:hAnsi="Times New Roman" w:cs="Times New Roman"/>
          <w:color w:val="auto"/>
          <w:w w:val="99"/>
          <w:kern w:val="2"/>
          <w:highlight w:val="none"/>
        </w:rPr>
        <w:t>已建生活污水收集设施</w:t>
      </w:r>
      <w:r>
        <w:rPr>
          <w:rFonts w:ascii="Times New Roman" w:hAnsi="Times New Roman" w:cs="Times New Roman"/>
          <w:color w:val="auto"/>
          <w:w w:val="99"/>
          <w:kern w:val="2"/>
          <w:szCs w:val="20"/>
          <w:highlight w:val="none"/>
        </w:rPr>
        <w:t>，</w:t>
      </w:r>
      <w:r>
        <w:rPr>
          <w:rFonts w:hint="eastAsia" w:ascii="Times New Roman" w:hAnsi="Times New Roman" w:cs="Times New Roman"/>
          <w:color w:val="auto"/>
          <w:w w:val="99"/>
          <w:highlight w:val="none"/>
        </w:rPr>
        <w:t>定期由大庆石油管理局有限公司庆南工矿服务公司红岗分公司拉运至大庆红岗区西巷污水回收站，管输至南区污水处理厂进行处理</w:t>
      </w:r>
      <w:r>
        <w:rPr>
          <w:rFonts w:ascii="Times New Roman" w:hAnsi="Times New Roman" w:cs="Times New Roman"/>
          <w:color w:val="auto"/>
          <w:w w:val="99"/>
          <w:kern w:val="2"/>
          <w:szCs w:val="20"/>
          <w:highlight w:val="none"/>
        </w:rPr>
        <w:t>。</w:t>
      </w:r>
    </w:p>
    <w:p w14:paraId="0E7FDA6E">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施工期废水均得到妥善处置。</w:t>
      </w:r>
    </w:p>
    <w:p w14:paraId="59EB561F">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（2）运营期</w:t>
      </w:r>
    </w:p>
    <w:p w14:paraId="3453CAE3">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本工程运行期气田采出水暂存在徐深</w:t>
      </w:r>
      <w:r>
        <w:rPr>
          <w:rFonts w:hint="eastAsia" w:ascii="Times New Roman" w:hAnsi="Times New Roman" w:cs="Times New Roman"/>
          <w:color w:val="auto"/>
          <w:w w:val="99"/>
          <w:kern w:val="2"/>
          <w:szCs w:val="20"/>
          <w:highlight w:val="none"/>
        </w:rPr>
        <w:t>27</w:t>
      </w:r>
      <w:r>
        <w:rPr>
          <w:rFonts w:ascii="Times New Roman" w:hAnsi="Times New Roman" w:cs="Times New Roman"/>
          <w:color w:val="auto"/>
          <w:w w:val="99"/>
          <w:kern w:val="2"/>
          <w:szCs w:val="20"/>
          <w:highlight w:val="none"/>
        </w:rPr>
        <w:t>集气站污水储罐内，由管线输送至升一联气田污水预处理站处理处理后的水质执行《大庆油田地面工程建设设计规定》（Q/SYDQ  0639-2015 ） 限值“ 含油量≤10mg/L 、悬浮固体含量≤5mg/L 、粒径中值≤2μm” ，同时满足《碎屑岩油藏注水水质指标技术要求及分析方法》(SY/T5329-2022)中标准限值，回注地下</w:t>
      </w:r>
      <w:r>
        <w:rPr>
          <w:rFonts w:hint="eastAsia" w:ascii="Times New Roman" w:hAnsi="Times New Roman" w:cs="Times New Roman"/>
          <w:color w:val="auto"/>
          <w:w w:val="99"/>
          <w:kern w:val="2"/>
          <w:szCs w:val="20"/>
          <w:highlight w:val="none"/>
        </w:rPr>
        <w:t>油层</w:t>
      </w:r>
      <w:r>
        <w:rPr>
          <w:rFonts w:ascii="Times New Roman" w:hAnsi="Times New Roman" w:cs="Times New Roman"/>
          <w:color w:val="auto"/>
          <w:w w:val="99"/>
          <w:kern w:val="2"/>
          <w:szCs w:val="20"/>
          <w:highlight w:val="none"/>
        </w:rPr>
        <w:t>。因此工程运行期正常情况下对地下水产生影响很小。</w:t>
      </w:r>
    </w:p>
    <w:p w14:paraId="0D9B4853">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（3）退役期</w:t>
      </w:r>
    </w:p>
    <w:p w14:paraId="1932542C">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建设项目进入闭井期，</w:t>
      </w:r>
      <w:r>
        <w:rPr>
          <w:rFonts w:hint="eastAsia" w:ascii="Times New Roman" w:hAnsi="Times New Roman" w:cs="Times New Roman"/>
          <w:color w:val="auto"/>
          <w:w w:val="99"/>
          <w:kern w:val="2"/>
          <w:szCs w:val="20"/>
          <w:highlight w:val="none"/>
        </w:rPr>
        <w:t>气</w:t>
      </w:r>
      <w:r>
        <w:rPr>
          <w:rFonts w:ascii="Times New Roman" w:hAnsi="Times New Roman" w:cs="Times New Roman"/>
          <w:color w:val="auto"/>
          <w:w w:val="99"/>
          <w:kern w:val="2"/>
          <w:szCs w:val="20"/>
          <w:highlight w:val="none"/>
        </w:rPr>
        <w:t>井退役后采用全段封井工艺进行封井处理，阻止各层段之间的井内窜流，达到保护含水层的目的，可有效阻隔油层中含油地下水与上部其他含水层之间的水力联系，井区内的潜水含水层和承压含水层均不再受石油开采的影响。</w:t>
      </w:r>
    </w:p>
    <w:p w14:paraId="3AD3E26B">
      <w:pPr>
        <w:pStyle w:val="7"/>
        <w:widowControl w:val="0"/>
        <w:spacing w:before="60" w:after="60" w:line="440" w:lineRule="exact"/>
        <w:jc w:val="both"/>
        <w:rPr>
          <w:rFonts w:eastAsiaTheme="minorEastAsia"/>
          <w:b/>
          <w:color w:val="auto"/>
          <w:w w:val="99"/>
          <w:kern w:val="2"/>
          <w:sz w:val="24"/>
          <w:szCs w:val="24"/>
          <w:highlight w:val="none"/>
        </w:rPr>
      </w:pPr>
      <w:bookmarkStart w:id="873" w:name="_Toc127192397"/>
      <w:bookmarkStart w:id="874" w:name="_Toc143099635"/>
      <w:bookmarkStart w:id="875" w:name="_Toc86141992"/>
      <w:bookmarkStart w:id="876" w:name="_Toc85640817"/>
      <w:bookmarkStart w:id="877" w:name="_Toc186444344"/>
      <w:bookmarkStart w:id="878" w:name="_Toc84929289"/>
      <w:bookmarkStart w:id="879" w:name="_Toc126863448"/>
      <w:bookmarkStart w:id="880" w:name="_Toc131167348"/>
      <w:r>
        <w:rPr>
          <w:rFonts w:eastAsiaTheme="minorEastAsia"/>
          <w:b/>
          <w:color w:val="auto"/>
          <w:w w:val="99"/>
          <w:kern w:val="2"/>
          <w:sz w:val="24"/>
          <w:szCs w:val="24"/>
          <w:highlight w:val="none"/>
        </w:rPr>
        <w:t>5.3.2非正常状况下地下水环境影响分析</w:t>
      </w:r>
      <w:bookmarkEnd w:id="873"/>
      <w:bookmarkEnd w:id="874"/>
      <w:bookmarkEnd w:id="875"/>
      <w:bookmarkEnd w:id="876"/>
      <w:bookmarkEnd w:id="877"/>
      <w:bookmarkEnd w:id="878"/>
      <w:bookmarkEnd w:id="879"/>
      <w:bookmarkEnd w:id="880"/>
    </w:p>
    <w:p w14:paraId="6DA1F2D1">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（1）施工期</w:t>
      </w:r>
    </w:p>
    <w:p w14:paraId="78ED34DB">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本工程</w:t>
      </w:r>
      <w:r>
        <w:rPr>
          <w:rFonts w:hint="eastAsia" w:ascii="Times New Roman" w:hAnsi="Times New Roman" w:cs="Times New Roman"/>
          <w:color w:val="auto"/>
          <w:w w:val="99"/>
          <w:kern w:val="2"/>
          <w:szCs w:val="20"/>
          <w:highlight w:val="none"/>
        </w:rPr>
        <w:t>施工期仅设备安装及管线、道路工程建设，不涉及对地下水的环境影响</w:t>
      </w:r>
      <w:r>
        <w:rPr>
          <w:rFonts w:ascii="Times New Roman" w:hAnsi="Times New Roman" w:cs="Times New Roman"/>
          <w:color w:val="auto"/>
          <w:w w:val="99"/>
          <w:kern w:val="2"/>
          <w:szCs w:val="20"/>
          <w:highlight w:val="none"/>
        </w:rPr>
        <w:t>。</w:t>
      </w:r>
    </w:p>
    <w:p w14:paraId="3F11BC5B">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（2）运营期</w:t>
      </w:r>
    </w:p>
    <w:p w14:paraId="2673C035">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气田开发生产过程中仍存在着一些潜在的事故隐患，具有污染环境的潜在因素，如包括井喷、井漏、管道泄漏等。</w:t>
      </w:r>
    </w:p>
    <w:p w14:paraId="41A1803B">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①发生井喷事故时，天然气从井口喷出，主要会对周围大气环境造成影响，天然气中含有少量的水分可能遇冷凝结落至地面，对地表造成污染，但由于本工程天然气中含水较少且发生井喷事故时能够及时采取措施，对污染的地表进行清理，因此井喷时对地下水的影响有限。</w:t>
      </w:r>
    </w:p>
    <w:p w14:paraId="6BC11C24">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②</w:t>
      </w:r>
      <w:r>
        <w:rPr>
          <w:rFonts w:ascii="Times New Roman" w:hAnsi="Times New Roman" w:cs="Times New Roman"/>
          <w:color w:val="auto"/>
          <w:w w:val="99"/>
          <w:kern w:val="2"/>
          <w:szCs w:val="20"/>
          <w:highlight w:val="none"/>
        </w:rPr>
        <w:t>发生管道泄漏时，天然气从管道裂口喷出，由于采气管道压力较高，泄漏天然气可直接喷出地表，在管道附近积存的可能性较少，同时气田设置完善的在线监测控系统和紧急截断系统，发生管道泄漏时可及时发现并进行截断，泄漏出的天然气主要会对周围大气环境造成影响，对地下水的影响有限</w:t>
      </w:r>
      <w:r>
        <w:rPr>
          <w:rFonts w:hint="eastAsia" w:ascii="Times New Roman" w:hAnsi="Times New Roman" w:cs="Times New Roman"/>
          <w:color w:val="auto"/>
          <w:w w:val="99"/>
          <w:kern w:val="2"/>
          <w:szCs w:val="20"/>
          <w:highlight w:val="none"/>
        </w:rPr>
        <w:t>，同时采气管线内主要为气体，含水量很少，对地下水影响不大</w:t>
      </w:r>
      <w:r>
        <w:rPr>
          <w:rFonts w:ascii="Times New Roman" w:hAnsi="Times New Roman" w:cs="Times New Roman"/>
          <w:color w:val="auto"/>
          <w:w w:val="99"/>
          <w:kern w:val="2"/>
          <w:szCs w:val="20"/>
          <w:highlight w:val="none"/>
        </w:rPr>
        <w:t>。</w:t>
      </w:r>
    </w:p>
    <w:p w14:paraId="6A618092">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③工程所在区域地下水井开采层位为白垩系明水组承压水含水层，气井开采过程中涉及具有饮用水功能的承压含水层主要为该层。发生井漏事故时，表层套管可能由地层压力等原因，造成破损，导致天然气中含有的采出水泄露，进入白垩系明水组承压水含水层，可能会对地下水环境产生不利影响，本次对该类事故进行预测分析。</w:t>
      </w:r>
    </w:p>
    <w:p w14:paraId="398E45AB">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因此本气田在开发及生产过程中，对地下水环境影响可能较为严重的事故主要是固井质量不高、密封不严、表层套管破损而造成的气田采出水泄漏和采气管线腐蚀造成的采出水泄漏。</w:t>
      </w:r>
    </w:p>
    <w:p w14:paraId="221388CA">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rPr>
        <w:t>本工程预测情景模式见表 5.3-1。</w:t>
      </w:r>
    </w:p>
    <w:p w14:paraId="627374CA">
      <w:pPr>
        <w:widowControl w:val="0"/>
        <w:spacing w:line="440" w:lineRule="exact"/>
        <w:ind w:firstLine="476" w:firstLineChars="200"/>
        <w:jc w:val="both"/>
        <w:rPr>
          <w:rFonts w:ascii="Times New Roman" w:hAnsi="Times New Roman" w:cs="Times New Roman"/>
          <w:b/>
          <w:bCs/>
          <w:color w:val="auto"/>
          <w:w w:val="99"/>
          <w:kern w:val="2"/>
          <w:szCs w:val="20"/>
          <w:highlight w:val="none"/>
        </w:rPr>
      </w:pPr>
      <w:r>
        <w:rPr>
          <w:rFonts w:hint="eastAsia" w:ascii="Times New Roman" w:hAnsi="Times New Roman" w:cs="Times New Roman"/>
          <w:b/>
          <w:bCs/>
          <w:color w:val="auto"/>
          <w:w w:val="99"/>
          <w:kern w:val="2"/>
          <w:szCs w:val="20"/>
          <w:highlight w:val="none"/>
        </w:rPr>
        <w:t>表 5.3-1    地下水预测情景模式一览表</w:t>
      </w:r>
    </w:p>
    <w:tbl>
      <w:tblPr>
        <w:tblStyle w:val="1662"/>
        <w:tblW w:w="500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49"/>
        <w:gridCol w:w="5173"/>
        <w:gridCol w:w="1374"/>
        <w:gridCol w:w="1800"/>
      </w:tblGrid>
      <w:tr w14:paraId="2C8D0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4" w:hRule="atLeast"/>
          <w:jc w:val="center"/>
        </w:trPr>
        <w:tc>
          <w:tcPr>
            <w:tcW w:w="412" w:type="pct"/>
            <w:vAlign w:val="center"/>
          </w:tcPr>
          <w:p w14:paraId="02544732">
            <w:pPr>
              <w:pStyle w:val="2857"/>
              <w:widowControl/>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序号</w:t>
            </w:r>
          </w:p>
        </w:tc>
        <w:tc>
          <w:tcPr>
            <w:tcW w:w="2843" w:type="pct"/>
            <w:vAlign w:val="center"/>
          </w:tcPr>
          <w:p w14:paraId="763C0C86">
            <w:pPr>
              <w:pStyle w:val="2857"/>
              <w:widowControl/>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泄漏类型</w:t>
            </w:r>
          </w:p>
        </w:tc>
        <w:tc>
          <w:tcPr>
            <w:tcW w:w="755" w:type="pct"/>
            <w:vAlign w:val="center"/>
          </w:tcPr>
          <w:p w14:paraId="78B955D5">
            <w:pPr>
              <w:pStyle w:val="2857"/>
              <w:widowControl/>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影响层位</w:t>
            </w:r>
          </w:p>
        </w:tc>
        <w:tc>
          <w:tcPr>
            <w:tcW w:w="989" w:type="pct"/>
            <w:vAlign w:val="center"/>
          </w:tcPr>
          <w:p w14:paraId="791EC589">
            <w:pPr>
              <w:pStyle w:val="2857"/>
              <w:widowControl/>
              <w:spacing w:line="360" w:lineRule="exact"/>
              <w:jc w:val="center"/>
              <w:rPr>
                <w:rFonts w:ascii="Times New Roman" w:hAnsi="Times New Roman"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lang w:eastAsia="zh-CN"/>
              </w:rPr>
              <w:t>场景选择</w:t>
            </w:r>
          </w:p>
        </w:tc>
      </w:tr>
      <w:tr w14:paraId="28DF9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412" w:type="pct"/>
            <w:vAlign w:val="center"/>
          </w:tcPr>
          <w:p w14:paraId="3A602D16">
            <w:pPr>
              <w:widowControl w:val="0"/>
              <w:spacing w:line="360" w:lineRule="exact"/>
              <w:jc w:val="center"/>
              <w:rPr>
                <w:rFonts w:ascii="Times New Roman" w:hAnsi="Times New Roman" w:cs="Times New Roman"/>
                <w:color w:val="auto"/>
                <w:w w:val="99"/>
                <w:kern w:val="2"/>
                <w:sz w:val="21"/>
                <w:szCs w:val="21"/>
                <w:highlight w:val="none"/>
                <w:lang w:eastAsia="en-US"/>
              </w:rPr>
            </w:pPr>
            <w:r>
              <w:rPr>
                <w:rFonts w:hint="eastAsia" w:ascii="Times New Roman" w:hAnsi="Times New Roman" w:cs="Times New Roman"/>
                <w:color w:val="auto"/>
                <w:w w:val="99"/>
                <w:kern w:val="2"/>
                <w:sz w:val="21"/>
                <w:szCs w:val="21"/>
                <w:highlight w:val="none"/>
                <w:lang w:eastAsia="en-US"/>
              </w:rPr>
              <w:t>1</w:t>
            </w:r>
          </w:p>
        </w:tc>
        <w:tc>
          <w:tcPr>
            <w:tcW w:w="2843" w:type="pct"/>
            <w:vAlign w:val="center"/>
          </w:tcPr>
          <w:p w14:paraId="16AE7937">
            <w:pPr>
              <w:widowControl w:val="0"/>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气井套损事故造成的采出水泄漏</w:t>
            </w:r>
          </w:p>
        </w:tc>
        <w:tc>
          <w:tcPr>
            <w:tcW w:w="755" w:type="pct"/>
            <w:vAlign w:val="center"/>
          </w:tcPr>
          <w:p w14:paraId="3E6CECC0">
            <w:pPr>
              <w:widowControl w:val="0"/>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承压水</w:t>
            </w:r>
          </w:p>
        </w:tc>
        <w:tc>
          <w:tcPr>
            <w:tcW w:w="989" w:type="pct"/>
            <w:vAlign w:val="center"/>
          </w:tcPr>
          <w:p w14:paraId="73C35D4F">
            <w:pPr>
              <w:widowControl w:val="0"/>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持续泄漏</w:t>
            </w:r>
          </w:p>
        </w:tc>
      </w:tr>
    </w:tbl>
    <w:p w14:paraId="25D274FF">
      <w:pPr>
        <w:spacing w:line="81" w:lineRule="exact"/>
        <w:rPr>
          <w:rFonts w:hint="eastAsia"/>
          <w:color w:val="auto"/>
          <w:highlight w:val="none"/>
        </w:rPr>
      </w:pPr>
    </w:p>
    <w:p w14:paraId="15DF1216">
      <w:pPr>
        <w:widowControl w:val="0"/>
        <w:spacing w:line="440" w:lineRule="exact"/>
        <w:ind w:firstLine="476" w:firstLineChars="200"/>
        <w:jc w:val="both"/>
        <w:rPr>
          <w:rFonts w:ascii="Times New Roman" w:hAnsi="Times New Roman" w:cs="Times New Roman"/>
          <w:b/>
          <w:bCs/>
          <w:color w:val="auto"/>
          <w:w w:val="99"/>
          <w:kern w:val="2"/>
          <w:szCs w:val="20"/>
          <w:highlight w:val="none"/>
        </w:rPr>
      </w:pPr>
      <w:r>
        <w:rPr>
          <w:rFonts w:ascii="Times New Roman" w:hAnsi="Times New Roman" w:cs="Times New Roman"/>
          <w:b/>
          <w:bCs/>
          <w:color w:val="auto"/>
          <w:w w:val="99"/>
          <w:kern w:val="2"/>
          <w:szCs w:val="20"/>
          <w:highlight w:val="none"/>
        </w:rPr>
        <w:t>情景</w:t>
      </w:r>
      <w:r>
        <w:rPr>
          <w:rFonts w:hint="eastAsia" w:ascii="Times New Roman" w:hAnsi="Times New Roman" w:cs="Times New Roman"/>
          <w:b/>
          <w:bCs/>
          <w:color w:val="auto"/>
          <w:w w:val="99"/>
          <w:kern w:val="2"/>
          <w:szCs w:val="20"/>
          <w:highlight w:val="none"/>
        </w:rPr>
        <w:t>一</w:t>
      </w:r>
      <w:r>
        <w:rPr>
          <w:rFonts w:ascii="Times New Roman" w:hAnsi="Times New Roman" w:cs="Times New Roman"/>
          <w:b/>
          <w:bCs/>
          <w:color w:val="auto"/>
          <w:w w:val="99"/>
          <w:kern w:val="2"/>
          <w:szCs w:val="20"/>
          <w:highlight w:val="none"/>
        </w:rPr>
        <w:t>：气井套损事故造成的采出水泄漏</w:t>
      </w:r>
    </w:p>
    <w:p w14:paraId="29C5995B">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（1）预测范围</w:t>
      </w:r>
    </w:p>
    <w:p w14:paraId="1C98F6DA">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预测范围与评价范围一致。</w:t>
      </w:r>
    </w:p>
    <w:p w14:paraId="3342C4EA">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（2）预测因子</w:t>
      </w:r>
    </w:p>
    <w:p w14:paraId="238915EF">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本次评价选取石油类作为特征因子。</w:t>
      </w:r>
    </w:p>
    <w:p w14:paraId="5D1B2BE4">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（3）预测时段</w:t>
      </w:r>
    </w:p>
    <w:p w14:paraId="766FC143">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根据《环境影响评价技术导则 地下水环境》（HJ610-2016），地下水环境影响预测时段应选取可能产生地下水污染的关键时段，至少包括污染发生后100d 、1000d ，服务年限或能反映特征因子迁移规律的其他重要的时间节点。结合本工程特点，污染发生后 100d 、1000d 、5</w:t>
      </w:r>
      <w:r>
        <w:rPr>
          <w:rFonts w:hint="eastAsia" w:ascii="Times New Roman" w:hAnsi="Times New Roman" w:cs="Times New Roman"/>
          <w:color w:val="auto"/>
          <w:w w:val="99"/>
          <w:kern w:val="2"/>
          <w:szCs w:val="20"/>
          <w:highlight w:val="none"/>
        </w:rPr>
        <w:t>475</w:t>
      </w:r>
      <w:r>
        <w:rPr>
          <w:rFonts w:ascii="Times New Roman" w:hAnsi="Times New Roman" w:cs="Times New Roman"/>
          <w:color w:val="auto"/>
          <w:w w:val="99"/>
          <w:kern w:val="2"/>
          <w:szCs w:val="20"/>
          <w:highlight w:val="none"/>
        </w:rPr>
        <w:t>d ，服务年限或能反映特征因子迁移规律的其他重点时间节点，对非正常状况的情景分别进行预测。</w:t>
      </w:r>
    </w:p>
    <w:p w14:paraId="385615B6">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（4）预测源强</w:t>
      </w:r>
    </w:p>
    <w:p w14:paraId="598BB005">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根据开发指标预测表，本工程单口气井产水量最大为</w:t>
      </w:r>
      <w:r>
        <w:rPr>
          <w:rFonts w:hint="eastAsia" w:ascii="Times New Roman" w:hAnsi="Times New Roman" w:cs="Times New Roman"/>
          <w:color w:val="auto"/>
          <w:w w:val="99"/>
          <w:kern w:val="2"/>
          <w:szCs w:val="20"/>
          <w:highlight w:val="none"/>
        </w:rPr>
        <w:t>3.0</w:t>
      </w:r>
      <w:r>
        <w:rPr>
          <w:rFonts w:ascii="Times New Roman" w:hAnsi="Times New Roman" w:cs="Times New Roman"/>
          <w:color w:val="auto"/>
          <w:w w:val="99"/>
          <w:kern w:val="2"/>
          <w:szCs w:val="20"/>
          <w:highlight w:val="none"/>
        </w:rPr>
        <w:t>m</w:t>
      </w:r>
      <w:r>
        <w:rPr>
          <w:rFonts w:ascii="Times New Roman" w:hAnsi="Times New Roman" w:cs="Times New Roman"/>
          <w:color w:val="auto"/>
          <w:w w:val="99"/>
          <w:kern w:val="2"/>
          <w:szCs w:val="20"/>
          <w:highlight w:val="none"/>
          <w:vertAlign w:val="superscript"/>
        </w:rPr>
        <w:t>3</w:t>
      </w:r>
      <w:r>
        <w:rPr>
          <w:rFonts w:ascii="Times New Roman" w:hAnsi="Times New Roman" w:cs="Times New Roman"/>
          <w:color w:val="auto"/>
          <w:w w:val="99"/>
          <w:kern w:val="2"/>
          <w:szCs w:val="20"/>
          <w:highlight w:val="none"/>
        </w:rPr>
        <w:t xml:space="preserve">/d ，拟建气井套管发生泄漏，根据大庆油田多年统计数据，泄漏源强以单井每天最大产水量计即 </w:t>
      </w:r>
      <w:r>
        <w:rPr>
          <w:rFonts w:hint="eastAsia" w:ascii="Times New Roman" w:hAnsi="Times New Roman" w:cs="Times New Roman"/>
          <w:color w:val="auto"/>
          <w:w w:val="99"/>
          <w:kern w:val="2"/>
          <w:szCs w:val="20"/>
          <w:highlight w:val="none"/>
        </w:rPr>
        <w:t>3.0</w:t>
      </w:r>
      <w:r>
        <w:rPr>
          <w:rFonts w:ascii="Times New Roman" w:hAnsi="Times New Roman" w:cs="Times New Roman"/>
          <w:color w:val="auto"/>
          <w:w w:val="99"/>
          <w:kern w:val="2"/>
          <w:szCs w:val="20"/>
          <w:highlight w:val="none"/>
        </w:rPr>
        <w:t>m</w:t>
      </w:r>
      <w:r>
        <w:rPr>
          <w:rFonts w:ascii="Times New Roman" w:hAnsi="Times New Roman" w:cs="Times New Roman"/>
          <w:color w:val="auto"/>
          <w:w w:val="99"/>
          <w:kern w:val="2"/>
          <w:szCs w:val="20"/>
          <w:highlight w:val="none"/>
          <w:vertAlign w:val="superscript"/>
        </w:rPr>
        <w:t>3</w:t>
      </w:r>
      <w:r>
        <w:rPr>
          <w:rFonts w:ascii="Times New Roman" w:hAnsi="Times New Roman" w:cs="Times New Roman"/>
          <w:color w:val="auto"/>
          <w:w w:val="99"/>
          <w:kern w:val="2"/>
          <w:szCs w:val="20"/>
          <w:highlight w:val="none"/>
        </w:rPr>
        <w:t>/d 。由于套管破损不易被发现，所以按持续泄漏预测，</w:t>
      </w:r>
      <w:r>
        <w:rPr>
          <w:rFonts w:hint="eastAsia" w:ascii="Times New Roman" w:hAnsi="Times New Roman" w:cs="Times New Roman"/>
          <w:color w:val="auto"/>
          <w:w w:val="99"/>
          <w:kern w:val="2"/>
          <w:szCs w:val="20"/>
          <w:highlight w:val="none"/>
        </w:rPr>
        <w:t>进入地下水</w:t>
      </w:r>
      <w:r>
        <w:rPr>
          <w:rFonts w:ascii="Times New Roman" w:hAnsi="Times New Roman" w:cs="Times New Roman"/>
          <w:color w:val="auto"/>
          <w:w w:val="99"/>
          <w:kern w:val="2"/>
          <w:szCs w:val="20"/>
          <w:highlight w:val="none"/>
        </w:rPr>
        <w:t>石油类浓度</w:t>
      </w:r>
      <w:r>
        <w:rPr>
          <w:rFonts w:hint="eastAsia" w:ascii="Times New Roman" w:hAnsi="Times New Roman" w:cs="Times New Roman"/>
          <w:color w:val="auto"/>
          <w:w w:val="99"/>
          <w:kern w:val="2"/>
          <w:szCs w:val="20"/>
          <w:highlight w:val="none"/>
        </w:rPr>
        <w:t>按照</w:t>
      </w:r>
      <w:r>
        <w:rPr>
          <w:rFonts w:ascii="Times New Roman" w:hAnsi="Times New Roman" w:cs="Times New Roman"/>
          <w:color w:val="auto"/>
          <w:w w:val="99"/>
          <w:kern w:val="2"/>
          <w:szCs w:val="20"/>
          <w:highlight w:val="none"/>
        </w:rPr>
        <w:t>300mg/L</w:t>
      </w:r>
      <w:r>
        <w:rPr>
          <w:rFonts w:hint="eastAsia" w:ascii="Times New Roman" w:hAnsi="Times New Roman" w:cs="Times New Roman"/>
          <w:color w:val="auto"/>
          <w:w w:val="99"/>
          <w:kern w:val="2"/>
          <w:szCs w:val="20"/>
          <w:highlight w:val="none"/>
        </w:rPr>
        <w:t>计算</w:t>
      </w:r>
      <w:r>
        <w:rPr>
          <w:rFonts w:ascii="Times New Roman" w:hAnsi="Times New Roman" w:cs="Times New Roman"/>
          <w:color w:val="auto"/>
          <w:w w:val="99"/>
          <w:kern w:val="2"/>
          <w:szCs w:val="20"/>
          <w:highlight w:val="none"/>
        </w:rPr>
        <w:t>，</w:t>
      </w:r>
      <w:r>
        <w:rPr>
          <w:rFonts w:hint="eastAsia" w:ascii="Times New Roman" w:hAnsi="Times New Roman" w:cs="Times New Roman"/>
          <w:color w:val="auto"/>
          <w:w w:val="99"/>
          <w:kern w:val="2"/>
          <w:szCs w:val="20"/>
          <w:highlight w:val="none"/>
        </w:rPr>
        <w:t>则进入地下水</w:t>
      </w:r>
      <w:r>
        <w:rPr>
          <w:rFonts w:ascii="Times New Roman" w:hAnsi="Times New Roman" w:cs="Times New Roman"/>
          <w:color w:val="auto"/>
          <w:w w:val="99"/>
          <w:kern w:val="2"/>
          <w:szCs w:val="20"/>
          <w:highlight w:val="none"/>
        </w:rPr>
        <w:t>石油类</w:t>
      </w:r>
      <w:r>
        <w:rPr>
          <w:rFonts w:hint="eastAsia" w:ascii="Times New Roman" w:hAnsi="Times New Roman" w:cs="Times New Roman"/>
          <w:color w:val="auto"/>
          <w:w w:val="99"/>
          <w:kern w:val="2"/>
          <w:szCs w:val="20"/>
          <w:highlight w:val="none"/>
        </w:rPr>
        <w:t>量为0.9</w:t>
      </w:r>
      <w:r>
        <w:rPr>
          <w:rFonts w:ascii="Times New Roman" w:hAnsi="Times New Roman" w:cs="Times New Roman"/>
          <w:color w:val="auto"/>
          <w:w w:val="99"/>
          <w:kern w:val="2"/>
          <w:szCs w:val="20"/>
          <w:highlight w:val="none"/>
        </w:rPr>
        <w:t>kg/d。</w:t>
      </w:r>
    </w:p>
    <w:p w14:paraId="5EECA5E7">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（5）预测模型</w:t>
      </w:r>
    </w:p>
    <w:p w14:paraId="37A572F3">
      <w:pPr>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根据《环境影响评价技术导则 地下水环境》（HJ610-2016）中预测方法可知，建设项目地下水环境影响预测方法包括数学模型法和类比分析法，其中，数学模型法包括数值法、解析法等方法，结合项目区域内地下水水文地质资料、含水层基本参数可知，本工程符合使用解析模型预测污染物在含水层中的扩散条件，因此本工程选用地下水溶质运移解析法模型进行预测，用解析解对照数值解法进行检验和比较，并用解析法拟合观测资料以求得水动力弥散系数。</w:t>
      </w:r>
    </w:p>
    <w:p w14:paraId="61379A8F">
      <w:pPr>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根据《环境影响评价技术导则 地下水环境》（HJ610-2016）中 9.7 节预测方法，采用推荐的地下水溶质运移解析法中的一维稳定流动二维弥散点源模型连续注入示踪剂—平面连续点源进行预测。具体如下：</w:t>
      </w:r>
    </w:p>
    <w:p w14:paraId="2D314853">
      <w:pPr>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连续注入示踪剂——平面连续点源</w:t>
      </w:r>
    </w:p>
    <w:p w14:paraId="56B072F7">
      <w:pPr>
        <w:spacing w:line="311" w:lineRule="auto"/>
        <w:rPr>
          <w:rFonts w:hint="eastAsia" w:ascii="Arial"/>
          <w:color w:val="auto"/>
          <w:sz w:val="21"/>
          <w:highlight w:val="none"/>
        </w:rPr>
      </w:pPr>
    </w:p>
    <w:p w14:paraId="4A374D44">
      <w:pPr>
        <w:spacing w:line="648" w:lineRule="exact"/>
        <w:ind w:left="1800"/>
        <w:rPr>
          <w:rFonts w:hint="eastAsia"/>
          <w:color w:val="auto"/>
          <w:highlight w:val="none"/>
        </w:rPr>
      </w:pPr>
      <w:r>
        <w:rPr>
          <w:color w:val="auto"/>
          <w:position w:val="-13"/>
          <w:highlight w:val="none"/>
        </w:rPr>
        <w:drawing>
          <wp:inline distT="0" distB="0" distL="0" distR="0">
            <wp:extent cx="3291840" cy="411480"/>
            <wp:effectExtent l="0" t="0" r="3810" b="7620"/>
            <wp:docPr id="1080" name="IM 1080"/>
            <wp:cNvGraphicFramePr/>
            <a:graphic xmlns:a="http://schemas.openxmlformats.org/drawingml/2006/main">
              <a:graphicData uri="http://schemas.openxmlformats.org/drawingml/2006/picture">
                <pic:pic xmlns:pic="http://schemas.openxmlformats.org/drawingml/2006/picture">
                  <pic:nvPicPr>
                    <pic:cNvPr id="1080" name="IM 1080"/>
                    <pic:cNvPicPr/>
                  </pic:nvPicPr>
                  <pic:blipFill>
                    <a:blip r:embed="rId67"/>
                    <a:stretch>
                      <a:fillRect/>
                    </a:stretch>
                  </pic:blipFill>
                  <pic:spPr>
                    <a:xfrm>
                      <a:off x="0" y="0"/>
                      <a:ext cx="3291840" cy="411480"/>
                    </a:xfrm>
                    <a:prstGeom prst="rect">
                      <a:avLst/>
                    </a:prstGeom>
                  </pic:spPr>
                </pic:pic>
              </a:graphicData>
            </a:graphic>
          </wp:inline>
        </w:drawing>
      </w:r>
    </w:p>
    <w:p w14:paraId="469BF3E2">
      <w:pPr>
        <w:spacing w:line="400" w:lineRule="auto"/>
        <w:rPr>
          <w:rFonts w:hint="eastAsia" w:ascii="Arial"/>
          <w:color w:val="auto"/>
          <w:sz w:val="21"/>
          <w:highlight w:val="none"/>
        </w:rPr>
      </w:pPr>
    </w:p>
    <w:p w14:paraId="67E7F832">
      <w:pPr>
        <w:spacing w:before="1" w:line="763" w:lineRule="exact"/>
        <w:ind w:left="3369"/>
        <w:rPr>
          <w:rFonts w:hint="eastAsia"/>
          <w:color w:val="auto"/>
          <w:highlight w:val="none"/>
        </w:rPr>
      </w:pPr>
      <w:r>
        <w:rPr>
          <w:color w:val="auto"/>
          <w:position w:val="-15"/>
          <w:highlight w:val="none"/>
        </w:rPr>
        <w:drawing>
          <wp:inline distT="0" distB="0" distL="0" distR="0">
            <wp:extent cx="1311910" cy="484505"/>
            <wp:effectExtent l="0" t="0" r="2540" b="10795"/>
            <wp:docPr id="1082" name="IM 1082"/>
            <wp:cNvGraphicFramePr/>
            <a:graphic xmlns:a="http://schemas.openxmlformats.org/drawingml/2006/main">
              <a:graphicData uri="http://schemas.openxmlformats.org/drawingml/2006/picture">
                <pic:pic xmlns:pic="http://schemas.openxmlformats.org/drawingml/2006/picture">
                  <pic:nvPicPr>
                    <pic:cNvPr id="1082" name="IM 1082"/>
                    <pic:cNvPicPr/>
                  </pic:nvPicPr>
                  <pic:blipFill>
                    <a:blip r:embed="rId68"/>
                    <a:stretch>
                      <a:fillRect/>
                    </a:stretch>
                  </pic:blipFill>
                  <pic:spPr>
                    <a:xfrm>
                      <a:off x="0" y="0"/>
                      <a:ext cx="1312163" cy="484632"/>
                    </a:xfrm>
                    <a:prstGeom prst="rect">
                      <a:avLst/>
                    </a:prstGeom>
                  </pic:spPr>
                </pic:pic>
              </a:graphicData>
            </a:graphic>
          </wp:inline>
        </w:drawing>
      </w:r>
    </w:p>
    <w:p w14:paraId="492980DD">
      <w:pPr>
        <w:spacing w:line="14" w:lineRule="exact"/>
        <w:ind w:left="3887"/>
        <w:rPr>
          <w:rFonts w:hint="eastAsia"/>
          <w:color w:val="auto"/>
          <w:highlight w:val="none"/>
        </w:rPr>
      </w:pPr>
      <w:r>
        <w:rPr>
          <w:color w:val="auto"/>
          <w:highlight w:val="none"/>
        </w:rPr>
        <w:drawing>
          <wp:inline distT="0" distB="0" distL="0" distR="0">
            <wp:extent cx="36195" cy="8890"/>
            <wp:effectExtent l="0" t="0" r="0" b="0"/>
            <wp:docPr id="1084" name="IM 1084"/>
            <wp:cNvGraphicFramePr/>
            <a:graphic xmlns:a="http://schemas.openxmlformats.org/drawingml/2006/main">
              <a:graphicData uri="http://schemas.openxmlformats.org/drawingml/2006/picture">
                <pic:pic xmlns:pic="http://schemas.openxmlformats.org/drawingml/2006/picture">
                  <pic:nvPicPr>
                    <pic:cNvPr id="1084" name="IM 1084"/>
                    <pic:cNvPicPr/>
                  </pic:nvPicPr>
                  <pic:blipFill>
                    <a:blip r:embed="rId69"/>
                    <a:stretch>
                      <a:fillRect/>
                    </a:stretch>
                  </pic:blipFill>
                  <pic:spPr>
                    <a:xfrm>
                      <a:off x="0" y="0"/>
                      <a:ext cx="36576" cy="9144"/>
                    </a:xfrm>
                    <a:prstGeom prst="rect">
                      <a:avLst/>
                    </a:prstGeom>
                  </pic:spPr>
                </pic:pic>
              </a:graphicData>
            </a:graphic>
          </wp:inline>
        </w:drawing>
      </w:r>
    </w:p>
    <w:p w14:paraId="58416AF0">
      <w:pPr>
        <w:spacing w:line="12" w:lineRule="exact"/>
        <w:ind w:left="3902"/>
        <w:rPr>
          <w:rFonts w:hint="eastAsia"/>
          <w:color w:val="auto"/>
          <w:highlight w:val="none"/>
        </w:rPr>
      </w:pPr>
      <w:r>
        <w:rPr>
          <w:color w:val="auto"/>
          <w:highlight w:val="none"/>
        </w:rPr>
        <w:drawing>
          <wp:inline distT="0" distB="0" distL="0" distR="0">
            <wp:extent cx="27305" cy="6985"/>
            <wp:effectExtent l="0" t="0" r="0" b="0"/>
            <wp:docPr id="1086" name="IM 1086"/>
            <wp:cNvGraphicFramePr/>
            <a:graphic xmlns:a="http://schemas.openxmlformats.org/drawingml/2006/main">
              <a:graphicData uri="http://schemas.openxmlformats.org/drawingml/2006/picture">
                <pic:pic xmlns:pic="http://schemas.openxmlformats.org/drawingml/2006/picture">
                  <pic:nvPicPr>
                    <pic:cNvPr id="1086" name="IM 1086"/>
                    <pic:cNvPicPr/>
                  </pic:nvPicPr>
                  <pic:blipFill>
                    <a:blip r:embed="rId70"/>
                    <a:stretch>
                      <a:fillRect/>
                    </a:stretch>
                  </pic:blipFill>
                  <pic:spPr>
                    <a:xfrm>
                      <a:off x="0" y="0"/>
                      <a:ext cx="27432" cy="7619"/>
                    </a:xfrm>
                    <a:prstGeom prst="rect">
                      <a:avLst/>
                    </a:prstGeom>
                  </pic:spPr>
                </pic:pic>
              </a:graphicData>
            </a:graphic>
          </wp:inline>
        </w:drawing>
      </w:r>
    </w:p>
    <w:p w14:paraId="60B04C0E">
      <w:pPr>
        <w:spacing w:line="326" w:lineRule="auto"/>
        <w:rPr>
          <w:rFonts w:hint="eastAsia" w:ascii="Arial"/>
          <w:color w:val="auto"/>
          <w:sz w:val="21"/>
          <w:highlight w:val="none"/>
        </w:rPr>
      </w:pPr>
    </w:p>
    <w:p w14:paraId="6662B13D">
      <w:pPr>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式中：x，y——计算点处的位置坐标；</w:t>
      </w:r>
    </w:p>
    <w:p w14:paraId="73367089">
      <w:pPr>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t——时间，100d 、1000d 、5</w:t>
      </w:r>
      <w:r>
        <w:rPr>
          <w:rFonts w:hint="eastAsia" w:ascii="Times New Roman" w:hAnsi="Times New Roman" w:cs="Times New Roman"/>
          <w:color w:val="auto"/>
          <w:w w:val="99"/>
          <w:kern w:val="2"/>
          <w:szCs w:val="20"/>
          <w:highlight w:val="none"/>
        </w:rPr>
        <w:t>475</w:t>
      </w:r>
      <w:r>
        <w:rPr>
          <w:rFonts w:ascii="Times New Roman" w:hAnsi="Times New Roman" w:cs="Times New Roman"/>
          <w:color w:val="auto"/>
          <w:w w:val="99"/>
          <w:kern w:val="2"/>
          <w:szCs w:val="20"/>
          <w:highlight w:val="none"/>
        </w:rPr>
        <w:t>d；</w:t>
      </w:r>
    </w:p>
    <w:p w14:paraId="0A882FE2">
      <w:pPr>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C（x，y ，t）——t 时刻 x ，y 处的示踪剂浓度，g/L；</w:t>
      </w:r>
    </w:p>
    <w:p w14:paraId="25A1AB2C">
      <w:pPr>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M——含水层的厚度；</w:t>
      </w:r>
    </w:p>
    <w:p w14:paraId="4630880F">
      <w:pPr>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mt——单位时间注入的示踪剂质量，kg/d；</w:t>
      </w:r>
    </w:p>
    <w:p w14:paraId="4EE06F74">
      <w:pPr>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u——水流速度；</w:t>
      </w:r>
    </w:p>
    <w:p w14:paraId="1320A456">
      <w:pPr>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ne——有效孔隙度；</w:t>
      </w:r>
    </w:p>
    <w:p w14:paraId="664D3FFF">
      <w:pPr>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DL——纵向弥散系数，m</w:t>
      </w:r>
      <w:r>
        <w:rPr>
          <w:rFonts w:ascii="Times New Roman" w:hAnsi="Times New Roman" w:cs="Times New Roman"/>
          <w:color w:val="auto"/>
          <w:w w:val="99"/>
          <w:kern w:val="2"/>
          <w:szCs w:val="20"/>
          <w:highlight w:val="none"/>
          <w:vertAlign w:val="superscript"/>
        </w:rPr>
        <w:t>2</w:t>
      </w:r>
      <w:r>
        <w:rPr>
          <w:rFonts w:ascii="Times New Roman" w:hAnsi="Times New Roman" w:cs="Times New Roman"/>
          <w:color w:val="auto"/>
          <w:w w:val="99"/>
          <w:kern w:val="2"/>
          <w:szCs w:val="20"/>
          <w:highlight w:val="none"/>
        </w:rPr>
        <w:t>/d；</w:t>
      </w:r>
    </w:p>
    <w:p w14:paraId="3C9D01CA">
      <w:pPr>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DT——纵向 y 方向的弥散系数，m</w:t>
      </w:r>
      <w:r>
        <w:rPr>
          <w:rFonts w:ascii="Times New Roman" w:hAnsi="Times New Roman" w:cs="Times New Roman"/>
          <w:color w:val="auto"/>
          <w:w w:val="99"/>
          <w:kern w:val="2"/>
          <w:szCs w:val="20"/>
          <w:highlight w:val="none"/>
          <w:vertAlign w:val="superscript"/>
        </w:rPr>
        <w:t>2</w:t>
      </w:r>
      <w:r>
        <w:rPr>
          <w:rFonts w:ascii="Times New Roman" w:hAnsi="Times New Roman" w:cs="Times New Roman"/>
          <w:color w:val="auto"/>
          <w:w w:val="99"/>
          <w:kern w:val="2"/>
          <w:szCs w:val="20"/>
          <w:highlight w:val="none"/>
        </w:rPr>
        <w:t>/d；</w:t>
      </w:r>
    </w:p>
    <w:p w14:paraId="6E5A684A">
      <w:pPr>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π——圆周率；</w:t>
      </w:r>
    </w:p>
    <w:p w14:paraId="1D5FCAC8">
      <w:pPr>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K0   (β) ——第二类零阶修正贝塞尔函数；</w:t>
      </w:r>
    </w:p>
    <w:p w14:paraId="7EF323B5">
      <w:pPr>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drawing>
          <wp:inline distT="0" distB="0" distL="0" distR="0">
            <wp:extent cx="803910" cy="272415"/>
            <wp:effectExtent l="0" t="0" r="15240" b="13335"/>
            <wp:docPr id="1090" name="IM 1090"/>
            <wp:cNvGraphicFramePr/>
            <a:graphic xmlns:a="http://schemas.openxmlformats.org/drawingml/2006/main">
              <a:graphicData uri="http://schemas.openxmlformats.org/drawingml/2006/picture">
                <pic:pic xmlns:pic="http://schemas.openxmlformats.org/drawingml/2006/picture">
                  <pic:nvPicPr>
                    <pic:cNvPr id="1090" name="IM 1090"/>
                    <pic:cNvPicPr/>
                  </pic:nvPicPr>
                  <pic:blipFill>
                    <a:blip r:embed="rId71"/>
                    <a:stretch>
                      <a:fillRect/>
                    </a:stretch>
                  </pic:blipFill>
                  <pic:spPr>
                    <a:xfrm>
                      <a:off x="0" y="0"/>
                      <a:ext cx="804519" cy="272796"/>
                    </a:xfrm>
                    <a:prstGeom prst="rect">
                      <a:avLst/>
                    </a:prstGeom>
                  </pic:spPr>
                </pic:pic>
              </a:graphicData>
            </a:graphic>
          </wp:inline>
        </w:drawing>
      </w:r>
      <w:r>
        <w:rPr>
          <w:rFonts w:ascii="Times New Roman" w:hAnsi="Times New Roman" w:cs="Times New Roman"/>
          <w:color w:val="auto"/>
          <w:w w:val="99"/>
          <w:kern w:val="2"/>
          <w:szCs w:val="20"/>
          <w:highlight w:val="none"/>
        </w:rPr>
        <w:t>第一类越流系统井函数。</w:t>
      </w:r>
    </w:p>
    <w:p w14:paraId="50ADDAC7">
      <w:pPr>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（6）预测参数</w:t>
      </w:r>
    </w:p>
    <w:p w14:paraId="38AEE03B">
      <w:pPr>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 xml:space="preserve">白垩系明水组承压水含水层的有效影响厚度 M：根据水文地质资料，明水组含水层层数较多，单层最小厚度为 </w:t>
      </w:r>
      <w:r>
        <w:rPr>
          <w:rFonts w:hint="eastAsia" w:ascii="Times New Roman" w:hAnsi="Times New Roman" w:cs="Times New Roman"/>
          <w:color w:val="auto"/>
          <w:w w:val="99"/>
          <w:kern w:val="2"/>
          <w:szCs w:val="20"/>
          <w:highlight w:val="none"/>
        </w:rPr>
        <w:t>3.0</w:t>
      </w:r>
      <w:r>
        <w:rPr>
          <w:rFonts w:ascii="Times New Roman" w:hAnsi="Times New Roman" w:cs="Times New Roman"/>
          <w:color w:val="auto"/>
          <w:w w:val="99"/>
          <w:kern w:val="2"/>
          <w:szCs w:val="20"/>
          <w:highlight w:val="none"/>
        </w:rPr>
        <w:t xml:space="preserve">m ，本次考虑最不利的情况，含水层厚度取 </w:t>
      </w:r>
      <w:r>
        <w:rPr>
          <w:rFonts w:hint="eastAsia" w:ascii="Times New Roman" w:hAnsi="Times New Roman" w:cs="Times New Roman"/>
          <w:color w:val="auto"/>
          <w:w w:val="99"/>
          <w:kern w:val="2"/>
          <w:szCs w:val="20"/>
          <w:highlight w:val="none"/>
        </w:rPr>
        <w:t>3.0</w:t>
      </w:r>
      <w:r>
        <w:rPr>
          <w:rFonts w:ascii="Times New Roman" w:hAnsi="Times New Roman" w:cs="Times New Roman"/>
          <w:color w:val="auto"/>
          <w:w w:val="99"/>
          <w:kern w:val="2"/>
          <w:szCs w:val="20"/>
          <w:highlight w:val="none"/>
        </w:rPr>
        <w:t>m。</w:t>
      </w:r>
    </w:p>
    <w:p w14:paraId="27DD0C67">
      <w:pPr>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水流速度 u：根据达西定律 u=渗透系数×地下水水力坡度/有效孔隙度，由区域水文地质资料可知，项目明水组岩性主要是含中粗砂岩或含砾砂岩组成，根据《大庆市水文地质勘察报告》（石油管理局），参照《环境影响评价技术导则 地下水》（HJ610-2016）附录 B  水文地质参数经验值表，承压水含水层取K=</w:t>
      </w:r>
      <w:r>
        <w:rPr>
          <w:rFonts w:hint="eastAsia" w:ascii="Times New Roman" w:hAnsi="Times New Roman" w:cs="Times New Roman"/>
          <w:color w:val="auto"/>
          <w:w w:val="99"/>
          <w:kern w:val="2"/>
          <w:szCs w:val="20"/>
          <w:highlight w:val="none"/>
        </w:rPr>
        <w:t>50.0</w:t>
      </w:r>
      <w:r>
        <w:rPr>
          <w:rFonts w:ascii="Times New Roman" w:hAnsi="Times New Roman" w:cs="Times New Roman"/>
          <w:color w:val="auto"/>
          <w:w w:val="99"/>
          <w:kern w:val="2"/>
          <w:szCs w:val="20"/>
          <w:highlight w:val="none"/>
        </w:rPr>
        <w:t>m/d ，根据区域等水位线与距离确定，承压水水力坡度 I=0.0007 ，明水组承压含水层岩性为中粗砂岩或含砾砂岩，有效孔隙度取经验值 ne（承压水）=</w:t>
      </w:r>
      <w:r>
        <w:rPr>
          <w:rFonts w:hint="eastAsia" w:ascii="Times New Roman" w:hAnsi="Times New Roman" w:cs="Times New Roman"/>
          <w:color w:val="auto"/>
          <w:w w:val="99"/>
          <w:kern w:val="2"/>
          <w:szCs w:val="20"/>
          <w:highlight w:val="none"/>
        </w:rPr>
        <w:t>0.30</w:t>
      </w:r>
      <w:r>
        <w:rPr>
          <w:rFonts w:ascii="Times New Roman" w:hAnsi="Times New Roman" w:cs="Times New Roman"/>
          <w:color w:val="auto"/>
          <w:w w:val="99"/>
          <w:kern w:val="2"/>
          <w:szCs w:val="20"/>
          <w:highlight w:val="none"/>
        </w:rPr>
        <w:t xml:space="preserve"> ，则水流速度为0.</w:t>
      </w:r>
      <w:r>
        <w:rPr>
          <w:rFonts w:hint="eastAsia" w:ascii="Times New Roman" w:hAnsi="Times New Roman" w:cs="Times New Roman"/>
          <w:color w:val="auto"/>
          <w:w w:val="99"/>
          <w:kern w:val="2"/>
          <w:szCs w:val="20"/>
          <w:highlight w:val="none"/>
        </w:rPr>
        <w:t>12</w:t>
      </w:r>
      <w:r>
        <w:rPr>
          <w:rFonts w:ascii="Times New Roman" w:hAnsi="Times New Roman" w:cs="Times New Roman"/>
          <w:color w:val="auto"/>
          <w:w w:val="99"/>
          <w:kern w:val="2"/>
          <w:szCs w:val="20"/>
          <w:highlight w:val="none"/>
        </w:rPr>
        <w:t>m/d。</w:t>
      </w:r>
    </w:p>
    <w:p w14:paraId="6631A481">
      <w:pPr>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纵向弥散系数 DL：含水层岩性主要为中粗砂岩或含砾砂岩，主要粒径变化范围 0.5~1.0mm ，结合 国内外经验系数，中粗砂岩纵向弥散系数取值0.2~1m</w:t>
      </w:r>
      <w:r>
        <w:rPr>
          <w:rFonts w:ascii="Times New Roman" w:hAnsi="Times New Roman" w:cs="Times New Roman"/>
          <w:color w:val="auto"/>
          <w:w w:val="99"/>
          <w:kern w:val="2"/>
          <w:szCs w:val="20"/>
          <w:highlight w:val="none"/>
          <w:vertAlign w:val="superscript"/>
        </w:rPr>
        <w:t>2</w:t>
      </w:r>
      <w:r>
        <w:rPr>
          <w:rFonts w:ascii="Times New Roman" w:hAnsi="Times New Roman" w:cs="Times New Roman"/>
          <w:color w:val="auto"/>
          <w:w w:val="99"/>
          <w:kern w:val="2"/>
          <w:szCs w:val="20"/>
          <w:highlight w:val="none"/>
        </w:rPr>
        <w:t>/d ，根据预测规律 D</w:t>
      </w:r>
      <w:r>
        <w:rPr>
          <w:rFonts w:ascii="Times New Roman" w:hAnsi="Times New Roman" w:cs="Times New Roman"/>
          <w:color w:val="auto"/>
          <w:w w:val="99"/>
          <w:kern w:val="2"/>
          <w:szCs w:val="20"/>
          <w:highlight w:val="none"/>
          <w:vertAlign w:val="subscript"/>
        </w:rPr>
        <w:t>L</w:t>
      </w:r>
      <w:r>
        <w:rPr>
          <w:rFonts w:ascii="Times New Roman" w:hAnsi="Times New Roman" w:cs="Times New Roman"/>
          <w:color w:val="auto"/>
          <w:w w:val="99"/>
          <w:kern w:val="2"/>
          <w:szCs w:val="20"/>
          <w:highlight w:val="none"/>
        </w:rPr>
        <w:t xml:space="preserve"> 取值越大，相同预测时间节点，污染物运移距离越远，本次预测纵向弥散系数 D</w:t>
      </w:r>
      <w:r>
        <w:rPr>
          <w:rFonts w:ascii="Times New Roman" w:hAnsi="Times New Roman" w:cs="Times New Roman"/>
          <w:color w:val="auto"/>
          <w:w w:val="99"/>
          <w:kern w:val="2"/>
          <w:szCs w:val="20"/>
          <w:highlight w:val="none"/>
          <w:vertAlign w:val="subscript"/>
        </w:rPr>
        <w:t>L</w:t>
      </w:r>
      <w:r>
        <w:rPr>
          <w:rFonts w:ascii="Times New Roman" w:hAnsi="Times New Roman" w:cs="Times New Roman"/>
          <w:color w:val="auto"/>
          <w:w w:val="99"/>
          <w:kern w:val="2"/>
          <w:szCs w:val="20"/>
          <w:highlight w:val="none"/>
        </w:rPr>
        <w:t>取最大值 1m</w:t>
      </w:r>
      <w:r>
        <w:rPr>
          <w:rFonts w:ascii="Times New Roman" w:hAnsi="Times New Roman" w:cs="Times New Roman"/>
          <w:color w:val="auto"/>
          <w:w w:val="99"/>
          <w:kern w:val="2"/>
          <w:szCs w:val="20"/>
          <w:highlight w:val="none"/>
          <w:vertAlign w:val="superscript"/>
        </w:rPr>
        <w:t>2</w:t>
      </w:r>
      <w:r>
        <w:rPr>
          <w:rFonts w:ascii="Times New Roman" w:hAnsi="Times New Roman" w:cs="Times New Roman"/>
          <w:color w:val="auto"/>
          <w:w w:val="99"/>
          <w:kern w:val="2"/>
          <w:szCs w:val="20"/>
          <w:highlight w:val="none"/>
        </w:rPr>
        <w:t>/d ，横向弥散系数D</w:t>
      </w:r>
      <w:r>
        <w:rPr>
          <w:rFonts w:ascii="Times New Roman" w:hAnsi="Times New Roman" w:cs="Times New Roman"/>
          <w:color w:val="auto"/>
          <w:w w:val="99"/>
          <w:kern w:val="2"/>
          <w:szCs w:val="20"/>
          <w:highlight w:val="none"/>
          <w:vertAlign w:val="subscript"/>
        </w:rPr>
        <w:t>T</w:t>
      </w:r>
      <w:r>
        <w:rPr>
          <w:rFonts w:ascii="Times New Roman" w:hAnsi="Times New Roman" w:cs="Times New Roman"/>
          <w:color w:val="auto"/>
          <w:w w:val="99"/>
          <w:kern w:val="2"/>
          <w:szCs w:val="20"/>
          <w:highlight w:val="none"/>
        </w:rPr>
        <w:t xml:space="preserve"> = 0.1DL=0.1m</w:t>
      </w:r>
      <w:r>
        <w:rPr>
          <w:rFonts w:ascii="Times New Roman" w:hAnsi="Times New Roman" w:cs="Times New Roman"/>
          <w:color w:val="auto"/>
          <w:w w:val="99"/>
          <w:kern w:val="2"/>
          <w:szCs w:val="20"/>
          <w:highlight w:val="none"/>
          <w:vertAlign w:val="superscript"/>
        </w:rPr>
        <w:t>2</w:t>
      </w:r>
      <w:r>
        <w:rPr>
          <w:rFonts w:ascii="Times New Roman" w:hAnsi="Times New Roman" w:cs="Times New Roman"/>
          <w:color w:val="auto"/>
          <w:w w:val="99"/>
          <w:kern w:val="2"/>
          <w:szCs w:val="20"/>
          <w:highlight w:val="none"/>
        </w:rPr>
        <w:t>/d。</w:t>
      </w:r>
    </w:p>
    <w:p w14:paraId="1980E7F2">
      <w:pPr>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石油类执行标准为《地表水环境质量标准》（GB3838-2002）II 类标准：石油类≤0.05mg/L。</w:t>
      </w:r>
    </w:p>
    <w:p w14:paraId="014EE4CB">
      <w:pPr>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假设化学反应常数为 0 。各项参数的选取结果见表 5.3-</w:t>
      </w:r>
      <w:r>
        <w:rPr>
          <w:rFonts w:hint="eastAsia" w:ascii="Times New Roman" w:hAnsi="Times New Roman" w:cs="Times New Roman"/>
          <w:color w:val="auto"/>
          <w:w w:val="99"/>
          <w:kern w:val="2"/>
          <w:szCs w:val="20"/>
          <w:highlight w:val="none"/>
        </w:rPr>
        <w:t>4</w:t>
      </w:r>
      <w:r>
        <w:rPr>
          <w:rFonts w:ascii="Times New Roman" w:hAnsi="Times New Roman" w:cs="Times New Roman"/>
          <w:color w:val="auto"/>
          <w:w w:val="99"/>
          <w:kern w:val="2"/>
          <w:szCs w:val="20"/>
          <w:highlight w:val="none"/>
        </w:rPr>
        <w:t>。</w:t>
      </w:r>
    </w:p>
    <w:p w14:paraId="4AABE3DC">
      <w:pPr>
        <w:spacing w:line="440" w:lineRule="exact"/>
        <w:ind w:firstLine="476" w:firstLineChars="200"/>
        <w:jc w:val="both"/>
        <w:rPr>
          <w:rFonts w:ascii="Times New Roman" w:hAnsi="Times New Roman" w:cs="Times New Roman"/>
          <w:b/>
          <w:bCs/>
          <w:color w:val="auto"/>
          <w:w w:val="99"/>
          <w:kern w:val="2"/>
          <w:szCs w:val="20"/>
          <w:highlight w:val="none"/>
        </w:rPr>
      </w:pPr>
      <w:r>
        <w:rPr>
          <w:rFonts w:ascii="Times New Roman" w:hAnsi="Times New Roman" w:cs="Times New Roman"/>
          <w:b/>
          <w:bCs/>
          <w:color w:val="auto"/>
          <w:w w:val="99"/>
          <w:kern w:val="2"/>
          <w:szCs w:val="20"/>
          <w:highlight w:val="none"/>
        </w:rPr>
        <w:t>表 5.3-</w:t>
      </w:r>
      <w:r>
        <w:rPr>
          <w:rFonts w:hint="eastAsia" w:ascii="Times New Roman" w:hAnsi="Times New Roman" w:cs="Times New Roman"/>
          <w:b/>
          <w:bCs/>
          <w:color w:val="auto"/>
          <w:w w:val="99"/>
          <w:kern w:val="2"/>
          <w:szCs w:val="20"/>
          <w:highlight w:val="none"/>
        </w:rPr>
        <w:t>4</w:t>
      </w:r>
      <w:r>
        <w:rPr>
          <w:rFonts w:ascii="Times New Roman" w:hAnsi="Times New Roman" w:cs="Times New Roman"/>
          <w:b/>
          <w:bCs/>
          <w:color w:val="auto"/>
          <w:w w:val="99"/>
          <w:kern w:val="2"/>
          <w:szCs w:val="20"/>
          <w:highlight w:val="none"/>
        </w:rPr>
        <w:t xml:space="preserve">    计算参数选取结果一览表</w:t>
      </w:r>
    </w:p>
    <w:tbl>
      <w:tblPr>
        <w:tblStyle w:val="1662"/>
        <w:tblW w:w="4997" w:type="pct"/>
        <w:tblInd w:w="0" w:type="dxa"/>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autofit"/>
        <w:tblCellMar>
          <w:top w:w="0" w:type="dxa"/>
          <w:left w:w="0" w:type="dxa"/>
          <w:bottom w:w="0" w:type="dxa"/>
          <w:right w:w="0" w:type="dxa"/>
        </w:tblCellMar>
      </w:tblPr>
      <w:tblGrid>
        <w:gridCol w:w="1421"/>
        <w:gridCol w:w="1564"/>
        <w:gridCol w:w="870"/>
        <w:gridCol w:w="1014"/>
        <w:gridCol w:w="1007"/>
        <w:gridCol w:w="1181"/>
        <w:gridCol w:w="1010"/>
        <w:gridCol w:w="1009"/>
      </w:tblGrid>
      <w:tr w14:paraId="710C8B5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782" w:type="pct"/>
            <w:vAlign w:val="center"/>
          </w:tcPr>
          <w:p w14:paraId="3F515DE4">
            <w:pPr>
              <w:widowControl/>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含水层</w:t>
            </w:r>
          </w:p>
        </w:tc>
        <w:tc>
          <w:tcPr>
            <w:tcW w:w="861" w:type="pct"/>
            <w:vAlign w:val="center"/>
          </w:tcPr>
          <w:p w14:paraId="2F8BD982">
            <w:pPr>
              <w:widowControl/>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含水层岩性</w:t>
            </w:r>
          </w:p>
        </w:tc>
        <w:tc>
          <w:tcPr>
            <w:tcW w:w="479" w:type="pct"/>
            <w:vAlign w:val="center"/>
          </w:tcPr>
          <w:p w14:paraId="2324165D">
            <w:pPr>
              <w:widowControl/>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M</w:t>
            </w:r>
          </w:p>
        </w:tc>
        <w:tc>
          <w:tcPr>
            <w:tcW w:w="558" w:type="pct"/>
            <w:vAlign w:val="center"/>
          </w:tcPr>
          <w:p w14:paraId="3A7AA1DC">
            <w:pPr>
              <w:widowControl/>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K</w:t>
            </w:r>
          </w:p>
        </w:tc>
        <w:tc>
          <w:tcPr>
            <w:tcW w:w="554" w:type="pct"/>
            <w:vAlign w:val="center"/>
          </w:tcPr>
          <w:p w14:paraId="0DA057FB">
            <w:pPr>
              <w:widowControl/>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u</w:t>
            </w:r>
          </w:p>
        </w:tc>
        <w:tc>
          <w:tcPr>
            <w:tcW w:w="650" w:type="pct"/>
            <w:vAlign w:val="center"/>
          </w:tcPr>
          <w:p w14:paraId="5B5BF09A">
            <w:pPr>
              <w:widowControl/>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ne</w:t>
            </w:r>
          </w:p>
        </w:tc>
        <w:tc>
          <w:tcPr>
            <w:tcW w:w="556" w:type="pct"/>
            <w:vAlign w:val="center"/>
          </w:tcPr>
          <w:p w14:paraId="712A3B87">
            <w:pPr>
              <w:widowControl/>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D</w:t>
            </w:r>
            <w:r>
              <w:rPr>
                <w:rFonts w:ascii="Times New Roman" w:hAnsi="Times New Roman" w:cs="Times New Roman"/>
                <w:color w:val="auto"/>
                <w:w w:val="99"/>
                <w:kern w:val="2"/>
                <w:sz w:val="21"/>
                <w:szCs w:val="21"/>
                <w:highlight w:val="none"/>
                <w:vertAlign w:val="subscript"/>
                <w:lang w:eastAsia="en-US"/>
              </w:rPr>
              <w:t>L</w:t>
            </w:r>
          </w:p>
        </w:tc>
        <w:tc>
          <w:tcPr>
            <w:tcW w:w="555" w:type="pct"/>
            <w:vAlign w:val="center"/>
          </w:tcPr>
          <w:p w14:paraId="7C3AA658">
            <w:pPr>
              <w:widowControl/>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D</w:t>
            </w:r>
            <w:r>
              <w:rPr>
                <w:rFonts w:ascii="Times New Roman" w:hAnsi="Times New Roman" w:cs="Times New Roman"/>
                <w:color w:val="auto"/>
                <w:w w:val="99"/>
                <w:kern w:val="2"/>
                <w:sz w:val="21"/>
                <w:szCs w:val="21"/>
                <w:highlight w:val="none"/>
                <w:vertAlign w:val="subscript"/>
                <w:lang w:eastAsia="en-US"/>
              </w:rPr>
              <w:t>T</w:t>
            </w:r>
          </w:p>
        </w:tc>
      </w:tr>
      <w:tr w14:paraId="1DD5A09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82" w:type="pct"/>
            <w:vAlign w:val="center"/>
          </w:tcPr>
          <w:p w14:paraId="094B18F9">
            <w:pPr>
              <w:widowControl/>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承压水含水层</w:t>
            </w:r>
          </w:p>
        </w:tc>
        <w:tc>
          <w:tcPr>
            <w:tcW w:w="861" w:type="pct"/>
            <w:vAlign w:val="center"/>
          </w:tcPr>
          <w:p w14:paraId="2109C620">
            <w:pPr>
              <w:widowControl/>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中粗砂岩或含砾砂岩</w:t>
            </w:r>
          </w:p>
        </w:tc>
        <w:tc>
          <w:tcPr>
            <w:tcW w:w="479" w:type="pct"/>
            <w:vAlign w:val="center"/>
          </w:tcPr>
          <w:p w14:paraId="0F027FE9">
            <w:pPr>
              <w:widowControl/>
              <w:spacing w:line="360" w:lineRule="exact"/>
              <w:jc w:val="center"/>
              <w:rPr>
                <w:rFonts w:ascii="Times New Roman" w:hAnsi="Times New Roman" w:cs="Times New Roman"/>
                <w:color w:val="auto"/>
                <w:w w:val="99"/>
                <w:kern w:val="2"/>
                <w:sz w:val="21"/>
                <w:szCs w:val="21"/>
                <w:highlight w:val="none"/>
                <w:lang w:eastAsia="en-US"/>
              </w:rPr>
            </w:pPr>
            <w:r>
              <w:rPr>
                <w:rFonts w:hint="eastAsia" w:ascii="Times New Roman" w:hAnsi="Times New Roman" w:cs="Times New Roman"/>
                <w:color w:val="auto"/>
                <w:w w:val="99"/>
                <w:kern w:val="2"/>
                <w:sz w:val="21"/>
                <w:szCs w:val="21"/>
                <w:highlight w:val="none"/>
                <w:lang w:eastAsia="en-US"/>
              </w:rPr>
              <w:t>3.0</w:t>
            </w:r>
          </w:p>
        </w:tc>
        <w:tc>
          <w:tcPr>
            <w:tcW w:w="558" w:type="pct"/>
            <w:vAlign w:val="center"/>
          </w:tcPr>
          <w:p w14:paraId="6DF1CFA7">
            <w:pPr>
              <w:widowControl/>
              <w:spacing w:line="360" w:lineRule="exact"/>
              <w:jc w:val="center"/>
              <w:rPr>
                <w:rFonts w:ascii="Times New Roman" w:hAnsi="Times New Roman" w:cs="Times New Roman"/>
                <w:color w:val="auto"/>
                <w:w w:val="99"/>
                <w:kern w:val="2"/>
                <w:sz w:val="21"/>
                <w:szCs w:val="21"/>
                <w:highlight w:val="none"/>
                <w:lang w:eastAsia="en-US"/>
              </w:rPr>
            </w:pPr>
            <w:r>
              <w:rPr>
                <w:rFonts w:hint="eastAsia" w:ascii="Times New Roman" w:hAnsi="Times New Roman" w:cs="Times New Roman"/>
                <w:color w:val="auto"/>
                <w:w w:val="99"/>
                <w:kern w:val="2"/>
                <w:sz w:val="21"/>
                <w:szCs w:val="21"/>
                <w:highlight w:val="none"/>
                <w:lang w:eastAsia="en-US"/>
              </w:rPr>
              <w:t>50</w:t>
            </w:r>
          </w:p>
        </w:tc>
        <w:tc>
          <w:tcPr>
            <w:tcW w:w="554" w:type="pct"/>
            <w:vAlign w:val="center"/>
          </w:tcPr>
          <w:p w14:paraId="70B83AD7">
            <w:pPr>
              <w:widowControl/>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0.</w:t>
            </w:r>
            <w:r>
              <w:rPr>
                <w:rFonts w:hint="eastAsia" w:ascii="Times New Roman" w:hAnsi="Times New Roman" w:cs="Times New Roman"/>
                <w:color w:val="auto"/>
                <w:w w:val="99"/>
                <w:kern w:val="2"/>
                <w:sz w:val="21"/>
                <w:szCs w:val="21"/>
                <w:highlight w:val="none"/>
                <w:lang w:eastAsia="en-US"/>
              </w:rPr>
              <w:t>12</w:t>
            </w:r>
          </w:p>
        </w:tc>
        <w:tc>
          <w:tcPr>
            <w:tcW w:w="650" w:type="pct"/>
            <w:vAlign w:val="center"/>
          </w:tcPr>
          <w:p w14:paraId="66B65000">
            <w:pPr>
              <w:widowControl/>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0.3</w:t>
            </w:r>
            <w:r>
              <w:rPr>
                <w:rFonts w:hint="eastAsia" w:ascii="Times New Roman" w:hAnsi="Times New Roman" w:cs="Times New Roman"/>
                <w:color w:val="auto"/>
                <w:w w:val="99"/>
                <w:kern w:val="2"/>
                <w:sz w:val="21"/>
                <w:szCs w:val="21"/>
                <w:highlight w:val="none"/>
                <w:lang w:eastAsia="en-US"/>
              </w:rPr>
              <w:t>0</w:t>
            </w:r>
          </w:p>
        </w:tc>
        <w:tc>
          <w:tcPr>
            <w:tcW w:w="556" w:type="pct"/>
            <w:vAlign w:val="center"/>
          </w:tcPr>
          <w:p w14:paraId="7B28009D">
            <w:pPr>
              <w:widowControl/>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1</w:t>
            </w:r>
          </w:p>
        </w:tc>
        <w:tc>
          <w:tcPr>
            <w:tcW w:w="555" w:type="pct"/>
            <w:vAlign w:val="center"/>
          </w:tcPr>
          <w:p w14:paraId="48AC8776">
            <w:pPr>
              <w:widowControl/>
              <w:spacing w:line="360" w:lineRule="exact"/>
              <w:jc w:val="center"/>
              <w:rPr>
                <w:rFonts w:ascii="Times New Roman" w:hAnsi="Times New Roman" w:cs="Times New Roman"/>
                <w:color w:val="auto"/>
                <w:w w:val="99"/>
                <w:kern w:val="2"/>
                <w:sz w:val="21"/>
                <w:szCs w:val="21"/>
                <w:highlight w:val="none"/>
                <w:lang w:eastAsia="en-US"/>
              </w:rPr>
            </w:pPr>
            <w:r>
              <w:rPr>
                <w:rFonts w:ascii="Times New Roman" w:hAnsi="Times New Roman" w:cs="Times New Roman"/>
                <w:color w:val="auto"/>
                <w:w w:val="99"/>
                <w:kern w:val="2"/>
                <w:sz w:val="21"/>
                <w:szCs w:val="21"/>
                <w:highlight w:val="none"/>
                <w:lang w:eastAsia="en-US"/>
              </w:rPr>
              <w:t>0.1</w:t>
            </w:r>
          </w:p>
        </w:tc>
      </w:tr>
    </w:tbl>
    <w:p w14:paraId="277EC22F">
      <w:pPr>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（7）预测结果</w:t>
      </w:r>
    </w:p>
    <w:p w14:paraId="44EC4C2E">
      <w:pPr>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第 100天、1000天、</w:t>
      </w:r>
      <w:r>
        <w:rPr>
          <w:rFonts w:hint="eastAsia" w:ascii="Times New Roman" w:hAnsi="Times New Roman" w:cs="Times New Roman"/>
          <w:color w:val="auto"/>
          <w:w w:val="99"/>
          <w:kern w:val="2"/>
          <w:szCs w:val="20"/>
          <w:highlight w:val="none"/>
        </w:rPr>
        <w:t>5475</w:t>
      </w:r>
      <w:r>
        <w:rPr>
          <w:rFonts w:ascii="Times New Roman" w:hAnsi="Times New Roman" w:cs="Times New Roman"/>
          <w:color w:val="auto"/>
          <w:w w:val="99"/>
          <w:kern w:val="2"/>
          <w:szCs w:val="20"/>
          <w:highlight w:val="none"/>
        </w:rPr>
        <w:t>天预测结果</w:t>
      </w:r>
    </w:p>
    <w:p w14:paraId="38336903">
      <w:pPr>
        <w:spacing w:line="440" w:lineRule="exact"/>
        <w:ind w:firstLine="474" w:firstLineChars="200"/>
        <w:jc w:val="both"/>
        <w:rPr>
          <w:rFonts w:hint="eastAsia"/>
          <w:color w:val="auto"/>
          <w:highlight w:val="none"/>
        </w:rPr>
      </w:pPr>
      <w:r>
        <w:rPr>
          <w:rFonts w:ascii="Times New Roman" w:hAnsi="Times New Roman" w:cs="Times New Roman"/>
          <w:color w:val="auto"/>
          <w:w w:val="99"/>
          <w:kern w:val="2"/>
          <w:szCs w:val="20"/>
          <w:highlight w:val="none"/>
        </w:rPr>
        <w:t>气井套管连接不及时导致气井采出水泄漏，第 100 天、1000 天、</w:t>
      </w:r>
      <w:r>
        <w:rPr>
          <w:rFonts w:hint="eastAsia" w:ascii="Times New Roman" w:hAnsi="Times New Roman" w:cs="Times New Roman"/>
          <w:color w:val="auto"/>
          <w:w w:val="99"/>
          <w:kern w:val="2"/>
          <w:szCs w:val="20"/>
          <w:highlight w:val="none"/>
        </w:rPr>
        <w:t>5475</w:t>
      </w:r>
      <w:r>
        <w:rPr>
          <w:rFonts w:ascii="Times New Roman" w:hAnsi="Times New Roman" w:cs="Times New Roman"/>
          <w:color w:val="auto"/>
          <w:w w:val="99"/>
          <w:kern w:val="2"/>
          <w:szCs w:val="20"/>
          <w:highlight w:val="none"/>
        </w:rPr>
        <w:t>天石油类对地下水的影响预测结果见表 5.3-</w:t>
      </w:r>
      <w:r>
        <w:rPr>
          <w:rFonts w:hint="eastAsia" w:ascii="Times New Roman" w:hAnsi="Times New Roman" w:cs="Times New Roman"/>
          <w:color w:val="auto"/>
          <w:w w:val="99"/>
          <w:kern w:val="2"/>
          <w:szCs w:val="20"/>
          <w:highlight w:val="none"/>
        </w:rPr>
        <w:t>5</w:t>
      </w:r>
      <w:r>
        <w:rPr>
          <w:rFonts w:ascii="Times New Roman" w:hAnsi="Times New Roman" w:cs="Times New Roman"/>
          <w:color w:val="auto"/>
          <w:w w:val="99"/>
          <w:kern w:val="2"/>
          <w:szCs w:val="20"/>
          <w:highlight w:val="none"/>
        </w:rPr>
        <w:t xml:space="preserve"> 及图 5.3-</w:t>
      </w:r>
      <w:r>
        <w:rPr>
          <w:rFonts w:hint="eastAsia" w:ascii="Times New Roman" w:hAnsi="Times New Roman" w:cs="Times New Roman"/>
          <w:color w:val="auto"/>
          <w:w w:val="99"/>
          <w:kern w:val="2"/>
          <w:szCs w:val="20"/>
          <w:highlight w:val="none"/>
        </w:rPr>
        <w:t>3</w:t>
      </w:r>
      <w:r>
        <w:rPr>
          <w:rFonts w:ascii="Times New Roman" w:hAnsi="Times New Roman" w:cs="Times New Roman"/>
          <w:color w:val="auto"/>
          <w:w w:val="99"/>
          <w:kern w:val="2"/>
          <w:szCs w:val="20"/>
          <w:highlight w:val="none"/>
        </w:rPr>
        <w:t>~图 5.3-</w:t>
      </w:r>
      <w:r>
        <w:rPr>
          <w:rFonts w:hint="eastAsia" w:ascii="Times New Roman" w:hAnsi="Times New Roman" w:cs="Times New Roman"/>
          <w:color w:val="auto"/>
          <w:w w:val="99"/>
          <w:kern w:val="2"/>
          <w:szCs w:val="20"/>
          <w:highlight w:val="none"/>
        </w:rPr>
        <w:t>5</w:t>
      </w:r>
      <w:r>
        <w:rPr>
          <w:rFonts w:ascii="Times New Roman" w:hAnsi="Times New Roman" w:cs="Times New Roman"/>
          <w:color w:val="auto"/>
          <w:w w:val="99"/>
          <w:kern w:val="2"/>
          <w:szCs w:val="20"/>
          <w:highlight w:val="none"/>
        </w:rPr>
        <w:t>。</w:t>
      </w:r>
    </w:p>
    <w:p w14:paraId="27506BF0">
      <w:pPr>
        <w:spacing w:line="440" w:lineRule="exact"/>
        <w:ind w:firstLine="476" w:firstLineChars="200"/>
        <w:jc w:val="both"/>
        <w:rPr>
          <w:rFonts w:ascii="Times New Roman" w:hAnsi="Times New Roman" w:cs="Times New Roman"/>
          <w:b/>
          <w:bCs/>
          <w:color w:val="auto"/>
          <w:w w:val="99"/>
          <w:kern w:val="2"/>
          <w:szCs w:val="20"/>
          <w:highlight w:val="none"/>
        </w:rPr>
      </w:pPr>
      <w:r>
        <w:rPr>
          <w:rFonts w:ascii="Times New Roman" w:hAnsi="Times New Roman" w:cs="Times New Roman"/>
          <w:b/>
          <w:bCs/>
          <w:color w:val="auto"/>
          <w:w w:val="99"/>
          <w:kern w:val="2"/>
          <w:szCs w:val="20"/>
          <w:highlight w:val="none"/>
        </w:rPr>
        <w:t>表 5</w:t>
      </w:r>
      <w:r>
        <w:rPr>
          <w:rFonts w:hint="eastAsia" w:ascii="Times New Roman" w:hAnsi="Times New Roman" w:cs="Times New Roman"/>
          <w:b/>
          <w:bCs/>
          <w:color w:val="auto"/>
          <w:w w:val="99"/>
          <w:kern w:val="2"/>
          <w:szCs w:val="20"/>
          <w:highlight w:val="none"/>
        </w:rPr>
        <w:t>.</w:t>
      </w:r>
      <w:r>
        <w:rPr>
          <w:rFonts w:ascii="Times New Roman" w:hAnsi="Times New Roman" w:cs="Times New Roman"/>
          <w:b/>
          <w:bCs/>
          <w:color w:val="auto"/>
          <w:w w:val="99"/>
          <w:kern w:val="2"/>
          <w:szCs w:val="20"/>
          <w:highlight w:val="none"/>
        </w:rPr>
        <w:t>3-</w:t>
      </w:r>
      <w:r>
        <w:rPr>
          <w:rFonts w:hint="eastAsia" w:ascii="Times New Roman" w:hAnsi="Times New Roman" w:cs="Times New Roman"/>
          <w:b/>
          <w:bCs/>
          <w:color w:val="auto"/>
          <w:w w:val="99"/>
          <w:kern w:val="2"/>
          <w:szCs w:val="20"/>
          <w:highlight w:val="none"/>
        </w:rPr>
        <w:t>5</w:t>
      </w:r>
      <w:r>
        <w:rPr>
          <w:rFonts w:ascii="Times New Roman" w:hAnsi="Times New Roman" w:cs="Times New Roman"/>
          <w:b/>
          <w:bCs/>
          <w:color w:val="auto"/>
          <w:w w:val="99"/>
          <w:kern w:val="2"/>
          <w:szCs w:val="20"/>
          <w:highlight w:val="none"/>
        </w:rPr>
        <w:t xml:space="preserve">    气井套损采出水泄漏后对地下水的影响预测结果表  单位：mg/L</w:t>
      </w:r>
    </w:p>
    <w:tbl>
      <w:tblPr>
        <w:tblStyle w:val="81"/>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8"/>
        <w:gridCol w:w="1117"/>
        <w:gridCol w:w="1815"/>
        <w:gridCol w:w="1702"/>
        <w:gridCol w:w="2386"/>
        <w:gridCol w:w="1349"/>
      </w:tblGrid>
      <w:tr w14:paraId="5BC5BB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4" w:type="pct"/>
            <w:vAlign w:val="center"/>
          </w:tcPr>
          <w:p w14:paraId="5349937A">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污染物</w:t>
            </w:r>
          </w:p>
        </w:tc>
        <w:tc>
          <w:tcPr>
            <w:tcW w:w="601" w:type="pct"/>
            <w:vAlign w:val="center"/>
          </w:tcPr>
          <w:p w14:paraId="48AB9F7D">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预测时间</w:t>
            </w:r>
          </w:p>
        </w:tc>
        <w:tc>
          <w:tcPr>
            <w:tcW w:w="977" w:type="pct"/>
            <w:vAlign w:val="center"/>
          </w:tcPr>
          <w:p w14:paraId="7B125506">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超标最远距离</w:t>
            </w:r>
          </w:p>
        </w:tc>
        <w:tc>
          <w:tcPr>
            <w:tcW w:w="916" w:type="pct"/>
            <w:vAlign w:val="center"/>
          </w:tcPr>
          <w:p w14:paraId="0954C67D">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超标面积</w:t>
            </w:r>
          </w:p>
        </w:tc>
        <w:tc>
          <w:tcPr>
            <w:tcW w:w="1284" w:type="pct"/>
            <w:vAlign w:val="center"/>
          </w:tcPr>
          <w:p w14:paraId="144F4DE7">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最远影响距离</w:t>
            </w:r>
          </w:p>
          <w:p w14:paraId="416C5C01">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（最大迁移距离）</w:t>
            </w:r>
          </w:p>
        </w:tc>
        <w:tc>
          <w:tcPr>
            <w:tcW w:w="726" w:type="pct"/>
            <w:vAlign w:val="center"/>
          </w:tcPr>
          <w:p w14:paraId="751257F8">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影响面积</w:t>
            </w:r>
          </w:p>
        </w:tc>
      </w:tr>
      <w:tr w14:paraId="52065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4" w:type="pct"/>
            <w:vMerge w:val="restart"/>
            <w:vAlign w:val="center"/>
          </w:tcPr>
          <w:p w14:paraId="4BB63739">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石油类</w:t>
            </w:r>
          </w:p>
        </w:tc>
        <w:tc>
          <w:tcPr>
            <w:tcW w:w="601" w:type="pct"/>
            <w:vAlign w:val="center"/>
          </w:tcPr>
          <w:p w14:paraId="287161DF">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100天</w:t>
            </w:r>
          </w:p>
        </w:tc>
        <w:tc>
          <w:tcPr>
            <w:tcW w:w="977" w:type="pct"/>
            <w:vAlign w:val="center"/>
          </w:tcPr>
          <w:p w14:paraId="20C46B86">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62</w:t>
            </w:r>
            <w:r>
              <w:rPr>
                <w:rFonts w:ascii="Times New Roman" w:hAnsi="Times New Roman" w:cs="Times New Roman" w:eastAsiaTheme="minorEastAsia"/>
                <w:color w:val="auto"/>
                <w:w w:val="99"/>
                <w:kern w:val="2"/>
                <w:sz w:val="21"/>
                <w:szCs w:val="21"/>
                <w:highlight w:val="none"/>
              </w:rPr>
              <w:t>m</w:t>
            </w:r>
          </w:p>
        </w:tc>
        <w:tc>
          <w:tcPr>
            <w:tcW w:w="916" w:type="pct"/>
            <w:vAlign w:val="center"/>
          </w:tcPr>
          <w:p w14:paraId="2A5DC068">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2598</w:t>
            </w:r>
            <w:r>
              <w:rPr>
                <w:rFonts w:ascii="Times New Roman" w:hAnsi="Times New Roman" w:cs="Times New Roman" w:eastAsiaTheme="minorEastAsia"/>
                <w:color w:val="auto"/>
                <w:w w:val="99"/>
                <w:kern w:val="2"/>
                <w:sz w:val="21"/>
                <w:szCs w:val="21"/>
                <w:highlight w:val="none"/>
              </w:rPr>
              <w:t>m</w:t>
            </w:r>
            <w:r>
              <w:rPr>
                <w:rFonts w:ascii="Times New Roman" w:hAnsi="Times New Roman" w:cs="Times New Roman" w:eastAsiaTheme="minorEastAsia"/>
                <w:color w:val="auto"/>
                <w:w w:val="99"/>
                <w:kern w:val="2"/>
                <w:sz w:val="21"/>
                <w:szCs w:val="21"/>
                <w:highlight w:val="none"/>
                <w:vertAlign w:val="superscript"/>
              </w:rPr>
              <w:t>2</w:t>
            </w:r>
          </w:p>
        </w:tc>
        <w:tc>
          <w:tcPr>
            <w:tcW w:w="1284" w:type="pct"/>
            <w:vAlign w:val="center"/>
          </w:tcPr>
          <w:p w14:paraId="69AB2F9E">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68</w:t>
            </w:r>
            <w:r>
              <w:rPr>
                <w:rFonts w:ascii="Times New Roman" w:hAnsi="Times New Roman" w:cs="Times New Roman" w:eastAsiaTheme="minorEastAsia"/>
                <w:color w:val="auto"/>
                <w:w w:val="99"/>
                <w:kern w:val="2"/>
                <w:sz w:val="21"/>
                <w:szCs w:val="21"/>
                <w:highlight w:val="none"/>
              </w:rPr>
              <w:t>m</w:t>
            </w:r>
          </w:p>
        </w:tc>
        <w:tc>
          <w:tcPr>
            <w:tcW w:w="726" w:type="pct"/>
            <w:vAlign w:val="center"/>
          </w:tcPr>
          <w:p w14:paraId="674EB86E">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3172</w:t>
            </w:r>
            <w:r>
              <w:rPr>
                <w:rFonts w:ascii="Times New Roman" w:hAnsi="Times New Roman" w:cs="Times New Roman" w:eastAsiaTheme="minorEastAsia"/>
                <w:color w:val="auto"/>
                <w:w w:val="99"/>
                <w:kern w:val="2"/>
                <w:sz w:val="21"/>
                <w:szCs w:val="21"/>
                <w:highlight w:val="none"/>
              </w:rPr>
              <w:t>m</w:t>
            </w:r>
            <w:r>
              <w:rPr>
                <w:rFonts w:ascii="Times New Roman" w:hAnsi="Times New Roman" w:cs="Times New Roman" w:eastAsiaTheme="minorEastAsia"/>
                <w:color w:val="auto"/>
                <w:w w:val="99"/>
                <w:kern w:val="2"/>
                <w:sz w:val="21"/>
                <w:szCs w:val="21"/>
                <w:highlight w:val="none"/>
                <w:vertAlign w:val="superscript"/>
              </w:rPr>
              <w:t>2</w:t>
            </w:r>
          </w:p>
        </w:tc>
      </w:tr>
      <w:tr w14:paraId="1BA89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4" w:type="pct"/>
            <w:vMerge w:val="continue"/>
            <w:vAlign w:val="center"/>
          </w:tcPr>
          <w:p w14:paraId="57C661B4">
            <w:pPr>
              <w:spacing w:line="360" w:lineRule="exact"/>
              <w:jc w:val="center"/>
              <w:rPr>
                <w:rFonts w:ascii="Times New Roman" w:hAnsi="Times New Roman" w:cs="Times New Roman" w:eastAsiaTheme="minorEastAsia"/>
                <w:color w:val="auto"/>
                <w:w w:val="99"/>
                <w:kern w:val="2"/>
                <w:sz w:val="21"/>
                <w:szCs w:val="21"/>
                <w:highlight w:val="none"/>
              </w:rPr>
            </w:pPr>
          </w:p>
        </w:tc>
        <w:tc>
          <w:tcPr>
            <w:tcW w:w="601" w:type="pct"/>
            <w:vAlign w:val="center"/>
          </w:tcPr>
          <w:p w14:paraId="709F2881">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1000天</w:t>
            </w:r>
          </w:p>
        </w:tc>
        <w:tc>
          <w:tcPr>
            <w:tcW w:w="977" w:type="pct"/>
            <w:vAlign w:val="center"/>
          </w:tcPr>
          <w:p w14:paraId="24E1CF35">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273</w:t>
            </w:r>
            <w:r>
              <w:rPr>
                <w:rFonts w:ascii="Times New Roman" w:hAnsi="Times New Roman" w:cs="Times New Roman" w:eastAsiaTheme="minorEastAsia"/>
                <w:color w:val="auto"/>
                <w:w w:val="99"/>
                <w:kern w:val="2"/>
                <w:sz w:val="21"/>
                <w:szCs w:val="21"/>
                <w:highlight w:val="none"/>
              </w:rPr>
              <w:t>m</w:t>
            </w:r>
          </w:p>
        </w:tc>
        <w:tc>
          <w:tcPr>
            <w:tcW w:w="916" w:type="pct"/>
            <w:vAlign w:val="center"/>
          </w:tcPr>
          <w:p w14:paraId="05D6DEED">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27416</w:t>
            </w:r>
            <w:r>
              <w:rPr>
                <w:rFonts w:ascii="Times New Roman" w:hAnsi="Times New Roman" w:cs="Times New Roman" w:eastAsiaTheme="minorEastAsia"/>
                <w:color w:val="auto"/>
                <w:w w:val="99"/>
                <w:kern w:val="2"/>
                <w:sz w:val="21"/>
                <w:szCs w:val="21"/>
                <w:highlight w:val="none"/>
              </w:rPr>
              <w:t>m</w:t>
            </w:r>
            <w:r>
              <w:rPr>
                <w:rFonts w:ascii="Times New Roman" w:hAnsi="Times New Roman" w:cs="Times New Roman" w:eastAsiaTheme="minorEastAsia"/>
                <w:color w:val="auto"/>
                <w:w w:val="99"/>
                <w:kern w:val="2"/>
                <w:sz w:val="21"/>
                <w:szCs w:val="21"/>
                <w:highlight w:val="none"/>
                <w:vertAlign w:val="superscript"/>
              </w:rPr>
              <w:t>2</w:t>
            </w:r>
          </w:p>
        </w:tc>
        <w:tc>
          <w:tcPr>
            <w:tcW w:w="1284" w:type="pct"/>
            <w:vAlign w:val="center"/>
          </w:tcPr>
          <w:p w14:paraId="1F32E631">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291</w:t>
            </w:r>
            <w:r>
              <w:rPr>
                <w:rFonts w:ascii="Times New Roman" w:hAnsi="Times New Roman" w:cs="Times New Roman" w:eastAsiaTheme="minorEastAsia"/>
                <w:color w:val="auto"/>
                <w:w w:val="99"/>
                <w:kern w:val="2"/>
                <w:sz w:val="21"/>
                <w:szCs w:val="21"/>
                <w:highlight w:val="none"/>
              </w:rPr>
              <w:t>m</w:t>
            </w:r>
          </w:p>
        </w:tc>
        <w:tc>
          <w:tcPr>
            <w:tcW w:w="726" w:type="pct"/>
            <w:vAlign w:val="center"/>
          </w:tcPr>
          <w:p w14:paraId="7EB5B333">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33039</w:t>
            </w:r>
            <w:r>
              <w:rPr>
                <w:rFonts w:ascii="Times New Roman" w:hAnsi="Times New Roman" w:cs="Times New Roman" w:eastAsiaTheme="minorEastAsia"/>
                <w:color w:val="auto"/>
                <w:w w:val="99"/>
                <w:kern w:val="2"/>
                <w:sz w:val="21"/>
                <w:szCs w:val="21"/>
                <w:highlight w:val="none"/>
              </w:rPr>
              <w:t>m</w:t>
            </w:r>
            <w:r>
              <w:rPr>
                <w:rFonts w:ascii="Times New Roman" w:hAnsi="Times New Roman" w:cs="Times New Roman" w:eastAsiaTheme="minorEastAsia"/>
                <w:color w:val="auto"/>
                <w:w w:val="99"/>
                <w:kern w:val="2"/>
                <w:sz w:val="21"/>
                <w:szCs w:val="21"/>
                <w:highlight w:val="none"/>
                <w:vertAlign w:val="superscript"/>
              </w:rPr>
              <w:t>2</w:t>
            </w:r>
          </w:p>
        </w:tc>
      </w:tr>
      <w:tr w14:paraId="27D1A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4" w:type="pct"/>
            <w:vMerge w:val="continue"/>
            <w:vAlign w:val="center"/>
          </w:tcPr>
          <w:p w14:paraId="2EB76ECA">
            <w:pPr>
              <w:spacing w:line="360" w:lineRule="exact"/>
              <w:jc w:val="center"/>
              <w:rPr>
                <w:rFonts w:ascii="Times New Roman" w:hAnsi="Times New Roman" w:cs="Times New Roman" w:eastAsiaTheme="minorEastAsia"/>
                <w:color w:val="auto"/>
                <w:w w:val="99"/>
                <w:kern w:val="2"/>
                <w:sz w:val="21"/>
                <w:szCs w:val="21"/>
                <w:highlight w:val="none"/>
              </w:rPr>
            </w:pPr>
          </w:p>
        </w:tc>
        <w:tc>
          <w:tcPr>
            <w:tcW w:w="601" w:type="pct"/>
            <w:vAlign w:val="center"/>
          </w:tcPr>
          <w:p w14:paraId="4E221825">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5475天</w:t>
            </w:r>
          </w:p>
        </w:tc>
        <w:tc>
          <w:tcPr>
            <w:tcW w:w="977" w:type="pct"/>
            <w:vAlign w:val="center"/>
          </w:tcPr>
          <w:p w14:paraId="0D051857">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996</w:t>
            </w:r>
            <w:r>
              <w:rPr>
                <w:rFonts w:ascii="Times New Roman" w:hAnsi="Times New Roman" w:cs="Times New Roman" w:eastAsiaTheme="minorEastAsia"/>
                <w:color w:val="auto"/>
                <w:w w:val="99"/>
                <w:kern w:val="2"/>
                <w:sz w:val="21"/>
                <w:szCs w:val="21"/>
                <w:highlight w:val="none"/>
              </w:rPr>
              <w:t>m</w:t>
            </w:r>
          </w:p>
        </w:tc>
        <w:tc>
          <w:tcPr>
            <w:tcW w:w="916" w:type="pct"/>
            <w:vAlign w:val="center"/>
          </w:tcPr>
          <w:p w14:paraId="17836D5E">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189137</w:t>
            </w:r>
            <w:r>
              <w:rPr>
                <w:rFonts w:ascii="Times New Roman" w:hAnsi="Times New Roman" w:cs="Times New Roman" w:eastAsiaTheme="minorEastAsia"/>
                <w:color w:val="auto"/>
                <w:w w:val="99"/>
                <w:kern w:val="2"/>
                <w:sz w:val="21"/>
                <w:szCs w:val="21"/>
                <w:highlight w:val="none"/>
              </w:rPr>
              <w:t>m</w:t>
            </w:r>
            <w:r>
              <w:rPr>
                <w:rFonts w:ascii="Times New Roman" w:hAnsi="Times New Roman" w:cs="Times New Roman" w:eastAsiaTheme="minorEastAsia"/>
                <w:color w:val="auto"/>
                <w:w w:val="99"/>
                <w:kern w:val="2"/>
                <w:sz w:val="21"/>
                <w:szCs w:val="21"/>
                <w:highlight w:val="none"/>
                <w:vertAlign w:val="superscript"/>
              </w:rPr>
              <w:t>2</w:t>
            </w:r>
          </w:p>
        </w:tc>
        <w:tc>
          <w:tcPr>
            <w:tcW w:w="1284" w:type="pct"/>
            <w:vAlign w:val="center"/>
          </w:tcPr>
          <w:p w14:paraId="280765A0">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1041</w:t>
            </w:r>
            <w:r>
              <w:rPr>
                <w:rFonts w:ascii="Times New Roman" w:hAnsi="Times New Roman" w:cs="Times New Roman" w:eastAsiaTheme="minorEastAsia"/>
                <w:color w:val="auto"/>
                <w:w w:val="99"/>
                <w:kern w:val="2"/>
                <w:sz w:val="21"/>
                <w:szCs w:val="21"/>
                <w:highlight w:val="none"/>
              </w:rPr>
              <w:t>m</w:t>
            </w:r>
          </w:p>
        </w:tc>
        <w:tc>
          <w:tcPr>
            <w:tcW w:w="726" w:type="pct"/>
            <w:vAlign w:val="center"/>
          </w:tcPr>
          <w:p w14:paraId="3ED260A0">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221433</w:t>
            </w:r>
            <w:r>
              <w:rPr>
                <w:rFonts w:ascii="Times New Roman" w:hAnsi="Times New Roman" w:cs="Times New Roman" w:eastAsiaTheme="minorEastAsia"/>
                <w:color w:val="auto"/>
                <w:w w:val="99"/>
                <w:kern w:val="2"/>
                <w:sz w:val="21"/>
                <w:szCs w:val="21"/>
                <w:highlight w:val="none"/>
              </w:rPr>
              <w:t>m</w:t>
            </w:r>
            <w:r>
              <w:rPr>
                <w:rFonts w:ascii="Times New Roman" w:hAnsi="Times New Roman" w:cs="Times New Roman" w:eastAsiaTheme="minorEastAsia"/>
                <w:color w:val="auto"/>
                <w:w w:val="99"/>
                <w:kern w:val="2"/>
                <w:sz w:val="21"/>
                <w:szCs w:val="21"/>
                <w:highlight w:val="none"/>
                <w:vertAlign w:val="superscript"/>
              </w:rPr>
              <w:t>2</w:t>
            </w:r>
          </w:p>
        </w:tc>
      </w:tr>
    </w:tbl>
    <w:p w14:paraId="312BB0D6">
      <w:pPr>
        <w:jc w:val="both"/>
        <w:rPr>
          <w:rFonts w:hint="eastAsia"/>
          <w:color w:val="auto"/>
          <w:highlight w:val="none"/>
        </w:rPr>
      </w:pPr>
      <w:r>
        <w:rPr>
          <w:color w:val="auto"/>
          <w:highlight w:val="none"/>
        </w:rPr>
        <w:drawing>
          <wp:inline distT="0" distB="0" distL="114300" distR="114300">
            <wp:extent cx="4725670" cy="4067810"/>
            <wp:effectExtent l="0" t="0" r="17780" b="8890"/>
            <wp:docPr id="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
                    <pic:cNvPicPr>
                      <a:picLocks noChangeAspect="1"/>
                    </pic:cNvPicPr>
                  </pic:nvPicPr>
                  <pic:blipFill>
                    <a:blip r:embed="rId72"/>
                    <a:stretch>
                      <a:fillRect/>
                    </a:stretch>
                  </pic:blipFill>
                  <pic:spPr>
                    <a:xfrm>
                      <a:off x="0" y="0"/>
                      <a:ext cx="4725670" cy="4067810"/>
                    </a:xfrm>
                    <a:prstGeom prst="rect">
                      <a:avLst/>
                    </a:prstGeom>
                    <a:noFill/>
                    <a:ln>
                      <a:noFill/>
                    </a:ln>
                  </pic:spPr>
                </pic:pic>
              </a:graphicData>
            </a:graphic>
          </wp:inline>
        </w:drawing>
      </w:r>
    </w:p>
    <w:p w14:paraId="742BDA14">
      <w:pPr>
        <w:spacing w:line="243" w:lineRule="auto"/>
        <w:jc w:val="center"/>
        <w:rPr>
          <w:rFonts w:hint="eastAsia" w:ascii="Arial"/>
          <w:color w:val="auto"/>
          <w:sz w:val="21"/>
          <w:highlight w:val="none"/>
        </w:rPr>
      </w:pPr>
      <w:r>
        <w:rPr>
          <w:rFonts w:ascii="Times New Roman" w:hAnsi="Times New Roman" w:eastAsiaTheme="minorEastAsia"/>
          <w:b/>
          <w:color w:val="auto"/>
          <w:w w:val="99"/>
          <w:highlight w:val="none"/>
        </w:rPr>
        <w:t>图5.3-</w:t>
      </w:r>
      <w:r>
        <w:rPr>
          <w:rFonts w:hint="eastAsia" w:ascii="Times New Roman" w:hAnsi="Times New Roman" w:eastAsiaTheme="minorEastAsia"/>
          <w:b/>
          <w:color w:val="auto"/>
          <w:w w:val="99"/>
          <w:highlight w:val="none"/>
        </w:rPr>
        <w:t>3</w:t>
      </w:r>
      <w:r>
        <w:rPr>
          <w:rFonts w:ascii="Times New Roman" w:hAnsi="Times New Roman" w:eastAsiaTheme="minorEastAsia"/>
          <w:b/>
          <w:color w:val="auto"/>
          <w:w w:val="99"/>
          <w:highlight w:val="none"/>
        </w:rPr>
        <w:t xml:space="preserve">  </w:t>
      </w:r>
      <w:r>
        <w:rPr>
          <w:rFonts w:hint="eastAsia" w:ascii="Times New Roman" w:hAnsi="Times New Roman" w:eastAsiaTheme="minorEastAsia"/>
          <w:b/>
          <w:color w:val="auto"/>
          <w:w w:val="99"/>
          <w:highlight w:val="none"/>
        </w:rPr>
        <w:t>气井</w:t>
      </w:r>
      <w:r>
        <w:rPr>
          <w:rFonts w:ascii="Times New Roman" w:hAnsi="Times New Roman" w:eastAsiaTheme="minorEastAsia"/>
          <w:b/>
          <w:color w:val="auto"/>
          <w:w w:val="99"/>
          <w:highlight w:val="none"/>
        </w:rPr>
        <w:t>套管泄漏</w:t>
      </w:r>
      <w:r>
        <w:rPr>
          <w:rFonts w:hint="eastAsia" w:ascii="Times New Roman" w:hAnsi="Times New Roman" w:eastAsiaTheme="minorEastAsia"/>
          <w:b/>
          <w:color w:val="auto"/>
          <w:w w:val="99"/>
          <w:highlight w:val="none"/>
        </w:rPr>
        <w:t>100d</w:t>
      </w:r>
      <w:r>
        <w:rPr>
          <w:rFonts w:ascii="Times New Roman" w:hAnsi="Times New Roman" w:eastAsiaTheme="minorEastAsia"/>
          <w:b/>
          <w:color w:val="auto"/>
          <w:w w:val="99"/>
          <w:highlight w:val="none"/>
        </w:rPr>
        <w:t>石油类污染扩散平面图（污染源点：0，0）</w:t>
      </w:r>
    </w:p>
    <w:p w14:paraId="515A3763">
      <w:pPr>
        <w:jc w:val="both"/>
        <w:rPr>
          <w:rFonts w:hint="eastAsia"/>
          <w:color w:val="auto"/>
          <w:highlight w:val="none"/>
        </w:rPr>
      </w:pPr>
      <w:r>
        <w:rPr>
          <w:color w:val="auto"/>
          <w:highlight w:val="none"/>
        </w:rPr>
        <w:drawing>
          <wp:inline distT="0" distB="0" distL="114300" distR="114300">
            <wp:extent cx="4700905" cy="4140200"/>
            <wp:effectExtent l="0" t="0" r="4445" b="12700"/>
            <wp:docPr id="2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
                    <pic:cNvPicPr>
                      <a:picLocks noChangeAspect="1"/>
                    </pic:cNvPicPr>
                  </pic:nvPicPr>
                  <pic:blipFill>
                    <a:blip r:embed="rId73"/>
                    <a:stretch>
                      <a:fillRect/>
                    </a:stretch>
                  </pic:blipFill>
                  <pic:spPr>
                    <a:xfrm>
                      <a:off x="0" y="0"/>
                      <a:ext cx="4700905" cy="4140200"/>
                    </a:xfrm>
                    <a:prstGeom prst="rect">
                      <a:avLst/>
                    </a:prstGeom>
                    <a:noFill/>
                    <a:ln>
                      <a:noFill/>
                    </a:ln>
                  </pic:spPr>
                </pic:pic>
              </a:graphicData>
            </a:graphic>
          </wp:inline>
        </w:drawing>
      </w:r>
    </w:p>
    <w:p w14:paraId="0D0BB034">
      <w:pPr>
        <w:spacing w:line="243" w:lineRule="auto"/>
        <w:jc w:val="center"/>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图5.3-</w:t>
      </w:r>
      <w:r>
        <w:rPr>
          <w:rFonts w:hint="eastAsia" w:ascii="Times New Roman" w:hAnsi="Times New Roman" w:eastAsiaTheme="minorEastAsia"/>
          <w:b/>
          <w:color w:val="auto"/>
          <w:w w:val="99"/>
          <w:highlight w:val="none"/>
        </w:rPr>
        <w:t>4</w:t>
      </w:r>
      <w:r>
        <w:rPr>
          <w:rFonts w:ascii="Times New Roman" w:hAnsi="Times New Roman" w:eastAsiaTheme="minorEastAsia"/>
          <w:b/>
          <w:color w:val="auto"/>
          <w:w w:val="99"/>
          <w:highlight w:val="none"/>
        </w:rPr>
        <w:t xml:space="preserve">  </w:t>
      </w:r>
      <w:r>
        <w:rPr>
          <w:rFonts w:hint="eastAsia" w:ascii="Times New Roman" w:hAnsi="Times New Roman" w:eastAsiaTheme="minorEastAsia"/>
          <w:b/>
          <w:color w:val="auto"/>
          <w:w w:val="99"/>
          <w:highlight w:val="none"/>
        </w:rPr>
        <w:t>气井</w:t>
      </w:r>
      <w:r>
        <w:rPr>
          <w:rFonts w:ascii="Times New Roman" w:hAnsi="Times New Roman" w:eastAsiaTheme="minorEastAsia"/>
          <w:b/>
          <w:color w:val="auto"/>
          <w:w w:val="99"/>
          <w:highlight w:val="none"/>
        </w:rPr>
        <w:t>套管泄漏</w:t>
      </w:r>
      <w:r>
        <w:rPr>
          <w:rFonts w:hint="eastAsia" w:ascii="Times New Roman" w:hAnsi="Times New Roman" w:eastAsiaTheme="minorEastAsia"/>
          <w:b/>
          <w:color w:val="auto"/>
          <w:w w:val="99"/>
          <w:highlight w:val="none"/>
        </w:rPr>
        <w:t>1000d</w:t>
      </w:r>
      <w:r>
        <w:rPr>
          <w:rFonts w:ascii="Times New Roman" w:hAnsi="Times New Roman" w:eastAsiaTheme="minorEastAsia"/>
          <w:b/>
          <w:color w:val="auto"/>
          <w:w w:val="99"/>
          <w:highlight w:val="none"/>
        </w:rPr>
        <w:t>石油类污染扩散平面图（污染源点：0，0）</w:t>
      </w:r>
    </w:p>
    <w:p w14:paraId="14736933">
      <w:pPr>
        <w:jc w:val="both"/>
        <w:rPr>
          <w:rFonts w:hint="eastAsia"/>
          <w:color w:val="auto"/>
          <w:highlight w:val="none"/>
        </w:rPr>
      </w:pPr>
    </w:p>
    <w:p w14:paraId="2A9786BF">
      <w:pPr>
        <w:jc w:val="both"/>
        <w:rPr>
          <w:rFonts w:hint="eastAsia"/>
          <w:color w:val="auto"/>
          <w:highlight w:val="none"/>
        </w:rPr>
      </w:pPr>
      <w:r>
        <w:rPr>
          <w:color w:val="auto"/>
          <w:highlight w:val="none"/>
        </w:rPr>
        <w:drawing>
          <wp:inline distT="0" distB="0" distL="114300" distR="114300">
            <wp:extent cx="4987290" cy="4248150"/>
            <wp:effectExtent l="0" t="0" r="3810" b="0"/>
            <wp:docPr id="2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
                    <pic:cNvPicPr>
                      <a:picLocks noChangeAspect="1"/>
                    </pic:cNvPicPr>
                  </pic:nvPicPr>
                  <pic:blipFill>
                    <a:blip r:embed="rId74"/>
                    <a:stretch>
                      <a:fillRect/>
                    </a:stretch>
                  </pic:blipFill>
                  <pic:spPr>
                    <a:xfrm>
                      <a:off x="0" y="0"/>
                      <a:ext cx="4987290" cy="4248150"/>
                    </a:xfrm>
                    <a:prstGeom prst="rect">
                      <a:avLst/>
                    </a:prstGeom>
                    <a:noFill/>
                    <a:ln>
                      <a:noFill/>
                    </a:ln>
                  </pic:spPr>
                </pic:pic>
              </a:graphicData>
            </a:graphic>
          </wp:inline>
        </w:drawing>
      </w:r>
    </w:p>
    <w:p w14:paraId="1219103A">
      <w:pPr>
        <w:spacing w:line="243" w:lineRule="auto"/>
        <w:jc w:val="center"/>
        <w:rPr>
          <w:rFonts w:hint="eastAsia" w:ascii="Arial"/>
          <w:color w:val="auto"/>
          <w:sz w:val="21"/>
          <w:highlight w:val="none"/>
        </w:rPr>
      </w:pPr>
      <w:r>
        <w:rPr>
          <w:rFonts w:ascii="Times New Roman" w:hAnsi="Times New Roman" w:eastAsiaTheme="minorEastAsia"/>
          <w:b/>
          <w:color w:val="auto"/>
          <w:w w:val="99"/>
          <w:highlight w:val="none"/>
        </w:rPr>
        <w:t>图5.3-</w:t>
      </w:r>
      <w:r>
        <w:rPr>
          <w:rFonts w:hint="eastAsia" w:ascii="Times New Roman" w:hAnsi="Times New Roman" w:eastAsiaTheme="minorEastAsia"/>
          <w:b/>
          <w:color w:val="auto"/>
          <w:w w:val="99"/>
          <w:highlight w:val="none"/>
        </w:rPr>
        <w:t>5</w:t>
      </w:r>
      <w:r>
        <w:rPr>
          <w:rFonts w:ascii="Times New Roman" w:hAnsi="Times New Roman" w:eastAsiaTheme="minorEastAsia"/>
          <w:b/>
          <w:color w:val="auto"/>
          <w:w w:val="99"/>
          <w:highlight w:val="none"/>
        </w:rPr>
        <w:t xml:space="preserve">  </w:t>
      </w:r>
      <w:r>
        <w:rPr>
          <w:rFonts w:hint="eastAsia" w:ascii="Times New Roman" w:hAnsi="Times New Roman" w:eastAsiaTheme="minorEastAsia"/>
          <w:b/>
          <w:color w:val="auto"/>
          <w:w w:val="99"/>
          <w:highlight w:val="none"/>
        </w:rPr>
        <w:t>气井</w:t>
      </w:r>
      <w:r>
        <w:rPr>
          <w:rFonts w:ascii="Times New Roman" w:hAnsi="Times New Roman" w:eastAsiaTheme="minorEastAsia"/>
          <w:b/>
          <w:color w:val="auto"/>
          <w:w w:val="99"/>
          <w:highlight w:val="none"/>
        </w:rPr>
        <w:t>套管泄漏</w:t>
      </w:r>
      <w:r>
        <w:rPr>
          <w:rFonts w:hint="eastAsia" w:ascii="Times New Roman" w:hAnsi="Times New Roman" w:eastAsiaTheme="minorEastAsia"/>
          <w:b/>
          <w:color w:val="auto"/>
          <w:w w:val="99"/>
          <w:highlight w:val="none"/>
        </w:rPr>
        <w:t>5475d</w:t>
      </w:r>
      <w:r>
        <w:rPr>
          <w:rFonts w:ascii="Times New Roman" w:hAnsi="Times New Roman" w:eastAsiaTheme="minorEastAsia"/>
          <w:b/>
          <w:color w:val="auto"/>
          <w:w w:val="99"/>
          <w:highlight w:val="none"/>
        </w:rPr>
        <w:t>石油类污染扩散平面图（污染源点：0，0）</w:t>
      </w:r>
    </w:p>
    <w:p w14:paraId="66903571">
      <w:pPr>
        <w:widowControl w:val="0"/>
        <w:spacing w:line="440" w:lineRule="exact"/>
        <w:ind w:firstLine="474" w:firstLineChars="200"/>
        <w:jc w:val="both"/>
        <w:rPr>
          <w:rFonts w:hint="eastAsia" w:ascii="Arial"/>
          <w:color w:val="auto"/>
          <w:sz w:val="21"/>
          <w:highlight w:val="none"/>
        </w:rPr>
      </w:pPr>
      <w:r>
        <w:rPr>
          <w:rFonts w:ascii="Times New Roman" w:hAnsi="Times New Roman" w:cs="Times New Roman"/>
          <w:color w:val="auto"/>
          <w:w w:val="99"/>
          <w:kern w:val="2"/>
          <w:szCs w:val="20"/>
          <w:highlight w:val="none"/>
        </w:rPr>
        <w:t>由预测结果可知，随着时间增加，污染范围有所增加，套损并固井层破损泄漏100d后，超标距离为下游</w:t>
      </w:r>
      <w:r>
        <w:rPr>
          <w:rFonts w:hint="eastAsia" w:ascii="Times New Roman" w:hAnsi="Times New Roman" w:cs="Times New Roman"/>
          <w:color w:val="auto"/>
          <w:w w:val="99"/>
          <w:kern w:val="2"/>
          <w:szCs w:val="20"/>
          <w:highlight w:val="none"/>
        </w:rPr>
        <w:t>62</w:t>
      </w:r>
      <w:r>
        <w:rPr>
          <w:rFonts w:ascii="Times New Roman" w:hAnsi="Times New Roman" w:cs="Times New Roman"/>
          <w:color w:val="auto"/>
          <w:w w:val="99"/>
          <w:kern w:val="2"/>
          <w:szCs w:val="20"/>
          <w:highlight w:val="none"/>
        </w:rPr>
        <w:t>m，影响距离为下游</w:t>
      </w:r>
      <w:r>
        <w:rPr>
          <w:rFonts w:hint="eastAsia" w:ascii="Times New Roman" w:hAnsi="Times New Roman" w:cs="Times New Roman"/>
          <w:color w:val="auto"/>
          <w:w w:val="99"/>
          <w:kern w:val="2"/>
          <w:szCs w:val="20"/>
          <w:highlight w:val="none"/>
        </w:rPr>
        <w:t>68</w:t>
      </w:r>
      <w:r>
        <w:rPr>
          <w:rFonts w:ascii="Times New Roman" w:hAnsi="Times New Roman" w:cs="Times New Roman"/>
          <w:color w:val="auto"/>
          <w:w w:val="99"/>
          <w:kern w:val="2"/>
          <w:szCs w:val="20"/>
          <w:highlight w:val="none"/>
        </w:rPr>
        <w:t>m；套损泄漏1000d后，超标距离为下游</w:t>
      </w:r>
      <w:r>
        <w:rPr>
          <w:rFonts w:hint="eastAsia" w:ascii="Times New Roman" w:hAnsi="Times New Roman" w:cs="Times New Roman"/>
          <w:color w:val="auto"/>
          <w:w w:val="99"/>
          <w:kern w:val="2"/>
          <w:szCs w:val="20"/>
          <w:highlight w:val="none"/>
        </w:rPr>
        <w:t>273</w:t>
      </w:r>
      <w:r>
        <w:rPr>
          <w:rFonts w:ascii="Times New Roman" w:hAnsi="Times New Roman" w:cs="Times New Roman"/>
          <w:color w:val="auto"/>
          <w:w w:val="99"/>
          <w:kern w:val="2"/>
          <w:szCs w:val="20"/>
          <w:highlight w:val="none"/>
        </w:rPr>
        <w:t>m，影响距离为下游</w:t>
      </w:r>
      <w:r>
        <w:rPr>
          <w:rFonts w:hint="eastAsia" w:ascii="Times New Roman" w:hAnsi="Times New Roman" w:cs="Times New Roman"/>
          <w:color w:val="auto"/>
          <w:w w:val="99"/>
          <w:kern w:val="2"/>
          <w:szCs w:val="20"/>
          <w:highlight w:val="none"/>
        </w:rPr>
        <w:t>291</w:t>
      </w:r>
      <w:r>
        <w:rPr>
          <w:rFonts w:ascii="Times New Roman" w:hAnsi="Times New Roman" w:cs="Times New Roman"/>
          <w:color w:val="auto"/>
          <w:w w:val="99"/>
          <w:kern w:val="2"/>
          <w:szCs w:val="20"/>
          <w:highlight w:val="none"/>
        </w:rPr>
        <w:t>m；套损泄漏5475d后，超标距离为下游</w:t>
      </w:r>
      <w:r>
        <w:rPr>
          <w:rFonts w:hint="eastAsia" w:ascii="Times New Roman" w:hAnsi="Times New Roman" w:cs="Times New Roman"/>
          <w:color w:val="auto"/>
          <w:w w:val="99"/>
          <w:kern w:val="2"/>
          <w:szCs w:val="20"/>
          <w:highlight w:val="none"/>
        </w:rPr>
        <w:t>996</w:t>
      </w:r>
      <w:r>
        <w:rPr>
          <w:rFonts w:ascii="Times New Roman" w:hAnsi="Times New Roman" w:cs="Times New Roman"/>
          <w:color w:val="auto"/>
          <w:w w:val="99"/>
          <w:kern w:val="2"/>
          <w:szCs w:val="20"/>
          <w:highlight w:val="none"/>
        </w:rPr>
        <w:t>m，影响距离为下游</w:t>
      </w:r>
      <w:r>
        <w:rPr>
          <w:rFonts w:hint="eastAsia" w:ascii="Times New Roman" w:hAnsi="Times New Roman" w:cs="Times New Roman"/>
          <w:color w:val="auto"/>
          <w:w w:val="99"/>
          <w:kern w:val="2"/>
          <w:szCs w:val="20"/>
          <w:highlight w:val="none"/>
        </w:rPr>
        <w:t>1041</w:t>
      </w:r>
      <w:r>
        <w:rPr>
          <w:rFonts w:ascii="Times New Roman" w:hAnsi="Times New Roman" w:cs="Times New Roman"/>
          <w:color w:val="auto"/>
          <w:w w:val="99"/>
          <w:kern w:val="2"/>
          <w:szCs w:val="20"/>
          <w:highlight w:val="none"/>
        </w:rPr>
        <w:t>m。经调查，距离钻井井场最近的饮用水源井为</w:t>
      </w:r>
      <w:r>
        <w:rPr>
          <w:rFonts w:hint="eastAsia" w:ascii="Times New Roman" w:hAnsi="Times New Roman" w:cs="Times New Roman" w:eastAsiaTheme="minorEastAsia"/>
          <w:bCs/>
          <w:color w:val="auto"/>
          <w:spacing w:val="-2"/>
          <w:w w:val="99"/>
          <w:highlight w:val="none"/>
        </w:rPr>
        <w:t>拟建徐深27-H1井东北侧380m的邢家围子屯水井（地下水流向上游）</w:t>
      </w:r>
      <w:r>
        <w:rPr>
          <w:rFonts w:ascii="Times New Roman" w:hAnsi="Times New Roman" w:cs="Times New Roman"/>
          <w:color w:val="auto"/>
          <w:w w:val="99"/>
          <w:kern w:val="2"/>
          <w:szCs w:val="20"/>
          <w:highlight w:val="none"/>
        </w:rPr>
        <w:t>，拟建</w:t>
      </w:r>
      <w:r>
        <w:rPr>
          <w:rFonts w:hint="eastAsia" w:ascii="Times New Roman" w:hAnsi="Times New Roman" w:cs="Times New Roman"/>
          <w:color w:val="auto"/>
          <w:w w:val="99"/>
          <w:kern w:val="2"/>
          <w:szCs w:val="20"/>
          <w:highlight w:val="none"/>
        </w:rPr>
        <w:t>气</w:t>
      </w:r>
      <w:r>
        <w:rPr>
          <w:rFonts w:ascii="Times New Roman" w:hAnsi="Times New Roman" w:cs="Times New Roman"/>
          <w:color w:val="auto"/>
          <w:w w:val="99"/>
          <w:kern w:val="2"/>
          <w:szCs w:val="20"/>
          <w:highlight w:val="none"/>
        </w:rPr>
        <w:t>井在钻井阶段采用双层套管，且项目应定期</w:t>
      </w:r>
      <w:r>
        <w:rPr>
          <w:rFonts w:ascii="Times New Roman" w:hAnsi="Times New Roman" w:cs="Times New Roman" w:eastAsiaTheme="minorEastAsia"/>
          <w:color w:val="auto"/>
          <w:w w:val="99"/>
          <w:kern w:val="21"/>
          <w:highlight w:val="none"/>
        </w:rPr>
        <w:t>对</w:t>
      </w:r>
      <w:r>
        <w:rPr>
          <w:rFonts w:hint="eastAsia" w:ascii="Times New Roman" w:hAnsi="Times New Roman" w:cs="Times New Roman"/>
          <w:color w:val="auto"/>
          <w:w w:val="99"/>
          <w:kern w:val="2"/>
          <w:szCs w:val="20"/>
          <w:highlight w:val="none"/>
        </w:rPr>
        <w:t>气井</w:t>
      </w:r>
      <w:r>
        <w:rPr>
          <w:rFonts w:ascii="Times New Roman" w:hAnsi="Times New Roman" w:cs="Times New Roman" w:eastAsiaTheme="minorEastAsia"/>
          <w:color w:val="auto"/>
          <w:w w:val="99"/>
          <w:kern w:val="21"/>
          <w:highlight w:val="none"/>
        </w:rPr>
        <w:t>套管情况进行检测，发现异常情况，</w:t>
      </w:r>
      <w:r>
        <w:rPr>
          <w:rFonts w:ascii="Times New Roman" w:hAnsi="Times New Roman" w:cs="Times New Roman"/>
          <w:color w:val="auto"/>
          <w:w w:val="99"/>
          <w:kern w:val="2"/>
          <w:szCs w:val="20"/>
          <w:highlight w:val="none"/>
        </w:rPr>
        <w:t>应及时关闭截断阀</w:t>
      </w:r>
      <w:r>
        <w:rPr>
          <w:rFonts w:ascii="Times New Roman" w:hAnsi="Times New Roman" w:cs="Times New Roman" w:eastAsiaTheme="minorEastAsia"/>
          <w:color w:val="auto"/>
          <w:w w:val="99"/>
          <w:kern w:val="21"/>
          <w:highlight w:val="none"/>
        </w:rPr>
        <w:t>，防止污染地下水，降低风险事故对地下水的影响。</w:t>
      </w:r>
    </w:p>
    <w:p w14:paraId="455F2EFB">
      <w:pPr>
        <w:pStyle w:val="7"/>
        <w:widowControl w:val="0"/>
        <w:spacing w:before="60" w:after="60" w:line="440" w:lineRule="exact"/>
        <w:jc w:val="both"/>
        <w:rPr>
          <w:rFonts w:eastAsiaTheme="minorEastAsia"/>
          <w:b/>
          <w:color w:val="auto"/>
          <w:w w:val="99"/>
          <w:kern w:val="2"/>
          <w:sz w:val="24"/>
          <w:szCs w:val="24"/>
          <w:highlight w:val="none"/>
        </w:rPr>
      </w:pPr>
      <w:bookmarkStart w:id="881" w:name="_Toc84929290"/>
      <w:bookmarkStart w:id="882" w:name="_Toc127192398"/>
      <w:bookmarkStart w:id="883" w:name="_Toc186444345"/>
      <w:bookmarkStart w:id="884" w:name="_Toc131167349"/>
      <w:bookmarkStart w:id="885" w:name="_Toc85640818"/>
      <w:bookmarkStart w:id="886" w:name="_Toc86141993"/>
      <w:bookmarkStart w:id="887" w:name="_Toc143099636"/>
      <w:bookmarkStart w:id="888" w:name="_Toc126863449"/>
      <w:r>
        <w:rPr>
          <w:rFonts w:eastAsiaTheme="minorEastAsia"/>
          <w:b/>
          <w:color w:val="auto"/>
          <w:w w:val="99"/>
          <w:kern w:val="2"/>
          <w:sz w:val="24"/>
          <w:szCs w:val="24"/>
          <w:highlight w:val="none"/>
        </w:rPr>
        <w:t>5.3.</w:t>
      </w:r>
      <w:r>
        <w:rPr>
          <w:rFonts w:hint="eastAsia" w:eastAsiaTheme="minorEastAsia"/>
          <w:b/>
          <w:color w:val="auto"/>
          <w:w w:val="99"/>
          <w:kern w:val="2"/>
          <w:sz w:val="24"/>
          <w:szCs w:val="24"/>
          <w:highlight w:val="none"/>
        </w:rPr>
        <w:t>3</w:t>
      </w:r>
      <w:r>
        <w:rPr>
          <w:rFonts w:eastAsiaTheme="minorEastAsia"/>
          <w:b/>
          <w:color w:val="auto"/>
          <w:w w:val="99"/>
          <w:kern w:val="2"/>
          <w:sz w:val="24"/>
          <w:szCs w:val="24"/>
          <w:highlight w:val="none"/>
        </w:rPr>
        <w:t>地下水环境影响评价结论</w:t>
      </w:r>
      <w:bookmarkEnd w:id="881"/>
      <w:bookmarkEnd w:id="882"/>
      <w:bookmarkEnd w:id="883"/>
      <w:bookmarkEnd w:id="884"/>
      <w:bookmarkEnd w:id="885"/>
      <w:bookmarkEnd w:id="886"/>
      <w:bookmarkEnd w:id="887"/>
      <w:bookmarkEnd w:id="888"/>
    </w:p>
    <w:p w14:paraId="6F9A217B">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项目正常工况及非正常工况下不会对地下水环境产生影响，井场厂界特征污染物石油类可以满足《地表水环境质量标准》（GB3838-2002）中</w:t>
      </w:r>
      <w:r>
        <w:rPr>
          <w:rFonts w:ascii="Times New Roman" w:hAnsi="Times New Roman" w:cs="Times New Roman"/>
          <w:color w:val="auto"/>
          <w:w w:val="99"/>
          <w:kern w:val="2"/>
          <w:szCs w:val="20"/>
          <w:highlight w:val="none"/>
        </w:rPr>
        <w:fldChar w:fldCharType="begin"/>
      </w:r>
      <w:r>
        <w:rPr>
          <w:rFonts w:ascii="Times New Roman" w:hAnsi="Times New Roman" w:cs="Times New Roman"/>
          <w:color w:val="auto"/>
          <w:w w:val="99"/>
          <w:kern w:val="2"/>
          <w:szCs w:val="20"/>
          <w:highlight w:val="none"/>
        </w:rPr>
        <w:instrText xml:space="preserve"> = 2 \* ROMAN </w:instrText>
      </w:r>
      <w:r>
        <w:rPr>
          <w:rFonts w:ascii="Times New Roman" w:hAnsi="Times New Roman" w:cs="Times New Roman"/>
          <w:color w:val="auto"/>
          <w:w w:val="99"/>
          <w:kern w:val="2"/>
          <w:szCs w:val="20"/>
          <w:highlight w:val="none"/>
        </w:rPr>
        <w:fldChar w:fldCharType="separate"/>
      </w:r>
      <w:r>
        <w:rPr>
          <w:rFonts w:ascii="Times New Roman" w:hAnsi="Times New Roman" w:cs="Times New Roman"/>
          <w:color w:val="auto"/>
          <w:w w:val="99"/>
          <w:kern w:val="2"/>
          <w:szCs w:val="20"/>
          <w:highlight w:val="none"/>
        </w:rPr>
        <w:t>II</w:t>
      </w:r>
      <w:r>
        <w:rPr>
          <w:rFonts w:ascii="Times New Roman" w:hAnsi="Times New Roman" w:cs="Times New Roman"/>
          <w:color w:val="auto"/>
          <w:w w:val="99"/>
          <w:kern w:val="2"/>
          <w:szCs w:val="20"/>
          <w:highlight w:val="none"/>
        </w:rPr>
        <w:fldChar w:fldCharType="end"/>
      </w:r>
      <w:r>
        <w:rPr>
          <w:rFonts w:ascii="Times New Roman" w:hAnsi="Times New Roman" w:cs="Times New Roman"/>
          <w:color w:val="auto"/>
          <w:w w:val="99"/>
          <w:kern w:val="2"/>
          <w:szCs w:val="20"/>
          <w:highlight w:val="none"/>
        </w:rPr>
        <w:t>类标准限值。非正常状况下，当</w:t>
      </w:r>
      <w:r>
        <w:rPr>
          <w:rFonts w:hint="eastAsia" w:ascii="Times New Roman" w:hAnsi="Times New Roman" w:cs="Times New Roman"/>
          <w:color w:val="auto"/>
          <w:w w:val="99"/>
          <w:kern w:val="2"/>
          <w:szCs w:val="20"/>
          <w:highlight w:val="none"/>
        </w:rPr>
        <w:t>气井</w:t>
      </w:r>
      <w:r>
        <w:rPr>
          <w:rFonts w:ascii="Times New Roman" w:hAnsi="Times New Roman" w:cs="Times New Roman"/>
          <w:color w:val="auto"/>
          <w:w w:val="99"/>
          <w:kern w:val="2"/>
          <w:szCs w:val="20"/>
          <w:highlight w:val="none"/>
        </w:rPr>
        <w:t>套损100d、1000d、5475d时，下游</w:t>
      </w:r>
      <w:r>
        <w:rPr>
          <w:rFonts w:hint="eastAsia" w:ascii="Times New Roman" w:hAnsi="Times New Roman" w:cs="Times New Roman"/>
          <w:color w:val="auto"/>
          <w:w w:val="99"/>
          <w:kern w:val="2"/>
          <w:szCs w:val="20"/>
          <w:highlight w:val="none"/>
        </w:rPr>
        <w:t>62</w:t>
      </w:r>
      <w:r>
        <w:rPr>
          <w:rFonts w:ascii="Times New Roman" w:hAnsi="Times New Roman" w:cs="Times New Roman"/>
          <w:color w:val="auto"/>
          <w:w w:val="99"/>
          <w:kern w:val="2"/>
          <w:szCs w:val="20"/>
          <w:highlight w:val="none"/>
        </w:rPr>
        <w:t>m、</w:t>
      </w:r>
      <w:r>
        <w:rPr>
          <w:rFonts w:hint="eastAsia" w:ascii="Times New Roman" w:hAnsi="Times New Roman" w:cs="Times New Roman"/>
          <w:color w:val="auto"/>
          <w:w w:val="99"/>
          <w:kern w:val="2"/>
          <w:szCs w:val="20"/>
          <w:highlight w:val="none"/>
        </w:rPr>
        <w:t>273</w:t>
      </w:r>
      <w:r>
        <w:rPr>
          <w:rFonts w:ascii="Times New Roman" w:hAnsi="Times New Roman" w:cs="Times New Roman"/>
          <w:color w:val="auto"/>
          <w:w w:val="99"/>
          <w:kern w:val="2"/>
          <w:szCs w:val="20"/>
          <w:highlight w:val="none"/>
        </w:rPr>
        <w:t>m、</w:t>
      </w:r>
      <w:r>
        <w:rPr>
          <w:rFonts w:hint="eastAsia" w:ascii="Times New Roman" w:hAnsi="Times New Roman" w:cs="Times New Roman"/>
          <w:color w:val="auto"/>
          <w:w w:val="99"/>
          <w:kern w:val="2"/>
          <w:szCs w:val="20"/>
          <w:highlight w:val="none"/>
        </w:rPr>
        <w:t>996</w:t>
      </w:r>
      <w:r>
        <w:rPr>
          <w:rFonts w:ascii="Times New Roman" w:hAnsi="Times New Roman" w:cs="Times New Roman"/>
          <w:color w:val="auto"/>
          <w:w w:val="99"/>
          <w:kern w:val="2"/>
          <w:szCs w:val="20"/>
          <w:highlight w:val="none"/>
        </w:rPr>
        <w:t>m范围内石油类超出了《地表水环境质量标准》（GB3838-2002）中</w:t>
      </w:r>
      <w:r>
        <w:rPr>
          <w:rFonts w:ascii="Times New Roman" w:hAnsi="Times New Roman" w:cs="Times New Roman"/>
          <w:color w:val="auto"/>
          <w:w w:val="99"/>
          <w:kern w:val="2"/>
          <w:szCs w:val="20"/>
          <w:highlight w:val="none"/>
        </w:rPr>
        <w:fldChar w:fldCharType="begin"/>
      </w:r>
      <w:r>
        <w:rPr>
          <w:rFonts w:ascii="Times New Roman" w:hAnsi="Times New Roman" w:cs="Times New Roman"/>
          <w:color w:val="auto"/>
          <w:w w:val="99"/>
          <w:kern w:val="2"/>
          <w:szCs w:val="20"/>
          <w:highlight w:val="none"/>
        </w:rPr>
        <w:instrText xml:space="preserve"> = 2 \* ROMAN </w:instrText>
      </w:r>
      <w:r>
        <w:rPr>
          <w:rFonts w:ascii="Times New Roman" w:hAnsi="Times New Roman" w:cs="Times New Roman"/>
          <w:color w:val="auto"/>
          <w:w w:val="99"/>
          <w:kern w:val="2"/>
          <w:szCs w:val="20"/>
          <w:highlight w:val="none"/>
        </w:rPr>
        <w:fldChar w:fldCharType="separate"/>
      </w:r>
      <w:r>
        <w:rPr>
          <w:rFonts w:ascii="Times New Roman" w:hAnsi="Times New Roman" w:cs="Times New Roman"/>
          <w:color w:val="auto"/>
          <w:w w:val="99"/>
          <w:kern w:val="2"/>
          <w:szCs w:val="20"/>
          <w:highlight w:val="none"/>
        </w:rPr>
        <w:t>II</w:t>
      </w:r>
      <w:r>
        <w:rPr>
          <w:rFonts w:ascii="Times New Roman" w:hAnsi="Times New Roman" w:cs="Times New Roman"/>
          <w:color w:val="auto"/>
          <w:w w:val="99"/>
          <w:kern w:val="2"/>
          <w:szCs w:val="20"/>
          <w:highlight w:val="none"/>
        </w:rPr>
        <w:fldChar w:fldCharType="end"/>
      </w:r>
      <w:r>
        <w:rPr>
          <w:rFonts w:ascii="Times New Roman" w:hAnsi="Times New Roman" w:cs="Times New Roman"/>
          <w:color w:val="auto"/>
          <w:w w:val="99"/>
          <w:kern w:val="2"/>
          <w:szCs w:val="20"/>
          <w:highlight w:val="none"/>
        </w:rPr>
        <w:t>类标准限值。事故状态下地下水影响范围内无地下水饮用水井，因此本项目对周边村屯地下水环境的影响较小。</w:t>
      </w:r>
    </w:p>
    <w:bookmarkEnd w:id="864"/>
    <w:bookmarkEnd w:id="865"/>
    <w:bookmarkEnd w:id="866"/>
    <w:bookmarkEnd w:id="867"/>
    <w:bookmarkEnd w:id="868"/>
    <w:bookmarkEnd w:id="869"/>
    <w:bookmarkEnd w:id="870"/>
    <w:bookmarkEnd w:id="871"/>
    <w:bookmarkEnd w:id="872"/>
    <w:p w14:paraId="070364C6">
      <w:pPr>
        <w:pStyle w:val="5"/>
        <w:keepNext w:val="0"/>
        <w:keepLines w:val="0"/>
        <w:widowControl w:val="0"/>
        <w:spacing w:before="120" w:after="120"/>
        <w:rPr>
          <w:rFonts w:ascii="Times New Roman" w:hAnsi="Times New Roman" w:eastAsia="宋体"/>
          <w:b/>
          <w:snapToGrid w:val="0"/>
          <w:color w:val="auto"/>
          <w:w w:val="99"/>
          <w:highlight w:val="none"/>
        </w:rPr>
      </w:pPr>
      <w:bookmarkStart w:id="889" w:name="_Toc438822741"/>
      <w:bookmarkStart w:id="890" w:name="_Toc17411"/>
      <w:bookmarkStart w:id="891" w:name="_Toc65426004"/>
      <w:r>
        <w:rPr>
          <w:rFonts w:ascii="Times New Roman" w:hAnsi="Times New Roman" w:eastAsia="宋体"/>
          <w:b/>
          <w:snapToGrid w:val="0"/>
          <w:color w:val="auto"/>
          <w:w w:val="99"/>
          <w:highlight w:val="none"/>
        </w:rPr>
        <w:t>5.4声环境影响</w:t>
      </w:r>
      <w:bookmarkEnd w:id="889"/>
      <w:r>
        <w:rPr>
          <w:rFonts w:ascii="Times New Roman" w:hAnsi="Times New Roman" w:eastAsia="宋体"/>
          <w:b/>
          <w:snapToGrid w:val="0"/>
          <w:color w:val="auto"/>
          <w:w w:val="99"/>
          <w:highlight w:val="none"/>
        </w:rPr>
        <w:t>预测与评价</w:t>
      </w:r>
      <w:bookmarkEnd w:id="890"/>
      <w:bookmarkEnd w:id="891"/>
    </w:p>
    <w:p w14:paraId="283DA16D">
      <w:pPr>
        <w:pStyle w:val="7"/>
        <w:widowControl w:val="0"/>
        <w:spacing w:before="60" w:after="60" w:line="440" w:lineRule="exact"/>
        <w:jc w:val="both"/>
        <w:rPr>
          <w:rFonts w:eastAsiaTheme="minorEastAsia"/>
          <w:b/>
          <w:color w:val="auto"/>
          <w:w w:val="99"/>
          <w:kern w:val="2"/>
          <w:sz w:val="24"/>
          <w:szCs w:val="24"/>
          <w:highlight w:val="none"/>
        </w:rPr>
      </w:pPr>
      <w:bookmarkStart w:id="892" w:name="_Toc131167351"/>
      <w:bookmarkStart w:id="893" w:name="_Toc84929292"/>
      <w:bookmarkStart w:id="894" w:name="_Toc126863451"/>
      <w:bookmarkStart w:id="895" w:name="_Toc143099638"/>
      <w:bookmarkStart w:id="896" w:name="_Toc85640820"/>
      <w:bookmarkStart w:id="897" w:name="_Toc127192400"/>
      <w:bookmarkStart w:id="898" w:name="_Toc86141995"/>
      <w:bookmarkStart w:id="899" w:name="_Toc186444347"/>
      <w:r>
        <w:rPr>
          <w:rFonts w:eastAsiaTheme="minorEastAsia"/>
          <w:b/>
          <w:color w:val="auto"/>
          <w:w w:val="99"/>
          <w:kern w:val="2"/>
          <w:sz w:val="24"/>
          <w:szCs w:val="24"/>
          <w:highlight w:val="none"/>
        </w:rPr>
        <w:t>5.4.1施工期</w:t>
      </w:r>
      <w:bookmarkEnd w:id="892"/>
      <w:bookmarkEnd w:id="893"/>
      <w:bookmarkEnd w:id="894"/>
      <w:bookmarkEnd w:id="895"/>
      <w:bookmarkEnd w:id="896"/>
      <w:bookmarkEnd w:id="897"/>
      <w:bookmarkEnd w:id="898"/>
      <w:bookmarkEnd w:id="899"/>
    </w:p>
    <w:p w14:paraId="5F668D7D">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本项目与同期建设项目</w:t>
      </w:r>
      <w:r>
        <w:rPr>
          <w:rFonts w:ascii="Times New Roman" w:hAnsi="Times New Roman" w:cs="Times New Roman"/>
          <w:color w:val="auto"/>
          <w:w w:val="99"/>
          <w:kern w:val="2"/>
          <w:highlight w:val="none"/>
        </w:rPr>
        <w:t>地面施工期主要噪声源包括挖掘机、推土机、压路机、电焊机、推土机、运输车辆等设备噪声及运输车辆的交通噪声。将各种施工机械等近似为点声源，采用最大噪声值，仅考虑距离衰减进行计算，可得到施工期各种机械等在不同距离处的噪声贡献值，采用无指向性点声源几何发散衰减的基本公式。</w:t>
      </w:r>
    </w:p>
    <w:p w14:paraId="7C4EEBC4">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无指向性点声源几何发散衰减的基本公式：</w:t>
      </w:r>
    </w:p>
    <w:p w14:paraId="7AB7CBF7">
      <w:pPr>
        <w:widowControl w:val="0"/>
        <w:spacing w:line="440" w:lineRule="exact"/>
        <w:jc w:val="center"/>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L</w:t>
      </w:r>
      <w:r>
        <w:rPr>
          <w:rFonts w:ascii="Times New Roman" w:hAnsi="Times New Roman" w:cs="Times New Roman"/>
          <w:color w:val="auto"/>
          <w:w w:val="99"/>
          <w:kern w:val="2"/>
          <w:highlight w:val="none"/>
          <w:vertAlign w:val="subscript"/>
        </w:rPr>
        <w:t>P</w:t>
      </w:r>
      <w:r>
        <w:rPr>
          <w:rFonts w:ascii="Times New Roman" w:hAnsi="Times New Roman" w:cs="Times New Roman"/>
          <w:color w:val="auto"/>
          <w:w w:val="99"/>
          <w:kern w:val="2"/>
          <w:highlight w:val="none"/>
        </w:rPr>
        <w:t>(r)= L</w:t>
      </w:r>
      <w:r>
        <w:rPr>
          <w:rFonts w:ascii="Times New Roman" w:hAnsi="Times New Roman" w:cs="Times New Roman"/>
          <w:color w:val="auto"/>
          <w:w w:val="99"/>
          <w:kern w:val="2"/>
          <w:highlight w:val="none"/>
          <w:vertAlign w:val="subscript"/>
        </w:rPr>
        <w:t>P</w:t>
      </w:r>
      <w:r>
        <w:rPr>
          <w:rFonts w:ascii="Times New Roman" w:hAnsi="Times New Roman" w:cs="Times New Roman"/>
          <w:color w:val="auto"/>
          <w:w w:val="99"/>
          <w:kern w:val="2"/>
          <w:highlight w:val="none"/>
        </w:rPr>
        <w:t>(r</w:t>
      </w:r>
      <w:r>
        <w:rPr>
          <w:rFonts w:ascii="Times New Roman" w:hAnsi="Times New Roman" w:cs="Times New Roman"/>
          <w:color w:val="auto"/>
          <w:w w:val="99"/>
          <w:kern w:val="2"/>
          <w:highlight w:val="none"/>
          <w:vertAlign w:val="subscript"/>
        </w:rPr>
        <w:t>0</w:t>
      </w:r>
      <w:r>
        <w:rPr>
          <w:rFonts w:ascii="Times New Roman" w:hAnsi="Times New Roman" w:cs="Times New Roman"/>
          <w:color w:val="auto"/>
          <w:w w:val="99"/>
          <w:kern w:val="2"/>
          <w:highlight w:val="none"/>
        </w:rPr>
        <w:t>)-20lg(r/r</w:t>
      </w:r>
      <w:r>
        <w:rPr>
          <w:rFonts w:ascii="Times New Roman" w:hAnsi="Times New Roman" w:cs="Times New Roman"/>
          <w:color w:val="auto"/>
          <w:w w:val="99"/>
          <w:kern w:val="2"/>
          <w:highlight w:val="none"/>
          <w:vertAlign w:val="subscript"/>
        </w:rPr>
        <w:t>0</w:t>
      </w:r>
      <w:r>
        <w:rPr>
          <w:rFonts w:ascii="Times New Roman" w:hAnsi="Times New Roman" w:cs="Times New Roman"/>
          <w:color w:val="auto"/>
          <w:w w:val="99"/>
          <w:kern w:val="2"/>
          <w:highlight w:val="none"/>
        </w:rPr>
        <w:t>)</w:t>
      </w:r>
    </w:p>
    <w:p w14:paraId="7818B60B">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式中：L</w:t>
      </w:r>
      <w:r>
        <w:rPr>
          <w:rFonts w:ascii="Times New Roman" w:hAnsi="Times New Roman" w:cs="Times New Roman"/>
          <w:color w:val="auto"/>
          <w:w w:val="99"/>
          <w:kern w:val="2"/>
          <w:highlight w:val="none"/>
          <w:vertAlign w:val="subscript"/>
        </w:rPr>
        <w:t>P</w:t>
      </w:r>
      <w:r>
        <w:rPr>
          <w:rFonts w:ascii="Times New Roman" w:hAnsi="Times New Roman" w:cs="Times New Roman"/>
          <w:color w:val="auto"/>
          <w:w w:val="99"/>
          <w:kern w:val="2"/>
          <w:highlight w:val="none"/>
        </w:rPr>
        <w:t>(r) ——预测点处声压级，dB；</w:t>
      </w:r>
    </w:p>
    <w:p w14:paraId="670CB2D0">
      <w:pPr>
        <w:widowControl w:val="0"/>
        <w:spacing w:line="440" w:lineRule="exact"/>
        <w:ind w:firstLine="1185" w:firstLineChars="5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L</w:t>
      </w:r>
      <w:r>
        <w:rPr>
          <w:rFonts w:ascii="Times New Roman" w:hAnsi="Times New Roman" w:cs="Times New Roman"/>
          <w:color w:val="auto"/>
          <w:w w:val="99"/>
          <w:kern w:val="2"/>
          <w:highlight w:val="none"/>
          <w:vertAlign w:val="subscript"/>
        </w:rPr>
        <w:t>P</w:t>
      </w:r>
      <w:r>
        <w:rPr>
          <w:rFonts w:ascii="Times New Roman" w:hAnsi="Times New Roman" w:cs="Times New Roman"/>
          <w:color w:val="auto"/>
          <w:w w:val="99"/>
          <w:kern w:val="2"/>
          <w:highlight w:val="none"/>
        </w:rPr>
        <w:t>(r</w:t>
      </w:r>
      <w:r>
        <w:rPr>
          <w:rFonts w:ascii="Times New Roman" w:hAnsi="Times New Roman" w:cs="Times New Roman"/>
          <w:color w:val="auto"/>
          <w:w w:val="99"/>
          <w:kern w:val="2"/>
          <w:highlight w:val="none"/>
          <w:vertAlign w:val="subscript"/>
        </w:rPr>
        <w:t>0</w:t>
      </w:r>
      <w:r>
        <w:rPr>
          <w:rFonts w:ascii="Times New Roman" w:hAnsi="Times New Roman" w:cs="Times New Roman"/>
          <w:color w:val="auto"/>
          <w:w w:val="99"/>
          <w:kern w:val="2"/>
          <w:highlight w:val="none"/>
        </w:rPr>
        <w:t>) ——参考位置r</w:t>
      </w:r>
      <w:r>
        <w:rPr>
          <w:rFonts w:ascii="Times New Roman" w:hAnsi="Times New Roman" w:cs="Times New Roman"/>
          <w:color w:val="auto"/>
          <w:w w:val="99"/>
          <w:kern w:val="2"/>
          <w:highlight w:val="none"/>
          <w:vertAlign w:val="subscript"/>
        </w:rPr>
        <w:t>0</w:t>
      </w:r>
      <w:r>
        <w:rPr>
          <w:rFonts w:ascii="Times New Roman" w:hAnsi="Times New Roman" w:cs="Times New Roman"/>
          <w:color w:val="auto"/>
          <w:w w:val="99"/>
          <w:kern w:val="2"/>
          <w:highlight w:val="none"/>
        </w:rPr>
        <w:t>处的声压级，dB；</w:t>
      </w:r>
    </w:p>
    <w:p w14:paraId="6D34C846">
      <w:pPr>
        <w:widowControl w:val="0"/>
        <w:spacing w:line="440" w:lineRule="exact"/>
        <w:ind w:firstLine="1185" w:firstLineChars="5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r ——预测点距声源的距离；</w:t>
      </w:r>
    </w:p>
    <w:p w14:paraId="1CF42928">
      <w:pPr>
        <w:widowControl w:val="0"/>
        <w:spacing w:line="440" w:lineRule="exact"/>
        <w:ind w:firstLine="1185" w:firstLineChars="5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r</w:t>
      </w:r>
      <w:r>
        <w:rPr>
          <w:rFonts w:ascii="Times New Roman" w:hAnsi="Times New Roman" w:cs="Times New Roman"/>
          <w:color w:val="auto"/>
          <w:w w:val="99"/>
          <w:kern w:val="2"/>
          <w:highlight w:val="none"/>
          <w:vertAlign w:val="subscript"/>
        </w:rPr>
        <w:t>0</w:t>
      </w:r>
      <w:r>
        <w:rPr>
          <w:rFonts w:ascii="Times New Roman" w:hAnsi="Times New Roman" w:cs="Times New Roman"/>
          <w:color w:val="auto"/>
          <w:w w:val="99"/>
          <w:kern w:val="2"/>
          <w:highlight w:val="none"/>
        </w:rPr>
        <w:t>——参考位置距声源的距离。</w:t>
      </w:r>
    </w:p>
    <w:p w14:paraId="5DDBA398">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施工机械噪声衰减结果见表5.4-</w:t>
      </w:r>
      <w:r>
        <w:rPr>
          <w:rFonts w:hint="eastAsia" w:ascii="Times New Roman" w:hAnsi="Times New Roman" w:cs="Times New Roman"/>
          <w:color w:val="auto"/>
          <w:w w:val="99"/>
          <w:kern w:val="2"/>
          <w:highlight w:val="none"/>
        </w:rPr>
        <w:t>7</w:t>
      </w:r>
      <w:r>
        <w:rPr>
          <w:rFonts w:ascii="Times New Roman" w:hAnsi="Times New Roman" w:cs="Times New Roman"/>
          <w:color w:val="auto"/>
          <w:w w:val="99"/>
          <w:kern w:val="2"/>
          <w:highlight w:val="none"/>
        </w:rPr>
        <w:t>。</w:t>
      </w:r>
    </w:p>
    <w:p w14:paraId="4E1FE3AC">
      <w:pPr>
        <w:pStyle w:val="153"/>
        <w:widowControl w:val="0"/>
        <w:spacing w:line="440" w:lineRule="exact"/>
        <w:ind w:firstLine="474"/>
        <w:jc w:val="both"/>
        <w:rPr>
          <w:rFonts w:ascii="Times New Roman" w:hAnsi="Times New Roman"/>
          <w:b/>
          <w:color w:val="auto"/>
          <w:w w:val="99"/>
          <w:kern w:val="2"/>
          <w:highlight w:val="none"/>
        </w:rPr>
      </w:pPr>
      <w:r>
        <w:rPr>
          <w:rFonts w:ascii="Times New Roman" w:hAnsi="Times New Roman"/>
          <w:b/>
          <w:color w:val="auto"/>
          <w:w w:val="99"/>
          <w:kern w:val="2"/>
          <w:highlight w:val="none"/>
        </w:rPr>
        <w:t>表5.4-</w:t>
      </w:r>
      <w:r>
        <w:rPr>
          <w:rFonts w:hint="eastAsia" w:ascii="Times New Roman" w:hAnsi="Times New Roman"/>
          <w:b/>
          <w:color w:val="auto"/>
          <w:w w:val="99"/>
          <w:kern w:val="2"/>
          <w:highlight w:val="none"/>
        </w:rPr>
        <w:t>7</w:t>
      </w:r>
      <w:r>
        <w:rPr>
          <w:rFonts w:ascii="Times New Roman" w:hAnsi="Times New Roman"/>
          <w:b/>
          <w:color w:val="auto"/>
          <w:w w:val="99"/>
          <w:kern w:val="2"/>
          <w:highlight w:val="none"/>
        </w:rPr>
        <w:t xml:space="preserve">    施工期施工机械噪声统计表    单位：dB(A)</w:t>
      </w:r>
    </w:p>
    <w:tbl>
      <w:tblPr>
        <w:tblStyle w:val="1662"/>
        <w:tblW w:w="500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663"/>
        <w:gridCol w:w="1652"/>
        <w:gridCol w:w="628"/>
        <w:gridCol w:w="903"/>
        <w:gridCol w:w="804"/>
        <w:gridCol w:w="1121"/>
        <w:gridCol w:w="1148"/>
        <w:gridCol w:w="1177"/>
      </w:tblGrid>
      <w:tr w14:paraId="2D042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914" w:type="pct"/>
            <w:vMerge w:val="restart"/>
            <w:tcBorders>
              <w:top w:val="single" w:color="auto" w:sz="4" w:space="0"/>
              <w:left w:val="single" w:color="auto" w:sz="4" w:space="0"/>
              <w:bottom w:val="single" w:color="auto" w:sz="4" w:space="0"/>
              <w:right w:val="single" w:color="auto" w:sz="4" w:space="0"/>
            </w:tcBorders>
            <w:vAlign w:val="center"/>
          </w:tcPr>
          <w:p w14:paraId="386E1514">
            <w:pPr>
              <w:pStyle w:val="2857"/>
              <w:widowControl w:val="0"/>
              <w:spacing w:line="360" w:lineRule="exact"/>
              <w:jc w:val="center"/>
              <w:rPr>
                <w:rFonts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eastAsia="zh-CN"/>
              </w:rPr>
              <w:t>机械名称</w:t>
            </w:r>
          </w:p>
        </w:tc>
        <w:tc>
          <w:tcPr>
            <w:tcW w:w="908" w:type="pct"/>
            <w:tcBorders>
              <w:top w:val="single" w:color="auto" w:sz="4" w:space="0"/>
              <w:left w:val="single" w:color="auto" w:sz="4" w:space="0"/>
              <w:bottom w:val="single" w:color="auto" w:sz="4" w:space="0"/>
              <w:right w:val="single" w:color="auto" w:sz="4" w:space="0"/>
            </w:tcBorders>
            <w:vAlign w:val="center"/>
          </w:tcPr>
          <w:p w14:paraId="722B60B4">
            <w:pPr>
              <w:pStyle w:val="2857"/>
              <w:widowControl w:val="0"/>
              <w:spacing w:line="360" w:lineRule="exact"/>
              <w:jc w:val="center"/>
              <w:rPr>
                <w:rFonts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eastAsia="zh-CN"/>
              </w:rPr>
              <w:t>源强</w:t>
            </w:r>
          </w:p>
        </w:tc>
        <w:tc>
          <w:tcPr>
            <w:tcW w:w="3177" w:type="pct"/>
            <w:gridSpan w:val="6"/>
            <w:tcBorders>
              <w:top w:val="single" w:color="auto" w:sz="4" w:space="0"/>
              <w:left w:val="single" w:color="auto" w:sz="4" w:space="0"/>
              <w:bottom w:val="single" w:color="auto" w:sz="4" w:space="0"/>
              <w:right w:val="single" w:color="auto" w:sz="4" w:space="0"/>
            </w:tcBorders>
            <w:vAlign w:val="center"/>
          </w:tcPr>
          <w:p w14:paraId="0529BB53">
            <w:pPr>
              <w:pStyle w:val="2857"/>
              <w:widowControl w:val="0"/>
              <w:spacing w:line="360" w:lineRule="exact"/>
              <w:jc w:val="center"/>
              <w:rPr>
                <w:rFonts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eastAsia="zh-CN"/>
              </w:rPr>
              <w:t>离施工点距离不同处的噪声值</w:t>
            </w:r>
          </w:p>
        </w:tc>
      </w:tr>
      <w:tr w14:paraId="5C0CFF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914" w:type="pct"/>
            <w:vMerge w:val="continue"/>
            <w:tcBorders>
              <w:top w:val="single" w:color="auto" w:sz="4" w:space="0"/>
              <w:left w:val="single" w:color="auto" w:sz="4" w:space="0"/>
              <w:bottom w:val="single" w:color="auto" w:sz="4" w:space="0"/>
              <w:right w:val="single" w:color="auto" w:sz="4" w:space="0"/>
            </w:tcBorders>
            <w:vAlign w:val="center"/>
          </w:tcPr>
          <w:p w14:paraId="12A16143">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p>
        </w:tc>
        <w:tc>
          <w:tcPr>
            <w:tcW w:w="908" w:type="pct"/>
            <w:tcBorders>
              <w:top w:val="single" w:color="auto" w:sz="4" w:space="0"/>
              <w:left w:val="single" w:color="auto" w:sz="4" w:space="0"/>
              <w:bottom w:val="single" w:color="auto" w:sz="4" w:space="0"/>
              <w:right w:val="single" w:color="auto" w:sz="4" w:space="0"/>
            </w:tcBorders>
            <w:vAlign w:val="center"/>
          </w:tcPr>
          <w:p w14:paraId="541D138B">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1m 或 5m 处</w:t>
            </w:r>
          </w:p>
        </w:tc>
        <w:tc>
          <w:tcPr>
            <w:tcW w:w="345" w:type="pct"/>
            <w:tcBorders>
              <w:top w:val="single" w:color="auto" w:sz="4" w:space="0"/>
              <w:left w:val="single" w:color="auto" w:sz="4" w:space="0"/>
              <w:bottom w:val="single" w:color="auto" w:sz="4" w:space="0"/>
              <w:right w:val="single" w:color="auto" w:sz="4" w:space="0"/>
            </w:tcBorders>
            <w:vAlign w:val="center"/>
          </w:tcPr>
          <w:p w14:paraId="7A838AEB">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10m</w:t>
            </w:r>
          </w:p>
        </w:tc>
        <w:tc>
          <w:tcPr>
            <w:tcW w:w="496" w:type="pct"/>
            <w:tcBorders>
              <w:top w:val="single" w:color="auto" w:sz="4" w:space="0"/>
              <w:left w:val="single" w:color="auto" w:sz="4" w:space="0"/>
              <w:bottom w:val="single" w:color="auto" w:sz="4" w:space="0"/>
              <w:right w:val="single" w:color="auto" w:sz="4" w:space="0"/>
            </w:tcBorders>
            <w:vAlign w:val="center"/>
          </w:tcPr>
          <w:p w14:paraId="237547E4">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50m</w:t>
            </w:r>
          </w:p>
        </w:tc>
        <w:tc>
          <w:tcPr>
            <w:tcW w:w="442" w:type="pct"/>
            <w:tcBorders>
              <w:top w:val="single" w:color="auto" w:sz="4" w:space="0"/>
              <w:left w:val="single" w:color="auto" w:sz="4" w:space="0"/>
              <w:bottom w:val="single" w:color="auto" w:sz="4" w:space="0"/>
              <w:right w:val="single" w:color="auto" w:sz="4" w:space="0"/>
            </w:tcBorders>
            <w:vAlign w:val="center"/>
          </w:tcPr>
          <w:p w14:paraId="6553CCAB">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100m</w:t>
            </w:r>
          </w:p>
        </w:tc>
        <w:tc>
          <w:tcPr>
            <w:tcW w:w="616" w:type="pct"/>
            <w:tcBorders>
              <w:top w:val="single" w:color="auto" w:sz="4" w:space="0"/>
              <w:left w:val="single" w:color="auto" w:sz="4" w:space="0"/>
              <w:bottom w:val="single" w:color="auto" w:sz="4" w:space="0"/>
              <w:right w:val="single" w:color="auto" w:sz="4" w:space="0"/>
            </w:tcBorders>
            <w:vAlign w:val="center"/>
          </w:tcPr>
          <w:p w14:paraId="5ADFA9F7">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150m</w:t>
            </w:r>
          </w:p>
        </w:tc>
        <w:tc>
          <w:tcPr>
            <w:tcW w:w="631" w:type="pct"/>
            <w:tcBorders>
              <w:top w:val="single" w:color="auto" w:sz="4" w:space="0"/>
              <w:left w:val="single" w:color="auto" w:sz="4" w:space="0"/>
              <w:bottom w:val="single" w:color="auto" w:sz="4" w:space="0"/>
              <w:right w:val="single" w:color="auto" w:sz="4" w:space="0"/>
            </w:tcBorders>
            <w:vAlign w:val="center"/>
          </w:tcPr>
          <w:p w14:paraId="51884D82">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200m</w:t>
            </w:r>
          </w:p>
        </w:tc>
        <w:tc>
          <w:tcPr>
            <w:tcW w:w="644" w:type="pct"/>
            <w:tcBorders>
              <w:top w:val="single" w:color="auto" w:sz="4" w:space="0"/>
              <w:left w:val="single" w:color="auto" w:sz="4" w:space="0"/>
              <w:bottom w:val="single" w:color="auto" w:sz="4" w:space="0"/>
              <w:right w:val="single" w:color="auto" w:sz="4" w:space="0"/>
            </w:tcBorders>
            <w:vAlign w:val="center"/>
          </w:tcPr>
          <w:p w14:paraId="751259D4">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300m</w:t>
            </w:r>
          </w:p>
        </w:tc>
      </w:tr>
      <w:tr w14:paraId="5A2FD7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914" w:type="pct"/>
            <w:tcBorders>
              <w:top w:val="single" w:color="auto" w:sz="4" w:space="0"/>
              <w:left w:val="single" w:color="auto" w:sz="4" w:space="0"/>
              <w:bottom w:val="single" w:color="auto" w:sz="4" w:space="0"/>
              <w:right w:val="single" w:color="auto" w:sz="4" w:space="0"/>
            </w:tcBorders>
            <w:vAlign w:val="center"/>
          </w:tcPr>
          <w:p w14:paraId="79B45621">
            <w:pPr>
              <w:pStyle w:val="2857"/>
              <w:widowControl w:val="0"/>
              <w:spacing w:line="360" w:lineRule="exact"/>
              <w:jc w:val="center"/>
              <w:rPr>
                <w:rFonts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eastAsia="zh-CN"/>
              </w:rPr>
              <w:t>挖掘机</w:t>
            </w:r>
          </w:p>
        </w:tc>
        <w:tc>
          <w:tcPr>
            <w:tcW w:w="908" w:type="pct"/>
            <w:tcBorders>
              <w:top w:val="single" w:color="auto" w:sz="4" w:space="0"/>
              <w:left w:val="single" w:color="auto" w:sz="4" w:space="0"/>
              <w:bottom w:val="single" w:color="auto" w:sz="4" w:space="0"/>
              <w:right w:val="single" w:color="auto" w:sz="4" w:space="0"/>
            </w:tcBorders>
            <w:vAlign w:val="center"/>
          </w:tcPr>
          <w:p w14:paraId="165919A4">
            <w:pPr>
              <w:pStyle w:val="2857"/>
              <w:widowControl w:val="0"/>
              <w:spacing w:line="360" w:lineRule="exact"/>
              <w:jc w:val="center"/>
              <w:rPr>
                <w:rFonts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eastAsia="zh-CN"/>
              </w:rPr>
              <w:t>90（5m 处）</w:t>
            </w:r>
          </w:p>
        </w:tc>
        <w:tc>
          <w:tcPr>
            <w:tcW w:w="345" w:type="pct"/>
            <w:tcBorders>
              <w:top w:val="single" w:color="auto" w:sz="4" w:space="0"/>
              <w:left w:val="single" w:color="auto" w:sz="4" w:space="0"/>
              <w:bottom w:val="single" w:color="auto" w:sz="4" w:space="0"/>
              <w:right w:val="single" w:color="auto" w:sz="4" w:space="0"/>
            </w:tcBorders>
            <w:vAlign w:val="center"/>
          </w:tcPr>
          <w:p w14:paraId="7339608C">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84</w:t>
            </w:r>
          </w:p>
        </w:tc>
        <w:tc>
          <w:tcPr>
            <w:tcW w:w="496" w:type="pct"/>
            <w:tcBorders>
              <w:top w:val="single" w:color="auto" w:sz="4" w:space="0"/>
              <w:left w:val="single" w:color="auto" w:sz="4" w:space="0"/>
              <w:bottom w:val="single" w:color="auto" w:sz="4" w:space="0"/>
              <w:right w:val="single" w:color="auto" w:sz="4" w:space="0"/>
            </w:tcBorders>
            <w:vAlign w:val="center"/>
          </w:tcPr>
          <w:p w14:paraId="7B39CEFF">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70</w:t>
            </w:r>
          </w:p>
        </w:tc>
        <w:tc>
          <w:tcPr>
            <w:tcW w:w="442" w:type="pct"/>
            <w:tcBorders>
              <w:top w:val="single" w:color="auto" w:sz="4" w:space="0"/>
              <w:left w:val="single" w:color="auto" w:sz="4" w:space="0"/>
              <w:bottom w:val="single" w:color="auto" w:sz="4" w:space="0"/>
              <w:right w:val="single" w:color="auto" w:sz="4" w:space="0"/>
            </w:tcBorders>
            <w:vAlign w:val="center"/>
          </w:tcPr>
          <w:p w14:paraId="73C6FB74">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64</w:t>
            </w:r>
          </w:p>
        </w:tc>
        <w:tc>
          <w:tcPr>
            <w:tcW w:w="616" w:type="pct"/>
            <w:tcBorders>
              <w:top w:val="single" w:color="auto" w:sz="4" w:space="0"/>
              <w:left w:val="single" w:color="auto" w:sz="4" w:space="0"/>
              <w:bottom w:val="single" w:color="auto" w:sz="4" w:space="0"/>
              <w:right w:val="single" w:color="auto" w:sz="4" w:space="0"/>
            </w:tcBorders>
            <w:vAlign w:val="center"/>
          </w:tcPr>
          <w:p w14:paraId="33A983DB">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60.5</w:t>
            </w:r>
          </w:p>
        </w:tc>
        <w:tc>
          <w:tcPr>
            <w:tcW w:w="631" w:type="pct"/>
            <w:tcBorders>
              <w:top w:val="single" w:color="auto" w:sz="4" w:space="0"/>
              <w:left w:val="single" w:color="auto" w:sz="4" w:space="0"/>
              <w:bottom w:val="single" w:color="auto" w:sz="4" w:space="0"/>
              <w:right w:val="single" w:color="auto" w:sz="4" w:space="0"/>
            </w:tcBorders>
            <w:vAlign w:val="center"/>
          </w:tcPr>
          <w:p w14:paraId="093445FF">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58</w:t>
            </w:r>
          </w:p>
        </w:tc>
        <w:tc>
          <w:tcPr>
            <w:tcW w:w="644" w:type="pct"/>
            <w:tcBorders>
              <w:top w:val="single" w:color="auto" w:sz="4" w:space="0"/>
              <w:left w:val="single" w:color="auto" w:sz="4" w:space="0"/>
              <w:bottom w:val="single" w:color="auto" w:sz="4" w:space="0"/>
              <w:right w:val="single" w:color="auto" w:sz="4" w:space="0"/>
            </w:tcBorders>
            <w:vAlign w:val="center"/>
          </w:tcPr>
          <w:p w14:paraId="356E0E85">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54.4</w:t>
            </w:r>
          </w:p>
        </w:tc>
      </w:tr>
      <w:tr w14:paraId="6CC1E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914" w:type="pct"/>
            <w:tcBorders>
              <w:top w:val="single" w:color="auto" w:sz="4" w:space="0"/>
              <w:left w:val="single" w:color="auto" w:sz="4" w:space="0"/>
              <w:bottom w:val="single" w:color="auto" w:sz="4" w:space="0"/>
              <w:right w:val="single" w:color="auto" w:sz="4" w:space="0"/>
            </w:tcBorders>
            <w:vAlign w:val="center"/>
          </w:tcPr>
          <w:p w14:paraId="78734152">
            <w:pPr>
              <w:pStyle w:val="2857"/>
              <w:widowControl w:val="0"/>
              <w:spacing w:line="360" w:lineRule="exact"/>
              <w:jc w:val="center"/>
              <w:rPr>
                <w:rFonts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eastAsia="zh-CN"/>
              </w:rPr>
              <w:t>推土机</w:t>
            </w:r>
          </w:p>
        </w:tc>
        <w:tc>
          <w:tcPr>
            <w:tcW w:w="908" w:type="pct"/>
            <w:tcBorders>
              <w:top w:val="single" w:color="auto" w:sz="4" w:space="0"/>
              <w:left w:val="single" w:color="auto" w:sz="4" w:space="0"/>
              <w:bottom w:val="single" w:color="auto" w:sz="4" w:space="0"/>
              <w:right w:val="single" w:color="auto" w:sz="4" w:space="0"/>
            </w:tcBorders>
            <w:vAlign w:val="center"/>
          </w:tcPr>
          <w:p w14:paraId="789DEFAE">
            <w:pPr>
              <w:pStyle w:val="2857"/>
              <w:widowControl w:val="0"/>
              <w:spacing w:line="360" w:lineRule="exact"/>
              <w:jc w:val="center"/>
              <w:rPr>
                <w:rFonts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eastAsia="zh-CN"/>
              </w:rPr>
              <w:t>88（5m 处）</w:t>
            </w:r>
          </w:p>
        </w:tc>
        <w:tc>
          <w:tcPr>
            <w:tcW w:w="345" w:type="pct"/>
            <w:tcBorders>
              <w:top w:val="single" w:color="auto" w:sz="4" w:space="0"/>
              <w:left w:val="single" w:color="auto" w:sz="4" w:space="0"/>
              <w:bottom w:val="single" w:color="auto" w:sz="4" w:space="0"/>
              <w:right w:val="single" w:color="auto" w:sz="4" w:space="0"/>
            </w:tcBorders>
            <w:vAlign w:val="center"/>
          </w:tcPr>
          <w:p w14:paraId="5E00E104">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82</w:t>
            </w:r>
          </w:p>
        </w:tc>
        <w:tc>
          <w:tcPr>
            <w:tcW w:w="496" w:type="pct"/>
            <w:tcBorders>
              <w:top w:val="single" w:color="auto" w:sz="4" w:space="0"/>
              <w:left w:val="single" w:color="auto" w:sz="4" w:space="0"/>
              <w:bottom w:val="single" w:color="auto" w:sz="4" w:space="0"/>
              <w:right w:val="single" w:color="auto" w:sz="4" w:space="0"/>
            </w:tcBorders>
            <w:vAlign w:val="center"/>
          </w:tcPr>
          <w:p w14:paraId="62C54B90">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68</w:t>
            </w:r>
          </w:p>
        </w:tc>
        <w:tc>
          <w:tcPr>
            <w:tcW w:w="442" w:type="pct"/>
            <w:tcBorders>
              <w:top w:val="single" w:color="auto" w:sz="4" w:space="0"/>
              <w:left w:val="single" w:color="auto" w:sz="4" w:space="0"/>
              <w:bottom w:val="single" w:color="auto" w:sz="4" w:space="0"/>
              <w:right w:val="single" w:color="auto" w:sz="4" w:space="0"/>
            </w:tcBorders>
            <w:vAlign w:val="center"/>
          </w:tcPr>
          <w:p w14:paraId="45F0CFD8">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62</w:t>
            </w:r>
          </w:p>
        </w:tc>
        <w:tc>
          <w:tcPr>
            <w:tcW w:w="616" w:type="pct"/>
            <w:tcBorders>
              <w:top w:val="single" w:color="auto" w:sz="4" w:space="0"/>
              <w:left w:val="single" w:color="auto" w:sz="4" w:space="0"/>
              <w:bottom w:val="single" w:color="auto" w:sz="4" w:space="0"/>
              <w:right w:val="single" w:color="auto" w:sz="4" w:space="0"/>
            </w:tcBorders>
            <w:vAlign w:val="center"/>
          </w:tcPr>
          <w:p w14:paraId="426266F6">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58.5</w:t>
            </w:r>
          </w:p>
        </w:tc>
        <w:tc>
          <w:tcPr>
            <w:tcW w:w="631" w:type="pct"/>
            <w:tcBorders>
              <w:top w:val="single" w:color="auto" w:sz="4" w:space="0"/>
              <w:left w:val="single" w:color="auto" w:sz="4" w:space="0"/>
              <w:bottom w:val="single" w:color="auto" w:sz="4" w:space="0"/>
              <w:right w:val="single" w:color="auto" w:sz="4" w:space="0"/>
            </w:tcBorders>
            <w:vAlign w:val="center"/>
          </w:tcPr>
          <w:p w14:paraId="5414CEDF">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56</w:t>
            </w:r>
          </w:p>
        </w:tc>
        <w:tc>
          <w:tcPr>
            <w:tcW w:w="644" w:type="pct"/>
            <w:tcBorders>
              <w:top w:val="single" w:color="auto" w:sz="4" w:space="0"/>
              <w:left w:val="single" w:color="auto" w:sz="4" w:space="0"/>
              <w:bottom w:val="single" w:color="auto" w:sz="4" w:space="0"/>
              <w:right w:val="single" w:color="auto" w:sz="4" w:space="0"/>
            </w:tcBorders>
            <w:vAlign w:val="center"/>
          </w:tcPr>
          <w:p w14:paraId="3D51233E">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52.4</w:t>
            </w:r>
          </w:p>
        </w:tc>
      </w:tr>
      <w:tr w14:paraId="3EFBB1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914" w:type="pct"/>
            <w:tcBorders>
              <w:top w:val="single" w:color="auto" w:sz="4" w:space="0"/>
              <w:left w:val="single" w:color="auto" w:sz="4" w:space="0"/>
              <w:bottom w:val="single" w:color="auto" w:sz="4" w:space="0"/>
              <w:right w:val="single" w:color="auto" w:sz="4" w:space="0"/>
            </w:tcBorders>
            <w:vAlign w:val="center"/>
          </w:tcPr>
          <w:p w14:paraId="64C9E7CA">
            <w:pPr>
              <w:pStyle w:val="2857"/>
              <w:widowControl w:val="0"/>
              <w:spacing w:line="360" w:lineRule="exact"/>
              <w:jc w:val="center"/>
              <w:rPr>
                <w:rFonts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eastAsia="zh-CN"/>
              </w:rPr>
              <w:t>压路机</w:t>
            </w:r>
          </w:p>
        </w:tc>
        <w:tc>
          <w:tcPr>
            <w:tcW w:w="908" w:type="pct"/>
            <w:tcBorders>
              <w:top w:val="single" w:color="auto" w:sz="4" w:space="0"/>
              <w:left w:val="single" w:color="auto" w:sz="4" w:space="0"/>
              <w:bottom w:val="single" w:color="auto" w:sz="4" w:space="0"/>
              <w:right w:val="single" w:color="auto" w:sz="4" w:space="0"/>
            </w:tcBorders>
            <w:vAlign w:val="center"/>
          </w:tcPr>
          <w:p w14:paraId="30CE28A5">
            <w:pPr>
              <w:pStyle w:val="2857"/>
              <w:widowControl w:val="0"/>
              <w:spacing w:line="360" w:lineRule="exact"/>
              <w:jc w:val="center"/>
              <w:rPr>
                <w:rFonts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eastAsia="zh-CN"/>
              </w:rPr>
              <w:t>90（5m 处）</w:t>
            </w:r>
          </w:p>
        </w:tc>
        <w:tc>
          <w:tcPr>
            <w:tcW w:w="345" w:type="pct"/>
            <w:tcBorders>
              <w:top w:val="single" w:color="auto" w:sz="4" w:space="0"/>
              <w:left w:val="single" w:color="auto" w:sz="4" w:space="0"/>
              <w:bottom w:val="single" w:color="auto" w:sz="4" w:space="0"/>
              <w:right w:val="single" w:color="auto" w:sz="4" w:space="0"/>
            </w:tcBorders>
            <w:vAlign w:val="center"/>
          </w:tcPr>
          <w:p w14:paraId="6FFA09DF">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84</w:t>
            </w:r>
          </w:p>
        </w:tc>
        <w:tc>
          <w:tcPr>
            <w:tcW w:w="496" w:type="pct"/>
            <w:tcBorders>
              <w:top w:val="single" w:color="auto" w:sz="4" w:space="0"/>
              <w:left w:val="single" w:color="auto" w:sz="4" w:space="0"/>
              <w:bottom w:val="single" w:color="auto" w:sz="4" w:space="0"/>
              <w:right w:val="single" w:color="auto" w:sz="4" w:space="0"/>
            </w:tcBorders>
            <w:vAlign w:val="center"/>
          </w:tcPr>
          <w:p w14:paraId="6659983C">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70</w:t>
            </w:r>
          </w:p>
        </w:tc>
        <w:tc>
          <w:tcPr>
            <w:tcW w:w="442" w:type="pct"/>
            <w:tcBorders>
              <w:top w:val="single" w:color="auto" w:sz="4" w:space="0"/>
              <w:left w:val="single" w:color="auto" w:sz="4" w:space="0"/>
              <w:bottom w:val="single" w:color="auto" w:sz="4" w:space="0"/>
              <w:right w:val="single" w:color="auto" w:sz="4" w:space="0"/>
            </w:tcBorders>
            <w:vAlign w:val="center"/>
          </w:tcPr>
          <w:p w14:paraId="1632291D">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64</w:t>
            </w:r>
          </w:p>
        </w:tc>
        <w:tc>
          <w:tcPr>
            <w:tcW w:w="616" w:type="pct"/>
            <w:tcBorders>
              <w:top w:val="single" w:color="auto" w:sz="4" w:space="0"/>
              <w:left w:val="single" w:color="auto" w:sz="4" w:space="0"/>
              <w:bottom w:val="single" w:color="auto" w:sz="4" w:space="0"/>
              <w:right w:val="single" w:color="auto" w:sz="4" w:space="0"/>
            </w:tcBorders>
            <w:vAlign w:val="center"/>
          </w:tcPr>
          <w:p w14:paraId="1D6005EB">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60.5</w:t>
            </w:r>
          </w:p>
        </w:tc>
        <w:tc>
          <w:tcPr>
            <w:tcW w:w="631" w:type="pct"/>
            <w:tcBorders>
              <w:top w:val="single" w:color="auto" w:sz="4" w:space="0"/>
              <w:left w:val="single" w:color="auto" w:sz="4" w:space="0"/>
              <w:bottom w:val="single" w:color="auto" w:sz="4" w:space="0"/>
              <w:right w:val="single" w:color="auto" w:sz="4" w:space="0"/>
            </w:tcBorders>
            <w:vAlign w:val="center"/>
          </w:tcPr>
          <w:p w14:paraId="07CFCDAF">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58</w:t>
            </w:r>
          </w:p>
        </w:tc>
        <w:tc>
          <w:tcPr>
            <w:tcW w:w="644" w:type="pct"/>
            <w:tcBorders>
              <w:top w:val="single" w:color="auto" w:sz="4" w:space="0"/>
              <w:left w:val="single" w:color="auto" w:sz="4" w:space="0"/>
              <w:bottom w:val="single" w:color="auto" w:sz="4" w:space="0"/>
              <w:right w:val="single" w:color="auto" w:sz="4" w:space="0"/>
            </w:tcBorders>
            <w:vAlign w:val="center"/>
          </w:tcPr>
          <w:p w14:paraId="4A1266B9">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54.4</w:t>
            </w:r>
          </w:p>
        </w:tc>
      </w:tr>
      <w:tr w14:paraId="78939E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914" w:type="pct"/>
            <w:tcBorders>
              <w:top w:val="single" w:color="auto" w:sz="4" w:space="0"/>
              <w:left w:val="single" w:color="auto" w:sz="4" w:space="0"/>
              <w:bottom w:val="single" w:color="auto" w:sz="4" w:space="0"/>
              <w:right w:val="single" w:color="auto" w:sz="4" w:space="0"/>
            </w:tcBorders>
            <w:vAlign w:val="center"/>
          </w:tcPr>
          <w:p w14:paraId="58CAFF18">
            <w:pPr>
              <w:pStyle w:val="2857"/>
              <w:widowControl w:val="0"/>
              <w:spacing w:line="360" w:lineRule="exact"/>
              <w:jc w:val="center"/>
              <w:rPr>
                <w:rFonts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eastAsia="zh-CN"/>
              </w:rPr>
              <w:t>运输车辆</w:t>
            </w:r>
          </w:p>
        </w:tc>
        <w:tc>
          <w:tcPr>
            <w:tcW w:w="908" w:type="pct"/>
            <w:tcBorders>
              <w:top w:val="single" w:color="auto" w:sz="4" w:space="0"/>
              <w:left w:val="single" w:color="auto" w:sz="4" w:space="0"/>
              <w:bottom w:val="single" w:color="auto" w:sz="4" w:space="0"/>
              <w:right w:val="single" w:color="auto" w:sz="4" w:space="0"/>
            </w:tcBorders>
            <w:vAlign w:val="center"/>
          </w:tcPr>
          <w:p w14:paraId="7EA933AD">
            <w:pPr>
              <w:pStyle w:val="2857"/>
              <w:widowControl w:val="0"/>
              <w:spacing w:line="360" w:lineRule="exact"/>
              <w:jc w:val="center"/>
              <w:rPr>
                <w:rFonts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eastAsia="zh-CN"/>
              </w:rPr>
              <w:t>90（5m 处）</w:t>
            </w:r>
          </w:p>
        </w:tc>
        <w:tc>
          <w:tcPr>
            <w:tcW w:w="345" w:type="pct"/>
            <w:tcBorders>
              <w:top w:val="single" w:color="auto" w:sz="4" w:space="0"/>
              <w:left w:val="single" w:color="auto" w:sz="4" w:space="0"/>
              <w:bottom w:val="single" w:color="auto" w:sz="4" w:space="0"/>
              <w:right w:val="single" w:color="auto" w:sz="4" w:space="0"/>
            </w:tcBorders>
            <w:vAlign w:val="center"/>
          </w:tcPr>
          <w:p w14:paraId="3C306CA2">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84</w:t>
            </w:r>
          </w:p>
        </w:tc>
        <w:tc>
          <w:tcPr>
            <w:tcW w:w="496" w:type="pct"/>
            <w:tcBorders>
              <w:top w:val="single" w:color="auto" w:sz="4" w:space="0"/>
              <w:left w:val="single" w:color="auto" w:sz="4" w:space="0"/>
              <w:bottom w:val="single" w:color="auto" w:sz="4" w:space="0"/>
              <w:right w:val="single" w:color="auto" w:sz="4" w:space="0"/>
            </w:tcBorders>
            <w:vAlign w:val="center"/>
          </w:tcPr>
          <w:p w14:paraId="28C45533">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70</w:t>
            </w:r>
          </w:p>
        </w:tc>
        <w:tc>
          <w:tcPr>
            <w:tcW w:w="442" w:type="pct"/>
            <w:tcBorders>
              <w:top w:val="single" w:color="auto" w:sz="4" w:space="0"/>
              <w:left w:val="single" w:color="auto" w:sz="4" w:space="0"/>
              <w:bottom w:val="single" w:color="auto" w:sz="4" w:space="0"/>
              <w:right w:val="single" w:color="auto" w:sz="4" w:space="0"/>
            </w:tcBorders>
            <w:vAlign w:val="center"/>
          </w:tcPr>
          <w:p w14:paraId="0F0550E9">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64</w:t>
            </w:r>
          </w:p>
        </w:tc>
        <w:tc>
          <w:tcPr>
            <w:tcW w:w="616" w:type="pct"/>
            <w:tcBorders>
              <w:top w:val="single" w:color="auto" w:sz="4" w:space="0"/>
              <w:left w:val="single" w:color="auto" w:sz="4" w:space="0"/>
              <w:bottom w:val="single" w:color="auto" w:sz="4" w:space="0"/>
              <w:right w:val="single" w:color="auto" w:sz="4" w:space="0"/>
            </w:tcBorders>
            <w:vAlign w:val="center"/>
          </w:tcPr>
          <w:p w14:paraId="59FDA3C7">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60.5</w:t>
            </w:r>
          </w:p>
        </w:tc>
        <w:tc>
          <w:tcPr>
            <w:tcW w:w="631" w:type="pct"/>
            <w:tcBorders>
              <w:top w:val="single" w:color="auto" w:sz="4" w:space="0"/>
              <w:left w:val="single" w:color="auto" w:sz="4" w:space="0"/>
              <w:bottom w:val="single" w:color="auto" w:sz="4" w:space="0"/>
              <w:right w:val="single" w:color="auto" w:sz="4" w:space="0"/>
            </w:tcBorders>
            <w:vAlign w:val="center"/>
          </w:tcPr>
          <w:p w14:paraId="7280FEC7">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58</w:t>
            </w:r>
          </w:p>
        </w:tc>
        <w:tc>
          <w:tcPr>
            <w:tcW w:w="644" w:type="pct"/>
            <w:tcBorders>
              <w:top w:val="single" w:color="auto" w:sz="4" w:space="0"/>
              <w:left w:val="single" w:color="auto" w:sz="4" w:space="0"/>
              <w:bottom w:val="single" w:color="auto" w:sz="4" w:space="0"/>
              <w:right w:val="single" w:color="auto" w:sz="4" w:space="0"/>
            </w:tcBorders>
            <w:vAlign w:val="center"/>
          </w:tcPr>
          <w:p w14:paraId="59BB114D">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54.4</w:t>
            </w:r>
          </w:p>
        </w:tc>
      </w:tr>
      <w:tr w14:paraId="1DC869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914" w:type="pct"/>
            <w:tcBorders>
              <w:top w:val="single" w:color="auto" w:sz="4" w:space="0"/>
              <w:left w:val="single" w:color="auto" w:sz="4" w:space="0"/>
              <w:bottom w:val="single" w:color="auto" w:sz="4" w:space="0"/>
              <w:right w:val="single" w:color="auto" w:sz="4" w:space="0"/>
            </w:tcBorders>
            <w:vAlign w:val="center"/>
          </w:tcPr>
          <w:p w14:paraId="522CB5F4">
            <w:pPr>
              <w:pStyle w:val="2857"/>
              <w:widowControl w:val="0"/>
              <w:spacing w:line="360" w:lineRule="exact"/>
              <w:jc w:val="center"/>
              <w:rPr>
                <w:rFonts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eastAsia="zh-CN"/>
              </w:rPr>
              <w:t>电焊机</w:t>
            </w:r>
          </w:p>
        </w:tc>
        <w:tc>
          <w:tcPr>
            <w:tcW w:w="908" w:type="pct"/>
            <w:tcBorders>
              <w:top w:val="single" w:color="auto" w:sz="4" w:space="0"/>
              <w:left w:val="single" w:color="auto" w:sz="4" w:space="0"/>
              <w:bottom w:val="single" w:color="auto" w:sz="4" w:space="0"/>
              <w:right w:val="single" w:color="auto" w:sz="4" w:space="0"/>
            </w:tcBorders>
            <w:vAlign w:val="center"/>
          </w:tcPr>
          <w:p w14:paraId="184D44A9">
            <w:pPr>
              <w:pStyle w:val="2857"/>
              <w:widowControl w:val="0"/>
              <w:spacing w:line="360" w:lineRule="exact"/>
              <w:jc w:val="center"/>
              <w:rPr>
                <w:rFonts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eastAsia="zh-CN"/>
              </w:rPr>
              <w:t>95（1m 处）</w:t>
            </w:r>
          </w:p>
        </w:tc>
        <w:tc>
          <w:tcPr>
            <w:tcW w:w="345" w:type="pct"/>
            <w:tcBorders>
              <w:top w:val="single" w:color="auto" w:sz="4" w:space="0"/>
              <w:left w:val="single" w:color="auto" w:sz="4" w:space="0"/>
              <w:bottom w:val="single" w:color="auto" w:sz="4" w:space="0"/>
              <w:right w:val="single" w:color="auto" w:sz="4" w:space="0"/>
            </w:tcBorders>
            <w:vAlign w:val="center"/>
          </w:tcPr>
          <w:p w14:paraId="674FB3E6">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89</w:t>
            </w:r>
          </w:p>
        </w:tc>
        <w:tc>
          <w:tcPr>
            <w:tcW w:w="496" w:type="pct"/>
            <w:tcBorders>
              <w:top w:val="single" w:color="auto" w:sz="4" w:space="0"/>
              <w:left w:val="single" w:color="auto" w:sz="4" w:space="0"/>
              <w:bottom w:val="single" w:color="auto" w:sz="4" w:space="0"/>
              <w:right w:val="single" w:color="auto" w:sz="4" w:space="0"/>
            </w:tcBorders>
            <w:vAlign w:val="center"/>
          </w:tcPr>
          <w:p w14:paraId="77B57AB5">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75</w:t>
            </w:r>
          </w:p>
        </w:tc>
        <w:tc>
          <w:tcPr>
            <w:tcW w:w="442" w:type="pct"/>
            <w:tcBorders>
              <w:top w:val="single" w:color="auto" w:sz="4" w:space="0"/>
              <w:left w:val="single" w:color="auto" w:sz="4" w:space="0"/>
              <w:bottom w:val="single" w:color="auto" w:sz="4" w:space="0"/>
              <w:right w:val="single" w:color="auto" w:sz="4" w:space="0"/>
            </w:tcBorders>
            <w:vAlign w:val="center"/>
          </w:tcPr>
          <w:p w14:paraId="08317123">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69</w:t>
            </w:r>
          </w:p>
        </w:tc>
        <w:tc>
          <w:tcPr>
            <w:tcW w:w="616" w:type="pct"/>
            <w:tcBorders>
              <w:top w:val="single" w:color="auto" w:sz="4" w:space="0"/>
              <w:left w:val="single" w:color="auto" w:sz="4" w:space="0"/>
              <w:bottom w:val="single" w:color="auto" w:sz="4" w:space="0"/>
              <w:right w:val="single" w:color="auto" w:sz="4" w:space="0"/>
            </w:tcBorders>
            <w:vAlign w:val="center"/>
          </w:tcPr>
          <w:p w14:paraId="6BCDF719">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65.5</w:t>
            </w:r>
          </w:p>
        </w:tc>
        <w:tc>
          <w:tcPr>
            <w:tcW w:w="631" w:type="pct"/>
            <w:tcBorders>
              <w:top w:val="single" w:color="auto" w:sz="4" w:space="0"/>
              <w:left w:val="single" w:color="auto" w:sz="4" w:space="0"/>
              <w:bottom w:val="single" w:color="auto" w:sz="4" w:space="0"/>
              <w:right w:val="single" w:color="auto" w:sz="4" w:space="0"/>
            </w:tcBorders>
            <w:vAlign w:val="center"/>
          </w:tcPr>
          <w:p w14:paraId="578D5A70">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63.5</w:t>
            </w:r>
          </w:p>
        </w:tc>
        <w:tc>
          <w:tcPr>
            <w:tcW w:w="644" w:type="pct"/>
            <w:tcBorders>
              <w:top w:val="single" w:color="auto" w:sz="4" w:space="0"/>
              <w:left w:val="single" w:color="auto" w:sz="4" w:space="0"/>
              <w:bottom w:val="single" w:color="auto" w:sz="4" w:space="0"/>
              <w:right w:val="single" w:color="auto" w:sz="4" w:space="0"/>
            </w:tcBorders>
            <w:vAlign w:val="center"/>
          </w:tcPr>
          <w:p w14:paraId="64D36B4E">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59.4</w:t>
            </w:r>
          </w:p>
        </w:tc>
      </w:tr>
      <w:tr w14:paraId="0EAECD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914" w:type="pct"/>
            <w:tcBorders>
              <w:top w:val="single" w:color="auto" w:sz="4" w:space="0"/>
              <w:left w:val="single" w:color="auto" w:sz="4" w:space="0"/>
              <w:bottom w:val="single" w:color="auto" w:sz="4" w:space="0"/>
              <w:right w:val="single" w:color="auto" w:sz="4" w:space="0"/>
            </w:tcBorders>
            <w:vAlign w:val="center"/>
          </w:tcPr>
          <w:p w14:paraId="2C8054A2">
            <w:pPr>
              <w:pStyle w:val="2857"/>
              <w:widowControl w:val="0"/>
              <w:spacing w:line="360" w:lineRule="exact"/>
              <w:jc w:val="center"/>
              <w:rPr>
                <w:rFonts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eastAsia="zh-CN"/>
              </w:rPr>
              <w:t>吊管机</w:t>
            </w:r>
          </w:p>
        </w:tc>
        <w:tc>
          <w:tcPr>
            <w:tcW w:w="908" w:type="pct"/>
            <w:tcBorders>
              <w:top w:val="single" w:color="auto" w:sz="4" w:space="0"/>
              <w:left w:val="single" w:color="auto" w:sz="4" w:space="0"/>
              <w:bottom w:val="single" w:color="auto" w:sz="4" w:space="0"/>
              <w:right w:val="single" w:color="auto" w:sz="4" w:space="0"/>
            </w:tcBorders>
            <w:vAlign w:val="center"/>
          </w:tcPr>
          <w:p w14:paraId="523B97E1">
            <w:pPr>
              <w:pStyle w:val="2857"/>
              <w:widowControl w:val="0"/>
              <w:spacing w:line="360" w:lineRule="exact"/>
              <w:jc w:val="center"/>
              <w:rPr>
                <w:rFonts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eastAsia="zh-CN"/>
              </w:rPr>
              <w:t>75（1m 处）</w:t>
            </w:r>
          </w:p>
        </w:tc>
        <w:tc>
          <w:tcPr>
            <w:tcW w:w="345" w:type="pct"/>
            <w:tcBorders>
              <w:top w:val="single" w:color="auto" w:sz="4" w:space="0"/>
              <w:left w:val="single" w:color="auto" w:sz="4" w:space="0"/>
              <w:bottom w:val="single" w:color="auto" w:sz="4" w:space="0"/>
              <w:right w:val="single" w:color="auto" w:sz="4" w:space="0"/>
            </w:tcBorders>
            <w:vAlign w:val="center"/>
          </w:tcPr>
          <w:p w14:paraId="533E6216">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69</w:t>
            </w:r>
          </w:p>
        </w:tc>
        <w:tc>
          <w:tcPr>
            <w:tcW w:w="496" w:type="pct"/>
            <w:tcBorders>
              <w:top w:val="single" w:color="auto" w:sz="4" w:space="0"/>
              <w:left w:val="single" w:color="auto" w:sz="4" w:space="0"/>
              <w:bottom w:val="single" w:color="auto" w:sz="4" w:space="0"/>
              <w:right w:val="single" w:color="auto" w:sz="4" w:space="0"/>
            </w:tcBorders>
            <w:vAlign w:val="center"/>
          </w:tcPr>
          <w:p w14:paraId="1B45CD8C">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55</w:t>
            </w:r>
          </w:p>
        </w:tc>
        <w:tc>
          <w:tcPr>
            <w:tcW w:w="442" w:type="pct"/>
            <w:tcBorders>
              <w:top w:val="single" w:color="auto" w:sz="4" w:space="0"/>
              <w:left w:val="single" w:color="auto" w:sz="4" w:space="0"/>
              <w:bottom w:val="single" w:color="auto" w:sz="4" w:space="0"/>
              <w:right w:val="single" w:color="auto" w:sz="4" w:space="0"/>
            </w:tcBorders>
            <w:vAlign w:val="center"/>
          </w:tcPr>
          <w:p w14:paraId="5FEB2862">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49</w:t>
            </w:r>
          </w:p>
        </w:tc>
        <w:tc>
          <w:tcPr>
            <w:tcW w:w="616" w:type="pct"/>
            <w:tcBorders>
              <w:top w:val="single" w:color="auto" w:sz="4" w:space="0"/>
              <w:left w:val="single" w:color="auto" w:sz="4" w:space="0"/>
              <w:bottom w:val="single" w:color="auto" w:sz="4" w:space="0"/>
              <w:right w:val="single" w:color="auto" w:sz="4" w:space="0"/>
            </w:tcBorders>
            <w:vAlign w:val="center"/>
          </w:tcPr>
          <w:p w14:paraId="5B791E1A">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45.5</w:t>
            </w:r>
          </w:p>
        </w:tc>
        <w:tc>
          <w:tcPr>
            <w:tcW w:w="631" w:type="pct"/>
            <w:tcBorders>
              <w:top w:val="single" w:color="auto" w:sz="4" w:space="0"/>
              <w:left w:val="single" w:color="auto" w:sz="4" w:space="0"/>
              <w:bottom w:val="single" w:color="auto" w:sz="4" w:space="0"/>
              <w:right w:val="single" w:color="auto" w:sz="4" w:space="0"/>
            </w:tcBorders>
            <w:vAlign w:val="center"/>
          </w:tcPr>
          <w:p w14:paraId="5084B7DE">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43.5</w:t>
            </w:r>
          </w:p>
        </w:tc>
        <w:tc>
          <w:tcPr>
            <w:tcW w:w="644" w:type="pct"/>
            <w:tcBorders>
              <w:top w:val="single" w:color="auto" w:sz="4" w:space="0"/>
              <w:left w:val="single" w:color="auto" w:sz="4" w:space="0"/>
              <w:bottom w:val="single" w:color="auto" w:sz="4" w:space="0"/>
              <w:right w:val="single" w:color="auto" w:sz="4" w:space="0"/>
            </w:tcBorders>
            <w:vAlign w:val="center"/>
          </w:tcPr>
          <w:p w14:paraId="0E8E931F">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39.4</w:t>
            </w:r>
          </w:p>
        </w:tc>
      </w:tr>
      <w:tr w14:paraId="1843C2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914" w:type="pct"/>
            <w:tcBorders>
              <w:top w:val="single" w:color="auto" w:sz="4" w:space="0"/>
              <w:left w:val="single" w:color="auto" w:sz="4" w:space="0"/>
              <w:bottom w:val="single" w:color="auto" w:sz="4" w:space="0"/>
              <w:right w:val="single" w:color="auto" w:sz="4" w:space="0"/>
            </w:tcBorders>
            <w:vAlign w:val="center"/>
          </w:tcPr>
          <w:p w14:paraId="62FE304F">
            <w:pPr>
              <w:pStyle w:val="2857"/>
              <w:widowControl w:val="0"/>
              <w:spacing w:line="360" w:lineRule="exact"/>
              <w:jc w:val="center"/>
              <w:rPr>
                <w:rFonts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eastAsia="zh-CN"/>
              </w:rPr>
              <w:t>定向钻机</w:t>
            </w:r>
          </w:p>
        </w:tc>
        <w:tc>
          <w:tcPr>
            <w:tcW w:w="908" w:type="pct"/>
            <w:tcBorders>
              <w:top w:val="single" w:color="auto" w:sz="4" w:space="0"/>
              <w:left w:val="single" w:color="auto" w:sz="4" w:space="0"/>
              <w:bottom w:val="single" w:color="auto" w:sz="4" w:space="0"/>
              <w:right w:val="single" w:color="auto" w:sz="4" w:space="0"/>
            </w:tcBorders>
            <w:vAlign w:val="center"/>
          </w:tcPr>
          <w:p w14:paraId="4C9041CE">
            <w:pPr>
              <w:pStyle w:val="2857"/>
              <w:widowControl w:val="0"/>
              <w:spacing w:line="360" w:lineRule="exact"/>
              <w:jc w:val="center"/>
              <w:rPr>
                <w:rFonts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eastAsia="zh-CN"/>
              </w:rPr>
              <w:t>100（1m 处）</w:t>
            </w:r>
          </w:p>
        </w:tc>
        <w:tc>
          <w:tcPr>
            <w:tcW w:w="345" w:type="pct"/>
            <w:tcBorders>
              <w:top w:val="single" w:color="auto" w:sz="4" w:space="0"/>
              <w:left w:val="single" w:color="auto" w:sz="4" w:space="0"/>
              <w:bottom w:val="single" w:color="auto" w:sz="4" w:space="0"/>
              <w:right w:val="single" w:color="auto" w:sz="4" w:space="0"/>
            </w:tcBorders>
            <w:vAlign w:val="center"/>
          </w:tcPr>
          <w:p w14:paraId="55396662">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94</w:t>
            </w:r>
          </w:p>
        </w:tc>
        <w:tc>
          <w:tcPr>
            <w:tcW w:w="496" w:type="pct"/>
            <w:tcBorders>
              <w:top w:val="single" w:color="auto" w:sz="4" w:space="0"/>
              <w:left w:val="single" w:color="auto" w:sz="4" w:space="0"/>
              <w:bottom w:val="single" w:color="auto" w:sz="4" w:space="0"/>
              <w:right w:val="single" w:color="auto" w:sz="4" w:space="0"/>
            </w:tcBorders>
            <w:vAlign w:val="center"/>
          </w:tcPr>
          <w:p w14:paraId="1619A2AF">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80</w:t>
            </w:r>
          </w:p>
        </w:tc>
        <w:tc>
          <w:tcPr>
            <w:tcW w:w="442" w:type="pct"/>
            <w:tcBorders>
              <w:top w:val="single" w:color="auto" w:sz="4" w:space="0"/>
              <w:left w:val="single" w:color="auto" w:sz="4" w:space="0"/>
              <w:bottom w:val="single" w:color="auto" w:sz="4" w:space="0"/>
              <w:right w:val="single" w:color="auto" w:sz="4" w:space="0"/>
            </w:tcBorders>
            <w:vAlign w:val="center"/>
          </w:tcPr>
          <w:p w14:paraId="7082C852">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74</w:t>
            </w:r>
          </w:p>
        </w:tc>
        <w:tc>
          <w:tcPr>
            <w:tcW w:w="616" w:type="pct"/>
            <w:tcBorders>
              <w:top w:val="single" w:color="auto" w:sz="4" w:space="0"/>
              <w:left w:val="single" w:color="auto" w:sz="4" w:space="0"/>
              <w:bottom w:val="single" w:color="auto" w:sz="4" w:space="0"/>
              <w:right w:val="single" w:color="auto" w:sz="4" w:space="0"/>
            </w:tcBorders>
            <w:vAlign w:val="center"/>
          </w:tcPr>
          <w:p w14:paraId="644BED32">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70.5</w:t>
            </w:r>
          </w:p>
        </w:tc>
        <w:tc>
          <w:tcPr>
            <w:tcW w:w="631" w:type="pct"/>
            <w:tcBorders>
              <w:top w:val="single" w:color="auto" w:sz="4" w:space="0"/>
              <w:left w:val="single" w:color="auto" w:sz="4" w:space="0"/>
              <w:bottom w:val="single" w:color="auto" w:sz="4" w:space="0"/>
              <w:right w:val="single" w:color="auto" w:sz="4" w:space="0"/>
            </w:tcBorders>
            <w:vAlign w:val="center"/>
          </w:tcPr>
          <w:p w14:paraId="4FD7774C">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68</w:t>
            </w:r>
          </w:p>
        </w:tc>
        <w:tc>
          <w:tcPr>
            <w:tcW w:w="644" w:type="pct"/>
            <w:tcBorders>
              <w:top w:val="single" w:color="auto" w:sz="4" w:space="0"/>
              <w:left w:val="single" w:color="auto" w:sz="4" w:space="0"/>
              <w:bottom w:val="single" w:color="auto" w:sz="4" w:space="0"/>
              <w:right w:val="single" w:color="auto" w:sz="4" w:space="0"/>
            </w:tcBorders>
            <w:vAlign w:val="center"/>
          </w:tcPr>
          <w:p w14:paraId="18087A2D">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64.4</w:t>
            </w:r>
          </w:p>
        </w:tc>
      </w:tr>
      <w:tr w14:paraId="7C6B9A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14" w:type="pct"/>
            <w:tcBorders>
              <w:top w:val="single" w:color="auto" w:sz="4" w:space="0"/>
              <w:left w:val="single" w:color="auto" w:sz="4" w:space="0"/>
              <w:bottom w:val="single" w:color="auto" w:sz="4" w:space="0"/>
              <w:right w:val="single" w:color="auto" w:sz="4" w:space="0"/>
            </w:tcBorders>
            <w:vAlign w:val="center"/>
          </w:tcPr>
          <w:p w14:paraId="7A8889A6">
            <w:pPr>
              <w:pStyle w:val="2857"/>
              <w:widowControl w:val="0"/>
              <w:spacing w:line="360" w:lineRule="exact"/>
              <w:ind w:right="121" w:hanging="104"/>
              <w:jc w:val="center"/>
              <w:rPr>
                <w:rFonts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eastAsia="zh-CN"/>
              </w:rPr>
              <w:t>混凝土搅拌罐车</w:t>
            </w:r>
          </w:p>
        </w:tc>
        <w:tc>
          <w:tcPr>
            <w:tcW w:w="908" w:type="pct"/>
            <w:tcBorders>
              <w:top w:val="single" w:color="auto" w:sz="4" w:space="0"/>
              <w:left w:val="single" w:color="auto" w:sz="4" w:space="0"/>
              <w:bottom w:val="single" w:color="auto" w:sz="4" w:space="0"/>
              <w:right w:val="single" w:color="auto" w:sz="4" w:space="0"/>
            </w:tcBorders>
            <w:vAlign w:val="center"/>
          </w:tcPr>
          <w:p w14:paraId="6315A282">
            <w:pPr>
              <w:pStyle w:val="2857"/>
              <w:widowControl w:val="0"/>
              <w:spacing w:line="360" w:lineRule="exact"/>
              <w:jc w:val="center"/>
              <w:rPr>
                <w:rFonts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eastAsia="zh-CN"/>
              </w:rPr>
              <w:t>95（1m 处）</w:t>
            </w:r>
          </w:p>
        </w:tc>
        <w:tc>
          <w:tcPr>
            <w:tcW w:w="345" w:type="pct"/>
            <w:tcBorders>
              <w:top w:val="single" w:color="auto" w:sz="4" w:space="0"/>
              <w:left w:val="single" w:color="auto" w:sz="4" w:space="0"/>
              <w:bottom w:val="single" w:color="auto" w:sz="4" w:space="0"/>
              <w:right w:val="single" w:color="auto" w:sz="4" w:space="0"/>
            </w:tcBorders>
            <w:vAlign w:val="center"/>
          </w:tcPr>
          <w:p w14:paraId="50084325">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89</w:t>
            </w:r>
          </w:p>
        </w:tc>
        <w:tc>
          <w:tcPr>
            <w:tcW w:w="496" w:type="pct"/>
            <w:tcBorders>
              <w:top w:val="single" w:color="auto" w:sz="4" w:space="0"/>
              <w:left w:val="single" w:color="auto" w:sz="4" w:space="0"/>
              <w:bottom w:val="single" w:color="auto" w:sz="4" w:space="0"/>
              <w:right w:val="single" w:color="auto" w:sz="4" w:space="0"/>
            </w:tcBorders>
            <w:vAlign w:val="center"/>
          </w:tcPr>
          <w:p w14:paraId="6804CE30">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75</w:t>
            </w:r>
          </w:p>
        </w:tc>
        <w:tc>
          <w:tcPr>
            <w:tcW w:w="442" w:type="pct"/>
            <w:tcBorders>
              <w:top w:val="single" w:color="auto" w:sz="4" w:space="0"/>
              <w:left w:val="single" w:color="auto" w:sz="4" w:space="0"/>
              <w:bottom w:val="single" w:color="auto" w:sz="4" w:space="0"/>
              <w:right w:val="single" w:color="auto" w:sz="4" w:space="0"/>
            </w:tcBorders>
            <w:vAlign w:val="center"/>
          </w:tcPr>
          <w:p w14:paraId="1B66E8EC">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69</w:t>
            </w:r>
          </w:p>
        </w:tc>
        <w:tc>
          <w:tcPr>
            <w:tcW w:w="616" w:type="pct"/>
            <w:tcBorders>
              <w:top w:val="single" w:color="auto" w:sz="4" w:space="0"/>
              <w:left w:val="single" w:color="auto" w:sz="4" w:space="0"/>
              <w:bottom w:val="single" w:color="auto" w:sz="4" w:space="0"/>
              <w:right w:val="single" w:color="auto" w:sz="4" w:space="0"/>
            </w:tcBorders>
            <w:vAlign w:val="center"/>
          </w:tcPr>
          <w:p w14:paraId="56026546">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65.5</w:t>
            </w:r>
          </w:p>
        </w:tc>
        <w:tc>
          <w:tcPr>
            <w:tcW w:w="631" w:type="pct"/>
            <w:tcBorders>
              <w:top w:val="single" w:color="auto" w:sz="4" w:space="0"/>
              <w:left w:val="single" w:color="auto" w:sz="4" w:space="0"/>
              <w:bottom w:val="single" w:color="auto" w:sz="4" w:space="0"/>
              <w:right w:val="single" w:color="auto" w:sz="4" w:space="0"/>
            </w:tcBorders>
            <w:vAlign w:val="center"/>
          </w:tcPr>
          <w:p w14:paraId="34F40978">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63.5</w:t>
            </w:r>
          </w:p>
        </w:tc>
        <w:tc>
          <w:tcPr>
            <w:tcW w:w="644" w:type="pct"/>
            <w:tcBorders>
              <w:top w:val="single" w:color="auto" w:sz="4" w:space="0"/>
              <w:left w:val="single" w:color="auto" w:sz="4" w:space="0"/>
              <w:bottom w:val="single" w:color="auto" w:sz="4" w:space="0"/>
              <w:right w:val="single" w:color="auto" w:sz="4" w:space="0"/>
            </w:tcBorders>
            <w:vAlign w:val="center"/>
          </w:tcPr>
          <w:p w14:paraId="111C0EAC">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59.4</w:t>
            </w:r>
          </w:p>
        </w:tc>
      </w:tr>
      <w:tr w14:paraId="0EABE9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914" w:type="pct"/>
            <w:tcBorders>
              <w:top w:val="single" w:color="auto" w:sz="4" w:space="0"/>
              <w:left w:val="single" w:color="auto" w:sz="4" w:space="0"/>
              <w:bottom w:val="single" w:color="auto" w:sz="4" w:space="0"/>
              <w:right w:val="single" w:color="auto" w:sz="4" w:space="0"/>
            </w:tcBorders>
            <w:vAlign w:val="center"/>
          </w:tcPr>
          <w:p w14:paraId="470B5031">
            <w:pPr>
              <w:pStyle w:val="2857"/>
              <w:widowControl w:val="0"/>
              <w:spacing w:line="360" w:lineRule="exact"/>
              <w:jc w:val="center"/>
              <w:rPr>
                <w:rFonts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eastAsia="zh-CN"/>
              </w:rPr>
              <w:t>挖掘机</w:t>
            </w:r>
          </w:p>
        </w:tc>
        <w:tc>
          <w:tcPr>
            <w:tcW w:w="908" w:type="pct"/>
            <w:tcBorders>
              <w:top w:val="single" w:color="auto" w:sz="4" w:space="0"/>
              <w:left w:val="single" w:color="auto" w:sz="4" w:space="0"/>
              <w:bottom w:val="single" w:color="auto" w:sz="4" w:space="0"/>
              <w:right w:val="single" w:color="auto" w:sz="4" w:space="0"/>
            </w:tcBorders>
            <w:vAlign w:val="center"/>
          </w:tcPr>
          <w:p w14:paraId="181047F0">
            <w:pPr>
              <w:pStyle w:val="2857"/>
              <w:widowControl w:val="0"/>
              <w:spacing w:line="360" w:lineRule="exact"/>
              <w:jc w:val="center"/>
              <w:rPr>
                <w:rFonts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eastAsia="zh-CN"/>
              </w:rPr>
              <w:t>90（5m 处）</w:t>
            </w:r>
          </w:p>
        </w:tc>
        <w:tc>
          <w:tcPr>
            <w:tcW w:w="345" w:type="pct"/>
            <w:tcBorders>
              <w:top w:val="single" w:color="auto" w:sz="4" w:space="0"/>
              <w:left w:val="single" w:color="auto" w:sz="4" w:space="0"/>
              <w:bottom w:val="single" w:color="auto" w:sz="4" w:space="0"/>
              <w:right w:val="single" w:color="auto" w:sz="4" w:space="0"/>
            </w:tcBorders>
            <w:vAlign w:val="center"/>
          </w:tcPr>
          <w:p w14:paraId="43A47763">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84</w:t>
            </w:r>
          </w:p>
        </w:tc>
        <w:tc>
          <w:tcPr>
            <w:tcW w:w="496" w:type="pct"/>
            <w:tcBorders>
              <w:top w:val="single" w:color="auto" w:sz="4" w:space="0"/>
              <w:left w:val="single" w:color="auto" w:sz="4" w:space="0"/>
              <w:bottom w:val="single" w:color="auto" w:sz="4" w:space="0"/>
              <w:right w:val="single" w:color="auto" w:sz="4" w:space="0"/>
            </w:tcBorders>
            <w:vAlign w:val="center"/>
          </w:tcPr>
          <w:p w14:paraId="1784E975">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70</w:t>
            </w:r>
          </w:p>
        </w:tc>
        <w:tc>
          <w:tcPr>
            <w:tcW w:w="442" w:type="pct"/>
            <w:tcBorders>
              <w:top w:val="single" w:color="auto" w:sz="4" w:space="0"/>
              <w:left w:val="single" w:color="auto" w:sz="4" w:space="0"/>
              <w:bottom w:val="single" w:color="auto" w:sz="4" w:space="0"/>
              <w:right w:val="single" w:color="auto" w:sz="4" w:space="0"/>
            </w:tcBorders>
            <w:vAlign w:val="center"/>
          </w:tcPr>
          <w:p w14:paraId="60FCF4D5">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64</w:t>
            </w:r>
          </w:p>
        </w:tc>
        <w:tc>
          <w:tcPr>
            <w:tcW w:w="616" w:type="pct"/>
            <w:tcBorders>
              <w:top w:val="single" w:color="auto" w:sz="4" w:space="0"/>
              <w:left w:val="single" w:color="auto" w:sz="4" w:space="0"/>
              <w:bottom w:val="single" w:color="auto" w:sz="4" w:space="0"/>
              <w:right w:val="single" w:color="auto" w:sz="4" w:space="0"/>
            </w:tcBorders>
            <w:vAlign w:val="center"/>
          </w:tcPr>
          <w:p w14:paraId="63498C95">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60.5</w:t>
            </w:r>
          </w:p>
        </w:tc>
        <w:tc>
          <w:tcPr>
            <w:tcW w:w="631" w:type="pct"/>
            <w:tcBorders>
              <w:top w:val="single" w:color="auto" w:sz="4" w:space="0"/>
              <w:left w:val="single" w:color="auto" w:sz="4" w:space="0"/>
              <w:bottom w:val="single" w:color="auto" w:sz="4" w:space="0"/>
              <w:right w:val="single" w:color="auto" w:sz="4" w:space="0"/>
            </w:tcBorders>
            <w:vAlign w:val="center"/>
          </w:tcPr>
          <w:p w14:paraId="17A31DFA">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58</w:t>
            </w:r>
          </w:p>
        </w:tc>
        <w:tc>
          <w:tcPr>
            <w:tcW w:w="644" w:type="pct"/>
            <w:tcBorders>
              <w:top w:val="single" w:color="auto" w:sz="4" w:space="0"/>
              <w:left w:val="single" w:color="auto" w:sz="4" w:space="0"/>
              <w:bottom w:val="single" w:color="auto" w:sz="4" w:space="0"/>
              <w:right w:val="single" w:color="auto" w:sz="4" w:space="0"/>
            </w:tcBorders>
            <w:vAlign w:val="center"/>
          </w:tcPr>
          <w:p w14:paraId="67C1BE3C">
            <w:pPr>
              <w:widowControl w:val="0"/>
              <w:spacing w:line="360" w:lineRule="exact"/>
              <w:jc w:val="center"/>
              <w:rPr>
                <w:rFonts w:ascii="Times New Roman" w:hAnsi="Times New Roman" w:cs="Times New Roman" w:eastAsiaTheme="minorEastAsia"/>
                <w:color w:val="auto"/>
                <w:w w:val="99"/>
                <w:kern w:val="2"/>
                <w:sz w:val="21"/>
                <w:szCs w:val="21"/>
                <w:highlight w:val="none"/>
                <w:lang w:eastAsia="en-US"/>
              </w:rPr>
            </w:pPr>
            <w:r>
              <w:rPr>
                <w:rFonts w:hint="eastAsia" w:ascii="Times New Roman" w:hAnsi="Times New Roman" w:cs="Times New Roman" w:eastAsiaTheme="minorEastAsia"/>
                <w:color w:val="auto"/>
                <w:w w:val="99"/>
                <w:kern w:val="2"/>
                <w:sz w:val="21"/>
                <w:szCs w:val="21"/>
                <w:highlight w:val="none"/>
                <w:lang w:eastAsia="en-US"/>
              </w:rPr>
              <w:t>54.4</w:t>
            </w:r>
          </w:p>
        </w:tc>
      </w:tr>
    </w:tbl>
    <w:p w14:paraId="7425D394">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本项目地面工程道路施工、管线工程等仅在昼间进行施工，距离地面工程较近的声环境敏感点为</w:t>
      </w:r>
      <w:r>
        <w:rPr>
          <w:rFonts w:hint="eastAsia" w:ascii="Times New Roman" w:hAnsi="Times New Roman" w:cs="Times New Roman"/>
          <w:color w:val="auto"/>
          <w:w w:val="99"/>
          <w:kern w:val="2"/>
          <w:highlight w:val="none"/>
        </w:rPr>
        <w:t>采气管线西侧100m的尚家围子屯</w:t>
      </w:r>
      <w:r>
        <w:rPr>
          <w:rFonts w:ascii="Times New Roman" w:hAnsi="Times New Roman" w:cs="Times New Roman"/>
          <w:color w:val="auto"/>
          <w:w w:val="99"/>
          <w:kern w:val="2"/>
          <w:highlight w:val="none"/>
        </w:rPr>
        <w:t>，</w:t>
      </w:r>
      <w:r>
        <w:rPr>
          <w:rFonts w:hint="eastAsia" w:ascii="Times New Roman" w:hAnsi="Times New Roman" w:cs="Times New Roman"/>
          <w:color w:val="auto"/>
          <w:w w:val="99"/>
          <w:kern w:val="2"/>
          <w:highlight w:val="none"/>
        </w:rPr>
        <w:t>管线施工过程中采取人工开挖，并在靠近村屯一侧安装隔声屏障，</w:t>
      </w:r>
      <w:r>
        <w:rPr>
          <w:rFonts w:ascii="Times New Roman" w:hAnsi="Times New Roman" w:cs="Times New Roman"/>
          <w:color w:val="auto"/>
          <w:w w:val="99"/>
          <w:kern w:val="2"/>
          <w:highlight w:val="none"/>
        </w:rPr>
        <w:t>减少挖掘机等施工机械施工时间，降</w:t>
      </w:r>
      <w:r>
        <w:rPr>
          <w:rFonts w:ascii="Times New Roman" w:hAnsi="Times New Roman" w:cs="Times New Roman"/>
          <w:bCs/>
          <w:color w:val="auto"/>
          <w:w w:val="99"/>
          <w:kern w:val="2"/>
          <w:highlight w:val="none"/>
        </w:rPr>
        <w:t>低噪声影响</w:t>
      </w:r>
      <w:r>
        <w:rPr>
          <w:rFonts w:hint="eastAsia" w:ascii="Times New Roman" w:hAnsi="Times New Roman" w:cs="Times New Roman"/>
          <w:bCs/>
          <w:color w:val="auto"/>
          <w:w w:val="99"/>
          <w:kern w:val="2"/>
          <w:highlight w:val="none"/>
        </w:rPr>
        <w:t>，</w:t>
      </w:r>
      <w:r>
        <w:rPr>
          <w:rFonts w:ascii="Times New Roman" w:hAnsi="Times New Roman" w:cs="Times New Roman"/>
          <w:bCs/>
          <w:color w:val="auto"/>
          <w:w w:val="99"/>
          <w:kern w:val="2"/>
          <w:highlight w:val="none"/>
        </w:rPr>
        <w:t>声环境能够满足《声环境质量标准》（GB3096-2008）中1类区标准，</w:t>
      </w:r>
      <w:r>
        <w:rPr>
          <w:rFonts w:ascii="Times New Roman" w:hAnsi="Times New Roman" w:cs="Times New Roman"/>
          <w:color w:val="auto"/>
          <w:w w:val="99"/>
          <w:kern w:val="2"/>
          <w:highlight w:val="none"/>
        </w:rPr>
        <w:t>地面工程施工期拟采取以下措施：</w:t>
      </w:r>
    </w:p>
    <w:p w14:paraId="6A32D9B0">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color w:val="auto"/>
          <w:w w:val="99"/>
          <w:kern w:val="2"/>
          <w:highlight w:val="none"/>
        </w:rPr>
        <w:t>①</w:t>
      </w:r>
      <w:r>
        <w:rPr>
          <w:rFonts w:ascii="Times New Roman" w:hAnsi="Times New Roman" w:cs="Times New Roman"/>
          <w:color w:val="auto"/>
          <w:w w:val="99"/>
          <w:kern w:val="2"/>
          <w:highlight w:val="none"/>
        </w:rPr>
        <w:t>降低设备噪声。选用低噪声设备，注意对设备的维护和保养，合理操作，保证施工机械保持在最佳状态，降低噪声源强度。</w:t>
      </w:r>
    </w:p>
    <w:p w14:paraId="3BD617C5">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color w:val="auto"/>
          <w:w w:val="99"/>
          <w:kern w:val="2"/>
          <w:highlight w:val="none"/>
        </w:rPr>
        <w:t>②</w:t>
      </w:r>
      <w:r>
        <w:rPr>
          <w:rFonts w:ascii="Times New Roman" w:hAnsi="Times New Roman" w:cs="Times New Roman"/>
          <w:color w:val="auto"/>
          <w:w w:val="99"/>
          <w:kern w:val="2"/>
          <w:highlight w:val="none"/>
        </w:rPr>
        <w:t>合理安排施工进度，减少施工时间，不在夜间施工，调整同时作业的施工机械数量，降低对周围环境的影响。</w:t>
      </w:r>
    </w:p>
    <w:p w14:paraId="1F5AAA73">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color w:val="auto"/>
          <w:w w:val="99"/>
          <w:kern w:val="2"/>
          <w:highlight w:val="none"/>
        </w:rPr>
        <w:t>③</w:t>
      </w:r>
      <w:r>
        <w:rPr>
          <w:rFonts w:ascii="Times New Roman" w:hAnsi="Times New Roman" w:cs="Times New Roman"/>
          <w:color w:val="auto"/>
          <w:w w:val="99"/>
          <w:kern w:val="2"/>
          <w:highlight w:val="none"/>
        </w:rPr>
        <w:t>合理布置施工现场，尽量将高噪声机械布置远离环境敏感点一侧，同时，避免在同一地点安排较多的动力机械。</w:t>
      </w:r>
    </w:p>
    <w:p w14:paraId="7449B4FF">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color w:val="auto"/>
          <w:w w:val="99"/>
          <w:kern w:val="2"/>
          <w:highlight w:val="none"/>
        </w:rPr>
        <w:t>④</w:t>
      </w:r>
      <w:r>
        <w:rPr>
          <w:rFonts w:ascii="Times New Roman" w:hAnsi="Times New Roman" w:cs="Times New Roman"/>
          <w:color w:val="auto"/>
          <w:w w:val="99"/>
          <w:kern w:val="2"/>
          <w:highlight w:val="none"/>
        </w:rPr>
        <w:t>施工期运输车辆的运行路线应远离周围的居民区，合理选择路线进行绕行、避让措施，临近居民区应减少汽车鸣笛的次数，减速慢行，减少车辆噪声对居民区的不利影响。</w:t>
      </w:r>
    </w:p>
    <w:p w14:paraId="4AB195D2">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color w:val="auto"/>
          <w:w w:val="99"/>
          <w:kern w:val="2"/>
          <w:highlight w:val="none"/>
        </w:rPr>
        <w:t>⑤</w:t>
      </w:r>
      <w:r>
        <w:rPr>
          <w:rFonts w:ascii="Times New Roman" w:hAnsi="Times New Roman" w:cs="Times New Roman"/>
          <w:color w:val="auto"/>
          <w:w w:val="99"/>
          <w:kern w:val="2"/>
          <w:highlight w:val="none"/>
        </w:rPr>
        <w:t>在距离</w:t>
      </w:r>
      <w:r>
        <w:rPr>
          <w:rFonts w:hint="eastAsia" w:ascii="Times New Roman" w:hAnsi="Times New Roman" w:cs="Times New Roman"/>
          <w:bCs/>
          <w:color w:val="auto"/>
          <w:w w:val="99"/>
          <w:kern w:val="2"/>
          <w:highlight w:val="none"/>
        </w:rPr>
        <w:t>尚家围子</w:t>
      </w:r>
      <w:r>
        <w:rPr>
          <w:rFonts w:ascii="Times New Roman" w:hAnsi="Times New Roman" w:cs="Times New Roman"/>
          <w:bCs/>
          <w:color w:val="auto"/>
          <w:w w:val="99"/>
          <w:kern w:val="2"/>
          <w:highlight w:val="none"/>
        </w:rPr>
        <w:t>屯</w:t>
      </w:r>
      <w:r>
        <w:rPr>
          <w:rFonts w:ascii="Times New Roman" w:hAnsi="Times New Roman" w:cs="Times New Roman"/>
          <w:color w:val="auto"/>
          <w:w w:val="99"/>
          <w:kern w:val="2"/>
          <w:highlight w:val="none"/>
        </w:rPr>
        <w:t>较近</w:t>
      </w:r>
      <w:r>
        <w:rPr>
          <w:rFonts w:ascii="Times New Roman" w:hAnsi="Times New Roman" w:cs="Times New Roman"/>
          <w:bCs/>
          <w:color w:val="auto"/>
          <w:w w:val="99"/>
          <w:kern w:val="2"/>
          <w:highlight w:val="none"/>
        </w:rPr>
        <w:t>管线施工过程中采取人工开挖，并在靠进村屯一侧安装隔声屏障，减少挖掘机等施工机械施工时间，降低噪声影响</w:t>
      </w:r>
      <w:r>
        <w:rPr>
          <w:rFonts w:ascii="Times New Roman" w:hAnsi="Times New Roman" w:cs="Times New Roman"/>
          <w:color w:val="auto"/>
          <w:w w:val="99"/>
          <w:kern w:val="2"/>
          <w:highlight w:val="none"/>
        </w:rPr>
        <w:t>。</w:t>
      </w:r>
    </w:p>
    <w:p w14:paraId="19CD6472">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在采取了上述措施后，地面工程井场、管线等施工场界噪声可以满足《</w:t>
      </w:r>
      <w:r>
        <w:rPr>
          <w:rFonts w:hint="eastAsia" w:ascii="Times New Roman" w:hAnsi="Times New Roman" w:cs="Times New Roman"/>
          <w:color w:val="auto"/>
          <w:w w:val="99"/>
          <w:kern w:val="2"/>
          <w:highlight w:val="none"/>
        </w:rPr>
        <w:t>建筑施工噪声排放标准</w:t>
      </w:r>
      <w:r>
        <w:rPr>
          <w:rFonts w:ascii="Times New Roman" w:hAnsi="Times New Roman" w:cs="Times New Roman"/>
          <w:color w:val="auto"/>
          <w:w w:val="99"/>
          <w:kern w:val="2"/>
          <w:highlight w:val="none"/>
        </w:rPr>
        <w:t>》(GB12523-20</w:t>
      </w:r>
      <w:r>
        <w:rPr>
          <w:rFonts w:hint="eastAsia" w:ascii="Times New Roman" w:hAnsi="Times New Roman" w:cs="Times New Roman"/>
          <w:color w:val="auto"/>
          <w:w w:val="99"/>
          <w:kern w:val="2"/>
          <w:highlight w:val="none"/>
        </w:rPr>
        <w:t>25</w:t>
      </w:r>
      <w:r>
        <w:rPr>
          <w:rFonts w:ascii="Times New Roman" w:hAnsi="Times New Roman" w:cs="Times New Roman"/>
          <w:color w:val="auto"/>
          <w:w w:val="99"/>
          <w:kern w:val="2"/>
          <w:highlight w:val="none"/>
        </w:rPr>
        <w:t>)标准要求。施工噪声对周围环境的影响较小，且施工期噪声对环境的影响是暂时性的，随着施工结束，其影响也随之消失。</w:t>
      </w:r>
    </w:p>
    <w:p w14:paraId="77932401">
      <w:pPr>
        <w:pStyle w:val="7"/>
        <w:widowControl w:val="0"/>
        <w:spacing w:before="60" w:after="60" w:line="440" w:lineRule="exact"/>
        <w:jc w:val="both"/>
        <w:rPr>
          <w:rFonts w:eastAsiaTheme="minorEastAsia"/>
          <w:b/>
          <w:color w:val="auto"/>
          <w:w w:val="99"/>
          <w:kern w:val="2"/>
          <w:sz w:val="24"/>
          <w:szCs w:val="24"/>
          <w:highlight w:val="none"/>
        </w:rPr>
      </w:pPr>
      <w:bookmarkStart w:id="900" w:name="_Toc86141996"/>
      <w:bookmarkStart w:id="901" w:name="_Toc186444348"/>
      <w:bookmarkStart w:id="902" w:name="_Toc126863452"/>
      <w:bookmarkStart w:id="903" w:name="_Toc127192401"/>
      <w:bookmarkStart w:id="904" w:name="_Toc84929293"/>
      <w:bookmarkStart w:id="905" w:name="_Toc131167352"/>
      <w:bookmarkStart w:id="906" w:name="_Toc85640821"/>
      <w:bookmarkStart w:id="907" w:name="_Toc143099639"/>
      <w:r>
        <w:rPr>
          <w:rFonts w:eastAsiaTheme="minorEastAsia"/>
          <w:b/>
          <w:color w:val="auto"/>
          <w:w w:val="99"/>
          <w:kern w:val="2"/>
          <w:sz w:val="24"/>
          <w:szCs w:val="24"/>
          <w:highlight w:val="none"/>
        </w:rPr>
        <w:t>5.4.2运营期</w:t>
      </w:r>
      <w:bookmarkEnd w:id="900"/>
      <w:bookmarkEnd w:id="901"/>
      <w:bookmarkEnd w:id="902"/>
      <w:bookmarkEnd w:id="903"/>
      <w:bookmarkEnd w:id="904"/>
      <w:bookmarkEnd w:id="905"/>
      <w:bookmarkEnd w:id="906"/>
      <w:bookmarkEnd w:id="907"/>
    </w:p>
    <w:p w14:paraId="62D93C36">
      <w:pPr>
        <w:widowControl w:val="0"/>
        <w:spacing w:line="440" w:lineRule="exact"/>
        <w:ind w:firstLine="474" w:firstLineChars="200"/>
        <w:jc w:val="both"/>
        <w:rPr>
          <w:rFonts w:ascii="Times New Roman" w:hAnsi="Times New Roman" w:cs="Times New Roman"/>
          <w:color w:val="auto"/>
          <w:w w:val="99"/>
          <w:kern w:val="2"/>
          <w:highlight w:val="none"/>
        </w:rPr>
      </w:pPr>
      <w:bookmarkStart w:id="908" w:name="_Toc186444349"/>
      <w:r>
        <w:rPr>
          <w:rFonts w:hint="eastAsia" w:ascii="Times New Roman" w:hAnsi="Times New Roman" w:cs="Times New Roman"/>
          <w:color w:val="auto"/>
          <w:w w:val="99"/>
          <w:kern w:val="2"/>
          <w:highlight w:val="none"/>
        </w:rPr>
        <w:t>本项目建成后，气井井场正常运营期无噪声，非正常工况下噪声源主要为井场放空系统噪声，噪声源强均为 105dB(A）左右。</w:t>
      </w:r>
    </w:p>
    <w:p w14:paraId="42E7DB94">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本次评价将放空噪声简化为1个点声源，在半自由空间下考虑叠加反射声源，放空 一般情况放空在昼 间进行 。本 次评价采用环安噪声预测 软件（NoiseSystem）对项目压裂作业噪声进行预测分析。噪声传播受距离、气候条件，声源位置等参数的影响发生一定程度的衰减，本项目所在地区年均气温3.4℃ , 年平均相对湿度 66%步长取 10m。</w:t>
      </w:r>
    </w:p>
    <w:p w14:paraId="53DF8F30">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本项目井场放空噪声预测结果详见表 5.4-5。</w:t>
      </w:r>
    </w:p>
    <w:p w14:paraId="4284F6C9">
      <w:pPr>
        <w:widowControl w:val="0"/>
        <w:spacing w:line="440" w:lineRule="exact"/>
        <w:ind w:firstLine="476" w:firstLineChars="200"/>
        <w:jc w:val="both"/>
        <w:rPr>
          <w:rFonts w:ascii="Times New Roman" w:hAnsi="Times New Roman" w:cs="Times New Roman"/>
          <w:b/>
          <w:bCs/>
          <w:color w:val="auto"/>
          <w:w w:val="99"/>
          <w:kern w:val="2"/>
          <w:highlight w:val="none"/>
        </w:rPr>
      </w:pPr>
      <w:r>
        <w:rPr>
          <w:rFonts w:hint="eastAsia" w:ascii="Times New Roman" w:hAnsi="Times New Roman" w:cs="Times New Roman"/>
          <w:b/>
          <w:bCs/>
          <w:color w:val="auto"/>
          <w:w w:val="99"/>
          <w:kern w:val="2"/>
          <w:highlight w:val="none"/>
        </w:rPr>
        <w:t>表 5.4-5  井场放空池和集气站放空火炬不同距离处的噪声预测结果 单位：dB（A）</w:t>
      </w:r>
    </w:p>
    <w:p w14:paraId="01FC4867">
      <w:pPr>
        <w:spacing w:line="79" w:lineRule="exact"/>
        <w:rPr>
          <w:rFonts w:hint="eastAsia"/>
          <w:color w:val="auto"/>
          <w:highlight w:val="none"/>
        </w:rPr>
      </w:pPr>
    </w:p>
    <w:tbl>
      <w:tblPr>
        <w:tblStyle w:val="1662"/>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34"/>
        <w:gridCol w:w="456"/>
        <w:gridCol w:w="1420"/>
        <w:gridCol w:w="795"/>
        <w:gridCol w:w="795"/>
        <w:gridCol w:w="795"/>
        <w:gridCol w:w="795"/>
        <w:gridCol w:w="795"/>
        <w:gridCol w:w="795"/>
        <w:gridCol w:w="795"/>
        <w:gridCol w:w="802"/>
      </w:tblGrid>
      <w:tr w14:paraId="12A27A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59" w:type="pct"/>
            <w:vMerge w:val="restart"/>
            <w:tcBorders>
              <w:top w:val="single" w:color="auto" w:sz="4" w:space="0"/>
              <w:left w:val="single" w:color="auto" w:sz="4" w:space="0"/>
              <w:bottom w:val="single" w:color="auto" w:sz="4" w:space="0"/>
              <w:right w:val="single" w:color="auto" w:sz="4" w:space="0"/>
            </w:tcBorders>
            <w:vAlign w:val="center"/>
          </w:tcPr>
          <w:p w14:paraId="4672408E">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点声源名称</w:t>
            </w:r>
          </w:p>
        </w:tc>
        <w:tc>
          <w:tcPr>
            <w:tcW w:w="251" w:type="pct"/>
            <w:vMerge w:val="restart"/>
            <w:tcBorders>
              <w:top w:val="single" w:color="auto" w:sz="4" w:space="0"/>
              <w:left w:val="single" w:color="auto" w:sz="4" w:space="0"/>
              <w:bottom w:val="single" w:color="auto" w:sz="4" w:space="0"/>
              <w:right w:val="single" w:color="auto" w:sz="4" w:space="0"/>
            </w:tcBorders>
            <w:textDirection w:val="tbRlV"/>
            <w:vAlign w:val="center"/>
          </w:tcPr>
          <w:p w14:paraId="282356B7">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源 强</w:t>
            </w:r>
          </w:p>
        </w:tc>
        <w:tc>
          <w:tcPr>
            <w:tcW w:w="782" w:type="pct"/>
            <w:vMerge w:val="restart"/>
            <w:tcBorders>
              <w:top w:val="single" w:color="auto" w:sz="4" w:space="0"/>
              <w:left w:val="single" w:color="auto" w:sz="4" w:space="0"/>
              <w:bottom w:val="single" w:color="auto" w:sz="4" w:space="0"/>
              <w:right w:val="single" w:color="auto" w:sz="4" w:space="0"/>
            </w:tcBorders>
            <w:vAlign w:val="center"/>
          </w:tcPr>
          <w:p w14:paraId="6EC26DC3">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类别</w:t>
            </w:r>
          </w:p>
        </w:tc>
        <w:tc>
          <w:tcPr>
            <w:tcW w:w="3506" w:type="pct"/>
            <w:gridSpan w:val="8"/>
            <w:tcBorders>
              <w:top w:val="single" w:color="auto" w:sz="4" w:space="0"/>
              <w:left w:val="single" w:color="auto" w:sz="4" w:space="0"/>
              <w:bottom w:val="single" w:color="auto" w:sz="4" w:space="0"/>
              <w:right w:val="single" w:color="auto" w:sz="4" w:space="0"/>
            </w:tcBorders>
            <w:vAlign w:val="center"/>
          </w:tcPr>
          <w:p w14:paraId="33F9D664">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距离放空区不同距离处的噪声贡献值</w:t>
            </w:r>
          </w:p>
        </w:tc>
      </w:tr>
      <w:tr w14:paraId="21CCF9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459" w:type="pct"/>
            <w:vMerge w:val="continue"/>
            <w:tcBorders>
              <w:top w:val="single" w:color="auto" w:sz="4" w:space="0"/>
              <w:left w:val="single" w:color="auto" w:sz="4" w:space="0"/>
              <w:bottom w:val="single" w:color="auto" w:sz="4" w:space="0"/>
              <w:right w:val="single" w:color="auto" w:sz="4" w:space="0"/>
            </w:tcBorders>
            <w:vAlign w:val="center"/>
          </w:tcPr>
          <w:p w14:paraId="7E387409">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p>
        </w:tc>
        <w:tc>
          <w:tcPr>
            <w:tcW w:w="251" w:type="pct"/>
            <w:vMerge w:val="continue"/>
            <w:tcBorders>
              <w:top w:val="single" w:color="auto" w:sz="4" w:space="0"/>
              <w:left w:val="single" w:color="auto" w:sz="4" w:space="0"/>
              <w:bottom w:val="single" w:color="auto" w:sz="4" w:space="0"/>
              <w:right w:val="single" w:color="auto" w:sz="4" w:space="0"/>
            </w:tcBorders>
            <w:textDirection w:val="tbRlV"/>
            <w:vAlign w:val="center"/>
          </w:tcPr>
          <w:p w14:paraId="56C88377">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p>
        </w:tc>
        <w:tc>
          <w:tcPr>
            <w:tcW w:w="782" w:type="pct"/>
            <w:vMerge w:val="continue"/>
            <w:tcBorders>
              <w:top w:val="single" w:color="auto" w:sz="4" w:space="0"/>
              <w:left w:val="single" w:color="auto" w:sz="4" w:space="0"/>
              <w:bottom w:val="single" w:color="auto" w:sz="4" w:space="0"/>
              <w:right w:val="single" w:color="auto" w:sz="4" w:space="0"/>
            </w:tcBorders>
            <w:vAlign w:val="center"/>
          </w:tcPr>
          <w:p w14:paraId="6568525B">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p>
        </w:tc>
        <w:tc>
          <w:tcPr>
            <w:tcW w:w="438" w:type="pct"/>
            <w:tcBorders>
              <w:top w:val="single" w:color="auto" w:sz="4" w:space="0"/>
              <w:left w:val="single" w:color="auto" w:sz="4" w:space="0"/>
              <w:bottom w:val="single" w:color="auto" w:sz="4" w:space="0"/>
              <w:right w:val="single" w:color="auto" w:sz="4" w:space="0"/>
            </w:tcBorders>
            <w:vAlign w:val="center"/>
          </w:tcPr>
          <w:p w14:paraId="6E2C5D00">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10m</w:t>
            </w:r>
          </w:p>
        </w:tc>
        <w:tc>
          <w:tcPr>
            <w:tcW w:w="438" w:type="pct"/>
            <w:tcBorders>
              <w:top w:val="single" w:color="auto" w:sz="4" w:space="0"/>
              <w:left w:val="single" w:color="auto" w:sz="4" w:space="0"/>
              <w:bottom w:val="single" w:color="auto" w:sz="4" w:space="0"/>
              <w:right w:val="single" w:color="auto" w:sz="4" w:space="0"/>
            </w:tcBorders>
            <w:vAlign w:val="center"/>
          </w:tcPr>
          <w:p w14:paraId="36F8B114">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200m</w:t>
            </w:r>
          </w:p>
        </w:tc>
        <w:tc>
          <w:tcPr>
            <w:tcW w:w="438" w:type="pct"/>
            <w:tcBorders>
              <w:top w:val="single" w:color="auto" w:sz="4" w:space="0"/>
              <w:left w:val="single" w:color="auto" w:sz="4" w:space="0"/>
              <w:bottom w:val="single" w:color="auto" w:sz="4" w:space="0"/>
              <w:right w:val="single" w:color="auto" w:sz="4" w:space="0"/>
            </w:tcBorders>
            <w:vAlign w:val="center"/>
          </w:tcPr>
          <w:p w14:paraId="7DAE0B47">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30m</w:t>
            </w:r>
          </w:p>
        </w:tc>
        <w:tc>
          <w:tcPr>
            <w:tcW w:w="438" w:type="pct"/>
            <w:tcBorders>
              <w:top w:val="single" w:color="auto" w:sz="4" w:space="0"/>
              <w:left w:val="single" w:color="auto" w:sz="4" w:space="0"/>
              <w:bottom w:val="single" w:color="auto" w:sz="4" w:space="0"/>
              <w:right w:val="single" w:color="auto" w:sz="4" w:space="0"/>
            </w:tcBorders>
            <w:vAlign w:val="center"/>
          </w:tcPr>
          <w:p w14:paraId="18F399C8">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50m</w:t>
            </w:r>
          </w:p>
        </w:tc>
        <w:tc>
          <w:tcPr>
            <w:tcW w:w="438" w:type="pct"/>
            <w:tcBorders>
              <w:top w:val="single" w:color="auto" w:sz="4" w:space="0"/>
              <w:left w:val="single" w:color="auto" w:sz="4" w:space="0"/>
              <w:bottom w:val="single" w:color="auto" w:sz="4" w:space="0"/>
              <w:right w:val="single" w:color="auto" w:sz="4" w:space="0"/>
            </w:tcBorders>
            <w:vAlign w:val="center"/>
          </w:tcPr>
          <w:p w14:paraId="545F5237">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100m</w:t>
            </w:r>
          </w:p>
        </w:tc>
        <w:tc>
          <w:tcPr>
            <w:tcW w:w="438" w:type="pct"/>
            <w:tcBorders>
              <w:top w:val="single" w:color="auto" w:sz="4" w:space="0"/>
              <w:left w:val="single" w:color="auto" w:sz="4" w:space="0"/>
              <w:bottom w:val="single" w:color="auto" w:sz="4" w:space="0"/>
              <w:right w:val="single" w:color="auto" w:sz="4" w:space="0"/>
            </w:tcBorders>
            <w:vAlign w:val="center"/>
          </w:tcPr>
          <w:p w14:paraId="67E1E989">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150m</w:t>
            </w:r>
          </w:p>
        </w:tc>
        <w:tc>
          <w:tcPr>
            <w:tcW w:w="437" w:type="pct"/>
            <w:tcBorders>
              <w:top w:val="single" w:color="auto" w:sz="4" w:space="0"/>
              <w:left w:val="single" w:color="auto" w:sz="4" w:space="0"/>
              <w:bottom w:val="single" w:color="auto" w:sz="4" w:space="0"/>
              <w:right w:val="single" w:color="auto" w:sz="4" w:space="0"/>
            </w:tcBorders>
            <w:vAlign w:val="center"/>
          </w:tcPr>
          <w:p w14:paraId="60C919A3">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200m</w:t>
            </w:r>
          </w:p>
        </w:tc>
        <w:tc>
          <w:tcPr>
            <w:tcW w:w="435" w:type="pct"/>
            <w:tcBorders>
              <w:top w:val="single" w:color="auto" w:sz="4" w:space="0"/>
              <w:left w:val="single" w:color="auto" w:sz="4" w:space="0"/>
              <w:bottom w:val="single" w:color="auto" w:sz="4" w:space="0"/>
              <w:right w:val="single" w:color="auto" w:sz="4" w:space="0"/>
            </w:tcBorders>
            <w:vAlign w:val="center"/>
          </w:tcPr>
          <w:p w14:paraId="1DE97F7F">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300m</w:t>
            </w:r>
          </w:p>
        </w:tc>
      </w:tr>
      <w:tr w14:paraId="7BD6B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459" w:type="pct"/>
            <w:vMerge w:val="restart"/>
            <w:tcBorders>
              <w:top w:val="single" w:color="auto" w:sz="4" w:space="0"/>
              <w:left w:val="single" w:color="auto" w:sz="4" w:space="0"/>
              <w:bottom w:val="single" w:color="auto" w:sz="4" w:space="0"/>
              <w:right w:val="single" w:color="auto" w:sz="4" w:space="0"/>
            </w:tcBorders>
            <w:vAlign w:val="center"/>
          </w:tcPr>
          <w:p w14:paraId="4F8FD026">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集气站</w:t>
            </w:r>
          </w:p>
          <w:p w14:paraId="5B3127C8">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放空火炬</w:t>
            </w:r>
          </w:p>
        </w:tc>
        <w:tc>
          <w:tcPr>
            <w:tcW w:w="251" w:type="pct"/>
            <w:vMerge w:val="restart"/>
            <w:tcBorders>
              <w:top w:val="single" w:color="auto" w:sz="4" w:space="0"/>
              <w:left w:val="single" w:color="auto" w:sz="4" w:space="0"/>
              <w:bottom w:val="single" w:color="auto" w:sz="4" w:space="0"/>
              <w:right w:val="single" w:color="auto" w:sz="4" w:space="0"/>
            </w:tcBorders>
            <w:vAlign w:val="center"/>
          </w:tcPr>
          <w:p w14:paraId="07D005AB">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105</w:t>
            </w:r>
          </w:p>
        </w:tc>
        <w:tc>
          <w:tcPr>
            <w:tcW w:w="782" w:type="pct"/>
            <w:tcBorders>
              <w:top w:val="single" w:color="auto" w:sz="4" w:space="0"/>
              <w:left w:val="single" w:color="auto" w:sz="4" w:space="0"/>
              <w:bottom w:val="single" w:color="auto" w:sz="4" w:space="0"/>
              <w:right w:val="single" w:color="auto" w:sz="4" w:space="0"/>
            </w:tcBorders>
            <w:vAlign w:val="center"/>
          </w:tcPr>
          <w:p w14:paraId="527614B6">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贡献值</w:t>
            </w:r>
          </w:p>
        </w:tc>
        <w:tc>
          <w:tcPr>
            <w:tcW w:w="438" w:type="pct"/>
            <w:tcBorders>
              <w:top w:val="single" w:color="auto" w:sz="4" w:space="0"/>
              <w:left w:val="single" w:color="auto" w:sz="4" w:space="0"/>
              <w:bottom w:val="single" w:color="auto" w:sz="4" w:space="0"/>
              <w:right w:val="single" w:color="auto" w:sz="4" w:space="0"/>
            </w:tcBorders>
            <w:vAlign w:val="center"/>
          </w:tcPr>
          <w:p w14:paraId="17056EAC">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70.00</w:t>
            </w:r>
          </w:p>
        </w:tc>
        <w:tc>
          <w:tcPr>
            <w:tcW w:w="438" w:type="pct"/>
            <w:tcBorders>
              <w:top w:val="single" w:color="auto" w:sz="4" w:space="0"/>
              <w:left w:val="single" w:color="auto" w:sz="4" w:space="0"/>
              <w:bottom w:val="single" w:color="auto" w:sz="4" w:space="0"/>
              <w:right w:val="single" w:color="auto" w:sz="4" w:space="0"/>
            </w:tcBorders>
            <w:vAlign w:val="center"/>
          </w:tcPr>
          <w:p w14:paraId="46738D2F">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67.92</w:t>
            </w:r>
          </w:p>
        </w:tc>
        <w:tc>
          <w:tcPr>
            <w:tcW w:w="438" w:type="pct"/>
            <w:tcBorders>
              <w:top w:val="single" w:color="auto" w:sz="4" w:space="0"/>
              <w:left w:val="single" w:color="auto" w:sz="4" w:space="0"/>
              <w:bottom w:val="single" w:color="auto" w:sz="4" w:space="0"/>
              <w:right w:val="single" w:color="auto" w:sz="4" w:space="0"/>
            </w:tcBorders>
            <w:vAlign w:val="center"/>
          </w:tcPr>
          <w:p w14:paraId="59FC0F9A">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65.79</w:t>
            </w:r>
          </w:p>
        </w:tc>
        <w:tc>
          <w:tcPr>
            <w:tcW w:w="438" w:type="pct"/>
            <w:tcBorders>
              <w:top w:val="single" w:color="auto" w:sz="4" w:space="0"/>
              <w:left w:val="single" w:color="auto" w:sz="4" w:space="0"/>
              <w:bottom w:val="single" w:color="auto" w:sz="4" w:space="0"/>
              <w:right w:val="single" w:color="auto" w:sz="4" w:space="0"/>
            </w:tcBorders>
            <w:vAlign w:val="center"/>
          </w:tcPr>
          <w:p w14:paraId="35EF6462">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62.26</w:t>
            </w:r>
          </w:p>
        </w:tc>
        <w:tc>
          <w:tcPr>
            <w:tcW w:w="438" w:type="pct"/>
            <w:tcBorders>
              <w:top w:val="single" w:color="auto" w:sz="4" w:space="0"/>
              <w:left w:val="single" w:color="auto" w:sz="4" w:space="0"/>
              <w:bottom w:val="single" w:color="auto" w:sz="4" w:space="0"/>
              <w:right w:val="single" w:color="auto" w:sz="4" w:space="0"/>
            </w:tcBorders>
            <w:vAlign w:val="center"/>
          </w:tcPr>
          <w:p w14:paraId="3BEACA7C">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55.96</w:t>
            </w:r>
          </w:p>
        </w:tc>
        <w:tc>
          <w:tcPr>
            <w:tcW w:w="438" w:type="pct"/>
            <w:tcBorders>
              <w:top w:val="single" w:color="auto" w:sz="4" w:space="0"/>
              <w:left w:val="single" w:color="auto" w:sz="4" w:space="0"/>
              <w:bottom w:val="single" w:color="auto" w:sz="4" w:space="0"/>
              <w:right w:val="single" w:color="auto" w:sz="4" w:space="0"/>
            </w:tcBorders>
            <w:vAlign w:val="center"/>
          </w:tcPr>
          <w:p w14:paraId="3966CA71">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50.92</w:t>
            </w:r>
          </w:p>
        </w:tc>
        <w:tc>
          <w:tcPr>
            <w:tcW w:w="437" w:type="pct"/>
            <w:tcBorders>
              <w:top w:val="single" w:color="auto" w:sz="4" w:space="0"/>
              <w:left w:val="single" w:color="auto" w:sz="4" w:space="0"/>
              <w:bottom w:val="single" w:color="auto" w:sz="4" w:space="0"/>
              <w:right w:val="single" w:color="auto" w:sz="4" w:space="0"/>
            </w:tcBorders>
            <w:vAlign w:val="center"/>
          </w:tcPr>
          <w:p w14:paraId="37713142">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47.63</w:t>
            </w:r>
          </w:p>
        </w:tc>
        <w:tc>
          <w:tcPr>
            <w:tcW w:w="435" w:type="pct"/>
            <w:tcBorders>
              <w:top w:val="single" w:color="auto" w:sz="4" w:space="0"/>
              <w:left w:val="single" w:color="auto" w:sz="4" w:space="0"/>
              <w:bottom w:val="single" w:color="auto" w:sz="4" w:space="0"/>
              <w:right w:val="single" w:color="auto" w:sz="4" w:space="0"/>
            </w:tcBorders>
            <w:vAlign w:val="center"/>
          </w:tcPr>
          <w:p w14:paraId="0C7B9383">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43.22</w:t>
            </w:r>
          </w:p>
        </w:tc>
      </w:tr>
      <w:tr w14:paraId="263C3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459" w:type="pct"/>
            <w:vMerge w:val="continue"/>
            <w:tcBorders>
              <w:top w:val="single" w:color="auto" w:sz="4" w:space="0"/>
              <w:left w:val="single" w:color="auto" w:sz="4" w:space="0"/>
              <w:bottom w:val="single" w:color="auto" w:sz="4" w:space="0"/>
              <w:right w:val="single" w:color="auto" w:sz="4" w:space="0"/>
            </w:tcBorders>
            <w:vAlign w:val="center"/>
          </w:tcPr>
          <w:p w14:paraId="7727D349">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p>
        </w:tc>
        <w:tc>
          <w:tcPr>
            <w:tcW w:w="251" w:type="pct"/>
            <w:vMerge w:val="continue"/>
            <w:tcBorders>
              <w:top w:val="single" w:color="auto" w:sz="4" w:space="0"/>
              <w:left w:val="single" w:color="auto" w:sz="4" w:space="0"/>
              <w:bottom w:val="single" w:color="auto" w:sz="4" w:space="0"/>
              <w:right w:val="single" w:color="auto" w:sz="4" w:space="0"/>
            </w:tcBorders>
            <w:vAlign w:val="center"/>
          </w:tcPr>
          <w:p w14:paraId="4DE19147">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p>
        </w:tc>
        <w:tc>
          <w:tcPr>
            <w:tcW w:w="782" w:type="pct"/>
            <w:tcBorders>
              <w:top w:val="single" w:color="auto" w:sz="4" w:space="0"/>
              <w:left w:val="single" w:color="auto" w:sz="4" w:space="0"/>
              <w:bottom w:val="single" w:color="auto" w:sz="4" w:space="0"/>
              <w:right w:val="single" w:color="auto" w:sz="4" w:space="0"/>
            </w:tcBorders>
            <w:vAlign w:val="center"/>
          </w:tcPr>
          <w:p w14:paraId="618F3113">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昼间背景值</w:t>
            </w:r>
          </w:p>
        </w:tc>
        <w:tc>
          <w:tcPr>
            <w:tcW w:w="3506" w:type="pct"/>
            <w:gridSpan w:val="8"/>
            <w:tcBorders>
              <w:top w:val="single" w:color="auto" w:sz="4" w:space="0"/>
              <w:left w:val="single" w:color="auto" w:sz="4" w:space="0"/>
              <w:bottom w:val="single" w:color="auto" w:sz="4" w:space="0"/>
              <w:right w:val="single" w:color="auto" w:sz="4" w:space="0"/>
            </w:tcBorders>
            <w:vAlign w:val="center"/>
          </w:tcPr>
          <w:p w14:paraId="4D5A8F67">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45.9</w:t>
            </w:r>
          </w:p>
        </w:tc>
      </w:tr>
      <w:tr w14:paraId="5839D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459" w:type="pct"/>
            <w:vMerge w:val="continue"/>
            <w:tcBorders>
              <w:top w:val="single" w:color="auto" w:sz="4" w:space="0"/>
              <w:left w:val="single" w:color="auto" w:sz="4" w:space="0"/>
              <w:bottom w:val="single" w:color="auto" w:sz="4" w:space="0"/>
              <w:right w:val="single" w:color="auto" w:sz="4" w:space="0"/>
            </w:tcBorders>
            <w:vAlign w:val="center"/>
          </w:tcPr>
          <w:p w14:paraId="6E709233">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p>
        </w:tc>
        <w:tc>
          <w:tcPr>
            <w:tcW w:w="251" w:type="pct"/>
            <w:vMerge w:val="continue"/>
            <w:tcBorders>
              <w:top w:val="single" w:color="auto" w:sz="4" w:space="0"/>
              <w:left w:val="single" w:color="auto" w:sz="4" w:space="0"/>
              <w:bottom w:val="single" w:color="auto" w:sz="4" w:space="0"/>
              <w:right w:val="single" w:color="auto" w:sz="4" w:space="0"/>
            </w:tcBorders>
            <w:vAlign w:val="center"/>
          </w:tcPr>
          <w:p w14:paraId="6FA5A4B0">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p>
        </w:tc>
        <w:tc>
          <w:tcPr>
            <w:tcW w:w="782" w:type="pct"/>
            <w:tcBorders>
              <w:top w:val="single" w:color="auto" w:sz="4" w:space="0"/>
              <w:left w:val="single" w:color="auto" w:sz="4" w:space="0"/>
              <w:bottom w:val="single" w:color="auto" w:sz="4" w:space="0"/>
              <w:right w:val="single" w:color="auto" w:sz="4" w:space="0"/>
            </w:tcBorders>
            <w:vAlign w:val="center"/>
          </w:tcPr>
          <w:p w14:paraId="40ABDF03">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叠加后预测值</w:t>
            </w:r>
          </w:p>
        </w:tc>
        <w:tc>
          <w:tcPr>
            <w:tcW w:w="438" w:type="pct"/>
            <w:tcBorders>
              <w:top w:val="single" w:color="auto" w:sz="4" w:space="0"/>
              <w:left w:val="single" w:color="auto" w:sz="4" w:space="0"/>
              <w:bottom w:val="single" w:color="auto" w:sz="4" w:space="0"/>
              <w:right w:val="single" w:color="auto" w:sz="4" w:space="0"/>
            </w:tcBorders>
            <w:vAlign w:val="center"/>
          </w:tcPr>
          <w:p w14:paraId="1C973F4C">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70.02</w:t>
            </w:r>
          </w:p>
        </w:tc>
        <w:tc>
          <w:tcPr>
            <w:tcW w:w="438" w:type="pct"/>
            <w:tcBorders>
              <w:top w:val="single" w:color="auto" w:sz="4" w:space="0"/>
              <w:left w:val="single" w:color="auto" w:sz="4" w:space="0"/>
              <w:bottom w:val="single" w:color="auto" w:sz="4" w:space="0"/>
              <w:right w:val="single" w:color="auto" w:sz="4" w:space="0"/>
            </w:tcBorders>
            <w:vAlign w:val="center"/>
          </w:tcPr>
          <w:p w14:paraId="71640BD7">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67.95</w:t>
            </w:r>
          </w:p>
        </w:tc>
        <w:tc>
          <w:tcPr>
            <w:tcW w:w="438" w:type="pct"/>
            <w:tcBorders>
              <w:top w:val="single" w:color="auto" w:sz="4" w:space="0"/>
              <w:left w:val="single" w:color="auto" w:sz="4" w:space="0"/>
              <w:bottom w:val="single" w:color="auto" w:sz="4" w:space="0"/>
              <w:right w:val="single" w:color="auto" w:sz="4" w:space="0"/>
            </w:tcBorders>
            <w:vAlign w:val="center"/>
          </w:tcPr>
          <w:p w14:paraId="26273104">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65.83</w:t>
            </w:r>
          </w:p>
        </w:tc>
        <w:tc>
          <w:tcPr>
            <w:tcW w:w="438" w:type="pct"/>
            <w:tcBorders>
              <w:top w:val="single" w:color="auto" w:sz="4" w:space="0"/>
              <w:left w:val="single" w:color="auto" w:sz="4" w:space="0"/>
              <w:bottom w:val="single" w:color="auto" w:sz="4" w:space="0"/>
              <w:right w:val="single" w:color="auto" w:sz="4" w:space="0"/>
            </w:tcBorders>
            <w:vAlign w:val="center"/>
          </w:tcPr>
          <w:p w14:paraId="48902E4F">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62.36</w:t>
            </w:r>
          </w:p>
        </w:tc>
        <w:tc>
          <w:tcPr>
            <w:tcW w:w="438" w:type="pct"/>
            <w:tcBorders>
              <w:top w:val="single" w:color="auto" w:sz="4" w:space="0"/>
              <w:left w:val="single" w:color="auto" w:sz="4" w:space="0"/>
              <w:bottom w:val="single" w:color="auto" w:sz="4" w:space="0"/>
              <w:right w:val="single" w:color="auto" w:sz="4" w:space="0"/>
            </w:tcBorders>
            <w:vAlign w:val="center"/>
          </w:tcPr>
          <w:p w14:paraId="5E4D6DF4">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56.37</w:t>
            </w:r>
          </w:p>
        </w:tc>
        <w:tc>
          <w:tcPr>
            <w:tcW w:w="438" w:type="pct"/>
            <w:tcBorders>
              <w:top w:val="single" w:color="auto" w:sz="4" w:space="0"/>
              <w:left w:val="single" w:color="auto" w:sz="4" w:space="0"/>
              <w:bottom w:val="single" w:color="auto" w:sz="4" w:space="0"/>
              <w:right w:val="single" w:color="auto" w:sz="4" w:space="0"/>
            </w:tcBorders>
            <w:vAlign w:val="center"/>
          </w:tcPr>
          <w:p w14:paraId="5B802100">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52.11</w:t>
            </w:r>
          </w:p>
        </w:tc>
        <w:tc>
          <w:tcPr>
            <w:tcW w:w="437" w:type="pct"/>
            <w:tcBorders>
              <w:top w:val="single" w:color="auto" w:sz="4" w:space="0"/>
              <w:left w:val="single" w:color="auto" w:sz="4" w:space="0"/>
              <w:bottom w:val="single" w:color="auto" w:sz="4" w:space="0"/>
              <w:right w:val="single" w:color="auto" w:sz="4" w:space="0"/>
            </w:tcBorders>
            <w:vAlign w:val="center"/>
          </w:tcPr>
          <w:p w14:paraId="5D7EE466">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49.86</w:t>
            </w:r>
          </w:p>
        </w:tc>
        <w:tc>
          <w:tcPr>
            <w:tcW w:w="435" w:type="pct"/>
            <w:tcBorders>
              <w:top w:val="single" w:color="auto" w:sz="4" w:space="0"/>
              <w:left w:val="single" w:color="auto" w:sz="4" w:space="0"/>
              <w:bottom w:val="single" w:color="auto" w:sz="4" w:space="0"/>
              <w:right w:val="single" w:color="auto" w:sz="4" w:space="0"/>
            </w:tcBorders>
            <w:vAlign w:val="center"/>
          </w:tcPr>
          <w:p w14:paraId="680D105E">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47.77</w:t>
            </w:r>
          </w:p>
        </w:tc>
      </w:tr>
      <w:tr w14:paraId="62E62E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459" w:type="pct"/>
            <w:vMerge w:val="restart"/>
            <w:tcBorders>
              <w:top w:val="single" w:color="auto" w:sz="4" w:space="0"/>
              <w:left w:val="single" w:color="auto" w:sz="4" w:space="0"/>
              <w:bottom w:val="single" w:color="auto" w:sz="4" w:space="0"/>
              <w:right w:val="single" w:color="auto" w:sz="4" w:space="0"/>
            </w:tcBorders>
            <w:vAlign w:val="center"/>
          </w:tcPr>
          <w:p w14:paraId="3DA91A80">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井场放空池</w:t>
            </w:r>
          </w:p>
        </w:tc>
        <w:tc>
          <w:tcPr>
            <w:tcW w:w="251" w:type="pct"/>
            <w:vMerge w:val="restart"/>
            <w:tcBorders>
              <w:top w:val="single" w:color="auto" w:sz="4" w:space="0"/>
              <w:left w:val="single" w:color="auto" w:sz="4" w:space="0"/>
              <w:bottom w:val="single" w:color="auto" w:sz="4" w:space="0"/>
              <w:right w:val="single" w:color="auto" w:sz="4" w:space="0"/>
            </w:tcBorders>
            <w:vAlign w:val="center"/>
          </w:tcPr>
          <w:p w14:paraId="1B6A7B04">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105</w:t>
            </w:r>
          </w:p>
        </w:tc>
        <w:tc>
          <w:tcPr>
            <w:tcW w:w="782" w:type="pct"/>
            <w:tcBorders>
              <w:top w:val="single" w:color="auto" w:sz="4" w:space="0"/>
              <w:left w:val="single" w:color="auto" w:sz="4" w:space="0"/>
              <w:bottom w:val="single" w:color="auto" w:sz="4" w:space="0"/>
              <w:right w:val="single" w:color="auto" w:sz="4" w:space="0"/>
            </w:tcBorders>
            <w:vAlign w:val="center"/>
          </w:tcPr>
          <w:p w14:paraId="5EFE0C1D">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贡献值</w:t>
            </w:r>
          </w:p>
        </w:tc>
        <w:tc>
          <w:tcPr>
            <w:tcW w:w="438" w:type="pct"/>
            <w:tcBorders>
              <w:top w:val="single" w:color="auto" w:sz="4" w:space="0"/>
              <w:left w:val="single" w:color="auto" w:sz="4" w:space="0"/>
              <w:bottom w:val="single" w:color="auto" w:sz="4" w:space="0"/>
              <w:right w:val="single" w:color="auto" w:sz="4" w:space="0"/>
            </w:tcBorders>
            <w:vAlign w:val="center"/>
          </w:tcPr>
          <w:p w14:paraId="53238F33">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76.83</w:t>
            </w:r>
          </w:p>
        </w:tc>
        <w:tc>
          <w:tcPr>
            <w:tcW w:w="438" w:type="pct"/>
            <w:tcBorders>
              <w:top w:val="single" w:color="auto" w:sz="4" w:space="0"/>
              <w:left w:val="single" w:color="auto" w:sz="4" w:space="0"/>
              <w:bottom w:val="single" w:color="auto" w:sz="4" w:space="0"/>
              <w:right w:val="single" w:color="auto" w:sz="4" w:space="0"/>
            </w:tcBorders>
            <w:vAlign w:val="center"/>
          </w:tcPr>
          <w:p w14:paraId="16396921">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70.42</w:t>
            </w:r>
          </w:p>
        </w:tc>
        <w:tc>
          <w:tcPr>
            <w:tcW w:w="438" w:type="pct"/>
            <w:tcBorders>
              <w:top w:val="single" w:color="auto" w:sz="4" w:space="0"/>
              <w:left w:val="single" w:color="auto" w:sz="4" w:space="0"/>
              <w:bottom w:val="single" w:color="auto" w:sz="4" w:space="0"/>
              <w:right w:val="single" w:color="auto" w:sz="4" w:space="0"/>
            </w:tcBorders>
            <w:vAlign w:val="center"/>
          </w:tcPr>
          <w:p w14:paraId="3382C30C">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65.01</w:t>
            </w:r>
          </w:p>
        </w:tc>
        <w:tc>
          <w:tcPr>
            <w:tcW w:w="438" w:type="pct"/>
            <w:tcBorders>
              <w:top w:val="single" w:color="auto" w:sz="4" w:space="0"/>
              <w:left w:val="single" w:color="auto" w:sz="4" w:space="0"/>
              <w:bottom w:val="single" w:color="auto" w:sz="4" w:space="0"/>
              <w:right w:val="single" w:color="auto" w:sz="4" w:space="0"/>
            </w:tcBorders>
            <w:vAlign w:val="center"/>
          </w:tcPr>
          <w:p w14:paraId="3A8175B5">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59.35</w:t>
            </w:r>
          </w:p>
        </w:tc>
        <w:tc>
          <w:tcPr>
            <w:tcW w:w="438" w:type="pct"/>
            <w:tcBorders>
              <w:top w:val="single" w:color="auto" w:sz="4" w:space="0"/>
              <w:left w:val="single" w:color="auto" w:sz="4" w:space="0"/>
              <w:bottom w:val="single" w:color="auto" w:sz="4" w:space="0"/>
              <w:right w:val="single" w:color="auto" w:sz="4" w:space="0"/>
            </w:tcBorders>
            <w:vAlign w:val="center"/>
          </w:tcPr>
          <w:p w14:paraId="138D6C23">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52.52</w:t>
            </w:r>
          </w:p>
        </w:tc>
        <w:tc>
          <w:tcPr>
            <w:tcW w:w="438" w:type="pct"/>
            <w:tcBorders>
              <w:top w:val="single" w:color="auto" w:sz="4" w:space="0"/>
              <w:left w:val="single" w:color="auto" w:sz="4" w:space="0"/>
              <w:bottom w:val="single" w:color="auto" w:sz="4" w:space="0"/>
              <w:right w:val="single" w:color="auto" w:sz="4" w:space="0"/>
            </w:tcBorders>
            <w:vAlign w:val="center"/>
          </w:tcPr>
          <w:p w14:paraId="337A23DA">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48.68</w:t>
            </w:r>
          </w:p>
        </w:tc>
        <w:tc>
          <w:tcPr>
            <w:tcW w:w="437" w:type="pct"/>
            <w:tcBorders>
              <w:top w:val="single" w:color="auto" w:sz="4" w:space="0"/>
              <w:left w:val="single" w:color="auto" w:sz="4" w:space="0"/>
              <w:bottom w:val="single" w:color="auto" w:sz="4" w:space="0"/>
              <w:right w:val="single" w:color="auto" w:sz="4" w:space="0"/>
            </w:tcBorders>
            <w:vAlign w:val="center"/>
          </w:tcPr>
          <w:p w14:paraId="6FBE3151">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45.97</w:t>
            </w:r>
          </w:p>
        </w:tc>
        <w:tc>
          <w:tcPr>
            <w:tcW w:w="435" w:type="pct"/>
            <w:tcBorders>
              <w:top w:val="single" w:color="auto" w:sz="4" w:space="0"/>
              <w:left w:val="single" w:color="auto" w:sz="4" w:space="0"/>
              <w:bottom w:val="single" w:color="auto" w:sz="4" w:space="0"/>
              <w:right w:val="single" w:color="auto" w:sz="4" w:space="0"/>
            </w:tcBorders>
            <w:vAlign w:val="center"/>
          </w:tcPr>
          <w:p w14:paraId="6E76E96F">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42.13</w:t>
            </w:r>
          </w:p>
        </w:tc>
      </w:tr>
      <w:tr w14:paraId="0FDA4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459" w:type="pct"/>
            <w:vMerge w:val="continue"/>
            <w:tcBorders>
              <w:top w:val="single" w:color="auto" w:sz="4" w:space="0"/>
              <w:left w:val="single" w:color="auto" w:sz="4" w:space="0"/>
              <w:bottom w:val="single" w:color="auto" w:sz="4" w:space="0"/>
              <w:right w:val="single" w:color="auto" w:sz="4" w:space="0"/>
            </w:tcBorders>
            <w:vAlign w:val="center"/>
          </w:tcPr>
          <w:p w14:paraId="339882BA">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p>
        </w:tc>
        <w:tc>
          <w:tcPr>
            <w:tcW w:w="251" w:type="pct"/>
            <w:vMerge w:val="continue"/>
            <w:tcBorders>
              <w:top w:val="single" w:color="auto" w:sz="4" w:space="0"/>
              <w:left w:val="single" w:color="auto" w:sz="4" w:space="0"/>
              <w:bottom w:val="single" w:color="auto" w:sz="4" w:space="0"/>
              <w:right w:val="single" w:color="auto" w:sz="4" w:space="0"/>
            </w:tcBorders>
            <w:vAlign w:val="center"/>
          </w:tcPr>
          <w:p w14:paraId="7CDBED09">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p>
        </w:tc>
        <w:tc>
          <w:tcPr>
            <w:tcW w:w="782" w:type="pct"/>
            <w:tcBorders>
              <w:top w:val="single" w:color="auto" w:sz="4" w:space="0"/>
              <w:left w:val="single" w:color="auto" w:sz="4" w:space="0"/>
              <w:bottom w:val="single" w:color="auto" w:sz="4" w:space="0"/>
              <w:right w:val="single" w:color="auto" w:sz="4" w:space="0"/>
            </w:tcBorders>
            <w:vAlign w:val="center"/>
          </w:tcPr>
          <w:p w14:paraId="1C217FD0">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昼间背景值</w:t>
            </w:r>
          </w:p>
        </w:tc>
        <w:tc>
          <w:tcPr>
            <w:tcW w:w="3506" w:type="pct"/>
            <w:gridSpan w:val="8"/>
            <w:tcBorders>
              <w:top w:val="single" w:color="auto" w:sz="4" w:space="0"/>
              <w:left w:val="single" w:color="auto" w:sz="4" w:space="0"/>
              <w:bottom w:val="single" w:color="auto" w:sz="4" w:space="0"/>
              <w:right w:val="single" w:color="auto" w:sz="4" w:space="0"/>
            </w:tcBorders>
            <w:vAlign w:val="center"/>
          </w:tcPr>
          <w:p w14:paraId="4C3106AF">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45.9</w:t>
            </w:r>
          </w:p>
        </w:tc>
      </w:tr>
      <w:tr w14:paraId="05DC6F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59" w:type="pct"/>
            <w:vMerge w:val="continue"/>
            <w:tcBorders>
              <w:top w:val="single" w:color="auto" w:sz="4" w:space="0"/>
              <w:left w:val="single" w:color="auto" w:sz="4" w:space="0"/>
              <w:bottom w:val="single" w:color="auto" w:sz="4" w:space="0"/>
              <w:right w:val="single" w:color="auto" w:sz="4" w:space="0"/>
            </w:tcBorders>
            <w:vAlign w:val="center"/>
          </w:tcPr>
          <w:p w14:paraId="43542DF2">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p>
        </w:tc>
        <w:tc>
          <w:tcPr>
            <w:tcW w:w="251" w:type="pct"/>
            <w:vMerge w:val="continue"/>
            <w:tcBorders>
              <w:top w:val="single" w:color="auto" w:sz="4" w:space="0"/>
              <w:left w:val="single" w:color="auto" w:sz="4" w:space="0"/>
              <w:bottom w:val="single" w:color="auto" w:sz="4" w:space="0"/>
              <w:right w:val="single" w:color="auto" w:sz="4" w:space="0"/>
            </w:tcBorders>
            <w:vAlign w:val="center"/>
          </w:tcPr>
          <w:p w14:paraId="0F73825F">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p>
        </w:tc>
        <w:tc>
          <w:tcPr>
            <w:tcW w:w="782" w:type="pct"/>
            <w:tcBorders>
              <w:top w:val="single" w:color="auto" w:sz="4" w:space="0"/>
              <w:left w:val="single" w:color="auto" w:sz="4" w:space="0"/>
              <w:bottom w:val="single" w:color="auto" w:sz="4" w:space="0"/>
              <w:right w:val="single" w:color="auto" w:sz="4" w:space="0"/>
            </w:tcBorders>
            <w:vAlign w:val="center"/>
          </w:tcPr>
          <w:p w14:paraId="5D5D27BD">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叠加后预测值</w:t>
            </w:r>
          </w:p>
        </w:tc>
        <w:tc>
          <w:tcPr>
            <w:tcW w:w="438" w:type="pct"/>
            <w:tcBorders>
              <w:top w:val="single" w:color="auto" w:sz="4" w:space="0"/>
              <w:left w:val="single" w:color="auto" w:sz="4" w:space="0"/>
              <w:bottom w:val="single" w:color="auto" w:sz="4" w:space="0"/>
              <w:right w:val="single" w:color="auto" w:sz="4" w:space="0"/>
            </w:tcBorders>
            <w:vAlign w:val="center"/>
          </w:tcPr>
          <w:p w14:paraId="59CA6476">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76.83</w:t>
            </w:r>
          </w:p>
        </w:tc>
        <w:tc>
          <w:tcPr>
            <w:tcW w:w="438" w:type="pct"/>
            <w:tcBorders>
              <w:top w:val="single" w:color="auto" w:sz="4" w:space="0"/>
              <w:left w:val="single" w:color="auto" w:sz="4" w:space="0"/>
              <w:bottom w:val="single" w:color="auto" w:sz="4" w:space="0"/>
              <w:right w:val="single" w:color="auto" w:sz="4" w:space="0"/>
            </w:tcBorders>
            <w:vAlign w:val="center"/>
          </w:tcPr>
          <w:p w14:paraId="447CE4CC">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70.42</w:t>
            </w:r>
          </w:p>
        </w:tc>
        <w:tc>
          <w:tcPr>
            <w:tcW w:w="438" w:type="pct"/>
            <w:tcBorders>
              <w:top w:val="single" w:color="auto" w:sz="4" w:space="0"/>
              <w:left w:val="single" w:color="auto" w:sz="4" w:space="0"/>
              <w:bottom w:val="single" w:color="auto" w:sz="4" w:space="0"/>
              <w:right w:val="single" w:color="auto" w:sz="4" w:space="0"/>
            </w:tcBorders>
            <w:vAlign w:val="center"/>
          </w:tcPr>
          <w:p w14:paraId="06624F76">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65.01</w:t>
            </w:r>
          </w:p>
        </w:tc>
        <w:tc>
          <w:tcPr>
            <w:tcW w:w="438" w:type="pct"/>
            <w:tcBorders>
              <w:top w:val="single" w:color="auto" w:sz="4" w:space="0"/>
              <w:left w:val="single" w:color="auto" w:sz="4" w:space="0"/>
              <w:bottom w:val="single" w:color="auto" w:sz="4" w:space="0"/>
              <w:right w:val="single" w:color="auto" w:sz="4" w:space="0"/>
            </w:tcBorders>
            <w:vAlign w:val="center"/>
          </w:tcPr>
          <w:p w14:paraId="048F242F">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59.35</w:t>
            </w:r>
          </w:p>
        </w:tc>
        <w:tc>
          <w:tcPr>
            <w:tcW w:w="438" w:type="pct"/>
            <w:tcBorders>
              <w:top w:val="single" w:color="auto" w:sz="4" w:space="0"/>
              <w:left w:val="single" w:color="auto" w:sz="4" w:space="0"/>
              <w:bottom w:val="single" w:color="auto" w:sz="4" w:space="0"/>
              <w:right w:val="single" w:color="auto" w:sz="4" w:space="0"/>
            </w:tcBorders>
            <w:vAlign w:val="center"/>
          </w:tcPr>
          <w:p w14:paraId="026BC90A">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52.52</w:t>
            </w:r>
          </w:p>
        </w:tc>
        <w:tc>
          <w:tcPr>
            <w:tcW w:w="438" w:type="pct"/>
            <w:tcBorders>
              <w:top w:val="single" w:color="auto" w:sz="4" w:space="0"/>
              <w:left w:val="single" w:color="auto" w:sz="4" w:space="0"/>
              <w:bottom w:val="single" w:color="auto" w:sz="4" w:space="0"/>
              <w:right w:val="single" w:color="auto" w:sz="4" w:space="0"/>
            </w:tcBorders>
            <w:vAlign w:val="center"/>
          </w:tcPr>
          <w:p w14:paraId="7C0C2D51">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48.68</w:t>
            </w:r>
          </w:p>
        </w:tc>
        <w:tc>
          <w:tcPr>
            <w:tcW w:w="437" w:type="pct"/>
            <w:tcBorders>
              <w:top w:val="single" w:color="auto" w:sz="4" w:space="0"/>
              <w:left w:val="single" w:color="auto" w:sz="4" w:space="0"/>
              <w:bottom w:val="single" w:color="auto" w:sz="4" w:space="0"/>
              <w:right w:val="single" w:color="auto" w:sz="4" w:space="0"/>
            </w:tcBorders>
            <w:vAlign w:val="center"/>
          </w:tcPr>
          <w:p w14:paraId="7A336E77">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45.97</w:t>
            </w:r>
          </w:p>
        </w:tc>
        <w:tc>
          <w:tcPr>
            <w:tcW w:w="435" w:type="pct"/>
            <w:tcBorders>
              <w:top w:val="single" w:color="auto" w:sz="4" w:space="0"/>
              <w:left w:val="single" w:color="auto" w:sz="4" w:space="0"/>
              <w:bottom w:val="single" w:color="auto" w:sz="4" w:space="0"/>
              <w:right w:val="single" w:color="auto" w:sz="4" w:space="0"/>
            </w:tcBorders>
            <w:vAlign w:val="center"/>
          </w:tcPr>
          <w:p w14:paraId="2221CDAF">
            <w:pPr>
              <w:widowControl w:val="0"/>
              <w:adjustRightInd w:val="0"/>
              <w:snapToGrid w:val="0"/>
              <w:spacing w:line="360" w:lineRule="exact"/>
              <w:jc w:val="center"/>
              <w:rPr>
                <w:rFonts w:ascii="Times New Roman" w:hAnsi="Times New Roman" w:cs="Times New Roman"/>
                <w:color w:val="auto"/>
                <w:w w:val="99"/>
                <w:sz w:val="21"/>
                <w:szCs w:val="21"/>
                <w:highlight w:val="none"/>
                <w:lang w:eastAsia="en-US"/>
              </w:rPr>
            </w:pPr>
            <w:r>
              <w:rPr>
                <w:rFonts w:ascii="Times New Roman" w:hAnsi="Times New Roman" w:cs="Times New Roman"/>
                <w:color w:val="auto"/>
                <w:w w:val="99"/>
                <w:sz w:val="21"/>
                <w:szCs w:val="21"/>
                <w:highlight w:val="none"/>
                <w:lang w:eastAsia="en-US"/>
              </w:rPr>
              <w:t>42.13</w:t>
            </w:r>
          </w:p>
        </w:tc>
      </w:tr>
    </w:tbl>
    <w:p w14:paraId="74A2829D">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根据预测结果，距离放空区100m处能够满足《工业企业厂界环境噪声排放标准》（GB12348-2008）中的 2 类标准要求，本工程拟建井场、集气站厂界外200m无声环境保护目标，距离最近的敏感目标为采气管线西侧100m的尚家围子屯。放空一般在昼间进行，且放空时间较短，通过控制放空气体流速以达到控制放空噪声，对周边敏感目标影响较小。</w:t>
      </w:r>
    </w:p>
    <w:p w14:paraId="1979BCBF">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综上所述，本项目涉及站场噪声对周围声环境影响较小，声环境影响评价自查表见附表2。</w:t>
      </w:r>
    </w:p>
    <w:p w14:paraId="6E4A9AAA">
      <w:pPr>
        <w:pStyle w:val="7"/>
        <w:widowControl w:val="0"/>
        <w:spacing w:before="60" w:after="60" w:line="440" w:lineRule="exact"/>
        <w:jc w:val="both"/>
        <w:rPr>
          <w:rFonts w:eastAsiaTheme="minorEastAsia"/>
          <w:b/>
          <w:color w:val="auto"/>
          <w:w w:val="99"/>
          <w:kern w:val="2"/>
          <w:sz w:val="24"/>
          <w:szCs w:val="24"/>
          <w:highlight w:val="none"/>
        </w:rPr>
      </w:pPr>
      <w:r>
        <w:rPr>
          <w:rFonts w:eastAsiaTheme="minorEastAsia"/>
          <w:b/>
          <w:color w:val="auto"/>
          <w:w w:val="99"/>
          <w:kern w:val="2"/>
          <w:sz w:val="24"/>
          <w:szCs w:val="24"/>
          <w:highlight w:val="none"/>
        </w:rPr>
        <w:t>5.4.3退役期</w:t>
      </w:r>
      <w:bookmarkEnd w:id="908"/>
    </w:p>
    <w:p w14:paraId="3F1C5D33">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本项目退役期在拆除地面设备、封井时施工机械及运输车辆会产生噪声。退役期施工机械噪声衰减结果见表5.4-</w:t>
      </w:r>
      <w:r>
        <w:rPr>
          <w:rFonts w:hint="eastAsia" w:ascii="Times New Roman" w:hAnsi="Times New Roman" w:cs="Times New Roman"/>
          <w:color w:val="auto"/>
          <w:w w:val="99"/>
          <w:kern w:val="2"/>
          <w:highlight w:val="none"/>
        </w:rPr>
        <w:t>10</w:t>
      </w:r>
      <w:r>
        <w:rPr>
          <w:rFonts w:ascii="Times New Roman" w:hAnsi="Times New Roman" w:cs="Times New Roman"/>
          <w:color w:val="auto"/>
          <w:w w:val="99"/>
          <w:kern w:val="2"/>
          <w:highlight w:val="none"/>
        </w:rPr>
        <w:t>。</w:t>
      </w:r>
    </w:p>
    <w:p w14:paraId="3E3047AB">
      <w:pPr>
        <w:widowControl w:val="0"/>
        <w:spacing w:line="440" w:lineRule="exact"/>
        <w:ind w:firstLine="476" w:firstLineChars="200"/>
        <w:jc w:val="both"/>
        <w:rPr>
          <w:rFonts w:ascii="Times New Roman" w:hAnsi="Times New Roman" w:cs="Times New Roman"/>
          <w:color w:val="auto"/>
          <w:w w:val="99"/>
          <w:kern w:val="2"/>
          <w:highlight w:val="none"/>
        </w:rPr>
      </w:pPr>
      <w:r>
        <w:rPr>
          <w:rFonts w:ascii="Times New Roman" w:hAnsi="Times New Roman" w:cs="Times New Roman"/>
          <w:b/>
          <w:color w:val="auto"/>
          <w:w w:val="99"/>
          <w:kern w:val="2"/>
          <w:highlight w:val="none"/>
        </w:rPr>
        <w:t>表5.4-</w:t>
      </w:r>
      <w:r>
        <w:rPr>
          <w:rFonts w:hint="eastAsia" w:ascii="Times New Roman" w:hAnsi="Times New Roman" w:cs="Times New Roman"/>
          <w:b/>
          <w:color w:val="auto"/>
          <w:w w:val="99"/>
          <w:kern w:val="2"/>
          <w:highlight w:val="none"/>
        </w:rPr>
        <w:t>10</w:t>
      </w:r>
      <w:r>
        <w:rPr>
          <w:rFonts w:ascii="Times New Roman" w:hAnsi="Times New Roman" w:cs="Times New Roman"/>
          <w:b/>
          <w:color w:val="auto"/>
          <w:w w:val="99"/>
          <w:kern w:val="2"/>
          <w:highlight w:val="none"/>
        </w:rPr>
        <w:t xml:space="preserve">   退役期施工机械噪声统计表    单位：dB(A)</w:t>
      </w:r>
    </w:p>
    <w:tbl>
      <w:tblPr>
        <w:tblStyle w:val="8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457"/>
        <w:gridCol w:w="1174"/>
        <w:gridCol w:w="1016"/>
        <w:gridCol w:w="1163"/>
        <w:gridCol w:w="1161"/>
        <w:gridCol w:w="1161"/>
        <w:gridCol w:w="1155"/>
      </w:tblGrid>
      <w:tr w14:paraId="0C8B5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23" w:type="pct"/>
            <w:vMerge w:val="restart"/>
            <w:vAlign w:val="center"/>
          </w:tcPr>
          <w:p w14:paraId="5D3A324D">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机械名称</w:t>
            </w:r>
          </w:p>
        </w:tc>
        <w:tc>
          <w:tcPr>
            <w:tcW w:w="3677" w:type="pct"/>
            <w:gridSpan w:val="6"/>
          </w:tcPr>
          <w:p w14:paraId="1CA8A33E">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离施工点距离不同处的噪声值</w:t>
            </w:r>
          </w:p>
        </w:tc>
      </w:tr>
      <w:tr w14:paraId="141D8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23" w:type="pct"/>
            <w:vMerge w:val="continue"/>
            <w:vAlign w:val="center"/>
          </w:tcPr>
          <w:p w14:paraId="57B8C1EA">
            <w:pPr>
              <w:pStyle w:val="173"/>
              <w:spacing w:line="360" w:lineRule="exact"/>
              <w:rPr>
                <w:rFonts w:hint="default" w:ascii="Times New Roman" w:hAnsi="Times New Roman" w:eastAsiaTheme="minorEastAsia"/>
                <w:color w:val="auto"/>
                <w:w w:val="99"/>
                <w:highlight w:val="none"/>
              </w:rPr>
            </w:pPr>
          </w:p>
        </w:tc>
        <w:tc>
          <w:tcPr>
            <w:tcW w:w="632" w:type="pct"/>
            <w:vAlign w:val="center"/>
          </w:tcPr>
          <w:p w14:paraId="65F41AA7">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10m</w:t>
            </w:r>
          </w:p>
        </w:tc>
        <w:tc>
          <w:tcPr>
            <w:tcW w:w="547" w:type="pct"/>
          </w:tcPr>
          <w:p w14:paraId="60AF610B">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20m</w:t>
            </w:r>
          </w:p>
        </w:tc>
        <w:tc>
          <w:tcPr>
            <w:tcW w:w="626" w:type="pct"/>
            <w:vAlign w:val="center"/>
          </w:tcPr>
          <w:p w14:paraId="432ABDCF">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50 m</w:t>
            </w:r>
          </w:p>
        </w:tc>
        <w:tc>
          <w:tcPr>
            <w:tcW w:w="625" w:type="pct"/>
            <w:vAlign w:val="center"/>
          </w:tcPr>
          <w:p w14:paraId="59C08DBB">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100 m</w:t>
            </w:r>
          </w:p>
        </w:tc>
        <w:tc>
          <w:tcPr>
            <w:tcW w:w="625" w:type="pct"/>
            <w:vAlign w:val="center"/>
          </w:tcPr>
          <w:p w14:paraId="4B0A2F7A">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200 m</w:t>
            </w:r>
          </w:p>
        </w:tc>
        <w:tc>
          <w:tcPr>
            <w:tcW w:w="622" w:type="pct"/>
            <w:vAlign w:val="center"/>
          </w:tcPr>
          <w:p w14:paraId="60CC2E6A">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300 m</w:t>
            </w:r>
          </w:p>
        </w:tc>
      </w:tr>
      <w:tr w14:paraId="5EA1B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23" w:type="pct"/>
            <w:vAlign w:val="center"/>
          </w:tcPr>
          <w:p w14:paraId="4B3F54E8">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挖掘机</w:t>
            </w:r>
          </w:p>
        </w:tc>
        <w:tc>
          <w:tcPr>
            <w:tcW w:w="632" w:type="pct"/>
            <w:vAlign w:val="center"/>
          </w:tcPr>
          <w:p w14:paraId="57A91B27">
            <w:pPr>
              <w:pStyle w:val="1159"/>
              <w:spacing w:line="360" w:lineRule="exact"/>
              <w:ind w:firstLine="0" w:firstLineChars="0"/>
              <w:rPr>
                <w:rFonts w:cs="Times New Roman" w:eastAsiaTheme="minorEastAsia"/>
                <w:b w:val="0"/>
                <w:color w:val="auto"/>
                <w:w w:val="99"/>
                <w:szCs w:val="21"/>
                <w:highlight w:val="none"/>
              </w:rPr>
            </w:pPr>
            <w:r>
              <w:rPr>
                <w:rFonts w:cs="Times New Roman" w:eastAsiaTheme="minorEastAsia"/>
                <w:b w:val="0"/>
                <w:color w:val="auto"/>
                <w:w w:val="99"/>
                <w:szCs w:val="21"/>
                <w:highlight w:val="none"/>
              </w:rPr>
              <w:t>76</w:t>
            </w:r>
          </w:p>
        </w:tc>
        <w:tc>
          <w:tcPr>
            <w:tcW w:w="547" w:type="pct"/>
          </w:tcPr>
          <w:p w14:paraId="0D837CF7">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66.5</w:t>
            </w:r>
          </w:p>
        </w:tc>
        <w:tc>
          <w:tcPr>
            <w:tcW w:w="626" w:type="pct"/>
            <w:vAlign w:val="center"/>
          </w:tcPr>
          <w:p w14:paraId="085DC263">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56.9</w:t>
            </w:r>
          </w:p>
        </w:tc>
        <w:tc>
          <w:tcPr>
            <w:tcW w:w="625" w:type="pct"/>
            <w:vAlign w:val="center"/>
          </w:tcPr>
          <w:p w14:paraId="0FF6FB5A">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50.4</w:t>
            </w:r>
          </w:p>
        </w:tc>
        <w:tc>
          <w:tcPr>
            <w:tcW w:w="625" w:type="pct"/>
            <w:vAlign w:val="center"/>
          </w:tcPr>
          <w:p w14:paraId="111565B1">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44.2</w:t>
            </w:r>
          </w:p>
        </w:tc>
        <w:tc>
          <w:tcPr>
            <w:tcW w:w="622" w:type="pct"/>
            <w:vAlign w:val="center"/>
          </w:tcPr>
          <w:p w14:paraId="7CEB0167">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40.6</w:t>
            </w:r>
          </w:p>
        </w:tc>
      </w:tr>
      <w:tr w14:paraId="011DD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23" w:type="pct"/>
            <w:vAlign w:val="center"/>
          </w:tcPr>
          <w:p w14:paraId="7E25B919">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推土机</w:t>
            </w:r>
          </w:p>
        </w:tc>
        <w:tc>
          <w:tcPr>
            <w:tcW w:w="632" w:type="pct"/>
            <w:vAlign w:val="center"/>
          </w:tcPr>
          <w:p w14:paraId="083AE6BA">
            <w:pPr>
              <w:pStyle w:val="1159"/>
              <w:spacing w:line="360" w:lineRule="exact"/>
              <w:ind w:firstLine="0" w:firstLineChars="0"/>
              <w:rPr>
                <w:rFonts w:cs="Times New Roman" w:eastAsiaTheme="minorEastAsia"/>
                <w:b w:val="0"/>
                <w:color w:val="auto"/>
                <w:w w:val="99"/>
                <w:szCs w:val="21"/>
                <w:highlight w:val="none"/>
              </w:rPr>
            </w:pPr>
            <w:r>
              <w:rPr>
                <w:rFonts w:cs="Times New Roman" w:eastAsiaTheme="minorEastAsia"/>
                <w:b w:val="0"/>
                <w:color w:val="auto"/>
                <w:w w:val="99"/>
                <w:szCs w:val="21"/>
                <w:highlight w:val="none"/>
              </w:rPr>
              <w:t>74</w:t>
            </w:r>
          </w:p>
        </w:tc>
        <w:tc>
          <w:tcPr>
            <w:tcW w:w="547" w:type="pct"/>
          </w:tcPr>
          <w:p w14:paraId="56B21DC0">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64.5</w:t>
            </w:r>
          </w:p>
        </w:tc>
        <w:tc>
          <w:tcPr>
            <w:tcW w:w="626" w:type="pct"/>
            <w:vAlign w:val="center"/>
          </w:tcPr>
          <w:p w14:paraId="0A2C20BA">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55</w:t>
            </w:r>
          </w:p>
        </w:tc>
        <w:tc>
          <w:tcPr>
            <w:tcW w:w="625" w:type="pct"/>
            <w:vAlign w:val="center"/>
          </w:tcPr>
          <w:p w14:paraId="59F0281B">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48.4</w:t>
            </w:r>
          </w:p>
        </w:tc>
        <w:tc>
          <w:tcPr>
            <w:tcW w:w="625" w:type="pct"/>
            <w:vAlign w:val="center"/>
          </w:tcPr>
          <w:p w14:paraId="6D3F77E9">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42.2</w:t>
            </w:r>
          </w:p>
        </w:tc>
        <w:tc>
          <w:tcPr>
            <w:tcW w:w="622" w:type="pct"/>
            <w:vAlign w:val="center"/>
          </w:tcPr>
          <w:p w14:paraId="36E81943">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38.6</w:t>
            </w:r>
          </w:p>
        </w:tc>
      </w:tr>
      <w:tr w14:paraId="0E0DE0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23" w:type="pct"/>
            <w:vAlign w:val="center"/>
          </w:tcPr>
          <w:p w14:paraId="71BFDB7D">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吊装机</w:t>
            </w:r>
          </w:p>
        </w:tc>
        <w:tc>
          <w:tcPr>
            <w:tcW w:w="632" w:type="pct"/>
            <w:vAlign w:val="center"/>
          </w:tcPr>
          <w:p w14:paraId="685448AA">
            <w:pPr>
              <w:pStyle w:val="1159"/>
              <w:spacing w:line="360" w:lineRule="exact"/>
              <w:ind w:firstLine="0" w:firstLineChars="0"/>
              <w:rPr>
                <w:rFonts w:cs="Times New Roman" w:eastAsiaTheme="minorEastAsia"/>
                <w:b w:val="0"/>
                <w:color w:val="auto"/>
                <w:w w:val="99"/>
                <w:szCs w:val="21"/>
                <w:highlight w:val="none"/>
              </w:rPr>
            </w:pPr>
            <w:r>
              <w:rPr>
                <w:rFonts w:cs="Times New Roman" w:eastAsiaTheme="minorEastAsia"/>
                <w:b w:val="0"/>
                <w:color w:val="auto"/>
                <w:w w:val="99"/>
                <w:szCs w:val="21"/>
                <w:highlight w:val="none"/>
              </w:rPr>
              <w:t>67</w:t>
            </w:r>
          </w:p>
        </w:tc>
        <w:tc>
          <w:tcPr>
            <w:tcW w:w="547" w:type="pct"/>
          </w:tcPr>
          <w:p w14:paraId="047489B0">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57.5</w:t>
            </w:r>
          </w:p>
        </w:tc>
        <w:tc>
          <w:tcPr>
            <w:tcW w:w="626" w:type="pct"/>
            <w:vAlign w:val="center"/>
          </w:tcPr>
          <w:p w14:paraId="05D2D5F2">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48</w:t>
            </w:r>
          </w:p>
        </w:tc>
        <w:tc>
          <w:tcPr>
            <w:tcW w:w="625" w:type="pct"/>
            <w:vAlign w:val="center"/>
          </w:tcPr>
          <w:p w14:paraId="04665074">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41.4</w:t>
            </w:r>
          </w:p>
        </w:tc>
        <w:tc>
          <w:tcPr>
            <w:tcW w:w="625" w:type="pct"/>
            <w:vAlign w:val="center"/>
          </w:tcPr>
          <w:p w14:paraId="642913B5">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35.2</w:t>
            </w:r>
          </w:p>
        </w:tc>
        <w:tc>
          <w:tcPr>
            <w:tcW w:w="622" w:type="pct"/>
            <w:vAlign w:val="center"/>
          </w:tcPr>
          <w:p w14:paraId="16E5EEFB">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31.6</w:t>
            </w:r>
          </w:p>
        </w:tc>
      </w:tr>
      <w:tr w14:paraId="1D5F04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23" w:type="pct"/>
            <w:vAlign w:val="center"/>
          </w:tcPr>
          <w:p w14:paraId="4559873A">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运输车辆</w:t>
            </w:r>
          </w:p>
        </w:tc>
        <w:tc>
          <w:tcPr>
            <w:tcW w:w="632" w:type="pct"/>
            <w:vAlign w:val="center"/>
          </w:tcPr>
          <w:p w14:paraId="16A58581">
            <w:pPr>
              <w:pStyle w:val="1159"/>
              <w:spacing w:line="360" w:lineRule="exact"/>
              <w:ind w:firstLine="0" w:firstLineChars="0"/>
              <w:rPr>
                <w:rFonts w:cs="Times New Roman" w:eastAsiaTheme="minorEastAsia"/>
                <w:b w:val="0"/>
                <w:color w:val="auto"/>
                <w:w w:val="99"/>
                <w:szCs w:val="21"/>
                <w:highlight w:val="none"/>
              </w:rPr>
            </w:pPr>
            <w:r>
              <w:rPr>
                <w:rFonts w:cs="Times New Roman" w:eastAsiaTheme="minorEastAsia"/>
                <w:b w:val="0"/>
                <w:color w:val="auto"/>
                <w:w w:val="99"/>
                <w:szCs w:val="21"/>
                <w:highlight w:val="none"/>
              </w:rPr>
              <w:t>76</w:t>
            </w:r>
          </w:p>
        </w:tc>
        <w:tc>
          <w:tcPr>
            <w:tcW w:w="547" w:type="pct"/>
          </w:tcPr>
          <w:p w14:paraId="66FF59A3">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66.5</w:t>
            </w:r>
          </w:p>
        </w:tc>
        <w:tc>
          <w:tcPr>
            <w:tcW w:w="626" w:type="pct"/>
            <w:vAlign w:val="center"/>
          </w:tcPr>
          <w:p w14:paraId="6D1EAFC2">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56.9</w:t>
            </w:r>
          </w:p>
        </w:tc>
        <w:tc>
          <w:tcPr>
            <w:tcW w:w="625" w:type="pct"/>
            <w:vAlign w:val="center"/>
          </w:tcPr>
          <w:p w14:paraId="4D4994BF">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50.4</w:t>
            </w:r>
          </w:p>
        </w:tc>
        <w:tc>
          <w:tcPr>
            <w:tcW w:w="625" w:type="pct"/>
            <w:vAlign w:val="center"/>
          </w:tcPr>
          <w:p w14:paraId="1ADC3330">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44.2</w:t>
            </w:r>
          </w:p>
        </w:tc>
        <w:tc>
          <w:tcPr>
            <w:tcW w:w="622" w:type="pct"/>
            <w:vAlign w:val="center"/>
          </w:tcPr>
          <w:p w14:paraId="0CA47D13">
            <w:pPr>
              <w:pStyle w:val="173"/>
              <w:spacing w:line="360" w:lineRule="exact"/>
              <w:rPr>
                <w:rFonts w:hint="default" w:ascii="Times New Roman" w:hAnsi="Times New Roman" w:eastAsiaTheme="minorEastAsia"/>
                <w:color w:val="auto"/>
                <w:w w:val="99"/>
                <w:highlight w:val="none"/>
              </w:rPr>
            </w:pPr>
            <w:r>
              <w:rPr>
                <w:rFonts w:ascii="Times New Roman" w:hAnsi="Times New Roman" w:eastAsiaTheme="minorEastAsia"/>
                <w:color w:val="auto"/>
                <w:w w:val="99"/>
                <w:highlight w:val="none"/>
              </w:rPr>
              <w:t>40.6</w:t>
            </w:r>
          </w:p>
        </w:tc>
      </w:tr>
    </w:tbl>
    <w:p w14:paraId="612BC290">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本项目退役期仅在昼间施工，由上表可以看出，主要施工机械在20m以外均能够满足《</w:t>
      </w:r>
      <w:r>
        <w:rPr>
          <w:rFonts w:hint="eastAsia" w:ascii="Times New Roman" w:hAnsi="Times New Roman" w:cs="Times New Roman"/>
          <w:color w:val="auto"/>
          <w:w w:val="99"/>
          <w:kern w:val="2"/>
          <w:highlight w:val="none"/>
        </w:rPr>
        <w:t>建筑施工噪声排放标准</w:t>
      </w:r>
      <w:r>
        <w:rPr>
          <w:rFonts w:ascii="Times New Roman" w:hAnsi="Times New Roman" w:cs="Times New Roman"/>
          <w:color w:val="auto"/>
          <w:w w:val="99"/>
          <w:kern w:val="2"/>
          <w:highlight w:val="none"/>
        </w:rPr>
        <w:t>》（GB12523-20</w:t>
      </w:r>
      <w:r>
        <w:rPr>
          <w:rFonts w:hint="eastAsia" w:ascii="Times New Roman" w:hAnsi="Times New Roman" w:cs="Times New Roman"/>
          <w:color w:val="auto"/>
          <w:w w:val="99"/>
          <w:kern w:val="2"/>
          <w:highlight w:val="none"/>
        </w:rPr>
        <w:t>25</w:t>
      </w:r>
      <w:r>
        <w:rPr>
          <w:rFonts w:ascii="Times New Roman" w:hAnsi="Times New Roman" w:cs="Times New Roman"/>
          <w:color w:val="auto"/>
          <w:w w:val="99"/>
          <w:kern w:val="2"/>
          <w:highlight w:val="none"/>
        </w:rPr>
        <w:t>）中昼间限值不超过70dB（A）的要求。根据现场调查，</w:t>
      </w:r>
      <w:r>
        <w:rPr>
          <w:rFonts w:ascii="Times New Roman" w:hAnsi="Times New Roman" w:cs="Times New Roman"/>
          <w:bCs/>
          <w:color w:val="auto"/>
          <w:w w:val="99"/>
          <w:kern w:val="2"/>
          <w:highlight w:val="none"/>
        </w:rPr>
        <w:t>距离本项目较近的声环境敏</w:t>
      </w:r>
      <w:r>
        <w:rPr>
          <w:rFonts w:ascii="Times New Roman" w:hAnsi="Times New Roman" w:cs="Times New Roman"/>
          <w:color w:val="auto"/>
          <w:w w:val="99"/>
          <w:kern w:val="2"/>
          <w:highlight w:val="none"/>
        </w:rPr>
        <w:t>感点为</w:t>
      </w:r>
      <w:r>
        <w:rPr>
          <w:rFonts w:hint="eastAsia" w:ascii="Times New Roman" w:hAnsi="Times New Roman" w:cs="Times New Roman"/>
          <w:color w:val="auto"/>
          <w:w w:val="99"/>
          <w:kern w:val="2"/>
          <w:highlight w:val="none"/>
        </w:rPr>
        <w:t>采气管线西侧100m的尚家围子屯，</w:t>
      </w:r>
      <w:r>
        <w:rPr>
          <w:rFonts w:ascii="Times New Roman" w:hAnsi="Times New Roman" w:cs="Times New Roman"/>
          <w:color w:val="auto"/>
          <w:w w:val="99"/>
          <w:kern w:val="2"/>
          <w:highlight w:val="none"/>
        </w:rPr>
        <w:t>项目退役期产生噪声对其影响较小，且噪声对环境的影响是暂时性的，随着施工结束，其影响也随之消失。</w:t>
      </w:r>
    </w:p>
    <w:p w14:paraId="66D3E59A">
      <w:pPr>
        <w:pStyle w:val="5"/>
        <w:keepNext w:val="0"/>
        <w:keepLines w:val="0"/>
        <w:widowControl w:val="0"/>
        <w:spacing w:before="120" w:after="120"/>
        <w:rPr>
          <w:rFonts w:ascii="Times New Roman" w:hAnsi="Times New Roman" w:eastAsia="宋体"/>
          <w:b/>
          <w:snapToGrid w:val="0"/>
          <w:color w:val="auto"/>
          <w:w w:val="99"/>
          <w:highlight w:val="none"/>
        </w:rPr>
      </w:pPr>
      <w:bookmarkStart w:id="909" w:name="_Toc65426005"/>
      <w:bookmarkStart w:id="910" w:name="_Toc11604"/>
      <w:r>
        <w:rPr>
          <w:rFonts w:ascii="Times New Roman" w:hAnsi="Times New Roman" w:eastAsia="宋体"/>
          <w:b/>
          <w:snapToGrid w:val="0"/>
          <w:color w:val="auto"/>
          <w:w w:val="99"/>
          <w:highlight w:val="none"/>
        </w:rPr>
        <w:t>5.5固体废物环境影响分析</w:t>
      </w:r>
      <w:bookmarkEnd w:id="909"/>
      <w:bookmarkEnd w:id="910"/>
    </w:p>
    <w:p w14:paraId="6A1C363C">
      <w:pPr>
        <w:pStyle w:val="7"/>
        <w:widowControl w:val="0"/>
        <w:spacing w:before="60" w:after="60" w:line="440" w:lineRule="exact"/>
        <w:jc w:val="both"/>
        <w:rPr>
          <w:rFonts w:eastAsiaTheme="minorEastAsia"/>
          <w:b/>
          <w:color w:val="auto"/>
          <w:w w:val="99"/>
          <w:kern w:val="2"/>
          <w:sz w:val="24"/>
          <w:szCs w:val="24"/>
          <w:highlight w:val="none"/>
        </w:rPr>
      </w:pPr>
      <w:bookmarkStart w:id="911" w:name="_Toc85640823"/>
      <w:bookmarkStart w:id="912" w:name="_Toc127192403"/>
      <w:bookmarkStart w:id="913" w:name="_Toc126863454"/>
      <w:bookmarkStart w:id="914" w:name="_Toc86141998"/>
      <w:bookmarkStart w:id="915" w:name="_Toc186444351"/>
      <w:bookmarkStart w:id="916" w:name="_Toc143099641"/>
      <w:bookmarkStart w:id="917" w:name="_Toc84929295"/>
      <w:bookmarkStart w:id="918" w:name="_Toc131167354"/>
      <w:bookmarkStart w:id="919" w:name="_Toc67860196"/>
      <w:bookmarkStart w:id="920" w:name="_Toc77067720"/>
      <w:bookmarkStart w:id="921" w:name="_Toc78816523"/>
      <w:bookmarkStart w:id="922" w:name="_Toc80588318"/>
      <w:bookmarkStart w:id="923" w:name="_Toc76976308"/>
      <w:bookmarkStart w:id="924" w:name="_Toc80971440"/>
      <w:bookmarkStart w:id="925" w:name="_Toc70050245"/>
      <w:bookmarkStart w:id="926" w:name="_Toc83209540"/>
      <w:r>
        <w:rPr>
          <w:rFonts w:eastAsiaTheme="minorEastAsia"/>
          <w:b/>
          <w:color w:val="auto"/>
          <w:w w:val="99"/>
          <w:kern w:val="2"/>
          <w:sz w:val="24"/>
          <w:szCs w:val="24"/>
          <w:highlight w:val="none"/>
        </w:rPr>
        <w:t>5.5.1施工期</w:t>
      </w:r>
      <w:bookmarkEnd w:id="911"/>
      <w:bookmarkEnd w:id="912"/>
      <w:bookmarkEnd w:id="913"/>
      <w:bookmarkEnd w:id="914"/>
      <w:bookmarkEnd w:id="915"/>
      <w:bookmarkEnd w:id="916"/>
      <w:bookmarkEnd w:id="917"/>
      <w:bookmarkEnd w:id="918"/>
    </w:p>
    <w:p w14:paraId="57598E36">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施工过程中产生的固体废物主要为施工废料</w:t>
      </w:r>
      <w:r>
        <w:rPr>
          <w:rFonts w:hint="eastAsia"/>
          <w:color w:val="auto"/>
          <w:w w:val="99"/>
          <w:kern w:val="2"/>
          <w:sz w:val="24"/>
          <w:highlight w:val="none"/>
        </w:rPr>
        <w:t>及</w:t>
      </w:r>
      <w:r>
        <w:rPr>
          <w:color w:val="auto"/>
          <w:w w:val="99"/>
          <w:kern w:val="2"/>
          <w:sz w:val="24"/>
          <w:highlight w:val="none"/>
        </w:rPr>
        <w:t>生活垃圾等。</w:t>
      </w:r>
    </w:p>
    <w:p w14:paraId="21B19578">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w:t>
      </w:r>
      <w:r>
        <w:rPr>
          <w:rFonts w:hint="eastAsia"/>
          <w:color w:val="auto"/>
          <w:w w:val="99"/>
          <w:kern w:val="2"/>
          <w:sz w:val="24"/>
          <w:highlight w:val="none"/>
        </w:rPr>
        <w:t>1</w:t>
      </w:r>
      <w:r>
        <w:rPr>
          <w:color w:val="auto"/>
          <w:w w:val="99"/>
          <w:kern w:val="2"/>
          <w:sz w:val="24"/>
          <w:highlight w:val="none"/>
        </w:rPr>
        <w:t>）施工废料</w:t>
      </w:r>
    </w:p>
    <w:p w14:paraId="34BFECFE">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本项目施工</w:t>
      </w:r>
      <w:r>
        <w:rPr>
          <w:rFonts w:hint="eastAsia" w:ascii="Times New Roman" w:hAnsi="Times New Roman" w:cs="Times New Roman"/>
          <w:color w:val="auto"/>
          <w:w w:val="99"/>
          <w:kern w:val="2"/>
          <w:highlight w:val="none"/>
        </w:rPr>
        <w:t>过程中产生施工废料为一般工业固体废物，</w:t>
      </w:r>
      <w:r>
        <w:rPr>
          <w:rFonts w:ascii="Times New Roman" w:hAnsi="Times New Roman" w:cs="Times New Roman"/>
          <w:color w:val="auto"/>
          <w:w w:val="99"/>
          <w:kern w:val="2"/>
          <w:highlight w:val="none"/>
        </w:rPr>
        <w:t>由</w:t>
      </w:r>
      <w:r>
        <w:rPr>
          <w:rFonts w:hint="eastAsia" w:ascii="Times New Roman" w:hAnsi="Times New Roman" w:cs="Times New Roman"/>
          <w:color w:val="auto"/>
          <w:w w:val="99"/>
          <w:kern w:val="2"/>
          <w:highlight w:val="none"/>
        </w:rPr>
        <w:t>施工</w:t>
      </w:r>
      <w:r>
        <w:rPr>
          <w:rFonts w:ascii="Times New Roman" w:hAnsi="Times New Roman" w:cs="Times New Roman"/>
          <w:color w:val="auto"/>
          <w:w w:val="99"/>
          <w:kern w:val="2"/>
          <w:highlight w:val="none"/>
        </w:rPr>
        <w:t>单位统一安排拉运至</w:t>
      </w:r>
      <w:r>
        <w:rPr>
          <w:rFonts w:hint="eastAsia" w:ascii="Times New Roman" w:hAnsi="Times New Roman" w:cs="Times New Roman"/>
          <w:color w:val="auto"/>
          <w:w w:val="99"/>
          <w:kern w:val="2"/>
          <w:highlight w:val="none"/>
        </w:rPr>
        <w:t>第八采油厂工业固体废物填埋场进行处理。</w:t>
      </w:r>
    </w:p>
    <w:p w14:paraId="41F3A24B">
      <w:pPr>
        <w:pStyle w:val="47"/>
        <w:tabs>
          <w:tab w:val="left" w:pos="770"/>
        </w:tabs>
        <w:spacing w:after="0" w:line="440" w:lineRule="exact"/>
        <w:ind w:left="0" w:leftChars="0" w:firstLine="474" w:firstLineChars="200"/>
        <w:rPr>
          <w:color w:val="auto"/>
          <w:w w:val="99"/>
          <w:kern w:val="2"/>
          <w:sz w:val="24"/>
          <w:highlight w:val="none"/>
        </w:rPr>
      </w:pPr>
      <w:r>
        <w:rPr>
          <w:rFonts w:hint="eastAsia"/>
          <w:color w:val="auto"/>
          <w:w w:val="99"/>
          <w:kern w:val="2"/>
          <w:sz w:val="24"/>
          <w:highlight w:val="none"/>
        </w:rPr>
        <w:t>（</w:t>
      </w:r>
      <w:r>
        <w:rPr>
          <w:rFonts w:hint="eastAsia"/>
          <w:color w:val="auto"/>
          <w:w w:val="99"/>
          <w:kern w:val="2"/>
          <w:sz w:val="24"/>
          <w:highlight w:val="none"/>
        </w:rPr>
        <w:tab/>
      </w:r>
      <w:r>
        <w:rPr>
          <w:rFonts w:hint="eastAsia"/>
          <w:color w:val="auto"/>
          <w:w w:val="99"/>
          <w:kern w:val="2"/>
          <w:sz w:val="24"/>
          <w:highlight w:val="none"/>
        </w:rPr>
        <w:t>2）</w:t>
      </w:r>
      <w:r>
        <w:rPr>
          <w:color w:val="auto"/>
          <w:w w:val="99"/>
          <w:kern w:val="2"/>
          <w:sz w:val="24"/>
          <w:highlight w:val="none"/>
        </w:rPr>
        <w:t>生活垃圾</w:t>
      </w:r>
    </w:p>
    <w:p w14:paraId="3AA5DECE">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生活垃圾统一收集后拉运至</w:t>
      </w:r>
      <w:r>
        <w:rPr>
          <w:rFonts w:hint="eastAsia"/>
          <w:color w:val="auto"/>
          <w:w w:val="99"/>
          <w:kern w:val="2"/>
          <w:sz w:val="24"/>
          <w:highlight w:val="none"/>
        </w:rPr>
        <w:t>肇东北控环境再生能源有限公司</w:t>
      </w:r>
      <w:r>
        <w:rPr>
          <w:color w:val="auto"/>
          <w:w w:val="99"/>
          <w:kern w:val="2"/>
          <w:sz w:val="24"/>
          <w:highlight w:val="none"/>
        </w:rPr>
        <w:t>处理。</w:t>
      </w:r>
    </w:p>
    <w:p w14:paraId="08614A39">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综上所述，施工期产生的固体废物均得到分类收集，妥善、有效处置，不会对周围环境产生不良影响。</w:t>
      </w:r>
    </w:p>
    <w:p w14:paraId="176927D4">
      <w:pPr>
        <w:pStyle w:val="7"/>
        <w:widowControl w:val="0"/>
        <w:spacing w:before="60" w:after="60" w:line="440" w:lineRule="exact"/>
        <w:jc w:val="both"/>
        <w:rPr>
          <w:rFonts w:eastAsiaTheme="minorEastAsia"/>
          <w:b/>
          <w:color w:val="auto"/>
          <w:w w:val="99"/>
          <w:kern w:val="2"/>
          <w:sz w:val="24"/>
          <w:szCs w:val="24"/>
          <w:highlight w:val="none"/>
        </w:rPr>
      </w:pPr>
      <w:bookmarkStart w:id="927" w:name="_Toc126863455"/>
      <w:bookmarkStart w:id="928" w:name="_Toc86141999"/>
      <w:bookmarkStart w:id="929" w:name="_Toc186444352"/>
      <w:bookmarkStart w:id="930" w:name="_Toc143099642"/>
      <w:bookmarkStart w:id="931" w:name="_Toc131167355"/>
      <w:bookmarkStart w:id="932" w:name="_Toc85640824"/>
      <w:bookmarkStart w:id="933" w:name="_Toc127192404"/>
      <w:bookmarkStart w:id="934" w:name="_Toc84929296"/>
      <w:r>
        <w:rPr>
          <w:rFonts w:eastAsiaTheme="minorEastAsia"/>
          <w:b/>
          <w:color w:val="auto"/>
          <w:w w:val="99"/>
          <w:kern w:val="2"/>
          <w:sz w:val="24"/>
          <w:szCs w:val="24"/>
          <w:highlight w:val="none"/>
        </w:rPr>
        <w:t>5.5.2运营期</w:t>
      </w:r>
      <w:bookmarkEnd w:id="927"/>
      <w:bookmarkEnd w:id="928"/>
      <w:bookmarkEnd w:id="929"/>
      <w:bookmarkEnd w:id="930"/>
      <w:bookmarkEnd w:id="931"/>
      <w:bookmarkEnd w:id="932"/>
      <w:bookmarkEnd w:id="933"/>
      <w:bookmarkEnd w:id="934"/>
    </w:p>
    <w:p w14:paraId="3829AF8E">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本项目运营期</w:t>
      </w:r>
      <w:r>
        <w:rPr>
          <w:rFonts w:hint="eastAsia"/>
          <w:color w:val="auto"/>
          <w:w w:val="99"/>
          <w:kern w:val="2"/>
          <w:sz w:val="24"/>
          <w:highlight w:val="none"/>
        </w:rPr>
        <w:t>正常工况无固体废物产生，非常工况下</w:t>
      </w:r>
      <w:r>
        <w:rPr>
          <w:color w:val="auto"/>
          <w:w w:val="99"/>
          <w:kern w:val="2"/>
          <w:sz w:val="24"/>
          <w:highlight w:val="none"/>
        </w:rPr>
        <w:t>产生的固体废物主要</w:t>
      </w:r>
      <w:r>
        <w:rPr>
          <w:rFonts w:hint="eastAsia"/>
          <w:color w:val="auto"/>
          <w:w w:val="99"/>
          <w:kern w:val="2"/>
          <w:sz w:val="24"/>
          <w:highlight w:val="none"/>
        </w:rPr>
        <w:t>包括井口含油</w:t>
      </w:r>
      <w:r>
        <w:rPr>
          <w:rFonts w:hint="eastAsia"/>
          <w:color w:val="auto"/>
          <w:w w:val="99"/>
          <w:kern w:val="2"/>
          <w:sz w:val="24"/>
          <w:highlight w:val="none"/>
          <w:lang w:eastAsia="zh-CN"/>
        </w:rPr>
        <w:t>砂粒</w:t>
      </w:r>
      <w:r>
        <w:rPr>
          <w:rFonts w:hint="eastAsia"/>
          <w:color w:val="auto"/>
          <w:w w:val="99"/>
          <w:kern w:val="2"/>
          <w:sz w:val="24"/>
          <w:highlight w:val="none"/>
        </w:rPr>
        <w:t>、废变压器油</w:t>
      </w:r>
      <w:r>
        <w:rPr>
          <w:color w:val="auto"/>
          <w:w w:val="99"/>
          <w:kern w:val="2"/>
          <w:sz w:val="24"/>
          <w:highlight w:val="none"/>
        </w:rPr>
        <w:t>。</w:t>
      </w:r>
    </w:p>
    <w:p w14:paraId="3240B5A0">
      <w:pPr>
        <w:widowControl w:val="0"/>
        <w:spacing w:line="440" w:lineRule="exact"/>
        <w:ind w:firstLine="474" w:firstLineChars="200"/>
        <w:jc w:val="both"/>
        <w:rPr>
          <w:rFonts w:ascii="Times New Roman" w:hAnsi="Times New Roman" w:cs="Times New Roman"/>
          <w:color w:val="auto"/>
          <w:w w:val="99"/>
          <w:kern w:val="2"/>
          <w:szCs w:val="20"/>
          <w:highlight w:val="none"/>
        </w:rPr>
      </w:pPr>
      <w:bookmarkStart w:id="935" w:name="OLE_LINK122"/>
      <w:bookmarkStart w:id="936" w:name="OLE_LINK121"/>
      <w:r>
        <w:rPr>
          <w:rFonts w:hint="eastAsia" w:cs="Times New Roman"/>
          <w:color w:val="auto"/>
          <w:w w:val="99"/>
          <w:kern w:val="2"/>
          <w:highlight w:val="none"/>
        </w:rPr>
        <w:t>井口含油</w:t>
      </w:r>
      <w:r>
        <w:rPr>
          <w:rFonts w:hint="eastAsia" w:cs="Times New Roman"/>
          <w:color w:val="auto"/>
          <w:w w:val="99"/>
          <w:kern w:val="2"/>
          <w:highlight w:val="none"/>
          <w:lang w:eastAsia="zh-CN"/>
        </w:rPr>
        <w:t>砂粒</w:t>
      </w:r>
      <w:r>
        <w:rPr>
          <w:rFonts w:hint="eastAsia" w:cs="Times New Roman"/>
          <w:color w:val="auto"/>
          <w:w w:val="99"/>
          <w:kern w:val="2"/>
          <w:highlight w:val="none"/>
        </w:rPr>
        <w:t>、废变压器油均</w:t>
      </w:r>
      <w:r>
        <w:rPr>
          <w:rFonts w:ascii="Times New Roman" w:hAnsi="Times New Roman" w:cs="Times New Roman"/>
          <w:color w:val="auto"/>
          <w:w w:val="99"/>
          <w:kern w:val="2"/>
          <w:highlight w:val="none"/>
        </w:rPr>
        <w:t>属于危险废物，产生量</w:t>
      </w:r>
      <w:r>
        <w:rPr>
          <w:rFonts w:hint="eastAsia" w:cs="Times New Roman"/>
          <w:color w:val="auto"/>
          <w:w w:val="99"/>
          <w:kern w:val="2"/>
          <w:highlight w:val="none"/>
        </w:rPr>
        <w:t>分别</w:t>
      </w:r>
      <w:r>
        <w:rPr>
          <w:rFonts w:ascii="Times New Roman" w:hAnsi="Times New Roman" w:cs="Times New Roman"/>
          <w:color w:val="auto"/>
          <w:w w:val="99"/>
          <w:kern w:val="2"/>
          <w:highlight w:val="none"/>
        </w:rPr>
        <w:t>为0.0</w:t>
      </w:r>
      <w:r>
        <w:rPr>
          <w:rFonts w:hint="eastAsia" w:ascii="Times New Roman" w:hAnsi="Times New Roman" w:cs="Times New Roman"/>
          <w:color w:val="auto"/>
          <w:w w:val="99"/>
          <w:kern w:val="2"/>
          <w:highlight w:val="none"/>
        </w:rPr>
        <w:t>1</w:t>
      </w:r>
      <w:r>
        <w:rPr>
          <w:rFonts w:ascii="Times New Roman" w:hAnsi="Times New Roman" w:cs="Times New Roman"/>
          <w:color w:val="auto"/>
          <w:w w:val="99"/>
          <w:kern w:val="2"/>
          <w:highlight w:val="none"/>
        </w:rPr>
        <w:t>t/a</w:t>
      </w:r>
      <w:r>
        <w:rPr>
          <w:rFonts w:hint="eastAsia" w:ascii="Times New Roman" w:hAnsi="Times New Roman" w:cs="Times New Roman"/>
          <w:color w:val="auto"/>
          <w:w w:val="99"/>
          <w:kern w:val="2"/>
          <w:highlight w:val="none"/>
        </w:rPr>
        <w:t>、</w:t>
      </w:r>
      <w:r>
        <w:rPr>
          <w:rFonts w:ascii="Times New Roman" w:hAnsi="Times New Roman" w:cs="Times New Roman"/>
          <w:color w:val="auto"/>
          <w:w w:val="99"/>
          <w:kern w:val="2"/>
          <w:highlight w:val="none"/>
        </w:rPr>
        <w:t>0.</w:t>
      </w:r>
      <w:r>
        <w:rPr>
          <w:rFonts w:hint="eastAsia" w:ascii="Times New Roman" w:hAnsi="Times New Roman" w:cs="Times New Roman"/>
          <w:color w:val="auto"/>
          <w:w w:val="99"/>
          <w:kern w:val="2"/>
          <w:highlight w:val="none"/>
        </w:rPr>
        <w:t>05</w:t>
      </w:r>
      <w:r>
        <w:rPr>
          <w:rFonts w:ascii="Times New Roman" w:hAnsi="Times New Roman" w:cs="Times New Roman"/>
          <w:color w:val="auto"/>
          <w:w w:val="99"/>
          <w:kern w:val="2"/>
          <w:highlight w:val="none"/>
        </w:rPr>
        <w:t>t/a，在井场产生后，由检维修队送采气分公司危险废物贮存库内，定期委托有危废处置资质的单位处置。</w:t>
      </w:r>
    </w:p>
    <w:bookmarkEnd w:id="935"/>
    <w:bookmarkEnd w:id="936"/>
    <w:p w14:paraId="77848932">
      <w:pPr>
        <w:pStyle w:val="7"/>
        <w:widowControl w:val="0"/>
        <w:spacing w:before="60" w:after="60" w:line="440" w:lineRule="exact"/>
        <w:jc w:val="both"/>
        <w:rPr>
          <w:rFonts w:eastAsiaTheme="minorEastAsia"/>
          <w:b/>
          <w:color w:val="auto"/>
          <w:w w:val="99"/>
          <w:kern w:val="2"/>
          <w:sz w:val="24"/>
          <w:szCs w:val="24"/>
          <w:highlight w:val="none"/>
        </w:rPr>
      </w:pPr>
      <w:bookmarkStart w:id="937" w:name="_Toc85640825"/>
      <w:bookmarkStart w:id="938" w:name="_Toc84929297"/>
      <w:bookmarkStart w:id="939" w:name="_Toc143099643"/>
      <w:bookmarkStart w:id="940" w:name="_Toc86142000"/>
      <w:bookmarkStart w:id="941" w:name="_Toc127192405"/>
      <w:bookmarkStart w:id="942" w:name="_Toc126863456"/>
      <w:bookmarkStart w:id="943" w:name="_Toc131167356"/>
      <w:r>
        <w:rPr>
          <w:rFonts w:eastAsiaTheme="minorEastAsia"/>
          <w:b/>
          <w:color w:val="auto"/>
          <w:w w:val="99"/>
          <w:kern w:val="2"/>
          <w:sz w:val="24"/>
          <w:szCs w:val="24"/>
          <w:highlight w:val="none"/>
        </w:rPr>
        <w:t>5.5.3危险废物环境影响评价</w:t>
      </w:r>
    </w:p>
    <w:p w14:paraId="32904DB5">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根据《建设项目危险废物环境影响评价指南》（</w:t>
      </w:r>
      <w:r>
        <w:rPr>
          <w:rFonts w:hint="eastAsia"/>
          <w:color w:val="auto"/>
          <w:w w:val="99"/>
          <w:kern w:val="2"/>
          <w:sz w:val="24"/>
          <w:highlight w:val="none"/>
        </w:rPr>
        <w:t>环保部公告〔</w:t>
      </w:r>
      <w:r>
        <w:rPr>
          <w:color w:val="auto"/>
          <w:w w:val="99"/>
          <w:kern w:val="2"/>
          <w:sz w:val="24"/>
          <w:highlight w:val="none"/>
        </w:rPr>
        <w:t>2017〕43号）相关规定，危险废物收集、贮存、运输的一般要求：</w:t>
      </w:r>
    </w:p>
    <w:p w14:paraId="6501ED0C">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从事危险废物收集、贮存、运输经营活动的单位应具有危险废物经营许可证。在收集、贮存、运输危险废物时，应根据危险废物收集、贮存、处置经营许可证核发的有关规定建立相应的规章制度和污染防治措施，包括危险废物分析管理制度、安全管理制度、污染防治措施等；危险废物产生单位内部自行从事的危险废物收集、贮存、运输活动应遵照国家相关管理规定，建立健全规章制度及操作流程，确保该过程的安全、可靠。</w:t>
      </w:r>
    </w:p>
    <w:p w14:paraId="15EFCC77">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危险废物转移过程应按《危险废物转移管理办法》执行。</w:t>
      </w:r>
    </w:p>
    <w:p w14:paraId="2B83A24F">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危险废物收集、贮存、运输单位应建立规范的管理和技术人员培训制度，定期针对管理和技术人员进行培训。培训内容至少应包括危险废物鉴别要求、危险废物经营许可证管理、危险废物转移联单管理、危险废物包装和标识、危险废物运输要求、危险废物事故应急方法等。</w:t>
      </w:r>
    </w:p>
    <w:p w14:paraId="73F68990">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危险废物收集、贮存、运输单位应编制应急预案。应急预案编制可参照《危险废物经营单位编制应急预案指南》，涉及运输的相关内容还应符合交通行政主管部门的有关规定。针对危险废物收集、贮存、运输过程中的事故易发环节应定期组织应急演练。</w:t>
      </w:r>
    </w:p>
    <w:p w14:paraId="5408437C">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危险废物收集、贮存、运输时应按危险特性对危险废物进行分类、包装并设置相应的标志及标签。</w:t>
      </w:r>
    </w:p>
    <w:p w14:paraId="5C11D4B8">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5.5.3.1危险废物收集及储存分析</w:t>
      </w:r>
    </w:p>
    <w:p w14:paraId="331A8D88">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本项目运营期产生</w:t>
      </w:r>
      <w:r>
        <w:rPr>
          <w:rFonts w:hint="eastAsia"/>
          <w:color w:val="auto"/>
          <w:w w:val="99"/>
          <w:kern w:val="2"/>
          <w:sz w:val="24"/>
          <w:highlight w:val="none"/>
        </w:rPr>
        <w:t>井口含油</w:t>
      </w:r>
      <w:r>
        <w:rPr>
          <w:rFonts w:hint="eastAsia"/>
          <w:color w:val="auto"/>
          <w:w w:val="99"/>
          <w:kern w:val="2"/>
          <w:sz w:val="24"/>
          <w:highlight w:val="none"/>
          <w:lang w:eastAsia="zh-CN"/>
        </w:rPr>
        <w:t>砂粒</w:t>
      </w:r>
      <w:r>
        <w:rPr>
          <w:color w:val="auto"/>
          <w:w w:val="99"/>
          <w:kern w:val="2"/>
          <w:sz w:val="24"/>
          <w:highlight w:val="none"/>
        </w:rPr>
        <w:t>，废物类别为 HW08废矿物油与含矿物油废物，废物代码为900-249-08。</w:t>
      </w:r>
      <w:r>
        <w:rPr>
          <w:rFonts w:hint="eastAsia"/>
          <w:color w:val="auto"/>
          <w:w w:val="99"/>
          <w:kern w:val="2"/>
          <w:sz w:val="24"/>
          <w:highlight w:val="none"/>
        </w:rPr>
        <w:t>井场柱上变电站检修时会产生废变压器油，</w:t>
      </w:r>
      <w:r>
        <w:rPr>
          <w:color w:val="auto"/>
          <w:w w:val="99"/>
          <w:kern w:val="2"/>
          <w:sz w:val="24"/>
          <w:highlight w:val="none"/>
        </w:rPr>
        <w:t>危险废物类别为HW08废矿物油与含矿物油废物，代码为900-220-08</w:t>
      </w:r>
      <w:r>
        <w:rPr>
          <w:rFonts w:hint="eastAsia"/>
          <w:color w:val="auto"/>
          <w:w w:val="99"/>
          <w:kern w:val="2"/>
          <w:sz w:val="24"/>
          <w:highlight w:val="none"/>
        </w:rPr>
        <w:t>。废物产生后均由检维修队送采气分公司危险废物贮存库内，定期委托有危废处置资质的单位处置。</w:t>
      </w:r>
      <w:r>
        <w:rPr>
          <w:color w:val="auto"/>
          <w:w w:val="99"/>
          <w:kern w:val="2"/>
          <w:sz w:val="24"/>
          <w:highlight w:val="none"/>
        </w:rPr>
        <w:t>资质单位按照《危险废物收集贮存运输技术规范》要求进行运输管理。</w:t>
      </w:r>
    </w:p>
    <w:p w14:paraId="1CB46975">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5.5.3.2危险废物转运</w:t>
      </w:r>
    </w:p>
    <w:p w14:paraId="503E792E">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危险废物转移过程中应按《危险废物转移管理办法》执行。</w:t>
      </w:r>
    </w:p>
    <w:p w14:paraId="07BBC516">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本工程危险废物转运将严格执行危险废物转移制度。危险废物在运输工程中严格控制运输车辆密闭性，避免“跑、冒、滴、漏”情况发生。危险废物的运输由资质单位按照《危险废物收集贮存 运输技术规范》要求进行运输管理，危险废物的转移过程应按照《危险废物转移管理办法》执行。在运输过程中，尽量选择硬质路面的路线进行运输，同时要在厂区内的运输路线上经常洒水降尘，减少扬尘污染；运输过程中要避开居住区等敏感区，合理安排运输时间，避免夜间运输，减少噪声污染；同时尽量挑选较好的天气进行运输，避免在雨雪大风等天气条件下运输。</w:t>
      </w:r>
    </w:p>
    <w:p w14:paraId="49849BA2">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一旦运输过程发生意外事故，运输单位及相关部门应根据风险程度采取如下措施：</w:t>
      </w:r>
    </w:p>
    <w:p w14:paraId="7F5369FE">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（1）设立事故警戒线，启动应急预案，并按《突发环境事件信息报告办法》（</w:t>
      </w:r>
      <w:r>
        <w:rPr>
          <w:rFonts w:hint="eastAsia"/>
          <w:color w:val="auto"/>
          <w:w w:val="99"/>
          <w:kern w:val="2"/>
          <w:sz w:val="24"/>
          <w:highlight w:val="none"/>
        </w:rPr>
        <w:t>环境保护部令</w:t>
      </w:r>
      <w:r>
        <w:rPr>
          <w:color w:val="auto"/>
          <w:w w:val="99"/>
          <w:kern w:val="2"/>
          <w:sz w:val="24"/>
          <w:highlight w:val="none"/>
        </w:rPr>
        <w:t>[2011]第17号）要求进行报告；</w:t>
      </w:r>
    </w:p>
    <w:p w14:paraId="3E1634CD">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（2）应立即疏散人群，并请求环境保护、消防、医疗、公安等相关部门支援；</w:t>
      </w:r>
    </w:p>
    <w:p w14:paraId="74F47C4E">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（3）对事故现场受到污染的土壤和水体等环境介质应进行相</w:t>
      </w:r>
      <w:r>
        <w:rPr>
          <w:rFonts w:hint="eastAsia"/>
          <w:color w:val="auto"/>
          <w:w w:val="99"/>
          <w:kern w:val="2"/>
          <w:sz w:val="24"/>
          <w:highlight w:val="none"/>
        </w:rPr>
        <w:t>应</w:t>
      </w:r>
      <w:r>
        <w:rPr>
          <w:color w:val="auto"/>
          <w:w w:val="99"/>
          <w:kern w:val="2"/>
          <w:sz w:val="24"/>
          <w:highlight w:val="none"/>
        </w:rPr>
        <w:t>的清理和</w:t>
      </w:r>
      <w:r>
        <w:rPr>
          <w:rFonts w:hint="eastAsia"/>
          <w:color w:val="auto"/>
          <w:w w:val="99"/>
          <w:kern w:val="2"/>
          <w:sz w:val="24"/>
          <w:highlight w:val="none"/>
        </w:rPr>
        <w:t>修复</w:t>
      </w:r>
      <w:r>
        <w:rPr>
          <w:color w:val="auto"/>
          <w:w w:val="99"/>
          <w:kern w:val="2"/>
          <w:sz w:val="24"/>
          <w:highlight w:val="none"/>
        </w:rPr>
        <w:t>；</w:t>
      </w:r>
    </w:p>
    <w:p w14:paraId="6251A263">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（4）清理过程中产生的所有废物均应按危险废物进行管理和处置；</w:t>
      </w:r>
    </w:p>
    <w:p w14:paraId="70CF9916">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（5）进入现场清理和包装危险废物的人员应</w:t>
      </w:r>
      <w:r>
        <w:rPr>
          <w:rFonts w:hint="eastAsia"/>
          <w:color w:val="auto"/>
          <w:w w:val="99"/>
          <w:kern w:val="2"/>
          <w:sz w:val="24"/>
          <w:highlight w:val="none"/>
        </w:rPr>
        <w:t>接</w:t>
      </w:r>
      <w:r>
        <w:rPr>
          <w:color w:val="auto"/>
          <w:w w:val="99"/>
          <w:kern w:val="2"/>
          <w:sz w:val="24"/>
          <w:highlight w:val="none"/>
        </w:rPr>
        <w:t>受过专业培训，并佩戴相应的防护工具。</w:t>
      </w:r>
    </w:p>
    <w:p w14:paraId="6730DB20">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采取本环评提出的预防及治理措施后，危险废物转运对周围环境影响较小。</w:t>
      </w:r>
    </w:p>
    <w:p w14:paraId="58533776">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5.5.3.3危险废物处置</w:t>
      </w:r>
    </w:p>
    <w:p w14:paraId="0B8385BC">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本工程运营期产生的</w:t>
      </w:r>
      <w:r>
        <w:rPr>
          <w:rFonts w:hint="eastAsia"/>
          <w:color w:val="auto"/>
          <w:w w:val="99"/>
          <w:kern w:val="2"/>
          <w:sz w:val="24"/>
          <w:highlight w:val="none"/>
        </w:rPr>
        <w:t>井口含油</w:t>
      </w:r>
      <w:r>
        <w:rPr>
          <w:rFonts w:hint="eastAsia"/>
          <w:color w:val="auto"/>
          <w:w w:val="99"/>
          <w:kern w:val="2"/>
          <w:sz w:val="24"/>
          <w:highlight w:val="none"/>
          <w:lang w:eastAsia="zh-CN"/>
        </w:rPr>
        <w:t>砂粒</w:t>
      </w:r>
      <w:r>
        <w:rPr>
          <w:rFonts w:hint="eastAsia"/>
          <w:color w:val="auto"/>
          <w:w w:val="99"/>
          <w:kern w:val="2"/>
          <w:sz w:val="24"/>
          <w:highlight w:val="none"/>
        </w:rPr>
        <w:t>、废变压器油，由检维修队送采气分公司危险废物贮存库内，定期委托有危废处置资质的单位处置</w:t>
      </w:r>
      <w:r>
        <w:rPr>
          <w:color w:val="auto"/>
          <w:w w:val="99"/>
          <w:kern w:val="2"/>
          <w:sz w:val="24"/>
          <w:highlight w:val="none"/>
        </w:rPr>
        <w:t>。</w:t>
      </w:r>
    </w:p>
    <w:p w14:paraId="4FAE24EF">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根据《建设项目危险废物环境影响评价指南》（</w:t>
      </w:r>
      <w:r>
        <w:rPr>
          <w:rFonts w:hint="eastAsia"/>
          <w:color w:val="auto"/>
          <w:w w:val="99"/>
          <w:kern w:val="2"/>
          <w:sz w:val="24"/>
          <w:highlight w:val="none"/>
        </w:rPr>
        <w:t>环保部公告〔</w:t>
      </w:r>
      <w:r>
        <w:rPr>
          <w:color w:val="auto"/>
          <w:w w:val="99"/>
          <w:kern w:val="2"/>
          <w:sz w:val="24"/>
          <w:highlight w:val="none"/>
        </w:rPr>
        <w:t>2017〕43号）相关规定，“环评阶段已签订利用或者委托处置意向的，应分析危险废物利用或者处置途径的可行性。暂未委托利用或者处置单位的，应根据建设项目周边有资质的危险废物处置单位的分布情况、处置能力、资质类别等，给出建设项目产生危险废物的委托利用或处置途径建议。”</w:t>
      </w:r>
    </w:p>
    <w:p w14:paraId="66CBC208">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本工程建设单位尚未签订</w:t>
      </w:r>
      <w:r>
        <w:rPr>
          <w:rFonts w:hint="eastAsia"/>
          <w:color w:val="auto"/>
          <w:w w:val="99"/>
          <w:kern w:val="2"/>
          <w:sz w:val="24"/>
          <w:highlight w:val="none"/>
        </w:rPr>
        <w:t>井口砂粒、废变压器油</w:t>
      </w:r>
      <w:r>
        <w:rPr>
          <w:color w:val="auto"/>
          <w:w w:val="99"/>
          <w:kern w:val="2"/>
          <w:sz w:val="24"/>
          <w:highlight w:val="none"/>
        </w:rPr>
        <w:t>的委托处置协议。根据黑龙江省核发的危险废物处理资质单位名单，有能力处理</w:t>
      </w:r>
      <w:r>
        <w:rPr>
          <w:rFonts w:hint="eastAsia"/>
          <w:color w:val="auto"/>
          <w:w w:val="99"/>
          <w:kern w:val="2"/>
          <w:sz w:val="24"/>
          <w:highlight w:val="none"/>
        </w:rPr>
        <w:t>井口砂粒、废变压器油</w:t>
      </w:r>
      <w:r>
        <w:rPr>
          <w:color w:val="auto"/>
          <w:w w:val="99"/>
          <w:kern w:val="2"/>
          <w:sz w:val="24"/>
          <w:highlight w:val="none"/>
        </w:rPr>
        <w:t>的企业有大庆圣德雷特化工有限公司和大庆市云泰石化产品有限公司，详细情况如下：</w:t>
      </w:r>
    </w:p>
    <w:p w14:paraId="31DFAB9C">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大庆圣德雷特化工有限公司经营范围包括HW08-废矿物油与含矿物油废物（071-001-08、071-002-08、072-001-08、251-001-08、251-002-08、251-003-08、251-004-08、251-005-08、251-006-08、251-010-08、251-011-08、251-012-08、900-199-08、900-200-08、900-201-08、900-204-08、900-210-08、900-212-08、900-213-08、900-214-08、900-215-08、900-216-08、900-217-08、900-218-08、900-219-08、900-220-08、900-221-08、900-222-08、900-249-08），HW08类核准经营规模50000t/a，HW49 类25万只/年。</w:t>
      </w:r>
    </w:p>
    <w:p w14:paraId="6CC75F6E">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大庆市云泰石化产品有限公司经营范围包括HW08 废矿物油与含矿物油废物（071-001-08、071-002-08、072-001-08、251-001-08、251-002-08、251-003-08、251-004-08、251-005-08、251-006-08、251-010-08、900-199-08、900-200-08、900-210-08、900-214-08、900-221-08、900-222-08、900-249-08）；HW49 其他废物，HW08（80000t/a），HW49（20000t/a）。</w:t>
      </w:r>
    </w:p>
    <w:p w14:paraId="37A4DE0C">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大庆圣德雷特化工有限公司、大庆市云泰石化产品有限公司有资质处理本工程产生的</w:t>
      </w:r>
      <w:r>
        <w:rPr>
          <w:rFonts w:hint="eastAsia"/>
          <w:color w:val="auto"/>
          <w:w w:val="99"/>
          <w:kern w:val="2"/>
          <w:sz w:val="24"/>
          <w:highlight w:val="none"/>
        </w:rPr>
        <w:t>危险废物</w:t>
      </w:r>
      <w:r>
        <w:rPr>
          <w:color w:val="auto"/>
          <w:w w:val="99"/>
          <w:kern w:val="2"/>
          <w:sz w:val="24"/>
          <w:highlight w:val="none"/>
        </w:rPr>
        <w:t>，且处理能力均能够满足本工程处理需求。</w:t>
      </w:r>
    </w:p>
    <w:p w14:paraId="4AE7392B">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采取以上措施后，本工程产生的固体废物均得到有效处置，不会对周围环境产生不良影响。</w:t>
      </w:r>
    </w:p>
    <w:p w14:paraId="2388F30D">
      <w:pPr>
        <w:pStyle w:val="47"/>
        <w:spacing w:after="0" w:line="440" w:lineRule="exact"/>
        <w:ind w:left="0" w:leftChars="0"/>
        <w:outlineLvl w:val="2"/>
        <w:rPr>
          <w:rFonts w:eastAsiaTheme="minorEastAsia"/>
          <w:b/>
          <w:bCs/>
          <w:color w:val="auto"/>
          <w:w w:val="99"/>
          <w:kern w:val="2"/>
          <w:sz w:val="24"/>
          <w:highlight w:val="none"/>
        </w:rPr>
      </w:pPr>
      <w:r>
        <w:rPr>
          <w:rFonts w:hint="eastAsia" w:eastAsiaTheme="minorEastAsia"/>
          <w:b/>
          <w:bCs/>
          <w:color w:val="auto"/>
          <w:w w:val="99"/>
          <w:kern w:val="2"/>
          <w:sz w:val="24"/>
          <w:highlight w:val="none"/>
        </w:rPr>
        <w:t>5.5.4退役期</w:t>
      </w:r>
    </w:p>
    <w:p w14:paraId="57E0F7B0">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退役期产生的固体废物主要为废旧设备、封井建筑垃圾、生活垃圾</w:t>
      </w:r>
      <w:r>
        <w:rPr>
          <w:rFonts w:hint="eastAsia"/>
          <w:color w:val="auto"/>
          <w:w w:val="99"/>
          <w:kern w:val="2"/>
          <w:sz w:val="24"/>
          <w:highlight w:val="none"/>
        </w:rPr>
        <w:t>含油防渗布</w:t>
      </w:r>
      <w:r>
        <w:rPr>
          <w:color w:val="auto"/>
          <w:w w:val="99"/>
          <w:kern w:val="2"/>
          <w:sz w:val="24"/>
          <w:highlight w:val="none"/>
        </w:rPr>
        <w:t>。</w:t>
      </w:r>
    </w:p>
    <w:p w14:paraId="6C8AFD17">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本项目退役管线两段封堵后直埋处理，退役期拆除的废旧设备全部回收至</w:t>
      </w:r>
      <w:r>
        <w:rPr>
          <w:rFonts w:hint="eastAsia" w:ascii="Times New Roman" w:hAnsi="Times New Roman" w:cs="Times New Roman"/>
          <w:color w:val="auto"/>
          <w:w w:val="99"/>
          <w:kern w:val="2"/>
          <w:highlight w:val="none"/>
        </w:rPr>
        <w:t>采气分公司</w:t>
      </w:r>
      <w:r>
        <w:rPr>
          <w:rFonts w:ascii="Times New Roman" w:hAnsi="Times New Roman" w:cs="Times New Roman"/>
          <w:color w:val="auto"/>
          <w:w w:val="99"/>
          <w:kern w:val="2"/>
          <w:highlight w:val="none"/>
        </w:rPr>
        <w:t>物资库。封井建筑垃圾统一收集后由施工单位清运至建筑垃圾调配场处理。生活垃圾统一收集后拉运至</w:t>
      </w:r>
      <w:r>
        <w:rPr>
          <w:rFonts w:hint="eastAsia" w:ascii="Times New Roman" w:hAnsi="Times New Roman" w:cs="Times New Roman"/>
          <w:color w:val="auto"/>
          <w:w w:val="99"/>
          <w:kern w:val="2"/>
          <w:highlight w:val="none"/>
        </w:rPr>
        <w:t>肇东北控环境再生能源有限公司</w:t>
      </w:r>
      <w:r>
        <w:rPr>
          <w:rFonts w:ascii="Times New Roman" w:hAnsi="Times New Roman" w:cs="Times New Roman"/>
          <w:color w:val="auto"/>
          <w:w w:val="99"/>
          <w:kern w:val="2"/>
          <w:highlight w:val="none"/>
        </w:rPr>
        <w:t>处理</w:t>
      </w:r>
      <w:r>
        <w:rPr>
          <w:rFonts w:hint="eastAsia" w:cs="Times New Roman"/>
          <w:color w:val="auto"/>
          <w:w w:val="99"/>
          <w:kern w:val="2"/>
          <w:highlight w:val="none"/>
        </w:rPr>
        <w:t>；</w:t>
      </w:r>
      <w:r>
        <w:rPr>
          <w:rFonts w:hint="eastAsia" w:ascii="Times New Roman" w:hAnsi="Times New Roman" w:cs="Times New Roman"/>
          <w:color w:val="auto"/>
          <w:w w:val="99"/>
          <w:kern w:val="2"/>
          <w:highlight w:val="none"/>
        </w:rPr>
        <w:t>拆除施工时井场铺设防渗布，</w:t>
      </w:r>
      <w:r>
        <w:rPr>
          <w:rFonts w:ascii="Times New Roman" w:hAnsi="Times New Roman" w:cs="Times New Roman"/>
          <w:color w:val="auto"/>
          <w:w w:val="99"/>
          <w:kern w:val="2"/>
          <w:highlight w:val="none"/>
        </w:rPr>
        <w:t>单块防渗布重量按250kg（12m×12m）计，平均每口井作业用</w:t>
      </w:r>
      <w:r>
        <w:rPr>
          <w:rFonts w:hint="eastAsia" w:ascii="Times New Roman" w:hAnsi="Times New Roman" w:cs="Times New Roman"/>
          <w:color w:val="auto"/>
          <w:w w:val="99"/>
          <w:kern w:val="2"/>
          <w:highlight w:val="none"/>
        </w:rPr>
        <w:t>3</w:t>
      </w:r>
      <w:r>
        <w:rPr>
          <w:rFonts w:ascii="Times New Roman" w:hAnsi="Times New Roman" w:cs="Times New Roman"/>
          <w:color w:val="auto"/>
          <w:w w:val="99"/>
          <w:kern w:val="2"/>
          <w:highlight w:val="none"/>
        </w:rPr>
        <w:t>块，</w:t>
      </w:r>
      <w:r>
        <w:rPr>
          <w:rFonts w:hint="eastAsia" w:ascii="Times New Roman" w:hAnsi="Times New Roman" w:cs="Times New Roman"/>
          <w:color w:val="auto"/>
          <w:w w:val="99"/>
          <w:kern w:val="2"/>
          <w:highlight w:val="none"/>
        </w:rPr>
        <w:t>防渗布可能滴落含烃废水，退役期含油废防渗布最大产生量约0.75t。</w:t>
      </w:r>
      <w:r>
        <w:rPr>
          <w:rFonts w:ascii="Times New Roman" w:hAnsi="Times New Roman" w:cs="Times New Roman"/>
          <w:color w:val="auto"/>
          <w:w w:val="99"/>
          <w:kern w:val="2"/>
          <w:highlight w:val="none"/>
        </w:rPr>
        <w:t>含油废防渗布在作业结束后，</w:t>
      </w:r>
      <w:r>
        <w:rPr>
          <w:rFonts w:hint="eastAsia" w:ascii="Times New Roman" w:hAnsi="Times New Roman" w:cs="Times New Roman"/>
          <w:color w:val="auto"/>
          <w:w w:val="99"/>
          <w:kern w:val="2"/>
          <w:highlight w:val="none"/>
        </w:rPr>
        <w:t>由施工单位运至采气分公司危险废物贮存库，</w:t>
      </w:r>
      <w:r>
        <w:rPr>
          <w:rFonts w:ascii="Times New Roman" w:hAnsi="Times New Roman" w:cs="Times New Roman"/>
          <w:color w:val="auto"/>
          <w:w w:val="99"/>
          <w:kern w:val="2"/>
          <w:highlight w:val="none"/>
        </w:rPr>
        <w:t>委托</w:t>
      </w:r>
      <w:r>
        <w:rPr>
          <w:rFonts w:hint="eastAsia" w:ascii="Times New Roman" w:hAnsi="Times New Roman" w:cs="Times New Roman"/>
          <w:color w:val="auto"/>
          <w:w w:val="99"/>
          <w:kern w:val="2"/>
          <w:highlight w:val="none"/>
        </w:rPr>
        <w:t>有资质单位</w:t>
      </w:r>
      <w:r>
        <w:rPr>
          <w:rFonts w:ascii="Times New Roman" w:hAnsi="Times New Roman" w:cs="Times New Roman"/>
          <w:color w:val="auto"/>
          <w:w w:val="99"/>
          <w:kern w:val="2"/>
          <w:highlight w:val="none"/>
        </w:rPr>
        <w:t>转运处置</w:t>
      </w:r>
      <w:r>
        <w:rPr>
          <w:rFonts w:hint="eastAsia" w:ascii="Times New Roman" w:hAnsi="Times New Roman" w:cs="Times New Roman"/>
          <w:color w:val="auto"/>
          <w:w w:val="99"/>
          <w:kern w:val="2"/>
          <w:highlight w:val="none"/>
        </w:rPr>
        <w:t>。</w:t>
      </w:r>
    </w:p>
    <w:p w14:paraId="2B1C599C">
      <w:pPr>
        <w:keepNext/>
        <w:keepLines/>
        <w:widowControl w:val="0"/>
        <w:spacing w:before="60" w:after="60"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通过采取以上措施，退役期产生的固体废物均得到有效处置，不会对周围环境产生不良影响。</w:t>
      </w:r>
      <w:bookmarkStart w:id="944" w:name="_Toc186444353"/>
    </w:p>
    <w:bookmarkEnd w:id="944"/>
    <w:p w14:paraId="79A6920E">
      <w:pPr>
        <w:pStyle w:val="7"/>
        <w:widowControl w:val="0"/>
        <w:spacing w:before="60" w:after="60" w:line="440" w:lineRule="exact"/>
        <w:jc w:val="both"/>
        <w:rPr>
          <w:rFonts w:eastAsiaTheme="minorEastAsia"/>
          <w:b/>
          <w:color w:val="auto"/>
          <w:w w:val="99"/>
          <w:kern w:val="2"/>
          <w:sz w:val="24"/>
          <w:szCs w:val="24"/>
          <w:highlight w:val="none"/>
        </w:rPr>
      </w:pPr>
      <w:bookmarkStart w:id="945" w:name="_Toc186444355"/>
      <w:r>
        <w:rPr>
          <w:rFonts w:eastAsiaTheme="minorEastAsia"/>
          <w:b/>
          <w:color w:val="auto"/>
          <w:w w:val="99"/>
          <w:kern w:val="2"/>
          <w:sz w:val="24"/>
          <w:szCs w:val="24"/>
          <w:highlight w:val="none"/>
        </w:rPr>
        <w:t>5.5.</w:t>
      </w:r>
      <w:bookmarkEnd w:id="937"/>
      <w:bookmarkEnd w:id="938"/>
      <w:bookmarkEnd w:id="939"/>
      <w:bookmarkEnd w:id="940"/>
      <w:bookmarkEnd w:id="941"/>
      <w:bookmarkEnd w:id="942"/>
      <w:bookmarkEnd w:id="943"/>
      <w:r>
        <w:rPr>
          <w:rFonts w:eastAsiaTheme="minorEastAsia"/>
          <w:b/>
          <w:color w:val="auto"/>
          <w:w w:val="99"/>
          <w:kern w:val="2"/>
          <w:sz w:val="24"/>
          <w:szCs w:val="24"/>
          <w:highlight w:val="none"/>
        </w:rPr>
        <w:t>5固体废物环境影响评价结论</w:t>
      </w:r>
      <w:bookmarkEnd w:id="945"/>
    </w:p>
    <w:p w14:paraId="063E21DE">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由上述分析可知，本工程对施工期、运营期、退役期产生的各类固体废弃物均进行了合理的处置，能够实现固废的减量化、资源化和无害化，对环境影响较小。</w:t>
      </w:r>
    </w:p>
    <w:bookmarkEnd w:id="919"/>
    <w:bookmarkEnd w:id="920"/>
    <w:bookmarkEnd w:id="921"/>
    <w:bookmarkEnd w:id="922"/>
    <w:bookmarkEnd w:id="923"/>
    <w:bookmarkEnd w:id="924"/>
    <w:bookmarkEnd w:id="925"/>
    <w:bookmarkEnd w:id="926"/>
    <w:p w14:paraId="18A60204">
      <w:pPr>
        <w:pStyle w:val="5"/>
        <w:keepNext w:val="0"/>
        <w:keepLines w:val="0"/>
        <w:widowControl w:val="0"/>
        <w:spacing w:before="120" w:after="120"/>
        <w:rPr>
          <w:rFonts w:ascii="Times New Roman" w:hAnsi="Times New Roman" w:eastAsia="宋体"/>
          <w:b/>
          <w:snapToGrid w:val="0"/>
          <w:color w:val="auto"/>
          <w:w w:val="99"/>
          <w:highlight w:val="none"/>
        </w:rPr>
      </w:pPr>
      <w:bookmarkStart w:id="946" w:name="_Toc65426006"/>
      <w:bookmarkStart w:id="947" w:name="_Toc26898"/>
      <w:r>
        <w:rPr>
          <w:rFonts w:ascii="Times New Roman" w:hAnsi="Times New Roman" w:eastAsia="宋体"/>
          <w:b/>
          <w:snapToGrid w:val="0"/>
          <w:color w:val="auto"/>
          <w:w w:val="99"/>
          <w:highlight w:val="none"/>
        </w:rPr>
        <w:t>5.6生态环境影响评价</w:t>
      </w:r>
      <w:bookmarkEnd w:id="946"/>
      <w:bookmarkEnd w:id="947"/>
    </w:p>
    <w:p w14:paraId="33A8080E">
      <w:pPr>
        <w:pStyle w:val="7"/>
        <w:keepNext w:val="0"/>
        <w:keepLines w:val="0"/>
        <w:widowControl w:val="0"/>
        <w:spacing w:before="60" w:after="60"/>
        <w:jc w:val="both"/>
        <w:rPr>
          <w:rFonts w:eastAsia="宋体"/>
          <w:b/>
          <w:color w:val="auto"/>
          <w:w w:val="99"/>
          <w:kern w:val="2"/>
          <w:sz w:val="24"/>
          <w:szCs w:val="24"/>
          <w:highlight w:val="none"/>
        </w:rPr>
      </w:pPr>
      <w:r>
        <w:rPr>
          <w:rFonts w:hint="eastAsia" w:eastAsia="宋体"/>
          <w:b/>
          <w:color w:val="auto"/>
          <w:w w:val="99"/>
          <w:kern w:val="2"/>
          <w:sz w:val="24"/>
          <w:szCs w:val="24"/>
          <w:highlight w:val="none"/>
        </w:rPr>
        <w:t>5</w:t>
      </w:r>
      <w:r>
        <w:rPr>
          <w:rFonts w:eastAsia="宋体"/>
          <w:b/>
          <w:color w:val="auto"/>
          <w:w w:val="99"/>
          <w:kern w:val="2"/>
          <w:sz w:val="24"/>
          <w:szCs w:val="24"/>
          <w:highlight w:val="none"/>
        </w:rPr>
        <w:t>.6.1</w:t>
      </w:r>
      <w:r>
        <w:rPr>
          <w:rFonts w:hint="eastAsia" w:eastAsia="宋体"/>
          <w:b/>
          <w:color w:val="auto"/>
          <w:w w:val="99"/>
          <w:kern w:val="2"/>
          <w:sz w:val="24"/>
          <w:szCs w:val="24"/>
          <w:highlight w:val="none"/>
        </w:rPr>
        <w:t>施工期生态</w:t>
      </w:r>
      <w:r>
        <w:rPr>
          <w:rFonts w:eastAsia="宋体"/>
          <w:b/>
          <w:color w:val="auto"/>
          <w:w w:val="99"/>
          <w:kern w:val="2"/>
          <w:sz w:val="24"/>
          <w:szCs w:val="24"/>
          <w:highlight w:val="none"/>
        </w:rPr>
        <w:t>环境影响评价</w:t>
      </w:r>
    </w:p>
    <w:p w14:paraId="5049C831">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本工程井场平整建设、管沟开挖、管道敷设、覆土回填，供电、道路工程施工等过程会对周围生态环境造成不同程度的影响和破坏，主要有以下几个方面：</w:t>
      </w:r>
    </w:p>
    <w:p w14:paraId="3991E81A">
      <w:pPr>
        <w:pStyle w:val="153"/>
        <w:widowControl w:val="0"/>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5.6.1.1</w:t>
      </w:r>
      <w:r>
        <w:rPr>
          <w:rFonts w:hint="eastAsia" w:ascii="Times New Roman" w:hAnsi="Times New Roman"/>
          <w:b/>
          <w:color w:val="auto"/>
          <w:w w:val="99"/>
          <w:highlight w:val="none"/>
        </w:rPr>
        <w:t>对生态系统</w:t>
      </w:r>
      <w:r>
        <w:rPr>
          <w:rFonts w:ascii="Times New Roman" w:hAnsi="Times New Roman"/>
          <w:b/>
          <w:color w:val="auto"/>
          <w:w w:val="99"/>
          <w:highlight w:val="none"/>
        </w:rPr>
        <w:t>影响</w:t>
      </w:r>
      <w:r>
        <w:rPr>
          <w:rFonts w:hint="eastAsia" w:ascii="Times New Roman" w:hAnsi="Times New Roman"/>
          <w:b/>
          <w:color w:val="auto"/>
          <w:w w:val="99"/>
          <w:highlight w:val="none"/>
        </w:rPr>
        <w:t>分析</w:t>
      </w:r>
    </w:p>
    <w:p w14:paraId="2D82014B">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（1）对生态系统结构和功能影响分析</w:t>
      </w:r>
    </w:p>
    <w:p w14:paraId="6F785789">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①对生态系统结构影响分析</w:t>
      </w:r>
    </w:p>
    <w:p w14:paraId="76C312EF">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本项目评价区景观基质为农田景观。工程建设期农田景观占评价区总面积的比例仍然维持在较高水平，可见气田设施建设虽使评价区自然体系的景观质量呈下降趋势，但没有根本上改变评价区的生态体系质量和以农田景观为主的景观结构。这说明景观拼块中人工异质性的增加不会对评价区产生较大干扰能力。另外，工程施工结束后，临时占地区植被将得以恢复，工程建设对评价区各类生态系统的影响将逐步减小和恢复，对生态系统结构影响较小。</w:t>
      </w:r>
    </w:p>
    <w:p w14:paraId="34BA57E1">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②对生态系统功能影响分析</w:t>
      </w:r>
    </w:p>
    <w:p w14:paraId="6BCA32B8">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本项目不占用湿地，根据上表数据，项目施工前和施工期相比较，评价区湿地生态系统面积不变，因此，工程建设不会影响湿地生态系统的气候调节、水质净化、补给地下水等功能，也不会影响其抵御区域自然灾害和环境污染风险的能力。</w:t>
      </w:r>
    </w:p>
    <w:p w14:paraId="4708B0D5">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（2）对生态系统完整性的影响</w:t>
      </w:r>
    </w:p>
    <w:p w14:paraId="3374BC1D">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本项目为气田开发产能项目，在已开发的区块内进行点状更新，临时占地施工结束后及时进行植被恢复，不会改变周围的植物群落，且永久占地面积较小，对植被覆盖度变化影响较小。</w:t>
      </w:r>
    </w:p>
    <w:p w14:paraId="20616B1F">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本项目施工结束后，及时恢复被破坏的地表形态，平整作业现场，改善土壤及植被恢复条件。对于本项目占用的临时占地，在施工结束后及时进行植被恢复，包括施工前表土剥离后的土地恢复及播撒草籽等恢复措施；恢复采取自然恢复与人工恢复相结合的方式进行。其中管沟开挖上方、井场建设等施工活动将使地表植被全部被破坏，自然恢复较困难，因此需采取人工撒播草籽的方式进行恢复，施工后或次年适宜季节（一般5、6月份）完成。植被盖度恢复至与四周相同，对草地生态系统完整性影响较小。</w:t>
      </w:r>
    </w:p>
    <w:p w14:paraId="54573BC8">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（3）对生态功能影响分析</w:t>
      </w:r>
    </w:p>
    <w:p w14:paraId="319D5859">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本次施工期需临时占用耕地，施工时将清除占地范围内陆域植被，经现场踏勘，工程沿线全部为农田，区域植物都是广布种，无稀有种。因此，工程在施工对陆域植物的影响只引起数量的减少，不会造成物种的灭绝。施工结束后及时对临时占用植被进行恢复，对区域生态功能影响可接受。</w:t>
      </w:r>
    </w:p>
    <w:p w14:paraId="7C532F5C">
      <w:pPr>
        <w:pStyle w:val="153"/>
        <w:widowControl w:val="0"/>
        <w:ind w:firstLine="0" w:firstLineChars="0"/>
        <w:jc w:val="both"/>
        <w:outlineLvl w:val="3"/>
        <w:rPr>
          <w:rFonts w:ascii="Times New Roman" w:hAnsi="Times New Roman"/>
          <w:b/>
          <w:color w:val="auto"/>
          <w:w w:val="99"/>
          <w:highlight w:val="none"/>
        </w:rPr>
      </w:pPr>
      <w:r>
        <w:rPr>
          <w:rFonts w:hint="eastAsia" w:ascii="Times New Roman" w:hAnsi="Times New Roman"/>
          <w:b/>
          <w:color w:val="auto"/>
          <w:w w:val="99"/>
          <w:highlight w:val="none"/>
        </w:rPr>
        <w:t>5</w:t>
      </w:r>
      <w:r>
        <w:rPr>
          <w:rFonts w:ascii="Times New Roman" w:hAnsi="Times New Roman"/>
          <w:b/>
          <w:color w:val="auto"/>
          <w:w w:val="99"/>
          <w:highlight w:val="none"/>
        </w:rPr>
        <w:t>.6.1.2</w:t>
      </w:r>
      <w:r>
        <w:rPr>
          <w:rFonts w:hint="eastAsia" w:ascii="Times New Roman" w:hAnsi="Times New Roman"/>
          <w:b/>
          <w:color w:val="auto"/>
          <w:w w:val="99"/>
          <w:highlight w:val="none"/>
        </w:rPr>
        <w:t>对土地利用</w:t>
      </w:r>
      <w:r>
        <w:rPr>
          <w:rFonts w:ascii="Times New Roman" w:hAnsi="Times New Roman"/>
          <w:b/>
          <w:color w:val="auto"/>
          <w:w w:val="99"/>
          <w:highlight w:val="none"/>
        </w:rPr>
        <w:t>影响</w:t>
      </w:r>
      <w:r>
        <w:rPr>
          <w:rFonts w:hint="eastAsia" w:ascii="Times New Roman" w:hAnsi="Times New Roman"/>
          <w:b/>
          <w:color w:val="auto"/>
          <w:w w:val="99"/>
          <w:highlight w:val="none"/>
        </w:rPr>
        <w:t>分析</w:t>
      </w:r>
    </w:p>
    <w:p w14:paraId="1E4CE53E">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本项目生态评价范围内主要以耕地（基本农田）为主</w:t>
      </w:r>
      <w:r>
        <w:rPr>
          <w:rFonts w:hint="eastAsia"/>
          <w:color w:val="auto"/>
          <w:w w:val="99"/>
          <w:kern w:val="2"/>
          <w:sz w:val="24"/>
          <w:highlight w:val="none"/>
        </w:rPr>
        <w:t>、草地次之</w:t>
      </w:r>
      <w:r>
        <w:rPr>
          <w:color w:val="auto"/>
          <w:w w:val="99"/>
          <w:kern w:val="2"/>
          <w:sz w:val="24"/>
          <w:highlight w:val="none"/>
        </w:rPr>
        <w:t>。本项目新增永久占地</w:t>
      </w:r>
      <w:r>
        <w:rPr>
          <w:rFonts w:hint="eastAsia"/>
          <w:color w:val="auto"/>
          <w:w w:val="99"/>
          <w:kern w:val="2"/>
          <w:sz w:val="24"/>
          <w:highlight w:val="none"/>
        </w:rPr>
        <w:t>0.0901</w:t>
      </w:r>
      <w:r>
        <w:rPr>
          <w:color w:val="auto"/>
          <w:w w:val="99"/>
          <w:kern w:val="2"/>
          <w:sz w:val="24"/>
          <w:highlight w:val="none"/>
        </w:rPr>
        <w:t>hm</w:t>
      </w:r>
      <w:r>
        <w:rPr>
          <w:color w:val="auto"/>
          <w:w w:val="99"/>
          <w:kern w:val="2"/>
          <w:sz w:val="24"/>
          <w:highlight w:val="none"/>
          <w:vertAlign w:val="superscript"/>
        </w:rPr>
        <w:t>2</w:t>
      </w:r>
      <w:r>
        <w:rPr>
          <w:color w:val="auto"/>
          <w:w w:val="99"/>
          <w:kern w:val="2"/>
          <w:sz w:val="24"/>
          <w:highlight w:val="none"/>
        </w:rPr>
        <w:t>，本工程永久占地在原来连续分布的生态环境中形成斑块，但由于本项目永久占地面积较小，对项目区域土地利用结构影响较小。</w:t>
      </w:r>
    </w:p>
    <w:p w14:paraId="07034914">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（2）对植被影响分析</w:t>
      </w:r>
    </w:p>
    <w:p w14:paraId="241737AB">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1）永久占地影响</w:t>
      </w:r>
    </w:p>
    <w:p w14:paraId="29BF65D4">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本工程永久占地在原来连续分布的生态环境中形成斑块，产生地表温度等物理性质发生异常，以及干扰地面植被，影响生态环境的类型和结构。永久占用农田改变了土壤的原有耕作层，直接造成农作物经济损失。</w:t>
      </w:r>
    </w:p>
    <w:p w14:paraId="2EB22D2A">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项目</w:t>
      </w:r>
      <w:r>
        <w:rPr>
          <w:rFonts w:hint="eastAsia"/>
          <w:color w:val="auto"/>
          <w:w w:val="99"/>
          <w:kern w:val="2"/>
          <w:sz w:val="24"/>
          <w:highlight w:val="none"/>
        </w:rPr>
        <w:t>新增</w:t>
      </w:r>
      <w:r>
        <w:rPr>
          <w:color w:val="auto"/>
          <w:w w:val="99"/>
          <w:kern w:val="2"/>
          <w:sz w:val="24"/>
          <w:highlight w:val="none"/>
        </w:rPr>
        <w:t>永久占用耕地</w:t>
      </w:r>
      <w:r>
        <w:rPr>
          <w:rFonts w:hint="eastAsia"/>
          <w:color w:val="auto"/>
          <w:w w:val="99"/>
          <w:kern w:val="2"/>
          <w:sz w:val="24"/>
          <w:highlight w:val="none"/>
        </w:rPr>
        <w:t>0.0901</w:t>
      </w:r>
      <w:r>
        <w:rPr>
          <w:color w:val="auto"/>
          <w:w w:val="99"/>
          <w:kern w:val="2"/>
          <w:sz w:val="24"/>
          <w:highlight w:val="none"/>
        </w:rPr>
        <w:t>hm</w:t>
      </w:r>
      <w:r>
        <w:rPr>
          <w:color w:val="auto"/>
          <w:w w:val="99"/>
          <w:kern w:val="2"/>
          <w:sz w:val="24"/>
          <w:highlight w:val="none"/>
          <w:vertAlign w:val="superscript"/>
        </w:rPr>
        <w:t>2</w:t>
      </w:r>
      <w:r>
        <w:rPr>
          <w:color w:val="auto"/>
          <w:w w:val="99"/>
          <w:kern w:val="2"/>
          <w:sz w:val="24"/>
          <w:highlight w:val="none"/>
        </w:rPr>
        <w:t>，对生态影响程度有限</w:t>
      </w:r>
      <w:r>
        <w:rPr>
          <w:rFonts w:hint="eastAsia"/>
          <w:color w:val="auto"/>
          <w:w w:val="99"/>
          <w:kern w:val="2"/>
          <w:sz w:val="24"/>
          <w:highlight w:val="none"/>
        </w:rPr>
        <w:t>。</w:t>
      </w:r>
      <w:r>
        <w:rPr>
          <w:color w:val="auto"/>
          <w:w w:val="99"/>
          <w:kern w:val="2"/>
          <w:sz w:val="24"/>
          <w:highlight w:val="none"/>
        </w:rPr>
        <w:t>地表农作物主要为玉米，玉米产量按 7t/hm</w:t>
      </w:r>
      <w:r>
        <w:rPr>
          <w:color w:val="auto"/>
          <w:w w:val="99"/>
          <w:kern w:val="2"/>
          <w:sz w:val="24"/>
          <w:highlight w:val="none"/>
          <w:vertAlign w:val="superscript"/>
        </w:rPr>
        <w:t>2</w:t>
      </w:r>
      <w:r>
        <w:rPr>
          <w:color w:val="auto"/>
          <w:w w:val="99"/>
          <w:kern w:val="2"/>
          <w:sz w:val="24"/>
          <w:highlight w:val="none"/>
        </w:rPr>
        <w:t>计算，永久占地按15年损失计算，共损失玉米</w:t>
      </w:r>
      <w:r>
        <w:rPr>
          <w:rFonts w:hint="eastAsia"/>
          <w:color w:val="auto"/>
          <w:w w:val="99"/>
          <w:kern w:val="2"/>
          <w:sz w:val="24"/>
          <w:highlight w:val="none"/>
        </w:rPr>
        <w:t>9.46</w:t>
      </w:r>
      <w:r>
        <w:rPr>
          <w:color w:val="auto"/>
          <w:w w:val="99"/>
          <w:kern w:val="2"/>
          <w:sz w:val="24"/>
          <w:highlight w:val="none"/>
        </w:rPr>
        <w:t>t，玉米价格按1500元/t计算，其经济价值约为</w:t>
      </w:r>
      <w:r>
        <w:rPr>
          <w:rFonts w:hint="eastAsia"/>
          <w:color w:val="auto"/>
          <w:w w:val="99"/>
          <w:kern w:val="2"/>
          <w:sz w:val="24"/>
          <w:highlight w:val="none"/>
        </w:rPr>
        <w:t>1.42</w:t>
      </w:r>
      <w:r>
        <w:rPr>
          <w:color w:val="auto"/>
          <w:w w:val="99"/>
          <w:kern w:val="2"/>
          <w:sz w:val="24"/>
          <w:highlight w:val="none"/>
        </w:rPr>
        <w:t>万元。项目投产后在生产期内永久占用的，生物量将永久损失，其影响是长期且不可逆的。</w:t>
      </w:r>
    </w:p>
    <w:p w14:paraId="047B721D">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2）临时占地</w:t>
      </w:r>
    </w:p>
    <w:p w14:paraId="0ED56B73">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本工程在施工期发生的临时占地是新建</w:t>
      </w:r>
      <w:r>
        <w:rPr>
          <w:rFonts w:hint="eastAsia"/>
          <w:color w:val="auto"/>
          <w:w w:val="99"/>
          <w:kern w:val="2"/>
          <w:sz w:val="24"/>
          <w:highlight w:val="none"/>
        </w:rPr>
        <w:t>井场、</w:t>
      </w:r>
      <w:r>
        <w:rPr>
          <w:color w:val="auto"/>
          <w:w w:val="99"/>
          <w:kern w:val="2"/>
          <w:sz w:val="24"/>
          <w:highlight w:val="none"/>
        </w:rPr>
        <w:t>管道</w:t>
      </w:r>
      <w:r>
        <w:rPr>
          <w:rFonts w:hint="eastAsia"/>
          <w:color w:val="auto"/>
          <w:w w:val="99"/>
          <w:kern w:val="2"/>
          <w:sz w:val="24"/>
          <w:highlight w:val="none"/>
        </w:rPr>
        <w:t>、柱上变电站</w:t>
      </w:r>
      <w:r>
        <w:rPr>
          <w:color w:val="auto"/>
          <w:w w:val="99"/>
          <w:kern w:val="2"/>
          <w:sz w:val="24"/>
          <w:highlight w:val="none"/>
        </w:rPr>
        <w:t>对耕地产生的影响。施工过程中，车辆碾压，机械推挖、人员践踏等对地表进行的平整将会对占地地表造成很大破坏，这种影响是短期可逆的，施工结束后，被占用土地开始恢复。</w:t>
      </w:r>
    </w:p>
    <w:p w14:paraId="2C87D500">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本项目临时占用耕地面积为</w:t>
      </w:r>
      <w:r>
        <w:rPr>
          <w:rFonts w:hint="eastAsia"/>
          <w:color w:val="auto"/>
          <w:w w:val="99"/>
          <w:kern w:val="2"/>
          <w:sz w:val="24"/>
          <w:highlight w:val="none"/>
        </w:rPr>
        <w:t>1.9229</w:t>
      </w:r>
      <w:r>
        <w:rPr>
          <w:color w:val="auto"/>
          <w:w w:val="99"/>
          <w:kern w:val="2"/>
          <w:sz w:val="24"/>
          <w:highlight w:val="none"/>
        </w:rPr>
        <w:t>hm</w:t>
      </w:r>
      <w:r>
        <w:rPr>
          <w:color w:val="auto"/>
          <w:w w:val="99"/>
          <w:kern w:val="2"/>
          <w:sz w:val="24"/>
          <w:highlight w:val="none"/>
          <w:vertAlign w:val="superscript"/>
        </w:rPr>
        <w:t>2</w:t>
      </w:r>
      <w:r>
        <w:rPr>
          <w:color w:val="auto"/>
          <w:w w:val="99"/>
          <w:kern w:val="2"/>
          <w:sz w:val="24"/>
          <w:highlight w:val="none"/>
        </w:rPr>
        <w:t>。耕地农作物为玉米，农作物当年粮食产量全部损失，第二、三年产量将下降</w:t>
      </w:r>
      <w:r>
        <w:rPr>
          <w:rFonts w:hint="eastAsia"/>
          <w:color w:val="auto"/>
          <w:w w:val="99"/>
          <w:kern w:val="2"/>
          <w:sz w:val="24"/>
          <w:highlight w:val="none"/>
        </w:rPr>
        <w:t>30</w:t>
      </w:r>
      <w:r>
        <w:rPr>
          <w:color w:val="auto"/>
          <w:w w:val="99"/>
          <w:kern w:val="2"/>
          <w:sz w:val="24"/>
          <w:highlight w:val="none"/>
        </w:rPr>
        <w:t>%，随后恢复正常产量，农作物单位面积产量以玉米计，按7.</w:t>
      </w:r>
      <w:r>
        <w:rPr>
          <w:rFonts w:hint="eastAsia"/>
          <w:color w:val="auto"/>
          <w:w w:val="99"/>
          <w:kern w:val="2"/>
          <w:sz w:val="24"/>
          <w:highlight w:val="none"/>
        </w:rPr>
        <w:t>0</w:t>
      </w:r>
      <w:r>
        <w:rPr>
          <w:color w:val="auto"/>
          <w:w w:val="99"/>
          <w:kern w:val="2"/>
          <w:sz w:val="24"/>
          <w:highlight w:val="none"/>
        </w:rPr>
        <w:t>t/hm</w:t>
      </w:r>
      <w:r>
        <w:rPr>
          <w:color w:val="auto"/>
          <w:w w:val="99"/>
          <w:kern w:val="2"/>
          <w:sz w:val="24"/>
          <w:highlight w:val="none"/>
          <w:vertAlign w:val="superscript"/>
        </w:rPr>
        <w:t>2</w:t>
      </w:r>
      <w:r>
        <w:rPr>
          <w:color w:val="auto"/>
          <w:w w:val="99"/>
          <w:kern w:val="2"/>
          <w:sz w:val="24"/>
          <w:highlight w:val="none"/>
        </w:rPr>
        <w:t>计算，三年间临时占地总共损失粮食产量为</w:t>
      </w:r>
      <w:r>
        <w:rPr>
          <w:rFonts w:hint="eastAsia"/>
          <w:color w:val="auto"/>
          <w:w w:val="99"/>
          <w:kern w:val="2"/>
          <w:sz w:val="24"/>
          <w:highlight w:val="none"/>
        </w:rPr>
        <w:t>21.54</w:t>
      </w:r>
      <w:r>
        <w:rPr>
          <w:color w:val="auto"/>
          <w:w w:val="99"/>
          <w:kern w:val="2"/>
          <w:sz w:val="24"/>
          <w:highlight w:val="none"/>
        </w:rPr>
        <w:t>t，价格按照1500元/t计，则临时占用耕地损失</w:t>
      </w:r>
      <w:r>
        <w:rPr>
          <w:rFonts w:hint="eastAsia"/>
          <w:color w:val="auto"/>
          <w:w w:val="99"/>
          <w:kern w:val="2"/>
          <w:sz w:val="24"/>
          <w:highlight w:val="none"/>
        </w:rPr>
        <w:t>3.23</w:t>
      </w:r>
      <w:r>
        <w:rPr>
          <w:color w:val="auto"/>
          <w:w w:val="99"/>
          <w:kern w:val="2"/>
          <w:sz w:val="24"/>
          <w:highlight w:val="none"/>
        </w:rPr>
        <w:t>万元。</w:t>
      </w:r>
    </w:p>
    <w:p w14:paraId="720319A5">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根据《中华人民共和国土地管理法》第四十七条规定：征收土地的，按照被征收土地的原用途给予补偿。被征收土地上的附着物和青苗的补偿标准，由省、自治区、直辖市规定。由于本工程临时占地的占用期限很短，在完工后可以及时恢复，所以不会对当地植被产生大的影响。生态影响减缓及恢复见表5.</w:t>
      </w:r>
      <w:r>
        <w:rPr>
          <w:rFonts w:hint="eastAsia"/>
          <w:color w:val="auto"/>
          <w:w w:val="99"/>
          <w:kern w:val="2"/>
          <w:sz w:val="24"/>
          <w:highlight w:val="none"/>
        </w:rPr>
        <w:t>6-1</w:t>
      </w:r>
      <w:r>
        <w:rPr>
          <w:color w:val="auto"/>
          <w:w w:val="99"/>
          <w:kern w:val="2"/>
          <w:sz w:val="24"/>
          <w:highlight w:val="none"/>
        </w:rPr>
        <w:t>。</w:t>
      </w:r>
    </w:p>
    <w:p w14:paraId="7BFBB511">
      <w:pPr>
        <w:pStyle w:val="47"/>
        <w:spacing w:after="0" w:line="440" w:lineRule="exact"/>
        <w:ind w:left="0" w:leftChars="0" w:firstLine="476" w:firstLineChars="200"/>
        <w:rPr>
          <w:b/>
          <w:bCs/>
          <w:color w:val="auto"/>
          <w:w w:val="99"/>
          <w:kern w:val="2"/>
          <w:sz w:val="24"/>
          <w:highlight w:val="none"/>
        </w:rPr>
      </w:pPr>
      <w:r>
        <w:rPr>
          <w:b/>
          <w:bCs/>
          <w:color w:val="auto"/>
          <w:w w:val="99"/>
          <w:kern w:val="2"/>
          <w:sz w:val="24"/>
          <w:highlight w:val="none"/>
        </w:rPr>
        <w:t>表5.</w:t>
      </w:r>
      <w:r>
        <w:rPr>
          <w:rFonts w:hint="eastAsia"/>
          <w:b/>
          <w:bCs/>
          <w:color w:val="auto"/>
          <w:w w:val="99"/>
          <w:kern w:val="2"/>
          <w:sz w:val="24"/>
          <w:highlight w:val="none"/>
        </w:rPr>
        <w:t>6</w:t>
      </w:r>
      <w:r>
        <w:rPr>
          <w:b/>
          <w:bCs/>
          <w:color w:val="auto"/>
          <w:w w:val="99"/>
          <w:kern w:val="2"/>
          <w:sz w:val="24"/>
          <w:highlight w:val="none"/>
        </w:rPr>
        <w:t>-</w:t>
      </w:r>
      <w:r>
        <w:rPr>
          <w:rFonts w:hint="eastAsia"/>
          <w:b/>
          <w:bCs/>
          <w:color w:val="auto"/>
          <w:w w:val="99"/>
          <w:kern w:val="2"/>
          <w:sz w:val="24"/>
          <w:highlight w:val="none"/>
        </w:rPr>
        <w:t>1</w:t>
      </w:r>
      <w:r>
        <w:rPr>
          <w:b/>
          <w:bCs/>
          <w:color w:val="auto"/>
          <w:w w:val="99"/>
          <w:kern w:val="2"/>
          <w:sz w:val="24"/>
          <w:highlight w:val="none"/>
        </w:rPr>
        <w:t xml:space="preserve">  生态影响减缓及恢复措施表  </w:t>
      </w:r>
    </w:p>
    <w:tbl>
      <w:tblPr>
        <w:tblStyle w:val="1662"/>
        <w:tblW w:w="0" w:type="auto"/>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555"/>
        <w:gridCol w:w="1074"/>
        <w:gridCol w:w="1646"/>
        <w:gridCol w:w="1631"/>
        <w:gridCol w:w="2044"/>
        <w:gridCol w:w="2337"/>
      </w:tblGrid>
      <w:tr w14:paraId="6C0106B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c>
          <w:tcPr>
            <w:tcW w:w="0" w:type="auto"/>
            <w:tcBorders>
              <w:top w:val="single" w:color="000000" w:sz="4" w:space="0"/>
              <w:left w:val="single" w:color="000000" w:sz="4" w:space="0"/>
              <w:tl2br w:val="nil"/>
              <w:tr2bl w:val="nil"/>
            </w:tcBorders>
            <w:vAlign w:val="center"/>
          </w:tcPr>
          <w:p w14:paraId="025E3D33">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序号</w:t>
            </w:r>
          </w:p>
        </w:tc>
        <w:tc>
          <w:tcPr>
            <w:tcW w:w="0" w:type="auto"/>
            <w:tcBorders>
              <w:top w:val="single" w:color="000000" w:sz="4" w:space="0"/>
              <w:tl2br w:val="nil"/>
              <w:tr2bl w:val="nil"/>
            </w:tcBorders>
            <w:vAlign w:val="center"/>
          </w:tcPr>
          <w:p w14:paraId="745E6FEB">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项目</w:t>
            </w:r>
          </w:p>
        </w:tc>
        <w:tc>
          <w:tcPr>
            <w:tcW w:w="1646" w:type="dxa"/>
            <w:tcBorders>
              <w:top w:val="single" w:color="000000" w:sz="4" w:space="0"/>
              <w:tl2br w:val="nil"/>
              <w:tr2bl w:val="nil"/>
            </w:tcBorders>
            <w:vAlign w:val="center"/>
          </w:tcPr>
          <w:p w14:paraId="65F87286">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占地类型</w:t>
            </w:r>
          </w:p>
        </w:tc>
        <w:tc>
          <w:tcPr>
            <w:tcW w:w="1631" w:type="dxa"/>
            <w:tcBorders>
              <w:top w:val="single" w:color="000000" w:sz="4" w:space="0"/>
              <w:tl2br w:val="nil"/>
              <w:tr2bl w:val="nil"/>
            </w:tcBorders>
            <w:vAlign w:val="center"/>
          </w:tcPr>
          <w:p w14:paraId="074E5BAB">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面积及措施</w:t>
            </w:r>
          </w:p>
        </w:tc>
        <w:tc>
          <w:tcPr>
            <w:tcW w:w="2044" w:type="dxa"/>
            <w:tcBorders>
              <w:top w:val="single" w:color="000000" w:sz="4" w:space="0"/>
              <w:tl2br w:val="nil"/>
              <w:tr2bl w:val="nil"/>
            </w:tcBorders>
            <w:vAlign w:val="center"/>
          </w:tcPr>
          <w:p w14:paraId="641F728E">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补偿恢复类型</w:t>
            </w:r>
          </w:p>
        </w:tc>
        <w:tc>
          <w:tcPr>
            <w:tcW w:w="2337" w:type="dxa"/>
            <w:tcBorders>
              <w:top w:val="single" w:color="000000" w:sz="4" w:space="0"/>
              <w:right w:val="single" w:color="000000" w:sz="4" w:space="0"/>
              <w:tl2br w:val="nil"/>
              <w:tr2bl w:val="nil"/>
            </w:tcBorders>
            <w:vAlign w:val="center"/>
          </w:tcPr>
          <w:p w14:paraId="257A9DB6">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占地工程位置</w:t>
            </w:r>
          </w:p>
        </w:tc>
      </w:tr>
      <w:tr w14:paraId="09C9BF4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0" w:hRule="atLeast"/>
        </w:trPr>
        <w:tc>
          <w:tcPr>
            <w:tcW w:w="555" w:type="dxa"/>
            <w:tcBorders>
              <w:left w:val="single" w:color="000000" w:sz="4" w:space="0"/>
              <w:tl2br w:val="nil"/>
              <w:tr2bl w:val="nil"/>
            </w:tcBorders>
            <w:vAlign w:val="center"/>
          </w:tcPr>
          <w:p w14:paraId="7E6B6BC6">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1</w:t>
            </w:r>
          </w:p>
        </w:tc>
        <w:tc>
          <w:tcPr>
            <w:tcW w:w="1074" w:type="dxa"/>
            <w:tcBorders>
              <w:tl2br w:val="nil"/>
              <w:tr2bl w:val="nil"/>
            </w:tcBorders>
            <w:vAlign w:val="center"/>
          </w:tcPr>
          <w:p w14:paraId="7A128E47">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永久占地补偿</w:t>
            </w:r>
          </w:p>
        </w:tc>
        <w:tc>
          <w:tcPr>
            <w:tcW w:w="1646" w:type="dxa"/>
            <w:tcBorders>
              <w:tl2br w:val="nil"/>
              <w:tr2bl w:val="nil"/>
            </w:tcBorders>
            <w:vAlign w:val="center"/>
          </w:tcPr>
          <w:p w14:paraId="34E923AB">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耕地</w:t>
            </w:r>
          </w:p>
          <w:p w14:paraId="6F0A23EC">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（基本农田）</w:t>
            </w:r>
          </w:p>
        </w:tc>
        <w:tc>
          <w:tcPr>
            <w:tcW w:w="1631" w:type="dxa"/>
            <w:tcBorders>
              <w:tl2br w:val="nil"/>
              <w:tr2bl w:val="nil"/>
            </w:tcBorders>
            <w:vAlign w:val="center"/>
          </w:tcPr>
          <w:p w14:paraId="7310F58A">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耕地补偿</w:t>
            </w:r>
            <w:r>
              <w:rPr>
                <w:rFonts w:hint="eastAsia" w:ascii="Times New Roman" w:hAnsi="Times New Roman" w:cs="Times New Roman" w:eastAsiaTheme="minorEastAsia"/>
                <w:color w:val="auto"/>
                <w:w w:val="99"/>
                <w:sz w:val="21"/>
                <w:szCs w:val="21"/>
                <w:highlight w:val="none"/>
                <w:lang w:eastAsia="en-US"/>
              </w:rPr>
              <w:t>0.0901</w:t>
            </w:r>
            <w:r>
              <w:rPr>
                <w:rFonts w:ascii="Times New Roman" w:hAnsi="Times New Roman" w:cs="Times New Roman" w:eastAsiaTheme="minorEastAsia"/>
                <w:color w:val="auto"/>
                <w:w w:val="99"/>
                <w:sz w:val="21"/>
                <w:szCs w:val="21"/>
                <w:highlight w:val="none"/>
                <w:lang w:eastAsia="en-US"/>
              </w:rPr>
              <w:t>hm</w:t>
            </w:r>
            <w:r>
              <w:rPr>
                <w:rFonts w:ascii="Times New Roman" w:hAnsi="Times New Roman" w:cs="Times New Roman" w:eastAsiaTheme="minorEastAsia"/>
                <w:color w:val="auto"/>
                <w:w w:val="99"/>
                <w:sz w:val="21"/>
                <w:szCs w:val="21"/>
                <w:highlight w:val="none"/>
                <w:vertAlign w:val="superscript"/>
                <w:lang w:eastAsia="en-US"/>
              </w:rPr>
              <w:t>2</w:t>
            </w:r>
          </w:p>
        </w:tc>
        <w:tc>
          <w:tcPr>
            <w:tcW w:w="2044" w:type="dxa"/>
            <w:tcBorders>
              <w:tl2br w:val="nil"/>
              <w:tr2bl w:val="nil"/>
            </w:tcBorders>
            <w:vAlign w:val="center"/>
          </w:tcPr>
          <w:p w14:paraId="6CA8A30B">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占一补一；先补后占、占补平衡</w:t>
            </w:r>
          </w:p>
        </w:tc>
        <w:tc>
          <w:tcPr>
            <w:tcW w:w="2337" w:type="dxa"/>
            <w:tcBorders>
              <w:right w:val="single" w:color="000000" w:sz="4" w:space="0"/>
              <w:tl2br w:val="nil"/>
              <w:tr2bl w:val="nil"/>
            </w:tcBorders>
            <w:vAlign w:val="center"/>
          </w:tcPr>
          <w:p w14:paraId="1C83DD33">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供电、道路工程施工</w:t>
            </w:r>
          </w:p>
        </w:tc>
      </w:tr>
      <w:tr w14:paraId="1704176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51" w:hRule="atLeast"/>
        </w:trPr>
        <w:tc>
          <w:tcPr>
            <w:tcW w:w="555" w:type="dxa"/>
            <w:tcBorders>
              <w:left w:val="single" w:color="000000" w:sz="4" w:space="0"/>
              <w:bottom w:val="single" w:color="000000" w:sz="4" w:space="0"/>
              <w:tl2br w:val="nil"/>
              <w:tr2bl w:val="nil"/>
            </w:tcBorders>
            <w:vAlign w:val="center"/>
          </w:tcPr>
          <w:p w14:paraId="1BBBC0CA">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2</w:t>
            </w:r>
          </w:p>
        </w:tc>
        <w:tc>
          <w:tcPr>
            <w:tcW w:w="1074" w:type="dxa"/>
            <w:tcBorders>
              <w:bottom w:val="single" w:color="000000" w:sz="4" w:space="0"/>
              <w:tl2br w:val="nil"/>
              <w:tr2bl w:val="nil"/>
            </w:tcBorders>
            <w:vAlign w:val="center"/>
          </w:tcPr>
          <w:p w14:paraId="0CDFCF7E">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临时占地恢复</w:t>
            </w:r>
          </w:p>
        </w:tc>
        <w:tc>
          <w:tcPr>
            <w:tcW w:w="1646" w:type="dxa"/>
            <w:tcBorders>
              <w:bottom w:val="single" w:color="000000" w:sz="4" w:space="0"/>
              <w:tl2br w:val="nil"/>
              <w:tr2bl w:val="nil"/>
            </w:tcBorders>
            <w:vAlign w:val="center"/>
          </w:tcPr>
          <w:p w14:paraId="0127BA8B">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耕地</w:t>
            </w:r>
          </w:p>
          <w:p w14:paraId="6C2C0896">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（基本农田）</w:t>
            </w:r>
          </w:p>
        </w:tc>
        <w:tc>
          <w:tcPr>
            <w:tcW w:w="1631" w:type="dxa"/>
            <w:tcBorders>
              <w:bottom w:val="single" w:color="000000" w:sz="4" w:space="0"/>
              <w:tl2br w:val="nil"/>
              <w:tr2bl w:val="nil"/>
            </w:tcBorders>
            <w:vAlign w:val="center"/>
          </w:tcPr>
          <w:p w14:paraId="70525522">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hint="eastAsia" w:ascii="Times New Roman" w:hAnsi="Times New Roman" w:cs="Times New Roman" w:eastAsiaTheme="minorEastAsia"/>
                <w:color w:val="auto"/>
                <w:w w:val="99"/>
                <w:sz w:val="21"/>
                <w:szCs w:val="21"/>
                <w:highlight w:val="none"/>
                <w:lang w:eastAsia="en-US"/>
              </w:rPr>
              <w:t>1.9229</w:t>
            </w:r>
            <w:r>
              <w:rPr>
                <w:rFonts w:ascii="Times New Roman" w:hAnsi="Times New Roman" w:cs="Times New Roman" w:eastAsiaTheme="minorEastAsia"/>
                <w:color w:val="auto"/>
                <w:w w:val="99"/>
                <w:sz w:val="21"/>
                <w:szCs w:val="21"/>
                <w:highlight w:val="none"/>
                <w:lang w:eastAsia="en-US"/>
              </w:rPr>
              <w:t>hm</w:t>
            </w:r>
            <w:r>
              <w:rPr>
                <w:rFonts w:ascii="Times New Roman" w:hAnsi="Times New Roman" w:cs="Times New Roman" w:eastAsiaTheme="minorEastAsia"/>
                <w:color w:val="auto"/>
                <w:w w:val="99"/>
                <w:sz w:val="21"/>
                <w:szCs w:val="21"/>
                <w:highlight w:val="none"/>
                <w:vertAlign w:val="superscript"/>
                <w:lang w:eastAsia="en-US"/>
              </w:rPr>
              <w:t>2</w:t>
            </w:r>
          </w:p>
        </w:tc>
        <w:tc>
          <w:tcPr>
            <w:tcW w:w="2044" w:type="dxa"/>
            <w:tcBorders>
              <w:bottom w:val="single" w:color="000000" w:sz="4" w:space="0"/>
              <w:tl2br w:val="nil"/>
              <w:tr2bl w:val="nil"/>
            </w:tcBorders>
            <w:vAlign w:val="center"/>
          </w:tcPr>
          <w:p w14:paraId="2198DB49">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恢复地表形态，及时复垦</w:t>
            </w:r>
          </w:p>
        </w:tc>
        <w:tc>
          <w:tcPr>
            <w:tcW w:w="2337" w:type="dxa"/>
            <w:tcBorders>
              <w:bottom w:val="single" w:color="000000" w:sz="4" w:space="0"/>
              <w:right w:val="single" w:color="000000" w:sz="4" w:space="0"/>
              <w:tl2br w:val="nil"/>
              <w:tr2bl w:val="nil"/>
            </w:tcBorders>
            <w:vAlign w:val="center"/>
          </w:tcPr>
          <w:p w14:paraId="00214296">
            <w:pPr>
              <w:widowControl w:val="0"/>
              <w:spacing w:line="320" w:lineRule="exact"/>
              <w:jc w:val="center"/>
              <w:rPr>
                <w:rFonts w:ascii="Times New Roman" w:hAnsi="Times New Roman" w:cs="Times New Roman" w:eastAsiaTheme="minorEastAsia"/>
                <w:color w:val="auto"/>
                <w:w w:val="99"/>
                <w:sz w:val="21"/>
                <w:szCs w:val="21"/>
                <w:highlight w:val="none"/>
                <w:lang w:eastAsia="en-US"/>
              </w:rPr>
            </w:pPr>
            <w:r>
              <w:rPr>
                <w:rFonts w:ascii="Times New Roman" w:hAnsi="Times New Roman" w:cs="Times New Roman" w:eastAsiaTheme="minorEastAsia"/>
                <w:color w:val="auto"/>
                <w:w w:val="99"/>
                <w:sz w:val="21"/>
                <w:szCs w:val="21"/>
                <w:highlight w:val="none"/>
                <w:lang w:eastAsia="en-US"/>
              </w:rPr>
              <w:t>供电、道路工程施工</w:t>
            </w:r>
          </w:p>
        </w:tc>
      </w:tr>
    </w:tbl>
    <w:p w14:paraId="1302E35A">
      <w:pPr>
        <w:pStyle w:val="153"/>
        <w:widowControl w:val="0"/>
        <w:ind w:firstLine="0" w:firstLineChars="0"/>
        <w:jc w:val="both"/>
        <w:outlineLvl w:val="3"/>
        <w:rPr>
          <w:rFonts w:ascii="Times New Roman" w:hAnsi="Times New Roman"/>
          <w:b/>
          <w:color w:val="auto"/>
          <w:w w:val="99"/>
          <w:highlight w:val="none"/>
        </w:rPr>
      </w:pPr>
      <w:r>
        <w:rPr>
          <w:rFonts w:hint="eastAsia" w:ascii="Times New Roman" w:hAnsi="Times New Roman"/>
          <w:b/>
          <w:color w:val="auto"/>
          <w:w w:val="99"/>
          <w:highlight w:val="none"/>
        </w:rPr>
        <w:t>5</w:t>
      </w:r>
      <w:r>
        <w:rPr>
          <w:rFonts w:ascii="Times New Roman" w:hAnsi="Times New Roman"/>
          <w:b/>
          <w:color w:val="auto"/>
          <w:w w:val="99"/>
          <w:highlight w:val="none"/>
        </w:rPr>
        <w:t>.6.1.3</w:t>
      </w:r>
      <w:r>
        <w:rPr>
          <w:rFonts w:hint="eastAsia" w:ascii="Times New Roman" w:hAnsi="Times New Roman"/>
          <w:b/>
          <w:color w:val="auto"/>
          <w:w w:val="99"/>
          <w:highlight w:val="none"/>
        </w:rPr>
        <w:t>对植被</w:t>
      </w:r>
      <w:r>
        <w:rPr>
          <w:rFonts w:ascii="Times New Roman" w:hAnsi="Times New Roman"/>
          <w:b/>
          <w:color w:val="auto"/>
          <w:w w:val="99"/>
          <w:highlight w:val="none"/>
        </w:rPr>
        <w:t>影响</w:t>
      </w:r>
      <w:r>
        <w:rPr>
          <w:rFonts w:hint="eastAsia" w:ascii="Times New Roman" w:hAnsi="Times New Roman"/>
          <w:b/>
          <w:color w:val="auto"/>
          <w:w w:val="99"/>
          <w:highlight w:val="none"/>
        </w:rPr>
        <w:t>分析</w:t>
      </w:r>
    </w:p>
    <w:p w14:paraId="70D8AB1F">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（1）施工活动对植被影响分析</w:t>
      </w:r>
    </w:p>
    <w:p w14:paraId="4329B5D6">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 xml:space="preserve">施工过程运输车辆产生的扬尘、施工过程洒落的石灰和水泥，会对周围植物的生长带来直接的影响。这些尘土降落到植物的叶面上，会堵塞毛孔，影响植物的光合作用，从而使之生长减缓甚至死去。石灰和水泥若被雨水冲刷渗入地下，会导致土壤板结，影响植物根系对水分和矿物质的吸收。另外，原材料的堆放、车辆漏油，会污染土壤，从而间接影响植物的生长。虽然随着施工的结束不再产生扬尘，情况会有所好转，但是这些影响并不会随施工的结束而得到解决，它们的影响将持续较长一段时间。因此施工过程中在湿地公园段禁止堆放原材料以及废弃料，对于运输车辆，必须规定固定的路线，将影响减小到最少范围。 </w:t>
      </w:r>
    </w:p>
    <w:p w14:paraId="32319C3F">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施工完成之后可采取措施进行植被生态重建和恢复。根据现场调查显示，临时占地均为旱地，原则上按原用地类型进行恢复。</w:t>
      </w:r>
    </w:p>
    <w:p w14:paraId="3443FDFF">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（2）不同工程类型对植被影响分析</w:t>
      </w:r>
    </w:p>
    <w:p w14:paraId="2F73E2B3">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①井场工程对植被影响分析</w:t>
      </w:r>
    </w:p>
    <w:p w14:paraId="0BCCB650">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井场工程对植被的影响主要为钻前工程的土地平整、钻机安置、施工机械碾压、施工人员及车辆踩踏等施工活动对植被的破坏。土地平整将清除井场内全部植被，最直接的影响就是造成植物死亡，地表裸露，将造成评价区植被生物量和生产力下降。同时，施工尘土附着在植物叶片表面，影响植物的光合作用，尤其是会对植物幼苗生理特性产生影响。另外，施工人员踩踏和施工机械设备碾压也会对植被的生长产生不利影响。</w:t>
      </w:r>
    </w:p>
    <w:p w14:paraId="477AC0E7">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井场占地占评价区总面积的比例较小，对植被影响的特征是形成建设用地斑块，而对植物群落的演替基本没有影响。施工结束采取植物恢复措施后，生物量在2年～3年后可全部恢复。本项目占用植被类型主要为农田，其中农田以水稻、玉米为主，不占用国家级及黑龙江省级重点保护植物。施工结束后，临时占地植被可及时恢复，因此，井场工程对评价区植被的影响在可接受范围内。</w:t>
      </w:r>
    </w:p>
    <w:p w14:paraId="4B472D57">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②道路工程对植被影响分析</w:t>
      </w:r>
    </w:p>
    <w:p w14:paraId="04A35121">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本项目道路建设新增永久占地面积0.09</w:t>
      </w:r>
      <w:r>
        <w:rPr>
          <w:rFonts w:hint="default" w:ascii="Times New Roman" w:hAnsi="Times New Roman" w:eastAsia="宋体"/>
          <w:color w:val="auto"/>
          <w:w w:val="99"/>
          <w:sz w:val="24"/>
          <w:szCs w:val="24"/>
          <w:highlight w:val="none"/>
        </w:rPr>
        <w:t>h</w:t>
      </w:r>
      <w:r>
        <w:rPr>
          <w:rFonts w:ascii="Times New Roman" w:hAnsi="Times New Roman" w:eastAsia="宋体"/>
          <w:color w:val="auto"/>
          <w:w w:val="99"/>
          <w:sz w:val="24"/>
          <w:szCs w:val="24"/>
          <w:highlight w:val="none"/>
        </w:rPr>
        <w:t>m</w:t>
      </w:r>
      <w:r>
        <w:rPr>
          <w:rFonts w:ascii="Times New Roman" w:hAnsi="Times New Roman" w:eastAsia="宋体"/>
          <w:color w:val="auto"/>
          <w:w w:val="99"/>
          <w:sz w:val="24"/>
          <w:szCs w:val="24"/>
          <w:highlight w:val="none"/>
          <w:vertAlign w:val="superscript"/>
        </w:rPr>
        <w:t>2</w:t>
      </w:r>
      <w:r>
        <w:rPr>
          <w:rFonts w:ascii="Times New Roman" w:hAnsi="Times New Roman" w:eastAsia="宋体"/>
          <w:color w:val="auto"/>
          <w:w w:val="99"/>
          <w:sz w:val="24"/>
          <w:szCs w:val="24"/>
          <w:highlight w:val="none"/>
        </w:rPr>
        <w:t>。永久占地将会改变土地利用结构，造成生物量永久损失。由于永久占地面积较小，同时对道路边坡进行植被恢复，因此道路建设对植被造成的影响较小。</w:t>
      </w:r>
    </w:p>
    <w:p w14:paraId="086C0F65">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类比已开发区块内的采气井井场周围植被恢复情况，井场周围的植被情况与未进行井场建设的区域无明显区别。因此，项目对区域的植被影响很小。</w:t>
      </w:r>
    </w:p>
    <w:p w14:paraId="34975635">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在不同的地形或土壤条件下，本项目井场建设的大部分临时占地植被自然恢复速度及效果有所不同。经过多年恢复，已经很难看出井场施工的痕迹，井场周围已恢复原有植被，因此，项目施工对区域植被影响在可接受范围内。</w:t>
      </w:r>
    </w:p>
    <w:p w14:paraId="2CD2F1CB">
      <w:pPr>
        <w:pStyle w:val="153"/>
        <w:widowControl w:val="0"/>
        <w:ind w:firstLine="0" w:firstLineChars="0"/>
        <w:jc w:val="both"/>
        <w:outlineLvl w:val="3"/>
        <w:rPr>
          <w:rFonts w:ascii="Times New Roman" w:hAnsi="Times New Roman"/>
          <w:b/>
          <w:color w:val="auto"/>
          <w:w w:val="99"/>
          <w:highlight w:val="none"/>
        </w:rPr>
      </w:pPr>
      <w:r>
        <w:rPr>
          <w:rFonts w:hint="eastAsia" w:ascii="Times New Roman" w:hAnsi="Times New Roman"/>
          <w:b/>
          <w:color w:val="auto"/>
          <w:w w:val="99"/>
          <w:highlight w:val="none"/>
        </w:rPr>
        <w:t>5</w:t>
      </w:r>
      <w:r>
        <w:rPr>
          <w:rFonts w:ascii="Times New Roman" w:hAnsi="Times New Roman"/>
          <w:b/>
          <w:color w:val="auto"/>
          <w:w w:val="99"/>
          <w:highlight w:val="none"/>
        </w:rPr>
        <w:t>.6.1.4</w:t>
      </w:r>
      <w:r>
        <w:rPr>
          <w:rFonts w:hint="eastAsia" w:ascii="Times New Roman" w:hAnsi="Times New Roman"/>
          <w:b/>
          <w:color w:val="auto"/>
          <w:w w:val="99"/>
          <w:highlight w:val="none"/>
        </w:rPr>
        <w:t>对农田生态系统</w:t>
      </w:r>
      <w:r>
        <w:rPr>
          <w:rFonts w:ascii="Times New Roman" w:hAnsi="Times New Roman"/>
          <w:b/>
          <w:color w:val="auto"/>
          <w:w w:val="99"/>
          <w:highlight w:val="none"/>
        </w:rPr>
        <w:t>影响</w:t>
      </w:r>
      <w:r>
        <w:rPr>
          <w:rFonts w:hint="eastAsia" w:ascii="Times New Roman" w:hAnsi="Times New Roman"/>
          <w:b/>
          <w:color w:val="auto"/>
          <w:w w:val="99"/>
          <w:highlight w:val="none"/>
        </w:rPr>
        <w:t>分析</w:t>
      </w:r>
    </w:p>
    <w:p w14:paraId="3392B79D">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油气田开发工程占地完全避开永久基本农田的可能性较低，在不可避免的条件下需占用永久基本农田时，根据《基本农田保护条例》（2011修正），国家能源、交通、水利、军事设施等重点建设项目选址确实无法避开永久基本农田保护区，需要占用永久基本农田，涉及农用地转用或者征收土地的，应报请相关主管部门同意，并补充划入数量和质量相当的永久基本农田或按规定缴纳耕地开垦费，专款用于开垦新的耕地。油气田开发工程占地完全避开永久基本农田的可能性较低，在不可避免的条件下需占用永久基本农田时，施工完毕后1年内，临时占地全部恢复原有植被类型，即占用农田全部恢复为耕地。临时占地恢复也可在征地过程中给予农民一定的费用补偿，由农民自行进行土地恢复。永久占用基本农田面积共2.013hm</w:t>
      </w:r>
      <w:r>
        <w:rPr>
          <w:rFonts w:ascii="Times New Roman" w:hAnsi="Times New Roman" w:eastAsia="宋体"/>
          <w:color w:val="auto"/>
          <w:w w:val="99"/>
          <w:sz w:val="24"/>
          <w:szCs w:val="24"/>
          <w:highlight w:val="none"/>
          <w:vertAlign w:val="superscript"/>
        </w:rPr>
        <w:t>2</w:t>
      </w:r>
      <w:r>
        <w:rPr>
          <w:rFonts w:ascii="Times New Roman" w:hAnsi="Times New Roman" w:eastAsia="宋体"/>
          <w:color w:val="auto"/>
          <w:w w:val="99"/>
          <w:sz w:val="24"/>
          <w:szCs w:val="24"/>
          <w:highlight w:val="none"/>
        </w:rPr>
        <w:t>，补偿可按永久基本农田标准给予农民。对于占用的永久基本农田应按照《中华人民共和国土地管理法》中“占多少、垦多少”的原则，补充数量和质量相当的永久基本农田。</w:t>
      </w:r>
    </w:p>
    <w:p w14:paraId="1E9AC4B9">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本项目对农业生产的直接影响主要体现为占用耕地而造成粮食减产，对于临时占地造成的农作物减产，除应对其进行经济补偿外，工程开工前，应先编制表土剥离方案，剥离占地范围内表层土，管线范围表层土堆置于管线一侧临时占地内，并对堆放场做好水土保持措施，待施工结束后，回填占地范围，并采用表土复耕，增肥作业，恢复临时占用耕地的生产力，本项目的建设对当地土地利用格局影响在可接受范围内。</w:t>
      </w:r>
    </w:p>
    <w:p w14:paraId="3279BA02">
      <w:pPr>
        <w:pStyle w:val="153"/>
        <w:widowControl w:val="0"/>
        <w:ind w:firstLine="0" w:firstLineChars="0"/>
        <w:jc w:val="both"/>
        <w:outlineLvl w:val="3"/>
        <w:rPr>
          <w:rFonts w:ascii="Times New Roman" w:hAnsi="Times New Roman"/>
          <w:b/>
          <w:color w:val="auto"/>
          <w:w w:val="99"/>
          <w:highlight w:val="none"/>
        </w:rPr>
      </w:pPr>
      <w:r>
        <w:rPr>
          <w:rFonts w:hint="eastAsia" w:ascii="Times New Roman" w:hAnsi="Times New Roman"/>
          <w:b/>
          <w:color w:val="auto"/>
          <w:w w:val="99"/>
          <w:highlight w:val="none"/>
        </w:rPr>
        <w:t>5</w:t>
      </w:r>
      <w:r>
        <w:rPr>
          <w:rFonts w:ascii="Times New Roman" w:hAnsi="Times New Roman"/>
          <w:b/>
          <w:color w:val="auto"/>
          <w:w w:val="99"/>
          <w:highlight w:val="none"/>
        </w:rPr>
        <w:t>.6.1.</w:t>
      </w:r>
      <w:r>
        <w:rPr>
          <w:rFonts w:hint="eastAsia" w:ascii="Times New Roman" w:hAnsi="Times New Roman"/>
          <w:b/>
          <w:color w:val="auto"/>
          <w:w w:val="99"/>
          <w:highlight w:val="none"/>
        </w:rPr>
        <w:t>5对土壤</w:t>
      </w:r>
      <w:r>
        <w:rPr>
          <w:rFonts w:ascii="Times New Roman" w:hAnsi="Times New Roman"/>
          <w:b/>
          <w:color w:val="auto"/>
          <w:w w:val="99"/>
          <w:highlight w:val="none"/>
        </w:rPr>
        <w:t>影响</w:t>
      </w:r>
      <w:r>
        <w:rPr>
          <w:rFonts w:hint="eastAsia" w:ascii="Times New Roman" w:hAnsi="Times New Roman"/>
          <w:b/>
          <w:color w:val="auto"/>
          <w:w w:val="99"/>
          <w:highlight w:val="none"/>
        </w:rPr>
        <w:t>分析</w:t>
      </w:r>
    </w:p>
    <w:p w14:paraId="02E1BF8A">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（1）土壤理化性质影响</w:t>
      </w:r>
    </w:p>
    <w:p w14:paraId="297DB852">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施工过程中，土石方开挖、堆放、回填及材料堆放、人工踩踏、机械设备碾压等活动将对土壤理化性质产生影响，如扰乱土壤表层、破坏土壤结构，这种扰乱和破坏，除了开挖处受到直接的破坏外，挖出土方的堆放将直接占压开挖处附近的土地，破坏土壤表层及其结构。由于表层的团粒结构是经过较长的历史时期形成的，一旦遭到破坏，短期内难以恢复，在生境恶劣的环境下尤其困难。因此，在整个施工过程中，该工程对土壤表层的影响较严重。</w:t>
      </w:r>
    </w:p>
    <w:p w14:paraId="5714FB8E">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工程土方的开挖与回填，使原土壤层次混合，原土体构型破坏。土体构型被破坏，将明显的改变土体中物质和能量的转移和传递规律，使表层通气透水性变差，亚表层保水、保肥性能降低，从而造成对植物的生长、发育及其产量影响。同时由于管线埋入，挖出的土方回填后需要保护地面与原地面高度一致，必须用机械碾压夯实，这些都将直接影响土壤的结构和孔隙状况，导致土壤结构体特别是良性结构体的破坏和土壤透气孔隙的减少。另外由于作业采用大型机械，加上施工中不规范作业，一般将弃土和表土相混合，造成土壤质量下降。</w:t>
      </w:r>
    </w:p>
    <w:p w14:paraId="5B03584B">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（2）土壤污染影响</w:t>
      </w:r>
    </w:p>
    <w:p w14:paraId="2A5F09B1">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施工过程中将产生生活垃圾、焊渣等固体废物，这些固体废物可能含有难以生物降解的物质，如不妥善管理，回填入土，将影响土壤质量。因此，施工时必须对固体废物进行严格管理，统一回收和专门处理，不得随意抛撒。因此，项目产生的施工废物对土壤环境质量影响较小。</w:t>
      </w:r>
    </w:p>
    <w:p w14:paraId="1B0399FA">
      <w:pPr>
        <w:pStyle w:val="153"/>
        <w:widowControl w:val="0"/>
        <w:ind w:firstLine="0" w:firstLineChars="0"/>
        <w:jc w:val="both"/>
        <w:outlineLvl w:val="3"/>
        <w:rPr>
          <w:rFonts w:ascii="Times New Roman" w:hAnsi="Times New Roman"/>
          <w:b/>
          <w:color w:val="auto"/>
          <w:w w:val="99"/>
          <w:highlight w:val="none"/>
        </w:rPr>
      </w:pPr>
      <w:r>
        <w:rPr>
          <w:rFonts w:hint="eastAsia" w:ascii="Times New Roman" w:hAnsi="Times New Roman"/>
          <w:b/>
          <w:color w:val="auto"/>
          <w:w w:val="99"/>
          <w:highlight w:val="none"/>
        </w:rPr>
        <w:t>5</w:t>
      </w:r>
      <w:r>
        <w:rPr>
          <w:rFonts w:ascii="Times New Roman" w:hAnsi="Times New Roman"/>
          <w:b/>
          <w:color w:val="auto"/>
          <w:w w:val="99"/>
          <w:highlight w:val="none"/>
        </w:rPr>
        <w:t>.6.1.</w:t>
      </w:r>
      <w:r>
        <w:rPr>
          <w:rFonts w:hint="eastAsia" w:ascii="Times New Roman" w:hAnsi="Times New Roman"/>
          <w:b/>
          <w:color w:val="auto"/>
          <w:w w:val="99"/>
          <w:highlight w:val="none"/>
        </w:rPr>
        <w:t>6对水土流失</w:t>
      </w:r>
      <w:r>
        <w:rPr>
          <w:rFonts w:ascii="Times New Roman" w:hAnsi="Times New Roman"/>
          <w:b/>
          <w:color w:val="auto"/>
          <w:w w:val="99"/>
          <w:highlight w:val="none"/>
        </w:rPr>
        <w:t>影响</w:t>
      </w:r>
      <w:r>
        <w:rPr>
          <w:rFonts w:hint="eastAsia" w:ascii="Times New Roman" w:hAnsi="Times New Roman"/>
          <w:b/>
          <w:color w:val="auto"/>
          <w:w w:val="99"/>
          <w:highlight w:val="none"/>
        </w:rPr>
        <w:t>分析</w:t>
      </w:r>
    </w:p>
    <w:p w14:paraId="7436DB04">
      <w:pPr>
        <w:pStyle w:val="32"/>
        <w:kinsoku w:val="0"/>
        <w:autoSpaceDE w:val="0"/>
        <w:autoSpaceDN w:val="0"/>
        <w:adjustRightInd w:val="0"/>
        <w:snapToGrid w:val="0"/>
        <w:spacing w:line="500" w:lineRule="exact"/>
        <w:ind w:firstLine="474"/>
        <w:textAlignment w:val="baseline"/>
        <w:rPr>
          <w:rFonts w:ascii="Times New Roman" w:hAnsi="Times New Roman" w:eastAsiaTheme="minorEastAsia"/>
          <w:bCs/>
          <w:color w:val="auto"/>
          <w:w w:val="99"/>
          <w:kern w:val="0"/>
          <w:szCs w:val="24"/>
          <w:highlight w:val="none"/>
        </w:rPr>
      </w:pPr>
      <w:r>
        <w:rPr>
          <w:rFonts w:ascii="Times New Roman" w:hAnsi="Times New Roman" w:eastAsiaTheme="minorEastAsia"/>
          <w:bCs/>
          <w:color w:val="auto"/>
          <w:w w:val="99"/>
          <w:kern w:val="0"/>
          <w:szCs w:val="24"/>
          <w:highlight w:val="none"/>
        </w:rPr>
        <w:t>本项目位于黑龙江省</w:t>
      </w:r>
      <w:r>
        <w:rPr>
          <w:rFonts w:hint="eastAsia" w:ascii="Times New Roman" w:hAnsi="Times New Roman" w:eastAsiaTheme="minorEastAsia"/>
          <w:bCs/>
          <w:color w:val="auto"/>
          <w:w w:val="99"/>
          <w:kern w:val="0"/>
          <w:szCs w:val="24"/>
          <w:highlight w:val="none"/>
        </w:rPr>
        <w:t>绥化</w:t>
      </w:r>
      <w:r>
        <w:rPr>
          <w:rFonts w:ascii="Times New Roman" w:hAnsi="Times New Roman" w:eastAsiaTheme="minorEastAsia"/>
          <w:bCs/>
          <w:color w:val="auto"/>
          <w:w w:val="99"/>
          <w:kern w:val="0"/>
          <w:szCs w:val="24"/>
          <w:highlight w:val="none"/>
        </w:rPr>
        <w:t>市</w:t>
      </w:r>
      <w:r>
        <w:rPr>
          <w:rFonts w:hint="eastAsia" w:ascii="Times New Roman" w:hAnsi="Times New Roman" w:eastAsiaTheme="minorEastAsia"/>
          <w:bCs/>
          <w:color w:val="auto"/>
          <w:w w:val="99"/>
          <w:kern w:val="0"/>
          <w:szCs w:val="24"/>
          <w:highlight w:val="none"/>
        </w:rPr>
        <w:t>肇东市</w:t>
      </w:r>
      <w:r>
        <w:rPr>
          <w:rFonts w:ascii="Times New Roman" w:hAnsi="Times New Roman" w:eastAsiaTheme="minorEastAsia"/>
          <w:bCs/>
          <w:color w:val="auto"/>
          <w:w w:val="99"/>
          <w:kern w:val="0"/>
          <w:szCs w:val="24"/>
          <w:highlight w:val="none"/>
        </w:rPr>
        <w:t>境内，根据《</w:t>
      </w:r>
      <w:r>
        <w:rPr>
          <w:rFonts w:hint="eastAsia" w:ascii="Times New Roman" w:hAnsi="Times New Roman" w:eastAsiaTheme="minorEastAsia"/>
          <w:bCs/>
          <w:color w:val="auto"/>
          <w:w w:val="99"/>
          <w:kern w:val="0"/>
          <w:szCs w:val="24"/>
          <w:highlight w:val="none"/>
        </w:rPr>
        <w:t>绥化</w:t>
      </w:r>
      <w:r>
        <w:rPr>
          <w:rFonts w:ascii="Times New Roman" w:hAnsi="Times New Roman" w:eastAsiaTheme="minorEastAsia"/>
          <w:bCs/>
          <w:color w:val="auto"/>
          <w:w w:val="99"/>
          <w:kern w:val="0"/>
          <w:szCs w:val="24"/>
          <w:highlight w:val="none"/>
        </w:rPr>
        <w:t>市水土保持规划》（201</w:t>
      </w:r>
      <w:r>
        <w:rPr>
          <w:rFonts w:hint="eastAsia" w:ascii="Times New Roman" w:hAnsi="Times New Roman" w:eastAsiaTheme="minorEastAsia"/>
          <w:bCs/>
          <w:color w:val="auto"/>
          <w:w w:val="99"/>
          <w:kern w:val="0"/>
          <w:szCs w:val="24"/>
          <w:highlight w:val="none"/>
        </w:rPr>
        <w:t>9</w:t>
      </w:r>
      <w:r>
        <w:rPr>
          <w:rFonts w:ascii="Times New Roman" w:hAnsi="Times New Roman" w:eastAsiaTheme="minorEastAsia"/>
          <w:bCs/>
          <w:color w:val="auto"/>
          <w:w w:val="99"/>
          <w:kern w:val="0"/>
          <w:szCs w:val="24"/>
          <w:highlight w:val="none"/>
        </w:rPr>
        <w:t>~2030）》，工程所在地为水土流失非重点防治区。</w:t>
      </w:r>
    </w:p>
    <w:p w14:paraId="777D286D">
      <w:pPr>
        <w:kinsoku w:val="0"/>
        <w:autoSpaceDE w:val="0"/>
        <w:autoSpaceDN w:val="0"/>
        <w:adjustRightInd w:val="0"/>
        <w:snapToGrid w:val="0"/>
        <w:spacing w:line="500" w:lineRule="exact"/>
        <w:ind w:firstLine="484"/>
        <w:textAlignment w:val="baseline"/>
        <w:rPr>
          <w:rFonts w:ascii="Times New Roman" w:hAnsi="Times New Roman" w:cs="Times New Roman" w:eastAsiaTheme="minorEastAsia"/>
          <w:bCs/>
          <w:color w:val="auto"/>
          <w:w w:val="99"/>
          <w:highlight w:val="none"/>
        </w:rPr>
      </w:pPr>
      <w:r>
        <w:rPr>
          <w:rFonts w:ascii="Times New Roman" w:hAnsi="Times New Roman" w:cs="Times New Roman" w:eastAsiaTheme="minorEastAsia"/>
          <w:bCs/>
          <w:color w:val="auto"/>
          <w:w w:val="99"/>
          <w:highlight w:val="none"/>
        </w:rPr>
        <w:t>该区域的工作重点是：工矿区治理措施以植被恢复为主，采用种草、种树绿化方法，治理油田开采造成的地表植被破坏。种草技术措施应进行草地改良，补播牧草种子，疏松土壤，改善植被生存条件，给牧草提供更新复壮的机会。营造农田防护林、改良草地。对耕地以营造农田防护林，推广旱作农业技术、节水灌溉技术；对牧草地以营造草原防护林、草地改良和种草为主；对荒地和难利用地，选择抗盐碱和耐盐碱的树、草种，提高林草覆盖率。</w:t>
      </w:r>
    </w:p>
    <w:p w14:paraId="1784E718">
      <w:pPr>
        <w:kinsoku w:val="0"/>
        <w:autoSpaceDE w:val="0"/>
        <w:autoSpaceDN w:val="0"/>
        <w:adjustRightInd w:val="0"/>
        <w:snapToGrid w:val="0"/>
        <w:spacing w:line="500" w:lineRule="exact"/>
        <w:ind w:firstLine="508"/>
        <w:textAlignment w:val="baseline"/>
        <w:rPr>
          <w:rFonts w:ascii="Times New Roman" w:hAnsi="Times New Roman" w:cs="Times New Roman" w:eastAsiaTheme="minorEastAsia"/>
          <w:bCs/>
          <w:color w:val="auto"/>
          <w:w w:val="99"/>
          <w:highlight w:val="none"/>
        </w:rPr>
      </w:pPr>
      <w:r>
        <w:rPr>
          <w:rFonts w:ascii="Times New Roman" w:hAnsi="Times New Roman" w:cs="Times New Roman" w:eastAsiaTheme="minorEastAsia"/>
          <w:bCs/>
          <w:color w:val="auto"/>
          <w:w w:val="99"/>
          <w:highlight w:val="none"/>
        </w:rPr>
        <w:t>由于本项目井场</w:t>
      </w:r>
      <w:r>
        <w:rPr>
          <w:rFonts w:hint="eastAsia" w:ascii="Times New Roman" w:hAnsi="Times New Roman" w:cs="Times New Roman" w:eastAsiaTheme="minorEastAsia"/>
          <w:bCs/>
          <w:color w:val="auto"/>
          <w:w w:val="99"/>
          <w:highlight w:val="none"/>
        </w:rPr>
        <w:t>、管道、道路等</w:t>
      </w:r>
      <w:r>
        <w:rPr>
          <w:rFonts w:ascii="Times New Roman" w:hAnsi="Times New Roman" w:cs="Times New Roman" w:eastAsiaTheme="minorEastAsia"/>
          <w:bCs/>
          <w:color w:val="auto"/>
          <w:w w:val="99"/>
          <w:highlight w:val="none"/>
        </w:rPr>
        <w:t>施工时车辆对土壤的碾压，人员对土壤的践踏，将改变原地表地貌状况，扰动原地貌，改变原地貌的状况和性质。工程施工破坏植被，新地貌失去植物根系的固土作用，雨水直接冲刷疏松、裸露的地表土，易造成水土流失；施工过程中，开挖回填后产生的弃渣松散堆积，结构疏松，胶结力差，抗侵蚀能力极低，遇暴雨产生径流，加大水土流失，在大风的作用下会成为局部风沙的源地，促进沙尘天气的形成，造成项目区风蚀沙化加剧，导致项目区土壤侵蚀强度增加，局部生态系统遭到破坏，对生态环境造成不良影响。</w:t>
      </w:r>
    </w:p>
    <w:p w14:paraId="60A2432E">
      <w:pPr>
        <w:kinsoku w:val="0"/>
        <w:autoSpaceDE w:val="0"/>
        <w:autoSpaceDN w:val="0"/>
        <w:adjustRightInd w:val="0"/>
        <w:snapToGrid w:val="0"/>
        <w:spacing w:line="500" w:lineRule="exact"/>
        <w:ind w:firstLine="474" w:firstLineChars="200"/>
        <w:textAlignment w:val="baseline"/>
        <w:rPr>
          <w:rFonts w:ascii="Times New Roman" w:hAnsi="Times New Roman" w:cs="Times New Roman" w:eastAsiaTheme="minorEastAsia"/>
          <w:bCs/>
          <w:color w:val="auto"/>
          <w:w w:val="99"/>
          <w:highlight w:val="none"/>
        </w:rPr>
      </w:pPr>
      <w:r>
        <w:rPr>
          <w:rFonts w:ascii="Times New Roman" w:hAnsi="Times New Roman" w:cs="Times New Roman" w:eastAsiaTheme="minorEastAsia"/>
          <w:bCs/>
          <w:color w:val="auto"/>
          <w:w w:val="99"/>
          <w:highlight w:val="none"/>
        </w:rPr>
        <w:t>综上，工程建设对周边水土保持带来一些不利影响，建设单位应及早落实水土保持各项措施，减轻因工程建设造成的水土流失危害。</w:t>
      </w:r>
    </w:p>
    <w:p w14:paraId="4BF83625">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在采取以上措施后，可最大程度减少水土流失。</w:t>
      </w:r>
    </w:p>
    <w:p w14:paraId="0C41FBA4">
      <w:pPr>
        <w:pStyle w:val="153"/>
        <w:widowControl w:val="0"/>
        <w:ind w:firstLine="0" w:firstLineChars="0"/>
        <w:jc w:val="both"/>
        <w:outlineLvl w:val="3"/>
        <w:rPr>
          <w:rFonts w:ascii="Times New Roman" w:hAnsi="Times New Roman"/>
          <w:b/>
          <w:color w:val="auto"/>
          <w:w w:val="99"/>
          <w:highlight w:val="none"/>
        </w:rPr>
      </w:pPr>
      <w:r>
        <w:rPr>
          <w:rFonts w:hint="eastAsia" w:ascii="Times New Roman" w:hAnsi="Times New Roman"/>
          <w:b/>
          <w:color w:val="auto"/>
          <w:w w:val="99"/>
          <w:highlight w:val="none"/>
        </w:rPr>
        <w:t>5</w:t>
      </w:r>
      <w:r>
        <w:rPr>
          <w:rFonts w:ascii="Times New Roman" w:hAnsi="Times New Roman"/>
          <w:b/>
          <w:color w:val="auto"/>
          <w:w w:val="99"/>
          <w:highlight w:val="none"/>
        </w:rPr>
        <w:t>.6.1.</w:t>
      </w:r>
      <w:r>
        <w:rPr>
          <w:rFonts w:hint="eastAsia" w:ascii="Times New Roman" w:hAnsi="Times New Roman"/>
          <w:b/>
          <w:color w:val="auto"/>
          <w:w w:val="99"/>
          <w:highlight w:val="none"/>
        </w:rPr>
        <w:t>7</w:t>
      </w:r>
      <w:r>
        <w:rPr>
          <w:rFonts w:ascii="Times New Roman" w:hAnsi="Times New Roman"/>
          <w:b/>
          <w:color w:val="auto"/>
          <w:w w:val="99"/>
          <w:highlight w:val="none"/>
        </w:rPr>
        <w:t>对黑土地的环境影响分析</w:t>
      </w:r>
    </w:p>
    <w:p w14:paraId="5A5F8005">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 xml:space="preserve">根据地下储层特性，项目部分井场及场站、管道、道路等工程选址无法避让耕地（黑土地）。本项目新增总占地面积为 </w:t>
      </w:r>
      <w:r>
        <w:rPr>
          <w:rFonts w:hint="eastAsia" w:ascii="Times New Roman" w:hAnsi="Times New Roman" w:cs="Times New Roman"/>
          <w:color w:val="auto"/>
          <w:w w:val="99"/>
          <w:highlight w:val="none"/>
        </w:rPr>
        <w:t>2.013</w:t>
      </w:r>
      <w:r>
        <w:rPr>
          <w:rFonts w:ascii="Times New Roman" w:hAnsi="Times New Roman" w:cs="Times New Roman"/>
          <w:color w:val="auto"/>
          <w:w w:val="99"/>
          <w:highlight w:val="none"/>
        </w:rPr>
        <w:t>hm</w:t>
      </w:r>
      <w:r>
        <w:rPr>
          <w:rFonts w:ascii="Times New Roman" w:hAnsi="Times New Roman" w:cs="Times New Roman"/>
          <w:color w:val="auto"/>
          <w:w w:val="99"/>
          <w:highlight w:val="none"/>
          <w:vertAlign w:val="superscript"/>
        </w:rPr>
        <w:t>2</w:t>
      </w:r>
      <w:r>
        <w:rPr>
          <w:rFonts w:ascii="Times New Roman" w:hAnsi="Times New Roman" w:cs="Times New Roman"/>
          <w:color w:val="auto"/>
          <w:w w:val="99"/>
          <w:highlight w:val="none"/>
        </w:rPr>
        <w:t xml:space="preserve">，其中永久占地 </w:t>
      </w:r>
      <w:r>
        <w:rPr>
          <w:rFonts w:hint="eastAsia" w:ascii="Times New Roman" w:hAnsi="Times New Roman" w:cs="Times New Roman"/>
          <w:color w:val="auto"/>
          <w:w w:val="99"/>
          <w:highlight w:val="none"/>
        </w:rPr>
        <w:t>0.0901</w:t>
      </w:r>
      <w:r>
        <w:rPr>
          <w:rFonts w:ascii="Times New Roman" w:hAnsi="Times New Roman" w:cs="Times New Roman"/>
          <w:color w:val="auto"/>
          <w:w w:val="99"/>
          <w:highlight w:val="none"/>
        </w:rPr>
        <w:t>hm</w:t>
      </w:r>
      <w:r>
        <w:rPr>
          <w:rFonts w:ascii="Times New Roman" w:hAnsi="Times New Roman" w:cs="Times New Roman"/>
          <w:color w:val="auto"/>
          <w:w w:val="99"/>
          <w:highlight w:val="none"/>
          <w:vertAlign w:val="superscript"/>
        </w:rPr>
        <w:t>2</w:t>
      </w:r>
      <w:r>
        <w:rPr>
          <w:rFonts w:ascii="Times New Roman" w:hAnsi="Times New Roman" w:cs="Times New Roman"/>
          <w:color w:val="auto"/>
          <w:w w:val="99"/>
          <w:highlight w:val="none"/>
        </w:rPr>
        <w:t xml:space="preserve">，临时占地 </w:t>
      </w:r>
      <w:r>
        <w:rPr>
          <w:rFonts w:hint="eastAsia" w:ascii="Times New Roman" w:hAnsi="Times New Roman" w:cs="Times New Roman"/>
          <w:color w:val="auto"/>
          <w:w w:val="99"/>
          <w:highlight w:val="none"/>
        </w:rPr>
        <w:t>1.9229</w:t>
      </w:r>
      <w:r>
        <w:rPr>
          <w:rFonts w:ascii="Times New Roman" w:hAnsi="Times New Roman" w:cs="Times New Roman"/>
          <w:color w:val="auto"/>
          <w:w w:val="99"/>
          <w:highlight w:val="none"/>
        </w:rPr>
        <w:t>hm</w:t>
      </w:r>
      <w:r>
        <w:rPr>
          <w:rFonts w:ascii="Times New Roman" w:hAnsi="Times New Roman" w:cs="Times New Roman"/>
          <w:color w:val="auto"/>
          <w:w w:val="99"/>
          <w:highlight w:val="none"/>
          <w:vertAlign w:val="superscript"/>
        </w:rPr>
        <w:t>2</w:t>
      </w:r>
      <w:r>
        <w:rPr>
          <w:rFonts w:ascii="Times New Roman" w:hAnsi="Times New Roman" w:cs="Times New Roman"/>
          <w:color w:val="auto"/>
          <w:w w:val="99"/>
          <w:highlight w:val="none"/>
        </w:rPr>
        <w:t>。本工程实施前编制建设项目占用耕地耕作层土壤剥离利用方案，统筹安排剥离、储存和再利用。表土剥离和利用严格执行《建设占用耕地耕作层土壤剥离利用技术规范》（DB23/T2913-2021）。</w:t>
      </w:r>
    </w:p>
    <w:p w14:paraId="1CBF178F">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本项目</w:t>
      </w:r>
      <w:r>
        <w:rPr>
          <w:rFonts w:hint="eastAsia" w:ascii="Times New Roman" w:hAnsi="Times New Roman" w:cs="Times New Roman"/>
          <w:color w:val="auto"/>
          <w:w w:val="99"/>
          <w:highlight w:val="none"/>
        </w:rPr>
        <w:t>柱上变</w:t>
      </w:r>
      <w:r>
        <w:rPr>
          <w:rFonts w:ascii="Times New Roman" w:hAnsi="Times New Roman" w:cs="Times New Roman"/>
          <w:color w:val="auto"/>
          <w:w w:val="99"/>
          <w:highlight w:val="none"/>
        </w:rPr>
        <w:t>、道路工程</w:t>
      </w:r>
      <w:r>
        <w:rPr>
          <w:rFonts w:hint="eastAsia" w:ascii="Times New Roman" w:hAnsi="Times New Roman" w:cs="Times New Roman"/>
          <w:color w:val="auto"/>
          <w:w w:val="99"/>
          <w:highlight w:val="none"/>
        </w:rPr>
        <w:t>、管线工程等施工前进行表土剥离</w:t>
      </w:r>
      <w:r>
        <w:rPr>
          <w:rFonts w:ascii="Times New Roman" w:hAnsi="Times New Roman" w:cs="Times New Roman"/>
          <w:color w:val="auto"/>
          <w:w w:val="99"/>
          <w:highlight w:val="none"/>
        </w:rPr>
        <w:t>，</w:t>
      </w:r>
      <w:r>
        <w:rPr>
          <w:rFonts w:hint="eastAsia" w:ascii="Times New Roman" w:hAnsi="Times New Roman" w:cs="Times New Roman"/>
          <w:color w:val="auto"/>
          <w:w w:val="99"/>
          <w:highlight w:val="none"/>
        </w:rPr>
        <w:t>剥离厚度</w:t>
      </w:r>
      <w:r>
        <w:rPr>
          <w:rFonts w:ascii="Times New Roman" w:hAnsi="Times New Roman" w:cs="Times New Roman"/>
          <w:color w:val="auto"/>
          <w:w w:val="99"/>
          <w:highlight w:val="none"/>
        </w:rPr>
        <w:t>0.3m，施工结束后，剥离的表土用于周围区域土地复垦、土壤治理等用途。</w:t>
      </w:r>
    </w:p>
    <w:p w14:paraId="69F79752">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管道施工采取机械、人工分层开挖方式，管线施工作业带除去管线一侧设置的置土带外，管沟及设备区在施工前剥离表土，剥离的表土放在置土带外侧，管沟挖方土放置在置土带内侧，置土带采取先设置编织袋压护，在采用单行十字形压护，底土层另外堆放，管道施工结束后，采用分层回填压实，按生、熟土顺序填放，保护耕作层，复原时先填心、底土，后平覆表土，回填后管沟上方留有自然沉降余量，管沟回填多余的土严禁大量集中弃置，应均匀分散在管道中心两侧，并使管沟与周围地表形成平滑过度，不得形成汇水环境，以便尽快恢复植被，防止水土流失。</w:t>
      </w:r>
    </w:p>
    <w:p w14:paraId="5A7524D7">
      <w:pPr>
        <w:pStyle w:val="7"/>
        <w:keepNext w:val="0"/>
        <w:keepLines w:val="0"/>
        <w:widowControl w:val="0"/>
        <w:spacing w:before="60" w:after="60"/>
        <w:jc w:val="both"/>
        <w:rPr>
          <w:rFonts w:eastAsia="宋体"/>
          <w:b/>
          <w:color w:val="auto"/>
          <w:w w:val="99"/>
          <w:kern w:val="2"/>
          <w:sz w:val="24"/>
          <w:szCs w:val="24"/>
          <w:highlight w:val="none"/>
        </w:rPr>
      </w:pPr>
      <w:r>
        <w:rPr>
          <w:rFonts w:hint="eastAsia" w:eastAsia="宋体"/>
          <w:b/>
          <w:color w:val="auto"/>
          <w:w w:val="99"/>
          <w:kern w:val="2"/>
          <w:sz w:val="24"/>
          <w:szCs w:val="24"/>
          <w:highlight w:val="none"/>
        </w:rPr>
        <w:t>5</w:t>
      </w:r>
      <w:r>
        <w:rPr>
          <w:rFonts w:eastAsia="宋体"/>
          <w:b/>
          <w:color w:val="auto"/>
          <w:w w:val="99"/>
          <w:kern w:val="2"/>
          <w:sz w:val="24"/>
          <w:szCs w:val="24"/>
          <w:highlight w:val="none"/>
        </w:rPr>
        <w:t>.6.2</w:t>
      </w:r>
      <w:r>
        <w:rPr>
          <w:rFonts w:hint="eastAsia" w:eastAsia="宋体"/>
          <w:b/>
          <w:color w:val="auto"/>
          <w:w w:val="99"/>
          <w:kern w:val="2"/>
          <w:sz w:val="24"/>
          <w:szCs w:val="24"/>
          <w:highlight w:val="none"/>
        </w:rPr>
        <w:t>运营期生态</w:t>
      </w:r>
      <w:r>
        <w:rPr>
          <w:rFonts w:eastAsia="宋体"/>
          <w:b/>
          <w:color w:val="auto"/>
          <w:w w:val="99"/>
          <w:kern w:val="2"/>
          <w:sz w:val="24"/>
          <w:szCs w:val="24"/>
          <w:highlight w:val="none"/>
        </w:rPr>
        <w:t>环境影响</w:t>
      </w:r>
      <w:r>
        <w:rPr>
          <w:rFonts w:hint="eastAsia" w:eastAsia="宋体"/>
          <w:b/>
          <w:color w:val="auto"/>
          <w:w w:val="99"/>
          <w:kern w:val="2"/>
          <w:sz w:val="24"/>
          <w:szCs w:val="24"/>
          <w:highlight w:val="none"/>
        </w:rPr>
        <w:t>分析</w:t>
      </w:r>
    </w:p>
    <w:p w14:paraId="5B133634">
      <w:pPr>
        <w:pStyle w:val="153"/>
        <w:widowControl w:val="0"/>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5.6.2.1</w:t>
      </w:r>
      <w:r>
        <w:rPr>
          <w:rFonts w:hint="eastAsia" w:ascii="Times New Roman" w:hAnsi="Times New Roman"/>
          <w:b/>
          <w:color w:val="auto"/>
          <w:w w:val="99"/>
          <w:highlight w:val="none"/>
        </w:rPr>
        <w:t>对农业生产影响分析</w:t>
      </w:r>
    </w:p>
    <w:p w14:paraId="0B134A87">
      <w:pPr>
        <w:widowControl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对于柱上变和通井路等永久占地，由于改变了原有土地和利用性质，这些土地上的农作物生产力将永久损失。</w:t>
      </w:r>
    </w:p>
    <w:p w14:paraId="7E1EC427">
      <w:pPr>
        <w:widowControl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工程建设的管道正常运营期内，对农业生产基本上不产生什么影响。同时本工程占用的耕地主要种植玉米，属于须根植物，产生的影响较小。对于永久性占地，由于改变了原来的土地使用功能，对农业生产会造成一定的影响。</w:t>
      </w:r>
    </w:p>
    <w:p w14:paraId="7D580553">
      <w:pPr>
        <w:pStyle w:val="153"/>
        <w:widowControl w:val="0"/>
        <w:ind w:firstLine="0" w:firstLineChars="0"/>
        <w:jc w:val="both"/>
        <w:outlineLvl w:val="3"/>
        <w:rPr>
          <w:rFonts w:ascii="Times New Roman" w:hAnsi="Times New Roman"/>
          <w:b/>
          <w:color w:val="auto"/>
          <w:w w:val="99"/>
          <w:highlight w:val="none"/>
        </w:rPr>
      </w:pPr>
      <w:r>
        <w:rPr>
          <w:rFonts w:hint="eastAsia" w:ascii="Times New Roman" w:hAnsi="Times New Roman"/>
          <w:b/>
          <w:color w:val="auto"/>
          <w:w w:val="99"/>
          <w:highlight w:val="none"/>
        </w:rPr>
        <w:t>5</w:t>
      </w:r>
      <w:r>
        <w:rPr>
          <w:rFonts w:ascii="Times New Roman" w:hAnsi="Times New Roman"/>
          <w:b/>
          <w:color w:val="auto"/>
          <w:w w:val="99"/>
          <w:highlight w:val="none"/>
        </w:rPr>
        <w:t>.6.2.</w:t>
      </w:r>
      <w:r>
        <w:rPr>
          <w:rFonts w:hint="eastAsia" w:ascii="Times New Roman" w:hAnsi="Times New Roman"/>
          <w:b/>
          <w:color w:val="auto"/>
          <w:w w:val="99"/>
          <w:highlight w:val="none"/>
        </w:rPr>
        <w:t>2对植被</w:t>
      </w:r>
      <w:r>
        <w:rPr>
          <w:rFonts w:ascii="Times New Roman" w:hAnsi="Times New Roman"/>
          <w:b/>
          <w:color w:val="auto"/>
          <w:w w:val="99"/>
          <w:highlight w:val="none"/>
        </w:rPr>
        <w:t>影响</w:t>
      </w:r>
      <w:r>
        <w:rPr>
          <w:rFonts w:hint="eastAsia" w:ascii="Times New Roman" w:hAnsi="Times New Roman"/>
          <w:b/>
          <w:color w:val="auto"/>
          <w:w w:val="99"/>
          <w:highlight w:val="none"/>
        </w:rPr>
        <w:t>分析</w:t>
      </w:r>
    </w:p>
    <w:p w14:paraId="34D1366B">
      <w:pPr>
        <w:widowControl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按照生态学理论，管道沿线的植被破坏具有暂时性，一般随着施工结束而终止。根据管线所经地区的土壤、气候等自然条件分析，施工结束后，周围植物渐次侵入，开始恢复演替过程。要恢复植被覆盖，采用人工植树种草的措施，可以加快恢复进程，2～3 年恢复草本植被，3～5 年恢复灌木植被，10~ 15 年恢复乔木植被。</w:t>
      </w:r>
    </w:p>
    <w:p w14:paraId="592164B0">
      <w:pPr>
        <w:widowControl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需要指出的是，恢复的含义并非完全恢复原施工前的植被种类组成和相对数量比例，而只是恢复至种类组成近似，物种多样性指数值近似的状态，但仍有所降低。</w:t>
      </w:r>
    </w:p>
    <w:p w14:paraId="71208827">
      <w:pPr>
        <w:pStyle w:val="153"/>
        <w:widowControl w:val="0"/>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（1）正常运行状况下对植被影响</w:t>
      </w:r>
    </w:p>
    <w:p w14:paraId="081446AB">
      <w:pPr>
        <w:pStyle w:val="153"/>
        <w:widowControl w:val="0"/>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运营期正常情况下，管道所经地区处于正常状态，地表植被、农作物生长逐渐恢复正常。</w:t>
      </w:r>
    </w:p>
    <w:p w14:paraId="0CE7C366">
      <w:pPr>
        <w:pStyle w:val="153"/>
        <w:widowControl w:val="0"/>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根据已建成管道来看，在地下敷设管道的区域，地表植被恢复较好，景观破坏程度很低。这证明了管道输送对生态环境影响最轻，影响范围最小，是一种清洁的运输方式。因此可以认为，正常管道输送过程中，管道对地表植被无不良影响。</w:t>
      </w:r>
    </w:p>
    <w:p w14:paraId="323FD927">
      <w:pPr>
        <w:pStyle w:val="153"/>
        <w:widowControl w:val="0"/>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（2）非正常（事故）状况下对植被的影响</w:t>
      </w:r>
    </w:p>
    <w:p w14:paraId="567A7061">
      <w:pPr>
        <w:pStyle w:val="153"/>
        <w:widowControl w:val="0"/>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事故是指因工程质量低劣、管理方面的疏漏、 自然因素（地震、洪水冲刷）及人为破坏等原因造成集气站内污水罐、集输管道的破损、断裂，致使大量天然气、气田采出水的泄漏，造成火灾等。事故发生的可能性是存在的，但只要做好预防工作，事故发生的概率可以下降，造成的危害损失可以减少。</w:t>
      </w:r>
    </w:p>
    <w:p w14:paraId="32361075">
      <w:pPr>
        <w:pStyle w:val="153"/>
        <w:widowControl w:val="0"/>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rPr>
        <w:t>由于天然气的主要成分是甲烷。甲烷是无色、无味的可燃性气体，比重小于空气。如果发生泄漏，绝大部分很快会扩散掉，在无明火的情况下，不会发生火灾，不会对生态环境造成危害。如有火源，可引起燃烧爆炸事件，可能会引发火灾，导致植被大面积的破坏，从而对生态环境产生重大影响。</w:t>
      </w:r>
    </w:p>
    <w:p w14:paraId="5F221C76">
      <w:pPr>
        <w:pStyle w:val="153"/>
        <w:widowControl w:val="0"/>
        <w:ind w:firstLine="0" w:firstLineChars="0"/>
        <w:jc w:val="both"/>
        <w:outlineLvl w:val="3"/>
        <w:rPr>
          <w:rFonts w:ascii="Times New Roman" w:hAnsi="Times New Roman"/>
          <w:b/>
          <w:color w:val="auto"/>
          <w:w w:val="99"/>
          <w:highlight w:val="none"/>
        </w:rPr>
      </w:pPr>
      <w:r>
        <w:rPr>
          <w:rFonts w:hint="eastAsia" w:ascii="Times New Roman" w:hAnsi="Times New Roman"/>
          <w:b/>
          <w:color w:val="auto"/>
          <w:w w:val="99"/>
          <w:highlight w:val="none"/>
        </w:rPr>
        <w:t>5</w:t>
      </w:r>
      <w:r>
        <w:rPr>
          <w:rFonts w:ascii="Times New Roman" w:hAnsi="Times New Roman"/>
          <w:b/>
          <w:color w:val="auto"/>
          <w:w w:val="99"/>
          <w:highlight w:val="none"/>
        </w:rPr>
        <w:t>.6.2.</w:t>
      </w:r>
      <w:r>
        <w:rPr>
          <w:rFonts w:hint="eastAsia" w:ascii="Times New Roman" w:hAnsi="Times New Roman"/>
          <w:b/>
          <w:color w:val="auto"/>
          <w:w w:val="99"/>
          <w:highlight w:val="none"/>
        </w:rPr>
        <w:t>3对动物</w:t>
      </w:r>
      <w:r>
        <w:rPr>
          <w:rFonts w:ascii="Times New Roman" w:hAnsi="Times New Roman"/>
          <w:b/>
          <w:color w:val="auto"/>
          <w:w w:val="99"/>
          <w:highlight w:val="none"/>
        </w:rPr>
        <w:t>影响</w:t>
      </w:r>
      <w:r>
        <w:rPr>
          <w:rFonts w:hint="eastAsia" w:ascii="Times New Roman" w:hAnsi="Times New Roman"/>
          <w:b/>
          <w:color w:val="auto"/>
          <w:w w:val="99"/>
          <w:highlight w:val="none"/>
        </w:rPr>
        <w:t>分析</w:t>
      </w:r>
    </w:p>
    <w:p w14:paraId="3AAAD168">
      <w:pPr>
        <w:widowControl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与施工期相比，运营期间对野生动植物的影响较小。虽然管道沿线近侧不能再种植深根植物，但根据现状调查，受工程影响的陆生植被均属一般常见种，其生长范围广，适应性强，不存在因局部植被生境破坏而导致植物种群消失或灭绝，同时工程管线大部分占地为基本农田，工程运营期对玉米种植影响较小。管道工程完工后，随着植被的恢复、施工影响的消失，动物的生存环境得以复原，不存在因局部植被生境破坏而导致植物种群消失或灭绝，部分暂时离开的动物将回到原来的栖息地。因此，管道正常运营期不会对野生动物的活动产生影响。</w:t>
      </w:r>
    </w:p>
    <w:p w14:paraId="463043E5">
      <w:pPr>
        <w:widowControl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但在集气站运行以及管道维修噪声的影响下，野生动物将离开噪声源附近区域，对噪声敏感的鸟类也会受到惊扰和驱赶，使噪声源附近区域的物种丰富度和种群数量降低；在发生天然气泄漏事故时，如发生爆炸或火灾事件，可能使部分个体受到损伤。火灾发生地分布的土壤动物将因表土温度升高而部分死亡，分布的爬行类、鸟类等将被部分烧死或逃离火灾发生地而使该区域动物物种丰富度和种群数量减少。由于工程所在区域受人类生产生活活动影响较深，其原始野生动物生境已基本丧失，据调查，评价区内无国家及省级珍稀濒危保护动物物种存在，因此，只要管道维修及集气站突发事故时注意保护动物，不会造成现有动物的死亡和种群的消失，对野生动物的影响较小。</w:t>
      </w:r>
    </w:p>
    <w:p w14:paraId="44A97C1C">
      <w:pPr>
        <w:pStyle w:val="7"/>
        <w:keepNext w:val="0"/>
        <w:keepLines w:val="0"/>
        <w:widowControl w:val="0"/>
        <w:spacing w:before="60" w:after="60"/>
        <w:jc w:val="both"/>
        <w:rPr>
          <w:rFonts w:eastAsia="宋体"/>
          <w:b/>
          <w:color w:val="auto"/>
          <w:w w:val="99"/>
          <w:kern w:val="2"/>
          <w:sz w:val="24"/>
          <w:szCs w:val="24"/>
          <w:highlight w:val="none"/>
        </w:rPr>
      </w:pPr>
      <w:r>
        <w:rPr>
          <w:rFonts w:hint="eastAsia" w:eastAsia="宋体"/>
          <w:b/>
          <w:color w:val="auto"/>
          <w:w w:val="99"/>
          <w:kern w:val="2"/>
          <w:sz w:val="24"/>
          <w:szCs w:val="24"/>
          <w:highlight w:val="none"/>
        </w:rPr>
        <w:t>5</w:t>
      </w:r>
      <w:r>
        <w:rPr>
          <w:rFonts w:eastAsia="宋体"/>
          <w:b/>
          <w:color w:val="auto"/>
          <w:w w:val="99"/>
          <w:kern w:val="2"/>
          <w:sz w:val="24"/>
          <w:szCs w:val="24"/>
          <w:highlight w:val="none"/>
        </w:rPr>
        <w:t>.6.3</w:t>
      </w:r>
      <w:r>
        <w:rPr>
          <w:rFonts w:hint="eastAsia" w:eastAsia="宋体"/>
          <w:b/>
          <w:color w:val="auto"/>
          <w:w w:val="99"/>
          <w:kern w:val="2"/>
          <w:sz w:val="24"/>
          <w:szCs w:val="24"/>
          <w:highlight w:val="none"/>
        </w:rPr>
        <w:t>退役期生态</w:t>
      </w:r>
      <w:r>
        <w:rPr>
          <w:rFonts w:eastAsia="宋体"/>
          <w:b/>
          <w:color w:val="auto"/>
          <w:w w:val="99"/>
          <w:kern w:val="2"/>
          <w:sz w:val="24"/>
          <w:szCs w:val="24"/>
          <w:highlight w:val="none"/>
        </w:rPr>
        <w:t>环境影响评价</w:t>
      </w:r>
    </w:p>
    <w:p w14:paraId="350B28CC">
      <w:pPr>
        <w:widowControl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本项目在拆除各类设施的过程中会造成地表扰动，水土流失，产生一定的生态影响。因此本项目在拆除作业的过程中应合理安排作业计划和作业时间，尽量避开雨天作业，尽量减少场地的裸露时间，尽可能减少拆除作业造成的生态影响。拆除工作结束后，在开展场地土壤环境调查与评价，对临时占地内土壤环境质量进行检测，与环评时期背景值进行对比，确定本项目对临时占地土壤无污染后，应及时对受扰动场地进行平整，耕地进行旋耕复垦。采取上述措施后项目退役期拆除作业对原有生态环境影响很小。</w:t>
      </w:r>
    </w:p>
    <w:p w14:paraId="0828DFCC">
      <w:pPr>
        <w:pStyle w:val="7"/>
        <w:keepNext w:val="0"/>
        <w:keepLines w:val="0"/>
        <w:widowControl w:val="0"/>
        <w:spacing w:before="60" w:after="60"/>
        <w:jc w:val="both"/>
        <w:rPr>
          <w:rFonts w:eastAsia="宋体"/>
          <w:b/>
          <w:color w:val="auto"/>
          <w:w w:val="99"/>
          <w:kern w:val="2"/>
          <w:sz w:val="24"/>
          <w:szCs w:val="24"/>
          <w:highlight w:val="none"/>
        </w:rPr>
      </w:pPr>
      <w:r>
        <w:rPr>
          <w:rFonts w:hint="eastAsia" w:eastAsia="宋体"/>
          <w:b/>
          <w:color w:val="auto"/>
          <w:w w:val="99"/>
          <w:kern w:val="2"/>
          <w:sz w:val="24"/>
          <w:szCs w:val="24"/>
          <w:highlight w:val="none"/>
        </w:rPr>
        <w:t>5</w:t>
      </w:r>
      <w:r>
        <w:rPr>
          <w:rFonts w:eastAsia="宋体"/>
          <w:b/>
          <w:color w:val="auto"/>
          <w:w w:val="99"/>
          <w:kern w:val="2"/>
          <w:sz w:val="24"/>
          <w:szCs w:val="24"/>
          <w:highlight w:val="none"/>
        </w:rPr>
        <w:t>.6.4</w:t>
      </w:r>
      <w:r>
        <w:rPr>
          <w:rFonts w:hint="eastAsia" w:eastAsia="宋体"/>
          <w:b/>
          <w:color w:val="auto"/>
          <w:w w:val="99"/>
          <w:kern w:val="2"/>
          <w:sz w:val="24"/>
          <w:szCs w:val="24"/>
          <w:highlight w:val="none"/>
        </w:rPr>
        <w:t>生态环境影响评价结论</w:t>
      </w:r>
    </w:p>
    <w:p w14:paraId="231E45BD">
      <w:pPr>
        <w:widowControl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施工期对生态环境的影响表现为破坏植被、破坏土壤环境等，施工对其破坏仅为短期的损毁，随着施工期的结束而消失。施工污染物处理处置去向明确，废水、固体废物均不外排，因此，工程建设对生态保护红线区影响较小。</w:t>
      </w:r>
    </w:p>
    <w:p w14:paraId="5B663914">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综上所述，</w:t>
      </w:r>
      <w:r>
        <w:rPr>
          <w:rFonts w:hint="eastAsia" w:ascii="Times New Roman" w:hAnsi="Times New Roman" w:cs="Times New Roman"/>
          <w:color w:val="auto"/>
          <w:w w:val="99"/>
          <w:highlight w:val="none"/>
        </w:rPr>
        <w:t>施工期</w:t>
      </w:r>
      <w:r>
        <w:rPr>
          <w:rFonts w:ascii="Times New Roman" w:hAnsi="Times New Roman" w:cs="Times New Roman"/>
          <w:color w:val="auto"/>
          <w:w w:val="99"/>
          <w:highlight w:val="none"/>
        </w:rPr>
        <w:t>、运营期</w:t>
      </w:r>
      <w:r>
        <w:rPr>
          <w:rFonts w:hint="eastAsia" w:ascii="Times New Roman" w:hAnsi="Times New Roman" w:cs="Times New Roman"/>
          <w:color w:val="auto"/>
          <w:w w:val="99"/>
          <w:highlight w:val="none"/>
        </w:rPr>
        <w:t>、退役期</w:t>
      </w:r>
      <w:r>
        <w:rPr>
          <w:rFonts w:ascii="Times New Roman" w:hAnsi="Times New Roman" w:cs="Times New Roman"/>
          <w:color w:val="auto"/>
          <w:w w:val="99"/>
          <w:highlight w:val="none"/>
        </w:rPr>
        <w:t>将对周围生态环境产生一定影响，在采取有效的控制和处理措施后，项目对周围生态环境影响在可接受</w:t>
      </w:r>
      <w:r>
        <w:rPr>
          <w:rFonts w:hint="eastAsia" w:ascii="Times New Roman" w:hAnsi="Times New Roman" w:cs="Times New Roman"/>
          <w:color w:val="auto"/>
          <w:w w:val="99"/>
          <w:highlight w:val="none"/>
        </w:rPr>
        <w:t>范围</w:t>
      </w:r>
      <w:r>
        <w:rPr>
          <w:rFonts w:ascii="Times New Roman" w:hAnsi="Times New Roman" w:cs="Times New Roman"/>
          <w:color w:val="auto"/>
          <w:w w:val="99"/>
          <w:highlight w:val="none"/>
        </w:rPr>
        <w:t>内</w:t>
      </w:r>
      <w:r>
        <w:rPr>
          <w:rFonts w:hint="eastAsia" w:ascii="Times New Roman" w:hAnsi="Times New Roman" w:cs="Times New Roman"/>
          <w:color w:val="auto"/>
          <w:w w:val="99"/>
          <w:highlight w:val="none"/>
        </w:rPr>
        <w:t>。</w:t>
      </w:r>
    </w:p>
    <w:p w14:paraId="7BA890CC">
      <w:pPr>
        <w:pStyle w:val="5"/>
        <w:keepNext w:val="0"/>
        <w:keepLines w:val="0"/>
        <w:widowControl w:val="0"/>
        <w:spacing w:before="120" w:after="120"/>
        <w:rPr>
          <w:rFonts w:ascii="Times New Roman" w:hAnsi="Times New Roman" w:eastAsia="宋体"/>
          <w:b/>
          <w:snapToGrid w:val="0"/>
          <w:color w:val="auto"/>
          <w:w w:val="99"/>
          <w:highlight w:val="none"/>
        </w:rPr>
      </w:pPr>
      <w:bookmarkStart w:id="948" w:name="_Toc16503"/>
      <w:bookmarkStart w:id="949" w:name="_Toc65426009"/>
      <w:bookmarkStart w:id="950" w:name="OLE_LINK153"/>
      <w:bookmarkStart w:id="951" w:name="OLE_LINK154"/>
      <w:bookmarkStart w:id="952" w:name="_Toc65426007"/>
      <w:r>
        <w:rPr>
          <w:rFonts w:ascii="Times New Roman" w:hAnsi="Times New Roman" w:eastAsia="宋体"/>
          <w:b/>
          <w:snapToGrid w:val="0"/>
          <w:color w:val="auto"/>
          <w:w w:val="99"/>
          <w:highlight w:val="none"/>
        </w:rPr>
        <w:t>5.7土壤环境影响预测与评价</w:t>
      </w:r>
      <w:bookmarkEnd w:id="948"/>
      <w:bookmarkEnd w:id="949"/>
    </w:p>
    <w:p w14:paraId="0CC7EED4">
      <w:pPr>
        <w:keepNext/>
        <w:keepLines/>
        <w:widowControl w:val="0"/>
        <w:spacing w:before="60" w:after="60" w:line="440" w:lineRule="exact"/>
        <w:jc w:val="both"/>
        <w:outlineLvl w:val="2"/>
        <w:rPr>
          <w:rFonts w:ascii="Times New Roman" w:hAnsi="Times New Roman" w:cs="Times New Roman"/>
          <w:b/>
          <w:bCs/>
          <w:color w:val="auto"/>
          <w:w w:val="99"/>
          <w:kern w:val="2"/>
          <w:highlight w:val="none"/>
        </w:rPr>
      </w:pPr>
      <w:bookmarkStart w:id="953" w:name="_Toc86142015"/>
      <w:bookmarkStart w:id="954" w:name="_Toc186444362"/>
      <w:bookmarkStart w:id="955" w:name="_Toc85640840"/>
      <w:bookmarkStart w:id="956" w:name="_Toc84929316"/>
      <w:bookmarkStart w:id="957" w:name="_Toc126863472"/>
      <w:bookmarkStart w:id="958" w:name="_Toc127192421"/>
      <w:bookmarkStart w:id="959" w:name="_Toc76976330"/>
      <w:bookmarkStart w:id="960" w:name="_Toc77067742"/>
      <w:bookmarkStart w:id="961" w:name="_Toc80588339"/>
      <w:bookmarkStart w:id="962" w:name="_Toc83209561"/>
      <w:bookmarkStart w:id="963" w:name="_Toc80971461"/>
      <w:bookmarkStart w:id="964" w:name="_Toc67860220"/>
      <w:bookmarkStart w:id="965" w:name="_Toc78816544"/>
      <w:r>
        <w:rPr>
          <w:rFonts w:ascii="Times New Roman" w:hAnsi="Times New Roman" w:cs="Times New Roman"/>
          <w:b/>
          <w:bCs/>
          <w:color w:val="auto"/>
          <w:w w:val="99"/>
          <w:kern w:val="2"/>
          <w:highlight w:val="none"/>
        </w:rPr>
        <w:t>5.7.1施工期土壤环境影响分析</w:t>
      </w:r>
      <w:bookmarkEnd w:id="953"/>
      <w:bookmarkEnd w:id="954"/>
      <w:bookmarkEnd w:id="955"/>
      <w:bookmarkEnd w:id="956"/>
      <w:bookmarkEnd w:id="957"/>
      <w:bookmarkEnd w:id="958"/>
    </w:p>
    <w:p w14:paraId="6D21F349">
      <w:pPr>
        <w:pStyle w:val="3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（1）施工期临时占地对土壤影响</w:t>
      </w:r>
    </w:p>
    <w:p w14:paraId="4A7F212B">
      <w:pPr>
        <w:pStyle w:val="3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本项目临时占地主要</w:t>
      </w:r>
      <w:r>
        <w:rPr>
          <w:rFonts w:hint="eastAsia" w:ascii="Times New Roman" w:hAnsi="Times New Roman"/>
          <w:color w:val="auto"/>
          <w:w w:val="99"/>
          <w:kern w:val="0"/>
          <w:szCs w:val="24"/>
          <w:highlight w:val="none"/>
          <w:lang w:bidi="zh-CN"/>
        </w:rPr>
        <w:t>为</w:t>
      </w:r>
      <w:r>
        <w:rPr>
          <w:rFonts w:ascii="Times New Roman" w:hAnsi="Times New Roman"/>
          <w:color w:val="auto"/>
          <w:w w:val="99"/>
          <w:kern w:val="0"/>
          <w:szCs w:val="24"/>
          <w:highlight w:val="none"/>
          <w:lang w:bidi="zh-CN"/>
        </w:rPr>
        <w:t>管道工程占地，占地类型为耕地（永久基本农田），合计临时占地</w:t>
      </w:r>
      <w:r>
        <w:rPr>
          <w:rFonts w:hint="eastAsia" w:ascii="Times New Roman" w:hAnsi="Times New Roman"/>
          <w:color w:val="auto"/>
          <w:w w:val="99"/>
          <w:kern w:val="0"/>
          <w:szCs w:val="24"/>
          <w:highlight w:val="none"/>
          <w:lang w:bidi="zh-CN"/>
        </w:rPr>
        <w:t>1.9229</w:t>
      </w:r>
      <w:r>
        <w:rPr>
          <w:rFonts w:ascii="Times New Roman" w:hAnsi="Times New Roman"/>
          <w:color w:val="auto"/>
          <w:w w:val="99"/>
          <w:kern w:val="0"/>
          <w:szCs w:val="24"/>
          <w:highlight w:val="none"/>
          <w:lang w:bidi="zh-CN"/>
        </w:rPr>
        <w:t>hm</w:t>
      </w:r>
      <w:r>
        <w:rPr>
          <w:rFonts w:ascii="Times New Roman" w:hAnsi="Times New Roman"/>
          <w:color w:val="auto"/>
          <w:w w:val="99"/>
          <w:kern w:val="0"/>
          <w:szCs w:val="24"/>
          <w:highlight w:val="none"/>
          <w:vertAlign w:val="superscript"/>
          <w:lang w:bidi="zh-CN"/>
        </w:rPr>
        <w:t>2</w:t>
      </w:r>
      <w:r>
        <w:rPr>
          <w:rFonts w:ascii="Times New Roman" w:hAnsi="Times New Roman"/>
          <w:color w:val="auto"/>
          <w:w w:val="99"/>
          <w:kern w:val="0"/>
          <w:szCs w:val="24"/>
          <w:highlight w:val="none"/>
          <w:lang w:bidi="zh-CN"/>
        </w:rPr>
        <w:t>。大型、重型机械设备的碾压，施工人员的践踏、材料堆放等都会破坏地表植被，使土壤紧实度增高，加上道路修建时翻动土体，都会造成局部大片裸地出现，容易引起土壤风蚀和水土流失，特别是风蚀，对土壤环境的影响表现在：</w:t>
      </w:r>
    </w:p>
    <w:p w14:paraId="0A284CF6">
      <w:pPr>
        <w:pStyle w:val="32"/>
        <w:widowControl w:val="0"/>
        <w:spacing w:line="440" w:lineRule="exact"/>
        <w:ind w:firstLine="474" w:firstLineChars="200"/>
        <w:jc w:val="both"/>
        <w:rPr>
          <w:rFonts w:ascii="Times New Roman" w:hAnsi="Times New Roman"/>
          <w:color w:val="auto"/>
          <w:w w:val="99"/>
          <w:kern w:val="0"/>
          <w:szCs w:val="24"/>
          <w:highlight w:val="none"/>
          <w:lang w:bidi="zh-CN"/>
        </w:rPr>
      </w:pPr>
      <w:r>
        <w:rPr>
          <w:rFonts w:hint="eastAsia" w:ascii="宋体" w:hAnsi="宋体" w:cs="宋体"/>
          <w:color w:val="auto"/>
          <w:w w:val="99"/>
          <w:kern w:val="0"/>
          <w:szCs w:val="24"/>
          <w:highlight w:val="none"/>
          <w:lang w:bidi="zh-CN"/>
        </w:rPr>
        <w:t>①</w:t>
      </w:r>
      <w:r>
        <w:rPr>
          <w:rFonts w:ascii="Times New Roman" w:hAnsi="Times New Roman"/>
          <w:color w:val="auto"/>
          <w:w w:val="99"/>
          <w:kern w:val="0"/>
          <w:szCs w:val="24"/>
          <w:highlight w:val="none"/>
          <w:lang w:bidi="zh-CN"/>
        </w:rPr>
        <w:t>破坏土壤结构</w:t>
      </w:r>
    </w:p>
    <w:p w14:paraId="471D20C8">
      <w:pPr>
        <w:pStyle w:val="3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土壤结构的形成需要漫长的时间，管道在开挖和填埋时，必将破坏土壤结构，干扰了团粒结构的自然形成过程。作为土壤质量重要指标的团粒结构一旦遭到破坏，需要经过较长的时间才能恢复。</w:t>
      </w:r>
    </w:p>
    <w:p w14:paraId="437F60F6">
      <w:pPr>
        <w:pStyle w:val="32"/>
        <w:widowControl w:val="0"/>
        <w:spacing w:line="440" w:lineRule="exact"/>
        <w:ind w:firstLine="474" w:firstLineChars="200"/>
        <w:jc w:val="both"/>
        <w:rPr>
          <w:rFonts w:ascii="Times New Roman" w:hAnsi="Times New Roman"/>
          <w:color w:val="auto"/>
          <w:w w:val="99"/>
          <w:kern w:val="0"/>
          <w:szCs w:val="24"/>
          <w:highlight w:val="none"/>
          <w:lang w:bidi="zh-CN"/>
        </w:rPr>
      </w:pPr>
      <w:r>
        <w:rPr>
          <w:rFonts w:hint="eastAsia" w:ascii="宋体" w:hAnsi="宋体" w:cs="宋体"/>
          <w:color w:val="auto"/>
          <w:w w:val="99"/>
          <w:kern w:val="0"/>
          <w:szCs w:val="24"/>
          <w:highlight w:val="none"/>
          <w:lang w:bidi="zh-CN"/>
        </w:rPr>
        <w:t>②</w:t>
      </w:r>
      <w:r>
        <w:rPr>
          <w:rFonts w:ascii="Times New Roman" w:hAnsi="Times New Roman"/>
          <w:color w:val="auto"/>
          <w:w w:val="99"/>
          <w:kern w:val="0"/>
          <w:szCs w:val="24"/>
          <w:highlight w:val="none"/>
          <w:lang w:bidi="zh-CN"/>
        </w:rPr>
        <w:t>混合土壤层次，改变土壤质地</w:t>
      </w:r>
    </w:p>
    <w:p w14:paraId="08B7A213">
      <w:pPr>
        <w:pStyle w:val="3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土壤表层质地与底层的质地截然不同，管道的开挖与回填，会混合原有的土壤层次，降低土壤的蓄水保肥能力，易受风蚀，影响土壤的发育、植被的恢复。</w:t>
      </w:r>
    </w:p>
    <w:p w14:paraId="07D16B2D">
      <w:pPr>
        <w:pStyle w:val="32"/>
        <w:widowControl w:val="0"/>
        <w:spacing w:line="440" w:lineRule="exact"/>
        <w:ind w:firstLine="474" w:firstLineChars="200"/>
        <w:jc w:val="both"/>
        <w:rPr>
          <w:rFonts w:ascii="Times New Roman" w:hAnsi="Times New Roman"/>
          <w:color w:val="auto"/>
          <w:w w:val="99"/>
          <w:kern w:val="0"/>
          <w:szCs w:val="24"/>
          <w:highlight w:val="none"/>
          <w:lang w:bidi="zh-CN"/>
        </w:rPr>
      </w:pPr>
      <w:r>
        <w:rPr>
          <w:rFonts w:hint="eastAsia" w:ascii="宋体" w:hAnsi="宋体" w:cs="宋体"/>
          <w:color w:val="auto"/>
          <w:w w:val="99"/>
          <w:kern w:val="0"/>
          <w:szCs w:val="24"/>
          <w:highlight w:val="none"/>
          <w:lang w:bidi="zh-CN"/>
        </w:rPr>
        <w:t>③</w:t>
      </w:r>
      <w:r>
        <w:rPr>
          <w:rFonts w:ascii="Times New Roman" w:hAnsi="Times New Roman"/>
          <w:color w:val="auto"/>
          <w:w w:val="99"/>
          <w:kern w:val="0"/>
          <w:szCs w:val="24"/>
          <w:highlight w:val="none"/>
          <w:lang w:bidi="zh-CN"/>
        </w:rPr>
        <w:t>土壤养分流失</w:t>
      </w:r>
    </w:p>
    <w:p w14:paraId="080960A3">
      <w:pPr>
        <w:pStyle w:val="3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在土壤剖面中各个土层中，就养分状况而言，表土层（腐殖质层、耕作层）远较心土层好，其有机质、全氮、全磷均较其他层次高。施工作业对原有的土体构型产生扰动，使土壤性质发生变化，土壤养分流失，从而影响植物的生长。</w:t>
      </w:r>
    </w:p>
    <w:p w14:paraId="6ACD0509">
      <w:pPr>
        <w:pStyle w:val="3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根据国内外有关资料，即使在实行分层堆放、分层覆土的措施下，土壤的有机质还将下降30%～40%，土壤养分下降30%～50%，其中全氮下降43%左右，磷素下降40%，钾素下降43%。若不实行分层堆放和分层覆土，土壤养分流失量更大。</w:t>
      </w:r>
    </w:p>
    <w:p w14:paraId="56471078">
      <w:pPr>
        <w:pStyle w:val="3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（2）土壤侵蚀</w:t>
      </w:r>
    </w:p>
    <w:p w14:paraId="7F4FC280">
      <w:pPr>
        <w:pStyle w:val="3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本项目管道建设过程中将开挖管沟，管沟上方的地表植被被完全破坏，新增一定量的土壤侵蚀，挖出的表层土和下层土临时就近分别堆放，如果防护措施不当也会引起水土流失。开挖管沟对土体的扰动将使土壤的结构、组成及理化性质等发生变化，进而影响土壤的侵蚀状况。同时管道施工过程中施工机械的碾压和人员的践踏会破坏管沟两侧施工范围内自然植被和扰动原来相对稳定的地表，使土壤变得疏松，产生一定面积的裸露地面，造成新增土壤侵蚀。管道建设施工结束后，管沟回填先填下层土再填表土，同时对施工迹地地表植被进行恢复，可有效减轻管道建设过程中对土壤环境的影响。</w:t>
      </w:r>
    </w:p>
    <w:p w14:paraId="31E5B2D2">
      <w:pPr>
        <w:keepNext/>
        <w:keepLines/>
        <w:widowControl w:val="0"/>
        <w:spacing w:before="60" w:after="60" w:line="440" w:lineRule="exact"/>
        <w:jc w:val="both"/>
        <w:outlineLvl w:val="2"/>
        <w:rPr>
          <w:rFonts w:ascii="Times New Roman" w:hAnsi="Times New Roman" w:cs="Times New Roman"/>
          <w:b/>
          <w:bCs/>
          <w:color w:val="auto"/>
          <w:w w:val="99"/>
          <w:kern w:val="2"/>
          <w:highlight w:val="none"/>
        </w:rPr>
      </w:pPr>
      <w:bookmarkStart w:id="966" w:name="_Toc84929317"/>
      <w:bookmarkStart w:id="967" w:name="_Toc86142016"/>
      <w:bookmarkStart w:id="968" w:name="_Toc126863473"/>
      <w:bookmarkStart w:id="969" w:name="_Toc186444363"/>
      <w:bookmarkStart w:id="970" w:name="_Toc127192422"/>
      <w:bookmarkStart w:id="971" w:name="_Toc85640841"/>
      <w:r>
        <w:rPr>
          <w:rFonts w:ascii="Times New Roman" w:hAnsi="Times New Roman" w:cs="Times New Roman"/>
          <w:b/>
          <w:bCs/>
          <w:color w:val="auto"/>
          <w:w w:val="99"/>
          <w:kern w:val="2"/>
          <w:highlight w:val="none"/>
        </w:rPr>
        <w:t>5.7.2运营期土壤环境影响预测与分析</w:t>
      </w:r>
      <w:bookmarkEnd w:id="966"/>
      <w:bookmarkEnd w:id="967"/>
      <w:bookmarkEnd w:id="968"/>
      <w:bookmarkEnd w:id="969"/>
      <w:bookmarkEnd w:id="970"/>
      <w:bookmarkEnd w:id="971"/>
    </w:p>
    <w:p w14:paraId="5409E1C1">
      <w:pPr>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5.7.2.1土壤污染途径</w:t>
      </w:r>
    </w:p>
    <w:p w14:paraId="1A267D2F">
      <w:pPr>
        <w:pStyle w:val="32"/>
        <w:widowControl w:val="0"/>
        <w:spacing w:line="440" w:lineRule="exact"/>
        <w:ind w:firstLine="474" w:firstLineChars="200"/>
        <w:jc w:val="both"/>
        <w:rPr>
          <w:rFonts w:ascii="Times New Roman" w:hAnsi="Times New Roman"/>
          <w:color w:val="auto"/>
          <w:w w:val="99"/>
          <w:kern w:val="0"/>
          <w:szCs w:val="24"/>
          <w:highlight w:val="none"/>
          <w:lang w:bidi="zh-CN"/>
        </w:rPr>
      </w:pPr>
      <w:r>
        <w:rPr>
          <w:rFonts w:hint="eastAsia" w:ascii="Times New Roman" w:hAnsi="Times New Roman"/>
          <w:color w:val="auto"/>
          <w:w w:val="99"/>
          <w:kern w:val="0"/>
          <w:szCs w:val="24"/>
          <w:highlight w:val="none"/>
          <w:lang w:bidi="zh-CN"/>
        </w:rPr>
        <w:t>气田开采</w:t>
      </w:r>
      <w:r>
        <w:rPr>
          <w:rFonts w:ascii="Times New Roman" w:hAnsi="Times New Roman"/>
          <w:color w:val="auto"/>
          <w:w w:val="99"/>
          <w:kern w:val="0"/>
          <w:szCs w:val="24"/>
          <w:highlight w:val="none"/>
          <w:lang w:bidi="zh-CN"/>
        </w:rPr>
        <w:t>过程中对土壤环境的影响主要为气田运行期排放的气田采出水可能对土壤环境造成破坏，对土壤的化学、生物性质等方面造成影响。</w:t>
      </w:r>
    </w:p>
    <w:p w14:paraId="519D4645">
      <w:pPr>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5.7.2.2 对土壤环境的影响</w:t>
      </w:r>
    </w:p>
    <w:p w14:paraId="199DA8E0">
      <w:pPr>
        <w:pStyle w:val="3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本工程正常生产情况下天然气密闭集输，生产污水处理后回注，没有污染物排放，对土壤环境无影响。本工程在事故时对土壤产生的影响主要为</w:t>
      </w:r>
      <w:r>
        <w:rPr>
          <w:rFonts w:hint="eastAsia" w:ascii="Times New Roman" w:hAnsi="Times New Roman"/>
          <w:color w:val="auto"/>
          <w:w w:val="99"/>
          <w:kern w:val="0"/>
          <w:szCs w:val="24"/>
          <w:highlight w:val="none"/>
          <w:lang w:bidi="zh-CN"/>
        </w:rPr>
        <w:t>采气管道</w:t>
      </w:r>
      <w:r>
        <w:rPr>
          <w:rFonts w:ascii="Times New Roman" w:hAnsi="Times New Roman"/>
          <w:color w:val="auto"/>
          <w:w w:val="99"/>
          <w:kern w:val="0"/>
          <w:szCs w:val="24"/>
          <w:highlight w:val="none"/>
          <w:lang w:bidi="zh-CN"/>
        </w:rPr>
        <w:t>发生泄漏，采出水使土壤理化性状发生变化，在设备管道发生破裂导致含油污水泄漏时，污水中的石油类渗入土壤孔隙，会降低土壤的通透性，抑制土壤中酶活性，使土壤生物减少。一般而言，原油集中于土壤表层0～30cm的范围内，使得根系分布于此深度的植物不能生长。石油类对土壤的污染，可使土地肥力下降，改变土壤的理化性质，影响局部区域土壤正常的结构和功能。但是由于本工程采用密闭管道运输，对土壤造成影响的机率较小。除此以外，本工程在运行期基本无污染物排放到土壤中，对土壤基本无影响。</w:t>
      </w:r>
    </w:p>
    <w:p w14:paraId="50644AC1">
      <w:pPr>
        <w:pStyle w:val="153"/>
        <w:widowControl w:val="0"/>
        <w:spacing w:line="440" w:lineRule="exact"/>
        <w:ind w:firstLine="473"/>
        <w:jc w:val="both"/>
        <w:rPr>
          <w:rFonts w:ascii="Times New Roman" w:hAnsi="Times New Roman"/>
          <w:color w:val="auto"/>
          <w:w w:val="99"/>
          <w:highlight w:val="none"/>
          <w:lang w:val="zh-CN" w:bidi="zh-CN"/>
        </w:rPr>
      </w:pPr>
      <w:r>
        <w:rPr>
          <w:rFonts w:ascii="Times New Roman" w:hAnsi="Times New Roman"/>
          <w:color w:val="auto"/>
          <w:w w:val="99"/>
          <w:highlight w:val="none"/>
          <w:lang w:val="zh-CN" w:bidi="zh-CN"/>
        </w:rPr>
        <w:t>本项目土壤环境影响类型与影响途径见表</w:t>
      </w:r>
      <w:r>
        <w:rPr>
          <w:rFonts w:ascii="Times New Roman" w:hAnsi="Times New Roman"/>
          <w:color w:val="auto"/>
          <w:w w:val="99"/>
          <w:highlight w:val="none"/>
          <w:lang w:bidi="zh-CN"/>
        </w:rPr>
        <w:t>5.7-1</w:t>
      </w:r>
      <w:r>
        <w:rPr>
          <w:rFonts w:ascii="Times New Roman" w:hAnsi="Times New Roman"/>
          <w:color w:val="auto"/>
          <w:w w:val="99"/>
          <w:highlight w:val="none"/>
          <w:lang w:val="zh-CN" w:bidi="zh-CN"/>
        </w:rPr>
        <w:t>。</w:t>
      </w:r>
    </w:p>
    <w:p w14:paraId="32949C7D">
      <w:pPr>
        <w:widowControl w:val="0"/>
        <w:spacing w:line="440" w:lineRule="exact"/>
        <w:ind w:firstLine="476" w:firstLineChars="200"/>
        <w:jc w:val="both"/>
        <w:rPr>
          <w:rFonts w:ascii="Times New Roman" w:hAnsi="Times New Roman" w:cs="Times New Roman" w:eastAsiaTheme="minorEastAsia"/>
          <w:b/>
          <w:color w:val="auto"/>
          <w:w w:val="99"/>
          <w:kern w:val="21"/>
          <w:highlight w:val="none"/>
          <w:lang w:val="zh-CN" w:bidi="zh-CN"/>
        </w:rPr>
      </w:pPr>
      <w:r>
        <w:rPr>
          <w:rFonts w:ascii="Times New Roman" w:hAnsi="Times New Roman" w:cs="Times New Roman" w:eastAsiaTheme="minorEastAsia"/>
          <w:b/>
          <w:color w:val="auto"/>
          <w:w w:val="99"/>
          <w:kern w:val="21"/>
          <w:highlight w:val="none"/>
          <w:lang w:val="zh-CN" w:bidi="zh-CN"/>
        </w:rPr>
        <w:t>表</w:t>
      </w:r>
      <w:r>
        <w:rPr>
          <w:rFonts w:ascii="Times New Roman" w:hAnsi="Times New Roman" w:cs="Times New Roman" w:eastAsiaTheme="minorEastAsia"/>
          <w:b/>
          <w:color w:val="auto"/>
          <w:w w:val="99"/>
          <w:kern w:val="21"/>
          <w:highlight w:val="none"/>
          <w:lang w:bidi="zh-CN"/>
        </w:rPr>
        <w:t xml:space="preserve">5.7-1    </w:t>
      </w:r>
      <w:r>
        <w:rPr>
          <w:rFonts w:ascii="Times New Roman" w:hAnsi="Times New Roman" w:cs="Times New Roman" w:eastAsiaTheme="minorEastAsia"/>
          <w:b/>
          <w:color w:val="auto"/>
          <w:w w:val="99"/>
          <w:kern w:val="21"/>
          <w:highlight w:val="none"/>
          <w:lang w:val="zh-CN" w:bidi="zh-CN"/>
        </w:rPr>
        <w:t>本项目土壤影响类型与影响途径表</w:t>
      </w:r>
    </w:p>
    <w:tbl>
      <w:tblPr>
        <w:tblStyle w:val="81"/>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359"/>
        <w:gridCol w:w="1870"/>
        <w:gridCol w:w="1908"/>
        <w:gridCol w:w="1878"/>
        <w:gridCol w:w="1272"/>
      </w:tblGrid>
      <w:tr w14:paraId="5BCB3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70" w:type="pct"/>
            <w:vMerge w:val="restart"/>
            <w:vAlign w:val="center"/>
          </w:tcPr>
          <w:p w14:paraId="0A44411A">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ascii="Times New Roman" w:hAnsi="Times New Roman" w:cs="Times New Roman" w:eastAsiaTheme="minorEastAsia"/>
                <w:color w:val="auto"/>
                <w:w w:val="99"/>
                <w:kern w:val="24"/>
                <w:sz w:val="21"/>
                <w:szCs w:val="21"/>
                <w:highlight w:val="none"/>
              </w:rPr>
              <w:t>不同时段</w:t>
            </w:r>
          </w:p>
        </w:tc>
        <w:tc>
          <w:tcPr>
            <w:tcW w:w="3730" w:type="pct"/>
            <w:gridSpan w:val="4"/>
            <w:vAlign w:val="center"/>
          </w:tcPr>
          <w:p w14:paraId="7782462D">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ascii="Times New Roman" w:hAnsi="Times New Roman" w:cs="Times New Roman" w:eastAsiaTheme="minorEastAsia"/>
                <w:color w:val="auto"/>
                <w:w w:val="99"/>
                <w:kern w:val="24"/>
                <w:sz w:val="21"/>
                <w:szCs w:val="21"/>
                <w:highlight w:val="none"/>
              </w:rPr>
              <w:t>污染影响型</w:t>
            </w:r>
          </w:p>
        </w:tc>
      </w:tr>
      <w:tr w14:paraId="00F24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70" w:type="pct"/>
            <w:vMerge w:val="continue"/>
            <w:vAlign w:val="center"/>
          </w:tcPr>
          <w:p w14:paraId="1DA3E186">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p>
        </w:tc>
        <w:tc>
          <w:tcPr>
            <w:tcW w:w="1007" w:type="pct"/>
            <w:vAlign w:val="center"/>
          </w:tcPr>
          <w:p w14:paraId="330F8515">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ascii="Times New Roman" w:hAnsi="Times New Roman" w:cs="Times New Roman" w:eastAsiaTheme="minorEastAsia"/>
                <w:color w:val="auto"/>
                <w:w w:val="99"/>
                <w:kern w:val="24"/>
                <w:sz w:val="21"/>
                <w:szCs w:val="21"/>
                <w:highlight w:val="none"/>
              </w:rPr>
              <w:t>大气沉降</w:t>
            </w:r>
          </w:p>
        </w:tc>
        <w:tc>
          <w:tcPr>
            <w:tcW w:w="1027" w:type="pct"/>
            <w:vAlign w:val="center"/>
          </w:tcPr>
          <w:p w14:paraId="75714154">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ascii="Times New Roman" w:hAnsi="Times New Roman" w:cs="Times New Roman" w:eastAsiaTheme="minorEastAsia"/>
                <w:color w:val="auto"/>
                <w:w w:val="99"/>
                <w:kern w:val="24"/>
                <w:sz w:val="21"/>
                <w:szCs w:val="21"/>
                <w:highlight w:val="none"/>
              </w:rPr>
              <w:t>地面漫流</w:t>
            </w:r>
          </w:p>
        </w:tc>
        <w:tc>
          <w:tcPr>
            <w:tcW w:w="1011" w:type="pct"/>
            <w:vAlign w:val="center"/>
          </w:tcPr>
          <w:p w14:paraId="14E43764">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ascii="Times New Roman" w:hAnsi="Times New Roman" w:cs="Times New Roman" w:eastAsiaTheme="minorEastAsia"/>
                <w:color w:val="auto"/>
                <w:w w:val="99"/>
                <w:kern w:val="24"/>
                <w:sz w:val="21"/>
                <w:szCs w:val="21"/>
                <w:highlight w:val="none"/>
              </w:rPr>
              <w:t>垂直入渗</w:t>
            </w:r>
          </w:p>
        </w:tc>
        <w:tc>
          <w:tcPr>
            <w:tcW w:w="685" w:type="pct"/>
            <w:vAlign w:val="center"/>
          </w:tcPr>
          <w:p w14:paraId="122DC52F">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ascii="Times New Roman" w:hAnsi="Times New Roman" w:cs="Times New Roman" w:eastAsiaTheme="minorEastAsia"/>
                <w:color w:val="auto"/>
                <w:w w:val="99"/>
                <w:kern w:val="24"/>
                <w:sz w:val="21"/>
                <w:szCs w:val="21"/>
                <w:highlight w:val="none"/>
              </w:rPr>
              <w:t>其他</w:t>
            </w:r>
          </w:p>
        </w:tc>
      </w:tr>
      <w:tr w14:paraId="028E7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70" w:type="pct"/>
            <w:vAlign w:val="center"/>
          </w:tcPr>
          <w:p w14:paraId="694D5821">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ascii="Times New Roman" w:hAnsi="Times New Roman" w:cs="Times New Roman" w:eastAsiaTheme="minorEastAsia"/>
                <w:color w:val="auto"/>
                <w:w w:val="99"/>
                <w:kern w:val="24"/>
                <w:sz w:val="21"/>
                <w:szCs w:val="21"/>
                <w:highlight w:val="none"/>
              </w:rPr>
              <w:t>建设期</w:t>
            </w:r>
          </w:p>
        </w:tc>
        <w:tc>
          <w:tcPr>
            <w:tcW w:w="1007" w:type="pct"/>
            <w:vAlign w:val="center"/>
          </w:tcPr>
          <w:p w14:paraId="573AC8FF">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ascii="Times New Roman" w:hAnsi="Times New Roman" w:cs="Times New Roman" w:eastAsiaTheme="minorEastAsia"/>
                <w:color w:val="auto"/>
                <w:w w:val="99"/>
                <w:kern w:val="24"/>
                <w:sz w:val="21"/>
                <w:szCs w:val="21"/>
                <w:highlight w:val="none"/>
              </w:rPr>
              <w:t>/</w:t>
            </w:r>
          </w:p>
        </w:tc>
        <w:tc>
          <w:tcPr>
            <w:tcW w:w="1027" w:type="pct"/>
            <w:vAlign w:val="center"/>
          </w:tcPr>
          <w:p w14:paraId="053DD03B">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ascii="Times New Roman" w:hAnsi="Times New Roman" w:cs="Times New Roman" w:eastAsiaTheme="minorEastAsia"/>
                <w:color w:val="auto"/>
                <w:w w:val="99"/>
                <w:kern w:val="24"/>
                <w:sz w:val="21"/>
                <w:szCs w:val="21"/>
                <w:highlight w:val="none"/>
              </w:rPr>
              <w:t>/</w:t>
            </w:r>
          </w:p>
        </w:tc>
        <w:tc>
          <w:tcPr>
            <w:tcW w:w="1011" w:type="pct"/>
            <w:vAlign w:val="center"/>
          </w:tcPr>
          <w:p w14:paraId="2F6A28FF">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ascii="Times New Roman" w:hAnsi="Times New Roman" w:cs="Times New Roman" w:eastAsiaTheme="minorEastAsia"/>
                <w:color w:val="auto"/>
                <w:w w:val="99"/>
                <w:kern w:val="24"/>
                <w:sz w:val="21"/>
                <w:szCs w:val="21"/>
                <w:highlight w:val="none"/>
              </w:rPr>
              <w:t>/</w:t>
            </w:r>
          </w:p>
        </w:tc>
        <w:tc>
          <w:tcPr>
            <w:tcW w:w="685" w:type="pct"/>
            <w:vAlign w:val="center"/>
          </w:tcPr>
          <w:p w14:paraId="16B39602">
            <w:pPr>
              <w:adjustRightInd w:val="0"/>
              <w:snapToGrid w:val="0"/>
              <w:spacing w:line="360" w:lineRule="exact"/>
              <w:jc w:val="center"/>
              <w:rPr>
                <w:rFonts w:ascii="Times New Roman" w:hAnsi="Times New Roman" w:cs="Times New Roman" w:eastAsiaTheme="minorEastAsia"/>
                <w:color w:val="auto"/>
                <w:w w:val="99"/>
                <w:kern w:val="24"/>
                <w:sz w:val="22"/>
                <w:szCs w:val="21"/>
                <w:highlight w:val="none"/>
              </w:rPr>
            </w:pPr>
            <w:r>
              <w:rPr>
                <w:rFonts w:ascii="Times New Roman" w:hAnsi="Times New Roman" w:cs="Times New Roman" w:eastAsiaTheme="minorEastAsia"/>
                <w:color w:val="auto"/>
                <w:w w:val="99"/>
                <w:kern w:val="24"/>
                <w:sz w:val="22"/>
                <w:szCs w:val="21"/>
                <w:highlight w:val="none"/>
              </w:rPr>
              <w:t>/</w:t>
            </w:r>
          </w:p>
        </w:tc>
      </w:tr>
      <w:tr w14:paraId="31383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70" w:type="pct"/>
            <w:vAlign w:val="center"/>
          </w:tcPr>
          <w:p w14:paraId="2E5BB046">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ascii="Times New Roman" w:hAnsi="Times New Roman" w:cs="Times New Roman" w:eastAsiaTheme="minorEastAsia"/>
                <w:color w:val="auto"/>
                <w:w w:val="99"/>
                <w:kern w:val="24"/>
                <w:sz w:val="21"/>
                <w:szCs w:val="21"/>
                <w:highlight w:val="none"/>
              </w:rPr>
              <w:t>运营期</w:t>
            </w:r>
          </w:p>
        </w:tc>
        <w:tc>
          <w:tcPr>
            <w:tcW w:w="1007" w:type="pct"/>
            <w:vAlign w:val="center"/>
          </w:tcPr>
          <w:p w14:paraId="0E862F4C">
            <w:pPr>
              <w:adjustRightInd w:val="0"/>
              <w:snapToGrid w:val="0"/>
              <w:spacing w:line="360" w:lineRule="exact"/>
              <w:jc w:val="center"/>
              <w:rPr>
                <w:rFonts w:ascii="Times New Roman" w:hAnsi="Times New Roman" w:cs="Times New Roman" w:eastAsiaTheme="minorEastAsia"/>
                <w:color w:val="auto"/>
                <w:w w:val="99"/>
                <w:kern w:val="24"/>
                <w:sz w:val="22"/>
                <w:szCs w:val="21"/>
                <w:highlight w:val="none"/>
              </w:rPr>
            </w:pPr>
            <w:r>
              <w:rPr>
                <w:rFonts w:ascii="Times New Roman" w:hAnsi="Times New Roman" w:cs="Times New Roman" w:eastAsiaTheme="minorEastAsia"/>
                <w:color w:val="auto"/>
                <w:w w:val="99"/>
                <w:kern w:val="24"/>
                <w:sz w:val="22"/>
                <w:szCs w:val="21"/>
                <w:highlight w:val="none"/>
              </w:rPr>
              <w:t>/</w:t>
            </w:r>
          </w:p>
        </w:tc>
        <w:tc>
          <w:tcPr>
            <w:tcW w:w="1027" w:type="pct"/>
            <w:vAlign w:val="center"/>
          </w:tcPr>
          <w:p w14:paraId="4CD13420">
            <w:pPr>
              <w:adjustRightInd w:val="0"/>
              <w:snapToGrid w:val="0"/>
              <w:spacing w:line="360" w:lineRule="exact"/>
              <w:jc w:val="center"/>
              <w:rPr>
                <w:rFonts w:ascii="Times New Roman" w:hAnsi="Times New Roman" w:cs="Times New Roman" w:eastAsiaTheme="minorEastAsia"/>
                <w:color w:val="auto"/>
                <w:w w:val="99"/>
                <w:kern w:val="24"/>
                <w:sz w:val="22"/>
                <w:szCs w:val="21"/>
                <w:highlight w:val="none"/>
              </w:rPr>
            </w:pPr>
            <w:r>
              <w:rPr>
                <w:rFonts w:ascii="Times New Roman" w:hAnsi="Times New Roman" w:cs="Times New Roman" w:eastAsiaTheme="minorEastAsia"/>
                <w:color w:val="auto"/>
                <w:w w:val="99"/>
                <w:kern w:val="24"/>
                <w:sz w:val="21"/>
                <w:szCs w:val="21"/>
                <w:highlight w:val="none"/>
              </w:rPr>
              <w:t>/</w:t>
            </w:r>
          </w:p>
        </w:tc>
        <w:tc>
          <w:tcPr>
            <w:tcW w:w="1011" w:type="pct"/>
            <w:vAlign w:val="center"/>
          </w:tcPr>
          <w:p w14:paraId="10C98E56">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ascii="Times New Roman" w:hAnsi="Times New Roman" w:cs="Times New Roman" w:eastAsiaTheme="minorEastAsia"/>
                <w:color w:val="auto"/>
                <w:w w:val="99"/>
                <w:kern w:val="24"/>
                <w:sz w:val="21"/>
                <w:szCs w:val="21"/>
                <w:highlight w:val="none"/>
              </w:rPr>
              <w:t>√</w:t>
            </w:r>
          </w:p>
        </w:tc>
        <w:tc>
          <w:tcPr>
            <w:tcW w:w="685" w:type="pct"/>
            <w:vAlign w:val="center"/>
          </w:tcPr>
          <w:p w14:paraId="1F664380">
            <w:pPr>
              <w:adjustRightInd w:val="0"/>
              <w:snapToGrid w:val="0"/>
              <w:spacing w:line="360" w:lineRule="exact"/>
              <w:jc w:val="center"/>
              <w:rPr>
                <w:rFonts w:ascii="Times New Roman" w:hAnsi="Times New Roman" w:cs="Times New Roman" w:eastAsiaTheme="minorEastAsia"/>
                <w:color w:val="auto"/>
                <w:w w:val="99"/>
                <w:kern w:val="24"/>
                <w:sz w:val="22"/>
                <w:szCs w:val="21"/>
                <w:highlight w:val="none"/>
              </w:rPr>
            </w:pPr>
            <w:r>
              <w:rPr>
                <w:rFonts w:ascii="Times New Roman" w:hAnsi="Times New Roman" w:cs="Times New Roman" w:eastAsiaTheme="minorEastAsia"/>
                <w:color w:val="auto"/>
                <w:w w:val="99"/>
                <w:kern w:val="24"/>
                <w:sz w:val="22"/>
                <w:szCs w:val="21"/>
                <w:highlight w:val="none"/>
              </w:rPr>
              <w:t>/</w:t>
            </w:r>
          </w:p>
        </w:tc>
      </w:tr>
      <w:tr w14:paraId="2C631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000" w:type="pct"/>
            <w:gridSpan w:val="5"/>
            <w:vAlign w:val="center"/>
          </w:tcPr>
          <w:p w14:paraId="54F7401A">
            <w:pPr>
              <w:adjustRightInd w:val="0"/>
              <w:snapToGrid w:val="0"/>
              <w:spacing w:line="360" w:lineRule="exact"/>
              <w:jc w:val="center"/>
              <w:rPr>
                <w:rFonts w:ascii="Times New Roman" w:hAnsi="Times New Roman" w:cs="Times New Roman" w:eastAsiaTheme="minorEastAsia"/>
                <w:color w:val="auto"/>
                <w:w w:val="99"/>
                <w:kern w:val="24"/>
                <w:sz w:val="22"/>
                <w:szCs w:val="21"/>
                <w:highlight w:val="none"/>
              </w:rPr>
            </w:pPr>
            <w:r>
              <w:rPr>
                <w:rFonts w:ascii="Times New Roman" w:hAnsi="Times New Roman" w:cs="Times New Roman" w:eastAsiaTheme="minorEastAsia"/>
                <w:color w:val="auto"/>
                <w:w w:val="99"/>
                <w:kern w:val="24"/>
                <w:sz w:val="21"/>
                <w:szCs w:val="21"/>
                <w:highlight w:val="none"/>
              </w:rPr>
              <w:t>注：在可能产生的土壤影响类型处打“√”，列表未涵盖的可自行设计。</w:t>
            </w:r>
          </w:p>
        </w:tc>
      </w:tr>
    </w:tbl>
    <w:p w14:paraId="70BC9917">
      <w:pPr>
        <w:widowControl w:val="0"/>
        <w:spacing w:line="440" w:lineRule="exact"/>
        <w:ind w:firstLine="474" w:firstLineChars="200"/>
        <w:jc w:val="both"/>
        <w:rPr>
          <w:rFonts w:ascii="Times New Roman" w:hAnsi="Times New Roman" w:cs="Times New Roman"/>
          <w:color w:val="auto"/>
          <w:w w:val="99"/>
          <w:highlight w:val="none"/>
          <w:lang w:val="zh-CN" w:bidi="zh-CN"/>
        </w:rPr>
      </w:pPr>
      <w:r>
        <w:rPr>
          <w:rFonts w:ascii="Times New Roman" w:hAnsi="Times New Roman" w:cs="Times New Roman"/>
          <w:color w:val="auto"/>
          <w:w w:val="99"/>
          <w:highlight w:val="none"/>
          <w:lang w:bidi="zh-CN"/>
        </w:rPr>
        <w:t>根据上表可知，本项目属于污染型影响建设项目，污染型影响型土壤环境影响源及影响因子识别见</w:t>
      </w:r>
      <w:r>
        <w:rPr>
          <w:rFonts w:ascii="Times New Roman" w:hAnsi="Times New Roman" w:cs="Times New Roman"/>
          <w:color w:val="auto"/>
          <w:w w:val="99"/>
          <w:highlight w:val="none"/>
          <w:lang w:val="zh-CN" w:bidi="zh-CN"/>
        </w:rPr>
        <w:t>表</w:t>
      </w:r>
      <w:r>
        <w:rPr>
          <w:rFonts w:ascii="Times New Roman" w:hAnsi="Times New Roman" w:cs="Times New Roman"/>
          <w:color w:val="auto"/>
          <w:w w:val="99"/>
          <w:highlight w:val="none"/>
          <w:lang w:bidi="zh-CN"/>
        </w:rPr>
        <w:t>5.7-2</w:t>
      </w:r>
      <w:r>
        <w:rPr>
          <w:rFonts w:ascii="Times New Roman" w:hAnsi="Times New Roman" w:cs="Times New Roman"/>
          <w:color w:val="auto"/>
          <w:w w:val="99"/>
          <w:highlight w:val="none"/>
          <w:lang w:val="zh-CN" w:bidi="zh-CN"/>
        </w:rPr>
        <w:t>。</w:t>
      </w:r>
    </w:p>
    <w:p w14:paraId="0E49EEE9">
      <w:pPr>
        <w:widowControl w:val="0"/>
        <w:spacing w:line="440" w:lineRule="exact"/>
        <w:ind w:firstLine="476" w:firstLineChars="200"/>
        <w:jc w:val="both"/>
        <w:rPr>
          <w:rFonts w:ascii="Times New Roman" w:hAnsi="Times New Roman" w:cs="Times New Roman" w:eastAsiaTheme="minorEastAsia"/>
          <w:b/>
          <w:color w:val="auto"/>
          <w:w w:val="99"/>
          <w:kern w:val="21"/>
          <w:highlight w:val="none"/>
          <w:lang w:val="zh-CN" w:bidi="zh-CN"/>
        </w:rPr>
      </w:pPr>
      <w:r>
        <w:rPr>
          <w:rFonts w:ascii="Times New Roman" w:hAnsi="Times New Roman" w:cs="Times New Roman" w:eastAsiaTheme="minorEastAsia"/>
          <w:b/>
          <w:color w:val="auto"/>
          <w:w w:val="99"/>
          <w:kern w:val="21"/>
          <w:highlight w:val="none"/>
          <w:lang w:val="zh-CN" w:bidi="zh-CN"/>
        </w:rPr>
        <w:t>表</w:t>
      </w:r>
      <w:r>
        <w:rPr>
          <w:rFonts w:ascii="Times New Roman" w:hAnsi="Times New Roman" w:cs="Times New Roman" w:eastAsiaTheme="minorEastAsia"/>
          <w:b/>
          <w:color w:val="auto"/>
          <w:w w:val="99"/>
          <w:kern w:val="21"/>
          <w:highlight w:val="none"/>
          <w:lang w:bidi="zh-CN"/>
        </w:rPr>
        <w:t xml:space="preserve">5.7-2    </w:t>
      </w:r>
      <w:r>
        <w:rPr>
          <w:rFonts w:ascii="Times New Roman" w:hAnsi="Times New Roman" w:cs="Times New Roman" w:eastAsiaTheme="minorEastAsia"/>
          <w:b/>
          <w:color w:val="auto"/>
          <w:w w:val="99"/>
          <w:kern w:val="21"/>
          <w:highlight w:val="none"/>
          <w:lang w:val="zh-CN" w:bidi="zh-CN"/>
        </w:rPr>
        <w:t>污染影响型本项目土壤环境影响源及影响因子识别表</w:t>
      </w:r>
    </w:p>
    <w:tbl>
      <w:tblPr>
        <w:tblStyle w:val="81"/>
        <w:tblW w:w="502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56"/>
        <w:gridCol w:w="1950"/>
        <w:gridCol w:w="1713"/>
        <w:gridCol w:w="2052"/>
        <w:gridCol w:w="1665"/>
        <w:gridCol w:w="881"/>
      </w:tblGrid>
      <w:tr w14:paraId="129AF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69" w:type="pct"/>
            <w:vAlign w:val="center"/>
          </w:tcPr>
          <w:p w14:paraId="455F1552">
            <w:pPr>
              <w:widowControl w:val="0"/>
              <w:spacing w:line="320" w:lineRule="exact"/>
              <w:jc w:val="center"/>
              <w:rPr>
                <w:rFonts w:ascii="Times New Roman" w:hAnsi="Times New Roman" w:cs="Times New Roman" w:eastAsiaTheme="minorEastAsia"/>
                <w:color w:val="auto"/>
                <w:w w:val="99"/>
                <w:sz w:val="21"/>
                <w:highlight w:val="none"/>
              </w:rPr>
            </w:pPr>
            <w:r>
              <w:rPr>
                <w:rFonts w:ascii="Times New Roman" w:hAnsi="Times New Roman" w:cs="Times New Roman" w:eastAsiaTheme="minorEastAsia"/>
                <w:color w:val="auto"/>
                <w:w w:val="99"/>
                <w:sz w:val="21"/>
                <w:highlight w:val="none"/>
              </w:rPr>
              <w:t>污染源</w:t>
            </w:r>
          </w:p>
        </w:tc>
        <w:tc>
          <w:tcPr>
            <w:tcW w:w="1069" w:type="pct"/>
            <w:vAlign w:val="center"/>
          </w:tcPr>
          <w:p w14:paraId="6BC1B8DD">
            <w:pPr>
              <w:widowControl w:val="0"/>
              <w:spacing w:line="320" w:lineRule="exact"/>
              <w:jc w:val="center"/>
              <w:rPr>
                <w:rFonts w:ascii="Times New Roman" w:hAnsi="Times New Roman" w:cs="Times New Roman" w:eastAsiaTheme="minorEastAsia"/>
                <w:color w:val="auto"/>
                <w:w w:val="99"/>
                <w:sz w:val="21"/>
                <w:highlight w:val="none"/>
              </w:rPr>
            </w:pPr>
            <w:r>
              <w:rPr>
                <w:rFonts w:ascii="Times New Roman" w:hAnsi="Times New Roman" w:cs="Times New Roman" w:eastAsiaTheme="minorEastAsia"/>
                <w:color w:val="auto"/>
                <w:w w:val="99"/>
                <w:sz w:val="21"/>
                <w:highlight w:val="none"/>
              </w:rPr>
              <w:t>工艺流程/节点</w:t>
            </w:r>
          </w:p>
        </w:tc>
        <w:tc>
          <w:tcPr>
            <w:tcW w:w="939" w:type="pct"/>
            <w:vAlign w:val="center"/>
          </w:tcPr>
          <w:p w14:paraId="01DDDA78">
            <w:pPr>
              <w:widowControl w:val="0"/>
              <w:spacing w:line="320" w:lineRule="exact"/>
              <w:jc w:val="center"/>
              <w:rPr>
                <w:rFonts w:ascii="Times New Roman" w:hAnsi="Times New Roman" w:cs="Times New Roman" w:eastAsiaTheme="minorEastAsia"/>
                <w:color w:val="auto"/>
                <w:w w:val="99"/>
                <w:sz w:val="21"/>
                <w:highlight w:val="none"/>
              </w:rPr>
            </w:pPr>
            <w:r>
              <w:rPr>
                <w:rFonts w:ascii="Times New Roman" w:hAnsi="Times New Roman" w:cs="Times New Roman" w:eastAsiaTheme="minorEastAsia"/>
                <w:color w:val="auto"/>
                <w:w w:val="99"/>
                <w:sz w:val="21"/>
                <w:highlight w:val="none"/>
              </w:rPr>
              <w:t>污染途径</w:t>
            </w:r>
          </w:p>
        </w:tc>
        <w:tc>
          <w:tcPr>
            <w:tcW w:w="1125" w:type="pct"/>
            <w:vAlign w:val="center"/>
          </w:tcPr>
          <w:p w14:paraId="3712DB87">
            <w:pPr>
              <w:widowControl w:val="0"/>
              <w:spacing w:line="320" w:lineRule="exact"/>
              <w:jc w:val="center"/>
              <w:rPr>
                <w:rFonts w:ascii="Times New Roman" w:hAnsi="Times New Roman" w:cs="Times New Roman" w:eastAsiaTheme="minorEastAsia"/>
                <w:color w:val="auto"/>
                <w:w w:val="99"/>
                <w:sz w:val="21"/>
                <w:highlight w:val="none"/>
              </w:rPr>
            </w:pPr>
            <w:r>
              <w:rPr>
                <w:rFonts w:ascii="Times New Roman" w:hAnsi="Times New Roman" w:cs="Times New Roman" w:eastAsiaTheme="minorEastAsia"/>
                <w:color w:val="auto"/>
                <w:w w:val="99"/>
                <w:sz w:val="21"/>
                <w:highlight w:val="none"/>
              </w:rPr>
              <w:t>全部污染物指标</w:t>
            </w:r>
          </w:p>
        </w:tc>
        <w:tc>
          <w:tcPr>
            <w:tcW w:w="913" w:type="pct"/>
            <w:vAlign w:val="center"/>
          </w:tcPr>
          <w:p w14:paraId="697C8AC8">
            <w:pPr>
              <w:widowControl w:val="0"/>
              <w:spacing w:line="320" w:lineRule="exact"/>
              <w:jc w:val="center"/>
              <w:rPr>
                <w:rFonts w:ascii="Times New Roman" w:hAnsi="Times New Roman" w:cs="Times New Roman" w:eastAsiaTheme="minorEastAsia"/>
                <w:color w:val="auto"/>
                <w:w w:val="99"/>
                <w:sz w:val="21"/>
                <w:highlight w:val="none"/>
              </w:rPr>
            </w:pPr>
            <w:r>
              <w:rPr>
                <w:rFonts w:ascii="Times New Roman" w:hAnsi="Times New Roman" w:cs="Times New Roman" w:eastAsiaTheme="minorEastAsia"/>
                <w:color w:val="auto"/>
                <w:w w:val="99"/>
                <w:sz w:val="21"/>
                <w:highlight w:val="none"/>
              </w:rPr>
              <w:t>特征因子</w:t>
            </w:r>
          </w:p>
        </w:tc>
        <w:tc>
          <w:tcPr>
            <w:tcW w:w="483" w:type="pct"/>
            <w:vAlign w:val="center"/>
          </w:tcPr>
          <w:p w14:paraId="69E50919">
            <w:pPr>
              <w:widowControl w:val="0"/>
              <w:spacing w:line="320" w:lineRule="exact"/>
              <w:jc w:val="center"/>
              <w:rPr>
                <w:rFonts w:ascii="Times New Roman" w:hAnsi="Times New Roman" w:cs="Times New Roman" w:eastAsiaTheme="minorEastAsia"/>
                <w:color w:val="auto"/>
                <w:w w:val="99"/>
                <w:sz w:val="21"/>
                <w:highlight w:val="none"/>
              </w:rPr>
            </w:pPr>
            <w:r>
              <w:rPr>
                <w:rFonts w:ascii="Times New Roman" w:hAnsi="Times New Roman" w:cs="Times New Roman" w:eastAsiaTheme="minorEastAsia"/>
                <w:color w:val="auto"/>
                <w:w w:val="99"/>
                <w:sz w:val="21"/>
                <w:highlight w:val="none"/>
              </w:rPr>
              <w:t>备注</w:t>
            </w:r>
          </w:p>
        </w:tc>
      </w:tr>
      <w:tr w14:paraId="42458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69" w:type="pct"/>
            <w:vAlign w:val="center"/>
          </w:tcPr>
          <w:p w14:paraId="5E7F0785">
            <w:pPr>
              <w:widowControl w:val="0"/>
              <w:spacing w:line="320" w:lineRule="exact"/>
              <w:jc w:val="center"/>
              <w:rPr>
                <w:rFonts w:ascii="Times New Roman" w:hAnsi="Times New Roman" w:cs="Times New Roman" w:eastAsiaTheme="minorEastAsia"/>
                <w:color w:val="auto"/>
                <w:w w:val="99"/>
                <w:sz w:val="21"/>
                <w:highlight w:val="none"/>
              </w:rPr>
            </w:pPr>
            <w:r>
              <w:rPr>
                <w:rFonts w:ascii="Times New Roman" w:hAnsi="Times New Roman" w:cs="Times New Roman" w:eastAsiaTheme="minorEastAsia"/>
                <w:color w:val="auto"/>
                <w:w w:val="99"/>
                <w:sz w:val="21"/>
                <w:highlight w:val="none"/>
              </w:rPr>
              <w:t>管线</w:t>
            </w:r>
          </w:p>
        </w:tc>
        <w:tc>
          <w:tcPr>
            <w:tcW w:w="1069" w:type="pct"/>
            <w:vAlign w:val="center"/>
          </w:tcPr>
          <w:p w14:paraId="4A5061D7">
            <w:pPr>
              <w:widowControl w:val="0"/>
              <w:spacing w:line="320" w:lineRule="exact"/>
              <w:jc w:val="center"/>
              <w:rPr>
                <w:rFonts w:ascii="Times New Roman" w:hAnsi="Times New Roman" w:cs="Times New Roman" w:eastAsiaTheme="minorEastAsia"/>
                <w:color w:val="auto"/>
                <w:w w:val="99"/>
                <w:sz w:val="21"/>
                <w:highlight w:val="none"/>
              </w:rPr>
            </w:pPr>
            <w:r>
              <w:rPr>
                <w:rFonts w:ascii="Times New Roman" w:hAnsi="Times New Roman" w:cs="Times New Roman" w:eastAsiaTheme="minorEastAsia"/>
                <w:color w:val="auto"/>
                <w:w w:val="99"/>
                <w:sz w:val="21"/>
                <w:highlight w:val="none"/>
              </w:rPr>
              <w:t>管道泄漏</w:t>
            </w:r>
          </w:p>
        </w:tc>
        <w:tc>
          <w:tcPr>
            <w:tcW w:w="939" w:type="pct"/>
            <w:vAlign w:val="center"/>
          </w:tcPr>
          <w:p w14:paraId="08C65DDC">
            <w:pPr>
              <w:widowControl w:val="0"/>
              <w:spacing w:line="320" w:lineRule="exact"/>
              <w:jc w:val="center"/>
              <w:rPr>
                <w:rFonts w:ascii="Times New Roman" w:hAnsi="Times New Roman" w:cs="Times New Roman" w:eastAsiaTheme="minorEastAsia"/>
                <w:color w:val="auto"/>
                <w:w w:val="99"/>
                <w:sz w:val="21"/>
                <w:highlight w:val="none"/>
              </w:rPr>
            </w:pPr>
            <w:r>
              <w:rPr>
                <w:rFonts w:ascii="Times New Roman" w:hAnsi="Times New Roman" w:cs="Times New Roman" w:eastAsiaTheme="minorEastAsia"/>
                <w:color w:val="auto"/>
                <w:w w:val="99"/>
                <w:sz w:val="21"/>
                <w:highlight w:val="none"/>
              </w:rPr>
              <w:t>垂直入渗</w:t>
            </w:r>
          </w:p>
        </w:tc>
        <w:tc>
          <w:tcPr>
            <w:tcW w:w="1125" w:type="pct"/>
            <w:vAlign w:val="center"/>
          </w:tcPr>
          <w:p w14:paraId="3D0B71DA">
            <w:pPr>
              <w:widowControl w:val="0"/>
              <w:spacing w:line="320" w:lineRule="exact"/>
              <w:jc w:val="center"/>
              <w:rPr>
                <w:rFonts w:ascii="Times New Roman" w:hAnsi="Times New Roman" w:cs="Times New Roman" w:eastAsiaTheme="minorEastAsia"/>
                <w:color w:val="auto"/>
                <w:w w:val="99"/>
                <w:sz w:val="21"/>
                <w:highlight w:val="none"/>
              </w:rPr>
            </w:pPr>
            <w:r>
              <w:rPr>
                <w:rFonts w:ascii="Times New Roman" w:hAnsi="Times New Roman" w:cs="Times New Roman" w:eastAsiaTheme="minorEastAsia"/>
                <w:color w:val="auto"/>
                <w:w w:val="99"/>
                <w:sz w:val="21"/>
                <w:highlight w:val="none"/>
              </w:rPr>
              <w:t>石油烃</w:t>
            </w:r>
          </w:p>
        </w:tc>
        <w:tc>
          <w:tcPr>
            <w:tcW w:w="913" w:type="pct"/>
            <w:vAlign w:val="center"/>
          </w:tcPr>
          <w:p w14:paraId="7B1B831F">
            <w:pPr>
              <w:widowControl w:val="0"/>
              <w:spacing w:line="320" w:lineRule="exact"/>
              <w:jc w:val="center"/>
              <w:rPr>
                <w:rFonts w:ascii="Times New Roman" w:hAnsi="Times New Roman" w:cs="Times New Roman" w:eastAsiaTheme="minorEastAsia"/>
                <w:color w:val="auto"/>
                <w:w w:val="99"/>
                <w:sz w:val="21"/>
                <w:highlight w:val="none"/>
              </w:rPr>
            </w:pPr>
            <w:r>
              <w:rPr>
                <w:rFonts w:ascii="Times New Roman" w:hAnsi="Times New Roman" w:cs="Times New Roman" w:eastAsiaTheme="minorEastAsia"/>
                <w:color w:val="auto"/>
                <w:w w:val="99"/>
                <w:sz w:val="21"/>
                <w:highlight w:val="none"/>
              </w:rPr>
              <w:t>石油烃</w:t>
            </w:r>
          </w:p>
        </w:tc>
        <w:tc>
          <w:tcPr>
            <w:tcW w:w="483" w:type="pct"/>
            <w:vAlign w:val="center"/>
          </w:tcPr>
          <w:p w14:paraId="69822EAD">
            <w:pPr>
              <w:widowControl w:val="0"/>
              <w:spacing w:line="320" w:lineRule="exact"/>
              <w:jc w:val="center"/>
              <w:rPr>
                <w:rFonts w:ascii="Times New Roman" w:hAnsi="Times New Roman" w:cs="Times New Roman" w:eastAsiaTheme="minorEastAsia"/>
                <w:color w:val="auto"/>
                <w:w w:val="99"/>
                <w:sz w:val="21"/>
                <w:highlight w:val="none"/>
              </w:rPr>
            </w:pPr>
            <w:r>
              <w:rPr>
                <w:rFonts w:ascii="Times New Roman" w:hAnsi="Times New Roman" w:cs="Times New Roman" w:eastAsiaTheme="minorEastAsia"/>
                <w:color w:val="auto"/>
                <w:w w:val="99"/>
                <w:sz w:val="21"/>
                <w:highlight w:val="none"/>
              </w:rPr>
              <w:t>事故</w:t>
            </w:r>
          </w:p>
        </w:tc>
      </w:tr>
    </w:tbl>
    <w:p w14:paraId="00E9A54D">
      <w:pPr>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5.7.2.3土壤环境影响预测与评价</w:t>
      </w:r>
    </w:p>
    <w:p w14:paraId="1E772682">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（1）预测评价范围</w:t>
      </w:r>
    </w:p>
    <w:p w14:paraId="5C0D1128">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拟建井场边界外延至200m及管线中心线两侧各200m范围，与评价范围一致。</w:t>
      </w:r>
    </w:p>
    <w:p w14:paraId="7C581F41">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（2）预测评价时段</w:t>
      </w:r>
    </w:p>
    <w:p w14:paraId="5BB4028A">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评价时段为运营期。</w:t>
      </w:r>
    </w:p>
    <w:p w14:paraId="23D240C6">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（3）情景设置</w:t>
      </w:r>
    </w:p>
    <w:p w14:paraId="540BC132">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按项目正常状态情形为预测情景。</w:t>
      </w:r>
    </w:p>
    <w:p w14:paraId="61FF9020">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（4）预测与评价因子</w:t>
      </w:r>
    </w:p>
    <w:p w14:paraId="24490A39">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评价因子为石油烃（C</w:t>
      </w:r>
      <w:r>
        <w:rPr>
          <w:color w:val="auto"/>
          <w:w w:val="99"/>
          <w:sz w:val="24"/>
          <w:highlight w:val="none"/>
          <w:vertAlign w:val="subscript"/>
          <w:lang w:bidi="zh-CN"/>
        </w:rPr>
        <w:t>10</w:t>
      </w:r>
      <w:r>
        <w:rPr>
          <w:color w:val="auto"/>
          <w:w w:val="99"/>
          <w:sz w:val="24"/>
          <w:highlight w:val="none"/>
          <w:lang w:bidi="zh-CN"/>
        </w:rPr>
        <w:t xml:space="preserve"> -C</w:t>
      </w:r>
      <w:r>
        <w:rPr>
          <w:color w:val="auto"/>
          <w:w w:val="99"/>
          <w:sz w:val="24"/>
          <w:highlight w:val="none"/>
          <w:vertAlign w:val="subscript"/>
          <w:lang w:bidi="zh-CN"/>
        </w:rPr>
        <w:t>40</w:t>
      </w:r>
      <w:r>
        <w:rPr>
          <w:color w:val="auto"/>
          <w:w w:val="99"/>
          <w:sz w:val="24"/>
          <w:highlight w:val="none"/>
          <w:lang w:bidi="zh-CN"/>
        </w:rPr>
        <w:t>）。</w:t>
      </w:r>
    </w:p>
    <w:p w14:paraId="2119E415">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（5）预测评价标准</w:t>
      </w:r>
    </w:p>
    <w:p w14:paraId="794FB605">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《土壤环境质量 建设用地土壤污染风险管控标准（试行）》（GB36600-2018）中第二类用地筛选值。</w:t>
      </w:r>
    </w:p>
    <w:p w14:paraId="0206C718">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（6）预测评价方法</w:t>
      </w:r>
    </w:p>
    <w:p w14:paraId="59109F23">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根据《环境影响评价技术导则 土壤环境（试行）》（HJ964-2018），本工程采用类比法对土壤环境影响进行评价。选取</w:t>
      </w:r>
      <w:r>
        <w:rPr>
          <w:color w:val="auto"/>
          <w:w w:val="99"/>
          <w:sz w:val="24"/>
          <w:highlight w:val="none"/>
          <w:lang w:eastAsia="zh-CN" w:bidi="zh-CN"/>
        </w:rPr>
        <w:t>2017年徐深气田徐深27井区产能建设工程</w:t>
      </w:r>
      <w:r>
        <w:rPr>
          <w:color w:val="auto"/>
          <w:w w:val="99"/>
          <w:sz w:val="24"/>
          <w:highlight w:val="none"/>
          <w:lang w:bidi="zh-CN"/>
        </w:rPr>
        <w:t>竣工环境保护验收调查阶段监测数据达标情况，判定本工程拟建气井等对区域内土壤环境的影响。</w:t>
      </w:r>
    </w:p>
    <w:p w14:paraId="6DB5DD21">
      <w:pPr>
        <w:pStyle w:val="32"/>
        <w:spacing w:line="440" w:lineRule="exact"/>
        <w:ind w:firstLine="238" w:firstLineChars="100"/>
        <w:rPr>
          <w:rFonts w:ascii="Times New Roman" w:hAnsi="Times New Roman" w:eastAsiaTheme="minorEastAsia"/>
          <w:b/>
          <w:color w:val="auto"/>
          <w:w w:val="99"/>
          <w:kern w:val="0"/>
          <w:szCs w:val="24"/>
          <w:highlight w:val="none"/>
        </w:rPr>
      </w:pPr>
      <w:r>
        <w:rPr>
          <w:rFonts w:ascii="Times New Roman" w:hAnsi="Times New Roman" w:eastAsiaTheme="minorEastAsia"/>
          <w:b/>
          <w:color w:val="auto"/>
          <w:w w:val="99"/>
          <w:kern w:val="0"/>
          <w:szCs w:val="24"/>
          <w:highlight w:val="none"/>
        </w:rPr>
        <w:t>表 5.</w:t>
      </w:r>
      <w:r>
        <w:rPr>
          <w:rFonts w:hint="eastAsia" w:ascii="Times New Roman" w:hAnsi="Times New Roman" w:eastAsiaTheme="minorEastAsia"/>
          <w:b/>
          <w:color w:val="auto"/>
          <w:w w:val="99"/>
          <w:kern w:val="0"/>
          <w:szCs w:val="24"/>
          <w:highlight w:val="none"/>
        </w:rPr>
        <w:t>7</w:t>
      </w:r>
      <w:r>
        <w:rPr>
          <w:rFonts w:ascii="Times New Roman" w:hAnsi="Times New Roman" w:eastAsiaTheme="minorEastAsia"/>
          <w:b/>
          <w:color w:val="auto"/>
          <w:w w:val="99"/>
          <w:kern w:val="0"/>
          <w:szCs w:val="24"/>
          <w:highlight w:val="none"/>
        </w:rPr>
        <w:t>-</w:t>
      </w:r>
      <w:r>
        <w:rPr>
          <w:rFonts w:hint="eastAsia" w:ascii="Times New Roman" w:hAnsi="Times New Roman" w:eastAsiaTheme="minorEastAsia"/>
          <w:b/>
          <w:color w:val="auto"/>
          <w:w w:val="99"/>
          <w:kern w:val="0"/>
          <w:szCs w:val="24"/>
          <w:highlight w:val="none"/>
        </w:rPr>
        <w:t>3</w:t>
      </w:r>
      <w:r>
        <w:rPr>
          <w:rFonts w:ascii="Times New Roman" w:hAnsi="Times New Roman" w:eastAsiaTheme="minorEastAsia"/>
          <w:b/>
          <w:color w:val="auto"/>
          <w:w w:val="99"/>
          <w:kern w:val="0"/>
          <w:szCs w:val="24"/>
          <w:highlight w:val="none"/>
        </w:rPr>
        <w:t xml:space="preserve">  类比项目基本情况一览表</w:t>
      </w:r>
    </w:p>
    <w:p w14:paraId="74F11C8B">
      <w:pPr>
        <w:spacing w:line="97" w:lineRule="exact"/>
        <w:rPr>
          <w:rFonts w:hint="eastAsia"/>
          <w:color w:val="auto"/>
          <w:highlight w:val="none"/>
        </w:rPr>
      </w:pPr>
    </w:p>
    <w:tbl>
      <w:tblPr>
        <w:tblStyle w:val="1662"/>
        <w:tblW w:w="502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176"/>
        <w:gridCol w:w="7956"/>
      </w:tblGrid>
      <w:tr w14:paraId="42283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44" w:type="pct"/>
            <w:vAlign w:val="center"/>
          </w:tcPr>
          <w:p w14:paraId="60E0ED84">
            <w:pPr>
              <w:pStyle w:val="2857"/>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项目名称</w:t>
            </w:r>
          </w:p>
        </w:tc>
        <w:tc>
          <w:tcPr>
            <w:tcW w:w="4355" w:type="pct"/>
            <w:vAlign w:val="center"/>
          </w:tcPr>
          <w:p w14:paraId="3004C5E2">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2017年徐深气田徐深27井区产能建设工程</w:t>
            </w:r>
          </w:p>
        </w:tc>
      </w:tr>
      <w:tr w14:paraId="5734F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44" w:type="pct"/>
            <w:vAlign w:val="center"/>
          </w:tcPr>
          <w:p w14:paraId="1C9D4D15">
            <w:pPr>
              <w:pStyle w:val="2857"/>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地理位置</w:t>
            </w:r>
          </w:p>
        </w:tc>
        <w:tc>
          <w:tcPr>
            <w:tcW w:w="4355" w:type="pct"/>
            <w:vAlign w:val="center"/>
          </w:tcPr>
          <w:p w14:paraId="59A2D793">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黑龙江省</w:t>
            </w:r>
            <w:r>
              <w:rPr>
                <w:rFonts w:hint="eastAsia" w:ascii="Times New Roman" w:hAnsi="Times New Roman" w:cs="Times New Roman"/>
                <w:color w:val="auto"/>
                <w:w w:val="99"/>
                <w:sz w:val="21"/>
                <w:szCs w:val="21"/>
                <w:highlight w:val="none"/>
                <w:lang w:eastAsia="zh-CN"/>
              </w:rPr>
              <w:t>绥化市肇东市跃进乡和</w:t>
            </w:r>
            <w:r>
              <w:rPr>
                <w:rFonts w:ascii="Times New Roman" w:hAnsi="Times New Roman" w:cs="Times New Roman"/>
                <w:color w:val="auto"/>
                <w:w w:val="99"/>
                <w:sz w:val="21"/>
                <w:szCs w:val="21"/>
                <w:highlight w:val="none"/>
                <w:lang w:eastAsia="zh-CN"/>
              </w:rPr>
              <w:t>大庆市</w:t>
            </w:r>
            <w:r>
              <w:rPr>
                <w:rFonts w:hint="eastAsia" w:ascii="Times New Roman" w:hAnsi="Times New Roman" w:cs="Times New Roman"/>
                <w:color w:val="auto"/>
                <w:w w:val="99"/>
                <w:sz w:val="21"/>
                <w:szCs w:val="21"/>
                <w:highlight w:val="none"/>
                <w:lang w:eastAsia="zh-CN"/>
              </w:rPr>
              <w:t>肇州县永胜乡及二井镇境内</w:t>
            </w:r>
          </w:p>
        </w:tc>
      </w:tr>
      <w:tr w14:paraId="0D881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44" w:type="pct"/>
            <w:tcBorders>
              <w:bottom w:val="single" w:color="000000" w:sz="4" w:space="0"/>
            </w:tcBorders>
            <w:vAlign w:val="center"/>
          </w:tcPr>
          <w:p w14:paraId="2702A518">
            <w:pPr>
              <w:pStyle w:val="2857"/>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环评批复</w:t>
            </w:r>
          </w:p>
        </w:tc>
        <w:tc>
          <w:tcPr>
            <w:tcW w:w="4355" w:type="pct"/>
            <w:tcBorders>
              <w:bottom w:val="single" w:color="000000" w:sz="4" w:space="0"/>
            </w:tcBorders>
            <w:vAlign w:val="center"/>
          </w:tcPr>
          <w:p w14:paraId="2B844CEE">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《2017年徐深气田徐深27井区产能建设工程环境影响报告书》</w:t>
            </w:r>
            <w:r>
              <w:rPr>
                <w:rFonts w:hint="eastAsia" w:ascii="Times New Roman" w:hAnsi="Times New Roman" w:cs="Times New Roman" w:eastAsiaTheme="minorEastAsia"/>
                <w:color w:val="auto"/>
                <w:w w:val="99"/>
                <w:sz w:val="21"/>
                <w:szCs w:val="21"/>
                <w:highlight w:val="none"/>
                <w:lang w:eastAsia="zh-CN"/>
              </w:rPr>
              <w:t>批复文号：</w:t>
            </w:r>
            <w:r>
              <w:rPr>
                <w:rFonts w:ascii="Times New Roman" w:hAnsi="Times New Roman" w:cs="Times New Roman" w:eastAsiaTheme="minorEastAsia"/>
                <w:color w:val="auto"/>
                <w:w w:val="99"/>
                <w:sz w:val="21"/>
                <w:szCs w:val="21"/>
                <w:highlight w:val="none"/>
                <w:lang w:eastAsia="zh-CN"/>
              </w:rPr>
              <w:t>黑环审〔2017〕51号</w:t>
            </w:r>
            <w:r>
              <w:rPr>
                <w:rFonts w:ascii="Times New Roman" w:hAnsi="Times New Roman" w:cs="Times New Roman"/>
                <w:color w:val="auto"/>
                <w:w w:val="99"/>
                <w:sz w:val="21"/>
                <w:szCs w:val="21"/>
                <w:highlight w:val="none"/>
                <w:lang w:eastAsia="zh-CN"/>
              </w:rPr>
              <w:t>182号</w:t>
            </w:r>
          </w:p>
        </w:tc>
      </w:tr>
      <w:tr w14:paraId="3B1A0E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644" w:type="pct"/>
            <w:tcBorders>
              <w:top w:val="single" w:color="000000" w:sz="4" w:space="0"/>
              <w:left w:val="single" w:color="000000" w:sz="4" w:space="0"/>
              <w:bottom w:val="single" w:color="000000" w:sz="4" w:space="0"/>
              <w:right w:val="single" w:color="000000" w:sz="4" w:space="0"/>
            </w:tcBorders>
            <w:vAlign w:val="center"/>
          </w:tcPr>
          <w:p w14:paraId="39E7602C">
            <w:pPr>
              <w:pStyle w:val="2857"/>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验收手续</w:t>
            </w:r>
          </w:p>
        </w:tc>
        <w:tc>
          <w:tcPr>
            <w:tcW w:w="4355" w:type="pct"/>
            <w:tcBorders>
              <w:top w:val="single" w:color="000000" w:sz="4" w:space="0"/>
              <w:left w:val="single" w:color="000000" w:sz="4" w:space="0"/>
              <w:bottom w:val="single" w:color="000000" w:sz="4" w:space="0"/>
              <w:right w:val="single" w:color="000000" w:sz="4" w:space="0"/>
            </w:tcBorders>
            <w:vAlign w:val="center"/>
          </w:tcPr>
          <w:p w14:paraId="7C614827">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20</w:t>
            </w:r>
            <w:r>
              <w:rPr>
                <w:rFonts w:hint="eastAsia" w:ascii="Times New Roman" w:hAnsi="Times New Roman" w:cs="Times New Roman"/>
                <w:color w:val="auto"/>
                <w:w w:val="99"/>
                <w:sz w:val="21"/>
                <w:szCs w:val="21"/>
                <w:highlight w:val="none"/>
                <w:lang w:eastAsia="zh-CN"/>
              </w:rPr>
              <w:t>17</w:t>
            </w:r>
            <w:r>
              <w:rPr>
                <w:rFonts w:ascii="Times New Roman" w:hAnsi="Times New Roman" w:cs="Times New Roman"/>
                <w:color w:val="auto"/>
                <w:w w:val="99"/>
                <w:sz w:val="21"/>
                <w:szCs w:val="21"/>
                <w:highlight w:val="none"/>
                <w:lang w:eastAsia="zh-CN"/>
              </w:rPr>
              <w:t>年</w:t>
            </w:r>
            <w:r>
              <w:rPr>
                <w:rFonts w:hint="eastAsia" w:ascii="Times New Roman" w:hAnsi="Times New Roman" w:cs="Times New Roman"/>
                <w:color w:val="auto"/>
                <w:w w:val="99"/>
                <w:sz w:val="21"/>
                <w:szCs w:val="21"/>
                <w:highlight w:val="none"/>
                <w:lang w:eastAsia="zh-CN"/>
              </w:rPr>
              <w:t>9</w:t>
            </w:r>
            <w:r>
              <w:rPr>
                <w:rFonts w:ascii="Times New Roman" w:hAnsi="Times New Roman" w:cs="Times New Roman"/>
                <w:color w:val="auto"/>
                <w:w w:val="99"/>
                <w:sz w:val="21"/>
                <w:szCs w:val="21"/>
                <w:highlight w:val="none"/>
                <w:lang w:eastAsia="zh-CN"/>
              </w:rPr>
              <w:t>月通过企业自主验收</w:t>
            </w:r>
          </w:p>
        </w:tc>
      </w:tr>
      <w:tr w14:paraId="56CDE4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644" w:type="pct"/>
            <w:tcBorders>
              <w:top w:val="single" w:color="000000" w:sz="4" w:space="0"/>
              <w:left w:val="single" w:color="000000" w:sz="4" w:space="0"/>
              <w:bottom w:val="single" w:color="000000" w:sz="4" w:space="0"/>
              <w:right w:val="single" w:color="000000" w:sz="4" w:space="0"/>
            </w:tcBorders>
            <w:vAlign w:val="center"/>
          </w:tcPr>
          <w:p w14:paraId="719836B8">
            <w:pPr>
              <w:pStyle w:val="2857"/>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主要工程内容</w:t>
            </w:r>
          </w:p>
        </w:tc>
        <w:tc>
          <w:tcPr>
            <w:tcW w:w="4355" w:type="pct"/>
            <w:tcBorders>
              <w:top w:val="single" w:color="000000" w:sz="4" w:space="0"/>
              <w:left w:val="single" w:color="000000" w:sz="4" w:space="0"/>
              <w:bottom w:val="single" w:color="000000" w:sz="4" w:space="0"/>
              <w:right w:val="single" w:color="000000" w:sz="4" w:space="0"/>
            </w:tcBorders>
          </w:tcPr>
          <w:p w14:paraId="7778226F">
            <w:pPr>
              <w:pStyle w:val="2857"/>
              <w:widowControl w:val="0"/>
              <w:spacing w:line="360" w:lineRule="exact"/>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建设1座集气站，三口气井(其中徐深27-平1井场四周设置栅栏围挡、徐深213及徐深27配套设置井口房，3口井均配套建设井口紧急切断装置、手动节流阀等相关设施);配套采气管道6.15km、甲醇注入管道6.15km、集气外输管道10.5km、污水外输管道7.6km。永久占地20500m</w:t>
            </w:r>
            <w:r>
              <w:rPr>
                <w:rFonts w:ascii="Times New Roman" w:hAnsi="Times New Roman" w:cs="Times New Roman"/>
                <w:color w:val="auto"/>
                <w:w w:val="99"/>
                <w:sz w:val="21"/>
                <w:szCs w:val="21"/>
                <w:highlight w:val="none"/>
                <w:vertAlign w:val="superscript"/>
                <w:lang w:eastAsia="zh-CN"/>
              </w:rPr>
              <w:t>2</w:t>
            </w:r>
            <w:r>
              <w:rPr>
                <w:rFonts w:ascii="Times New Roman" w:hAnsi="Times New Roman" w:cs="Times New Roman"/>
                <w:color w:val="auto"/>
                <w:w w:val="99"/>
                <w:sz w:val="21"/>
                <w:szCs w:val="21"/>
                <w:highlight w:val="none"/>
                <w:lang w:eastAsia="zh-CN"/>
              </w:rPr>
              <w:t>，临时占地271100m</w:t>
            </w:r>
            <w:r>
              <w:rPr>
                <w:rFonts w:ascii="Times New Roman" w:hAnsi="Times New Roman" w:cs="Times New Roman"/>
                <w:color w:val="auto"/>
                <w:w w:val="99"/>
                <w:sz w:val="21"/>
                <w:szCs w:val="21"/>
                <w:highlight w:val="none"/>
                <w:vertAlign w:val="superscript"/>
                <w:lang w:eastAsia="zh-CN"/>
              </w:rPr>
              <w:t>2</w:t>
            </w:r>
            <w:r>
              <w:rPr>
                <w:rFonts w:ascii="Times New Roman" w:hAnsi="Times New Roman" w:cs="Times New Roman"/>
                <w:color w:val="auto"/>
                <w:w w:val="99"/>
                <w:sz w:val="21"/>
                <w:szCs w:val="21"/>
                <w:highlight w:val="none"/>
                <w:lang w:eastAsia="zh-CN"/>
              </w:rPr>
              <w:t>。项目依托徐深9净化厂、升一联含油污水处理站。</w:t>
            </w:r>
          </w:p>
        </w:tc>
      </w:tr>
      <w:tr w14:paraId="2E728A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644" w:type="pct"/>
            <w:tcBorders>
              <w:top w:val="single" w:color="000000" w:sz="4" w:space="0"/>
              <w:left w:val="single" w:color="000000" w:sz="4" w:space="0"/>
              <w:bottom w:val="single" w:color="000000" w:sz="4" w:space="0"/>
              <w:right w:val="single" w:color="000000" w:sz="4" w:space="0"/>
            </w:tcBorders>
            <w:vAlign w:val="center"/>
          </w:tcPr>
          <w:p w14:paraId="33BA42B1">
            <w:pPr>
              <w:pStyle w:val="2857"/>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土壤影响</w:t>
            </w:r>
          </w:p>
        </w:tc>
        <w:tc>
          <w:tcPr>
            <w:tcW w:w="4355" w:type="pct"/>
            <w:tcBorders>
              <w:top w:val="single" w:color="000000" w:sz="4" w:space="0"/>
              <w:left w:val="single" w:color="000000" w:sz="4" w:space="0"/>
              <w:bottom w:val="single" w:color="000000" w:sz="4" w:space="0"/>
              <w:right w:val="single" w:color="000000" w:sz="4" w:space="0"/>
            </w:tcBorders>
          </w:tcPr>
          <w:p w14:paraId="0B9D592B">
            <w:pPr>
              <w:pStyle w:val="2857"/>
              <w:widowControl/>
              <w:spacing w:line="360" w:lineRule="exact"/>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施工临时占地大型、重型机械设备的碾压，施工人员的践踏、材料堆放等都会破坏地表植被，使土壤紧实度增高，对土壤产生影响；运营期气井井口除砂器泄漏以及徐深</w:t>
            </w:r>
            <w:r>
              <w:rPr>
                <w:rFonts w:hint="eastAsia" w:ascii="Times New Roman" w:hAnsi="Times New Roman" w:cs="Times New Roman"/>
                <w:color w:val="auto"/>
                <w:w w:val="99"/>
                <w:sz w:val="21"/>
                <w:szCs w:val="21"/>
                <w:highlight w:val="none"/>
                <w:lang w:eastAsia="zh-CN"/>
              </w:rPr>
              <w:t>27</w:t>
            </w:r>
            <w:r>
              <w:rPr>
                <w:rFonts w:ascii="Times New Roman" w:hAnsi="Times New Roman" w:cs="Times New Roman"/>
                <w:color w:val="auto"/>
                <w:w w:val="99"/>
                <w:sz w:val="21"/>
                <w:szCs w:val="21"/>
                <w:highlight w:val="none"/>
                <w:lang w:eastAsia="zh-CN"/>
              </w:rPr>
              <w:t>集气站污水储罐在事故状态下泄漏的气田采出水等可能对土壤环境造成破坏。</w:t>
            </w:r>
          </w:p>
        </w:tc>
      </w:tr>
      <w:tr w14:paraId="678452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644" w:type="pct"/>
            <w:tcBorders>
              <w:top w:val="single" w:color="000000" w:sz="4" w:space="0"/>
              <w:left w:val="single" w:color="000000" w:sz="4" w:space="0"/>
              <w:bottom w:val="single" w:color="000000" w:sz="4" w:space="0"/>
              <w:right w:val="single" w:color="000000" w:sz="4" w:space="0"/>
            </w:tcBorders>
            <w:vAlign w:val="center"/>
          </w:tcPr>
          <w:p w14:paraId="7B35868F">
            <w:pPr>
              <w:pStyle w:val="2857"/>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土壤环保</w:t>
            </w:r>
          </w:p>
          <w:p w14:paraId="4F780BAB">
            <w:pPr>
              <w:pStyle w:val="2857"/>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措施</w:t>
            </w:r>
          </w:p>
        </w:tc>
        <w:tc>
          <w:tcPr>
            <w:tcW w:w="4355" w:type="pct"/>
            <w:tcBorders>
              <w:top w:val="single" w:color="000000" w:sz="4" w:space="0"/>
              <w:left w:val="single" w:color="000000" w:sz="4" w:space="0"/>
              <w:bottom w:val="single" w:color="000000" w:sz="4" w:space="0"/>
              <w:right w:val="single" w:color="000000" w:sz="4" w:space="0"/>
            </w:tcBorders>
          </w:tcPr>
          <w:p w14:paraId="4B64725E">
            <w:pPr>
              <w:pStyle w:val="2857"/>
              <w:widowControl w:val="0"/>
              <w:spacing w:line="360" w:lineRule="exact"/>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根据项目验收调查报告，项目管道、井场等临时占地植被自然恢复情况良好，与周围植被基本无差别；采取密闭流程与气田采出水处理后回注的工艺；气田采出水送往升一联气田污水预处理站进行处理，达标后回注地下</w:t>
            </w:r>
            <w:r>
              <w:rPr>
                <w:rFonts w:hint="eastAsia" w:ascii="Times New Roman" w:hAnsi="Times New Roman" w:cs="Times New Roman"/>
                <w:color w:val="auto"/>
                <w:w w:val="99"/>
                <w:sz w:val="21"/>
                <w:szCs w:val="21"/>
                <w:highlight w:val="none"/>
                <w:lang w:eastAsia="zh-CN"/>
              </w:rPr>
              <w:t>油层</w:t>
            </w:r>
            <w:r>
              <w:rPr>
                <w:rFonts w:ascii="Times New Roman" w:hAnsi="Times New Roman" w:cs="Times New Roman"/>
                <w:color w:val="auto"/>
                <w:w w:val="99"/>
                <w:sz w:val="21"/>
                <w:szCs w:val="21"/>
                <w:highlight w:val="none"/>
                <w:lang w:eastAsia="zh-CN"/>
              </w:rPr>
              <w:t>，无外排现象；强化生产运行管理，定期检查维修管线、阀门，确保设备的使用性能良好；监测区域井场永久占地内土壤中Pb 、Hg、Cr、As 等污染物满足《土壤环境质量建设用地土壤污染风险管控标准（试行）》（GB36600-2018）筛选值中第二类用地标准，永久占地外农用地满足《土壤环境质量农用地土壤污染风险管控标准（试行）》（GB15618-  2018）筛选值标准。</w:t>
            </w:r>
          </w:p>
        </w:tc>
      </w:tr>
      <w:tr w14:paraId="3C4198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644" w:type="pct"/>
            <w:tcBorders>
              <w:top w:val="single" w:color="000000" w:sz="4" w:space="0"/>
              <w:left w:val="single" w:color="000000" w:sz="4" w:space="0"/>
              <w:bottom w:val="single" w:color="000000" w:sz="4" w:space="0"/>
              <w:right w:val="single" w:color="000000" w:sz="4" w:space="0"/>
            </w:tcBorders>
            <w:vAlign w:val="center"/>
          </w:tcPr>
          <w:p w14:paraId="5A5ABDA5">
            <w:pPr>
              <w:widowControl w:val="0"/>
              <w:spacing w:line="360" w:lineRule="exact"/>
              <w:jc w:val="center"/>
              <w:rPr>
                <w:rFonts w:ascii="Times New Roman" w:hAnsi="Times New Roman" w:cs="Times New Roman"/>
                <w:color w:val="auto"/>
                <w:w w:val="99"/>
                <w:sz w:val="21"/>
                <w:szCs w:val="21"/>
                <w:highlight w:val="none"/>
                <w:lang w:eastAsia="en-US"/>
              </w:rPr>
            </w:pPr>
          </w:p>
          <w:p w14:paraId="662A368F">
            <w:pPr>
              <w:pStyle w:val="2857"/>
              <w:widowControl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管理措施</w:t>
            </w:r>
          </w:p>
        </w:tc>
        <w:tc>
          <w:tcPr>
            <w:tcW w:w="4355" w:type="pct"/>
            <w:tcBorders>
              <w:top w:val="single" w:color="000000" w:sz="4" w:space="0"/>
              <w:left w:val="single" w:color="000000" w:sz="4" w:space="0"/>
              <w:bottom w:val="single" w:color="000000" w:sz="4" w:space="0"/>
              <w:right w:val="single" w:color="000000" w:sz="4" w:space="0"/>
            </w:tcBorders>
          </w:tcPr>
          <w:p w14:paraId="7C7C010F">
            <w:pPr>
              <w:pStyle w:val="2857"/>
              <w:widowControl w:val="0"/>
              <w:spacing w:line="360" w:lineRule="exact"/>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本工程由大庆油田有限责任公司采气分公司负责，采气分公司已经建立 HSE 管理体系。按照《石油天然气工业健康、安全与环境管理体系》（SY/T6276-2014）的要求，环境管理机构基本设置如下：在分公司设 HSE 委员会，下设 HSE 办公室，基层单位设作业区（中心、大队、所）HSE 委员会。采气分公司HSE 办公室设 10名兼职环保人员，基层单位各设置 2 名环保兼职人员，在各小队设兼职 HSE 现场监督员，逐级落实岗位责任制。</w:t>
            </w:r>
          </w:p>
        </w:tc>
      </w:tr>
    </w:tbl>
    <w:p w14:paraId="3B96AAD4">
      <w:pPr>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由上表可知，上述项目与本工程施工工艺、产污及污染途径、污染防治措施等均基本一致，且与本工程地理位置相近， 自然环境和土壤类型、周边土壤环境敏感程度均基本相同。且上述类比项目均取得相关环保手续，类比的项目与本工程地理位置相近，自然环境与土壤类型均相似，在施工结束进行了地表植被恢复，因此具有类比性。</w:t>
      </w:r>
    </w:p>
    <w:p w14:paraId="1E245219">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（7）预测结果分析</w:t>
      </w:r>
    </w:p>
    <w:p w14:paraId="726E3CB4">
      <w:pPr>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根据类比项目验收调查报告，土壤质量监测结果见表</w:t>
      </w:r>
      <w:r>
        <w:rPr>
          <w:rFonts w:hint="eastAsia" w:ascii="Times New Roman" w:hAnsi="Times New Roman" w:cs="Times New Roman"/>
          <w:color w:val="auto"/>
          <w:w w:val="99"/>
          <w:highlight w:val="none"/>
          <w:lang w:bidi="zh-CN"/>
        </w:rPr>
        <w:t>5.7-4</w:t>
      </w:r>
      <w:r>
        <w:rPr>
          <w:rFonts w:ascii="Times New Roman" w:hAnsi="Times New Roman" w:cs="Times New Roman"/>
          <w:color w:val="auto"/>
          <w:w w:val="99"/>
          <w:highlight w:val="none"/>
          <w:lang w:bidi="zh-CN"/>
        </w:rPr>
        <w:t xml:space="preserve"> ，取样层位为0-20cm处。</w:t>
      </w:r>
    </w:p>
    <w:p w14:paraId="0A1BCB5E">
      <w:pPr>
        <w:pStyle w:val="32"/>
        <w:spacing w:line="440" w:lineRule="exact"/>
        <w:ind w:firstLine="476" w:firstLineChars="200"/>
        <w:jc w:val="both"/>
        <w:rPr>
          <w:color w:val="auto"/>
          <w:highlight w:val="none"/>
        </w:rPr>
      </w:pPr>
      <w:r>
        <w:rPr>
          <w:rFonts w:ascii="Times New Roman" w:hAnsi="Times New Roman" w:eastAsiaTheme="minorEastAsia"/>
          <w:b/>
          <w:color w:val="auto"/>
          <w:w w:val="99"/>
          <w:szCs w:val="24"/>
          <w:highlight w:val="none"/>
        </w:rPr>
        <w:t>表 5.</w:t>
      </w:r>
      <w:r>
        <w:rPr>
          <w:rFonts w:hint="eastAsia" w:ascii="Times New Roman" w:hAnsi="Times New Roman" w:eastAsiaTheme="minorEastAsia"/>
          <w:b/>
          <w:color w:val="auto"/>
          <w:w w:val="99"/>
          <w:szCs w:val="24"/>
          <w:highlight w:val="none"/>
        </w:rPr>
        <w:t>7-4</w:t>
      </w:r>
      <w:r>
        <w:rPr>
          <w:rFonts w:ascii="Times New Roman" w:hAnsi="Times New Roman" w:eastAsiaTheme="minorEastAsia"/>
          <w:b/>
          <w:color w:val="auto"/>
          <w:w w:val="99"/>
          <w:szCs w:val="24"/>
          <w:highlight w:val="none"/>
        </w:rPr>
        <w:t xml:space="preserve">  类比项目土壤质量监测结果一览表 单位：mg/kg（除 pH 外）</w:t>
      </w:r>
    </w:p>
    <w:tbl>
      <w:tblPr>
        <w:tblStyle w:val="1662"/>
        <w:tblW w:w="908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452"/>
        <w:gridCol w:w="2079"/>
        <w:gridCol w:w="787"/>
        <w:gridCol w:w="684"/>
        <w:gridCol w:w="668"/>
        <w:gridCol w:w="641"/>
        <w:gridCol w:w="374"/>
        <w:gridCol w:w="637"/>
        <w:gridCol w:w="374"/>
        <w:gridCol w:w="374"/>
        <w:gridCol w:w="374"/>
        <w:gridCol w:w="637"/>
      </w:tblGrid>
      <w:tr w14:paraId="4AE18F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jc w:val="center"/>
        </w:trPr>
        <w:tc>
          <w:tcPr>
            <w:tcW w:w="1452" w:type="dxa"/>
            <w:vMerge w:val="restart"/>
            <w:vAlign w:val="center"/>
          </w:tcPr>
          <w:p w14:paraId="67557FEE">
            <w:pPr>
              <w:pStyle w:val="2857"/>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项目</w:t>
            </w:r>
          </w:p>
        </w:tc>
        <w:tc>
          <w:tcPr>
            <w:tcW w:w="2079" w:type="dxa"/>
            <w:vMerge w:val="restart"/>
            <w:vAlign w:val="center"/>
          </w:tcPr>
          <w:p w14:paraId="5619C2CC">
            <w:pPr>
              <w:pStyle w:val="2857"/>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监测点</w:t>
            </w:r>
          </w:p>
        </w:tc>
        <w:tc>
          <w:tcPr>
            <w:tcW w:w="5550" w:type="dxa"/>
            <w:gridSpan w:val="10"/>
            <w:vAlign w:val="center"/>
          </w:tcPr>
          <w:p w14:paraId="3552F72F">
            <w:pPr>
              <w:pStyle w:val="2857"/>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监测因子</w:t>
            </w:r>
          </w:p>
        </w:tc>
      </w:tr>
      <w:tr w14:paraId="690AC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jc w:val="center"/>
        </w:trPr>
        <w:tc>
          <w:tcPr>
            <w:tcW w:w="1452" w:type="dxa"/>
            <w:vMerge w:val="continue"/>
            <w:vAlign w:val="center"/>
          </w:tcPr>
          <w:p w14:paraId="4A3FA285">
            <w:pPr>
              <w:widowControl/>
              <w:spacing w:line="360" w:lineRule="exact"/>
              <w:jc w:val="center"/>
              <w:rPr>
                <w:rFonts w:ascii="Times New Roman" w:hAnsi="Times New Roman" w:cs="Times New Roman"/>
                <w:color w:val="auto"/>
                <w:w w:val="99"/>
                <w:sz w:val="21"/>
                <w:szCs w:val="21"/>
                <w:highlight w:val="none"/>
                <w:lang w:eastAsia="en-US"/>
              </w:rPr>
            </w:pPr>
          </w:p>
        </w:tc>
        <w:tc>
          <w:tcPr>
            <w:tcW w:w="2079" w:type="dxa"/>
            <w:vMerge w:val="continue"/>
            <w:vAlign w:val="center"/>
          </w:tcPr>
          <w:p w14:paraId="064A9FFD">
            <w:pPr>
              <w:widowControl/>
              <w:spacing w:line="360" w:lineRule="exact"/>
              <w:jc w:val="center"/>
              <w:rPr>
                <w:rFonts w:ascii="Times New Roman" w:hAnsi="Times New Roman" w:cs="Times New Roman"/>
                <w:color w:val="auto"/>
                <w:w w:val="99"/>
                <w:sz w:val="21"/>
                <w:szCs w:val="21"/>
                <w:highlight w:val="none"/>
                <w:lang w:eastAsia="en-US"/>
              </w:rPr>
            </w:pPr>
          </w:p>
        </w:tc>
        <w:tc>
          <w:tcPr>
            <w:tcW w:w="787" w:type="dxa"/>
            <w:vAlign w:val="center"/>
          </w:tcPr>
          <w:p w14:paraId="77E84DF3">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pH</w:t>
            </w:r>
          </w:p>
        </w:tc>
        <w:tc>
          <w:tcPr>
            <w:tcW w:w="684" w:type="dxa"/>
            <w:vAlign w:val="center"/>
          </w:tcPr>
          <w:p w14:paraId="26036774">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Cd</w:t>
            </w:r>
          </w:p>
        </w:tc>
        <w:tc>
          <w:tcPr>
            <w:tcW w:w="668" w:type="dxa"/>
            <w:vAlign w:val="center"/>
          </w:tcPr>
          <w:p w14:paraId="6BA49080">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Hg</w:t>
            </w:r>
          </w:p>
        </w:tc>
        <w:tc>
          <w:tcPr>
            <w:tcW w:w="641" w:type="dxa"/>
            <w:vAlign w:val="center"/>
          </w:tcPr>
          <w:p w14:paraId="234863A8">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As</w:t>
            </w:r>
          </w:p>
        </w:tc>
        <w:tc>
          <w:tcPr>
            <w:tcW w:w="0" w:type="auto"/>
            <w:vAlign w:val="center"/>
          </w:tcPr>
          <w:p w14:paraId="2B23DFE7">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Pb</w:t>
            </w:r>
          </w:p>
        </w:tc>
        <w:tc>
          <w:tcPr>
            <w:tcW w:w="0" w:type="auto"/>
            <w:vAlign w:val="center"/>
          </w:tcPr>
          <w:p w14:paraId="1A51596B">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总铬</w:t>
            </w:r>
          </w:p>
        </w:tc>
        <w:tc>
          <w:tcPr>
            <w:tcW w:w="0" w:type="auto"/>
            <w:vAlign w:val="center"/>
          </w:tcPr>
          <w:p w14:paraId="3DE00FB3">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Cu</w:t>
            </w:r>
          </w:p>
        </w:tc>
        <w:tc>
          <w:tcPr>
            <w:tcW w:w="0" w:type="auto"/>
            <w:vAlign w:val="center"/>
          </w:tcPr>
          <w:p w14:paraId="57C717D9">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Ni</w:t>
            </w:r>
          </w:p>
        </w:tc>
        <w:tc>
          <w:tcPr>
            <w:tcW w:w="0" w:type="auto"/>
            <w:vAlign w:val="center"/>
          </w:tcPr>
          <w:p w14:paraId="0BEAC729">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Zn</w:t>
            </w:r>
          </w:p>
        </w:tc>
        <w:tc>
          <w:tcPr>
            <w:tcW w:w="0" w:type="auto"/>
            <w:vAlign w:val="center"/>
          </w:tcPr>
          <w:p w14:paraId="48E735E1">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石油烃</w:t>
            </w:r>
          </w:p>
        </w:tc>
      </w:tr>
      <w:tr w14:paraId="329C7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jc w:val="center"/>
        </w:trPr>
        <w:tc>
          <w:tcPr>
            <w:tcW w:w="1452" w:type="dxa"/>
            <w:vMerge w:val="restart"/>
            <w:vAlign w:val="center"/>
          </w:tcPr>
          <w:p w14:paraId="5D3DA075">
            <w:pPr>
              <w:pStyle w:val="2857"/>
              <w:widowControl/>
              <w:spacing w:line="360" w:lineRule="exact"/>
              <w:jc w:val="both"/>
              <w:rPr>
                <w:rFonts w:ascii="Times New Roman" w:hAnsi="Times New Roman" w:cs="Times New Roman"/>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2017年徐深气田徐深27井区产能建设工程</w:t>
            </w:r>
          </w:p>
        </w:tc>
        <w:tc>
          <w:tcPr>
            <w:tcW w:w="2079" w:type="dxa"/>
            <w:vAlign w:val="center"/>
          </w:tcPr>
          <w:p w14:paraId="2041868B">
            <w:pPr>
              <w:pStyle w:val="2857"/>
              <w:widowControl/>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徐深2</w:t>
            </w:r>
            <w:r>
              <w:rPr>
                <w:rFonts w:ascii="Times New Roman" w:hAnsi="Times New Roman" w:cs="Times New Roman"/>
                <w:color w:val="auto"/>
                <w:w w:val="99"/>
                <w:sz w:val="21"/>
                <w:szCs w:val="21"/>
                <w:highlight w:val="none"/>
              </w:rPr>
              <w:t>7-</w:t>
            </w:r>
            <w:r>
              <w:rPr>
                <w:rFonts w:hint="eastAsia" w:ascii="Times New Roman" w:hAnsi="Times New Roman" w:cs="Times New Roman"/>
                <w:color w:val="auto"/>
                <w:w w:val="99"/>
                <w:sz w:val="21"/>
                <w:szCs w:val="21"/>
                <w:highlight w:val="none"/>
              </w:rPr>
              <w:t>平1</w:t>
            </w:r>
            <w:r>
              <w:rPr>
                <w:rFonts w:ascii="Times New Roman" w:hAnsi="Times New Roman" w:cs="Times New Roman"/>
                <w:color w:val="auto"/>
                <w:w w:val="99"/>
                <w:sz w:val="21"/>
                <w:szCs w:val="21"/>
                <w:highlight w:val="none"/>
              </w:rPr>
              <w:t>井井场内</w:t>
            </w:r>
          </w:p>
        </w:tc>
        <w:tc>
          <w:tcPr>
            <w:tcW w:w="787" w:type="dxa"/>
            <w:vAlign w:val="center"/>
          </w:tcPr>
          <w:p w14:paraId="0CD33467">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7.66</w:t>
            </w:r>
          </w:p>
        </w:tc>
        <w:tc>
          <w:tcPr>
            <w:tcW w:w="684" w:type="dxa"/>
            <w:vAlign w:val="center"/>
          </w:tcPr>
          <w:p w14:paraId="1D8E05D9">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0.103</w:t>
            </w:r>
          </w:p>
        </w:tc>
        <w:tc>
          <w:tcPr>
            <w:tcW w:w="668" w:type="dxa"/>
            <w:vAlign w:val="center"/>
          </w:tcPr>
          <w:p w14:paraId="6C8312AC">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0.066</w:t>
            </w:r>
          </w:p>
        </w:tc>
        <w:tc>
          <w:tcPr>
            <w:tcW w:w="641" w:type="dxa"/>
            <w:vAlign w:val="center"/>
          </w:tcPr>
          <w:p w14:paraId="7B703D34">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6.99</w:t>
            </w:r>
          </w:p>
        </w:tc>
        <w:tc>
          <w:tcPr>
            <w:tcW w:w="0" w:type="auto"/>
            <w:vAlign w:val="center"/>
          </w:tcPr>
          <w:p w14:paraId="1BE8E350">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19.6</w:t>
            </w:r>
          </w:p>
        </w:tc>
        <w:tc>
          <w:tcPr>
            <w:tcW w:w="0" w:type="auto"/>
            <w:vAlign w:val="center"/>
          </w:tcPr>
          <w:p w14:paraId="50652B6F">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53.4</w:t>
            </w:r>
          </w:p>
        </w:tc>
        <w:tc>
          <w:tcPr>
            <w:tcW w:w="0" w:type="auto"/>
            <w:vAlign w:val="center"/>
          </w:tcPr>
          <w:p w14:paraId="54402414">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16.9</w:t>
            </w:r>
          </w:p>
        </w:tc>
        <w:tc>
          <w:tcPr>
            <w:tcW w:w="0" w:type="auto"/>
            <w:vAlign w:val="center"/>
          </w:tcPr>
          <w:p w14:paraId="3BB4FC8A">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22.5</w:t>
            </w:r>
          </w:p>
        </w:tc>
        <w:tc>
          <w:tcPr>
            <w:tcW w:w="0" w:type="auto"/>
            <w:vAlign w:val="center"/>
          </w:tcPr>
          <w:p w14:paraId="29491BD7">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60.1</w:t>
            </w:r>
          </w:p>
        </w:tc>
        <w:tc>
          <w:tcPr>
            <w:tcW w:w="0" w:type="auto"/>
            <w:vAlign w:val="center"/>
          </w:tcPr>
          <w:p w14:paraId="74BDDB8C">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50.3</w:t>
            </w:r>
          </w:p>
        </w:tc>
      </w:tr>
      <w:tr w14:paraId="2A391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jc w:val="center"/>
        </w:trPr>
        <w:tc>
          <w:tcPr>
            <w:tcW w:w="1452" w:type="dxa"/>
            <w:vMerge w:val="continue"/>
            <w:vAlign w:val="center"/>
          </w:tcPr>
          <w:p w14:paraId="38BD0CE8">
            <w:pPr>
              <w:widowControl/>
              <w:spacing w:line="360" w:lineRule="exact"/>
              <w:jc w:val="center"/>
              <w:rPr>
                <w:rFonts w:ascii="Times New Roman" w:hAnsi="Times New Roman" w:cs="Times New Roman"/>
                <w:color w:val="auto"/>
                <w:w w:val="99"/>
                <w:sz w:val="21"/>
                <w:szCs w:val="21"/>
                <w:highlight w:val="none"/>
                <w:lang w:eastAsia="en-US"/>
              </w:rPr>
            </w:pPr>
          </w:p>
        </w:tc>
        <w:tc>
          <w:tcPr>
            <w:tcW w:w="2079" w:type="dxa"/>
            <w:vAlign w:val="center"/>
          </w:tcPr>
          <w:p w14:paraId="47A4E178">
            <w:pPr>
              <w:pStyle w:val="2857"/>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徐深27-平1</w:t>
            </w:r>
            <w:r>
              <w:rPr>
                <w:rFonts w:hint="eastAsia" w:ascii="Times New Roman" w:hAnsi="Times New Roman" w:cs="Times New Roman"/>
                <w:color w:val="auto"/>
                <w:w w:val="99"/>
                <w:sz w:val="21"/>
                <w:szCs w:val="21"/>
                <w:highlight w:val="none"/>
              </w:rPr>
              <w:t>井场</w:t>
            </w:r>
            <w:r>
              <w:rPr>
                <w:rFonts w:ascii="Times New Roman" w:hAnsi="Times New Roman" w:cs="Times New Roman"/>
                <w:color w:val="auto"/>
                <w:w w:val="99"/>
                <w:sz w:val="21"/>
                <w:szCs w:val="21"/>
                <w:highlight w:val="none"/>
              </w:rPr>
              <w:t>北30m</w:t>
            </w:r>
          </w:p>
        </w:tc>
        <w:tc>
          <w:tcPr>
            <w:tcW w:w="787" w:type="dxa"/>
            <w:vAlign w:val="center"/>
          </w:tcPr>
          <w:p w14:paraId="1B6A937C">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8.15</w:t>
            </w:r>
          </w:p>
        </w:tc>
        <w:tc>
          <w:tcPr>
            <w:tcW w:w="684" w:type="dxa"/>
            <w:vAlign w:val="center"/>
          </w:tcPr>
          <w:p w14:paraId="62A8BC2F">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0.114</w:t>
            </w:r>
          </w:p>
        </w:tc>
        <w:tc>
          <w:tcPr>
            <w:tcW w:w="668" w:type="dxa"/>
            <w:vAlign w:val="center"/>
          </w:tcPr>
          <w:p w14:paraId="7E48437E">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0.099</w:t>
            </w:r>
          </w:p>
        </w:tc>
        <w:tc>
          <w:tcPr>
            <w:tcW w:w="641" w:type="dxa"/>
            <w:vAlign w:val="center"/>
          </w:tcPr>
          <w:p w14:paraId="3552329C">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7.18</w:t>
            </w:r>
          </w:p>
        </w:tc>
        <w:tc>
          <w:tcPr>
            <w:tcW w:w="0" w:type="auto"/>
            <w:vAlign w:val="center"/>
          </w:tcPr>
          <w:p w14:paraId="2D6C4BA3">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21.7</w:t>
            </w:r>
          </w:p>
        </w:tc>
        <w:tc>
          <w:tcPr>
            <w:tcW w:w="0" w:type="auto"/>
            <w:vAlign w:val="center"/>
          </w:tcPr>
          <w:p w14:paraId="2E9E7233">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54.6</w:t>
            </w:r>
          </w:p>
        </w:tc>
        <w:tc>
          <w:tcPr>
            <w:tcW w:w="0" w:type="auto"/>
            <w:vAlign w:val="center"/>
          </w:tcPr>
          <w:p w14:paraId="0F8FDB08">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19.0</w:t>
            </w:r>
          </w:p>
        </w:tc>
        <w:tc>
          <w:tcPr>
            <w:tcW w:w="0" w:type="auto"/>
            <w:vAlign w:val="center"/>
          </w:tcPr>
          <w:p w14:paraId="1CD286D8">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23.2</w:t>
            </w:r>
          </w:p>
        </w:tc>
        <w:tc>
          <w:tcPr>
            <w:tcW w:w="0" w:type="auto"/>
            <w:vAlign w:val="center"/>
          </w:tcPr>
          <w:p w14:paraId="538BC424">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62.4</w:t>
            </w:r>
          </w:p>
        </w:tc>
        <w:tc>
          <w:tcPr>
            <w:tcW w:w="0" w:type="auto"/>
            <w:vAlign w:val="center"/>
          </w:tcPr>
          <w:p w14:paraId="33F07158">
            <w:pPr>
              <w:pStyle w:val="173"/>
              <w:rPr>
                <w:rFonts w:hint="default" w:ascii="Times New Roman" w:hAnsi="Times New Roman" w:eastAsia="宋体"/>
                <w:color w:val="auto"/>
                <w:w w:val="99"/>
                <w:highlight w:val="none"/>
                <w:lang w:eastAsia="en-US"/>
              </w:rPr>
            </w:pPr>
            <w:r>
              <w:rPr>
                <w:rFonts w:ascii="Times New Roman" w:hAnsi="Times New Roman" w:eastAsia="宋体"/>
                <w:color w:val="auto"/>
                <w:w w:val="99"/>
                <w:highlight w:val="none"/>
                <w:lang w:eastAsia="en-US"/>
              </w:rPr>
              <w:t>53.6</w:t>
            </w:r>
          </w:p>
        </w:tc>
      </w:tr>
    </w:tbl>
    <w:p w14:paraId="6B0496AE">
      <w:pPr>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根据表5.</w:t>
      </w:r>
      <w:r>
        <w:rPr>
          <w:rFonts w:hint="eastAsia" w:ascii="Times New Roman" w:hAnsi="Times New Roman" w:cs="Times New Roman"/>
          <w:color w:val="auto"/>
          <w:w w:val="99"/>
          <w:highlight w:val="none"/>
          <w:lang w:bidi="zh-CN"/>
        </w:rPr>
        <w:t>7</w:t>
      </w:r>
      <w:r>
        <w:rPr>
          <w:rFonts w:ascii="Times New Roman" w:hAnsi="Times New Roman" w:cs="Times New Roman"/>
          <w:color w:val="auto"/>
          <w:w w:val="99"/>
          <w:highlight w:val="none"/>
          <w:lang w:bidi="zh-CN"/>
        </w:rPr>
        <w:t>-</w:t>
      </w:r>
      <w:r>
        <w:rPr>
          <w:rFonts w:hint="eastAsia" w:ascii="Times New Roman" w:hAnsi="Times New Roman" w:cs="Times New Roman"/>
          <w:color w:val="auto"/>
          <w:w w:val="99"/>
          <w:highlight w:val="none"/>
          <w:lang w:val="en-US" w:bidi="zh-CN"/>
        </w:rPr>
        <w:t>4</w:t>
      </w:r>
      <w:r>
        <w:rPr>
          <w:rFonts w:ascii="Times New Roman" w:hAnsi="Times New Roman" w:cs="Times New Roman"/>
          <w:color w:val="auto"/>
          <w:w w:val="99"/>
          <w:highlight w:val="none"/>
          <w:lang w:bidi="zh-CN"/>
        </w:rPr>
        <w:t>可知，占地范围内的建设用地与占地范围外的农用地土壤pH值相差不大，石油烃监测浓度值较小，同时项目占地范围内土壤中的石油烃、Pb、Hg、Cr、As等污染物均满足《土壤环境质量 建设用地土壤污染风险管控标准（试行）》（GB36600-2018）风险筛选值中第二类用地限值要求， 占地范围外的农用地土壤中 Pb 、Hg、Cr 、As 等污染物均满足《土壤环境质量 农用地土壤污染风险管控标准（试行）》（GB15618-2018）筛选值标准，说明建设单位在项目实施之后较好地落实了污染防治措施，气田开发对土壤环境影响较小。</w:t>
      </w:r>
    </w:p>
    <w:p w14:paraId="2A157DEF">
      <w:pPr>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类比得出，在建设单位严格落实污染防治措施的前提下，项目对土壤环境影响较小。</w:t>
      </w:r>
    </w:p>
    <w:p w14:paraId="158D02E2">
      <w:pPr>
        <w:pStyle w:val="7"/>
        <w:widowControl w:val="0"/>
        <w:spacing w:before="60" w:after="60" w:line="440" w:lineRule="exact"/>
        <w:jc w:val="both"/>
        <w:rPr>
          <w:rFonts w:eastAsiaTheme="minorEastAsia"/>
          <w:b/>
          <w:color w:val="auto"/>
          <w:w w:val="99"/>
          <w:kern w:val="2"/>
          <w:sz w:val="24"/>
          <w:szCs w:val="24"/>
          <w:highlight w:val="none"/>
        </w:rPr>
      </w:pPr>
      <w:bookmarkStart w:id="972" w:name="_Toc186444364"/>
      <w:r>
        <w:rPr>
          <w:rFonts w:eastAsiaTheme="minorEastAsia"/>
          <w:b/>
          <w:color w:val="auto"/>
          <w:w w:val="99"/>
          <w:kern w:val="2"/>
          <w:sz w:val="24"/>
          <w:szCs w:val="24"/>
          <w:highlight w:val="none"/>
        </w:rPr>
        <w:t>5.7</w:t>
      </w:r>
      <w:r>
        <w:rPr>
          <w:rFonts w:hint="eastAsia" w:eastAsiaTheme="minorEastAsia"/>
          <w:b/>
          <w:color w:val="auto"/>
          <w:w w:val="99"/>
          <w:kern w:val="2"/>
          <w:sz w:val="24"/>
          <w:szCs w:val="24"/>
          <w:highlight w:val="none"/>
        </w:rPr>
        <w:t>.3</w:t>
      </w:r>
      <w:r>
        <w:rPr>
          <w:rFonts w:eastAsiaTheme="minorEastAsia"/>
          <w:b/>
          <w:color w:val="auto"/>
          <w:w w:val="99"/>
          <w:kern w:val="2"/>
          <w:sz w:val="24"/>
          <w:szCs w:val="24"/>
          <w:highlight w:val="none"/>
        </w:rPr>
        <w:t>评价结论</w:t>
      </w:r>
      <w:bookmarkEnd w:id="972"/>
    </w:p>
    <w:p w14:paraId="5DB44F66">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综上所述，本项目在施工期及运营期采取上述相关防治措施后，项目的开发建设对区域土壤环境影响较小。本项目土壤环境影响评价自查表见附表3。</w:t>
      </w:r>
    </w:p>
    <w:bookmarkEnd w:id="950"/>
    <w:bookmarkEnd w:id="951"/>
    <w:bookmarkEnd w:id="959"/>
    <w:bookmarkEnd w:id="960"/>
    <w:bookmarkEnd w:id="961"/>
    <w:bookmarkEnd w:id="962"/>
    <w:bookmarkEnd w:id="963"/>
    <w:bookmarkEnd w:id="964"/>
    <w:bookmarkEnd w:id="965"/>
    <w:p w14:paraId="6956D7D7">
      <w:pPr>
        <w:pStyle w:val="5"/>
        <w:keepNext w:val="0"/>
        <w:keepLines w:val="0"/>
        <w:widowControl w:val="0"/>
        <w:spacing w:before="120" w:after="120"/>
        <w:rPr>
          <w:rFonts w:ascii="Times New Roman" w:hAnsi="Times New Roman" w:eastAsia="宋体"/>
          <w:b/>
          <w:snapToGrid w:val="0"/>
          <w:color w:val="auto"/>
          <w:w w:val="99"/>
          <w:highlight w:val="none"/>
        </w:rPr>
      </w:pPr>
      <w:bookmarkStart w:id="973" w:name="_Toc1374"/>
      <w:r>
        <w:rPr>
          <w:rFonts w:ascii="Times New Roman" w:hAnsi="Times New Roman" w:eastAsia="宋体"/>
          <w:b/>
          <w:snapToGrid w:val="0"/>
          <w:color w:val="auto"/>
          <w:w w:val="99"/>
          <w:highlight w:val="none"/>
        </w:rPr>
        <w:t>5.8环境风险分析</w:t>
      </w:r>
      <w:bookmarkEnd w:id="952"/>
      <w:bookmarkEnd w:id="973"/>
    </w:p>
    <w:p w14:paraId="43A34080">
      <w:pPr>
        <w:pStyle w:val="7"/>
        <w:widowControl w:val="0"/>
        <w:spacing w:before="60" w:after="60" w:line="440" w:lineRule="exact"/>
        <w:jc w:val="both"/>
        <w:rPr>
          <w:rFonts w:eastAsiaTheme="minorEastAsia"/>
          <w:b/>
          <w:color w:val="auto"/>
          <w:w w:val="99"/>
          <w:kern w:val="2"/>
          <w:sz w:val="24"/>
          <w:szCs w:val="24"/>
          <w:highlight w:val="none"/>
        </w:rPr>
      </w:pPr>
      <w:bookmarkStart w:id="974" w:name="_Toc126863467"/>
      <w:bookmarkStart w:id="975" w:name="_Toc186444366"/>
      <w:bookmarkStart w:id="976" w:name="_Toc86142010"/>
      <w:bookmarkStart w:id="977" w:name="_Toc143099655"/>
      <w:bookmarkStart w:id="978" w:name="_Toc127192416"/>
      <w:bookmarkStart w:id="979" w:name="_Toc84929307"/>
      <w:bookmarkStart w:id="980" w:name="_Toc131167368"/>
      <w:bookmarkStart w:id="981" w:name="_Toc85640835"/>
      <w:bookmarkStart w:id="982" w:name="_Toc80971452"/>
      <w:bookmarkStart w:id="983" w:name="_Toc76976320"/>
      <w:bookmarkStart w:id="984" w:name="_Toc80588330"/>
      <w:bookmarkStart w:id="985" w:name="_Toc78816535"/>
      <w:bookmarkStart w:id="986" w:name="_Toc77067732"/>
      <w:bookmarkStart w:id="987" w:name="_Toc83209552"/>
      <w:bookmarkStart w:id="988" w:name="_Toc70050260"/>
      <w:bookmarkStart w:id="989" w:name="_Toc67860210"/>
      <w:r>
        <w:rPr>
          <w:rFonts w:eastAsiaTheme="minorEastAsia"/>
          <w:b/>
          <w:color w:val="auto"/>
          <w:w w:val="99"/>
          <w:kern w:val="2"/>
          <w:sz w:val="24"/>
          <w:szCs w:val="24"/>
          <w:highlight w:val="none"/>
        </w:rPr>
        <w:t>5.8.1风险调查</w:t>
      </w:r>
      <w:bookmarkEnd w:id="974"/>
      <w:bookmarkEnd w:id="975"/>
      <w:bookmarkEnd w:id="976"/>
      <w:bookmarkEnd w:id="977"/>
      <w:bookmarkEnd w:id="978"/>
      <w:bookmarkEnd w:id="979"/>
      <w:bookmarkEnd w:id="980"/>
      <w:bookmarkEnd w:id="981"/>
    </w:p>
    <w:p w14:paraId="68EE4FD4">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本项目施工期为地面工程建设，均为土建施工，无风险单元。涉及的危险物质主要为运营期天然气、火灾爆炸事故次生CO等。天然气为本项目开采的产品，存在于整个天然气集输及处理系统中。</w:t>
      </w:r>
    </w:p>
    <w:p w14:paraId="19797659">
      <w:pPr>
        <w:keepNext/>
        <w:keepLines/>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（1）天然气</w:t>
      </w:r>
    </w:p>
    <w:p w14:paraId="63BDF13F">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天然气以甲烷（CH</w:t>
      </w:r>
      <w:r>
        <w:rPr>
          <w:rFonts w:hint="eastAsia" w:ascii="Times New Roman" w:hAnsi="Times New Roman" w:cs="Times New Roman"/>
          <w:color w:val="auto"/>
          <w:w w:val="99"/>
          <w:highlight w:val="none"/>
          <w:vertAlign w:val="subscript"/>
          <w:lang w:bidi="zh-CN"/>
        </w:rPr>
        <w:t>4</w:t>
      </w:r>
      <w:r>
        <w:rPr>
          <w:rFonts w:hint="eastAsia" w:ascii="Times New Roman" w:hAnsi="Times New Roman" w:cs="Times New Roman"/>
          <w:color w:val="auto"/>
          <w:w w:val="99"/>
          <w:highlight w:val="none"/>
          <w:lang w:bidi="zh-CN"/>
        </w:rPr>
        <w:t>）气为主，并且含有总量不多、各自数量不等的重烃（C</w:t>
      </w:r>
      <w:r>
        <w:rPr>
          <w:rFonts w:hint="eastAsia" w:ascii="Times New Roman" w:hAnsi="Times New Roman" w:cs="Times New Roman"/>
          <w:color w:val="auto"/>
          <w:w w:val="99"/>
          <w:highlight w:val="none"/>
          <w:vertAlign w:val="subscript"/>
          <w:lang w:bidi="zh-CN"/>
        </w:rPr>
        <w:t>2</w:t>
      </w:r>
      <w:r>
        <w:rPr>
          <w:rFonts w:hint="eastAsia" w:ascii="Times New Roman" w:hAnsi="Times New Roman" w:cs="Times New Roman"/>
          <w:color w:val="auto"/>
          <w:w w:val="99"/>
          <w:highlight w:val="none"/>
          <w:lang w:bidi="zh-CN"/>
        </w:rPr>
        <w:t>-C</w:t>
      </w:r>
      <w:r>
        <w:rPr>
          <w:rFonts w:hint="eastAsia" w:ascii="Times New Roman" w:hAnsi="Times New Roman" w:cs="Times New Roman"/>
          <w:color w:val="auto"/>
          <w:w w:val="99"/>
          <w:highlight w:val="none"/>
          <w:vertAlign w:val="subscript"/>
          <w:lang w:bidi="zh-CN"/>
        </w:rPr>
        <w:t>5</w:t>
      </w:r>
      <w:r>
        <w:rPr>
          <w:rFonts w:hint="eastAsia" w:ascii="Times New Roman" w:hAnsi="Times New Roman" w:cs="Times New Roman"/>
          <w:color w:val="auto"/>
          <w:w w:val="99"/>
          <w:highlight w:val="none"/>
          <w:lang w:bidi="zh-CN"/>
        </w:rPr>
        <w:t>）气。根据天然气中重烃（C</w:t>
      </w:r>
      <w:r>
        <w:rPr>
          <w:rFonts w:hint="eastAsia" w:ascii="Times New Roman" w:hAnsi="Times New Roman" w:cs="Times New Roman"/>
          <w:color w:val="auto"/>
          <w:w w:val="99"/>
          <w:highlight w:val="none"/>
          <w:vertAlign w:val="subscript"/>
          <w:lang w:bidi="zh-CN"/>
        </w:rPr>
        <w:t>2</w:t>
      </w:r>
      <w:r>
        <w:rPr>
          <w:rFonts w:hint="eastAsia" w:ascii="Times New Roman" w:hAnsi="Times New Roman" w:cs="Times New Roman"/>
          <w:color w:val="auto"/>
          <w:w w:val="99"/>
          <w:highlight w:val="none"/>
          <w:lang w:bidi="zh-CN"/>
        </w:rPr>
        <w:t>以上）的含量，把天然气分为干气（贫气）和湿气（富气）。重烃含量高于或等于5%的定为湿气，含量低于5%的定为干气。</w:t>
      </w:r>
    </w:p>
    <w:p w14:paraId="08DCF194">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天然气主要成分是含大量低分子烷烃混合物，重度为 0.91kg/m</w:t>
      </w:r>
      <w:r>
        <w:rPr>
          <w:rFonts w:hint="eastAsia" w:ascii="Times New Roman" w:hAnsi="Times New Roman" w:cs="Times New Roman"/>
          <w:color w:val="auto"/>
          <w:w w:val="99"/>
          <w:highlight w:val="none"/>
          <w:vertAlign w:val="superscript"/>
          <w:lang w:bidi="zh-CN"/>
        </w:rPr>
        <w:t>3</w:t>
      </w:r>
      <w:r>
        <w:rPr>
          <w:rFonts w:hint="eastAsia" w:ascii="Times New Roman" w:hAnsi="Times New Roman" w:cs="Times New Roman"/>
          <w:color w:val="auto"/>
          <w:w w:val="99"/>
          <w:highlight w:val="none"/>
          <w:lang w:bidi="zh-CN"/>
        </w:rPr>
        <w:t>（标态），比重0.7，低发热值10128kcal/m</w:t>
      </w:r>
      <w:r>
        <w:rPr>
          <w:rFonts w:hint="eastAsia" w:ascii="Times New Roman" w:hAnsi="Times New Roman" w:cs="Times New Roman"/>
          <w:color w:val="auto"/>
          <w:w w:val="99"/>
          <w:highlight w:val="none"/>
          <w:vertAlign w:val="superscript"/>
          <w:lang w:bidi="zh-CN"/>
        </w:rPr>
        <w:t xml:space="preserve">3 </w:t>
      </w:r>
      <w:r>
        <w:rPr>
          <w:rFonts w:hint="eastAsia" w:ascii="Times New Roman" w:hAnsi="Times New Roman" w:cs="Times New Roman"/>
          <w:color w:val="auto"/>
          <w:w w:val="99"/>
          <w:highlight w:val="none"/>
          <w:lang w:bidi="zh-CN"/>
        </w:rPr>
        <w:t>，比热 0.4935kal/kg℃ , 最小引燃能量0.28MJ，属甲类易燃气体。</w:t>
      </w:r>
    </w:p>
    <w:p w14:paraId="1F2C7FA1">
      <w:pPr>
        <w:pStyle w:val="153"/>
        <w:widowControl w:val="0"/>
        <w:spacing w:line="440" w:lineRule="exact"/>
        <w:ind w:firstLine="474"/>
        <w:rPr>
          <w:rFonts w:ascii="Times New Roman" w:hAnsi="Times New Roman" w:eastAsiaTheme="minorEastAsia"/>
          <w:b/>
          <w:bCs/>
          <w:color w:val="auto"/>
          <w:w w:val="99"/>
          <w:highlight w:val="none"/>
        </w:rPr>
      </w:pPr>
      <w:r>
        <w:rPr>
          <w:rFonts w:ascii="Times New Roman" w:hAnsi="Times New Roman" w:eastAsiaTheme="minorEastAsia"/>
          <w:b/>
          <w:bCs/>
          <w:color w:val="auto"/>
          <w:w w:val="99"/>
          <w:highlight w:val="none"/>
        </w:rPr>
        <w:t>表5.8-3    天然气安全技术说明书</w:t>
      </w:r>
    </w:p>
    <w:tbl>
      <w:tblPr>
        <w:tblStyle w:val="8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55"/>
        <w:gridCol w:w="2735"/>
        <w:gridCol w:w="2727"/>
        <w:gridCol w:w="2670"/>
      </w:tblGrid>
      <w:tr w14:paraId="6A6E8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094" w:type="pct"/>
            <w:gridSpan w:val="2"/>
            <w:vAlign w:val="center"/>
          </w:tcPr>
          <w:p w14:paraId="0928F432">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CAS号 </w:t>
            </w:r>
          </w:p>
        </w:tc>
        <w:tc>
          <w:tcPr>
            <w:tcW w:w="2905" w:type="pct"/>
            <w:gridSpan w:val="2"/>
            <w:vAlign w:val="center"/>
          </w:tcPr>
          <w:p w14:paraId="032CD831">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74-82-8 </w:t>
            </w:r>
          </w:p>
        </w:tc>
      </w:tr>
      <w:tr w14:paraId="0D32C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094" w:type="pct"/>
            <w:gridSpan w:val="2"/>
            <w:vAlign w:val="center"/>
          </w:tcPr>
          <w:p w14:paraId="2C786EED">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中文名称 </w:t>
            </w:r>
          </w:p>
        </w:tc>
        <w:tc>
          <w:tcPr>
            <w:tcW w:w="2905" w:type="pct"/>
            <w:gridSpan w:val="2"/>
            <w:vAlign w:val="center"/>
          </w:tcPr>
          <w:p w14:paraId="234445B4">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天然气 </w:t>
            </w:r>
          </w:p>
        </w:tc>
      </w:tr>
      <w:tr w14:paraId="00887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70400D15">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分子式 </w:t>
            </w:r>
          </w:p>
        </w:tc>
        <w:tc>
          <w:tcPr>
            <w:tcW w:w="1471" w:type="pct"/>
            <w:vAlign w:val="center"/>
          </w:tcPr>
          <w:p w14:paraId="6442D8C3">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CH</w:t>
            </w:r>
            <w:r>
              <w:rPr>
                <w:rFonts w:ascii="Times New Roman" w:hAnsi="Times New Roman" w:eastAsiaTheme="minorEastAsia"/>
                <w:color w:val="auto"/>
                <w:w w:val="99"/>
                <w:sz w:val="21"/>
                <w:szCs w:val="21"/>
                <w:highlight w:val="none"/>
                <w:vertAlign w:val="subscript"/>
              </w:rPr>
              <w:t>4</w:t>
            </w:r>
            <w:r>
              <w:rPr>
                <w:rFonts w:ascii="Times New Roman" w:hAnsi="Times New Roman" w:eastAsiaTheme="minorEastAsia"/>
                <w:color w:val="auto"/>
                <w:w w:val="99"/>
                <w:sz w:val="21"/>
                <w:szCs w:val="21"/>
                <w:highlight w:val="none"/>
              </w:rPr>
              <w:t xml:space="preserve"> </w:t>
            </w:r>
          </w:p>
        </w:tc>
        <w:tc>
          <w:tcPr>
            <w:tcW w:w="1468" w:type="pct"/>
            <w:vAlign w:val="center"/>
          </w:tcPr>
          <w:p w14:paraId="73828DAC">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外观与性状 </w:t>
            </w:r>
          </w:p>
        </w:tc>
        <w:tc>
          <w:tcPr>
            <w:tcW w:w="1436" w:type="pct"/>
            <w:vAlign w:val="center"/>
          </w:tcPr>
          <w:p w14:paraId="728201B5">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无色无臭气体。 </w:t>
            </w:r>
          </w:p>
        </w:tc>
      </w:tr>
      <w:tr w14:paraId="428B8F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0D6E28EE">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分子量 </w:t>
            </w:r>
          </w:p>
        </w:tc>
        <w:tc>
          <w:tcPr>
            <w:tcW w:w="1471" w:type="pct"/>
            <w:vAlign w:val="center"/>
          </w:tcPr>
          <w:p w14:paraId="5624E32A">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16.04 </w:t>
            </w:r>
          </w:p>
        </w:tc>
        <w:tc>
          <w:tcPr>
            <w:tcW w:w="1468" w:type="pct"/>
            <w:vAlign w:val="center"/>
          </w:tcPr>
          <w:p w14:paraId="602BAA25">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蒸汽压 </w:t>
            </w:r>
          </w:p>
        </w:tc>
        <w:tc>
          <w:tcPr>
            <w:tcW w:w="1436" w:type="pct"/>
            <w:vAlign w:val="center"/>
          </w:tcPr>
          <w:p w14:paraId="062B348C">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53.32kPa/-168.8℃ </w:t>
            </w:r>
          </w:p>
        </w:tc>
      </w:tr>
      <w:tr w14:paraId="25FBA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7F1DC30D">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沸点 </w:t>
            </w:r>
          </w:p>
        </w:tc>
        <w:tc>
          <w:tcPr>
            <w:tcW w:w="1471" w:type="pct"/>
            <w:vAlign w:val="center"/>
          </w:tcPr>
          <w:p w14:paraId="33D0B3E6">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-161.5℃ </w:t>
            </w:r>
          </w:p>
        </w:tc>
        <w:tc>
          <w:tcPr>
            <w:tcW w:w="1468" w:type="pct"/>
            <w:vAlign w:val="center"/>
          </w:tcPr>
          <w:p w14:paraId="689240DD">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闪点 </w:t>
            </w:r>
          </w:p>
        </w:tc>
        <w:tc>
          <w:tcPr>
            <w:tcW w:w="1436" w:type="pct"/>
            <w:vAlign w:val="center"/>
          </w:tcPr>
          <w:p w14:paraId="4DCF54F9">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-188℃ </w:t>
            </w:r>
          </w:p>
        </w:tc>
      </w:tr>
      <w:tr w14:paraId="657E7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41BC7DE8">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熔点 </w:t>
            </w:r>
          </w:p>
        </w:tc>
        <w:tc>
          <w:tcPr>
            <w:tcW w:w="1471" w:type="pct"/>
            <w:vAlign w:val="center"/>
          </w:tcPr>
          <w:p w14:paraId="7736F24A">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-182.5℃ </w:t>
            </w:r>
          </w:p>
        </w:tc>
        <w:tc>
          <w:tcPr>
            <w:tcW w:w="1468" w:type="pct"/>
            <w:vAlign w:val="center"/>
          </w:tcPr>
          <w:p w14:paraId="11F9E5E4">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溶解性 </w:t>
            </w:r>
          </w:p>
        </w:tc>
        <w:tc>
          <w:tcPr>
            <w:tcW w:w="1436" w:type="pct"/>
            <w:vAlign w:val="center"/>
          </w:tcPr>
          <w:p w14:paraId="3AF5099C">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微溶于水，溶于醇、乙醚。 </w:t>
            </w:r>
          </w:p>
        </w:tc>
      </w:tr>
      <w:tr w14:paraId="1B8DDB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40D4B76D">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密度 </w:t>
            </w:r>
          </w:p>
        </w:tc>
        <w:tc>
          <w:tcPr>
            <w:tcW w:w="1471" w:type="pct"/>
            <w:vAlign w:val="center"/>
          </w:tcPr>
          <w:p w14:paraId="3B8DA8B7">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相对密度（空气=1）0.55 </w:t>
            </w:r>
          </w:p>
        </w:tc>
        <w:tc>
          <w:tcPr>
            <w:tcW w:w="1468" w:type="pct"/>
            <w:vAlign w:val="center"/>
          </w:tcPr>
          <w:p w14:paraId="448E3F55">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稳定性 </w:t>
            </w:r>
          </w:p>
        </w:tc>
        <w:tc>
          <w:tcPr>
            <w:tcW w:w="1436" w:type="pct"/>
            <w:vAlign w:val="center"/>
          </w:tcPr>
          <w:p w14:paraId="20208B54">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稳定 </w:t>
            </w:r>
          </w:p>
        </w:tc>
      </w:tr>
      <w:tr w14:paraId="0A88C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2C1C2AA6">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爆炸极限 </w:t>
            </w:r>
          </w:p>
        </w:tc>
        <w:tc>
          <w:tcPr>
            <w:tcW w:w="1471" w:type="pct"/>
            <w:vAlign w:val="center"/>
          </w:tcPr>
          <w:p w14:paraId="4F9CFBD8">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空气中5.3～15％（体积） </w:t>
            </w:r>
          </w:p>
        </w:tc>
        <w:tc>
          <w:tcPr>
            <w:tcW w:w="1468" w:type="pct"/>
            <w:vAlign w:val="center"/>
          </w:tcPr>
          <w:p w14:paraId="547669A1">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自燃温度 </w:t>
            </w:r>
          </w:p>
        </w:tc>
        <w:tc>
          <w:tcPr>
            <w:tcW w:w="1436" w:type="pct"/>
            <w:vAlign w:val="center"/>
          </w:tcPr>
          <w:p w14:paraId="5DBF2F5C">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538℃ </w:t>
            </w:r>
          </w:p>
        </w:tc>
      </w:tr>
      <w:tr w14:paraId="0DEBB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3D8DAE6E">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主要用途</w:t>
            </w:r>
          </w:p>
        </w:tc>
        <w:tc>
          <w:tcPr>
            <w:tcW w:w="4377" w:type="pct"/>
            <w:gridSpan w:val="3"/>
            <w:vAlign w:val="center"/>
          </w:tcPr>
          <w:p w14:paraId="7F6983A1">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用作燃料和用于炭黑、氢、乙炔、甲醛等的制造。 </w:t>
            </w:r>
          </w:p>
        </w:tc>
      </w:tr>
      <w:tr w14:paraId="7B044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26E193D3">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危险特性</w:t>
            </w:r>
          </w:p>
        </w:tc>
        <w:tc>
          <w:tcPr>
            <w:tcW w:w="4377" w:type="pct"/>
            <w:gridSpan w:val="3"/>
            <w:vAlign w:val="center"/>
          </w:tcPr>
          <w:p w14:paraId="36F0D860">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危险性类别：第2.1类易燃气体 </w:t>
            </w:r>
          </w:p>
          <w:p w14:paraId="50A9A2BB">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燃烧与爆炸特性：易燃，与空气混合能形成爆炸性混合物，遇热源和明火有燃烧爆炸的危险。与五氧化溴、氯气、次氯酸、三氟化氮、液氧、二氟化氧及其它强氧化剂接触剧烈反应。 </w:t>
            </w:r>
          </w:p>
          <w:p w14:paraId="16D4C131">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燃烧（分解）产物：一氧化碳、二氧化碳。 </w:t>
            </w:r>
          </w:p>
        </w:tc>
      </w:tr>
      <w:tr w14:paraId="42DC1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6DF68A82">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健康危害</w:t>
            </w:r>
          </w:p>
        </w:tc>
        <w:tc>
          <w:tcPr>
            <w:tcW w:w="4377" w:type="pct"/>
            <w:gridSpan w:val="3"/>
            <w:vAlign w:val="center"/>
          </w:tcPr>
          <w:p w14:paraId="262C908B">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侵入途径：吸入 </w:t>
            </w:r>
          </w:p>
          <w:p w14:paraId="16B1ECF4">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健康危害：甲烷对人基本无毒，但浓度过高时，使空气中氧含量明显降低，使人窒息。当空气中甲烷达25%～30%时，可引起头痛、头晕、乏力、注意力不集中、呼吸和心跳加速、共济失调。若不及时脱离，可致窒息死亡。皮肤接触液化本品，可致冻伤。 </w:t>
            </w:r>
          </w:p>
        </w:tc>
      </w:tr>
      <w:tr w14:paraId="48F65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10B4C5C4">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泄漏应急处理</w:t>
            </w:r>
          </w:p>
        </w:tc>
        <w:tc>
          <w:tcPr>
            <w:tcW w:w="4377" w:type="pct"/>
            <w:gridSpan w:val="3"/>
            <w:vAlign w:val="center"/>
          </w:tcPr>
          <w:p w14:paraId="0213B43E">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迅速撤离泄漏污染区人员至上风处，并进行隔离，严格限制出入。切断火源。建议应急处理人员戴自给正压式呼吸器，穿消防防护服。尽可能切断泄漏源。合理通风，加速扩散。喷雾状水稀释、溶解。构筑围堤或挖坑收容产生的大量废水。如有可能，将漏出气用排风机送至空旷地方或装设适当喷头烧掉。也可以将漏气的容器移至空旷处，注意通风。漏气容器要妥善处理，修复、检验后再用。 </w:t>
            </w:r>
          </w:p>
        </w:tc>
      </w:tr>
      <w:tr w14:paraId="12445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2EB2F055">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防护措施</w:t>
            </w:r>
          </w:p>
        </w:tc>
        <w:tc>
          <w:tcPr>
            <w:tcW w:w="4377" w:type="pct"/>
            <w:gridSpan w:val="3"/>
            <w:vAlign w:val="center"/>
          </w:tcPr>
          <w:p w14:paraId="21BAB1D1">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呼吸系统防护：一般不需要特殊防护，但建议特殊情况下，佩带自吸过滤式防毒面具（半面罩）。眼睛防护：一般不需要特别防护，高浓度接触时可戴安全防护眼镜。身体防护：穿防静电工作服。手防护：戴一般作业防护手套。其它：工作现场严禁吸烟。避免长期反复接触。进入罐、限制性空间或其它高浓度区作业，须有人监护。 </w:t>
            </w:r>
          </w:p>
        </w:tc>
      </w:tr>
      <w:tr w14:paraId="0979D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62BB03D9">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急救措施</w:t>
            </w:r>
          </w:p>
        </w:tc>
        <w:tc>
          <w:tcPr>
            <w:tcW w:w="4377" w:type="pct"/>
            <w:gridSpan w:val="3"/>
            <w:vAlign w:val="center"/>
          </w:tcPr>
          <w:p w14:paraId="3B8F749F">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皮肤接触：若有冻伤，就医治疗。吸入：迅速脱离现场至空气新鲜处。保持呼吸道通畅。如呼吸困难，给输氧。如呼吸停止，立即进行人工呼吸，就医。 </w:t>
            </w:r>
          </w:p>
        </w:tc>
      </w:tr>
      <w:tr w14:paraId="0CE68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22D22274">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灭火方法</w:t>
            </w:r>
          </w:p>
        </w:tc>
        <w:tc>
          <w:tcPr>
            <w:tcW w:w="4377" w:type="pct"/>
            <w:gridSpan w:val="3"/>
            <w:vAlign w:val="center"/>
          </w:tcPr>
          <w:p w14:paraId="7280851E">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切断气源。若不能立即切断气源，则不允许熄灭正在燃烧的气体。喷水冷却容器，可能的话将容器从火场移至空旷处。 </w:t>
            </w:r>
          </w:p>
          <w:p w14:paraId="477FCCF4">
            <w:pPr>
              <w:pStyle w:val="103"/>
              <w:autoSpaceDE w:val="0"/>
              <w:autoSpaceDN w:val="0"/>
              <w:adjustRightInd w:val="0"/>
              <w:spacing w:line="320" w:lineRule="exact"/>
              <w:ind w:left="0"/>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灭火剂：雾状水、泡沫、二氧化碳、干粉。 </w:t>
            </w:r>
          </w:p>
        </w:tc>
      </w:tr>
    </w:tbl>
    <w:p w14:paraId="03ADA3C1">
      <w:pPr>
        <w:pStyle w:val="32"/>
        <w:widowControl w:val="0"/>
        <w:spacing w:line="440" w:lineRule="exact"/>
        <w:ind w:firstLine="474" w:firstLineChars="200"/>
        <w:jc w:val="both"/>
        <w:rPr>
          <w:rFonts w:ascii="Times New Roman" w:hAnsi="Times New Roman"/>
          <w:color w:val="auto"/>
          <w:w w:val="99"/>
          <w:kern w:val="0"/>
          <w:szCs w:val="24"/>
          <w:highlight w:val="none"/>
          <w:lang w:bidi="zh-CN"/>
        </w:rPr>
      </w:pPr>
      <w:bookmarkStart w:id="990" w:name="_Toc127192417"/>
      <w:bookmarkStart w:id="991" w:name="_Toc126863468"/>
      <w:bookmarkStart w:id="992" w:name="_Toc86142011"/>
      <w:bookmarkStart w:id="993" w:name="_Toc186444367"/>
      <w:bookmarkStart w:id="994" w:name="_Toc143099656"/>
      <w:bookmarkStart w:id="995" w:name="_Toc84929308"/>
      <w:bookmarkStart w:id="996" w:name="_Toc85640836"/>
      <w:bookmarkStart w:id="997" w:name="_Toc131167369"/>
      <w:r>
        <w:rPr>
          <w:rFonts w:hint="eastAsia" w:ascii="Times New Roman" w:hAnsi="Times New Roman"/>
          <w:color w:val="auto"/>
          <w:w w:val="99"/>
          <w:kern w:val="0"/>
          <w:szCs w:val="24"/>
          <w:highlight w:val="none"/>
          <w:lang w:bidi="zh-CN"/>
        </w:rPr>
        <w:t>（2）一氧化碳</w:t>
      </w:r>
    </w:p>
    <w:p w14:paraId="376FDD7C">
      <w:pPr>
        <w:pStyle w:val="32"/>
        <w:widowControl w:val="0"/>
        <w:spacing w:line="440" w:lineRule="exact"/>
        <w:ind w:firstLine="474" w:firstLineChars="200"/>
        <w:jc w:val="both"/>
        <w:rPr>
          <w:rFonts w:ascii="Times New Roman" w:hAnsi="Times New Roman"/>
          <w:color w:val="auto"/>
          <w:kern w:val="0"/>
          <w:szCs w:val="24"/>
          <w:highlight w:val="none"/>
        </w:rPr>
      </w:pPr>
      <w:r>
        <w:rPr>
          <w:rFonts w:hint="eastAsia" w:ascii="Times New Roman" w:hAnsi="Times New Roman"/>
          <w:color w:val="auto"/>
          <w:w w:val="99"/>
          <w:kern w:val="0"/>
          <w:szCs w:val="24"/>
          <w:highlight w:val="none"/>
          <w:lang w:bidi="zh-CN"/>
        </w:rPr>
        <w:t>本项目发生天然气泄漏燃烧次生产物为一氧化碳，</w:t>
      </w:r>
      <w:r>
        <w:rPr>
          <w:rFonts w:ascii="Times New Roman" w:hAnsi="Times New Roman"/>
          <w:color w:val="auto"/>
          <w:w w:val="99"/>
          <w:kern w:val="0"/>
          <w:szCs w:val="24"/>
          <w:highlight w:val="none"/>
          <w:lang w:bidi="zh-CN"/>
        </w:rPr>
        <w:t>物料的危险性</w:t>
      </w:r>
      <w:r>
        <w:rPr>
          <w:rFonts w:hint="eastAsia" w:ascii="Times New Roman" w:hAnsi="Times New Roman"/>
          <w:color w:val="auto"/>
          <w:w w:val="99"/>
          <w:kern w:val="0"/>
          <w:szCs w:val="24"/>
          <w:highlight w:val="none"/>
          <w:lang w:bidi="zh-CN"/>
        </w:rPr>
        <w:t>见表5.8-4。</w:t>
      </w:r>
    </w:p>
    <w:p w14:paraId="5990A4A1">
      <w:pPr>
        <w:pStyle w:val="153"/>
        <w:widowControl w:val="0"/>
        <w:spacing w:line="440" w:lineRule="exact"/>
        <w:ind w:firstLine="474"/>
        <w:jc w:val="both"/>
        <w:rPr>
          <w:rFonts w:ascii="Times New Roman" w:hAnsi="Times New Roman" w:eastAsiaTheme="minorEastAsia"/>
          <w:b/>
          <w:color w:val="auto"/>
          <w:w w:val="99"/>
          <w:kern w:val="2"/>
          <w:highlight w:val="none"/>
        </w:rPr>
      </w:pPr>
      <w:r>
        <w:rPr>
          <w:rFonts w:ascii="Times New Roman" w:hAnsi="Times New Roman" w:eastAsiaTheme="minorEastAsia"/>
          <w:b/>
          <w:color w:val="auto"/>
          <w:w w:val="99"/>
          <w:kern w:val="2"/>
          <w:highlight w:val="none"/>
        </w:rPr>
        <w:t>表5.</w:t>
      </w:r>
      <w:r>
        <w:rPr>
          <w:rFonts w:hint="eastAsia" w:ascii="Times New Roman" w:hAnsi="Times New Roman" w:eastAsiaTheme="minorEastAsia"/>
          <w:b/>
          <w:color w:val="auto"/>
          <w:w w:val="99"/>
          <w:kern w:val="2"/>
          <w:highlight w:val="none"/>
        </w:rPr>
        <w:t>8</w:t>
      </w:r>
      <w:r>
        <w:rPr>
          <w:rFonts w:ascii="Times New Roman" w:hAnsi="Times New Roman" w:eastAsiaTheme="minorEastAsia"/>
          <w:b/>
          <w:color w:val="auto"/>
          <w:w w:val="99"/>
          <w:kern w:val="2"/>
          <w:highlight w:val="none"/>
        </w:rPr>
        <w:t>-</w:t>
      </w:r>
      <w:r>
        <w:rPr>
          <w:rFonts w:hint="eastAsia" w:ascii="Times New Roman" w:hAnsi="Times New Roman" w:eastAsiaTheme="minorEastAsia"/>
          <w:b/>
          <w:color w:val="auto"/>
          <w:w w:val="99"/>
          <w:kern w:val="2"/>
          <w:highlight w:val="none"/>
        </w:rPr>
        <w:t>4     一氧化碳理化性质</w:t>
      </w:r>
      <w:r>
        <w:rPr>
          <w:rFonts w:ascii="Times New Roman" w:hAnsi="Times New Roman" w:eastAsiaTheme="minorEastAsia"/>
          <w:b/>
          <w:color w:val="auto"/>
          <w:w w:val="99"/>
          <w:kern w:val="2"/>
          <w:highlight w:val="none"/>
        </w:rPr>
        <w:t>一览表</w:t>
      </w:r>
    </w:p>
    <w:tbl>
      <w:tblPr>
        <w:tblStyle w:val="166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79"/>
        <w:gridCol w:w="4268"/>
        <w:gridCol w:w="963"/>
        <w:gridCol w:w="790"/>
        <w:gridCol w:w="1251"/>
        <w:gridCol w:w="928"/>
      </w:tblGrid>
      <w:tr w14:paraId="00049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trPr>
        <w:tc>
          <w:tcPr>
            <w:tcW w:w="484" w:type="pct"/>
            <w:vMerge w:val="restart"/>
          </w:tcPr>
          <w:p w14:paraId="1D089260">
            <w:pPr>
              <w:widowControl w:val="0"/>
              <w:spacing w:line="431" w:lineRule="auto"/>
              <w:rPr>
                <w:rFonts w:ascii="Times New Roman" w:hAnsi="Times New Roman" w:cs="Times New Roman" w:eastAsiaTheme="minorEastAsia"/>
                <w:smallCaps/>
                <w:color w:val="auto"/>
                <w:w w:val="99"/>
                <w:kern w:val="2"/>
                <w:sz w:val="21"/>
                <w:szCs w:val="21"/>
                <w:highlight w:val="none"/>
                <w:lang w:eastAsia="en-US"/>
              </w:rPr>
            </w:pPr>
          </w:p>
          <w:p w14:paraId="6CE43734">
            <w:pPr>
              <w:pStyle w:val="2857"/>
              <w:widowControl w:val="0"/>
              <w:spacing w:before="69" w:line="221" w:lineRule="auto"/>
              <w:ind w:left="215"/>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标识</w:t>
            </w:r>
          </w:p>
        </w:tc>
        <w:tc>
          <w:tcPr>
            <w:tcW w:w="2350" w:type="pct"/>
          </w:tcPr>
          <w:p w14:paraId="0A26A6ED">
            <w:pPr>
              <w:pStyle w:val="2857"/>
              <w:widowControl w:val="0"/>
              <w:spacing w:before="96" w:line="220" w:lineRule="auto"/>
              <w:ind w:left="1177"/>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中文名：一氧化碳</w:t>
            </w:r>
          </w:p>
        </w:tc>
        <w:tc>
          <w:tcPr>
            <w:tcW w:w="2165" w:type="pct"/>
            <w:gridSpan w:val="4"/>
          </w:tcPr>
          <w:p w14:paraId="07DE8E45">
            <w:pPr>
              <w:pStyle w:val="2857"/>
              <w:widowControl w:val="0"/>
              <w:spacing w:before="97" w:line="221" w:lineRule="auto"/>
              <w:ind w:left="693"/>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英文名：Carbonnomoxide</w:t>
            </w:r>
          </w:p>
        </w:tc>
      </w:tr>
      <w:tr w14:paraId="7DC9A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484" w:type="pct"/>
            <w:vMerge w:val="continue"/>
          </w:tcPr>
          <w:p w14:paraId="4BBDEF9C">
            <w:pPr>
              <w:widowControl w:val="0"/>
              <w:rPr>
                <w:rFonts w:ascii="Times New Roman" w:hAnsi="Times New Roman" w:cs="Times New Roman" w:eastAsiaTheme="minorEastAsia"/>
                <w:smallCaps/>
                <w:color w:val="auto"/>
                <w:w w:val="99"/>
                <w:kern w:val="2"/>
                <w:sz w:val="21"/>
                <w:szCs w:val="21"/>
                <w:highlight w:val="none"/>
                <w:lang w:eastAsia="en-US"/>
              </w:rPr>
            </w:pPr>
          </w:p>
        </w:tc>
        <w:tc>
          <w:tcPr>
            <w:tcW w:w="2350" w:type="pct"/>
          </w:tcPr>
          <w:p w14:paraId="509E06FE">
            <w:pPr>
              <w:pStyle w:val="2857"/>
              <w:widowControl w:val="0"/>
              <w:spacing w:before="92" w:line="221" w:lineRule="auto"/>
              <w:ind w:left="1433"/>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分子式：CO</w:t>
            </w:r>
          </w:p>
        </w:tc>
        <w:tc>
          <w:tcPr>
            <w:tcW w:w="2165" w:type="pct"/>
            <w:gridSpan w:val="4"/>
          </w:tcPr>
          <w:p w14:paraId="597F2560">
            <w:pPr>
              <w:pStyle w:val="2857"/>
              <w:widowControl w:val="0"/>
              <w:spacing w:before="92" w:line="221" w:lineRule="auto"/>
              <w:ind w:left="1318"/>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分子量：28</w:t>
            </w:r>
          </w:p>
        </w:tc>
      </w:tr>
      <w:tr w14:paraId="416DC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484" w:type="pct"/>
            <w:vMerge w:val="continue"/>
          </w:tcPr>
          <w:p w14:paraId="3CBE1B4B">
            <w:pPr>
              <w:widowControl w:val="0"/>
              <w:rPr>
                <w:rFonts w:ascii="Times New Roman" w:hAnsi="Times New Roman" w:cs="Times New Roman" w:eastAsiaTheme="minorEastAsia"/>
                <w:smallCaps/>
                <w:color w:val="auto"/>
                <w:w w:val="99"/>
                <w:kern w:val="2"/>
                <w:sz w:val="21"/>
                <w:szCs w:val="21"/>
                <w:highlight w:val="none"/>
                <w:lang w:eastAsia="en-US"/>
              </w:rPr>
            </w:pPr>
          </w:p>
        </w:tc>
        <w:tc>
          <w:tcPr>
            <w:tcW w:w="2350" w:type="pct"/>
          </w:tcPr>
          <w:p w14:paraId="6429D034">
            <w:pPr>
              <w:pStyle w:val="2857"/>
              <w:widowControl w:val="0"/>
              <w:spacing w:before="92" w:line="222" w:lineRule="auto"/>
              <w:ind w:left="1176"/>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CAS 号：630-08-0</w:t>
            </w:r>
          </w:p>
        </w:tc>
        <w:tc>
          <w:tcPr>
            <w:tcW w:w="530" w:type="pct"/>
          </w:tcPr>
          <w:p w14:paraId="3325516E">
            <w:pPr>
              <w:pStyle w:val="2857"/>
              <w:widowControl w:val="0"/>
              <w:spacing w:before="92" w:line="221" w:lineRule="auto"/>
              <w:ind w:left="142"/>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危规号</w:t>
            </w:r>
          </w:p>
        </w:tc>
        <w:tc>
          <w:tcPr>
            <w:tcW w:w="435" w:type="pct"/>
          </w:tcPr>
          <w:p w14:paraId="39B1AA13">
            <w:pPr>
              <w:widowControl w:val="0"/>
              <w:spacing w:before="123" w:line="187" w:lineRule="auto"/>
              <w:ind w:left="110"/>
              <w:rPr>
                <w:rFonts w:ascii="Times New Roman" w:hAnsi="Times New Roman" w:cs="Times New Roman" w:eastAsiaTheme="minorEastAsia"/>
                <w:smallCaps/>
                <w:color w:val="auto"/>
                <w:w w:val="99"/>
                <w:kern w:val="2"/>
                <w:sz w:val="21"/>
                <w:szCs w:val="21"/>
                <w:highlight w:val="none"/>
                <w:lang w:eastAsia="en-US"/>
              </w:rPr>
            </w:pPr>
            <w:r>
              <w:rPr>
                <w:rFonts w:ascii="Times New Roman" w:hAnsi="Times New Roman" w:cs="Times New Roman" w:eastAsiaTheme="minorEastAsia"/>
                <w:smallCaps/>
                <w:color w:val="auto"/>
                <w:w w:val="99"/>
                <w:kern w:val="2"/>
                <w:sz w:val="21"/>
                <w:szCs w:val="21"/>
                <w:highlight w:val="none"/>
                <w:lang w:eastAsia="en-US"/>
              </w:rPr>
              <w:t>21005</w:t>
            </w:r>
          </w:p>
        </w:tc>
        <w:tc>
          <w:tcPr>
            <w:tcW w:w="689" w:type="pct"/>
          </w:tcPr>
          <w:p w14:paraId="6FD66ED2">
            <w:pPr>
              <w:pStyle w:val="2857"/>
              <w:widowControl w:val="0"/>
              <w:spacing w:before="91" w:line="221" w:lineRule="auto"/>
              <w:ind w:left="200"/>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UN 编号</w:t>
            </w:r>
          </w:p>
        </w:tc>
        <w:tc>
          <w:tcPr>
            <w:tcW w:w="511" w:type="pct"/>
          </w:tcPr>
          <w:p w14:paraId="106658EA">
            <w:pPr>
              <w:widowControl w:val="0"/>
              <w:spacing w:before="123" w:line="187" w:lineRule="auto"/>
              <w:ind w:left="243"/>
              <w:rPr>
                <w:rFonts w:ascii="Times New Roman" w:hAnsi="Times New Roman" w:cs="Times New Roman" w:eastAsiaTheme="minorEastAsia"/>
                <w:smallCaps/>
                <w:color w:val="auto"/>
                <w:w w:val="99"/>
                <w:kern w:val="2"/>
                <w:sz w:val="21"/>
                <w:szCs w:val="21"/>
                <w:highlight w:val="none"/>
                <w:lang w:eastAsia="en-US"/>
              </w:rPr>
            </w:pPr>
            <w:r>
              <w:rPr>
                <w:rFonts w:ascii="Times New Roman" w:hAnsi="Times New Roman" w:cs="Times New Roman" w:eastAsiaTheme="minorEastAsia"/>
                <w:smallCaps/>
                <w:color w:val="auto"/>
                <w:w w:val="99"/>
                <w:kern w:val="2"/>
                <w:sz w:val="21"/>
                <w:szCs w:val="21"/>
                <w:highlight w:val="none"/>
                <w:lang w:eastAsia="en-US"/>
              </w:rPr>
              <w:t>1016</w:t>
            </w:r>
          </w:p>
        </w:tc>
      </w:tr>
      <w:tr w14:paraId="0F08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2" w:hRule="atLeast"/>
        </w:trPr>
        <w:tc>
          <w:tcPr>
            <w:tcW w:w="484" w:type="pct"/>
            <w:vMerge w:val="restart"/>
          </w:tcPr>
          <w:p w14:paraId="2CA2132A">
            <w:pPr>
              <w:widowControl w:val="0"/>
              <w:spacing w:line="243" w:lineRule="auto"/>
              <w:rPr>
                <w:rFonts w:ascii="Times New Roman" w:hAnsi="Times New Roman" w:cs="Times New Roman" w:eastAsiaTheme="minorEastAsia"/>
                <w:smallCaps/>
                <w:color w:val="auto"/>
                <w:w w:val="99"/>
                <w:kern w:val="2"/>
                <w:sz w:val="21"/>
                <w:szCs w:val="21"/>
                <w:highlight w:val="none"/>
                <w:lang w:eastAsia="en-US"/>
              </w:rPr>
            </w:pPr>
          </w:p>
          <w:p w14:paraId="60C6038E">
            <w:pPr>
              <w:widowControl w:val="0"/>
              <w:spacing w:line="244" w:lineRule="auto"/>
              <w:rPr>
                <w:rFonts w:ascii="Times New Roman" w:hAnsi="Times New Roman" w:cs="Times New Roman" w:eastAsiaTheme="minorEastAsia"/>
                <w:smallCaps/>
                <w:color w:val="auto"/>
                <w:w w:val="99"/>
                <w:kern w:val="2"/>
                <w:sz w:val="21"/>
                <w:szCs w:val="21"/>
                <w:highlight w:val="none"/>
                <w:lang w:eastAsia="en-US"/>
              </w:rPr>
            </w:pPr>
          </w:p>
          <w:p w14:paraId="27833B80">
            <w:pPr>
              <w:widowControl w:val="0"/>
              <w:spacing w:line="244" w:lineRule="auto"/>
              <w:rPr>
                <w:rFonts w:ascii="Times New Roman" w:hAnsi="Times New Roman" w:cs="Times New Roman" w:eastAsiaTheme="minorEastAsia"/>
                <w:smallCaps/>
                <w:color w:val="auto"/>
                <w:w w:val="99"/>
                <w:kern w:val="2"/>
                <w:sz w:val="21"/>
                <w:szCs w:val="21"/>
                <w:highlight w:val="none"/>
                <w:lang w:eastAsia="en-US"/>
              </w:rPr>
            </w:pPr>
          </w:p>
          <w:p w14:paraId="708E59F7">
            <w:pPr>
              <w:widowControl w:val="0"/>
              <w:spacing w:line="244" w:lineRule="auto"/>
              <w:rPr>
                <w:rFonts w:ascii="Times New Roman" w:hAnsi="Times New Roman" w:cs="Times New Roman" w:eastAsiaTheme="minorEastAsia"/>
                <w:smallCaps/>
                <w:color w:val="auto"/>
                <w:w w:val="99"/>
                <w:kern w:val="2"/>
                <w:sz w:val="21"/>
                <w:szCs w:val="21"/>
                <w:highlight w:val="none"/>
                <w:lang w:eastAsia="en-US"/>
              </w:rPr>
            </w:pPr>
          </w:p>
          <w:p w14:paraId="201E48FA">
            <w:pPr>
              <w:pStyle w:val="2857"/>
              <w:widowControl w:val="0"/>
              <w:spacing w:before="69" w:line="241" w:lineRule="auto"/>
              <w:ind w:left="217" w:right="189"/>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理化性质</w:t>
            </w:r>
          </w:p>
        </w:tc>
        <w:tc>
          <w:tcPr>
            <w:tcW w:w="2350" w:type="pct"/>
          </w:tcPr>
          <w:p w14:paraId="44E25631">
            <w:pPr>
              <w:pStyle w:val="2857"/>
              <w:widowControl w:val="0"/>
              <w:spacing w:before="166" w:line="221" w:lineRule="auto"/>
              <w:ind w:left="739"/>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外观及性状：无色无臭气体</w:t>
            </w:r>
          </w:p>
        </w:tc>
        <w:tc>
          <w:tcPr>
            <w:tcW w:w="2165" w:type="pct"/>
            <w:gridSpan w:val="4"/>
          </w:tcPr>
          <w:p w14:paraId="3A11788F">
            <w:pPr>
              <w:pStyle w:val="2857"/>
              <w:widowControl w:val="0"/>
              <w:spacing w:before="32" w:line="220" w:lineRule="auto"/>
              <w:ind w:left="164"/>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溶解性：微溶于水，溶于乙醇、苯等</w:t>
            </w:r>
          </w:p>
          <w:p w14:paraId="4B4AC8DC">
            <w:pPr>
              <w:pStyle w:val="2857"/>
              <w:widowControl w:val="0"/>
              <w:spacing w:before="21" w:line="209" w:lineRule="auto"/>
              <w:ind w:left="1223"/>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多数有机溶济</w:t>
            </w:r>
          </w:p>
        </w:tc>
      </w:tr>
      <w:tr w14:paraId="69158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484" w:type="pct"/>
            <w:vMerge w:val="continue"/>
          </w:tcPr>
          <w:p w14:paraId="5461D1EE">
            <w:pPr>
              <w:widowControl w:val="0"/>
              <w:rPr>
                <w:rFonts w:ascii="Times New Roman" w:hAnsi="Times New Roman" w:cs="Times New Roman" w:eastAsiaTheme="minorEastAsia"/>
                <w:smallCaps/>
                <w:color w:val="auto"/>
                <w:w w:val="99"/>
                <w:kern w:val="2"/>
                <w:sz w:val="21"/>
                <w:szCs w:val="21"/>
                <w:highlight w:val="none"/>
                <w:lang w:eastAsia="en-US"/>
              </w:rPr>
            </w:pPr>
          </w:p>
        </w:tc>
        <w:tc>
          <w:tcPr>
            <w:tcW w:w="2350" w:type="pct"/>
          </w:tcPr>
          <w:p w14:paraId="47BF8C80">
            <w:pPr>
              <w:pStyle w:val="2857"/>
              <w:widowControl w:val="0"/>
              <w:spacing w:before="93" w:line="213" w:lineRule="auto"/>
              <w:ind w:left="1163"/>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熔点(℃)：-199.1</w:t>
            </w:r>
          </w:p>
        </w:tc>
        <w:tc>
          <w:tcPr>
            <w:tcW w:w="2165" w:type="pct"/>
            <w:gridSpan w:val="4"/>
          </w:tcPr>
          <w:p w14:paraId="1A7DD9B4">
            <w:pPr>
              <w:pStyle w:val="2857"/>
              <w:widowControl w:val="0"/>
              <w:spacing w:before="93" w:line="213" w:lineRule="auto"/>
              <w:ind w:left="1009"/>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沸点(℃)：-191.4</w:t>
            </w:r>
          </w:p>
        </w:tc>
      </w:tr>
      <w:tr w14:paraId="7906E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484" w:type="pct"/>
            <w:vMerge w:val="continue"/>
          </w:tcPr>
          <w:p w14:paraId="791B53B5">
            <w:pPr>
              <w:widowControl w:val="0"/>
              <w:rPr>
                <w:rFonts w:ascii="Times New Roman" w:hAnsi="Times New Roman" w:cs="Times New Roman" w:eastAsiaTheme="minorEastAsia"/>
                <w:smallCaps/>
                <w:color w:val="auto"/>
                <w:w w:val="99"/>
                <w:kern w:val="2"/>
                <w:sz w:val="21"/>
                <w:szCs w:val="21"/>
                <w:highlight w:val="none"/>
                <w:lang w:eastAsia="en-US"/>
              </w:rPr>
            </w:pPr>
          </w:p>
        </w:tc>
        <w:tc>
          <w:tcPr>
            <w:tcW w:w="2350" w:type="pct"/>
          </w:tcPr>
          <w:p w14:paraId="28672C82">
            <w:pPr>
              <w:pStyle w:val="2857"/>
              <w:widowControl w:val="0"/>
              <w:spacing w:before="55" w:line="284" w:lineRule="exact"/>
              <w:ind w:left="665"/>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相对密度(水=1)：0.79(252℃)</w:t>
            </w:r>
          </w:p>
        </w:tc>
        <w:tc>
          <w:tcPr>
            <w:tcW w:w="2165" w:type="pct"/>
            <w:gridSpan w:val="4"/>
          </w:tcPr>
          <w:p w14:paraId="1923447B">
            <w:pPr>
              <w:pStyle w:val="2857"/>
              <w:widowControl w:val="0"/>
              <w:spacing w:before="55" w:line="284" w:lineRule="exact"/>
              <w:ind w:left="742"/>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相对密度：(空气=1)0.97</w:t>
            </w:r>
          </w:p>
        </w:tc>
      </w:tr>
      <w:tr w14:paraId="684EF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484" w:type="pct"/>
            <w:vMerge w:val="continue"/>
          </w:tcPr>
          <w:p w14:paraId="17E24298">
            <w:pPr>
              <w:widowControl w:val="0"/>
              <w:rPr>
                <w:rFonts w:ascii="Times New Roman" w:hAnsi="Times New Roman" w:cs="Times New Roman" w:eastAsiaTheme="minorEastAsia"/>
                <w:smallCaps/>
                <w:color w:val="auto"/>
                <w:w w:val="99"/>
                <w:kern w:val="2"/>
                <w:sz w:val="21"/>
                <w:szCs w:val="21"/>
                <w:highlight w:val="none"/>
                <w:lang w:eastAsia="en-US"/>
              </w:rPr>
            </w:pPr>
          </w:p>
        </w:tc>
        <w:tc>
          <w:tcPr>
            <w:tcW w:w="2350" w:type="pct"/>
          </w:tcPr>
          <w:p w14:paraId="5E2176F1">
            <w:pPr>
              <w:pStyle w:val="2857"/>
              <w:widowControl w:val="0"/>
              <w:spacing w:before="93" w:line="213" w:lineRule="auto"/>
              <w:ind w:left="383"/>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饱和蒸汽压：（kPa)13.33(-257.9℃)</w:t>
            </w:r>
          </w:p>
        </w:tc>
        <w:tc>
          <w:tcPr>
            <w:tcW w:w="2165" w:type="pct"/>
            <w:gridSpan w:val="4"/>
          </w:tcPr>
          <w:p w14:paraId="44DCDE75">
            <w:pPr>
              <w:pStyle w:val="2857"/>
              <w:widowControl w:val="0"/>
              <w:spacing w:before="93" w:line="220" w:lineRule="auto"/>
              <w:ind w:left="687"/>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禁忌物：强氧化剂、碱类</w:t>
            </w:r>
          </w:p>
        </w:tc>
      </w:tr>
      <w:tr w14:paraId="70D09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484" w:type="pct"/>
            <w:vMerge w:val="continue"/>
          </w:tcPr>
          <w:p w14:paraId="39A6F929">
            <w:pPr>
              <w:widowControl w:val="0"/>
              <w:rPr>
                <w:rFonts w:ascii="Times New Roman" w:hAnsi="Times New Roman" w:cs="Times New Roman" w:eastAsiaTheme="minorEastAsia"/>
                <w:smallCaps/>
                <w:color w:val="auto"/>
                <w:w w:val="99"/>
                <w:kern w:val="2"/>
                <w:sz w:val="21"/>
                <w:szCs w:val="21"/>
                <w:highlight w:val="none"/>
                <w:lang w:eastAsia="en-US"/>
              </w:rPr>
            </w:pPr>
          </w:p>
        </w:tc>
        <w:tc>
          <w:tcPr>
            <w:tcW w:w="2350" w:type="pct"/>
          </w:tcPr>
          <w:p w14:paraId="55B16F16">
            <w:pPr>
              <w:pStyle w:val="2857"/>
              <w:widowControl w:val="0"/>
              <w:spacing w:before="96" w:line="213" w:lineRule="auto"/>
              <w:ind w:left="960"/>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临界压力（MPa)：3.50</w:t>
            </w:r>
          </w:p>
        </w:tc>
        <w:tc>
          <w:tcPr>
            <w:tcW w:w="2165" w:type="pct"/>
            <w:gridSpan w:val="4"/>
          </w:tcPr>
          <w:p w14:paraId="12FF8CFD">
            <w:pPr>
              <w:pStyle w:val="2857"/>
              <w:widowControl w:val="0"/>
              <w:spacing w:before="96" w:line="213" w:lineRule="auto"/>
              <w:ind w:left="809"/>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临界温度 (℃)：-140.2</w:t>
            </w:r>
          </w:p>
        </w:tc>
      </w:tr>
      <w:tr w14:paraId="36625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484" w:type="pct"/>
            <w:vMerge w:val="continue"/>
          </w:tcPr>
          <w:p w14:paraId="0C87F1B4">
            <w:pPr>
              <w:widowControl w:val="0"/>
              <w:rPr>
                <w:rFonts w:ascii="Times New Roman" w:hAnsi="Times New Roman" w:cs="Times New Roman" w:eastAsiaTheme="minorEastAsia"/>
                <w:smallCaps/>
                <w:color w:val="auto"/>
                <w:w w:val="99"/>
                <w:kern w:val="2"/>
                <w:sz w:val="21"/>
                <w:szCs w:val="21"/>
                <w:highlight w:val="none"/>
                <w:lang w:eastAsia="en-US"/>
              </w:rPr>
            </w:pPr>
          </w:p>
        </w:tc>
        <w:tc>
          <w:tcPr>
            <w:tcW w:w="2350" w:type="pct"/>
          </w:tcPr>
          <w:p w14:paraId="56504674">
            <w:pPr>
              <w:pStyle w:val="2857"/>
              <w:widowControl w:val="0"/>
              <w:spacing w:before="93" w:line="221" w:lineRule="auto"/>
              <w:ind w:left="1472"/>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稳定性：稳</w:t>
            </w:r>
          </w:p>
        </w:tc>
        <w:tc>
          <w:tcPr>
            <w:tcW w:w="2165" w:type="pct"/>
            <w:gridSpan w:val="4"/>
          </w:tcPr>
          <w:p w14:paraId="60ABB598">
            <w:pPr>
              <w:pStyle w:val="2857"/>
              <w:widowControl w:val="0"/>
              <w:spacing w:before="94" w:line="221" w:lineRule="auto"/>
              <w:ind w:left="1010"/>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聚合危害：不聚合</w:t>
            </w:r>
          </w:p>
        </w:tc>
      </w:tr>
      <w:tr w14:paraId="3304F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484" w:type="pct"/>
            <w:vMerge w:val="restart"/>
          </w:tcPr>
          <w:p w14:paraId="77026EFF">
            <w:pPr>
              <w:widowControl w:val="0"/>
              <w:spacing w:line="242" w:lineRule="auto"/>
              <w:rPr>
                <w:rFonts w:ascii="Times New Roman" w:hAnsi="Times New Roman" w:cs="Times New Roman" w:eastAsiaTheme="minorEastAsia"/>
                <w:smallCaps/>
                <w:color w:val="auto"/>
                <w:w w:val="99"/>
                <w:kern w:val="2"/>
                <w:sz w:val="21"/>
                <w:szCs w:val="21"/>
                <w:highlight w:val="none"/>
                <w:lang w:eastAsia="en-US"/>
              </w:rPr>
            </w:pPr>
          </w:p>
          <w:p w14:paraId="336934EF">
            <w:pPr>
              <w:widowControl w:val="0"/>
              <w:spacing w:line="242" w:lineRule="auto"/>
              <w:rPr>
                <w:rFonts w:ascii="Times New Roman" w:hAnsi="Times New Roman" w:cs="Times New Roman" w:eastAsiaTheme="minorEastAsia"/>
                <w:smallCaps/>
                <w:color w:val="auto"/>
                <w:w w:val="99"/>
                <w:kern w:val="2"/>
                <w:sz w:val="21"/>
                <w:szCs w:val="21"/>
                <w:highlight w:val="none"/>
                <w:lang w:eastAsia="en-US"/>
              </w:rPr>
            </w:pPr>
          </w:p>
          <w:p w14:paraId="662077E2">
            <w:pPr>
              <w:widowControl w:val="0"/>
              <w:spacing w:line="242" w:lineRule="auto"/>
              <w:rPr>
                <w:rFonts w:ascii="Times New Roman" w:hAnsi="Times New Roman" w:cs="Times New Roman" w:eastAsiaTheme="minorEastAsia"/>
                <w:smallCaps/>
                <w:color w:val="auto"/>
                <w:w w:val="99"/>
                <w:kern w:val="2"/>
                <w:sz w:val="21"/>
                <w:szCs w:val="21"/>
                <w:highlight w:val="none"/>
                <w:lang w:eastAsia="en-US"/>
              </w:rPr>
            </w:pPr>
          </w:p>
          <w:p w14:paraId="06A408C0">
            <w:pPr>
              <w:widowControl w:val="0"/>
              <w:spacing w:line="242" w:lineRule="auto"/>
              <w:rPr>
                <w:rFonts w:ascii="Times New Roman" w:hAnsi="Times New Roman" w:cs="Times New Roman" w:eastAsiaTheme="minorEastAsia"/>
                <w:smallCaps/>
                <w:color w:val="auto"/>
                <w:w w:val="99"/>
                <w:kern w:val="2"/>
                <w:sz w:val="21"/>
                <w:szCs w:val="21"/>
                <w:highlight w:val="none"/>
                <w:lang w:eastAsia="en-US"/>
              </w:rPr>
            </w:pPr>
          </w:p>
          <w:p w14:paraId="5DF05396">
            <w:pPr>
              <w:widowControl w:val="0"/>
              <w:spacing w:line="242" w:lineRule="auto"/>
              <w:rPr>
                <w:rFonts w:ascii="Times New Roman" w:hAnsi="Times New Roman" w:cs="Times New Roman" w:eastAsiaTheme="minorEastAsia"/>
                <w:smallCaps/>
                <w:color w:val="auto"/>
                <w:w w:val="99"/>
                <w:kern w:val="2"/>
                <w:sz w:val="21"/>
                <w:szCs w:val="21"/>
                <w:highlight w:val="none"/>
                <w:lang w:eastAsia="en-US"/>
              </w:rPr>
            </w:pPr>
          </w:p>
          <w:p w14:paraId="67C39747">
            <w:pPr>
              <w:widowControl w:val="0"/>
              <w:spacing w:line="242" w:lineRule="auto"/>
              <w:rPr>
                <w:rFonts w:ascii="Times New Roman" w:hAnsi="Times New Roman" w:cs="Times New Roman" w:eastAsiaTheme="minorEastAsia"/>
                <w:smallCaps/>
                <w:color w:val="auto"/>
                <w:w w:val="99"/>
                <w:kern w:val="2"/>
                <w:sz w:val="21"/>
                <w:szCs w:val="21"/>
                <w:highlight w:val="none"/>
                <w:lang w:eastAsia="en-US"/>
              </w:rPr>
            </w:pPr>
          </w:p>
          <w:p w14:paraId="558F6D50">
            <w:pPr>
              <w:pStyle w:val="2857"/>
              <w:widowControl w:val="0"/>
              <w:spacing w:before="69"/>
              <w:ind w:left="214" w:right="189" w:firstLine="2"/>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危险特性</w:t>
            </w:r>
          </w:p>
        </w:tc>
        <w:tc>
          <w:tcPr>
            <w:tcW w:w="2350" w:type="pct"/>
          </w:tcPr>
          <w:p w14:paraId="7A616CD4">
            <w:pPr>
              <w:pStyle w:val="2857"/>
              <w:widowControl w:val="0"/>
              <w:spacing w:before="93" w:line="221" w:lineRule="auto"/>
              <w:ind w:left="560"/>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危险性类别：第 2.1 类易燃气体</w:t>
            </w:r>
          </w:p>
        </w:tc>
        <w:tc>
          <w:tcPr>
            <w:tcW w:w="2165" w:type="pct"/>
            <w:gridSpan w:val="4"/>
          </w:tcPr>
          <w:p w14:paraId="0698E7E5">
            <w:pPr>
              <w:pStyle w:val="2857"/>
              <w:widowControl w:val="0"/>
              <w:spacing w:before="93" w:line="220" w:lineRule="auto"/>
              <w:ind w:left="1213"/>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燃烧性：易燃</w:t>
            </w:r>
          </w:p>
        </w:tc>
      </w:tr>
      <w:tr w14:paraId="5193B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484" w:type="pct"/>
            <w:vMerge w:val="continue"/>
          </w:tcPr>
          <w:p w14:paraId="61AFEAAB">
            <w:pPr>
              <w:widowControl w:val="0"/>
              <w:rPr>
                <w:rFonts w:ascii="Times New Roman" w:hAnsi="Times New Roman" w:cs="Times New Roman" w:eastAsiaTheme="minorEastAsia"/>
                <w:smallCaps/>
                <w:color w:val="auto"/>
                <w:w w:val="99"/>
                <w:kern w:val="2"/>
                <w:sz w:val="21"/>
                <w:szCs w:val="21"/>
                <w:highlight w:val="none"/>
                <w:lang w:eastAsia="en-US"/>
              </w:rPr>
            </w:pPr>
          </w:p>
        </w:tc>
        <w:tc>
          <w:tcPr>
            <w:tcW w:w="2350" w:type="pct"/>
          </w:tcPr>
          <w:p w14:paraId="34CA870D">
            <w:pPr>
              <w:pStyle w:val="2857"/>
              <w:widowControl w:val="0"/>
              <w:spacing w:before="94" w:line="213" w:lineRule="auto"/>
              <w:ind w:left="1081"/>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引燃温度 (℃)：610</w:t>
            </w:r>
          </w:p>
        </w:tc>
        <w:tc>
          <w:tcPr>
            <w:tcW w:w="2165" w:type="pct"/>
            <w:gridSpan w:val="4"/>
          </w:tcPr>
          <w:p w14:paraId="58ABCAE6">
            <w:pPr>
              <w:pStyle w:val="2857"/>
              <w:widowControl w:val="0"/>
              <w:spacing w:before="94" w:line="213" w:lineRule="auto"/>
              <w:ind w:left="1100"/>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闪点(℃)：&lt;-50</w:t>
            </w:r>
          </w:p>
        </w:tc>
      </w:tr>
      <w:tr w14:paraId="6F1E1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484" w:type="pct"/>
            <w:vMerge w:val="continue"/>
          </w:tcPr>
          <w:p w14:paraId="2ADA356A">
            <w:pPr>
              <w:widowControl w:val="0"/>
              <w:rPr>
                <w:rFonts w:ascii="Times New Roman" w:hAnsi="Times New Roman" w:cs="Times New Roman" w:eastAsiaTheme="minorEastAsia"/>
                <w:smallCaps/>
                <w:color w:val="auto"/>
                <w:w w:val="99"/>
                <w:kern w:val="2"/>
                <w:sz w:val="21"/>
                <w:szCs w:val="21"/>
                <w:highlight w:val="none"/>
                <w:lang w:eastAsia="en-US"/>
              </w:rPr>
            </w:pPr>
          </w:p>
        </w:tc>
        <w:tc>
          <w:tcPr>
            <w:tcW w:w="2350" w:type="pct"/>
          </w:tcPr>
          <w:p w14:paraId="103FFF26">
            <w:pPr>
              <w:pStyle w:val="2857"/>
              <w:widowControl w:val="0"/>
              <w:spacing w:before="94" w:line="213" w:lineRule="auto"/>
              <w:ind w:left="1061"/>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爆炸下限（%)：12.5</w:t>
            </w:r>
          </w:p>
        </w:tc>
        <w:tc>
          <w:tcPr>
            <w:tcW w:w="2165" w:type="pct"/>
            <w:gridSpan w:val="4"/>
          </w:tcPr>
          <w:p w14:paraId="022C0DE7">
            <w:pPr>
              <w:pStyle w:val="2857"/>
              <w:widowControl w:val="0"/>
              <w:spacing w:before="94" w:line="213" w:lineRule="auto"/>
              <w:ind w:left="905"/>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爆炸上限（%)：74.2</w:t>
            </w:r>
          </w:p>
        </w:tc>
      </w:tr>
      <w:tr w14:paraId="01D45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484" w:type="pct"/>
            <w:vMerge w:val="continue"/>
          </w:tcPr>
          <w:p w14:paraId="70DD3B34">
            <w:pPr>
              <w:widowControl w:val="0"/>
              <w:rPr>
                <w:rFonts w:ascii="Times New Roman" w:hAnsi="Times New Roman" w:cs="Times New Roman" w:eastAsiaTheme="minorEastAsia"/>
                <w:smallCaps/>
                <w:color w:val="auto"/>
                <w:w w:val="99"/>
                <w:kern w:val="2"/>
                <w:sz w:val="21"/>
                <w:szCs w:val="21"/>
                <w:highlight w:val="none"/>
                <w:lang w:eastAsia="en-US"/>
              </w:rPr>
            </w:pPr>
          </w:p>
        </w:tc>
        <w:tc>
          <w:tcPr>
            <w:tcW w:w="2350" w:type="pct"/>
          </w:tcPr>
          <w:p w14:paraId="72353B4A">
            <w:pPr>
              <w:pStyle w:val="2857"/>
              <w:widowControl w:val="0"/>
              <w:spacing w:before="95" w:line="213" w:lineRule="auto"/>
              <w:ind w:left="728"/>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最小点火能（MJ)：0.3～0.4</w:t>
            </w:r>
          </w:p>
        </w:tc>
        <w:tc>
          <w:tcPr>
            <w:tcW w:w="2165" w:type="pct"/>
            <w:gridSpan w:val="4"/>
          </w:tcPr>
          <w:p w14:paraId="7F307A65">
            <w:pPr>
              <w:pStyle w:val="2857"/>
              <w:widowControl w:val="0"/>
              <w:spacing w:before="95" w:line="213" w:lineRule="auto"/>
              <w:ind w:left="534"/>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最大爆炸压力（MPa)：0.720</w:t>
            </w:r>
          </w:p>
        </w:tc>
      </w:tr>
      <w:tr w14:paraId="67C31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484" w:type="pct"/>
            <w:vMerge w:val="continue"/>
          </w:tcPr>
          <w:p w14:paraId="4B706B26">
            <w:pPr>
              <w:widowControl w:val="0"/>
              <w:rPr>
                <w:rFonts w:ascii="Times New Roman" w:hAnsi="Times New Roman" w:cs="Times New Roman" w:eastAsiaTheme="minorEastAsia"/>
                <w:smallCaps/>
                <w:color w:val="auto"/>
                <w:w w:val="99"/>
                <w:kern w:val="2"/>
                <w:sz w:val="21"/>
                <w:szCs w:val="21"/>
                <w:highlight w:val="none"/>
                <w:lang w:eastAsia="en-US"/>
              </w:rPr>
            </w:pPr>
          </w:p>
        </w:tc>
        <w:tc>
          <w:tcPr>
            <w:tcW w:w="2350" w:type="pct"/>
          </w:tcPr>
          <w:p w14:paraId="32CB742A">
            <w:pPr>
              <w:pStyle w:val="2857"/>
              <w:widowControl w:val="0"/>
              <w:spacing w:before="95" w:line="213" w:lineRule="auto"/>
              <w:ind w:left="901"/>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燃烧热（j/mol)：285624</w:t>
            </w:r>
          </w:p>
        </w:tc>
        <w:tc>
          <w:tcPr>
            <w:tcW w:w="2165" w:type="pct"/>
            <w:gridSpan w:val="4"/>
          </w:tcPr>
          <w:p w14:paraId="42343431">
            <w:pPr>
              <w:pStyle w:val="2857"/>
              <w:widowControl w:val="0"/>
              <w:spacing w:before="95" w:line="220" w:lineRule="auto"/>
              <w:ind w:left="477"/>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燃烧（分解）产物：二氧化碳</w:t>
            </w:r>
          </w:p>
        </w:tc>
      </w:tr>
      <w:tr w14:paraId="04C25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2" w:hRule="atLeast"/>
        </w:trPr>
        <w:tc>
          <w:tcPr>
            <w:tcW w:w="484" w:type="pct"/>
            <w:vMerge w:val="continue"/>
          </w:tcPr>
          <w:p w14:paraId="42C2FF02">
            <w:pPr>
              <w:widowControl w:val="0"/>
              <w:rPr>
                <w:rFonts w:ascii="Times New Roman" w:hAnsi="Times New Roman" w:cs="Times New Roman" w:eastAsiaTheme="minorEastAsia"/>
                <w:smallCaps/>
                <w:color w:val="auto"/>
                <w:w w:val="99"/>
                <w:kern w:val="2"/>
                <w:sz w:val="21"/>
                <w:szCs w:val="21"/>
                <w:highlight w:val="none"/>
                <w:lang w:eastAsia="en-US"/>
              </w:rPr>
            </w:pPr>
          </w:p>
        </w:tc>
        <w:tc>
          <w:tcPr>
            <w:tcW w:w="4515" w:type="pct"/>
            <w:gridSpan w:val="5"/>
          </w:tcPr>
          <w:p w14:paraId="4DBDC884">
            <w:pPr>
              <w:pStyle w:val="2857"/>
              <w:widowControl w:val="0"/>
              <w:spacing w:before="34" w:line="223" w:lineRule="auto"/>
              <w:ind w:left="115" w:right="196"/>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危险特性：是一种易燃易爆气体，与空气混合能形成爆炸性混合物，遇明火、高温能引起燃烧爆炸。</w:t>
            </w:r>
          </w:p>
        </w:tc>
      </w:tr>
      <w:tr w14:paraId="2A336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484" w:type="pct"/>
            <w:vMerge w:val="continue"/>
          </w:tcPr>
          <w:p w14:paraId="2DFD1241">
            <w:pPr>
              <w:widowControl w:val="0"/>
              <w:rPr>
                <w:rFonts w:ascii="Times New Roman" w:hAnsi="Times New Roman" w:cs="Times New Roman" w:eastAsiaTheme="minorEastAsia"/>
                <w:smallCaps/>
                <w:color w:val="auto"/>
                <w:w w:val="99"/>
                <w:kern w:val="2"/>
                <w:sz w:val="21"/>
                <w:szCs w:val="21"/>
                <w:highlight w:val="none"/>
                <w:lang w:eastAsia="en-US"/>
              </w:rPr>
            </w:pPr>
          </w:p>
        </w:tc>
        <w:tc>
          <w:tcPr>
            <w:tcW w:w="4515" w:type="pct"/>
            <w:gridSpan w:val="5"/>
          </w:tcPr>
          <w:p w14:paraId="60B21097">
            <w:pPr>
              <w:pStyle w:val="2857"/>
              <w:widowControl w:val="0"/>
              <w:spacing w:before="33" w:line="222" w:lineRule="auto"/>
              <w:ind w:left="116" w:right="196"/>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灭火方法：切断气源。若不能切断气源，则不允许熄灭正在燃烧的气体，喷水冷却容器，可能的话将容器从火场移至空旷处。</w:t>
            </w:r>
          </w:p>
        </w:tc>
      </w:tr>
      <w:tr w14:paraId="325A0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484" w:type="pct"/>
            <w:vMerge w:val="continue"/>
          </w:tcPr>
          <w:p w14:paraId="120C638E">
            <w:pPr>
              <w:widowControl w:val="0"/>
              <w:rPr>
                <w:rFonts w:ascii="Times New Roman" w:hAnsi="Times New Roman" w:cs="Times New Roman" w:eastAsiaTheme="minorEastAsia"/>
                <w:smallCaps/>
                <w:color w:val="auto"/>
                <w:w w:val="99"/>
                <w:kern w:val="2"/>
                <w:sz w:val="21"/>
                <w:szCs w:val="21"/>
                <w:highlight w:val="none"/>
                <w:lang w:eastAsia="en-US"/>
              </w:rPr>
            </w:pPr>
          </w:p>
        </w:tc>
        <w:tc>
          <w:tcPr>
            <w:tcW w:w="4515" w:type="pct"/>
            <w:gridSpan w:val="5"/>
          </w:tcPr>
          <w:p w14:paraId="0054053F">
            <w:pPr>
              <w:pStyle w:val="2857"/>
              <w:widowControl w:val="0"/>
              <w:spacing w:before="95" w:line="220" w:lineRule="auto"/>
              <w:ind w:left="116"/>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灭火剂：泡沫、二氧化碳、雾状水、干粉。</w:t>
            </w:r>
          </w:p>
        </w:tc>
      </w:tr>
      <w:tr w14:paraId="57E76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8" w:hRule="atLeast"/>
        </w:trPr>
        <w:tc>
          <w:tcPr>
            <w:tcW w:w="484" w:type="pct"/>
            <w:vMerge w:val="restart"/>
          </w:tcPr>
          <w:p w14:paraId="41CD4F73">
            <w:pPr>
              <w:widowControl w:val="0"/>
              <w:spacing w:line="276" w:lineRule="auto"/>
              <w:rPr>
                <w:rFonts w:ascii="Times New Roman" w:hAnsi="Times New Roman" w:cs="Times New Roman" w:eastAsiaTheme="minorEastAsia"/>
                <w:smallCaps/>
                <w:color w:val="auto"/>
                <w:w w:val="99"/>
                <w:kern w:val="2"/>
                <w:sz w:val="21"/>
                <w:szCs w:val="21"/>
                <w:highlight w:val="none"/>
                <w:lang w:eastAsia="en-US"/>
              </w:rPr>
            </w:pPr>
          </w:p>
          <w:p w14:paraId="7C6DB834">
            <w:pPr>
              <w:widowControl w:val="0"/>
              <w:spacing w:line="276" w:lineRule="auto"/>
              <w:rPr>
                <w:rFonts w:ascii="Times New Roman" w:hAnsi="Times New Roman" w:cs="Times New Roman" w:eastAsiaTheme="minorEastAsia"/>
                <w:smallCaps/>
                <w:color w:val="auto"/>
                <w:w w:val="99"/>
                <w:kern w:val="2"/>
                <w:sz w:val="21"/>
                <w:szCs w:val="21"/>
                <w:highlight w:val="none"/>
                <w:lang w:eastAsia="en-US"/>
              </w:rPr>
            </w:pPr>
          </w:p>
          <w:p w14:paraId="1840A365">
            <w:pPr>
              <w:widowControl w:val="0"/>
              <w:spacing w:line="277" w:lineRule="auto"/>
              <w:rPr>
                <w:rFonts w:ascii="Times New Roman" w:hAnsi="Times New Roman" w:cs="Times New Roman" w:eastAsiaTheme="minorEastAsia"/>
                <w:smallCaps/>
                <w:color w:val="auto"/>
                <w:w w:val="99"/>
                <w:kern w:val="2"/>
                <w:sz w:val="21"/>
                <w:szCs w:val="21"/>
                <w:highlight w:val="none"/>
                <w:lang w:eastAsia="en-US"/>
              </w:rPr>
            </w:pPr>
          </w:p>
          <w:p w14:paraId="02C920F4">
            <w:pPr>
              <w:widowControl w:val="0"/>
              <w:spacing w:line="277" w:lineRule="auto"/>
              <w:rPr>
                <w:rFonts w:ascii="Times New Roman" w:hAnsi="Times New Roman" w:cs="Times New Roman" w:eastAsiaTheme="minorEastAsia"/>
                <w:smallCaps/>
                <w:color w:val="auto"/>
                <w:w w:val="99"/>
                <w:kern w:val="2"/>
                <w:sz w:val="21"/>
                <w:szCs w:val="21"/>
                <w:highlight w:val="none"/>
                <w:lang w:eastAsia="en-US"/>
              </w:rPr>
            </w:pPr>
          </w:p>
          <w:p w14:paraId="7901DA26">
            <w:pPr>
              <w:widowControl w:val="0"/>
              <w:spacing w:line="277" w:lineRule="auto"/>
              <w:rPr>
                <w:rFonts w:ascii="Times New Roman" w:hAnsi="Times New Roman" w:cs="Times New Roman" w:eastAsiaTheme="minorEastAsia"/>
                <w:smallCaps/>
                <w:color w:val="auto"/>
                <w:w w:val="99"/>
                <w:kern w:val="2"/>
                <w:sz w:val="21"/>
                <w:szCs w:val="21"/>
                <w:highlight w:val="none"/>
                <w:lang w:eastAsia="en-US"/>
              </w:rPr>
            </w:pPr>
          </w:p>
          <w:p w14:paraId="571AD5C6">
            <w:pPr>
              <w:widowControl w:val="0"/>
              <w:spacing w:line="277" w:lineRule="auto"/>
              <w:rPr>
                <w:rFonts w:ascii="Times New Roman" w:hAnsi="Times New Roman" w:cs="Times New Roman" w:eastAsiaTheme="minorEastAsia"/>
                <w:smallCaps/>
                <w:color w:val="auto"/>
                <w:w w:val="99"/>
                <w:kern w:val="2"/>
                <w:sz w:val="21"/>
                <w:szCs w:val="21"/>
                <w:highlight w:val="none"/>
                <w:lang w:eastAsia="en-US"/>
              </w:rPr>
            </w:pPr>
          </w:p>
          <w:p w14:paraId="3B87E1F9">
            <w:pPr>
              <w:pStyle w:val="2857"/>
              <w:widowControl w:val="0"/>
              <w:spacing w:before="69" w:line="243" w:lineRule="auto"/>
              <w:ind w:left="216" w:right="189" w:hanging="2"/>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健康危害</w:t>
            </w:r>
          </w:p>
        </w:tc>
        <w:tc>
          <w:tcPr>
            <w:tcW w:w="4515" w:type="pct"/>
            <w:gridSpan w:val="5"/>
          </w:tcPr>
          <w:p w14:paraId="66F4ED83">
            <w:pPr>
              <w:pStyle w:val="2857"/>
              <w:widowControl w:val="0"/>
              <w:spacing w:before="32" w:line="221" w:lineRule="auto"/>
              <w:ind w:left="115"/>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侵入途径：吸入</w:t>
            </w:r>
          </w:p>
          <w:p w14:paraId="5D48B58C">
            <w:pPr>
              <w:pStyle w:val="2857"/>
              <w:widowControl w:val="0"/>
              <w:spacing w:before="22" w:line="220" w:lineRule="auto"/>
              <w:ind w:left="113"/>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健康危害：CO 在血液中与血红蛋白结合而造成组织缺氧。</w:t>
            </w:r>
          </w:p>
          <w:p w14:paraId="49699878">
            <w:pPr>
              <w:pStyle w:val="2857"/>
              <w:widowControl w:val="0"/>
              <w:spacing w:before="20"/>
              <w:ind w:left="113" w:right="181" w:firstLine="6"/>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急性中毒：轻度中毒者出现头痛、头晕、耳鸣、心悸、恶心、呕吐、无力，血液碳氧血红蛋白浓度可高于 10%，中度中毒者除上述症状外，还有皮肤粘膜呈樱红色、脉快、烦躁、步态不稳、浅至中度昏迷，血液碳氧血红蛋白浓度可高于</w:t>
            </w:r>
          </w:p>
          <w:p w14:paraId="730B20E9">
            <w:pPr>
              <w:pStyle w:val="2857"/>
              <w:widowControl w:val="0"/>
              <w:spacing w:line="219" w:lineRule="auto"/>
              <w:ind w:left="113"/>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30% ：重度患者深度昏危迷、瞳孔缩小、肌张力增强、</w:t>
            </w:r>
          </w:p>
          <w:p w14:paraId="0CFA8B60">
            <w:pPr>
              <w:pStyle w:val="2857"/>
              <w:widowControl w:val="0"/>
              <w:spacing w:before="21"/>
              <w:ind w:left="113" w:right="179"/>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频繁抽搐、大小便失禁、休克、肺水肿、严重心肌损害等，血液碳氧血红蛋白可高于 50% 。部分患者昏迷苏醒后，又可能出现迟发性脑病，以意识精神障碍、锥体系或锥体外系损害为主。</w:t>
            </w:r>
          </w:p>
          <w:p w14:paraId="02C197C1">
            <w:pPr>
              <w:pStyle w:val="2857"/>
              <w:widowControl w:val="0"/>
              <w:spacing w:before="1" w:line="203" w:lineRule="auto"/>
              <w:ind w:left="114"/>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慢性影响：能否造成慢性中毒及对心血管影响无定论。</w:t>
            </w:r>
          </w:p>
        </w:tc>
      </w:tr>
      <w:tr w14:paraId="3CA6A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3" w:hRule="atLeast"/>
        </w:trPr>
        <w:tc>
          <w:tcPr>
            <w:tcW w:w="484" w:type="pct"/>
            <w:vMerge w:val="continue"/>
          </w:tcPr>
          <w:p w14:paraId="64097F0A">
            <w:pPr>
              <w:widowControl w:val="0"/>
              <w:rPr>
                <w:rFonts w:ascii="Times New Roman" w:hAnsi="Times New Roman" w:cs="Times New Roman" w:eastAsiaTheme="minorEastAsia"/>
                <w:smallCaps/>
                <w:color w:val="auto"/>
                <w:w w:val="99"/>
                <w:kern w:val="2"/>
                <w:sz w:val="21"/>
                <w:szCs w:val="21"/>
                <w:highlight w:val="none"/>
                <w:lang w:eastAsia="en-US"/>
              </w:rPr>
            </w:pPr>
          </w:p>
        </w:tc>
        <w:tc>
          <w:tcPr>
            <w:tcW w:w="4515" w:type="pct"/>
            <w:gridSpan w:val="5"/>
          </w:tcPr>
          <w:p w14:paraId="5B5B93D9">
            <w:pPr>
              <w:pStyle w:val="2857"/>
              <w:widowControl w:val="0"/>
              <w:spacing w:before="34" w:line="239" w:lineRule="auto"/>
              <w:ind w:left="117" w:right="196" w:hanging="1"/>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分患者昏迷苏醒后，又可能出现迟发性脑病，以意识精神障碍、锥体系或锥体外系损害为主。</w:t>
            </w:r>
          </w:p>
          <w:p w14:paraId="6343D747">
            <w:pPr>
              <w:pStyle w:val="2857"/>
              <w:widowControl w:val="0"/>
              <w:spacing w:line="206" w:lineRule="auto"/>
              <w:ind w:left="114"/>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慢性影响：能否造成慢性中毒及对心血管影响无定论。</w:t>
            </w:r>
          </w:p>
        </w:tc>
      </w:tr>
      <w:tr w14:paraId="30569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484" w:type="pct"/>
            <w:vMerge w:val="continue"/>
          </w:tcPr>
          <w:p w14:paraId="60F1F13A">
            <w:pPr>
              <w:widowControl w:val="0"/>
              <w:rPr>
                <w:rFonts w:ascii="Times New Roman" w:hAnsi="Times New Roman" w:cs="Times New Roman" w:eastAsiaTheme="minorEastAsia"/>
                <w:smallCaps/>
                <w:color w:val="auto"/>
                <w:w w:val="99"/>
                <w:kern w:val="2"/>
                <w:sz w:val="21"/>
                <w:szCs w:val="21"/>
                <w:highlight w:val="none"/>
                <w:lang w:eastAsia="en-US"/>
              </w:rPr>
            </w:pPr>
          </w:p>
        </w:tc>
        <w:tc>
          <w:tcPr>
            <w:tcW w:w="4515" w:type="pct"/>
            <w:gridSpan w:val="5"/>
          </w:tcPr>
          <w:p w14:paraId="3CC0179C">
            <w:pPr>
              <w:pStyle w:val="2857"/>
              <w:widowControl w:val="0"/>
              <w:spacing w:before="57" w:line="285" w:lineRule="exact"/>
              <w:ind w:left="116"/>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工作场所最高允许浓度：中国 MAC=30mg/mP3P</w:t>
            </w:r>
          </w:p>
        </w:tc>
      </w:tr>
      <w:tr w14:paraId="31E33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trPr>
        <w:tc>
          <w:tcPr>
            <w:tcW w:w="484" w:type="pct"/>
          </w:tcPr>
          <w:p w14:paraId="050BB042">
            <w:pPr>
              <w:pStyle w:val="2857"/>
              <w:widowControl w:val="0"/>
              <w:spacing w:before="170" w:line="221" w:lineRule="auto"/>
              <w:ind w:left="221"/>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急救</w:t>
            </w:r>
          </w:p>
        </w:tc>
        <w:tc>
          <w:tcPr>
            <w:tcW w:w="4515" w:type="pct"/>
            <w:gridSpan w:val="5"/>
          </w:tcPr>
          <w:p w14:paraId="2C757A57">
            <w:pPr>
              <w:pStyle w:val="2857"/>
              <w:widowControl w:val="0"/>
              <w:spacing w:before="36" w:line="224" w:lineRule="auto"/>
              <w:ind w:left="124" w:right="196" w:hanging="3"/>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吸入：迅速脱离现场至空气新鲜处。保持呼吸道畅通。如呼吸困难，给输氧。如呼吸停止，立即进行人工呼吸，就医。</w:t>
            </w:r>
          </w:p>
        </w:tc>
      </w:tr>
      <w:tr w14:paraId="45F63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trPr>
        <w:tc>
          <w:tcPr>
            <w:tcW w:w="878" w:type="dxa"/>
          </w:tcPr>
          <w:p w14:paraId="74862815">
            <w:pPr>
              <w:widowControl w:val="0"/>
              <w:spacing w:line="371" w:lineRule="auto"/>
              <w:rPr>
                <w:rFonts w:ascii="Times New Roman" w:hAnsi="Times New Roman" w:cs="Times New Roman" w:eastAsiaTheme="minorEastAsia"/>
                <w:smallCaps/>
                <w:color w:val="auto"/>
                <w:w w:val="99"/>
                <w:kern w:val="2"/>
                <w:sz w:val="21"/>
                <w:szCs w:val="21"/>
                <w:highlight w:val="none"/>
                <w:lang w:eastAsia="en-US"/>
              </w:rPr>
            </w:pPr>
          </w:p>
          <w:p w14:paraId="59BCAD61">
            <w:pPr>
              <w:pStyle w:val="2857"/>
              <w:widowControl w:val="0"/>
              <w:spacing w:before="68" w:line="245" w:lineRule="auto"/>
              <w:ind w:left="218" w:right="188"/>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泄漏处理</w:t>
            </w:r>
          </w:p>
        </w:tc>
        <w:tc>
          <w:tcPr>
            <w:tcW w:w="8191" w:type="dxa"/>
            <w:gridSpan w:val="5"/>
          </w:tcPr>
          <w:p w14:paraId="365456E7">
            <w:pPr>
              <w:pStyle w:val="2857"/>
              <w:widowControl/>
              <w:spacing w:before="35" w:line="320" w:lineRule="exact"/>
              <w:ind w:left="113" w:right="299" w:firstLine="2"/>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人员迅速撤离泄漏污染区至上风处，并立即隔离 150m ，严格限制出入。切断火源，建议应急处理人员戴自给正压式呼吸器，穿消防防护服。尽可能切断泄漏</w:t>
            </w:r>
          </w:p>
          <w:p w14:paraId="5C96AEA3">
            <w:pPr>
              <w:pStyle w:val="2857"/>
              <w:widowControl/>
              <w:spacing w:before="1" w:line="320" w:lineRule="exact"/>
              <w:ind w:left="114" w:right="196" w:hanging="1"/>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源。合理通风，加强扩散。喷雾状水稀释、溶解。构筑围堤收容产生的废水。如有可能，将漏出气用排风机排出、装适当喷头烧掉，也可以用管路导至炉中焚</w:t>
            </w:r>
          </w:p>
          <w:p w14:paraId="1BB69170">
            <w:pPr>
              <w:pStyle w:val="2857"/>
              <w:widowControl/>
              <w:spacing w:line="320" w:lineRule="exact"/>
              <w:ind w:left="113"/>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烧。漏气容器要妥善处理、修复、检验后再用。</w:t>
            </w:r>
          </w:p>
        </w:tc>
      </w:tr>
      <w:tr w14:paraId="3045D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trPr>
        <w:tc>
          <w:tcPr>
            <w:tcW w:w="484" w:type="pct"/>
            <w:vAlign w:val="center"/>
          </w:tcPr>
          <w:p w14:paraId="10B29521">
            <w:pPr>
              <w:pStyle w:val="2857"/>
              <w:widowControl w:val="0"/>
              <w:spacing w:line="206" w:lineRule="auto"/>
              <w:ind w:left="114"/>
              <w:jc w:val="center"/>
              <w:rPr>
                <w:rFonts w:ascii="Times New Roman" w:hAnsi="Times New Roman" w:cs="Times New Roman" w:eastAsiaTheme="minorEastAsia"/>
                <w:smallCaps/>
                <w:color w:val="auto"/>
                <w:w w:val="99"/>
                <w:kern w:val="2"/>
                <w:sz w:val="21"/>
                <w:szCs w:val="21"/>
                <w:highlight w:val="none"/>
                <w:lang w:eastAsia="zh-CN"/>
              </w:rPr>
            </w:pPr>
            <w:r>
              <w:rPr>
                <w:rFonts w:hint="eastAsia" w:ascii="Times New Roman" w:hAnsi="Times New Roman" w:cs="Times New Roman" w:eastAsiaTheme="minorEastAsia"/>
                <w:smallCaps/>
                <w:color w:val="auto"/>
                <w:w w:val="99"/>
                <w:kern w:val="2"/>
                <w:sz w:val="21"/>
                <w:szCs w:val="21"/>
                <w:highlight w:val="none"/>
                <w:lang w:eastAsia="zh-CN"/>
              </w:rPr>
              <w:t>储运</w:t>
            </w:r>
          </w:p>
        </w:tc>
        <w:tc>
          <w:tcPr>
            <w:tcW w:w="4515" w:type="pct"/>
            <w:gridSpan w:val="5"/>
          </w:tcPr>
          <w:p w14:paraId="2E0FD407">
            <w:pPr>
              <w:pStyle w:val="2857"/>
              <w:widowControl/>
              <w:spacing w:line="320" w:lineRule="exact"/>
              <w:ind w:left="114"/>
              <w:rPr>
                <w:rFonts w:ascii="Times New Roman" w:hAnsi="Times New Roman" w:cs="Times New Roman" w:eastAsiaTheme="minorEastAsia"/>
                <w:smallCaps/>
                <w:color w:val="auto"/>
                <w:w w:val="99"/>
                <w:kern w:val="2"/>
                <w:sz w:val="21"/>
                <w:szCs w:val="21"/>
                <w:highlight w:val="none"/>
                <w:lang w:eastAsia="zh-CN"/>
              </w:rPr>
            </w:pPr>
            <w:r>
              <w:rPr>
                <w:rFonts w:ascii="Times New Roman" w:hAnsi="Times New Roman" w:cs="Times New Roman" w:eastAsiaTheme="minorEastAsia"/>
                <w:smallCaps/>
                <w:color w:val="auto"/>
                <w:w w:val="99"/>
                <w:kern w:val="2"/>
                <w:sz w:val="21"/>
                <w:szCs w:val="21"/>
                <w:highlight w:val="none"/>
                <w:lang w:eastAsia="zh-CN"/>
              </w:rPr>
              <w:t>储运于阴凉、通风仓间内。仓内温度不宜超过 30℃。远离火种、热源。防止阳光直射。应与氧气、氧化剂等分开存放。切忌混储混运。储存间内的照明、通风等设施应采用防爆型。禁止使用易产生火花的机械设备和工具。</w:t>
            </w:r>
          </w:p>
        </w:tc>
      </w:tr>
    </w:tbl>
    <w:p w14:paraId="034F1985">
      <w:pPr>
        <w:pStyle w:val="7"/>
        <w:widowControl w:val="0"/>
        <w:spacing w:before="60" w:after="60" w:line="440" w:lineRule="exact"/>
        <w:jc w:val="both"/>
        <w:rPr>
          <w:rFonts w:eastAsiaTheme="minorEastAsia"/>
          <w:b/>
          <w:color w:val="auto"/>
          <w:w w:val="99"/>
          <w:kern w:val="2"/>
          <w:sz w:val="24"/>
          <w:szCs w:val="24"/>
          <w:highlight w:val="none"/>
        </w:rPr>
      </w:pPr>
      <w:r>
        <w:rPr>
          <w:rFonts w:eastAsiaTheme="minorEastAsia"/>
          <w:b/>
          <w:color w:val="auto"/>
          <w:w w:val="99"/>
          <w:kern w:val="2"/>
          <w:sz w:val="24"/>
          <w:szCs w:val="24"/>
          <w:highlight w:val="none"/>
        </w:rPr>
        <w:t>5.8.2风险识别</w:t>
      </w:r>
      <w:bookmarkEnd w:id="990"/>
      <w:bookmarkEnd w:id="991"/>
      <w:bookmarkEnd w:id="992"/>
      <w:bookmarkEnd w:id="993"/>
      <w:bookmarkEnd w:id="994"/>
      <w:bookmarkEnd w:id="995"/>
      <w:bookmarkEnd w:id="996"/>
      <w:bookmarkEnd w:id="997"/>
    </w:p>
    <w:p w14:paraId="0C92C8A1">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（1）</w:t>
      </w:r>
      <w:r>
        <w:rPr>
          <w:rFonts w:ascii="Times New Roman" w:hAnsi="Times New Roman" w:cs="Times New Roman"/>
          <w:color w:val="auto"/>
          <w:w w:val="99"/>
          <w:kern w:val="2"/>
          <w:highlight w:val="none"/>
        </w:rPr>
        <w:t>气井泄漏风险</w:t>
      </w:r>
    </w:p>
    <w:p w14:paraId="76277CA3">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本工程运营期由于井场生产过程中管道、阀门等损坏，可能发生天然气泄漏事故。采气厂实施全过程风险因素控制，为井口配备防喷器，制定了详细操作规程和应急预案，因此，在管理到位的情况下，出现气井泄漏的几率不大。</w:t>
      </w:r>
    </w:p>
    <w:p w14:paraId="63E57A3B">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（2）</w:t>
      </w:r>
      <w:r>
        <w:rPr>
          <w:rFonts w:ascii="Times New Roman" w:hAnsi="Times New Roman" w:cs="Times New Roman"/>
          <w:color w:val="auto"/>
          <w:w w:val="99"/>
          <w:kern w:val="2"/>
          <w:highlight w:val="none"/>
        </w:rPr>
        <w:t>气井套损风险</w:t>
      </w:r>
    </w:p>
    <w:p w14:paraId="758F1241">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采气过程的主要环境风险是气井套损，气水泄漏进入含水层，污染地下水。本工程套管采用双层套管（由表层套管、生产套管组成)，运营期造成套损的因素主要有地质因素、工程技术因素和套管腐蚀三大类。</w:t>
      </w:r>
    </w:p>
    <w:p w14:paraId="0CBC4C3D">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地质因素主要包括泥岩遇水膨胀使岩压转移到套管使其变形损坏，断层运移可能对套管产生剪切破坏，由于地壳运动和地震引起的套管损坏以及地面下沉及气层压实导致应力变化，从而使套管在拉张力及剪切力的作用下发生弯曲或错断。</w:t>
      </w:r>
    </w:p>
    <w:p w14:paraId="2EC5871E">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工程技术因素主要有套管强度计算及井深结构设计不合理，泥岩吸水蠕变、滑移产生的横向层间位移侧压力、纵向地层位移产生的拉伸力及纵横向位移产生的弯曲应力对套管的破坏作用</w:t>
      </w:r>
      <w:r>
        <w:rPr>
          <w:rFonts w:hint="eastAsia" w:ascii="Times New Roman" w:hAnsi="Times New Roman" w:cs="Times New Roman"/>
          <w:color w:val="auto"/>
          <w:w w:val="99"/>
          <w:kern w:val="2"/>
          <w:highlight w:val="none"/>
        </w:rPr>
        <w:t>：</w:t>
      </w:r>
      <w:r>
        <w:rPr>
          <w:rFonts w:ascii="Times New Roman" w:hAnsi="Times New Roman" w:cs="Times New Roman"/>
          <w:color w:val="auto"/>
          <w:w w:val="99"/>
          <w:kern w:val="2"/>
          <w:highlight w:val="none"/>
        </w:rPr>
        <w:t>固井质量不好时，会使泥岩吸水蠕变、滑移，对套管产生破坏作用。另外，由于井眼不规则或固井时存在混浆井段，在封固井段内，水泥浆候凝期间放热不均匀，温度的变化使套管热胀冷缩，也易导致套管变形破裂。</w:t>
      </w:r>
    </w:p>
    <w:p w14:paraId="6ADD6442">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套管腐蚀是套管损坏的一种主要诱因，一旦套管腐蚀穿孔则会多点破漏，并会加速套管的疲劳进而过早变形和损坏。它是由原油天然气中含有的硫、CO</w:t>
      </w:r>
      <w:r>
        <w:rPr>
          <w:rFonts w:hint="eastAsia" w:ascii="Times New Roman" w:hAnsi="Times New Roman" w:cs="Times New Roman"/>
          <w:color w:val="auto"/>
          <w:w w:val="99"/>
          <w:kern w:val="2"/>
          <w:highlight w:val="none"/>
          <w:vertAlign w:val="subscript"/>
        </w:rPr>
        <w:t>2</w:t>
      </w:r>
      <w:r>
        <w:rPr>
          <w:rFonts w:ascii="Times New Roman" w:hAnsi="Times New Roman" w:cs="Times New Roman"/>
          <w:color w:val="auto"/>
          <w:w w:val="99"/>
          <w:kern w:val="2"/>
          <w:highlight w:val="none"/>
        </w:rPr>
        <w:t>及地层水和注入水中含有的各种腐蚀性物质与套管中Fe或Fe</w:t>
      </w:r>
      <w:r>
        <w:rPr>
          <w:rFonts w:hint="eastAsia" w:ascii="Times New Roman" w:hAnsi="Times New Roman" w:cs="Times New Roman"/>
          <w:color w:val="auto"/>
          <w:w w:val="99"/>
          <w:kern w:val="2"/>
          <w:highlight w:val="none"/>
          <w:vertAlign w:val="superscript"/>
        </w:rPr>
        <w:t>2+</w:t>
      </w:r>
      <w:r>
        <w:rPr>
          <w:rFonts w:ascii="Times New Roman" w:hAnsi="Times New Roman" w:cs="Times New Roman"/>
          <w:color w:val="auto"/>
          <w:w w:val="99"/>
          <w:kern w:val="2"/>
          <w:highlight w:val="none"/>
        </w:rPr>
        <w:t>发生反应引起的。腐蚀条件包括一定的温度、压力、Fe</w:t>
      </w:r>
      <w:r>
        <w:rPr>
          <w:rFonts w:hint="eastAsia" w:ascii="Times New Roman" w:hAnsi="Times New Roman" w:cs="Times New Roman"/>
          <w:color w:val="auto"/>
          <w:w w:val="99"/>
          <w:kern w:val="2"/>
          <w:highlight w:val="none"/>
          <w:vertAlign w:val="superscript"/>
        </w:rPr>
        <w:t>2+</w:t>
      </w:r>
      <w:r>
        <w:rPr>
          <w:rFonts w:ascii="Times New Roman" w:hAnsi="Times New Roman" w:cs="Times New Roman"/>
          <w:color w:val="auto"/>
          <w:w w:val="99"/>
          <w:kern w:val="2"/>
          <w:highlight w:val="none"/>
        </w:rPr>
        <w:t>浓度及地层水中存在还原菌等，大多与硫酸盐还原菌的作用有关。</w:t>
      </w:r>
    </w:p>
    <w:p w14:paraId="4A5C3A6D">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因此，预防套损污染地下水的关键是合理设计井身结构，采取表套、生产套管双层套管结构，固井水泥均返至井口进行全程固井，对含水层段的套管采取防腐措施，采取以上措施后，发生套损后对地下水的污染可能性较小。</w:t>
      </w:r>
    </w:p>
    <w:p w14:paraId="4F3A4A94">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（3）</w:t>
      </w:r>
      <w:r>
        <w:rPr>
          <w:rFonts w:ascii="Times New Roman" w:hAnsi="Times New Roman" w:cs="Times New Roman"/>
          <w:color w:val="auto"/>
          <w:w w:val="99"/>
          <w:kern w:val="2"/>
          <w:highlight w:val="none"/>
        </w:rPr>
        <w:t>采气管道风险因素分析</w:t>
      </w:r>
    </w:p>
    <w:p w14:paraId="0A4BE796">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采气管道中主要成分为天然气，由于管材本身的质量、施工、运行和管理等各环节都可能出现缺陷和失误，从而导致事故发生。集输管道的常见事故是管线穿孔或破裂导致管道内介质泄漏，会导致天然气外泄，对环境污染较大。如遇明火将引起火灾、爆炸。导致管线事故的主要因素分析如下</w:t>
      </w:r>
      <w:r>
        <w:rPr>
          <w:rFonts w:hint="eastAsia" w:ascii="Times New Roman" w:hAnsi="Times New Roman" w:cs="Times New Roman"/>
          <w:color w:val="auto"/>
          <w:w w:val="99"/>
          <w:kern w:val="2"/>
          <w:highlight w:val="none"/>
        </w:rPr>
        <w:t>：</w:t>
      </w:r>
      <w:r>
        <w:rPr>
          <w:rFonts w:ascii="Times New Roman" w:hAnsi="Times New Roman" w:cs="Times New Roman"/>
          <w:color w:val="auto"/>
          <w:w w:val="99"/>
          <w:kern w:val="2"/>
          <w:highlight w:val="none"/>
        </w:rPr>
        <w:t>管道由于腐蚀造成穿孔，焊缝开裂出现裂纹</w:t>
      </w:r>
      <w:r>
        <w:rPr>
          <w:rFonts w:hint="eastAsia" w:ascii="Times New Roman" w:hAnsi="Times New Roman" w:cs="Times New Roman"/>
          <w:color w:val="auto"/>
          <w:w w:val="99"/>
          <w:kern w:val="2"/>
          <w:highlight w:val="none"/>
        </w:rPr>
        <w:t>；</w:t>
      </w:r>
      <w:r>
        <w:rPr>
          <w:rFonts w:ascii="Times New Roman" w:hAnsi="Times New Roman" w:cs="Times New Roman"/>
          <w:color w:val="auto"/>
          <w:w w:val="99"/>
          <w:kern w:val="2"/>
          <w:highlight w:val="none"/>
        </w:rPr>
        <w:t>管道材料缺陷或焊接缺陷</w:t>
      </w:r>
      <w:r>
        <w:rPr>
          <w:rFonts w:hint="eastAsia" w:ascii="Times New Roman" w:hAnsi="Times New Roman" w:cs="Times New Roman"/>
          <w:color w:val="auto"/>
          <w:w w:val="99"/>
          <w:kern w:val="2"/>
          <w:highlight w:val="none"/>
        </w:rPr>
        <w:t>；</w:t>
      </w:r>
      <w:r>
        <w:rPr>
          <w:rFonts w:ascii="Times New Roman" w:hAnsi="Times New Roman" w:cs="Times New Roman"/>
          <w:color w:val="auto"/>
          <w:w w:val="99"/>
          <w:kern w:val="2"/>
          <w:highlight w:val="none"/>
        </w:rPr>
        <w:t>不法分子在管线上打孔或偷气</w:t>
      </w:r>
      <w:r>
        <w:rPr>
          <w:rFonts w:hint="eastAsia" w:ascii="Times New Roman" w:hAnsi="Times New Roman" w:cs="Times New Roman"/>
          <w:color w:val="auto"/>
          <w:w w:val="99"/>
          <w:kern w:val="2"/>
          <w:highlight w:val="none"/>
        </w:rPr>
        <w:t>；</w:t>
      </w:r>
      <w:r>
        <w:rPr>
          <w:rFonts w:ascii="Times New Roman" w:hAnsi="Times New Roman" w:cs="Times New Roman"/>
          <w:color w:val="auto"/>
          <w:w w:val="99"/>
          <w:kern w:val="2"/>
          <w:highlight w:val="none"/>
        </w:rPr>
        <w:t>由于外物撞击而造成管线破裂</w:t>
      </w:r>
      <w:r>
        <w:rPr>
          <w:rFonts w:hint="eastAsia" w:ascii="Times New Roman" w:hAnsi="Times New Roman" w:cs="Times New Roman"/>
          <w:color w:val="auto"/>
          <w:w w:val="99"/>
          <w:kern w:val="2"/>
          <w:highlight w:val="none"/>
        </w:rPr>
        <w:t>；</w:t>
      </w:r>
      <w:r>
        <w:rPr>
          <w:rFonts w:ascii="Times New Roman" w:hAnsi="Times New Roman" w:cs="Times New Roman"/>
          <w:color w:val="auto"/>
          <w:w w:val="99"/>
          <w:kern w:val="2"/>
          <w:highlight w:val="none"/>
        </w:rPr>
        <w:t>由于地震、洪水</w:t>
      </w:r>
      <w:r>
        <w:rPr>
          <w:rFonts w:hint="eastAsia" w:ascii="Times New Roman" w:hAnsi="Times New Roman" w:cs="Times New Roman"/>
          <w:color w:val="auto"/>
          <w:w w:val="99"/>
          <w:kern w:val="2"/>
          <w:highlight w:val="none"/>
        </w:rPr>
        <w:t>自</w:t>
      </w:r>
      <w:r>
        <w:rPr>
          <w:rFonts w:ascii="Times New Roman" w:hAnsi="Times New Roman" w:cs="Times New Roman"/>
          <w:color w:val="auto"/>
          <w:w w:val="99"/>
          <w:kern w:val="2"/>
          <w:highlight w:val="none"/>
        </w:rPr>
        <w:t>然灾害而引起管线破裂</w:t>
      </w:r>
      <w:r>
        <w:rPr>
          <w:rFonts w:hint="eastAsia" w:ascii="Times New Roman" w:hAnsi="Times New Roman" w:cs="Times New Roman"/>
          <w:color w:val="auto"/>
          <w:w w:val="99"/>
          <w:kern w:val="2"/>
          <w:highlight w:val="none"/>
        </w:rPr>
        <w:t>；</w:t>
      </w:r>
      <w:r>
        <w:rPr>
          <w:rFonts w:ascii="Times New Roman" w:hAnsi="Times New Roman" w:cs="Times New Roman"/>
          <w:color w:val="auto"/>
          <w:w w:val="99"/>
          <w:kern w:val="2"/>
          <w:highlight w:val="none"/>
        </w:rPr>
        <w:t>由于误开挖造成管道破裂</w:t>
      </w:r>
      <w:r>
        <w:rPr>
          <w:rFonts w:hint="eastAsia" w:ascii="Times New Roman" w:hAnsi="Times New Roman" w:cs="Times New Roman"/>
          <w:color w:val="auto"/>
          <w:w w:val="99"/>
          <w:kern w:val="2"/>
          <w:highlight w:val="none"/>
        </w:rPr>
        <w:t>；</w:t>
      </w:r>
      <w:r>
        <w:rPr>
          <w:rFonts w:ascii="Times New Roman" w:hAnsi="Times New Roman" w:cs="Times New Roman"/>
          <w:color w:val="auto"/>
          <w:w w:val="99"/>
          <w:kern w:val="2"/>
          <w:highlight w:val="none"/>
        </w:rPr>
        <w:t>操作失误。</w:t>
      </w:r>
    </w:p>
    <w:p w14:paraId="1D00147A">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（4）</w:t>
      </w:r>
      <w:r>
        <w:rPr>
          <w:rFonts w:ascii="Times New Roman" w:hAnsi="Times New Roman" w:cs="Times New Roman"/>
          <w:color w:val="auto"/>
          <w:w w:val="99"/>
          <w:kern w:val="2"/>
          <w:highlight w:val="none"/>
        </w:rPr>
        <w:t>火灾、爆炸</w:t>
      </w:r>
    </w:p>
    <w:p w14:paraId="271E3B87">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气田开发运行过程中发生火灾爆炸的原因很多，主要包括</w:t>
      </w:r>
      <w:r>
        <w:rPr>
          <w:rFonts w:hint="eastAsia" w:ascii="Times New Roman" w:hAnsi="Times New Roman" w:cs="Times New Roman"/>
          <w:color w:val="auto"/>
          <w:w w:val="99"/>
          <w:kern w:val="2"/>
          <w:highlight w:val="none"/>
        </w:rPr>
        <w:t>：</w:t>
      </w:r>
      <w:r>
        <w:rPr>
          <w:rFonts w:ascii="Times New Roman" w:hAnsi="Times New Roman" w:cs="Times New Roman"/>
          <w:color w:val="auto"/>
          <w:w w:val="99"/>
          <w:kern w:val="2"/>
          <w:highlight w:val="none"/>
        </w:rPr>
        <w:t>组织不严密，管理不善，违章作业导致大量的天然气泄漏遇明火爆炸燃烧</w:t>
      </w:r>
      <w:r>
        <w:rPr>
          <w:rFonts w:hint="eastAsia" w:ascii="Times New Roman" w:hAnsi="Times New Roman" w:cs="Times New Roman"/>
          <w:color w:val="auto"/>
          <w:w w:val="99"/>
          <w:kern w:val="2"/>
          <w:highlight w:val="none"/>
        </w:rPr>
        <w:t>；</w:t>
      </w:r>
      <w:r>
        <w:rPr>
          <w:rFonts w:ascii="Times New Roman" w:hAnsi="Times New Roman" w:cs="Times New Roman"/>
          <w:color w:val="auto"/>
          <w:w w:val="99"/>
          <w:kern w:val="2"/>
          <w:highlight w:val="none"/>
        </w:rPr>
        <w:t>设备缺陷主要包括因选材错误而引起的设备、管线的腐蚀、侵蚀等引发火灾、爆炸</w:t>
      </w:r>
      <w:r>
        <w:rPr>
          <w:rFonts w:hint="eastAsia" w:ascii="Times New Roman" w:hAnsi="Times New Roman" w:cs="Times New Roman"/>
          <w:color w:val="auto"/>
          <w:w w:val="99"/>
          <w:kern w:val="2"/>
          <w:highlight w:val="none"/>
        </w:rPr>
        <w:t>；</w:t>
      </w:r>
      <w:r>
        <w:rPr>
          <w:rFonts w:ascii="Times New Roman" w:hAnsi="Times New Roman" w:cs="Times New Roman"/>
          <w:color w:val="auto"/>
          <w:w w:val="99"/>
          <w:kern w:val="2"/>
          <w:highlight w:val="none"/>
        </w:rPr>
        <w:t>设备安装时考虑不周不细，施工时施工质量差，不符合设计要求和施工验收规范，从而导致投产后发生事故等。</w:t>
      </w:r>
    </w:p>
    <w:p w14:paraId="4DDE6E27">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（5）</w:t>
      </w:r>
      <w:r>
        <w:rPr>
          <w:rFonts w:ascii="Times New Roman" w:hAnsi="Times New Roman" w:cs="Times New Roman"/>
          <w:color w:val="auto"/>
          <w:w w:val="99"/>
          <w:kern w:val="2"/>
          <w:highlight w:val="none"/>
        </w:rPr>
        <w:t>场站风险因素分析</w:t>
      </w:r>
    </w:p>
    <w:p w14:paraId="6934AC47">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本项目</w:t>
      </w:r>
      <w:r>
        <w:rPr>
          <w:rFonts w:hint="eastAsia" w:ascii="Times New Roman" w:hAnsi="Times New Roman" w:cs="Times New Roman"/>
          <w:color w:val="auto"/>
          <w:w w:val="99"/>
          <w:kern w:val="2"/>
          <w:highlight w:val="none"/>
        </w:rPr>
        <w:t>依托场站为徐深27集气站</w:t>
      </w:r>
      <w:r>
        <w:rPr>
          <w:rFonts w:ascii="Times New Roman" w:hAnsi="Times New Roman" w:cs="Times New Roman"/>
          <w:color w:val="auto"/>
          <w:w w:val="99"/>
          <w:kern w:val="2"/>
          <w:highlight w:val="none"/>
        </w:rPr>
        <w:t>，处理的介质</w:t>
      </w:r>
      <w:r>
        <w:rPr>
          <w:rFonts w:hint="eastAsia" w:ascii="Times New Roman" w:hAnsi="Times New Roman" w:cs="Times New Roman"/>
          <w:color w:val="auto"/>
          <w:w w:val="99"/>
          <w:kern w:val="2"/>
          <w:highlight w:val="none"/>
        </w:rPr>
        <w:t>以及新建甲醇储罐</w:t>
      </w:r>
      <w:r>
        <w:rPr>
          <w:rFonts w:ascii="Times New Roman" w:hAnsi="Times New Roman" w:cs="Times New Roman"/>
          <w:color w:val="auto"/>
          <w:w w:val="99"/>
          <w:kern w:val="2"/>
          <w:highlight w:val="none"/>
        </w:rPr>
        <w:t>具有易燃性质，因此，本项目场站主要事故类型是火灾、爆炸和天然气泄漏。</w:t>
      </w:r>
    </w:p>
    <w:p w14:paraId="24C1FF07">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本工程场站的事故主要因素分析如下：</w:t>
      </w:r>
    </w:p>
    <w:p w14:paraId="41618436">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①组织不严密，管理不善，违章作业导致大量的</w:t>
      </w:r>
      <w:r>
        <w:rPr>
          <w:rFonts w:hint="eastAsia" w:ascii="Times New Roman" w:hAnsi="Times New Roman" w:cs="Times New Roman"/>
          <w:color w:val="auto"/>
          <w:w w:val="99"/>
          <w:kern w:val="2"/>
          <w:highlight w:val="none"/>
        </w:rPr>
        <w:t>天然气</w:t>
      </w:r>
      <w:r>
        <w:rPr>
          <w:rFonts w:ascii="Times New Roman" w:hAnsi="Times New Roman" w:cs="Times New Roman"/>
          <w:color w:val="auto"/>
          <w:w w:val="99"/>
          <w:kern w:val="2"/>
          <w:highlight w:val="none"/>
        </w:rPr>
        <w:t>泄漏遇明火爆炸燃烧；</w:t>
      </w:r>
    </w:p>
    <w:p w14:paraId="5519EF32">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②设备缺陷主要包括因选材错误而引起的设备、管道的腐蚀、侵蚀等引发火灾、爆炸；</w:t>
      </w:r>
    </w:p>
    <w:p w14:paraId="5EFA3A5D">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③设备安装时考虑不周不细，施工时施工质量差，不符合设计要求和施工验收规范，从而导致投产后发生事故；</w:t>
      </w:r>
    </w:p>
    <w:p w14:paraId="409DDC86">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④控制生产装置的仪表仪器失灵，造成设备操作失控，引发</w:t>
      </w:r>
      <w:r>
        <w:rPr>
          <w:rFonts w:hint="eastAsia" w:ascii="Times New Roman" w:hAnsi="Times New Roman" w:cs="Times New Roman"/>
          <w:color w:val="auto"/>
          <w:w w:val="99"/>
          <w:kern w:val="2"/>
          <w:highlight w:val="none"/>
        </w:rPr>
        <w:t>天然气</w:t>
      </w:r>
      <w:r>
        <w:rPr>
          <w:rFonts w:ascii="Times New Roman" w:hAnsi="Times New Roman" w:cs="Times New Roman"/>
          <w:color w:val="auto"/>
          <w:w w:val="99"/>
          <w:kern w:val="2"/>
          <w:highlight w:val="none"/>
        </w:rPr>
        <w:t>泄漏，形成火灾等；</w:t>
      </w:r>
    </w:p>
    <w:p w14:paraId="0321D940">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⑤站场储罐破损，导致</w:t>
      </w:r>
      <w:r>
        <w:rPr>
          <w:rFonts w:hint="eastAsia" w:ascii="Times New Roman" w:hAnsi="Times New Roman" w:cs="Times New Roman"/>
          <w:color w:val="auto"/>
          <w:w w:val="99"/>
          <w:kern w:val="2"/>
          <w:highlight w:val="none"/>
        </w:rPr>
        <w:t>含烃废水</w:t>
      </w:r>
      <w:r>
        <w:rPr>
          <w:rFonts w:ascii="Times New Roman" w:hAnsi="Times New Roman" w:cs="Times New Roman"/>
          <w:color w:val="auto"/>
          <w:w w:val="99"/>
          <w:kern w:val="2"/>
          <w:highlight w:val="none"/>
        </w:rPr>
        <w:t>泄露，污染土壤、地下水。</w:t>
      </w:r>
    </w:p>
    <w:p w14:paraId="44981430">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本工程主要作业场所、生产设备设施环境风险识别见表5.8-</w:t>
      </w:r>
      <w:r>
        <w:rPr>
          <w:rFonts w:hint="eastAsia" w:ascii="Times New Roman" w:hAnsi="Times New Roman" w:cs="Times New Roman"/>
          <w:color w:val="auto"/>
          <w:w w:val="99"/>
          <w:kern w:val="2"/>
          <w:highlight w:val="none"/>
        </w:rPr>
        <w:t>5</w:t>
      </w:r>
      <w:r>
        <w:rPr>
          <w:rFonts w:ascii="Times New Roman" w:hAnsi="Times New Roman" w:cs="Times New Roman"/>
          <w:color w:val="auto"/>
          <w:w w:val="99"/>
          <w:kern w:val="2"/>
          <w:highlight w:val="none"/>
        </w:rPr>
        <w:t>。</w:t>
      </w:r>
    </w:p>
    <w:p w14:paraId="194B482A">
      <w:pPr>
        <w:widowControl w:val="0"/>
        <w:spacing w:line="440" w:lineRule="exact"/>
        <w:ind w:firstLine="476" w:firstLineChars="200"/>
        <w:jc w:val="both"/>
        <w:rPr>
          <w:rFonts w:ascii="Times New Roman" w:hAnsi="Times New Roman" w:cs="Times New Roman"/>
          <w:b/>
          <w:bCs/>
          <w:color w:val="auto"/>
          <w:w w:val="99"/>
          <w:kern w:val="2"/>
          <w:highlight w:val="none"/>
        </w:rPr>
      </w:pPr>
      <w:r>
        <w:rPr>
          <w:rFonts w:ascii="Times New Roman" w:hAnsi="Times New Roman" w:cs="Times New Roman"/>
          <w:b/>
          <w:bCs/>
          <w:color w:val="auto"/>
          <w:w w:val="99"/>
          <w:kern w:val="2"/>
          <w:highlight w:val="none"/>
        </w:rPr>
        <w:t>表5.8-</w:t>
      </w:r>
      <w:r>
        <w:rPr>
          <w:rFonts w:hint="eastAsia" w:ascii="Times New Roman" w:hAnsi="Times New Roman" w:cs="Times New Roman"/>
          <w:b/>
          <w:bCs/>
          <w:color w:val="auto"/>
          <w:w w:val="99"/>
          <w:kern w:val="2"/>
          <w:highlight w:val="none"/>
        </w:rPr>
        <w:t>5</w:t>
      </w:r>
      <w:r>
        <w:rPr>
          <w:rFonts w:ascii="Times New Roman" w:hAnsi="Times New Roman" w:cs="Times New Roman"/>
          <w:b/>
          <w:bCs/>
          <w:color w:val="auto"/>
          <w:w w:val="99"/>
          <w:kern w:val="2"/>
          <w:highlight w:val="none"/>
        </w:rPr>
        <w:t xml:space="preserve">  工程环境风险识别表</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042"/>
        <w:gridCol w:w="2081"/>
        <w:gridCol w:w="3058"/>
        <w:gridCol w:w="1946"/>
      </w:tblGrid>
      <w:tr w14:paraId="02C73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042" w:type="dxa"/>
            <w:tcBorders>
              <w:tl2br w:val="nil"/>
              <w:tr2bl w:val="nil"/>
            </w:tcBorders>
            <w:tcMar>
              <w:left w:w="28" w:type="dxa"/>
              <w:right w:w="28" w:type="dxa"/>
            </w:tcMar>
            <w:vAlign w:val="center"/>
          </w:tcPr>
          <w:p w14:paraId="781C2BC0">
            <w:pPr>
              <w:adjustRightInd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主要设备及场所名称</w:t>
            </w:r>
          </w:p>
        </w:tc>
        <w:tc>
          <w:tcPr>
            <w:tcW w:w="2081" w:type="dxa"/>
            <w:tcBorders>
              <w:tl2br w:val="nil"/>
              <w:tr2bl w:val="nil"/>
            </w:tcBorders>
            <w:tcMar>
              <w:left w:w="28" w:type="dxa"/>
              <w:right w:w="28" w:type="dxa"/>
            </w:tcMar>
            <w:vAlign w:val="center"/>
          </w:tcPr>
          <w:p w14:paraId="6BC7634D">
            <w:pPr>
              <w:adjustRightInd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危险介质</w:t>
            </w:r>
          </w:p>
        </w:tc>
        <w:tc>
          <w:tcPr>
            <w:tcW w:w="3058" w:type="dxa"/>
            <w:tcBorders>
              <w:tl2br w:val="nil"/>
              <w:tr2bl w:val="nil"/>
            </w:tcBorders>
            <w:tcMar>
              <w:left w:w="28" w:type="dxa"/>
              <w:right w:w="28" w:type="dxa"/>
            </w:tcMar>
            <w:vAlign w:val="center"/>
          </w:tcPr>
          <w:p w14:paraId="5B39793B">
            <w:pPr>
              <w:adjustRightInd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主要危险特性</w:t>
            </w:r>
          </w:p>
        </w:tc>
        <w:tc>
          <w:tcPr>
            <w:tcW w:w="0" w:type="auto"/>
            <w:tcBorders>
              <w:tl2br w:val="nil"/>
              <w:tr2bl w:val="nil"/>
            </w:tcBorders>
            <w:tcMar>
              <w:left w:w="28" w:type="dxa"/>
              <w:right w:w="28" w:type="dxa"/>
            </w:tcMar>
            <w:vAlign w:val="center"/>
          </w:tcPr>
          <w:p w14:paraId="46ECBACE">
            <w:pPr>
              <w:adjustRightInd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影响环境</w:t>
            </w:r>
          </w:p>
        </w:tc>
      </w:tr>
      <w:tr w14:paraId="050CC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042" w:type="dxa"/>
            <w:vMerge w:val="restart"/>
            <w:tcBorders>
              <w:tl2br w:val="nil"/>
              <w:tr2bl w:val="nil"/>
            </w:tcBorders>
            <w:tcMar>
              <w:left w:w="28" w:type="dxa"/>
              <w:right w:w="28" w:type="dxa"/>
            </w:tcMar>
            <w:vAlign w:val="center"/>
          </w:tcPr>
          <w:p w14:paraId="2FFC1DE1">
            <w:pPr>
              <w:adjustRightInd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运营期井场</w:t>
            </w:r>
          </w:p>
        </w:tc>
        <w:tc>
          <w:tcPr>
            <w:tcW w:w="2081" w:type="dxa"/>
            <w:tcBorders>
              <w:tl2br w:val="nil"/>
              <w:tr2bl w:val="nil"/>
            </w:tcBorders>
            <w:tcMar>
              <w:left w:w="28" w:type="dxa"/>
              <w:right w:w="28" w:type="dxa"/>
            </w:tcMar>
            <w:vAlign w:val="center"/>
          </w:tcPr>
          <w:p w14:paraId="76130286">
            <w:pPr>
              <w:adjustRightInd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甲烷、CO</w:t>
            </w:r>
          </w:p>
        </w:tc>
        <w:tc>
          <w:tcPr>
            <w:tcW w:w="3058" w:type="dxa"/>
            <w:tcBorders>
              <w:tl2br w:val="nil"/>
              <w:tr2bl w:val="nil"/>
            </w:tcBorders>
            <w:tcMar>
              <w:left w:w="28" w:type="dxa"/>
              <w:right w:w="28" w:type="dxa"/>
            </w:tcMar>
            <w:vAlign w:val="center"/>
          </w:tcPr>
          <w:p w14:paraId="5254D1F4">
            <w:pPr>
              <w:adjustRightInd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火灾、爆炸</w:t>
            </w:r>
          </w:p>
        </w:tc>
        <w:tc>
          <w:tcPr>
            <w:tcW w:w="0" w:type="auto"/>
            <w:tcBorders>
              <w:tl2br w:val="nil"/>
              <w:tr2bl w:val="nil"/>
            </w:tcBorders>
            <w:tcMar>
              <w:left w:w="28" w:type="dxa"/>
              <w:right w:w="28" w:type="dxa"/>
            </w:tcMar>
            <w:vAlign w:val="center"/>
          </w:tcPr>
          <w:p w14:paraId="1B076079">
            <w:pPr>
              <w:adjustRightInd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空气</w:t>
            </w:r>
          </w:p>
        </w:tc>
      </w:tr>
      <w:tr w14:paraId="6F3F9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042" w:type="dxa"/>
            <w:vMerge w:val="continue"/>
            <w:tcBorders>
              <w:tl2br w:val="nil"/>
              <w:tr2bl w:val="nil"/>
            </w:tcBorders>
            <w:tcMar>
              <w:left w:w="28" w:type="dxa"/>
              <w:right w:w="28" w:type="dxa"/>
            </w:tcMar>
            <w:vAlign w:val="center"/>
          </w:tcPr>
          <w:p w14:paraId="56F4AE54">
            <w:pPr>
              <w:adjustRightInd w:val="0"/>
              <w:snapToGrid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2081" w:type="dxa"/>
            <w:tcBorders>
              <w:tl2br w:val="nil"/>
              <w:tr2bl w:val="nil"/>
            </w:tcBorders>
            <w:tcMar>
              <w:left w:w="28" w:type="dxa"/>
              <w:right w:w="28" w:type="dxa"/>
            </w:tcMar>
            <w:vAlign w:val="center"/>
          </w:tcPr>
          <w:p w14:paraId="03D0A157">
            <w:pPr>
              <w:adjustRightInd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气井采出水（石油类）</w:t>
            </w:r>
          </w:p>
        </w:tc>
        <w:tc>
          <w:tcPr>
            <w:tcW w:w="3058" w:type="dxa"/>
            <w:tcBorders>
              <w:tl2br w:val="nil"/>
              <w:tr2bl w:val="nil"/>
            </w:tcBorders>
            <w:tcMar>
              <w:left w:w="28" w:type="dxa"/>
              <w:right w:w="28" w:type="dxa"/>
            </w:tcMar>
            <w:vAlign w:val="center"/>
          </w:tcPr>
          <w:p w14:paraId="75CA2B64">
            <w:pPr>
              <w:adjustRightInd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泄漏污染</w:t>
            </w:r>
          </w:p>
        </w:tc>
        <w:tc>
          <w:tcPr>
            <w:tcW w:w="0" w:type="auto"/>
            <w:tcBorders>
              <w:tl2br w:val="nil"/>
              <w:tr2bl w:val="nil"/>
            </w:tcBorders>
            <w:tcMar>
              <w:left w:w="28" w:type="dxa"/>
              <w:right w:w="28" w:type="dxa"/>
            </w:tcMar>
            <w:vAlign w:val="center"/>
          </w:tcPr>
          <w:p w14:paraId="67EFA2A6">
            <w:pPr>
              <w:adjustRightInd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地下水、土壤</w:t>
            </w:r>
          </w:p>
        </w:tc>
      </w:tr>
      <w:tr w14:paraId="609E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042" w:type="dxa"/>
            <w:tcBorders>
              <w:tl2br w:val="nil"/>
              <w:tr2bl w:val="nil"/>
            </w:tcBorders>
            <w:tcMar>
              <w:left w:w="28" w:type="dxa"/>
              <w:right w:w="28" w:type="dxa"/>
            </w:tcMar>
            <w:vAlign w:val="center"/>
          </w:tcPr>
          <w:p w14:paraId="75681E02">
            <w:pPr>
              <w:adjustRightInd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采气管道</w:t>
            </w:r>
          </w:p>
        </w:tc>
        <w:tc>
          <w:tcPr>
            <w:tcW w:w="2081" w:type="dxa"/>
            <w:tcBorders>
              <w:tl2br w:val="nil"/>
              <w:tr2bl w:val="nil"/>
            </w:tcBorders>
            <w:tcMar>
              <w:left w:w="28" w:type="dxa"/>
              <w:right w:w="28" w:type="dxa"/>
            </w:tcMar>
            <w:vAlign w:val="center"/>
          </w:tcPr>
          <w:p w14:paraId="36541C74">
            <w:pPr>
              <w:adjustRightInd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甲烷、CO</w:t>
            </w:r>
          </w:p>
        </w:tc>
        <w:tc>
          <w:tcPr>
            <w:tcW w:w="3058" w:type="dxa"/>
            <w:tcBorders>
              <w:tl2br w:val="nil"/>
              <w:tr2bl w:val="nil"/>
            </w:tcBorders>
            <w:tcMar>
              <w:left w:w="28" w:type="dxa"/>
              <w:right w:w="28" w:type="dxa"/>
            </w:tcMar>
            <w:vAlign w:val="center"/>
          </w:tcPr>
          <w:p w14:paraId="53D44D01">
            <w:pPr>
              <w:adjustRightInd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火灾、爆炸</w:t>
            </w:r>
          </w:p>
        </w:tc>
        <w:tc>
          <w:tcPr>
            <w:tcW w:w="0" w:type="auto"/>
            <w:tcBorders>
              <w:tl2br w:val="nil"/>
              <w:tr2bl w:val="nil"/>
            </w:tcBorders>
            <w:tcMar>
              <w:left w:w="28" w:type="dxa"/>
              <w:right w:w="28" w:type="dxa"/>
            </w:tcMar>
            <w:vAlign w:val="center"/>
          </w:tcPr>
          <w:p w14:paraId="129B086A">
            <w:pPr>
              <w:adjustRightInd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空气</w:t>
            </w:r>
          </w:p>
        </w:tc>
      </w:tr>
      <w:tr w14:paraId="68E7F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042" w:type="dxa"/>
            <w:vMerge w:val="restart"/>
            <w:tcBorders>
              <w:tl2br w:val="nil"/>
              <w:tr2bl w:val="nil"/>
            </w:tcBorders>
            <w:tcMar>
              <w:left w:w="28" w:type="dxa"/>
              <w:right w:w="28" w:type="dxa"/>
            </w:tcMar>
            <w:vAlign w:val="center"/>
          </w:tcPr>
          <w:p w14:paraId="3F1F9282">
            <w:pPr>
              <w:adjustRightInd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场站</w:t>
            </w:r>
          </w:p>
        </w:tc>
        <w:tc>
          <w:tcPr>
            <w:tcW w:w="2081" w:type="dxa"/>
            <w:tcBorders>
              <w:tl2br w:val="nil"/>
              <w:tr2bl w:val="nil"/>
            </w:tcBorders>
            <w:tcMar>
              <w:left w:w="28" w:type="dxa"/>
              <w:right w:w="28" w:type="dxa"/>
            </w:tcMar>
            <w:vAlign w:val="center"/>
          </w:tcPr>
          <w:p w14:paraId="394452C7">
            <w:pPr>
              <w:adjustRightInd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甲烷、CO</w:t>
            </w:r>
          </w:p>
        </w:tc>
        <w:tc>
          <w:tcPr>
            <w:tcW w:w="3058" w:type="dxa"/>
            <w:tcBorders>
              <w:tl2br w:val="nil"/>
              <w:tr2bl w:val="nil"/>
            </w:tcBorders>
            <w:tcMar>
              <w:left w:w="28" w:type="dxa"/>
              <w:right w:w="28" w:type="dxa"/>
            </w:tcMar>
            <w:vAlign w:val="center"/>
          </w:tcPr>
          <w:p w14:paraId="0D28760F">
            <w:pPr>
              <w:adjustRightInd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火灾、爆炸</w:t>
            </w:r>
          </w:p>
        </w:tc>
        <w:tc>
          <w:tcPr>
            <w:tcW w:w="1946" w:type="dxa"/>
            <w:tcBorders>
              <w:tl2br w:val="nil"/>
              <w:tr2bl w:val="nil"/>
            </w:tcBorders>
            <w:tcMar>
              <w:left w:w="28" w:type="dxa"/>
              <w:right w:w="28" w:type="dxa"/>
            </w:tcMar>
            <w:vAlign w:val="center"/>
          </w:tcPr>
          <w:p w14:paraId="6445E827">
            <w:pPr>
              <w:adjustRightInd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空气</w:t>
            </w:r>
          </w:p>
        </w:tc>
      </w:tr>
      <w:tr w14:paraId="22A6A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042" w:type="dxa"/>
            <w:vMerge w:val="continue"/>
            <w:tcBorders>
              <w:tl2br w:val="nil"/>
              <w:tr2bl w:val="nil"/>
            </w:tcBorders>
            <w:tcMar>
              <w:left w:w="28" w:type="dxa"/>
              <w:right w:w="28" w:type="dxa"/>
            </w:tcMar>
            <w:vAlign w:val="center"/>
          </w:tcPr>
          <w:p w14:paraId="26FBCA10">
            <w:pPr>
              <w:adjustRightInd w:val="0"/>
              <w:snapToGrid w:val="0"/>
              <w:spacing w:line="360" w:lineRule="exact"/>
              <w:jc w:val="center"/>
              <w:rPr>
                <w:rFonts w:ascii="Times New Roman" w:hAnsi="Times New Roman" w:cs="Times New Roman" w:eastAsiaTheme="minorEastAsia"/>
                <w:bCs/>
                <w:color w:val="auto"/>
                <w:w w:val="99"/>
                <w:kern w:val="2"/>
                <w:sz w:val="21"/>
                <w:szCs w:val="21"/>
                <w:highlight w:val="none"/>
              </w:rPr>
            </w:pPr>
          </w:p>
        </w:tc>
        <w:tc>
          <w:tcPr>
            <w:tcW w:w="2081" w:type="dxa"/>
            <w:tcBorders>
              <w:tl2br w:val="nil"/>
              <w:tr2bl w:val="nil"/>
            </w:tcBorders>
            <w:tcMar>
              <w:left w:w="28" w:type="dxa"/>
              <w:right w:w="28" w:type="dxa"/>
            </w:tcMar>
            <w:vAlign w:val="center"/>
          </w:tcPr>
          <w:p w14:paraId="24839717">
            <w:pPr>
              <w:adjustRightInd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甲醇</w:t>
            </w:r>
          </w:p>
        </w:tc>
        <w:tc>
          <w:tcPr>
            <w:tcW w:w="3058" w:type="dxa"/>
            <w:tcBorders>
              <w:tl2br w:val="nil"/>
              <w:tr2bl w:val="nil"/>
            </w:tcBorders>
            <w:tcMar>
              <w:left w:w="28" w:type="dxa"/>
              <w:right w:w="28" w:type="dxa"/>
            </w:tcMar>
            <w:vAlign w:val="center"/>
          </w:tcPr>
          <w:p w14:paraId="67480793">
            <w:pPr>
              <w:adjustRightInd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火灾</w:t>
            </w:r>
            <w:r>
              <w:rPr>
                <w:rFonts w:ascii="Times New Roman" w:hAnsi="Times New Roman" w:cs="Times New Roman" w:eastAsiaTheme="minorEastAsia"/>
                <w:bCs/>
                <w:color w:val="auto"/>
                <w:w w:val="99"/>
                <w:kern w:val="2"/>
                <w:sz w:val="21"/>
                <w:szCs w:val="21"/>
                <w:highlight w:val="none"/>
              </w:rPr>
              <w:t>、爆炸、次生CO</w:t>
            </w:r>
          </w:p>
        </w:tc>
        <w:tc>
          <w:tcPr>
            <w:tcW w:w="1946" w:type="dxa"/>
            <w:tcBorders>
              <w:tl2br w:val="nil"/>
              <w:tr2bl w:val="nil"/>
            </w:tcBorders>
            <w:tcMar>
              <w:left w:w="28" w:type="dxa"/>
              <w:right w:w="28" w:type="dxa"/>
            </w:tcMar>
            <w:vAlign w:val="center"/>
          </w:tcPr>
          <w:p w14:paraId="51577169">
            <w:pPr>
              <w:adjustRightInd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空气、地下水、土</w:t>
            </w:r>
            <w:r>
              <w:rPr>
                <w:rFonts w:hint="eastAsia" w:ascii="Times New Roman" w:hAnsi="Times New Roman" w:cs="Times New Roman" w:eastAsiaTheme="minorEastAsia"/>
                <w:bCs/>
                <w:color w:val="auto"/>
                <w:w w:val="99"/>
                <w:kern w:val="2"/>
                <w:sz w:val="21"/>
                <w:szCs w:val="21"/>
                <w:highlight w:val="none"/>
              </w:rPr>
              <w:t>壤</w:t>
            </w:r>
          </w:p>
        </w:tc>
      </w:tr>
    </w:tbl>
    <w:p w14:paraId="6F9EDA02">
      <w:pPr>
        <w:pStyle w:val="7"/>
        <w:widowControl w:val="0"/>
        <w:spacing w:before="60" w:after="60" w:line="440" w:lineRule="exact"/>
        <w:jc w:val="both"/>
        <w:rPr>
          <w:rFonts w:eastAsiaTheme="minorEastAsia"/>
          <w:b/>
          <w:color w:val="auto"/>
          <w:w w:val="99"/>
          <w:kern w:val="2"/>
          <w:sz w:val="24"/>
          <w:szCs w:val="24"/>
          <w:highlight w:val="none"/>
        </w:rPr>
      </w:pPr>
      <w:bookmarkStart w:id="998" w:name="_Toc186444368"/>
      <w:bookmarkStart w:id="999" w:name="_Toc143099657"/>
      <w:bookmarkStart w:id="1000" w:name="_Toc131167370"/>
      <w:bookmarkStart w:id="1001" w:name="_Toc84929309"/>
      <w:bookmarkStart w:id="1002" w:name="_Toc85640837"/>
      <w:bookmarkStart w:id="1003" w:name="_Toc126863469"/>
      <w:bookmarkStart w:id="1004" w:name="_Toc127192418"/>
      <w:bookmarkStart w:id="1005" w:name="_Toc86142012"/>
      <w:r>
        <w:rPr>
          <w:rFonts w:eastAsiaTheme="minorEastAsia"/>
          <w:b/>
          <w:color w:val="auto"/>
          <w:w w:val="99"/>
          <w:kern w:val="2"/>
          <w:sz w:val="24"/>
          <w:szCs w:val="24"/>
          <w:highlight w:val="none"/>
        </w:rPr>
        <w:t>5.8.3环境风险分析</w:t>
      </w:r>
      <w:bookmarkEnd w:id="998"/>
      <w:bookmarkEnd w:id="999"/>
      <w:bookmarkEnd w:id="1000"/>
      <w:bookmarkEnd w:id="1001"/>
      <w:bookmarkEnd w:id="1002"/>
      <w:bookmarkEnd w:id="1003"/>
      <w:bookmarkEnd w:id="1004"/>
      <w:bookmarkEnd w:id="1005"/>
    </w:p>
    <w:p w14:paraId="3C1E66CD">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5.8.3.1事故状态下对大气环境影响</w:t>
      </w:r>
    </w:p>
    <w:p w14:paraId="755AABD9">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（1）井喷风险</w:t>
      </w:r>
    </w:p>
    <w:p w14:paraId="327F9AD2">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发生井喷事故后，天然气在大气中的扩散可能对当地环境空气质量造成污染影响，对其范围内的人群健康造成危害，但总体影响较轻。</w:t>
      </w:r>
    </w:p>
    <w:p w14:paraId="64632ED9">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井喷释放的伴生气可能立即着火，形成喷射燃烧，对周围产生热辐射危害；也可能在扩散过程中着火或爆炸，对周围造成冲击波危害；或者经扩散稀释低于爆炸极限下限，未着火，仅污染周围环境空气。本工程井场距离居民最近点均大于 200m ，一般不会造成井场外人员伤亡。</w:t>
      </w:r>
    </w:p>
    <w:p w14:paraId="4C091C63">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且集气站均配备灭火器材和报警器，一旦发生火灾事故能及时启动救援，并疏散居住人群，对其影响较小。</w:t>
      </w:r>
    </w:p>
    <w:p w14:paraId="1492EED7">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（2）井场天然气泄漏</w:t>
      </w:r>
    </w:p>
    <w:p w14:paraId="63E15EA8">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本项目采气井场生产过程可能因管道接口、阀门等损坏等造成天然气泄漏事故。根据设计资料，项目在地下井筒处、井场与管道连接处设有安全截断阀，一旦发生天然气泄漏，压力发生变化，安全阀立即关闭，天然气最大泄漏量仅为井筒内天然气贮存量。但天然气集中泄漏后，如在极端天气中可能造成天然气扩散较慢，在空气中含量达到一定程度后会使人窒息，遇到火星可引发火灾爆炸事故。</w:t>
      </w:r>
    </w:p>
    <w:p w14:paraId="57F947D8">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本项目井口采气树出厂前必须对其进行水下整体气密封试验，同时设置压力监测、报警系统及压力泄放系统，可保证超压时多余天然气能通过放空系统泄放。同时，现场人员定期进行井场安全巡检工作，并重点检查管道接口、阀门是否发生腐蚀损坏。因此，采取上述措施后，正常情况下发生井口天然气泄漏事故的概率极小。</w:t>
      </w:r>
    </w:p>
    <w:p w14:paraId="11460A21">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（3）天然气管道泄漏</w:t>
      </w:r>
    </w:p>
    <w:p w14:paraId="46FF539A">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本项目采气管道由于阀门、法兰连接处泄漏，操作失误等情况下会发生天然气泄漏事故时，将导致局部大气中总烃浓度可比正常情况高出数倍甚至数十倍，对大气环境造成短时的严重污染。若遇明火，引发的火灾事故可在短时间内产生大量燃烧烟气，对大气环境造成短时的严重污染。本项目管道设有压力监控装置，并通过加强对井场、管线进行巡查，及时发现管线、阀门、设备渗漏、穿孔等问题，可有效的避免管道天然气泄漏、火灾事故的发生。此外，项目所处地势平坦，在一定的气象条件下管道泄漏后短时间内形成局部大气污染中烃类气体聚集成高浓度的可能性较小。因此，在采取以上措施后，项目管道泄漏对周围大气环境的影响较小。</w:t>
      </w:r>
    </w:p>
    <w:p w14:paraId="4C371CF3">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5.8.3.2事故状态下对地表水环境影响</w:t>
      </w:r>
    </w:p>
    <w:p w14:paraId="795E8697">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本项目施工期废水（管线试压废水、生活污水等）全部妥善处置，不外排，对周围地表水影响较小。</w:t>
      </w:r>
    </w:p>
    <w:p w14:paraId="3A5E59C6">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本项目运营期不新增生活污水，气田水全部通过管线输送至升一联气田污水预处理站处理后的水质执行《大庆油田地面工程建设设计规定》（Q/SYDQ 0639-2015）限值“含油量≤10mg/L 、悬浮固体含量≤5mg/L 、粒径中值≤2μm” ，同时满足《碎屑岩油藏注水水质指标技术要求及分析方法》(SY/T5329-2022)中标准限值，回注地下油层。</w:t>
      </w:r>
    </w:p>
    <w:p w14:paraId="50A6D1C7">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5.8.3.3事故状态下对地下水环境影响</w:t>
      </w:r>
    </w:p>
    <w:p w14:paraId="2ACA98C2">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（4）</w:t>
      </w:r>
      <w:r>
        <w:rPr>
          <w:rFonts w:ascii="Times New Roman" w:hAnsi="Times New Roman" w:cs="Times New Roman"/>
          <w:color w:val="auto"/>
          <w:w w:val="99"/>
          <w:highlight w:val="none"/>
          <w:lang w:bidi="zh-CN"/>
        </w:rPr>
        <w:t>套管</w:t>
      </w:r>
      <w:r>
        <w:rPr>
          <w:rFonts w:hint="eastAsia" w:ascii="Times New Roman" w:hAnsi="Times New Roman" w:cs="Times New Roman"/>
          <w:color w:val="auto"/>
          <w:w w:val="99"/>
          <w:highlight w:val="none"/>
          <w:lang w:bidi="zh-CN"/>
        </w:rPr>
        <w:t>破损</w:t>
      </w:r>
      <w:r>
        <w:rPr>
          <w:rFonts w:ascii="Times New Roman" w:hAnsi="Times New Roman" w:cs="Times New Roman"/>
          <w:color w:val="auto"/>
          <w:w w:val="99"/>
          <w:highlight w:val="none"/>
          <w:lang w:bidi="zh-CN"/>
        </w:rPr>
        <w:t>对地下水环境的影响</w:t>
      </w:r>
    </w:p>
    <w:p w14:paraId="39531FAC">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事故状态下对地下水的环境影响主要为套管破裂导致气水窜入含水层污染地下水。井管是由不同长度的节管连接而成，容易在节点处发生破损。根据大庆油田实际生产数据统计，发生套管破损的机率一般为万分之一至五万分之一，破损在某一固定结点的机率约为百分之一。套损泄漏污染地下水的最大概率约为二百万分之一。 由此可见，套管破损的情况虽然存在，但发生概率很小。即使发生套损，经过层层防护，危险逐级递减，破损后最终发生气水串层或是油气直接泄漏到含水层造成污染的概率并不大。</w:t>
      </w:r>
    </w:p>
    <w:p w14:paraId="44F2D11E">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根据本报告书 5.3地下水环境影响预测章节中所设置的风险情景（当气井套损事故造成的采出水泄漏进入地下含水层），该事故情形下，采出水泄漏后地下水的影响程度和范围随着时间推移扩散，预测时间为 100d时，随着时间、距离增加，石油类浓度在地下水下游</w:t>
      </w:r>
      <w:r>
        <w:rPr>
          <w:rFonts w:hint="eastAsia" w:ascii="Times New Roman" w:hAnsi="Times New Roman" w:cs="Times New Roman"/>
          <w:color w:val="auto"/>
          <w:w w:val="99"/>
          <w:highlight w:val="none"/>
          <w:lang w:bidi="zh-CN"/>
        </w:rPr>
        <w:t>62</w:t>
      </w:r>
      <w:r>
        <w:rPr>
          <w:rFonts w:ascii="Times New Roman" w:hAnsi="Times New Roman" w:cs="Times New Roman"/>
          <w:color w:val="auto"/>
          <w:w w:val="99"/>
          <w:highlight w:val="none"/>
          <w:lang w:bidi="zh-CN"/>
        </w:rPr>
        <w:t xml:space="preserve">m 范围内浓度大于 0.05mg/L ，超标面积为 </w:t>
      </w:r>
      <w:r>
        <w:rPr>
          <w:rFonts w:hint="eastAsia" w:ascii="Times New Roman" w:hAnsi="Times New Roman" w:cs="Times New Roman"/>
          <w:color w:val="auto"/>
          <w:w w:val="99"/>
          <w:highlight w:val="none"/>
          <w:lang w:bidi="zh-CN"/>
        </w:rPr>
        <w:t>2598</w:t>
      </w:r>
      <w:r>
        <w:rPr>
          <w:rFonts w:ascii="Times New Roman" w:hAnsi="Times New Roman" w:cs="Times New Roman"/>
          <w:color w:val="auto"/>
          <w:w w:val="99"/>
          <w:highlight w:val="none"/>
          <w:lang w:bidi="zh-CN"/>
        </w:rPr>
        <w:t>m</w:t>
      </w:r>
      <w:r>
        <w:rPr>
          <w:rFonts w:ascii="Times New Roman" w:hAnsi="Times New Roman" w:cs="Times New Roman"/>
          <w:color w:val="auto"/>
          <w:w w:val="99"/>
          <w:highlight w:val="none"/>
          <w:vertAlign w:val="superscript"/>
          <w:lang w:bidi="zh-CN"/>
        </w:rPr>
        <w:t>2</w:t>
      </w:r>
      <w:r>
        <w:rPr>
          <w:rFonts w:ascii="Times New Roman" w:hAnsi="Times New Roman" w:cs="Times New Roman"/>
          <w:color w:val="auto"/>
          <w:w w:val="99"/>
          <w:highlight w:val="none"/>
          <w:lang w:bidi="zh-CN"/>
        </w:rPr>
        <w:t xml:space="preserve"> ；预测时间为 1000d时，随着时间、距离增加，石油类浓度在地下水下游</w:t>
      </w:r>
      <w:r>
        <w:rPr>
          <w:rFonts w:hint="eastAsia" w:ascii="Times New Roman" w:hAnsi="Times New Roman" w:cs="Times New Roman"/>
          <w:color w:val="auto"/>
          <w:w w:val="99"/>
          <w:highlight w:val="none"/>
          <w:lang w:bidi="zh-CN"/>
        </w:rPr>
        <w:t>273</w:t>
      </w:r>
      <w:r>
        <w:rPr>
          <w:rFonts w:ascii="Times New Roman" w:hAnsi="Times New Roman" w:cs="Times New Roman"/>
          <w:color w:val="auto"/>
          <w:w w:val="99"/>
          <w:highlight w:val="none"/>
          <w:lang w:bidi="zh-CN"/>
        </w:rPr>
        <w:t xml:space="preserve">m 范围内浓度大于 0.05mg/L ，超标面积为 </w:t>
      </w:r>
      <w:r>
        <w:rPr>
          <w:rFonts w:hint="eastAsia" w:ascii="Times New Roman" w:hAnsi="Times New Roman" w:cs="Times New Roman"/>
          <w:color w:val="auto"/>
          <w:w w:val="99"/>
          <w:highlight w:val="none"/>
          <w:lang w:bidi="zh-CN"/>
        </w:rPr>
        <w:t>27416</w:t>
      </w:r>
      <w:r>
        <w:rPr>
          <w:rFonts w:ascii="Times New Roman" w:hAnsi="Times New Roman" w:cs="Times New Roman"/>
          <w:color w:val="auto"/>
          <w:w w:val="99"/>
          <w:highlight w:val="none"/>
          <w:lang w:bidi="zh-CN"/>
        </w:rPr>
        <w:t>m</w:t>
      </w:r>
      <w:r>
        <w:rPr>
          <w:rFonts w:ascii="Times New Roman" w:hAnsi="Times New Roman" w:cs="Times New Roman"/>
          <w:color w:val="auto"/>
          <w:w w:val="99"/>
          <w:highlight w:val="none"/>
          <w:vertAlign w:val="superscript"/>
          <w:lang w:bidi="zh-CN"/>
        </w:rPr>
        <w:t>2</w:t>
      </w:r>
      <w:r>
        <w:rPr>
          <w:rFonts w:ascii="Times New Roman" w:hAnsi="Times New Roman" w:cs="Times New Roman"/>
          <w:color w:val="auto"/>
          <w:w w:val="99"/>
          <w:highlight w:val="none"/>
          <w:lang w:bidi="zh-CN"/>
        </w:rPr>
        <w:t xml:space="preserve"> ；预测时间为 5</w:t>
      </w:r>
      <w:r>
        <w:rPr>
          <w:rFonts w:hint="eastAsia" w:ascii="Times New Roman" w:hAnsi="Times New Roman" w:cs="Times New Roman"/>
          <w:color w:val="auto"/>
          <w:w w:val="99"/>
          <w:highlight w:val="none"/>
          <w:lang w:bidi="zh-CN"/>
        </w:rPr>
        <w:t>475</w:t>
      </w:r>
      <w:r>
        <w:rPr>
          <w:rFonts w:ascii="Times New Roman" w:hAnsi="Times New Roman" w:cs="Times New Roman"/>
          <w:color w:val="auto"/>
          <w:w w:val="99"/>
          <w:highlight w:val="none"/>
          <w:lang w:bidi="zh-CN"/>
        </w:rPr>
        <w:t xml:space="preserve">d 时，随着时间、距离增加，石油类浓度在地下水下游 </w:t>
      </w:r>
      <w:r>
        <w:rPr>
          <w:rFonts w:hint="eastAsia" w:ascii="Times New Roman" w:hAnsi="Times New Roman" w:cs="Times New Roman"/>
          <w:color w:val="auto"/>
          <w:w w:val="99"/>
          <w:highlight w:val="none"/>
          <w:lang w:bidi="zh-CN"/>
        </w:rPr>
        <w:t>996</w:t>
      </w:r>
      <w:r>
        <w:rPr>
          <w:rFonts w:ascii="Times New Roman" w:hAnsi="Times New Roman" w:cs="Times New Roman"/>
          <w:color w:val="auto"/>
          <w:w w:val="99"/>
          <w:highlight w:val="none"/>
          <w:lang w:bidi="zh-CN"/>
        </w:rPr>
        <w:t xml:space="preserve">m 范围内浓度大于 0.05mg/L ，超标面积为 </w:t>
      </w:r>
      <w:r>
        <w:rPr>
          <w:rFonts w:hint="eastAsia" w:ascii="Times New Roman" w:hAnsi="Times New Roman" w:cs="Times New Roman"/>
          <w:color w:val="auto"/>
          <w:w w:val="99"/>
          <w:highlight w:val="none"/>
          <w:lang w:bidi="zh-CN"/>
        </w:rPr>
        <w:t>189137</w:t>
      </w:r>
      <w:r>
        <w:rPr>
          <w:rFonts w:ascii="Times New Roman" w:hAnsi="Times New Roman" w:cs="Times New Roman"/>
          <w:color w:val="auto"/>
          <w:w w:val="99"/>
          <w:highlight w:val="none"/>
          <w:lang w:bidi="zh-CN"/>
        </w:rPr>
        <w:t>m</w:t>
      </w:r>
      <w:r>
        <w:rPr>
          <w:rFonts w:ascii="Times New Roman" w:hAnsi="Times New Roman" w:cs="Times New Roman"/>
          <w:color w:val="auto"/>
          <w:w w:val="99"/>
          <w:highlight w:val="none"/>
          <w:vertAlign w:val="superscript"/>
          <w:lang w:bidi="zh-CN"/>
        </w:rPr>
        <w:t>2</w:t>
      </w:r>
      <w:r>
        <w:rPr>
          <w:rFonts w:ascii="Times New Roman" w:hAnsi="Times New Roman" w:cs="Times New Roman"/>
          <w:color w:val="auto"/>
          <w:w w:val="99"/>
          <w:highlight w:val="none"/>
          <w:lang w:bidi="zh-CN"/>
        </w:rPr>
        <w:t xml:space="preserve"> ，其余范围浓度值均能够满足《地表水环境质量标准》（GB3838-2002）中 II 类标准 (≤0.05mg/L），在各时段影响范围内均无饮用水井分布，对地下水环境保护目标影响较小。</w:t>
      </w:r>
    </w:p>
    <w:p w14:paraId="324D3840">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（2）天然气管线泄漏事故影响分析</w:t>
      </w:r>
    </w:p>
    <w:p w14:paraId="5773CC9C">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由于天然气密度比空气小，沸点极低（-161.5℃)</w:t>
      </w:r>
      <w:r>
        <w:rPr>
          <w:rFonts w:hint="eastAsia" w:ascii="Times New Roman" w:hAnsi="Times New Roman" w:cs="Times New Roman"/>
          <w:color w:val="auto"/>
          <w:w w:val="99"/>
          <w:highlight w:val="none"/>
          <w:lang w:bidi="zh-CN"/>
        </w:rPr>
        <w:t>，</w:t>
      </w:r>
      <w:r>
        <w:rPr>
          <w:rFonts w:ascii="Times New Roman" w:hAnsi="Times New Roman" w:cs="Times New Roman"/>
          <w:color w:val="auto"/>
          <w:w w:val="99"/>
          <w:highlight w:val="none"/>
          <w:lang w:bidi="zh-CN"/>
        </w:rPr>
        <w:t>且几乎不溶于水，在事故状态下，即一旦输气管道泄漏，天然气不会进入到地下水中，天然气对水质的直接影响很小。</w:t>
      </w:r>
    </w:p>
    <w:p w14:paraId="107D62F4">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5.8.3.</w:t>
      </w:r>
      <w:r>
        <w:rPr>
          <w:rFonts w:hint="eastAsia" w:ascii="Times New Roman" w:hAnsi="Times New Roman" w:eastAsiaTheme="minorEastAsia"/>
          <w:b/>
          <w:color w:val="auto"/>
          <w:w w:val="99"/>
          <w:highlight w:val="none"/>
        </w:rPr>
        <w:t>4</w:t>
      </w:r>
      <w:r>
        <w:rPr>
          <w:rFonts w:ascii="Times New Roman" w:hAnsi="Times New Roman" w:eastAsiaTheme="minorEastAsia"/>
          <w:b/>
          <w:color w:val="auto"/>
          <w:w w:val="99"/>
          <w:highlight w:val="none"/>
        </w:rPr>
        <w:t>对土壤环境的影响</w:t>
      </w:r>
    </w:p>
    <w:p w14:paraId="3549DBCB">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本项目运行期对土壤环境的影响主要为采气管线泄漏产生的石油类可能对土壤环境造成破坏，对土壤的化学、生物性质等方面造成影响。石油类泄漏渗入土壤孔隙，会降低土壤的通透性，抑制土壤中酶活性，使土壤生物减少。一般而言，石油类集中于土壤表层 0~30cm的范围内，使得根系分布于此深度的植物不能生长。石油类对土壤的污染，可使土地肥力下降，改变土壤的理化性质，影响局部区域土壤正常的结构和功能。</w:t>
      </w:r>
    </w:p>
    <w:p w14:paraId="6D81DA94">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本项目采气管线设有压力监控，一旦发生泄漏，管道压力就会出现异常，现场工作人员可第一时间发现，发现后采取关闭机泵等措施进行控制。为降低采气管线泄漏对土壤的环境风险，建设单位应加强管道检测、巡检巡视等，尽量避免事故的发生。通过采取上述措施后，项目对土壤环境产生的影响较小。</w:t>
      </w:r>
    </w:p>
    <w:p w14:paraId="29AB45D2">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5.8.3.</w:t>
      </w:r>
      <w:r>
        <w:rPr>
          <w:rFonts w:hint="eastAsia" w:ascii="Times New Roman" w:hAnsi="Times New Roman" w:eastAsiaTheme="minorEastAsia"/>
          <w:b/>
          <w:color w:val="auto"/>
          <w:w w:val="99"/>
          <w:highlight w:val="none"/>
        </w:rPr>
        <w:t>5</w:t>
      </w:r>
      <w:r>
        <w:rPr>
          <w:rFonts w:ascii="Times New Roman" w:hAnsi="Times New Roman" w:eastAsiaTheme="minorEastAsia"/>
          <w:b/>
          <w:color w:val="auto"/>
          <w:w w:val="99"/>
          <w:highlight w:val="none"/>
        </w:rPr>
        <w:t>对生态环境的影响</w:t>
      </w:r>
    </w:p>
    <w:p w14:paraId="2AA24C0D">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本项目区域内的生态系统主要是农田生态系统，采气管线均埋地敷设。由于管线材料缺陷或焊口缺陷隐患、管线的内外腐蚀作用、地震、地陷、洪水等自然灾害破坏作用致使采气管线发生破损而导致大量气田采出水泄漏，可能对农田产生较大影响，其危害最大的是植物，含油物质黏附于枝叶上，就会影响植物的光合作用，可使植物枯萎死亡；含油污水喷溅到植物上或散落到土壤中，黏附于植物根系，可阻止植物吸收水分和矿物质，导致植物死亡，通过根系吸收，影响其品质，使其生产力下降，导致事故区域内植物枯萎死亡。</w:t>
      </w:r>
    </w:p>
    <w:p w14:paraId="2F4C627E">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本项目采气管线设有压力监控，一旦发生泄漏，管道压力就会出现异常，现场工作人员可第一时间发现，发现后采取关闭机泵等措施进行控制。此外，项目定期对管道进行巡检，发现隐患及时处理，发生泄漏可能性较小。</w:t>
      </w:r>
    </w:p>
    <w:p w14:paraId="206B5876">
      <w:pPr>
        <w:pStyle w:val="7"/>
        <w:widowControl w:val="0"/>
        <w:spacing w:before="60" w:after="60" w:line="440" w:lineRule="exact"/>
        <w:jc w:val="both"/>
        <w:rPr>
          <w:rFonts w:eastAsiaTheme="minorEastAsia"/>
          <w:b/>
          <w:color w:val="auto"/>
          <w:w w:val="99"/>
          <w:kern w:val="2"/>
          <w:sz w:val="24"/>
          <w:szCs w:val="24"/>
          <w:highlight w:val="none"/>
        </w:rPr>
      </w:pPr>
      <w:bookmarkStart w:id="1006" w:name="_Toc126863470"/>
      <w:bookmarkStart w:id="1007" w:name="_Toc131167371"/>
      <w:bookmarkStart w:id="1008" w:name="_Toc127192419"/>
      <w:bookmarkStart w:id="1009" w:name="_Toc186444369"/>
      <w:bookmarkStart w:id="1010" w:name="_Toc84929310"/>
      <w:bookmarkStart w:id="1011" w:name="_Toc143099658"/>
      <w:bookmarkStart w:id="1012" w:name="_Toc85640838"/>
      <w:bookmarkStart w:id="1013" w:name="_Toc86142013"/>
      <w:r>
        <w:rPr>
          <w:rFonts w:eastAsiaTheme="minorEastAsia"/>
          <w:b/>
          <w:color w:val="auto"/>
          <w:w w:val="99"/>
          <w:kern w:val="2"/>
          <w:sz w:val="24"/>
          <w:szCs w:val="24"/>
          <w:highlight w:val="none"/>
        </w:rPr>
        <w:t>5.8.4环境风险评价结论</w:t>
      </w:r>
      <w:bookmarkEnd w:id="1006"/>
      <w:bookmarkEnd w:id="1007"/>
      <w:bookmarkEnd w:id="1008"/>
      <w:bookmarkEnd w:id="1009"/>
      <w:bookmarkEnd w:id="1010"/>
      <w:bookmarkEnd w:id="1011"/>
      <w:bookmarkEnd w:id="1012"/>
      <w:bookmarkEnd w:id="1013"/>
    </w:p>
    <w:p w14:paraId="512D74CB">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通过对本工程产能建设工程的环境风险分析可知，本工程的主要环境风险是泄漏、火灾和爆炸，对区域内的地下水环境、地表水环境、土壤环境和空气环境有潜在危害性。在工程采取一系列风险防范措施、应急措施和建立环境风险防控体系后，火灾爆炸等事故影响可控，可以降低事故的发生率和事故情况下对周围环境的影响。但建设单位应加强员工的环保教育和培训，完善项目的事故应急预案，增加事故应急监测及事故评估等规定内容并定期演习，避免重大污染事故的发生。</w:t>
      </w:r>
    </w:p>
    <w:p w14:paraId="57E665FD">
      <w:pPr>
        <w:pStyle w:val="47"/>
        <w:spacing w:after="0" w:line="440" w:lineRule="exact"/>
        <w:ind w:left="0" w:leftChars="0" w:firstLine="476" w:firstLineChars="200"/>
        <w:rPr>
          <w:rFonts w:eastAsiaTheme="minorEastAsia"/>
          <w:bCs/>
          <w:color w:val="auto"/>
          <w:w w:val="99"/>
          <w:sz w:val="24"/>
          <w:highlight w:val="none"/>
        </w:rPr>
      </w:pPr>
      <w:r>
        <w:rPr>
          <w:rFonts w:eastAsiaTheme="minorEastAsia"/>
          <w:b/>
          <w:bCs/>
          <w:color w:val="auto"/>
          <w:w w:val="99"/>
          <w:sz w:val="24"/>
          <w:highlight w:val="none"/>
        </w:rPr>
        <w:t>表5.8-</w:t>
      </w:r>
      <w:r>
        <w:rPr>
          <w:rFonts w:hint="eastAsia" w:eastAsiaTheme="minorEastAsia"/>
          <w:b/>
          <w:bCs/>
          <w:color w:val="auto"/>
          <w:w w:val="99"/>
          <w:sz w:val="24"/>
          <w:highlight w:val="none"/>
        </w:rPr>
        <w:t>6</w:t>
      </w:r>
      <w:r>
        <w:rPr>
          <w:rFonts w:eastAsiaTheme="minorEastAsia"/>
          <w:b/>
          <w:bCs/>
          <w:color w:val="auto"/>
          <w:w w:val="99"/>
          <w:sz w:val="24"/>
          <w:highlight w:val="none"/>
        </w:rPr>
        <w:t xml:space="preserve">    建设项目环境风险简单分析内容表</w:t>
      </w:r>
    </w:p>
    <w:tbl>
      <w:tblPr>
        <w:tblStyle w:val="8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8" w:type="dxa"/>
          <w:bottom w:w="0" w:type="dxa"/>
          <w:right w:w="28" w:type="dxa"/>
        </w:tblCellMar>
      </w:tblPr>
      <w:tblGrid>
        <w:gridCol w:w="1780"/>
        <w:gridCol w:w="922"/>
        <w:gridCol w:w="1721"/>
        <w:gridCol w:w="998"/>
        <w:gridCol w:w="2775"/>
        <w:gridCol w:w="931"/>
      </w:tblGrid>
      <w:tr w14:paraId="007D7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975" w:type="pct"/>
            <w:vAlign w:val="center"/>
          </w:tcPr>
          <w:p w14:paraId="3CE3775F">
            <w:pPr>
              <w:pStyle w:val="178"/>
              <w:kinsoku w:val="0"/>
              <w:overflowPunct w:val="0"/>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建设项目名称</w:t>
            </w:r>
          </w:p>
        </w:tc>
        <w:tc>
          <w:tcPr>
            <w:tcW w:w="4025" w:type="pct"/>
            <w:gridSpan w:val="5"/>
            <w:vAlign w:val="center"/>
          </w:tcPr>
          <w:p w14:paraId="7D6756E4">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徐深27-H1井地面工程项目</w:t>
            </w:r>
          </w:p>
        </w:tc>
      </w:tr>
      <w:tr w14:paraId="27EE02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975" w:type="pct"/>
            <w:vAlign w:val="center"/>
          </w:tcPr>
          <w:p w14:paraId="67837A72">
            <w:pPr>
              <w:pStyle w:val="178"/>
              <w:kinsoku w:val="0"/>
              <w:overflowPunct w:val="0"/>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建设地点</w:t>
            </w:r>
          </w:p>
        </w:tc>
        <w:tc>
          <w:tcPr>
            <w:tcW w:w="505" w:type="pct"/>
            <w:vAlign w:val="center"/>
          </w:tcPr>
          <w:p w14:paraId="39FD515D">
            <w:pPr>
              <w:pStyle w:val="178"/>
              <w:tabs>
                <w:tab w:val="left" w:pos="449"/>
              </w:tabs>
              <w:kinsoku w:val="0"/>
              <w:overflowPunct w:val="0"/>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黑龙江省</w:t>
            </w:r>
          </w:p>
        </w:tc>
        <w:tc>
          <w:tcPr>
            <w:tcW w:w="943" w:type="pct"/>
            <w:vAlign w:val="center"/>
          </w:tcPr>
          <w:p w14:paraId="46273BF2">
            <w:pPr>
              <w:pStyle w:val="178"/>
              <w:tabs>
                <w:tab w:val="left" w:pos="657"/>
              </w:tabs>
              <w:kinsoku w:val="0"/>
              <w:overflowPunct w:val="0"/>
              <w:spacing w:line="360" w:lineRule="exact"/>
              <w:ind w:firstLine="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eastAsia="zh-CN"/>
              </w:rPr>
              <w:t>绥化</w:t>
            </w:r>
            <w:r>
              <w:rPr>
                <w:rFonts w:ascii="Times New Roman" w:hAnsi="Times New Roman" w:cs="Times New Roman" w:eastAsiaTheme="minorEastAsia"/>
                <w:color w:val="auto"/>
                <w:w w:val="99"/>
                <w:sz w:val="21"/>
                <w:szCs w:val="21"/>
                <w:highlight w:val="none"/>
              </w:rPr>
              <w:t>市</w:t>
            </w:r>
          </w:p>
        </w:tc>
        <w:tc>
          <w:tcPr>
            <w:tcW w:w="547" w:type="pct"/>
            <w:vAlign w:val="center"/>
          </w:tcPr>
          <w:p w14:paraId="6A33809D">
            <w:pPr>
              <w:pStyle w:val="178"/>
              <w:tabs>
                <w:tab w:val="left" w:pos="449"/>
              </w:tabs>
              <w:kinsoku w:val="0"/>
              <w:overflowPunct w:val="0"/>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eastAsia="zh-CN"/>
              </w:rPr>
              <w:t>肇东市</w:t>
            </w:r>
          </w:p>
        </w:tc>
        <w:tc>
          <w:tcPr>
            <w:tcW w:w="1520" w:type="pct"/>
            <w:vAlign w:val="center"/>
          </w:tcPr>
          <w:p w14:paraId="54D9EEBC">
            <w:pPr>
              <w:pStyle w:val="178"/>
              <w:tabs>
                <w:tab w:val="left" w:pos="632"/>
              </w:tabs>
              <w:kinsoku w:val="0"/>
              <w:overflowPunct w:val="0"/>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eastAsia="zh-CN"/>
              </w:rPr>
              <w:t>跃进乡</w:t>
            </w:r>
          </w:p>
        </w:tc>
        <w:tc>
          <w:tcPr>
            <w:tcW w:w="510" w:type="pct"/>
            <w:vAlign w:val="center"/>
          </w:tcPr>
          <w:p w14:paraId="47A88B1F">
            <w:pPr>
              <w:pStyle w:val="178"/>
              <w:tabs>
                <w:tab w:val="left" w:pos="647"/>
              </w:tabs>
              <w:kinsoku w:val="0"/>
              <w:overflowPunct w:val="0"/>
              <w:spacing w:line="360" w:lineRule="exact"/>
              <w:ind w:firstLine="0"/>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（）园区</w:t>
            </w:r>
          </w:p>
        </w:tc>
      </w:tr>
      <w:tr w14:paraId="09D601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975" w:type="pct"/>
            <w:vAlign w:val="center"/>
          </w:tcPr>
          <w:p w14:paraId="70E3957C">
            <w:pPr>
              <w:pStyle w:val="178"/>
              <w:kinsoku w:val="0"/>
              <w:overflowPunct w:val="0"/>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地理坐标</w:t>
            </w:r>
          </w:p>
        </w:tc>
        <w:tc>
          <w:tcPr>
            <w:tcW w:w="505" w:type="pct"/>
            <w:vAlign w:val="center"/>
          </w:tcPr>
          <w:p w14:paraId="65EAA8D6">
            <w:pPr>
              <w:pStyle w:val="178"/>
              <w:kinsoku w:val="0"/>
              <w:overflowPunct w:val="0"/>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经度</w:t>
            </w:r>
          </w:p>
        </w:tc>
        <w:tc>
          <w:tcPr>
            <w:tcW w:w="943" w:type="pct"/>
            <w:vAlign w:val="center"/>
          </w:tcPr>
          <w:p w14:paraId="765BFE11">
            <w:pPr>
              <w:pStyle w:val="178"/>
              <w:tabs>
                <w:tab w:val="left" w:pos="657"/>
              </w:tabs>
              <w:kinsoku w:val="0"/>
              <w:overflowPunct w:val="0"/>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125°</w:t>
            </w:r>
            <w:r>
              <w:rPr>
                <w:rFonts w:hint="eastAsia" w:ascii="Times New Roman" w:hAnsi="Times New Roman" w:cs="Times New Roman" w:eastAsiaTheme="minorEastAsia"/>
                <w:color w:val="auto"/>
                <w:w w:val="99"/>
                <w:sz w:val="21"/>
                <w:szCs w:val="21"/>
                <w:highlight w:val="none"/>
                <w:lang w:eastAsia="zh-CN"/>
              </w:rPr>
              <w:t>30</w:t>
            </w:r>
            <w:r>
              <w:rPr>
                <w:rFonts w:ascii="Times New Roman" w:hAnsi="Times New Roman" w:cs="Times New Roman" w:eastAsiaTheme="minorEastAsia"/>
                <w:color w:val="auto"/>
                <w:w w:val="99"/>
                <w:sz w:val="21"/>
                <w:szCs w:val="21"/>
                <w:highlight w:val="none"/>
                <w:lang w:eastAsia="zh-CN"/>
              </w:rPr>
              <w:t>′</w:t>
            </w:r>
            <w:r>
              <w:rPr>
                <w:rFonts w:hint="eastAsia" w:ascii="Times New Roman" w:hAnsi="Times New Roman" w:cs="Times New Roman" w:eastAsiaTheme="minorEastAsia"/>
                <w:color w:val="auto"/>
                <w:w w:val="99"/>
                <w:sz w:val="21"/>
                <w:szCs w:val="21"/>
                <w:highlight w:val="none"/>
                <w:lang w:eastAsia="zh-CN"/>
              </w:rPr>
              <w:t>43</w:t>
            </w:r>
            <w:r>
              <w:rPr>
                <w:rFonts w:ascii="Times New Roman" w:hAnsi="Times New Roman" w:cs="Times New Roman" w:eastAsiaTheme="minorEastAsia"/>
                <w:color w:val="auto"/>
                <w:w w:val="99"/>
                <w:sz w:val="21"/>
                <w:szCs w:val="21"/>
                <w:highlight w:val="none"/>
                <w:lang w:eastAsia="zh-CN"/>
              </w:rPr>
              <w:t>″~125°</w:t>
            </w:r>
            <w:r>
              <w:rPr>
                <w:rFonts w:hint="eastAsia" w:ascii="Times New Roman" w:hAnsi="Times New Roman" w:cs="Times New Roman" w:eastAsiaTheme="minorEastAsia"/>
                <w:color w:val="auto"/>
                <w:w w:val="99"/>
                <w:sz w:val="21"/>
                <w:szCs w:val="21"/>
                <w:highlight w:val="none"/>
                <w:lang w:eastAsia="zh-CN"/>
              </w:rPr>
              <w:t>31</w:t>
            </w:r>
            <w:r>
              <w:rPr>
                <w:rFonts w:ascii="Times New Roman" w:hAnsi="Times New Roman" w:cs="Times New Roman" w:eastAsiaTheme="minorEastAsia"/>
                <w:color w:val="auto"/>
                <w:w w:val="99"/>
                <w:sz w:val="21"/>
                <w:szCs w:val="21"/>
                <w:highlight w:val="none"/>
                <w:lang w:eastAsia="zh-CN"/>
              </w:rPr>
              <w:t>′</w:t>
            </w:r>
            <w:r>
              <w:rPr>
                <w:rFonts w:hint="eastAsia" w:ascii="Times New Roman" w:hAnsi="Times New Roman" w:cs="Times New Roman" w:eastAsiaTheme="minorEastAsia"/>
                <w:color w:val="auto"/>
                <w:w w:val="99"/>
                <w:sz w:val="21"/>
                <w:szCs w:val="21"/>
                <w:highlight w:val="none"/>
                <w:lang w:eastAsia="zh-CN"/>
              </w:rPr>
              <w:t>02</w:t>
            </w:r>
            <w:r>
              <w:rPr>
                <w:rFonts w:ascii="Times New Roman" w:hAnsi="Times New Roman" w:cs="Times New Roman" w:eastAsiaTheme="minorEastAsia"/>
                <w:color w:val="auto"/>
                <w:w w:val="99"/>
                <w:sz w:val="21"/>
                <w:szCs w:val="21"/>
                <w:highlight w:val="none"/>
                <w:lang w:eastAsia="zh-CN"/>
              </w:rPr>
              <w:t>″</w:t>
            </w:r>
          </w:p>
        </w:tc>
        <w:tc>
          <w:tcPr>
            <w:tcW w:w="547" w:type="pct"/>
            <w:vAlign w:val="center"/>
          </w:tcPr>
          <w:p w14:paraId="422EDAB2">
            <w:pPr>
              <w:pStyle w:val="178"/>
              <w:tabs>
                <w:tab w:val="left" w:pos="657"/>
              </w:tabs>
              <w:kinsoku w:val="0"/>
              <w:overflowPunct w:val="0"/>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纬度</w:t>
            </w:r>
          </w:p>
        </w:tc>
        <w:tc>
          <w:tcPr>
            <w:tcW w:w="2030" w:type="pct"/>
            <w:gridSpan w:val="2"/>
            <w:vAlign w:val="center"/>
          </w:tcPr>
          <w:p w14:paraId="1A88B6B5">
            <w:pPr>
              <w:pStyle w:val="178"/>
              <w:tabs>
                <w:tab w:val="left" w:pos="657"/>
              </w:tabs>
              <w:kinsoku w:val="0"/>
              <w:overflowPunct w:val="0"/>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4</w:t>
            </w:r>
            <w:r>
              <w:rPr>
                <w:rFonts w:hint="eastAsia" w:ascii="Times New Roman" w:hAnsi="Times New Roman" w:cs="Times New Roman" w:eastAsiaTheme="minorEastAsia"/>
                <w:color w:val="auto"/>
                <w:w w:val="99"/>
                <w:sz w:val="21"/>
                <w:szCs w:val="21"/>
                <w:highlight w:val="none"/>
                <w:lang w:eastAsia="zh-CN"/>
              </w:rPr>
              <w:t>5</w:t>
            </w:r>
            <w:r>
              <w:rPr>
                <w:rFonts w:ascii="Times New Roman" w:hAnsi="Times New Roman" w:cs="Times New Roman" w:eastAsiaTheme="minorEastAsia"/>
                <w:color w:val="auto"/>
                <w:w w:val="99"/>
                <w:sz w:val="21"/>
                <w:szCs w:val="21"/>
                <w:highlight w:val="none"/>
                <w:lang w:eastAsia="zh-CN"/>
              </w:rPr>
              <w:t>°</w:t>
            </w:r>
            <w:r>
              <w:rPr>
                <w:rFonts w:hint="eastAsia" w:ascii="Times New Roman" w:hAnsi="Times New Roman" w:cs="Times New Roman" w:eastAsiaTheme="minorEastAsia"/>
                <w:color w:val="auto"/>
                <w:w w:val="99"/>
                <w:sz w:val="21"/>
                <w:szCs w:val="21"/>
                <w:highlight w:val="none"/>
                <w:lang w:eastAsia="zh-CN"/>
              </w:rPr>
              <w:t>53</w:t>
            </w:r>
            <w:r>
              <w:rPr>
                <w:rFonts w:ascii="Times New Roman" w:hAnsi="Times New Roman" w:cs="Times New Roman" w:eastAsiaTheme="minorEastAsia"/>
                <w:color w:val="auto"/>
                <w:w w:val="99"/>
                <w:sz w:val="21"/>
                <w:szCs w:val="21"/>
                <w:highlight w:val="none"/>
                <w:lang w:eastAsia="zh-CN"/>
              </w:rPr>
              <w:t>′</w:t>
            </w:r>
            <w:r>
              <w:rPr>
                <w:rFonts w:hint="eastAsia" w:ascii="Times New Roman" w:hAnsi="Times New Roman" w:cs="Times New Roman" w:eastAsiaTheme="minorEastAsia"/>
                <w:color w:val="auto"/>
                <w:w w:val="99"/>
                <w:sz w:val="21"/>
                <w:szCs w:val="21"/>
                <w:highlight w:val="none"/>
                <w:lang w:eastAsia="zh-CN"/>
              </w:rPr>
              <w:t>40</w:t>
            </w:r>
            <w:r>
              <w:rPr>
                <w:rFonts w:ascii="Times New Roman" w:hAnsi="Times New Roman" w:cs="Times New Roman" w:eastAsiaTheme="minorEastAsia"/>
                <w:color w:val="auto"/>
                <w:w w:val="99"/>
                <w:sz w:val="21"/>
                <w:szCs w:val="21"/>
                <w:highlight w:val="none"/>
                <w:lang w:eastAsia="zh-CN"/>
              </w:rPr>
              <w:t>″~4</w:t>
            </w:r>
            <w:r>
              <w:rPr>
                <w:rFonts w:hint="eastAsia" w:ascii="Times New Roman" w:hAnsi="Times New Roman" w:cs="Times New Roman" w:eastAsiaTheme="minorEastAsia"/>
                <w:color w:val="auto"/>
                <w:w w:val="99"/>
                <w:sz w:val="21"/>
                <w:szCs w:val="21"/>
                <w:highlight w:val="none"/>
                <w:lang w:eastAsia="zh-CN"/>
              </w:rPr>
              <w:t>5</w:t>
            </w:r>
            <w:r>
              <w:rPr>
                <w:rFonts w:ascii="Times New Roman" w:hAnsi="Times New Roman" w:cs="Times New Roman" w:eastAsiaTheme="minorEastAsia"/>
                <w:color w:val="auto"/>
                <w:w w:val="99"/>
                <w:sz w:val="21"/>
                <w:szCs w:val="21"/>
                <w:highlight w:val="none"/>
                <w:lang w:eastAsia="zh-CN"/>
              </w:rPr>
              <w:t>°</w:t>
            </w:r>
            <w:r>
              <w:rPr>
                <w:rFonts w:hint="eastAsia" w:ascii="Times New Roman" w:hAnsi="Times New Roman" w:cs="Times New Roman" w:eastAsiaTheme="minorEastAsia"/>
                <w:color w:val="auto"/>
                <w:w w:val="99"/>
                <w:sz w:val="21"/>
                <w:szCs w:val="21"/>
                <w:highlight w:val="none"/>
                <w:lang w:eastAsia="zh-CN"/>
              </w:rPr>
              <w:t>54</w:t>
            </w:r>
            <w:r>
              <w:rPr>
                <w:rFonts w:ascii="Times New Roman" w:hAnsi="Times New Roman" w:cs="Times New Roman" w:eastAsiaTheme="minorEastAsia"/>
                <w:color w:val="auto"/>
                <w:w w:val="99"/>
                <w:sz w:val="21"/>
                <w:szCs w:val="21"/>
                <w:highlight w:val="none"/>
                <w:lang w:eastAsia="zh-CN"/>
              </w:rPr>
              <w:t>′</w:t>
            </w:r>
            <w:r>
              <w:rPr>
                <w:rFonts w:hint="eastAsia" w:ascii="Times New Roman" w:hAnsi="Times New Roman" w:cs="Times New Roman" w:eastAsiaTheme="minorEastAsia"/>
                <w:color w:val="auto"/>
                <w:w w:val="99"/>
                <w:sz w:val="21"/>
                <w:szCs w:val="21"/>
                <w:highlight w:val="none"/>
                <w:lang w:eastAsia="zh-CN"/>
              </w:rPr>
              <w:t>39</w:t>
            </w:r>
            <w:r>
              <w:rPr>
                <w:rFonts w:ascii="Times New Roman" w:hAnsi="Times New Roman" w:cs="Times New Roman" w:eastAsiaTheme="minorEastAsia"/>
                <w:color w:val="auto"/>
                <w:w w:val="99"/>
                <w:sz w:val="21"/>
                <w:szCs w:val="21"/>
                <w:highlight w:val="none"/>
                <w:lang w:eastAsia="zh-CN"/>
              </w:rPr>
              <w:t>″</w:t>
            </w:r>
          </w:p>
        </w:tc>
      </w:tr>
      <w:tr w14:paraId="15BAA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975" w:type="pct"/>
            <w:vAlign w:val="center"/>
          </w:tcPr>
          <w:p w14:paraId="7209B9C8">
            <w:pPr>
              <w:pStyle w:val="178"/>
              <w:kinsoku w:val="0"/>
              <w:overflowPunct w:val="0"/>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主要危险物质及分布</w:t>
            </w:r>
          </w:p>
        </w:tc>
        <w:tc>
          <w:tcPr>
            <w:tcW w:w="4025" w:type="pct"/>
            <w:gridSpan w:val="5"/>
            <w:vAlign w:val="center"/>
          </w:tcPr>
          <w:p w14:paraId="7A291940">
            <w:pPr>
              <w:spacing w:line="360" w:lineRule="exact"/>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本项目涉及的主要危险物质</w:t>
            </w:r>
            <w:r>
              <w:rPr>
                <w:rFonts w:hint="eastAsia" w:ascii="Times New Roman" w:hAnsi="Times New Roman" w:cs="Times New Roman" w:eastAsiaTheme="minorEastAsia"/>
                <w:color w:val="auto"/>
                <w:w w:val="99"/>
                <w:sz w:val="21"/>
                <w:szCs w:val="21"/>
                <w:highlight w:val="none"/>
              </w:rPr>
              <w:t>危险物质为天然气。单个井场天然气最大存在量为 0.05t ，管线天然气最大储存量为 0.955t。</w:t>
            </w:r>
          </w:p>
        </w:tc>
      </w:tr>
      <w:tr w14:paraId="06655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975" w:type="pct"/>
            <w:vAlign w:val="center"/>
          </w:tcPr>
          <w:p w14:paraId="34853AC0">
            <w:pPr>
              <w:pStyle w:val="178"/>
              <w:kinsoku w:val="0"/>
              <w:overflowPunct w:val="0"/>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环境影响途径及危害后果（大气、地表水、地下水等）</w:t>
            </w:r>
          </w:p>
        </w:tc>
        <w:tc>
          <w:tcPr>
            <w:tcW w:w="4025" w:type="pct"/>
            <w:gridSpan w:val="5"/>
            <w:vAlign w:val="center"/>
          </w:tcPr>
          <w:p w14:paraId="762BB901">
            <w:pPr>
              <w:pStyle w:val="178"/>
              <w:kinsoku w:val="0"/>
              <w:overflowPunct w:val="0"/>
              <w:spacing w:line="360" w:lineRule="exact"/>
              <w:ind w:firstLine="0"/>
              <w:rPr>
                <w:rFonts w:ascii="Times New Roman" w:hAnsi="Times New Roman" w:cs="Times New Roman" w:eastAsiaTheme="minorEastAsia"/>
                <w:color w:val="auto"/>
                <w:w w:val="99"/>
                <w:kern w:val="2"/>
                <w:sz w:val="21"/>
                <w:szCs w:val="21"/>
                <w:highlight w:val="none"/>
                <w:lang w:eastAsia="zh-CN"/>
              </w:rPr>
            </w:pPr>
            <w:r>
              <w:rPr>
                <w:rFonts w:ascii="Times New Roman" w:hAnsi="Times New Roman" w:cs="Times New Roman" w:eastAsiaTheme="minorEastAsia"/>
                <w:color w:val="auto"/>
                <w:w w:val="99"/>
                <w:kern w:val="2"/>
                <w:sz w:val="21"/>
                <w:szCs w:val="21"/>
                <w:highlight w:val="none"/>
                <w:lang w:eastAsia="zh-CN"/>
              </w:rPr>
              <w:t>根据项目物质危险性识别、生产系统危险性识别以及事故资料统计，本项目危险物质在事故情形下对环境的影响途径主要是井喷、井喷失控造成天然气泄漏、火灾爆炸事故对大气造成污染；采气管线泄漏造成天然气泄漏、火灾爆炸事故对大气造成污染；井漏后气田水对地下水环境产生污染。</w:t>
            </w:r>
          </w:p>
        </w:tc>
      </w:tr>
      <w:tr w14:paraId="534DB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975" w:type="pct"/>
            <w:vAlign w:val="center"/>
          </w:tcPr>
          <w:p w14:paraId="78236AAE">
            <w:pPr>
              <w:pStyle w:val="178"/>
              <w:kinsoku w:val="0"/>
              <w:overflowPunct w:val="0"/>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风险防范措施要求</w:t>
            </w:r>
          </w:p>
        </w:tc>
        <w:tc>
          <w:tcPr>
            <w:tcW w:w="4025" w:type="pct"/>
            <w:gridSpan w:val="5"/>
            <w:vAlign w:val="center"/>
          </w:tcPr>
          <w:p w14:paraId="01C08F7F">
            <w:pPr>
              <w:spacing w:line="360" w:lineRule="exact"/>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管道密闭输送、防腐、试压，运行期制定操作规程、巡线、检测、应急等管理措施。</w:t>
            </w:r>
          </w:p>
        </w:tc>
      </w:tr>
      <w:tr w14:paraId="54BBF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975" w:type="pct"/>
            <w:vAlign w:val="center"/>
          </w:tcPr>
          <w:p w14:paraId="68B471BD">
            <w:pPr>
              <w:pStyle w:val="178"/>
              <w:kinsoku w:val="0"/>
              <w:overflowPunct w:val="0"/>
              <w:spacing w:line="360" w:lineRule="exact"/>
              <w:ind w:firstLine="0"/>
              <w:jc w:val="both"/>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填表说明（列出项目相关信息及评价说明</w:t>
            </w:r>
            <w:r>
              <w:rPr>
                <w:rFonts w:ascii="Times New Roman" w:hAnsi="Times New Roman" w:cs="Times New Roman" w:eastAsiaTheme="minorEastAsia"/>
                <w:color w:val="auto"/>
                <w:spacing w:val="-90"/>
                <w:w w:val="99"/>
                <w:sz w:val="21"/>
                <w:szCs w:val="21"/>
                <w:highlight w:val="none"/>
                <w:lang w:eastAsia="zh-CN"/>
              </w:rPr>
              <w:t>）</w:t>
            </w:r>
            <w:r>
              <w:rPr>
                <w:rFonts w:ascii="Times New Roman" w:hAnsi="Times New Roman" w:cs="Times New Roman" w:eastAsiaTheme="minorEastAsia"/>
                <w:color w:val="auto"/>
                <w:w w:val="99"/>
                <w:sz w:val="21"/>
                <w:szCs w:val="21"/>
                <w:highlight w:val="none"/>
                <w:lang w:eastAsia="zh-CN"/>
              </w:rPr>
              <w:t>：</w:t>
            </w:r>
          </w:p>
        </w:tc>
        <w:tc>
          <w:tcPr>
            <w:tcW w:w="4025" w:type="pct"/>
            <w:gridSpan w:val="5"/>
            <w:vAlign w:val="center"/>
          </w:tcPr>
          <w:p w14:paraId="6D7C4DA7">
            <w:pPr>
              <w:spacing w:line="360" w:lineRule="exact"/>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根据《建设项目环境风险评价技术导则》（HJ169-2018），本项目为简单分析。</w:t>
            </w:r>
          </w:p>
        </w:tc>
      </w:tr>
    </w:tbl>
    <w:p w14:paraId="494E7709">
      <w:pPr>
        <w:pStyle w:val="102"/>
        <w:rPr>
          <w:rFonts w:hint="default" w:ascii="Times New Roman" w:hAnsi="Times New Roman"/>
          <w:color w:val="auto"/>
          <w:w w:val="99"/>
          <w:highlight w:val="none"/>
        </w:rPr>
      </w:pPr>
    </w:p>
    <w:bookmarkEnd w:id="818"/>
    <w:bookmarkEnd w:id="982"/>
    <w:bookmarkEnd w:id="983"/>
    <w:bookmarkEnd w:id="984"/>
    <w:bookmarkEnd w:id="985"/>
    <w:bookmarkEnd w:id="986"/>
    <w:bookmarkEnd w:id="987"/>
    <w:bookmarkEnd w:id="988"/>
    <w:bookmarkEnd w:id="989"/>
    <w:p w14:paraId="62398183">
      <w:pPr>
        <w:pStyle w:val="4"/>
        <w:widowControl w:val="0"/>
        <w:spacing w:before="180" w:after="180" w:line="500" w:lineRule="exact"/>
        <w:rPr>
          <w:rFonts w:ascii="Times New Roman" w:hAnsi="Times New Roman" w:eastAsia="宋体"/>
          <w:b/>
          <w:snapToGrid w:val="0"/>
          <w:color w:val="auto"/>
          <w:w w:val="99"/>
          <w:sz w:val="30"/>
          <w:szCs w:val="30"/>
          <w:highlight w:val="none"/>
        </w:rPr>
        <w:sectPr>
          <w:headerReference r:id="rId9" w:type="default"/>
          <w:footerReference r:id="rId10" w:type="default"/>
          <w:type w:val="nextColumn"/>
          <w:pgSz w:w="11907" w:h="16840"/>
          <w:pgMar w:top="1418" w:right="1418" w:bottom="1418" w:left="1418" w:header="851" w:footer="425" w:gutter="0"/>
          <w:cols w:space="720" w:num="1"/>
          <w:docGrid w:linePitch="326" w:charSpace="0"/>
        </w:sectPr>
      </w:pPr>
    </w:p>
    <w:p w14:paraId="532A7859">
      <w:pPr>
        <w:pStyle w:val="4"/>
        <w:widowControl w:val="0"/>
        <w:spacing w:before="180" w:after="180" w:line="500" w:lineRule="exact"/>
        <w:rPr>
          <w:rFonts w:ascii="Times New Roman" w:hAnsi="Times New Roman" w:eastAsia="宋体"/>
          <w:b/>
          <w:snapToGrid w:val="0"/>
          <w:color w:val="auto"/>
          <w:w w:val="99"/>
          <w:sz w:val="30"/>
          <w:szCs w:val="30"/>
          <w:highlight w:val="none"/>
        </w:rPr>
      </w:pPr>
      <w:bookmarkStart w:id="1014" w:name="_Toc21653"/>
      <w:r>
        <w:rPr>
          <w:rFonts w:ascii="Times New Roman" w:hAnsi="Times New Roman" w:eastAsia="宋体"/>
          <w:b/>
          <w:snapToGrid w:val="0"/>
          <w:color w:val="auto"/>
          <w:w w:val="99"/>
          <w:sz w:val="30"/>
          <w:szCs w:val="30"/>
          <w:highlight w:val="none"/>
        </w:rPr>
        <w:t>6</w:t>
      </w:r>
      <w:bookmarkEnd w:id="800"/>
      <w:bookmarkEnd w:id="801"/>
      <w:r>
        <w:rPr>
          <w:rFonts w:ascii="Times New Roman" w:hAnsi="Times New Roman" w:eastAsia="宋体"/>
          <w:b/>
          <w:snapToGrid w:val="0"/>
          <w:color w:val="auto"/>
          <w:w w:val="99"/>
          <w:sz w:val="30"/>
          <w:szCs w:val="30"/>
          <w:highlight w:val="none"/>
        </w:rPr>
        <w:t>环境保护措施及其可行性论证</w:t>
      </w:r>
      <w:bookmarkEnd w:id="1014"/>
    </w:p>
    <w:p w14:paraId="1F57CE8B">
      <w:pPr>
        <w:pStyle w:val="5"/>
        <w:keepNext w:val="0"/>
        <w:keepLines w:val="0"/>
        <w:widowControl w:val="0"/>
        <w:spacing w:before="120" w:after="120"/>
        <w:rPr>
          <w:rFonts w:ascii="Times New Roman" w:hAnsi="Times New Roman" w:eastAsia="宋体"/>
          <w:b/>
          <w:snapToGrid w:val="0"/>
          <w:color w:val="auto"/>
          <w:w w:val="99"/>
          <w:highlight w:val="none"/>
        </w:rPr>
      </w:pPr>
      <w:bookmarkStart w:id="1015" w:name="_Toc189535437"/>
      <w:bookmarkStart w:id="1016" w:name="_Toc177403565"/>
      <w:bookmarkStart w:id="1017" w:name="_Toc20374"/>
      <w:bookmarkStart w:id="1018" w:name="_Toc196215813"/>
      <w:bookmarkStart w:id="1019" w:name="_Toc65426011"/>
      <w:bookmarkStart w:id="1020" w:name="_Toc203113621"/>
      <w:bookmarkStart w:id="1021" w:name="_Toc200952546"/>
      <w:bookmarkStart w:id="1022" w:name="_Toc200162118"/>
      <w:bookmarkStart w:id="1023" w:name="_Toc17898242"/>
      <w:bookmarkStart w:id="1024" w:name="_Toc201330164"/>
      <w:bookmarkStart w:id="1025" w:name="_Toc57707984"/>
      <w:bookmarkStart w:id="1026" w:name="_Toc225741623"/>
      <w:bookmarkStart w:id="1027" w:name="_Toc204572393"/>
      <w:bookmarkStart w:id="1028" w:name="_Toc83525150"/>
      <w:bookmarkStart w:id="1029" w:name="_Toc502736516"/>
      <w:bookmarkStart w:id="1030" w:name="_Toc57976736"/>
      <w:bookmarkStart w:id="1031" w:name="_Toc203373354"/>
      <w:bookmarkStart w:id="1032" w:name="_Toc4419"/>
      <w:bookmarkStart w:id="1033" w:name="_Toc98920169"/>
      <w:bookmarkStart w:id="1034" w:name="_Toc57203314"/>
      <w:bookmarkStart w:id="1035" w:name="_Toc200162815"/>
      <w:r>
        <w:rPr>
          <w:rFonts w:ascii="Times New Roman" w:hAnsi="Times New Roman" w:eastAsia="宋体"/>
          <w:b/>
          <w:snapToGrid w:val="0"/>
          <w:color w:val="auto"/>
          <w:w w:val="99"/>
          <w:highlight w:val="none"/>
        </w:rPr>
        <w:t>6.1</w:t>
      </w:r>
      <w:bookmarkEnd w:id="1015"/>
      <w:bookmarkEnd w:id="1016"/>
      <w:r>
        <w:rPr>
          <w:rFonts w:ascii="Times New Roman" w:hAnsi="Times New Roman" w:eastAsia="宋体"/>
          <w:b/>
          <w:snapToGrid w:val="0"/>
          <w:color w:val="auto"/>
          <w:w w:val="99"/>
          <w:highlight w:val="none"/>
        </w:rPr>
        <w:t>污染防治措施</w:t>
      </w:r>
      <w:bookmarkEnd w:id="1017"/>
      <w:bookmarkEnd w:id="1018"/>
      <w:bookmarkEnd w:id="1019"/>
    </w:p>
    <w:p w14:paraId="069B66AB">
      <w:pPr>
        <w:pStyle w:val="7"/>
        <w:keepNext w:val="0"/>
        <w:keepLines w:val="0"/>
        <w:widowControl w:val="0"/>
        <w:spacing w:before="60" w:after="60"/>
        <w:jc w:val="both"/>
        <w:rPr>
          <w:rFonts w:eastAsia="宋体"/>
          <w:b/>
          <w:color w:val="auto"/>
          <w:w w:val="99"/>
          <w:kern w:val="2"/>
          <w:sz w:val="24"/>
          <w:szCs w:val="24"/>
          <w:highlight w:val="none"/>
        </w:rPr>
      </w:pPr>
      <w:bookmarkStart w:id="1036" w:name="_Toc70050274"/>
      <w:bookmarkStart w:id="1037" w:name="_Toc186444378"/>
      <w:bookmarkStart w:id="1038" w:name="_Toc76976336"/>
      <w:bookmarkStart w:id="1039" w:name="_Toc83209566"/>
      <w:bookmarkStart w:id="1040" w:name="_Toc77067747"/>
      <w:bookmarkStart w:id="1041" w:name="_Toc80588344"/>
      <w:bookmarkStart w:id="1042" w:name="_Toc196215814"/>
      <w:bookmarkStart w:id="1043" w:name="_Toc78816549"/>
      <w:bookmarkStart w:id="1044" w:name="_Toc80971466"/>
      <w:bookmarkStart w:id="1045" w:name="_Toc67860227"/>
      <w:r>
        <w:rPr>
          <w:rFonts w:eastAsia="宋体"/>
          <w:b/>
          <w:color w:val="auto"/>
          <w:w w:val="99"/>
          <w:kern w:val="2"/>
          <w:sz w:val="24"/>
          <w:szCs w:val="24"/>
          <w:highlight w:val="none"/>
        </w:rPr>
        <w:t>6.1.1大气污染防治措施</w:t>
      </w:r>
      <w:bookmarkEnd w:id="1036"/>
      <w:bookmarkEnd w:id="1037"/>
      <w:bookmarkEnd w:id="1038"/>
      <w:bookmarkEnd w:id="1039"/>
      <w:bookmarkEnd w:id="1040"/>
      <w:bookmarkEnd w:id="1041"/>
      <w:bookmarkEnd w:id="1042"/>
      <w:bookmarkEnd w:id="1043"/>
      <w:bookmarkEnd w:id="1044"/>
      <w:bookmarkEnd w:id="1045"/>
    </w:p>
    <w:p w14:paraId="12BE5C21">
      <w:pPr>
        <w:pStyle w:val="153"/>
        <w:widowControl w:val="0"/>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6.1.1.1施工期</w:t>
      </w:r>
    </w:p>
    <w:p w14:paraId="2BE125B2">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本项目施工期的环境空气影响主要来源</w:t>
      </w:r>
      <w:r>
        <w:rPr>
          <w:rFonts w:ascii="Times New Roman" w:hAnsi="Times New Roman" w:eastAsia="宋体"/>
          <w:color w:val="auto"/>
          <w:w w:val="99"/>
          <w:sz w:val="24"/>
          <w:szCs w:val="24"/>
          <w:highlight w:val="none"/>
        </w:rPr>
        <w:t>于</w:t>
      </w:r>
      <w:r>
        <w:rPr>
          <w:rFonts w:hint="default" w:ascii="Times New Roman" w:hAnsi="Times New Roman" w:eastAsia="宋体"/>
          <w:color w:val="auto"/>
          <w:w w:val="99"/>
          <w:sz w:val="24"/>
          <w:szCs w:val="24"/>
          <w:highlight w:val="none"/>
        </w:rPr>
        <w:t>地面工程施工时管沟开挖、道路敷设、土方堆填，站场工程地面施工、车辆运输、恢复地面等过程中产生的粉尘、二次扬尘，管道焊接过程产生的焊接烟尘，以及施工设备和运输车辆尾气。</w:t>
      </w:r>
    </w:p>
    <w:p w14:paraId="776FF0FB">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w:t>
      </w:r>
      <w:r>
        <w:rPr>
          <w:rFonts w:ascii="Times New Roman" w:hAnsi="Times New Roman" w:eastAsia="宋体"/>
          <w:color w:val="auto"/>
          <w:w w:val="99"/>
          <w:sz w:val="24"/>
          <w:szCs w:val="24"/>
          <w:highlight w:val="none"/>
        </w:rPr>
        <w:t>1</w:t>
      </w:r>
      <w:r>
        <w:rPr>
          <w:rFonts w:hint="default" w:ascii="Times New Roman" w:hAnsi="Times New Roman" w:eastAsia="宋体"/>
          <w:color w:val="auto"/>
          <w:w w:val="99"/>
          <w:sz w:val="24"/>
          <w:szCs w:val="24"/>
          <w:highlight w:val="none"/>
        </w:rPr>
        <w:t>）施工扬尘污染防治措施</w:t>
      </w:r>
    </w:p>
    <w:p w14:paraId="1C7CCCCA">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①</w:t>
      </w:r>
      <w:r>
        <w:rPr>
          <w:rFonts w:hint="default" w:ascii="Times New Roman" w:hAnsi="Times New Roman" w:eastAsia="宋体"/>
          <w:color w:val="auto"/>
          <w:w w:val="99"/>
          <w:sz w:val="24"/>
          <w:szCs w:val="24"/>
          <w:highlight w:val="none"/>
        </w:rPr>
        <w:t>为防止因交通运输量的增加而导致的扬尘污染，应在施工初期合理规划道路运输路线，尽量利用现有公路网络。</w:t>
      </w:r>
    </w:p>
    <w:p w14:paraId="7AC921BE">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②</w:t>
      </w:r>
      <w:r>
        <w:rPr>
          <w:rFonts w:hint="default" w:ascii="Times New Roman" w:hAnsi="Times New Roman" w:eastAsia="宋体"/>
          <w:color w:val="auto"/>
          <w:w w:val="99"/>
          <w:sz w:val="24"/>
          <w:szCs w:val="24"/>
          <w:highlight w:val="none"/>
        </w:rPr>
        <w:t>运输道路、施工场地干燥时洒水抑尘，定期清扫散落在施工场地的泥土，应</w:t>
      </w:r>
      <w:r>
        <w:rPr>
          <w:rFonts w:ascii="Times New Roman" w:hAnsi="Times New Roman" w:eastAsia="宋体"/>
          <w:color w:val="auto"/>
          <w:w w:val="99"/>
          <w:sz w:val="24"/>
          <w:szCs w:val="24"/>
          <w:highlight w:val="none"/>
        </w:rPr>
        <w:t>采用</w:t>
      </w:r>
      <w:r>
        <w:rPr>
          <w:rFonts w:hint="default" w:ascii="Times New Roman" w:hAnsi="Times New Roman" w:eastAsia="宋体"/>
          <w:color w:val="auto"/>
          <w:w w:val="99"/>
          <w:sz w:val="24"/>
          <w:szCs w:val="24"/>
          <w:highlight w:val="none"/>
        </w:rPr>
        <w:t>湿法吸扫，严禁干扫和吹扫，以减少扬尘对周边土壤和植被的影响。</w:t>
      </w:r>
    </w:p>
    <w:p w14:paraId="1120775A">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③</w:t>
      </w:r>
      <w:r>
        <w:rPr>
          <w:rFonts w:hint="default" w:ascii="Times New Roman" w:hAnsi="Times New Roman" w:eastAsia="宋体"/>
          <w:color w:val="auto"/>
          <w:w w:val="99"/>
          <w:sz w:val="24"/>
          <w:szCs w:val="24"/>
          <w:highlight w:val="none"/>
        </w:rPr>
        <w:t>运料车辆在运输时，车辆应当采取苫布遮盖措施，严禁敞开式、半敞开式运输，不得装载过满，以防洒落在地，形成二次扬尘。</w:t>
      </w:r>
    </w:p>
    <w:p w14:paraId="258F7EF4">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④施工场地租赁洒水车1辆，</w:t>
      </w:r>
      <w:r>
        <w:rPr>
          <w:rFonts w:hint="default" w:ascii="Times New Roman" w:hAnsi="Times New Roman" w:eastAsia="宋体"/>
          <w:color w:val="auto"/>
          <w:w w:val="99"/>
          <w:sz w:val="24"/>
          <w:szCs w:val="24"/>
          <w:highlight w:val="none"/>
        </w:rPr>
        <w:t>土方开挖应采取遮盖、围挡、洒水等防尘措施。临时弃土集中堆放在背风侧，临时堆放土堆应采取覆盖、洒水等防尘措施；缩短土方裸露时间，且不宜堆积过久、过高，堆放过程中应在顶部加盖篷布；对易产生扬尘污染的建筑材料堆应覆盖到位。</w:t>
      </w:r>
    </w:p>
    <w:p w14:paraId="0D062685">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⑤</w:t>
      </w:r>
      <w:r>
        <w:rPr>
          <w:rFonts w:hint="default" w:ascii="Times New Roman" w:hAnsi="Times New Roman" w:eastAsia="宋体"/>
          <w:color w:val="auto"/>
          <w:w w:val="99"/>
          <w:sz w:val="24"/>
          <w:szCs w:val="24"/>
          <w:highlight w:val="none"/>
        </w:rPr>
        <w:t>管线尽可能沿道路走向设计，以避免施工活动对土地和地表植被的扰动；最大限度控制施工作业带宽度，避免因施工开挖加剧土地沙漠化和水土流失，同时在施工过程中定期洒水抑尘，防止施工扬尘量大对环境造成污染。</w:t>
      </w:r>
    </w:p>
    <w:p w14:paraId="4000618E">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⑥</w:t>
      </w:r>
      <w:r>
        <w:rPr>
          <w:rFonts w:hint="default" w:ascii="Times New Roman" w:hAnsi="Times New Roman" w:eastAsia="宋体"/>
          <w:color w:val="auto"/>
          <w:w w:val="99"/>
          <w:sz w:val="24"/>
          <w:szCs w:val="24"/>
          <w:highlight w:val="none"/>
        </w:rPr>
        <w:t>合理规划施工进度，及时开挖，及时回填，防止弃土风化失水而起沙起尘；遇大风天气应停止土方工程施工作业。</w:t>
      </w:r>
    </w:p>
    <w:p w14:paraId="69AB68FD">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⑦</w:t>
      </w:r>
      <w:r>
        <w:rPr>
          <w:rFonts w:hint="default" w:ascii="Times New Roman" w:hAnsi="Times New Roman" w:eastAsia="宋体"/>
          <w:color w:val="auto"/>
          <w:w w:val="99"/>
          <w:sz w:val="24"/>
          <w:szCs w:val="24"/>
          <w:highlight w:val="none"/>
        </w:rPr>
        <w:t>施工结束后，应及时进行施工场地的清理，清除积土、堆物。</w:t>
      </w:r>
    </w:p>
    <w:p w14:paraId="6FE79B08">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⑧</w:t>
      </w:r>
      <w:r>
        <w:rPr>
          <w:rFonts w:hint="default" w:ascii="Times New Roman" w:hAnsi="Times New Roman" w:eastAsia="宋体"/>
          <w:color w:val="auto"/>
          <w:w w:val="99"/>
          <w:sz w:val="24"/>
          <w:szCs w:val="24"/>
          <w:highlight w:val="none"/>
        </w:rPr>
        <w:t>禁止占用保护区用地。</w:t>
      </w:r>
    </w:p>
    <w:p w14:paraId="23337C0B">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w:t>
      </w:r>
      <w:r>
        <w:rPr>
          <w:rFonts w:hint="eastAsia" w:ascii="Times New Roman" w:hAnsi="Times New Roman" w:cs="Times New Roman"/>
          <w:color w:val="auto"/>
          <w:w w:val="99"/>
          <w:kern w:val="2"/>
          <w:highlight w:val="none"/>
        </w:rPr>
        <w:t>2</w:t>
      </w:r>
      <w:r>
        <w:rPr>
          <w:rFonts w:ascii="Times New Roman" w:hAnsi="Times New Roman" w:cs="Times New Roman"/>
          <w:color w:val="auto"/>
          <w:w w:val="99"/>
          <w:kern w:val="2"/>
          <w:highlight w:val="none"/>
        </w:rPr>
        <w:t>）施工车辆尾气</w:t>
      </w:r>
    </w:p>
    <w:p w14:paraId="092A6879">
      <w:pPr>
        <w:pStyle w:val="105"/>
        <w:spacing w:line="440" w:lineRule="exact"/>
        <w:ind w:firstLine="474" w:firstLineChars="200"/>
        <w:rPr>
          <w:rFonts w:ascii="Times New Roman" w:hAnsi="Times New Roman" w:cs="Times New Roman"/>
          <w:color w:val="auto"/>
          <w:w w:val="99"/>
          <w:sz w:val="32"/>
          <w:highlight w:val="none"/>
        </w:rPr>
      </w:pPr>
      <w:r>
        <w:rPr>
          <w:rFonts w:ascii="Times New Roman" w:hAnsi="Times New Roman" w:cs="Times New Roman"/>
          <w:bCs/>
          <w:color w:val="auto"/>
          <w:w w:val="99"/>
          <w:kern w:val="2"/>
          <w:szCs w:val="24"/>
          <w:highlight w:val="none"/>
        </w:rPr>
        <w:t>施工井场运输车辆尾气含有 NO</w:t>
      </w:r>
      <w:r>
        <w:rPr>
          <w:rFonts w:ascii="Times New Roman" w:hAnsi="Times New Roman" w:cs="Times New Roman"/>
          <w:bCs/>
          <w:color w:val="auto"/>
          <w:w w:val="99"/>
          <w:kern w:val="2"/>
          <w:szCs w:val="24"/>
          <w:highlight w:val="none"/>
          <w:vertAlign w:val="subscript"/>
        </w:rPr>
        <w:t>2</w:t>
      </w:r>
      <w:r>
        <w:rPr>
          <w:rFonts w:ascii="Times New Roman" w:hAnsi="Times New Roman" w:cs="Times New Roman"/>
          <w:bCs/>
          <w:color w:val="auto"/>
          <w:w w:val="99"/>
          <w:kern w:val="2"/>
          <w:szCs w:val="24"/>
          <w:highlight w:val="none"/>
        </w:rPr>
        <w:t>、CO、THC 等污染物，一般情况下，各种污染物的排放量不大，对周围环境的影响较小。运输车辆在野外作业区时有利于尾气扩散，不会对环境产生污染。</w:t>
      </w:r>
    </w:p>
    <w:p w14:paraId="3AF69F75">
      <w:pPr>
        <w:pStyle w:val="102"/>
        <w:snapToGrid/>
        <w:spacing w:line="440" w:lineRule="exact"/>
        <w:ind w:left="0" w:firstLine="414" w:firstLineChars="200"/>
        <w:jc w:val="both"/>
        <w:rPr>
          <w:rFonts w:hint="default" w:ascii="Times New Roman" w:hAnsi="Times New Roman" w:eastAsia="宋体"/>
          <w:color w:val="auto"/>
          <w:w w:val="99"/>
          <w:sz w:val="24"/>
          <w:szCs w:val="24"/>
          <w:highlight w:val="none"/>
        </w:rPr>
      </w:pPr>
      <w:r>
        <w:rPr>
          <w:rFonts w:hint="default" w:ascii="Times New Roman" w:hAnsi="Times New Roman"/>
          <w:color w:val="auto"/>
          <w:w w:val="99"/>
          <w:highlight w:val="none"/>
        </w:rPr>
        <w:t>（</w:t>
      </w:r>
      <w:r>
        <w:rPr>
          <w:rFonts w:ascii="Times New Roman" w:hAnsi="Times New Roman"/>
          <w:color w:val="auto"/>
          <w:w w:val="99"/>
          <w:highlight w:val="none"/>
        </w:rPr>
        <w:t>3</w:t>
      </w:r>
      <w:r>
        <w:rPr>
          <w:rFonts w:hint="default" w:ascii="Times New Roman" w:hAnsi="Times New Roman"/>
          <w:color w:val="auto"/>
          <w:w w:val="99"/>
          <w:highlight w:val="none"/>
        </w:rPr>
        <w:t>）</w:t>
      </w:r>
      <w:r>
        <w:rPr>
          <w:rFonts w:hint="default" w:ascii="Times New Roman" w:hAnsi="Times New Roman" w:eastAsia="宋体"/>
          <w:color w:val="auto"/>
          <w:w w:val="99"/>
          <w:sz w:val="24"/>
          <w:szCs w:val="24"/>
          <w:highlight w:val="none"/>
        </w:rPr>
        <w:t>焊接烟尘</w:t>
      </w:r>
    </w:p>
    <w:p w14:paraId="22501982">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本项目管线在焊接过程中将会有焊接烟气产生，主要污染物为颗粒物。施工过程中焊接烟尘主要集中在作业现场附近，本项目管道焊接采用分段焊接、分段组装的方式，焊接烟气比较分散，且施工场地较为空旷，焊接烟尘排放量较小，经大气扩散后对环境及环境保护目标的影响较小。</w:t>
      </w:r>
    </w:p>
    <w:p w14:paraId="75EF4712">
      <w:pPr>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施工期采取的上述技术方案是施工过程中常见的扬尘和大气污染防治措施，技术可行，采取以上大气污染防治措施后，能够确保施工场界颗粒物浓度满足《大气污染物综合排放标准》（</w:t>
      </w:r>
      <w:r>
        <w:rPr>
          <w:rFonts w:ascii="Times New Roman" w:hAnsi="Times New Roman" w:cs="Times New Roman"/>
          <w:color w:val="auto"/>
          <w:w w:val="99"/>
          <w:kern w:val="2"/>
          <w:highlight w:val="none"/>
        </w:rPr>
        <w:t>GB16297-1996</w:t>
      </w:r>
      <w:r>
        <w:rPr>
          <w:rFonts w:hint="eastAsia" w:ascii="Times New Roman" w:hAnsi="Times New Roman" w:cs="Times New Roman"/>
          <w:color w:val="auto"/>
          <w:w w:val="99"/>
          <w:kern w:val="2"/>
          <w:highlight w:val="none"/>
        </w:rPr>
        <w:t xml:space="preserve">）中表 </w:t>
      </w:r>
      <w:r>
        <w:rPr>
          <w:rFonts w:ascii="Times New Roman" w:hAnsi="Times New Roman" w:cs="Times New Roman"/>
          <w:color w:val="auto"/>
          <w:w w:val="99"/>
          <w:kern w:val="2"/>
          <w:highlight w:val="none"/>
        </w:rPr>
        <w:t xml:space="preserve">2 </w:t>
      </w:r>
      <w:r>
        <w:rPr>
          <w:rFonts w:hint="eastAsia" w:ascii="Times New Roman" w:hAnsi="Times New Roman" w:cs="Times New Roman"/>
          <w:color w:val="auto"/>
          <w:w w:val="99"/>
          <w:kern w:val="2"/>
          <w:highlight w:val="none"/>
        </w:rPr>
        <w:t>无组织排放监控浓度限值要求，不会对大气环境产生较大影响，施工期大气污染防治措施可行。</w:t>
      </w:r>
    </w:p>
    <w:p w14:paraId="77867C3D">
      <w:pPr>
        <w:pStyle w:val="153"/>
        <w:widowControl w:val="0"/>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6.1.1.2运营期</w:t>
      </w:r>
    </w:p>
    <w:p w14:paraId="7D59365A">
      <w:pPr>
        <w:pStyle w:val="102"/>
        <w:snapToGrid/>
        <w:spacing w:line="50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本工程运营期的大气污染主要来自</w:t>
      </w:r>
      <w:r>
        <w:rPr>
          <w:rFonts w:ascii="Times New Roman" w:hAnsi="Times New Roman" w:eastAsia="宋体"/>
          <w:color w:val="auto"/>
          <w:w w:val="99"/>
          <w:sz w:val="24"/>
          <w:szCs w:val="24"/>
          <w:highlight w:val="none"/>
        </w:rPr>
        <w:t>天然气输送</w:t>
      </w:r>
      <w:r>
        <w:rPr>
          <w:rFonts w:hint="default" w:ascii="Times New Roman" w:hAnsi="Times New Roman" w:eastAsia="宋体"/>
          <w:color w:val="auto"/>
          <w:w w:val="99"/>
          <w:sz w:val="24"/>
          <w:szCs w:val="24"/>
          <w:highlight w:val="none"/>
        </w:rPr>
        <w:t>过程中井场</w:t>
      </w:r>
      <w:r>
        <w:rPr>
          <w:rFonts w:ascii="Times New Roman" w:hAnsi="Times New Roman" w:eastAsia="宋体"/>
          <w:color w:val="auto"/>
          <w:w w:val="99"/>
          <w:sz w:val="24"/>
          <w:szCs w:val="24"/>
          <w:highlight w:val="none"/>
        </w:rPr>
        <w:t>及依托场站</w:t>
      </w:r>
      <w:r>
        <w:rPr>
          <w:rFonts w:hint="default" w:ascii="Times New Roman" w:hAnsi="Times New Roman" w:eastAsia="宋体"/>
          <w:color w:val="auto"/>
          <w:w w:val="99"/>
          <w:sz w:val="24"/>
          <w:szCs w:val="24"/>
          <w:highlight w:val="none"/>
        </w:rPr>
        <w:t>无组织挥发的烃类气体，场站加热装置燃烧烟气。</w:t>
      </w:r>
    </w:p>
    <w:p w14:paraId="6287272F">
      <w:pPr>
        <w:pStyle w:val="102"/>
        <w:snapToGrid/>
        <w:spacing w:line="50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（1）挥发性有机物污染防治措施</w:t>
      </w:r>
    </w:p>
    <w:p w14:paraId="75F72617">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①</w:t>
      </w:r>
      <w:r>
        <w:rPr>
          <w:rFonts w:ascii="Times New Roman" w:hAnsi="Times New Roman" w:cs="Times New Roman"/>
          <w:color w:val="auto"/>
          <w:w w:val="99"/>
          <w:kern w:val="2"/>
          <w:highlight w:val="none"/>
        </w:rPr>
        <w:t>采用合理工艺，选用优质材料，管道及设备在设计时充分考虑抗震，保证正常生产无泄露。</w:t>
      </w:r>
    </w:p>
    <w:p w14:paraId="257D2F67">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②</w:t>
      </w:r>
      <w:r>
        <w:rPr>
          <w:rFonts w:ascii="Times New Roman" w:hAnsi="Times New Roman" w:cs="Times New Roman"/>
          <w:color w:val="auto"/>
          <w:w w:val="99"/>
          <w:kern w:val="2"/>
          <w:highlight w:val="none"/>
        </w:rPr>
        <w:t>井口安装密封垫，</w:t>
      </w:r>
      <w:r>
        <w:rPr>
          <w:rFonts w:hint="eastAsia" w:ascii="Times New Roman" w:hAnsi="Times New Roman" w:cs="Times New Roman"/>
          <w:color w:val="auto"/>
          <w:w w:val="99"/>
          <w:kern w:val="2"/>
          <w:highlight w:val="none"/>
        </w:rPr>
        <w:t>天然气</w:t>
      </w:r>
      <w:r>
        <w:rPr>
          <w:rFonts w:ascii="Times New Roman" w:hAnsi="Times New Roman" w:cs="Times New Roman"/>
          <w:color w:val="auto"/>
          <w:w w:val="99"/>
          <w:kern w:val="2"/>
          <w:highlight w:val="none"/>
        </w:rPr>
        <w:t>集输采用密闭流程，最大限度降低烃类气体的挥发。</w:t>
      </w:r>
    </w:p>
    <w:p w14:paraId="4E903D63">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③</w:t>
      </w:r>
      <w:r>
        <w:rPr>
          <w:rFonts w:ascii="Times New Roman" w:hAnsi="Times New Roman" w:cs="Times New Roman"/>
          <w:color w:val="auto"/>
          <w:w w:val="99"/>
          <w:kern w:val="2"/>
          <w:highlight w:val="none"/>
        </w:rPr>
        <w:t>定期对依托场站内设备和管道进行检查、维修和保养，</w:t>
      </w:r>
      <w:r>
        <w:rPr>
          <w:rFonts w:hint="eastAsia" w:ascii="Times New Roman" w:hAnsi="Times New Roman" w:cs="Times New Roman"/>
          <w:color w:val="auto"/>
          <w:w w:val="99"/>
          <w:kern w:val="2"/>
          <w:highlight w:val="none"/>
        </w:rPr>
        <w:t>设备</w:t>
      </w:r>
      <w:r>
        <w:rPr>
          <w:rFonts w:ascii="Times New Roman" w:hAnsi="Times New Roman" w:cs="Times New Roman"/>
          <w:color w:val="auto"/>
          <w:w w:val="99"/>
          <w:kern w:val="2"/>
          <w:highlight w:val="none"/>
        </w:rPr>
        <w:t>平稳运行，控制烃类气体的无组织挥发。</w:t>
      </w:r>
    </w:p>
    <w:p w14:paraId="0E8FD6EF">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④</w:t>
      </w:r>
      <w:r>
        <w:rPr>
          <w:rFonts w:ascii="Times New Roman" w:hAnsi="Times New Roman" w:cs="Times New Roman"/>
          <w:color w:val="auto"/>
          <w:w w:val="99"/>
          <w:kern w:val="2"/>
          <w:highlight w:val="none"/>
        </w:rPr>
        <w:t>加强天然气放空的管理：定期对设备进行维修保养，保证天然气处理设施的平稳运行，尽量减少事故性天然气放空；在进行放空时，采取通过火炬点燃，经过充分燃烧，并控制放空量，在系统可承受的压力范围内时应停止放空。</w:t>
      </w:r>
    </w:p>
    <w:p w14:paraId="3F354BBE">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rPr>
        <w:t>⑤天然气分离的污水进入污水罐暂存，经管线输送至徐深27集气站汇集，再经管线进入升一联气田污水预处理站，该站内储罐采用固定顶罐，其运行维护要求应满足</w:t>
      </w:r>
      <w:r>
        <w:rPr>
          <w:rFonts w:ascii="Times New Roman" w:hAnsi="Times New Roman" w:cs="Times New Roman"/>
          <w:color w:val="auto"/>
          <w:w w:val="99"/>
          <w:kern w:val="2"/>
          <w:highlight w:val="none"/>
        </w:rPr>
        <w:t>《陆上石油天然气开采工业大气污染物排放标准》（GB39728-2020）中</w:t>
      </w:r>
      <w:r>
        <w:rPr>
          <w:rFonts w:hint="eastAsia" w:ascii="Times New Roman" w:hAnsi="Times New Roman" w:cs="Times New Roman"/>
          <w:color w:val="auto"/>
          <w:w w:val="99"/>
          <w:kern w:val="2"/>
          <w:highlight w:val="none"/>
        </w:rPr>
        <w:t>5.2.3.2和5.2.3.3要求，整个污水处理工艺为密闭处理流程，减少了非甲烷总烃的逸散</w:t>
      </w:r>
      <w:r>
        <w:rPr>
          <w:rFonts w:ascii="Times New Roman" w:hAnsi="Times New Roman" w:cs="Times New Roman"/>
          <w:color w:val="auto"/>
          <w:w w:val="99"/>
          <w:kern w:val="2"/>
          <w:highlight w:val="none"/>
        </w:rPr>
        <w:t>。</w:t>
      </w:r>
    </w:p>
    <w:p w14:paraId="7AA78559">
      <w:pPr>
        <w:pStyle w:val="102"/>
        <w:snapToGrid/>
        <w:spacing w:line="50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⑥</w:t>
      </w:r>
      <w:r>
        <w:rPr>
          <w:rFonts w:ascii="宋体" w:hAnsi="宋体" w:eastAsia="宋体" w:cs="宋体"/>
          <w:color w:val="auto"/>
          <w:w w:val="99"/>
          <w:sz w:val="24"/>
          <w:szCs w:val="24"/>
          <w:highlight w:val="none"/>
        </w:rPr>
        <w:t>甲醇</w:t>
      </w:r>
      <w:r>
        <w:rPr>
          <w:rFonts w:hint="default" w:ascii="Times New Roman" w:hAnsi="Times New Roman" w:eastAsia="宋体"/>
          <w:color w:val="auto"/>
          <w:w w:val="99"/>
          <w:sz w:val="24"/>
          <w:szCs w:val="24"/>
          <w:highlight w:val="none"/>
        </w:rPr>
        <w:t>罐体应保持完好，不应有孔洞和裂隙；应定期检查呼吸阀的定压是否符合设定要求；储罐附件开口（孔），除采样、计量、例行检查、维护和其他正常活动外，应密闭；</w:t>
      </w:r>
      <w:r>
        <w:rPr>
          <w:rFonts w:ascii="Times New Roman" w:hAnsi="Times New Roman" w:eastAsia="宋体"/>
          <w:color w:val="auto"/>
          <w:w w:val="99"/>
          <w:sz w:val="24"/>
          <w:szCs w:val="24"/>
          <w:highlight w:val="none"/>
        </w:rPr>
        <w:t>甲醇储罐采用固定顶罐，其运行维护要求应满足</w:t>
      </w:r>
      <w:r>
        <w:rPr>
          <w:rFonts w:hint="default" w:ascii="Times New Roman" w:hAnsi="Times New Roman" w:eastAsia="宋体"/>
          <w:color w:val="auto"/>
          <w:w w:val="99"/>
          <w:sz w:val="24"/>
          <w:szCs w:val="24"/>
          <w:highlight w:val="none"/>
        </w:rPr>
        <w:t>《陆上石油天然气开采工业大气污染物排放标准》（GB39728-2020）中</w:t>
      </w:r>
      <w:r>
        <w:rPr>
          <w:rFonts w:ascii="Times New Roman" w:hAnsi="Times New Roman" w:eastAsia="宋体"/>
          <w:color w:val="auto"/>
          <w:w w:val="99"/>
          <w:sz w:val="24"/>
          <w:szCs w:val="24"/>
          <w:highlight w:val="none"/>
        </w:rPr>
        <w:t>5.2.3.2和5.2.3.3要求</w:t>
      </w:r>
      <w:r>
        <w:rPr>
          <w:rFonts w:hint="default" w:ascii="Times New Roman" w:hAnsi="Times New Roman" w:eastAsia="宋体"/>
          <w:color w:val="auto"/>
          <w:w w:val="99"/>
          <w:sz w:val="24"/>
          <w:szCs w:val="24"/>
          <w:highlight w:val="none"/>
        </w:rPr>
        <w:t>。</w:t>
      </w:r>
    </w:p>
    <w:p w14:paraId="07B3928F">
      <w:pPr>
        <w:pStyle w:val="102"/>
        <w:snapToGrid/>
        <w:spacing w:line="50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⑦</w:t>
      </w:r>
      <w:r>
        <w:rPr>
          <w:rFonts w:hint="default" w:ascii="Times New Roman" w:hAnsi="Times New Roman" w:eastAsia="宋体"/>
          <w:color w:val="auto"/>
          <w:w w:val="99"/>
          <w:sz w:val="24"/>
          <w:szCs w:val="24"/>
          <w:highlight w:val="none"/>
        </w:rPr>
        <w:t>挥发性有机液体装载应采用底部装载或顶部浸没式装载方式；采用顶部浸没式装载的，出料管口距离罐（槽）底部高度应小于200mm。</w:t>
      </w:r>
    </w:p>
    <w:p w14:paraId="0F0A28BB">
      <w:pPr>
        <w:pStyle w:val="102"/>
        <w:snapToGrid/>
        <w:spacing w:line="50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⑧</w:t>
      </w:r>
      <w:r>
        <w:rPr>
          <w:rFonts w:ascii="Times New Roman" w:hAnsi="Times New Roman" w:eastAsia="宋体"/>
          <w:color w:val="auto"/>
          <w:w w:val="99"/>
          <w:sz w:val="24"/>
          <w:szCs w:val="24"/>
          <w:highlight w:val="none"/>
        </w:rPr>
        <w:t>天然气</w:t>
      </w:r>
      <w:r>
        <w:rPr>
          <w:rFonts w:hint="default" w:ascii="Times New Roman" w:hAnsi="Times New Roman" w:eastAsia="宋体"/>
          <w:color w:val="auto"/>
          <w:w w:val="99"/>
          <w:sz w:val="24"/>
          <w:szCs w:val="24"/>
          <w:highlight w:val="none"/>
        </w:rPr>
        <w:t>的处理均在密闭压力容器内进行，集输过程中均为密闭状态，有效的降低了非甲烷总烃的无组织挥发。</w:t>
      </w:r>
    </w:p>
    <w:p w14:paraId="13C94AEE">
      <w:pPr>
        <w:pStyle w:val="102"/>
        <w:snapToGrid/>
        <w:spacing w:line="50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（2）依托场站加热炉燃烧烟气</w:t>
      </w:r>
    </w:p>
    <w:p w14:paraId="2C4C3A65">
      <w:pPr>
        <w:pStyle w:val="102"/>
        <w:snapToGrid/>
        <w:spacing w:line="50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依托场站内加热炉采用清洁能源天然气作为燃料，并采用低氮燃烧器，加热炉燃烧产生的废气均经</w:t>
      </w:r>
      <w:r>
        <w:rPr>
          <w:rFonts w:hint="default" w:ascii="Times New Roman" w:hAnsi="Times New Roman" w:eastAsia="宋体"/>
          <w:bCs/>
          <w:color w:val="auto"/>
          <w:w w:val="99"/>
          <w:sz w:val="24"/>
          <w:szCs w:val="24"/>
          <w:highlight w:val="none"/>
        </w:rPr>
        <w:t>不低于</w:t>
      </w:r>
      <w:r>
        <w:rPr>
          <w:rFonts w:hint="default" w:ascii="Times New Roman" w:hAnsi="Times New Roman" w:eastAsia="宋体"/>
          <w:color w:val="auto"/>
          <w:w w:val="99"/>
          <w:sz w:val="24"/>
          <w:szCs w:val="24"/>
          <w:highlight w:val="none"/>
        </w:rPr>
        <w:t>8m的烟囱高空排放，能够达到《锅炉大气污染物排放标准》（GB13271-2014）表2中新建燃气锅炉标准限值要求（颗粒物≤20mg/m</w:t>
      </w:r>
      <w:r>
        <w:rPr>
          <w:rFonts w:hint="default" w:ascii="Times New Roman" w:hAnsi="Times New Roman" w:eastAsia="宋体"/>
          <w:color w:val="auto"/>
          <w:w w:val="99"/>
          <w:sz w:val="24"/>
          <w:szCs w:val="24"/>
          <w:highlight w:val="none"/>
          <w:vertAlign w:val="superscript"/>
        </w:rPr>
        <w:t>3</w:t>
      </w:r>
      <w:r>
        <w:rPr>
          <w:rFonts w:hint="default" w:ascii="Times New Roman" w:hAnsi="Times New Roman" w:eastAsia="宋体"/>
          <w:color w:val="auto"/>
          <w:w w:val="99"/>
          <w:sz w:val="24"/>
          <w:szCs w:val="24"/>
          <w:highlight w:val="none"/>
        </w:rPr>
        <w:t>、NOx≤200mg/m</w:t>
      </w:r>
      <w:r>
        <w:rPr>
          <w:rFonts w:hint="default" w:ascii="Times New Roman" w:hAnsi="Times New Roman" w:eastAsia="宋体"/>
          <w:color w:val="auto"/>
          <w:w w:val="99"/>
          <w:sz w:val="24"/>
          <w:szCs w:val="24"/>
          <w:highlight w:val="none"/>
          <w:vertAlign w:val="superscript"/>
        </w:rPr>
        <w:t>3</w:t>
      </w:r>
      <w:r>
        <w:rPr>
          <w:rFonts w:hint="default" w:ascii="Times New Roman" w:hAnsi="Times New Roman" w:eastAsia="宋体"/>
          <w:color w:val="auto"/>
          <w:w w:val="99"/>
          <w:sz w:val="24"/>
          <w:szCs w:val="24"/>
          <w:highlight w:val="none"/>
        </w:rPr>
        <w:t>、SO</w:t>
      </w:r>
      <w:r>
        <w:rPr>
          <w:rFonts w:hint="default" w:ascii="Times New Roman" w:hAnsi="Times New Roman" w:eastAsia="宋体"/>
          <w:color w:val="auto"/>
          <w:w w:val="99"/>
          <w:sz w:val="24"/>
          <w:szCs w:val="24"/>
          <w:highlight w:val="none"/>
          <w:vertAlign w:val="subscript"/>
        </w:rPr>
        <w:t>2</w:t>
      </w:r>
      <w:r>
        <w:rPr>
          <w:rFonts w:hint="default" w:ascii="Times New Roman" w:hAnsi="Times New Roman" w:eastAsia="宋体"/>
          <w:color w:val="auto"/>
          <w:w w:val="99"/>
          <w:sz w:val="24"/>
          <w:szCs w:val="24"/>
          <w:highlight w:val="none"/>
        </w:rPr>
        <w:t>≤50mg/m</w:t>
      </w:r>
      <w:r>
        <w:rPr>
          <w:rFonts w:hint="default" w:ascii="Times New Roman" w:hAnsi="Times New Roman" w:eastAsia="宋体"/>
          <w:color w:val="auto"/>
          <w:w w:val="99"/>
          <w:sz w:val="24"/>
          <w:szCs w:val="24"/>
          <w:highlight w:val="none"/>
          <w:vertAlign w:val="superscript"/>
        </w:rPr>
        <w:t>3</w:t>
      </w:r>
      <w:r>
        <w:rPr>
          <w:rFonts w:hint="default" w:ascii="Times New Roman" w:hAnsi="Times New Roman" w:eastAsia="宋体"/>
          <w:color w:val="auto"/>
          <w:w w:val="99"/>
          <w:sz w:val="24"/>
          <w:szCs w:val="24"/>
          <w:highlight w:val="none"/>
        </w:rPr>
        <w:t>，烟气黑度≤1）。</w:t>
      </w:r>
    </w:p>
    <w:p w14:paraId="0368F56F">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（3）温室气体管控措施</w:t>
      </w:r>
    </w:p>
    <w:p w14:paraId="6C9C5466">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①</w:t>
      </w:r>
      <w:r>
        <w:rPr>
          <w:rFonts w:hint="default" w:ascii="Times New Roman" w:hAnsi="Times New Roman" w:eastAsia="宋体"/>
          <w:color w:val="auto"/>
          <w:w w:val="99"/>
          <w:sz w:val="24"/>
          <w:szCs w:val="24"/>
          <w:highlight w:val="none"/>
        </w:rPr>
        <w:t>井口装置安装密封垫，</w:t>
      </w:r>
      <w:r>
        <w:rPr>
          <w:rFonts w:ascii="Times New Roman" w:hAnsi="Times New Roman" w:eastAsia="宋体"/>
          <w:color w:val="auto"/>
          <w:w w:val="99"/>
          <w:sz w:val="24"/>
          <w:szCs w:val="24"/>
          <w:highlight w:val="none"/>
        </w:rPr>
        <w:t>天然气</w:t>
      </w:r>
      <w:r>
        <w:rPr>
          <w:rFonts w:hint="default" w:ascii="Times New Roman" w:hAnsi="Times New Roman" w:eastAsia="宋体"/>
          <w:color w:val="auto"/>
          <w:w w:val="99"/>
          <w:sz w:val="24"/>
          <w:szCs w:val="24"/>
          <w:highlight w:val="none"/>
        </w:rPr>
        <w:t>集输采用密闭管道集输流程，最大限度减少温室气体的逸散；</w:t>
      </w:r>
    </w:p>
    <w:p w14:paraId="445ECC48">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②</w:t>
      </w:r>
      <w:r>
        <w:rPr>
          <w:rFonts w:hint="default" w:ascii="Times New Roman" w:hAnsi="Times New Roman" w:eastAsia="宋体"/>
          <w:color w:val="auto"/>
          <w:w w:val="99"/>
          <w:sz w:val="24"/>
          <w:szCs w:val="24"/>
          <w:highlight w:val="none"/>
        </w:rPr>
        <w:t>加强对设备和管道的检查和维护，定期检查站内储罐，保证均无孔洞和裂隙，采样口等均处于密闭状态，控制场站各部位温室气体的逸散；</w:t>
      </w:r>
    </w:p>
    <w:p w14:paraId="03CFD07C">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③</w:t>
      </w:r>
      <w:r>
        <w:rPr>
          <w:rFonts w:hint="default" w:ascii="Times New Roman" w:hAnsi="Times New Roman" w:eastAsia="宋体"/>
          <w:color w:val="auto"/>
          <w:w w:val="99"/>
          <w:sz w:val="24"/>
          <w:szCs w:val="24"/>
          <w:highlight w:val="none"/>
        </w:rPr>
        <w:t>场站加热装置采用清洁燃料天然气，减少化石燃料燃烧CO</w:t>
      </w:r>
      <w:r>
        <w:rPr>
          <w:rFonts w:hint="default" w:ascii="Times New Roman" w:hAnsi="Times New Roman" w:eastAsia="宋体"/>
          <w:color w:val="auto"/>
          <w:w w:val="99"/>
          <w:sz w:val="24"/>
          <w:szCs w:val="24"/>
          <w:highlight w:val="none"/>
          <w:vertAlign w:val="subscript"/>
        </w:rPr>
        <w:t>2</w:t>
      </w:r>
      <w:r>
        <w:rPr>
          <w:rFonts w:hint="default" w:ascii="Times New Roman" w:hAnsi="Times New Roman" w:eastAsia="宋体"/>
          <w:color w:val="auto"/>
          <w:w w:val="99"/>
          <w:sz w:val="24"/>
          <w:szCs w:val="24"/>
          <w:highlight w:val="none"/>
        </w:rPr>
        <w:t>排放；</w:t>
      </w:r>
    </w:p>
    <w:p w14:paraId="567DCEDB">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④气田</w:t>
      </w:r>
      <w:r>
        <w:rPr>
          <w:rFonts w:hint="default" w:ascii="Times New Roman" w:hAnsi="Times New Roman" w:eastAsia="宋体"/>
          <w:color w:val="auto"/>
          <w:w w:val="99"/>
          <w:sz w:val="24"/>
          <w:szCs w:val="24"/>
          <w:highlight w:val="none"/>
        </w:rPr>
        <w:t>开发实行连续生产，杜绝大功率设备频繁启动，减少设备启停对用电的影响；</w:t>
      </w:r>
    </w:p>
    <w:p w14:paraId="33758F09">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⑤</w:t>
      </w:r>
      <w:r>
        <w:rPr>
          <w:rFonts w:hint="default" w:ascii="Times New Roman" w:hAnsi="Times New Roman" w:eastAsia="宋体"/>
          <w:color w:val="auto"/>
          <w:w w:val="99"/>
          <w:sz w:val="24"/>
          <w:szCs w:val="24"/>
          <w:highlight w:val="none"/>
        </w:rPr>
        <w:t>增加厂区绿化面积，扩大生态修复范围，通过植树造林和森林碳汇建设，采取多方面碳中和举措；</w:t>
      </w:r>
    </w:p>
    <w:p w14:paraId="3FFD2031">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⑥</w:t>
      </w:r>
      <w:r>
        <w:rPr>
          <w:rFonts w:hint="default" w:ascii="Times New Roman" w:hAnsi="Times New Roman" w:eastAsia="宋体"/>
          <w:color w:val="auto"/>
          <w:w w:val="99"/>
          <w:sz w:val="24"/>
          <w:szCs w:val="24"/>
          <w:highlight w:val="none"/>
        </w:rPr>
        <w:t>建立健全的能源利用和消费统计制度和管理制度。</w:t>
      </w:r>
    </w:p>
    <w:p w14:paraId="6CC8BC0F">
      <w:pPr>
        <w:widowControl w:val="0"/>
        <w:spacing w:line="440" w:lineRule="exact"/>
        <w:ind w:firstLine="474" w:firstLineChars="200"/>
        <w:jc w:val="both"/>
        <w:rPr>
          <w:rFonts w:ascii="Times New Roman" w:hAnsi="Times New Roman"/>
          <w:color w:val="auto"/>
          <w:w w:val="99"/>
          <w:highlight w:val="none"/>
        </w:rPr>
      </w:pPr>
      <w:r>
        <w:rPr>
          <w:rFonts w:ascii="Times New Roman" w:hAnsi="Times New Roman"/>
          <w:color w:val="auto"/>
          <w:w w:val="99"/>
          <w:highlight w:val="none"/>
        </w:rPr>
        <w:t>通过采取以上措施，</w:t>
      </w:r>
      <w:r>
        <w:rPr>
          <w:rFonts w:hint="eastAsia" w:ascii="Times New Roman" w:hAnsi="Times New Roman"/>
          <w:color w:val="auto"/>
          <w:w w:val="99"/>
          <w:highlight w:val="none"/>
        </w:rPr>
        <w:t>确保</w:t>
      </w:r>
      <w:r>
        <w:rPr>
          <w:rFonts w:hint="eastAsia" w:ascii="Times New Roman" w:hAnsi="Times New Roman" w:cs="Times New Roman"/>
          <w:color w:val="auto"/>
          <w:w w:val="99"/>
          <w:highlight w:val="none"/>
          <w:lang w:bidi="zh-CN"/>
        </w:rPr>
        <w:t>井场及场站厂界外非甲烷总烃满足《陆上石油天然气开采工业大气污染物排放标准》（GB39728-2020）5.9中规定要求；依托场站燃烧烟气满足《锅炉大气污染物排放标准》（GB13271-2014）表2中新建燃气锅炉标准限值要求。</w:t>
      </w:r>
      <w:r>
        <w:rPr>
          <w:rFonts w:ascii="Times New Roman" w:hAnsi="Times New Roman"/>
          <w:color w:val="auto"/>
          <w:w w:val="99"/>
          <w:highlight w:val="none"/>
        </w:rPr>
        <w:t>将项目建设对大气环境的影响减小到最小程度，运营期大气污染防治措施可行。</w:t>
      </w:r>
    </w:p>
    <w:p w14:paraId="6BE3777E">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6.1.1.3退役期</w:t>
      </w:r>
    </w:p>
    <w:p w14:paraId="106C1A48">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（1）机械尾气</w:t>
      </w:r>
    </w:p>
    <w:p w14:paraId="1E38F93A">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加强对机械设备的维护、保养，减少不必要的运转时间，采取高标号燃油以控制尾气的排放；</w:t>
      </w:r>
    </w:p>
    <w:p w14:paraId="0ABDDAF9">
      <w:pPr>
        <w:pStyle w:val="102"/>
        <w:tabs>
          <w:tab w:val="left" w:pos="4127"/>
        </w:tabs>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（2）施工扬尘污染防治措施</w:t>
      </w:r>
      <w:r>
        <w:rPr>
          <w:rFonts w:hint="default" w:ascii="Times New Roman" w:hAnsi="Times New Roman" w:eastAsia="宋体"/>
          <w:color w:val="auto"/>
          <w:w w:val="99"/>
          <w:sz w:val="24"/>
          <w:szCs w:val="24"/>
          <w:highlight w:val="none"/>
        </w:rPr>
        <w:tab/>
      </w:r>
    </w:p>
    <w:p w14:paraId="30863F13">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①</w:t>
      </w:r>
      <w:r>
        <w:rPr>
          <w:rFonts w:hint="default" w:ascii="Times New Roman" w:hAnsi="Times New Roman" w:eastAsia="宋体"/>
          <w:color w:val="auto"/>
          <w:w w:val="99"/>
          <w:sz w:val="24"/>
          <w:szCs w:val="24"/>
          <w:highlight w:val="none"/>
        </w:rPr>
        <w:t>材料运输过程中，进行材料遮盖，防止材料洒落、风刮起的粉尘；</w:t>
      </w:r>
    </w:p>
    <w:p w14:paraId="292E93B8">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②</w:t>
      </w:r>
      <w:r>
        <w:rPr>
          <w:rFonts w:hint="default" w:ascii="Times New Roman" w:hAnsi="Times New Roman" w:eastAsia="宋体"/>
          <w:color w:val="auto"/>
          <w:w w:val="99"/>
          <w:sz w:val="24"/>
          <w:szCs w:val="24"/>
          <w:highlight w:val="none"/>
        </w:rPr>
        <w:t>运输车辆进入居民区附近施工场地应低速行驶或限速行驶，减少扬尘产生；</w:t>
      </w:r>
    </w:p>
    <w:p w14:paraId="7AE5CF2F">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③</w:t>
      </w:r>
      <w:r>
        <w:rPr>
          <w:rFonts w:hint="default" w:ascii="Times New Roman" w:hAnsi="Times New Roman" w:eastAsia="宋体"/>
          <w:color w:val="auto"/>
          <w:w w:val="99"/>
          <w:sz w:val="24"/>
          <w:szCs w:val="24"/>
          <w:highlight w:val="none"/>
        </w:rPr>
        <w:t>在施工过程中，施工场地应定时适量洒水，并在大风天加大洒水量及洒水次数，使作业面保持一定的湿度。</w:t>
      </w:r>
    </w:p>
    <w:p w14:paraId="5D4A3A01">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④</w:t>
      </w:r>
      <w:r>
        <w:rPr>
          <w:rFonts w:hint="default" w:ascii="Times New Roman" w:hAnsi="Times New Roman" w:eastAsia="宋体"/>
          <w:color w:val="auto"/>
          <w:w w:val="99"/>
          <w:sz w:val="24"/>
          <w:szCs w:val="24"/>
          <w:highlight w:val="none"/>
        </w:rPr>
        <w:t>施工结束后，应及时进行施工场地的清理，清除积土、堆物。</w:t>
      </w:r>
    </w:p>
    <w:p w14:paraId="03A022FE">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采取以上大气污染防治措施后，能够确保施工场界颗粒物浓度满足《大气污染物综合排放标准》（GB16297-1996）中表2无组织排放监控浓度限值要求，不会对大气环境产生较大影响，退役期大气污染防治措施可行。</w:t>
      </w:r>
    </w:p>
    <w:p w14:paraId="316B0998">
      <w:pPr>
        <w:pStyle w:val="7"/>
        <w:keepNext w:val="0"/>
        <w:keepLines w:val="0"/>
        <w:widowControl w:val="0"/>
        <w:spacing w:before="60" w:after="60"/>
        <w:jc w:val="both"/>
        <w:rPr>
          <w:rFonts w:eastAsia="宋体"/>
          <w:b/>
          <w:color w:val="auto"/>
          <w:w w:val="99"/>
          <w:kern w:val="2"/>
          <w:sz w:val="24"/>
          <w:szCs w:val="24"/>
          <w:highlight w:val="none"/>
        </w:rPr>
      </w:pPr>
      <w:bookmarkStart w:id="1046" w:name="_Toc70050275"/>
      <w:bookmarkStart w:id="1047" w:name="_Toc67860228"/>
      <w:bookmarkStart w:id="1048" w:name="_Toc196215815"/>
      <w:bookmarkStart w:id="1049" w:name="_Toc186444379"/>
      <w:bookmarkStart w:id="1050" w:name="_Toc76976337"/>
      <w:bookmarkStart w:id="1051" w:name="_Toc78816550"/>
      <w:bookmarkStart w:id="1052" w:name="_Toc83209567"/>
      <w:bookmarkStart w:id="1053" w:name="_Toc77067748"/>
      <w:bookmarkStart w:id="1054" w:name="_Toc80588345"/>
      <w:bookmarkStart w:id="1055" w:name="_Toc80971467"/>
      <w:r>
        <w:rPr>
          <w:rFonts w:eastAsia="宋体"/>
          <w:b/>
          <w:color w:val="auto"/>
          <w:w w:val="99"/>
          <w:kern w:val="2"/>
          <w:sz w:val="24"/>
          <w:szCs w:val="24"/>
          <w:highlight w:val="none"/>
        </w:rPr>
        <w:t>6.1.2</w:t>
      </w:r>
      <w:bookmarkEnd w:id="1046"/>
      <w:bookmarkEnd w:id="1047"/>
      <w:bookmarkEnd w:id="1048"/>
      <w:r>
        <w:rPr>
          <w:rFonts w:eastAsia="宋体"/>
          <w:b/>
          <w:color w:val="auto"/>
          <w:w w:val="99"/>
          <w:kern w:val="2"/>
          <w:sz w:val="24"/>
          <w:szCs w:val="24"/>
          <w:highlight w:val="none"/>
        </w:rPr>
        <w:t>水污染防治措施及其可行性论证</w:t>
      </w:r>
      <w:bookmarkEnd w:id="1049"/>
      <w:bookmarkEnd w:id="1050"/>
      <w:bookmarkEnd w:id="1051"/>
      <w:bookmarkEnd w:id="1052"/>
      <w:bookmarkEnd w:id="1053"/>
      <w:bookmarkEnd w:id="1054"/>
      <w:bookmarkEnd w:id="1055"/>
    </w:p>
    <w:p w14:paraId="725BE335">
      <w:pPr>
        <w:pStyle w:val="153"/>
        <w:widowControl w:val="0"/>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6.1.2.1施工期废水处理措施</w:t>
      </w:r>
    </w:p>
    <w:p w14:paraId="4A286409">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施工期废水主要为管线试压废水及施工人员生活污水。施工过程中采取以下污染防治措施：</w:t>
      </w:r>
    </w:p>
    <w:p w14:paraId="0A9289CF">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（1）施工车辆和设备坚持日常检查制度，控制跑、冒、滴、漏现象的发生，以杜绝环境污染事件；设备修理时，要采取相应措施，如：地面上平铺油毡、塑料布等方法，避免水、油等流体介质落在地表。</w:t>
      </w:r>
    </w:p>
    <w:p w14:paraId="32BD8A30">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（2）</w:t>
      </w:r>
      <w:r>
        <w:rPr>
          <w:rFonts w:ascii="Times New Roman" w:hAnsi="Times New Roman" w:cs="Times New Roman" w:eastAsiaTheme="minorEastAsia"/>
          <w:bCs/>
          <w:color w:val="auto"/>
          <w:w w:val="99"/>
          <w:kern w:val="21"/>
          <w:highlight w:val="none"/>
        </w:rPr>
        <w:t>管线试压废水不在施工场地暂存</w:t>
      </w:r>
      <w:r>
        <w:rPr>
          <w:rFonts w:hint="eastAsia" w:ascii="Times New Roman" w:hAnsi="Times New Roman" w:cs="Times New Roman" w:eastAsiaTheme="minorEastAsia"/>
          <w:bCs/>
          <w:color w:val="auto"/>
          <w:w w:val="99"/>
          <w:kern w:val="21"/>
          <w:highlight w:val="none"/>
        </w:rPr>
        <w:t>，</w:t>
      </w:r>
      <w:r>
        <w:rPr>
          <w:rFonts w:hint="eastAsia" w:ascii="Times New Roman" w:hAnsi="Times New Roman" w:cs="Times New Roman"/>
          <w:color w:val="auto"/>
          <w:w w:val="99"/>
          <w:highlight w:val="none"/>
          <w:lang w:bidi="zh-CN"/>
        </w:rPr>
        <w:t>由罐车拉运至升一联气田污水预处理站，分离的含油污水</w:t>
      </w:r>
      <w:r>
        <w:rPr>
          <w:rFonts w:ascii="Times New Roman" w:hAnsi="Times New Roman" w:cs="Times New Roman"/>
          <w:color w:val="auto"/>
          <w:w w:val="99"/>
          <w:highlight w:val="none"/>
          <w:lang w:bidi="zh-CN"/>
        </w:rPr>
        <w:t>处理达标后回注地下油层，不外排</w:t>
      </w:r>
      <w:r>
        <w:rPr>
          <w:rFonts w:hint="eastAsia" w:ascii="Times New Roman" w:hAnsi="Times New Roman" w:cs="Times New Roman"/>
          <w:color w:val="auto"/>
          <w:w w:val="99"/>
          <w:highlight w:val="none"/>
          <w:lang w:bidi="zh-CN"/>
        </w:rPr>
        <w:t>。</w:t>
      </w:r>
    </w:p>
    <w:p w14:paraId="2C6B31EC">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lang w:bidi="zh-CN"/>
        </w:rPr>
        <w:t>（</w:t>
      </w:r>
      <w:r>
        <w:rPr>
          <w:rFonts w:hint="eastAsia" w:ascii="Times New Roman" w:hAnsi="Times New Roman"/>
          <w:color w:val="auto"/>
          <w:w w:val="99"/>
          <w:highlight w:val="none"/>
          <w:lang w:bidi="zh-CN"/>
        </w:rPr>
        <w:t>3</w:t>
      </w:r>
      <w:r>
        <w:rPr>
          <w:rFonts w:ascii="Times New Roman" w:hAnsi="Times New Roman"/>
          <w:color w:val="auto"/>
          <w:w w:val="99"/>
          <w:highlight w:val="none"/>
          <w:lang w:bidi="zh-CN"/>
        </w:rPr>
        <w:t>）地面工程生活污水排入周边集气站已建生活污水收集设施，均</w:t>
      </w:r>
      <w:r>
        <w:rPr>
          <w:rFonts w:hint="eastAsia" w:ascii="Times New Roman" w:hAnsi="Times New Roman"/>
          <w:color w:val="auto"/>
          <w:w w:val="99"/>
          <w:highlight w:val="none"/>
        </w:rPr>
        <w:t>定期由大庆石油管理局有限公司庆南工矿服务公司红岗分公司拉运至大庆红岗区西巷污水回收站，管输至南区污水处理厂进行处理。</w:t>
      </w:r>
    </w:p>
    <w:p w14:paraId="27670673">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w:t>
      </w:r>
      <w:r>
        <w:rPr>
          <w:rFonts w:hint="eastAsia" w:ascii="Times New Roman" w:hAnsi="Times New Roman" w:cs="Times New Roman"/>
          <w:color w:val="auto"/>
          <w:w w:val="99"/>
          <w:highlight w:val="none"/>
          <w:lang w:bidi="zh-CN"/>
        </w:rPr>
        <w:t>4</w:t>
      </w:r>
      <w:r>
        <w:rPr>
          <w:rFonts w:ascii="Times New Roman" w:hAnsi="Times New Roman" w:cs="Times New Roman"/>
          <w:color w:val="auto"/>
          <w:w w:val="99"/>
          <w:highlight w:val="none"/>
          <w:lang w:bidi="zh-CN"/>
        </w:rPr>
        <w:t>）施工单位在罐车拉运各类物料应填写各项物料的转出废水台账，包括种类、数量、转出时间，运输车辆牌号、转入单位信息等，应建立台账和运行管理档案，进行备案，并向当地生态环境主管部门报备。在各类废物转出地和转入地应设置视频监控系统，车辆应安装定位系统，便于加强过程管理，防</w:t>
      </w:r>
      <w:r>
        <w:rPr>
          <w:rFonts w:hint="eastAsia" w:ascii="Times New Roman" w:hAnsi="Times New Roman" w:cs="Times New Roman"/>
          <w:color w:val="auto"/>
          <w:w w:val="99"/>
          <w:highlight w:val="none"/>
          <w:lang w:bidi="zh-CN"/>
        </w:rPr>
        <w:t>止</w:t>
      </w:r>
      <w:r>
        <w:rPr>
          <w:rFonts w:ascii="Times New Roman" w:hAnsi="Times New Roman" w:cs="Times New Roman"/>
          <w:color w:val="auto"/>
          <w:w w:val="99"/>
          <w:highlight w:val="none"/>
          <w:lang w:bidi="zh-CN"/>
        </w:rPr>
        <w:t>各项废物随意倾倒入外环境。</w:t>
      </w:r>
    </w:p>
    <w:p w14:paraId="366F29D8">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w:t>
      </w:r>
      <w:r>
        <w:rPr>
          <w:rFonts w:hint="eastAsia" w:ascii="Times New Roman" w:hAnsi="Times New Roman" w:cs="Times New Roman"/>
          <w:color w:val="auto"/>
          <w:w w:val="99"/>
          <w:highlight w:val="none"/>
          <w:lang w:bidi="zh-CN"/>
        </w:rPr>
        <w:t>5</w:t>
      </w:r>
      <w:r>
        <w:rPr>
          <w:rFonts w:ascii="Times New Roman" w:hAnsi="Times New Roman" w:cs="Times New Roman"/>
          <w:color w:val="auto"/>
          <w:w w:val="99"/>
          <w:highlight w:val="none"/>
          <w:lang w:bidi="zh-CN"/>
        </w:rPr>
        <w:t>）合理安排施工时间，避开雨季。施工单位严格按照有关规定安排施工作业，合理进行施工组织和场地布置。</w:t>
      </w:r>
    </w:p>
    <w:p w14:paraId="61A5028F">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w:t>
      </w:r>
      <w:r>
        <w:rPr>
          <w:rFonts w:hint="eastAsia" w:ascii="Times New Roman" w:hAnsi="Times New Roman" w:cs="Times New Roman"/>
          <w:color w:val="auto"/>
          <w:w w:val="99"/>
          <w:highlight w:val="none"/>
          <w:lang w:bidi="zh-CN"/>
        </w:rPr>
        <w:t>6</w:t>
      </w:r>
      <w:r>
        <w:rPr>
          <w:rFonts w:ascii="Times New Roman" w:hAnsi="Times New Roman" w:cs="Times New Roman"/>
          <w:color w:val="auto"/>
          <w:w w:val="99"/>
          <w:highlight w:val="none"/>
          <w:lang w:bidi="zh-CN"/>
        </w:rPr>
        <w:t>）施工运输车辆合理规划行车路线，对施工运输合理规划、布局，利用既有道路，运输车辆按指定路线运行，尽量远离地表水体。</w:t>
      </w:r>
    </w:p>
    <w:p w14:paraId="125FFF8B">
      <w:pPr>
        <w:widowControl w:val="0"/>
        <w:spacing w:line="440" w:lineRule="exact"/>
        <w:ind w:firstLine="476" w:firstLineChars="200"/>
        <w:jc w:val="both"/>
        <w:rPr>
          <w:rFonts w:ascii="Times New Roman" w:hAnsi="Times New Roman" w:cs="Times New Roman"/>
          <w:b/>
          <w:bCs/>
          <w:color w:val="auto"/>
          <w:w w:val="99"/>
          <w:highlight w:val="none"/>
          <w:lang w:bidi="zh-CN"/>
        </w:rPr>
      </w:pPr>
      <w:r>
        <w:rPr>
          <w:rFonts w:hint="eastAsia" w:ascii="Times New Roman" w:hAnsi="Times New Roman" w:cs="Times New Roman"/>
          <w:b/>
          <w:bCs/>
          <w:color w:val="auto"/>
          <w:w w:val="99"/>
          <w:highlight w:val="none"/>
          <w:lang w:bidi="zh-CN"/>
        </w:rPr>
        <w:t>表6.1-1  施工期废水处理达标情况分析</w:t>
      </w:r>
    </w:p>
    <w:tbl>
      <w:tblPr>
        <w:tblStyle w:val="8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5"/>
        <w:gridCol w:w="1709"/>
        <w:gridCol w:w="867"/>
        <w:gridCol w:w="1087"/>
        <w:gridCol w:w="1381"/>
        <w:gridCol w:w="1900"/>
        <w:gridCol w:w="971"/>
      </w:tblGrid>
      <w:tr w14:paraId="76200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735" w:type="pct"/>
            <w:vMerge w:val="restart"/>
            <w:vAlign w:val="center"/>
          </w:tcPr>
          <w:p w14:paraId="07DB37F0">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场站</w:t>
            </w:r>
          </w:p>
        </w:tc>
        <w:tc>
          <w:tcPr>
            <w:tcW w:w="919" w:type="pct"/>
            <w:vMerge w:val="restart"/>
            <w:vAlign w:val="center"/>
          </w:tcPr>
          <w:p w14:paraId="7FFDADC0">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监测项目</w:t>
            </w:r>
          </w:p>
        </w:tc>
        <w:tc>
          <w:tcPr>
            <w:tcW w:w="467" w:type="pct"/>
            <w:vMerge w:val="restart"/>
            <w:vAlign w:val="center"/>
          </w:tcPr>
          <w:p w14:paraId="41FFAE76">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单位</w:t>
            </w:r>
          </w:p>
        </w:tc>
        <w:tc>
          <w:tcPr>
            <w:tcW w:w="586" w:type="pct"/>
            <w:vMerge w:val="restart"/>
            <w:tcBorders>
              <w:right w:val="single" w:color="000000" w:sz="2" w:space="0"/>
            </w:tcBorders>
            <w:vAlign w:val="center"/>
          </w:tcPr>
          <w:p w14:paraId="08D4CDB2">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监测结果</w:t>
            </w:r>
          </w:p>
        </w:tc>
        <w:tc>
          <w:tcPr>
            <w:tcW w:w="1767" w:type="pct"/>
            <w:gridSpan w:val="2"/>
            <w:vAlign w:val="center"/>
          </w:tcPr>
          <w:p w14:paraId="66E3DD8F">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标准限值</w:t>
            </w:r>
          </w:p>
        </w:tc>
        <w:tc>
          <w:tcPr>
            <w:tcW w:w="523" w:type="pct"/>
            <w:vMerge w:val="restart"/>
            <w:vAlign w:val="center"/>
          </w:tcPr>
          <w:p w14:paraId="4EB7A41F">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采样时间</w:t>
            </w:r>
          </w:p>
        </w:tc>
      </w:tr>
      <w:tr w14:paraId="047EC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pct"/>
            <w:vMerge w:val="continue"/>
            <w:vAlign w:val="center"/>
          </w:tcPr>
          <w:p w14:paraId="45871544">
            <w:pPr>
              <w:widowControl w:val="0"/>
              <w:spacing w:line="360" w:lineRule="exact"/>
              <w:jc w:val="center"/>
              <w:rPr>
                <w:rFonts w:ascii="Times New Roman" w:hAnsi="Times New Roman" w:cs="Times New Roman"/>
                <w:color w:val="auto"/>
                <w:w w:val="99"/>
                <w:sz w:val="21"/>
                <w:szCs w:val="21"/>
                <w:highlight w:val="none"/>
                <w:lang w:bidi="zh-CN"/>
              </w:rPr>
            </w:pPr>
          </w:p>
        </w:tc>
        <w:tc>
          <w:tcPr>
            <w:tcW w:w="919" w:type="pct"/>
            <w:vMerge w:val="continue"/>
            <w:vAlign w:val="center"/>
          </w:tcPr>
          <w:p w14:paraId="6A47B3EF">
            <w:pPr>
              <w:widowControl w:val="0"/>
              <w:spacing w:line="360" w:lineRule="exact"/>
              <w:jc w:val="center"/>
              <w:rPr>
                <w:rFonts w:ascii="Times New Roman" w:hAnsi="Times New Roman" w:cs="Times New Roman"/>
                <w:color w:val="auto"/>
                <w:w w:val="99"/>
                <w:sz w:val="21"/>
                <w:szCs w:val="21"/>
                <w:highlight w:val="none"/>
                <w:lang w:bidi="zh-CN"/>
              </w:rPr>
            </w:pPr>
          </w:p>
        </w:tc>
        <w:tc>
          <w:tcPr>
            <w:tcW w:w="467" w:type="pct"/>
            <w:vMerge w:val="continue"/>
            <w:vAlign w:val="center"/>
          </w:tcPr>
          <w:p w14:paraId="5BCEB6AF">
            <w:pPr>
              <w:widowControl w:val="0"/>
              <w:spacing w:line="360" w:lineRule="exact"/>
              <w:jc w:val="center"/>
              <w:rPr>
                <w:rFonts w:ascii="Times New Roman" w:hAnsi="Times New Roman" w:cs="Times New Roman"/>
                <w:color w:val="auto"/>
                <w:w w:val="99"/>
                <w:sz w:val="21"/>
                <w:szCs w:val="21"/>
                <w:highlight w:val="none"/>
                <w:lang w:bidi="zh-CN"/>
              </w:rPr>
            </w:pPr>
          </w:p>
        </w:tc>
        <w:tc>
          <w:tcPr>
            <w:tcW w:w="586" w:type="pct"/>
            <w:vMerge w:val="continue"/>
            <w:tcBorders>
              <w:right w:val="single" w:color="000000" w:sz="2" w:space="0"/>
            </w:tcBorders>
            <w:vAlign w:val="center"/>
          </w:tcPr>
          <w:p w14:paraId="24432FC4">
            <w:pPr>
              <w:widowControl w:val="0"/>
              <w:spacing w:line="360" w:lineRule="exact"/>
              <w:jc w:val="center"/>
              <w:rPr>
                <w:rFonts w:ascii="Times New Roman" w:hAnsi="Times New Roman" w:cs="Times New Roman"/>
                <w:color w:val="auto"/>
                <w:w w:val="99"/>
                <w:sz w:val="21"/>
                <w:szCs w:val="21"/>
                <w:highlight w:val="none"/>
                <w:lang w:bidi="zh-CN"/>
              </w:rPr>
            </w:pPr>
          </w:p>
        </w:tc>
        <w:tc>
          <w:tcPr>
            <w:tcW w:w="744" w:type="pct"/>
            <w:vAlign w:val="center"/>
          </w:tcPr>
          <w:p w14:paraId="408C4406">
            <w:pPr>
              <w:widowControl w:val="0"/>
              <w:spacing w:line="360" w:lineRule="exact"/>
              <w:jc w:val="center"/>
              <w:rPr>
                <w:rFonts w:ascii="Times New Roman" w:hAnsi="Times New Roman" w:cs="Times New Roman"/>
                <w:color w:val="auto"/>
                <w:w w:val="99"/>
                <w:sz w:val="21"/>
                <w:szCs w:val="21"/>
                <w:highlight w:val="none"/>
                <w:lang w:bidi="zh-CN"/>
              </w:rPr>
            </w:pPr>
            <w:r>
              <w:rPr>
                <w:rFonts w:ascii="Times New Roman" w:hAnsi="Times New Roman" w:cs="Times New Roman"/>
                <w:color w:val="auto"/>
                <w:w w:val="99"/>
                <w:sz w:val="21"/>
                <w:szCs w:val="21"/>
                <w:highlight w:val="none"/>
                <w:lang w:bidi="zh-CN"/>
              </w:rPr>
              <w:t>《大庆油田地面工程建设设计规定》（Q/SYDQ0639-2015）</w:t>
            </w:r>
          </w:p>
        </w:tc>
        <w:tc>
          <w:tcPr>
            <w:tcW w:w="1022" w:type="pct"/>
            <w:vAlign w:val="center"/>
          </w:tcPr>
          <w:p w14:paraId="601A8181">
            <w:pPr>
              <w:widowControl w:val="0"/>
              <w:spacing w:line="360" w:lineRule="exact"/>
              <w:jc w:val="center"/>
              <w:rPr>
                <w:rFonts w:ascii="Times New Roman" w:hAnsi="Times New Roman" w:cs="Times New Roman"/>
                <w:color w:val="auto"/>
                <w:w w:val="99"/>
                <w:sz w:val="21"/>
                <w:szCs w:val="21"/>
                <w:highlight w:val="none"/>
                <w:lang w:bidi="zh-CN"/>
              </w:rPr>
            </w:pPr>
            <w:r>
              <w:rPr>
                <w:rFonts w:ascii="Times New Roman" w:hAnsi="Times New Roman" w:cs="Times New Roman"/>
                <w:color w:val="auto"/>
                <w:w w:val="99"/>
                <w:sz w:val="21"/>
                <w:szCs w:val="21"/>
                <w:highlight w:val="none"/>
                <w:lang w:bidi="zh-CN"/>
              </w:rPr>
              <w:t>《碎屑岩油藏注水水质指标技术要求及分析方法》（SY/T5329-2022）</w:t>
            </w:r>
          </w:p>
        </w:tc>
        <w:tc>
          <w:tcPr>
            <w:tcW w:w="523" w:type="pct"/>
            <w:vMerge w:val="continue"/>
            <w:vAlign w:val="center"/>
          </w:tcPr>
          <w:p w14:paraId="73E71E35">
            <w:pPr>
              <w:widowControl w:val="0"/>
              <w:spacing w:line="360" w:lineRule="exact"/>
              <w:jc w:val="center"/>
              <w:rPr>
                <w:rFonts w:ascii="Times New Roman" w:hAnsi="Times New Roman" w:cs="Times New Roman"/>
                <w:color w:val="auto"/>
                <w:w w:val="99"/>
                <w:sz w:val="21"/>
                <w:szCs w:val="21"/>
                <w:highlight w:val="none"/>
                <w:lang w:bidi="zh-CN"/>
              </w:rPr>
            </w:pPr>
          </w:p>
        </w:tc>
      </w:tr>
      <w:tr w14:paraId="34BFF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pct"/>
            <w:vMerge w:val="restart"/>
            <w:vAlign w:val="center"/>
          </w:tcPr>
          <w:p w14:paraId="0F1CCC46">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升一联气田污水预处理站</w:t>
            </w:r>
          </w:p>
        </w:tc>
        <w:tc>
          <w:tcPr>
            <w:tcW w:w="919" w:type="pct"/>
            <w:vAlign w:val="center"/>
          </w:tcPr>
          <w:p w14:paraId="5ED55811">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含油量</w:t>
            </w:r>
          </w:p>
        </w:tc>
        <w:tc>
          <w:tcPr>
            <w:tcW w:w="467" w:type="pct"/>
            <w:vAlign w:val="center"/>
          </w:tcPr>
          <w:p w14:paraId="39A07EAF">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mg/L</w:t>
            </w:r>
          </w:p>
        </w:tc>
        <w:tc>
          <w:tcPr>
            <w:tcW w:w="586" w:type="pct"/>
            <w:vAlign w:val="center"/>
          </w:tcPr>
          <w:p w14:paraId="5D28D8BD">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0.88-1.25</w:t>
            </w:r>
          </w:p>
        </w:tc>
        <w:tc>
          <w:tcPr>
            <w:tcW w:w="744" w:type="pct"/>
            <w:vAlign w:val="center"/>
          </w:tcPr>
          <w:p w14:paraId="030FAA59">
            <w:pPr>
              <w:widowControl w:val="0"/>
              <w:spacing w:line="360" w:lineRule="exact"/>
              <w:jc w:val="center"/>
              <w:rPr>
                <w:rFonts w:ascii="Times New Roman" w:hAnsi="Times New Roman" w:cs="Times New Roman"/>
                <w:color w:val="auto"/>
                <w:w w:val="99"/>
                <w:sz w:val="21"/>
                <w:szCs w:val="21"/>
                <w:highlight w:val="none"/>
                <w:lang w:bidi="zh-CN"/>
              </w:rPr>
            </w:pPr>
            <w:r>
              <w:rPr>
                <w:rFonts w:ascii="Times New Roman" w:hAnsi="Times New Roman" w:cs="Times New Roman"/>
                <w:color w:val="auto"/>
                <w:w w:val="99"/>
                <w:sz w:val="21"/>
                <w:szCs w:val="21"/>
                <w:highlight w:val="none"/>
                <w:lang w:bidi="zh-CN"/>
              </w:rPr>
              <w:t>≤</w:t>
            </w:r>
            <w:r>
              <w:rPr>
                <w:rFonts w:hint="eastAsia" w:ascii="Times New Roman" w:hAnsi="Times New Roman" w:cs="Times New Roman"/>
                <w:color w:val="auto"/>
                <w:w w:val="99"/>
                <w:sz w:val="21"/>
                <w:szCs w:val="21"/>
                <w:highlight w:val="none"/>
                <w:lang w:bidi="zh-CN"/>
              </w:rPr>
              <w:t>10</w:t>
            </w:r>
          </w:p>
        </w:tc>
        <w:tc>
          <w:tcPr>
            <w:tcW w:w="1022" w:type="pct"/>
            <w:vAlign w:val="center"/>
          </w:tcPr>
          <w:p w14:paraId="0B06CA17">
            <w:pPr>
              <w:widowControl w:val="0"/>
              <w:spacing w:line="360" w:lineRule="exact"/>
              <w:jc w:val="center"/>
              <w:rPr>
                <w:rFonts w:ascii="Times New Roman" w:hAnsi="Times New Roman" w:cs="Times New Roman"/>
                <w:color w:val="auto"/>
                <w:w w:val="99"/>
                <w:sz w:val="21"/>
                <w:szCs w:val="21"/>
                <w:highlight w:val="none"/>
                <w:lang w:bidi="zh-CN"/>
              </w:rPr>
            </w:pPr>
            <w:r>
              <w:rPr>
                <w:rFonts w:ascii="Times New Roman" w:hAnsi="Times New Roman" w:cs="Times New Roman"/>
                <w:color w:val="auto"/>
                <w:w w:val="99"/>
                <w:sz w:val="21"/>
                <w:szCs w:val="21"/>
                <w:highlight w:val="none"/>
                <w:lang w:bidi="zh-CN"/>
              </w:rPr>
              <w:t>≤</w:t>
            </w:r>
            <w:r>
              <w:rPr>
                <w:rFonts w:hint="eastAsia" w:ascii="Times New Roman" w:hAnsi="Times New Roman" w:cs="Times New Roman"/>
                <w:color w:val="auto"/>
                <w:w w:val="99"/>
                <w:sz w:val="21"/>
                <w:szCs w:val="21"/>
                <w:highlight w:val="none"/>
                <w:lang w:bidi="zh-CN"/>
              </w:rPr>
              <w:t>15</w:t>
            </w:r>
          </w:p>
        </w:tc>
        <w:tc>
          <w:tcPr>
            <w:tcW w:w="523" w:type="pct"/>
            <w:vMerge w:val="restart"/>
            <w:vAlign w:val="center"/>
          </w:tcPr>
          <w:p w14:paraId="1E8378DA">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2025.12.24-25</w:t>
            </w:r>
          </w:p>
        </w:tc>
      </w:tr>
      <w:tr w14:paraId="35BB0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pct"/>
            <w:vMerge w:val="continue"/>
            <w:vAlign w:val="center"/>
          </w:tcPr>
          <w:p w14:paraId="43BCD64D">
            <w:pPr>
              <w:widowControl w:val="0"/>
              <w:spacing w:line="360" w:lineRule="exact"/>
              <w:jc w:val="center"/>
              <w:rPr>
                <w:rFonts w:ascii="Times New Roman" w:hAnsi="Times New Roman" w:cs="Times New Roman"/>
                <w:color w:val="auto"/>
                <w:w w:val="99"/>
                <w:sz w:val="21"/>
                <w:szCs w:val="21"/>
                <w:highlight w:val="none"/>
                <w:lang w:bidi="zh-CN"/>
              </w:rPr>
            </w:pPr>
          </w:p>
        </w:tc>
        <w:tc>
          <w:tcPr>
            <w:tcW w:w="919" w:type="pct"/>
            <w:vAlign w:val="center"/>
          </w:tcPr>
          <w:p w14:paraId="3E762D63">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悬浮固体含量</w:t>
            </w:r>
          </w:p>
        </w:tc>
        <w:tc>
          <w:tcPr>
            <w:tcW w:w="467" w:type="pct"/>
            <w:vAlign w:val="center"/>
          </w:tcPr>
          <w:p w14:paraId="56B81637">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mg/L</w:t>
            </w:r>
          </w:p>
        </w:tc>
        <w:tc>
          <w:tcPr>
            <w:tcW w:w="586" w:type="pct"/>
            <w:vAlign w:val="center"/>
          </w:tcPr>
          <w:p w14:paraId="6F39215B">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2-3</w:t>
            </w:r>
          </w:p>
        </w:tc>
        <w:tc>
          <w:tcPr>
            <w:tcW w:w="744" w:type="pct"/>
            <w:vAlign w:val="center"/>
          </w:tcPr>
          <w:p w14:paraId="7DC1970B">
            <w:pPr>
              <w:widowControl w:val="0"/>
              <w:spacing w:line="360" w:lineRule="exact"/>
              <w:jc w:val="center"/>
              <w:rPr>
                <w:rFonts w:ascii="Times New Roman" w:hAnsi="Times New Roman" w:cs="Times New Roman"/>
                <w:color w:val="auto"/>
                <w:w w:val="99"/>
                <w:sz w:val="21"/>
                <w:szCs w:val="21"/>
                <w:highlight w:val="none"/>
                <w:lang w:bidi="zh-CN"/>
              </w:rPr>
            </w:pPr>
            <w:r>
              <w:rPr>
                <w:rFonts w:ascii="Times New Roman" w:hAnsi="Times New Roman" w:cs="Times New Roman"/>
                <w:color w:val="auto"/>
                <w:w w:val="99"/>
                <w:sz w:val="21"/>
                <w:szCs w:val="21"/>
                <w:highlight w:val="none"/>
                <w:lang w:bidi="zh-CN"/>
              </w:rPr>
              <w:t>≤</w:t>
            </w:r>
            <w:r>
              <w:rPr>
                <w:rFonts w:hint="eastAsia" w:ascii="Times New Roman" w:hAnsi="Times New Roman" w:cs="Times New Roman"/>
                <w:color w:val="auto"/>
                <w:w w:val="99"/>
                <w:sz w:val="21"/>
                <w:szCs w:val="21"/>
                <w:highlight w:val="none"/>
                <w:lang w:bidi="zh-CN"/>
              </w:rPr>
              <w:t>5</w:t>
            </w:r>
          </w:p>
        </w:tc>
        <w:tc>
          <w:tcPr>
            <w:tcW w:w="1022" w:type="pct"/>
            <w:vAlign w:val="center"/>
          </w:tcPr>
          <w:p w14:paraId="06CC6BEC">
            <w:pPr>
              <w:widowControl w:val="0"/>
              <w:spacing w:line="360" w:lineRule="exact"/>
              <w:jc w:val="center"/>
              <w:rPr>
                <w:rFonts w:ascii="Times New Roman" w:hAnsi="Times New Roman" w:cs="Times New Roman"/>
                <w:color w:val="auto"/>
                <w:w w:val="99"/>
                <w:sz w:val="21"/>
                <w:szCs w:val="21"/>
                <w:highlight w:val="none"/>
                <w:lang w:bidi="zh-CN"/>
              </w:rPr>
            </w:pPr>
            <w:r>
              <w:rPr>
                <w:rFonts w:ascii="Times New Roman" w:hAnsi="Times New Roman" w:cs="Times New Roman"/>
                <w:color w:val="auto"/>
                <w:w w:val="99"/>
                <w:sz w:val="21"/>
                <w:szCs w:val="21"/>
                <w:highlight w:val="none"/>
                <w:lang w:bidi="zh-CN"/>
              </w:rPr>
              <w:t>≤</w:t>
            </w:r>
            <w:r>
              <w:rPr>
                <w:rFonts w:hint="eastAsia" w:ascii="Times New Roman" w:hAnsi="Times New Roman" w:cs="Times New Roman"/>
                <w:color w:val="auto"/>
                <w:w w:val="99"/>
                <w:sz w:val="21"/>
                <w:szCs w:val="21"/>
                <w:highlight w:val="none"/>
                <w:lang w:bidi="zh-CN"/>
              </w:rPr>
              <w:t>20</w:t>
            </w:r>
          </w:p>
        </w:tc>
        <w:tc>
          <w:tcPr>
            <w:tcW w:w="523" w:type="pct"/>
            <w:vMerge w:val="continue"/>
            <w:vAlign w:val="center"/>
          </w:tcPr>
          <w:p w14:paraId="6B54F800">
            <w:pPr>
              <w:widowControl w:val="0"/>
              <w:spacing w:line="360" w:lineRule="exact"/>
              <w:jc w:val="center"/>
              <w:rPr>
                <w:rFonts w:ascii="Times New Roman" w:hAnsi="Times New Roman" w:cs="Times New Roman"/>
                <w:color w:val="auto"/>
                <w:w w:val="99"/>
                <w:sz w:val="21"/>
                <w:szCs w:val="21"/>
                <w:highlight w:val="none"/>
                <w:lang w:bidi="zh-CN"/>
              </w:rPr>
            </w:pPr>
          </w:p>
        </w:tc>
      </w:tr>
      <w:tr w14:paraId="2D741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pct"/>
            <w:vMerge w:val="continue"/>
            <w:vAlign w:val="center"/>
          </w:tcPr>
          <w:p w14:paraId="63C20A0D">
            <w:pPr>
              <w:widowControl w:val="0"/>
              <w:spacing w:line="360" w:lineRule="exact"/>
              <w:jc w:val="center"/>
              <w:rPr>
                <w:rFonts w:ascii="Times New Roman" w:hAnsi="Times New Roman" w:cs="Times New Roman"/>
                <w:color w:val="auto"/>
                <w:w w:val="99"/>
                <w:sz w:val="21"/>
                <w:szCs w:val="21"/>
                <w:highlight w:val="none"/>
                <w:lang w:bidi="zh-CN"/>
              </w:rPr>
            </w:pPr>
          </w:p>
        </w:tc>
        <w:tc>
          <w:tcPr>
            <w:tcW w:w="919" w:type="pct"/>
            <w:vAlign w:val="center"/>
          </w:tcPr>
          <w:p w14:paraId="2608717C">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悬浮物颗粒直径中值</w:t>
            </w:r>
          </w:p>
        </w:tc>
        <w:tc>
          <w:tcPr>
            <w:tcW w:w="467" w:type="pct"/>
            <w:vAlign w:val="center"/>
          </w:tcPr>
          <w:p w14:paraId="2CF676F1">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μm</w:t>
            </w:r>
          </w:p>
        </w:tc>
        <w:tc>
          <w:tcPr>
            <w:tcW w:w="586" w:type="pct"/>
            <w:vAlign w:val="center"/>
          </w:tcPr>
          <w:p w14:paraId="063DCDAD">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1</w:t>
            </w:r>
          </w:p>
        </w:tc>
        <w:tc>
          <w:tcPr>
            <w:tcW w:w="744" w:type="pct"/>
            <w:vAlign w:val="center"/>
          </w:tcPr>
          <w:p w14:paraId="0C081C53">
            <w:pPr>
              <w:widowControl w:val="0"/>
              <w:spacing w:line="360" w:lineRule="exact"/>
              <w:jc w:val="center"/>
              <w:rPr>
                <w:rFonts w:ascii="Times New Roman" w:hAnsi="Times New Roman" w:cs="Times New Roman"/>
                <w:color w:val="auto"/>
                <w:w w:val="99"/>
                <w:sz w:val="21"/>
                <w:szCs w:val="21"/>
                <w:highlight w:val="none"/>
                <w:lang w:bidi="zh-CN"/>
              </w:rPr>
            </w:pPr>
            <w:r>
              <w:rPr>
                <w:rFonts w:ascii="Times New Roman" w:hAnsi="Times New Roman" w:cs="Times New Roman"/>
                <w:color w:val="auto"/>
                <w:w w:val="99"/>
                <w:sz w:val="21"/>
                <w:szCs w:val="21"/>
                <w:highlight w:val="none"/>
                <w:lang w:bidi="zh-CN"/>
              </w:rPr>
              <w:t>≤</w:t>
            </w:r>
            <w:r>
              <w:rPr>
                <w:rFonts w:hint="eastAsia" w:ascii="Times New Roman" w:hAnsi="Times New Roman" w:cs="Times New Roman"/>
                <w:color w:val="auto"/>
                <w:w w:val="99"/>
                <w:sz w:val="21"/>
                <w:szCs w:val="21"/>
                <w:highlight w:val="none"/>
                <w:lang w:bidi="zh-CN"/>
              </w:rPr>
              <w:t>2</w:t>
            </w:r>
          </w:p>
        </w:tc>
        <w:tc>
          <w:tcPr>
            <w:tcW w:w="1022" w:type="pct"/>
            <w:vAlign w:val="center"/>
          </w:tcPr>
          <w:p w14:paraId="2E3351A7">
            <w:pPr>
              <w:widowControl w:val="0"/>
              <w:spacing w:line="360" w:lineRule="exact"/>
              <w:jc w:val="center"/>
              <w:rPr>
                <w:rFonts w:ascii="Times New Roman" w:hAnsi="Times New Roman" w:cs="Times New Roman"/>
                <w:color w:val="auto"/>
                <w:w w:val="99"/>
                <w:sz w:val="21"/>
                <w:szCs w:val="21"/>
                <w:highlight w:val="none"/>
                <w:lang w:bidi="zh-CN"/>
              </w:rPr>
            </w:pPr>
            <w:r>
              <w:rPr>
                <w:rFonts w:ascii="Times New Roman" w:hAnsi="Times New Roman" w:cs="Times New Roman"/>
                <w:color w:val="auto"/>
                <w:w w:val="99"/>
                <w:sz w:val="21"/>
                <w:szCs w:val="21"/>
                <w:highlight w:val="none"/>
                <w:lang w:bidi="zh-CN"/>
              </w:rPr>
              <w:t>≤</w:t>
            </w:r>
            <w:r>
              <w:rPr>
                <w:rFonts w:hint="eastAsia" w:ascii="Times New Roman" w:hAnsi="Times New Roman" w:cs="Times New Roman"/>
                <w:color w:val="auto"/>
                <w:w w:val="99"/>
                <w:sz w:val="21"/>
                <w:szCs w:val="21"/>
                <w:highlight w:val="none"/>
                <w:lang w:bidi="zh-CN"/>
              </w:rPr>
              <w:t>5</w:t>
            </w:r>
          </w:p>
        </w:tc>
        <w:tc>
          <w:tcPr>
            <w:tcW w:w="523" w:type="pct"/>
            <w:vMerge w:val="continue"/>
            <w:vAlign w:val="center"/>
          </w:tcPr>
          <w:p w14:paraId="01D041AC">
            <w:pPr>
              <w:widowControl w:val="0"/>
              <w:spacing w:line="360" w:lineRule="exact"/>
              <w:jc w:val="center"/>
              <w:rPr>
                <w:rFonts w:ascii="Times New Roman" w:hAnsi="Times New Roman" w:cs="Times New Roman"/>
                <w:color w:val="auto"/>
                <w:w w:val="99"/>
                <w:sz w:val="21"/>
                <w:szCs w:val="21"/>
                <w:highlight w:val="none"/>
                <w:lang w:bidi="zh-CN"/>
              </w:rPr>
            </w:pPr>
          </w:p>
        </w:tc>
      </w:tr>
    </w:tbl>
    <w:p w14:paraId="5A230738">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color w:val="auto"/>
          <w:w w:val="99"/>
          <w:highlight w:val="none"/>
          <w:lang w:bidi="zh-CN"/>
        </w:rPr>
        <w:t>综合分析，采取以上措施，施工期地表水环境污染防治措施可行。</w:t>
      </w:r>
    </w:p>
    <w:p w14:paraId="0CD8E61C">
      <w:pPr>
        <w:pStyle w:val="153"/>
        <w:widowControl w:val="0"/>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6.1.2.2</w:t>
      </w:r>
      <w:r>
        <w:rPr>
          <w:rFonts w:ascii="Times New Roman" w:hAnsi="Times New Roman" w:eastAsiaTheme="minorEastAsia"/>
          <w:b/>
          <w:color w:val="auto"/>
          <w:w w:val="99"/>
          <w:highlight w:val="none"/>
        </w:rPr>
        <w:t>运营期废水处理措施及地表水保护措施</w:t>
      </w:r>
    </w:p>
    <w:p w14:paraId="78006FD3">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（1）运营期废水处理措施及其可行性论证</w:t>
      </w:r>
    </w:p>
    <w:p w14:paraId="43CEDF92">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①</w:t>
      </w:r>
      <w:r>
        <w:rPr>
          <w:rFonts w:ascii="Times New Roman" w:hAnsi="Times New Roman" w:cs="Times New Roman"/>
          <w:color w:val="auto"/>
          <w:w w:val="99"/>
          <w:highlight w:val="none"/>
          <w:lang w:bidi="zh-CN"/>
        </w:rPr>
        <w:t>运营期废水处理措施</w:t>
      </w:r>
    </w:p>
    <w:p w14:paraId="1E641563">
      <w:pPr>
        <w:widowControl w:val="0"/>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color w:val="auto"/>
          <w:w w:val="99"/>
          <w:highlight w:val="none"/>
          <w:lang w:bidi="zh-CN"/>
        </w:rPr>
        <w:t>气田采出水暂存于</w:t>
      </w:r>
      <w:r>
        <w:rPr>
          <w:rFonts w:hint="eastAsia" w:ascii="Times New Roman" w:hAnsi="Times New Roman" w:cs="Times New Roman"/>
          <w:color w:val="auto"/>
          <w:w w:val="99"/>
          <w:highlight w:val="none"/>
          <w:lang w:bidi="zh-CN"/>
        </w:rPr>
        <w:t>徐深27</w:t>
      </w:r>
      <w:r>
        <w:rPr>
          <w:rFonts w:ascii="Times New Roman" w:hAnsi="Times New Roman" w:cs="Times New Roman"/>
          <w:color w:val="auto"/>
          <w:w w:val="99"/>
          <w:highlight w:val="none"/>
          <w:lang w:bidi="zh-CN"/>
        </w:rPr>
        <w:t>集气站污水储罐，再定期通过外输泵升压外输至气田采出水集输管网，并统一外输至升一联气田污水预处理站处理满足</w:t>
      </w:r>
      <w:r>
        <w:rPr>
          <w:rFonts w:ascii="Times New Roman" w:hAnsi="Times New Roman" w:cs="Times New Roman"/>
          <w:color w:val="auto"/>
          <w:w w:val="99"/>
          <w:kern w:val="2"/>
          <w:highlight w:val="none"/>
        </w:rPr>
        <w:t>《大庆油田地面工程建设设计规定》（Q/SYDQ 0639-2015）限值“含油量≤10mg/L、悬浮固体含量≤5mg/L、粒径中值≤2μm”</w:t>
      </w:r>
      <w:r>
        <w:rPr>
          <w:rFonts w:hint="eastAsia" w:ascii="Times New Roman" w:hAnsi="Times New Roman" w:cs="Times New Roman"/>
          <w:color w:val="auto"/>
          <w:w w:val="99"/>
          <w:kern w:val="2"/>
          <w:highlight w:val="none"/>
          <w:lang w:eastAsia="zh-CN"/>
        </w:rPr>
        <w:t>，</w:t>
      </w:r>
      <w:r>
        <w:rPr>
          <w:rFonts w:hint="eastAsia" w:ascii="Times New Roman" w:hAnsi="Times New Roman" w:cs="Times New Roman"/>
          <w:color w:val="auto"/>
          <w:w w:val="99"/>
          <w:kern w:val="2"/>
          <w:highlight w:val="none"/>
          <w:lang w:val="en-US" w:eastAsia="zh-CN"/>
        </w:rPr>
        <w:t>同时满足</w:t>
      </w:r>
      <w:r>
        <w:rPr>
          <w:rFonts w:ascii="Times New Roman" w:hAnsi="Times New Roman" w:cs="Times New Roman"/>
          <w:bCs/>
          <w:color w:val="auto"/>
          <w:w w:val="99"/>
          <w:highlight w:val="none"/>
        </w:rPr>
        <w:t>《碎屑岩油藏注水水质指标技术要求及分析方法》(SY/T5329-2022)中标准限值，回注地下。</w:t>
      </w:r>
    </w:p>
    <w:p w14:paraId="7A2A135E">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本项目运营期不新增人员，不新增生活污水。</w:t>
      </w:r>
    </w:p>
    <w:p w14:paraId="3B360572">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②</w:t>
      </w:r>
      <w:r>
        <w:rPr>
          <w:rFonts w:ascii="Times New Roman" w:hAnsi="Times New Roman" w:cs="Times New Roman"/>
          <w:color w:val="auto"/>
          <w:w w:val="99"/>
          <w:highlight w:val="none"/>
          <w:lang w:bidi="zh-CN"/>
        </w:rPr>
        <w:t>处理工艺可行性分析</w:t>
      </w:r>
    </w:p>
    <w:p w14:paraId="227BA97A">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val="de-DE" w:bidi="zh-CN"/>
        </w:rPr>
        <w:t>本项目</w:t>
      </w:r>
      <w:r>
        <w:rPr>
          <w:rFonts w:hint="eastAsia" w:ascii="Times New Roman" w:hAnsi="Times New Roman" w:cs="Times New Roman"/>
          <w:color w:val="auto"/>
          <w:w w:val="99"/>
          <w:highlight w:val="none"/>
          <w:lang w:bidi="zh-CN"/>
        </w:rPr>
        <w:t>1</w:t>
      </w:r>
      <w:r>
        <w:rPr>
          <w:rFonts w:ascii="Times New Roman" w:hAnsi="Times New Roman" w:cs="Times New Roman"/>
          <w:color w:val="auto"/>
          <w:w w:val="99"/>
          <w:highlight w:val="none"/>
          <w:lang w:bidi="zh-CN"/>
        </w:rPr>
        <w:t>口</w:t>
      </w:r>
      <w:r>
        <w:rPr>
          <w:rFonts w:hint="eastAsia" w:ascii="Times New Roman" w:hAnsi="Times New Roman" w:cs="Times New Roman"/>
          <w:color w:val="auto"/>
          <w:w w:val="99"/>
          <w:highlight w:val="none"/>
          <w:lang w:bidi="zh-CN"/>
        </w:rPr>
        <w:t>气井的采出水</w:t>
      </w:r>
      <w:r>
        <w:rPr>
          <w:rFonts w:ascii="Times New Roman" w:hAnsi="Times New Roman" w:cs="Times New Roman"/>
          <w:color w:val="auto"/>
          <w:w w:val="99"/>
          <w:highlight w:val="none"/>
          <w:lang w:val="de-DE" w:bidi="zh-CN"/>
        </w:rPr>
        <w:t>依托</w:t>
      </w:r>
      <w:r>
        <w:rPr>
          <w:rFonts w:ascii="Times New Roman" w:hAnsi="Times New Roman" w:cs="Times New Roman"/>
          <w:color w:val="auto"/>
          <w:w w:val="99"/>
          <w:highlight w:val="none"/>
          <w:lang w:bidi="zh-CN"/>
        </w:rPr>
        <w:t>升一联气田污水预处理站</w:t>
      </w:r>
      <w:r>
        <w:rPr>
          <w:rFonts w:ascii="Times New Roman" w:hAnsi="Times New Roman" w:cs="Times New Roman"/>
          <w:color w:val="auto"/>
          <w:w w:val="99"/>
          <w:highlight w:val="none"/>
          <w:lang w:val="de-DE" w:bidi="zh-CN"/>
        </w:rPr>
        <w:t>处理，站内工艺采用</w:t>
      </w:r>
      <w:r>
        <w:rPr>
          <w:rFonts w:ascii="Times New Roman" w:hAnsi="Times New Roman" w:cs="Times New Roman"/>
          <w:color w:val="auto"/>
          <w:w w:val="99"/>
          <w:highlight w:val="none"/>
          <w:lang w:bidi="zh-CN"/>
        </w:rPr>
        <w:t>“调储缓冲→ 气浮→ 缓冲→ 两级过滤”工艺流程</w:t>
      </w:r>
      <w:r>
        <w:rPr>
          <w:rFonts w:ascii="Times New Roman" w:hAnsi="Times New Roman" w:cs="Times New Roman"/>
          <w:color w:val="auto"/>
          <w:w w:val="99"/>
          <w:highlight w:val="none"/>
          <w:lang w:val="de-DE" w:bidi="zh-CN"/>
        </w:rPr>
        <w:t>，设计出水水质指标为</w:t>
      </w:r>
      <w:r>
        <w:rPr>
          <w:rFonts w:ascii="Times New Roman" w:hAnsi="Times New Roman" w:cs="Times New Roman"/>
          <w:color w:val="auto"/>
          <w:w w:val="99"/>
          <w:highlight w:val="none"/>
          <w:lang w:bidi="zh-CN"/>
        </w:rPr>
        <w:t>《大庆油田地面工程建设设计规定》（Q/SYDQ0639-2015）中“含油量≤</w:t>
      </w:r>
      <w:r>
        <w:rPr>
          <w:rFonts w:hint="eastAsia" w:ascii="Times New Roman" w:hAnsi="Times New Roman" w:cs="Times New Roman"/>
          <w:color w:val="auto"/>
          <w:w w:val="99"/>
          <w:highlight w:val="none"/>
          <w:lang w:bidi="zh-CN"/>
        </w:rPr>
        <w:t>10</w:t>
      </w:r>
      <w:r>
        <w:rPr>
          <w:rFonts w:ascii="Times New Roman" w:hAnsi="Times New Roman" w:cs="Times New Roman"/>
          <w:color w:val="auto"/>
          <w:w w:val="99"/>
          <w:highlight w:val="none"/>
          <w:lang w:bidi="zh-CN"/>
        </w:rPr>
        <w:t>mg/L、悬浮固体≤</w:t>
      </w:r>
      <w:r>
        <w:rPr>
          <w:rFonts w:hint="eastAsia" w:ascii="Times New Roman" w:hAnsi="Times New Roman" w:cs="Times New Roman"/>
          <w:color w:val="auto"/>
          <w:w w:val="99"/>
          <w:highlight w:val="none"/>
          <w:lang w:bidi="zh-CN"/>
        </w:rPr>
        <w:t>5</w:t>
      </w:r>
      <w:r>
        <w:rPr>
          <w:rFonts w:ascii="Times New Roman" w:hAnsi="Times New Roman" w:cs="Times New Roman"/>
          <w:color w:val="auto"/>
          <w:w w:val="99"/>
          <w:highlight w:val="none"/>
          <w:lang w:bidi="zh-CN"/>
        </w:rPr>
        <w:t>mg/L、悬浮物颗粒直径中值≤</w:t>
      </w:r>
      <w:r>
        <w:rPr>
          <w:rFonts w:hint="eastAsia" w:ascii="Times New Roman" w:hAnsi="Times New Roman" w:cs="Times New Roman"/>
          <w:color w:val="auto"/>
          <w:w w:val="99"/>
          <w:highlight w:val="none"/>
          <w:lang w:bidi="zh-CN"/>
        </w:rPr>
        <w:t>2</w:t>
      </w:r>
      <w:r>
        <w:rPr>
          <w:rFonts w:ascii="Times New Roman" w:hAnsi="Times New Roman" w:cs="Times New Roman"/>
          <w:color w:val="auto"/>
          <w:w w:val="99"/>
          <w:highlight w:val="none"/>
          <w:lang w:bidi="zh-CN"/>
        </w:rPr>
        <w:t>μm”</w:t>
      </w:r>
      <w:r>
        <w:rPr>
          <w:rFonts w:ascii="Times New Roman" w:hAnsi="Times New Roman" w:cs="Times New Roman"/>
          <w:color w:val="auto"/>
          <w:w w:val="99"/>
          <w:highlight w:val="none"/>
          <w:lang w:val="de-DE" w:bidi="zh-CN"/>
        </w:rPr>
        <w:t>，设计污水处理量为</w:t>
      </w:r>
      <w:r>
        <w:rPr>
          <w:rFonts w:hint="eastAsia" w:ascii="Times New Roman" w:hAnsi="Times New Roman" w:cs="Times New Roman"/>
          <w:color w:val="auto"/>
          <w:w w:val="99"/>
          <w:highlight w:val="none"/>
          <w:lang w:bidi="zh-CN"/>
        </w:rPr>
        <w:t>1400</w:t>
      </w:r>
      <w:r>
        <w:rPr>
          <w:rFonts w:ascii="Times New Roman" w:hAnsi="Times New Roman" w:cs="Times New Roman"/>
          <w:color w:val="auto"/>
          <w:w w:val="99"/>
          <w:highlight w:val="none"/>
          <w:lang w:bidi="zh-CN"/>
        </w:rPr>
        <w:t>m</w:t>
      </w:r>
      <w:r>
        <w:rPr>
          <w:rFonts w:ascii="Times New Roman" w:hAnsi="Times New Roman" w:cs="Times New Roman"/>
          <w:color w:val="auto"/>
          <w:w w:val="99"/>
          <w:highlight w:val="none"/>
          <w:vertAlign w:val="superscript"/>
          <w:lang w:bidi="zh-CN"/>
        </w:rPr>
        <w:t>3</w:t>
      </w:r>
      <w:r>
        <w:rPr>
          <w:rFonts w:ascii="Times New Roman" w:hAnsi="Times New Roman" w:cs="Times New Roman"/>
          <w:color w:val="auto"/>
          <w:w w:val="99"/>
          <w:highlight w:val="none"/>
          <w:lang w:bidi="zh-CN"/>
        </w:rPr>
        <w:t>/d。</w:t>
      </w:r>
      <w:r>
        <w:rPr>
          <w:rFonts w:ascii="Times New Roman" w:hAnsi="Times New Roman" w:cs="Times New Roman"/>
          <w:color w:val="auto"/>
          <w:w w:val="99"/>
          <w:highlight w:val="none"/>
          <w:lang w:val="de-DE" w:bidi="zh-CN"/>
        </w:rPr>
        <w:t>目前实际污水处理量为</w:t>
      </w:r>
      <w:r>
        <w:rPr>
          <w:rFonts w:hint="eastAsia" w:ascii="Times New Roman" w:hAnsi="Times New Roman" w:cs="Times New Roman"/>
          <w:color w:val="auto"/>
          <w:w w:val="99"/>
          <w:highlight w:val="none"/>
          <w:lang w:bidi="zh-CN"/>
        </w:rPr>
        <w:t>390</w:t>
      </w:r>
      <w:r>
        <w:rPr>
          <w:rFonts w:ascii="Times New Roman" w:hAnsi="Times New Roman" w:cs="Times New Roman"/>
          <w:color w:val="auto"/>
          <w:w w:val="99"/>
          <w:highlight w:val="none"/>
          <w:lang w:val="de-DE" w:bidi="zh-CN"/>
        </w:rPr>
        <w:t>m</w:t>
      </w:r>
      <w:r>
        <w:rPr>
          <w:rFonts w:ascii="Times New Roman" w:hAnsi="Times New Roman" w:cs="Times New Roman"/>
          <w:color w:val="auto"/>
          <w:w w:val="99"/>
          <w:highlight w:val="none"/>
          <w:vertAlign w:val="superscript"/>
          <w:lang w:val="de-DE" w:bidi="zh-CN"/>
        </w:rPr>
        <w:t>3</w:t>
      </w:r>
      <w:r>
        <w:rPr>
          <w:rFonts w:ascii="Times New Roman" w:hAnsi="Times New Roman" w:cs="Times New Roman"/>
          <w:color w:val="auto"/>
          <w:w w:val="99"/>
          <w:highlight w:val="none"/>
          <w:lang w:val="de-DE" w:bidi="zh-CN"/>
        </w:rPr>
        <w:t>/d，</w:t>
      </w:r>
      <w:r>
        <w:rPr>
          <w:rFonts w:ascii="Times New Roman" w:hAnsi="Times New Roman" w:cs="Times New Roman"/>
          <w:color w:val="auto"/>
          <w:w w:val="99"/>
          <w:highlight w:val="none"/>
          <w:lang w:bidi="zh-CN"/>
        </w:rPr>
        <w:t>本项目气田采出水最大产生量为</w:t>
      </w:r>
      <w:r>
        <w:rPr>
          <w:rFonts w:hint="eastAsia" w:ascii="Times New Roman" w:hAnsi="Times New Roman" w:cs="Times New Roman"/>
          <w:color w:val="auto"/>
          <w:w w:val="99"/>
          <w:highlight w:val="none"/>
          <w:lang w:bidi="zh-CN"/>
        </w:rPr>
        <w:t>3.0m</w:t>
      </w:r>
      <w:r>
        <w:rPr>
          <w:rFonts w:hint="eastAsia" w:ascii="Times New Roman" w:hAnsi="Times New Roman" w:cs="Times New Roman"/>
          <w:color w:val="auto"/>
          <w:w w:val="99"/>
          <w:highlight w:val="none"/>
          <w:vertAlign w:val="superscript"/>
          <w:lang w:bidi="zh-CN"/>
        </w:rPr>
        <w:t>3</w:t>
      </w:r>
      <w:r>
        <w:rPr>
          <w:rFonts w:ascii="Times New Roman" w:hAnsi="Times New Roman" w:cs="Times New Roman"/>
          <w:color w:val="auto"/>
          <w:w w:val="99"/>
          <w:highlight w:val="none"/>
          <w:lang w:bidi="zh-CN"/>
        </w:rPr>
        <w:t>/d</w:t>
      </w:r>
      <w:r>
        <w:rPr>
          <w:rFonts w:ascii="Times New Roman" w:hAnsi="Times New Roman" w:cs="Times New Roman"/>
          <w:color w:val="auto"/>
          <w:w w:val="99"/>
          <w:highlight w:val="none"/>
          <w:lang w:val="de-DE" w:bidi="zh-CN"/>
        </w:rPr>
        <w:t>，满足开发需求。</w:t>
      </w:r>
    </w:p>
    <w:p w14:paraId="7D217699">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③</w:t>
      </w:r>
      <w:r>
        <w:rPr>
          <w:rFonts w:ascii="Times New Roman" w:hAnsi="Times New Roman" w:cs="Times New Roman"/>
          <w:color w:val="auto"/>
          <w:w w:val="99"/>
          <w:highlight w:val="none"/>
          <w:lang w:bidi="zh-CN"/>
        </w:rPr>
        <w:t>处理工艺达标可行性分析</w:t>
      </w:r>
    </w:p>
    <w:p w14:paraId="07CFBE27">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根据现场调查，项目所属区域注水井回注层位与</w:t>
      </w:r>
      <w:r>
        <w:rPr>
          <w:rFonts w:hint="eastAsia" w:ascii="Times New Roman" w:hAnsi="Times New Roman" w:cs="Times New Roman"/>
          <w:color w:val="auto"/>
          <w:w w:val="99"/>
          <w:highlight w:val="none"/>
          <w:lang w:bidi="zh-CN"/>
        </w:rPr>
        <w:t>采气井</w:t>
      </w:r>
      <w:r>
        <w:rPr>
          <w:rFonts w:ascii="Times New Roman" w:hAnsi="Times New Roman" w:cs="Times New Roman"/>
          <w:color w:val="auto"/>
          <w:w w:val="99"/>
          <w:highlight w:val="none"/>
          <w:lang w:bidi="zh-CN"/>
        </w:rPr>
        <w:t>开采层位相同，属于回注到现役油气藏层位。</w:t>
      </w:r>
    </w:p>
    <w:p w14:paraId="47BE874E">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根据</w:t>
      </w:r>
      <w:r>
        <w:rPr>
          <w:rFonts w:ascii="Times New Roman" w:hAnsi="Times New Roman" w:cs="Times New Roman"/>
          <w:color w:val="auto"/>
          <w:w w:val="99"/>
          <w:highlight w:val="none"/>
          <w:lang w:bidi="zh-CN"/>
        </w:rPr>
        <w:t>大庆中环评价检测有限公司于2025年</w:t>
      </w:r>
      <w:r>
        <w:rPr>
          <w:rFonts w:hint="eastAsia" w:ascii="Times New Roman" w:hAnsi="Times New Roman" w:cs="Times New Roman"/>
          <w:color w:val="auto"/>
          <w:w w:val="99"/>
          <w:highlight w:val="none"/>
          <w:lang w:bidi="zh-CN"/>
        </w:rPr>
        <w:t>12</w:t>
      </w:r>
      <w:r>
        <w:rPr>
          <w:rFonts w:ascii="Times New Roman" w:hAnsi="Times New Roman" w:cs="Times New Roman"/>
          <w:color w:val="auto"/>
          <w:w w:val="99"/>
          <w:highlight w:val="none"/>
          <w:lang w:bidi="zh-CN"/>
        </w:rPr>
        <w:t>月</w:t>
      </w:r>
      <w:r>
        <w:rPr>
          <w:rFonts w:hint="eastAsia" w:ascii="Times New Roman" w:hAnsi="Times New Roman" w:cs="Times New Roman"/>
          <w:color w:val="auto"/>
          <w:w w:val="99"/>
          <w:highlight w:val="none"/>
          <w:lang w:bidi="zh-CN"/>
        </w:rPr>
        <w:t>24</w:t>
      </w:r>
      <w:r>
        <w:rPr>
          <w:rFonts w:ascii="Times New Roman" w:hAnsi="Times New Roman" w:cs="Times New Roman"/>
          <w:color w:val="auto"/>
          <w:w w:val="99"/>
          <w:highlight w:val="none"/>
          <w:lang w:bidi="zh-CN"/>
        </w:rPr>
        <w:t>日-</w:t>
      </w:r>
      <w:r>
        <w:rPr>
          <w:rFonts w:hint="eastAsia" w:ascii="Times New Roman" w:hAnsi="Times New Roman" w:cs="Times New Roman"/>
          <w:color w:val="auto"/>
          <w:w w:val="99"/>
          <w:highlight w:val="none"/>
          <w:lang w:bidi="zh-CN"/>
        </w:rPr>
        <w:t>25</w:t>
      </w:r>
      <w:r>
        <w:rPr>
          <w:rFonts w:ascii="Times New Roman" w:hAnsi="Times New Roman" w:cs="Times New Roman"/>
          <w:color w:val="auto"/>
          <w:w w:val="99"/>
          <w:highlight w:val="none"/>
          <w:lang w:bidi="zh-CN"/>
        </w:rPr>
        <w:t>日对升一联气田污水预处理站出水水质进行监测，根据监测结果可知，升一联气田污水预处理站处理后的污水含油量为</w:t>
      </w:r>
      <w:r>
        <w:rPr>
          <w:rFonts w:hint="eastAsia" w:ascii="Times New Roman" w:hAnsi="Times New Roman" w:cs="Times New Roman"/>
          <w:color w:val="auto"/>
          <w:w w:val="99"/>
          <w:highlight w:val="none"/>
          <w:lang w:bidi="zh-CN"/>
        </w:rPr>
        <w:t>0.88</w:t>
      </w:r>
      <w:r>
        <w:rPr>
          <w:rFonts w:ascii="Times New Roman" w:hAnsi="Times New Roman" w:cs="Times New Roman"/>
          <w:color w:val="auto"/>
          <w:w w:val="99"/>
          <w:highlight w:val="none"/>
          <w:lang w:bidi="zh-CN"/>
        </w:rPr>
        <w:t>~</w:t>
      </w:r>
      <w:r>
        <w:rPr>
          <w:rFonts w:hint="eastAsia" w:ascii="Times New Roman" w:hAnsi="Times New Roman" w:cs="Times New Roman"/>
          <w:color w:val="auto"/>
          <w:w w:val="99"/>
          <w:highlight w:val="none"/>
          <w:lang w:bidi="zh-CN"/>
        </w:rPr>
        <w:t>1.25</w:t>
      </w:r>
      <w:r>
        <w:rPr>
          <w:rFonts w:ascii="Times New Roman" w:hAnsi="Times New Roman" w:cs="Times New Roman"/>
          <w:color w:val="auto"/>
          <w:w w:val="99"/>
          <w:highlight w:val="none"/>
          <w:lang w:bidi="zh-CN"/>
        </w:rPr>
        <w:t>mg/L，悬浮固体含量为</w:t>
      </w:r>
      <w:r>
        <w:rPr>
          <w:rFonts w:hint="eastAsia" w:ascii="Times New Roman" w:hAnsi="Times New Roman" w:cs="Times New Roman"/>
          <w:color w:val="auto"/>
          <w:w w:val="99"/>
          <w:highlight w:val="none"/>
          <w:lang w:bidi="zh-CN"/>
        </w:rPr>
        <w:t>2-3</w:t>
      </w:r>
      <w:r>
        <w:rPr>
          <w:rFonts w:ascii="Times New Roman" w:hAnsi="Times New Roman" w:cs="Times New Roman"/>
          <w:color w:val="auto"/>
          <w:w w:val="99"/>
          <w:highlight w:val="none"/>
          <w:lang w:bidi="zh-CN"/>
        </w:rPr>
        <w:t>mg/L，悬浮物颗粒直径中值为1μm；处理后的污水</w:t>
      </w:r>
      <w:r>
        <w:rPr>
          <w:rFonts w:hint="eastAsia" w:ascii="Times New Roman" w:hAnsi="Times New Roman" w:cs="Times New Roman"/>
          <w:color w:val="auto"/>
          <w:w w:val="99"/>
          <w:highlight w:val="none"/>
          <w:lang w:bidi="zh-CN"/>
        </w:rPr>
        <w:t>水质</w:t>
      </w:r>
      <w:r>
        <w:rPr>
          <w:rFonts w:ascii="Times New Roman" w:hAnsi="Times New Roman" w:cs="Times New Roman"/>
          <w:color w:val="auto"/>
          <w:w w:val="99"/>
          <w:highlight w:val="none"/>
          <w:lang w:bidi="zh-CN"/>
        </w:rPr>
        <w:t>满足《大庆油田地面工程建设设计规定》（Q/SYDQ0639-2015）及《碎屑岩油藏注水水质指标技术要求及分析方法》（SY/T5329-2022）限值要求，处理后污水回注油层，符合《关于进一步加强石油天然气行业环境影响评价管理的通知》（环办环评函〔2019〕910号）中相关要求。</w:t>
      </w:r>
    </w:p>
    <w:p w14:paraId="73598A75">
      <w:pPr>
        <w:widowControl w:val="0"/>
        <w:spacing w:line="440" w:lineRule="exact"/>
        <w:ind w:firstLine="476" w:firstLineChars="200"/>
        <w:jc w:val="both"/>
        <w:rPr>
          <w:rFonts w:ascii="Times New Roman" w:hAnsi="Times New Roman" w:cs="Times New Roman"/>
          <w:b/>
          <w:bCs/>
          <w:color w:val="auto"/>
          <w:w w:val="99"/>
          <w:highlight w:val="none"/>
          <w:lang w:bidi="zh-CN"/>
        </w:rPr>
      </w:pPr>
      <w:r>
        <w:rPr>
          <w:rFonts w:hint="eastAsia" w:ascii="Times New Roman" w:hAnsi="Times New Roman" w:cs="Times New Roman"/>
          <w:b/>
          <w:bCs/>
          <w:color w:val="auto"/>
          <w:w w:val="99"/>
          <w:highlight w:val="none"/>
          <w:lang w:bidi="zh-CN"/>
        </w:rPr>
        <w:t>表6.1-2  运营期废水处理达标情况分析</w:t>
      </w:r>
    </w:p>
    <w:tbl>
      <w:tblPr>
        <w:tblStyle w:val="8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5"/>
        <w:gridCol w:w="1709"/>
        <w:gridCol w:w="867"/>
        <w:gridCol w:w="1087"/>
        <w:gridCol w:w="1381"/>
        <w:gridCol w:w="1900"/>
        <w:gridCol w:w="971"/>
      </w:tblGrid>
      <w:tr w14:paraId="1B76F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735" w:type="pct"/>
            <w:vMerge w:val="restart"/>
            <w:vAlign w:val="center"/>
          </w:tcPr>
          <w:p w14:paraId="4D21A383">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场站</w:t>
            </w:r>
          </w:p>
        </w:tc>
        <w:tc>
          <w:tcPr>
            <w:tcW w:w="919" w:type="pct"/>
            <w:vMerge w:val="restart"/>
            <w:vAlign w:val="center"/>
          </w:tcPr>
          <w:p w14:paraId="1E8ABFEB">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监测项目</w:t>
            </w:r>
          </w:p>
        </w:tc>
        <w:tc>
          <w:tcPr>
            <w:tcW w:w="467" w:type="pct"/>
            <w:vMerge w:val="restart"/>
            <w:vAlign w:val="center"/>
          </w:tcPr>
          <w:p w14:paraId="4BF1605B">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单位</w:t>
            </w:r>
          </w:p>
        </w:tc>
        <w:tc>
          <w:tcPr>
            <w:tcW w:w="586" w:type="pct"/>
            <w:vMerge w:val="restart"/>
            <w:tcBorders>
              <w:right w:val="single" w:color="000000" w:sz="2" w:space="0"/>
            </w:tcBorders>
            <w:vAlign w:val="center"/>
          </w:tcPr>
          <w:p w14:paraId="060A4F90">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监测结果</w:t>
            </w:r>
          </w:p>
        </w:tc>
        <w:tc>
          <w:tcPr>
            <w:tcW w:w="1767" w:type="pct"/>
            <w:gridSpan w:val="2"/>
            <w:vAlign w:val="center"/>
          </w:tcPr>
          <w:p w14:paraId="549B0C3F">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标准限值</w:t>
            </w:r>
          </w:p>
        </w:tc>
        <w:tc>
          <w:tcPr>
            <w:tcW w:w="523" w:type="pct"/>
            <w:vMerge w:val="restart"/>
            <w:vAlign w:val="center"/>
          </w:tcPr>
          <w:p w14:paraId="5B31AAEC">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采样时间</w:t>
            </w:r>
          </w:p>
        </w:tc>
      </w:tr>
      <w:tr w14:paraId="27EDE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pct"/>
            <w:vMerge w:val="continue"/>
            <w:vAlign w:val="center"/>
          </w:tcPr>
          <w:p w14:paraId="3E14F0CA">
            <w:pPr>
              <w:widowControl w:val="0"/>
              <w:spacing w:line="360" w:lineRule="exact"/>
              <w:jc w:val="center"/>
              <w:rPr>
                <w:rFonts w:ascii="Times New Roman" w:hAnsi="Times New Roman" w:cs="Times New Roman"/>
                <w:color w:val="auto"/>
                <w:w w:val="99"/>
                <w:sz w:val="21"/>
                <w:szCs w:val="21"/>
                <w:highlight w:val="none"/>
                <w:lang w:bidi="zh-CN"/>
              </w:rPr>
            </w:pPr>
          </w:p>
        </w:tc>
        <w:tc>
          <w:tcPr>
            <w:tcW w:w="919" w:type="pct"/>
            <w:vMerge w:val="continue"/>
            <w:vAlign w:val="center"/>
          </w:tcPr>
          <w:p w14:paraId="44665897">
            <w:pPr>
              <w:widowControl w:val="0"/>
              <w:spacing w:line="360" w:lineRule="exact"/>
              <w:jc w:val="center"/>
              <w:rPr>
                <w:rFonts w:ascii="Times New Roman" w:hAnsi="Times New Roman" w:cs="Times New Roman"/>
                <w:color w:val="auto"/>
                <w:w w:val="99"/>
                <w:sz w:val="21"/>
                <w:szCs w:val="21"/>
                <w:highlight w:val="none"/>
                <w:lang w:bidi="zh-CN"/>
              </w:rPr>
            </w:pPr>
          </w:p>
        </w:tc>
        <w:tc>
          <w:tcPr>
            <w:tcW w:w="467" w:type="pct"/>
            <w:vMerge w:val="continue"/>
            <w:vAlign w:val="center"/>
          </w:tcPr>
          <w:p w14:paraId="25615F37">
            <w:pPr>
              <w:widowControl w:val="0"/>
              <w:spacing w:line="360" w:lineRule="exact"/>
              <w:jc w:val="center"/>
              <w:rPr>
                <w:rFonts w:ascii="Times New Roman" w:hAnsi="Times New Roman" w:cs="Times New Roman"/>
                <w:color w:val="auto"/>
                <w:w w:val="99"/>
                <w:sz w:val="21"/>
                <w:szCs w:val="21"/>
                <w:highlight w:val="none"/>
                <w:lang w:bidi="zh-CN"/>
              </w:rPr>
            </w:pPr>
          </w:p>
        </w:tc>
        <w:tc>
          <w:tcPr>
            <w:tcW w:w="586" w:type="pct"/>
            <w:vMerge w:val="continue"/>
            <w:tcBorders>
              <w:right w:val="single" w:color="000000" w:sz="2" w:space="0"/>
            </w:tcBorders>
            <w:vAlign w:val="center"/>
          </w:tcPr>
          <w:p w14:paraId="238E89F6">
            <w:pPr>
              <w:widowControl w:val="0"/>
              <w:spacing w:line="360" w:lineRule="exact"/>
              <w:jc w:val="center"/>
              <w:rPr>
                <w:rFonts w:ascii="Times New Roman" w:hAnsi="Times New Roman" w:cs="Times New Roman"/>
                <w:color w:val="auto"/>
                <w:w w:val="99"/>
                <w:sz w:val="21"/>
                <w:szCs w:val="21"/>
                <w:highlight w:val="none"/>
                <w:lang w:bidi="zh-CN"/>
              </w:rPr>
            </w:pPr>
          </w:p>
        </w:tc>
        <w:tc>
          <w:tcPr>
            <w:tcW w:w="744" w:type="pct"/>
            <w:vAlign w:val="center"/>
          </w:tcPr>
          <w:p w14:paraId="2E4F7910">
            <w:pPr>
              <w:widowControl w:val="0"/>
              <w:spacing w:line="360" w:lineRule="exact"/>
              <w:jc w:val="center"/>
              <w:rPr>
                <w:rFonts w:ascii="Times New Roman" w:hAnsi="Times New Roman" w:cs="Times New Roman"/>
                <w:color w:val="auto"/>
                <w:w w:val="99"/>
                <w:sz w:val="21"/>
                <w:szCs w:val="21"/>
                <w:highlight w:val="none"/>
                <w:lang w:bidi="zh-CN"/>
              </w:rPr>
            </w:pPr>
            <w:r>
              <w:rPr>
                <w:rFonts w:ascii="Times New Roman" w:hAnsi="Times New Roman" w:cs="Times New Roman"/>
                <w:color w:val="auto"/>
                <w:w w:val="99"/>
                <w:sz w:val="21"/>
                <w:szCs w:val="21"/>
                <w:highlight w:val="none"/>
                <w:lang w:bidi="zh-CN"/>
              </w:rPr>
              <w:t>《大庆油田地面工程建设设计规定》（Q/SYDQ0639-2015）</w:t>
            </w:r>
          </w:p>
        </w:tc>
        <w:tc>
          <w:tcPr>
            <w:tcW w:w="1022" w:type="pct"/>
            <w:vAlign w:val="center"/>
          </w:tcPr>
          <w:p w14:paraId="39E4145C">
            <w:pPr>
              <w:widowControl w:val="0"/>
              <w:spacing w:line="360" w:lineRule="exact"/>
              <w:jc w:val="center"/>
              <w:rPr>
                <w:rFonts w:ascii="Times New Roman" w:hAnsi="Times New Roman" w:cs="Times New Roman"/>
                <w:color w:val="auto"/>
                <w:w w:val="99"/>
                <w:sz w:val="21"/>
                <w:szCs w:val="21"/>
                <w:highlight w:val="none"/>
                <w:lang w:bidi="zh-CN"/>
              </w:rPr>
            </w:pPr>
            <w:r>
              <w:rPr>
                <w:rFonts w:ascii="Times New Roman" w:hAnsi="Times New Roman" w:cs="Times New Roman"/>
                <w:color w:val="auto"/>
                <w:w w:val="99"/>
                <w:sz w:val="21"/>
                <w:szCs w:val="21"/>
                <w:highlight w:val="none"/>
                <w:lang w:bidi="zh-CN"/>
              </w:rPr>
              <w:t>《碎屑岩油藏注水水质指标技术要求及分析方法》（SY/T5329-2022）</w:t>
            </w:r>
          </w:p>
        </w:tc>
        <w:tc>
          <w:tcPr>
            <w:tcW w:w="523" w:type="pct"/>
            <w:vMerge w:val="continue"/>
            <w:vAlign w:val="center"/>
          </w:tcPr>
          <w:p w14:paraId="7DEDD413">
            <w:pPr>
              <w:widowControl w:val="0"/>
              <w:spacing w:line="360" w:lineRule="exact"/>
              <w:jc w:val="center"/>
              <w:rPr>
                <w:rFonts w:ascii="Times New Roman" w:hAnsi="Times New Roman" w:cs="Times New Roman"/>
                <w:color w:val="auto"/>
                <w:w w:val="99"/>
                <w:sz w:val="21"/>
                <w:szCs w:val="21"/>
                <w:highlight w:val="none"/>
                <w:lang w:bidi="zh-CN"/>
              </w:rPr>
            </w:pPr>
          </w:p>
        </w:tc>
      </w:tr>
      <w:tr w14:paraId="731ED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pct"/>
            <w:vMerge w:val="restart"/>
            <w:vAlign w:val="center"/>
          </w:tcPr>
          <w:p w14:paraId="6CEEB39E">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升一联气田污水预处理站</w:t>
            </w:r>
          </w:p>
        </w:tc>
        <w:tc>
          <w:tcPr>
            <w:tcW w:w="919" w:type="pct"/>
            <w:vAlign w:val="center"/>
          </w:tcPr>
          <w:p w14:paraId="1C6DA3BF">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含油量</w:t>
            </w:r>
          </w:p>
        </w:tc>
        <w:tc>
          <w:tcPr>
            <w:tcW w:w="467" w:type="pct"/>
            <w:vAlign w:val="center"/>
          </w:tcPr>
          <w:p w14:paraId="352F86DE">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mg/L</w:t>
            </w:r>
          </w:p>
        </w:tc>
        <w:tc>
          <w:tcPr>
            <w:tcW w:w="586" w:type="pct"/>
            <w:vAlign w:val="center"/>
          </w:tcPr>
          <w:p w14:paraId="7B55BA20">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0.88-1.25</w:t>
            </w:r>
          </w:p>
        </w:tc>
        <w:tc>
          <w:tcPr>
            <w:tcW w:w="744" w:type="pct"/>
            <w:vAlign w:val="center"/>
          </w:tcPr>
          <w:p w14:paraId="22D268C5">
            <w:pPr>
              <w:widowControl w:val="0"/>
              <w:spacing w:line="360" w:lineRule="exact"/>
              <w:jc w:val="center"/>
              <w:rPr>
                <w:rFonts w:ascii="Times New Roman" w:hAnsi="Times New Roman" w:cs="Times New Roman"/>
                <w:color w:val="auto"/>
                <w:w w:val="99"/>
                <w:sz w:val="21"/>
                <w:szCs w:val="21"/>
                <w:highlight w:val="none"/>
                <w:lang w:bidi="zh-CN"/>
              </w:rPr>
            </w:pPr>
            <w:r>
              <w:rPr>
                <w:rFonts w:ascii="Times New Roman" w:hAnsi="Times New Roman" w:cs="Times New Roman"/>
                <w:color w:val="auto"/>
                <w:w w:val="99"/>
                <w:sz w:val="21"/>
                <w:szCs w:val="21"/>
                <w:highlight w:val="none"/>
                <w:lang w:bidi="zh-CN"/>
              </w:rPr>
              <w:t>≤</w:t>
            </w:r>
            <w:r>
              <w:rPr>
                <w:rFonts w:hint="eastAsia" w:ascii="Times New Roman" w:hAnsi="Times New Roman" w:cs="Times New Roman"/>
                <w:color w:val="auto"/>
                <w:w w:val="99"/>
                <w:sz w:val="21"/>
                <w:szCs w:val="21"/>
                <w:highlight w:val="none"/>
                <w:lang w:bidi="zh-CN"/>
              </w:rPr>
              <w:t>10</w:t>
            </w:r>
          </w:p>
        </w:tc>
        <w:tc>
          <w:tcPr>
            <w:tcW w:w="1022" w:type="pct"/>
            <w:vAlign w:val="center"/>
          </w:tcPr>
          <w:p w14:paraId="7D0A0CE1">
            <w:pPr>
              <w:widowControl w:val="0"/>
              <w:spacing w:line="360" w:lineRule="exact"/>
              <w:jc w:val="center"/>
              <w:rPr>
                <w:rFonts w:ascii="Times New Roman" w:hAnsi="Times New Roman" w:cs="Times New Roman"/>
                <w:color w:val="auto"/>
                <w:w w:val="99"/>
                <w:sz w:val="21"/>
                <w:szCs w:val="21"/>
                <w:highlight w:val="none"/>
                <w:lang w:bidi="zh-CN"/>
              </w:rPr>
            </w:pPr>
            <w:r>
              <w:rPr>
                <w:rFonts w:ascii="Times New Roman" w:hAnsi="Times New Roman" w:cs="Times New Roman"/>
                <w:color w:val="auto"/>
                <w:w w:val="99"/>
                <w:sz w:val="21"/>
                <w:szCs w:val="21"/>
                <w:highlight w:val="none"/>
                <w:lang w:bidi="zh-CN"/>
              </w:rPr>
              <w:t>≤</w:t>
            </w:r>
            <w:r>
              <w:rPr>
                <w:rFonts w:hint="eastAsia" w:ascii="Times New Roman" w:hAnsi="Times New Roman" w:cs="Times New Roman"/>
                <w:color w:val="auto"/>
                <w:w w:val="99"/>
                <w:sz w:val="21"/>
                <w:szCs w:val="21"/>
                <w:highlight w:val="none"/>
                <w:lang w:bidi="zh-CN"/>
              </w:rPr>
              <w:t>15</w:t>
            </w:r>
          </w:p>
        </w:tc>
        <w:tc>
          <w:tcPr>
            <w:tcW w:w="523" w:type="pct"/>
            <w:vMerge w:val="restart"/>
            <w:vAlign w:val="center"/>
          </w:tcPr>
          <w:p w14:paraId="059D003D">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2025.12.24-25</w:t>
            </w:r>
          </w:p>
        </w:tc>
      </w:tr>
      <w:tr w14:paraId="4D091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pct"/>
            <w:vMerge w:val="continue"/>
            <w:vAlign w:val="center"/>
          </w:tcPr>
          <w:p w14:paraId="015A58DB">
            <w:pPr>
              <w:widowControl w:val="0"/>
              <w:spacing w:line="360" w:lineRule="exact"/>
              <w:jc w:val="center"/>
              <w:rPr>
                <w:rFonts w:ascii="Times New Roman" w:hAnsi="Times New Roman" w:cs="Times New Roman"/>
                <w:color w:val="auto"/>
                <w:w w:val="99"/>
                <w:sz w:val="21"/>
                <w:szCs w:val="21"/>
                <w:highlight w:val="none"/>
                <w:lang w:bidi="zh-CN"/>
              </w:rPr>
            </w:pPr>
          </w:p>
        </w:tc>
        <w:tc>
          <w:tcPr>
            <w:tcW w:w="919" w:type="pct"/>
            <w:vAlign w:val="center"/>
          </w:tcPr>
          <w:p w14:paraId="020F8222">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悬浮固体含量</w:t>
            </w:r>
          </w:p>
        </w:tc>
        <w:tc>
          <w:tcPr>
            <w:tcW w:w="467" w:type="pct"/>
            <w:vAlign w:val="center"/>
          </w:tcPr>
          <w:p w14:paraId="28000B26">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mg/L</w:t>
            </w:r>
          </w:p>
        </w:tc>
        <w:tc>
          <w:tcPr>
            <w:tcW w:w="586" w:type="pct"/>
            <w:vAlign w:val="center"/>
          </w:tcPr>
          <w:p w14:paraId="24B88A02">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2-3</w:t>
            </w:r>
          </w:p>
        </w:tc>
        <w:tc>
          <w:tcPr>
            <w:tcW w:w="744" w:type="pct"/>
            <w:vAlign w:val="center"/>
          </w:tcPr>
          <w:p w14:paraId="569327B5">
            <w:pPr>
              <w:widowControl w:val="0"/>
              <w:spacing w:line="360" w:lineRule="exact"/>
              <w:jc w:val="center"/>
              <w:rPr>
                <w:rFonts w:ascii="Times New Roman" w:hAnsi="Times New Roman" w:cs="Times New Roman"/>
                <w:color w:val="auto"/>
                <w:w w:val="99"/>
                <w:sz w:val="21"/>
                <w:szCs w:val="21"/>
                <w:highlight w:val="none"/>
                <w:lang w:bidi="zh-CN"/>
              </w:rPr>
            </w:pPr>
            <w:r>
              <w:rPr>
                <w:rFonts w:ascii="Times New Roman" w:hAnsi="Times New Roman" w:cs="Times New Roman"/>
                <w:color w:val="auto"/>
                <w:w w:val="99"/>
                <w:sz w:val="21"/>
                <w:szCs w:val="21"/>
                <w:highlight w:val="none"/>
                <w:lang w:bidi="zh-CN"/>
              </w:rPr>
              <w:t>≤</w:t>
            </w:r>
            <w:r>
              <w:rPr>
                <w:rFonts w:hint="eastAsia" w:ascii="Times New Roman" w:hAnsi="Times New Roman" w:cs="Times New Roman"/>
                <w:color w:val="auto"/>
                <w:w w:val="99"/>
                <w:sz w:val="21"/>
                <w:szCs w:val="21"/>
                <w:highlight w:val="none"/>
                <w:lang w:bidi="zh-CN"/>
              </w:rPr>
              <w:t>5</w:t>
            </w:r>
          </w:p>
        </w:tc>
        <w:tc>
          <w:tcPr>
            <w:tcW w:w="1022" w:type="pct"/>
            <w:vAlign w:val="center"/>
          </w:tcPr>
          <w:p w14:paraId="66673D0E">
            <w:pPr>
              <w:widowControl w:val="0"/>
              <w:spacing w:line="360" w:lineRule="exact"/>
              <w:jc w:val="center"/>
              <w:rPr>
                <w:rFonts w:ascii="Times New Roman" w:hAnsi="Times New Roman" w:cs="Times New Roman"/>
                <w:color w:val="auto"/>
                <w:w w:val="99"/>
                <w:sz w:val="21"/>
                <w:szCs w:val="21"/>
                <w:highlight w:val="none"/>
                <w:lang w:bidi="zh-CN"/>
              </w:rPr>
            </w:pPr>
            <w:r>
              <w:rPr>
                <w:rFonts w:ascii="Times New Roman" w:hAnsi="Times New Roman" w:cs="Times New Roman"/>
                <w:color w:val="auto"/>
                <w:w w:val="99"/>
                <w:sz w:val="21"/>
                <w:szCs w:val="21"/>
                <w:highlight w:val="none"/>
                <w:lang w:bidi="zh-CN"/>
              </w:rPr>
              <w:t>≤</w:t>
            </w:r>
            <w:r>
              <w:rPr>
                <w:rFonts w:hint="eastAsia" w:ascii="Times New Roman" w:hAnsi="Times New Roman" w:cs="Times New Roman"/>
                <w:color w:val="auto"/>
                <w:w w:val="99"/>
                <w:sz w:val="21"/>
                <w:szCs w:val="21"/>
                <w:highlight w:val="none"/>
                <w:lang w:bidi="zh-CN"/>
              </w:rPr>
              <w:t>20</w:t>
            </w:r>
          </w:p>
        </w:tc>
        <w:tc>
          <w:tcPr>
            <w:tcW w:w="523" w:type="pct"/>
            <w:vMerge w:val="continue"/>
            <w:vAlign w:val="center"/>
          </w:tcPr>
          <w:p w14:paraId="219E32A1">
            <w:pPr>
              <w:widowControl w:val="0"/>
              <w:spacing w:line="360" w:lineRule="exact"/>
              <w:jc w:val="center"/>
              <w:rPr>
                <w:rFonts w:ascii="Times New Roman" w:hAnsi="Times New Roman" w:cs="Times New Roman"/>
                <w:color w:val="auto"/>
                <w:w w:val="99"/>
                <w:sz w:val="21"/>
                <w:szCs w:val="21"/>
                <w:highlight w:val="none"/>
                <w:lang w:bidi="zh-CN"/>
              </w:rPr>
            </w:pPr>
          </w:p>
        </w:tc>
      </w:tr>
      <w:tr w14:paraId="0AA96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pct"/>
            <w:vMerge w:val="continue"/>
            <w:vAlign w:val="center"/>
          </w:tcPr>
          <w:p w14:paraId="71C0C7D3">
            <w:pPr>
              <w:widowControl w:val="0"/>
              <w:spacing w:line="360" w:lineRule="exact"/>
              <w:jc w:val="center"/>
              <w:rPr>
                <w:rFonts w:ascii="Times New Roman" w:hAnsi="Times New Roman" w:cs="Times New Roman"/>
                <w:color w:val="auto"/>
                <w:w w:val="99"/>
                <w:sz w:val="21"/>
                <w:szCs w:val="21"/>
                <w:highlight w:val="none"/>
                <w:lang w:bidi="zh-CN"/>
              </w:rPr>
            </w:pPr>
          </w:p>
        </w:tc>
        <w:tc>
          <w:tcPr>
            <w:tcW w:w="919" w:type="pct"/>
            <w:vAlign w:val="center"/>
          </w:tcPr>
          <w:p w14:paraId="0BBEDCAC">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悬浮物颗粒直径中值</w:t>
            </w:r>
          </w:p>
        </w:tc>
        <w:tc>
          <w:tcPr>
            <w:tcW w:w="467" w:type="pct"/>
            <w:vAlign w:val="center"/>
          </w:tcPr>
          <w:p w14:paraId="34245F11">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μm</w:t>
            </w:r>
          </w:p>
        </w:tc>
        <w:tc>
          <w:tcPr>
            <w:tcW w:w="586" w:type="pct"/>
            <w:vAlign w:val="center"/>
          </w:tcPr>
          <w:p w14:paraId="725FEBEF">
            <w:pPr>
              <w:widowControl w:val="0"/>
              <w:spacing w:line="360" w:lineRule="exact"/>
              <w:jc w:val="center"/>
              <w:rPr>
                <w:rFonts w:ascii="Times New Roman" w:hAnsi="Times New Roman" w:cs="Times New Roman"/>
                <w:color w:val="auto"/>
                <w:w w:val="99"/>
                <w:sz w:val="21"/>
                <w:szCs w:val="21"/>
                <w:highlight w:val="none"/>
                <w:lang w:bidi="zh-CN"/>
              </w:rPr>
            </w:pPr>
            <w:r>
              <w:rPr>
                <w:rFonts w:hint="eastAsia" w:ascii="Times New Roman" w:hAnsi="Times New Roman" w:cs="Times New Roman"/>
                <w:color w:val="auto"/>
                <w:w w:val="99"/>
                <w:sz w:val="21"/>
                <w:szCs w:val="21"/>
                <w:highlight w:val="none"/>
                <w:lang w:bidi="zh-CN"/>
              </w:rPr>
              <w:t>1</w:t>
            </w:r>
          </w:p>
        </w:tc>
        <w:tc>
          <w:tcPr>
            <w:tcW w:w="744" w:type="pct"/>
            <w:vAlign w:val="center"/>
          </w:tcPr>
          <w:p w14:paraId="64EB2B14">
            <w:pPr>
              <w:widowControl w:val="0"/>
              <w:spacing w:line="360" w:lineRule="exact"/>
              <w:jc w:val="center"/>
              <w:rPr>
                <w:rFonts w:ascii="Times New Roman" w:hAnsi="Times New Roman" w:cs="Times New Roman"/>
                <w:color w:val="auto"/>
                <w:w w:val="99"/>
                <w:sz w:val="21"/>
                <w:szCs w:val="21"/>
                <w:highlight w:val="none"/>
                <w:lang w:bidi="zh-CN"/>
              </w:rPr>
            </w:pPr>
            <w:r>
              <w:rPr>
                <w:rFonts w:ascii="Times New Roman" w:hAnsi="Times New Roman" w:cs="Times New Roman"/>
                <w:color w:val="auto"/>
                <w:w w:val="99"/>
                <w:sz w:val="21"/>
                <w:szCs w:val="21"/>
                <w:highlight w:val="none"/>
                <w:lang w:bidi="zh-CN"/>
              </w:rPr>
              <w:t>≤</w:t>
            </w:r>
            <w:r>
              <w:rPr>
                <w:rFonts w:hint="eastAsia" w:ascii="Times New Roman" w:hAnsi="Times New Roman" w:cs="Times New Roman"/>
                <w:color w:val="auto"/>
                <w:w w:val="99"/>
                <w:sz w:val="21"/>
                <w:szCs w:val="21"/>
                <w:highlight w:val="none"/>
                <w:lang w:bidi="zh-CN"/>
              </w:rPr>
              <w:t>2</w:t>
            </w:r>
          </w:p>
        </w:tc>
        <w:tc>
          <w:tcPr>
            <w:tcW w:w="1022" w:type="pct"/>
            <w:vAlign w:val="center"/>
          </w:tcPr>
          <w:p w14:paraId="2CE096D4">
            <w:pPr>
              <w:widowControl w:val="0"/>
              <w:spacing w:line="360" w:lineRule="exact"/>
              <w:jc w:val="center"/>
              <w:rPr>
                <w:rFonts w:ascii="Times New Roman" w:hAnsi="Times New Roman" w:cs="Times New Roman"/>
                <w:color w:val="auto"/>
                <w:w w:val="99"/>
                <w:sz w:val="21"/>
                <w:szCs w:val="21"/>
                <w:highlight w:val="none"/>
                <w:lang w:bidi="zh-CN"/>
              </w:rPr>
            </w:pPr>
            <w:r>
              <w:rPr>
                <w:rFonts w:ascii="Times New Roman" w:hAnsi="Times New Roman" w:cs="Times New Roman"/>
                <w:color w:val="auto"/>
                <w:w w:val="99"/>
                <w:sz w:val="21"/>
                <w:szCs w:val="21"/>
                <w:highlight w:val="none"/>
                <w:lang w:bidi="zh-CN"/>
              </w:rPr>
              <w:t>≤</w:t>
            </w:r>
            <w:r>
              <w:rPr>
                <w:rFonts w:hint="eastAsia" w:ascii="Times New Roman" w:hAnsi="Times New Roman" w:cs="Times New Roman"/>
                <w:color w:val="auto"/>
                <w:w w:val="99"/>
                <w:sz w:val="21"/>
                <w:szCs w:val="21"/>
                <w:highlight w:val="none"/>
                <w:lang w:bidi="zh-CN"/>
              </w:rPr>
              <w:t>5</w:t>
            </w:r>
          </w:p>
        </w:tc>
        <w:tc>
          <w:tcPr>
            <w:tcW w:w="523" w:type="pct"/>
            <w:vMerge w:val="continue"/>
            <w:vAlign w:val="center"/>
          </w:tcPr>
          <w:p w14:paraId="3F070075">
            <w:pPr>
              <w:widowControl w:val="0"/>
              <w:spacing w:line="360" w:lineRule="exact"/>
              <w:jc w:val="center"/>
              <w:rPr>
                <w:rFonts w:ascii="Times New Roman" w:hAnsi="Times New Roman" w:cs="Times New Roman"/>
                <w:color w:val="auto"/>
                <w:w w:val="99"/>
                <w:sz w:val="21"/>
                <w:szCs w:val="21"/>
                <w:highlight w:val="none"/>
                <w:lang w:bidi="zh-CN"/>
              </w:rPr>
            </w:pPr>
          </w:p>
        </w:tc>
      </w:tr>
    </w:tbl>
    <w:p w14:paraId="1EDE1F44">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由以上分析，从处理规模本项目升一联气田污水预处理站可行。</w:t>
      </w:r>
    </w:p>
    <w:p w14:paraId="4A622707">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本项目施工期拉运污水集中接收场站要建设监控装置，并接入市生态环境局监控平台，污水拉运过程要建立台账，并接受视频监管，视频要求本地保留3个月以上。</w:t>
      </w:r>
    </w:p>
    <w:p w14:paraId="328021A4">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综上所述，通过采取以上各种废水处理及防治措施，本工程产生的各类废水都可以得到有效处置，项目的水污染防治措施合理可行。</w:t>
      </w:r>
    </w:p>
    <w:p w14:paraId="78977235">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（2）运营期地表水保护措施</w:t>
      </w:r>
    </w:p>
    <w:p w14:paraId="65054F17">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在</w:t>
      </w:r>
      <w:r>
        <w:rPr>
          <w:rFonts w:hint="eastAsia" w:ascii="Times New Roman" w:hAnsi="Times New Roman" w:cs="Times New Roman"/>
          <w:color w:val="auto"/>
          <w:w w:val="99"/>
          <w:highlight w:val="none"/>
          <w:lang w:bidi="zh-CN"/>
        </w:rPr>
        <w:t>气田</w:t>
      </w:r>
      <w:r>
        <w:rPr>
          <w:rFonts w:ascii="Times New Roman" w:hAnsi="Times New Roman" w:cs="Times New Roman"/>
          <w:color w:val="auto"/>
          <w:w w:val="99"/>
          <w:highlight w:val="none"/>
          <w:lang w:bidi="zh-CN"/>
        </w:rPr>
        <w:t>生产建设及运营过程中，必须加强管理，同时确保各项污染控制措施及事故应急措施能够切实落实，运营期还应做到如下要求：</w:t>
      </w:r>
    </w:p>
    <w:p w14:paraId="17B81EAB">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①强化生产运行管理，杜绝气体采出水随意排放，工程运行期产生的气体采出水，暂存于集气站污水储罐临时储存，再定期通过外输泵升压外输至气田采出水集输管网，并统一外输至升一联气田污水预处理站处理，处理后的水质执行《大庆油田地面工程建设设计规定》（Q/SYDQ 0639-2015）限值“含油量≤10mg/L、悬浮固体含量≤5mg/L、粒径中值≤2μm” ，同时满足《碎屑岩油藏注水水质指标技术要求及分析方法》(SY/T5329-2022)中标准限值，回注地下</w:t>
      </w:r>
      <w:r>
        <w:rPr>
          <w:rFonts w:hint="eastAsia" w:ascii="Times New Roman" w:hAnsi="Times New Roman" w:cs="Times New Roman"/>
          <w:color w:val="auto"/>
          <w:w w:val="99"/>
          <w:highlight w:val="none"/>
          <w:lang w:bidi="zh-CN"/>
        </w:rPr>
        <w:t>油层</w:t>
      </w:r>
      <w:r>
        <w:rPr>
          <w:rFonts w:ascii="Times New Roman" w:hAnsi="Times New Roman" w:cs="Times New Roman"/>
          <w:color w:val="auto"/>
          <w:w w:val="99"/>
          <w:highlight w:val="none"/>
          <w:lang w:bidi="zh-CN"/>
        </w:rPr>
        <w:t>。综上所述，本项目运营期废水均得到合理有效的处理，不排入外环境。</w:t>
      </w:r>
    </w:p>
    <w:p w14:paraId="0D7D3C86">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②实施建设项目“三同时”制度，杜绝将污水直接排放地表，消除对地下水的污染隐患。</w:t>
      </w:r>
    </w:p>
    <w:p w14:paraId="18878F37">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③</w:t>
      </w:r>
      <w:r>
        <w:rPr>
          <w:rFonts w:ascii="Times New Roman" w:hAnsi="Times New Roman" w:cs="Times New Roman"/>
          <w:color w:val="auto"/>
          <w:w w:val="99"/>
          <w:highlight w:val="none"/>
          <w:lang w:bidi="zh-CN"/>
        </w:rPr>
        <w:t>在自动化远程管理过程中，应密切注意管线压力变化，及早发现管线腐蚀穿孔事故，紧急启动自动关停措施，避免管线跑冒滴漏造成地下水污染。</w:t>
      </w:r>
    </w:p>
    <w:p w14:paraId="238DDCBE">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④</w:t>
      </w:r>
      <w:r>
        <w:rPr>
          <w:rFonts w:ascii="Times New Roman" w:hAnsi="Times New Roman" w:cs="Times New Roman"/>
          <w:color w:val="auto"/>
          <w:w w:val="99"/>
          <w:highlight w:val="none"/>
          <w:lang w:bidi="zh-CN"/>
        </w:rPr>
        <w:t>泄漏事故具有隐蔽性和灾难性，要加强监控，对集输管线防腐及腐蚀情况定期检测</w:t>
      </w:r>
      <w:r>
        <w:rPr>
          <w:rFonts w:hint="eastAsia" w:ascii="Times New Roman" w:hAnsi="Times New Roman" w:cs="Times New Roman"/>
          <w:color w:val="auto"/>
          <w:w w:val="99"/>
          <w:highlight w:val="none"/>
          <w:lang w:bidi="zh-CN"/>
        </w:rPr>
        <w:t>，</w:t>
      </w:r>
      <w:r>
        <w:rPr>
          <w:rFonts w:ascii="Times New Roman" w:hAnsi="Times New Roman" w:cs="Times New Roman"/>
          <w:color w:val="auto"/>
          <w:w w:val="99"/>
          <w:highlight w:val="none"/>
          <w:lang w:bidi="zh-CN"/>
        </w:rPr>
        <w:t>及时维修或更新。考虑到泄漏事故具有隐蔽性，要切实加强监控工作，杜绝事故发生。</w:t>
      </w:r>
    </w:p>
    <w:p w14:paraId="145A1B80">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⑤</w:t>
      </w:r>
      <w:r>
        <w:rPr>
          <w:rFonts w:ascii="Times New Roman" w:hAnsi="Times New Roman" w:cs="Times New Roman"/>
          <w:color w:val="auto"/>
          <w:w w:val="99"/>
          <w:highlight w:val="none"/>
          <w:lang w:bidi="zh-CN"/>
        </w:rPr>
        <w:t>定期对周围村屯水井进行观测和检测，随时监测地下水的变化，及时发现和解决问题，如发生重大污染事故且已对地下水造成污染，应进行信息公开，并与政府相关部门进行联动，聘请专家进行讨论，制定减轻地下水污染程度及控制地下水污染范围的措施</w:t>
      </w:r>
      <w:r>
        <w:rPr>
          <w:rFonts w:hint="eastAsia" w:ascii="Times New Roman" w:hAnsi="Times New Roman" w:cs="Times New Roman"/>
          <w:color w:val="auto"/>
          <w:w w:val="99"/>
          <w:highlight w:val="none"/>
          <w:lang w:bidi="zh-CN"/>
        </w:rPr>
        <w:t>，</w:t>
      </w:r>
      <w:r>
        <w:rPr>
          <w:rFonts w:ascii="Times New Roman" w:hAnsi="Times New Roman" w:cs="Times New Roman"/>
          <w:color w:val="auto"/>
          <w:w w:val="99"/>
          <w:highlight w:val="none"/>
          <w:lang w:bidi="zh-CN"/>
        </w:rPr>
        <w:t>防止地下水污染加剧。</w:t>
      </w:r>
    </w:p>
    <w:p w14:paraId="5FDDB2FF">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（6）</w:t>
      </w:r>
      <w:r>
        <w:rPr>
          <w:rFonts w:ascii="Times New Roman" w:hAnsi="Times New Roman" w:cs="Times New Roman"/>
          <w:color w:val="auto"/>
          <w:w w:val="99"/>
          <w:highlight w:val="none"/>
          <w:lang w:bidi="zh-CN"/>
        </w:rPr>
        <w:t>气田的正常开发建设对地下水造成污染的可能性较小。但气田采出水的跑、冒、滴、漏，如处理不及时则可能对地下水造成污染。因此按照《环境影响评价技术导则地下水环境》</w:t>
      </w:r>
      <w:r>
        <w:rPr>
          <w:rFonts w:hint="eastAsia" w:ascii="Times New Roman" w:hAnsi="Times New Roman" w:cs="Times New Roman"/>
          <w:color w:val="auto"/>
          <w:w w:val="99"/>
          <w:highlight w:val="none"/>
          <w:lang w:bidi="zh-CN"/>
        </w:rPr>
        <w:t>（</w:t>
      </w:r>
      <w:r>
        <w:rPr>
          <w:rFonts w:ascii="Times New Roman" w:hAnsi="Times New Roman" w:cs="Times New Roman"/>
          <w:color w:val="auto"/>
          <w:w w:val="99"/>
          <w:highlight w:val="none"/>
          <w:lang w:bidi="zh-CN"/>
        </w:rPr>
        <w:t>HJ610-2016）中防渗区的要求对工程实施污染分区防治措施。</w:t>
      </w:r>
    </w:p>
    <w:p w14:paraId="5728D500">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在正常生产情况下，项目开发建设采取较为完善的环境保护措施，措施技术可行，对周围环境不会产生不良影响。</w:t>
      </w:r>
    </w:p>
    <w:p w14:paraId="54803E36">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6.1.2.3退役期废水处理措施及地表水保护措施</w:t>
      </w:r>
    </w:p>
    <w:p w14:paraId="56DF75F5">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（1）退役期废水处理措施</w:t>
      </w:r>
    </w:p>
    <w:p w14:paraId="55BD17C3">
      <w:pPr>
        <w:pStyle w:val="153"/>
        <w:widowControl w:val="0"/>
        <w:spacing w:line="440" w:lineRule="exact"/>
        <w:ind w:firstLine="473"/>
        <w:jc w:val="both"/>
        <w:rPr>
          <w:rFonts w:ascii="Times New Roman" w:hAnsi="Times New Roman"/>
          <w:color w:val="auto"/>
          <w:w w:val="99"/>
          <w:highlight w:val="none"/>
        </w:rPr>
      </w:pPr>
      <w:r>
        <w:rPr>
          <w:rFonts w:hint="eastAsia" w:ascii="Times New Roman" w:hAnsi="Times New Roman"/>
          <w:color w:val="auto"/>
          <w:w w:val="99"/>
          <w:highlight w:val="none"/>
          <w:lang w:bidi="zh-CN"/>
        </w:rPr>
        <w:t>①</w:t>
      </w:r>
      <w:r>
        <w:rPr>
          <w:rFonts w:ascii="Times New Roman" w:hAnsi="Times New Roman"/>
          <w:color w:val="auto"/>
          <w:w w:val="99"/>
          <w:highlight w:val="none"/>
          <w:lang w:bidi="zh-CN"/>
        </w:rPr>
        <w:t>退役期生活污水排入</w:t>
      </w:r>
      <w:r>
        <w:rPr>
          <w:rFonts w:hint="eastAsia" w:ascii="Times New Roman" w:hAnsi="Times New Roman"/>
          <w:color w:val="auto"/>
          <w:w w:val="99"/>
          <w:highlight w:val="none"/>
          <w:lang w:bidi="zh-CN"/>
        </w:rPr>
        <w:t>周边集气站已建生活污水收集设施，均</w:t>
      </w:r>
      <w:r>
        <w:rPr>
          <w:rFonts w:hint="eastAsia" w:ascii="Times New Roman" w:hAnsi="Times New Roman"/>
          <w:color w:val="auto"/>
          <w:w w:val="99"/>
          <w:highlight w:val="none"/>
        </w:rPr>
        <w:t>定期由大庆石油管理局有限公司庆南工矿服务公司红岗分公司拉运至大庆红岗区西巷污水回收站，管输至南区污水处理厂进行处理。</w:t>
      </w:r>
    </w:p>
    <w:p w14:paraId="3FBF9BC8">
      <w:pPr>
        <w:widowControl w:val="0"/>
        <w:spacing w:line="440" w:lineRule="exact"/>
        <w:ind w:firstLine="474" w:firstLineChars="200"/>
        <w:jc w:val="both"/>
        <w:rPr>
          <w:rFonts w:ascii="Times New Roman" w:hAnsi="Times New Roman" w:cs="Times New Roman"/>
          <w:bCs/>
          <w:color w:val="auto"/>
          <w:w w:val="99"/>
          <w:highlight w:val="none"/>
        </w:rPr>
      </w:pPr>
      <w:r>
        <w:rPr>
          <w:rFonts w:hint="eastAsia" w:ascii="Times New Roman" w:hAnsi="Times New Roman" w:cs="Times New Roman"/>
          <w:color w:val="auto"/>
          <w:w w:val="99"/>
          <w:highlight w:val="none"/>
          <w:lang w:bidi="zh-CN"/>
        </w:rPr>
        <w:t>②退役期拆除设备清洗废水由罐车拉运至升一联气田污水预处理站处理，水质达到《大庆油田地面工程建设设计规定》（Q/SY DQ0639-2015）、</w:t>
      </w:r>
      <w:r>
        <w:rPr>
          <w:rFonts w:ascii="Times New Roman" w:hAnsi="Times New Roman" w:cs="Times New Roman"/>
          <w:bCs/>
          <w:color w:val="auto"/>
          <w:w w:val="99"/>
          <w:highlight w:val="none"/>
        </w:rPr>
        <w:t>《碎屑岩油藏注水水质指标技术要求及分析方法》(SY/T5329-2022)中标准限值，回注地下。</w:t>
      </w:r>
    </w:p>
    <w:p w14:paraId="524572EC">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回注水指标后回注地下油层。</w:t>
      </w:r>
    </w:p>
    <w:p w14:paraId="4D56B4D4">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（2）退役期地表水保护措施</w:t>
      </w:r>
    </w:p>
    <w:p w14:paraId="126414D7">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①</w:t>
      </w:r>
      <w:r>
        <w:rPr>
          <w:rFonts w:ascii="Times New Roman" w:hAnsi="Times New Roman" w:cs="Times New Roman"/>
          <w:color w:val="auto"/>
          <w:w w:val="99"/>
          <w:highlight w:val="none"/>
          <w:lang w:bidi="zh-CN"/>
        </w:rPr>
        <w:t>合理规划：施工单位严格按照有关规定安排施工作业；合理进行施工组织和场地布置；对施工运输合理规划、布局，利用既有道路，运输车辆按指定路线运行；运输车辆加盖棚布，防止运输材料洒落，产生扬尘，影响区域内环境。</w:t>
      </w:r>
    </w:p>
    <w:p w14:paraId="24803E32">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②</w:t>
      </w:r>
      <w:r>
        <w:rPr>
          <w:rFonts w:ascii="Times New Roman" w:hAnsi="Times New Roman" w:cs="Times New Roman"/>
          <w:color w:val="auto"/>
          <w:w w:val="99"/>
          <w:highlight w:val="none"/>
          <w:lang w:bidi="zh-CN"/>
        </w:rPr>
        <w:t>退役期间各类固体废物应及时清运，施工期间严禁将生活污水直接排放。</w:t>
      </w:r>
    </w:p>
    <w:p w14:paraId="66DEBF95">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③</w:t>
      </w:r>
      <w:r>
        <w:rPr>
          <w:rFonts w:ascii="Times New Roman" w:hAnsi="Times New Roman" w:cs="Times New Roman"/>
          <w:color w:val="auto"/>
          <w:w w:val="99"/>
          <w:highlight w:val="none"/>
          <w:lang w:bidi="zh-CN"/>
        </w:rPr>
        <w:t>宣传教育：施工单位应加强对施工人员爱护环境防止地表水体破坏的宣传教育活动，在施工过程中，应做到井然有序的实施组织设计，做到文明施工。</w:t>
      </w:r>
    </w:p>
    <w:p w14:paraId="0A68928C">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通过采取以上措施，退役期能够有效防止各类污染物进入附近地表水体造成污染事故，减少对周边水环境的影响。</w:t>
      </w:r>
    </w:p>
    <w:p w14:paraId="68CAA90C">
      <w:pPr>
        <w:widowControl w:val="0"/>
        <w:spacing w:before="60" w:after="60"/>
        <w:jc w:val="both"/>
        <w:outlineLvl w:val="2"/>
        <w:rPr>
          <w:rFonts w:ascii="Times New Roman" w:hAnsi="Times New Roman" w:cs="Times New Roman"/>
          <w:b/>
          <w:color w:val="auto"/>
          <w:w w:val="99"/>
          <w:kern w:val="2"/>
          <w:highlight w:val="none"/>
        </w:rPr>
      </w:pPr>
      <w:r>
        <w:rPr>
          <w:rFonts w:ascii="Times New Roman" w:hAnsi="Times New Roman" w:cs="Times New Roman"/>
          <w:b/>
          <w:color w:val="auto"/>
          <w:w w:val="99"/>
          <w:kern w:val="2"/>
          <w:highlight w:val="none"/>
        </w:rPr>
        <w:t>6.1.3地下水污染防治措施</w:t>
      </w:r>
    </w:p>
    <w:p w14:paraId="41C4274C">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本项目地下水污染防治措施按照“源头控制、分区防治、污染监控、应急响应”相结合的原则，从污染物的产生、入渗、扩散、应急响应进行控制。</w:t>
      </w:r>
    </w:p>
    <w:p w14:paraId="1D2464B4">
      <w:pPr>
        <w:pStyle w:val="153"/>
        <w:widowControl w:val="0"/>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6.1.3.1施工期地下水污染防治措施</w:t>
      </w:r>
    </w:p>
    <w:p w14:paraId="18381BEB">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①</w:t>
      </w:r>
      <w:r>
        <w:rPr>
          <w:rFonts w:ascii="Times New Roman" w:hAnsi="Times New Roman" w:cs="Times New Roman"/>
          <w:color w:val="auto"/>
          <w:w w:val="99"/>
          <w:highlight w:val="none"/>
          <w:lang w:bidi="zh-CN"/>
        </w:rPr>
        <w:t>本项目井场、集输管道等选址选线均避开了集中式饮用水源保护区、集中式饮用水源的补给区、径流区。</w:t>
      </w:r>
    </w:p>
    <w:p w14:paraId="3B93C7A2">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②</w:t>
      </w:r>
      <w:r>
        <w:rPr>
          <w:rFonts w:ascii="Times New Roman" w:hAnsi="Times New Roman" w:cs="Times New Roman"/>
          <w:color w:val="auto"/>
          <w:w w:val="99"/>
          <w:highlight w:val="none"/>
          <w:lang w:bidi="zh-CN"/>
        </w:rPr>
        <w:t>废弃物等拉运车辆须在转运过程做好转运台账，严格执行废弃物转运签认和交接清单制度；运输前规划运输路线，转运过程中应严格按照规定的路线运输到相应的目的地；运输过程中应尽量避开环境敏感区；对拉运过程进行严格监督管理，运输车辆、装卸工具必须符合安全环保要求，装卸和运输废弃物过程中不得溢出和渗漏，严禁半途倾倒、排放或向第三方转移废弃物。</w:t>
      </w:r>
    </w:p>
    <w:p w14:paraId="2F5E73B6">
      <w:pPr>
        <w:pStyle w:val="153"/>
        <w:widowControl w:val="0"/>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6.1.3.2运营期地下水污染防治措施</w:t>
      </w:r>
    </w:p>
    <w:p w14:paraId="5589C922">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①</w:t>
      </w:r>
      <w:r>
        <w:rPr>
          <w:rFonts w:ascii="Times New Roman" w:hAnsi="Times New Roman" w:cs="Times New Roman"/>
          <w:color w:val="auto"/>
          <w:w w:val="99"/>
          <w:highlight w:val="none"/>
          <w:lang w:bidi="zh-CN"/>
        </w:rPr>
        <w:t>做好井场的日常巡查工作，定期对气井套管情况进行检测，发现异常情况及时处理，防止污染地下水。</w:t>
      </w:r>
    </w:p>
    <w:p w14:paraId="21F60A26">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②</w:t>
      </w:r>
      <w:r>
        <w:rPr>
          <w:rFonts w:ascii="Times New Roman" w:hAnsi="Times New Roman" w:cs="Times New Roman"/>
          <w:color w:val="auto"/>
          <w:w w:val="99"/>
          <w:highlight w:val="none"/>
          <w:lang w:bidi="zh-CN"/>
        </w:rPr>
        <w:t>对管道采取防腐措施和定期防腐检测，根据管道所通过地区土壤的理化性质和地质条件，采取不同的防腐措施；运行过程中，定期检测，对管道壁厚及焊缝的情况进行监测，尽早发现管线存在问题。</w:t>
      </w:r>
    </w:p>
    <w:p w14:paraId="76F023C0">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③</w:t>
      </w:r>
      <w:r>
        <w:rPr>
          <w:rFonts w:ascii="Times New Roman" w:hAnsi="Times New Roman" w:cs="Times New Roman"/>
          <w:color w:val="auto"/>
          <w:w w:val="99"/>
          <w:highlight w:val="none"/>
          <w:lang w:bidi="zh-CN"/>
        </w:rPr>
        <w:t xml:space="preserve"> 日常生产过程中严格管理，坚决杜绝生产废水、生活污水的随意排放，徐深 </w:t>
      </w:r>
      <w:r>
        <w:rPr>
          <w:rFonts w:hint="eastAsia" w:ascii="Times New Roman" w:hAnsi="Times New Roman" w:cs="Times New Roman"/>
          <w:color w:val="auto"/>
          <w:w w:val="99"/>
          <w:highlight w:val="none"/>
          <w:lang w:bidi="zh-CN"/>
        </w:rPr>
        <w:t>1</w:t>
      </w:r>
      <w:r>
        <w:rPr>
          <w:rFonts w:ascii="Times New Roman" w:hAnsi="Times New Roman" w:cs="Times New Roman"/>
          <w:color w:val="auto"/>
          <w:w w:val="99"/>
          <w:highlight w:val="none"/>
          <w:lang w:bidi="zh-CN"/>
        </w:rPr>
        <w:t>集气站分离的废水等污染物全部进入站内现有污水储罐，输送至升一联气田污水预处理站处理。</w:t>
      </w:r>
    </w:p>
    <w:p w14:paraId="759875AE">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④</w:t>
      </w:r>
      <w:r>
        <w:rPr>
          <w:rFonts w:ascii="Times New Roman" w:hAnsi="Times New Roman" w:cs="Times New Roman"/>
          <w:color w:val="auto"/>
          <w:w w:val="99"/>
          <w:highlight w:val="none"/>
          <w:lang w:bidi="zh-CN"/>
        </w:rPr>
        <w:t>做好预防突发性自然灾害的工作，加强与水文气象、地震部门的信息沟通，制定有关应对措施。</w:t>
      </w:r>
    </w:p>
    <w:p w14:paraId="74E79B01">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⑤</w:t>
      </w:r>
      <w:r>
        <w:rPr>
          <w:rFonts w:ascii="Times New Roman" w:hAnsi="Times New Roman" w:cs="Times New Roman"/>
          <w:color w:val="auto"/>
          <w:w w:val="99"/>
          <w:highlight w:val="none"/>
          <w:lang w:bidi="zh-CN"/>
        </w:rPr>
        <w:t>管线采用热熔式焊接和挤压式焊接，在施焊前进行检查。</w:t>
      </w:r>
    </w:p>
    <w:p w14:paraId="74326CDF">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⑥</w:t>
      </w:r>
      <w:r>
        <w:rPr>
          <w:rFonts w:ascii="Times New Roman" w:hAnsi="Times New Roman" w:cs="Times New Roman"/>
          <w:color w:val="auto"/>
          <w:w w:val="99"/>
          <w:highlight w:val="none"/>
          <w:lang w:bidi="zh-CN"/>
        </w:rPr>
        <w:t>管道采用无缝钢管，内外进行防腐保温。站内埋地不保温管道外防腐采用沥青防腐胶带特加强级，带宽不小于 150mm，防腐层厚度不小于3.2mm。</w:t>
      </w:r>
    </w:p>
    <w:p w14:paraId="4D879C6D">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⑦</w:t>
      </w:r>
      <w:r>
        <w:rPr>
          <w:rFonts w:ascii="Times New Roman" w:hAnsi="Times New Roman" w:cs="Times New Roman"/>
          <w:color w:val="auto"/>
          <w:w w:val="99"/>
          <w:highlight w:val="none"/>
          <w:lang w:bidi="zh-CN"/>
        </w:rPr>
        <w:t>管道补口采用配套的补口带，补口层与原防腐层搭接宽度应不小于100mm，防渗透性能应相当于6m厚的黏土、渗透系数小于10</w:t>
      </w:r>
      <w:r>
        <w:rPr>
          <w:rFonts w:ascii="Times New Roman" w:hAnsi="Times New Roman" w:cs="Times New Roman"/>
          <w:color w:val="auto"/>
          <w:w w:val="99"/>
          <w:highlight w:val="none"/>
          <w:vertAlign w:val="superscript"/>
          <w:lang w:bidi="zh-CN"/>
        </w:rPr>
        <w:t>-7</w:t>
      </w:r>
      <w:r>
        <w:rPr>
          <w:rFonts w:ascii="Times New Roman" w:hAnsi="Times New Roman" w:cs="Times New Roman"/>
          <w:color w:val="auto"/>
          <w:w w:val="99"/>
          <w:highlight w:val="none"/>
          <w:lang w:bidi="zh-CN"/>
        </w:rPr>
        <w:t>cm/s。</w:t>
      </w:r>
    </w:p>
    <w:p w14:paraId="6688CD59">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⑧</w:t>
      </w:r>
      <w:r>
        <w:rPr>
          <w:rFonts w:ascii="Times New Roman" w:hAnsi="Times New Roman" w:cs="Times New Roman"/>
          <w:color w:val="auto"/>
          <w:w w:val="99"/>
          <w:highlight w:val="none"/>
          <w:lang w:bidi="zh-CN"/>
        </w:rPr>
        <w:t>运营期定期检查、维修项目所有管道、机泵等，确保各部分的使用性</w:t>
      </w:r>
      <w:bookmarkStart w:id="1056" w:name="bookmark101"/>
      <w:bookmarkEnd w:id="1056"/>
      <w:r>
        <w:rPr>
          <w:rFonts w:hint="eastAsia" w:ascii="Times New Roman" w:hAnsi="Times New Roman" w:cs="Times New Roman"/>
          <w:color w:val="auto"/>
          <w:w w:val="99"/>
          <w:highlight w:val="none"/>
          <w:lang w:bidi="zh-CN"/>
        </w:rPr>
        <w:t>能。尤其在雨季更要认真检查，清除隐患。</w:t>
      </w:r>
    </w:p>
    <w:p w14:paraId="293AC1AD">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⑨巡检过程一旦发现管道泄漏，应立即采取应急措施，关闭机泵，清理泄漏污水。</w:t>
      </w:r>
    </w:p>
    <w:p w14:paraId="4E24C45E">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⑩气井检修时，井口采用密闭除砂器（旋流除砂器），气、液、砂在压力容器内分离，砂粒直接落入底部集砂腔/收砂筒，排沙时，打开排砂阀，砂粒+少量积液排入密闭砂罐/吨桶，全程无落地。</w:t>
      </w:r>
    </w:p>
    <w:p w14:paraId="738E1EAA">
      <w:pPr>
        <w:pStyle w:val="153"/>
        <w:widowControl w:val="0"/>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6.1.3.3分区防渗措施</w:t>
      </w:r>
    </w:p>
    <w:p w14:paraId="2E3B5BC4">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根据《环境影响评价技术导则 地下水环境》（HJ610-2016）11.2.2.1 条的要求，将本项目涉及区域划分为重点防渗区、一般防渗区、简单防渗区。项目分区防渗具体见表6.1-</w:t>
      </w:r>
      <w:r>
        <w:rPr>
          <w:rFonts w:hint="eastAsia" w:ascii="Times New Roman" w:hAnsi="Times New Roman" w:cs="Times New Roman"/>
          <w:color w:val="auto"/>
          <w:w w:val="99"/>
          <w:highlight w:val="none"/>
          <w:lang w:bidi="zh-CN"/>
        </w:rPr>
        <w:t>3</w:t>
      </w:r>
      <w:r>
        <w:rPr>
          <w:rFonts w:ascii="Times New Roman" w:hAnsi="Times New Roman" w:cs="Times New Roman"/>
          <w:color w:val="auto"/>
          <w:w w:val="99"/>
          <w:highlight w:val="none"/>
          <w:lang w:bidi="zh-CN"/>
        </w:rPr>
        <w:t>，施工期钻井井场、压裂</w:t>
      </w:r>
      <w:r>
        <w:rPr>
          <w:rFonts w:hint="eastAsia" w:ascii="Times New Roman" w:hAnsi="Times New Roman" w:cs="Times New Roman"/>
          <w:color w:val="auto"/>
          <w:w w:val="99"/>
          <w:highlight w:val="none"/>
          <w:lang w:bidi="zh-CN"/>
        </w:rPr>
        <w:t>试气</w:t>
      </w:r>
      <w:r>
        <w:rPr>
          <w:rFonts w:ascii="Times New Roman" w:hAnsi="Times New Roman" w:cs="Times New Roman"/>
          <w:color w:val="auto"/>
          <w:w w:val="99"/>
          <w:highlight w:val="none"/>
          <w:lang w:bidi="zh-CN"/>
        </w:rPr>
        <w:t>井场及运营期井场分区防渗图见附图</w:t>
      </w:r>
      <w:r>
        <w:rPr>
          <w:rFonts w:hint="eastAsia" w:ascii="Times New Roman" w:hAnsi="Times New Roman" w:cs="Times New Roman"/>
          <w:color w:val="auto"/>
          <w:w w:val="99"/>
          <w:highlight w:val="none"/>
          <w:lang w:bidi="zh-CN"/>
        </w:rPr>
        <w:t>11</w:t>
      </w:r>
      <w:r>
        <w:rPr>
          <w:rFonts w:ascii="Times New Roman" w:hAnsi="Times New Roman" w:cs="Times New Roman"/>
          <w:color w:val="auto"/>
          <w:w w:val="99"/>
          <w:highlight w:val="none"/>
          <w:lang w:bidi="zh-CN"/>
        </w:rPr>
        <w:t>。</w:t>
      </w:r>
    </w:p>
    <w:p w14:paraId="363C395B">
      <w:pPr>
        <w:widowControl w:val="0"/>
        <w:spacing w:line="440" w:lineRule="exact"/>
        <w:ind w:firstLine="476" w:firstLineChars="200"/>
        <w:rPr>
          <w:rFonts w:ascii="Times New Roman" w:hAnsi="Times New Roman" w:cs="Times New Roman" w:eastAsiaTheme="minorEastAsia"/>
          <w:b/>
          <w:color w:val="auto"/>
          <w:w w:val="99"/>
          <w:highlight w:val="none"/>
        </w:rPr>
      </w:pPr>
      <w:r>
        <w:rPr>
          <w:rFonts w:ascii="Times New Roman" w:hAnsi="Times New Roman" w:cs="Times New Roman" w:eastAsiaTheme="minorEastAsia"/>
          <w:b/>
          <w:color w:val="auto"/>
          <w:w w:val="99"/>
          <w:kern w:val="21"/>
          <w:highlight w:val="none"/>
        </w:rPr>
        <w:t>表6.1-</w:t>
      </w:r>
      <w:r>
        <w:rPr>
          <w:rFonts w:hint="eastAsia" w:ascii="Times New Roman" w:hAnsi="Times New Roman" w:cs="Times New Roman" w:eastAsiaTheme="minorEastAsia"/>
          <w:b/>
          <w:color w:val="auto"/>
          <w:w w:val="99"/>
          <w:kern w:val="21"/>
          <w:highlight w:val="none"/>
        </w:rPr>
        <w:t>3</w:t>
      </w:r>
      <w:r>
        <w:rPr>
          <w:rFonts w:ascii="Times New Roman" w:hAnsi="Times New Roman" w:cs="Times New Roman" w:eastAsiaTheme="minorEastAsia"/>
          <w:b/>
          <w:color w:val="auto"/>
          <w:w w:val="99"/>
          <w:highlight w:val="none"/>
        </w:rPr>
        <w:t xml:space="preserve">    项目污染防渗区划分</w:t>
      </w:r>
    </w:p>
    <w:tbl>
      <w:tblPr>
        <w:tblStyle w:val="81"/>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80"/>
        <w:gridCol w:w="892"/>
        <w:gridCol w:w="2624"/>
        <w:gridCol w:w="2574"/>
        <w:gridCol w:w="2717"/>
      </w:tblGrid>
      <w:tr w14:paraId="6812E3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58" w:type="pct"/>
            <w:vAlign w:val="center"/>
          </w:tcPr>
          <w:p w14:paraId="3F713904">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项目</w:t>
            </w:r>
          </w:p>
        </w:tc>
        <w:tc>
          <w:tcPr>
            <w:tcW w:w="480" w:type="pct"/>
            <w:vAlign w:val="center"/>
          </w:tcPr>
          <w:p w14:paraId="75A529F0">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类别</w:t>
            </w:r>
          </w:p>
        </w:tc>
        <w:tc>
          <w:tcPr>
            <w:tcW w:w="1412" w:type="pct"/>
            <w:vAlign w:val="center"/>
          </w:tcPr>
          <w:p w14:paraId="5C46D412">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项目涉及区域</w:t>
            </w:r>
          </w:p>
        </w:tc>
        <w:tc>
          <w:tcPr>
            <w:tcW w:w="1385" w:type="pct"/>
            <w:vAlign w:val="center"/>
          </w:tcPr>
          <w:p w14:paraId="2442A85B">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防渗措施</w:t>
            </w:r>
          </w:p>
        </w:tc>
        <w:tc>
          <w:tcPr>
            <w:tcW w:w="1462" w:type="pct"/>
            <w:vAlign w:val="center"/>
          </w:tcPr>
          <w:p w14:paraId="2C418187">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防渗要求</w:t>
            </w:r>
          </w:p>
        </w:tc>
      </w:tr>
      <w:tr w14:paraId="4A91A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58" w:type="pct"/>
            <w:vMerge w:val="restart"/>
            <w:vAlign w:val="center"/>
          </w:tcPr>
          <w:p w14:paraId="379D1661">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运营期</w:t>
            </w:r>
          </w:p>
        </w:tc>
        <w:tc>
          <w:tcPr>
            <w:tcW w:w="480" w:type="pct"/>
            <w:vAlign w:val="center"/>
          </w:tcPr>
          <w:p w14:paraId="20706AF8">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重点防渗区</w:t>
            </w:r>
          </w:p>
        </w:tc>
        <w:tc>
          <w:tcPr>
            <w:tcW w:w="1412" w:type="pct"/>
            <w:tcBorders>
              <w:bottom w:val="single" w:color="auto" w:sz="4" w:space="0"/>
            </w:tcBorders>
            <w:vAlign w:val="center"/>
          </w:tcPr>
          <w:p w14:paraId="13C47CDF">
            <w:pPr>
              <w:widowControl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采气</w:t>
            </w:r>
            <w:r>
              <w:rPr>
                <w:rFonts w:ascii="Times New Roman" w:hAnsi="Times New Roman" w:cs="Times New Roman" w:eastAsiaTheme="minorEastAsia"/>
                <w:bCs/>
                <w:color w:val="auto"/>
                <w:w w:val="99"/>
                <w:kern w:val="2"/>
                <w:sz w:val="21"/>
                <w:szCs w:val="21"/>
                <w:highlight w:val="none"/>
              </w:rPr>
              <w:t>管道</w:t>
            </w:r>
          </w:p>
        </w:tc>
        <w:tc>
          <w:tcPr>
            <w:tcW w:w="1385" w:type="pct"/>
            <w:tcBorders>
              <w:bottom w:val="single" w:color="auto" w:sz="4" w:space="0"/>
            </w:tcBorders>
            <w:vAlign w:val="center"/>
          </w:tcPr>
          <w:p w14:paraId="73F72324">
            <w:pPr>
              <w:adjustRightInd w:val="0"/>
              <w:snapToGrid w:val="0"/>
              <w:spacing w:line="360" w:lineRule="exact"/>
              <w:jc w:val="both"/>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管道采用防腐无缝钢管、管道的连接方式采用焊接，管道设计壁厚的腐蚀余量为2mm或采用管道内防腐，管道的外防腐等级采用特加强级</w:t>
            </w:r>
          </w:p>
        </w:tc>
        <w:tc>
          <w:tcPr>
            <w:tcW w:w="1462" w:type="pct"/>
            <w:tcBorders>
              <w:bottom w:val="single" w:color="auto" w:sz="4" w:space="0"/>
            </w:tcBorders>
            <w:vAlign w:val="center"/>
          </w:tcPr>
          <w:p w14:paraId="6B0C1BC1">
            <w:pPr>
              <w:adjustRightInd w:val="0"/>
              <w:snapToGrid w:val="0"/>
              <w:spacing w:line="360" w:lineRule="exact"/>
              <w:jc w:val="both"/>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满足《环境影响评价技术导则 地下水环境》（HJ610-2016）中关于重点防渗区等效黏土防渗层Mb≥6.0m，K≤1×10</w:t>
            </w:r>
            <w:r>
              <w:rPr>
                <w:rFonts w:ascii="Times New Roman" w:hAnsi="Times New Roman" w:cs="Times New Roman" w:eastAsiaTheme="minorEastAsia"/>
                <w:bCs/>
                <w:color w:val="auto"/>
                <w:w w:val="99"/>
                <w:kern w:val="2"/>
                <w:sz w:val="21"/>
                <w:szCs w:val="21"/>
                <w:highlight w:val="none"/>
                <w:vertAlign w:val="superscript"/>
              </w:rPr>
              <w:t>-7</w:t>
            </w:r>
            <w:r>
              <w:rPr>
                <w:rFonts w:ascii="Times New Roman" w:hAnsi="Times New Roman" w:cs="Times New Roman" w:eastAsiaTheme="minorEastAsia"/>
                <w:bCs/>
                <w:color w:val="auto"/>
                <w:w w:val="99"/>
                <w:kern w:val="2"/>
                <w:sz w:val="21"/>
                <w:szCs w:val="21"/>
                <w:highlight w:val="none"/>
              </w:rPr>
              <w:t>cm/s防渗技术要求</w:t>
            </w:r>
          </w:p>
        </w:tc>
      </w:tr>
      <w:tr w14:paraId="33E7A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58" w:type="pct"/>
            <w:vMerge w:val="continue"/>
            <w:vAlign w:val="center"/>
          </w:tcPr>
          <w:p w14:paraId="5103043F">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p>
        </w:tc>
        <w:tc>
          <w:tcPr>
            <w:tcW w:w="480" w:type="pct"/>
            <w:vMerge w:val="restart"/>
            <w:tcBorders>
              <w:top w:val="single" w:color="auto" w:sz="4" w:space="0"/>
            </w:tcBorders>
            <w:vAlign w:val="center"/>
          </w:tcPr>
          <w:p w14:paraId="7BC6B774">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一般防渗区</w:t>
            </w:r>
          </w:p>
        </w:tc>
        <w:tc>
          <w:tcPr>
            <w:tcW w:w="1412" w:type="pct"/>
            <w:tcBorders>
              <w:top w:val="single" w:color="auto" w:sz="4" w:space="0"/>
              <w:bottom w:val="single" w:color="auto" w:sz="4" w:space="0"/>
            </w:tcBorders>
            <w:vAlign w:val="center"/>
          </w:tcPr>
          <w:p w14:paraId="1178E3CA">
            <w:pPr>
              <w:widowControl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徐深27集气站新建的进站阀组、生产阀组</w:t>
            </w:r>
          </w:p>
        </w:tc>
        <w:tc>
          <w:tcPr>
            <w:tcW w:w="1385" w:type="pct"/>
            <w:tcBorders>
              <w:top w:val="single" w:color="auto" w:sz="4" w:space="0"/>
              <w:bottom w:val="single" w:color="auto" w:sz="4" w:space="0"/>
            </w:tcBorders>
            <w:vAlign w:val="center"/>
          </w:tcPr>
          <w:p w14:paraId="65C77F97">
            <w:pPr>
              <w:adjustRightInd w:val="0"/>
              <w:snapToGrid w:val="0"/>
              <w:spacing w:line="360" w:lineRule="exact"/>
              <w:jc w:val="both"/>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铺设混凝土（水泥结构厚度为</w:t>
            </w:r>
            <w:r>
              <w:rPr>
                <w:rFonts w:hint="eastAsia" w:ascii="Times New Roman" w:hAnsi="Times New Roman" w:cs="Times New Roman" w:eastAsiaTheme="minorEastAsia"/>
                <w:bCs/>
                <w:color w:val="auto"/>
                <w:w w:val="99"/>
                <w:kern w:val="2"/>
                <w:sz w:val="21"/>
                <w:szCs w:val="21"/>
                <w:highlight w:val="none"/>
              </w:rPr>
              <w:t>2</w:t>
            </w:r>
            <w:r>
              <w:rPr>
                <w:rFonts w:ascii="Times New Roman" w:hAnsi="Times New Roman" w:cs="Times New Roman" w:eastAsiaTheme="minorEastAsia"/>
                <w:bCs/>
                <w:color w:val="auto"/>
                <w:w w:val="99"/>
                <w:kern w:val="2"/>
                <w:sz w:val="21"/>
                <w:szCs w:val="21"/>
                <w:highlight w:val="none"/>
              </w:rPr>
              <w:t>00mm，抗渗等级为P8，强度为C30，</w:t>
            </w:r>
            <w:r>
              <w:rPr>
                <w:rFonts w:hint="eastAsia" w:ascii="Times New Roman" w:hAnsi="Times New Roman" w:cs="Times New Roman" w:eastAsiaTheme="minorEastAsia"/>
                <w:bCs/>
                <w:color w:val="auto"/>
                <w:w w:val="99"/>
                <w:kern w:val="2"/>
                <w:sz w:val="21"/>
                <w:szCs w:val="21"/>
                <w:highlight w:val="none"/>
              </w:rPr>
              <w:t>并</w:t>
            </w:r>
            <w:r>
              <w:rPr>
                <w:rFonts w:ascii="Times New Roman" w:hAnsi="Times New Roman" w:cs="Times New Roman" w:eastAsiaTheme="minorEastAsia"/>
                <w:bCs/>
                <w:color w:val="auto"/>
                <w:w w:val="99"/>
                <w:kern w:val="2"/>
                <w:sz w:val="21"/>
                <w:szCs w:val="21"/>
                <w:highlight w:val="none"/>
              </w:rPr>
              <w:t>铺设</w:t>
            </w:r>
            <w:r>
              <w:rPr>
                <w:rFonts w:hint="eastAsia" w:ascii="Times New Roman" w:hAnsi="Times New Roman" w:cs="Times New Roman"/>
                <w:color w:val="auto"/>
                <w:w w:val="99"/>
                <w:sz w:val="21"/>
                <w:szCs w:val="21"/>
                <w:highlight w:val="none"/>
              </w:rPr>
              <w:t>1.5</w:t>
            </w:r>
            <w:r>
              <w:rPr>
                <w:rFonts w:ascii="Times New Roman" w:hAnsi="Times New Roman" w:cs="Times New Roman"/>
                <w:color w:val="auto"/>
                <w:w w:val="99"/>
                <w:sz w:val="21"/>
                <w:szCs w:val="21"/>
                <w:highlight w:val="none"/>
              </w:rPr>
              <w:t>mm厚高密度聚乙烯</w:t>
            </w:r>
            <w:r>
              <w:rPr>
                <w:rFonts w:hint="eastAsia" w:ascii="Times New Roman" w:hAnsi="Times New Roman" w:cs="Times New Roman"/>
                <w:color w:val="auto"/>
                <w:w w:val="99"/>
                <w:sz w:val="21"/>
                <w:szCs w:val="21"/>
                <w:highlight w:val="none"/>
              </w:rPr>
              <w:t>膜</w:t>
            </w:r>
            <w:r>
              <w:rPr>
                <w:rFonts w:hint="eastAsia" w:ascii="Times New Roman" w:hAnsi="Times New Roman" w:cs="Times New Roman" w:eastAsiaTheme="minorEastAsia"/>
                <w:bCs/>
                <w:color w:val="auto"/>
                <w:w w:val="99"/>
                <w:kern w:val="2"/>
                <w:sz w:val="21"/>
                <w:szCs w:val="21"/>
                <w:highlight w:val="none"/>
              </w:rPr>
              <w:t>，</w:t>
            </w:r>
            <w:r>
              <w:rPr>
                <w:rFonts w:ascii="Times New Roman" w:hAnsi="Times New Roman" w:cs="Times New Roman" w:eastAsiaTheme="minorEastAsia"/>
                <w:bCs/>
                <w:color w:val="auto"/>
                <w:w w:val="99"/>
                <w:kern w:val="2"/>
                <w:sz w:val="21"/>
                <w:szCs w:val="21"/>
                <w:highlight w:val="none"/>
              </w:rPr>
              <w:t>渗透系数为1.0×10</w:t>
            </w:r>
            <w:r>
              <w:rPr>
                <w:rFonts w:ascii="Times New Roman" w:hAnsi="Times New Roman" w:cs="Times New Roman" w:eastAsiaTheme="minorEastAsia"/>
                <w:bCs/>
                <w:color w:val="auto"/>
                <w:w w:val="99"/>
                <w:kern w:val="2"/>
                <w:sz w:val="21"/>
                <w:szCs w:val="21"/>
                <w:highlight w:val="none"/>
                <w:vertAlign w:val="superscript"/>
              </w:rPr>
              <w:t>-10</w:t>
            </w:r>
            <w:r>
              <w:rPr>
                <w:rFonts w:ascii="Times New Roman" w:hAnsi="Times New Roman" w:cs="Times New Roman" w:eastAsiaTheme="minorEastAsia"/>
                <w:bCs/>
                <w:color w:val="auto"/>
                <w:w w:val="99"/>
                <w:kern w:val="2"/>
                <w:sz w:val="21"/>
                <w:szCs w:val="21"/>
                <w:highlight w:val="none"/>
              </w:rPr>
              <w:t>cm/s</w:t>
            </w:r>
          </w:p>
        </w:tc>
        <w:tc>
          <w:tcPr>
            <w:tcW w:w="1462" w:type="pct"/>
            <w:vMerge w:val="restart"/>
            <w:tcBorders>
              <w:top w:val="single" w:color="auto" w:sz="4" w:space="0"/>
            </w:tcBorders>
            <w:vAlign w:val="center"/>
          </w:tcPr>
          <w:p w14:paraId="3176C170">
            <w:pPr>
              <w:adjustRightInd w:val="0"/>
              <w:snapToGrid w:val="0"/>
              <w:spacing w:line="360" w:lineRule="exact"/>
              <w:jc w:val="both"/>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满足《环境影响评价技术导则 地下水环境》（HJ610-2016）中关于一般防渗区等效黏土防渗层Mb≥1.5m，K≤1×10</w:t>
            </w:r>
            <w:r>
              <w:rPr>
                <w:rFonts w:ascii="Times New Roman" w:hAnsi="Times New Roman" w:cs="Times New Roman" w:eastAsiaTheme="minorEastAsia"/>
                <w:bCs/>
                <w:color w:val="auto"/>
                <w:w w:val="99"/>
                <w:kern w:val="2"/>
                <w:sz w:val="21"/>
                <w:szCs w:val="21"/>
                <w:highlight w:val="none"/>
                <w:vertAlign w:val="superscript"/>
              </w:rPr>
              <w:t>-7</w:t>
            </w:r>
            <w:r>
              <w:rPr>
                <w:rFonts w:ascii="Times New Roman" w:hAnsi="Times New Roman" w:cs="Times New Roman" w:eastAsiaTheme="minorEastAsia"/>
                <w:bCs/>
                <w:color w:val="auto"/>
                <w:w w:val="99"/>
                <w:kern w:val="2"/>
                <w:sz w:val="21"/>
                <w:szCs w:val="21"/>
                <w:highlight w:val="none"/>
              </w:rPr>
              <w:t>cm/s防渗技术要求</w:t>
            </w:r>
          </w:p>
        </w:tc>
      </w:tr>
      <w:tr w14:paraId="3A8A3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58" w:type="pct"/>
            <w:vMerge w:val="continue"/>
            <w:vAlign w:val="center"/>
          </w:tcPr>
          <w:p w14:paraId="5964157A">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p>
        </w:tc>
        <w:tc>
          <w:tcPr>
            <w:tcW w:w="480" w:type="pct"/>
            <w:vMerge w:val="continue"/>
            <w:vAlign w:val="center"/>
          </w:tcPr>
          <w:p w14:paraId="6F98D0CB">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p>
        </w:tc>
        <w:tc>
          <w:tcPr>
            <w:tcW w:w="1412" w:type="pct"/>
            <w:tcBorders>
              <w:top w:val="single" w:color="auto" w:sz="4" w:space="0"/>
              <w:bottom w:val="single" w:color="auto" w:sz="4" w:space="0"/>
            </w:tcBorders>
            <w:vAlign w:val="center"/>
          </w:tcPr>
          <w:p w14:paraId="548EF607">
            <w:pPr>
              <w:widowControl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bCs/>
                <w:color w:val="auto"/>
                <w:w w:val="99"/>
                <w:kern w:val="2"/>
                <w:sz w:val="21"/>
                <w:szCs w:val="21"/>
                <w:highlight w:val="none"/>
              </w:rPr>
              <w:t>井场阀组区、</w:t>
            </w:r>
            <w:r>
              <w:rPr>
                <w:rFonts w:hint="eastAsia" w:ascii="Times New Roman" w:hAnsi="Times New Roman" w:cs="Times New Roman" w:eastAsiaTheme="minorEastAsia"/>
                <w:bCs/>
                <w:color w:val="auto"/>
                <w:w w:val="99"/>
                <w:kern w:val="2"/>
                <w:sz w:val="21"/>
                <w:szCs w:val="21"/>
                <w:highlight w:val="none"/>
              </w:rPr>
              <w:t>放空池</w:t>
            </w:r>
          </w:p>
        </w:tc>
        <w:tc>
          <w:tcPr>
            <w:tcW w:w="1385" w:type="pct"/>
            <w:tcBorders>
              <w:top w:val="single" w:color="auto" w:sz="4" w:space="0"/>
            </w:tcBorders>
            <w:vAlign w:val="center"/>
          </w:tcPr>
          <w:p w14:paraId="0B81552B">
            <w:pPr>
              <w:pStyle w:val="2857"/>
              <w:spacing w:line="360" w:lineRule="exact"/>
              <w:jc w:val="both"/>
              <w:rPr>
                <w:rFonts w:ascii="Times New Roman" w:hAnsi="Times New Roman" w:cs="Times New Roman" w:eastAsiaTheme="minorEastAsia"/>
                <w:bCs/>
                <w:color w:val="auto"/>
                <w:w w:val="99"/>
                <w:kern w:val="2"/>
                <w:sz w:val="21"/>
                <w:szCs w:val="21"/>
                <w:highlight w:val="none"/>
                <w:lang w:eastAsia="zh-CN"/>
              </w:rPr>
            </w:pPr>
            <w:r>
              <w:rPr>
                <w:rFonts w:ascii="Times New Roman" w:hAnsi="Times New Roman" w:cs="Times New Roman" w:eastAsiaTheme="minorEastAsia"/>
                <w:bCs/>
                <w:color w:val="auto"/>
                <w:w w:val="99"/>
                <w:kern w:val="2"/>
                <w:sz w:val="21"/>
                <w:szCs w:val="21"/>
                <w:highlight w:val="none"/>
                <w:lang w:eastAsia="zh-CN"/>
              </w:rPr>
              <w:t>分层进行素土夯实，每层厚度不大于300mm，压实系数不小于0.95，铺设</w:t>
            </w:r>
            <w:r>
              <w:rPr>
                <w:rFonts w:hint="eastAsia" w:ascii="Times New Roman" w:hAnsi="Times New Roman" w:cs="Times New Roman"/>
                <w:color w:val="auto"/>
                <w:w w:val="99"/>
                <w:sz w:val="21"/>
                <w:szCs w:val="21"/>
                <w:highlight w:val="none"/>
                <w:lang w:eastAsia="zh-CN"/>
              </w:rPr>
              <w:t>1.5</w:t>
            </w:r>
            <w:r>
              <w:rPr>
                <w:rFonts w:ascii="Times New Roman" w:hAnsi="Times New Roman" w:cs="Times New Roman"/>
                <w:color w:val="auto"/>
                <w:w w:val="99"/>
                <w:sz w:val="21"/>
                <w:szCs w:val="21"/>
                <w:highlight w:val="none"/>
                <w:lang w:eastAsia="zh-CN"/>
              </w:rPr>
              <w:t>mm厚高密度聚乙烯</w:t>
            </w:r>
            <w:r>
              <w:rPr>
                <w:rFonts w:hint="eastAsia" w:ascii="Times New Roman" w:hAnsi="Times New Roman" w:cs="Times New Roman"/>
                <w:color w:val="auto"/>
                <w:w w:val="99"/>
                <w:sz w:val="21"/>
                <w:szCs w:val="21"/>
                <w:highlight w:val="none"/>
                <w:lang w:eastAsia="zh-CN"/>
              </w:rPr>
              <w:t>膜</w:t>
            </w:r>
            <w:r>
              <w:rPr>
                <w:rFonts w:hint="eastAsia" w:ascii="Times New Roman" w:hAnsi="Times New Roman" w:cs="Times New Roman" w:eastAsiaTheme="minorEastAsia"/>
                <w:bCs/>
                <w:color w:val="auto"/>
                <w:w w:val="99"/>
                <w:kern w:val="2"/>
                <w:sz w:val="21"/>
                <w:szCs w:val="21"/>
                <w:highlight w:val="none"/>
                <w:lang w:eastAsia="zh-CN"/>
              </w:rPr>
              <w:t>，</w:t>
            </w:r>
            <w:r>
              <w:rPr>
                <w:rFonts w:ascii="Times New Roman" w:hAnsi="Times New Roman" w:cs="Times New Roman" w:eastAsiaTheme="minorEastAsia"/>
                <w:bCs/>
                <w:color w:val="auto"/>
                <w:w w:val="99"/>
                <w:kern w:val="2"/>
                <w:sz w:val="21"/>
                <w:szCs w:val="21"/>
                <w:highlight w:val="none"/>
                <w:lang w:eastAsia="zh-CN"/>
              </w:rPr>
              <w:t>渗透系数为1.0×10</w:t>
            </w:r>
            <w:r>
              <w:rPr>
                <w:rFonts w:ascii="Times New Roman" w:hAnsi="Times New Roman" w:cs="Times New Roman" w:eastAsiaTheme="minorEastAsia"/>
                <w:bCs/>
                <w:color w:val="auto"/>
                <w:w w:val="99"/>
                <w:kern w:val="2"/>
                <w:sz w:val="21"/>
                <w:szCs w:val="21"/>
                <w:highlight w:val="none"/>
                <w:vertAlign w:val="superscript"/>
                <w:lang w:eastAsia="zh-CN"/>
              </w:rPr>
              <w:t>-10</w:t>
            </w:r>
            <w:r>
              <w:rPr>
                <w:rFonts w:ascii="Times New Roman" w:hAnsi="Times New Roman" w:cs="Times New Roman" w:eastAsiaTheme="minorEastAsia"/>
                <w:bCs/>
                <w:color w:val="auto"/>
                <w:w w:val="99"/>
                <w:kern w:val="2"/>
                <w:sz w:val="21"/>
                <w:szCs w:val="21"/>
                <w:highlight w:val="none"/>
                <w:lang w:eastAsia="zh-CN"/>
              </w:rPr>
              <w:t>cm/s</w:t>
            </w:r>
          </w:p>
        </w:tc>
        <w:tc>
          <w:tcPr>
            <w:tcW w:w="1462" w:type="pct"/>
            <w:vMerge w:val="continue"/>
            <w:vAlign w:val="center"/>
          </w:tcPr>
          <w:p w14:paraId="7BAD184D">
            <w:pPr>
              <w:adjustRightInd w:val="0"/>
              <w:snapToGrid w:val="0"/>
              <w:spacing w:line="360" w:lineRule="exact"/>
              <w:jc w:val="both"/>
              <w:rPr>
                <w:rFonts w:ascii="Times New Roman" w:hAnsi="Times New Roman" w:cs="Times New Roman" w:eastAsiaTheme="minorEastAsia"/>
                <w:bCs/>
                <w:color w:val="auto"/>
                <w:w w:val="99"/>
                <w:kern w:val="2"/>
                <w:sz w:val="21"/>
                <w:szCs w:val="21"/>
                <w:highlight w:val="none"/>
              </w:rPr>
            </w:pPr>
          </w:p>
        </w:tc>
      </w:tr>
      <w:tr w14:paraId="79CAC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58" w:type="pct"/>
            <w:vMerge w:val="continue"/>
            <w:vAlign w:val="center"/>
          </w:tcPr>
          <w:p w14:paraId="64AC4F02">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p>
        </w:tc>
        <w:tc>
          <w:tcPr>
            <w:tcW w:w="480" w:type="pct"/>
            <w:vAlign w:val="center"/>
          </w:tcPr>
          <w:p w14:paraId="415FE33B">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简单防渗区</w:t>
            </w:r>
          </w:p>
        </w:tc>
        <w:tc>
          <w:tcPr>
            <w:tcW w:w="1412" w:type="pct"/>
            <w:vAlign w:val="center"/>
          </w:tcPr>
          <w:p w14:paraId="169D30AB">
            <w:pPr>
              <w:widowControl w:val="0"/>
              <w:snapToGrid w:val="0"/>
              <w:spacing w:line="360" w:lineRule="exact"/>
              <w:jc w:val="center"/>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井场其他区域</w:t>
            </w:r>
          </w:p>
        </w:tc>
        <w:tc>
          <w:tcPr>
            <w:tcW w:w="1385" w:type="pct"/>
            <w:vAlign w:val="center"/>
          </w:tcPr>
          <w:p w14:paraId="2760C89E">
            <w:pPr>
              <w:adjustRightInd w:val="0"/>
              <w:snapToGrid w:val="0"/>
              <w:spacing w:line="360" w:lineRule="exact"/>
              <w:jc w:val="both"/>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采用地面夯实碾压平整进行防渗</w:t>
            </w:r>
          </w:p>
        </w:tc>
        <w:tc>
          <w:tcPr>
            <w:tcW w:w="1462" w:type="pct"/>
            <w:vAlign w:val="center"/>
          </w:tcPr>
          <w:p w14:paraId="46FD2D97">
            <w:pPr>
              <w:adjustRightInd w:val="0"/>
              <w:snapToGrid w:val="0"/>
              <w:spacing w:line="360" w:lineRule="exact"/>
              <w:jc w:val="both"/>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满足一般地面硬化防渗技术要求</w:t>
            </w:r>
          </w:p>
        </w:tc>
      </w:tr>
    </w:tbl>
    <w:p w14:paraId="73F4932C">
      <w:pPr>
        <w:pStyle w:val="153"/>
        <w:ind w:firstLine="0" w:firstLineChars="0"/>
        <w:outlineLvl w:val="3"/>
        <w:rPr>
          <w:rFonts w:ascii="Times New Roman" w:hAnsi="Times New Roman"/>
          <w:b/>
          <w:color w:val="auto"/>
          <w:w w:val="99"/>
          <w:highlight w:val="none"/>
        </w:rPr>
      </w:pPr>
      <w:r>
        <w:rPr>
          <w:rFonts w:ascii="Times New Roman" w:hAnsi="Times New Roman"/>
          <w:b/>
          <w:color w:val="auto"/>
          <w:w w:val="99"/>
          <w:highlight w:val="none"/>
        </w:rPr>
        <w:t>6.1.3.4地下水环境跟踪监测</w:t>
      </w:r>
    </w:p>
    <w:p w14:paraId="08BEEB69">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定期对地下水环境进行监测，监测委托具有资质的单位进行，结合《排污单位自行监测技术指南 陆上石油天然气开采工业》（HJ1248-2022）制定本项目运营期监测计划，同时在当地对监测结果进行信息公开，每年公开一次，随时监测地下水的变化，及时发现和解决问题；如发生重大污染事故且已对地下水造成污染，应进行信息公开，并与政府相关部门进行联动，聘请专家进行讨论，制定减轻地下水污染程度及控制地下水污染范围的措施，防止地下水污染加剧。</w:t>
      </w:r>
    </w:p>
    <w:p w14:paraId="1F59C854">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项目区域潜水流向为从东</w:t>
      </w:r>
      <w:r>
        <w:rPr>
          <w:rFonts w:hint="eastAsia" w:ascii="Times New Roman" w:hAnsi="Times New Roman" w:cs="Times New Roman"/>
          <w:color w:val="auto"/>
          <w:w w:val="99"/>
          <w:highlight w:val="none"/>
          <w:lang w:bidi="zh-CN"/>
        </w:rPr>
        <w:t>南</w:t>
      </w:r>
      <w:r>
        <w:rPr>
          <w:rFonts w:ascii="Times New Roman" w:hAnsi="Times New Roman" w:cs="Times New Roman"/>
          <w:color w:val="auto"/>
          <w:w w:val="99"/>
          <w:highlight w:val="none"/>
          <w:lang w:bidi="zh-CN"/>
        </w:rPr>
        <w:t>向</w:t>
      </w:r>
      <w:r>
        <w:rPr>
          <w:rFonts w:hint="eastAsia" w:ascii="Times New Roman" w:hAnsi="Times New Roman" w:cs="Times New Roman"/>
          <w:color w:val="auto"/>
          <w:w w:val="99"/>
          <w:highlight w:val="none"/>
          <w:lang w:bidi="zh-CN"/>
        </w:rPr>
        <w:t>西北</w:t>
      </w:r>
      <w:r>
        <w:rPr>
          <w:rFonts w:ascii="Times New Roman" w:hAnsi="Times New Roman" w:cs="Times New Roman"/>
          <w:color w:val="auto"/>
          <w:w w:val="99"/>
          <w:highlight w:val="none"/>
          <w:lang w:bidi="zh-CN"/>
        </w:rPr>
        <w:t>，根据项目</w:t>
      </w:r>
      <w:r>
        <w:rPr>
          <w:rFonts w:hint="eastAsia" w:ascii="Times New Roman" w:hAnsi="Times New Roman" w:cs="Times New Roman"/>
          <w:color w:val="auto"/>
          <w:w w:val="99"/>
          <w:highlight w:val="none"/>
          <w:lang w:bidi="zh-CN"/>
        </w:rPr>
        <w:t>采气井</w:t>
      </w:r>
      <w:r>
        <w:rPr>
          <w:rFonts w:ascii="Times New Roman" w:hAnsi="Times New Roman" w:cs="Times New Roman"/>
          <w:color w:val="auto"/>
          <w:w w:val="99"/>
          <w:highlight w:val="none"/>
          <w:lang w:bidi="zh-CN"/>
        </w:rPr>
        <w:t>分布、周边地下水井分布情况，在区块</w:t>
      </w:r>
      <w:r>
        <w:rPr>
          <w:rFonts w:hint="eastAsia" w:ascii="Times New Roman" w:hAnsi="Times New Roman" w:cs="Times New Roman"/>
          <w:color w:val="auto"/>
          <w:w w:val="99"/>
          <w:highlight w:val="none"/>
          <w:lang w:bidi="zh-CN"/>
        </w:rPr>
        <w:t>、</w:t>
      </w:r>
      <w:r>
        <w:rPr>
          <w:rFonts w:ascii="Times New Roman" w:hAnsi="Times New Roman" w:cs="Times New Roman"/>
          <w:color w:val="auto"/>
          <w:w w:val="99"/>
          <w:highlight w:val="none"/>
          <w:lang w:bidi="zh-CN"/>
        </w:rPr>
        <w:t>下游布设</w:t>
      </w:r>
      <w:r>
        <w:rPr>
          <w:rFonts w:hint="eastAsia" w:ascii="Times New Roman" w:hAnsi="Times New Roman" w:cs="Times New Roman"/>
          <w:color w:val="auto"/>
          <w:w w:val="99"/>
          <w:highlight w:val="none"/>
          <w:lang w:bidi="zh-CN"/>
        </w:rPr>
        <w:t>3</w:t>
      </w:r>
      <w:r>
        <w:rPr>
          <w:rFonts w:ascii="Times New Roman" w:hAnsi="Times New Roman" w:cs="Times New Roman"/>
          <w:color w:val="auto"/>
          <w:w w:val="99"/>
          <w:highlight w:val="none"/>
          <w:lang w:bidi="zh-CN"/>
        </w:rPr>
        <w:t>个潜水跟踪监测点，定期对地下水进行跟踪监测，地下水跟踪监测井结构类型为单管单层监测，井管的内径要求不小于50 mm，井管材料为钢管、不锈钢管、PVC材质的井为宜，井的滤水管顶部位置位于多年平均最低水位面以下1m。具体设置情况见表6.1-</w:t>
      </w:r>
      <w:r>
        <w:rPr>
          <w:rFonts w:hint="eastAsia" w:ascii="Times New Roman" w:hAnsi="Times New Roman" w:cs="Times New Roman"/>
          <w:color w:val="auto"/>
          <w:w w:val="99"/>
          <w:highlight w:val="none"/>
          <w:lang w:bidi="zh-CN"/>
        </w:rPr>
        <w:t>4</w:t>
      </w:r>
      <w:r>
        <w:rPr>
          <w:rFonts w:ascii="Times New Roman" w:hAnsi="Times New Roman" w:cs="Times New Roman"/>
          <w:color w:val="auto"/>
          <w:w w:val="99"/>
          <w:highlight w:val="none"/>
          <w:lang w:bidi="zh-CN"/>
        </w:rPr>
        <w:t>。地下水跟踪监测布点图附图</w:t>
      </w:r>
      <w:r>
        <w:rPr>
          <w:rFonts w:hint="eastAsia" w:ascii="Times New Roman" w:hAnsi="Times New Roman" w:cs="Times New Roman"/>
          <w:color w:val="auto"/>
          <w:w w:val="99"/>
          <w:highlight w:val="none"/>
          <w:lang w:bidi="zh-CN"/>
        </w:rPr>
        <w:t>10</w:t>
      </w:r>
      <w:r>
        <w:rPr>
          <w:rFonts w:ascii="Times New Roman" w:hAnsi="Times New Roman" w:cs="Times New Roman"/>
          <w:color w:val="auto"/>
          <w:w w:val="99"/>
          <w:highlight w:val="none"/>
          <w:lang w:bidi="zh-CN"/>
        </w:rPr>
        <w:t>。</w:t>
      </w:r>
    </w:p>
    <w:p w14:paraId="5267064C">
      <w:pPr>
        <w:widowControl w:val="0"/>
        <w:spacing w:line="440" w:lineRule="exact"/>
        <w:ind w:firstLine="476"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b/>
          <w:color w:val="auto"/>
          <w:w w:val="99"/>
          <w:kern w:val="21"/>
          <w:highlight w:val="none"/>
        </w:rPr>
        <w:t>表6.1-</w:t>
      </w:r>
      <w:r>
        <w:rPr>
          <w:rFonts w:hint="eastAsia" w:ascii="Times New Roman" w:hAnsi="Times New Roman" w:cs="Times New Roman" w:eastAsiaTheme="minorEastAsia"/>
          <w:b/>
          <w:color w:val="auto"/>
          <w:w w:val="99"/>
          <w:kern w:val="21"/>
          <w:highlight w:val="none"/>
        </w:rPr>
        <w:t>4</w:t>
      </w:r>
      <w:r>
        <w:rPr>
          <w:rFonts w:ascii="Times New Roman" w:hAnsi="Times New Roman" w:cs="Times New Roman" w:eastAsiaTheme="minorEastAsia"/>
          <w:b/>
          <w:bCs/>
          <w:color w:val="auto"/>
          <w:w w:val="99"/>
          <w:kern w:val="21"/>
          <w:szCs w:val="20"/>
          <w:highlight w:val="none"/>
        </w:rPr>
        <w:t xml:space="preserve">    地下水环境监测计划表</w:t>
      </w:r>
    </w:p>
    <w:tbl>
      <w:tblPr>
        <w:tblStyle w:val="81"/>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87"/>
        <w:gridCol w:w="1114"/>
        <w:gridCol w:w="1906"/>
        <w:gridCol w:w="1309"/>
        <w:gridCol w:w="1556"/>
        <w:gridCol w:w="769"/>
        <w:gridCol w:w="728"/>
        <w:gridCol w:w="714"/>
      </w:tblGrid>
      <w:tr w14:paraId="7228C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8" w:type="pct"/>
            <w:vAlign w:val="center"/>
          </w:tcPr>
          <w:p w14:paraId="55696BE6">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点位</w:t>
            </w:r>
          </w:p>
        </w:tc>
        <w:tc>
          <w:tcPr>
            <w:tcW w:w="600" w:type="pct"/>
            <w:vAlign w:val="center"/>
          </w:tcPr>
          <w:p w14:paraId="485D2BAC">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功能</w:t>
            </w:r>
          </w:p>
        </w:tc>
        <w:tc>
          <w:tcPr>
            <w:tcW w:w="1026" w:type="pct"/>
            <w:vAlign w:val="center"/>
          </w:tcPr>
          <w:p w14:paraId="39614C83">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监测因子</w:t>
            </w:r>
          </w:p>
        </w:tc>
        <w:tc>
          <w:tcPr>
            <w:tcW w:w="704" w:type="pct"/>
            <w:vAlign w:val="center"/>
          </w:tcPr>
          <w:p w14:paraId="64C10E10">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坐标</w:t>
            </w:r>
          </w:p>
        </w:tc>
        <w:tc>
          <w:tcPr>
            <w:tcW w:w="837" w:type="pct"/>
            <w:vAlign w:val="center"/>
          </w:tcPr>
          <w:p w14:paraId="5D4558CC">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位置</w:t>
            </w:r>
          </w:p>
        </w:tc>
        <w:tc>
          <w:tcPr>
            <w:tcW w:w="414" w:type="pct"/>
            <w:vAlign w:val="center"/>
          </w:tcPr>
          <w:p w14:paraId="486C73E8">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井深</w:t>
            </w:r>
          </w:p>
        </w:tc>
        <w:tc>
          <w:tcPr>
            <w:tcW w:w="392" w:type="pct"/>
            <w:vAlign w:val="center"/>
          </w:tcPr>
          <w:p w14:paraId="03A77768">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监测层位</w:t>
            </w:r>
          </w:p>
        </w:tc>
        <w:tc>
          <w:tcPr>
            <w:tcW w:w="385" w:type="pct"/>
            <w:vAlign w:val="center"/>
          </w:tcPr>
          <w:p w14:paraId="4A9C8861">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监测频次</w:t>
            </w:r>
          </w:p>
        </w:tc>
      </w:tr>
      <w:tr w14:paraId="29984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8" w:type="pct"/>
            <w:vAlign w:val="center"/>
          </w:tcPr>
          <w:p w14:paraId="20BBDEAF">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王家围子屯水</w:t>
            </w:r>
            <w:r>
              <w:rPr>
                <w:rFonts w:ascii="Times New Roman" w:hAnsi="Times New Roman" w:cs="Times New Roman" w:eastAsiaTheme="minorEastAsia"/>
                <w:color w:val="auto"/>
                <w:w w:val="99"/>
                <w:sz w:val="21"/>
                <w:szCs w:val="21"/>
                <w:highlight w:val="none"/>
              </w:rPr>
              <w:t>井</w:t>
            </w:r>
          </w:p>
        </w:tc>
        <w:tc>
          <w:tcPr>
            <w:tcW w:w="600" w:type="pct"/>
            <w:vAlign w:val="center"/>
          </w:tcPr>
          <w:p w14:paraId="625A9C0A">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背景</w:t>
            </w:r>
            <w:r>
              <w:rPr>
                <w:rFonts w:ascii="Times New Roman" w:hAnsi="Times New Roman" w:cs="Times New Roman" w:eastAsiaTheme="minorEastAsia"/>
                <w:color w:val="auto"/>
                <w:w w:val="99"/>
                <w:sz w:val="21"/>
                <w:szCs w:val="21"/>
                <w:highlight w:val="none"/>
              </w:rPr>
              <w:t>监测点</w:t>
            </w:r>
          </w:p>
        </w:tc>
        <w:tc>
          <w:tcPr>
            <w:tcW w:w="1026" w:type="pct"/>
            <w:vMerge w:val="restart"/>
            <w:vAlign w:val="center"/>
          </w:tcPr>
          <w:p w14:paraId="49211BE0">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pH、石油类、石油烃（C</w:t>
            </w:r>
            <w:r>
              <w:rPr>
                <w:rFonts w:ascii="Times New Roman" w:hAnsi="Times New Roman" w:cs="Times New Roman" w:eastAsiaTheme="minorEastAsia"/>
                <w:color w:val="auto"/>
                <w:w w:val="99"/>
                <w:sz w:val="21"/>
                <w:szCs w:val="21"/>
                <w:highlight w:val="none"/>
                <w:vertAlign w:val="subscript"/>
              </w:rPr>
              <w:t>6</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9</w:t>
            </w: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10</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40</w:t>
            </w:r>
            <w:r>
              <w:rPr>
                <w:rFonts w:ascii="Times New Roman" w:hAnsi="Times New Roman" w:cs="Times New Roman" w:eastAsiaTheme="minorEastAsia"/>
                <w:color w:val="auto"/>
                <w:w w:val="99"/>
                <w:sz w:val="21"/>
                <w:szCs w:val="21"/>
                <w:highlight w:val="none"/>
              </w:rPr>
              <w:t>）、汞、砷、六价铬</w:t>
            </w:r>
          </w:p>
        </w:tc>
        <w:tc>
          <w:tcPr>
            <w:tcW w:w="704" w:type="pct"/>
            <w:vAlign w:val="center"/>
          </w:tcPr>
          <w:p w14:paraId="16373DF7">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125.51499，45.90631</w:t>
            </w:r>
          </w:p>
        </w:tc>
        <w:tc>
          <w:tcPr>
            <w:tcW w:w="837" w:type="pct"/>
            <w:vAlign w:val="center"/>
          </w:tcPr>
          <w:p w14:paraId="6050DB2F">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拟建管线东北侧850m（上游）</w:t>
            </w:r>
          </w:p>
        </w:tc>
        <w:tc>
          <w:tcPr>
            <w:tcW w:w="414" w:type="pct"/>
            <w:vAlign w:val="center"/>
          </w:tcPr>
          <w:p w14:paraId="18F58B98">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15</w:t>
            </w:r>
            <w:r>
              <w:rPr>
                <w:rFonts w:ascii="Times New Roman" w:hAnsi="Times New Roman" w:cs="Times New Roman" w:eastAsiaTheme="minorEastAsia"/>
                <w:color w:val="auto"/>
                <w:w w:val="99"/>
                <w:sz w:val="21"/>
                <w:szCs w:val="21"/>
                <w:highlight w:val="none"/>
              </w:rPr>
              <w:t>m</w:t>
            </w:r>
          </w:p>
        </w:tc>
        <w:tc>
          <w:tcPr>
            <w:tcW w:w="392" w:type="pct"/>
            <w:vAlign w:val="center"/>
          </w:tcPr>
          <w:p w14:paraId="1EF900D1">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潜水</w:t>
            </w:r>
          </w:p>
        </w:tc>
        <w:tc>
          <w:tcPr>
            <w:tcW w:w="385" w:type="pct"/>
            <w:vMerge w:val="restart"/>
            <w:vAlign w:val="center"/>
          </w:tcPr>
          <w:p w14:paraId="51A1070D">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1次/半年</w:t>
            </w:r>
          </w:p>
        </w:tc>
      </w:tr>
      <w:tr w14:paraId="40EDC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8" w:type="pct"/>
            <w:vAlign w:val="center"/>
          </w:tcPr>
          <w:p w14:paraId="5324EF57">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福龙村（尚家围子屯）水</w:t>
            </w:r>
            <w:r>
              <w:rPr>
                <w:rFonts w:ascii="Times New Roman" w:hAnsi="Times New Roman" w:cs="Times New Roman" w:eastAsiaTheme="minorEastAsia"/>
                <w:color w:val="auto"/>
                <w:w w:val="99"/>
                <w:sz w:val="21"/>
                <w:szCs w:val="21"/>
                <w:highlight w:val="none"/>
              </w:rPr>
              <w:t>井</w:t>
            </w:r>
          </w:p>
        </w:tc>
        <w:tc>
          <w:tcPr>
            <w:tcW w:w="600" w:type="pct"/>
            <w:vAlign w:val="center"/>
          </w:tcPr>
          <w:p w14:paraId="4AFEB313">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跟踪监测</w:t>
            </w:r>
          </w:p>
        </w:tc>
        <w:tc>
          <w:tcPr>
            <w:tcW w:w="1026" w:type="pct"/>
            <w:vMerge w:val="continue"/>
            <w:vAlign w:val="center"/>
          </w:tcPr>
          <w:p w14:paraId="2828AAE8">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704" w:type="pct"/>
            <w:vAlign w:val="center"/>
          </w:tcPr>
          <w:p w14:paraId="3B31594D">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125.50506，45.89648</w:t>
            </w:r>
          </w:p>
        </w:tc>
        <w:tc>
          <w:tcPr>
            <w:tcW w:w="837" w:type="pct"/>
            <w:vAlign w:val="center"/>
          </w:tcPr>
          <w:p w14:paraId="6F3BC2B3">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拟建管线西南侧300m（下游）</w:t>
            </w:r>
          </w:p>
        </w:tc>
        <w:tc>
          <w:tcPr>
            <w:tcW w:w="414" w:type="pct"/>
            <w:vAlign w:val="center"/>
          </w:tcPr>
          <w:p w14:paraId="62A94429">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15</w:t>
            </w:r>
            <w:r>
              <w:rPr>
                <w:rFonts w:ascii="Times New Roman" w:hAnsi="Times New Roman" w:cs="Times New Roman" w:eastAsiaTheme="minorEastAsia"/>
                <w:color w:val="auto"/>
                <w:w w:val="99"/>
                <w:sz w:val="21"/>
                <w:szCs w:val="21"/>
                <w:highlight w:val="none"/>
              </w:rPr>
              <w:t>m</w:t>
            </w:r>
          </w:p>
        </w:tc>
        <w:tc>
          <w:tcPr>
            <w:tcW w:w="392" w:type="pct"/>
            <w:vAlign w:val="center"/>
          </w:tcPr>
          <w:p w14:paraId="12A8D1E8">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潜水</w:t>
            </w:r>
          </w:p>
        </w:tc>
        <w:tc>
          <w:tcPr>
            <w:tcW w:w="385" w:type="pct"/>
            <w:vMerge w:val="continue"/>
            <w:vAlign w:val="center"/>
          </w:tcPr>
          <w:p w14:paraId="7189722B">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r>
      <w:tr w14:paraId="5B15E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8" w:type="pct"/>
            <w:vAlign w:val="center"/>
          </w:tcPr>
          <w:p w14:paraId="7C11EDB2">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杨家屯水</w:t>
            </w:r>
            <w:r>
              <w:rPr>
                <w:rFonts w:ascii="Times New Roman" w:hAnsi="Times New Roman" w:cs="Times New Roman" w:eastAsiaTheme="minorEastAsia"/>
                <w:color w:val="auto"/>
                <w:w w:val="99"/>
                <w:sz w:val="21"/>
                <w:szCs w:val="21"/>
                <w:highlight w:val="none"/>
              </w:rPr>
              <w:t>井</w:t>
            </w:r>
          </w:p>
        </w:tc>
        <w:tc>
          <w:tcPr>
            <w:tcW w:w="600" w:type="pct"/>
            <w:vAlign w:val="center"/>
          </w:tcPr>
          <w:p w14:paraId="56D8B78E">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跟踪监测</w:t>
            </w:r>
          </w:p>
        </w:tc>
        <w:tc>
          <w:tcPr>
            <w:tcW w:w="1026" w:type="pct"/>
            <w:vMerge w:val="continue"/>
            <w:vAlign w:val="center"/>
          </w:tcPr>
          <w:p w14:paraId="5306A005">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704" w:type="pct"/>
            <w:vAlign w:val="center"/>
          </w:tcPr>
          <w:p w14:paraId="4035CD10">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125.50161，45.88171</w:t>
            </w:r>
          </w:p>
        </w:tc>
        <w:tc>
          <w:tcPr>
            <w:tcW w:w="837" w:type="pct"/>
            <w:vAlign w:val="center"/>
          </w:tcPr>
          <w:p w14:paraId="6B08B235">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拟建27-H1井场西南侧1200m（下游）</w:t>
            </w:r>
          </w:p>
        </w:tc>
        <w:tc>
          <w:tcPr>
            <w:tcW w:w="414" w:type="pct"/>
            <w:vAlign w:val="center"/>
          </w:tcPr>
          <w:p w14:paraId="47A97B76">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15</w:t>
            </w:r>
            <w:r>
              <w:rPr>
                <w:rFonts w:ascii="Times New Roman" w:hAnsi="Times New Roman" w:cs="Times New Roman" w:eastAsiaTheme="minorEastAsia"/>
                <w:color w:val="auto"/>
                <w:w w:val="99"/>
                <w:sz w:val="21"/>
                <w:szCs w:val="21"/>
                <w:highlight w:val="none"/>
              </w:rPr>
              <w:t>m</w:t>
            </w:r>
          </w:p>
        </w:tc>
        <w:tc>
          <w:tcPr>
            <w:tcW w:w="392" w:type="pct"/>
            <w:vAlign w:val="center"/>
          </w:tcPr>
          <w:p w14:paraId="4BF24066">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潜水</w:t>
            </w:r>
          </w:p>
        </w:tc>
        <w:tc>
          <w:tcPr>
            <w:tcW w:w="385" w:type="pct"/>
            <w:vMerge w:val="continue"/>
            <w:vAlign w:val="center"/>
          </w:tcPr>
          <w:p w14:paraId="279D5D6D">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r>
    </w:tbl>
    <w:p w14:paraId="723111A7">
      <w:pPr>
        <w:pStyle w:val="153"/>
        <w:ind w:firstLine="0" w:firstLineChars="0"/>
        <w:outlineLvl w:val="3"/>
        <w:rPr>
          <w:rFonts w:ascii="Times New Roman" w:hAnsi="Times New Roman"/>
          <w:b/>
          <w:color w:val="auto"/>
          <w:w w:val="99"/>
          <w:highlight w:val="none"/>
        </w:rPr>
      </w:pPr>
      <w:r>
        <w:rPr>
          <w:rFonts w:ascii="Times New Roman" w:hAnsi="Times New Roman"/>
          <w:b/>
          <w:color w:val="auto"/>
          <w:w w:val="99"/>
          <w:highlight w:val="none"/>
        </w:rPr>
        <w:t>6.1.3.5退役期地下水污染防治措施</w:t>
      </w:r>
    </w:p>
    <w:p w14:paraId="5F7F3345">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退役期主要污染源是设备拆除、井场清理产生的扬尘和固体废物等，主要污染防治措施如下：</w:t>
      </w:r>
    </w:p>
    <w:p w14:paraId="2DDEC4CB">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（1）退役期井场拆除采</w:t>
      </w:r>
      <w:r>
        <w:rPr>
          <w:rFonts w:hint="eastAsia" w:ascii="Times New Roman" w:hAnsi="Times New Roman" w:cs="Times New Roman"/>
          <w:color w:val="auto"/>
          <w:w w:val="99"/>
          <w:highlight w:val="none"/>
          <w:lang w:bidi="zh-CN"/>
        </w:rPr>
        <w:t>气</w:t>
      </w:r>
      <w:r>
        <w:rPr>
          <w:rFonts w:ascii="Times New Roman" w:hAnsi="Times New Roman" w:cs="Times New Roman"/>
          <w:color w:val="auto"/>
          <w:w w:val="99"/>
          <w:highlight w:val="none"/>
          <w:lang w:bidi="zh-CN"/>
        </w:rPr>
        <w:t>设备，在作业区铺设防渗材料，施工结束后及时清理场地，避免对浅层地下水造成污染。</w:t>
      </w:r>
    </w:p>
    <w:p w14:paraId="56307AB5">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（2）对关闭的</w:t>
      </w:r>
      <w:r>
        <w:rPr>
          <w:rFonts w:hint="eastAsia" w:ascii="Times New Roman" w:hAnsi="Times New Roman" w:cs="Times New Roman"/>
          <w:color w:val="auto"/>
          <w:w w:val="99"/>
          <w:highlight w:val="none"/>
          <w:lang w:bidi="zh-CN"/>
        </w:rPr>
        <w:t>气</w:t>
      </w:r>
      <w:r>
        <w:rPr>
          <w:rFonts w:ascii="Times New Roman" w:hAnsi="Times New Roman" w:cs="Times New Roman"/>
          <w:color w:val="auto"/>
          <w:w w:val="99"/>
          <w:highlight w:val="none"/>
          <w:lang w:bidi="zh-CN"/>
        </w:rPr>
        <w:t>井实施安全封堵。</w:t>
      </w:r>
    </w:p>
    <w:p w14:paraId="1CE05F3A">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（3）对退役的气井进行地下水跟踪监测，跟踪检测井依托本项目新建跟踪监测水井。</w:t>
      </w:r>
    </w:p>
    <w:p w14:paraId="66B1F601">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（4）采气井</w:t>
      </w:r>
      <w:r>
        <w:rPr>
          <w:rFonts w:ascii="Times New Roman" w:hAnsi="Times New Roman" w:cs="Times New Roman"/>
          <w:color w:val="auto"/>
          <w:w w:val="99"/>
          <w:highlight w:val="none"/>
          <w:lang w:bidi="zh-CN"/>
        </w:rPr>
        <w:t>退役后，应</w:t>
      </w:r>
      <w:r>
        <w:rPr>
          <w:rFonts w:hint="eastAsia" w:ascii="Times New Roman" w:hAnsi="Times New Roman" w:cs="Times New Roman"/>
          <w:color w:val="auto"/>
          <w:w w:val="99"/>
          <w:highlight w:val="none"/>
          <w:lang w:bidi="zh-CN"/>
        </w:rPr>
        <w:t>参照《</w:t>
      </w:r>
      <w:r>
        <w:rPr>
          <w:rFonts w:ascii="Times New Roman" w:hAnsi="Times New Roman" w:cs="Times New Roman"/>
          <w:color w:val="auto"/>
          <w:w w:val="99"/>
          <w:highlight w:val="none"/>
          <w:lang w:bidi="zh-CN"/>
        </w:rPr>
        <w:t>陆上石油天然气生产环境保护推荐作法</w:t>
      </w:r>
      <w:r>
        <w:rPr>
          <w:rFonts w:hint="eastAsia" w:ascii="Times New Roman" w:hAnsi="Times New Roman" w:cs="Times New Roman"/>
          <w:color w:val="auto"/>
          <w:w w:val="99"/>
          <w:highlight w:val="none"/>
          <w:lang w:bidi="zh-CN"/>
        </w:rPr>
        <w:t>》（</w:t>
      </w:r>
      <w:r>
        <w:rPr>
          <w:rFonts w:ascii="Times New Roman" w:hAnsi="Times New Roman" w:cs="Times New Roman"/>
          <w:color w:val="auto"/>
          <w:w w:val="99"/>
          <w:highlight w:val="none"/>
          <w:lang w:bidi="zh-CN"/>
        </w:rPr>
        <w:t>SY/T 6628</w:t>
      </w:r>
      <w:r>
        <w:rPr>
          <w:rFonts w:hint="eastAsia" w:ascii="Times New Roman" w:hAnsi="Times New Roman" w:cs="Times New Roman"/>
          <w:color w:val="auto"/>
          <w:w w:val="99"/>
          <w:highlight w:val="none"/>
          <w:lang w:bidi="zh-CN"/>
        </w:rPr>
        <w:t>）、《</w:t>
      </w:r>
      <w:r>
        <w:rPr>
          <w:rFonts w:ascii="Times New Roman" w:hAnsi="Times New Roman" w:cs="Times New Roman"/>
          <w:color w:val="auto"/>
          <w:w w:val="99"/>
          <w:highlight w:val="none"/>
          <w:lang w:bidi="zh-CN"/>
        </w:rPr>
        <w:t>废弃井及长停井处置指南</w:t>
      </w:r>
      <w:r>
        <w:rPr>
          <w:rFonts w:hint="eastAsia" w:ascii="Times New Roman" w:hAnsi="Times New Roman" w:cs="Times New Roman"/>
          <w:color w:val="auto"/>
          <w:w w:val="99"/>
          <w:highlight w:val="none"/>
          <w:lang w:bidi="zh-CN"/>
        </w:rPr>
        <w:t>》（</w:t>
      </w:r>
      <w:r>
        <w:rPr>
          <w:rFonts w:ascii="Times New Roman" w:hAnsi="Times New Roman" w:cs="Times New Roman"/>
          <w:color w:val="auto"/>
          <w:w w:val="99"/>
          <w:highlight w:val="none"/>
          <w:lang w:bidi="zh-CN"/>
        </w:rPr>
        <w:t>SY/T 6646</w:t>
      </w:r>
      <w:r>
        <w:rPr>
          <w:rFonts w:hint="eastAsia" w:ascii="Times New Roman" w:hAnsi="Times New Roman" w:cs="Times New Roman"/>
          <w:color w:val="auto"/>
          <w:w w:val="99"/>
          <w:highlight w:val="none"/>
          <w:lang w:bidi="zh-CN"/>
        </w:rPr>
        <w:t>）</w:t>
      </w:r>
      <w:r>
        <w:rPr>
          <w:rFonts w:ascii="Times New Roman" w:hAnsi="Times New Roman" w:cs="Times New Roman"/>
          <w:color w:val="auto"/>
          <w:w w:val="99"/>
          <w:highlight w:val="none"/>
          <w:lang w:bidi="zh-CN"/>
        </w:rPr>
        <w:t>和《废弃井封井回填技术指南（试行）》的相关要求执行。</w:t>
      </w:r>
    </w:p>
    <w:p w14:paraId="54377E92">
      <w:pPr>
        <w:widowControl w:val="0"/>
        <w:spacing w:before="60" w:after="60"/>
        <w:jc w:val="both"/>
        <w:outlineLvl w:val="2"/>
        <w:rPr>
          <w:rFonts w:ascii="Times New Roman" w:hAnsi="Times New Roman" w:cs="Times New Roman"/>
          <w:b/>
          <w:color w:val="auto"/>
          <w:w w:val="99"/>
          <w:kern w:val="2"/>
          <w:highlight w:val="none"/>
        </w:rPr>
      </w:pPr>
      <w:bookmarkStart w:id="1057" w:name="_Toc76976338"/>
      <w:bookmarkStart w:id="1058" w:name="_Toc83209568"/>
      <w:bookmarkStart w:id="1059" w:name="_Toc70050276"/>
      <w:bookmarkStart w:id="1060" w:name="_Toc67860229"/>
      <w:bookmarkStart w:id="1061" w:name="_Toc78816551"/>
      <w:bookmarkStart w:id="1062" w:name="_Toc80971468"/>
      <w:bookmarkStart w:id="1063" w:name="_Toc186444380"/>
      <w:bookmarkStart w:id="1064" w:name="_Toc80588346"/>
      <w:bookmarkStart w:id="1065" w:name="_Toc77067749"/>
      <w:r>
        <w:rPr>
          <w:rFonts w:ascii="Times New Roman" w:hAnsi="Times New Roman" w:cs="Times New Roman"/>
          <w:b/>
          <w:color w:val="auto"/>
          <w:w w:val="99"/>
          <w:kern w:val="2"/>
          <w:highlight w:val="none"/>
        </w:rPr>
        <w:t>6.1.4噪声污染控制措施</w:t>
      </w:r>
      <w:bookmarkEnd w:id="1057"/>
      <w:bookmarkEnd w:id="1058"/>
      <w:bookmarkEnd w:id="1059"/>
      <w:bookmarkEnd w:id="1060"/>
      <w:bookmarkEnd w:id="1061"/>
      <w:bookmarkEnd w:id="1062"/>
      <w:bookmarkEnd w:id="1063"/>
      <w:bookmarkEnd w:id="1064"/>
      <w:bookmarkEnd w:id="1065"/>
    </w:p>
    <w:p w14:paraId="6FFF8AB1">
      <w:pPr>
        <w:pStyle w:val="153"/>
        <w:widowControl w:val="0"/>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6.1.4.1施工期</w:t>
      </w:r>
    </w:p>
    <w:p w14:paraId="39789878">
      <w:pPr>
        <w:widowControl w:val="0"/>
        <w:spacing w:line="440" w:lineRule="exact"/>
        <w:ind w:firstLine="474" w:firstLineChars="200"/>
        <w:jc w:val="both"/>
        <w:rPr>
          <w:rFonts w:ascii="Times New Roman" w:hAnsi="Times New Roman" w:cs="Times New Roman"/>
          <w:color w:val="auto"/>
          <w:w w:val="99"/>
          <w:highlight w:val="none"/>
          <w:lang w:bidi="zh-CN"/>
        </w:rPr>
      </w:pPr>
      <w:bookmarkStart w:id="1066" w:name="_Hlk80771632"/>
      <w:r>
        <w:rPr>
          <w:rFonts w:ascii="Times New Roman" w:hAnsi="Times New Roman" w:cs="Times New Roman"/>
          <w:color w:val="auto"/>
          <w:w w:val="99"/>
          <w:highlight w:val="none"/>
          <w:lang w:bidi="zh-CN"/>
        </w:rPr>
        <w:t>施工期产生的噪声主要为钻井工程、地面及站场施工过程中施工机械和车辆运行噪声。</w:t>
      </w:r>
    </w:p>
    <w:p w14:paraId="627E0A49">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（1）合理安排施工进度，减少施工时间，尽量避免大量高噪声设备同时施工。</w:t>
      </w:r>
    </w:p>
    <w:p w14:paraId="185D726E">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highlight w:val="none"/>
          <w:lang w:bidi="zh-CN"/>
        </w:rPr>
        <w:t>（2）除钻进外，其它施工严格禁止夜间进行。合理布置施工现场，尽量将高噪声机械布置远离环境敏感点一侧，同时，避免在同一地点安排较多的动力机械。</w:t>
      </w:r>
      <w:r>
        <w:rPr>
          <w:rFonts w:ascii="Times New Roman" w:hAnsi="Times New Roman" w:cs="Times New Roman"/>
          <w:color w:val="auto"/>
          <w:w w:val="99"/>
          <w:kern w:val="2"/>
          <w:highlight w:val="none"/>
        </w:rPr>
        <w:t>距离</w:t>
      </w:r>
      <w:r>
        <w:rPr>
          <w:rFonts w:hint="eastAsia" w:ascii="Times New Roman" w:hAnsi="Times New Roman" w:cs="Times New Roman"/>
          <w:color w:val="auto"/>
          <w:w w:val="99"/>
          <w:kern w:val="2"/>
          <w:highlight w:val="none"/>
        </w:rPr>
        <w:t>敏感目标（尚家围子屯）</w:t>
      </w:r>
      <w:r>
        <w:rPr>
          <w:rFonts w:ascii="Times New Roman" w:hAnsi="Times New Roman" w:cs="Times New Roman"/>
          <w:color w:val="auto"/>
          <w:w w:val="99"/>
          <w:kern w:val="2"/>
          <w:highlight w:val="none"/>
        </w:rPr>
        <w:t>较近的</w:t>
      </w:r>
      <w:r>
        <w:rPr>
          <w:rFonts w:hint="eastAsia" w:ascii="Times New Roman" w:hAnsi="Times New Roman" w:cs="Times New Roman"/>
          <w:color w:val="auto"/>
          <w:w w:val="99"/>
          <w:kern w:val="2"/>
          <w:highlight w:val="none"/>
        </w:rPr>
        <w:t>采气管线施工时靠近村屯一侧，</w:t>
      </w:r>
      <w:r>
        <w:rPr>
          <w:rFonts w:ascii="Times New Roman" w:hAnsi="Times New Roman" w:cs="Times New Roman"/>
          <w:color w:val="auto"/>
          <w:w w:val="99"/>
          <w:kern w:val="2"/>
          <w:highlight w:val="none"/>
        </w:rPr>
        <w:t>设置隔声屏障，降低施工机械对</w:t>
      </w:r>
      <w:r>
        <w:rPr>
          <w:rFonts w:hint="eastAsia" w:ascii="Times New Roman" w:hAnsi="Times New Roman" w:cs="Times New Roman"/>
          <w:color w:val="auto"/>
          <w:w w:val="99"/>
          <w:kern w:val="2"/>
          <w:highlight w:val="none"/>
        </w:rPr>
        <w:t>尚家围子</w:t>
      </w:r>
      <w:r>
        <w:rPr>
          <w:rFonts w:ascii="Times New Roman" w:hAnsi="Times New Roman" w:cs="Times New Roman"/>
          <w:bCs/>
          <w:color w:val="auto"/>
          <w:w w:val="99"/>
          <w:kern w:val="2"/>
          <w:highlight w:val="none"/>
        </w:rPr>
        <w:t>屯</w:t>
      </w:r>
      <w:r>
        <w:rPr>
          <w:rFonts w:ascii="Times New Roman" w:hAnsi="Times New Roman" w:cs="Times New Roman"/>
          <w:color w:val="auto"/>
          <w:w w:val="99"/>
          <w:kern w:val="2"/>
          <w:highlight w:val="none"/>
        </w:rPr>
        <w:t>的影响。</w:t>
      </w:r>
    </w:p>
    <w:p w14:paraId="53FBAC9E">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（3）降低设备噪声。选用低噪声设备，平时注意设备维护和保养，合理操作，保证施工机械保持在最佳状态，降低噪声源强度，避免设备不正常运行产生的高噪声。</w:t>
      </w:r>
    </w:p>
    <w:p w14:paraId="791A0E40">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（4）运输车辆选择避开居民点路线，临近居民区应减少汽车鸣笛的次数，减速慢行。</w:t>
      </w:r>
    </w:p>
    <w:p w14:paraId="77A199D1">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（5）加强对施工人员的培训及责任教育，做好施工机械和运输车辆的调度和交通疏导工作，运输车辆选择避开居民区的路线，限制车速，禁止鸣笛，降低交通噪声；</w:t>
      </w:r>
    </w:p>
    <w:p w14:paraId="0D96EEC6">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（6）机泵等设备布置在室内，且采取基础减震等设施。</w:t>
      </w:r>
    </w:p>
    <w:p w14:paraId="7252E18B">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（7）</w:t>
      </w:r>
      <w:r>
        <w:rPr>
          <w:rFonts w:ascii="Times New Roman" w:hAnsi="Times New Roman" w:cs="Times New Roman"/>
          <w:color w:val="auto"/>
          <w:w w:val="99"/>
          <w:kern w:val="2"/>
          <w:highlight w:val="none"/>
        </w:rPr>
        <w:t>注意对设备的维护保养，保证设备保持在最佳运营状态，降低噪声源强度</w:t>
      </w:r>
      <w:r>
        <w:rPr>
          <w:rFonts w:hint="eastAsia" w:ascii="Times New Roman" w:hAnsi="Times New Roman" w:cs="Times New Roman"/>
          <w:color w:val="auto"/>
          <w:w w:val="99"/>
          <w:kern w:val="2"/>
          <w:highlight w:val="none"/>
        </w:rPr>
        <w:t>。</w:t>
      </w:r>
    </w:p>
    <w:p w14:paraId="70A37380">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通过采取上述措施，能够确保各施工场界噪声满足《</w:t>
      </w:r>
      <w:r>
        <w:rPr>
          <w:rFonts w:hint="eastAsia" w:ascii="Times New Roman" w:hAnsi="Times New Roman" w:cs="Times New Roman"/>
          <w:color w:val="auto"/>
          <w:w w:val="99"/>
          <w:highlight w:val="none"/>
          <w:lang w:bidi="zh-CN"/>
        </w:rPr>
        <w:t>建筑施工噪声排放标准</w:t>
      </w:r>
      <w:r>
        <w:rPr>
          <w:rFonts w:ascii="Times New Roman" w:hAnsi="Times New Roman" w:cs="Times New Roman"/>
          <w:color w:val="auto"/>
          <w:w w:val="99"/>
          <w:highlight w:val="none"/>
          <w:lang w:bidi="zh-CN"/>
        </w:rPr>
        <w:t>》（GB 12523-20</w:t>
      </w:r>
      <w:r>
        <w:rPr>
          <w:rFonts w:hint="eastAsia" w:ascii="Times New Roman" w:hAnsi="Times New Roman" w:cs="Times New Roman"/>
          <w:color w:val="auto"/>
          <w:w w:val="99"/>
          <w:highlight w:val="none"/>
          <w:lang w:bidi="zh-CN"/>
        </w:rPr>
        <w:t>25</w:t>
      </w:r>
      <w:r>
        <w:rPr>
          <w:rFonts w:ascii="Times New Roman" w:hAnsi="Times New Roman" w:cs="Times New Roman"/>
          <w:color w:val="auto"/>
          <w:w w:val="99"/>
          <w:highlight w:val="none"/>
          <w:lang w:bidi="zh-CN"/>
        </w:rPr>
        <w:t>）要求，不会对施工场地周边敏感点产生较大影响，施工期噪声治理措施可行。</w:t>
      </w:r>
    </w:p>
    <w:p w14:paraId="4992E5D1">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6.1.4.2运营期</w:t>
      </w:r>
    </w:p>
    <w:p w14:paraId="2387678E">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本项目</w:t>
      </w:r>
      <w:r>
        <w:rPr>
          <w:rFonts w:hint="eastAsia" w:ascii="Times New Roman" w:hAnsi="Times New Roman" w:cs="Times New Roman"/>
          <w:color w:val="auto"/>
          <w:w w:val="99"/>
          <w:kern w:val="2"/>
          <w:highlight w:val="none"/>
        </w:rPr>
        <w:t>气井井场正常运营期无噪声，项目主要噪声为井场放空噪声及依托场站设备噪声</w:t>
      </w:r>
      <w:r>
        <w:rPr>
          <w:rFonts w:ascii="Times New Roman" w:hAnsi="Times New Roman" w:cs="Times New Roman"/>
          <w:color w:val="auto"/>
          <w:w w:val="99"/>
          <w:highlight w:val="none"/>
          <w:lang w:bidi="zh-CN"/>
        </w:rPr>
        <w:t>。</w:t>
      </w:r>
    </w:p>
    <w:p w14:paraId="1C9C8A41">
      <w:pPr>
        <w:widowControl w:val="0"/>
        <w:numPr>
          <w:ilvl w:val="0"/>
          <w:numId w:val="12"/>
        </w:numPr>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加强发声设备的维护保养，保持最佳运行状态，降低噪声源强度；</w:t>
      </w:r>
    </w:p>
    <w:p w14:paraId="3C70A705">
      <w:pPr>
        <w:widowControl w:val="0"/>
        <w:numPr>
          <w:ilvl w:val="0"/>
          <w:numId w:val="12"/>
        </w:numPr>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选择低噪声设备，基础减振及隔声门窗等；</w:t>
      </w:r>
    </w:p>
    <w:p w14:paraId="48C448A0">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w:t>
      </w:r>
      <w:r>
        <w:rPr>
          <w:rFonts w:hint="eastAsia" w:ascii="Times New Roman" w:hAnsi="Times New Roman" w:cs="Times New Roman"/>
          <w:color w:val="auto"/>
          <w:w w:val="99"/>
          <w:highlight w:val="none"/>
          <w:lang w:bidi="zh-CN"/>
        </w:rPr>
        <w:t>3</w:t>
      </w:r>
      <w:r>
        <w:rPr>
          <w:rFonts w:ascii="Times New Roman" w:hAnsi="Times New Roman" w:cs="Times New Roman"/>
          <w:color w:val="auto"/>
          <w:w w:val="99"/>
          <w:highlight w:val="none"/>
          <w:lang w:bidi="zh-CN"/>
        </w:rPr>
        <w:t>）井场放空应尽量选择在白天，减缓放空速率，降低放空噪声。</w:t>
      </w:r>
    </w:p>
    <w:p w14:paraId="2D230BDA">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通过采取以上措施后，能够确保井场</w:t>
      </w:r>
      <w:r>
        <w:rPr>
          <w:rFonts w:hint="eastAsia" w:ascii="Times New Roman" w:hAnsi="Times New Roman" w:cs="Times New Roman"/>
          <w:color w:val="auto"/>
          <w:w w:val="99"/>
          <w:highlight w:val="none"/>
          <w:lang w:bidi="zh-CN"/>
        </w:rPr>
        <w:t>及改建场站</w:t>
      </w:r>
      <w:r>
        <w:rPr>
          <w:rFonts w:ascii="Times New Roman" w:hAnsi="Times New Roman" w:cs="Times New Roman"/>
          <w:color w:val="auto"/>
          <w:w w:val="99"/>
          <w:highlight w:val="none"/>
          <w:lang w:bidi="zh-CN"/>
        </w:rPr>
        <w:t>厂界噪声满足《工业企业厂界环境噪声排放标准》（GB12348-2008）2类标准，不会对周围声环境产生较大影响，运营期噪声治理措施可行。</w:t>
      </w:r>
    </w:p>
    <w:p w14:paraId="348A68FC">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6.1.4.3退役期</w:t>
      </w:r>
    </w:p>
    <w:p w14:paraId="3CEA6DA1">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退役期噪声源主要是拆除井场</w:t>
      </w:r>
      <w:r>
        <w:rPr>
          <w:rFonts w:hint="eastAsia" w:ascii="Times New Roman" w:hAnsi="Times New Roman" w:cs="Times New Roman"/>
          <w:color w:val="auto"/>
          <w:w w:val="99"/>
          <w:highlight w:val="none"/>
          <w:lang w:bidi="zh-CN"/>
        </w:rPr>
        <w:t>机械</w:t>
      </w:r>
      <w:r>
        <w:rPr>
          <w:rFonts w:ascii="Times New Roman" w:hAnsi="Times New Roman" w:cs="Times New Roman"/>
          <w:color w:val="auto"/>
          <w:w w:val="99"/>
          <w:highlight w:val="none"/>
          <w:lang w:bidi="zh-CN"/>
        </w:rPr>
        <w:t>等设备产生的噪声。</w:t>
      </w:r>
    </w:p>
    <w:p w14:paraId="087C8A6A">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退役期施工时应加强施工管理工作，合理安排施工进度，避免大量高噪声设备同时施工；选用低噪声设备；运输车辆选择避开居民区的路线。</w:t>
      </w:r>
    </w:p>
    <w:p w14:paraId="2CD6BE94">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通过采取上述措施，能够确保退役期施工场界噪声满足《</w:t>
      </w:r>
      <w:r>
        <w:rPr>
          <w:rFonts w:hint="eastAsia" w:ascii="Times New Roman" w:hAnsi="Times New Roman" w:cs="Times New Roman"/>
          <w:color w:val="auto"/>
          <w:w w:val="99"/>
          <w:highlight w:val="none"/>
          <w:lang w:bidi="zh-CN"/>
        </w:rPr>
        <w:t>建筑施工噪声排放标准</w:t>
      </w:r>
      <w:r>
        <w:rPr>
          <w:rFonts w:ascii="Times New Roman" w:hAnsi="Times New Roman" w:cs="Times New Roman"/>
          <w:color w:val="auto"/>
          <w:w w:val="99"/>
          <w:highlight w:val="none"/>
          <w:lang w:bidi="zh-CN"/>
        </w:rPr>
        <w:t>》（GB12523-20</w:t>
      </w:r>
      <w:r>
        <w:rPr>
          <w:rFonts w:hint="eastAsia" w:ascii="Times New Roman" w:hAnsi="Times New Roman" w:cs="Times New Roman"/>
          <w:color w:val="auto"/>
          <w:w w:val="99"/>
          <w:highlight w:val="none"/>
          <w:lang w:bidi="zh-CN"/>
        </w:rPr>
        <w:t>25</w:t>
      </w:r>
      <w:r>
        <w:rPr>
          <w:rFonts w:ascii="Times New Roman" w:hAnsi="Times New Roman" w:cs="Times New Roman"/>
          <w:color w:val="auto"/>
          <w:w w:val="99"/>
          <w:highlight w:val="none"/>
          <w:lang w:bidi="zh-CN"/>
        </w:rPr>
        <w:t>）要求，且不会对施工场地周边敏感点产生较大影响，退役期噪声治理措施可行。</w:t>
      </w:r>
    </w:p>
    <w:bookmarkEnd w:id="1066"/>
    <w:p w14:paraId="455A04D7">
      <w:pPr>
        <w:pStyle w:val="7"/>
        <w:keepNext w:val="0"/>
        <w:keepLines w:val="0"/>
        <w:widowControl w:val="0"/>
        <w:spacing w:before="60" w:after="60"/>
        <w:jc w:val="both"/>
        <w:rPr>
          <w:rFonts w:eastAsia="宋体"/>
          <w:b/>
          <w:color w:val="auto"/>
          <w:w w:val="99"/>
          <w:kern w:val="2"/>
          <w:sz w:val="24"/>
          <w:szCs w:val="24"/>
          <w:highlight w:val="none"/>
        </w:rPr>
      </w:pPr>
      <w:bookmarkStart w:id="1067" w:name="_Toc80588347"/>
      <w:bookmarkStart w:id="1068" w:name="_Toc83209569"/>
      <w:bookmarkStart w:id="1069" w:name="_Toc186444381"/>
      <w:bookmarkStart w:id="1070" w:name="_Toc80971469"/>
      <w:bookmarkStart w:id="1071" w:name="_Toc70050277"/>
      <w:bookmarkStart w:id="1072" w:name="_Toc76976339"/>
      <w:bookmarkStart w:id="1073" w:name="_Toc78816552"/>
      <w:bookmarkStart w:id="1074" w:name="_Toc67860230"/>
      <w:bookmarkStart w:id="1075" w:name="_Toc196215817"/>
      <w:bookmarkStart w:id="1076" w:name="_Toc77067750"/>
      <w:r>
        <w:rPr>
          <w:rFonts w:eastAsia="宋体"/>
          <w:b/>
          <w:color w:val="auto"/>
          <w:w w:val="99"/>
          <w:kern w:val="2"/>
          <w:sz w:val="24"/>
          <w:szCs w:val="24"/>
          <w:highlight w:val="none"/>
        </w:rPr>
        <w:t>6.1.5固体废弃物控制措施</w:t>
      </w:r>
      <w:bookmarkEnd w:id="1067"/>
      <w:bookmarkEnd w:id="1068"/>
      <w:bookmarkEnd w:id="1069"/>
      <w:bookmarkEnd w:id="1070"/>
      <w:bookmarkEnd w:id="1071"/>
      <w:bookmarkEnd w:id="1072"/>
      <w:bookmarkEnd w:id="1073"/>
      <w:bookmarkEnd w:id="1074"/>
      <w:bookmarkEnd w:id="1075"/>
      <w:bookmarkEnd w:id="1076"/>
    </w:p>
    <w:p w14:paraId="2978741D">
      <w:pPr>
        <w:pStyle w:val="153"/>
        <w:widowControl w:val="0"/>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6.1.5.1施工期</w:t>
      </w:r>
    </w:p>
    <w:p w14:paraId="0D0B455E">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（1）施工期产生的施工废料属于一般工业固体废物，</w:t>
      </w:r>
      <w:r>
        <w:rPr>
          <w:rFonts w:ascii="Times New Roman" w:hAnsi="Times New Roman" w:cs="Times New Roman"/>
          <w:color w:val="auto"/>
          <w:w w:val="99"/>
          <w:kern w:val="2"/>
          <w:highlight w:val="none"/>
        </w:rPr>
        <w:t>统一收集后由施工单位拉运至第八采油厂工业固废填埋场处理。</w:t>
      </w:r>
    </w:p>
    <w:p w14:paraId="0470EFE8">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（2）施工人员产生的生活垃圾</w:t>
      </w:r>
      <w:r>
        <w:rPr>
          <w:rFonts w:ascii="Times New Roman" w:hAnsi="Times New Roman" w:cs="Times New Roman"/>
          <w:color w:val="auto"/>
          <w:w w:val="99"/>
          <w:highlight w:val="none"/>
          <w:lang w:bidi="zh-CN"/>
        </w:rPr>
        <w:t>统一收集后拉运至</w:t>
      </w:r>
      <w:r>
        <w:rPr>
          <w:rFonts w:hint="eastAsia" w:ascii="Times New Roman" w:hAnsi="Times New Roman" w:cs="Times New Roman"/>
          <w:color w:val="auto"/>
          <w:w w:val="99"/>
          <w:highlight w:val="none"/>
          <w:lang w:bidi="zh-CN"/>
        </w:rPr>
        <w:t>肇东北控环境再生能源有限公司</w:t>
      </w:r>
      <w:r>
        <w:rPr>
          <w:rFonts w:ascii="Times New Roman" w:hAnsi="Times New Roman" w:cs="Times New Roman"/>
          <w:color w:val="auto"/>
          <w:w w:val="99"/>
          <w:highlight w:val="none"/>
          <w:lang w:bidi="zh-CN"/>
        </w:rPr>
        <w:t>处理。</w:t>
      </w:r>
      <w:r>
        <w:rPr>
          <w:rFonts w:hint="eastAsia" w:ascii="Times New Roman" w:hAnsi="Times New Roman" w:cs="Times New Roman"/>
          <w:color w:val="auto"/>
          <w:w w:val="99"/>
          <w:highlight w:val="none"/>
          <w:lang w:bidi="zh-CN"/>
        </w:rPr>
        <w:t xml:space="preserve"> </w:t>
      </w:r>
    </w:p>
    <w:p w14:paraId="7BB05911">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通过采取上述措施，本项目施工期产生的固体废物均能按照“资源化、减量化、无害化”原则，合理安全处置。</w:t>
      </w:r>
    </w:p>
    <w:p w14:paraId="3755CD73">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6.1.5.2运营期</w:t>
      </w:r>
    </w:p>
    <w:p w14:paraId="71B77A62">
      <w:pPr>
        <w:pStyle w:val="47"/>
        <w:spacing w:after="0" w:line="440" w:lineRule="exact"/>
        <w:ind w:left="0" w:leftChars="0" w:firstLine="474" w:firstLineChars="200"/>
        <w:rPr>
          <w:color w:val="auto"/>
          <w:w w:val="99"/>
          <w:kern w:val="2"/>
          <w:sz w:val="24"/>
          <w:highlight w:val="none"/>
        </w:rPr>
      </w:pPr>
      <w:r>
        <w:rPr>
          <w:color w:val="auto"/>
          <w:w w:val="99"/>
          <w:kern w:val="2"/>
          <w:sz w:val="24"/>
          <w:highlight w:val="none"/>
        </w:rPr>
        <w:t>本项目运营期</w:t>
      </w:r>
      <w:r>
        <w:rPr>
          <w:rFonts w:hint="eastAsia"/>
          <w:color w:val="auto"/>
          <w:w w:val="99"/>
          <w:kern w:val="2"/>
          <w:sz w:val="24"/>
          <w:highlight w:val="none"/>
        </w:rPr>
        <w:t>正常工况无固体废物产生，非常工况下</w:t>
      </w:r>
      <w:r>
        <w:rPr>
          <w:color w:val="auto"/>
          <w:w w:val="99"/>
          <w:kern w:val="2"/>
          <w:sz w:val="24"/>
          <w:highlight w:val="none"/>
        </w:rPr>
        <w:t>产生的固体废物主要</w:t>
      </w:r>
      <w:r>
        <w:rPr>
          <w:rFonts w:hint="eastAsia"/>
          <w:color w:val="auto"/>
          <w:w w:val="99"/>
          <w:kern w:val="2"/>
          <w:sz w:val="24"/>
          <w:highlight w:val="none"/>
        </w:rPr>
        <w:t>包括井口含油</w:t>
      </w:r>
      <w:r>
        <w:rPr>
          <w:rFonts w:hint="eastAsia"/>
          <w:color w:val="auto"/>
          <w:w w:val="99"/>
          <w:kern w:val="2"/>
          <w:sz w:val="24"/>
          <w:highlight w:val="none"/>
          <w:lang w:eastAsia="zh-CN"/>
        </w:rPr>
        <w:t>砂粒</w:t>
      </w:r>
      <w:r>
        <w:rPr>
          <w:rFonts w:hint="eastAsia"/>
          <w:color w:val="auto"/>
          <w:w w:val="99"/>
          <w:kern w:val="2"/>
          <w:sz w:val="24"/>
          <w:highlight w:val="none"/>
        </w:rPr>
        <w:t>、废变压器油</w:t>
      </w:r>
      <w:r>
        <w:rPr>
          <w:color w:val="auto"/>
          <w:w w:val="99"/>
          <w:kern w:val="2"/>
          <w:sz w:val="24"/>
          <w:highlight w:val="none"/>
        </w:rPr>
        <w:t>。</w:t>
      </w:r>
      <w:r>
        <w:rPr>
          <w:rFonts w:hint="eastAsia"/>
          <w:color w:val="auto"/>
          <w:w w:val="99"/>
          <w:kern w:val="2"/>
          <w:sz w:val="24"/>
          <w:highlight w:val="none"/>
        </w:rPr>
        <w:t>采取措施主要包括：</w:t>
      </w:r>
    </w:p>
    <w:p w14:paraId="26DEF7FD">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（1）根据《国家危险废物名录（2025年版）》，本工程井口除砂器产生少量</w:t>
      </w:r>
      <w:r>
        <w:rPr>
          <w:rFonts w:hint="eastAsia" w:ascii="Times New Roman" w:hAnsi="Times New Roman" w:cs="Times New Roman"/>
          <w:color w:val="auto"/>
          <w:w w:val="99"/>
          <w:highlight w:val="none"/>
          <w:lang w:bidi="zh-CN"/>
        </w:rPr>
        <w:t>井口含油砂粒、以及井场柱上变检修产生的废变压器油均</w:t>
      </w:r>
      <w:r>
        <w:rPr>
          <w:rFonts w:ascii="Times New Roman" w:hAnsi="Times New Roman" w:cs="Times New Roman"/>
          <w:color w:val="auto"/>
          <w:w w:val="99"/>
          <w:highlight w:val="none"/>
          <w:lang w:bidi="zh-CN"/>
        </w:rPr>
        <w:t>属于危险废物，危险废物类别为HW08废矿物油与含矿物油废物，代码为071-001-08</w:t>
      </w:r>
      <w:r>
        <w:rPr>
          <w:rFonts w:hint="eastAsia" w:ascii="Times New Roman" w:hAnsi="Times New Roman" w:cs="Times New Roman"/>
          <w:color w:val="auto"/>
          <w:w w:val="99"/>
          <w:highlight w:val="none"/>
          <w:lang w:bidi="zh-CN"/>
        </w:rPr>
        <w:t>以及900-220-08</w:t>
      </w:r>
      <w:r>
        <w:rPr>
          <w:rFonts w:ascii="Times New Roman" w:hAnsi="Times New Roman" w:cs="Times New Roman"/>
          <w:color w:val="auto"/>
          <w:w w:val="99"/>
          <w:highlight w:val="none"/>
          <w:lang w:bidi="zh-CN"/>
        </w:rPr>
        <w:t>，</w:t>
      </w:r>
      <w:r>
        <w:rPr>
          <w:rFonts w:hint="eastAsia" w:ascii="Times New Roman" w:hAnsi="Times New Roman" w:cs="Times New Roman"/>
          <w:color w:val="auto"/>
          <w:w w:val="99"/>
          <w:highlight w:val="none"/>
          <w:lang w:bidi="zh-CN"/>
        </w:rPr>
        <w:t>均</w:t>
      </w:r>
      <w:r>
        <w:rPr>
          <w:rFonts w:ascii="Times New Roman" w:hAnsi="Times New Roman" w:cs="Times New Roman"/>
          <w:color w:val="auto"/>
          <w:w w:val="99"/>
          <w:highlight w:val="none"/>
          <w:lang w:bidi="zh-CN"/>
        </w:rPr>
        <w:t>由检维修队送采气分公司危险废物贮存库内，定期委托有危废处置资质的单位处置。</w:t>
      </w:r>
    </w:p>
    <w:p w14:paraId="52DC7E73">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（2）</w:t>
      </w:r>
      <w:r>
        <w:rPr>
          <w:rFonts w:hint="eastAsia" w:ascii="Times New Roman" w:hAnsi="Times New Roman" w:cs="Times New Roman"/>
          <w:color w:val="auto"/>
          <w:w w:val="99"/>
          <w:highlight w:val="none"/>
          <w:lang w:bidi="zh-CN"/>
        </w:rPr>
        <w:t>井口除砂器采用旋流除砂器，气、液、砂在压力容器内分离，砂粒直接落入底部集砂腔/收砂筒，排沙时，打开排砂阀，砂粒+少量积液排入密闭砂罐/吨桶，全程无落地。</w:t>
      </w:r>
    </w:p>
    <w:p w14:paraId="6FEBDDF0">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本工程产生的危险废物及时进行收集运输工作，严格执行《危险废物转移管理办法》。在收集过程中确保危险废物不遗撒、泄漏。运输路线的选择过程中尽量避开环境敏感点。</w:t>
      </w:r>
    </w:p>
    <w:p w14:paraId="46AE2A10">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综上所述，本项目运营期产生的固体废物均能按照“资源化、减量化、无害化”原则，处理方式可行。</w:t>
      </w:r>
    </w:p>
    <w:p w14:paraId="2290749E">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6.1.5.3退役期</w:t>
      </w:r>
    </w:p>
    <w:p w14:paraId="1AD68BD8">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（1）退役期拆除的废旧设备全部回收至</w:t>
      </w:r>
      <w:r>
        <w:rPr>
          <w:rFonts w:hint="eastAsia" w:ascii="Times New Roman" w:hAnsi="Times New Roman" w:cs="Times New Roman"/>
          <w:color w:val="auto"/>
          <w:w w:val="99"/>
          <w:highlight w:val="none"/>
          <w:lang w:bidi="zh-CN"/>
        </w:rPr>
        <w:t>采气分公司</w:t>
      </w:r>
      <w:r>
        <w:rPr>
          <w:rFonts w:ascii="Times New Roman" w:hAnsi="Times New Roman" w:cs="Times New Roman"/>
          <w:color w:val="auto"/>
          <w:w w:val="99"/>
          <w:highlight w:val="none"/>
          <w:lang w:bidi="zh-CN"/>
        </w:rPr>
        <w:t>物资库；</w:t>
      </w:r>
    </w:p>
    <w:p w14:paraId="33BFAB05">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（2）生活垃圾统一收集后拉运至</w:t>
      </w:r>
      <w:r>
        <w:rPr>
          <w:rFonts w:hint="eastAsia" w:ascii="Times New Roman" w:hAnsi="Times New Roman" w:cs="Times New Roman"/>
          <w:color w:val="auto"/>
          <w:w w:val="99"/>
          <w:highlight w:val="none"/>
          <w:lang w:bidi="zh-CN"/>
        </w:rPr>
        <w:t>肇东北控环境再生能源有限公司</w:t>
      </w:r>
      <w:r>
        <w:rPr>
          <w:rFonts w:ascii="Times New Roman" w:hAnsi="Times New Roman" w:cs="Times New Roman"/>
          <w:color w:val="auto"/>
          <w:w w:val="99"/>
          <w:highlight w:val="none"/>
          <w:lang w:bidi="zh-CN"/>
        </w:rPr>
        <w:t>处理，执行《城市生活垃圾管理办法》（</w:t>
      </w:r>
      <w:r>
        <w:rPr>
          <w:rFonts w:hint="eastAsia" w:ascii="Times New Roman" w:hAnsi="Times New Roman" w:cs="Times New Roman"/>
          <w:color w:val="auto"/>
          <w:w w:val="99"/>
          <w:highlight w:val="none"/>
          <w:lang w:bidi="zh-CN"/>
        </w:rPr>
        <w:t>建设部令〔</w:t>
      </w:r>
      <w:r>
        <w:rPr>
          <w:rFonts w:ascii="Times New Roman" w:hAnsi="Times New Roman" w:cs="Times New Roman"/>
          <w:color w:val="auto"/>
          <w:w w:val="99"/>
          <w:highlight w:val="none"/>
          <w:lang w:bidi="zh-CN"/>
        </w:rPr>
        <w:t>2007〕157号发布，住建部令〔2015〕24号、建法规〔2019〕6号修正）；</w:t>
      </w:r>
    </w:p>
    <w:p w14:paraId="5B10B894">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（3）封井建筑垃圾统一收集后由施工单位清运至建筑垃圾调配场处理。</w:t>
      </w:r>
    </w:p>
    <w:p w14:paraId="2B85F6D6">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highlight w:val="none"/>
          <w:lang w:bidi="zh-CN"/>
        </w:rPr>
        <w:t>（4）</w:t>
      </w:r>
      <w:r>
        <w:rPr>
          <w:rFonts w:hint="eastAsia" w:ascii="Times New Roman" w:hAnsi="Times New Roman" w:cs="Times New Roman"/>
          <w:color w:val="auto"/>
          <w:w w:val="99"/>
          <w:kern w:val="2"/>
          <w:highlight w:val="none"/>
        </w:rPr>
        <w:t>拆除施工时井场铺设防渗布，</w:t>
      </w:r>
      <w:r>
        <w:rPr>
          <w:rFonts w:ascii="Times New Roman" w:hAnsi="Times New Roman" w:cs="Times New Roman"/>
          <w:color w:val="auto"/>
          <w:w w:val="99"/>
          <w:kern w:val="2"/>
          <w:highlight w:val="none"/>
        </w:rPr>
        <w:t>单块防渗布重量按250kg（12m×12m）计，平均每口井作业用</w:t>
      </w:r>
      <w:r>
        <w:rPr>
          <w:rFonts w:hint="eastAsia" w:ascii="Times New Roman" w:hAnsi="Times New Roman" w:cs="Times New Roman"/>
          <w:color w:val="auto"/>
          <w:w w:val="99"/>
          <w:kern w:val="2"/>
          <w:highlight w:val="none"/>
        </w:rPr>
        <w:t>3</w:t>
      </w:r>
      <w:r>
        <w:rPr>
          <w:rFonts w:ascii="Times New Roman" w:hAnsi="Times New Roman" w:cs="Times New Roman"/>
          <w:color w:val="auto"/>
          <w:w w:val="99"/>
          <w:kern w:val="2"/>
          <w:highlight w:val="none"/>
        </w:rPr>
        <w:t>块，</w:t>
      </w:r>
      <w:r>
        <w:rPr>
          <w:rFonts w:hint="eastAsia" w:ascii="Times New Roman" w:hAnsi="Times New Roman" w:cs="Times New Roman"/>
          <w:color w:val="auto"/>
          <w:w w:val="99"/>
          <w:kern w:val="2"/>
          <w:highlight w:val="none"/>
        </w:rPr>
        <w:t>防渗布可能滴落含烃废水，退役期含油废防渗布最大产生量约0.75t。</w:t>
      </w:r>
      <w:r>
        <w:rPr>
          <w:rFonts w:ascii="Times New Roman" w:hAnsi="Times New Roman" w:cs="Times New Roman"/>
          <w:color w:val="auto"/>
          <w:w w:val="99"/>
          <w:kern w:val="2"/>
          <w:highlight w:val="none"/>
        </w:rPr>
        <w:t>含油废防渗布在作业结束后，</w:t>
      </w:r>
      <w:r>
        <w:rPr>
          <w:rFonts w:hint="eastAsia" w:ascii="Times New Roman" w:hAnsi="Times New Roman" w:cs="Times New Roman"/>
          <w:color w:val="auto"/>
          <w:w w:val="99"/>
          <w:kern w:val="2"/>
          <w:highlight w:val="none"/>
        </w:rPr>
        <w:t>由施工单位运至采气分公司危险废物贮存库，</w:t>
      </w:r>
      <w:r>
        <w:rPr>
          <w:rFonts w:ascii="Times New Roman" w:hAnsi="Times New Roman" w:cs="Times New Roman"/>
          <w:color w:val="auto"/>
          <w:w w:val="99"/>
          <w:kern w:val="2"/>
          <w:highlight w:val="none"/>
        </w:rPr>
        <w:t>委托</w:t>
      </w:r>
      <w:r>
        <w:rPr>
          <w:rFonts w:hint="eastAsia" w:ascii="Times New Roman" w:hAnsi="Times New Roman" w:cs="Times New Roman"/>
          <w:color w:val="auto"/>
          <w:w w:val="99"/>
          <w:kern w:val="2"/>
          <w:highlight w:val="none"/>
        </w:rPr>
        <w:t>有资质单位</w:t>
      </w:r>
      <w:r>
        <w:rPr>
          <w:rFonts w:ascii="Times New Roman" w:hAnsi="Times New Roman" w:cs="Times New Roman"/>
          <w:color w:val="auto"/>
          <w:w w:val="99"/>
          <w:kern w:val="2"/>
          <w:highlight w:val="none"/>
        </w:rPr>
        <w:t>转运处置</w:t>
      </w:r>
      <w:r>
        <w:rPr>
          <w:rFonts w:hint="eastAsia" w:ascii="Times New Roman" w:hAnsi="Times New Roman" w:cs="Times New Roman"/>
          <w:color w:val="auto"/>
          <w:w w:val="99"/>
          <w:kern w:val="2"/>
          <w:highlight w:val="none"/>
        </w:rPr>
        <w:t>。</w:t>
      </w:r>
    </w:p>
    <w:p w14:paraId="4D5B26E4">
      <w:pPr>
        <w:pStyle w:val="7"/>
        <w:keepNext w:val="0"/>
        <w:keepLines w:val="0"/>
        <w:widowControl w:val="0"/>
        <w:spacing w:before="60" w:after="60"/>
        <w:jc w:val="both"/>
        <w:rPr>
          <w:rFonts w:eastAsia="宋体"/>
          <w:b/>
          <w:color w:val="auto"/>
          <w:w w:val="99"/>
          <w:kern w:val="2"/>
          <w:sz w:val="24"/>
          <w:szCs w:val="24"/>
          <w:highlight w:val="none"/>
        </w:rPr>
      </w:pPr>
      <w:bookmarkStart w:id="1077" w:name="_Toc76976340"/>
      <w:bookmarkStart w:id="1078" w:name="_Toc77067751"/>
      <w:bookmarkStart w:id="1079" w:name="_Toc83209570"/>
      <w:bookmarkStart w:id="1080" w:name="_Toc70050278"/>
      <w:bookmarkStart w:id="1081" w:name="_Toc186444382"/>
      <w:bookmarkStart w:id="1082" w:name="_Toc80588348"/>
      <w:bookmarkStart w:id="1083" w:name="_Toc67860231"/>
      <w:bookmarkStart w:id="1084" w:name="_Toc80971470"/>
      <w:bookmarkStart w:id="1085" w:name="_Toc78816553"/>
      <w:r>
        <w:rPr>
          <w:rFonts w:eastAsia="宋体"/>
          <w:b/>
          <w:color w:val="auto"/>
          <w:w w:val="99"/>
          <w:kern w:val="2"/>
          <w:sz w:val="24"/>
          <w:szCs w:val="24"/>
          <w:highlight w:val="none"/>
        </w:rPr>
        <w:t>6.1.6生态保护措施</w:t>
      </w:r>
      <w:bookmarkEnd w:id="1077"/>
      <w:bookmarkEnd w:id="1078"/>
      <w:bookmarkEnd w:id="1079"/>
      <w:bookmarkEnd w:id="1080"/>
      <w:bookmarkEnd w:id="1081"/>
      <w:bookmarkEnd w:id="1082"/>
      <w:bookmarkEnd w:id="1083"/>
      <w:bookmarkEnd w:id="1084"/>
      <w:bookmarkEnd w:id="1085"/>
    </w:p>
    <w:p w14:paraId="3CEFC6AE">
      <w:pPr>
        <w:pStyle w:val="153"/>
        <w:widowControl w:val="0"/>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6.1.6.1施工期</w:t>
      </w:r>
    </w:p>
    <w:p w14:paraId="55A5D07C">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（1）一般性生态保护措施</w:t>
      </w:r>
    </w:p>
    <w:p w14:paraId="553C05A1">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①</w:t>
      </w:r>
      <w:r>
        <w:rPr>
          <w:rFonts w:hint="default" w:ascii="Times New Roman" w:hAnsi="Times New Roman" w:eastAsia="宋体"/>
          <w:color w:val="auto"/>
          <w:w w:val="99"/>
          <w:sz w:val="24"/>
          <w:szCs w:val="24"/>
          <w:highlight w:val="none"/>
        </w:rPr>
        <w:t>钻井施工应编制施工预案，科学安排作业，最大限度减少钻机搬迁等对植被的碾压和破坏；</w:t>
      </w:r>
    </w:p>
    <w:p w14:paraId="7AB0D07E">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②</w:t>
      </w:r>
      <w:r>
        <w:rPr>
          <w:rFonts w:hint="default" w:ascii="Times New Roman" w:hAnsi="Times New Roman" w:eastAsia="宋体"/>
          <w:color w:val="auto"/>
          <w:w w:val="99"/>
          <w:sz w:val="24"/>
          <w:szCs w:val="24"/>
          <w:highlight w:val="none"/>
        </w:rPr>
        <w:t>充分利用现有道路，尽量不再开辟新的临时进井通道；</w:t>
      </w:r>
    </w:p>
    <w:p w14:paraId="6C3B7E43">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shd w:val="clear" w:color="auto" w:fill="FFFFFF"/>
        </w:rPr>
        <w:t>③</w:t>
      </w:r>
      <w:r>
        <w:rPr>
          <w:rFonts w:hint="default" w:ascii="Times New Roman" w:hAnsi="Times New Roman" w:eastAsia="宋体"/>
          <w:color w:val="auto"/>
          <w:w w:val="99"/>
          <w:sz w:val="24"/>
          <w:szCs w:val="24"/>
          <w:highlight w:val="none"/>
        </w:rPr>
        <w:t>搬运钻井设备利用现有公路、小路，执行“无捷径”原则，应尽量减少占地面积，认真确定车辆行驶路线，不在道路、井场以外的地方行驶和作业，规范行车路线及施工人员行为，严禁随意践踏、碾压施工区范围外的植被，不准乱挖、乱采植物；</w:t>
      </w:r>
    </w:p>
    <w:p w14:paraId="4167C05C">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shd w:val="clear" w:color="auto" w:fill="FFFFFF"/>
        </w:rPr>
        <w:t>④</w:t>
      </w:r>
      <w:r>
        <w:rPr>
          <w:rFonts w:hint="default" w:ascii="Times New Roman" w:hAnsi="Times New Roman" w:eastAsia="宋体"/>
          <w:color w:val="auto"/>
          <w:w w:val="99"/>
          <w:sz w:val="24"/>
          <w:szCs w:val="24"/>
          <w:highlight w:val="none"/>
          <w:shd w:val="clear" w:color="auto" w:fill="FFFFFF"/>
        </w:rPr>
        <w:t>本项目已优先布置平台井，并采用定向钻井方式，减少了用地。</w:t>
      </w:r>
      <w:r>
        <w:rPr>
          <w:rFonts w:hint="default" w:ascii="Times New Roman" w:hAnsi="Times New Roman" w:eastAsia="宋体"/>
          <w:color w:val="auto"/>
          <w:w w:val="99"/>
          <w:sz w:val="24"/>
          <w:szCs w:val="24"/>
          <w:highlight w:val="none"/>
        </w:rPr>
        <w:t>井场布置必须遵守《大庆油田开发建设用地标准》规定，严格控制施工作业面积，以减少地表植被破坏；</w:t>
      </w:r>
    </w:p>
    <w:p w14:paraId="444B522D">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shd w:val="clear" w:color="auto" w:fill="FFFFFF"/>
        </w:rPr>
        <w:t>⑤</w:t>
      </w:r>
      <w:r>
        <w:rPr>
          <w:rFonts w:hint="default" w:ascii="Times New Roman" w:hAnsi="Times New Roman" w:eastAsia="宋体"/>
          <w:color w:val="auto"/>
          <w:w w:val="99"/>
          <w:sz w:val="24"/>
          <w:szCs w:val="24"/>
          <w:highlight w:val="none"/>
        </w:rPr>
        <w:t>为避免施工期对植被的影响，对易产生扬尘的场所必要时加以遮挡，以减轻对植物的影响；</w:t>
      </w:r>
    </w:p>
    <w:p w14:paraId="189C7080">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shd w:val="clear" w:color="auto" w:fill="FFFFFF"/>
        </w:rPr>
        <w:t>⑥</w:t>
      </w:r>
      <w:r>
        <w:rPr>
          <w:rFonts w:hint="default" w:ascii="Times New Roman" w:hAnsi="Times New Roman" w:eastAsia="宋体"/>
          <w:color w:val="auto"/>
          <w:w w:val="99"/>
          <w:sz w:val="24"/>
          <w:szCs w:val="24"/>
          <w:highlight w:val="none"/>
        </w:rPr>
        <w:t>加强井场管理及设备养护，井场铺设防渗布，防止原油、含油污水以及各种废液的跑冒滴漏，如发生跑冒滴漏，及时处理；</w:t>
      </w:r>
    </w:p>
    <w:p w14:paraId="4494A468">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shd w:val="clear" w:color="auto" w:fill="FFFFFF"/>
        </w:rPr>
        <w:t>⑦</w:t>
      </w:r>
      <w:r>
        <w:rPr>
          <w:rFonts w:hint="default" w:ascii="Times New Roman" w:hAnsi="Times New Roman" w:eastAsia="宋体"/>
          <w:color w:val="auto"/>
          <w:w w:val="99"/>
          <w:sz w:val="24"/>
          <w:szCs w:val="24"/>
          <w:highlight w:val="none"/>
        </w:rPr>
        <w:t>规范施工人员行为，严禁随意践踏、碾压施工区范围之外的植被；</w:t>
      </w:r>
    </w:p>
    <w:p w14:paraId="157415AE">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shd w:val="clear" w:color="auto" w:fill="FFFFFF"/>
        </w:rPr>
        <w:t>⑧</w:t>
      </w:r>
      <w:r>
        <w:rPr>
          <w:rFonts w:hint="default" w:ascii="Times New Roman" w:hAnsi="Times New Roman" w:eastAsia="宋体"/>
          <w:color w:val="auto"/>
          <w:w w:val="99"/>
          <w:sz w:val="24"/>
          <w:szCs w:val="24"/>
          <w:highlight w:val="none"/>
        </w:rPr>
        <w:t>恢复土地生产能力，提高土壤肥力。施工过程中尽量保护土地资源，不打乱土层，先挖表土层（</w:t>
      </w:r>
      <w:r>
        <w:rPr>
          <w:rFonts w:ascii="Times New Roman" w:hAnsi="Times New Roman" w:eastAsia="宋体"/>
          <w:color w:val="auto"/>
          <w:w w:val="99"/>
          <w:sz w:val="24"/>
          <w:szCs w:val="24"/>
          <w:highlight w:val="none"/>
        </w:rPr>
        <w:t>耕地剥离厚度0.3m</w:t>
      </w:r>
      <w:r>
        <w:rPr>
          <w:rFonts w:hint="default" w:ascii="Times New Roman" w:hAnsi="Times New Roman" w:eastAsia="宋体"/>
          <w:color w:val="auto"/>
          <w:w w:val="99"/>
          <w:sz w:val="24"/>
          <w:szCs w:val="24"/>
          <w:highlight w:val="none"/>
        </w:rPr>
        <w:t>）单独堆放；然后挖心、底土层另外堆放。复原时先填心、底土，后平覆表土，以便尽快恢复土地原貌；</w:t>
      </w:r>
    </w:p>
    <w:p w14:paraId="21707D45">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shd w:val="clear" w:color="auto" w:fill="FFFFFF"/>
        </w:rPr>
        <w:t>⑨</w:t>
      </w:r>
      <w:r>
        <w:rPr>
          <w:rFonts w:hint="default" w:ascii="Times New Roman" w:hAnsi="Times New Roman" w:eastAsia="宋体"/>
          <w:color w:val="auto"/>
          <w:w w:val="99"/>
          <w:sz w:val="24"/>
          <w:szCs w:val="24"/>
          <w:highlight w:val="none"/>
        </w:rPr>
        <w:t>施工结束后施工营地进行搬迁，料场做到工完、料净、场地清，施工时所产生的生活污水、生活垃圾等废弃物，严禁随意倾倒；</w:t>
      </w:r>
    </w:p>
    <w:p w14:paraId="7382775C">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shd w:val="clear" w:color="auto" w:fill="FFFFFF"/>
        </w:rPr>
        <w:t>⑩</w:t>
      </w:r>
      <w:r>
        <w:rPr>
          <w:rFonts w:hint="default" w:ascii="Times New Roman" w:hAnsi="Times New Roman" w:eastAsia="宋体"/>
          <w:color w:val="auto"/>
          <w:w w:val="99"/>
          <w:sz w:val="24"/>
          <w:szCs w:val="24"/>
          <w:highlight w:val="none"/>
        </w:rPr>
        <w:t>埋设管线时，根据管径的大小做到尽量窄控，采取平埋方式（不起土坝）进行，以便尽快恢复植被；</w:t>
      </w:r>
    </w:p>
    <w:p w14:paraId="6F2A0692">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Cambria Math" w:hAnsi="Cambria Math" w:eastAsia="宋体" w:cs="Cambria Math"/>
          <w:color w:val="auto"/>
          <w:w w:val="99"/>
          <w:sz w:val="24"/>
          <w:szCs w:val="24"/>
          <w:highlight w:val="none"/>
        </w:rPr>
        <w:t>⑪</w:t>
      </w:r>
      <w:r>
        <w:rPr>
          <w:rFonts w:hint="default" w:ascii="Times New Roman" w:hAnsi="Times New Roman" w:eastAsia="宋体"/>
          <w:color w:val="auto"/>
          <w:w w:val="99"/>
          <w:sz w:val="24"/>
          <w:szCs w:val="24"/>
          <w:highlight w:val="none"/>
        </w:rPr>
        <w:t>管道施工尽量缩小占地面积，应划定施工活动范围，严格控制和管理车辆及重型机械的运行范围，所有车辆采用“一”字型作业法，走同一车辙，避免加行开辟新路；</w:t>
      </w:r>
    </w:p>
    <w:p w14:paraId="3A4AFC83">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Cambria Math" w:hAnsi="Cambria Math" w:cs="Cambria Math" w:eastAsiaTheme="minorEastAsia"/>
          <w:color w:val="auto"/>
          <w:w w:val="99"/>
          <w:sz w:val="24"/>
          <w:szCs w:val="24"/>
          <w:highlight w:val="none"/>
          <w:shd w:val="clear" w:color="auto" w:fill="FFFFFF"/>
        </w:rPr>
        <w:t>⑫</w:t>
      </w:r>
      <w:r>
        <w:rPr>
          <w:rFonts w:hint="default" w:ascii="Times New Roman" w:hAnsi="Times New Roman" w:eastAsia="宋体"/>
          <w:color w:val="auto"/>
          <w:w w:val="99"/>
          <w:sz w:val="24"/>
          <w:szCs w:val="24"/>
          <w:highlight w:val="none"/>
        </w:rPr>
        <w:t>管沟挖、填方作业应尽量作到互补平衡，以免造成弃土方堆积和过多借土；</w:t>
      </w:r>
    </w:p>
    <w:p w14:paraId="69C5EF99">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Cambria Math" w:hAnsi="Cambria Math" w:eastAsia="宋体" w:cs="Cambria Math"/>
          <w:color w:val="auto"/>
          <w:w w:val="99"/>
          <w:sz w:val="24"/>
          <w:szCs w:val="24"/>
          <w:highlight w:val="none"/>
        </w:rPr>
        <w:t>⑬</w:t>
      </w:r>
      <w:r>
        <w:rPr>
          <w:rFonts w:hint="default" w:ascii="Times New Roman" w:hAnsi="Times New Roman" w:eastAsia="宋体"/>
          <w:color w:val="auto"/>
          <w:w w:val="99"/>
          <w:sz w:val="24"/>
          <w:szCs w:val="24"/>
          <w:highlight w:val="none"/>
        </w:rPr>
        <w:t>管沟回填应按层回填，以利施工带土壤和植被的尽早恢复。回填后应予以平整、压实，以免发生水土流失。对高出地面部分做出水土保持要求，要求高出地面部分回填土按梯形堆放于管线上部，堆放后人工进行修整、拍实；</w:t>
      </w:r>
    </w:p>
    <w:p w14:paraId="6985C1C2">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Theme="minorEastAsia"/>
          <w:color w:val="auto"/>
          <w:w w:val="99"/>
          <w:sz w:val="24"/>
          <w:szCs w:val="24"/>
          <w:highlight w:val="none"/>
          <w:shd w:val="clear" w:color="auto" w:fill="FFFFFF"/>
        </w:rPr>
        <w:t> </w:t>
      </w:r>
      <w:r>
        <w:rPr>
          <w:rFonts w:hint="default" w:ascii="Cambria Math" w:hAnsi="Cambria Math" w:cs="Cambria Math" w:eastAsiaTheme="minorEastAsia"/>
          <w:color w:val="auto"/>
          <w:w w:val="99"/>
          <w:sz w:val="24"/>
          <w:szCs w:val="24"/>
          <w:highlight w:val="none"/>
          <w:shd w:val="clear" w:color="auto" w:fill="FFFFFF"/>
        </w:rPr>
        <w:t>⑭</w:t>
      </w:r>
      <w:r>
        <w:rPr>
          <w:rFonts w:hint="default" w:ascii="Times New Roman" w:hAnsi="Times New Roman" w:eastAsia="宋体"/>
          <w:color w:val="auto"/>
          <w:w w:val="99"/>
          <w:sz w:val="24"/>
          <w:szCs w:val="24"/>
          <w:highlight w:val="none"/>
        </w:rPr>
        <w:t>管道建设工程结束后，回填开挖的管沟，路基采取护坡、养护措施，进行表土回覆、场地清理平整并恢复植被；</w:t>
      </w:r>
    </w:p>
    <w:p w14:paraId="4B670F02">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Cambria Math" w:hAnsi="Cambria Math" w:cs="Cambria Math" w:eastAsiaTheme="minorEastAsia"/>
          <w:color w:val="auto"/>
          <w:w w:val="99"/>
          <w:sz w:val="24"/>
          <w:szCs w:val="24"/>
          <w:highlight w:val="none"/>
          <w:shd w:val="clear" w:color="auto" w:fill="FFFFFF"/>
        </w:rPr>
        <w:t>⑮</w:t>
      </w:r>
      <w:r>
        <w:rPr>
          <w:rFonts w:hint="default" w:ascii="Times New Roman" w:hAnsi="Times New Roman" w:eastAsia="宋体"/>
          <w:color w:val="auto"/>
          <w:w w:val="99"/>
          <w:sz w:val="24"/>
          <w:szCs w:val="24"/>
          <w:highlight w:val="none"/>
        </w:rPr>
        <w:t>对废水、固体废物进行严格管理，统一处理或回收，不得随意抛撒，毗邻农田的井场四周应设置边沟或围土堤，防止污染土壤；</w:t>
      </w:r>
    </w:p>
    <w:p w14:paraId="4BB7B045">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Cambria Math" w:hAnsi="Cambria Math" w:cs="Cambria Math" w:eastAsiaTheme="minorEastAsia"/>
          <w:color w:val="auto"/>
          <w:w w:val="99"/>
          <w:sz w:val="24"/>
          <w:szCs w:val="24"/>
          <w:highlight w:val="none"/>
          <w:shd w:val="clear" w:color="auto" w:fill="FFFFFF"/>
        </w:rPr>
        <w:t>⑯</w:t>
      </w:r>
      <w:r>
        <w:rPr>
          <w:rFonts w:hint="default" w:ascii="Times New Roman" w:hAnsi="Times New Roman" w:eastAsia="宋体"/>
          <w:color w:val="auto"/>
          <w:w w:val="99"/>
          <w:sz w:val="24"/>
          <w:szCs w:val="24"/>
          <w:highlight w:val="none"/>
        </w:rPr>
        <w:t>施工结束后，及时恢复被破坏的地表形态，平整作业现场，改善土壤及植被恢复条件。对永久占用耕地按“占一补一”的原则及相关规定缴纳土地补偿费，专款用于占地的恢复及补偿，对永久占用的草地进行土地补偿；对临时占用耕地进行表土留存，分层回填，整平翻松，确保恢复等质等量面积的耕地，对临时占用的草地进行地面平整，恢复植被；</w:t>
      </w:r>
    </w:p>
    <w:p w14:paraId="60F21A29">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（2）针对性保护措施</w:t>
      </w:r>
    </w:p>
    <w:p w14:paraId="42E28198">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本项目新增总占地面积为</w:t>
      </w:r>
      <w:r>
        <w:rPr>
          <w:rFonts w:ascii="Times New Roman" w:hAnsi="Times New Roman" w:eastAsia="宋体"/>
          <w:color w:val="auto"/>
          <w:w w:val="99"/>
          <w:sz w:val="24"/>
          <w:szCs w:val="24"/>
          <w:highlight w:val="none"/>
        </w:rPr>
        <w:t>2.013</w:t>
      </w:r>
      <w:r>
        <w:rPr>
          <w:rFonts w:hint="default" w:ascii="Times New Roman" w:hAnsi="Times New Roman" w:eastAsia="宋体"/>
          <w:color w:val="auto"/>
          <w:w w:val="99"/>
          <w:sz w:val="24"/>
          <w:szCs w:val="24"/>
          <w:highlight w:val="none"/>
        </w:rPr>
        <w:t>hm</w:t>
      </w:r>
      <w:r>
        <w:rPr>
          <w:rFonts w:hint="default" w:ascii="Times New Roman" w:hAnsi="Times New Roman" w:eastAsia="宋体"/>
          <w:color w:val="auto"/>
          <w:w w:val="99"/>
          <w:sz w:val="24"/>
          <w:szCs w:val="24"/>
          <w:highlight w:val="none"/>
          <w:vertAlign w:val="superscript"/>
        </w:rPr>
        <w:t>2</w:t>
      </w:r>
      <w:r>
        <w:rPr>
          <w:rFonts w:hint="default" w:ascii="Times New Roman" w:hAnsi="Times New Roman" w:eastAsia="宋体"/>
          <w:color w:val="auto"/>
          <w:w w:val="99"/>
          <w:sz w:val="24"/>
          <w:szCs w:val="24"/>
          <w:highlight w:val="none"/>
        </w:rPr>
        <w:t xml:space="preserve">，其中永久占地 </w:t>
      </w:r>
      <w:r>
        <w:rPr>
          <w:rFonts w:ascii="Times New Roman" w:hAnsi="Times New Roman" w:eastAsia="宋体"/>
          <w:color w:val="auto"/>
          <w:w w:val="99"/>
          <w:sz w:val="24"/>
          <w:szCs w:val="24"/>
          <w:highlight w:val="none"/>
        </w:rPr>
        <w:t>0.0901</w:t>
      </w:r>
      <w:r>
        <w:rPr>
          <w:rFonts w:hint="default" w:ascii="Times New Roman" w:hAnsi="Times New Roman" w:eastAsia="宋体"/>
          <w:color w:val="auto"/>
          <w:w w:val="99"/>
          <w:sz w:val="24"/>
          <w:szCs w:val="24"/>
          <w:highlight w:val="none"/>
        </w:rPr>
        <w:t>hm</w:t>
      </w:r>
      <w:r>
        <w:rPr>
          <w:rFonts w:hint="default" w:ascii="Times New Roman" w:hAnsi="Times New Roman" w:eastAsia="宋体"/>
          <w:color w:val="auto"/>
          <w:w w:val="99"/>
          <w:sz w:val="24"/>
          <w:szCs w:val="24"/>
          <w:highlight w:val="none"/>
          <w:vertAlign w:val="superscript"/>
        </w:rPr>
        <w:t>2</w:t>
      </w:r>
      <w:r>
        <w:rPr>
          <w:rFonts w:hint="default" w:ascii="Times New Roman" w:hAnsi="Times New Roman" w:eastAsia="宋体"/>
          <w:color w:val="auto"/>
          <w:w w:val="99"/>
          <w:sz w:val="24"/>
          <w:szCs w:val="24"/>
          <w:highlight w:val="none"/>
        </w:rPr>
        <w:t>，临时占地</w:t>
      </w:r>
      <w:r>
        <w:rPr>
          <w:rFonts w:ascii="Times New Roman" w:hAnsi="Times New Roman" w:eastAsia="宋体"/>
          <w:color w:val="auto"/>
          <w:w w:val="99"/>
          <w:sz w:val="24"/>
          <w:szCs w:val="24"/>
          <w:highlight w:val="none"/>
        </w:rPr>
        <w:t>1.9229</w:t>
      </w:r>
      <w:r>
        <w:rPr>
          <w:rFonts w:hint="default" w:ascii="Times New Roman" w:hAnsi="Times New Roman" w:eastAsia="宋体"/>
          <w:color w:val="auto"/>
          <w:w w:val="99"/>
          <w:sz w:val="24"/>
          <w:szCs w:val="24"/>
          <w:highlight w:val="none"/>
        </w:rPr>
        <w:t>hm</w:t>
      </w:r>
      <w:r>
        <w:rPr>
          <w:rFonts w:hint="default" w:ascii="Times New Roman" w:hAnsi="Times New Roman" w:eastAsia="宋体"/>
          <w:color w:val="auto"/>
          <w:w w:val="99"/>
          <w:sz w:val="24"/>
          <w:szCs w:val="24"/>
          <w:highlight w:val="none"/>
          <w:vertAlign w:val="superscript"/>
        </w:rPr>
        <w:t>2</w:t>
      </w:r>
      <w:r>
        <w:rPr>
          <w:rFonts w:hint="default" w:ascii="Times New Roman" w:hAnsi="Times New Roman" w:eastAsia="宋体"/>
          <w:color w:val="auto"/>
          <w:w w:val="99"/>
          <w:sz w:val="24"/>
          <w:szCs w:val="24"/>
          <w:highlight w:val="none"/>
        </w:rPr>
        <w:t>。</w:t>
      </w:r>
    </w:p>
    <w:p w14:paraId="069270E0">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①</w:t>
      </w:r>
      <w:r>
        <w:rPr>
          <w:rFonts w:hint="default" w:ascii="Times New Roman" w:hAnsi="Times New Roman" w:eastAsia="宋体"/>
          <w:color w:val="auto"/>
          <w:w w:val="99"/>
          <w:sz w:val="24"/>
          <w:szCs w:val="24"/>
          <w:highlight w:val="none"/>
        </w:rPr>
        <w:t>本项目临时占地面积</w:t>
      </w:r>
      <w:r>
        <w:rPr>
          <w:rFonts w:ascii="Times New Roman" w:hAnsi="Times New Roman" w:eastAsia="宋体"/>
          <w:color w:val="auto"/>
          <w:w w:val="99"/>
          <w:sz w:val="24"/>
          <w:szCs w:val="24"/>
          <w:highlight w:val="none"/>
        </w:rPr>
        <w:t>1.9229</w:t>
      </w:r>
      <w:r>
        <w:rPr>
          <w:rFonts w:hint="default" w:ascii="Times New Roman" w:hAnsi="Times New Roman" w:eastAsia="宋体"/>
          <w:color w:val="auto"/>
          <w:w w:val="99"/>
          <w:sz w:val="24"/>
          <w:szCs w:val="24"/>
          <w:highlight w:val="none"/>
        </w:rPr>
        <w:t>hm</w:t>
      </w:r>
      <w:r>
        <w:rPr>
          <w:rFonts w:hint="default" w:ascii="Times New Roman" w:hAnsi="Times New Roman" w:eastAsia="宋体"/>
          <w:color w:val="auto"/>
          <w:w w:val="99"/>
          <w:sz w:val="24"/>
          <w:szCs w:val="24"/>
          <w:highlight w:val="none"/>
          <w:vertAlign w:val="superscript"/>
        </w:rPr>
        <w:t>2</w:t>
      </w:r>
      <w:r>
        <w:rPr>
          <w:rFonts w:hint="default" w:ascii="Times New Roman" w:hAnsi="Times New Roman" w:eastAsia="宋体"/>
          <w:color w:val="auto"/>
          <w:w w:val="99"/>
          <w:sz w:val="24"/>
          <w:szCs w:val="24"/>
          <w:highlight w:val="none"/>
        </w:rPr>
        <w:t>，临时占地主要包括管线施工临时占地（包括临时道路、临时土方堆场、管沟开挖区域），对于临时占地，施工前应剥离占地内的表土，</w:t>
      </w:r>
      <w:r>
        <w:rPr>
          <w:rFonts w:ascii="Times New Roman" w:hAnsi="Times New Roman" w:eastAsia="宋体"/>
          <w:color w:val="auto"/>
          <w:w w:val="99"/>
          <w:sz w:val="24"/>
          <w:szCs w:val="24"/>
          <w:highlight w:val="none"/>
        </w:rPr>
        <w:t>耕地剥离厚度0.3m</w:t>
      </w:r>
      <w:r>
        <w:rPr>
          <w:rFonts w:hint="default" w:ascii="Times New Roman" w:hAnsi="Times New Roman" w:eastAsia="宋体"/>
          <w:color w:val="auto"/>
          <w:w w:val="99"/>
          <w:sz w:val="24"/>
          <w:szCs w:val="24"/>
          <w:highlight w:val="none"/>
        </w:rPr>
        <w:t>采用分层开挖，分层堆放，并采取苫布遮盖，表土剥离临时堆放区周围设置排水沟等措施防止水土流失，并定期采取洒水抑尘措施，剥离的表土在施工结束后分层回填并平整，及时恢复地表植被，并采取补播措施，对占用农田全部恢复为等质等量面积的耕地，表土剥离和利用严格执行《建设占用耕地耕作层土壤剥离利用技术规范》（DB23/T2913-2021）。</w:t>
      </w:r>
    </w:p>
    <w:p w14:paraId="3B00EDE2">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②</w:t>
      </w:r>
      <w:r>
        <w:rPr>
          <w:rFonts w:hint="default" w:ascii="Times New Roman" w:hAnsi="Times New Roman" w:eastAsia="宋体"/>
          <w:color w:val="auto"/>
          <w:w w:val="99"/>
          <w:sz w:val="24"/>
          <w:szCs w:val="24"/>
          <w:highlight w:val="none"/>
        </w:rPr>
        <w:t xml:space="preserve">对永久占用 </w:t>
      </w:r>
      <w:r>
        <w:rPr>
          <w:rFonts w:ascii="Times New Roman" w:hAnsi="Times New Roman" w:eastAsia="宋体"/>
          <w:color w:val="auto"/>
          <w:w w:val="99"/>
          <w:sz w:val="24"/>
          <w:szCs w:val="24"/>
          <w:highlight w:val="none"/>
        </w:rPr>
        <w:t>0.0901</w:t>
      </w:r>
      <w:r>
        <w:rPr>
          <w:rFonts w:hint="default" w:ascii="Times New Roman" w:hAnsi="Times New Roman" w:eastAsia="宋体"/>
          <w:color w:val="auto"/>
          <w:w w:val="99"/>
          <w:sz w:val="24"/>
          <w:szCs w:val="24"/>
          <w:highlight w:val="none"/>
        </w:rPr>
        <w:t>hm</w:t>
      </w:r>
      <w:r>
        <w:rPr>
          <w:rFonts w:hint="default" w:ascii="Times New Roman" w:hAnsi="Times New Roman" w:eastAsia="宋体"/>
          <w:color w:val="auto"/>
          <w:w w:val="99"/>
          <w:sz w:val="24"/>
          <w:szCs w:val="24"/>
          <w:highlight w:val="none"/>
          <w:vertAlign w:val="superscript"/>
        </w:rPr>
        <w:t>2</w:t>
      </w:r>
      <w:r>
        <w:rPr>
          <w:rFonts w:hint="default" w:ascii="Times New Roman" w:hAnsi="Times New Roman" w:eastAsia="宋体"/>
          <w:color w:val="auto"/>
          <w:w w:val="99"/>
          <w:sz w:val="24"/>
          <w:szCs w:val="24"/>
          <w:highlight w:val="none"/>
        </w:rPr>
        <w:t>耕地（永久基本农田），按照“占一补一”原则进行占补平衡，由建设单位负责开垦与所占用耕地的数量和质量相当的耕地；如果没有条件开垦时，应当按照黑龙江省的规定缴纳耕地开垦费，专款用于开垦新的耕地。永久占用耕地的耕作层土壤集中堆放在施工井场或场站置土带区域，施工结束后用于</w:t>
      </w:r>
      <w:r>
        <w:rPr>
          <w:rFonts w:hint="default" w:ascii="Times New Roman" w:hAnsi="Times New Roman" w:eastAsia="宋体"/>
          <w:bCs/>
          <w:color w:val="auto"/>
          <w:w w:val="99"/>
          <w:sz w:val="24"/>
          <w:szCs w:val="24"/>
          <w:highlight w:val="none"/>
        </w:rPr>
        <w:t>周围区域土地复垦、土壤治理等用途</w:t>
      </w:r>
      <w:r>
        <w:rPr>
          <w:rFonts w:hint="default" w:ascii="Times New Roman" w:hAnsi="Times New Roman" w:eastAsia="宋体"/>
          <w:color w:val="auto"/>
          <w:w w:val="99"/>
          <w:sz w:val="24"/>
          <w:szCs w:val="24"/>
          <w:highlight w:val="none"/>
        </w:rPr>
        <w:t>。</w:t>
      </w:r>
    </w:p>
    <w:p w14:paraId="2DB2CCE5">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③</w:t>
      </w:r>
      <w:r>
        <w:rPr>
          <w:rFonts w:hint="default" w:ascii="Times New Roman" w:hAnsi="Times New Roman" w:eastAsia="宋体"/>
          <w:color w:val="auto"/>
          <w:w w:val="99"/>
          <w:sz w:val="24"/>
          <w:szCs w:val="24"/>
          <w:highlight w:val="none"/>
        </w:rPr>
        <w:t>本项目为</w:t>
      </w:r>
      <w:r>
        <w:rPr>
          <w:rFonts w:ascii="Times New Roman" w:hAnsi="Times New Roman" w:eastAsia="宋体"/>
          <w:color w:val="auto"/>
          <w:w w:val="99"/>
          <w:sz w:val="24"/>
          <w:szCs w:val="24"/>
          <w:highlight w:val="none"/>
        </w:rPr>
        <w:t>气田</w:t>
      </w:r>
      <w:r>
        <w:rPr>
          <w:rFonts w:hint="default" w:ascii="Times New Roman" w:hAnsi="Times New Roman" w:eastAsia="宋体"/>
          <w:color w:val="auto"/>
          <w:w w:val="99"/>
          <w:sz w:val="24"/>
          <w:szCs w:val="24"/>
          <w:highlight w:val="none"/>
        </w:rPr>
        <w:t>开发工程，属于国家能源建设项目，根据地下储层特性，项目选址无法避让耕地（黑土地）。项目施工过程中，需遵守《大庆油（气）田建设工程用地规范》规定，严格控制施工作业面积，加强施工管理，尽量减少占地面积，并规范行车路线及施工人员行为，严禁随意践踏、碾压施工区范围外的植被，不准乱挖、乱采野生植物，确保尽量少占优质黑土地。本工程实施前编制表土剥离利用方案，统筹安排剥离、储存和再利用。表土剥离和利用严格执行《建设占用耕地耕作层土壤剥离利用技术规范》（DB23/T2913-2021），表土剥离方案由大庆油田有限公司</w:t>
      </w:r>
      <w:r>
        <w:rPr>
          <w:rFonts w:ascii="Times New Roman" w:hAnsi="Times New Roman" w:eastAsia="宋体"/>
          <w:color w:val="auto"/>
          <w:w w:val="99"/>
          <w:sz w:val="24"/>
          <w:szCs w:val="24"/>
          <w:highlight w:val="none"/>
        </w:rPr>
        <w:t>采气分公司</w:t>
      </w:r>
      <w:r>
        <w:rPr>
          <w:rFonts w:hint="default" w:ascii="Times New Roman" w:hAnsi="Times New Roman" w:eastAsia="宋体"/>
          <w:color w:val="auto"/>
          <w:w w:val="99"/>
          <w:sz w:val="24"/>
          <w:szCs w:val="24"/>
          <w:highlight w:val="none"/>
        </w:rPr>
        <w:t>编制后报大庆市自然资源局备案。</w:t>
      </w:r>
    </w:p>
    <w:p w14:paraId="3F6B4635">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④</w:t>
      </w:r>
      <w:r>
        <w:rPr>
          <w:rFonts w:hint="default" w:ascii="Times New Roman" w:hAnsi="Times New Roman" w:eastAsia="宋体"/>
          <w:color w:val="auto"/>
          <w:w w:val="99"/>
          <w:sz w:val="24"/>
          <w:szCs w:val="24"/>
          <w:highlight w:val="none"/>
        </w:rPr>
        <w:t>恢复过程应由环境监理全程监督，以确保生态恢复效果。</w:t>
      </w:r>
    </w:p>
    <w:p w14:paraId="11713101">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本工程应在施工完毕后进行生态影响减缓及恢复措施，具体见表6.1-</w:t>
      </w:r>
      <w:r>
        <w:rPr>
          <w:rFonts w:ascii="Times New Roman" w:hAnsi="Times New Roman" w:eastAsia="宋体"/>
          <w:color w:val="auto"/>
          <w:w w:val="99"/>
          <w:sz w:val="24"/>
          <w:szCs w:val="24"/>
          <w:highlight w:val="none"/>
        </w:rPr>
        <w:t>5</w:t>
      </w:r>
      <w:r>
        <w:rPr>
          <w:rFonts w:hint="default" w:ascii="Times New Roman" w:hAnsi="Times New Roman" w:eastAsia="宋体"/>
          <w:color w:val="auto"/>
          <w:w w:val="99"/>
          <w:sz w:val="24"/>
          <w:szCs w:val="24"/>
          <w:highlight w:val="none"/>
        </w:rPr>
        <w:t>。典型生态保护措施平面布置示意图见附图</w:t>
      </w:r>
      <w:r>
        <w:rPr>
          <w:rFonts w:ascii="Times New Roman" w:hAnsi="Times New Roman" w:eastAsia="宋体"/>
          <w:color w:val="auto"/>
          <w:w w:val="99"/>
          <w:sz w:val="24"/>
          <w:szCs w:val="24"/>
          <w:highlight w:val="none"/>
        </w:rPr>
        <w:t>13</w:t>
      </w:r>
      <w:r>
        <w:rPr>
          <w:rFonts w:hint="default" w:ascii="Times New Roman" w:hAnsi="Times New Roman" w:eastAsia="宋体"/>
          <w:color w:val="auto"/>
          <w:w w:val="99"/>
          <w:sz w:val="24"/>
          <w:szCs w:val="24"/>
          <w:highlight w:val="none"/>
        </w:rPr>
        <w:t>。</w:t>
      </w:r>
    </w:p>
    <w:p w14:paraId="3E71AD5C">
      <w:pPr>
        <w:pStyle w:val="102"/>
        <w:snapToGrid/>
        <w:spacing w:line="440" w:lineRule="exact"/>
        <w:ind w:left="0" w:firstLine="476"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Theme="minorEastAsia"/>
          <w:b/>
          <w:bCs/>
          <w:color w:val="auto"/>
          <w:w w:val="99"/>
          <w:sz w:val="24"/>
          <w:szCs w:val="24"/>
          <w:highlight w:val="none"/>
        </w:rPr>
        <w:t>表6.1-</w:t>
      </w:r>
      <w:r>
        <w:rPr>
          <w:rFonts w:ascii="Times New Roman" w:hAnsi="Times New Roman" w:eastAsiaTheme="minorEastAsia"/>
          <w:b/>
          <w:bCs/>
          <w:color w:val="auto"/>
          <w:w w:val="99"/>
          <w:sz w:val="24"/>
          <w:szCs w:val="24"/>
          <w:highlight w:val="none"/>
        </w:rPr>
        <w:t>5</w:t>
      </w:r>
      <w:r>
        <w:rPr>
          <w:rFonts w:hint="default" w:ascii="Times New Roman" w:hAnsi="Times New Roman" w:eastAsiaTheme="minorEastAsia"/>
          <w:b/>
          <w:bCs/>
          <w:color w:val="auto"/>
          <w:w w:val="99"/>
          <w:sz w:val="24"/>
          <w:szCs w:val="24"/>
          <w:highlight w:val="none"/>
        </w:rPr>
        <w:t xml:space="preserve">    生态影响减缓及恢复措施</w:t>
      </w:r>
    </w:p>
    <w:tbl>
      <w:tblPr>
        <w:tblStyle w:val="8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548"/>
        <w:gridCol w:w="581"/>
        <w:gridCol w:w="579"/>
        <w:gridCol w:w="3282"/>
        <w:gridCol w:w="2668"/>
        <w:gridCol w:w="754"/>
        <w:gridCol w:w="715"/>
      </w:tblGrid>
      <w:tr w14:paraId="703C09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300" w:type="pct"/>
            <w:vAlign w:val="center"/>
          </w:tcPr>
          <w:p w14:paraId="2A146C87">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序号</w:t>
            </w:r>
          </w:p>
        </w:tc>
        <w:tc>
          <w:tcPr>
            <w:tcW w:w="318" w:type="pct"/>
            <w:vAlign w:val="center"/>
          </w:tcPr>
          <w:p w14:paraId="6C94432B">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项目</w:t>
            </w:r>
          </w:p>
        </w:tc>
        <w:tc>
          <w:tcPr>
            <w:tcW w:w="317" w:type="pct"/>
            <w:vAlign w:val="center"/>
          </w:tcPr>
          <w:p w14:paraId="0EE1B772">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占地类型</w:t>
            </w:r>
          </w:p>
        </w:tc>
        <w:tc>
          <w:tcPr>
            <w:tcW w:w="1797" w:type="pct"/>
            <w:vAlign w:val="center"/>
          </w:tcPr>
          <w:p w14:paraId="04473668">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恢复措施</w:t>
            </w:r>
          </w:p>
        </w:tc>
        <w:tc>
          <w:tcPr>
            <w:tcW w:w="1461" w:type="pct"/>
          </w:tcPr>
          <w:p w14:paraId="3AFEEAC7">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生态恢复投资</w:t>
            </w:r>
          </w:p>
        </w:tc>
        <w:tc>
          <w:tcPr>
            <w:tcW w:w="413" w:type="pct"/>
            <w:vAlign w:val="center"/>
          </w:tcPr>
          <w:p w14:paraId="6081BA92">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实施时间</w:t>
            </w:r>
          </w:p>
        </w:tc>
        <w:tc>
          <w:tcPr>
            <w:tcW w:w="391" w:type="pct"/>
            <w:vAlign w:val="center"/>
          </w:tcPr>
          <w:p w14:paraId="6BDF4A8E">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实施单位</w:t>
            </w:r>
          </w:p>
        </w:tc>
      </w:tr>
      <w:tr w14:paraId="3572A9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300" w:type="pct"/>
            <w:vAlign w:val="center"/>
          </w:tcPr>
          <w:p w14:paraId="4A423400">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1</w:t>
            </w:r>
          </w:p>
        </w:tc>
        <w:tc>
          <w:tcPr>
            <w:tcW w:w="318" w:type="pct"/>
            <w:vAlign w:val="center"/>
          </w:tcPr>
          <w:p w14:paraId="68D1ADA7">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永久占地</w:t>
            </w:r>
          </w:p>
        </w:tc>
        <w:tc>
          <w:tcPr>
            <w:tcW w:w="317" w:type="pct"/>
            <w:vAlign w:val="center"/>
          </w:tcPr>
          <w:p w14:paraId="4EFFCEB6">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耕地</w:t>
            </w:r>
          </w:p>
        </w:tc>
        <w:tc>
          <w:tcPr>
            <w:tcW w:w="1797" w:type="pct"/>
            <w:vAlign w:val="center"/>
          </w:tcPr>
          <w:p w14:paraId="46A9FD4D">
            <w:pPr>
              <w:adjustRightInd w:val="0"/>
              <w:snapToGrid w:val="0"/>
              <w:spacing w:line="360" w:lineRule="exact"/>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将表层土剥离用于</w:t>
            </w:r>
            <w:r>
              <w:rPr>
                <w:rFonts w:ascii="Times New Roman" w:hAnsi="Times New Roman" w:cs="Times New Roman" w:eastAsiaTheme="minorEastAsia"/>
                <w:bCs/>
                <w:snapToGrid w:val="0"/>
                <w:color w:val="auto"/>
                <w:w w:val="99"/>
                <w:sz w:val="21"/>
                <w:szCs w:val="21"/>
                <w:highlight w:val="none"/>
              </w:rPr>
              <w:t>周围区域土地复垦、土壤治理等用途</w:t>
            </w:r>
            <w:r>
              <w:rPr>
                <w:rFonts w:ascii="Times New Roman" w:hAnsi="Times New Roman" w:cs="Times New Roman" w:eastAsiaTheme="minorEastAsia"/>
                <w:snapToGrid w:val="0"/>
                <w:color w:val="auto"/>
                <w:w w:val="99"/>
                <w:sz w:val="21"/>
                <w:szCs w:val="21"/>
                <w:highlight w:val="none"/>
              </w:rPr>
              <w:t>，占地后按照“占一补一”原则缴纳</w:t>
            </w:r>
            <w:r>
              <w:rPr>
                <w:rFonts w:hint="eastAsia" w:ascii="Times New Roman" w:hAnsi="Times New Roman" w:cs="Times New Roman" w:eastAsiaTheme="minorEastAsia"/>
                <w:snapToGrid w:val="0"/>
                <w:color w:val="auto"/>
                <w:w w:val="99"/>
                <w:sz w:val="21"/>
                <w:szCs w:val="21"/>
                <w:highlight w:val="none"/>
              </w:rPr>
              <w:t>0.0901</w:t>
            </w:r>
            <w:r>
              <w:rPr>
                <w:rFonts w:ascii="Times New Roman" w:hAnsi="Times New Roman" w:cs="Times New Roman" w:eastAsiaTheme="minorEastAsia"/>
                <w:snapToGrid w:val="0"/>
                <w:color w:val="auto"/>
                <w:w w:val="99"/>
                <w:sz w:val="21"/>
                <w:szCs w:val="21"/>
                <w:highlight w:val="none"/>
              </w:rPr>
              <w:t>hm</w:t>
            </w:r>
            <w:r>
              <w:rPr>
                <w:rFonts w:ascii="Times New Roman" w:hAnsi="Times New Roman" w:cs="Times New Roman" w:eastAsiaTheme="minorEastAsia"/>
                <w:snapToGrid w:val="0"/>
                <w:color w:val="auto"/>
                <w:w w:val="99"/>
                <w:sz w:val="21"/>
                <w:szCs w:val="21"/>
                <w:highlight w:val="none"/>
                <w:vertAlign w:val="superscript"/>
              </w:rPr>
              <w:t>2</w:t>
            </w:r>
            <w:r>
              <w:rPr>
                <w:rFonts w:ascii="Times New Roman" w:hAnsi="Times New Roman" w:cs="Times New Roman" w:eastAsiaTheme="minorEastAsia"/>
                <w:snapToGrid w:val="0"/>
                <w:color w:val="auto"/>
                <w:w w:val="99"/>
                <w:sz w:val="21"/>
                <w:szCs w:val="21"/>
                <w:highlight w:val="none"/>
              </w:rPr>
              <w:t>耕地补偿费</w:t>
            </w:r>
          </w:p>
        </w:tc>
        <w:tc>
          <w:tcPr>
            <w:tcW w:w="1461" w:type="pct"/>
          </w:tcPr>
          <w:p w14:paraId="02673D02">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3.199</w:t>
            </w:r>
            <w:r>
              <w:rPr>
                <w:rFonts w:ascii="Times New Roman" w:hAnsi="Times New Roman" w:cs="Times New Roman" w:eastAsiaTheme="minorEastAsia"/>
                <w:snapToGrid w:val="0"/>
                <w:color w:val="auto"/>
                <w:w w:val="99"/>
                <w:sz w:val="21"/>
                <w:szCs w:val="21"/>
                <w:highlight w:val="none"/>
              </w:rPr>
              <w:t>万元（根据《大庆市人民政府关于调整大庆市征地区片综合地价执行标准的通告》庆政规[2023]2号，</w:t>
            </w:r>
            <w:r>
              <w:rPr>
                <w:rFonts w:ascii="Times New Roman" w:hAnsi="Times New Roman" w:cs="Times New Roman" w:eastAsiaTheme="minorEastAsia"/>
                <w:snapToGrid w:val="0"/>
                <w:color w:val="auto"/>
                <w:w w:val="99"/>
                <w:sz w:val="21"/>
                <w:szCs w:val="21"/>
                <w:highlight w:val="none"/>
                <w:vertAlign w:val="superscript"/>
              </w:rPr>
              <w:t>2</w:t>
            </w:r>
            <w:r>
              <w:rPr>
                <w:rFonts w:ascii="Times New Roman" w:hAnsi="Times New Roman" w:cs="Times New Roman" w:eastAsiaTheme="minorEastAsia"/>
                <w:snapToGrid w:val="0"/>
                <w:color w:val="auto"/>
                <w:w w:val="99"/>
                <w:sz w:val="21"/>
                <w:szCs w:val="21"/>
                <w:highlight w:val="none"/>
              </w:rPr>
              <w:t>永久征地费用为</w:t>
            </w:r>
            <w:r>
              <w:rPr>
                <w:rFonts w:hint="eastAsia" w:ascii="Times New Roman" w:hAnsi="Times New Roman" w:cs="Times New Roman" w:eastAsiaTheme="minorEastAsia"/>
                <w:snapToGrid w:val="0"/>
                <w:color w:val="auto"/>
                <w:w w:val="99"/>
                <w:sz w:val="21"/>
                <w:szCs w:val="21"/>
                <w:highlight w:val="none"/>
              </w:rPr>
              <w:t>35.51</w:t>
            </w:r>
            <w:r>
              <w:rPr>
                <w:rFonts w:ascii="Times New Roman" w:hAnsi="Times New Roman" w:cs="Times New Roman" w:eastAsiaTheme="minorEastAsia"/>
                <w:snapToGrid w:val="0"/>
                <w:color w:val="auto"/>
                <w:w w:val="99"/>
                <w:sz w:val="21"/>
                <w:szCs w:val="21"/>
                <w:highlight w:val="none"/>
              </w:rPr>
              <w:t>元/m</w:t>
            </w:r>
            <w:r>
              <w:rPr>
                <w:rFonts w:ascii="Times New Roman" w:hAnsi="Times New Roman" w:cs="Times New Roman" w:eastAsiaTheme="minorEastAsia"/>
                <w:snapToGrid w:val="0"/>
                <w:color w:val="auto"/>
                <w:w w:val="99"/>
                <w:sz w:val="21"/>
                <w:szCs w:val="21"/>
                <w:highlight w:val="none"/>
                <w:vertAlign w:val="superscript"/>
              </w:rPr>
              <w:t>2</w:t>
            </w:r>
            <w:r>
              <w:rPr>
                <w:rFonts w:ascii="Times New Roman" w:hAnsi="Times New Roman" w:cs="Times New Roman" w:eastAsiaTheme="minorEastAsia"/>
                <w:snapToGrid w:val="0"/>
                <w:color w:val="auto"/>
                <w:w w:val="99"/>
                <w:sz w:val="21"/>
                <w:szCs w:val="21"/>
                <w:highlight w:val="none"/>
              </w:rPr>
              <w:t>）</w:t>
            </w:r>
          </w:p>
        </w:tc>
        <w:tc>
          <w:tcPr>
            <w:tcW w:w="413" w:type="pct"/>
            <w:vMerge w:val="restart"/>
            <w:vAlign w:val="center"/>
          </w:tcPr>
          <w:p w14:paraId="4D9C1486">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施工完毕后</w:t>
            </w:r>
          </w:p>
          <w:p w14:paraId="77CC2541">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1年内</w:t>
            </w:r>
          </w:p>
        </w:tc>
        <w:tc>
          <w:tcPr>
            <w:tcW w:w="391" w:type="pct"/>
            <w:vMerge w:val="restart"/>
            <w:vAlign w:val="center"/>
          </w:tcPr>
          <w:p w14:paraId="6DBE37E1">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 xml:space="preserve">大庆油田有限责任公司采气分公司 </w:t>
            </w:r>
          </w:p>
        </w:tc>
      </w:tr>
      <w:tr w14:paraId="07E0A6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300" w:type="pct"/>
            <w:vAlign w:val="center"/>
          </w:tcPr>
          <w:p w14:paraId="0AEEA8D2">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2</w:t>
            </w:r>
          </w:p>
        </w:tc>
        <w:tc>
          <w:tcPr>
            <w:tcW w:w="318" w:type="pct"/>
            <w:vAlign w:val="center"/>
          </w:tcPr>
          <w:p w14:paraId="00CF3617">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临时占地</w:t>
            </w:r>
          </w:p>
        </w:tc>
        <w:tc>
          <w:tcPr>
            <w:tcW w:w="317" w:type="pct"/>
            <w:vAlign w:val="center"/>
          </w:tcPr>
          <w:p w14:paraId="285AD3DE">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耕地</w:t>
            </w:r>
          </w:p>
        </w:tc>
        <w:tc>
          <w:tcPr>
            <w:tcW w:w="1797" w:type="pct"/>
            <w:vAlign w:val="center"/>
          </w:tcPr>
          <w:p w14:paraId="3F7EB860">
            <w:pPr>
              <w:adjustRightInd w:val="0"/>
              <w:snapToGrid w:val="0"/>
              <w:spacing w:line="360" w:lineRule="exact"/>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分层开挖，分层回填，并通过生态植被恢复措施可逐年恢复原有农田质量和产量，耕地复耕</w:t>
            </w:r>
            <w:r>
              <w:rPr>
                <w:rFonts w:hint="eastAsia" w:ascii="Times New Roman" w:hAnsi="Times New Roman" w:cs="Times New Roman" w:eastAsiaTheme="minorEastAsia"/>
                <w:snapToGrid w:val="0"/>
                <w:color w:val="auto"/>
                <w:w w:val="99"/>
                <w:sz w:val="21"/>
                <w:szCs w:val="21"/>
                <w:highlight w:val="none"/>
              </w:rPr>
              <w:t>1.9229</w:t>
            </w:r>
            <w:r>
              <w:rPr>
                <w:rFonts w:ascii="Times New Roman" w:hAnsi="Times New Roman" w:cs="Times New Roman" w:eastAsiaTheme="minorEastAsia"/>
                <w:snapToGrid w:val="0"/>
                <w:color w:val="auto"/>
                <w:w w:val="99"/>
                <w:sz w:val="21"/>
                <w:szCs w:val="21"/>
                <w:highlight w:val="none"/>
              </w:rPr>
              <w:t>hm</w:t>
            </w:r>
            <w:r>
              <w:rPr>
                <w:rFonts w:ascii="Times New Roman" w:hAnsi="Times New Roman" w:cs="Times New Roman" w:eastAsiaTheme="minorEastAsia"/>
                <w:snapToGrid w:val="0"/>
                <w:color w:val="auto"/>
                <w:w w:val="99"/>
                <w:sz w:val="21"/>
                <w:szCs w:val="21"/>
                <w:highlight w:val="none"/>
                <w:vertAlign w:val="superscript"/>
              </w:rPr>
              <w:t>2</w:t>
            </w:r>
          </w:p>
        </w:tc>
        <w:tc>
          <w:tcPr>
            <w:tcW w:w="1461" w:type="pct"/>
          </w:tcPr>
          <w:p w14:paraId="7B742036">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15.191</w:t>
            </w:r>
            <w:r>
              <w:rPr>
                <w:rFonts w:ascii="Times New Roman" w:hAnsi="Times New Roman" w:cs="Times New Roman" w:eastAsiaTheme="minorEastAsia"/>
                <w:snapToGrid w:val="0"/>
                <w:color w:val="auto"/>
                <w:w w:val="99"/>
                <w:sz w:val="21"/>
                <w:szCs w:val="21"/>
                <w:highlight w:val="none"/>
              </w:rPr>
              <w:t>万元（临时征地费用按5.8元/m</w:t>
            </w:r>
            <w:r>
              <w:rPr>
                <w:rFonts w:ascii="Times New Roman" w:hAnsi="Times New Roman" w:cs="Times New Roman" w:eastAsiaTheme="minorEastAsia"/>
                <w:snapToGrid w:val="0"/>
                <w:color w:val="auto"/>
                <w:w w:val="99"/>
                <w:sz w:val="21"/>
                <w:szCs w:val="21"/>
                <w:highlight w:val="none"/>
                <w:vertAlign w:val="superscript"/>
              </w:rPr>
              <w:t>2</w:t>
            </w:r>
            <w:r>
              <w:rPr>
                <w:rFonts w:ascii="Times New Roman" w:hAnsi="Times New Roman" w:cs="Times New Roman" w:eastAsiaTheme="minorEastAsia"/>
                <w:snapToGrid w:val="0"/>
                <w:color w:val="auto"/>
                <w:w w:val="99"/>
                <w:sz w:val="21"/>
                <w:szCs w:val="21"/>
                <w:highlight w:val="none"/>
              </w:rPr>
              <w:t>，旱田青苗补偿费为2.1元/ m</w:t>
            </w:r>
            <w:r>
              <w:rPr>
                <w:rFonts w:ascii="Times New Roman" w:hAnsi="Times New Roman" w:cs="Times New Roman" w:eastAsiaTheme="minorEastAsia"/>
                <w:snapToGrid w:val="0"/>
                <w:color w:val="auto"/>
                <w:w w:val="99"/>
                <w:sz w:val="21"/>
                <w:szCs w:val="21"/>
                <w:highlight w:val="none"/>
                <w:vertAlign w:val="superscript"/>
              </w:rPr>
              <w:t>2</w:t>
            </w:r>
            <w:r>
              <w:rPr>
                <w:rFonts w:ascii="Times New Roman" w:hAnsi="Times New Roman" w:cs="Times New Roman" w:eastAsiaTheme="minorEastAsia"/>
                <w:snapToGrid w:val="0"/>
                <w:color w:val="auto"/>
                <w:w w:val="99"/>
                <w:sz w:val="21"/>
                <w:szCs w:val="21"/>
                <w:highlight w:val="none"/>
              </w:rPr>
              <w:t>）</w:t>
            </w:r>
          </w:p>
        </w:tc>
        <w:tc>
          <w:tcPr>
            <w:tcW w:w="413" w:type="pct"/>
            <w:vMerge w:val="continue"/>
            <w:vAlign w:val="center"/>
          </w:tcPr>
          <w:p w14:paraId="3104BE57">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391" w:type="pct"/>
            <w:vMerge w:val="continue"/>
            <w:vAlign w:val="center"/>
          </w:tcPr>
          <w:p w14:paraId="1E06D9DD">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p>
        </w:tc>
      </w:tr>
    </w:tbl>
    <w:p w14:paraId="5072F81F">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采取上述施工期生态保护措施后，项目施工期对生态环境的影响将降至最低，因此施工期生态保护措施是可行的。</w:t>
      </w:r>
    </w:p>
    <w:p w14:paraId="65A5B0A6">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6.1.6.2运营期</w:t>
      </w:r>
    </w:p>
    <w:p w14:paraId="2076C605">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（1）提高职工的环境保护意识，在生产管理中杜绝人为破坏植被的现象；</w:t>
      </w:r>
    </w:p>
    <w:p w14:paraId="07976F02">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（2）气井作业时严格执行环保措施，控制污染物的外排量，保证“工完料净场地清”；</w:t>
      </w:r>
    </w:p>
    <w:p w14:paraId="578A5440">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（3））加强管理，杜绝</w:t>
      </w:r>
      <w:r>
        <w:rPr>
          <w:rFonts w:ascii="Times New Roman" w:hAnsi="Times New Roman" w:eastAsia="宋体"/>
          <w:color w:val="auto"/>
          <w:w w:val="99"/>
          <w:sz w:val="24"/>
          <w:szCs w:val="24"/>
          <w:highlight w:val="none"/>
        </w:rPr>
        <w:t>气井采出水</w:t>
      </w:r>
      <w:r>
        <w:rPr>
          <w:rFonts w:hint="default" w:ascii="Times New Roman" w:hAnsi="Times New Roman" w:eastAsia="宋体"/>
          <w:color w:val="auto"/>
          <w:w w:val="99"/>
          <w:sz w:val="24"/>
          <w:szCs w:val="24"/>
          <w:highlight w:val="none"/>
        </w:rPr>
        <w:t>运输过程跑冒滴漏，全部通过污水外输管道输送至升一联气田污水预处理站处理后回注现役油层</w:t>
      </w:r>
      <w:r>
        <w:rPr>
          <w:rFonts w:ascii="Times New Roman" w:hAnsi="Times New Roman" w:eastAsia="宋体"/>
          <w:color w:val="auto"/>
          <w:w w:val="99"/>
          <w:sz w:val="24"/>
          <w:szCs w:val="24"/>
          <w:highlight w:val="none"/>
        </w:rPr>
        <w:t>。</w:t>
      </w:r>
    </w:p>
    <w:p w14:paraId="70CF01C0">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（4）对井场、管线加强日常监督管理，定期巡检。巡检过程中在采气管道沿线区域要注意已恢复的植被的保护工作。</w:t>
      </w:r>
    </w:p>
    <w:p w14:paraId="50830F2C">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（5）加强对项目区内的生态保护，严格按照相关的规章制度执行。</w:t>
      </w:r>
    </w:p>
    <w:p w14:paraId="4EE9DE87">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（6）运行期井场作业等均在永久占地内，不新增占地。</w:t>
      </w:r>
    </w:p>
    <w:p w14:paraId="7D0ACF2F">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本项目通过采取上述生态保护措施，能够确保本项目对区域生态环境的破坏得到有效控制，不会对区域生态环境产生较大影响，生态保护措施可行。</w:t>
      </w:r>
    </w:p>
    <w:p w14:paraId="22BB3EBA">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6.1.6.3退役期生态恢复与重建措施</w:t>
      </w:r>
    </w:p>
    <w:p w14:paraId="04623AC5">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气田退役期，根据当地条件和宜林则林、宜草则草、宜农则农的原则，对生态环境进行恢复和重建。</w:t>
      </w:r>
    </w:p>
    <w:p w14:paraId="477538D6">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（1）</w:t>
      </w:r>
      <w:r>
        <w:rPr>
          <w:rFonts w:hint="default" w:ascii="Times New Roman" w:hAnsi="Times New Roman" w:eastAsia="宋体"/>
          <w:color w:val="auto"/>
          <w:w w:val="99"/>
          <w:sz w:val="24"/>
          <w:szCs w:val="24"/>
          <w:highlight w:val="none"/>
        </w:rPr>
        <w:t>井场生态恢复与重建措施</w:t>
      </w:r>
    </w:p>
    <w:p w14:paraId="77123617">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①</w:t>
      </w:r>
      <w:r>
        <w:rPr>
          <w:rFonts w:hint="default" w:ascii="Times New Roman" w:hAnsi="Times New Roman" w:eastAsia="宋体"/>
          <w:color w:val="auto"/>
          <w:w w:val="99"/>
          <w:sz w:val="24"/>
          <w:szCs w:val="24"/>
          <w:highlight w:val="none"/>
        </w:rPr>
        <w:t>气井退役或报废后，应当在半年内将打开的气层和井口封闭；井场应拆除采气设备、封好井口、挖松固化地面，并对井场土地进行平整、覆土和植被恢复。</w:t>
      </w:r>
    </w:p>
    <w:p w14:paraId="10B21415">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②</w:t>
      </w:r>
      <w:r>
        <w:rPr>
          <w:rFonts w:hint="default" w:ascii="Times New Roman" w:hAnsi="Times New Roman" w:eastAsia="宋体"/>
          <w:color w:val="auto"/>
          <w:w w:val="99"/>
          <w:sz w:val="24"/>
          <w:szCs w:val="24"/>
          <w:highlight w:val="none"/>
        </w:rPr>
        <w:t>井场植被恢复初期复垦。</w:t>
      </w:r>
    </w:p>
    <w:p w14:paraId="1AB929B2">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③</w:t>
      </w:r>
      <w:r>
        <w:rPr>
          <w:rFonts w:hint="default" w:ascii="Times New Roman" w:hAnsi="Times New Roman" w:eastAsia="宋体"/>
          <w:color w:val="auto"/>
          <w:w w:val="99"/>
          <w:sz w:val="24"/>
          <w:szCs w:val="24"/>
          <w:highlight w:val="none"/>
        </w:rPr>
        <w:t>保留各类绿化、生态保护设施，使气田开发区生态环境功能不变，生态环境质量不低于目前现状。</w:t>
      </w:r>
    </w:p>
    <w:p w14:paraId="4C8150C1">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（2）</w:t>
      </w:r>
      <w:r>
        <w:rPr>
          <w:rFonts w:hint="default" w:ascii="Times New Roman" w:hAnsi="Times New Roman" w:eastAsia="宋体"/>
          <w:color w:val="auto"/>
          <w:w w:val="99"/>
          <w:sz w:val="24"/>
          <w:szCs w:val="24"/>
          <w:highlight w:val="none"/>
        </w:rPr>
        <w:t>道路、管线生态恢复与重建措施</w:t>
      </w:r>
    </w:p>
    <w:p w14:paraId="1803D3B5">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①</w:t>
      </w:r>
      <w:r>
        <w:rPr>
          <w:rFonts w:hint="default" w:ascii="Times New Roman" w:hAnsi="Times New Roman" w:eastAsia="宋体"/>
          <w:color w:val="auto"/>
          <w:w w:val="99"/>
          <w:sz w:val="24"/>
          <w:szCs w:val="24"/>
          <w:highlight w:val="none"/>
        </w:rPr>
        <w:t>对井场道路的永久占地要进行生态恢复，要及时恢复原有植被和生态景观，使气田开发区与区域生态景观和谐一致。</w:t>
      </w:r>
    </w:p>
    <w:p w14:paraId="65DD8731">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②</w:t>
      </w:r>
      <w:r>
        <w:rPr>
          <w:rFonts w:hint="default" w:ascii="Times New Roman" w:hAnsi="Times New Roman" w:eastAsia="宋体"/>
          <w:color w:val="auto"/>
          <w:w w:val="99"/>
          <w:sz w:val="24"/>
          <w:szCs w:val="24"/>
          <w:highlight w:val="none"/>
        </w:rPr>
        <w:t>气区进场道路，在征求当地群众意见后，可作为当地农业生产使用的，不必恢复；否则要恢复地表植被覆盖。</w:t>
      </w:r>
    </w:p>
    <w:p w14:paraId="7E9844BB">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③</w:t>
      </w:r>
      <w:r>
        <w:rPr>
          <w:rFonts w:hint="default" w:ascii="Times New Roman" w:hAnsi="Times New Roman" w:eastAsia="宋体"/>
          <w:color w:val="auto"/>
          <w:w w:val="99"/>
          <w:sz w:val="24"/>
          <w:szCs w:val="24"/>
          <w:highlight w:val="none"/>
        </w:rPr>
        <w:t>妥善处理退役期气区管道中残存的少量含烃废水。</w:t>
      </w:r>
    </w:p>
    <w:p w14:paraId="3291A349">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④</w:t>
      </w:r>
      <w:r>
        <w:rPr>
          <w:rFonts w:hint="default" w:ascii="Times New Roman" w:hAnsi="Times New Roman" w:eastAsia="宋体"/>
          <w:color w:val="auto"/>
          <w:w w:val="99"/>
          <w:sz w:val="24"/>
          <w:szCs w:val="24"/>
          <w:highlight w:val="none"/>
        </w:rPr>
        <w:t>加强对管线沿线居民的环境保护教育，提高其环保意识，禁止挖掘废弃管道，以避免对地表产生破坏和干扰，加速水土流失。</w:t>
      </w:r>
    </w:p>
    <w:p w14:paraId="1831E9FC">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综上所述，项目退役期在采取生态恢复与重建措施后，可有效地将生态环境的影响降到最低程度。</w:t>
      </w:r>
    </w:p>
    <w:p w14:paraId="4DEA2071">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bookmarkStart w:id="1086" w:name="_Toc88044548"/>
      <w:r>
        <w:rPr>
          <w:rFonts w:ascii="Times New Roman" w:hAnsi="Times New Roman" w:eastAsiaTheme="minorEastAsia"/>
          <w:b/>
          <w:color w:val="auto"/>
          <w:w w:val="99"/>
          <w:highlight w:val="none"/>
        </w:rPr>
        <w:t>6.1.6.4永久基本农田保护措施</w:t>
      </w:r>
      <w:bookmarkEnd w:id="1086"/>
    </w:p>
    <w:p w14:paraId="29EB7C39">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根据《基本农田保护条例》</w:t>
      </w:r>
      <w:r>
        <w:rPr>
          <w:rFonts w:hint="eastAsia" w:ascii="Times New Roman" w:hAnsi="Times New Roman" w:cs="Times New Roman"/>
          <w:color w:val="auto"/>
          <w:w w:val="99"/>
          <w:highlight w:val="none"/>
          <w:lang w:bidi="zh-CN"/>
        </w:rPr>
        <w:t>（国务院令第</w:t>
      </w:r>
      <w:r>
        <w:rPr>
          <w:rFonts w:ascii="Times New Roman" w:hAnsi="Times New Roman" w:cs="Times New Roman"/>
          <w:color w:val="auto"/>
          <w:w w:val="99"/>
          <w:highlight w:val="none"/>
          <w:lang w:bidi="zh-CN"/>
        </w:rPr>
        <w:t>257号）中规定：国家能源、交通、水利、军事设施等重点建设项目选址确实无法避开永久基本农田保护区，需要占用永久基本农田，涉及农用地转用或者征用土地必须经国务院批准。经国务院批准占用永久基本农田的，当地人民政府应当按照国务院的批准文件修改土地利用总体规划，并补充划入数量和质量相当的永久基本农田。占用单位应当按照占多少、垦多少的原则，负责开垦与所占用的永久基本农田数量与质量相当的耕地；没有条件开垦或者开垦的耕地不符合的要求的，应当按照省、自治区、直辖市的规定缴纳耕地开垦费，专款用于开垦新的耕地。占用永久基本农田的单位应按照县级以上地方人民政府的要求，将所占用的永久基本农田耕作层的土壤用于新开垦耕地、劣质地或者其他耕地的土壤改良。</w:t>
      </w:r>
    </w:p>
    <w:p w14:paraId="4A096322">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本工程属国家能源设施建设项目，根据设计要求，工程无法避让永久基本农田，因此应按有关土地管理办法的要求，逐级上报土地管理部门批准，对于永久占地，应纳入省土地利用规划，按有关土地管理部门要求认真执行。对占用的耕地，按照“占多少，垦多少” 的原则，由建设单位负责开垦与所占用耕地的数量和质量相当的耕地；如果没有条件开垦，应当按照省的规定缴纳耕地开垦费，专款用于开垦新的耕地，永久基本农田的耕地恢复由当地政府负责开垦相应数量的耕地，进行耕地保护。同时采取以下保护措施：</w:t>
      </w:r>
    </w:p>
    <w:p w14:paraId="652CF3AE">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（1）严格控制在耕地内的施工活动，限制施工范围和施工时限，将施工期对农业损失降至最小，例如优化工程施工周期尽量避开农作物的生长期进行施工；</w:t>
      </w:r>
    </w:p>
    <w:p w14:paraId="088D3C5F">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（2）本项目施工前应剥离永久占地内的表土，剥离面积</w:t>
      </w:r>
      <w:r>
        <w:rPr>
          <w:rFonts w:hint="eastAsia" w:ascii="Times New Roman" w:hAnsi="Times New Roman" w:cs="Times New Roman"/>
          <w:color w:val="auto"/>
          <w:w w:val="99"/>
          <w:highlight w:val="none"/>
          <w:lang w:bidi="zh-CN"/>
        </w:rPr>
        <w:t>0.0901</w:t>
      </w:r>
      <w:r>
        <w:rPr>
          <w:rFonts w:ascii="Times New Roman" w:hAnsi="Times New Roman" w:cs="Times New Roman"/>
          <w:color w:val="auto"/>
          <w:w w:val="99"/>
          <w:highlight w:val="none"/>
          <w:lang w:bidi="zh-CN"/>
        </w:rPr>
        <w:t>hm</w:t>
      </w:r>
      <w:r>
        <w:rPr>
          <w:rFonts w:ascii="Times New Roman" w:hAnsi="Times New Roman" w:cs="Times New Roman"/>
          <w:color w:val="auto"/>
          <w:w w:val="99"/>
          <w:highlight w:val="none"/>
          <w:vertAlign w:val="superscript"/>
          <w:lang w:bidi="zh-CN"/>
        </w:rPr>
        <w:t>2</w:t>
      </w:r>
      <w:r>
        <w:rPr>
          <w:rFonts w:ascii="Times New Roman" w:hAnsi="Times New Roman" w:cs="Times New Roman"/>
          <w:color w:val="auto"/>
          <w:w w:val="99"/>
          <w:highlight w:val="none"/>
          <w:lang w:bidi="zh-CN"/>
        </w:rPr>
        <w:t>，</w:t>
      </w:r>
      <w:r>
        <w:rPr>
          <w:rFonts w:hint="eastAsia" w:ascii="Times New Roman" w:hAnsi="Times New Roman" w:cs="Times New Roman"/>
          <w:color w:val="auto"/>
          <w:w w:val="99"/>
          <w:highlight w:val="none"/>
          <w:lang w:bidi="zh-CN"/>
        </w:rPr>
        <w:t>耕地剥离厚度</w:t>
      </w:r>
      <w:r>
        <w:rPr>
          <w:rFonts w:ascii="Times New Roman" w:hAnsi="Times New Roman" w:cs="Times New Roman"/>
          <w:color w:val="auto"/>
          <w:w w:val="99"/>
          <w:highlight w:val="none"/>
          <w:lang w:bidi="zh-CN"/>
        </w:rPr>
        <w:t>0.3m，并采取苫布遮盖，表土剥离临时堆放区周围设置排水沟等措施防止水土流失，并定期采取洒水抑尘措施，施工结束后，剥离表土用于周围区域土地复垦、土壤治理等用途。</w:t>
      </w:r>
    </w:p>
    <w:p w14:paraId="2D51BA0A">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（3）</w:t>
      </w:r>
      <w:r>
        <w:rPr>
          <w:rFonts w:ascii="Times New Roman" w:hAnsi="Times New Roman" w:cs="Times New Roman"/>
          <w:color w:val="auto"/>
          <w:w w:val="99"/>
          <w:highlight w:val="none"/>
          <w:lang w:bidi="zh-CN"/>
        </w:rPr>
        <w:t>对永久占用耕地（永久基本农田），按照“占一补一”原则进行占补平衡，由建设单位负责开垦与所占用耕地的数量和质量相当的耕地；如果没有条件开垦时，应当按照黑龙江省的规定缴纳耕地开垦费，专款用于开垦新的耕地。永久占用耕地的耕作层土壤集中堆放在施工井场或场站置土带区域，施工结束后用于周围区域土地复垦、土壤治理等用途。对于</w:t>
      </w:r>
      <w:r>
        <w:rPr>
          <w:rFonts w:hint="eastAsia" w:ascii="Times New Roman" w:hAnsi="Times New Roman" w:cs="Times New Roman"/>
          <w:color w:val="auto"/>
          <w:w w:val="99"/>
          <w:highlight w:val="none"/>
          <w:lang w:bidi="zh-CN"/>
        </w:rPr>
        <w:t>1.9229</w:t>
      </w:r>
      <w:r>
        <w:rPr>
          <w:rFonts w:ascii="Times New Roman" w:hAnsi="Times New Roman" w:cs="Times New Roman"/>
          <w:color w:val="auto"/>
          <w:w w:val="99"/>
          <w:highlight w:val="none"/>
          <w:lang w:bidi="zh-CN"/>
        </w:rPr>
        <w:t>hm</w:t>
      </w:r>
      <w:r>
        <w:rPr>
          <w:rFonts w:ascii="Times New Roman" w:hAnsi="Times New Roman" w:cs="Times New Roman"/>
          <w:color w:val="auto"/>
          <w:w w:val="99"/>
          <w:highlight w:val="none"/>
          <w:vertAlign w:val="superscript"/>
          <w:lang w:bidi="zh-CN"/>
        </w:rPr>
        <w:t>2</w:t>
      </w:r>
      <w:r>
        <w:rPr>
          <w:rFonts w:ascii="Times New Roman" w:hAnsi="Times New Roman" w:cs="Times New Roman"/>
          <w:color w:val="auto"/>
          <w:w w:val="99"/>
          <w:highlight w:val="none"/>
          <w:lang w:bidi="zh-CN"/>
        </w:rPr>
        <w:t>临时占地，施工前应剥离占地内的表土，</w:t>
      </w:r>
      <w:r>
        <w:rPr>
          <w:rFonts w:hint="eastAsia" w:ascii="Times New Roman" w:hAnsi="Times New Roman" w:cs="Times New Roman"/>
          <w:color w:val="auto"/>
          <w:w w:val="99"/>
          <w:highlight w:val="none"/>
          <w:lang w:bidi="zh-CN"/>
        </w:rPr>
        <w:t>耕地剥离厚度</w:t>
      </w:r>
      <w:r>
        <w:rPr>
          <w:rFonts w:ascii="Times New Roman" w:hAnsi="Times New Roman" w:cs="Times New Roman"/>
          <w:color w:val="auto"/>
          <w:w w:val="99"/>
          <w:highlight w:val="none"/>
          <w:lang w:bidi="zh-CN"/>
        </w:rPr>
        <w:t>0.3m，采用分层开挖，分层堆放，暂存于占地内的表土剥离临时堆放区（井场施工临时占地剥离表土暂存于井场内表土剥离临时堆放区，管线施工临时占地剥离表土暂存于管线一侧的表土剥离临时堆放区），并采取苫布遮盖，表土剥离临时堆放区周围设置排水沟等措施防止水土流失，并定期采取洒水抑尘措施，剥离的表土在施工结束后分层回填，及时恢复地表植被，并采取补播措施，对占用农田全部恢复为等质等量面积的耕地。</w:t>
      </w:r>
    </w:p>
    <w:p w14:paraId="335AEDF2">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w:t>
      </w:r>
      <w:r>
        <w:rPr>
          <w:rFonts w:hint="eastAsia" w:ascii="Times New Roman" w:hAnsi="Times New Roman" w:cs="Times New Roman"/>
          <w:color w:val="auto"/>
          <w:w w:val="99"/>
          <w:highlight w:val="none"/>
          <w:lang w:bidi="zh-CN"/>
        </w:rPr>
        <w:t>4</w:t>
      </w:r>
      <w:r>
        <w:rPr>
          <w:rFonts w:ascii="Times New Roman" w:hAnsi="Times New Roman" w:cs="Times New Roman"/>
          <w:color w:val="auto"/>
          <w:w w:val="99"/>
          <w:highlight w:val="none"/>
          <w:lang w:bidi="zh-CN"/>
        </w:rPr>
        <w:t>）占用永久基本农田的单位应当按照县级以上地方人民政府的要求，</w:t>
      </w:r>
      <w:r>
        <w:rPr>
          <w:rFonts w:hint="eastAsia" w:ascii="Times New Roman" w:hAnsi="Times New Roman" w:cs="Times New Roman"/>
          <w:color w:val="auto"/>
          <w:w w:val="99"/>
          <w:highlight w:val="none"/>
          <w:lang w:bidi="zh-CN"/>
        </w:rPr>
        <w:t>进行永久基本农田的占用审批。①建设单位组织临时用地申请材料。采气分公司依据项目设计资料、投资计划等基础资料，核实项目用地范围、面积、类型，准备临时用地申请、平面布置图、占地现状图、临时使用土地合同、土地复垦方案等相关材料。</w:t>
      </w:r>
    </w:p>
    <w:p w14:paraId="42672E5C">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②肇东市自然资源部门初审。肇东市自然资源部门组织对建设单位提交的临时用地申请资料进行初审，开展实地探勘核验，审查同意的出具审查意见。</w:t>
      </w:r>
    </w:p>
    <w:p w14:paraId="0B6A6A46">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③绥化市自然资源局审批。绥化市自然资源局组织审查肇东市自然资源部门提交的临时用地申请是否已完成初审、是否符合相关要求，对满足要求的用地申请组织审批，下发临时用地批复文件。具体见8.3小节</w:t>
      </w:r>
      <w:r>
        <w:rPr>
          <w:rFonts w:ascii="Times New Roman" w:hAnsi="Times New Roman" w:cs="Times New Roman"/>
          <w:color w:val="auto"/>
          <w:w w:val="99"/>
          <w:highlight w:val="none"/>
          <w:lang w:bidi="zh-CN"/>
        </w:rPr>
        <w:t>。</w:t>
      </w:r>
    </w:p>
    <w:p w14:paraId="0C7BB3A8">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6.1.6.5黑土地保护措施</w:t>
      </w:r>
    </w:p>
    <w:p w14:paraId="00A7FEAA">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按照《中华人民共和国土地管理法》第三十一条：国家实行占用耕地补偿制度。非农业建设经批准占用耕地的，按照“占多少，垦多少”的原则，由占用耕地的单位负责开垦与所占用耕地的数量和质量相当的耕地；没有条件开垦或者开垦的耕地不符合要求的， 应当按照省、自治区、直辖市的规定缴纳耕地开垦费，专款用于开垦新的耕地。省、自治区、直辖市人民政府应当制定开垦耕地计划，监督占用耕地的单位按照计划开垦耕地 或者按照计划组织开垦耕地，并进行验收。第三十二条规定：县级以上地方人民政府可以要求占用耕地的单位将所占用耕地耕作层的土壤用于新开垦耕地、劣质地或者其他耕 地的土壤改良。</w:t>
      </w:r>
      <w:r>
        <w:rPr>
          <w:rFonts w:hint="eastAsia" w:ascii="Times New Roman" w:hAnsi="Times New Roman" w:cs="Times New Roman"/>
          <w:color w:val="auto"/>
          <w:w w:val="99"/>
          <w:highlight w:val="none"/>
          <w:lang w:bidi="zh-CN"/>
        </w:rPr>
        <w:t>以及</w:t>
      </w:r>
      <w:r>
        <w:rPr>
          <w:rFonts w:ascii="Times New Roman" w:hAnsi="Times New Roman" w:cs="Times New Roman"/>
          <w:color w:val="auto"/>
          <w:w w:val="99"/>
          <w:highlight w:val="none"/>
          <w:lang w:bidi="zh-CN"/>
        </w:rPr>
        <w:t>《黑龙江省黑土地保护利用条例》</w:t>
      </w:r>
      <w:r>
        <w:rPr>
          <w:rFonts w:hint="eastAsia" w:ascii="Times New Roman" w:hAnsi="Times New Roman" w:cs="Times New Roman"/>
          <w:color w:val="auto"/>
          <w:w w:val="99"/>
          <w:highlight w:val="none"/>
          <w:lang w:bidi="zh-CN"/>
        </w:rPr>
        <w:t>中第四十四条 建设项目不得占用黑土地；确需占用的，应当依法严格审批，并补充数量和质量相当的耕地。 基础设施建设应当采取必要措施，避免因建设项目导致水淹耕地或者破坏黑土地生态环境。第四十五条 建设项目占用黑土地的，应当按照规定的标准对耕作层的土壤进行剥离。剥离的黑土应当就近用于新开垦耕地和低质耕地改良、被污染耕地的治理、高标准农田建设、土地复垦等。建设项目主体应当制定剥离黑土的再利用方案，报自然资源主管部门备案。</w:t>
      </w:r>
    </w:p>
    <w:p w14:paraId="47E16FF0">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本项目</w:t>
      </w:r>
      <w:r>
        <w:rPr>
          <w:rFonts w:ascii="Times New Roman" w:hAnsi="Times New Roman" w:cs="Times New Roman"/>
          <w:color w:val="auto"/>
          <w:w w:val="99"/>
          <w:highlight w:val="none"/>
          <w:lang w:bidi="zh-CN"/>
        </w:rPr>
        <w:t>由</w:t>
      </w:r>
      <w:r>
        <w:rPr>
          <w:rFonts w:hint="eastAsia" w:ascii="Times New Roman" w:hAnsi="Times New Roman" w:cs="Times New Roman"/>
          <w:color w:val="auto"/>
          <w:w w:val="99"/>
          <w:highlight w:val="none"/>
          <w:lang w:bidi="zh-CN"/>
        </w:rPr>
        <w:t>采气分公司</w:t>
      </w:r>
      <w:r>
        <w:rPr>
          <w:rFonts w:ascii="Times New Roman" w:hAnsi="Times New Roman" w:cs="Times New Roman"/>
          <w:color w:val="auto"/>
          <w:w w:val="99"/>
          <w:highlight w:val="none"/>
          <w:lang w:bidi="zh-CN"/>
        </w:rPr>
        <w:t>负责开垦与所占用耕地的数量和质量相当的耕地；如果没有条件开垦，应当按照省的规定缴纳耕地开垦费，专款用于开垦新的耕地，基本农田的耕地恢复由当地政府负责开垦相应数量的耕地，进行基本农田及黑土地的保护。本项目占</w:t>
      </w:r>
      <w:r>
        <w:rPr>
          <w:rFonts w:hint="eastAsia" w:ascii="Times New Roman" w:hAnsi="Times New Roman" w:cs="Times New Roman"/>
          <w:color w:val="auto"/>
          <w:w w:val="99"/>
          <w:highlight w:val="none"/>
          <w:lang w:bidi="zh-CN"/>
        </w:rPr>
        <w:t>地类型为耕地（永久基本农田）</w:t>
      </w:r>
      <w:r>
        <w:rPr>
          <w:rFonts w:ascii="Times New Roman" w:hAnsi="Times New Roman" w:cs="Times New Roman"/>
          <w:color w:val="auto"/>
          <w:w w:val="99"/>
          <w:highlight w:val="none"/>
          <w:lang w:bidi="zh-CN"/>
        </w:rPr>
        <w:t>。</w:t>
      </w:r>
      <w:r>
        <w:rPr>
          <w:rFonts w:hint="eastAsia" w:ascii="Times New Roman" w:hAnsi="Times New Roman" w:cs="Times New Roman"/>
          <w:color w:val="auto"/>
          <w:w w:val="99"/>
          <w:highlight w:val="none"/>
          <w:lang w:bidi="zh-CN"/>
        </w:rPr>
        <w:t>主要采取措施如下：</w:t>
      </w:r>
    </w:p>
    <w:p w14:paraId="2E901C29">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（1）本项目新建井场严格遵守《石油天然气工程项目用地控制指标》（</w:t>
      </w:r>
      <w:r>
        <w:rPr>
          <w:rFonts w:hint="eastAsia" w:ascii="Times New Roman" w:hAnsi="Times New Roman" w:cs="Times New Roman"/>
          <w:color w:val="auto"/>
          <w:w w:val="99"/>
          <w:highlight w:val="none"/>
          <w:lang w:bidi="zh-CN"/>
        </w:rPr>
        <w:t>建标</w:t>
      </w:r>
      <w:r>
        <w:rPr>
          <w:rFonts w:ascii="Times New Roman" w:hAnsi="Times New Roman" w:cs="Times New Roman"/>
          <w:color w:val="auto"/>
          <w:w w:val="99"/>
          <w:highlight w:val="none"/>
          <w:lang w:bidi="zh-CN"/>
        </w:rPr>
        <w:t>[2016]14号）要求，尽可能减少占地。</w:t>
      </w:r>
    </w:p>
    <w:p w14:paraId="69952B41">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2）本项目施工过程中，需遵守《大庆油（气）田建设工程用地规范》规定，严格控制施工作业面积，加强施工管理，尽量减少占地面积，并规范行车路线及施工人员行为，严禁随意践踏、碾压施工区范围外的黑土地，不准乱挖、乱采野生植物，确保不影响周边黑土地。</w:t>
      </w:r>
    </w:p>
    <w:p w14:paraId="1AA95F11">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（3）本项目在施工前</w:t>
      </w:r>
      <w:r>
        <w:rPr>
          <w:rFonts w:hint="eastAsia" w:ascii="Times New Roman" w:hAnsi="Times New Roman" w:cs="Times New Roman"/>
          <w:color w:val="auto"/>
          <w:w w:val="99"/>
          <w:highlight w:val="none"/>
          <w:lang w:bidi="zh-CN"/>
        </w:rPr>
        <w:t>由采气分公司</w:t>
      </w:r>
      <w:r>
        <w:rPr>
          <w:rFonts w:ascii="Times New Roman" w:hAnsi="Times New Roman" w:cs="Times New Roman"/>
          <w:color w:val="auto"/>
          <w:w w:val="99"/>
          <w:highlight w:val="none"/>
          <w:lang w:bidi="zh-CN"/>
        </w:rPr>
        <w:t>编制表土剥离方案，施工过程中针对永久和临时占地，</w:t>
      </w:r>
      <w:r>
        <w:rPr>
          <w:rFonts w:hint="eastAsia" w:ascii="Times New Roman" w:hAnsi="Times New Roman" w:cs="Times New Roman"/>
          <w:color w:val="auto"/>
          <w:w w:val="99"/>
          <w:highlight w:val="none"/>
          <w:lang w:bidi="zh-CN"/>
        </w:rPr>
        <w:t>耕地剥离厚度0.3</w:t>
      </w:r>
      <w:r>
        <w:rPr>
          <w:rFonts w:ascii="Times New Roman" w:hAnsi="Times New Roman" w:cs="Times New Roman"/>
          <w:color w:val="auto"/>
          <w:w w:val="99"/>
          <w:highlight w:val="none"/>
          <w:lang w:bidi="zh-CN"/>
        </w:rPr>
        <w:t>m，剥离表土</w:t>
      </w:r>
      <w:r>
        <w:rPr>
          <w:rFonts w:hint="eastAsia" w:ascii="Times New Roman" w:hAnsi="Times New Roman" w:cs="Times New Roman"/>
          <w:color w:val="auto"/>
          <w:w w:val="99"/>
          <w:highlight w:val="none"/>
          <w:lang w:bidi="zh-CN"/>
        </w:rPr>
        <w:t>6039</w:t>
      </w:r>
      <w:r>
        <w:rPr>
          <w:rFonts w:ascii="Times New Roman" w:hAnsi="Times New Roman" w:cs="Times New Roman"/>
          <w:color w:val="auto"/>
          <w:w w:val="99"/>
          <w:highlight w:val="none"/>
          <w:lang w:bidi="zh-CN"/>
        </w:rPr>
        <w:t>m</w:t>
      </w:r>
      <w:r>
        <w:rPr>
          <w:rFonts w:ascii="Times New Roman" w:hAnsi="Times New Roman" w:cs="Times New Roman"/>
          <w:color w:val="auto"/>
          <w:w w:val="99"/>
          <w:highlight w:val="none"/>
          <w:vertAlign w:val="superscript"/>
          <w:lang w:bidi="zh-CN"/>
        </w:rPr>
        <w:t>3</w:t>
      </w:r>
      <w:r>
        <w:rPr>
          <w:rFonts w:ascii="Times New Roman" w:hAnsi="Times New Roman" w:cs="Times New Roman"/>
          <w:color w:val="auto"/>
          <w:w w:val="99"/>
          <w:highlight w:val="none"/>
          <w:lang w:bidi="zh-CN"/>
        </w:rPr>
        <w:t>堆放在</w:t>
      </w:r>
      <w:r>
        <w:rPr>
          <w:rFonts w:hint="eastAsia" w:ascii="Times New Roman" w:hAnsi="Times New Roman" w:cs="Times New Roman"/>
          <w:color w:val="auto"/>
          <w:w w:val="99"/>
          <w:highlight w:val="none"/>
          <w:lang w:bidi="zh-CN"/>
        </w:rPr>
        <w:t>临时占地</w:t>
      </w:r>
      <w:r>
        <w:rPr>
          <w:rFonts w:ascii="Times New Roman" w:hAnsi="Times New Roman" w:cs="Times New Roman"/>
          <w:color w:val="auto"/>
          <w:w w:val="99"/>
          <w:highlight w:val="none"/>
          <w:lang w:bidi="zh-CN"/>
        </w:rPr>
        <w:t>，堆放高度约为1.2m，加盖苫布。施工结束后，永久占地剥离的表土用于周围区域土地复垦、土壤治理等用途。</w:t>
      </w:r>
    </w:p>
    <w:p w14:paraId="6EB0CBB7">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6.1.6.6水土流失保护措施</w:t>
      </w:r>
    </w:p>
    <w:p w14:paraId="0F8422B2">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bCs/>
          <w:color w:val="auto"/>
          <w:w w:val="99"/>
          <w:sz w:val="24"/>
          <w:szCs w:val="24"/>
          <w:highlight w:val="none"/>
        </w:rPr>
        <w:t>根据《大庆市水土保持规划》（2015～2030年）、《绥化市水土保持规划》（2020～2030年），本项目所在地不属于水土流失重点治理区及重点预防区。</w:t>
      </w:r>
      <w:r>
        <w:rPr>
          <w:rFonts w:ascii="Times New Roman" w:hAnsi="Times New Roman" w:eastAsia="宋体"/>
          <w:color w:val="auto"/>
          <w:w w:val="99"/>
          <w:sz w:val="24"/>
          <w:szCs w:val="24"/>
          <w:highlight w:val="none"/>
        </w:rPr>
        <w:t>结合工程实际和项目区水土流失特点，因地制宜，因害设防，提出总体防治思路，明确综合防治措施体系，工程措施、植物措施以及临时措施有机结合。主要措施如下：</w:t>
      </w:r>
    </w:p>
    <w:p w14:paraId="5B33B9D7">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（1）工程防治措施</w:t>
      </w:r>
    </w:p>
    <w:p w14:paraId="6A6D4944">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shd w:val="clear" w:color="auto" w:fill="FFFFFF"/>
        </w:rPr>
        <w:t>①</w:t>
      </w:r>
      <w:r>
        <w:rPr>
          <w:rFonts w:hint="default" w:ascii="Times New Roman" w:hAnsi="Times New Roman" w:eastAsia="宋体"/>
          <w:color w:val="auto"/>
          <w:w w:val="99"/>
          <w:sz w:val="24"/>
          <w:szCs w:val="24"/>
          <w:highlight w:val="none"/>
        </w:rPr>
        <w:t>井场</w:t>
      </w:r>
    </w:p>
    <w:p w14:paraId="7DA09F93">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严格控制井场地面作业面积，按设计标准规定，严格控制施工作业带（开挖）面积，井场建设完成后，对井场周围由于施工产生的植被损坏进行恢复。</w:t>
      </w:r>
      <w:r>
        <w:rPr>
          <w:rFonts w:hint="default" w:ascii="Times New Roman" w:hAnsi="Times New Roman" w:eastAsia="宋体"/>
          <w:color w:val="auto"/>
          <w:w w:val="99"/>
          <w:sz w:val="24"/>
          <w:szCs w:val="24"/>
          <w:highlight w:val="none"/>
        </w:rPr>
        <w:t>井场予以平整、压实，以免发生水土流失。对于建设开挖、回填土石方要合理填埋、堆放、利用，并采取适当的压实平整措施。地面建设产生的弃方不得随处堆放，应合理利用。</w:t>
      </w:r>
    </w:p>
    <w:p w14:paraId="1616BD7F">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shd w:val="clear" w:color="auto" w:fill="FFFFFF"/>
        </w:rPr>
        <w:t>②</w:t>
      </w:r>
      <w:r>
        <w:rPr>
          <w:rFonts w:hint="default" w:ascii="Times New Roman" w:hAnsi="Times New Roman" w:eastAsia="宋体"/>
          <w:color w:val="auto"/>
          <w:w w:val="99"/>
          <w:sz w:val="24"/>
          <w:szCs w:val="24"/>
          <w:highlight w:val="none"/>
        </w:rPr>
        <w:t>道路</w:t>
      </w:r>
    </w:p>
    <w:p w14:paraId="0170649E">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严格控制施工车辆、机械及施工人员活动范围，尽可能减少原有植被和土壤的破坏。油区道路施工作业面宽度控制在永久占地范围内；新建道路应在推平后加以机械碾压压实，如遇水土流失较严重区域，应在道路一侧开挖简易土质排水沟。</w:t>
      </w:r>
    </w:p>
    <w:p w14:paraId="4FD0ACB5">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施工期尽量利用现有公路和已有便道行车，避免造成新的裸露地表；执行“无捷径”原则，规范车辆行驶路线，不在道路、井场以外的地方行驶和作业，禁止碾压和破坏地表植被。在油田道路地势较低，容易汇水形成径流冲刷的路段，设置钢筋砼板涵，以保证道路两侧洪沟的畅通。生产期及时作好道路泄洪桥涵洞的疏通、维修工作，保证各类设施的泄洪能力。</w:t>
      </w:r>
    </w:p>
    <w:p w14:paraId="137E7526">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shd w:val="clear" w:color="auto" w:fill="FFFFFF"/>
        </w:rPr>
        <w:t>③</w:t>
      </w:r>
      <w:r>
        <w:rPr>
          <w:rFonts w:hint="default" w:ascii="Times New Roman" w:hAnsi="Times New Roman" w:eastAsia="宋体"/>
          <w:color w:val="auto"/>
          <w:w w:val="99"/>
          <w:sz w:val="24"/>
          <w:szCs w:val="24"/>
          <w:highlight w:val="none"/>
        </w:rPr>
        <w:t>管线</w:t>
      </w:r>
    </w:p>
    <w:p w14:paraId="7560E621">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管线敷设施工宽度控制在设计标准范围内，并尽量沿道路纵向平行布设，以减少地表植被破坏，减少裸地和土方的暴露面积。管线敷设地表开挖施工时，对管沟区土壤，做到分层开挖，生熟土分开堆放，分层循序回填压实，以保护植被生长层，降低对土壤养分的影响，使土壤尽快恢复生产力，同时减少水土流失。</w:t>
      </w:r>
    </w:p>
    <w:p w14:paraId="21696A17">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管道工程施工时，要特别注意保护原始地表与天然植被，应划定施工活动范围，严格控制和管理车辆及重型机械的运行范围，所有车辆采用“一”字型作业法，走同一车辙，避免加行开辟新路。管沟挖、填方作业应尽量做到互补平衡，以免造成弃土方堆积和过多借土，增加新的水土流失。管沟回填应按层回填，以利于施工带土壤和植被的尽早恢复。回填后应予以平整、压实，以免发生水土流失。对高出地面部分做出水土保持要求，要求高出地面部分回填土按梯形堆放于管线上部，堆放后人工进行修整、拍实。项目区低洼地段，降雨季节施工的应先建好防洪、导流和泄洪设施后开工，以防洪水冲毁工程、机械，造成不必要的损失。</w:t>
      </w:r>
    </w:p>
    <w:p w14:paraId="6417AF9F">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shd w:val="clear" w:color="auto" w:fill="FFFFFF"/>
        </w:rPr>
        <w:t>④</w:t>
      </w:r>
      <w:r>
        <w:rPr>
          <w:rFonts w:hint="default" w:ascii="Times New Roman" w:hAnsi="Times New Roman" w:eastAsia="宋体"/>
          <w:color w:val="auto"/>
          <w:w w:val="99"/>
          <w:sz w:val="24"/>
          <w:szCs w:val="24"/>
          <w:highlight w:val="none"/>
        </w:rPr>
        <w:t>生物防治措施</w:t>
      </w:r>
    </w:p>
    <w:p w14:paraId="7BB95A99">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采取工程、林草、封育治理和耕作等措施，进行水、田、林、草、路统一规划、综合治理，增强防洪排涝、抗御干旱等自然灾害的能力。本项目水土保持生物措施主要根据油</w:t>
      </w:r>
      <w:r>
        <w:rPr>
          <w:rFonts w:ascii="Times New Roman" w:hAnsi="Times New Roman" w:eastAsia="宋体"/>
          <w:color w:val="auto"/>
          <w:w w:val="99"/>
          <w:sz w:val="24"/>
          <w:szCs w:val="24"/>
          <w:highlight w:val="none"/>
        </w:rPr>
        <w:t>气</w:t>
      </w:r>
      <w:r>
        <w:rPr>
          <w:rFonts w:hint="default" w:ascii="Times New Roman" w:hAnsi="Times New Roman" w:eastAsia="宋体"/>
          <w:color w:val="auto"/>
          <w:w w:val="99"/>
          <w:sz w:val="24"/>
          <w:szCs w:val="24"/>
          <w:highlight w:val="none"/>
        </w:rPr>
        <w:t>田地面植被情况，做好原有植被恢复工作和人工绿化工作，最大程度的降低因本项目施工建设和生产运行而新增的水土流失量，保护当地出现退化现象的草原生态系统，降低人为因素导致当地土壤盐碱化的趋势，尽量改善当地的生态环境。</w:t>
      </w:r>
    </w:p>
    <w:p w14:paraId="10D598BF">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（2）管理措施</w:t>
      </w:r>
    </w:p>
    <w:p w14:paraId="6D517FEC">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因地制宜选择施工季节，尽量避开植被生长季节、农作物耕种季节，减少损失，同时避开大风及强降水季节。施工期间应划定施工活动范围，严格控制和管理运输车辆、重型机械设备作业范围，以及施工人员的活动范围，由专人负责管理，减少施工作业对周围土壤和植被的破坏范围和程度。</w:t>
      </w:r>
    </w:p>
    <w:p w14:paraId="6AA564D6">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本项目施工前应剥离永久占地及临时占地内的表土，耕地剥离厚度0.3m</w:t>
      </w:r>
      <w:r>
        <w:rPr>
          <w:rFonts w:ascii="Times New Roman" w:hAnsi="Times New Roman" w:eastAsia="宋体"/>
          <w:color w:val="auto"/>
          <w:w w:val="99"/>
          <w:sz w:val="24"/>
          <w:szCs w:val="24"/>
          <w:highlight w:val="none"/>
        </w:rPr>
        <w:t>，</w:t>
      </w:r>
      <w:r>
        <w:rPr>
          <w:rFonts w:hint="default" w:ascii="Times New Roman" w:hAnsi="Times New Roman" w:eastAsia="宋体"/>
          <w:color w:val="auto"/>
          <w:w w:val="99"/>
          <w:sz w:val="24"/>
          <w:szCs w:val="24"/>
          <w:highlight w:val="none"/>
        </w:rPr>
        <w:t>剥离的表土暂存于施工井场的表土剥离临时堆放区，并采取苫布遮盖，表土剥离临时堆放区周围设置排水沟等措施防止水土流失，并定期采取洒水抑尘措施，施工结束后，永久占地剥离表土用于周围区域土地复垦、土壤治理等用途，临时占地剥离的表土在施工结束后及时用于回填，分层回填压实，保护有耕作能力种植价值的表层土壤，并对临时占地进行深松深耕复垦，恢复地表植被。</w:t>
      </w:r>
    </w:p>
    <w:p w14:paraId="661A595B">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严禁在大风、大雨天气下施工，特别是管沟开挖、管道回填作业等。</w:t>
      </w:r>
      <w:r>
        <w:rPr>
          <w:rFonts w:hint="default" w:ascii="Times New Roman" w:hAnsi="Times New Roman" w:eastAsia="宋体"/>
          <w:color w:val="auto"/>
          <w:w w:val="99"/>
          <w:sz w:val="24"/>
          <w:szCs w:val="24"/>
          <w:highlight w:val="none"/>
        </w:rPr>
        <w:t>在便道出入口，树立保护耕地的警示牌，以提醒施工作业人员，减少人员随意践踏造成的水土流失。严禁开发建设施工材料乱堆乱放，划定适宜的堆料场，以防对植物破坏范围的扩大，增加裸地面积而新增的水土流失。</w:t>
      </w:r>
    </w:p>
    <w:p w14:paraId="1BE2DC51">
      <w:pPr>
        <w:pStyle w:val="153"/>
        <w:widowControl w:val="0"/>
        <w:spacing w:line="440" w:lineRule="exact"/>
        <w:ind w:firstLine="0" w:firstLineChars="0"/>
        <w:jc w:val="both"/>
        <w:outlineLvl w:val="3"/>
        <w:rPr>
          <w:rFonts w:ascii="Times New Roman" w:hAnsi="Times New Roman"/>
          <w:color w:val="auto"/>
          <w:w w:val="99"/>
          <w:highlight w:val="none"/>
        </w:rPr>
      </w:pPr>
      <w:r>
        <w:rPr>
          <w:rFonts w:ascii="Times New Roman" w:hAnsi="Times New Roman" w:eastAsiaTheme="minorEastAsia"/>
          <w:b/>
          <w:color w:val="auto"/>
          <w:w w:val="99"/>
          <w:highlight w:val="none"/>
        </w:rPr>
        <w:t>6.1.6.</w:t>
      </w:r>
      <w:r>
        <w:rPr>
          <w:rFonts w:hint="eastAsia" w:ascii="Times New Roman" w:hAnsi="Times New Roman" w:eastAsiaTheme="minorEastAsia"/>
          <w:b/>
          <w:color w:val="auto"/>
          <w:w w:val="99"/>
          <w:highlight w:val="none"/>
        </w:rPr>
        <w:t>7</w:t>
      </w:r>
      <w:r>
        <w:rPr>
          <w:rFonts w:ascii="Times New Roman" w:hAnsi="Times New Roman" w:eastAsiaTheme="minorEastAsia"/>
          <w:b/>
          <w:color w:val="auto"/>
          <w:w w:val="99"/>
          <w:highlight w:val="none"/>
        </w:rPr>
        <w:t>防沙治沙保护措施</w:t>
      </w:r>
    </w:p>
    <w:p w14:paraId="692AC43F">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为减轻植被破坏和农田生态系统受工程影响可能导致的沙化现象，防患于未然，建设单位应采取以下措施进行控制：</w:t>
      </w:r>
    </w:p>
    <w:p w14:paraId="28B7A744">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（1）做好施工期开挖土方临时堆存的水土保持措施，确保土方水土流失得到有效控制。对开挖井场造成植被破坏或地表裸露的，必须采取有效的修复措施，所有生态措施应在井场投运半年内完成。</w:t>
      </w:r>
    </w:p>
    <w:p w14:paraId="28989147">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2）管道采用沟埋敷设，施工结束后及时有效地对占地区域土地进行平整，并压实，利于植被自然恢复。井场临时占地主要为设备放置地，在设备放置时尽量不破坏原有地貌，施工结束后及时对现场进行清理，对破坏的土地进行平整并压实，利于植被自然恢复。</w:t>
      </w:r>
    </w:p>
    <w:p w14:paraId="000A25C4">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（3）在施工活动结束后，要立即对施工现场进行回填平整，形成新的合适坡度，并尽可能覆土压实，基本程序是回填－平整－覆土－压实。工程回填物应首先考虑弃土、弃石和弃渣，并力求做到“挖填平衡”。</w:t>
      </w:r>
    </w:p>
    <w:p w14:paraId="205782EF">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（4）施工时要特别注意保护原始地表与天然植被，划定施工活动范围，严格控制和管理车辆及重型机械的运行范围，所有车辆采用“一”字型作业法，避免并行开辟新路，以减少风蚀沙化活动的范围。</w:t>
      </w:r>
    </w:p>
    <w:p w14:paraId="5846BD2D">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（5）施工作业避免在大风天施工。</w:t>
      </w:r>
    </w:p>
    <w:p w14:paraId="2CD45139">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（6）路基边坡采取种草措施护坡固土，维护路基稳定和道路安全运行。</w:t>
      </w:r>
    </w:p>
    <w:p w14:paraId="683CC46E">
      <w:pPr>
        <w:pStyle w:val="153"/>
        <w:widowControl w:val="0"/>
        <w:spacing w:line="440" w:lineRule="exact"/>
        <w:ind w:firstLine="0" w:firstLineChars="0"/>
        <w:jc w:val="both"/>
        <w:outlineLvl w:val="3"/>
        <w:rPr>
          <w:rFonts w:ascii="Times New Roman" w:hAnsi="Times New Roman"/>
          <w:color w:val="auto"/>
          <w:w w:val="99"/>
          <w:highlight w:val="none"/>
        </w:rPr>
      </w:pPr>
      <w:r>
        <w:rPr>
          <w:rFonts w:ascii="Times New Roman" w:hAnsi="Times New Roman" w:eastAsiaTheme="minorEastAsia"/>
          <w:b/>
          <w:color w:val="auto"/>
          <w:w w:val="99"/>
          <w:highlight w:val="none"/>
        </w:rPr>
        <w:t>6.1.6.</w:t>
      </w:r>
      <w:r>
        <w:rPr>
          <w:rFonts w:hint="eastAsia" w:ascii="Times New Roman" w:hAnsi="Times New Roman" w:eastAsiaTheme="minorEastAsia"/>
          <w:b/>
          <w:color w:val="auto"/>
          <w:w w:val="99"/>
          <w:highlight w:val="none"/>
        </w:rPr>
        <w:t>8</w:t>
      </w:r>
      <w:r>
        <w:rPr>
          <w:rFonts w:ascii="Times New Roman" w:hAnsi="Times New Roman" w:eastAsiaTheme="minorEastAsia"/>
          <w:b/>
          <w:color w:val="auto"/>
          <w:w w:val="99"/>
          <w:highlight w:val="none"/>
        </w:rPr>
        <w:t>植被恢复措施及补偿措施</w:t>
      </w:r>
    </w:p>
    <w:p w14:paraId="7E48B029">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建设单位在施工过程中，应严格执行</w:t>
      </w:r>
      <w:r>
        <w:rPr>
          <w:rFonts w:ascii="Times New Roman" w:hAnsi="Times New Roman" w:eastAsia="宋体"/>
          <w:iCs/>
          <w:color w:val="auto"/>
          <w:w w:val="99"/>
          <w:sz w:val="24"/>
          <w:szCs w:val="24"/>
          <w:highlight w:val="none"/>
        </w:rPr>
        <w:t>《中华人民共和国土地管理法》（主席令〔2019〕第32号〔2019年修正本〕）</w:t>
      </w:r>
      <w:r>
        <w:rPr>
          <w:rFonts w:hint="default" w:ascii="Times New Roman" w:hAnsi="Times New Roman" w:eastAsia="宋体"/>
          <w:color w:val="auto"/>
          <w:w w:val="99"/>
          <w:sz w:val="24"/>
          <w:szCs w:val="24"/>
          <w:highlight w:val="none"/>
        </w:rPr>
        <w:t>、《石油天然气工程项目用地控制指标》</w:t>
      </w:r>
      <w:r>
        <w:rPr>
          <w:rFonts w:ascii="Times New Roman" w:hAnsi="Times New Roman" w:eastAsia="宋体"/>
          <w:color w:val="auto"/>
          <w:w w:val="99"/>
          <w:sz w:val="24"/>
          <w:szCs w:val="24"/>
          <w:highlight w:val="none"/>
        </w:rPr>
        <w:t>（TD/T 1099-2024）</w:t>
      </w:r>
      <w:r>
        <w:rPr>
          <w:rFonts w:hint="default" w:ascii="Times New Roman" w:hAnsi="Times New Roman" w:eastAsia="宋体"/>
          <w:color w:val="auto"/>
          <w:w w:val="99"/>
          <w:sz w:val="24"/>
          <w:szCs w:val="24"/>
          <w:highlight w:val="none"/>
        </w:rPr>
        <w:t>的相关规定，切实采取有效的保护措施，对生态环境进行正确的保护，并进行补偿和恢复。</w:t>
      </w:r>
    </w:p>
    <w:p w14:paraId="459B0CEE">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（1）植被占用补偿</w:t>
      </w:r>
    </w:p>
    <w:p w14:paraId="684BE000">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按照国家“水土保持法”要求，凡是占用和破坏植被的单位或个人均应向水土保持主管部门缴纳一定的水土保持费用。国家为了加大水土保持工作力度，对水土保持费不断进行了调整，建设单位应按标准向水土保持主管部门缴纳水保费用。</w:t>
      </w:r>
    </w:p>
    <w:p w14:paraId="41DD3C29">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（2）耕地复垦补偿</w:t>
      </w:r>
    </w:p>
    <w:p w14:paraId="5F59DAC4">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本项目将临时占用耕地面积</w:t>
      </w:r>
      <w:r>
        <w:rPr>
          <w:rFonts w:ascii="Times New Roman" w:hAnsi="Times New Roman" w:eastAsia="宋体"/>
          <w:color w:val="auto"/>
          <w:w w:val="99"/>
          <w:sz w:val="24"/>
          <w:szCs w:val="24"/>
          <w:highlight w:val="none"/>
        </w:rPr>
        <w:t>1.9229</w:t>
      </w:r>
      <w:r>
        <w:rPr>
          <w:rFonts w:hint="default" w:ascii="Times New Roman" w:hAnsi="Times New Roman" w:eastAsia="宋体"/>
          <w:color w:val="auto"/>
          <w:w w:val="99"/>
          <w:sz w:val="24"/>
          <w:szCs w:val="24"/>
          <w:highlight w:val="none"/>
        </w:rPr>
        <w:t>hm</w:t>
      </w:r>
      <w:r>
        <w:rPr>
          <w:rFonts w:hint="default" w:ascii="Times New Roman" w:hAnsi="Times New Roman" w:eastAsia="宋体"/>
          <w:color w:val="auto"/>
          <w:w w:val="99"/>
          <w:sz w:val="24"/>
          <w:szCs w:val="24"/>
          <w:highlight w:val="none"/>
          <w:vertAlign w:val="superscript"/>
        </w:rPr>
        <w:t>2</w:t>
      </w:r>
      <w:r>
        <w:rPr>
          <w:rFonts w:hint="default" w:ascii="Times New Roman" w:hAnsi="Times New Roman" w:eastAsia="宋体"/>
          <w:color w:val="auto"/>
          <w:w w:val="99"/>
          <w:sz w:val="24"/>
          <w:szCs w:val="24"/>
          <w:highlight w:val="none"/>
        </w:rPr>
        <w:t>，即需要复垦的耕地面积。由于在征地费用中已经体现了后期的复垦费用，施工结束后将由农民自行复垦，故不再计算复垦补偿费用。</w:t>
      </w:r>
    </w:p>
    <w:p w14:paraId="152A844C">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根据对当地乡镇政府调查，本区域但仍有5～10%的机动农田可以调剂，按“占一开一，占补平衡”的原则，油</w:t>
      </w:r>
      <w:r>
        <w:rPr>
          <w:rFonts w:ascii="Times New Roman" w:hAnsi="Times New Roman" w:eastAsia="宋体"/>
          <w:color w:val="auto"/>
          <w:w w:val="99"/>
          <w:sz w:val="24"/>
          <w:szCs w:val="24"/>
          <w:highlight w:val="none"/>
        </w:rPr>
        <w:t>气</w:t>
      </w:r>
      <w:r>
        <w:rPr>
          <w:rFonts w:hint="default" w:ascii="Times New Roman" w:hAnsi="Times New Roman" w:eastAsia="宋体"/>
          <w:color w:val="auto"/>
          <w:w w:val="99"/>
          <w:sz w:val="24"/>
          <w:szCs w:val="24"/>
          <w:highlight w:val="none"/>
        </w:rPr>
        <w:t>田开发占用的耕地可从机动耕地中进行补充，保证区域内耕地总数不降低。</w:t>
      </w:r>
    </w:p>
    <w:p w14:paraId="1B220B16">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（4）植被恢复措施</w:t>
      </w:r>
    </w:p>
    <w:p w14:paraId="04101CAB">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施工结束后，及时恢复被破坏的地表形态。对</w:t>
      </w:r>
      <w:r>
        <w:rPr>
          <w:rFonts w:ascii="Times New Roman" w:hAnsi="Times New Roman" w:eastAsia="宋体"/>
          <w:color w:val="auto"/>
          <w:w w:val="99"/>
          <w:sz w:val="24"/>
          <w:szCs w:val="24"/>
          <w:highlight w:val="none"/>
        </w:rPr>
        <w:t>1.9229</w:t>
      </w:r>
      <w:r>
        <w:rPr>
          <w:rFonts w:hint="default" w:ascii="Times New Roman" w:hAnsi="Times New Roman" w:eastAsia="宋体"/>
          <w:color w:val="auto"/>
          <w:w w:val="99"/>
          <w:sz w:val="24"/>
          <w:szCs w:val="24"/>
          <w:highlight w:val="none"/>
        </w:rPr>
        <w:t>hm</w:t>
      </w:r>
      <w:r>
        <w:rPr>
          <w:rFonts w:hint="default" w:ascii="Times New Roman" w:hAnsi="Times New Roman" w:eastAsia="宋体"/>
          <w:color w:val="auto"/>
          <w:w w:val="99"/>
          <w:sz w:val="24"/>
          <w:szCs w:val="24"/>
          <w:highlight w:val="none"/>
          <w:vertAlign w:val="superscript"/>
        </w:rPr>
        <w:t>2</w:t>
      </w:r>
      <w:r>
        <w:rPr>
          <w:rFonts w:hint="default" w:ascii="Times New Roman" w:hAnsi="Times New Roman" w:eastAsia="宋体"/>
          <w:color w:val="auto"/>
          <w:w w:val="99"/>
          <w:sz w:val="24"/>
          <w:szCs w:val="24"/>
          <w:highlight w:val="none"/>
        </w:rPr>
        <w:t>临时占地进行表土留存，施工结束后进行回填，临时占用的耕地由农民自行复垦，临时占用的草地由施工单位恢复，确保恢复等质等量面积的耕地及草地。</w:t>
      </w:r>
    </w:p>
    <w:p w14:paraId="79287F25">
      <w:pPr>
        <w:pStyle w:val="153"/>
        <w:widowControl w:val="0"/>
        <w:spacing w:line="440" w:lineRule="exact"/>
        <w:ind w:firstLine="0" w:firstLineChars="0"/>
        <w:jc w:val="both"/>
        <w:outlineLvl w:val="3"/>
        <w:rPr>
          <w:rFonts w:ascii="Times New Roman" w:hAnsi="Times New Roman"/>
          <w:color w:val="auto"/>
          <w:w w:val="99"/>
          <w:highlight w:val="none"/>
        </w:rPr>
      </w:pPr>
      <w:bookmarkStart w:id="1087" w:name="_Toc70050279"/>
      <w:bookmarkStart w:id="1088" w:name="_Toc77067752"/>
      <w:bookmarkStart w:id="1089" w:name="_Toc83209571"/>
      <w:bookmarkStart w:id="1090" w:name="_Toc76976341"/>
      <w:bookmarkStart w:id="1091" w:name="_Toc80588349"/>
      <w:bookmarkStart w:id="1092" w:name="_Toc67860232"/>
      <w:bookmarkStart w:id="1093" w:name="_Toc78816554"/>
      <w:bookmarkStart w:id="1094" w:name="_Toc80971471"/>
      <w:bookmarkStart w:id="1095" w:name="_Toc186444383"/>
      <w:r>
        <w:rPr>
          <w:rFonts w:ascii="Times New Roman" w:hAnsi="Times New Roman" w:eastAsiaTheme="minorEastAsia"/>
          <w:b/>
          <w:color w:val="auto"/>
          <w:w w:val="99"/>
          <w:highlight w:val="none"/>
        </w:rPr>
        <w:t>6.1.6.</w:t>
      </w:r>
      <w:r>
        <w:rPr>
          <w:rFonts w:hint="eastAsia" w:ascii="Times New Roman" w:hAnsi="Times New Roman" w:eastAsiaTheme="minorEastAsia"/>
          <w:b/>
          <w:color w:val="auto"/>
          <w:w w:val="99"/>
          <w:highlight w:val="none"/>
        </w:rPr>
        <w:t>9</w:t>
      </w:r>
      <w:r>
        <w:rPr>
          <w:rFonts w:ascii="Times New Roman" w:hAnsi="Times New Roman" w:eastAsiaTheme="minorEastAsia"/>
          <w:b/>
          <w:color w:val="auto"/>
          <w:w w:val="99"/>
          <w:highlight w:val="none"/>
        </w:rPr>
        <w:t>表土剥离方案</w:t>
      </w:r>
    </w:p>
    <w:p w14:paraId="21A2A308">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表土剥离方案由大庆油田有限公司</w:t>
      </w:r>
      <w:r>
        <w:rPr>
          <w:rFonts w:hint="eastAsia" w:ascii="Times New Roman" w:hAnsi="Times New Roman" w:cs="Times New Roman"/>
          <w:color w:val="auto"/>
          <w:w w:val="99"/>
          <w:kern w:val="2"/>
          <w:highlight w:val="none"/>
        </w:rPr>
        <w:t>采气分公司</w:t>
      </w:r>
      <w:r>
        <w:rPr>
          <w:rFonts w:ascii="Times New Roman" w:hAnsi="Times New Roman" w:cs="Times New Roman"/>
          <w:color w:val="auto"/>
          <w:w w:val="99"/>
          <w:kern w:val="2"/>
          <w:highlight w:val="none"/>
        </w:rPr>
        <w:t>编制后报</w:t>
      </w:r>
      <w:r>
        <w:rPr>
          <w:rFonts w:hint="eastAsia" w:ascii="Times New Roman" w:hAnsi="Times New Roman" w:cs="Times New Roman"/>
          <w:color w:val="auto"/>
          <w:w w:val="99"/>
          <w:kern w:val="2"/>
          <w:highlight w:val="none"/>
        </w:rPr>
        <w:t>绥化</w:t>
      </w:r>
      <w:r>
        <w:rPr>
          <w:rFonts w:ascii="Times New Roman" w:hAnsi="Times New Roman" w:cs="Times New Roman"/>
          <w:color w:val="auto"/>
          <w:w w:val="99"/>
          <w:kern w:val="2"/>
          <w:highlight w:val="none"/>
        </w:rPr>
        <w:t>市自然资源局备案。</w:t>
      </w:r>
    </w:p>
    <w:p w14:paraId="775535A8">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1、土壤剥离</w:t>
      </w:r>
    </w:p>
    <w:p w14:paraId="1AF86060">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（1）剥离范围及厚度</w:t>
      </w:r>
    </w:p>
    <w:p w14:paraId="4595FD8B">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项目占地范围内</w:t>
      </w:r>
      <w:r>
        <w:rPr>
          <w:rFonts w:ascii="Times New Roman" w:hAnsi="Times New Roman" w:eastAsia="宋体"/>
          <w:color w:val="auto"/>
          <w:w w:val="99"/>
          <w:sz w:val="24"/>
          <w:szCs w:val="24"/>
          <w:highlight w:val="none"/>
        </w:rPr>
        <w:t>耕地剥离厚度0.3m，</w:t>
      </w:r>
      <w:r>
        <w:rPr>
          <w:rFonts w:hint="default" w:ascii="Times New Roman" w:hAnsi="Times New Roman" w:eastAsia="宋体"/>
          <w:color w:val="auto"/>
          <w:w w:val="99"/>
          <w:sz w:val="24"/>
          <w:szCs w:val="24"/>
          <w:highlight w:val="none"/>
        </w:rPr>
        <w:t>均为表土层。</w:t>
      </w:r>
    </w:p>
    <w:p w14:paraId="262C9FF4">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（2）工艺选择</w:t>
      </w:r>
    </w:p>
    <w:p w14:paraId="1901210B">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剥离工艺依据剥离区的地质地貌、交通运输情况以及未来不同表土利用方向进行选择。根据地形、土壤厚度、土壤均一性和作业方便等条件，将剥离区域划分出不同的施工区。</w:t>
      </w:r>
    </w:p>
    <w:p w14:paraId="5B5D6ED2">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（3）机械选择</w:t>
      </w:r>
    </w:p>
    <w:p w14:paraId="2A716799">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根据耕作层土壤剥离利用工艺、耕作层土壤剥离利用区的地质地貌、交通运输情况、不同耕作层土壤剥离利用利用方向以及每台机组剥离面积及形状确定，选择合适的施工机械，减少对耕作层土壤结构的破坏，提高剥离效率。</w:t>
      </w:r>
    </w:p>
    <w:p w14:paraId="5BA03558">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（4）施工技术要求</w:t>
      </w:r>
    </w:p>
    <w:p w14:paraId="2C2B45DD">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①</w:t>
      </w:r>
      <w:r>
        <w:rPr>
          <w:rFonts w:hint="default" w:ascii="Times New Roman" w:hAnsi="Times New Roman" w:eastAsia="宋体"/>
          <w:color w:val="auto"/>
          <w:w w:val="99"/>
          <w:sz w:val="24"/>
          <w:szCs w:val="24"/>
          <w:highlight w:val="none"/>
        </w:rPr>
        <w:t>选择土壤剥离时间。选择天气好且土壤含水量合适时进行剥离。</w:t>
      </w:r>
    </w:p>
    <w:p w14:paraId="13240169">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②</w:t>
      </w:r>
      <w:r>
        <w:rPr>
          <w:rFonts w:hint="default" w:ascii="Times New Roman" w:hAnsi="Times New Roman" w:eastAsia="宋体"/>
          <w:color w:val="auto"/>
          <w:w w:val="99"/>
          <w:sz w:val="24"/>
          <w:szCs w:val="24"/>
          <w:highlight w:val="none"/>
        </w:rPr>
        <w:t>清除异物。实施剥离前，清理、移除土层中或地表比较大的树根、石块、垃圾等异物。收集的表土不应含有垃圾杂物、硬黏土块或直径大于5cm的砾石。</w:t>
      </w:r>
    </w:p>
    <w:p w14:paraId="6756CF9E">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③</w:t>
      </w:r>
      <w:r>
        <w:rPr>
          <w:rFonts w:hint="default" w:ascii="Times New Roman" w:hAnsi="Times New Roman" w:eastAsia="宋体"/>
          <w:color w:val="auto"/>
          <w:w w:val="99"/>
          <w:sz w:val="24"/>
          <w:szCs w:val="24"/>
          <w:highlight w:val="none"/>
        </w:rPr>
        <w:t>剥离。分单元进行土壤剥离，并详细记载不同剥离单元的土壤类型和剥离量。当天工作结束后，推土机尽量运行于已剥离完土壤的空地，自卸汽车不得在耕作层土壤尚未剥离的区域运行。</w:t>
      </w:r>
    </w:p>
    <w:p w14:paraId="0867BC44">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④</w:t>
      </w:r>
      <w:r>
        <w:rPr>
          <w:rFonts w:hint="default" w:ascii="Times New Roman" w:hAnsi="Times New Roman" w:eastAsia="宋体"/>
          <w:color w:val="auto"/>
          <w:w w:val="99"/>
          <w:sz w:val="24"/>
          <w:szCs w:val="24"/>
          <w:highlight w:val="none"/>
        </w:rPr>
        <w:t>注意事项。当剥离过程中发生较大强度降雨时，应立即停止剥离工作。在降雨停止后，待土壤含水量达到剥离要求时，再实施土壤剥离工作。因受降雨冲刷造成土壤结构严重破坏的表土面应清除。在每次开展土壤剥离之前，应采取措施，确保施工工作面无积水，土壤中含水量达到要求。剥离后的土壤应利用纸簿进行登记，详细载明运输车辆、剥离单元、储存区或回覆区、土壤类型、质地、土壤质量状况、数量等，并建立备查档案。</w:t>
      </w:r>
    </w:p>
    <w:p w14:paraId="0EAE2458">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2、土壤储存</w:t>
      </w:r>
    </w:p>
    <w:p w14:paraId="49B4FAD1">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1）堆存区的要求。耕作层土壤以及腐殖质层土壤按土块分别单存单放。防止放牧、机器和车辆的进入，防止粉尘、盐碱的覆盖；地势较高，没有径流流入或流过堆土场地；防止主导风。在堆放场地的选择上，应当尽量避免水蚀、风蚀和各种人为损毁。</w:t>
      </w:r>
    </w:p>
    <w:p w14:paraId="3F06FC44">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（2）在储存区堆放土方时，应当分层放土，待上一层土摊平后再堆放下一层土。单层土堆放高度不大于1.</w:t>
      </w:r>
      <w:r>
        <w:rPr>
          <w:rFonts w:ascii="Times New Roman" w:hAnsi="Times New Roman" w:eastAsia="宋体"/>
          <w:color w:val="auto"/>
          <w:w w:val="99"/>
          <w:sz w:val="24"/>
          <w:szCs w:val="24"/>
          <w:highlight w:val="none"/>
        </w:rPr>
        <w:t>2</w:t>
      </w:r>
      <w:r>
        <w:rPr>
          <w:rFonts w:hint="default" w:ascii="Times New Roman" w:hAnsi="Times New Roman" w:eastAsia="宋体"/>
          <w:color w:val="auto"/>
          <w:w w:val="99"/>
          <w:sz w:val="24"/>
          <w:szCs w:val="24"/>
          <w:highlight w:val="none"/>
        </w:rPr>
        <w:t>m。在土方堆筑过程中，严格禁止施工机械对已堆放土方的碾压。</w:t>
      </w:r>
    </w:p>
    <w:p w14:paraId="0A089C77">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（3）土壤含水过量时极易被压紧。为了保持土壤结构、避免土壤板结，应避免雨季剥离、搬运和堆存表土。另外，土壤湿度较大，不利于运输中的装车与排卸。</w:t>
      </w:r>
    </w:p>
    <w:p w14:paraId="076739F4">
      <w:pPr>
        <w:pStyle w:val="102"/>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（4）顶层覆盖。土堆的顶部用苫布等进行遮盖，防止雨水淋溶。</w:t>
      </w:r>
    </w:p>
    <w:p w14:paraId="1E270C60">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3、土壤利用</w:t>
      </w:r>
    </w:p>
    <w:p w14:paraId="5B128455">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根据《关于建设占用耕地耕作层土壤剥离利用工作的指导意见（试行）》（黑政办规〔2021〕18号）文件要求，剥离的土壤优先用于土地整治、高标准农田建设、工矿废弃地复垦、生态修复等项目，以及新开垦耕地、劣质地或者其他耕地的土壤改良等农业生产生活，富余土壤可以用于绿化。本工程临时占地剥离表层土全部回填施工作业带，临时占用的耕地及时进行土地复垦，临时占用的草地及时恢复地表植被。永久占地剥离表层土</w:t>
      </w:r>
      <w:r>
        <w:rPr>
          <w:rFonts w:ascii="Times New Roman" w:hAnsi="Times New Roman" w:eastAsia="宋体"/>
          <w:color w:val="auto"/>
          <w:w w:val="99"/>
          <w:sz w:val="24"/>
          <w:szCs w:val="24"/>
          <w:highlight w:val="none"/>
        </w:rPr>
        <w:t>剥离表土用于周围区域土地复垦、土壤治理等用途。</w:t>
      </w:r>
    </w:p>
    <w:p w14:paraId="706B9954">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4、生态环境监测和环境管理</w:t>
      </w:r>
    </w:p>
    <w:p w14:paraId="6AE60D4B">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根据《环境影响评价技术导则 生态影响》（HJ19-2022），本项目无需进行长期跟踪生态监测，要求施工期重点监测施工活动干扰下的植物群落变化、生境质量变化等，在项目施工结束后重点监测植被恢复情况。</w:t>
      </w:r>
    </w:p>
    <w:p w14:paraId="1698F81A">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通过采取上述生态保护措施，能够确保本项目对区域生态的破坏得到有效控制，不会对区域生态产生较大影响，生态保护措施可行。</w:t>
      </w:r>
    </w:p>
    <w:p w14:paraId="0572A8AF">
      <w:pPr>
        <w:pStyle w:val="7"/>
        <w:keepNext w:val="0"/>
        <w:keepLines w:val="0"/>
        <w:widowControl w:val="0"/>
        <w:spacing w:before="60" w:after="60"/>
        <w:jc w:val="both"/>
        <w:rPr>
          <w:rFonts w:eastAsia="宋体"/>
          <w:b/>
          <w:color w:val="auto"/>
          <w:w w:val="99"/>
          <w:kern w:val="2"/>
          <w:sz w:val="24"/>
          <w:szCs w:val="24"/>
          <w:highlight w:val="none"/>
        </w:rPr>
      </w:pPr>
      <w:r>
        <w:rPr>
          <w:rFonts w:eastAsia="宋体"/>
          <w:b/>
          <w:color w:val="auto"/>
          <w:w w:val="99"/>
          <w:kern w:val="2"/>
          <w:sz w:val="24"/>
          <w:szCs w:val="24"/>
          <w:highlight w:val="none"/>
        </w:rPr>
        <w:t>6.1.7环境风险防范措施</w:t>
      </w:r>
      <w:bookmarkEnd w:id="1087"/>
      <w:bookmarkEnd w:id="1088"/>
      <w:bookmarkEnd w:id="1089"/>
      <w:bookmarkEnd w:id="1090"/>
      <w:bookmarkEnd w:id="1091"/>
      <w:bookmarkEnd w:id="1092"/>
      <w:bookmarkEnd w:id="1093"/>
      <w:bookmarkEnd w:id="1094"/>
      <w:bookmarkEnd w:id="1095"/>
    </w:p>
    <w:p w14:paraId="1ABDEDA2">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6.1.7.</w:t>
      </w:r>
      <w:r>
        <w:rPr>
          <w:rFonts w:hint="eastAsia" w:ascii="Times New Roman" w:hAnsi="Times New Roman" w:eastAsiaTheme="minorEastAsia"/>
          <w:b/>
          <w:color w:val="auto"/>
          <w:w w:val="99"/>
          <w:highlight w:val="none"/>
        </w:rPr>
        <w:t>1</w:t>
      </w:r>
      <w:r>
        <w:rPr>
          <w:rFonts w:ascii="Times New Roman" w:hAnsi="Times New Roman" w:eastAsiaTheme="minorEastAsia"/>
          <w:b/>
          <w:color w:val="auto"/>
          <w:w w:val="99"/>
          <w:highlight w:val="none"/>
        </w:rPr>
        <w:t>事故应急</w:t>
      </w:r>
      <w:r>
        <w:rPr>
          <w:rFonts w:hint="eastAsia" w:ascii="Times New Roman" w:hAnsi="Times New Roman" w:eastAsiaTheme="minorEastAsia"/>
          <w:b/>
          <w:color w:val="auto"/>
          <w:w w:val="99"/>
          <w:highlight w:val="none"/>
        </w:rPr>
        <w:t>措施</w:t>
      </w:r>
    </w:p>
    <w:p w14:paraId="03523234">
      <w:pPr>
        <w:pStyle w:val="153"/>
        <w:widowControl w:val="0"/>
        <w:spacing w:line="440" w:lineRule="exact"/>
        <w:ind w:firstLine="473"/>
        <w:jc w:val="both"/>
        <w:rPr>
          <w:rFonts w:ascii="Times New Roman" w:hAnsi="Times New Roman"/>
          <w:color w:val="auto"/>
          <w:w w:val="99"/>
          <w:kern w:val="2"/>
          <w:highlight w:val="none"/>
        </w:rPr>
      </w:pPr>
      <w:r>
        <w:rPr>
          <w:rFonts w:hint="eastAsia" w:ascii="Times New Roman" w:hAnsi="Times New Roman"/>
          <w:color w:val="auto"/>
          <w:w w:val="99"/>
          <w:kern w:val="2"/>
          <w:highlight w:val="none"/>
        </w:rPr>
        <w:t>各种事故无论是人为因素引起的，还是自然因素所致，都可以采取必要的预防措施，以减少事故的发生或使事故造成的危害降低到最低程度。对于人为因素引起的事故可以通过提高人员技术素质、加强责任心及采取技术手段和管理手段等方法来避免；对于自然因素引起的事故主要靠采取各种措施来预防。本工程施工期主要为土建施工，不涉及环境风险事故。</w:t>
      </w:r>
    </w:p>
    <w:p w14:paraId="035C99E9">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（1）井场天然气泄漏风险防范措施</w:t>
      </w:r>
    </w:p>
    <w:p w14:paraId="128928C9">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①采气井场安装井口安全自动保护装置、井口减压设施和监测设施、报警系统，可保证超压时多余天然气能通过放空系统热放空。</w:t>
      </w:r>
    </w:p>
    <w:p w14:paraId="32EE66C6">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②加强井场、管线安全巡检频次，并重点检查管道接口、阀门是否发生腐蚀、损坏。</w:t>
      </w:r>
    </w:p>
    <w:p w14:paraId="7EE99A9F">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③井场发生天然气泄漏后，立即停止采气作业，设立警戒区，随事故发展情况及时扩大范围；通知调度室关闭配套管线的阀组。组织专家及技术人员，开展事故分析，查找事故原因。</w:t>
      </w:r>
    </w:p>
    <w:p w14:paraId="62DDC267">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④优化管道巡检人员技术水平，细化巡检范围和职责，确保巡检通讯畅通，同时加强井场围墙的保护，防止第三方破坏引发事故。</w:t>
      </w:r>
    </w:p>
    <w:p w14:paraId="7077DC95">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（2）天然气管线泄漏风险防范措施</w:t>
      </w:r>
    </w:p>
    <w:p w14:paraId="415620F0">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①</w:t>
      </w:r>
      <w:r>
        <w:rPr>
          <w:color w:val="auto"/>
          <w:w w:val="99"/>
          <w:sz w:val="24"/>
          <w:highlight w:val="none"/>
          <w:lang w:bidi="zh-CN"/>
        </w:rPr>
        <w:t>按规定进行设备维修、保养，及时更换易损及老化部件，防止天然气泄漏事故的发生。</w:t>
      </w:r>
    </w:p>
    <w:p w14:paraId="203A64BE">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②</w:t>
      </w:r>
      <w:r>
        <w:rPr>
          <w:color w:val="auto"/>
          <w:w w:val="99"/>
          <w:sz w:val="24"/>
          <w:highlight w:val="none"/>
          <w:lang w:bidi="zh-CN"/>
        </w:rPr>
        <w:t>加强自动控制系统的管理和控制，严格控制压力平衡。</w:t>
      </w:r>
    </w:p>
    <w:p w14:paraId="7B37806C">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③</w:t>
      </w:r>
      <w:r>
        <w:rPr>
          <w:color w:val="auto"/>
          <w:w w:val="99"/>
          <w:sz w:val="24"/>
          <w:highlight w:val="none"/>
          <w:lang w:bidi="zh-CN"/>
        </w:rPr>
        <w:t>加强站场的环境保护工程，及时清除、处理各种污染物，保持安全设施的完好，杜绝火灾的发生。</w:t>
      </w:r>
    </w:p>
    <w:p w14:paraId="1B46A04E">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④</w:t>
      </w:r>
      <w:r>
        <w:rPr>
          <w:color w:val="auto"/>
          <w:w w:val="99"/>
          <w:sz w:val="24"/>
          <w:highlight w:val="none"/>
          <w:lang w:bidi="zh-CN"/>
        </w:rPr>
        <w:t>在系统运行期间，定期对管线进行超声波检查，对壁厚低于规定要求的管段应及时更换，消除爆管的隐患；定期对管线上的安全保护设施，如截断阀、安全阀、放空系统等进行检查，使管道在超压时能够得到安全处理，在管道破裂时能够及时截断上下游管段，以减少事故时油气的释放量，使危害影响范围减小到最低程度。</w:t>
      </w:r>
    </w:p>
    <w:p w14:paraId="7F80878E">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⑤</w:t>
      </w:r>
      <w:r>
        <w:rPr>
          <w:color w:val="auto"/>
          <w:w w:val="99"/>
          <w:sz w:val="24"/>
          <w:highlight w:val="none"/>
          <w:lang w:bidi="zh-CN"/>
        </w:rPr>
        <w:t>加强管线的巡检，并定期进行管道的检修或更换。管道沿线设置标志桩，优化管道巡检人员技术水平，细化巡检范围和职责，确保巡检通讯畅通，在及时发现管道事故隐患的同时能够迅速采取措施减少或避免事故隐患发生。</w:t>
      </w:r>
    </w:p>
    <w:p w14:paraId="00DD4DC6">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⑥</w:t>
      </w:r>
      <w:r>
        <w:rPr>
          <w:color w:val="auto"/>
          <w:w w:val="99"/>
          <w:sz w:val="24"/>
          <w:highlight w:val="none"/>
          <w:lang w:bidi="zh-CN"/>
        </w:rPr>
        <w:t>加强对集输管线沿线重点敏感地段的环保管理，定期进行环境监测。</w:t>
      </w:r>
    </w:p>
    <w:p w14:paraId="44FD49B8">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⑦</w:t>
      </w:r>
      <w:r>
        <w:rPr>
          <w:color w:val="auto"/>
          <w:w w:val="99"/>
          <w:sz w:val="24"/>
          <w:highlight w:val="none"/>
          <w:lang w:bidi="zh-CN"/>
        </w:rPr>
        <w:t>加强天然气管线压力输送系统的自动化管理，保证管道内物料的安全热放空。</w:t>
      </w:r>
    </w:p>
    <w:p w14:paraId="4401F8CD">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⑧</w:t>
      </w:r>
      <w:r>
        <w:rPr>
          <w:color w:val="auto"/>
          <w:w w:val="99"/>
          <w:sz w:val="24"/>
          <w:highlight w:val="none"/>
          <w:lang w:bidi="zh-CN"/>
        </w:rPr>
        <w:t>每半年检查管道安全保护系统（如截断阀、安全阀、放空系统等)，使管道在超压时能够得到安全处理，使危害影响范围减小到最低程度。</w:t>
      </w:r>
    </w:p>
    <w:p w14:paraId="1AB2B76D">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⑨</w:t>
      </w:r>
      <w:r>
        <w:rPr>
          <w:color w:val="auto"/>
          <w:w w:val="99"/>
          <w:sz w:val="24"/>
          <w:highlight w:val="none"/>
          <w:lang w:bidi="zh-CN"/>
        </w:rPr>
        <w:t>运营期应将防止集气站生产工艺天然气泄漏等作为事故应急的重点，避免造成人员中毒危害和财产损失，按照现有应急预案加强风险防范。</w:t>
      </w:r>
    </w:p>
    <w:p w14:paraId="55339A1A">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⑩</w:t>
      </w:r>
      <w:r>
        <w:rPr>
          <w:color w:val="auto"/>
          <w:w w:val="99"/>
          <w:sz w:val="24"/>
          <w:highlight w:val="none"/>
          <w:lang w:bidi="zh-CN"/>
        </w:rPr>
        <w:t>对采气管道进行阴极保护，采用强制电流保护进行永久阴极保护、牺牲阳极法进行临时阴极保护的方法。</w:t>
      </w:r>
    </w:p>
    <w:p w14:paraId="37ABB88E">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发生天然气泄漏后，立即停止采气作业，对泄漏点周围 500m  范围以内的居民进行人员疏散，并设立警戒区，随事故发展情况及时扩大范围；通知调度室关闭进/出配套管线的阀组。组织专家及技术人员，开展事故分析，查找事故原因，如是采气井或套管损坏，则开展修井作业；如是地面设施失效，则开展堵漏及抢维修作业。</w:t>
      </w:r>
    </w:p>
    <w:p w14:paraId="51D3E2A5">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w:t>
      </w:r>
      <w:r>
        <w:rPr>
          <w:rFonts w:hint="eastAsia"/>
          <w:color w:val="auto"/>
          <w:w w:val="99"/>
          <w:sz w:val="24"/>
          <w:highlight w:val="none"/>
          <w:lang w:bidi="zh-CN"/>
        </w:rPr>
        <w:t>3</w:t>
      </w:r>
      <w:r>
        <w:rPr>
          <w:color w:val="auto"/>
          <w:w w:val="99"/>
          <w:sz w:val="24"/>
          <w:highlight w:val="none"/>
          <w:lang w:bidi="zh-CN"/>
        </w:rPr>
        <w:t>）场站事故风险防范措施</w:t>
      </w:r>
    </w:p>
    <w:p w14:paraId="48AAC396">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①</w:t>
      </w:r>
      <w:r>
        <w:rPr>
          <w:color w:val="auto"/>
          <w:w w:val="99"/>
          <w:sz w:val="24"/>
          <w:highlight w:val="none"/>
          <w:lang w:bidi="zh-CN"/>
        </w:rPr>
        <w:t>站场严格按防火规范布置平面，站场内的电气设备及仪表按防爆等级不同选用不同的设备；</w:t>
      </w:r>
    </w:p>
    <w:p w14:paraId="5A1E1DB1">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②</w:t>
      </w:r>
      <w:r>
        <w:rPr>
          <w:color w:val="auto"/>
          <w:w w:val="99"/>
          <w:sz w:val="24"/>
          <w:highlight w:val="none"/>
          <w:lang w:bidi="zh-CN"/>
        </w:rPr>
        <w:t>站内所有设备、管线均应做防雷、防静电接地；</w:t>
      </w:r>
    </w:p>
    <w:p w14:paraId="50660516">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③</w:t>
      </w:r>
      <w:r>
        <w:rPr>
          <w:color w:val="auto"/>
          <w:w w:val="99"/>
          <w:sz w:val="24"/>
          <w:highlight w:val="none"/>
          <w:lang w:bidi="zh-CN"/>
        </w:rPr>
        <w:t>安装火灾设备检测仪表、消防自控设施；</w:t>
      </w:r>
    </w:p>
    <w:p w14:paraId="74DE0B82">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④</w:t>
      </w:r>
      <w:r>
        <w:rPr>
          <w:color w:val="auto"/>
          <w:w w:val="99"/>
          <w:sz w:val="24"/>
          <w:highlight w:val="none"/>
          <w:lang w:bidi="zh-CN"/>
        </w:rPr>
        <w:t>在可能发生天然气积聚的场所应按照《石油天然气工程可燃气体检测报警系统安全规范》(SY/T 6503-20</w:t>
      </w:r>
      <w:r>
        <w:rPr>
          <w:rFonts w:hint="eastAsia"/>
          <w:color w:val="auto"/>
          <w:w w:val="99"/>
          <w:sz w:val="24"/>
          <w:highlight w:val="none"/>
          <w:lang w:bidi="zh-CN"/>
        </w:rPr>
        <w:t>22</w:t>
      </w:r>
      <w:r>
        <w:rPr>
          <w:color w:val="auto"/>
          <w:w w:val="99"/>
          <w:sz w:val="24"/>
          <w:highlight w:val="none"/>
          <w:lang w:bidi="zh-CN"/>
        </w:rPr>
        <w:t>)的要求设置可燃气体报警装置；</w:t>
      </w:r>
    </w:p>
    <w:p w14:paraId="056C775C">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⑤</w:t>
      </w:r>
      <w:r>
        <w:rPr>
          <w:color w:val="auto"/>
          <w:w w:val="99"/>
          <w:sz w:val="24"/>
          <w:highlight w:val="none"/>
          <w:lang w:bidi="zh-CN"/>
        </w:rPr>
        <w:t>设立紧急关断系统。在管线进出站等处设置紧急切断阀，对一些明显故障实施直接切断，也可通过 SCADA  系统进行远程关断，还可以完成全系统关断；</w:t>
      </w:r>
    </w:p>
    <w:p w14:paraId="2D2BC516">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⑥</w:t>
      </w:r>
      <w:r>
        <w:rPr>
          <w:color w:val="auto"/>
          <w:w w:val="99"/>
          <w:sz w:val="24"/>
          <w:highlight w:val="none"/>
          <w:lang w:bidi="zh-CN"/>
        </w:rPr>
        <w:t>站场内利用道路进行功能分区，将生产区和生活区分开，减少了生产区和生活区的相互干扰，减少危险隐患，同时便于生产管理；</w:t>
      </w:r>
    </w:p>
    <w:p w14:paraId="0334AD78">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⑦</w:t>
      </w:r>
      <w:r>
        <w:rPr>
          <w:color w:val="auto"/>
          <w:w w:val="99"/>
          <w:sz w:val="24"/>
          <w:highlight w:val="none"/>
          <w:lang w:bidi="zh-CN"/>
        </w:rPr>
        <w:t>加强设计单位相互间的配合，做好衔接、交叉部分的协调，减少设计误操作，使总体设计质量为优；</w:t>
      </w:r>
    </w:p>
    <w:p w14:paraId="16EF8B38">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⑧</w:t>
      </w:r>
      <w:r>
        <w:rPr>
          <w:color w:val="auto"/>
          <w:w w:val="99"/>
          <w:sz w:val="24"/>
          <w:highlight w:val="none"/>
          <w:lang w:bidi="zh-CN"/>
        </w:rPr>
        <w:t>对集气站内污水储罐每日进行巡检，确保储罐完好无损且稳定运行。同时站内建设有监控系统，对场站进行实时监控，储罐发生泄漏，站内值班人员可以及时发现并进行处理。</w:t>
      </w:r>
    </w:p>
    <w:p w14:paraId="7EBCA6C7">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⑨</w:t>
      </w:r>
      <w:r>
        <w:rPr>
          <w:color w:val="auto"/>
          <w:w w:val="99"/>
          <w:sz w:val="24"/>
          <w:highlight w:val="none"/>
          <w:lang w:bidi="zh-CN"/>
        </w:rPr>
        <w:t>站场发生事故，立即启动事故应急预案；</w:t>
      </w:r>
    </w:p>
    <w:p w14:paraId="2657236B">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⑩</w:t>
      </w:r>
      <w:r>
        <w:rPr>
          <w:color w:val="auto"/>
          <w:w w:val="99"/>
          <w:sz w:val="24"/>
          <w:highlight w:val="none"/>
          <w:lang w:bidi="zh-CN"/>
        </w:rPr>
        <w:t>应立即疏散站场附近的人员</w:t>
      </w:r>
      <w:r>
        <w:rPr>
          <w:rFonts w:hint="eastAsia"/>
          <w:color w:val="auto"/>
          <w:w w:val="99"/>
          <w:sz w:val="24"/>
          <w:highlight w:val="none"/>
          <w:lang w:bidi="zh-CN"/>
        </w:rPr>
        <w:t>；</w:t>
      </w:r>
    </w:p>
    <w:p w14:paraId="77F694E9">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⑪</w:t>
      </w:r>
      <w:r>
        <w:rPr>
          <w:rFonts w:hint="eastAsia"/>
          <w:color w:val="auto"/>
          <w:w w:val="99"/>
          <w:sz w:val="24"/>
          <w:highlight w:val="none"/>
          <w:lang w:bidi="zh-CN"/>
        </w:rPr>
        <w:t>甲醇储罐周边设置0.5m高水泥防火堤，有效容积大于储罐容积，产生的废水由罐车抽排外委处置；</w:t>
      </w:r>
    </w:p>
    <w:p w14:paraId="49BBB511">
      <w:pPr>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⑫</w:t>
      </w:r>
      <w:r>
        <w:rPr>
          <w:rFonts w:hint="eastAsia" w:ascii="Times New Roman" w:hAnsi="Times New Roman" w:cs="Times New Roman"/>
          <w:color w:val="auto"/>
          <w:w w:val="99"/>
          <w:highlight w:val="none"/>
          <w:lang w:bidi="zh-CN"/>
        </w:rPr>
        <w:t>事故发生后，根据应急预案，制定应急监测计划，主要针对颗粒物、VOCs、泄漏的特征污染物的排放，在厂界四周布点，采样方法和频次：采用动力采样或气体检测管直接测定。空气动力采样频次为每2小时一次，流量0.5L/min，采样时间为40min。气体检测管直接测定频次为每半小时一次。</w:t>
      </w:r>
    </w:p>
    <w:p w14:paraId="411E21EC">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w:t>
      </w:r>
      <w:r>
        <w:rPr>
          <w:rFonts w:hint="eastAsia"/>
          <w:color w:val="auto"/>
          <w:w w:val="99"/>
          <w:sz w:val="24"/>
          <w:highlight w:val="none"/>
          <w:lang w:bidi="zh-CN"/>
        </w:rPr>
        <w:t>4</w:t>
      </w:r>
      <w:r>
        <w:rPr>
          <w:color w:val="auto"/>
          <w:w w:val="99"/>
          <w:sz w:val="24"/>
          <w:highlight w:val="none"/>
          <w:lang w:bidi="zh-CN"/>
        </w:rPr>
        <w:t>）危险废物收集、贮存、运输过程风险防范措施</w:t>
      </w:r>
    </w:p>
    <w:p w14:paraId="3C081EEB">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根据《建设项目危险废物环境影响评价指南》本项目涉及的危险物质必须按照《危险废物收集贮存运输技术规范》（HJ 2025-2012）的要求处理处置。</w:t>
      </w:r>
    </w:p>
    <w:p w14:paraId="1E970274">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①</w:t>
      </w:r>
      <w:r>
        <w:rPr>
          <w:color w:val="auto"/>
          <w:w w:val="99"/>
          <w:sz w:val="24"/>
          <w:highlight w:val="none"/>
          <w:lang w:bidi="zh-CN"/>
        </w:rPr>
        <w:t>从事危险废物收集贮存运输的单位在进行生产活动时应按照有关规定建立相应的规章制度和污染防治措施，包括危险废物分析管理制度、安全管理制度、污染防治措施等。并建立健全规章制度及操作流程，确保改过程安全可靠；</w:t>
      </w:r>
    </w:p>
    <w:p w14:paraId="2245D0E4">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②</w:t>
      </w:r>
      <w:r>
        <w:rPr>
          <w:color w:val="auto"/>
          <w:w w:val="99"/>
          <w:sz w:val="24"/>
          <w:highlight w:val="none"/>
          <w:lang w:bidi="zh-CN"/>
        </w:rPr>
        <w:t>危险废物转移过程中应按《危险废物转移管理办法》执行，单位应编制应急预案；</w:t>
      </w:r>
    </w:p>
    <w:p w14:paraId="6B6B8FDF">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③</w:t>
      </w:r>
      <w:r>
        <w:rPr>
          <w:color w:val="auto"/>
          <w:w w:val="99"/>
          <w:sz w:val="24"/>
          <w:highlight w:val="none"/>
          <w:lang w:bidi="zh-CN"/>
        </w:rPr>
        <w:t>运输的车辆必须是专用车或经有关部门批准使用符合安全规定的运载工具，并符合相关要求；运输车辆、设备及管道进行定期的维护和检查，防患于未然，保持槽车和良好的工作状态，保证接地正常；</w:t>
      </w:r>
    </w:p>
    <w:p w14:paraId="187B3E13">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④</w:t>
      </w:r>
      <w:r>
        <w:rPr>
          <w:color w:val="auto"/>
          <w:w w:val="99"/>
          <w:sz w:val="24"/>
          <w:highlight w:val="none"/>
          <w:lang w:bidi="zh-CN"/>
        </w:rPr>
        <w:t>担任储运人员必须经过上岗培训，经定期考核通过后方能持证上岗。工作人员应熟悉事故应急设备的使用和维护，了解应急手册应急处理流程，一旦发生意外，在采取应急处理的同时，迅速报告公安、交通部门和环保等有关部门，必要时疏散群众，防止事态进一步步扩大和恶化；</w:t>
      </w:r>
    </w:p>
    <w:p w14:paraId="4B090D48">
      <w:pPr>
        <w:pStyle w:val="47"/>
        <w:spacing w:after="0" w:line="440" w:lineRule="exact"/>
        <w:ind w:left="0" w:leftChars="0" w:firstLine="473"/>
        <w:rPr>
          <w:color w:val="auto"/>
          <w:w w:val="99"/>
          <w:sz w:val="24"/>
          <w:highlight w:val="none"/>
          <w:lang w:bidi="zh-CN"/>
        </w:rPr>
      </w:pPr>
      <w:r>
        <w:rPr>
          <w:rFonts w:hint="eastAsia"/>
          <w:color w:val="auto"/>
          <w:w w:val="99"/>
          <w:sz w:val="24"/>
          <w:highlight w:val="none"/>
          <w:lang w:bidi="zh-CN"/>
        </w:rPr>
        <w:t>⑤</w:t>
      </w:r>
      <w:r>
        <w:rPr>
          <w:color w:val="auto"/>
          <w:w w:val="99"/>
          <w:sz w:val="24"/>
          <w:highlight w:val="none"/>
          <w:lang w:bidi="zh-CN"/>
        </w:rPr>
        <w:t>运输、储存原料、溶剂、产品危险化学品所用的槽车、容器、设备必须符合《压力容器安全技术监察规程》的安全管理规定，企业对压力容器管理执行国家有关压力容器的规定。设备区设计应按照《石油化工企业设计防火标准</w:t>
      </w:r>
      <w:r>
        <w:rPr>
          <w:rFonts w:hint="eastAsia"/>
          <w:color w:val="auto"/>
          <w:w w:val="99"/>
          <w:sz w:val="24"/>
          <w:highlight w:val="none"/>
          <w:lang w:bidi="zh-CN"/>
        </w:rPr>
        <w:t>（</w:t>
      </w:r>
      <w:r>
        <w:rPr>
          <w:color w:val="auto"/>
          <w:w w:val="99"/>
          <w:sz w:val="24"/>
          <w:highlight w:val="none"/>
          <w:lang w:bidi="zh-CN"/>
        </w:rPr>
        <w:t>2018年版）》（GB50160-2018）要求进行必要的围堰、防火设计、修复。</w:t>
      </w:r>
    </w:p>
    <w:p w14:paraId="354F6DB5">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cs="Times New Roman"/>
          <w:color w:val="auto"/>
          <w:w w:val="99"/>
          <w:highlight w:val="none"/>
          <w:lang w:bidi="zh-CN"/>
        </w:rPr>
        <w:t>⑥变压器</w:t>
      </w:r>
      <w:r>
        <w:rPr>
          <w:rFonts w:hint="eastAsia" w:ascii="Times New Roman" w:hAnsi="Times New Roman" w:cs="Times New Roman"/>
          <w:color w:val="auto"/>
          <w:w w:val="99"/>
          <w:kern w:val="2"/>
          <w:highlight w:val="none"/>
        </w:rPr>
        <w:t>设置变压器油收集箱收集泄漏的变压器油，定期巡检，委托有资质单位处理。</w:t>
      </w:r>
    </w:p>
    <w:p w14:paraId="43307778">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针对上述风险情况，本工程建设单位已经针对可能发生的风险事故提出相应风险防范措施，企业结合所处区域的自然条件、环境状况、地理位置等特点，制定了较完善的事故风险应急预案，本工程为扩建工程，如发生风险事故，可按已建立的事故风险应急预案执行。</w:t>
      </w:r>
    </w:p>
    <w:p w14:paraId="356411B5">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6.1.7.3事故应急救援预案</w:t>
      </w:r>
    </w:p>
    <w:p w14:paraId="5B0821CC">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大庆油田公司突发事件应急管理归口部门为公司生产运行部门，为及时应对突发事件，快速调动应急资源，以消防支队为依托，组建了国家级专业应急救援队伍1支，以及作业井喷应急救援队伍、原油泄漏应急救援队伍、天然气泄漏应急救援队伍、电力系统故障应急救援队伍、水上溢油应急救援队伍、医疗卫生救援队伍7个油田公司级应急救援队伍，在各二级单位建设综合应急救援队伍，基本形成了覆盖油田生产各专业的应急救援队伍体系。</w:t>
      </w:r>
    </w:p>
    <w:p w14:paraId="62056F2A">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根据突发环境事件级别确定上报部门及应急队伍响应级别。从发现环境事件后要上报突发环境事件初报，初判发生Ⅲ级突发环境事件时，由三级单位负责应对工作，具体为现场人员、三级单位应急救援队伍或区域消防队进行应对；初判发Ⅱ级突发环境事件时，由二级单位负责应对工作，具体为二级单位综合应急救援队伍和区域消防队进行应对，必要时向油田公司求援，调集油田公司级应急救援队伍；初判发生I级突发环境事件时，30分钟内向突发环境事件应急办公室初报，启动油田公司突发事件应急响应程序，启动油田公司级专业工作组、综合工作组、专业应急救援队伍。</w:t>
      </w:r>
    </w:p>
    <w:p w14:paraId="05869938">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建设单位目前拥有的应急预案内容较为完善，</w:t>
      </w:r>
      <w:r>
        <w:rPr>
          <w:rFonts w:hint="eastAsia" w:ascii="Times New Roman" w:hAnsi="Times New Roman" w:cs="Times New Roman"/>
          <w:color w:val="auto"/>
          <w:w w:val="99"/>
          <w:highlight w:val="none"/>
          <w:lang w:bidi="zh-CN"/>
        </w:rPr>
        <w:t>大庆油田有限责任公司采气分公司</w:t>
      </w:r>
      <w:r>
        <w:rPr>
          <w:rFonts w:ascii="Times New Roman" w:hAnsi="Times New Roman" w:cs="Times New Roman"/>
          <w:color w:val="auto"/>
          <w:w w:val="99"/>
          <w:highlight w:val="none"/>
          <w:lang w:bidi="zh-CN"/>
        </w:rPr>
        <w:t>编制了《大庆油田有限责任公司采气分公司环境突发事件应急预案》，该应急预案主要针对项目运营过程中可能突发的各种环境风险事故等制定了详细的安全应急救援预案。预案中包含了应急救援任务和目标、原则、组织机构、应急救援职责、突发事件信息报送及处置、应急响应和处置、应急措施以及应急救援值班电话和联络电话，充分保证了项目运营期发生的风险事故得到及时救援和处理。降低了环境风险的危害。于202</w:t>
      </w:r>
      <w:r>
        <w:rPr>
          <w:rFonts w:hint="eastAsia" w:ascii="Times New Roman" w:hAnsi="Times New Roman" w:cs="Times New Roman"/>
          <w:color w:val="auto"/>
          <w:w w:val="99"/>
          <w:highlight w:val="none"/>
          <w:lang w:bidi="zh-CN"/>
        </w:rPr>
        <w:t>4</w:t>
      </w:r>
      <w:r>
        <w:rPr>
          <w:rFonts w:ascii="Times New Roman" w:hAnsi="Times New Roman" w:cs="Times New Roman"/>
          <w:color w:val="auto"/>
          <w:w w:val="99"/>
          <w:highlight w:val="none"/>
          <w:lang w:bidi="zh-CN"/>
        </w:rPr>
        <w:t>年</w:t>
      </w:r>
      <w:r>
        <w:rPr>
          <w:rFonts w:hint="eastAsia" w:ascii="Times New Roman" w:hAnsi="Times New Roman" w:cs="Times New Roman"/>
          <w:color w:val="auto"/>
          <w:w w:val="99"/>
          <w:highlight w:val="none"/>
          <w:lang w:bidi="zh-CN"/>
        </w:rPr>
        <w:t>10</w:t>
      </w:r>
      <w:r>
        <w:rPr>
          <w:rFonts w:ascii="Times New Roman" w:hAnsi="Times New Roman" w:cs="Times New Roman"/>
          <w:color w:val="auto"/>
          <w:w w:val="99"/>
          <w:highlight w:val="none"/>
          <w:lang w:bidi="zh-CN"/>
        </w:rPr>
        <w:t>月</w:t>
      </w:r>
      <w:r>
        <w:rPr>
          <w:rFonts w:hint="eastAsia" w:ascii="Times New Roman" w:hAnsi="Times New Roman" w:cs="Times New Roman"/>
          <w:color w:val="auto"/>
          <w:w w:val="99"/>
          <w:highlight w:val="none"/>
          <w:lang w:bidi="zh-CN"/>
        </w:rPr>
        <w:t>23</w:t>
      </w:r>
      <w:r>
        <w:rPr>
          <w:rFonts w:ascii="Times New Roman" w:hAnsi="Times New Roman" w:cs="Times New Roman"/>
          <w:color w:val="auto"/>
          <w:w w:val="99"/>
          <w:highlight w:val="none"/>
          <w:lang w:bidi="zh-CN"/>
        </w:rPr>
        <w:t>日在大庆市让胡路生态环境局备案了企业环境风险应急预案（备案号230604-202</w:t>
      </w:r>
      <w:r>
        <w:rPr>
          <w:rFonts w:hint="eastAsia" w:ascii="Times New Roman" w:hAnsi="Times New Roman" w:cs="Times New Roman"/>
          <w:color w:val="auto"/>
          <w:w w:val="99"/>
          <w:highlight w:val="none"/>
          <w:lang w:bidi="zh-CN"/>
        </w:rPr>
        <w:t>4</w:t>
      </w:r>
      <w:r>
        <w:rPr>
          <w:rFonts w:ascii="Times New Roman" w:hAnsi="Times New Roman" w:cs="Times New Roman"/>
          <w:color w:val="auto"/>
          <w:w w:val="99"/>
          <w:highlight w:val="none"/>
          <w:lang w:bidi="zh-CN"/>
        </w:rPr>
        <w:t>-</w:t>
      </w:r>
      <w:r>
        <w:rPr>
          <w:rFonts w:hint="eastAsia" w:ascii="Times New Roman" w:hAnsi="Times New Roman" w:cs="Times New Roman"/>
          <w:color w:val="auto"/>
          <w:w w:val="99"/>
          <w:highlight w:val="none"/>
          <w:lang w:bidi="zh-CN"/>
        </w:rPr>
        <w:t>47</w:t>
      </w:r>
      <w:r>
        <w:rPr>
          <w:rFonts w:ascii="Times New Roman" w:hAnsi="Times New Roman" w:cs="Times New Roman"/>
          <w:color w:val="auto"/>
          <w:w w:val="99"/>
          <w:highlight w:val="none"/>
          <w:lang w:bidi="zh-CN"/>
        </w:rPr>
        <w:t>-L）。</w:t>
      </w:r>
    </w:p>
    <w:p w14:paraId="17B0AF98">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总体上看，</w:t>
      </w:r>
      <w:r>
        <w:rPr>
          <w:rFonts w:hint="eastAsia" w:ascii="Times New Roman" w:hAnsi="Times New Roman" w:cs="Times New Roman"/>
          <w:color w:val="auto"/>
          <w:w w:val="99"/>
          <w:highlight w:val="none"/>
          <w:lang w:bidi="zh-CN"/>
        </w:rPr>
        <w:t>采气分公司</w:t>
      </w:r>
      <w:r>
        <w:rPr>
          <w:rFonts w:ascii="Times New Roman" w:hAnsi="Times New Roman" w:cs="Times New Roman"/>
          <w:color w:val="auto"/>
          <w:w w:val="99"/>
          <w:highlight w:val="none"/>
          <w:lang w:bidi="zh-CN"/>
        </w:rPr>
        <w:t>应急预案涵盖了环境突发事件、井喷、油气泄漏、</w:t>
      </w:r>
      <w:r>
        <w:rPr>
          <w:rFonts w:hint="eastAsia" w:ascii="Times New Roman" w:hAnsi="Times New Roman" w:cs="Times New Roman"/>
          <w:color w:val="auto"/>
          <w:w w:val="99"/>
          <w:highlight w:val="none"/>
          <w:lang w:bidi="zh-CN"/>
        </w:rPr>
        <w:t>天然气输送</w:t>
      </w:r>
      <w:r>
        <w:rPr>
          <w:rFonts w:ascii="Times New Roman" w:hAnsi="Times New Roman" w:cs="Times New Roman"/>
          <w:color w:val="auto"/>
          <w:w w:val="99"/>
          <w:highlight w:val="none"/>
          <w:lang w:bidi="zh-CN"/>
        </w:rPr>
        <w:t>系统突发事件等事故情况，依托合理，现有应急预案依托可行。根据《企业事业单位突发环境事件应急预案备案管理办法（试行）》〔2015〕4 号），环境应急预案每3年至少修订一次，因此建设单位应及时对环境应急预案进行修订，且建议建设单位加强对应急预案的定期风险应急演练及员工培训。</w:t>
      </w:r>
    </w:p>
    <w:p w14:paraId="704D212C">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通过分析，工程在发生事故状态下可依托已经制定了相关应急预案及相关应急资源。不需对本工程提出新的应急预案，发生风险事故时按已建立的事故风险应急预案执行，在执行应急预案的同时，要加强区域应急联动体系，定期进行地企联动应急演练，提高突发事件的应急处理能力。</w:t>
      </w:r>
    </w:p>
    <w:p w14:paraId="59FE95B6">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1、确定危害和风险</w:t>
      </w:r>
    </w:p>
    <w:p w14:paraId="16C2435B">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本项目潜在的环境风险事故是泄漏、火灾和爆炸。</w:t>
      </w:r>
    </w:p>
    <w:p w14:paraId="359EC48A">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通过正确地判别和评价本项目潜在的环境风险事故，制定相应的应急措施，可将风险和影响降到合理实际并尽可能低的水平，最大程度地保护人、环境和财产不受或少受影响。</w:t>
      </w:r>
    </w:p>
    <w:p w14:paraId="26E6AABD">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2、应急预案基本内容</w:t>
      </w:r>
    </w:p>
    <w:p w14:paraId="7A30EEDF">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针对本项目可能发生的风险事故，制定相应的应急预案，以处理突发事故，降低风险，并与当地政府应急预案衔接，报当地政府备案。本工程位于已建区块内，可以纳入</w:t>
      </w:r>
      <w:r>
        <w:rPr>
          <w:rFonts w:hint="eastAsia" w:ascii="Times New Roman" w:hAnsi="Times New Roman" w:cs="Times New Roman"/>
          <w:color w:val="auto"/>
          <w:w w:val="99"/>
          <w:highlight w:val="none"/>
          <w:lang w:bidi="zh-CN"/>
        </w:rPr>
        <w:t>采气分公司</w:t>
      </w:r>
      <w:r>
        <w:rPr>
          <w:rFonts w:ascii="Times New Roman" w:hAnsi="Times New Roman" w:cs="Times New Roman"/>
          <w:color w:val="auto"/>
          <w:w w:val="99"/>
          <w:highlight w:val="none"/>
          <w:lang w:bidi="zh-CN"/>
        </w:rPr>
        <w:t>原有应急体系内，不需对本工程提出新的应急预案，发生风险事故时按已建立的事故风险应急预案执行，在执行应急预案的同时，要加强区域应急联动体系，发生事故必要时可直接向向邻近企业、单位和政府部门、消防队、环保局、安全生产监督管理局和市政府报告，申请求援并要求周围企业单位启动应急计划。该应急预案需补充内容如下：</w:t>
      </w:r>
    </w:p>
    <w:p w14:paraId="4248D587">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（1）依托大庆油田公司监测机构建立事故应急监测机制，及时进行事故环境影响监测。</w:t>
      </w:r>
    </w:p>
    <w:p w14:paraId="7F3460E6">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（2）环境监测内容</w:t>
      </w:r>
    </w:p>
    <w:p w14:paraId="177654FD">
      <w:pPr>
        <w:pStyle w:val="47"/>
        <w:spacing w:after="0" w:line="440" w:lineRule="exact"/>
        <w:ind w:left="0" w:leftChars="0" w:firstLine="474" w:firstLineChars="200"/>
        <w:rPr>
          <w:color w:val="auto"/>
          <w:w w:val="99"/>
          <w:sz w:val="24"/>
          <w:highlight w:val="none"/>
          <w:lang w:bidi="zh-CN"/>
        </w:rPr>
      </w:pPr>
      <w:r>
        <w:rPr>
          <w:color w:val="auto"/>
          <w:w w:val="99"/>
          <w:sz w:val="24"/>
          <w:highlight w:val="none"/>
          <w:lang w:bidi="zh-CN"/>
        </w:rPr>
        <w:t>本项目发生污染事故时，对环境的影响主要是对生态（包括土壤、植被）和大气环境的影响，应急监测主要是这几方面的内容。</w:t>
      </w:r>
    </w:p>
    <w:p w14:paraId="31A72416">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①</w:t>
      </w:r>
      <w:r>
        <w:rPr>
          <w:color w:val="auto"/>
          <w:w w:val="99"/>
          <w:sz w:val="24"/>
          <w:highlight w:val="none"/>
          <w:lang w:bidi="zh-CN"/>
        </w:rPr>
        <w:t>生态方面：对事故现场及周围区域的植物、土壤进行危害监测，并在事故后不定期的对生态环境的恢复状况进行监测；</w:t>
      </w:r>
    </w:p>
    <w:p w14:paraId="74201FFA">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②</w:t>
      </w:r>
      <w:r>
        <w:rPr>
          <w:color w:val="auto"/>
          <w:w w:val="99"/>
          <w:sz w:val="24"/>
          <w:highlight w:val="none"/>
          <w:lang w:bidi="zh-CN"/>
        </w:rPr>
        <w:t>大气环境：应对事故全过程（发生时，控制时和事故后）进行监测，特别应对事故发生地附近的敏感区域进行大气监测；</w:t>
      </w:r>
    </w:p>
    <w:p w14:paraId="0F77BEAC">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③</w:t>
      </w:r>
      <w:r>
        <w:rPr>
          <w:color w:val="auto"/>
          <w:w w:val="99"/>
          <w:sz w:val="24"/>
          <w:highlight w:val="none"/>
          <w:lang w:bidi="zh-CN"/>
        </w:rPr>
        <w:t>水环境：应对事故全过程（发生时，控制时和事故后）所影响的地表水环境和地下水环境进行监测；</w:t>
      </w:r>
    </w:p>
    <w:p w14:paraId="7FDA81E8">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④</w:t>
      </w:r>
      <w:r>
        <w:rPr>
          <w:color w:val="auto"/>
          <w:w w:val="99"/>
          <w:sz w:val="24"/>
          <w:highlight w:val="none"/>
          <w:lang w:bidi="zh-CN"/>
        </w:rPr>
        <w:t>土壤环境：应对事故全过程（发生时，控制时和事故后）进行监测，特别应对事故发生地附近的敏感区域进行土壤监测；</w:t>
      </w:r>
    </w:p>
    <w:p w14:paraId="7CB68EAC">
      <w:pPr>
        <w:pStyle w:val="47"/>
        <w:spacing w:after="0" w:line="440" w:lineRule="exact"/>
        <w:ind w:left="0" w:leftChars="0" w:firstLine="474" w:firstLineChars="200"/>
        <w:rPr>
          <w:color w:val="auto"/>
          <w:w w:val="99"/>
          <w:sz w:val="24"/>
          <w:highlight w:val="none"/>
          <w:lang w:bidi="zh-CN"/>
        </w:rPr>
      </w:pPr>
      <w:r>
        <w:rPr>
          <w:rFonts w:hint="eastAsia"/>
          <w:color w:val="auto"/>
          <w:w w:val="99"/>
          <w:sz w:val="24"/>
          <w:highlight w:val="none"/>
          <w:lang w:bidi="zh-CN"/>
        </w:rPr>
        <w:t>⑤</w:t>
      </w:r>
      <w:r>
        <w:rPr>
          <w:color w:val="auto"/>
          <w:w w:val="99"/>
          <w:sz w:val="24"/>
          <w:highlight w:val="none"/>
          <w:lang w:bidi="zh-CN"/>
        </w:rPr>
        <w:t>负责单位要根据监测结果编制事故污染报告，确定事故影响范围，为制定治理措施提供依据。</w:t>
      </w:r>
    </w:p>
    <w:p w14:paraId="028C642F">
      <w:pPr>
        <w:widowControl w:val="0"/>
        <w:spacing w:line="440" w:lineRule="exact"/>
        <w:ind w:firstLine="474" w:firstLineChars="200"/>
        <w:jc w:val="both"/>
        <w:rPr>
          <w:rFonts w:ascii="Times New Roman" w:hAnsi="Times New Roman" w:cs="Times New Roman"/>
          <w:bCs/>
          <w:color w:val="auto"/>
          <w:w w:val="99"/>
          <w:kern w:val="2"/>
          <w:highlight w:val="none"/>
        </w:rPr>
      </w:pPr>
      <w:r>
        <w:rPr>
          <w:rFonts w:ascii="Times New Roman" w:hAnsi="Times New Roman" w:cs="Times New Roman"/>
          <w:bCs/>
          <w:color w:val="auto"/>
          <w:w w:val="99"/>
          <w:kern w:val="2"/>
          <w:highlight w:val="none"/>
        </w:rPr>
        <w:t>3、应急预案有效性分析</w:t>
      </w:r>
    </w:p>
    <w:p w14:paraId="5EEC10C0">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bCs/>
          <w:color w:val="auto"/>
          <w:w w:val="99"/>
          <w:kern w:val="2"/>
          <w:highlight w:val="none"/>
        </w:rPr>
        <w:t xml:space="preserve">大庆油田有限责任公司采气分公司 </w:t>
      </w:r>
      <w:r>
        <w:rPr>
          <w:rFonts w:ascii="Times New Roman" w:hAnsi="Times New Roman" w:cs="Times New Roman"/>
          <w:color w:val="auto"/>
          <w:w w:val="99"/>
          <w:kern w:val="2"/>
          <w:highlight w:val="none"/>
        </w:rPr>
        <w:t>编制了</w:t>
      </w:r>
      <w:r>
        <w:rPr>
          <w:rFonts w:ascii="Times New Roman" w:hAnsi="Times New Roman" w:cs="Times New Roman" w:eastAsiaTheme="minorEastAsia"/>
          <w:bCs/>
          <w:color w:val="auto"/>
          <w:w w:val="99"/>
          <w:highlight w:val="none"/>
        </w:rPr>
        <w:t>《环境突发事件专项应急预案》</w:t>
      </w:r>
      <w:r>
        <w:rPr>
          <w:rFonts w:ascii="Times New Roman" w:hAnsi="Times New Roman" w:cs="Times New Roman"/>
          <w:color w:val="auto"/>
          <w:w w:val="99"/>
          <w:kern w:val="2"/>
          <w:highlight w:val="none"/>
        </w:rPr>
        <w:t>，该应急预案主要针对项目运营过程中可能突发的各种环境风险事故等制定了详细的安全应急救援预案。预案中包含了应急救援任务和目标、原则、组织机构、应急救援职责、突发事件信息报送及处置、应急响应和处置、应急措施以及应急救援值班电话和联络电话，充分保证了项目运营期发生的风险事故得到及时救援和处理。降低了环境风险的危害。</w:t>
      </w:r>
    </w:p>
    <w:p w14:paraId="214B8001">
      <w:pPr>
        <w:widowControl w:val="0"/>
        <w:spacing w:line="440" w:lineRule="exact"/>
        <w:ind w:firstLine="474" w:firstLineChars="200"/>
        <w:jc w:val="both"/>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highlight w:val="none"/>
        </w:rPr>
        <w:t>应急预案制定完毕后，</w:t>
      </w:r>
      <w:r>
        <w:rPr>
          <w:rFonts w:hint="eastAsia" w:ascii="Times New Roman" w:hAnsi="Times New Roman" w:cs="Times New Roman"/>
          <w:bCs/>
          <w:color w:val="auto"/>
          <w:w w:val="99"/>
          <w:kern w:val="2"/>
          <w:highlight w:val="none"/>
        </w:rPr>
        <w:t xml:space="preserve">大庆油田有限责任公司采气分公司 </w:t>
      </w:r>
      <w:r>
        <w:rPr>
          <w:rFonts w:ascii="Times New Roman" w:hAnsi="Times New Roman" w:cs="Times New Roman"/>
          <w:color w:val="auto"/>
          <w:w w:val="99"/>
          <w:kern w:val="2"/>
          <w:highlight w:val="none"/>
        </w:rPr>
        <w:t>各作业区平均每月开展一次应急预案的宣传教育及应急演练，保证每一个工作人员都熟悉预案的内容，熟练应急措施，检查预案的有效性和符合性，对存在的不足及时修正。</w:t>
      </w:r>
    </w:p>
    <w:p w14:paraId="687A6035">
      <w:pPr>
        <w:widowControl w:val="0"/>
        <w:spacing w:line="440" w:lineRule="exact"/>
        <w:ind w:firstLine="474" w:firstLineChars="200"/>
        <w:jc w:val="both"/>
        <w:rPr>
          <w:rFonts w:ascii="Times New Roman" w:hAnsi="Times New Roman" w:cs="Times New Roman"/>
          <w:bCs/>
          <w:color w:val="auto"/>
          <w:w w:val="99"/>
          <w:kern w:val="2"/>
          <w:highlight w:val="none"/>
        </w:rPr>
      </w:pPr>
      <w:r>
        <w:rPr>
          <w:rFonts w:ascii="Times New Roman" w:hAnsi="Times New Roman" w:cs="Times New Roman"/>
          <w:bCs/>
          <w:color w:val="auto"/>
          <w:w w:val="99"/>
          <w:kern w:val="2"/>
          <w:highlight w:val="none"/>
        </w:rPr>
        <w:t>4、应急状态地企联动</w:t>
      </w:r>
    </w:p>
    <w:p w14:paraId="39C9B3C9">
      <w:pPr>
        <w:widowControl w:val="0"/>
        <w:spacing w:line="440" w:lineRule="exact"/>
        <w:ind w:firstLine="474" w:firstLineChars="200"/>
        <w:jc w:val="both"/>
        <w:rPr>
          <w:rFonts w:ascii="Times New Roman" w:hAnsi="Times New Roman" w:cs="Times New Roman"/>
          <w:bCs/>
          <w:color w:val="auto"/>
          <w:w w:val="99"/>
          <w:kern w:val="2"/>
          <w:highlight w:val="none"/>
        </w:rPr>
      </w:pPr>
      <w:r>
        <w:rPr>
          <w:rFonts w:hint="eastAsia" w:ascii="Times New Roman" w:hAnsi="Times New Roman" w:cs="Times New Roman"/>
          <w:bCs/>
          <w:color w:val="auto"/>
          <w:w w:val="99"/>
          <w:kern w:val="2"/>
          <w:highlight w:val="none"/>
        </w:rPr>
        <w:t>大庆油田有限责任公司采气分公司</w:t>
      </w:r>
      <w:r>
        <w:rPr>
          <w:rFonts w:ascii="Times New Roman" w:hAnsi="Times New Roman" w:cs="Times New Roman"/>
          <w:color w:val="auto"/>
          <w:w w:val="99"/>
          <w:kern w:val="2"/>
          <w:highlight w:val="none"/>
        </w:rPr>
        <w:t>已在大庆油田有限责任公司备案登记，由大庆油田有限责任公司向市政府有</w:t>
      </w:r>
      <w:r>
        <w:rPr>
          <w:rFonts w:ascii="Times New Roman" w:hAnsi="Times New Roman" w:cs="Times New Roman"/>
          <w:bCs/>
          <w:color w:val="auto"/>
          <w:w w:val="99"/>
          <w:kern w:val="2"/>
          <w:highlight w:val="none"/>
        </w:rPr>
        <w:t>关部门及集团公司申请备案。</w:t>
      </w:r>
      <w:r>
        <w:rPr>
          <w:rFonts w:hint="eastAsia" w:ascii="Times New Roman" w:hAnsi="Times New Roman" w:cs="Times New Roman"/>
          <w:bCs/>
          <w:color w:val="auto"/>
          <w:w w:val="99"/>
          <w:kern w:val="2"/>
          <w:highlight w:val="none"/>
        </w:rPr>
        <w:t xml:space="preserve">大庆油田有限责任公司采气分公司 </w:t>
      </w:r>
      <w:r>
        <w:rPr>
          <w:rFonts w:ascii="Times New Roman" w:hAnsi="Times New Roman" w:cs="Times New Roman"/>
          <w:bCs/>
          <w:color w:val="auto"/>
          <w:w w:val="99"/>
          <w:kern w:val="2"/>
          <w:highlight w:val="none"/>
        </w:rPr>
        <w:t>已备案登记《环境突发事件专项应急预案》、《生产场所泄漏、火灾、爆炸突发事件专项应急预案》、《输油气管道突发事件专项应急预案》、《注水系统突发事件专项应急预案》等专项应急预案，发生事故时，多个应急预案联动响应。同时，企业环保部门与地方社会力量保持应急状态联动，事故发生后，消防部门、医疗部门、生态环境部门及公安部门启动相应紧急预案，保障事故控制及事故救援得到有效迅捷地处理，详见下表。</w:t>
      </w:r>
    </w:p>
    <w:p w14:paraId="0A02FA64">
      <w:pPr>
        <w:widowControl w:val="0"/>
        <w:spacing w:line="440" w:lineRule="exact"/>
        <w:ind w:firstLine="476" w:firstLineChars="200"/>
        <w:jc w:val="both"/>
        <w:rPr>
          <w:rFonts w:ascii="Times New Roman" w:hAnsi="Times New Roman" w:cs="Times New Roman"/>
          <w:b/>
          <w:color w:val="auto"/>
          <w:w w:val="99"/>
          <w:kern w:val="2"/>
          <w:highlight w:val="none"/>
        </w:rPr>
      </w:pPr>
      <w:r>
        <w:rPr>
          <w:rFonts w:ascii="Times New Roman" w:hAnsi="Times New Roman" w:cs="Times New Roman"/>
          <w:b/>
          <w:color w:val="auto"/>
          <w:w w:val="99"/>
          <w:kern w:val="2"/>
          <w:highlight w:val="none"/>
        </w:rPr>
        <w:t>表6.1-</w:t>
      </w:r>
      <w:r>
        <w:rPr>
          <w:rFonts w:hint="eastAsia" w:ascii="Times New Roman" w:hAnsi="Times New Roman" w:cs="Times New Roman"/>
          <w:b/>
          <w:color w:val="auto"/>
          <w:w w:val="99"/>
          <w:kern w:val="2"/>
          <w:highlight w:val="none"/>
        </w:rPr>
        <w:t>6</w:t>
      </w:r>
      <w:r>
        <w:rPr>
          <w:rFonts w:ascii="Times New Roman" w:hAnsi="Times New Roman" w:cs="Times New Roman"/>
          <w:b/>
          <w:color w:val="auto"/>
          <w:w w:val="99"/>
          <w:kern w:val="2"/>
          <w:highlight w:val="none"/>
        </w:rPr>
        <w:t xml:space="preserve">    地企联动各部门联系方式</w:t>
      </w:r>
    </w:p>
    <w:tbl>
      <w:tblPr>
        <w:tblStyle w:val="81"/>
        <w:tblW w:w="9403"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154"/>
        <w:gridCol w:w="5021"/>
        <w:gridCol w:w="3228"/>
      </w:tblGrid>
      <w:tr w14:paraId="275B4B5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vAlign w:val="center"/>
          </w:tcPr>
          <w:p w14:paraId="2F4C9609">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序号</w:t>
            </w:r>
          </w:p>
        </w:tc>
        <w:tc>
          <w:tcPr>
            <w:tcW w:w="5021" w:type="dxa"/>
            <w:tcBorders>
              <w:top w:val="single" w:color="auto" w:sz="8" w:space="0"/>
              <w:left w:val="single" w:color="auto" w:sz="8" w:space="0"/>
              <w:bottom w:val="single" w:color="auto" w:sz="8" w:space="0"/>
              <w:right w:val="single" w:color="auto" w:sz="8" w:space="0"/>
            </w:tcBorders>
            <w:vAlign w:val="center"/>
          </w:tcPr>
          <w:p w14:paraId="2824AA97">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单位</w:t>
            </w:r>
          </w:p>
        </w:tc>
        <w:tc>
          <w:tcPr>
            <w:tcW w:w="3228" w:type="dxa"/>
            <w:tcBorders>
              <w:top w:val="single" w:color="auto" w:sz="8" w:space="0"/>
              <w:left w:val="single" w:color="auto" w:sz="8" w:space="0"/>
              <w:bottom w:val="single" w:color="auto" w:sz="8" w:space="0"/>
              <w:right w:val="single" w:color="auto" w:sz="8" w:space="0"/>
            </w:tcBorders>
            <w:vAlign w:val="center"/>
          </w:tcPr>
          <w:p w14:paraId="21B13C19">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电话</w:t>
            </w:r>
          </w:p>
        </w:tc>
      </w:tr>
      <w:tr w14:paraId="66CDC68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vAlign w:val="center"/>
          </w:tcPr>
          <w:p w14:paraId="74674F81">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1</w:t>
            </w:r>
          </w:p>
        </w:tc>
        <w:tc>
          <w:tcPr>
            <w:tcW w:w="5021" w:type="dxa"/>
            <w:tcBorders>
              <w:top w:val="single" w:color="auto" w:sz="8" w:space="0"/>
              <w:left w:val="single" w:color="auto" w:sz="8" w:space="0"/>
              <w:bottom w:val="single" w:color="auto" w:sz="8" w:space="0"/>
              <w:right w:val="single" w:color="auto" w:sz="8" w:space="0"/>
            </w:tcBorders>
            <w:vAlign w:val="center"/>
          </w:tcPr>
          <w:p w14:paraId="3A61F975">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大庆油田公司总值班室</w:t>
            </w:r>
          </w:p>
        </w:tc>
        <w:tc>
          <w:tcPr>
            <w:tcW w:w="3228" w:type="dxa"/>
            <w:tcBorders>
              <w:top w:val="single" w:color="auto" w:sz="8" w:space="0"/>
              <w:left w:val="single" w:color="auto" w:sz="8" w:space="0"/>
              <w:bottom w:val="single" w:color="auto" w:sz="8" w:space="0"/>
              <w:right w:val="single" w:color="auto" w:sz="8" w:space="0"/>
            </w:tcBorders>
            <w:vAlign w:val="center"/>
          </w:tcPr>
          <w:p w14:paraId="5BABBF11">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0459-5963011</w:t>
            </w:r>
          </w:p>
        </w:tc>
      </w:tr>
      <w:tr w14:paraId="01FA43C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vAlign w:val="center"/>
          </w:tcPr>
          <w:p w14:paraId="7F469464">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2</w:t>
            </w:r>
          </w:p>
        </w:tc>
        <w:tc>
          <w:tcPr>
            <w:tcW w:w="5021" w:type="dxa"/>
            <w:tcBorders>
              <w:top w:val="single" w:color="auto" w:sz="8" w:space="0"/>
              <w:left w:val="single" w:color="auto" w:sz="8" w:space="0"/>
              <w:bottom w:val="single" w:color="auto" w:sz="8" w:space="0"/>
              <w:right w:val="single" w:color="auto" w:sz="8" w:space="0"/>
            </w:tcBorders>
            <w:vAlign w:val="center"/>
          </w:tcPr>
          <w:p w14:paraId="51B7AE9F">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大庆油田公司应急管理科</w:t>
            </w:r>
          </w:p>
        </w:tc>
        <w:tc>
          <w:tcPr>
            <w:tcW w:w="3228" w:type="dxa"/>
            <w:tcBorders>
              <w:top w:val="single" w:color="auto" w:sz="8" w:space="0"/>
              <w:left w:val="single" w:color="auto" w:sz="8" w:space="0"/>
              <w:bottom w:val="single" w:color="auto" w:sz="8" w:space="0"/>
              <w:right w:val="single" w:color="auto" w:sz="8" w:space="0"/>
            </w:tcBorders>
            <w:vAlign w:val="center"/>
          </w:tcPr>
          <w:p w14:paraId="0EB2F1FE">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0459-5936700</w:t>
            </w:r>
          </w:p>
        </w:tc>
      </w:tr>
      <w:tr w14:paraId="74F148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vAlign w:val="center"/>
          </w:tcPr>
          <w:p w14:paraId="79075DCB">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3</w:t>
            </w:r>
          </w:p>
        </w:tc>
        <w:tc>
          <w:tcPr>
            <w:tcW w:w="5021" w:type="dxa"/>
            <w:tcBorders>
              <w:top w:val="single" w:color="auto" w:sz="8" w:space="0"/>
              <w:left w:val="single" w:color="auto" w:sz="8" w:space="0"/>
              <w:bottom w:val="single" w:color="auto" w:sz="8" w:space="0"/>
              <w:right w:val="single" w:color="auto" w:sz="8" w:space="0"/>
            </w:tcBorders>
            <w:vAlign w:val="center"/>
          </w:tcPr>
          <w:p w14:paraId="2AA6248B">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大庆市政府总值班室</w:t>
            </w:r>
          </w:p>
        </w:tc>
        <w:tc>
          <w:tcPr>
            <w:tcW w:w="3228" w:type="dxa"/>
            <w:tcBorders>
              <w:top w:val="single" w:color="auto" w:sz="8" w:space="0"/>
              <w:left w:val="single" w:color="auto" w:sz="8" w:space="0"/>
              <w:bottom w:val="single" w:color="auto" w:sz="8" w:space="0"/>
              <w:right w:val="single" w:color="auto" w:sz="8" w:space="0"/>
            </w:tcBorders>
            <w:vAlign w:val="center"/>
          </w:tcPr>
          <w:p w14:paraId="42D4B35A">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0459-4609222</w:t>
            </w:r>
          </w:p>
        </w:tc>
      </w:tr>
      <w:tr w14:paraId="45E12B3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vAlign w:val="center"/>
          </w:tcPr>
          <w:p w14:paraId="6781E643">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4</w:t>
            </w:r>
          </w:p>
        </w:tc>
        <w:tc>
          <w:tcPr>
            <w:tcW w:w="5021" w:type="dxa"/>
            <w:tcBorders>
              <w:top w:val="single" w:color="auto" w:sz="8" w:space="0"/>
              <w:left w:val="single" w:color="auto" w:sz="8" w:space="0"/>
              <w:bottom w:val="single" w:color="auto" w:sz="8" w:space="0"/>
              <w:right w:val="single" w:color="auto" w:sz="8" w:space="0"/>
            </w:tcBorders>
            <w:vAlign w:val="center"/>
          </w:tcPr>
          <w:p w14:paraId="7D6B8ECC">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大庆市让胡路区政府值班室</w:t>
            </w:r>
          </w:p>
        </w:tc>
        <w:tc>
          <w:tcPr>
            <w:tcW w:w="3228" w:type="dxa"/>
            <w:tcBorders>
              <w:top w:val="single" w:color="auto" w:sz="8" w:space="0"/>
              <w:left w:val="single" w:color="auto" w:sz="8" w:space="0"/>
              <w:bottom w:val="single" w:color="auto" w:sz="8" w:space="0"/>
              <w:right w:val="single" w:color="auto" w:sz="8" w:space="0"/>
            </w:tcBorders>
            <w:vAlign w:val="center"/>
          </w:tcPr>
          <w:p w14:paraId="22522EFC">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0459-5596291</w:t>
            </w:r>
          </w:p>
        </w:tc>
      </w:tr>
      <w:tr w14:paraId="5AF349B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vAlign w:val="center"/>
          </w:tcPr>
          <w:p w14:paraId="6A4413F4">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5</w:t>
            </w:r>
          </w:p>
        </w:tc>
        <w:tc>
          <w:tcPr>
            <w:tcW w:w="5021" w:type="dxa"/>
            <w:tcBorders>
              <w:top w:val="single" w:color="auto" w:sz="8" w:space="0"/>
              <w:left w:val="single" w:color="auto" w:sz="8" w:space="0"/>
              <w:bottom w:val="single" w:color="auto" w:sz="8" w:space="0"/>
              <w:right w:val="single" w:color="auto" w:sz="8" w:space="0"/>
            </w:tcBorders>
            <w:vAlign w:val="center"/>
          </w:tcPr>
          <w:p w14:paraId="50BE6735">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大庆市红岗区政府值班室</w:t>
            </w:r>
          </w:p>
        </w:tc>
        <w:tc>
          <w:tcPr>
            <w:tcW w:w="3228" w:type="dxa"/>
            <w:tcBorders>
              <w:top w:val="single" w:color="auto" w:sz="8" w:space="0"/>
              <w:left w:val="single" w:color="auto" w:sz="8" w:space="0"/>
              <w:bottom w:val="single" w:color="auto" w:sz="8" w:space="0"/>
              <w:right w:val="single" w:color="auto" w:sz="8" w:space="0"/>
            </w:tcBorders>
            <w:vAlign w:val="center"/>
          </w:tcPr>
          <w:p w14:paraId="338A47DA">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0459-4192147</w:t>
            </w:r>
          </w:p>
        </w:tc>
      </w:tr>
      <w:tr w14:paraId="77059A0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vAlign w:val="center"/>
          </w:tcPr>
          <w:p w14:paraId="4260C5CE">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6</w:t>
            </w:r>
          </w:p>
        </w:tc>
        <w:tc>
          <w:tcPr>
            <w:tcW w:w="5021" w:type="dxa"/>
            <w:tcBorders>
              <w:top w:val="single" w:color="auto" w:sz="8" w:space="0"/>
              <w:left w:val="single" w:color="auto" w:sz="8" w:space="0"/>
              <w:bottom w:val="single" w:color="auto" w:sz="8" w:space="0"/>
              <w:right w:val="single" w:color="auto" w:sz="8" w:space="0"/>
            </w:tcBorders>
            <w:vAlign w:val="center"/>
          </w:tcPr>
          <w:p w14:paraId="15914A21">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大庆市龙凤区政府值班室</w:t>
            </w:r>
          </w:p>
        </w:tc>
        <w:tc>
          <w:tcPr>
            <w:tcW w:w="3228" w:type="dxa"/>
            <w:tcBorders>
              <w:top w:val="single" w:color="auto" w:sz="8" w:space="0"/>
              <w:left w:val="single" w:color="auto" w:sz="8" w:space="0"/>
              <w:bottom w:val="single" w:color="auto" w:sz="8" w:space="0"/>
              <w:right w:val="single" w:color="auto" w:sz="8" w:space="0"/>
            </w:tcBorders>
            <w:vAlign w:val="center"/>
          </w:tcPr>
          <w:p w14:paraId="01D582BF">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0459-6243393</w:t>
            </w:r>
          </w:p>
        </w:tc>
      </w:tr>
      <w:tr w14:paraId="04F4B1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vAlign w:val="center"/>
          </w:tcPr>
          <w:p w14:paraId="2CF3B533">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7</w:t>
            </w:r>
          </w:p>
        </w:tc>
        <w:tc>
          <w:tcPr>
            <w:tcW w:w="5021" w:type="dxa"/>
            <w:tcBorders>
              <w:top w:val="single" w:color="auto" w:sz="8" w:space="0"/>
              <w:left w:val="single" w:color="auto" w:sz="8" w:space="0"/>
              <w:bottom w:val="single" w:color="auto" w:sz="8" w:space="0"/>
              <w:right w:val="single" w:color="auto" w:sz="8" w:space="0"/>
            </w:tcBorders>
            <w:vAlign w:val="center"/>
          </w:tcPr>
          <w:p w14:paraId="1C7B333B">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大庆市大同区政府值班室</w:t>
            </w:r>
          </w:p>
        </w:tc>
        <w:tc>
          <w:tcPr>
            <w:tcW w:w="3228" w:type="dxa"/>
            <w:tcBorders>
              <w:top w:val="single" w:color="auto" w:sz="8" w:space="0"/>
              <w:left w:val="single" w:color="auto" w:sz="8" w:space="0"/>
              <w:bottom w:val="single" w:color="auto" w:sz="8" w:space="0"/>
              <w:right w:val="single" w:color="auto" w:sz="8" w:space="0"/>
            </w:tcBorders>
            <w:vAlign w:val="center"/>
          </w:tcPr>
          <w:p w14:paraId="3D691FC6">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0459-4411305</w:t>
            </w:r>
          </w:p>
        </w:tc>
      </w:tr>
      <w:tr w14:paraId="080CFF6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vAlign w:val="center"/>
          </w:tcPr>
          <w:p w14:paraId="3A462797">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8</w:t>
            </w:r>
          </w:p>
        </w:tc>
        <w:tc>
          <w:tcPr>
            <w:tcW w:w="5021" w:type="dxa"/>
            <w:tcBorders>
              <w:top w:val="single" w:color="auto" w:sz="8" w:space="0"/>
              <w:left w:val="single" w:color="auto" w:sz="8" w:space="0"/>
              <w:bottom w:val="single" w:color="auto" w:sz="8" w:space="0"/>
              <w:right w:val="single" w:color="auto" w:sz="8" w:space="0"/>
            </w:tcBorders>
            <w:vAlign w:val="center"/>
          </w:tcPr>
          <w:p w14:paraId="306992AA">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大庆市肇州县政府值班室</w:t>
            </w:r>
          </w:p>
        </w:tc>
        <w:tc>
          <w:tcPr>
            <w:tcW w:w="3228" w:type="dxa"/>
            <w:tcBorders>
              <w:top w:val="single" w:color="auto" w:sz="8" w:space="0"/>
              <w:left w:val="single" w:color="auto" w:sz="8" w:space="0"/>
              <w:bottom w:val="single" w:color="auto" w:sz="8" w:space="0"/>
              <w:right w:val="single" w:color="auto" w:sz="8" w:space="0"/>
            </w:tcBorders>
            <w:vAlign w:val="center"/>
          </w:tcPr>
          <w:p w14:paraId="5D2C502F">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0459-8522310</w:t>
            </w:r>
          </w:p>
        </w:tc>
      </w:tr>
      <w:tr w14:paraId="0BAB0F4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vAlign w:val="center"/>
          </w:tcPr>
          <w:p w14:paraId="75AEF492">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9</w:t>
            </w:r>
          </w:p>
        </w:tc>
        <w:tc>
          <w:tcPr>
            <w:tcW w:w="5021" w:type="dxa"/>
            <w:tcBorders>
              <w:top w:val="single" w:color="auto" w:sz="8" w:space="0"/>
              <w:left w:val="single" w:color="auto" w:sz="8" w:space="0"/>
              <w:bottom w:val="single" w:color="auto" w:sz="8" w:space="0"/>
              <w:right w:val="single" w:color="auto" w:sz="8" w:space="0"/>
            </w:tcBorders>
            <w:vAlign w:val="center"/>
          </w:tcPr>
          <w:p w14:paraId="53E9834B">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大庆市地震局</w:t>
            </w:r>
          </w:p>
        </w:tc>
        <w:tc>
          <w:tcPr>
            <w:tcW w:w="3228" w:type="dxa"/>
            <w:tcBorders>
              <w:top w:val="single" w:color="auto" w:sz="8" w:space="0"/>
              <w:left w:val="single" w:color="auto" w:sz="8" w:space="0"/>
              <w:bottom w:val="single" w:color="auto" w:sz="8" w:space="0"/>
              <w:right w:val="single" w:color="auto" w:sz="8" w:space="0"/>
            </w:tcBorders>
            <w:vAlign w:val="center"/>
          </w:tcPr>
          <w:p w14:paraId="405EB0A2">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0459-6398035</w:t>
            </w:r>
          </w:p>
        </w:tc>
      </w:tr>
      <w:tr w14:paraId="03642A3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vAlign w:val="center"/>
          </w:tcPr>
          <w:p w14:paraId="3C758A6E">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10</w:t>
            </w:r>
          </w:p>
        </w:tc>
        <w:tc>
          <w:tcPr>
            <w:tcW w:w="5021" w:type="dxa"/>
            <w:tcBorders>
              <w:top w:val="single" w:color="auto" w:sz="8" w:space="0"/>
              <w:left w:val="single" w:color="auto" w:sz="8" w:space="0"/>
              <w:bottom w:val="single" w:color="auto" w:sz="8" w:space="0"/>
              <w:right w:val="single" w:color="auto" w:sz="8" w:space="0"/>
            </w:tcBorders>
            <w:vAlign w:val="center"/>
          </w:tcPr>
          <w:p w14:paraId="044C78EE">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大庆市气象局</w:t>
            </w:r>
          </w:p>
        </w:tc>
        <w:tc>
          <w:tcPr>
            <w:tcW w:w="3228" w:type="dxa"/>
            <w:tcBorders>
              <w:top w:val="single" w:color="auto" w:sz="8" w:space="0"/>
              <w:left w:val="single" w:color="auto" w:sz="8" w:space="0"/>
              <w:bottom w:val="single" w:color="auto" w:sz="8" w:space="0"/>
              <w:right w:val="single" w:color="auto" w:sz="8" w:space="0"/>
            </w:tcBorders>
            <w:vAlign w:val="center"/>
          </w:tcPr>
          <w:p w14:paraId="04C7E335">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0459-8151615</w:t>
            </w:r>
          </w:p>
        </w:tc>
      </w:tr>
      <w:tr w14:paraId="08598D9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vAlign w:val="center"/>
          </w:tcPr>
          <w:p w14:paraId="34B36DA6">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11</w:t>
            </w:r>
          </w:p>
        </w:tc>
        <w:tc>
          <w:tcPr>
            <w:tcW w:w="5021" w:type="dxa"/>
            <w:tcBorders>
              <w:top w:val="single" w:color="auto" w:sz="8" w:space="0"/>
              <w:left w:val="single" w:color="auto" w:sz="8" w:space="0"/>
              <w:bottom w:val="single" w:color="auto" w:sz="8" w:space="0"/>
              <w:right w:val="single" w:color="auto" w:sz="8" w:space="0"/>
            </w:tcBorders>
            <w:vAlign w:val="center"/>
          </w:tcPr>
          <w:p w14:paraId="62823698">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大庆市生态环境局</w:t>
            </w:r>
          </w:p>
        </w:tc>
        <w:tc>
          <w:tcPr>
            <w:tcW w:w="3228" w:type="dxa"/>
            <w:tcBorders>
              <w:top w:val="single" w:color="auto" w:sz="8" w:space="0"/>
              <w:left w:val="single" w:color="auto" w:sz="8" w:space="0"/>
              <w:bottom w:val="single" w:color="auto" w:sz="8" w:space="0"/>
              <w:right w:val="single" w:color="auto" w:sz="8" w:space="0"/>
            </w:tcBorders>
            <w:vAlign w:val="center"/>
          </w:tcPr>
          <w:p w14:paraId="0BF36F1F">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0459-4623818</w:t>
            </w:r>
          </w:p>
        </w:tc>
      </w:tr>
      <w:tr w14:paraId="2E77FB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vAlign w:val="center"/>
          </w:tcPr>
          <w:p w14:paraId="6E996611">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12</w:t>
            </w:r>
          </w:p>
        </w:tc>
        <w:tc>
          <w:tcPr>
            <w:tcW w:w="5021" w:type="dxa"/>
            <w:tcBorders>
              <w:top w:val="single" w:color="auto" w:sz="8" w:space="0"/>
              <w:left w:val="single" w:color="auto" w:sz="8" w:space="0"/>
              <w:bottom w:val="single" w:color="auto" w:sz="8" w:space="0"/>
              <w:right w:val="single" w:color="auto" w:sz="8" w:space="0"/>
            </w:tcBorders>
            <w:vAlign w:val="center"/>
          </w:tcPr>
          <w:p w14:paraId="0DED8B52">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绥化市安达生态环境局</w:t>
            </w:r>
          </w:p>
        </w:tc>
        <w:tc>
          <w:tcPr>
            <w:tcW w:w="3228" w:type="dxa"/>
            <w:tcBorders>
              <w:top w:val="single" w:color="auto" w:sz="8" w:space="0"/>
              <w:left w:val="single" w:color="auto" w:sz="8" w:space="0"/>
              <w:bottom w:val="single" w:color="auto" w:sz="8" w:space="0"/>
              <w:right w:val="single" w:color="auto" w:sz="8" w:space="0"/>
            </w:tcBorders>
            <w:vAlign w:val="center"/>
          </w:tcPr>
          <w:p w14:paraId="6D06870D">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0455-7349716</w:t>
            </w:r>
          </w:p>
        </w:tc>
      </w:tr>
      <w:tr w14:paraId="09F532F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vAlign w:val="center"/>
          </w:tcPr>
          <w:p w14:paraId="4C01E2AB">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13</w:t>
            </w:r>
          </w:p>
        </w:tc>
        <w:tc>
          <w:tcPr>
            <w:tcW w:w="5021" w:type="dxa"/>
            <w:tcBorders>
              <w:top w:val="single" w:color="auto" w:sz="8" w:space="0"/>
              <w:left w:val="single" w:color="auto" w:sz="8" w:space="0"/>
              <w:bottom w:val="single" w:color="auto" w:sz="8" w:space="0"/>
              <w:right w:val="single" w:color="auto" w:sz="8" w:space="0"/>
            </w:tcBorders>
            <w:vAlign w:val="center"/>
          </w:tcPr>
          <w:p w14:paraId="7F61A5DD">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绥化市肇东生态环境局</w:t>
            </w:r>
          </w:p>
        </w:tc>
        <w:tc>
          <w:tcPr>
            <w:tcW w:w="3228" w:type="dxa"/>
            <w:tcBorders>
              <w:top w:val="single" w:color="auto" w:sz="8" w:space="0"/>
              <w:left w:val="single" w:color="auto" w:sz="8" w:space="0"/>
              <w:bottom w:val="single" w:color="auto" w:sz="8" w:space="0"/>
              <w:right w:val="single" w:color="auto" w:sz="8" w:space="0"/>
            </w:tcBorders>
            <w:vAlign w:val="center"/>
          </w:tcPr>
          <w:p w14:paraId="60251721">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0455-7966009/0455-7966020</w:t>
            </w:r>
          </w:p>
        </w:tc>
      </w:tr>
      <w:tr w14:paraId="3A60978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vAlign w:val="center"/>
          </w:tcPr>
          <w:p w14:paraId="1EB10FBD">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14</w:t>
            </w:r>
          </w:p>
        </w:tc>
        <w:tc>
          <w:tcPr>
            <w:tcW w:w="5021" w:type="dxa"/>
            <w:tcBorders>
              <w:top w:val="single" w:color="auto" w:sz="8" w:space="0"/>
              <w:left w:val="single" w:color="auto" w:sz="8" w:space="0"/>
              <w:bottom w:val="single" w:color="auto" w:sz="8" w:space="0"/>
              <w:right w:val="single" w:color="auto" w:sz="8" w:space="0"/>
            </w:tcBorders>
            <w:vAlign w:val="center"/>
          </w:tcPr>
          <w:p w14:paraId="09B58F9E">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消防十三中队</w:t>
            </w:r>
          </w:p>
        </w:tc>
        <w:tc>
          <w:tcPr>
            <w:tcW w:w="3228" w:type="dxa"/>
            <w:tcBorders>
              <w:top w:val="single" w:color="auto" w:sz="8" w:space="0"/>
              <w:left w:val="single" w:color="auto" w:sz="8" w:space="0"/>
              <w:bottom w:val="single" w:color="auto" w:sz="8" w:space="0"/>
              <w:right w:val="single" w:color="auto" w:sz="8" w:space="0"/>
            </w:tcBorders>
            <w:vAlign w:val="center"/>
          </w:tcPr>
          <w:p w14:paraId="15535E98">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0459-4515064</w:t>
            </w:r>
          </w:p>
        </w:tc>
      </w:tr>
      <w:tr w14:paraId="20787B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vAlign w:val="center"/>
          </w:tcPr>
          <w:p w14:paraId="26A2EE1E">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15</w:t>
            </w:r>
          </w:p>
        </w:tc>
        <w:tc>
          <w:tcPr>
            <w:tcW w:w="5021" w:type="dxa"/>
            <w:tcBorders>
              <w:top w:val="single" w:color="auto" w:sz="8" w:space="0"/>
              <w:left w:val="single" w:color="auto" w:sz="8" w:space="0"/>
              <w:bottom w:val="single" w:color="auto" w:sz="8" w:space="0"/>
              <w:right w:val="single" w:color="auto" w:sz="8" w:space="0"/>
            </w:tcBorders>
            <w:vAlign w:val="center"/>
          </w:tcPr>
          <w:p w14:paraId="5395ABF8">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消防二十一中队</w:t>
            </w:r>
          </w:p>
        </w:tc>
        <w:tc>
          <w:tcPr>
            <w:tcW w:w="3228" w:type="dxa"/>
            <w:tcBorders>
              <w:top w:val="single" w:color="auto" w:sz="8" w:space="0"/>
              <w:left w:val="single" w:color="auto" w:sz="8" w:space="0"/>
              <w:bottom w:val="single" w:color="auto" w:sz="8" w:space="0"/>
              <w:right w:val="single" w:color="auto" w:sz="8" w:space="0"/>
            </w:tcBorders>
            <w:vAlign w:val="center"/>
          </w:tcPr>
          <w:p w14:paraId="2FF33657">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0459-4515693</w:t>
            </w:r>
          </w:p>
        </w:tc>
      </w:tr>
      <w:tr w14:paraId="7C02810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vAlign w:val="center"/>
          </w:tcPr>
          <w:p w14:paraId="49138F35">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16</w:t>
            </w:r>
          </w:p>
        </w:tc>
        <w:tc>
          <w:tcPr>
            <w:tcW w:w="5021" w:type="dxa"/>
            <w:tcBorders>
              <w:top w:val="single" w:color="auto" w:sz="8" w:space="0"/>
              <w:left w:val="single" w:color="auto" w:sz="8" w:space="0"/>
              <w:bottom w:val="single" w:color="auto" w:sz="8" w:space="0"/>
              <w:right w:val="single" w:color="auto" w:sz="8" w:space="0"/>
            </w:tcBorders>
            <w:vAlign w:val="center"/>
          </w:tcPr>
          <w:p w14:paraId="0E69C6CA">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消防十七中队</w:t>
            </w:r>
          </w:p>
        </w:tc>
        <w:tc>
          <w:tcPr>
            <w:tcW w:w="3228" w:type="dxa"/>
            <w:tcBorders>
              <w:top w:val="single" w:color="auto" w:sz="8" w:space="0"/>
              <w:left w:val="single" w:color="auto" w:sz="8" w:space="0"/>
              <w:bottom w:val="single" w:color="auto" w:sz="8" w:space="0"/>
              <w:right w:val="single" w:color="auto" w:sz="8" w:space="0"/>
            </w:tcBorders>
            <w:vAlign w:val="center"/>
          </w:tcPr>
          <w:p w14:paraId="0AFBE164">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0459-4512699</w:t>
            </w:r>
          </w:p>
        </w:tc>
      </w:tr>
      <w:tr w14:paraId="26792A8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vAlign w:val="center"/>
          </w:tcPr>
          <w:p w14:paraId="071D0998">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17</w:t>
            </w:r>
          </w:p>
        </w:tc>
        <w:tc>
          <w:tcPr>
            <w:tcW w:w="5021" w:type="dxa"/>
            <w:tcBorders>
              <w:top w:val="single" w:color="auto" w:sz="8" w:space="0"/>
              <w:left w:val="single" w:color="auto" w:sz="8" w:space="0"/>
              <w:bottom w:val="single" w:color="auto" w:sz="8" w:space="0"/>
              <w:right w:val="single" w:color="auto" w:sz="8" w:space="0"/>
            </w:tcBorders>
            <w:vAlign w:val="center"/>
          </w:tcPr>
          <w:p w14:paraId="0005BF19">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康泰医院</w:t>
            </w:r>
          </w:p>
        </w:tc>
        <w:tc>
          <w:tcPr>
            <w:tcW w:w="3228" w:type="dxa"/>
            <w:tcBorders>
              <w:top w:val="single" w:color="auto" w:sz="8" w:space="0"/>
              <w:left w:val="single" w:color="auto" w:sz="8" w:space="0"/>
              <w:bottom w:val="single" w:color="auto" w:sz="8" w:space="0"/>
              <w:right w:val="single" w:color="auto" w:sz="8" w:space="0"/>
            </w:tcBorders>
            <w:vAlign w:val="center"/>
          </w:tcPr>
          <w:p w14:paraId="7780E25E">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0459-4513274</w:t>
            </w:r>
          </w:p>
        </w:tc>
      </w:tr>
      <w:tr w14:paraId="511D54E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vAlign w:val="center"/>
          </w:tcPr>
          <w:p w14:paraId="11609652">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18</w:t>
            </w:r>
          </w:p>
        </w:tc>
        <w:tc>
          <w:tcPr>
            <w:tcW w:w="5021" w:type="dxa"/>
            <w:tcBorders>
              <w:top w:val="single" w:color="auto" w:sz="8" w:space="0"/>
              <w:left w:val="single" w:color="auto" w:sz="8" w:space="0"/>
              <w:bottom w:val="single" w:color="auto" w:sz="8" w:space="0"/>
              <w:right w:val="single" w:color="auto" w:sz="8" w:space="0"/>
            </w:tcBorders>
            <w:vAlign w:val="center"/>
          </w:tcPr>
          <w:p w14:paraId="41737A24">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大庆油田总医院</w:t>
            </w:r>
          </w:p>
        </w:tc>
        <w:tc>
          <w:tcPr>
            <w:tcW w:w="3228" w:type="dxa"/>
            <w:tcBorders>
              <w:top w:val="single" w:color="auto" w:sz="8" w:space="0"/>
              <w:left w:val="single" w:color="auto" w:sz="8" w:space="0"/>
              <w:bottom w:val="single" w:color="auto" w:sz="8" w:space="0"/>
              <w:right w:val="single" w:color="auto" w:sz="8" w:space="0"/>
            </w:tcBorders>
            <w:vAlign w:val="center"/>
          </w:tcPr>
          <w:p w14:paraId="06219352">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0459-5805068</w:t>
            </w:r>
          </w:p>
        </w:tc>
      </w:tr>
      <w:tr w14:paraId="685E0F9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vAlign w:val="center"/>
          </w:tcPr>
          <w:p w14:paraId="6D4F10E2">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19</w:t>
            </w:r>
          </w:p>
        </w:tc>
        <w:tc>
          <w:tcPr>
            <w:tcW w:w="5021" w:type="dxa"/>
            <w:tcBorders>
              <w:top w:val="single" w:color="auto" w:sz="8" w:space="0"/>
              <w:left w:val="single" w:color="auto" w:sz="8" w:space="0"/>
              <w:bottom w:val="single" w:color="auto" w:sz="8" w:space="0"/>
              <w:right w:val="single" w:color="auto" w:sz="8" w:space="0"/>
            </w:tcBorders>
            <w:vAlign w:val="center"/>
          </w:tcPr>
          <w:p w14:paraId="0D47AEAF">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龙南医院</w:t>
            </w:r>
          </w:p>
        </w:tc>
        <w:tc>
          <w:tcPr>
            <w:tcW w:w="3228" w:type="dxa"/>
            <w:tcBorders>
              <w:top w:val="single" w:color="auto" w:sz="8" w:space="0"/>
              <w:left w:val="single" w:color="auto" w:sz="8" w:space="0"/>
              <w:bottom w:val="single" w:color="auto" w:sz="8" w:space="0"/>
              <w:right w:val="single" w:color="auto" w:sz="8" w:space="0"/>
            </w:tcBorders>
            <w:vAlign w:val="center"/>
          </w:tcPr>
          <w:p w14:paraId="1205175D">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0459-5910111</w:t>
            </w:r>
          </w:p>
        </w:tc>
      </w:tr>
      <w:tr w14:paraId="53602EA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vAlign w:val="center"/>
          </w:tcPr>
          <w:p w14:paraId="7B882422">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20</w:t>
            </w:r>
          </w:p>
        </w:tc>
        <w:tc>
          <w:tcPr>
            <w:tcW w:w="5021" w:type="dxa"/>
            <w:tcBorders>
              <w:top w:val="single" w:color="auto" w:sz="8" w:space="0"/>
              <w:left w:val="single" w:color="auto" w:sz="8" w:space="0"/>
              <w:bottom w:val="single" w:color="auto" w:sz="8" w:space="0"/>
              <w:right w:val="single" w:color="auto" w:sz="8" w:space="0"/>
            </w:tcBorders>
            <w:vAlign w:val="center"/>
          </w:tcPr>
          <w:p w14:paraId="30DF3339">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高平派出所</w:t>
            </w:r>
          </w:p>
        </w:tc>
        <w:tc>
          <w:tcPr>
            <w:tcW w:w="3228" w:type="dxa"/>
            <w:tcBorders>
              <w:top w:val="single" w:color="auto" w:sz="8" w:space="0"/>
              <w:left w:val="single" w:color="auto" w:sz="8" w:space="0"/>
              <w:bottom w:val="single" w:color="auto" w:sz="8" w:space="0"/>
              <w:right w:val="single" w:color="auto" w:sz="8" w:space="0"/>
            </w:tcBorders>
            <w:vAlign w:val="center"/>
          </w:tcPr>
          <w:p w14:paraId="7DBCE9BF">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0459-4511574</w:t>
            </w:r>
          </w:p>
        </w:tc>
      </w:tr>
      <w:tr w14:paraId="6467304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vAlign w:val="center"/>
          </w:tcPr>
          <w:p w14:paraId="2BE9EC92">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21</w:t>
            </w:r>
          </w:p>
        </w:tc>
        <w:tc>
          <w:tcPr>
            <w:tcW w:w="5021" w:type="dxa"/>
            <w:tcBorders>
              <w:top w:val="single" w:color="auto" w:sz="8" w:space="0"/>
              <w:left w:val="single" w:color="auto" w:sz="8" w:space="0"/>
              <w:bottom w:val="single" w:color="auto" w:sz="8" w:space="0"/>
              <w:right w:val="single" w:color="auto" w:sz="8" w:space="0"/>
            </w:tcBorders>
            <w:vAlign w:val="center"/>
          </w:tcPr>
          <w:p w14:paraId="48257036">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大庆市应急管理局</w:t>
            </w:r>
          </w:p>
        </w:tc>
        <w:tc>
          <w:tcPr>
            <w:tcW w:w="3228" w:type="dxa"/>
            <w:tcBorders>
              <w:top w:val="single" w:color="auto" w:sz="8" w:space="0"/>
              <w:left w:val="single" w:color="auto" w:sz="8" w:space="0"/>
              <w:bottom w:val="single" w:color="auto" w:sz="8" w:space="0"/>
              <w:right w:val="single" w:color="auto" w:sz="8" w:space="0"/>
            </w:tcBorders>
            <w:vAlign w:val="center"/>
          </w:tcPr>
          <w:p w14:paraId="5F4E92EB">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0459-6363781</w:t>
            </w:r>
          </w:p>
        </w:tc>
      </w:tr>
      <w:tr w14:paraId="6CC0A6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vAlign w:val="center"/>
          </w:tcPr>
          <w:p w14:paraId="65B373F2">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22</w:t>
            </w:r>
          </w:p>
        </w:tc>
        <w:tc>
          <w:tcPr>
            <w:tcW w:w="5021" w:type="dxa"/>
            <w:tcBorders>
              <w:top w:val="single" w:color="auto" w:sz="8" w:space="0"/>
              <w:left w:val="single" w:color="auto" w:sz="8" w:space="0"/>
              <w:bottom w:val="single" w:color="auto" w:sz="8" w:space="0"/>
              <w:right w:val="single" w:color="auto" w:sz="8" w:space="0"/>
            </w:tcBorders>
            <w:vAlign w:val="center"/>
          </w:tcPr>
          <w:p w14:paraId="3074038D">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安达市应急管理局</w:t>
            </w:r>
          </w:p>
        </w:tc>
        <w:tc>
          <w:tcPr>
            <w:tcW w:w="3228" w:type="dxa"/>
            <w:tcBorders>
              <w:top w:val="single" w:color="auto" w:sz="8" w:space="0"/>
              <w:left w:val="single" w:color="auto" w:sz="8" w:space="0"/>
              <w:bottom w:val="single" w:color="auto" w:sz="8" w:space="0"/>
              <w:right w:val="single" w:color="auto" w:sz="8" w:space="0"/>
            </w:tcBorders>
            <w:vAlign w:val="center"/>
          </w:tcPr>
          <w:p w14:paraId="6DB8FCA1">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0455-8139331</w:t>
            </w:r>
          </w:p>
        </w:tc>
      </w:tr>
      <w:tr w14:paraId="3DDD187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vAlign w:val="center"/>
          </w:tcPr>
          <w:p w14:paraId="35BF3EB5">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23</w:t>
            </w:r>
          </w:p>
        </w:tc>
        <w:tc>
          <w:tcPr>
            <w:tcW w:w="5021" w:type="dxa"/>
            <w:tcBorders>
              <w:top w:val="single" w:color="auto" w:sz="8" w:space="0"/>
              <w:left w:val="single" w:color="auto" w:sz="8" w:space="0"/>
              <w:bottom w:val="single" w:color="auto" w:sz="8" w:space="0"/>
              <w:right w:val="single" w:color="auto" w:sz="8" w:space="0"/>
            </w:tcBorders>
            <w:vAlign w:val="center"/>
          </w:tcPr>
          <w:p w14:paraId="04D57C00">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肇东市应急管理局</w:t>
            </w:r>
          </w:p>
        </w:tc>
        <w:tc>
          <w:tcPr>
            <w:tcW w:w="3228" w:type="dxa"/>
            <w:tcBorders>
              <w:top w:val="single" w:color="auto" w:sz="8" w:space="0"/>
              <w:left w:val="single" w:color="auto" w:sz="8" w:space="0"/>
              <w:bottom w:val="single" w:color="auto" w:sz="8" w:space="0"/>
              <w:right w:val="single" w:color="auto" w:sz="8" w:space="0"/>
            </w:tcBorders>
            <w:vAlign w:val="center"/>
          </w:tcPr>
          <w:p w14:paraId="0D02C21A">
            <w:pPr>
              <w:widowControl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0455-7900022</w:t>
            </w:r>
          </w:p>
        </w:tc>
      </w:tr>
    </w:tbl>
    <w:p w14:paraId="66006FD6">
      <w:pPr>
        <w:pStyle w:val="47"/>
        <w:spacing w:after="0" w:line="440" w:lineRule="exact"/>
        <w:ind w:left="0" w:leftChars="0" w:firstLine="474" w:firstLineChars="200"/>
        <w:rPr>
          <w:rFonts w:eastAsiaTheme="minorEastAsia"/>
          <w:bCs/>
          <w:color w:val="auto"/>
          <w:w w:val="99"/>
          <w:sz w:val="24"/>
          <w:highlight w:val="none"/>
        </w:rPr>
      </w:pPr>
      <w:r>
        <w:rPr>
          <w:rFonts w:eastAsiaTheme="minorEastAsia"/>
          <w:bCs/>
          <w:color w:val="auto"/>
          <w:w w:val="99"/>
          <w:sz w:val="24"/>
          <w:highlight w:val="none"/>
        </w:rPr>
        <w:t>由前述分析可知以上提出的各项环境保护措施是切实有效的，同时工程对油田生产全过程采取环境保护管理措施和技术措施，有效的预防和减缓本次产能建设可能带来的不良环境影响。</w:t>
      </w:r>
    </w:p>
    <w:p w14:paraId="39CF4015">
      <w:pPr>
        <w:pStyle w:val="7"/>
        <w:widowControl w:val="0"/>
        <w:spacing w:before="60" w:after="60" w:line="440" w:lineRule="exact"/>
        <w:jc w:val="both"/>
        <w:rPr>
          <w:rFonts w:eastAsiaTheme="minorEastAsia"/>
          <w:b/>
          <w:color w:val="auto"/>
          <w:w w:val="99"/>
          <w:kern w:val="2"/>
          <w:sz w:val="24"/>
          <w:szCs w:val="24"/>
          <w:highlight w:val="none"/>
        </w:rPr>
      </w:pPr>
      <w:bookmarkStart w:id="1096" w:name="_Toc143099671"/>
      <w:bookmarkStart w:id="1097" w:name="_Toc126863483"/>
      <w:bookmarkStart w:id="1098" w:name="_Toc86142026"/>
      <w:bookmarkStart w:id="1099" w:name="_Toc85640851"/>
      <w:bookmarkStart w:id="1100" w:name="_Toc186444384"/>
      <w:bookmarkStart w:id="1101" w:name="_Toc84929327"/>
      <w:bookmarkStart w:id="1102" w:name="_Toc131167384"/>
      <w:bookmarkStart w:id="1103" w:name="_Toc127192432"/>
      <w:r>
        <w:rPr>
          <w:rFonts w:eastAsiaTheme="minorEastAsia"/>
          <w:b/>
          <w:color w:val="auto"/>
          <w:w w:val="99"/>
          <w:kern w:val="2"/>
          <w:sz w:val="24"/>
          <w:szCs w:val="24"/>
          <w:highlight w:val="none"/>
        </w:rPr>
        <w:t>6.1.8土壤保护措施</w:t>
      </w:r>
      <w:bookmarkEnd w:id="1096"/>
      <w:bookmarkEnd w:id="1097"/>
      <w:bookmarkEnd w:id="1098"/>
      <w:bookmarkEnd w:id="1099"/>
      <w:bookmarkEnd w:id="1100"/>
      <w:bookmarkEnd w:id="1101"/>
      <w:bookmarkEnd w:id="1102"/>
      <w:bookmarkEnd w:id="1103"/>
    </w:p>
    <w:p w14:paraId="5EDA2936">
      <w:pPr>
        <w:widowControl w:val="0"/>
        <w:spacing w:line="440" w:lineRule="exact"/>
        <w:jc w:val="both"/>
        <w:outlineLvl w:val="3"/>
        <w:rPr>
          <w:rFonts w:ascii="Times New Roman" w:hAnsi="Times New Roman" w:cs="Times New Roman" w:eastAsiaTheme="minorEastAsia"/>
          <w:b/>
          <w:color w:val="auto"/>
          <w:w w:val="99"/>
          <w:szCs w:val="20"/>
          <w:highlight w:val="none"/>
        </w:rPr>
      </w:pPr>
      <w:r>
        <w:rPr>
          <w:rFonts w:ascii="Times New Roman" w:hAnsi="Times New Roman" w:cs="Times New Roman" w:eastAsiaTheme="minorEastAsia"/>
          <w:b/>
          <w:color w:val="auto"/>
          <w:w w:val="99"/>
          <w:szCs w:val="20"/>
          <w:highlight w:val="none"/>
        </w:rPr>
        <w:t>6.1.8.1施工期土壤污染防治措施</w:t>
      </w:r>
    </w:p>
    <w:p w14:paraId="726BF6AC">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（1）加强施工中的环境管理，控制和消除土壤污染源。严禁随意倾倒污水、随意堆放固体废物，防止因“三废”处理不合理或处置措施不当对土壤造成污染；</w:t>
      </w:r>
    </w:p>
    <w:p w14:paraId="32E32091">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（2）井场布置必须遵守《大庆油田开发建设用地标准》规定，严格控制施工作业面积，以减少地表植被和土壤的破坏；</w:t>
      </w:r>
    </w:p>
    <w:p w14:paraId="4E652CB9">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（3）充分利用现有道路，尽量不再开辟新的临时通道；</w:t>
      </w:r>
    </w:p>
    <w:p w14:paraId="1A718B14">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4）对于临时占地，在对土壤进行开挖施工时要采取措施降低土壤风蚀，减少水土流失：对土壤要分层开挖、分别堆放，按原土层回填（先填心土，后覆盖表土）平埋方式（不起土坝）进行，以便其尽快恢复植被生长；</w:t>
      </w:r>
    </w:p>
    <w:p w14:paraId="10F137E4">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（5）加强管理，杜绝钻井泥浆跑冒滴漏，施工井场采取分区防渗措施，杜绝污染物泄漏对土壤造成影响；</w:t>
      </w:r>
    </w:p>
    <w:p w14:paraId="10F9CD18">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（6）加强管理，提高职工的环境保护意识，规范施工人员行为，严禁随意践踏、碾压施工区范围之外的植被。</w:t>
      </w:r>
    </w:p>
    <w:p w14:paraId="5A3DCC16">
      <w:pPr>
        <w:widowControl w:val="0"/>
        <w:spacing w:line="440" w:lineRule="exact"/>
        <w:jc w:val="both"/>
        <w:outlineLvl w:val="3"/>
        <w:rPr>
          <w:rFonts w:ascii="Times New Roman" w:hAnsi="Times New Roman" w:cs="Times New Roman" w:eastAsiaTheme="minorEastAsia"/>
          <w:b/>
          <w:color w:val="auto"/>
          <w:w w:val="99"/>
          <w:szCs w:val="20"/>
          <w:highlight w:val="none"/>
        </w:rPr>
      </w:pPr>
      <w:r>
        <w:rPr>
          <w:rFonts w:ascii="Times New Roman" w:hAnsi="Times New Roman" w:cs="Times New Roman" w:eastAsiaTheme="minorEastAsia"/>
          <w:b/>
          <w:color w:val="auto"/>
          <w:w w:val="99"/>
          <w:szCs w:val="20"/>
          <w:highlight w:val="none"/>
        </w:rPr>
        <w:t>6.1.8.2运营期土壤污染防治措施</w:t>
      </w:r>
    </w:p>
    <w:p w14:paraId="0FCB54F1">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针对工程可能发生的土壤污染，按照“源头控制、末端防治、污染监控、应急响应”相结合的原则，从污染物的产生、入渗、扩散、应急响应全阶段进行控制</w:t>
      </w:r>
      <w:r>
        <w:rPr>
          <w:rFonts w:ascii="Times New Roman" w:hAnsi="Times New Roman" w:cs="Times New Roman"/>
          <w:color w:val="auto"/>
          <w:w w:val="99"/>
          <w:highlight w:val="none"/>
          <w:lang w:bidi="zh-CN"/>
        </w:rPr>
        <w:t>。</w:t>
      </w:r>
    </w:p>
    <w:p w14:paraId="06865914">
      <w:pPr>
        <w:pStyle w:val="3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（1）源头控制措施</w:t>
      </w:r>
    </w:p>
    <w:p w14:paraId="6B13F83B">
      <w:pPr>
        <w:pStyle w:val="3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主要包括在井场、采气管道的工艺、设备等构筑物定期进行检测，提高管线的抗腐蚀能力，防止和降低污染物跑、冒、滴、漏，同时，将污染物泄漏的环境风险事故降到最低程度。</w:t>
      </w:r>
    </w:p>
    <w:p w14:paraId="7826D076">
      <w:pPr>
        <w:pStyle w:val="3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（2）过程控制措施</w:t>
      </w:r>
    </w:p>
    <w:p w14:paraId="041847C4">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lang w:bidi="zh-CN"/>
        </w:rPr>
        <w:t>对集输管线定期进行检测，防止腐蚀穿孔引起油水泄漏污染环境，同时对位于土壤腐蚀性较强的低洼地带，采用玻璃钢外防腐钢制管道，以延长埋地管道使用寿命；</w:t>
      </w:r>
      <w:r>
        <w:rPr>
          <w:rFonts w:ascii="Times New Roman" w:hAnsi="Times New Roman" w:cs="Times New Roman"/>
          <w:bCs/>
          <w:color w:val="auto"/>
          <w:w w:val="99"/>
          <w:highlight w:val="none"/>
          <w:lang w:bidi="zh-CN"/>
        </w:rPr>
        <w:t>井场永久占地采用地面夯实碾压平整处理</w:t>
      </w:r>
      <w:r>
        <w:rPr>
          <w:rFonts w:ascii="Times New Roman" w:hAnsi="Times New Roman" w:cs="Times New Roman"/>
          <w:color w:val="auto"/>
          <w:w w:val="99"/>
          <w:highlight w:val="none"/>
          <w:lang w:bidi="zh-CN"/>
        </w:rPr>
        <w:t>。同时企业在管理方面严加管理，并采取相应的防渗措施可有效防止管线和站场贮存设施发生</w:t>
      </w:r>
      <w:r>
        <w:rPr>
          <w:rFonts w:hint="eastAsia" w:ascii="Times New Roman" w:hAnsi="Times New Roman" w:cs="Times New Roman"/>
          <w:color w:val="auto"/>
          <w:w w:val="99"/>
          <w:highlight w:val="none"/>
          <w:lang w:bidi="zh-CN"/>
        </w:rPr>
        <w:t>含烃</w:t>
      </w:r>
      <w:r>
        <w:rPr>
          <w:rFonts w:ascii="Times New Roman" w:hAnsi="Times New Roman" w:cs="Times New Roman"/>
          <w:color w:val="auto"/>
          <w:w w:val="99"/>
          <w:highlight w:val="none"/>
          <w:lang w:bidi="zh-CN"/>
        </w:rPr>
        <w:t>污水泄漏事故造成对区域土壤环境的污染。</w:t>
      </w:r>
    </w:p>
    <w:p w14:paraId="3285D849">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（3）末端控制措施</w:t>
      </w:r>
    </w:p>
    <w:p w14:paraId="53C73731">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主要包括井场污染区地面的防渗措施和泄漏、渗漏污染物收集措施，即在污染区地面进行防渗处理，防止洒落地面的污染物渗入地下，并把滞留在地面的污染物收集起来集中处理；末端控制采取分区防渗原则。</w:t>
      </w:r>
    </w:p>
    <w:p w14:paraId="1C9D485E">
      <w:pPr>
        <w:pStyle w:val="3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（4）应急响应措施</w:t>
      </w:r>
    </w:p>
    <w:p w14:paraId="58EDF166">
      <w:pPr>
        <w:pStyle w:val="3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包括一旦发现土壤污染事故，立即采取应急措施控制土壤、地下水污染，并使污染得到治理。</w:t>
      </w:r>
    </w:p>
    <w:p w14:paraId="3B52B92F">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（5）污染监控体系</w:t>
      </w:r>
    </w:p>
    <w:p w14:paraId="6F9725D3">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为了及时了解项目场区及周边土壤环境质量状况和土壤中污染物的动态变化，根据《环境影响评价技术导则 土壤环境（试行）》（HJ964-2018）、《排污单位自行监测技术指南 陆上石油天然气开采工业》（HJ1248-2022）、《工业企业土壤和地下水自行监测技术指南（试行）》（HJ 1209-2021）相关要求，本项目拟制定土壤环境跟踪监测措施，包括制定跟踪监测计划，科学、合理地设置土壤监测点位，建立完善的跟踪监测制度，配备必要的取样设备，以便及时发现并有效控制。</w:t>
      </w:r>
    </w:p>
    <w:p w14:paraId="1493031F">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根据土壤环境影响分析结果，定期对重点影响区及土壤环境敏感点附近土壤环境进行监测，监测委托具有资质的单位进行，监测报告应存档，同时对监测结果进行信息公开。根据项目分布情况、现状监测布点情况和土壤类型分布情况，布置土壤监测点位</w:t>
      </w:r>
      <w:r>
        <w:rPr>
          <w:rFonts w:hint="eastAsia" w:ascii="Times New Roman" w:hAnsi="Times New Roman" w:cs="Times New Roman"/>
          <w:color w:val="auto"/>
          <w:w w:val="99"/>
          <w:highlight w:val="none"/>
        </w:rPr>
        <w:t>2</w:t>
      </w:r>
      <w:r>
        <w:rPr>
          <w:rFonts w:ascii="Times New Roman" w:hAnsi="Times New Roman" w:cs="Times New Roman"/>
          <w:color w:val="auto"/>
          <w:w w:val="99"/>
          <w:highlight w:val="none"/>
        </w:rPr>
        <w:t>个。跟踪监测计划见表6.1-</w:t>
      </w:r>
      <w:r>
        <w:rPr>
          <w:rFonts w:hint="eastAsia" w:ascii="Times New Roman" w:hAnsi="Times New Roman" w:cs="Times New Roman"/>
          <w:color w:val="auto"/>
          <w:w w:val="99"/>
          <w:highlight w:val="none"/>
        </w:rPr>
        <w:t>7</w:t>
      </w:r>
      <w:r>
        <w:rPr>
          <w:rFonts w:ascii="Times New Roman" w:hAnsi="Times New Roman" w:cs="Times New Roman"/>
          <w:color w:val="auto"/>
          <w:w w:val="99"/>
          <w:highlight w:val="none"/>
        </w:rPr>
        <w:t>，土壤跟踪监测布点图见附图</w:t>
      </w:r>
      <w:r>
        <w:rPr>
          <w:rFonts w:hint="eastAsia" w:ascii="Times New Roman" w:hAnsi="Times New Roman" w:cs="Times New Roman"/>
          <w:color w:val="auto"/>
          <w:w w:val="99"/>
          <w:highlight w:val="none"/>
        </w:rPr>
        <w:t>10</w:t>
      </w:r>
      <w:r>
        <w:rPr>
          <w:rFonts w:ascii="Times New Roman" w:hAnsi="Times New Roman" w:cs="Times New Roman"/>
          <w:color w:val="auto"/>
          <w:w w:val="99"/>
          <w:highlight w:val="none"/>
        </w:rPr>
        <w:t>。</w:t>
      </w:r>
    </w:p>
    <w:p w14:paraId="66EB6C4A">
      <w:pPr>
        <w:widowControl w:val="0"/>
        <w:tabs>
          <w:tab w:val="left" w:pos="1300"/>
        </w:tabs>
        <w:spacing w:line="440" w:lineRule="exact"/>
        <w:ind w:firstLine="476"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b/>
          <w:color w:val="auto"/>
          <w:w w:val="99"/>
          <w:kern w:val="21"/>
          <w:highlight w:val="none"/>
        </w:rPr>
        <w:t>表6.1-</w:t>
      </w:r>
      <w:r>
        <w:rPr>
          <w:rFonts w:hint="eastAsia" w:ascii="Times New Roman" w:hAnsi="Times New Roman" w:cs="Times New Roman" w:eastAsiaTheme="minorEastAsia"/>
          <w:b/>
          <w:color w:val="auto"/>
          <w:w w:val="99"/>
          <w:kern w:val="21"/>
          <w:highlight w:val="none"/>
        </w:rPr>
        <w:t>7</w:t>
      </w:r>
      <w:r>
        <w:rPr>
          <w:rFonts w:ascii="Times New Roman" w:hAnsi="Times New Roman" w:cs="Times New Roman" w:eastAsiaTheme="minorEastAsia"/>
          <w:b/>
          <w:color w:val="auto"/>
          <w:w w:val="99"/>
          <w:kern w:val="21"/>
          <w:highlight w:val="none"/>
        </w:rPr>
        <w:t xml:space="preserve">    </w:t>
      </w:r>
      <w:r>
        <w:rPr>
          <w:rFonts w:ascii="Times New Roman" w:hAnsi="Times New Roman" w:cs="Times New Roman"/>
          <w:b/>
          <w:color w:val="auto"/>
          <w:w w:val="99"/>
          <w:kern w:val="2"/>
          <w:highlight w:val="none"/>
        </w:rPr>
        <w:t>土壤环境</w:t>
      </w:r>
      <w:r>
        <w:rPr>
          <w:rFonts w:ascii="Times New Roman" w:hAnsi="Times New Roman" w:cs="Times New Roman" w:eastAsiaTheme="minorEastAsia"/>
          <w:b/>
          <w:color w:val="auto"/>
          <w:w w:val="99"/>
          <w:kern w:val="21"/>
          <w:highlight w:val="none"/>
        </w:rPr>
        <w:t>跟踪监测计划表</w:t>
      </w:r>
    </w:p>
    <w:tbl>
      <w:tblPr>
        <w:tblStyle w:val="8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8"/>
        <w:gridCol w:w="1527"/>
        <w:gridCol w:w="1308"/>
        <w:gridCol w:w="1889"/>
        <w:gridCol w:w="1161"/>
        <w:gridCol w:w="2754"/>
      </w:tblGrid>
      <w:tr w14:paraId="200B6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48" w:type="pct"/>
            <w:vAlign w:val="center"/>
          </w:tcPr>
          <w:p w14:paraId="70A63D47">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点位</w:t>
            </w:r>
          </w:p>
        </w:tc>
        <w:tc>
          <w:tcPr>
            <w:tcW w:w="822" w:type="pct"/>
            <w:vAlign w:val="center"/>
          </w:tcPr>
          <w:p w14:paraId="3489CA4D">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位置</w:t>
            </w:r>
          </w:p>
        </w:tc>
        <w:tc>
          <w:tcPr>
            <w:tcW w:w="704" w:type="pct"/>
            <w:vAlign w:val="center"/>
          </w:tcPr>
          <w:p w14:paraId="2522A90B">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坐标</w:t>
            </w:r>
          </w:p>
        </w:tc>
        <w:tc>
          <w:tcPr>
            <w:tcW w:w="1017" w:type="pct"/>
            <w:vAlign w:val="center"/>
          </w:tcPr>
          <w:p w14:paraId="3DBBBFE5">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监测因子</w:t>
            </w:r>
          </w:p>
        </w:tc>
        <w:tc>
          <w:tcPr>
            <w:tcW w:w="625" w:type="pct"/>
            <w:vAlign w:val="center"/>
          </w:tcPr>
          <w:p w14:paraId="66BD972B">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监测频次</w:t>
            </w:r>
          </w:p>
        </w:tc>
        <w:tc>
          <w:tcPr>
            <w:tcW w:w="1482" w:type="pct"/>
            <w:vAlign w:val="center"/>
          </w:tcPr>
          <w:p w14:paraId="125D4ACE">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执行标准</w:t>
            </w:r>
          </w:p>
        </w:tc>
      </w:tr>
      <w:tr w14:paraId="6E060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5" w:hRule="atLeast"/>
          <w:jc w:val="center"/>
        </w:trPr>
        <w:tc>
          <w:tcPr>
            <w:tcW w:w="348" w:type="pct"/>
            <w:vAlign w:val="center"/>
          </w:tcPr>
          <w:p w14:paraId="71CD7A7E">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p>
        </w:tc>
        <w:tc>
          <w:tcPr>
            <w:tcW w:w="822" w:type="pct"/>
            <w:vAlign w:val="center"/>
          </w:tcPr>
          <w:p w14:paraId="72E11E3E">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bCs/>
                <w:color w:val="auto"/>
                <w:w w:val="99"/>
                <w:kern w:val="2"/>
                <w:sz w:val="21"/>
                <w:szCs w:val="21"/>
                <w:highlight w:val="none"/>
              </w:rPr>
              <w:t>徐深27-H1井</w:t>
            </w:r>
            <w:r>
              <w:rPr>
                <w:rFonts w:ascii="Times New Roman" w:hAnsi="Times New Roman" w:cs="Times New Roman" w:eastAsiaTheme="minorEastAsia"/>
                <w:bCs/>
                <w:color w:val="auto"/>
                <w:w w:val="99"/>
                <w:kern w:val="2"/>
                <w:sz w:val="21"/>
                <w:szCs w:val="21"/>
                <w:highlight w:val="none"/>
              </w:rPr>
              <w:t>井场</w:t>
            </w:r>
          </w:p>
        </w:tc>
        <w:tc>
          <w:tcPr>
            <w:tcW w:w="704" w:type="pct"/>
            <w:vAlign w:val="center"/>
          </w:tcPr>
          <w:p w14:paraId="41523512">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125.50852，45.89313</w:t>
            </w:r>
          </w:p>
        </w:tc>
        <w:tc>
          <w:tcPr>
            <w:tcW w:w="1017" w:type="pct"/>
            <w:vMerge w:val="restart"/>
            <w:vAlign w:val="center"/>
          </w:tcPr>
          <w:p w14:paraId="09CAD9D2">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pH、石油类、石油烃（C</w:t>
            </w:r>
            <w:r>
              <w:rPr>
                <w:rFonts w:ascii="Times New Roman" w:hAnsi="Times New Roman" w:cs="Times New Roman" w:eastAsiaTheme="minorEastAsia"/>
                <w:color w:val="auto"/>
                <w:w w:val="99"/>
                <w:sz w:val="21"/>
                <w:szCs w:val="21"/>
                <w:highlight w:val="none"/>
                <w:vertAlign w:val="subscript"/>
              </w:rPr>
              <w:t>6</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9</w:t>
            </w: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10</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40</w:t>
            </w:r>
            <w:r>
              <w:rPr>
                <w:rFonts w:ascii="Times New Roman" w:hAnsi="Times New Roman" w:cs="Times New Roman" w:eastAsiaTheme="minorEastAsia"/>
                <w:color w:val="auto"/>
                <w:w w:val="99"/>
                <w:sz w:val="21"/>
                <w:szCs w:val="21"/>
                <w:highlight w:val="none"/>
              </w:rPr>
              <w:t>）、砷、六价铬</w:t>
            </w:r>
          </w:p>
        </w:tc>
        <w:tc>
          <w:tcPr>
            <w:tcW w:w="625" w:type="pct"/>
            <w:vMerge w:val="restart"/>
            <w:vAlign w:val="center"/>
          </w:tcPr>
          <w:p w14:paraId="4612FE71">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1次/</w:t>
            </w:r>
            <w:r>
              <w:rPr>
                <w:rFonts w:hint="eastAsia" w:ascii="Times New Roman" w:hAnsi="Times New Roman" w:cs="Times New Roman" w:eastAsiaTheme="minorEastAsia"/>
                <w:color w:val="auto"/>
                <w:w w:val="99"/>
                <w:sz w:val="21"/>
                <w:szCs w:val="21"/>
                <w:highlight w:val="none"/>
                <w:lang w:val="en-US" w:eastAsia="zh-CN"/>
              </w:rPr>
              <w:t>5</w:t>
            </w:r>
            <w:r>
              <w:rPr>
                <w:rFonts w:ascii="Times New Roman" w:hAnsi="Times New Roman" w:cs="Times New Roman" w:eastAsiaTheme="minorEastAsia"/>
                <w:color w:val="auto"/>
                <w:w w:val="99"/>
                <w:sz w:val="21"/>
                <w:szCs w:val="21"/>
                <w:highlight w:val="none"/>
              </w:rPr>
              <w:t>年</w:t>
            </w:r>
          </w:p>
        </w:tc>
        <w:tc>
          <w:tcPr>
            <w:tcW w:w="1482" w:type="pct"/>
            <w:vMerge w:val="restart"/>
            <w:vAlign w:val="center"/>
          </w:tcPr>
          <w:p w14:paraId="61B814E2">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《土壤环境质量 建设用地土壤污染风险管控标准（试行）》（GB36600-2018）表2（其他项目）中第二类用地石油烃筛选值</w:t>
            </w:r>
          </w:p>
        </w:tc>
      </w:tr>
      <w:tr w14:paraId="64AF6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48" w:type="pct"/>
            <w:vAlign w:val="center"/>
          </w:tcPr>
          <w:p w14:paraId="7873A924">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w:t>
            </w:r>
          </w:p>
        </w:tc>
        <w:tc>
          <w:tcPr>
            <w:tcW w:w="822" w:type="pct"/>
            <w:vAlign w:val="center"/>
          </w:tcPr>
          <w:p w14:paraId="082CB65A">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徐深27-H1井南侧</w:t>
            </w:r>
            <w:r>
              <w:rPr>
                <w:rFonts w:ascii="Times New Roman" w:hAnsi="Times New Roman" w:cs="Times New Roman" w:eastAsiaTheme="minorEastAsia"/>
                <w:bCs/>
                <w:color w:val="auto"/>
                <w:w w:val="99"/>
                <w:kern w:val="2"/>
                <w:sz w:val="21"/>
                <w:szCs w:val="21"/>
                <w:highlight w:val="none"/>
              </w:rPr>
              <w:t>200m耕地</w:t>
            </w:r>
          </w:p>
        </w:tc>
        <w:tc>
          <w:tcPr>
            <w:tcW w:w="704" w:type="pct"/>
            <w:vAlign w:val="center"/>
          </w:tcPr>
          <w:p w14:paraId="365C604E">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sz w:val="21"/>
                <w:szCs w:val="21"/>
                <w:highlight w:val="none"/>
              </w:rPr>
              <w:t>125.50857，45.89132</w:t>
            </w:r>
          </w:p>
        </w:tc>
        <w:tc>
          <w:tcPr>
            <w:tcW w:w="1017" w:type="pct"/>
            <w:vMerge w:val="continue"/>
            <w:vAlign w:val="center"/>
          </w:tcPr>
          <w:p w14:paraId="10E7605D">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625" w:type="pct"/>
            <w:vMerge w:val="continue"/>
            <w:vAlign w:val="center"/>
          </w:tcPr>
          <w:p w14:paraId="176882F7">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1482" w:type="pct"/>
            <w:vMerge w:val="continue"/>
            <w:vAlign w:val="center"/>
          </w:tcPr>
          <w:p w14:paraId="1F74F388">
            <w:pPr>
              <w:widowControl w:val="0"/>
              <w:spacing w:line="360" w:lineRule="exact"/>
              <w:jc w:val="center"/>
              <w:rPr>
                <w:rFonts w:ascii="Times New Roman" w:hAnsi="Times New Roman" w:cs="Times New Roman" w:eastAsiaTheme="minorEastAsia"/>
                <w:color w:val="auto"/>
                <w:w w:val="99"/>
                <w:sz w:val="21"/>
                <w:szCs w:val="21"/>
                <w:highlight w:val="none"/>
              </w:rPr>
            </w:pPr>
          </w:p>
        </w:tc>
      </w:tr>
    </w:tbl>
    <w:p w14:paraId="38CBE319">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上述监测结果应按照相关规定及时建立数据档案，并定期向社会公开监测信息。如发现异常或发生事故，需加密监测频次，确定影响源位置，分析影响结果，并及时采取应急措施。</w:t>
      </w:r>
    </w:p>
    <w:p w14:paraId="00D40FED">
      <w:pPr>
        <w:widowControl w:val="0"/>
        <w:spacing w:line="440" w:lineRule="exact"/>
        <w:jc w:val="both"/>
        <w:outlineLvl w:val="3"/>
        <w:rPr>
          <w:rFonts w:ascii="Times New Roman" w:hAnsi="Times New Roman" w:cs="Times New Roman" w:eastAsiaTheme="minorEastAsia"/>
          <w:b/>
          <w:color w:val="auto"/>
          <w:w w:val="99"/>
          <w:szCs w:val="20"/>
          <w:highlight w:val="none"/>
        </w:rPr>
      </w:pPr>
      <w:r>
        <w:rPr>
          <w:rFonts w:ascii="Times New Roman" w:hAnsi="Times New Roman" w:cs="Times New Roman" w:eastAsiaTheme="minorEastAsia"/>
          <w:b/>
          <w:color w:val="auto"/>
          <w:w w:val="99"/>
          <w:szCs w:val="20"/>
          <w:highlight w:val="none"/>
        </w:rPr>
        <w:t>6.1.8.3退役期土壤环境保护措施</w:t>
      </w:r>
    </w:p>
    <w:p w14:paraId="6273A268">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井场退役期应按照《污染地块土壤环境管理办法（试行)》的有关规定，开展土壤环境调查及风险评估，并按照相关管理规定对污染地块采取治理与修复措施。通过采取以上污染控制措施，可保证闭井后项目用地土壤满足相关标准要求，处置措施可行。</w:t>
      </w:r>
    </w:p>
    <w:p w14:paraId="092A492D">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104" w:name="_Toc7505"/>
      <w:bookmarkStart w:id="1105" w:name="_Toc173163555"/>
      <w:r>
        <w:rPr>
          <w:rFonts w:ascii="Times New Roman" w:hAnsi="Times New Roman" w:eastAsiaTheme="minorEastAsia"/>
          <w:b/>
          <w:snapToGrid w:val="0"/>
          <w:color w:val="auto"/>
          <w:w w:val="99"/>
          <w:highlight w:val="none"/>
        </w:rPr>
        <w:t>6.2“三同时”项目一览表</w:t>
      </w:r>
      <w:bookmarkEnd w:id="1104"/>
      <w:bookmarkEnd w:id="1105"/>
    </w:p>
    <w:p w14:paraId="3645F6AD">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为进一步落实本项目工程设计和环境影响评价提出的各项环保措施，确保环保工程发挥真正作用，本评价列出“三同时”项目表和竣工验收监测与调查的相关要求，具体内容见表6.2-1、表6.2-2。</w:t>
      </w:r>
    </w:p>
    <w:p w14:paraId="35150E95">
      <w:pPr>
        <w:widowControl w:val="0"/>
        <w:spacing w:line="440" w:lineRule="exact"/>
        <w:ind w:firstLine="476" w:firstLineChars="200"/>
        <w:jc w:val="both"/>
        <w:rPr>
          <w:rFonts w:ascii="Times New Roman" w:hAnsi="Times New Roman" w:cs="Times New Roman" w:eastAsiaTheme="minorEastAsia"/>
          <w:b/>
          <w:color w:val="auto"/>
          <w:w w:val="99"/>
          <w:kern w:val="21"/>
          <w:highlight w:val="none"/>
        </w:rPr>
      </w:pPr>
      <w:r>
        <w:rPr>
          <w:rFonts w:ascii="Times New Roman" w:hAnsi="Times New Roman" w:cs="Times New Roman" w:eastAsiaTheme="minorEastAsia"/>
          <w:b/>
          <w:color w:val="auto"/>
          <w:w w:val="99"/>
          <w:kern w:val="21"/>
          <w:highlight w:val="none"/>
        </w:rPr>
        <w:t xml:space="preserve">表6.2-1     </w:t>
      </w:r>
      <w:r>
        <w:rPr>
          <w:rFonts w:ascii="Times New Roman" w:hAnsi="Times New Roman" w:cs="Times New Roman"/>
          <w:b/>
          <w:color w:val="auto"/>
          <w:w w:val="99"/>
          <w:kern w:val="2"/>
          <w:highlight w:val="none"/>
        </w:rPr>
        <w:t>“三同时”</w:t>
      </w:r>
      <w:r>
        <w:rPr>
          <w:rFonts w:ascii="Times New Roman" w:hAnsi="Times New Roman" w:cs="Times New Roman" w:eastAsiaTheme="minorEastAsia"/>
          <w:b/>
          <w:color w:val="auto"/>
          <w:w w:val="99"/>
          <w:kern w:val="21"/>
          <w:highlight w:val="none"/>
        </w:rPr>
        <w:t>项目一览表</w:t>
      </w:r>
    </w:p>
    <w:tbl>
      <w:tblPr>
        <w:tblStyle w:val="1662"/>
        <w:tblW w:w="514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76"/>
        <w:gridCol w:w="746"/>
        <w:gridCol w:w="1855"/>
        <w:gridCol w:w="2712"/>
        <w:gridCol w:w="3163"/>
      </w:tblGrid>
      <w:tr w14:paraId="4301E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 w:hRule="atLeast"/>
        </w:trPr>
        <w:tc>
          <w:tcPr>
            <w:tcW w:w="1858" w:type="pct"/>
            <w:gridSpan w:val="3"/>
            <w:vAlign w:val="center"/>
          </w:tcPr>
          <w:p w14:paraId="03DD4BC4">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污染防治内容</w:t>
            </w:r>
          </w:p>
        </w:tc>
        <w:tc>
          <w:tcPr>
            <w:tcW w:w="1450" w:type="pct"/>
            <w:vAlign w:val="center"/>
          </w:tcPr>
          <w:p w14:paraId="5BB04550">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环保措施</w:t>
            </w:r>
          </w:p>
        </w:tc>
        <w:tc>
          <w:tcPr>
            <w:tcW w:w="1691" w:type="pct"/>
            <w:vAlign w:val="center"/>
          </w:tcPr>
          <w:p w14:paraId="14600739">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验收标准</w:t>
            </w:r>
          </w:p>
        </w:tc>
      </w:tr>
      <w:tr w14:paraId="23E94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468" w:type="pct"/>
            <w:vMerge w:val="restart"/>
            <w:vAlign w:val="center"/>
          </w:tcPr>
          <w:p w14:paraId="3AA9128B">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废 气</w:t>
            </w:r>
          </w:p>
        </w:tc>
        <w:tc>
          <w:tcPr>
            <w:tcW w:w="398" w:type="pct"/>
            <w:vAlign w:val="center"/>
          </w:tcPr>
          <w:p w14:paraId="03392FDF">
            <w:pPr>
              <w:pStyle w:val="2857"/>
              <w:widowControl/>
              <w:spacing w:line="360" w:lineRule="exact"/>
              <w:jc w:val="center"/>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施工期</w:t>
            </w:r>
          </w:p>
        </w:tc>
        <w:tc>
          <w:tcPr>
            <w:tcW w:w="992" w:type="pct"/>
            <w:vAlign w:val="center"/>
          </w:tcPr>
          <w:p w14:paraId="43EE3B87">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扬尘、焊接烟尘</w:t>
            </w:r>
          </w:p>
        </w:tc>
        <w:tc>
          <w:tcPr>
            <w:tcW w:w="1450" w:type="pct"/>
            <w:vAlign w:val="center"/>
          </w:tcPr>
          <w:p w14:paraId="256E88C2">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及时洒水、临时土方等加盖苫布等遮盖物</w:t>
            </w:r>
          </w:p>
        </w:tc>
        <w:tc>
          <w:tcPr>
            <w:tcW w:w="1691" w:type="pct"/>
            <w:vAlign w:val="center"/>
          </w:tcPr>
          <w:p w14:paraId="1C81355F">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施工场界执行《大气污染物综合排放标准》（GB16297-1996）颗粒物无组织排放限值：≤1.0mg/m</w:t>
            </w:r>
            <w:r>
              <w:rPr>
                <w:rFonts w:ascii="Times New Roman" w:hAnsi="Times New Roman" w:cs="Times New Roman"/>
                <w:color w:val="auto"/>
                <w:w w:val="99"/>
                <w:sz w:val="21"/>
                <w:szCs w:val="21"/>
                <w:highlight w:val="none"/>
                <w:vertAlign w:val="superscript"/>
                <w:lang w:eastAsia="zh-CN"/>
              </w:rPr>
              <w:t>3</w:t>
            </w:r>
          </w:p>
        </w:tc>
      </w:tr>
      <w:tr w14:paraId="4BCF6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65" w:hRule="atLeast"/>
        </w:trPr>
        <w:tc>
          <w:tcPr>
            <w:tcW w:w="468" w:type="pct"/>
            <w:vMerge w:val="continue"/>
            <w:textDirection w:val="tbRlV"/>
            <w:vAlign w:val="center"/>
          </w:tcPr>
          <w:p w14:paraId="4875B8A1">
            <w:pPr>
              <w:pStyle w:val="2857"/>
              <w:widowControl/>
              <w:spacing w:line="360" w:lineRule="exact"/>
              <w:jc w:val="center"/>
              <w:rPr>
                <w:rFonts w:ascii="Times New Roman" w:hAnsi="Times New Roman" w:cs="Times New Roman"/>
                <w:color w:val="auto"/>
                <w:w w:val="99"/>
                <w:sz w:val="21"/>
                <w:szCs w:val="21"/>
                <w:highlight w:val="none"/>
                <w:lang w:eastAsia="zh-CN"/>
              </w:rPr>
            </w:pPr>
          </w:p>
        </w:tc>
        <w:tc>
          <w:tcPr>
            <w:tcW w:w="398" w:type="pct"/>
            <w:vMerge w:val="restart"/>
            <w:vAlign w:val="center"/>
          </w:tcPr>
          <w:p w14:paraId="6738C570">
            <w:pPr>
              <w:pStyle w:val="2857"/>
              <w:widowControl/>
              <w:spacing w:line="360" w:lineRule="exact"/>
              <w:jc w:val="center"/>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运营期</w:t>
            </w:r>
          </w:p>
        </w:tc>
        <w:tc>
          <w:tcPr>
            <w:tcW w:w="992" w:type="pct"/>
            <w:vAlign w:val="center"/>
          </w:tcPr>
          <w:p w14:paraId="07FB486F">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燃烧烟气（SO</w:t>
            </w:r>
            <w:r>
              <w:rPr>
                <w:rFonts w:ascii="Times New Roman" w:hAnsi="Times New Roman" w:cs="Times New Roman"/>
                <w:color w:val="auto"/>
                <w:w w:val="99"/>
                <w:sz w:val="21"/>
                <w:szCs w:val="21"/>
                <w:highlight w:val="none"/>
                <w:vertAlign w:val="subscript"/>
                <w:lang w:eastAsia="zh-CN"/>
              </w:rPr>
              <w:t>2</w:t>
            </w:r>
            <w:r>
              <w:rPr>
                <w:rFonts w:ascii="Times New Roman" w:hAnsi="Times New Roman" w:cs="Times New Roman"/>
                <w:color w:val="auto"/>
                <w:w w:val="99"/>
                <w:sz w:val="21"/>
                <w:szCs w:val="21"/>
                <w:highlight w:val="none"/>
                <w:lang w:eastAsia="zh-CN"/>
              </w:rPr>
              <w:t>、</w:t>
            </w:r>
          </w:p>
          <w:p w14:paraId="4E168FA2">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NOx 、颗粒物、烟气黑度）</w:t>
            </w:r>
          </w:p>
        </w:tc>
        <w:tc>
          <w:tcPr>
            <w:tcW w:w="1450" w:type="pct"/>
            <w:vAlign w:val="center"/>
          </w:tcPr>
          <w:p w14:paraId="5291145D">
            <w:pPr>
              <w:pStyle w:val="2857"/>
              <w:widowControl/>
              <w:spacing w:line="360" w:lineRule="exact"/>
              <w:jc w:val="center"/>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徐深27集气站</w:t>
            </w:r>
            <w:r>
              <w:rPr>
                <w:rFonts w:ascii="Times New Roman" w:hAnsi="Times New Roman" w:cs="Times New Roman"/>
                <w:color w:val="auto"/>
                <w:w w:val="99"/>
                <w:sz w:val="21"/>
                <w:szCs w:val="21"/>
                <w:highlight w:val="none"/>
                <w:lang w:eastAsia="zh-CN"/>
              </w:rPr>
              <w:t>加热炉采用清洁能源天然气为燃料 ，采用低氮燃烧器（国内一般），燃烧烟气通过</w:t>
            </w:r>
            <w:r>
              <w:rPr>
                <w:rFonts w:hint="eastAsia" w:ascii="Times New Roman" w:hAnsi="Times New Roman" w:cs="Times New Roman"/>
                <w:color w:val="auto"/>
                <w:w w:val="99"/>
                <w:sz w:val="21"/>
                <w:szCs w:val="21"/>
                <w:highlight w:val="none"/>
                <w:lang w:eastAsia="zh-CN"/>
              </w:rPr>
              <w:t>不低于8</w:t>
            </w:r>
            <w:r>
              <w:rPr>
                <w:rFonts w:ascii="Times New Roman" w:hAnsi="Times New Roman" w:cs="Times New Roman"/>
                <w:color w:val="auto"/>
                <w:w w:val="99"/>
                <w:sz w:val="21"/>
                <w:szCs w:val="21"/>
                <w:highlight w:val="none"/>
                <w:lang w:eastAsia="zh-CN"/>
              </w:rPr>
              <w:t>m 高排气筒排放</w:t>
            </w:r>
          </w:p>
        </w:tc>
        <w:tc>
          <w:tcPr>
            <w:tcW w:w="1691" w:type="pct"/>
            <w:vAlign w:val="center"/>
          </w:tcPr>
          <w:p w14:paraId="22C71DD0">
            <w:pPr>
              <w:pStyle w:val="2857"/>
              <w:widowControl/>
              <w:spacing w:line="360" w:lineRule="exact"/>
              <w:jc w:val="center"/>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依托场站</w:t>
            </w:r>
            <w:r>
              <w:rPr>
                <w:rFonts w:ascii="Times New Roman" w:hAnsi="Times New Roman" w:cs="Times New Roman"/>
                <w:color w:val="auto"/>
                <w:w w:val="99"/>
                <w:sz w:val="21"/>
                <w:szCs w:val="21"/>
                <w:highlight w:val="none"/>
                <w:lang w:eastAsia="zh-CN"/>
              </w:rPr>
              <w:t>加热炉燃烧烟气执行《锅炉大气污染物排放标准》（GB13271-2014）中表 2 新建锅炉大气污染物排放浓度限值中燃气锅炉标准限值</w:t>
            </w:r>
          </w:p>
        </w:tc>
      </w:tr>
      <w:tr w14:paraId="08BB8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56" w:hRule="atLeast"/>
        </w:trPr>
        <w:tc>
          <w:tcPr>
            <w:tcW w:w="468" w:type="pct"/>
            <w:vMerge w:val="continue"/>
            <w:textDirection w:val="tbRlV"/>
            <w:vAlign w:val="center"/>
          </w:tcPr>
          <w:p w14:paraId="6EF6B7E1">
            <w:pPr>
              <w:pStyle w:val="2857"/>
              <w:widowControl/>
              <w:spacing w:line="360" w:lineRule="exact"/>
              <w:jc w:val="center"/>
              <w:rPr>
                <w:rFonts w:ascii="Times New Roman" w:hAnsi="Times New Roman" w:cs="Times New Roman"/>
                <w:color w:val="auto"/>
                <w:w w:val="99"/>
                <w:sz w:val="21"/>
                <w:szCs w:val="21"/>
                <w:highlight w:val="none"/>
                <w:lang w:eastAsia="zh-CN"/>
              </w:rPr>
            </w:pPr>
          </w:p>
        </w:tc>
        <w:tc>
          <w:tcPr>
            <w:tcW w:w="398" w:type="pct"/>
            <w:vMerge w:val="continue"/>
            <w:vAlign w:val="center"/>
          </w:tcPr>
          <w:p w14:paraId="09F92B87">
            <w:pPr>
              <w:pStyle w:val="2857"/>
              <w:widowControl/>
              <w:spacing w:line="360" w:lineRule="exact"/>
              <w:jc w:val="center"/>
              <w:rPr>
                <w:rFonts w:ascii="Times New Roman" w:hAnsi="Times New Roman" w:cs="Times New Roman"/>
                <w:color w:val="auto"/>
                <w:w w:val="99"/>
                <w:sz w:val="21"/>
                <w:szCs w:val="21"/>
                <w:highlight w:val="none"/>
                <w:lang w:eastAsia="zh-CN"/>
              </w:rPr>
            </w:pPr>
          </w:p>
        </w:tc>
        <w:tc>
          <w:tcPr>
            <w:tcW w:w="992" w:type="pct"/>
            <w:vAlign w:val="center"/>
          </w:tcPr>
          <w:p w14:paraId="37078607">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VOCs（以非甲烷总</w:t>
            </w:r>
          </w:p>
          <w:p w14:paraId="36AD85EC">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烃计）</w:t>
            </w:r>
          </w:p>
        </w:tc>
        <w:tc>
          <w:tcPr>
            <w:tcW w:w="1450" w:type="pct"/>
            <w:vAlign w:val="center"/>
          </w:tcPr>
          <w:p w14:paraId="39F77E3C">
            <w:pPr>
              <w:pStyle w:val="2857"/>
              <w:widowControl/>
              <w:spacing w:line="360" w:lineRule="exact"/>
              <w:jc w:val="center"/>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采气</w:t>
            </w:r>
            <w:r>
              <w:rPr>
                <w:rFonts w:ascii="Times New Roman" w:hAnsi="Times New Roman" w:cs="Times New Roman"/>
                <w:color w:val="auto"/>
                <w:w w:val="99"/>
                <w:sz w:val="21"/>
                <w:szCs w:val="21"/>
                <w:highlight w:val="none"/>
                <w:lang w:eastAsia="zh-CN"/>
              </w:rPr>
              <w:t>管线采取密闭性良好的阀门等，确保密闭集输</w:t>
            </w:r>
          </w:p>
        </w:tc>
        <w:tc>
          <w:tcPr>
            <w:tcW w:w="1691" w:type="pct"/>
            <w:vAlign w:val="center"/>
          </w:tcPr>
          <w:p w14:paraId="66B292EB">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井场和依托站场厂界非甲烷总烃执行《陆上石油天然气开采工业大气污染 物 排 放 标 准 》 （GB39728-2020）中 5.9 企业边界污染物控制要求限值；</w:t>
            </w:r>
          </w:p>
          <w:p w14:paraId="6BBB3A61">
            <w:pPr>
              <w:pStyle w:val="2857"/>
              <w:widowControl/>
              <w:spacing w:line="360" w:lineRule="exact"/>
              <w:jc w:val="both"/>
              <w:rPr>
                <w:rFonts w:ascii="Times New Roman" w:hAnsi="Times New Roman" w:cs="Times New Roman"/>
                <w:color w:val="auto"/>
                <w:w w:val="99"/>
                <w:sz w:val="21"/>
                <w:szCs w:val="21"/>
                <w:highlight w:val="none"/>
                <w:lang w:eastAsia="zh-CN"/>
              </w:rPr>
            </w:pPr>
          </w:p>
        </w:tc>
      </w:tr>
      <w:tr w14:paraId="273B0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38" w:hRule="atLeast"/>
        </w:trPr>
        <w:tc>
          <w:tcPr>
            <w:tcW w:w="468" w:type="pct"/>
            <w:vMerge w:val="restart"/>
            <w:vAlign w:val="center"/>
          </w:tcPr>
          <w:p w14:paraId="1C89DAF1">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废水</w:t>
            </w:r>
          </w:p>
        </w:tc>
        <w:tc>
          <w:tcPr>
            <w:tcW w:w="398" w:type="pct"/>
            <w:vMerge w:val="restart"/>
            <w:vAlign w:val="center"/>
          </w:tcPr>
          <w:p w14:paraId="6FA107BF">
            <w:pPr>
              <w:pStyle w:val="2857"/>
              <w:widowControl/>
              <w:spacing w:line="360" w:lineRule="exact"/>
              <w:jc w:val="center"/>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施工期</w:t>
            </w:r>
          </w:p>
        </w:tc>
        <w:tc>
          <w:tcPr>
            <w:tcW w:w="992" w:type="pct"/>
            <w:vAlign w:val="center"/>
          </w:tcPr>
          <w:p w14:paraId="0FB30D12">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施工人员生活污水</w:t>
            </w:r>
          </w:p>
        </w:tc>
        <w:tc>
          <w:tcPr>
            <w:tcW w:w="1450" w:type="pct"/>
            <w:vAlign w:val="center"/>
          </w:tcPr>
          <w:p w14:paraId="6309278E">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施工期生活污水排入本项目附近集气站已建生活污水收集设施，定期由大庆石油管理局有限公司庆南工矿服务公司红岗分公司拉运至大庆红岗区西巷污水回收站，管输至南区污水处理厂进行处理。</w:t>
            </w:r>
          </w:p>
        </w:tc>
        <w:tc>
          <w:tcPr>
            <w:tcW w:w="1691" w:type="pct"/>
            <w:vAlign w:val="center"/>
          </w:tcPr>
          <w:p w14:paraId="713F5F61">
            <w:pPr>
              <w:pStyle w:val="2857"/>
              <w:widowControl/>
              <w:spacing w:line="360" w:lineRule="exact"/>
              <w:jc w:val="center"/>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w:t>
            </w:r>
          </w:p>
        </w:tc>
      </w:tr>
      <w:tr w14:paraId="4F1B3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87" w:hRule="atLeast"/>
        </w:trPr>
        <w:tc>
          <w:tcPr>
            <w:tcW w:w="468" w:type="pct"/>
            <w:vMerge w:val="continue"/>
            <w:textDirection w:val="tbRlV"/>
            <w:vAlign w:val="center"/>
          </w:tcPr>
          <w:p w14:paraId="1DDDADDF">
            <w:pPr>
              <w:pStyle w:val="2857"/>
              <w:widowControl/>
              <w:spacing w:line="360" w:lineRule="exact"/>
              <w:jc w:val="center"/>
              <w:rPr>
                <w:rFonts w:ascii="Times New Roman" w:hAnsi="Times New Roman" w:cs="Times New Roman"/>
                <w:color w:val="auto"/>
                <w:w w:val="99"/>
                <w:sz w:val="21"/>
                <w:szCs w:val="21"/>
                <w:highlight w:val="none"/>
                <w:lang w:eastAsia="zh-CN"/>
              </w:rPr>
            </w:pPr>
          </w:p>
        </w:tc>
        <w:tc>
          <w:tcPr>
            <w:tcW w:w="398" w:type="pct"/>
            <w:vMerge w:val="continue"/>
            <w:vAlign w:val="center"/>
          </w:tcPr>
          <w:p w14:paraId="5C6404E6">
            <w:pPr>
              <w:pStyle w:val="2857"/>
              <w:widowControl/>
              <w:spacing w:line="360" w:lineRule="exact"/>
              <w:jc w:val="center"/>
              <w:rPr>
                <w:rFonts w:ascii="Times New Roman" w:hAnsi="Times New Roman" w:cs="Times New Roman"/>
                <w:color w:val="auto"/>
                <w:w w:val="99"/>
                <w:sz w:val="21"/>
                <w:szCs w:val="21"/>
                <w:highlight w:val="none"/>
                <w:lang w:eastAsia="zh-CN"/>
              </w:rPr>
            </w:pPr>
          </w:p>
        </w:tc>
        <w:tc>
          <w:tcPr>
            <w:tcW w:w="992" w:type="pct"/>
            <w:vAlign w:val="center"/>
          </w:tcPr>
          <w:p w14:paraId="041CD0F0">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试压废水</w:t>
            </w:r>
          </w:p>
        </w:tc>
        <w:tc>
          <w:tcPr>
            <w:tcW w:w="1450" w:type="pct"/>
            <w:vAlign w:val="center"/>
          </w:tcPr>
          <w:p w14:paraId="60883172">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经罐车拉运至升一联气田污水预处理站</w:t>
            </w:r>
            <w:r>
              <w:rPr>
                <w:rFonts w:hint="eastAsia" w:ascii="Times New Roman" w:hAnsi="Times New Roman" w:cs="Times New Roman"/>
                <w:color w:val="auto"/>
                <w:w w:val="99"/>
                <w:sz w:val="21"/>
                <w:szCs w:val="21"/>
                <w:highlight w:val="none"/>
                <w:lang w:eastAsia="zh-CN"/>
              </w:rPr>
              <w:t>，达标后回注地下油层，不外排</w:t>
            </w:r>
          </w:p>
        </w:tc>
        <w:tc>
          <w:tcPr>
            <w:tcW w:w="1691" w:type="pct"/>
            <w:vAlign w:val="center"/>
          </w:tcPr>
          <w:p w14:paraId="63DDCD56">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处理后的水质执行《大庆油田地面工程 建设设计 规定》（Q/SYDQ 0639-2015   ） 限 值 “   含 油 量≤10mg/L 、悬浮固体含量≤5mg/L 、粒径中值≤2μm” ，同时满足《碎屑岩油藏注水水质指标技术要求及分析方法》(SY/T5329-2022)中标准限值，回注地下</w:t>
            </w:r>
            <w:r>
              <w:rPr>
                <w:rFonts w:hint="eastAsia" w:ascii="Times New Roman" w:hAnsi="Times New Roman" w:cs="Times New Roman"/>
                <w:color w:val="auto"/>
                <w:w w:val="99"/>
                <w:sz w:val="21"/>
                <w:szCs w:val="21"/>
                <w:highlight w:val="none"/>
                <w:lang w:eastAsia="zh-CN"/>
              </w:rPr>
              <w:t>油层，不外排。</w:t>
            </w:r>
          </w:p>
        </w:tc>
      </w:tr>
      <w:tr w14:paraId="15CB5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87" w:hRule="atLeast"/>
        </w:trPr>
        <w:tc>
          <w:tcPr>
            <w:tcW w:w="468" w:type="pct"/>
            <w:vMerge w:val="continue"/>
            <w:tcBorders>
              <w:bottom w:val="single" w:color="auto" w:sz="4" w:space="0"/>
            </w:tcBorders>
            <w:textDirection w:val="tbRlV"/>
            <w:vAlign w:val="center"/>
          </w:tcPr>
          <w:p w14:paraId="631EA7FA">
            <w:pPr>
              <w:pStyle w:val="2857"/>
              <w:widowControl/>
              <w:spacing w:line="360" w:lineRule="exact"/>
              <w:jc w:val="center"/>
              <w:rPr>
                <w:rFonts w:ascii="Times New Roman" w:hAnsi="Times New Roman" w:cs="Times New Roman"/>
                <w:color w:val="auto"/>
                <w:w w:val="99"/>
                <w:sz w:val="21"/>
                <w:szCs w:val="21"/>
                <w:highlight w:val="none"/>
                <w:lang w:eastAsia="zh-CN"/>
              </w:rPr>
            </w:pPr>
          </w:p>
        </w:tc>
        <w:tc>
          <w:tcPr>
            <w:tcW w:w="398" w:type="pct"/>
            <w:tcBorders>
              <w:bottom w:val="single" w:color="auto" w:sz="4" w:space="0"/>
            </w:tcBorders>
          </w:tcPr>
          <w:p w14:paraId="2A1F1F1A">
            <w:pPr>
              <w:pStyle w:val="2857"/>
              <w:widowControl/>
              <w:spacing w:line="360" w:lineRule="exact"/>
              <w:jc w:val="center"/>
              <w:rPr>
                <w:rFonts w:ascii="Times New Roman" w:hAnsi="Times New Roman" w:cs="Times New Roman"/>
                <w:color w:val="auto"/>
                <w:w w:val="99"/>
                <w:sz w:val="21"/>
                <w:szCs w:val="21"/>
                <w:highlight w:val="none"/>
                <w:lang w:eastAsia="zh-CN"/>
              </w:rPr>
            </w:pPr>
          </w:p>
          <w:p w14:paraId="06F8F6E6">
            <w:pPr>
              <w:pStyle w:val="2857"/>
              <w:widowControl/>
              <w:spacing w:line="360" w:lineRule="exact"/>
              <w:jc w:val="center"/>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运营期</w:t>
            </w:r>
          </w:p>
          <w:p w14:paraId="18248FDA">
            <w:pPr>
              <w:pStyle w:val="2857"/>
              <w:widowControl/>
              <w:spacing w:line="360" w:lineRule="exact"/>
              <w:jc w:val="center"/>
              <w:rPr>
                <w:rFonts w:ascii="Times New Roman" w:hAnsi="Times New Roman" w:cs="Times New Roman"/>
                <w:color w:val="auto"/>
                <w:w w:val="99"/>
                <w:sz w:val="21"/>
                <w:szCs w:val="21"/>
                <w:highlight w:val="none"/>
                <w:lang w:eastAsia="zh-CN"/>
              </w:rPr>
            </w:pPr>
          </w:p>
          <w:p w14:paraId="4DAF5DCF">
            <w:pPr>
              <w:pStyle w:val="2857"/>
              <w:widowControl/>
              <w:spacing w:line="360" w:lineRule="exact"/>
              <w:jc w:val="center"/>
              <w:rPr>
                <w:rFonts w:ascii="Times New Roman" w:hAnsi="Times New Roman" w:cs="Times New Roman"/>
                <w:color w:val="auto"/>
                <w:w w:val="99"/>
                <w:sz w:val="21"/>
                <w:szCs w:val="21"/>
                <w:highlight w:val="none"/>
              </w:rPr>
            </w:pPr>
          </w:p>
        </w:tc>
        <w:tc>
          <w:tcPr>
            <w:tcW w:w="992" w:type="pct"/>
            <w:tcBorders>
              <w:bottom w:val="single" w:color="auto" w:sz="4" w:space="0"/>
            </w:tcBorders>
            <w:vAlign w:val="center"/>
          </w:tcPr>
          <w:p w14:paraId="5BAEB034">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气田采出水</w:t>
            </w:r>
          </w:p>
        </w:tc>
        <w:tc>
          <w:tcPr>
            <w:tcW w:w="1450" w:type="pct"/>
            <w:tcBorders>
              <w:bottom w:val="single" w:color="auto" w:sz="4" w:space="0"/>
            </w:tcBorders>
          </w:tcPr>
          <w:p w14:paraId="57AAAB35">
            <w:pPr>
              <w:pStyle w:val="2857"/>
              <w:widowControl/>
              <w:spacing w:line="360" w:lineRule="exact"/>
              <w:jc w:val="center"/>
              <w:rPr>
                <w:rFonts w:ascii="Times New Roman" w:hAnsi="Times New Roman" w:cs="Times New Roman"/>
                <w:color w:val="auto"/>
                <w:w w:val="99"/>
                <w:sz w:val="21"/>
                <w:szCs w:val="21"/>
                <w:highlight w:val="none"/>
                <w:lang w:eastAsia="zh-CN"/>
              </w:rPr>
            </w:pPr>
          </w:p>
          <w:p w14:paraId="4976F4CF">
            <w:pPr>
              <w:pStyle w:val="2857"/>
              <w:widowControl/>
              <w:spacing w:line="360" w:lineRule="exact"/>
              <w:jc w:val="center"/>
              <w:rPr>
                <w:rFonts w:ascii="Times New Roman" w:hAnsi="Times New Roman" w:cs="Times New Roman"/>
                <w:color w:val="auto"/>
                <w:w w:val="99"/>
                <w:sz w:val="21"/>
                <w:szCs w:val="21"/>
                <w:highlight w:val="none"/>
                <w:lang w:eastAsia="zh-CN"/>
              </w:rPr>
            </w:pPr>
          </w:p>
          <w:p w14:paraId="739A79E5">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暂存在徐深</w:t>
            </w:r>
            <w:r>
              <w:rPr>
                <w:rFonts w:hint="eastAsia" w:ascii="Times New Roman" w:hAnsi="Times New Roman" w:cs="Times New Roman"/>
                <w:color w:val="auto"/>
                <w:w w:val="99"/>
                <w:sz w:val="21"/>
                <w:szCs w:val="21"/>
                <w:highlight w:val="none"/>
                <w:lang w:eastAsia="zh-CN"/>
              </w:rPr>
              <w:t>27</w:t>
            </w:r>
            <w:r>
              <w:rPr>
                <w:rFonts w:ascii="Times New Roman" w:hAnsi="Times New Roman" w:cs="Times New Roman"/>
                <w:color w:val="auto"/>
                <w:w w:val="99"/>
                <w:sz w:val="21"/>
                <w:szCs w:val="21"/>
                <w:highlight w:val="none"/>
                <w:lang w:eastAsia="zh-CN"/>
              </w:rPr>
              <w:t>集气站污水储罐内，经管线输送至升一联气田污水预处理站处理达标后回注地下</w:t>
            </w:r>
          </w:p>
        </w:tc>
        <w:tc>
          <w:tcPr>
            <w:tcW w:w="1691" w:type="pct"/>
            <w:tcBorders>
              <w:bottom w:val="single" w:color="auto" w:sz="4" w:space="0"/>
            </w:tcBorders>
          </w:tcPr>
          <w:p w14:paraId="08433816">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处理后的水质执行《大庆油田地面工程 建设设计 规定》（Q/SYDQ 0639-2015   ） 限 值 “   含 油 量≤10mg/L 、悬浮固体含量≤5mg/L 、粒径中值≤2μm” ，同时满足《碎屑岩油藏注水水质指标技术要求及分析方法》(SY/T5329-2022)中标准限值，回注地下。</w:t>
            </w:r>
          </w:p>
        </w:tc>
      </w:tr>
      <w:tr w14:paraId="28FEFA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68" w:type="pct"/>
            <w:vMerge w:val="restart"/>
            <w:tcBorders>
              <w:top w:val="single" w:color="auto" w:sz="4" w:space="0"/>
              <w:left w:val="single" w:color="auto" w:sz="4" w:space="0"/>
              <w:bottom w:val="single" w:color="auto" w:sz="4" w:space="0"/>
              <w:right w:val="single" w:color="auto" w:sz="4" w:space="0"/>
            </w:tcBorders>
            <w:vAlign w:val="center"/>
          </w:tcPr>
          <w:p w14:paraId="3571620F">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噪声</w:t>
            </w:r>
          </w:p>
        </w:tc>
        <w:tc>
          <w:tcPr>
            <w:tcW w:w="398" w:type="pct"/>
            <w:tcBorders>
              <w:top w:val="single" w:color="auto" w:sz="4" w:space="0"/>
              <w:left w:val="single" w:color="auto" w:sz="4" w:space="0"/>
              <w:bottom w:val="single" w:color="auto" w:sz="4" w:space="0"/>
              <w:right w:val="single" w:color="auto" w:sz="4" w:space="0"/>
            </w:tcBorders>
            <w:vAlign w:val="center"/>
          </w:tcPr>
          <w:p w14:paraId="59CBACD8">
            <w:pPr>
              <w:pStyle w:val="2857"/>
              <w:widowControl/>
              <w:spacing w:line="360" w:lineRule="exact"/>
              <w:jc w:val="center"/>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施工期</w:t>
            </w:r>
          </w:p>
        </w:tc>
        <w:tc>
          <w:tcPr>
            <w:tcW w:w="992" w:type="pct"/>
            <w:tcBorders>
              <w:top w:val="single" w:color="auto" w:sz="4" w:space="0"/>
              <w:left w:val="single" w:color="auto" w:sz="4" w:space="0"/>
              <w:bottom w:val="single" w:color="auto" w:sz="4" w:space="0"/>
              <w:right w:val="single" w:color="auto" w:sz="4" w:space="0"/>
            </w:tcBorders>
            <w:vAlign w:val="center"/>
          </w:tcPr>
          <w:p w14:paraId="75B2BAAC">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施工设备</w:t>
            </w:r>
          </w:p>
        </w:tc>
        <w:tc>
          <w:tcPr>
            <w:tcW w:w="1450" w:type="pct"/>
            <w:tcBorders>
              <w:top w:val="single" w:color="auto" w:sz="4" w:space="0"/>
              <w:left w:val="single" w:color="auto" w:sz="4" w:space="0"/>
              <w:bottom w:val="single" w:color="auto" w:sz="4" w:space="0"/>
              <w:right w:val="single" w:color="auto" w:sz="4" w:space="0"/>
            </w:tcBorders>
            <w:vAlign w:val="center"/>
          </w:tcPr>
          <w:p w14:paraId="64B06160">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选用低噪声设备、合理布局等</w:t>
            </w:r>
          </w:p>
        </w:tc>
        <w:tc>
          <w:tcPr>
            <w:tcW w:w="1691" w:type="pct"/>
            <w:tcBorders>
              <w:top w:val="single" w:color="auto" w:sz="4" w:space="0"/>
              <w:left w:val="single" w:color="auto" w:sz="4" w:space="0"/>
              <w:bottom w:val="single" w:color="auto" w:sz="4" w:space="0"/>
              <w:right w:val="single" w:color="auto" w:sz="4" w:space="0"/>
            </w:tcBorders>
          </w:tcPr>
          <w:p w14:paraId="5D949AAE">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执行《</w:t>
            </w:r>
            <w:r>
              <w:rPr>
                <w:rFonts w:hint="eastAsia" w:ascii="Times New Roman" w:hAnsi="Times New Roman" w:cs="Times New Roman"/>
                <w:color w:val="auto"/>
                <w:w w:val="99"/>
                <w:sz w:val="21"/>
                <w:szCs w:val="21"/>
                <w:highlight w:val="none"/>
                <w:lang w:eastAsia="zh-CN"/>
              </w:rPr>
              <w:t>建筑施工噪声排放标准</w:t>
            </w:r>
            <w:r>
              <w:rPr>
                <w:rFonts w:ascii="Times New Roman" w:hAnsi="Times New Roman" w:cs="Times New Roman"/>
                <w:color w:val="auto"/>
                <w:w w:val="99"/>
                <w:sz w:val="21"/>
                <w:szCs w:val="21"/>
                <w:highlight w:val="none"/>
                <w:lang w:eastAsia="zh-CN"/>
              </w:rPr>
              <w:t>》（GB12523-20</w:t>
            </w:r>
            <w:r>
              <w:rPr>
                <w:rFonts w:hint="eastAsia" w:ascii="Times New Roman" w:hAnsi="Times New Roman" w:cs="Times New Roman"/>
                <w:color w:val="auto"/>
                <w:w w:val="99"/>
                <w:sz w:val="21"/>
                <w:szCs w:val="21"/>
                <w:highlight w:val="none"/>
                <w:lang w:eastAsia="zh-CN"/>
              </w:rPr>
              <w:t>25</w:t>
            </w:r>
            <w:r>
              <w:rPr>
                <w:rFonts w:ascii="Times New Roman" w:hAnsi="Times New Roman" w:cs="Times New Roman"/>
                <w:color w:val="auto"/>
                <w:w w:val="99"/>
                <w:sz w:val="21"/>
                <w:szCs w:val="21"/>
                <w:highlight w:val="none"/>
                <w:lang w:eastAsia="zh-CN"/>
              </w:rPr>
              <w:t>）</w:t>
            </w:r>
          </w:p>
        </w:tc>
      </w:tr>
      <w:tr w14:paraId="061ED8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468" w:type="pct"/>
            <w:vMerge w:val="continue"/>
            <w:tcBorders>
              <w:top w:val="single" w:color="auto" w:sz="4" w:space="0"/>
              <w:left w:val="single" w:color="auto" w:sz="4" w:space="0"/>
              <w:bottom w:val="single" w:color="auto" w:sz="4" w:space="0"/>
              <w:right w:val="single" w:color="auto" w:sz="4" w:space="0"/>
            </w:tcBorders>
            <w:textDirection w:val="tbRlV"/>
          </w:tcPr>
          <w:p w14:paraId="58D33873">
            <w:pPr>
              <w:pStyle w:val="2857"/>
              <w:widowControl/>
              <w:spacing w:line="360" w:lineRule="exact"/>
              <w:jc w:val="center"/>
              <w:rPr>
                <w:rFonts w:ascii="Times New Roman" w:hAnsi="Times New Roman" w:cs="Times New Roman"/>
                <w:color w:val="auto"/>
                <w:w w:val="99"/>
                <w:sz w:val="21"/>
                <w:szCs w:val="21"/>
                <w:highlight w:val="none"/>
                <w:lang w:eastAsia="zh-CN"/>
              </w:rPr>
            </w:pPr>
          </w:p>
        </w:tc>
        <w:tc>
          <w:tcPr>
            <w:tcW w:w="398" w:type="pct"/>
            <w:tcBorders>
              <w:top w:val="single" w:color="auto" w:sz="4" w:space="0"/>
              <w:left w:val="single" w:color="auto" w:sz="4" w:space="0"/>
              <w:bottom w:val="single" w:color="auto" w:sz="4" w:space="0"/>
              <w:right w:val="single" w:color="auto" w:sz="4" w:space="0"/>
            </w:tcBorders>
            <w:vAlign w:val="center"/>
          </w:tcPr>
          <w:p w14:paraId="3A296D64">
            <w:pPr>
              <w:pStyle w:val="2857"/>
              <w:widowControl/>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lang w:eastAsia="zh-CN"/>
              </w:rPr>
              <w:t>运营期</w:t>
            </w:r>
          </w:p>
        </w:tc>
        <w:tc>
          <w:tcPr>
            <w:tcW w:w="992" w:type="pct"/>
            <w:tcBorders>
              <w:top w:val="single" w:color="auto" w:sz="4" w:space="0"/>
              <w:left w:val="single" w:color="auto" w:sz="4" w:space="0"/>
              <w:bottom w:val="single" w:color="auto" w:sz="4" w:space="0"/>
              <w:right w:val="single" w:color="auto" w:sz="4" w:space="0"/>
            </w:tcBorders>
            <w:vAlign w:val="center"/>
          </w:tcPr>
          <w:p w14:paraId="62567875">
            <w:pPr>
              <w:pStyle w:val="2857"/>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井场、依托站场噪声</w:t>
            </w:r>
          </w:p>
        </w:tc>
        <w:tc>
          <w:tcPr>
            <w:tcW w:w="1450" w:type="pct"/>
            <w:tcBorders>
              <w:top w:val="single" w:color="auto" w:sz="4" w:space="0"/>
              <w:left w:val="single" w:color="auto" w:sz="4" w:space="0"/>
              <w:bottom w:val="single" w:color="auto" w:sz="4" w:space="0"/>
              <w:right w:val="single" w:color="auto" w:sz="4" w:space="0"/>
            </w:tcBorders>
            <w:vAlign w:val="center"/>
          </w:tcPr>
          <w:p w14:paraId="2A580642">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低噪声设备、机泵等设备安装减震基础等</w:t>
            </w:r>
          </w:p>
        </w:tc>
        <w:tc>
          <w:tcPr>
            <w:tcW w:w="1691" w:type="pct"/>
            <w:tcBorders>
              <w:top w:val="single" w:color="auto" w:sz="4" w:space="0"/>
              <w:left w:val="single" w:color="auto" w:sz="4" w:space="0"/>
              <w:bottom w:val="single" w:color="auto" w:sz="4" w:space="0"/>
              <w:right w:val="single" w:color="auto" w:sz="4" w:space="0"/>
            </w:tcBorders>
          </w:tcPr>
          <w:p w14:paraId="0DF4DF15">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执行《工业企业厂界环境噪声排放标准》（GB12348-2008）中 2 类标准限值，昼间≤60dB（A） 、夜间≤50dB（A）</w:t>
            </w:r>
          </w:p>
        </w:tc>
      </w:tr>
      <w:tr w14:paraId="0B2A99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468" w:type="pct"/>
            <w:vMerge w:val="restart"/>
            <w:tcBorders>
              <w:top w:val="single" w:color="auto" w:sz="4" w:space="0"/>
              <w:left w:val="single" w:color="auto" w:sz="4" w:space="0"/>
              <w:right w:val="single" w:color="auto" w:sz="4" w:space="0"/>
            </w:tcBorders>
            <w:vAlign w:val="center"/>
          </w:tcPr>
          <w:p w14:paraId="6867AF8E">
            <w:pPr>
              <w:pStyle w:val="2857"/>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固体废物</w:t>
            </w:r>
          </w:p>
        </w:tc>
        <w:tc>
          <w:tcPr>
            <w:tcW w:w="398" w:type="pct"/>
            <w:vMerge w:val="restart"/>
            <w:tcBorders>
              <w:top w:val="single" w:color="auto" w:sz="4" w:space="0"/>
              <w:left w:val="single" w:color="auto" w:sz="4" w:space="0"/>
              <w:right w:val="single" w:color="auto" w:sz="4" w:space="0"/>
            </w:tcBorders>
            <w:vAlign w:val="center"/>
          </w:tcPr>
          <w:p w14:paraId="6CC6DC36">
            <w:pPr>
              <w:pStyle w:val="2857"/>
              <w:widowControl/>
              <w:spacing w:line="360" w:lineRule="exact"/>
              <w:jc w:val="center"/>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施工期</w:t>
            </w:r>
          </w:p>
        </w:tc>
        <w:tc>
          <w:tcPr>
            <w:tcW w:w="992" w:type="pct"/>
            <w:tcBorders>
              <w:top w:val="single" w:color="auto" w:sz="4" w:space="0"/>
              <w:left w:val="single" w:color="auto" w:sz="4" w:space="0"/>
              <w:bottom w:val="single" w:color="auto" w:sz="4" w:space="0"/>
              <w:right w:val="single" w:color="auto" w:sz="4" w:space="0"/>
            </w:tcBorders>
            <w:vAlign w:val="center"/>
          </w:tcPr>
          <w:p w14:paraId="23FAE699">
            <w:pPr>
              <w:pStyle w:val="2857"/>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施工人员生活垃圾</w:t>
            </w:r>
          </w:p>
        </w:tc>
        <w:tc>
          <w:tcPr>
            <w:tcW w:w="1450" w:type="pct"/>
            <w:tcBorders>
              <w:top w:val="single" w:color="auto" w:sz="4" w:space="0"/>
              <w:left w:val="single" w:color="auto" w:sz="4" w:space="0"/>
              <w:bottom w:val="single" w:color="auto" w:sz="4" w:space="0"/>
              <w:right w:val="single" w:color="auto" w:sz="4" w:space="0"/>
            </w:tcBorders>
          </w:tcPr>
          <w:p w14:paraId="6B6D5378">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生活垃圾集中收集，统一收集后运至</w:t>
            </w:r>
            <w:r>
              <w:rPr>
                <w:rFonts w:hint="eastAsia" w:ascii="Times New Roman" w:hAnsi="Times New Roman" w:cs="Times New Roman"/>
                <w:color w:val="auto"/>
                <w:w w:val="99"/>
                <w:sz w:val="21"/>
                <w:szCs w:val="21"/>
                <w:highlight w:val="none"/>
                <w:lang w:eastAsia="zh-CN"/>
              </w:rPr>
              <w:t>肇东北控环境再生能源有限公司</w:t>
            </w:r>
            <w:r>
              <w:rPr>
                <w:rFonts w:ascii="Times New Roman" w:hAnsi="Times New Roman" w:cs="Times New Roman"/>
                <w:color w:val="auto"/>
                <w:w w:val="99"/>
                <w:sz w:val="21"/>
                <w:szCs w:val="21"/>
                <w:highlight w:val="none"/>
                <w:lang w:eastAsia="zh-CN"/>
              </w:rPr>
              <w:t>垃圾处理厂进行处理</w:t>
            </w:r>
          </w:p>
        </w:tc>
        <w:tc>
          <w:tcPr>
            <w:tcW w:w="1691" w:type="pct"/>
            <w:tcBorders>
              <w:top w:val="single" w:color="auto" w:sz="4" w:space="0"/>
              <w:left w:val="single" w:color="auto" w:sz="4" w:space="0"/>
              <w:bottom w:val="single" w:color="auto" w:sz="4" w:space="0"/>
              <w:right w:val="single" w:color="auto" w:sz="4" w:space="0"/>
            </w:tcBorders>
            <w:vAlign w:val="center"/>
          </w:tcPr>
          <w:p w14:paraId="5C282544">
            <w:pPr>
              <w:pStyle w:val="2857"/>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妥善处理，不外排</w:t>
            </w:r>
          </w:p>
        </w:tc>
      </w:tr>
      <w:tr w14:paraId="0E4996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trPr>
        <w:tc>
          <w:tcPr>
            <w:tcW w:w="468" w:type="pct"/>
            <w:vMerge w:val="continue"/>
            <w:tcBorders>
              <w:left w:val="single" w:color="auto" w:sz="4" w:space="0"/>
              <w:right w:val="single" w:color="auto" w:sz="4" w:space="0"/>
            </w:tcBorders>
            <w:textDirection w:val="tbRlV"/>
          </w:tcPr>
          <w:p w14:paraId="7C50216F">
            <w:pPr>
              <w:pStyle w:val="2857"/>
              <w:widowControl/>
              <w:spacing w:line="360" w:lineRule="exact"/>
              <w:jc w:val="center"/>
              <w:rPr>
                <w:rFonts w:ascii="Times New Roman" w:hAnsi="Times New Roman" w:cs="Times New Roman"/>
                <w:color w:val="auto"/>
                <w:w w:val="99"/>
                <w:sz w:val="21"/>
                <w:szCs w:val="21"/>
                <w:highlight w:val="none"/>
              </w:rPr>
            </w:pPr>
          </w:p>
        </w:tc>
        <w:tc>
          <w:tcPr>
            <w:tcW w:w="398" w:type="pct"/>
            <w:vMerge w:val="continue"/>
            <w:tcBorders>
              <w:left w:val="single" w:color="auto" w:sz="4" w:space="0"/>
              <w:bottom w:val="single" w:color="auto" w:sz="4" w:space="0"/>
              <w:right w:val="single" w:color="auto" w:sz="4" w:space="0"/>
            </w:tcBorders>
            <w:vAlign w:val="center"/>
          </w:tcPr>
          <w:p w14:paraId="291FA047">
            <w:pPr>
              <w:pStyle w:val="2857"/>
              <w:widowControl/>
              <w:spacing w:line="360" w:lineRule="exact"/>
              <w:jc w:val="center"/>
              <w:rPr>
                <w:rFonts w:ascii="Times New Roman" w:hAnsi="Times New Roman" w:cs="Times New Roman"/>
                <w:color w:val="auto"/>
                <w:w w:val="99"/>
                <w:sz w:val="21"/>
                <w:szCs w:val="21"/>
                <w:highlight w:val="none"/>
              </w:rPr>
            </w:pPr>
          </w:p>
        </w:tc>
        <w:tc>
          <w:tcPr>
            <w:tcW w:w="992" w:type="pct"/>
            <w:tcBorders>
              <w:top w:val="single" w:color="auto" w:sz="4" w:space="0"/>
              <w:left w:val="single" w:color="auto" w:sz="4" w:space="0"/>
              <w:bottom w:val="single" w:color="auto" w:sz="4" w:space="0"/>
              <w:right w:val="single" w:color="auto" w:sz="4" w:space="0"/>
            </w:tcBorders>
            <w:vAlign w:val="center"/>
          </w:tcPr>
          <w:p w14:paraId="3D548E7F">
            <w:pPr>
              <w:pStyle w:val="2857"/>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施工废料</w:t>
            </w:r>
          </w:p>
        </w:tc>
        <w:tc>
          <w:tcPr>
            <w:tcW w:w="1450" w:type="pct"/>
            <w:tcBorders>
              <w:top w:val="single" w:color="auto" w:sz="4" w:space="0"/>
              <w:left w:val="single" w:color="auto" w:sz="4" w:space="0"/>
              <w:bottom w:val="single" w:color="auto" w:sz="4" w:space="0"/>
              <w:right w:val="single" w:color="auto" w:sz="4" w:space="0"/>
            </w:tcBorders>
            <w:vAlign w:val="center"/>
          </w:tcPr>
          <w:p w14:paraId="6FEB7BA5">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集中收集统一安排拉运至第八采油厂工业固废填埋场进行填埋</w:t>
            </w:r>
          </w:p>
        </w:tc>
        <w:tc>
          <w:tcPr>
            <w:tcW w:w="1691" w:type="pct"/>
            <w:tcBorders>
              <w:top w:val="single" w:color="auto" w:sz="4" w:space="0"/>
              <w:left w:val="single" w:color="auto" w:sz="4" w:space="0"/>
              <w:bottom w:val="single" w:color="auto" w:sz="4" w:space="0"/>
              <w:right w:val="single" w:color="auto" w:sz="4" w:space="0"/>
            </w:tcBorders>
            <w:vAlign w:val="center"/>
          </w:tcPr>
          <w:p w14:paraId="37F35D28">
            <w:pPr>
              <w:pStyle w:val="2857"/>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妥善处理，不外排</w:t>
            </w:r>
          </w:p>
        </w:tc>
      </w:tr>
      <w:tr w14:paraId="1F22E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trPr>
        <w:tc>
          <w:tcPr>
            <w:tcW w:w="468" w:type="pct"/>
            <w:vMerge w:val="continue"/>
            <w:tcBorders>
              <w:left w:val="single" w:color="auto" w:sz="4" w:space="0"/>
              <w:bottom w:val="single" w:color="auto" w:sz="4" w:space="0"/>
              <w:right w:val="single" w:color="auto" w:sz="4" w:space="0"/>
            </w:tcBorders>
            <w:textDirection w:val="tbRlV"/>
          </w:tcPr>
          <w:p w14:paraId="382E1D4A">
            <w:pPr>
              <w:pStyle w:val="2857"/>
              <w:widowControl/>
              <w:spacing w:line="360" w:lineRule="exact"/>
              <w:jc w:val="center"/>
              <w:rPr>
                <w:rFonts w:ascii="Times New Roman" w:hAnsi="Times New Roman" w:cs="Times New Roman"/>
                <w:color w:val="auto"/>
                <w:w w:val="99"/>
                <w:sz w:val="21"/>
                <w:szCs w:val="21"/>
                <w:highlight w:val="none"/>
              </w:rPr>
            </w:pPr>
          </w:p>
        </w:tc>
        <w:tc>
          <w:tcPr>
            <w:tcW w:w="398" w:type="pct"/>
            <w:tcBorders>
              <w:top w:val="single" w:color="auto" w:sz="4" w:space="0"/>
              <w:left w:val="single" w:color="auto" w:sz="4" w:space="0"/>
              <w:bottom w:val="single" w:color="auto" w:sz="4" w:space="0"/>
              <w:right w:val="single" w:color="auto" w:sz="4" w:space="0"/>
            </w:tcBorders>
            <w:vAlign w:val="center"/>
          </w:tcPr>
          <w:p w14:paraId="5C267AC5">
            <w:pPr>
              <w:pStyle w:val="2857"/>
              <w:widowControl/>
              <w:spacing w:line="360" w:lineRule="exact"/>
              <w:jc w:val="center"/>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运营期</w:t>
            </w:r>
          </w:p>
        </w:tc>
        <w:tc>
          <w:tcPr>
            <w:tcW w:w="992" w:type="pct"/>
            <w:tcBorders>
              <w:top w:val="single" w:color="auto" w:sz="4" w:space="0"/>
              <w:left w:val="single" w:color="auto" w:sz="4" w:space="0"/>
              <w:bottom w:val="single" w:color="auto" w:sz="4" w:space="0"/>
              <w:right w:val="single" w:color="auto" w:sz="4" w:space="0"/>
            </w:tcBorders>
            <w:vAlign w:val="center"/>
          </w:tcPr>
          <w:p w14:paraId="4B40BE11">
            <w:pPr>
              <w:pStyle w:val="2857"/>
              <w:widowControl/>
              <w:spacing w:line="360" w:lineRule="exact"/>
              <w:jc w:val="center"/>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井口含油砂粒、废变压器油</w:t>
            </w:r>
          </w:p>
        </w:tc>
        <w:tc>
          <w:tcPr>
            <w:tcW w:w="1450" w:type="pct"/>
            <w:tcBorders>
              <w:top w:val="single" w:color="auto" w:sz="4" w:space="0"/>
              <w:left w:val="single" w:color="auto" w:sz="4" w:space="0"/>
              <w:bottom w:val="single" w:color="auto" w:sz="4" w:space="0"/>
              <w:right w:val="single" w:color="auto" w:sz="4" w:space="0"/>
            </w:tcBorders>
            <w:vAlign w:val="center"/>
          </w:tcPr>
          <w:p w14:paraId="0DC87E9A">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统一收集暂存于采气分公司危险废物贮存库内，定期委托有危废处置资质的单位处置</w:t>
            </w:r>
          </w:p>
        </w:tc>
        <w:tc>
          <w:tcPr>
            <w:tcW w:w="1691" w:type="pct"/>
            <w:tcBorders>
              <w:top w:val="single" w:color="auto" w:sz="4" w:space="0"/>
              <w:left w:val="single" w:color="auto" w:sz="4" w:space="0"/>
              <w:bottom w:val="single" w:color="auto" w:sz="4" w:space="0"/>
              <w:right w:val="single" w:color="auto" w:sz="4" w:space="0"/>
            </w:tcBorders>
            <w:vAlign w:val="center"/>
          </w:tcPr>
          <w:p w14:paraId="5FAD870D">
            <w:pPr>
              <w:pStyle w:val="2857"/>
              <w:widowControl/>
              <w:spacing w:line="360" w:lineRule="exact"/>
              <w:jc w:val="both"/>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执行《危险废物贮存污染控制标准》（GB18597-2023）</w:t>
            </w:r>
          </w:p>
        </w:tc>
      </w:tr>
      <w:tr w14:paraId="079909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1858" w:type="pct"/>
            <w:gridSpan w:val="3"/>
            <w:vMerge w:val="restart"/>
            <w:tcBorders>
              <w:top w:val="single" w:color="auto" w:sz="4" w:space="0"/>
              <w:left w:val="single" w:color="auto" w:sz="4" w:space="0"/>
              <w:right w:val="single" w:color="auto" w:sz="4" w:space="0"/>
            </w:tcBorders>
          </w:tcPr>
          <w:p w14:paraId="18B429F8">
            <w:pPr>
              <w:pStyle w:val="2857"/>
              <w:widowControl/>
              <w:spacing w:line="360" w:lineRule="exact"/>
              <w:jc w:val="center"/>
              <w:rPr>
                <w:rFonts w:ascii="Times New Roman" w:hAnsi="Times New Roman" w:cs="Times New Roman"/>
                <w:color w:val="auto"/>
                <w:w w:val="99"/>
                <w:sz w:val="21"/>
                <w:szCs w:val="21"/>
                <w:highlight w:val="none"/>
                <w:lang w:eastAsia="zh-CN"/>
              </w:rPr>
            </w:pPr>
          </w:p>
          <w:p w14:paraId="52BABD79">
            <w:pPr>
              <w:pStyle w:val="2857"/>
              <w:widowControl/>
              <w:spacing w:line="360" w:lineRule="exact"/>
              <w:jc w:val="center"/>
              <w:rPr>
                <w:rFonts w:ascii="Times New Roman" w:hAnsi="Times New Roman" w:cs="Times New Roman"/>
                <w:color w:val="auto"/>
                <w:w w:val="99"/>
                <w:sz w:val="21"/>
                <w:szCs w:val="21"/>
                <w:highlight w:val="none"/>
                <w:lang w:eastAsia="zh-CN"/>
              </w:rPr>
            </w:pPr>
          </w:p>
          <w:p w14:paraId="6103B581">
            <w:pPr>
              <w:pStyle w:val="2857"/>
              <w:widowControl/>
              <w:spacing w:line="360" w:lineRule="exact"/>
              <w:jc w:val="center"/>
              <w:rPr>
                <w:rFonts w:ascii="Times New Roman" w:hAnsi="Times New Roman" w:cs="Times New Roman"/>
                <w:color w:val="auto"/>
                <w:w w:val="99"/>
                <w:sz w:val="21"/>
                <w:szCs w:val="21"/>
                <w:highlight w:val="none"/>
                <w:lang w:eastAsia="zh-CN"/>
              </w:rPr>
            </w:pPr>
          </w:p>
          <w:p w14:paraId="6656FAF1">
            <w:pPr>
              <w:pStyle w:val="2857"/>
              <w:widowControl/>
              <w:spacing w:line="360" w:lineRule="exact"/>
              <w:jc w:val="center"/>
              <w:rPr>
                <w:rFonts w:ascii="Times New Roman" w:hAnsi="Times New Roman" w:cs="Times New Roman"/>
                <w:color w:val="auto"/>
                <w:w w:val="99"/>
                <w:sz w:val="21"/>
                <w:szCs w:val="21"/>
                <w:highlight w:val="none"/>
                <w:lang w:eastAsia="zh-CN"/>
              </w:rPr>
            </w:pPr>
          </w:p>
          <w:p w14:paraId="31E5CAAA">
            <w:pPr>
              <w:pStyle w:val="2857"/>
              <w:widowControl/>
              <w:spacing w:line="360" w:lineRule="exact"/>
              <w:jc w:val="center"/>
              <w:rPr>
                <w:rFonts w:ascii="Times New Roman" w:hAnsi="Times New Roman" w:cs="Times New Roman"/>
                <w:color w:val="auto"/>
                <w:w w:val="99"/>
                <w:sz w:val="21"/>
                <w:szCs w:val="21"/>
                <w:highlight w:val="none"/>
                <w:lang w:eastAsia="zh-CN"/>
              </w:rPr>
            </w:pPr>
          </w:p>
          <w:p w14:paraId="579CB0CD">
            <w:pPr>
              <w:pStyle w:val="2857"/>
              <w:widowControl/>
              <w:spacing w:line="360" w:lineRule="exact"/>
              <w:jc w:val="center"/>
              <w:rPr>
                <w:rFonts w:ascii="Times New Roman" w:hAnsi="Times New Roman" w:cs="Times New Roman"/>
                <w:color w:val="auto"/>
                <w:w w:val="99"/>
                <w:sz w:val="21"/>
                <w:szCs w:val="21"/>
                <w:highlight w:val="none"/>
                <w:lang w:eastAsia="zh-CN"/>
              </w:rPr>
            </w:pPr>
          </w:p>
          <w:p w14:paraId="31378888">
            <w:pPr>
              <w:pStyle w:val="2857"/>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地下水保护</w:t>
            </w:r>
          </w:p>
        </w:tc>
        <w:tc>
          <w:tcPr>
            <w:tcW w:w="1450" w:type="pct"/>
            <w:tcBorders>
              <w:top w:val="single" w:color="auto" w:sz="4" w:space="0"/>
              <w:left w:val="single" w:color="auto" w:sz="4" w:space="0"/>
              <w:bottom w:val="single" w:color="auto" w:sz="4" w:space="0"/>
              <w:right w:val="single" w:color="auto" w:sz="4" w:space="0"/>
            </w:tcBorders>
            <w:vAlign w:val="center"/>
          </w:tcPr>
          <w:p w14:paraId="3A7D9E00">
            <w:pPr>
              <w:pStyle w:val="2857"/>
              <w:widowControl/>
              <w:spacing w:line="360" w:lineRule="exact"/>
              <w:jc w:val="center"/>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采气</w:t>
            </w:r>
            <w:r>
              <w:rPr>
                <w:rFonts w:ascii="Times New Roman" w:hAnsi="Times New Roman" w:cs="Times New Roman"/>
                <w:color w:val="auto"/>
                <w:w w:val="99"/>
                <w:sz w:val="21"/>
                <w:szCs w:val="21"/>
                <w:highlight w:val="none"/>
              </w:rPr>
              <w:t>管道</w:t>
            </w:r>
          </w:p>
        </w:tc>
        <w:tc>
          <w:tcPr>
            <w:tcW w:w="1691" w:type="pct"/>
            <w:tcBorders>
              <w:top w:val="single" w:color="auto" w:sz="4" w:space="0"/>
              <w:left w:val="single" w:color="auto" w:sz="4" w:space="0"/>
              <w:bottom w:val="single" w:color="auto" w:sz="4" w:space="0"/>
              <w:right w:val="single" w:color="auto" w:sz="4" w:space="0"/>
            </w:tcBorders>
          </w:tcPr>
          <w:p w14:paraId="0023429E">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重点防渗区</w:t>
            </w:r>
            <w:r>
              <w:rPr>
                <w:rFonts w:hint="eastAsia" w:ascii="Times New Roman" w:hAnsi="Times New Roman" w:cs="Times New Roman"/>
                <w:color w:val="auto"/>
                <w:w w:val="99"/>
                <w:sz w:val="21"/>
                <w:szCs w:val="21"/>
                <w:highlight w:val="none"/>
                <w:lang w:eastAsia="zh-CN"/>
              </w:rPr>
              <w:t>，</w:t>
            </w:r>
            <w:r>
              <w:rPr>
                <w:rFonts w:ascii="Times New Roman" w:hAnsi="Times New Roman" w:cs="Times New Roman"/>
                <w:color w:val="auto"/>
                <w:w w:val="99"/>
                <w:sz w:val="21"/>
                <w:szCs w:val="21"/>
                <w:highlight w:val="none"/>
                <w:lang w:eastAsia="zh-CN"/>
              </w:rPr>
              <w:t>满足《环境影响评价</w:t>
            </w:r>
          </w:p>
          <w:p w14:paraId="63BF47FE">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技术导则地下水环境》（HJ610-</w:t>
            </w:r>
          </w:p>
          <w:p w14:paraId="3C39B5A4">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2016）中重点防渗区防渗技术要求</w:t>
            </w:r>
          </w:p>
          <w:p w14:paraId="0CFA18B1">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（等效黏土防渗层 Mb≥6m，</w:t>
            </w:r>
          </w:p>
          <w:p w14:paraId="7191F60B">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rPr>
              <w:t>K≤1×10</w:t>
            </w:r>
            <w:r>
              <w:rPr>
                <w:rFonts w:ascii="Times New Roman" w:hAnsi="Times New Roman" w:cs="Times New Roman"/>
                <w:color w:val="auto"/>
                <w:w w:val="99"/>
                <w:sz w:val="21"/>
                <w:szCs w:val="21"/>
                <w:highlight w:val="none"/>
                <w:vertAlign w:val="superscript"/>
              </w:rPr>
              <w:t>-7</w:t>
            </w:r>
            <w:r>
              <w:rPr>
                <w:rFonts w:ascii="Times New Roman" w:hAnsi="Times New Roman" w:cs="Times New Roman"/>
                <w:color w:val="auto"/>
                <w:w w:val="99"/>
                <w:sz w:val="21"/>
                <w:szCs w:val="21"/>
                <w:highlight w:val="none"/>
              </w:rPr>
              <w:t>cm/s）</w:t>
            </w:r>
            <w:r>
              <w:rPr>
                <w:rFonts w:hint="eastAsia" w:ascii="Times New Roman" w:hAnsi="Times New Roman" w:cs="Times New Roman"/>
                <w:color w:val="auto"/>
                <w:w w:val="99"/>
                <w:sz w:val="21"/>
                <w:szCs w:val="21"/>
                <w:highlight w:val="none"/>
                <w:lang w:eastAsia="zh-CN"/>
              </w:rPr>
              <w:t>；</w:t>
            </w:r>
          </w:p>
        </w:tc>
      </w:tr>
      <w:tr w14:paraId="18C27E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2" w:hRule="atLeast"/>
        </w:trPr>
        <w:tc>
          <w:tcPr>
            <w:tcW w:w="1858" w:type="pct"/>
            <w:gridSpan w:val="3"/>
            <w:vMerge w:val="continue"/>
            <w:tcBorders>
              <w:left w:val="single" w:color="auto" w:sz="4" w:space="0"/>
              <w:right w:val="single" w:color="auto" w:sz="4" w:space="0"/>
            </w:tcBorders>
          </w:tcPr>
          <w:p w14:paraId="1511E0F7">
            <w:pPr>
              <w:pStyle w:val="2857"/>
              <w:widowControl/>
              <w:spacing w:line="360" w:lineRule="exact"/>
              <w:jc w:val="center"/>
              <w:rPr>
                <w:rFonts w:ascii="Times New Roman" w:hAnsi="Times New Roman" w:cs="Times New Roman"/>
                <w:color w:val="auto"/>
                <w:w w:val="99"/>
                <w:sz w:val="21"/>
                <w:szCs w:val="21"/>
                <w:highlight w:val="none"/>
              </w:rPr>
            </w:pPr>
          </w:p>
        </w:tc>
        <w:tc>
          <w:tcPr>
            <w:tcW w:w="1450" w:type="pct"/>
            <w:tcBorders>
              <w:top w:val="single" w:color="auto" w:sz="4" w:space="0"/>
              <w:left w:val="single" w:color="auto" w:sz="4" w:space="0"/>
              <w:bottom w:val="single" w:color="auto" w:sz="4" w:space="0"/>
              <w:right w:val="single" w:color="auto" w:sz="4" w:space="0"/>
            </w:tcBorders>
          </w:tcPr>
          <w:p w14:paraId="69F027EA">
            <w:pPr>
              <w:pStyle w:val="2857"/>
              <w:widowControl/>
              <w:spacing w:line="360" w:lineRule="exact"/>
              <w:jc w:val="center"/>
              <w:rPr>
                <w:rFonts w:ascii="Times New Roman" w:hAnsi="Times New Roman" w:cs="Times New Roman"/>
                <w:color w:val="auto"/>
                <w:w w:val="99"/>
                <w:sz w:val="21"/>
                <w:szCs w:val="21"/>
                <w:highlight w:val="none"/>
                <w:lang w:eastAsia="zh-CN"/>
              </w:rPr>
            </w:pPr>
            <w:r>
              <w:rPr>
                <w:rFonts w:hint="eastAsia" w:ascii="Times New Roman" w:hAnsi="Times New Roman" w:cs="Times New Roman"/>
                <w:color w:val="auto"/>
                <w:w w:val="99"/>
                <w:sz w:val="21"/>
                <w:szCs w:val="21"/>
                <w:highlight w:val="none"/>
                <w:lang w:eastAsia="zh-CN"/>
              </w:rPr>
              <w:t>徐深27集气站新建的进站阀组、生产阀组；井场阀组、放空池</w:t>
            </w:r>
            <w:r>
              <w:rPr>
                <w:rFonts w:ascii="Times New Roman" w:hAnsi="Times New Roman" w:cs="Times New Roman"/>
                <w:color w:val="auto"/>
                <w:w w:val="99"/>
                <w:sz w:val="21"/>
                <w:szCs w:val="21"/>
                <w:highlight w:val="none"/>
                <w:lang w:eastAsia="zh-CN"/>
              </w:rPr>
              <w:t>；</w:t>
            </w:r>
          </w:p>
        </w:tc>
        <w:tc>
          <w:tcPr>
            <w:tcW w:w="1691" w:type="pct"/>
            <w:tcBorders>
              <w:top w:val="single" w:color="auto" w:sz="4" w:space="0"/>
              <w:left w:val="single" w:color="auto" w:sz="4" w:space="0"/>
              <w:bottom w:val="single" w:color="auto" w:sz="4" w:space="0"/>
              <w:right w:val="single" w:color="auto" w:sz="4" w:space="0"/>
            </w:tcBorders>
          </w:tcPr>
          <w:p w14:paraId="3D382116">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一般防渗区</w:t>
            </w:r>
            <w:r>
              <w:rPr>
                <w:rFonts w:hint="eastAsia" w:ascii="Times New Roman" w:hAnsi="Times New Roman" w:cs="Times New Roman"/>
                <w:color w:val="auto"/>
                <w:w w:val="99"/>
                <w:sz w:val="21"/>
                <w:szCs w:val="21"/>
                <w:highlight w:val="none"/>
                <w:lang w:eastAsia="zh-CN"/>
              </w:rPr>
              <w:t>，</w:t>
            </w:r>
            <w:r>
              <w:rPr>
                <w:rFonts w:ascii="Times New Roman" w:hAnsi="Times New Roman" w:cs="Times New Roman"/>
                <w:color w:val="auto"/>
                <w:w w:val="99"/>
                <w:sz w:val="21"/>
                <w:szCs w:val="21"/>
                <w:highlight w:val="none"/>
                <w:lang w:eastAsia="zh-CN"/>
              </w:rPr>
              <w:t>满足《环境影响评价</w:t>
            </w:r>
          </w:p>
          <w:p w14:paraId="2D5A241B">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技术导则地下水环境》（HJ610-</w:t>
            </w:r>
          </w:p>
          <w:p w14:paraId="7627F4D9">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2016）中一般防渗区防渗技术要求</w:t>
            </w:r>
          </w:p>
          <w:p w14:paraId="75E92F40">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（等效黏土防渗层 Mb≥1.5m，</w:t>
            </w:r>
          </w:p>
          <w:p w14:paraId="0DC6A55C">
            <w:pPr>
              <w:pStyle w:val="2857"/>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K≤1×10</w:t>
            </w:r>
            <w:r>
              <w:rPr>
                <w:rFonts w:ascii="Times New Roman" w:hAnsi="Times New Roman" w:cs="Times New Roman"/>
                <w:color w:val="auto"/>
                <w:w w:val="99"/>
                <w:sz w:val="21"/>
                <w:szCs w:val="21"/>
                <w:highlight w:val="none"/>
                <w:vertAlign w:val="superscript"/>
              </w:rPr>
              <w:t>-7</w:t>
            </w:r>
            <w:r>
              <w:rPr>
                <w:rFonts w:ascii="Times New Roman" w:hAnsi="Times New Roman" w:cs="Times New Roman"/>
                <w:color w:val="auto"/>
                <w:w w:val="99"/>
                <w:sz w:val="21"/>
                <w:szCs w:val="21"/>
                <w:highlight w:val="none"/>
              </w:rPr>
              <w:t>cm/s）</w:t>
            </w:r>
          </w:p>
        </w:tc>
      </w:tr>
      <w:tr w14:paraId="1DC6E4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1858" w:type="pct"/>
            <w:gridSpan w:val="3"/>
            <w:vMerge w:val="continue"/>
            <w:tcBorders>
              <w:left w:val="single" w:color="auto" w:sz="4" w:space="0"/>
              <w:right w:val="single" w:color="auto" w:sz="4" w:space="0"/>
            </w:tcBorders>
          </w:tcPr>
          <w:p w14:paraId="7882C541">
            <w:pPr>
              <w:pStyle w:val="2857"/>
              <w:widowControl/>
              <w:spacing w:line="360" w:lineRule="exact"/>
              <w:jc w:val="center"/>
              <w:rPr>
                <w:rFonts w:ascii="Times New Roman" w:hAnsi="Times New Roman" w:cs="Times New Roman"/>
                <w:color w:val="auto"/>
                <w:w w:val="99"/>
                <w:sz w:val="21"/>
                <w:szCs w:val="21"/>
                <w:highlight w:val="none"/>
              </w:rPr>
            </w:pPr>
          </w:p>
        </w:tc>
        <w:tc>
          <w:tcPr>
            <w:tcW w:w="1450" w:type="pct"/>
            <w:tcBorders>
              <w:top w:val="single" w:color="auto" w:sz="4" w:space="0"/>
              <w:left w:val="single" w:color="auto" w:sz="4" w:space="0"/>
              <w:bottom w:val="single" w:color="auto" w:sz="4" w:space="0"/>
              <w:right w:val="single" w:color="auto" w:sz="4" w:space="0"/>
            </w:tcBorders>
            <w:vAlign w:val="center"/>
          </w:tcPr>
          <w:p w14:paraId="4BD64BF8">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rPr>
              <w:t>井场其他区域</w:t>
            </w:r>
          </w:p>
        </w:tc>
        <w:tc>
          <w:tcPr>
            <w:tcW w:w="1691" w:type="pct"/>
            <w:tcBorders>
              <w:top w:val="single" w:color="auto" w:sz="4" w:space="0"/>
              <w:left w:val="single" w:color="auto" w:sz="4" w:space="0"/>
              <w:bottom w:val="single" w:color="auto" w:sz="4" w:space="0"/>
              <w:right w:val="single" w:color="auto" w:sz="4" w:space="0"/>
            </w:tcBorders>
          </w:tcPr>
          <w:p w14:paraId="772D3E95">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简单防渗区，采取地面夯实、碾压平整等措施，执行《环境影响评价技术导则 地下水环境》（HJ610- 2016）中要求：进行一般地面硬化</w:t>
            </w:r>
          </w:p>
        </w:tc>
      </w:tr>
      <w:tr w14:paraId="35B707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1858" w:type="pct"/>
            <w:gridSpan w:val="3"/>
            <w:vMerge w:val="continue"/>
            <w:tcBorders>
              <w:left w:val="single" w:color="auto" w:sz="4" w:space="0"/>
              <w:bottom w:val="single" w:color="auto" w:sz="4" w:space="0"/>
              <w:right w:val="single" w:color="auto" w:sz="4" w:space="0"/>
            </w:tcBorders>
          </w:tcPr>
          <w:p w14:paraId="72258FDD">
            <w:pPr>
              <w:pStyle w:val="2857"/>
              <w:widowControl/>
              <w:spacing w:line="360" w:lineRule="exact"/>
              <w:jc w:val="center"/>
              <w:rPr>
                <w:rFonts w:ascii="Times New Roman" w:hAnsi="Times New Roman" w:cs="Times New Roman"/>
                <w:color w:val="auto"/>
                <w:w w:val="99"/>
                <w:sz w:val="21"/>
                <w:szCs w:val="21"/>
                <w:highlight w:val="none"/>
                <w:lang w:eastAsia="zh-CN"/>
              </w:rPr>
            </w:pPr>
          </w:p>
        </w:tc>
        <w:tc>
          <w:tcPr>
            <w:tcW w:w="1450" w:type="pct"/>
            <w:tcBorders>
              <w:top w:val="single" w:color="auto" w:sz="4" w:space="0"/>
              <w:left w:val="single" w:color="auto" w:sz="4" w:space="0"/>
              <w:bottom w:val="single" w:color="auto" w:sz="4" w:space="0"/>
              <w:right w:val="single" w:color="auto" w:sz="4" w:space="0"/>
            </w:tcBorders>
            <w:vAlign w:val="center"/>
          </w:tcPr>
          <w:p w14:paraId="260D1682">
            <w:pPr>
              <w:widowControl w:val="0"/>
              <w:snapToGrid w:val="0"/>
              <w:spacing w:line="320" w:lineRule="exact"/>
              <w:jc w:val="center"/>
              <w:rPr>
                <w:rFonts w:ascii="Times New Roman" w:hAnsi="Times New Roman"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eastAsia="en-US"/>
              </w:rPr>
              <w:t>区域、下游布设3口</w:t>
            </w:r>
            <w:r>
              <w:rPr>
                <w:rFonts w:ascii="Times New Roman" w:hAnsi="Times New Roman" w:cs="Times New Roman"/>
                <w:color w:val="auto"/>
                <w:w w:val="99"/>
                <w:sz w:val="21"/>
                <w:szCs w:val="21"/>
                <w:highlight w:val="none"/>
                <w:lang w:eastAsia="en-US"/>
              </w:rPr>
              <w:t>跟踪监测井</w:t>
            </w:r>
            <w:r>
              <w:rPr>
                <w:rFonts w:hint="eastAsia" w:ascii="Times New Roman" w:hAnsi="Times New Roman" w:cs="Times New Roman"/>
                <w:color w:val="auto"/>
                <w:w w:val="99"/>
                <w:sz w:val="21"/>
                <w:szCs w:val="21"/>
                <w:highlight w:val="none"/>
                <w:lang w:eastAsia="en-US"/>
              </w:rPr>
              <w:t>，</w:t>
            </w:r>
            <w:r>
              <w:rPr>
                <w:rFonts w:ascii="Times New Roman" w:hAnsi="Times New Roman" w:cs="Times New Roman"/>
                <w:color w:val="auto"/>
                <w:w w:val="99"/>
                <w:sz w:val="21"/>
                <w:szCs w:val="21"/>
                <w:highlight w:val="none"/>
                <w:lang w:eastAsia="en-US"/>
              </w:rPr>
              <w:t xml:space="preserve"> </w:t>
            </w:r>
            <w:r>
              <w:rPr>
                <w:rFonts w:hint="eastAsia" w:ascii="Times New Roman" w:hAnsi="Times New Roman" w:cs="Times New Roman"/>
                <w:color w:val="auto"/>
                <w:w w:val="99"/>
                <w:sz w:val="21"/>
                <w:szCs w:val="21"/>
                <w:highlight w:val="none"/>
                <w:lang w:eastAsia="en-US"/>
              </w:rPr>
              <w:t>分别为</w:t>
            </w:r>
            <w:r>
              <w:rPr>
                <w:rFonts w:hint="eastAsia" w:ascii="Times New Roman" w:hAnsi="Times New Roman" w:cs="Times New Roman" w:eastAsiaTheme="minorEastAsia"/>
                <w:color w:val="auto"/>
                <w:w w:val="99"/>
                <w:sz w:val="21"/>
                <w:szCs w:val="21"/>
                <w:highlight w:val="none"/>
                <w:lang w:eastAsia="en-US"/>
              </w:rPr>
              <w:t>王家围子屯潜水</w:t>
            </w:r>
            <w:r>
              <w:rPr>
                <w:rFonts w:ascii="Times New Roman" w:hAnsi="Times New Roman" w:cs="Times New Roman" w:eastAsiaTheme="minorEastAsia"/>
                <w:color w:val="auto"/>
                <w:w w:val="99"/>
                <w:sz w:val="21"/>
                <w:szCs w:val="21"/>
                <w:highlight w:val="none"/>
                <w:lang w:eastAsia="en-US"/>
              </w:rPr>
              <w:t>井</w:t>
            </w:r>
            <w:r>
              <w:rPr>
                <w:rFonts w:hint="eastAsia" w:ascii="Times New Roman" w:hAnsi="Times New Roman" w:cs="Times New Roman" w:eastAsiaTheme="minorEastAsia"/>
                <w:color w:val="auto"/>
                <w:w w:val="99"/>
                <w:sz w:val="21"/>
                <w:szCs w:val="21"/>
                <w:highlight w:val="none"/>
                <w:lang w:eastAsia="en-US"/>
              </w:rPr>
              <w:t>（125.51499，45.90631），位于拟建管线东北侧850m（上游）；福龙村（尚家围子屯）潜水</w:t>
            </w:r>
            <w:r>
              <w:rPr>
                <w:rFonts w:ascii="Times New Roman" w:hAnsi="Times New Roman" w:cs="Times New Roman" w:eastAsiaTheme="minorEastAsia"/>
                <w:color w:val="auto"/>
                <w:w w:val="99"/>
                <w:sz w:val="21"/>
                <w:szCs w:val="21"/>
                <w:highlight w:val="none"/>
                <w:lang w:eastAsia="en-US"/>
              </w:rPr>
              <w:t>井</w:t>
            </w:r>
            <w:r>
              <w:rPr>
                <w:rFonts w:hint="eastAsia" w:ascii="Times New Roman" w:hAnsi="Times New Roman" w:cs="Times New Roman" w:eastAsiaTheme="minorEastAsia"/>
                <w:color w:val="auto"/>
                <w:w w:val="99"/>
                <w:sz w:val="21"/>
                <w:szCs w:val="21"/>
                <w:highlight w:val="none"/>
                <w:lang w:eastAsia="en-US"/>
              </w:rPr>
              <w:t>（125.50506，45.89648），位于拟建管线西南侧300m（下游）；杨家屯潜水</w:t>
            </w:r>
            <w:r>
              <w:rPr>
                <w:rFonts w:ascii="Times New Roman" w:hAnsi="Times New Roman" w:cs="Times New Roman" w:eastAsiaTheme="minorEastAsia"/>
                <w:color w:val="auto"/>
                <w:w w:val="99"/>
                <w:sz w:val="21"/>
                <w:szCs w:val="21"/>
                <w:highlight w:val="none"/>
                <w:lang w:eastAsia="en-US"/>
              </w:rPr>
              <w:t>井</w:t>
            </w:r>
            <w:r>
              <w:rPr>
                <w:rFonts w:hint="eastAsia" w:ascii="Times New Roman" w:hAnsi="Times New Roman" w:cs="Times New Roman" w:eastAsiaTheme="minorEastAsia"/>
                <w:color w:val="auto"/>
                <w:w w:val="99"/>
                <w:sz w:val="21"/>
                <w:szCs w:val="21"/>
                <w:highlight w:val="none"/>
                <w:lang w:eastAsia="en-US"/>
              </w:rPr>
              <w:t>（125.50161，45.88171），位于拟建27-H1井场西南侧1200m（下游）。</w:t>
            </w:r>
          </w:p>
        </w:tc>
        <w:tc>
          <w:tcPr>
            <w:tcW w:w="1691" w:type="pct"/>
            <w:tcBorders>
              <w:top w:val="single" w:color="auto" w:sz="4" w:space="0"/>
              <w:left w:val="single" w:color="auto" w:sz="4" w:space="0"/>
              <w:bottom w:val="single" w:color="auto" w:sz="4" w:space="0"/>
              <w:right w:val="single" w:color="auto" w:sz="4" w:space="0"/>
            </w:tcBorders>
          </w:tcPr>
          <w:p w14:paraId="5F255191">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布设</w:t>
            </w:r>
            <w:r>
              <w:rPr>
                <w:rFonts w:hint="eastAsia" w:ascii="Times New Roman" w:hAnsi="Times New Roman" w:cs="Times New Roman"/>
                <w:color w:val="auto"/>
                <w:w w:val="99"/>
                <w:sz w:val="21"/>
                <w:szCs w:val="21"/>
                <w:highlight w:val="none"/>
                <w:lang w:eastAsia="zh-CN"/>
              </w:rPr>
              <w:t>3</w:t>
            </w:r>
            <w:r>
              <w:rPr>
                <w:rFonts w:ascii="Times New Roman" w:hAnsi="Times New Roman" w:cs="Times New Roman"/>
                <w:color w:val="auto"/>
                <w:w w:val="99"/>
                <w:sz w:val="21"/>
                <w:szCs w:val="21"/>
                <w:highlight w:val="none"/>
                <w:lang w:eastAsia="zh-CN"/>
              </w:rPr>
              <w:t>口地下水跟踪监测井，定期监测，地下水水质执行《地下水质量标准》（GB/T14848-2017）III 类标准，石油类参照《地表水环境质量标准》（GB3838-2002）中 II 类标准</w:t>
            </w:r>
          </w:p>
        </w:tc>
      </w:tr>
      <w:tr w14:paraId="7A7B1D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1858" w:type="pct"/>
            <w:gridSpan w:val="3"/>
            <w:tcBorders>
              <w:top w:val="single" w:color="auto" w:sz="4" w:space="0"/>
              <w:left w:val="single" w:color="auto" w:sz="4" w:space="0"/>
              <w:bottom w:val="single" w:color="auto" w:sz="4" w:space="0"/>
              <w:right w:val="single" w:color="auto" w:sz="4" w:space="0"/>
            </w:tcBorders>
            <w:vAlign w:val="center"/>
          </w:tcPr>
          <w:p w14:paraId="49A50C68">
            <w:pPr>
              <w:pStyle w:val="2857"/>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土壤保护</w:t>
            </w:r>
          </w:p>
        </w:tc>
        <w:tc>
          <w:tcPr>
            <w:tcW w:w="1450" w:type="pct"/>
            <w:tcBorders>
              <w:top w:val="single" w:color="auto" w:sz="4" w:space="0"/>
              <w:left w:val="single" w:color="auto" w:sz="4" w:space="0"/>
              <w:bottom w:val="single" w:color="auto" w:sz="4" w:space="0"/>
              <w:right w:val="single" w:color="auto" w:sz="4" w:space="0"/>
            </w:tcBorders>
            <w:vAlign w:val="center"/>
          </w:tcPr>
          <w:p w14:paraId="5BD9DEE0">
            <w:pPr>
              <w:pStyle w:val="2857"/>
              <w:widowControl/>
              <w:spacing w:line="360" w:lineRule="exact"/>
              <w:jc w:val="center"/>
              <w:rPr>
                <w:rFonts w:ascii="Times New Roman" w:hAnsi="Times New Roman" w:cs="Times New Roman"/>
                <w:color w:val="auto"/>
                <w:w w:val="99"/>
                <w:sz w:val="21"/>
                <w:szCs w:val="21"/>
                <w:highlight w:val="none"/>
                <w:lang w:eastAsia="zh-CN"/>
              </w:rPr>
            </w:pPr>
            <w:r>
              <w:rPr>
                <w:rFonts w:hint="eastAsia" w:ascii="Times New Roman" w:hAnsi="Times New Roman" w:cs="Times New Roman" w:eastAsiaTheme="minorEastAsia"/>
                <w:bCs/>
                <w:color w:val="auto"/>
                <w:w w:val="99"/>
                <w:kern w:val="2"/>
                <w:sz w:val="21"/>
                <w:szCs w:val="21"/>
                <w:highlight w:val="none"/>
                <w:lang w:eastAsia="zh-CN"/>
              </w:rPr>
              <w:t>徐深27-H1井</w:t>
            </w:r>
            <w:r>
              <w:rPr>
                <w:rFonts w:ascii="Times New Roman" w:hAnsi="Times New Roman" w:cs="Times New Roman" w:eastAsiaTheme="minorEastAsia"/>
                <w:bCs/>
                <w:color w:val="auto"/>
                <w:w w:val="99"/>
                <w:kern w:val="2"/>
                <w:sz w:val="21"/>
                <w:szCs w:val="21"/>
                <w:highlight w:val="none"/>
                <w:lang w:eastAsia="zh-CN"/>
              </w:rPr>
              <w:t>井场</w:t>
            </w:r>
            <w:r>
              <w:rPr>
                <w:rFonts w:ascii="Times New Roman" w:hAnsi="Times New Roman" w:cs="Times New Roman"/>
                <w:color w:val="auto"/>
                <w:w w:val="99"/>
                <w:sz w:val="21"/>
                <w:szCs w:val="21"/>
                <w:highlight w:val="none"/>
                <w:lang w:eastAsia="zh-CN"/>
              </w:rPr>
              <w:t>永久占地内、</w:t>
            </w:r>
            <w:r>
              <w:rPr>
                <w:rFonts w:hint="eastAsia" w:ascii="Times New Roman" w:hAnsi="Times New Roman" w:cs="Times New Roman" w:eastAsiaTheme="minorEastAsia"/>
                <w:bCs/>
                <w:color w:val="auto"/>
                <w:w w:val="99"/>
                <w:kern w:val="2"/>
                <w:sz w:val="21"/>
                <w:szCs w:val="21"/>
                <w:highlight w:val="none"/>
                <w:lang w:eastAsia="zh-CN"/>
              </w:rPr>
              <w:t>徐深27-H1</w:t>
            </w:r>
            <w:r>
              <w:rPr>
                <w:rFonts w:ascii="Times New Roman" w:hAnsi="Times New Roman" w:cs="Times New Roman" w:eastAsiaTheme="minorEastAsia"/>
                <w:bCs/>
                <w:color w:val="auto"/>
                <w:w w:val="99"/>
                <w:kern w:val="2"/>
                <w:sz w:val="21"/>
                <w:szCs w:val="21"/>
                <w:highlight w:val="none"/>
                <w:lang w:eastAsia="zh-CN"/>
              </w:rPr>
              <w:t>井场</w:t>
            </w:r>
            <w:r>
              <w:rPr>
                <w:rFonts w:ascii="Times New Roman" w:hAnsi="Times New Roman" w:cs="Times New Roman"/>
                <w:color w:val="auto"/>
                <w:w w:val="99"/>
                <w:sz w:val="21"/>
                <w:szCs w:val="21"/>
                <w:highlight w:val="none"/>
                <w:lang w:eastAsia="zh-CN"/>
              </w:rPr>
              <w:t>永久占地</w:t>
            </w:r>
            <w:r>
              <w:rPr>
                <w:rFonts w:hint="eastAsia" w:ascii="Times New Roman" w:hAnsi="Times New Roman" w:cs="Times New Roman"/>
                <w:color w:val="auto"/>
                <w:w w:val="99"/>
                <w:sz w:val="21"/>
                <w:szCs w:val="21"/>
                <w:highlight w:val="none"/>
                <w:lang w:eastAsia="zh-CN"/>
              </w:rPr>
              <w:t>南侧</w:t>
            </w:r>
            <w:r>
              <w:rPr>
                <w:rFonts w:ascii="Times New Roman" w:hAnsi="Times New Roman" w:cs="Times New Roman"/>
                <w:color w:val="auto"/>
                <w:w w:val="99"/>
                <w:sz w:val="21"/>
                <w:szCs w:val="21"/>
                <w:highlight w:val="none"/>
                <w:lang w:eastAsia="zh-CN"/>
              </w:rPr>
              <w:t xml:space="preserve"> </w:t>
            </w:r>
            <w:r>
              <w:rPr>
                <w:rFonts w:hint="eastAsia" w:ascii="Times New Roman" w:hAnsi="Times New Roman" w:cs="Times New Roman"/>
                <w:color w:val="auto"/>
                <w:w w:val="99"/>
                <w:sz w:val="21"/>
                <w:szCs w:val="21"/>
                <w:highlight w:val="none"/>
                <w:lang w:eastAsia="zh-CN"/>
              </w:rPr>
              <w:t>200</w:t>
            </w:r>
            <w:r>
              <w:rPr>
                <w:rFonts w:ascii="Times New Roman" w:hAnsi="Times New Roman" w:cs="Times New Roman"/>
                <w:color w:val="auto"/>
                <w:w w:val="99"/>
                <w:sz w:val="21"/>
                <w:szCs w:val="21"/>
                <w:highlight w:val="none"/>
                <w:lang w:eastAsia="zh-CN"/>
              </w:rPr>
              <w:t>m处耕地处土壤分别布设土壤跟踪监测点</w:t>
            </w:r>
          </w:p>
        </w:tc>
        <w:tc>
          <w:tcPr>
            <w:tcW w:w="1691" w:type="pct"/>
            <w:tcBorders>
              <w:top w:val="single" w:color="auto" w:sz="4" w:space="0"/>
              <w:left w:val="single" w:color="auto" w:sz="4" w:space="0"/>
              <w:bottom w:val="single" w:color="auto" w:sz="4" w:space="0"/>
              <w:right w:val="single" w:color="auto" w:sz="4" w:space="0"/>
            </w:tcBorders>
          </w:tcPr>
          <w:p w14:paraId="50482332">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布设 2 个土壤跟踪监测点，定期对土壤环境进行监测，井场永久占地内执行《土壤环境质量 建设用地土壤污染风险管控标准（试行）》 （GB36600-2018）中第二类用地风险筛选值； 井场永久 占地外执行《土壤环境质量 农用地土壤污染风险管控标准（试行）》（GB15618- 2018）表 1  农用地土壤污染风险筛选值</w:t>
            </w:r>
          </w:p>
        </w:tc>
      </w:tr>
      <w:tr w14:paraId="3D2CDB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468" w:type="pct"/>
            <w:vMerge w:val="restart"/>
            <w:tcBorders>
              <w:top w:val="single" w:color="auto" w:sz="4" w:space="0"/>
              <w:left w:val="single" w:color="auto" w:sz="4" w:space="0"/>
              <w:bottom w:val="single" w:color="auto" w:sz="4" w:space="0"/>
              <w:right w:val="single" w:color="auto" w:sz="4" w:space="0"/>
            </w:tcBorders>
            <w:vAlign w:val="center"/>
          </w:tcPr>
          <w:p w14:paraId="602BF1D1">
            <w:pPr>
              <w:pStyle w:val="2857"/>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生态恢复</w:t>
            </w:r>
          </w:p>
        </w:tc>
        <w:tc>
          <w:tcPr>
            <w:tcW w:w="1390" w:type="pct"/>
            <w:gridSpan w:val="2"/>
            <w:tcBorders>
              <w:top w:val="single" w:color="auto" w:sz="4" w:space="0"/>
              <w:left w:val="single" w:color="auto" w:sz="4" w:space="0"/>
              <w:bottom w:val="single" w:color="auto" w:sz="4" w:space="0"/>
              <w:right w:val="single" w:color="auto" w:sz="4" w:space="0"/>
            </w:tcBorders>
            <w:vAlign w:val="center"/>
          </w:tcPr>
          <w:p w14:paraId="10E8BA6B">
            <w:pPr>
              <w:pStyle w:val="2857"/>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临时占地</w:t>
            </w:r>
          </w:p>
        </w:tc>
        <w:tc>
          <w:tcPr>
            <w:tcW w:w="1450" w:type="pct"/>
            <w:tcBorders>
              <w:top w:val="single" w:color="auto" w:sz="4" w:space="0"/>
              <w:left w:val="single" w:color="auto" w:sz="4" w:space="0"/>
              <w:bottom w:val="single" w:color="auto" w:sz="4" w:space="0"/>
              <w:right w:val="single" w:color="auto" w:sz="4" w:space="0"/>
            </w:tcBorders>
            <w:vAlign w:val="center"/>
          </w:tcPr>
          <w:p w14:paraId="4B444608">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 xml:space="preserve">临时占地 </w:t>
            </w:r>
            <w:r>
              <w:rPr>
                <w:rFonts w:hint="eastAsia" w:ascii="Times New Roman" w:hAnsi="Times New Roman" w:cs="Times New Roman"/>
                <w:color w:val="auto"/>
                <w:w w:val="99"/>
                <w:sz w:val="21"/>
                <w:szCs w:val="21"/>
                <w:highlight w:val="none"/>
                <w:lang w:eastAsia="zh-CN"/>
              </w:rPr>
              <w:t>1.9229</w:t>
            </w:r>
            <w:r>
              <w:rPr>
                <w:rFonts w:ascii="Times New Roman" w:hAnsi="Times New Roman" w:cs="Times New Roman"/>
                <w:color w:val="auto"/>
                <w:w w:val="99"/>
                <w:sz w:val="21"/>
                <w:szCs w:val="21"/>
                <w:highlight w:val="none"/>
                <w:lang w:eastAsia="zh-CN"/>
              </w:rPr>
              <w:t>hm</w:t>
            </w:r>
            <w:r>
              <w:rPr>
                <w:rFonts w:ascii="Times New Roman" w:hAnsi="Times New Roman" w:cs="Times New Roman"/>
                <w:color w:val="auto"/>
                <w:w w:val="99"/>
                <w:sz w:val="21"/>
                <w:szCs w:val="21"/>
                <w:highlight w:val="none"/>
                <w:vertAlign w:val="superscript"/>
                <w:lang w:eastAsia="zh-CN"/>
              </w:rPr>
              <w:t>2</w:t>
            </w:r>
            <w:r>
              <w:rPr>
                <w:rFonts w:ascii="Times New Roman" w:hAnsi="Times New Roman" w:cs="Times New Roman"/>
                <w:color w:val="auto"/>
                <w:w w:val="99"/>
                <w:sz w:val="21"/>
                <w:szCs w:val="21"/>
                <w:highlight w:val="none"/>
                <w:lang w:eastAsia="zh-CN"/>
              </w:rPr>
              <w:t>，进行经济补偿。施工结束后恢复地表形态，并留存影像资料</w:t>
            </w:r>
          </w:p>
        </w:tc>
        <w:tc>
          <w:tcPr>
            <w:tcW w:w="1691" w:type="pct"/>
            <w:tcBorders>
              <w:top w:val="single" w:color="auto" w:sz="4" w:space="0"/>
              <w:left w:val="single" w:color="auto" w:sz="4" w:space="0"/>
              <w:bottom w:val="single" w:color="auto" w:sz="4" w:space="0"/>
              <w:right w:val="single" w:color="auto" w:sz="4" w:space="0"/>
            </w:tcBorders>
            <w:vAlign w:val="center"/>
          </w:tcPr>
          <w:p w14:paraId="153F6C5D">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 xml:space="preserve">施工结束后恢复临时占地 </w:t>
            </w:r>
            <w:r>
              <w:rPr>
                <w:rFonts w:hint="eastAsia" w:ascii="Times New Roman" w:hAnsi="Times New Roman" w:cs="Times New Roman"/>
                <w:color w:val="auto"/>
                <w:w w:val="99"/>
                <w:sz w:val="21"/>
                <w:szCs w:val="21"/>
                <w:highlight w:val="none"/>
                <w:lang w:eastAsia="zh-CN"/>
              </w:rPr>
              <w:t>1.9229</w:t>
            </w:r>
            <w:r>
              <w:rPr>
                <w:rFonts w:ascii="Times New Roman" w:hAnsi="Times New Roman" w:cs="Times New Roman"/>
                <w:color w:val="auto"/>
                <w:w w:val="99"/>
                <w:sz w:val="21"/>
                <w:szCs w:val="21"/>
                <w:highlight w:val="none"/>
                <w:lang w:eastAsia="zh-CN"/>
              </w:rPr>
              <w:t>hm</w:t>
            </w:r>
            <w:r>
              <w:rPr>
                <w:rFonts w:ascii="Times New Roman" w:hAnsi="Times New Roman" w:cs="Times New Roman"/>
                <w:color w:val="auto"/>
                <w:w w:val="99"/>
                <w:sz w:val="21"/>
                <w:szCs w:val="21"/>
                <w:highlight w:val="none"/>
                <w:vertAlign w:val="superscript"/>
                <w:lang w:eastAsia="zh-CN"/>
              </w:rPr>
              <w:t>2</w:t>
            </w:r>
          </w:p>
        </w:tc>
      </w:tr>
      <w:tr w14:paraId="480AE8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7" w:hRule="atLeast"/>
        </w:trPr>
        <w:tc>
          <w:tcPr>
            <w:tcW w:w="468" w:type="pct"/>
            <w:vMerge w:val="continue"/>
            <w:tcBorders>
              <w:top w:val="single" w:color="auto" w:sz="4" w:space="0"/>
              <w:left w:val="single" w:color="auto" w:sz="4" w:space="0"/>
              <w:bottom w:val="single" w:color="auto" w:sz="4" w:space="0"/>
              <w:right w:val="single" w:color="auto" w:sz="4" w:space="0"/>
            </w:tcBorders>
            <w:textDirection w:val="tbRlV"/>
          </w:tcPr>
          <w:p w14:paraId="7CFC84D4">
            <w:pPr>
              <w:pStyle w:val="2857"/>
              <w:widowControl/>
              <w:spacing w:line="360" w:lineRule="exact"/>
              <w:jc w:val="center"/>
              <w:rPr>
                <w:rFonts w:ascii="Times New Roman" w:hAnsi="Times New Roman" w:cs="Times New Roman"/>
                <w:color w:val="auto"/>
                <w:w w:val="99"/>
                <w:sz w:val="21"/>
                <w:szCs w:val="21"/>
                <w:highlight w:val="none"/>
                <w:lang w:eastAsia="zh-CN"/>
              </w:rPr>
            </w:pPr>
          </w:p>
        </w:tc>
        <w:tc>
          <w:tcPr>
            <w:tcW w:w="1390" w:type="pct"/>
            <w:gridSpan w:val="2"/>
            <w:tcBorders>
              <w:top w:val="single" w:color="auto" w:sz="4" w:space="0"/>
              <w:left w:val="single" w:color="auto" w:sz="4" w:space="0"/>
              <w:bottom w:val="single" w:color="auto" w:sz="4" w:space="0"/>
              <w:right w:val="single" w:color="auto" w:sz="4" w:space="0"/>
            </w:tcBorders>
            <w:vAlign w:val="center"/>
          </w:tcPr>
          <w:p w14:paraId="7E80B265">
            <w:pPr>
              <w:pStyle w:val="2857"/>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永久占地</w:t>
            </w:r>
          </w:p>
        </w:tc>
        <w:tc>
          <w:tcPr>
            <w:tcW w:w="1450" w:type="pct"/>
            <w:tcBorders>
              <w:top w:val="single" w:color="auto" w:sz="4" w:space="0"/>
              <w:left w:val="single" w:color="auto" w:sz="4" w:space="0"/>
              <w:bottom w:val="single" w:color="auto" w:sz="4" w:space="0"/>
              <w:right w:val="single" w:color="auto" w:sz="4" w:space="0"/>
            </w:tcBorders>
            <w:vAlign w:val="center"/>
          </w:tcPr>
          <w:p w14:paraId="2A48D6C9">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 xml:space="preserve">永久 占 地 </w:t>
            </w:r>
            <w:r>
              <w:rPr>
                <w:rFonts w:hint="eastAsia" w:ascii="Times New Roman" w:hAnsi="Times New Roman" w:cs="Times New Roman"/>
                <w:color w:val="auto"/>
                <w:w w:val="99"/>
                <w:sz w:val="21"/>
                <w:szCs w:val="21"/>
                <w:highlight w:val="none"/>
                <w:lang w:eastAsia="zh-CN"/>
              </w:rPr>
              <w:t>0.0901</w:t>
            </w:r>
            <w:r>
              <w:rPr>
                <w:rFonts w:ascii="Times New Roman" w:hAnsi="Times New Roman" w:cs="Times New Roman"/>
                <w:color w:val="auto"/>
                <w:w w:val="99"/>
                <w:sz w:val="21"/>
                <w:szCs w:val="21"/>
                <w:highlight w:val="none"/>
                <w:lang w:eastAsia="zh-CN"/>
              </w:rPr>
              <w:t>hm</w:t>
            </w:r>
            <w:r>
              <w:rPr>
                <w:rFonts w:ascii="Times New Roman" w:hAnsi="Times New Roman" w:cs="Times New Roman"/>
                <w:color w:val="auto"/>
                <w:w w:val="99"/>
                <w:sz w:val="21"/>
                <w:szCs w:val="21"/>
                <w:highlight w:val="none"/>
                <w:vertAlign w:val="superscript"/>
                <w:lang w:eastAsia="zh-CN"/>
              </w:rPr>
              <w:t>2</w:t>
            </w:r>
            <w:r>
              <w:rPr>
                <w:rFonts w:ascii="Times New Roman" w:hAnsi="Times New Roman" w:cs="Times New Roman"/>
                <w:color w:val="auto"/>
                <w:w w:val="99"/>
                <w:sz w:val="21"/>
                <w:szCs w:val="21"/>
                <w:highlight w:val="none"/>
                <w:lang w:eastAsia="zh-CN"/>
              </w:rPr>
              <w:t xml:space="preserve"> ，永久占地中基本农田按照“占一补一”进行补偿，基本农田应取得土地管理部门的占地许可手续</w:t>
            </w:r>
          </w:p>
        </w:tc>
        <w:tc>
          <w:tcPr>
            <w:tcW w:w="1691" w:type="pct"/>
            <w:tcBorders>
              <w:top w:val="single" w:color="auto" w:sz="4" w:space="0"/>
              <w:left w:val="single" w:color="auto" w:sz="4" w:space="0"/>
              <w:bottom w:val="single" w:color="auto" w:sz="4" w:space="0"/>
              <w:right w:val="single" w:color="auto" w:sz="4" w:space="0"/>
            </w:tcBorders>
            <w:vAlign w:val="center"/>
          </w:tcPr>
          <w:p w14:paraId="4764ADDE">
            <w:pPr>
              <w:pStyle w:val="2857"/>
              <w:widowControl/>
              <w:spacing w:line="360" w:lineRule="exact"/>
              <w:jc w:val="center"/>
              <w:rPr>
                <w:rFonts w:ascii="Times New Roman" w:hAnsi="Times New Roman" w:cs="Times New Roman"/>
                <w:color w:val="auto"/>
                <w:w w:val="99"/>
                <w:sz w:val="21"/>
                <w:szCs w:val="21"/>
                <w:highlight w:val="none"/>
                <w:lang w:eastAsia="zh-CN"/>
              </w:rPr>
            </w:pPr>
          </w:p>
          <w:p w14:paraId="7C6EF71C">
            <w:pPr>
              <w:pStyle w:val="2857"/>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 xml:space="preserve">补偿永久占地 </w:t>
            </w:r>
            <w:r>
              <w:rPr>
                <w:rFonts w:hint="eastAsia" w:ascii="Times New Roman" w:hAnsi="Times New Roman" w:cs="Times New Roman"/>
                <w:color w:val="auto"/>
                <w:w w:val="99"/>
                <w:sz w:val="21"/>
                <w:szCs w:val="21"/>
                <w:highlight w:val="none"/>
                <w:lang w:eastAsia="zh-CN"/>
              </w:rPr>
              <w:t>0.0901</w:t>
            </w:r>
            <w:r>
              <w:rPr>
                <w:rFonts w:ascii="Times New Roman" w:hAnsi="Times New Roman" w:cs="Times New Roman"/>
                <w:color w:val="auto"/>
                <w:w w:val="99"/>
                <w:sz w:val="21"/>
                <w:szCs w:val="21"/>
                <w:highlight w:val="none"/>
              </w:rPr>
              <w:t>hm</w:t>
            </w:r>
            <w:r>
              <w:rPr>
                <w:rFonts w:ascii="Times New Roman" w:hAnsi="Times New Roman" w:cs="Times New Roman"/>
                <w:color w:val="auto"/>
                <w:w w:val="99"/>
                <w:sz w:val="21"/>
                <w:szCs w:val="21"/>
                <w:highlight w:val="none"/>
                <w:vertAlign w:val="superscript"/>
              </w:rPr>
              <w:t>2</w:t>
            </w:r>
          </w:p>
        </w:tc>
      </w:tr>
      <w:tr w14:paraId="7F5F25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7" w:hRule="atLeast"/>
        </w:trPr>
        <w:tc>
          <w:tcPr>
            <w:tcW w:w="468" w:type="pct"/>
            <w:vMerge w:val="continue"/>
            <w:tcBorders>
              <w:top w:val="single" w:color="auto" w:sz="4" w:space="0"/>
              <w:left w:val="single" w:color="auto" w:sz="4" w:space="0"/>
              <w:bottom w:val="single" w:color="auto" w:sz="4" w:space="0"/>
              <w:right w:val="single" w:color="auto" w:sz="4" w:space="0"/>
            </w:tcBorders>
            <w:textDirection w:val="tbRlV"/>
          </w:tcPr>
          <w:p w14:paraId="658F15A3">
            <w:pPr>
              <w:pStyle w:val="2857"/>
              <w:widowControl/>
              <w:spacing w:line="360" w:lineRule="exact"/>
              <w:jc w:val="center"/>
              <w:rPr>
                <w:rFonts w:ascii="Times New Roman" w:hAnsi="Times New Roman" w:cs="Times New Roman"/>
                <w:color w:val="auto"/>
                <w:w w:val="99"/>
                <w:sz w:val="21"/>
                <w:szCs w:val="21"/>
                <w:highlight w:val="none"/>
              </w:rPr>
            </w:pPr>
          </w:p>
        </w:tc>
        <w:tc>
          <w:tcPr>
            <w:tcW w:w="1390" w:type="pct"/>
            <w:gridSpan w:val="2"/>
            <w:tcBorders>
              <w:top w:val="single" w:color="auto" w:sz="4" w:space="0"/>
              <w:left w:val="single" w:color="auto" w:sz="4" w:space="0"/>
              <w:bottom w:val="single" w:color="auto" w:sz="4" w:space="0"/>
              <w:right w:val="single" w:color="auto" w:sz="4" w:space="0"/>
            </w:tcBorders>
          </w:tcPr>
          <w:p w14:paraId="3D3E07E6">
            <w:pPr>
              <w:pStyle w:val="2857"/>
              <w:widowControl/>
              <w:spacing w:line="360" w:lineRule="exact"/>
              <w:jc w:val="center"/>
              <w:rPr>
                <w:rFonts w:ascii="Times New Roman" w:hAnsi="Times New Roman" w:cs="Times New Roman"/>
                <w:color w:val="auto"/>
                <w:w w:val="99"/>
                <w:sz w:val="21"/>
                <w:szCs w:val="21"/>
                <w:highlight w:val="none"/>
              </w:rPr>
            </w:pPr>
          </w:p>
          <w:p w14:paraId="0FC1DBCC">
            <w:pPr>
              <w:pStyle w:val="2857"/>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水土流失防治措施</w:t>
            </w:r>
          </w:p>
        </w:tc>
        <w:tc>
          <w:tcPr>
            <w:tcW w:w="1450" w:type="pct"/>
            <w:tcBorders>
              <w:top w:val="single" w:color="auto" w:sz="4" w:space="0"/>
              <w:left w:val="single" w:color="auto" w:sz="4" w:space="0"/>
              <w:bottom w:val="single" w:color="auto" w:sz="4" w:space="0"/>
              <w:right w:val="single" w:color="auto" w:sz="4" w:space="0"/>
            </w:tcBorders>
          </w:tcPr>
          <w:p w14:paraId="1B19E167">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做好原有植被恢复工作和人工绿化工作，对占用基本农田的表土进行剥离，设置表土剥离临时堆放场，同时进行养护和管理；因地制宜选择施工季节</w:t>
            </w:r>
          </w:p>
        </w:tc>
        <w:tc>
          <w:tcPr>
            <w:tcW w:w="1691" w:type="pct"/>
            <w:tcBorders>
              <w:top w:val="single" w:color="auto" w:sz="4" w:space="0"/>
              <w:left w:val="single" w:color="auto" w:sz="4" w:space="0"/>
              <w:bottom w:val="single" w:color="auto" w:sz="4" w:space="0"/>
              <w:right w:val="single" w:color="auto" w:sz="4" w:space="0"/>
            </w:tcBorders>
          </w:tcPr>
          <w:p w14:paraId="4AE8DA0D">
            <w:pPr>
              <w:pStyle w:val="2857"/>
              <w:widowControl/>
              <w:spacing w:line="360" w:lineRule="exact"/>
              <w:jc w:val="center"/>
              <w:rPr>
                <w:rFonts w:ascii="Times New Roman" w:hAnsi="Times New Roman" w:cs="Times New Roman"/>
                <w:color w:val="auto"/>
                <w:w w:val="99"/>
                <w:sz w:val="21"/>
                <w:szCs w:val="21"/>
                <w:highlight w:val="none"/>
                <w:lang w:eastAsia="zh-CN"/>
              </w:rPr>
            </w:pPr>
          </w:p>
          <w:p w14:paraId="6201EFF3">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施工过程中采取相应的水土流失防治措施，并留存影响资料</w:t>
            </w:r>
          </w:p>
        </w:tc>
      </w:tr>
      <w:tr w14:paraId="259C0D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468" w:type="pct"/>
            <w:vMerge w:val="continue"/>
            <w:tcBorders>
              <w:top w:val="single" w:color="auto" w:sz="4" w:space="0"/>
              <w:left w:val="single" w:color="auto" w:sz="4" w:space="0"/>
              <w:bottom w:val="single" w:color="auto" w:sz="4" w:space="0"/>
              <w:right w:val="single" w:color="auto" w:sz="4" w:space="0"/>
            </w:tcBorders>
            <w:textDirection w:val="tbRlV"/>
          </w:tcPr>
          <w:p w14:paraId="00231343">
            <w:pPr>
              <w:pStyle w:val="2857"/>
              <w:widowControl/>
              <w:spacing w:line="360" w:lineRule="exact"/>
              <w:jc w:val="center"/>
              <w:rPr>
                <w:rFonts w:ascii="Times New Roman" w:hAnsi="Times New Roman" w:cs="Times New Roman"/>
                <w:color w:val="auto"/>
                <w:w w:val="99"/>
                <w:sz w:val="21"/>
                <w:szCs w:val="21"/>
                <w:highlight w:val="none"/>
                <w:lang w:eastAsia="zh-CN"/>
              </w:rPr>
            </w:pPr>
          </w:p>
        </w:tc>
        <w:tc>
          <w:tcPr>
            <w:tcW w:w="1390" w:type="pct"/>
            <w:gridSpan w:val="2"/>
            <w:tcBorders>
              <w:top w:val="single" w:color="auto" w:sz="4" w:space="0"/>
              <w:left w:val="single" w:color="auto" w:sz="4" w:space="0"/>
              <w:bottom w:val="single" w:color="auto" w:sz="4" w:space="0"/>
              <w:right w:val="single" w:color="auto" w:sz="4" w:space="0"/>
            </w:tcBorders>
          </w:tcPr>
          <w:p w14:paraId="5CA69D06">
            <w:pPr>
              <w:pStyle w:val="2857"/>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防沙治沙</w:t>
            </w:r>
          </w:p>
        </w:tc>
        <w:tc>
          <w:tcPr>
            <w:tcW w:w="1450" w:type="pct"/>
            <w:tcBorders>
              <w:top w:val="single" w:color="auto" w:sz="4" w:space="0"/>
              <w:left w:val="single" w:color="auto" w:sz="4" w:space="0"/>
              <w:bottom w:val="single" w:color="auto" w:sz="4" w:space="0"/>
              <w:right w:val="single" w:color="auto" w:sz="4" w:space="0"/>
            </w:tcBorders>
          </w:tcPr>
          <w:p w14:paraId="7EE2C50C">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施工均在临时占地内进行，车辆采用“ 一”字型作业法</w:t>
            </w:r>
          </w:p>
        </w:tc>
        <w:tc>
          <w:tcPr>
            <w:tcW w:w="1691" w:type="pct"/>
            <w:tcBorders>
              <w:top w:val="single" w:color="auto" w:sz="4" w:space="0"/>
              <w:left w:val="single" w:color="auto" w:sz="4" w:space="0"/>
              <w:bottom w:val="single" w:color="auto" w:sz="4" w:space="0"/>
              <w:right w:val="single" w:color="auto" w:sz="4" w:space="0"/>
            </w:tcBorders>
          </w:tcPr>
          <w:p w14:paraId="5CAE4BBA">
            <w:pPr>
              <w:pStyle w:val="2857"/>
              <w:widowControl/>
              <w:spacing w:line="360" w:lineRule="exact"/>
              <w:jc w:val="center"/>
              <w:rPr>
                <w:rFonts w:ascii="Times New Roman" w:hAnsi="Times New Roman" w:cs="Times New Roman"/>
                <w:color w:val="auto"/>
                <w:w w:val="99"/>
                <w:sz w:val="21"/>
                <w:szCs w:val="21"/>
                <w:highlight w:val="none"/>
                <w:lang w:eastAsia="zh-CN"/>
              </w:rPr>
            </w:pPr>
            <w:r>
              <w:rPr>
                <w:rFonts w:ascii="Times New Roman" w:hAnsi="Times New Roman" w:cs="Times New Roman"/>
                <w:color w:val="auto"/>
                <w:w w:val="99"/>
                <w:sz w:val="21"/>
                <w:szCs w:val="21"/>
                <w:highlight w:val="none"/>
                <w:lang w:eastAsia="zh-CN"/>
              </w:rPr>
              <w:t>施工过程中采取相应的防沙治沙措施，并留存影响资料</w:t>
            </w:r>
          </w:p>
        </w:tc>
      </w:tr>
    </w:tbl>
    <w:p w14:paraId="6ECBC0D4">
      <w:pPr>
        <w:pStyle w:val="153"/>
        <w:widowControl w:val="0"/>
        <w:spacing w:line="440" w:lineRule="exact"/>
        <w:ind w:firstLine="474"/>
        <w:rPr>
          <w:rFonts w:ascii="Times New Roman" w:hAnsi="Times New Roman" w:eastAsiaTheme="minorEastAsia"/>
          <w:b/>
          <w:color w:val="auto"/>
          <w:w w:val="99"/>
          <w:kern w:val="21"/>
          <w:highlight w:val="none"/>
        </w:rPr>
      </w:pPr>
      <w:r>
        <w:rPr>
          <w:rFonts w:ascii="Times New Roman" w:hAnsi="Times New Roman" w:eastAsiaTheme="minorEastAsia"/>
          <w:b/>
          <w:color w:val="auto"/>
          <w:w w:val="99"/>
          <w:kern w:val="21"/>
          <w:highlight w:val="none"/>
        </w:rPr>
        <w:t>表6.2-2    竣工</w:t>
      </w:r>
      <w:r>
        <w:rPr>
          <w:rFonts w:ascii="Times New Roman" w:hAnsi="Times New Roman"/>
          <w:b/>
          <w:color w:val="auto"/>
          <w:w w:val="99"/>
          <w:kern w:val="2"/>
          <w:highlight w:val="none"/>
        </w:rPr>
        <w:t>验收</w:t>
      </w:r>
      <w:r>
        <w:rPr>
          <w:rFonts w:ascii="Times New Roman" w:hAnsi="Times New Roman" w:eastAsiaTheme="minorEastAsia"/>
          <w:b/>
          <w:color w:val="auto"/>
          <w:w w:val="99"/>
          <w:kern w:val="21"/>
          <w:highlight w:val="none"/>
        </w:rPr>
        <w:t>监测与调查主要内容</w:t>
      </w:r>
    </w:p>
    <w:tbl>
      <w:tblPr>
        <w:tblStyle w:val="8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46"/>
        <w:gridCol w:w="6241"/>
      </w:tblGrid>
      <w:tr w14:paraId="16EFD6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Align w:val="center"/>
          </w:tcPr>
          <w:p w14:paraId="19B1690C">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项目</w:t>
            </w:r>
          </w:p>
        </w:tc>
        <w:tc>
          <w:tcPr>
            <w:tcW w:w="6089" w:type="dxa"/>
            <w:vAlign w:val="center"/>
          </w:tcPr>
          <w:p w14:paraId="4617B7B8">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内容</w:t>
            </w:r>
          </w:p>
        </w:tc>
      </w:tr>
      <w:tr w14:paraId="7907F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restart"/>
            <w:vAlign w:val="center"/>
          </w:tcPr>
          <w:p w14:paraId="0A113359">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环境保护管理检查</w:t>
            </w:r>
          </w:p>
        </w:tc>
        <w:tc>
          <w:tcPr>
            <w:tcW w:w="6089" w:type="dxa"/>
            <w:vAlign w:val="center"/>
          </w:tcPr>
          <w:p w14:paraId="50EB96E0">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项目各阶段环境保护法律、法规、规章制度的执行情况</w:t>
            </w:r>
          </w:p>
        </w:tc>
      </w:tr>
      <w:tr w14:paraId="7A32B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426A938C">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0DAB2838">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环境保护审批手续及环境保护档案资料</w:t>
            </w:r>
          </w:p>
        </w:tc>
      </w:tr>
      <w:tr w14:paraId="0AAD34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066307D9">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2030C974">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环保组织机构及规章管理制度</w:t>
            </w:r>
          </w:p>
        </w:tc>
      </w:tr>
      <w:tr w14:paraId="1F9D8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31CE23F0">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4C4574C5">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bCs/>
                <w:snapToGrid w:val="0"/>
                <w:color w:val="auto"/>
                <w:w w:val="99"/>
                <w:sz w:val="21"/>
                <w:szCs w:val="21"/>
                <w:highlight w:val="none"/>
              </w:rPr>
              <w:t>污水回收装置</w:t>
            </w:r>
            <w:r>
              <w:rPr>
                <w:rFonts w:ascii="Times New Roman" w:hAnsi="Times New Roman" w:cs="Times New Roman" w:eastAsiaTheme="minorEastAsia"/>
                <w:snapToGrid w:val="0"/>
                <w:color w:val="auto"/>
                <w:w w:val="99"/>
                <w:sz w:val="21"/>
                <w:szCs w:val="21"/>
                <w:highlight w:val="none"/>
              </w:rPr>
              <w:t>等环保设施建成及运行情况，生态恢复、占地补偿等措施的落实情况</w:t>
            </w:r>
          </w:p>
        </w:tc>
      </w:tr>
      <w:tr w14:paraId="63BAF7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79623777">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47F6D7A0">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本项目环评报告及其批复提出的环保措施落实情况及其效果</w:t>
            </w:r>
          </w:p>
        </w:tc>
      </w:tr>
      <w:tr w14:paraId="5BAE35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16BBBC67">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3B378320">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运营期环境保护监测计划实施情况</w:t>
            </w:r>
          </w:p>
        </w:tc>
      </w:tr>
      <w:tr w14:paraId="0AF72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45585E27">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6A20E4D1">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本项目事故风险的环保应急计划，包括物质配备、防范措施，应急处置等</w:t>
            </w:r>
          </w:p>
        </w:tc>
      </w:tr>
      <w:tr w14:paraId="1ABD52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459E5BBF">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6732964F">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施工期、运营期扰民现象的调查</w:t>
            </w:r>
          </w:p>
        </w:tc>
      </w:tr>
      <w:tr w14:paraId="27C30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6C1017DB">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40701ADA">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固体废物种类、产生量、处理处置情况、综合利用情况</w:t>
            </w:r>
          </w:p>
        </w:tc>
      </w:tr>
      <w:tr w14:paraId="6FA23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restart"/>
            <w:vAlign w:val="center"/>
          </w:tcPr>
          <w:p w14:paraId="7FB3CD1B">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污染物达标排放监测</w:t>
            </w:r>
          </w:p>
        </w:tc>
        <w:tc>
          <w:tcPr>
            <w:tcW w:w="6089" w:type="dxa"/>
            <w:vAlign w:val="center"/>
          </w:tcPr>
          <w:p w14:paraId="2FD092F3">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无组织排放烃类气体监测</w:t>
            </w:r>
          </w:p>
        </w:tc>
      </w:tr>
      <w:tr w14:paraId="4D1DE5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3E2902C4">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6089" w:type="dxa"/>
            <w:vAlign w:val="center"/>
          </w:tcPr>
          <w:p w14:paraId="465BDC44">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燃烧烟气排放监测</w:t>
            </w:r>
          </w:p>
        </w:tc>
      </w:tr>
      <w:tr w14:paraId="200F67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0F0CC0C1">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774B552C">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厂界噪声声达标排放监测</w:t>
            </w:r>
          </w:p>
        </w:tc>
      </w:tr>
      <w:tr w14:paraId="13A49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0A0296B5">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205C653D">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采出水</w:t>
            </w:r>
            <w:r>
              <w:rPr>
                <w:rFonts w:ascii="Times New Roman" w:hAnsi="Times New Roman" w:cs="Times New Roman" w:eastAsiaTheme="minorEastAsia"/>
                <w:snapToGrid w:val="0"/>
                <w:color w:val="auto"/>
                <w:w w:val="99"/>
                <w:sz w:val="21"/>
                <w:szCs w:val="21"/>
                <w:highlight w:val="none"/>
              </w:rPr>
              <w:t>达标监测</w:t>
            </w:r>
          </w:p>
        </w:tc>
      </w:tr>
      <w:tr w14:paraId="6701F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2BBE5402">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3FA98FE4">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事故时对大气，地下水、地表水、土壤等进行事故监测</w:t>
            </w:r>
          </w:p>
        </w:tc>
      </w:tr>
      <w:tr w14:paraId="586D6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Align w:val="center"/>
          </w:tcPr>
          <w:p w14:paraId="523C44A5">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环境保护敏感点环境质量监测</w:t>
            </w:r>
          </w:p>
        </w:tc>
        <w:tc>
          <w:tcPr>
            <w:tcW w:w="6089" w:type="dxa"/>
            <w:vAlign w:val="center"/>
          </w:tcPr>
          <w:p w14:paraId="6D22503F">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油</w:t>
            </w:r>
            <w:r>
              <w:rPr>
                <w:rFonts w:hint="eastAsia" w:ascii="Times New Roman" w:hAnsi="Times New Roman" w:cs="Times New Roman" w:eastAsiaTheme="minorEastAsia"/>
                <w:snapToGrid w:val="0"/>
                <w:color w:val="auto"/>
                <w:w w:val="99"/>
                <w:sz w:val="21"/>
                <w:szCs w:val="21"/>
                <w:highlight w:val="none"/>
              </w:rPr>
              <w:t>气</w:t>
            </w:r>
            <w:r>
              <w:rPr>
                <w:rFonts w:ascii="Times New Roman" w:hAnsi="Times New Roman" w:cs="Times New Roman" w:eastAsiaTheme="minorEastAsia"/>
                <w:snapToGrid w:val="0"/>
                <w:color w:val="auto"/>
                <w:w w:val="99"/>
                <w:sz w:val="21"/>
                <w:szCs w:val="21"/>
                <w:highlight w:val="none"/>
              </w:rPr>
              <w:t>田开发区域内的环境空气、地下水以及生态环境质量</w:t>
            </w:r>
          </w:p>
        </w:tc>
      </w:tr>
      <w:tr w14:paraId="7C77D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restart"/>
            <w:vAlign w:val="center"/>
          </w:tcPr>
          <w:p w14:paraId="780A4E9F">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生态调查主要内容</w:t>
            </w:r>
          </w:p>
        </w:tc>
        <w:tc>
          <w:tcPr>
            <w:tcW w:w="6089" w:type="dxa"/>
            <w:vAlign w:val="center"/>
          </w:tcPr>
          <w:p w14:paraId="3E77294A">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项目在施工、运营期落实环境影响评价、工程设计文件以及各级环境保护行政主管部门批复文件中生态保护措施的情况</w:t>
            </w:r>
          </w:p>
        </w:tc>
      </w:tr>
      <w:tr w14:paraId="3ED6C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1D34E189">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10BD0789">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耕地复垦、草地恢复情况，永久占地补偿情况</w:t>
            </w:r>
          </w:p>
        </w:tc>
      </w:tr>
      <w:tr w14:paraId="2A07F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4F975B09">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7C8C3631">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针对水土流失、防沙治沙环境破坏或潜在环境影响提出补救措施的落实情况</w:t>
            </w:r>
          </w:p>
        </w:tc>
      </w:tr>
    </w:tbl>
    <w:p w14:paraId="0DEB5C52">
      <w:pPr>
        <w:pStyle w:val="4"/>
        <w:widowControl w:val="0"/>
        <w:spacing w:before="180" w:after="180" w:line="500" w:lineRule="exact"/>
        <w:rPr>
          <w:rFonts w:ascii="Times New Roman" w:hAnsi="Times New Roman" w:eastAsiaTheme="minorEastAsia"/>
          <w:b/>
          <w:snapToGrid w:val="0"/>
          <w:color w:val="auto"/>
          <w:w w:val="99"/>
          <w:sz w:val="30"/>
          <w:szCs w:val="30"/>
          <w:highlight w:val="none"/>
        </w:rPr>
        <w:sectPr>
          <w:headerReference r:id="rId11" w:type="default"/>
          <w:footerReference r:id="rId12" w:type="default"/>
          <w:pgSz w:w="11907" w:h="16840"/>
          <w:pgMar w:top="1418" w:right="1418" w:bottom="1418" w:left="1418" w:header="851" w:footer="425" w:gutter="0"/>
          <w:cols w:space="720" w:num="1"/>
          <w:docGrid w:linePitch="326" w:charSpace="0"/>
        </w:sectPr>
      </w:pPr>
    </w:p>
    <w:p w14:paraId="194175C8">
      <w:pPr>
        <w:pStyle w:val="4"/>
        <w:widowControl w:val="0"/>
        <w:spacing w:before="180" w:after="180" w:line="440" w:lineRule="exact"/>
        <w:jc w:val="both"/>
        <w:rPr>
          <w:rFonts w:ascii="Times New Roman" w:hAnsi="Times New Roman" w:eastAsiaTheme="minorEastAsia"/>
          <w:b/>
          <w:snapToGrid w:val="0"/>
          <w:color w:val="auto"/>
          <w:w w:val="99"/>
          <w:sz w:val="30"/>
          <w:szCs w:val="30"/>
          <w:highlight w:val="none"/>
        </w:rPr>
      </w:pPr>
      <w:bookmarkStart w:id="1106" w:name="_Toc173163556"/>
      <w:bookmarkStart w:id="1107" w:name="_Toc19931"/>
      <w:r>
        <w:rPr>
          <w:rFonts w:ascii="Times New Roman" w:hAnsi="Times New Roman" w:eastAsiaTheme="minorEastAsia"/>
          <w:b/>
          <w:snapToGrid w:val="0"/>
          <w:color w:val="auto"/>
          <w:w w:val="99"/>
          <w:sz w:val="30"/>
          <w:szCs w:val="30"/>
          <w:highlight w:val="none"/>
        </w:rPr>
        <w:t>7环境影响经济损益分析</w:t>
      </w:r>
      <w:bookmarkEnd w:id="1106"/>
      <w:bookmarkEnd w:id="1107"/>
    </w:p>
    <w:p w14:paraId="7F5031C6">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本项目的开发建设，除对所在区域的经济发展起着促进作用外，也在一定程度上影响着项目拟建地区环境的变化。本评价将通过对拟建项目的经济和环境效益分析，对项目建设的合理性进行分析。</w:t>
      </w:r>
    </w:p>
    <w:p w14:paraId="42927B01">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108" w:name="_Toc173163557"/>
      <w:bookmarkStart w:id="1109" w:name="_Toc11584"/>
      <w:r>
        <w:rPr>
          <w:rFonts w:ascii="Times New Roman" w:hAnsi="Times New Roman" w:eastAsiaTheme="minorEastAsia"/>
          <w:b/>
          <w:snapToGrid w:val="0"/>
          <w:color w:val="auto"/>
          <w:w w:val="99"/>
          <w:highlight w:val="none"/>
        </w:rPr>
        <w:t>7.1环境损失费估算</w:t>
      </w:r>
      <w:bookmarkEnd w:id="1108"/>
      <w:bookmarkEnd w:id="1109"/>
    </w:p>
    <w:p w14:paraId="0885BBCB">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本项目的开发建设，由于井场、道路建设、管道铺设等，需要占用一定面积土地，而且由此产生的污染物对周围环境也会造成一定污染，因此引起的环境损失费往往很难直接用经济价值来计算，因此，我们仅用植被损失费和资源损失费来估算。</w:t>
      </w:r>
    </w:p>
    <w:p w14:paraId="0D8219D7">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（1）植被损失费</w:t>
      </w:r>
    </w:p>
    <w:p w14:paraId="5325FE55">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本工程永久占用耕地面积为</w:t>
      </w:r>
      <w:r>
        <w:rPr>
          <w:rFonts w:hint="eastAsia" w:ascii="Times New Roman" w:hAnsi="Times New Roman" w:cs="Times New Roman"/>
          <w:color w:val="auto"/>
          <w:w w:val="99"/>
          <w:highlight w:val="none"/>
          <w:lang w:bidi="zh-CN"/>
        </w:rPr>
        <w:t>0.0901</w:t>
      </w:r>
      <w:r>
        <w:rPr>
          <w:rFonts w:ascii="Times New Roman" w:hAnsi="Times New Roman" w:cs="Times New Roman"/>
          <w:color w:val="auto"/>
          <w:w w:val="99"/>
          <w:highlight w:val="none"/>
          <w:lang w:bidi="zh-CN"/>
        </w:rPr>
        <w:t>hm</w:t>
      </w:r>
      <w:r>
        <w:rPr>
          <w:rFonts w:ascii="Times New Roman" w:hAnsi="Times New Roman" w:cs="Times New Roman"/>
          <w:color w:val="auto"/>
          <w:w w:val="99"/>
          <w:highlight w:val="none"/>
          <w:vertAlign w:val="superscript"/>
          <w:lang w:bidi="zh-CN"/>
        </w:rPr>
        <w:t>2</w:t>
      </w:r>
      <w:r>
        <w:rPr>
          <w:rFonts w:ascii="Times New Roman" w:hAnsi="Times New Roman" w:cs="Times New Roman"/>
          <w:color w:val="auto"/>
          <w:w w:val="99"/>
          <w:highlight w:val="none"/>
          <w:lang w:bidi="zh-CN"/>
        </w:rPr>
        <w:t>，占用的农作物主要为玉米，玉米产量按 7t/hm</w:t>
      </w:r>
      <w:r>
        <w:rPr>
          <w:rFonts w:ascii="Times New Roman" w:hAnsi="Times New Roman" w:cs="Times New Roman"/>
          <w:color w:val="auto"/>
          <w:w w:val="99"/>
          <w:highlight w:val="none"/>
          <w:vertAlign w:val="superscript"/>
          <w:lang w:bidi="zh-CN"/>
        </w:rPr>
        <w:t>2</w:t>
      </w:r>
      <w:r>
        <w:rPr>
          <w:rFonts w:ascii="Times New Roman" w:hAnsi="Times New Roman" w:cs="Times New Roman"/>
          <w:color w:val="auto"/>
          <w:w w:val="99"/>
          <w:highlight w:val="none"/>
          <w:lang w:bidi="zh-CN"/>
        </w:rPr>
        <w:t>计算，永久占地按15年损失计算，共损失玉米</w:t>
      </w:r>
      <w:r>
        <w:rPr>
          <w:rFonts w:hint="eastAsia" w:ascii="Times New Roman" w:hAnsi="Times New Roman" w:cs="Times New Roman"/>
          <w:color w:val="auto"/>
          <w:w w:val="99"/>
          <w:highlight w:val="none"/>
          <w:lang w:bidi="zh-CN"/>
        </w:rPr>
        <w:t>9.46</w:t>
      </w:r>
      <w:r>
        <w:rPr>
          <w:rFonts w:ascii="Times New Roman" w:hAnsi="Times New Roman" w:cs="Times New Roman"/>
          <w:color w:val="auto"/>
          <w:w w:val="99"/>
          <w:highlight w:val="none"/>
          <w:lang w:bidi="zh-CN"/>
        </w:rPr>
        <w:t>t，玉米价格按1500元/t计算，其经济价值约为</w:t>
      </w:r>
      <w:r>
        <w:rPr>
          <w:rFonts w:hint="eastAsia" w:ascii="Times New Roman" w:hAnsi="Times New Roman" w:cs="Times New Roman"/>
          <w:color w:val="auto"/>
          <w:w w:val="99"/>
          <w:highlight w:val="none"/>
          <w:lang w:bidi="zh-CN"/>
        </w:rPr>
        <w:t>1.42</w:t>
      </w:r>
      <w:r>
        <w:rPr>
          <w:rFonts w:ascii="Times New Roman" w:hAnsi="Times New Roman" w:cs="Times New Roman"/>
          <w:color w:val="auto"/>
          <w:w w:val="99"/>
          <w:highlight w:val="none"/>
          <w:lang w:bidi="zh-CN"/>
        </w:rPr>
        <w:t>万元。临时占地上层翻动使肥力下降，第二、三年产量将下降 20%-40%，本工程临时占用耕地</w:t>
      </w:r>
      <w:r>
        <w:rPr>
          <w:rFonts w:hint="eastAsia" w:ascii="Times New Roman" w:hAnsi="Times New Roman" w:cs="Times New Roman"/>
          <w:color w:val="auto"/>
          <w:w w:val="99"/>
          <w:highlight w:val="none"/>
          <w:lang w:bidi="zh-CN"/>
        </w:rPr>
        <w:t>1.9229</w:t>
      </w:r>
      <w:r>
        <w:rPr>
          <w:rFonts w:ascii="Times New Roman" w:hAnsi="Times New Roman" w:cs="Times New Roman"/>
          <w:color w:val="auto"/>
          <w:w w:val="99"/>
          <w:highlight w:val="none"/>
          <w:lang w:bidi="zh-CN"/>
        </w:rPr>
        <w:t>hm</w:t>
      </w:r>
      <w:r>
        <w:rPr>
          <w:rFonts w:ascii="Times New Roman" w:hAnsi="Times New Roman" w:cs="Times New Roman"/>
          <w:color w:val="auto"/>
          <w:w w:val="99"/>
          <w:highlight w:val="none"/>
          <w:vertAlign w:val="superscript"/>
          <w:lang w:bidi="zh-CN"/>
        </w:rPr>
        <w:t>2</w:t>
      </w:r>
      <w:r>
        <w:rPr>
          <w:rFonts w:ascii="Times New Roman" w:hAnsi="Times New Roman" w:cs="Times New Roman"/>
          <w:color w:val="auto"/>
          <w:w w:val="99"/>
          <w:highlight w:val="none"/>
          <w:lang w:bidi="zh-CN"/>
        </w:rPr>
        <w:t>，玉米产量按7t/hm</w:t>
      </w:r>
      <w:r>
        <w:rPr>
          <w:rFonts w:ascii="Times New Roman" w:hAnsi="Times New Roman" w:cs="Times New Roman"/>
          <w:color w:val="auto"/>
          <w:w w:val="99"/>
          <w:highlight w:val="none"/>
          <w:vertAlign w:val="superscript"/>
          <w:lang w:bidi="zh-CN"/>
        </w:rPr>
        <w:t>2</w:t>
      </w:r>
      <w:r>
        <w:rPr>
          <w:rFonts w:ascii="Times New Roman" w:hAnsi="Times New Roman" w:cs="Times New Roman"/>
          <w:color w:val="auto"/>
          <w:w w:val="99"/>
          <w:highlight w:val="none"/>
          <w:lang w:bidi="zh-CN"/>
        </w:rPr>
        <w:t>计算，临时占地按第1年产量完全损失，第2、3年损失30%计算，三年间总共损失玉米为</w:t>
      </w:r>
      <w:r>
        <w:rPr>
          <w:rFonts w:hint="eastAsia" w:ascii="Times New Roman" w:hAnsi="Times New Roman" w:cs="Times New Roman"/>
          <w:color w:val="auto"/>
          <w:w w:val="99"/>
          <w:highlight w:val="none"/>
          <w:lang w:bidi="zh-CN"/>
        </w:rPr>
        <w:t>21.54</w:t>
      </w:r>
      <w:r>
        <w:rPr>
          <w:rFonts w:ascii="Times New Roman" w:hAnsi="Times New Roman" w:cs="Times New Roman"/>
          <w:color w:val="auto"/>
          <w:w w:val="99"/>
          <w:highlight w:val="none"/>
          <w:lang w:bidi="zh-CN"/>
        </w:rPr>
        <w:t>t。玉米价格按1500元/t计算，其经济价值为</w:t>
      </w:r>
      <w:r>
        <w:rPr>
          <w:rFonts w:hint="eastAsia" w:ascii="Times New Roman" w:hAnsi="Times New Roman" w:cs="Times New Roman"/>
          <w:color w:val="auto"/>
          <w:w w:val="99"/>
          <w:highlight w:val="none"/>
          <w:lang w:bidi="zh-CN"/>
        </w:rPr>
        <w:t>3.23</w:t>
      </w:r>
      <w:r>
        <w:rPr>
          <w:rFonts w:ascii="Times New Roman" w:hAnsi="Times New Roman" w:cs="Times New Roman"/>
          <w:color w:val="auto"/>
          <w:w w:val="99"/>
          <w:highlight w:val="none"/>
          <w:lang w:bidi="zh-CN"/>
        </w:rPr>
        <w:t>万元。耕地植被损失费约</w:t>
      </w:r>
      <w:r>
        <w:rPr>
          <w:rFonts w:hint="eastAsia" w:ascii="Times New Roman" w:hAnsi="Times New Roman" w:cs="Times New Roman"/>
          <w:color w:val="auto"/>
          <w:w w:val="99"/>
          <w:highlight w:val="none"/>
          <w:lang w:bidi="zh-CN"/>
        </w:rPr>
        <w:t>4.65</w:t>
      </w:r>
      <w:r>
        <w:rPr>
          <w:rFonts w:ascii="Times New Roman" w:hAnsi="Times New Roman" w:cs="Times New Roman"/>
          <w:color w:val="auto"/>
          <w:w w:val="99"/>
          <w:highlight w:val="none"/>
          <w:lang w:bidi="zh-CN"/>
        </w:rPr>
        <w:t>万元。</w:t>
      </w:r>
    </w:p>
    <w:p w14:paraId="739AE9AD">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（2）资源损失费</w:t>
      </w:r>
    </w:p>
    <w:p w14:paraId="19039A25">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该项目资源损失主要为气田开发过程中天然气逸散损失。该项目采出气采用管网密闭集输，气田天然气逸散量约占产气量的 0.5‰ ，投产 10年间该项目将有</w:t>
      </w:r>
      <w:r>
        <w:rPr>
          <w:rFonts w:hint="eastAsia" w:ascii="Times New Roman" w:hAnsi="Times New Roman" w:cs="Times New Roman"/>
          <w:color w:val="auto"/>
          <w:w w:val="99"/>
          <w:highlight w:val="none"/>
          <w:lang w:bidi="zh-CN"/>
        </w:rPr>
        <w:t>116.8</w:t>
      </w:r>
      <w:r>
        <w:rPr>
          <w:rFonts w:ascii="Times New Roman" w:hAnsi="Times New Roman" w:cs="Times New Roman"/>
          <w:color w:val="auto"/>
          <w:w w:val="99"/>
          <w:highlight w:val="none"/>
          <w:lang w:bidi="zh-CN"/>
        </w:rPr>
        <w:t>t 烃类排入大气，每吨按 1529.7 元计，相当于损失</w:t>
      </w:r>
      <w:r>
        <w:rPr>
          <w:rFonts w:hint="eastAsia" w:ascii="Times New Roman" w:hAnsi="Times New Roman" w:cs="Times New Roman"/>
          <w:color w:val="auto"/>
          <w:w w:val="99"/>
          <w:highlight w:val="none"/>
          <w:lang w:bidi="zh-CN"/>
        </w:rPr>
        <w:t>17.87</w:t>
      </w:r>
      <w:r>
        <w:rPr>
          <w:rFonts w:ascii="Times New Roman" w:hAnsi="Times New Roman" w:cs="Times New Roman"/>
          <w:color w:val="auto"/>
          <w:w w:val="99"/>
          <w:highlight w:val="none"/>
          <w:lang w:bidi="zh-CN"/>
        </w:rPr>
        <w:t>万元。</w:t>
      </w:r>
    </w:p>
    <w:p w14:paraId="3A3D4081">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 xml:space="preserve">植被损失和资源损失两项合计为 </w:t>
      </w:r>
      <w:r>
        <w:rPr>
          <w:rFonts w:hint="eastAsia" w:ascii="Times New Roman" w:hAnsi="Times New Roman" w:cs="Times New Roman"/>
          <w:color w:val="auto"/>
          <w:w w:val="99"/>
          <w:highlight w:val="none"/>
          <w:lang w:bidi="zh-CN"/>
        </w:rPr>
        <w:t>22.52</w:t>
      </w:r>
      <w:r>
        <w:rPr>
          <w:rFonts w:ascii="Times New Roman" w:hAnsi="Times New Roman" w:cs="Times New Roman"/>
          <w:color w:val="auto"/>
          <w:w w:val="99"/>
          <w:highlight w:val="none"/>
          <w:lang w:bidi="zh-CN"/>
        </w:rPr>
        <w:t>万元。</w:t>
      </w:r>
    </w:p>
    <w:p w14:paraId="5AE05E24">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110" w:name="_Toc16760"/>
      <w:bookmarkStart w:id="1111" w:name="_Toc173163558"/>
      <w:r>
        <w:rPr>
          <w:rFonts w:ascii="Times New Roman" w:hAnsi="Times New Roman" w:eastAsiaTheme="minorEastAsia"/>
          <w:b/>
          <w:snapToGrid w:val="0"/>
          <w:color w:val="auto"/>
          <w:w w:val="99"/>
          <w:highlight w:val="none"/>
        </w:rPr>
        <w:t>7.2环保投资估算及环境效益分析</w:t>
      </w:r>
      <w:bookmarkEnd w:id="1110"/>
      <w:bookmarkEnd w:id="1111"/>
      <w:r>
        <w:rPr>
          <w:rFonts w:hint="eastAsia" w:ascii="Times New Roman" w:hAnsi="Times New Roman" w:eastAsiaTheme="minorEastAsia"/>
          <w:b/>
          <w:snapToGrid w:val="0"/>
          <w:color w:val="auto"/>
          <w:w w:val="99"/>
          <w:highlight w:val="none"/>
        </w:rPr>
        <w:tab/>
      </w:r>
    </w:p>
    <w:p w14:paraId="6C887DA4">
      <w:pPr>
        <w:pStyle w:val="7"/>
        <w:widowControl w:val="0"/>
        <w:spacing w:before="60" w:after="60" w:line="440" w:lineRule="exact"/>
        <w:jc w:val="both"/>
        <w:rPr>
          <w:rFonts w:eastAsiaTheme="minorEastAsia"/>
          <w:b/>
          <w:color w:val="auto"/>
          <w:w w:val="99"/>
          <w:kern w:val="2"/>
          <w:sz w:val="24"/>
          <w:szCs w:val="24"/>
          <w:highlight w:val="none"/>
        </w:rPr>
      </w:pPr>
      <w:bookmarkStart w:id="1112" w:name="_Toc85640857"/>
      <w:bookmarkStart w:id="1113" w:name="_Toc86142032"/>
      <w:bookmarkStart w:id="1114" w:name="_Toc143099677"/>
      <w:bookmarkStart w:id="1115" w:name="_Toc186444389"/>
      <w:bookmarkStart w:id="1116" w:name="_Toc131167390"/>
      <w:bookmarkStart w:id="1117" w:name="_Toc127192438"/>
      <w:bookmarkStart w:id="1118" w:name="_Toc126863489"/>
      <w:bookmarkStart w:id="1119" w:name="_Toc84929333"/>
      <w:r>
        <w:rPr>
          <w:rFonts w:eastAsiaTheme="minorEastAsia"/>
          <w:b/>
          <w:color w:val="auto"/>
          <w:w w:val="99"/>
          <w:kern w:val="2"/>
          <w:sz w:val="24"/>
          <w:szCs w:val="24"/>
          <w:highlight w:val="none"/>
        </w:rPr>
        <w:t>7.2.1环保投资估算</w:t>
      </w:r>
      <w:bookmarkEnd w:id="1112"/>
      <w:bookmarkEnd w:id="1113"/>
      <w:bookmarkEnd w:id="1114"/>
      <w:bookmarkEnd w:id="1115"/>
      <w:bookmarkEnd w:id="1116"/>
      <w:bookmarkEnd w:id="1117"/>
      <w:bookmarkEnd w:id="1118"/>
      <w:bookmarkEnd w:id="1119"/>
    </w:p>
    <w:p w14:paraId="4B48F25D">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本项目总投资</w:t>
      </w:r>
      <w:r>
        <w:rPr>
          <w:rFonts w:hint="eastAsia" w:ascii="Times New Roman" w:hAnsi="Times New Roman" w:cs="Times New Roman"/>
          <w:color w:val="auto"/>
          <w:w w:val="99"/>
          <w:highlight w:val="none"/>
          <w:lang w:bidi="zh-CN"/>
        </w:rPr>
        <w:t>567</w:t>
      </w:r>
      <w:r>
        <w:rPr>
          <w:rFonts w:ascii="Times New Roman" w:hAnsi="Times New Roman" w:cs="Times New Roman"/>
          <w:color w:val="auto"/>
          <w:w w:val="99"/>
          <w:highlight w:val="none"/>
          <w:lang w:bidi="zh-CN"/>
        </w:rPr>
        <w:t>万元，其中环保投资</w:t>
      </w:r>
      <w:r>
        <w:rPr>
          <w:rFonts w:hint="eastAsia" w:ascii="Times New Roman" w:hAnsi="Times New Roman" w:cs="Times New Roman"/>
          <w:color w:val="auto"/>
          <w:w w:val="99"/>
          <w:highlight w:val="none"/>
          <w:lang w:bidi="zh-CN"/>
        </w:rPr>
        <w:t>25.47</w:t>
      </w:r>
      <w:r>
        <w:rPr>
          <w:rFonts w:ascii="Times New Roman" w:hAnsi="Times New Roman" w:cs="Times New Roman"/>
          <w:color w:val="auto"/>
          <w:w w:val="99"/>
          <w:highlight w:val="none"/>
          <w:lang w:bidi="zh-CN"/>
        </w:rPr>
        <w:t>万元，环保投资占总投资的</w:t>
      </w:r>
      <w:r>
        <w:rPr>
          <w:rFonts w:hint="eastAsia" w:ascii="Times New Roman" w:hAnsi="Times New Roman" w:cs="Times New Roman"/>
          <w:color w:val="auto"/>
          <w:w w:val="99"/>
          <w:highlight w:val="none"/>
          <w:lang w:bidi="zh-CN"/>
        </w:rPr>
        <w:t>4.49</w:t>
      </w:r>
      <w:r>
        <w:rPr>
          <w:rFonts w:ascii="Times New Roman" w:hAnsi="Times New Roman" w:cs="Times New Roman"/>
          <w:color w:val="auto"/>
          <w:w w:val="99"/>
          <w:highlight w:val="none"/>
          <w:lang w:bidi="zh-CN"/>
        </w:rPr>
        <w:t>%，本工程环保投资详见表7.2-1。</w:t>
      </w:r>
    </w:p>
    <w:p w14:paraId="4886C84E">
      <w:pPr>
        <w:widowControl w:val="0"/>
        <w:spacing w:line="440" w:lineRule="exact"/>
        <w:ind w:firstLine="476" w:firstLineChars="200"/>
        <w:jc w:val="both"/>
        <w:rPr>
          <w:rFonts w:ascii="Times New Roman" w:hAnsi="Times New Roman" w:cs="Times New Roman" w:eastAsiaTheme="minorEastAsia"/>
          <w:b/>
          <w:color w:val="auto"/>
          <w:w w:val="99"/>
          <w:kern w:val="21"/>
          <w:highlight w:val="none"/>
        </w:rPr>
      </w:pPr>
      <w:r>
        <w:rPr>
          <w:rFonts w:ascii="Times New Roman" w:hAnsi="Times New Roman" w:cs="Times New Roman" w:eastAsiaTheme="minorEastAsia"/>
          <w:b/>
          <w:color w:val="auto"/>
          <w:w w:val="99"/>
          <w:kern w:val="21"/>
          <w:highlight w:val="none"/>
        </w:rPr>
        <w:t xml:space="preserve">表7.2-1    </w:t>
      </w:r>
      <w:r>
        <w:rPr>
          <w:rFonts w:ascii="Times New Roman" w:hAnsi="Times New Roman" w:cs="Times New Roman" w:eastAsiaTheme="minorEastAsia"/>
          <w:b/>
          <w:color w:val="auto"/>
          <w:w w:val="99"/>
          <w:szCs w:val="22"/>
          <w:highlight w:val="none"/>
        </w:rPr>
        <w:t>环保</w:t>
      </w:r>
      <w:r>
        <w:rPr>
          <w:rFonts w:ascii="Times New Roman" w:hAnsi="Times New Roman" w:cs="Times New Roman" w:eastAsiaTheme="minorEastAsia"/>
          <w:b/>
          <w:color w:val="auto"/>
          <w:w w:val="99"/>
          <w:kern w:val="21"/>
          <w:highlight w:val="none"/>
        </w:rPr>
        <w:t>投资统计</w:t>
      </w:r>
    </w:p>
    <w:tbl>
      <w:tblPr>
        <w:tblStyle w:val="81"/>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21"/>
        <w:gridCol w:w="728"/>
        <w:gridCol w:w="3340"/>
        <w:gridCol w:w="3288"/>
        <w:gridCol w:w="1210"/>
      </w:tblGrid>
      <w:tr w14:paraId="21404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80" w:type="pct"/>
            <w:gridSpan w:val="2"/>
            <w:vAlign w:val="center"/>
          </w:tcPr>
          <w:p w14:paraId="75BF2F1A">
            <w:pPr>
              <w:snapToGrid w:val="0"/>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环保工程名称</w:t>
            </w:r>
          </w:p>
        </w:tc>
        <w:tc>
          <w:tcPr>
            <w:tcW w:w="1798" w:type="pct"/>
            <w:vAlign w:val="center"/>
          </w:tcPr>
          <w:p w14:paraId="427EDF52">
            <w:pPr>
              <w:snapToGrid w:val="0"/>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措施内容</w:t>
            </w:r>
          </w:p>
        </w:tc>
        <w:tc>
          <w:tcPr>
            <w:tcW w:w="1770" w:type="pct"/>
            <w:vAlign w:val="center"/>
          </w:tcPr>
          <w:p w14:paraId="184A35C4">
            <w:pPr>
              <w:snapToGrid w:val="0"/>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工程量</w:t>
            </w:r>
          </w:p>
        </w:tc>
        <w:tc>
          <w:tcPr>
            <w:tcW w:w="651" w:type="pct"/>
            <w:vAlign w:val="center"/>
          </w:tcPr>
          <w:p w14:paraId="71FD6609">
            <w:pPr>
              <w:snapToGrid w:val="0"/>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环保投资（万元）</w:t>
            </w:r>
          </w:p>
        </w:tc>
      </w:tr>
      <w:tr w14:paraId="33F17D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restart"/>
            <w:vAlign w:val="center"/>
          </w:tcPr>
          <w:p w14:paraId="3AB80DC7">
            <w:pPr>
              <w:snapToGrid w:val="0"/>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施工期</w:t>
            </w:r>
          </w:p>
        </w:tc>
        <w:tc>
          <w:tcPr>
            <w:tcW w:w="391" w:type="pct"/>
            <w:vAlign w:val="center"/>
          </w:tcPr>
          <w:p w14:paraId="41F56F8C">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废气</w:t>
            </w:r>
          </w:p>
        </w:tc>
        <w:tc>
          <w:tcPr>
            <w:tcW w:w="1798" w:type="pct"/>
            <w:vAlign w:val="center"/>
          </w:tcPr>
          <w:p w14:paraId="7FC5290B">
            <w:pPr>
              <w:pStyle w:val="42"/>
              <w:snapToGrid w:val="0"/>
              <w:spacing w:line="320" w:lineRule="exact"/>
              <w:jc w:val="center"/>
              <w:rPr>
                <w:rFonts w:ascii="Times New Roman" w:hAnsi="Times New Roman" w:eastAsiaTheme="minorEastAsia"/>
                <w:bCs/>
                <w:snapToGrid w:val="0"/>
                <w:color w:val="auto"/>
                <w:w w:val="99"/>
                <w:kern w:val="28"/>
                <w:szCs w:val="21"/>
                <w:highlight w:val="none"/>
              </w:rPr>
            </w:pPr>
            <w:r>
              <w:rPr>
                <w:rFonts w:ascii="Times New Roman" w:hAnsi="Times New Roman"/>
                <w:color w:val="auto"/>
                <w:w w:val="99"/>
                <w:szCs w:val="21"/>
                <w:highlight w:val="none"/>
              </w:rPr>
              <w:t>施工场地洒水抑尘，临时土方等加盖苫布等遮盖物，施工运输车辆采取密闭措施或加盖防尘布</w:t>
            </w:r>
          </w:p>
        </w:tc>
        <w:tc>
          <w:tcPr>
            <w:tcW w:w="1770" w:type="pct"/>
            <w:vAlign w:val="center"/>
          </w:tcPr>
          <w:p w14:paraId="49C48D5F">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0.1万元/口井，共</w:t>
            </w:r>
            <w:r>
              <w:rPr>
                <w:rFonts w:hint="eastAsia" w:ascii="Times New Roman" w:hAnsi="Times New Roman" w:cs="Times New Roman" w:eastAsiaTheme="minorEastAsia"/>
                <w:color w:val="auto"/>
                <w:w w:val="99"/>
                <w:sz w:val="21"/>
                <w:szCs w:val="21"/>
                <w:highlight w:val="none"/>
              </w:rPr>
              <w:t>1</w:t>
            </w:r>
            <w:r>
              <w:rPr>
                <w:rFonts w:ascii="Times New Roman" w:hAnsi="Times New Roman" w:cs="Times New Roman" w:eastAsiaTheme="minorEastAsia"/>
                <w:color w:val="auto"/>
                <w:w w:val="99"/>
                <w:sz w:val="21"/>
                <w:szCs w:val="21"/>
                <w:highlight w:val="none"/>
              </w:rPr>
              <w:t>口</w:t>
            </w:r>
            <w:r>
              <w:rPr>
                <w:rFonts w:hint="eastAsia" w:ascii="Times New Roman" w:hAnsi="Times New Roman" w:cs="Times New Roman" w:eastAsiaTheme="minorEastAsia"/>
                <w:color w:val="auto"/>
                <w:w w:val="99"/>
                <w:sz w:val="21"/>
                <w:szCs w:val="21"/>
                <w:highlight w:val="none"/>
              </w:rPr>
              <w:t>采气</w:t>
            </w:r>
            <w:r>
              <w:rPr>
                <w:rFonts w:ascii="Times New Roman" w:hAnsi="Times New Roman" w:cs="Times New Roman" w:eastAsiaTheme="minorEastAsia"/>
                <w:color w:val="auto"/>
                <w:w w:val="99"/>
                <w:sz w:val="21"/>
                <w:szCs w:val="21"/>
                <w:highlight w:val="none"/>
              </w:rPr>
              <w:t>井</w:t>
            </w:r>
          </w:p>
        </w:tc>
        <w:tc>
          <w:tcPr>
            <w:tcW w:w="651" w:type="pct"/>
            <w:vAlign w:val="center"/>
          </w:tcPr>
          <w:p w14:paraId="14705174">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hint="eastAsia" w:ascii="Times New Roman" w:hAnsi="Times New Roman" w:cs="Times New Roman" w:eastAsiaTheme="minorEastAsia"/>
                <w:bCs/>
                <w:snapToGrid w:val="0"/>
                <w:color w:val="auto"/>
                <w:w w:val="99"/>
                <w:kern w:val="28"/>
                <w:sz w:val="21"/>
                <w:szCs w:val="21"/>
                <w:highlight w:val="none"/>
              </w:rPr>
              <w:t>0.1</w:t>
            </w:r>
          </w:p>
        </w:tc>
      </w:tr>
      <w:tr w14:paraId="6AA0C9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5271E17A">
            <w:pPr>
              <w:snapToGrid w:val="0"/>
              <w:spacing w:line="320" w:lineRule="exact"/>
              <w:jc w:val="center"/>
              <w:rPr>
                <w:rFonts w:ascii="Times New Roman" w:hAnsi="Times New Roman" w:cs="Times New Roman" w:eastAsiaTheme="minorEastAsia"/>
                <w:snapToGrid w:val="0"/>
                <w:color w:val="auto"/>
                <w:w w:val="99"/>
                <w:sz w:val="21"/>
                <w:szCs w:val="21"/>
                <w:highlight w:val="none"/>
              </w:rPr>
            </w:pPr>
          </w:p>
        </w:tc>
        <w:tc>
          <w:tcPr>
            <w:tcW w:w="391" w:type="pct"/>
            <w:vMerge w:val="restart"/>
            <w:vAlign w:val="center"/>
          </w:tcPr>
          <w:p w14:paraId="75E3DE08">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废水</w:t>
            </w:r>
          </w:p>
        </w:tc>
        <w:tc>
          <w:tcPr>
            <w:tcW w:w="1798" w:type="pct"/>
            <w:vAlign w:val="center"/>
          </w:tcPr>
          <w:p w14:paraId="41C9DB82">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试压废水由罐车拉运至升一联气田污水预处理站处理</w:t>
            </w:r>
          </w:p>
        </w:tc>
        <w:tc>
          <w:tcPr>
            <w:tcW w:w="1770" w:type="pct"/>
            <w:vAlign w:val="center"/>
          </w:tcPr>
          <w:p w14:paraId="77F6D4C7">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0.005万元/m</w:t>
            </w:r>
            <w:r>
              <w:rPr>
                <w:rFonts w:ascii="Times New Roman" w:hAnsi="Times New Roman" w:cs="Times New Roman" w:eastAsiaTheme="minorEastAsia"/>
                <w:color w:val="auto"/>
                <w:w w:val="99"/>
                <w:sz w:val="21"/>
                <w:szCs w:val="21"/>
                <w:highlight w:val="none"/>
                <w:vertAlign w:val="superscript"/>
              </w:rPr>
              <w:t>3</w:t>
            </w:r>
            <w:r>
              <w:rPr>
                <w:rFonts w:ascii="Times New Roman" w:hAnsi="Times New Roman" w:cs="Times New Roman" w:eastAsiaTheme="minorEastAsia"/>
                <w:color w:val="auto"/>
                <w:w w:val="99"/>
                <w:sz w:val="21"/>
                <w:szCs w:val="21"/>
                <w:highlight w:val="none"/>
              </w:rPr>
              <w:t>，共计</w:t>
            </w:r>
            <w:r>
              <w:rPr>
                <w:rFonts w:hint="eastAsia" w:ascii="Times New Roman" w:hAnsi="Times New Roman" w:cs="Times New Roman" w:eastAsiaTheme="minorEastAsia"/>
                <w:bCs/>
                <w:color w:val="auto"/>
                <w:w w:val="99"/>
                <w:sz w:val="21"/>
                <w:szCs w:val="21"/>
                <w:highlight w:val="none"/>
              </w:rPr>
              <w:t>4.17</w:t>
            </w:r>
            <w:r>
              <w:rPr>
                <w:rFonts w:ascii="Times New Roman" w:hAnsi="Times New Roman" w:cs="Times New Roman" w:eastAsiaTheme="minorEastAsia"/>
                <w:color w:val="auto"/>
                <w:w w:val="99"/>
                <w:sz w:val="21"/>
                <w:szCs w:val="21"/>
                <w:highlight w:val="none"/>
              </w:rPr>
              <w:t>m</w:t>
            </w:r>
            <w:r>
              <w:rPr>
                <w:rFonts w:ascii="Times New Roman" w:hAnsi="Times New Roman" w:cs="Times New Roman" w:eastAsiaTheme="minorEastAsia"/>
                <w:color w:val="auto"/>
                <w:w w:val="99"/>
                <w:sz w:val="21"/>
                <w:szCs w:val="21"/>
                <w:highlight w:val="none"/>
                <w:vertAlign w:val="superscript"/>
              </w:rPr>
              <w:t>3</w:t>
            </w:r>
          </w:p>
        </w:tc>
        <w:tc>
          <w:tcPr>
            <w:tcW w:w="651" w:type="pct"/>
            <w:vAlign w:val="center"/>
          </w:tcPr>
          <w:p w14:paraId="534DCC3B">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0.02</w:t>
            </w:r>
          </w:p>
        </w:tc>
      </w:tr>
      <w:tr w14:paraId="15C9E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3565CE4F">
            <w:pPr>
              <w:snapToGrid w:val="0"/>
              <w:spacing w:line="320" w:lineRule="exact"/>
              <w:jc w:val="center"/>
              <w:rPr>
                <w:rFonts w:ascii="Times New Roman" w:hAnsi="Times New Roman" w:cs="Times New Roman" w:eastAsiaTheme="minorEastAsia"/>
                <w:snapToGrid w:val="0"/>
                <w:color w:val="auto"/>
                <w:w w:val="99"/>
                <w:sz w:val="21"/>
                <w:szCs w:val="21"/>
                <w:highlight w:val="none"/>
              </w:rPr>
            </w:pPr>
          </w:p>
        </w:tc>
        <w:tc>
          <w:tcPr>
            <w:tcW w:w="391" w:type="pct"/>
            <w:vMerge w:val="continue"/>
            <w:vAlign w:val="center"/>
          </w:tcPr>
          <w:p w14:paraId="1DA88C16">
            <w:pPr>
              <w:spacing w:line="320" w:lineRule="exact"/>
              <w:jc w:val="center"/>
              <w:rPr>
                <w:rFonts w:ascii="Times New Roman" w:hAnsi="Times New Roman" w:cs="Times New Roman" w:eastAsiaTheme="minorEastAsia"/>
                <w:bCs/>
                <w:snapToGrid w:val="0"/>
                <w:color w:val="auto"/>
                <w:w w:val="99"/>
                <w:kern w:val="28"/>
                <w:sz w:val="21"/>
                <w:szCs w:val="21"/>
                <w:highlight w:val="none"/>
              </w:rPr>
            </w:pPr>
          </w:p>
        </w:tc>
        <w:tc>
          <w:tcPr>
            <w:tcW w:w="1798" w:type="pct"/>
            <w:vAlign w:val="center"/>
          </w:tcPr>
          <w:p w14:paraId="6612E43C">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生活污水排入本项目附近集气站已建生活污水收集设施，定期由大庆石油管理局有限公司庆南工矿服务公司红岗分公司拉运至大庆红岗区西巷污水回收站，管输至南区污水处理厂进行处理。</w:t>
            </w:r>
          </w:p>
        </w:tc>
        <w:tc>
          <w:tcPr>
            <w:tcW w:w="1770" w:type="pct"/>
            <w:vAlign w:val="center"/>
          </w:tcPr>
          <w:p w14:paraId="7DCAAD22">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0.005万元/m</w:t>
            </w:r>
            <w:r>
              <w:rPr>
                <w:rFonts w:ascii="Times New Roman" w:hAnsi="Times New Roman" w:cs="Times New Roman" w:eastAsiaTheme="minorEastAsia"/>
                <w:color w:val="auto"/>
                <w:w w:val="99"/>
                <w:sz w:val="21"/>
                <w:szCs w:val="21"/>
                <w:highlight w:val="none"/>
                <w:vertAlign w:val="superscript"/>
              </w:rPr>
              <w:t>3</w:t>
            </w:r>
            <w:r>
              <w:rPr>
                <w:rFonts w:ascii="Times New Roman" w:hAnsi="Times New Roman" w:cs="Times New Roman" w:eastAsiaTheme="minorEastAsia"/>
                <w:color w:val="auto"/>
                <w:w w:val="99"/>
                <w:sz w:val="21"/>
                <w:szCs w:val="21"/>
                <w:highlight w:val="none"/>
              </w:rPr>
              <w:t>，共计</w:t>
            </w:r>
            <w:r>
              <w:rPr>
                <w:rFonts w:hint="eastAsia" w:ascii="Times New Roman" w:hAnsi="Times New Roman" w:cs="Times New Roman" w:eastAsiaTheme="minorEastAsia"/>
                <w:bCs/>
                <w:color w:val="auto"/>
                <w:w w:val="99"/>
                <w:sz w:val="21"/>
                <w:szCs w:val="21"/>
                <w:highlight w:val="none"/>
              </w:rPr>
              <w:t>576</w:t>
            </w:r>
            <w:r>
              <w:rPr>
                <w:rFonts w:ascii="Times New Roman" w:hAnsi="Times New Roman" w:cs="Times New Roman" w:eastAsiaTheme="minorEastAsia"/>
                <w:color w:val="auto"/>
                <w:w w:val="99"/>
                <w:sz w:val="21"/>
                <w:szCs w:val="21"/>
                <w:highlight w:val="none"/>
              </w:rPr>
              <w:t>m</w:t>
            </w:r>
            <w:r>
              <w:rPr>
                <w:rFonts w:ascii="Times New Roman" w:hAnsi="Times New Roman" w:cs="Times New Roman" w:eastAsiaTheme="minorEastAsia"/>
                <w:color w:val="auto"/>
                <w:w w:val="99"/>
                <w:sz w:val="21"/>
                <w:szCs w:val="21"/>
                <w:highlight w:val="none"/>
                <w:vertAlign w:val="superscript"/>
              </w:rPr>
              <w:t>3</w:t>
            </w:r>
          </w:p>
        </w:tc>
        <w:tc>
          <w:tcPr>
            <w:tcW w:w="651" w:type="pct"/>
            <w:vAlign w:val="center"/>
          </w:tcPr>
          <w:p w14:paraId="6360DB4C">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2.88</w:t>
            </w:r>
          </w:p>
        </w:tc>
      </w:tr>
      <w:tr w14:paraId="54B50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7E8EF194">
            <w:pPr>
              <w:snapToGrid w:val="0"/>
              <w:spacing w:line="320" w:lineRule="exact"/>
              <w:jc w:val="center"/>
              <w:rPr>
                <w:rFonts w:ascii="Times New Roman" w:hAnsi="Times New Roman" w:cs="Times New Roman" w:eastAsiaTheme="minorEastAsia"/>
                <w:snapToGrid w:val="0"/>
                <w:color w:val="auto"/>
                <w:w w:val="99"/>
                <w:sz w:val="21"/>
                <w:szCs w:val="21"/>
                <w:highlight w:val="none"/>
              </w:rPr>
            </w:pPr>
          </w:p>
        </w:tc>
        <w:tc>
          <w:tcPr>
            <w:tcW w:w="391" w:type="pct"/>
            <w:vAlign w:val="center"/>
          </w:tcPr>
          <w:p w14:paraId="4CD6AAEF">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噪声</w:t>
            </w:r>
          </w:p>
        </w:tc>
        <w:tc>
          <w:tcPr>
            <w:tcW w:w="1798" w:type="pct"/>
            <w:vAlign w:val="center"/>
          </w:tcPr>
          <w:p w14:paraId="62686984">
            <w:pPr>
              <w:spacing w:line="320" w:lineRule="exact"/>
              <w:jc w:val="center"/>
              <w:rPr>
                <w:rFonts w:ascii="Times New Roman" w:hAnsi="Times New Roman" w:cs="Times New Roman"/>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距离敏感目标较近的施工场地设置声屏障</w:t>
            </w:r>
          </w:p>
        </w:tc>
        <w:tc>
          <w:tcPr>
            <w:tcW w:w="1770" w:type="pct"/>
            <w:vAlign w:val="center"/>
          </w:tcPr>
          <w:p w14:paraId="5AA4CCDC">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设1套声屏障，0</w:t>
            </w:r>
            <w:r>
              <w:rPr>
                <w:rFonts w:ascii="Times New Roman" w:hAnsi="Times New Roman" w:cs="Times New Roman" w:eastAsiaTheme="minorEastAsia"/>
                <w:color w:val="auto"/>
                <w:w w:val="99"/>
                <w:sz w:val="21"/>
                <w:szCs w:val="21"/>
                <w:highlight w:val="none"/>
              </w:rPr>
              <w:t>.5万元</w:t>
            </w:r>
            <w:r>
              <w:rPr>
                <w:rFonts w:hint="eastAsia" w:ascii="Times New Roman" w:hAnsi="Times New Roman" w:cs="Times New Roman" w:eastAsiaTheme="minorEastAsia"/>
                <w:color w:val="auto"/>
                <w:w w:val="99"/>
                <w:sz w:val="21"/>
                <w:szCs w:val="21"/>
                <w:highlight w:val="none"/>
              </w:rPr>
              <w:t>/套</w:t>
            </w:r>
          </w:p>
        </w:tc>
        <w:tc>
          <w:tcPr>
            <w:tcW w:w="651" w:type="pct"/>
            <w:vAlign w:val="center"/>
          </w:tcPr>
          <w:p w14:paraId="7F5400F0">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0.5</w:t>
            </w:r>
          </w:p>
        </w:tc>
      </w:tr>
      <w:tr w14:paraId="6F2B4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3F2A1624">
            <w:pPr>
              <w:snapToGrid w:val="0"/>
              <w:spacing w:line="320" w:lineRule="exact"/>
              <w:jc w:val="center"/>
              <w:rPr>
                <w:rFonts w:ascii="Times New Roman" w:hAnsi="Times New Roman" w:cs="Times New Roman" w:eastAsiaTheme="minorEastAsia"/>
                <w:snapToGrid w:val="0"/>
                <w:color w:val="auto"/>
                <w:w w:val="99"/>
                <w:sz w:val="21"/>
                <w:szCs w:val="21"/>
                <w:highlight w:val="none"/>
              </w:rPr>
            </w:pPr>
          </w:p>
        </w:tc>
        <w:tc>
          <w:tcPr>
            <w:tcW w:w="391" w:type="pct"/>
            <w:vMerge w:val="restart"/>
            <w:vAlign w:val="center"/>
          </w:tcPr>
          <w:p w14:paraId="4CA02C0F">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固体废物</w:t>
            </w:r>
          </w:p>
        </w:tc>
        <w:tc>
          <w:tcPr>
            <w:tcW w:w="1798" w:type="pct"/>
            <w:vAlign w:val="center"/>
          </w:tcPr>
          <w:p w14:paraId="37C71224">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施工废料</w:t>
            </w:r>
            <w:r>
              <w:rPr>
                <w:rFonts w:ascii="Times New Roman" w:hAnsi="Times New Roman" w:cs="Times New Roman"/>
                <w:color w:val="auto"/>
                <w:w w:val="99"/>
                <w:kern w:val="2"/>
                <w:sz w:val="21"/>
                <w:szCs w:val="21"/>
                <w:highlight w:val="none"/>
              </w:rPr>
              <w:t>拉运至第八采油厂工业固废填埋场处理</w:t>
            </w:r>
          </w:p>
        </w:tc>
        <w:tc>
          <w:tcPr>
            <w:tcW w:w="1770" w:type="pct"/>
            <w:vAlign w:val="center"/>
          </w:tcPr>
          <w:p w14:paraId="6B0FCEFC">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0.1万元/吨，共计</w:t>
            </w:r>
            <w:r>
              <w:rPr>
                <w:rFonts w:hint="eastAsia" w:ascii="Times New Roman" w:hAnsi="Times New Roman" w:cs="Times New Roman" w:eastAsiaTheme="minorEastAsia"/>
                <w:color w:val="auto"/>
                <w:w w:val="99"/>
                <w:sz w:val="21"/>
                <w:szCs w:val="21"/>
                <w:highlight w:val="none"/>
              </w:rPr>
              <w:t>0.04</w:t>
            </w:r>
            <w:r>
              <w:rPr>
                <w:rFonts w:ascii="Times New Roman" w:hAnsi="Times New Roman" w:cs="Times New Roman" w:eastAsiaTheme="minorEastAsia"/>
                <w:color w:val="auto"/>
                <w:w w:val="99"/>
                <w:sz w:val="21"/>
                <w:szCs w:val="21"/>
                <w:highlight w:val="none"/>
              </w:rPr>
              <w:t>t</w:t>
            </w:r>
          </w:p>
        </w:tc>
        <w:tc>
          <w:tcPr>
            <w:tcW w:w="651" w:type="pct"/>
            <w:vAlign w:val="center"/>
          </w:tcPr>
          <w:p w14:paraId="58848691">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0.004</w:t>
            </w:r>
          </w:p>
        </w:tc>
      </w:tr>
      <w:tr w14:paraId="2438DD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6B4D007C">
            <w:pPr>
              <w:snapToGrid w:val="0"/>
              <w:spacing w:line="320" w:lineRule="exact"/>
              <w:jc w:val="center"/>
              <w:rPr>
                <w:rFonts w:ascii="Times New Roman" w:hAnsi="Times New Roman" w:cs="Times New Roman" w:eastAsiaTheme="minorEastAsia"/>
                <w:snapToGrid w:val="0"/>
                <w:color w:val="auto"/>
                <w:w w:val="99"/>
                <w:sz w:val="21"/>
                <w:szCs w:val="21"/>
                <w:highlight w:val="none"/>
              </w:rPr>
            </w:pPr>
          </w:p>
        </w:tc>
        <w:tc>
          <w:tcPr>
            <w:tcW w:w="391" w:type="pct"/>
            <w:vMerge w:val="continue"/>
            <w:vAlign w:val="center"/>
          </w:tcPr>
          <w:p w14:paraId="0418727D">
            <w:pPr>
              <w:spacing w:line="320" w:lineRule="exact"/>
              <w:jc w:val="center"/>
              <w:rPr>
                <w:rFonts w:ascii="Times New Roman" w:hAnsi="Times New Roman" w:cs="Times New Roman" w:eastAsiaTheme="minorEastAsia"/>
                <w:bCs/>
                <w:snapToGrid w:val="0"/>
                <w:color w:val="auto"/>
                <w:w w:val="99"/>
                <w:kern w:val="28"/>
                <w:sz w:val="21"/>
                <w:szCs w:val="21"/>
                <w:highlight w:val="none"/>
              </w:rPr>
            </w:pPr>
          </w:p>
        </w:tc>
        <w:tc>
          <w:tcPr>
            <w:tcW w:w="1798" w:type="pct"/>
            <w:vAlign w:val="center"/>
          </w:tcPr>
          <w:p w14:paraId="38ECC601">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生活垃圾统一收集后拉运至</w:t>
            </w:r>
            <w:r>
              <w:rPr>
                <w:rFonts w:hint="eastAsia" w:ascii="Times New Roman" w:hAnsi="Times New Roman" w:cs="Times New Roman" w:eastAsiaTheme="minorEastAsia"/>
                <w:bCs/>
                <w:snapToGrid w:val="0"/>
                <w:color w:val="auto"/>
                <w:w w:val="99"/>
                <w:kern w:val="28"/>
                <w:sz w:val="21"/>
                <w:szCs w:val="21"/>
                <w:highlight w:val="none"/>
              </w:rPr>
              <w:t>肇东北控环境再生能源有限公司</w:t>
            </w:r>
            <w:r>
              <w:rPr>
                <w:rFonts w:ascii="Times New Roman" w:hAnsi="Times New Roman" w:cs="Times New Roman" w:eastAsiaTheme="minorEastAsia"/>
                <w:bCs/>
                <w:snapToGrid w:val="0"/>
                <w:color w:val="auto"/>
                <w:w w:val="99"/>
                <w:kern w:val="28"/>
                <w:sz w:val="21"/>
                <w:szCs w:val="21"/>
                <w:highlight w:val="none"/>
              </w:rPr>
              <w:t>处理</w:t>
            </w:r>
          </w:p>
        </w:tc>
        <w:tc>
          <w:tcPr>
            <w:tcW w:w="1770" w:type="pct"/>
            <w:vAlign w:val="center"/>
          </w:tcPr>
          <w:p w14:paraId="6E74EEB9">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0.02万元/吨，共计</w:t>
            </w:r>
            <w:r>
              <w:rPr>
                <w:rFonts w:hint="eastAsia" w:ascii="Times New Roman" w:hAnsi="Times New Roman" w:cs="Times New Roman" w:eastAsiaTheme="minorEastAsia"/>
                <w:color w:val="auto"/>
                <w:w w:val="99"/>
                <w:sz w:val="21"/>
                <w:szCs w:val="21"/>
                <w:highlight w:val="none"/>
              </w:rPr>
              <w:t>0.45</w:t>
            </w:r>
            <w:r>
              <w:rPr>
                <w:rFonts w:ascii="Times New Roman" w:hAnsi="Times New Roman" w:cs="Times New Roman" w:eastAsiaTheme="minorEastAsia"/>
                <w:color w:val="auto"/>
                <w:w w:val="99"/>
                <w:sz w:val="21"/>
                <w:szCs w:val="21"/>
                <w:highlight w:val="none"/>
              </w:rPr>
              <w:t>t</w:t>
            </w:r>
          </w:p>
        </w:tc>
        <w:tc>
          <w:tcPr>
            <w:tcW w:w="651" w:type="pct"/>
            <w:vAlign w:val="center"/>
          </w:tcPr>
          <w:p w14:paraId="16F731A9">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0.009</w:t>
            </w:r>
          </w:p>
        </w:tc>
      </w:tr>
      <w:tr w14:paraId="50437B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348393E8">
            <w:pPr>
              <w:snapToGrid w:val="0"/>
              <w:spacing w:line="320" w:lineRule="exact"/>
              <w:jc w:val="center"/>
              <w:rPr>
                <w:rFonts w:ascii="Times New Roman" w:hAnsi="Times New Roman" w:cs="Times New Roman" w:eastAsiaTheme="minorEastAsia"/>
                <w:snapToGrid w:val="0"/>
                <w:color w:val="auto"/>
                <w:w w:val="99"/>
                <w:sz w:val="21"/>
                <w:szCs w:val="21"/>
                <w:highlight w:val="none"/>
              </w:rPr>
            </w:pPr>
          </w:p>
        </w:tc>
        <w:tc>
          <w:tcPr>
            <w:tcW w:w="391" w:type="pct"/>
            <w:vMerge w:val="restart"/>
            <w:vAlign w:val="center"/>
          </w:tcPr>
          <w:p w14:paraId="36CE00A0">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生态</w:t>
            </w:r>
          </w:p>
        </w:tc>
        <w:tc>
          <w:tcPr>
            <w:tcW w:w="1798" w:type="pct"/>
            <w:vAlign w:val="center"/>
          </w:tcPr>
          <w:p w14:paraId="17FACFB2">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color w:val="auto"/>
                <w:w w:val="99"/>
                <w:kern w:val="2"/>
                <w:sz w:val="21"/>
                <w:szCs w:val="21"/>
                <w:highlight w:val="none"/>
              </w:rPr>
              <w:t>对于项目永久占地进行经济补偿，补偿面积</w:t>
            </w:r>
            <w:r>
              <w:rPr>
                <w:rFonts w:hint="eastAsia" w:ascii="Times New Roman" w:hAnsi="Times New Roman" w:cs="Times New Roman"/>
                <w:color w:val="auto"/>
                <w:w w:val="99"/>
                <w:kern w:val="2"/>
                <w:sz w:val="21"/>
                <w:szCs w:val="21"/>
                <w:highlight w:val="none"/>
              </w:rPr>
              <w:t>0.0901</w:t>
            </w:r>
            <w:r>
              <w:rPr>
                <w:rFonts w:ascii="Times New Roman" w:hAnsi="Times New Roman" w:cs="Times New Roman"/>
                <w:color w:val="auto"/>
                <w:w w:val="99"/>
                <w:kern w:val="2"/>
                <w:sz w:val="21"/>
                <w:szCs w:val="21"/>
                <w:highlight w:val="none"/>
              </w:rPr>
              <w:t>hm</w:t>
            </w:r>
            <w:r>
              <w:rPr>
                <w:rFonts w:ascii="Times New Roman" w:hAnsi="Times New Roman" w:cs="Times New Roman"/>
                <w:color w:val="auto"/>
                <w:w w:val="99"/>
                <w:kern w:val="2"/>
                <w:sz w:val="21"/>
                <w:szCs w:val="21"/>
                <w:highlight w:val="none"/>
                <w:vertAlign w:val="superscript"/>
              </w:rPr>
              <w:t>2</w:t>
            </w:r>
          </w:p>
        </w:tc>
        <w:tc>
          <w:tcPr>
            <w:tcW w:w="1770" w:type="pct"/>
            <w:vAlign w:val="center"/>
          </w:tcPr>
          <w:p w14:paraId="0BFEA3C7">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根据《大庆市人民政府关于调整大庆市征地区片综合地价执行标准的通告》庆政规[2023]2号，永久征地费用为</w:t>
            </w:r>
            <w:r>
              <w:rPr>
                <w:rFonts w:hint="eastAsia" w:ascii="Times New Roman" w:hAnsi="Times New Roman" w:cs="Times New Roman" w:eastAsiaTheme="minorEastAsia"/>
                <w:color w:val="auto"/>
                <w:w w:val="99"/>
                <w:sz w:val="21"/>
                <w:szCs w:val="21"/>
                <w:highlight w:val="none"/>
              </w:rPr>
              <w:t>35.21</w:t>
            </w:r>
            <w:r>
              <w:rPr>
                <w:rFonts w:ascii="Times New Roman" w:hAnsi="Times New Roman" w:cs="Times New Roman" w:eastAsiaTheme="minorEastAsia"/>
                <w:color w:val="auto"/>
                <w:w w:val="99"/>
                <w:sz w:val="21"/>
                <w:szCs w:val="21"/>
                <w:highlight w:val="none"/>
              </w:rPr>
              <w:t>元/m</w:t>
            </w:r>
            <w:r>
              <w:rPr>
                <w:rFonts w:ascii="Times New Roman" w:hAnsi="Times New Roman" w:cs="Times New Roman" w:eastAsiaTheme="minorEastAsia"/>
                <w:color w:val="auto"/>
                <w:w w:val="99"/>
                <w:sz w:val="21"/>
                <w:szCs w:val="21"/>
                <w:highlight w:val="none"/>
                <w:vertAlign w:val="superscript"/>
              </w:rPr>
              <w:t>2</w:t>
            </w:r>
          </w:p>
        </w:tc>
        <w:tc>
          <w:tcPr>
            <w:tcW w:w="651" w:type="pct"/>
            <w:vAlign w:val="center"/>
          </w:tcPr>
          <w:p w14:paraId="42DDC10A">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3.17</w:t>
            </w:r>
          </w:p>
        </w:tc>
      </w:tr>
      <w:tr w14:paraId="695EF5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47F3C851">
            <w:pPr>
              <w:snapToGrid w:val="0"/>
              <w:spacing w:line="320" w:lineRule="exact"/>
              <w:jc w:val="center"/>
              <w:rPr>
                <w:rFonts w:ascii="Times New Roman" w:hAnsi="Times New Roman" w:cs="Times New Roman" w:eastAsiaTheme="minorEastAsia"/>
                <w:snapToGrid w:val="0"/>
                <w:color w:val="auto"/>
                <w:w w:val="99"/>
                <w:sz w:val="21"/>
                <w:szCs w:val="21"/>
                <w:highlight w:val="none"/>
              </w:rPr>
            </w:pPr>
          </w:p>
        </w:tc>
        <w:tc>
          <w:tcPr>
            <w:tcW w:w="391" w:type="pct"/>
            <w:vMerge w:val="continue"/>
            <w:vAlign w:val="center"/>
          </w:tcPr>
          <w:p w14:paraId="6E58AF01">
            <w:pPr>
              <w:spacing w:line="320" w:lineRule="exact"/>
              <w:jc w:val="center"/>
              <w:rPr>
                <w:rFonts w:ascii="Times New Roman" w:hAnsi="Times New Roman" w:cs="Times New Roman" w:eastAsiaTheme="minorEastAsia"/>
                <w:bCs/>
                <w:snapToGrid w:val="0"/>
                <w:color w:val="auto"/>
                <w:w w:val="99"/>
                <w:kern w:val="28"/>
                <w:sz w:val="21"/>
                <w:szCs w:val="21"/>
                <w:highlight w:val="none"/>
              </w:rPr>
            </w:pPr>
          </w:p>
        </w:tc>
        <w:tc>
          <w:tcPr>
            <w:tcW w:w="1798" w:type="pct"/>
            <w:vAlign w:val="center"/>
          </w:tcPr>
          <w:p w14:paraId="5B3EA290">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color w:val="auto"/>
                <w:w w:val="99"/>
                <w:kern w:val="2"/>
                <w:sz w:val="21"/>
                <w:szCs w:val="21"/>
                <w:highlight w:val="none"/>
              </w:rPr>
              <w:t>对临时占用的土地进行植被恢复，恢复临时占地</w:t>
            </w:r>
            <w:r>
              <w:rPr>
                <w:rFonts w:hint="eastAsia" w:ascii="Times New Roman" w:hAnsi="Times New Roman" w:cs="Times New Roman"/>
                <w:color w:val="auto"/>
                <w:w w:val="99"/>
                <w:kern w:val="2"/>
                <w:sz w:val="21"/>
                <w:szCs w:val="21"/>
                <w:highlight w:val="none"/>
              </w:rPr>
              <w:t>1.9229</w:t>
            </w:r>
            <w:r>
              <w:rPr>
                <w:rFonts w:ascii="Times New Roman" w:hAnsi="Times New Roman" w:cs="Times New Roman"/>
                <w:color w:val="auto"/>
                <w:w w:val="99"/>
                <w:kern w:val="2"/>
                <w:sz w:val="21"/>
                <w:szCs w:val="21"/>
                <w:highlight w:val="none"/>
              </w:rPr>
              <w:t>hm</w:t>
            </w:r>
            <w:r>
              <w:rPr>
                <w:rFonts w:ascii="Times New Roman" w:hAnsi="Times New Roman" w:cs="Times New Roman"/>
                <w:color w:val="auto"/>
                <w:w w:val="99"/>
                <w:kern w:val="2"/>
                <w:sz w:val="21"/>
                <w:szCs w:val="21"/>
                <w:highlight w:val="none"/>
                <w:vertAlign w:val="superscript"/>
              </w:rPr>
              <w:t>2</w:t>
            </w:r>
          </w:p>
        </w:tc>
        <w:tc>
          <w:tcPr>
            <w:tcW w:w="1770" w:type="pct"/>
            <w:vAlign w:val="center"/>
          </w:tcPr>
          <w:p w14:paraId="0CEF490E">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临时征地费用按5.8元/m</w:t>
            </w:r>
            <w:r>
              <w:rPr>
                <w:rFonts w:ascii="Times New Roman" w:hAnsi="Times New Roman" w:cs="Times New Roman" w:eastAsiaTheme="minorEastAsia"/>
                <w:color w:val="auto"/>
                <w:w w:val="99"/>
                <w:sz w:val="21"/>
                <w:szCs w:val="21"/>
                <w:highlight w:val="none"/>
                <w:vertAlign w:val="superscript"/>
              </w:rPr>
              <w:t>2</w:t>
            </w:r>
            <w:r>
              <w:rPr>
                <w:rFonts w:ascii="Times New Roman" w:hAnsi="Times New Roman" w:cs="Times New Roman" w:eastAsiaTheme="minorEastAsia"/>
                <w:color w:val="auto"/>
                <w:w w:val="99"/>
                <w:sz w:val="21"/>
                <w:szCs w:val="21"/>
                <w:highlight w:val="none"/>
              </w:rPr>
              <w:t>，旱田青苗补偿费为2.1元/ m</w:t>
            </w:r>
            <w:r>
              <w:rPr>
                <w:rFonts w:ascii="Times New Roman" w:hAnsi="Times New Roman" w:cs="Times New Roman" w:eastAsiaTheme="minorEastAsia"/>
                <w:color w:val="auto"/>
                <w:w w:val="99"/>
                <w:sz w:val="21"/>
                <w:szCs w:val="21"/>
                <w:highlight w:val="none"/>
                <w:vertAlign w:val="superscript"/>
              </w:rPr>
              <w:t>2</w:t>
            </w:r>
            <w:r>
              <w:rPr>
                <w:rFonts w:ascii="Times New Roman" w:hAnsi="Times New Roman" w:cs="Times New Roman" w:eastAsiaTheme="minorEastAsia"/>
                <w:color w:val="auto"/>
                <w:w w:val="99"/>
                <w:sz w:val="21"/>
                <w:szCs w:val="21"/>
                <w:highlight w:val="none"/>
              </w:rPr>
              <w:t>；</w:t>
            </w:r>
          </w:p>
        </w:tc>
        <w:tc>
          <w:tcPr>
            <w:tcW w:w="651" w:type="pct"/>
            <w:vAlign w:val="center"/>
          </w:tcPr>
          <w:p w14:paraId="52D25049">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15.19</w:t>
            </w:r>
          </w:p>
        </w:tc>
      </w:tr>
      <w:tr w14:paraId="6B9E2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7AF0DECB">
            <w:pPr>
              <w:snapToGrid w:val="0"/>
              <w:spacing w:line="320" w:lineRule="exact"/>
              <w:jc w:val="center"/>
              <w:rPr>
                <w:rFonts w:ascii="Times New Roman" w:hAnsi="Times New Roman" w:cs="Times New Roman" w:eastAsiaTheme="minorEastAsia"/>
                <w:snapToGrid w:val="0"/>
                <w:color w:val="auto"/>
                <w:w w:val="99"/>
                <w:sz w:val="21"/>
                <w:szCs w:val="21"/>
                <w:highlight w:val="none"/>
              </w:rPr>
            </w:pPr>
          </w:p>
        </w:tc>
        <w:tc>
          <w:tcPr>
            <w:tcW w:w="391" w:type="pct"/>
            <w:vMerge w:val="continue"/>
            <w:vAlign w:val="center"/>
          </w:tcPr>
          <w:p w14:paraId="059FFFF8">
            <w:pPr>
              <w:spacing w:line="320" w:lineRule="exact"/>
              <w:jc w:val="center"/>
              <w:rPr>
                <w:rFonts w:ascii="Times New Roman" w:hAnsi="Times New Roman" w:cs="Times New Roman" w:eastAsiaTheme="minorEastAsia"/>
                <w:bCs/>
                <w:snapToGrid w:val="0"/>
                <w:color w:val="auto"/>
                <w:w w:val="99"/>
                <w:kern w:val="28"/>
                <w:sz w:val="21"/>
                <w:szCs w:val="21"/>
                <w:highlight w:val="none"/>
              </w:rPr>
            </w:pPr>
          </w:p>
        </w:tc>
        <w:tc>
          <w:tcPr>
            <w:tcW w:w="1798" w:type="pct"/>
            <w:vAlign w:val="center"/>
          </w:tcPr>
          <w:p w14:paraId="662B880F">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水土流失防护、防沙治沙、黑土地保护</w:t>
            </w:r>
          </w:p>
        </w:tc>
        <w:tc>
          <w:tcPr>
            <w:tcW w:w="1770" w:type="pct"/>
            <w:vAlign w:val="center"/>
          </w:tcPr>
          <w:p w14:paraId="2F0FA5C8">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0.2万元/</w:t>
            </w:r>
            <w:r>
              <w:rPr>
                <w:rFonts w:ascii="Times New Roman" w:hAnsi="Times New Roman" w:cs="Times New Roman" w:eastAsiaTheme="minorEastAsia"/>
                <w:bCs/>
                <w:snapToGrid w:val="0"/>
                <w:color w:val="auto"/>
                <w:w w:val="99"/>
                <w:kern w:val="28"/>
                <w:sz w:val="21"/>
                <w:szCs w:val="21"/>
                <w:highlight w:val="none"/>
              </w:rPr>
              <w:t xml:space="preserve"> </w:t>
            </w:r>
            <w:r>
              <w:rPr>
                <w:rFonts w:ascii="Times New Roman" w:hAnsi="Times New Roman" w:cs="Times New Roman" w:eastAsiaTheme="minorEastAsia"/>
                <w:bCs/>
                <w:color w:val="auto"/>
                <w:w w:val="99"/>
                <w:sz w:val="21"/>
                <w:szCs w:val="21"/>
                <w:highlight w:val="none"/>
              </w:rPr>
              <w:t>hm</w:t>
            </w:r>
            <w:r>
              <w:rPr>
                <w:rFonts w:ascii="Times New Roman" w:hAnsi="Times New Roman" w:cs="Times New Roman" w:eastAsiaTheme="minorEastAsia"/>
                <w:bCs/>
                <w:color w:val="auto"/>
                <w:w w:val="99"/>
                <w:sz w:val="21"/>
                <w:szCs w:val="21"/>
                <w:highlight w:val="none"/>
                <w:vertAlign w:val="superscript"/>
              </w:rPr>
              <w:t>2</w:t>
            </w:r>
            <w:r>
              <w:rPr>
                <w:rFonts w:ascii="Times New Roman" w:hAnsi="Times New Roman" w:cs="Times New Roman" w:eastAsiaTheme="minorEastAsia"/>
                <w:bCs/>
                <w:snapToGrid w:val="0"/>
                <w:color w:val="auto"/>
                <w:w w:val="99"/>
                <w:kern w:val="28"/>
                <w:sz w:val="21"/>
                <w:szCs w:val="21"/>
                <w:highlight w:val="none"/>
              </w:rPr>
              <w:t>，本项目新增总占地面积为</w:t>
            </w:r>
            <w:r>
              <w:rPr>
                <w:rFonts w:hint="eastAsia" w:ascii="Times New Roman" w:hAnsi="Times New Roman" w:cs="Times New Roman" w:eastAsiaTheme="minorEastAsia"/>
                <w:bCs/>
                <w:snapToGrid w:val="0"/>
                <w:color w:val="auto"/>
                <w:w w:val="99"/>
                <w:kern w:val="28"/>
                <w:sz w:val="21"/>
                <w:szCs w:val="21"/>
                <w:highlight w:val="none"/>
              </w:rPr>
              <w:t>2.013</w:t>
            </w:r>
            <w:r>
              <w:rPr>
                <w:rFonts w:ascii="Times New Roman" w:hAnsi="Times New Roman" w:cs="Times New Roman" w:eastAsiaTheme="minorEastAsia"/>
                <w:bCs/>
                <w:snapToGrid w:val="0"/>
                <w:color w:val="auto"/>
                <w:w w:val="99"/>
                <w:kern w:val="28"/>
                <w:sz w:val="21"/>
                <w:szCs w:val="21"/>
                <w:highlight w:val="none"/>
              </w:rPr>
              <w:t>hm</w:t>
            </w:r>
            <w:r>
              <w:rPr>
                <w:rFonts w:ascii="Times New Roman" w:hAnsi="Times New Roman" w:cs="Times New Roman" w:eastAsiaTheme="minorEastAsia"/>
                <w:bCs/>
                <w:snapToGrid w:val="0"/>
                <w:color w:val="auto"/>
                <w:w w:val="99"/>
                <w:kern w:val="28"/>
                <w:sz w:val="21"/>
                <w:szCs w:val="21"/>
                <w:highlight w:val="none"/>
                <w:vertAlign w:val="superscript"/>
              </w:rPr>
              <w:t>2</w:t>
            </w:r>
          </w:p>
        </w:tc>
        <w:tc>
          <w:tcPr>
            <w:tcW w:w="651" w:type="pct"/>
            <w:vAlign w:val="center"/>
          </w:tcPr>
          <w:p w14:paraId="0657A694">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0.40</w:t>
            </w:r>
          </w:p>
        </w:tc>
      </w:tr>
      <w:tr w14:paraId="63F58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restart"/>
            <w:vAlign w:val="center"/>
          </w:tcPr>
          <w:p w14:paraId="2CA724CB">
            <w:pPr>
              <w:snapToGrid w:val="0"/>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运营期</w:t>
            </w:r>
          </w:p>
        </w:tc>
        <w:tc>
          <w:tcPr>
            <w:tcW w:w="391" w:type="pct"/>
            <w:vAlign w:val="center"/>
          </w:tcPr>
          <w:p w14:paraId="233B56E4">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噪声</w:t>
            </w:r>
          </w:p>
        </w:tc>
        <w:tc>
          <w:tcPr>
            <w:tcW w:w="1798" w:type="pct"/>
            <w:vAlign w:val="center"/>
          </w:tcPr>
          <w:p w14:paraId="368125D2">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低噪声设备、基础减振、隔声</w:t>
            </w:r>
          </w:p>
        </w:tc>
        <w:tc>
          <w:tcPr>
            <w:tcW w:w="1770" w:type="pct"/>
            <w:vAlign w:val="center"/>
          </w:tcPr>
          <w:p w14:paraId="1394BD96">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0.2万元/台设备</w:t>
            </w:r>
            <w:r>
              <w:rPr>
                <w:rFonts w:ascii="Times New Roman" w:hAnsi="Times New Roman" w:cs="Times New Roman" w:eastAsiaTheme="minorEastAsia"/>
                <w:bCs/>
                <w:color w:val="auto"/>
                <w:w w:val="99"/>
                <w:sz w:val="21"/>
                <w:szCs w:val="21"/>
                <w:highlight w:val="none"/>
              </w:rPr>
              <w:t>，合计</w:t>
            </w:r>
            <w:r>
              <w:rPr>
                <w:rFonts w:hint="eastAsia" w:ascii="Times New Roman" w:hAnsi="Times New Roman" w:cs="Times New Roman" w:eastAsiaTheme="minorEastAsia"/>
                <w:bCs/>
                <w:color w:val="auto"/>
                <w:w w:val="99"/>
                <w:sz w:val="21"/>
                <w:szCs w:val="21"/>
                <w:highlight w:val="none"/>
              </w:rPr>
              <w:t>1</w:t>
            </w:r>
            <w:r>
              <w:rPr>
                <w:rFonts w:ascii="Times New Roman" w:hAnsi="Times New Roman" w:cs="Times New Roman" w:eastAsiaTheme="minorEastAsia"/>
                <w:bCs/>
                <w:color w:val="auto"/>
                <w:w w:val="99"/>
                <w:sz w:val="21"/>
                <w:szCs w:val="21"/>
                <w:highlight w:val="none"/>
              </w:rPr>
              <w:t>台套</w:t>
            </w:r>
          </w:p>
        </w:tc>
        <w:tc>
          <w:tcPr>
            <w:tcW w:w="651" w:type="pct"/>
            <w:vAlign w:val="center"/>
          </w:tcPr>
          <w:p w14:paraId="4C39E43B">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0.2</w:t>
            </w:r>
          </w:p>
        </w:tc>
      </w:tr>
      <w:tr w14:paraId="0DDBE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5CAAA43D">
            <w:pPr>
              <w:snapToGrid w:val="0"/>
              <w:spacing w:line="320" w:lineRule="exact"/>
              <w:jc w:val="center"/>
              <w:rPr>
                <w:rFonts w:ascii="Times New Roman" w:hAnsi="Times New Roman" w:cs="Times New Roman" w:eastAsiaTheme="minorEastAsia"/>
                <w:snapToGrid w:val="0"/>
                <w:color w:val="auto"/>
                <w:w w:val="99"/>
                <w:sz w:val="21"/>
                <w:szCs w:val="21"/>
                <w:highlight w:val="none"/>
              </w:rPr>
            </w:pPr>
          </w:p>
        </w:tc>
        <w:tc>
          <w:tcPr>
            <w:tcW w:w="391" w:type="pct"/>
            <w:vAlign w:val="center"/>
          </w:tcPr>
          <w:p w14:paraId="196BA256">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hint="eastAsia" w:ascii="Times New Roman" w:hAnsi="Times New Roman" w:cs="Times New Roman" w:eastAsiaTheme="minorEastAsia"/>
                <w:bCs/>
                <w:snapToGrid w:val="0"/>
                <w:color w:val="auto"/>
                <w:w w:val="99"/>
                <w:kern w:val="28"/>
                <w:sz w:val="21"/>
                <w:szCs w:val="21"/>
                <w:highlight w:val="none"/>
              </w:rPr>
              <w:t>固体废物</w:t>
            </w:r>
          </w:p>
        </w:tc>
        <w:tc>
          <w:tcPr>
            <w:tcW w:w="1798" w:type="pct"/>
            <w:vAlign w:val="center"/>
          </w:tcPr>
          <w:p w14:paraId="513F7F7A">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hint="eastAsia" w:ascii="Times New Roman" w:hAnsi="Times New Roman" w:cs="Times New Roman"/>
                <w:color w:val="auto"/>
                <w:w w:val="99"/>
                <w:kern w:val="2"/>
                <w:sz w:val="21"/>
                <w:szCs w:val="21"/>
                <w:highlight w:val="none"/>
              </w:rPr>
              <w:t>井口含油</w:t>
            </w:r>
            <w:r>
              <w:rPr>
                <w:rFonts w:hint="eastAsia" w:ascii="Times New Roman" w:hAnsi="Times New Roman" w:cs="Times New Roman"/>
                <w:color w:val="auto"/>
                <w:w w:val="99"/>
                <w:kern w:val="2"/>
                <w:sz w:val="21"/>
                <w:szCs w:val="21"/>
                <w:highlight w:val="none"/>
                <w:lang w:eastAsia="zh-CN"/>
              </w:rPr>
              <w:t>砂粒</w:t>
            </w:r>
            <w:r>
              <w:rPr>
                <w:rFonts w:hint="eastAsia" w:ascii="Times New Roman" w:hAnsi="Times New Roman" w:cs="Times New Roman"/>
                <w:color w:val="auto"/>
                <w:w w:val="99"/>
                <w:kern w:val="2"/>
                <w:sz w:val="21"/>
                <w:szCs w:val="21"/>
                <w:highlight w:val="none"/>
              </w:rPr>
              <w:t>、废变压器油由检维修队送采气分公司危险废物贮存库内，定期委托有危废处置资质的单位处置</w:t>
            </w:r>
          </w:p>
        </w:tc>
        <w:tc>
          <w:tcPr>
            <w:tcW w:w="1770" w:type="pct"/>
            <w:vAlign w:val="center"/>
          </w:tcPr>
          <w:p w14:paraId="0C0A5B0B">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0.1万元/吨，共计0</w:t>
            </w:r>
            <w:r>
              <w:rPr>
                <w:rFonts w:hint="eastAsia" w:ascii="Times New Roman" w:hAnsi="Times New Roman" w:cs="Times New Roman" w:eastAsiaTheme="minorEastAsia"/>
                <w:color w:val="auto"/>
                <w:w w:val="99"/>
                <w:sz w:val="21"/>
                <w:szCs w:val="21"/>
                <w:highlight w:val="none"/>
              </w:rPr>
              <w:t>.06</w:t>
            </w:r>
            <w:r>
              <w:rPr>
                <w:rFonts w:ascii="Times New Roman" w:hAnsi="Times New Roman" w:cs="Times New Roman" w:eastAsiaTheme="minorEastAsia"/>
                <w:color w:val="auto"/>
                <w:w w:val="99"/>
                <w:sz w:val="21"/>
                <w:szCs w:val="21"/>
                <w:highlight w:val="none"/>
              </w:rPr>
              <w:t>t/a</w:t>
            </w:r>
          </w:p>
        </w:tc>
        <w:tc>
          <w:tcPr>
            <w:tcW w:w="651" w:type="pct"/>
            <w:vAlign w:val="center"/>
          </w:tcPr>
          <w:p w14:paraId="045361CF">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0.006</w:t>
            </w:r>
          </w:p>
        </w:tc>
      </w:tr>
      <w:tr w14:paraId="7711F8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restart"/>
            <w:vAlign w:val="center"/>
          </w:tcPr>
          <w:p w14:paraId="483F189C">
            <w:pPr>
              <w:snapToGrid w:val="0"/>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退役期</w:t>
            </w:r>
          </w:p>
        </w:tc>
        <w:tc>
          <w:tcPr>
            <w:tcW w:w="391" w:type="pct"/>
            <w:vAlign w:val="center"/>
          </w:tcPr>
          <w:p w14:paraId="379FEBEB">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废气</w:t>
            </w:r>
          </w:p>
        </w:tc>
        <w:tc>
          <w:tcPr>
            <w:tcW w:w="1798" w:type="pct"/>
            <w:vAlign w:val="center"/>
          </w:tcPr>
          <w:p w14:paraId="0D2A68A5">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eastAsiaTheme="minorEastAsia"/>
                <w:bCs/>
                <w:snapToGrid w:val="0"/>
                <w:color w:val="auto"/>
                <w:w w:val="99"/>
                <w:kern w:val="28"/>
                <w:sz w:val="21"/>
                <w:szCs w:val="21"/>
                <w:highlight w:val="none"/>
              </w:rPr>
              <w:t>施工扬尘</w:t>
            </w:r>
            <w:r>
              <w:rPr>
                <w:rFonts w:ascii="Times New Roman" w:hAnsi="Times New Roman" w:cs="Times New Roman"/>
                <w:color w:val="auto"/>
                <w:w w:val="99"/>
                <w:kern w:val="2"/>
                <w:sz w:val="21"/>
                <w:szCs w:val="21"/>
                <w:highlight w:val="none"/>
              </w:rPr>
              <w:t>采取车辆密闭运输、洒水抑尘</w:t>
            </w:r>
          </w:p>
        </w:tc>
        <w:tc>
          <w:tcPr>
            <w:tcW w:w="1770" w:type="pct"/>
            <w:vAlign w:val="center"/>
          </w:tcPr>
          <w:p w14:paraId="2EFD465A">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0.1万元/口井，共</w:t>
            </w:r>
            <w:r>
              <w:rPr>
                <w:rFonts w:hint="eastAsia" w:ascii="Times New Roman" w:hAnsi="Times New Roman" w:cs="Times New Roman" w:eastAsiaTheme="minorEastAsia"/>
                <w:color w:val="auto"/>
                <w:w w:val="99"/>
                <w:sz w:val="21"/>
                <w:szCs w:val="21"/>
                <w:highlight w:val="none"/>
              </w:rPr>
              <w:t>1</w:t>
            </w:r>
            <w:r>
              <w:rPr>
                <w:rFonts w:ascii="Times New Roman" w:hAnsi="Times New Roman" w:cs="Times New Roman" w:eastAsiaTheme="minorEastAsia"/>
                <w:color w:val="auto"/>
                <w:w w:val="99"/>
                <w:sz w:val="21"/>
                <w:szCs w:val="21"/>
                <w:highlight w:val="none"/>
              </w:rPr>
              <w:t>口</w:t>
            </w:r>
            <w:r>
              <w:rPr>
                <w:rFonts w:hint="eastAsia" w:ascii="Times New Roman" w:hAnsi="Times New Roman" w:cs="Times New Roman" w:eastAsiaTheme="minorEastAsia"/>
                <w:color w:val="auto"/>
                <w:w w:val="99"/>
                <w:sz w:val="21"/>
                <w:szCs w:val="21"/>
                <w:highlight w:val="none"/>
              </w:rPr>
              <w:t>气</w:t>
            </w:r>
            <w:r>
              <w:rPr>
                <w:rFonts w:ascii="Times New Roman" w:hAnsi="Times New Roman" w:cs="Times New Roman" w:eastAsiaTheme="minorEastAsia"/>
                <w:color w:val="auto"/>
                <w:w w:val="99"/>
                <w:sz w:val="21"/>
                <w:szCs w:val="21"/>
                <w:highlight w:val="none"/>
              </w:rPr>
              <w:t>井</w:t>
            </w:r>
          </w:p>
        </w:tc>
        <w:tc>
          <w:tcPr>
            <w:tcW w:w="651" w:type="pct"/>
            <w:vAlign w:val="center"/>
          </w:tcPr>
          <w:p w14:paraId="4580BE51">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hint="eastAsia" w:ascii="Times New Roman" w:hAnsi="Times New Roman" w:cs="Times New Roman" w:eastAsiaTheme="minorEastAsia"/>
                <w:bCs/>
                <w:snapToGrid w:val="0"/>
                <w:color w:val="auto"/>
                <w:w w:val="99"/>
                <w:kern w:val="28"/>
                <w:sz w:val="21"/>
                <w:szCs w:val="21"/>
                <w:highlight w:val="none"/>
              </w:rPr>
              <w:t>0.01</w:t>
            </w:r>
          </w:p>
        </w:tc>
      </w:tr>
      <w:tr w14:paraId="36D33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076AAC85">
            <w:pPr>
              <w:snapToGrid w:val="0"/>
              <w:spacing w:line="320" w:lineRule="exact"/>
              <w:jc w:val="center"/>
              <w:rPr>
                <w:rFonts w:ascii="Times New Roman" w:hAnsi="Times New Roman" w:cs="Times New Roman" w:eastAsiaTheme="minorEastAsia"/>
                <w:snapToGrid w:val="0"/>
                <w:color w:val="auto"/>
                <w:w w:val="99"/>
                <w:sz w:val="21"/>
                <w:szCs w:val="21"/>
                <w:highlight w:val="none"/>
              </w:rPr>
            </w:pPr>
          </w:p>
        </w:tc>
        <w:tc>
          <w:tcPr>
            <w:tcW w:w="391" w:type="pct"/>
            <w:vMerge w:val="restart"/>
            <w:vAlign w:val="center"/>
          </w:tcPr>
          <w:p w14:paraId="22691999">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固体废物</w:t>
            </w:r>
          </w:p>
        </w:tc>
        <w:tc>
          <w:tcPr>
            <w:tcW w:w="1798" w:type="pct"/>
            <w:vAlign w:val="center"/>
          </w:tcPr>
          <w:p w14:paraId="3507CDA9">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封井建筑垃圾</w:t>
            </w:r>
            <w:r>
              <w:rPr>
                <w:rFonts w:ascii="Times New Roman" w:hAnsi="Times New Roman" w:cs="Times New Roman"/>
                <w:bCs/>
                <w:color w:val="auto"/>
                <w:w w:val="99"/>
                <w:kern w:val="2"/>
                <w:sz w:val="21"/>
                <w:szCs w:val="21"/>
                <w:highlight w:val="none"/>
              </w:rPr>
              <w:t>统一收集后由施工单位清运至建筑垃圾调配场处理</w:t>
            </w:r>
          </w:p>
        </w:tc>
        <w:tc>
          <w:tcPr>
            <w:tcW w:w="1770" w:type="pct"/>
            <w:vAlign w:val="center"/>
          </w:tcPr>
          <w:p w14:paraId="0769A663">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0.01万元/吨，共计</w:t>
            </w:r>
            <w:r>
              <w:rPr>
                <w:rFonts w:hint="eastAsia" w:ascii="Times New Roman" w:hAnsi="Times New Roman" w:cs="Times New Roman" w:eastAsiaTheme="minorEastAsia"/>
                <w:color w:val="auto"/>
                <w:w w:val="99"/>
                <w:sz w:val="21"/>
                <w:szCs w:val="21"/>
                <w:highlight w:val="none"/>
              </w:rPr>
              <w:t>0.2</w:t>
            </w:r>
            <w:r>
              <w:rPr>
                <w:rFonts w:ascii="Times New Roman" w:hAnsi="Times New Roman" w:cs="Times New Roman" w:eastAsiaTheme="minorEastAsia"/>
                <w:color w:val="auto"/>
                <w:w w:val="99"/>
                <w:sz w:val="21"/>
                <w:szCs w:val="21"/>
                <w:highlight w:val="none"/>
              </w:rPr>
              <w:t>t</w:t>
            </w:r>
          </w:p>
        </w:tc>
        <w:tc>
          <w:tcPr>
            <w:tcW w:w="651" w:type="pct"/>
            <w:vAlign w:val="center"/>
          </w:tcPr>
          <w:p w14:paraId="7B20DD35">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0.002</w:t>
            </w:r>
          </w:p>
        </w:tc>
      </w:tr>
      <w:tr w14:paraId="43BAFE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5F28FB40">
            <w:pPr>
              <w:snapToGrid w:val="0"/>
              <w:spacing w:line="320" w:lineRule="exact"/>
              <w:jc w:val="center"/>
              <w:rPr>
                <w:rFonts w:ascii="Times New Roman" w:hAnsi="Times New Roman" w:cs="Times New Roman" w:eastAsiaTheme="minorEastAsia"/>
                <w:snapToGrid w:val="0"/>
                <w:color w:val="auto"/>
                <w:w w:val="99"/>
                <w:sz w:val="21"/>
                <w:szCs w:val="21"/>
                <w:highlight w:val="none"/>
              </w:rPr>
            </w:pPr>
          </w:p>
        </w:tc>
        <w:tc>
          <w:tcPr>
            <w:tcW w:w="391" w:type="pct"/>
            <w:vMerge w:val="continue"/>
            <w:vAlign w:val="center"/>
          </w:tcPr>
          <w:p w14:paraId="423BB84B">
            <w:pPr>
              <w:spacing w:line="320" w:lineRule="exact"/>
              <w:jc w:val="center"/>
              <w:rPr>
                <w:rFonts w:ascii="Times New Roman" w:hAnsi="Times New Roman" w:cs="Times New Roman" w:eastAsiaTheme="minorEastAsia"/>
                <w:bCs/>
                <w:snapToGrid w:val="0"/>
                <w:color w:val="auto"/>
                <w:w w:val="99"/>
                <w:kern w:val="28"/>
                <w:sz w:val="21"/>
                <w:szCs w:val="21"/>
                <w:highlight w:val="none"/>
              </w:rPr>
            </w:pPr>
          </w:p>
        </w:tc>
        <w:tc>
          <w:tcPr>
            <w:tcW w:w="1798" w:type="pct"/>
            <w:vAlign w:val="center"/>
          </w:tcPr>
          <w:p w14:paraId="0819DA42">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生活垃圾统一收集后拉运至</w:t>
            </w:r>
            <w:r>
              <w:rPr>
                <w:rFonts w:hint="eastAsia" w:ascii="Times New Roman" w:hAnsi="Times New Roman" w:cs="Times New Roman"/>
                <w:color w:val="auto"/>
                <w:w w:val="99"/>
                <w:kern w:val="2"/>
                <w:sz w:val="21"/>
                <w:szCs w:val="21"/>
                <w:highlight w:val="none"/>
              </w:rPr>
              <w:t>肇东北控环境再生能源有限公司</w:t>
            </w:r>
            <w:r>
              <w:rPr>
                <w:rFonts w:ascii="Times New Roman" w:hAnsi="Times New Roman" w:cs="Times New Roman"/>
                <w:color w:val="auto"/>
                <w:w w:val="99"/>
                <w:kern w:val="2"/>
                <w:sz w:val="21"/>
                <w:szCs w:val="21"/>
                <w:highlight w:val="none"/>
              </w:rPr>
              <w:t>处理</w:t>
            </w:r>
          </w:p>
        </w:tc>
        <w:tc>
          <w:tcPr>
            <w:tcW w:w="1770" w:type="pct"/>
            <w:vAlign w:val="center"/>
          </w:tcPr>
          <w:p w14:paraId="62D6D49D">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0.02万元/吨，共计0.</w:t>
            </w:r>
            <w:r>
              <w:rPr>
                <w:rFonts w:hint="eastAsia" w:ascii="Times New Roman" w:hAnsi="Times New Roman" w:cs="Times New Roman" w:eastAsiaTheme="minorEastAsia"/>
                <w:color w:val="auto"/>
                <w:w w:val="99"/>
                <w:sz w:val="21"/>
                <w:szCs w:val="21"/>
                <w:highlight w:val="none"/>
              </w:rPr>
              <w:t>05</w:t>
            </w:r>
            <w:r>
              <w:rPr>
                <w:rFonts w:ascii="Times New Roman" w:hAnsi="Times New Roman" w:cs="Times New Roman" w:eastAsiaTheme="minorEastAsia"/>
                <w:color w:val="auto"/>
                <w:w w:val="99"/>
                <w:sz w:val="21"/>
                <w:szCs w:val="21"/>
                <w:highlight w:val="none"/>
              </w:rPr>
              <w:t>t</w:t>
            </w:r>
          </w:p>
        </w:tc>
        <w:tc>
          <w:tcPr>
            <w:tcW w:w="651" w:type="pct"/>
            <w:vAlign w:val="center"/>
          </w:tcPr>
          <w:p w14:paraId="66A7858A">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0.001</w:t>
            </w:r>
          </w:p>
        </w:tc>
      </w:tr>
      <w:tr w14:paraId="147F1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77C87913">
            <w:pPr>
              <w:snapToGrid w:val="0"/>
              <w:spacing w:line="320" w:lineRule="exact"/>
              <w:jc w:val="center"/>
              <w:rPr>
                <w:rFonts w:ascii="Times New Roman" w:hAnsi="Times New Roman" w:cs="Times New Roman" w:eastAsiaTheme="minorEastAsia"/>
                <w:snapToGrid w:val="0"/>
                <w:color w:val="auto"/>
                <w:w w:val="99"/>
                <w:sz w:val="21"/>
                <w:szCs w:val="21"/>
                <w:highlight w:val="none"/>
              </w:rPr>
            </w:pPr>
          </w:p>
        </w:tc>
        <w:tc>
          <w:tcPr>
            <w:tcW w:w="391" w:type="pct"/>
            <w:vMerge w:val="continue"/>
            <w:vAlign w:val="center"/>
          </w:tcPr>
          <w:p w14:paraId="60D9CC61">
            <w:pPr>
              <w:spacing w:line="320" w:lineRule="exact"/>
              <w:jc w:val="center"/>
              <w:rPr>
                <w:rFonts w:ascii="Times New Roman" w:hAnsi="Times New Roman" w:cs="Times New Roman" w:eastAsiaTheme="minorEastAsia"/>
                <w:bCs/>
                <w:snapToGrid w:val="0"/>
                <w:color w:val="auto"/>
                <w:w w:val="99"/>
                <w:kern w:val="28"/>
                <w:sz w:val="21"/>
                <w:szCs w:val="21"/>
                <w:highlight w:val="none"/>
              </w:rPr>
            </w:pPr>
          </w:p>
        </w:tc>
        <w:tc>
          <w:tcPr>
            <w:tcW w:w="1798" w:type="pct"/>
            <w:vAlign w:val="center"/>
          </w:tcPr>
          <w:p w14:paraId="1E829675">
            <w:pPr>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含油废防渗布在作业结束后，委托有资质单位转运处置</w:t>
            </w:r>
          </w:p>
        </w:tc>
        <w:tc>
          <w:tcPr>
            <w:tcW w:w="1770" w:type="pct"/>
            <w:vAlign w:val="center"/>
          </w:tcPr>
          <w:p w14:paraId="12D2CB97">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0.1万元/吨，共计</w:t>
            </w:r>
            <w:r>
              <w:rPr>
                <w:rFonts w:hint="eastAsia" w:ascii="Times New Roman" w:hAnsi="Times New Roman" w:cs="Times New Roman" w:eastAsiaTheme="minorEastAsia"/>
                <w:color w:val="auto"/>
                <w:w w:val="99"/>
                <w:sz w:val="21"/>
                <w:szCs w:val="21"/>
                <w:highlight w:val="none"/>
              </w:rPr>
              <w:t>0.75</w:t>
            </w:r>
            <w:r>
              <w:rPr>
                <w:rFonts w:ascii="Times New Roman" w:hAnsi="Times New Roman" w:cs="Times New Roman" w:eastAsiaTheme="minorEastAsia"/>
                <w:color w:val="auto"/>
                <w:w w:val="99"/>
                <w:sz w:val="21"/>
                <w:szCs w:val="21"/>
                <w:highlight w:val="none"/>
              </w:rPr>
              <w:t>t/a</w:t>
            </w:r>
          </w:p>
        </w:tc>
        <w:tc>
          <w:tcPr>
            <w:tcW w:w="651" w:type="pct"/>
            <w:vAlign w:val="center"/>
          </w:tcPr>
          <w:p w14:paraId="3BD92577">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r>
              <w:rPr>
                <w:rFonts w:hint="eastAsia" w:ascii="Times New Roman" w:hAnsi="Times New Roman" w:cs="Times New Roman" w:eastAsiaTheme="minorEastAsia"/>
                <w:color w:val="auto"/>
                <w:w w:val="99"/>
                <w:sz w:val="21"/>
                <w:szCs w:val="21"/>
                <w:highlight w:val="none"/>
              </w:rPr>
              <w:t>075</w:t>
            </w:r>
          </w:p>
        </w:tc>
      </w:tr>
      <w:tr w14:paraId="0481A0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80" w:type="pct"/>
            <w:gridSpan w:val="2"/>
            <w:vAlign w:val="center"/>
          </w:tcPr>
          <w:p w14:paraId="6A859526">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风险防范</w:t>
            </w:r>
          </w:p>
        </w:tc>
        <w:tc>
          <w:tcPr>
            <w:tcW w:w="1798" w:type="pct"/>
            <w:vAlign w:val="center"/>
          </w:tcPr>
          <w:p w14:paraId="21B7D555">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配备围油栏、吸油毡、消油剂等应急物资，定期进行应急演练等风险防范措施及应急措施</w:t>
            </w:r>
          </w:p>
        </w:tc>
        <w:tc>
          <w:tcPr>
            <w:tcW w:w="1770" w:type="pct"/>
            <w:vAlign w:val="center"/>
          </w:tcPr>
          <w:p w14:paraId="247FE164">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配备1套</w:t>
            </w:r>
          </w:p>
        </w:tc>
        <w:tc>
          <w:tcPr>
            <w:tcW w:w="651" w:type="pct"/>
            <w:vAlign w:val="center"/>
          </w:tcPr>
          <w:p w14:paraId="58F6860E">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w:t>
            </w:r>
          </w:p>
        </w:tc>
      </w:tr>
      <w:tr w14:paraId="37E866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trPr>
        <w:tc>
          <w:tcPr>
            <w:tcW w:w="780" w:type="pct"/>
            <w:gridSpan w:val="2"/>
            <w:vMerge w:val="restart"/>
            <w:vAlign w:val="center"/>
          </w:tcPr>
          <w:p w14:paraId="7C0775C4">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地下水及土壤防范措施</w:t>
            </w:r>
          </w:p>
        </w:tc>
        <w:tc>
          <w:tcPr>
            <w:tcW w:w="1798" w:type="pct"/>
            <w:vAlign w:val="center"/>
          </w:tcPr>
          <w:p w14:paraId="453DDFF5">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采取分区防渗措施</w:t>
            </w:r>
          </w:p>
        </w:tc>
        <w:tc>
          <w:tcPr>
            <w:tcW w:w="1770" w:type="pct"/>
            <w:vAlign w:val="center"/>
          </w:tcPr>
          <w:p w14:paraId="71C5884D">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color w:val="auto"/>
                <w:w w:val="99"/>
                <w:sz w:val="21"/>
                <w:szCs w:val="21"/>
                <w:highlight w:val="none"/>
              </w:rPr>
              <w:t>0.2</w:t>
            </w:r>
            <w:r>
              <w:rPr>
                <w:rFonts w:ascii="Times New Roman" w:hAnsi="Times New Roman" w:cs="Times New Roman" w:eastAsiaTheme="minorEastAsia"/>
                <w:bCs/>
                <w:snapToGrid w:val="0"/>
                <w:color w:val="auto"/>
                <w:w w:val="99"/>
                <w:kern w:val="28"/>
                <w:sz w:val="21"/>
                <w:szCs w:val="21"/>
                <w:highlight w:val="none"/>
              </w:rPr>
              <w:t>万元/口井，共</w:t>
            </w:r>
            <w:r>
              <w:rPr>
                <w:rFonts w:hint="eastAsia" w:ascii="Times New Roman" w:hAnsi="Times New Roman" w:cs="Times New Roman" w:eastAsiaTheme="minorEastAsia"/>
                <w:bCs/>
                <w:snapToGrid w:val="0"/>
                <w:color w:val="auto"/>
                <w:w w:val="99"/>
                <w:kern w:val="28"/>
                <w:sz w:val="21"/>
                <w:szCs w:val="21"/>
                <w:highlight w:val="none"/>
              </w:rPr>
              <w:t>1</w:t>
            </w:r>
            <w:r>
              <w:rPr>
                <w:rFonts w:ascii="Times New Roman" w:hAnsi="Times New Roman" w:cs="Times New Roman" w:eastAsiaTheme="minorEastAsia"/>
                <w:bCs/>
                <w:snapToGrid w:val="0"/>
                <w:color w:val="auto"/>
                <w:w w:val="99"/>
                <w:kern w:val="28"/>
                <w:sz w:val="21"/>
                <w:szCs w:val="21"/>
                <w:highlight w:val="none"/>
              </w:rPr>
              <w:t xml:space="preserve">口基建井 </w:t>
            </w:r>
          </w:p>
        </w:tc>
        <w:tc>
          <w:tcPr>
            <w:tcW w:w="651" w:type="pct"/>
            <w:vAlign w:val="center"/>
          </w:tcPr>
          <w:p w14:paraId="420AEB0F">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0.2</w:t>
            </w:r>
          </w:p>
        </w:tc>
      </w:tr>
      <w:tr w14:paraId="0456E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80" w:type="pct"/>
            <w:gridSpan w:val="2"/>
            <w:vMerge w:val="continue"/>
            <w:vAlign w:val="center"/>
          </w:tcPr>
          <w:p w14:paraId="69A99F97">
            <w:pPr>
              <w:spacing w:line="320" w:lineRule="exact"/>
              <w:jc w:val="center"/>
              <w:rPr>
                <w:rFonts w:ascii="Times New Roman" w:hAnsi="Times New Roman" w:cs="Times New Roman" w:eastAsiaTheme="minorEastAsia"/>
                <w:bCs/>
                <w:snapToGrid w:val="0"/>
                <w:color w:val="auto"/>
                <w:w w:val="99"/>
                <w:kern w:val="28"/>
                <w:sz w:val="21"/>
                <w:szCs w:val="21"/>
                <w:highlight w:val="none"/>
              </w:rPr>
            </w:pPr>
          </w:p>
        </w:tc>
        <w:tc>
          <w:tcPr>
            <w:tcW w:w="1798" w:type="pct"/>
            <w:vAlign w:val="center"/>
          </w:tcPr>
          <w:p w14:paraId="2B5C5B38">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井布设</w:t>
            </w:r>
            <w:r>
              <w:rPr>
                <w:rFonts w:hint="eastAsia" w:ascii="Times New Roman" w:hAnsi="Times New Roman" w:cs="Times New Roman" w:eastAsiaTheme="minorEastAsia"/>
                <w:bCs/>
                <w:snapToGrid w:val="0"/>
                <w:color w:val="auto"/>
                <w:w w:val="99"/>
                <w:kern w:val="28"/>
                <w:sz w:val="21"/>
                <w:szCs w:val="21"/>
                <w:highlight w:val="none"/>
              </w:rPr>
              <w:t>3</w:t>
            </w:r>
            <w:r>
              <w:rPr>
                <w:rFonts w:ascii="Times New Roman" w:hAnsi="Times New Roman" w:cs="Times New Roman" w:eastAsiaTheme="minorEastAsia"/>
                <w:bCs/>
                <w:snapToGrid w:val="0"/>
                <w:color w:val="auto"/>
                <w:w w:val="99"/>
                <w:kern w:val="28"/>
                <w:sz w:val="21"/>
                <w:szCs w:val="21"/>
                <w:highlight w:val="none"/>
              </w:rPr>
              <w:t>口跟踪监测井，定期跟踪监测地下水</w:t>
            </w:r>
          </w:p>
        </w:tc>
        <w:tc>
          <w:tcPr>
            <w:tcW w:w="1770" w:type="pct"/>
            <w:vAlign w:val="center"/>
          </w:tcPr>
          <w:p w14:paraId="11243462">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0.1万元/点位，共</w:t>
            </w:r>
            <w:r>
              <w:rPr>
                <w:rFonts w:hint="eastAsia" w:ascii="Times New Roman" w:hAnsi="Times New Roman" w:cs="Times New Roman" w:eastAsiaTheme="minorEastAsia"/>
                <w:bCs/>
                <w:snapToGrid w:val="0"/>
                <w:color w:val="auto"/>
                <w:w w:val="99"/>
                <w:kern w:val="28"/>
                <w:sz w:val="21"/>
                <w:szCs w:val="21"/>
                <w:highlight w:val="none"/>
              </w:rPr>
              <w:t>3</w:t>
            </w:r>
            <w:r>
              <w:rPr>
                <w:rFonts w:ascii="Times New Roman" w:hAnsi="Times New Roman" w:cs="Times New Roman" w:eastAsiaTheme="minorEastAsia"/>
                <w:bCs/>
                <w:snapToGrid w:val="0"/>
                <w:color w:val="auto"/>
                <w:w w:val="99"/>
                <w:kern w:val="28"/>
                <w:sz w:val="21"/>
                <w:szCs w:val="21"/>
                <w:highlight w:val="none"/>
              </w:rPr>
              <w:t>个监测点位</w:t>
            </w:r>
          </w:p>
        </w:tc>
        <w:tc>
          <w:tcPr>
            <w:tcW w:w="651" w:type="pct"/>
            <w:vAlign w:val="center"/>
          </w:tcPr>
          <w:p w14:paraId="34FA608E">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0.3</w:t>
            </w:r>
          </w:p>
        </w:tc>
      </w:tr>
      <w:tr w14:paraId="06F76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80" w:type="pct"/>
            <w:gridSpan w:val="2"/>
            <w:vMerge w:val="continue"/>
            <w:vAlign w:val="center"/>
          </w:tcPr>
          <w:p w14:paraId="1640C268">
            <w:pPr>
              <w:spacing w:line="320" w:lineRule="exact"/>
              <w:jc w:val="center"/>
              <w:rPr>
                <w:rFonts w:ascii="Times New Roman" w:hAnsi="Times New Roman" w:cs="Times New Roman" w:eastAsiaTheme="minorEastAsia"/>
                <w:bCs/>
                <w:snapToGrid w:val="0"/>
                <w:color w:val="auto"/>
                <w:w w:val="99"/>
                <w:kern w:val="28"/>
                <w:sz w:val="21"/>
                <w:szCs w:val="21"/>
                <w:highlight w:val="none"/>
              </w:rPr>
            </w:pPr>
          </w:p>
        </w:tc>
        <w:tc>
          <w:tcPr>
            <w:tcW w:w="1798" w:type="pct"/>
            <w:vAlign w:val="center"/>
          </w:tcPr>
          <w:p w14:paraId="4D6EC3EE">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设</w:t>
            </w:r>
            <w:r>
              <w:rPr>
                <w:rFonts w:hint="eastAsia" w:ascii="Times New Roman" w:hAnsi="Times New Roman" w:cs="Times New Roman" w:eastAsiaTheme="minorEastAsia"/>
                <w:bCs/>
                <w:snapToGrid w:val="0"/>
                <w:color w:val="auto"/>
                <w:w w:val="99"/>
                <w:kern w:val="28"/>
                <w:sz w:val="21"/>
                <w:szCs w:val="21"/>
                <w:highlight w:val="none"/>
              </w:rPr>
              <w:t>2</w:t>
            </w:r>
            <w:r>
              <w:rPr>
                <w:rFonts w:ascii="Times New Roman" w:hAnsi="Times New Roman" w:cs="Times New Roman" w:eastAsiaTheme="minorEastAsia"/>
                <w:bCs/>
                <w:snapToGrid w:val="0"/>
                <w:color w:val="auto"/>
                <w:w w:val="99"/>
                <w:kern w:val="28"/>
                <w:sz w:val="21"/>
                <w:szCs w:val="21"/>
                <w:highlight w:val="none"/>
              </w:rPr>
              <w:t>个土壤跟踪监测点，定期跟踪监测土壤</w:t>
            </w:r>
          </w:p>
        </w:tc>
        <w:tc>
          <w:tcPr>
            <w:tcW w:w="1770" w:type="pct"/>
            <w:vAlign w:val="center"/>
          </w:tcPr>
          <w:p w14:paraId="2D5F6B7C">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0.2万元/点位，共</w:t>
            </w:r>
            <w:r>
              <w:rPr>
                <w:rFonts w:hint="eastAsia" w:ascii="Times New Roman" w:hAnsi="Times New Roman" w:cs="Times New Roman" w:eastAsiaTheme="minorEastAsia"/>
                <w:bCs/>
                <w:snapToGrid w:val="0"/>
                <w:color w:val="auto"/>
                <w:w w:val="99"/>
                <w:kern w:val="28"/>
                <w:sz w:val="21"/>
                <w:szCs w:val="21"/>
                <w:highlight w:val="none"/>
              </w:rPr>
              <w:t>2</w:t>
            </w:r>
            <w:r>
              <w:rPr>
                <w:rFonts w:ascii="Times New Roman" w:hAnsi="Times New Roman" w:cs="Times New Roman" w:eastAsiaTheme="minorEastAsia"/>
                <w:bCs/>
                <w:snapToGrid w:val="0"/>
                <w:color w:val="auto"/>
                <w:w w:val="99"/>
                <w:kern w:val="28"/>
                <w:sz w:val="21"/>
                <w:szCs w:val="21"/>
                <w:highlight w:val="none"/>
              </w:rPr>
              <w:t>个监测点位</w:t>
            </w:r>
          </w:p>
        </w:tc>
        <w:tc>
          <w:tcPr>
            <w:tcW w:w="651" w:type="pct"/>
            <w:vAlign w:val="center"/>
          </w:tcPr>
          <w:p w14:paraId="40AB4EB6">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0.4</w:t>
            </w:r>
          </w:p>
        </w:tc>
      </w:tr>
      <w:tr w14:paraId="174E7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348" w:type="pct"/>
            <w:gridSpan w:val="4"/>
            <w:vAlign w:val="center"/>
          </w:tcPr>
          <w:p w14:paraId="5D38D7E6">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合计</w:t>
            </w:r>
          </w:p>
        </w:tc>
        <w:tc>
          <w:tcPr>
            <w:tcW w:w="651" w:type="pct"/>
            <w:vAlign w:val="center"/>
          </w:tcPr>
          <w:p w14:paraId="68BF8B43">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25.47</w:t>
            </w:r>
          </w:p>
        </w:tc>
      </w:tr>
    </w:tbl>
    <w:p w14:paraId="38D4A421">
      <w:pPr>
        <w:pStyle w:val="7"/>
        <w:widowControl w:val="0"/>
        <w:spacing w:before="60" w:after="60" w:line="440" w:lineRule="exact"/>
        <w:jc w:val="both"/>
        <w:rPr>
          <w:rFonts w:eastAsiaTheme="minorEastAsia"/>
          <w:b/>
          <w:color w:val="auto"/>
          <w:w w:val="99"/>
          <w:kern w:val="2"/>
          <w:sz w:val="24"/>
          <w:szCs w:val="24"/>
          <w:highlight w:val="none"/>
        </w:rPr>
      </w:pPr>
      <w:bookmarkStart w:id="1120" w:name="_Toc86142033"/>
      <w:bookmarkStart w:id="1121" w:name="_Toc143099678"/>
      <w:bookmarkStart w:id="1122" w:name="_Toc186444390"/>
      <w:bookmarkStart w:id="1123" w:name="_Toc84929334"/>
      <w:bookmarkStart w:id="1124" w:name="_Toc126863490"/>
      <w:bookmarkStart w:id="1125" w:name="_Toc127192439"/>
      <w:bookmarkStart w:id="1126" w:name="_Toc85640858"/>
      <w:bookmarkStart w:id="1127" w:name="_Toc131167391"/>
      <w:r>
        <w:rPr>
          <w:rFonts w:eastAsiaTheme="minorEastAsia"/>
          <w:b/>
          <w:color w:val="auto"/>
          <w:w w:val="99"/>
          <w:kern w:val="2"/>
          <w:sz w:val="24"/>
          <w:szCs w:val="24"/>
          <w:highlight w:val="none"/>
        </w:rPr>
        <w:t>7.2.2环境效益简要分析</w:t>
      </w:r>
      <w:bookmarkEnd w:id="1120"/>
      <w:bookmarkEnd w:id="1121"/>
      <w:bookmarkEnd w:id="1122"/>
      <w:bookmarkEnd w:id="1123"/>
      <w:bookmarkEnd w:id="1124"/>
      <w:bookmarkEnd w:id="1125"/>
      <w:bookmarkEnd w:id="1126"/>
      <w:bookmarkEnd w:id="1127"/>
    </w:p>
    <w:p w14:paraId="50A9551D">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项目建设运营中排放的污染物采取了一系列治理措施，大大降低了排入环境中污染物的数量，将取得一定的环境效益。</w:t>
      </w:r>
    </w:p>
    <w:p w14:paraId="0B330C2F">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128" w:name="_Toc7495"/>
      <w:bookmarkStart w:id="1129" w:name="_Toc173163559"/>
      <w:r>
        <w:rPr>
          <w:rFonts w:ascii="Times New Roman" w:hAnsi="Times New Roman" w:eastAsiaTheme="minorEastAsia"/>
          <w:b/>
          <w:snapToGrid w:val="0"/>
          <w:color w:val="auto"/>
          <w:w w:val="99"/>
          <w:highlight w:val="none"/>
        </w:rPr>
        <w:t>7.3环境经济损益分析结论</w:t>
      </w:r>
      <w:bookmarkEnd w:id="1128"/>
      <w:bookmarkEnd w:id="1129"/>
    </w:p>
    <w:p w14:paraId="406727F6">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总体而言，本项目的建设，为确保大庆油</w:t>
      </w:r>
      <w:r>
        <w:rPr>
          <w:rFonts w:hint="eastAsia" w:ascii="Times New Roman" w:hAnsi="Times New Roman" w:cs="Times New Roman"/>
          <w:color w:val="auto"/>
          <w:w w:val="99"/>
          <w:highlight w:val="none"/>
          <w:lang w:bidi="zh-CN"/>
        </w:rPr>
        <w:t>气</w:t>
      </w:r>
      <w:r>
        <w:rPr>
          <w:rFonts w:ascii="Times New Roman" w:hAnsi="Times New Roman" w:cs="Times New Roman"/>
          <w:color w:val="auto"/>
          <w:w w:val="99"/>
          <w:highlight w:val="none"/>
          <w:lang w:bidi="zh-CN"/>
        </w:rPr>
        <w:t>田的可持续发展、建设百年油</w:t>
      </w:r>
      <w:r>
        <w:rPr>
          <w:rFonts w:hint="eastAsia" w:ascii="Times New Roman" w:hAnsi="Times New Roman" w:cs="Times New Roman"/>
          <w:color w:val="auto"/>
          <w:w w:val="99"/>
          <w:highlight w:val="none"/>
          <w:lang w:bidi="zh-CN"/>
        </w:rPr>
        <w:t>气</w:t>
      </w:r>
      <w:r>
        <w:rPr>
          <w:rFonts w:ascii="Times New Roman" w:hAnsi="Times New Roman" w:cs="Times New Roman"/>
          <w:color w:val="auto"/>
          <w:w w:val="99"/>
          <w:highlight w:val="none"/>
          <w:lang w:bidi="zh-CN"/>
        </w:rPr>
        <w:t>田提供了强有力的保证，对保障我国石油供应、发展我国石油化工、繁荣经济、促进改革和社会发展，都将发挥重要的作用。同时，该项目的建设还可以提高项目所在地的税收、增加就业机会、带动当地第三产业的发展，提高当地的生活水平，实现当地经济环境的协调发展。</w:t>
      </w:r>
    </w:p>
    <w:p w14:paraId="5074EDBF">
      <w:pPr>
        <w:widowControl w:val="0"/>
        <w:spacing w:line="440" w:lineRule="exact"/>
        <w:ind w:firstLine="474" w:firstLineChars="200"/>
        <w:jc w:val="both"/>
        <w:rPr>
          <w:rFonts w:ascii="Times New Roman" w:hAnsi="Times New Roman" w:cs="Times New Roman"/>
          <w:color w:val="auto"/>
          <w:w w:val="99"/>
          <w:highlight w:val="none"/>
          <w:lang w:bidi="zh-CN"/>
        </w:rPr>
        <w:sectPr>
          <w:type w:val="nextColumn"/>
          <w:pgSz w:w="11907" w:h="16840"/>
          <w:pgMar w:top="1418" w:right="1418" w:bottom="1418" w:left="1418" w:header="851" w:footer="992" w:gutter="0"/>
          <w:cols w:space="720" w:num="1"/>
          <w:docGrid w:linePitch="319" w:charSpace="0"/>
        </w:sectPr>
      </w:pPr>
    </w:p>
    <w:p w14:paraId="30D18903">
      <w:pPr>
        <w:pStyle w:val="4"/>
        <w:widowControl w:val="0"/>
        <w:spacing w:before="180" w:after="180" w:line="440" w:lineRule="exact"/>
        <w:jc w:val="both"/>
        <w:rPr>
          <w:rFonts w:ascii="Times New Roman" w:hAnsi="Times New Roman" w:eastAsiaTheme="minorEastAsia"/>
          <w:b/>
          <w:snapToGrid w:val="0"/>
          <w:color w:val="auto"/>
          <w:w w:val="99"/>
          <w:sz w:val="30"/>
          <w:szCs w:val="30"/>
          <w:highlight w:val="none"/>
        </w:rPr>
      </w:pPr>
      <w:bookmarkStart w:id="1130" w:name="_Toc173163560"/>
      <w:bookmarkStart w:id="1131" w:name="_Toc29029"/>
      <w:r>
        <w:rPr>
          <w:rFonts w:ascii="Times New Roman" w:hAnsi="Times New Roman" w:eastAsiaTheme="minorEastAsia"/>
          <w:b/>
          <w:snapToGrid w:val="0"/>
          <w:color w:val="auto"/>
          <w:w w:val="99"/>
          <w:sz w:val="30"/>
          <w:szCs w:val="30"/>
          <w:highlight w:val="none"/>
        </w:rPr>
        <w:t>8环境管理与监测计划</w:t>
      </w:r>
      <w:bookmarkEnd w:id="1130"/>
      <w:bookmarkEnd w:id="1131"/>
    </w:p>
    <w:p w14:paraId="7181FCA6">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132" w:name="_Toc27549"/>
      <w:bookmarkStart w:id="1133" w:name="_Toc173163561"/>
      <w:r>
        <w:rPr>
          <w:rFonts w:ascii="Times New Roman" w:hAnsi="Times New Roman" w:eastAsiaTheme="minorEastAsia"/>
          <w:b/>
          <w:snapToGrid w:val="0"/>
          <w:color w:val="auto"/>
          <w:w w:val="99"/>
          <w:highlight w:val="none"/>
        </w:rPr>
        <w:t>8.1 HSE管理体系的建立和运行</w:t>
      </w:r>
      <w:bookmarkEnd w:id="1132"/>
      <w:bookmarkEnd w:id="1133"/>
    </w:p>
    <w:p w14:paraId="22C64DDD">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本项目应依据《石油天然气工业健康、安全与环境管理体系》（SY/T6276-2014）的要求，在项目的建设期、运营期和退役期等3个阶段建立和实施HSE管理体系。建设期、运营期和退役期的HSE管理分别包括以下内容：</w:t>
      </w:r>
    </w:p>
    <w:p w14:paraId="2CA5DDF2">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（1）建设期HSE管理主要包括良好的工程（高</w:t>
      </w:r>
      <w:r>
        <w:rPr>
          <w:rFonts w:hint="eastAsia" w:ascii="Times New Roman" w:hAnsi="Times New Roman" w:cs="Times New Roman"/>
          <w:color w:val="auto"/>
          <w:w w:val="99"/>
          <w:highlight w:val="none"/>
          <w:lang w:bidi="zh-CN"/>
        </w:rPr>
        <w:t>质</w:t>
      </w:r>
      <w:r>
        <w:rPr>
          <w:rFonts w:ascii="Times New Roman" w:hAnsi="Times New Roman" w:cs="Times New Roman"/>
          <w:color w:val="auto"/>
          <w:w w:val="99"/>
          <w:highlight w:val="none"/>
          <w:lang w:bidi="zh-CN"/>
        </w:rPr>
        <w:t>、节水、节能）设计、安全、健康与环境保护设施的同时设计、同时施工和同时投入使用，安全、绿色施工等；</w:t>
      </w:r>
    </w:p>
    <w:p w14:paraId="72404B67">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（2）运营期HSE管理主要包括：HSE组织机构的建立及职责的确定、文件的编写、风险的识别和管理、应急措施的建立、人员的培训、HSE管理体系的运行及保持、清洁生产等；</w:t>
      </w:r>
    </w:p>
    <w:p w14:paraId="27999AFE">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（3）退役期HSE管理主要考虑</w:t>
      </w:r>
      <w:r>
        <w:rPr>
          <w:rFonts w:hint="eastAsia" w:ascii="Times New Roman" w:hAnsi="Times New Roman" w:cs="Times New Roman"/>
          <w:color w:val="auto"/>
          <w:w w:val="99"/>
          <w:highlight w:val="none"/>
          <w:lang w:bidi="zh-CN"/>
        </w:rPr>
        <w:t>气</w:t>
      </w:r>
      <w:r>
        <w:rPr>
          <w:rFonts w:ascii="Times New Roman" w:hAnsi="Times New Roman" w:cs="Times New Roman"/>
          <w:color w:val="auto"/>
          <w:w w:val="99"/>
          <w:highlight w:val="none"/>
          <w:lang w:bidi="zh-CN"/>
        </w:rPr>
        <w:t>区退役的安全与环境影响。</w:t>
      </w:r>
    </w:p>
    <w:p w14:paraId="4ADBBD64">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本项目</w:t>
      </w:r>
      <w:r>
        <w:rPr>
          <w:rFonts w:ascii="Times New Roman" w:hAnsi="Times New Roman" w:cs="Times New Roman"/>
          <w:color w:val="auto"/>
          <w:w w:val="99"/>
          <w:highlight w:val="none"/>
          <w:lang w:bidi="zh-CN"/>
        </w:rPr>
        <w:t>开发建设对环境主要影响是建设期的各种施工作业活动和运营期的风险事故。为最大限度地减轻油</w:t>
      </w:r>
      <w:r>
        <w:rPr>
          <w:rFonts w:hint="eastAsia" w:ascii="Times New Roman" w:hAnsi="Times New Roman" w:cs="Times New Roman"/>
          <w:color w:val="auto"/>
          <w:w w:val="99"/>
          <w:highlight w:val="none"/>
          <w:lang w:bidi="zh-CN"/>
        </w:rPr>
        <w:t>气</w:t>
      </w:r>
      <w:r>
        <w:rPr>
          <w:rFonts w:ascii="Times New Roman" w:hAnsi="Times New Roman" w:cs="Times New Roman"/>
          <w:color w:val="auto"/>
          <w:w w:val="99"/>
          <w:highlight w:val="none"/>
          <w:lang w:bidi="zh-CN"/>
        </w:rPr>
        <w:t>田生产对区域内空气环境、水环境及生态环境的影响，减少温室气体的排放，减少事故的发生，以确保油</w:t>
      </w:r>
      <w:r>
        <w:rPr>
          <w:rFonts w:hint="eastAsia" w:ascii="Times New Roman" w:hAnsi="Times New Roman" w:cs="Times New Roman"/>
          <w:color w:val="auto"/>
          <w:w w:val="99"/>
          <w:highlight w:val="none"/>
          <w:lang w:bidi="zh-CN"/>
        </w:rPr>
        <w:t>气</w:t>
      </w:r>
      <w:r>
        <w:rPr>
          <w:rFonts w:ascii="Times New Roman" w:hAnsi="Times New Roman" w:cs="Times New Roman"/>
          <w:color w:val="auto"/>
          <w:w w:val="99"/>
          <w:highlight w:val="none"/>
          <w:lang w:bidi="zh-CN"/>
        </w:rPr>
        <w:t>田安全运行，必须建立科学有效的环境管理体制，制定详细周密的环境保护管理计划。</w:t>
      </w:r>
    </w:p>
    <w:p w14:paraId="6AFD8B3A">
      <w:pPr>
        <w:pStyle w:val="7"/>
        <w:widowControl w:val="0"/>
        <w:spacing w:before="60" w:after="60" w:line="440" w:lineRule="exact"/>
        <w:jc w:val="both"/>
        <w:rPr>
          <w:rFonts w:eastAsiaTheme="minorEastAsia"/>
          <w:b/>
          <w:color w:val="auto"/>
          <w:w w:val="99"/>
          <w:kern w:val="2"/>
          <w:sz w:val="24"/>
          <w:szCs w:val="24"/>
          <w:highlight w:val="none"/>
        </w:rPr>
      </w:pPr>
      <w:bookmarkStart w:id="1134" w:name="_Toc86142037"/>
      <w:bookmarkStart w:id="1135" w:name="_Toc85640862"/>
      <w:bookmarkStart w:id="1136" w:name="_Toc143099682"/>
      <w:bookmarkStart w:id="1137" w:name="_Toc131167395"/>
      <w:bookmarkStart w:id="1138" w:name="_Toc84929338"/>
      <w:bookmarkStart w:id="1139" w:name="_Toc186444394"/>
      <w:bookmarkStart w:id="1140" w:name="_Toc126863494"/>
      <w:bookmarkStart w:id="1141" w:name="_Toc127192443"/>
      <w:r>
        <w:rPr>
          <w:rFonts w:eastAsiaTheme="minorEastAsia"/>
          <w:b/>
          <w:color w:val="auto"/>
          <w:w w:val="99"/>
          <w:kern w:val="2"/>
          <w:sz w:val="24"/>
          <w:szCs w:val="24"/>
          <w:highlight w:val="none"/>
        </w:rPr>
        <w:t>8.1.1组织结构</w:t>
      </w:r>
      <w:bookmarkEnd w:id="1134"/>
      <w:bookmarkEnd w:id="1135"/>
      <w:bookmarkEnd w:id="1136"/>
      <w:bookmarkEnd w:id="1137"/>
      <w:bookmarkEnd w:id="1138"/>
      <w:bookmarkEnd w:id="1139"/>
      <w:bookmarkEnd w:id="1140"/>
      <w:bookmarkEnd w:id="1141"/>
    </w:p>
    <w:p w14:paraId="1BD33179">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本工程环境管理工作由大庆油田有限责任公司采气分公司负责。由</w:t>
      </w:r>
      <w:r>
        <w:rPr>
          <w:rFonts w:hint="eastAsia" w:ascii="Times New Roman" w:hAnsi="Times New Roman" w:cs="Times New Roman"/>
          <w:color w:val="auto"/>
          <w:w w:val="99"/>
          <w:highlight w:val="none"/>
          <w:lang w:bidi="zh-CN"/>
        </w:rPr>
        <w:t>采气分公司</w:t>
      </w:r>
      <w:r>
        <w:rPr>
          <w:rFonts w:ascii="Times New Roman" w:hAnsi="Times New Roman" w:cs="Times New Roman"/>
          <w:color w:val="auto"/>
          <w:w w:val="99"/>
          <w:highlight w:val="none"/>
          <w:lang w:bidi="zh-CN"/>
        </w:rPr>
        <w:t>施工业务主管部门对油</w:t>
      </w:r>
      <w:r>
        <w:rPr>
          <w:rFonts w:hint="eastAsia" w:ascii="Times New Roman" w:hAnsi="Times New Roman" w:cs="Times New Roman"/>
          <w:color w:val="auto"/>
          <w:w w:val="99"/>
          <w:highlight w:val="none"/>
          <w:lang w:bidi="zh-CN"/>
        </w:rPr>
        <w:t>气</w:t>
      </w:r>
      <w:r>
        <w:rPr>
          <w:rFonts w:ascii="Times New Roman" w:hAnsi="Times New Roman" w:cs="Times New Roman"/>
          <w:color w:val="auto"/>
          <w:w w:val="99"/>
          <w:highlight w:val="none"/>
          <w:lang w:bidi="zh-CN"/>
        </w:rPr>
        <w:t>田建设环境保护工作进行全过程监控，对环境保护措施强制推行，控制施工阶段的环境污染和生态破坏。施工期除设置1名专职环保员外，还应根据现场实际情况，建立健全相应的二级HSE管理网络，在</w:t>
      </w:r>
      <w:r>
        <w:rPr>
          <w:rFonts w:hint="eastAsia" w:ascii="Times New Roman" w:hAnsi="Times New Roman" w:cs="Times New Roman"/>
          <w:color w:val="auto"/>
          <w:w w:val="99"/>
          <w:highlight w:val="none"/>
          <w:lang w:bidi="zh-CN"/>
        </w:rPr>
        <w:t>大庆</w:t>
      </w:r>
      <w:r>
        <w:rPr>
          <w:rFonts w:ascii="Times New Roman" w:hAnsi="Times New Roman" w:cs="Times New Roman"/>
          <w:color w:val="auto"/>
          <w:w w:val="99"/>
          <w:highlight w:val="none"/>
          <w:lang w:bidi="zh-CN"/>
        </w:rPr>
        <w:t>油田已有HSE指挥部的基础上，配备数名HSE现场监督人员</w:t>
      </w:r>
      <w:r>
        <w:rPr>
          <w:rFonts w:hint="eastAsia" w:ascii="Times New Roman" w:hAnsi="Times New Roman" w:cs="Times New Roman"/>
          <w:color w:val="auto"/>
          <w:w w:val="99"/>
          <w:highlight w:val="none"/>
          <w:lang w:bidi="zh-CN"/>
        </w:rPr>
        <w:t>、</w:t>
      </w:r>
      <w:r>
        <w:rPr>
          <w:rFonts w:ascii="Times New Roman" w:hAnsi="Times New Roman" w:cs="Times New Roman"/>
          <w:color w:val="auto"/>
          <w:w w:val="99"/>
          <w:highlight w:val="none"/>
          <w:lang w:bidi="zh-CN"/>
        </w:rPr>
        <w:t>协调员，实行逐级负责制。</w:t>
      </w:r>
    </w:p>
    <w:p w14:paraId="101DBD1C">
      <w:pPr>
        <w:pStyle w:val="7"/>
        <w:widowControl w:val="0"/>
        <w:spacing w:before="60" w:after="60" w:line="440" w:lineRule="exact"/>
        <w:jc w:val="both"/>
        <w:rPr>
          <w:rFonts w:eastAsiaTheme="minorEastAsia"/>
          <w:b/>
          <w:color w:val="auto"/>
          <w:w w:val="99"/>
          <w:kern w:val="2"/>
          <w:sz w:val="24"/>
          <w:szCs w:val="24"/>
          <w:highlight w:val="none"/>
        </w:rPr>
      </w:pPr>
      <w:bookmarkStart w:id="1142" w:name="_Toc84929339"/>
      <w:bookmarkStart w:id="1143" w:name="_Toc127192444"/>
      <w:bookmarkStart w:id="1144" w:name="_Toc143099683"/>
      <w:bookmarkStart w:id="1145" w:name="_Toc86142038"/>
      <w:bookmarkStart w:id="1146" w:name="_Toc85640863"/>
      <w:bookmarkStart w:id="1147" w:name="_Toc186444395"/>
      <w:bookmarkStart w:id="1148" w:name="_Toc131167396"/>
      <w:bookmarkStart w:id="1149" w:name="_Toc126863495"/>
      <w:r>
        <w:rPr>
          <w:rFonts w:eastAsiaTheme="minorEastAsia"/>
          <w:b/>
          <w:color w:val="auto"/>
          <w:w w:val="99"/>
          <w:kern w:val="2"/>
          <w:sz w:val="24"/>
          <w:szCs w:val="24"/>
          <w:highlight w:val="none"/>
        </w:rPr>
        <w:t>8.1.2</w:t>
      </w:r>
      <w:r>
        <w:rPr>
          <w:rFonts w:hint="eastAsia" w:eastAsiaTheme="minorEastAsia"/>
          <w:b/>
          <w:color w:val="auto"/>
          <w:w w:val="99"/>
          <w:kern w:val="2"/>
          <w:sz w:val="24"/>
          <w:szCs w:val="24"/>
          <w:highlight w:val="none"/>
        </w:rPr>
        <w:t>管理内容</w:t>
      </w:r>
    </w:p>
    <w:p w14:paraId="5FEC9FF4">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在项目建设期引入环境监理制度，推行环保监理和检查制度。由大庆油田有限责任公司采气分公司安全环保部对油气田建设环境保护工作进行全过程监控，对环境保护措施强制推行，控制施工阶段的环境污染和生态破坏。</w:t>
      </w:r>
    </w:p>
    <w:p w14:paraId="13C14A1B">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施工期除设置</w:t>
      </w:r>
      <w:r>
        <w:rPr>
          <w:rFonts w:ascii="Times New Roman" w:hAnsi="Times New Roman" w:cs="Times New Roman"/>
          <w:color w:val="auto"/>
          <w:w w:val="99"/>
          <w:highlight w:val="none"/>
          <w:lang w:bidi="zh-CN"/>
        </w:rPr>
        <w:t>1名专职环保员外，还应根据施工现场实际情况，建立健全相应的二</w:t>
      </w:r>
      <w:r>
        <w:rPr>
          <w:rFonts w:hint="eastAsia" w:ascii="Times New Roman" w:hAnsi="Times New Roman" w:cs="Times New Roman"/>
          <w:color w:val="auto"/>
          <w:w w:val="99"/>
          <w:highlight w:val="none"/>
          <w:lang w:bidi="zh-CN"/>
        </w:rPr>
        <w:t>级</w:t>
      </w:r>
      <w:r>
        <w:rPr>
          <w:rFonts w:ascii="Times New Roman" w:hAnsi="Times New Roman" w:cs="Times New Roman"/>
          <w:color w:val="auto"/>
          <w:w w:val="99"/>
          <w:highlight w:val="none"/>
          <w:lang w:bidi="zh-CN"/>
        </w:rPr>
        <w:t>HSE管理网络，在油</w:t>
      </w:r>
      <w:r>
        <w:rPr>
          <w:rFonts w:hint="eastAsia" w:ascii="Times New Roman" w:hAnsi="Times New Roman" w:cs="Times New Roman"/>
          <w:color w:val="auto"/>
          <w:w w:val="99"/>
          <w:highlight w:val="none"/>
          <w:lang w:bidi="zh-CN"/>
        </w:rPr>
        <w:t>气</w:t>
      </w:r>
      <w:r>
        <w:rPr>
          <w:rFonts w:ascii="Times New Roman" w:hAnsi="Times New Roman" w:cs="Times New Roman"/>
          <w:color w:val="auto"/>
          <w:w w:val="99"/>
          <w:highlight w:val="none"/>
          <w:lang w:bidi="zh-CN"/>
        </w:rPr>
        <w:t>田已有HSE指挥部的基础上，分别配备数名HSE现场监督人员</w:t>
      </w:r>
      <w:r>
        <w:rPr>
          <w:rFonts w:hint="eastAsia" w:ascii="Times New Roman" w:hAnsi="Times New Roman" w:cs="Times New Roman"/>
          <w:color w:val="auto"/>
          <w:w w:val="99"/>
          <w:highlight w:val="none"/>
          <w:lang w:bidi="zh-CN"/>
        </w:rPr>
        <w:t>，分别配备协调员，实行逐级负责制，对施工期环境进行严格管理。</w:t>
      </w:r>
    </w:p>
    <w:p w14:paraId="7944A7F3">
      <w:pPr>
        <w:pStyle w:val="7"/>
        <w:widowControl w:val="0"/>
        <w:spacing w:before="60" w:after="60" w:line="440" w:lineRule="exact"/>
        <w:jc w:val="both"/>
        <w:rPr>
          <w:rFonts w:eastAsiaTheme="minorEastAsia"/>
          <w:b/>
          <w:color w:val="auto"/>
          <w:w w:val="99"/>
          <w:kern w:val="2"/>
          <w:sz w:val="24"/>
          <w:szCs w:val="24"/>
          <w:highlight w:val="none"/>
        </w:rPr>
      </w:pPr>
      <w:r>
        <w:rPr>
          <w:rFonts w:eastAsiaTheme="minorEastAsia"/>
          <w:b/>
          <w:color w:val="auto"/>
          <w:w w:val="99"/>
          <w:kern w:val="2"/>
          <w:sz w:val="24"/>
          <w:szCs w:val="24"/>
          <w:highlight w:val="none"/>
        </w:rPr>
        <w:t>8.1.3规章制度</w:t>
      </w:r>
      <w:bookmarkEnd w:id="1142"/>
      <w:bookmarkEnd w:id="1143"/>
      <w:bookmarkEnd w:id="1144"/>
      <w:bookmarkEnd w:id="1145"/>
      <w:bookmarkEnd w:id="1146"/>
      <w:bookmarkEnd w:id="1147"/>
      <w:bookmarkEnd w:id="1148"/>
      <w:bookmarkEnd w:id="1149"/>
    </w:p>
    <w:p w14:paraId="59EC13AE">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油田环保工作必须严格执行国家、黑龙江省的环保法律法规，同时还应制定相应的环境管理规章制度，环保法规及油田内部的各种环境管理规章制度应下发到相应人员，并组织有关人员学习和贯彻执行，以确保环境管理工作的顺利进行。相关法规和规章制度详见表8.1-1。</w:t>
      </w:r>
    </w:p>
    <w:p w14:paraId="50BBE489">
      <w:pPr>
        <w:widowControl w:val="0"/>
        <w:spacing w:line="440" w:lineRule="exact"/>
        <w:ind w:firstLine="476"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b/>
          <w:color w:val="auto"/>
          <w:w w:val="99"/>
          <w:kern w:val="21"/>
          <w:highlight w:val="none"/>
        </w:rPr>
        <w:t>表8.1-1    环保</w:t>
      </w:r>
      <w:r>
        <w:rPr>
          <w:rFonts w:ascii="Times New Roman" w:hAnsi="Times New Roman" w:cs="Times New Roman" w:eastAsiaTheme="minorEastAsia"/>
          <w:b/>
          <w:color w:val="auto"/>
          <w:w w:val="99"/>
          <w:szCs w:val="22"/>
          <w:highlight w:val="none"/>
        </w:rPr>
        <w:t>法规</w:t>
      </w:r>
      <w:r>
        <w:rPr>
          <w:rFonts w:ascii="Times New Roman" w:hAnsi="Times New Roman" w:cs="Times New Roman" w:eastAsiaTheme="minorEastAsia"/>
          <w:b/>
          <w:color w:val="auto"/>
          <w:w w:val="99"/>
          <w:kern w:val="21"/>
          <w:highlight w:val="none"/>
        </w:rPr>
        <w:t>和规章制度一览表</w:t>
      </w:r>
    </w:p>
    <w:tbl>
      <w:tblPr>
        <w:tblStyle w:val="8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2168"/>
        <w:gridCol w:w="6443"/>
      </w:tblGrid>
      <w:tr w14:paraId="0E56B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blHeader/>
          <w:jc w:val="center"/>
        </w:trPr>
        <w:tc>
          <w:tcPr>
            <w:tcW w:w="675" w:type="dxa"/>
            <w:tcMar>
              <w:top w:w="28" w:type="dxa"/>
              <w:bottom w:w="28" w:type="dxa"/>
            </w:tcMar>
            <w:vAlign w:val="center"/>
          </w:tcPr>
          <w:p w14:paraId="533B2BF1">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序号</w:t>
            </w:r>
          </w:p>
        </w:tc>
        <w:tc>
          <w:tcPr>
            <w:tcW w:w="2168" w:type="dxa"/>
            <w:tcMar>
              <w:top w:w="28" w:type="dxa"/>
              <w:bottom w:w="28" w:type="dxa"/>
            </w:tcMar>
            <w:vAlign w:val="center"/>
          </w:tcPr>
          <w:p w14:paraId="2011A407">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规章名称</w:t>
            </w:r>
          </w:p>
        </w:tc>
        <w:tc>
          <w:tcPr>
            <w:tcW w:w="6444" w:type="dxa"/>
            <w:tcMar>
              <w:top w:w="28" w:type="dxa"/>
              <w:bottom w:w="28" w:type="dxa"/>
            </w:tcMar>
            <w:vAlign w:val="center"/>
          </w:tcPr>
          <w:p w14:paraId="5FCE7476">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主要内容</w:t>
            </w:r>
          </w:p>
        </w:tc>
      </w:tr>
      <w:tr w14:paraId="6A709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30B05075">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1</w:t>
            </w:r>
          </w:p>
        </w:tc>
        <w:tc>
          <w:tcPr>
            <w:tcW w:w="2168" w:type="dxa"/>
            <w:tcMar>
              <w:top w:w="28" w:type="dxa"/>
              <w:bottom w:w="28" w:type="dxa"/>
            </w:tcMar>
            <w:vAlign w:val="center"/>
          </w:tcPr>
          <w:p w14:paraId="770B6F7E">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国家、省市级的相关环保法律法规</w:t>
            </w:r>
          </w:p>
        </w:tc>
        <w:tc>
          <w:tcPr>
            <w:tcW w:w="6444" w:type="dxa"/>
            <w:tcMar>
              <w:top w:w="28" w:type="dxa"/>
              <w:bottom w:w="28" w:type="dxa"/>
            </w:tcMar>
            <w:vAlign w:val="center"/>
          </w:tcPr>
          <w:p w14:paraId="0CC1308F">
            <w:pPr>
              <w:snapToGrid w:val="0"/>
              <w:spacing w:line="360" w:lineRule="exact"/>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国家、省市颁发的环境保护法律、法规。</w:t>
            </w:r>
          </w:p>
        </w:tc>
      </w:tr>
      <w:tr w14:paraId="5B7F0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7BEF4F9C">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2</w:t>
            </w:r>
          </w:p>
        </w:tc>
        <w:tc>
          <w:tcPr>
            <w:tcW w:w="2168" w:type="dxa"/>
            <w:tcMar>
              <w:top w:w="28" w:type="dxa"/>
              <w:bottom w:w="28" w:type="dxa"/>
            </w:tcMar>
            <w:vAlign w:val="center"/>
          </w:tcPr>
          <w:p w14:paraId="26CE1886">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油田公司制定的相关环保法律法规</w:t>
            </w:r>
          </w:p>
        </w:tc>
        <w:tc>
          <w:tcPr>
            <w:tcW w:w="6444" w:type="dxa"/>
            <w:tcMar>
              <w:top w:w="28" w:type="dxa"/>
              <w:bottom w:w="28" w:type="dxa"/>
            </w:tcMar>
            <w:vAlign w:val="center"/>
          </w:tcPr>
          <w:p w14:paraId="4B8F821A">
            <w:pPr>
              <w:snapToGrid w:val="0"/>
              <w:spacing w:line="360" w:lineRule="exact"/>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油田公司的环境管理规定及环境管理规章制度（或环境保护条例及事故预案）。</w:t>
            </w:r>
          </w:p>
        </w:tc>
      </w:tr>
      <w:tr w14:paraId="50E5C5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341C7570">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3</w:t>
            </w:r>
          </w:p>
        </w:tc>
        <w:tc>
          <w:tcPr>
            <w:tcW w:w="2168" w:type="dxa"/>
            <w:tcMar>
              <w:top w:w="28" w:type="dxa"/>
              <w:bottom w:w="28" w:type="dxa"/>
            </w:tcMar>
            <w:vAlign w:val="center"/>
          </w:tcPr>
          <w:p w14:paraId="42D221A7">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环保技术规程及标准</w:t>
            </w:r>
          </w:p>
        </w:tc>
        <w:tc>
          <w:tcPr>
            <w:tcW w:w="6444" w:type="dxa"/>
            <w:tcMar>
              <w:top w:w="28" w:type="dxa"/>
              <w:bottom w:w="28" w:type="dxa"/>
            </w:tcMar>
            <w:vAlign w:val="center"/>
          </w:tcPr>
          <w:p w14:paraId="1261E6F3">
            <w:pPr>
              <w:pStyle w:val="76"/>
              <w:snapToGrid w:val="0"/>
              <w:spacing w:line="360" w:lineRule="exact"/>
              <w:rPr>
                <w:rFonts w:eastAsiaTheme="minorEastAsia"/>
                <w:snapToGrid w:val="0"/>
                <w:color w:val="auto"/>
                <w:w w:val="99"/>
                <w:kern w:val="0"/>
                <w:szCs w:val="21"/>
                <w:highlight w:val="none"/>
              </w:rPr>
            </w:pPr>
            <w:r>
              <w:rPr>
                <w:rFonts w:eastAsiaTheme="minorEastAsia"/>
                <w:snapToGrid w:val="0"/>
                <w:color w:val="auto"/>
                <w:w w:val="99"/>
                <w:kern w:val="0"/>
                <w:szCs w:val="21"/>
                <w:highlight w:val="none"/>
              </w:rPr>
              <w:t>各级有关环境管理的技术规程、标准，主要包括：国家及省市颁布的相关污染物排放控制标准；油田公司及厂矿等各级单位制定的生产工艺、设备的环境技术管理规程，环境保护设备的操作规程等。</w:t>
            </w:r>
          </w:p>
        </w:tc>
      </w:tr>
      <w:tr w14:paraId="73526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19DA902C">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4</w:t>
            </w:r>
          </w:p>
        </w:tc>
        <w:tc>
          <w:tcPr>
            <w:tcW w:w="2168" w:type="dxa"/>
            <w:tcMar>
              <w:top w:w="28" w:type="dxa"/>
              <w:bottom w:w="28" w:type="dxa"/>
            </w:tcMar>
            <w:vAlign w:val="center"/>
          </w:tcPr>
          <w:p w14:paraId="70D998AF">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环境保护责任制</w:t>
            </w:r>
          </w:p>
        </w:tc>
        <w:tc>
          <w:tcPr>
            <w:tcW w:w="6444" w:type="dxa"/>
            <w:tcMar>
              <w:top w:w="28" w:type="dxa"/>
              <w:bottom w:w="28" w:type="dxa"/>
            </w:tcMar>
            <w:vAlign w:val="center"/>
          </w:tcPr>
          <w:p w14:paraId="66C37452">
            <w:pPr>
              <w:snapToGrid w:val="0"/>
              <w:spacing w:line="360" w:lineRule="exact"/>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公司各类人员环境保护工作范围，应负的责任以及相应的权力。</w:t>
            </w:r>
          </w:p>
        </w:tc>
      </w:tr>
      <w:tr w14:paraId="08522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3C1EBD46">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5</w:t>
            </w:r>
          </w:p>
        </w:tc>
        <w:tc>
          <w:tcPr>
            <w:tcW w:w="2168" w:type="dxa"/>
            <w:tcMar>
              <w:top w:w="28" w:type="dxa"/>
              <w:bottom w:w="28" w:type="dxa"/>
            </w:tcMar>
            <w:vAlign w:val="center"/>
          </w:tcPr>
          <w:p w14:paraId="024FFD47">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三废管理制度</w:t>
            </w:r>
          </w:p>
        </w:tc>
        <w:tc>
          <w:tcPr>
            <w:tcW w:w="6444" w:type="dxa"/>
            <w:tcMar>
              <w:top w:w="28" w:type="dxa"/>
              <w:bottom w:w="28" w:type="dxa"/>
            </w:tcMar>
            <w:vAlign w:val="center"/>
          </w:tcPr>
          <w:p w14:paraId="51B42DE9">
            <w:pPr>
              <w:snapToGrid w:val="0"/>
              <w:spacing w:line="360" w:lineRule="exact"/>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包括油</w:t>
            </w:r>
            <w:r>
              <w:rPr>
                <w:rFonts w:hint="eastAsia" w:ascii="Times New Roman" w:hAnsi="Times New Roman" w:cs="Times New Roman" w:eastAsiaTheme="minorEastAsia"/>
                <w:snapToGrid w:val="0"/>
                <w:color w:val="auto"/>
                <w:w w:val="99"/>
                <w:sz w:val="21"/>
                <w:szCs w:val="21"/>
                <w:highlight w:val="none"/>
              </w:rPr>
              <w:t>气</w:t>
            </w:r>
            <w:r>
              <w:rPr>
                <w:rFonts w:ascii="Times New Roman" w:hAnsi="Times New Roman" w:cs="Times New Roman" w:eastAsiaTheme="minorEastAsia"/>
                <w:snapToGrid w:val="0"/>
                <w:color w:val="auto"/>
                <w:w w:val="99"/>
                <w:sz w:val="21"/>
                <w:szCs w:val="21"/>
                <w:highlight w:val="none"/>
              </w:rPr>
              <w:t>田开发建设期及生产运营期废水、废气、废渣及噪声等方面的管理制度：在油</w:t>
            </w:r>
            <w:r>
              <w:rPr>
                <w:rFonts w:hint="eastAsia" w:ascii="Times New Roman" w:hAnsi="Times New Roman" w:cs="Times New Roman" w:eastAsiaTheme="minorEastAsia"/>
                <w:snapToGrid w:val="0"/>
                <w:color w:val="auto"/>
                <w:w w:val="99"/>
                <w:sz w:val="21"/>
                <w:szCs w:val="21"/>
                <w:highlight w:val="none"/>
              </w:rPr>
              <w:t>气</w:t>
            </w:r>
            <w:r>
              <w:rPr>
                <w:rFonts w:ascii="Times New Roman" w:hAnsi="Times New Roman" w:cs="Times New Roman" w:eastAsiaTheme="minorEastAsia"/>
                <w:snapToGrid w:val="0"/>
                <w:color w:val="auto"/>
                <w:w w:val="99"/>
                <w:sz w:val="21"/>
                <w:szCs w:val="21"/>
                <w:highlight w:val="none"/>
              </w:rPr>
              <w:t>田投入正常生产过程后，</w:t>
            </w:r>
            <w:r>
              <w:rPr>
                <w:rFonts w:hint="eastAsia" w:ascii="Times New Roman" w:hAnsi="Times New Roman" w:cs="Times New Roman" w:eastAsiaTheme="minorEastAsia"/>
                <w:snapToGrid w:val="0"/>
                <w:color w:val="auto"/>
                <w:w w:val="99"/>
                <w:sz w:val="21"/>
                <w:szCs w:val="21"/>
                <w:highlight w:val="none"/>
              </w:rPr>
              <w:t>三废</w:t>
            </w:r>
            <w:r>
              <w:rPr>
                <w:rFonts w:ascii="Times New Roman" w:hAnsi="Times New Roman" w:cs="Times New Roman" w:eastAsiaTheme="minorEastAsia"/>
                <w:snapToGrid w:val="0"/>
                <w:color w:val="auto"/>
                <w:w w:val="99"/>
                <w:sz w:val="21"/>
                <w:szCs w:val="21"/>
                <w:highlight w:val="none"/>
              </w:rPr>
              <w:t>的管理制度。</w:t>
            </w:r>
          </w:p>
        </w:tc>
      </w:tr>
      <w:tr w14:paraId="3EFA4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52E5B3D7">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6</w:t>
            </w:r>
          </w:p>
        </w:tc>
        <w:tc>
          <w:tcPr>
            <w:tcW w:w="2168" w:type="dxa"/>
            <w:tcMar>
              <w:top w:w="28" w:type="dxa"/>
              <w:bottom w:w="28" w:type="dxa"/>
            </w:tcMar>
            <w:vAlign w:val="center"/>
          </w:tcPr>
          <w:p w14:paraId="51311B91">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生态保护管理制度</w:t>
            </w:r>
          </w:p>
        </w:tc>
        <w:tc>
          <w:tcPr>
            <w:tcW w:w="6444" w:type="dxa"/>
            <w:tcMar>
              <w:top w:w="28" w:type="dxa"/>
              <w:bottom w:w="28" w:type="dxa"/>
            </w:tcMar>
            <w:vAlign w:val="center"/>
          </w:tcPr>
          <w:p w14:paraId="63FB690F">
            <w:pPr>
              <w:pStyle w:val="76"/>
              <w:snapToGrid w:val="0"/>
              <w:spacing w:line="360" w:lineRule="exact"/>
              <w:rPr>
                <w:rFonts w:eastAsiaTheme="minorEastAsia"/>
                <w:snapToGrid w:val="0"/>
                <w:color w:val="auto"/>
                <w:w w:val="99"/>
                <w:kern w:val="0"/>
                <w:szCs w:val="21"/>
                <w:highlight w:val="none"/>
              </w:rPr>
            </w:pPr>
            <w:r>
              <w:rPr>
                <w:rFonts w:eastAsiaTheme="minorEastAsia"/>
                <w:snapToGrid w:val="0"/>
                <w:color w:val="auto"/>
                <w:w w:val="99"/>
                <w:kern w:val="0"/>
                <w:szCs w:val="21"/>
                <w:highlight w:val="none"/>
              </w:rPr>
              <w:t>主要包括油</w:t>
            </w:r>
            <w:r>
              <w:rPr>
                <w:rFonts w:hint="eastAsia" w:eastAsiaTheme="minorEastAsia"/>
                <w:snapToGrid w:val="0"/>
                <w:color w:val="auto"/>
                <w:w w:val="99"/>
                <w:kern w:val="0"/>
                <w:szCs w:val="21"/>
                <w:highlight w:val="none"/>
              </w:rPr>
              <w:t>气</w:t>
            </w:r>
            <w:r>
              <w:rPr>
                <w:rFonts w:eastAsiaTheme="minorEastAsia"/>
                <w:snapToGrid w:val="0"/>
                <w:color w:val="auto"/>
                <w:w w:val="99"/>
                <w:kern w:val="0"/>
                <w:szCs w:val="21"/>
                <w:highlight w:val="none"/>
              </w:rPr>
              <w:t>田建设期井场、场站。道路和管道的建设过程对区域内生态环境产生的影响后所做出的恢复计划及生态补偿措施等；在油</w:t>
            </w:r>
            <w:r>
              <w:rPr>
                <w:rFonts w:hint="eastAsia" w:eastAsiaTheme="minorEastAsia"/>
                <w:snapToGrid w:val="0"/>
                <w:color w:val="auto"/>
                <w:w w:val="99"/>
                <w:kern w:val="0"/>
                <w:szCs w:val="21"/>
                <w:highlight w:val="none"/>
              </w:rPr>
              <w:t>气</w:t>
            </w:r>
            <w:r>
              <w:rPr>
                <w:rFonts w:eastAsiaTheme="minorEastAsia"/>
                <w:snapToGrid w:val="0"/>
                <w:color w:val="auto"/>
                <w:w w:val="99"/>
                <w:kern w:val="0"/>
                <w:szCs w:val="21"/>
                <w:highlight w:val="none"/>
              </w:rPr>
              <w:t>田进入正常生产运营期后，生态保护制度主要包括油</w:t>
            </w:r>
            <w:r>
              <w:rPr>
                <w:rFonts w:hint="eastAsia" w:eastAsiaTheme="minorEastAsia"/>
                <w:snapToGrid w:val="0"/>
                <w:color w:val="auto"/>
                <w:w w:val="99"/>
                <w:kern w:val="0"/>
                <w:szCs w:val="21"/>
                <w:highlight w:val="none"/>
              </w:rPr>
              <w:t>气</w:t>
            </w:r>
            <w:r>
              <w:rPr>
                <w:rFonts w:eastAsiaTheme="minorEastAsia"/>
                <w:snapToGrid w:val="0"/>
                <w:color w:val="auto"/>
                <w:w w:val="99"/>
                <w:kern w:val="0"/>
                <w:szCs w:val="21"/>
                <w:highlight w:val="none"/>
              </w:rPr>
              <w:t>田生产过程中所进行的</w:t>
            </w:r>
            <w:r>
              <w:rPr>
                <w:rFonts w:hint="eastAsia" w:eastAsiaTheme="minorEastAsia"/>
                <w:snapToGrid w:val="0"/>
                <w:color w:val="auto"/>
                <w:w w:val="99"/>
                <w:kern w:val="0"/>
                <w:szCs w:val="21"/>
                <w:highlight w:val="none"/>
              </w:rPr>
              <w:t>采气井</w:t>
            </w:r>
            <w:r>
              <w:rPr>
                <w:rFonts w:eastAsiaTheme="minorEastAsia"/>
                <w:snapToGrid w:val="0"/>
                <w:color w:val="auto"/>
                <w:w w:val="99"/>
                <w:kern w:val="0"/>
                <w:szCs w:val="21"/>
                <w:highlight w:val="none"/>
              </w:rPr>
              <w:t>作业过程，同时包括在生产过程中对于一些突发事故可能对周围生态环境产生的影响而制定的生态恢复计划和补偿措施等内容。</w:t>
            </w:r>
          </w:p>
        </w:tc>
      </w:tr>
      <w:tr w14:paraId="1F735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2284BF6D">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7</w:t>
            </w:r>
          </w:p>
        </w:tc>
        <w:tc>
          <w:tcPr>
            <w:tcW w:w="2168" w:type="dxa"/>
            <w:tcMar>
              <w:top w:w="28" w:type="dxa"/>
              <w:bottom w:w="28" w:type="dxa"/>
            </w:tcMar>
            <w:vAlign w:val="center"/>
          </w:tcPr>
          <w:p w14:paraId="59B07C2F">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事故管理预案</w:t>
            </w:r>
          </w:p>
        </w:tc>
        <w:tc>
          <w:tcPr>
            <w:tcW w:w="6444" w:type="dxa"/>
            <w:tcMar>
              <w:top w:w="28" w:type="dxa"/>
              <w:bottom w:w="28" w:type="dxa"/>
            </w:tcMar>
            <w:vAlign w:val="center"/>
          </w:tcPr>
          <w:p w14:paraId="6298EAC4">
            <w:pPr>
              <w:snapToGrid w:val="0"/>
              <w:spacing w:line="360" w:lineRule="exact"/>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明确油</w:t>
            </w:r>
            <w:r>
              <w:rPr>
                <w:rFonts w:hint="eastAsia" w:ascii="Times New Roman" w:hAnsi="Times New Roman" w:cs="Times New Roman" w:eastAsiaTheme="minorEastAsia"/>
                <w:snapToGrid w:val="0"/>
                <w:color w:val="auto"/>
                <w:w w:val="99"/>
                <w:sz w:val="21"/>
                <w:szCs w:val="21"/>
                <w:highlight w:val="none"/>
              </w:rPr>
              <w:t>气</w:t>
            </w:r>
            <w:r>
              <w:rPr>
                <w:rFonts w:ascii="Times New Roman" w:hAnsi="Times New Roman" w:cs="Times New Roman" w:eastAsiaTheme="minorEastAsia"/>
                <w:snapToGrid w:val="0"/>
                <w:color w:val="auto"/>
                <w:w w:val="99"/>
                <w:sz w:val="21"/>
                <w:szCs w:val="21"/>
                <w:highlight w:val="none"/>
              </w:rPr>
              <w:t>田开发建设过程中的诸如</w:t>
            </w:r>
            <w:r>
              <w:rPr>
                <w:rFonts w:hint="eastAsia" w:ascii="Times New Roman" w:hAnsi="Times New Roman" w:cs="Times New Roman" w:eastAsiaTheme="minorEastAsia"/>
                <w:snapToGrid w:val="0"/>
                <w:color w:val="auto"/>
                <w:w w:val="99"/>
                <w:sz w:val="21"/>
                <w:szCs w:val="21"/>
                <w:highlight w:val="none"/>
              </w:rPr>
              <w:t>采气井</w:t>
            </w:r>
            <w:r>
              <w:rPr>
                <w:rFonts w:ascii="Times New Roman" w:hAnsi="Times New Roman" w:cs="Times New Roman" w:eastAsiaTheme="minorEastAsia"/>
                <w:snapToGrid w:val="0"/>
                <w:color w:val="auto"/>
                <w:w w:val="99"/>
                <w:sz w:val="21"/>
                <w:szCs w:val="21"/>
                <w:highlight w:val="none"/>
              </w:rPr>
              <w:t>作业、集油管道所可能存在的突发事故的预防管理措施。</w:t>
            </w:r>
          </w:p>
        </w:tc>
      </w:tr>
    </w:tbl>
    <w:p w14:paraId="27CE8B91">
      <w:pPr>
        <w:pStyle w:val="7"/>
        <w:widowControl w:val="0"/>
        <w:spacing w:before="60" w:after="60" w:line="440" w:lineRule="exact"/>
        <w:jc w:val="both"/>
        <w:rPr>
          <w:rFonts w:eastAsiaTheme="minorEastAsia"/>
          <w:b/>
          <w:color w:val="auto"/>
          <w:w w:val="99"/>
          <w:kern w:val="2"/>
          <w:sz w:val="24"/>
          <w:szCs w:val="24"/>
          <w:highlight w:val="none"/>
        </w:rPr>
      </w:pPr>
      <w:bookmarkStart w:id="1150" w:name="_Toc85640864"/>
      <w:bookmarkStart w:id="1151" w:name="_Toc126863496"/>
      <w:bookmarkStart w:id="1152" w:name="_Toc186444396"/>
      <w:bookmarkStart w:id="1153" w:name="_Toc131167397"/>
      <w:bookmarkStart w:id="1154" w:name="_Toc127192445"/>
      <w:bookmarkStart w:id="1155" w:name="_Toc86142039"/>
      <w:bookmarkStart w:id="1156" w:name="_Toc84929340"/>
      <w:bookmarkStart w:id="1157" w:name="_Toc143099684"/>
      <w:r>
        <w:rPr>
          <w:rFonts w:eastAsiaTheme="minorEastAsia"/>
          <w:b/>
          <w:color w:val="auto"/>
          <w:w w:val="99"/>
          <w:kern w:val="2"/>
          <w:sz w:val="24"/>
          <w:szCs w:val="24"/>
          <w:highlight w:val="none"/>
        </w:rPr>
        <w:t>8.1.4管理措施</w:t>
      </w:r>
      <w:bookmarkEnd w:id="1150"/>
      <w:bookmarkEnd w:id="1151"/>
      <w:bookmarkEnd w:id="1152"/>
      <w:bookmarkEnd w:id="1153"/>
      <w:bookmarkEnd w:id="1154"/>
      <w:bookmarkEnd w:id="1155"/>
      <w:bookmarkEnd w:id="1156"/>
      <w:bookmarkEnd w:id="1157"/>
    </w:p>
    <w:p w14:paraId="39CD0F8B">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（1）最高领导层将HSE管理放在与企业生产和经营管理同等重要的位置上；</w:t>
      </w:r>
    </w:p>
    <w:p w14:paraId="0ADA277C">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（2）公司员工时刻将HSE责任放在心中；</w:t>
      </w:r>
    </w:p>
    <w:p w14:paraId="6E29674F">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（3）制定和落实一岗一责制；</w:t>
      </w:r>
    </w:p>
    <w:p w14:paraId="456D226F">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（4）加强生产技术及HSE教育和培训；</w:t>
      </w:r>
    </w:p>
    <w:p w14:paraId="06CEC2FC">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（5）做好现场审核和整改；</w:t>
      </w:r>
    </w:p>
    <w:p w14:paraId="451AFC09">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（6）奖优罚劣，持续改进HSE表现。</w:t>
      </w:r>
    </w:p>
    <w:p w14:paraId="3743D1D7">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158" w:name="_Toc173163562"/>
      <w:bookmarkStart w:id="1159" w:name="_Toc20907"/>
      <w:r>
        <w:rPr>
          <w:rFonts w:ascii="Times New Roman" w:hAnsi="Times New Roman" w:eastAsiaTheme="minorEastAsia"/>
          <w:b/>
          <w:snapToGrid w:val="0"/>
          <w:color w:val="auto"/>
          <w:w w:val="99"/>
          <w:highlight w:val="none"/>
        </w:rPr>
        <w:t>8.2环境监控</w:t>
      </w:r>
      <w:bookmarkEnd w:id="1158"/>
      <w:bookmarkEnd w:id="1159"/>
    </w:p>
    <w:p w14:paraId="3FD60683">
      <w:pPr>
        <w:pStyle w:val="7"/>
        <w:widowControl w:val="0"/>
        <w:spacing w:before="60" w:after="60" w:line="440" w:lineRule="exact"/>
        <w:jc w:val="both"/>
        <w:rPr>
          <w:rFonts w:eastAsiaTheme="minorEastAsia"/>
          <w:b/>
          <w:color w:val="auto"/>
          <w:w w:val="99"/>
          <w:kern w:val="2"/>
          <w:sz w:val="24"/>
          <w:szCs w:val="24"/>
          <w:highlight w:val="none"/>
        </w:rPr>
      </w:pPr>
      <w:bookmarkStart w:id="1160" w:name="_Toc86142041"/>
      <w:bookmarkStart w:id="1161" w:name="_Toc126863498"/>
      <w:bookmarkStart w:id="1162" w:name="_Toc127192447"/>
      <w:bookmarkStart w:id="1163" w:name="_Toc85640866"/>
      <w:bookmarkStart w:id="1164" w:name="_Toc186444398"/>
      <w:bookmarkStart w:id="1165" w:name="_Toc131167399"/>
      <w:bookmarkStart w:id="1166" w:name="_Toc84929342"/>
      <w:bookmarkStart w:id="1167" w:name="_Toc143099686"/>
      <w:r>
        <w:rPr>
          <w:rFonts w:eastAsiaTheme="minorEastAsia"/>
          <w:b/>
          <w:color w:val="auto"/>
          <w:w w:val="99"/>
          <w:kern w:val="2"/>
          <w:sz w:val="24"/>
          <w:szCs w:val="24"/>
          <w:highlight w:val="none"/>
        </w:rPr>
        <w:t>8.2.1环境监控实施计划</w:t>
      </w:r>
      <w:bookmarkEnd w:id="1160"/>
      <w:bookmarkEnd w:id="1161"/>
      <w:bookmarkEnd w:id="1162"/>
      <w:bookmarkEnd w:id="1163"/>
      <w:bookmarkEnd w:id="1164"/>
      <w:bookmarkEnd w:id="1165"/>
      <w:bookmarkEnd w:id="1166"/>
      <w:bookmarkEnd w:id="1167"/>
    </w:p>
    <w:p w14:paraId="10C4AE87">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本项目由</w:t>
      </w:r>
      <w:r>
        <w:rPr>
          <w:rFonts w:hint="eastAsia" w:ascii="Times New Roman" w:hAnsi="Times New Roman" w:cs="Times New Roman"/>
          <w:color w:val="auto"/>
          <w:w w:val="99"/>
          <w:highlight w:val="none"/>
          <w:lang w:bidi="zh-CN"/>
        </w:rPr>
        <w:t>采气分公司</w:t>
      </w:r>
      <w:r>
        <w:rPr>
          <w:rFonts w:ascii="Times New Roman" w:hAnsi="Times New Roman" w:cs="Times New Roman"/>
          <w:color w:val="auto"/>
          <w:w w:val="99"/>
          <w:highlight w:val="none"/>
          <w:lang w:bidi="zh-CN"/>
        </w:rPr>
        <w:t>安全环保部对油</w:t>
      </w:r>
      <w:r>
        <w:rPr>
          <w:rFonts w:hint="eastAsia" w:ascii="Times New Roman" w:hAnsi="Times New Roman" w:cs="Times New Roman"/>
          <w:color w:val="auto"/>
          <w:w w:val="99"/>
          <w:highlight w:val="none"/>
          <w:lang w:bidi="zh-CN"/>
        </w:rPr>
        <w:t>气</w:t>
      </w:r>
      <w:r>
        <w:rPr>
          <w:rFonts w:ascii="Times New Roman" w:hAnsi="Times New Roman" w:cs="Times New Roman"/>
          <w:color w:val="auto"/>
          <w:w w:val="99"/>
          <w:highlight w:val="none"/>
          <w:lang w:bidi="zh-CN"/>
        </w:rPr>
        <w:t>田建设环境保护工作进行全过程监控，对环境保护措施强制推行，以加强设计和施工阶段的环境管理，控制施工阶段的环境污染和生态破坏；同时在日常生产管理过程中对相应的环境管理机构、人员及环境管理制度必须切实落实和执行。尤其在建设施工期，除设置油</w:t>
      </w:r>
      <w:r>
        <w:rPr>
          <w:rFonts w:hint="eastAsia" w:ascii="Times New Roman" w:hAnsi="Times New Roman" w:cs="Times New Roman"/>
          <w:color w:val="auto"/>
          <w:w w:val="99"/>
          <w:highlight w:val="none"/>
          <w:lang w:bidi="zh-CN"/>
        </w:rPr>
        <w:t>气</w:t>
      </w:r>
      <w:r>
        <w:rPr>
          <w:rFonts w:ascii="Times New Roman" w:hAnsi="Times New Roman" w:cs="Times New Roman"/>
          <w:color w:val="auto"/>
          <w:w w:val="99"/>
          <w:highlight w:val="none"/>
          <w:lang w:bidi="zh-CN"/>
        </w:rPr>
        <w:t>田专职环保员一名外，还应根据现场实际情况，建立健全相应的二级HSE管理网络，在油</w:t>
      </w:r>
      <w:r>
        <w:rPr>
          <w:rFonts w:hint="eastAsia" w:ascii="Times New Roman" w:hAnsi="Times New Roman" w:cs="Times New Roman"/>
          <w:color w:val="auto"/>
          <w:w w:val="99"/>
          <w:highlight w:val="none"/>
          <w:lang w:bidi="zh-CN"/>
        </w:rPr>
        <w:t>气</w:t>
      </w:r>
      <w:r>
        <w:rPr>
          <w:rFonts w:ascii="Times New Roman" w:hAnsi="Times New Roman" w:cs="Times New Roman"/>
          <w:color w:val="auto"/>
          <w:w w:val="99"/>
          <w:highlight w:val="none"/>
          <w:lang w:bidi="zh-CN"/>
        </w:rPr>
        <w:t>田已有HSE指挥部的基础上，分别配备数名HS</w:t>
      </w:r>
      <w:r>
        <w:rPr>
          <w:rFonts w:hint="eastAsia" w:ascii="Times New Roman" w:hAnsi="Times New Roman" w:cs="Times New Roman"/>
          <w:color w:val="auto"/>
          <w:w w:val="99"/>
          <w:highlight w:val="none"/>
          <w:lang w:bidi="zh-CN"/>
        </w:rPr>
        <w:t>E</w:t>
      </w:r>
      <w:r>
        <w:rPr>
          <w:rFonts w:ascii="Times New Roman" w:hAnsi="Times New Roman" w:cs="Times New Roman"/>
          <w:color w:val="auto"/>
          <w:w w:val="99"/>
          <w:highlight w:val="none"/>
          <w:lang w:bidi="zh-CN"/>
        </w:rPr>
        <w:t>现场监督人员</w:t>
      </w:r>
      <w:r>
        <w:rPr>
          <w:rFonts w:hint="eastAsia" w:ascii="Times New Roman" w:hAnsi="Times New Roman" w:cs="Times New Roman"/>
          <w:color w:val="auto"/>
          <w:w w:val="99"/>
          <w:highlight w:val="none"/>
          <w:lang w:bidi="zh-CN"/>
        </w:rPr>
        <w:t>、</w:t>
      </w:r>
      <w:r>
        <w:rPr>
          <w:rFonts w:ascii="Times New Roman" w:hAnsi="Times New Roman" w:cs="Times New Roman"/>
          <w:color w:val="auto"/>
          <w:w w:val="99"/>
          <w:highlight w:val="none"/>
          <w:lang w:bidi="zh-CN"/>
        </w:rPr>
        <w:t>协调员，实行逐级负责制。</w:t>
      </w:r>
    </w:p>
    <w:p w14:paraId="646829D6">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HSE机构在环境管理上的主要任务包括；负责制定本油</w:t>
      </w:r>
      <w:r>
        <w:rPr>
          <w:rFonts w:hint="eastAsia" w:ascii="Times New Roman" w:hAnsi="Times New Roman" w:cs="Times New Roman"/>
          <w:color w:val="auto"/>
          <w:w w:val="99"/>
          <w:highlight w:val="none"/>
          <w:lang w:bidi="zh-CN"/>
        </w:rPr>
        <w:t>气</w:t>
      </w:r>
      <w:r>
        <w:rPr>
          <w:rFonts w:ascii="Times New Roman" w:hAnsi="Times New Roman" w:cs="Times New Roman"/>
          <w:color w:val="auto"/>
          <w:w w:val="99"/>
          <w:highlight w:val="none"/>
          <w:lang w:bidi="zh-CN"/>
        </w:rPr>
        <w:t>田施工作业的环境管理方案，制定发生事故的应急计划，监督各项环保措施的落实及环保工程的检查和预验收，负责协调与地方环保、水利、土地等部门的关系以及负责有关环保文件、技术资料的收集建档等。</w:t>
      </w:r>
    </w:p>
    <w:p w14:paraId="0B19EACF">
      <w:pPr>
        <w:pStyle w:val="7"/>
        <w:widowControl w:val="0"/>
        <w:spacing w:before="60" w:after="60" w:line="440" w:lineRule="exact"/>
        <w:jc w:val="both"/>
        <w:rPr>
          <w:rFonts w:eastAsiaTheme="minorEastAsia"/>
          <w:b/>
          <w:color w:val="auto"/>
          <w:w w:val="99"/>
          <w:kern w:val="2"/>
          <w:sz w:val="24"/>
          <w:szCs w:val="24"/>
          <w:highlight w:val="none"/>
        </w:rPr>
      </w:pPr>
      <w:bookmarkStart w:id="1168" w:name="_Toc85640867"/>
      <w:bookmarkStart w:id="1169" w:name="_Toc143099687"/>
      <w:bookmarkStart w:id="1170" w:name="_Toc131167400"/>
      <w:bookmarkStart w:id="1171" w:name="_Toc127192448"/>
      <w:bookmarkStart w:id="1172" w:name="_Toc84929343"/>
      <w:bookmarkStart w:id="1173" w:name="_Toc186444399"/>
      <w:bookmarkStart w:id="1174" w:name="_Toc126863499"/>
      <w:bookmarkStart w:id="1175" w:name="_Toc86142042"/>
      <w:r>
        <w:rPr>
          <w:rFonts w:eastAsiaTheme="minorEastAsia"/>
          <w:b/>
          <w:color w:val="auto"/>
          <w:w w:val="99"/>
          <w:kern w:val="2"/>
          <w:sz w:val="24"/>
          <w:szCs w:val="24"/>
          <w:highlight w:val="none"/>
        </w:rPr>
        <w:t>8.2.2环境管理工作的重点</w:t>
      </w:r>
      <w:bookmarkEnd w:id="1168"/>
      <w:bookmarkEnd w:id="1169"/>
      <w:bookmarkEnd w:id="1170"/>
      <w:bookmarkEnd w:id="1171"/>
      <w:bookmarkEnd w:id="1172"/>
      <w:bookmarkEnd w:id="1173"/>
      <w:bookmarkEnd w:id="1174"/>
      <w:bookmarkEnd w:id="1175"/>
    </w:p>
    <w:p w14:paraId="7C51C889">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工程投产运行后，环境管理工作由</w:t>
      </w:r>
      <w:r>
        <w:rPr>
          <w:rFonts w:hint="eastAsia" w:ascii="Times New Roman" w:hAnsi="Times New Roman" w:cs="Times New Roman"/>
          <w:color w:val="auto"/>
          <w:w w:val="99"/>
          <w:highlight w:val="none"/>
          <w:lang w:bidi="zh-CN"/>
        </w:rPr>
        <w:t>采气分公司</w:t>
      </w:r>
      <w:r>
        <w:rPr>
          <w:rFonts w:ascii="Times New Roman" w:hAnsi="Times New Roman" w:cs="Times New Roman"/>
          <w:color w:val="auto"/>
          <w:w w:val="99"/>
          <w:highlight w:val="none"/>
          <w:lang w:bidi="zh-CN"/>
        </w:rPr>
        <w:t>安全环保部负责，在天然气生产运营期，环境管理除抓好日常站场各种环保设施的运行、维护等工作外，工作重点应针对天然气集输生产和管理情况及气井作业过程管理、场站事故等事故的预防和处理上。为此，必须制定相应的事故预防措施、事故应急措施以及恢复补偿措施等。正常天然气开采过程中的检查重点为气井及采气管道。采气管道的监控内容为管道运营是否正常，是否有穿孔等潜在危害存在，以杜绝天然气泄漏。</w:t>
      </w:r>
    </w:p>
    <w:p w14:paraId="68871898">
      <w:pPr>
        <w:pStyle w:val="7"/>
        <w:widowControl w:val="0"/>
        <w:spacing w:before="60" w:after="60" w:line="440" w:lineRule="exact"/>
        <w:jc w:val="both"/>
        <w:rPr>
          <w:rFonts w:eastAsiaTheme="minorEastAsia"/>
          <w:b/>
          <w:color w:val="auto"/>
          <w:w w:val="99"/>
          <w:kern w:val="2"/>
          <w:sz w:val="24"/>
          <w:szCs w:val="24"/>
          <w:highlight w:val="none"/>
        </w:rPr>
      </w:pPr>
      <w:bookmarkStart w:id="1176" w:name="_Toc186444400"/>
      <w:bookmarkStart w:id="1177" w:name="_Toc86142043"/>
      <w:bookmarkStart w:id="1178" w:name="_Toc85640868"/>
      <w:bookmarkStart w:id="1179" w:name="_Toc131167401"/>
      <w:bookmarkStart w:id="1180" w:name="_Toc143099688"/>
      <w:bookmarkStart w:id="1181" w:name="_Toc127192449"/>
      <w:bookmarkStart w:id="1182" w:name="_Toc84929344"/>
      <w:bookmarkStart w:id="1183" w:name="_Toc126863500"/>
      <w:r>
        <w:rPr>
          <w:rFonts w:eastAsiaTheme="minorEastAsia"/>
          <w:b/>
          <w:color w:val="auto"/>
          <w:w w:val="99"/>
          <w:kern w:val="2"/>
          <w:sz w:val="24"/>
          <w:szCs w:val="24"/>
          <w:highlight w:val="none"/>
        </w:rPr>
        <w:t>8.2.3环境管理人员的基本职责</w:t>
      </w:r>
      <w:bookmarkEnd w:id="1176"/>
      <w:bookmarkEnd w:id="1177"/>
      <w:bookmarkEnd w:id="1178"/>
      <w:bookmarkEnd w:id="1179"/>
      <w:bookmarkEnd w:id="1180"/>
      <w:bookmarkEnd w:id="1181"/>
      <w:bookmarkEnd w:id="1182"/>
      <w:bookmarkEnd w:id="1183"/>
    </w:p>
    <w:p w14:paraId="21C75D8E">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（1）协助有关生态环境部门进行环境保护设施的竣工验收工作；</w:t>
      </w:r>
    </w:p>
    <w:p w14:paraId="785CDE5C">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（2）定期进行环保安全检查和召开有关会议；</w:t>
      </w:r>
    </w:p>
    <w:p w14:paraId="1DCB5E18">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（3）对领导和职工特别是兼职环保人员进行环保安全方面的培训；</w:t>
      </w:r>
    </w:p>
    <w:p w14:paraId="1DE57D23">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（4）制定各种可能发生事故的应急计划，定期进行演练；配备各种必要的维护、抢修器材和设备，保证在发生事故时能及时到位；</w:t>
      </w:r>
    </w:p>
    <w:p w14:paraId="07FE66F5">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（5）主管环保的人员应参加生产调度和管理工作会议，针对生产运行中存在的环境问题，向公司领导和生产部门提出建议和技术处理措施。</w:t>
      </w:r>
    </w:p>
    <w:p w14:paraId="45C0842B">
      <w:pPr>
        <w:pStyle w:val="7"/>
        <w:widowControl w:val="0"/>
        <w:spacing w:before="60" w:after="60" w:line="440" w:lineRule="exact"/>
        <w:jc w:val="both"/>
        <w:rPr>
          <w:rFonts w:eastAsiaTheme="minorEastAsia"/>
          <w:b/>
          <w:color w:val="auto"/>
          <w:w w:val="99"/>
          <w:kern w:val="2"/>
          <w:sz w:val="24"/>
          <w:szCs w:val="24"/>
          <w:highlight w:val="none"/>
        </w:rPr>
      </w:pPr>
      <w:bookmarkStart w:id="1184" w:name="_Toc84929345"/>
      <w:bookmarkStart w:id="1185" w:name="_Toc126863501"/>
      <w:bookmarkStart w:id="1186" w:name="_Toc131167402"/>
      <w:bookmarkStart w:id="1187" w:name="_Toc127192450"/>
      <w:bookmarkStart w:id="1188" w:name="_Toc85640869"/>
      <w:bookmarkStart w:id="1189" w:name="_Toc143099689"/>
      <w:bookmarkStart w:id="1190" w:name="_Toc186444401"/>
      <w:bookmarkStart w:id="1191" w:name="_Toc86142044"/>
      <w:r>
        <w:rPr>
          <w:rFonts w:eastAsiaTheme="minorEastAsia"/>
          <w:b/>
          <w:color w:val="auto"/>
          <w:w w:val="99"/>
          <w:kern w:val="2"/>
          <w:sz w:val="24"/>
          <w:szCs w:val="24"/>
          <w:highlight w:val="none"/>
        </w:rPr>
        <w:t>8.2.4环境监控基本内容</w:t>
      </w:r>
      <w:bookmarkEnd w:id="1184"/>
      <w:bookmarkEnd w:id="1185"/>
      <w:bookmarkEnd w:id="1186"/>
      <w:bookmarkEnd w:id="1187"/>
      <w:bookmarkEnd w:id="1188"/>
      <w:bookmarkEnd w:id="1189"/>
      <w:bookmarkEnd w:id="1190"/>
      <w:bookmarkEnd w:id="1191"/>
    </w:p>
    <w:p w14:paraId="059B442F">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为了</w:t>
      </w:r>
      <w:r>
        <w:rPr>
          <w:rFonts w:hint="eastAsia" w:ascii="Times New Roman" w:hAnsi="Times New Roman" w:cs="Times New Roman"/>
          <w:color w:val="auto"/>
          <w:w w:val="99"/>
          <w:highlight w:val="none"/>
          <w:lang w:bidi="zh-CN"/>
        </w:rPr>
        <w:t>气田</w:t>
      </w:r>
      <w:r>
        <w:rPr>
          <w:rFonts w:ascii="Times New Roman" w:hAnsi="Times New Roman" w:cs="Times New Roman"/>
          <w:color w:val="auto"/>
          <w:w w:val="99"/>
          <w:highlight w:val="none"/>
          <w:lang w:bidi="zh-CN"/>
        </w:rPr>
        <w:t>开发区域内环境的持续改进，对</w:t>
      </w:r>
      <w:r>
        <w:rPr>
          <w:rFonts w:hint="eastAsia" w:ascii="Times New Roman" w:hAnsi="Times New Roman" w:cs="Times New Roman"/>
          <w:color w:val="auto"/>
          <w:w w:val="99"/>
          <w:highlight w:val="none"/>
          <w:lang w:bidi="zh-CN"/>
        </w:rPr>
        <w:t>气田</w:t>
      </w:r>
      <w:r>
        <w:rPr>
          <w:rFonts w:ascii="Times New Roman" w:hAnsi="Times New Roman" w:cs="Times New Roman"/>
          <w:color w:val="auto"/>
          <w:w w:val="99"/>
          <w:highlight w:val="none"/>
          <w:lang w:bidi="zh-CN"/>
        </w:rPr>
        <w:t>开发建设的各项活动进行全过程、全方位的监控。包括井场、场站建设及相应配套设施建设，以及</w:t>
      </w:r>
      <w:r>
        <w:rPr>
          <w:rFonts w:hint="eastAsia" w:ascii="Times New Roman" w:hAnsi="Times New Roman" w:cs="Times New Roman"/>
          <w:color w:val="auto"/>
          <w:w w:val="99"/>
          <w:highlight w:val="none"/>
          <w:lang w:bidi="zh-CN"/>
        </w:rPr>
        <w:t>气田</w:t>
      </w:r>
      <w:r>
        <w:rPr>
          <w:rFonts w:ascii="Times New Roman" w:hAnsi="Times New Roman" w:cs="Times New Roman"/>
          <w:color w:val="auto"/>
          <w:w w:val="99"/>
          <w:highlight w:val="none"/>
          <w:lang w:bidi="zh-CN"/>
        </w:rPr>
        <w:t>正常生产情况下的相应作业施工建设等过程。</w:t>
      </w:r>
      <w:r>
        <w:rPr>
          <w:rFonts w:hint="eastAsia" w:ascii="Times New Roman" w:hAnsi="Times New Roman" w:cs="Times New Roman"/>
          <w:color w:val="auto"/>
          <w:w w:val="99"/>
          <w:highlight w:val="none"/>
          <w:lang w:bidi="zh-CN"/>
        </w:rPr>
        <w:t>气田</w:t>
      </w:r>
      <w:r>
        <w:rPr>
          <w:rFonts w:ascii="Times New Roman" w:hAnsi="Times New Roman" w:cs="Times New Roman"/>
          <w:color w:val="auto"/>
          <w:w w:val="99"/>
          <w:highlight w:val="none"/>
          <w:lang w:bidi="zh-CN"/>
        </w:rPr>
        <w:t>运营期的环境监控主要是</w:t>
      </w:r>
      <w:r>
        <w:rPr>
          <w:rFonts w:hint="eastAsia" w:ascii="Times New Roman" w:hAnsi="Times New Roman" w:cs="Times New Roman"/>
          <w:color w:val="auto"/>
          <w:w w:val="99"/>
          <w:highlight w:val="none"/>
          <w:lang w:bidi="zh-CN"/>
        </w:rPr>
        <w:t>采气</w:t>
      </w:r>
      <w:r>
        <w:rPr>
          <w:rFonts w:ascii="Times New Roman" w:hAnsi="Times New Roman" w:cs="Times New Roman"/>
          <w:color w:val="auto"/>
          <w:w w:val="99"/>
          <w:highlight w:val="none"/>
          <w:lang w:bidi="zh-CN"/>
        </w:rPr>
        <w:t>和</w:t>
      </w:r>
      <w:r>
        <w:rPr>
          <w:rFonts w:hint="eastAsia" w:ascii="Times New Roman" w:hAnsi="Times New Roman" w:cs="Times New Roman"/>
          <w:color w:val="auto"/>
          <w:w w:val="99"/>
          <w:highlight w:val="none"/>
          <w:lang w:bidi="zh-CN"/>
        </w:rPr>
        <w:t>天然气集输</w:t>
      </w:r>
      <w:r>
        <w:rPr>
          <w:rFonts w:ascii="Times New Roman" w:hAnsi="Times New Roman" w:cs="Times New Roman"/>
          <w:color w:val="auto"/>
          <w:w w:val="99"/>
          <w:highlight w:val="none"/>
          <w:lang w:bidi="zh-CN"/>
        </w:rPr>
        <w:t>过程中的环境保护措施执行情况。日常监控主要由本站的环保员组织定期进行，由上级部门核查。核查采用检查现场、检查记录、与员工座谈等形式进行；检查和核查应形成记录。</w:t>
      </w:r>
    </w:p>
    <w:p w14:paraId="30937B65">
      <w:pPr>
        <w:pStyle w:val="7"/>
        <w:widowControl w:val="0"/>
        <w:spacing w:before="60" w:after="60" w:line="440" w:lineRule="exact"/>
        <w:jc w:val="both"/>
        <w:rPr>
          <w:rFonts w:eastAsiaTheme="minorEastAsia"/>
          <w:b/>
          <w:color w:val="auto"/>
          <w:w w:val="99"/>
          <w:kern w:val="2"/>
          <w:sz w:val="24"/>
          <w:szCs w:val="24"/>
          <w:highlight w:val="none"/>
        </w:rPr>
      </w:pPr>
      <w:bookmarkStart w:id="1192" w:name="_Toc143099690"/>
      <w:bookmarkStart w:id="1193" w:name="_Toc131167403"/>
      <w:bookmarkStart w:id="1194" w:name="_Toc186444402"/>
      <w:bookmarkStart w:id="1195" w:name="_Toc84929346"/>
      <w:bookmarkStart w:id="1196" w:name="_Toc126863502"/>
      <w:bookmarkStart w:id="1197" w:name="_Toc127192451"/>
      <w:bookmarkStart w:id="1198" w:name="_Toc86142045"/>
      <w:bookmarkStart w:id="1199" w:name="_Toc85640870"/>
      <w:r>
        <w:rPr>
          <w:rFonts w:eastAsiaTheme="minorEastAsia"/>
          <w:b/>
          <w:color w:val="auto"/>
          <w:w w:val="99"/>
          <w:kern w:val="2"/>
          <w:sz w:val="24"/>
          <w:szCs w:val="24"/>
          <w:highlight w:val="none"/>
        </w:rPr>
        <w:t>8.2.5本工程污染源排放清单</w:t>
      </w:r>
      <w:bookmarkEnd w:id="1192"/>
      <w:bookmarkEnd w:id="1193"/>
      <w:bookmarkEnd w:id="1194"/>
      <w:bookmarkEnd w:id="1195"/>
      <w:bookmarkEnd w:id="1196"/>
      <w:bookmarkEnd w:id="1197"/>
      <w:bookmarkEnd w:id="1198"/>
      <w:bookmarkEnd w:id="1199"/>
    </w:p>
    <w:p w14:paraId="24F18DA3">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本工程施工期污染物排放清单见表8.2-1。</w:t>
      </w:r>
    </w:p>
    <w:p w14:paraId="61D365AD">
      <w:pPr>
        <w:widowControl w:val="0"/>
        <w:spacing w:line="440" w:lineRule="exact"/>
        <w:ind w:firstLine="476"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b/>
          <w:color w:val="auto"/>
          <w:w w:val="99"/>
          <w:kern w:val="21"/>
          <w:highlight w:val="none"/>
        </w:rPr>
        <w:t>8.2-1    施工期污染物排放清单</w:t>
      </w:r>
    </w:p>
    <w:tbl>
      <w:tblPr>
        <w:tblStyle w:val="81"/>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8"/>
        <w:gridCol w:w="1522"/>
        <w:gridCol w:w="1016"/>
        <w:gridCol w:w="1032"/>
        <w:gridCol w:w="2633"/>
        <w:gridCol w:w="2213"/>
      </w:tblGrid>
      <w:tr w14:paraId="34403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67" w:type="pct"/>
            <w:vAlign w:val="center"/>
          </w:tcPr>
          <w:p w14:paraId="05F09849">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污染物种类</w:t>
            </w:r>
          </w:p>
        </w:tc>
        <w:tc>
          <w:tcPr>
            <w:tcW w:w="819" w:type="pct"/>
            <w:vAlign w:val="center"/>
          </w:tcPr>
          <w:p w14:paraId="7A0ED459">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污染物名称</w:t>
            </w:r>
          </w:p>
        </w:tc>
        <w:tc>
          <w:tcPr>
            <w:tcW w:w="547" w:type="pct"/>
            <w:vAlign w:val="center"/>
          </w:tcPr>
          <w:p w14:paraId="25F56480">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主要污染因子</w:t>
            </w:r>
          </w:p>
        </w:tc>
        <w:tc>
          <w:tcPr>
            <w:tcW w:w="556" w:type="pct"/>
            <w:vAlign w:val="center"/>
          </w:tcPr>
          <w:p w14:paraId="521D5A3E">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排放量</w:t>
            </w:r>
          </w:p>
        </w:tc>
        <w:tc>
          <w:tcPr>
            <w:tcW w:w="1417" w:type="pct"/>
            <w:vAlign w:val="center"/>
          </w:tcPr>
          <w:p w14:paraId="4B1BCAE6">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控制措施及去向</w:t>
            </w:r>
          </w:p>
        </w:tc>
        <w:tc>
          <w:tcPr>
            <w:tcW w:w="1191" w:type="pct"/>
            <w:vAlign w:val="center"/>
          </w:tcPr>
          <w:p w14:paraId="0443B33F">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排放管理要求</w:t>
            </w:r>
          </w:p>
        </w:tc>
      </w:tr>
      <w:tr w14:paraId="245F0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67" w:type="pct"/>
            <w:vMerge w:val="restart"/>
            <w:vAlign w:val="center"/>
          </w:tcPr>
          <w:p w14:paraId="1F3C2465">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废气</w:t>
            </w:r>
          </w:p>
        </w:tc>
        <w:tc>
          <w:tcPr>
            <w:tcW w:w="819" w:type="pct"/>
            <w:vAlign w:val="center"/>
          </w:tcPr>
          <w:p w14:paraId="614D042A">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扬尘</w:t>
            </w:r>
          </w:p>
        </w:tc>
        <w:tc>
          <w:tcPr>
            <w:tcW w:w="547" w:type="pct"/>
            <w:vAlign w:val="center"/>
          </w:tcPr>
          <w:p w14:paraId="62A5B86A">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颗粒物</w:t>
            </w:r>
          </w:p>
        </w:tc>
        <w:tc>
          <w:tcPr>
            <w:tcW w:w="556" w:type="pct"/>
            <w:vAlign w:val="center"/>
          </w:tcPr>
          <w:p w14:paraId="0AA0AFB3">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bCs/>
                <w:color w:val="auto"/>
                <w:w w:val="99"/>
                <w:kern w:val="2"/>
                <w:sz w:val="21"/>
                <w:szCs w:val="21"/>
                <w:highlight w:val="none"/>
              </w:rPr>
              <w:t>0.069t</w:t>
            </w:r>
          </w:p>
        </w:tc>
        <w:tc>
          <w:tcPr>
            <w:tcW w:w="1417" w:type="pct"/>
            <w:vAlign w:val="center"/>
          </w:tcPr>
          <w:p w14:paraId="51811CCD">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对施工场地采取洒水抑尘，对易起尘的临时土方等加盖苫布，</w:t>
            </w:r>
            <w:r>
              <w:rPr>
                <w:rFonts w:ascii="Times New Roman" w:hAnsi="Times New Roman" w:cs="Times New Roman" w:eastAsiaTheme="minorEastAsia"/>
                <w:bCs/>
                <w:color w:val="auto"/>
                <w:w w:val="99"/>
                <w:sz w:val="21"/>
                <w:szCs w:val="21"/>
                <w:highlight w:val="none"/>
              </w:rPr>
              <w:t>施工运输车辆采取密闭措施或加盖苫布，</w:t>
            </w:r>
            <w:r>
              <w:rPr>
                <w:rFonts w:ascii="Times New Roman" w:hAnsi="Times New Roman" w:cs="Times New Roman" w:eastAsiaTheme="minorEastAsia"/>
                <w:color w:val="auto"/>
                <w:w w:val="99"/>
                <w:sz w:val="21"/>
                <w:szCs w:val="21"/>
                <w:highlight w:val="none"/>
              </w:rPr>
              <w:t>加强施工管理。</w:t>
            </w:r>
          </w:p>
        </w:tc>
        <w:tc>
          <w:tcPr>
            <w:tcW w:w="1191" w:type="pct"/>
            <w:vMerge w:val="restart"/>
            <w:vAlign w:val="center"/>
          </w:tcPr>
          <w:p w14:paraId="613AB5D8">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执行</w:t>
            </w:r>
            <w:r>
              <w:rPr>
                <w:rFonts w:ascii="Times New Roman" w:hAnsi="Times New Roman" w:cs="Times New Roman" w:eastAsiaTheme="minorEastAsia"/>
                <w:snapToGrid w:val="0"/>
                <w:color w:val="auto"/>
                <w:w w:val="99"/>
                <w:sz w:val="21"/>
                <w:szCs w:val="21"/>
                <w:highlight w:val="none"/>
              </w:rPr>
              <w:t>《大气污染物综合排放标准》（GB16297-1996）表2中无组织排放监控浓度限值要求</w:t>
            </w:r>
          </w:p>
        </w:tc>
      </w:tr>
      <w:tr w14:paraId="43FF5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67" w:type="pct"/>
            <w:vMerge w:val="continue"/>
            <w:tcBorders>
              <w:bottom w:val="single" w:color="auto" w:sz="4" w:space="0"/>
            </w:tcBorders>
            <w:vAlign w:val="center"/>
          </w:tcPr>
          <w:p w14:paraId="6C104C0A">
            <w:pPr>
              <w:spacing w:line="320" w:lineRule="exact"/>
              <w:jc w:val="center"/>
              <w:rPr>
                <w:rFonts w:ascii="Times New Roman" w:hAnsi="Times New Roman" w:cs="Times New Roman" w:eastAsiaTheme="minorEastAsia"/>
                <w:color w:val="auto"/>
                <w:w w:val="99"/>
                <w:sz w:val="21"/>
                <w:szCs w:val="21"/>
                <w:highlight w:val="none"/>
              </w:rPr>
            </w:pPr>
          </w:p>
        </w:tc>
        <w:tc>
          <w:tcPr>
            <w:tcW w:w="819" w:type="pct"/>
            <w:tcBorders>
              <w:bottom w:val="single" w:color="auto" w:sz="4" w:space="0"/>
            </w:tcBorders>
            <w:vAlign w:val="center"/>
          </w:tcPr>
          <w:p w14:paraId="48420C40">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焊接烟尘</w:t>
            </w:r>
          </w:p>
        </w:tc>
        <w:tc>
          <w:tcPr>
            <w:tcW w:w="547" w:type="pct"/>
            <w:vAlign w:val="center"/>
          </w:tcPr>
          <w:p w14:paraId="28DCCD64">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颗粒物</w:t>
            </w:r>
          </w:p>
        </w:tc>
        <w:tc>
          <w:tcPr>
            <w:tcW w:w="556" w:type="pct"/>
            <w:vAlign w:val="center"/>
          </w:tcPr>
          <w:p w14:paraId="39C03C83">
            <w:pPr>
              <w:spacing w:line="320" w:lineRule="exact"/>
              <w:jc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kern w:val="2"/>
                <w:sz w:val="21"/>
                <w:szCs w:val="21"/>
                <w:highlight w:val="none"/>
              </w:rPr>
              <w:t>0.00</w:t>
            </w:r>
            <w:r>
              <w:rPr>
                <w:rFonts w:hint="eastAsia" w:ascii="Times New Roman" w:hAnsi="Times New Roman" w:cs="Times New Roman" w:eastAsiaTheme="minorEastAsia"/>
                <w:bCs/>
                <w:color w:val="auto"/>
                <w:w w:val="99"/>
                <w:kern w:val="2"/>
                <w:sz w:val="21"/>
                <w:szCs w:val="21"/>
                <w:highlight w:val="none"/>
              </w:rPr>
              <w:t>2t</w:t>
            </w:r>
          </w:p>
        </w:tc>
        <w:tc>
          <w:tcPr>
            <w:tcW w:w="1417" w:type="pct"/>
            <w:vAlign w:val="center"/>
          </w:tcPr>
          <w:p w14:paraId="1EDE367F">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由于项目焊接点较少，产生的焊接烟尘量较小，且项目位于室外，空气扩散条件较好</w:t>
            </w:r>
          </w:p>
        </w:tc>
        <w:tc>
          <w:tcPr>
            <w:tcW w:w="1191" w:type="pct"/>
            <w:vMerge w:val="continue"/>
            <w:vAlign w:val="center"/>
          </w:tcPr>
          <w:p w14:paraId="4DDD75DC">
            <w:pPr>
              <w:spacing w:line="320" w:lineRule="exact"/>
              <w:jc w:val="center"/>
              <w:rPr>
                <w:rFonts w:ascii="Times New Roman" w:hAnsi="Times New Roman" w:cs="Times New Roman" w:eastAsiaTheme="minorEastAsia"/>
                <w:color w:val="auto"/>
                <w:w w:val="99"/>
                <w:sz w:val="21"/>
                <w:szCs w:val="21"/>
                <w:highlight w:val="none"/>
              </w:rPr>
            </w:pPr>
          </w:p>
        </w:tc>
      </w:tr>
      <w:tr w14:paraId="354001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67" w:type="pct"/>
            <w:vMerge w:val="restart"/>
            <w:tcBorders>
              <w:top w:val="single" w:color="auto" w:sz="4" w:space="0"/>
            </w:tcBorders>
            <w:vAlign w:val="center"/>
          </w:tcPr>
          <w:p w14:paraId="369DC2ED">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废水</w:t>
            </w:r>
          </w:p>
        </w:tc>
        <w:tc>
          <w:tcPr>
            <w:tcW w:w="819" w:type="pct"/>
            <w:tcBorders>
              <w:top w:val="single" w:color="auto" w:sz="4" w:space="0"/>
            </w:tcBorders>
            <w:vAlign w:val="center"/>
          </w:tcPr>
          <w:p w14:paraId="5D4BC01C">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生活污水</w:t>
            </w:r>
          </w:p>
        </w:tc>
        <w:tc>
          <w:tcPr>
            <w:tcW w:w="547" w:type="pct"/>
            <w:vAlign w:val="center"/>
          </w:tcPr>
          <w:p w14:paraId="3E15CCFC">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COD、NH</w:t>
            </w:r>
            <w:r>
              <w:rPr>
                <w:rFonts w:ascii="Times New Roman" w:hAnsi="Times New Roman" w:cs="Times New Roman" w:eastAsiaTheme="minorEastAsia"/>
                <w:color w:val="auto"/>
                <w:w w:val="99"/>
                <w:sz w:val="21"/>
                <w:szCs w:val="21"/>
                <w:highlight w:val="none"/>
                <w:vertAlign w:val="subscript"/>
              </w:rPr>
              <w:t>3</w:t>
            </w:r>
            <w:r>
              <w:rPr>
                <w:rFonts w:ascii="Times New Roman" w:hAnsi="Times New Roman" w:cs="Times New Roman" w:eastAsiaTheme="minorEastAsia"/>
                <w:color w:val="auto"/>
                <w:w w:val="99"/>
                <w:sz w:val="21"/>
                <w:szCs w:val="21"/>
                <w:highlight w:val="none"/>
              </w:rPr>
              <w:t>-N</w:t>
            </w:r>
          </w:p>
        </w:tc>
        <w:tc>
          <w:tcPr>
            <w:tcW w:w="556" w:type="pct"/>
            <w:vAlign w:val="center"/>
          </w:tcPr>
          <w:p w14:paraId="6565BF14">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kern w:val="2"/>
                <w:sz w:val="21"/>
                <w:szCs w:val="21"/>
                <w:highlight w:val="none"/>
              </w:rPr>
              <w:t>576m</w:t>
            </w:r>
            <w:r>
              <w:rPr>
                <w:rFonts w:hint="eastAsia" w:ascii="Times New Roman" w:hAnsi="Times New Roman" w:cs="Times New Roman" w:eastAsiaTheme="minorEastAsia"/>
                <w:color w:val="auto"/>
                <w:w w:val="99"/>
                <w:kern w:val="2"/>
                <w:sz w:val="21"/>
                <w:szCs w:val="21"/>
                <w:highlight w:val="none"/>
                <w:vertAlign w:val="superscript"/>
              </w:rPr>
              <w:t>3</w:t>
            </w:r>
          </w:p>
        </w:tc>
        <w:tc>
          <w:tcPr>
            <w:tcW w:w="1417" w:type="pct"/>
            <w:vAlign w:val="center"/>
          </w:tcPr>
          <w:p w14:paraId="0B6052D0">
            <w:pPr>
              <w:spacing w:line="320" w:lineRule="exact"/>
              <w:jc w:val="center"/>
              <w:rPr>
                <w:rFonts w:ascii="Times New Roman" w:hAnsi="Times New Roman" w:cs="Times New Roman"/>
                <w:bCs/>
                <w:color w:val="auto"/>
                <w:w w:val="99"/>
                <w:kern w:val="2"/>
                <w:sz w:val="21"/>
                <w:szCs w:val="21"/>
                <w:highlight w:val="none"/>
              </w:rPr>
            </w:pPr>
            <w:r>
              <w:rPr>
                <w:rFonts w:hint="eastAsia" w:ascii="Times New Roman" w:hAnsi="Times New Roman" w:cs="Times New Roman"/>
                <w:bCs/>
                <w:color w:val="auto"/>
                <w:w w:val="99"/>
                <w:kern w:val="2"/>
                <w:sz w:val="21"/>
                <w:szCs w:val="21"/>
                <w:highlight w:val="none"/>
              </w:rPr>
              <w:t>施工期生活污水排入附近场站已建生活污水收集设施，定期由大庆石油管理局有限公司庆南工矿服务公司红岗分公司拉运至大庆红岗区西巷污水回收站，管输至南区污水处理厂进行处理。</w:t>
            </w:r>
          </w:p>
        </w:tc>
        <w:tc>
          <w:tcPr>
            <w:tcW w:w="1191" w:type="pct"/>
            <w:vAlign w:val="center"/>
          </w:tcPr>
          <w:p w14:paraId="0955A24C">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不直接排放</w:t>
            </w:r>
          </w:p>
        </w:tc>
      </w:tr>
      <w:tr w14:paraId="672A3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67" w:type="pct"/>
            <w:vMerge w:val="continue"/>
            <w:vAlign w:val="center"/>
          </w:tcPr>
          <w:p w14:paraId="73976D90">
            <w:pPr>
              <w:spacing w:line="320" w:lineRule="exact"/>
              <w:jc w:val="center"/>
              <w:rPr>
                <w:rFonts w:ascii="Times New Roman" w:hAnsi="Times New Roman" w:cs="Times New Roman" w:eastAsiaTheme="minorEastAsia"/>
                <w:color w:val="auto"/>
                <w:w w:val="99"/>
                <w:sz w:val="21"/>
                <w:szCs w:val="21"/>
                <w:highlight w:val="none"/>
              </w:rPr>
            </w:pPr>
          </w:p>
        </w:tc>
        <w:tc>
          <w:tcPr>
            <w:tcW w:w="819" w:type="pct"/>
            <w:vAlign w:val="center"/>
          </w:tcPr>
          <w:p w14:paraId="1353268D">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sz w:val="21"/>
                <w:szCs w:val="21"/>
                <w:highlight w:val="none"/>
              </w:rPr>
              <w:t>管线试压废水</w:t>
            </w:r>
          </w:p>
        </w:tc>
        <w:tc>
          <w:tcPr>
            <w:tcW w:w="547" w:type="pct"/>
            <w:vAlign w:val="center"/>
          </w:tcPr>
          <w:p w14:paraId="77FA9ECD">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SS</w:t>
            </w:r>
          </w:p>
        </w:tc>
        <w:tc>
          <w:tcPr>
            <w:tcW w:w="556" w:type="pct"/>
            <w:vAlign w:val="center"/>
          </w:tcPr>
          <w:p w14:paraId="64AB056C">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4.17</w:t>
            </w:r>
            <w:r>
              <w:rPr>
                <w:rFonts w:hint="eastAsia" w:ascii="Times New Roman" w:hAnsi="Times New Roman" w:cs="Times New Roman" w:eastAsiaTheme="minorEastAsia"/>
                <w:color w:val="auto"/>
                <w:w w:val="99"/>
                <w:kern w:val="2"/>
                <w:sz w:val="21"/>
                <w:szCs w:val="21"/>
                <w:highlight w:val="none"/>
              </w:rPr>
              <w:t>m</w:t>
            </w:r>
            <w:r>
              <w:rPr>
                <w:rFonts w:hint="eastAsia" w:ascii="Times New Roman" w:hAnsi="Times New Roman" w:cs="Times New Roman" w:eastAsiaTheme="minorEastAsia"/>
                <w:color w:val="auto"/>
                <w:w w:val="99"/>
                <w:kern w:val="2"/>
                <w:sz w:val="21"/>
                <w:szCs w:val="21"/>
                <w:highlight w:val="none"/>
                <w:vertAlign w:val="superscript"/>
              </w:rPr>
              <w:t>3</w:t>
            </w:r>
          </w:p>
        </w:tc>
        <w:tc>
          <w:tcPr>
            <w:tcW w:w="1417" w:type="pct"/>
            <w:vAlign w:val="center"/>
          </w:tcPr>
          <w:p w14:paraId="0FFBF041">
            <w:pPr>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snapToGrid w:val="0"/>
                <w:color w:val="auto"/>
                <w:w w:val="99"/>
                <w:sz w:val="21"/>
                <w:szCs w:val="21"/>
                <w:highlight w:val="none"/>
              </w:rPr>
              <w:t>由罐车拉运至升一联气田污水预处理站处理达标后回注油层</w:t>
            </w:r>
          </w:p>
        </w:tc>
        <w:tc>
          <w:tcPr>
            <w:tcW w:w="1191" w:type="pct"/>
            <w:vAlign w:val="center"/>
          </w:tcPr>
          <w:p w14:paraId="4F3CB64B">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不外排</w:t>
            </w:r>
          </w:p>
        </w:tc>
      </w:tr>
      <w:tr w14:paraId="23C88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6" w:hRule="atLeast"/>
          <w:jc w:val="center"/>
        </w:trPr>
        <w:tc>
          <w:tcPr>
            <w:tcW w:w="467" w:type="pct"/>
            <w:vMerge w:val="restart"/>
            <w:vAlign w:val="center"/>
          </w:tcPr>
          <w:p w14:paraId="5A5D11FD">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固废</w:t>
            </w:r>
          </w:p>
        </w:tc>
        <w:tc>
          <w:tcPr>
            <w:tcW w:w="819" w:type="pct"/>
            <w:vAlign w:val="center"/>
          </w:tcPr>
          <w:p w14:paraId="3F88026F">
            <w:pPr>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color w:val="auto"/>
                <w:w w:val="99"/>
                <w:kern w:val="2"/>
                <w:sz w:val="21"/>
                <w:szCs w:val="21"/>
                <w:highlight w:val="none"/>
              </w:rPr>
              <w:t>施工废料</w:t>
            </w:r>
          </w:p>
        </w:tc>
        <w:tc>
          <w:tcPr>
            <w:tcW w:w="547" w:type="pct"/>
            <w:vAlign w:val="center"/>
          </w:tcPr>
          <w:p w14:paraId="5FD228E6">
            <w:pPr>
              <w:spacing w:line="32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w:t>
            </w:r>
          </w:p>
        </w:tc>
        <w:tc>
          <w:tcPr>
            <w:tcW w:w="556" w:type="pct"/>
            <w:vAlign w:val="center"/>
          </w:tcPr>
          <w:p w14:paraId="1C77F1D3">
            <w:pPr>
              <w:spacing w:line="32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sz w:val="21"/>
                <w:szCs w:val="21"/>
                <w:highlight w:val="none"/>
              </w:rPr>
              <w:t>0.04</w:t>
            </w:r>
            <w:r>
              <w:rPr>
                <w:rFonts w:ascii="Times New Roman" w:hAnsi="Times New Roman" w:cs="Times New Roman" w:eastAsiaTheme="minorEastAsia"/>
                <w:color w:val="auto"/>
                <w:w w:val="99"/>
                <w:sz w:val="21"/>
                <w:szCs w:val="21"/>
                <w:highlight w:val="none"/>
              </w:rPr>
              <w:t>t</w:t>
            </w:r>
          </w:p>
        </w:tc>
        <w:tc>
          <w:tcPr>
            <w:tcW w:w="1417" w:type="pct"/>
            <w:vAlign w:val="center"/>
          </w:tcPr>
          <w:p w14:paraId="4084DF34">
            <w:pPr>
              <w:spacing w:line="320" w:lineRule="exact"/>
              <w:jc w:val="center"/>
              <w:rPr>
                <w:rFonts w:ascii="Times New Roman" w:hAnsi="Times New Roman" w:cs="Times New Roman"/>
                <w:color w:val="auto"/>
                <w:w w:val="99"/>
                <w:sz w:val="21"/>
                <w:szCs w:val="21"/>
                <w:highlight w:val="none"/>
                <w:lang w:bidi="ar"/>
              </w:rPr>
            </w:pPr>
            <w:r>
              <w:rPr>
                <w:rFonts w:ascii="Times New Roman" w:hAnsi="Times New Roman" w:cs="Times New Roman"/>
                <w:bCs/>
                <w:color w:val="auto"/>
                <w:w w:val="99"/>
                <w:sz w:val="21"/>
                <w:szCs w:val="21"/>
                <w:highlight w:val="none"/>
                <w:lang w:bidi="ar"/>
              </w:rPr>
              <w:t>由施工单位拉运至第八采油厂工业固废填埋场处理</w:t>
            </w:r>
          </w:p>
        </w:tc>
        <w:tc>
          <w:tcPr>
            <w:tcW w:w="1191" w:type="pct"/>
            <w:vAlign w:val="center"/>
          </w:tcPr>
          <w:p w14:paraId="4473A688">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100%处置</w:t>
            </w:r>
          </w:p>
        </w:tc>
      </w:tr>
      <w:tr w14:paraId="5C0E80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67" w:type="pct"/>
            <w:vMerge w:val="continue"/>
            <w:vAlign w:val="center"/>
          </w:tcPr>
          <w:p w14:paraId="5E96AF72">
            <w:pPr>
              <w:spacing w:line="320" w:lineRule="exact"/>
              <w:jc w:val="center"/>
              <w:rPr>
                <w:rFonts w:ascii="Times New Roman" w:hAnsi="Times New Roman" w:cs="Times New Roman" w:eastAsiaTheme="minorEastAsia"/>
                <w:color w:val="auto"/>
                <w:w w:val="99"/>
                <w:sz w:val="21"/>
                <w:szCs w:val="21"/>
                <w:highlight w:val="none"/>
              </w:rPr>
            </w:pPr>
          </w:p>
        </w:tc>
        <w:tc>
          <w:tcPr>
            <w:tcW w:w="819" w:type="pct"/>
            <w:vAlign w:val="center"/>
          </w:tcPr>
          <w:p w14:paraId="55D59702">
            <w:pPr>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color w:val="auto"/>
                <w:w w:val="99"/>
                <w:kern w:val="2"/>
                <w:sz w:val="21"/>
                <w:szCs w:val="21"/>
                <w:highlight w:val="none"/>
              </w:rPr>
              <w:t>生活垃圾</w:t>
            </w:r>
          </w:p>
        </w:tc>
        <w:tc>
          <w:tcPr>
            <w:tcW w:w="547" w:type="pct"/>
            <w:vAlign w:val="center"/>
          </w:tcPr>
          <w:p w14:paraId="7E0F0575">
            <w:pPr>
              <w:spacing w:line="32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w:t>
            </w:r>
          </w:p>
        </w:tc>
        <w:tc>
          <w:tcPr>
            <w:tcW w:w="556" w:type="pct"/>
            <w:vAlign w:val="center"/>
          </w:tcPr>
          <w:p w14:paraId="215162A0">
            <w:pPr>
              <w:spacing w:line="32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0.45</w:t>
            </w:r>
            <w:r>
              <w:rPr>
                <w:rFonts w:ascii="Times New Roman" w:hAnsi="Times New Roman" w:cs="Times New Roman" w:eastAsiaTheme="minorEastAsia"/>
                <w:color w:val="auto"/>
                <w:w w:val="99"/>
                <w:sz w:val="21"/>
                <w:szCs w:val="21"/>
                <w:highlight w:val="none"/>
              </w:rPr>
              <w:t>t</w:t>
            </w:r>
          </w:p>
        </w:tc>
        <w:tc>
          <w:tcPr>
            <w:tcW w:w="1417" w:type="pct"/>
            <w:tcBorders>
              <w:top w:val="single" w:color="auto" w:sz="4" w:space="0"/>
            </w:tcBorders>
            <w:vAlign w:val="center"/>
          </w:tcPr>
          <w:p w14:paraId="4A41572F">
            <w:pPr>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bCs/>
                <w:color w:val="auto"/>
                <w:w w:val="99"/>
                <w:kern w:val="2"/>
                <w:sz w:val="21"/>
                <w:szCs w:val="21"/>
                <w:highlight w:val="none"/>
              </w:rPr>
              <w:t>统一收集后拉运至</w:t>
            </w:r>
            <w:r>
              <w:rPr>
                <w:rFonts w:hint="eastAsia" w:ascii="Times New Roman" w:hAnsi="Times New Roman" w:cs="Times New Roman" w:eastAsiaTheme="minorEastAsia"/>
                <w:bCs/>
                <w:color w:val="auto"/>
                <w:w w:val="99"/>
                <w:kern w:val="2"/>
                <w:sz w:val="21"/>
                <w:szCs w:val="21"/>
                <w:highlight w:val="none"/>
              </w:rPr>
              <w:t>肇东北控环境再生能源有限公司</w:t>
            </w:r>
            <w:r>
              <w:rPr>
                <w:rFonts w:ascii="Times New Roman" w:hAnsi="Times New Roman" w:cs="Times New Roman" w:eastAsiaTheme="minorEastAsia"/>
                <w:bCs/>
                <w:color w:val="auto"/>
                <w:w w:val="99"/>
                <w:kern w:val="2"/>
                <w:sz w:val="21"/>
                <w:szCs w:val="21"/>
                <w:highlight w:val="none"/>
              </w:rPr>
              <w:t>处理</w:t>
            </w:r>
          </w:p>
        </w:tc>
        <w:tc>
          <w:tcPr>
            <w:tcW w:w="1191" w:type="pct"/>
            <w:tcBorders>
              <w:top w:val="single" w:color="auto" w:sz="4" w:space="0"/>
            </w:tcBorders>
            <w:vAlign w:val="center"/>
          </w:tcPr>
          <w:p w14:paraId="47BA95B8">
            <w:pPr>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color w:val="auto"/>
                <w:w w:val="99"/>
                <w:kern w:val="2"/>
                <w:sz w:val="21"/>
                <w:szCs w:val="21"/>
                <w:highlight w:val="none"/>
              </w:rPr>
              <w:t>100%处置</w:t>
            </w:r>
          </w:p>
        </w:tc>
      </w:tr>
      <w:tr w14:paraId="6635D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67" w:type="pct"/>
            <w:vAlign w:val="center"/>
          </w:tcPr>
          <w:p w14:paraId="33531BC9">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噪声</w:t>
            </w:r>
          </w:p>
        </w:tc>
        <w:tc>
          <w:tcPr>
            <w:tcW w:w="819" w:type="pct"/>
            <w:vAlign w:val="center"/>
          </w:tcPr>
          <w:p w14:paraId="165DB62E">
            <w:pPr>
              <w:snapToGrid w:val="0"/>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color w:val="auto"/>
                <w:w w:val="99"/>
                <w:sz w:val="21"/>
                <w:szCs w:val="21"/>
                <w:highlight w:val="none"/>
              </w:rPr>
              <w:t>机械噪声</w:t>
            </w:r>
          </w:p>
        </w:tc>
        <w:tc>
          <w:tcPr>
            <w:tcW w:w="547" w:type="pct"/>
            <w:vAlign w:val="center"/>
          </w:tcPr>
          <w:p w14:paraId="2422B31E">
            <w:pPr>
              <w:snapToGrid w:val="0"/>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color w:val="auto"/>
                <w:w w:val="99"/>
                <w:sz w:val="21"/>
                <w:szCs w:val="21"/>
                <w:highlight w:val="none"/>
              </w:rPr>
              <w:t>噪声</w:t>
            </w:r>
          </w:p>
        </w:tc>
        <w:tc>
          <w:tcPr>
            <w:tcW w:w="556" w:type="pct"/>
            <w:vAlign w:val="center"/>
          </w:tcPr>
          <w:p w14:paraId="623E4669">
            <w:pPr>
              <w:snapToGrid w:val="0"/>
              <w:spacing w:line="32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95-105</w:t>
            </w:r>
            <w:r>
              <w:rPr>
                <w:rFonts w:ascii="Times New Roman" w:hAnsi="Times New Roman" w:cs="Times New Roman" w:eastAsiaTheme="minorEastAsia"/>
                <w:snapToGrid w:val="0"/>
                <w:color w:val="auto"/>
                <w:w w:val="99"/>
                <w:sz w:val="21"/>
                <w:szCs w:val="21"/>
                <w:highlight w:val="none"/>
              </w:rPr>
              <w:t>dB(A)</w:t>
            </w:r>
          </w:p>
        </w:tc>
        <w:tc>
          <w:tcPr>
            <w:tcW w:w="1417" w:type="pct"/>
            <w:vAlign w:val="center"/>
          </w:tcPr>
          <w:p w14:paraId="0A20130C">
            <w:pPr>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选用低噪声设备，并采取基础减震、隔声等措施</w:t>
            </w:r>
          </w:p>
        </w:tc>
        <w:tc>
          <w:tcPr>
            <w:tcW w:w="1191" w:type="pct"/>
            <w:vAlign w:val="center"/>
          </w:tcPr>
          <w:p w14:paraId="0B87723A">
            <w:pPr>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color w:val="auto"/>
                <w:w w:val="99"/>
                <w:sz w:val="21"/>
                <w:szCs w:val="21"/>
                <w:highlight w:val="none"/>
              </w:rPr>
              <w:t>执行《</w:t>
            </w:r>
            <w:r>
              <w:rPr>
                <w:rFonts w:hint="eastAsia" w:ascii="Times New Roman" w:hAnsi="Times New Roman" w:cs="Times New Roman" w:eastAsiaTheme="minorEastAsia"/>
                <w:color w:val="auto"/>
                <w:w w:val="99"/>
                <w:sz w:val="21"/>
                <w:szCs w:val="21"/>
                <w:highlight w:val="none"/>
              </w:rPr>
              <w:t>建筑施工噪声排放标准</w:t>
            </w:r>
            <w:r>
              <w:rPr>
                <w:rFonts w:ascii="Times New Roman" w:hAnsi="Times New Roman" w:cs="Times New Roman" w:eastAsiaTheme="minorEastAsia"/>
                <w:color w:val="auto"/>
                <w:w w:val="99"/>
                <w:sz w:val="21"/>
                <w:szCs w:val="21"/>
                <w:highlight w:val="none"/>
              </w:rPr>
              <w:t>》（GB 12523-20</w:t>
            </w:r>
            <w:r>
              <w:rPr>
                <w:rFonts w:hint="eastAsia" w:ascii="Times New Roman" w:hAnsi="Times New Roman" w:cs="Times New Roman" w:eastAsiaTheme="minorEastAsia"/>
                <w:color w:val="auto"/>
                <w:w w:val="99"/>
                <w:sz w:val="21"/>
                <w:szCs w:val="21"/>
                <w:highlight w:val="none"/>
              </w:rPr>
              <w:t>25</w:t>
            </w:r>
            <w:r>
              <w:rPr>
                <w:rFonts w:ascii="Times New Roman" w:hAnsi="Times New Roman" w:cs="Times New Roman" w:eastAsiaTheme="minorEastAsia"/>
                <w:color w:val="auto"/>
                <w:w w:val="99"/>
                <w:sz w:val="21"/>
                <w:szCs w:val="21"/>
                <w:highlight w:val="none"/>
              </w:rPr>
              <w:t>）要求</w:t>
            </w:r>
          </w:p>
        </w:tc>
      </w:tr>
    </w:tbl>
    <w:p w14:paraId="3B892847">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本工程运营期污染物排放清单见表8.2-2。</w:t>
      </w:r>
    </w:p>
    <w:p w14:paraId="17DB0C9A">
      <w:pPr>
        <w:widowControl w:val="0"/>
        <w:spacing w:line="440" w:lineRule="exact"/>
        <w:ind w:firstLine="476"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b/>
          <w:color w:val="auto"/>
          <w:w w:val="99"/>
          <w:kern w:val="21"/>
          <w:highlight w:val="none"/>
        </w:rPr>
        <w:t>表8.2-2    本工程运营期污染物排放清单</w:t>
      </w:r>
    </w:p>
    <w:tbl>
      <w:tblPr>
        <w:tblStyle w:val="81"/>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8"/>
        <w:gridCol w:w="936"/>
        <w:gridCol w:w="1219"/>
        <w:gridCol w:w="1297"/>
        <w:gridCol w:w="1960"/>
        <w:gridCol w:w="3227"/>
      </w:tblGrid>
      <w:tr w14:paraId="6D567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48" w:type="pct"/>
            <w:vAlign w:val="center"/>
          </w:tcPr>
          <w:p w14:paraId="497F3D7F">
            <w:pPr>
              <w:spacing w:line="360" w:lineRule="exact"/>
              <w:jc w:val="center"/>
              <w:rPr>
                <w:rFonts w:ascii="Times New Roman" w:hAnsi="Times New Roman" w:cs="Times New Roman" w:eastAsiaTheme="minorEastAsia"/>
                <w:color w:val="auto"/>
                <w:w w:val="99"/>
                <w:sz w:val="21"/>
                <w:szCs w:val="21"/>
                <w:highlight w:val="none"/>
              </w:rPr>
            </w:pPr>
            <w:bookmarkStart w:id="1200" w:name="_Toc126863503"/>
            <w:bookmarkStart w:id="1201" w:name="_Toc86142046"/>
            <w:bookmarkStart w:id="1202" w:name="_Toc131167404"/>
            <w:bookmarkStart w:id="1203" w:name="_Toc84929347"/>
            <w:bookmarkStart w:id="1204" w:name="_Toc85640871"/>
            <w:bookmarkStart w:id="1205" w:name="_Toc143099691"/>
            <w:bookmarkStart w:id="1206" w:name="_Toc127192452"/>
            <w:bookmarkStart w:id="1207" w:name="_Toc186444403"/>
            <w:r>
              <w:rPr>
                <w:rFonts w:ascii="Times New Roman" w:hAnsi="Times New Roman" w:cs="Times New Roman" w:eastAsiaTheme="minorEastAsia"/>
                <w:color w:val="auto"/>
                <w:w w:val="99"/>
                <w:sz w:val="21"/>
                <w:szCs w:val="21"/>
                <w:highlight w:val="none"/>
              </w:rPr>
              <w:t>种类</w:t>
            </w:r>
          </w:p>
        </w:tc>
        <w:tc>
          <w:tcPr>
            <w:tcW w:w="503" w:type="pct"/>
            <w:vAlign w:val="center"/>
          </w:tcPr>
          <w:p w14:paraId="31670AE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污染物名称</w:t>
            </w:r>
          </w:p>
        </w:tc>
        <w:tc>
          <w:tcPr>
            <w:tcW w:w="656" w:type="pct"/>
            <w:vAlign w:val="center"/>
          </w:tcPr>
          <w:p w14:paraId="591A0A9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1"/>
                <w:sz w:val="21"/>
                <w:szCs w:val="21"/>
                <w:highlight w:val="none"/>
              </w:rPr>
              <w:t>主要污染因子</w:t>
            </w:r>
          </w:p>
        </w:tc>
        <w:tc>
          <w:tcPr>
            <w:tcW w:w="698" w:type="pct"/>
            <w:vAlign w:val="center"/>
          </w:tcPr>
          <w:p w14:paraId="5716534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排放量</w:t>
            </w:r>
          </w:p>
        </w:tc>
        <w:tc>
          <w:tcPr>
            <w:tcW w:w="1055" w:type="pct"/>
            <w:vAlign w:val="center"/>
          </w:tcPr>
          <w:p w14:paraId="0E857249">
            <w:pPr>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控制措施及去向</w:t>
            </w:r>
          </w:p>
        </w:tc>
        <w:tc>
          <w:tcPr>
            <w:tcW w:w="1737" w:type="pct"/>
            <w:vAlign w:val="center"/>
          </w:tcPr>
          <w:p w14:paraId="307E036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排放管理要求</w:t>
            </w:r>
          </w:p>
        </w:tc>
      </w:tr>
      <w:tr w14:paraId="117C3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48" w:type="pct"/>
            <w:vMerge w:val="restart"/>
            <w:vAlign w:val="center"/>
          </w:tcPr>
          <w:p w14:paraId="289B7A8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废气</w:t>
            </w:r>
          </w:p>
        </w:tc>
        <w:tc>
          <w:tcPr>
            <w:tcW w:w="503" w:type="pct"/>
            <w:vAlign w:val="center"/>
          </w:tcPr>
          <w:p w14:paraId="6FB78CF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烃类气体</w:t>
            </w:r>
          </w:p>
        </w:tc>
        <w:tc>
          <w:tcPr>
            <w:tcW w:w="656" w:type="pct"/>
            <w:vAlign w:val="center"/>
          </w:tcPr>
          <w:p w14:paraId="6FA8B5D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非甲烷总烃</w:t>
            </w:r>
          </w:p>
        </w:tc>
        <w:tc>
          <w:tcPr>
            <w:tcW w:w="698" w:type="pct"/>
            <w:vAlign w:val="center"/>
          </w:tcPr>
          <w:p w14:paraId="3655546C">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kern w:val="2"/>
                <w:sz w:val="21"/>
                <w:szCs w:val="21"/>
                <w:highlight w:val="none"/>
              </w:rPr>
              <w:t>11.66</w:t>
            </w:r>
            <w:r>
              <w:rPr>
                <w:rFonts w:ascii="Times New Roman" w:hAnsi="Times New Roman" w:cs="Times New Roman" w:eastAsiaTheme="minorEastAsia"/>
                <w:color w:val="auto"/>
                <w:w w:val="99"/>
                <w:sz w:val="21"/>
                <w:szCs w:val="21"/>
                <w:highlight w:val="none"/>
              </w:rPr>
              <w:t>t/a</w:t>
            </w:r>
          </w:p>
        </w:tc>
        <w:tc>
          <w:tcPr>
            <w:tcW w:w="1055" w:type="pct"/>
            <w:vAlign w:val="center"/>
          </w:tcPr>
          <w:p w14:paraId="0294803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kern w:val="2"/>
                <w:sz w:val="21"/>
                <w:szCs w:val="21"/>
                <w:highlight w:val="none"/>
              </w:rPr>
              <w:t>排入大气</w:t>
            </w:r>
          </w:p>
        </w:tc>
        <w:tc>
          <w:tcPr>
            <w:tcW w:w="1737" w:type="pct"/>
            <w:vAlign w:val="center"/>
          </w:tcPr>
          <w:p w14:paraId="160679D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井场及场站厂界执行</w:t>
            </w:r>
            <w:r>
              <w:rPr>
                <w:rFonts w:ascii="Times New Roman" w:hAnsi="Times New Roman" w:cs="Times New Roman"/>
                <w:color w:val="auto"/>
                <w:w w:val="99"/>
                <w:kern w:val="2"/>
                <w:sz w:val="21"/>
                <w:szCs w:val="21"/>
                <w:highlight w:val="none"/>
              </w:rPr>
              <w:t>《陆上石油天然气开采工业大气污染物排放标准》（GB39728-2020）5.9中规定要求</w:t>
            </w:r>
          </w:p>
        </w:tc>
      </w:tr>
      <w:tr w14:paraId="3FB08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48" w:type="pct"/>
            <w:vMerge w:val="continue"/>
            <w:vAlign w:val="center"/>
          </w:tcPr>
          <w:p w14:paraId="64AE0919">
            <w:pPr>
              <w:spacing w:line="360" w:lineRule="exact"/>
              <w:jc w:val="center"/>
              <w:rPr>
                <w:rFonts w:ascii="Times New Roman" w:hAnsi="Times New Roman" w:cs="Times New Roman" w:eastAsiaTheme="minorEastAsia"/>
                <w:color w:val="auto"/>
                <w:w w:val="99"/>
                <w:sz w:val="21"/>
                <w:szCs w:val="21"/>
                <w:highlight w:val="none"/>
              </w:rPr>
            </w:pPr>
          </w:p>
        </w:tc>
        <w:tc>
          <w:tcPr>
            <w:tcW w:w="503" w:type="pct"/>
            <w:vAlign w:val="center"/>
          </w:tcPr>
          <w:p w14:paraId="039FE50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kern w:val="2"/>
                <w:sz w:val="21"/>
                <w:szCs w:val="21"/>
                <w:highlight w:val="none"/>
              </w:rPr>
              <w:t>徐深</w:t>
            </w:r>
            <w:r>
              <w:rPr>
                <w:rFonts w:hint="eastAsia" w:ascii="Times New Roman" w:hAnsi="Times New Roman" w:cs="Times New Roman"/>
                <w:color w:val="auto"/>
                <w:w w:val="99"/>
                <w:kern w:val="2"/>
                <w:sz w:val="21"/>
                <w:szCs w:val="21"/>
                <w:highlight w:val="none"/>
              </w:rPr>
              <w:t>27</w:t>
            </w:r>
            <w:r>
              <w:rPr>
                <w:rFonts w:ascii="Times New Roman" w:hAnsi="Times New Roman" w:cs="Times New Roman"/>
                <w:color w:val="auto"/>
                <w:w w:val="99"/>
                <w:kern w:val="2"/>
                <w:sz w:val="21"/>
                <w:szCs w:val="21"/>
                <w:highlight w:val="none"/>
              </w:rPr>
              <w:t>集气站</w:t>
            </w:r>
            <w:r>
              <w:rPr>
                <w:rFonts w:hint="eastAsia" w:ascii="Times New Roman" w:hAnsi="Times New Roman" w:cs="Times New Roman" w:eastAsiaTheme="minorEastAsia"/>
                <w:color w:val="auto"/>
                <w:w w:val="99"/>
                <w:sz w:val="21"/>
                <w:szCs w:val="21"/>
                <w:highlight w:val="none"/>
              </w:rPr>
              <w:t>燃烧烟气</w:t>
            </w:r>
          </w:p>
        </w:tc>
        <w:tc>
          <w:tcPr>
            <w:tcW w:w="656" w:type="pct"/>
            <w:vAlign w:val="center"/>
          </w:tcPr>
          <w:p w14:paraId="28228C1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颗粒物</w:t>
            </w:r>
            <w:r>
              <w:rPr>
                <w:rFonts w:hint="eastAsia" w:ascii="Times New Roman" w:hAnsi="Times New Roman" w:cs="Times New Roman" w:eastAsiaTheme="minorEastAsia"/>
                <w:color w:val="auto"/>
                <w:w w:val="99"/>
                <w:sz w:val="21"/>
                <w:szCs w:val="21"/>
                <w:highlight w:val="none"/>
              </w:rPr>
              <w:t>、</w:t>
            </w:r>
            <w:r>
              <w:rPr>
                <w:rFonts w:ascii="Times New Roman" w:hAnsi="Times New Roman" w:cs="Times New Roman" w:eastAsiaTheme="minorEastAsia"/>
                <w:color w:val="auto"/>
                <w:w w:val="99"/>
                <w:sz w:val="21"/>
                <w:szCs w:val="21"/>
                <w:highlight w:val="none"/>
              </w:rPr>
              <w:t>NO</w:t>
            </w:r>
            <w:r>
              <w:rPr>
                <w:rFonts w:ascii="Times New Roman" w:hAnsi="Times New Roman" w:cs="Times New Roman" w:eastAsiaTheme="minorEastAsia"/>
                <w:color w:val="auto"/>
                <w:w w:val="99"/>
                <w:sz w:val="21"/>
                <w:szCs w:val="21"/>
                <w:highlight w:val="none"/>
                <w:vertAlign w:val="subscript"/>
              </w:rPr>
              <w:t>x</w:t>
            </w:r>
            <w:r>
              <w:rPr>
                <w:rFonts w:ascii="Times New Roman" w:hAnsi="Times New Roman" w:cs="Times New Roman" w:eastAsiaTheme="minorEastAsia"/>
                <w:color w:val="auto"/>
                <w:w w:val="99"/>
                <w:sz w:val="21"/>
                <w:szCs w:val="21"/>
                <w:highlight w:val="none"/>
              </w:rPr>
              <w:t xml:space="preserve"> </w:t>
            </w:r>
            <w:r>
              <w:rPr>
                <w:rFonts w:hint="eastAsia" w:ascii="Times New Roman" w:hAnsi="Times New Roman" w:cs="Times New Roman" w:eastAsiaTheme="minorEastAsia"/>
                <w:color w:val="auto"/>
                <w:w w:val="99"/>
                <w:sz w:val="21"/>
                <w:szCs w:val="21"/>
                <w:highlight w:val="none"/>
              </w:rPr>
              <w:t>、</w:t>
            </w: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2</w:t>
            </w:r>
          </w:p>
        </w:tc>
        <w:tc>
          <w:tcPr>
            <w:tcW w:w="698" w:type="pct"/>
            <w:vAlign w:val="center"/>
          </w:tcPr>
          <w:p w14:paraId="506652C8">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98.88×</w:t>
            </w:r>
            <w:r>
              <w:rPr>
                <w:rFonts w:hint="eastAsia" w:ascii="Times New Roman" w:hAnsi="Times New Roman" w:cs="Times New Roman"/>
                <w:color w:val="auto"/>
                <w:w w:val="99"/>
                <w:sz w:val="21"/>
                <w:szCs w:val="21"/>
                <w:highlight w:val="none"/>
              </w:rPr>
              <w:t>10</w:t>
            </w:r>
            <w:r>
              <w:rPr>
                <w:rFonts w:hint="eastAsia" w:ascii="Times New Roman" w:hAnsi="Times New Roman" w:cs="Times New Roman"/>
                <w:color w:val="auto"/>
                <w:w w:val="99"/>
                <w:sz w:val="21"/>
                <w:szCs w:val="21"/>
                <w:highlight w:val="none"/>
                <w:vertAlign w:val="superscript"/>
              </w:rPr>
              <w:t>4</w:t>
            </w:r>
            <w:r>
              <w:rPr>
                <w:rFonts w:hint="eastAsia" w:ascii="Times New Roman" w:hAnsi="Times New Roman" w:cs="Times New Roman" w:eastAsiaTheme="minorEastAsia"/>
                <w:color w:val="auto"/>
                <w:w w:val="99"/>
                <w:kern w:val="2"/>
                <w:sz w:val="21"/>
                <w:szCs w:val="21"/>
                <w:highlight w:val="none"/>
              </w:rPr>
              <w:t>m</w:t>
            </w:r>
            <w:r>
              <w:rPr>
                <w:rFonts w:hint="eastAsia" w:ascii="Times New Roman" w:hAnsi="Times New Roman" w:cs="Times New Roman" w:eastAsiaTheme="minorEastAsia"/>
                <w:color w:val="auto"/>
                <w:w w:val="99"/>
                <w:kern w:val="2"/>
                <w:sz w:val="21"/>
                <w:szCs w:val="21"/>
                <w:highlight w:val="none"/>
                <w:vertAlign w:val="superscript"/>
              </w:rPr>
              <w:t>3</w:t>
            </w:r>
            <w:r>
              <w:rPr>
                <w:rFonts w:hint="eastAsia" w:ascii="Times New Roman" w:hAnsi="Times New Roman" w:cs="Times New Roman" w:eastAsiaTheme="minorEastAsia"/>
                <w:color w:val="auto"/>
                <w:w w:val="99"/>
                <w:kern w:val="2"/>
                <w:sz w:val="21"/>
                <w:szCs w:val="21"/>
                <w:highlight w:val="none"/>
              </w:rPr>
              <w:t>/a</w:t>
            </w:r>
          </w:p>
        </w:tc>
        <w:tc>
          <w:tcPr>
            <w:tcW w:w="1055" w:type="pct"/>
            <w:vAlign w:val="center"/>
          </w:tcPr>
          <w:p w14:paraId="0082B47A">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采用清洁能源天然气作为燃料，并采用低氮燃烧器</w:t>
            </w:r>
          </w:p>
        </w:tc>
        <w:tc>
          <w:tcPr>
            <w:tcW w:w="1737" w:type="pct"/>
            <w:vAlign w:val="center"/>
          </w:tcPr>
          <w:p w14:paraId="31525C6D">
            <w:pPr>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《锅炉大气污染物排放标准》（GB13271-2014）表2</w:t>
            </w:r>
            <w:r>
              <w:rPr>
                <w:rFonts w:hint="eastAsia" w:ascii="Times New Roman" w:hAnsi="Times New Roman" w:cs="Times New Roman" w:eastAsiaTheme="minorEastAsia"/>
                <w:snapToGrid w:val="0"/>
                <w:color w:val="auto"/>
                <w:w w:val="99"/>
                <w:sz w:val="21"/>
                <w:szCs w:val="21"/>
                <w:highlight w:val="none"/>
              </w:rPr>
              <w:t>标准限值</w:t>
            </w:r>
          </w:p>
        </w:tc>
      </w:tr>
      <w:tr w14:paraId="3FD15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48" w:type="pct"/>
            <w:vMerge w:val="continue"/>
            <w:vAlign w:val="center"/>
          </w:tcPr>
          <w:p w14:paraId="730ECE77">
            <w:pPr>
              <w:spacing w:line="360" w:lineRule="exact"/>
              <w:jc w:val="center"/>
              <w:rPr>
                <w:rFonts w:ascii="Times New Roman" w:hAnsi="Times New Roman" w:cs="Times New Roman" w:eastAsiaTheme="minorEastAsia"/>
                <w:color w:val="auto"/>
                <w:w w:val="99"/>
                <w:sz w:val="21"/>
                <w:szCs w:val="21"/>
                <w:highlight w:val="none"/>
              </w:rPr>
            </w:pPr>
          </w:p>
        </w:tc>
        <w:tc>
          <w:tcPr>
            <w:tcW w:w="503" w:type="pct"/>
            <w:vAlign w:val="center"/>
          </w:tcPr>
          <w:p w14:paraId="1A139D93">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 xml:space="preserve">井场放空池 </w:t>
            </w:r>
          </w:p>
        </w:tc>
        <w:tc>
          <w:tcPr>
            <w:tcW w:w="656" w:type="pct"/>
            <w:vAlign w:val="center"/>
          </w:tcPr>
          <w:p w14:paraId="7D90CB1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颗粒物</w:t>
            </w:r>
            <w:r>
              <w:rPr>
                <w:rFonts w:hint="eastAsia" w:ascii="Times New Roman" w:hAnsi="Times New Roman" w:cs="Times New Roman" w:eastAsiaTheme="minorEastAsia"/>
                <w:color w:val="auto"/>
                <w:w w:val="99"/>
                <w:sz w:val="21"/>
                <w:szCs w:val="21"/>
                <w:highlight w:val="none"/>
              </w:rPr>
              <w:t>、</w:t>
            </w:r>
            <w:r>
              <w:rPr>
                <w:rFonts w:ascii="Times New Roman" w:hAnsi="Times New Roman" w:cs="Times New Roman" w:eastAsiaTheme="minorEastAsia"/>
                <w:color w:val="auto"/>
                <w:w w:val="99"/>
                <w:sz w:val="21"/>
                <w:szCs w:val="21"/>
                <w:highlight w:val="none"/>
              </w:rPr>
              <w:t>NO</w:t>
            </w:r>
            <w:r>
              <w:rPr>
                <w:rFonts w:ascii="Times New Roman" w:hAnsi="Times New Roman" w:cs="Times New Roman" w:eastAsiaTheme="minorEastAsia"/>
                <w:color w:val="auto"/>
                <w:w w:val="99"/>
                <w:sz w:val="21"/>
                <w:szCs w:val="21"/>
                <w:highlight w:val="none"/>
                <w:vertAlign w:val="subscript"/>
              </w:rPr>
              <w:t>x</w:t>
            </w:r>
            <w:r>
              <w:rPr>
                <w:rFonts w:ascii="Times New Roman" w:hAnsi="Times New Roman" w:cs="Times New Roman" w:eastAsiaTheme="minorEastAsia"/>
                <w:color w:val="auto"/>
                <w:w w:val="99"/>
                <w:sz w:val="21"/>
                <w:szCs w:val="21"/>
                <w:highlight w:val="none"/>
              </w:rPr>
              <w:t xml:space="preserve"> </w:t>
            </w:r>
            <w:r>
              <w:rPr>
                <w:rFonts w:hint="eastAsia" w:ascii="Times New Roman" w:hAnsi="Times New Roman" w:cs="Times New Roman" w:eastAsiaTheme="minorEastAsia"/>
                <w:color w:val="auto"/>
                <w:w w:val="99"/>
                <w:sz w:val="21"/>
                <w:szCs w:val="21"/>
                <w:highlight w:val="none"/>
              </w:rPr>
              <w:t>、</w:t>
            </w: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2</w:t>
            </w:r>
          </w:p>
        </w:tc>
        <w:tc>
          <w:tcPr>
            <w:tcW w:w="698" w:type="pct"/>
            <w:vAlign w:val="center"/>
          </w:tcPr>
          <w:p w14:paraId="36CB53FF">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2500m</w:t>
            </w:r>
            <w:r>
              <w:rPr>
                <w:rFonts w:hint="eastAsia" w:ascii="Times New Roman" w:hAnsi="Times New Roman" w:cs="Times New Roman" w:eastAsiaTheme="minorEastAsia"/>
                <w:color w:val="auto"/>
                <w:w w:val="99"/>
                <w:kern w:val="2"/>
                <w:sz w:val="21"/>
                <w:szCs w:val="21"/>
                <w:highlight w:val="none"/>
                <w:vertAlign w:val="superscript"/>
              </w:rPr>
              <w:t>3</w:t>
            </w:r>
            <w:r>
              <w:rPr>
                <w:rFonts w:hint="eastAsia" w:ascii="Times New Roman" w:hAnsi="Times New Roman" w:cs="Times New Roman" w:eastAsiaTheme="minorEastAsia"/>
                <w:color w:val="auto"/>
                <w:w w:val="99"/>
                <w:kern w:val="2"/>
                <w:sz w:val="21"/>
                <w:szCs w:val="21"/>
                <w:highlight w:val="none"/>
              </w:rPr>
              <w:t>/a</w:t>
            </w:r>
          </w:p>
        </w:tc>
        <w:tc>
          <w:tcPr>
            <w:tcW w:w="1055" w:type="pct"/>
            <w:vAlign w:val="center"/>
          </w:tcPr>
          <w:p w14:paraId="31622B30">
            <w:pPr>
              <w:spacing w:line="36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w:t>
            </w:r>
          </w:p>
        </w:tc>
        <w:tc>
          <w:tcPr>
            <w:tcW w:w="1737" w:type="pct"/>
            <w:vAlign w:val="center"/>
          </w:tcPr>
          <w:p w14:paraId="1E1FAA34">
            <w:pPr>
              <w:spacing w:line="360" w:lineRule="exact"/>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w:t>
            </w:r>
          </w:p>
        </w:tc>
      </w:tr>
      <w:tr w14:paraId="4AF2D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48" w:type="pct"/>
            <w:vAlign w:val="center"/>
          </w:tcPr>
          <w:p w14:paraId="5D1A3FB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废水</w:t>
            </w:r>
          </w:p>
        </w:tc>
        <w:tc>
          <w:tcPr>
            <w:tcW w:w="503" w:type="pct"/>
            <w:vAlign w:val="center"/>
          </w:tcPr>
          <w:p w14:paraId="530BB6C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气田采出水</w:t>
            </w:r>
          </w:p>
        </w:tc>
        <w:tc>
          <w:tcPr>
            <w:tcW w:w="656" w:type="pct"/>
            <w:vAlign w:val="center"/>
          </w:tcPr>
          <w:p w14:paraId="03700C4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石油类</w:t>
            </w:r>
          </w:p>
        </w:tc>
        <w:tc>
          <w:tcPr>
            <w:tcW w:w="698" w:type="pct"/>
            <w:vAlign w:val="center"/>
          </w:tcPr>
          <w:p w14:paraId="7C9479D3">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rPr>
              <w:t>1095</w:t>
            </w:r>
            <w:r>
              <w:rPr>
                <w:rFonts w:hint="eastAsia" w:ascii="Times New Roman" w:hAnsi="Times New Roman" w:cs="Times New Roman" w:eastAsiaTheme="minorEastAsia"/>
                <w:color w:val="auto"/>
                <w:w w:val="99"/>
                <w:sz w:val="21"/>
                <w:szCs w:val="21"/>
                <w:highlight w:val="none"/>
              </w:rPr>
              <w:t>m</w:t>
            </w:r>
            <w:r>
              <w:rPr>
                <w:rFonts w:hint="eastAsia" w:ascii="Times New Roman" w:hAnsi="Times New Roman" w:cs="Times New Roman" w:eastAsiaTheme="minorEastAsia"/>
                <w:color w:val="auto"/>
                <w:w w:val="99"/>
                <w:sz w:val="21"/>
                <w:szCs w:val="21"/>
                <w:highlight w:val="none"/>
                <w:vertAlign w:val="superscript"/>
              </w:rPr>
              <w:t>3</w:t>
            </w:r>
            <w:r>
              <w:rPr>
                <w:rFonts w:ascii="Times New Roman" w:hAnsi="Times New Roman" w:cs="Times New Roman" w:eastAsiaTheme="minorEastAsia"/>
                <w:color w:val="auto"/>
                <w:w w:val="99"/>
                <w:sz w:val="21"/>
                <w:szCs w:val="21"/>
                <w:highlight w:val="none"/>
              </w:rPr>
              <w:t>/a</w:t>
            </w:r>
          </w:p>
        </w:tc>
        <w:tc>
          <w:tcPr>
            <w:tcW w:w="1055" w:type="pct"/>
            <w:vAlign w:val="center"/>
          </w:tcPr>
          <w:p w14:paraId="67129906">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kern w:val="21"/>
                <w:sz w:val="21"/>
                <w:szCs w:val="21"/>
                <w:highlight w:val="none"/>
              </w:rPr>
              <w:t>暂存在站内现有污水罐暂存，然后定期由罐车拉运至升一联气田污水处理站集中处理</w:t>
            </w:r>
          </w:p>
        </w:tc>
        <w:tc>
          <w:tcPr>
            <w:tcW w:w="1737" w:type="pct"/>
            <w:vAlign w:val="center"/>
          </w:tcPr>
          <w:p w14:paraId="4F85614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处理后的废水</w:t>
            </w:r>
            <w:r>
              <w:rPr>
                <w:rFonts w:hint="eastAsia" w:ascii="Times New Roman" w:hAnsi="Times New Roman" w:cs="Times New Roman" w:eastAsiaTheme="minorEastAsia"/>
                <w:color w:val="auto"/>
                <w:w w:val="99"/>
                <w:sz w:val="21"/>
                <w:szCs w:val="21"/>
                <w:highlight w:val="none"/>
              </w:rPr>
              <w:t>满足《大庆油田地面工程建设设计规定》（Q/SYDQ 0639-2015）限值“含油量≤10mg/L、悬浮固体含量≤5mg/L、粒径中值≤2μm”</w:t>
            </w:r>
            <w:r>
              <w:rPr>
                <w:rFonts w:hint="eastAsia" w:ascii="Times New Roman" w:hAnsi="Times New Roman" w:cs="Times New Roman" w:eastAsiaTheme="minorEastAsia"/>
                <w:color w:val="auto"/>
                <w:w w:val="99"/>
                <w:sz w:val="21"/>
                <w:szCs w:val="21"/>
                <w:highlight w:val="none"/>
                <w:lang w:eastAsia="zh-CN"/>
              </w:rPr>
              <w:t>，</w:t>
            </w:r>
            <w:r>
              <w:rPr>
                <w:rFonts w:hint="eastAsia" w:ascii="Times New Roman" w:hAnsi="Times New Roman" w:cs="Times New Roman" w:eastAsiaTheme="minorEastAsia"/>
                <w:color w:val="auto"/>
                <w:w w:val="99"/>
                <w:sz w:val="21"/>
                <w:szCs w:val="21"/>
                <w:highlight w:val="none"/>
                <w:lang w:val="en-US" w:eastAsia="zh-CN"/>
              </w:rPr>
              <w:t>同时满足</w:t>
            </w:r>
            <w:r>
              <w:rPr>
                <w:rFonts w:hint="eastAsia" w:ascii="Times New Roman" w:hAnsi="Times New Roman" w:cs="Times New Roman" w:eastAsiaTheme="minorEastAsia"/>
                <w:color w:val="auto"/>
                <w:w w:val="99"/>
                <w:sz w:val="21"/>
                <w:szCs w:val="21"/>
                <w:highlight w:val="none"/>
              </w:rPr>
              <w:t>《碎屑岩油藏注水水质指标技术要求及分析方法》(SY/T5329-2022)中标准限值，回注现役油层</w:t>
            </w:r>
          </w:p>
        </w:tc>
      </w:tr>
      <w:tr w14:paraId="392DF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48" w:type="pct"/>
            <w:vMerge w:val="restart"/>
            <w:vAlign w:val="center"/>
          </w:tcPr>
          <w:p w14:paraId="621FD4D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噪声</w:t>
            </w:r>
          </w:p>
        </w:tc>
        <w:tc>
          <w:tcPr>
            <w:tcW w:w="503" w:type="pct"/>
            <w:vAlign w:val="center"/>
          </w:tcPr>
          <w:p w14:paraId="7A362DF3">
            <w:pPr>
              <w:spacing w:line="36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放空、放喷</w:t>
            </w:r>
          </w:p>
        </w:tc>
        <w:tc>
          <w:tcPr>
            <w:tcW w:w="656" w:type="pct"/>
            <w:vAlign w:val="center"/>
          </w:tcPr>
          <w:p w14:paraId="0B8DB34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噪声</w:t>
            </w:r>
          </w:p>
        </w:tc>
        <w:tc>
          <w:tcPr>
            <w:tcW w:w="698" w:type="pct"/>
            <w:vAlign w:val="center"/>
          </w:tcPr>
          <w:p w14:paraId="5624335D">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95</w:t>
            </w:r>
            <w:r>
              <w:rPr>
                <w:rFonts w:ascii="Times New Roman" w:hAnsi="Times New Roman" w:cs="Times New Roman" w:eastAsiaTheme="minorEastAsia"/>
                <w:color w:val="auto"/>
                <w:w w:val="99"/>
                <w:sz w:val="21"/>
                <w:szCs w:val="21"/>
                <w:highlight w:val="none"/>
              </w:rPr>
              <w:t>～</w:t>
            </w:r>
            <w:r>
              <w:rPr>
                <w:rFonts w:hint="eastAsia" w:ascii="Times New Roman" w:hAnsi="Times New Roman" w:cs="Times New Roman" w:eastAsiaTheme="minorEastAsia"/>
                <w:color w:val="auto"/>
                <w:w w:val="99"/>
                <w:sz w:val="21"/>
                <w:szCs w:val="21"/>
                <w:highlight w:val="none"/>
              </w:rPr>
              <w:t>105</w:t>
            </w:r>
            <w:r>
              <w:rPr>
                <w:rFonts w:ascii="Times New Roman" w:hAnsi="Times New Roman" w:cs="Times New Roman" w:eastAsiaTheme="minorEastAsia"/>
                <w:color w:val="auto"/>
                <w:w w:val="99"/>
                <w:sz w:val="21"/>
                <w:szCs w:val="21"/>
                <w:highlight w:val="none"/>
              </w:rPr>
              <w:t>dB(A)</w:t>
            </w:r>
          </w:p>
        </w:tc>
        <w:tc>
          <w:tcPr>
            <w:tcW w:w="1055" w:type="pct"/>
            <w:vMerge w:val="restart"/>
            <w:vAlign w:val="center"/>
          </w:tcPr>
          <w:p w14:paraId="45D35EE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定期维护保养</w:t>
            </w:r>
          </w:p>
        </w:tc>
        <w:tc>
          <w:tcPr>
            <w:tcW w:w="1737" w:type="pct"/>
            <w:vMerge w:val="restart"/>
            <w:vAlign w:val="center"/>
          </w:tcPr>
          <w:p w14:paraId="58EDE31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执行《工业企业厂界环境噪声排放标准》（GB 12348-2008）中2类标准</w:t>
            </w:r>
          </w:p>
        </w:tc>
      </w:tr>
      <w:tr w14:paraId="10F76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48" w:type="pct"/>
            <w:vMerge w:val="continue"/>
            <w:vAlign w:val="center"/>
          </w:tcPr>
          <w:p w14:paraId="43DF8F01">
            <w:pPr>
              <w:spacing w:line="360" w:lineRule="exact"/>
              <w:jc w:val="center"/>
              <w:rPr>
                <w:rFonts w:ascii="Times New Roman" w:hAnsi="Times New Roman" w:cs="Times New Roman" w:eastAsiaTheme="minorEastAsia"/>
                <w:color w:val="auto"/>
                <w:w w:val="99"/>
                <w:sz w:val="21"/>
                <w:szCs w:val="21"/>
                <w:highlight w:val="none"/>
              </w:rPr>
            </w:pPr>
          </w:p>
        </w:tc>
        <w:tc>
          <w:tcPr>
            <w:tcW w:w="503" w:type="pct"/>
            <w:vAlign w:val="center"/>
          </w:tcPr>
          <w:p w14:paraId="07BF8006">
            <w:pPr>
              <w:spacing w:line="36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作业施工</w:t>
            </w:r>
          </w:p>
        </w:tc>
        <w:tc>
          <w:tcPr>
            <w:tcW w:w="656" w:type="pct"/>
            <w:vAlign w:val="center"/>
          </w:tcPr>
          <w:p w14:paraId="618B9A4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噪声</w:t>
            </w:r>
          </w:p>
        </w:tc>
        <w:tc>
          <w:tcPr>
            <w:tcW w:w="698" w:type="pct"/>
            <w:vAlign w:val="center"/>
          </w:tcPr>
          <w:p w14:paraId="5D2A8541">
            <w:pPr>
              <w:spacing w:line="360" w:lineRule="exact"/>
              <w:jc w:val="center"/>
              <w:rPr>
                <w:rFonts w:hint="eastAsia" w:ascii="Times New Roman" w:hAnsi="Times New Roman" w:cs="Times New Roman" w:eastAsiaTheme="minorEastAsia"/>
                <w:color w:val="auto"/>
                <w:w w:val="99"/>
                <w:sz w:val="21"/>
                <w:szCs w:val="21"/>
                <w:highlight w:val="none"/>
              </w:rPr>
            </w:pPr>
            <w:r>
              <w:rPr>
                <w:rFonts w:ascii="Times New Roman" w:hAnsi="Times New Roman" w:cs="Times New Roman"/>
                <w:color w:val="auto"/>
                <w:w w:val="99"/>
                <w:sz w:val="21"/>
                <w:szCs w:val="21"/>
                <w:highlight w:val="none"/>
                <w:lang w:eastAsia="en-US"/>
              </w:rPr>
              <w:t>75~95</w:t>
            </w:r>
            <w:r>
              <w:rPr>
                <w:rFonts w:ascii="Times New Roman" w:hAnsi="Times New Roman" w:cs="Times New Roman" w:eastAsiaTheme="minorEastAsia"/>
                <w:color w:val="auto"/>
                <w:w w:val="99"/>
                <w:sz w:val="21"/>
                <w:szCs w:val="21"/>
                <w:highlight w:val="none"/>
              </w:rPr>
              <w:t>dB(A)</w:t>
            </w:r>
          </w:p>
        </w:tc>
        <w:tc>
          <w:tcPr>
            <w:tcW w:w="1055" w:type="pct"/>
            <w:vMerge w:val="continue"/>
            <w:vAlign w:val="center"/>
          </w:tcPr>
          <w:p w14:paraId="598651BC">
            <w:pPr>
              <w:spacing w:line="360" w:lineRule="exact"/>
              <w:jc w:val="center"/>
              <w:rPr>
                <w:rFonts w:ascii="Times New Roman" w:hAnsi="Times New Roman" w:cs="Times New Roman" w:eastAsiaTheme="minorEastAsia"/>
                <w:color w:val="auto"/>
                <w:w w:val="99"/>
                <w:sz w:val="21"/>
                <w:szCs w:val="21"/>
                <w:highlight w:val="none"/>
              </w:rPr>
            </w:pPr>
          </w:p>
        </w:tc>
        <w:tc>
          <w:tcPr>
            <w:tcW w:w="1737" w:type="pct"/>
            <w:vMerge w:val="continue"/>
            <w:vAlign w:val="center"/>
          </w:tcPr>
          <w:p w14:paraId="1DD58B77">
            <w:pPr>
              <w:spacing w:line="360" w:lineRule="exact"/>
              <w:jc w:val="center"/>
              <w:rPr>
                <w:rFonts w:ascii="Times New Roman" w:hAnsi="Times New Roman" w:cs="Times New Roman" w:eastAsiaTheme="minorEastAsia"/>
                <w:color w:val="auto"/>
                <w:w w:val="99"/>
                <w:sz w:val="21"/>
                <w:szCs w:val="21"/>
                <w:highlight w:val="none"/>
              </w:rPr>
            </w:pPr>
          </w:p>
        </w:tc>
      </w:tr>
      <w:tr w14:paraId="115591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48" w:type="pct"/>
            <w:vMerge w:val="restart"/>
            <w:vAlign w:val="center"/>
          </w:tcPr>
          <w:p w14:paraId="341AA57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固废</w:t>
            </w:r>
          </w:p>
        </w:tc>
        <w:tc>
          <w:tcPr>
            <w:tcW w:w="503" w:type="pct"/>
            <w:vAlign w:val="center"/>
          </w:tcPr>
          <w:p w14:paraId="7D4A30CC">
            <w:pPr>
              <w:spacing w:line="360" w:lineRule="exact"/>
              <w:jc w:val="center"/>
              <w:rPr>
                <w:rFonts w:hint="eastAsia"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rPr>
              <w:t>井口含油</w:t>
            </w:r>
            <w:r>
              <w:rPr>
                <w:rFonts w:hint="eastAsia" w:ascii="Times New Roman" w:hAnsi="Times New Roman" w:cs="Times New Roman" w:eastAsiaTheme="minorEastAsia"/>
                <w:color w:val="auto"/>
                <w:w w:val="99"/>
                <w:sz w:val="21"/>
                <w:szCs w:val="21"/>
                <w:highlight w:val="none"/>
                <w:lang w:eastAsia="zh-CN"/>
              </w:rPr>
              <w:t>砂粒</w:t>
            </w:r>
          </w:p>
        </w:tc>
        <w:tc>
          <w:tcPr>
            <w:tcW w:w="656" w:type="pct"/>
            <w:vAlign w:val="center"/>
          </w:tcPr>
          <w:p w14:paraId="223F0443">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石油类</w:t>
            </w:r>
          </w:p>
        </w:tc>
        <w:tc>
          <w:tcPr>
            <w:tcW w:w="698" w:type="pct"/>
            <w:vAlign w:val="center"/>
          </w:tcPr>
          <w:p w14:paraId="66934572">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0.01t/a</w:t>
            </w:r>
          </w:p>
        </w:tc>
        <w:tc>
          <w:tcPr>
            <w:tcW w:w="1055" w:type="pct"/>
            <w:vMerge w:val="restart"/>
            <w:vAlign w:val="center"/>
          </w:tcPr>
          <w:p w14:paraId="3ADC0EB7">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color w:val="auto"/>
                <w:w w:val="99"/>
                <w:kern w:val="2"/>
                <w:sz w:val="21"/>
                <w:szCs w:val="21"/>
                <w:highlight w:val="none"/>
              </w:rPr>
              <w:t>由检维修队送采气分公司危险废物贮存库内，定期委托有危废处置资质的单位处置</w:t>
            </w:r>
          </w:p>
        </w:tc>
        <w:tc>
          <w:tcPr>
            <w:tcW w:w="1737" w:type="pct"/>
            <w:vMerge w:val="restart"/>
            <w:vAlign w:val="center"/>
          </w:tcPr>
          <w:p w14:paraId="272D565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kern w:val="2"/>
                <w:sz w:val="21"/>
                <w:szCs w:val="21"/>
                <w:highlight w:val="none"/>
              </w:rPr>
              <w:t>执行《危险废物贮存污染控制标准》（GB18597-2023）中的相关规定，实行危险废物转移制度</w:t>
            </w:r>
          </w:p>
        </w:tc>
      </w:tr>
      <w:tr w14:paraId="443D84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48" w:type="pct"/>
            <w:vMerge w:val="continue"/>
            <w:vAlign w:val="center"/>
          </w:tcPr>
          <w:p w14:paraId="1AC77C02">
            <w:pPr>
              <w:spacing w:line="360" w:lineRule="exact"/>
              <w:jc w:val="center"/>
              <w:rPr>
                <w:rFonts w:ascii="Times New Roman" w:hAnsi="Times New Roman" w:cs="Times New Roman" w:eastAsiaTheme="minorEastAsia"/>
                <w:color w:val="auto"/>
                <w:w w:val="99"/>
                <w:sz w:val="21"/>
                <w:szCs w:val="21"/>
                <w:highlight w:val="none"/>
              </w:rPr>
            </w:pPr>
          </w:p>
        </w:tc>
        <w:tc>
          <w:tcPr>
            <w:tcW w:w="503" w:type="pct"/>
            <w:vAlign w:val="center"/>
          </w:tcPr>
          <w:p w14:paraId="71ED08FA">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废变压器油</w:t>
            </w:r>
          </w:p>
        </w:tc>
        <w:tc>
          <w:tcPr>
            <w:tcW w:w="656" w:type="pct"/>
            <w:vAlign w:val="center"/>
          </w:tcPr>
          <w:p w14:paraId="2D7E5E20">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石油类</w:t>
            </w:r>
          </w:p>
        </w:tc>
        <w:tc>
          <w:tcPr>
            <w:tcW w:w="698" w:type="pct"/>
            <w:vAlign w:val="center"/>
          </w:tcPr>
          <w:p w14:paraId="63EDBC7A">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0.05t/a</w:t>
            </w:r>
          </w:p>
        </w:tc>
        <w:tc>
          <w:tcPr>
            <w:tcW w:w="1055" w:type="pct"/>
            <w:vMerge w:val="continue"/>
            <w:vAlign w:val="center"/>
          </w:tcPr>
          <w:p w14:paraId="32647FC5">
            <w:pPr>
              <w:spacing w:line="360" w:lineRule="exact"/>
              <w:jc w:val="center"/>
              <w:rPr>
                <w:rFonts w:ascii="Times New Roman" w:hAnsi="Times New Roman" w:cs="Times New Roman"/>
                <w:color w:val="auto"/>
                <w:w w:val="99"/>
                <w:kern w:val="2"/>
                <w:sz w:val="21"/>
                <w:szCs w:val="21"/>
                <w:highlight w:val="none"/>
              </w:rPr>
            </w:pPr>
          </w:p>
        </w:tc>
        <w:tc>
          <w:tcPr>
            <w:tcW w:w="1737" w:type="pct"/>
            <w:vMerge w:val="continue"/>
            <w:vAlign w:val="center"/>
          </w:tcPr>
          <w:p w14:paraId="54866E2D">
            <w:pPr>
              <w:spacing w:line="360" w:lineRule="exact"/>
              <w:jc w:val="center"/>
              <w:rPr>
                <w:rFonts w:ascii="Times New Roman" w:hAnsi="Times New Roman" w:cs="Times New Roman"/>
                <w:color w:val="auto"/>
                <w:w w:val="99"/>
                <w:kern w:val="2"/>
                <w:sz w:val="21"/>
                <w:szCs w:val="21"/>
                <w:highlight w:val="none"/>
              </w:rPr>
            </w:pPr>
          </w:p>
        </w:tc>
      </w:tr>
    </w:tbl>
    <w:p w14:paraId="070C0A0E">
      <w:pPr>
        <w:pStyle w:val="7"/>
        <w:widowControl w:val="0"/>
        <w:spacing w:before="60" w:after="60" w:line="440" w:lineRule="exact"/>
        <w:jc w:val="both"/>
        <w:rPr>
          <w:rFonts w:eastAsiaTheme="minorEastAsia"/>
          <w:b/>
          <w:color w:val="auto"/>
          <w:w w:val="99"/>
          <w:kern w:val="2"/>
          <w:sz w:val="24"/>
          <w:szCs w:val="24"/>
          <w:highlight w:val="none"/>
        </w:rPr>
      </w:pPr>
      <w:r>
        <w:rPr>
          <w:rFonts w:eastAsiaTheme="minorEastAsia"/>
          <w:b/>
          <w:color w:val="auto"/>
          <w:w w:val="99"/>
          <w:kern w:val="2"/>
          <w:sz w:val="24"/>
          <w:szCs w:val="24"/>
          <w:highlight w:val="none"/>
        </w:rPr>
        <w:t>8.2.6总量控制</w:t>
      </w:r>
      <w:bookmarkEnd w:id="1200"/>
      <w:bookmarkEnd w:id="1201"/>
      <w:bookmarkEnd w:id="1202"/>
      <w:bookmarkEnd w:id="1203"/>
      <w:bookmarkEnd w:id="1204"/>
      <w:bookmarkEnd w:id="1205"/>
      <w:bookmarkEnd w:id="1206"/>
      <w:bookmarkEnd w:id="1207"/>
    </w:p>
    <w:p w14:paraId="73EA70E2">
      <w:pPr>
        <w:pStyle w:val="102"/>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本工程新增废气污染物为依托场站加热炉排放的 SO</w:t>
      </w:r>
      <w:r>
        <w:rPr>
          <w:rFonts w:hint="default" w:ascii="Times New Roman" w:hAnsi="Times New Roman" w:eastAsia="宋体"/>
          <w:color w:val="auto"/>
          <w:w w:val="99"/>
          <w:sz w:val="24"/>
          <w:szCs w:val="24"/>
          <w:highlight w:val="none"/>
          <w:vertAlign w:val="subscript"/>
        </w:rPr>
        <w:t>2</w:t>
      </w:r>
      <w:r>
        <w:rPr>
          <w:rFonts w:hint="default" w:ascii="Times New Roman" w:hAnsi="Times New Roman" w:eastAsia="宋体"/>
          <w:color w:val="auto"/>
          <w:w w:val="99"/>
          <w:sz w:val="24"/>
          <w:szCs w:val="24"/>
          <w:highlight w:val="none"/>
        </w:rPr>
        <w:t>、NO</w:t>
      </w:r>
      <w:r>
        <w:rPr>
          <w:rFonts w:hint="default" w:ascii="Times New Roman" w:hAnsi="Times New Roman" w:eastAsia="宋体"/>
          <w:color w:val="auto"/>
          <w:w w:val="99"/>
          <w:sz w:val="24"/>
          <w:szCs w:val="24"/>
          <w:highlight w:val="none"/>
          <w:vertAlign w:val="subscript"/>
        </w:rPr>
        <w:t>X</w:t>
      </w:r>
      <w:r>
        <w:rPr>
          <w:rFonts w:hint="default" w:ascii="Times New Roman" w:hAnsi="Times New Roman" w:eastAsia="宋体"/>
          <w:color w:val="auto"/>
          <w:w w:val="99"/>
          <w:sz w:val="24"/>
          <w:szCs w:val="24"/>
          <w:highlight w:val="none"/>
        </w:rPr>
        <w:t>、颗粒物及新增产能排放的VOCs。本项目依托的场站未新增加热炉，产生的污染物量在原有申请总量内，整体区域总量不增加，因此本项目外排污染物涉及的总量控制因子为 VOCs，总量由所在区域削减平衡，本项目污染物排放总量情况见表8.2-3。</w:t>
      </w:r>
    </w:p>
    <w:p w14:paraId="03F977FB">
      <w:pPr>
        <w:pStyle w:val="102"/>
        <w:spacing w:line="440" w:lineRule="exact"/>
        <w:ind w:left="0" w:firstLine="476" w:firstLineChars="200"/>
        <w:jc w:val="both"/>
        <w:rPr>
          <w:rFonts w:hint="default" w:ascii="Times New Roman" w:hAnsi="Times New Roman" w:eastAsia="宋体"/>
          <w:color w:val="auto"/>
          <w:w w:val="99"/>
          <w:sz w:val="24"/>
          <w:szCs w:val="24"/>
          <w:highlight w:val="none"/>
        </w:rPr>
      </w:pPr>
      <w:r>
        <w:rPr>
          <w:rFonts w:hint="default" w:ascii="Times New Roman" w:hAnsi="Times New Roman"/>
          <w:b/>
          <w:color w:val="auto"/>
          <w:w w:val="99"/>
          <w:sz w:val="24"/>
          <w:szCs w:val="24"/>
          <w:highlight w:val="none"/>
        </w:rPr>
        <w:t>表8.2-3    本项目</w:t>
      </w:r>
      <w:r>
        <w:rPr>
          <w:rFonts w:hint="default" w:ascii="Times New Roman" w:hAnsi="Times New Roman" w:eastAsiaTheme="minorEastAsia"/>
          <w:b/>
          <w:color w:val="auto"/>
          <w:w w:val="99"/>
          <w:kern w:val="21"/>
          <w:sz w:val="24"/>
          <w:szCs w:val="24"/>
          <w:highlight w:val="none"/>
        </w:rPr>
        <w:t>污染物</w:t>
      </w:r>
      <w:r>
        <w:rPr>
          <w:rFonts w:hint="default" w:ascii="Times New Roman" w:hAnsi="Times New Roman"/>
          <w:b/>
          <w:color w:val="auto"/>
          <w:w w:val="99"/>
          <w:sz w:val="24"/>
          <w:szCs w:val="24"/>
          <w:highlight w:val="none"/>
        </w:rPr>
        <w:t>排放总量一览表</w:t>
      </w:r>
    </w:p>
    <w:tbl>
      <w:tblPr>
        <w:tblStyle w:val="8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649"/>
        <w:gridCol w:w="3307"/>
        <w:gridCol w:w="4124"/>
      </w:tblGrid>
      <w:tr w14:paraId="54247A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jc w:val="center"/>
        </w:trPr>
        <w:tc>
          <w:tcPr>
            <w:tcW w:w="908" w:type="pct"/>
            <w:vAlign w:val="center"/>
          </w:tcPr>
          <w:p w14:paraId="147C7EA0">
            <w:pPr>
              <w:pStyle w:val="102"/>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序号</w:t>
            </w:r>
          </w:p>
        </w:tc>
        <w:tc>
          <w:tcPr>
            <w:tcW w:w="1821" w:type="pct"/>
            <w:vAlign w:val="center"/>
          </w:tcPr>
          <w:p w14:paraId="07127A93">
            <w:pPr>
              <w:pStyle w:val="102"/>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污染物</w:t>
            </w:r>
          </w:p>
        </w:tc>
        <w:tc>
          <w:tcPr>
            <w:tcW w:w="2271" w:type="pct"/>
            <w:vAlign w:val="center"/>
          </w:tcPr>
          <w:p w14:paraId="6AF50096">
            <w:pPr>
              <w:pStyle w:val="102"/>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核定排放量（t/a）</w:t>
            </w:r>
          </w:p>
        </w:tc>
      </w:tr>
      <w:tr w14:paraId="5EB1E1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jc w:val="center"/>
        </w:trPr>
        <w:tc>
          <w:tcPr>
            <w:tcW w:w="908" w:type="pct"/>
            <w:vAlign w:val="center"/>
          </w:tcPr>
          <w:p w14:paraId="1680F09E">
            <w:pPr>
              <w:pStyle w:val="102"/>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1</w:t>
            </w:r>
          </w:p>
        </w:tc>
        <w:tc>
          <w:tcPr>
            <w:tcW w:w="1821" w:type="pct"/>
            <w:vAlign w:val="center"/>
          </w:tcPr>
          <w:p w14:paraId="6B9BA27B">
            <w:pPr>
              <w:pStyle w:val="102"/>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VOCs</w:t>
            </w:r>
          </w:p>
        </w:tc>
        <w:tc>
          <w:tcPr>
            <w:tcW w:w="2271" w:type="pct"/>
            <w:vAlign w:val="center"/>
          </w:tcPr>
          <w:p w14:paraId="4CB534A8">
            <w:pPr>
              <w:pStyle w:val="102"/>
              <w:rPr>
                <w:rFonts w:hint="default" w:ascii="Times New Roman" w:hAnsi="Times New Roman" w:eastAsia="宋体"/>
                <w:color w:val="auto"/>
                <w:w w:val="99"/>
                <w:highlight w:val="none"/>
              </w:rPr>
            </w:pPr>
            <w:r>
              <w:rPr>
                <w:rFonts w:ascii="Times New Roman" w:hAnsi="Times New Roman" w:eastAsia="宋体"/>
                <w:color w:val="auto"/>
                <w:w w:val="99"/>
                <w:highlight w:val="none"/>
              </w:rPr>
              <w:t>11.66</w:t>
            </w:r>
          </w:p>
        </w:tc>
      </w:tr>
    </w:tbl>
    <w:p w14:paraId="69168F7E">
      <w:pPr>
        <w:pStyle w:val="7"/>
        <w:widowControl w:val="0"/>
        <w:spacing w:before="60" w:after="60" w:line="440" w:lineRule="exact"/>
        <w:jc w:val="both"/>
        <w:rPr>
          <w:rFonts w:eastAsiaTheme="minorEastAsia"/>
          <w:b/>
          <w:color w:val="auto"/>
          <w:w w:val="99"/>
          <w:kern w:val="2"/>
          <w:sz w:val="24"/>
          <w:szCs w:val="24"/>
          <w:highlight w:val="none"/>
        </w:rPr>
      </w:pPr>
      <w:bookmarkStart w:id="1208" w:name="_Toc186444404"/>
      <w:bookmarkStart w:id="1209" w:name="_Toc143099692"/>
      <w:bookmarkStart w:id="1210" w:name="_Toc131167405"/>
      <w:bookmarkStart w:id="1211" w:name="_Toc86142047"/>
      <w:bookmarkStart w:id="1212" w:name="_Toc85640872"/>
      <w:bookmarkStart w:id="1213" w:name="_Toc126863504"/>
      <w:bookmarkStart w:id="1214" w:name="_Toc127192453"/>
      <w:bookmarkStart w:id="1215" w:name="_Toc84929348"/>
      <w:r>
        <w:rPr>
          <w:rFonts w:eastAsiaTheme="minorEastAsia"/>
          <w:b/>
          <w:color w:val="auto"/>
          <w:w w:val="99"/>
          <w:kern w:val="2"/>
          <w:sz w:val="24"/>
          <w:szCs w:val="24"/>
          <w:highlight w:val="none"/>
        </w:rPr>
        <w:t>8.2.7施工期环境管理</w:t>
      </w:r>
      <w:bookmarkEnd w:id="1208"/>
      <w:bookmarkEnd w:id="1209"/>
      <w:bookmarkEnd w:id="1210"/>
      <w:bookmarkEnd w:id="1211"/>
      <w:bookmarkEnd w:id="1212"/>
      <w:bookmarkEnd w:id="1213"/>
      <w:bookmarkEnd w:id="1214"/>
      <w:bookmarkEnd w:id="1215"/>
    </w:p>
    <w:p w14:paraId="218BD32E">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8.2.7.1加强工程承包方管理</w:t>
      </w:r>
    </w:p>
    <w:p w14:paraId="0C314F99">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要与具有相关资质的施工作业单位签定《工程服务安全生产合同》，执行HSE管理体系，对项目实施HSE</w:t>
      </w:r>
      <w:r>
        <w:rPr>
          <w:rFonts w:hint="eastAsia" w:ascii="Times New Roman" w:hAnsi="Times New Roman" w:cs="Times New Roman"/>
          <w:color w:val="auto"/>
          <w:w w:val="99"/>
          <w:highlight w:val="none"/>
          <w:lang w:bidi="zh-CN"/>
        </w:rPr>
        <w:t>立案</w:t>
      </w:r>
      <w:r>
        <w:rPr>
          <w:rFonts w:ascii="Times New Roman" w:hAnsi="Times New Roman" w:cs="Times New Roman"/>
          <w:color w:val="auto"/>
          <w:w w:val="99"/>
          <w:highlight w:val="none"/>
          <w:lang w:bidi="zh-CN"/>
        </w:rPr>
        <w:t>管理，并按其内容执行。针对工程的承包方，应加强环境管理，制定出严格的环保管理制度：</w:t>
      </w:r>
    </w:p>
    <w:p w14:paraId="5AC769C9">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（1）在承包方的选择上应优先选择那些环保管理水平高、环保业绩好的单位；</w:t>
      </w:r>
    </w:p>
    <w:p w14:paraId="2F322F9E">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（2）在承包合同中应明确有关环境保护条款，如环境保护目标，采取的水、气、声和生态保护措施等，将环保工作的好坏作为工程验收的标准之一；</w:t>
      </w:r>
    </w:p>
    <w:p w14:paraId="335993F2">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（3）各分承包方应按照项目部的环境管理制度要求，建立相应的环境管理机构，明确环保管理人员，明确人员职责等；</w:t>
      </w:r>
    </w:p>
    <w:p w14:paraId="0E8D72B3">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color w:val="auto"/>
          <w:w w:val="99"/>
          <w:highlight w:val="none"/>
          <w:lang w:bidi="zh-CN"/>
        </w:rPr>
        <w:t>（4）各分承包方在施工之前，编制详细的“环境管理方案”，并连同施工计划一起呈报项目经理部以及有关的生态环境部门，批准后方可以开工。</w:t>
      </w:r>
    </w:p>
    <w:p w14:paraId="6375F0F3">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8.2.7.2注重人员培训</w:t>
      </w:r>
    </w:p>
    <w:p w14:paraId="3EA995C2">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施工作业之前必须对全体施工人员进行包括环保知识、意识和能力的培训。其中环保能力的培训主要包括：保护生态环境的规定；减少和收集、处理固体废物的方法；管理、存放及处理危险品的方法；国家及当地政府的环境保护法律、法规等。</w:t>
      </w:r>
    </w:p>
    <w:p w14:paraId="0AE31A82">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bookmarkStart w:id="1216" w:name="_Toc85640873"/>
      <w:bookmarkStart w:id="1217" w:name="_Toc186444405"/>
      <w:bookmarkStart w:id="1218" w:name="_Toc86142048"/>
      <w:bookmarkStart w:id="1219" w:name="_Toc126863505"/>
      <w:bookmarkStart w:id="1220" w:name="_Toc143099693"/>
      <w:bookmarkStart w:id="1221" w:name="_Toc131167406"/>
      <w:bookmarkStart w:id="1222" w:name="_Toc84929349"/>
      <w:bookmarkStart w:id="1223" w:name="_Toc127192454"/>
      <w:r>
        <w:rPr>
          <w:rFonts w:ascii="Times New Roman" w:hAnsi="Times New Roman" w:eastAsiaTheme="minorEastAsia"/>
          <w:b/>
          <w:color w:val="auto"/>
          <w:w w:val="99"/>
          <w:highlight w:val="none"/>
        </w:rPr>
        <w:t>8.2.7.3施工期环境监测计划</w:t>
      </w:r>
    </w:p>
    <w:p w14:paraId="457C9756">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施工期的环境监测可包括对作业场所的控制监测和事故发生后的影响监测。施工单位可委托取得相关资质的地方环境监测站对施工场界的噪声、扬尘等进行一次性监测，发生事故时对周围的空气、土壤等进行监测。对作业场所的控制监测根据当地具体情况、当地生态环境部门要求等情况而定。施工期监测计划见下表8.2-4。</w:t>
      </w:r>
    </w:p>
    <w:p w14:paraId="57C69B3A">
      <w:pPr>
        <w:pStyle w:val="153"/>
        <w:widowControl w:val="0"/>
        <w:spacing w:line="440" w:lineRule="exact"/>
        <w:ind w:firstLine="474"/>
        <w:rPr>
          <w:rFonts w:ascii="Times New Roman" w:hAnsi="Times New Roman" w:eastAsiaTheme="minorEastAsia"/>
          <w:b/>
          <w:color w:val="auto"/>
          <w:w w:val="99"/>
          <w:kern w:val="21"/>
          <w:highlight w:val="none"/>
        </w:rPr>
      </w:pPr>
      <w:r>
        <w:rPr>
          <w:rFonts w:ascii="Times New Roman" w:hAnsi="Times New Roman" w:eastAsiaTheme="minorEastAsia"/>
          <w:b/>
          <w:color w:val="auto"/>
          <w:w w:val="99"/>
          <w:kern w:val="21"/>
          <w:highlight w:val="none"/>
        </w:rPr>
        <w:t>表8.2-4    工程施工期污染物排放监测计划表</w:t>
      </w:r>
    </w:p>
    <w:tbl>
      <w:tblPr>
        <w:tblStyle w:val="8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736"/>
        <w:gridCol w:w="1057"/>
        <w:gridCol w:w="3057"/>
        <w:gridCol w:w="2958"/>
        <w:gridCol w:w="1318"/>
      </w:tblGrid>
      <w:tr w14:paraId="0D65C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tblHeader/>
          <w:jc w:val="center"/>
        </w:trPr>
        <w:tc>
          <w:tcPr>
            <w:tcW w:w="403" w:type="pct"/>
            <w:tcMar>
              <w:top w:w="28" w:type="dxa"/>
              <w:bottom w:w="28" w:type="dxa"/>
            </w:tcMar>
            <w:vAlign w:val="center"/>
          </w:tcPr>
          <w:p w14:paraId="793DE9D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序号</w:t>
            </w:r>
          </w:p>
        </w:tc>
        <w:tc>
          <w:tcPr>
            <w:tcW w:w="579" w:type="pct"/>
            <w:tcMar>
              <w:top w:w="28" w:type="dxa"/>
              <w:bottom w:w="28" w:type="dxa"/>
            </w:tcMar>
            <w:vAlign w:val="center"/>
          </w:tcPr>
          <w:p w14:paraId="5741D5C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监测内容</w:t>
            </w:r>
          </w:p>
        </w:tc>
        <w:tc>
          <w:tcPr>
            <w:tcW w:w="1674" w:type="pct"/>
            <w:tcMar>
              <w:top w:w="28" w:type="dxa"/>
              <w:bottom w:w="28" w:type="dxa"/>
            </w:tcMar>
            <w:vAlign w:val="center"/>
          </w:tcPr>
          <w:p w14:paraId="13B2C49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监测（检查）项目</w:t>
            </w:r>
          </w:p>
        </w:tc>
        <w:tc>
          <w:tcPr>
            <w:tcW w:w="1620" w:type="pct"/>
            <w:tcMar>
              <w:top w:w="28" w:type="dxa"/>
              <w:bottom w:w="28" w:type="dxa"/>
            </w:tcMar>
            <w:vAlign w:val="center"/>
          </w:tcPr>
          <w:p w14:paraId="4C2D203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w:t>
            </w:r>
          </w:p>
        </w:tc>
        <w:tc>
          <w:tcPr>
            <w:tcW w:w="722" w:type="pct"/>
            <w:tcMar>
              <w:top w:w="28" w:type="dxa"/>
              <w:bottom w:w="28" w:type="dxa"/>
            </w:tcMar>
            <w:vAlign w:val="center"/>
          </w:tcPr>
          <w:p w14:paraId="7A39906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监测频次</w:t>
            </w:r>
          </w:p>
        </w:tc>
      </w:tr>
      <w:tr w14:paraId="0130C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403" w:type="pct"/>
            <w:tcMar>
              <w:top w:w="28" w:type="dxa"/>
              <w:bottom w:w="28" w:type="dxa"/>
            </w:tcMar>
            <w:vAlign w:val="center"/>
          </w:tcPr>
          <w:p w14:paraId="14DC584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p>
        </w:tc>
        <w:tc>
          <w:tcPr>
            <w:tcW w:w="579" w:type="pct"/>
            <w:tcMar>
              <w:top w:w="28" w:type="dxa"/>
              <w:bottom w:w="28" w:type="dxa"/>
            </w:tcMar>
            <w:vAlign w:val="center"/>
          </w:tcPr>
          <w:p w14:paraId="6433180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噪声</w:t>
            </w:r>
          </w:p>
        </w:tc>
        <w:tc>
          <w:tcPr>
            <w:tcW w:w="1674" w:type="pct"/>
            <w:tcMar>
              <w:top w:w="28" w:type="dxa"/>
              <w:bottom w:w="28" w:type="dxa"/>
            </w:tcMar>
            <w:vAlign w:val="center"/>
          </w:tcPr>
          <w:p w14:paraId="172E5B0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连续等效A声级</w:t>
            </w:r>
          </w:p>
        </w:tc>
        <w:tc>
          <w:tcPr>
            <w:tcW w:w="1620" w:type="pct"/>
            <w:tcMar>
              <w:top w:w="28" w:type="dxa"/>
              <w:bottom w:w="28" w:type="dxa"/>
            </w:tcMar>
            <w:vAlign w:val="center"/>
          </w:tcPr>
          <w:p w14:paraId="6867E1A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场界外1m</w:t>
            </w:r>
          </w:p>
        </w:tc>
        <w:tc>
          <w:tcPr>
            <w:tcW w:w="722" w:type="pct"/>
            <w:tcMar>
              <w:top w:w="28" w:type="dxa"/>
              <w:bottom w:w="28" w:type="dxa"/>
            </w:tcMar>
            <w:vAlign w:val="center"/>
          </w:tcPr>
          <w:p w14:paraId="7447CA8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1次/施工期</w:t>
            </w:r>
          </w:p>
        </w:tc>
      </w:tr>
      <w:tr w14:paraId="19075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403" w:type="pct"/>
            <w:tcMar>
              <w:top w:w="28" w:type="dxa"/>
              <w:bottom w:w="28" w:type="dxa"/>
            </w:tcMar>
            <w:vAlign w:val="center"/>
          </w:tcPr>
          <w:p w14:paraId="469265F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w:t>
            </w:r>
          </w:p>
        </w:tc>
        <w:tc>
          <w:tcPr>
            <w:tcW w:w="579" w:type="pct"/>
            <w:tcMar>
              <w:top w:w="28" w:type="dxa"/>
              <w:bottom w:w="28" w:type="dxa"/>
            </w:tcMar>
            <w:vAlign w:val="center"/>
          </w:tcPr>
          <w:p w14:paraId="795F63E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废气</w:t>
            </w:r>
          </w:p>
        </w:tc>
        <w:tc>
          <w:tcPr>
            <w:tcW w:w="1674" w:type="pct"/>
            <w:tcMar>
              <w:top w:w="28" w:type="dxa"/>
              <w:bottom w:w="28" w:type="dxa"/>
            </w:tcMar>
            <w:vAlign w:val="center"/>
          </w:tcPr>
          <w:p w14:paraId="5B8803F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颗粒物</w:t>
            </w:r>
          </w:p>
        </w:tc>
        <w:tc>
          <w:tcPr>
            <w:tcW w:w="1620" w:type="pct"/>
            <w:tcMar>
              <w:top w:w="28" w:type="dxa"/>
              <w:bottom w:w="28" w:type="dxa"/>
            </w:tcMar>
            <w:vAlign w:val="center"/>
          </w:tcPr>
          <w:p w14:paraId="0C0DB29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场界外10m范围内</w:t>
            </w:r>
          </w:p>
        </w:tc>
        <w:tc>
          <w:tcPr>
            <w:tcW w:w="722" w:type="pct"/>
            <w:tcMar>
              <w:top w:w="28" w:type="dxa"/>
              <w:bottom w:w="28" w:type="dxa"/>
            </w:tcMar>
            <w:vAlign w:val="center"/>
          </w:tcPr>
          <w:p w14:paraId="04890EB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1次/施工期</w:t>
            </w:r>
          </w:p>
        </w:tc>
      </w:tr>
      <w:tr w14:paraId="7D9233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403" w:type="pct"/>
            <w:tcMar>
              <w:top w:w="28" w:type="dxa"/>
              <w:bottom w:w="28" w:type="dxa"/>
            </w:tcMar>
            <w:vAlign w:val="center"/>
          </w:tcPr>
          <w:p w14:paraId="49D094A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w:t>
            </w:r>
          </w:p>
        </w:tc>
        <w:tc>
          <w:tcPr>
            <w:tcW w:w="579" w:type="pct"/>
            <w:tcMar>
              <w:top w:w="28" w:type="dxa"/>
              <w:bottom w:w="28" w:type="dxa"/>
            </w:tcMar>
            <w:vAlign w:val="center"/>
          </w:tcPr>
          <w:p w14:paraId="61E437A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事故监测</w:t>
            </w:r>
          </w:p>
        </w:tc>
        <w:tc>
          <w:tcPr>
            <w:tcW w:w="1674" w:type="pct"/>
            <w:tcMar>
              <w:top w:w="28" w:type="dxa"/>
              <w:bottom w:w="28" w:type="dxa"/>
            </w:tcMar>
            <w:vAlign w:val="center"/>
          </w:tcPr>
          <w:p w14:paraId="0B3862E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空气：非甲烷总烃；土壤：石油烃；地下水：石油类；地表水：石油类</w:t>
            </w:r>
          </w:p>
        </w:tc>
        <w:tc>
          <w:tcPr>
            <w:tcW w:w="1620" w:type="pct"/>
            <w:tcMar>
              <w:top w:w="28" w:type="dxa"/>
              <w:bottom w:w="28" w:type="dxa"/>
            </w:tcMar>
            <w:vAlign w:val="center"/>
          </w:tcPr>
          <w:p w14:paraId="0D37123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空气及土壤为事故地点；地下水、地表水为事故地点周围区域</w:t>
            </w:r>
          </w:p>
        </w:tc>
        <w:tc>
          <w:tcPr>
            <w:tcW w:w="722" w:type="pct"/>
            <w:tcMar>
              <w:top w:w="28" w:type="dxa"/>
              <w:bottom w:w="28" w:type="dxa"/>
            </w:tcMar>
            <w:vAlign w:val="center"/>
          </w:tcPr>
          <w:p w14:paraId="14C2506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事故发生24小时内</w:t>
            </w:r>
          </w:p>
        </w:tc>
      </w:tr>
    </w:tbl>
    <w:p w14:paraId="6CD0059A">
      <w:pPr>
        <w:pStyle w:val="7"/>
        <w:widowControl w:val="0"/>
        <w:spacing w:before="60" w:after="60" w:line="440" w:lineRule="exact"/>
        <w:jc w:val="both"/>
        <w:rPr>
          <w:rFonts w:eastAsiaTheme="minorEastAsia"/>
          <w:b/>
          <w:color w:val="auto"/>
          <w:w w:val="99"/>
          <w:kern w:val="2"/>
          <w:sz w:val="24"/>
          <w:szCs w:val="24"/>
          <w:highlight w:val="none"/>
        </w:rPr>
      </w:pPr>
      <w:r>
        <w:rPr>
          <w:rFonts w:eastAsiaTheme="minorEastAsia"/>
          <w:b/>
          <w:color w:val="auto"/>
          <w:w w:val="99"/>
          <w:kern w:val="2"/>
          <w:sz w:val="24"/>
          <w:szCs w:val="24"/>
          <w:highlight w:val="none"/>
        </w:rPr>
        <w:t>8.2.8运营期环境管理与监测计划</w:t>
      </w:r>
      <w:bookmarkEnd w:id="1216"/>
      <w:bookmarkEnd w:id="1217"/>
      <w:bookmarkEnd w:id="1218"/>
      <w:bookmarkEnd w:id="1219"/>
      <w:bookmarkEnd w:id="1220"/>
      <w:bookmarkEnd w:id="1221"/>
      <w:bookmarkEnd w:id="1222"/>
      <w:bookmarkEnd w:id="1223"/>
    </w:p>
    <w:p w14:paraId="0373E873">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8.2.8.1运营期环境管理</w:t>
      </w:r>
    </w:p>
    <w:p w14:paraId="10A92EDD">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（1）进行环境监测，掌握污染现状；</w:t>
      </w:r>
    </w:p>
    <w:p w14:paraId="457798C5">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（2）定时定点监测周围环境，及时掌握环境状况的资料，促进环境管理的深入和污染治理的落实；</w:t>
      </w:r>
    </w:p>
    <w:p w14:paraId="182C9828">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（3）落实环境管理制度；</w:t>
      </w:r>
    </w:p>
    <w:p w14:paraId="01D6012A">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（4）制定环保经济责任考核制度，提高各部门对环境保护的责任感；</w:t>
      </w:r>
    </w:p>
    <w:p w14:paraId="09F75871">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（5）强化专业人员培训。</w:t>
      </w:r>
    </w:p>
    <w:p w14:paraId="710892A9">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8.2.8.2运营期环境监测计划</w:t>
      </w:r>
    </w:p>
    <w:p w14:paraId="70EF4349">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本工程生产运营期需要进行的环境监测任务委托取得相关资质的地方环境监测站进行。环境监测应按国家和地方的环保要求进行，应采用国家规定的标准监测方法，并应按照规定，定期向有关环境保护主管部门上报监测结果。</w:t>
      </w:r>
    </w:p>
    <w:p w14:paraId="25F539C9">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运营期根据《环境影响评价技术导则 地下水环境》（HJ610-2016）、《环境影响评价技术导则 土壤环境（试行）》（HJ964-2018）、《工业企业土壤和地下水自行监测技术指南（试行）》（HJ1209-2021）、《排污单位自行监测技术指南 陆上石油天然气开采工业》（HJ 1248-2022）及生态环境部门要求，结合油</w:t>
      </w:r>
      <w:r>
        <w:rPr>
          <w:rFonts w:hint="eastAsia" w:ascii="Times New Roman" w:hAnsi="Times New Roman" w:cs="Times New Roman"/>
          <w:color w:val="auto"/>
          <w:w w:val="99"/>
          <w:highlight w:val="none"/>
          <w:lang w:bidi="zh-CN"/>
        </w:rPr>
        <w:t>气</w:t>
      </w:r>
      <w:r>
        <w:rPr>
          <w:rFonts w:ascii="Times New Roman" w:hAnsi="Times New Roman" w:cs="Times New Roman"/>
          <w:color w:val="auto"/>
          <w:w w:val="99"/>
          <w:highlight w:val="none"/>
          <w:lang w:bidi="zh-CN"/>
        </w:rPr>
        <w:t>田运营期环境污染的特点，主要针对</w:t>
      </w:r>
      <w:r>
        <w:rPr>
          <w:rFonts w:hint="eastAsia" w:ascii="Times New Roman" w:hAnsi="Times New Roman" w:cs="Times New Roman"/>
          <w:color w:val="auto"/>
          <w:w w:val="99"/>
          <w:highlight w:val="none"/>
          <w:lang w:bidi="zh-CN"/>
        </w:rPr>
        <w:t>气田</w:t>
      </w:r>
      <w:r>
        <w:rPr>
          <w:rFonts w:ascii="Times New Roman" w:hAnsi="Times New Roman" w:cs="Times New Roman"/>
          <w:color w:val="auto"/>
          <w:w w:val="99"/>
          <w:highlight w:val="none"/>
          <w:lang w:bidi="zh-CN"/>
        </w:rPr>
        <w:t>污染物排放、</w:t>
      </w:r>
      <w:r>
        <w:rPr>
          <w:rFonts w:hint="eastAsia" w:ascii="Times New Roman" w:hAnsi="Times New Roman" w:cs="Times New Roman"/>
          <w:color w:val="auto"/>
          <w:w w:val="99"/>
          <w:highlight w:val="none"/>
          <w:lang w:bidi="zh-CN"/>
        </w:rPr>
        <w:t>气田</w:t>
      </w:r>
      <w:r>
        <w:rPr>
          <w:rFonts w:ascii="Times New Roman" w:hAnsi="Times New Roman" w:cs="Times New Roman"/>
          <w:color w:val="auto"/>
          <w:w w:val="99"/>
          <w:highlight w:val="none"/>
          <w:lang w:bidi="zh-CN"/>
        </w:rPr>
        <w:t>开发区生态恢复情况、事故等，同时考虑已批复现有工程等制定监测计划，包括污染源监测计划、环境质量监测计划及生态调查方案，具体见下表：</w:t>
      </w:r>
    </w:p>
    <w:p w14:paraId="4BB6AE02">
      <w:pPr>
        <w:widowControl w:val="0"/>
        <w:spacing w:line="440" w:lineRule="exact"/>
        <w:ind w:firstLine="476"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b/>
          <w:color w:val="auto"/>
          <w:w w:val="99"/>
          <w:kern w:val="21"/>
          <w:highlight w:val="none"/>
        </w:rPr>
        <w:t>表8.2-5    项目运营期污染源监测计划表</w:t>
      </w:r>
    </w:p>
    <w:tbl>
      <w:tblPr>
        <w:tblStyle w:val="8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734"/>
        <w:gridCol w:w="546"/>
        <w:gridCol w:w="2284"/>
        <w:gridCol w:w="3713"/>
        <w:gridCol w:w="1849"/>
      </w:tblGrid>
      <w:tr w14:paraId="176243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402" w:type="pct"/>
            <w:tcMar>
              <w:top w:w="28" w:type="dxa"/>
              <w:bottom w:w="28" w:type="dxa"/>
            </w:tcMar>
            <w:vAlign w:val="center"/>
          </w:tcPr>
          <w:p w14:paraId="3A3E625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序号</w:t>
            </w:r>
          </w:p>
        </w:tc>
        <w:tc>
          <w:tcPr>
            <w:tcW w:w="299" w:type="pct"/>
            <w:tcMar>
              <w:top w:w="28" w:type="dxa"/>
              <w:bottom w:w="28" w:type="dxa"/>
            </w:tcMar>
            <w:vAlign w:val="center"/>
          </w:tcPr>
          <w:p w14:paraId="064F4E6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监测内容</w:t>
            </w:r>
          </w:p>
        </w:tc>
        <w:tc>
          <w:tcPr>
            <w:tcW w:w="1251" w:type="pct"/>
            <w:tcMar>
              <w:top w:w="28" w:type="dxa"/>
              <w:bottom w:w="28" w:type="dxa"/>
            </w:tcMar>
            <w:vAlign w:val="center"/>
          </w:tcPr>
          <w:p w14:paraId="2B7F214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监测因子</w:t>
            </w:r>
          </w:p>
        </w:tc>
        <w:tc>
          <w:tcPr>
            <w:tcW w:w="2034" w:type="pct"/>
            <w:tcMar>
              <w:top w:w="28" w:type="dxa"/>
              <w:bottom w:w="28" w:type="dxa"/>
            </w:tcMar>
            <w:vAlign w:val="center"/>
          </w:tcPr>
          <w:p w14:paraId="472D720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w:t>
            </w:r>
          </w:p>
        </w:tc>
        <w:tc>
          <w:tcPr>
            <w:tcW w:w="1013" w:type="pct"/>
            <w:tcMar>
              <w:top w:w="28" w:type="dxa"/>
              <w:bottom w:w="28" w:type="dxa"/>
            </w:tcMar>
            <w:vAlign w:val="center"/>
          </w:tcPr>
          <w:p w14:paraId="357CFF7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监测频次</w:t>
            </w:r>
          </w:p>
        </w:tc>
      </w:tr>
      <w:tr w14:paraId="370A9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402" w:type="pct"/>
            <w:tcMar>
              <w:top w:w="28" w:type="dxa"/>
              <w:bottom w:w="28" w:type="dxa"/>
            </w:tcMar>
            <w:vAlign w:val="center"/>
          </w:tcPr>
          <w:p w14:paraId="2FB2AE4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p>
        </w:tc>
        <w:tc>
          <w:tcPr>
            <w:tcW w:w="299" w:type="pct"/>
            <w:tcMar>
              <w:top w:w="28" w:type="dxa"/>
              <w:bottom w:w="28" w:type="dxa"/>
            </w:tcMar>
            <w:vAlign w:val="center"/>
          </w:tcPr>
          <w:p w14:paraId="74D5876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废气</w:t>
            </w:r>
          </w:p>
        </w:tc>
        <w:tc>
          <w:tcPr>
            <w:tcW w:w="1251" w:type="pct"/>
            <w:tcMar>
              <w:top w:w="28" w:type="dxa"/>
              <w:bottom w:w="28" w:type="dxa"/>
            </w:tcMar>
            <w:vAlign w:val="center"/>
          </w:tcPr>
          <w:p w14:paraId="3EB7720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非甲烷总烃</w:t>
            </w:r>
          </w:p>
        </w:tc>
        <w:tc>
          <w:tcPr>
            <w:tcW w:w="2034" w:type="pct"/>
            <w:tcMar>
              <w:top w:w="28" w:type="dxa"/>
              <w:bottom w:w="28" w:type="dxa"/>
            </w:tcMar>
            <w:vAlign w:val="center"/>
          </w:tcPr>
          <w:p w14:paraId="1E9F2016">
            <w:pPr>
              <w:adjustRightInd w:val="0"/>
              <w:spacing w:line="360" w:lineRule="exact"/>
              <w:jc w:val="both"/>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徐深27-H1</w:t>
            </w:r>
            <w:r>
              <w:rPr>
                <w:rFonts w:ascii="Times New Roman" w:hAnsi="Times New Roman" w:cs="Times New Roman" w:eastAsiaTheme="minorEastAsia"/>
                <w:color w:val="auto"/>
                <w:w w:val="99"/>
                <w:sz w:val="21"/>
                <w:szCs w:val="21"/>
                <w:highlight w:val="none"/>
              </w:rPr>
              <w:t>井场上风向1个、下风向3个</w:t>
            </w:r>
          </w:p>
        </w:tc>
        <w:tc>
          <w:tcPr>
            <w:tcW w:w="1013" w:type="pct"/>
            <w:tcMar>
              <w:top w:w="28" w:type="dxa"/>
              <w:bottom w:w="28" w:type="dxa"/>
            </w:tcMar>
            <w:vAlign w:val="center"/>
          </w:tcPr>
          <w:p w14:paraId="599EAAC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1次/季</w:t>
            </w:r>
          </w:p>
        </w:tc>
      </w:tr>
      <w:tr w14:paraId="616B2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402" w:type="pct"/>
            <w:tcMar>
              <w:top w:w="28" w:type="dxa"/>
              <w:bottom w:w="28" w:type="dxa"/>
            </w:tcMar>
            <w:vAlign w:val="center"/>
          </w:tcPr>
          <w:p w14:paraId="2D2BCF9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w:t>
            </w:r>
          </w:p>
        </w:tc>
        <w:tc>
          <w:tcPr>
            <w:tcW w:w="299" w:type="pct"/>
            <w:tcMar>
              <w:top w:w="28" w:type="dxa"/>
              <w:bottom w:w="28" w:type="dxa"/>
            </w:tcMar>
            <w:vAlign w:val="center"/>
          </w:tcPr>
          <w:p w14:paraId="04C7679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噪声</w:t>
            </w:r>
          </w:p>
        </w:tc>
        <w:tc>
          <w:tcPr>
            <w:tcW w:w="1251" w:type="pct"/>
            <w:tcMar>
              <w:top w:w="28" w:type="dxa"/>
              <w:bottom w:w="28" w:type="dxa"/>
            </w:tcMar>
            <w:vAlign w:val="center"/>
          </w:tcPr>
          <w:p w14:paraId="70DCD06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连续等效A声级</w:t>
            </w:r>
          </w:p>
        </w:tc>
        <w:tc>
          <w:tcPr>
            <w:tcW w:w="2034" w:type="pct"/>
            <w:tcMar>
              <w:top w:w="28" w:type="dxa"/>
              <w:bottom w:w="28" w:type="dxa"/>
            </w:tcMar>
            <w:vAlign w:val="center"/>
          </w:tcPr>
          <w:p w14:paraId="62332DF8">
            <w:pPr>
              <w:adjustRightInd w:val="0"/>
              <w:spacing w:line="360" w:lineRule="exact"/>
              <w:jc w:val="both"/>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徐深27-H1</w:t>
            </w:r>
            <w:r>
              <w:rPr>
                <w:rFonts w:ascii="Times New Roman" w:hAnsi="Times New Roman" w:cs="Times New Roman" w:eastAsiaTheme="minorEastAsia"/>
                <w:color w:val="auto"/>
                <w:w w:val="99"/>
                <w:sz w:val="21"/>
                <w:szCs w:val="21"/>
                <w:highlight w:val="none"/>
              </w:rPr>
              <w:t>井场占地外1m</w:t>
            </w:r>
          </w:p>
        </w:tc>
        <w:tc>
          <w:tcPr>
            <w:tcW w:w="1013" w:type="pct"/>
            <w:tcMar>
              <w:top w:w="28" w:type="dxa"/>
              <w:bottom w:w="28" w:type="dxa"/>
            </w:tcMar>
            <w:vAlign w:val="center"/>
          </w:tcPr>
          <w:p w14:paraId="6077725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1次/季，昼、夜间监测</w:t>
            </w:r>
          </w:p>
        </w:tc>
      </w:tr>
      <w:tr w14:paraId="21B22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402" w:type="pct"/>
            <w:tcMar>
              <w:top w:w="28" w:type="dxa"/>
              <w:bottom w:w="28" w:type="dxa"/>
            </w:tcMar>
            <w:vAlign w:val="center"/>
          </w:tcPr>
          <w:p w14:paraId="6724444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w:t>
            </w:r>
          </w:p>
        </w:tc>
        <w:tc>
          <w:tcPr>
            <w:tcW w:w="299" w:type="pct"/>
            <w:tcMar>
              <w:top w:w="28" w:type="dxa"/>
              <w:bottom w:w="28" w:type="dxa"/>
            </w:tcMar>
            <w:vAlign w:val="center"/>
          </w:tcPr>
          <w:p w14:paraId="755B5E4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事故监测</w:t>
            </w:r>
          </w:p>
        </w:tc>
        <w:tc>
          <w:tcPr>
            <w:tcW w:w="1251" w:type="pct"/>
            <w:tcMar>
              <w:top w:w="28" w:type="dxa"/>
              <w:bottom w:w="28" w:type="dxa"/>
            </w:tcMar>
            <w:vAlign w:val="center"/>
          </w:tcPr>
          <w:p w14:paraId="4D3BF25A">
            <w:pPr>
              <w:spacing w:line="36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空气：非甲烷总烃；土壤：石油烃；地下水：石油类；地表水：石油类</w:t>
            </w:r>
          </w:p>
        </w:tc>
        <w:tc>
          <w:tcPr>
            <w:tcW w:w="2034" w:type="pct"/>
            <w:tcMar>
              <w:top w:w="28" w:type="dxa"/>
              <w:bottom w:w="28" w:type="dxa"/>
            </w:tcMar>
            <w:vAlign w:val="center"/>
          </w:tcPr>
          <w:p w14:paraId="0FCD4196">
            <w:pPr>
              <w:adjustRightInd w:val="0"/>
              <w:spacing w:line="36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空气及土壤为事故地点；地表水及地下水为事故地点周围区域。</w:t>
            </w:r>
          </w:p>
        </w:tc>
        <w:tc>
          <w:tcPr>
            <w:tcW w:w="1013" w:type="pct"/>
            <w:tcMar>
              <w:top w:w="28" w:type="dxa"/>
              <w:bottom w:w="28" w:type="dxa"/>
            </w:tcMar>
            <w:vAlign w:val="center"/>
          </w:tcPr>
          <w:p w14:paraId="5059D7A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事故发生24小时内</w:t>
            </w:r>
          </w:p>
        </w:tc>
      </w:tr>
    </w:tbl>
    <w:p w14:paraId="4AB1E91D">
      <w:pPr>
        <w:pStyle w:val="153"/>
        <w:widowControl w:val="0"/>
        <w:spacing w:line="440" w:lineRule="exact"/>
        <w:ind w:firstLine="474"/>
        <w:rPr>
          <w:rFonts w:ascii="Times New Roman" w:hAnsi="Times New Roman" w:eastAsiaTheme="minorEastAsia"/>
          <w:b/>
          <w:color w:val="auto"/>
          <w:w w:val="99"/>
          <w:kern w:val="21"/>
          <w:highlight w:val="none"/>
        </w:rPr>
      </w:pPr>
      <w:r>
        <w:rPr>
          <w:rFonts w:ascii="Times New Roman" w:hAnsi="Times New Roman" w:eastAsiaTheme="minorEastAsia"/>
          <w:b/>
          <w:color w:val="auto"/>
          <w:w w:val="99"/>
          <w:kern w:val="21"/>
          <w:highlight w:val="none"/>
        </w:rPr>
        <w:t>表8.2-6    项目运营期环境质量监测计划表</w:t>
      </w:r>
    </w:p>
    <w:tbl>
      <w:tblPr>
        <w:tblStyle w:val="8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471"/>
        <w:gridCol w:w="707"/>
        <w:gridCol w:w="1552"/>
        <w:gridCol w:w="1914"/>
        <w:gridCol w:w="2049"/>
        <w:gridCol w:w="1649"/>
        <w:gridCol w:w="784"/>
      </w:tblGrid>
      <w:tr w14:paraId="3946B4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58" w:type="pct"/>
            <w:tcMar>
              <w:top w:w="28" w:type="dxa"/>
              <w:bottom w:w="28" w:type="dxa"/>
            </w:tcMar>
            <w:vAlign w:val="center"/>
          </w:tcPr>
          <w:p w14:paraId="2648E4B7">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序号</w:t>
            </w:r>
          </w:p>
        </w:tc>
        <w:tc>
          <w:tcPr>
            <w:tcW w:w="387" w:type="pct"/>
            <w:tcMar>
              <w:top w:w="28" w:type="dxa"/>
              <w:bottom w:w="28" w:type="dxa"/>
            </w:tcMar>
            <w:vAlign w:val="center"/>
          </w:tcPr>
          <w:p w14:paraId="557AF887">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监测内容</w:t>
            </w:r>
          </w:p>
        </w:tc>
        <w:tc>
          <w:tcPr>
            <w:tcW w:w="850" w:type="pct"/>
            <w:tcMar>
              <w:top w:w="28" w:type="dxa"/>
              <w:bottom w:w="28" w:type="dxa"/>
            </w:tcMar>
            <w:vAlign w:val="center"/>
          </w:tcPr>
          <w:p w14:paraId="699D27C9">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监测因子</w:t>
            </w:r>
          </w:p>
        </w:tc>
        <w:tc>
          <w:tcPr>
            <w:tcW w:w="1048" w:type="pct"/>
            <w:tcMar>
              <w:top w:w="28" w:type="dxa"/>
              <w:bottom w:w="28" w:type="dxa"/>
            </w:tcMar>
            <w:vAlign w:val="center"/>
          </w:tcPr>
          <w:p w14:paraId="4D0C3491">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w:t>
            </w:r>
          </w:p>
        </w:tc>
        <w:tc>
          <w:tcPr>
            <w:tcW w:w="1122" w:type="pct"/>
            <w:vAlign w:val="center"/>
          </w:tcPr>
          <w:p w14:paraId="684983C0">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坐标</w:t>
            </w:r>
          </w:p>
        </w:tc>
        <w:tc>
          <w:tcPr>
            <w:tcW w:w="903" w:type="pct"/>
            <w:vAlign w:val="center"/>
          </w:tcPr>
          <w:p w14:paraId="67505E39">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与本项目的位置关系</w:t>
            </w:r>
          </w:p>
        </w:tc>
        <w:tc>
          <w:tcPr>
            <w:tcW w:w="429" w:type="pct"/>
            <w:tcMar>
              <w:top w:w="28" w:type="dxa"/>
              <w:bottom w:w="28" w:type="dxa"/>
            </w:tcMar>
            <w:vAlign w:val="center"/>
          </w:tcPr>
          <w:p w14:paraId="113BAC1E">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监测频次</w:t>
            </w:r>
          </w:p>
        </w:tc>
      </w:tr>
      <w:tr w14:paraId="30FCF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58" w:type="pct"/>
            <w:vMerge w:val="restart"/>
            <w:tcMar>
              <w:top w:w="28" w:type="dxa"/>
              <w:bottom w:w="28" w:type="dxa"/>
            </w:tcMar>
            <w:vAlign w:val="center"/>
          </w:tcPr>
          <w:p w14:paraId="688AFFD0">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p>
        </w:tc>
        <w:tc>
          <w:tcPr>
            <w:tcW w:w="387" w:type="pct"/>
            <w:vMerge w:val="restart"/>
            <w:tcMar>
              <w:top w:w="28" w:type="dxa"/>
              <w:bottom w:w="28" w:type="dxa"/>
            </w:tcMar>
            <w:vAlign w:val="center"/>
          </w:tcPr>
          <w:p w14:paraId="3784AB2D">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地下水</w:t>
            </w:r>
          </w:p>
        </w:tc>
        <w:tc>
          <w:tcPr>
            <w:tcW w:w="850" w:type="pct"/>
            <w:vMerge w:val="restart"/>
            <w:tcMar>
              <w:top w:w="28" w:type="dxa"/>
              <w:bottom w:w="28" w:type="dxa"/>
            </w:tcMar>
            <w:vAlign w:val="center"/>
          </w:tcPr>
          <w:p w14:paraId="77A7A44D">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pH、石油类、石油烃（C</w:t>
            </w:r>
            <w:r>
              <w:rPr>
                <w:rFonts w:ascii="Times New Roman" w:hAnsi="Times New Roman" w:cs="Times New Roman" w:eastAsiaTheme="minorEastAsia"/>
                <w:color w:val="auto"/>
                <w:w w:val="99"/>
                <w:sz w:val="21"/>
                <w:szCs w:val="21"/>
                <w:highlight w:val="none"/>
                <w:vertAlign w:val="subscript"/>
              </w:rPr>
              <w:t>6</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9</w:t>
            </w: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10</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40</w:t>
            </w:r>
            <w:r>
              <w:rPr>
                <w:rFonts w:ascii="Times New Roman" w:hAnsi="Times New Roman" w:cs="Times New Roman" w:eastAsiaTheme="minorEastAsia"/>
                <w:color w:val="auto"/>
                <w:w w:val="99"/>
                <w:sz w:val="21"/>
                <w:szCs w:val="21"/>
                <w:highlight w:val="none"/>
              </w:rPr>
              <w:t>）、汞、砷、六价铬</w:t>
            </w:r>
          </w:p>
        </w:tc>
        <w:tc>
          <w:tcPr>
            <w:tcW w:w="1048" w:type="pct"/>
            <w:tcMar>
              <w:top w:w="28" w:type="dxa"/>
              <w:bottom w:w="28" w:type="dxa"/>
            </w:tcMar>
            <w:vAlign w:val="center"/>
          </w:tcPr>
          <w:p w14:paraId="75571EB2">
            <w:pPr>
              <w:widowControl w:val="0"/>
              <w:snapToGrid w:val="0"/>
              <w:spacing w:line="320" w:lineRule="exact"/>
              <w:jc w:val="center"/>
              <w:rPr>
                <w:rFonts w:ascii="Times New Roman" w:hAnsi="Times New Roman" w:eastAsiaTheme="minorEastAsia"/>
                <w:color w:val="auto"/>
                <w:w w:val="99"/>
                <w:szCs w:val="21"/>
                <w:highlight w:val="none"/>
              </w:rPr>
            </w:pPr>
            <w:r>
              <w:rPr>
                <w:rFonts w:hint="eastAsia" w:ascii="Times New Roman" w:hAnsi="Times New Roman" w:cs="Times New Roman" w:eastAsiaTheme="minorEastAsia"/>
                <w:color w:val="auto"/>
                <w:w w:val="99"/>
                <w:sz w:val="21"/>
                <w:szCs w:val="21"/>
                <w:highlight w:val="none"/>
              </w:rPr>
              <w:t>王家围子屯水</w:t>
            </w:r>
            <w:r>
              <w:rPr>
                <w:rFonts w:ascii="Times New Roman" w:hAnsi="Times New Roman" w:cs="Times New Roman" w:eastAsiaTheme="minorEastAsia"/>
                <w:color w:val="auto"/>
                <w:w w:val="99"/>
                <w:sz w:val="21"/>
                <w:szCs w:val="21"/>
                <w:highlight w:val="none"/>
              </w:rPr>
              <w:t>井</w:t>
            </w:r>
          </w:p>
        </w:tc>
        <w:tc>
          <w:tcPr>
            <w:tcW w:w="1122" w:type="pct"/>
            <w:vAlign w:val="center"/>
          </w:tcPr>
          <w:p w14:paraId="2A419544">
            <w:pPr>
              <w:widowControl w:val="0"/>
              <w:snapToGrid w:val="0"/>
              <w:spacing w:line="320" w:lineRule="exact"/>
              <w:jc w:val="center"/>
              <w:rPr>
                <w:rFonts w:ascii="Times New Roman" w:hAnsi="Times New Roman" w:eastAsiaTheme="minorEastAsia"/>
                <w:color w:val="auto"/>
                <w:w w:val="99"/>
                <w:szCs w:val="21"/>
                <w:highlight w:val="none"/>
              </w:rPr>
            </w:pPr>
            <w:r>
              <w:rPr>
                <w:rFonts w:hint="eastAsia" w:ascii="Times New Roman" w:hAnsi="Times New Roman" w:cs="Times New Roman" w:eastAsiaTheme="minorEastAsia"/>
                <w:color w:val="auto"/>
                <w:w w:val="99"/>
                <w:sz w:val="21"/>
                <w:szCs w:val="21"/>
                <w:highlight w:val="none"/>
              </w:rPr>
              <w:t>125.51499，45.90631</w:t>
            </w:r>
          </w:p>
        </w:tc>
        <w:tc>
          <w:tcPr>
            <w:tcW w:w="903" w:type="pct"/>
            <w:vAlign w:val="center"/>
          </w:tcPr>
          <w:p w14:paraId="31081C42">
            <w:pPr>
              <w:widowControl w:val="0"/>
              <w:snapToGrid w:val="0"/>
              <w:spacing w:line="320" w:lineRule="exact"/>
              <w:jc w:val="center"/>
              <w:rPr>
                <w:rFonts w:ascii="Times New Roman" w:hAnsi="Times New Roman" w:eastAsiaTheme="minorEastAsia"/>
                <w:color w:val="auto"/>
                <w:w w:val="99"/>
                <w:szCs w:val="21"/>
                <w:highlight w:val="none"/>
              </w:rPr>
            </w:pPr>
            <w:r>
              <w:rPr>
                <w:rFonts w:hint="eastAsia" w:ascii="Times New Roman" w:hAnsi="Times New Roman" w:cs="Times New Roman" w:eastAsiaTheme="minorEastAsia"/>
                <w:color w:val="auto"/>
                <w:w w:val="99"/>
                <w:sz w:val="21"/>
                <w:szCs w:val="21"/>
                <w:highlight w:val="none"/>
              </w:rPr>
              <w:t>拟建管线东北侧850m（上游）</w:t>
            </w:r>
          </w:p>
        </w:tc>
        <w:tc>
          <w:tcPr>
            <w:tcW w:w="429" w:type="pct"/>
            <w:vMerge w:val="restart"/>
            <w:tcMar>
              <w:top w:w="28" w:type="dxa"/>
              <w:bottom w:w="28" w:type="dxa"/>
            </w:tcMar>
            <w:vAlign w:val="center"/>
          </w:tcPr>
          <w:p w14:paraId="1F30DF8E">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1次/半年</w:t>
            </w:r>
          </w:p>
        </w:tc>
      </w:tr>
      <w:tr w14:paraId="03EE0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58" w:type="pct"/>
            <w:vMerge w:val="continue"/>
            <w:tcMar>
              <w:top w:w="28" w:type="dxa"/>
              <w:bottom w:w="28" w:type="dxa"/>
            </w:tcMar>
            <w:vAlign w:val="center"/>
          </w:tcPr>
          <w:p w14:paraId="741BC3F3">
            <w:pPr>
              <w:spacing w:line="320" w:lineRule="exact"/>
              <w:jc w:val="center"/>
              <w:rPr>
                <w:rFonts w:ascii="Times New Roman" w:hAnsi="Times New Roman" w:cs="Times New Roman" w:eastAsiaTheme="minorEastAsia"/>
                <w:color w:val="auto"/>
                <w:w w:val="99"/>
                <w:sz w:val="21"/>
                <w:szCs w:val="21"/>
                <w:highlight w:val="none"/>
              </w:rPr>
            </w:pPr>
          </w:p>
        </w:tc>
        <w:tc>
          <w:tcPr>
            <w:tcW w:w="387" w:type="pct"/>
            <w:vMerge w:val="continue"/>
            <w:tcMar>
              <w:top w:w="28" w:type="dxa"/>
              <w:bottom w:w="28" w:type="dxa"/>
            </w:tcMar>
            <w:vAlign w:val="center"/>
          </w:tcPr>
          <w:p w14:paraId="683928E7">
            <w:pPr>
              <w:spacing w:line="320" w:lineRule="exact"/>
              <w:jc w:val="center"/>
              <w:rPr>
                <w:rFonts w:ascii="Times New Roman" w:hAnsi="Times New Roman" w:cs="Times New Roman" w:eastAsiaTheme="minorEastAsia"/>
                <w:color w:val="auto"/>
                <w:w w:val="99"/>
                <w:sz w:val="21"/>
                <w:szCs w:val="21"/>
                <w:highlight w:val="none"/>
              </w:rPr>
            </w:pPr>
          </w:p>
        </w:tc>
        <w:tc>
          <w:tcPr>
            <w:tcW w:w="850" w:type="pct"/>
            <w:vMerge w:val="continue"/>
            <w:tcMar>
              <w:top w:w="28" w:type="dxa"/>
              <w:bottom w:w="28" w:type="dxa"/>
            </w:tcMar>
            <w:vAlign w:val="center"/>
          </w:tcPr>
          <w:p w14:paraId="73E307D9">
            <w:pPr>
              <w:spacing w:line="320" w:lineRule="exact"/>
              <w:jc w:val="center"/>
              <w:rPr>
                <w:rFonts w:ascii="Times New Roman" w:hAnsi="Times New Roman" w:cs="Times New Roman" w:eastAsiaTheme="minorEastAsia"/>
                <w:color w:val="auto"/>
                <w:w w:val="99"/>
                <w:sz w:val="21"/>
                <w:szCs w:val="21"/>
                <w:highlight w:val="none"/>
              </w:rPr>
            </w:pPr>
          </w:p>
        </w:tc>
        <w:tc>
          <w:tcPr>
            <w:tcW w:w="1048" w:type="pct"/>
            <w:tcMar>
              <w:top w:w="28" w:type="dxa"/>
              <w:bottom w:w="28" w:type="dxa"/>
            </w:tcMar>
            <w:vAlign w:val="center"/>
          </w:tcPr>
          <w:p w14:paraId="67B0F92E">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福龙村（尚家围子屯）水</w:t>
            </w:r>
            <w:r>
              <w:rPr>
                <w:rFonts w:ascii="Times New Roman" w:hAnsi="Times New Roman" w:cs="Times New Roman" w:eastAsiaTheme="minorEastAsia"/>
                <w:color w:val="auto"/>
                <w:w w:val="99"/>
                <w:sz w:val="21"/>
                <w:szCs w:val="21"/>
                <w:highlight w:val="none"/>
              </w:rPr>
              <w:t>井</w:t>
            </w:r>
          </w:p>
        </w:tc>
        <w:tc>
          <w:tcPr>
            <w:tcW w:w="1122" w:type="pct"/>
            <w:vAlign w:val="center"/>
          </w:tcPr>
          <w:p w14:paraId="0B54428A">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125.50506，45.89648</w:t>
            </w:r>
          </w:p>
        </w:tc>
        <w:tc>
          <w:tcPr>
            <w:tcW w:w="903" w:type="pct"/>
            <w:vAlign w:val="center"/>
          </w:tcPr>
          <w:p w14:paraId="3A896008">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拟建管线西南侧300m（下游）</w:t>
            </w:r>
          </w:p>
        </w:tc>
        <w:tc>
          <w:tcPr>
            <w:tcW w:w="429" w:type="pct"/>
            <w:vMerge w:val="continue"/>
            <w:tcMar>
              <w:top w:w="28" w:type="dxa"/>
              <w:bottom w:w="28" w:type="dxa"/>
            </w:tcMar>
            <w:vAlign w:val="center"/>
          </w:tcPr>
          <w:p w14:paraId="4335D9B7">
            <w:pPr>
              <w:spacing w:line="320" w:lineRule="exact"/>
              <w:jc w:val="center"/>
              <w:rPr>
                <w:rFonts w:ascii="Times New Roman" w:hAnsi="Times New Roman" w:cs="Times New Roman" w:eastAsiaTheme="minorEastAsia"/>
                <w:color w:val="auto"/>
                <w:w w:val="99"/>
                <w:sz w:val="21"/>
                <w:szCs w:val="21"/>
                <w:highlight w:val="none"/>
              </w:rPr>
            </w:pPr>
          </w:p>
        </w:tc>
      </w:tr>
      <w:tr w14:paraId="326475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58" w:type="pct"/>
            <w:vMerge w:val="continue"/>
            <w:tcMar>
              <w:top w:w="28" w:type="dxa"/>
              <w:bottom w:w="28" w:type="dxa"/>
            </w:tcMar>
            <w:vAlign w:val="center"/>
          </w:tcPr>
          <w:p w14:paraId="5E98619C">
            <w:pPr>
              <w:spacing w:line="320" w:lineRule="exact"/>
              <w:jc w:val="center"/>
              <w:rPr>
                <w:rFonts w:ascii="Times New Roman" w:hAnsi="Times New Roman" w:cs="Times New Roman" w:eastAsiaTheme="minorEastAsia"/>
                <w:color w:val="auto"/>
                <w:w w:val="99"/>
                <w:sz w:val="21"/>
                <w:szCs w:val="21"/>
                <w:highlight w:val="none"/>
              </w:rPr>
            </w:pPr>
          </w:p>
        </w:tc>
        <w:tc>
          <w:tcPr>
            <w:tcW w:w="387" w:type="pct"/>
            <w:vMerge w:val="continue"/>
            <w:tcMar>
              <w:top w:w="28" w:type="dxa"/>
              <w:bottom w:w="28" w:type="dxa"/>
            </w:tcMar>
            <w:vAlign w:val="center"/>
          </w:tcPr>
          <w:p w14:paraId="16E57FD5">
            <w:pPr>
              <w:spacing w:line="320" w:lineRule="exact"/>
              <w:jc w:val="center"/>
              <w:rPr>
                <w:rFonts w:ascii="Times New Roman" w:hAnsi="Times New Roman" w:cs="Times New Roman" w:eastAsiaTheme="minorEastAsia"/>
                <w:color w:val="auto"/>
                <w:w w:val="99"/>
                <w:sz w:val="21"/>
                <w:szCs w:val="21"/>
                <w:highlight w:val="none"/>
              </w:rPr>
            </w:pPr>
          </w:p>
        </w:tc>
        <w:tc>
          <w:tcPr>
            <w:tcW w:w="850" w:type="pct"/>
            <w:vMerge w:val="continue"/>
            <w:tcMar>
              <w:top w:w="28" w:type="dxa"/>
              <w:bottom w:w="28" w:type="dxa"/>
            </w:tcMar>
            <w:vAlign w:val="center"/>
          </w:tcPr>
          <w:p w14:paraId="7D65BFE7">
            <w:pPr>
              <w:spacing w:line="320" w:lineRule="exact"/>
              <w:jc w:val="center"/>
              <w:rPr>
                <w:rFonts w:ascii="Times New Roman" w:hAnsi="Times New Roman" w:cs="Times New Roman" w:eastAsiaTheme="minorEastAsia"/>
                <w:color w:val="auto"/>
                <w:w w:val="99"/>
                <w:sz w:val="21"/>
                <w:szCs w:val="21"/>
                <w:highlight w:val="none"/>
              </w:rPr>
            </w:pPr>
          </w:p>
        </w:tc>
        <w:tc>
          <w:tcPr>
            <w:tcW w:w="1048" w:type="pct"/>
            <w:tcMar>
              <w:top w:w="28" w:type="dxa"/>
              <w:bottom w:w="28" w:type="dxa"/>
            </w:tcMar>
            <w:vAlign w:val="center"/>
          </w:tcPr>
          <w:p w14:paraId="43800398">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杨家屯水</w:t>
            </w:r>
            <w:r>
              <w:rPr>
                <w:rFonts w:ascii="Times New Roman" w:hAnsi="Times New Roman" w:cs="Times New Roman" w:eastAsiaTheme="minorEastAsia"/>
                <w:color w:val="auto"/>
                <w:w w:val="99"/>
                <w:sz w:val="21"/>
                <w:szCs w:val="21"/>
                <w:highlight w:val="none"/>
              </w:rPr>
              <w:t>井</w:t>
            </w:r>
          </w:p>
        </w:tc>
        <w:tc>
          <w:tcPr>
            <w:tcW w:w="1122" w:type="pct"/>
            <w:vAlign w:val="center"/>
          </w:tcPr>
          <w:p w14:paraId="2116AFAB">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125.50161，45.88171</w:t>
            </w:r>
          </w:p>
        </w:tc>
        <w:tc>
          <w:tcPr>
            <w:tcW w:w="903" w:type="pct"/>
            <w:vAlign w:val="center"/>
          </w:tcPr>
          <w:p w14:paraId="7E5DF79A">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拟建27-H1井场西南侧1200m（下游）</w:t>
            </w:r>
          </w:p>
        </w:tc>
        <w:tc>
          <w:tcPr>
            <w:tcW w:w="429" w:type="pct"/>
            <w:vMerge w:val="continue"/>
            <w:tcMar>
              <w:top w:w="28" w:type="dxa"/>
              <w:bottom w:w="28" w:type="dxa"/>
            </w:tcMar>
            <w:vAlign w:val="center"/>
          </w:tcPr>
          <w:p w14:paraId="75F0CFE5">
            <w:pPr>
              <w:spacing w:line="320" w:lineRule="exact"/>
              <w:jc w:val="center"/>
              <w:rPr>
                <w:rFonts w:ascii="Times New Roman" w:hAnsi="Times New Roman" w:cs="Times New Roman" w:eastAsiaTheme="minorEastAsia"/>
                <w:color w:val="auto"/>
                <w:w w:val="99"/>
                <w:sz w:val="21"/>
                <w:szCs w:val="21"/>
                <w:highlight w:val="none"/>
              </w:rPr>
            </w:pPr>
          </w:p>
        </w:tc>
      </w:tr>
      <w:tr w14:paraId="42D699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58" w:type="pct"/>
            <w:vMerge w:val="restart"/>
            <w:tcMar>
              <w:top w:w="28" w:type="dxa"/>
              <w:bottom w:w="28" w:type="dxa"/>
            </w:tcMar>
            <w:vAlign w:val="center"/>
          </w:tcPr>
          <w:p w14:paraId="52F34290">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w:t>
            </w:r>
          </w:p>
        </w:tc>
        <w:tc>
          <w:tcPr>
            <w:tcW w:w="387" w:type="pct"/>
            <w:vMerge w:val="restart"/>
            <w:tcMar>
              <w:top w:w="28" w:type="dxa"/>
              <w:bottom w:w="28" w:type="dxa"/>
            </w:tcMar>
            <w:vAlign w:val="center"/>
          </w:tcPr>
          <w:p w14:paraId="594D6321">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土壤</w:t>
            </w:r>
          </w:p>
        </w:tc>
        <w:tc>
          <w:tcPr>
            <w:tcW w:w="850" w:type="pct"/>
            <w:vMerge w:val="restart"/>
            <w:tcMar>
              <w:top w:w="28" w:type="dxa"/>
              <w:bottom w:w="28" w:type="dxa"/>
            </w:tcMar>
            <w:vAlign w:val="center"/>
          </w:tcPr>
          <w:p w14:paraId="08E0DA82">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pH、石油类、石油烃（C</w:t>
            </w:r>
            <w:r>
              <w:rPr>
                <w:rFonts w:ascii="Times New Roman" w:hAnsi="Times New Roman" w:cs="Times New Roman" w:eastAsiaTheme="minorEastAsia"/>
                <w:color w:val="auto"/>
                <w:w w:val="99"/>
                <w:sz w:val="21"/>
                <w:szCs w:val="21"/>
                <w:highlight w:val="none"/>
                <w:vertAlign w:val="subscript"/>
              </w:rPr>
              <w:t>6</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9</w:t>
            </w: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10</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40</w:t>
            </w:r>
            <w:r>
              <w:rPr>
                <w:rFonts w:ascii="Times New Roman" w:hAnsi="Times New Roman" w:cs="Times New Roman" w:eastAsiaTheme="minorEastAsia"/>
                <w:color w:val="auto"/>
                <w:w w:val="99"/>
                <w:sz w:val="21"/>
                <w:szCs w:val="21"/>
                <w:highlight w:val="none"/>
              </w:rPr>
              <w:t>）、汞、砷、六价铬</w:t>
            </w:r>
          </w:p>
        </w:tc>
        <w:tc>
          <w:tcPr>
            <w:tcW w:w="1048" w:type="pct"/>
            <w:tcMar>
              <w:top w:w="28" w:type="dxa"/>
              <w:bottom w:w="28" w:type="dxa"/>
            </w:tcMar>
            <w:vAlign w:val="center"/>
          </w:tcPr>
          <w:p w14:paraId="352B67D2">
            <w:pPr>
              <w:widowControl w:val="0"/>
              <w:spacing w:line="360" w:lineRule="exact"/>
              <w:jc w:val="center"/>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kern w:val="2"/>
                <w:sz w:val="21"/>
                <w:szCs w:val="21"/>
                <w:highlight w:val="none"/>
              </w:rPr>
              <w:t>徐深27-H1井</w:t>
            </w:r>
            <w:r>
              <w:rPr>
                <w:rFonts w:ascii="Times New Roman" w:hAnsi="Times New Roman" w:cs="Times New Roman" w:eastAsiaTheme="minorEastAsia"/>
                <w:bCs/>
                <w:color w:val="auto"/>
                <w:w w:val="99"/>
                <w:kern w:val="2"/>
                <w:sz w:val="21"/>
                <w:szCs w:val="21"/>
                <w:highlight w:val="none"/>
              </w:rPr>
              <w:t>井场</w:t>
            </w:r>
          </w:p>
        </w:tc>
        <w:tc>
          <w:tcPr>
            <w:tcW w:w="1122" w:type="pct"/>
            <w:vAlign w:val="center"/>
          </w:tcPr>
          <w:p w14:paraId="5D3ABEC6">
            <w:pPr>
              <w:widowControl w:val="0"/>
              <w:spacing w:line="360" w:lineRule="exact"/>
              <w:jc w:val="center"/>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125.50852，45.89313</w:t>
            </w:r>
          </w:p>
        </w:tc>
        <w:tc>
          <w:tcPr>
            <w:tcW w:w="903" w:type="pct"/>
            <w:vAlign w:val="center"/>
          </w:tcPr>
          <w:p w14:paraId="31B5A9D1">
            <w:pPr>
              <w:spacing w:line="320" w:lineRule="exact"/>
              <w:jc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拟建井场</w:t>
            </w:r>
          </w:p>
        </w:tc>
        <w:tc>
          <w:tcPr>
            <w:tcW w:w="429" w:type="pct"/>
            <w:vMerge w:val="restart"/>
            <w:tcMar>
              <w:top w:w="28" w:type="dxa"/>
              <w:bottom w:w="28" w:type="dxa"/>
            </w:tcMar>
            <w:vAlign w:val="center"/>
          </w:tcPr>
          <w:p w14:paraId="21408261">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1次/</w:t>
            </w:r>
            <w:r>
              <w:rPr>
                <w:rFonts w:hint="eastAsia" w:ascii="Times New Roman" w:hAnsi="Times New Roman" w:cs="Times New Roman" w:eastAsiaTheme="minorEastAsia"/>
                <w:color w:val="auto"/>
                <w:w w:val="99"/>
                <w:sz w:val="21"/>
                <w:szCs w:val="21"/>
                <w:highlight w:val="none"/>
              </w:rPr>
              <w:t>5</w:t>
            </w:r>
            <w:r>
              <w:rPr>
                <w:rFonts w:ascii="Times New Roman" w:hAnsi="Times New Roman" w:cs="Times New Roman" w:eastAsiaTheme="minorEastAsia"/>
                <w:color w:val="auto"/>
                <w:w w:val="99"/>
                <w:sz w:val="21"/>
                <w:szCs w:val="21"/>
                <w:highlight w:val="none"/>
              </w:rPr>
              <w:t>年</w:t>
            </w:r>
          </w:p>
        </w:tc>
      </w:tr>
      <w:tr w14:paraId="2E5C9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58" w:type="pct"/>
            <w:vMerge w:val="continue"/>
            <w:tcMar>
              <w:top w:w="28" w:type="dxa"/>
              <w:bottom w:w="28" w:type="dxa"/>
            </w:tcMar>
            <w:vAlign w:val="center"/>
          </w:tcPr>
          <w:p w14:paraId="3DD37FC2">
            <w:pPr>
              <w:spacing w:line="320" w:lineRule="exact"/>
              <w:jc w:val="center"/>
              <w:rPr>
                <w:rFonts w:ascii="Times New Roman" w:hAnsi="Times New Roman" w:cs="Times New Roman" w:eastAsiaTheme="minorEastAsia"/>
                <w:color w:val="auto"/>
                <w:w w:val="99"/>
                <w:sz w:val="21"/>
                <w:szCs w:val="21"/>
                <w:highlight w:val="none"/>
              </w:rPr>
            </w:pPr>
          </w:p>
        </w:tc>
        <w:tc>
          <w:tcPr>
            <w:tcW w:w="387" w:type="pct"/>
            <w:vMerge w:val="continue"/>
            <w:tcMar>
              <w:top w:w="28" w:type="dxa"/>
              <w:bottom w:w="28" w:type="dxa"/>
            </w:tcMar>
            <w:vAlign w:val="center"/>
          </w:tcPr>
          <w:p w14:paraId="75D9087F">
            <w:pPr>
              <w:spacing w:line="320" w:lineRule="exact"/>
              <w:jc w:val="center"/>
              <w:rPr>
                <w:rFonts w:ascii="Times New Roman" w:hAnsi="Times New Roman" w:cs="Times New Roman" w:eastAsiaTheme="minorEastAsia"/>
                <w:color w:val="auto"/>
                <w:w w:val="99"/>
                <w:sz w:val="21"/>
                <w:szCs w:val="21"/>
                <w:highlight w:val="none"/>
              </w:rPr>
            </w:pPr>
          </w:p>
        </w:tc>
        <w:tc>
          <w:tcPr>
            <w:tcW w:w="850" w:type="pct"/>
            <w:vMerge w:val="continue"/>
            <w:tcMar>
              <w:top w:w="28" w:type="dxa"/>
              <w:bottom w:w="28" w:type="dxa"/>
            </w:tcMar>
            <w:vAlign w:val="center"/>
          </w:tcPr>
          <w:p w14:paraId="2227D3DE">
            <w:pPr>
              <w:spacing w:line="320" w:lineRule="exact"/>
              <w:jc w:val="center"/>
              <w:rPr>
                <w:rFonts w:ascii="Times New Roman" w:hAnsi="Times New Roman" w:cs="Times New Roman" w:eastAsiaTheme="minorEastAsia"/>
                <w:color w:val="auto"/>
                <w:w w:val="99"/>
                <w:sz w:val="21"/>
                <w:szCs w:val="21"/>
                <w:highlight w:val="none"/>
              </w:rPr>
            </w:pPr>
          </w:p>
        </w:tc>
        <w:tc>
          <w:tcPr>
            <w:tcW w:w="1048" w:type="pct"/>
            <w:tcMar>
              <w:top w:w="28" w:type="dxa"/>
              <w:bottom w:w="28" w:type="dxa"/>
            </w:tcMar>
            <w:vAlign w:val="center"/>
          </w:tcPr>
          <w:p w14:paraId="6CF7BC7E">
            <w:pPr>
              <w:widowControl w:val="0"/>
              <w:spacing w:line="360" w:lineRule="exact"/>
              <w:jc w:val="center"/>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kern w:val="2"/>
                <w:sz w:val="21"/>
                <w:szCs w:val="21"/>
                <w:highlight w:val="none"/>
              </w:rPr>
              <w:t>徐深27-H1井南侧</w:t>
            </w:r>
            <w:r>
              <w:rPr>
                <w:rFonts w:ascii="Times New Roman" w:hAnsi="Times New Roman" w:cs="Times New Roman" w:eastAsiaTheme="minorEastAsia"/>
                <w:bCs/>
                <w:color w:val="auto"/>
                <w:w w:val="99"/>
                <w:kern w:val="2"/>
                <w:sz w:val="21"/>
                <w:szCs w:val="21"/>
                <w:highlight w:val="none"/>
              </w:rPr>
              <w:t>200m耕地</w:t>
            </w:r>
          </w:p>
        </w:tc>
        <w:tc>
          <w:tcPr>
            <w:tcW w:w="1122" w:type="pct"/>
            <w:vAlign w:val="center"/>
          </w:tcPr>
          <w:p w14:paraId="77072D99">
            <w:pPr>
              <w:widowControl w:val="0"/>
              <w:spacing w:line="360" w:lineRule="exact"/>
              <w:jc w:val="center"/>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125.50857，45.89132</w:t>
            </w:r>
          </w:p>
        </w:tc>
        <w:tc>
          <w:tcPr>
            <w:tcW w:w="903" w:type="pct"/>
            <w:vAlign w:val="center"/>
          </w:tcPr>
          <w:p w14:paraId="696D4249">
            <w:pPr>
              <w:spacing w:line="320" w:lineRule="exact"/>
              <w:jc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拟建井场</w:t>
            </w:r>
            <w:r>
              <w:rPr>
                <w:rFonts w:hint="eastAsia" w:ascii="Times New Roman" w:hAnsi="Times New Roman" w:cs="Times New Roman" w:eastAsiaTheme="minorEastAsia"/>
                <w:bCs/>
                <w:color w:val="auto"/>
                <w:w w:val="99"/>
                <w:sz w:val="21"/>
                <w:szCs w:val="21"/>
                <w:highlight w:val="none"/>
              </w:rPr>
              <w:t>南</w:t>
            </w:r>
            <w:r>
              <w:rPr>
                <w:rFonts w:ascii="Times New Roman" w:hAnsi="Times New Roman" w:cs="Times New Roman" w:eastAsiaTheme="minorEastAsia"/>
                <w:bCs/>
                <w:color w:val="auto"/>
                <w:w w:val="99"/>
                <w:sz w:val="21"/>
                <w:szCs w:val="21"/>
                <w:highlight w:val="none"/>
              </w:rPr>
              <w:t>侧200m</w:t>
            </w:r>
          </w:p>
        </w:tc>
        <w:tc>
          <w:tcPr>
            <w:tcW w:w="429" w:type="pct"/>
            <w:vMerge w:val="continue"/>
            <w:tcMar>
              <w:top w:w="28" w:type="dxa"/>
              <w:bottom w:w="28" w:type="dxa"/>
            </w:tcMar>
            <w:vAlign w:val="center"/>
          </w:tcPr>
          <w:p w14:paraId="1F94E687">
            <w:pPr>
              <w:spacing w:line="320" w:lineRule="exact"/>
              <w:jc w:val="center"/>
              <w:rPr>
                <w:rFonts w:ascii="Times New Roman" w:hAnsi="Times New Roman" w:cs="Times New Roman" w:eastAsiaTheme="minorEastAsia"/>
                <w:color w:val="auto"/>
                <w:w w:val="99"/>
                <w:sz w:val="21"/>
                <w:szCs w:val="21"/>
                <w:highlight w:val="none"/>
              </w:rPr>
            </w:pPr>
          </w:p>
        </w:tc>
      </w:tr>
      <w:tr w14:paraId="097FD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58" w:type="pct"/>
            <w:tcMar>
              <w:top w:w="28" w:type="dxa"/>
              <w:bottom w:w="28" w:type="dxa"/>
            </w:tcMar>
            <w:vAlign w:val="center"/>
          </w:tcPr>
          <w:p w14:paraId="4077611D">
            <w:pPr>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3</w:t>
            </w:r>
          </w:p>
        </w:tc>
        <w:tc>
          <w:tcPr>
            <w:tcW w:w="387" w:type="pct"/>
            <w:tcMar>
              <w:top w:w="28" w:type="dxa"/>
              <w:bottom w:w="28" w:type="dxa"/>
            </w:tcMar>
            <w:vAlign w:val="center"/>
          </w:tcPr>
          <w:p w14:paraId="0E0F08CC">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环境空气</w:t>
            </w:r>
          </w:p>
        </w:tc>
        <w:tc>
          <w:tcPr>
            <w:tcW w:w="850" w:type="pct"/>
            <w:tcMar>
              <w:top w:w="28" w:type="dxa"/>
              <w:bottom w:w="28" w:type="dxa"/>
            </w:tcMar>
            <w:vAlign w:val="center"/>
          </w:tcPr>
          <w:p w14:paraId="4414466A">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非甲烷总烃</w:t>
            </w:r>
          </w:p>
        </w:tc>
        <w:tc>
          <w:tcPr>
            <w:tcW w:w="1048" w:type="pct"/>
            <w:tcMar>
              <w:top w:w="28" w:type="dxa"/>
              <w:bottom w:w="28" w:type="dxa"/>
            </w:tcMar>
            <w:vAlign w:val="center"/>
          </w:tcPr>
          <w:p w14:paraId="3CA6F1F4">
            <w:pPr>
              <w:widowControl w:val="0"/>
              <w:spacing w:line="360" w:lineRule="exact"/>
              <w:jc w:val="center"/>
              <w:rPr>
                <w:rFonts w:hint="eastAsia"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rPr>
              <w:t>徐深27-H1井</w:t>
            </w:r>
            <w:r>
              <w:rPr>
                <w:rFonts w:ascii="Times New Roman" w:hAnsi="Times New Roman" w:cs="Times New Roman" w:eastAsiaTheme="minorEastAsia"/>
                <w:bCs/>
                <w:color w:val="auto"/>
                <w:w w:val="99"/>
                <w:kern w:val="2"/>
                <w:sz w:val="21"/>
                <w:szCs w:val="21"/>
                <w:highlight w:val="none"/>
              </w:rPr>
              <w:t>井场</w:t>
            </w:r>
          </w:p>
        </w:tc>
        <w:tc>
          <w:tcPr>
            <w:tcW w:w="2049" w:type="dxa"/>
            <w:vAlign w:val="center"/>
          </w:tcPr>
          <w:p w14:paraId="0CA657FB">
            <w:pPr>
              <w:widowControl w:val="0"/>
              <w:spacing w:line="36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125.50852，45.89313</w:t>
            </w:r>
          </w:p>
        </w:tc>
        <w:tc>
          <w:tcPr>
            <w:tcW w:w="1649" w:type="dxa"/>
            <w:vAlign w:val="center"/>
          </w:tcPr>
          <w:p w14:paraId="2D6955D9">
            <w:pPr>
              <w:spacing w:line="320" w:lineRule="exact"/>
              <w:jc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拟建井场</w:t>
            </w:r>
          </w:p>
        </w:tc>
        <w:tc>
          <w:tcPr>
            <w:tcW w:w="429" w:type="pct"/>
            <w:tcMar>
              <w:top w:w="28" w:type="dxa"/>
              <w:bottom w:w="28" w:type="dxa"/>
            </w:tcMar>
            <w:vAlign w:val="center"/>
          </w:tcPr>
          <w:p w14:paraId="1FB6B88E">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1次/</w:t>
            </w:r>
            <w:r>
              <w:rPr>
                <w:rFonts w:hint="eastAsia" w:ascii="Times New Roman" w:hAnsi="Times New Roman" w:cs="Times New Roman" w:eastAsiaTheme="minorEastAsia"/>
                <w:color w:val="auto"/>
                <w:w w:val="99"/>
                <w:sz w:val="21"/>
                <w:szCs w:val="21"/>
                <w:highlight w:val="none"/>
                <w:lang w:val="en-US" w:eastAsia="zh-CN"/>
              </w:rPr>
              <w:t>半</w:t>
            </w:r>
            <w:r>
              <w:rPr>
                <w:rFonts w:ascii="Times New Roman" w:hAnsi="Times New Roman" w:cs="Times New Roman" w:eastAsiaTheme="minorEastAsia"/>
                <w:color w:val="auto"/>
                <w:w w:val="99"/>
                <w:sz w:val="21"/>
                <w:szCs w:val="21"/>
                <w:highlight w:val="none"/>
              </w:rPr>
              <w:t>年</w:t>
            </w:r>
          </w:p>
        </w:tc>
      </w:tr>
    </w:tbl>
    <w:p w14:paraId="30AB4340">
      <w:pPr>
        <w:pStyle w:val="153"/>
        <w:widowControl w:val="0"/>
        <w:spacing w:line="440" w:lineRule="exact"/>
        <w:ind w:firstLine="474"/>
        <w:rPr>
          <w:rFonts w:ascii="Times New Roman" w:hAnsi="Times New Roman" w:eastAsiaTheme="minorEastAsia"/>
          <w:b/>
          <w:color w:val="auto"/>
          <w:w w:val="99"/>
          <w:kern w:val="21"/>
          <w:highlight w:val="none"/>
        </w:rPr>
      </w:pPr>
      <w:r>
        <w:rPr>
          <w:rFonts w:ascii="Times New Roman" w:hAnsi="Times New Roman" w:eastAsiaTheme="minorEastAsia"/>
          <w:b/>
          <w:color w:val="auto"/>
          <w:w w:val="99"/>
          <w:kern w:val="21"/>
          <w:highlight w:val="none"/>
        </w:rPr>
        <w:t>表8.2-7    生态调查方案</w:t>
      </w:r>
    </w:p>
    <w:tbl>
      <w:tblPr>
        <w:tblStyle w:val="8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8" w:type="dxa"/>
          <w:bottom w:w="0" w:type="dxa"/>
          <w:right w:w="28" w:type="dxa"/>
        </w:tblCellMar>
      </w:tblPr>
      <w:tblGrid>
        <w:gridCol w:w="747"/>
        <w:gridCol w:w="1605"/>
        <w:gridCol w:w="2820"/>
        <w:gridCol w:w="1676"/>
        <w:gridCol w:w="2277"/>
      </w:tblGrid>
      <w:tr w14:paraId="7A4A09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742" w:type="dxa"/>
            <w:tcMar>
              <w:top w:w="28" w:type="dxa"/>
              <w:left w:w="28" w:type="dxa"/>
              <w:bottom w:w="28" w:type="dxa"/>
              <w:right w:w="28" w:type="dxa"/>
            </w:tcMar>
            <w:vAlign w:val="center"/>
          </w:tcPr>
          <w:p w14:paraId="353FCDD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序号</w:t>
            </w:r>
          </w:p>
        </w:tc>
        <w:tc>
          <w:tcPr>
            <w:tcW w:w="1593" w:type="dxa"/>
            <w:tcMar>
              <w:top w:w="28" w:type="dxa"/>
              <w:left w:w="28" w:type="dxa"/>
              <w:bottom w:w="28" w:type="dxa"/>
              <w:right w:w="28" w:type="dxa"/>
            </w:tcMar>
            <w:vAlign w:val="center"/>
          </w:tcPr>
          <w:p w14:paraId="6BC9421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调查内容</w:t>
            </w:r>
          </w:p>
        </w:tc>
        <w:tc>
          <w:tcPr>
            <w:tcW w:w="2800" w:type="dxa"/>
            <w:tcMar>
              <w:top w:w="28" w:type="dxa"/>
              <w:left w:w="28" w:type="dxa"/>
              <w:bottom w:w="28" w:type="dxa"/>
              <w:right w:w="28" w:type="dxa"/>
            </w:tcMar>
            <w:vAlign w:val="center"/>
          </w:tcPr>
          <w:p w14:paraId="22F87B8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调查方法</w:t>
            </w:r>
          </w:p>
        </w:tc>
        <w:tc>
          <w:tcPr>
            <w:tcW w:w="1664" w:type="dxa"/>
            <w:tcMar>
              <w:top w:w="28" w:type="dxa"/>
              <w:left w:w="28" w:type="dxa"/>
              <w:bottom w:w="28" w:type="dxa"/>
              <w:right w:w="28" w:type="dxa"/>
            </w:tcMar>
            <w:vAlign w:val="center"/>
          </w:tcPr>
          <w:p w14:paraId="31A73BD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点位</w:t>
            </w:r>
          </w:p>
        </w:tc>
        <w:tc>
          <w:tcPr>
            <w:tcW w:w="2261" w:type="dxa"/>
            <w:tcMar>
              <w:top w:w="28" w:type="dxa"/>
              <w:left w:w="28" w:type="dxa"/>
              <w:bottom w:w="28" w:type="dxa"/>
              <w:right w:w="28" w:type="dxa"/>
            </w:tcMar>
            <w:vAlign w:val="center"/>
          </w:tcPr>
          <w:p w14:paraId="77AE71A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监测频次</w:t>
            </w:r>
          </w:p>
        </w:tc>
      </w:tr>
      <w:tr w14:paraId="296E9E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742" w:type="dxa"/>
            <w:tcMar>
              <w:top w:w="28" w:type="dxa"/>
              <w:left w:w="28" w:type="dxa"/>
              <w:bottom w:w="28" w:type="dxa"/>
              <w:right w:w="28" w:type="dxa"/>
            </w:tcMar>
            <w:vAlign w:val="center"/>
          </w:tcPr>
          <w:p w14:paraId="0569AED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p>
        </w:tc>
        <w:tc>
          <w:tcPr>
            <w:tcW w:w="1593" w:type="dxa"/>
            <w:tcMar>
              <w:top w:w="28" w:type="dxa"/>
              <w:left w:w="28" w:type="dxa"/>
              <w:bottom w:w="28" w:type="dxa"/>
              <w:right w:w="28" w:type="dxa"/>
            </w:tcMar>
            <w:vAlign w:val="center"/>
          </w:tcPr>
          <w:p w14:paraId="4266420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植被恢复情况</w:t>
            </w:r>
          </w:p>
        </w:tc>
        <w:tc>
          <w:tcPr>
            <w:tcW w:w="2800" w:type="dxa"/>
            <w:tcMar>
              <w:top w:w="28" w:type="dxa"/>
              <w:left w:w="28" w:type="dxa"/>
              <w:bottom w:w="28" w:type="dxa"/>
              <w:right w:w="28" w:type="dxa"/>
            </w:tcMar>
            <w:vAlign w:val="center"/>
          </w:tcPr>
          <w:p w14:paraId="6800F0E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样方调查</w:t>
            </w:r>
          </w:p>
        </w:tc>
        <w:tc>
          <w:tcPr>
            <w:tcW w:w="1664" w:type="dxa"/>
            <w:tcMar>
              <w:top w:w="28" w:type="dxa"/>
              <w:left w:w="28" w:type="dxa"/>
              <w:bottom w:w="28" w:type="dxa"/>
              <w:right w:w="28" w:type="dxa"/>
            </w:tcMar>
            <w:vAlign w:val="center"/>
          </w:tcPr>
          <w:p w14:paraId="07266AEB">
            <w:pPr>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临时占地内</w:t>
            </w:r>
          </w:p>
        </w:tc>
        <w:tc>
          <w:tcPr>
            <w:tcW w:w="2261" w:type="dxa"/>
            <w:tcMar>
              <w:top w:w="28" w:type="dxa"/>
              <w:left w:w="28" w:type="dxa"/>
              <w:bottom w:w="28" w:type="dxa"/>
              <w:right w:w="28" w:type="dxa"/>
            </w:tcMar>
            <w:vAlign w:val="center"/>
          </w:tcPr>
          <w:p w14:paraId="67E0782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1次/年，直至恢复至与周边地表植被相协调</w:t>
            </w:r>
          </w:p>
        </w:tc>
      </w:tr>
    </w:tbl>
    <w:p w14:paraId="13D5ADBF">
      <w:pPr>
        <w:pStyle w:val="7"/>
        <w:widowControl w:val="0"/>
        <w:spacing w:before="60" w:after="60" w:line="440" w:lineRule="exact"/>
        <w:jc w:val="both"/>
        <w:rPr>
          <w:rFonts w:eastAsiaTheme="minorEastAsia"/>
          <w:b/>
          <w:color w:val="auto"/>
          <w:w w:val="99"/>
          <w:kern w:val="2"/>
          <w:sz w:val="24"/>
          <w:szCs w:val="24"/>
          <w:highlight w:val="none"/>
        </w:rPr>
      </w:pPr>
      <w:bookmarkStart w:id="1224" w:name="_Toc186444406"/>
      <w:bookmarkStart w:id="1225" w:name="_Toc141286423"/>
      <w:r>
        <w:rPr>
          <w:rFonts w:eastAsiaTheme="minorEastAsia"/>
          <w:b/>
          <w:color w:val="auto"/>
          <w:w w:val="99"/>
          <w:kern w:val="2"/>
          <w:sz w:val="24"/>
          <w:szCs w:val="24"/>
          <w:highlight w:val="none"/>
        </w:rPr>
        <w:t>8.2.9退役期环境管理与监测计划</w:t>
      </w:r>
      <w:bookmarkEnd w:id="1224"/>
    </w:p>
    <w:p w14:paraId="07773276">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对退役期封井的</w:t>
      </w:r>
      <w:r>
        <w:rPr>
          <w:rFonts w:hint="eastAsia" w:ascii="Times New Roman" w:hAnsi="Times New Roman" w:cs="Times New Roman"/>
          <w:color w:val="auto"/>
          <w:w w:val="99"/>
          <w:highlight w:val="none"/>
          <w:lang w:bidi="zh-CN"/>
        </w:rPr>
        <w:t>采气</w:t>
      </w:r>
      <w:r>
        <w:rPr>
          <w:rFonts w:ascii="Times New Roman" w:hAnsi="Times New Roman" w:cs="Times New Roman"/>
          <w:color w:val="auto"/>
          <w:w w:val="99"/>
          <w:highlight w:val="none"/>
          <w:lang w:bidi="zh-CN"/>
        </w:rPr>
        <w:t>井井场进行场地土壤环境调查与评价，确定未造成场地污染后，应跟踪其生态恢复情况。</w:t>
      </w:r>
    </w:p>
    <w:p w14:paraId="02D78395">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8.2.9.1 退役期环境管理</w:t>
      </w:r>
    </w:p>
    <w:p w14:paraId="20DF8CC6">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（1）进行环境监测，掌握污染现状；</w:t>
      </w:r>
    </w:p>
    <w:p w14:paraId="3B2850C3">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（2）定时定点监测周围环境，及时掌握环境状况的资料，促进环境管理的深入和污染治理的落实；</w:t>
      </w:r>
    </w:p>
    <w:p w14:paraId="14AF289A">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（3）落实环境管理制度；</w:t>
      </w:r>
    </w:p>
    <w:p w14:paraId="1EB554AB">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（4）检查环保措施可行性。</w:t>
      </w:r>
    </w:p>
    <w:p w14:paraId="2D7DEADB">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8.2.9.2 退役期环境监测计划</w:t>
      </w:r>
    </w:p>
    <w:p w14:paraId="52A79904">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本工程退役期需要进行的环境监测任务委托取得相关资质的地方环境监测站进行。环境监测应按国家和地方的环保要求进行，应采用国家规定的标准监测方法，并应按照规定，定期向有关环境保护主管部门上报监测结果。</w:t>
      </w:r>
    </w:p>
    <w:p w14:paraId="02A616E8">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根据《排污单位自行监测技术指南总则》（HJ819-2017）、《排污单位自行监测技术指南 陆上石油天然气开采工业》（HJ 1248-2022）、《环境影响评价技术导则 陆地石油天然气开发建设项目》（HJ349-2023）中要求：重点对退役期的气井井口周边地下水环境、井口周边土壤环境开展跟踪监测，具体见表 8.2-8。考虑油</w:t>
      </w:r>
      <w:r>
        <w:rPr>
          <w:rFonts w:hint="eastAsia" w:ascii="Times New Roman" w:hAnsi="Times New Roman" w:cs="Times New Roman"/>
          <w:color w:val="auto"/>
          <w:w w:val="99"/>
          <w:highlight w:val="none"/>
          <w:lang w:bidi="zh-CN"/>
        </w:rPr>
        <w:t>气</w:t>
      </w:r>
      <w:r>
        <w:rPr>
          <w:rFonts w:ascii="Times New Roman" w:hAnsi="Times New Roman" w:cs="Times New Roman"/>
          <w:color w:val="auto"/>
          <w:w w:val="99"/>
          <w:highlight w:val="none"/>
          <w:lang w:bidi="zh-CN"/>
        </w:rPr>
        <w:t>田为滚动开发，建议企业结合区块内后期计划项目的运营期及退役期跟踪监测计划统筹考虑。</w:t>
      </w:r>
    </w:p>
    <w:p w14:paraId="38C97DB3">
      <w:pPr>
        <w:widowControl w:val="0"/>
        <w:spacing w:line="440" w:lineRule="exact"/>
        <w:ind w:firstLine="476" w:firstLineChars="200"/>
        <w:jc w:val="both"/>
        <w:rPr>
          <w:rFonts w:ascii="Times New Roman" w:hAnsi="Times New Roman" w:cs="Times New Roman" w:eastAsiaTheme="minorEastAsia"/>
          <w:b/>
          <w:color w:val="auto"/>
          <w:w w:val="99"/>
          <w:kern w:val="21"/>
          <w:highlight w:val="none"/>
        </w:rPr>
      </w:pPr>
      <w:r>
        <w:rPr>
          <w:rFonts w:ascii="Times New Roman" w:hAnsi="Times New Roman" w:cs="Times New Roman" w:eastAsiaTheme="minorEastAsia"/>
          <w:b/>
          <w:color w:val="auto"/>
          <w:w w:val="99"/>
          <w:kern w:val="21"/>
          <w:highlight w:val="none"/>
        </w:rPr>
        <w:t>表8.2-8    项目退役期监测计划表</w:t>
      </w:r>
    </w:p>
    <w:tbl>
      <w:tblPr>
        <w:tblStyle w:val="8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471"/>
        <w:gridCol w:w="707"/>
        <w:gridCol w:w="1552"/>
        <w:gridCol w:w="1914"/>
        <w:gridCol w:w="2049"/>
        <w:gridCol w:w="1649"/>
        <w:gridCol w:w="784"/>
      </w:tblGrid>
      <w:tr w14:paraId="4585F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58" w:type="pct"/>
            <w:tcMar>
              <w:top w:w="28" w:type="dxa"/>
              <w:bottom w:w="28" w:type="dxa"/>
            </w:tcMar>
            <w:vAlign w:val="center"/>
          </w:tcPr>
          <w:p w14:paraId="24E81772">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序号</w:t>
            </w:r>
          </w:p>
        </w:tc>
        <w:tc>
          <w:tcPr>
            <w:tcW w:w="387" w:type="pct"/>
            <w:tcMar>
              <w:top w:w="28" w:type="dxa"/>
              <w:bottom w:w="28" w:type="dxa"/>
            </w:tcMar>
            <w:vAlign w:val="center"/>
          </w:tcPr>
          <w:p w14:paraId="76D82B9B">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监测内容</w:t>
            </w:r>
          </w:p>
        </w:tc>
        <w:tc>
          <w:tcPr>
            <w:tcW w:w="850" w:type="pct"/>
            <w:tcMar>
              <w:top w:w="28" w:type="dxa"/>
              <w:bottom w:w="28" w:type="dxa"/>
            </w:tcMar>
            <w:vAlign w:val="center"/>
          </w:tcPr>
          <w:p w14:paraId="5E0DC62E">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监测因子</w:t>
            </w:r>
          </w:p>
        </w:tc>
        <w:tc>
          <w:tcPr>
            <w:tcW w:w="1048" w:type="pct"/>
            <w:tcMar>
              <w:top w:w="28" w:type="dxa"/>
              <w:bottom w:w="28" w:type="dxa"/>
            </w:tcMar>
            <w:vAlign w:val="center"/>
          </w:tcPr>
          <w:p w14:paraId="5178A9B4">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w:t>
            </w:r>
          </w:p>
        </w:tc>
        <w:tc>
          <w:tcPr>
            <w:tcW w:w="1122" w:type="pct"/>
            <w:vAlign w:val="center"/>
          </w:tcPr>
          <w:p w14:paraId="1D1333D0">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坐标</w:t>
            </w:r>
          </w:p>
        </w:tc>
        <w:tc>
          <w:tcPr>
            <w:tcW w:w="903" w:type="pct"/>
            <w:vAlign w:val="center"/>
          </w:tcPr>
          <w:p w14:paraId="04B768BD">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与本项目的位置关系</w:t>
            </w:r>
          </w:p>
        </w:tc>
        <w:tc>
          <w:tcPr>
            <w:tcW w:w="429" w:type="pct"/>
            <w:tcMar>
              <w:top w:w="28" w:type="dxa"/>
              <w:bottom w:w="28" w:type="dxa"/>
            </w:tcMar>
            <w:vAlign w:val="center"/>
          </w:tcPr>
          <w:p w14:paraId="0B39DAA7">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监测频次</w:t>
            </w:r>
          </w:p>
        </w:tc>
      </w:tr>
      <w:tr w14:paraId="1272F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58" w:type="pct"/>
            <w:vMerge w:val="restart"/>
            <w:tcMar>
              <w:top w:w="28" w:type="dxa"/>
              <w:bottom w:w="28" w:type="dxa"/>
            </w:tcMar>
            <w:vAlign w:val="center"/>
          </w:tcPr>
          <w:p w14:paraId="3E735118">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p>
        </w:tc>
        <w:tc>
          <w:tcPr>
            <w:tcW w:w="387" w:type="pct"/>
            <w:vMerge w:val="restart"/>
            <w:tcMar>
              <w:top w:w="28" w:type="dxa"/>
              <w:bottom w:w="28" w:type="dxa"/>
            </w:tcMar>
            <w:vAlign w:val="center"/>
          </w:tcPr>
          <w:p w14:paraId="68FAEC25">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地下水</w:t>
            </w:r>
          </w:p>
        </w:tc>
        <w:tc>
          <w:tcPr>
            <w:tcW w:w="850" w:type="pct"/>
            <w:vMerge w:val="restart"/>
            <w:tcMar>
              <w:top w:w="28" w:type="dxa"/>
              <w:bottom w:w="28" w:type="dxa"/>
            </w:tcMar>
            <w:vAlign w:val="center"/>
          </w:tcPr>
          <w:p w14:paraId="7D422CE4">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pH、石油类、石油烃（C</w:t>
            </w:r>
            <w:r>
              <w:rPr>
                <w:rFonts w:ascii="Times New Roman" w:hAnsi="Times New Roman" w:cs="Times New Roman" w:eastAsiaTheme="minorEastAsia"/>
                <w:color w:val="auto"/>
                <w:w w:val="99"/>
                <w:sz w:val="21"/>
                <w:szCs w:val="21"/>
                <w:highlight w:val="none"/>
                <w:vertAlign w:val="subscript"/>
              </w:rPr>
              <w:t>6</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9</w:t>
            </w: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10</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40</w:t>
            </w:r>
            <w:r>
              <w:rPr>
                <w:rFonts w:ascii="Times New Roman" w:hAnsi="Times New Roman" w:cs="Times New Roman" w:eastAsiaTheme="minorEastAsia"/>
                <w:color w:val="auto"/>
                <w:w w:val="99"/>
                <w:sz w:val="21"/>
                <w:szCs w:val="21"/>
                <w:highlight w:val="none"/>
              </w:rPr>
              <w:t>）、汞、砷、六价铬</w:t>
            </w:r>
          </w:p>
        </w:tc>
        <w:tc>
          <w:tcPr>
            <w:tcW w:w="1048" w:type="pct"/>
            <w:tcMar>
              <w:top w:w="28" w:type="dxa"/>
              <w:bottom w:w="28" w:type="dxa"/>
            </w:tcMar>
            <w:vAlign w:val="center"/>
          </w:tcPr>
          <w:p w14:paraId="6EC124C8">
            <w:pPr>
              <w:widowControl w:val="0"/>
              <w:snapToGrid w:val="0"/>
              <w:spacing w:line="320" w:lineRule="exact"/>
              <w:jc w:val="center"/>
              <w:rPr>
                <w:rFonts w:ascii="Times New Roman" w:hAnsi="Times New Roman" w:eastAsiaTheme="minorEastAsia"/>
                <w:color w:val="auto"/>
                <w:w w:val="99"/>
                <w:szCs w:val="21"/>
                <w:highlight w:val="none"/>
              </w:rPr>
            </w:pPr>
            <w:r>
              <w:rPr>
                <w:rFonts w:hint="eastAsia" w:ascii="Times New Roman" w:hAnsi="Times New Roman" w:cs="Times New Roman" w:eastAsiaTheme="minorEastAsia"/>
                <w:color w:val="auto"/>
                <w:w w:val="99"/>
                <w:sz w:val="21"/>
                <w:szCs w:val="21"/>
                <w:highlight w:val="none"/>
              </w:rPr>
              <w:t>王家围子屯水</w:t>
            </w:r>
            <w:r>
              <w:rPr>
                <w:rFonts w:ascii="Times New Roman" w:hAnsi="Times New Roman" w:cs="Times New Roman" w:eastAsiaTheme="minorEastAsia"/>
                <w:color w:val="auto"/>
                <w:w w:val="99"/>
                <w:sz w:val="21"/>
                <w:szCs w:val="21"/>
                <w:highlight w:val="none"/>
              </w:rPr>
              <w:t>井</w:t>
            </w:r>
          </w:p>
        </w:tc>
        <w:tc>
          <w:tcPr>
            <w:tcW w:w="1122" w:type="pct"/>
            <w:vAlign w:val="center"/>
          </w:tcPr>
          <w:p w14:paraId="02ACF389">
            <w:pPr>
              <w:widowControl w:val="0"/>
              <w:snapToGrid w:val="0"/>
              <w:spacing w:line="320" w:lineRule="exact"/>
              <w:jc w:val="center"/>
              <w:rPr>
                <w:rFonts w:ascii="Times New Roman" w:hAnsi="Times New Roman" w:eastAsiaTheme="minorEastAsia"/>
                <w:color w:val="auto"/>
                <w:w w:val="99"/>
                <w:szCs w:val="21"/>
                <w:highlight w:val="none"/>
              </w:rPr>
            </w:pPr>
            <w:r>
              <w:rPr>
                <w:rFonts w:hint="eastAsia" w:ascii="Times New Roman" w:hAnsi="Times New Roman" w:cs="Times New Roman" w:eastAsiaTheme="minorEastAsia"/>
                <w:color w:val="auto"/>
                <w:w w:val="99"/>
                <w:sz w:val="21"/>
                <w:szCs w:val="21"/>
                <w:highlight w:val="none"/>
              </w:rPr>
              <w:t>125.51499，45.90631</w:t>
            </w:r>
          </w:p>
        </w:tc>
        <w:tc>
          <w:tcPr>
            <w:tcW w:w="903" w:type="pct"/>
            <w:vAlign w:val="center"/>
          </w:tcPr>
          <w:p w14:paraId="40079162">
            <w:pPr>
              <w:widowControl w:val="0"/>
              <w:snapToGrid w:val="0"/>
              <w:spacing w:line="320" w:lineRule="exact"/>
              <w:jc w:val="center"/>
              <w:rPr>
                <w:rFonts w:ascii="Times New Roman" w:hAnsi="Times New Roman" w:eastAsiaTheme="minorEastAsia"/>
                <w:color w:val="auto"/>
                <w:w w:val="99"/>
                <w:szCs w:val="21"/>
                <w:highlight w:val="none"/>
              </w:rPr>
            </w:pPr>
            <w:r>
              <w:rPr>
                <w:rFonts w:hint="eastAsia" w:ascii="Times New Roman" w:hAnsi="Times New Roman" w:cs="Times New Roman" w:eastAsiaTheme="minorEastAsia"/>
                <w:color w:val="auto"/>
                <w:w w:val="99"/>
                <w:sz w:val="21"/>
                <w:szCs w:val="21"/>
                <w:highlight w:val="none"/>
              </w:rPr>
              <w:t>拟建管线东北侧850m（上游）</w:t>
            </w:r>
          </w:p>
        </w:tc>
        <w:tc>
          <w:tcPr>
            <w:tcW w:w="429" w:type="pct"/>
            <w:vMerge w:val="restart"/>
            <w:tcMar>
              <w:top w:w="28" w:type="dxa"/>
              <w:bottom w:w="28" w:type="dxa"/>
            </w:tcMar>
            <w:vAlign w:val="center"/>
          </w:tcPr>
          <w:p w14:paraId="7D61226F">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1次/半年</w:t>
            </w:r>
          </w:p>
        </w:tc>
      </w:tr>
      <w:tr w14:paraId="49131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58" w:type="pct"/>
            <w:vMerge w:val="continue"/>
            <w:tcMar>
              <w:top w:w="28" w:type="dxa"/>
              <w:bottom w:w="28" w:type="dxa"/>
            </w:tcMar>
            <w:vAlign w:val="center"/>
          </w:tcPr>
          <w:p w14:paraId="5FAAC03C">
            <w:pPr>
              <w:spacing w:line="320" w:lineRule="exact"/>
              <w:jc w:val="center"/>
              <w:rPr>
                <w:rFonts w:ascii="Times New Roman" w:hAnsi="Times New Roman" w:cs="Times New Roman" w:eastAsiaTheme="minorEastAsia"/>
                <w:color w:val="auto"/>
                <w:w w:val="99"/>
                <w:sz w:val="21"/>
                <w:szCs w:val="21"/>
                <w:highlight w:val="none"/>
              </w:rPr>
            </w:pPr>
          </w:p>
        </w:tc>
        <w:tc>
          <w:tcPr>
            <w:tcW w:w="387" w:type="pct"/>
            <w:vMerge w:val="continue"/>
            <w:tcMar>
              <w:top w:w="28" w:type="dxa"/>
              <w:bottom w:w="28" w:type="dxa"/>
            </w:tcMar>
            <w:vAlign w:val="center"/>
          </w:tcPr>
          <w:p w14:paraId="349DA9D8">
            <w:pPr>
              <w:spacing w:line="320" w:lineRule="exact"/>
              <w:jc w:val="center"/>
              <w:rPr>
                <w:rFonts w:ascii="Times New Roman" w:hAnsi="Times New Roman" w:cs="Times New Roman" w:eastAsiaTheme="minorEastAsia"/>
                <w:color w:val="auto"/>
                <w:w w:val="99"/>
                <w:sz w:val="21"/>
                <w:szCs w:val="21"/>
                <w:highlight w:val="none"/>
              </w:rPr>
            </w:pPr>
          </w:p>
        </w:tc>
        <w:tc>
          <w:tcPr>
            <w:tcW w:w="850" w:type="pct"/>
            <w:vMerge w:val="continue"/>
            <w:tcMar>
              <w:top w:w="28" w:type="dxa"/>
              <w:bottom w:w="28" w:type="dxa"/>
            </w:tcMar>
            <w:vAlign w:val="center"/>
          </w:tcPr>
          <w:p w14:paraId="1F899A76">
            <w:pPr>
              <w:spacing w:line="320" w:lineRule="exact"/>
              <w:jc w:val="center"/>
              <w:rPr>
                <w:rFonts w:ascii="Times New Roman" w:hAnsi="Times New Roman" w:cs="Times New Roman" w:eastAsiaTheme="minorEastAsia"/>
                <w:color w:val="auto"/>
                <w:w w:val="99"/>
                <w:sz w:val="21"/>
                <w:szCs w:val="21"/>
                <w:highlight w:val="none"/>
              </w:rPr>
            </w:pPr>
          </w:p>
        </w:tc>
        <w:tc>
          <w:tcPr>
            <w:tcW w:w="1048" w:type="pct"/>
            <w:tcMar>
              <w:top w:w="28" w:type="dxa"/>
              <w:bottom w:w="28" w:type="dxa"/>
            </w:tcMar>
            <w:vAlign w:val="center"/>
          </w:tcPr>
          <w:p w14:paraId="7CF77648">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福龙村（尚家围子屯）水</w:t>
            </w:r>
            <w:r>
              <w:rPr>
                <w:rFonts w:ascii="Times New Roman" w:hAnsi="Times New Roman" w:cs="Times New Roman" w:eastAsiaTheme="minorEastAsia"/>
                <w:color w:val="auto"/>
                <w:w w:val="99"/>
                <w:sz w:val="21"/>
                <w:szCs w:val="21"/>
                <w:highlight w:val="none"/>
              </w:rPr>
              <w:t>井</w:t>
            </w:r>
          </w:p>
        </w:tc>
        <w:tc>
          <w:tcPr>
            <w:tcW w:w="1122" w:type="pct"/>
            <w:vAlign w:val="center"/>
          </w:tcPr>
          <w:p w14:paraId="3C81AB0E">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125.50506，45.89648</w:t>
            </w:r>
          </w:p>
        </w:tc>
        <w:tc>
          <w:tcPr>
            <w:tcW w:w="903" w:type="pct"/>
            <w:vAlign w:val="center"/>
          </w:tcPr>
          <w:p w14:paraId="558C1E83">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拟建管线西南侧300m（下游）</w:t>
            </w:r>
          </w:p>
        </w:tc>
        <w:tc>
          <w:tcPr>
            <w:tcW w:w="429" w:type="pct"/>
            <w:vMerge w:val="continue"/>
            <w:tcMar>
              <w:top w:w="28" w:type="dxa"/>
              <w:bottom w:w="28" w:type="dxa"/>
            </w:tcMar>
            <w:vAlign w:val="center"/>
          </w:tcPr>
          <w:p w14:paraId="7B7B6D0A">
            <w:pPr>
              <w:spacing w:line="320" w:lineRule="exact"/>
              <w:jc w:val="center"/>
              <w:rPr>
                <w:rFonts w:ascii="Times New Roman" w:hAnsi="Times New Roman" w:cs="Times New Roman" w:eastAsiaTheme="minorEastAsia"/>
                <w:color w:val="auto"/>
                <w:w w:val="99"/>
                <w:sz w:val="21"/>
                <w:szCs w:val="21"/>
                <w:highlight w:val="none"/>
              </w:rPr>
            </w:pPr>
          </w:p>
        </w:tc>
      </w:tr>
      <w:tr w14:paraId="7C94B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58" w:type="pct"/>
            <w:vMerge w:val="continue"/>
            <w:tcMar>
              <w:top w:w="28" w:type="dxa"/>
              <w:bottom w:w="28" w:type="dxa"/>
            </w:tcMar>
            <w:vAlign w:val="center"/>
          </w:tcPr>
          <w:p w14:paraId="7C565F5E">
            <w:pPr>
              <w:spacing w:line="320" w:lineRule="exact"/>
              <w:jc w:val="center"/>
              <w:rPr>
                <w:rFonts w:ascii="Times New Roman" w:hAnsi="Times New Roman" w:cs="Times New Roman" w:eastAsiaTheme="minorEastAsia"/>
                <w:color w:val="auto"/>
                <w:w w:val="99"/>
                <w:sz w:val="21"/>
                <w:szCs w:val="21"/>
                <w:highlight w:val="none"/>
              </w:rPr>
            </w:pPr>
          </w:p>
        </w:tc>
        <w:tc>
          <w:tcPr>
            <w:tcW w:w="387" w:type="pct"/>
            <w:vMerge w:val="continue"/>
            <w:tcMar>
              <w:top w:w="28" w:type="dxa"/>
              <w:bottom w:w="28" w:type="dxa"/>
            </w:tcMar>
            <w:vAlign w:val="center"/>
          </w:tcPr>
          <w:p w14:paraId="1895820D">
            <w:pPr>
              <w:spacing w:line="320" w:lineRule="exact"/>
              <w:jc w:val="center"/>
              <w:rPr>
                <w:rFonts w:ascii="Times New Roman" w:hAnsi="Times New Roman" w:cs="Times New Roman" w:eastAsiaTheme="minorEastAsia"/>
                <w:color w:val="auto"/>
                <w:w w:val="99"/>
                <w:sz w:val="21"/>
                <w:szCs w:val="21"/>
                <w:highlight w:val="none"/>
              </w:rPr>
            </w:pPr>
          </w:p>
        </w:tc>
        <w:tc>
          <w:tcPr>
            <w:tcW w:w="850" w:type="pct"/>
            <w:vMerge w:val="continue"/>
            <w:tcMar>
              <w:top w:w="28" w:type="dxa"/>
              <w:bottom w:w="28" w:type="dxa"/>
            </w:tcMar>
            <w:vAlign w:val="center"/>
          </w:tcPr>
          <w:p w14:paraId="3AAAEB97">
            <w:pPr>
              <w:spacing w:line="320" w:lineRule="exact"/>
              <w:jc w:val="center"/>
              <w:rPr>
                <w:rFonts w:ascii="Times New Roman" w:hAnsi="Times New Roman" w:cs="Times New Roman" w:eastAsiaTheme="minorEastAsia"/>
                <w:color w:val="auto"/>
                <w:w w:val="99"/>
                <w:sz w:val="21"/>
                <w:szCs w:val="21"/>
                <w:highlight w:val="none"/>
              </w:rPr>
            </w:pPr>
          </w:p>
        </w:tc>
        <w:tc>
          <w:tcPr>
            <w:tcW w:w="1048" w:type="pct"/>
            <w:tcMar>
              <w:top w:w="28" w:type="dxa"/>
              <w:bottom w:w="28" w:type="dxa"/>
            </w:tcMar>
            <w:vAlign w:val="center"/>
          </w:tcPr>
          <w:p w14:paraId="4A1CC28B">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杨家屯水</w:t>
            </w:r>
            <w:r>
              <w:rPr>
                <w:rFonts w:ascii="Times New Roman" w:hAnsi="Times New Roman" w:cs="Times New Roman" w:eastAsiaTheme="minorEastAsia"/>
                <w:color w:val="auto"/>
                <w:w w:val="99"/>
                <w:sz w:val="21"/>
                <w:szCs w:val="21"/>
                <w:highlight w:val="none"/>
              </w:rPr>
              <w:t>井</w:t>
            </w:r>
          </w:p>
        </w:tc>
        <w:tc>
          <w:tcPr>
            <w:tcW w:w="1122" w:type="pct"/>
            <w:vAlign w:val="center"/>
          </w:tcPr>
          <w:p w14:paraId="4C601B4C">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125.50161，45.88171</w:t>
            </w:r>
          </w:p>
        </w:tc>
        <w:tc>
          <w:tcPr>
            <w:tcW w:w="903" w:type="pct"/>
            <w:vAlign w:val="center"/>
          </w:tcPr>
          <w:p w14:paraId="1E04136B">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拟建27-H1井场西南侧1200m（下游）</w:t>
            </w:r>
          </w:p>
        </w:tc>
        <w:tc>
          <w:tcPr>
            <w:tcW w:w="429" w:type="pct"/>
            <w:vMerge w:val="continue"/>
            <w:tcMar>
              <w:top w:w="28" w:type="dxa"/>
              <w:bottom w:w="28" w:type="dxa"/>
            </w:tcMar>
            <w:vAlign w:val="center"/>
          </w:tcPr>
          <w:p w14:paraId="1D69BD6D">
            <w:pPr>
              <w:spacing w:line="320" w:lineRule="exact"/>
              <w:jc w:val="center"/>
              <w:rPr>
                <w:rFonts w:ascii="Times New Roman" w:hAnsi="Times New Roman" w:cs="Times New Roman" w:eastAsiaTheme="minorEastAsia"/>
                <w:color w:val="auto"/>
                <w:w w:val="99"/>
                <w:sz w:val="21"/>
                <w:szCs w:val="21"/>
                <w:highlight w:val="none"/>
              </w:rPr>
            </w:pPr>
          </w:p>
        </w:tc>
      </w:tr>
      <w:tr w14:paraId="1E8DA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58" w:type="pct"/>
            <w:vMerge w:val="restart"/>
            <w:tcMar>
              <w:top w:w="28" w:type="dxa"/>
              <w:bottom w:w="28" w:type="dxa"/>
            </w:tcMar>
            <w:vAlign w:val="center"/>
          </w:tcPr>
          <w:p w14:paraId="6F7D74B3">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w:t>
            </w:r>
          </w:p>
        </w:tc>
        <w:tc>
          <w:tcPr>
            <w:tcW w:w="387" w:type="pct"/>
            <w:vMerge w:val="restart"/>
            <w:tcMar>
              <w:top w:w="28" w:type="dxa"/>
              <w:bottom w:w="28" w:type="dxa"/>
            </w:tcMar>
            <w:vAlign w:val="center"/>
          </w:tcPr>
          <w:p w14:paraId="3AF2FAFA">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土壤</w:t>
            </w:r>
          </w:p>
        </w:tc>
        <w:tc>
          <w:tcPr>
            <w:tcW w:w="850" w:type="pct"/>
            <w:vMerge w:val="restart"/>
            <w:tcMar>
              <w:top w:w="28" w:type="dxa"/>
              <w:bottom w:w="28" w:type="dxa"/>
            </w:tcMar>
            <w:vAlign w:val="center"/>
          </w:tcPr>
          <w:p w14:paraId="16931DB8">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pH、石油类、石油烃（C</w:t>
            </w:r>
            <w:r>
              <w:rPr>
                <w:rFonts w:ascii="Times New Roman" w:hAnsi="Times New Roman" w:cs="Times New Roman" w:eastAsiaTheme="minorEastAsia"/>
                <w:color w:val="auto"/>
                <w:w w:val="99"/>
                <w:sz w:val="21"/>
                <w:szCs w:val="21"/>
                <w:highlight w:val="none"/>
                <w:vertAlign w:val="subscript"/>
              </w:rPr>
              <w:t>6</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9</w:t>
            </w: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10</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40</w:t>
            </w:r>
            <w:r>
              <w:rPr>
                <w:rFonts w:ascii="Times New Roman" w:hAnsi="Times New Roman" w:cs="Times New Roman" w:eastAsiaTheme="minorEastAsia"/>
                <w:color w:val="auto"/>
                <w:w w:val="99"/>
                <w:sz w:val="21"/>
                <w:szCs w:val="21"/>
                <w:highlight w:val="none"/>
              </w:rPr>
              <w:t>）、汞、砷、六价铬</w:t>
            </w:r>
          </w:p>
        </w:tc>
        <w:tc>
          <w:tcPr>
            <w:tcW w:w="1048" w:type="pct"/>
            <w:tcMar>
              <w:top w:w="28" w:type="dxa"/>
              <w:bottom w:w="28" w:type="dxa"/>
            </w:tcMar>
            <w:vAlign w:val="center"/>
          </w:tcPr>
          <w:p w14:paraId="24E7C79B">
            <w:pPr>
              <w:widowControl w:val="0"/>
              <w:spacing w:line="360" w:lineRule="exact"/>
              <w:jc w:val="center"/>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kern w:val="2"/>
                <w:sz w:val="21"/>
                <w:szCs w:val="21"/>
                <w:highlight w:val="none"/>
              </w:rPr>
              <w:t>徐深27-H1井</w:t>
            </w:r>
            <w:r>
              <w:rPr>
                <w:rFonts w:ascii="Times New Roman" w:hAnsi="Times New Roman" w:cs="Times New Roman" w:eastAsiaTheme="minorEastAsia"/>
                <w:bCs/>
                <w:color w:val="auto"/>
                <w:w w:val="99"/>
                <w:kern w:val="2"/>
                <w:sz w:val="21"/>
                <w:szCs w:val="21"/>
                <w:highlight w:val="none"/>
              </w:rPr>
              <w:t>井场</w:t>
            </w:r>
          </w:p>
        </w:tc>
        <w:tc>
          <w:tcPr>
            <w:tcW w:w="1122" w:type="pct"/>
            <w:vAlign w:val="center"/>
          </w:tcPr>
          <w:p w14:paraId="6AE13BC7">
            <w:pPr>
              <w:widowControl w:val="0"/>
              <w:spacing w:line="360" w:lineRule="exact"/>
              <w:jc w:val="center"/>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125.50852，45.89313</w:t>
            </w:r>
          </w:p>
        </w:tc>
        <w:tc>
          <w:tcPr>
            <w:tcW w:w="903" w:type="pct"/>
            <w:vAlign w:val="center"/>
          </w:tcPr>
          <w:p w14:paraId="5DBF4384">
            <w:pPr>
              <w:spacing w:line="320" w:lineRule="exact"/>
              <w:jc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拟建井场</w:t>
            </w:r>
          </w:p>
        </w:tc>
        <w:tc>
          <w:tcPr>
            <w:tcW w:w="429" w:type="pct"/>
            <w:vMerge w:val="restart"/>
            <w:tcMar>
              <w:top w:w="28" w:type="dxa"/>
              <w:bottom w:w="28" w:type="dxa"/>
            </w:tcMar>
            <w:vAlign w:val="center"/>
          </w:tcPr>
          <w:p w14:paraId="0D8E1378">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1次/</w:t>
            </w:r>
            <w:r>
              <w:rPr>
                <w:rFonts w:hint="eastAsia" w:ascii="Times New Roman" w:hAnsi="Times New Roman" w:cs="Times New Roman" w:eastAsiaTheme="minorEastAsia"/>
                <w:color w:val="auto"/>
                <w:w w:val="99"/>
                <w:sz w:val="21"/>
                <w:szCs w:val="21"/>
                <w:highlight w:val="none"/>
              </w:rPr>
              <w:t>5</w:t>
            </w:r>
            <w:r>
              <w:rPr>
                <w:rFonts w:ascii="Times New Roman" w:hAnsi="Times New Roman" w:cs="Times New Roman" w:eastAsiaTheme="minorEastAsia"/>
                <w:color w:val="auto"/>
                <w:w w:val="99"/>
                <w:sz w:val="21"/>
                <w:szCs w:val="21"/>
                <w:highlight w:val="none"/>
              </w:rPr>
              <w:t>年</w:t>
            </w:r>
          </w:p>
        </w:tc>
      </w:tr>
      <w:tr w14:paraId="60111A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58" w:type="pct"/>
            <w:vMerge w:val="continue"/>
            <w:tcMar>
              <w:top w:w="28" w:type="dxa"/>
              <w:bottom w:w="28" w:type="dxa"/>
            </w:tcMar>
            <w:vAlign w:val="center"/>
          </w:tcPr>
          <w:p w14:paraId="3B5B0456">
            <w:pPr>
              <w:spacing w:line="320" w:lineRule="exact"/>
              <w:jc w:val="center"/>
              <w:rPr>
                <w:rFonts w:ascii="Times New Roman" w:hAnsi="Times New Roman" w:cs="Times New Roman" w:eastAsiaTheme="minorEastAsia"/>
                <w:color w:val="auto"/>
                <w:w w:val="99"/>
                <w:sz w:val="21"/>
                <w:szCs w:val="21"/>
                <w:highlight w:val="none"/>
              </w:rPr>
            </w:pPr>
          </w:p>
        </w:tc>
        <w:tc>
          <w:tcPr>
            <w:tcW w:w="387" w:type="pct"/>
            <w:vMerge w:val="continue"/>
            <w:tcMar>
              <w:top w:w="28" w:type="dxa"/>
              <w:bottom w:w="28" w:type="dxa"/>
            </w:tcMar>
            <w:vAlign w:val="center"/>
          </w:tcPr>
          <w:p w14:paraId="2DC237C0">
            <w:pPr>
              <w:spacing w:line="320" w:lineRule="exact"/>
              <w:jc w:val="center"/>
              <w:rPr>
                <w:rFonts w:ascii="Times New Roman" w:hAnsi="Times New Roman" w:cs="Times New Roman" w:eastAsiaTheme="minorEastAsia"/>
                <w:color w:val="auto"/>
                <w:w w:val="99"/>
                <w:sz w:val="21"/>
                <w:szCs w:val="21"/>
                <w:highlight w:val="none"/>
              </w:rPr>
            </w:pPr>
          </w:p>
        </w:tc>
        <w:tc>
          <w:tcPr>
            <w:tcW w:w="850" w:type="pct"/>
            <w:vMerge w:val="continue"/>
            <w:tcMar>
              <w:top w:w="28" w:type="dxa"/>
              <w:bottom w:w="28" w:type="dxa"/>
            </w:tcMar>
            <w:vAlign w:val="center"/>
          </w:tcPr>
          <w:p w14:paraId="0EE198CB">
            <w:pPr>
              <w:spacing w:line="320" w:lineRule="exact"/>
              <w:jc w:val="center"/>
              <w:rPr>
                <w:rFonts w:ascii="Times New Roman" w:hAnsi="Times New Roman" w:cs="Times New Roman" w:eastAsiaTheme="minorEastAsia"/>
                <w:color w:val="auto"/>
                <w:w w:val="99"/>
                <w:sz w:val="21"/>
                <w:szCs w:val="21"/>
                <w:highlight w:val="none"/>
              </w:rPr>
            </w:pPr>
          </w:p>
        </w:tc>
        <w:tc>
          <w:tcPr>
            <w:tcW w:w="1048" w:type="pct"/>
            <w:tcMar>
              <w:top w:w="28" w:type="dxa"/>
              <w:bottom w:w="28" w:type="dxa"/>
            </w:tcMar>
            <w:vAlign w:val="center"/>
          </w:tcPr>
          <w:p w14:paraId="7FAF67A1">
            <w:pPr>
              <w:widowControl w:val="0"/>
              <w:spacing w:line="360" w:lineRule="exact"/>
              <w:jc w:val="center"/>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bCs/>
                <w:color w:val="auto"/>
                <w:w w:val="99"/>
                <w:kern w:val="2"/>
                <w:sz w:val="21"/>
                <w:szCs w:val="21"/>
                <w:highlight w:val="none"/>
              </w:rPr>
              <w:t>徐深27-H1井南侧</w:t>
            </w:r>
            <w:r>
              <w:rPr>
                <w:rFonts w:ascii="Times New Roman" w:hAnsi="Times New Roman" w:cs="Times New Roman" w:eastAsiaTheme="minorEastAsia"/>
                <w:bCs/>
                <w:color w:val="auto"/>
                <w:w w:val="99"/>
                <w:kern w:val="2"/>
                <w:sz w:val="21"/>
                <w:szCs w:val="21"/>
                <w:highlight w:val="none"/>
              </w:rPr>
              <w:t>200m耕地</w:t>
            </w:r>
          </w:p>
        </w:tc>
        <w:tc>
          <w:tcPr>
            <w:tcW w:w="1122" w:type="pct"/>
            <w:vAlign w:val="center"/>
          </w:tcPr>
          <w:p w14:paraId="07277B0F">
            <w:pPr>
              <w:widowControl w:val="0"/>
              <w:spacing w:line="360" w:lineRule="exact"/>
              <w:jc w:val="center"/>
              <w:rPr>
                <w:rFonts w:ascii="Times New Roman" w:hAnsi="Times New Roman" w:cs="Times New Roman" w:eastAsiaTheme="minorEastAsia"/>
                <w:bCs/>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125.50857，45.89132</w:t>
            </w:r>
          </w:p>
        </w:tc>
        <w:tc>
          <w:tcPr>
            <w:tcW w:w="903" w:type="pct"/>
            <w:vAlign w:val="center"/>
          </w:tcPr>
          <w:p w14:paraId="10A8B3C3">
            <w:pPr>
              <w:spacing w:line="320" w:lineRule="exact"/>
              <w:jc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拟建井场</w:t>
            </w:r>
            <w:r>
              <w:rPr>
                <w:rFonts w:hint="eastAsia" w:ascii="Times New Roman" w:hAnsi="Times New Roman" w:cs="Times New Roman" w:eastAsiaTheme="minorEastAsia"/>
                <w:bCs/>
                <w:color w:val="auto"/>
                <w:w w:val="99"/>
                <w:sz w:val="21"/>
                <w:szCs w:val="21"/>
                <w:highlight w:val="none"/>
              </w:rPr>
              <w:t>南</w:t>
            </w:r>
            <w:r>
              <w:rPr>
                <w:rFonts w:ascii="Times New Roman" w:hAnsi="Times New Roman" w:cs="Times New Roman" w:eastAsiaTheme="minorEastAsia"/>
                <w:bCs/>
                <w:color w:val="auto"/>
                <w:w w:val="99"/>
                <w:sz w:val="21"/>
                <w:szCs w:val="21"/>
                <w:highlight w:val="none"/>
              </w:rPr>
              <w:t>侧200m</w:t>
            </w:r>
          </w:p>
        </w:tc>
        <w:tc>
          <w:tcPr>
            <w:tcW w:w="429" w:type="pct"/>
            <w:vMerge w:val="continue"/>
            <w:tcMar>
              <w:top w:w="28" w:type="dxa"/>
              <w:bottom w:w="28" w:type="dxa"/>
            </w:tcMar>
            <w:vAlign w:val="center"/>
          </w:tcPr>
          <w:p w14:paraId="3304F3FE">
            <w:pPr>
              <w:spacing w:line="320" w:lineRule="exact"/>
              <w:jc w:val="center"/>
              <w:rPr>
                <w:rFonts w:ascii="Times New Roman" w:hAnsi="Times New Roman" w:cs="Times New Roman" w:eastAsiaTheme="minorEastAsia"/>
                <w:color w:val="auto"/>
                <w:w w:val="99"/>
                <w:sz w:val="21"/>
                <w:szCs w:val="21"/>
                <w:highlight w:val="none"/>
              </w:rPr>
            </w:pPr>
          </w:p>
        </w:tc>
      </w:tr>
    </w:tbl>
    <w:p w14:paraId="0B431D7E">
      <w:pPr>
        <w:pStyle w:val="7"/>
        <w:widowControl w:val="0"/>
        <w:spacing w:before="60" w:after="60" w:line="440" w:lineRule="exact"/>
        <w:jc w:val="both"/>
        <w:rPr>
          <w:rFonts w:eastAsiaTheme="minorEastAsia"/>
          <w:b/>
          <w:color w:val="auto"/>
          <w:w w:val="99"/>
          <w:kern w:val="2"/>
          <w:sz w:val="24"/>
          <w:szCs w:val="24"/>
          <w:highlight w:val="none"/>
        </w:rPr>
      </w:pPr>
      <w:bookmarkStart w:id="1226" w:name="_Toc186444407"/>
      <w:r>
        <w:rPr>
          <w:rFonts w:eastAsiaTheme="minorEastAsia"/>
          <w:b/>
          <w:color w:val="auto"/>
          <w:w w:val="99"/>
          <w:kern w:val="2"/>
          <w:sz w:val="24"/>
          <w:szCs w:val="24"/>
          <w:highlight w:val="none"/>
        </w:rPr>
        <w:t>8.2.10排污许可管理</w:t>
      </w:r>
      <w:bookmarkEnd w:id="1226"/>
    </w:p>
    <w:p w14:paraId="28CF1602">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依据《排污许可管理条例》中相关要求，环境影响评价制度是建设项目的环境准入门槛，排污许可制是企业单位在生产营运期排污的法律依据，必须做好充分衔接，实现从污染预防到污染治理和排放控制的全过程监管。新建项目必须在发生实际排污行为之前申领排污许可证，不得无证或不按证排污，环境影响评价文件及批复中与污染物排放相关的主要内容应当纳入排污许可证。</w:t>
      </w:r>
    </w:p>
    <w:p w14:paraId="2B8C1D26">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大庆油田有限责任公司采气分公司已办理固定污染源排污许可证登记，登记编号：91230607716675409L007W。</w:t>
      </w:r>
    </w:p>
    <w:p w14:paraId="39470D27">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根据生态环境部部令第11号《固定污染源排污许可证分类管理名录（2019年版）》的有关规定，本项目均属于“三、石油和天然气开采业 07中的4</w:t>
      </w:r>
      <w:r>
        <w:rPr>
          <w:rFonts w:hint="eastAsia" w:ascii="Times New Roman" w:hAnsi="Times New Roman" w:cs="Times New Roman"/>
          <w:color w:val="auto"/>
          <w:w w:val="99"/>
          <w:highlight w:val="none"/>
          <w:lang w:bidi="zh-CN"/>
        </w:rPr>
        <w:t>天然气</w:t>
      </w:r>
      <w:r>
        <w:rPr>
          <w:rFonts w:ascii="Times New Roman" w:hAnsi="Times New Roman" w:cs="Times New Roman"/>
          <w:color w:val="auto"/>
          <w:w w:val="99"/>
          <w:highlight w:val="none"/>
          <w:lang w:bidi="zh-CN"/>
        </w:rPr>
        <w:t>开采 07</w:t>
      </w:r>
      <w:r>
        <w:rPr>
          <w:rFonts w:hint="eastAsia" w:ascii="Times New Roman" w:hAnsi="Times New Roman" w:cs="Times New Roman"/>
          <w:color w:val="auto"/>
          <w:w w:val="99"/>
          <w:highlight w:val="none"/>
          <w:lang w:bidi="zh-CN"/>
        </w:rPr>
        <w:t>2</w:t>
      </w:r>
      <w:r>
        <w:rPr>
          <w:rFonts w:ascii="Times New Roman" w:hAnsi="Times New Roman" w:cs="Times New Roman"/>
          <w:color w:val="auto"/>
          <w:w w:val="99"/>
          <w:highlight w:val="none"/>
          <w:lang w:bidi="zh-CN"/>
        </w:rPr>
        <w:t>”，相关要求为“涉及通用工序重点管理的实施重点管理，涉及通用工序简化管理的实施简化管理，其他实施登记管理”。 本项目不涉及新建锅炉、工业炉窑、表面处理、水处理等，且采气分公司未纳入重点排污单位名录，因此本项目实施登记管理，需在更新排污许可证时，在申请表中填写补充登记表。</w:t>
      </w:r>
    </w:p>
    <w:p w14:paraId="75D05C8B">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227" w:name="_Toc14351"/>
      <w:bookmarkStart w:id="1228" w:name="_Toc173163563"/>
      <w:r>
        <w:rPr>
          <w:rFonts w:ascii="Times New Roman" w:hAnsi="Times New Roman" w:eastAsiaTheme="minorEastAsia"/>
          <w:b/>
          <w:snapToGrid w:val="0"/>
          <w:color w:val="auto"/>
          <w:w w:val="99"/>
          <w:highlight w:val="none"/>
        </w:rPr>
        <w:t>8.3</w:t>
      </w:r>
      <w:bookmarkEnd w:id="1225"/>
      <w:r>
        <w:rPr>
          <w:rFonts w:ascii="Times New Roman" w:hAnsi="Times New Roman" w:eastAsiaTheme="minorEastAsia"/>
          <w:b/>
          <w:snapToGrid w:val="0"/>
          <w:color w:val="auto"/>
          <w:w w:val="99"/>
          <w:highlight w:val="none"/>
        </w:rPr>
        <w:t>占地审批流程</w:t>
      </w:r>
      <w:bookmarkEnd w:id="1227"/>
      <w:bookmarkEnd w:id="1228"/>
    </w:p>
    <w:p w14:paraId="557B365B">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本项目总占地面积为</w:t>
      </w:r>
      <w:r>
        <w:rPr>
          <w:rFonts w:hint="eastAsia" w:ascii="Times New Roman" w:hAnsi="Times New Roman" w:cs="Times New Roman"/>
          <w:color w:val="auto"/>
          <w:w w:val="99"/>
          <w:highlight w:val="none"/>
          <w:lang w:bidi="zh-CN"/>
        </w:rPr>
        <w:t>2.013</w:t>
      </w:r>
      <w:r>
        <w:rPr>
          <w:rFonts w:ascii="Times New Roman" w:hAnsi="Times New Roman" w:cs="Times New Roman"/>
          <w:color w:val="auto"/>
          <w:w w:val="99"/>
          <w:highlight w:val="none"/>
          <w:lang w:bidi="zh-CN"/>
        </w:rPr>
        <w:t>hm</w:t>
      </w:r>
      <w:r>
        <w:rPr>
          <w:rFonts w:ascii="Times New Roman" w:hAnsi="Times New Roman" w:cs="Times New Roman"/>
          <w:color w:val="auto"/>
          <w:w w:val="99"/>
          <w:highlight w:val="none"/>
          <w:vertAlign w:val="superscript"/>
          <w:lang w:bidi="zh-CN"/>
        </w:rPr>
        <w:t>2</w:t>
      </w:r>
      <w:r>
        <w:rPr>
          <w:rFonts w:ascii="Times New Roman" w:hAnsi="Times New Roman" w:cs="Times New Roman"/>
          <w:color w:val="auto"/>
          <w:w w:val="99"/>
          <w:highlight w:val="none"/>
          <w:lang w:bidi="zh-CN"/>
        </w:rPr>
        <w:t>，其中永久占地</w:t>
      </w:r>
      <w:r>
        <w:rPr>
          <w:rFonts w:hint="eastAsia" w:ascii="Times New Roman" w:hAnsi="Times New Roman" w:cs="Times New Roman"/>
          <w:color w:val="auto"/>
          <w:w w:val="99"/>
          <w:highlight w:val="none"/>
          <w:lang w:bidi="zh-CN"/>
        </w:rPr>
        <w:t>0.0901</w:t>
      </w:r>
      <w:r>
        <w:rPr>
          <w:rFonts w:ascii="Times New Roman" w:hAnsi="Times New Roman" w:cs="Times New Roman"/>
          <w:color w:val="auto"/>
          <w:w w:val="99"/>
          <w:highlight w:val="none"/>
          <w:lang w:bidi="zh-CN"/>
        </w:rPr>
        <w:t>hm</w:t>
      </w:r>
      <w:r>
        <w:rPr>
          <w:rFonts w:ascii="Times New Roman" w:hAnsi="Times New Roman" w:cs="Times New Roman"/>
          <w:color w:val="auto"/>
          <w:w w:val="99"/>
          <w:highlight w:val="none"/>
          <w:vertAlign w:val="superscript"/>
          <w:lang w:bidi="zh-CN"/>
        </w:rPr>
        <w:t>2</w:t>
      </w:r>
      <w:r>
        <w:rPr>
          <w:rFonts w:ascii="Times New Roman" w:hAnsi="Times New Roman" w:cs="Times New Roman"/>
          <w:color w:val="auto"/>
          <w:w w:val="99"/>
          <w:highlight w:val="none"/>
          <w:lang w:bidi="zh-CN"/>
        </w:rPr>
        <w:t>，临时占地</w:t>
      </w:r>
      <w:r>
        <w:rPr>
          <w:rFonts w:hint="eastAsia" w:ascii="Times New Roman" w:hAnsi="Times New Roman" w:cs="Times New Roman"/>
          <w:color w:val="auto"/>
          <w:w w:val="99"/>
          <w:highlight w:val="none"/>
          <w:lang w:bidi="zh-CN"/>
        </w:rPr>
        <w:t>1.9229</w:t>
      </w:r>
      <w:r>
        <w:rPr>
          <w:rFonts w:ascii="Times New Roman" w:hAnsi="Times New Roman" w:cs="Times New Roman"/>
          <w:color w:val="auto"/>
          <w:w w:val="99"/>
          <w:highlight w:val="none"/>
          <w:lang w:bidi="zh-CN"/>
        </w:rPr>
        <w:t>hm</w:t>
      </w:r>
      <w:r>
        <w:rPr>
          <w:rFonts w:ascii="Times New Roman" w:hAnsi="Times New Roman" w:cs="Times New Roman"/>
          <w:color w:val="auto"/>
          <w:w w:val="99"/>
          <w:highlight w:val="none"/>
          <w:vertAlign w:val="superscript"/>
          <w:lang w:bidi="zh-CN"/>
        </w:rPr>
        <w:t>2</w:t>
      </w:r>
      <w:r>
        <w:rPr>
          <w:rFonts w:ascii="Times New Roman" w:hAnsi="Times New Roman" w:cs="Times New Roman"/>
          <w:color w:val="auto"/>
          <w:w w:val="99"/>
          <w:highlight w:val="none"/>
          <w:lang w:bidi="zh-CN"/>
        </w:rPr>
        <w:t>，占地类型为耕地（永久基本农田）。</w:t>
      </w:r>
    </w:p>
    <w:p w14:paraId="72E1369E">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①大庆油田有限责任公司采气分公司</w:t>
      </w:r>
      <w:r>
        <w:rPr>
          <w:rFonts w:ascii="Times New Roman" w:hAnsi="Times New Roman" w:cs="Times New Roman"/>
          <w:color w:val="auto"/>
          <w:w w:val="99"/>
          <w:highlight w:val="none"/>
          <w:lang w:bidi="zh-CN"/>
        </w:rPr>
        <w:t>监督管理中心土地管理室依据项目设计资料、投资计划等基础资料，核实项目用地范围、面积、地类，准备临时用地申请、平面布置图、勘测定界图、临时使用土地合同、土地复垦方案、表土剥离方案等相关材料，提交给</w:t>
      </w:r>
      <w:r>
        <w:rPr>
          <w:rFonts w:hint="eastAsia" w:ascii="Times New Roman" w:hAnsi="Times New Roman" w:cs="Times New Roman"/>
          <w:color w:val="auto"/>
          <w:w w:val="99"/>
          <w:highlight w:val="none"/>
          <w:lang w:bidi="zh-CN"/>
        </w:rPr>
        <w:t>肇东市</w:t>
      </w:r>
      <w:r>
        <w:rPr>
          <w:rFonts w:ascii="Times New Roman" w:hAnsi="Times New Roman" w:cs="Times New Roman"/>
          <w:color w:val="auto"/>
          <w:w w:val="99"/>
          <w:highlight w:val="none"/>
          <w:lang w:bidi="zh-CN"/>
        </w:rPr>
        <w:t>自然资源部门。</w:t>
      </w:r>
    </w:p>
    <w:p w14:paraId="44F94B60">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②肇东市</w:t>
      </w:r>
      <w:r>
        <w:rPr>
          <w:rFonts w:ascii="Times New Roman" w:hAnsi="Times New Roman" w:cs="Times New Roman"/>
          <w:color w:val="auto"/>
          <w:w w:val="99"/>
          <w:highlight w:val="none"/>
          <w:lang w:bidi="zh-CN"/>
        </w:rPr>
        <w:t>自然资源部门初审。</w:t>
      </w:r>
      <w:r>
        <w:rPr>
          <w:rFonts w:hint="eastAsia" w:ascii="Times New Roman" w:hAnsi="Times New Roman" w:cs="Times New Roman"/>
          <w:color w:val="auto"/>
          <w:w w:val="99"/>
          <w:highlight w:val="none"/>
          <w:lang w:bidi="zh-CN"/>
        </w:rPr>
        <w:t>肇东市</w:t>
      </w:r>
      <w:r>
        <w:rPr>
          <w:rFonts w:ascii="Times New Roman" w:hAnsi="Times New Roman" w:cs="Times New Roman"/>
          <w:color w:val="auto"/>
          <w:w w:val="99"/>
          <w:highlight w:val="none"/>
          <w:lang w:bidi="zh-CN"/>
        </w:rPr>
        <w:t>自然资源部门组织对</w:t>
      </w:r>
      <w:r>
        <w:rPr>
          <w:rFonts w:hint="eastAsia" w:ascii="Times New Roman" w:hAnsi="Times New Roman" w:cs="Times New Roman"/>
          <w:color w:val="auto"/>
          <w:w w:val="99"/>
          <w:highlight w:val="none"/>
          <w:lang w:bidi="zh-CN"/>
        </w:rPr>
        <w:t xml:space="preserve">大庆油田有限责任公司采气分公司 </w:t>
      </w:r>
      <w:r>
        <w:rPr>
          <w:rFonts w:ascii="Times New Roman" w:hAnsi="Times New Roman" w:cs="Times New Roman"/>
          <w:color w:val="auto"/>
          <w:w w:val="99"/>
          <w:highlight w:val="none"/>
          <w:lang w:bidi="zh-CN"/>
        </w:rPr>
        <w:t>监督管理中心土地管理室提交的临时用地申请资料进行初审，开展实地探勘核验，审查同意的出具审查意见。</w:t>
      </w:r>
    </w:p>
    <w:p w14:paraId="2ACD8502">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③绥化</w:t>
      </w:r>
      <w:r>
        <w:rPr>
          <w:rFonts w:ascii="Times New Roman" w:hAnsi="Times New Roman" w:cs="Times New Roman"/>
          <w:color w:val="auto"/>
          <w:w w:val="99"/>
          <w:highlight w:val="none"/>
          <w:lang w:bidi="zh-CN"/>
        </w:rPr>
        <w:t>市自然资源局审批。</w:t>
      </w:r>
      <w:r>
        <w:rPr>
          <w:rFonts w:hint="eastAsia" w:ascii="Times New Roman" w:hAnsi="Times New Roman" w:cs="Times New Roman"/>
          <w:color w:val="auto"/>
          <w:w w:val="99"/>
          <w:highlight w:val="none"/>
          <w:lang w:bidi="zh-CN"/>
        </w:rPr>
        <w:t>绥化</w:t>
      </w:r>
      <w:r>
        <w:rPr>
          <w:rFonts w:ascii="Times New Roman" w:hAnsi="Times New Roman" w:cs="Times New Roman"/>
          <w:color w:val="auto"/>
          <w:w w:val="99"/>
          <w:highlight w:val="none"/>
          <w:lang w:bidi="zh-CN"/>
        </w:rPr>
        <w:t>市自然资源局组织审查</w:t>
      </w:r>
      <w:r>
        <w:rPr>
          <w:rFonts w:hint="eastAsia" w:ascii="Times New Roman" w:hAnsi="Times New Roman" w:cs="Times New Roman"/>
          <w:color w:val="auto"/>
          <w:w w:val="99"/>
          <w:highlight w:val="none"/>
          <w:lang w:bidi="zh-CN"/>
        </w:rPr>
        <w:t>肇东市</w:t>
      </w:r>
      <w:r>
        <w:rPr>
          <w:rFonts w:ascii="Times New Roman" w:hAnsi="Times New Roman" w:cs="Times New Roman"/>
          <w:color w:val="auto"/>
          <w:w w:val="99"/>
          <w:highlight w:val="none"/>
          <w:lang w:bidi="zh-CN"/>
        </w:rPr>
        <w:t>自然资源部门提交的</w:t>
      </w:r>
      <w:r>
        <w:rPr>
          <w:rFonts w:hint="eastAsia" w:ascii="Times New Roman" w:hAnsi="Times New Roman" w:cs="Times New Roman"/>
          <w:color w:val="auto"/>
          <w:w w:val="99"/>
          <w:highlight w:val="none"/>
          <w:lang w:bidi="zh-CN"/>
        </w:rPr>
        <w:t xml:space="preserve">大庆油田有限责任公司采气分公司 </w:t>
      </w:r>
      <w:r>
        <w:rPr>
          <w:rFonts w:ascii="Times New Roman" w:hAnsi="Times New Roman" w:cs="Times New Roman"/>
          <w:color w:val="auto"/>
          <w:w w:val="99"/>
          <w:highlight w:val="none"/>
          <w:lang w:bidi="zh-CN"/>
        </w:rPr>
        <w:t>监督管理中心土地管理室关于本项目临时用地申请是否已完成初审、是否符合相关要求，对满足要求的用地申请组织审批，下发临时用地批复文件。</w:t>
      </w:r>
    </w:p>
    <w:p w14:paraId="29745D1E">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hint="eastAsia" w:ascii="Times New Roman" w:hAnsi="Times New Roman" w:cs="Times New Roman"/>
          <w:color w:val="auto"/>
          <w:w w:val="99"/>
          <w:highlight w:val="none"/>
          <w:lang w:bidi="zh-CN"/>
        </w:rPr>
        <w:t>④大庆油田有限责任公司采气分公司</w:t>
      </w:r>
      <w:r>
        <w:rPr>
          <w:rFonts w:ascii="Times New Roman" w:hAnsi="Times New Roman" w:cs="Times New Roman"/>
          <w:color w:val="auto"/>
          <w:w w:val="99"/>
          <w:highlight w:val="none"/>
          <w:lang w:bidi="zh-CN"/>
        </w:rPr>
        <w:t>监督管理中心土地管理室根据批复文件，办理征地手续，组织进场施工。</w:t>
      </w:r>
    </w:p>
    <w:p w14:paraId="702514FF">
      <w:pPr>
        <w:rPr>
          <w:rFonts w:ascii="Times New Roman" w:hAnsi="Times New Roman" w:cs="Times New Roman"/>
          <w:color w:val="auto"/>
          <w:w w:val="99"/>
          <w:highlight w:val="none"/>
        </w:rPr>
        <w:sectPr>
          <w:footerReference r:id="rId13" w:type="default"/>
          <w:type w:val="nextColumn"/>
          <w:pgSz w:w="11906" w:h="16838"/>
          <w:pgMar w:top="1418" w:right="1418" w:bottom="1418" w:left="1418" w:header="851" w:footer="992" w:gutter="0"/>
          <w:cols w:space="720" w:num="1"/>
          <w:docGrid w:linePitch="312" w:charSpace="0"/>
        </w:sectPr>
      </w:pPr>
    </w:p>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14:paraId="59A37751">
      <w:pPr>
        <w:pStyle w:val="4"/>
        <w:widowControl w:val="0"/>
        <w:spacing w:before="180" w:after="180" w:line="440" w:lineRule="exact"/>
        <w:jc w:val="both"/>
        <w:rPr>
          <w:rFonts w:ascii="Times New Roman" w:hAnsi="Times New Roman" w:eastAsiaTheme="minorEastAsia"/>
          <w:b/>
          <w:snapToGrid w:val="0"/>
          <w:color w:val="auto"/>
          <w:w w:val="99"/>
          <w:sz w:val="30"/>
          <w:szCs w:val="30"/>
          <w:highlight w:val="none"/>
        </w:rPr>
      </w:pPr>
      <w:bookmarkStart w:id="1229" w:name="_Toc173163564"/>
      <w:bookmarkStart w:id="1230" w:name="_Toc14120"/>
      <w:bookmarkStart w:id="1231" w:name="_Toc346267817"/>
      <w:bookmarkStart w:id="1232" w:name="_Toc277178465"/>
      <w:bookmarkStart w:id="1233" w:name="_Toc277178450"/>
      <w:bookmarkStart w:id="1234" w:name="_Toc255202340"/>
      <w:bookmarkStart w:id="1235" w:name="_Toc502736556"/>
      <w:bookmarkStart w:id="1236" w:name="_Toc255202323"/>
      <w:bookmarkStart w:id="1237" w:name="_Toc480447686"/>
      <w:bookmarkStart w:id="1238" w:name="_Toc456590420"/>
      <w:r>
        <w:rPr>
          <w:rFonts w:ascii="Times New Roman" w:hAnsi="Times New Roman" w:eastAsiaTheme="minorEastAsia"/>
          <w:b/>
          <w:snapToGrid w:val="0"/>
          <w:color w:val="auto"/>
          <w:w w:val="99"/>
          <w:sz w:val="30"/>
          <w:szCs w:val="30"/>
          <w:highlight w:val="none"/>
        </w:rPr>
        <w:t>9环境影响评价结论</w:t>
      </w:r>
      <w:bookmarkEnd w:id="1229"/>
      <w:bookmarkEnd w:id="1230"/>
    </w:p>
    <w:p w14:paraId="6F2541DA">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239" w:name="_Toc173163565"/>
      <w:bookmarkStart w:id="1240" w:name="_Toc28479"/>
      <w:r>
        <w:rPr>
          <w:rFonts w:ascii="Times New Roman" w:hAnsi="Times New Roman" w:eastAsiaTheme="minorEastAsia"/>
          <w:b/>
          <w:snapToGrid w:val="0"/>
          <w:color w:val="auto"/>
          <w:w w:val="99"/>
          <w:highlight w:val="none"/>
        </w:rPr>
        <w:t>9.1建设项目概况</w:t>
      </w:r>
      <w:bookmarkEnd w:id="1239"/>
      <w:bookmarkEnd w:id="1240"/>
    </w:p>
    <w:p w14:paraId="035C49D3">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大庆油田有限责任公司采气分公司</w:t>
      </w:r>
      <w:r>
        <w:rPr>
          <w:rFonts w:ascii="Times New Roman" w:hAnsi="Times New Roman" w:cs="Times New Roman"/>
          <w:color w:val="auto"/>
          <w:w w:val="99"/>
          <w:highlight w:val="none"/>
          <w:lang w:bidi="zh-CN"/>
        </w:rPr>
        <w:t>拟建</w:t>
      </w:r>
      <w:r>
        <w:rPr>
          <w:rFonts w:hint="eastAsia" w:ascii="Times New Roman" w:hAnsi="Times New Roman" w:cs="Times New Roman"/>
          <w:color w:val="auto"/>
          <w:w w:val="99"/>
          <w:highlight w:val="none"/>
          <w:lang w:bidi="zh-CN"/>
        </w:rPr>
        <w:t>徐深27-H1井地面工程项目</w:t>
      </w:r>
      <w:r>
        <w:rPr>
          <w:rFonts w:ascii="Times New Roman" w:hAnsi="Times New Roman" w:cs="Times New Roman"/>
          <w:color w:val="auto"/>
          <w:w w:val="99"/>
          <w:highlight w:val="none"/>
          <w:lang w:bidi="zh-CN"/>
        </w:rPr>
        <w:t>，为改扩建项目，位于</w:t>
      </w:r>
      <w:r>
        <w:rPr>
          <w:rFonts w:ascii="Times New Roman" w:hAnsi="Times New Roman" w:cs="Times New Roman"/>
          <w:bCs/>
          <w:snapToGrid w:val="0"/>
          <w:color w:val="auto"/>
          <w:w w:val="99"/>
          <w:highlight w:val="none"/>
        </w:rPr>
        <w:t>绥化市肇东市跃进乡邢家围子屯西侧300m处</w:t>
      </w:r>
      <w:r>
        <w:rPr>
          <w:rFonts w:ascii="Times New Roman" w:hAnsi="Times New Roman" w:cs="Times New Roman"/>
          <w:color w:val="auto"/>
          <w:w w:val="99"/>
          <w:highlight w:val="none"/>
          <w:lang w:bidi="zh-CN"/>
        </w:rPr>
        <w:t>，地理坐标为东经125°</w:t>
      </w:r>
      <w:r>
        <w:rPr>
          <w:rFonts w:hint="eastAsia" w:ascii="Times New Roman" w:hAnsi="Times New Roman" w:cs="Times New Roman"/>
          <w:color w:val="auto"/>
          <w:w w:val="99"/>
          <w:highlight w:val="none"/>
          <w:lang w:bidi="zh-CN"/>
        </w:rPr>
        <w:t>30</w:t>
      </w:r>
      <w:r>
        <w:rPr>
          <w:rFonts w:ascii="Times New Roman" w:hAnsi="Times New Roman" w:cs="Times New Roman"/>
          <w:color w:val="auto"/>
          <w:w w:val="99"/>
          <w:highlight w:val="none"/>
          <w:lang w:bidi="zh-CN"/>
        </w:rPr>
        <w:t>′</w:t>
      </w:r>
      <w:r>
        <w:rPr>
          <w:rFonts w:hint="eastAsia" w:ascii="Times New Roman" w:hAnsi="Times New Roman" w:cs="Times New Roman"/>
          <w:color w:val="auto"/>
          <w:w w:val="99"/>
          <w:highlight w:val="none"/>
          <w:lang w:bidi="zh-CN"/>
        </w:rPr>
        <w:t>43</w:t>
      </w:r>
      <w:r>
        <w:rPr>
          <w:rFonts w:ascii="Times New Roman" w:hAnsi="Times New Roman" w:cs="Times New Roman"/>
          <w:color w:val="auto"/>
          <w:w w:val="99"/>
          <w:highlight w:val="none"/>
          <w:lang w:bidi="zh-CN"/>
        </w:rPr>
        <w:t>″~125°</w:t>
      </w:r>
      <w:r>
        <w:rPr>
          <w:rFonts w:hint="eastAsia" w:ascii="Times New Roman" w:hAnsi="Times New Roman" w:cs="Times New Roman"/>
          <w:color w:val="auto"/>
          <w:w w:val="99"/>
          <w:highlight w:val="none"/>
          <w:lang w:bidi="zh-CN"/>
        </w:rPr>
        <w:t>31</w:t>
      </w:r>
      <w:r>
        <w:rPr>
          <w:rFonts w:ascii="Times New Roman" w:hAnsi="Times New Roman" w:cs="Times New Roman"/>
          <w:color w:val="auto"/>
          <w:w w:val="99"/>
          <w:highlight w:val="none"/>
          <w:lang w:bidi="zh-CN"/>
        </w:rPr>
        <w:t>′</w:t>
      </w:r>
      <w:r>
        <w:rPr>
          <w:rFonts w:hint="eastAsia" w:ascii="Times New Roman" w:hAnsi="Times New Roman" w:cs="Times New Roman"/>
          <w:color w:val="auto"/>
          <w:w w:val="99"/>
          <w:highlight w:val="none"/>
          <w:lang w:bidi="zh-CN"/>
        </w:rPr>
        <w:t>02</w:t>
      </w:r>
      <w:r>
        <w:rPr>
          <w:rFonts w:ascii="Times New Roman" w:hAnsi="Times New Roman" w:cs="Times New Roman"/>
          <w:color w:val="auto"/>
          <w:w w:val="99"/>
          <w:highlight w:val="none"/>
          <w:lang w:bidi="zh-CN"/>
        </w:rPr>
        <w:t>″，北纬4</w:t>
      </w:r>
      <w:r>
        <w:rPr>
          <w:rFonts w:hint="eastAsia" w:ascii="Times New Roman" w:hAnsi="Times New Roman" w:cs="Times New Roman"/>
          <w:color w:val="auto"/>
          <w:w w:val="99"/>
          <w:highlight w:val="none"/>
          <w:lang w:bidi="zh-CN"/>
        </w:rPr>
        <w:t>5</w:t>
      </w:r>
      <w:r>
        <w:rPr>
          <w:rFonts w:ascii="Times New Roman" w:hAnsi="Times New Roman" w:cs="Times New Roman"/>
          <w:color w:val="auto"/>
          <w:w w:val="99"/>
          <w:highlight w:val="none"/>
          <w:lang w:bidi="zh-CN"/>
        </w:rPr>
        <w:t>°</w:t>
      </w:r>
      <w:r>
        <w:rPr>
          <w:rFonts w:hint="eastAsia" w:ascii="Times New Roman" w:hAnsi="Times New Roman" w:cs="Times New Roman"/>
          <w:color w:val="auto"/>
          <w:w w:val="99"/>
          <w:highlight w:val="none"/>
          <w:lang w:bidi="zh-CN"/>
        </w:rPr>
        <w:t>53</w:t>
      </w:r>
      <w:r>
        <w:rPr>
          <w:rFonts w:ascii="Times New Roman" w:hAnsi="Times New Roman" w:cs="Times New Roman"/>
          <w:color w:val="auto"/>
          <w:w w:val="99"/>
          <w:highlight w:val="none"/>
          <w:lang w:bidi="zh-CN"/>
        </w:rPr>
        <w:t>′</w:t>
      </w:r>
      <w:r>
        <w:rPr>
          <w:rFonts w:hint="eastAsia" w:ascii="Times New Roman" w:hAnsi="Times New Roman" w:cs="Times New Roman"/>
          <w:color w:val="auto"/>
          <w:w w:val="99"/>
          <w:highlight w:val="none"/>
          <w:lang w:bidi="zh-CN"/>
        </w:rPr>
        <w:t>40</w:t>
      </w:r>
      <w:r>
        <w:rPr>
          <w:rFonts w:ascii="Times New Roman" w:hAnsi="Times New Roman" w:cs="Times New Roman"/>
          <w:color w:val="auto"/>
          <w:w w:val="99"/>
          <w:highlight w:val="none"/>
          <w:lang w:bidi="zh-CN"/>
        </w:rPr>
        <w:t>″~4</w:t>
      </w:r>
      <w:r>
        <w:rPr>
          <w:rFonts w:hint="eastAsia" w:ascii="Times New Roman" w:hAnsi="Times New Roman" w:cs="Times New Roman"/>
          <w:color w:val="auto"/>
          <w:w w:val="99"/>
          <w:highlight w:val="none"/>
          <w:lang w:bidi="zh-CN"/>
        </w:rPr>
        <w:t>5</w:t>
      </w:r>
      <w:r>
        <w:rPr>
          <w:rFonts w:ascii="Times New Roman" w:hAnsi="Times New Roman" w:cs="Times New Roman"/>
          <w:color w:val="auto"/>
          <w:w w:val="99"/>
          <w:highlight w:val="none"/>
          <w:lang w:bidi="zh-CN"/>
        </w:rPr>
        <w:t>°</w:t>
      </w:r>
      <w:r>
        <w:rPr>
          <w:rFonts w:hint="eastAsia" w:ascii="Times New Roman" w:hAnsi="Times New Roman" w:cs="Times New Roman"/>
          <w:color w:val="auto"/>
          <w:w w:val="99"/>
          <w:highlight w:val="none"/>
          <w:lang w:bidi="zh-CN"/>
        </w:rPr>
        <w:t>54</w:t>
      </w:r>
      <w:r>
        <w:rPr>
          <w:rFonts w:ascii="Times New Roman" w:hAnsi="Times New Roman" w:cs="Times New Roman"/>
          <w:color w:val="auto"/>
          <w:w w:val="99"/>
          <w:highlight w:val="none"/>
          <w:lang w:bidi="zh-CN"/>
        </w:rPr>
        <w:t>′</w:t>
      </w:r>
      <w:r>
        <w:rPr>
          <w:rFonts w:hint="eastAsia" w:ascii="Times New Roman" w:hAnsi="Times New Roman" w:cs="Times New Roman"/>
          <w:color w:val="auto"/>
          <w:w w:val="99"/>
          <w:highlight w:val="none"/>
          <w:lang w:bidi="zh-CN"/>
        </w:rPr>
        <w:t>39</w:t>
      </w:r>
      <w:r>
        <w:rPr>
          <w:rFonts w:ascii="Times New Roman" w:hAnsi="Times New Roman" w:cs="Times New Roman"/>
          <w:color w:val="auto"/>
          <w:w w:val="99"/>
          <w:highlight w:val="none"/>
          <w:lang w:bidi="zh-CN"/>
        </w:rPr>
        <w:t>″。</w:t>
      </w:r>
    </w:p>
    <w:p w14:paraId="0688E06C">
      <w:pPr>
        <w:pStyle w:val="153"/>
        <w:widowControl w:val="0"/>
        <w:ind w:firstLine="473"/>
        <w:jc w:val="both"/>
        <w:rPr>
          <w:rFonts w:ascii="Times New Roman" w:hAnsi="Times New Roman" w:eastAsiaTheme="minorEastAsia"/>
          <w:snapToGrid w:val="0"/>
          <w:color w:val="auto"/>
          <w:w w:val="99"/>
          <w:highlight w:val="none"/>
        </w:rPr>
      </w:pPr>
      <w:r>
        <w:rPr>
          <w:rFonts w:hint="eastAsia" w:ascii="Times New Roman" w:hAnsi="Times New Roman"/>
          <w:color w:val="auto"/>
          <w:w w:val="99"/>
          <w:highlight w:val="none"/>
          <w:lang w:bidi="zh-CN"/>
        </w:rPr>
        <w:t>本项目拟在已开发的徐深气田徐深27区块</w:t>
      </w:r>
      <w:r>
        <w:rPr>
          <w:rFonts w:hint="eastAsia" w:ascii="Times New Roman" w:hAnsi="Times New Roman" w:eastAsiaTheme="minorEastAsia"/>
          <w:snapToGrid w:val="0"/>
          <w:color w:val="auto"/>
          <w:w w:val="99"/>
          <w:highlight w:val="none"/>
        </w:rPr>
        <w:t>基建1口气井，井场设置80kW电磁涡流加热装置1座</w:t>
      </w:r>
      <w:r>
        <w:rPr>
          <w:rFonts w:ascii="Times New Roman" w:hAnsi="Times New Roman" w:eastAsiaTheme="minorEastAsia"/>
          <w:snapToGrid w:val="0"/>
          <w:color w:val="auto"/>
          <w:w w:val="99"/>
          <w:highlight w:val="none"/>
        </w:rPr>
        <w:t>；</w:t>
      </w:r>
      <w:r>
        <w:rPr>
          <w:rFonts w:hint="eastAsia" w:ascii="Times New Roman" w:hAnsi="Times New Roman" w:eastAsiaTheme="minorEastAsia"/>
          <w:snapToGrid w:val="0"/>
          <w:color w:val="auto"/>
          <w:w w:val="99"/>
          <w:highlight w:val="none"/>
        </w:rPr>
        <w:t>新建采气管道1.92km；对徐深27集气站</w:t>
      </w:r>
      <w:r>
        <w:rPr>
          <w:rFonts w:ascii="Times New Roman" w:hAnsi="Times New Roman" w:eastAsiaTheme="minorEastAsia"/>
          <w:snapToGrid w:val="0"/>
          <w:color w:val="auto"/>
          <w:w w:val="99"/>
          <w:highlight w:val="none"/>
        </w:rPr>
        <w:t>配套新建1口气井进站阀组和生产阀组，新建低压电力电缆0.2km，敷设至用电设备</w:t>
      </w:r>
      <w:r>
        <w:rPr>
          <w:rFonts w:hint="eastAsia" w:ascii="Times New Roman" w:hAnsi="Times New Roman" w:eastAsiaTheme="minorEastAsia"/>
          <w:snapToGrid w:val="0"/>
          <w:color w:val="auto"/>
          <w:w w:val="99"/>
          <w:highlight w:val="none"/>
        </w:rPr>
        <w:t>；井口新建柱上变1座，新建10kV线路0.8km；新建沥青砼通井路0.2km，建成产能为9.0</w:t>
      </w:r>
      <w:r>
        <w:rPr>
          <w:rFonts w:ascii="Times New Roman" w:hAnsi="Times New Roman"/>
          <w:color w:val="auto"/>
          <w:w w:val="99"/>
          <w:highlight w:val="none"/>
        </w:rPr>
        <w:t>×10</w:t>
      </w:r>
      <w:r>
        <w:rPr>
          <w:rFonts w:hint="eastAsia" w:ascii="Times New Roman" w:hAnsi="Times New Roman"/>
          <w:color w:val="auto"/>
          <w:w w:val="99"/>
          <w:highlight w:val="none"/>
          <w:vertAlign w:val="superscript"/>
        </w:rPr>
        <w:t>4</w:t>
      </w:r>
      <w:r>
        <w:rPr>
          <w:rFonts w:ascii="Times New Roman" w:hAnsi="Times New Roman"/>
          <w:color w:val="auto"/>
          <w:w w:val="99"/>
          <w:highlight w:val="none"/>
        </w:rPr>
        <w:t>m</w:t>
      </w:r>
      <w:r>
        <w:rPr>
          <w:rFonts w:ascii="Times New Roman" w:hAnsi="Times New Roman"/>
          <w:color w:val="auto"/>
          <w:w w:val="99"/>
          <w:highlight w:val="none"/>
          <w:vertAlign w:val="superscript"/>
        </w:rPr>
        <w:t>3</w:t>
      </w:r>
      <w:r>
        <w:rPr>
          <w:rFonts w:ascii="Times New Roman" w:hAnsi="Times New Roman"/>
          <w:color w:val="auto"/>
          <w:w w:val="99"/>
          <w:highlight w:val="none"/>
        </w:rPr>
        <w:t>/</w:t>
      </w:r>
      <w:r>
        <w:rPr>
          <w:rFonts w:hint="eastAsia" w:ascii="Times New Roman" w:hAnsi="Times New Roman"/>
          <w:color w:val="auto"/>
          <w:w w:val="99"/>
          <w:highlight w:val="none"/>
        </w:rPr>
        <w:t>d</w:t>
      </w:r>
      <w:r>
        <w:rPr>
          <w:rFonts w:ascii="Times New Roman" w:hAnsi="Times New Roman"/>
          <w:bCs/>
          <w:color w:val="auto"/>
          <w:w w:val="99"/>
          <w:kern w:val="2"/>
          <w:highlight w:val="none"/>
        </w:rPr>
        <w:t>。</w:t>
      </w:r>
    </w:p>
    <w:p w14:paraId="4C164EA0">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本项目新增总占地面积为</w:t>
      </w:r>
      <w:r>
        <w:rPr>
          <w:rFonts w:hint="eastAsia" w:ascii="Times New Roman" w:hAnsi="Times New Roman" w:cs="Times New Roman"/>
          <w:color w:val="auto"/>
          <w:w w:val="99"/>
          <w:highlight w:val="none"/>
          <w:lang w:bidi="zh-CN"/>
        </w:rPr>
        <w:t>2.013</w:t>
      </w:r>
      <w:r>
        <w:rPr>
          <w:rFonts w:ascii="Times New Roman" w:hAnsi="Times New Roman" w:cs="Times New Roman"/>
          <w:color w:val="auto"/>
          <w:w w:val="99"/>
          <w:highlight w:val="none"/>
          <w:lang w:bidi="zh-CN"/>
        </w:rPr>
        <w:t>hm</w:t>
      </w:r>
      <w:r>
        <w:rPr>
          <w:rFonts w:ascii="Times New Roman" w:hAnsi="Times New Roman" w:cs="Times New Roman"/>
          <w:color w:val="auto"/>
          <w:w w:val="99"/>
          <w:highlight w:val="none"/>
          <w:vertAlign w:val="superscript"/>
          <w:lang w:bidi="zh-CN"/>
        </w:rPr>
        <w:t>2</w:t>
      </w:r>
      <w:r>
        <w:rPr>
          <w:rFonts w:ascii="Times New Roman" w:hAnsi="Times New Roman" w:cs="Times New Roman"/>
          <w:color w:val="auto"/>
          <w:w w:val="99"/>
          <w:highlight w:val="none"/>
          <w:lang w:bidi="zh-CN"/>
        </w:rPr>
        <w:t>，其中永久占地面积为</w:t>
      </w:r>
      <w:r>
        <w:rPr>
          <w:rFonts w:hint="eastAsia" w:ascii="Times New Roman" w:hAnsi="Times New Roman" w:cs="Times New Roman"/>
          <w:color w:val="auto"/>
          <w:w w:val="99"/>
          <w:highlight w:val="none"/>
          <w:lang w:bidi="zh-CN"/>
        </w:rPr>
        <w:t>0.0901</w:t>
      </w:r>
      <w:r>
        <w:rPr>
          <w:rFonts w:ascii="Times New Roman" w:hAnsi="Times New Roman" w:cs="Times New Roman"/>
          <w:color w:val="auto"/>
          <w:w w:val="99"/>
          <w:highlight w:val="none"/>
          <w:lang w:bidi="zh-CN"/>
        </w:rPr>
        <w:t>hm</w:t>
      </w:r>
      <w:r>
        <w:rPr>
          <w:rFonts w:ascii="Times New Roman" w:hAnsi="Times New Roman" w:cs="Times New Roman"/>
          <w:color w:val="auto"/>
          <w:w w:val="99"/>
          <w:highlight w:val="none"/>
          <w:vertAlign w:val="superscript"/>
          <w:lang w:bidi="zh-CN"/>
        </w:rPr>
        <w:t>2</w:t>
      </w:r>
      <w:r>
        <w:rPr>
          <w:rFonts w:ascii="Times New Roman" w:hAnsi="Times New Roman" w:cs="Times New Roman"/>
          <w:color w:val="auto"/>
          <w:w w:val="99"/>
          <w:highlight w:val="none"/>
          <w:lang w:bidi="zh-CN"/>
        </w:rPr>
        <w:t>，临时占地面积为</w:t>
      </w:r>
      <w:r>
        <w:rPr>
          <w:rFonts w:hint="eastAsia" w:ascii="Times New Roman" w:hAnsi="Times New Roman" w:cs="Times New Roman"/>
          <w:color w:val="auto"/>
          <w:w w:val="99"/>
          <w:highlight w:val="none"/>
          <w:lang w:bidi="zh-CN"/>
        </w:rPr>
        <w:t>1.9229</w:t>
      </w:r>
      <w:r>
        <w:rPr>
          <w:rFonts w:ascii="Times New Roman" w:hAnsi="Times New Roman" w:cs="Times New Roman"/>
          <w:color w:val="auto"/>
          <w:w w:val="99"/>
          <w:highlight w:val="none"/>
          <w:lang w:bidi="zh-CN"/>
        </w:rPr>
        <w:t>hm</w:t>
      </w:r>
      <w:r>
        <w:rPr>
          <w:rFonts w:ascii="Times New Roman" w:hAnsi="Times New Roman" w:cs="Times New Roman"/>
          <w:color w:val="auto"/>
          <w:w w:val="99"/>
          <w:highlight w:val="none"/>
          <w:vertAlign w:val="superscript"/>
          <w:lang w:bidi="zh-CN"/>
        </w:rPr>
        <w:t>2</w:t>
      </w:r>
      <w:r>
        <w:rPr>
          <w:rFonts w:ascii="Times New Roman" w:hAnsi="Times New Roman" w:cs="Times New Roman"/>
          <w:color w:val="auto"/>
          <w:w w:val="99"/>
          <w:highlight w:val="none"/>
          <w:lang w:bidi="zh-CN"/>
        </w:rPr>
        <w:t>，占地类型为耕地（永久基本农田</w:t>
      </w:r>
      <w:r>
        <w:rPr>
          <w:rFonts w:hint="eastAsia" w:ascii="Times New Roman" w:hAnsi="Times New Roman" w:cs="Times New Roman"/>
          <w:color w:val="auto"/>
          <w:w w:val="99"/>
          <w:highlight w:val="none"/>
          <w:lang w:bidi="zh-CN"/>
        </w:rPr>
        <w:t>）</w:t>
      </w:r>
      <w:r>
        <w:rPr>
          <w:rFonts w:ascii="Times New Roman" w:hAnsi="Times New Roman" w:cs="Times New Roman"/>
          <w:color w:val="auto"/>
          <w:w w:val="99"/>
          <w:highlight w:val="none"/>
          <w:lang w:bidi="zh-CN"/>
        </w:rPr>
        <w:t>。本项目总投资</w:t>
      </w:r>
      <w:r>
        <w:rPr>
          <w:rFonts w:hint="eastAsia" w:ascii="Times New Roman" w:hAnsi="Times New Roman" w:cs="Times New Roman"/>
          <w:color w:val="auto"/>
          <w:w w:val="99"/>
          <w:highlight w:val="none"/>
          <w:lang w:bidi="zh-CN"/>
        </w:rPr>
        <w:t>567</w:t>
      </w:r>
      <w:r>
        <w:rPr>
          <w:rFonts w:ascii="Times New Roman" w:hAnsi="Times New Roman" w:cs="Times New Roman"/>
          <w:color w:val="auto"/>
          <w:w w:val="99"/>
          <w:highlight w:val="none"/>
          <w:lang w:bidi="zh-CN"/>
        </w:rPr>
        <w:t>万元，其中环保投资</w:t>
      </w:r>
      <w:r>
        <w:rPr>
          <w:rFonts w:hint="eastAsia" w:ascii="Times New Roman" w:hAnsi="Times New Roman" w:cs="Times New Roman"/>
          <w:color w:val="auto"/>
          <w:w w:val="99"/>
          <w:highlight w:val="none"/>
          <w:lang w:bidi="zh-CN"/>
        </w:rPr>
        <w:t>25.47</w:t>
      </w:r>
      <w:r>
        <w:rPr>
          <w:rFonts w:ascii="Times New Roman" w:hAnsi="Times New Roman" w:cs="Times New Roman"/>
          <w:color w:val="auto"/>
          <w:w w:val="99"/>
          <w:highlight w:val="none"/>
          <w:lang w:bidi="zh-CN"/>
        </w:rPr>
        <w:t>万元，环保投资占比为</w:t>
      </w:r>
      <w:r>
        <w:rPr>
          <w:rFonts w:hint="eastAsia" w:ascii="Times New Roman" w:hAnsi="Times New Roman" w:cs="Times New Roman"/>
          <w:color w:val="auto"/>
          <w:w w:val="99"/>
          <w:highlight w:val="none"/>
          <w:lang w:bidi="zh-CN"/>
        </w:rPr>
        <w:t>4.49</w:t>
      </w:r>
      <w:r>
        <w:rPr>
          <w:rFonts w:ascii="Times New Roman" w:hAnsi="Times New Roman" w:cs="Times New Roman"/>
          <w:color w:val="auto"/>
          <w:w w:val="99"/>
          <w:highlight w:val="none"/>
          <w:lang w:bidi="zh-CN"/>
        </w:rPr>
        <w:t>%。</w:t>
      </w:r>
    </w:p>
    <w:p w14:paraId="0ED31D3B">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241" w:name="_Toc173163566"/>
      <w:bookmarkStart w:id="1242" w:name="_Toc585"/>
      <w:r>
        <w:rPr>
          <w:rFonts w:ascii="Times New Roman" w:hAnsi="Times New Roman" w:eastAsiaTheme="minorEastAsia"/>
          <w:b/>
          <w:snapToGrid w:val="0"/>
          <w:color w:val="auto"/>
          <w:w w:val="99"/>
          <w:highlight w:val="none"/>
        </w:rPr>
        <w:t>9.2环境质量现状评价结论</w:t>
      </w:r>
      <w:bookmarkEnd w:id="1241"/>
      <w:bookmarkEnd w:id="1242"/>
    </w:p>
    <w:p w14:paraId="54151063">
      <w:pPr>
        <w:pStyle w:val="7"/>
        <w:widowControl w:val="0"/>
        <w:spacing w:before="60" w:after="60" w:line="440" w:lineRule="exact"/>
        <w:jc w:val="both"/>
        <w:rPr>
          <w:rFonts w:eastAsiaTheme="minorEastAsia"/>
          <w:b/>
          <w:color w:val="auto"/>
          <w:w w:val="99"/>
          <w:kern w:val="2"/>
          <w:sz w:val="24"/>
          <w:szCs w:val="24"/>
          <w:highlight w:val="none"/>
        </w:rPr>
      </w:pPr>
      <w:bookmarkStart w:id="1243" w:name="_Toc127192460"/>
      <w:bookmarkStart w:id="1244" w:name="_Toc186444412"/>
      <w:bookmarkStart w:id="1245" w:name="_Toc131167412"/>
      <w:bookmarkStart w:id="1246" w:name="_Toc85640879"/>
      <w:bookmarkStart w:id="1247" w:name="_Toc84929355"/>
      <w:bookmarkStart w:id="1248" w:name="_Toc143099699"/>
      <w:bookmarkStart w:id="1249" w:name="_Toc86142054"/>
      <w:bookmarkStart w:id="1250" w:name="_Toc126863511"/>
      <w:r>
        <w:rPr>
          <w:rFonts w:eastAsiaTheme="minorEastAsia"/>
          <w:b/>
          <w:color w:val="auto"/>
          <w:w w:val="99"/>
          <w:kern w:val="2"/>
          <w:sz w:val="24"/>
          <w:szCs w:val="24"/>
          <w:highlight w:val="none"/>
        </w:rPr>
        <w:t>9.2.1大气环境质量现状评价结论</w:t>
      </w:r>
      <w:bookmarkEnd w:id="1243"/>
      <w:bookmarkEnd w:id="1244"/>
      <w:bookmarkEnd w:id="1245"/>
      <w:bookmarkEnd w:id="1246"/>
      <w:bookmarkEnd w:id="1247"/>
      <w:bookmarkEnd w:id="1248"/>
      <w:bookmarkEnd w:id="1249"/>
      <w:bookmarkEnd w:id="1250"/>
    </w:p>
    <w:p w14:paraId="47228965">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根据《2024年绥化市生态环境状况公报》统计数据可知，项目所在区域属于不达标区，除PM</w:t>
      </w:r>
      <w:r>
        <w:rPr>
          <w:rFonts w:hint="eastAsia" w:ascii="Times New Roman" w:hAnsi="Times New Roman" w:cs="Times New Roman"/>
          <w:color w:val="auto"/>
          <w:w w:val="99"/>
          <w:highlight w:val="none"/>
          <w:vertAlign w:val="subscript"/>
          <w:lang w:bidi="zh-CN"/>
        </w:rPr>
        <w:t>2.5</w:t>
      </w:r>
      <w:r>
        <w:rPr>
          <w:rFonts w:hint="eastAsia" w:ascii="Times New Roman" w:hAnsi="Times New Roman" w:cs="Times New Roman"/>
          <w:color w:val="auto"/>
          <w:w w:val="99"/>
          <w:highlight w:val="none"/>
          <w:lang w:bidi="zh-CN"/>
        </w:rPr>
        <w:t>均能满足《环境空气质量标准》（GB3095-2026）</w:t>
      </w:r>
      <w:r>
        <w:rPr>
          <w:rFonts w:hint="eastAsia" w:ascii="Times New Roman" w:hAnsi="Times New Roman" w:cs="Times New Roman"/>
          <w:color w:val="auto"/>
          <w:w w:val="99"/>
          <w:highlight w:val="none"/>
          <w:lang w:val="en-US" w:bidi="zh-CN"/>
        </w:rPr>
        <w:t>过渡阶段</w:t>
      </w:r>
      <w:r>
        <w:rPr>
          <w:rFonts w:hint="eastAsia" w:ascii="Times New Roman" w:hAnsi="Times New Roman" w:cs="Times New Roman"/>
          <w:color w:val="auto"/>
          <w:w w:val="99"/>
          <w:highlight w:val="none"/>
          <w:lang w:bidi="zh-CN"/>
        </w:rPr>
        <w:t>二级标准要求。根据补充监测可知，区域特征污染物非甲烷总烃满足《大气污染物综合排放标准详解》中的2.0mg/m</w:t>
      </w:r>
      <w:r>
        <w:rPr>
          <w:rFonts w:hint="eastAsia" w:ascii="Times New Roman" w:hAnsi="Times New Roman" w:cs="Times New Roman"/>
          <w:color w:val="auto"/>
          <w:w w:val="99"/>
          <w:highlight w:val="none"/>
          <w:vertAlign w:val="superscript"/>
          <w:lang w:bidi="zh-CN"/>
        </w:rPr>
        <w:t>3</w:t>
      </w:r>
      <w:r>
        <w:rPr>
          <w:rFonts w:hint="eastAsia" w:ascii="Times New Roman" w:hAnsi="Times New Roman" w:cs="Times New Roman"/>
          <w:color w:val="auto"/>
          <w:w w:val="99"/>
          <w:highlight w:val="none"/>
          <w:lang w:bidi="zh-CN"/>
        </w:rPr>
        <w:t xml:space="preserve">标准要求， </w:t>
      </w:r>
      <w:r>
        <w:rPr>
          <w:rFonts w:ascii="Times New Roman" w:hAnsi="Times New Roman" w:cs="Times New Roman" w:eastAsiaTheme="minorEastAsia"/>
          <w:color w:val="auto"/>
          <w:w w:val="99"/>
          <w:szCs w:val="28"/>
          <w:highlight w:val="none"/>
        </w:rPr>
        <w:t>甲醇</w:t>
      </w:r>
      <w:r>
        <w:rPr>
          <w:rFonts w:hint="eastAsia" w:ascii="Times New Roman" w:hAnsi="Times New Roman" w:cs="Times New Roman" w:eastAsiaTheme="minorEastAsia"/>
          <w:color w:val="auto"/>
          <w:w w:val="99"/>
          <w:szCs w:val="28"/>
          <w:highlight w:val="none"/>
        </w:rPr>
        <w:t>满足</w:t>
      </w:r>
      <w:r>
        <w:rPr>
          <w:rFonts w:ascii="Times New Roman" w:hAnsi="Times New Roman" w:cs="Times New Roman" w:eastAsiaTheme="minorEastAsia"/>
          <w:color w:val="auto"/>
          <w:w w:val="99"/>
          <w:szCs w:val="28"/>
          <w:highlight w:val="none"/>
        </w:rPr>
        <w:t>标准《环境影响评价技术导则 大气环境》(HJ2.2-2018）附录 D 中甲醇 1h平均浓度参考限值3.0mg/m</w:t>
      </w:r>
      <w:r>
        <w:rPr>
          <w:rFonts w:ascii="Times New Roman" w:hAnsi="Times New Roman" w:cs="Times New Roman" w:eastAsiaTheme="minorEastAsia"/>
          <w:color w:val="auto"/>
          <w:w w:val="99"/>
          <w:szCs w:val="28"/>
          <w:highlight w:val="none"/>
          <w:vertAlign w:val="superscript"/>
        </w:rPr>
        <w:t>3</w:t>
      </w:r>
      <w:r>
        <w:rPr>
          <w:rFonts w:ascii="Times New Roman" w:hAnsi="Times New Roman" w:cs="Times New Roman" w:eastAsiaTheme="minorEastAsia"/>
          <w:color w:val="auto"/>
          <w:w w:val="99"/>
          <w:szCs w:val="28"/>
          <w:highlight w:val="none"/>
        </w:rPr>
        <w:t>。</w:t>
      </w:r>
      <w:r>
        <w:rPr>
          <w:rFonts w:ascii="Times New Roman" w:hAnsi="Times New Roman" w:cs="Times New Roman" w:eastAsiaTheme="minorEastAsia"/>
          <w:bCs/>
          <w:color w:val="auto"/>
          <w:w w:val="99"/>
          <w:kern w:val="21"/>
          <w:highlight w:val="none"/>
        </w:rPr>
        <w:t>说明评价区域内大气环境质量较好。</w:t>
      </w:r>
    </w:p>
    <w:p w14:paraId="12FDC2F5">
      <w:pPr>
        <w:pStyle w:val="7"/>
        <w:keepNext w:val="0"/>
        <w:keepLines w:val="0"/>
        <w:widowControl w:val="0"/>
        <w:spacing w:before="60" w:after="60" w:line="440" w:lineRule="exact"/>
        <w:jc w:val="both"/>
        <w:rPr>
          <w:rFonts w:eastAsiaTheme="minorEastAsia"/>
          <w:b/>
          <w:color w:val="auto"/>
          <w:w w:val="99"/>
          <w:kern w:val="2"/>
          <w:sz w:val="24"/>
          <w:szCs w:val="24"/>
          <w:highlight w:val="none"/>
        </w:rPr>
      </w:pPr>
      <w:bookmarkStart w:id="1251" w:name="_Toc85640880"/>
      <w:bookmarkStart w:id="1252" w:name="_Toc186444413"/>
      <w:bookmarkStart w:id="1253" w:name="_Toc86142055"/>
      <w:bookmarkStart w:id="1254" w:name="_Toc143099700"/>
      <w:bookmarkStart w:id="1255" w:name="_Toc103610995"/>
      <w:bookmarkStart w:id="1256" w:name="_Toc100822236"/>
      <w:bookmarkStart w:id="1257" w:name="_Toc106810423"/>
      <w:bookmarkStart w:id="1258" w:name="_Toc84929356"/>
      <w:bookmarkStart w:id="1259" w:name="_Toc131167413"/>
      <w:bookmarkStart w:id="1260" w:name="_Toc85640881"/>
      <w:bookmarkStart w:id="1261" w:name="_Toc127192462"/>
      <w:bookmarkStart w:id="1262" w:name="_Toc84929357"/>
      <w:bookmarkStart w:id="1263" w:name="_Toc126863513"/>
      <w:bookmarkStart w:id="1264" w:name="_Toc86142056"/>
      <w:r>
        <w:rPr>
          <w:rFonts w:eastAsiaTheme="minorEastAsia"/>
          <w:b/>
          <w:color w:val="auto"/>
          <w:w w:val="99"/>
          <w:kern w:val="2"/>
          <w:sz w:val="24"/>
          <w:szCs w:val="24"/>
          <w:highlight w:val="none"/>
        </w:rPr>
        <w:t>9.2.2地表水环境质量现状评价结论</w:t>
      </w:r>
      <w:bookmarkEnd w:id="1251"/>
      <w:bookmarkEnd w:id="1252"/>
      <w:bookmarkEnd w:id="1253"/>
      <w:bookmarkEnd w:id="1254"/>
      <w:bookmarkEnd w:id="1255"/>
      <w:bookmarkEnd w:id="1256"/>
      <w:bookmarkEnd w:id="1257"/>
      <w:bookmarkEnd w:id="1258"/>
    </w:p>
    <w:p w14:paraId="2C2CED9F">
      <w:pPr>
        <w:pStyle w:val="153"/>
        <w:widowControl w:val="0"/>
        <w:spacing w:line="440" w:lineRule="exact"/>
        <w:ind w:firstLine="473"/>
        <w:jc w:val="both"/>
        <w:rPr>
          <w:rFonts w:ascii="Times New Roman" w:hAnsi="Times New Roman"/>
          <w:color w:val="auto"/>
          <w:w w:val="99"/>
          <w:highlight w:val="none"/>
          <w:lang w:bidi="zh-CN"/>
        </w:rPr>
      </w:pPr>
      <w:r>
        <w:rPr>
          <w:rFonts w:hint="eastAsia" w:ascii="Times New Roman" w:hAnsi="Times New Roman"/>
          <w:color w:val="auto"/>
          <w:w w:val="99"/>
          <w:highlight w:val="none"/>
          <w:lang w:bidi="zh-CN"/>
        </w:rPr>
        <w:t>本项目距离最近的地表水体为北大干渠，北大干渠未划分水体功能，不执行《地表水环境质量标准》（GB3838-2002）中的标准限值要求，本项目仅对北大干渠现状进行监测，监测结果显示本项目特征因子石油类未检出。</w:t>
      </w:r>
    </w:p>
    <w:p w14:paraId="52A4C494">
      <w:pPr>
        <w:pStyle w:val="7"/>
        <w:widowControl w:val="0"/>
        <w:spacing w:before="60" w:after="60" w:line="440" w:lineRule="exact"/>
        <w:jc w:val="both"/>
        <w:rPr>
          <w:rFonts w:eastAsiaTheme="minorEastAsia"/>
          <w:b/>
          <w:color w:val="auto"/>
          <w:w w:val="99"/>
          <w:kern w:val="2"/>
          <w:sz w:val="24"/>
          <w:szCs w:val="24"/>
          <w:highlight w:val="none"/>
        </w:rPr>
      </w:pPr>
      <w:bookmarkStart w:id="1265" w:name="_Toc143099701"/>
      <w:bookmarkStart w:id="1266" w:name="_Toc186444414"/>
      <w:r>
        <w:rPr>
          <w:rFonts w:eastAsiaTheme="minorEastAsia"/>
          <w:b/>
          <w:color w:val="auto"/>
          <w:w w:val="99"/>
          <w:kern w:val="2"/>
          <w:sz w:val="24"/>
          <w:szCs w:val="24"/>
          <w:highlight w:val="none"/>
        </w:rPr>
        <w:t>9.2.3地下水环境质量现状评价结论</w:t>
      </w:r>
      <w:bookmarkEnd w:id="1259"/>
      <w:bookmarkEnd w:id="1260"/>
      <w:bookmarkEnd w:id="1261"/>
      <w:bookmarkEnd w:id="1262"/>
      <w:bookmarkEnd w:id="1263"/>
      <w:bookmarkEnd w:id="1264"/>
      <w:bookmarkEnd w:id="1265"/>
      <w:bookmarkEnd w:id="1266"/>
    </w:p>
    <w:p w14:paraId="1616371D">
      <w:pPr>
        <w:pStyle w:val="153"/>
        <w:widowControl w:val="0"/>
        <w:spacing w:line="440" w:lineRule="exact"/>
        <w:ind w:firstLine="473"/>
        <w:jc w:val="both"/>
        <w:rPr>
          <w:rFonts w:ascii="Times New Roman" w:hAnsi="Times New Roman"/>
          <w:color w:val="auto"/>
          <w:w w:val="99"/>
          <w:highlight w:val="none"/>
          <w:lang w:bidi="zh-CN"/>
        </w:rPr>
      </w:pPr>
      <w:r>
        <w:rPr>
          <w:rFonts w:hint="eastAsia" w:ascii="Times New Roman" w:hAnsi="Times New Roman"/>
          <w:color w:val="auto"/>
          <w:w w:val="99"/>
          <w:highlight w:val="none"/>
          <w:lang w:bidi="zh-CN"/>
        </w:rPr>
        <w:t>评价区域地下水水质除潜水中锰外均满足《地下水质量标准》（GB/T14848-2017）中的Ⅲ类标准要求。其中锰因子水质监测浓度占标率偏高，主要是由于评价区域地层中富含锰矿物，还原条件下转化的可溶性Mn</w:t>
      </w:r>
      <w:r>
        <w:rPr>
          <w:rFonts w:hint="eastAsia" w:ascii="Times New Roman" w:hAnsi="Times New Roman"/>
          <w:color w:val="auto"/>
          <w:w w:val="99"/>
          <w:highlight w:val="none"/>
          <w:vertAlign w:val="superscript"/>
          <w:lang w:bidi="zh-CN"/>
        </w:rPr>
        <w:t>2+</w:t>
      </w:r>
      <w:r>
        <w:rPr>
          <w:rFonts w:hint="eastAsia" w:ascii="Times New Roman" w:hAnsi="Times New Roman"/>
          <w:color w:val="auto"/>
          <w:w w:val="99"/>
          <w:highlight w:val="none"/>
          <w:lang w:bidi="zh-CN"/>
        </w:rPr>
        <w:t>溶入地下水中，形成锰浓度偏高的水文地质化学环境。评价区域地下水化学类型主要为4-A型HCO</w:t>
      </w:r>
      <w:r>
        <w:rPr>
          <w:rFonts w:hint="eastAsia" w:ascii="Times New Roman" w:hAnsi="Times New Roman"/>
          <w:color w:val="auto"/>
          <w:w w:val="99"/>
          <w:highlight w:val="none"/>
          <w:vertAlign w:val="subscript"/>
          <w:lang w:bidi="zh-CN"/>
        </w:rPr>
        <w:t>3</w:t>
      </w:r>
      <w:r>
        <w:rPr>
          <w:rFonts w:hint="eastAsia" w:ascii="Times New Roman" w:hAnsi="Times New Roman"/>
          <w:color w:val="auto"/>
          <w:w w:val="99"/>
          <w:highlight w:val="none"/>
          <w:lang w:bidi="zh-CN"/>
        </w:rPr>
        <w:t>- Na+Ca淡水型淡水。</w:t>
      </w:r>
    </w:p>
    <w:p w14:paraId="6D4D02BD">
      <w:pPr>
        <w:pStyle w:val="153"/>
        <w:widowControl w:val="0"/>
        <w:spacing w:line="440" w:lineRule="exact"/>
        <w:ind w:firstLine="473"/>
        <w:jc w:val="both"/>
        <w:rPr>
          <w:rFonts w:ascii="Times New Roman" w:hAnsi="Times New Roman"/>
          <w:color w:val="auto"/>
          <w:w w:val="99"/>
          <w:highlight w:val="none"/>
          <w:lang w:bidi="zh-CN"/>
        </w:rPr>
      </w:pPr>
      <w:r>
        <w:rPr>
          <w:rFonts w:hint="eastAsia" w:ascii="Times New Roman" w:hAnsi="Times New Roman"/>
          <w:color w:val="auto"/>
          <w:w w:val="99"/>
          <w:highlight w:val="none"/>
          <w:lang w:bidi="zh-CN"/>
        </w:rPr>
        <w:t>评价区域内包气带中汞、砷均未检出，且污染控制点与清洁对照点油田特征污染物石油类、挥发酚所测数值相差不大，评价区域内包气带未被污染。</w:t>
      </w:r>
    </w:p>
    <w:p w14:paraId="3E6EF722">
      <w:pPr>
        <w:pStyle w:val="7"/>
        <w:widowControl w:val="0"/>
        <w:spacing w:before="60" w:after="60" w:line="440" w:lineRule="exact"/>
        <w:jc w:val="both"/>
        <w:rPr>
          <w:rFonts w:eastAsiaTheme="minorEastAsia"/>
          <w:b/>
          <w:color w:val="auto"/>
          <w:w w:val="99"/>
          <w:kern w:val="2"/>
          <w:sz w:val="24"/>
          <w:szCs w:val="24"/>
          <w:highlight w:val="none"/>
        </w:rPr>
      </w:pPr>
      <w:bookmarkStart w:id="1267" w:name="_Toc85640882"/>
      <w:bookmarkStart w:id="1268" w:name="_Toc131167414"/>
      <w:bookmarkStart w:id="1269" w:name="_Toc126863514"/>
      <w:bookmarkStart w:id="1270" w:name="_Toc86142057"/>
      <w:bookmarkStart w:id="1271" w:name="_Toc143099702"/>
      <w:bookmarkStart w:id="1272" w:name="_Toc84929358"/>
      <w:bookmarkStart w:id="1273" w:name="_Toc186444415"/>
      <w:bookmarkStart w:id="1274" w:name="_Toc127192463"/>
      <w:r>
        <w:rPr>
          <w:rFonts w:eastAsiaTheme="minorEastAsia"/>
          <w:b/>
          <w:color w:val="auto"/>
          <w:w w:val="99"/>
          <w:kern w:val="2"/>
          <w:sz w:val="24"/>
          <w:szCs w:val="24"/>
          <w:highlight w:val="none"/>
        </w:rPr>
        <w:t>9.2.4声环境质量现状评价结论</w:t>
      </w:r>
      <w:bookmarkEnd w:id="1267"/>
      <w:bookmarkEnd w:id="1268"/>
      <w:bookmarkEnd w:id="1269"/>
      <w:bookmarkEnd w:id="1270"/>
      <w:bookmarkEnd w:id="1271"/>
      <w:bookmarkEnd w:id="1272"/>
      <w:bookmarkEnd w:id="1273"/>
      <w:bookmarkEnd w:id="1274"/>
    </w:p>
    <w:p w14:paraId="420BB189">
      <w:pPr>
        <w:pStyle w:val="153"/>
        <w:widowControl w:val="0"/>
        <w:spacing w:line="440" w:lineRule="exact"/>
        <w:ind w:firstLine="473"/>
        <w:jc w:val="both"/>
        <w:rPr>
          <w:rFonts w:ascii="Times New Roman" w:hAnsi="Times New Roman"/>
          <w:color w:val="auto"/>
          <w:w w:val="99"/>
          <w:highlight w:val="none"/>
          <w:lang w:bidi="zh-CN"/>
        </w:rPr>
      </w:pPr>
      <w:r>
        <w:rPr>
          <w:rFonts w:hint="eastAsia" w:ascii="Times New Roman" w:hAnsi="Times New Roman"/>
          <w:color w:val="auto"/>
          <w:w w:val="99"/>
          <w:highlight w:val="none"/>
          <w:lang w:bidi="zh-CN"/>
        </w:rPr>
        <w:t>项目区域声环境满足《声环境质量标准》（GB3096-2008）2类标准，项目周边村屯声环境满足《声环境质量标准》（GB3096-2008）1类标准。</w:t>
      </w:r>
    </w:p>
    <w:p w14:paraId="55A6BAF9">
      <w:pPr>
        <w:pStyle w:val="7"/>
        <w:widowControl w:val="0"/>
        <w:spacing w:before="60" w:after="60" w:line="440" w:lineRule="exact"/>
        <w:jc w:val="both"/>
        <w:rPr>
          <w:rFonts w:eastAsiaTheme="minorEastAsia"/>
          <w:b/>
          <w:color w:val="auto"/>
          <w:w w:val="99"/>
          <w:kern w:val="2"/>
          <w:sz w:val="24"/>
          <w:szCs w:val="24"/>
          <w:highlight w:val="none"/>
        </w:rPr>
      </w:pPr>
      <w:bookmarkStart w:id="1275" w:name="_Toc143099703"/>
      <w:bookmarkStart w:id="1276" w:name="_Toc84929359"/>
      <w:bookmarkStart w:id="1277" w:name="_Toc86142058"/>
      <w:bookmarkStart w:id="1278" w:name="_Toc127192464"/>
      <w:bookmarkStart w:id="1279" w:name="_Toc186444416"/>
      <w:bookmarkStart w:id="1280" w:name="_Toc131167415"/>
      <w:bookmarkStart w:id="1281" w:name="_Toc126863515"/>
      <w:bookmarkStart w:id="1282" w:name="_Toc85640883"/>
      <w:r>
        <w:rPr>
          <w:rFonts w:eastAsiaTheme="minorEastAsia"/>
          <w:b/>
          <w:color w:val="auto"/>
          <w:w w:val="99"/>
          <w:kern w:val="2"/>
          <w:sz w:val="24"/>
          <w:szCs w:val="24"/>
          <w:highlight w:val="none"/>
        </w:rPr>
        <w:t>9.2.5土壤现状评价结论</w:t>
      </w:r>
      <w:bookmarkEnd w:id="1275"/>
      <w:bookmarkEnd w:id="1276"/>
      <w:bookmarkEnd w:id="1277"/>
      <w:bookmarkEnd w:id="1278"/>
      <w:bookmarkEnd w:id="1279"/>
      <w:bookmarkEnd w:id="1280"/>
      <w:bookmarkEnd w:id="1281"/>
      <w:bookmarkEnd w:id="1282"/>
    </w:p>
    <w:p w14:paraId="785FB300">
      <w:pPr>
        <w:pStyle w:val="160"/>
        <w:widowControl w:val="0"/>
        <w:spacing w:line="440" w:lineRule="exact"/>
        <w:ind w:firstLine="473"/>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评价区域内土壤环境质量较好，没有出现超标情况。本项目永久占地内土壤及现有井场、场站土壤满足《土壤环境质量 建设用地土壤污染风险管控标准（试行）》（GB36600-2018）中第二类用地筛选值标准，评价范围内居住区土壤满足《土壤环境质量 建设用地土壤污染风险管控标准（试行）》（GB36600-2018）中第一类用地筛选值标准，评价范围内农用地土壤满足《土壤环境质量 农用地土壤污染风险管控标准（试行）》（GB15618-2018）表1农用地土壤风险筛选值。</w:t>
      </w:r>
    </w:p>
    <w:p w14:paraId="0A631152">
      <w:pPr>
        <w:pStyle w:val="7"/>
        <w:widowControl w:val="0"/>
        <w:spacing w:before="60" w:after="60" w:line="440" w:lineRule="exact"/>
        <w:jc w:val="both"/>
        <w:rPr>
          <w:rFonts w:eastAsiaTheme="minorEastAsia"/>
          <w:b/>
          <w:color w:val="auto"/>
          <w:w w:val="99"/>
          <w:kern w:val="2"/>
          <w:sz w:val="24"/>
          <w:szCs w:val="24"/>
          <w:highlight w:val="none"/>
        </w:rPr>
      </w:pPr>
      <w:bookmarkStart w:id="1283" w:name="_Toc131167416"/>
      <w:bookmarkStart w:id="1284" w:name="_Toc186444417"/>
      <w:bookmarkStart w:id="1285" w:name="_Toc85640884"/>
      <w:bookmarkStart w:id="1286" w:name="_Toc86142059"/>
      <w:bookmarkStart w:id="1287" w:name="_Toc127192465"/>
      <w:bookmarkStart w:id="1288" w:name="_Toc143099704"/>
      <w:bookmarkStart w:id="1289" w:name="_Toc84929360"/>
      <w:bookmarkStart w:id="1290" w:name="_Toc126863516"/>
      <w:r>
        <w:rPr>
          <w:rFonts w:eastAsiaTheme="minorEastAsia"/>
          <w:b/>
          <w:color w:val="auto"/>
          <w:w w:val="99"/>
          <w:kern w:val="2"/>
          <w:sz w:val="24"/>
          <w:szCs w:val="24"/>
          <w:highlight w:val="none"/>
        </w:rPr>
        <w:t>9.2.6生态环境现状评价结论</w:t>
      </w:r>
      <w:bookmarkEnd w:id="1283"/>
      <w:bookmarkEnd w:id="1284"/>
      <w:bookmarkEnd w:id="1285"/>
      <w:bookmarkEnd w:id="1286"/>
      <w:bookmarkEnd w:id="1287"/>
      <w:bookmarkEnd w:id="1288"/>
      <w:bookmarkEnd w:id="1289"/>
      <w:bookmarkEnd w:id="1290"/>
    </w:p>
    <w:p w14:paraId="159C3642">
      <w:pPr>
        <w:pStyle w:val="160"/>
        <w:widowControl w:val="0"/>
        <w:spacing w:line="440" w:lineRule="exact"/>
        <w:ind w:firstLine="473"/>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本项目评价范围内生态系统类型主要为农田生态系统。本项目评价范围内土地利用类型以草地及耕地为主，工程所在区域内主要土壤类型以黑钙土为主，工程所在区域人类活动频繁，野生动物较少，区域生态环境总体质量较好。</w:t>
      </w:r>
    </w:p>
    <w:p w14:paraId="24DA2FAF">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291" w:name="_Toc17645"/>
      <w:bookmarkStart w:id="1292" w:name="_Toc173163567"/>
      <w:r>
        <w:rPr>
          <w:rFonts w:ascii="Times New Roman" w:hAnsi="Times New Roman" w:eastAsiaTheme="minorEastAsia"/>
          <w:b/>
          <w:snapToGrid w:val="0"/>
          <w:color w:val="auto"/>
          <w:w w:val="99"/>
          <w:highlight w:val="none"/>
        </w:rPr>
        <w:t>9.3环境影响分析和污染防治措施可行性结论</w:t>
      </w:r>
      <w:bookmarkEnd w:id="1291"/>
      <w:bookmarkEnd w:id="1292"/>
    </w:p>
    <w:p w14:paraId="61641EC5">
      <w:pPr>
        <w:pStyle w:val="7"/>
        <w:widowControl w:val="0"/>
        <w:spacing w:before="60" w:after="60" w:line="440" w:lineRule="exact"/>
        <w:jc w:val="both"/>
        <w:rPr>
          <w:rFonts w:eastAsiaTheme="minorEastAsia"/>
          <w:b/>
          <w:color w:val="auto"/>
          <w:w w:val="99"/>
          <w:kern w:val="2"/>
          <w:sz w:val="24"/>
          <w:szCs w:val="24"/>
          <w:highlight w:val="none"/>
        </w:rPr>
      </w:pPr>
      <w:bookmarkStart w:id="1293" w:name="_Toc86142061"/>
      <w:bookmarkStart w:id="1294" w:name="_Toc143099706"/>
      <w:bookmarkStart w:id="1295" w:name="_Toc126863518"/>
      <w:bookmarkStart w:id="1296" w:name="_Toc186444419"/>
      <w:bookmarkStart w:id="1297" w:name="_Toc131167418"/>
      <w:bookmarkStart w:id="1298" w:name="_Toc127192467"/>
      <w:bookmarkStart w:id="1299" w:name="_Toc84929362"/>
      <w:bookmarkStart w:id="1300" w:name="_Toc85640886"/>
      <w:r>
        <w:rPr>
          <w:rFonts w:eastAsiaTheme="minorEastAsia"/>
          <w:b/>
          <w:color w:val="auto"/>
          <w:w w:val="99"/>
          <w:kern w:val="2"/>
          <w:sz w:val="24"/>
          <w:szCs w:val="24"/>
          <w:highlight w:val="none"/>
        </w:rPr>
        <w:t>9.3.1大气环境影响分析和污染防治措施可行性结论</w:t>
      </w:r>
      <w:bookmarkEnd w:id="1293"/>
      <w:bookmarkEnd w:id="1294"/>
      <w:bookmarkEnd w:id="1295"/>
      <w:bookmarkEnd w:id="1296"/>
      <w:bookmarkEnd w:id="1297"/>
      <w:bookmarkEnd w:id="1298"/>
      <w:bookmarkEnd w:id="1299"/>
      <w:bookmarkEnd w:id="1300"/>
    </w:p>
    <w:p w14:paraId="58FD4F5F">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施工期对施工场地采取洒水抑尘，对易起尘的临时土方等加盖苫布，施工运输车辆采取密闭措施或加盖苫布，加强施工管理，施工期界外扬尘满足《大气污染物综合排放标准》（GB16297-1996）中无组织排放监控浓度限值。</w:t>
      </w:r>
    </w:p>
    <w:p w14:paraId="08DAC742">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运营期天然气采用密闭集输工艺，井口安装密封垫，新建采气管道、阀组、法兰等动静密封系统要加强密闭措施，防止烃类气体的无组织挥发。井场及场站厂界外非甲烷总烃满足《陆上石油天然气开采工业大气污染物排放标准》（GB39728-2020）5.9中规定要求。</w:t>
      </w:r>
    </w:p>
    <w:p w14:paraId="4C1AD6FD">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依托场站内加热炉采用清洁能源天然气作为燃料，并采用低氮燃烧器，加热炉燃烧产生的废气均经不低于8m的烟囱高空排放，能够达到《锅炉大气污染物排放标准》（GB13271-2014）表2中新建燃气锅炉标准限值要求。</w:t>
      </w:r>
    </w:p>
    <w:p w14:paraId="3CB6819A">
      <w:pPr>
        <w:pStyle w:val="7"/>
        <w:widowControl w:val="0"/>
        <w:spacing w:before="60" w:after="60" w:line="440" w:lineRule="exact"/>
        <w:jc w:val="both"/>
        <w:rPr>
          <w:rFonts w:eastAsiaTheme="minorEastAsia"/>
          <w:b/>
          <w:color w:val="auto"/>
          <w:w w:val="99"/>
          <w:kern w:val="2"/>
          <w:sz w:val="24"/>
          <w:szCs w:val="24"/>
          <w:highlight w:val="none"/>
        </w:rPr>
      </w:pPr>
      <w:bookmarkStart w:id="1301" w:name="_Toc186444420"/>
      <w:bookmarkStart w:id="1302" w:name="_Toc131167419"/>
      <w:bookmarkStart w:id="1303" w:name="_Toc143099707"/>
      <w:bookmarkStart w:id="1304" w:name="_Toc85640887"/>
      <w:bookmarkStart w:id="1305" w:name="_Toc84929363"/>
      <w:bookmarkStart w:id="1306" w:name="_Toc127192468"/>
      <w:bookmarkStart w:id="1307" w:name="_Toc86142062"/>
      <w:bookmarkStart w:id="1308" w:name="_Toc126863519"/>
      <w:r>
        <w:rPr>
          <w:rFonts w:eastAsiaTheme="minorEastAsia"/>
          <w:b/>
          <w:color w:val="auto"/>
          <w:w w:val="99"/>
          <w:kern w:val="2"/>
          <w:sz w:val="24"/>
          <w:szCs w:val="24"/>
          <w:highlight w:val="none"/>
        </w:rPr>
        <w:t>9.3.2水环境影响分析和污染防治措施可行性结论</w:t>
      </w:r>
      <w:bookmarkEnd w:id="1301"/>
      <w:bookmarkEnd w:id="1302"/>
      <w:bookmarkEnd w:id="1303"/>
      <w:bookmarkEnd w:id="1304"/>
      <w:bookmarkEnd w:id="1305"/>
      <w:bookmarkEnd w:id="1306"/>
      <w:bookmarkEnd w:id="1307"/>
      <w:bookmarkEnd w:id="1308"/>
    </w:p>
    <w:p w14:paraId="4096B4AE">
      <w:pPr>
        <w:pStyle w:val="153"/>
        <w:widowControl w:val="0"/>
        <w:spacing w:line="440" w:lineRule="exact"/>
        <w:ind w:firstLine="473"/>
        <w:jc w:val="both"/>
        <w:rPr>
          <w:rFonts w:ascii="Times New Roman" w:hAnsi="Times New Roman"/>
          <w:color w:val="auto"/>
          <w:w w:val="99"/>
          <w:highlight w:val="none"/>
        </w:rPr>
      </w:pPr>
      <w:r>
        <w:rPr>
          <w:rFonts w:ascii="Times New Roman" w:hAnsi="Times New Roman"/>
          <w:color w:val="auto"/>
          <w:w w:val="99"/>
          <w:highlight w:val="none"/>
          <w:lang w:bidi="zh-CN"/>
        </w:rPr>
        <w:t>施工期施工人员产生的生活污水排入周边集气站已建生活污水收集设施，</w:t>
      </w:r>
      <w:r>
        <w:rPr>
          <w:rFonts w:hint="eastAsia" w:ascii="Times New Roman" w:hAnsi="Times New Roman"/>
          <w:color w:val="auto"/>
          <w:w w:val="99"/>
          <w:highlight w:val="none"/>
        </w:rPr>
        <w:t>定期由大庆石油管理局有限公司庆南工矿服务公司红岗分公司拉运至大庆红岗区西巷污水回收站，管输至南区污水处理厂进行处理。</w:t>
      </w:r>
    </w:p>
    <w:p w14:paraId="709E58D7">
      <w:pPr>
        <w:widowControl w:val="0"/>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试压废水</w:t>
      </w:r>
      <w:r>
        <w:rPr>
          <w:rFonts w:hint="eastAsia" w:ascii="Times New Roman" w:hAnsi="Times New Roman" w:cs="Times New Roman"/>
          <w:color w:val="auto"/>
          <w:w w:val="99"/>
          <w:highlight w:val="none"/>
          <w:lang w:bidi="zh-CN"/>
        </w:rPr>
        <w:t>由罐车拉运至升一联气田污水预处理站，满足《大庆油田地面工程建设设计规定》（Q/SYDQ0639-2015）及《碎屑岩油藏注水水质指标技术要求及分析方法》（SY/T5329-2022）限值要求后回注油层，不外排。</w:t>
      </w:r>
    </w:p>
    <w:p w14:paraId="05C323F3">
      <w:pPr>
        <w:snapToGrid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气田采出水暂存于徐深27集气站污水储罐，再定期通过外输泵升压外输至气田采出水集输管网，并统一外输至升一联气田污水预处理站处理满足《大庆油田地面工程建设设计规定》（Q/SYDQ 0639-2015）、及《碎屑岩油藏注水水质指标技术要求及分析方法》（SY/T5329-2022）限值要求后回注油层。</w:t>
      </w:r>
    </w:p>
    <w:p w14:paraId="2A46CDDD">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本工程产生的各类废水均进行了妥善处理，不排入地表水体，不会对地表水环境产生影响。</w:t>
      </w:r>
    </w:p>
    <w:p w14:paraId="79544DAE">
      <w:pPr>
        <w:pStyle w:val="7"/>
        <w:widowControl w:val="0"/>
        <w:spacing w:before="60" w:after="60" w:line="440" w:lineRule="exact"/>
        <w:jc w:val="both"/>
        <w:rPr>
          <w:rFonts w:eastAsiaTheme="minorEastAsia"/>
          <w:b/>
          <w:color w:val="auto"/>
          <w:w w:val="99"/>
          <w:kern w:val="2"/>
          <w:sz w:val="24"/>
          <w:szCs w:val="24"/>
          <w:highlight w:val="none"/>
        </w:rPr>
      </w:pPr>
      <w:bookmarkStart w:id="1309" w:name="_Toc131167420"/>
      <w:bookmarkStart w:id="1310" w:name="_Toc84929364"/>
      <w:bookmarkStart w:id="1311" w:name="_Toc86142063"/>
      <w:bookmarkStart w:id="1312" w:name="_Toc127192469"/>
      <w:bookmarkStart w:id="1313" w:name="_Toc126863520"/>
      <w:bookmarkStart w:id="1314" w:name="_Toc186444421"/>
      <w:bookmarkStart w:id="1315" w:name="_Toc143099708"/>
      <w:bookmarkStart w:id="1316" w:name="_Toc85640888"/>
      <w:r>
        <w:rPr>
          <w:rFonts w:eastAsiaTheme="minorEastAsia"/>
          <w:b/>
          <w:color w:val="auto"/>
          <w:w w:val="99"/>
          <w:kern w:val="2"/>
          <w:sz w:val="24"/>
          <w:szCs w:val="24"/>
          <w:highlight w:val="none"/>
        </w:rPr>
        <w:t>9.3.3地下水</w:t>
      </w:r>
      <w:r>
        <w:rPr>
          <w:rFonts w:hint="eastAsia" w:eastAsiaTheme="minorEastAsia"/>
          <w:b/>
          <w:color w:val="auto"/>
          <w:w w:val="99"/>
          <w:kern w:val="2"/>
          <w:sz w:val="24"/>
          <w:szCs w:val="24"/>
          <w:highlight w:val="none"/>
        </w:rPr>
        <w:t>环</w:t>
      </w:r>
      <w:r>
        <w:rPr>
          <w:rFonts w:eastAsiaTheme="minorEastAsia"/>
          <w:b/>
          <w:color w:val="auto"/>
          <w:w w:val="99"/>
          <w:kern w:val="2"/>
          <w:sz w:val="24"/>
          <w:szCs w:val="24"/>
          <w:highlight w:val="none"/>
        </w:rPr>
        <w:t>境影响分析和污染防治措施可行性结论</w:t>
      </w:r>
      <w:bookmarkEnd w:id="1309"/>
      <w:bookmarkEnd w:id="1310"/>
      <w:bookmarkEnd w:id="1311"/>
      <w:bookmarkEnd w:id="1312"/>
      <w:bookmarkEnd w:id="1313"/>
      <w:bookmarkEnd w:id="1314"/>
      <w:bookmarkEnd w:id="1315"/>
      <w:bookmarkEnd w:id="1316"/>
    </w:p>
    <w:p w14:paraId="32350778">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本工程在正常且各项环境保护措施落实到位情况下对地下水环境影响较小，但在事故状态下可能对地下水环境造成影响，但在各项地下水污染防控措施及应急措施落实到位的情况下，对地下水环境影响较小。</w:t>
      </w:r>
    </w:p>
    <w:p w14:paraId="376C58CA">
      <w:pPr>
        <w:pStyle w:val="7"/>
        <w:widowControl w:val="0"/>
        <w:spacing w:before="60" w:after="60" w:line="440" w:lineRule="exact"/>
        <w:jc w:val="both"/>
        <w:rPr>
          <w:rFonts w:eastAsiaTheme="minorEastAsia"/>
          <w:b/>
          <w:color w:val="auto"/>
          <w:w w:val="99"/>
          <w:kern w:val="2"/>
          <w:sz w:val="24"/>
          <w:szCs w:val="24"/>
          <w:highlight w:val="none"/>
        </w:rPr>
      </w:pPr>
      <w:bookmarkStart w:id="1317" w:name="_Toc127192470"/>
      <w:bookmarkStart w:id="1318" w:name="_Toc143099709"/>
      <w:bookmarkStart w:id="1319" w:name="_Toc84929365"/>
      <w:bookmarkStart w:id="1320" w:name="_Toc186444422"/>
      <w:bookmarkStart w:id="1321" w:name="_Toc86142064"/>
      <w:bookmarkStart w:id="1322" w:name="_Toc131167421"/>
      <w:bookmarkStart w:id="1323" w:name="_Toc85640889"/>
      <w:bookmarkStart w:id="1324" w:name="_Toc126863521"/>
      <w:r>
        <w:rPr>
          <w:rFonts w:eastAsiaTheme="minorEastAsia"/>
          <w:b/>
          <w:color w:val="auto"/>
          <w:w w:val="99"/>
          <w:kern w:val="2"/>
          <w:sz w:val="24"/>
          <w:szCs w:val="24"/>
          <w:highlight w:val="none"/>
        </w:rPr>
        <w:t>9.3.4声环境影响分析和污染防治措施可行性结论</w:t>
      </w:r>
      <w:bookmarkEnd w:id="1317"/>
      <w:bookmarkEnd w:id="1318"/>
      <w:bookmarkEnd w:id="1319"/>
      <w:bookmarkEnd w:id="1320"/>
      <w:bookmarkEnd w:id="1321"/>
      <w:bookmarkEnd w:id="1322"/>
      <w:bookmarkEnd w:id="1323"/>
      <w:bookmarkEnd w:id="1324"/>
    </w:p>
    <w:p w14:paraId="52972130">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hint="eastAsia" w:ascii="Times New Roman" w:hAnsi="Times New Roman" w:cs="Times New Roman"/>
          <w:color w:val="auto"/>
          <w:w w:val="99"/>
          <w:highlight w:val="none"/>
          <w:lang w:bidi="zh-CN"/>
        </w:rPr>
        <w:t>在采取选用低噪声设备，采用减振、隔声等降噪措施，注意对设备的维护保养适当的降噪措施后，施工期场界噪声满足《建筑施工噪声排放标准》（GB12523-2025）要求，运营期井场及场站噪声满足《工业企业厂界环境噪声排放标准》（GB12348-2008）2类标准要求，对周围环境及环保目标影响很小。</w:t>
      </w:r>
    </w:p>
    <w:p w14:paraId="0AE1062F">
      <w:pPr>
        <w:pStyle w:val="7"/>
        <w:widowControl w:val="0"/>
        <w:spacing w:before="60" w:after="60" w:line="440" w:lineRule="exact"/>
        <w:jc w:val="both"/>
        <w:rPr>
          <w:rFonts w:eastAsiaTheme="minorEastAsia"/>
          <w:b/>
          <w:color w:val="auto"/>
          <w:w w:val="99"/>
          <w:kern w:val="2"/>
          <w:sz w:val="24"/>
          <w:szCs w:val="24"/>
          <w:highlight w:val="none"/>
        </w:rPr>
      </w:pPr>
      <w:bookmarkStart w:id="1325" w:name="_Toc86142065"/>
      <w:bookmarkStart w:id="1326" w:name="_Toc84929366"/>
      <w:bookmarkStart w:id="1327" w:name="_Toc126863522"/>
      <w:bookmarkStart w:id="1328" w:name="_Toc85640890"/>
      <w:bookmarkStart w:id="1329" w:name="_Toc143099710"/>
      <w:bookmarkStart w:id="1330" w:name="_Toc127192471"/>
      <w:bookmarkStart w:id="1331" w:name="_Toc131167422"/>
      <w:bookmarkStart w:id="1332" w:name="_Toc186444423"/>
      <w:r>
        <w:rPr>
          <w:rFonts w:eastAsiaTheme="minorEastAsia"/>
          <w:b/>
          <w:color w:val="auto"/>
          <w:w w:val="99"/>
          <w:kern w:val="2"/>
          <w:sz w:val="24"/>
          <w:szCs w:val="24"/>
          <w:highlight w:val="none"/>
        </w:rPr>
        <w:t>9.3.5固体废物环境影响分析和污染防治措施可行性结论</w:t>
      </w:r>
      <w:bookmarkEnd w:id="1325"/>
      <w:bookmarkEnd w:id="1326"/>
      <w:bookmarkEnd w:id="1327"/>
      <w:bookmarkEnd w:id="1328"/>
      <w:bookmarkEnd w:id="1329"/>
      <w:bookmarkEnd w:id="1330"/>
      <w:bookmarkEnd w:id="1331"/>
      <w:bookmarkEnd w:id="1332"/>
    </w:p>
    <w:p w14:paraId="75B6E115">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本项目施工期施工废料，由施工单位拉运至第八采油厂工业固废填埋场处理。施工人员产生的生活垃圾统一收集后拉运至肇东北控环境再生能源有限公司处理。</w:t>
      </w:r>
    </w:p>
    <w:p w14:paraId="03E5E2AF">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运营期产生的井口含油砂粒、废变压器油属于危险废物，均由检维修队送采气分公司危险废物贮存库内，定期委托有危废处置资质的单位处置。</w:t>
      </w:r>
    </w:p>
    <w:p w14:paraId="25361763">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本工程对施工期和运营期产生的各类固体废弃物均进行了合理的处置，能够实现固废的减量化、资源化和无害化，对环境影响较小。</w:t>
      </w:r>
    </w:p>
    <w:p w14:paraId="272BF334">
      <w:pPr>
        <w:pStyle w:val="7"/>
        <w:widowControl w:val="0"/>
        <w:spacing w:before="60" w:after="60" w:line="440" w:lineRule="exact"/>
        <w:jc w:val="both"/>
        <w:rPr>
          <w:rFonts w:eastAsiaTheme="minorEastAsia"/>
          <w:b/>
          <w:color w:val="auto"/>
          <w:w w:val="99"/>
          <w:kern w:val="2"/>
          <w:sz w:val="24"/>
          <w:szCs w:val="24"/>
          <w:highlight w:val="none"/>
        </w:rPr>
      </w:pPr>
      <w:bookmarkStart w:id="1333" w:name="_Toc131167423"/>
      <w:bookmarkStart w:id="1334" w:name="_Toc127192472"/>
      <w:bookmarkStart w:id="1335" w:name="_Toc85640891"/>
      <w:bookmarkStart w:id="1336" w:name="_Toc84929367"/>
      <w:bookmarkStart w:id="1337" w:name="_Toc186444424"/>
      <w:bookmarkStart w:id="1338" w:name="_Toc143099711"/>
      <w:bookmarkStart w:id="1339" w:name="_Toc86142066"/>
      <w:bookmarkStart w:id="1340" w:name="_Toc126863523"/>
      <w:r>
        <w:rPr>
          <w:rFonts w:eastAsiaTheme="minorEastAsia"/>
          <w:b/>
          <w:color w:val="auto"/>
          <w:w w:val="99"/>
          <w:kern w:val="2"/>
          <w:sz w:val="24"/>
          <w:szCs w:val="24"/>
          <w:highlight w:val="none"/>
        </w:rPr>
        <w:t>9.3.6生态环境影响分析和生态保护减缓措施可行性结论</w:t>
      </w:r>
      <w:bookmarkEnd w:id="1333"/>
      <w:bookmarkEnd w:id="1334"/>
      <w:bookmarkEnd w:id="1335"/>
      <w:bookmarkEnd w:id="1336"/>
      <w:bookmarkEnd w:id="1337"/>
      <w:bookmarkEnd w:id="1338"/>
      <w:bookmarkEnd w:id="1339"/>
      <w:bookmarkEnd w:id="1340"/>
    </w:p>
    <w:p w14:paraId="5C1DDB3E">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该项目的井场及场站、管道和道路建设对土地的侵占，对植被的破坏，将使气田开发区内的第一生产者的生物量有一定程度的下降。通过选择适当时机施工，并在建设过程中采取必要的生态保护措施，可最大程度减小该项目建设对生态环境的不利影响，使生态环境在尽可能短的时间内得到恢复。</w:t>
      </w:r>
    </w:p>
    <w:p w14:paraId="0070D310">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项目永久占用部分耕地，使土地利用类型转变为工业用地，永久占地按照“占一补一”原则开垦与所占用耕地的数量与质量相当的耕地，并采用分层剥离的方式保存所占用农田耕作层土壤，用于新开垦耕地、劣质地或者其他耕地的土壤改良等农田保护措施，对区域内农田分布不会造成较大影响。</w:t>
      </w:r>
    </w:p>
    <w:p w14:paraId="035DB1C2">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在制定相应的生态保护及恢复措施，并能够确保其切实执行的前提下，工程建设不会对现有生态环境造成太大的影响，在生态上是可行的。</w:t>
      </w:r>
    </w:p>
    <w:p w14:paraId="3C7901A5">
      <w:pPr>
        <w:pStyle w:val="7"/>
        <w:widowControl w:val="0"/>
        <w:spacing w:before="60" w:after="60" w:line="440" w:lineRule="exact"/>
        <w:jc w:val="both"/>
        <w:rPr>
          <w:rFonts w:eastAsiaTheme="minorEastAsia"/>
          <w:b/>
          <w:color w:val="auto"/>
          <w:w w:val="99"/>
          <w:kern w:val="2"/>
          <w:sz w:val="24"/>
          <w:szCs w:val="24"/>
          <w:highlight w:val="none"/>
        </w:rPr>
      </w:pPr>
      <w:bookmarkStart w:id="1341" w:name="_Toc86142067"/>
      <w:bookmarkStart w:id="1342" w:name="_Toc143099712"/>
      <w:bookmarkStart w:id="1343" w:name="_Toc126863524"/>
      <w:bookmarkStart w:id="1344" w:name="_Toc131167424"/>
      <w:bookmarkStart w:id="1345" w:name="_Toc127192473"/>
      <w:bookmarkStart w:id="1346" w:name="_Toc85640892"/>
      <w:bookmarkStart w:id="1347" w:name="_Toc84929368"/>
      <w:bookmarkStart w:id="1348" w:name="_Toc186444425"/>
      <w:r>
        <w:rPr>
          <w:rFonts w:eastAsiaTheme="minorEastAsia"/>
          <w:b/>
          <w:color w:val="auto"/>
          <w:w w:val="99"/>
          <w:kern w:val="2"/>
          <w:sz w:val="24"/>
          <w:szCs w:val="24"/>
          <w:highlight w:val="none"/>
        </w:rPr>
        <w:t>9.3.7土壤环境影响分析和保护措施可行性结论</w:t>
      </w:r>
      <w:bookmarkEnd w:id="1341"/>
      <w:bookmarkEnd w:id="1342"/>
      <w:bookmarkEnd w:id="1343"/>
      <w:bookmarkEnd w:id="1344"/>
      <w:bookmarkEnd w:id="1345"/>
      <w:bookmarkEnd w:id="1346"/>
      <w:bookmarkEnd w:id="1347"/>
      <w:bookmarkEnd w:id="1348"/>
    </w:p>
    <w:p w14:paraId="0940F5B0">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本项目井场、站场、管线、道路等施工过程对土壤的扰动，大型、重型机械设备的碾压，施工人员的践踏、材料堆放等都会破坏地表植被，使土壤紧实度增高，加上管道、道路修建时翻动土体，都会造成局部大片裸地出现，容易引起土壤风蚀和水土流失。气田在运行期对土壤环境影响较小。</w:t>
      </w:r>
    </w:p>
    <w:p w14:paraId="1C1E13E4">
      <w:pPr>
        <w:pStyle w:val="7"/>
        <w:widowControl w:val="0"/>
        <w:spacing w:before="60" w:after="60" w:line="440" w:lineRule="exact"/>
        <w:jc w:val="both"/>
        <w:rPr>
          <w:rFonts w:eastAsiaTheme="minorEastAsia"/>
          <w:b/>
          <w:color w:val="auto"/>
          <w:w w:val="99"/>
          <w:kern w:val="2"/>
          <w:sz w:val="24"/>
          <w:szCs w:val="24"/>
          <w:highlight w:val="none"/>
        </w:rPr>
      </w:pPr>
      <w:bookmarkStart w:id="1349" w:name="_Toc127192474"/>
      <w:bookmarkStart w:id="1350" w:name="_Toc84929369"/>
      <w:bookmarkStart w:id="1351" w:name="_Toc126863525"/>
      <w:bookmarkStart w:id="1352" w:name="_Toc186444426"/>
      <w:bookmarkStart w:id="1353" w:name="_Toc131167425"/>
      <w:bookmarkStart w:id="1354" w:name="_Toc143099713"/>
      <w:bookmarkStart w:id="1355" w:name="_Toc86142068"/>
      <w:bookmarkStart w:id="1356" w:name="_Toc85640893"/>
      <w:r>
        <w:rPr>
          <w:rFonts w:eastAsiaTheme="minorEastAsia"/>
          <w:b/>
          <w:color w:val="auto"/>
          <w:w w:val="99"/>
          <w:kern w:val="2"/>
          <w:sz w:val="24"/>
          <w:szCs w:val="24"/>
          <w:highlight w:val="none"/>
        </w:rPr>
        <w:t>9.3.8环境风险分析可行性结论</w:t>
      </w:r>
      <w:bookmarkEnd w:id="1349"/>
      <w:bookmarkEnd w:id="1350"/>
      <w:bookmarkEnd w:id="1351"/>
      <w:bookmarkEnd w:id="1352"/>
      <w:bookmarkEnd w:id="1353"/>
      <w:bookmarkEnd w:id="1354"/>
      <w:bookmarkEnd w:id="1355"/>
      <w:bookmarkEnd w:id="1356"/>
    </w:p>
    <w:p w14:paraId="48EDD916">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通过对本工程产能建设工程的环境风险分析可知，本工程的主要环境风险是泄漏、火灾和爆炸，对区域内的地下水环境、地表水环境、土壤环境和空气环境有潜在危害性。在工程采取一系列风险防范措施、应急措施和建立环境风险防控体系后，火灾爆炸等事故影响可控，可以降低事故的发生率和事故情况下对周围环境的影响。但建设单位应加强员工的环保教育和培训，完善项目的事故应急预案，增加事故应急监测及事故评估等规定内容并定期演习，避免重大污染事故的发生。</w:t>
      </w:r>
    </w:p>
    <w:p w14:paraId="67ADF0DD">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357" w:name="_Toc173163568"/>
      <w:bookmarkStart w:id="1358" w:name="_Toc16558"/>
      <w:r>
        <w:rPr>
          <w:rFonts w:ascii="Times New Roman" w:hAnsi="Times New Roman" w:eastAsiaTheme="minorEastAsia"/>
          <w:b/>
          <w:snapToGrid w:val="0"/>
          <w:color w:val="auto"/>
          <w:w w:val="99"/>
          <w:highlight w:val="none"/>
        </w:rPr>
        <w:t>9.4公众意见采纳情况</w:t>
      </w:r>
      <w:bookmarkEnd w:id="1357"/>
      <w:bookmarkEnd w:id="1358"/>
    </w:p>
    <w:p w14:paraId="16FE4041">
      <w:pPr>
        <w:pStyle w:val="153"/>
        <w:widowControl w:val="0"/>
        <w:spacing w:line="440" w:lineRule="exact"/>
        <w:ind w:firstLine="473"/>
        <w:jc w:val="both"/>
        <w:rPr>
          <w:rFonts w:ascii="Times New Roman" w:hAnsi="Times New Roman" w:eastAsiaTheme="minorEastAsia"/>
          <w:snapToGrid w:val="0"/>
          <w:color w:val="auto"/>
          <w:w w:val="99"/>
          <w:highlight w:val="none"/>
        </w:rPr>
      </w:pPr>
      <w:r>
        <w:rPr>
          <w:rFonts w:ascii="Times New Roman" w:hAnsi="Times New Roman" w:eastAsiaTheme="minorEastAsia"/>
          <w:snapToGrid w:val="0"/>
          <w:color w:val="auto"/>
          <w:w w:val="99"/>
          <w:highlight w:val="none"/>
        </w:rPr>
        <w:t>本项目首次环境影响评价信息公开之日为2025年</w:t>
      </w:r>
      <w:r>
        <w:rPr>
          <w:rFonts w:hint="eastAsia" w:ascii="Times New Roman" w:hAnsi="Times New Roman" w:eastAsiaTheme="minorEastAsia"/>
          <w:snapToGrid w:val="0"/>
          <w:color w:val="auto"/>
          <w:w w:val="99"/>
          <w:highlight w:val="none"/>
        </w:rPr>
        <w:t>11</w:t>
      </w:r>
      <w:r>
        <w:rPr>
          <w:rFonts w:ascii="Times New Roman" w:hAnsi="Times New Roman" w:eastAsiaTheme="minorEastAsia"/>
          <w:snapToGrid w:val="0"/>
          <w:color w:val="auto"/>
          <w:w w:val="99"/>
          <w:highlight w:val="none"/>
        </w:rPr>
        <w:t>月</w:t>
      </w:r>
      <w:r>
        <w:rPr>
          <w:rFonts w:hint="eastAsia" w:ascii="Times New Roman" w:hAnsi="Times New Roman" w:eastAsiaTheme="minorEastAsia"/>
          <w:snapToGrid w:val="0"/>
          <w:color w:val="auto"/>
          <w:w w:val="99"/>
          <w:highlight w:val="none"/>
        </w:rPr>
        <w:t>11</w:t>
      </w:r>
      <w:r>
        <w:rPr>
          <w:rFonts w:ascii="Times New Roman" w:hAnsi="Times New Roman" w:eastAsiaTheme="minorEastAsia"/>
          <w:snapToGrid w:val="0"/>
          <w:color w:val="auto"/>
          <w:w w:val="99"/>
          <w:highlight w:val="none"/>
        </w:rPr>
        <w:t>日（黑龙江环保技术服务网）</w:t>
      </w:r>
      <w:r>
        <w:rPr>
          <w:rFonts w:hint="eastAsia" w:ascii="Times New Roman" w:hAnsi="Times New Roman" w:eastAsiaTheme="minorEastAsia"/>
          <w:snapToGrid w:val="0"/>
          <w:color w:val="auto"/>
          <w:w w:val="99"/>
          <w:highlight w:val="none"/>
        </w:rPr>
        <w:t>，网址：http://www.hljhbjsfw.cn/NewsDetail.aspx?ID=855</w:t>
      </w:r>
      <w:r>
        <w:rPr>
          <w:rFonts w:ascii="Times New Roman" w:hAnsi="Times New Roman" w:eastAsiaTheme="minorEastAsia"/>
          <w:snapToGrid w:val="0"/>
          <w:color w:val="auto"/>
          <w:w w:val="99"/>
          <w:highlight w:val="none"/>
        </w:rPr>
        <w:t>。</w:t>
      </w:r>
    </w:p>
    <w:p w14:paraId="32F3BBA8">
      <w:pPr>
        <w:pStyle w:val="153"/>
        <w:widowControl w:val="0"/>
        <w:spacing w:line="440" w:lineRule="exact"/>
        <w:ind w:firstLine="473"/>
        <w:jc w:val="both"/>
        <w:rPr>
          <w:rFonts w:ascii="Times New Roman" w:hAnsi="Times New Roman" w:eastAsiaTheme="minorEastAsia"/>
          <w:snapToGrid w:val="0"/>
          <w:color w:val="auto"/>
          <w:w w:val="99"/>
          <w:highlight w:val="none"/>
        </w:rPr>
      </w:pPr>
      <w:r>
        <w:rPr>
          <w:rFonts w:ascii="Times New Roman" w:hAnsi="Times New Roman" w:eastAsiaTheme="minorEastAsia"/>
          <w:snapToGrid w:val="0"/>
          <w:color w:val="auto"/>
          <w:w w:val="99"/>
          <w:highlight w:val="none"/>
        </w:rPr>
        <w:t>征求意见稿公示日期为202</w:t>
      </w:r>
      <w:r>
        <w:rPr>
          <w:rFonts w:hint="eastAsia" w:ascii="Times New Roman" w:hAnsi="Times New Roman" w:eastAsiaTheme="minorEastAsia"/>
          <w:snapToGrid w:val="0"/>
          <w:color w:val="auto"/>
          <w:w w:val="99"/>
          <w:highlight w:val="none"/>
        </w:rPr>
        <w:t>6</w:t>
      </w:r>
      <w:r>
        <w:rPr>
          <w:rFonts w:ascii="Times New Roman" w:hAnsi="Times New Roman" w:eastAsiaTheme="minorEastAsia"/>
          <w:snapToGrid w:val="0"/>
          <w:color w:val="auto"/>
          <w:w w:val="99"/>
          <w:highlight w:val="none"/>
        </w:rPr>
        <w:t>年</w:t>
      </w:r>
      <w:r>
        <w:rPr>
          <w:rFonts w:hint="eastAsia" w:ascii="Times New Roman" w:hAnsi="Times New Roman" w:eastAsiaTheme="minorEastAsia"/>
          <w:snapToGrid w:val="0"/>
          <w:color w:val="auto"/>
          <w:w w:val="99"/>
          <w:highlight w:val="none"/>
        </w:rPr>
        <w:t>6</w:t>
      </w:r>
      <w:r>
        <w:rPr>
          <w:rFonts w:ascii="Times New Roman" w:hAnsi="Times New Roman" w:eastAsiaTheme="minorEastAsia"/>
          <w:snapToGrid w:val="0"/>
          <w:color w:val="auto"/>
          <w:w w:val="99"/>
          <w:highlight w:val="none"/>
        </w:rPr>
        <w:t>月</w:t>
      </w:r>
      <w:r>
        <w:rPr>
          <w:rFonts w:hint="eastAsia" w:ascii="Times New Roman" w:hAnsi="Times New Roman" w:eastAsiaTheme="minorEastAsia"/>
          <w:snapToGrid w:val="0"/>
          <w:color w:val="auto"/>
          <w:w w:val="99"/>
          <w:highlight w:val="none"/>
        </w:rPr>
        <w:t>9</w:t>
      </w:r>
      <w:r>
        <w:rPr>
          <w:rFonts w:ascii="Times New Roman" w:hAnsi="Times New Roman" w:eastAsiaTheme="minorEastAsia"/>
          <w:snapToGrid w:val="0"/>
          <w:color w:val="auto"/>
          <w:w w:val="99"/>
          <w:highlight w:val="none"/>
        </w:rPr>
        <w:t>日~</w:t>
      </w:r>
      <w:r>
        <w:rPr>
          <w:rFonts w:hint="eastAsia" w:ascii="Times New Roman" w:hAnsi="Times New Roman" w:eastAsiaTheme="minorEastAsia"/>
          <w:snapToGrid w:val="0"/>
          <w:color w:val="auto"/>
          <w:w w:val="99"/>
          <w:highlight w:val="none"/>
        </w:rPr>
        <w:t>6</w:t>
      </w:r>
      <w:r>
        <w:rPr>
          <w:rFonts w:ascii="Times New Roman" w:hAnsi="Times New Roman" w:eastAsiaTheme="minorEastAsia"/>
          <w:snapToGrid w:val="0"/>
          <w:color w:val="auto"/>
          <w:w w:val="99"/>
          <w:highlight w:val="none"/>
        </w:rPr>
        <w:t>月</w:t>
      </w:r>
      <w:r>
        <w:rPr>
          <w:rFonts w:hint="eastAsia" w:ascii="Times New Roman" w:hAnsi="Times New Roman" w:eastAsiaTheme="minorEastAsia"/>
          <w:snapToGrid w:val="0"/>
          <w:color w:val="auto"/>
          <w:w w:val="99"/>
          <w:highlight w:val="none"/>
        </w:rPr>
        <w:t>23</w:t>
      </w:r>
      <w:r>
        <w:rPr>
          <w:rFonts w:ascii="Times New Roman" w:hAnsi="Times New Roman" w:eastAsiaTheme="minorEastAsia"/>
          <w:snapToGrid w:val="0"/>
          <w:color w:val="auto"/>
          <w:w w:val="99"/>
          <w:highlight w:val="none"/>
        </w:rPr>
        <w:t>日（黑龙江环保技术服务网</w:t>
      </w:r>
      <w:r>
        <w:rPr>
          <w:color w:val="auto"/>
          <w:highlight w:val="none"/>
        </w:rPr>
        <w:fldChar w:fldCharType="begin"/>
      </w:r>
      <w:r>
        <w:rPr>
          <w:color w:val="auto"/>
          <w:highlight w:val="none"/>
        </w:rPr>
        <w:instrText xml:space="preserve"> HYPERLINK "http://www.hljhbjsfw.cn/NewsDetail.aspx?id=841" </w:instrText>
      </w:r>
      <w:r>
        <w:rPr>
          <w:color w:val="auto"/>
          <w:highlight w:val="none"/>
        </w:rPr>
        <w:fldChar w:fldCharType="separate"/>
      </w:r>
      <w:r>
        <w:rPr>
          <w:rStyle w:val="95"/>
          <w:rFonts w:hint="eastAsia" w:eastAsiaTheme="minorEastAsia"/>
          <w:snapToGrid w:val="0"/>
          <w:color w:val="auto"/>
          <w:w w:val="99"/>
          <w:szCs w:val="24"/>
          <w:highlight w:val="none"/>
        </w:rPr>
        <w:t>徐深27-H1井地面工程项目</w:t>
      </w:r>
      <w:r>
        <w:rPr>
          <w:rStyle w:val="95"/>
          <w:rFonts w:eastAsiaTheme="minorEastAsia"/>
          <w:snapToGrid w:val="0"/>
          <w:color w:val="auto"/>
          <w:w w:val="99"/>
          <w:szCs w:val="24"/>
          <w:highlight w:val="none"/>
        </w:rPr>
        <w:t>环境影响报告书征求意见稿公示-黑龙江环保技术服务网</w:t>
      </w:r>
      <w:r>
        <w:rPr>
          <w:rStyle w:val="95"/>
          <w:rFonts w:eastAsiaTheme="minorEastAsia"/>
          <w:snapToGrid w:val="0"/>
          <w:color w:val="auto"/>
          <w:w w:val="99"/>
          <w:szCs w:val="24"/>
          <w:highlight w:val="none"/>
        </w:rPr>
        <w:fldChar w:fldCharType="end"/>
      </w:r>
      <w:r>
        <w:rPr>
          <w:rFonts w:ascii="Times New Roman" w:hAnsi="Times New Roman" w:eastAsiaTheme="minorEastAsia"/>
          <w:snapToGrid w:val="0"/>
          <w:color w:val="auto"/>
          <w:w w:val="99"/>
          <w:highlight w:val="none"/>
        </w:rPr>
        <w:t>）；</w:t>
      </w:r>
      <w:r>
        <w:rPr>
          <w:rFonts w:hint="eastAsia" w:ascii="Times New Roman" w:hAnsi="Times New Roman" w:eastAsiaTheme="minorEastAsia"/>
          <w:snapToGrid w:val="0"/>
          <w:color w:val="auto"/>
          <w:w w:val="99"/>
          <w:highlight w:val="none"/>
        </w:rPr>
        <w:t>网址：http://www.hljhbjsfw.cn/NewsDetail.aspx?ID=954</w:t>
      </w:r>
    </w:p>
    <w:p w14:paraId="4B72DECB">
      <w:pPr>
        <w:pStyle w:val="153"/>
        <w:widowControl w:val="0"/>
        <w:spacing w:line="440" w:lineRule="exact"/>
        <w:ind w:firstLine="473"/>
        <w:jc w:val="both"/>
        <w:rPr>
          <w:rFonts w:ascii="Times New Roman" w:hAnsi="Times New Roman" w:eastAsiaTheme="minorEastAsia"/>
          <w:snapToGrid w:val="0"/>
          <w:color w:val="auto"/>
          <w:w w:val="99"/>
          <w:highlight w:val="none"/>
        </w:rPr>
      </w:pPr>
      <w:r>
        <w:rPr>
          <w:rFonts w:ascii="Times New Roman" w:hAnsi="Times New Roman" w:eastAsiaTheme="minorEastAsia"/>
          <w:snapToGrid w:val="0"/>
          <w:color w:val="auto"/>
          <w:w w:val="99"/>
          <w:highlight w:val="none"/>
        </w:rPr>
        <w:t>报纸第一次公告日期为202</w:t>
      </w:r>
      <w:r>
        <w:rPr>
          <w:rFonts w:hint="eastAsia" w:ascii="Times New Roman" w:hAnsi="Times New Roman" w:eastAsiaTheme="minorEastAsia"/>
          <w:snapToGrid w:val="0"/>
          <w:color w:val="auto"/>
          <w:w w:val="99"/>
          <w:highlight w:val="none"/>
        </w:rPr>
        <w:t>6</w:t>
      </w:r>
      <w:r>
        <w:rPr>
          <w:rFonts w:ascii="Times New Roman" w:hAnsi="Times New Roman" w:eastAsiaTheme="minorEastAsia"/>
          <w:snapToGrid w:val="0"/>
          <w:color w:val="auto"/>
          <w:w w:val="99"/>
          <w:highlight w:val="none"/>
        </w:rPr>
        <w:t>年</w:t>
      </w:r>
      <w:r>
        <w:rPr>
          <w:rFonts w:hint="eastAsia" w:ascii="Times New Roman" w:hAnsi="Times New Roman" w:eastAsiaTheme="minorEastAsia"/>
          <w:snapToGrid w:val="0"/>
          <w:color w:val="auto"/>
          <w:w w:val="99"/>
          <w:highlight w:val="none"/>
        </w:rPr>
        <w:t>6</w:t>
      </w:r>
      <w:r>
        <w:rPr>
          <w:rFonts w:ascii="Times New Roman" w:hAnsi="Times New Roman" w:eastAsiaTheme="minorEastAsia"/>
          <w:snapToGrid w:val="0"/>
          <w:color w:val="auto"/>
          <w:w w:val="99"/>
          <w:highlight w:val="none"/>
        </w:rPr>
        <w:t>月</w:t>
      </w:r>
      <w:r>
        <w:rPr>
          <w:rFonts w:hint="eastAsia" w:ascii="Times New Roman" w:hAnsi="Times New Roman" w:eastAsiaTheme="minorEastAsia"/>
          <w:snapToGrid w:val="0"/>
          <w:color w:val="auto"/>
          <w:w w:val="99"/>
          <w:highlight w:val="none"/>
        </w:rPr>
        <w:t>16</w:t>
      </w:r>
      <w:r>
        <w:rPr>
          <w:rFonts w:ascii="Times New Roman" w:hAnsi="Times New Roman" w:eastAsiaTheme="minorEastAsia"/>
          <w:snapToGrid w:val="0"/>
          <w:color w:val="auto"/>
          <w:w w:val="99"/>
          <w:highlight w:val="none"/>
        </w:rPr>
        <w:t>日（</w:t>
      </w:r>
      <w:r>
        <w:rPr>
          <w:rFonts w:hint="eastAsia" w:ascii="Times New Roman" w:hAnsi="Times New Roman" w:eastAsiaTheme="minorEastAsia"/>
          <w:snapToGrid w:val="0"/>
          <w:color w:val="auto"/>
          <w:w w:val="99"/>
          <w:highlight w:val="none"/>
        </w:rPr>
        <w:t>绥化日</w:t>
      </w:r>
      <w:r>
        <w:rPr>
          <w:rFonts w:ascii="Times New Roman" w:hAnsi="Times New Roman" w:eastAsiaTheme="minorEastAsia"/>
          <w:snapToGrid w:val="0"/>
          <w:color w:val="auto"/>
          <w:w w:val="99"/>
          <w:highlight w:val="none"/>
        </w:rPr>
        <w:t>报），报纸第二次公告日期为202</w:t>
      </w:r>
      <w:r>
        <w:rPr>
          <w:rFonts w:hint="eastAsia" w:ascii="Times New Roman" w:hAnsi="Times New Roman" w:eastAsiaTheme="minorEastAsia"/>
          <w:snapToGrid w:val="0"/>
          <w:color w:val="auto"/>
          <w:w w:val="99"/>
          <w:highlight w:val="none"/>
        </w:rPr>
        <w:t>6</w:t>
      </w:r>
      <w:r>
        <w:rPr>
          <w:rFonts w:ascii="Times New Roman" w:hAnsi="Times New Roman" w:eastAsiaTheme="minorEastAsia"/>
          <w:snapToGrid w:val="0"/>
          <w:color w:val="auto"/>
          <w:w w:val="99"/>
          <w:highlight w:val="none"/>
        </w:rPr>
        <w:t>年</w:t>
      </w:r>
      <w:r>
        <w:rPr>
          <w:rFonts w:hint="eastAsia" w:ascii="Times New Roman" w:hAnsi="Times New Roman" w:eastAsiaTheme="minorEastAsia"/>
          <w:snapToGrid w:val="0"/>
          <w:color w:val="auto"/>
          <w:w w:val="99"/>
          <w:highlight w:val="none"/>
        </w:rPr>
        <w:t>6</w:t>
      </w:r>
      <w:r>
        <w:rPr>
          <w:rFonts w:ascii="Times New Roman" w:hAnsi="Times New Roman" w:eastAsiaTheme="minorEastAsia"/>
          <w:snapToGrid w:val="0"/>
          <w:color w:val="auto"/>
          <w:w w:val="99"/>
          <w:highlight w:val="none"/>
        </w:rPr>
        <w:t>月</w:t>
      </w:r>
      <w:r>
        <w:rPr>
          <w:rFonts w:hint="eastAsia" w:ascii="Times New Roman" w:hAnsi="Times New Roman" w:eastAsiaTheme="minorEastAsia"/>
          <w:snapToGrid w:val="0"/>
          <w:color w:val="auto"/>
          <w:w w:val="99"/>
          <w:highlight w:val="none"/>
        </w:rPr>
        <w:t>17</w:t>
      </w:r>
      <w:r>
        <w:rPr>
          <w:rFonts w:ascii="Times New Roman" w:hAnsi="Times New Roman" w:eastAsiaTheme="minorEastAsia"/>
          <w:snapToGrid w:val="0"/>
          <w:color w:val="auto"/>
          <w:w w:val="99"/>
          <w:highlight w:val="none"/>
        </w:rPr>
        <w:t>日（</w:t>
      </w:r>
      <w:r>
        <w:rPr>
          <w:rFonts w:hint="eastAsia" w:ascii="Times New Roman" w:hAnsi="Times New Roman" w:eastAsiaTheme="minorEastAsia"/>
          <w:snapToGrid w:val="0"/>
          <w:color w:val="auto"/>
          <w:w w:val="99"/>
          <w:highlight w:val="none"/>
        </w:rPr>
        <w:t>绥化日</w:t>
      </w:r>
      <w:r>
        <w:rPr>
          <w:rFonts w:ascii="Times New Roman" w:hAnsi="Times New Roman" w:eastAsiaTheme="minorEastAsia"/>
          <w:snapToGrid w:val="0"/>
          <w:color w:val="auto"/>
          <w:w w:val="99"/>
          <w:highlight w:val="none"/>
        </w:rPr>
        <w:t>报）；</w:t>
      </w:r>
    </w:p>
    <w:p w14:paraId="10D9E585">
      <w:pPr>
        <w:pStyle w:val="153"/>
        <w:widowControl w:val="0"/>
        <w:spacing w:line="440" w:lineRule="exact"/>
        <w:ind w:firstLine="473"/>
        <w:jc w:val="both"/>
        <w:rPr>
          <w:rFonts w:ascii="Times New Roman" w:hAnsi="Times New Roman" w:eastAsiaTheme="minorEastAsia"/>
          <w:snapToGrid w:val="0"/>
          <w:color w:val="auto"/>
          <w:w w:val="99"/>
          <w:highlight w:val="none"/>
        </w:rPr>
      </w:pPr>
      <w:r>
        <w:rPr>
          <w:rFonts w:ascii="Times New Roman" w:hAnsi="Times New Roman" w:eastAsiaTheme="minorEastAsia"/>
          <w:snapToGrid w:val="0"/>
          <w:color w:val="auto"/>
          <w:w w:val="99"/>
          <w:highlight w:val="none"/>
        </w:rPr>
        <w:t>现场张贴公示日期为202</w:t>
      </w:r>
      <w:r>
        <w:rPr>
          <w:rFonts w:hint="eastAsia" w:ascii="Times New Roman" w:hAnsi="Times New Roman" w:eastAsiaTheme="minorEastAsia"/>
          <w:snapToGrid w:val="0"/>
          <w:color w:val="auto"/>
          <w:w w:val="99"/>
          <w:highlight w:val="none"/>
        </w:rPr>
        <w:t>6</w:t>
      </w:r>
      <w:r>
        <w:rPr>
          <w:rFonts w:ascii="Times New Roman" w:hAnsi="Times New Roman" w:eastAsiaTheme="minorEastAsia"/>
          <w:snapToGrid w:val="0"/>
          <w:color w:val="auto"/>
          <w:w w:val="99"/>
          <w:highlight w:val="none"/>
        </w:rPr>
        <w:t>年</w:t>
      </w:r>
      <w:r>
        <w:rPr>
          <w:rFonts w:hint="eastAsia" w:ascii="Times New Roman" w:hAnsi="Times New Roman" w:eastAsiaTheme="minorEastAsia"/>
          <w:snapToGrid w:val="0"/>
          <w:color w:val="auto"/>
          <w:w w:val="99"/>
          <w:highlight w:val="none"/>
        </w:rPr>
        <w:t>6</w:t>
      </w:r>
      <w:r>
        <w:rPr>
          <w:rFonts w:ascii="Times New Roman" w:hAnsi="Times New Roman" w:eastAsiaTheme="minorEastAsia"/>
          <w:snapToGrid w:val="0"/>
          <w:color w:val="auto"/>
          <w:w w:val="99"/>
          <w:highlight w:val="none"/>
        </w:rPr>
        <w:t>月</w:t>
      </w:r>
      <w:r>
        <w:rPr>
          <w:rFonts w:hint="eastAsia" w:ascii="Times New Roman" w:hAnsi="Times New Roman" w:eastAsiaTheme="minorEastAsia"/>
          <w:snapToGrid w:val="0"/>
          <w:color w:val="auto"/>
          <w:w w:val="99"/>
          <w:highlight w:val="none"/>
        </w:rPr>
        <w:t>9</w:t>
      </w:r>
      <w:r>
        <w:rPr>
          <w:rFonts w:ascii="Times New Roman" w:hAnsi="Times New Roman" w:eastAsiaTheme="minorEastAsia"/>
          <w:snapToGrid w:val="0"/>
          <w:color w:val="auto"/>
          <w:w w:val="99"/>
          <w:highlight w:val="none"/>
        </w:rPr>
        <w:t>日~</w:t>
      </w:r>
      <w:r>
        <w:rPr>
          <w:rFonts w:hint="eastAsia" w:ascii="Times New Roman" w:hAnsi="Times New Roman" w:eastAsiaTheme="minorEastAsia"/>
          <w:snapToGrid w:val="0"/>
          <w:color w:val="auto"/>
          <w:w w:val="99"/>
          <w:highlight w:val="none"/>
        </w:rPr>
        <w:t>6</w:t>
      </w:r>
      <w:r>
        <w:rPr>
          <w:rFonts w:ascii="Times New Roman" w:hAnsi="Times New Roman" w:eastAsiaTheme="minorEastAsia"/>
          <w:snapToGrid w:val="0"/>
          <w:color w:val="auto"/>
          <w:w w:val="99"/>
          <w:highlight w:val="none"/>
        </w:rPr>
        <w:t>月</w:t>
      </w:r>
      <w:r>
        <w:rPr>
          <w:rFonts w:hint="eastAsia" w:ascii="Times New Roman" w:hAnsi="Times New Roman" w:eastAsiaTheme="minorEastAsia"/>
          <w:snapToGrid w:val="0"/>
          <w:color w:val="auto"/>
          <w:w w:val="99"/>
          <w:highlight w:val="none"/>
        </w:rPr>
        <w:t>23</w:t>
      </w:r>
      <w:r>
        <w:rPr>
          <w:rFonts w:ascii="Times New Roman" w:hAnsi="Times New Roman" w:eastAsiaTheme="minorEastAsia"/>
          <w:snapToGrid w:val="0"/>
          <w:color w:val="auto"/>
          <w:w w:val="99"/>
          <w:highlight w:val="none"/>
        </w:rPr>
        <w:t>日，公示地点为评价范围内村屯。</w:t>
      </w:r>
    </w:p>
    <w:p w14:paraId="1246D5A4">
      <w:pPr>
        <w:pStyle w:val="153"/>
        <w:widowControl w:val="0"/>
        <w:spacing w:line="440" w:lineRule="exact"/>
        <w:ind w:firstLine="473"/>
        <w:jc w:val="both"/>
        <w:rPr>
          <w:rFonts w:ascii="Times New Roman" w:hAnsi="Times New Roman" w:eastAsiaTheme="minorEastAsia"/>
          <w:snapToGrid w:val="0"/>
          <w:color w:val="auto"/>
          <w:w w:val="99"/>
          <w:highlight w:val="none"/>
        </w:rPr>
      </w:pPr>
      <w:r>
        <w:rPr>
          <w:rFonts w:ascii="Times New Roman" w:hAnsi="Times New Roman" w:eastAsiaTheme="minorEastAsia"/>
          <w:snapToGrid w:val="0"/>
          <w:color w:val="auto"/>
          <w:w w:val="99"/>
          <w:highlight w:val="none"/>
        </w:rPr>
        <w:t>报批前公示日期为202</w:t>
      </w:r>
      <w:r>
        <w:rPr>
          <w:rFonts w:hint="eastAsia" w:ascii="Times New Roman" w:hAnsi="Times New Roman" w:eastAsiaTheme="minorEastAsia"/>
          <w:snapToGrid w:val="0"/>
          <w:color w:val="auto"/>
          <w:w w:val="99"/>
          <w:highlight w:val="none"/>
        </w:rPr>
        <w:t>6</w:t>
      </w:r>
      <w:r>
        <w:rPr>
          <w:rFonts w:ascii="Times New Roman" w:hAnsi="Times New Roman" w:eastAsiaTheme="minorEastAsia"/>
          <w:snapToGrid w:val="0"/>
          <w:color w:val="auto"/>
          <w:w w:val="99"/>
          <w:highlight w:val="none"/>
        </w:rPr>
        <w:t>年</w:t>
      </w:r>
      <w:r>
        <w:rPr>
          <w:rFonts w:hint="eastAsia" w:ascii="Times New Roman" w:hAnsi="Times New Roman" w:eastAsiaTheme="minorEastAsia"/>
          <w:snapToGrid w:val="0"/>
          <w:color w:val="auto"/>
          <w:w w:val="99"/>
          <w:highlight w:val="none"/>
          <w:lang w:val="en-US" w:eastAsia="zh-CN"/>
        </w:rPr>
        <w:t>7</w:t>
      </w:r>
      <w:r>
        <w:rPr>
          <w:rFonts w:ascii="Times New Roman" w:hAnsi="Times New Roman" w:eastAsiaTheme="minorEastAsia"/>
          <w:snapToGrid w:val="0"/>
          <w:color w:val="auto"/>
          <w:w w:val="99"/>
          <w:highlight w:val="none"/>
        </w:rPr>
        <w:t>月</w:t>
      </w:r>
      <w:r>
        <w:rPr>
          <w:rFonts w:hint="eastAsia" w:ascii="Times New Roman" w:hAnsi="Times New Roman" w:eastAsiaTheme="minorEastAsia"/>
          <w:snapToGrid w:val="0"/>
          <w:color w:val="auto"/>
          <w:w w:val="99"/>
          <w:highlight w:val="none"/>
          <w:lang w:val="en-US" w:eastAsia="zh-CN"/>
        </w:rPr>
        <w:t>10</w:t>
      </w:r>
      <w:r>
        <w:rPr>
          <w:rFonts w:ascii="Times New Roman" w:hAnsi="Times New Roman" w:eastAsiaTheme="minorEastAsia"/>
          <w:snapToGrid w:val="0"/>
          <w:color w:val="auto"/>
          <w:w w:val="99"/>
          <w:highlight w:val="none"/>
        </w:rPr>
        <w:t>日（黑龙江环保技术服务网）</w:t>
      </w:r>
      <w:r>
        <w:rPr>
          <w:rFonts w:hint="eastAsia" w:ascii="Times New Roman" w:hAnsi="Times New Roman" w:eastAsiaTheme="minorEastAsia"/>
          <w:snapToGrid w:val="0"/>
          <w:color w:val="auto"/>
          <w:w w:val="99"/>
          <w:highlight w:val="none"/>
          <w:lang w:eastAsia="zh-CN"/>
        </w:rPr>
        <w:t>，</w:t>
      </w:r>
      <w:r>
        <w:rPr>
          <w:rFonts w:hint="eastAsia" w:ascii="Times New Roman" w:hAnsi="Times New Roman" w:eastAsiaTheme="minorEastAsia"/>
          <w:snapToGrid w:val="0"/>
          <w:color w:val="auto"/>
          <w:w w:val="99"/>
          <w:highlight w:val="none"/>
          <w:lang w:val="en-US" w:eastAsia="zh-CN"/>
        </w:rPr>
        <w:t>网址：http://www.hljhbjsfw.cn/NewsDetail.aspx?ID=971</w:t>
      </w:r>
      <w:r>
        <w:rPr>
          <w:rFonts w:ascii="Times New Roman" w:hAnsi="Times New Roman" w:eastAsiaTheme="minorEastAsia"/>
          <w:snapToGrid w:val="0"/>
          <w:color w:val="auto"/>
          <w:w w:val="99"/>
          <w:highlight w:val="none"/>
        </w:rPr>
        <w:t>。</w:t>
      </w:r>
    </w:p>
    <w:p w14:paraId="427EC281">
      <w:pPr>
        <w:pStyle w:val="153"/>
        <w:widowControl w:val="0"/>
        <w:spacing w:line="440" w:lineRule="exact"/>
        <w:ind w:firstLine="473"/>
        <w:jc w:val="both"/>
        <w:rPr>
          <w:rFonts w:ascii="Times New Roman" w:hAnsi="Times New Roman"/>
          <w:color w:val="auto"/>
          <w:w w:val="99"/>
          <w:highlight w:val="none"/>
          <w:lang w:bidi="zh-CN"/>
        </w:rPr>
      </w:pPr>
      <w:r>
        <w:rPr>
          <w:rFonts w:hint="eastAsia" w:ascii="Times New Roman" w:hAnsi="Times New Roman"/>
          <w:color w:val="auto"/>
          <w:w w:val="99"/>
          <w:highlight w:val="none"/>
          <w:lang w:bidi="zh-CN"/>
        </w:rPr>
        <w:t>至信息公告的截止日期没有收到相关反馈信息。</w:t>
      </w:r>
    </w:p>
    <w:p w14:paraId="13F8A51C">
      <w:pPr>
        <w:pStyle w:val="153"/>
        <w:widowControl w:val="0"/>
        <w:spacing w:line="440" w:lineRule="exact"/>
        <w:ind w:firstLine="473"/>
        <w:jc w:val="both"/>
        <w:rPr>
          <w:rFonts w:ascii="Times New Roman" w:hAnsi="Times New Roman"/>
          <w:color w:val="auto"/>
          <w:w w:val="99"/>
          <w:highlight w:val="none"/>
          <w:lang w:bidi="zh-CN"/>
        </w:rPr>
      </w:pPr>
      <w:r>
        <w:rPr>
          <w:rFonts w:hint="eastAsia" w:ascii="Times New Roman" w:hAnsi="Times New Roman"/>
          <w:color w:val="auto"/>
          <w:w w:val="99"/>
          <w:highlight w:val="none"/>
          <w:lang w:bidi="zh-CN"/>
        </w:rPr>
        <w:t>网络公示起到了应有的告知作用。在现场公示期间，对居民进行了必要的讲解和说明，让附近居民充分了解本项目的各项情况。选择了黑龙江环保技术服务网和《大庆油田报》进行公示，起到了网络和报纸传播较广，受众广泛的作用。在网上两次公示过程中、公示期间及问卷调查过程中没有接到任何人反映意见或建议的电话和邮件、传真等。</w:t>
      </w:r>
    </w:p>
    <w:p w14:paraId="44E2D945">
      <w:pPr>
        <w:pStyle w:val="153"/>
        <w:widowControl w:val="0"/>
        <w:spacing w:line="440" w:lineRule="exact"/>
        <w:ind w:firstLine="473"/>
        <w:jc w:val="both"/>
        <w:rPr>
          <w:rFonts w:ascii="Times New Roman" w:hAnsi="Times New Roman"/>
          <w:color w:val="auto"/>
          <w:w w:val="99"/>
          <w:highlight w:val="none"/>
          <w:lang w:bidi="zh-CN"/>
        </w:rPr>
      </w:pPr>
      <w:r>
        <w:rPr>
          <w:rFonts w:hint="eastAsia" w:ascii="Times New Roman" w:hAnsi="Times New Roman"/>
          <w:color w:val="auto"/>
          <w:w w:val="99"/>
          <w:highlight w:val="none"/>
          <w:lang w:bidi="zh-CN"/>
        </w:rPr>
        <w:t>建设单位的公参调查结果表明，徐深27-H1井地面工程项目的建设周围民众是支持的。建设单位认真执行环保“三同时”制度，加强环境管理，使环境的负效应降至最低。并对周围环境的影响减至最小程度，达到公众对项目建设的环境要求愿望。</w:t>
      </w:r>
    </w:p>
    <w:p w14:paraId="4DB60B73">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359" w:name="_Toc7572"/>
      <w:bookmarkStart w:id="1360" w:name="_Toc173163569"/>
      <w:r>
        <w:rPr>
          <w:rFonts w:ascii="Times New Roman" w:hAnsi="Times New Roman" w:eastAsiaTheme="minorEastAsia"/>
          <w:b/>
          <w:snapToGrid w:val="0"/>
          <w:color w:val="auto"/>
          <w:w w:val="99"/>
          <w:highlight w:val="none"/>
        </w:rPr>
        <w:t>9.5环境经济损益分析结论</w:t>
      </w:r>
      <w:bookmarkEnd w:id="1359"/>
      <w:bookmarkEnd w:id="1360"/>
    </w:p>
    <w:p w14:paraId="5BE21D62">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本项目的建设具有重要的社会意义和可观的经济效益，同时，通过采取有效的生态环境恢复治理措施，能够取得环境效益的协调和统一。因此，从环境经济角度来讲，本项目的建设是可行的。</w:t>
      </w:r>
    </w:p>
    <w:p w14:paraId="0C8E13F1">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361" w:name="_Toc1238"/>
      <w:bookmarkStart w:id="1362" w:name="_Toc173163570"/>
      <w:r>
        <w:rPr>
          <w:rFonts w:ascii="Times New Roman" w:hAnsi="Times New Roman" w:eastAsiaTheme="minorEastAsia"/>
          <w:b/>
          <w:snapToGrid w:val="0"/>
          <w:color w:val="auto"/>
          <w:w w:val="99"/>
          <w:highlight w:val="none"/>
        </w:rPr>
        <w:t>9.6环境管理与监测计划结论</w:t>
      </w:r>
      <w:bookmarkEnd w:id="1361"/>
      <w:bookmarkEnd w:id="1362"/>
    </w:p>
    <w:p w14:paraId="419FC823">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工程投产运行后环境管理工作由大庆油田有限责任公司采气分公司负责，在施工期对施工现场的环保设施、作业环境，以及环保措施的落实执行情况加强管理，在生产运营期，环境管理除抓好环保设施的运行、维护等工作外，工作重点应针对天然气集输、处理和管理情况及管线破裂后天然气泄漏等事故的预防和处理上。施工期的环境监测可包括对作业场所的控制监测和事故发生后的影响监测 ，运营期根据《排污单位自行监测技术指南 总则》（ HJ819- 2017）、《排污单位自行监测技术指南 陆上石油天然气开采工业》（HJ1248- 2022）和运营期环境污染的特点，环境监测计划主要针对污染物排放、区域生态恢复情况、事故而制定。</w:t>
      </w:r>
    </w:p>
    <w:p w14:paraId="29CDBA69">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363" w:name="_Toc173163571"/>
      <w:bookmarkStart w:id="1364" w:name="_Toc18910"/>
      <w:r>
        <w:rPr>
          <w:rFonts w:ascii="Times New Roman" w:hAnsi="Times New Roman" w:eastAsiaTheme="minorEastAsia"/>
          <w:b/>
          <w:snapToGrid w:val="0"/>
          <w:color w:val="auto"/>
          <w:w w:val="99"/>
          <w:highlight w:val="none"/>
        </w:rPr>
        <w:t>9.7综合评价结论</w:t>
      </w:r>
      <w:bookmarkEnd w:id="1363"/>
      <w:bookmarkEnd w:id="1364"/>
    </w:p>
    <w:p w14:paraId="547523DD">
      <w:pPr>
        <w:widowControl w:val="0"/>
        <w:spacing w:line="440" w:lineRule="exact"/>
        <w:ind w:firstLine="474" w:firstLineChars="200"/>
        <w:jc w:val="both"/>
        <w:rPr>
          <w:rFonts w:ascii="Times New Roman" w:hAnsi="Times New Roman" w:cs="Times New Roman"/>
          <w:color w:val="auto"/>
          <w:w w:val="99"/>
          <w:highlight w:val="none"/>
          <w:lang w:bidi="zh-CN"/>
        </w:rPr>
      </w:pPr>
      <w:r>
        <w:rPr>
          <w:rFonts w:hint="eastAsia" w:ascii="Times New Roman" w:hAnsi="Times New Roman" w:cs="Times New Roman"/>
          <w:color w:val="auto"/>
          <w:w w:val="99"/>
          <w:highlight w:val="none"/>
          <w:lang w:bidi="zh-CN"/>
        </w:rPr>
        <w:t>综上所述，徐深27-H1井地面工程项目符合国家产业政策和区域发展规划。油田正常生产情况下对环境的影响较小，工程施工及生产运行过程中可能出现的各类风险事故，在相应的污染防治措施、生态保护措施及事故应急措施得以切实有效实施的前提下，能够确保区域环境不受污染。公众参与调查结果表明，公众参与对该项目无反对意见。在确保落实好各项环保措施并保证其正常运行的前提下，从环境保护角度分析，本项目的建设可行。</w:t>
      </w:r>
    </w:p>
    <w:p w14:paraId="2CEDA755">
      <w:pPr>
        <w:pStyle w:val="102"/>
        <w:rPr>
          <w:rFonts w:hint="default" w:ascii="Times New Roman" w:hAnsi="Times New Roman"/>
          <w:color w:val="auto"/>
          <w:w w:val="99"/>
          <w:highlight w:val="none"/>
        </w:rPr>
      </w:pPr>
    </w:p>
    <w:p w14:paraId="34393DBF">
      <w:pPr>
        <w:widowControl w:val="0"/>
        <w:spacing w:line="440" w:lineRule="exact"/>
        <w:jc w:val="both"/>
        <w:outlineLvl w:val="0"/>
        <w:rPr>
          <w:rFonts w:ascii="Times New Roman" w:hAnsi="Times New Roman" w:cs="Times New Roman" w:eastAsiaTheme="minorEastAsia"/>
          <w:color w:val="auto"/>
          <w:w w:val="99"/>
          <w:kern w:val="21"/>
          <w:highlight w:val="none"/>
        </w:rPr>
        <w:sectPr>
          <w:footerReference r:id="rId14" w:type="default"/>
          <w:type w:val="nextColumn"/>
          <w:pgSz w:w="11906" w:h="16838"/>
          <w:pgMar w:top="1418" w:right="1418" w:bottom="1418" w:left="1418" w:header="851" w:footer="992" w:gutter="0"/>
          <w:cols w:space="720" w:num="1"/>
          <w:docGrid w:linePitch="312" w:charSpace="0"/>
        </w:sectPr>
      </w:pPr>
      <w:bookmarkStart w:id="1365" w:name="_Toc173163572"/>
    </w:p>
    <w:p w14:paraId="1302A85F">
      <w:pPr>
        <w:widowControl w:val="0"/>
        <w:spacing w:line="440" w:lineRule="exact"/>
        <w:jc w:val="both"/>
        <w:outlineLvl w:val="0"/>
        <w:rPr>
          <w:rFonts w:ascii="Times New Roman" w:hAnsi="Times New Roman" w:cs="Times New Roman"/>
          <w:color w:val="auto"/>
          <w:w w:val="99"/>
          <w:highlight w:val="none"/>
          <w:lang w:bidi="zh-CN"/>
        </w:rPr>
      </w:pPr>
      <w:bookmarkStart w:id="1366" w:name="_Toc27719"/>
      <w:r>
        <w:rPr>
          <w:rFonts w:hint="eastAsia" w:ascii="Times New Roman" w:hAnsi="Times New Roman" w:cs="Times New Roman"/>
          <w:color w:val="auto"/>
          <w:w w:val="99"/>
          <w:highlight w:val="none"/>
          <w:lang w:bidi="zh-CN"/>
        </w:rPr>
        <w:t>附表</w:t>
      </w:r>
      <w:bookmarkEnd w:id="1365"/>
      <w:bookmarkEnd w:id="1366"/>
    </w:p>
    <w:p w14:paraId="68021223">
      <w:pPr>
        <w:widowControl w:val="0"/>
        <w:spacing w:line="440" w:lineRule="exact"/>
        <w:jc w:val="both"/>
        <w:outlineLvl w:val="1"/>
        <w:rPr>
          <w:rFonts w:ascii="Times New Roman" w:hAnsi="Times New Roman" w:cs="Times New Roman"/>
          <w:color w:val="auto"/>
          <w:w w:val="99"/>
          <w:highlight w:val="none"/>
          <w:lang w:bidi="zh-CN"/>
        </w:rPr>
      </w:pPr>
      <w:bookmarkStart w:id="1367" w:name="_Toc173163573"/>
      <w:bookmarkStart w:id="1368" w:name="_Toc19130"/>
      <w:r>
        <w:rPr>
          <w:rFonts w:hint="eastAsia" w:ascii="Times New Roman" w:hAnsi="Times New Roman" w:cs="Times New Roman"/>
          <w:color w:val="auto"/>
          <w:w w:val="99"/>
          <w:highlight w:val="none"/>
          <w:lang w:bidi="zh-CN"/>
        </w:rPr>
        <w:t>附表1：建设项目大气环境影响评价自查表</w:t>
      </w:r>
      <w:bookmarkEnd w:id="1367"/>
      <w:bookmarkEnd w:id="1368"/>
    </w:p>
    <w:tbl>
      <w:tblPr>
        <w:tblStyle w:val="81"/>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0"/>
        <w:gridCol w:w="1581"/>
        <w:gridCol w:w="1150"/>
        <w:gridCol w:w="417"/>
        <w:gridCol w:w="206"/>
        <w:gridCol w:w="202"/>
        <w:gridCol w:w="194"/>
        <w:gridCol w:w="390"/>
        <w:gridCol w:w="473"/>
        <w:gridCol w:w="443"/>
        <w:gridCol w:w="155"/>
        <w:gridCol w:w="64"/>
        <w:gridCol w:w="584"/>
        <w:gridCol w:w="172"/>
        <w:gridCol w:w="75"/>
        <w:gridCol w:w="203"/>
        <w:gridCol w:w="240"/>
        <w:gridCol w:w="127"/>
        <w:gridCol w:w="645"/>
        <w:gridCol w:w="650"/>
      </w:tblGrid>
      <w:tr w14:paraId="28851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1" w:type="dxa"/>
            <w:gridSpan w:val="2"/>
            <w:vAlign w:val="center"/>
          </w:tcPr>
          <w:p w14:paraId="327EA973">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工作内容</w:t>
            </w:r>
          </w:p>
        </w:tc>
        <w:tc>
          <w:tcPr>
            <w:tcW w:w="6390" w:type="dxa"/>
            <w:gridSpan w:val="18"/>
            <w:vAlign w:val="center"/>
          </w:tcPr>
          <w:p w14:paraId="4037675C">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自查项目</w:t>
            </w:r>
          </w:p>
        </w:tc>
      </w:tr>
      <w:tr w14:paraId="7F976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restart"/>
            <w:vAlign w:val="center"/>
          </w:tcPr>
          <w:p w14:paraId="141C2B08">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评价等级与范围</w:t>
            </w:r>
          </w:p>
        </w:tc>
        <w:tc>
          <w:tcPr>
            <w:tcW w:w="1581" w:type="dxa"/>
            <w:vAlign w:val="center"/>
          </w:tcPr>
          <w:p w14:paraId="17AB8C9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评价等级</w:t>
            </w:r>
          </w:p>
        </w:tc>
        <w:tc>
          <w:tcPr>
            <w:tcW w:w="2169" w:type="dxa"/>
            <w:gridSpan w:val="5"/>
            <w:vAlign w:val="center"/>
          </w:tcPr>
          <w:p w14:paraId="2B3CC5DC">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一级</w:t>
            </w:r>
            <w:r>
              <w:rPr>
                <w:rFonts w:ascii="Times New Roman" w:hAnsi="Times New Roman" w:cs="Times New Roman" w:eastAsiaTheme="minorEastAsia"/>
                <w:color w:val="auto"/>
                <w:w w:val="99"/>
                <w:kern w:val="21"/>
                <w:sz w:val="21"/>
                <w:szCs w:val="21"/>
                <w:highlight w:val="none"/>
              </w:rPr>
              <w:sym w:font="Wingdings" w:char="00FE"/>
            </w:r>
          </w:p>
        </w:tc>
        <w:tc>
          <w:tcPr>
            <w:tcW w:w="2356" w:type="dxa"/>
            <w:gridSpan w:val="8"/>
            <w:vAlign w:val="center"/>
          </w:tcPr>
          <w:p w14:paraId="557F5652">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二级</w:t>
            </w:r>
            <w:r>
              <w:rPr>
                <w:rFonts w:ascii="Times New Roman" w:hAnsi="Times New Roman" w:cs="Times New Roman" w:eastAsiaTheme="minorEastAsia"/>
                <w:color w:val="auto"/>
                <w:w w:val="99"/>
                <w:kern w:val="21"/>
                <w:sz w:val="21"/>
                <w:szCs w:val="21"/>
                <w:highlight w:val="none"/>
              </w:rPr>
              <w:sym w:font="Wingdings" w:char="00A8"/>
            </w:r>
          </w:p>
        </w:tc>
        <w:tc>
          <w:tcPr>
            <w:tcW w:w="1865" w:type="dxa"/>
            <w:gridSpan w:val="5"/>
            <w:vAlign w:val="center"/>
          </w:tcPr>
          <w:p w14:paraId="111F79FC">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三级</w:t>
            </w:r>
            <w:r>
              <w:rPr>
                <w:rFonts w:ascii="Times New Roman" w:hAnsi="Times New Roman" w:cs="Times New Roman" w:eastAsiaTheme="minorEastAsia"/>
                <w:color w:val="auto"/>
                <w:w w:val="99"/>
                <w:kern w:val="21"/>
                <w:sz w:val="21"/>
                <w:szCs w:val="21"/>
                <w:highlight w:val="none"/>
              </w:rPr>
              <w:sym w:font="Wingdings" w:char="00A8"/>
            </w:r>
          </w:p>
        </w:tc>
      </w:tr>
      <w:tr w14:paraId="65986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6E0F7FBF">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63A4BDCB">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评价范围</w:t>
            </w:r>
          </w:p>
        </w:tc>
        <w:tc>
          <w:tcPr>
            <w:tcW w:w="2169" w:type="dxa"/>
            <w:gridSpan w:val="5"/>
            <w:vAlign w:val="center"/>
          </w:tcPr>
          <w:p w14:paraId="4211F4E1">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边长=50km</w:t>
            </w:r>
            <w:r>
              <w:rPr>
                <w:rFonts w:ascii="Times New Roman" w:hAnsi="Times New Roman" w:cs="Times New Roman" w:eastAsiaTheme="minorEastAsia"/>
                <w:color w:val="auto"/>
                <w:w w:val="99"/>
                <w:kern w:val="21"/>
                <w:sz w:val="21"/>
                <w:szCs w:val="21"/>
                <w:highlight w:val="none"/>
              </w:rPr>
              <w:sym w:font="Wingdings" w:char="00A8"/>
            </w:r>
          </w:p>
        </w:tc>
        <w:tc>
          <w:tcPr>
            <w:tcW w:w="2356" w:type="dxa"/>
            <w:gridSpan w:val="8"/>
            <w:vAlign w:val="center"/>
          </w:tcPr>
          <w:p w14:paraId="45EC374D">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边长5~50km</w:t>
            </w:r>
            <w:r>
              <w:rPr>
                <w:rFonts w:ascii="Times New Roman" w:hAnsi="Times New Roman" w:cs="Times New Roman" w:eastAsiaTheme="minorEastAsia"/>
                <w:color w:val="auto"/>
                <w:w w:val="99"/>
                <w:kern w:val="21"/>
                <w:sz w:val="21"/>
                <w:szCs w:val="21"/>
                <w:highlight w:val="none"/>
              </w:rPr>
              <w:sym w:font="Wingdings" w:char="00A8"/>
            </w:r>
          </w:p>
        </w:tc>
        <w:tc>
          <w:tcPr>
            <w:tcW w:w="1865" w:type="dxa"/>
            <w:gridSpan w:val="5"/>
            <w:vAlign w:val="center"/>
          </w:tcPr>
          <w:p w14:paraId="12125D7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边长&lt;5km</w:t>
            </w:r>
            <w:r>
              <w:rPr>
                <w:rFonts w:ascii="Times New Roman" w:hAnsi="Times New Roman" w:cs="Times New Roman" w:eastAsiaTheme="minorEastAsia"/>
                <w:color w:val="auto"/>
                <w:w w:val="99"/>
                <w:kern w:val="21"/>
                <w:sz w:val="21"/>
                <w:szCs w:val="21"/>
                <w:highlight w:val="none"/>
              </w:rPr>
              <w:sym w:font="Wingdings" w:char="00FE"/>
            </w:r>
          </w:p>
        </w:tc>
      </w:tr>
      <w:tr w14:paraId="7199F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restart"/>
            <w:vAlign w:val="center"/>
          </w:tcPr>
          <w:p w14:paraId="227D1C28">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评价因子</w:t>
            </w:r>
          </w:p>
        </w:tc>
        <w:tc>
          <w:tcPr>
            <w:tcW w:w="1581" w:type="dxa"/>
            <w:vAlign w:val="center"/>
          </w:tcPr>
          <w:p w14:paraId="34ADF20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SO</w:t>
            </w:r>
            <w:r>
              <w:rPr>
                <w:rFonts w:ascii="Times New Roman" w:hAnsi="Times New Roman" w:cs="Times New Roman" w:eastAsiaTheme="minorEastAsia"/>
                <w:color w:val="auto"/>
                <w:w w:val="99"/>
                <w:kern w:val="21"/>
                <w:sz w:val="21"/>
                <w:szCs w:val="21"/>
                <w:highlight w:val="none"/>
                <w:vertAlign w:val="subscript"/>
              </w:rPr>
              <w:t>2</w:t>
            </w:r>
            <w:r>
              <w:rPr>
                <w:rFonts w:ascii="Times New Roman" w:hAnsi="Times New Roman" w:cs="Times New Roman" w:eastAsiaTheme="minorEastAsia"/>
                <w:color w:val="auto"/>
                <w:w w:val="99"/>
                <w:kern w:val="21"/>
                <w:sz w:val="21"/>
                <w:szCs w:val="21"/>
                <w:highlight w:val="none"/>
              </w:rPr>
              <w:t>+NO</w:t>
            </w:r>
            <w:r>
              <w:rPr>
                <w:rFonts w:ascii="Times New Roman" w:hAnsi="Times New Roman" w:cs="Times New Roman" w:eastAsiaTheme="minorEastAsia"/>
                <w:color w:val="auto"/>
                <w:w w:val="99"/>
                <w:kern w:val="21"/>
                <w:sz w:val="21"/>
                <w:szCs w:val="21"/>
                <w:highlight w:val="none"/>
                <w:vertAlign w:val="subscript"/>
              </w:rPr>
              <w:t>X</w:t>
            </w:r>
            <w:r>
              <w:rPr>
                <w:rFonts w:ascii="Times New Roman" w:hAnsi="Times New Roman" w:cs="Times New Roman" w:eastAsiaTheme="minorEastAsia"/>
                <w:color w:val="auto"/>
                <w:w w:val="99"/>
                <w:kern w:val="21"/>
                <w:sz w:val="21"/>
                <w:szCs w:val="21"/>
                <w:highlight w:val="none"/>
              </w:rPr>
              <w:t>排放</w:t>
            </w:r>
          </w:p>
        </w:tc>
        <w:tc>
          <w:tcPr>
            <w:tcW w:w="2169" w:type="dxa"/>
            <w:gridSpan w:val="5"/>
            <w:vAlign w:val="center"/>
          </w:tcPr>
          <w:p w14:paraId="102A41DF">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hint="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t>2000t/a</w:t>
            </w:r>
            <w:r>
              <w:rPr>
                <w:rFonts w:ascii="Times New Roman" w:hAnsi="Times New Roman" w:cs="Times New Roman" w:eastAsiaTheme="minorEastAsia"/>
                <w:color w:val="auto"/>
                <w:w w:val="99"/>
                <w:kern w:val="21"/>
                <w:sz w:val="21"/>
                <w:szCs w:val="21"/>
                <w:highlight w:val="none"/>
              </w:rPr>
              <w:sym w:font="Wingdings" w:char="00A8"/>
            </w:r>
          </w:p>
        </w:tc>
        <w:tc>
          <w:tcPr>
            <w:tcW w:w="2356" w:type="dxa"/>
            <w:gridSpan w:val="8"/>
            <w:vAlign w:val="center"/>
          </w:tcPr>
          <w:p w14:paraId="402DC740">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500~2000t/a</w:t>
            </w:r>
            <w:r>
              <w:rPr>
                <w:rFonts w:ascii="Times New Roman" w:hAnsi="Times New Roman" w:cs="Times New Roman" w:eastAsiaTheme="minorEastAsia"/>
                <w:color w:val="auto"/>
                <w:w w:val="99"/>
                <w:kern w:val="21"/>
                <w:sz w:val="21"/>
                <w:szCs w:val="21"/>
                <w:highlight w:val="none"/>
              </w:rPr>
              <w:sym w:font="Wingdings" w:char="00A8"/>
            </w:r>
          </w:p>
        </w:tc>
        <w:tc>
          <w:tcPr>
            <w:tcW w:w="1865" w:type="dxa"/>
            <w:gridSpan w:val="5"/>
            <w:vAlign w:val="center"/>
          </w:tcPr>
          <w:p w14:paraId="3741C7C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&lt;500t/a</w:t>
            </w:r>
            <w:r>
              <w:rPr>
                <w:rFonts w:ascii="Times New Roman" w:hAnsi="Times New Roman" w:cs="Times New Roman" w:eastAsiaTheme="minorEastAsia"/>
                <w:color w:val="auto"/>
                <w:w w:val="99"/>
                <w:kern w:val="21"/>
                <w:sz w:val="21"/>
                <w:szCs w:val="21"/>
                <w:highlight w:val="none"/>
              </w:rPr>
              <w:sym w:font="Wingdings" w:char="00FE"/>
            </w:r>
          </w:p>
        </w:tc>
      </w:tr>
      <w:tr w14:paraId="615D2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3B5FBCE0">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62DDBFC1">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评价因子</w:t>
            </w:r>
          </w:p>
        </w:tc>
        <w:tc>
          <w:tcPr>
            <w:tcW w:w="4525" w:type="dxa"/>
            <w:gridSpan w:val="13"/>
            <w:vAlign w:val="center"/>
          </w:tcPr>
          <w:p w14:paraId="70123BE8">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基本污染物：PM</w:t>
            </w:r>
            <w:r>
              <w:rPr>
                <w:rFonts w:ascii="Times New Roman" w:hAnsi="Times New Roman" w:cs="Times New Roman" w:eastAsiaTheme="minorEastAsia"/>
                <w:color w:val="auto"/>
                <w:w w:val="99"/>
                <w:kern w:val="21"/>
                <w:sz w:val="21"/>
                <w:szCs w:val="21"/>
                <w:highlight w:val="none"/>
                <w:vertAlign w:val="subscript"/>
              </w:rPr>
              <w:t>10</w:t>
            </w:r>
            <w:r>
              <w:rPr>
                <w:rFonts w:ascii="Times New Roman" w:hAnsi="Times New Roman" w:cs="Times New Roman" w:eastAsiaTheme="minorEastAsia"/>
                <w:color w:val="auto"/>
                <w:w w:val="99"/>
                <w:kern w:val="21"/>
                <w:sz w:val="21"/>
                <w:szCs w:val="21"/>
                <w:highlight w:val="none"/>
              </w:rPr>
              <w:t>、NO</w:t>
            </w:r>
            <w:r>
              <w:rPr>
                <w:rFonts w:ascii="Times New Roman" w:hAnsi="Times New Roman" w:cs="Times New Roman" w:eastAsiaTheme="minorEastAsia"/>
                <w:color w:val="auto"/>
                <w:w w:val="99"/>
                <w:kern w:val="21"/>
                <w:sz w:val="21"/>
                <w:szCs w:val="21"/>
                <w:highlight w:val="none"/>
                <w:vertAlign w:val="subscript"/>
              </w:rPr>
              <w:t>2</w:t>
            </w:r>
            <w:r>
              <w:rPr>
                <w:rFonts w:ascii="Times New Roman" w:hAnsi="Times New Roman" w:cs="Times New Roman" w:eastAsiaTheme="minorEastAsia"/>
                <w:color w:val="auto"/>
                <w:w w:val="99"/>
                <w:kern w:val="21"/>
                <w:sz w:val="21"/>
                <w:szCs w:val="21"/>
                <w:highlight w:val="none"/>
              </w:rPr>
              <w:t>、SO</w:t>
            </w:r>
            <w:r>
              <w:rPr>
                <w:rFonts w:ascii="Times New Roman" w:hAnsi="Times New Roman" w:cs="Times New Roman" w:eastAsiaTheme="minorEastAsia"/>
                <w:color w:val="auto"/>
                <w:w w:val="99"/>
                <w:kern w:val="21"/>
                <w:sz w:val="21"/>
                <w:szCs w:val="21"/>
                <w:highlight w:val="none"/>
                <w:vertAlign w:val="subscript"/>
              </w:rPr>
              <w:t>2</w:t>
            </w:r>
            <w:r>
              <w:rPr>
                <w:rFonts w:ascii="Times New Roman" w:hAnsi="Times New Roman" w:cs="Times New Roman" w:eastAsiaTheme="minorEastAsia"/>
                <w:color w:val="auto"/>
                <w:w w:val="99"/>
                <w:kern w:val="21"/>
                <w:sz w:val="21"/>
                <w:szCs w:val="21"/>
                <w:highlight w:val="none"/>
              </w:rPr>
              <w:t>、</w:t>
            </w:r>
            <w:r>
              <w:rPr>
                <w:rFonts w:ascii="Times New Roman" w:hAnsi="Times New Roman" w:cs="Times New Roman" w:eastAsiaTheme="minorEastAsia"/>
                <w:bCs/>
                <w:color w:val="auto"/>
                <w:w w:val="99"/>
                <w:kern w:val="21"/>
                <w:sz w:val="21"/>
                <w:szCs w:val="21"/>
                <w:highlight w:val="none"/>
              </w:rPr>
              <w:t>PM</w:t>
            </w:r>
            <w:r>
              <w:rPr>
                <w:rFonts w:ascii="Times New Roman" w:hAnsi="Times New Roman" w:cs="Times New Roman" w:eastAsiaTheme="minorEastAsia"/>
                <w:bCs/>
                <w:color w:val="auto"/>
                <w:w w:val="99"/>
                <w:kern w:val="21"/>
                <w:sz w:val="21"/>
                <w:szCs w:val="21"/>
                <w:highlight w:val="none"/>
                <w:vertAlign w:val="subscript"/>
              </w:rPr>
              <w:t>2.5</w:t>
            </w:r>
            <w:r>
              <w:rPr>
                <w:rFonts w:ascii="Times New Roman" w:hAnsi="Times New Roman" w:cs="Times New Roman" w:eastAsiaTheme="minorEastAsia"/>
                <w:bCs/>
                <w:color w:val="auto"/>
                <w:w w:val="99"/>
                <w:kern w:val="21"/>
                <w:sz w:val="21"/>
                <w:szCs w:val="21"/>
                <w:highlight w:val="none"/>
              </w:rPr>
              <w:t>、CO、O</w:t>
            </w:r>
            <w:r>
              <w:rPr>
                <w:rFonts w:ascii="Times New Roman" w:hAnsi="Times New Roman" w:cs="Times New Roman" w:eastAsiaTheme="minorEastAsia"/>
                <w:bCs/>
                <w:color w:val="auto"/>
                <w:w w:val="99"/>
                <w:kern w:val="21"/>
                <w:sz w:val="21"/>
                <w:szCs w:val="21"/>
                <w:highlight w:val="none"/>
                <w:vertAlign w:val="subscript"/>
              </w:rPr>
              <w:t>3</w:t>
            </w:r>
          </w:p>
          <w:p w14:paraId="06912999">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其他污染物：</w:t>
            </w:r>
            <w:r>
              <w:rPr>
                <w:rFonts w:ascii="Times New Roman" w:hAnsi="Times New Roman" w:cs="Times New Roman" w:eastAsiaTheme="minorEastAsia"/>
                <w:bCs/>
                <w:color w:val="auto"/>
                <w:w w:val="99"/>
                <w:kern w:val="21"/>
                <w:sz w:val="21"/>
                <w:szCs w:val="21"/>
                <w:highlight w:val="none"/>
              </w:rPr>
              <w:t>TSP、</w:t>
            </w:r>
            <w:r>
              <w:rPr>
                <w:rFonts w:ascii="Times New Roman" w:hAnsi="Times New Roman" w:cs="Times New Roman" w:eastAsiaTheme="minorEastAsia"/>
                <w:color w:val="auto"/>
                <w:w w:val="99"/>
                <w:kern w:val="21"/>
                <w:sz w:val="21"/>
                <w:szCs w:val="21"/>
                <w:highlight w:val="none"/>
              </w:rPr>
              <w:t>非甲烷总烃</w:t>
            </w:r>
          </w:p>
        </w:tc>
        <w:tc>
          <w:tcPr>
            <w:tcW w:w="1865" w:type="dxa"/>
            <w:gridSpan w:val="5"/>
            <w:vAlign w:val="center"/>
          </w:tcPr>
          <w:p w14:paraId="09F57EDE">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包括二次PM</w:t>
            </w:r>
            <w:r>
              <w:rPr>
                <w:rFonts w:ascii="Times New Roman" w:hAnsi="Times New Roman" w:cs="Times New Roman" w:eastAsiaTheme="minorEastAsia"/>
                <w:color w:val="auto"/>
                <w:w w:val="99"/>
                <w:kern w:val="21"/>
                <w:sz w:val="21"/>
                <w:szCs w:val="21"/>
                <w:highlight w:val="none"/>
                <w:vertAlign w:val="subscript"/>
              </w:rPr>
              <w:t>2.5</w:t>
            </w:r>
            <w:r>
              <w:rPr>
                <w:rFonts w:ascii="Times New Roman" w:hAnsi="Times New Roman" w:cs="Times New Roman" w:eastAsiaTheme="minorEastAsia"/>
                <w:color w:val="auto"/>
                <w:w w:val="99"/>
                <w:kern w:val="21"/>
                <w:sz w:val="21"/>
                <w:szCs w:val="21"/>
                <w:highlight w:val="none"/>
              </w:rPr>
              <w:sym w:font="Wingdings" w:char="00A8"/>
            </w:r>
          </w:p>
          <w:p w14:paraId="2A10CB8A">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不包括二次PM</w:t>
            </w:r>
            <w:r>
              <w:rPr>
                <w:rFonts w:ascii="Times New Roman" w:hAnsi="Times New Roman" w:cs="Times New Roman" w:eastAsiaTheme="minorEastAsia"/>
                <w:color w:val="auto"/>
                <w:w w:val="99"/>
                <w:kern w:val="21"/>
                <w:sz w:val="21"/>
                <w:szCs w:val="21"/>
                <w:highlight w:val="none"/>
                <w:vertAlign w:val="subscript"/>
              </w:rPr>
              <w:t>2.5</w:t>
            </w:r>
            <w:r>
              <w:rPr>
                <w:rFonts w:ascii="Times New Roman" w:hAnsi="Times New Roman" w:cs="Times New Roman" w:eastAsiaTheme="minorEastAsia"/>
                <w:color w:val="auto"/>
                <w:w w:val="99"/>
                <w:kern w:val="21"/>
                <w:sz w:val="21"/>
                <w:szCs w:val="21"/>
                <w:highlight w:val="none"/>
              </w:rPr>
              <w:sym w:font="Wingdings" w:char="00FE"/>
            </w:r>
          </w:p>
        </w:tc>
      </w:tr>
      <w:tr w14:paraId="05120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Align w:val="center"/>
          </w:tcPr>
          <w:p w14:paraId="4E737E6D">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评价标准</w:t>
            </w:r>
          </w:p>
        </w:tc>
        <w:tc>
          <w:tcPr>
            <w:tcW w:w="1581" w:type="dxa"/>
            <w:vAlign w:val="center"/>
          </w:tcPr>
          <w:p w14:paraId="3FC60685">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评价标准</w:t>
            </w:r>
          </w:p>
        </w:tc>
        <w:tc>
          <w:tcPr>
            <w:tcW w:w="2169" w:type="dxa"/>
            <w:gridSpan w:val="5"/>
            <w:vAlign w:val="center"/>
          </w:tcPr>
          <w:p w14:paraId="2AF4FDE0">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国家标准</w:t>
            </w:r>
            <w:r>
              <w:rPr>
                <w:rFonts w:ascii="Times New Roman" w:hAnsi="Times New Roman" w:cs="Times New Roman" w:eastAsiaTheme="minorEastAsia"/>
                <w:color w:val="auto"/>
                <w:w w:val="99"/>
                <w:kern w:val="21"/>
                <w:sz w:val="21"/>
                <w:szCs w:val="21"/>
                <w:highlight w:val="none"/>
              </w:rPr>
              <w:sym w:font="Wingdings" w:char="00FE"/>
            </w:r>
          </w:p>
        </w:tc>
        <w:tc>
          <w:tcPr>
            <w:tcW w:w="1461" w:type="dxa"/>
            <w:gridSpan w:val="4"/>
            <w:vAlign w:val="center"/>
          </w:tcPr>
          <w:p w14:paraId="13BC40E3">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地方标准</w:t>
            </w:r>
            <w:r>
              <w:rPr>
                <w:rFonts w:ascii="Times New Roman" w:hAnsi="Times New Roman" w:cs="Times New Roman" w:eastAsiaTheme="minorEastAsia"/>
                <w:color w:val="auto"/>
                <w:w w:val="99"/>
                <w:kern w:val="21"/>
                <w:sz w:val="21"/>
                <w:szCs w:val="21"/>
                <w:highlight w:val="none"/>
              </w:rPr>
              <w:sym w:font="Wingdings" w:char="00A8"/>
            </w:r>
          </w:p>
        </w:tc>
        <w:tc>
          <w:tcPr>
            <w:tcW w:w="1465" w:type="dxa"/>
            <w:gridSpan w:val="7"/>
            <w:vAlign w:val="center"/>
          </w:tcPr>
          <w:p w14:paraId="3811F505">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附录D</w:t>
            </w:r>
            <w:r>
              <w:rPr>
                <w:rFonts w:ascii="Times New Roman" w:hAnsi="Times New Roman" w:cs="Times New Roman" w:eastAsiaTheme="minorEastAsia"/>
                <w:color w:val="auto"/>
                <w:w w:val="99"/>
                <w:kern w:val="21"/>
                <w:sz w:val="21"/>
                <w:szCs w:val="21"/>
                <w:highlight w:val="none"/>
              </w:rPr>
              <w:sym w:font="Wingdings" w:char="00A8"/>
            </w:r>
          </w:p>
        </w:tc>
        <w:tc>
          <w:tcPr>
            <w:tcW w:w="1295" w:type="dxa"/>
            <w:gridSpan w:val="2"/>
            <w:vAlign w:val="center"/>
          </w:tcPr>
          <w:p w14:paraId="23F18F45">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其他标准</w:t>
            </w:r>
            <w:r>
              <w:rPr>
                <w:rFonts w:ascii="Times New Roman" w:hAnsi="Times New Roman" w:cs="Times New Roman" w:eastAsiaTheme="minorEastAsia"/>
                <w:color w:val="auto"/>
                <w:w w:val="99"/>
                <w:kern w:val="21"/>
                <w:sz w:val="21"/>
                <w:szCs w:val="21"/>
                <w:highlight w:val="none"/>
              </w:rPr>
              <w:sym w:font="Wingdings" w:char="00FE"/>
            </w:r>
          </w:p>
        </w:tc>
      </w:tr>
      <w:tr w14:paraId="062D0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restart"/>
            <w:vAlign w:val="center"/>
          </w:tcPr>
          <w:p w14:paraId="1F3E236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现状评价</w:t>
            </w:r>
          </w:p>
        </w:tc>
        <w:tc>
          <w:tcPr>
            <w:tcW w:w="1581" w:type="dxa"/>
            <w:vAlign w:val="center"/>
          </w:tcPr>
          <w:p w14:paraId="2DE0E210">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环境功能区</w:t>
            </w:r>
          </w:p>
        </w:tc>
        <w:tc>
          <w:tcPr>
            <w:tcW w:w="2169" w:type="dxa"/>
            <w:gridSpan w:val="5"/>
            <w:vAlign w:val="center"/>
          </w:tcPr>
          <w:p w14:paraId="274D49C5">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一类区</w:t>
            </w:r>
            <w:r>
              <w:rPr>
                <w:rFonts w:ascii="Times New Roman" w:hAnsi="Times New Roman" w:cs="Times New Roman" w:eastAsiaTheme="minorEastAsia"/>
                <w:color w:val="auto"/>
                <w:w w:val="99"/>
                <w:kern w:val="21"/>
                <w:sz w:val="21"/>
                <w:szCs w:val="21"/>
                <w:highlight w:val="none"/>
              </w:rPr>
              <w:sym w:font="Wingdings" w:char="00A8"/>
            </w:r>
          </w:p>
        </w:tc>
        <w:tc>
          <w:tcPr>
            <w:tcW w:w="2356" w:type="dxa"/>
            <w:gridSpan w:val="8"/>
            <w:vAlign w:val="center"/>
          </w:tcPr>
          <w:p w14:paraId="5B13C8C1">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二类区</w:t>
            </w:r>
            <w:r>
              <w:rPr>
                <w:rFonts w:ascii="Times New Roman" w:hAnsi="Times New Roman" w:cs="Times New Roman" w:eastAsiaTheme="minorEastAsia"/>
                <w:color w:val="auto"/>
                <w:w w:val="99"/>
                <w:kern w:val="21"/>
                <w:sz w:val="21"/>
                <w:szCs w:val="21"/>
                <w:highlight w:val="none"/>
              </w:rPr>
              <w:sym w:font="Wingdings" w:char="00FE"/>
            </w:r>
          </w:p>
        </w:tc>
        <w:tc>
          <w:tcPr>
            <w:tcW w:w="1865" w:type="dxa"/>
            <w:gridSpan w:val="5"/>
            <w:vAlign w:val="center"/>
          </w:tcPr>
          <w:p w14:paraId="21098B2D">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一类区和二类区</w:t>
            </w:r>
            <w:r>
              <w:rPr>
                <w:rFonts w:ascii="Times New Roman" w:hAnsi="Times New Roman" w:cs="Times New Roman" w:eastAsiaTheme="minorEastAsia"/>
                <w:color w:val="auto"/>
                <w:w w:val="99"/>
                <w:kern w:val="21"/>
                <w:sz w:val="21"/>
                <w:szCs w:val="21"/>
                <w:highlight w:val="none"/>
              </w:rPr>
              <w:sym w:font="Wingdings" w:char="00A8"/>
            </w:r>
          </w:p>
        </w:tc>
      </w:tr>
      <w:tr w14:paraId="5B77D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08BA56D0">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6FA13071">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评价基准年</w:t>
            </w:r>
          </w:p>
        </w:tc>
        <w:tc>
          <w:tcPr>
            <w:tcW w:w="6390" w:type="dxa"/>
            <w:gridSpan w:val="18"/>
            <w:vAlign w:val="center"/>
          </w:tcPr>
          <w:p w14:paraId="15CC58D0">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（202</w:t>
            </w:r>
            <w:r>
              <w:rPr>
                <w:rFonts w:hint="eastAsia" w:ascii="Times New Roman" w:hAnsi="Times New Roman" w:cs="Times New Roman" w:eastAsiaTheme="minorEastAsia"/>
                <w:color w:val="auto"/>
                <w:w w:val="99"/>
                <w:kern w:val="21"/>
                <w:sz w:val="21"/>
                <w:szCs w:val="21"/>
                <w:highlight w:val="none"/>
              </w:rPr>
              <w:t>4</w:t>
            </w:r>
            <w:r>
              <w:rPr>
                <w:rFonts w:ascii="Times New Roman" w:hAnsi="Times New Roman" w:cs="Times New Roman" w:eastAsiaTheme="minorEastAsia"/>
                <w:color w:val="auto"/>
                <w:w w:val="99"/>
                <w:kern w:val="21"/>
                <w:sz w:val="21"/>
                <w:szCs w:val="21"/>
                <w:highlight w:val="none"/>
              </w:rPr>
              <w:t>）年</w:t>
            </w:r>
          </w:p>
        </w:tc>
      </w:tr>
      <w:tr w14:paraId="2C64F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2078A12F">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4ECC5852">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环境空气质量</w:t>
            </w:r>
          </w:p>
          <w:p w14:paraId="1065303D">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现状调查数据来源</w:t>
            </w:r>
          </w:p>
        </w:tc>
        <w:tc>
          <w:tcPr>
            <w:tcW w:w="2169" w:type="dxa"/>
            <w:gridSpan w:val="5"/>
            <w:vAlign w:val="center"/>
          </w:tcPr>
          <w:p w14:paraId="14F83D99">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长期例行监测数据</w:t>
            </w:r>
            <w:r>
              <w:rPr>
                <w:rFonts w:ascii="Times New Roman" w:hAnsi="Times New Roman" w:cs="Times New Roman" w:eastAsiaTheme="minorEastAsia"/>
                <w:color w:val="auto"/>
                <w:w w:val="99"/>
                <w:kern w:val="21"/>
                <w:sz w:val="21"/>
                <w:szCs w:val="21"/>
                <w:highlight w:val="none"/>
              </w:rPr>
              <w:sym w:font="Wingdings" w:char="00A8"/>
            </w:r>
          </w:p>
        </w:tc>
        <w:tc>
          <w:tcPr>
            <w:tcW w:w="2356" w:type="dxa"/>
            <w:gridSpan w:val="8"/>
            <w:vAlign w:val="center"/>
          </w:tcPr>
          <w:p w14:paraId="125FDB38">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主管部门发布的数据</w:t>
            </w:r>
            <w:r>
              <w:rPr>
                <w:rFonts w:ascii="Times New Roman" w:hAnsi="Times New Roman" w:cs="Times New Roman" w:eastAsiaTheme="minorEastAsia"/>
                <w:color w:val="auto"/>
                <w:w w:val="99"/>
                <w:kern w:val="21"/>
                <w:sz w:val="21"/>
                <w:szCs w:val="21"/>
                <w:highlight w:val="none"/>
              </w:rPr>
              <w:sym w:font="Wingdings" w:char="00FE"/>
            </w:r>
          </w:p>
        </w:tc>
        <w:tc>
          <w:tcPr>
            <w:tcW w:w="1865" w:type="dxa"/>
            <w:gridSpan w:val="5"/>
            <w:vAlign w:val="center"/>
          </w:tcPr>
          <w:p w14:paraId="0269B582">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现状补充监测</w:t>
            </w:r>
            <w:r>
              <w:rPr>
                <w:rFonts w:ascii="Times New Roman" w:hAnsi="Times New Roman" w:cs="Times New Roman" w:eastAsiaTheme="minorEastAsia"/>
                <w:color w:val="auto"/>
                <w:w w:val="99"/>
                <w:kern w:val="21"/>
                <w:sz w:val="21"/>
                <w:szCs w:val="21"/>
                <w:highlight w:val="none"/>
              </w:rPr>
              <w:sym w:font="Wingdings" w:char="00FE"/>
            </w:r>
          </w:p>
        </w:tc>
      </w:tr>
      <w:tr w14:paraId="73303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3988A454">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4A150C72">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现状评价</w:t>
            </w:r>
          </w:p>
        </w:tc>
        <w:tc>
          <w:tcPr>
            <w:tcW w:w="3694" w:type="dxa"/>
            <w:gridSpan w:val="10"/>
            <w:vAlign w:val="center"/>
          </w:tcPr>
          <w:p w14:paraId="248B5AC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达标区</w:t>
            </w:r>
            <w:r>
              <w:rPr>
                <w:rFonts w:ascii="Times New Roman" w:hAnsi="Times New Roman" w:cs="Times New Roman" w:eastAsiaTheme="minorEastAsia"/>
                <w:color w:val="auto"/>
                <w:w w:val="99"/>
                <w:kern w:val="21"/>
                <w:sz w:val="21"/>
                <w:szCs w:val="21"/>
                <w:highlight w:val="none"/>
              </w:rPr>
              <w:sym w:font="Wingdings" w:char="00A8"/>
            </w:r>
          </w:p>
        </w:tc>
        <w:tc>
          <w:tcPr>
            <w:tcW w:w="2696" w:type="dxa"/>
            <w:gridSpan w:val="8"/>
            <w:vAlign w:val="center"/>
          </w:tcPr>
          <w:p w14:paraId="1125D385">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不达标区</w:t>
            </w:r>
            <w:r>
              <w:rPr>
                <w:rFonts w:ascii="Times New Roman" w:hAnsi="Times New Roman" w:cs="Times New Roman" w:eastAsiaTheme="minorEastAsia"/>
                <w:color w:val="auto"/>
                <w:w w:val="99"/>
                <w:kern w:val="21"/>
                <w:sz w:val="21"/>
                <w:szCs w:val="21"/>
                <w:highlight w:val="none"/>
              </w:rPr>
              <w:sym w:font="Wingdings" w:char="00FE"/>
            </w:r>
          </w:p>
        </w:tc>
      </w:tr>
      <w:tr w14:paraId="621F1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Align w:val="center"/>
          </w:tcPr>
          <w:p w14:paraId="1CF855D8">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污染源</w:t>
            </w:r>
          </w:p>
          <w:p w14:paraId="7E020B38">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调查</w:t>
            </w:r>
          </w:p>
        </w:tc>
        <w:tc>
          <w:tcPr>
            <w:tcW w:w="1581" w:type="dxa"/>
            <w:vAlign w:val="center"/>
          </w:tcPr>
          <w:p w14:paraId="2F7555B0">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调查内容</w:t>
            </w:r>
          </w:p>
        </w:tc>
        <w:tc>
          <w:tcPr>
            <w:tcW w:w="2559" w:type="dxa"/>
            <w:gridSpan w:val="6"/>
            <w:vAlign w:val="center"/>
          </w:tcPr>
          <w:p w14:paraId="4364FB9B">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建设项目正常排放源</w:t>
            </w:r>
            <w:r>
              <w:rPr>
                <w:rFonts w:ascii="Times New Roman" w:hAnsi="Times New Roman" w:cs="Times New Roman" w:eastAsiaTheme="minorEastAsia"/>
                <w:color w:val="auto"/>
                <w:w w:val="99"/>
                <w:kern w:val="21"/>
                <w:sz w:val="21"/>
                <w:szCs w:val="21"/>
                <w:highlight w:val="none"/>
              </w:rPr>
              <w:sym w:font="Wingdings" w:char="00FE"/>
            </w:r>
          </w:p>
          <w:p w14:paraId="14154BC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建设项目非正常排放源</w:t>
            </w:r>
            <w:r>
              <w:rPr>
                <w:rFonts w:ascii="Times New Roman" w:hAnsi="Times New Roman" w:cs="Times New Roman" w:eastAsiaTheme="minorEastAsia"/>
                <w:color w:val="auto"/>
                <w:w w:val="99"/>
                <w:kern w:val="21"/>
                <w:sz w:val="21"/>
                <w:szCs w:val="21"/>
                <w:highlight w:val="none"/>
              </w:rPr>
              <w:sym w:font="Wingdings" w:char="00FE"/>
            </w:r>
          </w:p>
          <w:p w14:paraId="10086B9B">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现有污染源</w:t>
            </w:r>
            <w:r>
              <w:rPr>
                <w:rFonts w:ascii="Times New Roman" w:hAnsi="Times New Roman" w:cs="Times New Roman" w:eastAsiaTheme="minorEastAsia"/>
                <w:color w:val="auto"/>
                <w:w w:val="99"/>
                <w:kern w:val="21"/>
                <w:sz w:val="21"/>
                <w:szCs w:val="21"/>
                <w:highlight w:val="none"/>
              </w:rPr>
              <w:sym w:font="Wingdings" w:char="00A8"/>
            </w:r>
          </w:p>
        </w:tc>
        <w:tc>
          <w:tcPr>
            <w:tcW w:w="1135" w:type="dxa"/>
            <w:gridSpan w:val="4"/>
            <w:vAlign w:val="center"/>
          </w:tcPr>
          <w:p w14:paraId="2E14E523">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拟替代的污染源</w:t>
            </w:r>
            <w:r>
              <w:rPr>
                <w:rFonts w:ascii="Times New Roman" w:hAnsi="Times New Roman" w:cs="Times New Roman" w:eastAsiaTheme="minorEastAsia"/>
                <w:color w:val="auto"/>
                <w:w w:val="99"/>
                <w:kern w:val="21"/>
                <w:sz w:val="21"/>
                <w:szCs w:val="21"/>
                <w:highlight w:val="none"/>
              </w:rPr>
              <w:sym w:font="Wingdings" w:char="00A8"/>
            </w:r>
          </w:p>
        </w:tc>
        <w:tc>
          <w:tcPr>
            <w:tcW w:w="1401" w:type="dxa"/>
            <w:gridSpan w:val="6"/>
            <w:vAlign w:val="center"/>
          </w:tcPr>
          <w:p w14:paraId="72A742A8">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其他在建、拟建项目污染源</w:t>
            </w:r>
            <w:r>
              <w:rPr>
                <w:rFonts w:ascii="Times New Roman" w:hAnsi="Times New Roman" w:cs="Times New Roman" w:eastAsiaTheme="minorEastAsia"/>
                <w:color w:val="auto"/>
                <w:w w:val="99"/>
                <w:kern w:val="21"/>
                <w:sz w:val="21"/>
                <w:szCs w:val="21"/>
                <w:highlight w:val="none"/>
              </w:rPr>
              <w:sym w:font="Wingdings" w:char="00A8"/>
            </w:r>
          </w:p>
        </w:tc>
        <w:tc>
          <w:tcPr>
            <w:tcW w:w="1295" w:type="dxa"/>
            <w:gridSpan w:val="2"/>
            <w:vAlign w:val="center"/>
          </w:tcPr>
          <w:p w14:paraId="15B52A29">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区域污染源</w:t>
            </w:r>
            <w:r>
              <w:rPr>
                <w:rFonts w:ascii="Times New Roman" w:hAnsi="Times New Roman" w:cs="Times New Roman" w:eastAsiaTheme="minorEastAsia"/>
                <w:color w:val="auto"/>
                <w:w w:val="99"/>
                <w:kern w:val="21"/>
                <w:sz w:val="21"/>
                <w:szCs w:val="21"/>
                <w:highlight w:val="none"/>
              </w:rPr>
              <w:sym w:font="Wingdings" w:char="00FE"/>
            </w:r>
          </w:p>
        </w:tc>
      </w:tr>
      <w:tr w14:paraId="6031E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restart"/>
            <w:vAlign w:val="center"/>
          </w:tcPr>
          <w:p w14:paraId="5D8B8875">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大气环境影响预测与评价</w:t>
            </w:r>
          </w:p>
        </w:tc>
        <w:tc>
          <w:tcPr>
            <w:tcW w:w="1581" w:type="dxa"/>
            <w:vAlign w:val="center"/>
          </w:tcPr>
          <w:p w14:paraId="4CFEEB76">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预测模型</w:t>
            </w:r>
          </w:p>
        </w:tc>
        <w:tc>
          <w:tcPr>
            <w:tcW w:w="1150" w:type="dxa"/>
            <w:vAlign w:val="center"/>
          </w:tcPr>
          <w:p w14:paraId="6A9BEA7A">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AERMOD</w:t>
            </w:r>
          </w:p>
          <w:p w14:paraId="7A7F37A3">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sym w:font="Wingdings" w:char="00A8"/>
            </w:r>
          </w:p>
        </w:tc>
        <w:tc>
          <w:tcPr>
            <w:tcW w:w="825" w:type="dxa"/>
            <w:gridSpan w:val="3"/>
            <w:vAlign w:val="center"/>
          </w:tcPr>
          <w:p w14:paraId="7D8668F0">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ADMS</w:t>
            </w:r>
          </w:p>
          <w:p w14:paraId="2874C1CA">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sym w:font="Wingdings" w:char="00A8"/>
            </w:r>
          </w:p>
        </w:tc>
        <w:tc>
          <w:tcPr>
            <w:tcW w:w="1500" w:type="dxa"/>
            <w:gridSpan w:val="4"/>
            <w:vAlign w:val="center"/>
          </w:tcPr>
          <w:p w14:paraId="223B2CF0">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AUSTAL2000</w:t>
            </w:r>
          </w:p>
          <w:p w14:paraId="5337C2C3">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sym w:font="Wingdings" w:char="00A8"/>
            </w:r>
          </w:p>
        </w:tc>
        <w:tc>
          <w:tcPr>
            <w:tcW w:w="975" w:type="dxa"/>
            <w:gridSpan w:val="4"/>
            <w:vAlign w:val="center"/>
          </w:tcPr>
          <w:p w14:paraId="1D3788EF">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EDMS</w:t>
            </w:r>
          </w:p>
          <w:p w14:paraId="768D0759">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sym w:font="Wingdings" w:char="00A8"/>
            </w:r>
          </w:p>
        </w:tc>
        <w:tc>
          <w:tcPr>
            <w:tcW w:w="1290" w:type="dxa"/>
            <w:gridSpan w:val="5"/>
            <w:vAlign w:val="center"/>
          </w:tcPr>
          <w:p w14:paraId="1B5FC8F6">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CALPUFF</w:t>
            </w:r>
          </w:p>
          <w:p w14:paraId="44AD40EF">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sym w:font="Wingdings" w:char="00A8"/>
            </w:r>
          </w:p>
        </w:tc>
        <w:tc>
          <w:tcPr>
            <w:tcW w:w="650" w:type="dxa"/>
            <w:vAlign w:val="center"/>
          </w:tcPr>
          <w:p w14:paraId="45A0FA2C">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其他</w:t>
            </w:r>
          </w:p>
          <w:p w14:paraId="4BAA52A9">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sym w:font="Wingdings" w:char="00A8"/>
            </w:r>
          </w:p>
        </w:tc>
      </w:tr>
      <w:tr w14:paraId="630E3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76797AE4">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2D6C6EDF">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预测范围</w:t>
            </w:r>
          </w:p>
        </w:tc>
        <w:tc>
          <w:tcPr>
            <w:tcW w:w="2169" w:type="dxa"/>
            <w:gridSpan w:val="5"/>
            <w:vAlign w:val="center"/>
          </w:tcPr>
          <w:p w14:paraId="33E6262C">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边长</w:t>
            </w:r>
            <w:r>
              <w:rPr>
                <w:rFonts w:hint="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t>50km</w:t>
            </w:r>
            <w:r>
              <w:rPr>
                <w:rFonts w:ascii="Times New Roman" w:hAnsi="Times New Roman" w:cs="Times New Roman" w:eastAsiaTheme="minorEastAsia"/>
                <w:color w:val="auto"/>
                <w:w w:val="99"/>
                <w:kern w:val="21"/>
                <w:sz w:val="21"/>
                <w:szCs w:val="21"/>
                <w:highlight w:val="none"/>
              </w:rPr>
              <w:sym w:font="Wingdings" w:char="00A8"/>
            </w:r>
          </w:p>
        </w:tc>
        <w:tc>
          <w:tcPr>
            <w:tcW w:w="2281" w:type="dxa"/>
            <w:gridSpan w:val="7"/>
            <w:vAlign w:val="center"/>
          </w:tcPr>
          <w:p w14:paraId="1F533290">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边长5~50km</w:t>
            </w:r>
            <w:r>
              <w:rPr>
                <w:rFonts w:ascii="Times New Roman" w:hAnsi="Times New Roman" w:cs="Times New Roman" w:eastAsiaTheme="minorEastAsia"/>
                <w:color w:val="auto"/>
                <w:w w:val="99"/>
                <w:kern w:val="21"/>
                <w:sz w:val="21"/>
                <w:szCs w:val="21"/>
                <w:highlight w:val="none"/>
              </w:rPr>
              <w:sym w:font="Wingdings" w:char="00FE"/>
            </w:r>
          </w:p>
        </w:tc>
        <w:tc>
          <w:tcPr>
            <w:tcW w:w="1940" w:type="dxa"/>
            <w:gridSpan w:val="6"/>
            <w:vAlign w:val="center"/>
          </w:tcPr>
          <w:p w14:paraId="55C78A3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边长&lt;5km</w:t>
            </w:r>
            <w:r>
              <w:rPr>
                <w:rFonts w:ascii="Times New Roman" w:hAnsi="Times New Roman" w:cs="Times New Roman" w:eastAsiaTheme="minorEastAsia"/>
                <w:color w:val="auto"/>
                <w:w w:val="99"/>
                <w:kern w:val="21"/>
                <w:sz w:val="21"/>
                <w:szCs w:val="21"/>
                <w:highlight w:val="none"/>
              </w:rPr>
              <w:sym w:font="Wingdings" w:char="00A8"/>
            </w:r>
          </w:p>
        </w:tc>
      </w:tr>
      <w:tr w14:paraId="44600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33CFDED5">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48A466A6">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预测因子</w:t>
            </w:r>
          </w:p>
        </w:tc>
        <w:tc>
          <w:tcPr>
            <w:tcW w:w="3032" w:type="dxa"/>
            <w:gridSpan w:val="7"/>
            <w:vAlign w:val="center"/>
          </w:tcPr>
          <w:p w14:paraId="6602BCE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预测因子（</w:t>
            </w:r>
            <w:r>
              <w:rPr>
                <w:rFonts w:hint="eastAsia" w:ascii="Times New Roman" w:hAnsi="Times New Roman" w:cs="Times New Roman" w:eastAsiaTheme="minorEastAsia"/>
                <w:color w:val="auto"/>
                <w:w w:val="99"/>
                <w:kern w:val="21"/>
                <w:sz w:val="21"/>
                <w:szCs w:val="21"/>
                <w:highlight w:val="none"/>
              </w:rPr>
              <w:t>NMHC</w:t>
            </w:r>
            <w:r>
              <w:rPr>
                <w:rFonts w:ascii="Times New Roman" w:hAnsi="Times New Roman" w:cs="Times New Roman" w:eastAsiaTheme="minorEastAsia"/>
                <w:color w:val="auto"/>
                <w:w w:val="99"/>
                <w:kern w:val="21"/>
                <w:sz w:val="21"/>
                <w:szCs w:val="21"/>
                <w:highlight w:val="none"/>
              </w:rPr>
              <w:t>）</w:t>
            </w:r>
          </w:p>
        </w:tc>
        <w:tc>
          <w:tcPr>
            <w:tcW w:w="3358" w:type="dxa"/>
            <w:gridSpan w:val="11"/>
            <w:vAlign w:val="center"/>
          </w:tcPr>
          <w:p w14:paraId="1215D88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包括二次PM</w:t>
            </w:r>
            <w:r>
              <w:rPr>
                <w:rFonts w:ascii="Times New Roman" w:hAnsi="Times New Roman" w:cs="Times New Roman" w:eastAsiaTheme="minorEastAsia"/>
                <w:color w:val="auto"/>
                <w:w w:val="99"/>
                <w:kern w:val="21"/>
                <w:sz w:val="21"/>
                <w:szCs w:val="21"/>
                <w:highlight w:val="none"/>
                <w:vertAlign w:val="subscript"/>
              </w:rPr>
              <w:t>2.5</w:t>
            </w:r>
            <w:r>
              <w:rPr>
                <w:rFonts w:ascii="Times New Roman" w:hAnsi="Times New Roman" w:cs="Times New Roman" w:eastAsiaTheme="minorEastAsia"/>
                <w:color w:val="auto"/>
                <w:w w:val="99"/>
                <w:kern w:val="21"/>
                <w:sz w:val="21"/>
                <w:szCs w:val="21"/>
                <w:highlight w:val="none"/>
              </w:rPr>
              <w:sym w:font="Wingdings" w:char="00A8"/>
            </w:r>
          </w:p>
          <w:p w14:paraId="6B1FF753">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不包括二次PM</w:t>
            </w:r>
            <w:r>
              <w:rPr>
                <w:rFonts w:ascii="Times New Roman" w:hAnsi="Times New Roman" w:cs="Times New Roman" w:eastAsiaTheme="minorEastAsia"/>
                <w:color w:val="auto"/>
                <w:w w:val="99"/>
                <w:kern w:val="21"/>
                <w:sz w:val="21"/>
                <w:szCs w:val="21"/>
                <w:highlight w:val="none"/>
                <w:vertAlign w:val="subscript"/>
              </w:rPr>
              <w:t>2.5</w:t>
            </w:r>
            <w:r>
              <w:rPr>
                <w:rFonts w:ascii="Times New Roman" w:hAnsi="Times New Roman" w:cs="Times New Roman" w:eastAsiaTheme="minorEastAsia"/>
                <w:color w:val="auto"/>
                <w:w w:val="99"/>
                <w:kern w:val="21"/>
                <w:sz w:val="21"/>
                <w:szCs w:val="21"/>
                <w:highlight w:val="none"/>
              </w:rPr>
              <w:sym w:font="Wingdings" w:char="00A8"/>
            </w:r>
          </w:p>
        </w:tc>
      </w:tr>
      <w:tr w14:paraId="4559E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340266B5">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5B2AF708">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正常排放短期浓度贡献值</w:t>
            </w:r>
          </w:p>
        </w:tc>
        <w:tc>
          <w:tcPr>
            <w:tcW w:w="3032" w:type="dxa"/>
            <w:gridSpan w:val="7"/>
            <w:vAlign w:val="center"/>
          </w:tcPr>
          <w:p w14:paraId="1A53E079">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本项目</w:t>
            </w:r>
            <w:r>
              <w:rPr>
                <w:rFonts w:ascii="Times New Roman" w:hAnsi="Times New Roman" w:cs="Times New Roman" w:eastAsiaTheme="minorEastAsia"/>
                <w:color w:val="auto"/>
                <w:w w:val="99"/>
                <w:kern w:val="21"/>
                <w:sz w:val="21"/>
                <w:szCs w:val="21"/>
                <w:highlight w:val="none"/>
              </w:rPr>
              <w:t>最大占标率</w:t>
            </w:r>
            <w:r>
              <w:rPr>
                <w:rFonts w:hint="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t>100%</w:t>
            </w:r>
            <w:r>
              <w:rPr>
                <w:rFonts w:ascii="Times New Roman" w:hAnsi="Times New Roman" w:cs="Times New Roman" w:eastAsiaTheme="minorEastAsia"/>
                <w:color w:val="auto"/>
                <w:w w:val="99"/>
                <w:kern w:val="21"/>
                <w:sz w:val="21"/>
                <w:szCs w:val="21"/>
                <w:highlight w:val="none"/>
              </w:rPr>
              <w:sym w:font="Wingdings" w:char="00FE"/>
            </w:r>
          </w:p>
        </w:tc>
        <w:tc>
          <w:tcPr>
            <w:tcW w:w="3358" w:type="dxa"/>
            <w:gridSpan w:val="11"/>
            <w:vAlign w:val="center"/>
          </w:tcPr>
          <w:p w14:paraId="1ED75162">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建设项目</w:t>
            </w:r>
            <w:r>
              <w:rPr>
                <w:rFonts w:ascii="Times New Roman" w:hAnsi="Times New Roman" w:cs="Times New Roman" w:eastAsiaTheme="minorEastAsia"/>
                <w:color w:val="auto"/>
                <w:w w:val="99"/>
                <w:kern w:val="21"/>
                <w:sz w:val="21"/>
                <w:szCs w:val="21"/>
                <w:highlight w:val="none"/>
              </w:rPr>
              <w:t>最大占标率&gt;100%</w:t>
            </w:r>
            <w:r>
              <w:rPr>
                <w:rFonts w:ascii="Times New Roman" w:hAnsi="Times New Roman" w:cs="Times New Roman" w:eastAsiaTheme="minorEastAsia"/>
                <w:color w:val="auto"/>
                <w:w w:val="99"/>
                <w:kern w:val="21"/>
                <w:sz w:val="21"/>
                <w:szCs w:val="21"/>
                <w:highlight w:val="none"/>
              </w:rPr>
              <w:sym w:font="Wingdings" w:char="00A8"/>
            </w:r>
          </w:p>
        </w:tc>
      </w:tr>
      <w:tr w14:paraId="276BC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24A9BD3F">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Merge w:val="restart"/>
            <w:vAlign w:val="center"/>
          </w:tcPr>
          <w:p w14:paraId="1ECDDA6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正常排放年均浓度贡献值</w:t>
            </w:r>
          </w:p>
        </w:tc>
        <w:tc>
          <w:tcPr>
            <w:tcW w:w="1773" w:type="dxa"/>
            <w:gridSpan w:val="3"/>
            <w:vAlign w:val="center"/>
          </w:tcPr>
          <w:p w14:paraId="5A4063F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一类区</w:t>
            </w:r>
          </w:p>
        </w:tc>
        <w:tc>
          <w:tcPr>
            <w:tcW w:w="2505" w:type="dxa"/>
            <w:gridSpan w:val="8"/>
            <w:vAlign w:val="center"/>
          </w:tcPr>
          <w:p w14:paraId="73476CDE">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本项目</w:t>
            </w:r>
            <w:r>
              <w:rPr>
                <w:rFonts w:ascii="Times New Roman" w:hAnsi="Times New Roman" w:cs="Times New Roman" w:eastAsiaTheme="minorEastAsia"/>
                <w:color w:val="auto"/>
                <w:w w:val="99"/>
                <w:kern w:val="21"/>
                <w:sz w:val="21"/>
                <w:szCs w:val="21"/>
                <w:highlight w:val="none"/>
              </w:rPr>
              <w:t>最大占标率</w:t>
            </w:r>
            <w:r>
              <w:rPr>
                <w:rFonts w:hint="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t>10%</w:t>
            </w:r>
            <w:r>
              <w:rPr>
                <w:rFonts w:ascii="Times New Roman" w:hAnsi="Times New Roman" w:cs="Times New Roman" w:eastAsiaTheme="minorEastAsia"/>
                <w:color w:val="auto"/>
                <w:w w:val="99"/>
                <w:kern w:val="21"/>
                <w:sz w:val="21"/>
                <w:szCs w:val="21"/>
                <w:highlight w:val="none"/>
              </w:rPr>
              <w:sym w:font="Wingdings" w:char="00A8"/>
            </w:r>
          </w:p>
        </w:tc>
        <w:tc>
          <w:tcPr>
            <w:tcW w:w="2112" w:type="dxa"/>
            <w:gridSpan w:val="7"/>
            <w:vAlign w:val="center"/>
          </w:tcPr>
          <w:p w14:paraId="162869B3">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本项目</w:t>
            </w:r>
            <w:r>
              <w:rPr>
                <w:rFonts w:ascii="Times New Roman" w:hAnsi="Times New Roman" w:cs="Times New Roman" w:eastAsiaTheme="minorEastAsia"/>
                <w:color w:val="auto"/>
                <w:w w:val="99"/>
                <w:kern w:val="21"/>
                <w:sz w:val="21"/>
                <w:szCs w:val="21"/>
                <w:highlight w:val="none"/>
              </w:rPr>
              <w:t>最大占标率＞10%</w:t>
            </w:r>
            <w:r>
              <w:rPr>
                <w:rFonts w:ascii="Times New Roman" w:hAnsi="Times New Roman" w:cs="Times New Roman" w:eastAsiaTheme="minorEastAsia"/>
                <w:color w:val="auto"/>
                <w:w w:val="99"/>
                <w:kern w:val="21"/>
                <w:sz w:val="21"/>
                <w:szCs w:val="21"/>
                <w:highlight w:val="none"/>
              </w:rPr>
              <w:sym w:font="Wingdings" w:char="00A8"/>
            </w:r>
          </w:p>
        </w:tc>
      </w:tr>
      <w:tr w14:paraId="61903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6C709990">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Merge w:val="continue"/>
            <w:vAlign w:val="center"/>
          </w:tcPr>
          <w:p w14:paraId="36C014FC">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773" w:type="dxa"/>
            <w:gridSpan w:val="3"/>
            <w:vAlign w:val="center"/>
          </w:tcPr>
          <w:p w14:paraId="01F1E22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二类区</w:t>
            </w:r>
          </w:p>
        </w:tc>
        <w:tc>
          <w:tcPr>
            <w:tcW w:w="2505" w:type="dxa"/>
            <w:gridSpan w:val="8"/>
            <w:vAlign w:val="center"/>
          </w:tcPr>
          <w:p w14:paraId="377D2358">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本项目</w:t>
            </w:r>
            <w:r>
              <w:rPr>
                <w:rFonts w:ascii="Times New Roman" w:hAnsi="Times New Roman" w:cs="Times New Roman" w:eastAsiaTheme="minorEastAsia"/>
                <w:color w:val="auto"/>
                <w:w w:val="99"/>
                <w:kern w:val="21"/>
                <w:sz w:val="21"/>
                <w:szCs w:val="21"/>
                <w:highlight w:val="none"/>
              </w:rPr>
              <w:t>最大占标率</w:t>
            </w:r>
            <w:r>
              <w:rPr>
                <w:rFonts w:hint="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t>30%</w:t>
            </w:r>
            <w:r>
              <w:rPr>
                <w:rFonts w:ascii="Times New Roman" w:hAnsi="Times New Roman" w:cs="Times New Roman" w:eastAsiaTheme="minorEastAsia"/>
                <w:color w:val="auto"/>
                <w:w w:val="99"/>
                <w:kern w:val="21"/>
                <w:sz w:val="21"/>
                <w:szCs w:val="21"/>
                <w:highlight w:val="none"/>
              </w:rPr>
              <w:sym w:font="Wingdings" w:char="00FE"/>
            </w:r>
          </w:p>
        </w:tc>
        <w:tc>
          <w:tcPr>
            <w:tcW w:w="2112" w:type="dxa"/>
            <w:gridSpan w:val="7"/>
            <w:vAlign w:val="center"/>
          </w:tcPr>
          <w:p w14:paraId="56C1BD83">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本项目</w:t>
            </w:r>
            <w:r>
              <w:rPr>
                <w:rFonts w:ascii="Times New Roman" w:hAnsi="Times New Roman" w:cs="Times New Roman" w:eastAsiaTheme="minorEastAsia"/>
                <w:color w:val="auto"/>
                <w:w w:val="99"/>
                <w:kern w:val="21"/>
                <w:sz w:val="21"/>
                <w:szCs w:val="21"/>
                <w:highlight w:val="none"/>
              </w:rPr>
              <w:t>最大占标率＞30%</w:t>
            </w:r>
            <w:r>
              <w:rPr>
                <w:rFonts w:ascii="Times New Roman" w:hAnsi="Times New Roman" w:cs="Times New Roman" w:eastAsiaTheme="minorEastAsia"/>
                <w:color w:val="auto"/>
                <w:w w:val="99"/>
                <w:kern w:val="21"/>
                <w:sz w:val="21"/>
                <w:szCs w:val="21"/>
                <w:highlight w:val="none"/>
              </w:rPr>
              <w:sym w:font="Wingdings" w:char="00A8"/>
            </w:r>
          </w:p>
        </w:tc>
      </w:tr>
      <w:tr w14:paraId="0751E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74170782">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3287EB28">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非正常排放1h浓度贡献值</w:t>
            </w:r>
          </w:p>
        </w:tc>
        <w:tc>
          <w:tcPr>
            <w:tcW w:w="2169" w:type="dxa"/>
            <w:gridSpan w:val="5"/>
            <w:vAlign w:val="center"/>
          </w:tcPr>
          <w:p w14:paraId="23552AC9">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非正常持续时长（</w:t>
            </w:r>
            <w:r>
              <w:rPr>
                <w:rFonts w:hint="eastAsia" w:ascii="Times New Roman" w:hAnsi="Times New Roman" w:cs="Times New Roman" w:eastAsiaTheme="minorEastAsia"/>
                <w:color w:val="auto"/>
                <w:w w:val="99"/>
                <w:kern w:val="21"/>
                <w:sz w:val="21"/>
                <w:szCs w:val="21"/>
                <w:highlight w:val="none"/>
              </w:rPr>
              <w:t>1</w:t>
            </w:r>
            <w:r>
              <w:rPr>
                <w:rFonts w:ascii="Times New Roman" w:hAnsi="Times New Roman" w:cs="Times New Roman" w:eastAsiaTheme="minorEastAsia"/>
                <w:color w:val="auto"/>
                <w:w w:val="99"/>
                <w:kern w:val="21"/>
                <w:sz w:val="21"/>
                <w:szCs w:val="21"/>
                <w:highlight w:val="none"/>
              </w:rPr>
              <w:t xml:space="preserve"> ）h</w:t>
            </w:r>
          </w:p>
        </w:tc>
        <w:tc>
          <w:tcPr>
            <w:tcW w:w="2356" w:type="dxa"/>
            <w:gridSpan w:val="8"/>
            <w:vAlign w:val="center"/>
          </w:tcPr>
          <w:p w14:paraId="15571EEA">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非正常</w:t>
            </w:r>
            <w:r>
              <w:rPr>
                <w:rFonts w:ascii="Times New Roman" w:hAnsi="Times New Roman" w:cs="Times New Roman" w:eastAsiaTheme="minorEastAsia"/>
                <w:color w:val="auto"/>
                <w:w w:val="99"/>
                <w:kern w:val="21"/>
                <w:sz w:val="21"/>
                <w:szCs w:val="21"/>
                <w:highlight w:val="none"/>
              </w:rPr>
              <w:t>占标率</w:t>
            </w:r>
            <w:r>
              <w:rPr>
                <w:rFonts w:hint="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t>100%</w:t>
            </w:r>
            <w:r>
              <w:rPr>
                <w:rFonts w:ascii="Times New Roman" w:hAnsi="Times New Roman" w:cs="Times New Roman" w:eastAsiaTheme="minorEastAsia"/>
                <w:color w:val="auto"/>
                <w:w w:val="99"/>
                <w:kern w:val="21"/>
                <w:sz w:val="21"/>
                <w:szCs w:val="21"/>
                <w:highlight w:val="none"/>
              </w:rPr>
              <w:sym w:font="Wingdings" w:char="00A8"/>
            </w:r>
          </w:p>
        </w:tc>
        <w:tc>
          <w:tcPr>
            <w:tcW w:w="1865" w:type="dxa"/>
            <w:gridSpan w:val="5"/>
            <w:vAlign w:val="center"/>
          </w:tcPr>
          <w:p w14:paraId="4A49ABD5">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非正常</w:t>
            </w:r>
            <w:r>
              <w:rPr>
                <w:rFonts w:ascii="Times New Roman" w:hAnsi="Times New Roman" w:cs="Times New Roman" w:eastAsiaTheme="minorEastAsia"/>
                <w:color w:val="auto"/>
                <w:w w:val="99"/>
                <w:kern w:val="21"/>
                <w:sz w:val="21"/>
                <w:szCs w:val="21"/>
                <w:highlight w:val="none"/>
              </w:rPr>
              <w:t>占标率&gt;100%</w:t>
            </w:r>
            <w:r>
              <w:rPr>
                <w:rFonts w:ascii="Times New Roman" w:hAnsi="Times New Roman" w:cs="Times New Roman" w:eastAsiaTheme="minorEastAsia"/>
                <w:color w:val="auto"/>
                <w:w w:val="99"/>
                <w:kern w:val="21"/>
                <w:sz w:val="21"/>
                <w:szCs w:val="21"/>
                <w:highlight w:val="none"/>
              </w:rPr>
              <w:sym w:font="Wingdings" w:char="00A8"/>
            </w:r>
          </w:p>
        </w:tc>
      </w:tr>
      <w:tr w14:paraId="2DF7C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6C006643">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666013AB">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保证率日平均浓度和年评价浓度叠加值</w:t>
            </w:r>
          </w:p>
        </w:tc>
        <w:tc>
          <w:tcPr>
            <w:tcW w:w="3032" w:type="dxa"/>
            <w:gridSpan w:val="7"/>
            <w:vAlign w:val="center"/>
          </w:tcPr>
          <w:p w14:paraId="0EDF86BA">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叠加</w:t>
            </w:r>
            <w:r>
              <w:rPr>
                <w:rFonts w:ascii="Times New Roman" w:hAnsi="Times New Roman" w:cs="Times New Roman" w:eastAsiaTheme="minorEastAsia"/>
                <w:color w:val="auto"/>
                <w:w w:val="99"/>
                <w:kern w:val="21"/>
                <w:sz w:val="21"/>
                <w:szCs w:val="21"/>
                <w:highlight w:val="none"/>
              </w:rPr>
              <w:t>达标</w:t>
            </w:r>
            <w:r>
              <w:rPr>
                <w:rFonts w:ascii="Times New Roman" w:hAnsi="Times New Roman" w:cs="Times New Roman" w:eastAsiaTheme="minorEastAsia"/>
                <w:color w:val="auto"/>
                <w:w w:val="99"/>
                <w:kern w:val="21"/>
                <w:sz w:val="21"/>
                <w:szCs w:val="21"/>
                <w:highlight w:val="none"/>
              </w:rPr>
              <w:sym w:font="Wingdings" w:char="00FE"/>
            </w:r>
          </w:p>
        </w:tc>
        <w:tc>
          <w:tcPr>
            <w:tcW w:w="3358" w:type="dxa"/>
            <w:gridSpan w:val="11"/>
            <w:vAlign w:val="center"/>
          </w:tcPr>
          <w:p w14:paraId="30404DDC">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叠加</w:t>
            </w:r>
            <w:r>
              <w:rPr>
                <w:rFonts w:ascii="Times New Roman" w:hAnsi="Times New Roman" w:cs="Times New Roman" w:eastAsiaTheme="minorEastAsia"/>
                <w:color w:val="auto"/>
                <w:w w:val="99"/>
                <w:kern w:val="21"/>
                <w:sz w:val="21"/>
                <w:szCs w:val="21"/>
                <w:highlight w:val="none"/>
              </w:rPr>
              <w:t>不达标</w:t>
            </w:r>
            <w:r>
              <w:rPr>
                <w:rFonts w:ascii="Times New Roman" w:hAnsi="Times New Roman" w:cs="Times New Roman" w:eastAsiaTheme="minorEastAsia"/>
                <w:color w:val="auto"/>
                <w:w w:val="99"/>
                <w:kern w:val="21"/>
                <w:sz w:val="21"/>
                <w:szCs w:val="21"/>
                <w:highlight w:val="none"/>
              </w:rPr>
              <w:sym w:font="Wingdings" w:char="00A8"/>
            </w:r>
          </w:p>
        </w:tc>
      </w:tr>
      <w:tr w14:paraId="290B7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154A369A">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5B1D7382">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区域环境质量的整体变化情况</w:t>
            </w:r>
          </w:p>
        </w:tc>
        <w:tc>
          <w:tcPr>
            <w:tcW w:w="3032" w:type="dxa"/>
            <w:gridSpan w:val="7"/>
            <w:vAlign w:val="center"/>
          </w:tcPr>
          <w:p w14:paraId="13E51999">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k</w:t>
            </w:r>
            <w:r>
              <w:rPr>
                <w:rFonts w:hint="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t>-20%</w:t>
            </w:r>
            <w:r>
              <w:rPr>
                <w:rFonts w:ascii="Times New Roman" w:hAnsi="Times New Roman" w:cs="Times New Roman" w:eastAsiaTheme="minorEastAsia"/>
                <w:color w:val="auto"/>
                <w:w w:val="99"/>
                <w:kern w:val="21"/>
                <w:sz w:val="21"/>
                <w:szCs w:val="21"/>
                <w:highlight w:val="none"/>
              </w:rPr>
              <w:sym w:font="Wingdings" w:char="00FE"/>
            </w:r>
          </w:p>
        </w:tc>
        <w:tc>
          <w:tcPr>
            <w:tcW w:w="3358" w:type="dxa"/>
            <w:gridSpan w:val="11"/>
            <w:vAlign w:val="center"/>
          </w:tcPr>
          <w:p w14:paraId="5713AE1D">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K&gt;-20%</w:t>
            </w:r>
            <w:r>
              <w:rPr>
                <w:rFonts w:ascii="Times New Roman" w:hAnsi="Times New Roman" w:cs="Times New Roman" w:eastAsiaTheme="minorEastAsia"/>
                <w:color w:val="auto"/>
                <w:w w:val="99"/>
                <w:kern w:val="21"/>
                <w:sz w:val="21"/>
                <w:szCs w:val="21"/>
                <w:highlight w:val="none"/>
              </w:rPr>
              <w:sym w:font="Wingdings" w:char="00A8"/>
            </w:r>
          </w:p>
        </w:tc>
      </w:tr>
      <w:tr w14:paraId="58CCC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restart"/>
            <w:vAlign w:val="center"/>
          </w:tcPr>
          <w:p w14:paraId="38C0B93E">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环境监测计划</w:t>
            </w:r>
          </w:p>
        </w:tc>
        <w:tc>
          <w:tcPr>
            <w:tcW w:w="1581" w:type="dxa"/>
            <w:vAlign w:val="center"/>
          </w:tcPr>
          <w:p w14:paraId="548F4C66">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污染源监测</w:t>
            </w:r>
          </w:p>
        </w:tc>
        <w:tc>
          <w:tcPr>
            <w:tcW w:w="3032" w:type="dxa"/>
            <w:gridSpan w:val="7"/>
            <w:vAlign w:val="center"/>
          </w:tcPr>
          <w:p w14:paraId="1872CCD5">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监测因子：（非甲烷总烃）</w:t>
            </w:r>
          </w:p>
        </w:tc>
        <w:tc>
          <w:tcPr>
            <w:tcW w:w="1936" w:type="dxa"/>
            <w:gridSpan w:val="8"/>
            <w:vAlign w:val="center"/>
          </w:tcPr>
          <w:p w14:paraId="0728D0D0">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有组织废气监测</w:t>
            </w:r>
            <w:r>
              <w:rPr>
                <w:rFonts w:ascii="Times New Roman" w:hAnsi="Times New Roman" w:cs="Times New Roman" w:eastAsiaTheme="minorEastAsia"/>
                <w:color w:val="auto"/>
                <w:w w:val="99"/>
                <w:kern w:val="21"/>
                <w:sz w:val="21"/>
                <w:szCs w:val="21"/>
                <w:highlight w:val="none"/>
              </w:rPr>
              <w:sym w:font="Wingdings" w:char="00A8"/>
            </w:r>
          </w:p>
          <w:p w14:paraId="43DF6F5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无组织废气监测</w:t>
            </w:r>
            <w:r>
              <w:rPr>
                <w:rFonts w:ascii="Times New Roman" w:hAnsi="Times New Roman" w:cs="Times New Roman" w:eastAsiaTheme="minorEastAsia"/>
                <w:color w:val="auto"/>
                <w:w w:val="99"/>
                <w:kern w:val="21"/>
                <w:sz w:val="21"/>
                <w:szCs w:val="21"/>
                <w:highlight w:val="none"/>
              </w:rPr>
              <w:sym w:font="Wingdings" w:char="00FE"/>
            </w:r>
          </w:p>
        </w:tc>
        <w:tc>
          <w:tcPr>
            <w:tcW w:w="1422" w:type="dxa"/>
            <w:gridSpan w:val="3"/>
            <w:vAlign w:val="center"/>
          </w:tcPr>
          <w:p w14:paraId="6DBF23C9">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无监测</w:t>
            </w:r>
            <w:r>
              <w:rPr>
                <w:rFonts w:ascii="Times New Roman" w:hAnsi="Times New Roman" w:cs="Times New Roman" w:eastAsiaTheme="minorEastAsia"/>
                <w:color w:val="auto"/>
                <w:w w:val="99"/>
                <w:kern w:val="21"/>
                <w:sz w:val="21"/>
                <w:szCs w:val="21"/>
                <w:highlight w:val="none"/>
              </w:rPr>
              <w:sym w:font="Wingdings" w:char="00A8"/>
            </w:r>
          </w:p>
        </w:tc>
      </w:tr>
      <w:tr w14:paraId="1D93E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42B977AE">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60313935">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环境质量监测</w:t>
            </w:r>
          </w:p>
        </w:tc>
        <w:tc>
          <w:tcPr>
            <w:tcW w:w="3032" w:type="dxa"/>
            <w:gridSpan w:val="7"/>
            <w:vAlign w:val="center"/>
          </w:tcPr>
          <w:p w14:paraId="5B6C8EC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监测因子：（NMHC）</w:t>
            </w:r>
          </w:p>
        </w:tc>
        <w:tc>
          <w:tcPr>
            <w:tcW w:w="1936" w:type="dxa"/>
            <w:gridSpan w:val="8"/>
            <w:vAlign w:val="center"/>
          </w:tcPr>
          <w:p w14:paraId="6EAE510A">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监测点位数（</w:t>
            </w:r>
            <w:r>
              <w:rPr>
                <w:rFonts w:hint="eastAsia" w:ascii="Times New Roman" w:hAnsi="Times New Roman" w:cs="Times New Roman" w:eastAsiaTheme="minorEastAsia"/>
                <w:color w:val="auto"/>
                <w:w w:val="99"/>
                <w:kern w:val="21"/>
                <w:sz w:val="21"/>
                <w:szCs w:val="21"/>
                <w:highlight w:val="none"/>
                <w:lang w:val="en-US" w:eastAsia="zh-CN"/>
              </w:rPr>
              <w:t>1</w:t>
            </w:r>
            <w:r>
              <w:rPr>
                <w:rFonts w:ascii="Times New Roman" w:hAnsi="Times New Roman" w:cs="Times New Roman" w:eastAsiaTheme="minorEastAsia"/>
                <w:color w:val="auto"/>
                <w:w w:val="99"/>
                <w:kern w:val="21"/>
                <w:sz w:val="21"/>
                <w:szCs w:val="21"/>
                <w:highlight w:val="none"/>
              </w:rPr>
              <w:t>）</w:t>
            </w:r>
          </w:p>
        </w:tc>
        <w:tc>
          <w:tcPr>
            <w:tcW w:w="1422" w:type="dxa"/>
            <w:gridSpan w:val="3"/>
            <w:vAlign w:val="center"/>
          </w:tcPr>
          <w:p w14:paraId="3067EA4A">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无监测</w:t>
            </w:r>
            <w:r>
              <w:rPr>
                <w:rFonts w:ascii="Times New Roman" w:hAnsi="Times New Roman" w:cs="Times New Roman" w:eastAsiaTheme="minorEastAsia"/>
                <w:color w:val="auto"/>
                <w:w w:val="99"/>
                <w:kern w:val="21"/>
                <w:sz w:val="21"/>
                <w:szCs w:val="21"/>
                <w:highlight w:val="none"/>
              </w:rPr>
              <w:sym w:font="Wingdings" w:char="00A8"/>
            </w:r>
          </w:p>
        </w:tc>
      </w:tr>
      <w:tr w14:paraId="37FF5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restart"/>
            <w:vAlign w:val="center"/>
          </w:tcPr>
          <w:p w14:paraId="4D9A4E7C">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环评结论</w:t>
            </w:r>
          </w:p>
        </w:tc>
        <w:tc>
          <w:tcPr>
            <w:tcW w:w="1581" w:type="dxa"/>
            <w:vAlign w:val="center"/>
          </w:tcPr>
          <w:p w14:paraId="33C1CEC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环境影响</w:t>
            </w:r>
          </w:p>
        </w:tc>
        <w:tc>
          <w:tcPr>
            <w:tcW w:w="6390" w:type="dxa"/>
            <w:gridSpan w:val="18"/>
            <w:vAlign w:val="center"/>
          </w:tcPr>
          <w:p w14:paraId="2D267911">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可以接受</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kern w:val="21"/>
                <w:sz w:val="21"/>
                <w:szCs w:val="21"/>
                <w:highlight w:val="none"/>
              </w:rPr>
              <w:t>不可以接受</w:t>
            </w:r>
            <w:r>
              <w:rPr>
                <w:rFonts w:ascii="Times New Roman" w:hAnsi="Times New Roman" w:cs="Times New Roman" w:eastAsiaTheme="minorEastAsia"/>
                <w:color w:val="auto"/>
                <w:w w:val="99"/>
                <w:kern w:val="21"/>
                <w:sz w:val="21"/>
                <w:szCs w:val="21"/>
                <w:highlight w:val="none"/>
              </w:rPr>
              <w:sym w:font="Wingdings" w:char="00A8"/>
            </w:r>
          </w:p>
        </w:tc>
      </w:tr>
      <w:tr w14:paraId="4E59C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5939C6CC">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188C6DBB">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大气防护距离</w:t>
            </w:r>
          </w:p>
        </w:tc>
        <w:tc>
          <w:tcPr>
            <w:tcW w:w="6390" w:type="dxa"/>
            <w:gridSpan w:val="18"/>
            <w:vAlign w:val="center"/>
          </w:tcPr>
          <w:p w14:paraId="5E5A6ECE">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距（）厂界最远（）m</w:t>
            </w:r>
          </w:p>
        </w:tc>
      </w:tr>
      <w:tr w14:paraId="3F163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652C8AE0">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78D89C7F">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污染源</w:t>
            </w:r>
          </w:p>
          <w:p w14:paraId="28F8AE46">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年排放量</w:t>
            </w:r>
          </w:p>
        </w:tc>
        <w:tc>
          <w:tcPr>
            <w:tcW w:w="1567" w:type="dxa"/>
            <w:gridSpan w:val="2"/>
            <w:vAlign w:val="center"/>
          </w:tcPr>
          <w:p w14:paraId="674269E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NO</w:t>
            </w:r>
            <w:r>
              <w:rPr>
                <w:rFonts w:ascii="Times New Roman" w:hAnsi="Times New Roman" w:cs="Times New Roman" w:eastAsiaTheme="minorEastAsia"/>
                <w:color w:val="auto"/>
                <w:w w:val="99"/>
                <w:kern w:val="21"/>
                <w:sz w:val="21"/>
                <w:szCs w:val="21"/>
                <w:highlight w:val="none"/>
                <w:vertAlign w:val="subscript"/>
              </w:rPr>
              <w:t>x</w:t>
            </w:r>
            <w:r>
              <w:rPr>
                <w:rFonts w:ascii="Times New Roman" w:hAnsi="Times New Roman" w:cs="Times New Roman" w:eastAsiaTheme="minorEastAsia"/>
                <w:color w:val="auto"/>
                <w:w w:val="99"/>
                <w:kern w:val="21"/>
                <w:sz w:val="21"/>
                <w:szCs w:val="21"/>
                <w:highlight w:val="none"/>
              </w:rPr>
              <w:t>：（）t/a</w:t>
            </w:r>
          </w:p>
        </w:tc>
        <w:tc>
          <w:tcPr>
            <w:tcW w:w="1465" w:type="dxa"/>
            <w:gridSpan w:val="5"/>
            <w:vAlign w:val="center"/>
          </w:tcPr>
          <w:p w14:paraId="79E59EC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SO</w:t>
            </w:r>
            <w:r>
              <w:rPr>
                <w:rFonts w:ascii="Times New Roman" w:hAnsi="Times New Roman" w:cs="Times New Roman" w:eastAsiaTheme="minorEastAsia"/>
                <w:color w:val="auto"/>
                <w:w w:val="99"/>
                <w:kern w:val="21"/>
                <w:sz w:val="21"/>
                <w:szCs w:val="21"/>
                <w:highlight w:val="none"/>
                <w:vertAlign w:val="subscript"/>
              </w:rPr>
              <w:t>2</w:t>
            </w:r>
            <w:r>
              <w:rPr>
                <w:rFonts w:ascii="Times New Roman" w:hAnsi="Times New Roman" w:cs="Times New Roman" w:eastAsiaTheme="minorEastAsia"/>
                <w:color w:val="auto"/>
                <w:w w:val="99"/>
                <w:kern w:val="21"/>
                <w:sz w:val="21"/>
                <w:szCs w:val="21"/>
                <w:highlight w:val="none"/>
              </w:rPr>
              <w:t>：（）t/a</w:t>
            </w:r>
          </w:p>
        </w:tc>
        <w:tc>
          <w:tcPr>
            <w:tcW w:w="1696" w:type="dxa"/>
            <w:gridSpan w:val="7"/>
            <w:vAlign w:val="center"/>
          </w:tcPr>
          <w:p w14:paraId="79092CA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颗粒物：（）t/a</w:t>
            </w:r>
          </w:p>
        </w:tc>
        <w:tc>
          <w:tcPr>
            <w:tcW w:w="1662" w:type="dxa"/>
            <w:gridSpan w:val="4"/>
            <w:vAlign w:val="center"/>
          </w:tcPr>
          <w:p w14:paraId="70030650">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NMHC：（</w:t>
            </w:r>
            <w:r>
              <w:rPr>
                <w:rFonts w:hint="eastAsia" w:ascii="Times New Roman" w:hAnsi="Times New Roman" w:cs="Times New Roman" w:eastAsiaTheme="minorEastAsia"/>
                <w:color w:val="auto"/>
                <w:w w:val="99"/>
                <w:kern w:val="21"/>
                <w:sz w:val="21"/>
                <w:szCs w:val="21"/>
                <w:highlight w:val="none"/>
              </w:rPr>
              <w:t>11.66</w:t>
            </w:r>
            <w:r>
              <w:rPr>
                <w:rFonts w:ascii="Times New Roman" w:hAnsi="Times New Roman" w:cs="Times New Roman" w:eastAsiaTheme="minorEastAsia"/>
                <w:color w:val="auto"/>
                <w:w w:val="99"/>
                <w:kern w:val="21"/>
                <w:sz w:val="21"/>
                <w:szCs w:val="21"/>
                <w:highlight w:val="none"/>
              </w:rPr>
              <w:t>）t/a</w:t>
            </w:r>
          </w:p>
        </w:tc>
      </w:tr>
      <w:tr w14:paraId="38473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gridSpan w:val="20"/>
            <w:vAlign w:val="center"/>
          </w:tcPr>
          <w:p w14:paraId="515B57E1">
            <w:pPr>
              <w:widowControl w:val="0"/>
              <w:spacing w:line="280" w:lineRule="exact"/>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注：“</w:t>
            </w:r>
            <w:r>
              <w:rPr>
                <w:rFonts w:ascii="Times New Roman" w:hAnsi="Times New Roman" w:cs="Times New Roman" w:eastAsiaTheme="minorEastAsia"/>
                <w:color w:val="auto"/>
                <w:w w:val="99"/>
                <w:kern w:val="21"/>
                <w:sz w:val="21"/>
                <w:szCs w:val="21"/>
                <w:highlight w:val="none"/>
              </w:rPr>
              <w:sym w:font="Wingdings" w:char="00A8"/>
            </w:r>
            <w:r>
              <w:rPr>
                <w:rFonts w:ascii="Times New Roman" w:hAnsi="Times New Roman" w:cs="Times New Roman" w:eastAsiaTheme="minorEastAsia"/>
                <w:color w:val="auto"/>
                <w:w w:val="99"/>
                <w:kern w:val="21"/>
                <w:sz w:val="21"/>
                <w:szCs w:val="21"/>
                <w:highlight w:val="none"/>
              </w:rPr>
              <w:t>”为勾选项，填“√”；“（）”为内容填写项</w:t>
            </w:r>
          </w:p>
        </w:tc>
      </w:tr>
    </w:tbl>
    <w:p w14:paraId="1ECACCD3">
      <w:pPr>
        <w:widowControl w:val="0"/>
        <w:spacing w:line="440" w:lineRule="exact"/>
        <w:jc w:val="both"/>
        <w:outlineLvl w:val="1"/>
        <w:rPr>
          <w:rFonts w:ascii="Times New Roman" w:hAnsi="Times New Roman" w:cs="Times New Roman"/>
          <w:color w:val="auto"/>
          <w:w w:val="99"/>
          <w:highlight w:val="none"/>
          <w:lang w:bidi="zh-CN"/>
        </w:rPr>
      </w:pPr>
      <w:bookmarkStart w:id="1369" w:name="_Toc173163574"/>
    </w:p>
    <w:p w14:paraId="65208EB8">
      <w:pPr>
        <w:widowControl w:val="0"/>
        <w:spacing w:line="440" w:lineRule="exact"/>
        <w:jc w:val="both"/>
        <w:outlineLvl w:val="1"/>
        <w:rPr>
          <w:rFonts w:ascii="Times New Roman" w:hAnsi="Times New Roman" w:cs="Times New Roman"/>
          <w:color w:val="auto"/>
          <w:w w:val="99"/>
          <w:highlight w:val="none"/>
          <w:lang w:bidi="zh-CN"/>
        </w:rPr>
      </w:pPr>
      <w:bookmarkStart w:id="1370" w:name="_Toc20425"/>
      <w:r>
        <w:rPr>
          <w:rFonts w:hint="eastAsia" w:ascii="Times New Roman" w:hAnsi="Times New Roman" w:cs="Times New Roman"/>
          <w:color w:val="auto"/>
          <w:w w:val="99"/>
          <w:highlight w:val="none"/>
          <w:lang w:bidi="zh-CN"/>
        </w:rPr>
        <w:t>附表2：建设项目环境风险评价自查表</w:t>
      </w:r>
      <w:bookmarkEnd w:id="1369"/>
      <w:bookmarkEnd w:id="1370"/>
    </w:p>
    <w:tbl>
      <w:tblPr>
        <w:tblStyle w:val="81"/>
        <w:tblW w:w="90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8"/>
        <w:gridCol w:w="1212"/>
        <w:gridCol w:w="1076"/>
        <w:gridCol w:w="431"/>
        <w:gridCol w:w="634"/>
        <w:gridCol w:w="855"/>
        <w:gridCol w:w="1315"/>
        <w:gridCol w:w="667"/>
        <w:gridCol w:w="808"/>
        <w:gridCol w:w="1505"/>
      </w:tblGrid>
      <w:tr w14:paraId="11B87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tcBorders>
              <w:top w:val="single" w:color="auto" w:sz="4" w:space="0"/>
              <w:left w:val="single" w:color="auto" w:sz="4" w:space="0"/>
              <w:bottom w:val="single" w:color="auto" w:sz="4" w:space="0"/>
              <w:right w:val="single" w:color="auto" w:sz="4" w:space="0"/>
            </w:tcBorders>
            <w:vAlign w:val="center"/>
          </w:tcPr>
          <w:p w14:paraId="2D102168">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工作内容</w:t>
            </w:r>
          </w:p>
        </w:tc>
        <w:tc>
          <w:tcPr>
            <w:tcW w:w="7291" w:type="dxa"/>
            <w:gridSpan w:val="8"/>
            <w:tcBorders>
              <w:top w:val="single" w:color="auto" w:sz="4" w:space="0"/>
              <w:left w:val="single" w:color="auto" w:sz="4" w:space="0"/>
              <w:bottom w:val="single" w:color="auto" w:sz="4" w:space="0"/>
              <w:right w:val="single" w:color="auto" w:sz="4" w:space="0"/>
            </w:tcBorders>
            <w:vAlign w:val="center"/>
          </w:tcPr>
          <w:p w14:paraId="5EDE5039">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完成情况</w:t>
            </w:r>
          </w:p>
        </w:tc>
      </w:tr>
      <w:tr w14:paraId="4C4B5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restart"/>
            <w:tcBorders>
              <w:top w:val="single" w:color="auto" w:sz="4" w:space="0"/>
              <w:left w:val="single" w:color="auto" w:sz="4" w:space="0"/>
              <w:bottom w:val="single" w:color="auto" w:sz="4" w:space="0"/>
              <w:right w:val="single" w:color="auto" w:sz="4" w:space="0"/>
            </w:tcBorders>
            <w:vAlign w:val="center"/>
          </w:tcPr>
          <w:p w14:paraId="6C0B7426">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风险调查</w:t>
            </w:r>
          </w:p>
        </w:tc>
        <w:tc>
          <w:tcPr>
            <w:tcW w:w="1212" w:type="dxa"/>
            <w:vMerge w:val="restart"/>
            <w:tcBorders>
              <w:top w:val="single" w:color="auto" w:sz="4" w:space="0"/>
              <w:left w:val="single" w:color="auto" w:sz="4" w:space="0"/>
              <w:right w:val="single" w:color="auto" w:sz="4" w:space="0"/>
            </w:tcBorders>
            <w:vAlign w:val="center"/>
          </w:tcPr>
          <w:p w14:paraId="0E73D5DC">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危险物质</w:t>
            </w:r>
          </w:p>
        </w:tc>
        <w:tc>
          <w:tcPr>
            <w:tcW w:w="1076" w:type="dxa"/>
            <w:tcBorders>
              <w:top w:val="single" w:color="auto" w:sz="4" w:space="0"/>
              <w:left w:val="single" w:color="auto" w:sz="4" w:space="0"/>
              <w:bottom w:val="single" w:color="auto" w:sz="4" w:space="0"/>
              <w:right w:val="single" w:color="auto" w:sz="4" w:space="0"/>
            </w:tcBorders>
            <w:vAlign w:val="center"/>
          </w:tcPr>
          <w:p w14:paraId="0CE01CBC">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名称</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0CBB1A89">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天然气</w:t>
            </w:r>
          </w:p>
        </w:tc>
        <w:tc>
          <w:tcPr>
            <w:tcW w:w="1315" w:type="dxa"/>
            <w:tcBorders>
              <w:top w:val="single" w:color="auto" w:sz="4" w:space="0"/>
              <w:left w:val="single" w:color="auto" w:sz="4" w:space="0"/>
              <w:bottom w:val="single" w:color="auto" w:sz="4" w:space="0"/>
              <w:right w:val="single" w:color="auto" w:sz="4" w:space="0"/>
            </w:tcBorders>
            <w:vAlign w:val="center"/>
          </w:tcPr>
          <w:p w14:paraId="00F5C321">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6F4B75CB">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505" w:type="dxa"/>
            <w:tcBorders>
              <w:top w:val="single" w:color="auto" w:sz="4" w:space="0"/>
              <w:left w:val="single" w:color="auto" w:sz="4" w:space="0"/>
              <w:bottom w:val="single" w:color="auto" w:sz="4" w:space="0"/>
              <w:right w:val="single" w:color="auto" w:sz="4" w:space="0"/>
            </w:tcBorders>
            <w:vAlign w:val="center"/>
          </w:tcPr>
          <w:p w14:paraId="3CF2DE6A">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r>
      <w:tr w14:paraId="3A466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022E4BD6">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212" w:type="dxa"/>
            <w:vMerge w:val="continue"/>
            <w:tcBorders>
              <w:left w:val="single" w:color="auto" w:sz="4" w:space="0"/>
              <w:bottom w:val="single" w:color="auto" w:sz="4" w:space="0"/>
              <w:right w:val="single" w:color="auto" w:sz="4" w:space="0"/>
            </w:tcBorders>
            <w:vAlign w:val="center"/>
          </w:tcPr>
          <w:p w14:paraId="45200A10">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076" w:type="dxa"/>
            <w:tcBorders>
              <w:top w:val="single" w:color="auto" w:sz="4" w:space="0"/>
              <w:left w:val="single" w:color="auto" w:sz="4" w:space="0"/>
              <w:bottom w:val="single" w:color="auto" w:sz="4" w:space="0"/>
              <w:right w:val="single" w:color="auto" w:sz="4" w:space="0"/>
            </w:tcBorders>
            <w:vAlign w:val="center"/>
          </w:tcPr>
          <w:p w14:paraId="792EDFED">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存在总量</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16518F52">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1.005t</w:t>
            </w:r>
          </w:p>
        </w:tc>
        <w:tc>
          <w:tcPr>
            <w:tcW w:w="1315" w:type="dxa"/>
            <w:tcBorders>
              <w:top w:val="single" w:color="auto" w:sz="4" w:space="0"/>
              <w:left w:val="single" w:color="auto" w:sz="4" w:space="0"/>
              <w:bottom w:val="single" w:color="auto" w:sz="4" w:space="0"/>
              <w:right w:val="single" w:color="auto" w:sz="4" w:space="0"/>
            </w:tcBorders>
            <w:vAlign w:val="center"/>
          </w:tcPr>
          <w:p w14:paraId="51F3F8F5">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17A2A360">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505" w:type="dxa"/>
            <w:tcBorders>
              <w:top w:val="single" w:color="auto" w:sz="4" w:space="0"/>
              <w:left w:val="single" w:color="auto" w:sz="4" w:space="0"/>
              <w:bottom w:val="single" w:color="auto" w:sz="4" w:space="0"/>
              <w:right w:val="single" w:color="auto" w:sz="4" w:space="0"/>
            </w:tcBorders>
            <w:vAlign w:val="center"/>
          </w:tcPr>
          <w:p w14:paraId="55626195">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r>
      <w:tr w14:paraId="0E65B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39886905">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212" w:type="dxa"/>
            <w:vMerge w:val="restart"/>
            <w:tcBorders>
              <w:left w:val="single" w:color="auto" w:sz="4" w:space="0"/>
              <w:right w:val="single" w:color="auto" w:sz="4" w:space="0"/>
            </w:tcBorders>
            <w:vAlign w:val="center"/>
          </w:tcPr>
          <w:p w14:paraId="4131A51B">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环境</w:t>
            </w:r>
          </w:p>
          <w:p w14:paraId="2897D0CE">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敏感性</w:t>
            </w:r>
          </w:p>
        </w:tc>
        <w:tc>
          <w:tcPr>
            <w:tcW w:w="1076" w:type="dxa"/>
            <w:vMerge w:val="restart"/>
            <w:tcBorders>
              <w:top w:val="single" w:color="auto" w:sz="4" w:space="0"/>
              <w:left w:val="single" w:color="auto" w:sz="4" w:space="0"/>
              <w:right w:val="single" w:color="auto" w:sz="4" w:space="0"/>
            </w:tcBorders>
            <w:vAlign w:val="center"/>
          </w:tcPr>
          <w:p w14:paraId="63323A10">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大气</w:t>
            </w:r>
          </w:p>
        </w:tc>
        <w:tc>
          <w:tcPr>
            <w:tcW w:w="3235" w:type="dxa"/>
            <w:gridSpan w:val="4"/>
            <w:tcBorders>
              <w:top w:val="single" w:color="auto" w:sz="4" w:space="0"/>
              <w:left w:val="single" w:color="auto" w:sz="4" w:space="0"/>
              <w:bottom w:val="single" w:color="auto" w:sz="4" w:space="0"/>
              <w:right w:val="single" w:color="auto" w:sz="4" w:space="0"/>
            </w:tcBorders>
            <w:vAlign w:val="center"/>
          </w:tcPr>
          <w:p w14:paraId="18EA5FBE">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500m范围内人口数</w:t>
            </w:r>
            <w:r>
              <w:rPr>
                <w:rFonts w:ascii="Times New Roman" w:hAnsi="Times New Roman" w:cs="Times New Roman" w:eastAsiaTheme="minorEastAsia"/>
                <w:color w:val="auto"/>
                <w:w w:val="99"/>
                <w:kern w:val="21"/>
                <w:sz w:val="21"/>
                <w:szCs w:val="21"/>
                <w:highlight w:val="none"/>
                <w:u w:val="single"/>
              </w:rPr>
              <w:t xml:space="preserve">   </w:t>
            </w:r>
            <w:r>
              <w:rPr>
                <w:rFonts w:ascii="Times New Roman" w:hAnsi="Times New Roman" w:cs="Times New Roman" w:eastAsiaTheme="minorEastAsia"/>
                <w:color w:val="auto"/>
                <w:w w:val="99"/>
                <w:kern w:val="21"/>
                <w:sz w:val="21"/>
                <w:szCs w:val="21"/>
                <w:highlight w:val="none"/>
              </w:rPr>
              <w:t>人</w:t>
            </w:r>
          </w:p>
        </w:tc>
        <w:tc>
          <w:tcPr>
            <w:tcW w:w="2980" w:type="dxa"/>
            <w:gridSpan w:val="3"/>
            <w:tcBorders>
              <w:top w:val="single" w:color="auto" w:sz="4" w:space="0"/>
              <w:left w:val="single" w:color="auto" w:sz="4" w:space="0"/>
              <w:bottom w:val="single" w:color="auto" w:sz="4" w:space="0"/>
              <w:right w:val="single" w:color="auto" w:sz="4" w:space="0"/>
            </w:tcBorders>
            <w:vAlign w:val="center"/>
          </w:tcPr>
          <w:p w14:paraId="7267AD06">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5km范围内人口数</w:t>
            </w:r>
            <w:r>
              <w:rPr>
                <w:rFonts w:ascii="Times New Roman" w:hAnsi="Times New Roman" w:cs="Times New Roman" w:eastAsiaTheme="minorEastAsia"/>
                <w:color w:val="auto"/>
                <w:w w:val="99"/>
                <w:kern w:val="21"/>
                <w:sz w:val="21"/>
                <w:szCs w:val="21"/>
                <w:highlight w:val="none"/>
                <w:u w:val="single"/>
              </w:rPr>
              <w:t xml:space="preserve">   </w:t>
            </w:r>
            <w:r>
              <w:rPr>
                <w:rFonts w:ascii="Times New Roman" w:hAnsi="Times New Roman" w:cs="Times New Roman" w:eastAsiaTheme="minorEastAsia"/>
                <w:color w:val="auto"/>
                <w:w w:val="99"/>
                <w:kern w:val="21"/>
                <w:sz w:val="21"/>
                <w:szCs w:val="21"/>
                <w:highlight w:val="none"/>
              </w:rPr>
              <w:t>人</w:t>
            </w:r>
          </w:p>
        </w:tc>
      </w:tr>
      <w:tr w14:paraId="16FB2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6F3B320E">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212" w:type="dxa"/>
            <w:vMerge w:val="continue"/>
            <w:tcBorders>
              <w:left w:val="single" w:color="auto" w:sz="4" w:space="0"/>
              <w:right w:val="single" w:color="auto" w:sz="4" w:space="0"/>
            </w:tcBorders>
            <w:vAlign w:val="center"/>
          </w:tcPr>
          <w:p w14:paraId="4CFC3247">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076" w:type="dxa"/>
            <w:vMerge w:val="continue"/>
            <w:tcBorders>
              <w:left w:val="single" w:color="auto" w:sz="4" w:space="0"/>
              <w:bottom w:val="single" w:color="auto" w:sz="4" w:space="0"/>
              <w:right w:val="single" w:color="auto" w:sz="4" w:space="0"/>
            </w:tcBorders>
            <w:vAlign w:val="center"/>
          </w:tcPr>
          <w:p w14:paraId="0221BCEA">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4710" w:type="dxa"/>
            <w:gridSpan w:val="6"/>
            <w:tcBorders>
              <w:top w:val="single" w:color="auto" w:sz="4" w:space="0"/>
              <w:left w:val="single" w:color="auto" w:sz="4" w:space="0"/>
              <w:bottom w:val="single" w:color="auto" w:sz="4" w:space="0"/>
              <w:right w:val="single" w:color="auto" w:sz="4" w:space="0"/>
            </w:tcBorders>
            <w:vAlign w:val="center"/>
          </w:tcPr>
          <w:p w14:paraId="63591ECB">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每公里管段周边200m范围内人口数（最大）</w:t>
            </w:r>
          </w:p>
        </w:tc>
        <w:tc>
          <w:tcPr>
            <w:tcW w:w="1505" w:type="dxa"/>
            <w:tcBorders>
              <w:top w:val="single" w:color="auto" w:sz="4" w:space="0"/>
              <w:left w:val="single" w:color="auto" w:sz="4" w:space="0"/>
              <w:bottom w:val="single" w:color="auto" w:sz="4" w:space="0"/>
              <w:right w:val="single" w:color="auto" w:sz="4" w:space="0"/>
            </w:tcBorders>
            <w:vAlign w:val="center"/>
          </w:tcPr>
          <w:p w14:paraId="6CFF3E04">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u w:val="single"/>
              </w:rPr>
              <w:t xml:space="preserve">   </w:t>
            </w:r>
            <w:r>
              <w:rPr>
                <w:rFonts w:ascii="Times New Roman" w:hAnsi="Times New Roman" w:cs="Times New Roman" w:eastAsiaTheme="minorEastAsia"/>
                <w:color w:val="auto"/>
                <w:w w:val="99"/>
                <w:kern w:val="21"/>
                <w:sz w:val="21"/>
                <w:szCs w:val="21"/>
                <w:highlight w:val="none"/>
              </w:rPr>
              <w:t>人</w:t>
            </w:r>
          </w:p>
        </w:tc>
      </w:tr>
      <w:tr w14:paraId="563D2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3B61BD1F">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212" w:type="dxa"/>
            <w:vMerge w:val="continue"/>
            <w:tcBorders>
              <w:left w:val="single" w:color="auto" w:sz="4" w:space="0"/>
              <w:right w:val="single" w:color="auto" w:sz="4" w:space="0"/>
            </w:tcBorders>
            <w:vAlign w:val="center"/>
          </w:tcPr>
          <w:p w14:paraId="2FA133B7">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076" w:type="dxa"/>
            <w:vMerge w:val="restart"/>
            <w:tcBorders>
              <w:top w:val="single" w:color="auto" w:sz="4" w:space="0"/>
              <w:left w:val="single" w:color="auto" w:sz="4" w:space="0"/>
              <w:right w:val="single" w:color="auto" w:sz="4" w:space="0"/>
            </w:tcBorders>
            <w:vAlign w:val="center"/>
          </w:tcPr>
          <w:p w14:paraId="5649CB12">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地表水</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68005857">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地表水功能敏感性</w:t>
            </w:r>
          </w:p>
        </w:tc>
        <w:tc>
          <w:tcPr>
            <w:tcW w:w="1315" w:type="dxa"/>
            <w:tcBorders>
              <w:top w:val="single" w:color="auto" w:sz="4" w:space="0"/>
              <w:left w:val="single" w:color="auto" w:sz="4" w:space="0"/>
              <w:bottom w:val="single" w:color="auto" w:sz="4" w:space="0"/>
              <w:right w:val="single" w:color="auto" w:sz="4" w:space="0"/>
            </w:tcBorders>
            <w:vAlign w:val="center"/>
          </w:tcPr>
          <w:p w14:paraId="7049E389">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F1</w:t>
            </w:r>
            <w:r>
              <w:rPr>
                <w:rFonts w:ascii="Times New Roman" w:hAnsi="Times New Roman" w:cs="Times New Roman" w:eastAsiaTheme="minorEastAsia"/>
                <w:color w:val="auto"/>
                <w:w w:val="99"/>
                <w:kern w:val="21"/>
                <w:sz w:val="21"/>
                <w:szCs w:val="21"/>
                <w:highlight w:val="none"/>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5DAAE81E">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F2</w:t>
            </w:r>
            <w:r>
              <w:rPr>
                <w:rFonts w:ascii="Times New Roman" w:hAnsi="Times New Roman" w:cs="Times New Roman" w:eastAsiaTheme="minorEastAsia"/>
                <w:color w:val="auto"/>
                <w:w w:val="99"/>
                <w:kern w:val="21"/>
                <w:sz w:val="21"/>
                <w:szCs w:val="21"/>
                <w:highlight w:val="none"/>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0097AFBA">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F3</w:t>
            </w:r>
            <w:r>
              <w:rPr>
                <w:rFonts w:ascii="Times New Roman" w:hAnsi="Times New Roman" w:cs="Times New Roman" w:eastAsiaTheme="minorEastAsia"/>
                <w:color w:val="auto"/>
                <w:w w:val="99"/>
                <w:kern w:val="21"/>
                <w:sz w:val="21"/>
                <w:szCs w:val="21"/>
                <w:highlight w:val="none"/>
              </w:rPr>
              <w:sym w:font="Wingdings" w:char="00A8"/>
            </w:r>
          </w:p>
        </w:tc>
      </w:tr>
      <w:tr w14:paraId="0F2859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03930468">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212" w:type="dxa"/>
            <w:vMerge w:val="continue"/>
            <w:tcBorders>
              <w:left w:val="single" w:color="auto" w:sz="4" w:space="0"/>
              <w:right w:val="single" w:color="auto" w:sz="4" w:space="0"/>
            </w:tcBorders>
            <w:vAlign w:val="center"/>
          </w:tcPr>
          <w:p w14:paraId="3A1CBB4F">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076" w:type="dxa"/>
            <w:vMerge w:val="continue"/>
            <w:tcBorders>
              <w:left w:val="single" w:color="auto" w:sz="4" w:space="0"/>
              <w:bottom w:val="single" w:color="auto" w:sz="4" w:space="0"/>
              <w:right w:val="single" w:color="auto" w:sz="4" w:space="0"/>
            </w:tcBorders>
            <w:vAlign w:val="center"/>
          </w:tcPr>
          <w:p w14:paraId="7B4AA202">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79361E89">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环境敏感目标分级</w:t>
            </w:r>
          </w:p>
        </w:tc>
        <w:tc>
          <w:tcPr>
            <w:tcW w:w="1315" w:type="dxa"/>
            <w:tcBorders>
              <w:top w:val="single" w:color="auto" w:sz="4" w:space="0"/>
              <w:left w:val="single" w:color="auto" w:sz="4" w:space="0"/>
              <w:bottom w:val="single" w:color="auto" w:sz="4" w:space="0"/>
              <w:right w:val="single" w:color="auto" w:sz="4" w:space="0"/>
            </w:tcBorders>
            <w:vAlign w:val="center"/>
          </w:tcPr>
          <w:p w14:paraId="2C3E58B2">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S1</w:t>
            </w:r>
            <w:r>
              <w:rPr>
                <w:rFonts w:ascii="Times New Roman" w:hAnsi="Times New Roman" w:cs="Times New Roman" w:eastAsiaTheme="minorEastAsia"/>
                <w:color w:val="auto"/>
                <w:w w:val="99"/>
                <w:kern w:val="21"/>
                <w:sz w:val="21"/>
                <w:szCs w:val="21"/>
                <w:highlight w:val="none"/>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6EDD5FEE">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S2</w:t>
            </w:r>
            <w:r>
              <w:rPr>
                <w:rFonts w:ascii="Times New Roman" w:hAnsi="Times New Roman" w:cs="Times New Roman" w:eastAsiaTheme="minorEastAsia"/>
                <w:color w:val="auto"/>
                <w:w w:val="99"/>
                <w:kern w:val="21"/>
                <w:sz w:val="21"/>
                <w:szCs w:val="21"/>
                <w:highlight w:val="none"/>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3DB6214D">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S3</w:t>
            </w:r>
            <w:r>
              <w:rPr>
                <w:rFonts w:ascii="Times New Roman" w:hAnsi="Times New Roman" w:cs="Times New Roman" w:eastAsiaTheme="minorEastAsia"/>
                <w:color w:val="auto"/>
                <w:w w:val="99"/>
                <w:kern w:val="21"/>
                <w:sz w:val="21"/>
                <w:szCs w:val="21"/>
                <w:highlight w:val="none"/>
              </w:rPr>
              <w:sym w:font="Wingdings" w:char="00A8"/>
            </w:r>
          </w:p>
        </w:tc>
      </w:tr>
      <w:tr w14:paraId="1F0C91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1A0E6923">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212" w:type="dxa"/>
            <w:vMerge w:val="continue"/>
            <w:tcBorders>
              <w:left w:val="single" w:color="auto" w:sz="4" w:space="0"/>
              <w:right w:val="single" w:color="auto" w:sz="4" w:space="0"/>
            </w:tcBorders>
            <w:vAlign w:val="center"/>
          </w:tcPr>
          <w:p w14:paraId="35E4123F">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076" w:type="dxa"/>
            <w:vMerge w:val="restart"/>
            <w:tcBorders>
              <w:top w:val="single" w:color="auto" w:sz="4" w:space="0"/>
              <w:left w:val="single" w:color="auto" w:sz="4" w:space="0"/>
              <w:right w:val="single" w:color="auto" w:sz="4" w:space="0"/>
            </w:tcBorders>
            <w:vAlign w:val="center"/>
          </w:tcPr>
          <w:p w14:paraId="099CCD03">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地下水</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5F71A290">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地下水功能敏感性</w:t>
            </w:r>
          </w:p>
        </w:tc>
        <w:tc>
          <w:tcPr>
            <w:tcW w:w="1315" w:type="dxa"/>
            <w:tcBorders>
              <w:top w:val="single" w:color="auto" w:sz="4" w:space="0"/>
              <w:left w:val="single" w:color="auto" w:sz="4" w:space="0"/>
              <w:bottom w:val="single" w:color="auto" w:sz="4" w:space="0"/>
              <w:right w:val="single" w:color="auto" w:sz="4" w:space="0"/>
            </w:tcBorders>
            <w:vAlign w:val="center"/>
          </w:tcPr>
          <w:p w14:paraId="25764A2D">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G1</w:t>
            </w:r>
            <w:r>
              <w:rPr>
                <w:rFonts w:ascii="Times New Roman" w:hAnsi="Times New Roman" w:cs="Times New Roman" w:eastAsiaTheme="minorEastAsia"/>
                <w:color w:val="auto"/>
                <w:w w:val="99"/>
                <w:kern w:val="21"/>
                <w:sz w:val="21"/>
                <w:szCs w:val="21"/>
                <w:highlight w:val="none"/>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46086E59">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G2</w:t>
            </w:r>
            <w:r>
              <w:rPr>
                <w:rFonts w:ascii="Times New Roman" w:hAnsi="Times New Roman" w:cs="Times New Roman" w:eastAsiaTheme="minorEastAsia"/>
                <w:color w:val="auto"/>
                <w:w w:val="99"/>
                <w:kern w:val="21"/>
                <w:sz w:val="21"/>
                <w:szCs w:val="21"/>
                <w:highlight w:val="none"/>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4C7E298B">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G3</w:t>
            </w:r>
            <w:r>
              <w:rPr>
                <w:rFonts w:ascii="Times New Roman" w:hAnsi="Times New Roman" w:cs="Times New Roman" w:eastAsiaTheme="minorEastAsia"/>
                <w:color w:val="auto"/>
                <w:w w:val="99"/>
                <w:kern w:val="21"/>
                <w:sz w:val="21"/>
                <w:szCs w:val="21"/>
                <w:highlight w:val="none"/>
              </w:rPr>
              <w:sym w:font="Wingdings" w:char="00A8"/>
            </w:r>
          </w:p>
        </w:tc>
      </w:tr>
      <w:tr w14:paraId="50345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40439E80">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212" w:type="dxa"/>
            <w:vMerge w:val="continue"/>
            <w:tcBorders>
              <w:left w:val="single" w:color="auto" w:sz="4" w:space="0"/>
              <w:right w:val="single" w:color="auto" w:sz="4" w:space="0"/>
            </w:tcBorders>
            <w:vAlign w:val="center"/>
          </w:tcPr>
          <w:p w14:paraId="7D247395">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076" w:type="dxa"/>
            <w:vMerge w:val="continue"/>
            <w:tcBorders>
              <w:left w:val="single" w:color="auto" w:sz="4" w:space="0"/>
              <w:bottom w:val="single" w:color="auto" w:sz="4" w:space="0"/>
              <w:right w:val="single" w:color="auto" w:sz="4" w:space="0"/>
            </w:tcBorders>
            <w:vAlign w:val="center"/>
          </w:tcPr>
          <w:p w14:paraId="7A730839">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2A0F5E88">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包气带防污性能</w:t>
            </w:r>
          </w:p>
        </w:tc>
        <w:tc>
          <w:tcPr>
            <w:tcW w:w="1315" w:type="dxa"/>
            <w:tcBorders>
              <w:top w:val="single" w:color="auto" w:sz="4" w:space="0"/>
              <w:left w:val="single" w:color="auto" w:sz="4" w:space="0"/>
              <w:bottom w:val="single" w:color="auto" w:sz="4" w:space="0"/>
              <w:right w:val="single" w:color="auto" w:sz="4" w:space="0"/>
            </w:tcBorders>
            <w:vAlign w:val="center"/>
          </w:tcPr>
          <w:p w14:paraId="2AAA4992">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D1</w:t>
            </w:r>
            <w:r>
              <w:rPr>
                <w:rFonts w:ascii="Times New Roman" w:hAnsi="Times New Roman" w:cs="Times New Roman" w:eastAsiaTheme="minorEastAsia"/>
                <w:color w:val="auto"/>
                <w:w w:val="99"/>
                <w:kern w:val="21"/>
                <w:sz w:val="21"/>
                <w:szCs w:val="21"/>
                <w:highlight w:val="none"/>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61D5286C">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D2</w:t>
            </w:r>
            <w:r>
              <w:rPr>
                <w:rFonts w:ascii="Times New Roman" w:hAnsi="Times New Roman" w:cs="Times New Roman" w:eastAsiaTheme="minorEastAsia"/>
                <w:color w:val="auto"/>
                <w:w w:val="99"/>
                <w:kern w:val="21"/>
                <w:sz w:val="21"/>
                <w:szCs w:val="21"/>
                <w:highlight w:val="none"/>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497CB4E4">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D3</w:t>
            </w:r>
            <w:r>
              <w:rPr>
                <w:rFonts w:ascii="Times New Roman" w:hAnsi="Times New Roman" w:cs="Times New Roman" w:eastAsiaTheme="minorEastAsia"/>
                <w:color w:val="auto"/>
                <w:w w:val="99"/>
                <w:kern w:val="21"/>
                <w:sz w:val="21"/>
                <w:szCs w:val="21"/>
                <w:highlight w:val="none"/>
              </w:rPr>
              <w:sym w:font="Wingdings" w:char="00A8"/>
            </w:r>
          </w:p>
        </w:tc>
      </w:tr>
      <w:tr w14:paraId="79DCF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vMerge w:val="restart"/>
            <w:tcBorders>
              <w:top w:val="single" w:color="auto" w:sz="4" w:space="0"/>
              <w:left w:val="single" w:color="auto" w:sz="4" w:space="0"/>
              <w:right w:val="single" w:color="auto" w:sz="4" w:space="0"/>
            </w:tcBorders>
            <w:vAlign w:val="center"/>
          </w:tcPr>
          <w:p w14:paraId="03643388">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物质及工艺系数危险性</w:t>
            </w:r>
          </w:p>
        </w:tc>
        <w:tc>
          <w:tcPr>
            <w:tcW w:w="1076" w:type="dxa"/>
            <w:tcBorders>
              <w:top w:val="single" w:color="auto" w:sz="4" w:space="0"/>
              <w:left w:val="single" w:color="auto" w:sz="4" w:space="0"/>
              <w:bottom w:val="single" w:color="auto" w:sz="4" w:space="0"/>
              <w:right w:val="single" w:color="auto" w:sz="4" w:space="0"/>
            </w:tcBorders>
            <w:vAlign w:val="center"/>
          </w:tcPr>
          <w:p w14:paraId="3619A9E5">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Q值</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11978698">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Q＜1</w:t>
            </w:r>
            <w:r>
              <w:rPr>
                <w:rFonts w:ascii="Times New Roman" w:hAnsi="Times New Roman" w:cs="Times New Roman" w:eastAsiaTheme="minorEastAsia"/>
                <w:color w:val="auto"/>
                <w:w w:val="99"/>
                <w:sz w:val="18"/>
                <w:szCs w:val="18"/>
                <w:highlight w:val="none"/>
              </w:rPr>
              <w:sym w:font="Wingdings" w:char="00FE"/>
            </w:r>
          </w:p>
        </w:tc>
        <w:tc>
          <w:tcPr>
            <w:tcW w:w="1315" w:type="dxa"/>
            <w:tcBorders>
              <w:top w:val="single" w:color="auto" w:sz="4" w:space="0"/>
              <w:left w:val="single" w:color="auto" w:sz="4" w:space="0"/>
              <w:bottom w:val="single" w:color="auto" w:sz="4" w:space="0"/>
              <w:right w:val="single" w:color="auto" w:sz="4" w:space="0"/>
            </w:tcBorders>
            <w:vAlign w:val="center"/>
          </w:tcPr>
          <w:p w14:paraId="7D1324DF">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1≤Q＜10</w:t>
            </w:r>
            <w:r>
              <w:rPr>
                <w:rFonts w:ascii="Times New Roman" w:hAnsi="Times New Roman" w:cs="Times New Roman" w:eastAsiaTheme="minorEastAsia"/>
                <w:color w:val="auto"/>
                <w:w w:val="99"/>
                <w:kern w:val="21"/>
                <w:sz w:val="21"/>
                <w:szCs w:val="21"/>
                <w:highlight w:val="none"/>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627A6CEE">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10≤Q＜100</w:t>
            </w:r>
            <w:r>
              <w:rPr>
                <w:rFonts w:ascii="Times New Roman" w:hAnsi="Times New Roman" w:cs="Times New Roman" w:eastAsiaTheme="minorEastAsia"/>
                <w:color w:val="auto"/>
                <w:w w:val="99"/>
                <w:kern w:val="21"/>
                <w:sz w:val="21"/>
                <w:szCs w:val="21"/>
                <w:highlight w:val="none"/>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0DB1D249">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Q＞100</w:t>
            </w:r>
            <w:r>
              <w:rPr>
                <w:rFonts w:ascii="Times New Roman" w:hAnsi="Times New Roman" w:cs="Times New Roman" w:eastAsiaTheme="minorEastAsia"/>
                <w:color w:val="auto"/>
                <w:w w:val="99"/>
                <w:kern w:val="21"/>
                <w:sz w:val="21"/>
                <w:szCs w:val="21"/>
                <w:highlight w:val="none"/>
              </w:rPr>
              <w:sym w:font="Wingdings" w:char="00A8"/>
            </w:r>
          </w:p>
        </w:tc>
      </w:tr>
      <w:tr w14:paraId="409EC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vMerge w:val="continue"/>
            <w:tcBorders>
              <w:left w:val="single" w:color="auto" w:sz="4" w:space="0"/>
              <w:right w:val="single" w:color="auto" w:sz="4" w:space="0"/>
            </w:tcBorders>
            <w:vAlign w:val="center"/>
          </w:tcPr>
          <w:p w14:paraId="2DD3A817">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076" w:type="dxa"/>
            <w:tcBorders>
              <w:top w:val="single" w:color="auto" w:sz="4" w:space="0"/>
              <w:left w:val="single" w:color="auto" w:sz="4" w:space="0"/>
              <w:bottom w:val="single" w:color="auto" w:sz="4" w:space="0"/>
              <w:right w:val="single" w:color="auto" w:sz="4" w:space="0"/>
            </w:tcBorders>
            <w:vAlign w:val="center"/>
          </w:tcPr>
          <w:p w14:paraId="2BE455D8">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M值</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71BE10FD">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M1</w:t>
            </w:r>
            <w:r>
              <w:rPr>
                <w:rFonts w:ascii="Times New Roman" w:hAnsi="Times New Roman" w:cs="Times New Roman" w:eastAsiaTheme="minorEastAsia"/>
                <w:color w:val="auto"/>
                <w:w w:val="99"/>
                <w:kern w:val="21"/>
                <w:sz w:val="21"/>
                <w:szCs w:val="21"/>
                <w:highlight w:val="none"/>
              </w:rPr>
              <w:sym w:font="Wingdings" w:char="00A8"/>
            </w:r>
          </w:p>
        </w:tc>
        <w:tc>
          <w:tcPr>
            <w:tcW w:w="1315" w:type="dxa"/>
            <w:tcBorders>
              <w:top w:val="single" w:color="auto" w:sz="4" w:space="0"/>
              <w:left w:val="single" w:color="auto" w:sz="4" w:space="0"/>
              <w:bottom w:val="single" w:color="auto" w:sz="4" w:space="0"/>
              <w:right w:val="single" w:color="auto" w:sz="4" w:space="0"/>
            </w:tcBorders>
            <w:vAlign w:val="center"/>
          </w:tcPr>
          <w:p w14:paraId="239EABBA">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M2</w:t>
            </w:r>
            <w:r>
              <w:rPr>
                <w:rFonts w:ascii="Times New Roman" w:hAnsi="Times New Roman" w:cs="Times New Roman" w:eastAsiaTheme="minorEastAsia"/>
                <w:color w:val="auto"/>
                <w:w w:val="99"/>
                <w:kern w:val="21"/>
                <w:sz w:val="21"/>
                <w:szCs w:val="21"/>
                <w:highlight w:val="none"/>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192ED51D">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M3</w:t>
            </w:r>
            <w:r>
              <w:rPr>
                <w:rFonts w:ascii="Times New Roman" w:hAnsi="Times New Roman" w:cs="Times New Roman" w:eastAsiaTheme="minorEastAsia"/>
                <w:color w:val="auto"/>
                <w:w w:val="99"/>
                <w:kern w:val="21"/>
                <w:sz w:val="21"/>
                <w:szCs w:val="21"/>
                <w:highlight w:val="none"/>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34B28B82">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M4</w:t>
            </w:r>
            <w:r>
              <w:rPr>
                <w:rFonts w:ascii="Times New Roman" w:hAnsi="Times New Roman" w:cs="Times New Roman" w:eastAsiaTheme="minorEastAsia"/>
                <w:color w:val="auto"/>
                <w:w w:val="99"/>
                <w:kern w:val="21"/>
                <w:sz w:val="21"/>
                <w:szCs w:val="21"/>
                <w:highlight w:val="none"/>
              </w:rPr>
              <w:sym w:font="Wingdings" w:char="00A8"/>
            </w:r>
          </w:p>
        </w:tc>
      </w:tr>
      <w:tr w14:paraId="2390D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vMerge w:val="continue"/>
            <w:tcBorders>
              <w:left w:val="single" w:color="auto" w:sz="4" w:space="0"/>
              <w:bottom w:val="single" w:color="auto" w:sz="4" w:space="0"/>
              <w:right w:val="single" w:color="auto" w:sz="4" w:space="0"/>
            </w:tcBorders>
            <w:vAlign w:val="center"/>
          </w:tcPr>
          <w:p w14:paraId="2696B4BB">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076" w:type="dxa"/>
            <w:tcBorders>
              <w:top w:val="single" w:color="auto" w:sz="4" w:space="0"/>
              <w:left w:val="single" w:color="auto" w:sz="4" w:space="0"/>
              <w:bottom w:val="single" w:color="auto" w:sz="4" w:space="0"/>
              <w:right w:val="single" w:color="auto" w:sz="4" w:space="0"/>
            </w:tcBorders>
            <w:vAlign w:val="center"/>
          </w:tcPr>
          <w:p w14:paraId="7EA0372E">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P值</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6371EA54">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P1</w:t>
            </w:r>
            <w:r>
              <w:rPr>
                <w:rFonts w:ascii="Times New Roman" w:hAnsi="Times New Roman" w:cs="Times New Roman" w:eastAsiaTheme="minorEastAsia"/>
                <w:color w:val="auto"/>
                <w:w w:val="99"/>
                <w:kern w:val="21"/>
                <w:sz w:val="21"/>
                <w:szCs w:val="21"/>
                <w:highlight w:val="none"/>
              </w:rPr>
              <w:sym w:font="Wingdings" w:char="00A8"/>
            </w:r>
          </w:p>
        </w:tc>
        <w:tc>
          <w:tcPr>
            <w:tcW w:w="1315" w:type="dxa"/>
            <w:tcBorders>
              <w:top w:val="single" w:color="auto" w:sz="4" w:space="0"/>
              <w:left w:val="single" w:color="auto" w:sz="4" w:space="0"/>
              <w:bottom w:val="single" w:color="auto" w:sz="4" w:space="0"/>
              <w:right w:val="single" w:color="auto" w:sz="4" w:space="0"/>
            </w:tcBorders>
            <w:vAlign w:val="center"/>
          </w:tcPr>
          <w:p w14:paraId="243773DB">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P2</w:t>
            </w:r>
            <w:r>
              <w:rPr>
                <w:rFonts w:ascii="Times New Roman" w:hAnsi="Times New Roman" w:cs="Times New Roman" w:eastAsiaTheme="minorEastAsia"/>
                <w:color w:val="auto"/>
                <w:w w:val="99"/>
                <w:kern w:val="21"/>
                <w:sz w:val="21"/>
                <w:szCs w:val="21"/>
                <w:highlight w:val="none"/>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7E645C24">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P3</w:t>
            </w:r>
            <w:r>
              <w:rPr>
                <w:rFonts w:ascii="Times New Roman" w:hAnsi="Times New Roman" w:cs="Times New Roman" w:eastAsiaTheme="minorEastAsia"/>
                <w:color w:val="auto"/>
                <w:w w:val="99"/>
                <w:kern w:val="21"/>
                <w:sz w:val="21"/>
                <w:szCs w:val="21"/>
                <w:highlight w:val="none"/>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6B2FCB22">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P4</w:t>
            </w:r>
            <w:r>
              <w:rPr>
                <w:rFonts w:ascii="Times New Roman" w:hAnsi="Times New Roman" w:cs="Times New Roman" w:eastAsiaTheme="minorEastAsia"/>
                <w:color w:val="auto"/>
                <w:w w:val="99"/>
                <w:kern w:val="21"/>
                <w:sz w:val="21"/>
                <w:szCs w:val="21"/>
                <w:highlight w:val="none"/>
              </w:rPr>
              <w:sym w:font="Wingdings" w:char="00A8"/>
            </w:r>
          </w:p>
        </w:tc>
      </w:tr>
      <w:tr w14:paraId="221CF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tcBorders>
              <w:top w:val="single" w:color="auto" w:sz="4" w:space="0"/>
              <w:left w:val="single" w:color="auto" w:sz="4" w:space="0"/>
              <w:bottom w:val="single" w:color="auto" w:sz="4" w:space="0"/>
              <w:right w:val="single" w:color="auto" w:sz="4" w:space="0"/>
            </w:tcBorders>
            <w:vAlign w:val="center"/>
          </w:tcPr>
          <w:p w14:paraId="060EFB52">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环境风险潜势</w:t>
            </w:r>
          </w:p>
        </w:tc>
        <w:tc>
          <w:tcPr>
            <w:tcW w:w="1507" w:type="dxa"/>
            <w:gridSpan w:val="2"/>
            <w:tcBorders>
              <w:top w:val="single" w:color="auto" w:sz="4" w:space="0"/>
              <w:left w:val="single" w:color="auto" w:sz="4" w:space="0"/>
              <w:bottom w:val="single" w:color="auto" w:sz="4" w:space="0"/>
              <w:right w:val="single" w:color="auto" w:sz="4" w:space="0"/>
            </w:tcBorders>
            <w:vAlign w:val="center"/>
          </w:tcPr>
          <w:p w14:paraId="07CC2B25">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color w:val="auto"/>
                <w:w w:val="99"/>
                <w:kern w:val="21"/>
                <w:sz w:val="21"/>
                <w:szCs w:val="21"/>
                <w:highlight w:val="none"/>
              </w:rPr>
              <w:t>Ⅳ</w:t>
            </w:r>
            <w:r>
              <w:rPr>
                <w:rFonts w:ascii="Times New Roman" w:hAnsi="Times New Roman" w:cs="Times New Roman" w:eastAsiaTheme="minor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sym w:font="Wingdings" w:char="00A8"/>
            </w:r>
          </w:p>
        </w:tc>
        <w:tc>
          <w:tcPr>
            <w:tcW w:w="1489" w:type="dxa"/>
            <w:gridSpan w:val="2"/>
            <w:tcBorders>
              <w:top w:val="single" w:color="auto" w:sz="4" w:space="0"/>
              <w:left w:val="single" w:color="auto" w:sz="4" w:space="0"/>
              <w:bottom w:val="single" w:color="auto" w:sz="4" w:space="0"/>
              <w:right w:val="single" w:color="auto" w:sz="4" w:space="0"/>
            </w:tcBorders>
            <w:vAlign w:val="center"/>
          </w:tcPr>
          <w:p w14:paraId="3E9FE051">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color w:val="auto"/>
                <w:w w:val="99"/>
                <w:kern w:val="21"/>
                <w:sz w:val="21"/>
                <w:szCs w:val="21"/>
                <w:highlight w:val="none"/>
              </w:rPr>
              <w:t>Ⅳ</w:t>
            </w:r>
            <w:r>
              <w:rPr>
                <w:rFonts w:ascii="Times New Roman" w:hAnsi="Times New Roman" w:cs="Times New Roman" w:eastAsiaTheme="minorEastAsia"/>
                <w:color w:val="auto"/>
                <w:w w:val="99"/>
                <w:kern w:val="21"/>
                <w:sz w:val="21"/>
                <w:szCs w:val="21"/>
                <w:highlight w:val="none"/>
              </w:rPr>
              <w:sym w:font="Wingdings" w:char="00A8"/>
            </w:r>
          </w:p>
        </w:tc>
        <w:tc>
          <w:tcPr>
            <w:tcW w:w="1315" w:type="dxa"/>
            <w:tcBorders>
              <w:top w:val="single" w:color="auto" w:sz="4" w:space="0"/>
              <w:left w:val="single" w:color="auto" w:sz="4" w:space="0"/>
              <w:bottom w:val="single" w:color="auto" w:sz="4" w:space="0"/>
              <w:right w:val="single" w:color="auto" w:sz="4" w:space="0"/>
            </w:tcBorders>
            <w:vAlign w:val="center"/>
          </w:tcPr>
          <w:p w14:paraId="166D4DE8">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color w:val="auto"/>
                <w:w w:val="99"/>
                <w:kern w:val="21"/>
                <w:sz w:val="21"/>
                <w:szCs w:val="21"/>
                <w:highlight w:val="none"/>
              </w:rPr>
              <w:t>Ⅲ</w:t>
            </w:r>
            <w:r>
              <w:rPr>
                <w:rFonts w:ascii="Times New Roman" w:hAnsi="Times New Roman" w:cs="Times New Roman" w:eastAsiaTheme="minorEastAsia"/>
                <w:color w:val="auto"/>
                <w:w w:val="99"/>
                <w:kern w:val="21"/>
                <w:sz w:val="21"/>
                <w:szCs w:val="21"/>
                <w:highlight w:val="none"/>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7A5285E2">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color w:val="auto"/>
                <w:w w:val="99"/>
                <w:kern w:val="21"/>
                <w:sz w:val="21"/>
                <w:szCs w:val="21"/>
                <w:highlight w:val="none"/>
              </w:rPr>
              <w:t>Ⅱ</w:t>
            </w:r>
            <w:r>
              <w:rPr>
                <w:rFonts w:ascii="Times New Roman" w:hAnsi="Times New Roman" w:cs="Times New Roman" w:eastAsiaTheme="minorEastAsia"/>
                <w:color w:val="auto"/>
                <w:w w:val="99"/>
                <w:kern w:val="21"/>
                <w:sz w:val="21"/>
                <w:szCs w:val="21"/>
                <w:highlight w:val="none"/>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4AE72FAE">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color w:val="auto"/>
                <w:w w:val="99"/>
                <w:kern w:val="21"/>
                <w:sz w:val="21"/>
                <w:szCs w:val="21"/>
                <w:highlight w:val="none"/>
              </w:rPr>
              <w:t>Ⅰ</w:t>
            </w:r>
            <w:r>
              <w:rPr>
                <w:rFonts w:ascii="Times New Roman" w:hAnsi="Times New Roman" w:cs="Times New Roman" w:eastAsiaTheme="minorEastAsia"/>
                <w:color w:val="auto"/>
                <w:w w:val="99"/>
                <w:kern w:val="21"/>
                <w:sz w:val="21"/>
                <w:szCs w:val="21"/>
                <w:highlight w:val="none"/>
              </w:rPr>
              <w:sym w:font="Wingdings" w:char="00FE"/>
            </w:r>
          </w:p>
        </w:tc>
      </w:tr>
      <w:tr w14:paraId="72CE8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tcBorders>
              <w:top w:val="single" w:color="auto" w:sz="4" w:space="0"/>
              <w:left w:val="single" w:color="auto" w:sz="4" w:space="0"/>
              <w:bottom w:val="single" w:color="auto" w:sz="4" w:space="0"/>
              <w:right w:val="single" w:color="auto" w:sz="4" w:space="0"/>
            </w:tcBorders>
            <w:vAlign w:val="center"/>
          </w:tcPr>
          <w:p w14:paraId="4BD75892">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评价等级</w:t>
            </w:r>
          </w:p>
        </w:tc>
        <w:tc>
          <w:tcPr>
            <w:tcW w:w="2996" w:type="dxa"/>
            <w:gridSpan w:val="4"/>
            <w:tcBorders>
              <w:top w:val="single" w:color="auto" w:sz="4" w:space="0"/>
              <w:left w:val="single" w:color="auto" w:sz="4" w:space="0"/>
              <w:bottom w:val="single" w:color="auto" w:sz="4" w:space="0"/>
              <w:right w:val="single" w:color="auto" w:sz="4" w:space="0"/>
            </w:tcBorders>
            <w:vAlign w:val="center"/>
          </w:tcPr>
          <w:p w14:paraId="1F6DA924">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一级</w:t>
            </w:r>
            <w:r>
              <w:rPr>
                <w:rFonts w:ascii="Times New Roman" w:hAnsi="Times New Roman" w:cs="Times New Roman" w:eastAsiaTheme="minorEastAsia"/>
                <w:color w:val="auto"/>
                <w:w w:val="99"/>
                <w:kern w:val="21"/>
                <w:sz w:val="21"/>
                <w:szCs w:val="21"/>
                <w:highlight w:val="none"/>
              </w:rPr>
              <w:sym w:font="Wingdings" w:char="00A8"/>
            </w:r>
          </w:p>
        </w:tc>
        <w:tc>
          <w:tcPr>
            <w:tcW w:w="1315" w:type="dxa"/>
            <w:tcBorders>
              <w:top w:val="single" w:color="auto" w:sz="4" w:space="0"/>
              <w:left w:val="single" w:color="auto" w:sz="4" w:space="0"/>
              <w:bottom w:val="single" w:color="auto" w:sz="4" w:space="0"/>
              <w:right w:val="single" w:color="auto" w:sz="4" w:space="0"/>
            </w:tcBorders>
            <w:vAlign w:val="center"/>
          </w:tcPr>
          <w:p w14:paraId="4CFE8439">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二级</w:t>
            </w:r>
            <w:r>
              <w:rPr>
                <w:rFonts w:ascii="Times New Roman" w:hAnsi="Times New Roman" w:cs="Times New Roman" w:eastAsiaTheme="minorEastAsia"/>
                <w:color w:val="auto"/>
                <w:w w:val="99"/>
                <w:kern w:val="21"/>
                <w:sz w:val="21"/>
                <w:szCs w:val="21"/>
                <w:highlight w:val="none"/>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5B2356BF">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三级</w:t>
            </w:r>
            <w:r>
              <w:rPr>
                <w:rFonts w:ascii="Times New Roman" w:hAnsi="Times New Roman" w:cs="Times New Roman" w:eastAsiaTheme="minorEastAsia"/>
                <w:color w:val="auto"/>
                <w:w w:val="99"/>
                <w:kern w:val="21"/>
                <w:sz w:val="21"/>
                <w:szCs w:val="21"/>
                <w:highlight w:val="none"/>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75C3C7A2">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简单分析</w:t>
            </w:r>
            <w:r>
              <w:rPr>
                <w:rFonts w:ascii="Times New Roman" w:hAnsi="Times New Roman" w:cs="Times New Roman" w:eastAsiaTheme="minorEastAsia"/>
                <w:color w:val="auto"/>
                <w:w w:val="99"/>
                <w:kern w:val="21"/>
                <w:sz w:val="21"/>
                <w:szCs w:val="21"/>
                <w:highlight w:val="none"/>
              </w:rPr>
              <w:sym w:font="Wingdings" w:char="00FE"/>
            </w:r>
          </w:p>
        </w:tc>
      </w:tr>
      <w:tr w14:paraId="58457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1" w:hRule="atLeast"/>
          <w:jc w:val="center"/>
        </w:trPr>
        <w:tc>
          <w:tcPr>
            <w:tcW w:w="568" w:type="dxa"/>
            <w:vMerge w:val="restart"/>
            <w:tcBorders>
              <w:top w:val="single" w:color="auto" w:sz="4" w:space="0"/>
              <w:left w:val="single" w:color="auto" w:sz="4" w:space="0"/>
              <w:bottom w:val="single" w:color="auto" w:sz="4" w:space="0"/>
              <w:right w:val="single" w:color="auto" w:sz="4" w:space="0"/>
            </w:tcBorders>
            <w:vAlign w:val="center"/>
          </w:tcPr>
          <w:p w14:paraId="7747D18A">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风险识别</w:t>
            </w:r>
          </w:p>
        </w:tc>
        <w:tc>
          <w:tcPr>
            <w:tcW w:w="1212" w:type="dxa"/>
            <w:tcBorders>
              <w:top w:val="single" w:color="auto" w:sz="4" w:space="0"/>
              <w:left w:val="single" w:color="auto" w:sz="4" w:space="0"/>
              <w:bottom w:val="single" w:color="auto" w:sz="4" w:space="0"/>
              <w:right w:val="single" w:color="auto" w:sz="4" w:space="0"/>
            </w:tcBorders>
            <w:vAlign w:val="center"/>
          </w:tcPr>
          <w:p w14:paraId="193E9C16">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物质</w:t>
            </w:r>
          </w:p>
          <w:p w14:paraId="11F6C2B3">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危险性</w:t>
            </w:r>
          </w:p>
        </w:tc>
        <w:tc>
          <w:tcPr>
            <w:tcW w:w="4311" w:type="dxa"/>
            <w:gridSpan w:val="5"/>
            <w:tcBorders>
              <w:top w:val="single" w:color="auto" w:sz="4" w:space="0"/>
              <w:left w:val="single" w:color="auto" w:sz="4" w:space="0"/>
              <w:bottom w:val="single" w:color="auto" w:sz="4" w:space="0"/>
              <w:right w:val="single" w:color="auto" w:sz="4" w:space="0"/>
            </w:tcBorders>
            <w:vAlign w:val="center"/>
          </w:tcPr>
          <w:p w14:paraId="4298042D">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有毒有害</w:t>
            </w:r>
            <w:r>
              <w:rPr>
                <w:rFonts w:ascii="Times New Roman" w:hAnsi="Times New Roman" w:cs="Times New Roman" w:eastAsiaTheme="minorEastAsia"/>
                <w:color w:val="auto"/>
                <w:w w:val="99"/>
                <w:kern w:val="21"/>
                <w:sz w:val="21"/>
                <w:szCs w:val="21"/>
                <w:highlight w:val="none"/>
              </w:rPr>
              <w:sym w:font="Wingdings" w:char="00FE"/>
            </w:r>
          </w:p>
        </w:tc>
        <w:tc>
          <w:tcPr>
            <w:tcW w:w="2980" w:type="dxa"/>
            <w:gridSpan w:val="3"/>
            <w:tcBorders>
              <w:top w:val="single" w:color="auto" w:sz="4" w:space="0"/>
              <w:left w:val="single" w:color="auto" w:sz="4" w:space="0"/>
              <w:bottom w:val="single" w:color="auto" w:sz="4" w:space="0"/>
              <w:right w:val="single" w:color="auto" w:sz="4" w:space="0"/>
            </w:tcBorders>
            <w:vAlign w:val="center"/>
          </w:tcPr>
          <w:p w14:paraId="5CE50032">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易燃易爆</w:t>
            </w:r>
            <w:r>
              <w:rPr>
                <w:rFonts w:ascii="Times New Roman" w:hAnsi="Times New Roman" w:cs="Times New Roman" w:eastAsiaTheme="minorEastAsia"/>
                <w:color w:val="auto"/>
                <w:w w:val="99"/>
                <w:kern w:val="21"/>
                <w:sz w:val="21"/>
                <w:szCs w:val="21"/>
                <w:highlight w:val="none"/>
              </w:rPr>
              <w:sym w:font="Wingdings" w:char="00FE"/>
            </w:r>
          </w:p>
        </w:tc>
      </w:tr>
      <w:tr w14:paraId="05B0E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7B78600D">
            <w:pPr>
              <w:spacing w:line="320" w:lineRule="exact"/>
              <w:rPr>
                <w:rFonts w:ascii="Times New Roman" w:hAnsi="Times New Roman" w:cs="Times New Roman" w:eastAsiaTheme="minorEastAsia"/>
                <w:color w:val="auto"/>
                <w:w w:val="99"/>
                <w:kern w:val="21"/>
                <w:sz w:val="21"/>
                <w:szCs w:val="21"/>
                <w:highlight w:val="none"/>
              </w:rPr>
            </w:pPr>
          </w:p>
        </w:tc>
        <w:tc>
          <w:tcPr>
            <w:tcW w:w="1212" w:type="dxa"/>
            <w:tcBorders>
              <w:top w:val="single" w:color="auto" w:sz="4" w:space="0"/>
              <w:left w:val="single" w:color="auto" w:sz="4" w:space="0"/>
              <w:bottom w:val="single" w:color="auto" w:sz="4" w:space="0"/>
              <w:right w:val="single" w:color="auto" w:sz="4" w:space="0"/>
            </w:tcBorders>
            <w:vAlign w:val="center"/>
          </w:tcPr>
          <w:p w14:paraId="5409D818">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环境</w:t>
            </w:r>
          </w:p>
          <w:p w14:paraId="18B3F6D9">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风险类型</w:t>
            </w:r>
          </w:p>
        </w:tc>
        <w:tc>
          <w:tcPr>
            <w:tcW w:w="4311" w:type="dxa"/>
            <w:gridSpan w:val="5"/>
            <w:tcBorders>
              <w:top w:val="single" w:color="auto" w:sz="4" w:space="0"/>
              <w:left w:val="single" w:color="auto" w:sz="4" w:space="0"/>
              <w:bottom w:val="single" w:color="auto" w:sz="4" w:space="0"/>
              <w:right w:val="single" w:color="auto" w:sz="4" w:space="0"/>
            </w:tcBorders>
            <w:vAlign w:val="center"/>
          </w:tcPr>
          <w:p w14:paraId="4B11AC69">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泄漏</w:t>
            </w:r>
            <w:r>
              <w:rPr>
                <w:rFonts w:ascii="Times New Roman" w:hAnsi="Times New Roman" w:cs="Times New Roman" w:eastAsiaTheme="minorEastAsia"/>
                <w:color w:val="auto"/>
                <w:w w:val="99"/>
                <w:kern w:val="21"/>
                <w:sz w:val="21"/>
                <w:szCs w:val="21"/>
                <w:highlight w:val="none"/>
              </w:rPr>
              <w:sym w:font="Wingdings" w:char="00FE"/>
            </w:r>
          </w:p>
        </w:tc>
        <w:tc>
          <w:tcPr>
            <w:tcW w:w="2980" w:type="dxa"/>
            <w:gridSpan w:val="3"/>
            <w:tcBorders>
              <w:top w:val="single" w:color="auto" w:sz="4" w:space="0"/>
              <w:left w:val="single" w:color="auto" w:sz="4" w:space="0"/>
              <w:bottom w:val="single" w:color="auto" w:sz="4" w:space="0"/>
              <w:right w:val="single" w:color="auto" w:sz="4" w:space="0"/>
            </w:tcBorders>
            <w:vAlign w:val="center"/>
          </w:tcPr>
          <w:p w14:paraId="00102039">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火灾、爆炸引发伴生/次生污染物排放</w:t>
            </w:r>
            <w:r>
              <w:rPr>
                <w:rFonts w:ascii="Times New Roman" w:hAnsi="Times New Roman" w:cs="Times New Roman" w:eastAsiaTheme="minorEastAsia"/>
                <w:color w:val="auto"/>
                <w:w w:val="99"/>
                <w:kern w:val="21"/>
                <w:sz w:val="21"/>
                <w:szCs w:val="21"/>
                <w:highlight w:val="none"/>
              </w:rPr>
              <w:sym w:font="Wingdings" w:char="00FE"/>
            </w:r>
          </w:p>
        </w:tc>
      </w:tr>
      <w:tr w14:paraId="29349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6F004EF5">
            <w:pPr>
              <w:spacing w:line="320" w:lineRule="exact"/>
              <w:rPr>
                <w:rFonts w:ascii="Times New Roman" w:hAnsi="Times New Roman" w:cs="Times New Roman" w:eastAsiaTheme="minorEastAsia"/>
                <w:color w:val="auto"/>
                <w:w w:val="99"/>
                <w:kern w:val="21"/>
                <w:sz w:val="21"/>
                <w:szCs w:val="21"/>
                <w:highlight w:val="none"/>
              </w:rPr>
            </w:pPr>
          </w:p>
        </w:tc>
        <w:tc>
          <w:tcPr>
            <w:tcW w:w="1212" w:type="dxa"/>
            <w:tcBorders>
              <w:top w:val="single" w:color="auto" w:sz="4" w:space="0"/>
              <w:left w:val="single" w:color="auto" w:sz="4" w:space="0"/>
              <w:bottom w:val="single" w:color="auto" w:sz="4" w:space="0"/>
              <w:right w:val="single" w:color="auto" w:sz="4" w:space="0"/>
            </w:tcBorders>
            <w:vAlign w:val="center"/>
          </w:tcPr>
          <w:p w14:paraId="79E209B3">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影响途径</w:t>
            </w:r>
          </w:p>
        </w:tc>
        <w:tc>
          <w:tcPr>
            <w:tcW w:w="2141" w:type="dxa"/>
            <w:gridSpan w:val="3"/>
            <w:tcBorders>
              <w:top w:val="single" w:color="auto" w:sz="4" w:space="0"/>
              <w:left w:val="single" w:color="auto" w:sz="4" w:space="0"/>
              <w:bottom w:val="single" w:color="auto" w:sz="4" w:space="0"/>
              <w:right w:val="single" w:color="auto" w:sz="4" w:space="0"/>
            </w:tcBorders>
            <w:vAlign w:val="center"/>
          </w:tcPr>
          <w:p w14:paraId="6F9B1A06">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大气</w:t>
            </w:r>
            <w:r>
              <w:rPr>
                <w:rFonts w:ascii="Times New Roman" w:hAnsi="Times New Roman" w:cs="Times New Roman" w:eastAsiaTheme="minorEastAsia"/>
                <w:color w:val="auto"/>
                <w:w w:val="99"/>
                <w:kern w:val="21"/>
                <w:sz w:val="21"/>
                <w:szCs w:val="21"/>
                <w:highlight w:val="none"/>
              </w:rPr>
              <w:sym w:font="Wingdings" w:char="00FE"/>
            </w:r>
          </w:p>
        </w:tc>
        <w:tc>
          <w:tcPr>
            <w:tcW w:w="2837" w:type="dxa"/>
            <w:gridSpan w:val="3"/>
            <w:tcBorders>
              <w:top w:val="single" w:color="auto" w:sz="4" w:space="0"/>
              <w:left w:val="single" w:color="auto" w:sz="4" w:space="0"/>
              <w:bottom w:val="single" w:color="auto" w:sz="4" w:space="0"/>
              <w:right w:val="single" w:color="auto" w:sz="4" w:space="0"/>
            </w:tcBorders>
            <w:vAlign w:val="center"/>
          </w:tcPr>
          <w:p w14:paraId="2C425E14">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地表水</w:t>
            </w:r>
            <w:r>
              <w:rPr>
                <w:rFonts w:ascii="Times New Roman" w:hAnsi="Times New Roman" w:cs="Times New Roman" w:eastAsiaTheme="minorEastAsia"/>
                <w:color w:val="auto"/>
                <w:w w:val="99"/>
                <w:kern w:val="21"/>
                <w:sz w:val="21"/>
                <w:szCs w:val="21"/>
                <w:highlight w:val="none"/>
              </w:rPr>
              <w:sym w:font="Wingdings" w:char="00FE"/>
            </w:r>
          </w:p>
        </w:tc>
        <w:tc>
          <w:tcPr>
            <w:tcW w:w="2313" w:type="dxa"/>
            <w:gridSpan w:val="2"/>
            <w:tcBorders>
              <w:top w:val="single" w:color="auto" w:sz="4" w:space="0"/>
              <w:left w:val="single" w:color="auto" w:sz="4" w:space="0"/>
              <w:bottom w:val="single" w:color="auto" w:sz="4" w:space="0"/>
              <w:right w:val="single" w:color="auto" w:sz="4" w:space="0"/>
            </w:tcBorders>
            <w:vAlign w:val="center"/>
          </w:tcPr>
          <w:p w14:paraId="091FEF86">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地下水</w:t>
            </w:r>
            <w:r>
              <w:rPr>
                <w:rFonts w:ascii="Times New Roman" w:hAnsi="Times New Roman" w:cs="Times New Roman" w:eastAsiaTheme="minorEastAsia"/>
                <w:color w:val="auto"/>
                <w:w w:val="99"/>
                <w:kern w:val="21"/>
                <w:sz w:val="21"/>
                <w:szCs w:val="21"/>
                <w:highlight w:val="none"/>
              </w:rPr>
              <w:sym w:font="Wingdings" w:char="00FE"/>
            </w:r>
          </w:p>
        </w:tc>
      </w:tr>
      <w:tr w14:paraId="5D0CE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tcBorders>
              <w:top w:val="single" w:color="auto" w:sz="4" w:space="0"/>
              <w:left w:val="single" w:color="auto" w:sz="4" w:space="0"/>
              <w:bottom w:val="single" w:color="auto" w:sz="4" w:space="0"/>
              <w:right w:val="single" w:color="auto" w:sz="4" w:space="0"/>
            </w:tcBorders>
            <w:vAlign w:val="center"/>
          </w:tcPr>
          <w:p w14:paraId="6239BED0">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事故情形分析</w:t>
            </w:r>
          </w:p>
        </w:tc>
        <w:tc>
          <w:tcPr>
            <w:tcW w:w="2141" w:type="dxa"/>
            <w:gridSpan w:val="3"/>
            <w:tcBorders>
              <w:top w:val="single" w:color="auto" w:sz="4" w:space="0"/>
              <w:left w:val="single" w:color="auto" w:sz="4" w:space="0"/>
              <w:bottom w:val="single" w:color="auto" w:sz="4" w:space="0"/>
              <w:right w:val="single" w:color="auto" w:sz="4" w:space="0"/>
            </w:tcBorders>
            <w:vAlign w:val="center"/>
          </w:tcPr>
          <w:p w14:paraId="5C5A24F3">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源强设定方法</w:t>
            </w:r>
          </w:p>
        </w:tc>
        <w:tc>
          <w:tcPr>
            <w:tcW w:w="2170" w:type="dxa"/>
            <w:gridSpan w:val="2"/>
            <w:tcBorders>
              <w:top w:val="single" w:color="auto" w:sz="4" w:space="0"/>
              <w:left w:val="single" w:color="auto" w:sz="4" w:space="0"/>
              <w:bottom w:val="single" w:color="auto" w:sz="4" w:space="0"/>
              <w:right w:val="single" w:color="auto" w:sz="4" w:space="0"/>
            </w:tcBorders>
            <w:vAlign w:val="center"/>
          </w:tcPr>
          <w:p w14:paraId="094873FE">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计算法</w:t>
            </w:r>
            <w:r>
              <w:rPr>
                <w:rFonts w:ascii="Times New Roman" w:hAnsi="Times New Roman" w:cs="Times New Roman" w:eastAsiaTheme="minorEastAsia"/>
                <w:color w:val="auto"/>
                <w:w w:val="99"/>
                <w:kern w:val="21"/>
                <w:sz w:val="21"/>
                <w:szCs w:val="21"/>
                <w:highlight w:val="none"/>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3B969876">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经验估算法</w:t>
            </w:r>
            <w:r>
              <w:rPr>
                <w:rFonts w:ascii="Times New Roman" w:hAnsi="Times New Roman" w:cs="Times New Roman" w:eastAsiaTheme="minorEastAsia"/>
                <w:color w:val="auto"/>
                <w:w w:val="99"/>
                <w:kern w:val="21"/>
                <w:sz w:val="21"/>
                <w:szCs w:val="21"/>
                <w:highlight w:val="none"/>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1B63C1C2">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其他估算法</w:t>
            </w:r>
            <w:r>
              <w:rPr>
                <w:rFonts w:ascii="Times New Roman" w:hAnsi="Times New Roman" w:cs="Times New Roman" w:eastAsiaTheme="minorEastAsia"/>
                <w:color w:val="auto"/>
                <w:w w:val="99"/>
                <w:kern w:val="21"/>
                <w:sz w:val="21"/>
                <w:szCs w:val="21"/>
                <w:highlight w:val="none"/>
              </w:rPr>
              <w:sym w:font="Wingdings" w:char="00FE"/>
            </w:r>
          </w:p>
        </w:tc>
      </w:tr>
      <w:tr w14:paraId="11613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restart"/>
            <w:tcBorders>
              <w:top w:val="single" w:color="auto" w:sz="4" w:space="0"/>
              <w:left w:val="single" w:color="auto" w:sz="4" w:space="0"/>
              <w:bottom w:val="single" w:color="auto" w:sz="4" w:space="0"/>
              <w:right w:val="single" w:color="auto" w:sz="4" w:space="0"/>
            </w:tcBorders>
            <w:vAlign w:val="center"/>
          </w:tcPr>
          <w:p w14:paraId="54514675">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风险预测与评价</w:t>
            </w:r>
          </w:p>
        </w:tc>
        <w:tc>
          <w:tcPr>
            <w:tcW w:w="1212" w:type="dxa"/>
            <w:vMerge w:val="restart"/>
            <w:tcBorders>
              <w:top w:val="single" w:color="auto" w:sz="4" w:space="0"/>
              <w:left w:val="single" w:color="auto" w:sz="4" w:space="0"/>
              <w:right w:val="single" w:color="auto" w:sz="4" w:space="0"/>
            </w:tcBorders>
            <w:vAlign w:val="center"/>
          </w:tcPr>
          <w:p w14:paraId="4D08C9F9">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大气</w:t>
            </w:r>
          </w:p>
        </w:tc>
        <w:tc>
          <w:tcPr>
            <w:tcW w:w="2141" w:type="dxa"/>
            <w:gridSpan w:val="3"/>
            <w:tcBorders>
              <w:top w:val="single" w:color="auto" w:sz="4" w:space="0"/>
              <w:left w:val="single" w:color="auto" w:sz="4" w:space="0"/>
              <w:bottom w:val="single" w:color="auto" w:sz="4" w:space="0"/>
              <w:right w:val="single" w:color="auto" w:sz="4" w:space="0"/>
            </w:tcBorders>
            <w:vAlign w:val="center"/>
          </w:tcPr>
          <w:p w14:paraId="65393CA2">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预测模型</w:t>
            </w:r>
          </w:p>
        </w:tc>
        <w:tc>
          <w:tcPr>
            <w:tcW w:w="2170" w:type="dxa"/>
            <w:gridSpan w:val="2"/>
            <w:tcBorders>
              <w:top w:val="single" w:color="auto" w:sz="4" w:space="0"/>
              <w:left w:val="single" w:color="auto" w:sz="4" w:space="0"/>
              <w:bottom w:val="single" w:color="auto" w:sz="4" w:space="0"/>
              <w:right w:val="single" w:color="auto" w:sz="4" w:space="0"/>
            </w:tcBorders>
            <w:vAlign w:val="center"/>
          </w:tcPr>
          <w:p w14:paraId="5FD7F142">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SLAB</w:t>
            </w:r>
            <w:r>
              <w:rPr>
                <w:rFonts w:ascii="Times New Roman" w:hAnsi="Times New Roman" w:cs="Times New Roman" w:eastAsiaTheme="minorEastAsia"/>
                <w:color w:val="auto"/>
                <w:w w:val="99"/>
                <w:kern w:val="21"/>
                <w:sz w:val="21"/>
                <w:szCs w:val="21"/>
                <w:highlight w:val="none"/>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7A4F6C15">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AFTOX</w:t>
            </w:r>
            <w:r>
              <w:rPr>
                <w:rFonts w:ascii="Times New Roman" w:hAnsi="Times New Roman" w:cs="Times New Roman" w:eastAsiaTheme="minorEastAsia"/>
                <w:color w:val="auto"/>
                <w:w w:val="99"/>
                <w:kern w:val="21"/>
                <w:sz w:val="21"/>
                <w:szCs w:val="21"/>
                <w:highlight w:val="none"/>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53F24C2D">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其他</w:t>
            </w:r>
            <w:r>
              <w:rPr>
                <w:rFonts w:ascii="Times New Roman" w:hAnsi="Times New Roman" w:cs="Times New Roman" w:eastAsiaTheme="minorEastAsia"/>
                <w:color w:val="auto"/>
                <w:w w:val="99"/>
                <w:kern w:val="21"/>
                <w:sz w:val="21"/>
                <w:szCs w:val="21"/>
                <w:highlight w:val="none"/>
              </w:rPr>
              <w:sym w:font="Wingdings" w:char="00A8"/>
            </w:r>
          </w:p>
        </w:tc>
      </w:tr>
      <w:tr w14:paraId="7C043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5AD0D373">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212" w:type="dxa"/>
            <w:vMerge w:val="continue"/>
            <w:tcBorders>
              <w:left w:val="single" w:color="auto" w:sz="4" w:space="0"/>
              <w:right w:val="single" w:color="auto" w:sz="4" w:space="0"/>
            </w:tcBorders>
            <w:vAlign w:val="center"/>
          </w:tcPr>
          <w:p w14:paraId="184CD5F2">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2141" w:type="dxa"/>
            <w:gridSpan w:val="3"/>
            <w:vMerge w:val="restart"/>
            <w:tcBorders>
              <w:top w:val="single" w:color="auto" w:sz="4" w:space="0"/>
              <w:left w:val="single" w:color="auto" w:sz="4" w:space="0"/>
              <w:right w:val="single" w:color="auto" w:sz="4" w:space="0"/>
            </w:tcBorders>
            <w:vAlign w:val="center"/>
          </w:tcPr>
          <w:p w14:paraId="56B85F5B">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预测结果</w:t>
            </w:r>
          </w:p>
        </w:tc>
        <w:tc>
          <w:tcPr>
            <w:tcW w:w="5150" w:type="dxa"/>
            <w:gridSpan w:val="5"/>
            <w:tcBorders>
              <w:top w:val="single" w:color="auto" w:sz="4" w:space="0"/>
              <w:left w:val="single" w:color="auto" w:sz="4" w:space="0"/>
              <w:bottom w:val="single" w:color="auto" w:sz="4" w:space="0"/>
              <w:right w:val="single" w:color="auto" w:sz="4" w:space="0"/>
            </w:tcBorders>
            <w:vAlign w:val="center"/>
          </w:tcPr>
          <w:p w14:paraId="7A2F19F8">
            <w:pPr>
              <w:widowControl w:val="0"/>
              <w:spacing w:line="320" w:lineRule="exact"/>
              <w:jc w:val="center"/>
              <w:rPr>
                <w:rFonts w:ascii="Times New Roman" w:hAnsi="Times New Roman" w:cs="Times New Roman" w:eastAsiaTheme="minorEastAsia"/>
                <w:color w:val="auto"/>
                <w:w w:val="99"/>
                <w:kern w:val="21"/>
                <w:sz w:val="21"/>
                <w:szCs w:val="21"/>
                <w:highlight w:val="none"/>
                <w:u w:val="single"/>
              </w:rPr>
            </w:pPr>
            <w:r>
              <w:rPr>
                <w:rFonts w:ascii="Times New Roman" w:hAnsi="Times New Roman" w:cs="Times New Roman" w:eastAsiaTheme="minorEastAsia"/>
                <w:color w:val="auto"/>
                <w:w w:val="99"/>
                <w:kern w:val="21"/>
                <w:sz w:val="21"/>
                <w:szCs w:val="21"/>
                <w:highlight w:val="none"/>
              </w:rPr>
              <w:t>大气毒性终点浓度-1 最大影响范围</w:t>
            </w:r>
            <w:r>
              <w:rPr>
                <w:rFonts w:ascii="Times New Roman" w:hAnsi="Times New Roman" w:cs="Times New Roman" w:eastAsiaTheme="minorEastAsia"/>
                <w:color w:val="auto"/>
                <w:w w:val="99"/>
                <w:kern w:val="21"/>
                <w:sz w:val="21"/>
                <w:szCs w:val="21"/>
                <w:highlight w:val="none"/>
                <w:u w:val="single"/>
              </w:rPr>
              <w:t xml:space="preserve">     </w:t>
            </w:r>
            <w:r>
              <w:rPr>
                <w:rFonts w:ascii="Times New Roman" w:hAnsi="Times New Roman" w:cs="Times New Roman" w:eastAsiaTheme="minorEastAsia"/>
                <w:color w:val="auto"/>
                <w:w w:val="99"/>
                <w:kern w:val="21"/>
                <w:sz w:val="21"/>
                <w:szCs w:val="21"/>
                <w:highlight w:val="none"/>
              </w:rPr>
              <w:t>m</w:t>
            </w:r>
          </w:p>
        </w:tc>
      </w:tr>
      <w:tr w14:paraId="65961A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49FA388F">
            <w:pPr>
              <w:spacing w:line="320" w:lineRule="exact"/>
              <w:rPr>
                <w:rFonts w:ascii="Times New Roman" w:hAnsi="Times New Roman" w:cs="Times New Roman" w:eastAsiaTheme="minorEastAsia"/>
                <w:color w:val="auto"/>
                <w:w w:val="99"/>
                <w:kern w:val="21"/>
                <w:sz w:val="21"/>
                <w:szCs w:val="21"/>
                <w:highlight w:val="none"/>
              </w:rPr>
            </w:pPr>
          </w:p>
        </w:tc>
        <w:tc>
          <w:tcPr>
            <w:tcW w:w="1212" w:type="dxa"/>
            <w:vMerge w:val="continue"/>
            <w:tcBorders>
              <w:left w:val="single" w:color="auto" w:sz="4" w:space="0"/>
              <w:bottom w:val="single" w:color="auto" w:sz="4" w:space="0"/>
              <w:right w:val="single" w:color="auto" w:sz="4" w:space="0"/>
            </w:tcBorders>
            <w:vAlign w:val="center"/>
          </w:tcPr>
          <w:p w14:paraId="1F58B179">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2141" w:type="dxa"/>
            <w:gridSpan w:val="3"/>
            <w:vMerge w:val="continue"/>
            <w:tcBorders>
              <w:left w:val="single" w:color="auto" w:sz="4" w:space="0"/>
              <w:bottom w:val="single" w:color="auto" w:sz="4" w:space="0"/>
              <w:right w:val="single" w:color="auto" w:sz="4" w:space="0"/>
            </w:tcBorders>
            <w:vAlign w:val="center"/>
          </w:tcPr>
          <w:p w14:paraId="289D3B89">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5150" w:type="dxa"/>
            <w:gridSpan w:val="5"/>
            <w:tcBorders>
              <w:top w:val="single" w:color="auto" w:sz="4" w:space="0"/>
              <w:left w:val="single" w:color="auto" w:sz="4" w:space="0"/>
              <w:bottom w:val="single" w:color="auto" w:sz="4" w:space="0"/>
              <w:right w:val="single" w:color="auto" w:sz="4" w:space="0"/>
            </w:tcBorders>
            <w:vAlign w:val="center"/>
          </w:tcPr>
          <w:p w14:paraId="3301C2AC">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大气毒性终点浓度-2 最大影响范围</w:t>
            </w:r>
            <w:r>
              <w:rPr>
                <w:rFonts w:ascii="Times New Roman" w:hAnsi="Times New Roman" w:cs="Times New Roman" w:eastAsiaTheme="minorEastAsia"/>
                <w:color w:val="auto"/>
                <w:w w:val="99"/>
                <w:kern w:val="21"/>
                <w:sz w:val="21"/>
                <w:szCs w:val="21"/>
                <w:highlight w:val="none"/>
                <w:u w:val="single"/>
              </w:rPr>
              <w:t xml:space="preserve">     </w:t>
            </w:r>
            <w:r>
              <w:rPr>
                <w:rFonts w:ascii="Times New Roman" w:hAnsi="Times New Roman" w:cs="Times New Roman" w:eastAsiaTheme="minorEastAsia"/>
                <w:color w:val="auto"/>
                <w:w w:val="99"/>
                <w:kern w:val="21"/>
                <w:sz w:val="21"/>
                <w:szCs w:val="21"/>
                <w:highlight w:val="none"/>
              </w:rPr>
              <w:t>m</w:t>
            </w:r>
          </w:p>
        </w:tc>
      </w:tr>
      <w:tr w14:paraId="36F80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4A7F93B2">
            <w:pPr>
              <w:spacing w:line="320" w:lineRule="exact"/>
              <w:rPr>
                <w:rFonts w:ascii="Times New Roman" w:hAnsi="Times New Roman" w:cs="Times New Roman" w:eastAsiaTheme="minorEastAsia"/>
                <w:color w:val="auto"/>
                <w:w w:val="99"/>
                <w:kern w:val="21"/>
                <w:sz w:val="21"/>
                <w:szCs w:val="21"/>
                <w:highlight w:val="none"/>
              </w:rPr>
            </w:pPr>
          </w:p>
        </w:tc>
        <w:tc>
          <w:tcPr>
            <w:tcW w:w="1212" w:type="dxa"/>
            <w:tcBorders>
              <w:left w:val="single" w:color="auto" w:sz="4" w:space="0"/>
              <w:bottom w:val="single" w:color="auto" w:sz="4" w:space="0"/>
              <w:right w:val="single" w:color="auto" w:sz="4" w:space="0"/>
            </w:tcBorders>
            <w:vAlign w:val="center"/>
          </w:tcPr>
          <w:p w14:paraId="1B51E8EF">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地表水</w:t>
            </w:r>
          </w:p>
        </w:tc>
        <w:tc>
          <w:tcPr>
            <w:tcW w:w="7291" w:type="dxa"/>
            <w:gridSpan w:val="8"/>
            <w:tcBorders>
              <w:left w:val="single" w:color="auto" w:sz="4" w:space="0"/>
              <w:bottom w:val="single" w:color="auto" w:sz="4" w:space="0"/>
              <w:right w:val="single" w:color="auto" w:sz="4" w:space="0"/>
            </w:tcBorders>
            <w:vAlign w:val="center"/>
          </w:tcPr>
          <w:p w14:paraId="3061E76D">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最近敏感目标</w:t>
            </w:r>
            <w:r>
              <w:rPr>
                <w:rFonts w:ascii="Times New Roman" w:hAnsi="Times New Roman" w:cs="Times New Roman" w:eastAsiaTheme="minorEastAsia"/>
                <w:color w:val="auto"/>
                <w:w w:val="99"/>
                <w:kern w:val="21"/>
                <w:sz w:val="21"/>
                <w:szCs w:val="21"/>
                <w:highlight w:val="none"/>
                <w:u w:val="single"/>
              </w:rPr>
              <w:t xml:space="preserve">       </w:t>
            </w:r>
            <w:r>
              <w:rPr>
                <w:rFonts w:ascii="Times New Roman" w:hAnsi="Times New Roman" w:cs="Times New Roman" w:eastAsiaTheme="minorEastAsia"/>
                <w:color w:val="auto"/>
                <w:w w:val="99"/>
                <w:kern w:val="21"/>
                <w:sz w:val="21"/>
                <w:szCs w:val="21"/>
                <w:highlight w:val="none"/>
              </w:rPr>
              <w:t>，到达时间</w:t>
            </w:r>
            <w:r>
              <w:rPr>
                <w:rFonts w:ascii="Times New Roman" w:hAnsi="Times New Roman" w:cs="Times New Roman" w:eastAsiaTheme="minorEastAsia"/>
                <w:color w:val="auto"/>
                <w:w w:val="99"/>
                <w:kern w:val="21"/>
                <w:sz w:val="21"/>
                <w:szCs w:val="21"/>
                <w:highlight w:val="none"/>
                <w:u w:val="single"/>
              </w:rPr>
              <w:t xml:space="preserve">     </w:t>
            </w:r>
            <w:r>
              <w:rPr>
                <w:rFonts w:ascii="Times New Roman" w:hAnsi="Times New Roman" w:cs="Times New Roman" w:eastAsiaTheme="minorEastAsia"/>
                <w:color w:val="auto"/>
                <w:w w:val="99"/>
                <w:kern w:val="21"/>
                <w:sz w:val="21"/>
                <w:szCs w:val="21"/>
                <w:highlight w:val="none"/>
              </w:rPr>
              <w:t>h</w:t>
            </w:r>
          </w:p>
        </w:tc>
      </w:tr>
      <w:tr w14:paraId="43DF40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64778AC0">
            <w:pPr>
              <w:spacing w:line="320" w:lineRule="exact"/>
              <w:rPr>
                <w:rFonts w:ascii="Times New Roman" w:hAnsi="Times New Roman" w:cs="Times New Roman" w:eastAsiaTheme="minorEastAsia"/>
                <w:color w:val="auto"/>
                <w:w w:val="99"/>
                <w:kern w:val="21"/>
                <w:sz w:val="21"/>
                <w:szCs w:val="21"/>
                <w:highlight w:val="none"/>
              </w:rPr>
            </w:pPr>
          </w:p>
        </w:tc>
        <w:tc>
          <w:tcPr>
            <w:tcW w:w="1212" w:type="dxa"/>
            <w:vMerge w:val="restart"/>
            <w:tcBorders>
              <w:left w:val="single" w:color="auto" w:sz="4" w:space="0"/>
              <w:right w:val="single" w:color="auto" w:sz="4" w:space="0"/>
            </w:tcBorders>
            <w:vAlign w:val="center"/>
          </w:tcPr>
          <w:p w14:paraId="5912CA81">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地下水</w:t>
            </w:r>
          </w:p>
        </w:tc>
        <w:tc>
          <w:tcPr>
            <w:tcW w:w="7291" w:type="dxa"/>
            <w:gridSpan w:val="8"/>
            <w:tcBorders>
              <w:left w:val="single" w:color="auto" w:sz="4" w:space="0"/>
              <w:bottom w:val="single" w:color="auto" w:sz="4" w:space="0"/>
              <w:right w:val="single" w:color="auto" w:sz="4" w:space="0"/>
            </w:tcBorders>
            <w:vAlign w:val="center"/>
          </w:tcPr>
          <w:p w14:paraId="40EFA023">
            <w:pPr>
              <w:widowControl w:val="0"/>
              <w:spacing w:line="320" w:lineRule="exact"/>
              <w:jc w:val="center"/>
              <w:rPr>
                <w:rFonts w:ascii="Times New Roman" w:hAnsi="Times New Roman" w:cs="Times New Roman" w:eastAsiaTheme="minorEastAsia"/>
                <w:color w:val="auto"/>
                <w:w w:val="99"/>
                <w:kern w:val="21"/>
                <w:sz w:val="21"/>
                <w:szCs w:val="21"/>
                <w:highlight w:val="none"/>
                <w:u w:val="single"/>
              </w:rPr>
            </w:pPr>
            <w:r>
              <w:rPr>
                <w:rFonts w:ascii="Times New Roman" w:hAnsi="Times New Roman" w:cs="Times New Roman" w:eastAsiaTheme="minorEastAsia"/>
                <w:color w:val="auto"/>
                <w:w w:val="99"/>
                <w:kern w:val="21"/>
                <w:sz w:val="21"/>
                <w:szCs w:val="21"/>
                <w:highlight w:val="none"/>
              </w:rPr>
              <w:t>下游厂区边界到达时间</w:t>
            </w:r>
            <w:r>
              <w:rPr>
                <w:rFonts w:ascii="Times New Roman" w:hAnsi="Times New Roman" w:cs="Times New Roman" w:eastAsiaTheme="minorEastAsia"/>
                <w:color w:val="auto"/>
                <w:w w:val="99"/>
                <w:kern w:val="21"/>
                <w:sz w:val="21"/>
                <w:szCs w:val="21"/>
                <w:highlight w:val="none"/>
                <w:u w:val="single"/>
              </w:rPr>
              <w:t xml:space="preserve">      </w:t>
            </w:r>
            <w:r>
              <w:rPr>
                <w:rFonts w:ascii="Times New Roman" w:hAnsi="Times New Roman" w:cs="Times New Roman" w:eastAsiaTheme="minorEastAsia"/>
                <w:color w:val="auto"/>
                <w:w w:val="99"/>
                <w:kern w:val="21"/>
                <w:sz w:val="21"/>
                <w:szCs w:val="21"/>
                <w:highlight w:val="none"/>
              </w:rPr>
              <w:t>d</w:t>
            </w:r>
          </w:p>
        </w:tc>
      </w:tr>
      <w:tr w14:paraId="3A0AF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66B743AD">
            <w:pPr>
              <w:spacing w:line="320" w:lineRule="exact"/>
              <w:rPr>
                <w:rFonts w:ascii="Times New Roman" w:hAnsi="Times New Roman" w:cs="Times New Roman" w:eastAsiaTheme="minorEastAsia"/>
                <w:color w:val="auto"/>
                <w:w w:val="99"/>
                <w:kern w:val="21"/>
                <w:sz w:val="21"/>
                <w:szCs w:val="21"/>
                <w:highlight w:val="none"/>
              </w:rPr>
            </w:pPr>
          </w:p>
        </w:tc>
        <w:tc>
          <w:tcPr>
            <w:tcW w:w="1212" w:type="dxa"/>
            <w:vMerge w:val="continue"/>
            <w:tcBorders>
              <w:left w:val="single" w:color="auto" w:sz="4" w:space="0"/>
              <w:bottom w:val="single" w:color="auto" w:sz="4" w:space="0"/>
              <w:right w:val="single" w:color="auto" w:sz="4" w:space="0"/>
            </w:tcBorders>
            <w:vAlign w:val="center"/>
          </w:tcPr>
          <w:p w14:paraId="1FAC38E3">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7291" w:type="dxa"/>
            <w:gridSpan w:val="8"/>
            <w:tcBorders>
              <w:top w:val="single" w:color="auto" w:sz="4" w:space="0"/>
              <w:left w:val="single" w:color="auto" w:sz="4" w:space="0"/>
              <w:bottom w:val="single" w:color="auto" w:sz="4" w:space="0"/>
              <w:right w:val="single" w:color="auto" w:sz="4" w:space="0"/>
            </w:tcBorders>
            <w:vAlign w:val="center"/>
          </w:tcPr>
          <w:p w14:paraId="2D0F2BAA">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最近环境敏感目标</w:t>
            </w:r>
            <w:r>
              <w:rPr>
                <w:rFonts w:ascii="Times New Roman" w:hAnsi="Times New Roman" w:cs="Times New Roman" w:eastAsiaTheme="minorEastAsia"/>
                <w:color w:val="auto"/>
                <w:w w:val="99"/>
                <w:kern w:val="21"/>
                <w:sz w:val="21"/>
                <w:szCs w:val="21"/>
                <w:highlight w:val="none"/>
                <w:u w:val="single"/>
              </w:rPr>
              <w:t xml:space="preserve">      </w:t>
            </w:r>
            <w:r>
              <w:rPr>
                <w:rFonts w:ascii="Times New Roman" w:hAnsi="Times New Roman" w:cs="Times New Roman" w:eastAsiaTheme="minorEastAsia"/>
                <w:color w:val="auto"/>
                <w:w w:val="99"/>
                <w:kern w:val="21"/>
                <w:sz w:val="21"/>
                <w:szCs w:val="21"/>
                <w:highlight w:val="none"/>
              </w:rPr>
              <w:t>，到达时间</w:t>
            </w:r>
            <w:r>
              <w:rPr>
                <w:rFonts w:ascii="Times New Roman" w:hAnsi="Times New Roman" w:cs="Times New Roman" w:eastAsiaTheme="minorEastAsia"/>
                <w:color w:val="auto"/>
                <w:w w:val="99"/>
                <w:kern w:val="21"/>
                <w:sz w:val="21"/>
                <w:szCs w:val="21"/>
                <w:highlight w:val="none"/>
                <w:u w:val="single"/>
              </w:rPr>
              <w:t xml:space="preserve">     </w:t>
            </w:r>
            <w:r>
              <w:rPr>
                <w:rFonts w:ascii="Times New Roman" w:hAnsi="Times New Roman" w:cs="Times New Roman" w:eastAsiaTheme="minorEastAsia"/>
                <w:color w:val="auto"/>
                <w:w w:val="99"/>
                <w:kern w:val="21"/>
                <w:sz w:val="21"/>
                <w:szCs w:val="21"/>
                <w:highlight w:val="none"/>
              </w:rPr>
              <w:t>d</w:t>
            </w:r>
          </w:p>
        </w:tc>
      </w:tr>
      <w:tr w14:paraId="4E9D6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tcBorders>
              <w:top w:val="single" w:color="auto" w:sz="4" w:space="0"/>
              <w:left w:val="single" w:color="auto" w:sz="4" w:space="0"/>
              <w:right w:val="single" w:color="auto" w:sz="4" w:space="0"/>
            </w:tcBorders>
            <w:vAlign w:val="center"/>
          </w:tcPr>
          <w:p w14:paraId="510109A4">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重点风险</w:t>
            </w:r>
          </w:p>
          <w:p w14:paraId="2FDBBE55">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防范措施</w:t>
            </w:r>
          </w:p>
        </w:tc>
        <w:tc>
          <w:tcPr>
            <w:tcW w:w="7291" w:type="dxa"/>
            <w:gridSpan w:val="8"/>
            <w:tcBorders>
              <w:top w:val="single" w:color="auto" w:sz="4" w:space="0"/>
              <w:left w:val="single" w:color="auto" w:sz="4" w:space="0"/>
              <w:right w:val="single" w:color="auto" w:sz="4" w:space="0"/>
            </w:tcBorders>
            <w:vAlign w:val="center"/>
          </w:tcPr>
          <w:p w14:paraId="1C218FFC">
            <w:pPr>
              <w:widowControl w:val="0"/>
              <w:spacing w:line="32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bCs/>
                <w:color w:val="auto"/>
                <w:w w:val="99"/>
                <w:sz w:val="21"/>
                <w:szCs w:val="21"/>
                <w:highlight w:val="none"/>
              </w:rPr>
              <w:t>管道密闭输送、防腐、试压等，运营期制定操作规程、巡线、检测、应急等管理措施</w:t>
            </w:r>
          </w:p>
        </w:tc>
      </w:tr>
      <w:tr w14:paraId="6A044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tcBorders>
              <w:top w:val="single" w:color="auto" w:sz="4" w:space="0"/>
              <w:left w:val="single" w:color="auto" w:sz="4" w:space="0"/>
              <w:right w:val="single" w:color="auto" w:sz="4" w:space="0"/>
            </w:tcBorders>
            <w:vAlign w:val="center"/>
          </w:tcPr>
          <w:p w14:paraId="07721FEF">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评价结论与建议</w:t>
            </w:r>
          </w:p>
        </w:tc>
        <w:tc>
          <w:tcPr>
            <w:tcW w:w="7291" w:type="dxa"/>
            <w:gridSpan w:val="8"/>
            <w:tcBorders>
              <w:top w:val="single" w:color="auto" w:sz="4" w:space="0"/>
              <w:left w:val="single" w:color="auto" w:sz="4" w:space="0"/>
              <w:right w:val="single" w:color="auto" w:sz="4" w:space="0"/>
            </w:tcBorders>
            <w:vAlign w:val="center"/>
          </w:tcPr>
          <w:p w14:paraId="403FC8B9">
            <w:pPr>
              <w:widowControl w:val="0"/>
              <w:spacing w:line="32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bCs/>
                <w:color w:val="auto"/>
                <w:w w:val="99"/>
                <w:kern w:val="21"/>
                <w:sz w:val="21"/>
                <w:szCs w:val="21"/>
                <w:highlight w:val="none"/>
              </w:rPr>
              <w:t>本工程的主要环境风险是泄漏和火灾爆炸</w:t>
            </w:r>
            <w:r>
              <w:rPr>
                <w:rFonts w:ascii="Times New Roman" w:hAnsi="Times New Roman" w:cs="Times New Roman" w:eastAsiaTheme="minorEastAsia"/>
                <w:color w:val="auto"/>
                <w:w w:val="99"/>
                <w:kern w:val="21"/>
                <w:sz w:val="21"/>
                <w:szCs w:val="21"/>
                <w:highlight w:val="none"/>
              </w:rPr>
              <w:t>，对区域内的大气环境、地表水环境、地下水环境和土壤植被危害性不大。在工程采取一系列风险防范措施和应急措施后，可以控制和降低工程发生事故情况下对周围环境的影响。</w:t>
            </w:r>
          </w:p>
        </w:tc>
      </w:tr>
      <w:tr w14:paraId="0A413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71" w:type="dxa"/>
            <w:gridSpan w:val="10"/>
            <w:tcBorders>
              <w:top w:val="single" w:color="auto" w:sz="4" w:space="0"/>
              <w:left w:val="single" w:color="auto" w:sz="4" w:space="0"/>
              <w:bottom w:val="single" w:color="auto" w:sz="4" w:space="0"/>
              <w:right w:val="single" w:color="auto" w:sz="4" w:space="0"/>
            </w:tcBorders>
            <w:vAlign w:val="center"/>
          </w:tcPr>
          <w:p w14:paraId="40B8BD41">
            <w:pPr>
              <w:widowControl w:val="0"/>
              <w:spacing w:line="320" w:lineRule="exact"/>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注：“</w:t>
            </w:r>
            <w:r>
              <w:rPr>
                <w:rFonts w:ascii="Times New Roman" w:hAnsi="Times New Roman" w:cs="Times New Roman" w:eastAsiaTheme="minorEastAsia"/>
                <w:color w:val="auto"/>
                <w:w w:val="99"/>
                <w:kern w:val="21"/>
                <w:sz w:val="21"/>
                <w:szCs w:val="21"/>
                <w:highlight w:val="none"/>
              </w:rPr>
              <w:sym w:font="Wingdings" w:char="00A8"/>
            </w:r>
            <w:r>
              <w:rPr>
                <w:rFonts w:ascii="Times New Roman" w:hAnsi="Times New Roman" w:cs="Times New Roman" w:eastAsiaTheme="minorEastAsia"/>
                <w:color w:val="auto"/>
                <w:w w:val="99"/>
                <w:kern w:val="21"/>
                <w:sz w:val="21"/>
                <w:szCs w:val="21"/>
                <w:highlight w:val="none"/>
              </w:rPr>
              <w:t>”为勾选项， “</w:t>
            </w:r>
            <w:r>
              <w:rPr>
                <w:rFonts w:ascii="Times New Roman" w:hAnsi="Times New Roman" w:cs="Times New Roman" w:eastAsiaTheme="minorEastAsia"/>
                <w:color w:val="auto"/>
                <w:w w:val="99"/>
                <w:kern w:val="21"/>
                <w:sz w:val="21"/>
                <w:szCs w:val="21"/>
                <w:highlight w:val="none"/>
                <w:u w:val="single"/>
              </w:rPr>
              <w:t xml:space="preserve">    </w:t>
            </w:r>
            <w:r>
              <w:rPr>
                <w:rFonts w:ascii="Times New Roman" w:hAnsi="Times New Roman" w:cs="Times New Roman" w:eastAsiaTheme="minorEastAsia"/>
                <w:color w:val="auto"/>
                <w:w w:val="99"/>
                <w:kern w:val="21"/>
                <w:sz w:val="21"/>
                <w:szCs w:val="21"/>
                <w:highlight w:val="none"/>
              </w:rPr>
              <w:t>”为内容填写项</w:t>
            </w:r>
          </w:p>
        </w:tc>
      </w:tr>
    </w:tbl>
    <w:p w14:paraId="03A5FB93">
      <w:pPr>
        <w:widowControl w:val="0"/>
        <w:rPr>
          <w:rFonts w:ascii="Times New Roman" w:hAnsi="Times New Roman" w:cs="Times New Roman" w:eastAsiaTheme="minorEastAsia"/>
          <w:color w:val="auto"/>
          <w:w w:val="99"/>
          <w:kern w:val="21"/>
          <w:highlight w:val="none"/>
        </w:rPr>
      </w:pPr>
    </w:p>
    <w:p w14:paraId="11B0FA84">
      <w:pPr>
        <w:rPr>
          <w:rFonts w:ascii="Times New Roman" w:hAnsi="Times New Roman" w:cs="Times New Roman"/>
          <w:color w:val="auto"/>
          <w:w w:val="99"/>
          <w:highlight w:val="none"/>
        </w:rPr>
      </w:pPr>
    </w:p>
    <w:p w14:paraId="4D8751B3">
      <w:pPr>
        <w:pStyle w:val="102"/>
        <w:rPr>
          <w:rFonts w:hint="default" w:ascii="Times New Roman" w:hAnsi="Times New Roman"/>
          <w:color w:val="auto"/>
          <w:w w:val="99"/>
          <w:highlight w:val="none"/>
        </w:rPr>
      </w:pPr>
    </w:p>
    <w:p w14:paraId="5B561F43">
      <w:pPr>
        <w:pStyle w:val="102"/>
        <w:rPr>
          <w:rFonts w:hint="default" w:ascii="Times New Roman" w:hAnsi="Times New Roman"/>
          <w:color w:val="auto"/>
          <w:w w:val="99"/>
          <w:highlight w:val="none"/>
        </w:rPr>
      </w:pPr>
    </w:p>
    <w:p w14:paraId="11FA2203">
      <w:pPr>
        <w:pStyle w:val="102"/>
        <w:rPr>
          <w:rFonts w:hint="default" w:ascii="Times New Roman" w:hAnsi="Times New Roman"/>
          <w:color w:val="auto"/>
          <w:w w:val="99"/>
          <w:highlight w:val="none"/>
        </w:rPr>
      </w:pPr>
    </w:p>
    <w:p w14:paraId="43F78A4E">
      <w:pPr>
        <w:pStyle w:val="102"/>
        <w:rPr>
          <w:rFonts w:hint="default" w:ascii="Times New Roman" w:hAnsi="Times New Roman"/>
          <w:color w:val="auto"/>
          <w:w w:val="99"/>
          <w:highlight w:val="none"/>
        </w:rPr>
      </w:pPr>
    </w:p>
    <w:p w14:paraId="0A81BB8A">
      <w:pPr>
        <w:pStyle w:val="102"/>
        <w:rPr>
          <w:rFonts w:hint="default" w:ascii="Times New Roman" w:hAnsi="Times New Roman"/>
          <w:color w:val="auto"/>
          <w:w w:val="99"/>
          <w:highlight w:val="none"/>
        </w:rPr>
      </w:pPr>
    </w:p>
    <w:p w14:paraId="2E045182">
      <w:pPr>
        <w:rPr>
          <w:rFonts w:hint="eastAsia"/>
          <w:color w:val="auto"/>
          <w:highlight w:val="none"/>
        </w:rPr>
      </w:pPr>
    </w:p>
    <w:p w14:paraId="76B7C0CA">
      <w:pPr>
        <w:widowControl w:val="0"/>
        <w:spacing w:line="440" w:lineRule="exact"/>
        <w:jc w:val="both"/>
        <w:outlineLvl w:val="1"/>
        <w:rPr>
          <w:rFonts w:ascii="Times New Roman" w:hAnsi="Times New Roman" w:cs="Times New Roman"/>
          <w:color w:val="auto"/>
          <w:w w:val="99"/>
          <w:highlight w:val="none"/>
          <w:lang w:bidi="zh-CN"/>
        </w:rPr>
      </w:pPr>
      <w:bookmarkStart w:id="1371" w:name="_Toc19222"/>
      <w:bookmarkStart w:id="1372" w:name="_Toc173163575"/>
      <w:r>
        <w:rPr>
          <w:rFonts w:hint="eastAsia" w:ascii="Times New Roman" w:hAnsi="Times New Roman" w:cs="Times New Roman"/>
          <w:color w:val="auto"/>
          <w:w w:val="99"/>
          <w:highlight w:val="none"/>
          <w:lang w:bidi="zh-CN"/>
        </w:rPr>
        <w:t>附表3：建设项目土壤环境影响评价自查表</w:t>
      </w:r>
      <w:bookmarkEnd w:id="1371"/>
      <w:bookmarkEnd w:id="1372"/>
    </w:p>
    <w:tbl>
      <w:tblPr>
        <w:tblStyle w:val="81"/>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
        <w:gridCol w:w="1663"/>
        <w:gridCol w:w="1000"/>
        <w:gridCol w:w="334"/>
        <w:gridCol w:w="1317"/>
        <w:gridCol w:w="1316"/>
        <w:gridCol w:w="577"/>
        <w:gridCol w:w="1312"/>
        <w:gridCol w:w="1101"/>
      </w:tblGrid>
      <w:tr w14:paraId="5BA6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4" w:type="dxa"/>
            <w:gridSpan w:val="2"/>
            <w:vAlign w:val="center"/>
          </w:tcPr>
          <w:p w14:paraId="026BFA0D">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工作内容</w:t>
            </w:r>
          </w:p>
        </w:tc>
        <w:tc>
          <w:tcPr>
            <w:tcW w:w="5856" w:type="dxa"/>
            <w:gridSpan w:val="6"/>
            <w:vAlign w:val="center"/>
          </w:tcPr>
          <w:p w14:paraId="03647129">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完成情况</w:t>
            </w:r>
          </w:p>
        </w:tc>
        <w:tc>
          <w:tcPr>
            <w:tcW w:w="1101" w:type="dxa"/>
            <w:vAlign w:val="center"/>
          </w:tcPr>
          <w:p w14:paraId="3F55DA5C">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备注</w:t>
            </w:r>
          </w:p>
        </w:tc>
      </w:tr>
      <w:tr w14:paraId="3C353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restart"/>
            <w:vAlign w:val="center"/>
          </w:tcPr>
          <w:p w14:paraId="288115D3">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影</w:t>
            </w:r>
          </w:p>
          <w:p w14:paraId="7B2EFBE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响</w:t>
            </w:r>
          </w:p>
          <w:p w14:paraId="54825B8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识</w:t>
            </w:r>
          </w:p>
          <w:p w14:paraId="27FE3411">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别</w:t>
            </w:r>
          </w:p>
        </w:tc>
        <w:tc>
          <w:tcPr>
            <w:tcW w:w="1663" w:type="dxa"/>
            <w:vAlign w:val="center"/>
          </w:tcPr>
          <w:p w14:paraId="5E204AD6">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影响类型</w:t>
            </w:r>
          </w:p>
        </w:tc>
        <w:tc>
          <w:tcPr>
            <w:tcW w:w="5856" w:type="dxa"/>
            <w:gridSpan w:val="6"/>
            <w:vAlign w:val="center"/>
          </w:tcPr>
          <w:p w14:paraId="17E3EBB5">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污染影响型</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kern w:val="21"/>
                <w:sz w:val="21"/>
                <w:szCs w:val="21"/>
                <w:highlight w:val="none"/>
              </w:rPr>
              <w:t>；生态影响型□；两种兼有□</w:t>
            </w:r>
          </w:p>
        </w:tc>
        <w:tc>
          <w:tcPr>
            <w:tcW w:w="1101" w:type="dxa"/>
            <w:vAlign w:val="center"/>
          </w:tcPr>
          <w:p w14:paraId="1DD62AD0">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222E9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61E19905">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26B84AAE">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土地利用类型</w:t>
            </w:r>
          </w:p>
        </w:tc>
        <w:tc>
          <w:tcPr>
            <w:tcW w:w="5856" w:type="dxa"/>
            <w:gridSpan w:val="6"/>
            <w:vAlign w:val="center"/>
          </w:tcPr>
          <w:p w14:paraId="0715C457">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建设用地</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kern w:val="21"/>
                <w:sz w:val="21"/>
                <w:szCs w:val="21"/>
                <w:highlight w:val="none"/>
              </w:rPr>
              <w:t>；农用地</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kern w:val="21"/>
                <w:sz w:val="21"/>
                <w:szCs w:val="21"/>
                <w:highlight w:val="none"/>
              </w:rPr>
              <w:t>；未利用地□</w:t>
            </w:r>
          </w:p>
        </w:tc>
        <w:tc>
          <w:tcPr>
            <w:tcW w:w="1101" w:type="dxa"/>
            <w:vAlign w:val="center"/>
          </w:tcPr>
          <w:p w14:paraId="6919E9E3">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土地利用类型图</w:t>
            </w:r>
          </w:p>
        </w:tc>
      </w:tr>
      <w:tr w14:paraId="575D9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6F72A1DB">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1BB8458C">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占地规模</w:t>
            </w:r>
          </w:p>
        </w:tc>
        <w:tc>
          <w:tcPr>
            <w:tcW w:w="5856" w:type="dxa"/>
            <w:gridSpan w:val="6"/>
            <w:vAlign w:val="center"/>
          </w:tcPr>
          <w:p w14:paraId="0750D06C">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w:t>
            </w:r>
            <w:r>
              <w:rPr>
                <w:rFonts w:hint="eastAsia" w:ascii="Times New Roman" w:hAnsi="Times New Roman" w:cs="Times New Roman" w:eastAsiaTheme="minorEastAsia"/>
                <w:bCs/>
                <w:color w:val="auto"/>
                <w:w w:val="99"/>
                <w:kern w:val="21"/>
                <w:sz w:val="21"/>
                <w:szCs w:val="21"/>
                <w:highlight w:val="none"/>
              </w:rPr>
              <w:t>0.0901</w:t>
            </w:r>
            <w:r>
              <w:rPr>
                <w:rFonts w:ascii="Times New Roman" w:hAnsi="Times New Roman" w:cs="Times New Roman" w:eastAsiaTheme="minorEastAsia"/>
                <w:color w:val="auto"/>
                <w:w w:val="99"/>
                <w:kern w:val="21"/>
                <w:sz w:val="21"/>
                <w:szCs w:val="21"/>
                <w:highlight w:val="none"/>
              </w:rPr>
              <w:t>）hm</w:t>
            </w:r>
            <w:r>
              <w:rPr>
                <w:rFonts w:ascii="Times New Roman" w:hAnsi="Times New Roman" w:cs="Times New Roman" w:eastAsiaTheme="minorEastAsia"/>
                <w:color w:val="auto"/>
                <w:w w:val="99"/>
                <w:kern w:val="21"/>
                <w:sz w:val="21"/>
                <w:szCs w:val="21"/>
                <w:highlight w:val="none"/>
                <w:vertAlign w:val="superscript"/>
              </w:rPr>
              <w:t>2</w:t>
            </w:r>
          </w:p>
        </w:tc>
        <w:tc>
          <w:tcPr>
            <w:tcW w:w="1101" w:type="dxa"/>
            <w:vAlign w:val="center"/>
          </w:tcPr>
          <w:p w14:paraId="42587A6E">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29916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3C159683">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233BEE0B">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敏感目标信息</w:t>
            </w:r>
          </w:p>
        </w:tc>
        <w:tc>
          <w:tcPr>
            <w:tcW w:w="5856" w:type="dxa"/>
            <w:gridSpan w:val="6"/>
            <w:vAlign w:val="center"/>
          </w:tcPr>
          <w:p w14:paraId="4D27D64A">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敏感目标（）、方位（）、距离（）</w:t>
            </w:r>
          </w:p>
        </w:tc>
        <w:tc>
          <w:tcPr>
            <w:tcW w:w="1101" w:type="dxa"/>
            <w:vAlign w:val="center"/>
          </w:tcPr>
          <w:p w14:paraId="0C54BADD">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434D0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4AE6536A">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011AEE11">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影响途径</w:t>
            </w:r>
          </w:p>
        </w:tc>
        <w:tc>
          <w:tcPr>
            <w:tcW w:w="5856" w:type="dxa"/>
            <w:gridSpan w:val="6"/>
            <w:vAlign w:val="center"/>
          </w:tcPr>
          <w:p w14:paraId="012BAC84">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大气沉降□；地面漫流□；垂直入渗</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kern w:val="21"/>
                <w:sz w:val="21"/>
                <w:szCs w:val="21"/>
                <w:highlight w:val="none"/>
              </w:rPr>
              <w:t>；地下水位□；其他</w:t>
            </w:r>
            <w:r>
              <w:rPr>
                <w:rFonts w:ascii="Times New Roman" w:hAnsi="Times New Roman" w:cs="Times New Roman" w:eastAsiaTheme="minorEastAsia"/>
                <w:color w:val="auto"/>
                <w:w w:val="99"/>
                <w:kern w:val="21"/>
                <w:sz w:val="21"/>
                <w:szCs w:val="21"/>
                <w:highlight w:val="none"/>
              </w:rPr>
              <w:sym w:font="Wingdings" w:char="00A8"/>
            </w:r>
          </w:p>
        </w:tc>
        <w:tc>
          <w:tcPr>
            <w:tcW w:w="1101" w:type="dxa"/>
            <w:vAlign w:val="center"/>
          </w:tcPr>
          <w:p w14:paraId="0385E91F">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31BC0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7DF22C47">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4E998BEA">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特征因子</w:t>
            </w:r>
          </w:p>
        </w:tc>
        <w:tc>
          <w:tcPr>
            <w:tcW w:w="5856" w:type="dxa"/>
            <w:gridSpan w:val="6"/>
            <w:vAlign w:val="center"/>
          </w:tcPr>
          <w:p w14:paraId="73996E0A">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石油烃</w:t>
            </w:r>
          </w:p>
        </w:tc>
        <w:tc>
          <w:tcPr>
            <w:tcW w:w="1101" w:type="dxa"/>
            <w:vAlign w:val="center"/>
          </w:tcPr>
          <w:p w14:paraId="601F7443">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56EA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15701FF0">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0985F84F">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土壤环境影响评价项目类别</w:t>
            </w:r>
          </w:p>
        </w:tc>
        <w:tc>
          <w:tcPr>
            <w:tcW w:w="5856" w:type="dxa"/>
            <w:gridSpan w:val="6"/>
            <w:vAlign w:val="center"/>
          </w:tcPr>
          <w:p w14:paraId="73939210">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color w:val="auto"/>
                <w:w w:val="99"/>
                <w:kern w:val="21"/>
                <w:sz w:val="21"/>
                <w:szCs w:val="21"/>
                <w:highlight w:val="none"/>
              </w:rPr>
              <w:t>Ⅰ</w:t>
            </w:r>
            <w:r>
              <w:rPr>
                <w:rFonts w:ascii="Times New Roman" w:hAnsi="Times New Roman" w:cs="Times New Roman" w:eastAsiaTheme="minorEastAsia"/>
                <w:color w:val="auto"/>
                <w:w w:val="99"/>
                <w:kern w:val="21"/>
                <w:sz w:val="21"/>
                <w:szCs w:val="21"/>
                <w:highlight w:val="none"/>
              </w:rPr>
              <w:t>类</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kern w:val="21"/>
                <w:sz w:val="21"/>
                <w:szCs w:val="21"/>
                <w:highlight w:val="none"/>
              </w:rPr>
              <w:t>；</w:t>
            </w:r>
            <w:r>
              <w:rPr>
                <w:rFonts w:ascii="Times New Roman" w:hAnsi="Times New Roman" w:cs="Times New Roman"/>
                <w:color w:val="auto"/>
                <w:w w:val="99"/>
                <w:kern w:val="21"/>
                <w:sz w:val="21"/>
                <w:szCs w:val="21"/>
                <w:highlight w:val="none"/>
              </w:rPr>
              <w:t>Ⅱ</w:t>
            </w:r>
            <w:r>
              <w:rPr>
                <w:rFonts w:ascii="Times New Roman" w:hAnsi="Times New Roman" w:cs="Times New Roman" w:eastAsiaTheme="minorEastAsia"/>
                <w:color w:val="auto"/>
                <w:w w:val="99"/>
                <w:kern w:val="21"/>
                <w:sz w:val="21"/>
                <w:szCs w:val="21"/>
                <w:highlight w:val="none"/>
              </w:rPr>
              <w:t>类□；</w:t>
            </w:r>
            <w:r>
              <w:rPr>
                <w:rFonts w:ascii="Times New Roman" w:hAnsi="Times New Roman" w:cs="Times New Roman"/>
                <w:color w:val="auto"/>
                <w:w w:val="99"/>
                <w:kern w:val="21"/>
                <w:sz w:val="21"/>
                <w:szCs w:val="21"/>
                <w:highlight w:val="none"/>
              </w:rPr>
              <w:t>Ⅲ</w:t>
            </w:r>
            <w:r>
              <w:rPr>
                <w:rFonts w:ascii="Times New Roman" w:hAnsi="Times New Roman" w:cs="Times New Roman" w:eastAsiaTheme="minorEastAsia"/>
                <w:color w:val="auto"/>
                <w:w w:val="99"/>
                <w:kern w:val="21"/>
                <w:sz w:val="21"/>
                <w:szCs w:val="21"/>
                <w:highlight w:val="none"/>
              </w:rPr>
              <w:t>类□；</w:t>
            </w:r>
            <w:r>
              <w:rPr>
                <w:rFonts w:ascii="Times New Roman" w:hAnsi="Times New Roman" w:cs="Times New Roman"/>
                <w:color w:val="auto"/>
                <w:w w:val="99"/>
                <w:kern w:val="21"/>
                <w:sz w:val="21"/>
                <w:szCs w:val="21"/>
                <w:highlight w:val="none"/>
              </w:rPr>
              <w:t>Ⅳ</w:t>
            </w:r>
            <w:r>
              <w:rPr>
                <w:rFonts w:ascii="Times New Roman" w:hAnsi="Times New Roman" w:cs="Times New Roman" w:eastAsiaTheme="minorEastAsia"/>
                <w:color w:val="auto"/>
                <w:w w:val="99"/>
                <w:kern w:val="21"/>
                <w:sz w:val="21"/>
                <w:szCs w:val="21"/>
                <w:highlight w:val="none"/>
              </w:rPr>
              <w:t>类□</w:t>
            </w:r>
          </w:p>
        </w:tc>
        <w:tc>
          <w:tcPr>
            <w:tcW w:w="1101" w:type="dxa"/>
            <w:vAlign w:val="center"/>
          </w:tcPr>
          <w:p w14:paraId="7F5765D2">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51021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70C512D4">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537039DD">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敏感程度</w:t>
            </w:r>
          </w:p>
        </w:tc>
        <w:tc>
          <w:tcPr>
            <w:tcW w:w="5856" w:type="dxa"/>
            <w:gridSpan w:val="6"/>
            <w:vAlign w:val="center"/>
          </w:tcPr>
          <w:p w14:paraId="1368AE07">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敏感</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kern w:val="21"/>
                <w:sz w:val="21"/>
                <w:szCs w:val="21"/>
                <w:highlight w:val="none"/>
              </w:rPr>
              <w:t>；较敏感□；不敏感□</w:t>
            </w:r>
          </w:p>
        </w:tc>
        <w:tc>
          <w:tcPr>
            <w:tcW w:w="1101" w:type="dxa"/>
            <w:vAlign w:val="center"/>
          </w:tcPr>
          <w:p w14:paraId="31E8F4BF">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544EF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4" w:type="dxa"/>
            <w:gridSpan w:val="2"/>
            <w:vAlign w:val="center"/>
          </w:tcPr>
          <w:p w14:paraId="576D5FA8">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评价工作等级</w:t>
            </w:r>
          </w:p>
        </w:tc>
        <w:tc>
          <w:tcPr>
            <w:tcW w:w="5856" w:type="dxa"/>
            <w:gridSpan w:val="6"/>
            <w:vAlign w:val="center"/>
          </w:tcPr>
          <w:p w14:paraId="19FB9E41">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一级</w:t>
            </w:r>
            <w:r>
              <w:rPr>
                <w:rFonts w:ascii="Times New Roman" w:hAnsi="Times New Roman" w:cs="Times New Roman" w:eastAsiaTheme="minorEastAsia"/>
                <w:color w:val="auto"/>
                <w:w w:val="99"/>
                <w:kern w:val="21"/>
                <w:sz w:val="21"/>
                <w:szCs w:val="21"/>
                <w:highlight w:val="none"/>
              </w:rPr>
              <w:sym w:font="Wingdings" w:char="00A8"/>
            </w:r>
            <w:r>
              <w:rPr>
                <w:rFonts w:ascii="Times New Roman" w:hAnsi="Times New Roman" w:cs="Times New Roman" w:eastAsiaTheme="minorEastAsia"/>
                <w:color w:val="auto"/>
                <w:w w:val="99"/>
                <w:kern w:val="21"/>
                <w:sz w:val="21"/>
                <w:szCs w:val="21"/>
                <w:highlight w:val="none"/>
              </w:rPr>
              <w:t>；二级</w:t>
            </w:r>
            <w:r>
              <w:rPr>
                <w:rFonts w:hint="eastAsia" w:ascii="Times New Roman" w:hAnsi="Times New Roman" w:cs="Times New Roman" w:eastAsiaTheme="minor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t>；三级□</w:t>
            </w:r>
          </w:p>
        </w:tc>
        <w:tc>
          <w:tcPr>
            <w:tcW w:w="1101" w:type="dxa"/>
            <w:vAlign w:val="center"/>
          </w:tcPr>
          <w:p w14:paraId="64F2DE81">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7D0A5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restart"/>
            <w:vAlign w:val="center"/>
          </w:tcPr>
          <w:p w14:paraId="73AF5C1B">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现</w:t>
            </w:r>
          </w:p>
          <w:p w14:paraId="296D6B20">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状</w:t>
            </w:r>
          </w:p>
          <w:p w14:paraId="65B3731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调</w:t>
            </w:r>
          </w:p>
          <w:p w14:paraId="3052B8E8">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查内容</w:t>
            </w:r>
          </w:p>
        </w:tc>
        <w:tc>
          <w:tcPr>
            <w:tcW w:w="1663" w:type="dxa"/>
            <w:vAlign w:val="center"/>
          </w:tcPr>
          <w:p w14:paraId="708C72AC">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资料收集</w:t>
            </w:r>
          </w:p>
        </w:tc>
        <w:tc>
          <w:tcPr>
            <w:tcW w:w="5856" w:type="dxa"/>
            <w:gridSpan w:val="6"/>
            <w:vAlign w:val="center"/>
          </w:tcPr>
          <w:p w14:paraId="57181AE2">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a）</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kern w:val="21"/>
                <w:sz w:val="21"/>
                <w:szCs w:val="21"/>
                <w:highlight w:val="none"/>
              </w:rPr>
              <w:t>；b）</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kern w:val="21"/>
                <w:sz w:val="21"/>
                <w:szCs w:val="21"/>
                <w:highlight w:val="none"/>
              </w:rPr>
              <w:t>；d）</w:t>
            </w:r>
            <w:r>
              <w:rPr>
                <w:rFonts w:ascii="Times New Roman" w:hAnsi="Times New Roman" w:cs="Times New Roman" w:eastAsiaTheme="minorEastAsia"/>
                <w:color w:val="auto"/>
                <w:w w:val="99"/>
                <w:kern w:val="21"/>
                <w:sz w:val="21"/>
                <w:szCs w:val="21"/>
                <w:highlight w:val="none"/>
              </w:rPr>
              <w:sym w:font="Wingdings" w:char="00FE"/>
            </w:r>
          </w:p>
        </w:tc>
        <w:tc>
          <w:tcPr>
            <w:tcW w:w="1101" w:type="dxa"/>
            <w:vAlign w:val="center"/>
          </w:tcPr>
          <w:p w14:paraId="52CC273E">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2E6D3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11008409">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5BD60E15">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理化特性</w:t>
            </w:r>
          </w:p>
        </w:tc>
        <w:tc>
          <w:tcPr>
            <w:tcW w:w="5856" w:type="dxa"/>
            <w:gridSpan w:val="6"/>
            <w:vAlign w:val="center"/>
          </w:tcPr>
          <w:p w14:paraId="3DE71A0A">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w:t>
            </w:r>
          </w:p>
        </w:tc>
        <w:tc>
          <w:tcPr>
            <w:tcW w:w="1101" w:type="dxa"/>
            <w:vAlign w:val="center"/>
          </w:tcPr>
          <w:p w14:paraId="65DEC660">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见5.8</w:t>
            </w:r>
          </w:p>
        </w:tc>
      </w:tr>
      <w:tr w14:paraId="055CF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2F8D8350">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Merge w:val="restart"/>
            <w:vAlign w:val="center"/>
          </w:tcPr>
          <w:p w14:paraId="62F36F2C">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现状监测点位</w:t>
            </w:r>
          </w:p>
        </w:tc>
        <w:tc>
          <w:tcPr>
            <w:tcW w:w="1334" w:type="dxa"/>
            <w:gridSpan w:val="2"/>
            <w:vAlign w:val="center"/>
          </w:tcPr>
          <w:p w14:paraId="2FFCE664">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317" w:type="dxa"/>
            <w:vAlign w:val="center"/>
          </w:tcPr>
          <w:p w14:paraId="141F6A6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占地范围内</w:t>
            </w:r>
          </w:p>
        </w:tc>
        <w:tc>
          <w:tcPr>
            <w:tcW w:w="1316" w:type="dxa"/>
            <w:vAlign w:val="center"/>
          </w:tcPr>
          <w:p w14:paraId="14412C90">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占地范围外</w:t>
            </w:r>
          </w:p>
        </w:tc>
        <w:tc>
          <w:tcPr>
            <w:tcW w:w="1889" w:type="dxa"/>
            <w:gridSpan w:val="2"/>
            <w:vAlign w:val="center"/>
          </w:tcPr>
          <w:p w14:paraId="23574690">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深度</w:t>
            </w:r>
          </w:p>
        </w:tc>
        <w:tc>
          <w:tcPr>
            <w:tcW w:w="1101" w:type="dxa"/>
            <w:vMerge w:val="restart"/>
            <w:vAlign w:val="center"/>
          </w:tcPr>
          <w:p w14:paraId="663AC945">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点位</w:t>
            </w:r>
          </w:p>
          <w:p w14:paraId="7848366D">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布置图</w:t>
            </w:r>
          </w:p>
        </w:tc>
      </w:tr>
      <w:tr w14:paraId="0059D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5A580D57">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Merge w:val="continue"/>
            <w:vAlign w:val="center"/>
          </w:tcPr>
          <w:p w14:paraId="7F049A6B">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334" w:type="dxa"/>
            <w:gridSpan w:val="2"/>
            <w:vAlign w:val="center"/>
          </w:tcPr>
          <w:p w14:paraId="6EA4F693">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表层样点数</w:t>
            </w:r>
          </w:p>
        </w:tc>
        <w:tc>
          <w:tcPr>
            <w:tcW w:w="1317" w:type="dxa"/>
            <w:vAlign w:val="center"/>
          </w:tcPr>
          <w:p w14:paraId="49946169">
            <w:pPr>
              <w:widowControl w:val="0"/>
              <w:spacing w:line="280" w:lineRule="exact"/>
              <w:jc w:val="center"/>
              <w:rPr>
                <w:rFonts w:hint="eastAsia" w:ascii="Times New Roman" w:hAnsi="Times New Roman" w:cs="Times New Roman" w:eastAsiaTheme="minorEastAsia"/>
                <w:color w:val="auto"/>
                <w:w w:val="99"/>
                <w:kern w:val="21"/>
                <w:sz w:val="21"/>
                <w:szCs w:val="21"/>
                <w:highlight w:val="none"/>
                <w:lang w:eastAsia="zh-CN"/>
              </w:rPr>
            </w:pPr>
            <w:r>
              <w:rPr>
                <w:rFonts w:hint="eastAsia" w:ascii="Times New Roman" w:hAnsi="Times New Roman" w:cs="Times New Roman" w:eastAsiaTheme="minorEastAsia"/>
                <w:color w:val="auto"/>
                <w:w w:val="99"/>
                <w:kern w:val="21"/>
                <w:sz w:val="21"/>
                <w:szCs w:val="21"/>
                <w:highlight w:val="none"/>
                <w:lang w:val="en-US" w:eastAsia="zh-CN"/>
              </w:rPr>
              <w:t>1</w:t>
            </w:r>
          </w:p>
        </w:tc>
        <w:tc>
          <w:tcPr>
            <w:tcW w:w="1316" w:type="dxa"/>
            <w:vAlign w:val="center"/>
          </w:tcPr>
          <w:p w14:paraId="5C69C44C">
            <w:pPr>
              <w:widowControl w:val="0"/>
              <w:spacing w:line="280" w:lineRule="exact"/>
              <w:jc w:val="center"/>
              <w:rPr>
                <w:rFonts w:hint="eastAsia" w:ascii="Times New Roman" w:hAnsi="Times New Roman" w:cs="Times New Roman" w:eastAsiaTheme="minorEastAsia"/>
                <w:color w:val="auto"/>
                <w:w w:val="99"/>
                <w:kern w:val="21"/>
                <w:sz w:val="21"/>
                <w:szCs w:val="21"/>
                <w:highlight w:val="none"/>
                <w:lang w:eastAsia="zh-CN"/>
              </w:rPr>
            </w:pPr>
            <w:r>
              <w:rPr>
                <w:rFonts w:hint="eastAsia" w:ascii="Times New Roman" w:hAnsi="Times New Roman" w:cs="Times New Roman" w:eastAsiaTheme="minorEastAsia"/>
                <w:color w:val="auto"/>
                <w:w w:val="99"/>
                <w:kern w:val="21"/>
                <w:sz w:val="21"/>
                <w:szCs w:val="21"/>
                <w:highlight w:val="none"/>
                <w:lang w:val="en-US" w:eastAsia="zh-CN"/>
              </w:rPr>
              <w:t>2</w:t>
            </w:r>
          </w:p>
        </w:tc>
        <w:tc>
          <w:tcPr>
            <w:tcW w:w="1889" w:type="dxa"/>
            <w:gridSpan w:val="2"/>
            <w:vAlign w:val="center"/>
          </w:tcPr>
          <w:p w14:paraId="609C7891">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0-20cm</w:t>
            </w:r>
          </w:p>
        </w:tc>
        <w:tc>
          <w:tcPr>
            <w:tcW w:w="1101" w:type="dxa"/>
            <w:vMerge w:val="continue"/>
            <w:vAlign w:val="center"/>
          </w:tcPr>
          <w:p w14:paraId="6DCA2E29">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74C65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10F80E1D">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Merge w:val="continue"/>
            <w:vAlign w:val="center"/>
          </w:tcPr>
          <w:p w14:paraId="17421EA5">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334" w:type="dxa"/>
            <w:gridSpan w:val="2"/>
            <w:vAlign w:val="center"/>
          </w:tcPr>
          <w:p w14:paraId="5E9E52F3">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柱状样点数</w:t>
            </w:r>
          </w:p>
        </w:tc>
        <w:tc>
          <w:tcPr>
            <w:tcW w:w="1317" w:type="dxa"/>
            <w:vAlign w:val="center"/>
          </w:tcPr>
          <w:p w14:paraId="7AE10A59">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3</w:t>
            </w:r>
          </w:p>
        </w:tc>
        <w:tc>
          <w:tcPr>
            <w:tcW w:w="1316" w:type="dxa"/>
            <w:vAlign w:val="center"/>
          </w:tcPr>
          <w:p w14:paraId="2656F51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0</w:t>
            </w:r>
          </w:p>
        </w:tc>
        <w:tc>
          <w:tcPr>
            <w:tcW w:w="1889" w:type="dxa"/>
            <w:gridSpan w:val="2"/>
            <w:vAlign w:val="center"/>
          </w:tcPr>
          <w:p w14:paraId="71053776">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0-50cm</w:t>
            </w:r>
          </w:p>
          <w:p w14:paraId="702DAE56">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50-150cm</w:t>
            </w:r>
          </w:p>
          <w:p w14:paraId="23861ED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150-300cm</w:t>
            </w:r>
          </w:p>
        </w:tc>
        <w:tc>
          <w:tcPr>
            <w:tcW w:w="1101" w:type="dxa"/>
            <w:vMerge w:val="continue"/>
            <w:vAlign w:val="center"/>
          </w:tcPr>
          <w:p w14:paraId="6B59F2D9">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371C3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785FC377">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0CDA955C">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现状监测因子</w:t>
            </w:r>
          </w:p>
        </w:tc>
        <w:tc>
          <w:tcPr>
            <w:tcW w:w="5856" w:type="dxa"/>
            <w:gridSpan w:val="6"/>
            <w:vAlign w:val="center"/>
          </w:tcPr>
          <w:p w14:paraId="38A097E7">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50项（包括建设用地土壤基本项目45项，其他项目石油烃（C</w:t>
            </w:r>
            <w:r>
              <w:rPr>
                <w:rFonts w:ascii="Times New Roman" w:hAnsi="Times New Roman" w:cs="Times New Roman" w:eastAsiaTheme="minorEastAsia"/>
                <w:color w:val="auto"/>
                <w:w w:val="99"/>
                <w:kern w:val="21"/>
                <w:sz w:val="21"/>
                <w:szCs w:val="21"/>
                <w:highlight w:val="none"/>
                <w:vertAlign w:val="subscript"/>
              </w:rPr>
              <w:t>10</w:t>
            </w: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40</w:t>
            </w:r>
            <w:r>
              <w:rPr>
                <w:rFonts w:ascii="Times New Roman" w:hAnsi="Times New Roman" w:cs="Times New Roman" w:eastAsiaTheme="minorEastAsia"/>
                <w:color w:val="auto"/>
                <w:w w:val="99"/>
                <w:kern w:val="21"/>
                <w:sz w:val="21"/>
                <w:szCs w:val="21"/>
                <w:highlight w:val="none"/>
              </w:rPr>
              <w:t>）及pH值、石油类、石油烃（C</w:t>
            </w:r>
            <w:r>
              <w:rPr>
                <w:rFonts w:ascii="Times New Roman" w:hAnsi="Times New Roman" w:cs="Times New Roman" w:eastAsiaTheme="minorEastAsia"/>
                <w:color w:val="auto"/>
                <w:w w:val="99"/>
                <w:kern w:val="21"/>
                <w:sz w:val="21"/>
                <w:szCs w:val="21"/>
                <w:highlight w:val="none"/>
                <w:vertAlign w:val="subscript"/>
              </w:rPr>
              <w:t>6</w:t>
            </w: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9</w:t>
            </w:r>
            <w:r>
              <w:rPr>
                <w:rFonts w:ascii="Times New Roman" w:hAnsi="Times New Roman" w:cs="Times New Roman" w:eastAsiaTheme="minorEastAsia"/>
                <w:color w:val="auto"/>
                <w:w w:val="99"/>
                <w:kern w:val="21"/>
                <w:sz w:val="21"/>
                <w:szCs w:val="21"/>
                <w:highlight w:val="none"/>
              </w:rPr>
              <w:t>）、水溶性盐总量）及农用地土壤监测项目（pH、镉、汞、砷、铅、铬、铜、镍、锌、石油烃（C</w:t>
            </w:r>
            <w:r>
              <w:rPr>
                <w:rFonts w:ascii="Times New Roman" w:hAnsi="Times New Roman" w:cs="Times New Roman" w:eastAsiaTheme="minorEastAsia"/>
                <w:color w:val="auto"/>
                <w:w w:val="99"/>
                <w:kern w:val="21"/>
                <w:sz w:val="21"/>
                <w:szCs w:val="21"/>
                <w:highlight w:val="none"/>
                <w:vertAlign w:val="subscript"/>
              </w:rPr>
              <w:t>10</w:t>
            </w: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40</w:t>
            </w:r>
            <w:r>
              <w:rPr>
                <w:rFonts w:ascii="Times New Roman" w:hAnsi="Times New Roman" w:cs="Times New Roman" w:eastAsiaTheme="minorEastAsia"/>
                <w:color w:val="auto"/>
                <w:w w:val="99"/>
                <w:kern w:val="21"/>
                <w:sz w:val="21"/>
                <w:szCs w:val="21"/>
                <w:highlight w:val="none"/>
              </w:rPr>
              <w:t>）、石油类、石油烃（C</w:t>
            </w:r>
            <w:r>
              <w:rPr>
                <w:rFonts w:ascii="Times New Roman" w:hAnsi="Times New Roman" w:cs="Times New Roman" w:eastAsiaTheme="minorEastAsia"/>
                <w:color w:val="auto"/>
                <w:w w:val="99"/>
                <w:kern w:val="21"/>
                <w:sz w:val="21"/>
                <w:szCs w:val="21"/>
                <w:highlight w:val="none"/>
                <w:vertAlign w:val="subscript"/>
              </w:rPr>
              <w:t>6</w:t>
            </w: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9</w:t>
            </w:r>
            <w:r>
              <w:rPr>
                <w:rFonts w:ascii="Times New Roman" w:hAnsi="Times New Roman" w:cs="Times New Roman" w:eastAsiaTheme="minorEastAsia"/>
                <w:color w:val="auto"/>
                <w:w w:val="99"/>
                <w:kern w:val="21"/>
                <w:sz w:val="21"/>
                <w:szCs w:val="21"/>
                <w:highlight w:val="none"/>
              </w:rPr>
              <w:t>）、水溶性盐总量）</w:t>
            </w:r>
          </w:p>
        </w:tc>
        <w:tc>
          <w:tcPr>
            <w:tcW w:w="1101" w:type="dxa"/>
            <w:vAlign w:val="center"/>
          </w:tcPr>
          <w:p w14:paraId="03F05C94">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63F11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restart"/>
            <w:vAlign w:val="center"/>
          </w:tcPr>
          <w:p w14:paraId="5164F0DF">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现状评价</w:t>
            </w:r>
          </w:p>
        </w:tc>
        <w:tc>
          <w:tcPr>
            <w:tcW w:w="1663" w:type="dxa"/>
            <w:vAlign w:val="center"/>
          </w:tcPr>
          <w:p w14:paraId="287973F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评价因子</w:t>
            </w:r>
          </w:p>
        </w:tc>
        <w:tc>
          <w:tcPr>
            <w:tcW w:w="5856" w:type="dxa"/>
            <w:gridSpan w:val="6"/>
            <w:vAlign w:val="center"/>
          </w:tcPr>
          <w:p w14:paraId="5662226B">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50项（包括建设用地土壤基本项目45项，其他项目石油烃（C</w:t>
            </w:r>
            <w:r>
              <w:rPr>
                <w:rFonts w:ascii="Times New Roman" w:hAnsi="Times New Roman" w:cs="Times New Roman" w:eastAsiaTheme="minorEastAsia"/>
                <w:color w:val="auto"/>
                <w:w w:val="99"/>
                <w:kern w:val="21"/>
                <w:sz w:val="21"/>
                <w:szCs w:val="21"/>
                <w:highlight w:val="none"/>
                <w:vertAlign w:val="subscript"/>
              </w:rPr>
              <w:t>10</w:t>
            </w: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40</w:t>
            </w:r>
            <w:r>
              <w:rPr>
                <w:rFonts w:ascii="Times New Roman" w:hAnsi="Times New Roman" w:cs="Times New Roman" w:eastAsiaTheme="minorEastAsia"/>
                <w:color w:val="auto"/>
                <w:w w:val="99"/>
                <w:kern w:val="21"/>
                <w:sz w:val="21"/>
                <w:szCs w:val="21"/>
                <w:highlight w:val="none"/>
              </w:rPr>
              <w:t>）及pH值、石油类、石油烃（C</w:t>
            </w:r>
            <w:r>
              <w:rPr>
                <w:rFonts w:ascii="Times New Roman" w:hAnsi="Times New Roman" w:cs="Times New Roman" w:eastAsiaTheme="minorEastAsia"/>
                <w:color w:val="auto"/>
                <w:w w:val="99"/>
                <w:kern w:val="21"/>
                <w:sz w:val="21"/>
                <w:szCs w:val="21"/>
                <w:highlight w:val="none"/>
                <w:vertAlign w:val="subscript"/>
              </w:rPr>
              <w:t>6</w:t>
            </w: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9</w:t>
            </w:r>
            <w:r>
              <w:rPr>
                <w:rFonts w:ascii="Times New Roman" w:hAnsi="Times New Roman" w:cs="Times New Roman" w:eastAsiaTheme="minorEastAsia"/>
                <w:color w:val="auto"/>
                <w:w w:val="99"/>
                <w:kern w:val="21"/>
                <w:sz w:val="21"/>
                <w:szCs w:val="21"/>
                <w:highlight w:val="none"/>
              </w:rPr>
              <w:t>）、水溶性盐总量）及农用地土壤监测项目（pH、镉、汞、砷、铅、铬、铜、镍、锌、石油烃（C</w:t>
            </w:r>
            <w:r>
              <w:rPr>
                <w:rFonts w:ascii="Times New Roman" w:hAnsi="Times New Roman" w:cs="Times New Roman" w:eastAsiaTheme="minorEastAsia"/>
                <w:color w:val="auto"/>
                <w:w w:val="99"/>
                <w:kern w:val="21"/>
                <w:sz w:val="21"/>
                <w:szCs w:val="21"/>
                <w:highlight w:val="none"/>
                <w:vertAlign w:val="subscript"/>
              </w:rPr>
              <w:t>10</w:t>
            </w: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40</w:t>
            </w:r>
            <w:r>
              <w:rPr>
                <w:rFonts w:ascii="Times New Roman" w:hAnsi="Times New Roman" w:cs="Times New Roman" w:eastAsiaTheme="minorEastAsia"/>
                <w:color w:val="auto"/>
                <w:w w:val="99"/>
                <w:kern w:val="21"/>
                <w:sz w:val="21"/>
                <w:szCs w:val="21"/>
                <w:highlight w:val="none"/>
              </w:rPr>
              <w:t>）、石油类、石油烃（C</w:t>
            </w:r>
            <w:r>
              <w:rPr>
                <w:rFonts w:ascii="Times New Roman" w:hAnsi="Times New Roman" w:cs="Times New Roman" w:eastAsiaTheme="minorEastAsia"/>
                <w:color w:val="auto"/>
                <w:w w:val="99"/>
                <w:kern w:val="21"/>
                <w:sz w:val="21"/>
                <w:szCs w:val="21"/>
                <w:highlight w:val="none"/>
                <w:vertAlign w:val="subscript"/>
              </w:rPr>
              <w:t>6</w:t>
            </w: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9</w:t>
            </w:r>
            <w:r>
              <w:rPr>
                <w:rFonts w:ascii="Times New Roman" w:hAnsi="Times New Roman" w:cs="Times New Roman" w:eastAsiaTheme="minorEastAsia"/>
                <w:color w:val="auto"/>
                <w:w w:val="99"/>
                <w:kern w:val="21"/>
                <w:sz w:val="21"/>
                <w:szCs w:val="21"/>
                <w:highlight w:val="none"/>
              </w:rPr>
              <w:t>）、水溶性盐总量）</w:t>
            </w:r>
          </w:p>
        </w:tc>
        <w:tc>
          <w:tcPr>
            <w:tcW w:w="1101" w:type="dxa"/>
            <w:vAlign w:val="center"/>
          </w:tcPr>
          <w:p w14:paraId="0DCF475A">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3E746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3236523F">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68FE17F2">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评价标准</w:t>
            </w:r>
          </w:p>
        </w:tc>
        <w:tc>
          <w:tcPr>
            <w:tcW w:w="5856" w:type="dxa"/>
            <w:gridSpan w:val="6"/>
            <w:vAlign w:val="center"/>
          </w:tcPr>
          <w:p w14:paraId="76E98FAE">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GB 15618</w:t>
            </w:r>
            <w:r>
              <w:rPr>
                <w:rFonts w:ascii="Segoe UI Symbol" w:hAnsi="Segoe UI Symbol" w:cs="Segoe UI Symbol" w:eastAsiaTheme="minor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t>；GB 36600</w:t>
            </w:r>
            <w:r>
              <w:rPr>
                <w:rFonts w:ascii="Segoe UI Symbol" w:hAnsi="Segoe UI Symbol" w:cs="Segoe UI Symbol" w:eastAsiaTheme="minor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t>；表D.1□；表D.2□；其他（）</w:t>
            </w:r>
          </w:p>
        </w:tc>
        <w:tc>
          <w:tcPr>
            <w:tcW w:w="1101" w:type="dxa"/>
            <w:vAlign w:val="center"/>
          </w:tcPr>
          <w:p w14:paraId="7939EE35">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30382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451" w:type="dxa"/>
            <w:vMerge w:val="continue"/>
            <w:vAlign w:val="center"/>
          </w:tcPr>
          <w:p w14:paraId="135E3D7F">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2169DA0D">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现状评价结论</w:t>
            </w:r>
          </w:p>
        </w:tc>
        <w:tc>
          <w:tcPr>
            <w:tcW w:w="5856" w:type="dxa"/>
            <w:gridSpan w:val="6"/>
            <w:vAlign w:val="center"/>
          </w:tcPr>
          <w:p w14:paraId="74DEDEF0">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本项目永久占地内土壤、现有井场及场站土壤、居民区土壤满足《土壤环境质量 建设用地土壤污染风险管控标准（试行）》（GB36600-2018）中的标准要求，评价范围内农用地土壤满足《土壤环境质量 农用地土壤污染风险管控标准（试行）》（GB15618-2018）中的标准要求。</w:t>
            </w:r>
          </w:p>
        </w:tc>
        <w:tc>
          <w:tcPr>
            <w:tcW w:w="1101" w:type="dxa"/>
            <w:vAlign w:val="center"/>
          </w:tcPr>
          <w:p w14:paraId="251BA290">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3D9EC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restart"/>
            <w:vAlign w:val="center"/>
          </w:tcPr>
          <w:p w14:paraId="764C7ED8">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影</w:t>
            </w:r>
          </w:p>
          <w:p w14:paraId="6FAB0C8B">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响</w:t>
            </w:r>
          </w:p>
          <w:p w14:paraId="100D15E1">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预</w:t>
            </w:r>
          </w:p>
          <w:p w14:paraId="610D0312">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测</w:t>
            </w:r>
          </w:p>
        </w:tc>
        <w:tc>
          <w:tcPr>
            <w:tcW w:w="1663" w:type="dxa"/>
            <w:vAlign w:val="center"/>
          </w:tcPr>
          <w:p w14:paraId="4B3BBB6E">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预测方法</w:t>
            </w:r>
          </w:p>
        </w:tc>
        <w:tc>
          <w:tcPr>
            <w:tcW w:w="5856" w:type="dxa"/>
            <w:gridSpan w:val="6"/>
            <w:vAlign w:val="center"/>
          </w:tcPr>
          <w:p w14:paraId="4D924865">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附录E□；附录F□；其他</w:t>
            </w:r>
            <w:r>
              <w:rPr>
                <w:rFonts w:ascii="Segoe UI Symbol" w:hAnsi="Segoe UI Symbol" w:cs="Segoe UI Symbol" w:eastAsiaTheme="minorEastAsia"/>
                <w:color w:val="auto"/>
                <w:w w:val="99"/>
                <w:kern w:val="21"/>
                <w:sz w:val="21"/>
                <w:szCs w:val="21"/>
                <w:highlight w:val="none"/>
              </w:rPr>
              <w:t>☑</w:t>
            </w:r>
          </w:p>
        </w:tc>
        <w:tc>
          <w:tcPr>
            <w:tcW w:w="1101" w:type="dxa"/>
            <w:vAlign w:val="center"/>
          </w:tcPr>
          <w:p w14:paraId="7FF037EF">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2F3C5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0F0EC56A">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44B836A5">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预测分析内容</w:t>
            </w:r>
          </w:p>
        </w:tc>
        <w:tc>
          <w:tcPr>
            <w:tcW w:w="5856" w:type="dxa"/>
            <w:gridSpan w:val="6"/>
            <w:vAlign w:val="center"/>
          </w:tcPr>
          <w:p w14:paraId="6A152830">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影响范围（）影响程度（）</w:t>
            </w:r>
          </w:p>
        </w:tc>
        <w:tc>
          <w:tcPr>
            <w:tcW w:w="1101" w:type="dxa"/>
            <w:vAlign w:val="center"/>
          </w:tcPr>
          <w:p w14:paraId="48B3A7E2">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5F74E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392B5A8E">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4F3DBBBF">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预测结论</w:t>
            </w:r>
          </w:p>
        </w:tc>
        <w:tc>
          <w:tcPr>
            <w:tcW w:w="5856" w:type="dxa"/>
            <w:gridSpan w:val="6"/>
            <w:vAlign w:val="center"/>
          </w:tcPr>
          <w:p w14:paraId="0E587724">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达标结论：a）</w:t>
            </w:r>
            <w:r>
              <w:rPr>
                <w:rFonts w:ascii="Segoe UI Symbol" w:hAnsi="Segoe UI Symbol" w:cs="Segoe UI Symbol" w:eastAsiaTheme="minor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t>；b）□；c）□</w:t>
            </w:r>
          </w:p>
          <w:p w14:paraId="72DF5101">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不达标结论：a）□；b）□</w:t>
            </w:r>
          </w:p>
        </w:tc>
        <w:tc>
          <w:tcPr>
            <w:tcW w:w="1101" w:type="dxa"/>
            <w:vAlign w:val="center"/>
          </w:tcPr>
          <w:p w14:paraId="7C3384A7">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2B1A3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restart"/>
            <w:vAlign w:val="center"/>
          </w:tcPr>
          <w:p w14:paraId="23B8268E">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防</w:t>
            </w:r>
          </w:p>
          <w:p w14:paraId="6AABECF3">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治</w:t>
            </w:r>
          </w:p>
          <w:p w14:paraId="60AE1E89">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措</w:t>
            </w:r>
          </w:p>
          <w:p w14:paraId="12D65C11">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施</w:t>
            </w:r>
          </w:p>
        </w:tc>
        <w:tc>
          <w:tcPr>
            <w:tcW w:w="1663" w:type="dxa"/>
            <w:vAlign w:val="center"/>
          </w:tcPr>
          <w:p w14:paraId="4496BA0A">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防控措施</w:t>
            </w:r>
          </w:p>
        </w:tc>
        <w:tc>
          <w:tcPr>
            <w:tcW w:w="5856" w:type="dxa"/>
            <w:gridSpan w:val="6"/>
            <w:vAlign w:val="center"/>
          </w:tcPr>
          <w:p w14:paraId="656BDE82">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土壤环境质量现状保障□；源头控制</w:t>
            </w:r>
            <w:r>
              <w:rPr>
                <w:rFonts w:ascii="Segoe UI Symbol" w:hAnsi="Segoe UI Symbol" w:cs="Segoe UI Symbol" w:eastAsiaTheme="minor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t>；过程防控</w:t>
            </w:r>
            <w:r>
              <w:rPr>
                <w:rFonts w:ascii="Segoe UI Symbol" w:hAnsi="Segoe UI Symbol" w:cs="Segoe UI Symbol" w:eastAsiaTheme="minor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t>；其他（跟踪监测）</w:t>
            </w:r>
          </w:p>
        </w:tc>
        <w:tc>
          <w:tcPr>
            <w:tcW w:w="1101" w:type="dxa"/>
            <w:vAlign w:val="center"/>
          </w:tcPr>
          <w:p w14:paraId="76440900">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3609F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276829E3">
            <w:pPr>
              <w:widowControl w:val="0"/>
              <w:spacing w:line="280" w:lineRule="exact"/>
              <w:jc w:val="both"/>
              <w:rPr>
                <w:rFonts w:ascii="Times New Roman" w:hAnsi="Times New Roman" w:cs="Times New Roman" w:eastAsiaTheme="minorEastAsia"/>
                <w:color w:val="auto"/>
                <w:w w:val="99"/>
                <w:kern w:val="21"/>
                <w:sz w:val="21"/>
                <w:szCs w:val="21"/>
                <w:highlight w:val="none"/>
              </w:rPr>
            </w:pPr>
          </w:p>
        </w:tc>
        <w:tc>
          <w:tcPr>
            <w:tcW w:w="1663" w:type="dxa"/>
            <w:vMerge w:val="restart"/>
            <w:vAlign w:val="center"/>
          </w:tcPr>
          <w:p w14:paraId="621BB0A5">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跟踪监测</w:t>
            </w:r>
          </w:p>
        </w:tc>
        <w:tc>
          <w:tcPr>
            <w:tcW w:w="1000" w:type="dxa"/>
            <w:vAlign w:val="center"/>
          </w:tcPr>
          <w:p w14:paraId="5B549935">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监测点数</w:t>
            </w:r>
          </w:p>
        </w:tc>
        <w:tc>
          <w:tcPr>
            <w:tcW w:w="3544" w:type="dxa"/>
            <w:gridSpan w:val="4"/>
            <w:vAlign w:val="center"/>
          </w:tcPr>
          <w:p w14:paraId="57867C5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监测指标</w:t>
            </w:r>
          </w:p>
        </w:tc>
        <w:tc>
          <w:tcPr>
            <w:tcW w:w="1312" w:type="dxa"/>
            <w:vAlign w:val="center"/>
          </w:tcPr>
          <w:p w14:paraId="5D5CF9A2">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监测频次</w:t>
            </w:r>
          </w:p>
        </w:tc>
        <w:tc>
          <w:tcPr>
            <w:tcW w:w="1101" w:type="dxa"/>
            <w:vAlign w:val="center"/>
          </w:tcPr>
          <w:p w14:paraId="52E1A87F">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40D5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378F9467">
            <w:pPr>
              <w:widowControl w:val="0"/>
              <w:spacing w:line="280" w:lineRule="exact"/>
              <w:jc w:val="both"/>
              <w:rPr>
                <w:rFonts w:ascii="Times New Roman" w:hAnsi="Times New Roman" w:cs="Times New Roman" w:eastAsiaTheme="minorEastAsia"/>
                <w:color w:val="auto"/>
                <w:w w:val="99"/>
                <w:kern w:val="21"/>
                <w:sz w:val="21"/>
                <w:szCs w:val="21"/>
                <w:highlight w:val="none"/>
              </w:rPr>
            </w:pPr>
          </w:p>
        </w:tc>
        <w:tc>
          <w:tcPr>
            <w:tcW w:w="1663" w:type="dxa"/>
            <w:vMerge w:val="continue"/>
            <w:vAlign w:val="center"/>
          </w:tcPr>
          <w:p w14:paraId="1A3D12F4">
            <w:pPr>
              <w:widowControl w:val="0"/>
              <w:spacing w:line="280" w:lineRule="exact"/>
              <w:jc w:val="both"/>
              <w:rPr>
                <w:rFonts w:ascii="Times New Roman" w:hAnsi="Times New Roman" w:cs="Times New Roman" w:eastAsiaTheme="minorEastAsia"/>
                <w:color w:val="auto"/>
                <w:w w:val="99"/>
                <w:kern w:val="21"/>
                <w:sz w:val="21"/>
                <w:szCs w:val="21"/>
                <w:highlight w:val="none"/>
              </w:rPr>
            </w:pPr>
          </w:p>
        </w:tc>
        <w:tc>
          <w:tcPr>
            <w:tcW w:w="1000" w:type="dxa"/>
            <w:vAlign w:val="center"/>
          </w:tcPr>
          <w:p w14:paraId="340CE4D2">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rPr>
              <w:t>2</w:t>
            </w:r>
          </w:p>
        </w:tc>
        <w:tc>
          <w:tcPr>
            <w:tcW w:w="3544" w:type="dxa"/>
            <w:gridSpan w:val="4"/>
            <w:vAlign w:val="center"/>
          </w:tcPr>
          <w:p w14:paraId="6DB31F62">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pH、石油类、石油烃（C</w:t>
            </w:r>
            <w:r>
              <w:rPr>
                <w:rFonts w:ascii="Times New Roman" w:hAnsi="Times New Roman" w:cs="Times New Roman" w:eastAsiaTheme="minorEastAsia"/>
                <w:color w:val="auto"/>
                <w:w w:val="99"/>
                <w:kern w:val="21"/>
                <w:sz w:val="21"/>
                <w:szCs w:val="21"/>
                <w:highlight w:val="none"/>
                <w:vertAlign w:val="subscript"/>
              </w:rPr>
              <w:t>6</w:t>
            </w: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9</w:t>
            </w:r>
            <w:r>
              <w:rPr>
                <w:rFonts w:ascii="Times New Roman" w:hAnsi="Times New Roman" w:cs="Times New Roman" w:eastAsiaTheme="minorEastAsia"/>
                <w:color w:val="auto"/>
                <w:w w:val="99"/>
                <w:kern w:val="21"/>
                <w:sz w:val="21"/>
                <w:szCs w:val="21"/>
                <w:highlight w:val="none"/>
              </w:rPr>
              <w:t>）、石油烃（C</w:t>
            </w:r>
            <w:r>
              <w:rPr>
                <w:rFonts w:ascii="Times New Roman" w:hAnsi="Times New Roman" w:cs="Times New Roman" w:eastAsiaTheme="minorEastAsia"/>
                <w:color w:val="auto"/>
                <w:w w:val="99"/>
                <w:kern w:val="21"/>
                <w:sz w:val="21"/>
                <w:szCs w:val="21"/>
                <w:highlight w:val="none"/>
                <w:vertAlign w:val="subscript"/>
              </w:rPr>
              <w:t>10</w:t>
            </w: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40</w:t>
            </w:r>
            <w:r>
              <w:rPr>
                <w:rFonts w:ascii="Times New Roman" w:hAnsi="Times New Roman" w:cs="Times New Roman" w:eastAsiaTheme="minorEastAsia"/>
                <w:color w:val="auto"/>
                <w:w w:val="99"/>
                <w:kern w:val="21"/>
                <w:sz w:val="21"/>
                <w:szCs w:val="21"/>
                <w:highlight w:val="none"/>
              </w:rPr>
              <w:t>）、汞、砷、六价铬</w:t>
            </w:r>
          </w:p>
        </w:tc>
        <w:tc>
          <w:tcPr>
            <w:tcW w:w="1312" w:type="dxa"/>
            <w:vAlign w:val="center"/>
          </w:tcPr>
          <w:p w14:paraId="0BC7DD4E">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1次/</w:t>
            </w:r>
            <w:r>
              <w:rPr>
                <w:rFonts w:hint="eastAsia" w:ascii="Times New Roman" w:hAnsi="Times New Roman" w:cs="Times New Roman" w:eastAsiaTheme="minorEastAsia"/>
                <w:color w:val="auto"/>
                <w:w w:val="99"/>
                <w:kern w:val="21"/>
                <w:sz w:val="21"/>
                <w:szCs w:val="21"/>
                <w:highlight w:val="none"/>
              </w:rPr>
              <w:t>5</w:t>
            </w:r>
            <w:r>
              <w:rPr>
                <w:rFonts w:ascii="Times New Roman" w:hAnsi="Times New Roman" w:cs="Times New Roman" w:eastAsiaTheme="minorEastAsia"/>
                <w:color w:val="auto"/>
                <w:w w:val="99"/>
                <w:kern w:val="21"/>
                <w:sz w:val="21"/>
                <w:szCs w:val="21"/>
                <w:highlight w:val="none"/>
              </w:rPr>
              <w:t>年</w:t>
            </w:r>
          </w:p>
        </w:tc>
        <w:tc>
          <w:tcPr>
            <w:tcW w:w="1101" w:type="dxa"/>
            <w:vAlign w:val="center"/>
          </w:tcPr>
          <w:p w14:paraId="0D819FA1">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43B1C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5C01FF6E">
            <w:pPr>
              <w:widowControl w:val="0"/>
              <w:spacing w:line="280" w:lineRule="exact"/>
              <w:jc w:val="both"/>
              <w:rPr>
                <w:rFonts w:ascii="Times New Roman" w:hAnsi="Times New Roman" w:cs="Times New Roman" w:eastAsiaTheme="minorEastAsia"/>
                <w:color w:val="auto"/>
                <w:w w:val="99"/>
                <w:kern w:val="21"/>
                <w:sz w:val="21"/>
                <w:szCs w:val="21"/>
                <w:highlight w:val="none"/>
              </w:rPr>
            </w:pPr>
          </w:p>
        </w:tc>
        <w:tc>
          <w:tcPr>
            <w:tcW w:w="1663" w:type="dxa"/>
            <w:vAlign w:val="center"/>
          </w:tcPr>
          <w:p w14:paraId="53B0F7FA">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信息公开指标</w:t>
            </w:r>
          </w:p>
        </w:tc>
        <w:tc>
          <w:tcPr>
            <w:tcW w:w="5856" w:type="dxa"/>
            <w:gridSpan w:val="6"/>
            <w:vAlign w:val="center"/>
          </w:tcPr>
          <w:p w14:paraId="47260391">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监测点位和监测值</w:t>
            </w:r>
          </w:p>
        </w:tc>
        <w:tc>
          <w:tcPr>
            <w:tcW w:w="1101" w:type="dxa"/>
            <w:vAlign w:val="center"/>
          </w:tcPr>
          <w:p w14:paraId="1863B209">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560F6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4" w:type="dxa"/>
            <w:gridSpan w:val="2"/>
            <w:vAlign w:val="center"/>
          </w:tcPr>
          <w:p w14:paraId="1720A801">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评价结论</w:t>
            </w:r>
          </w:p>
        </w:tc>
        <w:tc>
          <w:tcPr>
            <w:tcW w:w="5856" w:type="dxa"/>
            <w:gridSpan w:val="6"/>
            <w:vAlign w:val="center"/>
          </w:tcPr>
          <w:p w14:paraId="5AD9F6D1">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采取环评提出的措施，影响可接受</w:t>
            </w:r>
          </w:p>
        </w:tc>
        <w:tc>
          <w:tcPr>
            <w:tcW w:w="1101" w:type="dxa"/>
            <w:vAlign w:val="center"/>
          </w:tcPr>
          <w:p w14:paraId="76DEA290">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302D8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9071" w:type="dxa"/>
            <w:gridSpan w:val="9"/>
            <w:vAlign w:val="center"/>
          </w:tcPr>
          <w:p w14:paraId="288B55A7">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注1：“□”为勾选项，可√；“（ ）”为内容填写项；“备注”为其他补充内容。</w:t>
            </w:r>
          </w:p>
          <w:p w14:paraId="04619F6B">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注2：需要分别开展土壤环境影响评级工作的，分别填写自查表。</w:t>
            </w:r>
          </w:p>
        </w:tc>
      </w:tr>
    </w:tbl>
    <w:p w14:paraId="5D4A41B1">
      <w:pPr>
        <w:widowControl w:val="0"/>
        <w:spacing w:line="440" w:lineRule="exact"/>
        <w:jc w:val="both"/>
        <w:outlineLvl w:val="1"/>
        <w:rPr>
          <w:rFonts w:ascii="Times New Roman" w:hAnsi="Times New Roman" w:cs="Times New Roman"/>
          <w:color w:val="auto"/>
          <w:w w:val="99"/>
          <w:highlight w:val="none"/>
          <w:lang w:bidi="zh-CN"/>
        </w:rPr>
      </w:pPr>
      <w:bookmarkStart w:id="1373" w:name="_Toc13999"/>
      <w:bookmarkStart w:id="1374" w:name="_Toc173163576"/>
      <w:r>
        <w:rPr>
          <w:rFonts w:hint="eastAsia" w:ascii="Times New Roman" w:hAnsi="Times New Roman" w:cs="Times New Roman"/>
          <w:color w:val="auto"/>
          <w:w w:val="99"/>
          <w:highlight w:val="none"/>
          <w:lang w:bidi="zh-CN"/>
        </w:rPr>
        <w:t>附表4：地表水自查表</w:t>
      </w:r>
      <w:bookmarkEnd w:id="1373"/>
      <w:bookmarkEnd w:id="1374"/>
    </w:p>
    <w:tbl>
      <w:tblPr>
        <w:tblStyle w:val="8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
        <w:gridCol w:w="923"/>
        <w:gridCol w:w="1391"/>
        <w:gridCol w:w="617"/>
        <w:gridCol w:w="123"/>
        <w:gridCol w:w="496"/>
        <w:gridCol w:w="310"/>
        <w:gridCol w:w="1083"/>
        <w:gridCol w:w="617"/>
        <w:gridCol w:w="306"/>
        <w:gridCol w:w="310"/>
        <w:gridCol w:w="927"/>
        <w:gridCol w:w="165"/>
        <w:gridCol w:w="299"/>
        <w:gridCol w:w="1291"/>
      </w:tblGrid>
      <w:tr w14:paraId="1092A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8" w:type="pct"/>
            <w:gridSpan w:val="2"/>
            <w:vAlign w:val="center"/>
          </w:tcPr>
          <w:p w14:paraId="04C706E2">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工作内容</w:t>
            </w:r>
          </w:p>
        </w:tc>
        <w:tc>
          <w:tcPr>
            <w:tcW w:w="4272" w:type="pct"/>
            <w:gridSpan w:val="13"/>
            <w:vAlign w:val="center"/>
          </w:tcPr>
          <w:p w14:paraId="625FCEF0">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自查项目</w:t>
            </w:r>
          </w:p>
        </w:tc>
      </w:tr>
      <w:tr w14:paraId="1EBF2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restart"/>
            <w:vAlign w:val="center"/>
          </w:tcPr>
          <w:p w14:paraId="654107A9">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影</w:t>
            </w:r>
          </w:p>
          <w:p w14:paraId="0ACFD310">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响</w:t>
            </w:r>
          </w:p>
          <w:p w14:paraId="61E0B92B">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识</w:t>
            </w:r>
          </w:p>
          <w:p w14:paraId="052C94D8">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别</w:t>
            </w:r>
          </w:p>
        </w:tc>
        <w:tc>
          <w:tcPr>
            <w:tcW w:w="497" w:type="pct"/>
            <w:vAlign w:val="center"/>
          </w:tcPr>
          <w:p w14:paraId="1A56DD5D">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影响类型</w:t>
            </w:r>
          </w:p>
        </w:tc>
        <w:tc>
          <w:tcPr>
            <w:tcW w:w="4272" w:type="pct"/>
            <w:gridSpan w:val="13"/>
            <w:vAlign w:val="center"/>
          </w:tcPr>
          <w:p w14:paraId="117709C9">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水污染影响型√；水文要素影响型 □</w:t>
            </w:r>
          </w:p>
        </w:tc>
      </w:tr>
      <w:tr w14:paraId="63E2D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25FD7D67">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08C0A0CD">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水环境保护目标</w:t>
            </w:r>
          </w:p>
        </w:tc>
        <w:tc>
          <w:tcPr>
            <w:tcW w:w="4272" w:type="pct"/>
            <w:gridSpan w:val="13"/>
            <w:vAlign w:val="center"/>
          </w:tcPr>
          <w:p w14:paraId="60E59DC8">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饮用水水源保护区 □；饮用水取水口 □；涉水的自然保护区 □；重要湿地 □；重点保护与珍稀水生生物的栖息地 □；重要水生生物的自然产卵场及索饵场、越冬场和洄游通道、天然渔场等渔业水体 □；涉水的风景名胜区 □；其他 √</w:t>
            </w:r>
          </w:p>
        </w:tc>
      </w:tr>
      <w:tr w14:paraId="6A7CC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112547A6">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restart"/>
            <w:vAlign w:val="center"/>
          </w:tcPr>
          <w:p w14:paraId="5E3A5F9A">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影响途径</w:t>
            </w:r>
          </w:p>
        </w:tc>
        <w:tc>
          <w:tcPr>
            <w:tcW w:w="2163" w:type="pct"/>
            <w:gridSpan w:val="6"/>
            <w:vAlign w:val="center"/>
          </w:tcPr>
          <w:p w14:paraId="00728EE9">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水污染影响型</w:t>
            </w:r>
          </w:p>
        </w:tc>
        <w:tc>
          <w:tcPr>
            <w:tcW w:w="2109" w:type="pct"/>
            <w:gridSpan w:val="7"/>
            <w:vAlign w:val="center"/>
          </w:tcPr>
          <w:p w14:paraId="45E12CB4">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水文要素影响型</w:t>
            </w:r>
          </w:p>
        </w:tc>
      </w:tr>
      <w:tr w14:paraId="1E5FB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50077480">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continue"/>
            <w:vAlign w:val="center"/>
          </w:tcPr>
          <w:p w14:paraId="490D4058">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2163" w:type="pct"/>
            <w:gridSpan w:val="6"/>
            <w:vAlign w:val="center"/>
          </w:tcPr>
          <w:p w14:paraId="1C6A54C0">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直接排放 □；间接排放 □；其他√</w:t>
            </w:r>
          </w:p>
        </w:tc>
        <w:tc>
          <w:tcPr>
            <w:tcW w:w="2109" w:type="pct"/>
            <w:gridSpan w:val="7"/>
            <w:vAlign w:val="center"/>
          </w:tcPr>
          <w:p w14:paraId="364208FE">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水温 □；径流 □；水域面积 □</w:t>
            </w:r>
          </w:p>
        </w:tc>
      </w:tr>
      <w:tr w14:paraId="58DFB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590D223F">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67E7AD91">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影响因子</w:t>
            </w:r>
          </w:p>
        </w:tc>
        <w:tc>
          <w:tcPr>
            <w:tcW w:w="2163" w:type="pct"/>
            <w:gridSpan w:val="6"/>
            <w:vAlign w:val="center"/>
          </w:tcPr>
          <w:p w14:paraId="3DFA75FB">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持久性污染物 □；有毒有害污染物 □；非持久性污染物 □；pH 值 □；热污染 □；富营养化 □；其他 √</w:t>
            </w:r>
          </w:p>
        </w:tc>
        <w:tc>
          <w:tcPr>
            <w:tcW w:w="2109" w:type="pct"/>
            <w:gridSpan w:val="7"/>
            <w:vAlign w:val="center"/>
          </w:tcPr>
          <w:p w14:paraId="4C8D0403">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水温 □；水位（水深） □；流速□；流量 □；其他 □</w:t>
            </w:r>
          </w:p>
        </w:tc>
      </w:tr>
      <w:tr w14:paraId="1BFFC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8" w:type="pct"/>
            <w:gridSpan w:val="2"/>
            <w:vMerge w:val="restart"/>
            <w:vAlign w:val="center"/>
          </w:tcPr>
          <w:p w14:paraId="1A1BE618">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评价等级</w:t>
            </w:r>
          </w:p>
        </w:tc>
        <w:tc>
          <w:tcPr>
            <w:tcW w:w="2163" w:type="pct"/>
            <w:gridSpan w:val="6"/>
            <w:vAlign w:val="center"/>
          </w:tcPr>
          <w:p w14:paraId="3B56E429">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水污染影响型</w:t>
            </w:r>
          </w:p>
        </w:tc>
        <w:tc>
          <w:tcPr>
            <w:tcW w:w="2109" w:type="pct"/>
            <w:gridSpan w:val="7"/>
            <w:vAlign w:val="center"/>
          </w:tcPr>
          <w:p w14:paraId="0F7BD0A4">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水文要素影响型</w:t>
            </w:r>
          </w:p>
        </w:tc>
      </w:tr>
      <w:tr w14:paraId="2E58C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8" w:type="pct"/>
            <w:gridSpan w:val="2"/>
            <w:vMerge w:val="continue"/>
            <w:vAlign w:val="center"/>
          </w:tcPr>
          <w:p w14:paraId="3F32398C">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2163" w:type="pct"/>
            <w:gridSpan w:val="6"/>
            <w:vAlign w:val="center"/>
          </w:tcPr>
          <w:p w14:paraId="04D67399">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一级 □；二级 □；三级 A □；三级 B √</w:t>
            </w:r>
          </w:p>
        </w:tc>
        <w:tc>
          <w:tcPr>
            <w:tcW w:w="2109" w:type="pct"/>
            <w:gridSpan w:val="7"/>
            <w:vAlign w:val="center"/>
          </w:tcPr>
          <w:p w14:paraId="321D6FDA">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一级 □；二级 □；三级 □</w:t>
            </w:r>
          </w:p>
        </w:tc>
      </w:tr>
      <w:tr w14:paraId="46E6F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restart"/>
            <w:vAlign w:val="center"/>
          </w:tcPr>
          <w:p w14:paraId="1F8A5848">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现</w:t>
            </w:r>
          </w:p>
          <w:p w14:paraId="196990FC">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状</w:t>
            </w:r>
          </w:p>
          <w:p w14:paraId="01EBCA53">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调</w:t>
            </w:r>
          </w:p>
          <w:p w14:paraId="4DBD7D29">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查</w:t>
            </w:r>
          </w:p>
        </w:tc>
        <w:tc>
          <w:tcPr>
            <w:tcW w:w="497" w:type="pct"/>
            <w:vMerge w:val="restart"/>
            <w:vAlign w:val="center"/>
          </w:tcPr>
          <w:p w14:paraId="797771C6">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区域污染源</w:t>
            </w:r>
          </w:p>
        </w:tc>
        <w:tc>
          <w:tcPr>
            <w:tcW w:w="2163" w:type="pct"/>
            <w:gridSpan w:val="6"/>
            <w:vAlign w:val="center"/>
          </w:tcPr>
          <w:p w14:paraId="7654AEA4">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调查项目</w:t>
            </w:r>
          </w:p>
        </w:tc>
        <w:tc>
          <w:tcPr>
            <w:tcW w:w="2109" w:type="pct"/>
            <w:gridSpan w:val="7"/>
            <w:vAlign w:val="center"/>
          </w:tcPr>
          <w:p w14:paraId="29BCB135">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数据来源</w:t>
            </w:r>
          </w:p>
        </w:tc>
      </w:tr>
      <w:tr w14:paraId="6A97A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260AD6A4">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continue"/>
            <w:vAlign w:val="center"/>
          </w:tcPr>
          <w:p w14:paraId="08D913E5">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1147" w:type="pct"/>
            <w:gridSpan w:val="3"/>
            <w:vAlign w:val="center"/>
          </w:tcPr>
          <w:p w14:paraId="0ADCE228">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已建 □；在建 □；</w:t>
            </w:r>
          </w:p>
          <w:p w14:paraId="56DCC137">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拟建 □；其他 □</w:t>
            </w:r>
          </w:p>
        </w:tc>
        <w:tc>
          <w:tcPr>
            <w:tcW w:w="1017" w:type="pct"/>
            <w:gridSpan w:val="3"/>
            <w:vAlign w:val="center"/>
          </w:tcPr>
          <w:p w14:paraId="6DED4D05">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拟替代的污染源 □</w:t>
            </w:r>
          </w:p>
        </w:tc>
        <w:tc>
          <w:tcPr>
            <w:tcW w:w="2109" w:type="pct"/>
            <w:gridSpan w:val="7"/>
            <w:vAlign w:val="center"/>
          </w:tcPr>
          <w:p w14:paraId="43B0A430">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排污许可证 □；环评 □；环保验收 □；既有实测 □；现场监测 □；入河排放口数据 □；其他 □</w:t>
            </w:r>
          </w:p>
        </w:tc>
      </w:tr>
      <w:tr w14:paraId="19DFC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57756511">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restart"/>
            <w:vAlign w:val="center"/>
          </w:tcPr>
          <w:p w14:paraId="4DB31238">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受影响水体水环境质量</w:t>
            </w:r>
          </w:p>
        </w:tc>
        <w:tc>
          <w:tcPr>
            <w:tcW w:w="2163" w:type="pct"/>
            <w:gridSpan w:val="6"/>
            <w:vAlign w:val="center"/>
          </w:tcPr>
          <w:p w14:paraId="69CECE66">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调查时期</w:t>
            </w:r>
          </w:p>
        </w:tc>
        <w:tc>
          <w:tcPr>
            <w:tcW w:w="2109" w:type="pct"/>
            <w:gridSpan w:val="7"/>
            <w:vAlign w:val="center"/>
          </w:tcPr>
          <w:p w14:paraId="3DD11A03">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数据来源</w:t>
            </w:r>
          </w:p>
        </w:tc>
      </w:tr>
      <w:tr w14:paraId="2173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3816DD59">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continue"/>
            <w:vAlign w:val="center"/>
          </w:tcPr>
          <w:p w14:paraId="603679B2">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2163" w:type="pct"/>
            <w:gridSpan w:val="6"/>
            <w:vAlign w:val="center"/>
          </w:tcPr>
          <w:p w14:paraId="24E77DC1">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丰水期 √；平水期 □；枯水期 □；冰封期 □</w:t>
            </w:r>
          </w:p>
          <w:p w14:paraId="5FD011A7">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xml:space="preserve">春季 □；夏季 </w:t>
            </w:r>
            <w:r>
              <w:rPr>
                <w:rFonts w:hint="eastAsia" w:ascii="Times New Roman" w:hAnsi="Times New Roman" w:cs="Times New Roman" w:eastAsiaTheme="minorEastAsia"/>
                <w:color w:val="auto"/>
                <w:w w:val="99"/>
                <w:sz w:val="18"/>
                <w:szCs w:val="18"/>
                <w:highlight w:val="none"/>
                <w:lang w:eastAsia="zh-CN"/>
              </w:rPr>
              <w:t>☑</w:t>
            </w:r>
            <w:r>
              <w:rPr>
                <w:rFonts w:ascii="Times New Roman" w:hAnsi="Times New Roman" w:cs="Times New Roman" w:eastAsiaTheme="minorEastAsia"/>
                <w:color w:val="auto"/>
                <w:w w:val="99"/>
                <w:sz w:val="18"/>
                <w:szCs w:val="18"/>
                <w:highlight w:val="none"/>
              </w:rPr>
              <w:t>；秋季 □；冬季□</w:t>
            </w:r>
          </w:p>
        </w:tc>
        <w:tc>
          <w:tcPr>
            <w:tcW w:w="2109" w:type="pct"/>
            <w:gridSpan w:val="7"/>
            <w:vAlign w:val="center"/>
          </w:tcPr>
          <w:p w14:paraId="4C422AE1">
            <w:pPr>
              <w:widowControl w:val="0"/>
              <w:spacing w:line="220" w:lineRule="atLeast"/>
              <w:jc w:val="both"/>
              <w:rPr>
                <w:rFonts w:hint="eastAsia" w:ascii="Times New Roman" w:hAnsi="Times New Roman" w:cs="Times New Roman" w:eastAsiaTheme="minorEastAsia"/>
                <w:color w:val="auto"/>
                <w:w w:val="99"/>
                <w:sz w:val="18"/>
                <w:szCs w:val="18"/>
                <w:highlight w:val="none"/>
                <w:lang w:eastAsia="zh-CN"/>
              </w:rPr>
            </w:pPr>
            <w:r>
              <w:rPr>
                <w:rFonts w:ascii="Times New Roman" w:hAnsi="Times New Roman" w:cs="Times New Roman" w:eastAsiaTheme="minorEastAsia"/>
                <w:color w:val="auto"/>
                <w:w w:val="99"/>
                <w:sz w:val="18"/>
                <w:szCs w:val="18"/>
                <w:highlight w:val="none"/>
              </w:rPr>
              <w:t xml:space="preserve">生态环境保护主管部门 □；补充监测 □；其他 </w:t>
            </w:r>
            <w:r>
              <w:rPr>
                <w:rFonts w:hint="eastAsia" w:ascii="Times New Roman" w:hAnsi="Times New Roman" w:cs="Times New Roman" w:eastAsiaTheme="minorEastAsia"/>
                <w:color w:val="auto"/>
                <w:w w:val="99"/>
                <w:sz w:val="18"/>
                <w:szCs w:val="18"/>
                <w:highlight w:val="none"/>
                <w:lang w:eastAsia="zh-CN"/>
              </w:rPr>
              <w:t>□</w:t>
            </w:r>
          </w:p>
        </w:tc>
      </w:tr>
      <w:tr w14:paraId="05606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737A4715">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3505DEA0">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区域水资源开发利用状况</w:t>
            </w:r>
          </w:p>
        </w:tc>
        <w:tc>
          <w:tcPr>
            <w:tcW w:w="4272" w:type="pct"/>
            <w:gridSpan w:val="13"/>
            <w:vAlign w:val="center"/>
          </w:tcPr>
          <w:p w14:paraId="3D3A6C7A">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未开发 □；开发量 40%以下 □；开发量 40%以上 □</w:t>
            </w:r>
          </w:p>
        </w:tc>
      </w:tr>
      <w:tr w14:paraId="505D9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5D90367D">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restart"/>
            <w:vAlign w:val="center"/>
          </w:tcPr>
          <w:p w14:paraId="008730EE">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水文情势调查</w:t>
            </w:r>
          </w:p>
        </w:tc>
        <w:tc>
          <w:tcPr>
            <w:tcW w:w="2163" w:type="pct"/>
            <w:gridSpan w:val="6"/>
            <w:vAlign w:val="center"/>
          </w:tcPr>
          <w:p w14:paraId="5D6CD3EE">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xml:space="preserve">调查时期  </w:t>
            </w:r>
          </w:p>
        </w:tc>
        <w:tc>
          <w:tcPr>
            <w:tcW w:w="2109" w:type="pct"/>
            <w:gridSpan w:val="7"/>
            <w:vAlign w:val="center"/>
          </w:tcPr>
          <w:p w14:paraId="330B3784">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数据来源</w:t>
            </w:r>
          </w:p>
        </w:tc>
      </w:tr>
      <w:tr w14:paraId="52196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30919DB9">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continue"/>
            <w:vAlign w:val="center"/>
          </w:tcPr>
          <w:p w14:paraId="5D5C966D">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2163" w:type="pct"/>
            <w:gridSpan w:val="6"/>
            <w:vAlign w:val="center"/>
          </w:tcPr>
          <w:p w14:paraId="4403B3BB">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xml:space="preserve">丰水期 </w:t>
            </w:r>
            <w:r>
              <w:rPr>
                <w:rFonts w:hint="eastAsia" w:ascii="Times New Roman" w:hAnsi="Times New Roman" w:cs="Times New Roman" w:eastAsiaTheme="minorEastAsia"/>
                <w:color w:val="auto"/>
                <w:w w:val="99"/>
                <w:sz w:val="18"/>
                <w:szCs w:val="18"/>
                <w:highlight w:val="none"/>
                <w:lang w:eastAsia="zh-CN"/>
              </w:rPr>
              <w:t>☑</w:t>
            </w:r>
            <w:r>
              <w:rPr>
                <w:rFonts w:ascii="Times New Roman" w:hAnsi="Times New Roman" w:cs="Times New Roman" w:eastAsiaTheme="minorEastAsia"/>
                <w:color w:val="auto"/>
                <w:w w:val="99"/>
                <w:sz w:val="18"/>
                <w:szCs w:val="18"/>
                <w:highlight w:val="none"/>
              </w:rPr>
              <w:t>；平水期 □；枯水期 □；冰封期 □</w:t>
            </w:r>
          </w:p>
          <w:p w14:paraId="5D12E87F">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xml:space="preserve">春季 □；夏季 </w:t>
            </w:r>
            <w:r>
              <w:rPr>
                <w:rFonts w:hint="eastAsia" w:ascii="Times New Roman" w:hAnsi="Times New Roman" w:cs="Times New Roman" w:eastAsiaTheme="minorEastAsia"/>
                <w:color w:val="auto"/>
                <w:w w:val="99"/>
                <w:sz w:val="18"/>
                <w:szCs w:val="18"/>
                <w:highlight w:val="none"/>
                <w:lang w:eastAsia="zh-CN"/>
              </w:rPr>
              <w:t>☑</w:t>
            </w:r>
            <w:r>
              <w:rPr>
                <w:rFonts w:ascii="Times New Roman" w:hAnsi="Times New Roman" w:cs="Times New Roman" w:eastAsiaTheme="minorEastAsia"/>
                <w:color w:val="auto"/>
                <w:w w:val="99"/>
                <w:sz w:val="18"/>
                <w:szCs w:val="18"/>
                <w:highlight w:val="none"/>
              </w:rPr>
              <w:t>；秋季 □；冬季□</w:t>
            </w:r>
          </w:p>
        </w:tc>
        <w:tc>
          <w:tcPr>
            <w:tcW w:w="2109" w:type="pct"/>
            <w:gridSpan w:val="7"/>
            <w:vAlign w:val="center"/>
          </w:tcPr>
          <w:p w14:paraId="396E28A1">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水行政主管部门 □；补充监测 □；其他 □</w:t>
            </w:r>
          </w:p>
        </w:tc>
      </w:tr>
      <w:tr w14:paraId="4ED3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34E3A222">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restart"/>
            <w:vAlign w:val="center"/>
          </w:tcPr>
          <w:p w14:paraId="1BCFB9D6">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补充监测</w:t>
            </w:r>
          </w:p>
        </w:tc>
        <w:tc>
          <w:tcPr>
            <w:tcW w:w="2163" w:type="pct"/>
            <w:gridSpan w:val="6"/>
            <w:vAlign w:val="center"/>
          </w:tcPr>
          <w:p w14:paraId="0B190529">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监测时期</w:t>
            </w:r>
          </w:p>
        </w:tc>
        <w:tc>
          <w:tcPr>
            <w:tcW w:w="1252" w:type="pct"/>
            <w:gridSpan w:val="5"/>
            <w:vAlign w:val="center"/>
          </w:tcPr>
          <w:p w14:paraId="59E7B522">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监测因子</w:t>
            </w:r>
          </w:p>
        </w:tc>
        <w:tc>
          <w:tcPr>
            <w:tcW w:w="857" w:type="pct"/>
            <w:gridSpan w:val="2"/>
            <w:vAlign w:val="center"/>
          </w:tcPr>
          <w:p w14:paraId="291CBEE2">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监测断面或点位</w:t>
            </w:r>
          </w:p>
        </w:tc>
      </w:tr>
      <w:tr w14:paraId="13EDD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271FF24B">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continue"/>
            <w:vAlign w:val="center"/>
          </w:tcPr>
          <w:p w14:paraId="0F9EE331">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2163" w:type="pct"/>
            <w:gridSpan w:val="6"/>
            <w:vAlign w:val="center"/>
          </w:tcPr>
          <w:p w14:paraId="5D7E8E43">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丰水期 □；平水期 □；枯水期 □；冰封期 □</w:t>
            </w:r>
          </w:p>
          <w:p w14:paraId="5B249AC5">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春季 □；夏季 □；秋季 □；冬季□</w:t>
            </w:r>
          </w:p>
        </w:tc>
        <w:tc>
          <w:tcPr>
            <w:tcW w:w="1252" w:type="pct"/>
            <w:gridSpan w:val="5"/>
            <w:vAlign w:val="center"/>
          </w:tcPr>
          <w:p w14:paraId="26527021">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857" w:type="pct"/>
            <w:gridSpan w:val="2"/>
            <w:vAlign w:val="center"/>
          </w:tcPr>
          <w:p w14:paraId="43A45F6E">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监测断面或点位个数（）个</w:t>
            </w:r>
          </w:p>
        </w:tc>
      </w:tr>
      <w:tr w14:paraId="5669B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restart"/>
            <w:vAlign w:val="center"/>
          </w:tcPr>
          <w:p w14:paraId="265285C4">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现</w:t>
            </w:r>
          </w:p>
          <w:p w14:paraId="46E289E4">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状</w:t>
            </w:r>
          </w:p>
          <w:p w14:paraId="7BD0D9EC">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评</w:t>
            </w:r>
          </w:p>
          <w:p w14:paraId="16453ABB">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价</w:t>
            </w:r>
          </w:p>
        </w:tc>
        <w:tc>
          <w:tcPr>
            <w:tcW w:w="497" w:type="pct"/>
            <w:vAlign w:val="center"/>
          </w:tcPr>
          <w:p w14:paraId="78EAE57B">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评价范围</w:t>
            </w:r>
          </w:p>
        </w:tc>
        <w:tc>
          <w:tcPr>
            <w:tcW w:w="4272" w:type="pct"/>
            <w:gridSpan w:val="13"/>
            <w:vAlign w:val="center"/>
          </w:tcPr>
          <w:p w14:paraId="66729FCF">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河流：长度（ ）km；湖库、河口及近岸海域：面积（ ）km</w:t>
            </w:r>
            <w:r>
              <w:rPr>
                <w:rFonts w:ascii="Times New Roman" w:hAnsi="Times New Roman" w:cs="Times New Roman" w:eastAsiaTheme="minorEastAsia"/>
                <w:color w:val="auto"/>
                <w:w w:val="99"/>
                <w:sz w:val="18"/>
                <w:szCs w:val="18"/>
                <w:highlight w:val="none"/>
                <w:vertAlign w:val="superscript"/>
              </w:rPr>
              <w:t>2</w:t>
            </w:r>
          </w:p>
        </w:tc>
      </w:tr>
      <w:tr w14:paraId="770A1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30FB02F5">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28AD369D">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评价因子</w:t>
            </w:r>
          </w:p>
        </w:tc>
        <w:tc>
          <w:tcPr>
            <w:tcW w:w="4272" w:type="pct"/>
            <w:gridSpan w:val="13"/>
            <w:vAlign w:val="center"/>
          </w:tcPr>
          <w:p w14:paraId="1814F510">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w:t>
            </w:r>
            <w:r>
              <w:rPr>
                <w:rFonts w:hint="eastAsia" w:ascii="Times New Roman" w:hAnsi="Times New Roman" w:cs="Times New Roman" w:eastAsiaTheme="minorEastAsia"/>
                <w:color w:val="auto"/>
                <w:w w:val="99"/>
                <w:sz w:val="18"/>
                <w:szCs w:val="18"/>
                <w:highlight w:val="none"/>
              </w:rPr>
              <w:t>pH 、高锰酸盐指数、BOD</w:t>
            </w:r>
            <w:r>
              <w:rPr>
                <w:rFonts w:hint="eastAsia" w:ascii="Times New Roman" w:hAnsi="Times New Roman" w:cs="Times New Roman" w:eastAsiaTheme="minorEastAsia"/>
                <w:color w:val="auto"/>
                <w:w w:val="99"/>
                <w:sz w:val="18"/>
                <w:szCs w:val="18"/>
                <w:highlight w:val="none"/>
                <w:vertAlign w:val="subscript"/>
              </w:rPr>
              <w:t>5</w:t>
            </w:r>
            <w:r>
              <w:rPr>
                <w:rFonts w:hint="eastAsia" w:ascii="Times New Roman" w:hAnsi="Times New Roman" w:cs="Times New Roman" w:eastAsiaTheme="minorEastAsia"/>
                <w:color w:val="auto"/>
                <w:w w:val="99"/>
                <w:sz w:val="18"/>
                <w:szCs w:val="18"/>
                <w:highlight w:val="none"/>
              </w:rPr>
              <w:t xml:space="preserve"> 、COD</w:t>
            </w:r>
            <w:r>
              <w:rPr>
                <w:rFonts w:hint="eastAsia" w:ascii="Times New Roman" w:hAnsi="Times New Roman" w:cs="Times New Roman" w:eastAsiaTheme="minorEastAsia"/>
                <w:color w:val="auto"/>
                <w:w w:val="99"/>
                <w:sz w:val="18"/>
                <w:szCs w:val="18"/>
                <w:highlight w:val="none"/>
                <w:vertAlign w:val="subscript"/>
              </w:rPr>
              <w:t>Cr</w:t>
            </w:r>
            <w:r>
              <w:rPr>
                <w:rFonts w:hint="eastAsia" w:ascii="Times New Roman" w:hAnsi="Times New Roman" w:cs="Times New Roman" w:eastAsiaTheme="minorEastAsia"/>
                <w:color w:val="auto"/>
                <w:w w:val="99"/>
                <w:sz w:val="18"/>
                <w:szCs w:val="18"/>
                <w:highlight w:val="none"/>
              </w:rPr>
              <w:t xml:space="preserve"> 、氨氮、挥发酚、石油类、硫化物、水温、悬浮物、总磷、阴离子表面活性剂、汞、总铬、六价铬、镉、砷、镍、铅</w:t>
            </w:r>
            <w:r>
              <w:rPr>
                <w:rFonts w:ascii="Times New Roman" w:hAnsi="Times New Roman" w:cs="Times New Roman" w:eastAsiaTheme="minorEastAsia"/>
                <w:color w:val="auto"/>
                <w:w w:val="99"/>
                <w:sz w:val="18"/>
                <w:szCs w:val="18"/>
                <w:highlight w:val="none"/>
              </w:rPr>
              <w:t>）</w:t>
            </w:r>
          </w:p>
        </w:tc>
      </w:tr>
      <w:tr w14:paraId="428C6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5993DB12">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18482B91">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评价标准</w:t>
            </w:r>
          </w:p>
        </w:tc>
        <w:tc>
          <w:tcPr>
            <w:tcW w:w="4272" w:type="pct"/>
            <w:gridSpan w:val="13"/>
            <w:vAlign w:val="center"/>
          </w:tcPr>
          <w:p w14:paraId="23BC0DFA">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河流、湖库、河口：Ⅰ类 □；Ⅱ类 □；Ⅲ类 □；Ⅳ类 □；Ⅴ类 □</w:t>
            </w:r>
          </w:p>
          <w:p w14:paraId="0071016C">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近岸海域：第一类 □；第二类 □；第三类 □；第四类 □</w:t>
            </w:r>
          </w:p>
          <w:p w14:paraId="0A50384C">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规划年评价标准（ ）</w:t>
            </w:r>
          </w:p>
        </w:tc>
      </w:tr>
      <w:tr w14:paraId="21BFE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1F6F091A">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01BCE232">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评价时期</w:t>
            </w:r>
          </w:p>
        </w:tc>
        <w:tc>
          <w:tcPr>
            <w:tcW w:w="4272" w:type="pct"/>
            <w:gridSpan w:val="13"/>
            <w:vAlign w:val="center"/>
          </w:tcPr>
          <w:p w14:paraId="463E5109">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丰水期 √；平水期 □；枯水期 □；冰封期 □</w:t>
            </w:r>
          </w:p>
          <w:p w14:paraId="5FB79AF0">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春季 □；夏季 √□；秋季□；冬季□</w:t>
            </w:r>
          </w:p>
        </w:tc>
      </w:tr>
      <w:tr w14:paraId="7A809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5991DCB3">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4BCC9A97">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评价结论</w:t>
            </w:r>
          </w:p>
        </w:tc>
        <w:tc>
          <w:tcPr>
            <w:tcW w:w="3577" w:type="pct"/>
            <w:gridSpan w:val="12"/>
            <w:vAlign w:val="center"/>
          </w:tcPr>
          <w:p w14:paraId="03536B5A">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水环境功能区或水功能区、近岸海域环境功能区水质达标状况□：达标 □；不达标 □</w:t>
            </w:r>
          </w:p>
          <w:p w14:paraId="3249FCAA">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水环境控制单元或断面水质达标状况 □：达标 □；不达标 □</w:t>
            </w:r>
          </w:p>
          <w:p w14:paraId="5B6EDC9A">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水环境保护目标质量状况 □：达标 □；不达标 □</w:t>
            </w:r>
          </w:p>
          <w:p w14:paraId="4711DE6E">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对照断面、控制断面等代表性断面的水质状况 □：达标 □；不达标□</w:t>
            </w:r>
          </w:p>
          <w:p w14:paraId="138EFDAD">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底泥污染评价 □</w:t>
            </w:r>
          </w:p>
          <w:p w14:paraId="6FA695E9">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水资源与开发利用程度及其水文情势评价 □</w:t>
            </w:r>
          </w:p>
          <w:p w14:paraId="64D1F118">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水环境质量回顾评价 □</w:t>
            </w:r>
          </w:p>
          <w:p w14:paraId="651B23D2">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流域（区域）水资源（包括水能资源）与开发利用总体状况、生态流量管理要求与现状满足程度、建设项目占用水域空间的水流状况与河湖演变状况 □</w:t>
            </w:r>
          </w:p>
        </w:tc>
        <w:tc>
          <w:tcPr>
            <w:tcW w:w="695" w:type="pct"/>
            <w:vAlign w:val="center"/>
          </w:tcPr>
          <w:p w14:paraId="5D3A2407">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达标区□</w:t>
            </w:r>
          </w:p>
          <w:p w14:paraId="1A84FA3C">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不达标区□</w:t>
            </w:r>
          </w:p>
        </w:tc>
      </w:tr>
      <w:tr w14:paraId="50AD6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restart"/>
            <w:vAlign w:val="center"/>
          </w:tcPr>
          <w:p w14:paraId="31A8AA0A">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影</w:t>
            </w:r>
          </w:p>
          <w:p w14:paraId="2E900F2F">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响</w:t>
            </w:r>
          </w:p>
          <w:p w14:paraId="67A357D6">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预</w:t>
            </w:r>
          </w:p>
          <w:p w14:paraId="006D9DD0">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测</w:t>
            </w:r>
          </w:p>
        </w:tc>
        <w:tc>
          <w:tcPr>
            <w:tcW w:w="497" w:type="pct"/>
            <w:vAlign w:val="center"/>
          </w:tcPr>
          <w:p w14:paraId="084BEBB7">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预测范围</w:t>
            </w:r>
          </w:p>
        </w:tc>
        <w:tc>
          <w:tcPr>
            <w:tcW w:w="4272" w:type="pct"/>
            <w:gridSpan w:val="13"/>
            <w:vAlign w:val="center"/>
          </w:tcPr>
          <w:p w14:paraId="639E72F8">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河流：长度（ ）km；湖库、河口及近岸海域：面积（ ）km</w:t>
            </w:r>
            <w:r>
              <w:rPr>
                <w:rFonts w:ascii="Times New Roman" w:hAnsi="Times New Roman" w:cs="Times New Roman" w:eastAsiaTheme="minorEastAsia"/>
                <w:color w:val="auto"/>
                <w:w w:val="99"/>
                <w:sz w:val="18"/>
                <w:szCs w:val="18"/>
                <w:highlight w:val="none"/>
                <w:vertAlign w:val="superscript"/>
              </w:rPr>
              <w:t>2</w:t>
            </w:r>
          </w:p>
        </w:tc>
      </w:tr>
      <w:tr w14:paraId="73BA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288329D8">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4AE90C39">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预测因子</w:t>
            </w:r>
          </w:p>
        </w:tc>
        <w:tc>
          <w:tcPr>
            <w:tcW w:w="4272" w:type="pct"/>
            <w:gridSpan w:val="13"/>
            <w:vAlign w:val="center"/>
          </w:tcPr>
          <w:p w14:paraId="6986CEDB">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w:t>
            </w:r>
          </w:p>
        </w:tc>
      </w:tr>
      <w:tr w14:paraId="4A1B3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57C617E9">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65903510">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预测时期</w:t>
            </w:r>
          </w:p>
        </w:tc>
        <w:tc>
          <w:tcPr>
            <w:tcW w:w="4272" w:type="pct"/>
            <w:gridSpan w:val="13"/>
            <w:vAlign w:val="center"/>
          </w:tcPr>
          <w:p w14:paraId="68508479">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丰水期 □；平水期 □；枯水期 □；冰封期 □</w:t>
            </w:r>
          </w:p>
          <w:p w14:paraId="73F6F1BE">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春季 □；夏季 □；秋季 □；冬季 □</w:t>
            </w:r>
          </w:p>
          <w:p w14:paraId="63A4F36B">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设计水文条件 □</w:t>
            </w:r>
          </w:p>
        </w:tc>
      </w:tr>
      <w:tr w14:paraId="23294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103B6FDC">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533F07D6">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预测情景</w:t>
            </w:r>
          </w:p>
        </w:tc>
        <w:tc>
          <w:tcPr>
            <w:tcW w:w="4272" w:type="pct"/>
            <w:gridSpan w:val="13"/>
            <w:vAlign w:val="center"/>
          </w:tcPr>
          <w:p w14:paraId="341C906F">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建设期 □；生产运行期 □；服务期满后 □</w:t>
            </w:r>
          </w:p>
          <w:p w14:paraId="46DDB72F">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正常工况 □；非正常工况 □</w:t>
            </w:r>
          </w:p>
          <w:p w14:paraId="42C95D24">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污染控制和减缓措施方案 □</w:t>
            </w:r>
          </w:p>
          <w:p w14:paraId="42070A77">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区（流）域环境质量改善目标要求情景 □</w:t>
            </w:r>
          </w:p>
        </w:tc>
      </w:tr>
      <w:tr w14:paraId="123CB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02E153AC">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1953A216">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预测方法</w:t>
            </w:r>
          </w:p>
        </w:tc>
        <w:tc>
          <w:tcPr>
            <w:tcW w:w="4272" w:type="pct"/>
            <w:gridSpan w:val="13"/>
            <w:vAlign w:val="center"/>
          </w:tcPr>
          <w:p w14:paraId="387DED1A">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数值解 □：解析解 □；其他 □</w:t>
            </w:r>
          </w:p>
          <w:p w14:paraId="51FDD762">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导则推荐模式 □：其他 □</w:t>
            </w:r>
          </w:p>
        </w:tc>
      </w:tr>
      <w:tr w14:paraId="11339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restart"/>
            <w:vAlign w:val="center"/>
          </w:tcPr>
          <w:p w14:paraId="3EFB4C81">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影</w:t>
            </w:r>
          </w:p>
          <w:p w14:paraId="49B2BA98">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响</w:t>
            </w:r>
          </w:p>
          <w:p w14:paraId="68AD28DE">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评</w:t>
            </w:r>
          </w:p>
          <w:p w14:paraId="5605A9B5">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价</w:t>
            </w:r>
          </w:p>
        </w:tc>
        <w:tc>
          <w:tcPr>
            <w:tcW w:w="497" w:type="pct"/>
            <w:vAlign w:val="center"/>
          </w:tcPr>
          <w:p w14:paraId="324C7586">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水污染控制和水环境影响减缓措施有效性评价</w:t>
            </w:r>
          </w:p>
        </w:tc>
        <w:tc>
          <w:tcPr>
            <w:tcW w:w="4272" w:type="pct"/>
            <w:gridSpan w:val="13"/>
            <w:vAlign w:val="center"/>
          </w:tcPr>
          <w:p w14:paraId="3A455751">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区（流）域水环境质量改善目标 □；替代削减源 □</w:t>
            </w:r>
          </w:p>
        </w:tc>
      </w:tr>
      <w:tr w14:paraId="17FAB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0411B29F">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35FE1FB5">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水环境影响评价</w:t>
            </w:r>
          </w:p>
        </w:tc>
        <w:tc>
          <w:tcPr>
            <w:tcW w:w="4272" w:type="pct"/>
            <w:gridSpan w:val="13"/>
            <w:vAlign w:val="center"/>
          </w:tcPr>
          <w:p w14:paraId="71132117">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排放口混合区外满足水环境管理要求 □</w:t>
            </w:r>
          </w:p>
          <w:p w14:paraId="05E9745B">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水环境功能区或水功能区、近岸海域环境功能区水质达标 □</w:t>
            </w:r>
          </w:p>
          <w:p w14:paraId="68218A6B">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满足水环境保护目标水域水环境质量要求 □</w:t>
            </w:r>
          </w:p>
          <w:p w14:paraId="69C81006">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水环境控制单元或断面水质达标 □</w:t>
            </w:r>
          </w:p>
          <w:p w14:paraId="3B1B9843">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满足重点水污染物排放总量控制指标要求，重点行业建设项目， 主要污染物排放满足等量或减量替代要求□</w:t>
            </w:r>
          </w:p>
          <w:p w14:paraId="2CAD1344">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满足区（流）域水环境质量改善目标要求 □</w:t>
            </w:r>
          </w:p>
          <w:p w14:paraId="06C8D1C7">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水文要素影响型建设项目同时应包括水文情势变化评价、主要水文特征值影响评价、生态流量符合性评价 □</w:t>
            </w:r>
          </w:p>
          <w:p w14:paraId="61246A00">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对于新设或调整入河（湖库、近岸海域）排放口的建设项目，应包括排放口设置的环境合理性评价 □</w:t>
            </w:r>
          </w:p>
          <w:p w14:paraId="4D03705E">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满足生态保护红线、水环境质量底线、资源利用上线和环境准入清单管理要求 □</w:t>
            </w:r>
          </w:p>
        </w:tc>
      </w:tr>
      <w:tr w14:paraId="65D52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080BB9BA">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restart"/>
            <w:vAlign w:val="center"/>
          </w:tcPr>
          <w:p w14:paraId="44E0D65B">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污染源排放量核算</w:t>
            </w:r>
          </w:p>
        </w:tc>
        <w:tc>
          <w:tcPr>
            <w:tcW w:w="1414" w:type="pct"/>
            <w:gridSpan w:val="4"/>
            <w:vAlign w:val="center"/>
          </w:tcPr>
          <w:p w14:paraId="008C4D56">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污染物名称</w:t>
            </w:r>
          </w:p>
        </w:tc>
        <w:tc>
          <w:tcPr>
            <w:tcW w:w="1414" w:type="pct"/>
            <w:gridSpan w:val="5"/>
            <w:vAlign w:val="center"/>
          </w:tcPr>
          <w:p w14:paraId="217F7B6A">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排放量/（t/a）</w:t>
            </w:r>
          </w:p>
        </w:tc>
        <w:tc>
          <w:tcPr>
            <w:tcW w:w="1444" w:type="pct"/>
            <w:gridSpan w:val="4"/>
            <w:vAlign w:val="center"/>
          </w:tcPr>
          <w:p w14:paraId="32AE5A91">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排放浓度/（mg/L）</w:t>
            </w:r>
          </w:p>
        </w:tc>
      </w:tr>
      <w:tr w14:paraId="53B03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3E8B1F65">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continue"/>
            <w:vAlign w:val="center"/>
          </w:tcPr>
          <w:p w14:paraId="7A402D2B">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1414" w:type="pct"/>
            <w:gridSpan w:val="4"/>
            <w:vAlign w:val="center"/>
          </w:tcPr>
          <w:p w14:paraId="0B11D5C4">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w:t>
            </w:r>
          </w:p>
        </w:tc>
        <w:tc>
          <w:tcPr>
            <w:tcW w:w="1414" w:type="pct"/>
            <w:gridSpan w:val="5"/>
            <w:vAlign w:val="center"/>
          </w:tcPr>
          <w:p w14:paraId="46427F84">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w:t>
            </w:r>
          </w:p>
        </w:tc>
        <w:tc>
          <w:tcPr>
            <w:tcW w:w="1444" w:type="pct"/>
            <w:gridSpan w:val="4"/>
            <w:vAlign w:val="center"/>
          </w:tcPr>
          <w:p w14:paraId="0022D774">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w:t>
            </w:r>
          </w:p>
        </w:tc>
      </w:tr>
      <w:tr w14:paraId="30D0C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295CEE0A">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restart"/>
            <w:vAlign w:val="center"/>
          </w:tcPr>
          <w:p w14:paraId="6D24BC70">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替代源排放情况</w:t>
            </w:r>
          </w:p>
        </w:tc>
        <w:tc>
          <w:tcPr>
            <w:tcW w:w="749" w:type="pct"/>
            <w:vAlign w:val="center"/>
          </w:tcPr>
          <w:p w14:paraId="355E077B">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污染源名称</w:t>
            </w:r>
          </w:p>
        </w:tc>
        <w:tc>
          <w:tcPr>
            <w:tcW w:w="832" w:type="pct"/>
            <w:gridSpan w:val="4"/>
            <w:vAlign w:val="center"/>
          </w:tcPr>
          <w:p w14:paraId="7351B7A6">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排污许可证编号</w:t>
            </w:r>
          </w:p>
        </w:tc>
        <w:tc>
          <w:tcPr>
            <w:tcW w:w="915" w:type="pct"/>
            <w:gridSpan w:val="2"/>
            <w:vAlign w:val="center"/>
          </w:tcPr>
          <w:p w14:paraId="20FF3D77">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污染物名称</w:t>
            </w:r>
          </w:p>
        </w:tc>
        <w:tc>
          <w:tcPr>
            <w:tcW w:w="831" w:type="pct"/>
            <w:gridSpan w:val="3"/>
            <w:vAlign w:val="center"/>
          </w:tcPr>
          <w:p w14:paraId="7AE5AFE8">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排放量/（t/a）</w:t>
            </w:r>
          </w:p>
        </w:tc>
        <w:tc>
          <w:tcPr>
            <w:tcW w:w="945" w:type="pct"/>
            <w:gridSpan w:val="3"/>
            <w:vAlign w:val="center"/>
          </w:tcPr>
          <w:p w14:paraId="589A4187">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排放浓度/（mg/L）</w:t>
            </w:r>
          </w:p>
        </w:tc>
      </w:tr>
      <w:tr w14:paraId="36E97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548C5702">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continue"/>
            <w:vAlign w:val="center"/>
          </w:tcPr>
          <w:p w14:paraId="26F2D965">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749" w:type="pct"/>
            <w:vAlign w:val="center"/>
          </w:tcPr>
          <w:p w14:paraId="4D8AC039">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xml:space="preserve">（ ）  </w:t>
            </w:r>
          </w:p>
        </w:tc>
        <w:tc>
          <w:tcPr>
            <w:tcW w:w="832" w:type="pct"/>
            <w:gridSpan w:val="4"/>
            <w:vAlign w:val="center"/>
          </w:tcPr>
          <w:p w14:paraId="5EFD1DF3">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xml:space="preserve">（ ）  </w:t>
            </w:r>
          </w:p>
        </w:tc>
        <w:tc>
          <w:tcPr>
            <w:tcW w:w="915" w:type="pct"/>
            <w:gridSpan w:val="2"/>
            <w:vAlign w:val="center"/>
          </w:tcPr>
          <w:p w14:paraId="2F72EBEA">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xml:space="preserve">（ ）  </w:t>
            </w:r>
          </w:p>
        </w:tc>
        <w:tc>
          <w:tcPr>
            <w:tcW w:w="831" w:type="pct"/>
            <w:gridSpan w:val="3"/>
            <w:vAlign w:val="center"/>
          </w:tcPr>
          <w:p w14:paraId="66D1346A">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xml:space="preserve">（ ）  </w:t>
            </w:r>
          </w:p>
        </w:tc>
        <w:tc>
          <w:tcPr>
            <w:tcW w:w="945" w:type="pct"/>
            <w:gridSpan w:val="3"/>
            <w:vAlign w:val="center"/>
          </w:tcPr>
          <w:p w14:paraId="02D4C07F">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xml:space="preserve">（ ）  </w:t>
            </w:r>
          </w:p>
        </w:tc>
      </w:tr>
      <w:tr w14:paraId="25663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348E9ADA">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5DD76354">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生态流量确定</w:t>
            </w:r>
          </w:p>
        </w:tc>
        <w:tc>
          <w:tcPr>
            <w:tcW w:w="4272" w:type="pct"/>
            <w:gridSpan w:val="13"/>
            <w:vAlign w:val="center"/>
          </w:tcPr>
          <w:p w14:paraId="2B0A67F5">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生态流量：一般水期（ ）m</w:t>
            </w:r>
            <w:r>
              <w:rPr>
                <w:rFonts w:ascii="Times New Roman" w:hAnsi="Times New Roman" w:cs="Times New Roman" w:eastAsiaTheme="minorEastAsia"/>
                <w:color w:val="auto"/>
                <w:w w:val="99"/>
                <w:sz w:val="18"/>
                <w:szCs w:val="18"/>
                <w:highlight w:val="none"/>
                <w:vertAlign w:val="superscript"/>
              </w:rPr>
              <w:t>3</w:t>
            </w:r>
            <w:r>
              <w:rPr>
                <w:rFonts w:ascii="Times New Roman" w:hAnsi="Times New Roman" w:cs="Times New Roman" w:eastAsiaTheme="minorEastAsia"/>
                <w:color w:val="auto"/>
                <w:w w:val="99"/>
                <w:sz w:val="18"/>
                <w:szCs w:val="18"/>
                <w:highlight w:val="none"/>
              </w:rPr>
              <w:t>/s；鱼类繁殖期（ ）m</w:t>
            </w:r>
            <w:r>
              <w:rPr>
                <w:rFonts w:ascii="Times New Roman" w:hAnsi="Times New Roman" w:cs="Times New Roman" w:eastAsiaTheme="minorEastAsia"/>
                <w:color w:val="auto"/>
                <w:w w:val="99"/>
                <w:sz w:val="18"/>
                <w:szCs w:val="18"/>
                <w:highlight w:val="none"/>
                <w:vertAlign w:val="superscript"/>
              </w:rPr>
              <w:t>3</w:t>
            </w:r>
            <w:r>
              <w:rPr>
                <w:rFonts w:ascii="Times New Roman" w:hAnsi="Times New Roman" w:cs="Times New Roman" w:eastAsiaTheme="minorEastAsia"/>
                <w:color w:val="auto"/>
                <w:w w:val="99"/>
                <w:sz w:val="18"/>
                <w:szCs w:val="18"/>
                <w:highlight w:val="none"/>
              </w:rPr>
              <w:t>/s；其他（ ）m</w:t>
            </w:r>
            <w:r>
              <w:rPr>
                <w:rFonts w:ascii="Times New Roman" w:hAnsi="Times New Roman" w:cs="Times New Roman" w:eastAsiaTheme="minorEastAsia"/>
                <w:color w:val="auto"/>
                <w:w w:val="99"/>
                <w:sz w:val="18"/>
                <w:szCs w:val="18"/>
                <w:highlight w:val="none"/>
                <w:vertAlign w:val="superscript"/>
              </w:rPr>
              <w:t>3</w:t>
            </w:r>
            <w:r>
              <w:rPr>
                <w:rFonts w:ascii="Times New Roman" w:hAnsi="Times New Roman" w:cs="Times New Roman" w:eastAsiaTheme="minorEastAsia"/>
                <w:color w:val="auto"/>
                <w:w w:val="99"/>
                <w:sz w:val="18"/>
                <w:szCs w:val="18"/>
                <w:highlight w:val="none"/>
              </w:rPr>
              <w:t>/s</w:t>
            </w:r>
          </w:p>
          <w:p w14:paraId="4942DEB2">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生态水位：一般水期（ ）m；鱼类繁殖期（ ）m；其他（ ）m</w:t>
            </w:r>
          </w:p>
        </w:tc>
      </w:tr>
      <w:tr w14:paraId="24DEA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restart"/>
            <w:vAlign w:val="center"/>
          </w:tcPr>
          <w:p w14:paraId="5C83DA00">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防</w:t>
            </w:r>
          </w:p>
          <w:p w14:paraId="494F07F1">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治</w:t>
            </w:r>
          </w:p>
          <w:p w14:paraId="77F08F80">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措</w:t>
            </w:r>
          </w:p>
          <w:p w14:paraId="62BE115E">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施</w:t>
            </w:r>
          </w:p>
        </w:tc>
        <w:tc>
          <w:tcPr>
            <w:tcW w:w="497" w:type="pct"/>
            <w:vAlign w:val="center"/>
          </w:tcPr>
          <w:p w14:paraId="30AD2455">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环保措施</w:t>
            </w:r>
          </w:p>
        </w:tc>
        <w:tc>
          <w:tcPr>
            <w:tcW w:w="4272" w:type="pct"/>
            <w:gridSpan w:val="13"/>
            <w:vAlign w:val="center"/>
          </w:tcPr>
          <w:p w14:paraId="7D579AE8">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污水处理设施 □；水文减缓设施 □；生态流量保障设施 □；区域削减 □；依托其他工程措施 √；其他 □</w:t>
            </w:r>
          </w:p>
        </w:tc>
      </w:tr>
      <w:tr w14:paraId="6E4AB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0BF2287E">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restart"/>
            <w:vAlign w:val="center"/>
          </w:tcPr>
          <w:p w14:paraId="64081647">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监测计划</w:t>
            </w:r>
          </w:p>
        </w:tc>
        <w:tc>
          <w:tcPr>
            <w:tcW w:w="1081" w:type="pct"/>
            <w:gridSpan w:val="2"/>
            <w:vAlign w:val="center"/>
          </w:tcPr>
          <w:p w14:paraId="254B9DF3">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1580" w:type="pct"/>
            <w:gridSpan w:val="6"/>
            <w:vAlign w:val="center"/>
          </w:tcPr>
          <w:p w14:paraId="60F74C4A">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环境质量</w:t>
            </w:r>
          </w:p>
        </w:tc>
        <w:tc>
          <w:tcPr>
            <w:tcW w:w="1611" w:type="pct"/>
            <w:gridSpan w:val="5"/>
            <w:vAlign w:val="center"/>
          </w:tcPr>
          <w:p w14:paraId="0A36AAFF">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污染源</w:t>
            </w:r>
          </w:p>
        </w:tc>
      </w:tr>
      <w:tr w14:paraId="7EB48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42B3BAF5">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continue"/>
            <w:vAlign w:val="center"/>
          </w:tcPr>
          <w:p w14:paraId="04181536">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1081" w:type="pct"/>
            <w:gridSpan w:val="2"/>
            <w:vAlign w:val="center"/>
          </w:tcPr>
          <w:p w14:paraId="2AF261AE">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监测方式</w:t>
            </w:r>
          </w:p>
        </w:tc>
        <w:tc>
          <w:tcPr>
            <w:tcW w:w="1580" w:type="pct"/>
            <w:gridSpan w:val="6"/>
            <w:vAlign w:val="center"/>
          </w:tcPr>
          <w:p w14:paraId="2F9A185E">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手动 □；自动 □；无监测 √</w:t>
            </w:r>
          </w:p>
        </w:tc>
        <w:tc>
          <w:tcPr>
            <w:tcW w:w="1611" w:type="pct"/>
            <w:gridSpan w:val="5"/>
            <w:vAlign w:val="center"/>
          </w:tcPr>
          <w:p w14:paraId="45A5A4EA">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手动 □；自动 □；无监测 √</w:t>
            </w:r>
          </w:p>
        </w:tc>
      </w:tr>
      <w:tr w14:paraId="30A7A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6F674600">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continue"/>
            <w:vAlign w:val="center"/>
          </w:tcPr>
          <w:p w14:paraId="67F5533A">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1081" w:type="pct"/>
            <w:gridSpan w:val="2"/>
            <w:vAlign w:val="center"/>
          </w:tcPr>
          <w:p w14:paraId="4986C132">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监测点位</w:t>
            </w:r>
          </w:p>
        </w:tc>
        <w:tc>
          <w:tcPr>
            <w:tcW w:w="1580" w:type="pct"/>
            <w:gridSpan w:val="6"/>
            <w:vAlign w:val="center"/>
          </w:tcPr>
          <w:p w14:paraId="51AE6EEF">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xml:space="preserve">（ ）  </w:t>
            </w:r>
          </w:p>
        </w:tc>
        <w:tc>
          <w:tcPr>
            <w:tcW w:w="1611" w:type="pct"/>
            <w:gridSpan w:val="5"/>
            <w:vAlign w:val="center"/>
          </w:tcPr>
          <w:p w14:paraId="2BE2A383">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xml:space="preserve">（ ）  </w:t>
            </w:r>
          </w:p>
        </w:tc>
      </w:tr>
      <w:tr w14:paraId="166F7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2AABEC32">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continue"/>
            <w:vAlign w:val="center"/>
          </w:tcPr>
          <w:p w14:paraId="209116A1">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1081" w:type="pct"/>
            <w:gridSpan w:val="2"/>
            <w:vAlign w:val="center"/>
          </w:tcPr>
          <w:p w14:paraId="791DD781">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监测因子</w:t>
            </w:r>
          </w:p>
        </w:tc>
        <w:tc>
          <w:tcPr>
            <w:tcW w:w="1580" w:type="pct"/>
            <w:gridSpan w:val="6"/>
            <w:vAlign w:val="center"/>
          </w:tcPr>
          <w:p w14:paraId="08E178D6">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xml:space="preserve">（ ）  </w:t>
            </w:r>
          </w:p>
        </w:tc>
        <w:tc>
          <w:tcPr>
            <w:tcW w:w="1611" w:type="pct"/>
            <w:gridSpan w:val="5"/>
            <w:vAlign w:val="center"/>
          </w:tcPr>
          <w:p w14:paraId="4CE55EB7">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xml:space="preserve">（ ）  </w:t>
            </w:r>
          </w:p>
        </w:tc>
      </w:tr>
      <w:tr w14:paraId="3A359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4E055BA8">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3E9A11C0">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污染物排放清单</w:t>
            </w:r>
          </w:p>
        </w:tc>
        <w:tc>
          <w:tcPr>
            <w:tcW w:w="4272" w:type="pct"/>
            <w:gridSpan w:val="13"/>
            <w:vAlign w:val="center"/>
          </w:tcPr>
          <w:p w14:paraId="37A7C4CC">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w:t>
            </w:r>
          </w:p>
        </w:tc>
      </w:tr>
      <w:tr w14:paraId="68AB9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8" w:type="pct"/>
            <w:gridSpan w:val="2"/>
            <w:vAlign w:val="center"/>
          </w:tcPr>
          <w:p w14:paraId="35ADA5CE">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评价结论</w:t>
            </w:r>
          </w:p>
        </w:tc>
        <w:tc>
          <w:tcPr>
            <w:tcW w:w="4272" w:type="pct"/>
            <w:gridSpan w:val="13"/>
            <w:vAlign w:val="center"/>
          </w:tcPr>
          <w:p w14:paraId="61BE9D76">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可以接受 √；不可以接受 □</w:t>
            </w:r>
          </w:p>
        </w:tc>
      </w:tr>
      <w:tr w14:paraId="0F75A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15"/>
            <w:vAlign w:val="center"/>
          </w:tcPr>
          <w:p w14:paraId="1A0A1288">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注：“□”为勾选项，可√；“（ ）”为内容填写项；“备注”为其他补充内容。</w:t>
            </w:r>
          </w:p>
        </w:tc>
      </w:tr>
    </w:tbl>
    <w:p w14:paraId="2EF84ECB">
      <w:pPr>
        <w:pStyle w:val="103"/>
        <w:ind w:left="0"/>
        <w:jc w:val="left"/>
        <w:rPr>
          <w:rFonts w:ascii="Times New Roman" w:hAnsi="Times New Roman"/>
          <w:color w:val="auto"/>
          <w:w w:val="99"/>
          <w:highlight w:val="none"/>
        </w:rPr>
      </w:pPr>
    </w:p>
    <w:p w14:paraId="06F37C6B">
      <w:pPr>
        <w:pStyle w:val="102"/>
        <w:rPr>
          <w:rFonts w:hint="default" w:ascii="Times New Roman" w:hAnsi="Times New Roman"/>
          <w:color w:val="auto"/>
          <w:w w:val="99"/>
          <w:highlight w:val="none"/>
        </w:rPr>
      </w:pPr>
    </w:p>
    <w:p w14:paraId="45F8D0F7">
      <w:pPr>
        <w:widowControl w:val="0"/>
        <w:spacing w:line="440" w:lineRule="exact"/>
        <w:jc w:val="both"/>
        <w:outlineLvl w:val="1"/>
        <w:rPr>
          <w:rFonts w:ascii="Times New Roman" w:hAnsi="Times New Roman" w:cs="Times New Roman"/>
          <w:color w:val="auto"/>
          <w:w w:val="99"/>
          <w:highlight w:val="none"/>
          <w:lang w:bidi="zh-CN"/>
        </w:rPr>
      </w:pPr>
      <w:bookmarkStart w:id="1375" w:name="_Toc173163577"/>
      <w:bookmarkStart w:id="1376" w:name="_Toc9364"/>
      <w:bookmarkStart w:id="1377" w:name="_Toc106810445"/>
      <w:r>
        <w:rPr>
          <w:rFonts w:hint="eastAsia" w:ascii="Times New Roman" w:hAnsi="Times New Roman" w:cs="Times New Roman"/>
          <w:color w:val="auto"/>
          <w:w w:val="99"/>
          <w:highlight w:val="none"/>
          <w:lang w:bidi="zh-CN"/>
        </w:rPr>
        <w:t>附表5：生态影响评价自查表</w:t>
      </w:r>
      <w:bookmarkEnd w:id="1375"/>
      <w:bookmarkEnd w:id="1376"/>
      <w:bookmarkEnd w:id="1377"/>
    </w:p>
    <w:tbl>
      <w:tblPr>
        <w:tblStyle w:val="8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01"/>
        <w:gridCol w:w="6230"/>
      </w:tblGrid>
      <w:tr w14:paraId="5931B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30" w:type="dxa"/>
            <w:gridSpan w:val="2"/>
            <w:vAlign w:val="center"/>
          </w:tcPr>
          <w:p w14:paraId="75756121">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工作内容</w:t>
            </w:r>
          </w:p>
        </w:tc>
        <w:tc>
          <w:tcPr>
            <w:tcW w:w="6230" w:type="dxa"/>
            <w:vAlign w:val="center"/>
          </w:tcPr>
          <w:p w14:paraId="331C212E">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自查项目</w:t>
            </w:r>
          </w:p>
        </w:tc>
      </w:tr>
      <w:tr w14:paraId="02B6C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restart"/>
            <w:vAlign w:val="center"/>
          </w:tcPr>
          <w:p w14:paraId="62EC6DCA">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生态影响识别</w:t>
            </w:r>
          </w:p>
        </w:tc>
        <w:tc>
          <w:tcPr>
            <w:tcW w:w="1701" w:type="dxa"/>
            <w:vAlign w:val="center"/>
          </w:tcPr>
          <w:p w14:paraId="233CD9A4">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生态保护目标</w:t>
            </w:r>
          </w:p>
        </w:tc>
        <w:tc>
          <w:tcPr>
            <w:tcW w:w="6230" w:type="dxa"/>
            <w:vAlign w:val="center"/>
          </w:tcPr>
          <w:p w14:paraId="70763AB2">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重要物种□；国家公园□；自然保护区□；自然公园□；世界自然遗产□；生态保护红线□；重要生境□；其他具有重要生态功能、对保护生物多样性具有重要意义的区域□；其他</w:t>
            </w:r>
            <w:r>
              <w:rPr>
                <w:rFonts w:ascii="Times New Roman" w:hAnsi="Times New Roman" w:cs="Times New Roman" w:eastAsiaTheme="minorEastAsia"/>
                <w:color w:val="auto"/>
                <w:w w:val="99"/>
                <w:kern w:val="21"/>
                <w:sz w:val="21"/>
                <w:szCs w:val="21"/>
                <w:highlight w:val="none"/>
              </w:rPr>
              <w:sym w:font="Wingdings" w:char="00FE"/>
            </w:r>
          </w:p>
        </w:tc>
      </w:tr>
      <w:tr w14:paraId="08F1E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38381739">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701" w:type="dxa"/>
            <w:vAlign w:val="center"/>
          </w:tcPr>
          <w:p w14:paraId="5ADFBAAD">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影响方式</w:t>
            </w:r>
          </w:p>
        </w:tc>
        <w:tc>
          <w:tcPr>
            <w:tcW w:w="6230" w:type="dxa"/>
            <w:vAlign w:val="center"/>
          </w:tcPr>
          <w:p w14:paraId="54096EF1">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工程占用</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；施工活动干扰</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；改变环境条件□；其他□</w:t>
            </w:r>
          </w:p>
        </w:tc>
      </w:tr>
      <w:tr w14:paraId="32144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42A5F897">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701" w:type="dxa"/>
            <w:vAlign w:val="center"/>
          </w:tcPr>
          <w:p w14:paraId="743E8342">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评价因子</w:t>
            </w:r>
          </w:p>
        </w:tc>
        <w:tc>
          <w:tcPr>
            <w:tcW w:w="6230" w:type="dxa"/>
            <w:vAlign w:val="center"/>
          </w:tcPr>
          <w:p w14:paraId="1D3E62FB">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物种</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（分布范围、种群数量、种群结构、行为）</w:t>
            </w:r>
          </w:p>
          <w:p w14:paraId="7D67EF27">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生境</w:t>
            </w:r>
            <w:r>
              <w:rPr>
                <w:rFonts w:ascii="Times New Roman" w:hAnsi="Times New Roman" w:cs="Times New Roman" w:eastAsiaTheme="minorEastAsia"/>
                <w:color w:val="auto"/>
                <w:w w:val="99"/>
                <w:sz w:val="21"/>
                <w:szCs w:val="21"/>
                <w:highlight w:val="none"/>
              </w:rPr>
              <w:sym w:font="Wingdings" w:char="00FE"/>
            </w:r>
            <w:r>
              <w:rPr>
                <w:rFonts w:ascii="Times New Roman" w:hAnsi="Times New Roman" w:cs="Times New Roman" w:eastAsiaTheme="minorEastAsia"/>
                <w:color w:val="auto"/>
                <w:w w:val="99"/>
                <w:sz w:val="21"/>
                <w:szCs w:val="21"/>
                <w:highlight w:val="none"/>
              </w:rPr>
              <w:t>（生境面积、质量、连通性）</w:t>
            </w:r>
          </w:p>
          <w:p w14:paraId="174E9F4F">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生物群落</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（物种组成、群落结构）</w:t>
            </w:r>
          </w:p>
          <w:p w14:paraId="3E426228">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生态系统</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（植被覆盖度、生产力、生物量、生态系统功能）</w:t>
            </w:r>
          </w:p>
          <w:p w14:paraId="13BC64D0">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生物多样性</w:t>
            </w:r>
            <w:r>
              <w:rPr>
                <w:rFonts w:ascii="Times New Roman" w:hAnsi="Times New Roman" w:cs="Times New Roman" w:eastAsiaTheme="minorEastAsia"/>
                <w:color w:val="auto"/>
                <w:w w:val="99"/>
                <w:sz w:val="21"/>
                <w:szCs w:val="21"/>
                <w:highlight w:val="none"/>
              </w:rPr>
              <w:sym w:font="Wingdings" w:char="00FE"/>
            </w:r>
            <w:r>
              <w:rPr>
                <w:rFonts w:ascii="Times New Roman" w:hAnsi="Times New Roman" w:cs="Times New Roman" w:eastAsiaTheme="minorEastAsia"/>
                <w:color w:val="auto"/>
                <w:w w:val="99"/>
                <w:sz w:val="21"/>
                <w:szCs w:val="21"/>
                <w:highlight w:val="none"/>
              </w:rPr>
              <w:t>（物种丰富度、均匀度、优势度）</w:t>
            </w:r>
          </w:p>
          <w:p w14:paraId="3D742F98">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生态敏感区□（ ）</w:t>
            </w:r>
          </w:p>
          <w:p w14:paraId="2D529E41">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自然景观□（ ）</w:t>
            </w:r>
          </w:p>
          <w:p w14:paraId="558DFAC1">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自然遗迹□（ ）</w:t>
            </w:r>
          </w:p>
          <w:p w14:paraId="42D9A178">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其他□（ ）</w:t>
            </w:r>
          </w:p>
        </w:tc>
      </w:tr>
      <w:tr w14:paraId="62676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30" w:type="dxa"/>
            <w:gridSpan w:val="2"/>
            <w:vAlign w:val="center"/>
          </w:tcPr>
          <w:p w14:paraId="4FD68791">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评价等级</w:t>
            </w:r>
          </w:p>
        </w:tc>
        <w:tc>
          <w:tcPr>
            <w:tcW w:w="6230" w:type="dxa"/>
            <w:vAlign w:val="center"/>
          </w:tcPr>
          <w:p w14:paraId="741B9D1D">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一级□ 二级</w:t>
            </w:r>
            <w:r>
              <w:rPr>
                <w:rFonts w:ascii="Times New Roman" w:hAnsi="Times New Roman" w:cs="Times New Roman" w:eastAsiaTheme="minorEastAsia"/>
                <w:color w:val="auto"/>
                <w:w w:val="99"/>
                <w:sz w:val="21"/>
                <w:szCs w:val="21"/>
                <w:highlight w:val="none"/>
              </w:rPr>
              <w:sym w:font="Wingdings" w:char="00A8"/>
            </w:r>
            <w:r>
              <w:rPr>
                <w:rFonts w:ascii="Times New Roman" w:hAnsi="Times New Roman" w:cs="Times New Roman" w:eastAsiaTheme="minorEastAsia"/>
                <w:color w:val="auto"/>
                <w:w w:val="99"/>
                <w:sz w:val="21"/>
                <w:szCs w:val="21"/>
                <w:highlight w:val="none"/>
              </w:rPr>
              <w:t xml:space="preserve"> 三级</w:t>
            </w:r>
            <w:r>
              <w:rPr>
                <w:rFonts w:hint="eastAsia" w:ascii="Times New Roman" w:hAnsi="Times New Roman" w:cs="Times New Roman" w:eastAsiaTheme="minorEastAsia"/>
                <w:color w:val="auto"/>
                <w:w w:val="99"/>
                <w:kern w:val="21"/>
                <w:sz w:val="21"/>
                <w:szCs w:val="21"/>
                <w:highlight w:val="none"/>
              </w:rPr>
              <w:t>☑</w:t>
            </w:r>
            <w:r>
              <w:rPr>
                <w:rFonts w:ascii="Times New Roman" w:hAnsi="Times New Roman" w:cs="Times New Roman" w:eastAsiaTheme="minorEastAsia"/>
                <w:color w:val="auto"/>
                <w:w w:val="99"/>
                <w:sz w:val="21"/>
                <w:szCs w:val="21"/>
                <w:highlight w:val="none"/>
              </w:rPr>
              <w:t xml:space="preserve"> 生态影响简单分析□</w:t>
            </w:r>
          </w:p>
        </w:tc>
      </w:tr>
      <w:tr w14:paraId="23018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30" w:type="dxa"/>
            <w:gridSpan w:val="2"/>
            <w:vAlign w:val="center"/>
          </w:tcPr>
          <w:p w14:paraId="32F8032A">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评价范围</w:t>
            </w:r>
          </w:p>
        </w:tc>
        <w:tc>
          <w:tcPr>
            <w:tcW w:w="6230" w:type="dxa"/>
            <w:vAlign w:val="center"/>
          </w:tcPr>
          <w:p w14:paraId="6F9E326E">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陆域面积：（ </w:t>
            </w:r>
            <w:r>
              <w:rPr>
                <w:rFonts w:hint="eastAsia" w:ascii="Times New Roman" w:hAnsi="Times New Roman" w:cs="Times New Roman" w:eastAsiaTheme="minorEastAsia"/>
                <w:color w:val="auto"/>
                <w:w w:val="99"/>
                <w:sz w:val="21"/>
                <w:szCs w:val="21"/>
                <w:highlight w:val="none"/>
                <w:lang w:val="en-US" w:eastAsia="zh-CN"/>
              </w:rPr>
              <w:t>0.58</w:t>
            </w:r>
            <w:r>
              <w:rPr>
                <w:rFonts w:ascii="Times New Roman" w:hAnsi="Times New Roman" w:cs="Times New Roman" w:eastAsiaTheme="minorEastAsia"/>
                <w:color w:val="auto"/>
                <w:w w:val="99"/>
                <w:sz w:val="21"/>
                <w:szCs w:val="21"/>
                <w:highlight w:val="none"/>
              </w:rPr>
              <w:t>）km</w:t>
            </w:r>
            <w:r>
              <w:rPr>
                <w:rFonts w:ascii="Times New Roman" w:hAnsi="Times New Roman" w:cs="Times New Roman" w:eastAsiaTheme="minorEastAsia"/>
                <w:color w:val="auto"/>
                <w:w w:val="99"/>
                <w:sz w:val="21"/>
                <w:szCs w:val="21"/>
                <w:highlight w:val="none"/>
                <w:vertAlign w:val="superscript"/>
              </w:rPr>
              <w:t>2</w:t>
            </w:r>
            <w:r>
              <w:rPr>
                <w:rFonts w:ascii="Times New Roman" w:hAnsi="Times New Roman" w:cs="Times New Roman" w:eastAsiaTheme="minorEastAsia"/>
                <w:color w:val="auto"/>
                <w:w w:val="99"/>
                <w:sz w:val="21"/>
                <w:szCs w:val="21"/>
                <w:highlight w:val="none"/>
              </w:rPr>
              <w:t>；水域面积：（ ）km</w:t>
            </w:r>
            <w:r>
              <w:rPr>
                <w:rFonts w:ascii="Times New Roman" w:hAnsi="Times New Roman" w:cs="Times New Roman" w:eastAsiaTheme="minorEastAsia"/>
                <w:color w:val="auto"/>
                <w:w w:val="99"/>
                <w:sz w:val="21"/>
                <w:szCs w:val="21"/>
                <w:highlight w:val="none"/>
                <w:vertAlign w:val="superscript"/>
              </w:rPr>
              <w:t>2</w:t>
            </w:r>
          </w:p>
        </w:tc>
      </w:tr>
      <w:tr w14:paraId="20BE8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restart"/>
            <w:vAlign w:val="center"/>
          </w:tcPr>
          <w:p w14:paraId="0D9BD5AF">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生态现状调查与评价</w:t>
            </w:r>
          </w:p>
        </w:tc>
        <w:tc>
          <w:tcPr>
            <w:tcW w:w="1701" w:type="dxa"/>
            <w:vAlign w:val="center"/>
          </w:tcPr>
          <w:p w14:paraId="2E6165CE">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调查方法</w:t>
            </w:r>
          </w:p>
        </w:tc>
        <w:tc>
          <w:tcPr>
            <w:tcW w:w="6230" w:type="dxa"/>
            <w:vAlign w:val="center"/>
          </w:tcPr>
          <w:p w14:paraId="698B5165">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资料收集</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；遥感调查</w:t>
            </w:r>
            <w:r>
              <w:rPr>
                <w:rFonts w:ascii="Times New Roman" w:hAnsi="Times New Roman" w:cs="Times New Roman" w:eastAsiaTheme="minorEastAsia"/>
                <w:color w:val="auto"/>
                <w:w w:val="99"/>
                <w:sz w:val="21"/>
                <w:szCs w:val="21"/>
                <w:highlight w:val="none"/>
              </w:rPr>
              <w:sym w:font="Wingdings" w:char="00FE"/>
            </w:r>
            <w:r>
              <w:rPr>
                <w:rFonts w:ascii="Times New Roman" w:hAnsi="Times New Roman" w:cs="Times New Roman" w:eastAsiaTheme="minorEastAsia"/>
                <w:color w:val="auto"/>
                <w:w w:val="99"/>
                <w:sz w:val="21"/>
                <w:szCs w:val="21"/>
                <w:highlight w:val="none"/>
              </w:rPr>
              <w:t>；调查样方、样线□；调查点位、断面□；专家和公众咨询法□；其他□</w:t>
            </w:r>
          </w:p>
        </w:tc>
      </w:tr>
      <w:tr w14:paraId="3CEAB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49443A21">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701" w:type="dxa"/>
            <w:vAlign w:val="center"/>
          </w:tcPr>
          <w:p w14:paraId="5976F248">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调查时间</w:t>
            </w:r>
          </w:p>
        </w:tc>
        <w:tc>
          <w:tcPr>
            <w:tcW w:w="6230" w:type="dxa"/>
            <w:vAlign w:val="center"/>
          </w:tcPr>
          <w:p w14:paraId="43399C62">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春季□；夏季</w:t>
            </w:r>
            <w:r>
              <w:rPr>
                <w:rFonts w:hint="eastAsia" w:ascii="Times New Roman" w:hAnsi="Times New Roman" w:cs="Times New Roman" w:eastAsiaTheme="minorEastAsia"/>
                <w:color w:val="auto"/>
                <w:w w:val="99"/>
                <w:kern w:val="21"/>
                <w:sz w:val="21"/>
                <w:szCs w:val="21"/>
                <w:highlight w:val="none"/>
                <w:lang w:eastAsia="zh-CN"/>
              </w:rPr>
              <w:t>☑</w:t>
            </w:r>
            <w:r>
              <w:rPr>
                <w:rFonts w:ascii="Times New Roman" w:hAnsi="Times New Roman" w:cs="Times New Roman" w:eastAsiaTheme="minorEastAsia"/>
                <w:color w:val="auto"/>
                <w:w w:val="99"/>
                <w:sz w:val="21"/>
                <w:szCs w:val="21"/>
                <w:highlight w:val="none"/>
              </w:rPr>
              <w:t>；秋季</w:t>
            </w:r>
            <w:r>
              <w:rPr>
                <w:rFonts w:ascii="Times New Roman" w:hAnsi="Times New Roman" w:cs="Times New Roman" w:eastAsiaTheme="minorEastAsia"/>
                <w:color w:val="auto"/>
                <w:w w:val="99"/>
                <w:sz w:val="21"/>
                <w:szCs w:val="21"/>
                <w:highlight w:val="none"/>
              </w:rPr>
              <w:sym w:font="Wingdings" w:char="00A8"/>
            </w:r>
            <w:r>
              <w:rPr>
                <w:rFonts w:ascii="Times New Roman" w:hAnsi="Times New Roman" w:cs="Times New Roman" w:eastAsiaTheme="minorEastAsia"/>
                <w:color w:val="auto"/>
                <w:w w:val="99"/>
                <w:sz w:val="21"/>
                <w:szCs w:val="21"/>
                <w:highlight w:val="none"/>
              </w:rPr>
              <w:t>；冬季□</w:t>
            </w:r>
          </w:p>
          <w:p w14:paraId="1431287B">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丰水期□；枯水期□；平水期□</w:t>
            </w:r>
          </w:p>
        </w:tc>
      </w:tr>
      <w:tr w14:paraId="48DC3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13A56084">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701" w:type="dxa"/>
            <w:vAlign w:val="center"/>
          </w:tcPr>
          <w:p w14:paraId="4A745BBA">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所在区域的生态问题</w:t>
            </w:r>
          </w:p>
        </w:tc>
        <w:tc>
          <w:tcPr>
            <w:tcW w:w="6230" w:type="dxa"/>
            <w:vAlign w:val="center"/>
          </w:tcPr>
          <w:p w14:paraId="6CEFDC1D">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水土流失□；沙漠化□；石漠化□；盐渍化</w:t>
            </w:r>
            <w:r>
              <w:rPr>
                <w:rFonts w:hint="eastAsia" w:ascii="Times New Roman" w:hAnsi="Times New Roman" w:cs="Times New Roman" w:eastAsiaTheme="minorEastAsia"/>
                <w:color w:val="auto"/>
                <w:w w:val="99"/>
                <w:sz w:val="21"/>
                <w:szCs w:val="21"/>
                <w:highlight w:val="none"/>
                <w:lang w:eastAsia="zh-CN"/>
              </w:rPr>
              <w:t>☑</w:t>
            </w:r>
            <w:r>
              <w:rPr>
                <w:rFonts w:ascii="Times New Roman" w:hAnsi="Times New Roman" w:cs="Times New Roman" w:eastAsiaTheme="minorEastAsia"/>
                <w:color w:val="auto"/>
                <w:w w:val="99"/>
                <w:sz w:val="21"/>
                <w:szCs w:val="21"/>
                <w:highlight w:val="none"/>
              </w:rPr>
              <w:t>；生物入侵□；污染危害□；其他□</w:t>
            </w:r>
          </w:p>
        </w:tc>
      </w:tr>
      <w:tr w14:paraId="133EA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42BC35A2">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701" w:type="dxa"/>
            <w:vAlign w:val="center"/>
          </w:tcPr>
          <w:p w14:paraId="496272D9">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评价内容</w:t>
            </w:r>
          </w:p>
        </w:tc>
        <w:tc>
          <w:tcPr>
            <w:tcW w:w="6230" w:type="dxa"/>
            <w:vAlign w:val="center"/>
          </w:tcPr>
          <w:p w14:paraId="60DCD75B">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植被/植物群落</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；土地利用</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；生态系统</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；生物多样性</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；重要物种□；生态敏感区□；其他□</w:t>
            </w:r>
          </w:p>
        </w:tc>
      </w:tr>
      <w:tr w14:paraId="2C53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restart"/>
            <w:vAlign w:val="center"/>
          </w:tcPr>
          <w:p w14:paraId="65922A7D">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生态影响预测与评价</w:t>
            </w:r>
          </w:p>
        </w:tc>
        <w:tc>
          <w:tcPr>
            <w:tcW w:w="1701" w:type="dxa"/>
            <w:vAlign w:val="center"/>
          </w:tcPr>
          <w:p w14:paraId="3374EEB4">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评价方法</w:t>
            </w:r>
          </w:p>
        </w:tc>
        <w:tc>
          <w:tcPr>
            <w:tcW w:w="6230" w:type="dxa"/>
            <w:vAlign w:val="center"/>
          </w:tcPr>
          <w:p w14:paraId="27F63B72">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定性</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；定性和定量□</w:t>
            </w:r>
          </w:p>
        </w:tc>
      </w:tr>
      <w:tr w14:paraId="71BEF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11AD7F52">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701" w:type="dxa"/>
            <w:vAlign w:val="center"/>
          </w:tcPr>
          <w:p w14:paraId="47FA1C71">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评价内容</w:t>
            </w:r>
          </w:p>
        </w:tc>
        <w:tc>
          <w:tcPr>
            <w:tcW w:w="6230" w:type="dxa"/>
            <w:vAlign w:val="center"/>
          </w:tcPr>
          <w:p w14:paraId="612208F8">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植被/植物群落</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；土地利用</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；生态系统</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；生物多样性</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；重要物种□；生态敏感区□；生物入侵风险□；其他□</w:t>
            </w:r>
          </w:p>
        </w:tc>
      </w:tr>
      <w:tr w14:paraId="49EF9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restart"/>
            <w:vAlign w:val="center"/>
          </w:tcPr>
          <w:p w14:paraId="471D0296">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生态保护对策措施</w:t>
            </w:r>
          </w:p>
        </w:tc>
        <w:tc>
          <w:tcPr>
            <w:tcW w:w="1701" w:type="dxa"/>
            <w:vAlign w:val="center"/>
          </w:tcPr>
          <w:p w14:paraId="3EF91A78">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对策措施</w:t>
            </w:r>
          </w:p>
        </w:tc>
        <w:tc>
          <w:tcPr>
            <w:tcW w:w="6230" w:type="dxa"/>
            <w:vAlign w:val="center"/>
          </w:tcPr>
          <w:p w14:paraId="75794F99">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避让□；减缓</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；生态修复</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；生态补偿</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；科研□；其他□</w:t>
            </w:r>
          </w:p>
        </w:tc>
      </w:tr>
      <w:tr w14:paraId="42616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0696AC30">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701" w:type="dxa"/>
            <w:vAlign w:val="center"/>
          </w:tcPr>
          <w:p w14:paraId="5D585EBD">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生态监测计划</w:t>
            </w:r>
          </w:p>
        </w:tc>
        <w:tc>
          <w:tcPr>
            <w:tcW w:w="6230" w:type="dxa"/>
            <w:vAlign w:val="center"/>
          </w:tcPr>
          <w:p w14:paraId="2237666F">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全生命周期</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；长期跟踪□；常规□；无□</w:t>
            </w:r>
          </w:p>
        </w:tc>
      </w:tr>
      <w:tr w14:paraId="786AD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2DD6DA4B">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701" w:type="dxa"/>
            <w:vAlign w:val="center"/>
          </w:tcPr>
          <w:p w14:paraId="26812E0A">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环境管理</w:t>
            </w:r>
          </w:p>
        </w:tc>
        <w:tc>
          <w:tcPr>
            <w:tcW w:w="6230" w:type="dxa"/>
            <w:vAlign w:val="center"/>
          </w:tcPr>
          <w:p w14:paraId="44CFF15A">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环境监理</w:t>
            </w:r>
            <w:r>
              <w:rPr>
                <w:rFonts w:ascii="Times New Roman" w:hAnsi="Times New Roman" w:cs="Times New Roman" w:eastAsiaTheme="minorEastAsia"/>
                <w:color w:val="auto"/>
                <w:w w:val="99"/>
                <w:kern w:val="21"/>
                <w:sz w:val="21"/>
                <w:szCs w:val="21"/>
                <w:highlight w:val="none"/>
              </w:rPr>
              <w:t>□</w:t>
            </w:r>
            <w:r>
              <w:rPr>
                <w:rFonts w:ascii="Times New Roman" w:hAnsi="Times New Roman" w:cs="Times New Roman" w:eastAsiaTheme="minorEastAsia"/>
                <w:color w:val="auto"/>
                <w:w w:val="99"/>
                <w:sz w:val="21"/>
                <w:szCs w:val="21"/>
                <w:highlight w:val="none"/>
              </w:rPr>
              <w:t>；环境影响后评价□；其他</w:t>
            </w:r>
            <w:r>
              <w:rPr>
                <w:rFonts w:ascii="Times New Roman" w:hAnsi="Times New Roman" w:cs="Times New Roman" w:eastAsiaTheme="minorEastAsia"/>
                <w:color w:val="auto"/>
                <w:w w:val="99"/>
                <w:sz w:val="21"/>
                <w:szCs w:val="21"/>
                <w:highlight w:val="none"/>
              </w:rPr>
              <w:sym w:font="Wingdings" w:char="00FE"/>
            </w:r>
          </w:p>
        </w:tc>
      </w:tr>
      <w:tr w14:paraId="58467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Align w:val="center"/>
          </w:tcPr>
          <w:p w14:paraId="3651BFD5">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评价结论</w:t>
            </w:r>
          </w:p>
        </w:tc>
        <w:tc>
          <w:tcPr>
            <w:tcW w:w="1701" w:type="dxa"/>
            <w:vAlign w:val="center"/>
          </w:tcPr>
          <w:p w14:paraId="79391F86">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生态影响</w:t>
            </w:r>
          </w:p>
        </w:tc>
        <w:tc>
          <w:tcPr>
            <w:tcW w:w="6230" w:type="dxa"/>
            <w:vAlign w:val="center"/>
          </w:tcPr>
          <w:p w14:paraId="1F7B4D05">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可行</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；不可行□</w:t>
            </w:r>
          </w:p>
        </w:tc>
      </w:tr>
      <w:tr w14:paraId="55D7E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060" w:type="dxa"/>
            <w:gridSpan w:val="3"/>
            <w:vAlign w:val="center"/>
          </w:tcPr>
          <w:p w14:paraId="23502CEB">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注： “□” 为勾选项 ，可√ ；“（ ）” 为内容填写项。</w:t>
            </w:r>
          </w:p>
        </w:tc>
      </w:tr>
    </w:tbl>
    <w:p w14:paraId="5721A01B">
      <w:pPr>
        <w:rPr>
          <w:rFonts w:ascii="Times New Roman" w:hAnsi="Times New Roman" w:cs="Times New Roman"/>
          <w:color w:val="auto"/>
          <w:w w:val="99"/>
          <w:highlight w:val="none"/>
        </w:rPr>
      </w:pPr>
    </w:p>
    <w:p w14:paraId="40081289">
      <w:pPr>
        <w:pStyle w:val="102"/>
        <w:rPr>
          <w:rFonts w:hint="default" w:ascii="Times New Roman" w:hAnsi="Times New Roman"/>
          <w:color w:val="auto"/>
          <w:w w:val="99"/>
          <w:highlight w:val="none"/>
        </w:rPr>
      </w:pPr>
    </w:p>
    <w:p w14:paraId="10BBECBC">
      <w:pPr>
        <w:pStyle w:val="102"/>
        <w:rPr>
          <w:rFonts w:hint="default" w:ascii="Times New Roman" w:hAnsi="Times New Roman"/>
          <w:color w:val="auto"/>
          <w:w w:val="99"/>
          <w:highlight w:val="none"/>
        </w:rPr>
      </w:pPr>
    </w:p>
    <w:p w14:paraId="1475AF68">
      <w:pPr>
        <w:pStyle w:val="102"/>
        <w:rPr>
          <w:rFonts w:hint="default" w:ascii="Times New Roman" w:hAnsi="Times New Roman"/>
          <w:color w:val="auto"/>
          <w:w w:val="99"/>
          <w:highlight w:val="none"/>
        </w:rPr>
      </w:pPr>
    </w:p>
    <w:p w14:paraId="01D6EAB9">
      <w:pPr>
        <w:pStyle w:val="102"/>
        <w:rPr>
          <w:rFonts w:hint="default" w:ascii="Times New Roman" w:hAnsi="Times New Roman"/>
          <w:color w:val="auto"/>
          <w:w w:val="99"/>
          <w:highlight w:val="none"/>
        </w:rPr>
      </w:pPr>
    </w:p>
    <w:p w14:paraId="2CF768B1">
      <w:pPr>
        <w:pStyle w:val="102"/>
        <w:rPr>
          <w:rFonts w:hint="default" w:ascii="Times New Roman" w:hAnsi="Times New Roman"/>
          <w:color w:val="auto"/>
          <w:w w:val="99"/>
          <w:highlight w:val="none"/>
        </w:rPr>
      </w:pPr>
    </w:p>
    <w:p w14:paraId="69DAC486">
      <w:pPr>
        <w:rPr>
          <w:rFonts w:hint="default" w:ascii="Times New Roman" w:hAnsi="Times New Roman"/>
          <w:color w:val="auto"/>
          <w:w w:val="99"/>
          <w:highlight w:val="none"/>
        </w:rPr>
      </w:pPr>
    </w:p>
    <w:p w14:paraId="2A2631DA">
      <w:pPr>
        <w:rPr>
          <w:rFonts w:hint="default" w:ascii="Times New Roman" w:hAnsi="Times New Roman"/>
          <w:color w:val="auto"/>
          <w:w w:val="99"/>
          <w:highlight w:val="none"/>
        </w:rPr>
      </w:pPr>
    </w:p>
    <w:p w14:paraId="6FD044D7">
      <w:pPr>
        <w:rPr>
          <w:rFonts w:hint="default" w:ascii="Times New Roman" w:hAnsi="Times New Roman"/>
          <w:color w:val="auto"/>
          <w:w w:val="99"/>
          <w:highlight w:val="none"/>
        </w:rPr>
      </w:pPr>
    </w:p>
    <w:p w14:paraId="2A780B99">
      <w:pPr>
        <w:pStyle w:val="102"/>
        <w:rPr>
          <w:rFonts w:hint="default" w:ascii="Times New Roman" w:hAnsi="Times New Roman"/>
          <w:color w:val="auto"/>
          <w:w w:val="99"/>
          <w:highlight w:val="none"/>
        </w:rPr>
      </w:pPr>
    </w:p>
    <w:p w14:paraId="5A61A706">
      <w:pPr>
        <w:pStyle w:val="102"/>
        <w:rPr>
          <w:rFonts w:hint="default" w:ascii="Times New Roman" w:hAnsi="Times New Roman"/>
          <w:color w:val="auto"/>
          <w:w w:val="99"/>
          <w:highlight w:val="none"/>
        </w:rPr>
      </w:pPr>
    </w:p>
    <w:p w14:paraId="6F518517">
      <w:pPr>
        <w:widowControl w:val="0"/>
        <w:spacing w:line="440" w:lineRule="exact"/>
        <w:jc w:val="both"/>
        <w:outlineLvl w:val="1"/>
        <w:rPr>
          <w:rFonts w:ascii="Times New Roman" w:hAnsi="Times New Roman" w:cs="Times New Roman"/>
          <w:color w:val="auto"/>
          <w:w w:val="99"/>
          <w:highlight w:val="none"/>
          <w:lang w:bidi="zh-CN"/>
        </w:rPr>
      </w:pPr>
      <w:bookmarkStart w:id="1378" w:name="_Toc11592"/>
      <w:bookmarkStart w:id="1379" w:name="_Toc106810446"/>
      <w:bookmarkStart w:id="1380" w:name="_Toc173163578"/>
      <w:r>
        <w:rPr>
          <w:rFonts w:hint="eastAsia" w:ascii="Times New Roman" w:hAnsi="Times New Roman" w:cs="Times New Roman"/>
          <w:color w:val="auto"/>
          <w:w w:val="99"/>
          <w:highlight w:val="none"/>
          <w:lang w:bidi="zh-CN"/>
        </w:rPr>
        <w:t>附表6：声环境影响评价自查表</w:t>
      </w:r>
      <w:bookmarkEnd w:id="1378"/>
      <w:bookmarkEnd w:id="1379"/>
      <w:bookmarkEnd w:id="1380"/>
    </w:p>
    <w:tbl>
      <w:tblPr>
        <w:tblStyle w:val="8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2"/>
        <w:gridCol w:w="1132"/>
        <w:gridCol w:w="1132"/>
        <w:gridCol w:w="568"/>
        <w:gridCol w:w="284"/>
        <w:gridCol w:w="280"/>
        <w:gridCol w:w="1133"/>
        <w:gridCol w:w="1133"/>
        <w:gridCol w:w="572"/>
        <w:gridCol w:w="561"/>
        <w:gridCol w:w="1133"/>
      </w:tblGrid>
      <w:tr w14:paraId="0B420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64" w:type="dxa"/>
            <w:gridSpan w:val="2"/>
            <w:vAlign w:val="center"/>
          </w:tcPr>
          <w:p w14:paraId="256BC37C">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工作内容</w:t>
            </w:r>
          </w:p>
        </w:tc>
        <w:tc>
          <w:tcPr>
            <w:tcW w:w="6796" w:type="dxa"/>
            <w:gridSpan w:val="9"/>
            <w:vAlign w:val="center"/>
          </w:tcPr>
          <w:p w14:paraId="323736E7">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自查项目</w:t>
            </w:r>
          </w:p>
        </w:tc>
      </w:tr>
      <w:tr w14:paraId="05401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restart"/>
            <w:vAlign w:val="center"/>
          </w:tcPr>
          <w:p w14:paraId="7E2D48F8">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评价等级与范围</w:t>
            </w:r>
          </w:p>
        </w:tc>
        <w:tc>
          <w:tcPr>
            <w:tcW w:w="1132" w:type="dxa"/>
            <w:vAlign w:val="center"/>
          </w:tcPr>
          <w:p w14:paraId="2A55487B">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评价等级</w:t>
            </w:r>
          </w:p>
        </w:tc>
        <w:tc>
          <w:tcPr>
            <w:tcW w:w="6796" w:type="dxa"/>
            <w:gridSpan w:val="9"/>
            <w:vAlign w:val="center"/>
          </w:tcPr>
          <w:p w14:paraId="24CA703A">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一级□ 二级</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三级□</w:t>
            </w:r>
          </w:p>
        </w:tc>
      </w:tr>
      <w:tr w14:paraId="76E37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06BA2C87">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132" w:type="dxa"/>
            <w:vAlign w:val="center"/>
          </w:tcPr>
          <w:p w14:paraId="2F4ADD68">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评价范围</w:t>
            </w:r>
          </w:p>
        </w:tc>
        <w:tc>
          <w:tcPr>
            <w:tcW w:w="6796" w:type="dxa"/>
            <w:gridSpan w:val="9"/>
            <w:vAlign w:val="center"/>
          </w:tcPr>
          <w:p w14:paraId="661CB89E">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200 m</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大于 200 m□ 小于 200 m□</w:t>
            </w:r>
          </w:p>
        </w:tc>
      </w:tr>
      <w:tr w14:paraId="46E00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Align w:val="center"/>
          </w:tcPr>
          <w:p w14:paraId="104FE4B8">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评价因子</w:t>
            </w:r>
          </w:p>
        </w:tc>
        <w:tc>
          <w:tcPr>
            <w:tcW w:w="1132" w:type="dxa"/>
            <w:vAlign w:val="center"/>
          </w:tcPr>
          <w:p w14:paraId="64060EC7">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评价因子</w:t>
            </w:r>
          </w:p>
        </w:tc>
        <w:tc>
          <w:tcPr>
            <w:tcW w:w="6796" w:type="dxa"/>
            <w:gridSpan w:val="9"/>
            <w:vAlign w:val="center"/>
          </w:tcPr>
          <w:p w14:paraId="5771E160">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等效连续A声级</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最大A声级□ 计权等效连续感觉噪声级□</w:t>
            </w:r>
          </w:p>
        </w:tc>
      </w:tr>
      <w:tr w14:paraId="5FECA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Align w:val="center"/>
          </w:tcPr>
          <w:p w14:paraId="1C898FFA">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评价标准</w:t>
            </w:r>
          </w:p>
        </w:tc>
        <w:tc>
          <w:tcPr>
            <w:tcW w:w="1132" w:type="dxa"/>
            <w:vAlign w:val="center"/>
          </w:tcPr>
          <w:p w14:paraId="64653AD1">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评价标准</w:t>
            </w:r>
          </w:p>
        </w:tc>
        <w:tc>
          <w:tcPr>
            <w:tcW w:w="6796" w:type="dxa"/>
            <w:gridSpan w:val="9"/>
            <w:vAlign w:val="center"/>
          </w:tcPr>
          <w:p w14:paraId="1A8E4B54">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国家标准</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地方标准□ 国外标准□</w:t>
            </w:r>
          </w:p>
        </w:tc>
      </w:tr>
      <w:tr w14:paraId="45499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restart"/>
            <w:vAlign w:val="center"/>
          </w:tcPr>
          <w:p w14:paraId="14219DFA">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现状评价</w:t>
            </w:r>
          </w:p>
        </w:tc>
        <w:tc>
          <w:tcPr>
            <w:tcW w:w="1132" w:type="dxa"/>
            <w:vAlign w:val="center"/>
          </w:tcPr>
          <w:p w14:paraId="68B64520">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环境功能区</w:t>
            </w:r>
          </w:p>
        </w:tc>
        <w:tc>
          <w:tcPr>
            <w:tcW w:w="1132" w:type="dxa"/>
            <w:vAlign w:val="center"/>
          </w:tcPr>
          <w:p w14:paraId="3386DD81">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 类区□</w:t>
            </w:r>
          </w:p>
        </w:tc>
        <w:tc>
          <w:tcPr>
            <w:tcW w:w="1132" w:type="dxa"/>
            <w:gridSpan w:val="3"/>
            <w:vAlign w:val="center"/>
          </w:tcPr>
          <w:p w14:paraId="57EC6186">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 类区</w:t>
            </w:r>
            <w:r>
              <w:rPr>
                <w:rFonts w:ascii="Times New Roman" w:hAnsi="Times New Roman" w:cs="Times New Roman" w:eastAsiaTheme="minorEastAsia"/>
                <w:color w:val="auto"/>
                <w:w w:val="99"/>
                <w:kern w:val="21"/>
                <w:sz w:val="21"/>
                <w:szCs w:val="21"/>
                <w:highlight w:val="none"/>
              </w:rPr>
              <w:sym w:font="Wingdings" w:char="00FE"/>
            </w:r>
          </w:p>
        </w:tc>
        <w:tc>
          <w:tcPr>
            <w:tcW w:w="1133" w:type="dxa"/>
            <w:vAlign w:val="center"/>
          </w:tcPr>
          <w:p w14:paraId="22662C58">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 类区</w:t>
            </w:r>
            <w:r>
              <w:rPr>
                <w:rFonts w:ascii="Times New Roman" w:hAnsi="Times New Roman" w:cs="Times New Roman" w:eastAsiaTheme="minorEastAsia"/>
                <w:color w:val="auto"/>
                <w:w w:val="99"/>
                <w:kern w:val="21"/>
                <w:sz w:val="21"/>
                <w:szCs w:val="21"/>
                <w:highlight w:val="none"/>
              </w:rPr>
              <w:sym w:font="Wingdings" w:char="00FE"/>
            </w:r>
          </w:p>
        </w:tc>
        <w:tc>
          <w:tcPr>
            <w:tcW w:w="1133" w:type="dxa"/>
            <w:vAlign w:val="center"/>
          </w:tcPr>
          <w:p w14:paraId="44BFFD91">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 类区□</w:t>
            </w:r>
          </w:p>
        </w:tc>
        <w:tc>
          <w:tcPr>
            <w:tcW w:w="1133" w:type="dxa"/>
            <w:gridSpan w:val="2"/>
            <w:vAlign w:val="center"/>
          </w:tcPr>
          <w:p w14:paraId="146F761A">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4a 类区□</w:t>
            </w:r>
          </w:p>
        </w:tc>
        <w:tc>
          <w:tcPr>
            <w:tcW w:w="1133" w:type="dxa"/>
            <w:vAlign w:val="center"/>
          </w:tcPr>
          <w:p w14:paraId="13126F6E">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4b 类区□</w:t>
            </w:r>
          </w:p>
        </w:tc>
      </w:tr>
      <w:tr w14:paraId="5A53A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33B2CB1B">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132" w:type="dxa"/>
            <w:vAlign w:val="center"/>
          </w:tcPr>
          <w:p w14:paraId="6D2699EE">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评价年度</w:t>
            </w:r>
          </w:p>
        </w:tc>
        <w:tc>
          <w:tcPr>
            <w:tcW w:w="1700" w:type="dxa"/>
            <w:gridSpan w:val="2"/>
            <w:vAlign w:val="center"/>
          </w:tcPr>
          <w:p w14:paraId="7CEC3877">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初期□</w:t>
            </w:r>
          </w:p>
        </w:tc>
        <w:tc>
          <w:tcPr>
            <w:tcW w:w="1697" w:type="dxa"/>
            <w:gridSpan w:val="3"/>
            <w:vAlign w:val="center"/>
          </w:tcPr>
          <w:p w14:paraId="0D3F3AEC">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近期</w:t>
            </w:r>
            <w:r>
              <w:rPr>
                <w:rFonts w:ascii="Times New Roman" w:hAnsi="Times New Roman" w:cs="Times New Roman" w:eastAsiaTheme="minorEastAsia"/>
                <w:color w:val="auto"/>
                <w:w w:val="99"/>
                <w:kern w:val="21"/>
                <w:sz w:val="21"/>
                <w:szCs w:val="21"/>
                <w:highlight w:val="none"/>
              </w:rPr>
              <w:sym w:font="Wingdings" w:char="00FE"/>
            </w:r>
          </w:p>
        </w:tc>
        <w:tc>
          <w:tcPr>
            <w:tcW w:w="1705" w:type="dxa"/>
            <w:gridSpan w:val="2"/>
            <w:vAlign w:val="center"/>
          </w:tcPr>
          <w:p w14:paraId="4DC435CB">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中期□</w:t>
            </w:r>
          </w:p>
        </w:tc>
        <w:tc>
          <w:tcPr>
            <w:tcW w:w="1694" w:type="dxa"/>
            <w:gridSpan w:val="2"/>
            <w:vAlign w:val="center"/>
          </w:tcPr>
          <w:p w14:paraId="7B508037">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远期□</w:t>
            </w:r>
          </w:p>
        </w:tc>
      </w:tr>
      <w:tr w14:paraId="330AC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55F3CE04">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132" w:type="dxa"/>
            <w:vAlign w:val="center"/>
          </w:tcPr>
          <w:p w14:paraId="05334B2B">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现状调查方法</w:t>
            </w:r>
          </w:p>
        </w:tc>
        <w:tc>
          <w:tcPr>
            <w:tcW w:w="6796" w:type="dxa"/>
            <w:gridSpan w:val="9"/>
            <w:vAlign w:val="center"/>
          </w:tcPr>
          <w:p w14:paraId="1BD770B0">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现场实测法</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现场实测加模型计算法□ 收集资料□</w:t>
            </w:r>
          </w:p>
        </w:tc>
      </w:tr>
      <w:tr w14:paraId="17CE1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40B51722">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132" w:type="dxa"/>
            <w:vAlign w:val="center"/>
          </w:tcPr>
          <w:p w14:paraId="7E455A26">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现状评价</w:t>
            </w:r>
          </w:p>
        </w:tc>
        <w:tc>
          <w:tcPr>
            <w:tcW w:w="1984" w:type="dxa"/>
            <w:gridSpan w:val="3"/>
            <w:vAlign w:val="center"/>
          </w:tcPr>
          <w:p w14:paraId="45A06C19">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达标百分比</w:t>
            </w:r>
          </w:p>
        </w:tc>
        <w:tc>
          <w:tcPr>
            <w:tcW w:w="4812" w:type="dxa"/>
            <w:gridSpan w:val="6"/>
            <w:vAlign w:val="center"/>
          </w:tcPr>
          <w:p w14:paraId="365FE482">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100%</w:t>
            </w:r>
          </w:p>
        </w:tc>
      </w:tr>
      <w:tr w14:paraId="0BEFC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Align w:val="center"/>
          </w:tcPr>
          <w:p w14:paraId="588EFF6D">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噪声源调查</w:t>
            </w:r>
          </w:p>
        </w:tc>
        <w:tc>
          <w:tcPr>
            <w:tcW w:w="1132" w:type="dxa"/>
            <w:vAlign w:val="center"/>
          </w:tcPr>
          <w:p w14:paraId="00E9EE64">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噪声源调查方法</w:t>
            </w:r>
          </w:p>
        </w:tc>
        <w:tc>
          <w:tcPr>
            <w:tcW w:w="6796" w:type="dxa"/>
            <w:gridSpan w:val="9"/>
            <w:vAlign w:val="center"/>
          </w:tcPr>
          <w:p w14:paraId="296B141F">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现场实测</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已有资料</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研究成果□</w:t>
            </w:r>
          </w:p>
        </w:tc>
      </w:tr>
      <w:tr w14:paraId="6151A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restart"/>
            <w:vAlign w:val="center"/>
          </w:tcPr>
          <w:p w14:paraId="07A6BEED">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声环境影响预测与评价</w:t>
            </w:r>
          </w:p>
        </w:tc>
        <w:tc>
          <w:tcPr>
            <w:tcW w:w="1132" w:type="dxa"/>
            <w:vAlign w:val="center"/>
          </w:tcPr>
          <w:p w14:paraId="22F734EC">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预测模型</w:t>
            </w:r>
          </w:p>
        </w:tc>
        <w:tc>
          <w:tcPr>
            <w:tcW w:w="6796" w:type="dxa"/>
            <w:gridSpan w:val="9"/>
            <w:vAlign w:val="center"/>
          </w:tcPr>
          <w:p w14:paraId="00B60104">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导则推荐模型</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其他□</w:t>
            </w:r>
            <w:r>
              <w:rPr>
                <w:rFonts w:ascii="Times New Roman" w:hAnsi="Times New Roman" w:cs="Times New Roman" w:eastAsiaTheme="minorEastAsia"/>
                <w:color w:val="auto"/>
                <w:w w:val="99"/>
                <w:sz w:val="21"/>
                <w:szCs w:val="21"/>
                <w:highlight w:val="none"/>
                <w:u w:val="single"/>
              </w:rPr>
              <w:t xml:space="preserve">    </w:t>
            </w:r>
          </w:p>
        </w:tc>
      </w:tr>
      <w:tr w14:paraId="30BA4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1457180E">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132" w:type="dxa"/>
            <w:vAlign w:val="center"/>
          </w:tcPr>
          <w:p w14:paraId="6C429917">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预测范围</w:t>
            </w:r>
          </w:p>
        </w:tc>
        <w:tc>
          <w:tcPr>
            <w:tcW w:w="6796" w:type="dxa"/>
            <w:gridSpan w:val="9"/>
            <w:vAlign w:val="center"/>
          </w:tcPr>
          <w:p w14:paraId="51F7F68C">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200 m</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大于 200 m□ 小于 200 m□</w:t>
            </w:r>
          </w:p>
        </w:tc>
      </w:tr>
      <w:tr w14:paraId="250F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756829F8">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132" w:type="dxa"/>
            <w:vAlign w:val="center"/>
          </w:tcPr>
          <w:p w14:paraId="381EFB5E">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预测因子</w:t>
            </w:r>
          </w:p>
        </w:tc>
        <w:tc>
          <w:tcPr>
            <w:tcW w:w="6796" w:type="dxa"/>
            <w:gridSpan w:val="9"/>
            <w:vAlign w:val="center"/>
          </w:tcPr>
          <w:p w14:paraId="179E0AC2">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等效连续 A 声级</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最大 A 声级□ 计权等效连续感觉噪声级□</w:t>
            </w:r>
          </w:p>
        </w:tc>
      </w:tr>
      <w:tr w14:paraId="4A9BE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5F5AFC0A">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132" w:type="dxa"/>
            <w:vAlign w:val="center"/>
          </w:tcPr>
          <w:p w14:paraId="4083E7CB">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厂界噪声贡献值</w:t>
            </w:r>
          </w:p>
        </w:tc>
        <w:tc>
          <w:tcPr>
            <w:tcW w:w="6796" w:type="dxa"/>
            <w:gridSpan w:val="9"/>
            <w:vAlign w:val="center"/>
          </w:tcPr>
          <w:p w14:paraId="1F60409F">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达标 </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不达标□</w:t>
            </w:r>
          </w:p>
        </w:tc>
      </w:tr>
      <w:tr w14:paraId="2E870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58FFF53F">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132" w:type="dxa"/>
            <w:vAlign w:val="center"/>
          </w:tcPr>
          <w:p w14:paraId="6E7069EB">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声环境保护目标处噪声值</w:t>
            </w:r>
          </w:p>
        </w:tc>
        <w:tc>
          <w:tcPr>
            <w:tcW w:w="6796" w:type="dxa"/>
            <w:gridSpan w:val="9"/>
            <w:vAlign w:val="center"/>
          </w:tcPr>
          <w:p w14:paraId="699C5C1F">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达标 </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不达标□</w:t>
            </w:r>
          </w:p>
        </w:tc>
      </w:tr>
      <w:tr w14:paraId="0A3EE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restart"/>
            <w:vAlign w:val="center"/>
          </w:tcPr>
          <w:p w14:paraId="0CFB27D2">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环境监测计划</w:t>
            </w:r>
          </w:p>
        </w:tc>
        <w:tc>
          <w:tcPr>
            <w:tcW w:w="1132" w:type="dxa"/>
            <w:vAlign w:val="center"/>
          </w:tcPr>
          <w:p w14:paraId="1A336B26">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排放监测</w:t>
            </w:r>
          </w:p>
        </w:tc>
        <w:tc>
          <w:tcPr>
            <w:tcW w:w="6796" w:type="dxa"/>
            <w:gridSpan w:val="9"/>
            <w:vAlign w:val="center"/>
          </w:tcPr>
          <w:p w14:paraId="41A24BB3">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厂界监测</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固定位置监测□ 自动监测□ 手动监测□ 无监测□</w:t>
            </w:r>
          </w:p>
        </w:tc>
      </w:tr>
      <w:tr w14:paraId="0264B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29984495">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132" w:type="dxa"/>
            <w:vAlign w:val="center"/>
          </w:tcPr>
          <w:p w14:paraId="518BD514">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声环境保护目标处噪声监测</w:t>
            </w:r>
          </w:p>
        </w:tc>
        <w:tc>
          <w:tcPr>
            <w:tcW w:w="2264" w:type="dxa"/>
            <w:gridSpan w:val="4"/>
            <w:vAlign w:val="center"/>
          </w:tcPr>
          <w:p w14:paraId="7C7A4F02">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监测因子：（ ）</w:t>
            </w:r>
          </w:p>
        </w:tc>
        <w:tc>
          <w:tcPr>
            <w:tcW w:w="2266" w:type="dxa"/>
            <w:gridSpan w:val="2"/>
            <w:vAlign w:val="center"/>
          </w:tcPr>
          <w:p w14:paraId="7B35EB65">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监测点位数（ ）</w:t>
            </w:r>
          </w:p>
        </w:tc>
        <w:tc>
          <w:tcPr>
            <w:tcW w:w="2266" w:type="dxa"/>
            <w:gridSpan w:val="3"/>
            <w:vAlign w:val="center"/>
          </w:tcPr>
          <w:p w14:paraId="5E9482A4">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无监测</w:t>
            </w:r>
            <w:r>
              <w:rPr>
                <w:rFonts w:ascii="Times New Roman" w:hAnsi="Times New Roman" w:cs="Times New Roman" w:eastAsiaTheme="minorEastAsia"/>
                <w:color w:val="auto"/>
                <w:w w:val="99"/>
                <w:kern w:val="21"/>
                <w:sz w:val="21"/>
                <w:szCs w:val="21"/>
                <w:highlight w:val="none"/>
              </w:rPr>
              <w:sym w:font="Wingdings" w:char="00FE"/>
            </w:r>
          </w:p>
        </w:tc>
      </w:tr>
      <w:tr w14:paraId="48F44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Align w:val="center"/>
          </w:tcPr>
          <w:p w14:paraId="6DF29D73">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评价结论</w:t>
            </w:r>
          </w:p>
        </w:tc>
        <w:tc>
          <w:tcPr>
            <w:tcW w:w="1132" w:type="dxa"/>
            <w:vAlign w:val="center"/>
          </w:tcPr>
          <w:p w14:paraId="0F8F38FF">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环境影响</w:t>
            </w:r>
          </w:p>
        </w:tc>
        <w:tc>
          <w:tcPr>
            <w:tcW w:w="6796" w:type="dxa"/>
            <w:gridSpan w:val="9"/>
            <w:vAlign w:val="center"/>
          </w:tcPr>
          <w:p w14:paraId="048A4E8E">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可行</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不可行□</w:t>
            </w:r>
          </w:p>
        </w:tc>
      </w:tr>
      <w:tr w14:paraId="6DEA2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060" w:type="dxa"/>
            <w:gridSpan w:val="11"/>
            <w:vAlign w:val="center"/>
          </w:tcPr>
          <w:p w14:paraId="5F7D887E">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注：“□” 为勾选项 ，可√ ；“（ ）” 为内容填写项。</w:t>
            </w:r>
          </w:p>
        </w:tc>
      </w:tr>
      <w:bookmarkEnd w:id="1231"/>
      <w:bookmarkEnd w:id="1232"/>
      <w:bookmarkEnd w:id="1233"/>
      <w:bookmarkEnd w:id="1234"/>
      <w:bookmarkEnd w:id="1235"/>
      <w:bookmarkEnd w:id="1236"/>
      <w:bookmarkEnd w:id="1237"/>
      <w:bookmarkEnd w:id="1238"/>
    </w:tbl>
    <w:p w14:paraId="4C399AA0">
      <w:pPr>
        <w:widowControl w:val="0"/>
        <w:spacing w:line="440" w:lineRule="exact"/>
        <w:jc w:val="both"/>
        <w:outlineLvl w:val="0"/>
        <w:rPr>
          <w:rFonts w:ascii="Times New Roman" w:hAnsi="Times New Roman" w:cs="Times New Roman"/>
          <w:color w:val="auto"/>
          <w:w w:val="99"/>
          <w:highlight w:val="none"/>
        </w:rPr>
      </w:pPr>
    </w:p>
    <w:p w14:paraId="41D08BCE">
      <w:pPr>
        <w:widowControl w:val="0"/>
        <w:spacing w:line="440" w:lineRule="exact"/>
        <w:jc w:val="both"/>
        <w:outlineLvl w:val="0"/>
        <w:rPr>
          <w:rFonts w:ascii="Times New Roman" w:hAnsi="Times New Roman" w:cs="Times New Roman"/>
          <w:color w:val="auto"/>
          <w:w w:val="99"/>
          <w:highlight w:val="none"/>
        </w:rPr>
      </w:pPr>
    </w:p>
    <w:sectPr>
      <w:pgSz w:w="11906" w:h="16838"/>
      <w:pgMar w:top="1418" w:right="1418" w:bottom="1418"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Georgia">
    <w:panose1 w:val="02040502050405020303"/>
    <w:charset w:val="00"/>
    <w:family w:val="roman"/>
    <w:pitch w:val="default"/>
    <w:sig w:usb0="00000287" w:usb1="00000000" w:usb2="00000000" w:usb3="00000000" w:csb0="2000009F" w:csb1="00000000"/>
  </w:font>
  <w:font w:name="方正宋三简体">
    <w:altName w:val="宋体"/>
    <w:panose1 w:val="00000000000000000000"/>
    <w:charset w:val="86"/>
    <w:family w:val="auto"/>
    <w:pitch w:val="default"/>
    <w:sig w:usb0="00000000" w:usb1="00000000" w:usb2="0000000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 w:name="隶书">
    <w:altName w:val="微软雅黑"/>
    <w:panose1 w:val="0201050906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AngsanaUPC">
    <w:altName w:val="Times New Roman"/>
    <w:panose1 w:val="00000000000000000000"/>
    <w:charset w:val="DE"/>
    <w:family w:val="roman"/>
    <w:pitch w:val="default"/>
    <w:sig w:usb0="00000000" w:usb1="00000000" w:usb2="00000000" w:usb3="00000000" w:csb0="00010001" w:csb1="00000000"/>
  </w:font>
  <w:font w:name="Arail">
    <w:altName w:val="仿宋"/>
    <w:panose1 w:val="00000000000000000000"/>
    <w:charset w:val="00"/>
    <w:family w:val="auto"/>
    <w:pitch w:val="default"/>
    <w:sig w:usb0="00000000" w:usb1="00000000" w:usb2="00000000" w:usb3="00000000" w:csb0="00040001" w:csb1="00000000"/>
  </w:font>
  <w:font w:name="新宋体">
    <w:panose1 w:val="02010609030101010101"/>
    <w:charset w:val="86"/>
    <w:family w:val="modern"/>
    <w:pitch w:val="default"/>
    <w:sig w:usb0="00000203" w:usb1="288F0000" w:usb2="00000006" w:usb3="00000000" w:csb0="00040001" w:csb1="00000000"/>
  </w:font>
  <w:font w:name="汉鼎简书宋">
    <w:altName w:val="宋体"/>
    <w:panose1 w:val="00000000000000000000"/>
    <w:charset w:val="86"/>
    <w:family w:val="modern"/>
    <w:pitch w:val="default"/>
    <w:sig w:usb0="00000000" w:usb1="00000000" w:usb2="00000010" w:usb3="00000000" w:csb0="00040000" w:csb1="00000000"/>
  </w:font>
  <w:font w:name="BankGothic Lt BT">
    <w:altName w:val="Segoe Print"/>
    <w:panose1 w:val="020B0607020203060204"/>
    <w:charset w:val="00"/>
    <w:family w:val="swiss"/>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7F" w:usb3="00000000" w:csb0="203F01FF" w:csb1="DFFF0000"/>
  </w:font>
  <w:font w:name="Verdana">
    <w:panose1 w:val="020B0604030504040204"/>
    <w:charset w:val="00"/>
    <w:family w:val="swiss"/>
    <w:pitch w:val="default"/>
    <w:sig w:usb0="A00006FF" w:usb1="4000205B" w:usb2="00000010" w:usb3="00000000" w:csb0="2000019F" w:csb1="00000000"/>
  </w:font>
  <w:font w:name="Microsoft YaHei UI">
    <w:panose1 w:val="020B0503020204020204"/>
    <w:charset w:val="86"/>
    <w:family w:val="swiss"/>
    <w:pitch w:val="default"/>
    <w:sig w:usb0="80000287" w:usb1="2ACF3C50" w:usb2="00000016" w:usb3="00000000" w:csb0="0004001F"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华文中宋">
    <w:altName w:val="宋体"/>
    <w:panose1 w:val="02010600040101010101"/>
    <w:charset w:val="86"/>
    <w:family w:val="auto"/>
    <w:pitch w:val="default"/>
    <w:sig w:usb0="00000000" w:usb1="00000000" w:usb2="00000000" w:usb3="00000000" w:csb0="0004009F" w:csb1="DFD70000"/>
  </w:font>
  <w:font w:name="Arial Black">
    <w:panose1 w:val="020B0A04020102020204"/>
    <w:charset w:val="00"/>
    <w:family w:val="swiss"/>
    <w:pitch w:val="default"/>
    <w:sig w:usb0="A00002AF" w:usb1="400078FB" w:usb2="00000000" w:usb3="00000000" w:csb0="6000009F" w:csb1="DFD70000"/>
  </w:font>
  <w:font w:name="经典叠圆体简">
    <w:altName w:val="宋体"/>
    <w:panose1 w:val="00000000000000000000"/>
    <w:charset w:val="86"/>
    <w:family w:val="modern"/>
    <w:pitch w:val="default"/>
    <w:sig w:usb0="00000000" w:usb1="00000000" w:usb2="0000001E" w:usb3="00000000" w:csb0="00040000" w:csb1="00000000"/>
  </w:font>
  <w:font w:name="幼圆">
    <w:altName w:val="宋体"/>
    <w:panose1 w:val="02010509060101010101"/>
    <w:charset w:val="86"/>
    <w:family w:val="modern"/>
    <w:pitch w:val="default"/>
    <w:sig w:usb0="00000000" w:usb1="00000000" w:usb2="00000000" w:usb3="00000000" w:csb0="00040000" w:csb1="00000000"/>
  </w:font>
  <w:font w:name="方正仿宋简体">
    <w:altName w:val="微软雅黑"/>
    <w:panose1 w:val="02000000000000000000"/>
    <w:charset w:val="86"/>
    <w:family w:val="auto"/>
    <w:pitch w:val="default"/>
    <w:sig w:usb0="00000000" w:usb1="00000000" w:usb2="00000012" w:usb3="00000000" w:csb0="00040001" w:csb1="00000000"/>
  </w:font>
  <w:font w:name="”“Times New Roman”“">
    <w:altName w:val="宋体"/>
    <w:panose1 w:val="00000000000000000000"/>
    <w:charset w:val="86"/>
    <w:family w:val="roman"/>
    <w:pitch w:val="default"/>
    <w:sig w:usb0="00000000" w:usb1="00000000" w:usb2="00000010" w:usb3="00000000" w:csb0="00040000" w:csb1="00000000"/>
  </w:font>
  <w:font w:name="Batang">
    <w:altName w:val="Malgun Gothic"/>
    <w:panose1 w:val="02030600000101010101"/>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Times">
    <w:altName w:val="Times New Roman"/>
    <w:panose1 w:val="02020603050405020304"/>
    <w:charset w:val="00"/>
    <w:family w:val="roman"/>
    <w:pitch w:val="default"/>
    <w:sig w:usb0="00000000" w:usb1="00000000" w:usb2="00000000" w:usb3="00000000" w:csb0="00000001" w:csb1="00000000"/>
  </w:font>
  <w:font w:name="华文仿宋">
    <w:altName w:val="仿宋"/>
    <w:panose1 w:val="02010600040101010101"/>
    <w:charset w:val="86"/>
    <w:family w:val="auto"/>
    <w:pitch w:val="default"/>
    <w:sig w:usb0="00000000" w:usb1="00000000" w:usb2="00000000" w:usb3="00000000" w:csb0="0004009F" w:csb1="DFD70000"/>
  </w:font>
  <w:font w:name="????">
    <w:altName w:val="Malgun Gothic"/>
    <w:panose1 w:val="00000000000000000000"/>
    <w:charset w:val="81"/>
    <w:family w:val="auto"/>
    <w:pitch w:val="default"/>
    <w:sig w:usb0="00000000" w:usb1="00000000" w:usb2="00000010" w:usb3="00000000" w:csb0="00080000" w:csb1="00000000"/>
  </w:font>
  <w:font w:name="TimesNewRomanPSMT">
    <w:altName w:val="MS Gothic"/>
    <w:panose1 w:val="00000000000000000000"/>
    <w:charset w:val="80"/>
    <w:family w:val="auto"/>
    <w:pitch w:val="default"/>
    <w:sig w:usb0="00000000" w:usb1="00000000" w:usb2="00000010" w:usb3="00000000" w:csb0="00060000" w:csb1="00000000"/>
  </w:font>
  <w:font w:name="MS Gothic">
    <w:panose1 w:val="020B0609070205080204"/>
    <w:charset w:val="80"/>
    <w:family w:val="auto"/>
    <w:pitch w:val="default"/>
    <w:sig w:usb0="E00002FF" w:usb1="6AC7FDFB" w:usb2="08000012" w:usb3="00000000" w:csb0="4002009F" w:csb1="DFD70000"/>
  </w:font>
  <w:font w:name="方正黑体简体">
    <w:altName w:val="微软雅黑"/>
    <w:panose1 w:val="00000000000000000000"/>
    <w:charset w:val="86"/>
    <w:family w:val="auto"/>
    <w:pitch w:val="default"/>
    <w:sig w:usb0="00000000" w:usb1="00000000" w:usb2="00000012" w:usb3="00000000" w:csb0="00040001" w:csb1="00000000"/>
  </w:font>
  <w:font w:name="方正书宋简体">
    <w:altName w:val="宋体"/>
    <w:panose1 w:val="00000000000000000000"/>
    <w:charset w:val="86"/>
    <w:family w:val="auto"/>
    <w:pitch w:val="default"/>
    <w:sig w:usb0="00000000" w:usb1="00000000" w:usb2="00000012" w:usb3="00000000" w:csb0="00040001" w:csb1="00000000"/>
  </w:font>
  <w:font w:name="等线 Light">
    <w:panose1 w:val="02010600030101010101"/>
    <w:charset w:val="86"/>
    <w:family w:val="auto"/>
    <w:pitch w:val="default"/>
    <w:sig w:usb0="A00002BF" w:usb1="38CF7CFA" w:usb2="00000016" w:usb3="00000000" w:csb0="0004000F" w:csb1="00000000"/>
  </w:font>
  <w:font w:name="方正楷体简体">
    <w:altName w:val="宋体"/>
    <w:panose1 w:val="00000000000000000000"/>
    <w:charset w:val="86"/>
    <w:family w:val="auto"/>
    <w:pitch w:val="default"/>
    <w:sig w:usb0="00000000" w:usb1="00000000" w:usb2="00000012" w:usb3="00000000" w:csb0="00040001" w:csb1="00000000"/>
  </w:font>
  <w:font w:name="方正综艺简体">
    <w:altName w:val="宋体"/>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Segoe UI Symbol">
    <w:panose1 w:val="020B0502040204020203"/>
    <w:charset w:val="00"/>
    <w:family w:val="swiss"/>
    <w:pitch w:val="default"/>
    <w:sig w:usb0="800001E3" w:usb1="1200FFEF" w:usb2="00040000" w:usb3="04000000" w:csb0="00000001" w:csb1="4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F0C2F">
    <w:pPr>
      <w:pStyle w:val="51"/>
      <w:tabs>
        <w:tab w:val="left" w:pos="3960"/>
        <w:tab w:val="center" w:pos="4333"/>
        <w:tab w:val="left" w:pos="5049"/>
      </w:tabs>
      <w:rPr>
        <w: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EAD35">
    <w:pPr>
      <w:pStyle w:val="51"/>
      <w:tabs>
        <w:tab w:val="left" w:pos="3960"/>
        <w:tab w:val="center" w:pos="4333"/>
        <w:tab w:val="left" w:pos="5049"/>
      </w:tabs>
      <w:rPr>
        <w:b/>
      </w:rPr>
    </w:pPr>
    <w:r>
      <mc:AlternateContent>
        <mc:Choice Requires="wps">
          <w:drawing>
            <wp:anchor distT="0" distB="0" distL="114300" distR="114300" simplePos="0" relativeHeight="251660288" behindDoc="0" locked="0" layoutInCell="1" allowOverlap="1">
              <wp:simplePos x="0" y="0"/>
              <wp:positionH relativeFrom="margin">
                <wp:posOffset>2818765</wp:posOffset>
              </wp:positionH>
              <wp:positionV relativeFrom="paragraph">
                <wp:posOffset>0</wp:posOffset>
              </wp:positionV>
              <wp:extent cx="205105"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20510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FEEE02">
                          <w:pPr>
                            <w:pStyle w:val="5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21.95pt;margin-top:0pt;height:144pt;width:16.15pt;mso-position-horizontal-relative:margin;z-index:251660288;mso-width-relative:page;mso-height-relative:page;" filled="f" stroked="f" coordsize="21600,21600" o:gfxdata="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JjNJkLXAAAACAEAAA8AAAAAAAAAAQAgAAAAIgAAAGRycy9kb3ducmV2LnhtbFBL&#10;AQIUABQAAAAIAIdO4kBkptLMMAIAAFYEAAAOAAAAAAAAAAEAIAAAACYBAABkcnMvZTJvRG9jLnht&#10;bFBLBQYAAAAABgAGAFkBAADIBQAAAAA=&#10;">
              <v:fill on="f" focussize="0,0"/>
              <v:stroke on="f" weight="0.5pt"/>
              <v:imagedata o:title=""/>
              <o:lock v:ext="edit" aspectratio="f"/>
              <v:textbox inset="0mm,0mm,0mm,0mm" style="mso-fit-shape-to-text:t;">
                <w:txbxContent>
                  <w:p w14:paraId="2BFEEE02">
                    <w:pPr>
                      <w:pStyle w:val="5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94376">
    <w:pPr>
      <w:pStyle w:val="51"/>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F35245">
                          <w:pPr>
                            <w:pStyle w:val="51"/>
                          </w:pPr>
                          <w:r>
                            <w:fldChar w:fldCharType="begin"/>
                          </w:r>
                          <w:r>
                            <w:instrText xml:space="preserve"> PAGE  \* MERGEFORMAT </w:instrText>
                          </w:r>
                          <w:r>
                            <w:fldChar w:fldCharType="separate"/>
                          </w:r>
                          <w:r>
                            <w:t>167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5F35245">
                    <w:pPr>
                      <w:pStyle w:val="51"/>
                    </w:pPr>
                    <w:r>
                      <w:fldChar w:fldCharType="begin"/>
                    </w:r>
                    <w:r>
                      <w:instrText xml:space="preserve"> PAGE  \* MERGEFORMAT </w:instrText>
                    </w:r>
                    <w:r>
                      <w:fldChar w:fldCharType="separate"/>
                    </w:r>
                    <w:r>
                      <w:t>167</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B705D">
    <w:pPr>
      <w:pStyle w:val="51"/>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FB2BD6">
                          <w:pPr>
                            <w:pStyle w:val="51"/>
                          </w:pPr>
                          <w:r>
                            <w:fldChar w:fldCharType="begin"/>
                          </w:r>
                          <w:r>
                            <w:instrText xml:space="preserve"> PAGE  \* MERGEFORMAT </w:instrText>
                          </w:r>
                          <w:r>
                            <w:fldChar w:fldCharType="separate"/>
                          </w:r>
                          <w:r>
                            <w:t>203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10FB2BD6">
                    <w:pPr>
                      <w:pStyle w:val="51"/>
                    </w:pPr>
                    <w:r>
                      <w:fldChar w:fldCharType="begin"/>
                    </w:r>
                    <w:r>
                      <w:instrText xml:space="preserve"> PAGE  \* MERGEFORMAT </w:instrText>
                    </w:r>
                    <w:r>
                      <w:fldChar w:fldCharType="separate"/>
                    </w:r>
                    <w:r>
                      <w:t>203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CA843">
    <w:pPr>
      <w:pStyle w:val="51"/>
      <w:tabs>
        <w:tab w:val="center" w:pos="4535"/>
        <w:tab w:val="clear" w:pos="4153"/>
      </w:tabs>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C0FC0C">
                          <w:pPr>
                            <w:pStyle w:val="51"/>
                          </w:pPr>
                          <w:r>
                            <w:fldChar w:fldCharType="begin"/>
                          </w:r>
                          <w:r>
                            <w:instrText xml:space="preserve"> PAGE  \* MERGEFORMAT </w:instrText>
                          </w:r>
                          <w:r>
                            <w:fldChar w:fldCharType="separate"/>
                          </w:r>
                          <w:r>
                            <w:t>310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EhH8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qEhH8tAgAAVwQAAA4AAAAAAAAAAQAgAAAAHwEAAGRycy9lMm9Eb2MueG1sUEsFBgAAAAAG&#10;AAYAWQEAAL4FAAAAAA==&#10;">
              <v:fill on="f" focussize="0,0"/>
              <v:stroke on="f" weight="0.5pt"/>
              <v:imagedata o:title=""/>
              <o:lock v:ext="edit" aspectratio="f"/>
              <v:textbox inset="0mm,0mm,0mm,0mm" style="mso-fit-shape-to-text:t;">
                <w:txbxContent>
                  <w:p w14:paraId="79C0FC0C">
                    <w:pPr>
                      <w:pStyle w:val="51"/>
                    </w:pPr>
                    <w:r>
                      <w:fldChar w:fldCharType="begin"/>
                    </w:r>
                    <w:r>
                      <w:instrText xml:space="preserve"> PAGE  \* MERGEFORMAT </w:instrText>
                    </w:r>
                    <w:r>
                      <w:fldChar w:fldCharType="separate"/>
                    </w:r>
                    <w:r>
                      <w:t>310</w:t>
                    </w:r>
                    <w:r>
                      <w:fldChar w:fldCharType="end"/>
                    </w:r>
                  </w:p>
                </w:txbxContent>
              </v:textbox>
            </v:shape>
          </w:pict>
        </mc:Fallback>
      </mc:AlternateContent>
    </w:r>
    <w:r>
      <w:rPr>
        <w:rFonts w:hint="eastAsia"/>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1CE94">
    <w:pPr>
      <w:pStyle w:val="51"/>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D5C6AB">
                          <w:pPr>
                            <w:pStyle w:val="51"/>
                          </w:pPr>
                          <w:r>
                            <w:fldChar w:fldCharType="begin"/>
                          </w:r>
                          <w:r>
                            <w:instrText xml:space="preserve"> PAGE  \* MERGEFORMAT </w:instrText>
                          </w:r>
                          <w:r>
                            <w:fldChar w:fldCharType="separate"/>
                          </w:r>
                          <w:r>
                            <w:t>350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iTWU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NiTWUtAgAAVwQAAA4AAAAAAAAAAQAgAAAAHwEAAGRycy9lMm9Eb2MueG1sUEsFBgAAAAAG&#10;AAYAWQEAAL4FAAAAAA==&#10;">
              <v:fill on="f" focussize="0,0"/>
              <v:stroke on="f" weight="0.5pt"/>
              <v:imagedata o:title=""/>
              <o:lock v:ext="edit" aspectratio="f"/>
              <v:textbox inset="0mm,0mm,0mm,0mm" style="mso-fit-shape-to-text:t;">
                <w:txbxContent>
                  <w:p w14:paraId="34D5C6AB">
                    <w:pPr>
                      <w:pStyle w:val="51"/>
                    </w:pPr>
                    <w:r>
                      <w:fldChar w:fldCharType="begin"/>
                    </w:r>
                    <w:r>
                      <w:instrText xml:space="preserve"> PAGE  \* MERGEFORMAT </w:instrText>
                    </w:r>
                    <w:r>
                      <w:fldChar w:fldCharType="separate"/>
                    </w:r>
                    <w:r>
                      <w:t>350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E7C4B">
    <w:pPr>
      <w:pStyle w:val="51"/>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986082">
                          <w:pPr>
                            <w:pStyle w:val="51"/>
                          </w:pPr>
                          <w:r>
                            <w:fldChar w:fldCharType="begin"/>
                          </w:r>
                          <w:r>
                            <w:instrText xml:space="preserve"> PAGE  \* MERGEFORMAT </w:instrText>
                          </w:r>
                          <w:r>
                            <w:fldChar w:fldCharType="separate"/>
                          </w:r>
                          <w:r>
                            <w:t>361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UqPGc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pSo8ZywCAABXBAAADgAAAAAAAAABACAAAAAfAQAAZHJzL2Uyb0RvYy54bWxQSwUGAAAAAAYA&#10;BgBZAQAAvQUAAAAA&#10;">
              <v:fill on="f" focussize="0,0"/>
              <v:stroke on="f" weight="0.5pt"/>
              <v:imagedata o:title=""/>
              <o:lock v:ext="edit" aspectratio="f"/>
              <v:textbox inset="0mm,0mm,0mm,0mm" style="mso-fit-shape-to-text:t;">
                <w:txbxContent>
                  <w:p w14:paraId="36986082">
                    <w:pPr>
                      <w:pStyle w:val="51"/>
                    </w:pPr>
                    <w:r>
                      <w:fldChar w:fldCharType="begin"/>
                    </w:r>
                    <w:r>
                      <w:instrText xml:space="preserve"> PAGE  \* MERGEFORMAT </w:instrText>
                    </w:r>
                    <w:r>
                      <w:fldChar w:fldCharType="separate"/>
                    </w:r>
                    <w:r>
                      <w:t>361</w:t>
                    </w:r>
                    <w:r>
                      <w:fldChar w:fldCharType="end"/>
                    </w:r>
                  </w:p>
                </w:txbxContent>
              </v:textbox>
            </v:shape>
          </w:pict>
        </mc:Fallback>
      </mc:AlternateContent>
    </w:r>
    <w:r>
      <w:rPr>
        <w:rFonts w:hint="eastAsia"/>
      </w:rPr>
      <w:t xml:space="preserve"> </w:t>
    </w:r>
  </w:p>
  <w:p w14:paraId="42633BD0">
    <w:pPr>
      <w:pStyle w:val="5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317B3">
    <w:pPr>
      <w:pStyle w:val="5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B9E3A">
    <w:pPr>
      <w:pStyle w:val="5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69AD8">
    <w:pPr>
      <w:pStyle w:val="5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EFFCE">
    <w:pPr>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265B2">
    <w:pPr>
      <w:pStyle w:val="5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AD970D"/>
    <w:multiLevelType w:val="singleLevel"/>
    <w:tmpl w:val="C3AD970D"/>
    <w:lvl w:ilvl="0" w:tentative="0">
      <w:start w:val="1"/>
      <w:numFmt w:val="decimal"/>
      <w:suff w:val="nothing"/>
      <w:lvlText w:val="（%1）"/>
      <w:lvlJc w:val="left"/>
    </w:lvl>
  </w:abstractNum>
  <w:abstractNum w:abstractNumId="1">
    <w:nsid w:val="C4B2B2B1"/>
    <w:multiLevelType w:val="singleLevel"/>
    <w:tmpl w:val="C4B2B2B1"/>
    <w:lvl w:ilvl="0" w:tentative="0">
      <w:start w:val="1"/>
      <w:numFmt w:val="decimal"/>
      <w:suff w:val="nothing"/>
      <w:lvlText w:val="（%1）"/>
      <w:lvlJc w:val="left"/>
    </w:lvl>
  </w:abstractNum>
  <w:abstractNum w:abstractNumId="2">
    <w:nsid w:val="16C123DC"/>
    <w:multiLevelType w:val="multilevel"/>
    <w:tmpl w:val="16C123DC"/>
    <w:lvl w:ilvl="0" w:tentative="0">
      <w:start w:val="1"/>
      <w:numFmt w:val="decimal"/>
      <w:pStyle w:val="2765"/>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B80D03F"/>
    <w:multiLevelType w:val="singleLevel"/>
    <w:tmpl w:val="1B80D03F"/>
    <w:lvl w:ilvl="0" w:tentative="0">
      <w:start w:val="1"/>
      <w:numFmt w:val="decimal"/>
      <w:suff w:val="nothing"/>
      <w:lvlText w:val="（%1）"/>
      <w:lvlJc w:val="left"/>
    </w:lvl>
  </w:abstractNum>
  <w:abstractNum w:abstractNumId="4">
    <w:nsid w:val="2D334942"/>
    <w:multiLevelType w:val="singleLevel"/>
    <w:tmpl w:val="2D334942"/>
    <w:lvl w:ilvl="0" w:tentative="0">
      <w:start w:val="4"/>
      <w:numFmt w:val="decimal"/>
      <w:suff w:val="nothing"/>
      <w:lvlText w:val="（%1）"/>
      <w:lvlJc w:val="left"/>
    </w:lvl>
  </w:abstractNum>
  <w:abstractNum w:abstractNumId="5">
    <w:nsid w:val="3BC3583F"/>
    <w:multiLevelType w:val="multilevel"/>
    <w:tmpl w:val="3BC3583F"/>
    <w:lvl w:ilvl="0" w:tentative="0">
      <w:start w:val="1"/>
      <w:numFmt w:val="decimal"/>
      <w:pStyle w:val="2859"/>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42A89DEE"/>
    <w:multiLevelType w:val="singleLevel"/>
    <w:tmpl w:val="42A89DEE"/>
    <w:lvl w:ilvl="0" w:tentative="0">
      <w:start w:val="2"/>
      <w:numFmt w:val="decimal"/>
      <w:suff w:val="nothing"/>
      <w:lvlText w:val="%1、"/>
      <w:lvlJc w:val="left"/>
    </w:lvl>
  </w:abstractNum>
  <w:abstractNum w:abstractNumId="7">
    <w:nsid w:val="4C1B2AA9"/>
    <w:multiLevelType w:val="singleLevel"/>
    <w:tmpl w:val="4C1B2AA9"/>
    <w:lvl w:ilvl="0" w:tentative="0">
      <w:start w:val="1"/>
      <w:numFmt w:val="decimal"/>
      <w:lvlText w:val="%1."/>
      <w:lvlJc w:val="left"/>
      <w:pPr>
        <w:tabs>
          <w:tab w:val="left" w:pos="312"/>
        </w:tabs>
      </w:pPr>
    </w:lvl>
  </w:abstractNum>
  <w:abstractNum w:abstractNumId="8">
    <w:nsid w:val="4F006C0E"/>
    <w:multiLevelType w:val="multilevel"/>
    <w:tmpl w:val="4F006C0E"/>
    <w:lvl w:ilvl="0" w:tentative="0">
      <w:start w:val="1"/>
      <w:numFmt w:val="decimal"/>
      <w:pStyle w:val="2761"/>
      <w:suff w:val="nothing"/>
      <w:lvlText w:val="附件%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699B31E6"/>
    <w:multiLevelType w:val="multilevel"/>
    <w:tmpl w:val="699B31E6"/>
    <w:lvl w:ilvl="0" w:tentative="0">
      <w:start w:val="1"/>
      <w:numFmt w:val="decimal"/>
      <w:pStyle w:val="2763"/>
      <w:suff w:val="nothing"/>
      <w:lvlText w:val="附图%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71B21497"/>
    <w:multiLevelType w:val="multilevel"/>
    <w:tmpl w:val="71B21497"/>
    <w:lvl w:ilvl="0" w:tentative="0">
      <w:start w:val="1"/>
      <w:numFmt w:val="decimal"/>
      <w:isLgl/>
      <w:suff w:val="nothing"/>
      <w:lvlText w:val="（%1）"/>
      <w:lvlJc w:val="left"/>
      <w:pPr>
        <w:ind w:left="0" w:firstLine="476"/>
      </w:pPr>
      <w:rPr>
        <w:rFonts w:hint="eastAsia" w:ascii="宋体" w:eastAsia="宋体"/>
      </w:rPr>
    </w:lvl>
    <w:lvl w:ilvl="1" w:tentative="0">
      <w:start w:val="1"/>
      <w:numFmt w:val="decimalEnclosedCircle"/>
      <w:pStyle w:val="2774"/>
      <w:isLgl/>
      <w:suff w:val="nothing"/>
      <w:lvlText w:val="%2）"/>
      <w:lvlJc w:val="left"/>
      <w:pPr>
        <w:ind w:left="0" w:firstLine="476"/>
      </w:pPr>
      <w:rPr>
        <w:rFonts w:hint="eastAsia" w:ascii="宋体" w:eastAsia="宋体"/>
      </w:rPr>
    </w:lvl>
    <w:lvl w:ilvl="2" w:tentative="0">
      <w:start w:val="1"/>
      <w:numFmt w:val="decimalEnclosedCircle"/>
      <w:pStyle w:val="2776"/>
      <w:suff w:val="nothing"/>
      <w:lvlText w:val="%3"/>
      <w:lvlJc w:val="left"/>
      <w:pPr>
        <w:ind w:left="0" w:firstLine="476"/>
      </w:pPr>
      <w:rPr>
        <w:rFonts w:hint="eastAsia" w:ascii="宋体" w:eastAsia="宋体"/>
      </w:rPr>
    </w:lvl>
    <w:lvl w:ilvl="3" w:tentative="0">
      <w:start w:val="1"/>
      <w:numFmt w:val="lowerLetter"/>
      <w:suff w:val="nothing"/>
      <w:lvlText w:val="%4."/>
      <w:lvlJc w:val="left"/>
      <w:pPr>
        <w:ind w:left="0" w:firstLine="476"/>
      </w:pPr>
      <w:rPr>
        <w:rFonts w:hint="eastAsia" w:ascii="宋体" w:eastAsia="宋体"/>
      </w:rPr>
    </w:lvl>
    <w:lvl w:ilvl="4" w:tentative="0">
      <w:start w:val="1"/>
      <w:numFmt w:val="upperRoman"/>
      <w:suff w:val="nothing"/>
      <w:lvlText w:val="%5."/>
      <w:lvlJc w:val="left"/>
      <w:pPr>
        <w:ind w:left="0" w:firstLine="476"/>
      </w:pPr>
      <w:rPr>
        <w:rFonts w:hint="eastAsia" w:ascii="宋体" w:eastAsia="宋体"/>
      </w:rPr>
    </w:lvl>
    <w:lvl w:ilvl="5" w:tentative="0">
      <w:start w:val="1"/>
      <w:numFmt w:val="lowerRoman"/>
      <w:suff w:val="nothing"/>
      <w:lvlText w:val="%6."/>
      <w:lvlJc w:val="left"/>
      <w:pPr>
        <w:ind w:left="0" w:firstLine="476"/>
      </w:pPr>
      <w:rPr>
        <w:rFonts w:hint="eastAsia" w:ascii="宋体" w:eastAsia="宋体"/>
      </w:rPr>
    </w:lvl>
    <w:lvl w:ilvl="6" w:tentative="0">
      <w:start w:val="1"/>
      <w:numFmt w:val="ordinal"/>
      <w:suff w:val="nothing"/>
      <w:lvlText w:val="%7."/>
      <w:lvlJc w:val="left"/>
      <w:pPr>
        <w:ind w:left="0" w:firstLine="476"/>
      </w:pPr>
      <w:rPr>
        <w:rFonts w:hint="eastAsia"/>
      </w:rPr>
    </w:lvl>
    <w:lvl w:ilvl="7" w:tentative="0">
      <w:start w:val="1"/>
      <w:numFmt w:val="none"/>
      <w:suff w:val="nothing"/>
      <w:lvlText w:val=""/>
      <w:lvlJc w:val="left"/>
      <w:pPr>
        <w:ind w:left="0" w:firstLine="476"/>
      </w:pPr>
      <w:rPr>
        <w:rFonts w:hint="eastAsia"/>
      </w:rPr>
    </w:lvl>
    <w:lvl w:ilvl="8" w:tentative="0">
      <w:start w:val="1"/>
      <w:numFmt w:val="none"/>
      <w:suff w:val="nothing"/>
      <w:lvlText w:val=""/>
      <w:lvlJc w:val="left"/>
      <w:pPr>
        <w:ind w:left="0" w:firstLine="476"/>
      </w:pPr>
      <w:rPr>
        <w:rFonts w:hint="eastAsia"/>
      </w:rPr>
    </w:lvl>
  </w:abstractNum>
  <w:abstractNum w:abstractNumId="11">
    <w:nsid w:val="7E752ED4"/>
    <w:multiLevelType w:val="multilevel"/>
    <w:tmpl w:val="7E752ED4"/>
    <w:lvl w:ilvl="0" w:tentative="0">
      <w:start w:val="1"/>
      <w:numFmt w:val="decimal"/>
      <w:pStyle w:val="2759"/>
      <w:suff w:val="nothing"/>
      <w:lvlText w:val="附表%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1"/>
  </w:num>
  <w:num w:numId="2">
    <w:abstractNumId w:val="8"/>
  </w:num>
  <w:num w:numId="3">
    <w:abstractNumId w:val="9"/>
  </w:num>
  <w:num w:numId="4">
    <w:abstractNumId w:val="2"/>
  </w:num>
  <w:num w:numId="5">
    <w:abstractNumId w:val="10"/>
  </w:num>
  <w:num w:numId="6">
    <w:abstractNumId w:val="5"/>
  </w:num>
  <w:num w:numId="7">
    <w:abstractNumId w:val="6"/>
  </w:num>
  <w:num w:numId="8">
    <w:abstractNumId w:val="7"/>
  </w:num>
  <w:num w:numId="9">
    <w:abstractNumId w:val="4"/>
  </w:num>
  <w:num w:numId="10">
    <w:abstractNumId w:val="0"/>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displayBackgroundShape w:val="1"/>
  <w:bordersDoNotSurroundHeader w:val="0"/>
  <w:bordersDoNotSurroundFooter w:val="0"/>
  <w:hideSpellingErrors/>
  <w:hideGrammaticalErrors/>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FlNDQ1Y2RlN2QwYTY4ZDE0YjFlNTdmYjUwMTRhNGYifQ=="/>
  </w:docVars>
  <w:rsids>
    <w:rsidRoot w:val="65467660"/>
    <w:rsid w:val="00000AC2"/>
    <w:rsid w:val="00001989"/>
    <w:rsid w:val="00001AE0"/>
    <w:rsid w:val="00001F65"/>
    <w:rsid w:val="00002205"/>
    <w:rsid w:val="00002612"/>
    <w:rsid w:val="00002818"/>
    <w:rsid w:val="00003692"/>
    <w:rsid w:val="000045D0"/>
    <w:rsid w:val="00004A4D"/>
    <w:rsid w:val="000053EA"/>
    <w:rsid w:val="00005466"/>
    <w:rsid w:val="000061BD"/>
    <w:rsid w:val="00006384"/>
    <w:rsid w:val="000063F4"/>
    <w:rsid w:val="00006459"/>
    <w:rsid w:val="00006DF0"/>
    <w:rsid w:val="00007790"/>
    <w:rsid w:val="000101E0"/>
    <w:rsid w:val="00010807"/>
    <w:rsid w:val="00010D9B"/>
    <w:rsid w:val="00010DA3"/>
    <w:rsid w:val="00010EB9"/>
    <w:rsid w:val="00010F5D"/>
    <w:rsid w:val="0001108F"/>
    <w:rsid w:val="000111FB"/>
    <w:rsid w:val="0001181A"/>
    <w:rsid w:val="00011875"/>
    <w:rsid w:val="00011B67"/>
    <w:rsid w:val="000124DF"/>
    <w:rsid w:val="000125B1"/>
    <w:rsid w:val="0001281E"/>
    <w:rsid w:val="0001298F"/>
    <w:rsid w:val="00012DE0"/>
    <w:rsid w:val="00013021"/>
    <w:rsid w:val="00013BB0"/>
    <w:rsid w:val="00014921"/>
    <w:rsid w:val="00014C18"/>
    <w:rsid w:val="00014C26"/>
    <w:rsid w:val="00014C8A"/>
    <w:rsid w:val="00015B04"/>
    <w:rsid w:val="0001608C"/>
    <w:rsid w:val="00016B1B"/>
    <w:rsid w:val="000175B2"/>
    <w:rsid w:val="00020006"/>
    <w:rsid w:val="00020AF2"/>
    <w:rsid w:val="000212DC"/>
    <w:rsid w:val="000212E1"/>
    <w:rsid w:val="0002135F"/>
    <w:rsid w:val="00021518"/>
    <w:rsid w:val="00022E6A"/>
    <w:rsid w:val="00023059"/>
    <w:rsid w:val="000233F1"/>
    <w:rsid w:val="00023C5D"/>
    <w:rsid w:val="00023CD2"/>
    <w:rsid w:val="00023F9E"/>
    <w:rsid w:val="00024030"/>
    <w:rsid w:val="000240A0"/>
    <w:rsid w:val="000242A6"/>
    <w:rsid w:val="00024718"/>
    <w:rsid w:val="0002472B"/>
    <w:rsid w:val="00024917"/>
    <w:rsid w:val="0002503A"/>
    <w:rsid w:val="00025518"/>
    <w:rsid w:val="0002597E"/>
    <w:rsid w:val="0002604F"/>
    <w:rsid w:val="00026162"/>
    <w:rsid w:val="00026578"/>
    <w:rsid w:val="000269B3"/>
    <w:rsid w:val="00026FBF"/>
    <w:rsid w:val="000276FF"/>
    <w:rsid w:val="0002781E"/>
    <w:rsid w:val="00027A67"/>
    <w:rsid w:val="00027C31"/>
    <w:rsid w:val="00027F8B"/>
    <w:rsid w:val="0003049C"/>
    <w:rsid w:val="0003058E"/>
    <w:rsid w:val="00030909"/>
    <w:rsid w:val="00030D61"/>
    <w:rsid w:val="00030D95"/>
    <w:rsid w:val="00030E5E"/>
    <w:rsid w:val="00031ACC"/>
    <w:rsid w:val="00032E9D"/>
    <w:rsid w:val="0003371A"/>
    <w:rsid w:val="0003395E"/>
    <w:rsid w:val="00033CB4"/>
    <w:rsid w:val="00034B6A"/>
    <w:rsid w:val="00034F8D"/>
    <w:rsid w:val="0003558F"/>
    <w:rsid w:val="00035641"/>
    <w:rsid w:val="00035C40"/>
    <w:rsid w:val="000361C0"/>
    <w:rsid w:val="000365B3"/>
    <w:rsid w:val="00036B4F"/>
    <w:rsid w:val="000378EC"/>
    <w:rsid w:val="00037B09"/>
    <w:rsid w:val="00040795"/>
    <w:rsid w:val="00041CA0"/>
    <w:rsid w:val="0004272A"/>
    <w:rsid w:val="00043E3B"/>
    <w:rsid w:val="00044CD1"/>
    <w:rsid w:val="00044F5E"/>
    <w:rsid w:val="000455F6"/>
    <w:rsid w:val="00045997"/>
    <w:rsid w:val="00045AF3"/>
    <w:rsid w:val="00045E44"/>
    <w:rsid w:val="00045EFC"/>
    <w:rsid w:val="0004626B"/>
    <w:rsid w:val="0004643B"/>
    <w:rsid w:val="000466EA"/>
    <w:rsid w:val="00046BCB"/>
    <w:rsid w:val="000470C8"/>
    <w:rsid w:val="000473D4"/>
    <w:rsid w:val="00047575"/>
    <w:rsid w:val="00047A93"/>
    <w:rsid w:val="000502E1"/>
    <w:rsid w:val="00050B71"/>
    <w:rsid w:val="00050F46"/>
    <w:rsid w:val="00051120"/>
    <w:rsid w:val="00051156"/>
    <w:rsid w:val="00051BF7"/>
    <w:rsid w:val="00051E19"/>
    <w:rsid w:val="00052195"/>
    <w:rsid w:val="0005275E"/>
    <w:rsid w:val="000527BE"/>
    <w:rsid w:val="00052ABD"/>
    <w:rsid w:val="00052DD1"/>
    <w:rsid w:val="00053002"/>
    <w:rsid w:val="00053170"/>
    <w:rsid w:val="0005330B"/>
    <w:rsid w:val="0005349B"/>
    <w:rsid w:val="00053808"/>
    <w:rsid w:val="000541FB"/>
    <w:rsid w:val="00054AEB"/>
    <w:rsid w:val="00054D65"/>
    <w:rsid w:val="00055C40"/>
    <w:rsid w:val="00055EC0"/>
    <w:rsid w:val="0005672F"/>
    <w:rsid w:val="000569E8"/>
    <w:rsid w:val="00056A49"/>
    <w:rsid w:val="0005715A"/>
    <w:rsid w:val="00057907"/>
    <w:rsid w:val="00057BCF"/>
    <w:rsid w:val="00057DF3"/>
    <w:rsid w:val="00060156"/>
    <w:rsid w:val="00060C44"/>
    <w:rsid w:val="00060C87"/>
    <w:rsid w:val="000615E7"/>
    <w:rsid w:val="0006175F"/>
    <w:rsid w:val="00061A4C"/>
    <w:rsid w:val="00061D2C"/>
    <w:rsid w:val="0006202D"/>
    <w:rsid w:val="00062727"/>
    <w:rsid w:val="00062927"/>
    <w:rsid w:val="0006345C"/>
    <w:rsid w:val="0006390A"/>
    <w:rsid w:val="00064544"/>
    <w:rsid w:val="00064D9F"/>
    <w:rsid w:val="000650FD"/>
    <w:rsid w:val="0006581B"/>
    <w:rsid w:val="00065C71"/>
    <w:rsid w:val="00065F70"/>
    <w:rsid w:val="00066A7F"/>
    <w:rsid w:val="0006749E"/>
    <w:rsid w:val="000676CC"/>
    <w:rsid w:val="00067D25"/>
    <w:rsid w:val="00070CE5"/>
    <w:rsid w:val="00070D64"/>
    <w:rsid w:val="000716EB"/>
    <w:rsid w:val="0007199E"/>
    <w:rsid w:val="00071A64"/>
    <w:rsid w:val="00071B3A"/>
    <w:rsid w:val="00071CC3"/>
    <w:rsid w:val="00072071"/>
    <w:rsid w:val="00072813"/>
    <w:rsid w:val="00072824"/>
    <w:rsid w:val="00072DA4"/>
    <w:rsid w:val="00073929"/>
    <w:rsid w:val="00073D77"/>
    <w:rsid w:val="000742DC"/>
    <w:rsid w:val="00074DDB"/>
    <w:rsid w:val="00074ECF"/>
    <w:rsid w:val="00075035"/>
    <w:rsid w:val="00075094"/>
    <w:rsid w:val="000752DE"/>
    <w:rsid w:val="0007575B"/>
    <w:rsid w:val="00075928"/>
    <w:rsid w:val="00075A78"/>
    <w:rsid w:val="00075DA6"/>
    <w:rsid w:val="000764DA"/>
    <w:rsid w:val="0007664C"/>
    <w:rsid w:val="000775F5"/>
    <w:rsid w:val="0007779C"/>
    <w:rsid w:val="000777E8"/>
    <w:rsid w:val="00077E46"/>
    <w:rsid w:val="00080515"/>
    <w:rsid w:val="00080842"/>
    <w:rsid w:val="00080A30"/>
    <w:rsid w:val="00081515"/>
    <w:rsid w:val="000818F2"/>
    <w:rsid w:val="00081AA5"/>
    <w:rsid w:val="00081CBA"/>
    <w:rsid w:val="00081D00"/>
    <w:rsid w:val="000832DC"/>
    <w:rsid w:val="00083BF6"/>
    <w:rsid w:val="000844E3"/>
    <w:rsid w:val="00084C47"/>
    <w:rsid w:val="00084F52"/>
    <w:rsid w:val="00085A9C"/>
    <w:rsid w:val="00086BE2"/>
    <w:rsid w:val="00087923"/>
    <w:rsid w:val="00087BA4"/>
    <w:rsid w:val="00087C99"/>
    <w:rsid w:val="000908B1"/>
    <w:rsid w:val="00090E2B"/>
    <w:rsid w:val="0009199D"/>
    <w:rsid w:val="00091B1B"/>
    <w:rsid w:val="00092011"/>
    <w:rsid w:val="00092621"/>
    <w:rsid w:val="0009274C"/>
    <w:rsid w:val="00093122"/>
    <w:rsid w:val="00093314"/>
    <w:rsid w:val="0009355C"/>
    <w:rsid w:val="00093993"/>
    <w:rsid w:val="00093CBF"/>
    <w:rsid w:val="000948A5"/>
    <w:rsid w:val="00094C54"/>
    <w:rsid w:val="00095715"/>
    <w:rsid w:val="000959AD"/>
    <w:rsid w:val="00096855"/>
    <w:rsid w:val="00096C0E"/>
    <w:rsid w:val="00096C6F"/>
    <w:rsid w:val="00097242"/>
    <w:rsid w:val="00097F6C"/>
    <w:rsid w:val="000A048C"/>
    <w:rsid w:val="000A0654"/>
    <w:rsid w:val="000A0670"/>
    <w:rsid w:val="000A09DD"/>
    <w:rsid w:val="000A0EE4"/>
    <w:rsid w:val="000A11BD"/>
    <w:rsid w:val="000A14EF"/>
    <w:rsid w:val="000A1AF2"/>
    <w:rsid w:val="000A1C49"/>
    <w:rsid w:val="000A20C5"/>
    <w:rsid w:val="000A270A"/>
    <w:rsid w:val="000A2975"/>
    <w:rsid w:val="000A29BC"/>
    <w:rsid w:val="000A373B"/>
    <w:rsid w:val="000A3DE3"/>
    <w:rsid w:val="000A40AC"/>
    <w:rsid w:val="000A40F6"/>
    <w:rsid w:val="000A464B"/>
    <w:rsid w:val="000A4ABF"/>
    <w:rsid w:val="000A5323"/>
    <w:rsid w:val="000A69AC"/>
    <w:rsid w:val="000A6AFC"/>
    <w:rsid w:val="000A6E4B"/>
    <w:rsid w:val="000A73AE"/>
    <w:rsid w:val="000A7ACE"/>
    <w:rsid w:val="000B0106"/>
    <w:rsid w:val="000B01DF"/>
    <w:rsid w:val="000B0417"/>
    <w:rsid w:val="000B092B"/>
    <w:rsid w:val="000B09EC"/>
    <w:rsid w:val="000B1BC2"/>
    <w:rsid w:val="000B200D"/>
    <w:rsid w:val="000B2B7B"/>
    <w:rsid w:val="000B2CDF"/>
    <w:rsid w:val="000B34AB"/>
    <w:rsid w:val="000B3567"/>
    <w:rsid w:val="000B50AA"/>
    <w:rsid w:val="000B5CA8"/>
    <w:rsid w:val="000B5CC1"/>
    <w:rsid w:val="000B5ED0"/>
    <w:rsid w:val="000B5ED5"/>
    <w:rsid w:val="000B6116"/>
    <w:rsid w:val="000B6EE7"/>
    <w:rsid w:val="000B72B5"/>
    <w:rsid w:val="000B744E"/>
    <w:rsid w:val="000B7C3D"/>
    <w:rsid w:val="000C0BF4"/>
    <w:rsid w:val="000C117F"/>
    <w:rsid w:val="000C14FE"/>
    <w:rsid w:val="000C1BB5"/>
    <w:rsid w:val="000C1D29"/>
    <w:rsid w:val="000C1D7E"/>
    <w:rsid w:val="000C2FFD"/>
    <w:rsid w:val="000C30D3"/>
    <w:rsid w:val="000C38EF"/>
    <w:rsid w:val="000C41C4"/>
    <w:rsid w:val="000C46E3"/>
    <w:rsid w:val="000C4B22"/>
    <w:rsid w:val="000C50B5"/>
    <w:rsid w:val="000C5621"/>
    <w:rsid w:val="000C5D6A"/>
    <w:rsid w:val="000C646D"/>
    <w:rsid w:val="000C6699"/>
    <w:rsid w:val="000C6873"/>
    <w:rsid w:val="000C6DA3"/>
    <w:rsid w:val="000C6DCF"/>
    <w:rsid w:val="000C6EE0"/>
    <w:rsid w:val="000C7372"/>
    <w:rsid w:val="000C75A9"/>
    <w:rsid w:val="000C79A0"/>
    <w:rsid w:val="000C7E6E"/>
    <w:rsid w:val="000D0111"/>
    <w:rsid w:val="000D01F1"/>
    <w:rsid w:val="000D0538"/>
    <w:rsid w:val="000D12F6"/>
    <w:rsid w:val="000D16AC"/>
    <w:rsid w:val="000D16EA"/>
    <w:rsid w:val="000D1FDF"/>
    <w:rsid w:val="000D1FF4"/>
    <w:rsid w:val="000D282F"/>
    <w:rsid w:val="000D2939"/>
    <w:rsid w:val="000D2D75"/>
    <w:rsid w:val="000D2FCF"/>
    <w:rsid w:val="000D309E"/>
    <w:rsid w:val="000D3388"/>
    <w:rsid w:val="000D342E"/>
    <w:rsid w:val="000D3518"/>
    <w:rsid w:val="000D4710"/>
    <w:rsid w:val="000D5799"/>
    <w:rsid w:val="000D5976"/>
    <w:rsid w:val="000D6039"/>
    <w:rsid w:val="000D60C2"/>
    <w:rsid w:val="000D6267"/>
    <w:rsid w:val="000D6FF9"/>
    <w:rsid w:val="000D7511"/>
    <w:rsid w:val="000D7C5A"/>
    <w:rsid w:val="000E0CC1"/>
    <w:rsid w:val="000E10E6"/>
    <w:rsid w:val="000E1333"/>
    <w:rsid w:val="000E13DD"/>
    <w:rsid w:val="000E16E1"/>
    <w:rsid w:val="000E23ED"/>
    <w:rsid w:val="000E2B63"/>
    <w:rsid w:val="000E2F19"/>
    <w:rsid w:val="000E367D"/>
    <w:rsid w:val="000E36C2"/>
    <w:rsid w:val="000E3B9D"/>
    <w:rsid w:val="000E53AD"/>
    <w:rsid w:val="000E551D"/>
    <w:rsid w:val="000E5DCF"/>
    <w:rsid w:val="000E5E2D"/>
    <w:rsid w:val="000E65A3"/>
    <w:rsid w:val="000E7455"/>
    <w:rsid w:val="000E7464"/>
    <w:rsid w:val="000E75EE"/>
    <w:rsid w:val="000E7676"/>
    <w:rsid w:val="000F0105"/>
    <w:rsid w:val="000F0E5D"/>
    <w:rsid w:val="000F0ECC"/>
    <w:rsid w:val="000F116E"/>
    <w:rsid w:val="000F170E"/>
    <w:rsid w:val="000F1711"/>
    <w:rsid w:val="000F172F"/>
    <w:rsid w:val="000F18B3"/>
    <w:rsid w:val="000F1CDF"/>
    <w:rsid w:val="000F213B"/>
    <w:rsid w:val="000F2A95"/>
    <w:rsid w:val="000F2AAE"/>
    <w:rsid w:val="000F2D31"/>
    <w:rsid w:val="000F36D5"/>
    <w:rsid w:val="000F3717"/>
    <w:rsid w:val="000F3791"/>
    <w:rsid w:val="000F3A03"/>
    <w:rsid w:val="000F3DF9"/>
    <w:rsid w:val="000F44A2"/>
    <w:rsid w:val="000F4A63"/>
    <w:rsid w:val="000F4D54"/>
    <w:rsid w:val="000F4FF1"/>
    <w:rsid w:val="000F549B"/>
    <w:rsid w:val="000F569F"/>
    <w:rsid w:val="000F59DE"/>
    <w:rsid w:val="000F6326"/>
    <w:rsid w:val="000F63CA"/>
    <w:rsid w:val="000F6682"/>
    <w:rsid w:val="000F6C6C"/>
    <w:rsid w:val="000F6D13"/>
    <w:rsid w:val="000F72F6"/>
    <w:rsid w:val="000F74E0"/>
    <w:rsid w:val="000F7582"/>
    <w:rsid w:val="0010046B"/>
    <w:rsid w:val="001009E2"/>
    <w:rsid w:val="00101158"/>
    <w:rsid w:val="0010115C"/>
    <w:rsid w:val="00101E5C"/>
    <w:rsid w:val="00102575"/>
    <w:rsid w:val="001027B6"/>
    <w:rsid w:val="001028AE"/>
    <w:rsid w:val="00102DFF"/>
    <w:rsid w:val="00102ECB"/>
    <w:rsid w:val="001031D3"/>
    <w:rsid w:val="0010323D"/>
    <w:rsid w:val="001037B7"/>
    <w:rsid w:val="00103BDF"/>
    <w:rsid w:val="00103C05"/>
    <w:rsid w:val="00103C91"/>
    <w:rsid w:val="00103CE5"/>
    <w:rsid w:val="00104CA2"/>
    <w:rsid w:val="001053CE"/>
    <w:rsid w:val="00105548"/>
    <w:rsid w:val="001055A1"/>
    <w:rsid w:val="0010658C"/>
    <w:rsid w:val="001065F0"/>
    <w:rsid w:val="001067C1"/>
    <w:rsid w:val="001067E7"/>
    <w:rsid w:val="00106BA6"/>
    <w:rsid w:val="00106C15"/>
    <w:rsid w:val="001070D1"/>
    <w:rsid w:val="00107775"/>
    <w:rsid w:val="00107A5B"/>
    <w:rsid w:val="00107CF7"/>
    <w:rsid w:val="0011009F"/>
    <w:rsid w:val="001104CE"/>
    <w:rsid w:val="0011063D"/>
    <w:rsid w:val="00111F93"/>
    <w:rsid w:val="00112690"/>
    <w:rsid w:val="00113AFE"/>
    <w:rsid w:val="00114043"/>
    <w:rsid w:val="00114046"/>
    <w:rsid w:val="00114169"/>
    <w:rsid w:val="00114471"/>
    <w:rsid w:val="001153C5"/>
    <w:rsid w:val="0011558C"/>
    <w:rsid w:val="00115A15"/>
    <w:rsid w:val="00116086"/>
    <w:rsid w:val="00116098"/>
    <w:rsid w:val="0011627D"/>
    <w:rsid w:val="001164A1"/>
    <w:rsid w:val="001166E4"/>
    <w:rsid w:val="001167CA"/>
    <w:rsid w:val="001169CC"/>
    <w:rsid w:val="0011713A"/>
    <w:rsid w:val="00117C78"/>
    <w:rsid w:val="00117E45"/>
    <w:rsid w:val="00117FEA"/>
    <w:rsid w:val="00120275"/>
    <w:rsid w:val="0012095B"/>
    <w:rsid w:val="00121077"/>
    <w:rsid w:val="00121105"/>
    <w:rsid w:val="00121558"/>
    <w:rsid w:val="001216DB"/>
    <w:rsid w:val="00121ABC"/>
    <w:rsid w:val="00121BDE"/>
    <w:rsid w:val="00121D75"/>
    <w:rsid w:val="00121F2F"/>
    <w:rsid w:val="001220D3"/>
    <w:rsid w:val="001220E2"/>
    <w:rsid w:val="00122179"/>
    <w:rsid w:val="001229F0"/>
    <w:rsid w:val="00123159"/>
    <w:rsid w:val="0012323A"/>
    <w:rsid w:val="00123545"/>
    <w:rsid w:val="00123878"/>
    <w:rsid w:val="00123BD4"/>
    <w:rsid w:val="00123D63"/>
    <w:rsid w:val="00123F6A"/>
    <w:rsid w:val="0012473E"/>
    <w:rsid w:val="0012482A"/>
    <w:rsid w:val="001255B8"/>
    <w:rsid w:val="00125786"/>
    <w:rsid w:val="00125B4D"/>
    <w:rsid w:val="00125F9B"/>
    <w:rsid w:val="00126E5E"/>
    <w:rsid w:val="00127133"/>
    <w:rsid w:val="0012733E"/>
    <w:rsid w:val="001273E1"/>
    <w:rsid w:val="00127D67"/>
    <w:rsid w:val="00127E53"/>
    <w:rsid w:val="00130448"/>
    <w:rsid w:val="001306A6"/>
    <w:rsid w:val="001306AC"/>
    <w:rsid w:val="00130AC3"/>
    <w:rsid w:val="001316FC"/>
    <w:rsid w:val="00131828"/>
    <w:rsid w:val="00131C47"/>
    <w:rsid w:val="00131E50"/>
    <w:rsid w:val="0013256C"/>
    <w:rsid w:val="00132753"/>
    <w:rsid w:val="00132C72"/>
    <w:rsid w:val="0013392D"/>
    <w:rsid w:val="00134037"/>
    <w:rsid w:val="001359F8"/>
    <w:rsid w:val="00135E49"/>
    <w:rsid w:val="00135EE2"/>
    <w:rsid w:val="00136271"/>
    <w:rsid w:val="00136573"/>
    <w:rsid w:val="001368E5"/>
    <w:rsid w:val="00136CCF"/>
    <w:rsid w:val="00137328"/>
    <w:rsid w:val="0013775F"/>
    <w:rsid w:val="00137761"/>
    <w:rsid w:val="00137E75"/>
    <w:rsid w:val="00140082"/>
    <w:rsid w:val="001401BB"/>
    <w:rsid w:val="001401C0"/>
    <w:rsid w:val="001406E5"/>
    <w:rsid w:val="001412DE"/>
    <w:rsid w:val="00142676"/>
    <w:rsid w:val="001427C0"/>
    <w:rsid w:val="00142C16"/>
    <w:rsid w:val="00143A43"/>
    <w:rsid w:val="00143A8F"/>
    <w:rsid w:val="001447C0"/>
    <w:rsid w:val="00144948"/>
    <w:rsid w:val="0014515E"/>
    <w:rsid w:val="001451AE"/>
    <w:rsid w:val="00145AC9"/>
    <w:rsid w:val="0014623E"/>
    <w:rsid w:val="00146819"/>
    <w:rsid w:val="00146D5F"/>
    <w:rsid w:val="00146D65"/>
    <w:rsid w:val="00146D6B"/>
    <w:rsid w:val="00147D13"/>
    <w:rsid w:val="00150173"/>
    <w:rsid w:val="001503A0"/>
    <w:rsid w:val="001503AA"/>
    <w:rsid w:val="0015073B"/>
    <w:rsid w:val="00150D0C"/>
    <w:rsid w:val="00150DF2"/>
    <w:rsid w:val="00150FB7"/>
    <w:rsid w:val="0015110F"/>
    <w:rsid w:val="001516B8"/>
    <w:rsid w:val="001517AA"/>
    <w:rsid w:val="0015181B"/>
    <w:rsid w:val="00151898"/>
    <w:rsid w:val="00151E96"/>
    <w:rsid w:val="00152750"/>
    <w:rsid w:val="00152915"/>
    <w:rsid w:val="00152B6A"/>
    <w:rsid w:val="00153FD1"/>
    <w:rsid w:val="0015453A"/>
    <w:rsid w:val="00154A83"/>
    <w:rsid w:val="00154D24"/>
    <w:rsid w:val="00155369"/>
    <w:rsid w:val="001556A0"/>
    <w:rsid w:val="001556F5"/>
    <w:rsid w:val="00156584"/>
    <w:rsid w:val="00156918"/>
    <w:rsid w:val="00156A5E"/>
    <w:rsid w:val="00157924"/>
    <w:rsid w:val="00157BA1"/>
    <w:rsid w:val="00157E5B"/>
    <w:rsid w:val="001604B4"/>
    <w:rsid w:val="001607F7"/>
    <w:rsid w:val="001609DC"/>
    <w:rsid w:val="00160DDC"/>
    <w:rsid w:val="00161574"/>
    <w:rsid w:val="00161B84"/>
    <w:rsid w:val="00161EB9"/>
    <w:rsid w:val="00161F2A"/>
    <w:rsid w:val="00162B05"/>
    <w:rsid w:val="00162E87"/>
    <w:rsid w:val="00163067"/>
    <w:rsid w:val="001638AE"/>
    <w:rsid w:val="00163FC0"/>
    <w:rsid w:val="00164973"/>
    <w:rsid w:val="00164BAC"/>
    <w:rsid w:val="00164BEC"/>
    <w:rsid w:val="0016536F"/>
    <w:rsid w:val="00165EF2"/>
    <w:rsid w:val="00166163"/>
    <w:rsid w:val="001668B0"/>
    <w:rsid w:val="00166D6B"/>
    <w:rsid w:val="00167009"/>
    <w:rsid w:val="00170941"/>
    <w:rsid w:val="00170BFC"/>
    <w:rsid w:val="00170E73"/>
    <w:rsid w:val="00170FF3"/>
    <w:rsid w:val="001716B2"/>
    <w:rsid w:val="00171A21"/>
    <w:rsid w:val="00171E82"/>
    <w:rsid w:val="00172856"/>
    <w:rsid w:val="001728D4"/>
    <w:rsid w:val="00172A07"/>
    <w:rsid w:val="00172CE5"/>
    <w:rsid w:val="00172D9F"/>
    <w:rsid w:val="00173414"/>
    <w:rsid w:val="001739C8"/>
    <w:rsid w:val="0017420A"/>
    <w:rsid w:val="00174971"/>
    <w:rsid w:val="00174D6E"/>
    <w:rsid w:val="00175376"/>
    <w:rsid w:val="00175BF8"/>
    <w:rsid w:val="00175CFC"/>
    <w:rsid w:val="001768FF"/>
    <w:rsid w:val="00176D3E"/>
    <w:rsid w:val="0017758D"/>
    <w:rsid w:val="00177CA5"/>
    <w:rsid w:val="00180202"/>
    <w:rsid w:val="001802BF"/>
    <w:rsid w:val="00180322"/>
    <w:rsid w:val="00180431"/>
    <w:rsid w:val="00180E98"/>
    <w:rsid w:val="001811DF"/>
    <w:rsid w:val="0018141B"/>
    <w:rsid w:val="001815E4"/>
    <w:rsid w:val="00181D29"/>
    <w:rsid w:val="00181FA5"/>
    <w:rsid w:val="00181FC1"/>
    <w:rsid w:val="001826A2"/>
    <w:rsid w:val="001826BA"/>
    <w:rsid w:val="00182B4A"/>
    <w:rsid w:val="00182FFA"/>
    <w:rsid w:val="001831B9"/>
    <w:rsid w:val="001842AD"/>
    <w:rsid w:val="00184708"/>
    <w:rsid w:val="00184ADC"/>
    <w:rsid w:val="00185131"/>
    <w:rsid w:val="00185404"/>
    <w:rsid w:val="001854DD"/>
    <w:rsid w:val="001869AC"/>
    <w:rsid w:val="00186B91"/>
    <w:rsid w:val="0018700D"/>
    <w:rsid w:val="0018769A"/>
    <w:rsid w:val="001903C4"/>
    <w:rsid w:val="00190775"/>
    <w:rsid w:val="001908BB"/>
    <w:rsid w:val="00190924"/>
    <w:rsid w:val="00190CE4"/>
    <w:rsid w:val="00190CF7"/>
    <w:rsid w:val="00190FE5"/>
    <w:rsid w:val="00191AB3"/>
    <w:rsid w:val="00191B1E"/>
    <w:rsid w:val="00191D97"/>
    <w:rsid w:val="00192EAB"/>
    <w:rsid w:val="00192EF0"/>
    <w:rsid w:val="0019348F"/>
    <w:rsid w:val="001938F1"/>
    <w:rsid w:val="001939D2"/>
    <w:rsid w:val="00193BAD"/>
    <w:rsid w:val="00194074"/>
    <w:rsid w:val="00194143"/>
    <w:rsid w:val="001942F4"/>
    <w:rsid w:val="00194708"/>
    <w:rsid w:val="00194742"/>
    <w:rsid w:val="00194FA5"/>
    <w:rsid w:val="0019547E"/>
    <w:rsid w:val="00195A11"/>
    <w:rsid w:val="00195B84"/>
    <w:rsid w:val="00195F75"/>
    <w:rsid w:val="00196556"/>
    <w:rsid w:val="0019697B"/>
    <w:rsid w:val="00196A9C"/>
    <w:rsid w:val="00196A9D"/>
    <w:rsid w:val="0019703E"/>
    <w:rsid w:val="0019704E"/>
    <w:rsid w:val="0019735D"/>
    <w:rsid w:val="001974F6"/>
    <w:rsid w:val="001977BF"/>
    <w:rsid w:val="00197B0C"/>
    <w:rsid w:val="00197FB3"/>
    <w:rsid w:val="00197FFD"/>
    <w:rsid w:val="001A07EA"/>
    <w:rsid w:val="001A14D9"/>
    <w:rsid w:val="001A15C0"/>
    <w:rsid w:val="001A1CA2"/>
    <w:rsid w:val="001A24F7"/>
    <w:rsid w:val="001A2B44"/>
    <w:rsid w:val="001A42B5"/>
    <w:rsid w:val="001A42DB"/>
    <w:rsid w:val="001A445D"/>
    <w:rsid w:val="001A4E2E"/>
    <w:rsid w:val="001A5399"/>
    <w:rsid w:val="001A54E9"/>
    <w:rsid w:val="001A6868"/>
    <w:rsid w:val="001A6A51"/>
    <w:rsid w:val="001A6ACC"/>
    <w:rsid w:val="001A73E3"/>
    <w:rsid w:val="001A75D7"/>
    <w:rsid w:val="001A765F"/>
    <w:rsid w:val="001B09AC"/>
    <w:rsid w:val="001B0E72"/>
    <w:rsid w:val="001B12C4"/>
    <w:rsid w:val="001B17A7"/>
    <w:rsid w:val="001B2419"/>
    <w:rsid w:val="001B2D4E"/>
    <w:rsid w:val="001B3376"/>
    <w:rsid w:val="001B35E6"/>
    <w:rsid w:val="001B3BC7"/>
    <w:rsid w:val="001B3BDF"/>
    <w:rsid w:val="001B4165"/>
    <w:rsid w:val="001B4B70"/>
    <w:rsid w:val="001B4C9B"/>
    <w:rsid w:val="001B4E15"/>
    <w:rsid w:val="001B5626"/>
    <w:rsid w:val="001B5BB9"/>
    <w:rsid w:val="001B5BDB"/>
    <w:rsid w:val="001B5E78"/>
    <w:rsid w:val="001B64A6"/>
    <w:rsid w:val="001B6646"/>
    <w:rsid w:val="001B733C"/>
    <w:rsid w:val="001B744F"/>
    <w:rsid w:val="001B7CB7"/>
    <w:rsid w:val="001C0C84"/>
    <w:rsid w:val="001C0EF5"/>
    <w:rsid w:val="001C1D5B"/>
    <w:rsid w:val="001C1F0A"/>
    <w:rsid w:val="001C23E5"/>
    <w:rsid w:val="001C2986"/>
    <w:rsid w:val="001C3526"/>
    <w:rsid w:val="001C3939"/>
    <w:rsid w:val="001C463A"/>
    <w:rsid w:val="001C4E04"/>
    <w:rsid w:val="001C5464"/>
    <w:rsid w:val="001C558C"/>
    <w:rsid w:val="001C5619"/>
    <w:rsid w:val="001C5778"/>
    <w:rsid w:val="001C6985"/>
    <w:rsid w:val="001C69FE"/>
    <w:rsid w:val="001C6DB4"/>
    <w:rsid w:val="001C7DA7"/>
    <w:rsid w:val="001D038E"/>
    <w:rsid w:val="001D048C"/>
    <w:rsid w:val="001D167B"/>
    <w:rsid w:val="001D171F"/>
    <w:rsid w:val="001D189F"/>
    <w:rsid w:val="001D190E"/>
    <w:rsid w:val="001D1B37"/>
    <w:rsid w:val="001D1F8B"/>
    <w:rsid w:val="001D25E6"/>
    <w:rsid w:val="001D2673"/>
    <w:rsid w:val="001D2B46"/>
    <w:rsid w:val="001D2CDC"/>
    <w:rsid w:val="001D2FA0"/>
    <w:rsid w:val="001D3031"/>
    <w:rsid w:val="001D3EAB"/>
    <w:rsid w:val="001D422F"/>
    <w:rsid w:val="001D48F1"/>
    <w:rsid w:val="001D4A20"/>
    <w:rsid w:val="001D4EC9"/>
    <w:rsid w:val="001D55BA"/>
    <w:rsid w:val="001D581E"/>
    <w:rsid w:val="001D6319"/>
    <w:rsid w:val="001D683D"/>
    <w:rsid w:val="001D6F29"/>
    <w:rsid w:val="001D7352"/>
    <w:rsid w:val="001D7EFB"/>
    <w:rsid w:val="001E0095"/>
    <w:rsid w:val="001E052A"/>
    <w:rsid w:val="001E0B28"/>
    <w:rsid w:val="001E0C2D"/>
    <w:rsid w:val="001E19D1"/>
    <w:rsid w:val="001E1CBE"/>
    <w:rsid w:val="001E206E"/>
    <w:rsid w:val="001E212C"/>
    <w:rsid w:val="001E249F"/>
    <w:rsid w:val="001E2852"/>
    <w:rsid w:val="001E2B27"/>
    <w:rsid w:val="001E30DD"/>
    <w:rsid w:val="001E310F"/>
    <w:rsid w:val="001E31EB"/>
    <w:rsid w:val="001E3247"/>
    <w:rsid w:val="001E38A4"/>
    <w:rsid w:val="001E44CE"/>
    <w:rsid w:val="001E4D43"/>
    <w:rsid w:val="001E50B7"/>
    <w:rsid w:val="001E5215"/>
    <w:rsid w:val="001E56B6"/>
    <w:rsid w:val="001E5AD9"/>
    <w:rsid w:val="001E618C"/>
    <w:rsid w:val="001E6655"/>
    <w:rsid w:val="001E671C"/>
    <w:rsid w:val="001E698D"/>
    <w:rsid w:val="001E72A8"/>
    <w:rsid w:val="001E7C94"/>
    <w:rsid w:val="001E7FC6"/>
    <w:rsid w:val="001F0558"/>
    <w:rsid w:val="001F0A9E"/>
    <w:rsid w:val="001F1B3B"/>
    <w:rsid w:val="001F23CA"/>
    <w:rsid w:val="001F27B2"/>
    <w:rsid w:val="001F36D9"/>
    <w:rsid w:val="001F3769"/>
    <w:rsid w:val="001F3CD5"/>
    <w:rsid w:val="001F41EB"/>
    <w:rsid w:val="001F44E5"/>
    <w:rsid w:val="001F45B2"/>
    <w:rsid w:val="001F50BA"/>
    <w:rsid w:val="001F56C1"/>
    <w:rsid w:val="001F5841"/>
    <w:rsid w:val="001F6194"/>
    <w:rsid w:val="001F6749"/>
    <w:rsid w:val="001F6C6C"/>
    <w:rsid w:val="001F6D23"/>
    <w:rsid w:val="001F6F9F"/>
    <w:rsid w:val="001F6FDC"/>
    <w:rsid w:val="001F75EC"/>
    <w:rsid w:val="001F78FE"/>
    <w:rsid w:val="001F7C71"/>
    <w:rsid w:val="001F7E4E"/>
    <w:rsid w:val="00200032"/>
    <w:rsid w:val="00200197"/>
    <w:rsid w:val="002012BC"/>
    <w:rsid w:val="002018A0"/>
    <w:rsid w:val="00202B44"/>
    <w:rsid w:val="00202FB3"/>
    <w:rsid w:val="00203575"/>
    <w:rsid w:val="002045B4"/>
    <w:rsid w:val="00204744"/>
    <w:rsid w:val="0020494E"/>
    <w:rsid w:val="00204AE0"/>
    <w:rsid w:val="00204C89"/>
    <w:rsid w:val="00204EEF"/>
    <w:rsid w:val="002054FD"/>
    <w:rsid w:val="002067EA"/>
    <w:rsid w:val="00207283"/>
    <w:rsid w:val="00207404"/>
    <w:rsid w:val="002077B5"/>
    <w:rsid w:val="002078EA"/>
    <w:rsid w:val="002079A5"/>
    <w:rsid w:val="00207D7D"/>
    <w:rsid w:val="00210223"/>
    <w:rsid w:val="002104E4"/>
    <w:rsid w:val="0021076F"/>
    <w:rsid w:val="00211003"/>
    <w:rsid w:val="002114FC"/>
    <w:rsid w:val="002118D8"/>
    <w:rsid w:val="002119BD"/>
    <w:rsid w:val="00211B32"/>
    <w:rsid w:val="00211B9B"/>
    <w:rsid w:val="00211D4C"/>
    <w:rsid w:val="00211DF3"/>
    <w:rsid w:val="00211EEC"/>
    <w:rsid w:val="00212585"/>
    <w:rsid w:val="00212CA5"/>
    <w:rsid w:val="002136CF"/>
    <w:rsid w:val="002143A8"/>
    <w:rsid w:val="002145CD"/>
    <w:rsid w:val="00214958"/>
    <w:rsid w:val="00214C77"/>
    <w:rsid w:val="00214E65"/>
    <w:rsid w:val="00214F31"/>
    <w:rsid w:val="00214F64"/>
    <w:rsid w:val="002153BE"/>
    <w:rsid w:val="00215542"/>
    <w:rsid w:val="00215737"/>
    <w:rsid w:val="00215A65"/>
    <w:rsid w:val="00215D3F"/>
    <w:rsid w:val="0021643F"/>
    <w:rsid w:val="00216551"/>
    <w:rsid w:val="002166C8"/>
    <w:rsid w:val="00217661"/>
    <w:rsid w:val="0021775E"/>
    <w:rsid w:val="0021796A"/>
    <w:rsid w:val="0021798D"/>
    <w:rsid w:val="00217DF4"/>
    <w:rsid w:val="002205F9"/>
    <w:rsid w:val="00221A1E"/>
    <w:rsid w:val="002220A5"/>
    <w:rsid w:val="0022312A"/>
    <w:rsid w:val="00223240"/>
    <w:rsid w:val="002232C3"/>
    <w:rsid w:val="0022335E"/>
    <w:rsid w:val="00223F92"/>
    <w:rsid w:val="00224008"/>
    <w:rsid w:val="00224CE0"/>
    <w:rsid w:val="00224EB5"/>
    <w:rsid w:val="002251CC"/>
    <w:rsid w:val="00225546"/>
    <w:rsid w:val="0022575E"/>
    <w:rsid w:val="00225B90"/>
    <w:rsid w:val="00226363"/>
    <w:rsid w:val="00227A15"/>
    <w:rsid w:val="00230110"/>
    <w:rsid w:val="00230150"/>
    <w:rsid w:val="0023044E"/>
    <w:rsid w:val="0023045E"/>
    <w:rsid w:val="002304E2"/>
    <w:rsid w:val="00230EAB"/>
    <w:rsid w:val="002316FF"/>
    <w:rsid w:val="00231B48"/>
    <w:rsid w:val="0023202B"/>
    <w:rsid w:val="002337E6"/>
    <w:rsid w:val="00233FF5"/>
    <w:rsid w:val="00234FFA"/>
    <w:rsid w:val="002358C3"/>
    <w:rsid w:val="00235D17"/>
    <w:rsid w:val="00235E3C"/>
    <w:rsid w:val="002367DA"/>
    <w:rsid w:val="002368B0"/>
    <w:rsid w:val="00236EF5"/>
    <w:rsid w:val="002370D1"/>
    <w:rsid w:val="00237342"/>
    <w:rsid w:val="002375E7"/>
    <w:rsid w:val="002378CD"/>
    <w:rsid w:val="00237A24"/>
    <w:rsid w:val="00237AAD"/>
    <w:rsid w:val="0024144C"/>
    <w:rsid w:val="002416B5"/>
    <w:rsid w:val="00241AD0"/>
    <w:rsid w:val="00241DB6"/>
    <w:rsid w:val="0024229C"/>
    <w:rsid w:val="00242571"/>
    <w:rsid w:val="00242B36"/>
    <w:rsid w:val="00242B6E"/>
    <w:rsid w:val="00242CE0"/>
    <w:rsid w:val="00242EBB"/>
    <w:rsid w:val="00242F5A"/>
    <w:rsid w:val="0024319B"/>
    <w:rsid w:val="0024338B"/>
    <w:rsid w:val="00244AA0"/>
    <w:rsid w:val="002451AA"/>
    <w:rsid w:val="00245F40"/>
    <w:rsid w:val="00246775"/>
    <w:rsid w:val="002467C7"/>
    <w:rsid w:val="00246872"/>
    <w:rsid w:val="00247390"/>
    <w:rsid w:val="00250FD8"/>
    <w:rsid w:val="0025102F"/>
    <w:rsid w:val="002514A7"/>
    <w:rsid w:val="00251707"/>
    <w:rsid w:val="00252224"/>
    <w:rsid w:val="00252911"/>
    <w:rsid w:val="00252A9E"/>
    <w:rsid w:val="00253730"/>
    <w:rsid w:val="0025395E"/>
    <w:rsid w:val="00253CAC"/>
    <w:rsid w:val="00253CB2"/>
    <w:rsid w:val="00254232"/>
    <w:rsid w:val="00254371"/>
    <w:rsid w:val="002544AE"/>
    <w:rsid w:val="00254AB6"/>
    <w:rsid w:val="00254B1E"/>
    <w:rsid w:val="0025537B"/>
    <w:rsid w:val="0025564D"/>
    <w:rsid w:val="002557EF"/>
    <w:rsid w:val="0025590A"/>
    <w:rsid w:val="00256889"/>
    <w:rsid w:val="00256A85"/>
    <w:rsid w:val="00257C62"/>
    <w:rsid w:val="00260833"/>
    <w:rsid w:val="00261063"/>
    <w:rsid w:val="002614F4"/>
    <w:rsid w:val="00261846"/>
    <w:rsid w:val="00261BB6"/>
    <w:rsid w:val="0026225E"/>
    <w:rsid w:val="0026252E"/>
    <w:rsid w:val="00262753"/>
    <w:rsid w:val="002629D3"/>
    <w:rsid w:val="00262C96"/>
    <w:rsid w:val="00263294"/>
    <w:rsid w:val="002634D3"/>
    <w:rsid w:val="00264218"/>
    <w:rsid w:val="00264B0F"/>
    <w:rsid w:val="00265562"/>
    <w:rsid w:val="00265756"/>
    <w:rsid w:val="00265933"/>
    <w:rsid w:val="00265ECF"/>
    <w:rsid w:val="0026649A"/>
    <w:rsid w:val="00266E5C"/>
    <w:rsid w:val="00267283"/>
    <w:rsid w:val="0026731D"/>
    <w:rsid w:val="00267BE7"/>
    <w:rsid w:val="00267E90"/>
    <w:rsid w:val="0027007E"/>
    <w:rsid w:val="00270D9B"/>
    <w:rsid w:val="002713BA"/>
    <w:rsid w:val="00271856"/>
    <w:rsid w:val="002718BC"/>
    <w:rsid w:val="00271B5A"/>
    <w:rsid w:val="00271B98"/>
    <w:rsid w:val="00271BB0"/>
    <w:rsid w:val="00272B62"/>
    <w:rsid w:val="00272BBC"/>
    <w:rsid w:val="00272E25"/>
    <w:rsid w:val="0027368D"/>
    <w:rsid w:val="002737A0"/>
    <w:rsid w:val="00273B6F"/>
    <w:rsid w:val="00273DDF"/>
    <w:rsid w:val="002744D6"/>
    <w:rsid w:val="0027544A"/>
    <w:rsid w:val="00275658"/>
    <w:rsid w:val="0027587D"/>
    <w:rsid w:val="0027598F"/>
    <w:rsid w:val="00275A27"/>
    <w:rsid w:val="00276596"/>
    <w:rsid w:val="002768A2"/>
    <w:rsid w:val="00276A5D"/>
    <w:rsid w:val="00276C86"/>
    <w:rsid w:val="00277DCE"/>
    <w:rsid w:val="00277F11"/>
    <w:rsid w:val="002808BA"/>
    <w:rsid w:val="00280C60"/>
    <w:rsid w:val="00281A9D"/>
    <w:rsid w:val="00282DF3"/>
    <w:rsid w:val="00282E2C"/>
    <w:rsid w:val="00283080"/>
    <w:rsid w:val="002834D1"/>
    <w:rsid w:val="00283628"/>
    <w:rsid w:val="0028407D"/>
    <w:rsid w:val="00284101"/>
    <w:rsid w:val="0028434E"/>
    <w:rsid w:val="002847A6"/>
    <w:rsid w:val="00284AC5"/>
    <w:rsid w:val="00285E23"/>
    <w:rsid w:val="00285F9A"/>
    <w:rsid w:val="00287472"/>
    <w:rsid w:val="002878BF"/>
    <w:rsid w:val="00287D15"/>
    <w:rsid w:val="00290560"/>
    <w:rsid w:val="00290740"/>
    <w:rsid w:val="00291E5B"/>
    <w:rsid w:val="0029230C"/>
    <w:rsid w:val="002923E0"/>
    <w:rsid w:val="002934C7"/>
    <w:rsid w:val="0029353F"/>
    <w:rsid w:val="00293691"/>
    <w:rsid w:val="0029379F"/>
    <w:rsid w:val="0029459B"/>
    <w:rsid w:val="002945C6"/>
    <w:rsid w:val="00294C50"/>
    <w:rsid w:val="00294F85"/>
    <w:rsid w:val="00295556"/>
    <w:rsid w:val="002955C4"/>
    <w:rsid w:val="00295B63"/>
    <w:rsid w:val="00295FD3"/>
    <w:rsid w:val="00296717"/>
    <w:rsid w:val="002967A4"/>
    <w:rsid w:val="00296D28"/>
    <w:rsid w:val="00297015"/>
    <w:rsid w:val="00297605"/>
    <w:rsid w:val="002978D8"/>
    <w:rsid w:val="002978F7"/>
    <w:rsid w:val="00297E98"/>
    <w:rsid w:val="002A0218"/>
    <w:rsid w:val="002A04FE"/>
    <w:rsid w:val="002A05B7"/>
    <w:rsid w:val="002A06BE"/>
    <w:rsid w:val="002A06CB"/>
    <w:rsid w:val="002A10BE"/>
    <w:rsid w:val="002A15C0"/>
    <w:rsid w:val="002A1AD7"/>
    <w:rsid w:val="002A1B3F"/>
    <w:rsid w:val="002A1DEC"/>
    <w:rsid w:val="002A2A31"/>
    <w:rsid w:val="002A2B27"/>
    <w:rsid w:val="002A37F2"/>
    <w:rsid w:val="002A3F58"/>
    <w:rsid w:val="002A4B2C"/>
    <w:rsid w:val="002A4D3E"/>
    <w:rsid w:val="002A542C"/>
    <w:rsid w:val="002A54F7"/>
    <w:rsid w:val="002A5781"/>
    <w:rsid w:val="002A5910"/>
    <w:rsid w:val="002A5CB4"/>
    <w:rsid w:val="002A682A"/>
    <w:rsid w:val="002A6EF7"/>
    <w:rsid w:val="002A7D13"/>
    <w:rsid w:val="002B0345"/>
    <w:rsid w:val="002B0EAF"/>
    <w:rsid w:val="002B1155"/>
    <w:rsid w:val="002B1668"/>
    <w:rsid w:val="002B1A2B"/>
    <w:rsid w:val="002B243C"/>
    <w:rsid w:val="002B25A7"/>
    <w:rsid w:val="002B3FC0"/>
    <w:rsid w:val="002B453B"/>
    <w:rsid w:val="002B465D"/>
    <w:rsid w:val="002B48E1"/>
    <w:rsid w:val="002B4E01"/>
    <w:rsid w:val="002B58D6"/>
    <w:rsid w:val="002B5AC8"/>
    <w:rsid w:val="002B6696"/>
    <w:rsid w:val="002B7031"/>
    <w:rsid w:val="002B7366"/>
    <w:rsid w:val="002B7538"/>
    <w:rsid w:val="002B7712"/>
    <w:rsid w:val="002B7BDC"/>
    <w:rsid w:val="002B7D66"/>
    <w:rsid w:val="002C003E"/>
    <w:rsid w:val="002C0268"/>
    <w:rsid w:val="002C0C8F"/>
    <w:rsid w:val="002C10FE"/>
    <w:rsid w:val="002C18B5"/>
    <w:rsid w:val="002C1A88"/>
    <w:rsid w:val="002C1AD4"/>
    <w:rsid w:val="002C1C23"/>
    <w:rsid w:val="002C1D20"/>
    <w:rsid w:val="002C254E"/>
    <w:rsid w:val="002C2562"/>
    <w:rsid w:val="002C3724"/>
    <w:rsid w:val="002C373E"/>
    <w:rsid w:val="002C3930"/>
    <w:rsid w:val="002C3D3F"/>
    <w:rsid w:val="002C4449"/>
    <w:rsid w:val="002C451D"/>
    <w:rsid w:val="002C4794"/>
    <w:rsid w:val="002C47EE"/>
    <w:rsid w:val="002C5509"/>
    <w:rsid w:val="002C5B78"/>
    <w:rsid w:val="002C5C18"/>
    <w:rsid w:val="002C5E49"/>
    <w:rsid w:val="002C647B"/>
    <w:rsid w:val="002C66E4"/>
    <w:rsid w:val="002C7569"/>
    <w:rsid w:val="002C7578"/>
    <w:rsid w:val="002D09B6"/>
    <w:rsid w:val="002D11C5"/>
    <w:rsid w:val="002D150D"/>
    <w:rsid w:val="002D1627"/>
    <w:rsid w:val="002D1A20"/>
    <w:rsid w:val="002D1B1A"/>
    <w:rsid w:val="002D1D36"/>
    <w:rsid w:val="002D209B"/>
    <w:rsid w:val="002D235B"/>
    <w:rsid w:val="002D2BD2"/>
    <w:rsid w:val="002D33FB"/>
    <w:rsid w:val="002D3751"/>
    <w:rsid w:val="002D3AB4"/>
    <w:rsid w:val="002D417B"/>
    <w:rsid w:val="002D45F2"/>
    <w:rsid w:val="002D4890"/>
    <w:rsid w:val="002D48C9"/>
    <w:rsid w:val="002D6B67"/>
    <w:rsid w:val="002D6DA3"/>
    <w:rsid w:val="002D6E7B"/>
    <w:rsid w:val="002D7ABF"/>
    <w:rsid w:val="002E0103"/>
    <w:rsid w:val="002E0121"/>
    <w:rsid w:val="002E0A53"/>
    <w:rsid w:val="002E0D64"/>
    <w:rsid w:val="002E0F36"/>
    <w:rsid w:val="002E17EF"/>
    <w:rsid w:val="002E1BAE"/>
    <w:rsid w:val="002E1EDA"/>
    <w:rsid w:val="002E36AB"/>
    <w:rsid w:val="002E3778"/>
    <w:rsid w:val="002E37E0"/>
    <w:rsid w:val="002E3D94"/>
    <w:rsid w:val="002E4382"/>
    <w:rsid w:val="002E462E"/>
    <w:rsid w:val="002E4643"/>
    <w:rsid w:val="002E47B9"/>
    <w:rsid w:val="002E47BE"/>
    <w:rsid w:val="002E4CB3"/>
    <w:rsid w:val="002E4D5E"/>
    <w:rsid w:val="002E4FA3"/>
    <w:rsid w:val="002E5297"/>
    <w:rsid w:val="002E5303"/>
    <w:rsid w:val="002E62ED"/>
    <w:rsid w:val="002E646F"/>
    <w:rsid w:val="002E65BB"/>
    <w:rsid w:val="002E6A7F"/>
    <w:rsid w:val="002E78D5"/>
    <w:rsid w:val="002E7BD7"/>
    <w:rsid w:val="002E7D4B"/>
    <w:rsid w:val="002F0162"/>
    <w:rsid w:val="002F0301"/>
    <w:rsid w:val="002F1061"/>
    <w:rsid w:val="002F122C"/>
    <w:rsid w:val="002F1453"/>
    <w:rsid w:val="002F1B3A"/>
    <w:rsid w:val="002F1B73"/>
    <w:rsid w:val="002F205F"/>
    <w:rsid w:val="002F276C"/>
    <w:rsid w:val="002F27F2"/>
    <w:rsid w:val="002F2E72"/>
    <w:rsid w:val="002F5397"/>
    <w:rsid w:val="002F5B2F"/>
    <w:rsid w:val="002F5E7C"/>
    <w:rsid w:val="002F65C5"/>
    <w:rsid w:val="002F7061"/>
    <w:rsid w:val="002F71DC"/>
    <w:rsid w:val="002F7575"/>
    <w:rsid w:val="002F7D9A"/>
    <w:rsid w:val="002F7FC9"/>
    <w:rsid w:val="003002CE"/>
    <w:rsid w:val="00300B7A"/>
    <w:rsid w:val="0030112C"/>
    <w:rsid w:val="0030133F"/>
    <w:rsid w:val="00301ADF"/>
    <w:rsid w:val="00301D77"/>
    <w:rsid w:val="00301ED3"/>
    <w:rsid w:val="00301FE0"/>
    <w:rsid w:val="003027FE"/>
    <w:rsid w:val="00302FB5"/>
    <w:rsid w:val="003035D7"/>
    <w:rsid w:val="00303E4D"/>
    <w:rsid w:val="00304794"/>
    <w:rsid w:val="003047C0"/>
    <w:rsid w:val="00305524"/>
    <w:rsid w:val="0030595D"/>
    <w:rsid w:val="003059E2"/>
    <w:rsid w:val="00305A1C"/>
    <w:rsid w:val="00305FD2"/>
    <w:rsid w:val="00306BDB"/>
    <w:rsid w:val="0030736D"/>
    <w:rsid w:val="003073E0"/>
    <w:rsid w:val="003079CC"/>
    <w:rsid w:val="00307BA9"/>
    <w:rsid w:val="00307C02"/>
    <w:rsid w:val="00307C55"/>
    <w:rsid w:val="00307F60"/>
    <w:rsid w:val="00310067"/>
    <w:rsid w:val="003106B3"/>
    <w:rsid w:val="00310B82"/>
    <w:rsid w:val="00310BA9"/>
    <w:rsid w:val="00311233"/>
    <w:rsid w:val="0031146D"/>
    <w:rsid w:val="00311874"/>
    <w:rsid w:val="00311CA2"/>
    <w:rsid w:val="00311CED"/>
    <w:rsid w:val="00311DEA"/>
    <w:rsid w:val="00311EB4"/>
    <w:rsid w:val="003128C7"/>
    <w:rsid w:val="00312E49"/>
    <w:rsid w:val="0031301E"/>
    <w:rsid w:val="00313754"/>
    <w:rsid w:val="00314274"/>
    <w:rsid w:val="003142FD"/>
    <w:rsid w:val="00314DB6"/>
    <w:rsid w:val="003153DF"/>
    <w:rsid w:val="00315A7A"/>
    <w:rsid w:val="00316163"/>
    <w:rsid w:val="003163E9"/>
    <w:rsid w:val="003166A8"/>
    <w:rsid w:val="003171F4"/>
    <w:rsid w:val="00317399"/>
    <w:rsid w:val="003175F7"/>
    <w:rsid w:val="003207C7"/>
    <w:rsid w:val="00320858"/>
    <w:rsid w:val="00320D47"/>
    <w:rsid w:val="00320DB8"/>
    <w:rsid w:val="00321B30"/>
    <w:rsid w:val="00321B85"/>
    <w:rsid w:val="003228B6"/>
    <w:rsid w:val="00322A17"/>
    <w:rsid w:val="003237D9"/>
    <w:rsid w:val="003238C1"/>
    <w:rsid w:val="00323BD9"/>
    <w:rsid w:val="00324A5D"/>
    <w:rsid w:val="00324B16"/>
    <w:rsid w:val="0032519F"/>
    <w:rsid w:val="003252BD"/>
    <w:rsid w:val="0032653D"/>
    <w:rsid w:val="003269FC"/>
    <w:rsid w:val="00326A0F"/>
    <w:rsid w:val="00327069"/>
    <w:rsid w:val="003270D7"/>
    <w:rsid w:val="00327B9D"/>
    <w:rsid w:val="003301EE"/>
    <w:rsid w:val="00330328"/>
    <w:rsid w:val="003304B9"/>
    <w:rsid w:val="003304FF"/>
    <w:rsid w:val="0033134C"/>
    <w:rsid w:val="003319B6"/>
    <w:rsid w:val="003325A7"/>
    <w:rsid w:val="00332975"/>
    <w:rsid w:val="00332C7A"/>
    <w:rsid w:val="003340EE"/>
    <w:rsid w:val="00334165"/>
    <w:rsid w:val="00334EEE"/>
    <w:rsid w:val="003356BE"/>
    <w:rsid w:val="003356D7"/>
    <w:rsid w:val="003361E9"/>
    <w:rsid w:val="0033671A"/>
    <w:rsid w:val="00336DA2"/>
    <w:rsid w:val="00336DB6"/>
    <w:rsid w:val="00337144"/>
    <w:rsid w:val="00337195"/>
    <w:rsid w:val="003371DE"/>
    <w:rsid w:val="00337D31"/>
    <w:rsid w:val="00340612"/>
    <w:rsid w:val="003409F8"/>
    <w:rsid w:val="00340C35"/>
    <w:rsid w:val="003414B0"/>
    <w:rsid w:val="003417DE"/>
    <w:rsid w:val="00341CA0"/>
    <w:rsid w:val="00342EEC"/>
    <w:rsid w:val="0034304D"/>
    <w:rsid w:val="00343050"/>
    <w:rsid w:val="0034338F"/>
    <w:rsid w:val="0034367F"/>
    <w:rsid w:val="003436B0"/>
    <w:rsid w:val="0034387F"/>
    <w:rsid w:val="003440CD"/>
    <w:rsid w:val="003443CF"/>
    <w:rsid w:val="0034490E"/>
    <w:rsid w:val="00344AAA"/>
    <w:rsid w:val="00344D58"/>
    <w:rsid w:val="00344F14"/>
    <w:rsid w:val="00344FCE"/>
    <w:rsid w:val="00345BA4"/>
    <w:rsid w:val="003467B0"/>
    <w:rsid w:val="00346AEB"/>
    <w:rsid w:val="00346C61"/>
    <w:rsid w:val="00347089"/>
    <w:rsid w:val="00347191"/>
    <w:rsid w:val="00347E07"/>
    <w:rsid w:val="00350B3F"/>
    <w:rsid w:val="00350C7A"/>
    <w:rsid w:val="00350E38"/>
    <w:rsid w:val="003516C6"/>
    <w:rsid w:val="003517EF"/>
    <w:rsid w:val="00351A5A"/>
    <w:rsid w:val="0035270B"/>
    <w:rsid w:val="00352723"/>
    <w:rsid w:val="00352F08"/>
    <w:rsid w:val="00353490"/>
    <w:rsid w:val="0035354E"/>
    <w:rsid w:val="003538A2"/>
    <w:rsid w:val="003548F5"/>
    <w:rsid w:val="00354E42"/>
    <w:rsid w:val="00354EC5"/>
    <w:rsid w:val="00355370"/>
    <w:rsid w:val="0035542F"/>
    <w:rsid w:val="003557A4"/>
    <w:rsid w:val="00355F1E"/>
    <w:rsid w:val="0035606C"/>
    <w:rsid w:val="003573A2"/>
    <w:rsid w:val="00357E4F"/>
    <w:rsid w:val="003602BF"/>
    <w:rsid w:val="0036037B"/>
    <w:rsid w:val="003607AB"/>
    <w:rsid w:val="00360BAC"/>
    <w:rsid w:val="0036125E"/>
    <w:rsid w:val="003613FB"/>
    <w:rsid w:val="0036143A"/>
    <w:rsid w:val="00362564"/>
    <w:rsid w:val="00362702"/>
    <w:rsid w:val="00362D01"/>
    <w:rsid w:val="00363762"/>
    <w:rsid w:val="00363EE9"/>
    <w:rsid w:val="00363F65"/>
    <w:rsid w:val="00364550"/>
    <w:rsid w:val="00364F19"/>
    <w:rsid w:val="00365502"/>
    <w:rsid w:val="00365807"/>
    <w:rsid w:val="003666A8"/>
    <w:rsid w:val="0036678B"/>
    <w:rsid w:val="00366893"/>
    <w:rsid w:val="00366CEE"/>
    <w:rsid w:val="0036713C"/>
    <w:rsid w:val="0036723C"/>
    <w:rsid w:val="003676A0"/>
    <w:rsid w:val="00367AC8"/>
    <w:rsid w:val="00370779"/>
    <w:rsid w:val="0037099E"/>
    <w:rsid w:val="00370A58"/>
    <w:rsid w:val="00370FC5"/>
    <w:rsid w:val="003714FA"/>
    <w:rsid w:val="00371B87"/>
    <w:rsid w:val="00371DB2"/>
    <w:rsid w:val="00371F21"/>
    <w:rsid w:val="003720EC"/>
    <w:rsid w:val="0037349F"/>
    <w:rsid w:val="00373BBE"/>
    <w:rsid w:val="00373FF7"/>
    <w:rsid w:val="00374906"/>
    <w:rsid w:val="00375156"/>
    <w:rsid w:val="003752DF"/>
    <w:rsid w:val="0037533D"/>
    <w:rsid w:val="00375363"/>
    <w:rsid w:val="003754AB"/>
    <w:rsid w:val="003758C8"/>
    <w:rsid w:val="00375B4D"/>
    <w:rsid w:val="00375E36"/>
    <w:rsid w:val="00375FCD"/>
    <w:rsid w:val="003761F8"/>
    <w:rsid w:val="00376496"/>
    <w:rsid w:val="00376AEE"/>
    <w:rsid w:val="00377CF6"/>
    <w:rsid w:val="003807AC"/>
    <w:rsid w:val="00380E76"/>
    <w:rsid w:val="0038146F"/>
    <w:rsid w:val="003817A6"/>
    <w:rsid w:val="00381A3C"/>
    <w:rsid w:val="0038354D"/>
    <w:rsid w:val="003835CA"/>
    <w:rsid w:val="00383815"/>
    <w:rsid w:val="0038435D"/>
    <w:rsid w:val="003849F7"/>
    <w:rsid w:val="00384B4C"/>
    <w:rsid w:val="00385070"/>
    <w:rsid w:val="00385779"/>
    <w:rsid w:val="003860DC"/>
    <w:rsid w:val="003869A0"/>
    <w:rsid w:val="00386EA3"/>
    <w:rsid w:val="00387A2B"/>
    <w:rsid w:val="00387BE1"/>
    <w:rsid w:val="00387F3E"/>
    <w:rsid w:val="003905C0"/>
    <w:rsid w:val="00390883"/>
    <w:rsid w:val="00390B3F"/>
    <w:rsid w:val="00391274"/>
    <w:rsid w:val="0039162C"/>
    <w:rsid w:val="0039167E"/>
    <w:rsid w:val="003922F4"/>
    <w:rsid w:val="003924BB"/>
    <w:rsid w:val="0039281C"/>
    <w:rsid w:val="00392943"/>
    <w:rsid w:val="00392D93"/>
    <w:rsid w:val="0039407C"/>
    <w:rsid w:val="00394435"/>
    <w:rsid w:val="003945A3"/>
    <w:rsid w:val="00394936"/>
    <w:rsid w:val="00394BD8"/>
    <w:rsid w:val="00395AF4"/>
    <w:rsid w:val="00395C20"/>
    <w:rsid w:val="003962A4"/>
    <w:rsid w:val="003969C9"/>
    <w:rsid w:val="00397755"/>
    <w:rsid w:val="00397783"/>
    <w:rsid w:val="00397881"/>
    <w:rsid w:val="003979C7"/>
    <w:rsid w:val="003A00ED"/>
    <w:rsid w:val="003A03FC"/>
    <w:rsid w:val="003A0487"/>
    <w:rsid w:val="003A05AA"/>
    <w:rsid w:val="003A0692"/>
    <w:rsid w:val="003A09DF"/>
    <w:rsid w:val="003A0CD2"/>
    <w:rsid w:val="003A101A"/>
    <w:rsid w:val="003A135F"/>
    <w:rsid w:val="003A169E"/>
    <w:rsid w:val="003A2090"/>
    <w:rsid w:val="003A2662"/>
    <w:rsid w:val="003A2738"/>
    <w:rsid w:val="003A345F"/>
    <w:rsid w:val="003A3836"/>
    <w:rsid w:val="003A4CB5"/>
    <w:rsid w:val="003A50C9"/>
    <w:rsid w:val="003A5266"/>
    <w:rsid w:val="003A5AB3"/>
    <w:rsid w:val="003A63F6"/>
    <w:rsid w:val="003A640F"/>
    <w:rsid w:val="003A6461"/>
    <w:rsid w:val="003A66D6"/>
    <w:rsid w:val="003A67B0"/>
    <w:rsid w:val="003A69CE"/>
    <w:rsid w:val="003A7ABF"/>
    <w:rsid w:val="003A7DAE"/>
    <w:rsid w:val="003B0248"/>
    <w:rsid w:val="003B0C87"/>
    <w:rsid w:val="003B0CC6"/>
    <w:rsid w:val="003B114B"/>
    <w:rsid w:val="003B226D"/>
    <w:rsid w:val="003B2828"/>
    <w:rsid w:val="003B34B7"/>
    <w:rsid w:val="003B3BD1"/>
    <w:rsid w:val="003B3E23"/>
    <w:rsid w:val="003B435B"/>
    <w:rsid w:val="003B4452"/>
    <w:rsid w:val="003B4477"/>
    <w:rsid w:val="003B452E"/>
    <w:rsid w:val="003B483C"/>
    <w:rsid w:val="003B5599"/>
    <w:rsid w:val="003B5A0A"/>
    <w:rsid w:val="003B5DA1"/>
    <w:rsid w:val="003B635C"/>
    <w:rsid w:val="003B6483"/>
    <w:rsid w:val="003B6D6B"/>
    <w:rsid w:val="003B6F49"/>
    <w:rsid w:val="003B70F4"/>
    <w:rsid w:val="003B7EDC"/>
    <w:rsid w:val="003C05C7"/>
    <w:rsid w:val="003C05E6"/>
    <w:rsid w:val="003C0E23"/>
    <w:rsid w:val="003C0EDF"/>
    <w:rsid w:val="003C117B"/>
    <w:rsid w:val="003C12D3"/>
    <w:rsid w:val="003C1490"/>
    <w:rsid w:val="003C1BE6"/>
    <w:rsid w:val="003C2221"/>
    <w:rsid w:val="003C2C4E"/>
    <w:rsid w:val="003C3666"/>
    <w:rsid w:val="003C3804"/>
    <w:rsid w:val="003C47AB"/>
    <w:rsid w:val="003C4CD7"/>
    <w:rsid w:val="003C4DDD"/>
    <w:rsid w:val="003C57EC"/>
    <w:rsid w:val="003C5B4C"/>
    <w:rsid w:val="003C650C"/>
    <w:rsid w:val="003C6A1C"/>
    <w:rsid w:val="003C7F83"/>
    <w:rsid w:val="003D012B"/>
    <w:rsid w:val="003D08B2"/>
    <w:rsid w:val="003D0CF0"/>
    <w:rsid w:val="003D1231"/>
    <w:rsid w:val="003D1B47"/>
    <w:rsid w:val="003D1B94"/>
    <w:rsid w:val="003D203D"/>
    <w:rsid w:val="003D244F"/>
    <w:rsid w:val="003D28B1"/>
    <w:rsid w:val="003D2F61"/>
    <w:rsid w:val="003D3336"/>
    <w:rsid w:val="003D3567"/>
    <w:rsid w:val="003D377C"/>
    <w:rsid w:val="003D3CA0"/>
    <w:rsid w:val="003D3DD4"/>
    <w:rsid w:val="003D43DC"/>
    <w:rsid w:val="003D4F01"/>
    <w:rsid w:val="003D50D8"/>
    <w:rsid w:val="003D535B"/>
    <w:rsid w:val="003D5369"/>
    <w:rsid w:val="003D58C5"/>
    <w:rsid w:val="003D5B60"/>
    <w:rsid w:val="003D5BFC"/>
    <w:rsid w:val="003D5CD7"/>
    <w:rsid w:val="003D62A5"/>
    <w:rsid w:val="003D6E69"/>
    <w:rsid w:val="003D7151"/>
    <w:rsid w:val="003D750F"/>
    <w:rsid w:val="003D75A8"/>
    <w:rsid w:val="003D7C12"/>
    <w:rsid w:val="003E05C0"/>
    <w:rsid w:val="003E08CB"/>
    <w:rsid w:val="003E1082"/>
    <w:rsid w:val="003E1D76"/>
    <w:rsid w:val="003E1FDA"/>
    <w:rsid w:val="003E21B7"/>
    <w:rsid w:val="003E2599"/>
    <w:rsid w:val="003E27B0"/>
    <w:rsid w:val="003E28D4"/>
    <w:rsid w:val="003E30A5"/>
    <w:rsid w:val="003E3738"/>
    <w:rsid w:val="003E3A7E"/>
    <w:rsid w:val="003E3CF6"/>
    <w:rsid w:val="003E3D67"/>
    <w:rsid w:val="003E3FAA"/>
    <w:rsid w:val="003E44F4"/>
    <w:rsid w:val="003E586E"/>
    <w:rsid w:val="003E6018"/>
    <w:rsid w:val="003E6029"/>
    <w:rsid w:val="003E6037"/>
    <w:rsid w:val="003E6113"/>
    <w:rsid w:val="003E641D"/>
    <w:rsid w:val="003E6597"/>
    <w:rsid w:val="003E6D3E"/>
    <w:rsid w:val="003E7123"/>
    <w:rsid w:val="003E7604"/>
    <w:rsid w:val="003E7A1C"/>
    <w:rsid w:val="003E7DD6"/>
    <w:rsid w:val="003F01A1"/>
    <w:rsid w:val="003F0776"/>
    <w:rsid w:val="003F167E"/>
    <w:rsid w:val="003F1968"/>
    <w:rsid w:val="003F1AAC"/>
    <w:rsid w:val="003F1F91"/>
    <w:rsid w:val="003F24E7"/>
    <w:rsid w:val="003F27DA"/>
    <w:rsid w:val="003F2A08"/>
    <w:rsid w:val="003F2B93"/>
    <w:rsid w:val="003F3176"/>
    <w:rsid w:val="003F35E6"/>
    <w:rsid w:val="003F389C"/>
    <w:rsid w:val="003F3FD3"/>
    <w:rsid w:val="003F4250"/>
    <w:rsid w:val="003F49AF"/>
    <w:rsid w:val="003F5581"/>
    <w:rsid w:val="003F5840"/>
    <w:rsid w:val="003F5BC2"/>
    <w:rsid w:val="003F6604"/>
    <w:rsid w:val="003F6616"/>
    <w:rsid w:val="003F6DD2"/>
    <w:rsid w:val="003F700C"/>
    <w:rsid w:val="003F7563"/>
    <w:rsid w:val="003F7B8B"/>
    <w:rsid w:val="003F7E6B"/>
    <w:rsid w:val="00400300"/>
    <w:rsid w:val="00400457"/>
    <w:rsid w:val="004004A9"/>
    <w:rsid w:val="004005B4"/>
    <w:rsid w:val="00400751"/>
    <w:rsid w:val="0040078A"/>
    <w:rsid w:val="00401198"/>
    <w:rsid w:val="0040192A"/>
    <w:rsid w:val="00401FE7"/>
    <w:rsid w:val="004023EF"/>
    <w:rsid w:val="004025F8"/>
    <w:rsid w:val="004036DB"/>
    <w:rsid w:val="00403CED"/>
    <w:rsid w:val="00403FAF"/>
    <w:rsid w:val="00404069"/>
    <w:rsid w:val="00404180"/>
    <w:rsid w:val="00406286"/>
    <w:rsid w:val="00406346"/>
    <w:rsid w:val="00406BA7"/>
    <w:rsid w:val="00406C16"/>
    <w:rsid w:val="00406D3C"/>
    <w:rsid w:val="00406F6E"/>
    <w:rsid w:val="00407F8C"/>
    <w:rsid w:val="004105E6"/>
    <w:rsid w:val="00410881"/>
    <w:rsid w:val="00410E48"/>
    <w:rsid w:val="00411293"/>
    <w:rsid w:val="004116E3"/>
    <w:rsid w:val="00411D88"/>
    <w:rsid w:val="00411FF4"/>
    <w:rsid w:val="0041207B"/>
    <w:rsid w:val="0041233B"/>
    <w:rsid w:val="0041238A"/>
    <w:rsid w:val="00412922"/>
    <w:rsid w:val="00412DCD"/>
    <w:rsid w:val="00413046"/>
    <w:rsid w:val="004131DD"/>
    <w:rsid w:val="00413AB2"/>
    <w:rsid w:val="00414186"/>
    <w:rsid w:val="0041422B"/>
    <w:rsid w:val="0041451E"/>
    <w:rsid w:val="00414969"/>
    <w:rsid w:val="00415118"/>
    <w:rsid w:val="00415138"/>
    <w:rsid w:val="00415382"/>
    <w:rsid w:val="00415E0E"/>
    <w:rsid w:val="0041630C"/>
    <w:rsid w:val="00416734"/>
    <w:rsid w:val="00416BDA"/>
    <w:rsid w:val="00417263"/>
    <w:rsid w:val="00417835"/>
    <w:rsid w:val="00417AAD"/>
    <w:rsid w:val="00417E2B"/>
    <w:rsid w:val="00417F03"/>
    <w:rsid w:val="0042038A"/>
    <w:rsid w:val="00420F65"/>
    <w:rsid w:val="0042112A"/>
    <w:rsid w:val="004217D6"/>
    <w:rsid w:val="00421F02"/>
    <w:rsid w:val="00422088"/>
    <w:rsid w:val="0042214F"/>
    <w:rsid w:val="0042252D"/>
    <w:rsid w:val="00422F7B"/>
    <w:rsid w:val="00422FB4"/>
    <w:rsid w:val="004230F2"/>
    <w:rsid w:val="00423421"/>
    <w:rsid w:val="00423BFE"/>
    <w:rsid w:val="00424C65"/>
    <w:rsid w:val="0042504E"/>
    <w:rsid w:val="00425170"/>
    <w:rsid w:val="004254F3"/>
    <w:rsid w:val="00425A4E"/>
    <w:rsid w:val="0042632E"/>
    <w:rsid w:val="0042695E"/>
    <w:rsid w:val="00426DE6"/>
    <w:rsid w:val="00426EA3"/>
    <w:rsid w:val="00426ECF"/>
    <w:rsid w:val="00427480"/>
    <w:rsid w:val="00427B87"/>
    <w:rsid w:val="00427D91"/>
    <w:rsid w:val="004300E2"/>
    <w:rsid w:val="00430347"/>
    <w:rsid w:val="004304A9"/>
    <w:rsid w:val="00431025"/>
    <w:rsid w:val="00431371"/>
    <w:rsid w:val="00431713"/>
    <w:rsid w:val="00431C90"/>
    <w:rsid w:val="00431D0B"/>
    <w:rsid w:val="00431FFB"/>
    <w:rsid w:val="004324F1"/>
    <w:rsid w:val="00432B4C"/>
    <w:rsid w:val="00432D16"/>
    <w:rsid w:val="0043390F"/>
    <w:rsid w:val="00433CCC"/>
    <w:rsid w:val="00433D73"/>
    <w:rsid w:val="004343DF"/>
    <w:rsid w:val="00435086"/>
    <w:rsid w:val="004359F1"/>
    <w:rsid w:val="00435E3E"/>
    <w:rsid w:val="00436122"/>
    <w:rsid w:val="004368A8"/>
    <w:rsid w:val="004370BB"/>
    <w:rsid w:val="0044008C"/>
    <w:rsid w:val="00440B2E"/>
    <w:rsid w:val="00440BFE"/>
    <w:rsid w:val="00440DD8"/>
    <w:rsid w:val="00441381"/>
    <w:rsid w:val="004415DF"/>
    <w:rsid w:val="004420F8"/>
    <w:rsid w:val="00442107"/>
    <w:rsid w:val="004421E5"/>
    <w:rsid w:val="00442588"/>
    <w:rsid w:val="00442743"/>
    <w:rsid w:val="004431BA"/>
    <w:rsid w:val="00443240"/>
    <w:rsid w:val="00443B60"/>
    <w:rsid w:val="0044430F"/>
    <w:rsid w:val="004443CF"/>
    <w:rsid w:val="0044457A"/>
    <w:rsid w:val="004449B8"/>
    <w:rsid w:val="004453EB"/>
    <w:rsid w:val="00445679"/>
    <w:rsid w:val="00445F14"/>
    <w:rsid w:val="004463BF"/>
    <w:rsid w:val="00446544"/>
    <w:rsid w:val="00446A5E"/>
    <w:rsid w:val="00446AF9"/>
    <w:rsid w:val="00446D9A"/>
    <w:rsid w:val="0044738A"/>
    <w:rsid w:val="00447ACE"/>
    <w:rsid w:val="00450690"/>
    <w:rsid w:val="00450750"/>
    <w:rsid w:val="00451120"/>
    <w:rsid w:val="004517A1"/>
    <w:rsid w:val="00451ACD"/>
    <w:rsid w:val="004520D1"/>
    <w:rsid w:val="00452224"/>
    <w:rsid w:val="00452443"/>
    <w:rsid w:val="00452624"/>
    <w:rsid w:val="0045299E"/>
    <w:rsid w:val="00452A66"/>
    <w:rsid w:val="00453B7F"/>
    <w:rsid w:val="00453C81"/>
    <w:rsid w:val="0045422B"/>
    <w:rsid w:val="00454AF4"/>
    <w:rsid w:val="00454DB3"/>
    <w:rsid w:val="004559EF"/>
    <w:rsid w:val="00455DD0"/>
    <w:rsid w:val="00455DFF"/>
    <w:rsid w:val="00455F4B"/>
    <w:rsid w:val="00456222"/>
    <w:rsid w:val="00456A42"/>
    <w:rsid w:val="00456AF4"/>
    <w:rsid w:val="00456D39"/>
    <w:rsid w:val="004571B5"/>
    <w:rsid w:val="004574C6"/>
    <w:rsid w:val="00457EF5"/>
    <w:rsid w:val="00460C25"/>
    <w:rsid w:val="00460D4A"/>
    <w:rsid w:val="00460EC3"/>
    <w:rsid w:val="00461181"/>
    <w:rsid w:val="00461EE4"/>
    <w:rsid w:val="00463785"/>
    <w:rsid w:val="0046397B"/>
    <w:rsid w:val="00464F76"/>
    <w:rsid w:val="004652CC"/>
    <w:rsid w:val="004652DF"/>
    <w:rsid w:val="0046594F"/>
    <w:rsid w:val="00465A09"/>
    <w:rsid w:val="00465CCB"/>
    <w:rsid w:val="00465EC7"/>
    <w:rsid w:val="00465F7B"/>
    <w:rsid w:val="00466962"/>
    <w:rsid w:val="00466CA7"/>
    <w:rsid w:val="00466E60"/>
    <w:rsid w:val="0046730E"/>
    <w:rsid w:val="004675AC"/>
    <w:rsid w:val="004679FC"/>
    <w:rsid w:val="00467E20"/>
    <w:rsid w:val="00467F35"/>
    <w:rsid w:val="00470AC7"/>
    <w:rsid w:val="00470FF4"/>
    <w:rsid w:val="00471008"/>
    <w:rsid w:val="004713DB"/>
    <w:rsid w:val="004715A6"/>
    <w:rsid w:val="004718B8"/>
    <w:rsid w:val="00471F42"/>
    <w:rsid w:val="004727BC"/>
    <w:rsid w:val="00472EAA"/>
    <w:rsid w:val="004731DB"/>
    <w:rsid w:val="0047325C"/>
    <w:rsid w:val="00473665"/>
    <w:rsid w:val="00473903"/>
    <w:rsid w:val="00473917"/>
    <w:rsid w:val="00473938"/>
    <w:rsid w:val="00473E83"/>
    <w:rsid w:val="0047404E"/>
    <w:rsid w:val="0047445B"/>
    <w:rsid w:val="00474472"/>
    <w:rsid w:val="004746B0"/>
    <w:rsid w:val="00474788"/>
    <w:rsid w:val="00474AD3"/>
    <w:rsid w:val="00474ED9"/>
    <w:rsid w:val="004755B5"/>
    <w:rsid w:val="00475DE2"/>
    <w:rsid w:val="00476A9D"/>
    <w:rsid w:val="00476F19"/>
    <w:rsid w:val="00477347"/>
    <w:rsid w:val="00477994"/>
    <w:rsid w:val="00477E36"/>
    <w:rsid w:val="00477FB3"/>
    <w:rsid w:val="0048005F"/>
    <w:rsid w:val="00480BB1"/>
    <w:rsid w:val="00480EE5"/>
    <w:rsid w:val="00480FE0"/>
    <w:rsid w:val="004815A7"/>
    <w:rsid w:val="00481CE2"/>
    <w:rsid w:val="00482062"/>
    <w:rsid w:val="00482562"/>
    <w:rsid w:val="004827C3"/>
    <w:rsid w:val="00483547"/>
    <w:rsid w:val="0048357A"/>
    <w:rsid w:val="004848E8"/>
    <w:rsid w:val="004851DD"/>
    <w:rsid w:val="00485230"/>
    <w:rsid w:val="004858EF"/>
    <w:rsid w:val="00485AFF"/>
    <w:rsid w:val="00485EE1"/>
    <w:rsid w:val="00486365"/>
    <w:rsid w:val="0048639D"/>
    <w:rsid w:val="004868B2"/>
    <w:rsid w:val="00486B26"/>
    <w:rsid w:val="00487497"/>
    <w:rsid w:val="0049072C"/>
    <w:rsid w:val="00490AC6"/>
    <w:rsid w:val="00490F39"/>
    <w:rsid w:val="00491A85"/>
    <w:rsid w:val="00491D70"/>
    <w:rsid w:val="0049265C"/>
    <w:rsid w:val="00492E35"/>
    <w:rsid w:val="00493249"/>
    <w:rsid w:val="004934B7"/>
    <w:rsid w:val="00493A6C"/>
    <w:rsid w:val="00493A75"/>
    <w:rsid w:val="00493F6F"/>
    <w:rsid w:val="00493FB8"/>
    <w:rsid w:val="0049405F"/>
    <w:rsid w:val="00494121"/>
    <w:rsid w:val="00494636"/>
    <w:rsid w:val="00495479"/>
    <w:rsid w:val="00495B73"/>
    <w:rsid w:val="00495BEE"/>
    <w:rsid w:val="004960FB"/>
    <w:rsid w:val="00496112"/>
    <w:rsid w:val="0049616E"/>
    <w:rsid w:val="004966A0"/>
    <w:rsid w:val="00496DA8"/>
    <w:rsid w:val="004971C3"/>
    <w:rsid w:val="004972C1"/>
    <w:rsid w:val="00497C69"/>
    <w:rsid w:val="004A05D4"/>
    <w:rsid w:val="004A0BCD"/>
    <w:rsid w:val="004A1DDD"/>
    <w:rsid w:val="004A20DC"/>
    <w:rsid w:val="004A2E7A"/>
    <w:rsid w:val="004A31DE"/>
    <w:rsid w:val="004A3E6E"/>
    <w:rsid w:val="004A4037"/>
    <w:rsid w:val="004A4148"/>
    <w:rsid w:val="004A4169"/>
    <w:rsid w:val="004A44C3"/>
    <w:rsid w:val="004A49E4"/>
    <w:rsid w:val="004A4E0C"/>
    <w:rsid w:val="004A5694"/>
    <w:rsid w:val="004A5BE7"/>
    <w:rsid w:val="004A645A"/>
    <w:rsid w:val="004A6CE4"/>
    <w:rsid w:val="004A7324"/>
    <w:rsid w:val="004A757C"/>
    <w:rsid w:val="004A7BED"/>
    <w:rsid w:val="004B0185"/>
    <w:rsid w:val="004B0EFF"/>
    <w:rsid w:val="004B18CA"/>
    <w:rsid w:val="004B1BA5"/>
    <w:rsid w:val="004B1C4E"/>
    <w:rsid w:val="004B1FFE"/>
    <w:rsid w:val="004B2371"/>
    <w:rsid w:val="004B2F19"/>
    <w:rsid w:val="004B3767"/>
    <w:rsid w:val="004B37FF"/>
    <w:rsid w:val="004B3C12"/>
    <w:rsid w:val="004B3C7B"/>
    <w:rsid w:val="004B42DD"/>
    <w:rsid w:val="004B4323"/>
    <w:rsid w:val="004B4CE5"/>
    <w:rsid w:val="004B4FA0"/>
    <w:rsid w:val="004B53B2"/>
    <w:rsid w:val="004B5495"/>
    <w:rsid w:val="004B58FE"/>
    <w:rsid w:val="004B5C5F"/>
    <w:rsid w:val="004B6086"/>
    <w:rsid w:val="004B675D"/>
    <w:rsid w:val="004B690E"/>
    <w:rsid w:val="004B6BD9"/>
    <w:rsid w:val="004B6EEE"/>
    <w:rsid w:val="004B6FD3"/>
    <w:rsid w:val="004B7730"/>
    <w:rsid w:val="004B78C4"/>
    <w:rsid w:val="004B79CA"/>
    <w:rsid w:val="004B79E2"/>
    <w:rsid w:val="004B7F86"/>
    <w:rsid w:val="004C013E"/>
    <w:rsid w:val="004C0630"/>
    <w:rsid w:val="004C19B0"/>
    <w:rsid w:val="004C1BA1"/>
    <w:rsid w:val="004C1BA7"/>
    <w:rsid w:val="004C1E35"/>
    <w:rsid w:val="004C23F7"/>
    <w:rsid w:val="004C249E"/>
    <w:rsid w:val="004C27CD"/>
    <w:rsid w:val="004C2953"/>
    <w:rsid w:val="004C2A71"/>
    <w:rsid w:val="004C2D5B"/>
    <w:rsid w:val="004C2D79"/>
    <w:rsid w:val="004C2F4A"/>
    <w:rsid w:val="004C3676"/>
    <w:rsid w:val="004C40A9"/>
    <w:rsid w:val="004C482F"/>
    <w:rsid w:val="004C4D99"/>
    <w:rsid w:val="004C4FDA"/>
    <w:rsid w:val="004C50C1"/>
    <w:rsid w:val="004C5674"/>
    <w:rsid w:val="004C57C8"/>
    <w:rsid w:val="004C5951"/>
    <w:rsid w:val="004C616D"/>
    <w:rsid w:val="004C62ED"/>
    <w:rsid w:val="004C6EBD"/>
    <w:rsid w:val="004C70B2"/>
    <w:rsid w:val="004C7DB0"/>
    <w:rsid w:val="004C7DF3"/>
    <w:rsid w:val="004D004C"/>
    <w:rsid w:val="004D066F"/>
    <w:rsid w:val="004D140D"/>
    <w:rsid w:val="004D14CD"/>
    <w:rsid w:val="004D1542"/>
    <w:rsid w:val="004D19B3"/>
    <w:rsid w:val="004D1D5C"/>
    <w:rsid w:val="004D1E52"/>
    <w:rsid w:val="004D20AA"/>
    <w:rsid w:val="004D2393"/>
    <w:rsid w:val="004D23C3"/>
    <w:rsid w:val="004D2576"/>
    <w:rsid w:val="004D285F"/>
    <w:rsid w:val="004D3224"/>
    <w:rsid w:val="004D38D7"/>
    <w:rsid w:val="004D3C01"/>
    <w:rsid w:val="004D4128"/>
    <w:rsid w:val="004D4620"/>
    <w:rsid w:val="004D470C"/>
    <w:rsid w:val="004D4B40"/>
    <w:rsid w:val="004D4F12"/>
    <w:rsid w:val="004D530D"/>
    <w:rsid w:val="004D61CD"/>
    <w:rsid w:val="004D626F"/>
    <w:rsid w:val="004D6B7E"/>
    <w:rsid w:val="004D6C8A"/>
    <w:rsid w:val="004D741E"/>
    <w:rsid w:val="004D7BF0"/>
    <w:rsid w:val="004D7CFA"/>
    <w:rsid w:val="004D7E78"/>
    <w:rsid w:val="004D7EBC"/>
    <w:rsid w:val="004E04FA"/>
    <w:rsid w:val="004E0D7E"/>
    <w:rsid w:val="004E1A23"/>
    <w:rsid w:val="004E1A4A"/>
    <w:rsid w:val="004E1F3B"/>
    <w:rsid w:val="004E212C"/>
    <w:rsid w:val="004E22D1"/>
    <w:rsid w:val="004E294E"/>
    <w:rsid w:val="004E2ADA"/>
    <w:rsid w:val="004E2CCD"/>
    <w:rsid w:val="004E2D9D"/>
    <w:rsid w:val="004E33D6"/>
    <w:rsid w:val="004E3685"/>
    <w:rsid w:val="004E3D13"/>
    <w:rsid w:val="004E48F7"/>
    <w:rsid w:val="004E5092"/>
    <w:rsid w:val="004E5362"/>
    <w:rsid w:val="004E5613"/>
    <w:rsid w:val="004E5918"/>
    <w:rsid w:val="004E5C92"/>
    <w:rsid w:val="004E6738"/>
    <w:rsid w:val="004E6C5D"/>
    <w:rsid w:val="004E6E7C"/>
    <w:rsid w:val="004E7A60"/>
    <w:rsid w:val="004E7D9E"/>
    <w:rsid w:val="004F05D6"/>
    <w:rsid w:val="004F1038"/>
    <w:rsid w:val="004F1C78"/>
    <w:rsid w:val="004F23A5"/>
    <w:rsid w:val="004F2712"/>
    <w:rsid w:val="004F2A26"/>
    <w:rsid w:val="004F2B33"/>
    <w:rsid w:val="004F31AC"/>
    <w:rsid w:val="004F31CC"/>
    <w:rsid w:val="004F3210"/>
    <w:rsid w:val="004F3EF9"/>
    <w:rsid w:val="004F4154"/>
    <w:rsid w:val="004F445D"/>
    <w:rsid w:val="004F466D"/>
    <w:rsid w:val="004F4788"/>
    <w:rsid w:val="004F4A09"/>
    <w:rsid w:val="004F57E4"/>
    <w:rsid w:val="004F584D"/>
    <w:rsid w:val="004F58D4"/>
    <w:rsid w:val="004F5B47"/>
    <w:rsid w:val="004F5D57"/>
    <w:rsid w:val="004F6027"/>
    <w:rsid w:val="004F777E"/>
    <w:rsid w:val="004F7AF6"/>
    <w:rsid w:val="00500171"/>
    <w:rsid w:val="00500665"/>
    <w:rsid w:val="00500F87"/>
    <w:rsid w:val="00501B0B"/>
    <w:rsid w:val="00501DB7"/>
    <w:rsid w:val="00501EF5"/>
    <w:rsid w:val="00502354"/>
    <w:rsid w:val="00502AF4"/>
    <w:rsid w:val="00502B54"/>
    <w:rsid w:val="00502C63"/>
    <w:rsid w:val="005037D2"/>
    <w:rsid w:val="00503DFA"/>
    <w:rsid w:val="00504303"/>
    <w:rsid w:val="00504D27"/>
    <w:rsid w:val="00505A35"/>
    <w:rsid w:val="0050616B"/>
    <w:rsid w:val="005065E5"/>
    <w:rsid w:val="00507197"/>
    <w:rsid w:val="00507A75"/>
    <w:rsid w:val="00507A95"/>
    <w:rsid w:val="00507DFC"/>
    <w:rsid w:val="005100D4"/>
    <w:rsid w:val="00510670"/>
    <w:rsid w:val="00510C35"/>
    <w:rsid w:val="00510E0C"/>
    <w:rsid w:val="00510EA3"/>
    <w:rsid w:val="00510F47"/>
    <w:rsid w:val="0051192A"/>
    <w:rsid w:val="00511BB3"/>
    <w:rsid w:val="00511E35"/>
    <w:rsid w:val="0051229A"/>
    <w:rsid w:val="005123F4"/>
    <w:rsid w:val="005126DE"/>
    <w:rsid w:val="00512E9B"/>
    <w:rsid w:val="00512F1C"/>
    <w:rsid w:val="005131B1"/>
    <w:rsid w:val="0051342E"/>
    <w:rsid w:val="00515818"/>
    <w:rsid w:val="005159A7"/>
    <w:rsid w:val="00515F3B"/>
    <w:rsid w:val="00516ABE"/>
    <w:rsid w:val="00516BC9"/>
    <w:rsid w:val="005176B3"/>
    <w:rsid w:val="005176EB"/>
    <w:rsid w:val="00517AE6"/>
    <w:rsid w:val="00517C65"/>
    <w:rsid w:val="00520809"/>
    <w:rsid w:val="00520DBE"/>
    <w:rsid w:val="00520FF5"/>
    <w:rsid w:val="0052103E"/>
    <w:rsid w:val="005217EC"/>
    <w:rsid w:val="005224C5"/>
    <w:rsid w:val="005228FA"/>
    <w:rsid w:val="00522B88"/>
    <w:rsid w:val="00524317"/>
    <w:rsid w:val="005249E3"/>
    <w:rsid w:val="00524B89"/>
    <w:rsid w:val="00524C49"/>
    <w:rsid w:val="00524DEA"/>
    <w:rsid w:val="00524E12"/>
    <w:rsid w:val="00524E3E"/>
    <w:rsid w:val="0052532E"/>
    <w:rsid w:val="005254BB"/>
    <w:rsid w:val="00525D55"/>
    <w:rsid w:val="00526147"/>
    <w:rsid w:val="00526884"/>
    <w:rsid w:val="005270A0"/>
    <w:rsid w:val="0052734F"/>
    <w:rsid w:val="00527420"/>
    <w:rsid w:val="00527484"/>
    <w:rsid w:val="005276BF"/>
    <w:rsid w:val="0052794D"/>
    <w:rsid w:val="00527C3D"/>
    <w:rsid w:val="00527D7B"/>
    <w:rsid w:val="00527E98"/>
    <w:rsid w:val="00527F74"/>
    <w:rsid w:val="00530B11"/>
    <w:rsid w:val="00530CD6"/>
    <w:rsid w:val="00531162"/>
    <w:rsid w:val="005312B5"/>
    <w:rsid w:val="0053166F"/>
    <w:rsid w:val="005316ED"/>
    <w:rsid w:val="005318AA"/>
    <w:rsid w:val="00531AEA"/>
    <w:rsid w:val="00531F6C"/>
    <w:rsid w:val="00531FD6"/>
    <w:rsid w:val="0053216A"/>
    <w:rsid w:val="0053230F"/>
    <w:rsid w:val="00532A58"/>
    <w:rsid w:val="00532BF7"/>
    <w:rsid w:val="005331A0"/>
    <w:rsid w:val="00533695"/>
    <w:rsid w:val="00533A48"/>
    <w:rsid w:val="0053449F"/>
    <w:rsid w:val="005345EB"/>
    <w:rsid w:val="00534837"/>
    <w:rsid w:val="00534CC5"/>
    <w:rsid w:val="005356F3"/>
    <w:rsid w:val="00535707"/>
    <w:rsid w:val="0053572F"/>
    <w:rsid w:val="00535988"/>
    <w:rsid w:val="00535CA8"/>
    <w:rsid w:val="0053635B"/>
    <w:rsid w:val="0053666E"/>
    <w:rsid w:val="00536876"/>
    <w:rsid w:val="00536BFE"/>
    <w:rsid w:val="00537358"/>
    <w:rsid w:val="00537429"/>
    <w:rsid w:val="00537901"/>
    <w:rsid w:val="00537BAF"/>
    <w:rsid w:val="005407C2"/>
    <w:rsid w:val="005407FE"/>
    <w:rsid w:val="00540874"/>
    <w:rsid w:val="00540ACB"/>
    <w:rsid w:val="00540ACE"/>
    <w:rsid w:val="00540AD7"/>
    <w:rsid w:val="00541691"/>
    <w:rsid w:val="00541DD2"/>
    <w:rsid w:val="00541E49"/>
    <w:rsid w:val="00542062"/>
    <w:rsid w:val="00543341"/>
    <w:rsid w:val="00543A51"/>
    <w:rsid w:val="00543A88"/>
    <w:rsid w:val="0054431E"/>
    <w:rsid w:val="0054459C"/>
    <w:rsid w:val="00544F1F"/>
    <w:rsid w:val="00545049"/>
    <w:rsid w:val="00545111"/>
    <w:rsid w:val="00545D8D"/>
    <w:rsid w:val="005463F0"/>
    <w:rsid w:val="00546846"/>
    <w:rsid w:val="00546A32"/>
    <w:rsid w:val="00546B65"/>
    <w:rsid w:val="00546CF2"/>
    <w:rsid w:val="00547216"/>
    <w:rsid w:val="0054763C"/>
    <w:rsid w:val="005477D7"/>
    <w:rsid w:val="00547F57"/>
    <w:rsid w:val="0055023F"/>
    <w:rsid w:val="0055069A"/>
    <w:rsid w:val="00550C85"/>
    <w:rsid w:val="00550F27"/>
    <w:rsid w:val="005512CA"/>
    <w:rsid w:val="00551C08"/>
    <w:rsid w:val="00551F09"/>
    <w:rsid w:val="00552356"/>
    <w:rsid w:val="005523A2"/>
    <w:rsid w:val="005525AD"/>
    <w:rsid w:val="0055313A"/>
    <w:rsid w:val="005539D1"/>
    <w:rsid w:val="00553FB1"/>
    <w:rsid w:val="00554476"/>
    <w:rsid w:val="0055467F"/>
    <w:rsid w:val="005549EC"/>
    <w:rsid w:val="005553EE"/>
    <w:rsid w:val="005557F6"/>
    <w:rsid w:val="00555CC6"/>
    <w:rsid w:val="00555DC6"/>
    <w:rsid w:val="00555E45"/>
    <w:rsid w:val="00555FEF"/>
    <w:rsid w:val="00557373"/>
    <w:rsid w:val="0055745D"/>
    <w:rsid w:val="00560D5A"/>
    <w:rsid w:val="005612C8"/>
    <w:rsid w:val="00561685"/>
    <w:rsid w:val="00561799"/>
    <w:rsid w:val="00561923"/>
    <w:rsid w:val="00562009"/>
    <w:rsid w:val="005621E0"/>
    <w:rsid w:val="005626D1"/>
    <w:rsid w:val="00562A7E"/>
    <w:rsid w:val="00563106"/>
    <w:rsid w:val="0056335F"/>
    <w:rsid w:val="005638CE"/>
    <w:rsid w:val="005639EE"/>
    <w:rsid w:val="00563E4F"/>
    <w:rsid w:val="0056409D"/>
    <w:rsid w:val="0056483E"/>
    <w:rsid w:val="00564880"/>
    <w:rsid w:val="0056541C"/>
    <w:rsid w:val="005658EF"/>
    <w:rsid w:val="005661B5"/>
    <w:rsid w:val="005664BC"/>
    <w:rsid w:val="005668D1"/>
    <w:rsid w:val="00566F09"/>
    <w:rsid w:val="00566FAE"/>
    <w:rsid w:val="00567271"/>
    <w:rsid w:val="005676B4"/>
    <w:rsid w:val="0056790C"/>
    <w:rsid w:val="00570065"/>
    <w:rsid w:val="0057063D"/>
    <w:rsid w:val="00570ECF"/>
    <w:rsid w:val="005714F3"/>
    <w:rsid w:val="00571C90"/>
    <w:rsid w:val="005722AF"/>
    <w:rsid w:val="00572474"/>
    <w:rsid w:val="00572E43"/>
    <w:rsid w:val="00572EBC"/>
    <w:rsid w:val="00573346"/>
    <w:rsid w:val="00573867"/>
    <w:rsid w:val="00573B01"/>
    <w:rsid w:val="005742A1"/>
    <w:rsid w:val="00574ED6"/>
    <w:rsid w:val="00575342"/>
    <w:rsid w:val="005757DD"/>
    <w:rsid w:val="00575D39"/>
    <w:rsid w:val="00575D76"/>
    <w:rsid w:val="005760C5"/>
    <w:rsid w:val="005764C3"/>
    <w:rsid w:val="0057678F"/>
    <w:rsid w:val="0057696D"/>
    <w:rsid w:val="00576B62"/>
    <w:rsid w:val="00576FA2"/>
    <w:rsid w:val="0058105B"/>
    <w:rsid w:val="0058127E"/>
    <w:rsid w:val="005812B0"/>
    <w:rsid w:val="0058180E"/>
    <w:rsid w:val="00581E2E"/>
    <w:rsid w:val="00581F46"/>
    <w:rsid w:val="005820CE"/>
    <w:rsid w:val="00582903"/>
    <w:rsid w:val="00582935"/>
    <w:rsid w:val="00582B75"/>
    <w:rsid w:val="0058317A"/>
    <w:rsid w:val="00584174"/>
    <w:rsid w:val="005841E2"/>
    <w:rsid w:val="00584D22"/>
    <w:rsid w:val="0058518C"/>
    <w:rsid w:val="0058546E"/>
    <w:rsid w:val="005855A9"/>
    <w:rsid w:val="00585FE6"/>
    <w:rsid w:val="005862A2"/>
    <w:rsid w:val="00586712"/>
    <w:rsid w:val="0058698D"/>
    <w:rsid w:val="00586BCA"/>
    <w:rsid w:val="00587897"/>
    <w:rsid w:val="00587F9A"/>
    <w:rsid w:val="005902BA"/>
    <w:rsid w:val="005908D2"/>
    <w:rsid w:val="00590CF2"/>
    <w:rsid w:val="00590DAF"/>
    <w:rsid w:val="00590F3B"/>
    <w:rsid w:val="0059149B"/>
    <w:rsid w:val="00591878"/>
    <w:rsid w:val="005927CB"/>
    <w:rsid w:val="005927E9"/>
    <w:rsid w:val="00592B14"/>
    <w:rsid w:val="00592D42"/>
    <w:rsid w:val="00593319"/>
    <w:rsid w:val="00594301"/>
    <w:rsid w:val="00594E76"/>
    <w:rsid w:val="00595349"/>
    <w:rsid w:val="005959B6"/>
    <w:rsid w:val="005965E5"/>
    <w:rsid w:val="0059665A"/>
    <w:rsid w:val="00596736"/>
    <w:rsid w:val="005967CD"/>
    <w:rsid w:val="005967EC"/>
    <w:rsid w:val="00596A83"/>
    <w:rsid w:val="00596B25"/>
    <w:rsid w:val="00596F7E"/>
    <w:rsid w:val="005970BC"/>
    <w:rsid w:val="005A0017"/>
    <w:rsid w:val="005A01D5"/>
    <w:rsid w:val="005A020B"/>
    <w:rsid w:val="005A0296"/>
    <w:rsid w:val="005A02F4"/>
    <w:rsid w:val="005A08CF"/>
    <w:rsid w:val="005A09EF"/>
    <w:rsid w:val="005A0B02"/>
    <w:rsid w:val="005A1685"/>
    <w:rsid w:val="005A16D9"/>
    <w:rsid w:val="005A1C8C"/>
    <w:rsid w:val="005A3079"/>
    <w:rsid w:val="005A31C5"/>
    <w:rsid w:val="005A4BF2"/>
    <w:rsid w:val="005A4BFB"/>
    <w:rsid w:val="005A5CA6"/>
    <w:rsid w:val="005A6149"/>
    <w:rsid w:val="005A64D3"/>
    <w:rsid w:val="005A6BBA"/>
    <w:rsid w:val="005A6DB2"/>
    <w:rsid w:val="005A6EF1"/>
    <w:rsid w:val="005A71A6"/>
    <w:rsid w:val="005A7950"/>
    <w:rsid w:val="005A7C85"/>
    <w:rsid w:val="005B0260"/>
    <w:rsid w:val="005B04DC"/>
    <w:rsid w:val="005B069F"/>
    <w:rsid w:val="005B0F00"/>
    <w:rsid w:val="005B1731"/>
    <w:rsid w:val="005B1A5A"/>
    <w:rsid w:val="005B1F1A"/>
    <w:rsid w:val="005B1F5C"/>
    <w:rsid w:val="005B2435"/>
    <w:rsid w:val="005B2810"/>
    <w:rsid w:val="005B298B"/>
    <w:rsid w:val="005B2DDE"/>
    <w:rsid w:val="005B3363"/>
    <w:rsid w:val="005B3CE2"/>
    <w:rsid w:val="005B3E56"/>
    <w:rsid w:val="005B46CD"/>
    <w:rsid w:val="005B49FD"/>
    <w:rsid w:val="005B4D9D"/>
    <w:rsid w:val="005B5F8D"/>
    <w:rsid w:val="005B629C"/>
    <w:rsid w:val="005B62C8"/>
    <w:rsid w:val="005B6486"/>
    <w:rsid w:val="005B6C89"/>
    <w:rsid w:val="005B6E5B"/>
    <w:rsid w:val="005B7057"/>
    <w:rsid w:val="005B7361"/>
    <w:rsid w:val="005B781A"/>
    <w:rsid w:val="005B787D"/>
    <w:rsid w:val="005C0437"/>
    <w:rsid w:val="005C0632"/>
    <w:rsid w:val="005C0A63"/>
    <w:rsid w:val="005C13B5"/>
    <w:rsid w:val="005C140A"/>
    <w:rsid w:val="005C28FC"/>
    <w:rsid w:val="005C2991"/>
    <w:rsid w:val="005C3340"/>
    <w:rsid w:val="005C3389"/>
    <w:rsid w:val="005C3613"/>
    <w:rsid w:val="005C53C1"/>
    <w:rsid w:val="005C5ED1"/>
    <w:rsid w:val="005C5F4D"/>
    <w:rsid w:val="005C63F0"/>
    <w:rsid w:val="005C66F2"/>
    <w:rsid w:val="005C6C75"/>
    <w:rsid w:val="005C6F78"/>
    <w:rsid w:val="005C761D"/>
    <w:rsid w:val="005C7982"/>
    <w:rsid w:val="005C7B16"/>
    <w:rsid w:val="005D02E1"/>
    <w:rsid w:val="005D0C88"/>
    <w:rsid w:val="005D173D"/>
    <w:rsid w:val="005D1E7E"/>
    <w:rsid w:val="005D2161"/>
    <w:rsid w:val="005D3F3C"/>
    <w:rsid w:val="005D4A71"/>
    <w:rsid w:val="005D4BCF"/>
    <w:rsid w:val="005D561C"/>
    <w:rsid w:val="005D5BE7"/>
    <w:rsid w:val="005D5C68"/>
    <w:rsid w:val="005D6398"/>
    <w:rsid w:val="005D65E2"/>
    <w:rsid w:val="005D6F25"/>
    <w:rsid w:val="005D784D"/>
    <w:rsid w:val="005E0296"/>
    <w:rsid w:val="005E05A9"/>
    <w:rsid w:val="005E1004"/>
    <w:rsid w:val="005E10E6"/>
    <w:rsid w:val="005E1235"/>
    <w:rsid w:val="005E1987"/>
    <w:rsid w:val="005E1C1B"/>
    <w:rsid w:val="005E1EF8"/>
    <w:rsid w:val="005E1F0E"/>
    <w:rsid w:val="005E2768"/>
    <w:rsid w:val="005E29DE"/>
    <w:rsid w:val="005E2B31"/>
    <w:rsid w:val="005E3A18"/>
    <w:rsid w:val="005E3C56"/>
    <w:rsid w:val="005E4D66"/>
    <w:rsid w:val="005E5069"/>
    <w:rsid w:val="005E523A"/>
    <w:rsid w:val="005E5819"/>
    <w:rsid w:val="005E5AAB"/>
    <w:rsid w:val="005E63F5"/>
    <w:rsid w:val="005E6526"/>
    <w:rsid w:val="005E6D25"/>
    <w:rsid w:val="005E71D3"/>
    <w:rsid w:val="005E7277"/>
    <w:rsid w:val="005E7523"/>
    <w:rsid w:val="005E7A5B"/>
    <w:rsid w:val="005E7B23"/>
    <w:rsid w:val="005E7D05"/>
    <w:rsid w:val="005E7DDF"/>
    <w:rsid w:val="005F06DF"/>
    <w:rsid w:val="005F0883"/>
    <w:rsid w:val="005F09F8"/>
    <w:rsid w:val="005F0E8D"/>
    <w:rsid w:val="005F0E9E"/>
    <w:rsid w:val="005F1916"/>
    <w:rsid w:val="005F1C84"/>
    <w:rsid w:val="005F28A4"/>
    <w:rsid w:val="005F2C11"/>
    <w:rsid w:val="005F3E1D"/>
    <w:rsid w:val="005F4370"/>
    <w:rsid w:val="005F47A7"/>
    <w:rsid w:val="005F488D"/>
    <w:rsid w:val="005F4BF8"/>
    <w:rsid w:val="005F4F85"/>
    <w:rsid w:val="005F523B"/>
    <w:rsid w:val="005F5CF5"/>
    <w:rsid w:val="005F63B0"/>
    <w:rsid w:val="005F669B"/>
    <w:rsid w:val="005F6AA1"/>
    <w:rsid w:val="005F6C19"/>
    <w:rsid w:val="005F71DB"/>
    <w:rsid w:val="005F76D7"/>
    <w:rsid w:val="005F7B0E"/>
    <w:rsid w:val="00600A80"/>
    <w:rsid w:val="00601F4D"/>
    <w:rsid w:val="006026C6"/>
    <w:rsid w:val="00602EB4"/>
    <w:rsid w:val="006031EB"/>
    <w:rsid w:val="00603489"/>
    <w:rsid w:val="00603A3E"/>
    <w:rsid w:val="00603AAE"/>
    <w:rsid w:val="0060416E"/>
    <w:rsid w:val="00604980"/>
    <w:rsid w:val="00605061"/>
    <w:rsid w:val="00605392"/>
    <w:rsid w:val="00605573"/>
    <w:rsid w:val="0060591B"/>
    <w:rsid w:val="006059A4"/>
    <w:rsid w:val="00605AC9"/>
    <w:rsid w:val="00605E24"/>
    <w:rsid w:val="00606E8E"/>
    <w:rsid w:val="00607277"/>
    <w:rsid w:val="0060734E"/>
    <w:rsid w:val="00607BE5"/>
    <w:rsid w:val="0061066F"/>
    <w:rsid w:val="0061070C"/>
    <w:rsid w:val="00610EC1"/>
    <w:rsid w:val="006124F3"/>
    <w:rsid w:val="00612E52"/>
    <w:rsid w:val="00612E62"/>
    <w:rsid w:val="00613ADB"/>
    <w:rsid w:val="0061429F"/>
    <w:rsid w:val="006148B4"/>
    <w:rsid w:val="00614C39"/>
    <w:rsid w:val="0061566A"/>
    <w:rsid w:val="00615908"/>
    <w:rsid w:val="0061655C"/>
    <w:rsid w:val="006168D6"/>
    <w:rsid w:val="00616971"/>
    <w:rsid w:val="00617016"/>
    <w:rsid w:val="006170DE"/>
    <w:rsid w:val="00617467"/>
    <w:rsid w:val="0061788F"/>
    <w:rsid w:val="00617C14"/>
    <w:rsid w:val="00620038"/>
    <w:rsid w:val="00620149"/>
    <w:rsid w:val="0062128A"/>
    <w:rsid w:val="0062132C"/>
    <w:rsid w:val="0062199A"/>
    <w:rsid w:val="00621AC1"/>
    <w:rsid w:val="00622DBD"/>
    <w:rsid w:val="006230E6"/>
    <w:rsid w:val="006232AA"/>
    <w:rsid w:val="00623510"/>
    <w:rsid w:val="006237E9"/>
    <w:rsid w:val="006240AD"/>
    <w:rsid w:val="006249E0"/>
    <w:rsid w:val="00624AA6"/>
    <w:rsid w:val="006252B0"/>
    <w:rsid w:val="006261D4"/>
    <w:rsid w:val="0062661A"/>
    <w:rsid w:val="0062778E"/>
    <w:rsid w:val="00627EBB"/>
    <w:rsid w:val="006301DD"/>
    <w:rsid w:val="00630F1E"/>
    <w:rsid w:val="0063149B"/>
    <w:rsid w:val="006315FC"/>
    <w:rsid w:val="006317B5"/>
    <w:rsid w:val="00631BCD"/>
    <w:rsid w:val="00631D88"/>
    <w:rsid w:val="00632CD4"/>
    <w:rsid w:val="00633048"/>
    <w:rsid w:val="006332E0"/>
    <w:rsid w:val="00633416"/>
    <w:rsid w:val="0063428C"/>
    <w:rsid w:val="006349F8"/>
    <w:rsid w:val="00634F01"/>
    <w:rsid w:val="00635028"/>
    <w:rsid w:val="0063519E"/>
    <w:rsid w:val="00635330"/>
    <w:rsid w:val="00636296"/>
    <w:rsid w:val="00636437"/>
    <w:rsid w:val="006366C4"/>
    <w:rsid w:val="00637403"/>
    <w:rsid w:val="00637D42"/>
    <w:rsid w:val="00640212"/>
    <w:rsid w:val="0064079A"/>
    <w:rsid w:val="00641365"/>
    <w:rsid w:val="00641911"/>
    <w:rsid w:val="00641A03"/>
    <w:rsid w:val="00641B69"/>
    <w:rsid w:val="006420EE"/>
    <w:rsid w:val="00642633"/>
    <w:rsid w:val="006426F7"/>
    <w:rsid w:val="00643006"/>
    <w:rsid w:val="006434D4"/>
    <w:rsid w:val="00644866"/>
    <w:rsid w:val="00644923"/>
    <w:rsid w:val="006449B8"/>
    <w:rsid w:val="00644B32"/>
    <w:rsid w:val="0064500D"/>
    <w:rsid w:val="0064618A"/>
    <w:rsid w:val="00646584"/>
    <w:rsid w:val="006466CD"/>
    <w:rsid w:val="0064671B"/>
    <w:rsid w:val="00646E49"/>
    <w:rsid w:val="00647106"/>
    <w:rsid w:val="006471B9"/>
    <w:rsid w:val="00647383"/>
    <w:rsid w:val="00647838"/>
    <w:rsid w:val="00650593"/>
    <w:rsid w:val="00650F5D"/>
    <w:rsid w:val="00651724"/>
    <w:rsid w:val="00651750"/>
    <w:rsid w:val="00651947"/>
    <w:rsid w:val="00652120"/>
    <w:rsid w:val="00652C1E"/>
    <w:rsid w:val="0065390C"/>
    <w:rsid w:val="0065430B"/>
    <w:rsid w:val="006546EB"/>
    <w:rsid w:val="006547DF"/>
    <w:rsid w:val="00654EF2"/>
    <w:rsid w:val="00655197"/>
    <w:rsid w:val="00655235"/>
    <w:rsid w:val="006554DC"/>
    <w:rsid w:val="00655AD4"/>
    <w:rsid w:val="00655E95"/>
    <w:rsid w:val="00656A01"/>
    <w:rsid w:val="00657137"/>
    <w:rsid w:val="00657B11"/>
    <w:rsid w:val="00657D62"/>
    <w:rsid w:val="00660145"/>
    <w:rsid w:val="006610FA"/>
    <w:rsid w:val="00661591"/>
    <w:rsid w:val="00661855"/>
    <w:rsid w:val="00661ADC"/>
    <w:rsid w:val="00661AFF"/>
    <w:rsid w:val="00662034"/>
    <w:rsid w:val="006630C5"/>
    <w:rsid w:val="00663549"/>
    <w:rsid w:val="00663B74"/>
    <w:rsid w:val="00663E30"/>
    <w:rsid w:val="006645F7"/>
    <w:rsid w:val="00665C30"/>
    <w:rsid w:val="006660F6"/>
    <w:rsid w:val="006662DC"/>
    <w:rsid w:val="006667CD"/>
    <w:rsid w:val="0066685E"/>
    <w:rsid w:val="0066729A"/>
    <w:rsid w:val="00667B5C"/>
    <w:rsid w:val="006700CC"/>
    <w:rsid w:val="006709C5"/>
    <w:rsid w:val="00670BA3"/>
    <w:rsid w:val="00671964"/>
    <w:rsid w:val="006719BA"/>
    <w:rsid w:val="00672967"/>
    <w:rsid w:val="006733A8"/>
    <w:rsid w:val="00673662"/>
    <w:rsid w:val="00674574"/>
    <w:rsid w:val="006745A2"/>
    <w:rsid w:val="00675B1D"/>
    <w:rsid w:val="00675CB2"/>
    <w:rsid w:val="00675DC8"/>
    <w:rsid w:val="00675EFC"/>
    <w:rsid w:val="006761FF"/>
    <w:rsid w:val="0067655A"/>
    <w:rsid w:val="00676725"/>
    <w:rsid w:val="00676E5E"/>
    <w:rsid w:val="00677474"/>
    <w:rsid w:val="006777A2"/>
    <w:rsid w:val="00677B85"/>
    <w:rsid w:val="00677EA7"/>
    <w:rsid w:val="00677ED0"/>
    <w:rsid w:val="00680ABC"/>
    <w:rsid w:val="00680B6A"/>
    <w:rsid w:val="00680FCD"/>
    <w:rsid w:val="00680FF8"/>
    <w:rsid w:val="006811F1"/>
    <w:rsid w:val="00681675"/>
    <w:rsid w:val="006817D6"/>
    <w:rsid w:val="0068182B"/>
    <w:rsid w:val="006820BD"/>
    <w:rsid w:val="00682A96"/>
    <w:rsid w:val="006830FA"/>
    <w:rsid w:val="0068341F"/>
    <w:rsid w:val="00683586"/>
    <w:rsid w:val="0068370E"/>
    <w:rsid w:val="00683E52"/>
    <w:rsid w:val="00683E6C"/>
    <w:rsid w:val="00683EFE"/>
    <w:rsid w:val="00684BD5"/>
    <w:rsid w:val="00685059"/>
    <w:rsid w:val="006857AB"/>
    <w:rsid w:val="006859B3"/>
    <w:rsid w:val="00685AD4"/>
    <w:rsid w:val="00685C4A"/>
    <w:rsid w:val="006860C2"/>
    <w:rsid w:val="006868B7"/>
    <w:rsid w:val="00687017"/>
    <w:rsid w:val="006874EB"/>
    <w:rsid w:val="0068795A"/>
    <w:rsid w:val="0068796D"/>
    <w:rsid w:val="006879F3"/>
    <w:rsid w:val="006907ED"/>
    <w:rsid w:val="006918AA"/>
    <w:rsid w:val="00691B7F"/>
    <w:rsid w:val="00692265"/>
    <w:rsid w:val="006922E1"/>
    <w:rsid w:val="006926E8"/>
    <w:rsid w:val="00692CE7"/>
    <w:rsid w:val="00692D95"/>
    <w:rsid w:val="00692F80"/>
    <w:rsid w:val="006932B1"/>
    <w:rsid w:val="006934BD"/>
    <w:rsid w:val="006935D2"/>
    <w:rsid w:val="00693724"/>
    <w:rsid w:val="0069373F"/>
    <w:rsid w:val="006937B1"/>
    <w:rsid w:val="0069383A"/>
    <w:rsid w:val="006941C0"/>
    <w:rsid w:val="00694446"/>
    <w:rsid w:val="006945BA"/>
    <w:rsid w:val="00694BEE"/>
    <w:rsid w:val="00694D25"/>
    <w:rsid w:val="006951D6"/>
    <w:rsid w:val="006955E5"/>
    <w:rsid w:val="00695799"/>
    <w:rsid w:val="006957CE"/>
    <w:rsid w:val="00695921"/>
    <w:rsid w:val="006962B3"/>
    <w:rsid w:val="006962BF"/>
    <w:rsid w:val="0069693B"/>
    <w:rsid w:val="006969F1"/>
    <w:rsid w:val="00696DE5"/>
    <w:rsid w:val="00697330"/>
    <w:rsid w:val="006976D0"/>
    <w:rsid w:val="006978C8"/>
    <w:rsid w:val="00697A74"/>
    <w:rsid w:val="00697C77"/>
    <w:rsid w:val="006A0495"/>
    <w:rsid w:val="006A04EC"/>
    <w:rsid w:val="006A0CF3"/>
    <w:rsid w:val="006A0D67"/>
    <w:rsid w:val="006A229C"/>
    <w:rsid w:val="006A2538"/>
    <w:rsid w:val="006A2FDB"/>
    <w:rsid w:val="006A476C"/>
    <w:rsid w:val="006A4B7A"/>
    <w:rsid w:val="006A4C39"/>
    <w:rsid w:val="006A4CDD"/>
    <w:rsid w:val="006A536C"/>
    <w:rsid w:val="006A5372"/>
    <w:rsid w:val="006A539A"/>
    <w:rsid w:val="006A5420"/>
    <w:rsid w:val="006A557E"/>
    <w:rsid w:val="006A67A7"/>
    <w:rsid w:val="006A731A"/>
    <w:rsid w:val="006A7798"/>
    <w:rsid w:val="006A7813"/>
    <w:rsid w:val="006A7D3C"/>
    <w:rsid w:val="006A7EE6"/>
    <w:rsid w:val="006B02D7"/>
    <w:rsid w:val="006B0333"/>
    <w:rsid w:val="006B0809"/>
    <w:rsid w:val="006B11FF"/>
    <w:rsid w:val="006B121F"/>
    <w:rsid w:val="006B17D4"/>
    <w:rsid w:val="006B18B8"/>
    <w:rsid w:val="006B1B1A"/>
    <w:rsid w:val="006B1D08"/>
    <w:rsid w:val="006B1F2F"/>
    <w:rsid w:val="006B2104"/>
    <w:rsid w:val="006B27BA"/>
    <w:rsid w:val="006B2DA0"/>
    <w:rsid w:val="006B2EDF"/>
    <w:rsid w:val="006B3469"/>
    <w:rsid w:val="006B362F"/>
    <w:rsid w:val="006B3718"/>
    <w:rsid w:val="006B3C21"/>
    <w:rsid w:val="006B3F56"/>
    <w:rsid w:val="006B400D"/>
    <w:rsid w:val="006B481D"/>
    <w:rsid w:val="006B48BD"/>
    <w:rsid w:val="006B494D"/>
    <w:rsid w:val="006B4F77"/>
    <w:rsid w:val="006B56FA"/>
    <w:rsid w:val="006B5735"/>
    <w:rsid w:val="006B5A88"/>
    <w:rsid w:val="006B6096"/>
    <w:rsid w:val="006B61A0"/>
    <w:rsid w:val="006B634D"/>
    <w:rsid w:val="006B6839"/>
    <w:rsid w:val="006B757C"/>
    <w:rsid w:val="006B7BE3"/>
    <w:rsid w:val="006B7E0C"/>
    <w:rsid w:val="006C0D06"/>
    <w:rsid w:val="006C1052"/>
    <w:rsid w:val="006C1204"/>
    <w:rsid w:val="006C1804"/>
    <w:rsid w:val="006C1B78"/>
    <w:rsid w:val="006C243B"/>
    <w:rsid w:val="006C26BE"/>
    <w:rsid w:val="006C2917"/>
    <w:rsid w:val="006C2B35"/>
    <w:rsid w:val="006C2BA1"/>
    <w:rsid w:val="006C2F70"/>
    <w:rsid w:val="006C3128"/>
    <w:rsid w:val="006C331A"/>
    <w:rsid w:val="006C34E3"/>
    <w:rsid w:val="006C3517"/>
    <w:rsid w:val="006C3E75"/>
    <w:rsid w:val="006C4171"/>
    <w:rsid w:val="006C45BF"/>
    <w:rsid w:val="006C4EEF"/>
    <w:rsid w:val="006C505A"/>
    <w:rsid w:val="006C5115"/>
    <w:rsid w:val="006C5A9E"/>
    <w:rsid w:val="006C5E71"/>
    <w:rsid w:val="006C6853"/>
    <w:rsid w:val="006C6DA3"/>
    <w:rsid w:val="006C6E20"/>
    <w:rsid w:val="006C7094"/>
    <w:rsid w:val="006C70C3"/>
    <w:rsid w:val="006C7405"/>
    <w:rsid w:val="006C744F"/>
    <w:rsid w:val="006C76AE"/>
    <w:rsid w:val="006D01AF"/>
    <w:rsid w:val="006D0C38"/>
    <w:rsid w:val="006D10B7"/>
    <w:rsid w:val="006D10C8"/>
    <w:rsid w:val="006D18C3"/>
    <w:rsid w:val="006D1AEB"/>
    <w:rsid w:val="006D1CC5"/>
    <w:rsid w:val="006D22E6"/>
    <w:rsid w:val="006D2591"/>
    <w:rsid w:val="006D34FB"/>
    <w:rsid w:val="006D36ED"/>
    <w:rsid w:val="006D3A50"/>
    <w:rsid w:val="006D3A97"/>
    <w:rsid w:val="006D4319"/>
    <w:rsid w:val="006D4DBA"/>
    <w:rsid w:val="006D531D"/>
    <w:rsid w:val="006D6A02"/>
    <w:rsid w:val="006D6DCE"/>
    <w:rsid w:val="006D73EB"/>
    <w:rsid w:val="006D7478"/>
    <w:rsid w:val="006E1331"/>
    <w:rsid w:val="006E1B62"/>
    <w:rsid w:val="006E21F7"/>
    <w:rsid w:val="006E2252"/>
    <w:rsid w:val="006E300D"/>
    <w:rsid w:val="006E42A6"/>
    <w:rsid w:val="006E4451"/>
    <w:rsid w:val="006E479C"/>
    <w:rsid w:val="006E4848"/>
    <w:rsid w:val="006E4F6A"/>
    <w:rsid w:val="006E5229"/>
    <w:rsid w:val="006E78E2"/>
    <w:rsid w:val="006E7C42"/>
    <w:rsid w:val="006F0274"/>
    <w:rsid w:val="006F0354"/>
    <w:rsid w:val="006F0D26"/>
    <w:rsid w:val="006F1686"/>
    <w:rsid w:val="006F18F7"/>
    <w:rsid w:val="006F19AB"/>
    <w:rsid w:val="006F1BE6"/>
    <w:rsid w:val="006F1FDB"/>
    <w:rsid w:val="006F21EB"/>
    <w:rsid w:val="006F23B6"/>
    <w:rsid w:val="006F2AD4"/>
    <w:rsid w:val="006F3172"/>
    <w:rsid w:val="006F3524"/>
    <w:rsid w:val="006F35A8"/>
    <w:rsid w:val="006F35B2"/>
    <w:rsid w:val="006F3882"/>
    <w:rsid w:val="006F3F31"/>
    <w:rsid w:val="006F4747"/>
    <w:rsid w:val="006F4C4A"/>
    <w:rsid w:val="006F4C5D"/>
    <w:rsid w:val="006F5164"/>
    <w:rsid w:val="006F53FE"/>
    <w:rsid w:val="006F556D"/>
    <w:rsid w:val="006F5FCC"/>
    <w:rsid w:val="006F69E1"/>
    <w:rsid w:val="006F73A9"/>
    <w:rsid w:val="006F74A4"/>
    <w:rsid w:val="006F75A0"/>
    <w:rsid w:val="006F7969"/>
    <w:rsid w:val="006F7E1D"/>
    <w:rsid w:val="0070177D"/>
    <w:rsid w:val="00702037"/>
    <w:rsid w:val="0070229E"/>
    <w:rsid w:val="007023CB"/>
    <w:rsid w:val="0070267B"/>
    <w:rsid w:val="00702D54"/>
    <w:rsid w:val="00702D92"/>
    <w:rsid w:val="00702DA6"/>
    <w:rsid w:val="00702FBA"/>
    <w:rsid w:val="00703CB3"/>
    <w:rsid w:val="00703F57"/>
    <w:rsid w:val="00704536"/>
    <w:rsid w:val="007045A9"/>
    <w:rsid w:val="007048DB"/>
    <w:rsid w:val="007049C0"/>
    <w:rsid w:val="00705124"/>
    <w:rsid w:val="00705190"/>
    <w:rsid w:val="0070523E"/>
    <w:rsid w:val="007058E8"/>
    <w:rsid w:val="00705A8D"/>
    <w:rsid w:val="00705CD5"/>
    <w:rsid w:val="00705ECA"/>
    <w:rsid w:val="00706B70"/>
    <w:rsid w:val="00706FB9"/>
    <w:rsid w:val="00707010"/>
    <w:rsid w:val="00707FEA"/>
    <w:rsid w:val="0071018B"/>
    <w:rsid w:val="007107CF"/>
    <w:rsid w:val="00710939"/>
    <w:rsid w:val="00710967"/>
    <w:rsid w:val="00710D84"/>
    <w:rsid w:val="00710DDA"/>
    <w:rsid w:val="0071114C"/>
    <w:rsid w:val="00711797"/>
    <w:rsid w:val="00711AE9"/>
    <w:rsid w:val="00711C99"/>
    <w:rsid w:val="00711FD9"/>
    <w:rsid w:val="0071249E"/>
    <w:rsid w:val="0071298A"/>
    <w:rsid w:val="00712AD4"/>
    <w:rsid w:val="00713D35"/>
    <w:rsid w:val="00714E61"/>
    <w:rsid w:val="007150E2"/>
    <w:rsid w:val="0071536F"/>
    <w:rsid w:val="00716840"/>
    <w:rsid w:val="007176C0"/>
    <w:rsid w:val="007204C3"/>
    <w:rsid w:val="00720B9E"/>
    <w:rsid w:val="00720BFD"/>
    <w:rsid w:val="00720CD8"/>
    <w:rsid w:val="007211D3"/>
    <w:rsid w:val="00721644"/>
    <w:rsid w:val="00721718"/>
    <w:rsid w:val="007218A5"/>
    <w:rsid w:val="00721D73"/>
    <w:rsid w:val="00721FE3"/>
    <w:rsid w:val="00722317"/>
    <w:rsid w:val="007223DB"/>
    <w:rsid w:val="0072254F"/>
    <w:rsid w:val="007228EE"/>
    <w:rsid w:val="007230D3"/>
    <w:rsid w:val="007232F6"/>
    <w:rsid w:val="007235B6"/>
    <w:rsid w:val="007236CC"/>
    <w:rsid w:val="00723C6E"/>
    <w:rsid w:val="00724F5B"/>
    <w:rsid w:val="00724FBF"/>
    <w:rsid w:val="00725587"/>
    <w:rsid w:val="007259BE"/>
    <w:rsid w:val="00725EC2"/>
    <w:rsid w:val="007265C4"/>
    <w:rsid w:val="00726F7F"/>
    <w:rsid w:val="00727D81"/>
    <w:rsid w:val="00727F64"/>
    <w:rsid w:val="00730156"/>
    <w:rsid w:val="00730212"/>
    <w:rsid w:val="0073022F"/>
    <w:rsid w:val="007302AC"/>
    <w:rsid w:val="007302F7"/>
    <w:rsid w:val="0073054C"/>
    <w:rsid w:val="007307A9"/>
    <w:rsid w:val="00730C07"/>
    <w:rsid w:val="00731BA2"/>
    <w:rsid w:val="00732290"/>
    <w:rsid w:val="00732312"/>
    <w:rsid w:val="00732A2B"/>
    <w:rsid w:val="00733412"/>
    <w:rsid w:val="007335A7"/>
    <w:rsid w:val="00733647"/>
    <w:rsid w:val="00734389"/>
    <w:rsid w:val="00734D21"/>
    <w:rsid w:val="0073520F"/>
    <w:rsid w:val="00735331"/>
    <w:rsid w:val="00735756"/>
    <w:rsid w:val="00735827"/>
    <w:rsid w:val="007358CB"/>
    <w:rsid w:val="007360CB"/>
    <w:rsid w:val="007361CF"/>
    <w:rsid w:val="00736B86"/>
    <w:rsid w:val="007370A7"/>
    <w:rsid w:val="00737A87"/>
    <w:rsid w:val="00737EBA"/>
    <w:rsid w:val="007409A8"/>
    <w:rsid w:val="00740E3C"/>
    <w:rsid w:val="00740F95"/>
    <w:rsid w:val="00741477"/>
    <w:rsid w:val="007414F6"/>
    <w:rsid w:val="007418E8"/>
    <w:rsid w:val="007419DC"/>
    <w:rsid w:val="00741B02"/>
    <w:rsid w:val="007429F6"/>
    <w:rsid w:val="00742B56"/>
    <w:rsid w:val="00743601"/>
    <w:rsid w:val="00744670"/>
    <w:rsid w:val="007449B5"/>
    <w:rsid w:val="00744E45"/>
    <w:rsid w:val="00745140"/>
    <w:rsid w:val="00745193"/>
    <w:rsid w:val="00745C48"/>
    <w:rsid w:val="007461B2"/>
    <w:rsid w:val="00747793"/>
    <w:rsid w:val="00747D84"/>
    <w:rsid w:val="0075013A"/>
    <w:rsid w:val="00750279"/>
    <w:rsid w:val="007504BB"/>
    <w:rsid w:val="00750B7B"/>
    <w:rsid w:val="00750D4E"/>
    <w:rsid w:val="00751767"/>
    <w:rsid w:val="00751A04"/>
    <w:rsid w:val="00751E89"/>
    <w:rsid w:val="00752550"/>
    <w:rsid w:val="007525D6"/>
    <w:rsid w:val="007528A3"/>
    <w:rsid w:val="00752A87"/>
    <w:rsid w:val="0075408B"/>
    <w:rsid w:val="0075414F"/>
    <w:rsid w:val="00754365"/>
    <w:rsid w:val="00754CA9"/>
    <w:rsid w:val="0075517E"/>
    <w:rsid w:val="007556D3"/>
    <w:rsid w:val="00756020"/>
    <w:rsid w:val="007566C3"/>
    <w:rsid w:val="0076041E"/>
    <w:rsid w:val="007604D9"/>
    <w:rsid w:val="0076071B"/>
    <w:rsid w:val="007613A6"/>
    <w:rsid w:val="00761405"/>
    <w:rsid w:val="0076141F"/>
    <w:rsid w:val="0076152B"/>
    <w:rsid w:val="0076155E"/>
    <w:rsid w:val="00761706"/>
    <w:rsid w:val="00761F37"/>
    <w:rsid w:val="00762750"/>
    <w:rsid w:val="007639B9"/>
    <w:rsid w:val="00763A0C"/>
    <w:rsid w:val="00763B34"/>
    <w:rsid w:val="007646C9"/>
    <w:rsid w:val="007646D9"/>
    <w:rsid w:val="00765012"/>
    <w:rsid w:val="00765444"/>
    <w:rsid w:val="00765D3F"/>
    <w:rsid w:val="007668D0"/>
    <w:rsid w:val="00766BFA"/>
    <w:rsid w:val="0076749A"/>
    <w:rsid w:val="007676F1"/>
    <w:rsid w:val="0076796C"/>
    <w:rsid w:val="00767C85"/>
    <w:rsid w:val="00770575"/>
    <w:rsid w:val="00773357"/>
    <w:rsid w:val="0077341C"/>
    <w:rsid w:val="007735FB"/>
    <w:rsid w:val="00774C97"/>
    <w:rsid w:val="007750D5"/>
    <w:rsid w:val="0077539D"/>
    <w:rsid w:val="0077599F"/>
    <w:rsid w:val="007764DC"/>
    <w:rsid w:val="0077667B"/>
    <w:rsid w:val="007766DA"/>
    <w:rsid w:val="00776933"/>
    <w:rsid w:val="00776C18"/>
    <w:rsid w:val="00776E2B"/>
    <w:rsid w:val="00776F6B"/>
    <w:rsid w:val="0077734E"/>
    <w:rsid w:val="00777EFD"/>
    <w:rsid w:val="007800BB"/>
    <w:rsid w:val="00780E57"/>
    <w:rsid w:val="00780FF1"/>
    <w:rsid w:val="007810D0"/>
    <w:rsid w:val="00781538"/>
    <w:rsid w:val="0078165B"/>
    <w:rsid w:val="007818A2"/>
    <w:rsid w:val="00781BA6"/>
    <w:rsid w:val="00782554"/>
    <w:rsid w:val="007826F8"/>
    <w:rsid w:val="007827D5"/>
    <w:rsid w:val="00782958"/>
    <w:rsid w:val="00782F6A"/>
    <w:rsid w:val="00783983"/>
    <w:rsid w:val="007844DF"/>
    <w:rsid w:val="00784EC8"/>
    <w:rsid w:val="00785018"/>
    <w:rsid w:val="00785754"/>
    <w:rsid w:val="00785875"/>
    <w:rsid w:val="00785D4C"/>
    <w:rsid w:val="00786055"/>
    <w:rsid w:val="0078608C"/>
    <w:rsid w:val="007867EE"/>
    <w:rsid w:val="00786F6F"/>
    <w:rsid w:val="00787BCC"/>
    <w:rsid w:val="00787D6D"/>
    <w:rsid w:val="00790130"/>
    <w:rsid w:val="00790155"/>
    <w:rsid w:val="007901EC"/>
    <w:rsid w:val="007910BF"/>
    <w:rsid w:val="00791298"/>
    <w:rsid w:val="00791302"/>
    <w:rsid w:val="007915E0"/>
    <w:rsid w:val="007915E6"/>
    <w:rsid w:val="00791C4A"/>
    <w:rsid w:val="00792056"/>
    <w:rsid w:val="0079206C"/>
    <w:rsid w:val="0079238F"/>
    <w:rsid w:val="00792600"/>
    <w:rsid w:val="0079307A"/>
    <w:rsid w:val="00793746"/>
    <w:rsid w:val="00793798"/>
    <w:rsid w:val="00793E88"/>
    <w:rsid w:val="00794089"/>
    <w:rsid w:val="00794288"/>
    <w:rsid w:val="0079437D"/>
    <w:rsid w:val="007944AF"/>
    <w:rsid w:val="007952BF"/>
    <w:rsid w:val="00795E36"/>
    <w:rsid w:val="00796142"/>
    <w:rsid w:val="00796150"/>
    <w:rsid w:val="00796ACC"/>
    <w:rsid w:val="00796B02"/>
    <w:rsid w:val="00797521"/>
    <w:rsid w:val="007A0422"/>
    <w:rsid w:val="007A0585"/>
    <w:rsid w:val="007A097C"/>
    <w:rsid w:val="007A0AB6"/>
    <w:rsid w:val="007A0E11"/>
    <w:rsid w:val="007A0F1C"/>
    <w:rsid w:val="007A1A22"/>
    <w:rsid w:val="007A1B9B"/>
    <w:rsid w:val="007A1DAB"/>
    <w:rsid w:val="007A200F"/>
    <w:rsid w:val="007A2CE4"/>
    <w:rsid w:val="007A2FB2"/>
    <w:rsid w:val="007A303F"/>
    <w:rsid w:val="007A3C79"/>
    <w:rsid w:val="007A3D2E"/>
    <w:rsid w:val="007A43A5"/>
    <w:rsid w:val="007A4430"/>
    <w:rsid w:val="007A4B2C"/>
    <w:rsid w:val="007A5187"/>
    <w:rsid w:val="007A585E"/>
    <w:rsid w:val="007A5B7F"/>
    <w:rsid w:val="007A5D2F"/>
    <w:rsid w:val="007A60E6"/>
    <w:rsid w:val="007A6185"/>
    <w:rsid w:val="007A62B2"/>
    <w:rsid w:val="007A6561"/>
    <w:rsid w:val="007A6C13"/>
    <w:rsid w:val="007A6C55"/>
    <w:rsid w:val="007A6D5D"/>
    <w:rsid w:val="007A6E3F"/>
    <w:rsid w:val="007A6E90"/>
    <w:rsid w:val="007A71E8"/>
    <w:rsid w:val="007A74BD"/>
    <w:rsid w:val="007A773D"/>
    <w:rsid w:val="007A77B9"/>
    <w:rsid w:val="007A77C6"/>
    <w:rsid w:val="007A780F"/>
    <w:rsid w:val="007A7881"/>
    <w:rsid w:val="007A7910"/>
    <w:rsid w:val="007B0060"/>
    <w:rsid w:val="007B04DB"/>
    <w:rsid w:val="007B071B"/>
    <w:rsid w:val="007B086B"/>
    <w:rsid w:val="007B0AC0"/>
    <w:rsid w:val="007B17C5"/>
    <w:rsid w:val="007B17CC"/>
    <w:rsid w:val="007B1805"/>
    <w:rsid w:val="007B1885"/>
    <w:rsid w:val="007B19F9"/>
    <w:rsid w:val="007B2119"/>
    <w:rsid w:val="007B2DAB"/>
    <w:rsid w:val="007B3168"/>
    <w:rsid w:val="007B3170"/>
    <w:rsid w:val="007B32D3"/>
    <w:rsid w:val="007B334A"/>
    <w:rsid w:val="007B3F17"/>
    <w:rsid w:val="007B3F9F"/>
    <w:rsid w:val="007B446A"/>
    <w:rsid w:val="007B46FB"/>
    <w:rsid w:val="007B5477"/>
    <w:rsid w:val="007B569C"/>
    <w:rsid w:val="007B56A4"/>
    <w:rsid w:val="007B5A5E"/>
    <w:rsid w:val="007B5ADE"/>
    <w:rsid w:val="007B60F5"/>
    <w:rsid w:val="007B61CB"/>
    <w:rsid w:val="007B683E"/>
    <w:rsid w:val="007B69B0"/>
    <w:rsid w:val="007B70C7"/>
    <w:rsid w:val="007B768D"/>
    <w:rsid w:val="007B7849"/>
    <w:rsid w:val="007B7D31"/>
    <w:rsid w:val="007B7E9B"/>
    <w:rsid w:val="007C084F"/>
    <w:rsid w:val="007C10D4"/>
    <w:rsid w:val="007C157B"/>
    <w:rsid w:val="007C1F18"/>
    <w:rsid w:val="007C1F67"/>
    <w:rsid w:val="007C2234"/>
    <w:rsid w:val="007C26AF"/>
    <w:rsid w:val="007C2DBD"/>
    <w:rsid w:val="007C35EC"/>
    <w:rsid w:val="007C38C0"/>
    <w:rsid w:val="007C55FB"/>
    <w:rsid w:val="007C5FBB"/>
    <w:rsid w:val="007C605B"/>
    <w:rsid w:val="007C64E7"/>
    <w:rsid w:val="007C6EEA"/>
    <w:rsid w:val="007C71B1"/>
    <w:rsid w:val="007C7351"/>
    <w:rsid w:val="007C7AF0"/>
    <w:rsid w:val="007D0310"/>
    <w:rsid w:val="007D0587"/>
    <w:rsid w:val="007D0C92"/>
    <w:rsid w:val="007D0F06"/>
    <w:rsid w:val="007D12B5"/>
    <w:rsid w:val="007D12D0"/>
    <w:rsid w:val="007D1D4B"/>
    <w:rsid w:val="007D2BD0"/>
    <w:rsid w:val="007D3681"/>
    <w:rsid w:val="007D3AC9"/>
    <w:rsid w:val="007D42C4"/>
    <w:rsid w:val="007D45B6"/>
    <w:rsid w:val="007D46E4"/>
    <w:rsid w:val="007D471F"/>
    <w:rsid w:val="007D4D4F"/>
    <w:rsid w:val="007D4EC1"/>
    <w:rsid w:val="007D5007"/>
    <w:rsid w:val="007D62DE"/>
    <w:rsid w:val="007D69DB"/>
    <w:rsid w:val="007D6DB9"/>
    <w:rsid w:val="007D6FDC"/>
    <w:rsid w:val="007D7202"/>
    <w:rsid w:val="007D7261"/>
    <w:rsid w:val="007D78A5"/>
    <w:rsid w:val="007D7C4E"/>
    <w:rsid w:val="007D7FD1"/>
    <w:rsid w:val="007E040D"/>
    <w:rsid w:val="007E0CC8"/>
    <w:rsid w:val="007E161F"/>
    <w:rsid w:val="007E1D2C"/>
    <w:rsid w:val="007E1FE0"/>
    <w:rsid w:val="007E261F"/>
    <w:rsid w:val="007E2767"/>
    <w:rsid w:val="007E27B5"/>
    <w:rsid w:val="007E309E"/>
    <w:rsid w:val="007E31F8"/>
    <w:rsid w:val="007E3286"/>
    <w:rsid w:val="007E3D9B"/>
    <w:rsid w:val="007E42FB"/>
    <w:rsid w:val="007E451D"/>
    <w:rsid w:val="007E456C"/>
    <w:rsid w:val="007E4A91"/>
    <w:rsid w:val="007E4F0E"/>
    <w:rsid w:val="007E4FE0"/>
    <w:rsid w:val="007E5AEE"/>
    <w:rsid w:val="007E5EF4"/>
    <w:rsid w:val="007E697B"/>
    <w:rsid w:val="007E6D47"/>
    <w:rsid w:val="007E717B"/>
    <w:rsid w:val="007E73DE"/>
    <w:rsid w:val="007E7D2F"/>
    <w:rsid w:val="007E7E38"/>
    <w:rsid w:val="007F0244"/>
    <w:rsid w:val="007F09D4"/>
    <w:rsid w:val="007F0B29"/>
    <w:rsid w:val="007F0E1D"/>
    <w:rsid w:val="007F120E"/>
    <w:rsid w:val="007F1671"/>
    <w:rsid w:val="007F2A63"/>
    <w:rsid w:val="007F2C87"/>
    <w:rsid w:val="007F325C"/>
    <w:rsid w:val="007F347D"/>
    <w:rsid w:val="007F3D25"/>
    <w:rsid w:val="007F4B95"/>
    <w:rsid w:val="007F4F0E"/>
    <w:rsid w:val="007F554B"/>
    <w:rsid w:val="007F58C0"/>
    <w:rsid w:val="007F5F85"/>
    <w:rsid w:val="007F5FB6"/>
    <w:rsid w:val="007F6F3C"/>
    <w:rsid w:val="007F70FF"/>
    <w:rsid w:val="007F7AB0"/>
    <w:rsid w:val="007F7D47"/>
    <w:rsid w:val="0080155A"/>
    <w:rsid w:val="008015D3"/>
    <w:rsid w:val="00801983"/>
    <w:rsid w:val="00802846"/>
    <w:rsid w:val="00802BAB"/>
    <w:rsid w:val="00802E39"/>
    <w:rsid w:val="008031B0"/>
    <w:rsid w:val="00803349"/>
    <w:rsid w:val="00803EE6"/>
    <w:rsid w:val="00804442"/>
    <w:rsid w:val="008046C6"/>
    <w:rsid w:val="00804AE1"/>
    <w:rsid w:val="008050F9"/>
    <w:rsid w:val="008054AD"/>
    <w:rsid w:val="008055F4"/>
    <w:rsid w:val="00805E3D"/>
    <w:rsid w:val="00805E97"/>
    <w:rsid w:val="00805F0D"/>
    <w:rsid w:val="0080621B"/>
    <w:rsid w:val="00806D97"/>
    <w:rsid w:val="0080726F"/>
    <w:rsid w:val="00807A1A"/>
    <w:rsid w:val="00807A47"/>
    <w:rsid w:val="0081059A"/>
    <w:rsid w:val="00810DDE"/>
    <w:rsid w:val="0081127D"/>
    <w:rsid w:val="00811467"/>
    <w:rsid w:val="00811578"/>
    <w:rsid w:val="00811FEA"/>
    <w:rsid w:val="008121DE"/>
    <w:rsid w:val="00814067"/>
    <w:rsid w:val="00814500"/>
    <w:rsid w:val="008145F7"/>
    <w:rsid w:val="00814624"/>
    <w:rsid w:val="00814986"/>
    <w:rsid w:val="00814B2F"/>
    <w:rsid w:val="00815358"/>
    <w:rsid w:val="00815763"/>
    <w:rsid w:val="00815784"/>
    <w:rsid w:val="00816110"/>
    <w:rsid w:val="00816F76"/>
    <w:rsid w:val="0081719E"/>
    <w:rsid w:val="00817553"/>
    <w:rsid w:val="00817B8D"/>
    <w:rsid w:val="00817C67"/>
    <w:rsid w:val="00817C96"/>
    <w:rsid w:val="00817F22"/>
    <w:rsid w:val="00817F37"/>
    <w:rsid w:val="00820A74"/>
    <w:rsid w:val="008211F6"/>
    <w:rsid w:val="008219C9"/>
    <w:rsid w:val="008222FC"/>
    <w:rsid w:val="0082292D"/>
    <w:rsid w:val="00822ADE"/>
    <w:rsid w:val="00822DF3"/>
    <w:rsid w:val="00823B89"/>
    <w:rsid w:val="00823D9F"/>
    <w:rsid w:val="0082458C"/>
    <w:rsid w:val="00824900"/>
    <w:rsid w:val="00824AD3"/>
    <w:rsid w:val="00824DF7"/>
    <w:rsid w:val="008250A5"/>
    <w:rsid w:val="00825E66"/>
    <w:rsid w:val="00825F52"/>
    <w:rsid w:val="00826353"/>
    <w:rsid w:val="00826377"/>
    <w:rsid w:val="00826450"/>
    <w:rsid w:val="00826942"/>
    <w:rsid w:val="00826A92"/>
    <w:rsid w:val="00826AE5"/>
    <w:rsid w:val="00826E97"/>
    <w:rsid w:val="00827322"/>
    <w:rsid w:val="00827575"/>
    <w:rsid w:val="008275E7"/>
    <w:rsid w:val="00827D3D"/>
    <w:rsid w:val="00830954"/>
    <w:rsid w:val="00830CCA"/>
    <w:rsid w:val="0083117A"/>
    <w:rsid w:val="00831817"/>
    <w:rsid w:val="0083186F"/>
    <w:rsid w:val="00831B14"/>
    <w:rsid w:val="008320E7"/>
    <w:rsid w:val="00832A0D"/>
    <w:rsid w:val="00832AC8"/>
    <w:rsid w:val="00832F46"/>
    <w:rsid w:val="00833209"/>
    <w:rsid w:val="0083430D"/>
    <w:rsid w:val="00834594"/>
    <w:rsid w:val="00834803"/>
    <w:rsid w:val="008349D9"/>
    <w:rsid w:val="00834A18"/>
    <w:rsid w:val="00834BA0"/>
    <w:rsid w:val="008358B3"/>
    <w:rsid w:val="00835972"/>
    <w:rsid w:val="00835CCC"/>
    <w:rsid w:val="00836205"/>
    <w:rsid w:val="0083670F"/>
    <w:rsid w:val="00836C2F"/>
    <w:rsid w:val="00836CC2"/>
    <w:rsid w:val="00836E06"/>
    <w:rsid w:val="008375EF"/>
    <w:rsid w:val="00837796"/>
    <w:rsid w:val="00837B6B"/>
    <w:rsid w:val="00837E09"/>
    <w:rsid w:val="0084008F"/>
    <w:rsid w:val="0084026B"/>
    <w:rsid w:val="0084038B"/>
    <w:rsid w:val="00840394"/>
    <w:rsid w:val="0084125F"/>
    <w:rsid w:val="00841495"/>
    <w:rsid w:val="00841DA4"/>
    <w:rsid w:val="00842F18"/>
    <w:rsid w:val="0084344A"/>
    <w:rsid w:val="0084358A"/>
    <w:rsid w:val="0084370D"/>
    <w:rsid w:val="008437A7"/>
    <w:rsid w:val="00843E66"/>
    <w:rsid w:val="00844FDB"/>
    <w:rsid w:val="0084510D"/>
    <w:rsid w:val="00846030"/>
    <w:rsid w:val="00846C62"/>
    <w:rsid w:val="00846F78"/>
    <w:rsid w:val="00846FC9"/>
    <w:rsid w:val="00847035"/>
    <w:rsid w:val="008479C0"/>
    <w:rsid w:val="00847B1E"/>
    <w:rsid w:val="00847BA1"/>
    <w:rsid w:val="00850131"/>
    <w:rsid w:val="00850409"/>
    <w:rsid w:val="008505C0"/>
    <w:rsid w:val="00850AB2"/>
    <w:rsid w:val="00850BF8"/>
    <w:rsid w:val="00850C0A"/>
    <w:rsid w:val="00852101"/>
    <w:rsid w:val="0085218E"/>
    <w:rsid w:val="00852274"/>
    <w:rsid w:val="008525C2"/>
    <w:rsid w:val="0085268C"/>
    <w:rsid w:val="0085367E"/>
    <w:rsid w:val="008536EA"/>
    <w:rsid w:val="00853BF4"/>
    <w:rsid w:val="00853E1D"/>
    <w:rsid w:val="00854A29"/>
    <w:rsid w:val="00854B4F"/>
    <w:rsid w:val="00854D87"/>
    <w:rsid w:val="00855145"/>
    <w:rsid w:val="00855248"/>
    <w:rsid w:val="00856050"/>
    <w:rsid w:val="00856622"/>
    <w:rsid w:val="008566BC"/>
    <w:rsid w:val="008567B3"/>
    <w:rsid w:val="00856E16"/>
    <w:rsid w:val="008570C7"/>
    <w:rsid w:val="008572BC"/>
    <w:rsid w:val="00857438"/>
    <w:rsid w:val="0085752E"/>
    <w:rsid w:val="008577A5"/>
    <w:rsid w:val="00857B1C"/>
    <w:rsid w:val="00857B36"/>
    <w:rsid w:val="008602AE"/>
    <w:rsid w:val="0086132E"/>
    <w:rsid w:val="00861B1A"/>
    <w:rsid w:val="00861C5A"/>
    <w:rsid w:val="008628D2"/>
    <w:rsid w:val="00862BCA"/>
    <w:rsid w:val="00862D12"/>
    <w:rsid w:val="0086421A"/>
    <w:rsid w:val="00864746"/>
    <w:rsid w:val="0086490C"/>
    <w:rsid w:val="00864BDD"/>
    <w:rsid w:val="00864CF5"/>
    <w:rsid w:val="00864DE2"/>
    <w:rsid w:val="00865CE3"/>
    <w:rsid w:val="00866E6B"/>
    <w:rsid w:val="00866E72"/>
    <w:rsid w:val="00866EBD"/>
    <w:rsid w:val="00866FB0"/>
    <w:rsid w:val="00867F32"/>
    <w:rsid w:val="0087097D"/>
    <w:rsid w:val="00870A11"/>
    <w:rsid w:val="00870B2F"/>
    <w:rsid w:val="00870EDA"/>
    <w:rsid w:val="00871754"/>
    <w:rsid w:val="0087234A"/>
    <w:rsid w:val="00872445"/>
    <w:rsid w:val="00873176"/>
    <w:rsid w:val="008742DA"/>
    <w:rsid w:val="008744A2"/>
    <w:rsid w:val="0087471E"/>
    <w:rsid w:val="0087487C"/>
    <w:rsid w:val="00875260"/>
    <w:rsid w:val="00875480"/>
    <w:rsid w:val="00875551"/>
    <w:rsid w:val="00875ACF"/>
    <w:rsid w:val="008761A4"/>
    <w:rsid w:val="0087656D"/>
    <w:rsid w:val="00876A9F"/>
    <w:rsid w:val="00876F24"/>
    <w:rsid w:val="00877257"/>
    <w:rsid w:val="00877283"/>
    <w:rsid w:val="008777DC"/>
    <w:rsid w:val="00877E6A"/>
    <w:rsid w:val="0088026C"/>
    <w:rsid w:val="008805CF"/>
    <w:rsid w:val="008809F0"/>
    <w:rsid w:val="0088154C"/>
    <w:rsid w:val="0088195D"/>
    <w:rsid w:val="0088220E"/>
    <w:rsid w:val="00882492"/>
    <w:rsid w:val="00882B88"/>
    <w:rsid w:val="00883255"/>
    <w:rsid w:val="00883A07"/>
    <w:rsid w:val="00883D8E"/>
    <w:rsid w:val="00883D9B"/>
    <w:rsid w:val="008842FB"/>
    <w:rsid w:val="0088483E"/>
    <w:rsid w:val="00884A60"/>
    <w:rsid w:val="00884B78"/>
    <w:rsid w:val="00884BF7"/>
    <w:rsid w:val="008852B9"/>
    <w:rsid w:val="008854FC"/>
    <w:rsid w:val="008865B6"/>
    <w:rsid w:val="008866D8"/>
    <w:rsid w:val="0088679E"/>
    <w:rsid w:val="008869BA"/>
    <w:rsid w:val="00886BED"/>
    <w:rsid w:val="00887092"/>
    <w:rsid w:val="00887119"/>
    <w:rsid w:val="00887866"/>
    <w:rsid w:val="00890220"/>
    <w:rsid w:val="00890485"/>
    <w:rsid w:val="008911DD"/>
    <w:rsid w:val="008917D8"/>
    <w:rsid w:val="00891999"/>
    <w:rsid w:val="00891AD8"/>
    <w:rsid w:val="00891E8B"/>
    <w:rsid w:val="00892A38"/>
    <w:rsid w:val="00892D26"/>
    <w:rsid w:val="00893211"/>
    <w:rsid w:val="00893807"/>
    <w:rsid w:val="00893BC9"/>
    <w:rsid w:val="00893F22"/>
    <w:rsid w:val="00894DB2"/>
    <w:rsid w:val="0089521E"/>
    <w:rsid w:val="00895727"/>
    <w:rsid w:val="00895EE3"/>
    <w:rsid w:val="008962D9"/>
    <w:rsid w:val="00896F9A"/>
    <w:rsid w:val="008975AD"/>
    <w:rsid w:val="008A09B6"/>
    <w:rsid w:val="008A0A9B"/>
    <w:rsid w:val="008A0D10"/>
    <w:rsid w:val="008A0D83"/>
    <w:rsid w:val="008A1038"/>
    <w:rsid w:val="008A1308"/>
    <w:rsid w:val="008A1661"/>
    <w:rsid w:val="008A18AF"/>
    <w:rsid w:val="008A1FB1"/>
    <w:rsid w:val="008A253F"/>
    <w:rsid w:val="008A305F"/>
    <w:rsid w:val="008A3BFD"/>
    <w:rsid w:val="008A41BD"/>
    <w:rsid w:val="008A4708"/>
    <w:rsid w:val="008A4974"/>
    <w:rsid w:val="008A527D"/>
    <w:rsid w:val="008A58F2"/>
    <w:rsid w:val="008A6A3F"/>
    <w:rsid w:val="008A7103"/>
    <w:rsid w:val="008A7813"/>
    <w:rsid w:val="008A7999"/>
    <w:rsid w:val="008B00E3"/>
    <w:rsid w:val="008B0275"/>
    <w:rsid w:val="008B0602"/>
    <w:rsid w:val="008B0A9E"/>
    <w:rsid w:val="008B0FA4"/>
    <w:rsid w:val="008B1C64"/>
    <w:rsid w:val="008B29D6"/>
    <w:rsid w:val="008B2DA2"/>
    <w:rsid w:val="008B2FDE"/>
    <w:rsid w:val="008B36E0"/>
    <w:rsid w:val="008B37C8"/>
    <w:rsid w:val="008B3982"/>
    <w:rsid w:val="008B3B91"/>
    <w:rsid w:val="008B4248"/>
    <w:rsid w:val="008B450D"/>
    <w:rsid w:val="008B4885"/>
    <w:rsid w:val="008B4ABB"/>
    <w:rsid w:val="008B5B95"/>
    <w:rsid w:val="008B616B"/>
    <w:rsid w:val="008B69D0"/>
    <w:rsid w:val="008B6FCD"/>
    <w:rsid w:val="008B7041"/>
    <w:rsid w:val="008B73C5"/>
    <w:rsid w:val="008B7A23"/>
    <w:rsid w:val="008B7A96"/>
    <w:rsid w:val="008C0AD5"/>
    <w:rsid w:val="008C0C9A"/>
    <w:rsid w:val="008C0D12"/>
    <w:rsid w:val="008C0D76"/>
    <w:rsid w:val="008C1BD1"/>
    <w:rsid w:val="008C1D69"/>
    <w:rsid w:val="008C1F44"/>
    <w:rsid w:val="008C1F5C"/>
    <w:rsid w:val="008C246B"/>
    <w:rsid w:val="008C27E4"/>
    <w:rsid w:val="008C2A73"/>
    <w:rsid w:val="008C2C79"/>
    <w:rsid w:val="008C361D"/>
    <w:rsid w:val="008C3BD5"/>
    <w:rsid w:val="008C3D7C"/>
    <w:rsid w:val="008C4248"/>
    <w:rsid w:val="008C46B8"/>
    <w:rsid w:val="008C4CC5"/>
    <w:rsid w:val="008C58B4"/>
    <w:rsid w:val="008C5999"/>
    <w:rsid w:val="008C59DE"/>
    <w:rsid w:val="008C6470"/>
    <w:rsid w:val="008C663B"/>
    <w:rsid w:val="008C75AB"/>
    <w:rsid w:val="008C799A"/>
    <w:rsid w:val="008C7D29"/>
    <w:rsid w:val="008D05C5"/>
    <w:rsid w:val="008D07D5"/>
    <w:rsid w:val="008D0DBE"/>
    <w:rsid w:val="008D1600"/>
    <w:rsid w:val="008D1C95"/>
    <w:rsid w:val="008D2064"/>
    <w:rsid w:val="008D21FC"/>
    <w:rsid w:val="008D227E"/>
    <w:rsid w:val="008D2D58"/>
    <w:rsid w:val="008D3201"/>
    <w:rsid w:val="008D3490"/>
    <w:rsid w:val="008D37B2"/>
    <w:rsid w:val="008D385E"/>
    <w:rsid w:val="008D410F"/>
    <w:rsid w:val="008D45D9"/>
    <w:rsid w:val="008D4880"/>
    <w:rsid w:val="008D48D1"/>
    <w:rsid w:val="008D4AFB"/>
    <w:rsid w:val="008D4D19"/>
    <w:rsid w:val="008D5D4E"/>
    <w:rsid w:val="008D6200"/>
    <w:rsid w:val="008D6306"/>
    <w:rsid w:val="008D6BF3"/>
    <w:rsid w:val="008D6DE6"/>
    <w:rsid w:val="008D6F33"/>
    <w:rsid w:val="008D793D"/>
    <w:rsid w:val="008D7A34"/>
    <w:rsid w:val="008E0194"/>
    <w:rsid w:val="008E0668"/>
    <w:rsid w:val="008E077F"/>
    <w:rsid w:val="008E15B2"/>
    <w:rsid w:val="008E1DF9"/>
    <w:rsid w:val="008E21EA"/>
    <w:rsid w:val="008E2BDC"/>
    <w:rsid w:val="008E2C42"/>
    <w:rsid w:val="008E2FE5"/>
    <w:rsid w:val="008E3421"/>
    <w:rsid w:val="008E34D7"/>
    <w:rsid w:val="008E425A"/>
    <w:rsid w:val="008E450E"/>
    <w:rsid w:val="008E48E4"/>
    <w:rsid w:val="008E53F1"/>
    <w:rsid w:val="008E5AC8"/>
    <w:rsid w:val="008E6029"/>
    <w:rsid w:val="008E6068"/>
    <w:rsid w:val="008E61F8"/>
    <w:rsid w:val="008E660B"/>
    <w:rsid w:val="008E66FC"/>
    <w:rsid w:val="008E720D"/>
    <w:rsid w:val="008E7272"/>
    <w:rsid w:val="008F0381"/>
    <w:rsid w:val="008F07AA"/>
    <w:rsid w:val="008F0F86"/>
    <w:rsid w:val="008F1C32"/>
    <w:rsid w:val="008F3754"/>
    <w:rsid w:val="008F38B3"/>
    <w:rsid w:val="008F3CD6"/>
    <w:rsid w:val="008F4F78"/>
    <w:rsid w:val="008F5482"/>
    <w:rsid w:val="008F57EF"/>
    <w:rsid w:val="008F6B75"/>
    <w:rsid w:val="008F7727"/>
    <w:rsid w:val="008F7864"/>
    <w:rsid w:val="00900674"/>
    <w:rsid w:val="00900F9C"/>
    <w:rsid w:val="009014D0"/>
    <w:rsid w:val="009019EE"/>
    <w:rsid w:val="00901D24"/>
    <w:rsid w:val="00902045"/>
    <w:rsid w:val="00902359"/>
    <w:rsid w:val="00902440"/>
    <w:rsid w:val="009025BC"/>
    <w:rsid w:val="009029EE"/>
    <w:rsid w:val="00902D18"/>
    <w:rsid w:val="00903287"/>
    <w:rsid w:val="009032B3"/>
    <w:rsid w:val="009034FD"/>
    <w:rsid w:val="00903AC5"/>
    <w:rsid w:val="00903CBC"/>
    <w:rsid w:val="009041FD"/>
    <w:rsid w:val="00904454"/>
    <w:rsid w:val="00904EE4"/>
    <w:rsid w:val="00905203"/>
    <w:rsid w:val="009064CD"/>
    <w:rsid w:val="00906BAC"/>
    <w:rsid w:val="00907B05"/>
    <w:rsid w:val="00907F6B"/>
    <w:rsid w:val="00907FB7"/>
    <w:rsid w:val="00910BA6"/>
    <w:rsid w:val="00911123"/>
    <w:rsid w:val="009112BD"/>
    <w:rsid w:val="00911929"/>
    <w:rsid w:val="0091278C"/>
    <w:rsid w:val="00912D06"/>
    <w:rsid w:val="00912D66"/>
    <w:rsid w:val="00912FA8"/>
    <w:rsid w:val="00913377"/>
    <w:rsid w:val="009137AA"/>
    <w:rsid w:val="009137C6"/>
    <w:rsid w:val="009137F7"/>
    <w:rsid w:val="00914310"/>
    <w:rsid w:val="00914533"/>
    <w:rsid w:val="00914EB6"/>
    <w:rsid w:val="00915481"/>
    <w:rsid w:val="0091559F"/>
    <w:rsid w:val="0091575C"/>
    <w:rsid w:val="00917BB2"/>
    <w:rsid w:val="00920268"/>
    <w:rsid w:val="00920A62"/>
    <w:rsid w:val="00920B1F"/>
    <w:rsid w:val="009214B4"/>
    <w:rsid w:val="009216E5"/>
    <w:rsid w:val="00921AE4"/>
    <w:rsid w:val="00921E8F"/>
    <w:rsid w:val="00921E98"/>
    <w:rsid w:val="00921FA2"/>
    <w:rsid w:val="009222CF"/>
    <w:rsid w:val="0092237E"/>
    <w:rsid w:val="0092248E"/>
    <w:rsid w:val="009225F4"/>
    <w:rsid w:val="009229F2"/>
    <w:rsid w:val="00922B07"/>
    <w:rsid w:val="00922DE8"/>
    <w:rsid w:val="0092360E"/>
    <w:rsid w:val="00923618"/>
    <w:rsid w:val="00924052"/>
    <w:rsid w:val="00924508"/>
    <w:rsid w:val="00924A4B"/>
    <w:rsid w:val="00924E45"/>
    <w:rsid w:val="009252E7"/>
    <w:rsid w:val="00925480"/>
    <w:rsid w:val="009258ED"/>
    <w:rsid w:val="00925CC6"/>
    <w:rsid w:val="00925FE3"/>
    <w:rsid w:val="009263B7"/>
    <w:rsid w:val="0092640D"/>
    <w:rsid w:val="00926720"/>
    <w:rsid w:val="009267DD"/>
    <w:rsid w:val="00926B0B"/>
    <w:rsid w:val="00926D18"/>
    <w:rsid w:val="0092729A"/>
    <w:rsid w:val="00927676"/>
    <w:rsid w:val="009279BD"/>
    <w:rsid w:val="009306FC"/>
    <w:rsid w:val="009308A9"/>
    <w:rsid w:val="00931587"/>
    <w:rsid w:val="00931658"/>
    <w:rsid w:val="009324F7"/>
    <w:rsid w:val="0093271A"/>
    <w:rsid w:val="00932A75"/>
    <w:rsid w:val="009335AD"/>
    <w:rsid w:val="00933AB1"/>
    <w:rsid w:val="00933F5E"/>
    <w:rsid w:val="00934B5D"/>
    <w:rsid w:val="00934BA4"/>
    <w:rsid w:val="00935112"/>
    <w:rsid w:val="0093520A"/>
    <w:rsid w:val="009353A7"/>
    <w:rsid w:val="00935648"/>
    <w:rsid w:val="00935E50"/>
    <w:rsid w:val="00935F11"/>
    <w:rsid w:val="0093659F"/>
    <w:rsid w:val="009367A5"/>
    <w:rsid w:val="00936E91"/>
    <w:rsid w:val="00936EDA"/>
    <w:rsid w:val="00940ADC"/>
    <w:rsid w:val="00940C12"/>
    <w:rsid w:val="00940F29"/>
    <w:rsid w:val="00940F7C"/>
    <w:rsid w:val="00941F3E"/>
    <w:rsid w:val="0094241F"/>
    <w:rsid w:val="00942458"/>
    <w:rsid w:val="0094281D"/>
    <w:rsid w:val="00943938"/>
    <w:rsid w:val="00943A34"/>
    <w:rsid w:val="00943CD9"/>
    <w:rsid w:val="00943DC8"/>
    <w:rsid w:val="009447C6"/>
    <w:rsid w:val="009448C7"/>
    <w:rsid w:val="00944932"/>
    <w:rsid w:val="00944D43"/>
    <w:rsid w:val="00944FDA"/>
    <w:rsid w:val="00945A1B"/>
    <w:rsid w:val="00945A6C"/>
    <w:rsid w:val="00946C54"/>
    <w:rsid w:val="00950385"/>
    <w:rsid w:val="009506B2"/>
    <w:rsid w:val="00950DCC"/>
    <w:rsid w:val="0095101F"/>
    <w:rsid w:val="00951276"/>
    <w:rsid w:val="00951C9F"/>
    <w:rsid w:val="00951E3D"/>
    <w:rsid w:val="00952AF5"/>
    <w:rsid w:val="00952D94"/>
    <w:rsid w:val="00952DCF"/>
    <w:rsid w:val="0095337C"/>
    <w:rsid w:val="009535FC"/>
    <w:rsid w:val="0095367D"/>
    <w:rsid w:val="00954299"/>
    <w:rsid w:val="00954396"/>
    <w:rsid w:val="00954ABB"/>
    <w:rsid w:val="00954E53"/>
    <w:rsid w:val="0095559D"/>
    <w:rsid w:val="00955ED8"/>
    <w:rsid w:val="00955FEC"/>
    <w:rsid w:val="009560F4"/>
    <w:rsid w:val="00957AE5"/>
    <w:rsid w:val="00957B2A"/>
    <w:rsid w:val="00960115"/>
    <w:rsid w:val="009603E4"/>
    <w:rsid w:val="00960546"/>
    <w:rsid w:val="00960A58"/>
    <w:rsid w:val="009616F6"/>
    <w:rsid w:val="00961740"/>
    <w:rsid w:val="009617FF"/>
    <w:rsid w:val="00961D00"/>
    <w:rsid w:val="00962CAB"/>
    <w:rsid w:val="00962EDD"/>
    <w:rsid w:val="00962FC1"/>
    <w:rsid w:val="009631FE"/>
    <w:rsid w:val="009632C6"/>
    <w:rsid w:val="009638D6"/>
    <w:rsid w:val="009643BB"/>
    <w:rsid w:val="00965E51"/>
    <w:rsid w:val="00966271"/>
    <w:rsid w:val="00966826"/>
    <w:rsid w:val="00966A50"/>
    <w:rsid w:val="00966B8D"/>
    <w:rsid w:val="009672AE"/>
    <w:rsid w:val="009673C1"/>
    <w:rsid w:val="0096750E"/>
    <w:rsid w:val="00967FC6"/>
    <w:rsid w:val="00970222"/>
    <w:rsid w:val="0097131C"/>
    <w:rsid w:val="00971512"/>
    <w:rsid w:val="009716CD"/>
    <w:rsid w:val="009717B0"/>
    <w:rsid w:val="00971EA3"/>
    <w:rsid w:val="00971FDB"/>
    <w:rsid w:val="009722D0"/>
    <w:rsid w:val="00972529"/>
    <w:rsid w:val="009725D3"/>
    <w:rsid w:val="00972615"/>
    <w:rsid w:val="00972700"/>
    <w:rsid w:val="009735B1"/>
    <w:rsid w:val="0097380E"/>
    <w:rsid w:val="00974AF5"/>
    <w:rsid w:val="0097530F"/>
    <w:rsid w:val="00975F32"/>
    <w:rsid w:val="009761F0"/>
    <w:rsid w:val="00976EC4"/>
    <w:rsid w:val="00976FC6"/>
    <w:rsid w:val="00977EF0"/>
    <w:rsid w:val="00977EF5"/>
    <w:rsid w:val="00980531"/>
    <w:rsid w:val="00980586"/>
    <w:rsid w:val="0098061C"/>
    <w:rsid w:val="009809EA"/>
    <w:rsid w:val="00980F75"/>
    <w:rsid w:val="00981392"/>
    <w:rsid w:val="009816B1"/>
    <w:rsid w:val="009817CA"/>
    <w:rsid w:val="00981D9C"/>
    <w:rsid w:val="00981FAB"/>
    <w:rsid w:val="009821DD"/>
    <w:rsid w:val="009824EF"/>
    <w:rsid w:val="0098255B"/>
    <w:rsid w:val="00982D31"/>
    <w:rsid w:val="00982E66"/>
    <w:rsid w:val="00983FF2"/>
    <w:rsid w:val="00984023"/>
    <w:rsid w:val="0098428B"/>
    <w:rsid w:val="009842D3"/>
    <w:rsid w:val="00984CED"/>
    <w:rsid w:val="00985330"/>
    <w:rsid w:val="00985B2D"/>
    <w:rsid w:val="00985F19"/>
    <w:rsid w:val="00986028"/>
    <w:rsid w:val="00986045"/>
    <w:rsid w:val="009863AF"/>
    <w:rsid w:val="0098678E"/>
    <w:rsid w:val="009868B2"/>
    <w:rsid w:val="009874E4"/>
    <w:rsid w:val="009876F5"/>
    <w:rsid w:val="009878A8"/>
    <w:rsid w:val="00987A71"/>
    <w:rsid w:val="00990E87"/>
    <w:rsid w:val="009913CE"/>
    <w:rsid w:val="00991938"/>
    <w:rsid w:val="00991AF5"/>
    <w:rsid w:val="00991B17"/>
    <w:rsid w:val="00991BDE"/>
    <w:rsid w:val="00992595"/>
    <w:rsid w:val="009927B5"/>
    <w:rsid w:val="00992BAE"/>
    <w:rsid w:val="00992CEB"/>
    <w:rsid w:val="00992FBD"/>
    <w:rsid w:val="00993189"/>
    <w:rsid w:val="009932B8"/>
    <w:rsid w:val="0099363F"/>
    <w:rsid w:val="0099415F"/>
    <w:rsid w:val="0099460B"/>
    <w:rsid w:val="009947B1"/>
    <w:rsid w:val="00994AFE"/>
    <w:rsid w:val="0099570D"/>
    <w:rsid w:val="00995D52"/>
    <w:rsid w:val="00996548"/>
    <w:rsid w:val="009968D5"/>
    <w:rsid w:val="00997EB8"/>
    <w:rsid w:val="00997EDA"/>
    <w:rsid w:val="009A0A7A"/>
    <w:rsid w:val="009A1268"/>
    <w:rsid w:val="009A1972"/>
    <w:rsid w:val="009A1C58"/>
    <w:rsid w:val="009A2039"/>
    <w:rsid w:val="009A287C"/>
    <w:rsid w:val="009A3159"/>
    <w:rsid w:val="009A3546"/>
    <w:rsid w:val="009A3763"/>
    <w:rsid w:val="009A3AE9"/>
    <w:rsid w:val="009A4399"/>
    <w:rsid w:val="009A4CE2"/>
    <w:rsid w:val="009A4DDF"/>
    <w:rsid w:val="009A526D"/>
    <w:rsid w:val="009A533B"/>
    <w:rsid w:val="009A54C3"/>
    <w:rsid w:val="009A5669"/>
    <w:rsid w:val="009A5767"/>
    <w:rsid w:val="009A5867"/>
    <w:rsid w:val="009A5AAE"/>
    <w:rsid w:val="009A5E91"/>
    <w:rsid w:val="009A61F4"/>
    <w:rsid w:val="009A6366"/>
    <w:rsid w:val="009A66CD"/>
    <w:rsid w:val="009A7B1F"/>
    <w:rsid w:val="009B070E"/>
    <w:rsid w:val="009B07E1"/>
    <w:rsid w:val="009B08EF"/>
    <w:rsid w:val="009B12AD"/>
    <w:rsid w:val="009B1696"/>
    <w:rsid w:val="009B2126"/>
    <w:rsid w:val="009B2A43"/>
    <w:rsid w:val="009B2BDD"/>
    <w:rsid w:val="009B2E34"/>
    <w:rsid w:val="009B3597"/>
    <w:rsid w:val="009B3968"/>
    <w:rsid w:val="009B3E5A"/>
    <w:rsid w:val="009B3E99"/>
    <w:rsid w:val="009B43EC"/>
    <w:rsid w:val="009B4B09"/>
    <w:rsid w:val="009B4B36"/>
    <w:rsid w:val="009B4CD3"/>
    <w:rsid w:val="009B5A13"/>
    <w:rsid w:val="009B5ACF"/>
    <w:rsid w:val="009B6094"/>
    <w:rsid w:val="009B630E"/>
    <w:rsid w:val="009B7C95"/>
    <w:rsid w:val="009C0027"/>
    <w:rsid w:val="009C13EB"/>
    <w:rsid w:val="009C1879"/>
    <w:rsid w:val="009C19A2"/>
    <w:rsid w:val="009C26ED"/>
    <w:rsid w:val="009C2731"/>
    <w:rsid w:val="009C2801"/>
    <w:rsid w:val="009C42CF"/>
    <w:rsid w:val="009C45A3"/>
    <w:rsid w:val="009C4AA0"/>
    <w:rsid w:val="009C4FF7"/>
    <w:rsid w:val="009C5B6C"/>
    <w:rsid w:val="009C5E9C"/>
    <w:rsid w:val="009C5ECB"/>
    <w:rsid w:val="009C6EFA"/>
    <w:rsid w:val="009C718A"/>
    <w:rsid w:val="009C742D"/>
    <w:rsid w:val="009C7736"/>
    <w:rsid w:val="009C774B"/>
    <w:rsid w:val="009C7884"/>
    <w:rsid w:val="009C7922"/>
    <w:rsid w:val="009C7F32"/>
    <w:rsid w:val="009D06F1"/>
    <w:rsid w:val="009D0F11"/>
    <w:rsid w:val="009D10DA"/>
    <w:rsid w:val="009D122F"/>
    <w:rsid w:val="009D2563"/>
    <w:rsid w:val="009D27AF"/>
    <w:rsid w:val="009D280C"/>
    <w:rsid w:val="009D28C9"/>
    <w:rsid w:val="009D2BB3"/>
    <w:rsid w:val="009D2CCD"/>
    <w:rsid w:val="009D2D19"/>
    <w:rsid w:val="009D3A7A"/>
    <w:rsid w:val="009D4A7A"/>
    <w:rsid w:val="009D4C7F"/>
    <w:rsid w:val="009D4CD4"/>
    <w:rsid w:val="009D4F6E"/>
    <w:rsid w:val="009D54A0"/>
    <w:rsid w:val="009D69AE"/>
    <w:rsid w:val="009D72B0"/>
    <w:rsid w:val="009D736A"/>
    <w:rsid w:val="009E0207"/>
    <w:rsid w:val="009E10D6"/>
    <w:rsid w:val="009E1B32"/>
    <w:rsid w:val="009E1BCF"/>
    <w:rsid w:val="009E2070"/>
    <w:rsid w:val="009E2826"/>
    <w:rsid w:val="009E2AD3"/>
    <w:rsid w:val="009E2FCD"/>
    <w:rsid w:val="009E3087"/>
    <w:rsid w:val="009E3258"/>
    <w:rsid w:val="009E38B3"/>
    <w:rsid w:val="009E3D44"/>
    <w:rsid w:val="009E407F"/>
    <w:rsid w:val="009E5B8F"/>
    <w:rsid w:val="009E5F3E"/>
    <w:rsid w:val="009E6BA7"/>
    <w:rsid w:val="009E76ED"/>
    <w:rsid w:val="009E7894"/>
    <w:rsid w:val="009E7A34"/>
    <w:rsid w:val="009E7A3D"/>
    <w:rsid w:val="009F098B"/>
    <w:rsid w:val="009F174C"/>
    <w:rsid w:val="009F2C20"/>
    <w:rsid w:val="009F2C94"/>
    <w:rsid w:val="009F3100"/>
    <w:rsid w:val="009F3185"/>
    <w:rsid w:val="009F3E70"/>
    <w:rsid w:val="009F427B"/>
    <w:rsid w:val="009F474C"/>
    <w:rsid w:val="009F4D6C"/>
    <w:rsid w:val="009F5675"/>
    <w:rsid w:val="009F58D2"/>
    <w:rsid w:val="009F595A"/>
    <w:rsid w:val="009F5DD4"/>
    <w:rsid w:val="009F631B"/>
    <w:rsid w:val="009F6D95"/>
    <w:rsid w:val="009F6FC4"/>
    <w:rsid w:val="00A0008A"/>
    <w:rsid w:val="00A00D11"/>
    <w:rsid w:val="00A00E59"/>
    <w:rsid w:val="00A0171C"/>
    <w:rsid w:val="00A01729"/>
    <w:rsid w:val="00A02317"/>
    <w:rsid w:val="00A02C9A"/>
    <w:rsid w:val="00A02F62"/>
    <w:rsid w:val="00A036DC"/>
    <w:rsid w:val="00A03C36"/>
    <w:rsid w:val="00A03DC9"/>
    <w:rsid w:val="00A0477B"/>
    <w:rsid w:val="00A0579E"/>
    <w:rsid w:val="00A05B17"/>
    <w:rsid w:val="00A05BCE"/>
    <w:rsid w:val="00A06834"/>
    <w:rsid w:val="00A0780E"/>
    <w:rsid w:val="00A07EE1"/>
    <w:rsid w:val="00A07F82"/>
    <w:rsid w:val="00A107D9"/>
    <w:rsid w:val="00A10BC5"/>
    <w:rsid w:val="00A11D72"/>
    <w:rsid w:val="00A122DB"/>
    <w:rsid w:val="00A12684"/>
    <w:rsid w:val="00A1340C"/>
    <w:rsid w:val="00A1346E"/>
    <w:rsid w:val="00A13A68"/>
    <w:rsid w:val="00A14CC4"/>
    <w:rsid w:val="00A14CD5"/>
    <w:rsid w:val="00A14FB1"/>
    <w:rsid w:val="00A15654"/>
    <w:rsid w:val="00A15DCE"/>
    <w:rsid w:val="00A16014"/>
    <w:rsid w:val="00A162A8"/>
    <w:rsid w:val="00A1651C"/>
    <w:rsid w:val="00A1669D"/>
    <w:rsid w:val="00A16785"/>
    <w:rsid w:val="00A168EF"/>
    <w:rsid w:val="00A170F2"/>
    <w:rsid w:val="00A17279"/>
    <w:rsid w:val="00A174DF"/>
    <w:rsid w:val="00A17547"/>
    <w:rsid w:val="00A2007D"/>
    <w:rsid w:val="00A201D0"/>
    <w:rsid w:val="00A20407"/>
    <w:rsid w:val="00A20C89"/>
    <w:rsid w:val="00A213BA"/>
    <w:rsid w:val="00A21731"/>
    <w:rsid w:val="00A22032"/>
    <w:rsid w:val="00A221EE"/>
    <w:rsid w:val="00A22571"/>
    <w:rsid w:val="00A229F3"/>
    <w:rsid w:val="00A22FC0"/>
    <w:rsid w:val="00A22FFD"/>
    <w:rsid w:val="00A23A52"/>
    <w:rsid w:val="00A24228"/>
    <w:rsid w:val="00A24619"/>
    <w:rsid w:val="00A24B09"/>
    <w:rsid w:val="00A24EB5"/>
    <w:rsid w:val="00A25103"/>
    <w:rsid w:val="00A252DE"/>
    <w:rsid w:val="00A252FB"/>
    <w:rsid w:val="00A254AB"/>
    <w:rsid w:val="00A26933"/>
    <w:rsid w:val="00A26EC9"/>
    <w:rsid w:val="00A30046"/>
    <w:rsid w:val="00A301C8"/>
    <w:rsid w:val="00A303B8"/>
    <w:rsid w:val="00A308A2"/>
    <w:rsid w:val="00A3092D"/>
    <w:rsid w:val="00A309D5"/>
    <w:rsid w:val="00A31699"/>
    <w:rsid w:val="00A316F6"/>
    <w:rsid w:val="00A31CD8"/>
    <w:rsid w:val="00A3213C"/>
    <w:rsid w:val="00A32746"/>
    <w:rsid w:val="00A32AB5"/>
    <w:rsid w:val="00A32D28"/>
    <w:rsid w:val="00A33165"/>
    <w:rsid w:val="00A33791"/>
    <w:rsid w:val="00A34383"/>
    <w:rsid w:val="00A34387"/>
    <w:rsid w:val="00A3490C"/>
    <w:rsid w:val="00A34E55"/>
    <w:rsid w:val="00A35606"/>
    <w:rsid w:val="00A35C0B"/>
    <w:rsid w:val="00A3747D"/>
    <w:rsid w:val="00A37888"/>
    <w:rsid w:val="00A37B5E"/>
    <w:rsid w:val="00A40D6F"/>
    <w:rsid w:val="00A412CD"/>
    <w:rsid w:val="00A41383"/>
    <w:rsid w:val="00A41B14"/>
    <w:rsid w:val="00A41DDF"/>
    <w:rsid w:val="00A41E9F"/>
    <w:rsid w:val="00A42238"/>
    <w:rsid w:val="00A4304B"/>
    <w:rsid w:val="00A43290"/>
    <w:rsid w:val="00A432D1"/>
    <w:rsid w:val="00A43D58"/>
    <w:rsid w:val="00A44071"/>
    <w:rsid w:val="00A44505"/>
    <w:rsid w:val="00A4490E"/>
    <w:rsid w:val="00A44D4E"/>
    <w:rsid w:val="00A45667"/>
    <w:rsid w:val="00A4566C"/>
    <w:rsid w:val="00A461A5"/>
    <w:rsid w:val="00A461EE"/>
    <w:rsid w:val="00A4697B"/>
    <w:rsid w:val="00A46C4E"/>
    <w:rsid w:val="00A46D9A"/>
    <w:rsid w:val="00A470B1"/>
    <w:rsid w:val="00A478E8"/>
    <w:rsid w:val="00A47900"/>
    <w:rsid w:val="00A5006F"/>
    <w:rsid w:val="00A50650"/>
    <w:rsid w:val="00A50A97"/>
    <w:rsid w:val="00A50BEA"/>
    <w:rsid w:val="00A50DFC"/>
    <w:rsid w:val="00A51164"/>
    <w:rsid w:val="00A512FC"/>
    <w:rsid w:val="00A515B2"/>
    <w:rsid w:val="00A515C4"/>
    <w:rsid w:val="00A51C49"/>
    <w:rsid w:val="00A51E39"/>
    <w:rsid w:val="00A524B1"/>
    <w:rsid w:val="00A52F8C"/>
    <w:rsid w:val="00A538F6"/>
    <w:rsid w:val="00A539AD"/>
    <w:rsid w:val="00A53D0E"/>
    <w:rsid w:val="00A5449E"/>
    <w:rsid w:val="00A54B05"/>
    <w:rsid w:val="00A5597F"/>
    <w:rsid w:val="00A55B53"/>
    <w:rsid w:val="00A563C9"/>
    <w:rsid w:val="00A564AF"/>
    <w:rsid w:val="00A56855"/>
    <w:rsid w:val="00A57655"/>
    <w:rsid w:val="00A57C64"/>
    <w:rsid w:val="00A57D99"/>
    <w:rsid w:val="00A57DA1"/>
    <w:rsid w:val="00A57FB0"/>
    <w:rsid w:val="00A602E3"/>
    <w:rsid w:val="00A608DF"/>
    <w:rsid w:val="00A60FAE"/>
    <w:rsid w:val="00A61007"/>
    <w:rsid w:val="00A614F6"/>
    <w:rsid w:val="00A62269"/>
    <w:rsid w:val="00A628A3"/>
    <w:rsid w:val="00A62911"/>
    <w:rsid w:val="00A629A3"/>
    <w:rsid w:val="00A62F84"/>
    <w:rsid w:val="00A640A9"/>
    <w:rsid w:val="00A64A70"/>
    <w:rsid w:val="00A64B6F"/>
    <w:rsid w:val="00A65034"/>
    <w:rsid w:val="00A658FF"/>
    <w:rsid w:val="00A6599A"/>
    <w:rsid w:val="00A65D9A"/>
    <w:rsid w:val="00A673D9"/>
    <w:rsid w:val="00A67776"/>
    <w:rsid w:val="00A6789E"/>
    <w:rsid w:val="00A67A9C"/>
    <w:rsid w:val="00A67EC4"/>
    <w:rsid w:val="00A708EB"/>
    <w:rsid w:val="00A71029"/>
    <w:rsid w:val="00A713DE"/>
    <w:rsid w:val="00A7143D"/>
    <w:rsid w:val="00A71638"/>
    <w:rsid w:val="00A71866"/>
    <w:rsid w:val="00A71B61"/>
    <w:rsid w:val="00A72279"/>
    <w:rsid w:val="00A723B1"/>
    <w:rsid w:val="00A724BE"/>
    <w:rsid w:val="00A7273A"/>
    <w:rsid w:val="00A72964"/>
    <w:rsid w:val="00A729E3"/>
    <w:rsid w:val="00A72E7F"/>
    <w:rsid w:val="00A735F1"/>
    <w:rsid w:val="00A73608"/>
    <w:rsid w:val="00A747DA"/>
    <w:rsid w:val="00A753E4"/>
    <w:rsid w:val="00A759B0"/>
    <w:rsid w:val="00A75A41"/>
    <w:rsid w:val="00A760F4"/>
    <w:rsid w:val="00A7639E"/>
    <w:rsid w:val="00A76E71"/>
    <w:rsid w:val="00A7715C"/>
    <w:rsid w:val="00A774F2"/>
    <w:rsid w:val="00A800F2"/>
    <w:rsid w:val="00A8069F"/>
    <w:rsid w:val="00A80CA0"/>
    <w:rsid w:val="00A80F26"/>
    <w:rsid w:val="00A81035"/>
    <w:rsid w:val="00A81516"/>
    <w:rsid w:val="00A8181F"/>
    <w:rsid w:val="00A81B38"/>
    <w:rsid w:val="00A821C8"/>
    <w:rsid w:val="00A82771"/>
    <w:rsid w:val="00A82822"/>
    <w:rsid w:val="00A82845"/>
    <w:rsid w:val="00A829BB"/>
    <w:rsid w:val="00A82AA7"/>
    <w:rsid w:val="00A83039"/>
    <w:rsid w:val="00A8344D"/>
    <w:rsid w:val="00A835CD"/>
    <w:rsid w:val="00A83D4E"/>
    <w:rsid w:val="00A8408E"/>
    <w:rsid w:val="00A844E4"/>
    <w:rsid w:val="00A847DF"/>
    <w:rsid w:val="00A857BD"/>
    <w:rsid w:val="00A857DD"/>
    <w:rsid w:val="00A85AFE"/>
    <w:rsid w:val="00A85E4C"/>
    <w:rsid w:val="00A8611E"/>
    <w:rsid w:val="00A8685C"/>
    <w:rsid w:val="00A86F84"/>
    <w:rsid w:val="00A86FF4"/>
    <w:rsid w:val="00A87270"/>
    <w:rsid w:val="00A87504"/>
    <w:rsid w:val="00A879BA"/>
    <w:rsid w:val="00A87B1A"/>
    <w:rsid w:val="00A87D16"/>
    <w:rsid w:val="00A90101"/>
    <w:rsid w:val="00A902CF"/>
    <w:rsid w:val="00A90F19"/>
    <w:rsid w:val="00A91EAD"/>
    <w:rsid w:val="00A9205E"/>
    <w:rsid w:val="00A92347"/>
    <w:rsid w:val="00A92879"/>
    <w:rsid w:val="00A92955"/>
    <w:rsid w:val="00A92B5C"/>
    <w:rsid w:val="00A930E3"/>
    <w:rsid w:val="00A931A4"/>
    <w:rsid w:val="00A94318"/>
    <w:rsid w:val="00A94F5C"/>
    <w:rsid w:val="00A953C0"/>
    <w:rsid w:val="00A95C29"/>
    <w:rsid w:val="00A960B6"/>
    <w:rsid w:val="00A963BB"/>
    <w:rsid w:val="00A97120"/>
    <w:rsid w:val="00A97164"/>
    <w:rsid w:val="00A97464"/>
    <w:rsid w:val="00A979F1"/>
    <w:rsid w:val="00A97CCE"/>
    <w:rsid w:val="00AA009F"/>
    <w:rsid w:val="00AA053E"/>
    <w:rsid w:val="00AA0999"/>
    <w:rsid w:val="00AA09A3"/>
    <w:rsid w:val="00AA1112"/>
    <w:rsid w:val="00AA127F"/>
    <w:rsid w:val="00AA1A96"/>
    <w:rsid w:val="00AA1BB2"/>
    <w:rsid w:val="00AA203C"/>
    <w:rsid w:val="00AA20E0"/>
    <w:rsid w:val="00AA2599"/>
    <w:rsid w:val="00AA2FD9"/>
    <w:rsid w:val="00AA39C4"/>
    <w:rsid w:val="00AA3B33"/>
    <w:rsid w:val="00AA3E8F"/>
    <w:rsid w:val="00AA408E"/>
    <w:rsid w:val="00AA40DE"/>
    <w:rsid w:val="00AA4849"/>
    <w:rsid w:val="00AA52A2"/>
    <w:rsid w:val="00AA531B"/>
    <w:rsid w:val="00AA5451"/>
    <w:rsid w:val="00AA5FBA"/>
    <w:rsid w:val="00AA6100"/>
    <w:rsid w:val="00AA645A"/>
    <w:rsid w:val="00AA6746"/>
    <w:rsid w:val="00AA72E5"/>
    <w:rsid w:val="00AA739B"/>
    <w:rsid w:val="00AA73DE"/>
    <w:rsid w:val="00AA7C2A"/>
    <w:rsid w:val="00AB0F1B"/>
    <w:rsid w:val="00AB1C8E"/>
    <w:rsid w:val="00AB298D"/>
    <w:rsid w:val="00AB2BC5"/>
    <w:rsid w:val="00AB2C21"/>
    <w:rsid w:val="00AB2F2F"/>
    <w:rsid w:val="00AB3576"/>
    <w:rsid w:val="00AB3FA4"/>
    <w:rsid w:val="00AB426F"/>
    <w:rsid w:val="00AB46D6"/>
    <w:rsid w:val="00AB4898"/>
    <w:rsid w:val="00AB49D7"/>
    <w:rsid w:val="00AB52EC"/>
    <w:rsid w:val="00AB58F4"/>
    <w:rsid w:val="00AB674A"/>
    <w:rsid w:val="00AB6DC9"/>
    <w:rsid w:val="00AB6FA1"/>
    <w:rsid w:val="00AB713F"/>
    <w:rsid w:val="00AB745E"/>
    <w:rsid w:val="00AC026B"/>
    <w:rsid w:val="00AC03BC"/>
    <w:rsid w:val="00AC08A7"/>
    <w:rsid w:val="00AC1552"/>
    <w:rsid w:val="00AC1563"/>
    <w:rsid w:val="00AC168B"/>
    <w:rsid w:val="00AC1958"/>
    <w:rsid w:val="00AC1C4E"/>
    <w:rsid w:val="00AC24A6"/>
    <w:rsid w:val="00AC2586"/>
    <w:rsid w:val="00AC25A3"/>
    <w:rsid w:val="00AC2F75"/>
    <w:rsid w:val="00AC31AD"/>
    <w:rsid w:val="00AC3397"/>
    <w:rsid w:val="00AC3A5E"/>
    <w:rsid w:val="00AC3B61"/>
    <w:rsid w:val="00AC3D27"/>
    <w:rsid w:val="00AC3F33"/>
    <w:rsid w:val="00AC4201"/>
    <w:rsid w:val="00AC4395"/>
    <w:rsid w:val="00AC4408"/>
    <w:rsid w:val="00AC460E"/>
    <w:rsid w:val="00AC4B22"/>
    <w:rsid w:val="00AC4E9B"/>
    <w:rsid w:val="00AC5CC5"/>
    <w:rsid w:val="00AC73FB"/>
    <w:rsid w:val="00AC7C2F"/>
    <w:rsid w:val="00AD0810"/>
    <w:rsid w:val="00AD0831"/>
    <w:rsid w:val="00AD22D8"/>
    <w:rsid w:val="00AD2D84"/>
    <w:rsid w:val="00AD2F2A"/>
    <w:rsid w:val="00AD32AC"/>
    <w:rsid w:val="00AD383B"/>
    <w:rsid w:val="00AD3D90"/>
    <w:rsid w:val="00AD45AA"/>
    <w:rsid w:val="00AD4920"/>
    <w:rsid w:val="00AD4B3E"/>
    <w:rsid w:val="00AD4FB0"/>
    <w:rsid w:val="00AD56A2"/>
    <w:rsid w:val="00AD62BB"/>
    <w:rsid w:val="00AD6970"/>
    <w:rsid w:val="00AD722B"/>
    <w:rsid w:val="00AD7FDE"/>
    <w:rsid w:val="00AE02E5"/>
    <w:rsid w:val="00AE0407"/>
    <w:rsid w:val="00AE07DF"/>
    <w:rsid w:val="00AE08BB"/>
    <w:rsid w:val="00AE0A7D"/>
    <w:rsid w:val="00AE10A2"/>
    <w:rsid w:val="00AE127D"/>
    <w:rsid w:val="00AE15B9"/>
    <w:rsid w:val="00AE1755"/>
    <w:rsid w:val="00AE1B23"/>
    <w:rsid w:val="00AE1BF5"/>
    <w:rsid w:val="00AE1C43"/>
    <w:rsid w:val="00AE2041"/>
    <w:rsid w:val="00AE20C9"/>
    <w:rsid w:val="00AE2DC3"/>
    <w:rsid w:val="00AE2F7D"/>
    <w:rsid w:val="00AE2FBE"/>
    <w:rsid w:val="00AE3426"/>
    <w:rsid w:val="00AE357F"/>
    <w:rsid w:val="00AE38DB"/>
    <w:rsid w:val="00AE3CE4"/>
    <w:rsid w:val="00AE4D6B"/>
    <w:rsid w:val="00AE5A56"/>
    <w:rsid w:val="00AE5C89"/>
    <w:rsid w:val="00AE642D"/>
    <w:rsid w:val="00AE65B2"/>
    <w:rsid w:val="00AE6B50"/>
    <w:rsid w:val="00AE74EB"/>
    <w:rsid w:val="00AE7AA6"/>
    <w:rsid w:val="00AF0217"/>
    <w:rsid w:val="00AF03A2"/>
    <w:rsid w:val="00AF0578"/>
    <w:rsid w:val="00AF0861"/>
    <w:rsid w:val="00AF0DB2"/>
    <w:rsid w:val="00AF1319"/>
    <w:rsid w:val="00AF1507"/>
    <w:rsid w:val="00AF1D63"/>
    <w:rsid w:val="00AF1EB2"/>
    <w:rsid w:val="00AF1ED1"/>
    <w:rsid w:val="00AF21C2"/>
    <w:rsid w:val="00AF239F"/>
    <w:rsid w:val="00AF3B0F"/>
    <w:rsid w:val="00AF3E3E"/>
    <w:rsid w:val="00AF3F41"/>
    <w:rsid w:val="00AF4506"/>
    <w:rsid w:val="00AF46BC"/>
    <w:rsid w:val="00AF4A41"/>
    <w:rsid w:val="00AF4F5E"/>
    <w:rsid w:val="00AF5514"/>
    <w:rsid w:val="00AF55FC"/>
    <w:rsid w:val="00AF5A81"/>
    <w:rsid w:val="00AF5F85"/>
    <w:rsid w:val="00AF62E3"/>
    <w:rsid w:val="00AF68BF"/>
    <w:rsid w:val="00AF6DB8"/>
    <w:rsid w:val="00B003DD"/>
    <w:rsid w:val="00B00849"/>
    <w:rsid w:val="00B008AE"/>
    <w:rsid w:val="00B00D8A"/>
    <w:rsid w:val="00B00E90"/>
    <w:rsid w:val="00B00EAD"/>
    <w:rsid w:val="00B01090"/>
    <w:rsid w:val="00B012EB"/>
    <w:rsid w:val="00B01945"/>
    <w:rsid w:val="00B024F5"/>
    <w:rsid w:val="00B02847"/>
    <w:rsid w:val="00B02A8E"/>
    <w:rsid w:val="00B031C8"/>
    <w:rsid w:val="00B03EC3"/>
    <w:rsid w:val="00B03F6F"/>
    <w:rsid w:val="00B050CE"/>
    <w:rsid w:val="00B055CD"/>
    <w:rsid w:val="00B056DA"/>
    <w:rsid w:val="00B05F4E"/>
    <w:rsid w:val="00B05F5E"/>
    <w:rsid w:val="00B06317"/>
    <w:rsid w:val="00B06856"/>
    <w:rsid w:val="00B0712B"/>
    <w:rsid w:val="00B0713D"/>
    <w:rsid w:val="00B072B0"/>
    <w:rsid w:val="00B074E3"/>
    <w:rsid w:val="00B100CE"/>
    <w:rsid w:val="00B10770"/>
    <w:rsid w:val="00B109C8"/>
    <w:rsid w:val="00B10CAC"/>
    <w:rsid w:val="00B10F3A"/>
    <w:rsid w:val="00B11902"/>
    <w:rsid w:val="00B11BE8"/>
    <w:rsid w:val="00B13114"/>
    <w:rsid w:val="00B13365"/>
    <w:rsid w:val="00B13B6F"/>
    <w:rsid w:val="00B13C90"/>
    <w:rsid w:val="00B1463F"/>
    <w:rsid w:val="00B1469E"/>
    <w:rsid w:val="00B146F2"/>
    <w:rsid w:val="00B15374"/>
    <w:rsid w:val="00B153E0"/>
    <w:rsid w:val="00B15ECD"/>
    <w:rsid w:val="00B16234"/>
    <w:rsid w:val="00B16C2A"/>
    <w:rsid w:val="00B177AF"/>
    <w:rsid w:val="00B17AC0"/>
    <w:rsid w:val="00B17E73"/>
    <w:rsid w:val="00B20198"/>
    <w:rsid w:val="00B20664"/>
    <w:rsid w:val="00B21202"/>
    <w:rsid w:val="00B21298"/>
    <w:rsid w:val="00B21749"/>
    <w:rsid w:val="00B21F12"/>
    <w:rsid w:val="00B21F57"/>
    <w:rsid w:val="00B22A39"/>
    <w:rsid w:val="00B22E53"/>
    <w:rsid w:val="00B23D9D"/>
    <w:rsid w:val="00B244C4"/>
    <w:rsid w:val="00B24A2A"/>
    <w:rsid w:val="00B24B43"/>
    <w:rsid w:val="00B25179"/>
    <w:rsid w:val="00B255A0"/>
    <w:rsid w:val="00B2596D"/>
    <w:rsid w:val="00B261B2"/>
    <w:rsid w:val="00B262E0"/>
    <w:rsid w:val="00B2661B"/>
    <w:rsid w:val="00B2725F"/>
    <w:rsid w:val="00B2767E"/>
    <w:rsid w:val="00B27AD3"/>
    <w:rsid w:val="00B30190"/>
    <w:rsid w:val="00B3024C"/>
    <w:rsid w:val="00B30A76"/>
    <w:rsid w:val="00B3109A"/>
    <w:rsid w:val="00B31526"/>
    <w:rsid w:val="00B31600"/>
    <w:rsid w:val="00B31F0D"/>
    <w:rsid w:val="00B32A7B"/>
    <w:rsid w:val="00B32C01"/>
    <w:rsid w:val="00B3354E"/>
    <w:rsid w:val="00B34372"/>
    <w:rsid w:val="00B345C8"/>
    <w:rsid w:val="00B348D3"/>
    <w:rsid w:val="00B34950"/>
    <w:rsid w:val="00B34A56"/>
    <w:rsid w:val="00B34FA5"/>
    <w:rsid w:val="00B35033"/>
    <w:rsid w:val="00B35056"/>
    <w:rsid w:val="00B352AB"/>
    <w:rsid w:val="00B35386"/>
    <w:rsid w:val="00B3559B"/>
    <w:rsid w:val="00B35815"/>
    <w:rsid w:val="00B35C8E"/>
    <w:rsid w:val="00B35CB0"/>
    <w:rsid w:val="00B36368"/>
    <w:rsid w:val="00B36EB3"/>
    <w:rsid w:val="00B37011"/>
    <w:rsid w:val="00B370D7"/>
    <w:rsid w:val="00B37461"/>
    <w:rsid w:val="00B3784C"/>
    <w:rsid w:val="00B37E0C"/>
    <w:rsid w:val="00B40561"/>
    <w:rsid w:val="00B40674"/>
    <w:rsid w:val="00B41414"/>
    <w:rsid w:val="00B41EB3"/>
    <w:rsid w:val="00B42B26"/>
    <w:rsid w:val="00B42BFA"/>
    <w:rsid w:val="00B43404"/>
    <w:rsid w:val="00B43668"/>
    <w:rsid w:val="00B4456A"/>
    <w:rsid w:val="00B44A52"/>
    <w:rsid w:val="00B4514D"/>
    <w:rsid w:val="00B4520D"/>
    <w:rsid w:val="00B45272"/>
    <w:rsid w:val="00B45482"/>
    <w:rsid w:val="00B46065"/>
    <w:rsid w:val="00B46DA7"/>
    <w:rsid w:val="00B47105"/>
    <w:rsid w:val="00B473C6"/>
    <w:rsid w:val="00B475D6"/>
    <w:rsid w:val="00B478B1"/>
    <w:rsid w:val="00B479E6"/>
    <w:rsid w:val="00B47ABB"/>
    <w:rsid w:val="00B47F62"/>
    <w:rsid w:val="00B501BA"/>
    <w:rsid w:val="00B515C4"/>
    <w:rsid w:val="00B5211F"/>
    <w:rsid w:val="00B5303D"/>
    <w:rsid w:val="00B53845"/>
    <w:rsid w:val="00B541EC"/>
    <w:rsid w:val="00B54499"/>
    <w:rsid w:val="00B54796"/>
    <w:rsid w:val="00B54D3D"/>
    <w:rsid w:val="00B54E3A"/>
    <w:rsid w:val="00B551C1"/>
    <w:rsid w:val="00B55333"/>
    <w:rsid w:val="00B55460"/>
    <w:rsid w:val="00B5562B"/>
    <w:rsid w:val="00B57560"/>
    <w:rsid w:val="00B575A4"/>
    <w:rsid w:val="00B57869"/>
    <w:rsid w:val="00B57AEC"/>
    <w:rsid w:val="00B57EB5"/>
    <w:rsid w:val="00B603D1"/>
    <w:rsid w:val="00B60CD4"/>
    <w:rsid w:val="00B61705"/>
    <w:rsid w:val="00B62C95"/>
    <w:rsid w:val="00B63019"/>
    <w:rsid w:val="00B642E2"/>
    <w:rsid w:val="00B64832"/>
    <w:rsid w:val="00B64E39"/>
    <w:rsid w:val="00B6595D"/>
    <w:rsid w:val="00B65C10"/>
    <w:rsid w:val="00B66075"/>
    <w:rsid w:val="00B66432"/>
    <w:rsid w:val="00B664CF"/>
    <w:rsid w:val="00B66B7B"/>
    <w:rsid w:val="00B66D6E"/>
    <w:rsid w:val="00B66E82"/>
    <w:rsid w:val="00B67355"/>
    <w:rsid w:val="00B6752C"/>
    <w:rsid w:val="00B67CCB"/>
    <w:rsid w:val="00B7012A"/>
    <w:rsid w:val="00B702B1"/>
    <w:rsid w:val="00B704F1"/>
    <w:rsid w:val="00B70A6F"/>
    <w:rsid w:val="00B71035"/>
    <w:rsid w:val="00B713B8"/>
    <w:rsid w:val="00B71B6E"/>
    <w:rsid w:val="00B71C74"/>
    <w:rsid w:val="00B72268"/>
    <w:rsid w:val="00B72690"/>
    <w:rsid w:val="00B72C63"/>
    <w:rsid w:val="00B73ACB"/>
    <w:rsid w:val="00B7442A"/>
    <w:rsid w:val="00B749B5"/>
    <w:rsid w:val="00B75284"/>
    <w:rsid w:val="00B756B9"/>
    <w:rsid w:val="00B75C9F"/>
    <w:rsid w:val="00B7616F"/>
    <w:rsid w:val="00B76398"/>
    <w:rsid w:val="00B7677D"/>
    <w:rsid w:val="00B7679A"/>
    <w:rsid w:val="00B767EA"/>
    <w:rsid w:val="00B77305"/>
    <w:rsid w:val="00B777FE"/>
    <w:rsid w:val="00B77A1A"/>
    <w:rsid w:val="00B77E23"/>
    <w:rsid w:val="00B8037C"/>
    <w:rsid w:val="00B80AFA"/>
    <w:rsid w:val="00B810CA"/>
    <w:rsid w:val="00B81E4D"/>
    <w:rsid w:val="00B81F0E"/>
    <w:rsid w:val="00B82165"/>
    <w:rsid w:val="00B825E7"/>
    <w:rsid w:val="00B82889"/>
    <w:rsid w:val="00B82A84"/>
    <w:rsid w:val="00B82DAC"/>
    <w:rsid w:val="00B83316"/>
    <w:rsid w:val="00B839A3"/>
    <w:rsid w:val="00B83BE3"/>
    <w:rsid w:val="00B841A8"/>
    <w:rsid w:val="00B8468D"/>
    <w:rsid w:val="00B84953"/>
    <w:rsid w:val="00B85C7F"/>
    <w:rsid w:val="00B86102"/>
    <w:rsid w:val="00B8676F"/>
    <w:rsid w:val="00B869D3"/>
    <w:rsid w:val="00B87430"/>
    <w:rsid w:val="00B87AE2"/>
    <w:rsid w:val="00B91134"/>
    <w:rsid w:val="00B9142D"/>
    <w:rsid w:val="00B9230B"/>
    <w:rsid w:val="00B92479"/>
    <w:rsid w:val="00B9302F"/>
    <w:rsid w:val="00B93586"/>
    <w:rsid w:val="00B94477"/>
    <w:rsid w:val="00B9467E"/>
    <w:rsid w:val="00B94715"/>
    <w:rsid w:val="00B949B1"/>
    <w:rsid w:val="00B94A54"/>
    <w:rsid w:val="00B9562B"/>
    <w:rsid w:val="00B95828"/>
    <w:rsid w:val="00B96584"/>
    <w:rsid w:val="00B96C44"/>
    <w:rsid w:val="00B96DAD"/>
    <w:rsid w:val="00B96EFE"/>
    <w:rsid w:val="00B96FE5"/>
    <w:rsid w:val="00B9701A"/>
    <w:rsid w:val="00B97D1D"/>
    <w:rsid w:val="00B97FED"/>
    <w:rsid w:val="00BA175C"/>
    <w:rsid w:val="00BA18F8"/>
    <w:rsid w:val="00BA1DAC"/>
    <w:rsid w:val="00BA226E"/>
    <w:rsid w:val="00BA26EE"/>
    <w:rsid w:val="00BA2D1B"/>
    <w:rsid w:val="00BA3102"/>
    <w:rsid w:val="00BA3626"/>
    <w:rsid w:val="00BA371A"/>
    <w:rsid w:val="00BA39EF"/>
    <w:rsid w:val="00BA40EA"/>
    <w:rsid w:val="00BA4313"/>
    <w:rsid w:val="00BA4B1A"/>
    <w:rsid w:val="00BA4B3C"/>
    <w:rsid w:val="00BA4B55"/>
    <w:rsid w:val="00BA4BB7"/>
    <w:rsid w:val="00BA50F3"/>
    <w:rsid w:val="00BA5880"/>
    <w:rsid w:val="00BA5BEE"/>
    <w:rsid w:val="00BA5E20"/>
    <w:rsid w:val="00BA634E"/>
    <w:rsid w:val="00BA717E"/>
    <w:rsid w:val="00BA7AEC"/>
    <w:rsid w:val="00BA7C7F"/>
    <w:rsid w:val="00BA7DA7"/>
    <w:rsid w:val="00BA7DAC"/>
    <w:rsid w:val="00BB0A90"/>
    <w:rsid w:val="00BB0C4C"/>
    <w:rsid w:val="00BB0FDB"/>
    <w:rsid w:val="00BB10AE"/>
    <w:rsid w:val="00BB1D74"/>
    <w:rsid w:val="00BB1DA0"/>
    <w:rsid w:val="00BB21D2"/>
    <w:rsid w:val="00BB280A"/>
    <w:rsid w:val="00BB2D78"/>
    <w:rsid w:val="00BB2FC8"/>
    <w:rsid w:val="00BB378B"/>
    <w:rsid w:val="00BB3F4A"/>
    <w:rsid w:val="00BB4202"/>
    <w:rsid w:val="00BB4570"/>
    <w:rsid w:val="00BB48BC"/>
    <w:rsid w:val="00BB4C24"/>
    <w:rsid w:val="00BB4D77"/>
    <w:rsid w:val="00BB4FBC"/>
    <w:rsid w:val="00BB524B"/>
    <w:rsid w:val="00BB53F7"/>
    <w:rsid w:val="00BB545C"/>
    <w:rsid w:val="00BB571A"/>
    <w:rsid w:val="00BB593A"/>
    <w:rsid w:val="00BB6227"/>
    <w:rsid w:val="00BB6843"/>
    <w:rsid w:val="00BB707F"/>
    <w:rsid w:val="00BB7720"/>
    <w:rsid w:val="00BB7F86"/>
    <w:rsid w:val="00BC078F"/>
    <w:rsid w:val="00BC13FE"/>
    <w:rsid w:val="00BC142F"/>
    <w:rsid w:val="00BC15F9"/>
    <w:rsid w:val="00BC2509"/>
    <w:rsid w:val="00BC2AB4"/>
    <w:rsid w:val="00BC2B27"/>
    <w:rsid w:val="00BC3107"/>
    <w:rsid w:val="00BC3217"/>
    <w:rsid w:val="00BC34D0"/>
    <w:rsid w:val="00BC3642"/>
    <w:rsid w:val="00BC3EA9"/>
    <w:rsid w:val="00BC4431"/>
    <w:rsid w:val="00BC4509"/>
    <w:rsid w:val="00BC4AEF"/>
    <w:rsid w:val="00BC5439"/>
    <w:rsid w:val="00BC5C79"/>
    <w:rsid w:val="00BC6082"/>
    <w:rsid w:val="00BC61BD"/>
    <w:rsid w:val="00BC65EA"/>
    <w:rsid w:val="00BC6903"/>
    <w:rsid w:val="00BC7620"/>
    <w:rsid w:val="00BD0727"/>
    <w:rsid w:val="00BD1114"/>
    <w:rsid w:val="00BD1169"/>
    <w:rsid w:val="00BD13B9"/>
    <w:rsid w:val="00BD14BA"/>
    <w:rsid w:val="00BD192E"/>
    <w:rsid w:val="00BD1EB7"/>
    <w:rsid w:val="00BD29B2"/>
    <w:rsid w:val="00BD2F1E"/>
    <w:rsid w:val="00BD3094"/>
    <w:rsid w:val="00BD37E1"/>
    <w:rsid w:val="00BD4F93"/>
    <w:rsid w:val="00BD577B"/>
    <w:rsid w:val="00BD592A"/>
    <w:rsid w:val="00BD592D"/>
    <w:rsid w:val="00BD5CAD"/>
    <w:rsid w:val="00BD6E1C"/>
    <w:rsid w:val="00BD7064"/>
    <w:rsid w:val="00BD733D"/>
    <w:rsid w:val="00BD749C"/>
    <w:rsid w:val="00BD76B5"/>
    <w:rsid w:val="00BD785A"/>
    <w:rsid w:val="00BD79C5"/>
    <w:rsid w:val="00BD7A53"/>
    <w:rsid w:val="00BE038B"/>
    <w:rsid w:val="00BE0737"/>
    <w:rsid w:val="00BE09B7"/>
    <w:rsid w:val="00BE0CB1"/>
    <w:rsid w:val="00BE0F6A"/>
    <w:rsid w:val="00BE17E6"/>
    <w:rsid w:val="00BE1936"/>
    <w:rsid w:val="00BE1C11"/>
    <w:rsid w:val="00BE1D00"/>
    <w:rsid w:val="00BE2599"/>
    <w:rsid w:val="00BE2BDF"/>
    <w:rsid w:val="00BE3435"/>
    <w:rsid w:val="00BE3AC5"/>
    <w:rsid w:val="00BE3EAA"/>
    <w:rsid w:val="00BE410D"/>
    <w:rsid w:val="00BE46B5"/>
    <w:rsid w:val="00BE47D2"/>
    <w:rsid w:val="00BE5076"/>
    <w:rsid w:val="00BE5677"/>
    <w:rsid w:val="00BE5C93"/>
    <w:rsid w:val="00BE6B26"/>
    <w:rsid w:val="00BE6DB6"/>
    <w:rsid w:val="00BE72EE"/>
    <w:rsid w:val="00BE733D"/>
    <w:rsid w:val="00BE76BA"/>
    <w:rsid w:val="00BF02E4"/>
    <w:rsid w:val="00BF0536"/>
    <w:rsid w:val="00BF073B"/>
    <w:rsid w:val="00BF0959"/>
    <w:rsid w:val="00BF132B"/>
    <w:rsid w:val="00BF138D"/>
    <w:rsid w:val="00BF15C9"/>
    <w:rsid w:val="00BF24C0"/>
    <w:rsid w:val="00BF2808"/>
    <w:rsid w:val="00BF2C56"/>
    <w:rsid w:val="00BF2FD0"/>
    <w:rsid w:val="00BF32AF"/>
    <w:rsid w:val="00BF3327"/>
    <w:rsid w:val="00BF354D"/>
    <w:rsid w:val="00BF3931"/>
    <w:rsid w:val="00BF56A2"/>
    <w:rsid w:val="00BF5D0A"/>
    <w:rsid w:val="00BF5D49"/>
    <w:rsid w:val="00BF63C5"/>
    <w:rsid w:val="00BF6BC3"/>
    <w:rsid w:val="00BF6C82"/>
    <w:rsid w:val="00BF6CE6"/>
    <w:rsid w:val="00BF793F"/>
    <w:rsid w:val="00BF7DEA"/>
    <w:rsid w:val="00C0092E"/>
    <w:rsid w:val="00C01F6C"/>
    <w:rsid w:val="00C02B43"/>
    <w:rsid w:val="00C02B63"/>
    <w:rsid w:val="00C02B81"/>
    <w:rsid w:val="00C0337F"/>
    <w:rsid w:val="00C036D5"/>
    <w:rsid w:val="00C038BC"/>
    <w:rsid w:val="00C04B3C"/>
    <w:rsid w:val="00C05091"/>
    <w:rsid w:val="00C051DB"/>
    <w:rsid w:val="00C05F8D"/>
    <w:rsid w:val="00C06E68"/>
    <w:rsid w:val="00C07047"/>
    <w:rsid w:val="00C077A6"/>
    <w:rsid w:val="00C07CF9"/>
    <w:rsid w:val="00C07D59"/>
    <w:rsid w:val="00C07E3D"/>
    <w:rsid w:val="00C07FB2"/>
    <w:rsid w:val="00C10326"/>
    <w:rsid w:val="00C1069E"/>
    <w:rsid w:val="00C10A5B"/>
    <w:rsid w:val="00C1112D"/>
    <w:rsid w:val="00C1214E"/>
    <w:rsid w:val="00C12FAA"/>
    <w:rsid w:val="00C14329"/>
    <w:rsid w:val="00C1459D"/>
    <w:rsid w:val="00C145D3"/>
    <w:rsid w:val="00C15258"/>
    <w:rsid w:val="00C15661"/>
    <w:rsid w:val="00C158A5"/>
    <w:rsid w:val="00C15C2B"/>
    <w:rsid w:val="00C16728"/>
    <w:rsid w:val="00C16DC6"/>
    <w:rsid w:val="00C1700B"/>
    <w:rsid w:val="00C17639"/>
    <w:rsid w:val="00C17C48"/>
    <w:rsid w:val="00C20158"/>
    <w:rsid w:val="00C204F3"/>
    <w:rsid w:val="00C20649"/>
    <w:rsid w:val="00C206E5"/>
    <w:rsid w:val="00C207CA"/>
    <w:rsid w:val="00C20DC0"/>
    <w:rsid w:val="00C2121E"/>
    <w:rsid w:val="00C21317"/>
    <w:rsid w:val="00C213BC"/>
    <w:rsid w:val="00C21661"/>
    <w:rsid w:val="00C21782"/>
    <w:rsid w:val="00C21899"/>
    <w:rsid w:val="00C21F33"/>
    <w:rsid w:val="00C224BE"/>
    <w:rsid w:val="00C22A17"/>
    <w:rsid w:val="00C2317A"/>
    <w:rsid w:val="00C23852"/>
    <w:rsid w:val="00C23A26"/>
    <w:rsid w:val="00C23B5E"/>
    <w:rsid w:val="00C24A6A"/>
    <w:rsid w:val="00C25293"/>
    <w:rsid w:val="00C2544C"/>
    <w:rsid w:val="00C25A1A"/>
    <w:rsid w:val="00C2678A"/>
    <w:rsid w:val="00C26B4C"/>
    <w:rsid w:val="00C26F6A"/>
    <w:rsid w:val="00C273CF"/>
    <w:rsid w:val="00C27D78"/>
    <w:rsid w:val="00C27FCD"/>
    <w:rsid w:val="00C27FF3"/>
    <w:rsid w:val="00C305A6"/>
    <w:rsid w:val="00C30667"/>
    <w:rsid w:val="00C3100E"/>
    <w:rsid w:val="00C32D8D"/>
    <w:rsid w:val="00C33649"/>
    <w:rsid w:val="00C33709"/>
    <w:rsid w:val="00C33757"/>
    <w:rsid w:val="00C33B30"/>
    <w:rsid w:val="00C33BAB"/>
    <w:rsid w:val="00C33C11"/>
    <w:rsid w:val="00C3487E"/>
    <w:rsid w:val="00C34A89"/>
    <w:rsid w:val="00C3539E"/>
    <w:rsid w:val="00C35514"/>
    <w:rsid w:val="00C35D85"/>
    <w:rsid w:val="00C36132"/>
    <w:rsid w:val="00C370F4"/>
    <w:rsid w:val="00C3718F"/>
    <w:rsid w:val="00C37191"/>
    <w:rsid w:val="00C37F3B"/>
    <w:rsid w:val="00C37F80"/>
    <w:rsid w:val="00C40A7D"/>
    <w:rsid w:val="00C40DC3"/>
    <w:rsid w:val="00C412F8"/>
    <w:rsid w:val="00C41818"/>
    <w:rsid w:val="00C41870"/>
    <w:rsid w:val="00C419BD"/>
    <w:rsid w:val="00C41DD1"/>
    <w:rsid w:val="00C4202F"/>
    <w:rsid w:val="00C42294"/>
    <w:rsid w:val="00C423D1"/>
    <w:rsid w:val="00C424D9"/>
    <w:rsid w:val="00C42786"/>
    <w:rsid w:val="00C42C99"/>
    <w:rsid w:val="00C43033"/>
    <w:rsid w:val="00C43191"/>
    <w:rsid w:val="00C43704"/>
    <w:rsid w:val="00C43FB0"/>
    <w:rsid w:val="00C44A31"/>
    <w:rsid w:val="00C44C22"/>
    <w:rsid w:val="00C45020"/>
    <w:rsid w:val="00C45340"/>
    <w:rsid w:val="00C456F7"/>
    <w:rsid w:val="00C463B9"/>
    <w:rsid w:val="00C46603"/>
    <w:rsid w:val="00C46756"/>
    <w:rsid w:val="00C46970"/>
    <w:rsid w:val="00C46CD0"/>
    <w:rsid w:val="00C46DFE"/>
    <w:rsid w:val="00C471F4"/>
    <w:rsid w:val="00C47581"/>
    <w:rsid w:val="00C47610"/>
    <w:rsid w:val="00C47ECF"/>
    <w:rsid w:val="00C501C8"/>
    <w:rsid w:val="00C50E52"/>
    <w:rsid w:val="00C51E9C"/>
    <w:rsid w:val="00C51ECC"/>
    <w:rsid w:val="00C52250"/>
    <w:rsid w:val="00C5248B"/>
    <w:rsid w:val="00C532F4"/>
    <w:rsid w:val="00C532F6"/>
    <w:rsid w:val="00C53550"/>
    <w:rsid w:val="00C53BF0"/>
    <w:rsid w:val="00C53D84"/>
    <w:rsid w:val="00C55092"/>
    <w:rsid w:val="00C5509C"/>
    <w:rsid w:val="00C555BB"/>
    <w:rsid w:val="00C557FA"/>
    <w:rsid w:val="00C55D31"/>
    <w:rsid w:val="00C568A6"/>
    <w:rsid w:val="00C5697F"/>
    <w:rsid w:val="00C56D05"/>
    <w:rsid w:val="00C56FA7"/>
    <w:rsid w:val="00C56FBA"/>
    <w:rsid w:val="00C57339"/>
    <w:rsid w:val="00C574C0"/>
    <w:rsid w:val="00C57720"/>
    <w:rsid w:val="00C579FA"/>
    <w:rsid w:val="00C57A4E"/>
    <w:rsid w:val="00C57BCC"/>
    <w:rsid w:val="00C57E84"/>
    <w:rsid w:val="00C60AD0"/>
    <w:rsid w:val="00C60F4B"/>
    <w:rsid w:val="00C61724"/>
    <w:rsid w:val="00C61BA9"/>
    <w:rsid w:val="00C6200B"/>
    <w:rsid w:val="00C62057"/>
    <w:rsid w:val="00C62284"/>
    <w:rsid w:val="00C624E8"/>
    <w:rsid w:val="00C627FC"/>
    <w:rsid w:val="00C62EA3"/>
    <w:rsid w:val="00C62FAA"/>
    <w:rsid w:val="00C635AE"/>
    <w:rsid w:val="00C63E05"/>
    <w:rsid w:val="00C6429D"/>
    <w:rsid w:val="00C64D55"/>
    <w:rsid w:val="00C65205"/>
    <w:rsid w:val="00C65BF9"/>
    <w:rsid w:val="00C65D15"/>
    <w:rsid w:val="00C65FE6"/>
    <w:rsid w:val="00C661A3"/>
    <w:rsid w:val="00C66C3D"/>
    <w:rsid w:val="00C677B6"/>
    <w:rsid w:val="00C67CCD"/>
    <w:rsid w:val="00C7007F"/>
    <w:rsid w:val="00C70C1A"/>
    <w:rsid w:val="00C70E48"/>
    <w:rsid w:val="00C71027"/>
    <w:rsid w:val="00C71C8B"/>
    <w:rsid w:val="00C71F2F"/>
    <w:rsid w:val="00C71FBA"/>
    <w:rsid w:val="00C72398"/>
    <w:rsid w:val="00C7252F"/>
    <w:rsid w:val="00C728EA"/>
    <w:rsid w:val="00C72A86"/>
    <w:rsid w:val="00C72BF6"/>
    <w:rsid w:val="00C73340"/>
    <w:rsid w:val="00C73572"/>
    <w:rsid w:val="00C73710"/>
    <w:rsid w:val="00C73CB5"/>
    <w:rsid w:val="00C73E73"/>
    <w:rsid w:val="00C74020"/>
    <w:rsid w:val="00C749F6"/>
    <w:rsid w:val="00C75B20"/>
    <w:rsid w:val="00C75B40"/>
    <w:rsid w:val="00C7635D"/>
    <w:rsid w:val="00C76B7D"/>
    <w:rsid w:val="00C76ECD"/>
    <w:rsid w:val="00C77C74"/>
    <w:rsid w:val="00C80093"/>
    <w:rsid w:val="00C805A7"/>
    <w:rsid w:val="00C808DA"/>
    <w:rsid w:val="00C80BE3"/>
    <w:rsid w:val="00C814FE"/>
    <w:rsid w:val="00C81FC5"/>
    <w:rsid w:val="00C82195"/>
    <w:rsid w:val="00C8229A"/>
    <w:rsid w:val="00C82653"/>
    <w:rsid w:val="00C82B14"/>
    <w:rsid w:val="00C82C8F"/>
    <w:rsid w:val="00C83229"/>
    <w:rsid w:val="00C83E0C"/>
    <w:rsid w:val="00C844A0"/>
    <w:rsid w:val="00C84740"/>
    <w:rsid w:val="00C84D9E"/>
    <w:rsid w:val="00C84F68"/>
    <w:rsid w:val="00C85546"/>
    <w:rsid w:val="00C857FD"/>
    <w:rsid w:val="00C85FC7"/>
    <w:rsid w:val="00C86201"/>
    <w:rsid w:val="00C86403"/>
    <w:rsid w:val="00C8666D"/>
    <w:rsid w:val="00C8674A"/>
    <w:rsid w:val="00C86A50"/>
    <w:rsid w:val="00C86E9C"/>
    <w:rsid w:val="00C872B9"/>
    <w:rsid w:val="00C87503"/>
    <w:rsid w:val="00C87A43"/>
    <w:rsid w:val="00C87B20"/>
    <w:rsid w:val="00C87B31"/>
    <w:rsid w:val="00C87C76"/>
    <w:rsid w:val="00C87D2D"/>
    <w:rsid w:val="00C87EB7"/>
    <w:rsid w:val="00C90AF4"/>
    <w:rsid w:val="00C90ED9"/>
    <w:rsid w:val="00C91097"/>
    <w:rsid w:val="00C911C9"/>
    <w:rsid w:val="00C91A06"/>
    <w:rsid w:val="00C91AC2"/>
    <w:rsid w:val="00C9287C"/>
    <w:rsid w:val="00C93251"/>
    <w:rsid w:val="00C93552"/>
    <w:rsid w:val="00C93588"/>
    <w:rsid w:val="00C9494F"/>
    <w:rsid w:val="00C94ED7"/>
    <w:rsid w:val="00C96326"/>
    <w:rsid w:val="00C96651"/>
    <w:rsid w:val="00C96750"/>
    <w:rsid w:val="00C96A3D"/>
    <w:rsid w:val="00C96A83"/>
    <w:rsid w:val="00C96AC8"/>
    <w:rsid w:val="00C96FD4"/>
    <w:rsid w:val="00C9727F"/>
    <w:rsid w:val="00C9729D"/>
    <w:rsid w:val="00CA0645"/>
    <w:rsid w:val="00CA0A39"/>
    <w:rsid w:val="00CA0D23"/>
    <w:rsid w:val="00CA1B81"/>
    <w:rsid w:val="00CA1D3D"/>
    <w:rsid w:val="00CA225C"/>
    <w:rsid w:val="00CA25E9"/>
    <w:rsid w:val="00CA26CC"/>
    <w:rsid w:val="00CA2E92"/>
    <w:rsid w:val="00CA312B"/>
    <w:rsid w:val="00CA3586"/>
    <w:rsid w:val="00CA3B25"/>
    <w:rsid w:val="00CA3CE7"/>
    <w:rsid w:val="00CA4396"/>
    <w:rsid w:val="00CA45C5"/>
    <w:rsid w:val="00CA4A0E"/>
    <w:rsid w:val="00CA4A6B"/>
    <w:rsid w:val="00CA4BEA"/>
    <w:rsid w:val="00CA55CE"/>
    <w:rsid w:val="00CA5724"/>
    <w:rsid w:val="00CA5D19"/>
    <w:rsid w:val="00CA5EBD"/>
    <w:rsid w:val="00CA5FD3"/>
    <w:rsid w:val="00CA62E4"/>
    <w:rsid w:val="00CA6CF0"/>
    <w:rsid w:val="00CA75CC"/>
    <w:rsid w:val="00CA7789"/>
    <w:rsid w:val="00CA7EDA"/>
    <w:rsid w:val="00CB0106"/>
    <w:rsid w:val="00CB0481"/>
    <w:rsid w:val="00CB0982"/>
    <w:rsid w:val="00CB0B7D"/>
    <w:rsid w:val="00CB0BC6"/>
    <w:rsid w:val="00CB0C1A"/>
    <w:rsid w:val="00CB1051"/>
    <w:rsid w:val="00CB158A"/>
    <w:rsid w:val="00CB17CD"/>
    <w:rsid w:val="00CB1B53"/>
    <w:rsid w:val="00CB1C44"/>
    <w:rsid w:val="00CB23DB"/>
    <w:rsid w:val="00CB2509"/>
    <w:rsid w:val="00CB252D"/>
    <w:rsid w:val="00CB2840"/>
    <w:rsid w:val="00CB33ED"/>
    <w:rsid w:val="00CB37BD"/>
    <w:rsid w:val="00CB3A44"/>
    <w:rsid w:val="00CB47F4"/>
    <w:rsid w:val="00CB596B"/>
    <w:rsid w:val="00CB69BC"/>
    <w:rsid w:val="00CB6D58"/>
    <w:rsid w:val="00CB6E44"/>
    <w:rsid w:val="00CB72D0"/>
    <w:rsid w:val="00CB7FE2"/>
    <w:rsid w:val="00CC022F"/>
    <w:rsid w:val="00CC05BE"/>
    <w:rsid w:val="00CC0CC1"/>
    <w:rsid w:val="00CC1082"/>
    <w:rsid w:val="00CC1132"/>
    <w:rsid w:val="00CC1207"/>
    <w:rsid w:val="00CC1775"/>
    <w:rsid w:val="00CC2008"/>
    <w:rsid w:val="00CC21E1"/>
    <w:rsid w:val="00CC26D1"/>
    <w:rsid w:val="00CC278E"/>
    <w:rsid w:val="00CC29C8"/>
    <w:rsid w:val="00CC2B26"/>
    <w:rsid w:val="00CC2B3A"/>
    <w:rsid w:val="00CC2B8B"/>
    <w:rsid w:val="00CC3196"/>
    <w:rsid w:val="00CC334D"/>
    <w:rsid w:val="00CC38EC"/>
    <w:rsid w:val="00CC3AAC"/>
    <w:rsid w:val="00CC3ABB"/>
    <w:rsid w:val="00CC3E3B"/>
    <w:rsid w:val="00CC3EDC"/>
    <w:rsid w:val="00CC40EB"/>
    <w:rsid w:val="00CC481A"/>
    <w:rsid w:val="00CC4A1B"/>
    <w:rsid w:val="00CC5476"/>
    <w:rsid w:val="00CC557A"/>
    <w:rsid w:val="00CC583C"/>
    <w:rsid w:val="00CC5C8B"/>
    <w:rsid w:val="00CC60C2"/>
    <w:rsid w:val="00CC6CA2"/>
    <w:rsid w:val="00CC6EC7"/>
    <w:rsid w:val="00CC78D9"/>
    <w:rsid w:val="00CC79E5"/>
    <w:rsid w:val="00CC7D27"/>
    <w:rsid w:val="00CC7D5D"/>
    <w:rsid w:val="00CC7F0C"/>
    <w:rsid w:val="00CC7F3D"/>
    <w:rsid w:val="00CD08A7"/>
    <w:rsid w:val="00CD0963"/>
    <w:rsid w:val="00CD09CA"/>
    <w:rsid w:val="00CD1153"/>
    <w:rsid w:val="00CD1982"/>
    <w:rsid w:val="00CD1D33"/>
    <w:rsid w:val="00CD23EA"/>
    <w:rsid w:val="00CD25F6"/>
    <w:rsid w:val="00CD26AD"/>
    <w:rsid w:val="00CD2E2C"/>
    <w:rsid w:val="00CD37E0"/>
    <w:rsid w:val="00CD41AD"/>
    <w:rsid w:val="00CD46D7"/>
    <w:rsid w:val="00CD49D1"/>
    <w:rsid w:val="00CD4B65"/>
    <w:rsid w:val="00CD5153"/>
    <w:rsid w:val="00CD585A"/>
    <w:rsid w:val="00CD6091"/>
    <w:rsid w:val="00CD61C7"/>
    <w:rsid w:val="00CD69CE"/>
    <w:rsid w:val="00CD7278"/>
    <w:rsid w:val="00CD7986"/>
    <w:rsid w:val="00CE0DE8"/>
    <w:rsid w:val="00CE11A5"/>
    <w:rsid w:val="00CE1CE2"/>
    <w:rsid w:val="00CE1F71"/>
    <w:rsid w:val="00CE2037"/>
    <w:rsid w:val="00CE24A4"/>
    <w:rsid w:val="00CE2DD2"/>
    <w:rsid w:val="00CE30E8"/>
    <w:rsid w:val="00CE34A3"/>
    <w:rsid w:val="00CE369D"/>
    <w:rsid w:val="00CE4119"/>
    <w:rsid w:val="00CE41DE"/>
    <w:rsid w:val="00CE48BD"/>
    <w:rsid w:val="00CE4FDB"/>
    <w:rsid w:val="00CE5EA2"/>
    <w:rsid w:val="00CE6374"/>
    <w:rsid w:val="00CE6416"/>
    <w:rsid w:val="00CE6E56"/>
    <w:rsid w:val="00CE70E8"/>
    <w:rsid w:val="00CE7869"/>
    <w:rsid w:val="00CE786A"/>
    <w:rsid w:val="00CE7C1E"/>
    <w:rsid w:val="00CF0357"/>
    <w:rsid w:val="00CF0374"/>
    <w:rsid w:val="00CF057C"/>
    <w:rsid w:val="00CF070D"/>
    <w:rsid w:val="00CF156F"/>
    <w:rsid w:val="00CF1760"/>
    <w:rsid w:val="00CF237A"/>
    <w:rsid w:val="00CF320C"/>
    <w:rsid w:val="00CF3DA4"/>
    <w:rsid w:val="00CF41B5"/>
    <w:rsid w:val="00CF507F"/>
    <w:rsid w:val="00CF5138"/>
    <w:rsid w:val="00CF54D9"/>
    <w:rsid w:val="00CF5779"/>
    <w:rsid w:val="00CF5E05"/>
    <w:rsid w:val="00CF6360"/>
    <w:rsid w:val="00CF65CB"/>
    <w:rsid w:val="00CF6694"/>
    <w:rsid w:val="00CF6D61"/>
    <w:rsid w:val="00CF7E25"/>
    <w:rsid w:val="00D000DF"/>
    <w:rsid w:val="00D00425"/>
    <w:rsid w:val="00D00679"/>
    <w:rsid w:val="00D006C6"/>
    <w:rsid w:val="00D00DA5"/>
    <w:rsid w:val="00D00F4C"/>
    <w:rsid w:val="00D01380"/>
    <w:rsid w:val="00D01FAA"/>
    <w:rsid w:val="00D02996"/>
    <w:rsid w:val="00D02ED7"/>
    <w:rsid w:val="00D03CB3"/>
    <w:rsid w:val="00D03D6E"/>
    <w:rsid w:val="00D03DC4"/>
    <w:rsid w:val="00D045E9"/>
    <w:rsid w:val="00D049EA"/>
    <w:rsid w:val="00D05638"/>
    <w:rsid w:val="00D056CE"/>
    <w:rsid w:val="00D0590F"/>
    <w:rsid w:val="00D05A36"/>
    <w:rsid w:val="00D05AE5"/>
    <w:rsid w:val="00D05AE9"/>
    <w:rsid w:val="00D05CEA"/>
    <w:rsid w:val="00D063C8"/>
    <w:rsid w:val="00D06C70"/>
    <w:rsid w:val="00D06CCF"/>
    <w:rsid w:val="00D070D8"/>
    <w:rsid w:val="00D0731F"/>
    <w:rsid w:val="00D07477"/>
    <w:rsid w:val="00D079F1"/>
    <w:rsid w:val="00D07F5E"/>
    <w:rsid w:val="00D1008D"/>
    <w:rsid w:val="00D10372"/>
    <w:rsid w:val="00D11566"/>
    <w:rsid w:val="00D11A8A"/>
    <w:rsid w:val="00D11D2A"/>
    <w:rsid w:val="00D123CE"/>
    <w:rsid w:val="00D1288E"/>
    <w:rsid w:val="00D130E9"/>
    <w:rsid w:val="00D13476"/>
    <w:rsid w:val="00D1378B"/>
    <w:rsid w:val="00D137F9"/>
    <w:rsid w:val="00D1389A"/>
    <w:rsid w:val="00D13AED"/>
    <w:rsid w:val="00D13D0C"/>
    <w:rsid w:val="00D13F71"/>
    <w:rsid w:val="00D146CB"/>
    <w:rsid w:val="00D14A89"/>
    <w:rsid w:val="00D14BF5"/>
    <w:rsid w:val="00D15265"/>
    <w:rsid w:val="00D15D4D"/>
    <w:rsid w:val="00D16172"/>
    <w:rsid w:val="00D16766"/>
    <w:rsid w:val="00D17241"/>
    <w:rsid w:val="00D17511"/>
    <w:rsid w:val="00D17FAA"/>
    <w:rsid w:val="00D20684"/>
    <w:rsid w:val="00D20DAA"/>
    <w:rsid w:val="00D21223"/>
    <w:rsid w:val="00D214BD"/>
    <w:rsid w:val="00D21511"/>
    <w:rsid w:val="00D22272"/>
    <w:rsid w:val="00D2246D"/>
    <w:rsid w:val="00D22B3A"/>
    <w:rsid w:val="00D233BC"/>
    <w:rsid w:val="00D2343C"/>
    <w:rsid w:val="00D23647"/>
    <w:rsid w:val="00D23AC0"/>
    <w:rsid w:val="00D2417D"/>
    <w:rsid w:val="00D2484B"/>
    <w:rsid w:val="00D24DB5"/>
    <w:rsid w:val="00D24EF0"/>
    <w:rsid w:val="00D25170"/>
    <w:rsid w:val="00D25303"/>
    <w:rsid w:val="00D256FC"/>
    <w:rsid w:val="00D257E1"/>
    <w:rsid w:val="00D25C74"/>
    <w:rsid w:val="00D2650D"/>
    <w:rsid w:val="00D305D4"/>
    <w:rsid w:val="00D308C7"/>
    <w:rsid w:val="00D309F5"/>
    <w:rsid w:val="00D3100D"/>
    <w:rsid w:val="00D313BE"/>
    <w:rsid w:val="00D31691"/>
    <w:rsid w:val="00D31C91"/>
    <w:rsid w:val="00D32240"/>
    <w:rsid w:val="00D32497"/>
    <w:rsid w:val="00D3260E"/>
    <w:rsid w:val="00D32A58"/>
    <w:rsid w:val="00D32D71"/>
    <w:rsid w:val="00D32FF7"/>
    <w:rsid w:val="00D33126"/>
    <w:rsid w:val="00D33539"/>
    <w:rsid w:val="00D33B31"/>
    <w:rsid w:val="00D33E6F"/>
    <w:rsid w:val="00D34884"/>
    <w:rsid w:val="00D34D71"/>
    <w:rsid w:val="00D353DC"/>
    <w:rsid w:val="00D35464"/>
    <w:rsid w:val="00D35552"/>
    <w:rsid w:val="00D35E08"/>
    <w:rsid w:val="00D36791"/>
    <w:rsid w:val="00D36D8C"/>
    <w:rsid w:val="00D37427"/>
    <w:rsid w:val="00D40F15"/>
    <w:rsid w:val="00D414C6"/>
    <w:rsid w:val="00D41AF3"/>
    <w:rsid w:val="00D41C1D"/>
    <w:rsid w:val="00D43503"/>
    <w:rsid w:val="00D44AE7"/>
    <w:rsid w:val="00D44BA6"/>
    <w:rsid w:val="00D454B4"/>
    <w:rsid w:val="00D46629"/>
    <w:rsid w:val="00D469A6"/>
    <w:rsid w:val="00D46C46"/>
    <w:rsid w:val="00D46F01"/>
    <w:rsid w:val="00D47095"/>
    <w:rsid w:val="00D479DA"/>
    <w:rsid w:val="00D47D39"/>
    <w:rsid w:val="00D47E19"/>
    <w:rsid w:val="00D50343"/>
    <w:rsid w:val="00D50560"/>
    <w:rsid w:val="00D50A22"/>
    <w:rsid w:val="00D5176A"/>
    <w:rsid w:val="00D517E9"/>
    <w:rsid w:val="00D51AEA"/>
    <w:rsid w:val="00D51F93"/>
    <w:rsid w:val="00D520F3"/>
    <w:rsid w:val="00D52174"/>
    <w:rsid w:val="00D526A2"/>
    <w:rsid w:val="00D52CD0"/>
    <w:rsid w:val="00D52EFC"/>
    <w:rsid w:val="00D531DE"/>
    <w:rsid w:val="00D5348F"/>
    <w:rsid w:val="00D535A1"/>
    <w:rsid w:val="00D539EF"/>
    <w:rsid w:val="00D53AB1"/>
    <w:rsid w:val="00D53CF7"/>
    <w:rsid w:val="00D54268"/>
    <w:rsid w:val="00D544EB"/>
    <w:rsid w:val="00D5512F"/>
    <w:rsid w:val="00D5519E"/>
    <w:rsid w:val="00D55292"/>
    <w:rsid w:val="00D55616"/>
    <w:rsid w:val="00D558D3"/>
    <w:rsid w:val="00D56273"/>
    <w:rsid w:val="00D568BD"/>
    <w:rsid w:val="00D56921"/>
    <w:rsid w:val="00D5737F"/>
    <w:rsid w:val="00D573D5"/>
    <w:rsid w:val="00D575F5"/>
    <w:rsid w:val="00D578D0"/>
    <w:rsid w:val="00D60118"/>
    <w:rsid w:val="00D603BA"/>
    <w:rsid w:val="00D603CB"/>
    <w:rsid w:val="00D60737"/>
    <w:rsid w:val="00D60A18"/>
    <w:rsid w:val="00D60E11"/>
    <w:rsid w:val="00D61811"/>
    <w:rsid w:val="00D61BDA"/>
    <w:rsid w:val="00D61E4A"/>
    <w:rsid w:val="00D61FEE"/>
    <w:rsid w:val="00D62EDE"/>
    <w:rsid w:val="00D644FD"/>
    <w:rsid w:val="00D65368"/>
    <w:rsid w:val="00D6627C"/>
    <w:rsid w:val="00D66489"/>
    <w:rsid w:val="00D664B3"/>
    <w:rsid w:val="00D66A0A"/>
    <w:rsid w:val="00D66E32"/>
    <w:rsid w:val="00D66F5C"/>
    <w:rsid w:val="00D67D95"/>
    <w:rsid w:val="00D70589"/>
    <w:rsid w:val="00D7081B"/>
    <w:rsid w:val="00D7137A"/>
    <w:rsid w:val="00D7153F"/>
    <w:rsid w:val="00D71560"/>
    <w:rsid w:val="00D7164E"/>
    <w:rsid w:val="00D71919"/>
    <w:rsid w:val="00D71BBB"/>
    <w:rsid w:val="00D72198"/>
    <w:rsid w:val="00D72501"/>
    <w:rsid w:val="00D7265B"/>
    <w:rsid w:val="00D7285D"/>
    <w:rsid w:val="00D735A7"/>
    <w:rsid w:val="00D73849"/>
    <w:rsid w:val="00D73F91"/>
    <w:rsid w:val="00D74077"/>
    <w:rsid w:val="00D74092"/>
    <w:rsid w:val="00D740F4"/>
    <w:rsid w:val="00D75036"/>
    <w:rsid w:val="00D752D1"/>
    <w:rsid w:val="00D756DE"/>
    <w:rsid w:val="00D75D9F"/>
    <w:rsid w:val="00D76522"/>
    <w:rsid w:val="00D76EC5"/>
    <w:rsid w:val="00D76F0D"/>
    <w:rsid w:val="00D779FE"/>
    <w:rsid w:val="00D800B1"/>
    <w:rsid w:val="00D80FED"/>
    <w:rsid w:val="00D81F99"/>
    <w:rsid w:val="00D82144"/>
    <w:rsid w:val="00D82840"/>
    <w:rsid w:val="00D8289F"/>
    <w:rsid w:val="00D82A9E"/>
    <w:rsid w:val="00D82EBA"/>
    <w:rsid w:val="00D83943"/>
    <w:rsid w:val="00D83A3C"/>
    <w:rsid w:val="00D84AE1"/>
    <w:rsid w:val="00D853B3"/>
    <w:rsid w:val="00D85F3C"/>
    <w:rsid w:val="00D87B69"/>
    <w:rsid w:val="00D87BBF"/>
    <w:rsid w:val="00D87C86"/>
    <w:rsid w:val="00D900C2"/>
    <w:rsid w:val="00D90503"/>
    <w:rsid w:val="00D90D8E"/>
    <w:rsid w:val="00D90E85"/>
    <w:rsid w:val="00D9307E"/>
    <w:rsid w:val="00D935AA"/>
    <w:rsid w:val="00D93A64"/>
    <w:rsid w:val="00D93B8D"/>
    <w:rsid w:val="00D93C5D"/>
    <w:rsid w:val="00D94660"/>
    <w:rsid w:val="00D94917"/>
    <w:rsid w:val="00D94C5A"/>
    <w:rsid w:val="00D95125"/>
    <w:rsid w:val="00D953A8"/>
    <w:rsid w:val="00D956A6"/>
    <w:rsid w:val="00D95A3E"/>
    <w:rsid w:val="00D95FDB"/>
    <w:rsid w:val="00D967D5"/>
    <w:rsid w:val="00D96858"/>
    <w:rsid w:val="00D96ADB"/>
    <w:rsid w:val="00D9763A"/>
    <w:rsid w:val="00D97741"/>
    <w:rsid w:val="00D97910"/>
    <w:rsid w:val="00D97AE6"/>
    <w:rsid w:val="00D97D27"/>
    <w:rsid w:val="00D97F36"/>
    <w:rsid w:val="00DA01FB"/>
    <w:rsid w:val="00DA021F"/>
    <w:rsid w:val="00DA0454"/>
    <w:rsid w:val="00DA07A9"/>
    <w:rsid w:val="00DA0ADA"/>
    <w:rsid w:val="00DA1152"/>
    <w:rsid w:val="00DA17E2"/>
    <w:rsid w:val="00DA2003"/>
    <w:rsid w:val="00DA28D9"/>
    <w:rsid w:val="00DA2B90"/>
    <w:rsid w:val="00DA3657"/>
    <w:rsid w:val="00DA3978"/>
    <w:rsid w:val="00DA4018"/>
    <w:rsid w:val="00DA4191"/>
    <w:rsid w:val="00DA4930"/>
    <w:rsid w:val="00DA4ACB"/>
    <w:rsid w:val="00DA53CA"/>
    <w:rsid w:val="00DA5FC7"/>
    <w:rsid w:val="00DA6006"/>
    <w:rsid w:val="00DA61FE"/>
    <w:rsid w:val="00DA6768"/>
    <w:rsid w:val="00DA69CA"/>
    <w:rsid w:val="00DA69E0"/>
    <w:rsid w:val="00DA6E69"/>
    <w:rsid w:val="00DA70E1"/>
    <w:rsid w:val="00DA711C"/>
    <w:rsid w:val="00DA7941"/>
    <w:rsid w:val="00DA7B5E"/>
    <w:rsid w:val="00DA7EE8"/>
    <w:rsid w:val="00DB054B"/>
    <w:rsid w:val="00DB0B5C"/>
    <w:rsid w:val="00DB233A"/>
    <w:rsid w:val="00DB2B9E"/>
    <w:rsid w:val="00DB367E"/>
    <w:rsid w:val="00DB3AF4"/>
    <w:rsid w:val="00DB425A"/>
    <w:rsid w:val="00DB42CD"/>
    <w:rsid w:val="00DB42DA"/>
    <w:rsid w:val="00DB4301"/>
    <w:rsid w:val="00DB4FC9"/>
    <w:rsid w:val="00DB5BA4"/>
    <w:rsid w:val="00DB62B0"/>
    <w:rsid w:val="00DB63BD"/>
    <w:rsid w:val="00DB64BF"/>
    <w:rsid w:val="00DB755B"/>
    <w:rsid w:val="00DB7D8C"/>
    <w:rsid w:val="00DB7FB0"/>
    <w:rsid w:val="00DC06F8"/>
    <w:rsid w:val="00DC0A4A"/>
    <w:rsid w:val="00DC1408"/>
    <w:rsid w:val="00DC146A"/>
    <w:rsid w:val="00DC15E9"/>
    <w:rsid w:val="00DC1894"/>
    <w:rsid w:val="00DC1988"/>
    <w:rsid w:val="00DC1ABC"/>
    <w:rsid w:val="00DC1F28"/>
    <w:rsid w:val="00DC1F68"/>
    <w:rsid w:val="00DC20FA"/>
    <w:rsid w:val="00DC2C4F"/>
    <w:rsid w:val="00DC32AD"/>
    <w:rsid w:val="00DC3A6C"/>
    <w:rsid w:val="00DC41CE"/>
    <w:rsid w:val="00DC41E1"/>
    <w:rsid w:val="00DC4447"/>
    <w:rsid w:val="00DC4741"/>
    <w:rsid w:val="00DC53E8"/>
    <w:rsid w:val="00DC5DF6"/>
    <w:rsid w:val="00DC6016"/>
    <w:rsid w:val="00DC6406"/>
    <w:rsid w:val="00DC67B1"/>
    <w:rsid w:val="00DC6A1E"/>
    <w:rsid w:val="00DC71FB"/>
    <w:rsid w:val="00DC7328"/>
    <w:rsid w:val="00DC75D4"/>
    <w:rsid w:val="00DC7BD9"/>
    <w:rsid w:val="00DC7C51"/>
    <w:rsid w:val="00DD00A7"/>
    <w:rsid w:val="00DD00E6"/>
    <w:rsid w:val="00DD0E0F"/>
    <w:rsid w:val="00DD0F92"/>
    <w:rsid w:val="00DD114B"/>
    <w:rsid w:val="00DD12C3"/>
    <w:rsid w:val="00DD1380"/>
    <w:rsid w:val="00DD1A88"/>
    <w:rsid w:val="00DD26DF"/>
    <w:rsid w:val="00DD2799"/>
    <w:rsid w:val="00DD2801"/>
    <w:rsid w:val="00DD2DD4"/>
    <w:rsid w:val="00DD36B1"/>
    <w:rsid w:val="00DD3AA6"/>
    <w:rsid w:val="00DD4185"/>
    <w:rsid w:val="00DD42AC"/>
    <w:rsid w:val="00DD43BA"/>
    <w:rsid w:val="00DD4462"/>
    <w:rsid w:val="00DD4C17"/>
    <w:rsid w:val="00DD4DCB"/>
    <w:rsid w:val="00DD4E4E"/>
    <w:rsid w:val="00DD5024"/>
    <w:rsid w:val="00DD5448"/>
    <w:rsid w:val="00DD6409"/>
    <w:rsid w:val="00DD6632"/>
    <w:rsid w:val="00DD6DC5"/>
    <w:rsid w:val="00DD6F39"/>
    <w:rsid w:val="00DD7095"/>
    <w:rsid w:val="00DD7921"/>
    <w:rsid w:val="00DE00CB"/>
    <w:rsid w:val="00DE042A"/>
    <w:rsid w:val="00DE0573"/>
    <w:rsid w:val="00DE058B"/>
    <w:rsid w:val="00DE083D"/>
    <w:rsid w:val="00DE10A4"/>
    <w:rsid w:val="00DE1224"/>
    <w:rsid w:val="00DE16EA"/>
    <w:rsid w:val="00DE17E2"/>
    <w:rsid w:val="00DE1CA2"/>
    <w:rsid w:val="00DE2671"/>
    <w:rsid w:val="00DE28ED"/>
    <w:rsid w:val="00DE2C76"/>
    <w:rsid w:val="00DE2EC4"/>
    <w:rsid w:val="00DE33A0"/>
    <w:rsid w:val="00DE37EB"/>
    <w:rsid w:val="00DE3CF3"/>
    <w:rsid w:val="00DE3EAA"/>
    <w:rsid w:val="00DE42A1"/>
    <w:rsid w:val="00DE4A78"/>
    <w:rsid w:val="00DE4B30"/>
    <w:rsid w:val="00DE4B38"/>
    <w:rsid w:val="00DE4C52"/>
    <w:rsid w:val="00DE4F0B"/>
    <w:rsid w:val="00DE53E7"/>
    <w:rsid w:val="00DE5522"/>
    <w:rsid w:val="00DE63B0"/>
    <w:rsid w:val="00DE660C"/>
    <w:rsid w:val="00DE7E35"/>
    <w:rsid w:val="00DF02A1"/>
    <w:rsid w:val="00DF04A0"/>
    <w:rsid w:val="00DF0914"/>
    <w:rsid w:val="00DF0B0D"/>
    <w:rsid w:val="00DF0CB8"/>
    <w:rsid w:val="00DF0D1E"/>
    <w:rsid w:val="00DF135E"/>
    <w:rsid w:val="00DF156A"/>
    <w:rsid w:val="00DF1748"/>
    <w:rsid w:val="00DF19BF"/>
    <w:rsid w:val="00DF21C4"/>
    <w:rsid w:val="00DF2429"/>
    <w:rsid w:val="00DF2BA4"/>
    <w:rsid w:val="00DF3A24"/>
    <w:rsid w:val="00DF3F13"/>
    <w:rsid w:val="00DF434B"/>
    <w:rsid w:val="00DF477A"/>
    <w:rsid w:val="00DF4AA6"/>
    <w:rsid w:val="00DF5DF3"/>
    <w:rsid w:val="00DF5EEF"/>
    <w:rsid w:val="00DF6AEF"/>
    <w:rsid w:val="00DF710A"/>
    <w:rsid w:val="00DF7161"/>
    <w:rsid w:val="00DF7906"/>
    <w:rsid w:val="00DF79D2"/>
    <w:rsid w:val="00DF7B3F"/>
    <w:rsid w:val="00E00CE5"/>
    <w:rsid w:val="00E01466"/>
    <w:rsid w:val="00E014F6"/>
    <w:rsid w:val="00E018C2"/>
    <w:rsid w:val="00E01AE2"/>
    <w:rsid w:val="00E0212D"/>
    <w:rsid w:val="00E02A3C"/>
    <w:rsid w:val="00E02ED2"/>
    <w:rsid w:val="00E03379"/>
    <w:rsid w:val="00E03608"/>
    <w:rsid w:val="00E036FA"/>
    <w:rsid w:val="00E0449D"/>
    <w:rsid w:val="00E0455C"/>
    <w:rsid w:val="00E04D10"/>
    <w:rsid w:val="00E05053"/>
    <w:rsid w:val="00E05FA8"/>
    <w:rsid w:val="00E063B3"/>
    <w:rsid w:val="00E07741"/>
    <w:rsid w:val="00E07788"/>
    <w:rsid w:val="00E07826"/>
    <w:rsid w:val="00E07E68"/>
    <w:rsid w:val="00E07E6C"/>
    <w:rsid w:val="00E07FB7"/>
    <w:rsid w:val="00E10680"/>
    <w:rsid w:val="00E10C51"/>
    <w:rsid w:val="00E11380"/>
    <w:rsid w:val="00E11CEA"/>
    <w:rsid w:val="00E11E85"/>
    <w:rsid w:val="00E1257F"/>
    <w:rsid w:val="00E125DB"/>
    <w:rsid w:val="00E1268C"/>
    <w:rsid w:val="00E12832"/>
    <w:rsid w:val="00E1308C"/>
    <w:rsid w:val="00E13215"/>
    <w:rsid w:val="00E136E0"/>
    <w:rsid w:val="00E1388A"/>
    <w:rsid w:val="00E13C78"/>
    <w:rsid w:val="00E13FBA"/>
    <w:rsid w:val="00E1408A"/>
    <w:rsid w:val="00E140A9"/>
    <w:rsid w:val="00E1420A"/>
    <w:rsid w:val="00E142AF"/>
    <w:rsid w:val="00E1458F"/>
    <w:rsid w:val="00E14ACC"/>
    <w:rsid w:val="00E1553B"/>
    <w:rsid w:val="00E15629"/>
    <w:rsid w:val="00E165AB"/>
    <w:rsid w:val="00E166F1"/>
    <w:rsid w:val="00E16A0F"/>
    <w:rsid w:val="00E16FE9"/>
    <w:rsid w:val="00E20D17"/>
    <w:rsid w:val="00E218F8"/>
    <w:rsid w:val="00E21ACA"/>
    <w:rsid w:val="00E21AD2"/>
    <w:rsid w:val="00E21ED3"/>
    <w:rsid w:val="00E22073"/>
    <w:rsid w:val="00E226D8"/>
    <w:rsid w:val="00E22BB4"/>
    <w:rsid w:val="00E233CF"/>
    <w:rsid w:val="00E23560"/>
    <w:rsid w:val="00E239A4"/>
    <w:rsid w:val="00E23BDF"/>
    <w:rsid w:val="00E240E4"/>
    <w:rsid w:val="00E24D01"/>
    <w:rsid w:val="00E25572"/>
    <w:rsid w:val="00E255A2"/>
    <w:rsid w:val="00E259C4"/>
    <w:rsid w:val="00E25BEA"/>
    <w:rsid w:val="00E25C45"/>
    <w:rsid w:val="00E260FF"/>
    <w:rsid w:val="00E26AD9"/>
    <w:rsid w:val="00E271BC"/>
    <w:rsid w:val="00E276FE"/>
    <w:rsid w:val="00E30030"/>
    <w:rsid w:val="00E302EB"/>
    <w:rsid w:val="00E307C5"/>
    <w:rsid w:val="00E30D58"/>
    <w:rsid w:val="00E30DC7"/>
    <w:rsid w:val="00E30EAE"/>
    <w:rsid w:val="00E31084"/>
    <w:rsid w:val="00E31116"/>
    <w:rsid w:val="00E31367"/>
    <w:rsid w:val="00E3141C"/>
    <w:rsid w:val="00E31422"/>
    <w:rsid w:val="00E314AB"/>
    <w:rsid w:val="00E31C68"/>
    <w:rsid w:val="00E31CBF"/>
    <w:rsid w:val="00E32018"/>
    <w:rsid w:val="00E32050"/>
    <w:rsid w:val="00E32651"/>
    <w:rsid w:val="00E32EA5"/>
    <w:rsid w:val="00E342C0"/>
    <w:rsid w:val="00E3499E"/>
    <w:rsid w:val="00E352CC"/>
    <w:rsid w:val="00E35F84"/>
    <w:rsid w:val="00E3645E"/>
    <w:rsid w:val="00E36E7D"/>
    <w:rsid w:val="00E37679"/>
    <w:rsid w:val="00E377F3"/>
    <w:rsid w:val="00E37CD7"/>
    <w:rsid w:val="00E40100"/>
    <w:rsid w:val="00E4052D"/>
    <w:rsid w:val="00E40CB7"/>
    <w:rsid w:val="00E40D50"/>
    <w:rsid w:val="00E40FD8"/>
    <w:rsid w:val="00E411E4"/>
    <w:rsid w:val="00E417A8"/>
    <w:rsid w:val="00E41ED2"/>
    <w:rsid w:val="00E41F6B"/>
    <w:rsid w:val="00E41FB9"/>
    <w:rsid w:val="00E421D3"/>
    <w:rsid w:val="00E425BA"/>
    <w:rsid w:val="00E43055"/>
    <w:rsid w:val="00E437C1"/>
    <w:rsid w:val="00E4385F"/>
    <w:rsid w:val="00E43E7C"/>
    <w:rsid w:val="00E44137"/>
    <w:rsid w:val="00E449A0"/>
    <w:rsid w:val="00E44D49"/>
    <w:rsid w:val="00E4566E"/>
    <w:rsid w:val="00E464C9"/>
    <w:rsid w:val="00E46674"/>
    <w:rsid w:val="00E46745"/>
    <w:rsid w:val="00E46B55"/>
    <w:rsid w:val="00E47006"/>
    <w:rsid w:val="00E475E2"/>
    <w:rsid w:val="00E47AC4"/>
    <w:rsid w:val="00E47B6B"/>
    <w:rsid w:val="00E50BC2"/>
    <w:rsid w:val="00E51123"/>
    <w:rsid w:val="00E52BB7"/>
    <w:rsid w:val="00E53564"/>
    <w:rsid w:val="00E543B7"/>
    <w:rsid w:val="00E56027"/>
    <w:rsid w:val="00E561F8"/>
    <w:rsid w:val="00E56292"/>
    <w:rsid w:val="00E56446"/>
    <w:rsid w:val="00E56A0A"/>
    <w:rsid w:val="00E5727B"/>
    <w:rsid w:val="00E57657"/>
    <w:rsid w:val="00E57833"/>
    <w:rsid w:val="00E60ECE"/>
    <w:rsid w:val="00E61316"/>
    <w:rsid w:val="00E61B85"/>
    <w:rsid w:val="00E62906"/>
    <w:rsid w:val="00E62D37"/>
    <w:rsid w:val="00E63081"/>
    <w:rsid w:val="00E630CE"/>
    <w:rsid w:val="00E637DA"/>
    <w:rsid w:val="00E63A92"/>
    <w:rsid w:val="00E64561"/>
    <w:rsid w:val="00E6492B"/>
    <w:rsid w:val="00E64B92"/>
    <w:rsid w:val="00E65F6B"/>
    <w:rsid w:val="00E664E8"/>
    <w:rsid w:val="00E66B91"/>
    <w:rsid w:val="00E674D6"/>
    <w:rsid w:val="00E703C5"/>
    <w:rsid w:val="00E71442"/>
    <w:rsid w:val="00E71615"/>
    <w:rsid w:val="00E717C2"/>
    <w:rsid w:val="00E71A7F"/>
    <w:rsid w:val="00E71B31"/>
    <w:rsid w:val="00E71F98"/>
    <w:rsid w:val="00E72248"/>
    <w:rsid w:val="00E723D4"/>
    <w:rsid w:val="00E7295C"/>
    <w:rsid w:val="00E7386B"/>
    <w:rsid w:val="00E7389B"/>
    <w:rsid w:val="00E74456"/>
    <w:rsid w:val="00E76002"/>
    <w:rsid w:val="00E7685D"/>
    <w:rsid w:val="00E76C59"/>
    <w:rsid w:val="00E76FF5"/>
    <w:rsid w:val="00E7705E"/>
    <w:rsid w:val="00E77786"/>
    <w:rsid w:val="00E778A2"/>
    <w:rsid w:val="00E77D68"/>
    <w:rsid w:val="00E80257"/>
    <w:rsid w:val="00E803D1"/>
    <w:rsid w:val="00E804EF"/>
    <w:rsid w:val="00E807A7"/>
    <w:rsid w:val="00E809F2"/>
    <w:rsid w:val="00E80F79"/>
    <w:rsid w:val="00E81EE7"/>
    <w:rsid w:val="00E8209C"/>
    <w:rsid w:val="00E82374"/>
    <w:rsid w:val="00E82E56"/>
    <w:rsid w:val="00E83155"/>
    <w:rsid w:val="00E8319B"/>
    <w:rsid w:val="00E83455"/>
    <w:rsid w:val="00E835AE"/>
    <w:rsid w:val="00E83731"/>
    <w:rsid w:val="00E83BB0"/>
    <w:rsid w:val="00E83FFF"/>
    <w:rsid w:val="00E842B6"/>
    <w:rsid w:val="00E8476F"/>
    <w:rsid w:val="00E84AA3"/>
    <w:rsid w:val="00E84B27"/>
    <w:rsid w:val="00E853E1"/>
    <w:rsid w:val="00E8589C"/>
    <w:rsid w:val="00E85A88"/>
    <w:rsid w:val="00E860C9"/>
    <w:rsid w:val="00E8656B"/>
    <w:rsid w:val="00E86600"/>
    <w:rsid w:val="00E866A9"/>
    <w:rsid w:val="00E870DA"/>
    <w:rsid w:val="00E87573"/>
    <w:rsid w:val="00E875BD"/>
    <w:rsid w:val="00E87757"/>
    <w:rsid w:val="00E8781B"/>
    <w:rsid w:val="00E87F0F"/>
    <w:rsid w:val="00E87FA8"/>
    <w:rsid w:val="00E90408"/>
    <w:rsid w:val="00E90755"/>
    <w:rsid w:val="00E90B12"/>
    <w:rsid w:val="00E91141"/>
    <w:rsid w:val="00E91D37"/>
    <w:rsid w:val="00E91EA4"/>
    <w:rsid w:val="00E92031"/>
    <w:rsid w:val="00E92374"/>
    <w:rsid w:val="00E923DE"/>
    <w:rsid w:val="00E926F0"/>
    <w:rsid w:val="00E9293B"/>
    <w:rsid w:val="00E9294E"/>
    <w:rsid w:val="00E92AF4"/>
    <w:rsid w:val="00E92CBD"/>
    <w:rsid w:val="00E92D40"/>
    <w:rsid w:val="00E92E56"/>
    <w:rsid w:val="00E9341D"/>
    <w:rsid w:val="00E93A0C"/>
    <w:rsid w:val="00E940A8"/>
    <w:rsid w:val="00E9427E"/>
    <w:rsid w:val="00E9489A"/>
    <w:rsid w:val="00E95010"/>
    <w:rsid w:val="00E95185"/>
    <w:rsid w:val="00E95CDE"/>
    <w:rsid w:val="00E95D74"/>
    <w:rsid w:val="00E96AC0"/>
    <w:rsid w:val="00E9702B"/>
    <w:rsid w:val="00E97552"/>
    <w:rsid w:val="00E976CD"/>
    <w:rsid w:val="00E97758"/>
    <w:rsid w:val="00E97A06"/>
    <w:rsid w:val="00E97C90"/>
    <w:rsid w:val="00E97DC8"/>
    <w:rsid w:val="00E97FEC"/>
    <w:rsid w:val="00EA0269"/>
    <w:rsid w:val="00EA0811"/>
    <w:rsid w:val="00EA09D0"/>
    <w:rsid w:val="00EA0B9B"/>
    <w:rsid w:val="00EA0E0E"/>
    <w:rsid w:val="00EA0EBF"/>
    <w:rsid w:val="00EA12EC"/>
    <w:rsid w:val="00EA1901"/>
    <w:rsid w:val="00EA211C"/>
    <w:rsid w:val="00EA2144"/>
    <w:rsid w:val="00EA231B"/>
    <w:rsid w:val="00EA3313"/>
    <w:rsid w:val="00EA3838"/>
    <w:rsid w:val="00EA457A"/>
    <w:rsid w:val="00EA5275"/>
    <w:rsid w:val="00EA52F7"/>
    <w:rsid w:val="00EA5559"/>
    <w:rsid w:val="00EA5CC2"/>
    <w:rsid w:val="00EA61B5"/>
    <w:rsid w:val="00EA74FE"/>
    <w:rsid w:val="00EA76C6"/>
    <w:rsid w:val="00EB05BA"/>
    <w:rsid w:val="00EB0616"/>
    <w:rsid w:val="00EB11EC"/>
    <w:rsid w:val="00EB16F9"/>
    <w:rsid w:val="00EB2F4D"/>
    <w:rsid w:val="00EB336C"/>
    <w:rsid w:val="00EB345A"/>
    <w:rsid w:val="00EB3A73"/>
    <w:rsid w:val="00EB3AD1"/>
    <w:rsid w:val="00EB444F"/>
    <w:rsid w:val="00EB4E48"/>
    <w:rsid w:val="00EB4F86"/>
    <w:rsid w:val="00EB513D"/>
    <w:rsid w:val="00EB53C9"/>
    <w:rsid w:val="00EB6184"/>
    <w:rsid w:val="00EB6377"/>
    <w:rsid w:val="00EB6C38"/>
    <w:rsid w:val="00EB6E7C"/>
    <w:rsid w:val="00EC014C"/>
    <w:rsid w:val="00EC01B0"/>
    <w:rsid w:val="00EC0474"/>
    <w:rsid w:val="00EC07D2"/>
    <w:rsid w:val="00EC0B5A"/>
    <w:rsid w:val="00EC0D26"/>
    <w:rsid w:val="00EC1126"/>
    <w:rsid w:val="00EC1ED5"/>
    <w:rsid w:val="00EC2172"/>
    <w:rsid w:val="00EC4249"/>
    <w:rsid w:val="00EC44EF"/>
    <w:rsid w:val="00EC540D"/>
    <w:rsid w:val="00EC5FFD"/>
    <w:rsid w:val="00EC67F3"/>
    <w:rsid w:val="00EC712D"/>
    <w:rsid w:val="00EC7312"/>
    <w:rsid w:val="00EC76DA"/>
    <w:rsid w:val="00ED0767"/>
    <w:rsid w:val="00ED0ACA"/>
    <w:rsid w:val="00ED0D5A"/>
    <w:rsid w:val="00ED0E82"/>
    <w:rsid w:val="00ED15CB"/>
    <w:rsid w:val="00ED2B69"/>
    <w:rsid w:val="00ED4314"/>
    <w:rsid w:val="00ED4469"/>
    <w:rsid w:val="00ED48DE"/>
    <w:rsid w:val="00ED4DD7"/>
    <w:rsid w:val="00ED4E27"/>
    <w:rsid w:val="00ED5533"/>
    <w:rsid w:val="00ED554B"/>
    <w:rsid w:val="00ED56A5"/>
    <w:rsid w:val="00ED5E5E"/>
    <w:rsid w:val="00ED607D"/>
    <w:rsid w:val="00ED628D"/>
    <w:rsid w:val="00ED6715"/>
    <w:rsid w:val="00ED6738"/>
    <w:rsid w:val="00ED74E0"/>
    <w:rsid w:val="00ED76CA"/>
    <w:rsid w:val="00ED7998"/>
    <w:rsid w:val="00ED7C39"/>
    <w:rsid w:val="00EE11DA"/>
    <w:rsid w:val="00EE159F"/>
    <w:rsid w:val="00EE18F5"/>
    <w:rsid w:val="00EE1C19"/>
    <w:rsid w:val="00EE1C77"/>
    <w:rsid w:val="00EE1CBC"/>
    <w:rsid w:val="00EE1F84"/>
    <w:rsid w:val="00EE2376"/>
    <w:rsid w:val="00EE358D"/>
    <w:rsid w:val="00EE3F3A"/>
    <w:rsid w:val="00EE43F4"/>
    <w:rsid w:val="00EE45C9"/>
    <w:rsid w:val="00EE4BC9"/>
    <w:rsid w:val="00EE4C50"/>
    <w:rsid w:val="00EE51D1"/>
    <w:rsid w:val="00EE559C"/>
    <w:rsid w:val="00EE5ACE"/>
    <w:rsid w:val="00EE6439"/>
    <w:rsid w:val="00EE7AF5"/>
    <w:rsid w:val="00EF054E"/>
    <w:rsid w:val="00EF089B"/>
    <w:rsid w:val="00EF09BB"/>
    <w:rsid w:val="00EF1460"/>
    <w:rsid w:val="00EF1467"/>
    <w:rsid w:val="00EF1850"/>
    <w:rsid w:val="00EF1C0B"/>
    <w:rsid w:val="00EF1F84"/>
    <w:rsid w:val="00EF256F"/>
    <w:rsid w:val="00EF288B"/>
    <w:rsid w:val="00EF2C8C"/>
    <w:rsid w:val="00EF2CCC"/>
    <w:rsid w:val="00EF36F6"/>
    <w:rsid w:val="00EF37D1"/>
    <w:rsid w:val="00EF43CE"/>
    <w:rsid w:val="00EF47C4"/>
    <w:rsid w:val="00EF4986"/>
    <w:rsid w:val="00EF4B88"/>
    <w:rsid w:val="00EF4B9F"/>
    <w:rsid w:val="00EF4C29"/>
    <w:rsid w:val="00EF4CA9"/>
    <w:rsid w:val="00EF4DBC"/>
    <w:rsid w:val="00EF4F7E"/>
    <w:rsid w:val="00EF51AD"/>
    <w:rsid w:val="00EF51E0"/>
    <w:rsid w:val="00EF5C03"/>
    <w:rsid w:val="00EF5C78"/>
    <w:rsid w:val="00EF5D12"/>
    <w:rsid w:val="00EF5F5A"/>
    <w:rsid w:val="00EF6D00"/>
    <w:rsid w:val="00EF7363"/>
    <w:rsid w:val="00EF7376"/>
    <w:rsid w:val="00EF7E5B"/>
    <w:rsid w:val="00F01209"/>
    <w:rsid w:val="00F01EFD"/>
    <w:rsid w:val="00F02A84"/>
    <w:rsid w:val="00F02ABC"/>
    <w:rsid w:val="00F0318C"/>
    <w:rsid w:val="00F039A6"/>
    <w:rsid w:val="00F03F84"/>
    <w:rsid w:val="00F04797"/>
    <w:rsid w:val="00F06340"/>
    <w:rsid w:val="00F0636F"/>
    <w:rsid w:val="00F0656D"/>
    <w:rsid w:val="00F0697C"/>
    <w:rsid w:val="00F079B9"/>
    <w:rsid w:val="00F1045C"/>
    <w:rsid w:val="00F10AB1"/>
    <w:rsid w:val="00F10AD7"/>
    <w:rsid w:val="00F10F5F"/>
    <w:rsid w:val="00F10FD7"/>
    <w:rsid w:val="00F11070"/>
    <w:rsid w:val="00F113F8"/>
    <w:rsid w:val="00F11443"/>
    <w:rsid w:val="00F115E8"/>
    <w:rsid w:val="00F11736"/>
    <w:rsid w:val="00F11AF7"/>
    <w:rsid w:val="00F11E0C"/>
    <w:rsid w:val="00F12063"/>
    <w:rsid w:val="00F12BA3"/>
    <w:rsid w:val="00F12CE1"/>
    <w:rsid w:val="00F1301C"/>
    <w:rsid w:val="00F13603"/>
    <w:rsid w:val="00F1381A"/>
    <w:rsid w:val="00F13CCD"/>
    <w:rsid w:val="00F14639"/>
    <w:rsid w:val="00F14796"/>
    <w:rsid w:val="00F14C8C"/>
    <w:rsid w:val="00F14DEB"/>
    <w:rsid w:val="00F14E49"/>
    <w:rsid w:val="00F15567"/>
    <w:rsid w:val="00F15E3A"/>
    <w:rsid w:val="00F16498"/>
    <w:rsid w:val="00F20106"/>
    <w:rsid w:val="00F2041B"/>
    <w:rsid w:val="00F204FD"/>
    <w:rsid w:val="00F20976"/>
    <w:rsid w:val="00F2123D"/>
    <w:rsid w:val="00F21379"/>
    <w:rsid w:val="00F21573"/>
    <w:rsid w:val="00F2161C"/>
    <w:rsid w:val="00F21A71"/>
    <w:rsid w:val="00F225A7"/>
    <w:rsid w:val="00F225DA"/>
    <w:rsid w:val="00F23352"/>
    <w:rsid w:val="00F23671"/>
    <w:rsid w:val="00F23831"/>
    <w:rsid w:val="00F23A71"/>
    <w:rsid w:val="00F24142"/>
    <w:rsid w:val="00F24402"/>
    <w:rsid w:val="00F2495F"/>
    <w:rsid w:val="00F24DB1"/>
    <w:rsid w:val="00F24DED"/>
    <w:rsid w:val="00F24F73"/>
    <w:rsid w:val="00F25204"/>
    <w:rsid w:val="00F25A66"/>
    <w:rsid w:val="00F26169"/>
    <w:rsid w:val="00F263E8"/>
    <w:rsid w:val="00F26D9E"/>
    <w:rsid w:val="00F2724F"/>
    <w:rsid w:val="00F27687"/>
    <w:rsid w:val="00F310FD"/>
    <w:rsid w:val="00F312C0"/>
    <w:rsid w:val="00F31355"/>
    <w:rsid w:val="00F3143D"/>
    <w:rsid w:val="00F31702"/>
    <w:rsid w:val="00F31765"/>
    <w:rsid w:val="00F317FE"/>
    <w:rsid w:val="00F31952"/>
    <w:rsid w:val="00F320A1"/>
    <w:rsid w:val="00F324F5"/>
    <w:rsid w:val="00F327A0"/>
    <w:rsid w:val="00F32B7B"/>
    <w:rsid w:val="00F32F63"/>
    <w:rsid w:val="00F33501"/>
    <w:rsid w:val="00F33DDB"/>
    <w:rsid w:val="00F342DD"/>
    <w:rsid w:val="00F3465D"/>
    <w:rsid w:val="00F34D6C"/>
    <w:rsid w:val="00F34F17"/>
    <w:rsid w:val="00F35953"/>
    <w:rsid w:val="00F35B22"/>
    <w:rsid w:val="00F35EB3"/>
    <w:rsid w:val="00F3601D"/>
    <w:rsid w:val="00F363DF"/>
    <w:rsid w:val="00F379BF"/>
    <w:rsid w:val="00F40AEA"/>
    <w:rsid w:val="00F41551"/>
    <w:rsid w:val="00F415F2"/>
    <w:rsid w:val="00F418BD"/>
    <w:rsid w:val="00F41EDE"/>
    <w:rsid w:val="00F41FE6"/>
    <w:rsid w:val="00F4239C"/>
    <w:rsid w:val="00F4276B"/>
    <w:rsid w:val="00F42AA4"/>
    <w:rsid w:val="00F42B03"/>
    <w:rsid w:val="00F435AD"/>
    <w:rsid w:val="00F43BFF"/>
    <w:rsid w:val="00F43C8B"/>
    <w:rsid w:val="00F44F1F"/>
    <w:rsid w:val="00F4555B"/>
    <w:rsid w:val="00F50870"/>
    <w:rsid w:val="00F50AC5"/>
    <w:rsid w:val="00F50EDA"/>
    <w:rsid w:val="00F50F8E"/>
    <w:rsid w:val="00F51475"/>
    <w:rsid w:val="00F517A4"/>
    <w:rsid w:val="00F524DD"/>
    <w:rsid w:val="00F52864"/>
    <w:rsid w:val="00F53149"/>
    <w:rsid w:val="00F53392"/>
    <w:rsid w:val="00F53CFA"/>
    <w:rsid w:val="00F53D4F"/>
    <w:rsid w:val="00F54144"/>
    <w:rsid w:val="00F546F0"/>
    <w:rsid w:val="00F558E3"/>
    <w:rsid w:val="00F55D3E"/>
    <w:rsid w:val="00F56905"/>
    <w:rsid w:val="00F56EA2"/>
    <w:rsid w:val="00F5706B"/>
    <w:rsid w:val="00F57153"/>
    <w:rsid w:val="00F579D1"/>
    <w:rsid w:val="00F57AA2"/>
    <w:rsid w:val="00F57FB9"/>
    <w:rsid w:val="00F60964"/>
    <w:rsid w:val="00F60F94"/>
    <w:rsid w:val="00F616F5"/>
    <w:rsid w:val="00F61D18"/>
    <w:rsid w:val="00F61F48"/>
    <w:rsid w:val="00F6200E"/>
    <w:rsid w:val="00F62276"/>
    <w:rsid w:val="00F626E5"/>
    <w:rsid w:val="00F63AD5"/>
    <w:rsid w:val="00F63D9E"/>
    <w:rsid w:val="00F63E97"/>
    <w:rsid w:val="00F63F02"/>
    <w:rsid w:val="00F643DA"/>
    <w:rsid w:val="00F64746"/>
    <w:rsid w:val="00F64C9B"/>
    <w:rsid w:val="00F64DF2"/>
    <w:rsid w:val="00F64E25"/>
    <w:rsid w:val="00F65104"/>
    <w:rsid w:val="00F653EE"/>
    <w:rsid w:val="00F6567E"/>
    <w:rsid w:val="00F6578E"/>
    <w:rsid w:val="00F65868"/>
    <w:rsid w:val="00F6621D"/>
    <w:rsid w:val="00F6646D"/>
    <w:rsid w:val="00F66560"/>
    <w:rsid w:val="00F66731"/>
    <w:rsid w:val="00F66C5C"/>
    <w:rsid w:val="00F66D13"/>
    <w:rsid w:val="00F66DCC"/>
    <w:rsid w:val="00F66FAA"/>
    <w:rsid w:val="00F70474"/>
    <w:rsid w:val="00F704A6"/>
    <w:rsid w:val="00F70C2C"/>
    <w:rsid w:val="00F71693"/>
    <w:rsid w:val="00F7177A"/>
    <w:rsid w:val="00F71DF0"/>
    <w:rsid w:val="00F7245E"/>
    <w:rsid w:val="00F725C1"/>
    <w:rsid w:val="00F72806"/>
    <w:rsid w:val="00F72837"/>
    <w:rsid w:val="00F72C8D"/>
    <w:rsid w:val="00F7364C"/>
    <w:rsid w:val="00F73DB8"/>
    <w:rsid w:val="00F74570"/>
    <w:rsid w:val="00F748C2"/>
    <w:rsid w:val="00F749D6"/>
    <w:rsid w:val="00F74E36"/>
    <w:rsid w:val="00F76244"/>
    <w:rsid w:val="00F76CA6"/>
    <w:rsid w:val="00F76EFF"/>
    <w:rsid w:val="00F77955"/>
    <w:rsid w:val="00F77B2B"/>
    <w:rsid w:val="00F77CC9"/>
    <w:rsid w:val="00F77D7D"/>
    <w:rsid w:val="00F77DC9"/>
    <w:rsid w:val="00F80106"/>
    <w:rsid w:val="00F804E7"/>
    <w:rsid w:val="00F80780"/>
    <w:rsid w:val="00F808A9"/>
    <w:rsid w:val="00F80C6D"/>
    <w:rsid w:val="00F80C7E"/>
    <w:rsid w:val="00F82541"/>
    <w:rsid w:val="00F8289A"/>
    <w:rsid w:val="00F82AA6"/>
    <w:rsid w:val="00F83EB8"/>
    <w:rsid w:val="00F84086"/>
    <w:rsid w:val="00F84235"/>
    <w:rsid w:val="00F84768"/>
    <w:rsid w:val="00F849A2"/>
    <w:rsid w:val="00F852A9"/>
    <w:rsid w:val="00F86F1D"/>
    <w:rsid w:val="00F87500"/>
    <w:rsid w:val="00F8750E"/>
    <w:rsid w:val="00F8762D"/>
    <w:rsid w:val="00F878C7"/>
    <w:rsid w:val="00F900FE"/>
    <w:rsid w:val="00F902B8"/>
    <w:rsid w:val="00F90B7B"/>
    <w:rsid w:val="00F90D15"/>
    <w:rsid w:val="00F9105A"/>
    <w:rsid w:val="00F911DF"/>
    <w:rsid w:val="00F91B62"/>
    <w:rsid w:val="00F91D1C"/>
    <w:rsid w:val="00F91E82"/>
    <w:rsid w:val="00F91FB3"/>
    <w:rsid w:val="00F92EB3"/>
    <w:rsid w:val="00F93A5C"/>
    <w:rsid w:val="00F93D05"/>
    <w:rsid w:val="00F94673"/>
    <w:rsid w:val="00F94F7C"/>
    <w:rsid w:val="00F95543"/>
    <w:rsid w:val="00F95975"/>
    <w:rsid w:val="00F96087"/>
    <w:rsid w:val="00F96374"/>
    <w:rsid w:val="00F96413"/>
    <w:rsid w:val="00F9648C"/>
    <w:rsid w:val="00F964EB"/>
    <w:rsid w:val="00F968EA"/>
    <w:rsid w:val="00F9788D"/>
    <w:rsid w:val="00FA048E"/>
    <w:rsid w:val="00FA0A78"/>
    <w:rsid w:val="00FA0F42"/>
    <w:rsid w:val="00FA240E"/>
    <w:rsid w:val="00FA2731"/>
    <w:rsid w:val="00FA2BC5"/>
    <w:rsid w:val="00FA3245"/>
    <w:rsid w:val="00FA367C"/>
    <w:rsid w:val="00FA3866"/>
    <w:rsid w:val="00FA4400"/>
    <w:rsid w:val="00FA4544"/>
    <w:rsid w:val="00FA4E2F"/>
    <w:rsid w:val="00FA5145"/>
    <w:rsid w:val="00FA53B4"/>
    <w:rsid w:val="00FA58EF"/>
    <w:rsid w:val="00FA6985"/>
    <w:rsid w:val="00FA7826"/>
    <w:rsid w:val="00FA7A93"/>
    <w:rsid w:val="00FB09B7"/>
    <w:rsid w:val="00FB1233"/>
    <w:rsid w:val="00FB1CC3"/>
    <w:rsid w:val="00FB1CE7"/>
    <w:rsid w:val="00FB21AB"/>
    <w:rsid w:val="00FB2215"/>
    <w:rsid w:val="00FB2722"/>
    <w:rsid w:val="00FB2A19"/>
    <w:rsid w:val="00FB37D1"/>
    <w:rsid w:val="00FB39A9"/>
    <w:rsid w:val="00FB4044"/>
    <w:rsid w:val="00FB4100"/>
    <w:rsid w:val="00FB4830"/>
    <w:rsid w:val="00FB52E5"/>
    <w:rsid w:val="00FB537F"/>
    <w:rsid w:val="00FB5670"/>
    <w:rsid w:val="00FB56B3"/>
    <w:rsid w:val="00FB5964"/>
    <w:rsid w:val="00FB603B"/>
    <w:rsid w:val="00FB63D2"/>
    <w:rsid w:val="00FB7261"/>
    <w:rsid w:val="00FB75CF"/>
    <w:rsid w:val="00FB7C21"/>
    <w:rsid w:val="00FB7D07"/>
    <w:rsid w:val="00FB7E83"/>
    <w:rsid w:val="00FC0241"/>
    <w:rsid w:val="00FC0339"/>
    <w:rsid w:val="00FC0637"/>
    <w:rsid w:val="00FC07E9"/>
    <w:rsid w:val="00FC1846"/>
    <w:rsid w:val="00FC2523"/>
    <w:rsid w:val="00FC2BA3"/>
    <w:rsid w:val="00FC2CE9"/>
    <w:rsid w:val="00FC2DC5"/>
    <w:rsid w:val="00FC2E45"/>
    <w:rsid w:val="00FC2F29"/>
    <w:rsid w:val="00FC322C"/>
    <w:rsid w:val="00FC3446"/>
    <w:rsid w:val="00FC35F4"/>
    <w:rsid w:val="00FC3C91"/>
    <w:rsid w:val="00FC3F14"/>
    <w:rsid w:val="00FC4A34"/>
    <w:rsid w:val="00FC4C03"/>
    <w:rsid w:val="00FC4C56"/>
    <w:rsid w:val="00FC5695"/>
    <w:rsid w:val="00FC5D6E"/>
    <w:rsid w:val="00FC66A5"/>
    <w:rsid w:val="00FC6C10"/>
    <w:rsid w:val="00FC70BE"/>
    <w:rsid w:val="00FC7340"/>
    <w:rsid w:val="00FC7581"/>
    <w:rsid w:val="00FC75C3"/>
    <w:rsid w:val="00FD02B3"/>
    <w:rsid w:val="00FD0527"/>
    <w:rsid w:val="00FD0906"/>
    <w:rsid w:val="00FD0D26"/>
    <w:rsid w:val="00FD0D34"/>
    <w:rsid w:val="00FD100C"/>
    <w:rsid w:val="00FD19A8"/>
    <w:rsid w:val="00FD1A0A"/>
    <w:rsid w:val="00FD1C2B"/>
    <w:rsid w:val="00FD20E7"/>
    <w:rsid w:val="00FD2267"/>
    <w:rsid w:val="00FD2469"/>
    <w:rsid w:val="00FD2ACE"/>
    <w:rsid w:val="00FD32D9"/>
    <w:rsid w:val="00FD382B"/>
    <w:rsid w:val="00FD4093"/>
    <w:rsid w:val="00FD446C"/>
    <w:rsid w:val="00FD498B"/>
    <w:rsid w:val="00FD4A1D"/>
    <w:rsid w:val="00FD4EFA"/>
    <w:rsid w:val="00FD4F48"/>
    <w:rsid w:val="00FD524A"/>
    <w:rsid w:val="00FD54E4"/>
    <w:rsid w:val="00FD5A6E"/>
    <w:rsid w:val="00FD6178"/>
    <w:rsid w:val="00FD716A"/>
    <w:rsid w:val="00FD7476"/>
    <w:rsid w:val="00FD79CC"/>
    <w:rsid w:val="00FD7C89"/>
    <w:rsid w:val="00FE009C"/>
    <w:rsid w:val="00FE03FB"/>
    <w:rsid w:val="00FE0489"/>
    <w:rsid w:val="00FE0863"/>
    <w:rsid w:val="00FE0AED"/>
    <w:rsid w:val="00FE0B74"/>
    <w:rsid w:val="00FE11A2"/>
    <w:rsid w:val="00FE1508"/>
    <w:rsid w:val="00FE1702"/>
    <w:rsid w:val="00FE1B55"/>
    <w:rsid w:val="00FE1EC3"/>
    <w:rsid w:val="00FE1F66"/>
    <w:rsid w:val="00FE208E"/>
    <w:rsid w:val="00FE30C4"/>
    <w:rsid w:val="00FE3B79"/>
    <w:rsid w:val="00FE3C8F"/>
    <w:rsid w:val="00FE412F"/>
    <w:rsid w:val="00FE4242"/>
    <w:rsid w:val="00FE49B7"/>
    <w:rsid w:val="00FE4FE3"/>
    <w:rsid w:val="00FE5259"/>
    <w:rsid w:val="00FE678F"/>
    <w:rsid w:val="00FE6A09"/>
    <w:rsid w:val="00FE6EE8"/>
    <w:rsid w:val="00FE71BF"/>
    <w:rsid w:val="00FE71DB"/>
    <w:rsid w:val="00FE7268"/>
    <w:rsid w:val="00FE72B0"/>
    <w:rsid w:val="00FE7395"/>
    <w:rsid w:val="00FE73FC"/>
    <w:rsid w:val="00FE7561"/>
    <w:rsid w:val="00FF028F"/>
    <w:rsid w:val="00FF0360"/>
    <w:rsid w:val="00FF03A6"/>
    <w:rsid w:val="00FF04EA"/>
    <w:rsid w:val="00FF0552"/>
    <w:rsid w:val="00FF0B44"/>
    <w:rsid w:val="00FF0C00"/>
    <w:rsid w:val="00FF0ECE"/>
    <w:rsid w:val="00FF1703"/>
    <w:rsid w:val="00FF1950"/>
    <w:rsid w:val="00FF1C88"/>
    <w:rsid w:val="00FF20F9"/>
    <w:rsid w:val="00FF273E"/>
    <w:rsid w:val="00FF29CB"/>
    <w:rsid w:val="00FF3096"/>
    <w:rsid w:val="00FF312A"/>
    <w:rsid w:val="00FF316F"/>
    <w:rsid w:val="00FF346B"/>
    <w:rsid w:val="00FF390A"/>
    <w:rsid w:val="00FF4126"/>
    <w:rsid w:val="00FF4F6D"/>
    <w:rsid w:val="00FF5243"/>
    <w:rsid w:val="00FF52C7"/>
    <w:rsid w:val="00FF54F0"/>
    <w:rsid w:val="00FF5571"/>
    <w:rsid w:val="00FF57BB"/>
    <w:rsid w:val="00FF59CC"/>
    <w:rsid w:val="00FF5A59"/>
    <w:rsid w:val="00FF5C75"/>
    <w:rsid w:val="00FF5DC3"/>
    <w:rsid w:val="00FF5ED4"/>
    <w:rsid w:val="00FF6AF0"/>
    <w:rsid w:val="00FF6E75"/>
    <w:rsid w:val="00FF717A"/>
    <w:rsid w:val="00FF7FEA"/>
    <w:rsid w:val="012A6BDB"/>
    <w:rsid w:val="0187136C"/>
    <w:rsid w:val="01A329DB"/>
    <w:rsid w:val="01D7535E"/>
    <w:rsid w:val="01DC3DEE"/>
    <w:rsid w:val="02160F0D"/>
    <w:rsid w:val="02180F66"/>
    <w:rsid w:val="024008A5"/>
    <w:rsid w:val="024D0A91"/>
    <w:rsid w:val="0261499F"/>
    <w:rsid w:val="026D328E"/>
    <w:rsid w:val="028922BF"/>
    <w:rsid w:val="029B7F51"/>
    <w:rsid w:val="029D094A"/>
    <w:rsid w:val="03004BDE"/>
    <w:rsid w:val="03323B3B"/>
    <w:rsid w:val="036068E4"/>
    <w:rsid w:val="03636F67"/>
    <w:rsid w:val="036D3CCD"/>
    <w:rsid w:val="03857F7D"/>
    <w:rsid w:val="03C14A50"/>
    <w:rsid w:val="04087CF8"/>
    <w:rsid w:val="04207E72"/>
    <w:rsid w:val="044C5F8B"/>
    <w:rsid w:val="045621AE"/>
    <w:rsid w:val="046C7D60"/>
    <w:rsid w:val="0471084F"/>
    <w:rsid w:val="04735EE6"/>
    <w:rsid w:val="048021E8"/>
    <w:rsid w:val="049A66EA"/>
    <w:rsid w:val="04C86AA0"/>
    <w:rsid w:val="04DC2049"/>
    <w:rsid w:val="04F95C85"/>
    <w:rsid w:val="052C0B96"/>
    <w:rsid w:val="05C57BB2"/>
    <w:rsid w:val="06052E78"/>
    <w:rsid w:val="060C03A1"/>
    <w:rsid w:val="060E174D"/>
    <w:rsid w:val="06201CF4"/>
    <w:rsid w:val="06256349"/>
    <w:rsid w:val="062D08D8"/>
    <w:rsid w:val="06423013"/>
    <w:rsid w:val="064C75F3"/>
    <w:rsid w:val="0671505C"/>
    <w:rsid w:val="06B92FD2"/>
    <w:rsid w:val="06D53D65"/>
    <w:rsid w:val="07091ECE"/>
    <w:rsid w:val="07424039"/>
    <w:rsid w:val="074F323F"/>
    <w:rsid w:val="075F4C9F"/>
    <w:rsid w:val="07625D4D"/>
    <w:rsid w:val="07651DCB"/>
    <w:rsid w:val="07927789"/>
    <w:rsid w:val="07A23142"/>
    <w:rsid w:val="07CC23CB"/>
    <w:rsid w:val="07CD7839"/>
    <w:rsid w:val="07DE1A99"/>
    <w:rsid w:val="07E64FE3"/>
    <w:rsid w:val="07EE660F"/>
    <w:rsid w:val="07FE3701"/>
    <w:rsid w:val="08204893"/>
    <w:rsid w:val="084A4867"/>
    <w:rsid w:val="085602B5"/>
    <w:rsid w:val="085F4411"/>
    <w:rsid w:val="08652EFC"/>
    <w:rsid w:val="088417F6"/>
    <w:rsid w:val="088A4403"/>
    <w:rsid w:val="088E219D"/>
    <w:rsid w:val="0891762E"/>
    <w:rsid w:val="08A321A5"/>
    <w:rsid w:val="08AE6343"/>
    <w:rsid w:val="08BF5E5A"/>
    <w:rsid w:val="08F67234"/>
    <w:rsid w:val="091E6F4E"/>
    <w:rsid w:val="09205EAC"/>
    <w:rsid w:val="093C0630"/>
    <w:rsid w:val="09603AA6"/>
    <w:rsid w:val="096D4593"/>
    <w:rsid w:val="099D7E23"/>
    <w:rsid w:val="09AA066E"/>
    <w:rsid w:val="09AB4631"/>
    <w:rsid w:val="09C4787A"/>
    <w:rsid w:val="09DB5B0E"/>
    <w:rsid w:val="09F43AC6"/>
    <w:rsid w:val="0A371684"/>
    <w:rsid w:val="0A384DF5"/>
    <w:rsid w:val="0A4872F9"/>
    <w:rsid w:val="0A6C3DC0"/>
    <w:rsid w:val="0A773FE8"/>
    <w:rsid w:val="0A7F448A"/>
    <w:rsid w:val="0A8D16B6"/>
    <w:rsid w:val="0AF8380B"/>
    <w:rsid w:val="0B1200DE"/>
    <w:rsid w:val="0B261D14"/>
    <w:rsid w:val="0B266665"/>
    <w:rsid w:val="0B33092C"/>
    <w:rsid w:val="0B5D5A96"/>
    <w:rsid w:val="0B605267"/>
    <w:rsid w:val="0B8C2A38"/>
    <w:rsid w:val="0BA96923"/>
    <w:rsid w:val="0BAD41C3"/>
    <w:rsid w:val="0C0B7609"/>
    <w:rsid w:val="0C1535A1"/>
    <w:rsid w:val="0C2B392B"/>
    <w:rsid w:val="0C534C59"/>
    <w:rsid w:val="0C69703D"/>
    <w:rsid w:val="0C9E222B"/>
    <w:rsid w:val="0CBD06F8"/>
    <w:rsid w:val="0CF35CA7"/>
    <w:rsid w:val="0D014834"/>
    <w:rsid w:val="0D0F4ED6"/>
    <w:rsid w:val="0D613984"/>
    <w:rsid w:val="0D921AC0"/>
    <w:rsid w:val="0D9228EA"/>
    <w:rsid w:val="0D9304EB"/>
    <w:rsid w:val="0D98003D"/>
    <w:rsid w:val="0DC221F5"/>
    <w:rsid w:val="0DD02725"/>
    <w:rsid w:val="0DE52DB5"/>
    <w:rsid w:val="0DF611B3"/>
    <w:rsid w:val="0E177B3B"/>
    <w:rsid w:val="0E734A4C"/>
    <w:rsid w:val="0E9C10D8"/>
    <w:rsid w:val="0EA66BF9"/>
    <w:rsid w:val="0ED47333"/>
    <w:rsid w:val="0EE70B43"/>
    <w:rsid w:val="0F120817"/>
    <w:rsid w:val="0F267736"/>
    <w:rsid w:val="0F3B6457"/>
    <w:rsid w:val="0F4B6C27"/>
    <w:rsid w:val="0F4D1BD5"/>
    <w:rsid w:val="0F7926C1"/>
    <w:rsid w:val="0FAA548B"/>
    <w:rsid w:val="0FB11EE2"/>
    <w:rsid w:val="0FB14362"/>
    <w:rsid w:val="0FE200C5"/>
    <w:rsid w:val="102B1B82"/>
    <w:rsid w:val="105B76CF"/>
    <w:rsid w:val="10624297"/>
    <w:rsid w:val="1069582F"/>
    <w:rsid w:val="106B2800"/>
    <w:rsid w:val="106C2D6C"/>
    <w:rsid w:val="109D6377"/>
    <w:rsid w:val="11382893"/>
    <w:rsid w:val="11494CB5"/>
    <w:rsid w:val="114A1199"/>
    <w:rsid w:val="115364CF"/>
    <w:rsid w:val="116013AE"/>
    <w:rsid w:val="117369BF"/>
    <w:rsid w:val="11967974"/>
    <w:rsid w:val="11B63E03"/>
    <w:rsid w:val="11D64215"/>
    <w:rsid w:val="12045CC0"/>
    <w:rsid w:val="121905A7"/>
    <w:rsid w:val="1233078C"/>
    <w:rsid w:val="125757A9"/>
    <w:rsid w:val="125A3479"/>
    <w:rsid w:val="12774C3A"/>
    <w:rsid w:val="129B31AF"/>
    <w:rsid w:val="12A227FC"/>
    <w:rsid w:val="12B24C82"/>
    <w:rsid w:val="12E64707"/>
    <w:rsid w:val="12FA2ED1"/>
    <w:rsid w:val="13034CC2"/>
    <w:rsid w:val="13037243"/>
    <w:rsid w:val="1320666D"/>
    <w:rsid w:val="134E79ED"/>
    <w:rsid w:val="139C1111"/>
    <w:rsid w:val="13AC3672"/>
    <w:rsid w:val="13BB1914"/>
    <w:rsid w:val="13F04D39"/>
    <w:rsid w:val="14065285"/>
    <w:rsid w:val="141C67FA"/>
    <w:rsid w:val="143C2A55"/>
    <w:rsid w:val="148B7538"/>
    <w:rsid w:val="149A2DFA"/>
    <w:rsid w:val="14AC5E4A"/>
    <w:rsid w:val="14B21B5D"/>
    <w:rsid w:val="14BC5B96"/>
    <w:rsid w:val="14CA4E5A"/>
    <w:rsid w:val="14CF0E39"/>
    <w:rsid w:val="14D45E95"/>
    <w:rsid w:val="14EA6274"/>
    <w:rsid w:val="15352978"/>
    <w:rsid w:val="153614F6"/>
    <w:rsid w:val="15407256"/>
    <w:rsid w:val="15481EED"/>
    <w:rsid w:val="15A875C5"/>
    <w:rsid w:val="15D24848"/>
    <w:rsid w:val="162B1871"/>
    <w:rsid w:val="16301C1D"/>
    <w:rsid w:val="163074CE"/>
    <w:rsid w:val="16890235"/>
    <w:rsid w:val="169F2EC4"/>
    <w:rsid w:val="16A83A1C"/>
    <w:rsid w:val="16B03286"/>
    <w:rsid w:val="16B22DDC"/>
    <w:rsid w:val="16FE1178"/>
    <w:rsid w:val="1703321E"/>
    <w:rsid w:val="17166096"/>
    <w:rsid w:val="17190E2C"/>
    <w:rsid w:val="1730678E"/>
    <w:rsid w:val="173B6ACB"/>
    <w:rsid w:val="17440D60"/>
    <w:rsid w:val="17603BA1"/>
    <w:rsid w:val="17665D64"/>
    <w:rsid w:val="17943A15"/>
    <w:rsid w:val="1834013D"/>
    <w:rsid w:val="18493F6B"/>
    <w:rsid w:val="184F5916"/>
    <w:rsid w:val="18562F63"/>
    <w:rsid w:val="18605EAA"/>
    <w:rsid w:val="18B51028"/>
    <w:rsid w:val="18D87E25"/>
    <w:rsid w:val="18F23E13"/>
    <w:rsid w:val="18FF0FCE"/>
    <w:rsid w:val="191C5A42"/>
    <w:rsid w:val="192B12EA"/>
    <w:rsid w:val="19AE50FE"/>
    <w:rsid w:val="19DB6001"/>
    <w:rsid w:val="1A050C7F"/>
    <w:rsid w:val="1A331252"/>
    <w:rsid w:val="1A4A1E37"/>
    <w:rsid w:val="1A6E5932"/>
    <w:rsid w:val="1A700CC5"/>
    <w:rsid w:val="1A8844E0"/>
    <w:rsid w:val="1B2F4C86"/>
    <w:rsid w:val="1B384624"/>
    <w:rsid w:val="1B773965"/>
    <w:rsid w:val="1B7E039F"/>
    <w:rsid w:val="1B891AFD"/>
    <w:rsid w:val="1BAF5778"/>
    <w:rsid w:val="1BFC66E3"/>
    <w:rsid w:val="1BFE34F5"/>
    <w:rsid w:val="1C2277C9"/>
    <w:rsid w:val="1C257E23"/>
    <w:rsid w:val="1C2F10F1"/>
    <w:rsid w:val="1C34139E"/>
    <w:rsid w:val="1C41793F"/>
    <w:rsid w:val="1C435308"/>
    <w:rsid w:val="1C4778C9"/>
    <w:rsid w:val="1C680956"/>
    <w:rsid w:val="1C7D66C0"/>
    <w:rsid w:val="1C7F7328"/>
    <w:rsid w:val="1CAF69A0"/>
    <w:rsid w:val="1CB06AF0"/>
    <w:rsid w:val="1CED2FBB"/>
    <w:rsid w:val="1D1C2BCE"/>
    <w:rsid w:val="1D3674F8"/>
    <w:rsid w:val="1D60372C"/>
    <w:rsid w:val="1D726A97"/>
    <w:rsid w:val="1D7D4070"/>
    <w:rsid w:val="1D8B45E4"/>
    <w:rsid w:val="1DA166D1"/>
    <w:rsid w:val="1DD371AF"/>
    <w:rsid w:val="1DD7758F"/>
    <w:rsid w:val="1E452368"/>
    <w:rsid w:val="1E95623E"/>
    <w:rsid w:val="1EA47901"/>
    <w:rsid w:val="1EA77665"/>
    <w:rsid w:val="1EBE6820"/>
    <w:rsid w:val="1EEF5843"/>
    <w:rsid w:val="1EFC4269"/>
    <w:rsid w:val="1F144072"/>
    <w:rsid w:val="1F266FEF"/>
    <w:rsid w:val="1F8C2A73"/>
    <w:rsid w:val="1F92189C"/>
    <w:rsid w:val="1FB2746D"/>
    <w:rsid w:val="200709BC"/>
    <w:rsid w:val="20184B06"/>
    <w:rsid w:val="204B3C7E"/>
    <w:rsid w:val="204E4588"/>
    <w:rsid w:val="20852362"/>
    <w:rsid w:val="20A36171"/>
    <w:rsid w:val="20B91459"/>
    <w:rsid w:val="20E55BFC"/>
    <w:rsid w:val="20E64474"/>
    <w:rsid w:val="20EC563B"/>
    <w:rsid w:val="21A4259C"/>
    <w:rsid w:val="21A65C64"/>
    <w:rsid w:val="21CB3F90"/>
    <w:rsid w:val="220F17A9"/>
    <w:rsid w:val="22145011"/>
    <w:rsid w:val="222A6F69"/>
    <w:rsid w:val="223E4D78"/>
    <w:rsid w:val="22531AE4"/>
    <w:rsid w:val="22AC1775"/>
    <w:rsid w:val="22C33B87"/>
    <w:rsid w:val="22D02D6B"/>
    <w:rsid w:val="22D442C6"/>
    <w:rsid w:val="22D57440"/>
    <w:rsid w:val="22DF6CED"/>
    <w:rsid w:val="22E4050C"/>
    <w:rsid w:val="22EA38D7"/>
    <w:rsid w:val="231A1BC5"/>
    <w:rsid w:val="233553CB"/>
    <w:rsid w:val="234902D9"/>
    <w:rsid w:val="236C40CC"/>
    <w:rsid w:val="236E0CE7"/>
    <w:rsid w:val="23785E6D"/>
    <w:rsid w:val="23A02EF4"/>
    <w:rsid w:val="23A7029C"/>
    <w:rsid w:val="23AE001C"/>
    <w:rsid w:val="23C452BF"/>
    <w:rsid w:val="23D4149A"/>
    <w:rsid w:val="23DF0CFE"/>
    <w:rsid w:val="2415687F"/>
    <w:rsid w:val="24194B61"/>
    <w:rsid w:val="242C48E2"/>
    <w:rsid w:val="24771887"/>
    <w:rsid w:val="24794637"/>
    <w:rsid w:val="24857B13"/>
    <w:rsid w:val="24A47828"/>
    <w:rsid w:val="24D82326"/>
    <w:rsid w:val="24EE02F3"/>
    <w:rsid w:val="2509367B"/>
    <w:rsid w:val="256F4FB0"/>
    <w:rsid w:val="25813A7E"/>
    <w:rsid w:val="258C5018"/>
    <w:rsid w:val="25D52801"/>
    <w:rsid w:val="25FA1686"/>
    <w:rsid w:val="26433CC0"/>
    <w:rsid w:val="26832978"/>
    <w:rsid w:val="26956616"/>
    <w:rsid w:val="26E02BAF"/>
    <w:rsid w:val="26E97B58"/>
    <w:rsid w:val="270A6969"/>
    <w:rsid w:val="27194B91"/>
    <w:rsid w:val="273C4291"/>
    <w:rsid w:val="27B278EB"/>
    <w:rsid w:val="27BF5EC8"/>
    <w:rsid w:val="27C61713"/>
    <w:rsid w:val="28301BC2"/>
    <w:rsid w:val="285223EF"/>
    <w:rsid w:val="28555138"/>
    <w:rsid w:val="285E3669"/>
    <w:rsid w:val="289F5599"/>
    <w:rsid w:val="28A8388D"/>
    <w:rsid w:val="28FC3266"/>
    <w:rsid w:val="29170E8E"/>
    <w:rsid w:val="29414C87"/>
    <w:rsid w:val="294A30C6"/>
    <w:rsid w:val="298365D8"/>
    <w:rsid w:val="2991607D"/>
    <w:rsid w:val="29934A6D"/>
    <w:rsid w:val="299C41E5"/>
    <w:rsid w:val="29A749BD"/>
    <w:rsid w:val="29B922E3"/>
    <w:rsid w:val="29E700AF"/>
    <w:rsid w:val="2A2B3D75"/>
    <w:rsid w:val="2A2D29D0"/>
    <w:rsid w:val="2A3B1FD1"/>
    <w:rsid w:val="2A43512D"/>
    <w:rsid w:val="2A662475"/>
    <w:rsid w:val="2A6B48DA"/>
    <w:rsid w:val="2A712F5A"/>
    <w:rsid w:val="2A7407B0"/>
    <w:rsid w:val="2AA71852"/>
    <w:rsid w:val="2AC5799B"/>
    <w:rsid w:val="2AE61515"/>
    <w:rsid w:val="2AF74DF0"/>
    <w:rsid w:val="2B2E2E6D"/>
    <w:rsid w:val="2B4019A6"/>
    <w:rsid w:val="2B7A1F9D"/>
    <w:rsid w:val="2BB1797F"/>
    <w:rsid w:val="2BEF7DF6"/>
    <w:rsid w:val="2C407566"/>
    <w:rsid w:val="2C5073B7"/>
    <w:rsid w:val="2C5A469A"/>
    <w:rsid w:val="2C730CBC"/>
    <w:rsid w:val="2C742EF8"/>
    <w:rsid w:val="2CA500A0"/>
    <w:rsid w:val="2CA7770C"/>
    <w:rsid w:val="2CD05E13"/>
    <w:rsid w:val="2CF24CA2"/>
    <w:rsid w:val="2D001520"/>
    <w:rsid w:val="2D047E87"/>
    <w:rsid w:val="2D2533E8"/>
    <w:rsid w:val="2D267342"/>
    <w:rsid w:val="2D301F27"/>
    <w:rsid w:val="2D524C40"/>
    <w:rsid w:val="2D9374E4"/>
    <w:rsid w:val="2D984876"/>
    <w:rsid w:val="2DBB1197"/>
    <w:rsid w:val="2E1B4A8B"/>
    <w:rsid w:val="2E3517C2"/>
    <w:rsid w:val="2E3D4EAE"/>
    <w:rsid w:val="2EBF7311"/>
    <w:rsid w:val="2EFF0857"/>
    <w:rsid w:val="2F1D347C"/>
    <w:rsid w:val="2F284DAC"/>
    <w:rsid w:val="2F676650"/>
    <w:rsid w:val="2F7E09D2"/>
    <w:rsid w:val="2F833C20"/>
    <w:rsid w:val="2FA4262E"/>
    <w:rsid w:val="2FAC04EE"/>
    <w:rsid w:val="2FCD64F5"/>
    <w:rsid w:val="30206435"/>
    <w:rsid w:val="303E1BD8"/>
    <w:rsid w:val="304D454B"/>
    <w:rsid w:val="306E110D"/>
    <w:rsid w:val="308053A1"/>
    <w:rsid w:val="30894E1C"/>
    <w:rsid w:val="309D1BA5"/>
    <w:rsid w:val="30A05EE6"/>
    <w:rsid w:val="30BA05C7"/>
    <w:rsid w:val="30DA1947"/>
    <w:rsid w:val="30DB012F"/>
    <w:rsid w:val="30DD06C1"/>
    <w:rsid w:val="30E639E9"/>
    <w:rsid w:val="30F1045C"/>
    <w:rsid w:val="31100DB6"/>
    <w:rsid w:val="31106AF3"/>
    <w:rsid w:val="3138779D"/>
    <w:rsid w:val="31612F97"/>
    <w:rsid w:val="3183266E"/>
    <w:rsid w:val="31851E93"/>
    <w:rsid w:val="31990D8C"/>
    <w:rsid w:val="31A74CD8"/>
    <w:rsid w:val="31BB3EC1"/>
    <w:rsid w:val="31DF3EA7"/>
    <w:rsid w:val="32186458"/>
    <w:rsid w:val="323C4451"/>
    <w:rsid w:val="32542BDC"/>
    <w:rsid w:val="32595746"/>
    <w:rsid w:val="3292029A"/>
    <w:rsid w:val="32980010"/>
    <w:rsid w:val="32AE455D"/>
    <w:rsid w:val="32BE3BBF"/>
    <w:rsid w:val="32D85766"/>
    <w:rsid w:val="32E74531"/>
    <w:rsid w:val="32F7723A"/>
    <w:rsid w:val="330F34C3"/>
    <w:rsid w:val="3350775E"/>
    <w:rsid w:val="33943AEA"/>
    <w:rsid w:val="33BA12A8"/>
    <w:rsid w:val="33CB7AB0"/>
    <w:rsid w:val="342866FA"/>
    <w:rsid w:val="342D5ABF"/>
    <w:rsid w:val="343476E6"/>
    <w:rsid w:val="344053A1"/>
    <w:rsid w:val="34544A20"/>
    <w:rsid w:val="345C55B0"/>
    <w:rsid w:val="34651D91"/>
    <w:rsid w:val="34673628"/>
    <w:rsid w:val="34A4197E"/>
    <w:rsid w:val="34FF52B7"/>
    <w:rsid w:val="35377484"/>
    <w:rsid w:val="35521618"/>
    <w:rsid w:val="357E71DA"/>
    <w:rsid w:val="35D95EFE"/>
    <w:rsid w:val="35E34207"/>
    <w:rsid w:val="36043776"/>
    <w:rsid w:val="36387908"/>
    <w:rsid w:val="363F76E9"/>
    <w:rsid w:val="366A415E"/>
    <w:rsid w:val="36B655A8"/>
    <w:rsid w:val="36C144BC"/>
    <w:rsid w:val="36D609BA"/>
    <w:rsid w:val="36EE4F11"/>
    <w:rsid w:val="36FA7FC4"/>
    <w:rsid w:val="370E7FCC"/>
    <w:rsid w:val="371C7014"/>
    <w:rsid w:val="37204487"/>
    <w:rsid w:val="373F035A"/>
    <w:rsid w:val="373F0A15"/>
    <w:rsid w:val="37B37A39"/>
    <w:rsid w:val="37B93AD0"/>
    <w:rsid w:val="37E4465E"/>
    <w:rsid w:val="37ED33C8"/>
    <w:rsid w:val="3807783E"/>
    <w:rsid w:val="381B3910"/>
    <w:rsid w:val="38586D42"/>
    <w:rsid w:val="38624DA0"/>
    <w:rsid w:val="389747CE"/>
    <w:rsid w:val="38CA011C"/>
    <w:rsid w:val="38D4122C"/>
    <w:rsid w:val="38DF0809"/>
    <w:rsid w:val="38E440CC"/>
    <w:rsid w:val="38FE7EE4"/>
    <w:rsid w:val="39190A8A"/>
    <w:rsid w:val="394B1AA0"/>
    <w:rsid w:val="39562AF0"/>
    <w:rsid w:val="396C0E37"/>
    <w:rsid w:val="398A4394"/>
    <w:rsid w:val="398B750F"/>
    <w:rsid w:val="399C796E"/>
    <w:rsid w:val="39BB0146"/>
    <w:rsid w:val="39F31AC4"/>
    <w:rsid w:val="3A125261"/>
    <w:rsid w:val="3A461688"/>
    <w:rsid w:val="3A5119C6"/>
    <w:rsid w:val="3A897546"/>
    <w:rsid w:val="3ABA17B0"/>
    <w:rsid w:val="3AE07D2F"/>
    <w:rsid w:val="3AE7497A"/>
    <w:rsid w:val="3B1A0DCD"/>
    <w:rsid w:val="3B6C511E"/>
    <w:rsid w:val="3BAD592B"/>
    <w:rsid w:val="3BB23933"/>
    <w:rsid w:val="3BB35406"/>
    <w:rsid w:val="3BCA3A3E"/>
    <w:rsid w:val="3C141433"/>
    <w:rsid w:val="3C3540FC"/>
    <w:rsid w:val="3C4A2D68"/>
    <w:rsid w:val="3C5C417F"/>
    <w:rsid w:val="3C787925"/>
    <w:rsid w:val="3C8C47DE"/>
    <w:rsid w:val="3CC50F8A"/>
    <w:rsid w:val="3CE32C25"/>
    <w:rsid w:val="3CE37662"/>
    <w:rsid w:val="3CE7095C"/>
    <w:rsid w:val="3D2862C0"/>
    <w:rsid w:val="3D497E22"/>
    <w:rsid w:val="3D610642"/>
    <w:rsid w:val="3D98044D"/>
    <w:rsid w:val="3DBB3335"/>
    <w:rsid w:val="3DE22645"/>
    <w:rsid w:val="3DE41F53"/>
    <w:rsid w:val="3E1960BA"/>
    <w:rsid w:val="3E535F42"/>
    <w:rsid w:val="3E596261"/>
    <w:rsid w:val="3E6946D6"/>
    <w:rsid w:val="3E851A65"/>
    <w:rsid w:val="3EA62E96"/>
    <w:rsid w:val="3ED21DD7"/>
    <w:rsid w:val="3EF50134"/>
    <w:rsid w:val="3F2E3EB1"/>
    <w:rsid w:val="3F3A3A46"/>
    <w:rsid w:val="3F847CE4"/>
    <w:rsid w:val="3F8B74A4"/>
    <w:rsid w:val="3FEB51AC"/>
    <w:rsid w:val="401E2A4B"/>
    <w:rsid w:val="40273880"/>
    <w:rsid w:val="403246BC"/>
    <w:rsid w:val="403B7485"/>
    <w:rsid w:val="406929C0"/>
    <w:rsid w:val="40965073"/>
    <w:rsid w:val="40AC5132"/>
    <w:rsid w:val="40F97EBF"/>
    <w:rsid w:val="413805E4"/>
    <w:rsid w:val="414D1313"/>
    <w:rsid w:val="416A08CB"/>
    <w:rsid w:val="41833AD0"/>
    <w:rsid w:val="41DD5999"/>
    <w:rsid w:val="42133F79"/>
    <w:rsid w:val="423155E5"/>
    <w:rsid w:val="426A19DE"/>
    <w:rsid w:val="42D31ABB"/>
    <w:rsid w:val="43413B0E"/>
    <w:rsid w:val="43640463"/>
    <w:rsid w:val="436A1270"/>
    <w:rsid w:val="4397785A"/>
    <w:rsid w:val="43DF452A"/>
    <w:rsid w:val="43E6788F"/>
    <w:rsid w:val="443133AD"/>
    <w:rsid w:val="443A4413"/>
    <w:rsid w:val="445541BC"/>
    <w:rsid w:val="446C1BE3"/>
    <w:rsid w:val="44B4450D"/>
    <w:rsid w:val="44B73B9E"/>
    <w:rsid w:val="44B8027E"/>
    <w:rsid w:val="44F05012"/>
    <w:rsid w:val="453745A9"/>
    <w:rsid w:val="455E0AF9"/>
    <w:rsid w:val="45746D73"/>
    <w:rsid w:val="459473A2"/>
    <w:rsid w:val="45F235C6"/>
    <w:rsid w:val="45F4643C"/>
    <w:rsid w:val="45FF1671"/>
    <w:rsid w:val="463902F3"/>
    <w:rsid w:val="465B00EC"/>
    <w:rsid w:val="467923C2"/>
    <w:rsid w:val="467D500D"/>
    <w:rsid w:val="468531A6"/>
    <w:rsid w:val="46CA5515"/>
    <w:rsid w:val="46E06017"/>
    <w:rsid w:val="46E618B0"/>
    <w:rsid w:val="46F64735"/>
    <w:rsid w:val="46FB2D36"/>
    <w:rsid w:val="47514A22"/>
    <w:rsid w:val="476D37CD"/>
    <w:rsid w:val="47BD559E"/>
    <w:rsid w:val="47D91A7B"/>
    <w:rsid w:val="47F4254D"/>
    <w:rsid w:val="47FA70F6"/>
    <w:rsid w:val="486A4813"/>
    <w:rsid w:val="48AA5A9E"/>
    <w:rsid w:val="48C91E02"/>
    <w:rsid w:val="48D16F41"/>
    <w:rsid w:val="48FD5774"/>
    <w:rsid w:val="493D21DC"/>
    <w:rsid w:val="498015A2"/>
    <w:rsid w:val="49B21E66"/>
    <w:rsid w:val="49B660D8"/>
    <w:rsid w:val="49D739E0"/>
    <w:rsid w:val="49DB50EF"/>
    <w:rsid w:val="4A2540DF"/>
    <w:rsid w:val="4A25579A"/>
    <w:rsid w:val="4A3374A3"/>
    <w:rsid w:val="4A8A23E2"/>
    <w:rsid w:val="4AA55879"/>
    <w:rsid w:val="4AC705C3"/>
    <w:rsid w:val="4ACE5EF4"/>
    <w:rsid w:val="4AF3384D"/>
    <w:rsid w:val="4B01279C"/>
    <w:rsid w:val="4B3E4DDD"/>
    <w:rsid w:val="4B4962F6"/>
    <w:rsid w:val="4B6035D5"/>
    <w:rsid w:val="4B744926"/>
    <w:rsid w:val="4B7D0C82"/>
    <w:rsid w:val="4B8658F5"/>
    <w:rsid w:val="4BAE27C6"/>
    <w:rsid w:val="4BB4735A"/>
    <w:rsid w:val="4BBF68EA"/>
    <w:rsid w:val="4BF946A1"/>
    <w:rsid w:val="4C012077"/>
    <w:rsid w:val="4C087F6D"/>
    <w:rsid w:val="4C2B46CE"/>
    <w:rsid w:val="4C3C0B94"/>
    <w:rsid w:val="4C59524B"/>
    <w:rsid w:val="4C5A115B"/>
    <w:rsid w:val="4C9345C9"/>
    <w:rsid w:val="4CB10987"/>
    <w:rsid w:val="4CCA1EE3"/>
    <w:rsid w:val="4D77089F"/>
    <w:rsid w:val="4DD21759"/>
    <w:rsid w:val="4DF2296B"/>
    <w:rsid w:val="4E4D75AC"/>
    <w:rsid w:val="4E5452DD"/>
    <w:rsid w:val="4E994D66"/>
    <w:rsid w:val="4EBB1FBE"/>
    <w:rsid w:val="4F1C59B5"/>
    <w:rsid w:val="4F394A47"/>
    <w:rsid w:val="4F401F5A"/>
    <w:rsid w:val="4FC01D0B"/>
    <w:rsid w:val="4FDA7242"/>
    <w:rsid w:val="4FE86823"/>
    <w:rsid w:val="5001644B"/>
    <w:rsid w:val="50073CD8"/>
    <w:rsid w:val="501632B6"/>
    <w:rsid w:val="5035213F"/>
    <w:rsid w:val="503E5B12"/>
    <w:rsid w:val="50A05B3E"/>
    <w:rsid w:val="50AA5769"/>
    <w:rsid w:val="50B07B65"/>
    <w:rsid w:val="50BC3C56"/>
    <w:rsid w:val="50E21575"/>
    <w:rsid w:val="50E216EC"/>
    <w:rsid w:val="510058AF"/>
    <w:rsid w:val="510338CE"/>
    <w:rsid w:val="510B6206"/>
    <w:rsid w:val="515427B2"/>
    <w:rsid w:val="51842D6A"/>
    <w:rsid w:val="51B67F42"/>
    <w:rsid w:val="51BE172C"/>
    <w:rsid w:val="51C5500D"/>
    <w:rsid w:val="51D1690B"/>
    <w:rsid w:val="51E22966"/>
    <w:rsid w:val="520F52E0"/>
    <w:rsid w:val="523946BB"/>
    <w:rsid w:val="52A8230B"/>
    <w:rsid w:val="52E26672"/>
    <w:rsid w:val="52EA5E9A"/>
    <w:rsid w:val="5323217E"/>
    <w:rsid w:val="53304E78"/>
    <w:rsid w:val="5331495F"/>
    <w:rsid w:val="53B25189"/>
    <w:rsid w:val="53B26779"/>
    <w:rsid w:val="53B816DA"/>
    <w:rsid w:val="53DC7850"/>
    <w:rsid w:val="53FA1EB2"/>
    <w:rsid w:val="541765ED"/>
    <w:rsid w:val="542E3461"/>
    <w:rsid w:val="54304C3A"/>
    <w:rsid w:val="5452626F"/>
    <w:rsid w:val="546964A2"/>
    <w:rsid w:val="54887C10"/>
    <w:rsid w:val="54A8282A"/>
    <w:rsid w:val="54B648B4"/>
    <w:rsid w:val="54EC4B8A"/>
    <w:rsid w:val="552C45C5"/>
    <w:rsid w:val="5597368F"/>
    <w:rsid w:val="55AF412E"/>
    <w:rsid w:val="55BB53BC"/>
    <w:rsid w:val="55E71B19"/>
    <w:rsid w:val="561713C4"/>
    <w:rsid w:val="56185498"/>
    <w:rsid w:val="56E31D66"/>
    <w:rsid w:val="56EB1C87"/>
    <w:rsid w:val="56F76DC0"/>
    <w:rsid w:val="57106E4E"/>
    <w:rsid w:val="571D7657"/>
    <w:rsid w:val="574F106A"/>
    <w:rsid w:val="57BB1FCF"/>
    <w:rsid w:val="57FB066A"/>
    <w:rsid w:val="57FD6A7F"/>
    <w:rsid w:val="582A14DF"/>
    <w:rsid w:val="582A3264"/>
    <w:rsid w:val="58455451"/>
    <w:rsid w:val="58C171FD"/>
    <w:rsid w:val="58CD0F97"/>
    <w:rsid w:val="58DD6289"/>
    <w:rsid w:val="58E30B4A"/>
    <w:rsid w:val="592E2B23"/>
    <w:rsid w:val="59703DD6"/>
    <w:rsid w:val="59B048D4"/>
    <w:rsid w:val="59B31320"/>
    <w:rsid w:val="59B765C7"/>
    <w:rsid w:val="59D93328"/>
    <w:rsid w:val="59F4397E"/>
    <w:rsid w:val="59F82B59"/>
    <w:rsid w:val="59FB3737"/>
    <w:rsid w:val="5A0D56EE"/>
    <w:rsid w:val="5A1D5B0A"/>
    <w:rsid w:val="5A406B06"/>
    <w:rsid w:val="5A775DBA"/>
    <w:rsid w:val="5A8B5169"/>
    <w:rsid w:val="5AB04BD0"/>
    <w:rsid w:val="5AB306C8"/>
    <w:rsid w:val="5AB673D5"/>
    <w:rsid w:val="5AFC195D"/>
    <w:rsid w:val="5B177230"/>
    <w:rsid w:val="5B1D7D07"/>
    <w:rsid w:val="5B597015"/>
    <w:rsid w:val="5B886B8D"/>
    <w:rsid w:val="5BAF00C0"/>
    <w:rsid w:val="5BEA52B2"/>
    <w:rsid w:val="5C0B7337"/>
    <w:rsid w:val="5C162695"/>
    <w:rsid w:val="5C1B1468"/>
    <w:rsid w:val="5C1F6754"/>
    <w:rsid w:val="5C647F44"/>
    <w:rsid w:val="5C6A68BA"/>
    <w:rsid w:val="5C9F6008"/>
    <w:rsid w:val="5CE24159"/>
    <w:rsid w:val="5D026709"/>
    <w:rsid w:val="5D10361C"/>
    <w:rsid w:val="5D252794"/>
    <w:rsid w:val="5D551A5E"/>
    <w:rsid w:val="5D6A1742"/>
    <w:rsid w:val="5D915781"/>
    <w:rsid w:val="5DA51E73"/>
    <w:rsid w:val="5DF44EE5"/>
    <w:rsid w:val="5DFA021E"/>
    <w:rsid w:val="5E0003DB"/>
    <w:rsid w:val="5E654390"/>
    <w:rsid w:val="5E675F35"/>
    <w:rsid w:val="5EB84284"/>
    <w:rsid w:val="5F407013"/>
    <w:rsid w:val="5F8C7C28"/>
    <w:rsid w:val="5F955896"/>
    <w:rsid w:val="5FD35B6B"/>
    <w:rsid w:val="5FFE42E6"/>
    <w:rsid w:val="600279FB"/>
    <w:rsid w:val="600769A2"/>
    <w:rsid w:val="60120FE2"/>
    <w:rsid w:val="605639B6"/>
    <w:rsid w:val="605B472F"/>
    <w:rsid w:val="60737D98"/>
    <w:rsid w:val="607B6C7B"/>
    <w:rsid w:val="60830691"/>
    <w:rsid w:val="60874A2A"/>
    <w:rsid w:val="60DA6A9B"/>
    <w:rsid w:val="60DB66B3"/>
    <w:rsid w:val="60F80163"/>
    <w:rsid w:val="60FE202F"/>
    <w:rsid w:val="612467AC"/>
    <w:rsid w:val="615B4D31"/>
    <w:rsid w:val="61723D98"/>
    <w:rsid w:val="61734A90"/>
    <w:rsid w:val="617E62F8"/>
    <w:rsid w:val="61870A4A"/>
    <w:rsid w:val="6187699E"/>
    <w:rsid w:val="61D53A62"/>
    <w:rsid w:val="61D7564C"/>
    <w:rsid w:val="623021B6"/>
    <w:rsid w:val="625D7C3F"/>
    <w:rsid w:val="62605CA9"/>
    <w:rsid w:val="62653C7E"/>
    <w:rsid w:val="62A031D6"/>
    <w:rsid w:val="62BF3BAA"/>
    <w:rsid w:val="63366182"/>
    <w:rsid w:val="633772D8"/>
    <w:rsid w:val="63A54533"/>
    <w:rsid w:val="63B35731"/>
    <w:rsid w:val="63BD49B1"/>
    <w:rsid w:val="64B82FFF"/>
    <w:rsid w:val="64CD66F0"/>
    <w:rsid w:val="64D90F90"/>
    <w:rsid w:val="64DC70B9"/>
    <w:rsid w:val="64DF7B8D"/>
    <w:rsid w:val="64E33A79"/>
    <w:rsid w:val="650A5085"/>
    <w:rsid w:val="65182E40"/>
    <w:rsid w:val="651C26B1"/>
    <w:rsid w:val="65467660"/>
    <w:rsid w:val="654D435F"/>
    <w:rsid w:val="659B6B2D"/>
    <w:rsid w:val="659F7CF2"/>
    <w:rsid w:val="65CF2872"/>
    <w:rsid w:val="65D35C16"/>
    <w:rsid w:val="65E6594A"/>
    <w:rsid w:val="65F932BD"/>
    <w:rsid w:val="65FE60D1"/>
    <w:rsid w:val="66216BAA"/>
    <w:rsid w:val="66255CB7"/>
    <w:rsid w:val="666D5257"/>
    <w:rsid w:val="667E6A89"/>
    <w:rsid w:val="667E75FE"/>
    <w:rsid w:val="66891EC3"/>
    <w:rsid w:val="6691055B"/>
    <w:rsid w:val="669F5D64"/>
    <w:rsid w:val="66BF50EF"/>
    <w:rsid w:val="66CD4D5B"/>
    <w:rsid w:val="66FF7FE0"/>
    <w:rsid w:val="670F5E99"/>
    <w:rsid w:val="677107A5"/>
    <w:rsid w:val="677156E7"/>
    <w:rsid w:val="678B782A"/>
    <w:rsid w:val="67916E53"/>
    <w:rsid w:val="67B14789"/>
    <w:rsid w:val="67F64880"/>
    <w:rsid w:val="68190969"/>
    <w:rsid w:val="68221396"/>
    <w:rsid w:val="685B6D50"/>
    <w:rsid w:val="686F7BAE"/>
    <w:rsid w:val="687B51BA"/>
    <w:rsid w:val="689F14E3"/>
    <w:rsid w:val="68B30A78"/>
    <w:rsid w:val="68D26E7C"/>
    <w:rsid w:val="690101EE"/>
    <w:rsid w:val="69162901"/>
    <w:rsid w:val="693327CF"/>
    <w:rsid w:val="694F1A58"/>
    <w:rsid w:val="6965127B"/>
    <w:rsid w:val="697B0A9F"/>
    <w:rsid w:val="69A77547"/>
    <w:rsid w:val="69CC0026"/>
    <w:rsid w:val="69DE4E21"/>
    <w:rsid w:val="6A26597D"/>
    <w:rsid w:val="6A456EC8"/>
    <w:rsid w:val="6A4E464A"/>
    <w:rsid w:val="6A746F4B"/>
    <w:rsid w:val="6AD11DA8"/>
    <w:rsid w:val="6AD243DF"/>
    <w:rsid w:val="6AD76C05"/>
    <w:rsid w:val="6B5B283D"/>
    <w:rsid w:val="6B6237D8"/>
    <w:rsid w:val="6B8E3EFD"/>
    <w:rsid w:val="6B8F1062"/>
    <w:rsid w:val="6BA131EF"/>
    <w:rsid w:val="6BC75687"/>
    <w:rsid w:val="6BCD47FF"/>
    <w:rsid w:val="6C066C5A"/>
    <w:rsid w:val="6C1273A3"/>
    <w:rsid w:val="6C354788"/>
    <w:rsid w:val="6C6410BC"/>
    <w:rsid w:val="6C774E0A"/>
    <w:rsid w:val="6C79492F"/>
    <w:rsid w:val="6C8F0D21"/>
    <w:rsid w:val="6CAD0F6F"/>
    <w:rsid w:val="6CEF11F8"/>
    <w:rsid w:val="6D9A39A4"/>
    <w:rsid w:val="6DFD3218"/>
    <w:rsid w:val="6E8A76A2"/>
    <w:rsid w:val="6E925F89"/>
    <w:rsid w:val="6EA85492"/>
    <w:rsid w:val="6EB8659C"/>
    <w:rsid w:val="6EDC65A5"/>
    <w:rsid w:val="6F0E0896"/>
    <w:rsid w:val="6F1A3C6D"/>
    <w:rsid w:val="6F2D48F4"/>
    <w:rsid w:val="6F9D01D8"/>
    <w:rsid w:val="6FA13052"/>
    <w:rsid w:val="6FB2535F"/>
    <w:rsid w:val="6FC54822"/>
    <w:rsid w:val="6FCA14A7"/>
    <w:rsid w:val="6FE21D4C"/>
    <w:rsid w:val="6FEE40C8"/>
    <w:rsid w:val="70116E72"/>
    <w:rsid w:val="701C575F"/>
    <w:rsid w:val="702D35FF"/>
    <w:rsid w:val="703325C4"/>
    <w:rsid w:val="70386C55"/>
    <w:rsid w:val="7060279C"/>
    <w:rsid w:val="707F2C23"/>
    <w:rsid w:val="70855473"/>
    <w:rsid w:val="70B14591"/>
    <w:rsid w:val="70B855B9"/>
    <w:rsid w:val="70DA1D7B"/>
    <w:rsid w:val="711D58FE"/>
    <w:rsid w:val="716B4BFD"/>
    <w:rsid w:val="717446DD"/>
    <w:rsid w:val="71861897"/>
    <w:rsid w:val="71DF72FF"/>
    <w:rsid w:val="72282783"/>
    <w:rsid w:val="72507AA6"/>
    <w:rsid w:val="72A11576"/>
    <w:rsid w:val="72BE1511"/>
    <w:rsid w:val="72CD593C"/>
    <w:rsid w:val="72D86C53"/>
    <w:rsid w:val="73431760"/>
    <w:rsid w:val="73544445"/>
    <w:rsid w:val="737A1DC7"/>
    <w:rsid w:val="7385098E"/>
    <w:rsid w:val="73A154A5"/>
    <w:rsid w:val="74063229"/>
    <w:rsid w:val="742E1998"/>
    <w:rsid w:val="74395578"/>
    <w:rsid w:val="74675FF8"/>
    <w:rsid w:val="753331DA"/>
    <w:rsid w:val="75470881"/>
    <w:rsid w:val="754F352F"/>
    <w:rsid w:val="759D2AF9"/>
    <w:rsid w:val="75A02087"/>
    <w:rsid w:val="75B83D0F"/>
    <w:rsid w:val="75CB05D8"/>
    <w:rsid w:val="76010F6E"/>
    <w:rsid w:val="763728EB"/>
    <w:rsid w:val="7676578E"/>
    <w:rsid w:val="76DA1EB8"/>
    <w:rsid w:val="77180160"/>
    <w:rsid w:val="774360FA"/>
    <w:rsid w:val="776E52F8"/>
    <w:rsid w:val="77997D01"/>
    <w:rsid w:val="77A71182"/>
    <w:rsid w:val="77C63C43"/>
    <w:rsid w:val="77D25CB5"/>
    <w:rsid w:val="77E33269"/>
    <w:rsid w:val="77E720B2"/>
    <w:rsid w:val="783B7D77"/>
    <w:rsid w:val="78426B95"/>
    <w:rsid w:val="7845280D"/>
    <w:rsid w:val="784E4D60"/>
    <w:rsid w:val="787768D5"/>
    <w:rsid w:val="788A03B6"/>
    <w:rsid w:val="78E8780E"/>
    <w:rsid w:val="78EF5552"/>
    <w:rsid w:val="78F84034"/>
    <w:rsid w:val="79252160"/>
    <w:rsid w:val="79292F02"/>
    <w:rsid w:val="795234E2"/>
    <w:rsid w:val="79641826"/>
    <w:rsid w:val="797B5B0C"/>
    <w:rsid w:val="797C073E"/>
    <w:rsid w:val="7986785C"/>
    <w:rsid w:val="799C2C38"/>
    <w:rsid w:val="79A129D5"/>
    <w:rsid w:val="79A8143C"/>
    <w:rsid w:val="7A146AD1"/>
    <w:rsid w:val="7A1C5028"/>
    <w:rsid w:val="7A53517D"/>
    <w:rsid w:val="7A592C57"/>
    <w:rsid w:val="7A6B1788"/>
    <w:rsid w:val="7AAE07DB"/>
    <w:rsid w:val="7AB03EDB"/>
    <w:rsid w:val="7AC92709"/>
    <w:rsid w:val="7AD41DBD"/>
    <w:rsid w:val="7AEC0FDA"/>
    <w:rsid w:val="7B1215B2"/>
    <w:rsid w:val="7B1C1B41"/>
    <w:rsid w:val="7B2B0C52"/>
    <w:rsid w:val="7B69568B"/>
    <w:rsid w:val="7B842AD5"/>
    <w:rsid w:val="7B8437E3"/>
    <w:rsid w:val="7BAC0C54"/>
    <w:rsid w:val="7BB21B7E"/>
    <w:rsid w:val="7BBF2AEC"/>
    <w:rsid w:val="7BDF574F"/>
    <w:rsid w:val="7BFA1F2E"/>
    <w:rsid w:val="7BFF2E69"/>
    <w:rsid w:val="7C0037E0"/>
    <w:rsid w:val="7C24639A"/>
    <w:rsid w:val="7C273D40"/>
    <w:rsid w:val="7C4052A7"/>
    <w:rsid w:val="7C67302C"/>
    <w:rsid w:val="7C6D071B"/>
    <w:rsid w:val="7C7A4EB1"/>
    <w:rsid w:val="7C971E4B"/>
    <w:rsid w:val="7D2B6F6B"/>
    <w:rsid w:val="7DBA394B"/>
    <w:rsid w:val="7DC51384"/>
    <w:rsid w:val="7DCD424D"/>
    <w:rsid w:val="7DF7756C"/>
    <w:rsid w:val="7DFA5FDE"/>
    <w:rsid w:val="7E3A287F"/>
    <w:rsid w:val="7E42596D"/>
    <w:rsid w:val="7E5F5E41"/>
    <w:rsid w:val="7E782E3F"/>
    <w:rsid w:val="7E790738"/>
    <w:rsid w:val="7EAB1EEB"/>
    <w:rsid w:val="7EB600BA"/>
    <w:rsid w:val="7EE00B18"/>
    <w:rsid w:val="7F107010"/>
    <w:rsid w:val="7F1E703D"/>
    <w:rsid w:val="7F2C5B21"/>
    <w:rsid w:val="7F8C608A"/>
    <w:rsid w:val="7FA93818"/>
    <w:rsid w:val="7FCE7723"/>
    <w:rsid w:val="7FDE799D"/>
    <w:rsid w:val="7FE06FC0"/>
    <w:rsid w:val="7FE7692A"/>
    <w:rsid w:val="7FF104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0" w:semiHidden="0" w:name="heading 1"/>
    <w:lsdException w:qFormat="1" w:unhideWhenUsed="0" w:uiPriority="6" w:semiHidden="0" w:name="heading 2"/>
    <w:lsdException w:qFormat="1" w:unhideWhenUsed="0" w:uiPriority="7" w:semiHidden="0" w:name="heading 3"/>
    <w:lsdException w:qFormat="1" w:unhideWhenUsed="0" w:uiPriority="8"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0" w:semiHidden="0" w:name="caption"/>
    <w:lsdException w:qFormat="1" w:unhideWhenUsed="0" w:uiPriority="99" w:semiHidden="0" w:name="table of figures"/>
    <w:lsdException w:qFormat="1" w:unhideWhenUsed="0" w:uiPriority="99" w:semiHidden="0" w:name="envelope address"/>
    <w:lsdException w:qFormat="1" w:unhideWhenUsed="0" w:uiPriority="99" w:semiHidden="0" w:name="envelope return"/>
    <w:lsdException w:qFormat="1" w:unhideWhenUsed="0" w:uiPriority="99"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iPriority="99" w:semiHidden="0" w:name="table of authorities"/>
    <w:lsdException w:qFormat="1" w:unhideWhenUsed="0" w:uiPriority="0" w:semiHidden="0" w:name="macro"/>
    <w:lsdException w:qFormat="1" w:unhideWhenUsed="0" w:uiPriority="99" w:semiHidden="0" w:name="toa heading"/>
    <w:lsdException w:qFormat="1" w:unhideWhenUsed="0" w:uiPriority="0" w:semiHidden="0" w:name="List"/>
    <w:lsdException w:qFormat="1" w:unhideWhenUsed="0" w:uiPriority="99" w:semiHidden="0" w:name="List Bullet"/>
    <w:lsdException w:qFormat="1" w:unhideWhenUsed="0" w:uiPriority="99" w:semiHidden="0" w:name="List Number"/>
    <w:lsdException w:qFormat="1" w:unhideWhenUsed="0" w:uiPriority="99" w:semiHidden="0" w:name="List 2"/>
    <w:lsdException w:qFormat="1" w:unhideWhenUsed="0" w:uiPriority="99" w:semiHidden="0" w:name="List 3"/>
    <w:lsdException w:qFormat="1" w:unhideWhenUsed="0" w:uiPriority="99" w:semiHidden="0" w:name="List 4"/>
    <w:lsdException w:qFormat="1" w:unhideWhenUsed="0" w:uiPriority="99" w:semiHidden="0" w:name="List 5"/>
    <w:lsdException w:qFormat="1" w:unhideWhenUsed="0" w:uiPriority="99" w:semiHidden="0" w:name="List Bullet 2"/>
    <w:lsdException w:qFormat="1" w:unhideWhenUsed="0" w:uiPriority="99" w:semiHidden="0" w:name="List Bullet 3"/>
    <w:lsdException w:qFormat="1" w:unhideWhenUsed="0" w:uiPriority="99" w:semiHidden="0" w:name="List Bullet 4"/>
    <w:lsdException w:qFormat="1" w:unhideWhenUsed="0" w:uiPriority="99"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qFormat="1" w:unhideWhenUsed="0" w:uiPriority="99" w:semiHidden="0" w:name="List Continue 4"/>
    <w:lsdException w:qFormat="1" w:unhideWhenUsed="0" w:uiPriority="99"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99"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qFormat="1" w:unhideWhenUsed="0" w:uiPriority="0" w:semiHidden="0" w:name="HTML Typewriter"/>
    <w:lsdException w:qFormat="1" w:unhideWhenUsed="0" w:uiPriority="99"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qFormat="1" w:uiPriority="0" w:semiHidden="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宋体" w:hAnsi="宋体" w:eastAsia="宋体" w:cs="宋体"/>
      <w:sz w:val="24"/>
      <w:szCs w:val="24"/>
      <w:lang w:val="en-US" w:eastAsia="zh-CN" w:bidi="ar-SA"/>
    </w:rPr>
  </w:style>
  <w:style w:type="paragraph" w:styleId="4">
    <w:name w:val="heading 1"/>
    <w:basedOn w:val="1"/>
    <w:next w:val="1"/>
    <w:link w:val="108"/>
    <w:qFormat/>
    <w:uiPriority w:val="10"/>
    <w:pPr>
      <w:outlineLvl w:val="0"/>
    </w:pPr>
    <w:rPr>
      <w:rFonts w:ascii="Calibri" w:hAnsi="Calibri" w:eastAsia="黑体" w:cs="Times New Roman"/>
      <w:kern w:val="2"/>
      <w:sz w:val="32"/>
      <w:szCs w:val="22"/>
    </w:rPr>
  </w:style>
  <w:style w:type="paragraph" w:styleId="5">
    <w:name w:val="heading 2"/>
    <w:basedOn w:val="1"/>
    <w:next w:val="6"/>
    <w:link w:val="109"/>
    <w:qFormat/>
    <w:uiPriority w:val="6"/>
    <w:pPr>
      <w:keepNext/>
      <w:keepLines/>
      <w:spacing w:line="500" w:lineRule="exact"/>
      <w:outlineLvl w:val="1"/>
    </w:pPr>
    <w:rPr>
      <w:rFonts w:ascii="Calibri" w:hAnsi="Calibri" w:eastAsia="黑体" w:cs="Times New Roman"/>
      <w:bCs/>
      <w:sz w:val="28"/>
      <w:szCs w:val="32"/>
    </w:rPr>
  </w:style>
  <w:style w:type="paragraph" w:styleId="7">
    <w:name w:val="heading 3"/>
    <w:basedOn w:val="1"/>
    <w:next w:val="1"/>
    <w:link w:val="110"/>
    <w:qFormat/>
    <w:uiPriority w:val="7"/>
    <w:pPr>
      <w:keepNext/>
      <w:keepLines/>
      <w:spacing w:line="500" w:lineRule="exact"/>
      <w:outlineLvl w:val="2"/>
    </w:pPr>
    <w:rPr>
      <w:rFonts w:ascii="Times New Roman" w:hAnsi="Times New Roman" w:eastAsia="黑体" w:cs="Times New Roman"/>
      <w:bCs/>
      <w:sz w:val="20"/>
      <w:szCs w:val="32"/>
    </w:rPr>
  </w:style>
  <w:style w:type="paragraph" w:styleId="8">
    <w:name w:val="heading 4"/>
    <w:basedOn w:val="1"/>
    <w:next w:val="1"/>
    <w:link w:val="111"/>
    <w:qFormat/>
    <w:uiPriority w:val="8"/>
    <w:pPr>
      <w:keepNext/>
      <w:keepLines/>
      <w:spacing w:line="500" w:lineRule="exact"/>
      <w:outlineLvl w:val="3"/>
    </w:pPr>
    <w:rPr>
      <w:rFonts w:ascii="Times New Roman" w:hAnsi="Times New Roman"/>
      <w:szCs w:val="20"/>
      <w:lang w:val="zh-CN"/>
    </w:rPr>
  </w:style>
  <w:style w:type="paragraph" w:styleId="9">
    <w:name w:val="heading 5"/>
    <w:basedOn w:val="1"/>
    <w:next w:val="1"/>
    <w:link w:val="112"/>
    <w:qFormat/>
    <w:uiPriority w:val="9"/>
    <w:pPr>
      <w:keepNext/>
      <w:keepLines/>
      <w:widowControl w:val="0"/>
      <w:topLinePunct/>
      <w:spacing w:before="280" w:after="290" w:line="376" w:lineRule="auto"/>
      <w:ind w:firstLine="200" w:firstLineChars="200"/>
      <w:outlineLvl w:val="4"/>
    </w:pPr>
    <w:rPr>
      <w:rFonts w:ascii="仿宋_GB2312" w:hAnsi="Times New Roman" w:eastAsia="仿宋_GB2312" w:cs="Times New Roman"/>
      <w:b/>
      <w:bCs/>
      <w:sz w:val="28"/>
      <w:szCs w:val="28"/>
    </w:rPr>
  </w:style>
  <w:style w:type="paragraph" w:styleId="10">
    <w:name w:val="heading 6"/>
    <w:basedOn w:val="1"/>
    <w:next w:val="1"/>
    <w:link w:val="113"/>
    <w:qFormat/>
    <w:uiPriority w:val="9"/>
    <w:pPr>
      <w:keepNext/>
      <w:widowControl w:val="0"/>
      <w:tabs>
        <w:tab w:val="left" w:pos="360"/>
      </w:tabs>
      <w:ind w:left="360" w:hanging="360"/>
      <w:jc w:val="both"/>
      <w:outlineLvl w:val="5"/>
    </w:pPr>
    <w:rPr>
      <w:rFonts w:ascii="Times New Roman" w:hAnsi="Times New Roman" w:cs="Times New Roman"/>
      <w:b/>
      <w:bCs/>
      <w:kern w:val="2"/>
      <w:szCs w:val="20"/>
    </w:rPr>
  </w:style>
  <w:style w:type="paragraph" w:styleId="11">
    <w:name w:val="heading 7"/>
    <w:basedOn w:val="1"/>
    <w:next w:val="1"/>
    <w:link w:val="114"/>
    <w:qFormat/>
    <w:uiPriority w:val="9"/>
    <w:pPr>
      <w:keepNext/>
      <w:widowControl w:val="0"/>
      <w:tabs>
        <w:tab w:val="left" w:pos="360"/>
      </w:tabs>
      <w:ind w:left="360" w:hanging="360"/>
      <w:jc w:val="both"/>
      <w:outlineLvl w:val="6"/>
    </w:pPr>
    <w:rPr>
      <w:rFonts w:ascii="Times New Roman" w:hAnsi="Times New Roman" w:cs="Times New Roman"/>
      <w:b/>
      <w:bCs/>
      <w:kern w:val="2"/>
      <w:sz w:val="28"/>
      <w:szCs w:val="28"/>
    </w:rPr>
  </w:style>
  <w:style w:type="paragraph" w:styleId="12">
    <w:name w:val="heading 8"/>
    <w:basedOn w:val="1"/>
    <w:next w:val="1"/>
    <w:link w:val="115"/>
    <w:qFormat/>
    <w:uiPriority w:val="9"/>
    <w:pPr>
      <w:keepNext/>
      <w:widowControl w:val="0"/>
      <w:tabs>
        <w:tab w:val="left" w:pos="645"/>
      </w:tabs>
      <w:ind w:left="645" w:hanging="645"/>
      <w:jc w:val="both"/>
      <w:outlineLvl w:val="7"/>
    </w:pPr>
    <w:rPr>
      <w:rFonts w:ascii="Times New Roman" w:hAnsi="Times New Roman" w:cs="Times New Roman"/>
      <w:b/>
      <w:bCs/>
      <w:kern w:val="2"/>
      <w:sz w:val="28"/>
      <w:szCs w:val="28"/>
    </w:rPr>
  </w:style>
  <w:style w:type="paragraph" w:styleId="13">
    <w:name w:val="heading 9"/>
    <w:basedOn w:val="1"/>
    <w:next w:val="1"/>
    <w:link w:val="116"/>
    <w:qFormat/>
    <w:uiPriority w:val="9"/>
    <w:pPr>
      <w:keepNext/>
      <w:keepLines/>
      <w:widowControl w:val="0"/>
      <w:topLinePunct/>
      <w:spacing w:before="240" w:after="64" w:line="320" w:lineRule="auto"/>
      <w:ind w:firstLine="200" w:firstLineChars="200"/>
      <w:outlineLvl w:val="8"/>
    </w:pPr>
    <w:rPr>
      <w:rFonts w:ascii="Arial" w:hAnsi="Arial" w:eastAsia="黑体" w:cs="Times New Roman"/>
      <w:sz w:val="28"/>
      <w:szCs w:val="21"/>
    </w:rPr>
  </w:style>
  <w:style w:type="character" w:default="1" w:styleId="84">
    <w:name w:val="Default Paragraph Font"/>
    <w:semiHidden/>
    <w:unhideWhenUsed/>
    <w:qFormat/>
    <w:uiPriority w:val="1"/>
  </w:style>
  <w:style w:type="table" w:default="1" w:styleId="81">
    <w:name w:val="Normal Table"/>
    <w:semiHidden/>
    <w:unhideWhenUsed/>
    <w:qFormat/>
    <w:uiPriority w:val="99"/>
    <w:tblPr>
      <w:tblCellMar>
        <w:top w:w="0" w:type="dxa"/>
        <w:left w:w="108" w:type="dxa"/>
        <w:bottom w:w="0" w:type="dxa"/>
        <w:right w:w="108" w:type="dxa"/>
      </w:tblCellMar>
    </w:tblPr>
  </w:style>
  <w:style w:type="paragraph" w:customStyle="1" w:styleId="2">
    <w:name w:val="11111"/>
    <w:basedOn w:val="1"/>
    <w:next w:val="1"/>
    <w:qFormat/>
    <w:uiPriority w:val="0"/>
    <w:pPr>
      <w:spacing w:line="360" w:lineRule="auto"/>
      <w:ind w:firstLine="200" w:firstLineChars="200"/>
    </w:pPr>
  </w:style>
  <w:style w:type="paragraph" w:styleId="3">
    <w:name w:val="macro"/>
    <w:link w:val="117"/>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6">
    <w:name w:val="Normal Indent"/>
    <w:basedOn w:val="1"/>
    <w:link w:val="120"/>
    <w:qFormat/>
    <w:uiPriority w:val="0"/>
    <w:pPr>
      <w:spacing w:line="520" w:lineRule="exact"/>
      <w:ind w:firstLine="624"/>
    </w:pPr>
    <w:rPr>
      <w:rFonts w:ascii="Calibri" w:hAnsi="Calibri" w:cs="Times New Roman"/>
      <w:sz w:val="28"/>
      <w:szCs w:val="20"/>
    </w:rPr>
  </w:style>
  <w:style w:type="paragraph" w:styleId="14">
    <w:name w:val="List 3"/>
    <w:basedOn w:val="1"/>
    <w:qFormat/>
    <w:uiPriority w:val="99"/>
    <w:pPr>
      <w:widowControl w:val="0"/>
      <w:topLinePunct/>
      <w:spacing w:line="360" w:lineRule="auto"/>
      <w:ind w:left="100" w:leftChars="400" w:hanging="200" w:hangingChars="200"/>
    </w:pPr>
    <w:rPr>
      <w:rFonts w:ascii="仿宋_GB2312" w:hAnsi="Times New Roman" w:eastAsia="仿宋_GB2312" w:cs="Times New Roman"/>
      <w:kern w:val="2"/>
      <w:sz w:val="28"/>
      <w:szCs w:val="20"/>
    </w:rPr>
  </w:style>
  <w:style w:type="paragraph" w:styleId="15">
    <w:name w:val="toc 7"/>
    <w:basedOn w:val="1"/>
    <w:next w:val="1"/>
    <w:qFormat/>
    <w:uiPriority w:val="39"/>
    <w:pPr>
      <w:widowControl w:val="0"/>
      <w:ind w:left="1260"/>
    </w:pPr>
    <w:rPr>
      <w:rFonts w:ascii="Calibri" w:hAnsi="Calibri" w:cs="Times New Roman"/>
      <w:kern w:val="2"/>
      <w:sz w:val="18"/>
      <w:szCs w:val="18"/>
    </w:rPr>
  </w:style>
  <w:style w:type="paragraph" w:styleId="16">
    <w:name w:val="List Number 2"/>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17">
    <w:name w:val="table of authorities"/>
    <w:basedOn w:val="1"/>
    <w:next w:val="1"/>
    <w:unhideWhenUsed/>
    <w:qFormat/>
    <w:uiPriority w:val="99"/>
    <w:pPr>
      <w:widowControl w:val="0"/>
      <w:ind w:left="210" w:hanging="210"/>
    </w:pPr>
    <w:rPr>
      <w:rFonts w:ascii="Times New Roman" w:hAnsi="Times New Roman" w:cs="Times New Roman"/>
      <w:kern w:val="2"/>
      <w:sz w:val="20"/>
      <w:szCs w:val="20"/>
    </w:rPr>
  </w:style>
  <w:style w:type="paragraph" w:styleId="18">
    <w:name w:val="Note Heading"/>
    <w:basedOn w:val="1"/>
    <w:next w:val="1"/>
    <w:link w:val="118"/>
    <w:qFormat/>
    <w:uiPriority w:val="0"/>
    <w:pPr>
      <w:widowControl w:val="0"/>
      <w:jc w:val="center"/>
    </w:pPr>
    <w:rPr>
      <w:rFonts w:ascii="Times New Roman" w:hAnsi="Times New Roman" w:cs="Times New Roman"/>
      <w:sz w:val="20"/>
      <w:szCs w:val="20"/>
    </w:rPr>
  </w:style>
  <w:style w:type="paragraph" w:styleId="19">
    <w:name w:val="List Bullet 4"/>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20">
    <w:name w:val="E-mail Signature"/>
    <w:basedOn w:val="1"/>
    <w:link w:val="119"/>
    <w:qFormat/>
    <w:uiPriority w:val="0"/>
    <w:pPr>
      <w:widowControl w:val="0"/>
      <w:topLinePunct/>
      <w:spacing w:line="360" w:lineRule="auto"/>
      <w:ind w:firstLine="200" w:firstLineChars="200"/>
    </w:pPr>
    <w:rPr>
      <w:rFonts w:ascii="仿宋_GB2312" w:hAnsi="Times New Roman" w:eastAsia="仿宋_GB2312" w:cs="Times New Roman"/>
      <w:sz w:val="28"/>
      <w:szCs w:val="20"/>
    </w:rPr>
  </w:style>
  <w:style w:type="paragraph" w:styleId="21">
    <w:name w:val="List Number"/>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22">
    <w:name w:val="caption"/>
    <w:basedOn w:val="1"/>
    <w:next w:val="1"/>
    <w:link w:val="121"/>
    <w:qFormat/>
    <w:uiPriority w:val="0"/>
    <w:pPr>
      <w:widowControl w:val="0"/>
      <w:jc w:val="both"/>
    </w:pPr>
    <w:rPr>
      <w:rFonts w:ascii="Arial" w:hAnsi="Arial" w:eastAsia="黑体" w:cs="Arial"/>
      <w:sz w:val="20"/>
      <w:szCs w:val="20"/>
    </w:rPr>
  </w:style>
  <w:style w:type="paragraph" w:styleId="23">
    <w:name w:val="List Bullet"/>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24">
    <w:name w:val="envelope address"/>
    <w:basedOn w:val="1"/>
    <w:qFormat/>
    <w:uiPriority w:val="99"/>
    <w:pPr>
      <w:widowControl w:val="0"/>
      <w:topLinePunct/>
      <w:snapToGrid w:val="0"/>
      <w:spacing w:line="360" w:lineRule="auto"/>
      <w:ind w:left="100" w:leftChars="1400" w:firstLine="200" w:firstLineChars="200"/>
    </w:pPr>
    <w:rPr>
      <w:rFonts w:ascii="Arial" w:hAnsi="Arial" w:eastAsia="仿宋_GB2312" w:cs="Arial"/>
      <w:kern w:val="2"/>
      <w:szCs w:val="20"/>
    </w:rPr>
  </w:style>
  <w:style w:type="paragraph" w:styleId="25">
    <w:name w:val="Document Map"/>
    <w:basedOn w:val="1"/>
    <w:link w:val="122"/>
    <w:qFormat/>
    <w:uiPriority w:val="99"/>
    <w:pPr>
      <w:widowControl w:val="0"/>
      <w:shd w:val="clear" w:color="auto" w:fill="000080"/>
      <w:jc w:val="both"/>
    </w:pPr>
    <w:rPr>
      <w:rFonts w:ascii="Times New Roman" w:hAnsi="Times New Roman" w:cs="Times New Roman"/>
      <w:sz w:val="20"/>
    </w:rPr>
  </w:style>
  <w:style w:type="paragraph" w:styleId="26">
    <w:name w:val="toa heading"/>
    <w:basedOn w:val="1"/>
    <w:next w:val="1"/>
    <w:qFormat/>
    <w:uiPriority w:val="99"/>
    <w:pPr>
      <w:widowControl w:val="0"/>
      <w:spacing w:before="120"/>
      <w:jc w:val="both"/>
    </w:pPr>
    <w:rPr>
      <w:rFonts w:ascii="Arial" w:hAnsi="Arial" w:cs="Times New Roman"/>
      <w:kern w:val="2"/>
      <w:szCs w:val="20"/>
    </w:rPr>
  </w:style>
  <w:style w:type="paragraph" w:styleId="27">
    <w:name w:val="annotation text"/>
    <w:basedOn w:val="1"/>
    <w:link w:val="123"/>
    <w:qFormat/>
    <w:uiPriority w:val="0"/>
    <w:rPr>
      <w:rFonts w:ascii="Calibri" w:hAnsi="Calibri" w:cs="Times New Roman"/>
      <w:szCs w:val="22"/>
    </w:rPr>
  </w:style>
  <w:style w:type="paragraph" w:styleId="28">
    <w:name w:val="Salutation"/>
    <w:basedOn w:val="1"/>
    <w:next w:val="1"/>
    <w:link w:val="124"/>
    <w:qFormat/>
    <w:uiPriority w:val="0"/>
    <w:pPr>
      <w:widowControl w:val="0"/>
      <w:spacing w:line="360" w:lineRule="exact"/>
      <w:ind w:left="480"/>
      <w:jc w:val="both"/>
    </w:pPr>
    <w:rPr>
      <w:rFonts w:ascii="Times New Roman" w:hAnsi="Times New Roman" w:eastAsia="楷体_GB2312" w:cs="Times New Roman"/>
      <w:color w:val="000000"/>
      <w:kern w:val="28"/>
      <w:sz w:val="28"/>
      <w:szCs w:val="20"/>
    </w:rPr>
  </w:style>
  <w:style w:type="paragraph" w:styleId="29">
    <w:name w:val="Body Text 3"/>
    <w:basedOn w:val="1"/>
    <w:link w:val="125"/>
    <w:qFormat/>
    <w:uiPriority w:val="0"/>
    <w:pPr>
      <w:widowControl w:val="0"/>
      <w:spacing w:line="360" w:lineRule="exact"/>
      <w:jc w:val="center"/>
    </w:pPr>
    <w:rPr>
      <w:rFonts w:cs="Times New Roman"/>
      <w:color w:val="006600"/>
      <w:kern w:val="16"/>
    </w:rPr>
  </w:style>
  <w:style w:type="paragraph" w:styleId="30">
    <w:name w:val="Closing"/>
    <w:basedOn w:val="1"/>
    <w:link w:val="126"/>
    <w:qFormat/>
    <w:uiPriority w:val="0"/>
    <w:pPr>
      <w:widowControl w:val="0"/>
      <w:topLinePunct/>
      <w:spacing w:line="360" w:lineRule="auto"/>
      <w:ind w:left="100" w:leftChars="2100" w:firstLine="200" w:firstLineChars="200"/>
    </w:pPr>
    <w:rPr>
      <w:rFonts w:ascii="仿宋_GB2312" w:hAnsi="Times New Roman" w:eastAsia="仿宋_GB2312" w:cs="Times New Roman"/>
      <w:sz w:val="28"/>
      <w:szCs w:val="20"/>
    </w:rPr>
  </w:style>
  <w:style w:type="paragraph" w:styleId="31">
    <w:name w:val="List Bullet 3"/>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32">
    <w:name w:val="Body Text"/>
    <w:basedOn w:val="1"/>
    <w:next w:val="1"/>
    <w:link w:val="127"/>
    <w:qFormat/>
    <w:uiPriority w:val="0"/>
    <w:rPr>
      <w:rFonts w:ascii="Calibri" w:hAnsi="Calibri" w:cs="Times New Roman"/>
      <w:color w:val="000000"/>
      <w:kern w:val="2"/>
      <w:szCs w:val="22"/>
    </w:rPr>
  </w:style>
  <w:style w:type="paragraph" w:styleId="33">
    <w:name w:val="Body Text Indent"/>
    <w:basedOn w:val="1"/>
    <w:next w:val="1"/>
    <w:link w:val="128"/>
    <w:qFormat/>
    <w:uiPriority w:val="0"/>
    <w:pPr>
      <w:spacing w:after="120"/>
      <w:ind w:left="420" w:leftChars="200"/>
    </w:pPr>
    <w:rPr>
      <w:rFonts w:ascii="仿宋_GB2312" w:hAnsi="Calibri" w:eastAsia="仿宋_GB2312" w:cs="Times New Roman"/>
      <w:spacing w:val="-2"/>
      <w:sz w:val="20"/>
      <w:szCs w:val="20"/>
    </w:rPr>
  </w:style>
  <w:style w:type="paragraph" w:styleId="34">
    <w:name w:val="List Number 3"/>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35">
    <w:name w:val="List 2"/>
    <w:basedOn w:val="1"/>
    <w:qFormat/>
    <w:uiPriority w:val="99"/>
    <w:pPr>
      <w:widowControl w:val="0"/>
      <w:snapToGrid w:val="0"/>
      <w:jc w:val="center"/>
    </w:pPr>
    <w:rPr>
      <w:rFonts w:hAnsi="Times New Roman" w:cs="Times New Roman"/>
      <w:kern w:val="2"/>
      <w:sz w:val="21"/>
      <w:szCs w:val="20"/>
    </w:rPr>
  </w:style>
  <w:style w:type="paragraph" w:styleId="36">
    <w:name w:val="List Continue"/>
    <w:basedOn w:val="1"/>
    <w:qFormat/>
    <w:uiPriority w:val="99"/>
    <w:pPr>
      <w:widowControl w:val="0"/>
      <w:topLinePunct/>
      <w:spacing w:after="120" w:line="360" w:lineRule="auto"/>
      <w:ind w:left="420" w:leftChars="200" w:firstLine="200" w:firstLineChars="200"/>
    </w:pPr>
    <w:rPr>
      <w:rFonts w:ascii="仿宋_GB2312" w:hAnsi="Times New Roman" w:eastAsia="仿宋_GB2312" w:cs="Times New Roman"/>
      <w:kern w:val="2"/>
      <w:sz w:val="28"/>
      <w:szCs w:val="20"/>
    </w:rPr>
  </w:style>
  <w:style w:type="paragraph" w:styleId="37">
    <w:name w:val="Block Text"/>
    <w:basedOn w:val="1"/>
    <w:qFormat/>
    <w:uiPriority w:val="0"/>
    <w:pPr>
      <w:widowControl w:val="0"/>
      <w:topLinePunct/>
      <w:spacing w:after="120" w:line="360" w:lineRule="auto"/>
      <w:ind w:left="1440" w:leftChars="700" w:right="1440" w:rightChars="700" w:firstLine="200" w:firstLineChars="200"/>
    </w:pPr>
    <w:rPr>
      <w:rFonts w:ascii="仿宋_GB2312" w:hAnsi="Times New Roman" w:eastAsia="仿宋_GB2312" w:cs="Times New Roman"/>
      <w:kern w:val="2"/>
      <w:sz w:val="28"/>
      <w:szCs w:val="20"/>
    </w:rPr>
  </w:style>
  <w:style w:type="paragraph" w:styleId="38">
    <w:name w:val="List Bullet 2"/>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39">
    <w:name w:val="HTML Address"/>
    <w:basedOn w:val="1"/>
    <w:link w:val="129"/>
    <w:qFormat/>
    <w:uiPriority w:val="0"/>
    <w:pPr>
      <w:widowControl w:val="0"/>
      <w:jc w:val="both"/>
    </w:pPr>
    <w:rPr>
      <w:rFonts w:ascii="Times New Roman" w:hAnsi="Times New Roman" w:cs="Times New Roman"/>
      <w:i/>
      <w:iCs/>
      <w:sz w:val="20"/>
      <w:szCs w:val="20"/>
    </w:rPr>
  </w:style>
  <w:style w:type="paragraph" w:styleId="40">
    <w:name w:val="toc 5"/>
    <w:basedOn w:val="1"/>
    <w:next w:val="1"/>
    <w:qFormat/>
    <w:uiPriority w:val="39"/>
    <w:pPr>
      <w:widowControl w:val="0"/>
      <w:ind w:left="840"/>
    </w:pPr>
    <w:rPr>
      <w:rFonts w:ascii="Calibri" w:hAnsi="Calibri" w:cs="Times New Roman"/>
      <w:kern w:val="2"/>
      <w:sz w:val="18"/>
      <w:szCs w:val="18"/>
    </w:rPr>
  </w:style>
  <w:style w:type="paragraph" w:styleId="41">
    <w:name w:val="toc 3"/>
    <w:basedOn w:val="1"/>
    <w:next w:val="1"/>
    <w:qFormat/>
    <w:uiPriority w:val="39"/>
    <w:pPr>
      <w:widowControl w:val="0"/>
      <w:ind w:left="420"/>
    </w:pPr>
    <w:rPr>
      <w:rFonts w:ascii="Calibri" w:hAnsi="Calibri" w:cs="Times New Roman"/>
      <w:i/>
      <w:iCs/>
      <w:kern w:val="2"/>
      <w:sz w:val="20"/>
      <w:szCs w:val="20"/>
    </w:rPr>
  </w:style>
  <w:style w:type="paragraph" w:styleId="42">
    <w:name w:val="Plain Text"/>
    <w:basedOn w:val="1"/>
    <w:link w:val="130"/>
    <w:qFormat/>
    <w:uiPriority w:val="0"/>
    <w:rPr>
      <w:rFonts w:hAnsi="Courier New" w:cs="Times New Roman"/>
      <w:kern w:val="2"/>
      <w:sz w:val="21"/>
      <w:szCs w:val="22"/>
    </w:rPr>
  </w:style>
  <w:style w:type="paragraph" w:styleId="43">
    <w:name w:val="List Bullet 5"/>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44">
    <w:name w:val="List Number 4"/>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45">
    <w:name w:val="toc 8"/>
    <w:basedOn w:val="1"/>
    <w:next w:val="1"/>
    <w:qFormat/>
    <w:uiPriority w:val="39"/>
    <w:pPr>
      <w:widowControl w:val="0"/>
      <w:ind w:left="1470"/>
    </w:pPr>
    <w:rPr>
      <w:rFonts w:ascii="Calibri" w:hAnsi="Calibri" w:cs="Times New Roman"/>
      <w:kern w:val="2"/>
      <w:sz w:val="18"/>
      <w:szCs w:val="18"/>
    </w:rPr>
  </w:style>
  <w:style w:type="paragraph" w:styleId="46">
    <w:name w:val="Date"/>
    <w:basedOn w:val="1"/>
    <w:next w:val="1"/>
    <w:link w:val="131"/>
    <w:unhideWhenUsed/>
    <w:qFormat/>
    <w:uiPriority w:val="99"/>
    <w:pPr>
      <w:widowControl w:val="0"/>
      <w:ind w:left="100" w:leftChars="2500"/>
      <w:jc w:val="both"/>
    </w:pPr>
    <w:rPr>
      <w:rFonts w:ascii="Calibri" w:hAnsi="Calibri" w:cs="Times New Roman"/>
      <w:sz w:val="20"/>
      <w:szCs w:val="20"/>
    </w:rPr>
  </w:style>
  <w:style w:type="paragraph" w:styleId="47">
    <w:name w:val="Body Text Indent 2"/>
    <w:basedOn w:val="1"/>
    <w:link w:val="132"/>
    <w:qFormat/>
    <w:uiPriority w:val="0"/>
    <w:pPr>
      <w:widowControl w:val="0"/>
      <w:spacing w:after="120" w:line="480" w:lineRule="auto"/>
      <w:ind w:left="420" w:leftChars="200"/>
      <w:jc w:val="both"/>
    </w:pPr>
    <w:rPr>
      <w:rFonts w:ascii="Times New Roman" w:hAnsi="Times New Roman" w:cs="Times New Roman"/>
      <w:sz w:val="20"/>
    </w:rPr>
  </w:style>
  <w:style w:type="paragraph" w:styleId="48">
    <w:name w:val="endnote text"/>
    <w:basedOn w:val="1"/>
    <w:link w:val="133"/>
    <w:qFormat/>
    <w:uiPriority w:val="0"/>
    <w:pPr>
      <w:widowControl w:val="0"/>
      <w:adjustRightInd w:val="0"/>
      <w:spacing w:line="360" w:lineRule="atLeast"/>
      <w:textAlignment w:val="baseline"/>
    </w:pPr>
    <w:rPr>
      <w:rFonts w:ascii="Calibri" w:hAnsi="Calibri" w:cs="Times New Roman"/>
      <w:szCs w:val="20"/>
    </w:rPr>
  </w:style>
  <w:style w:type="paragraph" w:styleId="49">
    <w:name w:val="List Continue 5"/>
    <w:basedOn w:val="1"/>
    <w:qFormat/>
    <w:uiPriority w:val="99"/>
    <w:pPr>
      <w:widowControl w:val="0"/>
      <w:topLinePunct/>
      <w:spacing w:after="120" w:line="360" w:lineRule="auto"/>
      <w:ind w:left="2100" w:leftChars="1000" w:firstLine="200" w:firstLineChars="200"/>
    </w:pPr>
    <w:rPr>
      <w:rFonts w:ascii="仿宋_GB2312" w:hAnsi="Times New Roman" w:eastAsia="仿宋_GB2312" w:cs="Times New Roman"/>
      <w:kern w:val="2"/>
      <w:sz w:val="28"/>
      <w:szCs w:val="20"/>
    </w:rPr>
  </w:style>
  <w:style w:type="paragraph" w:styleId="50">
    <w:name w:val="Balloon Text"/>
    <w:basedOn w:val="1"/>
    <w:link w:val="134"/>
    <w:qFormat/>
    <w:uiPriority w:val="0"/>
    <w:rPr>
      <w:sz w:val="18"/>
      <w:szCs w:val="18"/>
    </w:rPr>
  </w:style>
  <w:style w:type="paragraph" w:styleId="51">
    <w:name w:val="footer"/>
    <w:basedOn w:val="1"/>
    <w:link w:val="135"/>
    <w:qFormat/>
    <w:uiPriority w:val="99"/>
    <w:pPr>
      <w:tabs>
        <w:tab w:val="center" w:pos="4153"/>
        <w:tab w:val="right" w:pos="8306"/>
      </w:tabs>
    </w:pPr>
    <w:rPr>
      <w:rFonts w:ascii="Calibri" w:hAnsi="Calibri" w:cs="Times New Roman"/>
      <w:kern w:val="2"/>
      <w:sz w:val="18"/>
      <w:szCs w:val="18"/>
    </w:rPr>
  </w:style>
  <w:style w:type="paragraph" w:styleId="52">
    <w:name w:val="envelope return"/>
    <w:basedOn w:val="1"/>
    <w:qFormat/>
    <w:uiPriority w:val="99"/>
    <w:pPr>
      <w:widowControl w:val="0"/>
      <w:topLinePunct/>
      <w:snapToGrid w:val="0"/>
      <w:spacing w:line="360" w:lineRule="auto"/>
      <w:ind w:firstLine="200" w:firstLineChars="200"/>
    </w:pPr>
    <w:rPr>
      <w:rFonts w:ascii="Arial" w:hAnsi="Arial" w:eastAsia="仿宋_GB2312" w:cs="Arial"/>
      <w:kern w:val="2"/>
      <w:sz w:val="28"/>
      <w:szCs w:val="20"/>
    </w:rPr>
  </w:style>
  <w:style w:type="paragraph" w:styleId="53">
    <w:name w:val="header"/>
    <w:basedOn w:val="1"/>
    <w:link w:val="136"/>
    <w:qFormat/>
    <w:uiPriority w:val="99"/>
    <w:pPr>
      <w:pBdr>
        <w:bottom w:val="single" w:color="auto" w:sz="6" w:space="1"/>
      </w:pBdr>
      <w:tabs>
        <w:tab w:val="center" w:pos="4153"/>
        <w:tab w:val="right" w:pos="8306"/>
      </w:tabs>
      <w:jc w:val="center"/>
    </w:pPr>
    <w:rPr>
      <w:rFonts w:ascii="Calibri" w:hAnsi="Calibri" w:cs="Times New Roman"/>
      <w:kern w:val="2"/>
      <w:sz w:val="18"/>
      <w:szCs w:val="18"/>
    </w:rPr>
  </w:style>
  <w:style w:type="paragraph" w:styleId="54">
    <w:name w:val="Signature"/>
    <w:basedOn w:val="1"/>
    <w:link w:val="137"/>
    <w:qFormat/>
    <w:uiPriority w:val="0"/>
    <w:pPr>
      <w:widowControl w:val="0"/>
      <w:topLinePunct/>
      <w:spacing w:line="360" w:lineRule="auto"/>
      <w:ind w:left="100" w:leftChars="2100" w:firstLine="200" w:firstLineChars="200"/>
    </w:pPr>
    <w:rPr>
      <w:rFonts w:ascii="仿宋_GB2312" w:hAnsi="Times New Roman" w:eastAsia="仿宋_GB2312" w:cs="Times New Roman"/>
      <w:sz w:val="28"/>
      <w:szCs w:val="20"/>
    </w:rPr>
  </w:style>
  <w:style w:type="paragraph" w:styleId="55">
    <w:name w:val="toc 1"/>
    <w:basedOn w:val="1"/>
    <w:next w:val="1"/>
    <w:link w:val="2756"/>
    <w:qFormat/>
    <w:uiPriority w:val="39"/>
    <w:pPr>
      <w:spacing w:before="120" w:after="120"/>
    </w:pPr>
    <w:rPr>
      <w:rFonts w:cs="Times New Roman"/>
      <w:b/>
      <w:caps/>
      <w:sz w:val="20"/>
      <w:szCs w:val="20"/>
    </w:rPr>
  </w:style>
  <w:style w:type="paragraph" w:styleId="56">
    <w:name w:val="List Continue 4"/>
    <w:basedOn w:val="1"/>
    <w:qFormat/>
    <w:uiPriority w:val="99"/>
    <w:pPr>
      <w:widowControl w:val="0"/>
      <w:topLinePunct/>
      <w:spacing w:after="120" w:line="360" w:lineRule="auto"/>
      <w:ind w:left="1680" w:leftChars="800" w:firstLine="200" w:firstLineChars="200"/>
    </w:pPr>
    <w:rPr>
      <w:rFonts w:ascii="仿宋_GB2312" w:hAnsi="Times New Roman" w:eastAsia="仿宋_GB2312" w:cs="Times New Roman"/>
      <w:kern w:val="2"/>
      <w:sz w:val="28"/>
      <w:szCs w:val="20"/>
    </w:rPr>
  </w:style>
  <w:style w:type="paragraph" w:styleId="57">
    <w:name w:val="toc 4"/>
    <w:basedOn w:val="1"/>
    <w:next w:val="1"/>
    <w:qFormat/>
    <w:uiPriority w:val="39"/>
    <w:pPr>
      <w:widowControl w:val="0"/>
      <w:ind w:left="630"/>
    </w:pPr>
    <w:rPr>
      <w:rFonts w:ascii="Calibri" w:hAnsi="Calibri" w:cs="Times New Roman"/>
      <w:kern w:val="2"/>
      <w:sz w:val="18"/>
      <w:szCs w:val="18"/>
    </w:rPr>
  </w:style>
  <w:style w:type="paragraph" w:styleId="58">
    <w:name w:val="Subtitle"/>
    <w:basedOn w:val="1"/>
    <w:next w:val="1"/>
    <w:link w:val="138"/>
    <w:qFormat/>
    <w:uiPriority w:val="0"/>
    <w:pPr>
      <w:spacing w:before="240" w:after="60" w:line="312" w:lineRule="auto"/>
      <w:jc w:val="center"/>
      <w:outlineLvl w:val="1"/>
    </w:pPr>
    <w:rPr>
      <w:rFonts w:ascii="Calibri Light" w:hAnsi="Calibri Light"/>
      <w:b/>
      <w:bCs/>
      <w:kern w:val="28"/>
      <w:sz w:val="32"/>
      <w:szCs w:val="32"/>
    </w:rPr>
  </w:style>
  <w:style w:type="paragraph" w:styleId="59">
    <w:name w:val="List Number 5"/>
    <w:basedOn w:val="1"/>
    <w:qFormat/>
    <w:uiPriority w:val="99"/>
    <w:pPr>
      <w:widowControl w:val="0"/>
      <w:tabs>
        <w:tab w:val="left" w:pos="726"/>
        <w:tab w:val="left" w:pos="2040"/>
      </w:tabs>
      <w:topLinePunct/>
      <w:spacing w:line="360" w:lineRule="auto"/>
      <w:ind w:left="2" w:firstLine="4"/>
    </w:pPr>
    <w:rPr>
      <w:rFonts w:ascii="仿宋_GB2312" w:hAnsi="Times New Roman" w:eastAsia="仿宋_GB2312" w:cs="Times New Roman"/>
      <w:kern w:val="2"/>
      <w:sz w:val="28"/>
      <w:szCs w:val="20"/>
    </w:rPr>
  </w:style>
  <w:style w:type="paragraph" w:styleId="60">
    <w:name w:val="List"/>
    <w:basedOn w:val="1"/>
    <w:next w:val="1"/>
    <w:link w:val="106"/>
    <w:qFormat/>
    <w:uiPriority w:val="0"/>
    <w:pPr>
      <w:widowControl w:val="0"/>
      <w:ind w:left="420" w:hanging="420"/>
      <w:jc w:val="both"/>
    </w:pPr>
    <w:rPr>
      <w:rFonts w:hint="eastAsia" w:ascii="黑体" w:hAnsi="Times New Roman" w:eastAsia="黑体" w:cs="Times New Roman"/>
      <w:kern w:val="2"/>
    </w:rPr>
  </w:style>
  <w:style w:type="paragraph" w:styleId="61">
    <w:name w:val="footnote text"/>
    <w:basedOn w:val="62"/>
    <w:link w:val="139"/>
    <w:qFormat/>
    <w:uiPriority w:val="99"/>
  </w:style>
  <w:style w:type="paragraph" w:customStyle="1" w:styleId="62">
    <w:name w:val="基准页脚样式"/>
    <w:basedOn w:val="32"/>
    <w:qFormat/>
    <w:uiPriority w:val="99"/>
    <w:pPr>
      <w:keepLines/>
      <w:spacing w:after="220" w:line="200" w:lineRule="atLeast"/>
      <w:jc w:val="center"/>
    </w:pPr>
    <w:rPr>
      <w:rFonts w:ascii="Times New Roman" w:hAnsi="Times New Roman"/>
      <w:color w:val="auto"/>
      <w:kern w:val="0"/>
      <w:sz w:val="16"/>
      <w:szCs w:val="20"/>
    </w:rPr>
  </w:style>
  <w:style w:type="paragraph" w:styleId="63">
    <w:name w:val="toc 6"/>
    <w:basedOn w:val="1"/>
    <w:next w:val="1"/>
    <w:qFormat/>
    <w:uiPriority w:val="39"/>
    <w:pPr>
      <w:ind w:left="1050" w:firstLine="200"/>
    </w:pPr>
    <w:rPr>
      <w:sz w:val="18"/>
      <w:szCs w:val="20"/>
    </w:rPr>
  </w:style>
  <w:style w:type="paragraph" w:styleId="64">
    <w:name w:val="List 5"/>
    <w:basedOn w:val="1"/>
    <w:qFormat/>
    <w:uiPriority w:val="99"/>
    <w:pPr>
      <w:widowControl w:val="0"/>
      <w:topLinePunct/>
      <w:spacing w:line="360" w:lineRule="auto"/>
      <w:ind w:left="100" w:leftChars="800" w:hanging="200" w:hangingChars="200"/>
    </w:pPr>
    <w:rPr>
      <w:rFonts w:ascii="仿宋_GB2312" w:hAnsi="Times New Roman" w:eastAsia="仿宋_GB2312" w:cs="Times New Roman"/>
      <w:kern w:val="2"/>
      <w:sz w:val="28"/>
      <w:szCs w:val="20"/>
    </w:rPr>
  </w:style>
  <w:style w:type="paragraph" w:styleId="65">
    <w:name w:val="Body Text Indent 3"/>
    <w:basedOn w:val="1"/>
    <w:link w:val="140"/>
    <w:qFormat/>
    <w:uiPriority w:val="0"/>
    <w:pPr>
      <w:widowControl w:val="0"/>
      <w:spacing w:after="120"/>
      <w:ind w:left="420" w:leftChars="200"/>
      <w:jc w:val="both"/>
    </w:pPr>
    <w:rPr>
      <w:rFonts w:ascii="Times New Roman" w:hAnsi="Times New Roman" w:cs="Times New Roman"/>
      <w:sz w:val="16"/>
      <w:szCs w:val="16"/>
    </w:rPr>
  </w:style>
  <w:style w:type="paragraph" w:styleId="66">
    <w:name w:val="table of figures"/>
    <w:next w:val="1"/>
    <w:qFormat/>
    <w:uiPriority w:val="99"/>
    <w:pPr>
      <w:adjustRightInd w:val="0"/>
      <w:snapToGrid w:val="0"/>
      <w:spacing w:before="120" w:line="240" w:lineRule="atLeast"/>
      <w:jc w:val="center"/>
    </w:pPr>
    <w:rPr>
      <w:rFonts w:ascii="Times New Roman" w:hAnsi="Times New Roman" w:eastAsia="宋体" w:cs="Times New Roman"/>
      <w:b/>
      <w:sz w:val="24"/>
      <w:lang w:val="en-US" w:eastAsia="zh-CN" w:bidi="ar-SA"/>
    </w:rPr>
  </w:style>
  <w:style w:type="paragraph" w:styleId="67">
    <w:name w:val="toc 2"/>
    <w:basedOn w:val="1"/>
    <w:next w:val="1"/>
    <w:link w:val="2757"/>
    <w:qFormat/>
    <w:uiPriority w:val="39"/>
    <w:pPr>
      <w:widowControl w:val="0"/>
      <w:ind w:left="210"/>
    </w:pPr>
    <w:rPr>
      <w:rFonts w:ascii="Calibri" w:hAnsi="Calibri" w:cs="Times New Roman"/>
      <w:smallCaps/>
      <w:kern w:val="2"/>
      <w:sz w:val="20"/>
      <w:szCs w:val="20"/>
    </w:rPr>
  </w:style>
  <w:style w:type="paragraph" w:styleId="68">
    <w:name w:val="toc 9"/>
    <w:basedOn w:val="1"/>
    <w:next w:val="1"/>
    <w:qFormat/>
    <w:uiPriority w:val="39"/>
    <w:pPr>
      <w:widowControl w:val="0"/>
      <w:ind w:left="1680"/>
    </w:pPr>
    <w:rPr>
      <w:rFonts w:ascii="Calibri" w:hAnsi="Calibri" w:cs="Times New Roman"/>
      <w:kern w:val="2"/>
      <w:sz w:val="18"/>
      <w:szCs w:val="18"/>
    </w:rPr>
  </w:style>
  <w:style w:type="paragraph" w:styleId="69">
    <w:name w:val="Body Text 2"/>
    <w:basedOn w:val="1"/>
    <w:link w:val="141"/>
    <w:qFormat/>
    <w:uiPriority w:val="99"/>
    <w:pPr>
      <w:widowControl w:val="0"/>
      <w:spacing w:line="400" w:lineRule="exact"/>
      <w:jc w:val="center"/>
    </w:pPr>
    <w:rPr>
      <w:rFonts w:ascii="Times New Roman" w:hAnsi="Times New Roman" w:cs="Times New Roman"/>
    </w:rPr>
  </w:style>
  <w:style w:type="paragraph" w:styleId="70">
    <w:name w:val="List 4"/>
    <w:basedOn w:val="1"/>
    <w:qFormat/>
    <w:uiPriority w:val="99"/>
    <w:pPr>
      <w:widowControl w:val="0"/>
      <w:topLinePunct/>
      <w:spacing w:line="360" w:lineRule="auto"/>
      <w:ind w:left="100" w:leftChars="600" w:hanging="200" w:hangingChars="200"/>
    </w:pPr>
    <w:rPr>
      <w:rFonts w:ascii="仿宋_GB2312" w:hAnsi="Times New Roman" w:eastAsia="仿宋_GB2312" w:cs="Times New Roman"/>
      <w:kern w:val="2"/>
      <w:sz w:val="28"/>
      <w:szCs w:val="20"/>
    </w:rPr>
  </w:style>
  <w:style w:type="paragraph" w:styleId="71">
    <w:name w:val="List Continue 2"/>
    <w:basedOn w:val="1"/>
    <w:qFormat/>
    <w:uiPriority w:val="99"/>
    <w:pPr>
      <w:widowControl w:val="0"/>
      <w:topLinePunct/>
      <w:spacing w:after="120" w:line="360" w:lineRule="auto"/>
      <w:ind w:left="840" w:leftChars="400" w:firstLine="200" w:firstLineChars="200"/>
    </w:pPr>
    <w:rPr>
      <w:rFonts w:ascii="仿宋_GB2312" w:hAnsi="Times New Roman" w:eastAsia="仿宋_GB2312" w:cs="Times New Roman"/>
      <w:kern w:val="2"/>
      <w:sz w:val="28"/>
      <w:szCs w:val="20"/>
    </w:rPr>
  </w:style>
  <w:style w:type="paragraph" w:styleId="72">
    <w:name w:val="Message Header"/>
    <w:basedOn w:val="1"/>
    <w:link w:val="142"/>
    <w:qFormat/>
    <w:uiPriority w:val="0"/>
    <w:pPr>
      <w:widowControl w:val="0"/>
      <w:pBdr>
        <w:top w:val="single" w:color="auto" w:sz="6" w:space="1"/>
        <w:left w:val="single" w:color="auto" w:sz="6" w:space="1"/>
        <w:bottom w:val="single" w:color="auto" w:sz="6" w:space="1"/>
        <w:right w:val="single" w:color="auto" w:sz="6" w:space="1"/>
      </w:pBdr>
      <w:shd w:val="pct20" w:color="auto" w:fill="auto"/>
      <w:topLinePunct/>
      <w:spacing w:line="360" w:lineRule="auto"/>
      <w:ind w:left="1080" w:leftChars="500" w:hanging="1080" w:hangingChars="500"/>
    </w:pPr>
    <w:rPr>
      <w:rFonts w:ascii="Arial" w:hAnsi="Arial" w:eastAsia="仿宋_GB2312" w:cs="Times New Roman"/>
      <w:szCs w:val="20"/>
    </w:rPr>
  </w:style>
  <w:style w:type="paragraph" w:styleId="73">
    <w:name w:val="HTML Preformatted"/>
    <w:basedOn w:val="1"/>
    <w:link w:val="143"/>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pPr>
    <w:rPr>
      <w:rFonts w:ascii="Arial" w:hAnsi="Arial" w:cs="Times New Roman"/>
      <w:sz w:val="19"/>
      <w:szCs w:val="19"/>
    </w:rPr>
  </w:style>
  <w:style w:type="paragraph" w:styleId="74">
    <w:name w:val="Normal (Web)"/>
    <w:basedOn w:val="1"/>
    <w:link w:val="144"/>
    <w:qFormat/>
    <w:uiPriority w:val="0"/>
    <w:pPr>
      <w:spacing w:before="100" w:beforeAutospacing="1" w:after="100" w:afterAutospacing="1"/>
    </w:pPr>
  </w:style>
  <w:style w:type="paragraph" w:styleId="75">
    <w:name w:val="List Continue 3"/>
    <w:basedOn w:val="1"/>
    <w:qFormat/>
    <w:uiPriority w:val="99"/>
    <w:pPr>
      <w:widowControl w:val="0"/>
      <w:topLinePunct/>
      <w:spacing w:after="120" w:line="360" w:lineRule="auto"/>
      <w:ind w:left="1260" w:leftChars="600" w:firstLine="200" w:firstLineChars="200"/>
    </w:pPr>
    <w:rPr>
      <w:rFonts w:ascii="仿宋_GB2312" w:hAnsi="Times New Roman" w:eastAsia="仿宋_GB2312" w:cs="Times New Roman"/>
      <w:kern w:val="2"/>
      <w:sz w:val="28"/>
      <w:szCs w:val="20"/>
    </w:rPr>
  </w:style>
  <w:style w:type="paragraph" w:styleId="76">
    <w:name w:val="index 1"/>
    <w:basedOn w:val="1"/>
    <w:next w:val="1"/>
    <w:qFormat/>
    <w:uiPriority w:val="99"/>
    <w:pPr>
      <w:widowControl w:val="0"/>
      <w:jc w:val="both"/>
    </w:pPr>
    <w:rPr>
      <w:rFonts w:ascii="Times New Roman" w:hAnsi="Times New Roman" w:cs="Times New Roman"/>
      <w:kern w:val="2"/>
      <w:sz w:val="21"/>
    </w:rPr>
  </w:style>
  <w:style w:type="paragraph" w:styleId="77">
    <w:name w:val="Title"/>
    <w:basedOn w:val="1"/>
    <w:link w:val="145"/>
    <w:qFormat/>
    <w:uiPriority w:val="0"/>
    <w:pPr>
      <w:widowControl w:val="0"/>
      <w:spacing w:before="240" w:after="60"/>
      <w:ind w:right="2687" w:firstLine="2760"/>
      <w:jc w:val="distribute"/>
      <w:outlineLvl w:val="0"/>
    </w:pPr>
    <w:rPr>
      <w:rFonts w:ascii="Arial" w:hAnsi="Arial" w:cs="Times New Roman"/>
      <w:b/>
      <w:sz w:val="32"/>
      <w:szCs w:val="20"/>
    </w:rPr>
  </w:style>
  <w:style w:type="paragraph" w:styleId="78">
    <w:name w:val="annotation subject"/>
    <w:basedOn w:val="27"/>
    <w:next w:val="27"/>
    <w:link w:val="146"/>
    <w:qFormat/>
    <w:uiPriority w:val="0"/>
    <w:rPr>
      <w:rFonts w:ascii="宋体" w:hAnsi="宋体" w:cs="宋体"/>
      <w:b/>
      <w:bCs/>
      <w:szCs w:val="24"/>
    </w:rPr>
  </w:style>
  <w:style w:type="paragraph" w:styleId="79">
    <w:name w:val="Body Text First Indent"/>
    <w:basedOn w:val="32"/>
    <w:next w:val="1"/>
    <w:link w:val="147"/>
    <w:qFormat/>
    <w:uiPriority w:val="0"/>
    <w:pPr>
      <w:spacing w:after="120"/>
      <w:ind w:firstLine="420" w:firstLineChars="100"/>
      <w:jc w:val="both"/>
    </w:pPr>
    <w:rPr>
      <w:sz w:val="20"/>
      <w:szCs w:val="20"/>
    </w:rPr>
  </w:style>
  <w:style w:type="paragraph" w:styleId="80">
    <w:name w:val="Body Text First Indent 2"/>
    <w:basedOn w:val="33"/>
    <w:link w:val="148"/>
    <w:qFormat/>
    <w:uiPriority w:val="0"/>
    <w:pPr>
      <w:widowControl w:val="0"/>
      <w:topLinePunct/>
      <w:spacing w:line="360" w:lineRule="auto"/>
      <w:ind w:firstLine="200" w:firstLineChars="200"/>
    </w:pPr>
    <w:rPr>
      <w:rFonts w:hAnsi="Times New Roman"/>
      <w:spacing w:val="0"/>
      <w:sz w:val="28"/>
    </w:rPr>
  </w:style>
  <w:style w:type="table" w:styleId="82">
    <w:name w:val="Table Grid"/>
    <w:basedOn w:val="8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3">
    <w:name w:val="Table Classic 1"/>
    <w:basedOn w:val="81"/>
    <w:unhideWhenUsed/>
    <w:qFormat/>
    <w:uiPriority w:val="0"/>
    <w:pPr>
      <w:widowControl w:val="0"/>
      <w:jc w:val="both"/>
    </w:pPr>
    <w:rPr>
      <w:rFonts w:eastAsia="Times New Roman"/>
    </w:rPr>
    <w:tblPr>
      <w:tblBorders>
        <w:top w:val="single" w:color="000000" w:sz="12" w:space="0"/>
        <w:bottom w:val="single" w:color="000000" w:sz="12" w:space="0"/>
        <w:insideH w:val="single" w:color="000000" w:sz="4" w:space="0"/>
        <w:insideV w:val="single" w:color="000000" w:sz="4" w:space="0"/>
      </w:tblBorders>
    </w:tblPr>
    <w:tblStylePr w:type="firstRow">
      <w:rPr>
        <w:i/>
        <w:iCs/>
      </w:rPr>
      <w:tblPr/>
      <w:tcPr>
        <w:tcBorders>
          <w:top w:val="nil"/>
          <w:left w:val="nil"/>
          <w:bottom w:val="single" w:color="000000" w:sz="6" w:space="0"/>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character" w:styleId="85">
    <w:name w:val="Strong"/>
    <w:qFormat/>
    <w:uiPriority w:val="22"/>
    <w:rPr>
      <w:b/>
    </w:rPr>
  </w:style>
  <w:style w:type="character" w:styleId="86">
    <w:name w:val="endnote reference"/>
    <w:qFormat/>
    <w:uiPriority w:val="0"/>
    <w:rPr>
      <w:vertAlign w:val="superscript"/>
    </w:rPr>
  </w:style>
  <w:style w:type="character" w:styleId="87">
    <w:name w:val="page number"/>
    <w:qFormat/>
    <w:uiPriority w:val="0"/>
  </w:style>
  <w:style w:type="character" w:styleId="88">
    <w:name w:val="FollowedHyperlink"/>
    <w:qFormat/>
    <w:uiPriority w:val="99"/>
    <w:rPr>
      <w:rFonts w:hint="eastAsia" w:ascii="微软雅黑" w:hAnsi="微软雅黑" w:eastAsia="微软雅黑" w:cs="微软雅黑"/>
      <w:color w:val="000000"/>
      <w:sz w:val="22"/>
      <w:szCs w:val="22"/>
      <w:u w:val="none"/>
    </w:rPr>
  </w:style>
  <w:style w:type="character" w:styleId="89">
    <w:name w:val="Emphasis"/>
    <w:qFormat/>
    <w:uiPriority w:val="20"/>
    <w:rPr>
      <w:rFonts w:eastAsia="仿宋_GB2312"/>
      <w:i/>
      <w:iCs/>
      <w:spacing w:val="-2"/>
      <w:kern w:val="2"/>
      <w:sz w:val="28"/>
      <w:szCs w:val="28"/>
      <w:lang w:val="en-US" w:eastAsia="zh-CN" w:bidi="ar-SA"/>
    </w:rPr>
  </w:style>
  <w:style w:type="character" w:styleId="90">
    <w:name w:val="line number"/>
    <w:qFormat/>
    <w:uiPriority w:val="0"/>
    <w:rPr>
      <w:rFonts w:eastAsia="仿宋_GB2312"/>
      <w:spacing w:val="-2"/>
      <w:kern w:val="2"/>
      <w:sz w:val="28"/>
      <w:szCs w:val="28"/>
      <w:lang w:val="en-US" w:eastAsia="zh-CN" w:bidi="ar-SA"/>
    </w:rPr>
  </w:style>
  <w:style w:type="character" w:styleId="91">
    <w:name w:val="HTML Definition"/>
    <w:qFormat/>
    <w:uiPriority w:val="99"/>
    <w:rPr>
      <w:rFonts w:eastAsia="仿宋_GB2312"/>
      <w:i/>
      <w:iCs/>
      <w:spacing w:val="-2"/>
      <w:kern w:val="2"/>
      <w:sz w:val="28"/>
      <w:szCs w:val="28"/>
      <w:lang w:val="en-US" w:eastAsia="zh-CN" w:bidi="ar-SA"/>
    </w:rPr>
  </w:style>
  <w:style w:type="character" w:styleId="92">
    <w:name w:val="HTML Typewriter"/>
    <w:qFormat/>
    <w:uiPriority w:val="0"/>
    <w:rPr>
      <w:rFonts w:ascii="Courier New" w:hAnsi="Courier New" w:eastAsia="仿宋_GB2312" w:cs="Courier New"/>
      <w:spacing w:val="-2"/>
      <w:kern w:val="2"/>
      <w:sz w:val="20"/>
      <w:szCs w:val="20"/>
      <w:lang w:val="en-US" w:eastAsia="zh-CN" w:bidi="ar-SA"/>
    </w:rPr>
  </w:style>
  <w:style w:type="character" w:styleId="93">
    <w:name w:val="HTML Acronym"/>
    <w:qFormat/>
    <w:uiPriority w:val="0"/>
    <w:rPr>
      <w:rFonts w:eastAsia="仿宋_GB2312"/>
      <w:spacing w:val="-2"/>
      <w:kern w:val="2"/>
      <w:sz w:val="28"/>
      <w:szCs w:val="28"/>
      <w:lang w:val="en-US" w:eastAsia="zh-CN" w:bidi="ar-SA"/>
    </w:rPr>
  </w:style>
  <w:style w:type="character" w:styleId="94">
    <w:name w:val="HTML Variable"/>
    <w:qFormat/>
    <w:uiPriority w:val="99"/>
    <w:rPr>
      <w:rFonts w:eastAsia="仿宋_GB2312"/>
      <w:i/>
      <w:iCs/>
      <w:spacing w:val="-2"/>
      <w:kern w:val="2"/>
      <w:sz w:val="28"/>
      <w:szCs w:val="28"/>
      <w:lang w:val="en-US" w:eastAsia="zh-CN" w:bidi="ar-SA"/>
    </w:rPr>
  </w:style>
  <w:style w:type="character" w:styleId="95">
    <w:name w:val="Hyperlink"/>
    <w:qFormat/>
    <w:uiPriority w:val="99"/>
    <w:rPr>
      <w:rFonts w:ascii="Times New Roman" w:hAnsi="Times New Roman"/>
      <w:color w:val="000000"/>
      <w:szCs w:val="20"/>
      <w:u w:val="none"/>
    </w:rPr>
  </w:style>
  <w:style w:type="character" w:styleId="96">
    <w:name w:val="HTML Code"/>
    <w:qFormat/>
    <w:uiPriority w:val="99"/>
    <w:rPr>
      <w:rFonts w:ascii="Courier New" w:hAnsi="Courier New" w:eastAsia="仿宋_GB2312" w:cs="Courier New"/>
      <w:spacing w:val="-2"/>
      <w:kern w:val="2"/>
      <w:sz w:val="20"/>
      <w:szCs w:val="20"/>
      <w:lang w:val="en-US" w:eastAsia="zh-CN" w:bidi="ar-SA"/>
    </w:rPr>
  </w:style>
  <w:style w:type="character" w:styleId="97">
    <w:name w:val="annotation reference"/>
    <w:qFormat/>
    <w:uiPriority w:val="99"/>
    <w:rPr>
      <w:sz w:val="21"/>
      <w:szCs w:val="21"/>
    </w:rPr>
  </w:style>
  <w:style w:type="character" w:styleId="98">
    <w:name w:val="HTML Cite"/>
    <w:qFormat/>
    <w:uiPriority w:val="99"/>
    <w:rPr>
      <w:rFonts w:eastAsia="仿宋_GB2312"/>
      <w:i/>
      <w:iCs/>
      <w:spacing w:val="-2"/>
      <w:kern w:val="2"/>
      <w:sz w:val="28"/>
      <w:szCs w:val="28"/>
      <w:lang w:val="en-US" w:eastAsia="zh-CN" w:bidi="ar-SA"/>
    </w:rPr>
  </w:style>
  <w:style w:type="character" w:styleId="99">
    <w:name w:val="footnote reference"/>
    <w:qFormat/>
    <w:uiPriority w:val="99"/>
    <w:rPr>
      <w:vertAlign w:val="superscript"/>
    </w:rPr>
  </w:style>
  <w:style w:type="character" w:styleId="100">
    <w:name w:val="HTML Keyboard"/>
    <w:qFormat/>
    <w:uiPriority w:val="99"/>
    <w:rPr>
      <w:rFonts w:ascii="Courier New" w:hAnsi="Courier New" w:eastAsia="仿宋_GB2312" w:cs="Courier New"/>
      <w:spacing w:val="-2"/>
      <w:kern w:val="2"/>
      <w:sz w:val="20"/>
      <w:szCs w:val="20"/>
      <w:lang w:val="en-US" w:eastAsia="zh-CN" w:bidi="ar-SA"/>
    </w:rPr>
  </w:style>
  <w:style w:type="character" w:styleId="101">
    <w:name w:val="HTML Sample"/>
    <w:qFormat/>
    <w:uiPriority w:val="99"/>
    <w:rPr>
      <w:rFonts w:ascii="Courier New" w:hAnsi="Courier New" w:eastAsia="仿宋_GB2312" w:cs="Courier New"/>
      <w:spacing w:val="-2"/>
      <w:kern w:val="2"/>
      <w:sz w:val="28"/>
      <w:szCs w:val="28"/>
      <w:lang w:val="en-US" w:eastAsia="zh-CN" w:bidi="ar-SA"/>
    </w:rPr>
  </w:style>
  <w:style w:type="paragraph" w:customStyle="1" w:styleId="102">
    <w:name w:val="表格内"/>
    <w:basedOn w:val="60"/>
    <w:next w:val="1"/>
    <w:link w:val="107"/>
    <w:qFormat/>
    <w:uiPriority w:val="0"/>
    <w:pPr>
      <w:snapToGrid w:val="0"/>
      <w:spacing w:line="360" w:lineRule="exact"/>
      <w:jc w:val="center"/>
    </w:pPr>
    <w:rPr>
      <w:rFonts w:ascii="Calibri" w:hAnsi="Calibri"/>
      <w:sz w:val="21"/>
      <w:szCs w:val="21"/>
    </w:rPr>
  </w:style>
  <w:style w:type="paragraph" w:customStyle="1" w:styleId="103">
    <w:name w:val="Default"/>
    <w:basedOn w:val="104"/>
    <w:next w:val="1"/>
    <w:qFormat/>
    <w:uiPriority w:val="99"/>
    <w:rPr>
      <w:rFonts w:eastAsia="宋体"/>
      <w:color w:val="000000"/>
    </w:rPr>
  </w:style>
  <w:style w:type="paragraph" w:customStyle="1" w:styleId="104">
    <w:name w:val="表头"/>
    <w:basedOn w:val="67"/>
    <w:next w:val="1"/>
    <w:link w:val="152"/>
    <w:qFormat/>
    <w:uiPriority w:val="0"/>
    <w:pPr>
      <w:snapToGrid w:val="0"/>
      <w:jc w:val="center"/>
    </w:pPr>
    <w:rPr>
      <w:rFonts w:eastAsia="黑体"/>
    </w:rPr>
  </w:style>
  <w:style w:type="paragraph" w:customStyle="1" w:styleId="105">
    <w:name w:val="正文格式"/>
    <w:basedOn w:val="1"/>
    <w:next w:val="1"/>
    <w:link w:val="149"/>
    <w:qFormat/>
    <w:uiPriority w:val="0"/>
    <w:pPr>
      <w:spacing w:line="360" w:lineRule="auto"/>
      <w:ind w:firstLine="544"/>
    </w:pPr>
    <w:rPr>
      <w:szCs w:val="20"/>
    </w:rPr>
  </w:style>
  <w:style w:type="character" w:customStyle="1" w:styleId="106">
    <w:name w:val="列表 字符"/>
    <w:link w:val="60"/>
    <w:qFormat/>
    <w:uiPriority w:val="0"/>
    <w:rPr>
      <w:rFonts w:ascii="黑体" w:hAnsi="Times New Roman" w:eastAsia="黑体"/>
      <w:kern w:val="2"/>
      <w:sz w:val="24"/>
      <w:szCs w:val="24"/>
    </w:rPr>
  </w:style>
  <w:style w:type="character" w:customStyle="1" w:styleId="107">
    <w:name w:val="表格内 Char"/>
    <w:link w:val="102"/>
    <w:qFormat/>
    <w:uiPriority w:val="0"/>
    <w:rPr>
      <w:rFonts w:ascii="Calibri" w:hAnsi="Calibri" w:eastAsia="黑体"/>
      <w:kern w:val="2"/>
      <w:sz w:val="21"/>
      <w:szCs w:val="21"/>
    </w:rPr>
  </w:style>
  <w:style w:type="character" w:customStyle="1" w:styleId="108">
    <w:name w:val="标题 1 字符5"/>
    <w:link w:val="4"/>
    <w:qFormat/>
    <w:uiPriority w:val="0"/>
    <w:rPr>
      <w:rFonts w:eastAsia="黑体"/>
      <w:kern w:val="2"/>
      <w:sz w:val="32"/>
      <w:szCs w:val="22"/>
    </w:rPr>
  </w:style>
  <w:style w:type="character" w:customStyle="1" w:styleId="109">
    <w:name w:val="标题 2 字符5"/>
    <w:link w:val="5"/>
    <w:qFormat/>
    <w:uiPriority w:val="0"/>
    <w:rPr>
      <w:rFonts w:eastAsia="黑体"/>
      <w:bCs/>
      <w:sz w:val="28"/>
      <w:szCs w:val="32"/>
    </w:rPr>
  </w:style>
  <w:style w:type="character" w:customStyle="1" w:styleId="110">
    <w:name w:val="标题 3 字符6"/>
    <w:link w:val="7"/>
    <w:qFormat/>
    <w:uiPriority w:val="9"/>
    <w:rPr>
      <w:rFonts w:ascii="Times New Roman" w:hAnsi="Times New Roman" w:eastAsia="黑体"/>
      <w:bCs/>
      <w:szCs w:val="32"/>
    </w:rPr>
  </w:style>
  <w:style w:type="character" w:customStyle="1" w:styleId="111">
    <w:name w:val="标题 4 字符5"/>
    <w:link w:val="8"/>
    <w:qFormat/>
    <w:uiPriority w:val="99"/>
    <w:rPr>
      <w:rFonts w:ascii="Times New Roman" w:hAnsi="Times New Roman" w:cs="宋体"/>
      <w:sz w:val="24"/>
      <w:lang w:val="zh-CN"/>
    </w:rPr>
  </w:style>
  <w:style w:type="character" w:customStyle="1" w:styleId="112">
    <w:name w:val="标题 5 字符4"/>
    <w:link w:val="9"/>
    <w:qFormat/>
    <w:uiPriority w:val="0"/>
    <w:rPr>
      <w:rFonts w:ascii="仿宋_GB2312" w:hAnsi="Times New Roman" w:eastAsia="仿宋_GB2312"/>
      <w:b/>
      <w:bCs/>
      <w:sz w:val="28"/>
      <w:szCs w:val="28"/>
    </w:rPr>
  </w:style>
  <w:style w:type="character" w:customStyle="1" w:styleId="113">
    <w:name w:val="标题 6 字符4"/>
    <w:link w:val="10"/>
    <w:qFormat/>
    <w:uiPriority w:val="0"/>
    <w:rPr>
      <w:rFonts w:ascii="Times New Roman" w:hAnsi="Times New Roman"/>
      <w:b/>
      <w:bCs/>
      <w:kern w:val="2"/>
      <w:sz w:val="24"/>
    </w:rPr>
  </w:style>
  <w:style w:type="character" w:customStyle="1" w:styleId="114">
    <w:name w:val="标题 7 字符4"/>
    <w:link w:val="11"/>
    <w:qFormat/>
    <w:uiPriority w:val="0"/>
    <w:rPr>
      <w:rFonts w:ascii="Times New Roman" w:hAnsi="Times New Roman"/>
      <w:b/>
      <w:bCs/>
      <w:kern w:val="2"/>
      <w:sz w:val="28"/>
      <w:szCs w:val="28"/>
    </w:rPr>
  </w:style>
  <w:style w:type="character" w:customStyle="1" w:styleId="115">
    <w:name w:val="标题 8 字符4"/>
    <w:link w:val="12"/>
    <w:qFormat/>
    <w:uiPriority w:val="0"/>
    <w:rPr>
      <w:rFonts w:ascii="Times New Roman" w:hAnsi="Times New Roman"/>
      <w:b/>
      <w:bCs/>
      <w:kern w:val="2"/>
      <w:sz w:val="28"/>
      <w:szCs w:val="28"/>
    </w:rPr>
  </w:style>
  <w:style w:type="character" w:customStyle="1" w:styleId="116">
    <w:name w:val="标题 9 字符5"/>
    <w:link w:val="13"/>
    <w:qFormat/>
    <w:uiPriority w:val="0"/>
    <w:rPr>
      <w:rFonts w:ascii="Arial" w:hAnsi="Arial" w:eastAsia="黑体"/>
      <w:sz w:val="28"/>
      <w:szCs w:val="21"/>
    </w:rPr>
  </w:style>
  <w:style w:type="character" w:customStyle="1" w:styleId="117">
    <w:name w:val="宏文本 字符"/>
    <w:link w:val="3"/>
    <w:qFormat/>
    <w:uiPriority w:val="0"/>
    <w:rPr>
      <w:rFonts w:ascii="Courier New" w:hAnsi="Courier New" w:cs="Courier New"/>
      <w:kern w:val="2"/>
      <w:sz w:val="24"/>
      <w:szCs w:val="24"/>
    </w:rPr>
  </w:style>
  <w:style w:type="character" w:customStyle="1" w:styleId="118">
    <w:name w:val="注释标题 字符"/>
    <w:link w:val="18"/>
    <w:qFormat/>
    <w:uiPriority w:val="0"/>
    <w:rPr>
      <w:rFonts w:ascii="Times New Roman" w:hAnsi="Times New Roman"/>
    </w:rPr>
  </w:style>
  <w:style w:type="character" w:customStyle="1" w:styleId="119">
    <w:name w:val="电子邮件签名 字符5"/>
    <w:link w:val="20"/>
    <w:qFormat/>
    <w:uiPriority w:val="0"/>
    <w:rPr>
      <w:rFonts w:ascii="仿宋_GB2312" w:hAnsi="Times New Roman" w:eastAsia="仿宋_GB2312"/>
      <w:sz w:val="28"/>
    </w:rPr>
  </w:style>
  <w:style w:type="character" w:customStyle="1" w:styleId="120">
    <w:name w:val="正文缩进 字符3"/>
    <w:link w:val="6"/>
    <w:qFormat/>
    <w:uiPriority w:val="0"/>
    <w:rPr>
      <w:sz w:val="28"/>
    </w:rPr>
  </w:style>
  <w:style w:type="character" w:customStyle="1" w:styleId="121">
    <w:name w:val="题注 字符"/>
    <w:link w:val="22"/>
    <w:qFormat/>
    <w:uiPriority w:val="0"/>
    <w:rPr>
      <w:rFonts w:ascii="Arial" w:hAnsi="Arial" w:eastAsia="黑体" w:cs="Arial"/>
    </w:rPr>
  </w:style>
  <w:style w:type="character" w:customStyle="1" w:styleId="122">
    <w:name w:val="文档结构图 字符2"/>
    <w:link w:val="25"/>
    <w:qFormat/>
    <w:uiPriority w:val="99"/>
    <w:rPr>
      <w:rFonts w:ascii="Times New Roman" w:hAnsi="Times New Roman"/>
      <w:szCs w:val="24"/>
      <w:shd w:val="clear" w:color="auto" w:fill="000080"/>
    </w:rPr>
  </w:style>
  <w:style w:type="character" w:customStyle="1" w:styleId="123">
    <w:name w:val="批注文字 字符8"/>
    <w:link w:val="27"/>
    <w:qFormat/>
    <w:uiPriority w:val="99"/>
    <w:rPr>
      <w:sz w:val="24"/>
      <w:szCs w:val="22"/>
    </w:rPr>
  </w:style>
  <w:style w:type="character" w:customStyle="1" w:styleId="124">
    <w:name w:val="称呼 字符"/>
    <w:link w:val="28"/>
    <w:qFormat/>
    <w:uiPriority w:val="0"/>
    <w:rPr>
      <w:rFonts w:ascii="Times New Roman" w:hAnsi="Times New Roman" w:eastAsia="楷体_GB2312"/>
      <w:color w:val="000000"/>
      <w:kern w:val="28"/>
      <w:sz w:val="28"/>
    </w:rPr>
  </w:style>
  <w:style w:type="character" w:customStyle="1" w:styleId="125">
    <w:name w:val="正文文本 3 字符1"/>
    <w:link w:val="29"/>
    <w:qFormat/>
    <w:uiPriority w:val="0"/>
    <w:rPr>
      <w:rFonts w:ascii="宋体" w:hAnsi="宋体"/>
      <w:color w:val="006600"/>
      <w:kern w:val="16"/>
      <w:sz w:val="24"/>
      <w:szCs w:val="24"/>
    </w:rPr>
  </w:style>
  <w:style w:type="character" w:customStyle="1" w:styleId="126">
    <w:name w:val="结束语 字符"/>
    <w:link w:val="30"/>
    <w:qFormat/>
    <w:uiPriority w:val="0"/>
    <w:rPr>
      <w:rFonts w:ascii="仿宋_GB2312" w:hAnsi="Times New Roman" w:eastAsia="仿宋_GB2312"/>
      <w:sz w:val="28"/>
    </w:rPr>
  </w:style>
  <w:style w:type="character" w:customStyle="1" w:styleId="127">
    <w:name w:val="正文文本 字符6"/>
    <w:link w:val="32"/>
    <w:qFormat/>
    <w:uiPriority w:val="1"/>
    <w:rPr>
      <w:color w:val="000000"/>
      <w:kern w:val="2"/>
      <w:sz w:val="24"/>
      <w:szCs w:val="22"/>
    </w:rPr>
  </w:style>
  <w:style w:type="character" w:customStyle="1" w:styleId="128">
    <w:name w:val="正文文本缩进 字符4"/>
    <w:link w:val="33"/>
    <w:qFormat/>
    <w:uiPriority w:val="0"/>
    <w:rPr>
      <w:rFonts w:ascii="仿宋_GB2312" w:eastAsia="仿宋_GB2312"/>
      <w:spacing w:val="-2"/>
    </w:rPr>
  </w:style>
  <w:style w:type="character" w:customStyle="1" w:styleId="129">
    <w:name w:val="HTML 地址 字符"/>
    <w:link w:val="39"/>
    <w:qFormat/>
    <w:uiPriority w:val="0"/>
    <w:rPr>
      <w:rFonts w:ascii="Times New Roman" w:hAnsi="Times New Roman"/>
      <w:i/>
      <w:iCs/>
    </w:rPr>
  </w:style>
  <w:style w:type="character" w:customStyle="1" w:styleId="130">
    <w:name w:val="纯文本 字符5"/>
    <w:link w:val="42"/>
    <w:qFormat/>
    <w:uiPriority w:val="0"/>
    <w:rPr>
      <w:rFonts w:ascii="宋体" w:hAnsi="Courier New"/>
      <w:kern w:val="2"/>
      <w:sz w:val="21"/>
      <w:szCs w:val="22"/>
    </w:rPr>
  </w:style>
  <w:style w:type="character" w:customStyle="1" w:styleId="131">
    <w:name w:val="日期 字符4"/>
    <w:link w:val="46"/>
    <w:qFormat/>
    <w:uiPriority w:val="99"/>
  </w:style>
  <w:style w:type="character" w:customStyle="1" w:styleId="132">
    <w:name w:val="正文文本缩进 2 字符4"/>
    <w:link w:val="47"/>
    <w:qFormat/>
    <w:uiPriority w:val="0"/>
    <w:rPr>
      <w:rFonts w:ascii="Times New Roman" w:hAnsi="Times New Roman"/>
      <w:szCs w:val="24"/>
    </w:rPr>
  </w:style>
  <w:style w:type="character" w:customStyle="1" w:styleId="133">
    <w:name w:val="尾注文本 字符4"/>
    <w:link w:val="48"/>
    <w:qFormat/>
    <w:uiPriority w:val="0"/>
    <w:rPr>
      <w:sz w:val="24"/>
    </w:rPr>
  </w:style>
  <w:style w:type="character" w:customStyle="1" w:styleId="134">
    <w:name w:val="批注框文本 字符4"/>
    <w:link w:val="50"/>
    <w:qFormat/>
    <w:uiPriority w:val="0"/>
    <w:rPr>
      <w:rFonts w:ascii="宋体" w:hAnsi="宋体" w:cs="宋体"/>
      <w:sz w:val="18"/>
      <w:szCs w:val="18"/>
    </w:rPr>
  </w:style>
  <w:style w:type="character" w:customStyle="1" w:styleId="135">
    <w:name w:val="页脚 字符5"/>
    <w:link w:val="51"/>
    <w:qFormat/>
    <w:uiPriority w:val="99"/>
    <w:rPr>
      <w:kern w:val="2"/>
      <w:sz w:val="18"/>
      <w:szCs w:val="18"/>
    </w:rPr>
  </w:style>
  <w:style w:type="character" w:customStyle="1" w:styleId="136">
    <w:name w:val="页眉 字符4"/>
    <w:link w:val="53"/>
    <w:qFormat/>
    <w:uiPriority w:val="99"/>
    <w:rPr>
      <w:kern w:val="2"/>
      <w:sz w:val="18"/>
      <w:szCs w:val="18"/>
    </w:rPr>
  </w:style>
  <w:style w:type="character" w:customStyle="1" w:styleId="137">
    <w:name w:val="签名 字符"/>
    <w:link w:val="54"/>
    <w:qFormat/>
    <w:uiPriority w:val="0"/>
    <w:rPr>
      <w:rFonts w:ascii="仿宋_GB2312" w:hAnsi="Times New Roman" w:eastAsia="仿宋_GB2312"/>
      <w:sz w:val="28"/>
    </w:rPr>
  </w:style>
  <w:style w:type="character" w:customStyle="1" w:styleId="138">
    <w:name w:val="副标题 字符"/>
    <w:link w:val="58"/>
    <w:qFormat/>
    <w:uiPriority w:val="0"/>
    <w:rPr>
      <w:rFonts w:ascii="Calibri Light" w:hAnsi="Calibri Light" w:cs="宋体"/>
      <w:b/>
      <w:bCs/>
      <w:kern w:val="28"/>
      <w:sz w:val="32"/>
      <w:szCs w:val="32"/>
    </w:rPr>
  </w:style>
  <w:style w:type="character" w:customStyle="1" w:styleId="139">
    <w:name w:val="脚注文本 字符4"/>
    <w:link w:val="61"/>
    <w:qFormat/>
    <w:uiPriority w:val="99"/>
    <w:rPr>
      <w:rFonts w:ascii="Times New Roman" w:hAnsi="Times New Roman"/>
      <w:sz w:val="16"/>
    </w:rPr>
  </w:style>
  <w:style w:type="character" w:customStyle="1" w:styleId="140">
    <w:name w:val="正文文本缩进 3 字符1"/>
    <w:link w:val="65"/>
    <w:qFormat/>
    <w:uiPriority w:val="0"/>
    <w:rPr>
      <w:rFonts w:ascii="Times New Roman" w:hAnsi="Times New Roman"/>
      <w:sz w:val="16"/>
      <w:szCs w:val="16"/>
    </w:rPr>
  </w:style>
  <w:style w:type="character" w:customStyle="1" w:styleId="141">
    <w:name w:val="正文文本 2 字符1"/>
    <w:link w:val="69"/>
    <w:qFormat/>
    <w:uiPriority w:val="99"/>
    <w:rPr>
      <w:rFonts w:ascii="Times New Roman" w:hAnsi="Times New Roman"/>
      <w:sz w:val="24"/>
      <w:szCs w:val="24"/>
    </w:rPr>
  </w:style>
  <w:style w:type="character" w:customStyle="1" w:styleId="142">
    <w:name w:val="信息标题 字符"/>
    <w:link w:val="72"/>
    <w:qFormat/>
    <w:uiPriority w:val="0"/>
    <w:rPr>
      <w:rFonts w:ascii="Arial" w:hAnsi="Arial" w:eastAsia="仿宋_GB2312"/>
      <w:sz w:val="24"/>
      <w:shd w:val="pct20" w:color="auto" w:fill="auto"/>
    </w:rPr>
  </w:style>
  <w:style w:type="character" w:customStyle="1" w:styleId="143">
    <w:name w:val="HTML 预设格式 字符4"/>
    <w:link w:val="73"/>
    <w:qFormat/>
    <w:uiPriority w:val="99"/>
    <w:rPr>
      <w:rFonts w:ascii="Arial" w:hAnsi="Arial"/>
      <w:sz w:val="19"/>
      <w:szCs w:val="19"/>
    </w:rPr>
  </w:style>
  <w:style w:type="character" w:customStyle="1" w:styleId="144">
    <w:name w:val="普通(网站) 字符2"/>
    <w:link w:val="74"/>
    <w:qFormat/>
    <w:uiPriority w:val="0"/>
    <w:rPr>
      <w:rFonts w:ascii="宋体" w:hAnsi="宋体" w:cs="宋体"/>
      <w:sz w:val="24"/>
      <w:szCs w:val="24"/>
    </w:rPr>
  </w:style>
  <w:style w:type="character" w:customStyle="1" w:styleId="145">
    <w:name w:val="标题 字符5"/>
    <w:link w:val="77"/>
    <w:qFormat/>
    <w:uiPriority w:val="0"/>
    <w:rPr>
      <w:rFonts w:ascii="Arial" w:hAnsi="Arial"/>
      <w:b/>
      <w:sz w:val="32"/>
    </w:rPr>
  </w:style>
  <w:style w:type="character" w:customStyle="1" w:styleId="146">
    <w:name w:val="批注主题 字符5"/>
    <w:link w:val="78"/>
    <w:qFormat/>
    <w:uiPriority w:val="0"/>
    <w:rPr>
      <w:rFonts w:ascii="宋体" w:hAnsi="宋体" w:cs="宋体"/>
      <w:b/>
      <w:bCs/>
      <w:sz w:val="24"/>
      <w:szCs w:val="24"/>
    </w:rPr>
  </w:style>
  <w:style w:type="character" w:customStyle="1" w:styleId="147">
    <w:name w:val="正文文本首行缩进 字符2"/>
    <w:link w:val="79"/>
    <w:qFormat/>
    <w:uiPriority w:val="0"/>
    <w:rPr>
      <w:color w:val="000000"/>
      <w:kern w:val="2"/>
      <w:sz w:val="24"/>
      <w:szCs w:val="22"/>
    </w:rPr>
  </w:style>
  <w:style w:type="character" w:customStyle="1" w:styleId="148">
    <w:name w:val="正文文本首行缩进 2 字符2"/>
    <w:link w:val="80"/>
    <w:qFormat/>
    <w:uiPriority w:val="0"/>
    <w:rPr>
      <w:rFonts w:ascii="仿宋_GB2312" w:hAnsi="Times New Roman" w:eastAsia="仿宋_GB2312"/>
      <w:sz w:val="28"/>
    </w:rPr>
  </w:style>
  <w:style w:type="character" w:customStyle="1" w:styleId="149">
    <w:name w:val="正文格式 Char Char"/>
    <w:link w:val="105"/>
    <w:qFormat/>
    <w:uiPriority w:val="0"/>
    <w:rPr>
      <w:rFonts w:ascii="宋体" w:hAnsi="宋体" w:cs="宋体"/>
      <w:sz w:val="24"/>
    </w:rPr>
  </w:style>
  <w:style w:type="paragraph" w:customStyle="1" w:styleId="150">
    <w:name w:val="表名1"/>
    <w:basedOn w:val="151"/>
    <w:qFormat/>
    <w:uiPriority w:val="99"/>
  </w:style>
  <w:style w:type="paragraph" w:customStyle="1" w:styleId="151">
    <w:name w:val="报告"/>
    <w:basedOn w:val="1"/>
    <w:qFormat/>
    <w:uiPriority w:val="99"/>
    <w:pPr>
      <w:widowControl w:val="0"/>
      <w:autoSpaceDE w:val="0"/>
      <w:autoSpaceDN w:val="0"/>
      <w:adjustRightInd w:val="0"/>
      <w:spacing w:line="360" w:lineRule="auto"/>
      <w:ind w:firstLine="505"/>
      <w:textAlignment w:val="baseline"/>
    </w:pPr>
    <w:rPr>
      <w:rFonts w:ascii="Times New Roman" w:hAnsi="Times New Roman" w:cs="Times New Roman"/>
      <w:szCs w:val="20"/>
    </w:rPr>
  </w:style>
  <w:style w:type="character" w:customStyle="1" w:styleId="152">
    <w:name w:val="表头 Char"/>
    <w:link w:val="104"/>
    <w:qFormat/>
    <w:uiPriority w:val="0"/>
    <w:rPr>
      <w:rFonts w:ascii="Times New Roman" w:hAnsi="Times New Roman" w:eastAsia="黑体"/>
      <w:sz w:val="24"/>
      <w:szCs w:val="24"/>
    </w:rPr>
  </w:style>
  <w:style w:type="paragraph" w:customStyle="1" w:styleId="153">
    <w:name w:val="【正文】"/>
    <w:basedOn w:val="1"/>
    <w:next w:val="1"/>
    <w:link w:val="626"/>
    <w:qFormat/>
    <w:uiPriority w:val="0"/>
    <w:pPr>
      <w:spacing w:line="500" w:lineRule="exact"/>
      <w:ind w:firstLine="200" w:firstLineChars="200"/>
    </w:pPr>
    <w:rPr>
      <w:rFonts w:cs="Times New Roman"/>
    </w:rPr>
  </w:style>
  <w:style w:type="character" w:customStyle="1" w:styleId="154">
    <w:name w:val="【正文】 Char Char"/>
    <w:qFormat/>
    <w:uiPriority w:val="0"/>
    <w:rPr>
      <w:rFonts w:ascii="宋体" w:hAnsi="宋体"/>
      <w:sz w:val="24"/>
      <w:szCs w:val="24"/>
    </w:rPr>
  </w:style>
  <w:style w:type="paragraph" w:customStyle="1" w:styleId="155">
    <w:name w:val="【表头】"/>
    <w:basedOn w:val="1"/>
    <w:link w:val="156"/>
    <w:qFormat/>
    <w:uiPriority w:val="0"/>
    <w:pPr>
      <w:spacing w:line="500" w:lineRule="exact"/>
      <w:jc w:val="center"/>
    </w:pPr>
    <w:rPr>
      <w:rFonts w:ascii="Calibri" w:hAnsi="Calibri" w:eastAsia="黑体" w:cs="Times New Roman"/>
      <w:sz w:val="20"/>
      <w:szCs w:val="20"/>
      <w:lang w:val="zh-CN"/>
    </w:rPr>
  </w:style>
  <w:style w:type="character" w:customStyle="1" w:styleId="156">
    <w:name w:val="【表头】 Char Char"/>
    <w:link w:val="155"/>
    <w:qFormat/>
    <w:uiPriority w:val="0"/>
    <w:rPr>
      <w:rFonts w:eastAsia="黑体"/>
      <w:lang w:val="zh-CN"/>
    </w:rPr>
  </w:style>
  <w:style w:type="paragraph" w:customStyle="1" w:styleId="157">
    <w:name w:val="【表中文字】"/>
    <w:basedOn w:val="1"/>
    <w:link w:val="158"/>
    <w:qFormat/>
    <w:uiPriority w:val="0"/>
    <w:pPr>
      <w:jc w:val="center"/>
    </w:pPr>
    <w:rPr>
      <w:rFonts w:ascii="Calibri" w:hAnsi="Calibri" w:cs="Times New Roman"/>
      <w:kern w:val="2"/>
      <w:sz w:val="21"/>
      <w:szCs w:val="22"/>
      <w:lang w:val="zh-CN"/>
    </w:rPr>
  </w:style>
  <w:style w:type="character" w:customStyle="1" w:styleId="158">
    <w:name w:val="【表中文字】 Char Char"/>
    <w:link w:val="157"/>
    <w:qFormat/>
    <w:uiPriority w:val="0"/>
    <w:rPr>
      <w:kern w:val="2"/>
      <w:sz w:val="21"/>
      <w:szCs w:val="22"/>
      <w:lang w:val="zh-CN"/>
    </w:rPr>
  </w:style>
  <w:style w:type="paragraph" w:customStyle="1" w:styleId="159">
    <w:name w:val="【表中文字】-"/>
    <w:basedOn w:val="1"/>
    <w:qFormat/>
    <w:uiPriority w:val="0"/>
    <w:pPr>
      <w:jc w:val="center"/>
    </w:pPr>
    <w:rPr>
      <w:sz w:val="20"/>
      <w:szCs w:val="20"/>
    </w:rPr>
  </w:style>
  <w:style w:type="paragraph" w:customStyle="1" w:styleId="160">
    <w:name w:val="Char Char Char Char Char Char Char"/>
    <w:basedOn w:val="1"/>
    <w:qFormat/>
    <w:uiPriority w:val="0"/>
    <w:pPr>
      <w:spacing w:line="360" w:lineRule="auto"/>
      <w:ind w:firstLine="200" w:firstLineChars="200"/>
    </w:pPr>
  </w:style>
  <w:style w:type="paragraph" w:customStyle="1" w:styleId="161">
    <w:name w:val="reader-word-layer reader-word-s1-13"/>
    <w:basedOn w:val="1"/>
    <w:qFormat/>
    <w:uiPriority w:val="0"/>
    <w:pPr>
      <w:spacing w:before="100" w:beforeAutospacing="1" w:after="100" w:afterAutospacing="1"/>
    </w:pPr>
  </w:style>
  <w:style w:type="paragraph" w:customStyle="1" w:styleId="162">
    <w:name w:val="p0"/>
    <w:basedOn w:val="1"/>
    <w:qFormat/>
    <w:uiPriority w:val="0"/>
    <w:pPr>
      <w:ind w:firstLine="200"/>
    </w:pPr>
    <w:rPr>
      <w:sz w:val="21"/>
      <w:szCs w:val="21"/>
    </w:rPr>
  </w:style>
  <w:style w:type="paragraph" w:customStyle="1" w:styleId="163">
    <w:name w:val="首行缩进"/>
    <w:basedOn w:val="1"/>
    <w:qFormat/>
    <w:uiPriority w:val="99"/>
    <w:pPr>
      <w:spacing w:line="460" w:lineRule="atLeast"/>
      <w:jc w:val="center"/>
    </w:pPr>
    <w:rPr>
      <w:rFonts w:eastAsia="黑体"/>
      <w:color w:val="000000"/>
      <w:spacing w:val="20"/>
    </w:rPr>
  </w:style>
  <w:style w:type="paragraph" w:customStyle="1" w:styleId="164">
    <w:name w:val="正文1"/>
    <w:link w:val="165"/>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character" w:customStyle="1" w:styleId="165">
    <w:name w:val="正文1 Char"/>
    <w:link w:val="164"/>
    <w:qFormat/>
    <w:uiPriority w:val="0"/>
    <w:rPr>
      <w:rFonts w:ascii="宋体" w:hAnsi="Times New Roman"/>
      <w:sz w:val="24"/>
    </w:rPr>
  </w:style>
  <w:style w:type="paragraph" w:customStyle="1" w:styleId="166">
    <w:name w:val="_Style 4"/>
    <w:qFormat/>
    <w:uiPriority w:val="99"/>
    <w:pPr>
      <w:widowControl w:val="0"/>
      <w:jc w:val="both"/>
    </w:pPr>
    <w:rPr>
      <w:rFonts w:ascii="Times New Roman" w:hAnsi="Times New Roman" w:eastAsia="宋体" w:cs="Times New Roman"/>
      <w:kern w:val="2"/>
      <w:sz w:val="24"/>
      <w:szCs w:val="24"/>
      <w:lang w:val="en-US" w:eastAsia="zh-CN" w:bidi="ar-SA"/>
    </w:rPr>
  </w:style>
  <w:style w:type="character" w:customStyle="1" w:styleId="167">
    <w:name w:val="font131"/>
    <w:qFormat/>
    <w:uiPriority w:val="0"/>
    <w:rPr>
      <w:rFonts w:hint="default" w:ascii="Calibri" w:hAnsi="Calibri" w:cs="Calibri"/>
      <w:color w:val="000000"/>
      <w:sz w:val="21"/>
      <w:szCs w:val="21"/>
      <w:u w:val="none"/>
      <w:vertAlign w:val="superscript"/>
    </w:rPr>
  </w:style>
  <w:style w:type="character" w:customStyle="1" w:styleId="168">
    <w:name w:val="font81"/>
    <w:qFormat/>
    <w:uiPriority w:val="0"/>
    <w:rPr>
      <w:rFonts w:hint="default" w:ascii="Calibri" w:hAnsi="Calibri" w:cs="Calibri"/>
      <w:color w:val="000000"/>
      <w:sz w:val="21"/>
      <w:szCs w:val="21"/>
      <w:u w:val="none"/>
    </w:rPr>
  </w:style>
  <w:style w:type="character" w:customStyle="1" w:styleId="169">
    <w:name w:val="font122"/>
    <w:qFormat/>
    <w:uiPriority w:val="0"/>
    <w:rPr>
      <w:rFonts w:hint="default" w:ascii="Calibri" w:hAnsi="Calibri" w:cs="Calibri"/>
      <w:color w:val="000000"/>
      <w:sz w:val="21"/>
      <w:szCs w:val="21"/>
      <w:u w:val="none"/>
      <w:vertAlign w:val="subscript"/>
    </w:rPr>
  </w:style>
  <w:style w:type="character" w:customStyle="1" w:styleId="170">
    <w:name w:val="font12"/>
    <w:qFormat/>
    <w:uiPriority w:val="99"/>
    <w:rPr>
      <w:rFonts w:ascii="宋体" w:hAnsi="宋体" w:eastAsia="宋体" w:cs="宋体"/>
      <w:color w:val="7030A0"/>
      <w:sz w:val="21"/>
      <w:szCs w:val="21"/>
      <w:u w:val="none"/>
    </w:rPr>
  </w:style>
  <w:style w:type="character" w:customStyle="1" w:styleId="171">
    <w:name w:val="font101"/>
    <w:qFormat/>
    <w:uiPriority w:val="99"/>
    <w:rPr>
      <w:rFonts w:ascii="宋体" w:hAnsi="宋体" w:eastAsia="宋体" w:cs="宋体"/>
      <w:color w:val="7030A0"/>
      <w:sz w:val="21"/>
      <w:szCs w:val="21"/>
      <w:u w:val="none"/>
      <w:vertAlign w:val="superscript"/>
    </w:rPr>
  </w:style>
  <w:style w:type="character" w:customStyle="1" w:styleId="172">
    <w:name w:val="font91"/>
    <w:qFormat/>
    <w:uiPriority w:val="99"/>
    <w:rPr>
      <w:rFonts w:ascii="宋体" w:hAnsi="宋体" w:eastAsia="宋体" w:cs="宋体"/>
      <w:color w:val="7030A0"/>
      <w:sz w:val="21"/>
      <w:szCs w:val="21"/>
      <w:u w:val="none"/>
      <w:vertAlign w:val="subscript"/>
    </w:rPr>
  </w:style>
  <w:style w:type="paragraph" w:customStyle="1" w:styleId="173">
    <w:name w:val="表格"/>
    <w:basedOn w:val="60"/>
    <w:next w:val="1"/>
    <w:link w:val="177"/>
    <w:qFormat/>
    <w:uiPriority w:val="0"/>
    <w:pPr>
      <w:jc w:val="center"/>
    </w:pPr>
    <w:rPr>
      <w:rFonts w:ascii="Calibri" w:hAnsi="Calibri"/>
      <w:color w:val="000000"/>
      <w:sz w:val="21"/>
      <w:szCs w:val="21"/>
    </w:rPr>
  </w:style>
  <w:style w:type="paragraph" w:customStyle="1" w:styleId="174">
    <w:name w:val="标准"/>
    <w:basedOn w:val="175"/>
    <w:qFormat/>
    <w:uiPriority w:val="0"/>
    <w:pPr>
      <w:adjustRightInd w:val="0"/>
      <w:spacing w:line="480" w:lineRule="exact"/>
      <w:textAlignment w:val="baseline"/>
    </w:pPr>
    <w:rPr>
      <w:rFonts w:ascii="Times New Roman" w:hAnsi="Times New Roman"/>
      <w:sz w:val="28"/>
      <w:szCs w:val="20"/>
      <w:lang w:val="en-GB"/>
    </w:rPr>
  </w:style>
  <w:style w:type="paragraph" w:customStyle="1" w:styleId="175">
    <w:name w:val="正文 New New"/>
    <w:link w:val="176"/>
    <w:qFormat/>
    <w:uiPriority w:val="99"/>
    <w:pPr>
      <w:widowControl w:val="0"/>
      <w:jc w:val="both"/>
    </w:pPr>
    <w:rPr>
      <w:rFonts w:ascii="Calibri" w:hAnsi="Calibri" w:eastAsia="宋体" w:cs="Times New Roman"/>
      <w:kern w:val="2"/>
      <w:sz w:val="21"/>
      <w:szCs w:val="24"/>
      <w:lang w:val="en-US" w:eastAsia="zh-CN" w:bidi="ar-SA"/>
    </w:rPr>
  </w:style>
  <w:style w:type="character" w:customStyle="1" w:styleId="176">
    <w:name w:val="正文 New New Char"/>
    <w:link w:val="175"/>
    <w:qFormat/>
    <w:uiPriority w:val="99"/>
    <w:rPr>
      <w:rFonts w:ascii="Calibri" w:hAnsi="Calibri"/>
      <w:kern w:val="2"/>
      <w:sz w:val="21"/>
      <w:szCs w:val="24"/>
    </w:rPr>
  </w:style>
  <w:style w:type="character" w:customStyle="1" w:styleId="177">
    <w:name w:val="表格 Char Char"/>
    <w:link w:val="173"/>
    <w:qFormat/>
    <w:locked/>
    <w:uiPriority w:val="0"/>
    <w:rPr>
      <w:rFonts w:cs="宋体"/>
      <w:color w:val="000000"/>
      <w:sz w:val="21"/>
      <w:szCs w:val="21"/>
    </w:rPr>
  </w:style>
  <w:style w:type="paragraph" w:customStyle="1" w:styleId="178">
    <w:name w:val="Table Paragraph"/>
    <w:basedOn w:val="1"/>
    <w:qFormat/>
    <w:uiPriority w:val="1"/>
    <w:pPr>
      <w:ind w:firstLine="200"/>
    </w:pPr>
    <w:rPr>
      <w:rFonts w:ascii="Calibri" w:hAnsi="Calibri"/>
      <w:sz w:val="22"/>
      <w:lang w:eastAsia="en-US"/>
    </w:rPr>
  </w:style>
  <w:style w:type="paragraph" w:customStyle="1" w:styleId="179">
    <w:name w:val="样式 正文文字-1 + 首行缩进:  2.1 字符1"/>
    <w:basedOn w:val="180"/>
    <w:qFormat/>
    <w:uiPriority w:val="0"/>
    <w:pPr>
      <w:spacing w:line="440" w:lineRule="exact"/>
      <w:ind w:firstLine="210"/>
    </w:pPr>
    <w:rPr>
      <w:rFonts w:cs="宋体"/>
      <w:szCs w:val="20"/>
    </w:rPr>
  </w:style>
  <w:style w:type="paragraph" w:customStyle="1" w:styleId="180">
    <w:name w:val="正文文字-1 Char"/>
    <w:qFormat/>
    <w:uiPriority w:val="0"/>
    <w:pPr>
      <w:widowControl w:val="0"/>
      <w:spacing w:before="120" w:after="120" w:line="480" w:lineRule="exact"/>
      <w:ind w:firstLine="588" w:firstLineChars="210"/>
      <w:jc w:val="both"/>
    </w:pPr>
    <w:rPr>
      <w:rFonts w:ascii="Times New Roman" w:hAnsi="Times New Roman" w:eastAsia="宋体" w:cs="Times New Roman"/>
      <w:kern w:val="2"/>
      <w:sz w:val="24"/>
      <w:szCs w:val="24"/>
      <w:lang w:val="en-US" w:eastAsia="zh-CN" w:bidi="ar-SA"/>
    </w:rPr>
  </w:style>
  <w:style w:type="paragraph" w:customStyle="1" w:styleId="181">
    <w:name w:val="表格文字"/>
    <w:basedOn w:val="1"/>
    <w:link w:val="182"/>
    <w:qFormat/>
    <w:uiPriority w:val="0"/>
    <w:pPr>
      <w:tabs>
        <w:tab w:val="left" w:pos="146"/>
      </w:tabs>
      <w:spacing w:line="240" w:lineRule="exact"/>
      <w:ind w:right="-55" w:rightChars="-55" w:firstLine="200"/>
      <w:jc w:val="center"/>
    </w:pPr>
    <w:rPr>
      <w:rFonts w:ascii="Calibri" w:hAnsi="Calibri" w:cs="Times New Roman"/>
      <w:spacing w:val="6"/>
      <w:szCs w:val="20"/>
    </w:rPr>
  </w:style>
  <w:style w:type="character" w:customStyle="1" w:styleId="182">
    <w:name w:val="表格文字 Char Char"/>
    <w:link w:val="181"/>
    <w:qFormat/>
    <w:uiPriority w:val="0"/>
    <w:rPr>
      <w:spacing w:val="6"/>
      <w:sz w:val="24"/>
    </w:rPr>
  </w:style>
  <w:style w:type="character" w:customStyle="1" w:styleId="183">
    <w:name w:val="样式 样式 四号 蓝色 + 自动设置"/>
    <w:qFormat/>
    <w:uiPriority w:val="0"/>
    <w:rPr>
      <w:color w:val="auto"/>
      <w:sz w:val="24"/>
    </w:rPr>
  </w:style>
  <w:style w:type="paragraph" w:customStyle="1" w:styleId="184">
    <w:name w:val="报告表正文"/>
    <w:basedOn w:val="1"/>
    <w:qFormat/>
    <w:uiPriority w:val="99"/>
    <w:pPr>
      <w:spacing w:line="360" w:lineRule="auto"/>
      <w:ind w:firstLine="420" w:firstLineChars="200"/>
    </w:pPr>
    <w:rPr>
      <w:rFonts w:ascii="Calibri" w:hAnsi="Calibri" w:cs="Times New Roman"/>
      <w:szCs w:val="22"/>
      <w:lang w:val="zh-CN"/>
    </w:rPr>
  </w:style>
  <w:style w:type="paragraph" w:styleId="185">
    <w:name w:val="List Paragraph"/>
    <w:basedOn w:val="1"/>
    <w:link w:val="2793"/>
    <w:qFormat/>
    <w:uiPriority w:val="34"/>
    <w:pPr>
      <w:ind w:left="597" w:hanging="602"/>
    </w:pPr>
    <w:rPr>
      <w:lang w:val="zh-CN" w:bidi="zh-CN"/>
    </w:rPr>
  </w:style>
  <w:style w:type="character" w:customStyle="1" w:styleId="186">
    <w:name w:val="正文文本 (9)_"/>
    <w:link w:val="187"/>
    <w:qFormat/>
    <w:uiPriority w:val="99"/>
    <w:rPr>
      <w:rFonts w:ascii="MingLiU" w:eastAsia="MingLiU" w:cs="MingLiU"/>
      <w:shd w:val="clear" w:color="auto" w:fill="FFFFFF"/>
    </w:rPr>
  </w:style>
  <w:style w:type="paragraph" w:customStyle="1" w:styleId="187">
    <w:name w:val="正文文本 (9)1"/>
    <w:basedOn w:val="1"/>
    <w:link w:val="186"/>
    <w:qFormat/>
    <w:uiPriority w:val="99"/>
    <w:pPr>
      <w:widowControl w:val="0"/>
      <w:shd w:val="clear" w:color="auto" w:fill="FFFFFF"/>
      <w:spacing w:before="2040" w:after="660" w:line="240" w:lineRule="atLeast"/>
      <w:jc w:val="center"/>
    </w:pPr>
    <w:rPr>
      <w:rFonts w:ascii="MingLiU" w:hAnsi="Calibri" w:eastAsia="MingLiU" w:cs="MingLiU"/>
      <w:sz w:val="20"/>
      <w:szCs w:val="20"/>
    </w:rPr>
  </w:style>
  <w:style w:type="paragraph" w:customStyle="1" w:styleId="188">
    <w:name w:val="一级标题"/>
    <w:basedOn w:val="1"/>
    <w:qFormat/>
    <w:uiPriority w:val="0"/>
    <w:pPr>
      <w:widowControl w:val="0"/>
      <w:spacing w:line="520" w:lineRule="exact"/>
      <w:jc w:val="both"/>
    </w:pPr>
    <w:rPr>
      <w:rFonts w:ascii="Calibri" w:hAnsi="Calibri" w:eastAsia="仿宋_GB2312" w:cs="Times New Roman"/>
      <w:b/>
      <w:color w:val="000000"/>
      <w:kern w:val="2"/>
      <w:sz w:val="21"/>
      <w:szCs w:val="22"/>
    </w:rPr>
  </w:style>
  <w:style w:type="paragraph" w:styleId="189">
    <w:name w:val="No Spacing"/>
    <w:link w:val="190"/>
    <w:qFormat/>
    <w:uiPriority w:val="0"/>
    <w:rPr>
      <w:rFonts w:ascii="宋体" w:hAnsi="宋体" w:eastAsia="宋体" w:cs="宋体"/>
      <w:sz w:val="24"/>
      <w:szCs w:val="24"/>
      <w:lang w:val="en-US" w:eastAsia="zh-CN" w:bidi="ar-SA"/>
    </w:rPr>
  </w:style>
  <w:style w:type="character" w:customStyle="1" w:styleId="190">
    <w:name w:val="无间隔 字符2"/>
    <w:link w:val="189"/>
    <w:qFormat/>
    <w:uiPriority w:val="0"/>
    <w:rPr>
      <w:rFonts w:ascii="宋体" w:hAnsi="宋体" w:cs="宋体"/>
      <w:sz w:val="24"/>
      <w:szCs w:val="24"/>
    </w:rPr>
  </w:style>
  <w:style w:type="character" w:customStyle="1" w:styleId="191">
    <w:name w:val="标题 8 Char"/>
    <w:qFormat/>
    <w:uiPriority w:val="99"/>
    <w:rPr>
      <w:rFonts w:ascii="Calibri Light" w:hAnsi="Calibri Light" w:eastAsia="宋体" w:cs="Times New Roman"/>
      <w:sz w:val="24"/>
      <w:szCs w:val="24"/>
    </w:rPr>
  </w:style>
  <w:style w:type="character" w:customStyle="1" w:styleId="192">
    <w:name w:val="sort1"/>
    <w:qFormat/>
    <w:uiPriority w:val="0"/>
    <w:rPr>
      <w:color w:val="FFFFFF"/>
      <w:bdr w:val="single" w:color="auto" w:sz="24" w:space="0"/>
    </w:rPr>
  </w:style>
  <w:style w:type="character" w:customStyle="1" w:styleId="193">
    <w:name w:val="p14"/>
    <w:qFormat/>
    <w:uiPriority w:val="0"/>
  </w:style>
  <w:style w:type="character" w:customStyle="1" w:styleId="194">
    <w:name w:val="正文样式 Char Char"/>
    <w:link w:val="195"/>
    <w:qFormat/>
    <w:uiPriority w:val="0"/>
    <w:rPr>
      <w:rFonts w:ascii="宋体" w:hAnsi="宋体"/>
      <w:sz w:val="24"/>
      <w:szCs w:val="24"/>
    </w:rPr>
  </w:style>
  <w:style w:type="paragraph" w:customStyle="1" w:styleId="195">
    <w:name w:val="正文样式"/>
    <w:basedOn w:val="1"/>
    <w:link w:val="194"/>
    <w:qFormat/>
    <w:uiPriority w:val="0"/>
    <w:pPr>
      <w:widowControl w:val="0"/>
      <w:spacing w:line="360" w:lineRule="auto"/>
      <w:ind w:firstLine="480" w:firstLineChars="200"/>
      <w:jc w:val="both"/>
    </w:pPr>
    <w:rPr>
      <w:rFonts w:cs="Times New Roman"/>
    </w:rPr>
  </w:style>
  <w:style w:type="character" w:customStyle="1" w:styleId="196">
    <w:name w:val="正文文本 (2) + Georgia9"/>
    <w:qFormat/>
    <w:uiPriority w:val="99"/>
    <w:rPr>
      <w:rFonts w:ascii="Georgia" w:hAnsi="Georgia" w:eastAsia="MingLiU" w:cs="Georgia"/>
      <w:sz w:val="20"/>
      <w:szCs w:val="20"/>
      <w:u w:val="none"/>
      <w:shd w:val="clear" w:color="auto" w:fill="FFFFFF"/>
      <w:lang w:val="en-US" w:eastAsia="en-US"/>
    </w:rPr>
  </w:style>
  <w:style w:type="character" w:customStyle="1" w:styleId="197">
    <w:name w:val="标题2 Char Char"/>
    <w:qFormat/>
    <w:uiPriority w:val="0"/>
    <w:rPr>
      <w:rFonts w:ascii="Arial" w:hAnsi="Arial" w:eastAsia="黑体"/>
      <w:b/>
      <w:bCs/>
      <w:kern w:val="2"/>
      <w:sz w:val="32"/>
      <w:szCs w:val="32"/>
      <w:lang w:val="en-US" w:eastAsia="zh-CN" w:bidi="ar-SA"/>
    </w:rPr>
  </w:style>
  <w:style w:type="character" w:customStyle="1" w:styleId="198">
    <w:name w:val="morelink-item"/>
    <w:qFormat/>
    <w:uiPriority w:val="0"/>
  </w:style>
  <w:style w:type="character" w:customStyle="1" w:styleId="199">
    <w:name w:val="Heading 4 Char"/>
    <w:qFormat/>
    <w:uiPriority w:val="0"/>
    <w:rPr>
      <w:rFonts w:ascii="黑体" w:hAnsi="宋体" w:eastAsia="黑体" w:cs="宋体"/>
      <w:bCs/>
      <w:sz w:val="24"/>
      <w:szCs w:val="24"/>
    </w:rPr>
  </w:style>
  <w:style w:type="character" w:customStyle="1" w:styleId="200">
    <w:name w:val="正文文本: Char Char"/>
    <w:link w:val="201"/>
    <w:semiHidden/>
    <w:qFormat/>
    <w:uiPriority w:val="0"/>
    <w:rPr>
      <w:rFonts w:ascii="仿宋_GB2312" w:eastAsia="仿宋_GB2312" w:cs="宋体"/>
      <w:sz w:val="28"/>
    </w:rPr>
  </w:style>
  <w:style w:type="paragraph" w:customStyle="1" w:styleId="201">
    <w:name w:val="正文文本:"/>
    <w:basedOn w:val="1"/>
    <w:link w:val="200"/>
    <w:semiHidden/>
    <w:qFormat/>
    <w:uiPriority w:val="0"/>
    <w:pPr>
      <w:widowControl w:val="0"/>
      <w:spacing w:line="360" w:lineRule="auto"/>
      <w:ind w:firstLine="200" w:firstLineChars="200"/>
    </w:pPr>
    <w:rPr>
      <w:rFonts w:ascii="仿宋_GB2312" w:hAnsi="Calibri" w:eastAsia="仿宋_GB2312"/>
      <w:sz w:val="28"/>
      <w:szCs w:val="20"/>
    </w:rPr>
  </w:style>
  <w:style w:type="character" w:customStyle="1" w:styleId="202">
    <w:name w:val="title41"/>
    <w:qFormat/>
    <w:uiPriority w:val="0"/>
    <w:rPr>
      <w:rFonts w:hint="eastAsia" w:ascii="宋体" w:hAnsi="宋体" w:eastAsia="宋体"/>
      <w:color w:val="FF6600"/>
      <w:sz w:val="36"/>
      <w:szCs w:val="36"/>
    </w:rPr>
  </w:style>
  <w:style w:type="character" w:customStyle="1" w:styleId="203">
    <w:name w:val="纯文本 Char"/>
    <w:qFormat/>
    <w:uiPriority w:val="0"/>
    <w:rPr>
      <w:rFonts w:ascii="宋体" w:hAnsi="Courier New" w:eastAsia="宋体" w:cs="Courier New"/>
      <w:szCs w:val="21"/>
    </w:rPr>
  </w:style>
  <w:style w:type="character" w:customStyle="1" w:styleId="204">
    <w:name w:val="polysemyexp"/>
    <w:qFormat/>
    <w:uiPriority w:val="0"/>
    <w:rPr>
      <w:color w:val="AAAAAA"/>
      <w:sz w:val="18"/>
      <w:szCs w:val="18"/>
    </w:rPr>
  </w:style>
  <w:style w:type="character" w:customStyle="1" w:styleId="205">
    <w:name w:val="表中文 Char Char"/>
    <w:link w:val="206"/>
    <w:qFormat/>
    <w:uiPriority w:val="0"/>
    <w:rPr>
      <w:rFonts w:ascii="Times New Roman" w:hAnsi="Times New Roman"/>
      <w:snapToGrid w:val="0"/>
      <w:kern w:val="2"/>
      <w:sz w:val="21"/>
      <w:szCs w:val="21"/>
    </w:rPr>
  </w:style>
  <w:style w:type="paragraph" w:customStyle="1" w:styleId="206">
    <w:name w:val="表中文"/>
    <w:link w:val="205"/>
    <w:qFormat/>
    <w:uiPriority w:val="0"/>
    <w:pPr>
      <w:jc w:val="center"/>
    </w:pPr>
    <w:rPr>
      <w:rFonts w:ascii="Times New Roman" w:hAnsi="Times New Roman" w:eastAsia="宋体" w:cs="Times New Roman"/>
      <w:snapToGrid w:val="0"/>
      <w:kern w:val="2"/>
      <w:sz w:val="21"/>
      <w:szCs w:val="21"/>
      <w:lang w:val="en-US" w:eastAsia="zh-CN" w:bidi="ar-SA"/>
    </w:rPr>
  </w:style>
  <w:style w:type="character" w:customStyle="1" w:styleId="207">
    <w:name w:val="正文首行缩进-修改 Char Char"/>
    <w:link w:val="208"/>
    <w:qFormat/>
    <w:uiPriority w:val="0"/>
    <w:rPr>
      <w:rFonts w:ascii="Times New Roman" w:hAnsi="Times New Roman"/>
      <w:sz w:val="24"/>
      <w:szCs w:val="24"/>
    </w:rPr>
  </w:style>
  <w:style w:type="paragraph" w:customStyle="1" w:styleId="208">
    <w:name w:val="正文首行缩进-修改"/>
    <w:basedOn w:val="1"/>
    <w:link w:val="207"/>
    <w:qFormat/>
    <w:uiPriority w:val="0"/>
    <w:pPr>
      <w:widowControl w:val="0"/>
      <w:spacing w:line="360" w:lineRule="auto"/>
      <w:ind w:firstLine="480" w:firstLineChars="200"/>
      <w:jc w:val="both"/>
    </w:pPr>
    <w:rPr>
      <w:rFonts w:ascii="Times New Roman" w:hAnsi="Times New Roman" w:cs="Times New Roman"/>
    </w:rPr>
  </w:style>
  <w:style w:type="character" w:customStyle="1" w:styleId="209">
    <w:name w:val="标题3--------------- Char Char"/>
    <w:link w:val="210"/>
    <w:qFormat/>
    <w:uiPriority w:val="0"/>
    <w:rPr>
      <w:b/>
      <w:bCs/>
      <w:sz w:val="30"/>
    </w:rPr>
  </w:style>
  <w:style w:type="paragraph" w:customStyle="1" w:styleId="210">
    <w:name w:val="标题3---------------"/>
    <w:basedOn w:val="7"/>
    <w:link w:val="209"/>
    <w:qFormat/>
    <w:uiPriority w:val="0"/>
    <w:pPr>
      <w:keepNext w:val="0"/>
      <w:widowControl w:val="0"/>
      <w:spacing w:before="160" w:after="160" w:line="240" w:lineRule="auto"/>
      <w:jc w:val="both"/>
    </w:pPr>
    <w:rPr>
      <w:rFonts w:ascii="Calibri" w:hAnsi="Calibri" w:eastAsia="宋体"/>
      <w:b/>
      <w:sz w:val="30"/>
      <w:szCs w:val="20"/>
    </w:rPr>
  </w:style>
  <w:style w:type="character" w:customStyle="1" w:styleId="211">
    <w:name w:val="表中 Char Char"/>
    <w:link w:val="212"/>
    <w:qFormat/>
    <w:uiPriority w:val="0"/>
    <w:rPr>
      <w:rFonts w:ascii="宋体" w:hAnsi="宋体"/>
      <w:color w:val="000000"/>
      <w:sz w:val="24"/>
    </w:rPr>
  </w:style>
  <w:style w:type="paragraph" w:customStyle="1" w:styleId="212">
    <w:name w:val="表中"/>
    <w:basedOn w:val="1"/>
    <w:link w:val="211"/>
    <w:qFormat/>
    <w:uiPriority w:val="0"/>
    <w:pPr>
      <w:tabs>
        <w:tab w:val="left" w:pos="425"/>
      </w:tabs>
      <w:snapToGrid w:val="0"/>
      <w:spacing w:beforeLines="20" w:afterLines="20" w:line="240" w:lineRule="exact"/>
      <w:ind w:hanging="425"/>
      <w:jc w:val="center"/>
    </w:pPr>
    <w:rPr>
      <w:rFonts w:cs="Times New Roman"/>
      <w:color w:val="000000"/>
      <w:szCs w:val="20"/>
    </w:rPr>
  </w:style>
  <w:style w:type="character" w:customStyle="1" w:styleId="213">
    <w:name w:val="lemmatitleh12"/>
    <w:qFormat/>
    <w:uiPriority w:val="0"/>
  </w:style>
  <w:style w:type="character" w:customStyle="1" w:styleId="214">
    <w:name w:val="德胜空行 Char Char"/>
    <w:link w:val="215"/>
    <w:qFormat/>
    <w:uiPriority w:val="0"/>
    <w:rPr>
      <w:snapToGrid w:val="0"/>
      <w:color w:val="0000FF"/>
      <w:szCs w:val="21"/>
    </w:rPr>
  </w:style>
  <w:style w:type="paragraph" w:customStyle="1" w:styleId="215">
    <w:name w:val="德胜空行"/>
    <w:basedOn w:val="1"/>
    <w:link w:val="214"/>
    <w:qFormat/>
    <w:uiPriority w:val="0"/>
    <w:pPr>
      <w:widowControl w:val="0"/>
      <w:adjustRightInd w:val="0"/>
      <w:snapToGrid w:val="0"/>
    </w:pPr>
    <w:rPr>
      <w:rFonts w:ascii="Calibri" w:hAnsi="Calibri" w:cs="Times New Roman"/>
      <w:snapToGrid w:val="0"/>
      <w:color w:val="0000FF"/>
      <w:sz w:val="20"/>
      <w:szCs w:val="21"/>
    </w:rPr>
  </w:style>
  <w:style w:type="character" w:customStyle="1" w:styleId="216">
    <w:name w:val="Char Char3"/>
    <w:qFormat/>
    <w:uiPriority w:val="0"/>
    <w:rPr>
      <w:rFonts w:ascii="黑体" w:hAnsi="Arial" w:eastAsia="黑体"/>
      <w:b/>
      <w:bCs/>
      <w:kern w:val="2"/>
      <w:sz w:val="28"/>
      <w:szCs w:val="28"/>
      <w:lang w:val="sq-AL" w:eastAsia="zh-CN" w:bidi="ar-SA"/>
    </w:rPr>
  </w:style>
  <w:style w:type="character" w:customStyle="1" w:styleId="217">
    <w:name w:val="正文文本 (2) + 10 pt11"/>
    <w:qFormat/>
    <w:uiPriority w:val="99"/>
    <w:rPr>
      <w:rFonts w:ascii="MingLiU" w:eastAsia="MingLiU" w:cs="MingLiU"/>
      <w:spacing w:val="10"/>
      <w:sz w:val="20"/>
      <w:szCs w:val="20"/>
      <w:u w:val="none"/>
      <w:shd w:val="clear" w:color="auto" w:fill="FFFFFF"/>
    </w:rPr>
  </w:style>
  <w:style w:type="character" w:customStyle="1" w:styleId="218">
    <w:name w:val="段落1 Char1"/>
    <w:link w:val="219"/>
    <w:qFormat/>
    <w:uiPriority w:val="0"/>
    <w:rPr>
      <w:bCs/>
      <w:spacing w:val="6"/>
      <w:sz w:val="24"/>
      <w:szCs w:val="24"/>
    </w:rPr>
  </w:style>
  <w:style w:type="paragraph" w:customStyle="1" w:styleId="219">
    <w:name w:val="段落1"/>
    <w:basedOn w:val="1"/>
    <w:link w:val="218"/>
    <w:qFormat/>
    <w:uiPriority w:val="0"/>
    <w:pPr>
      <w:widowControl w:val="0"/>
      <w:adjustRightInd w:val="0"/>
      <w:spacing w:before="120" w:after="120" w:line="360" w:lineRule="auto"/>
      <w:ind w:firstLine="504" w:firstLineChars="200"/>
      <w:jc w:val="both"/>
      <w:textAlignment w:val="baseline"/>
    </w:pPr>
    <w:rPr>
      <w:rFonts w:ascii="Calibri" w:hAnsi="Calibri" w:cs="Times New Roman"/>
      <w:bCs/>
      <w:spacing w:val="6"/>
    </w:rPr>
  </w:style>
  <w:style w:type="character" w:customStyle="1" w:styleId="220">
    <w:name w:val="h2 Char1"/>
    <w:qFormat/>
    <w:uiPriority w:val="0"/>
    <w:rPr>
      <w:rFonts w:ascii="Times New Roman" w:hAnsi="Times New Roman" w:eastAsia="黑体"/>
      <w:bCs/>
      <w:kern w:val="2"/>
      <w:sz w:val="30"/>
      <w:szCs w:val="32"/>
    </w:rPr>
  </w:style>
  <w:style w:type="character" w:customStyle="1" w:styleId="221">
    <w:name w:val="章节标题 Char3"/>
    <w:qFormat/>
    <w:uiPriority w:val="0"/>
    <w:rPr>
      <w:rFonts w:ascii="Times New Roman" w:hAnsi="Times New Roman" w:eastAsia="黑体" w:cs="Times New Roman"/>
      <w:b/>
      <w:kern w:val="44"/>
      <w:sz w:val="44"/>
      <w:szCs w:val="20"/>
    </w:rPr>
  </w:style>
  <w:style w:type="character" w:customStyle="1" w:styleId="222">
    <w:name w:val="表格内容1 Char Char1 Char Char Char"/>
    <w:link w:val="223"/>
    <w:semiHidden/>
    <w:qFormat/>
    <w:uiPriority w:val="0"/>
    <w:rPr>
      <w:rFonts w:ascii="Times New Roman" w:hAnsi="Times New Roman" w:eastAsia="仿宋_GB2312"/>
      <w:kern w:val="24"/>
      <w:szCs w:val="24"/>
    </w:rPr>
  </w:style>
  <w:style w:type="paragraph" w:customStyle="1" w:styleId="223">
    <w:name w:val="表格内容1 Char Char1 Char"/>
    <w:basedOn w:val="1"/>
    <w:link w:val="222"/>
    <w:semiHidden/>
    <w:qFormat/>
    <w:uiPriority w:val="0"/>
    <w:pPr>
      <w:widowControl w:val="0"/>
      <w:spacing w:line="240" w:lineRule="atLeast"/>
      <w:jc w:val="center"/>
    </w:pPr>
    <w:rPr>
      <w:rFonts w:ascii="Times New Roman" w:hAnsi="Times New Roman" w:eastAsia="仿宋_GB2312" w:cs="Times New Roman"/>
      <w:kern w:val="24"/>
      <w:sz w:val="20"/>
    </w:rPr>
  </w:style>
  <w:style w:type="character" w:customStyle="1" w:styleId="224">
    <w:name w:val="表头 Char Char Char"/>
    <w:qFormat/>
    <w:uiPriority w:val="0"/>
    <w:rPr>
      <w:rFonts w:ascii="仿宋_GB2312" w:eastAsia="黑体" w:cs="宋体"/>
      <w:spacing w:val="-2"/>
      <w:kern w:val="2"/>
      <w:sz w:val="28"/>
      <w:szCs w:val="28"/>
      <w:lang w:val="en-US" w:eastAsia="zh-CN" w:bidi="ar-SA"/>
    </w:rPr>
  </w:style>
  <w:style w:type="character" w:customStyle="1" w:styleId="225">
    <w:name w:val="zhengwen Char Char"/>
    <w:link w:val="226"/>
    <w:qFormat/>
    <w:uiPriority w:val="0"/>
    <w:rPr>
      <w:rFonts w:ascii="Times New Roman" w:hAnsi="Times New Roman"/>
      <w:snapToGrid w:val="0"/>
      <w:color w:val="000000"/>
      <w:kern w:val="2"/>
      <w:sz w:val="24"/>
      <w:szCs w:val="24"/>
    </w:rPr>
  </w:style>
  <w:style w:type="paragraph" w:customStyle="1" w:styleId="226">
    <w:name w:val="zhengwen"/>
    <w:basedOn w:val="227"/>
    <w:link w:val="225"/>
    <w:qFormat/>
    <w:uiPriority w:val="0"/>
    <w:pPr>
      <w:tabs>
        <w:tab w:val="left" w:pos="567"/>
      </w:tabs>
      <w:spacing w:line="360" w:lineRule="auto"/>
      <w:ind w:left="0" w:firstLine="476"/>
    </w:pPr>
    <w:rPr>
      <w:rFonts w:ascii="Times New Roman"/>
      <w:snapToGrid w:val="0"/>
      <w:color w:val="000000"/>
      <w:szCs w:val="24"/>
    </w:rPr>
  </w:style>
  <w:style w:type="paragraph" w:customStyle="1" w:styleId="227">
    <w:name w:val="正文11"/>
    <w:link w:val="228"/>
    <w:qFormat/>
    <w:uiPriority w:val="0"/>
    <w:pPr>
      <w:widowControl w:val="0"/>
      <w:tabs>
        <w:tab w:val="left" w:pos="567"/>
      </w:tabs>
      <w:adjustRightInd w:val="0"/>
      <w:spacing w:line="360" w:lineRule="atLeast"/>
      <w:ind w:left="567" w:hanging="567"/>
      <w:textAlignment w:val="baseline"/>
    </w:pPr>
    <w:rPr>
      <w:rFonts w:ascii="宋体" w:hAnsi="Times New Roman" w:eastAsia="宋体" w:cs="Times New Roman"/>
      <w:kern w:val="2"/>
      <w:sz w:val="24"/>
      <w:szCs w:val="22"/>
      <w:lang w:val="en-US" w:eastAsia="zh-CN" w:bidi="ar-SA"/>
    </w:rPr>
  </w:style>
  <w:style w:type="character" w:customStyle="1" w:styleId="228">
    <w:name w:val="正文11 Char Char Char Char"/>
    <w:link w:val="227"/>
    <w:qFormat/>
    <w:uiPriority w:val="0"/>
    <w:rPr>
      <w:rFonts w:ascii="宋体" w:hAnsi="Times New Roman"/>
      <w:kern w:val="2"/>
      <w:sz w:val="24"/>
      <w:szCs w:val="22"/>
    </w:rPr>
  </w:style>
  <w:style w:type="character" w:customStyle="1" w:styleId="229">
    <w:name w:val="小表左 Char Char"/>
    <w:link w:val="230"/>
    <w:qFormat/>
    <w:uiPriority w:val="0"/>
    <w:rPr>
      <w:rFonts w:ascii="Times New Roman" w:hAnsi="Times New Roman"/>
      <w:sz w:val="18"/>
      <w:szCs w:val="18"/>
    </w:rPr>
  </w:style>
  <w:style w:type="paragraph" w:customStyle="1" w:styleId="230">
    <w:name w:val="小表左"/>
    <w:basedOn w:val="1"/>
    <w:link w:val="229"/>
    <w:qFormat/>
    <w:uiPriority w:val="0"/>
    <w:pPr>
      <w:keepNext/>
      <w:widowControl w:val="0"/>
      <w:tabs>
        <w:tab w:val="left" w:pos="2190"/>
      </w:tabs>
      <w:adjustRightInd w:val="0"/>
      <w:snapToGrid w:val="0"/>
      <w:jc w:val="both"/>
    </w:pPr>
    <w:rPr>
      <w:rFonts w:ascii="Times New Roman" w:hAnsi="Times New Roman" w:cs="Times New Roman"/>
      <w:sz w:val="18"/>
      <w:szCs w:val="18"/>
    </w:rPr>
  </w:style>
  <w:style w:type="character" w:customStyle="1" w:styleId="231">
    <w:name w:val="表格文字居中 Char Char"/>
    <w:qFormat/>
    <w:uiPriority w:val="0"/>
    <w:rPr>
      <w:rFonts w:ascii="宋体" w:hAnsi="宋体" w:eastAsia="宋体" w:cs="宋体"/>
      <w:kern w:val="2"/>
      <w:sz w:val="24"/>
      <w:szCs w:val="24"/>
      <w:lang w:val="en-US" w:eastAsia="zh-CN"/>
    </w:rPr>
  </w:style>
  <w:style w:type="character" w:customStyle="1" w:styleId="232">
    <w:name w:val="nota"/>
    <w:qFormat/>
    <w:uiPriority w:val="0"/>
    <w:rPr>
      <w:i/>
      <w:iCs/>
      <w:sz w:val="20"/>
    </w:rPr>
  </w:style>
  <w:style w:type="character" w:customStyle="1" w:styleId="233">
    <w:name w:val="段落 Char1"/>
    <w:link w:val="234"/>
    <w:qFormat/>
    <w:uiPriority w:val="0"/>
    <w:rPr>
      <w:rFonts w:ascii="仿宋_GB2312" w:hAnsi="宋体" w:eastAsia="仿宋_GB2312"/>
      <w:bCs/>
      <w:snapToGrid w:val="0"/>
      <w:color w:val="3366FF"/>
      <w:sz w:val="24"/>
      <w:szCs w:val="24"/>
    </w:rPr>
  </w:style>
  <w:style w:type="paragraph" w:customStyle="1" w:styleId="234">
    <w:name w:val="段落"/>
    <w:link w:val="233"/>
    <w:qFormat/>
    <w:uiPriority w:val="0"/>
    <w:pPr>
      <w:spacing w:line="360" w:lineRule="auto"/>
      <w:ind w:firstLine="540" w:firstLineChars="225"/>
      <w:jc w:val="both"/>
    </w:pPr>
    <w:rPr>
      <w:rFonts w:ascii="仿宋_GB2312" w:hAnsi="宋体" w:eastAsia="仿宋_GB2312" w:cs="Times New Roman"/>
      <w:bCs/>
      <w:snapToGrid w:val="0"/>
      <w:color w:val="3366FF"/>
      <w:sz w:val="24"/>
      <w:szCs w:val="24"/>
      <w:lang w:val="en-US" w:eastAsia="zh-CN" w:bidi="ar-SA"/>
    </w:rPr>
  </w:style>
  <w:style w:type="character" w:customStyle="1" w:styleId="235">
    <w:name w:val="Char Char13"/>
    <w:qFormat/>
    <w:uiPriority w:val="0"/>
    <w:rPr>
      <w:rFonts w:eastAsia="楷体_GB2312"/>
      <w:snapToGrid w:val="0"/>
      <w:sz w:val="21"/>
      <w:szCs w:val="22"/>
      <w:lang w:val="en-US" w:eastAsia="zh-CN" w:bidi="ar-SA"/>
    </w:rPr>
  </w:style>
  <w:style w:type="character" w:customStyle="1" w:styleId="236">
    <w:name w:val="表号 Char Char"/>
    <w:qFormat/>
    <w:uiPriority w:val="0"/>
    <w:rPr>
      <w:rFonts w:ascii="黑体" w:eastAsia="黑体"/>
      <w:sz w:val="21"/>
      <w:lang w:val="en-US" w:eastAsia="zh-CN" w:bidi="ar-SA"/>
    </w:rPr>
  </w:style>
  <w:style w:type="character" w:customStyle="1" w:styleId="237">
    <w:name w:val="图表 Char Char"/>
    <w:link w:val="238"/>
    <w:qFormat/>
    <w:uiPriority w:val="0"/>
    <w:rPr>
      <w:rFonts w:eastAsia="Times New Roman"/>
      <w:color w:val="800000"/>
      <w:spacing w:val="20"/>
      <w:kern w:val="2"/>
      <w:sz w:val="21"/>
      <w:szCs w:val="24"/>
    </w:rPr>
  </w:style>
  <w:style w:type="paragraph" w:customStyle="1" w:styleId="238">
    <w:name w:val="图表"/>
    <w:link w:val="237"/>
    <w:qFormat/>
    <w:uiPriority w:val="0"/>
    <w:pPr>
      <w:jc w:val="center"/>
    </w:pPr>
    <w:rPr>
      <w:rFonts w:ascii="Calibri" w:hAnsi="Calibri" w:eastAsia="Times New Roman" w:cs="Times New Roman"/>
      <w:color w:val="800000"/>
      <w:spacing w:val="20"/>
      <w:kern w:val="2"/>
      <w:sz w:val="21"/>
      <w:szCs w:val="24"/>
      <w:lang w:val="en-US" w:eastAsia="zh-CN" w:bidi="ar-SA"/>
    </w:rPr>
  </w:style>
  <w:style w:type="character" w:customStyle="1" w:styleId="239">
    <w:name w:val="title_tab"/>
    <w:qFormat/>
    <w:uiPriority w:val="0"/>
  </w:style>
  <w:style w:type="character" w:customStyle="1" w:styleId="240">
    <w:name w:val="正文文本 (2) + 10 pt6"/>
    <w:qFormat/>
    <w:uiPriority w:val="99"/>
    <w:rPr>
      <w:rFonts w:ascii="MingLiU" w:eastAsia="MingLiU" w:cs="MingLiU"/>
      <w:spacing w:val="150"/>
      <w:sz w:val="20"/>
      <w:szCs w:val="20"/>
      <w:u w:val="none"/>
      <w:shd w:val="clear" w:color="auto" w:fill="FFFFFF"/>
    </w:rPr>
  </w:style>
  <w:style w:type="character" w:customStyle="1" w:styleId="241">
    <w:name w:val="编制日期 Char Char"/>
    <w:link w:val="242"/>
    <w:qFormat/>
    <w:uiPriority w:val="0"/>
    <w:rPr>
      <w:rFonts w:ascii="宋体" w:hAnsi="宋体"/>
      <w:sz w:val="32"/>
      <w:szCs w:val="28"/>
    </w:rPr>
  </w:style>
  <w:style w:type="paragraph" w:customStyle="1" w:styleId="242">
    <w:name w:val="编制日期"/>
    <w:basedOn w:val="1"/>
    <w:link w:val="241"/>
    <w:qFormat/>
    <w:uiPriority w:val="0"/>
    <w:pPr>
      <w:keepNext/>
      <w:widowControl w:val="0"/>
      <w:tabs>
        <w:tab w:val="left" w:pos="2190"/>
      </w:tabs>
      <w:adjustRightInd w:val="0"/>
      <w:snapToGrid w:val="0"/>
      <w:spacing w:line="360" w:lineRule="auto"/>
      <w:jc w:val="center"/>
    </w:pPr>
    <w:rPr>
      <w:rFonts w:cs="Times New Roman"/>
      <w:sz w:val="32"/>
      <w:szCs w:val="28"/>
    </w:rPr>
  </w:style>
  <w:style w:type="character" w:customStyle="1" w:styleId="243">
    <w:name w:val="正文文本 (2) + Georgia8"/>
    <w:qFormat/>
    <w:uiPriority w:val="99"/>
    <w:rPr>
      <w:rFonts w:ascii="Georgia" w:hAnsi="Georgia" w:eastAsia="MingLiU" w:cs="Georgia"/>
      <w:sz w:val="20"/>
      <w:szCs w:val="20"/>
      <w:u w:val="none"/>
      <w:shd w:val="clear" w:color="auto" w:fill="FFFFFF"/>
      <w:lang w:val="en-US" w:eastAsia="en-US"/>
    </w:rPr>
  </w:style>
  <w:style w:type="character" w:customStyle="1" w:styleId="244">
    <w:name w:val="环评正文 Char"/>
    <w:qFormat/>
    <w:uiPriority w:val="0"/>
    <w:rPr>
      <w:rFonts w:ascii="仿宋_GB2312" w:hAnsi="Times New Roman" w:eastAsia="仿宋_GB2312" w:cs="宋体"/>
      <w:sz w:val="28"/>
      <w:szCs w:val="20"/>
    </w:rPr>
  </w:style>
  <w:style w:type="character" w:customStyle="1" w:styleId="245">
    <w:name w:val="正文文本 (2) + 10 pt16"/>
    <w:qFormat/>
    <w:uiPriority w:val="99"/>
    <w:rPr>
      <w:rFonts w:ascii="MingLiU" w:eastAsia="MingLiU" w:cs="MingLiU"/>
      <w:spacing w:val="120"/>
      <w:sz w:val="20"/>
      <w:szCs w:val="20"/>
      <w:u w:val="none"/>
      <w:shd w:val="clear" w:color="auto" w:fill="FFFFFF"/>
    </w:rPr>
  </w:style>
  <w:style w:type="character" w:customStyle="1" w:styleId="246">
    <w:name w:val="干标题(a) Char Char"/>
    <w:qFormat/>
    <w:uiPriority w:val="0"/>
    <w:rPr>
      <w:rFonts w:ascii="Arial" w:hAnsi="Arial" w:eastAsia="黑体"/>
      <w:kern w:val="2"/>
      <w:sz w:val="21"/>
      <w:szCs w:val="21"/>
    </w:rPr>
  </w:style>
  <w:style w:type="character" w:customStyle="1" w:styleId="247">
    <w:name w:val="样式 样式 标题 3条标题头标题3H3h33rd level第二层条标题 3 Char小标题小节标题标题 3 C...3 + 自... Char"/>
    <w:link w:val="248"/>
    <w:qFormat/>
    <w:uiPriority w:val="0"/>
    <w:rPr>
      <w:rFonts w:ascii="黑体" w:hAnsi="Times New Roman" w:eastAsia="黑体"/>
      <w:sz w:val="24"/>
      <w:szCs w:val="24"/>
    </w:rPr>
  </w:style>
  <w:style w:type="paragraph" w:customStyle="1" w:styleId="248">
    <w:name w:val="样式 样式 标题 3条标题头标题3H3h33rd level第二层条标题 3 Char小标题小节标题标题 3 C...3 + 自..."/>
    <w:basedOn w:val="249"/>
    <w:link w:val="247"/>
    <w:qFormat/>
    <w:uiPriority w:val="0"/>
    <w:rPr>
      <w:rFonts w:ascii="黑体"/>
      <w:color w:val="auto"/>
    </w:rPr>
  </w:style>
  <w:style w:type="paragraph" w:customStyle="1" w:styleId="249">
    <w:name w:val="样式 标题 3条标题头标题3H3h33rd level第二层条标题 3 Char小标题小节标题标题 3 C...3"/>
    <w:basedOn w:val="7"/>
    <w:next w:val="1"/>
    <w:qFormat/>
    <w:uiPriority w:val="0"/>
    <w:pPr>
      <w:widowControl w:val="0"/>
      <w:spacing w:line="720" w:lineRule="auto"/>
      <w:jc w:val="both"/>
    </w:pPr>
    <w:rPr>
      <w:bCs w:val="0"/>
      <w:color w:val="000000"/>
      <w:sz w:val="24"/>
      <w:szCs w:val="24"/>
    </w:rPr>
  </w:style>
  <w:style w:type="character" w:customStyle="1" w:styleId="250">
    <w:name w:val="yyp Char Char"/>
    <w:link w:val="251"/>
    <w:qFormat/>
    <w:uiPriority w:val="0"/>
    <w:rPr>
      <w:rFonts w:ascii="Times New Roman" w:hAnsi="Times New Roman"/>
      <w:sz w:val="24"/>
      <w:szCs w:val="24"/>
    </w:rPr>
  </w:style>
  <w:style w:type="paragraph" w:customStyle="1" w:styleId="251">
    <w:name w:val="yyp"/>
    <w:basedOn w:val="79"/>
    <w:link w:val="250"/>
    <w:qFormat/>
    <w:uiPriority w:val="0"/>
    <w:pPr>
      <w:widowControl w:val="0"/>
      <w:spacing w:line="360" w:lineRule="auto"/>
      <w:ind w:firstLine="480" w:firstLineChars="200"/>
    </w:pPr>
    <w:rPr>
      <w:rFonts w:ascii="Times New Roman" w:hAnsi="Times New Roman"/>
      <w:sz w:val="24"/>
      <w:szCs w:val="24"/>
    </w:rPr>
  </w:style>
  <w:style w:type="character" w:customStyle="1" w:styleId="252">
    <w:name w:val="Char Char22"/>
    <w:qFormat/>
    <w:uiPriority w:val="0"/>
    <w:rPr>
      <w:rFonts w:eastAsia="宋体"/>
      <w:kern w:val="2"/>
      <w:sz w:val="24"/>
      <w:szCs w:val="24"/>
      <w:lang w:val="en-US" w:eastAsia="zh-CN" w:bidi="ar-SA"/>
    </w:rPr>
  </w:style>
  <w:style w:type="character" w:customStyle="1" w:styleId="253">
    <w:name w:val="正文1 Char Char"/>
    <w:link w:val="254"/>
    <w:qFormat/>
    <w:uiPriority w:val="0"/>
    <w:rPr>
      <w:rFonts w:ascii="宋体" w:eastAsia="Times New Roman"/>
      <w:kern w:val="2"/>
      <w:sz w:val="24"/>
      <w:szCs w:val="22"/>
    </w:rPr>
  </w:style>
  <w:style w:type="paragraph" w:customStyle="1" w:styleId="254">
    <w:name w:val="正文12"/>
    <w:link w:val="253"/>
    <w:qFormat/>
    <w:uiPriority w:val="0"/>
    <w:pPr>
      <w:widowControl w:val="0"/>
      <w:adjustRightInd w:val="0"/>
      <w:spacing w:line="360" w:lineRule="atLeast"/>
      <w:textAlignment w:val="baseline"/>
    </w:pPr>
    <w:rPr>
      <w:rFonts w:ascii="宋体" w:hAnsi="Calibri" w:eastAsia="Times New Roman" w:cs="Times New Roman"/>
      <w:kern w:val="2"/>
      <w:sz w:val="24"/>
      <w:szCs w:val="22"/>
      <w:lang w:val="en-US" w:eastAsia="zh-CN" w:bidi="ar-SA"/>
    </w:rPr>
  </w:style>
  <w:style w:type="character" w:customStyle="1" w:styleId="255">
    <w:name w:val="正文11 Char Char Char Char Char"/>
    <w:qFormat/>
    <w:uiPriority w:val="0"/>
    <w:rPr>
      <w:rFonts w:ascii="宋体" w:hAnsi="宋体" w:eastAsia="宋体"/>
      <w:snapToGrid w:val="0"/>
      <w:sz w:val="24"/>
      <w:szCs w:val="24"/>
      <w:lang w:val="en-US" w:eastAsia="zh-CN" w:bidi="ar-SA"/>
    </w:rPr>
  </w:style>
  <w:style w:type="character" w:customStyle="1" w:styleId="256">
    <w:name w:val="表文字 Char1"/>
    <w:qFormat/>
    <w:locked/>
    <w:uiPriority w:val="0"/>
    <w:rPr>
      <w:szCs w:val="21"/>
      <w:lang w:val="en-US" w:eastAsia="zh-CN" w:bidi="ar-SA"/>
    </w:rPr>
  </w:style>
  <w:style w:type="character" w:customStyle="1" w:styleId="257">
    <w:name w:val="正文00 Char"/>
    <w:link w:val="258"/>
    <w:qFormat/>
    <w:uiPriority w:val="0"/>
    <w:rPr>
      <w:rFonts w:ascii="Times New Roman" w:hAnsi="Times New Roman" w:cs="宋体"/>
      <w:kern w:val="2"/>
      <w:sz w:val="24"/>
      <w:szCs w:val="24"/>
    </w:rPr>
  </w:style>
  <w:style w:type="paragraph" w:customStyle="1" w:styleId="258">
    <w:name w:val="正文00"/>
    <w:basedOn w:val="1"/>
    <w:next w:val="259"/>
    <w:link w:val="257"/>
    <w:qFormat/>
    <w:uiPriority w:val="0"/>
    <w:pPr>
      <w:widowControl w:val="0"/>
      <w:spacing w:line="360" w:lineRule="auto"/>
      <w:ind w:firstLine="480" w:firstLineChars="200"/>
    </w:pPr>
    <w:rPr>
      <w:rFonts w:ascii="Times New Roman" w:hAnsi="Times New Roman"/>
      <w:kern w:val="2"/>
    </w:rPr>
  </w:style>
  <w:style w:type="paragraph" w:customStyle="1" w:styleId="259">
    <w:name w:val="样式 Times New Roman 五号 居中1"/>
    <w:basedOn w:val="1"/>
    <w:qFormat/>
    <w:uiPriority w:val="0"/>
    <w:pPr>
      <w:widowControl w:val="0"/>
      <w:jc w:val="center"/>
    </w:pPr>
    <w:rPr>
      <w:rFonts w:ascii="Times New Roman" w:hAnsi="Times New Roman"/>
      <w:kern w:val="2"/>
      <w:sz w:val="21"/>
      <w:szCs w:val="20"/>
    </w:rPr>
  </w:style>
  <w:style w:type="character" w:customStyle="1" w:styleId="260">
    <w:name w:val="小小标题 Char Char"/>
    <w:link w:val="261"/>
    <w:qFormat/>
    <w:uiPriority w:val="0"/>
    <w:rPr>
      <w:rFonts w:ascii="仿宋_GB2312" w:hAnsi="Times New Roman" w:eastAsia="黑体"/>
      <w:b/>
      <w:sz w:val="24"/>
      <w:szCs w:val="32"/>
      <w:lang w:val="zh-CN"/>
    </w:rPr>
  </w:style>
  <w:style w:type="paragraph" w:customStyle="1" w:styleId="261">
    <w:name w:val="小小标题"/>
    <w:basedOn w:val="1"/>
    <w:link w:val="260"/>
    <w:qFormat/>
    <w:uiPriority w:val="0"/>
    <w:pPr>
      <w:topLinePunct/>
      <w:spacing w:line="360" w:lineRule="auto"/>
      <w:ind w:firstLine="482"/>
    </w:pPr>
    <w:rPr>
      <w:rFonts w:ascii="仿宋_GB2312" w:hAnsi="Times New Roman" w:eastAsia="黑体" w:cs="Times New Roman"/>
      <w:b/>
      <w:szCs w:val="32"/>
      <w:lang w:val="zh-CN"/>
    </w:rPr>
  </w:style>
  <w:style w:type="character" w:customStyle="1" w:styleId="262">
    <w:name w:val="sort"/>
    <w:qFormat/>
    <w:uiPriority w:val="0"/>
  </w:style>
  <w:style w:type="character" w:customStyle="1" w:styleId="263">
    <w:name w:val="正文文本 (2) + 10 pt15"/>
    <w:qFormat/>
    <w:uiPriority w:val="99"/>
    <w:rPr>
      <w:rFonts w:ascii="MingLiU" w:eastAsia="MingLiU" w:cs="MingLiU"/>
      <w:sz w:val="20"/>
      <w:szCs w:val="20"/>
      <w:u w:val="none"/>
      <w:shd w:val="clear" w:color="auto" w:fill="FFFFFF"/>
    </w:rPr>
  </w:style>
  <w:style w:type="character" w:customStyle="1" w:styleId="264">
    <w:name w:val="bds_nopic1"/>
    <w:qFormat/>
    <w:uiPriority w:val="0"/>
  </w:style>
  <w:style w:type="character" w:customStyle="1" w:styleId="265">
    <w:name w:val="纯文本2"/>
    <w:qFormat/>
    <w:uiPriority w:val="0"/>
    <w:rPr>
      <w:rFonts w:ascii="宋体" w:hAnsi="Courier New" w:eastAsia="宋体"/>
      <w:kern w:val="2"/>
      <w:sz w:val="21"/>
      <w:lang w:val="en-US" w:eastAsia="zh-CN" w:bidi="ar-SA"/>
    </w:rPr>
  </w:style>
  <w:style w:type="character" w:customStyle="1" w:styleId="266">
    <w:name w:val="Char Char23"/>
    <w:qFormat/>
    <w:uiPriority w:val="0"/>
    <w:rPr>
      <w:sz w:val="18"/>
    </w:rPr>
  </w:style>
  <w:style w:type="character" w:customStyle="1" w:styleId="267">
    <w:name w:val="正文文字缩进 2 Char Char Char"/>
    <w:qFormat/>
    <w:uiPriority w:val="0"/>
    <w:rPr>
      <w:rFonts w:ascii="宋体" w:eastAsia="宋体"/>
      <w:kern w:val="2"/>
      <w:sz w:val="28"/>
      <w:lang w:val="en-US" w:eastAsia="zh-CN" w:bidi="ar-SA"/>
    </w:rPr>
  </w:style>
  <w:style w:type="character" w:customStyle="1" w:styleId="268">
    <w:name w:val="样式 样式 段前: 0.5 行 + 首行缩进:  2 字符 段前: 0.5 行 Char Char"/>
    <w:link w:val="269"/>
    <w:qFormat/>
    <w:uiPriority w:val="0"/>
    <w:rPr>
      <w:rFonts w:ascii="Times New Roman" w:hAnsi="Times New Roman"/>
      <w:color w:val="000000"/>
      <w:sz w:val="24"/>
    </w:rPr>
  </w:style>
  <w:style w:type="paragraph" w:customStyle="1" w:styleId="269">
    <w:name w:val="样式 样式 段前: 0.5 行 + 首行缩进:  2 字符 段前: 0.5 行"/>
    <w:basedOn w:val="1"/>
    <w:link w:val="268"/>
    <w:qFormat/>
    <w:uiPriority w:val="0"/>
    <w:pPr>
      <w:autoSpaceDE w:val="0"/>
      <w:autoSpaceDN w:val="0"/>
      <w:spacing w:beforeLines="50" w:line="360" w:lineRule="auto"/>
      <w:ind w:firstLine="480" w:firstLineChars="200"/>
      <w:jc w:val="both"/>
    </w:pPr>
    <w:rPr>
      <w:rFonts w:ascii="Times New Roman" w:hAnsi="Times New Roman" w:cs="Times New Roman"/>
      <w:color w:val="000000"/>
      <w:szCs w:val="20"/>
    </w:rPr>
  </w:style>
  <w:style w:type="character" w:customStyle="1" w:styleId="270">
    <w:name w:val="图1-1 Char Char"/>
    <w:qFormat/>
    <w:uiPriority w:val="0"/>
    <w:rPr>
      <w:rFonts w:eastAsia="宋体"/>
      <w:b/>
      <w:spacing w:val="12"/>
      <w:w w:val="90"/>
      <w:kern w:val="2"/>
      <w:sz w:val="21"/>
      <w:szCs w:val="24"/>
      <w:lang w:val="en-US" w:eastAsia="zh-CN" w:bidi="ar-SA"/>
    </w:rPr>
  </w:style>
  <w:style w:type="character" w:customStyle="1" w:styleId="271">
    <w:name w:val="正文文本 (2) + 10 pt5"/>
    <w:qFormat/>
    <w:uiPriority w:val="99"/>
    <w:rPr>
      <w:rFonts w:ascii="MingLiU" w:eastAsia="MingLiU" w:cs="MingLiU"/>
      <w:spacing w:val="50"/>
      <w:sz w:val="20"/>
      <w:szCs w:val="20"/>
      <w:u w:val="none"/>
      <w:shd w:val="clear" w:color="auto" w:fill="FFFFFF"/>
    </w:rPr>
  </w:style>
  <w:style w:type="character" w:customStyle="1" w:styleId="272">
    <w:name w:val="电子邮件签名 Char1"/>
    <w:qFormat/>
    <w:uiPriority w:val="99"/>
    <w:rPr>
      <w:rFonts w:ascii="Calibri" w:hAnsi="Calibri" w:eastAsia="宋体" w:cs="Times New Roman"/>
    </w:rPr>
  </w:style>
  <w:style w:type="character" w:customStyle="1" w:styleId="273">
    <w:name w:val="标题 Char4"/>
    <w:qFormat/>
    <w:locked/>
    <w:uiPriority w:val="0"/>
    <w:rPr>
      <w:rFonts w:ascii="Arial" w:hAnsi="Arial"/>
      <w:b/>
      <w:sz w:val="32"/>
    </w:rPr>
  </w:style>
  <w:style w:type="character" w:customStyle="1" w:styleId="274">
    <w:name w:val="样式 表4.1 + 黑色 Char Char"/>
    <w:link w:val="275"/>
    <w:qFormat/>
    <w:uiPriority w:val="99"/>
    <w:rPr>
      <w:rFonts w:ascii="黑体" w:hAnsi="Times New Roman" w:eastAsia="黑体"/>
      <w:b/>
      <w:bCs/>
      <w:color w:val="000000"/>
      <w:kern w:val="2"/>
      <w:sz w:val="24"/>
      <w:szCs w:val="26"/>
    </w:rPr>
  </w:style>
  <w:style w:type="paragraph" w:customStyle="1" w:styleId="275">
    <w:name w:val="样式 表4.1 + 黑色"/>
    <w:basedOn w:val="1"/>
    <w:link w:val="274"/>
    <w:qFormat/>
    <w:uiPriority w:val="99"/>
    <w:pPr>
      <w:widowControl w:val="0"/>
      <w:tabs>
        <w:tab w:val="left" w:pos="726"/>
        <w:tab w:val="center" w:pos="4060"/>
        <w:tab w:val="right" w:pos="8261"/>
      </w:tabs>
      <w:suppressAutoHyphens/>
      <w:adjustRightInd w:val="0"/>
      <w:spacing w:before="240" w:line="0" w:lineRule="atLeast"/>
      <w:ind w:left="2" w:firstLine="4"/>
      <w:jc w:val="both"/>
    </w:pPr>
    <w:rPr>
      <w:rFonts w:ascii="黑体" w:hAnsi="Times New Roman" w:eastAsia="黑体" w:cs="Times New Roman"/>
      <w:b/>
      <w:bCs/>
      <w:color w:val="000000"/>
      <w:kern w:val="2"/>
      <w:szCs w:val="26"/>
    </w:rPr>
  </w:style>
  <w:style w:type="character" w:customStyle="1" w:styleId="276">
    <w:name w:val="Char Char18"/>
    <w:qFormat/>
    <w:uiPriority w:val="0"/>
    <w:rPr>
      <w:rFonts w:eastAsia="宋体"/>
      <w:kern w:val="2"/>
      <w:sz w:val="24"/>
      <w:szCs w:val="24"/>
      <w:lang w:val="en-US" w:eastAsia="zh-CN" w:bidi="ar-SA"/>
    </w:rPr>
  </w:style>
  <w:style w:type="character" w:customStyle="1" w:styleId="277">
    <w:name w:val="description"/>
    <w:qFormat/>
    <w:uiPriority w:val="0"/>
  </w:style>
  <w:style w:type="character" w:customStyle="1" w:styleId="278">
    <w:name w:val="Char Char28"/>
    <w:qFormat/>
    <w:uiPriority w:val="0"/>
    <w:rPr>
      <w:rFonts w:hint="default" w:ascii="Times New Roman" w:hAnsi="Times New Roman" w:eastAsia="黑体" w:cs="Times New Roman"/>
      <w:sz w:val="24"/>
      <w:szCs w:val="24"/>
    </w:rPr>
  </w:style>
  <w:style w:type="character" w:customStyle="1" w:styleId="279">
    <w:name w:val="样式 样式 方正宋三简体 14 磅 行距: 1.5 倍行距1 + 首行缩进:  2 字符 Char Char"/>
    <w:link w:val="280"/>
    <w:qFormat/>
    <w:uiPriority w:val="0"/>
    <w:rPr>
      <w:rFonts w:ascii="宋体" w:hAnsi="方正宋三简体"/>
      <w:sz w:val="27"/>
      <w:szCs w:val="27"/>
    </w:rPr>
  </w:style>
  <w:style w:type="paragraph" w:customStyle="1" w:styleId="280">
    <w:name w:val="样式 样式 方正宋三简体 14 磅 行距: 1.5 倍行距1 + 首行缩进:  2 字符"/>
    <w:basedOn w:val="1"/>
    <w:link w:val="279"/>
    <w:qFormat/>
    <w:uiPriority w:val="0"/>
    <w:pPr>
      <w:widowControl w:val="0"/>
      <w:ind w:firstLine="200" w:firstLineChars="200"/>
      <w:jc w:val="both"/>
    </w:pPr>
    <w:rPr>
      <w:rFonts w:hAnsi="方正宋三简体" w:cs="Times New Roman"/>
      <w:sz w:val="27"/>
      <w:szCs w:val="27"/>
    </w:rPr>
  </w:style>
  <w:style w:type="character" w:customStyle="1" w:styleId="281">
    <w:name w:val="Char Char25"/>
    <w:qFormat/>
    <w:uiPriority w:val="0"/>
    <w:rPr>
      <w:rFonts w:ascii="宋体" w:eastAsia="宋体"/>
      <w:color w:val="000000"/>
      <w:sz w:val="36"/>
      <w:lang w:val="en-US" w:eastAsia="zh-CN" w:bidi="ar-SA"/>
    </w:rPr>
  </w:style>
  <w:style w:type="character" w:customStyle="1" w:styleId="282">
    <w:name w:val="Char Char Char Char11"/>
    <w:qFormat/>
    <w:uiPriority w:val="0"/>
    <w:rPr>
      <w:rFonts w:hint="eastAsia" w:ascii="宋体" w:hAnsi="Courier New" w:eastAsia="宋体" w:cs="Courier New"/>
      <w:sz w:val="21"/>
      <w:szCs w:val="21"/>
      <w:lang w:val="en-US" w:eastAsia="zh-CN" w:bidi="ar-SA"/>
    </w:rPr>
  </w:style>
  <w:style w:type="character" w:customStyle="1" w:styleId="283">
    <w:name w:val="body text 1 Char Char Char"/>
    <w:link w:val="284"/>
    <w:qFormat/>
    <w:uiPriority w:val="0"/>
    <w:rPr>
      <w:rFonts w:ascii="Times New Roman" w:hAnsi="Times New Roman"/>
      <w:snapToGrid w:val="0"/>
      <w:kern w:val="2"/>
      <w:sz w:val="24"/>
      <w:szCs w:val="24"/>
    </w:rPr>
  </w:style>
  <w:style w:type="paragraph" w:customStyle="1" w:styleId="284">
    <w:name w:val="body text 1"/>
    <w:basedOn w:val="227"/>
    <w:link w:val="283"/>
    <w:qFormat/>
    <w:uiPriority w:val="0"/>
    <w:pPr>
      <w:tabs>
        <w:tab w:val="clear" w:pos="567"/>
      </w:tabs>
      <w:spacing w:line="360" w:lineRule="auto"/>
      <w:ind w:left="0" w:firstLine="475"/>
    </w:pPr>
    <w:rPr>
      <w:rFonts w:ascii="Times New Roman"/>
      <w:snapToGrid w:val="0"/>
      <w:szCs w:val="24"/>
    </w:rPr>
  </w:style>
  <w:style w:type="character" w:customStyle="1" w:styleId="285">
    <w:name w:val="bt Char1"/>
    <w:qFormat/>
    <w:uiPriority w:val="0"/>
    <w:rPr>
      <w:kern w:val="2"/>
      <w:sz w:val="21"/>
      <w:szCs w:val="22"/>
    </w:rPr>
  </w:style>
  <w:style w:type="character" w:customStyle="1" w:styleId="286">
    <w:name w:val="bds_more2"/>
    <w:qFormat/>
    <w:uiPriority w:val="0"/>
  </w:style>
  <w:style w:type="character" w:customStyle="1" w:styleId="287">
    <w:name w:val="font191"/>
    <w:qFormat/>
    <w:uiPriority w:val="0"/>
    <w:rPr>
      <w:rFonts w:hint="default" w:ascii="Times New Roman" w:hAnsi="Times New Roman" w:cs="Times New Roman"/>
      <w:b/>
      <w:bCs/>
      <w:color w:val="000000"/>
      <w:sz w:val="22"/>
      <w:szCs w:val="22"/>
      <w:u w:val="none"/>
    </w:rPr>
  </w:style>
  <w:style w:type="character" w:customStyle="1" w:styleId="288">
    <w:name w:val="样式 德胜表格内容 + 紧缩量  0.6 磅 Char Char"/>
    <w:link w:val="289"/>
    <w:qFormat/>
    <w:uiPriority w:val="0"/>
    <w:rPr>
      <w:snapToGrid w:val="0"/>
      <w:color w:val="0000FF"/>
      <w:szCs w:val="21"/>
    </w:rPr>
  </w:style>
  <w:style w:type="paragraph" w:customStyle="1" w:styleId="289">
    <w:name w:val="样式 德胜表格内容 + 紧缩量  0.6 磅"/>
    <w:basedOn w:val="290"/>
    <w:link w:val="288"/>
    <w:qFormat/>
    <w:uiPriority w:val="0"/>
  </w:style>
  <w:style w:type="paragraph" w:customStyle="1" w:styleId="290">
    <w:name w:val="德胜表格内容"/>
    <w:basedOn w:val="1"/>
    <w:link w:val="291"/>
    <w:qFormat/>
    <w:uiPriority w:val="0"/>
    <w:pPr>
      <w:widowControl w:val="0"/>
      <w:adjustRightInd w:val="0"/>
      <w:snapToGrid w:val="0"/>
      <w:jc w:val="center"/>
    </w:pPr>
    <w:rPr>
      <w:rFonts w:ascii="Calibri" w:hAnsi="Calibri" w:cs="Times New Roman"/>
      <w:snapToGrid w:val="0"/>
      <w:color w:val="0000FF"/>
      <w:sz w:val="20"/>
      <w:szCs w:val="21"/>
    </w:rPr>
  </w:style>
  <w:style w:type="character" w:customStyle="1" w:styleId="291">
    <w:name w:val="德胜表格内容 Char Char"/>
    <w:link w:val="290"/>
    <w:qFormat/>
    <w:uiPriority w:val="0"/>
    <w:rPr>
      <w:snapToGrid w:val="0"/>
      <w:color w:val="0000FF"/>
      <w:szCs w:val="21"/>
    </w:rPr>
  </w:style>
  <w:style w:type="character" w:customStyle="1" w:styleId="292">
    <w:name w:val="sidecatalog-index1"/>
    <w:qFormat/>
    <w:uiPriority w:val="0"/>
    <w:rPr>
      <w:rFonts w:ascii="Arial" w:hAnsi="Arial" w:cs="Arial"/>
      <w:b/>
      <w:color w:val="999999"/>
      <w:sz w:val="21"/>
      <w:szCs w:val="21"/>
    </w:rPr>
  </w:style>
  <w:style w:type="character" w:customStyle="1" w:styleId="293">
    <w:name w:val="font-family:times"/>
    <w:qFormat/>
    <w:uiPriority w:val="0"/>
  </w:style>
  <w:style w:type="character" w:customStyle="1" w:styleId="294">
    <w:name w:val="bds_more1"/>
    <w:qFormat/>
    <w:uiPriority w:val="0"/>
  </w:style>
  <w:style w:type="character" w:customStyle="1" w:styleId="295">
    <w:name w:val="Table Head Char Char"/>
    <w:link w:val="296"/>
    <w:qFormat/>
    <w:uiPriority w:val="0"/>
    <w:rPr>
      <w:rFonts w:ascii="Arial" w:hAnsi="Arial" w:eastAsia="仿宋_GB2312"/>
      <w:b/>
      <w:sz w:val="18"/>
      <w:szCs w:val="24"/>
    </w:rPr>
  </w:style>
  <w:style w:type="paragraph" w:customStyle="1" w:styleId="296">
    <w:name w:val="Table Head"/>
    <w:basedOn w:val="1"/>
    <w:next w:val="1"/>
    <w:link w:val="295"/>
    <w:qFormat/>
    <w:uiPriority w:val="0"/>
    <w:pPr>
      <w:widowControl w:val="0"/>
      <w:spacing w:before="80" w:after="80"/>
      <w:jc w:val="center"/>
    </w:pPr>
    <w:rPr>
      <w:rFonts w:ascii="Arial" w:hAnsi="Arial" w:eastAsia="仿宋_GB2312" w:cs="Times New Roman"/>
      <w:b/>
      <w:sz w:val="18"/>
    </w:rPr>
  </w:style>
  <w:style w:type="character" w:customStyle="1" w:styleId="297">
    <w:name w:val="css-text3"/>
    <w:qFormat/>
    <w:uiPriority w:val="0"/>
  </w:style>
  <w:style w:type="character" w:customStyle="1" w:styleId="298">
    <w:name w:val="正文11 Char Char1"/>
    <w:qFormat/>
    <w:uiPriority w:val="0"/>
    <w:rPr>
      <w:rFonts w:ascii="宋体" w:hAnsi="宋体" w:eastAsia="宋体"/>
      <w:snapToGrid w:val="0"/>
      <w:sz w:val="24"/>
      <w:szCs w:val="24"/>
      <w:lang w:val="en-US" w:eastAsia="zh-CN" w:bidi="ar-SA"/>
    </w:rPr>
  </w:style>
  <w:style w:type="character" w:customStyle="1" w:styleId="299">
    <w:name w:val="Normal Char Char"/>
    <w:link w:val="300"/>
    <w:qFormat/>
    <w:uiPriority w:val="0"/>
    <w:rPr>
      <w:rFonts w:ascii="宋体" w:hAnsi="Times New Roman"/>
      <w:kern w:val="2"/>
      <w:sz w:val="34"/>
      <w:szCs w:val="22"/>
    </w:rPr>
  </w:style>
  <w:style w:type="paragraph" w:customStyle="1" w:styleId="300">
    <w:name w:val="正文2"/>
    <w:link w:val="299"/>
    <w:qFormat/>
    <w:uiPriority w:val="0"/>
    <w:pPr>
      <w:widowControl w:val="0"/>
      <w:adjustRightInd w:val="0"/>
      <w:spacing w:line="360" w:lineRule="atLeast"/>
      <w:textAlignment w:val="baseline"/>
    </w:pPr>
    <w:rPr>
      <w:rFonts w:ascii="宋体" w:hAnsi="Times New Roman" w:eastAsia="宋体" w:cs="Times New Roman"/>
      <w:kern w:val="2"/>
      <w:sz w:val="34"/>
      <w:szCs w:val="22"/>
      <w:lang w:val="en-US" w:eastAsia="zh-CN" w:bidi="ar-SA"/>
    </w:rPr>
  </w:style>
  <w:style w:type="character" w:customStyle="1" w:styleId="301">
    <w:name w:val="Char Char131"/>
    <w:qFormat/>
    <w:uiPriority w:val="0"/>
    <w:rPr>
      <w:sz w:val="18"/>
      <w:szCs w:val="18"/>
    </w:rPr>
  </w:style>
  <w:style w:type="character" w:customStyle="1" w:styleId="302">
    <w:name w:val="标题 1 Char1 Char"/>
    <w:qFormat/>
    <w:uiPriority w:val="0"/>
    <w:rPr>
      <w:rFonts w:ascii="宋体" w:hAnsi="宋体"/>
      <w:b/>
      <w:kern w:val="44"/>
      <w:sz w:val="44"/>
      <w:szCs w:val="30"/>
    </w:rPr>
  </w:style>
  <w:style w:type="character" w:customStyle="1" w:styleId="303">
    <w:name w:val="表13.9 Char Char"/>
    <w:link w:val="304"/>
    <w:qFormat/>
    <w:uiPriority w:val="0"/>
    <w:rPr>
      <w:rFonts w:ascii="黑体" w:hAnsi="Times New Roman" w:eastAsia="黑体"/>
      <w:b/>
      <w:sz w:val="24"/>
      <w:szCs w:val="24"/>
    </w:rPr>
  </w:style>
  <w:style w:type="paragraph" w:customStyle="1" w:styleId="304">
    <w:name w:val="表13.9"/>
    <w:basedOn w:val="1"/>
    <w:link w:val="303"/>
    <w:qFormat/>
    <w:uiPriority w:val="0"/>
    <w:pPr>
      <w:widowControl w:val="0"/>
      <w:tabs>
        <w:tab w:val="left" w:pos="4080"/>
        <w:tab w:val="right" w:pos="8261"/>
      </w:tabs>
      <w:suppressAutoHyphens/>
      <w:adjustRightInd w:val="0"/>
      <w:spacing w:before="240" w:line="0" w:lineRule="atLeast"/>
      <w:ind w:left="3420" w:hanging="420"/>
      <w:jc w:val="both"/>
    </w:pPr>
    <w:rPr>
      <w:rFonts w:ascii="黑体" w:hAnsi="Times New Roman" w:eastAsia="黑体" w:cs="Times New Roman"/>
      <w:b/>
    </w:rPr>
  </w:style>
  <w:style w:type="character" w:customStyle="1" w:styleId="305">
    <w:name w:val="question-title2"/>
    <w:qFormat/>
    <w:uiPriority w:val="0"/>
  </w:style>
  <w:style w:type="character" w:customStyle="1" w:styleId="306">
    <w:name w:val="表格内容1 Char"/>
    <w:qFormat/>
    <w:uiPriority w:val="0"/>
    <w:rPr>
      <w:rFonts w:ascii="仿宋" w:hAnsi="仿宋" w:eastAsia="仿宋"/>
      <w:kern w:val="2"/>
      <w:sz w:val="21"/>
      <w:szCs w:val="21"/>
    </w:rPr>
  </w:style>
  <w:style w:type="character" w:customStyle="1" w:styleId="307">
    <w:name w:val="Char Char19"/>
    <w:qFormat/>
    <w:uiPriority w:val="0"/>
    <w:rPr>
      <w:rFonts w:eastAsia="黑体"/>
      <w:kern w:val="2"/>
      <w:sz w:val="24"/>
      <w:szCs w:val="24"/>
      <w:lang w:val="en-US" w:eastAsia="zh-CN" w:bidi="ar-SA"/>
    </w:rPr>
  </w:style>
  <w:style w:type="character" w:customStyle="1" w:styleId="308">
    <w:name w:val="Char Char251"/>
    <w:qFormat/>
    <w:uiPriority w:val="0"/>
    <w:rPr>
      <w:rFonts w:ascii="宋体" w:eastAsia="宋体"/>
      <w:color w:val="000000"/>
      <w:sz w:val="36"/>
      <w:lang w:val="en-US" w:eastAsia="zh-CN" w:bidi="ar-SA"/>
    </w:rPr>
  </w:style>
  <w:style w:type="character" w:customStyle="1" w:styleId="309">
    <w:name w:val="批注框文本 Char Char"/>
    <w:qFormat/>
    <w:uiPriority w:val="0"/>
    <w:rPr>
      <w:rFonts w:ascii="Times New Roman" w:hAnsi="Times New Roman" w:eastAsia="宋体" w:cs="Times New Roman"/>
      <w:sz w:val="18"/>
      <w:szCs w:val="18"/>
    </w:rPr>
  </w:style>
  <w:style w:type="character" w:customStyle="1" w:styleId="310">
    <w:name w:val="正文文本缩进 Char"/>
    <w:link w:val="311"/>
    <w:qFormat/>
    <w:uiPriority w:val="0"/>
    <w:rPr>
      <w:rFonts w:ascii="Times New Roman" w:hAnsi="Times New Roman" w:eastAsia="宋体" w:cs="Times New Roman"/>
      <w:szCs w:val="24"/>
    </w:rPr>
  </w:style>
  <w:style w:type="paragraph" w:customStyle="1" w:styleId="311">
    <w:name w:val="正文文本缩进1"/>
    <w:basedOn w:val="1"/>
    <w:link w:val="310"/>
    <w:qFormat/>
    <w:uiPriority w:val="0"/>
    <w:pPr>
      <w:widowControl w:val="0"/>
      <w:ind w:firstLine="574"/>
      <w:jc w:val="both"/>
    </w:pPr>
    <w:rPr>
      <w:rFonts w:ascii="Times New Roman" w:hAnsi="Times New Roman" w:cs="Times New Roman"/>
      <w:sz w:val="20"/>
    </w:rPr>
  </w:style>
  <w:style w:type="character" w:customStyle="1" w:styleId="312">
    <w:name w:val="签名 Char1"/>
    <w:semiHidden/>
    <w:qFormat/>
    <w:uiPriority w:val="99"/>
    <w:rPr>
      <w:rFonts w:ascii="Calibri" w:hAnsi="Calibri" w:eastAsia="宋体" w:cs="Times New Roman"/>
    </w:rPr>
  </w:style>
  <w:style w:type="character" w:customStyle="1" w:styleId="313">
    <w:name w:val="标题3.5 Char Char"/>
    <w:link w:val="314"/>
    <w:qFormat/>
    <w:uiPriority w:val="0"/>
    <w:rPr>
      <w:rFonts w:ascii="仿宋_GB2312" w:hAnsi="Times New Roman" w:eastAsia="黑体"/>
      <w:b/>
      <w:sz w:val="28"/>
      <w:szCs w:val="32"/>
    </w:rPr>
  </w:style>
  <w:style w:type="paragraph" w:customStyle="1" w:styleId="314">
    <w:name w:val="标题3.5"/>
    <w:basedOn w:val="315"/>
    <w:next w:val="316"/>
    <w:link w:val="313"/>
    <w:qFormat/>
    <w:uiPriority w:val="0"/>
    <w:pPr>
      <w:spacing w:beforeLines="100"/>
    </w:pPr>
    <w:rPr>
      <w:rFonts w:hAnsi="Times New Roman"/>
    </w:rPr>
  </w:style>
  <w:style w:type="paragraph" w:customStyle="1" w:styleId="315">
    <w:name w:val="标题3"/>
    <w:basedOn w:val="1"/>
    <w:next w:val="1"/>
    <w:link w:val="317"/>
    <w:qFormat/>
    <w:uiPriority w:val="0"/>
    <w:pPr>
      <w:widowControl w:val="0"/>
      <w:topLinePunct/>
      <w:spacing w:line="360" w:lineRule="auto"/>
      <w:outlineLvl w:val="2"/>
    </w:pPr>
    <w:rPr>
      <w:rFonts w:ascii="仿宋_GB2312" w:hAnsi="Calibri" w:eastAsia="黑体" w:cs="Times New Roman"/>
      <w:b/>
      <w:sz w:val="28"/>
      <w:szCs w:val="32"/>
    </w:rPr>
  </w:style>
  <w:style w:type="paragraph" w:customStyle="1" w:styleId="316">
    <w:name w:val="环评正文"/>
    <w:basedOn w:val="1"/>
    <w:next w:val="1"/>
    <w:link w:val="318"/>
    <w:qFormat/>
    <w:uiPriority w:val="0"/>
    <w:pPr>
      <w:spacing w:line="360" w:lineRule="auto"/>
      <w:ind w:firstLine="200" w:firstLineChars="200"/>
    </w:pPr>
    <w:rPr>
      <w:rFonts w:ascii="仿宋_GB2312" w:hAnsi="Times New Roman" w:eastAsia="仿宋_GB2312"/>
      <w:sz w:val="28"/>
      <w:szCs w:val="20"/>
    </w:rPr>
  </w:style>
  <w:style w:type="character" w:customStyle="1" w:styleId="317">
    <w:name w:val="标题3 Char Char"/>
    <w:link w:val="315"/>
    <w:qFormat/>
    <w:uiPriority w:val="0"/>
    <w:rPr>
      <w:rFonts w:ascii="仿宋_GB2312" w:eastAsia="黑体"/>
      <w:b/>
      <w:sz w:val="28"/>
      <w:szCs w:val="32"/>
    </w:rPr>
  </w:style>
  <w:style w:type="character" w:customStyle="1" w:styleId="318">
    <w:name w:val="环评正文 Char Char"/>
    <w:link w:val="316"/>
    <w:qFormat/>
    <w:uiPriority w:val="0"/>
    <w:rPr>
      <w:rFonts w:ascii="仿宋_GB2312" w:hAnsi="Times New Roman" w:eastAsia="仿宋_GB2312" w:cs="宋体"/>
      <w:sz w:val="28"/>
    </w:rPr>
  </w:style>
  <w:style w:type="character" w:customStyle="1" w:styleId="319">
    <w:name w:val="正文文本缩进 3 Char1"/>
    <w:qFormat/>
    <w:uiPriority w:val="0"/>
    <w:rPr>
      <w:rFonts w:ascii="Calibri" w:hAnsi="Calibri" w:eastAsia="宋体" w:cs="Times New Roman"/>
      <w:sz w:val="16"/>
      <w:szCs w:val="16"/>
    </w:rPr>
  </w:style>
  <w:style w:type="character" w:customStyle="1" w:styleId="320">
    <w:name w:val="span1"/>
    <w:qFormat/>
    <w:uiPriority w:val="0"/>
  </w:style>
  <w:style w:type="character" w:customStyle="1" w:styleId="321">
    <w:name w:val="Char Char21"/>
    <w:qFormat/>
    <w:uiPriority w:val="0"/>
    <w:rPr>
      <w:rFonts w:eastAsia="宋体"/>
      <w:kern w:val="2"/>
      <w:sz w:val="21"/>
      <w:szCs w:val="24"/>
      <w:lang w:val="en-US" w:eastAsia="zh-CN" w:bidi="ar-SA"/>
    </w:rPr>
  </w:style>
  <w:style w:type="character" w:customStyle="1" w:styleId="322">
    <w:name w:val="表4.10 Char Char"/>
    <w:link w:val="323"/>
    <w:qFormat/>
    <w:uiPriority w:val="99"/>
    <w:rPr>
      <w:rFonts w:ascii="黑体" w:hAnsi="Times New Roman" w:eastAsia="黑体" w:cs="宋体"/>
      <w:b/>
      <w:bCs/>
      <w:color w:val="000000"/>
      <w:spacing w:val="6"/>
      <w:kern w:val="2"/>
      <w:sz w:val="24"/>
      <w:szCs w:val="24"/>
    </w:rPr>
  </w:style>
  <w:style w:type="paragraph" w:customStyle="1" w:styleId="323">
    <w:name w:val="表4.10"/>
    <w:basedOn w:val="1"/>
    <w:link w:val="322"/>
    <w:qFormat/>
    <w:uiPriority w:val="99"/>
    <w:pPr>
      <w:widowControl w:val="0"/>
      <w:tabs>
        <w:tab w:val="left" w:pos="726"/>
        <w:tab w:val="center" w:pos="4060"/>
        <w:tab w:val="right" w:pos="8261"/>
      </w:tabs>
      <w:suppressAutoHyphens/>
      <w:adjustRightInd w:val="0"/>
      <w:spacing w:beforeLines="100" w:line="0" w:lineRule="atLeast"/>
      <w:ind w:left="2" w:firstLine="4"/>
      <w:jc w:val="center"/>
    </w:pPr>
    <w:rPr>
      <w:rFonts w:ascii="黑体" w:hAnsi="Times New Roman" w:eastAsia="黑体"/>
      <w:b/>
      <w:bCs/>
      <w:color w:val="000000"/>
      <w:spacing w:val="6"/>
      <w:kern w:val="2"/>
    </w:rPr>
  </w:style>
  <w:style w:type="character" w:customStyle="1" w:styleId="324">
    <w:name w:val="样式 尾注引用"/>
    <w:qFormat/>
    <w:uiPriority w:val="0"/>
    <w:rPr>
      <w:rFonts w:ascii="Times New Roman" w:hAnsi="Times New Roman" w:eastAsia="宋体"/>
      <w:sz w:val="24"/>
      <w:szCs w:val="28"/>
      <w:vertAlign w:val="superscript"/>
    </w:rPr>
  </w:style>
  <w:style w:type="character" w:customStyle="1" w:styleId="325">
    <w:name w:val="表格备注 Char"/>
    <w:link w:val="326"/>
    <w:qFormat/>
    <w:uiPriority w:val="0"/>
    <w:rPr>
      <w:rFonts w:ascii="Times New Roman" w:hAnsi="Times New Roman" w:eastAsia="仿宋_GB2312"/>
    </w:rPr>
  </w:style>
  <w:style w:type="paragraph" w:customStyle="1" w:styleId="326">
    <w:name w:val="表格备注"/>
    <w:basedOn w:val="1"/>
    <w:link w:val="325"/>
    <w:qFormat/>
    <w:uiPriority w:val="0"/>
    <w:pPr>
      <w:widowControl w:val="0"/>
      <w:adjustRightInd w:val="0"/>
      <w:snapToGrid w:val="0"/>
      <w:ind w:firstLine="200" w:firstLineChars="200"/>
      <w:jc w:val="both"/>
    </w:pPr>
    <w:rPr>
      <w:rFonts w:ascii="Times New Roman" w:hAnsi="Times New Roman" w:eastAsia="仿宋_GB2312" w:cs="Times New Roman"/>
      <w:sz w:val="20"/>
      <w:szCs w:val="20"/>
    </w:rPr>
  </w:style>
  <w:style w:type="character" w:customStyle="1" w:styleId="327">
    <w:name w:val="表题 Char1"/>
    <w:link w:val="328"/>
    <w:qFormat/>
    <w:uiPriority w:val="0"/>
    <w:rPr>
      <w:rFonts w:ascii="仿宋_GB2312" w:hAnsi="Times New Roman"/>
      <w:b/>
      <w:sz w:val="24"/>
      <w:szCs w:val="28"/>
    </w:rPr>
  </w:style>
  <w:style w:type="paragraph" w:customStyle="1" w:styleId="328">
    <w:name w:val="表题"/>
    <w:basedOn w:val="1"/>
    <w:link w:val="327"/>
    <w:qFormat/>
    <w:uiPriority w:val="0"/>
    <w:pPr>
      <w:widowControl w:val="0"/>
      <w:tabs>
        <w:tab w:val="left" w:pos="0"/>
      </w:tabs>
      <w:spacing w:line="300" w:lineRule="exact"/>
      <w:ind w:firstLine="300" w:firstLineChars="300"/>
      <w:jc w:val="both"/>
    </w:pPr>
    <w:rPr>
      <w:rFonts w:ascii="仿宋_GB2312" w:hAnsi="Times New Roman" w:cs="Times New Roman"/>
      <w:b/>
      <w:szCs w:val="28"/>
    </w:rPr>
  </w:style>
  <w:style w:type="character" w:customStyle="1" w:styleId="329">
    <w:name w:val="Char Char2"/>
    <w:qFormat/>
    <w:uiPriority w:val="0"/>
    <w:rPr>
      <w:rFonts w:hint="eastAsia" w:ascii="宋体" w:hAnsi="宋体" w:eastAsia="宋体"/>
      <w:kern w:val="2"/>
      <w:sz w:val="36"/>
      <w:lang w:val="en-US" w:eastAsia="zh-CN" w:bidi="ar-SA"/>
    </w:rPr>
  </w:style>
  <w:style w:type="character" w:customStyle="1" w:styleId="330">
    <w:name w:val="正文 + 首行缩进:  2 字符 Char Char"/>
    <w:qFormat/>
    <w:uiPriority w:val="0"/>
    <w:rPr>
      <w:rFonts w:eastAsia="宋体"/>
      <w:spacing w:val="12"/>
      <w:kern w:val="2"/>
      <w:sz w:val="24"/>
      <w:lang w:val="en-US" w:eastAsia="zh-CN" w:bidi="ar-SA"/>
    </w:rPr>
  </w:style>
  <w:style w:type="character" w:customStyle="1" w:styleId="331">
    <w:name w:val="style131"/>
    <w:qFormat/>
    <w:uiPriority w:val="0"/>
    <w:rPr>
      <w:rFonts w:hint="default" w:ascii="Arial" w:hAnsi="Arial" w:cs="Arial"/>
      <w:sz w:val="18"/>
      <w:szCs w:val="18"/>
    </w:rPr>
  </w:style>
  <w:style w:type="character" w:customStyle="1" w:styleId="332">
    <w:name w:val="bgbt Char Char"/>
    <w:link w:val="333"/>
    <w:semiHidden/>
    <w:qFormat/>
    <w:uiPriority w:val="0"/>
    <w:rPr>
      <w:rFonts w:ascii="黑体" w:hAnsi="Times New Roman" w:eastAsia="黑体"/>
      <w:sz w:val="24"/>
    </w:rPr>
  </w:style>
  <w:style w:type="paragraph" w:customStyle="1" w:styleId="333">
    <w:name w:val="bgbt"/>
    <w:basedOn w:val="1"/>
    <w:link w:val="332"/>
    <w:semiHidden/>
    <w:qFormat/>
    <w:uiPriority w:val="0"/>
    <w:pPr>
      <w:widowControl w:val="0"/>
      <w:jc w:val="center"/>
    </w:pPr>
    <w:rPr>
      <w:rFonts w:ascii="黑体" w:hAnsi="Times New Roman" w:eastAsia="黑体" w:cs="Times New Roman"/>
      <w:szCs w:val="20"/>
    </w:rPr>
  </w:style>
  <w:style w:type="character" w:customStyle="1" w:styleId="334">
    <w:name w:val="st"/>
    <w:qFormat/>
    <w:uiPriority w:val="0"/>
  </w:style>
  <w:style w:type="character" w:customStyle="1" w:styleId="335">
    <w:name w:val="标题1.1.1.1.1 Char"/>
    <w:qFormat/>
    <w:uiPriority w:val="0"/>
    <w:rPr>
      <w:b/>
      <w:bCs/>
      <w:kern w:val="2"/>
      <w:sz w:val="28"/>
      <w:szCs w:val="28"/>
    </w:rPr>
  </w:style>
  <w:style w:type="character" w:customStyle="1" w:styleId="336">
    <w:name w:val="表格文字 Char Char Char"/>
    <w:qFormat/>
    <w:uiPriority w:val="0"/>
    <w:rPr>
      <w:rFonts w:eastAsia="宋体"/>
      <w:kern w:val="2"/>
      <w:sz w:val="21"/>
      <w:lang w:val="en-US" w:eastAsia="zh-CN" w:bidi="ar-SA"/>
    </w:rPr>
  </w:style>
  <w:style w:type="character" w:customStyle="1" w:styleId="337">
    <w:name w:val="11 Char Char"/>
    <w:link w:val="338"/>
    <w:qFormat/>
    <w:uiPriority w:val="0"/>
    <w:rPr>
      <w:rFonts w:ascii="仿宋_GB2312" w:hAnsi="Times New Roman" w:eastAsia="仿宋_GB2312"/>
      <w:color w:val="0000FF"/>
      <w:sz w:val="24"/>
      <w:szCs w:val="24"/>
      <w:lang w:val="en-US" w:eastAsia="zh-CN"/>
    </w:rPr>
  </w:style>
  <w:style w:type="paragraph" w:customStyle="1" w:styleId="338">
    <w:name w:val="11"/>
    <w:basedOn w:val="32"/>
    <w:link w:val="337"/>
    <w:qFormat/>
    <w:uiPriority w:val="0"/>
    <w:pPr>
      <w:widowControl w:val="0"/>
      <w:autoSpaceDE w:val="0"/>
      <w:autoSpaceDN w:val="0"/>
      <w:adjustRightInd w:val="0"/>
      <w:spacing w:line="360" w:lineRule="auto"/>
      <w:ind w:firstLine="480" w:firstLineChars="200"/>
      <w:textAlignment w:val="baseline"/>
    </w:pPr>
    <w:rPr>
      <w:rFonts w:ascii="仿宋_GB2312" w:hAnsi="Times New Roman" w:eastAsia="仿宋_GB2312"/>
      <w:color w:val="0000FF"/>
      <w:kern w:val="0"/>
      <w:szCs w:val="24"/>
    </w:rPr>
  </w:style>
  <w:style w:type="character" w:customStyle="1" w:styleId="339">
    <w:name w:val="Char21"/>
    <w:qFormat/>
    <w:uiPriority w:val="0"/>
    <w:rPr>
      <w:rFonts w:hint="eastAsia" w:ascii="宋体" w:hAnsi="宋体" w:eastAsia="宋体"/>
      <w:b/>
      <w:bCs/>
      <w:kern w:val="44"/>
      <w:sz w:val="44"/>
      <w:szCs w:val="44"/>
      <w:lang w:val="en-US" w:eastAsia="zh-CN" w:bidi="ar-SA"/>
    </w:rPr>
  </w:style>
  <w:style w:type="character" w:customStyle="1" w:styleId="340">
    <w:name w:val="样式 首行缩进:  2 字符 Char Char"/>
    <w:link w:val="341"/>
    <w:qFormat/>
    <w:uiPriority w:val="0"/>
    <w:rPr>
      <w:rFonts w:ascii="宋体" w:cs="宋体"/>
      <w:sz w:val="28"/>
      <w:szCs w:val="28"/>
    </w:rPr>
  </w:style>
  <w:style w:type="paragraph" w:customStyle="1" w:styleId="341">
    <w:name w:val="样式 首行缩进:  2 字符"/>
    <w:basedOn w:val="1"/>
    <w:link w:val="340"/>
    <w:qFormat/>
    <w:uiPriority w:val="0"/>
    <w:pPr>
      <w:widowControl w:val="0"/>
      <w:spacing w:line="440" w:lineRule="exact"/>
      <w:ind w:firstLine="200" w:firstLineChars="200"/>
      <w:jc w:val="both"/>
    </w:pPr>
    <w:rPr>
      <w:rFonts w:hAnsi="Calibri"/>
      <w:sz w:val="28"/>
      <w:szCs w:val="28"/>
    </w:rPr>
  </w:style>
  <w:style w:type="character" w:customStyle="1" w:styleId="342">
    <w:name w:val="标题 3 Char"/>
    <w:qFormat/>
    <w:uiPriority w:val="9"/>
    <w:rPr>
      <w:rFonts w:ascii="Calibri" w:hAnsi="Calibri" w:eastAsia="宋体" w:cs="Times New Roman"/>
      <w:b/>
      <w:bCs/>
      <w:sz w:val="32"/>
      <w:szCs w:val="32"/>
    </w:rPr>
  </w:style>
  <w:style w:type="character" w:customStyle="1" w:styleId="343">
    <w:name w:val="款 Char Char"/>
    <w:qFormat/>
    <w:uiPriority w:val="0"/>
    <w:rPr>
      <w:rFonts w:ascii="Arial" w:hAnsi="Arial" w:eastAsia="宋体" w:cs="Times New Roman"/>
      <w:b/>
      <w:bCs/>
      <w:sz w:val="24"/>
      <w:szCs w:val="28"/>
    </w:rPr>
  </w:style>
  <w:style w:type="character" w:customStyle="1" w:styleId="344">
    <w:name w:val="批注框文本 Char1"/>
    <w:qFormat/>
    <w:uiPriority w:val="99"/>
    <w:rPr>
      <w:rFonts w:ascii="Calibri" w:hAnsi="Calibri" w:eastAsia="宋体" w:cs="Times New Roman"/>
      <w:sz w:val="18"/>
      <w:szCs w:val="18"/>
    </w:rPr>
  </w:style>
  <w:style w:type="character" w:customStyle="1" w:styleId="345">
    <w:name w:val="赵一级标题 Char Char"/>
    <w:link w:val="346"/>
    <w:qFormat/>
    <w:uiPriority w:val="0"/>
    <w:rPr>
      <w:b/>
      <w:bCs/>
      <w:kern w:val="2"/>
      <w:sz w:val="24"/>
      <w:szCs w:val="24"/>
    </w:rPr>
  </w:style>
  <w:style w:type="paragraph" w:customStyle="1" w:styleId="346">
    <w:name w:val="赵一级标题"/>
    <w:basedOn w:val="1"/>
    <w:link w:val="345"/>
    <w:qFormat/>
    <w:uiPriority w:val="0"/>
    <w:pPr>
      <w:widowControl w:val="0"/>
      <w:jc w:val="both"/>
    </w:pPr>
    <w:rPr>
      <w:rFonts w:ascii="Calibri" w:hAnsi="Calibri" w:cs="Times New Roman"/>
      <w:b/>
      <w:bCs/>
      <w:kern w:val="2"/>
    </w:rPr>
  </w:style>
  <w:style w:type="character" w:customStyle="1" w:styleId="347">
    <w:name w:val="BG Char Char"/>
    <w:link w:val="348"/>
    <w:semiHidden/>
    <w:qFormat/>
    <w:uiPriority w:val="0"/>
    <w:rPr>
      <w:rFonts w:ascii="Times New Roman" w:hAnsi="Times New Roman"/>
    </w:rPr>
  </w:style>
  <w:style w:type="paragraph" w:customStyle="1" w:styleId="348">
    <w:name w:val="BG"/>
    <w:basedOn w:val="1"/>
    <w:link w:val="347"/>
    <w:semiHidden/>
    <w:qFormat/>
    <w:uiPriority w:val="0"/>
    <w:pPr>
      <w:widowControl w:val="0"/>
      <w:adjustRightInd w:val="0"/>
      <w:snapToGrid w:val="0"/>
      <w:jc w:val="center"/>
    </w:pPr>
    <w:rPr>
      <w:rFonts w:ascii="Times New Roman" w:hAnsi="Times New Roman" w:cs="Times New Roman"/>
      <w:sz w:val="20"/>
      <w:szCs w:val="20"/>
    </w:rPr>
  </w:style>
  <w:style w:type="character" w:customStyle="1" w:styleId="349">
    <w:name w:val="grame"/>
    <w:qFormat/>
    <w:uiPriority w:val="0"/>
  </w:style>
  <w:style w:type="character" w:customStyle="1" w:styleId="350">
    <w:name w:val="Char Char181"/>
    <w:qFormat/>
    <w:uiPriority w:val="0"/>
    <w:rPr>
      <w:rFonts w:eastAsia="宋体"/>
      <w:kern w:val="2"/>
      <w:sz w:val="24"/>
      <w:szCs w:val="24"/>
      <w:lang w:val="en-US" w:eastAsia="zh-CN" w:bidi="ar-SA"/>
    </w:rPr>
  </w:style>
  <w:style w:type="character" w:customStyle="1" w:styleId="351">
    <w:name w:val="正文1 Char Char Char"/>
    <w:qFormat/>
    <w:locked/>
    <w:uiPriority w:val="0"/>
    <w:rPr>
      <w:rFonts w:ascii="仿宋_GB2312" w:hAnsi="Times New Roman" w:eastAsia="仿宋_GB2312"/>
      <w:kern w:val="2"/>
      <w:sz w:val="28"/>
      <w:szCs w:val="28"/>
    </w:rPr>
  </w:style>
  <w:style w:type="character" w:customStyle="1" w:styleId="352">
    <w:name w:val="1.1.1标题 3 Char"/>
    <w:qFormat/>
    <w:uiPriority w:val="0"/>
    <w:rPr>
      <w:rFonts w:eastAsia="宋体"/>
      <w:spacing w:val="8"/>
      <w:kern w:val="2"/>
      <w:sz w:val="24"/>
      <w:lang w:bidi="ar-SA"/>
    </w:rPr>
  </w:style>
  <w:style w:type="character" w:customStyle="1" w:styleId="353">
    <w:name w:val="环评正文2 Char Char"/>
    <w:link w:val="354"/>
    <w:qFormat/>
    <w:uiPriority w:val="0"/>
    <w:rPr>
      <w:rFonts w:ascii="宋体" w:hAnsi="宋体" w:eastAsia="仿宋_GB2312"/>
      <w:color w:val="000000"/>
      <w:kern w:val="16"/>
      <w:sz w:val="24"/>
      <w:szCs w:val="24"/>
    </w:rPr>
  </w:style>
  <w:style w:type="paragraph" w:customStyle="1" w:styleId="354">
    <w:name w:val="环评正文2"/>
    <w:basedOn w:val="1"/>
    <w:link w:val="353"/>
    <w:qFormat/>
    <w:uiPriority w:val="0"/>
    <w:pPr>
      <w:widowControl w:val="0"/>
      <w:spacing w:line="360" w:lineRule="auto"/>
      <w:ind w:firstLine="200" w:firstLineChars="200"/>
      <w:jc w:val="both"/>
    </w:pPr>
    <w:rPr>
      <w:rFonts w:eastAsia="仿宋_GB2312" w:cs="Times New Roman"/>
      <w:color w:val="000000"/>
      <w:kern w:val="16"/>
    </w:rPr>
  </w:style>
  <w:style w:type="character" w:customStyle="1" w:styleId="355">
    <w:name w:val="content"/>
    <w:qFormat/>
    <w:uiPriority w:val="0"/>
  </w:style>
  <w:style w:type="character" w:customStyle="1" w:styleId="356">
    <w:name w:val="图表标题 Char"/>
    <w:qFormat/>
    <w:uiPriority w:val="0"/>
    <w:rPr>
      <w:rFonts w:ascii="Times New Roman" w:hAnsi="Times New Roman" w:eastAsia="仿宋_GB2312" w:cs="Times New Roman"/>
      <w:color w:val="000000"/>
      <w:kern w:val="0"/>
      <w:sz w:val="24"/>
      <w:szCs w:val="21"/>
    </w:rPr>
  </w:style>
  <w:style w:type="character" w:customStyle="1" w:styleId="357">
    <w:name w:val="123YJ Char"/>
    <w:qFormat/>
    <w:uiPriority w:val="0"/>
    <w:rPr>
      <w:rFonts w:eastAsia="宋体"/>
      <w:kern w:val="2"/>
      <w:sz w:val="18"/>
      <w:szCs w:val="18"/>
      <w:lang w:val="en-US" w:eastAsia="zh-CN" w:bidi="ar-SA"/>
    </w:rPr>
  </w:style>
  <w:style w:type="character" w:customStyle="1" w:styleId="358">
    <w:name w:val="表格-题注（OPCC宋体） Char Char"/>
    <w:link w:val="359"/>
    <w:qFormat/>
    <w:uiPriority w:val="0"/>
    <w:rPr>
      <w:rFonts w:ascii="楷体_GB2312" w:hAnsi="Times New Roman" w:eastAsia="楷体_GB2312" w:cs="宋体"/>
      <w:snapToGrid w:val="0"/>
      <w:szCs w:val="21"/>
    </w:rPr>
  </w:style>
  <w:style w:type="paragraph" w:customStyle="1" w:styleId="359">
    <w:name w:val="表格-题注（OPCC宋体）"/>
    <w:basedOn w:val="1"/>
    <w:link w:val="358"/>
    <w:qFormat/>
    <w:uiPriority w:val="0"/>
    <w:pPr>
      <w:widowControl w:val="0"/>
      <w:spacing w:line="336" w:lineRule="auto"/>
      <w:ind w:firstLine="420" w:firstLineChars="200"/>
      <w:jc w:val="center"/>
    </w:pPr>
    <w:rPr>
      <w:rFonts w:ascii="楷体_GB2312" w:hAnsi="Times New Roman" w:eastAsia="楷体_GB2312"/>
      <w:snapToGrid w:val="0"/>
      <w:sz w:val="20"/>
      <w:szCs w:val="21"/>
    </w:rPr>
  </w:style>
  <w:style w:type="character" w:customStyle="1" w:styleId="360">
    <w:name w:val="font31"/>
    <w:qFormat/>
    <w:uiPriority w:val="0"/>
    <w:rPr>
      <w:rFonts w:hint="default" w:ascii="ˎ̥" w:hAnsi="ˎ̥"/>
      <w:color w:val="000000"/>
      <w:sz w:val="36"/>
      <w:u w:val="none"/>
    </w:rPr>
  </w:style>
  <w:style w:type="character" w:customStyle="1" w:styleId="361">
    <w:name w:val="表内字 Char Char"/>
    <w:link w:val="362"/>
    <w:qFormat/>
    <w:uiPriority w:val="0"/>
    <w:rPr>
      <w:rFonts w:ascii="Times New Roman" w:hAnsi="Times New Roman"/>
      <w:color w:val="000000"/>
      <w:kern w:val="2"/>
      <w:sz w:val="21"/>
      <w:szCs w:val="22"/>
    </w:rPr>
  </w:style>
  <w:style w:type="paragraph" w:customStyle="1" w:styleId="362">
    <w:name w:val="表内字"/>
    <w:link w:val="361"/>
    <w:qFormat/>
    <w:uiPriority w:val="0"/>
    <w:pPr>
      <w:spacing w:line="312" w:lineRule="auto"/>
      <w:jc w:val="center"/>
    </w:pPr>
    <w:rPr>
      <w:rFonts w:ascii="Times New Roman" w:hAnsi="Times New Roman" w:eastAsia="宋体" w:cs="Times New Roman"/>
      <w:color w:val="000000"/>
      <w:kern w:val="2"/>
      <w:sz w:val="21"/>
      <w:szCs w:val="22"/>
      <w:lang w:val="en-US" w:eastAsia="zh-CN" w:bidi="ar-SA"/>
    </w:rPr>
  </w:style>
  <w:style w:type="character" w:customStyle="1" w:styleId="363">
    <w:name w:val="st1"/>
    <w:qFormat/>
    <w:uiPriority w:val="0"/>
  </w:style>
  <w:style w:type="character" w:customStyle="1" w:styleId="364">
    <w:name w:val="apple-style-span"/>
    <w:qFormat/>
    <w:uiPriority w:val="0"/>
  </w:style>
  <w:style w:type="character" w:customStyle="1" w:styleId="365">
    <w:name w:val="样式 正文首行缩进 + 隶书 Char Char"/>
    <w:link w:val="366"/>
    <w:qFormat/>
    <w:uiPriority w:val="0"/>
    <w:rPr>
      <w:rFonts w:ascii="宋体" w:hAnsi="隶书"/>
      <w:color w:val="000000"/>
      <w:sz w:val="24"/>
      <w:szCs w:val="24"/>
    </w:rPr>
  </w:style>
  <w:style w:type="paragraph" w:customStyle="1" w:styleId="366">
    <w:name w:val="样式 正文首行缩进 + 隶书"/>
    <w:basedOn w:val="32"/>
    <w:link w:val="365"/>
    <w:qFormat/>
    <w:uiPriority w:val="0"/>
    <w:pPr>
      <w:widowControl w:val="0"/>
      <w:spacing w:after="120"/>
      <w:jc w:val="both"/>
    </w:pPr>
    <w:rPr>
      <w:rFonts w:ascii="宋体" w:hAnsi="隶书"/>
      <w:kern w:val="0"/>
      <w:szCs w:val="24"/>
    </w:rPr>
  </w:style>
  <w:style w:type="character" w:customStyle="1" w:styleId="367">
    <w:name w:val="Char Char151"/>
    <w:qFormat/>
    <w:uiPriority w:val="0"/>
    <w:rPr>
      <w:kern w:val="2"/>
      <w:sz w:val="24"/>
      <w:lang w:bidi="ar-SA"/>
    </w:rPr>
  </w:style>
  <w:style w:type="character" w:customStyle="1" w:styleId="368">
    <w:name w:val="正文文本缩进 3 Char Char"/>
    <w:qFormat/>
    <w:uiPriority w:val="0"/>
    <w:rPr>
      <w:rFonts w:ascii="Times New Roman" w:hAnsi="Times New Roman" w:eastAsia="宋体" w:cs="Times New Roman"/>
      <w:sz w:val="24"/>
      <w:szCs w:val="20"/>
    </w:rPr>
  </w:style>
  <w:style w:type="character" w:customStyle="1" w:styleId="369">
    <w:name w:val="报告正文-连续目录 Char Char"/>
    <w:link w:val="370"/>
    <w:qFormat/>
    <w:uiPriority w:val="0"/>
    <w:rPr>
      <w:rFonts w:ascii="Arial" w:hAnsi="Arial"/>
      <w:snapToGrid w:val="0"/>
      <w:sz w:val="24"/>
      <w:szCs w:val="24"/>
    </w:rPr>
  </w:style>
  <w:style w:type="paragraph" w:customStyle="1" w:styleId="370">
    <w:name w:val="报告正文-连续目录"/>
    <w:basedOn w:val="1"/>
    <w:link w:val="369"/>
    <w:qFormat/>
    <w:uiPriority w:val="0"/>
    <w:pPr>
      <w:widowControl w:val="0"/>
      <w:spacing w:line="440" w:lineRule="exact"/>
      <w:ind w:firstLine="200" w:firstLineChars="200"/>
      <w:jc w:val="both"/>
    </w:pPr>
    <w:rPr>
      <w:rFonts w:ascii="Arial" w:hAnsi="Arial" w:cs="Times New Roman"/>
      <w:snapToGrid w:val="0"/>
    </w:rPr>
  </w:style>
  <w:style w:type="character" w:customStyle="1" w:styleId="371">
    <w:name w:val="font41"/>
    <w:qFormat/>
    <w:uiPriority w:val="0"/>
    <w:rPr>
      <w:rFonts w:hint="default" w:ascii="Times New Roman" w:hAnsi="Times New Roman" w:cs="Times New Roman"/>
      <w:color w:val="000000"/>
      <w:sz w:val="21"/>
      <w:szCs w:val="21"/>
      <w:u w:val="none"/>
      <w:vertAlign w:val="superscript"/>
    </w:rPr>
  </w:style>
  <w:style w:type="character" w:customStyle="1" w:styleId="372">
    <w:name w:val="正文文本缩进 2 Char1"/>
    <w:qFormat/>
    <w:uiPriority w:val="0"/>
    <w:rPr>
      <w:rFonts w:ascii="Times New Roman" w:hAnsi="Times New Roman" w:eastAsia="宋体" w:cs="Times New Roman"/>
      <w:szCs w:val="24"/>
    </w:rPr>
  </w:style>
  <w:style w:type="character" w:customStyle="1" w:styleId="373">
    <w:name w:val="font-family:宋体"/>
    <w:qFormat/>
    <w:uiPriority w:val="0"/>
  </w:style>
  <w:style w:type="character" w:customStyle="1" w:styleId="374">
    <w:name w:val="称呼 Char1"/>
    <w:semiHidden/>
    <w:qFormat/>
    <w:uiPriority w:val="99"/>
    <w:rPr>
      <w:rFonts w:ascii="Calibri" w:hAnsi="Calibri" w:eastAsia="宋体" w:cs="Times New Roman"/>
    </w:rPr>
  </w:style>
  <w:style w:type="character" w:customStyle="1" w:styleId="375">
    <w:name w:val="表格1 Char Char"/>
    <w:qFormat/>
    <w:uiPriority w:val="0"/>
    <w:rPr>
      <w:rFonts w:ascii="宋体" w:hAnsi="宋体" w:eastAsia="宋体"/>
      <w:snapToGrid w:val="0"/>
      <w:sz w:val="24"/>
      <w:szCs w:val="28"/>
      <w:lang w:bidi="ar-SA"/>
    </w:rPr>
  </w:style>
  <w:style w:type="character" w:customStyle="1" w:styleId="376">
    <w:name w:val="表格小四 Char Char"/>
    <w:link w:val="377"/>
    <w:qFormat/>
    <w:uiPriority w:val="0"/>
    <w:rPr>
      <w:rFonts w:ascii="宋体" w:hAnsi="宋体"/>
      <w:snapToGrid w:val="0"/>
      <w:sz w:val="24"/>
      <w:szCs w:val="28"/>
    </w:rPr>
  </w:style>
  <w:style w:type="paragraph" w:customStyle="1" w:styleId="377">
    <w:name w:val="表格小四"/>
    <w:basedOn w:val="1"/>
    <w:link w:val="376"/>
    <w:qFormat/>
    <w:uiPriority w:val="0"/>
    <w:pPr>
      <w:widowControl w:val="0"/>
      <w:adjustRightInd w:val="0"/>
      <w:snapToGrid w:val="0"/>
      <w:jc w:val="center"/>
    </w:pPr>
    <w:rPr>
      <w:rFonts w:cs="Times New Roman"/>
      <w:snapToGrid w:val="0"/>
      <w:szCs w:val="28"/>
    </w:rPr>
  </w:style>
  <w:style w:type="character" w:customStyle="1" w:styleId="378">
    <w:name w:val="标题 Char"/>
    <w:qFormat/>
    <w:uiPriority w:val="10"/>
    <w:rPr>
      <w:rFonts w:ascii="Cambria" w:hAnsi="Cambria" w:eastAsia="宋体" w:cs="Times New Roman"/>
      <w:b/>
      <w:bCs/>
      <w:sz w:val="32"/>
      <w:szCs w:val="32"/>
    </w:rPr>
  </w:style>
  <w:style w:type="character" w:customStyle="1" w:styleId="379">
    <w:name w:val="表中正文 Char Char Char Char Char Char Char Char Char Char Char Char Char Char Char Char Char Char Char Char Char Char Char Char Char Char Char Char Char Char Char Char Char Char Char Char Char Char Char Char Char Char"/>
    <w:link w:val="380"/>
    <w:qFormat/>
    <w:uiPriority w:val="0"/>
    <w:rPr>
      <w:rFonts w:ascii="宋体" w:hAnsi="Arial" w:eastAsia="仿宋_GB2312"/>
      <w:szCs w:val="24"/>
    </w:rPr>
  </w:style>
  <w:style w:type="paragraph" w:customStyle="1" w:styleId="380">
    <w:name w:val="表中正文 Char Char Char Char Char Char Char Char Char Char Char Char Char Char Char Char Char Char Char Char Char Char Char Char Char Char Char Char Char Char Char Char Char Char Char Char Char Char Char Char"/>
    <w:basedOn w:val="1"/>
    <w:link w:val="379"/>
    <w:qFormat/>
    <w:uiPriority w:val="0"/>
    <w:pPr>
      <w:widowControl w:val="0"/>
      <w:autoSpaceDE w:val="0"/>
      <w:autoSpaceDN w:val="0"/>
      <w:adjustRightInd w:val="0"/>
      <w:snapToGrid w:val="0"/>
      <w:jc w:val="center"/>
      <w:textAlignment w:val="baseline"/>
    </w:pPr>
    <w:rPr>
      <w:rFonts w:hAnsi="Arial" w:eastAsia="仿宋_GB2312" w:cs="Times New Roman"/>
      <w:sz w:val="20"/>
    </w:rPr>
  </w:style>
  <w:style w:type="character" w:customStyle="1" w:styleId="381">
    <w:name w:val="bds_more4"/>
    <w:qFormat/>
    <w:uiPriority w:val="0"/>
  </w:style>
  <w:style w:type="character" w:customStyle="1" w:styleId="382">
    <w:name w:val="标题 5 Char1"/>
    <w:qFormat/>
    <w:uiPriority w:val="0"/>
    <w:rPr>
      <w:rFonts w:ascii="Times New Roman" w:hAnsi="Times New Roman" w:eastAsia="宋体" w:cs="Times New Roman"/>
      <w:b/>
      <w:bCs/>
      <w:sz w:val="28"/>
      <w:szCs w:val="28"/>
    </w:rPr>
  </w:style>
  <w:style w:type="character" w:customStyle="1" w:styleId="383">
    <w:name w:val="Char Char9"/>
    <w:qFormat/>
    <w:uiPriority w:val="0"/>
    <w:rPr>
      <w:rFonts w:hint="eastAsia" w:ascii="宋体" w:hAnsi="宋体" w:eastAsia="宋体"/>
      <w:color w:val="000000"/>
      <w:sz w:val="36"/>
      <w:lang w:val="en-US" w:eastAsia="zh-CN" w:bidi="ar-SA"/>
    </w:rPr>
  </w:style>
  <w:style w:type="character" w:customStyle="1" w:styleId="384">
    <w:name w:val="style16 style57"/>
    <w:qFormat/>
    <w:uiPriority w:val="0"/>
  </w:style>
  <w:style w:type="character" w:customStyle="1" w:styleId="385">
    <w:name w:val="正文文本 (2) + AngsanaUPC10"/>
    <w:qFormat/>
    <w:uiPriority w:val="99"/>
    <w:rPr>
      <w:rFonts w:ascii="AngsanaUPC" w:hAnsi="AngsanaUPC" w:eastAsia="MingLiU" w:cs="AngsanaUPC"/>
      <w:sz w:val="22"/>
      <w:szCs w:val="22"/>
      <w:u w:val="none"/>
      <w:shd w:val="clear" w:color="auto" w:fill="FFFFFF"/>
      <w:lang w:val="en-US" w:eastAsia="en-US"/>
    </w:rPr>
  </w:style>
  <w:style w:type="character" w:customStyle="1" w:styleId="386">
    <w:name w:val="样式 样式 1.1标题2 Char + 小三 加粗 +"/>
    <w:qFormat/>
    <w:uiPriority w:val="0"/>
    <w:rPr>
      <w:rFonts w:ascii="Arial" w:hAnsi="Arial" w:eastAsia="黑体"/>
      <w:kern w:val="2"/>
      <w:sz w:val="30"/>
      <w:szCs w:val="32"/>
      <w:lang w:val="en-US" w:eastAsia="zh-CN" w:bidi="ar-SA"/>
    </w:rPr>
  </w:style>
  <w:style w:type="character" w:customStyle="1" w:styleId="387">
    <w:name w:val="样式 1.1标题2 Char + 小三 加粗"/>
    <w:qFormat/>
    <w:uiPriority w:val="0"/>
    <w:rPr>
      <w:rFonts w:ascii="Arial" w:hAnsi="Arial" w:eastAsia="黑体"/>
      <w:bCs/>
      <w:kern w:val="2"/>
      <w:sz w:val="30"/>
      <w:szCs w:val="32"/>
      <w:lang w:val="en-US" w:eastAsia="zh-CN" w:bidi="ar-SA"/>
    </w:rPr>
  </w:style>
  <w:style w:type="character" w:customStyle="1" w:styleId="388">
    <w:name w:val="正文文本 (9) + 间距 1 pt2"/>
    <w:qFormat/>
    <w:uiPriority w:val="99"/>
    <w:rPr>
      <w:rFonts w:ascii="MingLiU" w:eastAsia="MingLiU" w:cs="MingLiU"/>
      <w:spacing w:val="20"/>
      <w:shd w:val="clear" w:color="auto" w:fill="FFFFFF"/>
    </w:rPr>
  </w:style>
  <w:style w:type="character" w:customStyle="1" w:styleId="389">
    <w:name w:val="textjianju21"/>
    <w:qFormat/>
    <w:uiPriority w:val="0"/>
    <w:rPr>
      <w:color w:val="000000"/>
    </w:rPr>
  </w:style>
  <w:style w:type="character" w:customStyle="1" w:styleId="390">
    <w:name w:val="Page Number1"/>
    <w:qFormat/>
    <w:uiPriority w:val="0"/>
  </w:style>
  <w:style w:type="character" w:customStyle="1" w:styleId="391">
    <w:name w:val="style12"/>
    <w:qFormat/>
    <w:uiPriority w:val="0"/>
  </w:style>
  <w:style w:type="character" w:customStyle="1" w:styleId="392">
    <w:name w:val="正文文本最新 Char Char Char1 Char Char Char Char Char Char Char Char Char"/>
    <w:qFormat/>
    <w:uiPriority w:val="0"/>
    <w:rPr>
      <w:rFonts w:eastAsia="宋体"/>
      <w:b/>
      <w:bCs/>
      <w:kern w:val="2"/>
      <w:sz w:val="28"/>
      <w:szCs w:val="24"/>
      <w:lang w:val="en-US" w:eastAsia="zh-CN" w:bidi="ar-SA"/>
    </w:rPr>
  </w:style>
  <w:style w:type="character" w:customStyle="1" w:styleId="393">
    <w:name w:val="Char Char1 Char Char Char Char Char Char Char Char Char Char Char Char Char Char"/>
    <w:link w:val="394"/>
    <w:qFormat/>
    <w:uiPriority w:val="0"/>
    <w:rPr>
      <w:rFonts w:ascii="Times New Roman" w:hAnsi="Times New Roman"/>
    </w:rPr>
  </w:style>
  <w:style w:type="paragraph" w:customStyle="1" w:styleId="394">
    <w:name w:val="Char Char1 Char Char Char Char Char Char Char Char Char Char Char Char1"/>
    <w:basedOn w:val="1"/>
    <w:link w:val="393"/>
    <w:qFormat/>
    <w:uiPriority w:val="0"/>
    <w:pPr>
      <w:widowControl w:val="0"/>
    </w:pPr>
    <w:rPr>
      <w:rFonts w:ascii="Times New Roman" w:hAnsi="Times New Roman" w:cs="Times New Roman"/>
      <w:sz w:val="20"/>
      <w:szCs w:val="20"/>
    </w:rPr>
  </w:style>
  <w:style w:type="character" w:customStyle="1" w:styleId="395">
    <w:name w:val="Char Char8"/>
    <w:qFormat/>
    <w:uiPriority w:val="0"/>
    <w:rPr>
      <w:rFonts w:hint="eastAsia" w:ascii="黑体" w:eastAsia="黑体"/>
      <w:kern w:val="2"/>
      <w:sz w:val="24"/>
      <w:szCs w:val="24"/>
      <w:lang w:val="en-US" w:eastAsia="zh-CN" w:bidi="ar-SA"/>
    </w:rPr>
  </w:style>
  <w:style w:type="character" w:customStyle="1" w:styleId="396">
    <w:name w:val="表内正文 Char Char"/>
    <w:qFormat/>
    <w:uiPriority w:val="0"/>
    <w:rPr>
      <w:rFonts w:ascii="仿宋_GB2312" w:eastAsia="仿宋_GB2312"/>
      <w:kern w:val="2"/>
      <w:sz w:val="21"/>
      <w:szCs w:val="24"/>
      <w:lang w:val="en-US" w:eastAsia="zh-CN" w:bidi="ar-SA"/>
    </w:rPr>
  </w:style>
  <w:style w:type="character" w:customStyle="1" w:styleId="397">
    <w:name w:val="正文 Char"/>
    <w:qFormat/>
    <w:uiPriority w:val="0"/>
    <w:rPr>
      <w:rFonts w:ascii="Times New Roman" w:hAnsi="Times New Roman" w:eastAsia="宋体" w:cs="Times New Roman"/>
      <w:snapToGrid w:val="0"/>
      <w:kern w:val="0"/>
      <w:sz w:val="24"/>
      <w:szCs w:val="24"/>
    </w:rPr>
  </w:style>
  <w:style w:type="character" w:customStyle="1" w:styleId="398">
    <w:name w:val="样式1 Char Char Char Char Char Char Char"/>
    <w:link w:val="399"/>
    <w:semiHidden/>
    <w:qFormat/>
    <w:uiPriority w:val="0"/>
    <w:rPr>
      <w:rFonts w:ascii="Times New Roman" w:hAnsi="Times New Roman" w:eastAsia="仿宋_GB2312"/>
      <w:spacing w:val="-20"/>
      <w:sz w:val="18"/>
      <w:szCs w:val="24"/>
    </w:rPr>
  </w:style>
  <w:style w:type="paragraph" w:customStyle="1" w:styleId="399">
    <w:name w:val="样式1 Char Char Char Char Char"/>
    <w:basedOn w:val="1"/>
    <w:link w:val="398"/>
    <w:semiHidden/>
    <w:qFormat/>
    <w:uiPriority w:val="0"/>
    <w:pPr>
      <w:widowControl w:val="0"/>
      <w:jc w:val="center"/>
    </w:pPr>
    <w:rPr>
      <w:rFonts w:ascii="Times New Roman" w:hAnsi="Times New Roman" w:eastAsia="仿宋_GB2312" w:cs="Times New Roman"/>
      <w:spacing w:val="-20"/>
      <w:sz w:val="18"/>
    </w:rPr>
  </w:style>
  <w:style w:type="character" w:customStyle="1" w:styleId="400">
    <w:name w:val="目标题 1) Char1"/>
    <w:qFormat/>
    <w:uiPriority w:val="0"/>
    <w:rPr>
      <w:rFonts w:ascii="Arial" w:hAnsi="Arial" w:eastAsia="黑体"/>
      <w:color w:val="000000"/>
      <w:kern w:val="28"/>
      <w:sz w:val="24"/>
    </w:rPr>
  </w:style>
  <w:style w:type="character" w:customStyle="1" w:styleId="401">
    <w:name w:val="图表标题 Char Char"/>
    <w:link w:val="402"/>
    <w:qFormat/>
    <w:uiPriority w:val="0"/>
    <w:rPr>
      <w:rFonts w:ascii="黑体" w:hAnsi="Times New Roman" w:eastAsia="黑体"/>
      <w:b/>
      <w:color w:val="000000"/>
      <w:sz w:val="24"/>
      <w:szCs w:val="21"/>
    </w:rPr>
  </w:style>
  <w:style w:type="paragraph" w:customStyle="1" w:styleId="402">
    <w:name w:val="图表标题"/>
    <w:basedOn w:val="1"/>
    <w:link w:val="401"/>
    <w:qFormat/>
    <w:uiPriority w:val="0"/>
    <w:pPr>
      <w:widowControl w:val="0"/>
      <w:adjustRightInd w:val="0"/>
      <w:snapToGrid w:val="0"/>
      <w:spacing w:line="360" w:lineRule="auto"/>
      <w:jc w:val="center"/>
    </w:pPr>
    <w:rPr>
      <w:rFonts w:ascii="黑体" w:hAnsi="Times New Roman" w:eastAsia="黑体" w:cs="Times New Roman"/>
      <w:b/>
      <w:color w:val="000000"/>
      <w:szCs w:val="21"/>
    </w:rPr>
  </w:style>
  <w:style w:type="character" w:customStyle="1" w:styleId="403">
    <w:name w:val="正文文本 2 Char2"/>
    <w:semiHidden/>
    <w:qFormat/>
    <w:uiPriority w:val="99"/>
    <w:rPr>
      <w:rFonts w:ascii="Calibri" w:hAnsi="Calibri" w:eastAsia="宋体" w:cs="Times New Roman"/>
    </w:rPr>
  </w:style>
  <w:style w:type="character" w:customStyle="1" w:styleId="404">
    <w:name w:val="规划正文样式 Char Char"/>
    <w:qFormat/>
    <w:uiPriority w:val="0"/>
    <w:rPr>
      <w:rFonts w:eastAsia="宋体"/>
      <w:kern w:val="2"/>
      <w:sz w:val="24"/>
      <w:szCs w:val="24"/>
      <w:lang w:val="en-US" w:eastAsia="zh-CN" w:bidi="ar-SA"/>
    </w:rPr>
  </w:style>
  <w:style w:type="character" w:customStyle="1" w:styleId="405">
    <w:name w:val="注释标题 Char Char"/>
    <w:qFormat/>
    <w:uiPriority w:val="0"/>
    <w:rPr>
      <w:rFonts w:ascii="Times New Roman" w:hAnsi="Times New Roman" w:eastAsia="宋体" w:cs="Times New Roman"/>
      <w:szCs w:val="20"/>
    </w:rPr>
  </w:style>
  <w:style w:type="character" w:customStyle="1" w:styleId="406">
    <w:name w:val="航标 Char Char"/>
    <w:link w:val="407"/>
    <w:qFormat/>
    <w:uiPriority w:val="0"/>
    <w:rPr>
      <w:rFonts w:ascii="仿宋_GB2312" w:hAnsi="Times New Roman" w:eastAsia="仿宋_GB2312"/>
      <w:b/>
      <w:color w:val="000000"/>
      <w:sz w:val="28"/>
    </w:rPr>
  </w:style>
  <w:style w:type="paragraph" w:customStyle="1" w:styleId="407">
    <w:name w:val="航标"/>
    <w:basedOn w:val="1"/>
    <w:next w:val="1"/>
    <w:link w:val="406"/>
    <w:qFormat/>
    <w:uiPriority w:val="0"/>
    <w:pPr>
      <w:widowControl w:val="0"/>
      <w:topLinePunct/>
      <w:spacing w:line="486" w:lineRule="exact"/>
      <w:ind w:firstLine="200" w:firstLineChars="200"/>
    </w:pPr>
    <w:rPr>
      <w:rFonts w:ascii="仿宋_GB2312" w:hAnsi="Times New Roman" w:eastAsia="仿宋_GB2312" w:cs="Times New Roman"/>
      <w:b/>
      <w:color w:val="000000"/>
      <w:sz w:val="28"/>
      <w:szCs w:val="20"/>
    </w:rPr>
  </w:style>
  <w:style w:type="character" w:customStyle="1" w:styleId="408">
    <w:name w:val="表格内容1 Char Char1"/>
    <w:qFormat/>
    <w:uiPriority w:val="0"/>
    <w:rPr>
      <w:rFonts w:eastAsia="宋体"/>
      <w:kern w:val="24"/>
      <w:sz w:val="21"/>
      <w:szCs w:val="24"/>
      <w:lang w:val="en-US" w:eastAsia="zh-CN" w:bidi="ar-SA"/>
    </w:rPr>
  </w:style>
  <w:style w:type="character" w:customStyle="1" w:styleId="409">
    <w:name w:val="000 Char Char"/>
    <w:link w:val="410"/>
    <w:qFormat/>
    <w:uiPriority w:val="0"/>
    <w:rPr>
      <w:rFonts w:ascii="Times New Roman" w:hAnsi="Times New Roman"/>
      <w:sz w:val="24"/>
      <w:szCs w:val="24"/>
    </w:rPr>
  </w:style>
  <w:style w:type="paragraph" w:customStyle="1" w:styleId="410">
    <w:name w:val="000"/>
    <w:basedOn w:val="1"/>
    <w:link w:val="409"/>
    <w:qFormat/>
    <w:uiPriority w:val="0"/>
    <w:pPr>
      <w:widowControl w:val="0"/>
      <w:spacing w:line="360" w:lineRule="auto"/>
      <w:ind w:firstLine="200" w:firstLineChars="200"/>
      <w:jc w:val="both"/>
    </w:pPr>
    <w:rPr>
      <w:rFonts w:ascii="Times New Roman" w:hAnsi="Times New Roman" w:cs="Times New Roman"/>
    </w:rPr>
  </w:style>
  <w:style w:type="character" w:customStyle="1" w:styleId="411">
    <w:name w:val="正文首行缩进 Char2"/>
    <w:qFormat/>
    <w:uiPriority w:val="0"/>
    <w:rPr>
      <w:rFonts w:ascii="Times New Roman" w:hAnsi="Times New Roman" w:eastAsia="宋体" w:cs="Times New Roman"/>
      <w:kern w:val="0"/>
      <w:sz w:val="28"/>
      <w:szCs w:val="20"/>
    </w:rPr>
  </w:style>
  <w:style w:type="character" w:customStyle="1" w:styleId="412">
    <w:name w:val="Char Char"/>
    <w:qFormat/>
    <w:uiPriority w:val="0"/>
    <w:rPr>
      <w:rFonts w:eastAsia="黑体"/>
      <w:b/>
      <w:snapToGrid w:val="0"/>
      <w:sz w:val="24"/>
      <w:szCs w:val="32"/>
      <w:lang w:val="en-US" w:eastAsia="zh-CN" w:bidi="ar-SA"/>
    </w:rPr>
  </w:style>
  <w:style w:type="character" w:customStyle="1" w:styleId="413">
    <w:name w:val="公式说明 Char"/>
    <w:link w:val="414"/>
    <w:qFormat/>
    <w:uiPriority w:val="0"/>
    <w:rPr>
      <w:rFonts w:ascii="Times New Roman" w:hAnsi="Times New Roman" w:eastAsia="仿宋_GB2312"/>
      <w:sz w:val="32"/>
    </w:rPr>
  </w:style>
  <w:style w:type="paragraph" w:customStyle="1" w:styleId="414">
    <w:name w:val="公式说明"/>
    <w:basedOn w:val="1"/>
    <w:link w:val="413"/>
    <w:qFormat/>
    <w:uiPriority w:val="0"/>
    <w:pPr>
      <w:widowControl w:val="0"/>
      <w:tabs>
        <w:tab w:val="left" w:pos="1920"/>
      </w:tabs>
      <w:adjustRightInd w:val="0"/>
      <w:snapToGrid w:val="0"/>
      <w:spacing w:line="620" w:lineRule="exact"/>
      <w:ind w:firstLine="200" w:firstLineChars="200"/>
      <w:jc w:val="both"/>
    </w:pPr>
    <w:rPr>
      <w:rFonts w:ascii="Times New Roman" w:hAnsi="Times New Roman" w:eastAsia="仿宋_GB2312" w:cs="Times New Roman"/>
      <w:sz w:val="32"/>
      <w:szCs w:val="20"/>
    </w:rPr>
  </w:style>
  <w:style w:type="character" w:customStyle="1" w:styleId="415">
    <w:name w:val="正文文字缩进 31 Char Char"/>
    <w:qFormat/>
    <w:uiPriority w:val="0"/>
    <w:rPr>
      <w:rFonts w:eastAsia="宋体"/>
      <w:kern w:val="2"/>
      <w:sz w:val="16"/>
      <w:szCs w:val="16"/>
      <w:lang w:val="en-US" w:eastAsia="zh-CN" w:bidi="ar-SA"/>
    </w:rPr>
  </w:style>
  <w:style w:type="character" w:customStyle="1" w:styleId="416">
    <w:name w:val="正文1 Char Char Char Char"/>
    <w:qFormat/>
    <w:uiPriority w:val="0"/>
    <w:rPr>
      <w:rFonts w:ascii="仿宋_GB2312" w:hAnsi="Times New Roman" w:eastAsia="仿宋_GB2312" w:cs="Times New Roman"/>
      <w:sz w:val="28"/>
      <w:szCs w:val="28"/>
    </w:rPr>
  </w:style>
  <w:style w:type="character" w:customStyle="1" w:styleId="417">
    <w:name w:val="sidecatalog-index2"/>
    <w:qFormat/>
    <w:uiPriority w:val="0"/>
    <w:rPr>
      <w:rFonts w:ascii="Arail" w:hAnsi="Arail" w:eastAsia="Arail" w:cs="Arail"/>
      <w:color w:val="999999"/>
      <w:sz w:val="21"/>
      <w:szCs w:val="21"/>
    </w:rPr>
  </w:style>
  <w:style w:type="character" w:customStyle="1" w:styleId="418">
    <w:name w:val="style51"/>
    <w:qFormat/>
    <w:uiPriority w:val="0"/>
    <w:rPr>
      <w:b/>
      <w:bCs/>
      <w:color w:val="990000"/>
      <w:sz w:val="21"/>
      <w:szCs w:val="21"/>
    </w:rPr>
  </w:style>
  <w:style w:type="character" w:customStyle="1" w:styleId="419">
    <w:name w:val="A4"/>
    <w:qFormat/>
    <w:uiPriority w:val="0"/>
    <w:rPr>
      <w:rFonts w:ascii="新宋体" w:eastAsia="新宋体" w:cs="新宋体"/>
      <w:color w:val="000000"/>
      <w:sz w:val="28"/>
      <w:szCs w:val="28"/>
    </w:rPr>
  </w:style>
  <w:style w:type="character" w:customStyle="1" w:styleId="420">
    <w:name w:val="脚注文本 Char1"/>
    <w:qFormat/>
    <w:uiPriority w:val="99"/>
    <w:rPr>
      <w:rFonts w:ascii="Calibri" w:hAnsi="Calibri" w:eastAsia="宋体" w:cs="Times New Roman"/>
      <w:sz w:val="18"/>
      <w:szCs w:val="18"/>
    </w:rPr>
  </w:style>
  <w:style w:type="character" w:customStyle="1" w:styleId="421">
    <w:name w:val="正文-------- Char Char"/>
    <w:link w:val="422"/>
    <w:qFormat/>
    <w:uiPriority w:val="0"/>
    <w:rPr>
      <w:sz w:val="24"/>
    </w:rPr>
  </w:style>
  <w:style w:type="paragraph" w:customStyle="1" w:styleId="422">
    <w:name w:val="正文--------"/>
    <w:basedOn w:val="1"/>
    <w:link w:val="421"/>
    <w:qFormat/>
    <w:uiPriority w:val="0"/>
    <w:pPr>
      <w:widowControl w:val="0"/>
      <w:spacing w:line="460" w:lineRule="exact"/>
      <w:ind w:firstLine="480" w:firstLineChars="200"/>
    </w:pPr>
    <w:rPr>
      <w:rFonts w:ascii="Calibri" w:hAnsi="Calibri" w:cs="Times New Roman"/>
      <w:szCs w:val="20"/>
    </w:rPr>
  </w:style>
  <w:style w:type="character" w:customStyle="1" w:styleId="423">
    <w:name w:val="正文 + 宋体 Char"/>
    <w:link w:val="424"/>
    <w:qFormat/>
    <w:uiPriority w:val="0"/>
    <w:rPr>
      <w:rFonts w:ascii="宋体" w:hAnsi="宋体" w:cs="宋体"/>
      <w:b/>
      <w:szCs w:val="24"/>
    </w:rPr>
  </w:style>
  <w:style w:type="paragraph" w:customStyle="1" w:styleId="424">
    <w:name w:val="正文 + 宋体"/>
    <w:basedOn w:val="79"/>
    <w:link w:val="423"/>
    <w:qFormat/>
    <w:uiPriority w:val="0"/>
    <w:pPr>
      <w:widowControl w:val="0"/>
      <w:spacing w:after="0" w:line="360" w:lineRule="auto"/>
      <w:ind w:firstLine="200" w:firstLineChars="200"/>
    </w:pPr>
    <w:rPr>
      <w:b/>
      <w:szCs w:val="24"/>
    </w:rPr>
  </w:style>
  <w:style w:type="character" w:customStyle="1" w:styleId="425">
    <w:name w:val="headline-content2"/>
    <w:qFormat/>
    <w:uiPriority w:val="0"/>
  </w:style>
  <w:style w:type="character" w:customStyle="1" w:styleId="426">
    <w:name w:val="3级标题 Char"/>
    <w:link w:val="427"/>
    <w:qFormat/>
    <w:locked/>
    <w:uiPriority w:val="0"/>
    <w:rPr>
      <w:rFonts w:ascii="黑体" w:hAnsi="宋体" w:eastAsia="黑体" w:cs="Arial"/>
      <w:bCs/>
      <w:color w:val="000000"/>
      <w:sz w:val="24"/>
    </w:rPr>
  </w:style>
  <w:style w:type="paragraph" w:customStyle="1" w:styleId="427">
    <w:name w:val="3级标题"/>
    <w:basedOn w:val="7"/>
    <w:next w:val="164"/>
    <w:link w:val="426"/>
    <w:qFormat/>
    <w:uiPriority w:val="0"/>
    <w:pPr>
      <w:tabs>
        <w:tab w:val="left" w:pos="1021"/>
      </w:tabs>
    </w:pPr>
    <w:rPr>
      <w:rFonts w:ascii="黑体" w:hAnsi="宋体" w:cs="Arial"/>
      <w:color w:val="000000"/>
      <w:sz w:val="24"/>
      <w:szCs w:val="20"/>
    </w:rPr>
  </w:style>
  <w:style w:type="character" w:customStyle="1" w:styleId="428">
    <w:name w:val="style9 style60"/>
    <w:qFormat/>
    <w:uiPriority w:val="0"/>
  </w:style>
  <w:style w:type="character" w:customStyle="1" w:styleId="429">
    <w:name w:val="style621"/>
    <w:qFormat/>
    <w:uiPriority w:val="0"/>
    <w:rPr>
      <w:color w:val="335150"/>
    </w:rPr>
  </w:style>
  <w:style w:type="character" w:customStyle="1" w:styleId="430">
    <w:name w:val="标题 Char3"/>
    <w:qFormat/>
    <w:locked/>
    <w:uiPriority w:val="99"/>
    <w:rPr>
      <w:rFonts w:ascii="Arial" w:hAnsi="Arial"/>
      <w:b/>
      <w:sz w:val="32"/>
    </w:rPr>
  </w:style>
  <w:style w:type="character" w:customStyle="1" w:styleId="431">
    <w:name w:val="正文文本 (2) + 10 pt7"/>
    <w:qFormat/>
    <w:uiPriority w:val="99"/>
    <w:rPr>
      <w:rFonts w:ascii="MingLiU" w:eastAsia="MingLiU" w:cs="MingLiU"/>
      <w:spacing w:val="110"/>
      <w:sz w:val="20"/>
      <w:szCs w:val="20"/>
      <w:u w:val="none"/>
      <w:shd w:val="clear" w:color="auto" w:fill="FFFFFF"/>
    </w:rPr>
  </w:style>
  <w:style w:type="character" w:customStyle="1" w:styleId="432">
    <w:name w:val="表格1 Char Char Char"/>
    <w:link w:val="433"/>
    <w:qFormat/>
    <w:uiPriority w:val="0"/>
    <w:rPr>
      <w:rFonts w:ascii="宋体" w:hAnsi="宋体" w:eastAsia="仿宋_GB2312"/>
      <w:szCs w:val="24"/>
    </w:rPr>
  </w:style>
  <w:style w:type="paragraph" w:customStyle="1" w:styleId="433">
    <w:name w:val="表格1"/>
    <w:basedOn w:val="1"/>
    <w:next w:val="32"/>
    <w:link w:val="432"/>
    <w:qFormat/>
    <w:uiPriority w:val="0"/>
    <w:pPr>
      <w:widowControl w:val="0"/>
      <w:topLinePunct/>
      <w:jc w:val="center"/>
    </w:pPr>
    <w:rPr>
      <w:rFonts w:eastAsia="仿宋_GB2312" w:cs="Times New Roman"/>
      <w:sz w:val="20"/>
    </w:rPr>
  </w:style>
  <w:style w:type="character" w:customStyle="1" w:styleId="434">
    <w:name w:val="报告表格内容 Char Char"/>
    <w:link w:val="435"/>
    <w:qFormat/>
    <w:uiPriority w:val="0"/>
    <w:rPr>
      <w:rFonts w:ascii="Times New Roman" w:hAnsi="Times New Roman"/>
    </w:rPr>
  </w:style>
  <w:style w:type="paragraph" w:customStyle="1" w:styleId="435">
    <w:name w:val="报告表格内容"/>
    <w:basedOn w:val="1"/>
    <w:next w:val="1"/>
    <w:link w:val="434"/>
    <w:qFormat/>
    <w:uiPriority w:val="0"/>
    <w:pPr>
      <w:widowControl w:val="0"/>
      <w:adjustRightInd w:val="0"/>
      <w:snapToGrid w:val="0"/>
      <w:jc w:val="center"/>
    </w:pPr>
    <w:rPr>
      <w:rFonts w:ascii="Times New Roman" w:hAnsi="Times New Roman" w:cs="Times New Roman"/>
      <w:sz w:val="20"/>
      <w:szCs w:val="20"/>
    </w:rPr>
  </w:style>
  <w:style w:type="character" w:customStyle="1" w:styleId="436">
    <w:name w:val="newbody1"/>
    <w:qFormat/>
    <w:uiPriority w:val="0"/>
    <w:rPr>
      <w:sz w:val="21"/>
      <w:szCs w:val="21"/>
    </w:rPr>
  </w:style>
  <w:style w:type="character" w:customStyle="1" w:styleId="437">
    <w:name w:val="正文 Char1 Char Char"/>
    <w:link w:val="438"/>
    <w:qFormat/>
    <w:uiPriority w:val="0"/>
    <w:rPr>
      <w:rFonts w:ascii="Times New Roman" w:hAnsi="Times New Roman"/>
      <w:bCs/>
      <w:color w:val="000000"/>
      <w:sz w:val="24"/>
      <w:szCs w:val="21"/>
    </w:rPr>
  </w:style>
  <w:style w:type="paragraph" w:customStyle="1" w:styleId="438">
    <w:name w:val="正文 Char1"/>
    <w:basedOn w:val="1"/>
    <w:link w:val="437"/>
    <w:qFormat/>
    <w:uiPriority w:val="0"/>
    <w:pPr>
      <w:widowControl w:val="0"/>
      <w:tabs>
        <w:tab w:val="left" w:pos="1834"/>
      </w:tabs>
      <w:adjustRightInd w:val="0"/>
      <w:snapToGrid w:val="0"/>
      <w:spacing w:beforeLines="50" w:afterLines="50" w:line="360" w:lineRule="exact"/>
      <w:ind w:firstLine="480"/>
      <w:jc w:val="both"/>
      <w:textAlignment w:val="baseline"/>
    </w:pPr>
    <w:rPr>
      <w:rFonts w:ascii="Times New Roman" w:hAnsi="Times New Roman" w:cs="Times New Roman"/>
      <w:bCs/>
      <w:color w:val="000000"/>
      <w:szCs w:val="21"/>
    </w:rPr>
  </w:style>
  <w:style w:type="character" w:customStyle="1" w:styleId="439">
    <w:name w:val="正文文本 (2)_"/>
    <w:link w:val="440"/>
    <w:qFormat/>
    <w:uiPriority w:val="99"/>
    <w:rPr>
      <w:rFonts w:ascii="MingLiU" w:eastAsia="MingLiU" w:cs="MingLiU"/>
      <w:sz w:val="26"/>
      <w:szCs w:val="26"/>
      <w:shd w:val="clear" w:color="auto" w:fill="FFFFFF"/>
    </w:rPr>
  </w:style>
  <w:style w:type="paragraph" w:customStyle="1" w:styleId="440">
    <w:name w:val="正文文本 (2)1"/>
    <w:basedOn w:val="1"/>
    <w:link w:val="439"/>
    <w:qFormat/>
    <w:uiPriority w:val="99"/>
    <w:pPr>
      <w:widowControl w:val="0"/>
      <w:shd w:val="clear" w:color="auto" w:fill="FFFFFF"/>
      <w:spacing w:line="240" w:lineRule="atLeast"/>
      <w:ind w:hanging="160"/>
    </w:pPr>
    <w:rPr>
      <w:rFonts w:ascii="MingLiU" w:hAnsi="Calibri" w:eastAsia="MingLiU" w:cs="MingLiU"/>
      <w:sz w:val="26"/>
      <w:szCs w:val="26"/>
    </w:rPr>
  </w:style>
  <w:style w:type="character" w:customStyle="1" w:styleId="441">
    <w:name w:val="德胜正文 Char Char"/>
    <w:link w:val="442"/>
    <w:qFormat/>
    <w:uiPriority w:val="0"/>
    <w:rPr>
      <w:snapToGrid w:val="0"/>
      <w:color w:val="0000FF"/>
      <w:sz w:val="24"/>
      <w:szCs w:val="24"/>
    </w:rPr>
  </w:style>
  <w:style w:type="paragraph" w:customStyle="1" w:styleId="442">
    <w:name w:val="德胜正文"/>
    <w:basedOn w:val="1"/>
    <w:link w:val="441"/>
    <w:qFormat/>
    <w:uiPriority w:val="0"/>
    <w:pPr>
      <w:widowControl w:val="0"/>
      <w:adjustRightInd w:val="0"/>
      <w:snapToGrid w:val="0"/>
      <w:spacing w:line="360" w:lineRule="auto"/>
      <w:ind w:firstLine="200" w:firstLineChars="200"/>
      <w:jc w:val="both"/>
    </w:pPr>
    <w:rPr>
      <w:rFonts w:ascii="Calibri" w:hAnsi="Calibri" w:cs="Times New Roman"/>
      <w:snapToGrid w:val="0"/>
      <w:color w:val="0000FF"/>
    </w:rPr>
  </w:style>
  <w:style w:type="character" w:customStyle="1" w:styleId="443">
    <w:name w:val="正文文本 Char2"/>
    <w:semiHidden/>
    <w:qFormat/>
    <w:uiPriority w:val="0"/>
    <w:rPr>
      <w:rFonts w:ascii="Times New Roman" w:hAnsi="Times New Roman" w:eastAsia="宋体" w:cs="Times New Roman"/>
      <w:szCs w:val="24"/>
    </w:rPr>
  </w:style>
  <w:style w:type="character" w:customStyle="1" w:styleId="444">
    <w:name w:val="标题1"/>
    <w:qFormat/>
    <w:uiPriority w:val="0"/>
  </w:style>
  <w:style w:type="character" w:customStyle="1" w:styleId="445">
    <w:name w:val="副标题 Char2"/>
    <w:qFormat/>
    <w:locked/>
    <w:uiPriority w:val="11"/>
    <w:rPr>
      <w:rFonts w:ascii="Arial" w:hAnsi="Arial" w:eastAsia="仿宋_GB2312"/>
      <w:b/>
      <w:bCs/>
      <w:kern w:val="28"/>
      <w:sz w:val="32"/>
      <w:szCs w:val="32"/>
    </w:rPr>
  </w:style>
  <w:style w:type="character" w:customStyle="1" w:styleId="446">
    <w:name w:val="文章正文 Char Char"/>
    <w:link w:val="447"/>
    <w:qFormat/>
    <w:uiPriority w:val="0"/>
    <w:rPr>
      <w:rFonts w:hAnsi="宋体"/>
      <w:kern w:val="2"/>
      <w:sz w:val="24"/>
      <w:szCs w:val="24"/>
    </w:rPr>
  </w:style>
  <w:style w:type="paragraph" w:customStyle="1" w:styleId="447">
    <w:name w:val="文章正文"/>
    <w:basedOn w:val="1"/>
    <w:link w:val="446"/>
    <w:qFormat/>
    <w:uiPriority w:val="0"/>
    <w:pPr>
      <w:widowControl w:val="0"/>
      <w:spacing w:line="360" w:lineRule="auto"/>
      <w:jc w:val="both"/>
    </w:pPr>
    <w:rPr>
      <w:rFonts w:ascii="Calibri" w:cs="Times New Roman"/>
      <w:kern w:val="2"/>
    </w:rPr>
  </w:style>
  <w:style w:type="character" w:customStyle="1" w:styleId="448">
    <w:name w:val="表格 Char2"/>
    <w:qFormat/>
    <w:uiPriority w:val="0"/>
    <w:rPr>
      <w:kern w:val="2"/>
      <w:sz w:val="21"/>
      <w:szCs w:val="21"/>
    </w:rPr>
  </w:style>
  <w:style w:type="character" w:customStyle="1" w:styleId="449">
    <w:name w:val="Char Char241"/>
    <w:qFormat/>
    <w:uiPriority w:val="0"/>
    <w:rPr>
      <w:b/>
      <w:kern w:val="44"/>
      <w:sz w:val="44"/>
    </w:rPr>
  </w:style>
  <w:style w:type="character" w:customStyle="1" w:styleId="450">
    <w:name w:val="正文(首行缩进) Char Char"/>
    <w:link w:val="451"/>
    <w:qFormat/>
    <w:uiPriority w:val="0"/>
    <w:rPr>
      <w:snapToGrid w:val="0"/>
      <w:sz w:val="24"/>
      <w:szCs w:val="24"/>
    </w:rPr>
  </w:style>
  <w:style w:type="paragraph" w:customStyle="1" w:styleId="451">
    <w:name w:val="正文(首行缩进)"/>
    <w:basedOn w:val="1"/>
    <w:link w:val="450"/>
    <w:qFormat/>
    <w:uiPriority w:val="0"/>
    <w:pPr>
      <w:widowControl w:val="0"/>
      <w:tabs>
        <w:tab w:val="left" w:pos="4584"/>
      </w:tabs>
      <w:adjustRightInd w:val="0"/>
      <w:snapToGrid w:val="0"/>
      <w:jc w:val="center"/>
    </w:pPr>
    <w:rPr>
      <w:rFonts w:ascii="Calibri" w:hAnsi="Calibri" w:cs="Times New Roman"/>
      <w:snapToGrid w:val="0"/>
    </w:rPr>
  </w:style>
  <w:style w:type="character" w:customStyle="1" w:styleId="452">
    <w:name w:val="页脚 Char1"/>
    <w:qFormat/>
    <w:uiPriority w:val="0"/>
    <w:rPr>
      <w:rFonts w:ascii="Calibri" w:hAnsi="Calibri" w:eastAsia="宋体" w:cs="Times New Roman"/>
      <w:sz w:val="18"/>
      <w:szCs w:val="18"/>
    </w:rPr>
  </w:style>
  <w:style w:type="character" w:customStyle="1" w:styleId="453">
    <w:name w:val="样式 表格内容1 + Char"/>
    <w:qFormat/>
    <w:uiPriority w:val="0"/>
    <w:rPr>
      <w:rFonts w:ascii="仿宋" w:hAnsi="仿宋" w:eastAsia="仿宋"/>
      <w:kern w:val="2"/>
      <w:sz w:val="21"/>
      <w:szCs w:val="24"/>
      <w:lang w:val="en-US" w:eastAsia="zh-CN"/>
    </w:rPr>
  </w:style>
  <w:style w:type="character" w:customStyle="1" w:styleId="454">
    <w:name w:val="sidecatalog-dot"/>
    <w:qFormat/>
    <w:uiPriority w:val="0"/>
  </w:style>
  <w:style w:type="character" w:customStyle="1" w:styleId="455">
    <w:name w:val="正文文本 Char"/>
    <w:qFormat/>
    <w:uiPriority w:val="99"/>
    <w:rPr>
      <w:rFonts w:ascii="Times New Roman" w:hAnsi="Times New Roman" w:eastAsia="宋体" w:cs="Times New Roman"/>
      <w:szCs w:val="24"/>
    </w:rPr>
  </w:style>
  <w:style w:type="character" w:customStyle="1" w:styleId="456">
    <w:name w:val="sidecatalog-dot5"/>
    <w:qFormat/>
    <w:uiPriority w:val="0"/>
  </w:style>
  <w:style w:type="character" w:customStyle="1" w:styleId="457">
    <w:name w:val="z-窗体底端 Char1"/>
    <w:semiHidden/>
    <w:qFormat/>
    <w:uiPriority w:val="99"/>
    <w:rPr>
      <w:rFonts w:ascii="Arial" w:hAnsi="Arial" w:eastAsia="宋体" w:cs="Arial"/>
      <w:vanish/>
      <w:sz w:val="16"/>
      <w:szCs w:val="16"/>
    </w:rPr>
  </w:style>
  <w:style w:type="character" w:customStyle="1" w:styleId="458">
    <w:name w:val="Char Char6"/>
    <w:qFormat/>
    <w:uiPriority w:val="0"/>
    <w:rPr>
      <w:rFonts w:hint="default" w:ascii="Times New Roman" w:hAnsi="Times New Roman" w:eastAsia="宋体" w:cs="Times New Roman"/>
      <w:szCs w:val="20"/>
      <w:shd w:val="clear" w:color="auto" w:fill="000080"/>
    </w:rPr>
  </w:style>
  <w:style w:type="character" w:customStyle="1" w:styleId="459">
    <w:name w:val="正文小四首缩1.3行距 Char Char"/>
    <w:link w:val="460"/>
    <w:qFormat/>
    <w:uiPriority w:val="0"/>
    <w:rPr>
      <w:rFonts w:ascii="Times New Roman" w:hAnsi="Times New Roman"/>
      <w:sz w:val="24"/>
      <w:szCs w:val="24"/>
    </w:rPr>
  </w:style>
  <w:style w:type="paragraph" w:customStyle="1" w:styleId="460">
    <w:name w:val="正文小四首缩1.3行距"/>
    <w:basedOn w:val="1"/>
    <w:link w:val="459"/>
    <w:qFormat/>
    <w:uiPriority w:val="0"/>
    <w:pPr>
      <w:widowControl w:val="0"/>
      <w:spacing w:line="312" w:lineRule="auto"/>
      <w:ind w:firstLine="420" w:firstLineChars="200"/>
      <w:jc w:val="both"/>
    </w:pPr>
    <w:rPr>
      <w:rFonts w:ascii="Times New Roman" w:hAnsi="Times New Roman" w:cs="Times New Roman"/>
    </w:rPr>
  </w:style>
  <w:style w:type="character" w:customStyle="1" w:styleId="461">
    <w:name w:val="表格内容-小五（OPCC宋体） Char Char"/>
    <w:link w:val="462"/>
    <w:qFormat/>
    <w:uiPriority w:val="0"/>
    <w:rPr>
      <w:rFonts w:ascii="Times New Roman" w:hAnsi="Times New Roman" w:eastAsia="仿宋_GB2312" w:cs="宋体"/>
      <w:sz w:val="18"/>
      <w:szCs w:val="18"/>
    </w:rPr>
  </w:style>
  <w:style w:type="paragraph" w:customStyle="1" w:styleId="462">
    <w:name w:val="表格内容-小五（OPCC宋体）"/>
    <w:basedOn w:val="1"/>
    <w:link w:val="461"/>
    <w:qFormat/>
    <w:uiPriority w:val="0"/>
    <w:pPr>
      <w:widowControl w:val="0"/>
      <w:jc w:val="center"/>
    </w:pPr>
    <w:rPr>
      <w:rFonts w:ascii="Times New Roman" w:hAnsi="Times New Roman" w:eastAsia="仿宋_GB2312"/>
      <w:sz w:val="18"/>
      <w:szCs w:val="18"/>
    </w:rPr>
  </w:style>
  <w:style w:type="character" w:customStyle="1" w:styleId="463">
    <w:name w:val="desc"/>
    <w:qFormat/>
    <w:uiPriority w:val="0"/>
    <w:rPr>
      <w:color w:val="000000"/>
      <w:sz w:val="18"/>
      <w:szCs w:val="18"/>
    </w:rPr>
  </w:style>
  <w:style w:type="character" w:customStyle="1" w:styleId="464">
    <w:name w:val="样式3 Char Char"/>
    <w:link w:val="465"/>
    <w:qFormat/>
    <w:uiPriority w:val="0"/>
    <w:rPr>
      <w:rFonts w:ascii="Times New Roman" w:hAnsi="Times New Roman"/>
      <w:sz w:val="24"/>
    </w:rPr>
  </w:style>
  <w:style w:type="paragraph" w:customStyle="1" w:styleId="465">
    <w:name w:val="样式3"/>
    <w:basedOn w:val="6"/>
    <w:link w:val="464"/>
    <w:qFormat/>
    <w:uiPriority w:val="0"/>
    <w:pPr>
      <w:widowControl w:val="0"/>
      <w:adjustRightInd w:val="0"/>
      <w:snapToGrid w:val="0"/>
      <w:spacing w:line="360" w:lineRule="auto"/>
      <w:ind w:firstLine="420"/>
      <w:textAlignment w:val="baseline"/>
    </w:pPr>
    <w:rPr>
      <w:rFonts w:ascii="Times New Roman" w:hAnsi="Times New Roman"/>
      <w:sz w:val="24"/>
    </w:rPr>
  </w:style>
  <w:style w:type="character" w:customStyle="1" w:styleId="466">
    <w:name w:val="bb1"/>
    <w:qFormat/>
    <w:uiPriority w:val="0"/>
    <w:rPr>
      <w:sz w:val="23"/>
      <w:szCs w:val="23"/>
    </w:rPr>
  </w:style>
  <w:style w:type="character" w:customStyle="1" w:styleId="467">
    <w:name w:val="表正文 Char1 Char Char"/>
    <w:qFormat/>
    <w:uiPriority w:val="0"/>
    <w:rPr>
      <w:rFonts w:eastAsia="宋体"/>
      <w:sz w:val="28"/>
      <w:lang w:val="en-US" w:eastAsia="zh-CN" w:bidi="ar-SA"/>
    </w:rPr>
  </w:style>
  <w:style w:type="character" w:customStyle="1" w:styleId="468">
    <w:name w:val="图表标题wj Char Char"/>
    <w:link w:val="469"/>
    <w:qFormat/>
    <w:uiPriority w:val="0"/>
    <w:rPr>
      <w:rFonts w:ascii="黑体" w:hAnsi="Times New Roman"/>
      <w:b/>
      <w:kern w:val="2"/>
      <w:sz w:val="24"/>
      <w:szCs w:val="24"/>
    </w:rPr>
  </w:style>
  <w:style w:type="paragraph" w:customStyle="1" w:styleId="469">
    <w:name w:val="图表标题wj"/>
    <w:link w:val="468"/>
    <w:qFormat/>
    <w:uiPriority w:val="0"/>
    <w:pPr>
      <w:adjustRightInd w:val="0"/>
      <w:snapToGrid w:val="0"/>
      <w:jc w:val="center"/>
    </w:pPr>
    <w:rPr>
      <w:rFonts w:ascii="黑体" w:hAnsi="Times New Roman" w:eastAsia="宋体" w:cs="Times New Roman"/>
      <w:b/>
      <w:kern w:val="2"/>
      <w:sz w:val="24"/>
      <w:szCs w:val="24"/>
      <w:lang w:val="en-US" w:eastAsia="zh-CN" w:bidi="ar-SA"/>
    </w:rPr>
  </w:style>
  <w:style w:type="character" w:customStyle="1" w:styleId="470">
    <w:name w:val="文档结构图 Char Char"/>
    <w:link w:val="471"/>
    <w:qFormat/>
    <w:uiPriority w:val="0"/>
    <w:rPr>
      <w:rFonts w:ascii="Times New Roman" w:hAnsi="Times New Roman" w:eastAsia="宋体" w:cs="Times New Roman"/>
      <w:szCs w:val="20"/>
      <w:shd w:val="clear" w:color="auto" w:fill="000080"/>
    </w:rPr>
  </w:style>
  <w:style w:type="paragraph" w:customStyle="1" w:styleId="471">
    <w:name w:val="文档结构图1"/>
    <w:basedOn w:val="1"/>
    <w:link w:val="470"/>
    <w:qFormat/>
    <w:uiPriority w:val="0"/>
    <w:pPr>
      <w:widowControl w:val="0"/>
      <w:jc w:val="both"/>
    </w:pPr>
    <w:rPr>
      <w:rFonts w:ascii="Times New Roman" w:hAnsi="Times New Roman" w:cs="Times New Roman"/>
      <w:sz w:val="20"/>
      <w:szCs w:val="20"/>
    </w:rPr>
  </w:style>
  <w:style w:type="character" w:customStyle="1" w:styleId="472">
    <w:name w:val="正文文本缩进 Char1"/>
    <w:qFormat/>
    <w:uiPriority w:val="99"/>
    <w:rPr>
      <w:rFonts w:ascii="Times New Roman" w:hAnsi="Times New Roman" w:eastAsia="宋体" w:cs="Times New Roman"/>
      <w:szCs w:val="24"/>
    </w:rPr>
  </w:style>
  <w:style w:type="character" w:customStyle="1" w:styleId="473">
    <w:name w:val="批注主题 Char1"/>
    <w:qFormat/>
    <w:uiPriority w:val="99"/>
    <w:rPr>
      <w:rFonts w:ascii="Times New Roman" w:hAnsi="Times New Roman" w:eastAsia="宋体" w:cs="Times New Roman"/>
      <w:b/>
      <w:bCs/>
      <w:szCs w:val="24"/>
    </w:rPr>
  </w:style>
  <w:style w:type="character" w:customStyle="1" w:styleId="474">
    <w:name w:val="f241"/>
    <w:qFormat/>
    <w:uiPriority w:val="0"/>
    <w:rPr>
      <w:sz w:val="36"/>
      <w:szCs w:val="36"/>
    </w:rPr>
  </w:style>
  <w:style w:type="character" w:customStyle="1" w:styleId="475">
    <w:name w:val="unnamed11"/>
    <w:qFormat/>
    <w:uiPriority w:val="0"/>
    <w:rPr>
      <w:color w:val="000000"/>
      <w:spacing w:val="450"/>
      <w:sz w:val="18"/>
      <w:szCs w:val="18"/>
    </w:rPr>
  </w:style>
  <w:style w:type="character" w:customStyle="1" w:styleId="476">
    <w:name w:val="项 Char Char"/>
    <w:qFormat/>
    <w:uiPriority w:val="0"/>
    <w:rPr>
      <w:rFonts w:ascii="Times New Roman" w:hAnsi="Times New Roman" w:eastAsia="宋体" w:cs="Times New Roman"/>
      <w:sz w:val="28"/>
      <w:szCs w:val="20"/>
    </w:rPr>
  </w:style>
  <w:style w:type="character" w:customStyle="1" w:styleId="477">
    <w:name w:val="德胜表头 Char Char"/>
    <w:link w:val="478"/>
    <w:qFormat/>
    <w:uiPriority w:val="0"/>
    <w:rPr>
      <w:b/>
      <w:snapToGrid w:val="0"/>
      <w:color w:val="0000FF"/>
      <w:sz w:val="24"/>
      <w:szCs w:val="24"/>
    </w:rPr>
  </w:style>
  <w:style w:type="paragraph" w:customStyle="1" w:styleId="478">
    <w:name w:val="德胜表头"/>
    <w:basedOn w:val="442"/>
    <w:link w:val="477"/>
    <w:qFormat/>
    <w:uiPriority w:val="0"/>
    <w:pPr>
      <w:spacing w:line="240" w:lineRule="auto"/>
      <w:ind w:firstLine="0" w:firstLineChars="0"/>
      <w:jc w:val="center"/>
    </w:pPr>
    <w:rPr>
      <w:b/>
    </w:rPr>
  </w:style>
  <w:style w:type="character" w:customStyle="1" w:styleId="479">
    <w:name w:val="p21"/>
    <w:qFormat/>
    <w:uiPriority w:val="0"/>
    <w:rPr>
      <w:rFonts w:hint="default"/>
      <w:color w:val="0000A0"/>
    </w:rPr>
  </w:style>
  <w:style w:type="character" w:customStyle="1" w:styleId="480">
    <w:name w:val="Char Char221"/>
    <w:qFormat/>
    <w:uiPriority w:val="0"/>
    <w:rPr>
      <w:rFonts w:eastAsia="宋体"/>
      <w:kern w:val="2"/>
      <w:sz w:val="24"/>
      <w:szCs w:val="24"/>
      <w:lang w:val="en-US" w:eastAsia="zh-CN" w:bidi="ar-SA"/>
    </w:rPr>
  </w:style>
  <w:style w:type="character" w:customStyle="1" w:styleId="481">
    <w:name w:val="标题 4 Char"/>
    <w:qFormat/>
    <w:uiPriority w:val="9"/>
    <w:rPr>
      <w:rFonts w:ascii="Cambria" w:hAnsi="Cambria" w:eastAsia="宋体" w:cs="Times New Roman"/>
      <w:b/>
      <w:bCs/>
      <w:sz w:val="28"/>
      <w:szCs w:val="28"/>
    </w:rPr>
  </w:style>
  <w:style w:type="character" w:customStyle="1" w:styleId="482">
    <w:name w:val="标题 2 Char"/>
    <w:qFormat/>
    <w:uiPriority w:val="0"/>
    <w:rPr>
      <w:rFonts w:ascii="Cambria" w:hAnsi="Cambria" w:eastAsia="宋体" w:cs="Times New Roman"/>
      <w:b/>
      <w:bCs/>
      <w:sz w:val="32"/>
      <w:szCs w:val="32"/>
    </w:rPr>
  </w:style>
  <w:style w:type="character" w:customStyle="1" w:styleId="483">
    <w:name w:val="large1"/>
    <w:qFormat/>
    <w:uiPriority w:val="0"/>
    <w:rPr>
      <w:sz w:val="28"/>
    </w:rPr>
  </w:style>
  <w:style w:type="character" w:customStyle="1" w:styleId="484">
    <w:name w:val="样式 表格内容1 + Char Char"/>
    <w:link w:val="485"/>
    <w:qFormat/>
    <w:uiPriority w:val="0"/>
    <w:rPr>
      <w:rFonts w:ascii="Times New Roman" w:hAnsi="Times New Roman"/>
      <w:kern w:val="24"/>
      <w:szCs w:val="24"/>
      <w:lang w:val="en-US" w:eastAsia="zh-CN"/>
    </w:rPr>
  </w:style>
  <w:style w:type="paragraph" w:customStyle="1" w:styleId="485">
    <w:name w:val="样式 表格内容1 +"/>
    <w:basedOn w:val="486"/>
    <w:link w:val="484"/>
    <w:qFormat/>
    <w:uiPriority w:val="0"/>
    <w:rPr>
      <w:rFonts w:ascii="Times New Roman" w:hAnsi="Times New Roman"/>
    </w:rPr>
  </w:style>
  <w:style w:type="paragraph" w:customStyle="1" w:styleId="486">
    <w:name w:val="表格内容1"/>
    <w:basedOn w:val="1"/>
    <w:link w:val="487"/>
    <w:qFormat/>
    <w:uiPriority w:val="0"/>
    <w:pPr>
      <w:widowControl w:val="0"/>
      <w:jc w:val="center"/>
    </w:pPr>
    <w:rPr>
      <w:rFonts w:ascii="Calibri" w:hAnsi="Calibri" w:cs="Times New Roman"/>
      <w:kern w:val="24"/>
      <w:sz w:val="20"/>
    </w:rPr>
  </w:style>
  <w:style w:type="character" w:customStyle="1" w:styleId="487">
    <w:name w:val="表格内容1 Char Char"/>
    <w:link w:val="486"/>
    <w:qFormat/>
    <w:uiPriority w:val="0"/>
    <w:rPr>
      <w:kern w:val="24"/>
      <w:szCs w:val="24"/>
    </w:rPr>
  </w:style>
  <w:style w:type="character" w:customStyle="1" w:styleId="488">
    <w:name w:val="bititle"/>
    <w:qFormat/>
    <w:uiPriority w:val="0"/>
  </w:style>
  <w:style w:type="character" w:customStyle="1" w:styleId="489">
    <w:name w:val="【表格注释】"/>
    <w:qFormat/>
    <w:uiPriority w:val="0"/>
    <w:rPr>
      <w:rFonts w:eastAsia="宋体" w:cs="宋体"/>
      <w:spacing w:val="16"/>
      <w:kern w:val="0"/>
      <w:sz w:val="21"/>
    </w:rPr>
  </w:style>
  <w:style w:type="character" w:customStyle="1" w:styleId="490">
    <w:name w:val="spelle"/>
    <w:qFormat/>
    <w:uiPriority w:val="0"/>
  </w:style>
  <w:style w:type="character" w:customStyle="1" w:styleId="491">
    <w:name w:val="javascript"/>
    <w:qFormat/>
    <w:uiPriority w:val="0"/>
  </w:style>
  <w:style w:type="character" w:customStyle="1" w:styleId="492">
    <w:name w:val="polysemyred"/>
    <w:qFormat/>
    <w:uiPriority w:val="0"/>
    <w:rPr>
      <w:color w:val="FF6666"/>
      <w:sz w:val="18"/>
      <w:szCs w:val="18"/>
    </w:rPr>
  </w:style>
  <w:style w:type="character" w:customStyle="1" w:styleId="493">
    <w:name w:val="text-8"/>
    <w:qFormat/>
    <w:uiPriority w:val="0"/>
  </w:style>
  <w:style w:type="character" w:customStyle="1" w:styleId="494">
    <w:name w:val="上标"/>
    <w:qFormat/>
    <w:uiPriority w:val="0"/>
    <w:rPr>
      <w:vertAlign w:val="superscript"/>
    </w:rPr>
  </w:style>
  <w:style w:type="character" w:customStyle="1" w:styleId="495">
    <w:name w:val="正文首行缩进 Char Char Char"/>
    <w:qFormat/>
    <w:uiPriority w:val="0"/>
    <w:rPr>
      <w:rFonts w:ascii="Times New Roman" w:hAnsi="Times New Roman" w:eastAsia="宋体" w:cs="Times New Roman"/>
      <w:szCs w:val="24"/>
    </w:rPr>
  </w:style>
  <w:style w:type="character" w:customStyle="1" w:styleId="496">
    <w:name w:val="Char Char14"/>
    <w:qFormat/>
    <w:uiPriority w:val="0"/>
    <w:rPr>
      <w:sz w:val="18"/>
      <w:szCs w:val="18"/>
    </w:rPr>
  </w:style>
  <w:style w:type="character" w:customStyle="1" w:styleId="497">
    <w:name w:val="正文---------------- Char Char"/>
    <w:link w:val="498"/>
    <w:qFormat/>
    <w:uiPriority w:val="0"/>
    <w:rPr>
      <w:spacing w:val="16"/>
      <w:sz w:val="24"/>
    </w:rPr>
  </w:style>
  <w:style w:type="paragraph" w:customStyle="1" w:styleId="498">
    <w:name w:val="正文----------------"/>
    <w:basedOn w:val="1"/>
    <w:link w:val="497"/>
    <w:qFormat/>
    <w:uiPriority w:val="0"/>
    <w:pPr>
      <w:widowControl w:val="0"/>
      <w:spacing w:line="440" w:lineRule="exact"/>
      <w:ind w:firstLine="544" w:firstLineChars="200"/>
      <w:jc w:val="both"/>
    </w:pPr>
    <w:rPr>
      <w:rFonts w:ascii="Calibri" w:hAnsi="Calibri" w:cs="Times New Roman"/>
      <w:spacing w:val="16"/>
      <w:szCs w:val="20"/>
    </w:rPr>
  </w:style>
  <w:style w:type="character" w:customStyle="1" w:styleId="499">
    <w:name w:val="标题2----------------- Char Char"/>
    <w:link w:val="500"/>
    <w:qFormat/>
    <w:uiPriority w:val="0"/>
    <w:rPr>
      <w:b/>
      <w:bCs/>
      <w:sz w:val="32"/>
    </w:rPr>
  </w:style>
  <w:style w:type="paragraph" w:customStyle="1" w:styleId="500">
    <w:name w:val="标题2-----------------"/>
    <w:basedOn w:val="5"/>
    <w:link w:val="499"/>
    <w:qFormat/>
    <w:uiPriority w:val="0"/>
    <w:pPr>
      <w:keepNext w:val="0"/>
      <w:widowControl w:val="0"/>
      <w:spacing w:before="200" w:after="200" w:line="240" w:lineRule="auto"/>
      <w:jc w:val="both"/>
    </w:pPr>
    <w:rPr>
      <w:rFonts w:eastAsia="宋体"/>
      <w:b/>
      <w:sz w:val="32"/>
      <w:szCs w:val="20"/>
    </w:rPr>
  </w:style>
  <w:style w:type="character" w:customStyle="1" w:styleId="501">
    <w:name w:val="正文文本 (9) + Georgia"/>
    <w:qFormat/>
    <w:uiPriority w:val="99"/>
    <w:rPr>
      <w:rFonts w:ascii="Georgia" w:hAnsi="Georgia" w:eastAsia="MingLiU" w:cs="Georgia"/>
      <w:shd w:val="clear" w:color="auto" w:fill="FFFFFF"/>
      <w:lang w:val="en-US" w:eastAsia="en-US"/>
    </w:rPr>
  </w:style>
  <w:style w:type="character" w:customStyle="1" w:styleId="502">
    <w:name w:val="Char Char5"/>
    <w:qFormat/>
    <w:uiPriority w:val="0"/>
    <w:rPr>
      <w:rFonts w:hint="eastAsia" w:ascii="宋体" w:hAnsi="宋体" w:eastAsia="宋体"/>
      <w:kern w:val="2"/>
      <w:sz w:val="21"/>
      <w:szCs w:val="24"/>
      <w:lang w:val="en-US" w:eastAsia="zh-CN" w:bidi="ar-SA"/>
    </w:rPr>
  </w:style>
  <w:style w:type="character" w:customStyle="1" w:styleId="503">
    <w:name w:val="font71"/>
    <w:qFormat/>
    <w:uiPriority w:val="0"/>
    <w:rPr>
      <w:rFonts w:hint="eastAsia" w:ascii="宋体" w:hAnsi="宋体" w:eastAsia="宋体" w:cs="宋体"/>
      <w:b/>
      <w:color w:val="000000"/>
      <w:sz w:val="20"/>
      <w:szCs w:val="20"/>
      <w:u w:val="none"/>
    </w:rPr>
  </w:style>
  <w:style w:type="character" w:customStyle="1" w:styleId="504">
    <w:name w:val="书籍标题1"/>
    <w:qFormat/>
    <w:uiPriority w:val="0"/>
    <w:rPr>
      <w:b/>
      <w:bCs/>
      <w:smallCaps/>
      <w:spacing w:val="5"/>
    </w:rPr>
  </w:style>
  <w:style w:type="character" w:customStyle="1" w:styleId="505">
    <w:name w:val="font141"/>
    <w:qFormat/>
    <w:uiPriority w:val="0"/>
    <w:rPr>
      <w:rFonts w:hint="eastAsia" w:ascii="宋体" w:hAnsi="宋体" w:eastAsia="宋体"/>
      <w:color w:val="000000"/>
      <w:sz w:val="22"/>
      <w:szCs w:val="22"/>
      <w:u w:val="none"/>
    </w:rPr>
  </w:style>
  <w:style w:type="character" w:customStyle="1" w:styleId="506">
    <w:name w:val="文档结构图 Char1"/>
    <w:qFormat/>
    <w:uiPriority w:val="99"/>
    <w:rPr>
      <w:rFonts w:ascii="宋体" w:hAnsi="Times New Roman" w:eastAsia="宋体" w:cs="Times New Roman"/>
      <w:sz w:val="18"/>
      <w:szCs w:val="18"/>
    </w:rPr>
  </w:style>
  <w:style w:type="character" w:customStyle="1" w:styleId="507">
    <w:name w:val="表格左 Char Char"/>
    <w:link w:val="508"/>
    <w:qFormat/>
    <w:uiPriority w:val="0"/>
    <w:rPr>
      <w:rFonts w:ascii="宋体" w:hAnsi="宋体"/>
      <w:b/>
      <w:szCs w:val="24"/>
    </w:rPr>
  </w:style>
  <w:style w:type="paragraph" w:customStyle="1" w:styleId="508">
    <w:name w:val="表格左"/>
    <w:basedOn w:val="1"/>
    <w:link w:val="507"/>
    <w:qFormat/>
    <w:uiPriority w:val="0"/>
    <w:pPr>
      <w:widowControl w:val="0"/>
      <w:spacing w:line="240" w:lineRule="atLeast"/>
      <w:jc w:val="center"/>
    </w:pPr>
    <w:rPr>
      <w:rFonts w:cs="Times New Roman"/>
      <w:b/>
      <w:sz w:val="20"/>
    </w:rPr>
  </w:style>
  <w:style w:type="character" w:customStyle="1" w:styleId="509">
    <w:name w:val="样式 报告正文 + 首行缩进:  2 字符 Char Char Char"/>
    <w:link w:val="510"/>
    <w:qFormat/>
    <w:locked/>
    <w:uiPriority w:val="0"/>
    <w:rPr>
      <w:rFonts w:ascii="楷体_GB2312" w:eastAsia="楷体_GB2312" w:cs="宋体"/>
      <w:bCs/>
      <w:kern w:val="2"/>
      <w:sz w:val="30"/>
      <w:szCs w:val="24"/>
    </w:rPr>
  </w:style>
  <w:style w:type="paragraph" w:customStyle="1" w:styleId="510">
    <w:name w:val="样式 报告正文 + 首行缩进:  2 字符 Char Char"/>
    <w:basedOn w:val="1"/>
    <w:link w:val="509"/>
    <w:qFormat/>
    <w:uiPriority w:val="0"/>
    <w:pPr>
      <w:widowControl w:val="0"/>
      <w:spacing w:line="312" w:lineRule="auto"/>
      <w:ind w:firstLine="600" w:firstLineChars="200"/>
      <w:jc w:val="both"/>
    </w:pPr>
    <w:rPr>
      <w:rFonts w:ascii="楷体_GB2312" w:hAnsi="Calibri" w:eastAsia="楷体_GB2312"/>
      <w:bCs/>
      <w:kern w:val="2"/>
      <w:sz w:val="30"/>
    </w:rPr>
  </w:style>
  <w:style w:type="character" w:customStyle="1" w:styleId="511">
    <w:name w:val="正文文本缩进 2 Char2"/>
    <w:semiHidden/>
    <w:qFormat/>
    <w:uiPriority w:val="99"/>
    <w:rPr>
      <w:rFonts w:ascii="Calibri" w:hAnsi="Calibri" w:eastAsia="宋体" w:cs="Times New Roman"/>
    </w:rPr>
  </w:style>
  <w:style w:type="character" w:customStyle="1" w:styleId="512">
    <w:name w:val="hei11"/>
    <w:qFormat/>
    <w:uiPriority w:val="0"/>
  </w:style>
  <w:style w:type="character" w:customStyle="1" w:styleId="513">
    <w:name w:val="Char Char24"/>
    <w:qFormat/>
    <w:uiPriority w:val="0"/>
    <w:rPr>
      <w:b/>
      <w:kern w:val="44"/>
      <w:sz w:val="44"/>
    </w:rPr>
  </w:style>
  <w:style w:type="character" w:customStyle="1" w:styleId="514">
    <w:name w:val="样式 题注 + (西文) Arial (中文) 黑体 小四 Char Char Char"/>
    <w:qFormat/>
    <w:uiPriority w:val="0"/>
    <w:rPr>
      <w:rFonts w:ascii="Arial" w:hAnsi="Arial" w:eastAsia="黑体" w:cs="Arial"/>
      <w:b/>
      <w:bCs/>
      <w:snapToGrid w:val="0"/>
      <w:color w:val="000000"/>
      <w:kern w:val="2"/>
      <w:sz w:val="24"/>
      <w:szCs w:val="28"/>
      <w:lang w:val="en-US" w:eastAsia="zh-CN" w:bidi="ar-SA"/>
    </w:rPr>
  </w:style>
  <w:style w:type="character" w:customStyle="1" w:styleId="515">
    <w:name w:val="表头------------- Char Char"/>
    <w:link w:val="516"/>
    <w:qFormat/>
    <w:uiPriority w:val="0"/>
    <w:rPr>
      <w:rFonts w:eastAsia="黑体"/>
      <w:sz w:val="24"/>
    </w:rPr>
  </w:style>
  <w:style w:type="paragraph" w:customStyle="1" w:styleId="516">
    <w:name w:val="表头-------------"/>
    <w:basedOn w:val="1"/>
    <w:link w:val="515"/>
    <w:qFormat/>
    <w:uiPriority w:val="0"/>
    <w:pPr>
      <w:widowControl w:val="0"/>
      <w:spacing w:line="460" w:lineRule="exact"/>
      <w:jc w:val="center"/>
    </w:pPr>
    <w:rPr>
      <w:rFonts w:ascii="Calibri" w:hAnsi="Calibri" w:eastAsia="黑体" w:cs="Times New Roman"/>
      <w:szCs w:val="20"/>
    </w:rPr>
  </w:style>
  <w:style w:type="character" w:customStyle="1" w:styleId="517">
    <w:name w:val="尾注文本 Char1"/>
    <w:qFormat/>
    <w:uiPriority w:val="0"/>
    <w:rPr>
      <w:rFonts w:ascii="Times New Roman" w:hAnsi="Times New Roman" w:eastAsia="宋体" w:cs="Times New Roman"/>
      <w:szCs w:val="24"/>
    </w:rPr>
  </w:style>
  <w:style w:type="character" w:customStyle="1" w:styleId="518">
    <w:name w:val="小表中 Char Char"/>
    <w:link w:val="519"/>
    <w:qFormat/>
    <w:uiPriority w:val="0"/>
    <w:rPr>
      <w:rFonts w:ascii="宋体" w:hAnsi="宋体"/>
    </w:rPr>
  </w:style>
  <w:style w:type="paragraph" w:customStyle="1" w:styleId="519">
    <w:name w:val="小表中"/>
    <w:basedOn w:val="1"/>
    <w:link w:val="518"/>
    <w:qFormat/>
    <w:uiPriority w:val="0"/>
    <w:pPr>
      <w:keepNext/>
      <w:widowControl w:val="0"/>
      <w:tabs>
        <w:tab w:val="left" w:pos="1769"/>
      </w:tabs>
      <w:adjustRightInd w:val="0"/>
      <w:snapToGrid w:val="0"/>
      <w:spacing w:line="240" w:lineRule="atLeast"/>
      <w:jc w:val="center"/>
    </w:pPr>
    <w:rPr>
      <w:rFonts w:cs="Times New Roman"/>
      <w:sz w:val="20"/>
      <w:szCs w:val="20"/>
    </w:rPr>
  </w:style>
  <w:style w:type="character" w:customStyle="1" w:styleId="520">
    <w:name w:val="Char Char212"/>
    <w:qFormat/>
    <w:uiPriority w:val="0"/>
    <w:rPr>
      <w:rFonts w:eastAsia="宋体"/>
      <w:kern w:val="2"/>
      <w:sz w:val="21"/>
      <w:szCs w:val="24"/>
      <w:lang w:val="en-US" w:eastAsia="zh-CN" w:bidi="ar-SA"/>
    </w:rPr>
  </w:style>
  <w:style w:type="character" w:customStyle="1" w:styleId="521">
    <w:name w:val="content1"/>
    <w:qFormat/>
    <w:uiPriority w:val="0"/>
    <w:rPr>
      <w:rFonts w:ascii="黑体" w:hAnsi="宋体" w:eastAsia="黑体" w:cs="宋体"/>
      <w:b/>
      <w:kern w:val="2"/>
      <w:sz w:val="14"/>
      <w:szCs w:val="14"/>
      <w:lang w:val="en-US" w:eastAsia="zh-CN" w:bidi="ar-SA"/>
    </w:rPr>
  </w:style>
  <w:style w:type="character" w:customStyle="1" w:styleId="522">
    <w:name w:val="样式 标题 3条标题头标题3H3h33rd level第二层条标题 3 Char小标题小节标题标题 3 C...5 Char"/>
    <w:link w:val="523"/>
    <w:qFormat/>
    <w:uiPriority w:val="0"/>
    <w:rPr>
      <w:rFonts w:ascii="黑体" w:hAnsi="Times New Roman" w:eastAsia="黑体"/>
      <w:color w:val="000000"/>
      <w:sz w:val="24"/>
      <w:szCs w:val="24"/>
    </w:rPr>
  </w:style>
  <w:style w:type="paragraph" w:customStyle="1" w:styleId="523">
    <w:name w:val="样式 标题 3条标题头标题3H3h33rd level第二层条标题 3 Char小标题小节标题标题 3 C...5"/>
    <w:basedOn w:val="7"/>
    <w:link w:val="522"/>
    <w:qFormat/>
    <w:uiPriority w:val="0"/>
    <w:pPr>
      <w:widowControl w:val="0"/>
      <w:spacing w:line="720" w:lineRule="auto"/>
      <w:jc w:val="both"/>
    </w:pPr>
    <w:rPr>
      <w:rFonts w:ascii="黑体"/>
      <w:bCs w:val="0"/>
      <w:color w:val="000000"/>
      <w:sz w:val="24"/>
      <w:szCs w:val="24"/>
    </w:rPr>
  </w:style>
  <w:style w:type="character" w:customStyle="1" w:styleId="524">
    <w:name w:val="Char Char51"/>
    <w:semiHidden/>
    <w:qFormat/>
    <w:uiPriority w:val="0"/>
    <w:rPr>
      <w:rFonts w:ascii="Calibri" w:hAnsi="Calibri" w:eastAsia="宋体"/>
      <w:kern w:val="2"/>
      <w:sz w:val="18"/>
      <w:szCs w:val="18"/>
      <w:lang w:val="en-US" w:eastAsia="zh-CN" w:bidi="ar-SA"/>
    </w:rPr>
  </w:style>
  <w:style w:type="character" w:customStyle="1" w:styleId="525">
    <w:name w:val="样式 标题 3条标题头标题3H3h33rd level第二层条标题 3 Char小标题小节标题标题 3 C...4 Char"/>
    <w:link w:val="526"/>
    <w:qFormat/>
    <w:uiPriority w:val="0"/>
    <w:rPr>
      <w:rFonts w:ascii="黑体" w:hAnsi="Times New Roman" w:eastAsia="黑体"/>
      <w:bCs/>
      <w:color w:val="000000"/>
      <w:sz w:val="24"/>
      <w:szCs w:val="24"/>
    </w:rPr>
  </w:style>
  <w:style w:type="paragraph" w:customStyle="1" w:styleId="526">
    <w:name w:val="样式 标题 3条标题头标题3H3h33rd level第二层条标题 3 Char小标题小节标题标题 3 C...4"/>
    <w:basedOn w:val="7"/>
    <w:link w:val="525"/>
    <w:qFormat/>
    <w:uiPriority w:val="0"/>
    <w:pPr>
      <w:widowControl w:val="0"/>
      <w:spacing w:line="720" w:lineRule="auto"/>
      <w:jc w:val="both"/>
    </w:pPr>
    <w:rPr>
      <w:rFonts w:ascii="黑体"/>
      <w:color w:val="000000"/>
      <w:sz w:val="24"/>
      <w:szCs w:val="24"/>
    </w:rPr>
  </w:style>
  <w:style w:type="character" w:customStyle="1" w:styleId="527">
    <w:name w:val="正文文本 (9) + 间距 0 pt"/>
    <w:qFormat/>
    <w:uiPriority w:val="99"/>
    <w:rPr>
      <w:rFonts w:ascii="MingLiU" w:eastAsia="MingLiU" w:cs="MingLiU"/>
      <w:spacing w:val="10"/>
      <w:sz w:val="20"/>
      <w:szCs w:val="20"/>
      <w:u w:val="none"/>
      <w:shd w:val="clear" w:color="auto" w:fill="FFFFFF"/>
    </w:rPr>
  </w:style>
  <w:style w:type="character" w:customStyle="1" w:styleId="528">
    <w:name w:val="15"/>
    <w:qFormat/>
    <w:uiPriority w:val="0"/>
  </w:style>
  <w:style w:type="character" w:customStyle="1" w:styleId="529">
    <w:name w:val="表标题 Char Char"/>
    <w:link w:val="530"/>
    <w:qFormat/>
    <w:uiPriority w:val="0"/>
    <w:rPr>
      <w:rFonts w:ascii="Times New Roman" w:hAnsi="Times New Roman"/>
      <w:szCs w:val="24"/>
    </w:rPr>
  </w:style>
  <w:style w:type="paragraph" w:customStyle="1" w:styleId="530">
    <w:name w:val="表标题"/>
    <w:basedOn w:val="21"/>
    <w:link w:val="529"/>
    <w:qFormat/>
    <w:uiPriority w:val="0"/>
    <w:pPr>
      <w:tabs>
        <w:tab w:val="left" w:pos="360"/>
      </w:tabs>
      <w:topLinePunct w:val="0"/>
      <w:spacing w:line="240" w:lineRule="auto"/>
      <w:ind w:left="0" w:firstLine="0"/>
      <w:jc w:val="center"/>
    </w:pPr>
    <w:rPr>
      <w:rFonts w:ascii="Times New Roman" w:eastAsia="宋体"/>
      <w:kern w:val="0"/>
      <w:sz w:val="20"/>
      <w:szCs w:val="24"/>
    </w:rPr>
  </w:style>
  <w:style w:type="character" w:customStyle="1" w:styleId="531">
    <w:name w:val="Char Char20"/>
    <w:qFormat/>
    <w:uiPriority w:val="0"/>
    <w:rPr>
      <w:rFonts w:ascii="宋体" w:eastAsia="宋体"/>
      <w:color w:val="000000"/>
      <w:sz w:val="36"/>
      <w:lang w:val="en-US" w:eastAsia="zh-CN" w:bidi="ar-SA"/>
    </w:rPr>
  </w:style>
  <w:style w:type="character" w:customStyle="1" w:styleId="532">
    <w:name w:val="表1 Char Char"/>
    <w:link w:val="533"/>
    <w:qFormat/>
    <w:uiPriority w:val="0"/>
    <w:rPr>
      <w:rFonts w:ascii="Times New Roman" w:hAnsi="Times New Roman"/>
      <w:sz w:val="21"/>
    </w:rPr>
  </w:style>
  <w:style w:type="paragraph" w:customStyle="1" w:styleId="533">
    <w:name w:val="表1"/>
    <w:next w:val="1"/>
    <w:link w:val="532"/>
    <w:qFormat/>
    <w:uiPriority w:val="0"/>
    <w:pPr>
      <w:adjustRightInd w:val="0"/>
      <w:snapToGrid w:val="0"/>
      <w:jc w:val="center"/>
    </w:pPr>
    <w:rPr>
      <w:rFonts w:ascii="Times New Roman" w:hAnsi="Times New Roman" w:eastAsia="宋体" w:cs="Times New Roman"/>
      <w:sz w:val="21"/>
      <w:lang w:val="en-US" w:eastAsia="zh-CN" w:bidi="ar-SA"/>
    </w:rPr>
  </w:style>
  <w:style w:type="character" w:customStyle="1" w:styleId="534">
    <w:name w:val="样式 小四 蓝色 首行缩进:  0.85 厘米 行距: 多倍行距 1.4 字行 Char Char"/>
    <w:link w:val="535"/>
    <w:qFormat/>
    <w:uiPriority w:val="0"/>
    <w:rPr>
      <w:color w:val="0000FF"/>
      <w:sz w:val="24"/>
    </w:rPr>
  </w:style>
  <w:style w:type="paragraph" w:customStyle="1" w:styleId="535">
    <w:name w:val="样式 小四 蓝色 首行缩进:  0.85 厘米 行距: 多倍行距 1.4 字行"/>
    <w:basedOn w:val="1"/>
    <w:link w:val="534"/>
    <w:qFormat/>
    <w:uiPriority w:val="0"/>
    <w:pPr>
      <w:widowControl w:val="0"/>
      <w:spacing w:line="336" w:lineRule="auto"/>
      <w:ind w:firstLine="482"/>
      <w:jc w:val="both"/>
    </w:pPr>
    <w:rPr>
      <w:rFonts w:ascii="Calibri" w:hAnsi="Calibri" w:cs="Times New Roman"/>
      <w:color w:val="0000FF"/>
      <w:szCs w:val="20"/>
    </w:rPr>
  </w:style>
  <w:style w:type="character" w:customStyle="1" w:styleId="536">
    <w:name w:val="注释标题 Char2"/>
    <w:semiHidden/>
    <w:qFormat/>
    <w:uiPriority w:val="99"/>
    <w:rPr>
      <w:rFonts w:ascii="Calibri" w:hAnsi="Calibri" w:eastAsia="宋体" w:cs="Times New Roman"/>
    </w:rPr>
  </w:style>
  <w:style w:type="character" w:customStyle="1" w:styleId="537">
    <w:name w:val="正文文本 (14)5"/>
    <w:qFormat/>
    <w:uiPriority w:val="0"/>
    <w:rPr>
      <w:rFonts w:ascii="宋体" w:eastAsia="宋体" w:cs="宋体"/>
      <w:sz w:val="10"/>
      <w:szCs w:val="10"/>
      <w:shd w:val="clear" w:color="auto" w:fill="FFFFFF"/>
    </w:rPr>
  </w:style>
  <w:style w:type="character" w:customStyle="1" w:styleId="538">
    <w:name w:val="Char Char191"/>
    <w:qFormat/>
    <w:uiPriority w:val="0"/>
    <w:rPr>
      <w:rFonts w:eastAsia="黑体"/>
      <w:kern w:val="2"/>
      <w:sz w:val="24"/>
      <w:szCs w:val="24"/>
      <w:lang w:val="en-US" w:eastAsia="zh-CN" w:bidi="ar-SA"/>
    </w:rPr>
  </w:style>
  <w:style w:type="character" w:customStyle="1" w:styleId="539">
    <w:name w:val="1正文段落 Char Char Char"/>
    <w:link w:val="540"/>
    <w:qFormat/>
    <w:uiPriority w:val="0"/>
    <w:rPr>
      <w:snapToGrid w:val="0"/>
      <w:kern w:val="2"/>
      <w:sz w:val="24"/>
      <w:szCs w:val="24"/>
    </w:rPr>
  </w:style>
  <w:style w:type="paragraph" w:customStyle="1" w:styleId="540">
    <w:name w:val="1正文段落 Char"/>
    <w:basedOn w:val="1"/>
    <w:link w:val="539"/>
    <w:qFormat/>
    <w:uiPriority w:val="0"/>
    <w:pPr>
      <w:widowControl w:val="0"/>
      <w:spacing w:line="360" w:lineRule="auto"/>
      <w:ind w:firstLine="200" w:firstLineChars="200"/>
    </w:pPr>
    <w:rPr>
      <w:rFonts w:ascii="Calibri" w:hAnsi="Calibri" w:cs="Times New Roman"/>
      <w:snapToGrid w:val="0"/>
      <w:kern w:val="2"/>
    </w:rPr>
  </w:style>
  <w:style w:type="character" w:customStyle="1" w:styleId="541">
    <w:name w:val="表 Char Char"/>
    <w:link w:val="542"/>
    <w:qFormat/>
    <w:locked/>
    <w:uiPriority w:val="0"/>
    <w:rPr>
      <w:rFonts w:ascii="Times New Roman" w:hAnsi="Times New Roman"/>
      <w:spacing w:val="2"/>
    </w:rPr>
  </w:style>
  <w:style w:type="paragraph" w:customStyle="1" w:styleId="542">
    <w:name w:val="表"/>
    <w:basedOn w:val="1"/>
    <w:link w:val="541"/>
    <w:qFormat/>
    <w:uiPriority w:val="0"/>
    <w:pPr>
      <w:widowControl w:val="0"/>
      <w:snapToGrid w:val="0"/>
      <w:jc w:val="center"/>
    </w:pPr>
    <w:rPr>
      <w:rFonts w:ascii="Times New Roman" w:hAnsi="Times New Roman" w:cs="Times New Roman"/>
      <w:spacing w:val="2"/>
      <w:sz w:val="20"/>
      <w:szCs w:val="20"/>
    </w:rPr>
  </w:style>
  <w:style w:type="character" w:customStyle="1" w:styleId="543">
    <w:name w:val="【标题3】 Char Char"/>
    <w:link w:val="544"/>
    <w:qFormat/>
    <w:uiPriority w:val="0"/>
    <w:rPr>
      <w:b/>
      <w:bCs/>
      <w:sz w:val="30"/>
    </w:rPr>
  </w:style>
  <w:style w:type="paragraph" w:customStyle="1" w:styleId="544">
    <w:name w:val="【标题3】"/>
    <w:basedOn w:val="7"/>
    <w:link w:val="543"/>
    <w:qFormat/>
    <w:uiPriority w:val="0"/>
    <w:pPr>
      <w:keepNext w:val="0"/>
      <w:widowControl w:val="0"/>
      <w:spacing w:before="240" w:after="240" w:line="240" w:lineRule="auto"/>
      <w:jc w:val="both"/>
    </w:pPr>
    <w:rPr>
      <w:rFonts w:ascii="Calibri" w:hAnsi="Calibri" w:eastAsia="宋体"/>
      <w:b/>
      <w:sz w:val="30"/>
      <w:szCs w:val="20"/>
    </w:rPr>
  </w:style>
  <w:style w:type="character" w:customStyle="1" w:styleId="545">
    <w:name w:val="批注文字 Char2"/>
    <w:qFormat/>
    <w:uiPriority w:val="99"/>
    <w:rPr>
      <w:rFonts w:ascii="Calibri" w:hAnsi="Calibri" w:eastAsia="宋体" w:cs="Times New Roman"/>
    </w:rPr>
  </w:style>
  <w:style w:type="character" w:customStyle="1" w:styleId="546">
    <w:name w:val="普通文字 Char Char Char Char3"/>
    <w:qFormat/>
    <w:uiPriority w:val="0"/>
    <w:rPr>
      <w:rFonts w:ascii="宋体" w:hAnsi="Courier New" w:eastAsia="宋体"/>
      <w:kern w:val="2"/>
      <w:sz w:val="28"/>
      <w:lang w:val="en-US" w:eastAsia="zh-CN" w:bidi="ar-SA"/>
    </w:rPr>
  </w:style>
  <w:style w:type="character" w:customStyle="1" w:styleId="547">
    <w:name w:val="表头 Char2"/>
    <w:qFormat/>
    <w:uiPriority w:val="0"/>
    <w:rPr>
      <w:rFonts w:ascii="黑体" w:eastAsia="黑体"/>
      <w:bCs/>
      <w:kern w:val="2"/>
      <w:sz w:val="21"/>
      <w:szCs w:val="24"/>
      <w:lang w:val="en-US" w:eastAsia="zh-CN" w:bidi="ar-SA"/>
    </w:rPr>
  </w:style>
  <w:style w:type="character" w:customStyle="1" w:styleId="548">
    <w:name w:val="Body text 1 Char Char Char"/>
    <w:qFormat/>
    <w:uiPriority w:val="0"/>
    <w:rPr>
      <w:snapToGrid/>
      <w:sz w:val="24"/>
      <w:szCs w:val="24"/>
      <w:lang w:eastAsia="zh-CN"/>
    </w:rPr>
  </w:style>
  <w:style w:type="character" w:customStyle="1" w:styleId="549">
    <w:name w:val="Char Char1"/>
    <w:qFormat/>
    <w:uiPriority w:val="0"/>
    <w:rPr>
      <w:rFonts w:eastAsia="宋体"/>
      <w:kern w:val="2"/>
      <w:sz w:val="21"/>
      <w:szCs w:val="24"/>
      <w:lang w:val="en-US" w:eastAsia="zh-CN" w:bidi="ar-SA"/>
    </w:rPr>
  </w:style>
  <w:style w:type="character" w:customStyle="1" w:styleId="550">
    <w:name w:val="txt"/>
    <w:qFormat/>
    <w:uiPriority w:val="0"/>
  </w:style>
  <w:style w:type="character" w:customStyle="1" w:styleId="551">
    <w:name w:val="Char Char11"/>
    <w:qFormat/>
    <w:uiPriority w:val="0"/>
    <w:rPr>
      <w:rFonts w:ascii="Calibri" w:hAnsi="Calibri" w:eastAsia="宋体"/>
      <w:kern w:val="2"/>
      <w:sz w:val="18"/>
      <w:szCs w:val="18"/>
      <w:lang w:val="en-US" w:eastAsia="zh-CN" w:bidi="ar-SA"/>
    </w:rPr>
  </w:style>
  <w:style w:type="character" w:customStyle="1" w:styleId="552">
    <w:name w:val="表内文字 Char Char"/>
    <w:qFormat/>
    <w:uiPriority w:val="0"/>
    <w:rPr>
      <w:rFonts w:ascii="宋体" w:hAnsi="Courier New" w:eastAsia="宋体" w:cs="Courier New"/>
      <w:kern w:val="2"/>
      <w:sz w:val="21"/>
      <w:szCs w:val="21"/>
      <w:lang w:val="en-US" w:eastAsia="zh-CN" w:bidi="ar-SA"/>
    </w:rPr>
  </w:style>
  <w:style w:type="character" w:customStyle="1" w:styleId="553">
    <w:name w:val="14p"/>
    <w:qFormat/>
    <w:uiPriority w:val="0"/>
  </w:style>
  <w:style w:type="character" w:customStyle="1" w:styleId="554">
    <w:name w:val="结束语 Char1"/>
    <w:semiHidden/>
    <w:qFormat/>
    <w:uiPriority w:val="99"/>
    <w:rPr>
      <w:rFonts w:ascii="Calibri" w:hAnsi="Calibri" w:eastAsia="宋体" w:cs="Times New Roman"/>
    </w:rPr>
  </w:style>
  <w:style w:type="character" w:customStyle="1" w:styleId="555">
    <w:name w:val="apple-converted-space"/>
    <w:qFormat/>
    <w:uiPriority w:val="0"/>
  </w:style>
  <w:style w:type="character" w:customStyle="1" w:styleId="556">
    <w:name w:val="副标题 Char1"/>
    <w:qFormat/>
    <w:uiPriority w:val="0"/>
    <w:rPr>
      <w:rFonts w:ascii="Cambria" w:hAnsi="Cambria" w:eastAsia="宋体" w:cs="Times New Roman"/>
      <w:b/>
      <w:bCs/>
      <w:kern w:val="28"/>
      <w:sz w:val="32"/>
      <w:szCs w:val="32"/>
    </w:rPr>
  </w:style>
  <w:style w:type="character" w:customStyle="1" w:styleId="557">
    <w:name w:val="H4 Char2"/>
    <w:qFormat/>
    <w:uiPriority w:val="0"/>
    <w:rPr>
      <w:rFonts w:ascii="Times New Roman" w:hAnsi="Times New Roman"/>
      <w:b/>
      <w:bCs/>
      <w:kern w:val="2"/>
      <w:sz w:val="24"/>
      <w:szCs w:val="28"/>
    </w:rPr>
  </w:style>
  <w:style w:type="character" w:customStyle="1" w:styleId="558">
    <w:name w:val="表头 + 居中 Char Char"/>
    <w:link w:val="559"/>
    <w:qFormat/>
    <w:uiPriority w:val="0"/>
    <w:rPr>
      <w:rFonts w:ascii="Arial" w:hAnsi="Arial" w:eastAsia="黑体"/>
      <w:szCs w:val="21"/>
    </w:rPr>
  </w:style>
  <w:style w:type="paragraph" w:customStyle="1" w:styleId="559">
    <w:name w:val="表头 + 居中"/>
    <w:basedOn w:val="1"/>
    <w:next w:val="1"/>
    <w:link w:val="558"/>
    <w:qFormat/>
    <w:uiPriority w:val="0"/>
    <w:pPr>
      <w:keepNext/>
      <w:keepLines/>
      <w:widowControl w:val="0"/>
      <w:spacing w:beforeLines="50" w:afterLines="50"/>
      <w:jc w:val="center"/>
    </w:pPr>
    <w:rPr>
      <w:rFonts w:ascii="Arial" w:hAnsi="Arial" w:eastAsia="黑体" w:cs="Times New Roman"/>
      <w:sz w:val="20"/>
      <w:szCs w:val="21"/>
    </w:rPr>
  </w:style>
  <w:style w:type="character" w:customStyle="1" w:styleId="560">
    <w:name w:val="表文字居中 Char Char"/>
    <w:link w:val="561"/>
    <w:qFormat/>
    <w:uiPriority w:val="0"/>
    <w:rPr>
      <w:rFonts w:ascii="Arial" w:hAnsi="Arial" w:eastAsia="Times New Roman"/>
      <w:kern w:val="2"/>
      <w:sz w:val="21"/>
      <w:szCs w:val="24"/>
    </w:rPr>
  </w:style>
  <w:style w:type="paragraph" w:customStyle="1" w:styleId="561">
    <w:name w:val="表文字居中"/>
    <w:link w:val="560"/>
    <w:qFormat/>
    <w:uiPriority w:val="0"/>
    <w:pPr>
      <w:adjustRightInd w:val="0"/>
      <w:spacing w:line="360" w:lineRule="auto"/>
      <w:jc w:val="center"/>
    </w:pPr>
    <w:rPr>
      <w:rFonts w:ascii="Arial" w:hAnsi="Arial" w:eastAsia="Times New Roman" w:cs="Times New Roman"/>
      <w:kern w:val="2"/>
      <w:sz w:val="21"/>
      <w:szCs w:val="24"/>
      <w:lang w:val="en-US" w:eastAsia="zh-CN" w:bidi="ar-SA"/>
    </w:rPr>
  </w:style>
  <w:style w:type="character" w:customStyle="1" w:styleId="562">
    <w:name w:val="标题 Char2"/>
    <w:qFormat/>
    <w:uiPriority w:val="0"/>
    <w:rPr>
      <w:rFonts w:ascii="Cambria" w:hAnsi="Cambria" w:eastAsia="宋体" w:cs="Times New Roman"/>
      <w:b/>
      <w:bCs/>
      <w:sz w:val="32"/>
      <w:szCs w:val="32"/>
    </w:rPr>
  </w:style>
  <w:style w:type="character" w:customStyle="1" w:styleId="563">
    <w:name w:val="表格文字居中 Char1"/>
    <w:link w:val="564"/>
    <w:qFormat/>
    <w:locked/>
    <w:uiPriority w:val="0"/>
    <w:rPr>
      <w:rFonts w:ascii="Times New Roman" w:hAnsi="宋体"/>
      <w:szCs w:val="21"/>
    </w:rPr>
  </w:style>
  <w:style w:type="paragraph" w:customStyle="1" w:styleId="564">
    <w:name w:val="表格文字居中"/>
    <w:basedOn w:val="1"/>
    <w:link w:val="563"/>
    <w:qFormat/>
    <w:uiPriority w:val="0"/>
    <w:pPr>
      <w:widowControl w:val="0"/>
      <w:adjustRightInd w:val="0"/>
      <w:snapToGrid w:val="0"/>
      <w:spacing w:line="320" w:lineRule="exact"/>
      <w:jc w:val="center"/>
    </w:pPr>
    <w:rPr>
      <w:rFonts w:ascii="Times New Roman" w:cs="Times New Roman"/>
      <w:sz w:val="20"/>
      <w:szCs w:val="21"/>
    </w:rPr>
  </w:style>
  <w:style w:type="character" w:customStyle="1" w:styleId="565">
    <w:name w:val="text121"/>
    <w:qFormat/>
    <w:uiPriority w:val="0"/>
    <w:rPr>
      <w:color w:val="333333"/>
      <w:sz w:val="18"/>
      <w:szCs w:val="18"/>
    </w:rPr>
  </w:style>
  <w:style w:type="character" w:customStyle="1" w:styleId="566">
    <w:name w:val="标题 3 Char Char"/>
    <w:qFormat/>
    <w:uiPriority w:val="0"/>
    <w:rPr>
      <w:rFonts w:ascii="仿宋_GB2312" w:eastAsia="仿宋_GB2312"/>
      <w:b/>
      <w:spacing w:val="-2"/>
      <w:kern w:val="2"/>
      <w:sz w:val="28"/>
      <w:szCs w:val="24"/>
      <w:lang w:val="en-US" w:eastAsia="zh-CN" w:bidi="ar-SA"/>
    </w:rPr>
  </w:style>
  <w:style w:type="character" w:customStyle="1" w:styleId="567">
    <w:name w:val="正文 + 首行缩进:  2 字符 Char1"/>
    <w:qFormat/>
    <w:uiPriority w:val="0"/>
    <w:rPr>
      <w:rFonts w:eastAsia="宋体" w:cs="宋体"/>
      <w:color w:val="000000"/>
      <w:kern w:val="2"/>
      <w:sz w:val="24"/>
      <w:lang w:val="en-US" w:eastAsia="zh-CN" w:bidi="ar-SA"/>
    </w:rPr>
  </w:style>
  <w:style w:type="character" w:customStyle="1" w:styleId="568">
    <w:name w:val="正式 Char Char"/>
    <w:link w:val="569"/>
    <w:semiHidden/>
    <w:qFormat/>
    <w:uiPriority w:val="0"/>
    <w:rPr>
      <w:rFonts w:ascii="Times New Roman" w:hAnsi="宋体"/>
      <w:spacing w:val="6"/>
      <w:sz w:val="24"/>
      <w:szCs w:val="21"/>
    </w:rPr>
  </w:style>
  <w:style w:type="paragraph" w:customStyle="1" w:styleId="569">
    <w:name w:val="正式"/>
    <w:basedOn w:val="1"/>
    <w:link w:val="568"/>
    <w:semiHidden/>
    <w:qFormat/>
    <w:uiPriority w:val="0"/>
    <w:pPr>
      <w:widowControl w:val="0"/>
      <w:spacing w:beforeLines="50" w:line="420" w:lineRule="auto"/>
      <w:ind w:firstLine="200" w:firstLineChars="200"/>
      <w:jc w:val="both"/>
    </w:pPr>
    <w:rPr>
      <w:rFonts w:ascii="Times New Roman" w:cs="Times New Roman"/>
      <w:spacing w:val="6"/>
      <w:szCs w:val="21"/>
    </w:rPr>
  </w:style>
  <w:style w:type="character" w:customStyle="1" w:styleId="570">
    <w:name w:val="Char Char231"/>
    <w:qFormat/>
    <w:uiPriority w:val="0"/>
    <w:rPr>
      <w:rFonts w:eastAsia="黑体"/>
      <w:kern w:val="2"/>
      <w:sz w:val="24"/>
      <w:szCs w:val="24"/>
      <w:lang w:val="en-US" w:eastAsia="zh-CN" w:bidi="ar-SA"/>
    </w:rPr>
  </w:style>
  <w:style w:type="character" w:customStyle="1" w:styleId="571">
    <w:name w:val="fs"/>
    <w:qFormat/>
    <w:uiPriority w:val="0"/>
  </w:style>
  <w:style w:type="character" w:customStyle="1" w:styleId="572">
    <w:name w:val="正文11 Char"/>
    <w:qFormat/>
    <w:uiPriority w:val="0"/>
    <w:rPr>
      <w:rFonts w:ascii="宋体" w:hAnsi="宋体" w:eastAsia="仿宋_GB2312"/>
      <w:snapToGrid w:val="0"/>
      <w:sz w:val="24"/>
      <w:szCs w:val="24"/>
    </w:rPr>
  </w:style>
  <w:style w:type="character" w:customStyle="1" w:styleId="573">
    <w:name w:val="pt9"/>
    <w:qFormat/>
    <w:uiPriority w:val="0"/>
  </w:style>
  <w:style w:type="character" w:customStyle="1" w:styleId="574">
    <w:name w:val="Char Char15"/>
    <w:link w:val="575"/>
    <w:qFormat/>
    <w:uiPriority w:val="0"/>
    <w:rPr>
      <w:sz w:val="24"/>
    </w:rPr>
  </w:style>
  <w:style w:type="paragraph" w:customStyle="1" w:styleId="575">
    <w:name w:val="正文文本11"/>
    <w:basedOn w:val="1"/>
    <w:link w:val="574"/>
    <w:qFormat/>
    <w:uiPriority w:val="0"/>
    <w:pPr>
      <w:widowControl w:val="0"/>
      <w:spacing w:line="240" w:lineRule="atLeast"/>
      <w:jc w:val="center"/>
    </w:pPr>
    <w:rPr>
      <w:rFonts w:ascii="Calibri" w:hAnsi="Calibri" w:cs="Times New Roman"/>
      <w:szCs w:val="20"/>
    </w:rPr>
  </w:style>
  <w:style w:type="character" w:customStyle="1" w:styleId="576">
    <w:name w:val="项标题(1) Char Char"/>
    <w:qFormat/>
    <w:uiPriority w:val="0"/>
    <w:rPr>
      <w:rFonts w:eastAsia="宋体"/>
      <w:sz w:val="24"/>
      <w:lang w:val="en-US" w:eastAsia="zh-CN" w:bidi="ar-SA"/>
    </w:rPr>
  </w:style>
  <w:style w:type="character" w:customStyle="1" w:styleId="577">
    <w:name w:val="表5.6 Char Char"/>
    <w:link w:val="578"/>
    <w:qFormat/>
    <w:uiPriority w:val="0"/>
    <w:rPr>
      <w:rFonts w:ascii="黑体" w:hAnsi="Times New Roman" w:eastAsia="黑体"/>
      <w:b/>
      <w:bCs/>
      <w:color w:val="FF0000"/>
      <w:sz w:val="24"/>
      <w:szCs w:val="24"/>
    </w:rPr>
  </w:style>
  <w:style w:type="paragraph" w:customStyle="1" w:styleId="578">
    <w:name w:val="表5.6"/>
    <w:basedOn w:val="579"/>
    <w:link w:val="577"/>
    <w:qFormat/>
    <w:uiPriority w:val="0"/>
    <w:pPr>
      <w:tabs>
        <w:tab w:val="left" w:pos="360"/>
        <w:tab w:val="left" w:pos="720"/>
        <w:tab w:val="left" w:pos="726"/>
        <w:tab w:val="left" w:pos="1080"/>
        <w:tab w:val="center" w:pos="4060"/>
        <w:tab w:val="right" w:pos="8261"/>
      </w:tabs>
      <w:ind w:left="720" w:hanging="720" w:hangingChars="200"/>
    </w:pPr>
    <w:rPr>
      <w:bCs/>
      <w:color w:val="FF0000"/>
      <w:szCs w:val="24"/>
    </w:rPr>
  </w:style>
  <w:style w:type="paragraph" w:customStyle="1" w:styleId="579">
    <w:name w:val="表2.1"/>
    <w:basedOn w:val="1"/>
    <w:link w:val="580"/>
    <w:qFormat/>
    <w:uiPriority w:val="0"/>
    <w:pPr>
      <w:widowControl w:val="0"/>
      <w:tabs>
        <w:tab w:val="left" w:pos="1080"/>
        <w:tab w:val="center" w:pos="4060"/>
        <w:tab w:val="right" w:pos="8261"/>
      </w:tabs>
      <w:suppressAutoHyphens/>
      <w:adjustRightInd w:val="0"/>
      <w:spacing w:before="240" w:line="0" w:lineRule="atLeast"/>
      <w:ind w:left="420" w:hanging="420"/>
      <w:jc w:val="both"/>
    </w:pPr>
    <w:rPr>
      <w:rFonts w:ascii="黑体" w:hAnsi="Times New Roman" w:eastAsia="黑体" w:cs="Times New Roman"/>
      <w:b/>
      <w:szCs w:val="26"/>
    </w:rPr>
  </w:style>
  <w:style w:type="character" w:customStyle="1" w:styleId="580">
    <w:name w:val="表2.1 Char Char"/>
    <w:link w:val="579"/>
    <w:qFormat/>
    <w:uiPriority w:val="0"/>
    <w:rPr>
      <w:rFonts w:ascii="黑体" w:hAnsi="Times New Roman" w:eastAsia="黑体"/>
      <w:b/>
      <w:sz w:val="24"/>
      <w:szCs w:val="26"/>
    </w:rPr>
  </w:style>
  <w:style w:type="character" w:customStyle="1" w:styleId="581">
    <w:name w:val="Char Char111"/>
    <w:qFormat/>
    <w:uiPriority w:val="0"/>
    <w:rPr>
      <w:rFonts w:ascii="宋体" w:eastAsia="宋体"/>
      <w:color w:val="000000"/>
      <w:sz w:val="36"/>
      <w:lang w:val="en-US" w:eastAsia="zh-CN" w:bidi="ar-SA"/>
    </w:rPr>
  </w:style>
  <w:style w:type="character" w:customStyle="1" w:styleId="582">
    <w:name w:val="font51"/>
    <w:qFormat/>
    <w:uiPriority w:val="0"/>
    <w:rPr>
      <w:rFonts w:hint="default" w:ascii="Times New Roman" w:hAnsi="Times New Roman" w:cs="Times New Roman"/>
      <w:b/>
      <w:bCs/>
      <w:color w:val="000000"/>
      <w:sz w:val="18"/>
      <w:szCs w:val="18"/>
      <w:u w:val="none"/>
    </w:rPr>
  </w:style>
  <w:style w:type="character" w:customStyle="1" w:styleId="583">
    <w:name w:val="highlight1"/>
    <w:qFormat/>
    <w:uiPriority w:val="0"/>
    <w:rPr>
      <w:sz w:val="21"/>
      <w:szCs w:val="21"/>
    </w:rPr>
  </w:style>
  <w:style w:type="character" w:customStyle="1" w:styleId="584">
    <w:name w:val="正文 Char Char"/>
    <w:qFormat/>
    <w:uiPriority w:val="0"/>
    <w:rPr>
      <w:rFonts w:ascii="Times New Roman" w:hAnsi="Times New Roman" w:eastAsia="宋体" w:cs="Times New Roman"/>
      <w:snapToGrid w:val="0"/>
      <w:kern w:val="0"/>
      <w:sz w:val="24"/>
      <w:szCs w:val="24"/>
      <w:lang w:val="en-US" w:eastAsia="zh-CN" w:bidi="ar-SA"/>
    </w:rPr>
  </w:style>
  <w:style w:type="character" w:customStyle="1" w:styleId="585">
    <w:name w:val="正文文本 3 Char1"/>
    <w:qFormat/>
    <w:uiPriority w:val="99"/>
    <w:rPr>
      <w:rFonts w:ascii="Calibri" w:hAnsi="Calibri" w:eastAsia="宋体" w:cs="Times New Roman"/>
      <w:sz w:val="16"/>
      <w:szCs w:val="16"/>
    </w:rPr>
  </w:style>
  <w:style w:type="character" w:customStyle="1" w:styleId="586">
    <w:name w:val="正文文本 (2) + 10 pt9"/>
    <w:qFormat/>
    <w:uiPriority w:val="99"/>
    <w:rPr>
      <w:rFonts w:ascii="MingLiU" w:eastAsia="MingLiU" w:cs="MingLiU"/>
      <w:spacing w:val="20"/>
      <w:sz w:val="20"/>
      <w:szCs w:val="20"/>
      <w:u w:val="none"/>
      <w:shd w:val="clear" w:color="auto" w:fill="FFFFFF"/>
    </w:rPr>
  </w:style>
  <w:style w:type="character" w:customStyle="1" w:styleId="587">
    <w:name w:val="扬巴正文 Char Char"/>
    <w:link w:val="588"/>
    <w:semiHidden/>
    <w:qFormat/>
    <w:uiPriority w:val="0"/>
    <w:rPr>
      <w:rFonts w:ascii="Times New Roman" w:hAnsi="Times New Roman"/>
      <w:sz w:val="24"/>
      <w:szCs w:val="24"/>
    </w:rPr>
  </w:style>
  <w:style w:type="paragraph" w:customStyle="1" w:styleId="588">
    <w:name w:val="扬巴正文"/>
    <w:basedOn w:val="1"/>
    <w:link w:val="587"/>
    <w:semiHidden/>
    <w:qFormat/>
    <w:uiPriority w:val="0"/>
    <w:pPr>
      <w:widowControl w:val="0"/>
      <w:adjustRightInd w:val="0"/>
      <w:snapToGrid w:val="0"/>
      <w:spacing w:line="360" w:lineRule="auto"/>
      <w:ind w:firstLine="200" w:firstLineChars="200"/>
      <w:jc w:val="both"/>
    </w:pPr>
    <w:rPr>
      <w:rFonts w:ascii="Times New Roman" w:hAnsi="Times New Roman" w:cs="Times New Roman"/>
    </w:rPr>
  </w:style>
  <w:style w:type="character" w:customStyle="1" w:styleId="589">
    <w:name w:val="style21"/>
    <w:qFormat/>
    <w:uiPriority w:val="0"/>
    <w:rPr>
      <w:rFonts w:hint="default" w:ascii="Arial" w:hAnsi="Arial" w:cs="Arial"/>
      <w:color w:val="000000"/>
      <w:sz w:val="18"/>
      <w:szCs w:val="18"/>
    </w:rPr>
  </w:style>
  <w:style w:type="character" w:customStyle="1" w:styleId="590">
    <w:name w:val="c-font-big"/>
    <w:qFormat/>
    <w:uiPriority w:val="0"/>
  </w:style>
  <w:style w:type="character" w:customStyle="1" w:styleId="591">
    <w:name w:val="Char12"/>
    <w:qFormat/>
    <w:uiPriority w:val="0"/>
    <w:rPr>
      <w:rFonts w:hint="default" w:ascii="Arial" w:hAnsi="Arial" w:eastAsia="黑体" w:cs="Arial"/>
      <w:b/>
      <w:kern w:val="2"/>
      <w:sz w:val="32"/>
      <w:szCs w:val="24"/>
      <w:lang w:val="en-US" w:eastAsia="zh-CN" w:bidi="ar-SA"/>
    </w:rPr>
  </w:style>
  <w:style w:type="character" w:customStyle="1" w:styleId="592">
    <w:name w:val="样式 表格文字居中 Char + 五号 黑色1"/>
    <w:qFormat/>
    <w:uiPriority w:val="0"/>
    <w:rPr>
      <w:rFonts w:ascii="宋体" w:hAnsi="宋体" w:eastAsia="宋体" w:cs="宋体"/>
      <w:color w:val="000000"/>
      <w:kern w:val="2"/>
      <w:sz w:val="24"/>
      <w:szCs w:val="24"/>
      <w:lang w:val="en-US" w:eastAsia="zh-CN" w:bidi="ar-SA"/>
    </w:rPr>
  </w:style>
  <w:style w:type="character" w:customStyle="1" w:styleId="593">
    <w:name w:val="正文文本 (2) + 10 pt14"/>
    <w:qFormat/>
    <w:uiPriority w:val="99"/>
    <w:rPr>
      <w:rFonts w:ascii="MingLiU" w:eastAsia="MingLiU" w:cs="MingLiU"/>
      <w:spacing w:val="-20"/>
      <w:sz w:val="20"/>
      <w:szCs w:val="20"/>
      <w:u w:val="none"/>
      <w:shd w:val="clear" w:color="auto" w:fill="FFFFFF"/>
      <w:lang w:val="en-US" w:eastAsia="en-US"/>
    </w:rPr>
  </w:style>
  <w:style w:type="character" w:customStyle="1" w:styleId="594">
    <w:name w:val="普通文字 Char Char Char Char2"/>
    <w:qFormat/>
    <w:uiPriority w:val="0"/>
    <w:rPr>
      <w:rFonts w:ascii="宋体" w:hAnsi="Courier New" w:eastAsia="宋体"/>
      <w:kern w:val="2"/>
      <w:sz w:val="28"/>
      <w:lang w:val="en-US" w:eastAsia="zh-CN" w:bidi="ar-SA"/>
    </w:rPr>
  </w:style>
  <w:style w:type="character" w:customStyle="1" w:styleId="595">
    <w:name w:val="正文首行缩进 2 Char1"/>
    <w:qFormat/>
    <w:uiPriority w:val="99"/>
    <w:rPr>
      <w:rFonts w:ascii="Times New Roman" w:hAnsi="Times New Roman" w:eastAsia="宋体" w:cs="Times New Roman"/>
      <w:szCs w:val="24"/>
    </w:rPr>
  </w:style>
  <w:style w:type="character" w:customStyle="1" w:styleId="596">
    <w:name w:val="Body text 1 Char Char"/>
    <w:link w:val="597"/>
    <w:qFormat/>
    <w:uiPriority w:val="0"/>
    <w:rPr>
      <w:rFonts w:ascii="Times New Roman" w:hAnsi="Times New Roman"/>
      <w:snapToGrid w:val="0"/>
      <w:sz w:val="24"/>
      <w:szCs w:val="24"/>
    </w:rPr>
  </w:style>
  <w:style w:type="paragraph" w:customStyle="1" w:styleId="597">
    <w:name w:val="Body text 1"/>
    <w:basedOn w:val="227"/>
    <w:link w:val="596"/>
    <w:qFormat/>
    <w:uiPriority w:val="0"/>
    <w:pPr>
      <w:tabs>
        <w:tab w:val="clear" w:pos="567"/>
      </w:tabs>
      <w:spacing w:line="360" w:lineRule="auto"/>
      <w:ind w:left="0" w:firstLine="475"/>
    </w:pPr>
    <w:rPr>
      <w:rFonts w:ascii="Times New Roman"/>
      <w:snapToGrid w:val="0"/>
      <w:kern w:val="0"/>
      <w:szCs w:val="24"/>
    </w:rPr>
  </w:style>
  <w:style w:type="character" w:customStyle="1" w:styleId="598">
    <w:name w:val="公式、图------------- Char Char"/>
    <w:link w:val="599"/>
    <w:qFormat/>
    <w:uiPriority w:val="0"/>
    <w:rPr>
      <w:spacing w:val="16"/>
      <w:sz w:val="24"/>
    </w:rPr>
  </w:style>
  <w:style w:type="paragraph" w:customStyle="1" w:styleId="599">
    <w:name w:val="公式、图-------------"/>
    <w:basedOn w:val="1"/>
    <w:link w:val="598"/>
    <w:qFormat/>
    <w:uiPriority w:val="0"/>
    <w:pPr>
      <w:widowControl w:val="0"/>
      <w:jc w:val="center"/>
      <w:textAlignment w:val="center"/>
    </w:pPr>
    <w:rPr>
      <w:rFonts w:ascii="Calibri" w:hAnsi="Calibri" w:cs="Times New Roman"/>
      <w:spacing w:val="16"/>
      <w:szCs w:val="20"/>
    </w:rPr>
  </w:style>
  <w:style w:type="character" w:customStyle="1" w:styleId="600">
    <w:name w:val="style6"/>
    <w:qFormat/>
    <w:uiPriority w:val="0"/>
  </w:style>
  <w:style w:type="character" w:customStyle="1" w:styleId="601">
    <w:name w:val="Char Char201"/>
    <w:qFormat/>
    <w:uiPriority w:val="0"/>
    <w:rPr>
      <w:rFonts w:ascii="宋体" w:eastAsia="宋体"/>
      <w:color w:val="000000"/>
      <w:sz w:val="36"/>
      <w:lang w:val="en-US" w:eastAsia="zh-CN" w:bidi="ar-SA"/>
    </w:rPr>
  </w:style>
  <w:style w:type="character" w:styleId="602">
    <w:name w:val="Placeholder Text"/>
    <w:semiHidden/>
    <w:qFormat/>
    <w:uiPriority w:val="99"/>
    <w:rPr>
      <w:color w:val="808080"/>
    </w:rPr>
  </w:style>
  <w:style w:type="character" w:customStyle="1" w:styleId="603">
    <w:name w:val="公式 Char"/>
    <w:link w:val="604"/>
    <w:qFormat/>
    <w:uiPriority w:val="0"/>
    <w:rPr>
      <w:rFonts w:ascii="Times New Roman" w:hAnsi="Times New Roman"/>
      <w:color w:val="000000"/>
      <w:spacing w:val="-8"/>
      <w:kern w:val="2"/>
      <w:sz w:val="18"/>
      <w:szCs w:val="24"/>
    </w:rPr>
  </w:style>
  <w:style w:type="paragraph" w:customStyle="1" w:styleId="604">
    <w:name w:val="公式"/>
    <w:basedOn w:val="1"/>
    <w:next w:val="1"/>
    <w:link w:val="603"/>
    <w:qFormat/>
    <w:uiPriority w:val="0"/>
    <w:pPr>
      <w:widowControl w:val="0"/>
      <w:ind w:left="-2" w:leftChars="-5" w:hanging="8" w:hangingChars="5"/>
      <w:jc w:val="center"/>
    </w:pPr>
    <w:rPr>
      <w:rFonts w:ascii="Times New Roman" w:hAnsi="Times New Roman" w:cs="Times New Roman"/>
      <w:color w:val="000000"/>
      <w:spacing w:val="-8"/>
      <w:kern w:val="2"/>
      <w:sz w:val="18"/>
    </w:rPr>
  </w:style>
  <w:style w:type="character" w:customStyle="1" w:styleId="605">
    <w:name w:val="标题 7 Char1"/>
    <w:qFormat/>
    <w:uiPriority w:val="0"/>
    <w:rPr>
      <w:rFonts w:ascii="Calibri" w:hAnsi="Calibri" w:eastAsia="宋体"/>
      <w:b/>
      <w:color w:val="000000"/>
      <w:kern w:val="28"/>
      <w:sz w:val="24"/>
      <w:lang w:bidi="ar-SA"/>
    </w:rPr>
  </w:style>
  <w:style w:type="character" w:customStyle="1" w:styleId="606">
    <w:name w:val="文档结构图 Char2"/>
    <w:qFormat/>
    <w:uiPriority w:val="99"/>
    <w:rPr>
      <w:rFonts w:ascii="宋体" w:hAnsi="Calibri" w:eastAsia="宋体" w:cs="Times New Roman"/>
      <w:sz w:val="18"/>
      <w:szCs w:val="18"/>
    </w:rPr>
  </w:style>
  <w:style w:type="character" w:customStyle="1" w:styleId="607">
    <w:name w:val="z-窗体顶端 Char"/>
    <w:link w:val="608"/>
    <w:qFormat/>
    <w:uiPriority w:val="0"/>
    <w:rPr>
      <w:rFonts w:ascii="Arial" w:hAnsi="Arial" w:cs="Arial"/>
      <w:vanish/>
      <w:sz w:val="16"/>
      <w:szCs w:val="16"/>
    </w:rPr>
  </w:style>
  <w:style w:type="paragraph" w:customStyle="1" w:styleId="608">
    <w:name w:val="z-窗体顶端1"/>
    <w:basedOn w:val="1"/>
    <w:next w:val="1"/>
    <w:link w:val="607"/>
    <w:qFormat/>
    <w:uiPriority w:val="0"/>
    <w:pPr>
      <w:pBdr>
        <w:bottom w:val="single" w:color="auto" w:sz="6" w:space="1"/>
      </w:pBdr>
      <w:jc w:val="center"/>
    </w:pPr>
    <w:rPr>
      <w:rFonts w:ascii="Arial" w:hAnsi="Arial" w:cs="Arial"/>
      <w:vanish/>
      <w:sz w:val="16"/>
      <w:szCs w:val="16"/>
    </w:rPr>
  </w:style>
  <w:style w:type="character" w:customStyle="1" w:styleId="609">
    <w:name w:val="z-窗体底端 Char"/>
    <w:link w:val="610"/>
    <w:qFormat/>
    <w:uiPriority w:val="0"/>
    <w:rPr>
      <w:rFonts w:ascii="Arial" w:hAnsi="Arial" w:cs="Arial"/>
      <w:vanish/>
      <w:sz w:val="16"/>
      <w:szCs w:val="16"/>
    </w:rPr>
  </w:style>
  <w:style w:type="paragraph" w:customStyle="1" w:styleId="610">
    <w:name w:val="z-窗体底端1"/>
    <w:basedOn w:val="1"/>
    <w:next w:val="1"/>
    <w:link w:val="609"/>
    <w:qFormat/>
    <w:uiPriority w:val="0"/>
    <w:pPr>
      <w:pBdr>
        <w:top w:val="single" w:color="auto" w:sz="6" w:space="1"/>
      </w:pBdr>
      <w:jc w:val="center"/>
    </w:pPr>
    <w:rPr>
      <w:rFonts w:ascii="Arial" w:hAnsi="Arial" w:cs="Arial"/>
      <w:vanish/>
      <w:sz w:val="16"/>
      <w:szCs w:val="16"/>
    </w:rPr>
  </w:style>
  <w:style w:type="character" w:customStyle="1" w:styleId="611">
    <w:name w:val="c1"/>
    <w:qFormat/>
    <w:uiPriority w:val="0"/>
    <w:rPr>
      <w:rFonts w:hint="default" w:ascii="ˎ̥" w:hAnsi="ˎ̥"/>
      <w:color w:val="000000"/>
      <w:sz w:val="21"/>
      <w:szCs w:val="21"/>
      <w:u w:val="none"/>
    </w:rPr>
  </w:style>
  <w:style w:type="character" w:customStyle="1" w:styleId="612">
    <w:name w:val="0031"/>
    <w:qFormat/>
    <w:uiPriority w:val="0"/>
    <w:rPr>
      <w:sz w:val="21"/>
      <w:szCs w:val="21"/>
    </w:rPr>
  </w:style>
  <w:style w:type="character" w:customStyle="1" w:styleId="613">
    <w:name w:val="Char Char16"/>
    <w:qFormat/>
    <w:uiPriority w:val="0"/>
    <w:rPr>
      <w:rFonts w:ascii="黑体" w:hAnsi="宋体" w:eastAsia="黑体"/>
      <w:b/>
      <w:kern w:val="16"/>
      <w:sz w:val="28"/>
      <w:szCs w:val="28"/>
      <w:lang w:val="en-US" w:eastAsia="zh-CN" w:bidi="ar-SA"/>
    </w:rPr>
  </w:style>
  <w:style w:type="character" w:customStyle="1" w:styleId="614">
    <w:name w:val="页脚1 Char"/>
    <w:qFormat/>
    <w:uiPriority w:val="0"/>
    <w:rPr>
      <w:rFonts w:eastAsia="宋体"/>
      <w:kern w:val="2"/>
      <w:sz w:val="18"/>
      <w:szCs w:val="18"/>
      <w:lang w:val="en-US" w:eastAsia="zh-CN" w:bidi="ar-SA"/>
    </w:rPr>
  </w:style>
  <w:style w:type="character" w:customStyle="1" w:styleId="615">
    <w:name w:val="cucd-0 Char1"/>
    <w:link w:val="616"/>
    <w:qFormat/>
    <w:uiPriority w:val="0"/>
    <w:rPr>
      <w:kern w:val="2"/>
      <w:sz w:val="24"/>
      <w:szCs w:val="24"/>
    </w:rPr>
  </w:style>
  <w:style w:type="paragraph" w:customStyle="1" w:styleId="616">
    <w:name w:val="cucd-0"/>
    <w:link w:val="615"/>
    <w:qFormat/>
    <w:uiPriority w:val="0"/>
    <w:pPr>
      <w:spacing w:line="360" w:lineRule="auto"/>
      <w:ind w:firstLine="480" w:firstLineChars="200"/>
    </w:pPr>
    <w:rPr>
      <w:rFonts w:ascii="Calibri" w:hAnsi="Calibri" w:eastAsia="宋体" w:cs="Times New Roman"/>
      <w:kern w:val="2"/>
      <w:sz w:val="24"/>
      <w:szCs w:val="24"/>
      <w:lang w:val="en-US" w:eastAsia="zh-CN" w:bidi="ar-SA"/>
    </w:rPr>
  </w:style>
  <w:style w:type="character" w:customStyle="1" w:styleId="617">
    <w:name w:val="报告正文 Char Char"/>
    <w:link w:val="618"/>
    <w:qFormat/>
    <w:uiPriority w:val="0"/>
    <w:rPr>
      <w:rFonts w:ascii="Times New Roman" w:hAnsi="Times New Roman"/>
      <w:color w:val="000000"/>
      <w:kern w:val="2"/>
      <w:sz w:val="24"/>
    </w:rPr>
  </w:style>
  <w:style w:type="paragraph" w:customStyle="1" w:styleId="618">
    <w:name w:val="报告正文"/>
    <w:basedOn w:val="1"/>
    <w:link w:val="617"/>
    <w:qFormat/>
    <w:uiPriority w:val="0"/>
    <w:pPr>
      <w:widowControl w:val="0"/>
      <w:adjustRightInd w:val="0"/>
      <w:snapToGrid w:val="0"/>
      <w:spacing w:line="312" w:lineRule="auto"/>
      <w:jc w:val="both"/>
    </w:pPr>
    <w:rPr>
      <w:rFonts w:ascii="Times New Roman" w:hAnsi="Times New Roman" w:cs="Times New Roman"/>
      <w:color w:val="000000"/>
      <w:kern w:val="2"/>
      <w:szCs w:val="20"/>
    </w:rPr>
  </w:style>
  <w:style w:type="character" w:customStyle="1" w:styleId="619">
    <w:name w:val="加粗正文 Char"/>
    <w:qFormat/>
    <w:uiPriority w:val="0"/>
    <w:rPr>
      <w:rFonts w:ascii="宋体" w:hAnsi="Courier New" w:eastAsia="宋体" w:cs="Courier New"/>
      <w:kern w:val="2"/>
      <w:sz w:val="21"/>
      <w:szCs w:val="21"/>
      <w:lang w:val="en-US" w:eastAsia="zh-CN" w:bidi="ar-SA"/>
    </w:rPr>
  </w:style>
  <w:style w:type="character" w:customStyle="1" w:styleId="620">
    <w:name w:val="表号 Char1"/>
    <w:link w:val="621"/>
    <w:qFormat/>
    <w:uiPriority w:val="0"/>
    <w:rPr>
      <w:rFonts w:ascii="黑体" w:hAnsi="Times New Roman" w:eastAsia="黑体"/>
      <w:b/>
      <w:sz w:val="24"/>
    </w:rPr>
  </w:style>
  <w:style w:type="paragraph" w:customStyle="1" w:styleId="621">
    <w:name w:val="表号"/>
    <w:basedOn w:val="362"/>
    <w:next w:val="362"/>
    <w:link w:val="620"/>
    <w:qFormat/>
    <w:uiPriority w:val="0"/>
    <w:pPr>
      <w:spacing w:before="120" w:after="120" w:line="240" w:lineRule="atLeast"/>
    </w:pPr>
    <w:rPr>
      <w:rFonts w:ascii="黑体" w:eastAsia="黑体"/>
      <w:b/>
      <w:color w:val="auto"/>
      <w:kern w:val="0"/>
      <w:sz w:val="24"/>
      <w:szCs w:val="20"/>
    </w:rPr>
  </w:style>
  <w:style w:type="character" w:customStyle="1" w:styleId="622">
    <w:name w:val="正文文本 2 Char Char"/>
    <w:qFormat/>
    <w:uiPriority w:val="0"/>
    <w:rPr>
      <w:rFonts w:ascii="Times New Roman" w:hAnsi="Times New Roman" w:eastAsia="宋体" w:cs="Times New Roman"/>
      <w:spacing w:val="16"/>
      <w:sz w:val="24"/>
      <w:szCs w:val="24"/>
    </w:rPr>
  </w:style>
  <w:style w:type="character" w:customStyle="1" w:styleId="623">
    <w:name w:val="正文部分 Char Char"/>
    <w:link w:val="624"/>
    <w:qFormat/>
    <w:uiPriority w:val="0"/>
    <w:rPr>
      <w:rFonts w:ascii="宋体" w:hAnsi="宋体"/>
      <w:bCs/>
      <w:sz w:val="28"/>
      <w:szCs w:val="32"/>
    </w:rPr>
  </w:style>
  <w:style w:type="paragraph" w:customStyle="1" w:styleId="624">
    <w:name w:val="正文部分"/>
    <w:basedOn w:val="1"/>
    <w:link w:val="623"/>
    <w:qFormat/>
    <w:uiPriority w:val="0"/>
    <w:pPr>
      <w:widowControl w:val="0"/>
      <w:spacing w:line="500" w:lineRule="exact"/>
      <w:ind w:firstLine="200" w:firstLineChars="200"/>
    </w:pPr>
    <w:rPr>
      <w:rFonts w:cs="Times New Roman"/>
      <w:bCs/>
      <w:sz w:val="28"/>
      <w:szCs w:val="32"/>
    </w:rPr>
  </w:style>
  <w:style w:type="character" w:customStyle="1" w:styleId="625">
    <w:name w:val="注释标题 Char1"/>
    <w:semiHidden/>
    <w:qFormat/>
    <w:uiPriority w:val="0"/>
    <w:rPr>
      <w:rFonts w:ascii="Times New Roman" w:hAnsi="Times New Roman" w:eastAsia="宋体" w:cs="Times New Roman"/>
      <w:szCs w:val="24"/>
    </w:rPr>
  </w:style>
  <w:style w:type="character" w:customStyle="1" w:styleId="626">
    <w:name w:val="【正文】 Char"/>
    <w:basedOn w:val="84"/>
    <w:link w:val="153"/>
    <w:qFormat/>
    <w:uiPriority w:val="0"/>
    <w:rPr>
      <w:rFonts w:ascii="宋体" w:hAnsi="宋体" w:cs="宋体"/>
      <w:sz w:val="24"/>
      <w:szCs w:val="24"/>
    </w:rPr>
  </w:style>
  <w:style w:type="character" w:customStyle="1" w:styleId="627">
    <w:name w:val="h Char"/>
    <w:qFormat/>
    <w:uiPriority w:val="0"/>
    <w:rPr>
      <w:rFonts w:eastAsia="楷体_GB2312"/>
      <w:snapToGrid w:val="0"/>
      <w:sz w:val="18"/>
      <w:szCs w:val="18"/>
      <w:lang w:val="en-US" w:eastAsia="zh-CN" w:bidi="ar-SA"/>
    </w:rPr>
  </w:style>
  <w:style w:type="character" w:customStyle="1" w:styleId="628">
    <w:name w:val="样式 正文首行缩进 + 首行缩进:  2 字符 Char Char"/>
    <w:link w:val="629"/>
    <w:qFormat/>
    <w:uiPriority w:val="0"/>
    <w:rPr>
      <w:rFonts w:ascii="宋体" w:hAnsi="Times New Roman" w:cs="宋体"/>
      <w:color w:val="000000"/>
      <w:sz w:val="28"/>
      <w:szCs w:val="28"/>
    </w:rPr>
  </w:style>
  <w:style w:type="paragraph" w:customStyle="1" w:styleId="629">
    <w:name w:val="样式 正文首行缩进 + 首行缩进:  2 字符"/>
    <w:basedOn w:val="79"/>
    <w:link w:val="628"/>
    <w:qFormat/>
    <w:uiPriority w:val="0"/>
    <w:pPr>
      <w:widowControl w:val="0"/>
      <w:tabs>
        <w:tab w:val="left" w:pos="628"/>
        <w:tab w:val="left" w:pos="1727"/>
        <w:tab w:val="left" w:pos="1884"/>
        <w:tab w:val="left" w:pos="2660"/>
        <w:tab w:val="left" w:pos="5460"/>
      </w:tabs>
      <w:adjustRightInd w:val="0"/>
      <w:snapToGrid w:val="0"/>
      <w:spacing w:after="0" w:line="360" w:lineRule="auto"/>
      <w:ind w:firstLine="560" w:firstLineChars="200"/>
    </w:pPr>
    <w:rPr>
      <w:rFonts w:hAnsi="Times New Roman"/>
      <w:sz w:val="28"/>
      <w:szCs w:val="28"/>
    </w:rPr>
  </w:style>
  <w:style w:type="character" w:customStyle="1" w:styleId="630">
    <w:name w:val="p4"/>
    <w:qFormat/>
    <w:uiPriority w:val="0"/>
  </w:style>
  <w:style w:type="character" w:customStyle="1" w:styleId="631">
    <w:name w:val="图表名称 Char Char"/>
    <w:link w:val="632"/>
    <w:qFormat/>
    <w:uiPriority w:val="0"/>
    <w:rPr>
      <w:rFonts w:eastAsia="黑体"/>
      <w:b/>
      <w:kern w:val="2"/>
      <w:sz w:val="21"/>
      <w:szCs w:val="24"/>
    </w:rPr>
  </w:style>
  <w:style w:type="paragraph" w:customStyle="1" w:styleId="632">
    <w:name w:val="图表名称"/>
    <w:basedOn w:val="1"/>
    <w:link w:val="631"/>
    <w:qFormat/>
    <w:uiPriority w:val="0"/>
    <w:pPr>
      <w:widowControl w:val="0"/>
      <w:jc w:val="center"/>
    </w:pPr>
    <w:rPr>
      <w:rFonts w:ascii="Calibri" w:hAnsi="Calibri" w:eastAsia="黑体" w:cs="Times New Roman"/>
      <w:b/>
      <w:kern w:val="2"/>
      <w:sz w:val="21"/>
    </w:rPr>
  </w:style>
  <w:style w:type="character" w:customStyle="1" w:styleId="633">
    <w:name w:val="h4 Char"/>
    <w:qFormat/>
    <w:uiPriority w:val="0"/>
    <w:rPr>
      <w:rFonts w:ascii="黑体" w:hAnsi="宋体" w:eastAsia="黑体" w:cs="宋体"/>
      <w:b/>
      <w:bCs/>
      <w:kern w:val="2"/>
      <w:sz w:val="24"/>
      <w:szCs w:val="24"/>
      <w:lang w:val="en-US" w:eastAsia="zh-CN" w:bidi="ar-SA"/>
    </w:rPr>
  </w:style>
  <w:style w:type="character" w:customStyle="1" w:styleId="634">
    <w:name w:val="【标题2】 Char Char"/>
    <w:link w:val="635"/>
    <w:qFormat/>
    <w:uiPriority w:val="0"/>
    <w:rPr>
      <w:b/>
      <w:bCs/>
      <w:sz w:val="32"/>
    </w:rPr>
  </w:style>
  <w:style w:type="paragraph" w:customStyle="1" w:styleId="635">
    <w:name w:val="【标题2】"/>
    <w:basedOn w:val="5"/>
    <w:link w:val="634"/>
    <w:qFormat/>
    <w:uiPriority w:val="0"/>
    <w:pPr>
      <w:keepNext w:val="0"/>
      <w:widowControl w:val="0"/>
      <w:spacing w:before="120" w:after="120" w:line="240" w:lineRule="auto"/>
      <w:jc w:val="both"/>
    </w:pPr>
    <w:rPr>
      <w:rFonts w:eastAsia="宋体"/>
      <w:b/>
      <w:sz w:val="32"/>
      <w:szCs w:val="20"/>
    </w:rPr>
  </w:style>
  <w:style w:type="character" w:customStyle="1" w:styleId="636">
    <w:name w:val="正文首行缩进 2 + Times New Roman Char1"/>
    <w:link w:val="637"/>
    <w:qFormat/>
    <w:uiPriority w:val="0"/>
    <w:rPr>
      <w:rFonts w:ascii="Times New Roman" w:hAnsi="Times New Roman"/>
      <w:sz w:val="24"/>
      <w:szCs w:val="24"/>
    </w:rPr>
  </w:style>
  <w:style w:type="paragraph" w:customStyle="1" w:styleId="637">
    <w:name w:val="正文首行缩进 2 + Times New Roman"/>
    <w:basedOn w:val="1"/>
    <w:link w:val="636"/>
    <w:qFormat/>
    <w:uiPriority w:val="0"/>
    <w:pPr>
      <w:widowControl w:val="0"/>
      <w:tabs>
        <w:tab w:val="left" w:pos="0"/>
        <w:tab w:val="left" w:pos="870"/>
        <w:tab w:val="left" w:pos="3150"/>
      </w:tabs>
      <w:autoSpaceDE w:val="0"/>
      <w:autoSpaceDN w:val="0"/>
      <w:spacing w:line="360" w:lineRule="auto"/>
      <w:ind w:firstLine="480" w:firstLineChars="200"/>
      <w:jc w:val="both"/>
    </w:pPr>
    <w:rPr>
      <w:rFonts w:ascii="Times New Roman" w:hAnsi="Times New Roman" w:cs="Times New Roman"/>
    </w:rPr>
  </w:style>
  <w:style w:type="character" w:customStyle="1" w:styleId="638">
    <w:name w:val="font111"/>
    <w:qFormat/>
    <w:uiPriority w:val="0"/>
    <w:rPr>
      <w:rFonts w:hint="eastAsia" w:ascii="宋体" w:hAnsi="宋体" w:eastAsia="宋体"/>
      <w:b/>
      <w:bCs/>
      <w:color w:val="000000"/>
      <w:sz w:val="18"/>
      <w:szCs w:val="18"/>
      <w:u w:val="none"/>
    </w:rPr>
  </w:style>
  <w:style w:type="character" w:customStyle="1" w:styleId="639">
    <w:name w:val="副标题 Char3"/>
    <w:qFormat/>
    <w:locked/>
    <w:uiPriority w:val="0"/>
    <w:rPr>
      <w:rFonts w:ascii="Arial" w:hAnsi="Arial" w:eastAsia="仿宋_GB2312"/>
      <w:b/>
      <w:bCs/>
      <w:kern w:val="28"/>
      <w:sz w:val="32"/>
      <w:szCs w:val="32"/>
    </w:rPr>
  </w:style>
  <w:style w:type="character" w:customStyle="1" w:styleId="640">
    <w:name w:val="正文文本 (2) + Georgia91"/>
    <w:qFormat/>
    <w:uiPriority w:val="99"/>
    <w:rPr>
      <w:rFonts w:ascii="Georgia" w:hAnsi="Georgia" w:eastAsia="MingLiU" w:cs="Georgia"/>
      <w:sz w:val="20"/>
      <w:szCs w:val="20"/>
      <w:u w:val="none"/>
      <w:shd w:val="clear" w:color="auto" w:fill="FFFFFF"/>
      <w:lang w:val="en-US" w:eastAsia="en-US"/>
    </w:rPr>
  </w:style>
  <w:style w:type="character" w:customStyle="1" w:styleId="641">
    <w:name w:val="标题 2 Char Char Char Char Char Char Char1"/>
    <w:qFormat/>
    <w:uiPriority w:val="0"/>
    <w:rPr>
      <w:rFonts w:eastAsia="黑体"/>
      <w:b/>
      <w:kern w:val="2"/>
      <w:sz w:val="32"/>
      <w:lang w:val="en-US" w:eastAsia="zh-CN" w:bidi="ar-SA"/>
    </w:rPr>
  </w:style>
  <w:style w:type="character" w:customStyle="1" w:styleId="642">
    <w:name w:val="style11"/>
    <w:qFormat/>
    <w:uiPriority w:val="0"/>
    <w:rPr>
      <w:rFonts w:eastAsia="宋体"/>
      <w:color w:val="000000"/>
      <w:kern w:val="2"/>
      <w:sz w:val="21"/>
      <w:szCs w:val="24"/>
      <w:lang w:val="en-US" w:eastAsia="zh-CN" w:bidi="ar-SA"/>
    </w:rPr>
  </w:style>
  <w:style w:type="character" w:customStyle="1" w:styleId="643">
    <w:name w:val="未命名11"/>
    <w:qFormat/>
    <w:uiPriority w:val="0"/>
    <w:rPr>
      <w:rFonts w:hint="eastAsia" w:ascii="宋体" w:hAnsi="宋体" w:eastAsia="宋体"/>
      <w:sz w:val="18"/>
      <w:szCs w:val="18"/>
    </w:rPr>
  </w:style>
  <w:style w:type="character" w:customStyle="1" w:styleId="644">
    <w:name w:val="r1"/>
    <w:qFormat/>
    <w:uiPriority w:val="0"/>
    <w:rPr>
      <w:sz w:val="20"/>
      <w:szCs w:val="20"/>
    </w:rPr>
  </w:style>
  <w:style w:type="character" w:customStyle="1" w:styleId="645">
    <w:name w:val="标题 11 Char"/>
    <w:qFormat/>
    <w:uiPriority w:val="0"/>
    <w:rPr>
      <w:rFonts w:ascii="黑体" w:eastAsia="黑体"/>
      <w:b/>
      <w:kern w:val="2"/>
      <w:sz w:val="28"/>
      <w:szCs w:val="24"/>
      <w:lang w:val="en-US" w:eastAsia="zh-CN" w:bidi="ar-SA"/>
    </w:rPr>
  </w:style>
  <w:style w:type="character" w:customStyle="1" w:styleId="646">
    <w:name w:val="可研-正文首行缩进 Char Char"/>
    <w:qFormat/>
    <w:uiPriority w:val="0"/>
    <w:rPr>
      <w:rFonts w:ascii="Calibri" w:hAnsi="Calibri" w:eastAsia="宋体"/>
      <w:kern w:val="2"/>
      <w:sz w:val="21"/>
      <w:szCs w:val="22"/>
      <w:lang w:val="en-US" w:eastAsia="zh-CN" w:bidi="ar-SA"/>
    </w:rPr>
  </w:style>
  <w:style w:type="character" w:customStyle="1" w:styleId="647">
    <w:name w:val="Char Char211"/>
    <w:qFormat/>
    <w:uiPriority w:val="0"/>
    <w:rPr>
      <w:rFonts w:eastAsia="宋体"/>
      <w:bCs/>
      <w:snapToGrid w:val="0"/>
      <w:spacing w:val="30"/>
      <w:sz w:val="30"/>
      <w:szCs w:val="30"/>
      <w:lang w:val="en-US" w:eastAsia="zh-CN" w:bidi="ar-SA"/>
    </w:rPr>
  </w:style>
  <w:style w:type="character" w:customStyle="1" w:styleId="648">
    <w:name w:val="规范正文 Char Char"/>
    <w:link w:val="649"/>
    <w:semiHidden/>
    <w:qFormat/>
    <w:uiPriority w:val="0"/>
    <w:rPr>
      <w:sz w:val="24"/>
    </w:rPr>
  </w:style>
  <w:style w:type="paragraph" w:customStyle="1" w:styleId="649">
    <w:name w:val="规范正文"/>
    <w:basedOn w:val="1"/>
    <w:link w:val="648"/>
    <w:semiHidden/>
    <w:qFormat/>
    <w:uiPriority w:val="0"/>
    <w:pPr>
      <w:widowControl w:val="0"/>
      <w:spacing w:line="360" w:lineRule="auto"/>
      <w:ind w:firstLine="480" w:firstLineChars="200"/>
      <w:jc w:val="both"/>
    </w:pPr>
    <w:rPr>
      <w:rFonts w:ascii="Calibri" w:hAnsi="Calibri" w:cs="Times New Roman"/>
      <w:szCs w:val="20"/>
    </w:rPr>
  </w:style>
  <w:style w:type="character" w:customStyle="1" w:styleId="650">
    <w:name w:val="纯文本 Char Char1"/>
    <w:qFormat/>
    <w:uiPriority w:val="0"/>
    <w:rPr>
      <w:rFonts w:ascii="宋体" w:hAnsi="Courier New" w:eastAsia="宋体" w:cs="Courier New"/>
      <w:bCs/>
      <w:iCs/>
      <w:kern w:val="2"/>
      <w:sz w:val="21"/>
      <w:szCs w:val="21"/>
      <w:lang w:val="en-US" w:eastAsia="zh-CN" w:bidi="ar-SA"/>
    </w:rPr>
  </w:style>
  <w:style w:type="character" w:customStyle="1" w:styleId="651">
    <w:name w:val="正文文本 (2) + 10 pt"/>
    <w:qFormat/>
    <w:uiPriority w:val="99"/>
    <w:rPr>
      <w:rFonts w:ascii="MingLiU" w:eastAsia="MingLiU" w:cs="MingLiU"/>
      <w:sz w:val="20"/>
      <w:szCs w:val="20"/>
      <w:u w:val="none"/>
      <w:shd w:val="clear" w:color="auto" w:fill="FFFFFF"/>
    </w:rPr>
  </w:style>
  <w:style w:type="character" w:customStyle="1" w:styleId="652">
    <w:name w:val="题注图名 Char Char"/>
    <w:link w:val="653"/>
    <w:qFormat/>
    <w:uiPriority w:val="0"/>
    <w:rPr>
      <w:rFonts w:ascii="Times New Roman" w:hAnsi="Times New Roman"/>
      <w:b/>
      <w:bCs/>
      <w:lang w:val="zh-CN"/>
    </w:rPr>
  </w:style>
  <w:style w:type="paragraph" w:customStyle="1" w:styleId="653">
    <w:name w:val="题注图名"/>
    <w:basedOn w:val="1"/>
    <w:link w:val="652"/>
    <w:qFormat/>
    <w:uiPriority w:val="0"/>
    <w:pPr>
      <w:widowControl w:val="0"/>
      <w:spacing w:after="120" w:line="300" w:lineRule="auto"/>
      <w:jc w:val="center"/>
    </w:pPr>
    <w:rPr>
      <w:rFonts w:ascii="Times New Roman" w:hAnsi="Times New Roman" w:cs="Times New Roman"/>
      <w:b/>
      <w:bCs/>
      <w:sz w:val="20"/>
      <w:szCs w:val="20"/>
      <w:lang w:val="zh-CN"/>
    </w:rPr>
  </w:style>
  <w:style w:type="character" w:customStyle="1" w:styleId="654">
    <w:name w:val="font-family:仿宋_gb2312"/>
    <w:qFormat/>
    <w:uiPriority w:val="0"/>
  </w:style>
  <w:style w:type="character" w:customStyle="1" w:styleId="655">
    <w:name w:val="规范正文 + 加粗 Char Char"/>
    <w:link w:val="656"/>
    <w:semiHidden/>
    <w:qFormat/>
    <w:uiPriority w:val="0"/>
    <w:rPr>
      <w:sz w:val="24"/>
    </w:rPr>
  </w:style>
  <w:style w:type="paragraph" w:customStyle="1" w:styleId="656">
    <w:name w:val="规范正文 + 加粗"/>
    <w:basedOn w:val="649"/>
    <w:link w:val="655"/>
    <w:semiHidden/>
    <w:qFormat/>
    <w:uiPriority w:val="0"/>
    <w:pPr>
      <w:ind w:firstLine="0" w:firstLineChars="0"/>
    </w:pPr>
  </w:style>
  <w:style w:type="character" w:customStyle="1" w:styleId="657">
    <w:name w:val="Char Char26"/>
    <w:qFormat/>
    <w:uiPriority w:val="0"/>
    <w:rPr>
      <w:rFonts w:hint="default" w:ascii="Times New Roman" w:hAnsi="Times New Roman" w:eastAsia="宋体" w:cs="Times New Roman"/>
      <w:szCs w:val="24"/>
    </w:rPr>
  </w:style>
  <w:style w:type="character" w:customStyle="1" w:styleId="658">
    <w:name w:val="标题1.1.1.1.1.1 Char"/>
    <w:qFormat/>
    <w:uiPriority w:val="0"/>
    <w:rPr>
      <w:rFonts w:ascii="Cambria" w:hAnsi="Cambria" w:eastAsia="宋体" w:cs="Times New Roman"/>
      <w:b/>
      <w:bCs/>
      <w:kern w:val="2"/>
      <w:sz w:val="24"/>
      <w:szCs w:val="24"/>
    </w:rPr>
  </w:style>
  <w:style w:type="character" w:customStyle="1" w:styleId="659">
    <w:name w:val="表文 Char Char"/>
    <w:link w:val="660"/>
    <w:qFormat/>
    <w:uiPriority w:val="0"/>
    <w:rPr>
      <w:rFonts w:ascii="Times New Roman" w:hAnsi="Times New Roman" w:eastAsia="仿宋_GB2312"/>
      <w:kern w:val="2"/>
      <w:sz w:val="21"/>
      <w:szCs w:val="22"/>
    </w:rPr>
  </w:style>
  <w:style w:type="paragraph" w:customStyle="1" w:styleId="660">
    <w:name w:val="表文"/>
    <w:next w:val="1"/>
    <w:link w:val="659"/>
    <w:qFormat/>
    <w:uiPriority w:val="0"/>
    <w:pPr>
      <w:spacing w:line="360" w:lineRule="exact"/>
    </w:pPr>
    <w:rPr>
      <w:rFonts w:ascii="Times New Roman" w:hAnsi="Times New Roman" w:eastAsia="仿宋_GB2312" w:cs="Times New Roman"/>
      <w:kern w:val="2"/>
      <w:sz w:val="21"/>
      <w:szCs w:val="22"/>
      <w:lang w:val="en-US" w:eastAsia="zh-CN" w:bidi="ar-SA"/>
    </w:rPr>
  </w:style>
  <w:style w:type="character" w:customStyle="1" w:styleId="661">
    <w:name w:val="1.1标题2 Char"/>
    <w:qFormat/>
    <w:uiPriority w:val="0"/>
    <w:rPr>
      <w:rFonts w:ascii="Arial" w:hAnsi="Arial" w:eastAsia="黑体"/>
      <w:bCs/>
      <w:kern w:val="2"/>
      <w:sz w:val="32"/>
      <w:szCs w:val="32"/>
      <w:lang w:val="en-US" w:eastAsia="zh-CN" w:bidi="ar-SA"/>
    </w:rPr>
  </w:style>
  <w:style w:type="character" w:customStyle="1" w:styleId="662">
    <w:name w:val="Char Char17"/>
    <w:qFormat/>
    <w:uiPriority w:val="0"/>
    <w:rPr>
      <w:rFonts w:eastAsia="宋体"/>
      <w:kern w:val="2"/>
      <w:sz w:val="21"/>
      <w:szCs w:val="24"/>
      <w:lang w:val="en-US" w:eastAsia="zh-CN" w:bidi="ar-SA"/>
    </w:rPr>
  </w:style>
  <w:style w:type="character" w:customStyle="1" w:styleId="663">
    <w:name w:val="font161"/>
    <w:qFormat/>
    <w:uiPriority w:val="0"/>
    <w:rPr>
      <w:rFonts w:hint="eastAsia" w:ascii="宋体" w:hAnsi="宋体" w:eastAsia="宋体"/>
      <w:color w:val="FF0000"/>
      <w:sz w:val="18"/>
      <w:szCs w:val="18"/>
      <w:u w:val="none"/>
    </w:rPr>
  </w:style>
  <w:style w:type="character" w:customStyle="1" w:styleId="664">
    <w:name w:val="HTML 地址 Char1"/>
    <w:semiHidden/>
    <w:qFormat/>
    <w:uiPriority w:val="99"/>
    <w:rPr>
      <w:rFonts w:ascii="Calibri" w:hAnsi="Calibri" w:eastAsia="宋体" w:cs="Times New Roman"/>
      <w:i/>
      <w:iCs/>
    </w:rPr>
  </w:style>
  <w:style w:type="character" w:customStyle="1" w:styleId="665">
    <w:name w:val="Char2"/>
    <w:qFormat/>
    <w:uiPriority w:val="0"/>
    <w:rPr>
      <w:rFonts w:eastAsia="宋体"/>
      <w:b/>
      <w:bCs/>
      <w:kern w:val="44"/>
      <w:sz w:val="44"/>
      <w:szCs w:val="44"/>
      <w:lang w:val="en-US" w:eastAsia="zh-CN" w:bidi="ar-SA"/>
    </w:rPr>
  </w:style>
  <w:style w:type="character" w:customStyle="1" w:styleId="666">
    <w:name w:val="Char1"/>
    <w:qFormat/>
    <w:uiPriority w:val="0"/>
    <w:rPr>
      <w:rFonts w:ascii="Arial" w:hAnsi="Arial" w:eastAsia="黑体"/>
      <w:b/>
      <w:kern w:val="2"/>
      <w:sz w:val="32"/>
      <w:szCs w:val="24"/>
      <w:lang w:val="en-US" w:eastAsia="zh-CN" w:bidi="ar-SA"/>
    </w:rPr>
  </w:style>
  <w:style w:type="character" w:customStyle="1" w:styleId="667">
    <w:name w:val="Char Char4"/>
    <w:qFormat/>
    <w:uiPriority w:val="0"/>
    <w:rPr>
      <w:rFonts w:hint="eastAsia" w:ascii="黑体" w:hAnsi="黑体" w:eastAsia="黑体"/>
      <w:b/>
      <w:snapToGrid w:val="0"/>
      <w:sz w:val="24"/>
      <w:szCs w:val="32"/>
      <w:lang w:val="en-US" w:eastAsia="zh-CN" w:bidi="ar-SA"/>
    </w:rPr>
  </w:style>
  <w:style w:type="character" w:customStyle="1" w:styleId="668">
    <w:name w:val="9dpi1"/>
    <w:qFormat/>
    <w:uiPriority w:val="0"/>
    <w:rPr>
      <w:spacing w:val="30"/>
      <w:sz w:val="18"/>
      <w:szCs w:val="18"/>
    </w:rPr>
  </w:style>
  <w:style w:type="character" w:customStyle="1" w:styleId="669">
    <w:name w:val="图 带文本框文字 Char Char"/>
    <w:link w:val="670"/>
    <w:qFormat/>
    <w:uiPriority w:val="0"/>
    <w:rPr>
      <w:rFonts w:ascii="Times New Roman" w:hAnsi="Times New Roman"/>
      <w:snapToGrid w:val="0"/>
      <w:kern w:val="21"/>
      <w:sz w:val="21"/>
      <w:szCs w:val="21"/>
    </w:rPr>
  </w:style>
  <w:style w:type="paragraph" w:customStyle="1" w:styleId="670">
    <w:name w:val="图 带文本框文字"/>
    <w:link w:val="669"/>
    <w:qFormat/>
    <w:uiPriority w:val="0"/>
    <w:pPr>
      <w:adjustRightInd w:val="0"/>
      <w:snapToGrid w:val="0"/>
      <w:jc w:val="center"/>
    </w:pPr>
    <w:rPr>
      <w:rFonts w:ascii="Times New Roman" w:hAnsi="Times New Roman" w:eastAsia="宋体" w:cs="Times New Roman"/>
      <w:snapToGrid w:val="0"/>
      <w:kern w:val="21"/>
      <w:sz w:val="21"/>
      <w:szCs w:val="21"/>
      <w:lang w:val="en-US" w:eastAsia="zh-CN" w:bidi="ar-SA"/>
    </w:rPr>
  </w:style>
  <w:style w:type="character" w:customStyle="1" w:styleId="671">
    <w:name w:val="章节标题 Char1"/>
    <w:qFormat/>
    <w:uiPriority w:val="0"/>
    <w:rPr>
      <w:rFonts w:eastAsia="宋体"/>
      <w:b/>
      <w:sz w:val="24"/>
      <w:szCs w:val="24"/>
      <w:lang w:val="en-US" w:eastAsia="zh-CN" w:bidi="ar-SA"/>
    </w:rPr>
  </w:style>
  <w:style w:type="character" w:customStyle="1" w:styleId="672">
    <w:name w:val="表号 Char"/>
    <w:qFormat/>
    <w:uiPriority w:val="0"/>
    <w:rPr>
      <w:b/>
    </w:rPr>
  </w:style>
  <w:style w:type="character" w:customStyle="1" w:styleId="673">
    <w:name w:val="Char Char7"/>
    <w:qFormat/>
    <w:uiPriority w:val="0"/>
    <w:rPr>
      <w:rFonts w:hint="eastAsia" w:ascii="宋体" w:hAnsi="宋体" w:eastAsia="宋体"/>
      <w:kern w:val="2"/>
      <w:sz w:val="24"/>
      <w:szCs w:val="24"/>
      <w:lang w:val="en-US" w:eastAsia="zh-CN" w:bidi="ar-SA"/>
    </w:rPr>
  </w:style>
  <w:style w:type="character" w:customStyle="1" w:styleId="674">
    <w:name w:val="项标题(1) Char"/>
    <w:qFormat/>
    <w:uiPriority w:val="0"/>
    <w:rPr>
      <w:rFonts w:ascii="Times New Roman" w:hAnsi="Times New Roman"/>
      <w:b/>
      <w:bCs/>
      <w:kern w:val="2"/>
      <w:sz w:val="24"/>
      <w:szCs w:val="24"/>
    </w:rPr>
  </w:style>
  <w:style w:type="character" w:customStyle="1" w:styleId="675">
    <w:name w:val="表格字 Char Char"/>
    <w:link w:val="676"/>
    <w:qFormat/>
    <w:uiPriority w:val="0"/>
    <w:rPr>
      <w:rFonts w:ascii="Times New Roman" w:hAnsi="Times New Roman"/>
    </w:rPr>
  </w:style>
  <w:style w:type="paragraph" w:customStyle="1" w:styleId="676">
    <w:name w:val="表格字"/>
    <w:basedOn w:val="60"/>
    <w:link w:val="675"/>
    <w:qFormat/>
    <w:uiPriority w:val="0"/>
    <w:pPr>
      <w:ind w:left="0" w:firstLine="0"/>
      <w:jc w:val="center"/>
    </w:pPr>
    <w:rPr>
      <w:rFonts w:hint="default" w:ascii="Times New Roman" w:eastAsia="宋体"/>
      <w:kern w:val="0"/>
      <w:sz w:val="20"/>
      <w:szCs w:val="20"/>
    </w:rPr>
  </w:style>
  <w:style w:type="character" w:customStyle="1" w:styleId="677">
    <w:name w:val="Char Char141"/>
    <w:qFormat/>
    <w:uiPriority w:val="0"/>
    <w:rPr>
      <w:rFonts w:eastAsia="宋体"/>
      <w:kern w:val="2"/>
      <w:sz w:val="18"/>
      <w:szCs w:val="18"/>
      <w:lang w:val="en-US" w:eastAsia="zh-CN" w:bidi="ar-SA"/>
    </w:rPr>
  </w:style>
  <w:style w:type="character" w:customStyle="1" w:styleId="678">
    <w:name w:val="样式 样式 样式 样式 (符号) 宋体 13 磅 首行缩进:  2 字符 行距: 1.5 倍行距 + 首行缩进:  2 字符 +... Char Char"/>
    <w:link w:val="679"/>
    <w:qFormat/>
    <w:uiPriority w:val="0"/>
    <w:rPr>
      <w:rFonts w:ascii="宋体" w:hAnsi="宋体"/>
      <w:sz w:val="26"/>
    </w:rPr>
  </w:style>
  <w:style w:type="paragraph" w:customStyle="1" w:styleId="679">
    <w:name w:val="样式 样式 样式 样式 (符号) 宋体 13 磅 首行缩进:  2 字符 行距: 1.5 倍行距 + 首行缩进:  2 字符 +..."/>
    <w:basedOn w:val="1"/>
    <w:link w:val="678"/>
    <w:qFormat/>
    <w:uiPriority w:val="0"/>
    <w:pPr>
      <w:widowControl w:val="0"/>
      <w:ind w:firstLine="563" w:firstLineChars="200"/>
      <w:jc w:val="both"/>
    </w:pPr>
    <w:rPr>
      <w:rFonts w:cs="Times New Roman"/>
      <w:sz w:val="26"/>
      <w:szCs w:val="20"/>
    </w:rPr>
  </w:style>
  <w:style w:type="character" w:customStyle="1" w:styleId="680">
    <w:name w:val="德胜正文顶格小标题 Char Char"/>
    <w:link w:val="681"/>
    <w:qFormat/>
    <w:uiPriority w:val="0"/>
    <w:rPr>
      <w:snapToGrid w:val="0"/>
      <w:color w:val="0000FF"/>
      <w:sz w:val="24"/>
      <w:szCs w:val="24"/>
    </w:rPr>
  </w:style>
  <w:style w:type="paragraph" w:customStyle="1" w:styleId="681">
    <w:name w:val="德胜正文顶格小标题"/>
    <w:basedOn w:val="215"/>
    <w:link w:val="680"/>
    <w:qFormat/>
    <w:uiPriority w:val="0"/>
    <w:pPr>
      <w:spacing w:line="360" w:lineRule="auto"/>
    </w:pPr>
    <w:rPr>
      <w:sz w:val="24"/>
      <w:szCs w:val="24"/>
    </w:rPr>
  </w:style>
  <w:style w:type="character" w:customStyle="1" w:styleId="682">
    <w:name w:val="style91"/>
    <w:qFormat/>
    <w:uiPriority w:val="0"/>
    <w:rPr>
      <w:b/>
      <w:bCs/>
      <w:color w:val="187CC8"/>
    </w:rPr>
  </w:style>
  <w:style w:type="character" w:customStyle="1" w:styleId="683">
    <w:name w:val="表文字 Char Char"/>
    <w:link w:val="684"/>
    <w:qFormat/>
    <w:uiPriority w:val="0"/>
    <w:rPr>
      <w:rFonts w:ascii="Times New Roman" w:hAnsi="Times New Roman" w:eastAsia="汉鼎简书宋"/>
      <w:szCs w:val="21"/>
    </w:rPr>
  </w:style>
  <w:style w:type="paragraph" w:customStyle="1" w:styleId="684">
    <w:name w:val="表文字"/>
    <w:basedOn w:val="1"/>
    <w:link w:val="683"/>
    <w:qFormat/>
    <w:uiPriority w:val="0"/>
    <w:pPr>
      <w:widowControl w:val="0"/>
      <w:topLinePunct/>
      <w:adjustRightInd w:val="0"/>
      <w:spacing w:line="240" w:lineRule="exact"/>
      <w:jc w:val="both"/>
      <w:textAlignment w:val="baseline"/>
    </w:pPr>
    <w:rPr>
      <w:rFonts w:ascii="Times New Roman" w:hAnsi="Times New Roman" w:eastAsia="汉鼎简书宋" w:cs="Times New Roman"/>
      <w:sz w:val="20"/>
      <w:szCs w:val="21"/>
    </w:rPr>
  </w:style>
  <w:style w:type="character" w:customStyle="1" w:styleId="685">
    <w:name w:val="页眉 Char Char"/>
    <w:qFormat/>
    <w:uiPriority w:val="0"/>
    <w:rPr>
      <w:sz w:val="18"/>
      <w:szCs w:val="18"/>
    </w:rPr>
  </w:style>
  <w:style w:type="character" w:customStyle="1" w:styleId="686">
    <w:name w:val="职卫正文 Char Char"/>
    <w:link w:val="687"/>
    <w:qFormat/>
    <w:uiPriority w:val="0"/>
    <w:rPr>
      <w:rFonts w:ascii="仿宋_GB2312" w:hAnsi="宋体" w:eastAsia="仿宋_GB2312"/>
      <w:color w:val="000000"/>
      <w:spacing w:val="-2"/>
      <w:kern w:val="16"/>
      <w:sz w:val="28"/>
      <w:szCs w:val="24"/>
    </w:rPr>
  </w:style>
  <w:style w:type="paragraph" w:customStyle="1" w:styleId="687">
    <w:name w:val="职卫正文"/>
    <w:basedOn w:val="1"/>
    <w:link w:val="686"/>
    <w:qFormat/>
    <w:uiPriority w:val="0"/>
    <w:pPr>
      <w:widowControl w:val="0"/>
      <w:spacing w:line="486" w:lineRule="exact"/>
      <w:ind w:firstLine="200" w:firstLineChars="200"/>
    </w:pPr>
    <w:rPr>
      <w:rFonts w:ascii="仿宋_GB2312" w:eastAsia="仿宋_GB2312" w:cs="Times New Roman"/>
      <w:color w:val="000000"/>
      <w:spacing w:val="-2"/>
      <w:kern w:val="16"/>
      <w:sz w:val="28"/>
    </w:rPr>
  </w:style>
  <w:style w:type="character" w:customStyle="1" w:styleId="688">
    <w:name w:val="图表内容 Char"/>
    <w:link w:val="689"/>
    <w:qFormat/>
    <w:uiPriority w:val="0"/>
    <w:rPr>
      <w:rFonts w:ascii="Times New Roman" w:hAnsi="Times New Roman" w:eastAsia="仿宋_GB2312"/>
    </w:rPr>
  </w:style>
  <w:style w:type="paragraph" w:customStyle="1" w:styleId="689">
    <w:name w:val="图表内容"/>
    <w:basedOn w:val="1"/>
    <w:link w:val="688"/>
    <w:qFormat/>
    <w:uiPriority w:val="0"/>
    <w:pPr>
      <w:widowControl w:val="0"/>
      <w:adjustRightInd w:val="0"/>
      <w:snapToGrid w:val="0"/>
      <w:jc w:val="center"/>
    </w:pPr>
    <w:rPr>
      <w:rFonts w:ascii="Times New Roman" w:hAnsi="Times New Roman" w:eastAsia="仿宋_GB2312" w:cs="Times New Roman"/>
      <w:sz w:val="20"/>
      <w:szCs w:val="20"/>
    </w:rPr>
  </w:style>
  <w:style w:type="character" w:customStyle="1" w:styleId="690">
    <w:name w:val="正文文本缩进 3 Char2"/>
    <w:semiHidden/>
    <w:qFormat/>
    <w:uiPriority w:val="0"/>
    <w:rPr>
      <w:rFonts w:ascii="Times New Roman" w:hAnsi="Times New Roman" w:eastAsia="宋体" w:cs="Times New Roman"/>
      <w:sz w:val="16"/>
      <w:szCs w:val="16"/>
    </w:rPr>
  </w:style>
  <w:style w:type="character" w:customStyle="1" w:styleId="691">
    <w:name w:val="正文. Char Char"/>
    <w:link w:val="692"/>
    <w:qFormat/>
    <w:uiPriority w:val="0"/>
    <w:rPr>
      <w:rFonts w:ascii="Times New Roman" w:hAnsi="Times New Roman"/>
      <w:snapToGrid w:val="0"/>
      <w:color w:val="000000"/>
      <w:sz w:val="24"/>
      <w:szCs w:val="24"/>
      <w:lang w:val="en-US" w:eastAsia="zh-CN"/>
    </w:rPr>
  </w:style>
  <w:style w:type="paragraph" w:customStyle="1" w:styleId="692">
    <w:name w:val="正文."/>
    <w:basedOn w:val="1"/>
    <w:link w:val="691"/>
    <w:qFormat/>
    <w:uiPriority w:val="0"/>
    <w:pPr>
      <w:widowControl w:val="0"/>
      <w:tabs>
        <w:tab w:val="left" w:leader="dot" w:pos="48"/>
      </w:tabs>
      <w:autoSpaceDE w:val="0"/>
      <w:autoSpaceDN w:val="0"/>
      <w:adjustRightInd w:val="0"/>
      <w:spacing w:line="360" w:lineRule="auto"/>
      <w:ind w:firstLine="480"/>
      <w:jc w:val="both"/>
    </w:pPr>
    <w:rPr>
      <w:rFonts w:ascii="Times New Roman" w:hAnsi="Times New Roman" w:cs="Times New Roman"/>
      <w:snapToGrid w:val="0"/>
      <w:color w:val="000000"/>
    </w:rPr>
  </w:style>
  <w:style w:type="character" w:customStyle="1" w:styleId="693">
    <w:name w:val="样式1 Char Char"/>
    <w:qFormat/>
    <w:uiPriority w:val="0"/>
    <w:rPr>
      <w:rFonts w:ascii="宋体" w:eastAsia="宋体"/>
      <w:color w:val="000000"/>
      <w:kern w:val="2"/>
      <w:sz w:val="21"/>
      <w:szCs w:val="21"/>
      <w:lang w:val="zh-CN" w:eastAsia="zh-CN" w:bidi="ar-SA"/>
    </w:rPr>
  </w:style>
  <w:style w:type="character" w:customStyle="1" w:styleId="694">
    <w:name w:val="model11"/>
    <w:qFormat/>
    <w:uiPriority w:val="0"/>
    <w:rPr>
      <w:rFonts w:hint="eastAsia" w:ascii="宋体" w:hAnsi="宋体" w:eastAsia="宋体"/>
      <w:sz w:val="18"/>
      <w:szCs w:val="18"/>
      <w:u w:val="none"/>
    </w:rPr>
  </w:style>
  <w:style w:type="character" w:customStyle="1" w:styleId="695">
    <w:name w:val="表内容 Char Char"/>
    <w:link w:val="696"/>
    <w:qFormat/>
    <w:uiPriority w:val="0"/>
    <w:rPr>
      <w:smallCaps/>
    </w:rPr>
  </w:style>
  <w:style w:type="paragraph" w:customStyle="1" w:styleId="696">
    <w:name w:val="表内容"/>
    <w:basedOn w:val="1"/>
    <w:link w:val="695"/>
    <w:qFormat/>
    <w:uiPriority w:val="0"/>
    <w:pPr>
      <w:autoSpaceDE w:val="0"/>
      <w:autoSpaceDN w:val="0"/>
      <w:adjustRightInd w:val="0"/>
      <w:jc w:val="center"/>
      <w:textAlignment w:val="bottom"/>
    </w:pPr>
    <w:rPr>
      <w:rFonts w:ascii="Calibri" w:hAnsi="Calibri" w:cs="Times New Roman"/>
      <w:smallCaps/>
      <w:sz w:val="20"/>
      <w:szCs w:val="20"/>
    </w:rPr>
  </w:style>
  <w:style w:type="character" w:customStyle="1" w:styleId="697">
    <w:name w:val="无节项 Char Char"/>
    <w:qFormat/>
    <w:uiPriority w:val="0"/>
    <w:rPr>
      <w:rFonts w:eastAsia="仿宋_GB2312"/>
      <w:kern w:val="21"/>
      <w:sz w:val="21"/>
      <w:lang w:val="en-US" w:eastAsia="zh-CN" w:bidi="ar-SA"/>
    </w:rPr>
  </w:style>
  <w:style w:type="character" w:customStyle="1" w:styleId="698">
    <w:name w:val="样式2 Char Char"/>
    <w:qFormat/>
    <w:uiPriority w:val="0"/>
    <w:rPr>
      <w:rFonts w:ascii="黑体" w:hAnsi="仿宋_GB2312" w:eastAsia="黑体"/>
      <w:b/>
      <w:bCs/>
      <w:kern w:val="2"/>
      <w:sz w:val="30"/>
      <w:szCs w:val="30"/>
      <w:lang w:val="en-US" w:eastAsia="zh-CN" w:bidi="ar-SA"/>
    </w:rPr>
  </w:style>
  <w:style w:type="character" w:customStyle="1" w:styleId="699">
    <w:name w:val="样式 宋体 13 磅 首行缩进:  0.99 厘米 Char Char"/>
    <w:link w:val="700"/>
    <w:qFormat/>
    <w:uiPriority w:val="0"/>
    <w:rPr>
      <w:rFonts w:ascii="宋体" w:hAnsi="宋体"/>
      <w:sz w:val="27"/>
      <w:szCs w:val="27"/>
    </w:rPr>
  </w:style>
  <w:style w:type="paragraph" w:customStyle="1" w:styleId="700">
    <w:name w:val="样式 宋体 13 磅 首行缩进:  0.99 厘米"/>
    <w:basedOn w:val="1"/>
    <w:link w:val="699"/>
    <w:qFormat/>
    <w:uiPriority w:val="0"/>
    <w:pPr>
      <w:widowControl w:val="0"/>
      <w:ind w:firstLine="560"/>
      <w:jc w:val="both"/>
    </w:pPr>
    <w:rPr>
      <w:rFonts w:cs="Times New Roman"/>
      <w:sz w:val="27"/>
      <w:szCs w:val="27"/>
    </w:rPr>
  </w:style>
  <w:style w:type="character" w:customStyle="1" w:styleId="701">
    <w:name w:val="Char Char132"/>
    <w:qFormat/>
    <w:uiPriority w:val="0"/>
    <w:rPr>
      <w:sz w:val="18"/>
      <w:szCs w:val="18"/>
    </w:rPr>
  </w:style>
  <w:style w:type="character" w:customStyle="1" w:styleId="702">
    <w:name w:val="plus"/>
    <w:qFormat/>
    <w:uiPriority w:val="0"/>
    <w:rPr>
      <w:b/>
      <w:vanish/>
      <w:color w:val="1F8DEF"/>
      <w:sz w:val="24"/>
      <w:szCs w:val="24"/>
    </w:rPr>
  </w:style>
  <w:style w:type="character" w:customStyle="1" w:styleId="703">
    <w:name w:val="【标题4】 Char Char"/>
    <w:link w:val="704"/>
    <w:qFormat/>
    <w:uiPriority w:val="0"/>
    <w:rPr>
      <w:b/>
      <w:bCs/>
      <w:sz w:val="28"/>
    </w:rPr>
  </w:style>
  <w:style w:type="paragraph" w:customStyle="1" w:styleId="704">
    <w:name w:val="【标题4】"/>
    <w:basedOn w:val="1"/>
    <w:link w:val="703"/>
    <w:qFormat/>
    <w:uiPriority w:val="0"/>
    <w:pPr>
      <w:keepLines/>
      <w:widowControl w:val="0"/>
      <w:spacing w:before="120" w:after="120"/>
      <w:outlineLvl w:val="3"/>
    </w:pPr>
    <w:rPr>
      <w:rFonts w:ascii="Calibri" w:hAnsi="Calibri" w:cs="Times New Roman"/>
      <w:b/>
      <w:bCs/>
      <w:sz w:val="28"/>
      <w:szCs w:val="20"/>
    </w:rPr>
  </w:style>
  <w:style w:type="character" w:customStyle="1" w:styleId="705">
    <w:name w:val="表格四号 Char Char"/>
    <w:link w:val="706"/>
    <w:qFormat/>
    <w:uiPriority w:val="0"/>
    <w:rPr>
      <w:rFonts w:ascii="宋体" w:hAnsi="宋体"/>
      <w:snapToGrid w:val="0"/>
      <w:sz w:val="28"/>
      <w:szCs w:val="28"/>
    </w:rPr>
  </w:style>
  <w:style w:type="paragraph" w:customStyle="1" w:styleId="706">
    <w:name w:val="表格四号"/>
    <w:basedOn w:val="1"/>
    <w:link w:val="705"/>
    <w:qFormat/>
    <w:uiPriority w:val="0"/>
    <w:pPr>
      <w:widowControl w:val="0"/>
      <w:adjustRightInd w:val="0"/>
      <w:snapToGrid w:val="0"/>
      <w:jc w:val="center"/>
    </w:pPr>
    <w:rPr>
      <w:rFonts w:cs="Times New Roman"/>
      <w:snapToGrid w:val="0"/>
      <w:sz w:val="28"/>
      <w:szCs w:val="28"/>
    </w:rPr>
  </w:style>
  <w:style w:type="character" w:customStyle="1" w:styleId="707">
    <w:name w:val="articlebody3"/>
    <w:qFormat/>
    <w:uiPriority w:val="0"/>
    <w:rPr>
      <w:sz w:val="21"/>
      <w:szCs w:val="21"/>
    </w:rPr>
  </w:style>
  <w:style w:type="character" w:customStyle="1" w:styleId="708">
    <w:name w:val="批注主题 Char2"/>
    <w:qFormat/>
    <w:uiPriority w:val="99"/>
    <w:rPr>
      <w:rFonts w:ascii="Calibri" w:hAnsi="Calibri" w:eastAsia="宋体" w:cs="Times New Roman"/>
      <w:b/>
      <w:bCs/>
    </w:rPr>
  </w:style>
  <w:style w:type="character" w:customStyle="1" w:styleId="709">
    <w:name w:val="正文首行缩进2字符 Char1"/>
    <w:link w:val="710"/>
    <w:qFormat/>
    <w:uiPriority w:val="0"/>
    <w:rPr>
      <w:rFonts w:ascii="Times New Roman" w:hAnsi="Times New Roman"/>
      <w:sz w:val="28"/>
      <w:szCs w:val="24"/>
    </w:rPr>
  </w:style>
  <w:style w:type="paragraph" w:customStyle="1" w:styleId="710">
    <w:name w:val="正文首行缩进2字符"/>
    <w:basedOn w:val="1"/>
    <w:link w:val="709"/>
    <w:qFormat/>
    <w:uiPriority w:val="0"/>
    <w:pPr>
      <w:widowControl w:val="0"/>
      <w:spacing w:line="480" w:lineRule="exact"/>
      <w:ind w:firstLine="200" w:firstLineChars="200"/>
      <w:jc w:val="both"/>
    </w:pPr>
    <w:rPr>
      <w:rFonts w:ascii="Times New Roman" w:hAnsi="Times New Roman" w:cs="Times New Roman"/>
      <w:sz w:val="28"/>
    </w:rPr>
  </w:style>
  <w:style w:type="character" w:customStyle="1" w:styleId="711">
    <w:name w:val="表内 Char"/>
    <w:link w:val="712"/>
    <w:qFormat/>
    <w:locked/>
    <w:uiPriority w:val="0"/>
    <w:rPr>
      <w:rFonts w:ascii="Times New Roman" w:hAnsi="Times New Roman"/>
      <w:snapToGrid w:val="0"/>
      <w:kern w:val="2"/>
      <w:sz w:val="21"/>
    </w:rPr>
  </w:style>
  <w:style w:type="paragraph" w:customStyle="1" w:styleId="712">
    <w:name w:val="表内"/>
    <w:basedOn w:val="102"/>
    <w:next w:val="1"/>
    <w:link w:val="711"/>
    <w:qFormat/>
    <w:uiPriority w:val="0"/>
    <w:pPr>
      <w:adjustRightInd w:val="0"/>
      <w:spacing w:before="120" w:after="120" w:line="288" w:lineRule="auto"/>
    </w:pPr>
    <w:rPr>
      <w:rFonts w:ascii="Times New Roman" w:hAnsi="Times New Roman"/>
      <w:snapToGrid w:val="0"/>
      <w:szCs w:val="20"/>
    </w:rPr>
  </w:style>
  <w:style w:type="character" w:customStyle="1" w:styleId="713">
    <w:name w:val="正文文本缩进 2 Char Char"/>
    <w:qFormat/>
    <w:uiPriority w:val="0"/>
    <w:rPr>
      <w:rFonts w:ascii="宋体" w:hAnsi="Times New Roman" w:eastAsia="宋体" w:cs="Times New Roman"/>
      <w:color w:val="000000"/>
      <w:kern w:val="0"/>
      <w:sz w:val="36"/>
      <w:szCs w:val="20"/>
    </w:rPr>
  </w:style>
  <w:style w:type="character" w:customStyle="1" w:styleId="714">
    <w:name w:val="目标题 1) Char Char"/>
    <w:qFormat/>
    <w:uiPriority w:val="0"/>
    <w:rPr>
      <w:rFonts w:ascii="Arial" w:hAnsi="Arial" w:eastAsia="黑体"/>
      <w:kern w:val="2"/>
      <w:sz w:val="24"/>
      <w:szCs w:val="24"/>
    </w:rPr>
  </w:style>
  <w:style w:type="character" w:customStyle="1" w:styleId="715">
    <w:name w:val="日期 Char Char"/>
    <w:qFormat/>
    <w:uiPriority w:val="0"/>
    <w:rPr>
      <w:rFonts w:ascii="Times New Roman" w:hAnsi="Times New Roman" w:eastAsia="宋体" w:cs="Times New Roman"/>
      <w:sz w:val="24"/>
      <w:szCs w:val="20"/>
    </w:rPr>
  </w:style>
  <w:style w:type="character" w:customStyle="1" w:styleId="716">
    <w:name w:val="epapagename"/>
    <w:qFormat/>
    <w:uiPriority w:val="0"/>
  </w:style>
  <w:style w:type="character" w:customStyle="1" w:styleId="717">
    <w:name w:val="表格内容1 Char Char Char Char Char"/>
    <w:link w:val="718"/>
    <w:qFormat/>
    <w:uiPriority w:val="0"/>
    <w:rPr>
      <w:rFonts w:ascii="Arial" w:hAnsi="Arial" w:eastAsia="仿宋_GB2312"/>
      <w:kern w:val="24"/>
      <w:szCs w:val="24"/>
    </w:rPr>
  </w:style>
  <w:style w:type="paragraph" w:customStyle="1" w:styleId="718">
    <w:name w:val="表格内容1 Char Char Char"/>
    <w:basedOn w:val="1"/>
    <w:link w:val="717"/>
    <w:qFormat/>
    <w:uiPriority w:val="0"/>
    <w:pPr>
      <w:widowControl w:val="0"/>
      <w:spacing w:line="240" w:lineRule="atLeast"/>
      <w:jc w:val="center"/>
    </w:pPr>
    <w:rPr>
      <w:rFonts w:ascii="Arial" w:hAnsi="Arial" w:eastAsia="仿宋_GB2312" w:cs="Times New Roman"/>
      <w:kern w:val="24"/>
      <w:sz w:val="20"/>
    </w:rPr>
  </w:style>
  <w:style w:type="character" w:customStyle="1" w:styleId="719">
    <w:name w:val="HTML 预设格式 Char1"/>
    <w:qFormat/>
    <w:uiPriority w:val="99"/>
    <w:rPr>
      <w:rFonts w:ascii="Courier New" w:hAnsi="Courier New" w:eastAsia="宋体" w:cs="Courier New"/>
      <w:sz w:val="20"/>
      <w:szCs w:val="20"/>
    </w:rPr>
  </w:style>
  <w:style w:type="character" w:customStyle="1" w:styleId="720">
    <w:name w:val="z-窗体顶端 Char1"/>
    <w:semiHidden/>
    <w:qFormat/>
    <w:uiPriority w:val="99"/>
    <w:rPr>
      <w:rFonts w:ascii="Arial" w:hAnsi="Arial" w:eastAsia="宋体" w:cs="Arial"/>
      <w:vanish/>
      <w:sz w:val="16"/>
      <w:szCs w:val="16"/>
    </w:rPr>
  </w:style>
  <w:style w:type="character" w:customStyle="1" w:styleId="721">
    <w:name w:val="图例 Char Char"/>
    <w:link w:val="722"/>
    <w:qFormat/>
    <w:uiPriority w:val="0"/>
    <w:rPr>
      <w:rFonts w:ascii="Times New Roman" w:hAnsi="Times New Roman"/>
      <w:b/>
      <w:bCs/>
      <w:szCs w:val="24"/>
      <w:lang w:val="zh-CN"/>
    </w:rPr>
  </w:style>
  <w:style w:type="paragraph" w:customStyle="1" w:styleId="722">
    <w:name w:val="图例"/>
    <w:basedOn w:val="653"/>
    <w:link w:val="721"/>
    <w:qFormat/>
    <w:uiPriority w:val="0"/>
    <w:rPr>
      <w:szCs w:val="24"/>
    </w:rPr>
  </w:style>
  <w:style w:type="character" w:customStyle="1" w:styleId="723">
    <w:name w:val="小标题 Char Char"/>
    <w:link w:val="724"/>
    <w:qFormat/>
    <w:uiPriority w:val="0"/>
    <w:rPr>
      <w:rFonts w:ascii="Times New Roman" w:hAnsi="Times New Roman" w:eastAsia="仿宋_GB2312"/>
      <w:b/>
      <w:sz w:val="28"/>
    </w:rPr>
  </w:style>
  <w:style w:type="paragraph" w:customStyle="1" w:styleId="724">
    <w:name w:val="小标题"/>
    <w:basedOn w:val="1"/>
    <w:next w:val="1"/>
    <w:link w:val="723"/>
    <w:qFormat/>
    <w:uiPriority w:val="0"/>
    <w:pPr>
      <w:widowControl w:val="0"/>
      <w:spacing w:line="486" w:lineRule="exact"/>
      <w:ind w:firstLine="200" w:firstLineChars="200"/>
    </w:pPr>
    <w:rPr>
      <w:rFonts w:ascii="Times New Roman" w:hAnsi="Times New Roman" w:eastAsia="仿宋_GB2312" w:cs="Times New Roman"/>
      <w:b/>
      <w:sz w:val="28"/>
      <w:szCs w:val="20"/>
    </w:rPr>
  </w:style>
  <w:style w:type="character" w:customStyle="1" w:styleId="725">
    <w:name w:val="正文11 Char Char Char Char1"/>
    <w:qFormat/>
    <w:uiPriority w:val="0"/>
    <w:rPr>
      <w:rFonts w:ascii="宋体" w:hAnsi="宋体" w:eastAsia="宋体"/>
      <w:snapToGrid w:val="0"/>
      <w:sz w:val="24"/>
      <w:szCs w:val="24"/>
      <w:lang w:val="en-US" w:eastAsia="zh-CN" w:bidi="ar-SA"/>
    </w:rPr>
  </w:style>
  <w:style w:type="character" w:customStyle="1" w:styleId="726">
    <w:name w:val="Char Char29"/>
    <w:qFormat/>
    <w:uiPriority w:val="0"/>
    <w:rPr>
      <w:rFonts w:hint="eastAsia" w:ascii="宋体" w:hAnsi="Times New Roman" w:eastAsia="宋体" w:cs="Times New Roman"/>
      <w:color w:val="000000"/>
      <w:kern w:val="0"/>
      <w:sz w:val="36"/>
      <w:szCs w:val="20"/>
    </w:rPr>
  </w:style>
  <w:style w:type="character" w:customStyle="1" w:styleId="727">
    <w:name w:val="正文缩进 Char1"/>
    <w:link w:val="728"/>
    <w:qFormat/>
    <w:uiPriority w:val="0"/>
    <w:rPr>
      <w:rFonts w:ascii="Times New Roman" w:hAnsi="Times New Roman" w:eastAsia="宋体" w:cs="Times New Roman"/>
      <w:szCs w:val="24"/>
    </w:rPr>
  </w:style>
  <w:style w:type="paragraph" w:customStyle="1" w:styleId="728">
    <w:name w:val="正文缩进1"/>
    <w:basedOn w:val="1"/>
    <w:link w:val="727"/>
    <w:qFormat/>
    <w:uiPriority w:val="0"/>
    <w:pPr>
      <w:widowControl w:val="0"/>
      <w:spacing w:line="360" w:lineRule="exact"/>
      <w:ind w:firstLine="510"/>
      <w:jc w:val="both"/>
    </w:pPr>
    <w:rPr>
      <w:rFonts w:ascii="Times New Roman" w:hAnsi="Times New Roman" w:cs="Times New Roman"/>
      <w:sz w:val="20"/>
    </w:rPr>
  </w:style>
  <w:style w:type="character" w:customStyle="1" w:styleId="729">
    <w:name w:val="日期 Char1"/>
    <w:qFormat/>
    <w:uiPriority w:val="99"/>
    <w:rPr>
      <w:rFonts w:ascii="Times New Roman" w:hAnsi="Times New Roman" w:eastAsia="宋体" w:cs="Times New Roman"/>
      <w:szCs w:val="24"/>
    </w:rPr>
  </w:style>
  <w:style w:type="character" w:customStyle="1" w:styleId="730">
    <w:name w:val="Char Char152"/>
    <w:link w:val="731"/>
    <w:qFormat/>
    <w:uiPriority w:val="0"/>
    <w:rPr>
      <w:sz w:val="24"/>
    </w:rPr>
  </w:style>
  <w:style w:type="paragraph" w:customStyle="1" w:styleId="731">
    <w:name w:val="正文文本1"/>
    <w:basedOn w:val="1"/>
    <w:link w:val="730"/>
    <w:qFormat/>
    <w:uiPriority w:val="0"/>
    <w:pPr>
      <w:widowControl w:val="0"/>
      <w:spacing w:line="240" w:lineRule="atLeast"/>
      <w:jc w:val="center"/>
    </w:pPr>
    <w:rPr>
      <w:rFonts w:ascii="Calibri" w:hAnsi="Calibri" w:cs="Times New Roman"/>
      <w:szCs w:val="20"/>
    </w:rPr>
  </w:style>
  <w:style w:type="character" w:customStyle="1" w:styleId="732">
    <w:name w:val="cucd-B Char Char Char Char"/>
    <w:link w:val="733"/>
    <w:qFormat/>
    <w:uiPriority w:val="0"/>
    <w:rPr>
      <w:rFonts w:ascii="宋体" w:hAnsi="宋体"/>
      <w:color w:val="000000"/>
      <w:sz w:val="21"/>
      <w:szCs w:val="21"/>
    </w:rPr>
  </w:style>
  <w:style w:type="paragraph" w:customStyle="1" w:styleId="733">
    <w:name w:val="cucd-B Char Char"/>
    <w:next w:val="1"/>
    <w:link w:val="732"/>
    <w:qFormat/>
    <w:uiPriority w:val="0"/>
    <w:pPr>
      <w:widowControl w:val="0"/>
      <w:spacing w:beforeLines="50" w:line="240" w:lineRule="atLeast"/>
      <w:jc w:val="both"/>
    </w:pPr>
    <w:rPr>
      <w:rFonts w:ascii="宋体" w:hAnsi="宋体" w:eastAsia="宋体" w:cs="Times New Roman"/>
      <w:color w:val="000000"/>
      <w:sz w:val="21"/>
      <w:szCs w:val="21"/>
      <w:lang w:val="en-US" w:eastAsia="zh-CN" w:bidi="ar-SA"/>
    </w:rPr>
  </w:style>
  <w:style w:type="character" w:customStyle="1" w:styleId="734">
    <w:name w:val="正文文本 3 Char Char"/>
    <w:qFormat/>
    <w:uiPriority w:val="0"/>
    <w:rPr>
      <w:rFonts w:ascii="Times New Roman" w:hAnsi="Times New Roman" w:eastAsia="宋体" w:cs="Times New Roman"/>
      <w:sz w:val="16"/>
      <w:szCs w:val="16"/>
    </w:rPr>
  </w:style>
  <w:style w:type="character" w:customStyle="1" w:styleId="735">
    <w:name w:val="不明显强调1"/>
    <w:qFormat/>
    <w:uiPriority w:val="19"/>
    <w:rPr>
      <w:i/>
      <w:iCs/>
      <w:color w:val="808080"/>
    </w:rPr>
  </w:style>
  <w:style w:type="character" w:customStyle="1" w:styleId="736">
    <w:name w:val="小表右 Char Char"/>
    <w:link w:val="737"/>
    <w:qFormat/>
    <w:uiPriority w:val="0"/>
    <w:rPr>
      <w:rFonts w:ascii="宋体" w:hAnsi="宋体"/>
    </w:rPr>
  </w:style>
  <w:style w:type="paragraph" w:customStyle="1" w:styleId="737">
    <w:name w:val="小表右"/>
    <w:basedOn w:val="1"/>
    <w:link w:val="736"/>
    <w:qFormat/>
    <w:uiPriority w:val="0"/>
    <w:pPr>
      <w:keepNext/>
      <w:widowControl w:val="0"/>
      <w:tabs>
        <w:tab w:val="left" w:pos="719"/>
        <w:tab w:val="left" w:pos="3156"/>
        <w:tab w:val="left" w:pos="4105"/>
        <w:tab w:val="left" w:pos="5054"/>
        <w:tab w:val="left" w:pos="6003"/>
        <w:tab w:val="left" w:pos="7183"/>
        <w:tab w:val="left" w:pos="8159"/>
        <w:tab w:val="left" w:pos="9312"/>
        <w:tab w:val="left" w:pos="10261"/>
        <w:tab w:val="left" w:pos="11210"/>
        <w:tab w:val="left" w:pos="12159"/>
        <w:tab w:val="left" w:pos="13108"/>
        <w:tab w:val="left" w:pos="14057"/>
        <w:tab w:val="left" w:pos="15006"/>
        <w:tab w:val="left" w:pos="15955"/>
        <w:tab w:val="left" w:pos="16904"/>
        <w:tab w:val="left" w:pos="17853"/>
        <w:tab w:val="left" w:pos="18802"/>
        <w:tab w:val="left" w:pos="19751"/>
        <w:tab w:val="left" w:pos="20700"/>
      </w:tabs>
      <w:adjustRightInd w:val="0"/>
      <w:snapToGrid w:val="0"/>
      <w:spacing w:line="240" w:lineRule="atLeast"/>
      <w:ind w:right="28" w:rightChars="10"/>
      <w:jc w:val="right"/>
    </w:pPr>
    <w:rPr>
      <w:rFonts w:cs="Times New Roman"/>
      <w:sz w:val="20"/>
      <w:szCs w:val="20"/>
    </w:rPr>
  </w:style>
  <w:style w:type="character" w:customStyle="1" w:styleId="738">
    <w:name w:val="A3"/>
    <w:qFormat/>
    <w:uiPriority w:val="0"/>
    <w:rPr>
      <w:rFonts w:ascii="BankGothic Lt BT" w:hAnsi="BankGothic Lt BT" w:cs="BankGothic Lt BT"/>
      <w:color w:val="000000"/>
      <w:sz w:val="36"/>
      <w:szCs w:val="36"/>
    </w:rPr>
  </w:style>
  <w:style w:type="character" w:customStyle="1" w:styleId="739">
    <w:name w:val="表格和图片 Char Char"/>
    <w:link w:val="740"/>
    <w:semiHidden/>
    <w:qFormat/>
    <w:uiPriority w:val="0"/>
    <w:rPr>
      <w:color w:val="000000"/>
      <w:sz w:val="24"/>
    </w:rPr>
  </w:style>
  <w:style w:type="paragraph" w:customStyle="1" w:styleId="740">
    <w:name w:val="表格和图片"/>
    <w:basedOn w:val="1"/>
    <w:link w:val="739"/>
    <w:semiHidden/>
    <w:qFormat/>
    <w:uiPriority w:val="0"/>
    <w:pPr>
      <w:widowControl w:val="0"/>
      <w:spacing w:line="360" w:lineRule="auto"/>
      <w:jc w:val="center"/>
    </w:pPr>
    <w:rPr>
      <w:rFonts w:ascii="Calibri" w:hAnsi="Calibri" w:cs="Times New Roman"/>
      <w:color w:val="000000"/>
      <w:szCs w:val="20"/>
    </w:rPr>
  </w:style>
  <w:style w:type="character" w:customStyle="1" w:styleId="741">
    <w:name w:val="large"/>
    <w:qFormat/>
    <w:uiPriority w:val="0"/>
  </w:style>
  <w:style w:type="character" w:customStyle="1" w:styleId="742">
    <w:name w:val="background-color:#ffffff"/>
    <w:qFormat/>
    <w:uiPriority w:val="0"/>
  </w:style>
  <w:style w:type="character" w:customStyle="1" w:styleId="743">
    <w:name w:val="font21"/>
    <w:qFormat/>
    <w:uiPriority w:val="0"/>
    <w:rPr>
      <w:rFonts w:hint="eastAsia" w:ascii="宋体" w:hAnsi="宋体" w:eastAsia="宋体"/>
      <w:color w:val="000000"/>
      <w:sz w:val="22"/>
      <w:u w:val="none"/>
    </w:rPr>
  </w:style>
  <w:style w:type="character" w:customStyle="1" w:styleId="744">
    <w:name w:val="zy"/>
    <w:qFormat/>
    <w:uiPriority w:val="0"/>
  </w:style>
  <w:style w:type="character" w:customStyle="1" w:styleId="745">
    <w:name w:val="zhengwencolor1"/>
    <w:qFormat/>
    <w:uiPriority w:val="0"/>
    <w:rPr>
      <w:color w:val="000000"/>
      <w:sz w:val="16"/>
      <w:szCs w:val="16"/>
    </w:rPr>
  </w:style>
  <w:style w:type="character" w:customStyle="1" w:styleId="746">
    <w:name w:val="正文文本 2 Char1"/>
    <w:qFormat/>
    <w:uiPriority w:val="0"/>
    <w:rPr>
      <w:rFonts w:ascii="Times New Roman" w:hAnsi="Times New Roman" w:eastAsia="宋体" w:cs="Times New Roman"/>
      <w:szCs w:val="24"/>
    </w:rPr>
  </w:style>
  <w:style w:type="character" w:customStyle="1" w:styleId="747">
    <w:name w:val="aaa Char Char"/>
    <w:link w:val="748"/>
    <w:qFormat/>
    <w:uiPriority w:val="0"/>
    <w:rPr>
      <w:rFonts w:ascii="ˎ̥" w:hAnsi="ˎ̥"/>
      <w:bCs/>
      <w:color w:val="000000"/>
      <w:sz w:val="24"/>
    </w:rPr>
  </w:style>
  <w:style w:type="paragraph" w:customStyle="1" w:styleId="748">
    <w:name w:val="aaa"/>
    <w:basedOn w:val="1"/>
    <w:link w:val="747"/>
    <w:qFormat/>
    <w:uiPriority w:val="0"/>
    <w:pPr>
      <w:widowControl w:val="0"/>
      <w:spacing w:beforeLines="50" w:afterLines="50" w:line="360" w:lineRule="auto"/>
      <w:ind w:firstLine="480" w:firstLineChars="200"/>
      <w:jc w:val="both"/>
    </w:pPr>
    <w:rPr>
      <w:rFonts w:ascii="ˎ̥" w:hAnsi="ˎ̥" w:cs="Times New Roman"/>
      <w:bCs/>
      <w:color w:val="000000"/>
      <w:szCs w:val="20"/>
    </w:rPr>
  </w:style>
  <w:style w:type="character" w:customStyle="1" w:styleId="749">
    <w:name w:val="Char Char171"/>
    <w:qFormat/>
    <w:uiPriority w:val="0"/>
    <w:rPr>
      <w:rFonts w:eastAsia="宋体"/>
      <w:kern w:val="2"/>
      <w:sz w:val="21"/>
      <w:szCs w:val="24"/>
      <w:lang w:val="en-US" w:eastAsia="zh-CN" w:bidi="ar-SA"/>
    </w:rPr>
  </w:style>
  <w:style w:type="character" w:customStyle="1" w:styleId="750">
    <w:name w:val="表格内容1 Char Char Char Char"/>
    <w:qFormat/>
    <w:uiPriority w:val="0"/>
    <w:rPr>
      <w:rFonts w:ascii="Arial" w:hAnsi="Arial" w:eastAsia="仿宋_GB2312"/>
      <w:kern w:val="24"/>
      <w:sz w:val="21"/>
      <w:szCs w:val="24"/>
    </w:rPr>
  </w:style>
  <w:style w:type="character" w:customStyle="1" w:styleId="751">
    <w:name w:val="bds_nopic2"/>
    <w:qFormat/>
    <w:uiPriority w:val="0"/>
  </w:style>
  <w:style w:type="character" w:customStyle="1" w:styleId="752">
    <w:name w:val="sidecatalog-dot4"/>
    <w:qFormat/>
    <w:uiPriority w:val="0"/>
  </w:style>
  <w:style w:type="character" w:customStyle="1" w:styleId="753">
    <w:name w:val="sidecatalog-dot1"/>
    <w:qFormat/>
    <w:uiPriority w:val="0"/>
  </w:style>
  <w:style w:type="character" w:customStyle="1" w:styleId="754">
    <w:name w:val="Char Char Char Char1"/>
    <w:qFormat/>
    <w:uiPriority w:val="0"/>
    <w:rPr>
      <w:rFonts w:ascii="宋体" w:hAnsi="Courier New" w:eastAsia="宋体" w:cs="Courier New"/>
      <w:sz w:val="21"/>
      <w:szCs w:val="21"/>
      <w:lang w:val="en-US" w:eastAsia="zh-CN" w:bidi="ar-SA"/>
    </w:rPr>
  </w:style>
  <w:style w:type="character" w:customStyle="1" w:styleId="755">
    <w:name w:val="表格 Char Char Char"/>
    <w:qFormat/>
    <w:locked/>
    <w:uiPriority w:val="0"/>
    <w:rPr>
      <w:sz w:val="21"/>
      <w:lang w:val="en-US" w:eastAsia="zh-CN" w:bidi="ar-SA"/>
    </w:rPr>
  </w:style>
  <w:style w:type="character" w:customStyle="1" w:styleId="756">
    <w:name w:val="Char Char1 Char Char Char Char Char Char Char Char Char Char Char Char Char Char1"/>
    <w:link w:val="757"/>
    <w:qFormat/>
    <w:uiPriority w:val="0"/>
  </w:style>
  <w:style w:type="paragraph" w:customStyle="1" w:styleId="757">
    <w:name w:val="Char Char1 Char Char Char Char Char Char Char Char Char Char Char Char"/>
    <w:basedOn w:val="1"/>
    <w:link w:val="756"/>
    <w:qFormat/>
    <w:uiPriority w:val="0"/>
    <w:pPr>
      <w:widowControl w:val="0"/>
    </w:pPr>
    <w:rPr>
      <w:rFonts w:ascii="Calibri" w:hAnsi="Calibri" w:cs="Times New Roman"/>
      <w:sz w:val="20"/>
      <w:szCs w:val="20"/>
    </w:rPr>
  </w:style>
  <w:style w:type="character" w:customStyle="1" w:styleId="758">
    <w:name w:val="市局正文 Char Char"/>
    <w:link w:val="759"/>
    <w:qFormat/>
    <w:uiPriority w:val="0"/>
    <w:rPr>
      <w:rFonts w:ascii="Times New Roman" w:hAnsi="Times New Roman"/>
      <w:b/>
      <w:sz w:val="24"/>
      <w:szCs w:val="24"/>
      <w:lang w:val="de-DE"/>
    </w:rPr>
  </w:style>
  <w:style w:type="paragraph" w:customStyle="1" w:styleId="759">
    <w:name w:val="市局正文"/>
    <w:basedOn w:val="1"/>
    <w:link w:val="758"/>
    <w:qFormat/>
    <w:uiPriority w:val="0"/>
    <w:pPr>
      <w:keepNext/>
      <w:widowControl w:val="0"/>
      <w:adjustRightInd w:val="0"/>
      <w:snapToGrid w:val="0"/>
      <w:spacing w:line="360" w:lineRule="auto"/>
      <w:jc w:val="center"/>
    </w:pPr>
    <w:rPr>
      <w:rFonts w:ascii="Times New Roman" w:hAnsi="Times New Roman" w:cs="Times New Roman"/>
      <w:b/>
      <w:lang w:val="de-DE"/>
    </w:rPr>
  </w:style>
  <w:style w:type="character" w:customStyle="1" w:styleId="760">
    <w:name w:val="Char Char27"/>
    <w:qFormat/>
    <w:uiPriority w:val="0"/>
    <w:rPr>
      <w:rFonts w:hint="default" w:ascii="Times New Roman" w:hAnsi="Times New Roman" w:eastAsia="宋体" w:cs="Times New Roman"/>
      <w:sz w:val="24"/>
      <w:szCs w:val="24"/>
    </w:rPr>
  </w:style>
  <w:style w:type="character" w:customStyle="1" w:styleId="761">
    <w:name w:val="表格文字1 Char"/>
    <w:qFormat/>
    <w:uiPriority w:val="0"/>
    <w:rPr>
      <w:rFonts w:ascii="宋体" w:hAnsi="Courier New" w:eastAsia="宋体" w:cs="Courier New"/>
      <w:kern w:val="2"/>
      <w:sz w:val="21"/>
      <w:szCs w:val="21"/>
      <w:lang w:val="en-US" w:eastAsia="zh-CN" w:bidi="ar-SA"/>
    </w:rPr>
  </w:style>
  <w:style w:type="character" w:customStyle="1" w:styleId="762">
    <w:name w:val="燕山正文 Char Char"/>
    <w:link w:val="763"/>
    <w:qFormat/>
    <w:uiPriority w:val="0"/>
    <w:rPr>
      <w:rFonts w:ascii="Times New Roman" w:hAnsi="Times New Roman"/>
      <w:sz w:val="24"/>
      <w:szCs w:val="28"/>
      <w:shd w:val="clear" w:color="auto" w:fill="FFFFFF"/>
    </w:rPr>
  </w:style>
  <w:style w:type="paragraph" w:customStyle="1" w:styleId="763">
    <w:name w:val="燕山正文"/>
    <w:basedOn w:val="1"/>
    <w:link w:val="762"/>
    <w:qFormat/>
    <w:uiPriority w:val="0"/>
    <w:pPr>
      <w:widowControl w:val="0"/>
      <w:shd w:val="clear" w:color="auto" w:fill="FFFFFF"/>
      <w:tabs>
        <w:tab w:val="left" w:pos="4680"/>
      </w:tabs>
      <w:adjustRightInd w:val="0"/>
      <w:snapToGrid w:val="0"/>
      <w:spacing w:beforeLines="30" w:afterLines="30" w:line="360" w:lineRule="auto"/>
      <w:ind w:firstLine="480" w:firstLineChars="200"/>
    </w:pPr>
    <w:rPr>
      <w:rFonts w:ascii="Times New Roman" w:hAnsi="Times New Roman" w:cs="Times New Roman"/>
      <w:szCs w:val="28"/>
    </w:rPr>
  </w:style>
  <w:style w:type="character" w:customStyle="1" w:styleId="764">
    <w:name w:val="样式 小三"/>
    <w:qFormat/>
    <w:uiPriority w:val="0"/>
    <w:rPr>
      <w:rFonts w:ascii="宋体" w:eastAsia="宋体"/>
      <w:sz w:val="28"/>
      <w:szCs w:val="28"/>
    </w:rPr>
  </w:style>
  <w:style w:type="character" w:customStyle="1" w:styleId="765">
    <w:name w:val="3zw1"/>
    <w:qFormat/>
    <w:uiPriority w:val="0"/>
    <w:rPr>
      <w:color w:val="000000"/>
      <w:sz w:val="21"/>
      <w:szCs w:val="21"/>
    </w:rPr>
  </w:style>
  <w:style w:type="character" w:customStyle="1" w:styleId="766">
    <w:name w:val="标题 3 Char2"/>
    <w:qFormat/>
    <w:uiPriority w:val="0"/>
    <w:rPr>
      <w:rFonts w:ascii="Calibri" w:hAnsi="Calibri" w:eastAsia="宋体"/>
      <w:b/>
      <w:bCs/>
      <w:kern w:val="2"/>
      <w:sz w:val="32"/>
      <w:szCs w:val="32"/>
      <w:lang w:val="en-US" w:eastAsia="zh-CN" w:bidi="ar-SA"/>
    </w:rPr>
  </w:style>
  <w:style w:type="character" w:customStyle="1" w:styleId="767">
    <w:name w:val="Char Char242"/>
    <w:qFormat/>
    <w:uiPriority w:val="0"/>
    <w:rPr>
      <w:b/>
      <w:kern w:val="44"/>
      <w:sz w:val="44"/>
    </w:rPr>
  </w:style>
  <w:style w:type="character" w:customStyle="1" w:styleId="768">
    <w:name w:val="样式 (符号) 宋体 13 磅"/>
    <w:qFormat/>
    <w:uiPriority w:val="0"/>
    <w:rPr>
      <w:rFonts w:ascii="宋体" w:eastAsia="宋体"/>
      <w:sz w:val="27"/>
      <w:szCs w:val="27"/>
    </w:rPr>
  </w:style>
  <w:style w:type="character" w:customStyle="1" w:styleId="769">
    <w:name w:val="Body Text Indent 2 Char Char"/>
    <w:link w:val="770"/>
    <w:qFormat/>
    <w:uiPriority w:val="0"/>
    <w:rPr>
      <w:rFonts w:ascii="Times New Roman" w:hAnsi="Times New Roman"/>
      <w:sz w:val="24"/>
    </w:rPr>
  </w:style>
  <w:style w:type="paragraph" w:customStyle="1" w:styleId="770">
    <w:name w:val="Body Text Indent 21"/>
    <w:basedOn w:val="1"/>
    <w:link w:val="769"/>
    <w:qFormat/>
    <w:uiPriority w:val="0"/>
    <w:pPr>
      <w:widowControl w:val="0"/>
      <w:spacing w:line="440" w:lineRule="exact"/>
      <w:ind w:firstLine="540" w:firstLineChars="200"/>
    </w:pPr>
    <w:rPr>
      <w:rFonts w:ascii="Times New Roman" w:hAnsi="Times New Roman" w:cs="Times New Roman"/>
      <w:szCs w:val="20"/>
    </w:rPr>
  </w:style>
  <w:style w:type="character" w:customStyle="1" w:styleId="771">
    <w:name w:val="正文文字描述 Char Char"/>
    <w:link w:val="772"/>
    <w:qFormat/>
    <w:uiPriority w:val="0"/>
    <w:rPr>
      <w:color w:val="000000"/>
      <w:spacing w:val="20"/>
      <w:sz w:val="24"/>
      <w:szCs w:val="28"/>
    </w:rPr>
  </w:style>
  <w:style w:type="paragraph" w:customStyle="1" w:styleId="772">
    <w:name w:val="正文文字描述"/>
    <w:basedOn w:val="1"/>
    <w:link w:val="771"/>
    <w:qFormat/>
    <w:uiPriority w:val="0"/>
    <w:pPr>
      <w:widowControl w:val="0"/>
      <w:spacing w:line="480" w:lineRule="exact"/>
      <w:ind w:firstLine="200" w:firstLineChars="200"/>
      <w:jc w:val="both"/>
    </w:pPr>
    <w:rPr>
      <w:rFonts w:ascii="Calibri" w:hAnsi="Calibri" w:cs="Times New Roman"/>
      <w:color w:val="000000"/>
      <w:spacing w:val="20"/>
      <w:szCs w:val="28"/>
    </w:rPr>
  </w:style>
  <w:style w:type="character" w:customStyle="1" w:styleId="773">
    <w:name w:val="样式 (中文) 仿宋_GB2312 四号 行距: 1.5 倍行距 Char Char Char"/>
    <w:qFormat/>
    <w:uiPriority w:val="0"/>
    <w:rPr>
      <w:rFonts w:ascii="宋体" w:hAnsi="宋体" w:eastAsia="宋体"/>
      <w:kern w:val="2"/>
      <w:sz w:val="28"/>
      <w:szCs w:val="24"/>
      <w:lang w:val="en-US" w:eastAsia="zh-CN" w:bidi="ar-SA"/>
    </w:rPr>
  </w:style>
  <w:style w:type="character" w:customStyle="1" w:styleId="774">
    <w:name w:val="表头 Char Char"/>
    <w:qFormat/>
    <w:uiPriority w:val="0"/>
    <w:rPr>
      <w:rFonts w:ascii="宋体" w:hAnsi="宋体" w:eastAsia="宋体"/>
      <w:sz w:val="28"/>
      <w:szCs w:val="28"/>
      <w:lang w:bidi="ar-SA"/>
    </w:rPr>
  </w:style>
  <w:style w:type="character" w:customStyle="1" w:styleId="775">
    <w:name w:val="Footer-Even Char"/>
    <w:qFormat/>
    <w:uiPriority w:val="0"/>
    <w:rPr>
      <w:rFonts w:ascii="Calibri" w:hAnsi="Calibri" w:eastAsia="宋体"/>
      <w:kern w:val="2"/>
      <w:sz w:val="18"/>
      <w:szCs w:val="18"/>
      <w:lang w:val="en-US" w:eastAsia="zh-CN" w:bidi="ar-SA"/>
    </w:rPr>
  </w:style>
  <w:style w:type="character" w:customStyle="1" w:styleId="776">
    <w:name w:val="批注文字 Char1"/>
    <w:qFormat/>
    <w:uiPriority w:val="99"/>
    <w:rPr>
      <w:rFonts w:eastAsia="宋体"/>
      <w:szCs w:val="24"/>
      <w:lang w:bidi="ar-SA"/>
    </w:rPr>
  </w:style>
  <w:style w:type="character" w:customStyle="1" w:styleId="777">
    <w:name w:val="页眉 Char1"/>
    <w:qFormat/>
    <w:uiPriority w:val="0"/>
    <w:rPr>
      <w:rFonts w:ascii="Calibri" w:hAnsi="Calibri" w:eastAsia="宋体" w:cs="Times New Roman"/>
      <w:sz w:val="18"/>
      <w:szCs w:val="18"/>
    </w:rPr>
  </w:style>
  <w:style w:type="character" w:customStyle="1" w:styleId="778">
    <w:name w:val="yinwen1"/>
    <w:semiHidden/>
    <w:qFormat/>
    <w:uiPriority w:val="0"/>
    <w:rPr>
      <w:color w:val="3B4E9E"/>
    </w:rPr>
  </w:style>
  <w:style w:type="character" w:customStyle="1" w:styleId="779">
    <w:name w:val="bds_more"/>
    <w:qFormat/>
    <w:uiPriority w:val="0"/>
    <w:rPr>
      <w:rFonts w:hint="eastAsia" w:ascii="宋体" w:hAnsi="宋体" w:eastAsia="宋体" w:cs="宋体"/>
    </w:rPr>
  </w:style>
  <w:style w:type="character" w:customStyle="1" w:styleId="780">
    <w:name w:val="show-img-bd"/>
    <w:qFormat/>
    <w:uiPriority w:val="0"/>
  </w:style>
  <w:style w:type="character" w:customStyle="1" w:styleId="781">
    <w:name w:val="bds_more3"/>
    <w:qFormat/>
    <w:uiPriority w:val="0"/>
  </w:style>
  <w:style w:type="character" w:customStyle="1" w:styleId="782">
    <w:name w:val="bds_nopic"/>
    <w:qFormat/>
    <w:uiPriority w:val="0"/>
  </w:style>
  <w:style w:type="character" w:customStyle="1" w:styleId="783">
    <w:name w:val="a-size-large"/>
    <w:qFormat/>
    <w:uiPriority w:val="0"/>
  </w:style>
  <w:style w:type="character" w:customStyle="1" w:styleId="784">
    <w:name w:val="postbody1"/>
    <w:semiHidden/>
    <w:qFormat/>
    <w:uiPriority w:val="0"/>
    <w:rPr>
      <w:sz w:val="21"/>
      <w:szCs w:val="21"/>
    </w:rPr>
  </w:style>
  <w:style w:type="character" w:customStyle="1" w:styleId="785">
    <w:name w:val="body text 1 Char Char"/>
    <w:semiHidden/>
    <w:qFormat/>
    <w:uiPriority w:val="0"/>
    <w:rPr>
      <w:rFonts w:ascii="Times New Roman" w:hAnsi="Times New Roman" w:eastAsia="宋体" w:cs="Times New Roman"/>
      <w:snapToGrid w:val="0"/>
      <w:kern w:val="0"/>
      <w:sz w:val="24"/>
      <w:szCs w:val="24"/>
    </w:rPr>
  </w:style>
  <w:style w:type="character" w:customStyle="1" w:styleId="786">
    <w:name w:val="font01"/>
    <w:qFormat/>
    <w:uiPriority w:val="0"/>
    <w:rPr>
      <w:rFonts w:hint="default" w:ascii="Times New Roman" w:hAnsi="Times New Roman" w:cs="Times New Roman"/>
      <w:color w:val="FF0000"/>
      <w:sz w:val="18"/>
      <w:szCs w:val="18"/>
      <w:u w:val="none"/>
    </w:rPr>
  </w:style>
  <w:style w:type="character" w:customStyle="1" w:styleId="787">
    <w:name w:val="font201"/>
    <w:qFormat/>
    <w:uiPriority w:val="0"/>
    <w:rPr>
      <w:rFonts w:hint="default" w:ascii="Times New Roman" w:hAnsi="Times New Roman" w:cs="Times New Roman"/>
      <w:color w:val="000000"/>
      <w:sz w:val="18"/>
      <w:szCs w:val="18"/>
      <w:u w:val="none"/>
    </w:rPr>
  </w:style>
  <w:style w:type="character" w:customStyle="1" w:styleId="788">
    <w:name w:val="font121"/>
    <w:qFormat/>
    <w:uiPriority w:val="0"/>
    <w:rPr>
      <w:rFonts w:hint="default" w:ascii="Times New Roman" w:hAnsi="Times New Roman" w:cs="Times New Roman"/>
      <w:b/>
      <w:bCs/>
      <w:color w:val="000000"/>
      <w:sz w:val="18"/>
      <w:szCs w:val="18"/>
      <w:u w:val="none"/>
      <w:vertAlign w:val="superscript"/>
    </w:rPr>
  </w:style>
  <w:style w:type="character" w:customStyle="1" w:styleId="789">
    <w:name w:val="font181"/>
    <w:qFormat/>
    <w:uiPriority w:val="0"/>
    <w:rPr>
      <w:rFonts w:hint="eastAsia" w:ascii="宋体" w:hAnsi="宋体" w:eastAsia="宋体"/>
      <w:color w:val="000000"/>
      <w:sz w:val="18"/>
      <w:szCs w:val="18"/>
      <w:u w:val="none"/>
    </w:rPr>
  </w:style>
  <w:style w:type="character" w:customStyle="1" w:styleId="790">
    <w:name w:val="Char Char12"/>
    <w:semiHidden/>
    <w:qFormat/>
    <w:uiPriority w:val="0"/>
    <w:rPr>
      <w:rFonts w:eastAsia="宋体"/>
      <w:kern w:val="2"/>
      <w:sz w:val="18"/>
      <w:lang w:val="en-US" w:eastAsia="zh-CN" w:bidi="ar-SA"/>
    </w:rPr>
  </w:style>
  <w:style w:type="character" w:customStyle="1" w:styleId="791">
    <w:name w:val="标题 2 Char2"/>
    <w:semiHidden/>
    <w:qFormat/>
    <w:uiPriority w:val="0"/>
    <w:rPr>
      <w:rFonts w:ascii="黑体" w:eastAsia="黑体"/>
      <w:kern w:val="2"/>
      <w:sz w:val="24"/>
    </w:rPr>
  </w:style>
  <w:style w:type="character" w:customStyle="1" w:styleId="792">
    <w:name w:val="正文文本 (2) + 4 pt"/>
    <w:qFormat/>
    <w:uiPriority w:val="99"/>
    <w:rPr>
      <w:rFonts w:ascii="MingLiU" w:eastAsia="MingLiU" w:cs="MingLiU"/>
      <w:w w:val="200"/>
      <w:sz w:val="8"/>
      <w:szCs w:val="8"/>
      <w:u w:val="none"/>
      <w:shd w:val="clear" w:color="auto" w:fill="FFFFFF"/>
    </w:rPr>
  </w:style>
  <w:style w:type="character" w:customStyle="1" w:styleId="793">
    <w:name w:val="表格文字 Char"/>
    <w:qFormat/>
    <w:uiPriority w:val="0"/>
    <w:rPr>
      <w:rFonts w:ascii="Times New Roman" w:hAnsi="Times New Roman"/>
      <w:kern w:val="2"/>
      <w:sz w:val="21"/>
      <w:lang w:val="en-US" w:eastAsia="zh-CN" w:bidi="ar-DZ"/>
    </w:rPr>
  </w:style>
  <w:style w:type="character" w:customStyle="1" w:styleId="794">
    <w:name w:val="图名 Char"/>
    <w:link w:val="795"/>
    <w:qFormat/>
    <w:uiPriority w:val="0"/>
    <w:rPr>
      <w:rFonts w:ascii="宋体" w:hAnsi="宋体"/>
      <w:kern w:val="2"/>
      <w:sz w:val="24"/>
      <w:szCs w:val="24"/>
    </w:rPr>
  </w:style>
  <w:style w:type="paragraph" w:customStyle="1" w:styleId="795">
    <w:name w:val="图名"/>
    <w:link w:val="794"/>
    <w:qFormat/>
    <w:uiPriority w:val="0"/>
    <w:pPr>
      <w:widowControl w:val="0"/>
      <w:topLinePunct/>
      <w:jc w:val="center"/>
    </w:pPr>
    <w:rPr>
      <w:rFonts w:ascii="宋体" w:hAnsi="宋体" w:eastAsia="宋体" w:cs="Times New Roman"/>
      <w:kern w:val="2"/>
      <w:sz w:val="24"/>
      <w:szCs w:val="24"/>
      <w:lang w:val="en-US" w:eastAsia="zh-CN" w:bidi="ar-SA"/>
    </w:rPr>
  </w:style>
  <w:style w:type="character" w:customStyle="1" w:styleId="796">
    <w:name w:val="标题三 Char"/>
    <w:link w:val="797"/>
    <w:qFormat/>
    <w:uiPriority w:val="0"/>
    <w:rPr>
      <w:rFonts w:ascii="Times New Roman" w:hAnsi="Times New Roman" w:eastAsia="黑体"/>
      <w:b/>
      <w:bCs/>
      <w:kern w:val="2"/>
      <w:sz w:val="28"/>
      <w:szCs w:val="28"/>
    </w:rPr>
  </w:style>
  <w:style w:type="paragraph" w:customStyle="1" w:styleId="797">
    <w:name w:val="标题三"/>
    <w:basedOn w:val="185"/>
    <w:link w:val="796"/>
    <w:qFormat/>
    <w:uiPriority w:val="0"/>
    <w:pPr>
      <w:spacing w:beforeLines="50" w:afterLines="50" w:line="360" w:lineRule="auto"/>
      <w:ind w:firstLine="420" w:firstLineChars="200"/>
      <w:outlineLvl w:val="2"/>
    </w:pPr>
    <w:rPr>
      <w:rFonts w:ascii="Times New Roman" w:hAnsi="Times New Roman" w:eastAsia="黑体" w:cs="Times New Roman"/>
      <w:b/>
      <w:bCs/>
      <w:kern w:val="2"/>
      <w:sz w:val="28"/>
      <w:szCs w:val="28"/>
      <w:lang w:val="en-US" w:bidi="ar-SA"/>
    </w:rPr>
  </w:style>
  <w:style w:type="character" w:customStyle="1" w:styleId="798">
    <w:name w:val="普通(网站) Char1"/>
    <w:qFormat/>
    <w:uiPriority w:val="0"/>
    <w:rPr>
      <w:rFonts w:ascii="宋体" w:hAnsi="宋体" w:cs="宋体"/>
      <w:sz w:val="24"/>
      <w:szCs w:val="24"/>
    </w:rPr>
  </w:style>
  <w:style w:type="paragraph" w:customStyle="1" w:styleId="799">
    <w:name w:val="Char13"/>
    <w:basedOn w:val="1"/>
    <w:qFormat/>
    <w:uiPriority w:val="99"/>
    <w:pPr>
      <w:widowControl w:val="0"/>
      <w:jc w:val="both"/>
    </w:pPr>
    <w:rPr>
      <w:rFonts w:ascii="Tahoma" w:hAnsi="Tahoma" w:cs="Times New Roman"/>
      <w:kern w:val="2"/>
      <w:szCs w:val="20"/>
    </w:rPr>
  </w:style>
  <w:style w:type="paragraph" w:customStyle="1" w:styleId="800">
    <w:name w:val="Char Char Char Char"/>
    <w:basedOn w:val="1"/>
    <w:qFormat/>
    <w:uiPriority w:val="0"/>
    <w:pPr>
      <w:widowControl w:val="0"/>
      <w:jc w:val="both"/>
    </w:pPr>
    <w:rPr>
      <w:rFonts w:ascii="Times New Roman" w:hAnsi="Times New Roman" w:cs="Times New Roman"/>
      <w:kern w:val="2"/>
      <w:sz w:val="21"/>
      <w:szCs w:val="21"/>
    </w:rPr>
  </w:style>
  <w:style w:type="paragraph" w:customStyle="1" w:styleId="801">
    <w:name w:val="表标2.6"/>
    <w:next w:val="173"/>
    <w:qFormat/>
    <w:uiPriority w:val="99"/>
    <w:pPr>
      <w:tabs>
        <w:tab w:val="left" w:pos="8207"/>
      </w:tabs>
      <w:adjustRightInd w:val="0"/>
      <w:snapToGrid w:val="0"/>
      <w:spacing w:before="240" w:line="0" w:lineRule="atLeast"/>
      <w:ind w:left="-4" w:firstLine="4"/>
      <w:jc w:val="center"/>
      <w:textAlignment w:val="baseline"/>
    </w:pPr>
    <w:rPr>
      <w:rFonts w:ascii="Times New Roman" w:hAnsi="Times New Roman" w:eastAsia="黑体" w:cs="Times New Roman"/>
      <w:b/>
      <w:color w:val="000000"/>
      <w:kern w:val="2"/>
      <w:sz w:val="24"/>
      <w:szCs w:val="24"/>
      <w:lang w:val="en-US" w:eastAsia="zh-CN" w:bidi="ar-SA"/>
    </w:rPr>
  </w:style>
  <w:style w:type="paragraph" w:customStyle="1" w:styleId="802">
    <w:name w:val="xl55"/>
    <w:basedOn w:val="1"/>
    <w:qFormat/>
    <w:uiPriority w:val="99"/>
    <w:pPr>
      <w:pBdr>
        <w:top w:val="single" w:color="auto" w:sz="8" w:space="0"/>
        <w:left w:val="single" w:color="auto" w:sz="4" w:space="0"/>
        <w:bottom w:val="single" w:color="auto" w:sz="8" w:space="0"/>
      </w:pBdr>
      <w:spacing w:before="100" w:beforeAutospacing="1" w:after="100" w:afterAutospacing="1"/>
      <w:jc w:val="center"/>
    </w:pPr>
    <w:rPr>
      <w:rFonts w:eastAsia="仿宋_GB2312" w:cs="Times New Roman"/>
      <w:position w:val="-6"/>
      <w:szCs w:val="21"/>
    </w:rPr>
  </w:style>
  <w:style w:type="paragraph" w:customStyle="1" w:styleId="803">
    <w:name w:val="样式 页眉 + 宋体 黑色 段前: 0 磅 段后: 0 磅 行距: 固定值 12 磅"/>
    <w:basedOn w:val="53"/>
    <w:qFormat/>
    <w:uiPriority w:val="0"/>
    <w:pPr>
      <w:widowControl w:val="0"/>
      <w:pBdr>
        <w:bottom w:val="none" w:color="auto" w:sz="0" w:space="0"/>
      </w:pBdr>
      <w:tabs>
        <w:tab w:val="clear" w:pos="4153"/>
        <w:tab w:val="clear" w:pos="8306"/>
      </w:tabs>
      <w:spacing w:line="240" w:lineRule="exact"/>
    </w:pPr>
    <w:rPr>
      <w:rFonts w:ascii="宋体" w:hAnsi="宋体"/>
      <w:color w:val="000000"/>
      <w:kern w:val="0"/>
      <w:sz w:val="21"/>
      <w:szCs w:val="20"/>
    </w:rPr>
  </w:style>
  <w:style w:type="paragraph" w:customStyle="1" w:styleId="804">
    <w:name w:val="xl58"/>
    <w:basedOn w:val="1"/>
    <w:qFormat/>
    <w:uiPriority w:val="99"/>
    <w:pPr>
      <w:pBdr>
        <w:top w:val="single" w:color="auto" w:sz="8" w:space="0"/>
        <w:bottom w:val="single" w:color="auto" w:sz="4" w:space="0"/>
        <w:right w:val="single" w:color="auto" w:sz="8" w:space="0"/>
      </w:pBdr>
      <w:spacing w:before="100" w:beforeAutospacing="1" w:after="100" w:afterAutospacing="1"/>
      <w:jc w:val="center"/>
    </w:pPr>
    <w:rPr>
      <w:rFonts w:eastAsia="仿宋_GB2312" w:cs="Times New Roman"/>
      <w:position w:val="-6"/>
      <w:szCs w:val="21"/>
    </w:rPr>
  </w:style>
  <w:style w:type="character" w:customStyle="1" w:styleId="805">
    <w:name w:val="尾注文本 Char2"/>
    <w:qFormat/>
    <w:uiPriority w:val="0"/>
    <w:rPr>
      <w:rFonts w:ascii="宋体" w:hAnsi="宋体" w:cs="宋体"/>
      <w:sz w:val="24"/>
      <w:szCs w:val="24"/>
    </w:rPr>
  </w:style>
  <w:style w:type="paragraph" w:customStyle="1" w:styleId="806">
    <w:name w:val="ksheet"/>
    <w:basedOn w:val="1"/>
    <w:qFormat/>
    <w:uiPriority w:val="99"/>
    <w:pPr>
      <w:widowControl w:val="0"/>
      <w:autoSpaceDE w:val="0"/>
      <w:autoSpaceDN w:val="0"/>
      <w:adjustRightInd w:val="0"/>
      <w:spacing w:line="300" w:lineRule="exact"/>
      <w:jc w:val="center"/>
      <w:textAlignment w:val="baseline"/>
    </w:pPr>
    <w:rPr>
      <w:rFonts w:hAnsi="Times New Roman" w:cs="Times New Roman"/>
      <w:snapToGrid w:val="0"/>
      <w:color w:val="000000"/>
      <w:sz w:val="21"/>
      <w:szCs w:val="20"/>
    </w:rPr>
  </w:style>
  <w:style w:type="paragraph" w:customStyle="1" w:styleId="807">
    <w:name w:val="xl26"/>
    <w:basedOn w:val="1"/>
    <w:qFormat/>
    <w:uiPriority w:val="99"/>
    <w:pPr>
      <w:pBdr>
        <w:right w:val="single" w:color="auto" w:sz="4" w:space="0"/>
      </w:pBdr>
      <w:spacing w:before="100" w:beforeAutospacing="1" w:after="100" w:afterAutospacing="1"/>
      <w:jc w:val="center"/>
    </w:pPr>
    <w:rPr>
      <w:rFonts w:ascii="Arial Unicode MS" w:hAnsi="Arial Unicode MS" w:eastAsia="Arial Unicode MS" w:cs="Times New Roman"/>
      <w:szCs w:val="20"/>
    </w:rPr>
  </w:style>
  <w:style w:type="paragraph" w:customStyle="1" w:styleId="808">
    <w:name w:val="表名"/>
    <w:basedOn w:val="1"/>
    <w:next w:val="1"/>
    <w:qFormat/>
    <w:uiPriority w:val="0"/>
    <w:pPr>
      <w:widowControl w:val="0"/>
      <w:tabs>
        <w:tab w:val="left" w:pos="8100"/>
      </w:tabs>
      <w:adjustRightInd w:val="0"/>
      <w:snapToGrid w:val="0"/>
      <w:spacing w:line="360" w:lineRule="auto"/>
      <w:ind w:right="32"/>
      <w:jc w:val="center"/>
    </w:pPr>
    <w:rPr>
      <w:rFonts w:ascii="Times New Roman" w:cs="Times New Roman"/>
      <w:b/>
      <w:snapToGrid w:val="0"/>
      <w:kern w:val="2"/>
    </w:rPr>
  </w:style>
  <w:style w:type="paragraph" w:customStyle="1" w:styleId="809">
    <w:name w:val="Char Char Char1 Char"/>
    <w:basedOn w:val="1"/>
    <w:qFormat/>
    <w:uiPriority w:val="99"/>
    <w:pPr>
      <w:widowControl w:val="0"/>
      <w:jc w:val="both"/>
    </w:pPr>
    <w:rPr>
      <w:rFonts w:ascii="Times New Roman" w:hAnsi="Times New Roman" w:cs="Times New Roman"/>
      <w:kern w:val="2"/>
      <w:sz w:val="21"/>
    </w:rPr>
  </w:style>
  <w:style w:type="paragraph" w:customStyle="1" w:styleId="810">
    <w:name w:val="列表 1"/>
    <w:basedOn w:val="1"/>
    <w:qFormat/>
    <w:uiPriority w:val="99"/>
    <w:pPr>
      <w:widowControl w:val="0"/>
      <w:tabs>
        <w:tab w:val="left" w:pos="432"/>
      </w:tabs>
      <w:spacing w:before="120" w:after="60" w:line="288" w:lineRule="auto"/>
      <w:ind w:left="432" w:hanging="432"/>
      <w:jc w:val="both"/>
    </w:pPr>
    <w:rPr>
      <w:rFonts w:ascii="Arial" w:hAnsi="Arial" w:cs="Times New Roman"/>
      <w:color w:val="FFCC99"/>
      <w:kern w:val="2"/>
      <w:szCs w:val="20"/>
    </w:rPr>
  </w:style>
  <w:style w:type="paragraph" w:customStyle="1" w:styleId="811">
    <w:name w:val="图题"/>
    <w:basedOn w:val="7"/>
    <w:qFormat/>
    <w:uiPriority w:val="99"/>
    <w:pPr>
      <w:keepNext w:val="0"/>
      <w:keepLines w:val="0"/>
      <w:widowControl w:val="0"/>
      <w:adjustRightInd w:val="0"/>
      <w:snapToGrid w:val="0"/>
      <w:spacing w:beforeLines="50" w:afterLines="50" w:line="40" w:lineRule="atLeast"/>
      <w:jc w:val="center"/>
      <w:outlineLvl w:val="9"/>
    </w:pPr>
    <w:rPr>
      <w:rFonts w:ascii="宋体" w:hAnsi="宋体" w:eastAsia="宋体"/>
      <w:b/>
      <w:sz w:val="24"/>
      <w:szCs w:val="28"/>
    </w:rPr>
  </w:style>
  <w:style w:type="character" w:customStyle="1" w:styleId="812">
    <w:name w:val="正文文本 3 Char2"/>
    <w:qFormat/>
    <w:uiPriority w:val="0"/>
    <w:rPr>
      <w:rFonts w:ascii="宋体" w:hAnsi="宋体" w:cs="宋体"/>
      <w:sz w:val="16"/>
      <w:szCs w:val="16"/>
    </w:rPr>
  </w:style>
  <w:style w:type="paragraph" w:customStyle="1" w:styleId="813">
    <w:name w:val="表格文字2"/>
    <w:basedOn w:val="1"/>
    <w:qFormat/>
    <w:uiPriority w:val="99"/>
    <w:pPr>
      <w:widowControl w:val="0"/>
      <w:tabs>
        <w:tab w:val="left" w:pos="277"/>
        <w:tab w:val="left" w:pos="600"/>
        <w:tab w:val="left" w:pos="780"/>
        <w:tab w:val="left" w:pos="2517"/>
      </w:tabs>
      <w:adjustRightInd w:val="0"/>
      <w:spacing w:before="60"/>
      <w:jc w:val="center"/>
    </w:pPr>
    <w:rPr>
      <w:rFonts w:ascii="Times New Roman" w:hAnsi="Times New Roman" w:cs="Times New Roman"/>
      <w:sz w:val="21"/>
      <w:szCs w:val="21"/>
    </w:rPr>
  </w:style>
  <w:style w:type="paragraph" w:customStyle="1" w:styleId="814">
    <w:name w:val="封面三号"/>
    <w:basedOn w:val="1"/>
    <w:qFormat/>
    <w:uiPriority w:val="99"/>
    <w:pPr>
      <w:widowControl w:val="0"/>
      <w:jc w:val="center"/>
    </w:pPr>
    <w:rPr>
      <w:spacing w:val="55"/>
      <w:sz w:val="32"/>
      <w:szCs w:val="32"/>
    </w:rPr>
  </w:style>
  <w:style w:type="character" w:customStyle="1" w:styleId="815">
    <w:name w:val="正文文本缩进 3 Char3"/>
    <w:qFormat/>
    <w:uiPriority w:val="0"/>
    <w:rPr>
      <w:rFonts w:ascii="宋体" w:hAnsi="宋体" w:cs="宋体"/>
      <w:sz w:val="16"/>
      <w:szCs w:val="16"/>
    </w:rPr>
  </w:style>
  <w:style w:type="paragraph" w:customStyle="1" w:styleId="816">
    <w:name w:val="样式 样式 表标题2.4 + 居中 段前: 1 行 + 两端对齐"/>
    <w:basedOn w:val="817"/>
    <w:qFormat/>
    <w:uiPriority w:val="99"/>
    <w:pPr>
      <w:tabs>
        <w:tab w:val="left" w:pos="726"/>
        <w:tab w:val="center" w:pos="4060"/>
        <w:tab w:val="right" w:pos="8261"/>
      </w:tabs>
      <w:ind w:left="2" w:firstLine="4"/>
      <w:jc w:val="both"/>
    </w:pPr>
  </w:style>
  <w:style w:type="paragraph" w:customStyle="1" w:styleId="817">
    <w:name w:val="样式 表标题2.4 + 居中 段前: 1 行"/>
    <w:basedOn w:val="818"/>
    <w:qFormat/>
    <w:uiPriority w:val="99"/>
    <w:pPr>
      <w:tabs>
        <w:tab w:val="center" w:pos="4060"/>
        <w:tab w:val="right" w:pos="8261"/>
      </w:tabs>
      <w:spacing w:beforeLines="0"/>
      <w:jc w:val="center"/>
    </w:pPr>
    <w:rPr>
      <w:rFonts w:cs="宋体"/>
      <w:bCs/>
      <w:szCs w:val="20"/>
    </w:rPr>
  </w:style>
  <w:style w:type="paragraph" w:customStyle="1" w:styleId="818">
    <w:name w:val="表标题2.4"/>
    <w:basedOn w:val="1"/>
    <w:qFormat/>
    <w:uiPriority w:val="99"/>
    <w:pPr>
      <w:widowControl w:val="0"/>
      <w:tabs>
        <w:tab w:val="center" w:pos="4060"/>
        <w:tab w:val="right" w:pos="8261"/>
      </w:tabs>
      <w:suppressAutoHyphens/>
      <w:adjustRightInd w:val="0"/>
      <w:spacing w:beforeLines="100" w:line="0" w:lineRule="atLeast"/>
      <w:jc w:val="both"/>
    </w:pPr>
    <w:rPr>
      <w:rFonts w:ascii="黑体" w:hAnsi="Times New Roman" w:eastAsia="黑体" w:cs="Times New Roman"/>
      <w:b/>
      <w:spacing w:val="6"/>
    </w:rPr>
  </w:style>
  <w:style w:type="paragraph" w:customStyle="1" w:styleId="819">
    <w:name w:val="表标题5.12"/>
    <w:basedOn w:val="1"/>
    <w:qFormat/>
    <w:uiPriority w:val="99"/>
    <w:pPr>
      <w:widowControl w:val="0"/>
      <w:tabs>
        <w:tab w:val="center" w:pos="4060"/>
        <w:tab w:val="right" w:pos="8261"/>
      </w:tabs>
      <w:suppressAutoHyphens/>
      <w:adjustRightInd w:val="0"/>
      <w:spacing w:beforeLines="100" w:line="0" w:lineRule="atLeast"/>
      <w:jc w:val="both"/>
    </w:pPr>
    <w:rPr>
      <w:rFonts w:ascii="黑体" w:hAnsi="Times New Roman" w:eastAsia="黑体" w:cs="Times New Roman"/>
      <w:b/>
      <w:spacing w:val="6"/>
      <w:szCs w:val="26"/>
    </w:rPr>
  </w:style>
  <w:style w:type="paragraph" w:customStyle="1" w:styleId="820">
    <w:name w:val="列表 B"/>
    <w:basedOn w:val="60"/>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character" w:customStyle="1" w:styleId="821">
    <w:name w:val="HTML 地址 Char2"/>
    <w:qFormat/>
    <w:uiPriority w:val="0"/>
    <w:rPr>
      <w:rFonts w:ascii="宋体" w:hAnsi="宋体" w:cs="宋体"/>
      <w:i/>
      <w:iCs/>
      <w:sz w:val="24"/>
      <w:szCs w:val="24"/>
    </w:rPr>
  </w:style>
  <w:style w:type="paragraph" w:customStyle="1" w:styleId="822">
    <w:name w:val="列表 2L"/>
    <w:basedOn w:val="35"/>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823">
    <w:name w:val="列表 2Z"/>
    <w:basedOn w:val="35"/>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character" w:customStyle="1" w:styleId="824">
    <w:name w:val="结束语 Char2"/>
    <w:qFormat/>
    <w:uiPriority w:val="0"/>
    <w:rPr>
      <w:rFonts w:ascii="宋体" w:hAnsi="宋体" w:cs="宋体"/>
      <w:sz w:val="24"/>
      <w:szCs w:val="24"/>
    </w:rPr>
  </w:style>
  <w:style w:type="paragraph" w:customStyle="1" w:styleId="825">
    <w:name w:val="sub_body"/>
    <w:qFormat/>
    <w:uiPriority w:val="0"/>
    <w:pPr>
      <w:widowControl w:val="0"/>
      <w:autoSpaceDE w:val="0"/>
      <w:autoSpaceDN w:val="0"/>
      <w:adjustRightInd w:val="0"/>
      <w:spacing w:before="43" w:after="43" w:line="288" w:lineRule="atLeast"/>
      <w:ind w:left="288"/>
      <w:textAlignment w:val="baseline"/>
    </w:pPr>
    <w:rPr>
      <w:rFonts w:ascii="Arial" w:hAnsi="Arial" w:eastAsia="宋体" w:cs="Times New Roman"/>
      <w:color w:val="000000"/>
      <w:lang w:val="en-US" w:eastAsia="zh-CN" w:bidi="ar-SA"/>
    </w:rPr>
  </w:style>
  <w:style w:type="paragraph" w:customStyle="1" w:styleId="826">
    <w:name w:val="Char Char Char1 Char1 Char Char Char"/>
    <w:basedOn w:val="1"/>
    <w:qFormat/>
    <w:uiPriority w:val="0"/>
    <w:pPr>
      <w:widowControl w:val="0"/>
      <w:jc w:val="both"/>
    </w:pPr>
    <w:rPr>
      <w:rFonts w:ascii="Times New Roman" w:hAnsi="Times New Roman" w:cs="Times New Roman"/>
      <w:kern w:val="2"/>
      <w:sz w:val="21"/>
    </w:rPr>
  </w:style>
  <w:style w:type="paragraph" w:customStyle="1" w:styleId="827">
    <w:name w:val="报告名"/>
    <w:basedOn w:val="1"/>
    <w:qFormat/>
    <w:uiPriority w:val="99"/>
    <w:pPr>
      <w:widowControl w:val="0"/>
      <w:tabs>
        <w:tab w:val="left" w:pos="1727"/>
        <w:tab w:val="left" w:pos="1884"/>
      </w:tabs>
      <w:adjustRightInd w:val="0"/>
      <w:spacing w:line="312" w:lineRule="auto"/>
      <w:jc w:val="both"/>
      <w:outlineLvl w:val="0"/>
    </w:pPr>
    <w:rPr>
      <w:rFonts w:ascii="Times New Roman" w:hAnsi="Times New Roman" w:cs="Times New Roman"/>
      <w:b/>
      <w:kern w:val="2"/>
    </w:rPr>
  </w:style>
  <w:style w:type="paragraph" w:customStyle="1" w:styleId="828">
    <w:name w:val="正文样式3"/>
    <w:basedOn w:val="1"/>
    <w:qFormat/>
    <w:uiPriority w:val="99"/>
    <w:pPr>
      <w:widowControl w:val="0"/>
      <w:adjustRightInd w:val="0"/>
      <w:spacing w:line="20" w:lineRule="atLeast"/>
      <w:jc w:val="center"/>
      <w:textAlignment w:val="baseline"/>
    </w:pPr>
    <w:rPr>
      <w:rFonts w:ascii="Times New Roman" w:hAnsi="Times New Roman" w:cs="Times New Roman"/>
      <w:szCs w:val="20"/>
    </w:rPr>
  </w:style>
  <w:style w:type="paragraph" w:customStyle="1" w:styleId="829">
    <w:name w:val="样式 样式 宋体 小四 左 行距: 固定值 24 磅 + 黑色 居中 首行缩进:  2 字符 段前: 5 磅 段后: 5..."/>
    <w:basedOn w:val="830"/>
    <w:qFormat/>
    <w:uiPriority w:val="99"/>
    <w:pPr>
      <w:spacing w:before="100" w:after="100"/>
      <w:ind w:firstLine="0" w:firstLineChars="0"/>
      <w:jc w:val="center"/>
    </w:pPr>
    <w:rPr>
      <w:color w:val="000000"/>
    </w:rPr>
  </w:style>
  <w:style w:type="paragraph" w:customStyle="1" w:styleId="830">
    <w:name w:val="样式 宋体 小四 左 行距: 固定值 24 磅"/>
    <w:basedOn w:val="1"/>
    <w:qFormat/>
    <w:uiPriority w:val="99"/>
    <w:pPr>
      <w:widowControl w:val="0"/>
      <w:spacing w:line="480" w:lineRule="exact"/>
      <w:ind w:firstLine="200" w:firstLineChars="200"/>
    </w:pPr>
    <w:rPr>
      <w:rFonts w:hAnsi="Times New Roman"/>
      <w:szCs w:val="20"/>
    </w:rPr>
  </w:style>
  <w:style w:type="paragraph" w:customStyle="1" w:styleId="831">
    <w:name w:val="内容"/>
    <w:basedOn w:val="1"/>
    <w:link w:val="832"/>
    <w:qFormat/>
    <w:uiPriority w:val="0"/>
    <w:pPr>
      <w:widowControl w:val="0"/>
      <w:spacing w:beforeLines="50" w:afterLines="50"/>
      <w:ind w:firstLine="200" w:firstLineChars="200"/>
      <w:jc w:val="both"/>
    </w:pPr>
    <w:rPr>
      <w:rFonts w:ascii="Times New Roman" w:hAnsi="Times New Roman" w:cs="Times New Roman"/>
      <w:color w:val="000000"/>
      <w:kern w:val="2"/>
    </w:rPr>
  </w:style>
  <w:style w:type="character" w:customStyle="1" w:styleId="832">
    <w:name w:val="内容 Char Char"/>
    <w:link w:val="831"/>
    <w:qFormat/>
    <w:uiPriority w:val="0"/>
    <w:rPr>
      <w:color w:val="000000"/>
      <w:kern w:val="2"/>
      <w:sz w:val="24"/>
      <w:szCs w:val="24"/>
    </w:rPr>
  </w:style>
  <w:style w:type="paragraph" w:customStyle="1" w:styleId="833">
    <w:name w:val="小五表文"/>
    <w:qFormat/>
    <w:uiPriority w:val="99"/>
    <w:pPr>
      <w:spacing w:beforeLines="50"/>
      <w:ind w:firstLine="3304" w:firstLineChars="1180"/>
    </w:pPr>
    <w:rPr>
      <w:rFonts w:ascii="Times New Roman" w:hAnsi="Times New Roman" w:eastAsia="黑体" w:cs="Times New Roman"/>
      <w:bCs/>
      <w:spacing w:val="20"/>
      <w:sz w:val="24"/>
      <w:lang w:val="en-US" w:eastAsia="zh-CN" w:bidi="ar-SA"/>
    </w:rPr>
  </w:style>
  <w:style w:type="paragraph" w:customStyle="1" w:styleId="834">
    <w:name w:val="文章总标题"/>
    <w:basedOn w:val="1"/>
    <w:next w:val="1"/>
    <w:qFormat/>
    <w:uiPriority w:val="99"/>
    <w:pPr>
      <w:spacing w:before="566" w:after="544" w:line="566" w:lineRule="atLeast"/>
      <w:jc w:val="center"/>
      <w:textAlignment w:val="baseline"/>
    </w:pPr>
    <w:rPr>
      <w:rFonts w:ascii="Arial" w:hAnsi="Times New Roman" w:eastAsia="黑体" w:cs="Arial"/>
      <w:bCs/>
      <w:color w:val="000000"/>
      <w:sz w:val="54"/>
      <w:szCs w:val="54"/>
    </w:rPr>
  </w:style>
  <w:style w:type="paragraph" w:customStyle="1" w:styleId="835">
    <w:name w:val="插图标题"/>
    <w:basedOn w:val="1"/>
    <w:qFormat/>
    <w:uiPriority w:val="99"/>
    <w:pPr>
      <w:widowControl w:val="0"/>
      <w:tabs>
        <w:tab w:val="center" w:pos="6804"/>
        <w:tab w:val="right" w:pos="7371"/>
      </w:tabs>
      <w:overflowPunct w:val="0"/>
      <w:adjustRightInd w:val="0"/>
      <w:ind w:firstLine="567"/>
      <w:jc w:val="center"/>
      <w:textAlignment w:val="baseline"/>
    </w:pPr>
    <w:rPr>
      <w:rFonts w:ascii="黑体" w:hAnsi="Times New Roman" w:eastAsia="黑体" w:cs="Times New Roman"/>
      <w:sz w:val="28"/>
      <w:szCs w:val="20"/>
    </w:rPr>
  </w:style>
  <w:style w:type="paragraph" w:customStyle="1" w:styleId="836">
    <w:name w:val="CM62"/>
    <w:basedOn w:val="103"/>
    <w:next w:val="103"/>
    <w:qFormat/>
    <w:uiPriority w:val="99"/>
    <w:pPr>
      <w:spacing w:after="160"/>
    </w:pPr>
    <w:rPr>
      <w:color w:val="auto"/>
    </w:rPr>
  </w:style>
  <w:style w:type="paragraph" w:customStyle="1" w:styleId="837">
    <w:name w:val="xl78"/>
    <w:basedOn w:val="1"/>
    <w:qFormat/>
    <w:uiPriority w:val="99"/>
    <w:pPr>
      <w:pBdr>
        <w:top w:val="single" w:color="auto" w:sz="8" w:space="0"/>
        <w:bottom w:val="single" w:color="auto" w:sz="8" w:space="0"/>
        <w:right w:val="single" w:color="auto" w:sz="8" w:space="0"/>
      </w:pBdr>
      <w:spacing w:before="100" w:beforeAutospacing="1" w:after="100" w:afterAutospacing="1"/>
      <w:jc w:val="center"/>
    </w:pPr>
    <w:rPr>
      <w:rFonts w:ascii="Times New Roman" w:hAnsi="Times New Roman" w:cs="Times New Roman"/>
      <w:color w:val="000000"/>
      <w:sz w:val="18"/>
      <w:szCs w:val="18"/>
    </w:rPr>
  </w:style>
  <w:style w:type="paragraph" w:customStyle="1" w:styleId="838">
    <w:name w:val="小表右密"/>
    <w:basedOn w:val="1"/>
    <w:qFormat/>
    <w:uiPriority w:val="99"/>
    <w:pPr>
      <w:keepNext/>
      <w:widowControl w:val="0"/>
      <w:tabs>
        <w:tab w:val="left" w:pos="719"/>
        <w:tab w:val="left" w:pos="3156"/>
        <w:tab w:val="left" w:pos="4105"/>
        <w:tab w:val="left" w:pos="5054"/>
        <w:tab w:val="left" w:pos="6003"/>
        <w:tab w:val="left" w:pos="7183"/>
        <w:tab w:val="left" w:pos="8159"/>
        <w:tab w:val="left" w:pos="9312"/>
        <w:tab w:val="left" w:pos="10261"/>
        <w:tab w:val="left" w:pos="11210"/>
        <w:tab w:val="left" w:pos="12159"/>
        <w:tab w:val="left" w:pos="13108"/>
        <w:tab w:val="left" w:pos="14057"/>
        <w:tab w:val="left" w:pos="15006"/>
        <w:tab w:val="left" w:pos="15955"/>
        <w:tab w:val="left" w:pos="16904"/>
        <w:tab w:val="left" w:pos="17853"/>
        <w:tab w:val="left" w:pos="18802"/>
        <w:tab w:val="left" w:pos="19751"/>
        <w:tab w:val="left" w:pos="20700"/>
      </w:tabs>
      <w:adjustRightInd w:val="0"/>
      <w:snapToGrid w:val="0"/>
      <w:spacing w:line="240" w:lineRule="atLeast"/>
      <w:ind w:right="28" w:rightChars="10"/>
      <w:jc w:val="right"/>
    </w:pPr>
    <w:rPr>
      <w:rFonts w:cs="Times New Roman"/>
      <w:kern w:val="2"/>
      <w:sz w:val="18"/>
      <w:szCs w:val="18"/>
    </w:rPr>
  </w:style>
  <w:style w:type="character" w:customStyle="1" w:styleId="839">
    <w:name w:val="正文文本 2 Char3"/>
    <w:qFormat/>
    <w:uiPriority w:val="0"/>
    <w:rPr>
      <w:rFonts w:ascii="宋体" w:hAnsi="宋体" w:cs="宋体"/>
      <w:sz w:val="24"/>
      <w:szCs w:val="24"/>
    </w:rPr>
  </w:style>
  <w:style w:type="paragraph" w:customStyle="1" w:styleId="840">
    <w:name w:val="Char Char Char Char Char Char Char Char Char Char Char1 Char Char Char Char"/>
    <w:basedOn w:val="1"/>
    <w:qFormat/>
    <w:uiPriority w:val="0"/>
    <w:pPr>
      <w:widowControl w:val="0"/>
      <w:jc w:val="both"/>
    </w:pPr>
    <w:rPr>
      <w:rFonts w:ascii="Times New Roman" w:hAnsi="Times New Roman" w:cs="Times New Roman"/>
      <w:kern w:val="2"/>
      <w:sz w:val="21"/>
    </w:rPr>
  </w:style>
  <w:style w:type="paragraph" w:customStyle="1" w:styleId="841">
    <w:name w:val="样式  + 首行缩进:  0.75 厘米"/>
    <w:basedOn w:val="1"/>
    <w:qFormat/>
    <w:uiPriority w:val="0"/>
    <w:pPr>
      <w:widowControl w:val="0"/>
      <w:ind w:firstLine="425"/>
    </w:pPr>
    <w:rPr>
      <w:rFonts w:ascii="Times New Roman" w:hAnsi="Times New Roman" w:cs="Times New Roman"/>
      <w:bCs/>
      <w:kern w:val="2"/>
    </w:rPr>
  </w:style>
  <w:style w:type="character" w:customStyle="1" w:styleId="842">
    <w:name w:val="注释标题 Char3"/>
    <w:qFormat/>
    <w:uiPriority w:val="0"/>
    <w:rPr>
      <w:rFonts w:ascii="宋体" w:hAnsi="宋体" w:cs="宋体"/>
      <w:sz w:val="24"/>
      <w:szCs w:val="24"/>
    </w:rPr>
  </w:style>
  <w:style w:type="paragraph" w:customStyle="1" w:styleId="843">
    <w:name w:val="样式 湛江钢铁表 +"/>
    <w:basedOn w:val="1"/>
    <w:next w:val="1"/>
    <w:qFormat/>
    <w:uiPriority w:val="99"/>
    <w:pPr>
      <w:widowControl w:val="0"/>
      <w:adjustRightInd w:val="0"/>
      <w:snapToGrid w:val="0"/>
      <w:spacing w:beforeLines="20" w:afterLines="20"/>
      <w:jc w:val="center"/>
      <w:textAlignment w:val="baseline"/>
    </w:pPr>
    <w:rPr>
      <w:rFonts w:ascii="Times New Roman" w:hAnsi="Times New Roman" w:eastAsia="仿宋_GB2312" w:cs="Times New Roman"/>
      <w:snapToGrid w:val="0"/>
      <w:sz w:val="21"/>
      <w:szCs w:val="21"/>
    </w:rPr>
  </w:style>
  <w:style w:type="paragraph" w:customStyle="1" w:styleId="844">
    <w:name w:val="调研内容"/>
    <w:basedOn w:val="1"/>
    <w:qFormat/>
    <w:uiPriority w:val="99"/>
    <w:pPr>
      <w:widowControl w:val="0"/>
      <w:spacing w:line="360" w:lineRule="auto"/>
      <w:jc w:val="both"/>
    </w:pPr>
    <w:rPr>
      <w:rFonts w:ascii="Times New Roman" w:hAnsi="Times New Roman" w:cs="Times New Roman"/>
      <w:kern w:val="2"/>
      <w:sz w:val="21"/>
      <w:szCs w:val="20"/>
    </w:rPr>
  </w:style>
  <w:style w:type="paragraph" w:customStyle="1" w:styleId="845">
    <w:name w:val="CM22"/>
    <w:basedOn w:val="103"/>
    <w:next w:val="103"/>
    <w:qFormat/>
    <w:uiPriority w:val="99"/>
    <w:rPr>
      <w:color w:val="auto"/>
    </w:rPr>
  </w:style>
  <w:style w:type="character" w:customStyle="1" w:styleId="846">
    <w:name w:val="签名 Char2"/>
    <w:qFormat/>
    <w:uiPriority w:val="0"/>
    <w:rPr>
      <w:rFonts w:ascii="宋体" w:hAnsi="宋体" w:cs="宋体"/>
      <w:sz w:val="24"/>
      <w:szCs w:val="24"/>
    </w:rPr>
  </w:style>
  <w:style w:type="paragraph" w:customStyle="1" w:styleId="847">
    <w:name w:val="正文3"/>
    <w:qFormat/>
    <w:uiPriority w:val="99"/>
    <w:pPr>
      <w:widowControl w:val="0"/>
      <w:adjustRightInd w:val="0"/>
      <w:spacing w:line="360" w:lineRule="atLeast"/>
    </w:pPr>
    <w:rPr>
      <w:rFonts w:hint="eastAsia" w:ascii="宋体" w:hAnsi="Times New Roman" w:eastAsia="宋体" w:cs="Times New Roman"/>
      <w:sz w:val="24"/>
      <w:lang w:val="en-US" w:eastAsia="zh-CN" w:bidi="ar-SA"/>
    </w:rPr>
  </w:style>
  <w:style w:type="paragraph" w:customStyle="1" w:styleId="848">
    <w:name w:val="列表 2J"/>
    <w:basedOn w:val="35"/>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849">
    <w:name w:val="图文框"/>
    <w:basedOn w:val="1"/>
    <w:qFormat/>
    <w:uiPriority w:val="99"/>
    <w:pPr>
      <w:widowControl w:val="0"/>
      <w:tabs>
        <w:tab w:val="left" w:pos="0"/>
      </w:tabs>
      <w:autoSpaceDE w:val="0"/>
      <w:autoSpaceDN w:val="0"/>
      <w:adjustRightInd w:val="0"/>
      <w:snapToGrid w:val="0"/>
      <w:ind w:right="-107" w:rightChars="-51"/>
      <w:jc w:val="center"/>
      <w:textAlignment w:val="baseline"/>
    </w:pPr>
    <w:rPr>
      <w:rFonts w:cs="Times New Roman"/>
      <w:color w:val="000000"/>
      <w:kern w:val="2"/>
      <w:sz w:val="21"/>
      <w:szCs w:val="21"/>
    </w:rPr>
  </w:style>
  <w:style w:type="character" w:customStyle="1" w:styleId="850">
    <w:name w:val="日期 Char2"/>
    <w:qFormat/>
    <w:uiPriority w:val="0"/>
    <w:rPr>
      <w:rFonts w:ascii="宋体" w:hAnsi="宋体" w:cs="宋体"/>
      <w:sz w:val="24"/>
      <w:szCs w:val="24"/>
    </w:rPr>
  </w:style>
  <w:style w:type="paragraph" w:customStyle="1" w:styleId="851">
    <w:name w:val="列表 4Q"/>
    <w:basedOn w:val="70"/>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852">
    <w:name w:val="表题 Char Char"/>
    <w:basedOn w:val="1"/>
    <w:qFormat/>
    <w:uiPriority w:val="99"/>
    <w:pPr>
      <w:widowControl w:val="0"/>
      <w:spacing w:line="360" w:lineRule="auto"/>
      <w:ind w:firstLine="480" w:firstLineChars="200"/>
      <w:jc w:val="both"/>
    </w:pPr>
    <w:rPr>
      <w:rFonts w:cs="Times New Roman"/>
      <w:bCs/>
      <w:kern w:val="2"/>
    </w:rPr>
  </w:style>
  <w:style w:type="paragraph" w:customStyle="1" w:styleId="853">
    <w:name w:val="列表 4W"/>
    <w:basedOn w:val="70"/>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854">
    <w:name w:val="正文文字进缩1"/>
    <w:basedOn w:val="1"/>
    <w:qFormat/>
    <w:uiPriority w:val="0"/>
    <w:pPr>
      <w:widowControl w:val="0"/>
      <w:spacing w:line="360" w:lineRule="auto"/>
      <w:ind w:left="555"/>
      <w:jc w:val="both"/>
    </w:pPr>
    <w:rPr>
      <w:rFonts w:ascii="黑体" w:hAnsi="Times New Roman" w:eastAsia="黑体" w:cs="Times New Roman"/>
      <w:b/>
      <w:bCs/>
      <w:iCs/>
      <w:kern w:val="2"/>
      <w:sz w:val="28"/>
    </w:rPr>
  </w:style>
  <w:style w:type="paragraph" w:customStyle="1" w:styleId="855">
    <w:name w:val="xl97"/>
    <w:basedOn w:val="1"/>
    <w:qFormat/>
    <w:uiPriority w:val="99"/>
    <w:pPr>
      <w:pBdr>
        <w:left w:val="single" w:color="auto" w:sz="8" w:space="0"/>
        <w:right w:val="single" w:color="auto" w:sz="4" w:space="0"/>
      </w:pBdr>
      <w:spacing w:before="100" w:beforeAutospacing="1" w:after="100" w:afterAutospacing="1"/>
      <w:jc w:val="center"/>
      <w:textAlignment w:val="center"/>
    </w:pPr>
    <w:rPr>
      <w:rFonts w:ascii="Times New Roman" w:hAnsi="Times New Roman" w:eastAsia="Arial Unicode MS" w:cs="Times New Roman"/>
      <w:sz w:val="16"/>
      <w:szCs w:val="16"/>
    </w:rPr>
  </w:style>
  <w:style w:type="paragraph" w:customStyle="1" w:styleId="856">
    <w:name w:val="Char Char Char1 Char3"/>
    <w:basedOn w:val="1"/>
    <w:qFormat/>
    <w:uiPriority w:val="0"/>
    <w:pPr>
      <w:widowControl w:val="0"/>
      <w:jc w:val="both"/>
    </w:pPr>
    <w:rPr>
      <w:rFonts w:ascii="Times New Roman" w:hAnsi="Times New Roman" w:cs="Times New Roman"/>
      <w:kern w:val="2"/>
      <w:sz w:val="21"/>
      <w:szCs w:val="20"/>
    </w:rPr>
  </w:style>
  <w:style w:type="paragraph" w:customStyle="1" w:styleId="857">
    <w:name w:val="表8.1-1"/>
    <w:basedOn w:val="1"/>
    <w:qFormat/>
    <w:uiPriority w:val="99"/>
    <w:pPr>
      <w:widowControl w:val="0"/>
      <w:tabs>
        <w:tab w:val="left" w:pos="726"/>
      </w:tabs>
      <w:adjustRightInd w:val="0"/>
      <w:snapToGrid w:val="0"/>
      <w:spacing w:beforeLines="100" w:line="0" w:lineRule="atLeast"/>
      <w:ind w:left="2" w:firstLine="4"/>
      <w:jc w:val="center"/>
    </w:pPr>
    <w:rPr>
      <w:rFonts w:ascii="黑体" w:hAnsi="Times New Roman" w:eastAsia="黑体" w:cs="Times New Roman"/>
      <w:b/>
      <w:kern w:val="2"/>
    </w:rPr>
  </w:style>
  <w:style w:type="paragraph" w:customStyle="1" w:styleId="858">
    <w:name w:val="正文 + 首行缩进:  2 字符"/>
    <w:basedOn w:val="1"/>
    <w:qFormat/>
    <w:uiPriority w:val="99"/>
    <w:pPr>
      <w:widowControl w:val="0"/>
      <w:spacing w:line="460" w:lineRule="atLeast"/>
      <w:ind w:firstLine="528" w:firstLineChars="200"/>
      <w:jc w:val="both"/>
    </w:pPr>
    <w:rPr>
      <w:rFonts w:ascii="Times New Roman" w:hAnsi="Times New Roman" w:cs="Times New Roman"/>
      <w:spacing w:val="12"/>
      <w:kern w:val="2"/>
      <w:szCs w:val="20"/>
    </w:rPr>
  </w:style>
  <w:style w:type="paragraph" w:customStyle="1" w:styleId="859">
    <w:name w:val="表格02"/>
    <w:basedOn w:val="1"/>
    <w:qFormat/>
    <w:uiPriority w:val="99"/>
    <w:pPr>
      <w:widowControl w:val="0"/>
      <w:spacing w:line="400" w:lineRule="exact"/>
      <w:jc w:val="center"/>
    </w:pPr>
    <w:rPr>
      <w:rFonts w:ascii="Times New Roman" w:hAnsi="Times New Roman" w:cs="Times New Roman"/>
      <w:snapToGrid w:val="0"/>
      <w:kern w:val="2"/>
      <w:lang w:val="en-GB"/>
    </w:rPr>
  </w:style>
  <w:style w:type="paragraph" w:customStyle="1" w:styleId="860">
    <w:name w:val="样式 左  0 字符 首行缩进:  2 字符"/>
    <w:basedOn w:val="1"/>
    <w:qFormat/>
    <w:uiPriority w:val="0"/>
    <w:pPr>
      <w:widowControl w:val="0"/>
      <w:ind w:firstLine="200" w:firstLineChars="200"/>
      <w:jc w:val="both"/>
    </w:pPr>
    <w:rPr>
      <w:rFonts w:ascii="Times New Roman" w:hAnsi="Times New Roman" w:cs="Times New Roman"/>
      <w:kern w:val="2"/>
      <w:sz w:val="28"/>
      <w:szCs w:val="28"/>
    </w:rPr>
  </w:style>
  <w:style w:type="paragraph" w:customStyle="1" w:styleId="861">
    <w:name w:val="Char Char Char Char Char Char Char Char Char Char1"/>
    <w:basedOn w:val="1"/>
    <w:qFormat/>
    <w:uiPriority w:val="99"/>
    <w:pPr>
      <w:widowControl w:val="0"/>
      <w:jc w:val="both"/>
    </w:pPr>
    <w:rPr>
      <w:color w:val="000000"/>
      <w:kern w:val="2"/>
      <w:sz w:val="21"/>
      <w:szCs w:val="21"/>
    </w:rPr>
  </w:style>
  <w:style w:type="paragraph" w:customStyle="1" w:styleId="862">
    <w:name w:val="样式7"/>
    <w:basedOn w:val="7"/>
    <w:qFormat/>
    <w:uiPriority w:val="99"/>
    <w:pPr>
      <w:keepNext w:val="0"/>
      <w:keepLines w:val="0"/>
      <w:adjustRightInd w:val="0"/>
      <w:snapToGrid w:val="0"/>
      <w:spacing w:beforeLines="30" w:afterLines="50" w:line="360" w:lineRule="auto"/>
      <w:textAlignment w:val="baseline"/>
    </w:pPr>
    <w:rPr>
      <w:rFonts w:ascii="宋体" w:hAnsi="Courier New" w:eastAsia="宋体"/>
      <w:b/>
      <w:bCs w:val="0"/>
      <w:sz w:val="24"/>
      <w:szCs w:val="20"/>
    </w:rPr>
  </w:style>
  <w:style w:type="paragraph" w:customStyle="1" w:styleId="863">
    <w:name w:val="表标题8.1"/>
    <w:basedOn w:val="530"/>
    <w:qFormat/>
    <w:uiPriority w:val="99"/>
    <w:pPr>
      <w:tabs>
        <w:tab w:val="center" w:pos="4060"/>
        <w:tab w:val="right" w:pos="8261"/>
        <w:tab w:val="clear" w:pos="360"/>
        <w:tab w:val="clear" w:pos="726"/>
      </w:tabs>
      <w:suppressAutoHyphens/>
      <w:adjustRightInd w:val="0"/>
      <w:spacing w:beforeLines="100" w:line="0" w:lineRule="atLeast"/>
    </w:pPr>
    <w:rPr>
      <w:rFonts w:ascii="黑体" w:eastAsia="黑体" w:cs="宋体"/>
      <w:b/>
      <w:bCs/>
      <w:spacing w:val="6"/>
      <w:sz w:val="24"/>
    </w:rPr>
  </w:style>
  <w:style w:type="character" w:customStyle="1" w:styleId="864">
    <w:name w:val="脚注文本 Char2"/>
    <w:qFormat/>
    <w:uiPriority w:val="0"/>
    <w:rPr>
      <w:rFonts w:ascii="宋体" w:hAnsi="宋体" w:cs="宋体"/>
      <w:sz w:val="18"/>
      <w:szCs w:val="18"/>
    </w:rPr>
  </w:style>
  <w:style w:type="paragraph" w:customStyle="1" w:styleId="865">
    <w:name w:val="填表内容"/>
    <w:basedOn w:val="1"/>
    <w:qFormat/>
    <w:uiPriority w:val="99"/>
    <w:pPr>
      <w:widowControl w:val="0"/>
      <w:adjustRightInd w:val="0"/>
      <w:spacing w:line="480" w:lineRule="exact"/>
      <w:ind w:firstLine="560" w:firstLineChars="200"/>
      <w:textAlignment w:val="baseline"/>
    </w:pPr>
    <w:rPr>
      <w:rFonts w:ascii="楷体_GB2312" w:hAnsi="Times New Roman" w:eastAsia="楷体_GB2312" w:cs="Times New Roman"/>
      <w:kern w:val="2"/>
      <w:sz w:val="28"/>
      <w:szCs w:val="20"/>
    </w:rPr>
  </w:style>
  <w:style w:type="paragraph" w:customStyle="1" w:styleId="866">
    <w:name w:val="样式 样式 正文首行缩进正文首行缩进 Char + 首行缩进:  2 字符 + 首行缩进:  2 字符"/>
    <w:basedOn w:val="1"/>
    <w:qFormat/>
    <w:uiPriority w:val="99"/>
    <w:pPr>
      <w:widowControl w:val="0"/>
      <w:adjustRightInd w:val="0"/>
      <w:snapToGrid w:val="0"/>
      <w:spacing w:line="360" w:lineRule="auto"/>
      <w:ind w:firstLine="480" w:firstLineChars="200"/>
      <w:jc w:val="both"/>
      <w:textAlignment w:val="baseline"/>
    </w:pPr>
    <w:rPr>
      <w:rFonts w:hAnsi="Times New Roman"/>
      <w:kern w:val="2"/>
      <w:szCs w:val="20"/>
      <w:lang w:val="zh-CN"/>
    </w:rPr>
  </w:style>
  <w:style w:type="paragraph" w:customStyle="1" w:styleId="867">
    <w:name w:val="章标题(不加入目录内)"/>
    <w:basedOn w:val="77"/>
    <w:qFormat/>
    <w:uiPriority w:val="99"/>
    <w:pPr>
      <w:keepLines/>
      <w:pageBreakBefore/>
      <w:spacing w:after="120"/>
      <w:ind w:right="0" w:firstLine="0"/>
      <w:jc w:val="center"/>
      <w:outlineLvl w:val="9"/>
    </w:pPr>
    <w:rPr>
      <w:rFonts w:ascii="Times New Roman" w:hAnsi="Times New Roman" w:eastAsia="黑体"/>
      <w:sz w:val="36"/>
      <w:szCs w:val="22"/>
    </w:rPr>
  </w:style>
  <w:style w:type="paragraph" w:customStyle="1" w:styleId="868">
    <w:name w:val="xl60"/>
    <w:basedOn w:val="1"/>
    <w:qFormat/>
    <w:uiPriority w:val="99"/>
    <w:pPr>
      <w:pBdr>
        <w:top w:val="single" w:color="auto" w:sz="4" w:space="0"/>
        <w:bottom w:val="single" w:color="auto" w:sz="8" w:space="0"/>
      </w:pBdr>
      <w:spacing w:before="100" w:beforeAutospacing="1" w:after="100" w:afterAutospacing="1"/>
      <w:jc w:val="center"/>
    </w:pPr>
    <w:rPr>
      <w:rFonts w:eastAsia="仿宋_GB2312" w:cs="Times New Roman"/>
      <w:b/>
      <w:bCs/>
      <w:position w:val="-6"/>
    </w:rPr>
  </w:style>
  <w:style w:type="paragraph" w:customStyle="1" w:styleId="869">
    <w:name w:val="xl61"/>
    <w:basedOn w:val="1"/>
    <w:qFormat/>
    <w:uiPriority w:val="99"/>
    <w:pPr>
      <w:pBdr>
        <w:bottom w:val="single" w:color="auto" w:sz="8" w:space="0"/>
        <w:right w:val="single" w:color="auto" w:sz="4" w:space="0"/>
      </w:pBdr>
      <w:spacing w:before="100" w:beforeAutospacing="1" w:after="100" w:afterAutospacing="1"/>
      <w:jc w:val="center"/>
    </w:pPr>
    <w:rPr>
      <w:rFonts w:eastAsia="仿宋_GB2312" w:cs="Times New Roman"/>
      <w:position w:val="-6"/>
      <w:szCs w:val="21"/>
    </w:rPr>
  </w:style>
  <w:style w:type="character" w:customStyle="1" w:styleId="870">
    <w:name w:val="标题 Char5"/>
    <w:qFormat/>
    <w:uiPriority w:val="0"/>
    <w:rPr>
      <w:rFonts w:ascii="Calibri Light" w:hAnsi="Calibri Light" w:cs="Times New Roman"/>
      <w:b/>
      <w:bCs/>
      <w:sz w:val="32"/>
      <w:szCs w:val="32"/>
    </w:rPr>
  </w:style>
  <w:style w:type="paragraph" w:customStyle="1" w:styleId="871">
    <w:name w:val="CM4"/>
    <w:basedOn w:val="103"/>
    <w:next w:val="103"/>
    <w:qFormat/>
    <w:uiPriority w:val="99"/>
    <w:pPr>
      <w:spacing w:line="468" w:lineRule="atLeast"/>
    </w:pPr>
    <w:rPr>
      <w:color w:val="auto"/>
    </w:rPr>
  </w:style>
  <w:style w:type="paragraph" w:customStyle="1" w:styleId="872">
    <w:name w:val="Char1 Char Char Char"/>
    <w:basedOn w:val="1"/>
    <w:qFormat/>
    <w:uiPriority w:val="0"/>
    <w:pPr>
      <w:spacing w:after="160" w:line="240" w:lineRule="exact"/>
    </w:pPr>
    <w:rPr>
      <w:rFonts w:ascii="Verdana" w:hAnsi="Verdana" w:cs="Times New Roman"/>
      <w:sz w:val="20"/>
      <w:szCs w:val="20"/>
      <w:lang w:eastAsia="en-US"/>
    </w:rPr>
  </w:style>
  <w:style w:type="character" w:customStyle="1" w:styleId="873">
    <w:name w:val="正文文本缩进 2 Char3"/>
    <w:qFormat/>
    <w:uiPriority w:val="0"/>
    <w:rPr>
      <w:rFonts w:ascii="宋体" w:hAnsi="宋体" w:cs="宋体"/>
      <w:sz w:val="24"/>
      <w:szCs w:val="24"/>
    </w:rPr>
  </w:style>
  <w:style w:type="paragraph" w:customStyle="1" w:styleId="874">
    <w:name w:val="样式 样式 标题 1标题 1 Char标1章 + 段前: 0.5 行 段后: 0.5 行 + 段前: 0.5 行 段后: 0...."/>
    <w:basedOn w:val="1"/>
    <w:qFormat/>
    <w:uiPriority w:val="99"/>
    <w:pPr>
      <w:keepNext/>
      <w:tabs>
        <w:tab w:val="left" w:pos="0"/>
      </w:tabs>
      <w:spacing w:beforeLines="50" w:afterLines="50"/>
      <w:jc w:val="both"/>
      <w:outlineLvl w:val="0"/>
    </w:pPr>
    <w:rPr>
      <w:rFonts w:ascii="黑体" w:hAnsi="Arial" w:eastAsia="黑体"/>
      <w:color w:val="000000"/>
      <w:kern w:val="24"/>
      <w:sz w:val="28"/>
      <w:szCs w:val="20"/>
      <w:lang w:val="zh-CN"/>
    </w:rPr>
  </w:style>
  <w:style w:type="paragraph" w:customStyle="1" w:styleId="875">
    <w:name w:val="正文缩进12"/>
    <w:basedOn w:val="1"/>
    <w:qFormat/>
    <w:uiPriority w:val="99"/>
    <w:pPr>
      <w:widowControl w:val="0"/>
      <w:ind w:firstLine="420"/>
      <w:jc w:val="both"/>
    </w:pPr>
    <w:rPr>
      <w:rFonts w:ascii="Times New Roman" w:hAnsi="Times New Roman" w:cs="Times New Roman"/>
      <w:kern w:val="2"/>
      <w:szCs w:val="20"/>
    </w:rPr>
  </w:style>
  <w:style w:type="paragraph" w:customStyle="1" w:styleId="876">
    <w:name w:val="xl22"/>
    <w:basedOn w:val="1"/>
    <w:qFormat/>
    <w:uiPriority w:val="99"/>
    <w:pPr>
      <w:spacing w:before="100" w:beforeAutospacing="1" w:after="100" w:afterAutospacing="1"/>
      <w:jc w:val="center"/>
    </w:pPr>
    <w:rPr>
      <w:rFonts w:ascii="Arial Unicode MS" w:hAnsi="Arial Unicode MS" w:eastAsia="Arial Unicode MS" w:cs="Times New Roman"/>
      <w:sz w:val="21"/>
      <w:szCs w:val="21"/>
    </w:rPr>
  </w:style>
  <w:style w:type="paragraph" w:customStyle="1" w:styleId="877">
    <w:name w:val="连续正文文字"/>
    <w:basedOn w:val="32"/>
    <w:qFormat/>
    <w:uiPriority w:val="99"/>
    <w:pPr>
      <w:keepNext/>
      <w:spacing w:after="220" w:line="280" w:lineRule="exact"/>
      <w:jc w:val="center"/>
    </w:pPr>
    <w:rPr>
      <w:rFonts w:ascii="Times New Roman" w:hAnsi="Times New Roman"/>
      <w:color w:val="auto"/>
      <w:kern w:val="0"/>
      <w:sz w:val="30"/>
      <w:szCs w:val="20"/>
    </w:rPr>
  </w:style>
  <w:style w:type="paragraph" w:customStyle="1" w:styleId="878">
    <w:name w:val="表格2"/>
    <w:basedOn w:val="25"/>
    <w:qFormat/>
    <w:uiPriority w:val="99"/>
    <w:pPr>
      <w:shd w:val="clear" w:color="auto" w:fill="auto"/>
      <w:spacing w:beforeLines="5"/>
      <w:jc w:val="center"/>
    </w:pPr>
    <w:rPr>
      <w:rFonts w:ascii="宋体"/>
      <w:szCs w:val="20"/>
    </w:rPr>
  </w:style>
  <w:style w:type="paragraph" w:customStyle="1" w:styleId="879">
    <w:name w:val="Char Char Char Char Char Char Char Char Char"/>
    <w:basedOn w:val="1"/>
    <w:qFormat/>
    <w:uiPriority w:val="0"/>
    <w:pPr>
      <w:widowControl w:val="0"/>
      <w:jc w:val="both"/>
    </w:pPr>
    <w:rPr>
      <w:rFonts w:ascii="Times New Roman" w:hAnsi="Times New Roman" w:cs="Times New Roman"/>
      <w:kern w:val="2"/>
      <w:sz w:val="21"/>
      <w:szCs w:val="20"/>
    </w:rPr>
  </w:style>
  <w:style w:type="paragraph" w:customStyle="1" w:styleId="880">
    <w:name w:val="Char Char Char Char Char Char Char Char"/>
    <w:basedOn w:val="1"/>
    <w:qFormat/>
    <w:uiPriority w:val="99"/>
    <w:pPr>
      <w:widowControl w:val="0"/>
      <w:jc w:val="both"/>
    </w:pPr>
    <w:rPr>
      <w:rFonts w:ascii="Times New Roman" w:hAnsi="Times New Roman" w:cs="Times New Roman"/>
      <w:kern w:val="2"/>
      <w:sz w:val="21"/>
    </w:rPr>
  </w:style>
  <w:style w:type="paragraph" w:customStyle="1" w:styleId="881">
    <w:name w:val="普通(网站)1"/>
    <w:basedOn w:val="1"/>
    <w:qFormat/>
    <w:uiPriority w:val="0"/>
    <w:pPr>
      <w:spacing w:before="100" w:beforeAutospacing="1" w:after="100" w:afterAutospacing="1"/>
    </w:pPr>
    <w:rPr>
      <w:rFonts w:hint="eastAsia" w:cs="Times New Roman"/>
      <w:kern w:val="2"/>
      <w:szCs w:val="20"/>
    </w:rPr>
  </w:style>
  <w:style w:type="paragraph" w:customStyle="1" w:styleId="882">
    <w:name w:val="表标题16.9"/>
    <w:basedOn w:val="1"/>
    <w:qFormat/>
    <w:uiPriority w:val="99"/>
    <w:pPr>
      <w:widowControl w:val="0"/>
      <w:tabs>
        <w:tab w:val="left" w:pos="726"/>
        <w:tab w:val="center" w:pos="4060"/>
        <w:tab w:val="right" w:pos="8261"/>
      </w:tabs>
      <w:suppressAutoHyphens/>
      <w:adjustRightInd w:val="0"/>
      <w:spacing w:before="240" w:line="0" w:lineRule="atLeast"/>
      <w:ind w:left="2" w:firstLine="4"/>
      <w:jc w:val="both"/>
    </w:pPr>
    <w:rPr>
      <w:rFonts w:ascii="黑体" w:hAnsi="Times New Roman" w:eastAsia="黑体" w:cs="Times New Roman"/>
      <w:b/>
      <w:spacing w:val="6"/>
      <w:sz w:val="26"/>
      <w:szCs w:val="26"/>
    </w:rPr>
  </w:style>
  <w:style w:type="paragraph" w:customStyle="1" w:styleId="883">
    <w:name w:val="列表 2R"/>
    <w:basedOn w:val="35"/>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884">
    <w:name w:val="CM60"/>
    <w:basedOn w:val="103"/>
    <w:next w:val="103"/>
    <w:qFormat/>
    <w:uiPriority w:val="99"/>
    <w:pPr>
      <w:spacing w:after="343"/>
    </w:pPr>
    <w:rPr>
      <w:color w:val="auto"/>
    </w:rPr>
  </w:style>
  <w:style w:type="paragraph" w:customStyle="1" w:styleId="885">
    <w:name w:val="Char Char Char1 Char Char Char Char Char Char Char"/>
    <w:basedOn w:val="1"/>
    <w:qFormat/>
    <w:uiPriority w:val="0"/>
    <w:pPr>
      <w:widowControl w:val="0"/>
      <w:jc w:val="both"/>
    </w:pPr>
    <w:rPr>
      <w:rFonts w:ascii="Times New Roman" w:hAnsi="Times New Roman" w:cs="Times New Roman"/>
      <w:kern w:val="2"/>
      <w:sz w:val="21"/>
    </w:rPr>
  </w:style>
  <w:style w:type="paragraph" w:customStyle="1" w:styleId="886">
    <w:name w:val="样式111"/>
    <w:qFormat/>
    <w:uiPriority w:val="99"/>
    <w:pPr>
      <w:adjustRightInd w:val="0"/>
      <w:snapToGrid w:val="0"/>
      <w:jc w:val="both"/>
    </w:pPr>
    <w:rPr>
      <w:rFonts w:ascii="宋体" w:hAnsi="Times New Roman" w:eastAsia="宋体" w:cs="Times New Roman"/>
      <w:sz w:val="21"/>
      <w:lang w:val="en-US" w:eastAsia="zh-CN" w:bidi="ar-SA"/>
    </w:rPr>
  </w:style>
  <w:style w:type="paragraph" w:customStyle="1" w:styleId="887">
    <w:name w:val="样式 标题 3条标题1.1.1 + 宋体 加粗 段前: 13 磅 段后: 13 磅 行距: 多倍行距 1.73 字行"/>
    <w:basedOn w:val="7"/>
    <w:qFormat/>
    <w:uiPriority w:val="99"/>
    <w:pPr>
      <w:widowControl w:val="0"/>
      <w:adjustRightInd w:val="0"/>
      <w:snapToGrid w:val="0"/>
      <w:spacing w:beforeLines="50" w:afterLines="50" w:line="416" w:lineRule="auto"/>
      <w:jc w:val="both"/>
    </w:pPr>
    <w:rPr>
      <w:rFonts w:ascii="Arial" w:hAnsi="Arial" w:eastAsia="宋体"/>
      <w:sz w:val="28"/>
      <w:szCs w:val="28"/>
    </w:rPr>
  </w:style>
  <w:style w:type="paragraph" w:customStyle="1" w:styleId="888">
    <w:name w:val="xl71"/>
    <w:basedOn w:val="1"/>
    <w:qFormat/>
    <w:uiPriority w:val="99"/>
    <w:pPr>
      <w:pBdr>
        <w:top w:val="single" w:color="auto" w:sz="8" w:space="0"/>
        <w:left w:val="single" w:color="auto" w:sz="8" w:space="0"/>
      </w:pBdr>
      <w:spacing w:before="100" w:beforeAutospacing="1" w:after="100" w:afterAutospacing="1"/>
      <w:jc w:val="center"/>
    </w:pPr>
    <w:rPr>
      <w:rFonts w:eastAsia="仿宋_GB2312" w:cs="Times New Roman"/>
      <w:position w:val="-6"/>
      <w:szCs w:val="21"/>
    </w:rPr>
  </w:style>
  <w:style w:type="paragraph" w:customStyle="1" w:styleId="889">
    <w:name w:val="表内式样"/>
    <w:qFormat/>
    <w:uiPriority w:val="99"/>
    <w:pPr>
      <w:widowControl w:val="0"/>
      <w:jc w:val="center"/>
    </w:pPr>
    <w:rPr>
      <w:rFonts w:ascii="Times New Roman" w:hAnsi="Times New Roman" w:eastAsia="宋体" w:cs="Times New Roman"/>
      <w:sz w:val="18"/>
      <w:szCs w:val="24"/>
      <w:lang w:val="en-US" w:eastAsia="zh-CN" w:bidi="ar-SA"/>
    </w:rPr>
  </w:style>
  <w:style w:type="character" w:customStyle="1" w:styleId="890">
    <w:name w:val="信息标题 Char1"/>
    <w:qFormat/>
    <w:uiPriority w:val="0"/>
    <w:rPr>
      <w:rFonts w:ascii="Calibri Light" w:hAnsi="Calibri Light" w:eastAsia="宋体" w:cs="Times New Roman"/>
      <w:sz w:val="24"/>
      <w:szCs w:val="24"/>
      <w:shd w:val="pct20" w:color="auto" w:fill="auto"/>
    </w:rPr>
  </w:style>
  <w:style w:type="paragraph" w:customStyle="1" w:styleId="891">
    <w:name w:val="内蒙2"/>
    <w:basedOn w:val="5"/>
    <w:qFormat/>
    <w:uiPriority w:val="99"/>
    <w:pPr>
      <w:widowControl w:val="0"/>
      <w:spacing w:line="480" w:lineRule="exact"/>
      <w:jc w:val="both"/>
    </w:pPr>
    <w:rPr>
      <w:rFonts w:ascii="Times New Roman" w:hAnsi="Times New Roman"/>
      <w:b/>
      <w:bCs w:val="0"/>
      <w:color w:val="FF0000"/>
      <w:spacing w:val="20"/>
      <w:szCs w:val="28"/>
    </w:rPr>
  </w:style>
  <w:style w:type="character" w:customStyle="1" w:styleId="892">
    <w:name w:val="文档结构图 Char3"/>
    <w:qFormat/>
    <w:uiPriority w:val="0"/>
    <w:rPr>
      <w:rFonts w:ascii="Microsoft YaHei UI" w:hAnsi="宋体" w:eastAsia="Microsoft YaHei UI" w:cs="宋体"/>
      <w:sz w:val="18"/>
      <w:szCs w:val="18"/>
    </w:rPr>
  </w:style>
  <w:style w:type="paragraph" w:customStyle="1" w:styleId="893">
    <w:name w:val="CM68"/>
    <w:basedOn w:val="103"/>
    <w:next w:val="103"/>
    <w:qFormat/>
    <w:uiPriority w:val="99"/>
    <w:pPr>
      <w:spacing w:after="265"/>
    </w:pPr>
    <w:rPr>
      <w:color w:val="auto"/>
    </w:rPr>
  </w:style>
  <w:style w:type="character" w:customStyle="1" w:styleId="894">
    <w:name w:val="电子邮件签名 Char2"/>
    <w:qFormat/>
    <w:uiPriority w:val="0"/>
    <w:rPr>
      <w:rFonts w:ascii="宋体" w:hAnsi="宋体" w:cs="宋体"/>
      <w:sz w:val="24"/>
      <w:szCs w:val="24"/>
    </w:rPr>
  </w:style>
  <w:style w:type="paragraph" w:customStyle="1" w:styleId="895">
    <w:name w:val="样式 表格备注"/>
    <w:basedOn w:val="1"/>
    <w:qFormat/>
    <w:uiPriority w:val="99"/>
    <w:pPr>
      <w:keepNext/>
      <w:widowControl w:val="0"/>
      <w:tabs>
        <w:tab w:val="left" w:pos="628"/>
        <w:tab w:val="left" w:pos="1727"/>
        <w:tab w:val="left" w:pos="1884"/>
        <w:tab w:val="left" w:pos="4680"/>
        <w:tab w:val="left" w:pos="4900"/>
      </w:tabs>
      <w:adjustRightInd w:val="0"/>
      <w:snapToGrid w:val="0"/>
      <w:spacing w:line="360" w:lineRule="auto"/>
      <w:ind w:firstLine="480" w:firstLineChars="200"/>
      <w:jc w:val="both"/>
    </w:pPr>
    <w:rPr>
      <w:rFonts w:eastAsia="楷体_GB2312" w:cs="Times New Roman"/>
      <w:szCs w:val="20"/>
    </w:rPr>
  </w:style>
  <w:style w:type="paragraph" w:customStyle="1" w:styleId="896">
    <w:name w:val="CM1"/>
    <w:basedOn w:val="103"/>
    <w:next w:val="103"/>
    <w:qFormat/>
    <w:uiPriority w:val="99"/>
    <w:rPr>
      <w:rFonts w:ascii="宋体" w:cs="宋体"/>
      <w:color w:val="auto"/>
    </w:rPr>
  </w:style>
  <w:style w:type="paragraph" w:customStyle="1" w:styleId="897">
    <w:name w:val="xl80"/>
    <w:basedOn w:val="1"/>
    <w:qFormat/>
    <w:uiPriority w:val="99"/>
    <w:pPr>
      <w:pBdr>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898">
    <w:name w:val="Achievement"/>
    <w:basedOn w:val="32"/>
    <w:qFormat/>
    <w:uiPriority w:val="99"/>
    <w:pPr>
      <w:spacing w:after="60" w:line="220" w:lineRule="atLeast"/>
      <w:ind w:left="245" w:right="-360" w:hanging="245"/>
    </w:pPr>
    <w:rPr>
      <w:rFonts w:ascii="Times New Roman" w:hAnsi="Times New Roman"/>
      <w:color w:val="auto"/>
      <w:kern w:val="0"/>
      <w:sz w:val="20"/>
      <w:szCs w:val="20"/>
    </w:rPr>
  </w:style>
  <w:style w:type="paragraph" w:customStyle="1" w:styleId="899">
    <w:name w:val="Exhibit--Caption"/>
    <w:basedOn w:val="900"/>
    <w:next w:val="32"/>
    <w:semiHidden/>
    <w:qFormat/>
    <w:uiPriority w:val="99"/>
    <w:rPr>
      <w:i/>
    </w:rPr>
  </w:style>
  <w:style w:type="paragraph" w:customStyle="1" w:styleId="900">
    <w:name w:val="Exhibit--Title"/>
    <w:basedOn w:val="901"/>
    <w:next w:val="899"/>
    <w:qFormat/>
    <w:uiPriority w:val="0"/>
    <w:rPr>
      <w:b w:val="0"/>
      <w:sz w:val="20"/>
    </w:rPr>
  </w:style>
  <w:style w:type="paragraph" w:customStyle="1" w:styleId="901">
    <w:name w:val="Exhibit--Number"/>
    <w:basedOn w:val="902"/>
    <w:next w:val="900"/>
    <w:semiHidden/>
    <w:qFormat/>
    <w:uiPriority w:val="99"/>
  </w:style>
  <w:style w:type="paragraph" w:customStyle="1" w:styleId="902">
    <w:name w:val="Main-Head"/>
    <w:basedOn w:val="1"/>
    <w:next w:val="32"/>
    <w:semiHidden/>
    <w:qFormat/>
    <w:uiPriority w:val="99"/>
    <w:pPr>
      <w:widowControl w:val="0"/>
      <w:jc w:val="both"/>
    </w:pPr>
    <w:rPr>
      <w:rFonts w:ascii="Arial Narrow" w:hAnsi="Arial Narrow" w:eastAsia="仿宋_GB2312" w:cs="Times New Roman"/>
      <w:b/>
      <w:kern w:val="2"/>
      <w:sz w:val="22"/>
    </w:rPr>
  </w:style>
  <w:style w:type="paragraph" w:customStyle="1" w:styleId="903">
    <w:name w:val="列表 4R"/>
    <w:basedOn w:val="70"/>
    <w:qFormat/>
    <w:uiPriority w:val="99"/>
    <w:pPr>
      <w:tabs>
        <w:tab w:val="left" w:pos="907"/>
      </w:tabs>
      <w:topLinePunct w:val="0"/>
      <w:spacing w:beforeLines="50" w:afterLines="30" w:line="288" w:lineRule="auto"/>
      <w:ind w:left="907" w:leftChars="0" w:hanging="567" w:firstLineChars="0"/>
      <w:jc w:val="both"/>
    </w:pPr>
    <w:rPr>
      <w:rFonts w:ascii="Arial" w:hAnsi="Arial" w:eastAsia="宋体"/>
      <w:color w:val="CCFFFF"/>
      <w:sz w:val="24"/>
    </w:rPr>
  </w:style>
  <w:style w:type="paragraph" w:customStyle="1" w:styleId="904">
    <w:name w:val="小标题2"/>
    <w:basedOn w:val="1"/>
    <w:qFormat/>
    <w:uiPriority w:val="0"/>
    <w:pPr>
      <w:widowControl w:val="0"/>
      <w:tabs>
        <w:tab w:val="left" w:pos="5400"/>
      </w:tabs>
      <w:overflowPunct w:val="0"/>
      <w:spacing w:line="336" w:lineRule="auto"/>
      <w:ind w:firstLine="480" w:firstLineChars="200"/>
      <w:jc w:val="both"/>
    </w:pPr>
    <w:rPr>
      <w:rFonts w:ascii="Times New Roman" w:hAnsi="Times New Roman" w:cs="Times New Roman"/>
      <w:kern w:val="2"/>
    </w:rPr>
  </w:style>
  <w:style w:type="paragraph" w:customStyle="1" w:styleId="905">
    <w:name w:val="font7"/>
    <w:basedOn w:val="1"/>
    <w:qFormat/>
    <w:uiPriority w:val="99"/>
    <w:pPr>
      <w:spacing w:before="100" w:beforeAutospacing="1" w:after="100" w:afterAutospacing="1"/>
    </w:pPr>
    <w:rPr>
      <w:rFonts w:ascii="Times New Roman" w:hAnsi="Times New Roman" w:eastAsia="Arial Unicode MS" w:cs="Times New Roman"/>
      <w:b/>
      <w:bCs/>
      <w:sz w:val="32"/>
      <w:szCs w:val="32"/>
    </w:rPr>
  </w:style>
  <w:style w:type="paragraph" w:customStyle="1" w:styleId="906">
    <w:name w:val="报告表  段"/>
    <w:basedOn w:val="1"/>
    <w:qFormat/>
    <w:uiPriority w:val="99"/>
    <w:pPr>
      <w:widowControl w:val="0"/>
      <w:adjustRightInd w:val="0"/>
      <w:spacing w:line="360" w:lineRule="auto"/>
      <w:ind w:firstLine="505"/>
      <w:jc w:val="both"/>
      <w:textAlignment w:val="baseline"/>
    </w:pPr>
    <w:rPr>
      <w:rFonts w:hAnsi="Times New Roman" w:cs="Times New Roman"/>
      <w:szCs w:val="20"/>
    </w:rPr>
  </w:style>
  <w:style w:type="character" w:customStyle="1" w:styleId="907">
    <w:name w:val="正文首行缩进 2 Char2"/>
    <w:qFormat/>
    <w:uiPriority w:val="0"/>
    <w:rPr>
      <w:rFonts w:ascii="宋体" w:hAnsi="宋体" w:eastAsia="仿宋_GB2312" w:cs="宋体"/>
      <w:spacing w:val="-2"/>
      <w:sz w:val="24"/>
      <w:szCs w:val="24"/>
    </w:rPr>
  </w:style>
  <w:style w:type="character" w:customStyle="1" w:styleId="908">
    <w:name w:val="称呼 Char2"/>
    <w:qFormat/>
    <w:uiPriority w:val="0"/>
    <w:rPr>
      <w:rFonts w:ascii="宋体" w:hAnsi="宋体" w:cs="宋体"/>
      <w:sz w:val="24"/>
      <w:szCs w:val="24"/>
    </w:rPr>
  </w:style>
  <w:style w:type="paragraph" w:customStyle="1" w:styleId="909">
    <w:name w:val="列表 E"/>
    <w:basedOn w:val="60"/>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character" w:customStyle="1" w:styleId="910">
    <w:name w:val="HTML 预设格式 Char2"/>
    <w:qFormat/>
    <w:uiPriority w:val="0"/>
    <w:rPr>
      <w:rFonts w:ascii="Courier New" w:hAnsi="Courier New" w:cs="Courier New"/>
    </w:rPr>
  </w:style>
  <w:style w:type="paragraph" w:customStyle="1" w:styleId="911">
    <w:name w:val="粗体字"/>
    <w:basedOn w:val="1"/>
    <w:qFormat/>
    <w:uiPriority w:val="99"/>
    <w:pPr>
      <w:widowControl w:val="0"/>
      <w:spacing w:line="360" w:lineRule="auto"/>
      <w:ind w:firstLine="200" w:firstLineChars="200"/>
      <w:jc w:val="both"/>
    </w:pPr>
    <w:rPr>
      <w:rFonts w:cs="Times New Roman"/>
      <w:b/>
      <w:bCs/>
      <w:szCs w:val="20"/>
    </w:rPr>
  </w:style>
  <w:style w:type="paragraph" w:customStyle="1" w:styleId="912">
    <w:name w:val="样式 样式 宋体 13 磅 白色 首行缩进:  0.74 厘米 + 自动设置 首行缩进:  2 字符"/>
    <w:basedOn w:val="1"/>
    <w:qFormat/>
    <w:uiPriority w:val="99"/>
    <w:pPr>
      <w:widowControl w:val="0"/>
      <w:ind w:firstLine="520" w:firstLineChars="200"/>
      <w:jc w:val="both"/>
    </w:pPr>
    <w:rPr>
      <w:kern w:val="2"/>
      <w:sz w:val="27"/>
      <w:szCs w:val="27"/>
    </w:rPr>
  </w:style>
  <w:style w:type="paragraph" w:customStyle="1" w:styleId="913">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szCs w:val="20"/>
    </w:rPr>
  </w:style>
  <w:style w:type="paragraph" w:customStyle="1" w:styleId="914">
    <w:name w:val="图表目录11"/>
    <w:basedOn w:val="254"/>
    <w:next w:val="254"/>
    <w:qFormat/>
    <w:uiPriority w:val="99"/>
    <w:pPr>
      <w:tabs>
        <w:tab w:val="right" w:leader="dot" w:pos="8051"/>
      </w:tabs>
      <w:ind w:left="840" w:hanging="840"/>
    </w:pPr>
  </w:style>
  <w:style w:type="paragraph" w:customStyle="1" w:styleId="915">
    <w:name w:val="正文一"/>
    <w:basedOn w:val="1"/>
    <w:qFormat/>
    <w:uiPriority w:val="99"/>
    <w:pPr>
      <w:widowControl w:val="0"/>
      <w:adjustRightInd w:val="0"/>
      <w:spacing w:line="520" w:lineRule="exact"/>
      <w:ind w:firstLine="200" w:firstLineChars="200"/>
      <w:jc w:val="both"/>
      <w:textAlignment w:val="baseline"/>
    </w:pPr>
    <w:rPr>
      <w:rFonts w:cs="Times New Roman"/>
    </w:rPr>
  </w:style>
  <w:style w:type="paragraph" w:customStyle="1" w:styleId="916">
    <w:name w:val="排序（1）（2）"/>
    <w:basedOn w:val="1"/>
    <w:qFormat/>
    <w:uiPriority w:val="99"/>
    <w:pPr>
      <w:widowControl w:val="0"/>
      <w:spacing w:line="460" w:lineRule="atLeast"/>
      <w:jc w:val="both"/>
    </w:pPr>
    <w:rPr>
      <w:rFonts w:ascii="Times New Roman" w:hAnsi="Times New Roman" w:cs="Times New Roman"/>
      <w:spacing w:val="12"/>
      <w:kern w:val="2"/>
    </w:rPr>
  </w:style>
  <w:style w:type="paragraph" w:customStyle="1" w:styleId="917">
    <w:name w:val="xl101"/>
    <w:basedOn w:val="1"/>
    <w:qFormat/>
    <w:uiPriority w:val="99"/>
    <w:pPr>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sz w:val="16"/>
      <w:szCs w:val="16"/>
    </w:rPr>
  </w:style>
  <w:style w:type="paragraph" w:customStyle="1" w:styleId="918">
    <w:name w:val="样式 正文首行缩进 + 四号 首行缩进:  1 字符 段后: 2.5 磅 行距: 1.5 倍行距"/>
    <w:basedOn w:val="79"/>
    <w:qFormat/>
    <w:uiPriority w:val="99"/>
    <w:pPr>
      <w:widowControl w:val="0"/>
      <w:spacing w:after="0" w:line="360" w:lineRule="auto"/>
      <w:ind w:firstLine="100"/>
    </w:pPr>
    <w:rPr>
      <w:rFonts w:ascii="Times New Roman" w:hAnsi="Times New Roman"/>
      <w:sz w:val="28"/>
    </w:rPr>
  </w:style>
  <w:style w:type="paragraph" w:customStyle="1" w:styleId="919">
    <w:name w:val="南郊正文"/>
    <w:basedOn w:val="1"/>
    <w:next w:val="1"/>
    <w:qFormat/>
    <w:uiPriority w:val="99"/>
    <w:pPr>
      <w:widowControl w:val="0"/>
      <w:jc w:val="both"/>
    </w:pPr>
    <w:rPr>
      <w:rFonts w:ascii="Times New Roman" w:hAnsi="Times New Roman" w:cs="Times New Roman"/>
      <w:kern w:val="2"/>
    </w:rPr>
  </w:style>
  <w:style w:type="paragraph" w:customStyle="1" w:styleId="920">
    <w:name w:val="表标题3.10"/>
    <w:basedOn w:val="818"/>
    <w:qFormat/>
    <w:uiPriority w:val="99"/>
  </w:style>
  <w:style w:type="paragraph" w:customStyle="1" w:styleId="921">
    <w:name w:val="Char Char Char Char Char Char Char Char Char Char"/>
    <w:basedOn w:val="1"/>
    <w:qFormat/>
    <w:uiPriority w:val="0"/>
    <w:pPr>
      <w:widowControl w:val="0"/>
      <w:jc w:val="both"/>
    </w:pPr>
    <w:rPr>
      <w:color w:val="000000"/>
      <w:kern w:val="2"/>
      <w:sz w:val="21"/>
      <w:szCs w:val="21"/>
    </w:rPr>
  </w:style>
  <w:style w:type="paragraph" w:customStyle="1" w:styleId="922">
    <w:name w:val="xl98"/>
    <w:basedOn w:val="1"/>
    <w:qFormat/>
    <w:uiPriority w:val="99"/>
    <w:pPr>
      <w:pBdr>
        <w:left w:val="single" w:color="auto" w:sz="8" w:space="0"/>
        <w:bottom w:val="single" w:color="auto" w:sz="8" w:space="0"/>
        <w:right w:val="single" w:color="auto" w:sz="4" w:space="0"/>
      </w:pBdr>
      <w:spacing w:before="100" w:beforeAutospacing="1" w:after="100" w:afterAutospacing="1"/>
      <w:jc w:val="center"/>
      <w:textAlignment w:val="center"/>
    </w:pPr>
    <w:rPr>
      <w:rFonts w:ascii="Times New Roman" w:hAnsi="Times New Roman" w:eastAsia="Arial Unicode MS" w:cs="Times New Roman"/>
      <w:sz w:val="16"/>
      <w:szCs w:val="16"/>
    </w:rPr>
  </w:style>
  <w:style w:type="paragraph" w:customStyle="1" w:styleId="923">
    <w:name w:val="列表 2N"/>
    <w:basedOn w:val="35"/>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924">
    <w:name w:val="列表 5N"/>
    <w:basedOn w:val="64"/>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925">
    <w:name w:val="条(二级)"/>
    <w:basedOn w:val="5"/>
    <w:next w:val="1"/>
    <w:qFormat/>
    <w:uiPriority w:val="99"/>
    <w:pPr>
      <w:widowControl w:val="0"/>
      <w:autoSpaceDE w:val="0"/>
      <w:autoSpaceDN w:val="0"/>
      <w:adjustRightInd w:val="0"/>
      <w:spacing w:line="460" w:lineRule="exact"/>
      <w:textAlignment w:val="baseline"/>
      <w:outlineLvl w:val="9"/>
    </w:pPr>
    <w:rPr>
      <w:rFonts w:ascii="宋体" w:hAnsi="Times New Roman" w:eastAsia="宋体"/>
      <w:b/>
      <w:bCs w:val="0"/>
      <w:spacing w:val="3"/>
      <w:kern w:val="24"/>
      <w:sz w:val="26"/>
      <w:szCs w:val="20"/>
    </w:rPr>
  </w:style>
  <w:style w:type="paragraph" w:customStyle="1" w:styleId="926">
    <w:name w:val="新标题2"/>
    <w:basedOn w:val="1"/>
    <w:next w:val="79"/>
    <w:qFormat/>
    <w:uiPriority w:val="99"/>
    <w:pPr>
      <w:widowControl w:val="0"/>
      <w:spacing w:beforeLines="50" w:afterLines="50" w:line="360" w:lineRule="auto"/>
      <w:ind w:firstLine="200" w:firstLineChars="200"/>
      <w:jc w:val="center"/>
    </w:pPr>
  </w:style>
  <w:style w:type="paragraph" w:customStyle="1" w:styleId="927">
    <w:name w:val="条(三级)"/>
    <w:basedOn w:val="925"/>
    <w:next w:val="928"/>
    <w:qFormat/>
    <w:uiPriority w:val="99"/>
    <w:rPr>
      <w:b w:val="0"/>
    </w:rPr>
  </w:style>
  <w:style w:type="paragraph" w:customStyle="1" w:styleId="928">
    <w:name w:val="条(四级)"/>
    <w:basedOn w:val="1"/>
    <w:next w:val="1"/>
    <w:qFormat/>
    <w:uiPriority w:val="99"/>
    <w:pPr>
      <w:keepNext/>
      <w:keepLines/>
      <w:widowControl w:val="0"/>
      <w:autoSpaceDE w:val="0"/>
      <w:autoSpaceDN w:val="0"/>
      <w:adjustRightInd w:val="0"/>
      <w:spacing w:line="460" w:lineRule="exact"/>
      <w:textAlignment w:val="baseline"/>
    </w:pPr>
    <w:rPr>
      <w:rFonts w:hAnsi="Times New Roman" w:cs="Times New Roman"/>
      <w:spacing w:val="3"/>
      <w:kern w:val="24"/>
      <w:sz w:val="26"/>
      <w:szCs w:val="20"/>
    </w:rPr>
  </w:style>
  <w:style w:type="paragraph" w:customStyle="1" w:styleId="929">
    <w:name w:val="Char Char Char1 Char Char Char Char Char Char Char2"/>
    <w:basedOn w:val="1"/>
    <w:qFormat/>
    <w:uiPriority w:val="99"/>
    <w:pPr>
      <w:widowControl w:val="0"/>
      <w:jc w:val="both"/>
    </w:pPr>
    <w:rPr>
      <w:rFonts w:ascii="Times New Roman" w:hAnsi="Times New Roman" w:cs="Times New Roman"/>
      <w:kern w:val="2"/>
      <w:sz w:val="21"/>
    </w:rPr>
  </w:style>
  <w:style w:type="paragraph" w:customStyle="1" w:styleId="930">
    <w:name w:val="Char Char Char Char Char Char1 Char"/>
    <w:basedOn w:val="1"/>
    <w:qFormat/>
    <w:uiPriority w:val="0"/>
    <w:pPr>
      <w:spacing w:after="160" w:line="240" w:lineRule="exact"/>
    </w:pPr>
    <w:rPr>
      <w:rFonts w:ascii="Arial" w:hAnsi="Arial" w:eastAsia="Times New Roman" w:cs="Times New Roman"/>
      <w:b/>
      <w:szCs w:val="20"/>
      <w:lang w:eastAsia="en-US"/>
    </w:rPr>
  </w:style>
  <w:style w:type="paragraph" w:customStyle="1" w:styleId="931">
    <w:name w:val="xl53"/>
    <w:basedOn w:val="1"/>
    <w:qFormat/>
    <w:uiPriority w:val="99"/>
    <w:pPr>
      <w:pBdr>
        <w:top w:val="single" w:color="auto" w:sz="8" w:space="0"/>
        <w:left w:val="single" w:color="auto" w:sz="4" w:space="0"/>
        <w:bottom w:val="single" w:color="auto" w:sz="8" w:space="0"/>
      </w:pBdr>
      <w:spacing w:before="100" w:beforeAutospacing="1" w:after="100" w:afterAutospacing="1"/>
    </w:pPr>
    <w:rPr>
      <w:rFonts w:eastAsia="仿宋_GB2312" w:cs="Times New Roman"/>
      <w:b/>
      <w:bCs/>
      <w:position w:val="-6"/>
      <w:szCs w:val="21"/>
    </w:rPr>
  </w:style>
  <w:style w:type="paragraph" w:customStyle="1" w:styleId="932">
    <w:name w:val="标题样式3"/>
    <w:basedOn w:val="7"/>
    <w:qFormat/>
    <w:uiPriority w:val="99"/>
    <w:pPr>
      <w:keepNext w:val="0"/>
      <w:widowControl w:val="0"/>
      <w:spacing w:line="360" w:lineRule="auto"/>
      <w:jc w:val="both"/>
    </w:pPr>
    <w:rPr>
      <w:rFonts w:ascii="黑体" w:cs="黑体"/>
      <w:b/>
      <w:color w:val="000000"/>
      <w:sz w:val="28"/>
      <w:szCs w:val="28"/>
      <w:lang w:val="zh-CN"/>
    </w:rPr>
  </w:style>
  <w:style w:type="paragraph" w:customStyle="1" w:styleId="933">
    <w:name w:val="Char Char Char1 Char Char Char"/>
    <w:basedOn w:val="1"/>
    <w:qFormat/>
    <w:uiPriority w:val="0"/>
    <w:pPr>
      <w:widowControl w:val="0"/>
      <w:jc w:val="both"/>
    </w:pPr>
    <w:rPr>
      <w:rFonts w:ascii="Times New Roman" w:hAnsi="Times New Roman" w:cs="Times New Roman"/>
      <w:kern w:val="2"/>
      <w:sz w:val="21"/>
    </w:rPr>
  </w:style>
  <w:style w:type="paragraph" w:customStyle="1" w:styleId="934">
    <w:name w:val="Char Char Char Char Char Char Char Char Char Char Char Char Char Char Char Char Char"/>
    <w:basedOn w:val="1"/>
    <w:qFormat/>
    <w:uiPriority w:val="0"/>
    <w:pPr>
      <w:widowControl w:val="0"/>
      <w:jc w:val="both"/>
    </w:pPr>
    <w:rPr>
      <w:rFonts w:ascii="Times New Roman" w:hAnsi="Times New Roman" w:cs="Times New Roman"/>
      <w:kern w:val="2"/>
      <w:sz w:val="21"/>
    </w:rPr>
  </w:style>
  <w:style w:type="paragraph" w:customStyle="1" w:styleId="935">
    <w:name w:val="列表 5R"/>
    <w:basedOn w:val="64"/>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936">
    <w:name w:val="xl64"/>
    <w:basedOn w:val="1"/>
    <w:qFormat/>
    <w:uiPriority w:val="99"/>
    <w:pPr>
      <w:pBdr>
        <w:left w:val="single" w:color="auto" w:sz="4" w:space="0"/>
      </w:pBdr>
      <w:spacing w:before="100" w:beforeAutospacing="1" w:after="100" w:afterAutospacing="1"/>
      <w:jc w:val="right"/>
    </w:pPr>
    <w:rPr>
      <w:rFonts w:eastAsia="仿宋_GB2312" w:cs="Times New Roman"/>
      <w:position w:val="-6"/>
    </w:rPr>
  </w:style>
  <w:style w:type="paragraph" w:customStyle="1" w:styleId="937">
    <w:name w:val="封面标准文稿类别"/>
    <w:semiHidden/>
    <w:qFormat/>
    <w:uiPriority w:val="99"/>
    <w:pPr>
      <w:spacing w:before="440" w:line="400" w:lineRule="exact"/>
      <w:jc w:val="center"/>
    </w:pPr>
    <w:rPr>
      <w:rFonts w:ascii="宋体" w:hAnsi="Times New Roman" w:eastAsia="宋体" w:cs="Times New Roman"/>
      <w:sz w:val="24"/>
      <w:lang w:val="en-US" w:eastAsia="zh-CN" w:bidi="ar-SA"/>
    </w:rPr>
  </w:style>
  <w:style w:type="paragraph" w:customStyle="1" w:styleId="938">
    <w:name w:val="xl51"/>
    <w:basedOn w:val="1"/>
    <w:qFormat/>
    <w:uiPriority w:val="99"/>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939">
    <w:name w:val="标题11"/>
    <w:basedOn w:val="1"/>
    <w:next w:val="1"/>
    <w:qFormat/>
    <w:uiPriority w:val="99"/>
    <w:pPr>
      <w:widowControl w:val="0"/>
      <w:spacing w:beforeLines="100" w:afterLines="50" w:line="360" w:lineRule="auto"/>
      <w:outlineLvl w:val="0"/>
    </w:pPr>
    <w:rPr>
      <w:rFonts w:ascii="仿宋_GB2312" w:hAnsi="Times New Roman" w:eastAsia="黑体" w:cs="Times New Roman"/>
      <w:b/>
      <w:kern w:val="2"/>
      <w:sz w:val="28"/>
      <w:szCs w:val="20"/>
    </w:rPr>
  </w:style>
  <w:style w:type="paragraph" w:customStyle="1" w:styleId="940">
    <w:name w:val="样式 标题 2 + Times New Roman 小三 居中 行距: 固定值 20 磅"/>
    <w:basedOn w:val="5"/>
    <w:qFormat/>
    <w:uiPriority w:val="99"/>
    <w:pPr>
      <w:spacing w:before="260" w:after="260" w:line="400" w:lineRule="exact"/>
      <w:ind w:firstLine="538" w:firstLineChars="192"/>
    </w:pPr>
    <w:rPr>
      <w:rFonts w:ascii="Times New Roman" w:hAnsi="Times New Roman" w:cs="宋体"/>
      <w:b/>
      <w:bCs w:val="0"/>
      <w:sz w:val="30"/>
      <w:szCs w:val="20"/>
    </w:rPr>
  </w:style>
  <w:style w:type="paragraph" w:customStyle="1" w:styleId="941">
    <w:name w:val="Char Char Char Char Char Char1 Char1"/>
    <w:basedOn w:val="1"/>
    <w:qFormat/>
    <w:uiPriority w:val="99"/>
    <w:pPr>
      <w:widowControl w:val="0"/>
      <w:jc w:val="both"/>
    </w:pPr>
    <w:rPr>
      <w:rFonts w:ascii="Times New Roman" w:hAnsi="Times New Roman" w:cs="Times New Roman"/>
      <w:kern w:val="2"/>
      <w:sz w:val="21"/>
    </w:rPr>
  </w:style>
  <w:style w:type="paragraph" w:customStyle="1" w:styleId="942">
    <w:name w:val="标题样工7"/>
    <w:basedOn w:val="1"/>
    <w:qFormat/>
    <w:uiPriority w:val="99"/>
    <w:pPr>
      <w:jc w:val="both"/>
    </w:pPr>
    <w:rPr>
      <w:rFonts w:ascii="华文楷体" w:hAnsi="华文楷体" w:eastAsia="仿宋_GB2312" w:cs="Times New Roman"/>
      <w:position w:val="-6"/>
      <w:szCs w:val="20"/>
    </w:rPr>
  </w:style>
  <w:style w:type="paragraph" w:customStyle="1" w:styleId="943">
    <w:name w:val="xl109"/>
    <w:basedOn w:val="1"/>
    <w:qFormat/>
    <w:uiPriority w:val="99"/>
    <w:pPr>
      <w:pBdr>
        <w:top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944">
    <w:name w:val="xl49"/>
    <w:basedOn w:val="1"/>
    <w:qFormat/>
    <w:uiPriority w:val="99"/>
    <w:pPr>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945">
    <w:name w:val="CM8"/>
    <w:basedOn w:val="103"/>
    <w:next w:val="103"/>
    <w:qFormat/>
    <w:uiPriority w:val="99"/>
    <w:pPr>
      <w:spacing w:line="466" w:lineRule="atLeast"/>
    </w:pPr>
    <w:rPr>
      <w:color w:val="auto"/>
    </w:rPr>
  </w:style>
  <w:style w:type="paragraph" w:customStyle="1" w:styleId="946">
    <w:name w:val="CM17"/>
    <w:basedOn w:val="103"/>
    <w:next w:val="103"/>
    <w:qFormat/>
    <w:uiPriority w:val="99"/>
    <w:rPr>
      <w:color w:val="auto"/>
    </w:rPr>
  </w:style>
  <w:style w:type="paragraph" w:customStyle="1" w:styleId="947">
    <w:name w:val="湛江钢铁表标题"/>
    <w:basedOn w:val="1"/>
    <w:qFormat/>
    <w:uiPriority w:val="99"/>
    <w:pPr>
      <w:widowControl w:val="0"/>
      <w:spacing w:beforeLines="50" w:line="360" w:lineRule="auto"/>
      <w:ind w:firstLine="480" w:firstLineChars="200"/>
      <w:jc w:val="center"/>
    </w:pPr>
    <w:rPr>
      <w:rFonts w:ascii="Times New Roman" w:hAnsi="Times New Roman" w:eastAsia="仿宋_GB2312" w:cs="Times New Roman"/>
      <w:color w:val="000000"/>
    </w:rPr>
  </w:style>
  <w:style w:type="paragraph" w:customStyle="1" w:styleId="948">
    <w:name w:val="样式 四号 行距: 1.5 倍行距"/>
    <w:basedOn w:val="1"/>
    <w:qFormat/>
    <w:uiPriority w:val="0"/>
    <w:pPr>
      <w:widowControl w:val="0"/>
      <w:spacing w:line="360" w:lineRule="auto"/>
      <w:ind w:firstLine="560" w:firstLineChars="200"/>
      <w:jc w:val="both"/>
    </w:pPr>
    <w:rPr>
      <w:rFonts w:ascii="Times New Roman" w:hAnsi="Times New Roman"/>
      <w:kern w:val="2"/>
      <w:sz w:val="28"/>
      <w:szCs w:val="20"/>
    </w:rPr>
  </w:style>
  <w:style w:type="paragraph" w:customStyle="1" w:styleId="949">
    <w:name w:val="表中文字----------------"/>
    <w:basedOn w:val="1"/>
    <w:qFormat/>
    <w:uiPriority w:val="99"/>
    <w:pPr>
      <w:widowControl w:val="0"/>
      <w:jc w:val="center"/>
    </w:pPr>
    <w:rPr>
      <w:rFonts w:ascii="Times New Roman" w:hAnsi="Times New Roman" w:cs="Times New Roman"/>
      <w:kern w:val="2"/>
      <w:sz w:val="21"/>
      <w:szCs w:val="20"/>
    </w:rPr>
  </w:style>
  <w:style w:type="paragraph" w:customStyle="1" w:styleId="950">
    <w:name w:val="nub2.4"/>
    <w:qFormat/>
    <w:uiPriority w:val="0"/>
    <w:pPr>
      <w:widowControl w:val="0"/>
      <w:tabs>
        <w:tab w:val="left" w:pos="288"/>
        <w:tab w:val="left" w:pos="1721"/>
        <w:tab w:val="left" w:pos="2776"/>
        <w:tab w:val="left" w:pos="3568"/>
        <w:tab w:val="left" w:pos="4392"/>
        <w:tab w:val="left" w:pos="5052"/>
        <w:tab w:val="left" w:pos="5943"/>
        <w:tab w:val="left" w:pos="6553"/>
        <w:tab w:val="left" w:pos="6982"/>
        <w:tab w:val="left" w:pos="7807"/>
      </w:tabs>
      <w:autoSpaceDE w:val="0"/>
      <w:autoSpaceDN w:val="0"/>
      <w:adjustRightInd w:val="0"/>
      <w:spacing w:before="43" w:after="43" w:line="302" w:lineRule="atLeast"/>
      <w:ind w:left="604"/>
    </w:pPr>
    <w:rPr>
      <w:rFonts w:ascii="Arial" w:hAnsi="Arial" w:eastAsia="宋体" w:cs="Times New Roman"/>
      <w:color w:val="000000"/>
      <w:lang w:val="en-US" w:eastAsia="zh-CN" w:bidi="ar-SA"/>
    </w:rPr>
  </w:style>
  <w:style w:type="paragraph" w:customStyle="1" w:styleId="951">
    <w:name w:val="样式 标题 3 + 宋体 小四 非加粗"/>
    <w:basedOn w:val="7"/>
    <w:qFormat/>
    <w:uiPriority w:val="99"/>
    <w:pPr>
      <w:widowControl w:val="0"/>
      <w:tabs>
        <w:tab w:val="left" w:pos="720"/>
      </w:tabs>
      <w:spacing w:before="260" w:after="260" w:line="416" w:lineRule="auto"/>
      <w:ind w:left="720" w:hanging="720"/>
      <w:jc w:val="both"/>
    </w:pPr>
    <w:rPr>
      <w:rFonts w:ascii="宋体" w:hAnsi="宋体" w:eastAsia="宋体"/>
      <w:bCs w:val="0"/>
      <w:sz w:val="24"/>
    </w:rPr>
  </w:style>
  <w:style w:type="paragraph" w:customStyle="1" w:styleId="952">
    <w:name w:val="xl68"/>
    <w:basedOn w:val="1"/>
    <w:qFormat/>
    <w:uiPriority w:val="99"/>
    <w:pPr>
      <w:pBdr>
        <w:bottom w:val="single" w:color="auto" w:sz="4" w:space="0"/>
        <w:right w:val="single" w:color="auto" w:sz="8" w:space="0"/>
      </w:pBdr>
      <w:spacing w:before="100" w:beforeAutospacing="1" w:after="100" w:afterAutospacing="1"/>
      <w:jc w:val="center"/>
    </w:pPr>
    <w:rPr>
      <w:rFonts w:eastAsia="仿宋_GB2312" w:cs="Times New Roman"/>
      <w:position w:val="-6"/>
      <w:szCs w:val="21"/>
    </w:rPr>
  </w:style>
  <w:style w:type="paragraph" w:customStyle="1" w:styleId="953">
    <w:name w:val="小5"/>
    <w:basedOn w:val="1"/>
    <w:qFormat/>
    <w:uiPriority w:val="99"/>
    <w:pPr>
      <w:adjustRightInd w:val="0"/>
      <w:snapToGrid w:val="0"/>
      <w:spacing w:line="400" w:lineRule="exact"/>
      <w:jc w:val="center"/>
    </w:pPr>
    <w:rPr>
      <w:rFonts w:cs="Times New Roman"/>
      <w:sz w:val="21"/>
      <w:szCs w:val="21"/>
    </w:rPr>
  </w:style>
  <w:style w:type="paragraph" w:customStyle="1" w:styleId="954">
    <w:name w:val="列表 2U"/>
    <w:basedOn w:val="35"/>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955">
    <w:name w:val="表内小5中"/>
    <w:basedOn w:val="1"/>
    <w:qFormat/>
    <w:uiPriority w:val="99"/>
    <w:pPr>
      <w:widowControl w:val="0"/>
      <w:jc w:val="both"/>
    </w:pPr>
    <w:rPr>
      <w:rFonts w:hAnsi="Times New Roman" w:cs="Times New Roman"/>
      <w:kern w:val="2"/>
      <w:sz w:val="18"/>
      <w:szCs w:val="18"/>
    </w:rPr>
  </w:style>
  <w:style w:type="paragraph" w:customStyle="1" w:styleId="956">
    <w:name w:val="样式 标题 2节标题 1.1标题节第一层条H2Heading 2 HiddenHeading 2 CCBSPIM2..."/>
    <w:basedOn w:val="5"/>
    <w:qFormat/>
    <w:uiPriority w:val="99"/>
    <w:pPr>
      <w:widowControl w:val="0"/>
      <w:spacing w:before="260" w:after="260" w:line="415" w:lineRule="auto"/>
      <w:jc w:val="both"/>
    </w:pPr>
    <w:rPr>
      <w:rFonts w:ascii="Arial" w:hAnsi="Arial"/>
      <w:b/>
      <w:sz w:val="32"/>
      <w:szCs w:val="20"/>
    </w:rPr>
  </w:style>
  <w:style w:type="paragraph" w:customStyle="1" w:styleId="957">
    <w:name w:val="font11"/>
    <w:basedOn w:val="1"/>
    <w:qFormat/>
    <w:uiPriority w:val="99"/>
    <w:pPr>
      <w:spacing w:before="100" w:beforeAutospacing="1" w:after="100" w:afterAutospacing="1"/>
    </w:pPr>
    <w:rPr>
      <w:rFonts w:hint="eastAsia" w:cs="Arial Unicode MS"/>
      <w:b/>
      <w:bCs/>
      <w:sz w:val="20"/>
      <w:szCs w:val="20"/>
    </w:rPr>
  </w:style>
  <w:style w:type="paragraph" w:customStyle="1" w:styleId="958">
    <w:name w:val="表格内容格式"/>
    <w:basedOn w:val="1"/>
    <w:qFormat/>
    <w:uiPriority w:val="99"/>
    <w:pPr>
      <w:widowControl w:val="0"/>
      <w:adjustRightInd w:val="0"/>
      <w:snapToGrid w:val="0"/>
      <w:jc w:val="center"/>
      <w:textAlignment w:val="baseline"/>
    </w:pPr>
    <w:rPr>
      <w:rFonts w:cs="Times New Roman"/>
      <w:snapToGrid w:val="0"/>
      <w:sz w:val="21"/>
      <w:szCs w:val="20"/>
    </w:rPr>
  </w:style>
  <w:style w:type="paragraph" w:customStyle="1" w:styleId="959">
    <w:name w:val="xl76"/>
    <w:basedOn w:val="1"/>
    <w:qFormat/>
    <w:uiPriority w:val="99"/>
    <w:pPr>
      <w:pBdr>
        <w:top w:val="single" w:color="auto" w:sz="8" w:space="0"/>
        <w:left w:val="single" w:color="auto" w:sz="4"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960">
    <w:name w:val="xl56"/>
    <w:basedOn w:val="1"/>
    <w:qFormat/>
    <w:uiPriority w:val="99"/>
    <w:pPr>
      <w:pBdr>
        <w:top w:val="single" w:color="auto" w:sz="8" w:space="0"/>
        <w:left w:val="single" w:color="auto" w:sz="4" w:space="0"/>
        <w:bottom w:val="single" w:color="auto" w:sz="4" w:space="0"/>
      </w:pBdr>
      <w:spacing w:before="100" w:beforeAutospacing="1" w:after="100" w:afterAutospacing="1"/>
      <w:jc w:val="center"/>
    </w:pPr>
    <w:rPr>
      <w:rFonts w:eastAsia="仿宋_GB2312" w:cs="Times New Roman"/>
      <w:position w:val="-6"/>
      <w:szCs w:val="21"/>
    </w:rPr>
  </w:style>
  <w:style w:type="paragraph" w:customStyle="1" w:styleId="961">
    <w:name w:val="报告书正文"/>
    <w:basedOn w:val="1"/>
    <w:qFormat/>
    <w:uiPriority w:val="0"/>
    <w:pPr>
      <w:widowControl w:val="0"/>
      <w:adjustRightInd w:val="0"/>
      <w:spacing w:line="360" w:lineRule="exact"/>
      <w:ind w:firstLine="454"/>
      <w:jc w:val="both"/>
      <w:textAlignment w:val="baseline"/>
    </w:pPr>
    <w:rPr>
      <w:rFonts w:ascii="Times New Roman" w:hAnsi="Times New Roman" w:cs="Times New Roman"/>
      <w:szCs w:val="20"/>
    </w:rPr>
  </w:style>
  <w:style w:type="paragraph" w:customStyle="1" w:styleId="962">
    <w:name w:val="列表 4M"/>
    <w:basedOn w:val="70"/>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963">
    <w:name w:val="Job Title"/>
    <w:next w:val="898"/>
    <w:qFormat/>
    <w:uiPriority w:val="99"/>
    <w:pPr>
      <w:spacing w:after="40" w:line="220" w:lineRule="atLeast"/>
    </w:pPr>
    <w:rPr>
      <w:rFonts w:ascii="Arial" w:hAnsi="Arial" w:eastAsia="宋体" w:cs="Times New Roman"/>
      <w:b/>
      <w:spacing w:val="-10"/>
      <w:lang w:val="en-US" w:eastAsia="zh-CN" w:bidi="ar-SA"/>
    </w:rPr>
  </w:style>
  <w:style w:type="paragraph" w:customStyle="1" w:styleId="964">
    <w:name w:val="列表 M"/>
    <w:basedOn w:val="60"/>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965">
    <w:name w:val="编制人员"/>
    <w:basedOn w:val="1"/>
    <w:qFormat/>
    <w:uiPriority w:val="99"/>
    <w:pPr>
      <w:keepNext/>
      <w:widowControl w:val="0"/>
      <w:tabs>
        <w:tab w:val="left" w:pos="2190"/>
      </w:tabs>
      <w:adjustRightInd w:val="0"/>
      <w:snapToGrid w:val="0"/>
      <w:spacing w:line="360" w:lineRule="auto"/>
      <w:jc w:val="center"/>
    </w:pPr>
    <w:rPr>
      <w:rFonts w:ascii="黑体" w:eastAsia="黑体" w:cs="Times New Roman"/>
      <w:kern w:val="2"/>
      <w:sz w:val="32"/>
      <w:szCs w:val="28"/>
    </w:rPr>
  </w:style>
  <w:style w:type="paragraph" w:customStyle="1" w:styleId="966">
    <w:name w:val="样式 正文缩进 + 小四1"/>
    <w:basedOn w:val="6"/>
    <w:qFormat/>
    <w:uiPriority w:val="99"/>
    <w:pPr>
      <w:keepNext/>
      <w:widowControl w:val="0"/>
      <w:tabs>
        <w:tab w:val="left" w:pos="1727"/>
        <w:tab w:val="left" w:pos="1884"/>
      </w:tabs>
      <w:spacing w:line="360" w:lineRule="auto"/>
      <w:ind w:firstLine="480"/>
      <w:outlineLvl w:val="0"/>
    </w:pPr>
    <w:rPr>
      <w:rFonts w:ascii="宋体" w:hAnsi="宋体" w:cs="宋体"/>
      <w:snapToGrid w:val="0"/>
      <w:color w:val="000000"/>
    </w:rPr>
  </w:style>
  <w:style w:type="character" w:customStyle="1" w:styleId="967">
    <w:name w:val="z-窗体顶端 Char2"/>
    <w:semiHidden/>
    <w:qFormat/>
    <w:uiPriority w:val="99"/>
    <w:rPr>
      <w:rFonts w:ascii="Arial" w:hAnsi="Arial" w:cs="Arial"/>
      <w:vanish/>
      <w:sz w:val="16"/>
      <w:szCs w:val="16"/>
    </w:rPr>
  </w:style>
  <w:style w:type="paragraph" w:customStyle="1" w:styleId="968">
    <w:name w:val="内蒙4="/>
    <w:basedOn w:val="1"/>
    <w:qFormat/>
    <w:uiPriority w:val="99"/>
    <w:pPr>
      <w:widowControl w:val="0"/>
      <w:spacing w:line="480" w:lineRule="exact"/>
      <w:jc w:val="both"/>
      <w:outlineLvl w:val="3"/>
    </w:pPr>
    <w:rPr>
      <w:rFonts w:ascii="Times New Roman" w:cs="Times New Roman"/>
      <w:b/>
      <w:color w:val="FF0000"/>
      <w:spacing w:val="20"/>
      <w:kern w:val="2"/>
    </w:rPr>
  </w:style>
  <w:style w:type="paragraph" w:customStyle="1" w:styleId="969">
    <w:name w:val="小四表文左齐"/>
    <w:basedOn w:val="1"/>
    <w:qFormat/>
    <w:uiPriority w:val="99"/>
    <w:pPr>
      <w:jc w:val="center"/>
    </w:pPr>
    <w:rPr>
      <w:rFonts w:ascii="Times New Roman" w:hAnsi="Times New Roman" w:eastAsia="仿宋_GB2312" w:cs="Times New Roman"/>
      <w:bCs/>
      <w:spacing w:val="6"/>
      <w:kern w:val="16"/>
      <w:sz w:val="28"/>
      <w:szCs w:val="21"/>
    </w:rPr>
  </w:style>
  <w:style w:type="paragraph" w:customStyle="1" w:styleId="970">
    <w:name w:val="xl57"/>
    <w:basedOn w:val="1"/>
    <w:qFormat/>
    <w:uiPriority w:val="99"/>
    <w:pPr>
      <w:pBdr>
        <w:top w:val="single" w:color="auto" w:sz="8" w:space="0"/>
        <w:bottom w:val="single" w:color="auto" w:sz="4" w:space="0"/>
      </w:pBdr>
      <w:spacing w:before="100" w:beforeAutospacing="1" w:after="100" w:afterAutospacing="1"/>
      <w:jc w:val="center"/>
    </w:pPr>
    <w:rPr>
      <w:rFonts w:eastAsia="仿宋_GB2312" w:cs="Times New Roman"/>
      <w:position w:val="-6"/>
      <w:szCs w:val="21"/>
    </w:rPr>
  </w:style>
  <w:style w:type="paragraph" w:customStyle="1" w:styleId="971">
    <w:name w:val="样式 标题 2h22Header 2nd PageA.B.C.h2 main h标题2 + 仿宋_GB2312 行距..."/>
    <w:basedOn w:val="5"/>
    <w:qFormat/>
    <w:uiPriority w:val="0"/>
    <w:pPr>
      <w:spacing w:before="260" w:after="260" w:line="360" w:lineRule="auto"/>
      <w:ind w:firstLine="455" w:firstLineChars="162"/>
    </w:pPr>
    <w:rPr>
      <w:rFonts w:ascii="仿宋_GB2312" w:hAnsi="ˎ̥" w:eastAsia="仿宋_GB2312"/>
      <w:szCs w:val="20"/>
    </w:rPr>
  </w:style>
  <w:style w:type="paragraph" w:customStyle="1" w:styleId="972">
    <w:name w:val="Char1 Char Char Char Char Char1 Char1"/>
    <w:basedOn w:val="1"/>
    <w:qFormat/>
    <w:uiPriority w:val="99"/>
    <w:pPr>
      <w:widowControl w:val="0"/>
      <w:jc w:val="both"/>
    </w:pPr>
    <w:rPr>
      <w:rFonts w:ascii="Tahoma" w:hAnsi="Tahoma" w:cs="Times New Roman"/>
      <w:kern w:val="2"/>
      <w:szCs w:val="20"/>
    </w:rPr>
  </w:style>
  <w:style w:type="paragraph" w:customStyle="1" w:styleId="973">
    <w:name w:val="样式 标题 1 + 两端对齐"/>
    <w:basedOn w:val="4"/>
    <w:qFormat/>
    <w:uiPriority w:val="99"/>
    <w:pPr>
      <w:keepLines/>
      <w:widowControl w:val="0"/>
      <w:tabs>
        <w:tab w:val="left" w:pos="720"/>
      </w:tabs>
      <w:spacing w:beforeLines="100" w:afterLines="100" w:line="312" w:lineRule="auto"/>
      <w:ind w:left="-4" w:firstLine="4"/>
    </w:pPr>
    <w:rPr>
      <w:rFonts w:ascii="Times New Roman" w:hAnsi="Times New Roman" w:cs="宋体"/>
      <w:bCs/>
      <w:kern w:val="44"/>
      <w:szCs w:val="20"/>
    </w:rPr>
  </w:style>
  <w:style w:type="paragraph" w:customStyle="1" w:styleId="974">
    <w:name w:val="121111111111"/>
    <w:basedOn w:val="1"/>
    <w:qFormat/>
    <w:uiPriority w:val="99"/>
    <w:pPr>
      <w:widowControl w:val="0"/>
      <w:spacing w:line="460" w:lineRule="exact"/>
      <w:jc w:val="center"/>
    </w:pPr>
    <w:rPr>
      <w:rFonts w:ascii="Times New Roman" w:hAnsi="Times New Roman" w:eastAsia="黑体" w:cs="Times New Roman"/>
      <w:color w:val="000000"/>
      <w:spacing w:val="16"/>
      <w:kern w:val="2"/>
    </w:rPr>
  </w:style>
  <w:style w:type="paragraph" w:customStyle="1" w:styleId="975">
    <w:name w:val="Main"/>
    <w:basedOn w:val="1"/>
    <w:qFormat/>
    <w:uiPriority w:val="0"/>
    <w:pPr>
      <w:widowControl w:val="0"/>
      <w:spacing w:line="480" w:lineRule="atLeast"/>
      <w:ind w:left="400" w:leftChars="400" w:right="400" w:firstLine="200"/>
      <w:jc w:val="both"/>
    </w:pPr>
    <w:rPr>
      <w:rFonts w:hint="eastAsia" w:ascii="Tahoma" w:hAnsi="Tahoma" w:cs="Times New Roman"/>
      <w:kern w:val="2"/>
      <w:sz w:val="21"/>
      <w:szCs w:val="21"/>
    </w:rPr>
  </w:style>
  <w:style w:type="paragraph" w:customStyle="1" w:styleId="976">
    <w:name w:val="表标题1.7－2"/>
    <w:basedOn w:val="1"/>
    <w:qFormat/>
    <w:uiPriority w:val="99"/>
    <w:pPr>
      <w:widowControl w:val="0"/>
      <w:spacing w:beforeLines="100" w:line="0" w:lineRule="atLeast"/>
      <w:jc w:val="both"/>
    </w:pPr>
    <w:rPr>
      <w:rFonts w:ascii="Times New Roman" w:hAnsi="Times New Roman" w:cs="Times New Roman"/>
      <w:color w:val="000000"/>
      <w:kern w:val="2"/>
    </w:rPr>
  </w:style>
  <w:style w:type="paragraph" w:customStyle="1" w:styleId="977">
    <w:name w:val="样式 标题 3H3条标题1.1.11.1.1标题 3H31H32H33u3标题 3 Char Char Char...1"/>
    <w:basedOn w:val="7"/>
    <w:qFormat/>
    <w:uiPriority w:val="99"/>
    <w:pPr>
      <w:spacing w:beforeLines="100" w:afterLines="50" w:line="240" w:lineRule="auto"/>
    </w:pPr>
    <w:rPr>
      <w:rFonts w:cs="宋体"/>
      <w:b/>
      <w:kern w:val="28"/>
      <w:sz w:val="30"/>
      <w:szCs w:val="20"/>
    </w:rPr>
  </w:style>
  <w:style w:type="paragraph" w:customStyle="1" w:styleId="978">
    <w:name w:val="xl67"/>
    <w:basedOn w:val="1"/>
    <w:qFormat/>
    <w:uiPriority w:val="99"/>
    <w:pPr>
      <w:pBdr>
        <w:bottom w:val="single" w:color="auto" w:sz="8" w:space="0"/>
      </w:pBdr>
      <w:spacing w:before="100" w:beforeAutospacing="1" w:after="100" w:afterAutospacing="1"/>
      <w:jc w:val="right"/>
    </w:pPr>
    <w:rPr>
      <w:rFonts w:eastAsia="仿宋_GB2312" w:cs="Times New Roman"/>
      <w:position w:val="-6"/>
      <w:szCs w:val="21"/>
    </w:rPr>
  </w:style>
  <w:style w:type="paragraph" w:customStyle="1" w:styleId="979">
    <w:name w:val="表内5中9"/>
    <w:basedOn w:val="1"/>
    <w:qFormat/>
    <w:uiPriority w:val="99"/>
    <w:pPr>
      <w:widowControl w:val="0"/>
      <w:adjustRightInd w:val="0"/>
      <w:snapToGrid w:val="0"/>
      <w:jc w:val="center"/>
    </w:pPr>
    <w:rPr>
      <w:rFonts w:ascii="Times New Roman" w:cs="Times New Roman"/>
      <w:snapToGrid w:val="0"/>
      <w:sz w:val="18"/>
      <w:szCs w:val="18"/>
    </w:rPr>
  </w:style>
  <w:style w:type="paragraph" w:customStyle="1" w:styleId="980">
    <w:name w:val="简单回函地址"/>
    <w:basedOn w:val="1"/>
    <w:qFormat/>
    <w:uiPriority w:val="99"/>
    <w:pPr>
      <w:widowControl w:val="0"/>
      <w:jc w:val="both"/>
    </w:pPr>
    <w:rPr>
      <w:rFonts w:cs="Times New Roman"/>
      <w:kern w:val="2"/>
      <w:szCs w:val="32"/>
    </w:rPr>
  </w:style>
  <w:style w:type="paragraph" w:customStyle="1" w:styleId="981">
    <w:name w:val="样式 页眉 + 宋体 黑色 段前: 0 磅 段后: 0 磅 行距: 固定值 12 磅2"/>
    <w:basedOn w:val="53"/>
    <w:qFormat/>
    <w:uiPriority w:val="0"/>
    <w:pPr>
      <w:widowControl w:val="0"/>
      <w:pBdr>
        <w:bottom w:val="none" w:color="auto" w:sz="0" w:space="0"/>
      </w:pBdr>
      <w:tabs>
        <w:tab w:val="clear" w:pos="4153"/>
        <w:tab w:val="clear" w:pos="8306"/>
      </w:tabs>
      <w:spacing w:line="240" w:lineRule="exact"/>
    </w:pPr>
    <w:rPr>
      <w:rFonts w:ascii="宋体" w:hAnsi="宋体"/>
      <w:color w:val="000000"/>
      <w:kern w:val="0"/>
      <w:sz w:val="21"/>
      <w:szCs w:val="20"/>
    </w:rPr>
  </w:style>
  <w:style w:type="paragraph" w:customStyle="1" w:styleId="982">
    <w:name w:val="tian"/>
    <w:basedOn w:val="1"/>
    <w:qFormat/>
    <w:uiPriority w:val="99"/>
    <w:pPr>
      <w:widowControl w:val="0"/>
      <w:jc w:val="both"/>
    </w:pPr>
    <w:rPr>
      <w:rFonts w:ascii="Times New Roman" w:hAnsi="Times New Roman" w:cs="Times New Roman"/>
      <w:kern w:val="2"/>
      <w:szCs w:val="20"/>
    </w:rPr>
  </w:style>
  <w:style w:type="paragraph" w:customStyle="1" w:styleId="983">
    <w:name w:val="xl75"/>
    <w:basedOn w:val="1"/>
    <w:qFormat/>
    <w:uiPriority w:val="99"/>
    <w:pPr>
      <w:pBdr>
        <w:top w:val="single" w:color="auto" w:sz="4" w:space="0"/>
        <w:bottom w:val="single" w:color="auto" w:sz="4" w:space="0"/>
        <w:right w:val="single" w:color="auto" w:sz="4" w:space="0"/>
      </w:pBdr>
      <w:spacing w:before="100" w:beforeAutospacing="1" w:after="100" w:afterAutospacing="1"/>
    </w:pPr>
    <w:rPr>
      <w:rFonts w:eastAsia="仿宋_GB2312" w:cs="Times New Roman"/>
      <w:position w:val="-6"/>
    </w:rPr>
  </w:style>
  <w:style w:type="paragraph" w:customStyle="1" w:styleId="984">
    <w:name w:val="xl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sz w:val="18"/>
      <w:szCs w:val="18"/>
    </w:rPr>
  </w:style>
  <w:style w:type="paragraph" w:customStyle="1" w:styleId="985">
    <w:name w:val="4级样式"/>
    <w:basedOn w:val="8"/>
    <w:qFormat/>
    <w:uiPriority w:val="0"/>
    <w:pPr>
      <w:widowControl w:val="0"/>
      <w:spacing w:line="360" w:lineRule="auto"/>
      <w:jc w:val="both"/>
    </w:pPr>
    <w:rPr>
      <w:rFonts w:ascii="黑体" w:hAnsi="黑体" w:eastAsia="黑体" w:cs="Times New Roman"/>
      <w:szCs w:val="24"/>
    </w:rPr>
  </w:style>
  <w:style w:type="paragraph" w:customStyle="1" w:styleId="986">
    <w:name w:val="表内字新"/>
    <w:next w:val="1"/>
    <w:qFormat/>
    <w:uiPriority w:val="99"/>
    <w:pPr>
      <w:suppressAutoHyphens/>
      <w:adjustRightInd w:val="0"/>
      <w:spacing w:line="0" w:lineRule="atLeast"/>
      <w:jc w:val="center"/>
    </w:pPr>
    <w:rPr>
      <w:rFonts w:ascii="Times New Roman" w:hAnsi="Times New Roman" w:eastAsia="宋体" w:cs="Times New Roman"/>
      <w:sz w:val="21"/>
      <w:lang w:val="en-US" w:eastAsia="zh-CN" w:bidi="ar-SA"/>
    </w:rPr>
  </w:style>
  <w:style w:type="paragraph" w:customStyle="1" w:styleId="987">
    <w:name w:val="样式 标题 1 + 自动设置"/>
    <w:basedOn w:val="4"/>
    <w:qFormat/>
    <w:uiPriority w:val="99"/>
    <w:pPr>
      <w:keepNext/>
      <w:keepLines/>
      <w:widowControl w:val="0"/>
      <w:tabs>
        <w:tab w:val="left" w:pos="700"/>
        <w:tab w:val="left" w:pos="1440"/>
      </w:tabs>
      <w:autoSpaceDE w:val="0"/>
      <w:autoSpaceDN w:val="0"/>
      <w:adjustRightInd w:val="0"/>
      <w:spacing w:line="700" w:lineRule="exact"/>
      <w:ind w:left="431" w:hanging="431"/>
      <w:jc w:val="center"/>
    </w:pPr>
    <w:rPr>
      <w:rFonts w:ascii="Times New Roman" w:hAnsi="Times New Roman" w:eastAsia="宋体"/>
      <w:bCs/>
      <w:kern w:val="44"/>
      <w:szCs w:val="20"/>
    </w:rPr>
  </w:style>
  <w:style w:type="paragraph" w:customStyle="1" w:styleId="988">
    <w:name w:val="标题样式1"/>
    <w:basedOn w:val="32"/>
    <w:qFormat/>
    <w:uiPriority w:val="99"/>
    <w:pPr>
      <w:widowControl w:val="0"/>
      <w:adjustRightInd w:val="0"/>
      <w:snapToGrid w:val="0"/>
      <w:spacing w:line="0" w:lineRule="atLeast"/>
      <w:jc w:val="center"/>
      <w:textAlignment w:val="baseline"/>
    </w:pPr>
    <w:rPr>
      <w:rFonts w:ascii="Times New Roman" w:hAnsi="Times New Roman"/>
      <w:b/>
      <w:bCs/>
      <w:snapToGrid w:val="0"/>
      <w:color w:val="auto"/>
      <w:kern w:val="0"/>
      <w:szCs w:val="20"/>
    </w:rPr>
  </w:style>
  <w:style w:type="paragraph" w:customStyle="1" w:styleId="989">
    <w:name w:val="表格03"/>
    <w:basedOn w:val="1"/>
    <w:qFormat/>
    <w:uiPriority w:val="0"/>
    <w:pPr>
      <w:widowControl w:val="0"/>
      <w:spacing w:line="400" w:lineRule="atLeast"/>
      <w:jc w:val="center"/>
    </w:pPr>
    <w:rPr>
      <w:rFonts w:ascii="Times New Roman" w:hAnsi="Times New Roman" w:cs="Times New Roman"/>
      <w:kern w:val="2"/>
      <w:sz w:val="21"/>
      <w:szCs w:val="21"/>
    </w:rPr>
  </w:style>
  <w:style w:type="paragraph" w:customStyle="1" w:styleId="990">
    <w:name w:val="样式4"/>
    <w:basedOn w:val="6"/>
    <w:qFormat/>
    <w:uiPriority w:val="99"/>
    <w:pPr>
      <w:widowControl w:val="0"/>
      <w:adjustRightInd w:val="0"/>
      <w:snapToGrid w:val="0"/>
      <w:spacing w:line="360" w:lineRule="auto"/>
      <w:ind w:firstLine="420"/>
      <w:textAlignment w:val="baseline"/>
    </w:pPr>
    <w:rPr>
      <w:rFonts w:ascii="Times New Roman" w:hAnsi="Times New Roman"/>
      <w:sz w:val="24"/>
    </w:rPr>
  </w:style>
  <w:style w:type="paragraph" w:customStyle="1" w:styleId="991">
    <w:name w:val="CM10"/>
    <w:basedOn w:val="103"/>
    <w:next w:val="103"/>
    <w:qFormat/>
    <w:uiPriority w:val="99"/>
    <w:pPr>
      <w:spacing w:line="468" w:lineRule="atLeast"/>
    </w:pPr>
    <w:rPr>
      <w:color w:val="auto"/>
    </w:rPr>
  </w:style>
  <w:style w:type="paragraph" w:customStyle="1" w:styleId="992">
    <w:name w:val="默认段落字体 Para Char Char Char Char Char Char Char Char Char Char Char Char Char Char Char Char"/>
    <w:basedOn w:val="1"/>
    <w:qFormat/>
    <w:uiPriority w:val="99"/>
    <w:pPr>
      <w:widowControl w:val="0"/>
      <w:spacing w:line="360" w:lineRule="auto"/>
      <w:ind w:firstLine="200" w:firstLineChars="200"/>
      <w:jc w:val="both"/>
    </w:pPr>
    <w:rPr>
      <w:kern w:val="2"/>
    </w:rPr>
  </w:style>
  <w:style w:type="paragraph" w:customStyle="1" w:styleId="993">
    <w:name w:val="lyh 正文"/>
    <w:basedOn w:val="65"/>
    <w:qFormat/>
    <w:uiPriority w:val="0"/>
    <w:pPr>
      <w:adjustRightInd w:val="0"/>
      <w:snapToGrid w:val="0"/>
      <w:spacing w:after="0" w:line="360" w:lineRule="auto"/>
      <w:ind w:left="0" w:leftChars="0" w:firstLine="200" w:firstLineChars="200"/>
    </w:pPr>
    <w:rPr>
      <w:rFonts w:ascii="宋体"/>
      <w:sz w:val="28"/>
      <w:szCs w:val="28"/>
    </w:rPr>
  </w:style>
  <w:style w:type="paragraph" w:customStyle="1" w:styleId="994">
    <w:name w:val="Char1 Char Char Char Char Char1 Char"/>
    <w:basedOn w:val="1"/>
    <w:qFormat/>
    <w:uiPriority w:val="0"/>
    <w:pPr>
      <w:widowControl w:val="0"/>
      <w:jc w:val="both"/>
    </w:pPr>
    <w:rPr>
      <w:rFonts w:ascii="Tahoma" w:hAnsi="Tahoma" w:cs="Times New Roman"/>
      <w:kern w:val="2"/>
      <w:szCs w:val="20"/>
    </w:rPr>
  </w:style>
  <w:style w:type="paragraph" w:customStyle="1" w:styleId="995">
    <w:name w:val="CM70"/>
    <w:basedOn w:val="103"/>
    <w:next w:val="103"/>
    <w:qFormat/>
    <w:uiPriority w:val="99"/>
    <w:pPr>
      <w:spacing w:after="300"/>
    </w:pPr>
    <w:rPr>
      <w:color w:val="auto"/>
    </w:rPr>
  </w:style>
  <w:style w:type="paragraph" w:customStyle="1" w:styleId="996">
    <w:name w:val="样式 燕山正文 + 首行缩进:  2 字符"/>
    <w:basedOn w:val="1"/>
    <w:qFormat/>
    <w:uiPriority w:val="99"/>
    <w:pPr>
      <w:widowControl w:val="0"/>
      <w:tabs>
        <w:tab w:val="left" w:pos="4680"/>
      </w:tabs>
      <w:adjustRightInd w:val="0"/>
      <w:snapToGrid w:val="0"/>
      <w:spacing w:beforeLines="30" w:afterLines="30" w:line="360" w:lineRule="auto"/>
      <w:ind w:firstLine="480" w:firstLineChars="200"/>
    </w:pPr>
    <w:rPr>
      <w:rFonts w:ascii="Times New Roman" w:hAnsi="Times New Roman" w:cs="Times New Roman"/>
      <w:kern w:val="2"/>
      <w:szCs w:val="20"/>
    </w:rPr>
  </w:style>
  <w:style w:type="paragraph" w:customStyle="1" w:styleId="997">
    <w:name w:val="表格标题2"/>
    <w:basedOn w:val="354"/>
    <w:next w:val="354"/>
    <w:qFormat/>
    <w:uiPriority w:val="0"/>
    <w:pPr>
      <w:spacing w:line="240" w:lineRule="auto"/>
    </w:pPr>
    <w:rPr>
      <w:rFonts w:eastAsia="宋体"/>
      <w:b/>
    </w:rPr>
  </w:style>
  <w:style w:type="paragraph" w:customStyle="1" w:styleId="998">
    <w:name w:val="表内5"/>
    <w:basedOn w:val="328"/>
    <w:qFormat/>
    <w:uiPriority w:val="99"/>
    <w:pPr>
      <w:tabs>
        <w:tab w:val="left" w:pos="4305"/>
        <w:tab w:val="clear" w:pos="0"/>
      </w:tabs>
      <w:adjustRightInd w:val="0"/>
      <w:snapToGrid w:val="0"/>
      <w:spacing w:line="400" w:lineRule="exact"/>
      <w:ind w:firstLine="480" w:firstLineChars="200"/>
      <w:jc w:val="center"/>
    </w:pPr>
    <w:rPr>
      <w:rFonts w:ascii="宋体" w:hAnsi="宋体"/>
      <w:b w:val="0"/>
      <w:color w:val="000000"/>
      <w:sz w:val="21"/>
      <w:szCs w:val="21"/>
      <w:shd w:val="pct10" w:color="auto" w:fill="FFFFFF"/>
    </w:rPr>
  </w:style>
  <w:style w:type="paragraph" w:customStyle="1" w:styleId="999">
    <w:name w:val="xl74"/>
    <w:basedOn w:val="1"/>
    <w:qFormat/>
    <w:uiPriority w:val="99"/>
    <w:pPr>
      <w:pBdr>
        <w:right w:val="single" w:color="auto" w:sz="4" w:space="0"/>
      </w:pBdr>
      <w:spacing w:before="100" w:beforeAutospacing="1" w:after="100" w:afterAutospacing="1"/>
    </w:pPr>
    <w:rPr>
      <w:rFonts w:eastAsia="仿宋_GB2312" w:cs="Times New Roman"/>
      <w:position w:val="-6"/>
    </w:rPr>
  </w:style>
  <w:style w:type="paragraph" w:customStyle="1" w:styleId="1000">
    <w:name w:val="列表 3K"/>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001">
    <w:name w:val="图表目录1"/>
    <w:basedOn w:val="164"/>
    <w:next w:val="164"/>
    <w:qFormat/>
    <w:uiPriority w:val="99"/>
    <w:pPr>
      <w:tabs>
        <w:tab w:val="right" w:leader="dot" w:pos="8051"/>
      </w:tabs>
      <w:ind w:left="840" w:hanging="840"/>
    </w:pPr>
    <w:rPr>
      <w:rFonts w:eastAsia="Times New Roman"/>
      <w:szCs w:val="22"/>
    </w:rPr>
  </w:style>
  <w:style w:type="paragraph" w:customStyle="1" w:styleId="1002">
    <w:name w:val="样式 标题 21.1标题 21.1标题2标题 2 Char1节_Heading 2标2二级标题1.1标题一..."/>
    <w:basedOn w:val="5"/>
    <w:qFormat/>
    <w:uiPriority w:val="99"/>
    <w:pPr>
      <w:widowControl w:val="0"/>
      <w:tabs>
        <w:tab w:val="left" w:pos="840"/>
      </w:tabs>
      <w:spacing w:before="120" w:after="120" w:line="312" w:lineRule="auto"/>
      <w:ind w:left="840" w:hanging="420"/>
      <w:jc w:val="both"/>
    </w:pPr>
    <w:rPr>
      <w:rFonts w:ascii="Arial" w:hAnsi="Arial"/>
      <w:b/>
      <w:color w:val="000000"/>
      <w:sz w:val="24"/>
      <w:szCs w:val="24"/>
    </w:rPr>
  </w:style>
  <w:style w:type="paragraph" w:customStyle="1" w:styleId="1003">
    <w:name w:val="表格文本"/>
    <w:basedOn w:val="1"/>
    <w:next w:val="1"/>
    <w:qFormat/>
    <w:uiPriority w:val="99"/>
    <w:pPr>
      <w:widowControl w:val="0"/>
      <w:spacing w:line="240" w:lineRule="exact"/>
      <w:jc w:val="both"/>
    </w:pPr>
    <w:rPr>
      <w:rFonts w:ascii="Times New Roman" w:hAnsi="Times New Roman" w:cs="Times New Roman"/>
      <w:kern w:val="2"/>
      <w:sz w:val="21"/>
      <w:szCs w:val="20"/>
    </w:rPr>
  </w:style>
  <w:style w:type="paragraph" w:customStyle="1" w:styleId="1004">
    <w:name w:val="CM29"/>
    <w:basedOn w:val="103"/>
    <w:next w:val="103"/>
    <w:qFormat/>
    <w:uiPriority w:val="99"/>
    <w:pPr>
      <w:spacing w:line="456" w:lineRule="atLeast"/>
    </w:pPr>
    <w:rPr>
      <w:rFonts w:ascii="宋体" w:cs="宋体"/>
      <w:color w:val="auto"/>
    </w:rPr>
  </w:style>
  <w:style w:type="paragraph" w:customStyle="1" w:styleId="1005">
    <w:name w:val="In Table (II)"/>
    <w:basedOn w:val="1006"/>
    <w:qFormat/>
    <w:uiPriority w:val="99"/>
    <w:pPr>
      <w:tabs>
        <w:tab w:val="left" w:pos="2200"/>
        <w:tab w:val="left" w:pos="3960"/>
        <w:tab w:val="left" w:pos="5280"/>
      </w:tabs>
      <w:spacing w:beforeLines="25" w:afterLines="25"/>
      <w:ind w:left="52" w:leftChars="20"/>
      <w:jc w:val="left"/>
    </w:pPr>
    <w:rPr>
      <w:bCs/>
    </w:rPr>
  </w:style>
  <w:style w:type="paragraph" w:customStyle="1" w:styleId="1006">
    <w:name w:val="In Table"/>
    <w:basedOn w:val="1"/>
    <w:qFormat/>
    <w:uiPriority w:val="99"/>
    <w:pPr>
      <w:widowControl w:val="0"/>
      <w:tabs>
        <w:tab w:val="left" w:pos="3960"/>
        <w:tab w:val="left" w:pos="5280"/>
      </w:tabs>
      <w:spacing w:before="96" w:after="96" w:line="0" w:lineRule="atLeast"/>
      <w:jc w:val="center"/>
    </w:pPr>
    <w:rPr>
      <w:rFonts w:ascii="Tahoma" w:hAnsi="Tahoma" w:eastAsia="华文中宋" w:cs="Times New Roman"/>
      <w:kern w:val="2"/>
      <w:sz w:val="21"/>
      <w:szCs w:val="20"/>
    </w:rPr>
  </w:style>
  <w:style w:type="paragraph" w:customStyle="1" w:styleId="1007">
    <w:name w:val="CM9"/>
    <w:basedOn w:val="103"/>
    <w:next w:val="103"/>
    <w:qFormat/>
    <w:uiPriority w:val="0"/>
    <w:pPr>
      <w:spacing w:line="468" w:lineRule="atLeast"/>
    </w:pPr>
    <w:rPr>
      <w:color w:val="auto"/>
    </w:rPr>
  </w:style>
  <w:style w:type="paragraph" w:customStyle="1" w:styleId="1008">
    <w:name w:val="Char Char210"/>
    <w:basedOn w:val="1"/>
    <w:qFormat/>
    <w:uiPriority w:val="0"/>
    <w:pPr>
      <w:widowControl w:val="0"/>
      <w:spacing w:beforeLines="100"/>
      <w:jc w:val="both"/>
    </w:pPr>
    <w:rPr>
      <w:rFonts w:ascii="Times New Roman" w:hAnsi="Times New Roman" w:cs="Times New Roman"/>
      <w:kern w:val="2"/>
      <w:sz w:val="21"/>
    </w:rPr>
  </w:style>
  <w:style w:type="paragraph" w:customStyle="1" w:styleId="1009">
    <w:name w:val="样式 黑体 加粗 居中"/>
    <w:basedOn w:val="1"/>
    <w:qFormat/>
    <w:uiPriority w:val="99"/>
    <w:pPr>
      <w:widowControl w:val="0"/>
      <w:spacing w:line="312" w:lineRule="auto"/>
      <w:ind w:firstLine="573"/>
      <w:jc w:val="center"/>
    </w:pPr>
    <w:rPr>
      <w:rFonts w:ascii="Times New Roman" w:hAnsi="Times New Roman" w:eastAsia="黑体"/>
      <w:b/>
      <w:bCs/>
      <w:kern w:val="2"/>
    </w:rPr>
  </w:style>
  <w:style w:type="paragraph" w:customStyle="1" w:styleId="1010">
    <w:name w:val="标题6"/>
    <w:basedOn w:val="1"/>
    <w:next w:val="79"/>
    <w:qFormat/>
    <w:uiPriority w:val="99"/>
    <w:pPr>
      <w:keepNext/>
      <w:widowControl w:val="0"/>
      <w:spacing w:line="360" w:lineRule="auto"/>
      <w:ind w:firstLine="567"/>
      <w:outlineLvl w:val="5"/>
    </w:pPr>
    <w:rPr>
      <w:rFonts w:ascii="Times New Roman" w:hAnsi="Times New Roman" w:cs="Times New Roman"/>
      <w:kern w:val="2"/>
      <w:sz w:val="28"/>
      <w:szCs w:val="21"/>
    </w:rPr>
  </w:style>
  <w:style w:type="paragraph" w:customStyle="1" w:styleId="1011">
    <w:name w:val="标题5"/>
    <w:basedOn w:val="164"/>
    <w:qFormat/>
    <w:uiPriority w:val="99"/>
    <w:pPr>
      <w:snapToGrid w:val="0"/>
      <w:spacing w:beforeLines="50" w:line="360" w:lineRule="auto"/>
      <w:ind w:firstLine="520" w:firstLineChars="200"/>
      <w:jc w:val="both"/>
      <w:textAlignment w:val="auto"/>
    </w:pPr>
    <w:rPr>
      <w:rFonts w:ascii="Times New Roman"/>
      <w:snapToGrid w:val="0"/>
      <w:color w:val="000000"/>
      <w:szCs w:val="24"/>
    </w:rPr>
  </w:style>
  <w:style w:type="paragraph" w:customStyle="1" w:styleId="1012">
    <w:name w:val="Char Char Char Char Char Char Char Char Char Char Char Char1 Char"/>
    <w:basedOn w:val="1"/>
    <w:next w:val="1"/>
    <w:qFormat/>
    <w:uiPriority w:val="0"/>
    <w:pPr>
      <w:widowControl w:val="0"/>
      <w:spacing w:line="336" w:lineRule="auto"/>
      <w:ind w:firstLine="200" w:firstLineChars="200"/>
      <w:jc w:val="both"/>
    </w:pPr>
    <w:rPr>
      <w:rFonts w:eastAsia="汉鼎简书宋"/>
      <w:kern w:val="2"/>
    </w:rPr>
  </w:style>
  <w:style w:type="paragraph" w:customStyle="1" w:styleId="1013">
    <w:name w:val="正文标题3"/>
    <w:basedOn w:val="7"/>
    <w:qFormat/>
    <w:uiPriority w:val="99"/>
    <w:pPr>
      <w:widowControl w:val="0"/>
      <w:spacing w:line="240" w:lineRule="auto"/>
      <w:jc w:val="both"/>
    </w:pPr>
    <w:rPr>
      <w:sz w:val="28"/>
    </w:rPr>
  </w:style>
  <w:style w:type="paragraph" w:customStyle="1" w:styleId="1014">
    <w:name w:val="正文文字缩进1"/>
    <w:basedOn w:val="47"/>
    <w:qFormat/>
    <w:uiPriority w:val="0"/>
    <w:pPr>
      <w:spacing w:after="0" w:line="360" w:lineRule="auto"/>
      <w:ind w:left="0" w:leftChars="0" w:firstLine="560"/>
    </w:pPr>
    <w:rPr>
      <w:rFonts w:ascii="黑体" w:hAnsi="Arial Black" w:eastAsia="黑体"/>
      <w:b/>
      <w:bCs/>
      <w:sz w:val="28"/>
      <w:szCs w:val="20"/>
    </w:rPr>
  </w:style>
  <w:style w:type="paragraph" w:customStyle="1" w:styleId="1015">
    <w:name w:val="前言"/>
    <w:basedOn w:val="104"/>
    <w:qFormat/>
    <w:uiPriority w:val="99"/>
    <w:pPr>
      <w:widowControl/>
      <w:snapToGrid/>
      <w:ind w:firstLine="300" w:firstLineChars="300"/>
      <w:jc w:val="left"/>
      <w:outlineLvl w:val="0"/>
    </w:pPr>
    <w:rPr>
      <w:rFonts w:ascii="仿宋_GB2312" w:eastAsia="宋体"/>
      <w:b/>
      <w:bCs/>
      <w:szCs w:val="28"/>
    </w:rPr>
  </w:style>
  <w:style w:type="paragraph" w:customStyle="1" w:styleId="1016">
    <w:name w:val="默认段落字体 Para Char Char Char Char"/>
    <w:basedOn w:val="1"/>
    <w:qFormat/>
    <w:uiPriority w:val="99"/>
    <w:pPr>
      <w:widowControl w:val="0"/>
      <w:jc w:val="both"/>
    </w:pPr>
    <w:rPr>
      <w:rFonts w:ascii="Times New Roman" w:hAnsi="Times New Roman" w:cs="Times New Roman"/>
      <w:kern w:val="2"/>
      <w:sz w:val="21"/>
    </w:rPr>
  </w:style>
  <w:style w:type="paragraph" w:customStyle="1" w:styleId="1017">
    <w:name w:val="表标题1"/>
    <w:basedOn w:val="1"/>
    <w:qFormat/>
    <w:uiPriority w:val="99"/>
    <w:pPr>
      <w:keepNext/>
      <w:widowControl w:val="0"/>
      <w:adjustRightInd w:val="0"/>
      <w:spacing w:before="60" w:after="60" w:line="397" w:lineRule="atLeast"/>
      <w:jc w:val="center"/>
      <w:textAlignment w:val="baseline"/>
    </w:pPr>
    <w:rPr>
      <w:rFonts w:ascii="Times New Roman" w:hAnsi="Times New Roman" w:cs="Times New Roman"/>
      <w:b/>
      <w:szCs w:val="20"/>
    </w:rPr>
  </w:style>
  <w:style w:type="paragraph" w:customStyle="1" w:styleId="1018">
    <w:name w:val="样式 样式 标题 1 + 两端对齐 + 居中"/>
    <w:basedOn w:val="1"/>
    <w:qFormat/>
    <w:uiPriority w:val="99"/>
    <w:pPr>
      <w:keepLines/>
      <w:widowControl w:val="0"/>
      <w:tabs>
        <w:tab w:val="left" w:pos="1424"/>
      </w:tabs>
      <w:spacing w:before="840" w:after="360" w:line="312" w:lineRule="auto"/>
      <w:ind w:left="573"/>
      <w:jc w:val="center"/>
      <w:outlineLvl w:val="0"/>
    </w:pPr>
    <w:rPr>
      <w:rFonts w:ascii="Times New Roman" w:hAnsi="Times New Roman" w:eastAsia="黑体"/>
      <w:b/>
      <w:bCs/>
      <w:kern w:val="44"/>
      <w:sz w:val="36"/>
      <w:szCs w:val="36"/>
    </w:rPr>
  </w:style>
  <w:style w:type="paragraph" w:customStyle="1" w:styleId="1019">
    <w:name w:val="正文-使用"/>
    <w:basedOn w:val="1"/>
    <w:qFormat/>
    <w:uiPriority w:val="0"/>
    <w:pPr>
      <w:widowControl w:val="0"/>
      <w:spacing w:line="360" w:lineRule="auto"/>
      <w:ind w:firstLine="482" w:firstLineChars="200"/>
      <w:jc w:val="both"/>
    </w:pPr>
    <w:rPr>
      <w:rFonts w:ascii="Times New Roman" w:hAnsi="Times New Roman" w:cs="Times New Roman"/>
      <w:kern w:val="2"/>
      <w:szCs w:val="20"/>
    </w:rPr>
  </w:style>
  <w:style w:type="paragraph" w:customStyle="1" w:styleId="1020">
    <w:name w:val="xl89"/>
    <w:basedOn w:val="1"/>
    <w:qFormat/>
    <w:uiPriority w:val="99"/>
    <w:pPr>
      <w:pBdr>
        <w:top w:val="single" w:color="auto" w:sz="4" w:space="0"/>
        <w:bottom w:val="single" w:color="auto" w:sz="4" w:space="0"/>
        <w:right w:val="single" w:color="auto" w:sz="4" w:space="0"/>
      </w:pBdr>
      <w:spacing w:before="100" w:beforeAutospacing="1" w:after="100" w:afterAutospacing="1"/>
    </w:pPr>
    <w:rPr>
      <w:rFonts w:ascii="Times New Roman" w:hAnsi="Times New Roman" w:eastAsia="Arial Unicode MS" w:cs="Times New Roman"/>
      <w:sz w:val="16"/>
      <w:szCs w:val="16"/>
    </w:rPr>
  </w:style>
  <w:style w:type="paragraph" w:customStyle="1" w:styleId="1021">
    <w:name w:val="样式 小四"/>
    <w:basedOn w:val="1"/>
    <w:qFormat/>
    <w:uiPriority w:val="99"/>
    <w:pPr>
      <w:widowControl w:val="0"/>
      <w:ind w:firstLine="200" w:firstLineChars="200"/>
      <w:jc w:val="both"/>
    </w:pPr>
    <w:rPr>
      <w:rFonts w:ascii="Times New Roman" w:hAnsi="Times New Roman"/>
      <w:kern w:val="2"/>
      <w:szCs w:val="20"/>
    </w:rPr>
  </w:style>
  <w:style w:type="paragraph" w:customStyle="1" w:styleId="1022">
    <w:name w:val="表中文字"/>
    <w:basedOn w:val="1"/>
    <w:link w:val="1023"/>
    <w:qFormat/>
    <w:uiPriority w:val="99"/>
    <w:pPr>
      <w:widowControl w:val="0"/>
      <w:topLinePunct/>
      <w:spacing w:line="360" w:lineRule="auto"/>
      <w:jc w:val="center"/>
    </w:pPr>
    <w:rPr>
      <w:rFonts w:ascii="仿宋_GB2312" w:hAnsi="Times New Roman" w:eastAsia="仿宋_GB2312" w:cs="Times New Roman"/>
      <w:kern w:val="2"/>
      <w:sz w:val="28"/>
      <w:szCs w:val="20"/>
    </w:rPr>
  </w:style>
  <w:style w:type="character" w:customStyle="1" w:styleId="1023">
    <w:name w:val="表中文字 Char"/>
    <w:link w:val="1022"/>
    <w:qFormat/>
    <w:uiPriority w:val="99"/>
    <w:rPr>
      <w:rFonts w:ascii="仿宋_GB2312" w:eastAsia="仿宋_GB2312"/>
      <w:kern w:val="2"/>
      <w:sz w:val="28"/>
    </w:rPr>
  </w:style>
  <w:style w:type="paragraph" w:customStyle="1" w:styleId="1024">
    <w:name w:val="Section Title"/>
    <w:basedOn w:val="1"/>
    <w:next w:val="1"/>
    <w:qFormat/>
    <w:uiPriority w:val="99"/>
    <w:pPr>
      <w:pBdr>
        <w:top w:val="single" w:color="FFFFFF" w:sz="6" w:space="2"/>
        <w:left w:val="single" w:color="FFFFFF" w:sz="6" w:space="2"/>
        <w:bottom w:val="single" w:color="FFFFFF" w:sz="6" w:space="2"/>
        <w:right w:val="single" w:color="FFFFFF" w:sz="6" w:space="2"/>
      </w:pBdr>
      <w:shd w:val="pct10" w:color="auto" w:fill="auto"/>
      <w:spacing w:before="120" w:line="280" w:lineRule="atLeast"/>
    </w:pPr>
    <w:rPr>
      <w:rFonts w:ascii="Arial" w:hAnsi="Arial" w:cs="Times New Roman"/>
      <w:b/>
      <w:spacing w:val="-10"/>
      <w:position w:val="7"/>
      <w:sz w:val="20"/>
      <w:szCs w:val="20"/>
    </w:rPr>
  </w:style>
  <w:style w:type="paragraph" w:customStyle="1" w:styleId="1025">
    <w:name w:val="样式 段落1 + 自动设置"/>
    <w:basedOn w:val="219"/>
    <w:qFormat/>
    <w:uiPriority w:val="99"/>
    <w:pPr>
      <w:ind w:firstLine="840" w:firstLineChars="400"/>
    </w:pPr>
    <w:rPr>
      <w:rFonts w:ascii="黑体" w:hAnsi="宋体"/>
      <w:bCs w:val="0"/>
      <w:spacing w:val="0"/>
      <w:szCs w:val="21"/>
    </w:rPr>
  </w:style>
  <w:style w:type="paragraph" w:customStyle="1" w:styleId="1026">
    <w:name w:val="02"/>
    <w:basedOn w:val="5"/>
    <w:qFormat/>
    <w:uiPriority w:val="99"/>
    <w:pPr>
      <w:widowControl w:val="0"/>
      <w:spacing w:line="480" w:lineRule="auto"/>
      <w:jc w:val="both"/>
    </w:pPr>
    <w:rPr>
      <w:rFonts w:ascii="Times New Roman" w:hAnsi="Times New Roman" w:eastAsia="宋体"/>
      <w:b/>
      <w:color w:val="333333"/>
      <w:sz w:val="24"/>
      <w:szCs w:val="20"/>
    </w:rPr>
  </w:style>
  <w:style w:type="paragraph" w:customStyle="1" w:styleId="1027">
    <w:name w:val="样式 样式 小四 段后: 6 磅 行距: 1.5 倍行距 + 首行缩进:  2 字符"/>
    <w:basedOn w:val="1"/>
    <w:qFormat/>
    <w:uiPriority w:val="99"/>
    <w:pPr>
      <w:keepNext/>
      <w:widowControl w:val="0"/>
      <w:spacing w:line="360" w:lineRule="auto"/>
      <w:ind w:firstLine="200" w:firstLineChars="200"/>
    </w:pPr>
    <w:rPr>
      <w:kern w:val="2"/>
      <w:sz w:val="28"/>
      <w:szCs w:val="20"/>
    </w:rPr>
  </w:style>
  <w:style w:type="paragraph" w:customStyle="1" w:styleId="1028">
    <w:name w:val="注×："/>
    <w:qFormat/>
    <w:uiPriority w:val="99"/>
    <w:pPr>
      <w:widowControl w:val="0"/>
      <w:tabs>
        <w:tab w:val="left" w:pos="630"/>
      </w:tabs>
      <w:autoSpaceDE w:val="0"/>
      <w:autoSpaceDN w:val="0"/>
      <w:jc w:val="both"/>
    </w:pPr>
    <w:rPr>
      <w:rFonts w:ascii="宋体" w:hAnsi="Times New Roman" w:eastAsia="宋体" w:cs="Times New Roman"/>
      <w:sz w:val="18"/>
      <w:lang w:val="en-US" w:eastAsia="zh-CN" w:bidi="ar-SA"/>
    </w:rPr>
  </w:style>
  <w:style w:type="paragraph" w:customStyle="1" w:styleId="1029">
    <w:name w:val="xl44"/>
    <w:basedOn w:val="1"/>
    <w:qFormat/>
    <w:uiPriority w:val="99"/>
    <w:pPr>
      <w:pBdr>
        <w:top w:val="single" w:color="auto" w:sz="4" w:space="0"/>
        <w:left w:val="single" w:color="auto" w:sz="8"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030">
    <w:name w:val="表号文字"/>
    <w:basedOn w:val="1"/>
    <w:qFormat/>
    <w:uiPriority w:val="99"/>
    <w:pPr>
      <w:widowControl w:val="0"/>
      <w:adjustRightInd w:val="0"/>
      <w:snapToGrid w:val="0"/>
      <w:spacing w:before="120" w:line="300" w:lineRule="auto"/>
    </w:pPr>
    <w:rPr>
      <w:rFonts w:ascii="Times New Roman" w:hAnsi="Times New Roman" w:eastAsia="黑体" w:cs="Times New Roman"/>
      <w:kern w:val="2"/>
    </w:rPr>
  </w:style>
  <w:style w:type="paragraph" w:customStyle="1" w:styleId="1031">
    <w:name w:val="0"/>
    <w:basedOn w:val="1"/>
    <w:qFormat/>
    <w:uiPriority w:val="0"/>
    <w:pPr>
      <w:jc w:val="both"/>
    </w:pPr>
    <w:rPr>
      <w:rFonts w:ascii="Times New Roman" w:hAnsi="Times New Roman" w:cs="Times New Roman"/>
      <w:sz w:val="21"/>
      <w:szCs w:val="20"/>
    </w:rPr>
  </w:style>
  <w:style w:type="paragraph" w:customStyle="1" w:styleId="1032">
    <w:name w:val="列表 2W"/>
    <w:basedOn w:val="35"/>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033">
    <w:name w:val="列表 2T"/>
    <w:basedOn w:val="35"/>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034">
    <w:name w:val="Char4 Char Char Char Char Char Char"/>
    <w:basedOn w:val="1"/>
    <w:qFormat/>
    <w:uiPriority w:val="0"/>
    <w:pPr>
      <w:widowControl w:val="0"/>
      <w:spacing w:line="360" w:lineRule="auto"/>
      <w:ind w:firstLine="200" w:firstLineChars="200"/>
      <w:jc w:val="both"/>
    </w:pPr>
    <w:rPr>
      <w:kern w:val="2"/>
    </w:rPr>
  </w:style>
  <w:style w:type="paragraph" w:customStyle="1" w:styleId="1035">
    <w:name w:val="列表 5A"/>
    <w:basedOn w:val="64"/>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036">
    <w:name w:val="xl29"/>
    <w:basedOn w:val="1"/>
    <w:qFormat/>
    <w:uiPriority w:val="99"/>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037">
    <w:name w:val="CM13"/>
    <w:basedOn w:val="103"/>
    <w:next w:val="103"/>
    <w:qFormat/>
    <w:uiPriority w:val="99"/>
    <w:pPr>
      <w:spacing w:line="468" w:lineRule="atLeast"/>
    </w:pPr>
    <w:rPr>
      <w:color w:val="auto"/>
    </w:rPr>
  </w:style>
  <w:style w:type="paragraph" w:customStyle="1" w:styleId="1038">
    <w:name w:val="表头样式"/>
    <w:basedOn w:val="1"/>
    <w:qFormat/>
    <w:uiPriority w:val="99"/>
    <w:pPr>
      <w:keepNext/>
      <w:spacing w:beforeLines="50" w:afterLines="50" w:line="520" w:lineRule="exact"/>
      <w:ind w:firstLine="280" w:firstLineChars="100"/>
      <w:jc w:val="both"/>
    </w:pPr>
    <w:rPr>
      <w:bCs/>
      <w:kern w:val="2"/>
      <w:sz w:val="28"/>
      <w:szCs w:val="28"/>
    </w:rPr>
  </w:style>
  <w:style w:type="paragraph" w:customStyle="1" w:styleId="1039">
    <w:name w:val="灯泡注释(打印无效)"/>
    <w:basedOn w:val="79"/>
    <w:qFormat/>
    <w:uiPriority w:val="99"/>
    <w:pPr>
      <w:widowControl w:val="0"/>
      <w:snapToGrid w:val="0"/>
      <w:spacing w:after="0"/>
      <w:ind w:firstLine="0" w:firstLineChars="0"/>
    </w:pPr>
    <w:rPr>
      <w:rFonts w:ascii="Times New Roman" w:hAnsi="Times New Roman"/>
      <w:i/>
      <w:vanish/>
      <w:color w:val="FF0000"/>
      <w:szCs w:val="21"/>
    </w:rPr>
  </w:style>
  <w:style w:type="paragraph" w:customStyle="1" w:styleId="1040">
    <w:name w:val="图文字"/>
    <w:basedOn w:val="1"/>
    <w:next w:val="1"/>
    <w:qFormat/>
    <w:uiPriority w:val="0"/>
    <w:pPr>
      <w:widowControl w:val="0"/>
      <w:snapToGrid w:val="0"/>
      <w:jc w:val="both"/>
    </w:pPr>
    <w:rPr>
      <w:rFonts w:ascii="Arial" w:hAnsi="Arial" w:eastAsia="楷体_GB2312" w:cs="Times New Roman"/>
      <w:kern w:val="2"/>
      <w:szCs w:val="20"/>
    </w:rPr>
  </w:style>
  <w:style w:type="paragraph" w:customStyle="1" w:styleId="1041">
    <w:name w:val="表中样式"/>
    <w:basedOn w:val="1"/>
    <w:qFormat/>
    <w:uiPriority w:val="99"/>
    <w:pPr>
      <w:spacing w:line="240" w:lineRule="exact"/>
      <w:ind w:left="-25" w:leftChars="-25" w:right="-31" w:rightChars="-31"/>
      <w:jc w:val="center"/>
    </w:pPr>
    <w:rPr>
      <w:bCs/>
      <w:sz w:val="21"/>
      <w:szCs w:val="32"/>
    </w:rPr>
  </w:style>
  <w:style w:type="paragraph" w:customStyle="1" w:styleId="1042">
    <w:name w:val="表标题5.14"/>
    <w:basedOn w:val="1"/>
    <w:qFormat/>
    <w:uiPriority w:val="99"/>
    <w:pPr>
      <w:widowControl w:val="0"/>
      <w:tabs>
        <w:tab w:val="left" w:pos="726"/>
      </w:tabs>
      <w:spacing w:beforeLines="100" w:line="0" w:lineRule="atLeast"/>
      <w:ind w:left="2" w:firstLine="4"/>
      <w:jc w:val="both"/>
    </w:pPr>
    <w:rPr>
      <w:rFonts w:ascii="Times New Roman" w:hAnsi="Times New Roman" w:eastAsia="黑体" w:cs="Times New Roman"/>
      <w:b/>
      <w:kern w:val="2"/>
    </w:rPr>
  </w:style>
  <w:style w:type="paragraph" w:customStyle="1" w:styleId="1043">
    <w:name w:val="Char Char Char1 Char Char Char1"/>
    <w:basedOn w:val="1"/>
    <w:qFormat/>
    <w:uiPriority w:val="99"/>
    <w:pPr>
      <w:widowControl w:val="0"/>
      <w:jc w:val="both"/>
    </w:pPr>
    <w:rPr>
      <w:rFonts w:ascii="Times New Roman" w:hAnsi="Times New Roman" w:cs="Times New Roman"/>
      <w:kern w:val="2"/>
      <w:sz w:val="21"/>
    </w:rPr>
  </w:style>
  <w:style w:type="paragraph" w:customStyle="1" w:styleId="1044">
    <w:name w:val="xl100"/>
    <w:basedOn w:val="1"/>
    <w:qFormat/>
    <w:uiPriority w:val="99"/>
    <w:pPr>
      <w:pBdr>
        <w:top w:val="single" w:color="auto" w:sz="8" w:space="0"/>
        <w:bottom w:val="single" w:color="auto" w:sz="4" w:space="0"/>
        <w:right w:val="single" w:color="auto" w:sz="8" w:space="0"/>
      </w:pBdr>
      <w:spacing w:before="100" w:beforeAutospacing="1" w:after="100" w:afterAutospacing="1"/>
    </w:pPr>
    <w:rPr>
      <w:rFonts w:ascii="Arial Unicode MS" w:hAnsi="Arial Unicode MS" w:eastAsia="Arial Unicode MS" w:cs="Arial Unicode MS"/>
    </w:rPr>
  </w:style>
  <w:style w:type="paragraph" w:customStyle="1" w:styleId="1045">
    <w:name w:val="样式 标题 4款标题1.1.1.1 南陵标题 4标题 4 CharH4PIM 4h4First Subheadin..."/>
    <w:basedOn w:val="8"/>
    <w:qFormat/>
    <w:uiPriority w:val="0"/>
    <w:pPr>
      <w:keepNext w:val="0"/>
      <w:keepLines w:val="0"/>
      <w:widowControl w:val="0"/>
      <w:spacing w:line="360" w:lineRule="auto"/>
      <w:jc w:val="both"/>
    </w:pPr>
    <w:rPr>
      <w:rFonts w:ascii="黑体" w:eastAsia="黑体" w:cs="Times New Roman"/>
      <w:bCs/>
      <w:color w:val="000000"/>
      <w:lang w:val="en-US"/>
    </w:rPr>
  </w:style>
  <w:style w:type="paragraph" w:customStyle="1" w:styleId="1046">
    <w:name w:val="列表 4S"/>
    <w:basedOn w:val="70"/>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047">
    <w:name w:val="条文2"/>
    <w:basedOn w:val="8"/>
    <w:qFormat/>
    <w:uiPriority w:val="99"/>
    <w:pPr>
      <w:keepNext w:val="0"/>
      <w:keepLines w:val="0"/>
      <w:widowControl w:val="0"/>
      <w:tabs>
        <w:tab w:val="left" w:pos="360"/>
      </w:tabs>
      <w:adjustRightInd w:val="0"/>
      <w:spacing w:line="460" w:lineRule="exact"/>
      <w:ind w:left="1151" w:hanging="425"/>
      <w:textAlignment w:val="baseline"/>
      <w:outlineLvl w:val="9"/>
    </w:pPr>
    <w:rPr>
      <w:rFonts w:ascii="宋体" w:hAnsi="Arial" w:cs="Times New Roman"/>
      <w:spacing w:val="3"/>
      <w:kern w:val="24"/>
      <w:lang w:val="en-US"/>
    </w:rPr>
  </w:style>
  <w:style w:type="paragraph" w:customStyle="1" w:styleId="1048">
    <w:name w:val="Char4 Char Char Char Char Char Char2"/>
    <w:basedOn w:val="1"/>
    <w:qFormat/>
    <w:uiPriority w:val="99"/>
    <w:pPr>
      <w:widowControl w:val="0"/>
      <w:spacing w:line="360" w:lineRule="auto"/>
      <w:ind w:firstLine="200" w:firstLineChars="200"/>
      <w:jc w:val="both"/>
    </w:pPr>
    <w:rPr>
      <w:kern w:val="2"/>
    </w:rPr>
  </w:style>
  <w:style w:type="paragraph" w:customStyle="1" w:styleId="1049">
    <w:name w:val="表格11"/>
    <w:basedOn w:val="362"/>
    <w:qFormat/>
    <w:uiPriority w:val="99"/>
    <w:pPr>
      <w:widowControl w:val="0"/>
      <w:spacing w:line="240" w:lineRule="auto"/>
    </w:pPr>
    <w:rPr>
      <w:rFonts w:ascii="黑体" w:eastAsia="仿宋_GB2312"/>
      <w:szCs w:val="28"/>
    </w:rPr>
  </w:style>
  <w:style w:type="paragraph" w:customStyle="1" w:styleId="1050">
    <w:name w:val="xl87"/>
    <w:basedOn w:val="1"/>
    <w:qFormat/>
    <w:uiPriority w:val="99"/>
    <w:pPr>
      <w:pBdr>
        <w:top w:val="single" w:color="auto" w:sz="8" w:space="0"/>
        <w:bottom w:val="single" w:color="auto" w:sz="4" w:space="0"/>
        <w:right w:val="single" w:color="auto" w:sz="4" w:space="0"/>
      </w:pBdr>
      <w:spacing w:before="100" w:beforeAutospacing="1" w:after="100" w:afterAutospacing="1"/>
    </w:pPr>
    <w:rPr>
      <w:rFonts w:ascii="Times New Roman" w:hAnsi="Times New Roman" w:eastAsia="Arial Unicode MS" w:cs="Times New Roman"/>
      <w:sz w:val="16"/>
      <w:szCs w:val="16"/>
    </w:rPr>
  </w:style>
  <w:style w:type="paragraph" w:customStyle="1" w:styleId="1051">
    <w:name w:val="列表 2V"/>
    <w:basedOn w:val="35"/>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052">
    <w:name w:val="列表 4A"/>
    <w:basedOn w:val="70"/>
    <w:qFormat/>
    <w:uiPriority w:val="99"/>
    <w:pPr>
      <w:tabs>
        <w:tab w:val="left" w:pos="360"/>
      </w:tabs>
      <w:topLinePunct w:val="0"/>
      <w:spacing w:beforeLines="50" w:afterLines="30" w:line="288" w:lineRule="auto"/>
      <w:ind w:left="360" w:leftChars="0" w:hanging="360"/>
      <w:jc w:val="both"/>
    </w:pPr>
    <w:rPr>
      <w:rFonts w:ascii="Arial" w:hAnsi="Arial" w:eastAsia="宋体"/>
      <w:color w:val="CCFFFF"/>
      <w:sz w:val="24"/>
    </w:rPr>
  </w:style>
  <w:style w:type="paragraph" w:customStyle="1" w:styleId="1053">
    <w:name w:val="正文王"/>
    <w:basedOn w:val="1"/>
    <w:qFormat/>
    <w:uiPriority w:val="99"/>
    <w:pPr>
      <w:tabs>
        <w:tab w:val="left" w:pos="7080"/>
      </w:tabs>
      <w:adjustRightInd w:val="0"/>
      <w:snapToGrid w:val="0"/>
      <w:spacing w:line="360" w:lineRule="auto"/>
      <w:ind w:firstLine="480" w:firstLineChars="200"/>
      <w:jc w:val="both"/>
    </w:pPr>
    <w:rPr>
      <w:rFonts w:ascii="Times New Roman" w:hAnsi="Times New Roman" w:eastAsia="仿宋_GB2312" w:cs="Times New Roman"/>
      <w:snapToGrid w:val="0"/>
      <w:szCs w:val="28"/>
    </w:rPr>
  </w:style>
  <w:style w:type="paragraph" w:customStyle="1" w:styleId="1054">
    <w:name w:val="表标题17.21"/>
    <w:basedOn w:val="1"/>
    <w:qFormat/>
    <w:uiPriority w:val="99"/>
    <w:pPr>
      <w:widowControl w:val="0"/>
      <w:tabs>
        <w:tab w:val="left" w:pos="284"/>
        <w:tab w:val="center" w:pos="4060"/>
        <w:tab w:val="right" w:pos="8261"/>
      </w:tabs>
      <w:suppressAutoHyphens/>
      <w:adjustRightInd w:val="0"/>
      <w:spacing w:before="240" w:line="0" w:lineRule="atLeast"/>
      <w:jc w:val="center"/>
    </w:pPr>
    <w:rPr>
      <w:rFonts w:ascii="黑体" w:hAnsi="Times New Roman" w:eastAsia="黑体" w:cs="Times New Roman"/>
      <w:b/>
      <w:spacing w:val="6"/>
    </w:rPr>
  </w:style>
  <w:style w:type="paragraph" w:customStyle="1" w:styleId="1055">
    <w:name w:val="style18"/>
    <w:basedOn w:val="1"/>
    <w:qFormat/>
    <w:uiPriority w:val="99"/>
    <w:pPr>
      <w:spacing w:before="100" w:beforeAutospacing="1" w:after="100" w:afterAutospacing="1"/>
    </w:pPr>
    <w:rPr>
      <w:rFonts w:cs="Times New Roman"/>
      <w:color w:val="000000"/>
      <w:sz w:val="21"/>
      <w:szCs w:val="21"/>
    </w:rPr>
  </w:style>
  <w:style w:type="paragraph" w:customStyle="1" w:styleId="1056">
    <w:name w:val="样式8"/>
    <w:basedOn w:val="7"/>
    <w:qFormat/>
    <w:uiPriority w:val="99"/>
    <w:pPr>
      <w:keepNext w:val="0"/>
      <w:keepLines w:val="0"/>
      <w:adjustRightInd w:val="0"/>
      <w:snapToGrid w:val="0"/>
      <w:spacing w:beforeLines="20" w:afterLines="50" w:line="360" w:lineRule="auto"/>
      <w:textAlignment w:val="baseline"/>
    </w:pPr>
    <w:rPr>
      <w:rFonts w:ascii="宋体" w:hAnsi="Courier New" w:eastAsia="宋体"/>
      <w:b/>
      <w:bCs w:val="0"/>
      <w:sz w:val="24"/>
      <w:szCs w:val="20"/>
    </w:rPr>
  </w:style>
  <w:style w:type="paragraph" w:customStyle="1" w:styleId="1057">
    <w:name w:val="标标题1.9"/>
    <w:basedOn w:val="1"/>
    <w:qFormat/>
    <w:uiPriority w:val="99"/>
    <w:pPr>
      <w:widowControl w:val="0"/>
      <w:tabs>
        <w:tab w:val="left" w:pos="726"/>
        <w:tab w:val="center" w:pos="4060"/>
        <w:tab w:val="right" w:pos="8261"/>
      </w:tabs>
      <w:suppressAutoHyphens/>
      <w:adjustRightInd w:val="0"/>
      <w:spacing w:before="240" w:line="0" w:lineRule="atLeast"/>
      <w:ind w:left="2" w:firstLine="4"/>
      <w:jc w:val="center"/>
    </w:pPr>
    <w:rPr>
      <w:rFonts w:ascii="黑体" w:hAnsi="Times New Roman" w:eastAsia="黑体" w:cs="Times New Roman"/>
      <w:b/>
      <w:spacing w:val="6"/>
      <w:sz w:val="26"/>
      <w:szCs w:val="26"/>
    </w:rPr>
  </w:style>
  <w:style w:type="paragraph" w:customStyle="1" w:styleId="1058">
    <w:name w:val="CM66"/>
    <w:basedOn w:val="103"/>
    <w:next w:val="103"/>
    <w:qFormat/>
    <w:uiPriority w:val="99"/>
    <w:pPr>
      <w:spacing w:after="215"/>
    </w:pPr>
    <w:rPr>
      <w:color w:val="auto"/>
    </w:rPr>
  </w:style>
  <w:style w:type="paragraph" w:customStyle="1" w:styleId="1059">
    <w:name w:val="表右"/>
    <w:basedOn w:val="1"/>
    <w:qFormat/>
    <w:uiPriority w:val="99"/>
    <w:pPr>
      <w:keepNext/>
      <w:widowControl w:val="0"/>
      <w:tabs>
        <w:tab w:val="left" w:pos="2190"/>
      </w:tabs>
      <w:adjustRightInd w:val="0"/>
      <w:snapToGrid w:val="0"/>
      <w:spacing w:line="240" w:lineRule="atLeast"/>
      <w:ind w:right="20" w:rightChars="20"/>
      <w:jc w:val="right"/>
    </w:pPr>
    <w:rPr>
      <w:rFonts w:cs="Times New Roman"/>
      <w:kern w:val="2"/>
      <w:szCs w:val="28"/>
    </w:rPr>
  </w:style>
  <w:style w:type="paragraph" w:customStyle="1" w:styleId="1060">
    <w:name w:val="副题目"/>
    <w:basedOn w:val="58"/>
    <w:qFormat/>
    <w:uiPriority w:val="99"/>
    <w:pPr>
      <w:keepNext/>
      <w:keepLines/>
      <w:spacing w:beforeLines="100" w:after="100" w:afterAutospacing="1" w:line="600" w:lineRule="atLeast"/>
      <w:outlineLvl w:val="9"/>
    </w:pPr>
    <w:rPr>
      <w:rFonts w:ascii="Arial" w:hAnsi="Arial" w:eastAsia="经典叠圆体简" w:cs="Times New Roman"/>
      <w:b w:val="0"/>
      <w:bCs w:val="0"/>
      <w:iCs/>
      <w:color w:val="CC99FF"/>
      <w:spacing w:val="36"/>
      <w:sz w:val="36"/>
      <w:szCs w:val="20"/>
      <w:lang w:bidi="he-IL"/>
    </w:rPr>
  </w:style>
  <w:style w:type="paragraph" w:customStyle="1" w:styleId="1061">
    <w:name w:val="样式 标题3"/>
    <w:basedOn w:val="7"/>
    <w:qFormat/>
    <w:uiPriority w:val="0"/>
    <w:pPr>
      <w:widowControl w:val="0"/>
      <w:spacing w:beforeLines="50" w:afterLines="50" w:line="360" w:lineRule="auto"/>
      <w:ind w:firstLine="200"/>
    </w:pPr>
    <w:rPr>
      <w:rFonts w:ascii="宋体" w:hAnsi="宋体" w:eastAsia="宋体" w:cs="宋体"/>
      <w:b/>
      <w:sz w:val="28"/>
      <w:szCs w:val="24"/>
    </w:rPr>
  </w:style>
  <w:style w:type="paragraph" w:customStyle="1" w:styleId="1062">
    <w:name w:val="列表 H"/>
    <w:basedOn w:val="60"/>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063">
    <w:name w:val="CM61"/>
    <w:basedOn w:val="103"/>
    <w:next w:val="103"/>
    <w:qFormat/>
    <w:uiPriority w:val="99"/>
    <w:pPr>
      <w:spacing w:after="78"/>
    </w:pPr>
    <w:rPr>
      <w:color w:val="auto"/>
    </w:rPr>
  </w:style>
  <w:style w:type="paragraph" w:customStyle="1" w:styleId="1064">
    <w:name w:val="xl30"/>
    <w:basedOn w:val="1"/>
    <w:qFormat/>
    <w:uiPriority w:val="99"/>
    <w:pPr>
      <w:pBdr>
        <w:top w:val="single" w:color="auto" w:sz="4" w:space="0"/>
        <w:left w:val="single" w:color="auto" w:sz="8"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065">
    <w:name w:val="普通(Web)1"/>
    <w:basedOn w:val="1"/>
    <w:qFormat/>
    <w:uiPriority w:val="99"/>
    <w:rPr>
      <w:rFonts w:eastAsia="仿宋_GB2312"/>
      <w:color w:val="000000"/>
    </w:rPr>
  </w:style>
  <w:style w:type="paragraph" w:customStyle="1" w:styleId="1066">
    <w:name w:val="xl94"/>
    <w:basedOn w:val="1"/>
    <w:qFormat/>
    <w:uiPriority w:val="99"/>
    <w:pPr>
      <w:spacing w:before="100" w:beforeAutospacing="1" w:after="100" w:afterAutospacing="1"/>
      <w:jc w:val="center"/>
    </w:pPr>
    <w:rPr>
      <w:rFonts w:ascii="Times New Roman" w:hAnsi="Times New Roman" w:eastAsia="Arial Unicode MS" w:cs="Times New Roman"/>
      <w:sz w:val="20"/>
      <w:szCs w:val="20"/>
    </w:rPr>
  </w:style>
  <w:style w:type="paragraph" w:customStyle="1" w:styleId="1067">
    <w:name w:val="标题2.5"/>
    <w:basedOn w:val="1068"/>
    <w:next w:val="316"/>
    <w:qFormat/>
    <w:uiPriority w:val="99"/>
    <w:pPr>
      <w:topLinePunct/>
      <w:spacing w:beforeLines="0" w:line="360" w:lineRule="auto"/>
    </w:pPr>
    <w:rPr>
      <w:rFonts w:ascii="仿宋_GB2312"/>
      <w:b w:val="0"/>
    </w:rPr>
  </w:style>
  <w:style w:type="paragraph" w:customStyle="1" w:styleId="1068">
    <w:name w:val="标题2"/>
    <w:basedOn w:val="1"/>
    <w:next w:val="1"/>
    <w:semiHidden/>
    <w:qFormat/>
    <w:uiPriority w:val="99"/>
    <w:pPr>
      <w:widowControl w:val="0"/>
      <w:spacing w:beforeLines="100" w:afterLines="100" w:line="640" w:lineRule="exact"/>
      <w:outlineLvl w:val="1"/>
    </w:pPr>
    <w:rPr>
      <w:rFonts w:ascii="黑体" w:hAnsi="Times New Roman" w:eastAsia="黑体" w:cs="Times New Roman"/>
      <w:b/>
      <w:color w:val="000000"/>
      <w:kern w:val="2"/>
      <w:sz w:val="28"/>
      <w:szCs w:val="28"/>
    </w:rPr>
  </w:style>
  <w:style w:type="paragraph" w:customStyle="1" w:styleId="1069">
    <w:name w:val="表格中"/>
    <w:basedOn w:val="1"/>
    <w:qFormat/>
    <w:uiPriority w:val="99"/>
    <w:pPr>
      <w:widowControl w:val="0"/>
      <w:snapToGrid w:val="0"/>
      <w:spacing w:line="360" w:lineRule="auto"/>
      <w:jc w:val="both"/>
    </w:pPr>
    <w:rPr>
      <w:rFonts w:cs="Times New Roman"/>
      <w:spacing w:val="-20"/>
      <w:kern w:val="2"/>
      <w:sz w:val="28"/>
      <w:szCs w:val="28"/>
    </w:rPr>
  </w:style>
  <w:style w:type="paragraph" w:customStyle="1" w:styleId="1070">
    <w:name w:val="表格编号"/>
    <w:basedOn w:val="1"/>
    <w:qFormat/>
    <w:uiPriority w:val="99"/>
    <w:pPr>
      <w:widowControl w:val="0"/>
      <w:spacing w:line="400" w:lineRule="exact"/>
      <w:jc w:val="both"/>
    </w:pPr>
    <w:rPr>
      <w:rFonts w:ascii="Times New Roman" w:hAnsi="Times New Roman" w:cs="Times New Roman"/>
      <w:sz w:val="28"/>
      <w:szCs w:val="28"/>
    </w:rPr>
  </w:style>
  <w:style w:type="paragraph" w:customStyle="1" w:styleId="1071">
    <w:name w:val="表字"/>
    <w:basedOn w:val="1"/>
    <w:qFormat/>
    <w:uiPriority w:val="99"/>
    <w:pPr>
      <w:widowControl w:val="0"/>
      <w:jc w:val="center"/>
    </w:pPr>
    <w:rPr>
      <w:rFonts w:hAnsi="Times New Roman" w:cs="Times New Roman"/>
      <w:kern w:val="2"/>
      <w:sz w:val="21"/>
      <w:szCs w:val="20"/>
    </w:rPr>
  </w:style>
  <w:style w:type="paragraph" w:customStyle="1" w:styleId="1072">
    <w:name w:val="xl33"/>
    <w:basedOn w:val="1"/>
    <w:qFormat/>
    <w:uiPriority w:val="99"/>
    <w:pPr>
      <w:pBdr>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eastAsia="仿宋_GB2312" w:cs="Times New Roman"/>
      <w:szCs w:val="20"/>
    </w:rPr>
  </w:style>
  <w:style w:type="paragraph" w:customStyle="1" w:styleId="1073">
    <w:name w:val="xl69"/>
    <w:basedOn w:val="1"/>
    <w:qFormat/>
    <w:uiPriority w:val="99"/>
    <w:pPr>
      <w:pBdr>
        <w:bottom w:val="single" w:color="auto" w:sz="4" w:space="0"/>
      </w:pBdr>
      <w:spacing w:before="100" w:beforeAutospacing="1" w:after="100" w:afterAutospacing="1"/>
      <w:jc w:val="right"/>
    </w:pPr>
    <w:rPr>
      <w:rFonts w:eastAsia="仿宋_GB2312" w:cs="Times New Roman"/>
      <w:b/>
      <w:bCs/>
      <w:position w:val="-6"/>
    </w:rPr>
  </w:style>
  <w:style w:type="paragraph" w:customStyle="1" w:styleId="1074">
    <w:name w:val="样式 标题 4 + 左侧:  0 厘米 悬挂缩进: 8.64 字符 段前: 6 磅 段后: 6 磅 行距: 单倍行距"/>
    <w:basedOn w:val="8"/>
    <w:qFormat/>
    <w:uiPriority w:val="99"/>
    <w:pPr>
      <w:widowControl w:val="0"/>
      <w:tabs>
        <w:tab w:val="left" w:pos="360"/>
      </w:tabs>
      <w:spacing w:before="120" w:after="120" w:line="312" w:lineRule="auto"/>
      <w:jc w:val="both"/>
    </w:pPr>
    <w:rPr>
      <w:rFonts w:ascii="Arial" w:hAnsi="Arial" w:eastAsia="黑体"/>
      <w:b/>
      <w:bCs/>
      <w:kern w:val="2"/>
      <w:lang w:val="en-US"/>
    </w:rPr>
  </w:style>
  <w:style w:type="paragraph" w:customStyle="1" w:styleId="1075">
    <w:name w:val="样式 标题 4款标题1.1.1.1 南陵标题 4标题 4 CharH4PIM 4h4First Subheadin...2"/>
    <w:basedOn w:val="8"/>
    <w:qFormat/>
    <w:uiPriority w:val="0"/>
    <w:pPr>
      <w:keepNext w:val="0"/>
      <w:keepLines w:val="0"/>
      <w:widowControl w:val="0"/>
      <w:spacing w:line="360" w:lineRule="auto"/>
      <w:jc w:val="both"/>
    </w:pPr>
    <w:rPr>
      <w:rFonts w:ascii="黑体" w:eastAsia="黑体"/>
      <w:color w:val="000000"/>
      <w:kern w:val="2"/>
      <w:szCs w:val="24"/>
      <w:lang w:val="en-US"/>
    </w:rPr>
  </w:style>
  <w:style w:type="paragraph" w:customStyle="1" w:styleId="1076">
    <w:name w:val="xl105"/>
    <w:basedOn w:val="1"/>
    <w:qFormat/>
    <w:uiPriority w:val="99"/>
    <w:pPr>
      <w:pBdr>
        <w:top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077">
    <w:name w:val="表后空行"/>
    <w:basedOn w:val="1"/>
    <w:next w:val="1"/>
    <w:qFormat/>
    <w:uiPriority w:val="99"/>
    <w:pPr>
      <w:widowControl w:val="0"/>
      <w:jc w:val="both"/>
    </w:pPr>
    <w:rPr>
      <w:rFonts w:ascii="Times New Roman" w:hAnsi="Times New Roman" w:cs="Times New Roman"/>
      <w:kern w:val="18"/>
      <w:sz w:val="18"/>
    </w:rPr>
  </w:style>
  <w:style w:type="paragraph" w:customStyle="1" w:styleId="1078">
    <w:name w:val="项目点符号"/>
    <w:basedOn w:val="1"/>
    <w:qFormat/>
    <w:uiPriority w:val="99"/>
    <w:pPr>
      <w:widowControl w:val="0"/>
      <w:snapToGrid w:val="0"/>
      <w:jc w:val="both"/>
    </w:pPr>
    <w:rPr>
      <w:rFonts w:ascii="Times New Roman" w:hAnsi="Times New Roman" w:cs="Times New Roman"/>
      <w:bCs/>
      <w:sz w:val="21"/>
      <w:szCs w:val="21"/>
    </w:rPr>
  </w:style>
  <w:style w:type="paragraph" w:customStyle="1" w:styleId="1079">
    <w:name w:val="CM23"/>
    <w:basedOn w:val="103"/>
    <w:next w:val="103"/>
    <w:qFormat/>
    <w:uiPriority w:val="99"/>
    <w:rPr>
      <w:color w:val="auto"/>
    </w:rPr>
  </w:style>
  <w:style w:type="paragraph" w:customStyle="1" w:styleId="1080">
    <w:name w:val="样式 样式 注意 + 首行缩进:  2 字符 + 首行缩进:  2 字符"/>
    <w:basedOn w:val="79"/>
    <w:next w:val="79"/>
    <w:qFormat/>
    <w:uiPriority w:val="99"/>
    <w:pPr>
      <w:widowControl w:val="0"/>
      <w:tabs>
        <w:tab w:val="left" w:pos="628"/>
        <w:tab w:val="left" w:pos="1727"/>
        <w:tab w:val="left" w:pos="1884"/>
        <w:tab w:val="left" w:pos="2514"/>
        <w:tab w:val="left" w:pos="4900"/>
      </w:tabs>
      <w:autoSpaceDE w:val="0"/>
      <w:autoSpaceDN w:val="0"/>
      <w:adjustRightInd w:val="0"/>
      <w:snapToGrid w:val="0"/>
      <w:spacing w:after="0" w:line="360" w:lineRule="auto"/>
      <w:ind w:left="-2" w:leftChars="-1" w:right="-99" w:rightChars="-47" w:firstLine="480" w:firstLineChars="0"/>
    </w:pPr>
    <w:rPr>
      <w:szCs w:val="21"/>
      <w:lang w:val="zh-CN"/>
    </w:rPr>
  </w:style>
  <w:style w:type="paragraph" w:customStyle="1" w:styleId="1081">
    <w:name w:val="表11"/>
    <w:basedOn w:val="13"/>
    <w:qFormat/>
    <w:uiPriority w:val="99"/>
    <w:pPr>
      <w:keepNext w:val="0"/>
      <w:keepLines w:val="0"/>
      <w:topLinePunct w:val="0"/>
      <w:adjustRightInd w:val="0"/>
      <w:snapToGrid w:val="0"/>
      <w:spacing w:before="0" w:after="0" w:line="360" w:lineRule="exact"/>
      <w:ind w:firstLine="0" w:firstLineChars="0"/>
      <w:outlineLvl w:val="9"/>
    </w:pPr>
    <w:rPr>
      <w:rFonts w:ascii="Times New Roman" w:hAnsi="Times New Roman" w:eastAsia="宋体"/>
      <w:sz w:val="21"/>
    </w:rPr>
  </w:style>
  <w:style w:type="paragraph" w:customStyle="1" w:styleId="1082">
    <w:name w:val="小表中密"/>
    <w:basedOn w:val="1"/>
    <w:qFormat/>
    <w:uiPriority w:val="99"/>
    <w:pPr>
      <w:keepNext/>
      <w:widowControl w:val="0"/>
      <w:adjustRightInd w:val="0"/>
      <w:snapToGrid w:val="0"/>
      <w:spacing w:line="240" w:lineRule="atLeast"/>
      <w:jc w:val="center"/>
    </w:pPr>
    <w:rPr>
      <w:rFonts w:cs="Times New Roman"/>
      <w:kern w:val="2"/>
      <w:sz w:val="18"/>
      <w:szCs w:val="18"/>
    </w:rPr>
  </w:style>
  <w:style w:type="paragraph" w:customStyle="1" w:styleId="1083">
    <w:name w:val="四级标题"/>
    <w:basedOn w:val="8"/>
    <w:next w:val="858"/>
    <w:qFormat/>
    <w:uiPriority w:val="0"/>
    <w:pPr>
      <w:keepNext w:val="0"/>
      <w:keepLines w:val="0"/>
      <w:widowControl w:val="0"/>
      <w:snapToGrid w:val="0"/>
      <w:spacing w:line="480" w:lineRule="exact"/>
      <w:jc w:val="both"/>
    </w:pPr>
    <w:rPr>
      <w:rFonts w:eastAsia="黑体" w:cs="Times New Roman"/>
      <w:bCs/>
      <w:color w:val="0070C0"/>
      <w:kern w:val="2"/>
      <w:szCs w:val="28"/>
      <w:lang w:val="en-US"/>
    </w:rPr>
  </w:style>
  <w:style w:type="paragraph" w:customStyle="1" w:styleId="1084">
    <w:name w:val="样式 表标12.2 + 段前: 1 行"/>
    <w:basedOn w:val="1"/>
    <w:qFormat/>
    <w:uiPriority w:val="99"/>
    <w:pPr>
      <w:widowControl w:val="0"/>
      <w:tabs>
        <w:tab w:val="left" w:pos="280"/>
        <w:tab w:val="left" w:pos="726"/>
      </w:tabs>
      <w:adjustRightInd w:val="0"/>
      <w:snapToGrid w:val="0"/>
      <w:spacing w:beforeLines="100" w:line="0" w:lineRule="atLeast"/>
      <w:ind w:left="2" w:firstLine="4"/>
      <w:jc w:val="center"/>
    </w:pPr>
    <w:rPr>
      <w:rFonts w:ascii="黑体" w:eastAsia="黑体"/>
      <w:b/>
      <w:bCs/>
      <w:kern w:val="2"/>
      <w:szCs w:val="20"/>
    </w:rPr>
  </w:style>
  <w:style w:type="paragraph" w:customStyle="1" w:styleId="1085">
    <w:name w:val="样式 燕山正文 + 首行缩进:  3.5 字符1"/>
    <w:basedOn w:val="763"/>
    <w:qFormat/>
    <w:uiPriority w:val="99"/>
    <w:pPr>
      <w:shd w:val="clear" w:color="auto" w:fill="auto"/>
      <w:ind w:firstLine="200"/>
      <w:jc w:val="both"/>
    </w:pPr>
    <w:rPr>
      <w:color w:val="000000"/>
      <w:sz w:val="28"/>
      <w:szCs w:val="20"/>
    </w:rPr>
  </w:style>
  <w:style w:type="paragraph" w:customStyle="1" w:styleId="1086">
    <w:name w:val="样式 标题 1 + 宋体 二号 加粗 两端对齐 段前: 17 磅 段后: 16.5 磅 行距: 多倍行距 2.41 ..."/>
    <w:basedOn w:val="4"/>
    <w:qFormat/>
    <w:uiPriority w:val="99"/>
    <w:pPr>
      <w:keepNext/>
      <w:keepLines/>
      <w:widowControl w:val="0"/>
      <w:spacing w:beforeLines="100" w:afterLines="100" w:line="578" w:lineRule="auto"/>
      <w:jc w:val="both"/>
    </w:pPr>
    <w:rPr>
      <w:rFonts w:ascii="Arial" w:hAnsi="Arial" w:eastAsia="宋体"/>
      <w:bCs/>
      <w:kern w:val="44"/>
      <w:sz w:val="44"/>
      <w:szCs w:val="44"/>
    </w:rPr>
  </w:style>
  <w:style w:type="paragraph" w:customStyle="1" w:styleId="1087">
    <w:name w:val="Company Name"/>
    <w:basedOn w:val="1"/>
    <w:next w:val="1"/>
    <w:qFormat/>
    <w:uiPriority w:val="99"/>
    <w:pPr>
      <w:tabs>
        <w:tab w:val="left" w:pos="2160"/>
        <w:tab w:val="right" w:pos="6480"/>
      </w:tabs>
      <w:spacing w:before="220" w:after="40" w:line="220" w:lineRule="atLeast"/>
      <w:ind w:right="-360"/>
    </w:pPr>
    <w:rPr>
      <w:rFonts w:ascii="Times New Roman" w:hAnsi="Times New Roman" w:cs="Times New Roman"/>
      <w:sz w:val="20"/>
      <w:szCs w:val="20"/>
    </w:rPr>
  </w:style>
  <w:style w:type="paragraph" w:customStyle="1" w:styleId="1088">
    <w:name w:val="表格字2"/>
    <w:basedOn w:val="1"/>
    <w:qFormat/>
    <w:uiPriority w:val="0"/>
    <w:pPr>
      <w:widowControl w:val="0"/>
      <w:jc w:val="both"/>
    </w:pPr>
    <w:rPr>
      <w:rFonts w:cs="Times New Roman"/>
      <w:color w:val="000000"/>
      <w:kern w:val="16"/>
      <w:sz w:val="21"/>
      <w:szCs w:val="21"/>
    </w:rPr>
  </w:style>
  <w:style w:type="paragraph" w:customStyle="1" w:styleId="1089">
    <w:name w:val="表内5中4"/>
    <w:basedOn w:val="998"/>
    <w:qFormat/>
    <w:uiPriority w:val="99"/>
    <w:pPr>
      <w:tabs>
        <w:tab w:val="clear" w:pos="4305"/>
      </w:tabs>
      <w:spacing w:line="240" w:lineRule="auto"/>
      <w:ind w:firstLine="0" w:firstLineChars="0"/>
    </w:pPr>
    <w:rPr>
      <w:rFonts w:hAnsi="Times New Roman"/>
      <w:bCs/>
      <w:color w:val="auto"/>
      <w:szCs w:val="20"/>
      <w:shd w:val="clear" w:color="auto" w:fill="auto"/>
    </w:rPr>
  </w:style>
  <w:style w:type="paragraph" w:customStyle="1" w:styleId="1090">
    <w:name w:val="样式 标题 4 + 宋体 小四 非加粗"/>
    <w:basedOn w:val="8"/>
    <w:qFormat/>
    <w:uiPriority w:val="99"/>
    <w:pPr>
      <w:widowControl w:val="0"/>
      <w:tabs>
        <w:tab w:val="left" w:pos="360"/>
        <w:tab w:val="left" w:pos="1984"/>
      </w:tabs>
      <w:spacing w:before="280" w:after="290" w:line="376" w:lineRule="auto"/>
      <w:ind w:left="1984" w:hanging="708"/>
      <w:jc w:val="both"/>
    </w:pPr>
    <w:rPr>
      <w:rFonts w:ascii="宋体" w:hAnsi="宋体" w:cs="Times New Roman"/>
      <w:szCs w:val="28"/>
      <w:lang w:val="en-US"/>
    </w:rPr>
  </w:style>
  <w:style w:type="paragraph" w:customStyle="1" w:styleId="1091">
    <w:name w:val="列表 J"/>
    <w:basedOn w:val="60"/>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092">
    <w:name w:val="xl27"/>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093">
    <w:name w:val="章标题"/>
    <w:next w:val="1"/>
    <w:qFormat/>
    <w:uiPriority w:val="0"/>
    <w:pPr>
      <w:tabs>
        <w:tab w:val="left" w:pos="425"/>
      </w:tabs>
      <w:spacing w:beforeLines="50" w:afterLines="50"/>
      <w:ind w:left="425" w:hanging="425"/>
      <w:jc w:val="both"/>
      <w:outlineLvl w:val="1"/>
    </w:pPr>
    <w:rPr>
      <w:rFonts w:ascii="黑体" w:hAnsi="Times New Roman" w:eastAsia="黑体" w:cs="Times New Roman"/>
      <w:sz w:val="21"/>
      <w:lang w:val="en-US" w:eastAsia="zh-CN" w:bidi="ar-SA"/>
    </w:rPr>
  </w:style>
  <w:style w:type="paragraph" w:customStyle="1" w:styleId="1094">
    <w:name w:val="正文段落（缩进）"/>
    <w:basedOn w:val="1"/>
    <w:next w:val="42"/>
    <w:qFormat/>
    <w:uiPriority w:val="99"/>
    <w:pPr>
      <w:widowControl w:val="0"/>
      <w:spacing w:line="360" w:lineRule="auto"/>
    </w:pPr>
    <w:rPr>
      <w:rFonts w:ascii="Times New Roman" w:hAnsi="Times New Roman" w:cs="Times New Roman"/>
      <w:szCs w:val="20"/>
    </w:rPr>
  </w:style>
  <w:style w:type="paragraph" w:customStyle="1" w:styleId="1095">
    <w:name w:val="[1]正文"/>
    <w:basedOn w:val="1"/>
    <w:qFormat/>
    <w:uiPriority w:val="99"/>
    <w:pPr>
      <w:widowControl w:val="0"/>
      <w:adjustRightInd w:val="0"/>
      <w:snapToGrid w:val="0"/>
      <w:spacing w:line="500" w:lineRule="exact"/>
      <w:ind w:firstLine="200" w:firstLineChars="200"/>
    </w:pPr>
    <w:rPr>
      <w:rFonts w:ascii="Times New Roman" w:hAnsi="Times New Roman" w:cs="Times New Roman"/>
      <w:sz w:val="28"/>
      <w:szCs w:val="28"/>
    </w:rPr>
  </w:style>
  <w:style w:type="paragraph" w:customStyle="1" w:styleId="1096">
    <w:name w:val="Char Char Char1 Char1"/>
    <w:basedOn w:val="1"/>
    <w:qFormat/>
    <w:uiPriority w:val="99"/>
    <w:pPr>
      <w:widowControl w:val="0"/>
      <w:jc w:val="both"/>
    </w:pPr>
    <w:rPr>
      <w:rFonts w:ascii="Times New Roman" w:hAnsi="Times New Roman" w:cs="Times New Roman"/>
      <w:kern w:val="2"/>
      <w:sz w:val="21"/>
    </w:rPr>
  </w:style>
  <w:style w:type="paragraph" w:customStyle="1" w:styleId="1097">
    <w:name w:val="CM2"/>
    <w:basedOn w:val="103"/>
    <w:next w:val="103"/>
    <w:qFormat/>
    <w:uiPriority w:val="99"/>
    <w:pPr>
      <w:spacing w:line="468" w:lineRule="atLeast"/>
    </w:pPr>
    <w:rPr>
      <w:color w:val="auto"/>
    </w:rPr>
  </w:style>
  <w:style w:type="paragraph" w:customStyle="1" w:styleId="1098">
    <w:name w:val="font9"/>
    <w:basedOn w:val="1"/>
    <w:qFormat/>
    <w:uiPriority w:val="99"/>
    <w:pPr>
      <w:spacing w:before="100" w:beforeAutospacing="1" w:after="100" w:afterAutospacing="1"/>
    </w:pPr>
    <w:rPr>
      <w:rFonts w:hint="eastAsia" w:cs="Arial Unicode MS"/>
      <w:b/>
      <w:bCs/>
      <w:sz w:val="44"/>
      <w:szCs w:val="44"/>
    </w:rPr>
  </w:style>
  <w:style w:type="paragraph" w:customStyle="1" w:styleId="1099">
    <w:name w:val="样式 加粗 黑色 首行缩进:  0 厘米"/>
    <w:basedOn w:val="1"/>
    <w:qFormat/>
    <w:uiPriority w:val="99"/>
    <w:pPr>
      <w:widowControl w:val="0"/>
      <w:tabs>
        <w:tab w:val="left" w:pos="425"/>
      </w:tabs>
      <w:spacing w:line="312" w:lineRule="auto"/>
      <w:ind w:left="425" w:hanging="425"/>
      <w:jc w:val="both"/>
    </w:pPr>
    <w:rPr>
      <w:rFonts w:ascii="Times New Roman" w:hAnsi="Times New Roman"/>
      <w:b/>
      <w:bCs/>
      <w:color w:val="000000"/>
      <w:kern w:val="2"/>
      <w:szCs w:val="20"/>
    </w:rPr>
  </w:style>
  <w:style w:type="paragraph" w:customStyle="1" w:styleId="1100">
    <w:name w:val="Char Char Char Char Char Char Char Char Char Char Char1 Char Char Char Char Char Char Char"/>
    <w:basedOn w:val="1"/>
    <w:qFormat/>
    <w:uiPriority w:val="0"/>
    <w:pPr>
      <w:widowControl w:val="0"/>
      <w:jc w:val="both"/>
    </w:pPr>
    <w:rPr>
      <w:rFonts w:ascii="Times New Roman" w:hAnsi="Times New Roman" w:cs="Times New Roman"/>
      <w:kern w:val="2"/>
      <w:sz w:val="21"/>
    </w:rPr>
  </w:style>
  <w:style w:type="paragraph" w:customStyle="1" w:styleId="1101">
    <w:name w:val="No Title"/>
    <w:basedOn w:val="1"/>
    <w:qFormat/>
    <w:uiPriority w:val="99"/>
    <w:pPr>
      <w:pBdr>
        <w:top w:val="single" w:color="FFFFFF" w:sz="6" w:space="2"/>
        <w:left w:val="single" w:color="FFFFFF" w:sz="6" w:space="2"/>
        <w:bottom w:val="single" w:color="FFFFFF" w:sz="6" w:space="2"/>
        <w:right w:val="single" w:color="FFFFFF" w:sz="6" w:space="2"/>
      </w:pBdr>
      <w:spacing w:before="120" w:line="280" w:lineRule="atLeast"/>
    </w:pPr>
    <w:rPr>
      <w:rFonts w:ascii="Arial" w:hAnsi="Arial" w:cs="Times New Roman"/>
      <w:b/>
      <w:spacing w:val="-10"/>
      <w:position w:val="7"/>
      <w:sz w:val="20"/>
      <w:szCs w:val="20"/>
    </w:rPr>
  </w:style>
  <w:style w:type="paragraph" w:customStyle="1" w:styleId="1102">
    <w:name w:val="CM3"/>
    <w:basedOn w:val="103"/>
    <w:next w:val="103"/>
    <w:qFormat/>
    <w:uiPriority w:val="99"/>
    <w:pPr>
      <w:spacing w:line="468" w:lineRule="atLeast"/>
    </w:pPr>
    <w:rPr>
      <w:color w:val="auto"/>
    </w:rPr>
  </w:style>
  <w:style w:type="paragraph" w:customStyle="1" w:styleId="1103">
    <w:name w:val="hei12"/>
    <w:basedOn w:val="1"/>
    <w:qFormat/>
    <w:uiPriority w:val="99"/>
    <w:pPr>
      <w:spacing w:before="100" w:beforeAutospacing="1" w:after="100" w:afterAutospacing="1" w:line="360" w:lineRule="atLeast"/>
    </w:pPr>
    <w:rPr>
      <w:rFonts w:ascii="Verdana" w:hAnsi="Verdana" w:cs="Times New Roman"/>
      <w:color w:val="000000"/>
      <w:sz w:val="22"/>
      <w:szCs w:val="20"/>
    </w:rPr>
  </w:style>
  <w:style w:type="paragraph" w:customStyle="1" w:styleId="1104">
    <w:name w:val="font5"/>
    <w:basedOn w:val="1"/>
    <w:link w:val="1105"/>
    <w:qFormat/>
    <w:uiPriority w:val="99"/>
    <w:pPr>
      <w:spacing w:before="100" w:beforeAutospacing="1" w:after="100" w:afterAutospacing="1"/>
    </w:pPr>
    <w:rPr>
      <w:rFonts w:hint="eastAsia" w:cs="Arial Unicode MS"/>
      <w:sz w:val="18"/>
      <w:szCs w:val="18"/>
    </w:rPr>
  </w:style>
  <w:style w:type="character" w:customStyle="1" w:styleId="1105">
    <w:name w:val="font5 Char1"/>
    <w:link w:val="1104"/>
    <w:qFormat/>
    <w:uiPriority w:val="99"/>
    <w:rPr>
      <w:rFonts w:ascii="宋体" w:hAnsi="宋体" w:cs="Arial Unicode MS"/>
      <w:sz w:val="18"/>
      <w:szCs w:val="18"/>
    </w:rPr>
  </w:style>
  <w:style w:type="paragraph" w:customStyle="1" w:styleId="1106">
    <w:name w:val="正文首行缩进1"/>
    <w:basedOn w:val="32"/>
    <w:qFormat/>
    <w:uiPriority w:val="99"/>
    <w:pPr>
      <w:widowControl w:val="0"/>
      <w:adjustRightInd w:val="0"/>
      <w:spacing w:line="312" w:lineRule="auto"/>
      <w:ind w:firstLine="567"/>
      <w:jc w:val="both"/>
      <w:textAlignment w:val="baseline"/>
    </w:pPr>
    <w:rPr>
      <w:rFonts w:ascii="Times New Roman" w:hAnsi="Times New Roman"/>
      <w:color w:val="auto"/>
      <w:kern w:val="0"/>
      <w:sz w:val="28"/>
      <w:szCs w:val="24"/>
    </w:rPr>
  </w:style>
  <w:style w:type="paragraph" w:customStyle="1" w:styleId="1107">
    <w:name w:val="Char11"/>
    <w:basedOn w:val="1"/>
    <w:qFormat/>
    <w:uiPriority w:val="99"/>
    <w:pPr>
      <w:widowControl w:val="0"/>
      <w:jc w:val="both"/>
    </w:pPr>
    <w:rPr>
      <w:rFonts w:ascii="Tahoma" w:hAnsi="Tahoma" w:cs="Times New Roman"/>
      <w:kern w:val="2"/>
      <w:szCs w:val="20"/>
    </w:rPr>
  </w:style>
  <w:style w:type="paragraph" w:customStyle="1" w:styleId="1108">
    <w:name w:val="样式 表头样式 + 两端对齐 段前: 0.5 行 段后: 0.5 行 首行缩进:  1 字符"/>
    <w:basedOn w:val="1038"/>
    <w:qFormat/>
    <w:uiPriority w:val="99"/>
    <w:pPr>
      <w:keepLines/>
      <w:spacing w:beforeLines="0"/>
      <w:ind w:firstLine="560" w:firstLineChars="200"/>
    </w:pPr>
    <w:rPr>
      <w:bCs w:val="0"/>
      <w:sz w:val="24"/>
      <w:szCs w:val="20"/>
    </w:rPr>
  </w:style>
  <w:style w:type="paragraph" w:customStyle="1" w:styleId="1109">
    <w:name w:val="列表 4U"/>
    <w:basedOn w:val="70"/>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110">
    <w:name w:val="xl52"/>
    <w:basedOn w:val="1"/>
    <w:qFormat/>
    <w:uiPriority w:val="99"/>
    <w:pPr>
      <w:pBdr>
        <w:top w:val="single" w:color="auto" w:sz="8" w:space="0"/>
        <w:bottom w:val="single" w:color="auto" w:sz="8" w:space="0"/>
        <w:right w:val="single" w:color="auto" w:sz="4" w:space="0"/>
      </w:pBdr>
      <w:spacing w:before="100" w:beforeAutospacing="1" w:after="100" w:afterAutospacing="1"/>
      <w:jc w:val="right"/>
    </w:pPr>
    <w:rPr>
      <w:rFonts w:eastAsia="仿宋_GB2312" w:cs="Times New Roman"/>
      <w:position w:val="-6"/>
      <w:szCs w:val="21"/>
    </w:rPr>
  </w:style>
  <w:style w:type="paragraph" w:customStyle="1" w:styleId="1111">
    <w:name w:val="表2"/>
    <w:basedOn w:val="32"/>
    <w:qFormat/>
    <w:uiPriority w:val="99"/>
    <w:pPr>
      <w:tabs>
        <w:tab w:val="left" w:pos="1260"/>
      </w:tabs>
      <w:autoSpaceDE w:val="0"/>
      <w:autoSpaceDN w:val="0"/>
      <w:adjustRightInd w:val="0"/>
      <w:snapToGrid w:val="0"/>
      <w:ind w:right="-91"/>
      <w:jc w:val="both"/>
      <w:textAlignment w:val="bottom"/>
    </w:pPr>
    <w:rPr>
      <w:rFonts w:ascii="Times New Roman" w:hAnsi="Times New Roman" w:eastAsia="仿宋_GB2312" w:cs="Arial"/>
      <w:color w:val="auto"/>
      <w:kern w:val="0"/>
      <w:sz w:val="20"/>
      <w:szCs w:val="21"/>
    </w:rPr>
  </w:style>
  <w:style w:type="paragraph" w:customStyle="1" w:styleId="1112">
    <w:name w:val="样式 表内小5中 + 下划线 居中"/>
    <w:basedOn w:val="955"/>
    <w:qFormat/>
    <w:uiPriority w:val="99"/>
    <w:pPr>
      <w:jc w:val="center"/>
    </w:pPr>
    <w:rPr>
      <w:szCs w:val="20"/>
      <w:u w:val="single"/>
    </w:rPr>
  </w:style>
  <w:style w:type="paragraph" w:customStyle="1" w:styleId="1113">
    <w:name w:val="尾消息标题"/>
    <w:basedOn w:val="1"/>
    <w:next w:val="32"/>
    <w:qFormat/>
    <w:uiPriority w:val="99"/>
    <w:pPr>
      <w:pBdr>
        <w:bottom w:val="single" w:color="auto" w:sz="6" w:space="19"/>
        <w:between w:val="single" w:color="auto" w:sz="6" w:space="19"/>
      </w:pBdr>
      <w:tabs>
        <w:tab w:val="left" w:pos="1260"/>
        <w:tab w:val="left" w:pos="2940"/>
      </w:tabs>
      <w:spacing w:line="0" w:lineRule="atLeast"/>
    </w:pPr>
    <w:rPr>
      <w:rFonts w:ascii="Times New Roman" w:hAnsi="Times New Roman" w:cs="Times New Roman"/>
      <w:sz w:val="18"/>
      <w:szCs w:val="18"/>
    </w:rPr>
  </w:style>
  <w:style w:type="paragraph" w:customStyle="1" w:styleId="1114">
    <w:name w:val="样式 标题 1 + 两端对齐1"/>
    <w:basedOn w:val="4"/>
    <w:qFormat/>
    <w:uiPriority w:val="99"/>
    <w:pPr>
      <w:keepLines/>
      <w:widowControl w:val="0"/>
      <w:tabs>
        <w:tab w:val="left" w:pos="720"/>
      </w:tabs>
      <w:spacing w:beforeLines="100" w:afterLines="100" w:line="312" w:lineRule="auto"/>
      <w:ind w:left="-4" w:firstLine="4"/>
      <w:jc w:val="both"/>
    </w:pPr>
    <w:rPr>
      <w:rFonts w:ascii="Times New Roman" w:hAnsi="Times New Roman" w:cs="宋体"/>
      <w:bCs/>
      <w:kern w:val="44"/>
      <w:szCs w:val="20"/>
    </w:rPr>
  </w:style>
  <w:style w:type="paragraph" w:customStyle="1" w:styleId="1115">
    <w:name w:val="特殊标题３"/>
    <w:basedOn w:val="1"/>
    <w:qFormat/>
    <w:uiPriority w:val="0"/>
    <w:pPr>
      <w:widowControl w:val="0"/>
      <w:overflowPunct w:val="0"/>
      <w:autoSpaceDE w:val="0"/>
      <w:autoSpaceDN w:val="0"/>
      <w:adjustRightInd w:val="0"/>
      <w:spacing w:line="360" w:lineRule="auto"/>
      <w:jc w:val="both"/>
    </w:pPr>
    <w:rPr>
      <w:rFonts w:ascii="Times New Roman" w:hAnsi="Times New Roman" w:eastAsia="仿宋_GB2312" w:cs="Times New Roman"/>
      <w:sz w:val="28"/>
      <w:szCs w:val="20"/>
    </w:rPr>
  </w:style>
  <w:style w:type="paragraph" w:customStyle="1" w:styleId="1116">
    <w:name w:val="Char Char Char Char Char Char Char Char Char Char Char Char Char Char Char"/>
    <w:basedOn w:val="1"/>
    <w:qFormat/>
    <w:uiPriority w:val="0"/>
    <w:pPr>
      <w:widowControl w:val="0"/>
      <w:jc w:val="both"/>
    </w:pPr>
    <w:rPr>
      <w:rFonts w:ascii="Times New Roman" w:hAnsi="Times New Roman" w:cs="Times New Roman"/>
      <w:kern w:val="2"/>
      <w:sz w:val="21"/>
    </w:rPr>
  </w:style>
  <w:style w:type="paragraph" w:customStyle="1" w:styleId="1117">
    <w:name w:val="正文样式1"/>
    <w:basedOn w:val="1"/>
    <w:qFormat/>
    <w:uiPriority w:val="99"/>
    <w:pPr>
      <w:widowControl w:val="0"/>
      <w:ind w:firstLine="200" w:firstLineChars="200"/>
      <w:jc w:val="both"/>
    </w:pPr>
    <w:rPr>
      <w:rFonts w:ascii="Times New Roman" w:hAnsi="Times New Roman" w:eastAsia="仿宋_GB2312" w:cs="Times New Roman"/>
      <w:kern w:val="2"/>
    </w:rPr>
  </w:style>
  <w:style w:type="paragraph" w:customStyle="1" w:styleId="1118">
    <w:name w:val="xl73"/>
    <w:basedOn w:val="1"/>
    <w:qFormat/>
    <w:uiPriority w:val="99"/>
    <w:pPr>
      <w:pBdr>
        <w:top w:val="single" w:color="auto" w:sz="4" w:space="0"/>
        <w:left w:val="single" w:color="auto" w:sz="4" w:space="0"/>
        <w:bottom w:val="single" w:color="auto" w:sz="4" w:space="0"/>
      </w:pBdr>
      <w:spacing w:before="100" w:beforeAutospacing="1" w:after="100" w:afterAutospacing="1"/>
      <w:jc w:val="right"/>
    </w:pPr>
    <w:rPr>
      <w:rFonts w:eastAsia="仿宋_GB2312" w:cs="Times New Roman"/>
      <w:position w:val="-6"/>
    </w:rPr>
  </w:style>
  <w:style w:type="paragraph" w:customStyle="1" w:styleId="1119">
    <w:name w:val="Char Char Char1 Char Char Char Char Char Char Char1"/>
    <w:basedOn w:val="1"/>
    <w:qFormat/>
    <w:uiPriority w:val="99"/>
    <w:pPr>
      <w:widowControl w:val="0"/>
      <w:jc w:val="both"/>
    </w:pPr>
    <w:rPr>
      <w:rFonts w:ascii="Times New Roman" w:hAnsi="Times New Roman" w:cs="Times New Roman"/>
      <w:kern w:val="2"/>
      <w:sz w:val="21"/>
    </w:rPr>
  </w:style>
  <w:style w:type="paragraph" w:customStyle="1" w:styleId="1120">
    <w:name w:val="列表 4G"/>
    <w:basedOn w:val="70"/>
    <w:qFormat/>
    <w:uiPriority w:val="99"/>
    <w:pPr>
      <w:tabs>
        <w:tab w:val="left" w:pos="645"/>
      </w:tabs>
      <w:topLinePunct w:val="0"/>
      <w:spacing w:beforeLines="50" w:afterLines="30" w:line="288" w:lineRule="auto"/>
      <w:ind w:left="645" w:leftChars="0" w:hanging="645" w:firstLineChars="0"/>
      <w:jc w:val="both"/>
    </w:pPr>
    <w:rPr>
      <w:rFonts w:ascii="Arial" w:hAnsi="Arial" w:eastAsia="宋体"/>
      <w:color w:val="CCFFFF"/>
      <w:sz w:val="24"/>
    </w:rPr>
  </w:style>
  <w:style w:type="paragraph" w:customStyle="1" w:styleId="1121">
    <w:name w:val="Char Char Char Char Char Char Char1"/>
    <w:basedOn w:val="1"/>
    <w:qFormat/>
    <w:uiPriority w:val="0"/>
    <w:pPr>
      <w:widowControl w:val="0"/>
      <w:jc w:val="both"/>
    </w:pPr>
    <w:rPr>
      <w:rFonts w:ascii="Times New Roman" w:hAnsi="Times New Roman" w:cs="Times New Roman"/>
      <w:kern w:val="2"/>
      <w:sz w:val="21"/>
    </w:rPr>
  </w:style>
  <w:style w:type="paragraph" w:customStyle="1" w:styleId="1122">
    <w:name w:val="表 头"/>
    <w:basedOn w:val="1"/>
    <w:qFormat/>
    <w:uiPriority w:val="99"/>
    <w:pPr>
      <w:widowControl w:val="0"/>
      <w:adjustRightInd w:val="0"/>
      <w:spacing w:before="120" w:after="120" w:line="360" w:lineRule="atLeast"/>
      <w:jc w:val="center"/>
    </w:pPr>
    <w:rPr>
      <w:rFonts w:ascii="Times New Roman" w:hAnsi="Times New Roman" w:eastAsia="黑体" w:cs="Times New Roman"/>
      <w:spacing w:val="10"/>
      <w:szCs w:val="20"/>
    </w:rPr>
  </w:style>
  <w:style w:type="paragraph" w:customStyle="1" w:styleId="1123">
    <w:name w:val="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24">
    <w:name w:val="xl38"/>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hint="eastAsia" w:ascii="仿宋_GB2312" w:hAnsi="Arial Unicode MS" w:eastAsia="仿宋_GB2312" w:cs="Arial Unicode MS"/>
      <w:szCs w:val="20"/>
    </w:rPr>
  </w:style>
  <w:style w:type="paragraph" w:customStyle="1" w:styleId="1125">
    <w:name w:val="表头王"/>
    <w:basedOn w:val="1"/>
    <w:qFormat/>
    <w:uiPriority w:val="99"/>
    <w:pPr>
      <w:widowControl w:val="0"/>
      <w:adjustRightInd w:val="0"/>
      <w:snapToGrid w:val="0"/>
      <w:spacing w:line="360" w:lineRule="auto"/>
      <w:jc w:val="center"/>
    </w:pPr>
    <w:rPr>
      <w:rFonts w:ascii="黑体" w:eastAsia="黑体" w:cs="Times New Roman"/>
      <w:b/>
      <w:kern w:val="2"/>
    </w:rPr>
  </w:style>
  <w:style w:type="paragraph" w:customStyle="1" w:styleId="1126">
    <w:name w:val="S表格"/>
    <w:basedOn w:val="1"/>
    <w:qFormat/>
    <w:uiPriority w:val="99"/>
    <w:pPr>
      <w:widowControl w:val="0"/>
      <w:spacing w:before="240" w:line="360" w:lineRule="auto"/>
      <w:jc w:val="both"/>
      <w:outlineLvl w:val="2"/>
    </w:pPr>
    <w:rPr>
      <w:rFonts w:ascii="Times New Roman" w:hAnsi="Times New Roman" w:cs="Times New Roman"/>
      <w:bCs/>
      <w:kern w:val="2"/>
    </w:rPr>
  </w:style>
  <w:style w:type="paragraph" w:customStyle="1" w:styleId="1127">
    <w:name w:val="xl59"/>
    <w:basedOn w:val="1"/>
    <w:qFormat/>
    <w:uiPriority w:val="99"/>
    <w:pPr>
      <w:pBdr>
        <w:top w:val="single" w:color="auto" w:sz="8" w:space="0"/>
        <w:bottom w:val="single" w:color="auto" w:sz="4" w:space="0"/>
        <w:right w:val="single" w:color="auto" w:sz="4" w:space="0"/>
      </w:pBdr>
      <w:spacing w:before="100" w:beforeAutospacing="1" w:after="100" w:afterAutospacing="1"/>
      <w:jc w:val="center"/>
    </w:pPr>
    <w:rPr>
      <w:rFonts w:eastAsia="仿宋_GB2312" w:cs="Times New Roman"/>
      <w:position w:val="-6"/>
      <w:szCs w:val="21"/>
    </w:rPr>
  </w:style>
  <w:style w:type="paragraph" w:customStyle="1" w:styleId="1128">
    <w:name w:val="Char Char Char2 Char Char Char Char Char Char Char Char Char Char"/>
    <w:basedOn w:val="1"/>
    <w:qFormat/>
    <w:uiPriority w:val="99"/>
    <w:pPr>
      <w:widowControl w:val="0"/>
      <w:jc w:val="both"/>
    </w:pPr>
    <w:rPr>
      <w:rFonts w:ascii="Times New Roman" w:hAnsi="Times New Roman" w:cs="Times New Roman"/>
      <w:kern w:val="2"/>
      <w:sz w:val="21"/>
    </w:rPr>
  </w:style>
  <w:style w:type="paragraph" w:customStyle="1" w:styleId="1129">
    <w:name w:val="Institution"/>
    <w:basedOn w:val="1"/>
    <w:next w:val="898"/>
    <w:qFormat/>
    <w:uiPriority w:val="99"/>
    <w:pPr>
      <w:tabs>
        <w:tab w:val="left" w:pos="2160"/>
        <w:tab w:val="right" w:pos="6480"/>
      </w:tabs>
      <w:spacing w:before="220" w:after="60" w:line="220" w:lineRule="atLeast"/>
      <w:ind w:right="-360"/>
    </w:pPr>
    <w:rPr>
      <w:rFonts w:ascii="Times New Roman" w:hAnsi="Times New Roman" w:cs="Times New Roman"/>
      <w:sz w:val="20"/>
      <w:szCs w:val="20"/>
    </w:rPr>
  </w:style>
  <w:style w:type="paragraph" w:customStyle="1" w:styleId="1130">
    <w:name w:val="13点"/>
    <w:basedOn w:val="1"/>
    <w:qFormat/>
    <w:uiPriority w:val="99"/>
    <w:pPr>
      <w:widowControl w:val="0"/>
      <w:adjustRightInd w:val="0"/>
      <w:snapToGrid w:val="0"/>
      <w:jc w:val="center"/>
    </w:pPr>
    <w:rPr>
      <w:rFonts w:cs="Times New Roman"/>
      <w:kern w:val="2"/>
      <w:szCs w:val="28"/>
    </w:rPr>
  </w:style>
  <w:style w:type="paragraph" w:customStyle="1" w:styleId="1131">
    <w:name w:val="正文表标题"/>
    <w:next w:val="8"/>
    <w:qFormat/>
    <w:uiPriority w:val="99"/>
    <w:pPr>
      <w:jc w:val="center"/>
    </w:pPr>
    <w:rPr>
      <w:rFonts w:ascii="黑体" w:hAnsi="Times New Roman" w:eastAsia="黑体" w:cs="Times New Roman"/>
      <w:sz w:val="21"/>
      <w:lang w:val="en-US" w:eastAsia="zh-CN" w:bidi="ar-SA"/>
    </w:rPr>
  </w:style>
  <w:style w:type="paragraph" w:customStyle="1" w:styleId="1132">
    <w:name w:val="列表 5T"/>
    <w:basedOn w:val="64"/>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133">
    <w:name w:val="yxp_表格内文字"/>
    <w:basedOn w:val="1"/>
    <w:qFormat/>
    <w:uiPriority w:val="0"/>
    <w:pPr>
      <w:widowControl w:val="0"/>
      <w:jc w:val="both"/>
    </w:pPr>
    <w:rPr>
      <w:rFonts w:ascii="Times New Roman" w:hAnsi="Times New Roman"/>
      <w:sz w:val="28"/>
    </w:rPr>
  </w:style>
  <w:style w:type="paragraph" w:customStyle="1" w:styleId="1134">
    <w:name w:val="表标题2.2"/>
    <w:basedOn w:val="1"/>
    <w:qFormat/>
    <w:uiPriority w:val="99"/>
    <w:pPr>
      <w:tabs>
        <w:tab w:val="left" w:pos="726"/>
        <w:tab w:val="left" w:pos="8207"/>
      </w:tabs>
      <w:adjustRightInd w:val="0"/>
      <w:snapToGrid w:val="0"/>
      <w:spacing w:before="240" w:line="0" w:lineRule="atLeast"/>
      <w:ind w:left="2" w:firstLine="4"/>
      <w:jc w:val="center"/>
      <w:textAlignment w:val="baseline"/>
    </w:pPr>
    <w:rPr>
      <w:rFonts w:ascii="Times New Roman" w:hAnsi="Times New Roman" w:eastAsia="黑体" w:cs="Times New Roman"/>
      <w:b/>
      <w:color w:val="000000"/>
      <w:kern w:val="2"/>
    </w:rPr>
  </w:style>
  <w:style w:type="paragraph" w:customStyle="1" w:styleId="1135">
    <w:name w:val="font0"/>
    <w:basedOn w:val="1"/>
    <w:qFormat/>
    <w:uiPriority w:val="99"/>
    <w:pPr>
      <w:spacing w:before="100" w:beforeAutospacing="1" w:after="100" w:afterAutospacing="1"/>
    </w:pPr>
    <w:rPr>
      <w:rFonts w:hint="eastAsia" w:cs="Arial Unicode MS"/>
      <w:szCs w:val="20"/>
    </w:rPr>
  </w:style>
  <w:style w:type="paragraph" w:customStyle="1" w:styleId="1136">
    <w:name w:val="0005左缩2"/>
    <w:basedOn w:val="1"/>
    <w:qFormat/>
    <w:uiPriority w:val="99"/>
    <w:pPr>
      <w:autoSpaceDE w:val="0"/>
      <w:autoSpaceDN w:val="0"/>
      <w:adjustRightInd w:val="0"/>
      <w:spacing w:afterLines="30" w:line="500" w:lineRule="exact"/>
      <w:ind w:firstLine="200" w:firstLineChars="200"/>
      <w:jc w:val="both"/>
    </w:pPr>
    <w:rPr>
      <w:rFonts w:cs="Times New Roman"/>
      <w:kern w:val="2"/>
      <w:sz w:val="28"/>
      <w:szCs w:val="28"/>
    </w:rPr>
  </w:style>
  <w:style w:type="paragraph" w:customStyle="1" w:styleId="1137">
    <w:name w:val="样式 样式 样式 正文首行缩进 + 黑体 四号 黑色 + 右侧:  -0.47 字符 + 左侧:  1.52 厘米 首行缩进:..."/>
    <w:basedOn w:val="8"/>
    <w:next w:val="8"/>
    <w:qFormat/>
    <w:uiPriority w:val="99"/>
    <w:pPr>
      <w:widowControl w:val="0"/>
      <w:tabs>
        <w:tab w:val="left" w:pos="360"/>
        <w:tab w:val="left" w:pos="1680"/>
        <w:tab w:val="left" w:pos="3316"/>
      </w:tabs>
      <w:spacing w:line="360" w:lineRule="auto"/>
      <w:ind w:left="1680" w:hanging="420"/>
      <w:jc w:val="both"/>
    </w:pPr>
    <w:rPr>
      <w:rFonts w:ascii="宋体" w:hAnsi="Arial" w:cs="Times New Roman"/>
      <w:bCs/>
      <w:kern w:val="2"/>
      <w:sz w:val="28"/>
      <w:lang w:val="en-US"/>
    </w:rPr>
  </w:style>
  <w:style w:type="paragraph" w:customStyle="1" w:styleId="1138">
    <w:name w:val="表4.14－1"/>
    <w:basedOn w:val="1"/>
    <w:qFormat/>
    <w:uiPriority w:val="99"/>
    <w:pPr>
      <w:widowControl w:val="0"/>
      <w:tabs>
        <w:tab w:val="left" w:pos="726"/>
        <w:tab w:val="center" w:pos="4060"/>
        <w:tab w:val="right" w:pos="8261"/>
      </w:tabs>
      <w:suppressAutoHyphens/>
      <w:adjustRightInd w:val="0"/>
      <w:spacing w:beforeLines="100" w:line="0" w:lineRule="atLeast"/>
      <w:ind w:left="2" w:firstLine="4"/>
      <w:jc w:val="center"/>
    </w:pPr>
    <w:rPr>
      <w:rFonts w:ascii="黑体" w:hAnsi="Times New Roman" w:eastAsia="黑体"/>
      <w:b/>
      <w:bCs/>
      <w:spacing w:val="6"/>
      <w:szCs w:val="20"/>
    </w:rPr>
  </w:style>
  <w:style w:type="paragraph" w:customStyle="1" w:styleId="1139">
    <w:name w:val="样式5"/>
    <w:basedOn w:val="6"/>
    <w:link w:val="1140"/>
    <w:qFormat/>
    <w:uiPriority w:val="99"/>
    <w:pPr>
      <w:widowControl w:val="0"/>
      <w:adjustRightInd w:val="0"/>
      <w:snapToGrid w:val="0"/>
      <w:spacing w:line="360" w:lineRule="auto"/>
      <w:ind w:firstLine="420"/>
      <w:textAlignment w:val="baseline"/>
    </w:pPr>
    <w:rPr>
      <w:rFonts w:ascii="Times New Roman" w:hAnsi="Times New Roman"/>
      <w:sz w:val="24"/>
    </w:rPr>
  </w:style>
  <w:style w:type="character" w:customStyle="1" w:styleId="1140">
    <w:name w:val="样式5 Char"/>
    <w:link w:val="1139"/>
    <w:qFormat/>
    <w:uiPriority w:val="99"/>
    <w:rPr>
      <w:sz w:val="24"/>
    </w:rPr>
  </w:style>
  <w:style w:type="paragraph" w:customStyle="1" w:styleId="1141">
    <w:name w:val="样式 样式 首行缩进:  2 字符 + 首行缩进:  2 字符"/>
    <w:basedOn w:val="1"/>
    <w:qFormat/>
    <w:uiPriority w:val="99"/>
    <w:pPr>
      <w:widowControl w:val="0"/>
      <w:ind w:firstLine="587" w:firstLineChars="200"/>
      <w:jc w:val="both"/>
    </w:pPr>
    <w:rPr>
      <w:rFonts w:hAnsi="Times New Roman" w:cs="Times New Roman"/>
      <w:kern w:val="2"/>
      <w:sz w:val="27"/>
      <w:szCs w:val="27"/>
    </w:rPr>
  </w:style>
  <w:style w:type="paragraph" w:customStyle="1" w:styleId="1142">
    <w:name w:val="列表 2E"/>
    <w:basedOn w:val="35"/>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143">
    <w:name w:val="样式 样式 样式 正文首行缩进 + 首行缩进:  2 字符 + 首行缩进:  2 字符 + 首行缩进:  2 字符"/>
    <w:basedOn w:val="1"/>
    <w:qFormat/>
    <w:uiPriority w:val="99"/>
    <w:pPr>
      <w:tabs>
        <w:tab w:val="left" w:pos="628"/>
        <w:tab w:val="left" w:pos="1727"/>
        <w:tab w:val="left" w:pos="1884"/>
        <w:tab w:val="left" w:pos="2660"/>
        <w:tab w:val="left" w:pos="5460"/>
      </w:tabs>
      <w:autoSpaceDE w:val="0"/>
      <w:snapToGrid w:val="0"/>
      <w:spacing w:line="360" w:lineRule="auto"/>
      <w:ind w:firstLine="200" w:firstLineChars="200"/>
    </w:pPr>
    <w:rPr>
      <w:rFonts w:hAnsi="Times New Roman"/>
      <w:snapToGrid w:val="0"/>
      <w:color w:val="000000"/>
      <w:sz w:val="28"/>
      <w:szCs w:val="20"/>
    </w:rPr>
  </w:style>
  <w:style w:type="paragraph" w:customStyle="1" w:styleId="1144">
    <w:name w:val="正文表格"/>
    <w:basedOn w:val="1"/>
    <w:qFormat/>
    <w:uiPriority w:val="0"/>
    <w:pPr>
      <w:keepNext/>
      <w:keepLines/>
      <w:widowControl w:val="0"/>
      <w:tabs>
        <w:tab w:val="center" w:pos="6804"/>
      </w:tabs>
      <w:overflowPunct w:val="0"/>
      <w:adjustRightInd w:val="0"/>
      <w:spacing w:before="80"/>
      <w:jc w:val="center"/>
      <w:textAlignment w:val="bottom"/>
    </w:pPr>
    <w:rPr>
      <w:rFonts w:ascii="Times New Roman" w:hAnsi="Times New Roman" w:cs="Times New Roman"/>
      <w:sz w:val="28"/>
      <w:szCs w:val="20"/>
    </w:rPr>
  </w:style>
  <w:style w:type="paragraph" w:customStyle="1" w:styleId="1145">
    <w:name w:val="CM11"/>
    <w:basedOn w:val="103"/>
    <w:next w:val="103"/>
    <w:qFormat/>
    <w:uiPriority w:val="99"/>
    <w:pPr>
      <w:spacing w:line="456" w:lineRule="atLeast"/>
    </w:pPr>
    <w:rPr>
      <w:rFonts w:ascii="宋体" w:cs="宋体"/>
      <w:color w:val="auto"/>
    </w:rPr>
  </w:style>
  <w:style w:type="paragraph" w:customStyle="1" w:styleId="1146">
    <w:name w:val="Personal Info"/>
    <w:basedOn w:val="898"/>
    <w:qFormat/>
    <w:uiPriority w:val="99"/>
    <w:pPr>
      <w:spacing w:before="220"/>
    </w:pPr>
  </w:style>
  <w:style w:type="paragraph" w:customStyle="1" w:styleId="1147">
    <w:name w:val="符号说明"/>
    <w:basedOn w:val="1"/>
    <w:qFormat/>
    <w:uiPriority w:val="99"/>
    <w:pPr>
      <w:widowControl w:val="0"/>
      <w:tabs>
        <w:tab w:val="left" w:pos="1260"/>
        <w:tab w:val="left" w:pos="3780"/>
        <w:tab w:val="left" w:pos="4680"/>
      </w:tabs>
      <w:spacing w:line="360" w:lineRule="auto"/>
      <w:ind w:firstLine="840" w:firstLineChars="400"/>
      <w:jc w:val="both"/>
    </w:pPr>
    <w:rPr>
      <w:rFonts w:ascii="Times New Roman" w:hAnsi="Times New Roman" w:cs="Times New Roman"/>
      <w:kern w:val="2"/>
      <w:sz w:val="21"/>
      <w:szCs w:val="21"/>
    </w:rPr>
  </w:style>
  <w:style w:type="paragraph" w:customStyle="1" w:styleId="1148">
    <w:name w:val="二级条标题"/>
    <w:basedOn w:val="1149"/>
    <w:next w:val="1"/>
    <w:qFormat/>
    <w:uiPriority w:val="99"/>
    <w:pPr>
      <w:tabs>
        <w:tab w:val="left" w:pos="360"/>
        <w:tab w:val="left" w:pos="709"/>
        <w:tab w:val="left" w:pos="851"/>
        <w:tab w:val="left" w:pos="903"/>
        <w:tab w:val="left" w:pos="1260"/>
        <w:tab w:val="left" w:pos="1680"/>
      </w:tabs>
      <w:ind w:left="1680"/>
      <w:outlineLvl w:val="3"/>
    </w:pPr>
  </w:style>
  <w:style w:type="paragraph" w:customStyle="1" w:styleId="1149">
    <w:name w:val="一级条标题"/>
    <w:basedOn w:val="4"/>
    <w:next w:val="1"/>
    <w:qFormat/>
    <w:uiPriority w:val="99"/>
    <w:pPr>
      <w:tabs>
        <w:tab w:val="left" w:pos="360"/>
        <w:tab w:val="left" w:pos="709"/>
        <w:tab w:val="left" w:pos="903"/>
        <w:tab w:val="left" w:pos="1260"/>
      </w:tabs>
      <w:spacing w:beforeLines="100" w:afterLines="100"/>
      <w:ind w:left="1260" w:hanging="420"/>
      <w:jc w:val="both"/>
      <w:outlineLvl w:val="2"/>
    </w:pPr>
    <w:rPr>
      <w:rFonts w:ascii="黑体" w:hAnsi="Times New Roman"/>
      <w:b/>
      <w:kern w:val="0"/>
      <w:sz w:val="21"/>
      <w:szCs w:val="20"/>
    </w:rPr>
  </w:style>
  <w:style w:type="paragraph" w:customStyle="1" w:styleId="1150">
    <w:name w:val="表内宋5中"/>
    <w:basedOn w:val="6"/>
    <w:qFormat/>
    <w:uiPriority w:val="99"/>
    <w:pPr>
      <w:widowControl w:val="0"/>
      <w:autoSpaceDE w:val="0"/>
      <w:autoSpaceDN w:val="0"/>
      <w:adjustRightInd w:val="0"/>
      <w:snapToGrid w:val="0"/>
      <w:spacing w:line="240" w:lineRule="auto"/>
      <w:ind w:firstLine="0"/>
      <w:jc w:val="center"/>
    </w:pPr>
    <w:rPr>
      <w:rFonts w:ascii="宋体" w:hAnsi="宋体"/>
      <w:sz w:val="20"/>
    </w:rPr>
  </w:style>
  <w:style w:type="paragraph" w:customStyle="1" w:styleId="1151">
    <w:name w:val="环正文"/>
    <w:basedOn w:val="1"/>
    <w:semiHidden/>
    <w:qFormat/>
    <w:uiPriority w:val="99"/>
    <w:pPr>
      <w:tabs>
        <w:tab w:val="left" w:pos="5094"/>
      </w:tabs>
      <w:adjustRightInd w:val="0"/>
      <w:spacing w:line="440" w:lineRule="exact"/>
      <w:ind w:firstLine="464" w:firstLineChars="200"/>
      <w:jc w:val="both"/>
      <w:textAlignment w:val="baseline"/>
    </w:pPr>
    <w:rPr>
      <w:rFonts w:cs="Times New Roman"/>
      <w:color w:val="000000"/>
      <w:spacing w:val="-4"/>
      <w:szCs w:val="20"/>
    </w:rPr>
  </w:style>
  <w:style w:type="paragraph" w:customStyle="1" w:styleId="1152">
    <w:name w:val="WPS Plain"/>
    <w:qFormat/>
    <w:uiPriority w:val="99"/>
    <w:rPr>
      <w:rFonts w:ascii="Times New Roman" w:hAnsi="Times New Roman" w:eastAsia="宋体" w:cs="Times New Roman"/>
      <w:lang w:val="en-US" w:eastAsia="zh-CN" w:bidi="ar-SA"/>
    </w:rPr>
  </w:style>
  <w:style w:type="paragraph" w:customStyle="1" w:styleId="1153">
    <w:name w:val="样式 标题 4常用标题 4 + 段前: 6 磅 段后: 6 磅 行距: 固定值 26 磅"/>
    <w:basedOn w:val="8"/>
    <w:qFormat/>
    <w:uiPriority w:val="99"/>
    <w:pPr>
      <w:widowControl w:val="0"/>
      <w:tabs>
        <w:tab w:val="left" w:pos="360"/>
        <w:tab w:val="left" w:pos="800"/>
        <w:tab w:val="left" w:pos="1440"/>
      </w:tabs>
      <w:spacing w:before="120" w:after="120" w:line="520" w:lineRule="exact"/>
      <w:jc w:val="both"/>
    </w:pPr>
    <w:rPr>
      <w:rFonts w:ascii="Arial" w:hAnsi="Arial" w:eastAsia="黑体"/>
      <w:bCs/>
      <w:sz w:val="28"/>
      <w:lang w:val="en-US"/>
    </w:rPr>
  </w:style>
  <w:style w:type="paragraph" w:customStyle="1" w:styleId="1154">
    <w:name w:val="内蒙正文"/>
    <w:basedOn w:val="1"/>
    <w:qFormat/>
    <w:uiPriority w:val="99"/>
    <w:pPr>
      <w:widowControl w:val="0"/>
      <w:spacing w:line="480" w:lineRule="exact"/>
      <w:ind w:firstLine="560" w:firstLineChars="200"/>
      <w:jc w:val="both"/>
    </w:pPr>
    <w:rPr>
      <w:rFonts w:ascii="Times New Roman" w:eastAsia="Times New Roman" w:cs="Times New Roman"/>
      <w:color w:val="FF0000"/>
      <w:spacing w:val="20"/>
      <w:kern w:val="2"/>
    </w:rPr>
  </w:style>
  <w:style w:type="paragraph" w:customStyle="1" w:styleId="1155">
    <w:name w:val="xl70"/>
    <w:basedOn w:val="1"/>
    <w:qFormat/>
    <w:uiPriority w:val="99"/>
    <w:pPr>
      <w:pBdr>
        <w:bottom w:val="single" w:color="auto" w:sz="4" w:space="0"/>
      </w:pBdr>
      <w:spacing w:before="100" w:beforeAutospacing="1" w:after="100" w:afterAutospacing="1"/>
      <w:jc w:val="right"/>
    </w:pPr>
    <w:rPr>
      <w:rFonts w:eastAsia="仿宋_GB2312" w:cs="Times New Roman"/>
      <w:position w:val="-6"/>
      <w:szCs w:val="21"/>
    </w:rPr>
  </w:style>
  <w:style w:type="paragraph" w:customStyle="1" w:styleId="1156">
    <w:name w:val="样式 表标题3.10 + 段前: 1 行"/>
    <w:basedOn w:val="920"/>
    <w:qFormat/>
    <w:uiPriority w:val="99"/>
    <w:pPr>
      <w:tabs>
        <w:tab w:val="left" w:pos="726"/>
        <w:tab w:val="clear" w:pos="4060"/>
        <w:tab w:val="clear" w:pos="8261"/>
      </w:tabs>
      <w:ind w:left="2" w:firstLine="4"/>
    </w:pPr>
    <w:rPr>
      <w:rFonts w:cs="宋体"/>
      <w:bCs/>
      <w:spacing w:val="0"/>
    </w:rPr>
  </w:style>
  <w:style w:type="paragraph" w:customStyle="1" w:styleId="1157">
    <w:name w:val="码头表"/>
    <w:basedOn w:val="1"/>
    <w:qFormat/>
    <w:uiPriority w:val="99"/>
    <w:pPr>
      <w:widowControl w:val="0"/>
      <w:jc w:val="center"/>
    </w:pPr>
    <w:rPr>
      <w:rFonts w:cs="Times New Roman"/>
      <w:color w:val="000000"/>
      <w:kern w:val="2"/>
      <w:sz w:val="18"/>
    </w:rPr>
  </w:style>
  <w:style w:type="paragraph" w:customStyle="1" w:styleId="1158">
    <w:name w:val="lyh正文"/>
    <w:basedOn w:val="1"/>
    <w:qFormat/>
    <w:uiPriority w:val="0"/>
    <w:pPr>
      <w:widowControl w:val="0"/>
      <w:adjustRightInd w:val="0"/>
      <w:snapToGrid w:val="0"/>
      <w:spacing w:line="360" w:lineRule="auto"/>
      <w:ind w:firstLine="200" w:firstLineChars="200"/>
    </w:pPr>
    <w:rPr>
      <w:rFonts w:cs="Times New Roman"/>
      <w:bCs/>
      <w:kern w:val="2"/>
      <w:sz w:val="28"/>
      <w:szCs w:val="32"/>
    </w:rPr>
  </w:style>
  <w:style w:type="paragraph" w:customStyle="1" w:styleId="1159">
    <w:name w:val="表格标题"/>
    <w:basedOn w:val="1"/>
    <w:next w:val="1"/>
    <w:link w:val="1160"/>
    <w:qFormat/>
    <w:uiPriority w:val="0"/>
    <w:pPr>
      <w:adjustRightInd w:val="0"/>
      <w:snapToGrid w:val="0"/>
      <w:ind w:firstLine="200" w:firstLineChars="200"/>
      <w:jc w:val="center"/>
    </w:pPr>
    <w:rPr>
      <w:rFonts w:ascii="Times New Roman" w:hAnsi="Times New Roman" w:eastAsia="黑体" w:cs="黑体"/>
      <w:b/>
      <w:sz w:val="21"/>
      <w:szCs w:val="22"/>
    </w:rPr>
  </w:style>
  <w:style w:type="character" w:customStyle="1" w:styleId="1160">
    <w:name w:val="表格标题 Char Char"/>
    <w:link w:val="1159"/>
    <w:qFormat/>
    <w:uiPriority w:val="0"/>
    <w:rPr>
      <w:rFonts w:eastAsia="黑体" w:cs="黑体"/>
      <w:b/>
      <w:sz w:val="21"/>
      <w:szCs w:val="22"/>
    </w:rPr>
  </w:style>
  <w:style w:type="paragraph" w:customStyle="1" w:styleId="1161">
    <w:name w:val="CM65"/>
    <w:basedOn w:val="103"/>
    <w:next w:val="103"/>
    <w:qFormat/>
    <w:uiPriority w:val="99"/>
    <w:pPr>
      <w:spacing w:after="418"/>
    </w:pPr>
    <w:rPr>
      <w:color w:val="auto"/>
    </w:rPr>
  </w:style>
  <w:style w:type="paragraph" w:customStyle="1" w:styleId="1162">
    <w:name w:val="样式 标题 2 + Times New Roman 小三 居中 行距: 单倍行距"/>
    <w:basedOn w:val="5"/>
    <w:qFormat/>
    <w:uiPriority w:val="99"/>
    <w:pPr>
      <w:spacing w:before="260" w:after="260" w:line="240" w:lineRule="auto"/>
      <w:ind w:firstLine="538" w:firstLineChars="192"/>
    </w:pPr>
    <w:rPr>
      <w:rFonts w:ascii="Times New Roman" w:hAnsi="Times New Roman" w:cs="宋体"/>
      <w:b/>
      <w:bCs w:val="0"/>
      <w:sz w:val="30"/>
      <w:szCs w:val="20"/>
    </w:rPr>
  </w:style>
  <w:style w:type="paragraph" w:customStyle="1" w:styleId="1163">
    <w:name w:val="表格式"/>
    <w:basedOn w:val="60"/>
    <w:qFormat/>
    <w:uiPriority w:val="99"/>
    <w:pPr>
      <w:spacing w:beforeLines="50" w:afterLines="50" w:line="200" w:lineRule="exact"/>
      <w:ind w:left="0" w:firstLine="0"/>
      <w:jc w:val="center"/>
    </w:pPr>
    <w:rPr>
      <w:rFonts w:hint="default" w:ascii="Times New Roman" w:eastAsia="宋体"/>
      <w:kern w:val="0"/>
      <w:sz w:val="20"/>
      <w:szCs w:val="20"/>
    </w:rPr>
  </w:style>
  <w:style w:type="paragraph" w:customStyle="1" w:styleId="1164">
    <w:name w:val="样式 样式 题注 + (西文) 宋体 + 段后: 1 行"/>
    <w:basedOn w:val="1"/>
    <w:qFormat/>
    <w:uiPriority w:val="99"/>
    <w:pPr>
      <w:keepNext/>
      <w:widowControl w:val="0"/>
      <w:spacing w:line="360" w:lineRule="auto"/>
      <w:ind w:firstLine="200" w:firstLineChars="200"/>
    </w:pPr>
    <w:rPr>
      <w:color w:val="000000"/>
      <w:kern w:val="2"/>
      <w:sz w:val="28"/>
      <w:szCs w:val="20"/>
    </w:rPr>
  </w:style>
  <w:style w:type="paragraph" w:customStyle="1" w:styleId="1165">
    <w:name w:val="列表 2G"/>
    <w:basedOn w:val="35"/>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166">
    <w:name w:val="列表1"/>
    <w:basedOn w:val="35"/>
    <w:qFormat/>
    <w:uiPriority w:val="0"/>
    <w:pPr>
      <w:widowControl/>
      <w:snapToGrid/>
      <w:jc w:val="left"/>
    </w:pPr>
    <w:rPr>
      <w:rFonts w:ascii="Times New Roman"/>
      <w:kern w:val="0"/>
    </w:rPr>
  </w:style>
  <w:style w:type="paragraph" w:customStyle="1" w:styleId="1167">
    <w:name w:val="封面标准文稿编辑信息"/>
    <w:qFormat/>
    <w:uiPriority w:val="99"/>
    <w:pPr>
      <w:spacing w:before="180" w:line="180" w:lineRule="exact"/>
      <w:jc w:val="center"/>
    </w:pPr>
    <w:rPr>
      <w:rFonts w:ascii="宋体" w:hAnsi="Times New Roman" w:eastAsia="宋体" w:cs="Times New Roman"/>
      <w:sz w:val="21"/>
      <w:lang w:val="en-US" w:eastAsia="zh-CN" w:bidi="ar-SA"/>
    </w:rPr>
  </w:style>
  <w:style w:type="paragraph" w:customStyle="1" w:styleId="1168">
    <w:name w:val="CM12"/>
    <w:basedOn w:val="1"/>
    <w:next w:val="1"/>
    <w:qFormat/>
    <w:uiPriority w:val="99"/>
    <w:pPr>
      <w:widowControl w:val="0"/>
      <w:autoSpaceDE w:val="0"/>
      <w:autoSpaceDN w:val="0"/>
      <w:adjustRightInd w:val="0"/>
      <w:spacing w:line="456" w:lineRule="atLeast"/>
    </w:pPr>
    <w:rPr>
      <w:rFonts w:hAnsi="Times New Roman"/>
    </w:rPr>
  </w:style>
  <w:style w:type="paragraph" w:customStyle="1" w:styleId="1169">
    <w:name w:val="标题样式2"/>
    <w:basedOn w:val="5"/>
    <w:qFormat/>
    <w:uiPriority w:val="99"/>
    <w:pPr>
      <w:keepNext w:val="0"/>
      <w:keepLines w:val="0"/>
      <w:widowControl w:val="0"/>
      <w:tabs>
        <w:tab w:val="left" w:pos="1260"/>
        <w:tab w:val="left" w:pos="4142"/>
        <w:tab w:val="left" w:pos="6833"/>
        <w:tab w:val="left" w:pos="9030"/>
        <w:tab w:val="left" w:pos="9287"/>
      </w:tabs>
      <w:overflowPunct w:val="0"/>
      <w:topLinePunct/>
      <w:autoSpaceDE w:val="0"/>
      <w:autoSpaceDN w:val="0"/>
      <w:adjustRightInd w:val="0"/>
      <w:snapToGrid w:val="0"/>
      <w:spacing w:beforeLines="5" w:afterLines="5" w:line="360" w:lineRule="atLeast"/>
      <w:ind w:left="1260" w:hanging="420"/>
      <w:jc w:val="center"/>
      <w:textAlignment w:val="baseline"/>
      <w:outlineLvl w:val="9"/>
    </w:pPr>
    <w:rPr>
      <w:rFonts w:ascii="Times New Roman" w:hAnsi="Times New Roman" w:eastAsia="宋体"/>
      <w:sz w:val="24"/>
      <w:szCs w:val="20"/>
    </w:rPr>
  </w:style>
  <w:style w:type="paragraph" w:customStyle="1" w:styleId="1170">
    <w:name w:val="T表格"/>
    <w:semiHidden/>
    <w:qFormat/>
    <w:uiPriority w:val="99"/>
    <w:pPr>
      <w:adjustRightInd w:val="0"/>
      <w:snapToGrid w:val="0"/>
      <w:spacing w:line="360" w:lineRule="auto"/>
      <w:jc w:val="center"/>
    </w:pPr>
    <w:rPr>
      <w:rFonts w:ascii="Times New Roman" w:hAnsi="Times New Roman" w:eastAsia="宋体" w:cs="Times New Roman"/>
      <w:color w:val="000000"/>
      <w:sz w:val="21"/>
      <w:lang w:val="en-US" w:eastAsia="zh-CN" w:bidi="ar-SA"/>
    </w:rPr>
  </w:style>
  <w:style w:type="paragraph" w:customStyle="1" w:styleId="1171">
    <w:name w:val="Name"/>
    <w:basedOn w:val="1"/>
    <w:next w:val="1"/>
    <w:qFormat/>
    <w:uiPriority w:val="99"/>
    <w:pPr>
      <w:spacing w:after="440" w:line="240" w:lineRule="atLeast"/>
      <w:ind w:left="2160"/>
    </w:pPr>
    <w:rPr>
      <w:rFonts w:ascii="Times New Roman" w:hAnsi="Times New Roman" w:cs="Times New Roman"/>
      <w:spacing w:val="-20"/>
      <w:sz w:val="48"/>
      <w:szCs w:val="20"/>
    </w:rPr>
  </w:style>
  <w:style w:type="paragraph" w:customStyle="1" w:styleId="1172">
    <w:name w:val="表16.4-1"/>
    <w:basedOn w:val="1"/>
    <w:qFormat/>
    <w:uiPriority w:val="99"/>
    <w:pPr>
      <w:widowControl w:val="0"/>
      <w:tabs>
        <w:tab w:val="left" w:pos="726"/>
        <w:tab w:val="center" w:pos="4060"/>
        <w:tab w:val="right" w:pos="8261"/>
      </w:tabs>
      <w:suppressAutoHyphens/>
      <w:adjustRightInd w:val="0"/>
      <w:spacing w:beforeLines="100" w:line="0" w:lineRule="atLeast"/>
      <w:ind w:left="2" w:firstLine="4"/>
      <w:jc w:val="center"/>
    </w:pPr>
    <w:rPr>
      <w:rFonts w:ascii="黑体" w:hAnsi="Times New Roman" w:eastAsia="黑体"/>
      <w:b/>
      <w:bCs/>
      <w:spacing w:val="6"/>
      <w:szCs w:val="20"/>
    </w:rPr>
  </w:style>
  <w:style w:type="paragraph" w:customStyle="1" w:styleId="1173">
    <w:name w:val="小表左密"/>
    <w:basedOn w:val="1"/>
    <w:qFormat/>
    <w:uiPriority w:val="99"/>
    <w:pPr>
      <w:keepNext/>
      <w:widowControl w:val="0"/>
      <w:adjustRightInd w:val="0"/>
      <w:snapToGrid w:val="0"/>
      <w:spacing w:line="240" w:lineRule="atLeast"/>
      <w:jc w:val="both"/>
    </w:pPr>
    <w:rPr>
      <w:rFonts w:cs="Times New Roman"/>
      <w:kern w:val="2"/>
      <w:sz w:val="18"/>
      <w:szCs w:val="18"/>
    </w:rPr>
  </w:style>
  <w:style w:type="paragraph" w:customStyle="1" w:styleId="1174">
    <w:name w:val="样式 标题 1 + 黑体 三号"/>
    <w:basedOn w:val="4"/>
    <w:qFormat/>
    <w:uiPriority w:val="99"/>
    <w:pPr>
      <w:keepNext/>
      <w:keepLines/>
      <w:topLinePunct/>
      <w:autoSpaceDE w:val="0"/>
      <w:autoSpaceDN w:val="0"/>
      <w:adjustRightInd w:val="0"/>
      <w:snapToGrid w:val="0"/>
      <w:spacing w:before="340" w:after="330"/>
      <w:ind w:firstLine="538" w:firstLineChars="224"/>
      <w:jc w:val="both"/>
    </w:pPr>
    <w:rPr>
      <w:rFonts w:ascii="黑体" w:hAnsi="黑体"/>
      <w:b/>
      <w:snapToGrid w:val="0"/>
      <w:kern w:val="44"/>
      <w:szCs w:val="44"/>
    </w:rPr>
  </w:style>
  <w:style w:type="paragraph" w:customStyle="1" w:styleId="1175">
    <w:name w:val="xl66"/>
    <w:basedOn w:val="1"/>
    <w:qFormat/>
    <w:uiPriority w:val="99"/>
    <w:pPr>
      <w:pBdr>
        <w:bottom w:val="single" w:color="auto" w:sz="8" w:space="0"/>
      </w:pBdr>
      <w:spacing w:before="100" w:beforeAutospacing="1" w:after="100" w:afterAutospacing="1"/>
      <w:jc w:val="right"/>
    </w:pPr>
    <w:rPr>
      <w:rFonts w:eastAsia="仿宋_GB2312" w:cs="Times New Roman"/>
      <w:b/>
      <w:bCs/>
      <w:position w:val="-6"/>
      <w:szCs w:val="21"/>
    </w:rPr>
  </w:style>
  <w:style w:type="paragraph" w:customStyle="1" w:styleId="1176">
    <w:name w:val="环保篇"/>
    <w:basedOn w:val="1"/>
    <w:qFormat/>
    <w:uiPriority w:val="99"/>
    <w:pPr>
      <w:widowControl w:val="0"/>
      <w:tabs>
        <w:tab w:val="left" w:pos="360"/>
      </w:tabs>
      <w:adjustRightInd w:val="0"/>
      <w:spacing w:line="360" w:lineRule="auto"/>
      <w:jc w:val="both"/>
      <w:textAlignment w:val="baseline"/>
    </w:pPr>
    <w:rPr>
      <w:rFonts w:ascii="Times New Roman" w:hAnsi="Times New Roman" w:cs="Times New Roman"/>
      <w:kern w:val="2"/>
      <w:sz w:val="28"/>
      <w:szCs w:val="20"/>
    </w:rPr>
  </w:style>
  <w:style w:type="paragraph" w:customStyle="1" w:styleId="1177">
    <w:name w:val="表标题5.9"/>
    <w:basedOn w:val="1"/>
    <w:qFormat/>
    <w:uiPriority w:val="99"/>
    <w:pPr>
      <w:widowControl w:val="0"/>
      <w:tabs>
        <w:tab w:val="left" w:pos="1653"/>
      </w:tabs>
      <w:spacing w:beforeLines="100" w:line="0" w:lineRule="atLeast"/>
      <w:ind w:left="993" w:hanging="420"/>
      <w:jc w:val="both"/>
    </w:pPr>
    <w:rPr>
      <w:rFonts w:ascii="Times New Roman" w:hAnsi="Times New Roman" w:eastAsia="黑体" w:cs="Times New Roman"/>
      <w:b/>
      <w:kern w:val="2"/>
    </w:rPr>
  </w:style>
  <w:style w:type="paragraph" w:customStyle="1" w:styleId="1178">
    <w:name w:val="说明书正文"/>
    <w:basedOn w:val="1"/>
    <w:link w:val="1179"/>
    <w:qFormat/>
    <w:uiPriority w:val="99"/>
    <w:pPr>
      <w:widowControl w:val="0"/>
      <w:spacing w:line="560" w:lineRule="exact"/>
      <w:ind w:firstLine="200" w:firstLineChars="200"/>
      <w:jc w:val="both"/>
    </w:pPr>
    <w:rPr>
      <w:rFonts w:ascii="Arial Unicode MS" w:hAnsi="Arial Unicode MS" w:eastAsia="幼圆"/>
      <w:kern w:val="2"/>
      <w:szCs w:val="28"/>
    </w:rPr>
  </w:style>
  <w:style w:type="character" w:customStyle="1" w:styleId="1179">
    <w:name w:val="说明书正文 Char"/>
    <w:link w:val="1178"/>
    <w:qFormat/>
    <w:uiPriority w:val="99"/>
    <w:rPr>
      <w:rFonts w:ascii="Arial Unicode MS" w:hAnsi="Arial Unicode MS" w:eastAsia="幼圆" w:cs="宋体"/>
      <w:kern w:val="2"/>
      <w:sz w:val="24"/>
      <w:szCs w:val="28"/>
    </w:rPr>
  </w:style>
  <w:style w:type="paragraph" w:customStyle="1" w:styleId="1180">
    <w:name w:val="样式 表格文字居中 + 右侧:  -0.06 字符1"/>
    <w:basedOn w:val="564"/>
    <w:qFormat/>
    <w:uiPriority w:val="99"/>
    <w:pPr>
      <w:keepNext/>
      <w:adjustRightInd/>
      <w:snapToGrid/>
      <w:spacing w:line="0" w:lineRule="atLeast"/>
      <w:ind w:left="-6"/>
    </w:pPr>
    <w:rPr>
      <w:rFonts w:cs="宋体"/>
      <w:kern w:val="2"/>
      <w:sz w:val="18"/>
      <w:szCs w:val="20"/>
    </w:rPr>
  </w:style>
  <w:style w:type="paragraph" w:customStyle="1" w:styleId="1181">
    <w:name w:val="列表 5I"/>
    <w:basedOn w:val="64"/>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182">
    <w:name w:val="样式 正文首行缩进 + 四号 首行缩进:  2 字符"/>
    <w:basedOn w:val="79"/>
    <w:qFormat/>
    <w:uiPriority w:val="99"/>
    <w:pPr>
      <w:widowControl w:val="0"/>
      <w:tabs>
        <w:tab w:val="left" w:pos="628"/>
        <w:tab w:val="left" w:pos="1727"/>
        <w:tab w:val="left" w:pos="1884"/>
        <w:tab w:val="left" w:pos="4900"/>
      </w:tabs>
      <w:autoSpaceDE w:val="0"/>
      <w:autoSpaceDN w:val="0"/>
      <w:adjustRightInd w:val="0"/>
      <w:snapToGrid w:val="0"/>
      <w:spacing w:after="0" w:line="360" w:lineRule="auto"/>
      <w:ind w:firstLine="0" w:firstLineChars="0"/>
      <w:jc w:val="left"/>
    </w:pPr>
    <w:rPr>
      <w:sz w:val="28"/>
      <w:szCs w:val="28"/>
      <w:lang w:val="zh-CN"/>
    </w:rPr>
  </w:style>
  <w:style w:type="paragraph" w:customStyle="1" w:styleId="1183">
    <w:name w:val="样式 标题 51)项标5标题 5 Char1) Char项 Char一级项 +"/>
    <w:basedOn w:val="9"/>
    <w:qFormat/>
    <w:uiPriority w:val="99"/>
    <w:pPr>
      <w:keepNext w:val="0"/>
      <w:keepLines w:val="0"/>
      <w:tabs>
        <w:tab w:val="left" w:pos="2138"/>
      </w:tabs>
      <w:topLinePunct w:val="0"/>
      <w:adjustRightInd w:val="0"/>
      <w:spacing w:before="0" w:after="0" w:line="360" w:lineRule="auto"/>
      <w:ind w:hanging="992" w:firstLineChars="0"/>
      <w:textAlignment w:val="baseline"/>
    </w:pPr>
    <w:rPr>
      <w:rFonts w:ascii="宋体" w:hAnsi="宋体" w:eastAsia="宋体"/>
      <w:b w:val="0"/>
      <w:bCs w:val="0"/>
      <w:color w:val="000000"/>
    </w:rPr>
  </w:style>
  <w:style w:type="paragraph" w:customStyle="1" w:styleId="1184">
    <w:name w:val="xl32"/>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szCs w:val="20"/>
    </w:rPr>
  </w:style>
  <w:style w:type="paragraph" w:customStyle="1" w:styleId="1185">
    <w:name w:val="列表 2D"/>
    <w:basedOn w:val="35"/>
    <w:qFormat/>
    <w:uiPriority w:val="99"/>
    <w:pPr>
      <w:tabs>
        <w:tab w:val="left" w:pos="885"/>
      </w:tabs>
      <w:snapToGrid/>
      <w:spacing w:before="100" w:beforeAutospacing="1" w:after="100" w:afterAutospacing="1" w:line="288" w:lineRule="auto"/>
      <w:ind w:left="885" w:hanging="315"/>
      <w:jc w:val="both"/>
    </w:pPr>
    <w:rPr>
      <w:rFonts w:ascii="Arial" w:hAnsi="Arial"/>
      <w:color w:val="FFFF99"/>
      <w:sz w:val="24"/>
    </w:rPr>
  </w:style>
  <w:style w:type="paragraph" w:customStyle="1" w:styleId="1186">
    <w:name w:val="列表 3L"/>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187">
    <w:name w:val="我的标题3"/>
    <w:basedOn w:val="1"/>
    <w:qFormat/>
    <w:uiPriority w:val="99"/>
    <w:pPr>
      <w:widowControl w:val="0"/>
      <w:jc w:val="both"/>
    </w:pPr>
    <w:rPr>
      <w:rFonts w:ascii="Times New Roman" w:hAnsi="Times New Roman" w:cs="Times New Roman"/>
      <w:b/>
      <w:kern w:val="2"/>
      <w:sz w:val="28"/>
    </w:rPr>
  </w:style>
  <w:style w:type="paragraph" w:customStyle="1" w:styleId="1188">
    <w:name w:val="Char Char Char1 Char12"/>
    <w:basedOn w:val="1"/>
    <w:qFormat/>
    <w:uiPriority w:val="0"/>
    <w:pPr>
      <w:widowControl w:val="0"/>
      <w:jc w:val="both"/>
    </w:pPr>
    <w:rPr>
      <w:rFonts w:ascii="Times New Roman" w:hAnsi="Times New Roman" w:cs="Times New Roman"/>
      <w:kern w:val="2"/>
      <w:sz w:val="21"/>
    </w:rPr>
  </w:style>
  <w:style w:type="paragraph" w:customStyle="1" w:styleId="1189">
    <w:name w:val="xl46"/>
    <w:basedOn w:val="1"/>
    <w:qFormat/>
    <w:uiPriority w:val="99"/>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190">
    <w:name w:val="101"/>
    <w:basedOn w:val="1"/>
    <w:qFormat/>
    <w:uiPriority w:val="99"/>
    <w:pPr>
      <w:spacing w:before="100" w:beforeAutospacing="1" w:after="100" w:afterAutospacing="1"/>
    </w:pPr>
    <w:rPr>
      <w:rFonts w:ascii="Arial Unicode MS" w:hAnsi="Arial Unicode MS" w:eastAsia="Arial Unicode MS" w:cs="Arial Unicode MS"/>
    </w:rPr>
  </w:style>
  <w:style w:type="paragraph" w:customStyle="1" w:styleId="1191">
    <w:name w:val="表内5中"/>
    <w:basedOn w:val="1"/>
    <w:qFormat/>
    <w:uiPriority w:val="99"/>
    <w:pPr>
      <w:widowControl w:val="0"/>
      <w:jc w:val="center"/>
    </w:pPr>
    <w:rPr>
      <w:rFonts w:hAnsi="Times New Roman" w:cs="Times New Roman"/>
      <w:kern w:val="2"/>
      <w:sz w:val="21"/>
      <w:szCs w:val="21"/>
    </w:rPr>
  </w:style>
  <w:style w:type="paragraph" w:customStyle="1" w:styleId="1192">
    <w:name w:val="样式 仿宋_GB2312 四号 行距: 1.5 倍行距 首行缩进:  2 字符"/>
    <w:basedOn w:val="1"/>
    <w:qFormat/>
    <w:uiPriority w:val="0"/>
    <w:pPr>
      <w:widowControl w:val="0"/>
      <w:spacing w:line="360" w:lineRule="auto"/>
      <w:ind w:firstLine="560" w:firstLineChars="200"/>
      <w:jc w:val="both"/>
    </w:pPr>
    <w:rPr>
      <w:rFonts w:ascii="仿宋_GB2312" w:hAnsi="Times New Roman" w:eastAsia="仿宋_GB2312" w:cs="Times New Roman"/>
      <w:kern w:val="2"/>
      <w:sz w:val="28"/>
      <w:szCs w:val="20"/>
    </w:rPr>
  </w:style>
  <w:style w:type="paragraph" w:customStyle="1" w:styleId="1193">
    <w:name w:val="列表 2B"/>
    <w:basedOn w:val="35"/>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194">
    <w:name w:val="样式 表标题5.12 + 居中 段前: 1 行"/>
    <w:basedOn w:val="819"/>
    <w:qFormat/>
    <w:uiPriority w:val="99"/>
    <w:pPr>
      <w:tabs>
        <w:tab w:val="left" w:pos="726"/>
        <w:tab w:val="clear" w:pos="4060"/>
        <w:tab w:val="clear" w:pos="8261"/>
      </w:tabs>
      <w:spacing w:beforeLines="0"/>
      <w:ind w:left="2" w:firstLine="4"/>
      <w:jc w:val="center"/>
    </w:pPr>
    <w:rPr>
      <w:rFonts w:cs="宋体"/>
      <w:bCs/>
      <w:szCs w:val="20"/>
    </w:rPr>
  </w:style>
  <w:style w:type="paragraph" w:customStyle="1" w:styleId="1195">
    <w:name w:val="xl63"/>
    <w:basedOn w:val="1"/>
    <w:qFormat/>
    <w:uiPriority w:val="99"/>
    <w:pPr>
      <w:pBdr>
        <w:left w:val="single" w:color="auto" w:sz="4" w:space="0"/>
        <w:bottom w:val="single" w:color="auto" w:sz="8" w:space="0"/>
      </w:pBdr>
      <w:spacing w:before="100" w:beforeAutospacing="1" w:after="100" w:afterAutospacing="1"/>
      <w:jc w:val="center"/>
    </w:pPr>
    <w:rPr>
      <w:rFonts w:eastAsia="仿宋_GB2312" w:cs="Times New Roman"/>
      <w:b/>
      <w:bCs/>
      <w:position w:val="-6"/>
    </w:rPr>
  </w:style>
  <w:style w:type="paragraph" w:customStyle="1" w:styleId="1196">
    <w:name w:val="Char Char Char Char Char Char Char Char Char Char Char Char1 Char Char Char Char Char Char Char Char Char Char Char Char1 Char1"/>
    <w:basedOn w:val="1"/>
    <w:next w:val="1"/>
    <w:qFormat/>
    <w:uiPriority w:val="99"/>
    <w:pPr>
      <w:widowControl w:val="0"/>
      <w:spacing w:line="336" w:lineRule="auto"/>
      <w:ind w:firstLine="200" w:firstLineChars="200"/>
      <w:jc w:val="both"/>
    </w:pPr>
    <w:rPr>
      <w:rFonts w:eastAsia="汉鼎简书宋"/>
      <w:kern w:val="2"/>
    </w:rPr>
  </w:style>
  <w:style w:type="paragraph" w:customStyle="1" w:styleId="1197">
    <w:name w:val="Company Name One"/>
    <w:basedOn w:val="1087"/>
    <w:next w:val="1"/>
    <w:qFormat/>
    <w:uiPriority w:val="99"/>
  </w:style>
  <w:style w:type="paragraph" w:customStyle="1" w:styleId="1198">
    <w:name w:val="材料正文"/>
    <w:basedOn w:val="1"/>
    <w:link w:val="1199"/>
    <w:qFormat/>
    <w:uiPriority w:val="99"/>
    <w:pPr>
      <w:widowControl w:val="0"/>
      <w:adjustRightInd w:val="0"/>
      <w:snapToGrid w:val="0"/>
      <w:spacing w:line="480" w:lineRule="exact"/>
      <w:ind w:firstLine="480" w:firstLineChars="200"/>
      <w:jc w:val="both"/>
    </w:pPr>
    <w:rPr>
      <w:rFonts w:ascii="Times New Roman" w:hAnsi="Times New Roman" w:eastAsia="方正仿宋简体"/>
      <w:kern w:val="2"/>
      <w:szCs w:val="20"/>
    </w:rPr>
  </w:style>
  <w:style w:type="character" w:customStyle="1" w:styleId="1199">
    <w:name w:val="材料正文 Char"/>
    <w:link w:val="1198"/>
    <w:qFormat/>
    <w:uiPriority w:val="99"/>
    <w:rPr>
      <w:rFonts w:eastAsia="方正仿宋简体" w:cs="宋体"/>
      <w:kern w:val="2"/>
      <w:sz w:val="24"/>
    </w:rPr>
  </w:style>
  <w:style w:type="paragraph" w:customStyle="1" w:styleId="1200">
    <w:name w:val="列表 4N"/>
    <w:basedOn w:val="70"/>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201">
    <w:name w:val="正文样式一"/>
    <w:basedOn w:val="1"/>
    <w:qFormat/>
    <w:uiPriority w:val="99"/>
    <w:pPr>
      <w:widowControl w:val="0"/>
      <w:adjustRightInd w:val="0"/>
      <w:spacing w:line="400" w:lineRule="atLeast"/>
      <w:ind w:firstLine="510"/>
      <w:jc w:val="both"/>
      <w:textAlignment w:val="baseline"/>
    </w:pPr>
    <w:rPr>
      <w:rFonts w:ascii="Times New Roman" w:hAnsi="Times New Roman" w:cs="Times New Roman"/>
      <w:szCs w:val="20"/>
    </w:rPr>
  </w:style>
  <w:style w:type="paragraph" w:customStyle="1" w:styleId="1202">
    <w:name w:val="样式 样式 样式 标题 3条标题头标题3H3h33rd level第二层条标题 3 Char小标题小节标题标题 3 C...3 ..."/>
    <w:basedOn w:val="248"/>
    <w:qFormat/>
    <w:uiPriority w:val="0"/>
    <w:rPr>
      <w:color w:val="000000"/>
    </w:rPr>
  </w:style>
  <w:style w:type="paragraph" w:customStyle="1" w:styleId="1203">
    <w:name w:val="条文1"/>
    <w:basedOn w:val="1"/>
    <w:qFormat/>
    <w:uiPriority w:val="99"/>
    <w:pPr>
      <w:widowControl w:val="0"/>
      <w:autoSpaceDE w:val="0"/>
      <w:autoSpaceDN w:val="0"/>
      <w:adjustRightInd w:val="0"/>
      <w:spacing w:line="460" w:lineRule="exact"/>
      <w:ind w:left="907" w:hanging="425"/>
      <w:textAlignment w:val="baseline"/>
    </w:pPr>
    <w:rPr>
      <w:rFonts w:hAnsi="Times New Roman" w:cs="Times New Roman"/>
      <w:spacing w:val="3"/>
      <w:kern w:val="24"/>
      <w:sz w:val="26"/>
      <w:szCs w:val="20"/>
    </w:rPr>
  </w:style>
  <w:style w:type="paragraph" w:customStyle="1" w:styleId="1204">
    <w:name w:val="font10"/>
    <w:basedOn w:val="1"/>
    <w:qFormat/>
    <w:uiPriority w:val="99"/>
    <w:pPr>
      <w:spacing w:before="100" w:beforeAutospacing="1" w:after="100" w:afterAutospacing="1"/>
    </w:pPr>
    <w:rPr>
      <w:rFonts w:hint="eastAsia" w:cs="Arial Unicode MS"/>
      <w:b/>
      <w:bCs/>
      <w:sz w:val="36"/>
      <w:szCs w:val="36"/>
    </w:rPr>
  </w:style>
  <w:style w:type="paragraph" w:customStyle="1" w:styleId="1205">
    <w:name w:val="Char Char Char1 Char1 Char Char Char2"/>
    <w:basedOn w:val="1"/>
    <w:qFormat/>
    <w:uiPriority w:val="99"/>
    <w:pPr>
      <w:widowControl w:val="0"/>
      <w:jc w:val="both"/>
    </w:pPr>
    <w:rPr>
      <w:rFonts w:ascii="Times New Roman" w:hAnsi="Times New Roman" w:cs="Times New Roman"/>
      <w:kern w:val="2"/>
      <w:sz w:val="21"/>
    </w:rPr>
  </w:style>
  <w:style w:type="paragraph" w:customStyle="1" w:styleId="1206">
    <w:name w:val="SCIDI正文"/>
    <w:basedOn w:val="1"/>
    <w:qFormat/>
    <w:uiPriority w:val="99"/>
    <w:pPr>
      <w:widowControl w:val="0"/>
      <w:adjustRightInd w:val="0"/>
      <w:snapToGrid w:val="0"/>
      <w:spacing w:line="360" w:lineRule="auto"/>
      <w:ind w:firstLine="560" w:firstLineChars="200"/>
      <w:jc w:val="both"/>
    </w:pPr>
    <w:rPr>
      <w:rFonts w:ascii="Times New Roman" w:hAnsi="Times New Roman" w:eastAsia="仿宋_GB2312" w:cs="Times New Roman"/>
      <w:kern w:val="2"/>
      <w:sz w:val="28"/>
      <w:szCs w:val="20"/>
    </w:rPr>
  </w:style>
  <w:style w:type="paragraph" w:customStyle="1" w:styleId="1207">
    <w:name w:val="标题10"/>
    <w:basedOn w:val="1"/>
    <w:next w:val="1"/>
    <w:qFormat/>
    <w:uiPriority w:val="0"/>
    <w:pPr>
      <w:widowControl w:val="0"/>
      <w:tabs>
        <w:tab w:val="left" w:pos="360"/>
      </w:tabs>
      <w:snapToGrid w:val="0"/>
      <w:spacing w:before="120" w:after="120"/>
      <w:jc w:val="both"/>
    </w:pPr>
    <w:rPr>
      <w:rFonts w:ascii="Times New Roman" w:hAnsi="Times New Roman" w:eastAsia="楷体_GB2312" w:cs="Times New Roman"/>
      <w:b/>
      <w:bCs/>
      <w:kern w:val="2"/>
      <w:sz w:val="30"/>
      <w:szCs w:val="30"/>
    </w:rPr>
  </w:style>
  <w:style w:type="paragraph" w:customStyle="1" w:styleId="1208">
    <w:name w:val="列表 3A"/>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209">
    <w:name w:val="表标题4.5"/>
    <w:basedOn w:val="1"/>
    <w:qFormat/>
    <w:uiPriority w:val="99"/>
    <w:pPr>
      <w:widowControl w:val="0"/>
      <w:tabs>
        <w:tab w:val="center" w:pos="4060"/>
        <w:tab w:val="right" w:pos="8261"/>
      </w:tabs>
      <w:suppressAutoHyphens/>
      <w:adjustRightInd w:val="0"/>
      <w:spacing w:before="240" w:line="0" w:lineRule="atLeast"/>
      <w:jc w:val="both"/>
    </w:pPr>
    <w:rPr>
      <w:rFonts w:ascii="黑体" w:hAnsi="Times New Roman" w:eastAsia="黑体" w:cs="Times New Roman"/>
      <w:b/>
      <w:spacing w:val="6"/>
      <w:sz w:val="26"/>
      <w:szCs w:val="26"/>
    </w:rPr>
  </w:style>
  <w:style w:type="paragraph" w:customStyle="1" w:styleId="1210">
    <w:name w:val="列表D"/>
    <w:basedOn w:val="60"/>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211">
    <w:name w:val="font16"/>
    <w:basedOn w:val="1"/>
    <w:qFormat/>
    <w:uiPriority w:val="99"/>
    <w:pPr>
      <w:spacing w:before="100" w:beforeAutospacing="1" w:after="100" w:afterAutospacing="1"/>
    </w:pPr>
    <w:rPr>
      <w:rFonts w:hint="eastAsia" w:cs="Arial Unicode MS"/>
      <w:sz w:val="20"/>
      <w:szCs w:val="20"/>
      <w:u w:val="single"/>
    </w:rPr>
  </w:style>
  <w:style w:type="paragraph" w:customStyle="1" w:styleId="1212">
    <w:name w:val="样式 表标题4.5 + 居中"/>
    <w:basedOn w:val="1209"/>
    <w:qFormat/>
    <w:uiPriority w:val="99"/>
    <w:pPr>
      <w:tabs>
        <w:tab w:val="left" w:pos="726"/>
        <w:tab w:val="clear" w:pos="4060"/>
        <w:tab w:val="clear" w:pos="8261"/>
      </w:tabs>
      <w:ind w:left="2" w:firstLine="4"/>
      <w:jc w:val="center"/>
    </w:pPr>
    <w:rPr>
      <w:rFonts w:cs="宋体"/>
      <w:bCs/>
      <w:szCs w:val="20"/>
    </w:rPr>
  </w:style>
  <w:style w:type="paragraph" w:customStyle="1" w:styleId="1213">
    <w:name w:val="Char Char Char1"/>
    <w:basedOn w:val="1"/>
    <w:qFormat/>
    <w:uiPriority w:val="0"/>
    <w:pPr>
      <w:widowControl w:val="0"/>
      <w:spacing w:beforeLines="100"/>
      <w:jc w:val="both"/>
    </w:pPr>
    <w:rPr>
      <w:rFonts w:ascii="Times New Roman" w:hAnsi="Times New Roman" w:cs="Times New Roman"/>
      <w:kern w:val="2"/>
      <w:sz w:val="21"/>
    </w:rPr>
  </w:style>
  <w:style w:type="paragraph" w:customStyle="1" w:styleId="1214">
    <w:name w:val="标标题13.1"/>
    <w:basedOn w:val="1"/>
    <w:qFormat/>
    <w:uiPriority w:val="99"/>
    <w:pPr>
      <w:widowControl w:val="0"/>
      <w:tabs>
        <w:tab w:val="left" w:pos="726"/>
        <w:tab w:val="center" w:pos="4060"/>
        <w:tab w:val="right" w:pos="8261"/>
      </w:tabs>
      <w:suppressAutoHyphens/>
      <w:adjustRightInd w:val="0"/>
      <w:spacing w:before="240" w:line="0" w:lineRule="atLeast"/>
      <w:ind w:left="2" w:firstLine="4"/>
      <w:jc w:val="center"/>
    </w:pPr>
    <w:rPr>
      <w:rFonts w:ascii="黑体" w:hAnsi="Times New Roman" w:eastAsia="黑体" w:cs="Times New Roman"/>
      <w:b/>
      <w:spacing w:val="6"/>
    </w:rPr>
  </w:style>
  <w:style w:type="paragraph" w:customStyle="1" w:styleId="1215">
    <w:name w:val="图片"/>
    <w:basedOn w:val="1"/>
    <w:next w:val="1"/>
    <w:qFormat/>
    <w:uiPriority w:val="99"/>
    <w:pPr>
      <w:keepNext/>
      <w:spacing w:line="360" w:lineRule="auto"/>
      <w:jc w:val="center"/>
    </w:pPr>
    <w:rPr>
      <w:rFonts w:ascii="Times New Roman" w:hAnsi="Times New Roman" w:eastAsia="仿宋_GB2312" w:cs="Times New Roman"/>
      <w:b/>
      <w:bCs/>
      <w:color w:val="000000"/>
      <w:kern w:val="2"/>
      <w:szCs w:val="20"/>
      <w:lang w:val="zh-CN"/>
    </w:rPr>
  </w:style>
  <w:style w:type="paragraph" w:customStyle="1" w:styleId="1216">
    <w:name w:val="列表 4X"/>
    <w:basedOn w:val="70"/>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217">
    <w:name w:val="xl34"/>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Unicode MS" w:hAnsi="Arial Unicode MS" w:eastAsia="Arial Unicode MS" w:cs="Arial Unicode MS"/>
      <w:szCs w:val="20"/>
    </w:rPr>
  </w:style>
  <w:style w:type="paragraph" w:customStyle="1" w:styleId="1218">
    <w:name w:val="列表 5O"/>
    <w:basedOn w:val="64"/>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219">
    <w:name w:val="样式 正文文字 + 左 首行缩进:  2 字符 行距: 1.5 倍行距"/>
    <w:basedOn w:val="32"/>
    <w:qFormat/>
    <w:uiPriority w:val="99"/>
    <w:pPr>
      <w:widowControl w:val="0"/>
      <w:spacing w:line="360" w:lineRule="auto"/>
      <w:ind w:firstLine="560" w:firstLineChars="200"/>
    </w:pPr>
    <w:rPr>
      <w:rFonts w:ascii="Times New Roman" w:hAnsi="Times New Roman"/>
      <w:color w:val="auto"/>
      <w:kern w:val="0"/>
      <w:szCs w:val="24"/>
    </w:rPr>
  </w:style>
  <w:style w:type="paragraph" w:customStyle="1" w:styleId="1220">
    <w:name w:val="Char1 Char Char Char Char Char Char2 Char Char Char Char Char Char Char Char Char Char Char Char Char Char Char Char Char Char"/>
    <w:basedOn w:val="1"/>
    <w:qFormat/>
    <w:uiPriority w:val="0"/>
    <w:pPr>
      <w:widowControl w:val="0"/>
      <w:jc w:val="both"/>
    </w:pPr>
    <w:rPr>
      <w:rFonts w:ascii="Times New Roman" w:hAnsi="Times New Roman" w:cs="Times New Roman"/>
      <w:kern w:val="2"/>
      <w:sz w:val="21"/>
    </w:rPr>
  </w:style>
  <w:style w:type="paragraph" w:customStyle="1" w:styleId="1221">
    <w:name w:val="样式 燕山正文 + 首行缩进:  3.5 字符"/>
    <w:basedOn w:val="763"/>
    <w:qFormat/>
    <w:uiPriority w:val="99"/>
    <w:pPr>
      <w:shd w:val="clear" w:color="auto" w:fill="auto"/>
      <w:jc w:val="both"/>
    </w:pPr>
    <w:rPr>
      <w:color w:val="000000"/>
      <w:szCs w:val="20"/>
    </w:rPr>
  </w:style>
  <w:style w:type="paragraph" w:customStyle="1" w:styleId="1222">
    <w:name w:val="正文首行缩进2"/>
    <w:basedOn w:val="32"/>
    <w:qFormat/>
    <w:uiPriority w:val="99"/>
    <w:pPr>
      <w:widowControl w:val="0"/>
      <w:adjustRightInd w:val="0"/>
      <w:spacing w:line="312" w:lineRule="auto"/>
      <w:ind w:firstLine="567"/>
      <w:jc w:val="both"/>
      <w:textAlignment w:val="baseline"/>
    </w:pPr>
    <w:rPr>
      <w:rFonts w:ascii="Times New Roman" w:hAnsi="Times New Roman"/>
      <w:color w:val="auto"/>
      <w:kern w:val="0"/>
      <w:sz w:val="28"/>
      <w:szCs w:val="24"/>
    </w:rPr>
  </w:style>
  <w:style w:type="paragraph" w:customStyle="1" w:styleId="1223">
    <w:name w:val="表标题2.1"/>
    <w:basedOn w:val="801"/>
    <w:qFormat/>
    <w:uiPriority w:val="99"/>
    <w:pPr>
      <w:tabs>
        <w:tab w:val="left" w:pos="3060"/>
        <w:tab w:val="clear" w:pos="8207"/>
      </w:tabs>
      <w:ind w:left="2400" w:hanging="420"/>
    </w:pPr>
  </w:style>
  <w:style w:type="paragraph" w:customStyle="1" w:styleId="1224">
    <w:name w:val="表标题5.3"/>
    <w:basedOn w:val="1"/>
    <w:qFormat/>
    <w:uiPriority w:val="99"/>
    <w:pPr>
      <w:widowControl w:val="0"/>
      <w:tabs>
        <w:tab w:val="left" w:pos="726"/>
      </w:tabs>
      <w:spacing w:beforeLines="100" w:line="0" w:lineRule="atLeast"/>
      <w:ind w:left="2" w:firstLine="4"/>
      <w:jc w:val="both"/>
    </w:pPr>
    <w:rPr>
      <w:rFonts w:ascii="Times New Roman" w:hAnsi="Times New Roman" w:eastAsia="黑体" w:cs="Times New Roman"/>
      <w:b/>
      <w:kern w:val="2"/>
    </w:rPr>
  </w:style>
  <w:style w:type="paragraph" w:customStyle="1" w:styleId="1225">
    <w:name w:val="样式1"/>
    <w:basedOn w:val="1"/>
    <w:qFormat/>
    <w:uiPriority w:val="99"/>
    <w:pPr>
      <w:widowControl w:val="0"/>
      <w:spacing w:line="560" w:lineRule="exact"/>
      <w:ind w:firstLine="567"/>
      <w:jc w:val="both"/>
    </w:pPr>
    <w:rPr>
      <w:rFonts w:ascii="Times New Roman" w:hAnsi="Times New Roman" w:cs="Times New Roman"/>
      <w:kern w:val="2"/>
      <w:szCs w:val="20"/>
    </w:rPr>
  </w:style>
  <w:style w:type="paragraph" w:customStyle="1" w:styleId="1226">
    <w:name w:val="标题 3，第三标题"/>
    <w:basedOn w:val="1"/>
    <w:qFormat/>
    <w:uiPriority w:val="99"/>
    <w:pPr>
      <w:widowControl w:val="0"/>
      <w:tabs>
        <w:tab w:val="left" w:pos="628"/>
        <w:tab w:val="left" w:pos="1727"/>
        <w:tab w:val="left" w:pos="1840"/>
        <w:tab w:val="left" w:pos="1884"/>
        <w:tab w:val="left" w:pos="2520"/>
        <w:tab w:val="left" w:pos="2660"/>
        <w:tab w:val="left" w:pos="5460"/>
      </w:tabs>
      <w:snapToGrid w:val="0"/>
      <w:spacing w:beforeLines="50" w:afterLines="50" w:line="440" w:lineRule="exact"/>
      <w:ind w:left="1840" w:hanging="720"/>
      <w:outlineLvl w:val="2"/>
    </w:pPr>
    <w:rPr>
      <w:rFonts w:ascii="Times New Roman" w:hAnsi="Times New Roman" w:eastAsia="黑体"/>
      <w:kern w:val="2"/>
      <w:szCs w:val="20"/>
    </w:rPr>
  </w:style>
  <w:style w:type="paragraph" w:customStyle="1" w:styleId="1227">
    <w:name w:val="报告表格"/>
    <w:basedOn w:val="1"/>
    <w:qFormat/>
    <w:uiPriority w:val="99"/>
    <w:pPr>
      <w:widowControl w:val="0"/>
      <w:autoSpaceDE w:val="0"/>
      <w:autoSpaceDN w:val="0"/>
      <w:adjustRightInd w:val="0"/>
      <w:spacing w:before="40" w:after="40"/>
      <w:jc w:val="center"/>
      <w:textAlignment w:val="bottom"/>
    </w:pPr>
    <w:rPr>
      <w:rFonts w:ascii="Times New Roman" w:hAnsi="Times New Roman" w:cs="Times New Roman"/>
      <w:sz w:val="21"/>
      <w:szCs w:val="20"/>
    </w:rPr>
  </w:style>
  <w:style w:type="paragraph" w:customStyle="1" w:styleId="1228">
    <w:name w:val="段"/>
    <w:semiHidden/>
    <w:qFormat/>
    <w:uiPriority w:val="99"/>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229">
    <w:name w:val="1正文段落"/>
    <w:basedOn w:val="1"/>
    <w:qFormat/>
    <w:uiPriority w:val="99"/>
    <w:pPr>
      <w:widowControl w:val="0"/>
      <w:spacing w:line="360" w:lineRule="auto"/>
      <w:ind w:firstLine="200" w:firstLineChars="200"/>
    </w:pPr>
    <w:rPr>
      <w:rFonts w:ascii="Times New Roman" w:hAnsi="Times New Roman" w:cs="Times New Roman"/>
      <w:snapToGrid w:val="0"/>
    </w:rPr>
  </w:style>
  <w:style w:type="paragraph" w:customStyle="1" w:styleId="1230">
    <w:name w:val="表标题4.9"/>
    <w:basedOn w:val="1"/>
    <w:qFormat/>
    <w:uiPriority w:val="99"/>
    <w:pPr>
      <w:widowControl w:val="0"/>
      <w:tabs>
        <w:tab w:val="center" w:pos="4060"/>
        <w:tab w:val="right" w:pos="8261"/>
      </w:tabs>
      <w:suppressAutoHyphens/>
      <w:adjustRightInd w:val="0"/>
      <w:spacing w:before="240" w:line="0" w:lineRule="atLeast"/>
      <w:jc w:val="both"/>
    </w:pPr>
    <w:rPr>
      <w:rFonts w:ascii="黑体" w:hAnsi="Times New Roman" w:eastAsia="黑体" w:cs="Times New Roman"/>
      <w:b/>
      <w:spacing w:val="6"/>
      <w:sz w:val="26"/>
      <w:szCs w:val="26"/>
    </w:rPr>
  </w:style>
  <w:style w:type="paragraph" w:customStyle="1" w:styleId="1231">
    <w:name w:val="样式 表格文字居中 + 段前: 自动 行距: 单倍行距"/>
    <w:basedOn w:val="1"/>
    <w:qFormat/>
    <w:uiPriority w:val="99"/>
    <w:pPr>
      <w:widowControl w:val="0"/>
      <w:tabs>
        <w:tab w:val="left" w:pos="0"/>
        <w:tab w:val="left" w:pos="628"/>
        <w:tab w:val="left" w:pos="700"/>
        <w:tab w:val="left" w:pos="1400"/>
        <w:tab w:val="left" w:pos="1884"/>
      </w:tabs>
      <w:adjustRightInd w:val="0"/>
      <w:snapToGrid w:val="0"/>
    </w:pPr>
    <w:rPr>
      <w:kern w:val="2"/>
      <w:sz w:val="21"/>
      <w:szCs w:val="28"/>
    </w:rPr>
  </w:style>
  <w:style w:type="paragraph" w:customStyle="1" w:styleId="1232">
    <w:name w:val="德胜三级标题"/>
    <w:basedOn w:val="1"/>
    <w:qFormat/>
    <w:uiPriority w:val="99"/>
    <w:pPr>
      <w:keepNext/>
      <w:keepLines/>
      <w:widowControl w:val="0"/>
      <w:adjustRightInd w:val="0"/>
      <w:snapToGrid w:val="0"/>
      <w:spacing w:line="360" w:lineRule="auto"/>
      <w:outlineLvl w:val="2"/>
    </w:pPr>
    <w:rPr>
      <w:rFonts w:ascii="Times New Roman" w:hAnsi="Times New Roman" w:cs="Times New Roman"/>
      <w:b/>
      <w:bCs/>
      <w:snapToGrid w:val="0"/>
      <w:color w:val="0000FF"/>
    </w:rPr>
  </w:style>
  <w:style w:type="paragraph" w:customStyle="1" w:styleId="1233">
    <w:name w:val="font6"/>
    <w:basedOn w:val="1"/>
    <w:qFormat/>
    <w:uiPriority w:val="99"/>
    <w:pPr>
      <w:spacing w:before="100" w:beforeAutospacing="1" w:after="100" w:afterAutospacing="1"/>
    </w:pPr>
    <w:rPr>
      <w:rFonts w:hint="eastAsia" w:cs="Arial Unicode MS"/>
      <w:b/>
      <w:bCs/>
      <w:sz w:val="32"/>
      <w:szCs w:val="32"/>
    </w:rPr>
  </w:style>
  <w:style w:type="paragraph" w:customStyle="1" w:styleId="1234">
    <w:name w:val="xl24"/>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szCs w:val="20"/>
    </w:rPr>
  </w:style>
  <w:style w:type="paragraph" w:customStyle="1" w:styleId="1235">
    <w:name w:val="标题1.5"/>
    <w:basedOn w:val="939"/>
    <w:next w:val="316"/>
    <w:qFormat/>
    <w:uiPriority w:val="99"/>
    <w:rPr>
      <w:szCs w:val="28"/>
    </w:rPr>
  </w:style>
  <w:style w:type="paragraph" w:customStyle="1" w:styleId="1236">
    <w:name w:val="xl62"/>
    <w:basedOn w:val="1"/>
    <w:qFormat/>
    <w:uiPriority w:val="99"/>
    <w:pPr>
      <w:pBdr>
        <w:top w:val="single" w:color="auto" w:sz="4" w:space="0"/>
        <w:left w:val="single" w:color="auto" w:sz="4" w:space="0"/>
      </w:pBdr>
      <w:spacing w:before="100" w:beforeAutospacing="1" w:after="100" w:afterAutospacing="1"/>
      <w:jc w:val="center"/>
    </w:pPr>
    <w:rPr>
      <w:rFonts w:eastAsia="仿宋_GB2312" w:cs="Times New Roman"/>
      <w:b/>
      <w:bCs/>
      <w:position w:val="-6"/>
    </w:rPr>
  </w:style>
  <w:style w:type="paragraph" w:customStyle="1" w:styleId="1237">
    <w:name w:val="xl35"/>
    <w:basedOn w:val="1"/>
    <w:qFormat/>
    <w:uiPriority w:val="99"/>
    <w:pPr>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Cs w:val="20"/>
    </w:rPr>
  </w:style>
  <w:style w:type="paragraph" w:customStyle="1" w:styleId="1238">
    <w:name w:val="附录"/>
    <w:basedOn w:val="4"/>
    <w:next w:val="1"/>
    <w:qFormat/>
    <w:uiPriority w:val="99"/>
    <w:pPr>
      <w:keepNext/>
      <w:keepLines/>
      <w:tabs>
        <w:tab w:val="left" w:pos="720"/>
      </w:tabs>
      <w:spacing w:after="220" w:line="700" w:lineRule="exact"/>
      <w:ind w:left="680" w:hanging="680"/>
      <w:jc w:val="center"/>
    </w:pPr>
    <w:rPr>
      <w:rFonts w:ascii="Times New Roman" w:hAnsi="Times New Roman" w:eastAsia="宋体"/>
      <w:spacing w:val="-10"/>
      <w:kern w:val="28"/>
      <w:sz w:val="30"/>
      <w:szCs w:val="20"/>
    </w:rPr>
  </w:style>
  <w:style w:type="paragraph" w:customStyle="1" w:styleId="1239">
    <w:name w:val="xl42"/>
    <w:basedOn w:val="1"/>
    <w:qFormat/>
    <w:uiPriority w:val="99"/>
    <w:pPr>
      <w:spacing w:before="100" w:beforeAutospacing="1" w:after="100" w:afterAutospacing="1"/>
      <w:textAlignment w:val="center"/>
    </w:pPr>
    <w:rPr>
      <w:rFonts w:ascii="Arial Unicode MS" w:hAnsi="Arial Unicode MS" w:eastAsia="Arial Unicode MS" w:cs="Arial Unicode MS"/>
      <w:b/>
      <w:bCs/>
      <w:sz w:val="32"/>
      <w:szCs w:val="32"/>
    </w:rPr>
  </w:style>
  <w:style w:type="paragraph" w:customStyle="1" w:styleId="1240">
    <w:name w:val="样式 标题 3H3H31H32H33u3条标题1.1.1Heading 3 - oldBold Headbh..."/>
    <w:basedOn w:val="7"/>
    <w:qFormat/>
    <w:uiPriority w:val="99"/>
    <w:pPr>
      <w:widowControl w:val="0"/>
      <w:adjustRightInd w:val="0"/>
      <w:snapToGrid w:val="0"/>
      <w:spacing w:beforeLines="25" w:afterLines="25" w:line="312" w:lineRule="auto"/>
      <w:jc w:val="both"/>
    </w:pPr>
    <w:rPr>
      <w:rFonts w:ascii="宋体" w:cs="宋体"/>
      <w:b/>
      <w:spacing w:val="16"/>
      <w:sz w:val="28"/>
      <w:szCs w:val="20"/>
    </w:rPr>
  </w:style>
  <w:style w:type="paragraph" w:customStyle="1" w:styleId="1241">
    <w:name w:val="样式 标题 7 + 段前: 0.5 行1"/>
    <w:basedOn w:val="11"/>
    <w:qFormat/>
    <w:uiPriority w:val="99"/>
    <w:pPr>
      <w:keepNext w:val="0"/>
      <w:widowControl/>
      <w:tabs>
        <w:tab w:val="left" w:pos="420"/>
        <w:tab w:val="left" w:pos="1820"/>
      </w:tabs>
      <w:adjustRightInd w:val="0"/>
      <w:snapToGrid w:val="0"/>
      <w:spacing w:before="120" w:line="300" w:lineRule="auto"/>
      <w:ind w:left="0" w:firstLine="1120" w:firstLineChars="400"/>
      <w:outlineLvl w:val="3"/>
    </w:pPr>
    <w:rPr>
      <w:rFonts w:ascii="宋体" w:hAnsi="宋体"/>
      <w:b w:val="0"/>
      <w:bCs w:val="0"/>
      <w:color w:val="000000"/>
    </w:rPr>
  </w:style>
  <w:style w:type="paragraph" w:customStyle="1" w:styleId="1242">
    <w:name w:val="xl90"/>
    <w:basedOn w:val="1"/>
    <w:qFormat/>
    <w:uiPriority w:val="99"/>
    <w:pPr>
      <w:pBdr>
        <w:top w:val="single" w:color="auto" w:sz="4" w:space="0"/>
        <w:left w:val="single" w:color="auto" w:sz="8" w:space="0"/>
        <w:bottom w:val="single" w:color="auto" w:sz="8" w:space="0"/>
      </w:pBdr>
      <w:spacing w:before="100" w:beforeAutospacing="1" w:after="100" w:afterAutospacing="1"/>
    </w:pPr>
    <w:rPr>
      <w:rFonts w:ascii="Times New Roman" w:hAnsi="Times New Roman" w:eastAsia="Arial Unicode MS" w:cs="Times New Roman"/>
      <w:sz w:val="16"/>
      <w:szCs w:val="16"/>
    </w:rPr>
  </w:style>
  <w:style w:type="paragraph" w:customStyle="1" w:styleId="1243">
    <w:name w:val="列表 4O"/>
    <w:basedOn w:val="70"/>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244">
    <w:name w:val="列表 5S"/>
    <w:basedOn w:val="64"/>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245">
    <w:name w:val="样式1 + 四号 居中"/>
    <w:basedOn w:val="1"/>
    <w:qFormat/>
    <w:uiPriority w:val="0"/>
    <w:pPr>
      <w:widowControl w:val="0"/>
      <w:spacing w:line="336" w:lineRule="auto"/>
      <w:jc w:val="center"/>
    </w:pPr>
    <w:rPr>
      <w:rFonts w:ascii="Times New Roman" w:hAnsi="Times New Roman" w:cs="Times New Roman"/>
      <w:kern w:val="2"/>
      <w:sz w:val="28"/>
      <w:szCs w:val="20"/>
    </w:rPr>
  </w:style>
  <w:style w:type="paragraph" w:customStyle="1" w:styleId="1246">
    <w:name w:val="xl48"/>
    <w:basedOn w:val="1"/>
    <w:qFormat/>
    <w:uiPriority w:val="99"/>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247">
    <w:name w:val="xl91"/>
    <w:basedOn w:val="1"/>
    <w:qFormat/>
    <w:uiPriority w:val="99"/>
    <w:pPr>
      <w:pBdr>
        <w:top w:val="single" w:color="auto" w:sz="4" w:space="0"/>
        <w:bottom w:val="single" w:color="auto" w:sz="8" w:space="0"/>
        <w:right w:val="single" w:color="auto" w:sz="4" w:space="0"/>
      </w:pBdr>
      <w:spacing w:before="100" w:beforeAutospacing="1" w:after="100" w:afterAutospacing="1"/>
    </w:pPr>
    <w:rPr>
      <w:rFonts w:ascii="Times New Roman" w:hAnsi="Times New Roman" w:eastAsia="Arial Unicode MS" w:cs="Times New Roman"/>
      <w:sz w:val="16"/>
      <w:szCs w:val="16"/>
    </w:rPr>
  </w:style>
  <w:style w:type="paragraph" w:customStyle="1" w:styleId="1248">
    <w:name w:val="font13"/>
    <w:basedOn w:val="1"/>
    <w:qFormat/>
    <w:uiPriority w:val="99"/>
    <w:pPr>
      <w:spacing w:before="100" w:beforeAutospacing="1" w:after="100" w:afterAutospacing="1"/>
    </w:pPr>
    <w:rPr>
      <w:rFonts w:ascii="Times New Roman" w:hAnsi="Times New Roman" w:eastAsia="Arial Unicode MS" w:cs="Times New Roman"/>
      <w:b/>
      <w:bCs/>
      <w:sz w:val="20"/>
      <w:szCs w:val="20"/>
    </w:rPr>
  </w:style>
  <w:style w:type="paragraph" w:customStyle="1" w:styleId="1249">
    <w:name w:val="样式 表2.1 + 居中"/>
    <w:basedOn w:val="1"/>
    <w:qFormat/>
    <w:uiPriority w:val="99"/>
    <w:pPr>
      <w:widowControl w:val="0"/>
      <w:tabs>
        <w:tab w:val="left" w:pos="726"/>
        <w:tab w:val="center" w:pos="4060"/>
        <w:tab w:val="right" w:pos="8261"/>
      </w:tabs>
      <w:suppressAutoHyphens/>
      <w:adjustRightInd w:val="0"/>
      <w:spacing w:before="240" w:line="0" w:lineRule="atLeast"/>
      <w:ind w:left="2" w:firstLine="4"/>
      <w:jc w:val="center"/>
    </w:pPr>
    <w:rPr>
      <w:rFonts w:ascii="黑体" w:hAnsi="Times New Roman" w:eastAsia="黑体"/>
      <w:b/>
      <w:bCs/>
      <w:szCs w:val="20"/>
    </w:rPr>
  </w:style>
  <w:style w:type="paragraph" w:customStyle="1" w:styleId="1250">
    <w:name w:val="列表 D"/>
    <w:basedOn w:val="60"/>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251">
    <w:name w:val="Char Char Char1 Char Char Char Char Char Char Char Char Char Char"/>
    <w:basedOn w:val="1"/>
    <w:qFormat/>
    <w:uiPriority w:val="99"/>
    <w:pPr>
      <w:widowControl w:val="0"/>
      <w:jc w:val="both"/>
    </w:pPr>
    <w:rPr>
      <w:rFonts w:hAnsi="Times New Roman" w:cs="Times New Roman"/>
      <w:kern w:val="2"/>
      <w:sz w:val="21"/>
      <w:szCs w:val="21"/>
    </w:rPr>
  </w:style>
  <w:style w:type="paragraph" w:customStyle="1" w:styleId="1252">
    <w:name w:val="xl96"/>
    <w:basedOn w:val="1"/>
    <w:qFormat/>
    <w:uiPriority w:val="99"/>
    <w:pPr>
      <w:pBdr>
        <w:left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253">
    <w:name w:val="附录1"/>
    <w:basedOn w:val="4"/>
    <w:next w:val="1"/>
    <w:qFormat/>
    <w:uiPriority w:val="99"/>
    <w:pPr>
      <w:keepNext/>
      <w:keepLines/>
      <w:tabs>
        <w:tab w:val="left" w:pos="720"/>
      </w:tabs>
      <w:spacing w:after="220" w:line="700" w:lineRule="exact"/>
      <w:ind w:left="680" w:hanging="680"/>
      <w:jc w:val="center"/>
    </w:pPr>
    <w:rPr>
      <w:rFonts w:ascii="Times New Roman" w:hAnsi="Times New Roman" w:eastAsia="宋体"/>
      <w:spacing w:val="-10"/>
      <w:kern w:val="28"/>
      <w:sz w:val="30"/>
      <w:szCs w:val="20"/>
    </w:rPr>
  </w:style>
  <w:style w:type="paragraph" w:customStyle="1" w:styleId="1254">
    <w:name w:val="Char Char Char1 Char1 Char Char Char1"/>
    <w:basedOn w:val="1"/>
    <w:qFormat/>
    <w:uiPriority w:val="99"/>
    <w:pPr>
      <w:widowControl w:val="0"/>
      <w:jc w:val="both"/>
    </w:pPr>
    <w:rPr>
      <w:rFonts w:ascii="Times New Roman" w:hAnsi="Times New Roman" w:cs="Times New Roman"/>
      <w:kern w:val="2"/>
      <w:sz w:val="21"/>
    </w:rPr>
  </w:style>
  <w:style w:type="paragraph" w:customStyle="1" w:styleId="1255">
    <w:name w:val="Char Char Char Char Char Char Char Char Char Char Char1"/>
    <w:basedOn w:val="1"/>
    <w:qFormat/>
    <w:uiPriority w:val="0"/>
    <w:pPr>
      <w:widowControl w:val="0"/>
      <w:jc w:val="both"/>
    </w:pPr>
    <w:rPr>
      <w:rFonts w:ascii="Times New Roman" w:hAnsi="Times New Roman" w:cs="Times New Roman"/>
      <w:kern w:val="2"/>
      <w:sz w:val="21"/>
    </w:rPr>
  </w:style>
  <w:style w:type="paragraph" w:customStyle="1" w:styleId="1256">
    <w:name w:val="xl106"/>
    <w:basedOn w:val="1"/>
    <w:qFormat/>
    <w:uiPriority w:val="99"/>
    <w:pPr>
      <w:pBdr>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257">
    <w:name w:val="xl37"/>
    <w:basedOn w:val="1"/>
    <w:qFormat/>
    <w:uiPriority w:val="99"/>
    <w:pPr>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szCs w:val="20"/>
    </w:rPr>
  </w:style>
  <w:style w:type="paragraph" w:customStyle="1" w:styleId="1258">
    <w:name w:val="Char1 Char Char Char1"/>
    <w:basedOn w:val="1"/>
    <w:qFormat/>
    <w:uiPriority w:val="99"/>
    <w:pPr>
      <w:widowControl w:val="0"/>
      <w:snapToGrid w:val="0"/>
      <w:spacing w:line="360" w:lineRule="auto"/>
      <w:ind w:firstLine="529" w:firstLineChars="200"/>
      <w:jc w:val="both"/>
    </w:pPr>
    <w:rPr>
      <w:rFonts w:cs="Times New Roman"/>
      <w:b/>
      <w:kern w:val="2"/>
      <w:sz w:val="21"/>
    </w:rPr>
  </w:style>
  <w:style w:type="paragraph" w:customStyle="1" w:styleId="1259">
    <w:name w:val="9点"/>
    <w:basedOn w:val="1"/>
    <w:qFormat/>
    <w:uiPriority w:val="99"/>
    <w:pPr>
      <w:widowControl w:val="0"/>
      <w:spacing w:line="360" w:lineRule="exact"/>
      <w:jc w:val="both"/>
    </w:pPr>
    <w:rPr>
      <w:rFonts w:ascii="Times New Roman" w:hAnsi="Times New Roman" w:cs="Times New Roman"/>
      <w:kern w:val="2"/>
      <w:sz w:val="21"/>
    </w:rPr>
  </w:style>
  <w:style w:type="paragraph" w:customStyle="1" w:styleId="1260">
    <w:name w:val="样式 样式 标题 2h22Header 2nd PageA.B.C.h2 main h标题2 + 仿宋_GB2312 行距......1"/>
    <w:basedOn w:val="971"/>
    <w:qFormat/>
    <w:uiPriority w:val="0"/>
    <w:pPr>
      <w:ind w:firstLine="454"/>
    </w:pPr>
    <w:rPr>
      <w:b/>
      <w:bCs w:val="0"/>
    </w:rPr>
  </w:style>
  <w:style w:type="paragraph" w:customStyle="1" w:styleId="1261">
    <w:name w:val="表格文字（居中）"/>
    <w:basedOn w:val="1"/>
    <w:qFormat/>
    <w:uiPriority w:val="99"/>
    <w:pPr>
      <w:widowControl w:val="0"/>
      <w:jc w:val="center"/>
    </w:pPr>
    <w:rPr>
      <w:rFonts w:ascii="Times New Roman" w:hAnsi="Times New Roman" w:cs="Times New Roman"/>
      <w:kern w:val="2"/>
      <w:sz w:val="21"/>
      <w:szCs w:val="21"/>
    </w:rPr>
  </w:style>
  <w:style w:type="paragraph" w:customStyle="1" w:styleId="1262">
    <w:name w:val="xl72"/>
    <w:basedOn w:val="1"/>
    <w:qFormat/>
    <w:uiPriority w:val="99"/>
    <w:pPr>
      <w:pBdr>
        <w:top w:val="single" w:color="auto" w:sz="8" w:space="0"/>
        <w:right w:val="single" w:color="auto" w:sz="4" w:space="0"/>
      </w:pBdr>
      <w:spacing w:before="100" w:beforeAutospacing="1" w:after="100" w:afterAutospacing="1"/>
      <w:jc w:val="center"/>
    </w:pPr>
    <w:rPr>
      <w:rFonts w:eastAsia="仿宋_GB2312" w:cs="Times New Roman"/>
      <w:position w:val="-6"/>
      <w:szCs w:val="21"/>
    </w:rPr>
  </w:style>
  <w:style w:type="paragraph" w:customStyle="1" w:styleId="1263">
    <w:name w:val="列表 5G"/>
    <w:basedOn w:val="64"/>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264">
    <w:name w:val="样式 样式 样式 首行缩进:  2 字符 + 首行缩进:  2 字符 + 首行缩进:  2 字符"/>
    <w:basedOn w:val="1141"/>
    <w:qFormat/>
    <w:uiPriority w:val="99"/>
    <w:pPr>
      <w:ind w:firstLine="567"/>
    </w:pPr>
    <w:rPr>
      <w:szCs w:val="20"/>
    </w:rPr>
  </w:style>
  <w:style w:type="paragraph" w:customStyle="1" w:styleId="1265">
    <w:name w:val="IDC A-Head (2nd Line)"/>
    <w:basedOn w:val="1"/>
    <w:next w:val="1"/>
    <w:qFormat/>
    <w:uiPriority w:val="99"/>
    <w:pPr>
      <w:jc w:val="center"/>
    </w:pPr>
    <w:rPr>
      <w:rFonts w:ascii="Times New Roman" w:hAnsi="Times New Roman" w:cs="Times New Roman"/>
      <w:caps/>
      <w:szCs w:val="20"/>
    </w:rPr>
  </w:style>
  <w:style w:type="paragraph" w:customStyle="1" w:styleId="1266">
    <w:name w:val="样式 正文首行缩进 2 +"/>
    <w:basedOn w:val="80"/>
    <w:qFormat/>
    <w:uiPriority w:val="99"/>
    <w:pPr>
      <w:topLinePunct w:val="0"/>
      <w:spacing w:after="0"/>
      <w:ind w:left="0" w:leftChars="0" w:firstLine="420"/>
    </w:pPr>
    <w:rPr>
      <w:rFonts w:ascii="宋体" w:eastAsia="宋体" w:cs="宋体"/>
      <w:sz w:val="21"/>
      <w:szCs w:val="21"/>
    </w:rPr>
  </w:style>
  <w:style w:type="paragraph" w:customStyle="1" w:styleId="1267">
    <w:name w:val="xl213"/>
    <w:basedOn w:val="1"/>
    <w:qFormat/>
    <w:uiPriority w:val="99"/>
    <w:pPr>
      <w:pBdr>
        <w:left w:val="single" w:color="auto" w:sz="4" w:space="0"/>
        <w:right w:val="single" w:color="auto" w:sz="4" w:space="0"/>
      </w:pBdr>
      <w:spacing w:before="100" w:after="100"/>
    </w:pPr>
    <w:rPr>
      <w:rFonts w:ascii="Arial" w:hAnsi="Arial" w:eastAsia="Arial Unicode MS" w:cs="Times New Roman"/>
      <w:szCs w:val="20"/>
    </w:rPr>
  </w:style>
  <w:style w:type="paragraph" w:customStyle="1" w:styleId="1268">
    <w:name w:val="列表 4Z"/>
    <w:basedOn w:val="70"/>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269">
    <w:name w:val="样式 标题 1章节H11.标题 1一、标题 1（修改）1 南陵标题 1标题标题 1章标题 1b1章文章标题..."/>
    <w:basedOn w:val="4"/>
    <w:qFormat/>
    <w:uiPriority w:val="99"/>
    <w:pPr>
      <w:keepNext/>
      <w:keepLines/>
      <w:tabs>
        <w:tab w:val="left" w:pos="726"/>
      </w:tabs>
      <w:snapToGrid w:val="0"/>
      <w:spacing w:line="700" w:lineRule="exact"/>
      <w:ind w:left="2" w:firstLine="4"/>
      <w:jc w:val="both"/>
    </w:pPr>
    <w:rPr>
      <w:rFonts w:ascii="Times New Roman" w:hAnsi="Times New Roman"/>
      <w:bCs/>
      <w:color w:val="000000"/>
      <w:kern w:val="44"/>
      <w:sz w:val="30"/>
      <w:szCs w:val="20"/>
      <w:lang w:val="zh-CN"/>
    </w:rPr>
  </w:style>
  <w:style w:type="paragraph" w:customStyle="1" w:styleId="1270">
    <w:name w:val="初设正文"/>
    <w:basedOn w:val="1"/>
    <w:qFormat/>
    <w:uiPriority w:val="99"/>
    <w:pPr>
      <w:widowControl w:val="0"/>
      <w:spacing w:after="120" w:line="440" w:lineRule="exact"/>
      <w:ind w:left="425" w:firstLine="425"/>
      <w:jc w:val="both"/>
    </w:pPr>
    <w:rPr>
      <w:rFonts w:ascii="Arial" w:hAnsi="Arial" w:cs="Times New Roman"/>
      <w:szCs w:val="20"/>
    </w:rPr>
  </w:style>
  <w:style w:type="paragraph" w:customStyle="1" w:styleId="1271">
    <w:name w:val="xl82"/>
    <w:basedOn w:val="1"/>
    <w:qFormat/>
    <w:uiPriority w:val="99"/>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272">
    <w:name w:val="页脚2"/>
    <w:basedOn w:val="254"/>
    <w:qFormat/>
    <w:uiPriority w:val="99"/>
    <w:pPr>
      <w:tabs>
        <w:tab w:val="center" w:pos="4153"/>
        <w:tab w:val="right" w:pos="8306"/>
      </w:tabs>
      <w:spacing w:line="240" w:lineRule="atLeast"/>
    </w:pPr>
    <w:rPr>
      <w:sz w:val="18"/>
    </w:rPr>
  </w:style>
  <w:style w:type="paragraph" w:customStyle="1" w:styleId="1273">
    <w:name w:val="样式 标题 2节标题标题2H2h2第一层条节二级 标题 21.1标题 21.1_Heading 2标2标...1"/>
    <w:basedOn w:val="5"/>
    <w:qFormat/>
    <w:uiPriority w:val="0"/>
    <w:pPr>
      <w:widowControl w:val="0"/>
      <w:spacing w:line="720" w:lineRule="auto"/>
    </w:pPr>
    <w:rPr>
      <w:rFonts w:ascii="黑体" w:hAnsi="Times New Roman"/>
      <w:szCs w:val="28"/>
    </w:rPr>
  </w:style>
  <w:style w:type="paragraph" w:customStyle="1" w:styleId="1274">
    <w:name w:val="2"/>
    <w:basedOn w:val="1"/>
    <w:next w:val="42"/>
    <w:qFormat/>
    <w:uiPriority w:val="0"/>
    <w:pPr>
      <w:widowControl w:val="0"/>
      <w:jc w:val="both"/>
    </w:pPr>
    <w:rPr>
      <w:rFonts w:hAnsi="Courier New" w:cs="Courier New"/>
      <w:kern w:val="2"/>
      <w:sz w:val="21"/>
      <w:szCs w:val="21"/>
    </w:rPr>
  </w:style>
  <w:style w:type="paragraph" w:customStyle="1" w:styleId="1275">
    <w:name w:val="列表 2H"/>
    <w:basedOn w:val="35"/>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276">
    <w:name w:val="xl65"/>
    <w:basedOn w:val="1"/>
    <w:qFormat/>
    <w:uiPriority w:val="99"/>
    <w:pPr>
      <w:pBdr>
        <w:bottom w:val="single" w:color="auto" w:sz="8" w:space="0"/>
      </w:pBdr>
      <w:spacing w:before="100" w:beforeAutospacing="1" w:after="100" w:afterAutospacing="1"/>
      <w:jc w:val="center"/>
    </w:pPr>
    <w:rPr>
      <w:rFonts w:eastAsia="仿宋_GB2312" w:cs="Times New Roman"/>
      <w:b/>
      <w:bCs/>
      <w:position w:val="-6"/>
    </w:rPr>
  </w:style>
  <w:style w:type="paragraph" w:customStyle="1" w:styleId="1277">
    <w:name w:val="三级条标题"/>
    <w:basedOn w:val="1148"/>
    <w:next w:val="1"/>
    <w:qFormat/>
    <w:uiPriority w:val="99"/>
    <w:pPr>
      <w:tabs>
        <w:tab w:val="left" w:pos="992"/>
        <w:tab w:val="left" w:pos="2100"/>
        <w:tab w:val="clear" w:pos="851"/>
        <w:tab w:val="clear" w:pos="1680"/>
      </w:tabs>
      <w:ind w:left="2100"/>
      <w:outlineLvl w:val="4"/>
    </w:pPr>
  </w:style>
  <w:style w:type="paragraph" w:customStyle="1" w:styleId="1278">
    <w:name w:val="四级条标题"/>
    <w:basedOn w:val="1277"/>
    <w:next w:val="1"/>
    <w:qFormat/>
    <w:uiPriority w:val="99"/>
    <w:pPr>
      <w:tabs>
        <w:tab w:val="left" w:pos="1134"/>
        <w:tab w:val="left" w:pos="2520"/>
        <w:tab w:val="clear" w:pos="992"/>
        <w:tab w:val="clear" w:pos="2100"/>
      </w:tabs>
      <w:ind w:left="2520"/>
      <w:outlineLvl w:val="5"/>
    </w:pPr>
  </w:style>
  <w:style w:type="paragraph" w:customStyle="1" w:styleId="1279">
    <w:name w:val="前言、引言标题"/>
    <w:next w:val="1"/>
    <w:qFormat/>
    <w:uiPriority w:val="99"/>
    <w:pPr>
      <w:shd w:val="clear" w:color="FFFFFF" w:fill="FFFFFF"/>
      <w:tabs>
        <w:tab w:val="left" w:pos="720"/>
        <w:tab w:val="left" w:pos="903"/>
      </w:tabs>
      <w:spacing w:before="640" w:after="560"/>
      <w:ind w:left="903" w:hanging="315"/>
      <w:jc w:val="center"/>
      <w:outlineLvl w:val="0"/>
    </w:pPr>
    <w:rPr>
      <w:rFonts w:ascii="黑体" w:hAnsi="Times New Roman" w:eastAsia="黑体" w:cs="Times New Roman"/>
      <w:sz w:val="32"/>
      <w:lang w:val="en-US" w:eastAsia="zh-CN" w:bidi="ar-SA"/>
    </w:rPr>
  </w:style>
  <w:style w:type="paragraph" w:customStyle="1" w:styleId="1280">
    <w:name w:val="Char Char Char Char Char Char1 Char Char Char Char Char Char Char Char Char1 Char Char Char Char Char Char Char Char Char Char Char Char Char"/>
    <w:basedOn w:val="1"/>
    <w:qFormat/>
    <w:uiPriority w:val="0"/>
    <w:rPr>
      <w:rFonts w:cs="Times New Roman"/>
    </w:rPr>
  </w:style>
  <w:style w:type="paragraph" w:customStyle="1" w:styleId="1281">
    <w:name w:val="表第一列"/>
    <w:basedOn w:val="79"/>
    <w:qFormat/>
    <w:uiPriority w:val="0"/>
    <w:pPr>
      <w:keepNext/>
      <w:keepLines/>
      <w:widowControl w:val="0"/>
      <w:tabs>
        <w:tab w:val="left" w:pos="1727"/>
        <w:tab w:val="left" w:pos="1884"/>
        <w:tab w:val="left" w:pos="2940"/>
      </w:tabs>
      <w:adjustRightInd w:val="0"/>
      <w:snapToGrid w:val="0"/>
      <w:spacing w:after="0" w:line="0" w:lineRule="atLeast"/>
      <w:ind w:firstLine="0" w:firstLineChars="0"/>
      <w:jc w:val="center"/>
    </w:pPr>
    <w:rPr>
      <w:spacing w:val="-4"/>
    </w:rPr>
  </w:style>
  <w:style w:type="paragraph" w:customStyle="1" w:styleId="1282">
    <w:name w:val="列表 4K"/>
    <w:basedOn w:val="70"/>
    <w:qFormat/>
    <w:uiPriority w:val="99"/>
    <w:pPr>
      <w:tabs>
        <w:tab w:val="left" w:pos="1000"/>
      </w:tabs>
      <w:topLinePunct w:val="0"/>
      <w:spacing w:beforeLines="50" w:afterLines="30" w:line="288" w:lineRule="auto"/>
      <w:ind w:left="1000" w:leftChars="0" w:hanging="720" w:firstLineChars="0"/>
      <w:jc w:val="both"/>
    </w:pPr>
    <w:rPr>
      <w:rFonts w:ascii="Arial" w:hAnsi="Arial" w:eastAsia="宋体"/>
      <w:color w:val="CCFFFF"/>
      <w:sz w:val="24"/>
    </w:rPr>
  </w:style>
  <w:style w:type="paragraph" w:customStyle="1" w:styleId="1283">
    <w:name w:val="Char2 Char Char Char Char Char Char Char Char Char"/>
    <w:basedOn w:val="1"/>
    <w:qFormat/>
    <w:uiPriority w:val="0"/>
    <w:pPr>
      <w:widowControl w:val="0"/>
      <w:spacing w:line="360" w:lineRule="auto"/>
      <w:ind w:firstLine="200" w:firstLineChars="200"/>
      <w:jc w:val="both"/>
    </w:pPr>
    <w:rPr>
      <w:kern w:val="2"/>
    </w:rPr>
  </w:style>
  <w:style w:type="paragraph" w:customStyle="1" w:styleId="1284">
    <w:name w:val="样式 内容部分 + 段前: 1 行 段后: 1 行"/>
    <w:basedOn w:val="1"/>
    <w:qFormat/>
    <w:uiPriority w:val="0"/>
    <w:pPr>
      <w:widowControl w:val="0"/>
      <w:tabs>
        <w:tab w:val="right" w:pos="7980"/>
      </w:tabs>
      <w:snapToGrid w:val="0"/>
      <w:spacing w:beforeLines="50" w:afterLines="100" w:line="560" w:lineRule="exact"/>
      <w:jc w:val="both"/>
    </w:pPr>
    <w:rPr>
      <w:rFonts w:ascii="黑体" w:hAnsi="Times New Roman" w:eastAsia="黑体"/>
      <w:kern w:val="36"/>
      <w:sz w:val="28"/>
      <w:szCs w:val="20"/>
    </w:rPr>
  </w:style>
  <w:style w:type="paragraph" w:customStyle="1" w:styleId="1285">
    <w:name w:val="Char Char Char1 Char11"/>
    <w:basedOn w:val="1"/>
    <w:qFormat/>
    <w:uiPriority w:val="99"/>
    <w:pPr>
      <w:widowControl w:val="0"/>
      <w:jc w:val="both"/>
    </w:pPr>
    <w:rPr>
      <w:rFonts w:ascii="Times New Roman" w:hAnsi="Times New Roman" w:cs="Times New Roman"/>
      <w:kern w:val="2"/>
      <w:sz w:val="21"/>
    </w:rPr>
  </w:style>
  <w:style w:type="character" w:customStyle="1" w:styleId="1286">
    <w:name w:val="z-窗体底端 Char2"/>
    <w:semiHidden/>
    <w:qFormat/>
    <w:uiPriority w:val="99"/>
    <w:rPr>
      <w:rFonts w:ascii="Arial" w:hAnsi="Arial" w:cs="Arial"/>
      <w:vanish/>
      <w:sz w:val="16"/>
      <w:szCs w:val="16"/>
    </w:rPr>
  </w:style>
  <w:style w:type="paragraph" w:customStyle="1" w:styleId="1287">
    <w:name w:val="xl95"/>
    <w:basedOn w:val="1"/>
    <w:qFormat/>
    <w:uiPriority w:val="99"/>
    <w:pPr>
      <w:pBdr>
        <w:top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sz w:val="16"/>
      <w:szCs w:val="16"/>
    </w:rPr>
  </w:style>
  <w:style w:type="paragraph" w:customStyle="1" w:styleId="1288">
    <w:name w:val="内蒙1"/>
    <w:basedOn w:val="4"/>
    <w:qFormat/>
    <w:uiPriority w:val="99"/>
    <w:pPr>
      <w:keepNext/>
      <w:widowControl w:val="0"/>
      <w:autoSpaceDE w:val="0"/>
      <w:autoSpaceDN w:val="0"/>
      <w:adjustRightInd w:val="0"/>
      <w:spacing w:line="480" w:lineRule="exact"/>
    </w:pPr>
    <w:rPr>
      <w:rFonts w:ascii="Times New Roman" w:hAnsi="Times New Roman"/>
      <w:color w:val="FF0000"/>
      <w:spacing w:val="20"/>
      <w:kern w:val="0"/>
      <w:szCs w:val="32"/>
    </w:rPr>
  </w:style>
  <w:style w:type="paragraph" w:customStyle="1" w:styleId="1289">
    <w:name w:val="xl43"/>
    <w:basedOn w:val="1"/>
    <w:qFormat/>
    <w:uiPriority w:val="99"/>
    <w:pPr>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290">
    <w:name w:val="表标题5.16"/>
    <w:basedOn w:val="1"/>
    <w:qFormat/>
    <w:uiPriority w:val="99"/>
    <w:pPr>
      <w:widowControl w:val="0"/>
      <w:tabs>
        <w:tab w:val="left" w:pos="726"/>
      </w:tabs>
      <w:spacing w:beforeLines="100" w:line="0" w:lineRule="atLeast"/>
      <w:ind w:left="2" w:firstLine="4"/>
      <w:jc w:val="both"/>
    </w:pPr>
    <w:rPr>
      <w:rFonts w:ascii="Times New Roman" w:hAnsi="Times New Roman" w:eastAsia="黑体" w:cs="Times New Roman"/>
      <w:b/>
      <w:kern w:val="2"/>
    </w:rPr>
  </w:style>
  <w:style w:type="paragraph" w:customStyle="1" w:styleId="1291">
    <w:name w:val="表7.4"/>
    <w:basedOn w:val="1"/>
    <w:qFormat/>
    <w:uiPriority w:val="99"/>
    <w:pPr>
      <w:widowControl w:val="0"/>
      <w:tabs>
        <w:tab w:val="left" w:pos="3660"/>
        <w:tab w:val="center" w:pos="4060"/>
        <w:tab w:val="right" w:pos="8261"/>
      </w:tabs>
      <w:suppressAutoHyphens/>
      <w:adjustRightInd w:val="0"/>
      <w:spacing w:beforeLines="100" w:line="0" w:lineRule="atLeast"/>
      <w:ind w:left="6480"/>
      <w:jc w:val="center"/>
    </w:pPr>
    <w:rPr>
      <w:rFonts w:ascii="黑体" w:hAnsi="Times New Roman" w:eastAsia="黑体"/>
      <w:b/>
      <w:bCs/>
      <w:spacing w:val="6"/>
      <w:szCs w:val="20"/>
    </w:rPr>
  </w:style>
  <w:style w:type="paragraph" w:customStyle="1" w:styleId="1292">
    <w:name w:val="样式 样式 燕山正文 + 首行缩进:  2 字符 + 首行缩进:  2 字符"/>
    <w:basedOn w:val="996"/>
    <w:qFormat/>
    <w:uiPriority w:val="99"/>
    <w:pPr>
      <w:jc w:val="both"/>
    </w:pPr>
  </w:style>
  <w:style w:type="paragraph" w:customStyle="1" w:styleId="1293">
    <w:name w:val="biaoq"/>
    <w:basedOn w:val="1"/>
    <w:qFormat/>
    <w:uiPriority w:val="99"/>
    <w:pPr>
      <w:spacing w:before="100" w:beforeAutospacing="1" w:after="100" w:afterAutospacing="1"/>
    </w:pPr>
    <w:rPr>
      <w:rFonts w:cs="Times New Roman"/>
      <w:b/>
      <w:color w:val="333366"/>
      <w:sz w:val="18"/>
      <w:szCs w:val="20"/>
    </w:rPr>
  </w:style>
  <w:style w:type="paragraph" w:customStyle="1" w:styleId="1294">
    <w:name w:val="Char Char Char Char Char Char1 Char Char Char Char"/>
    <w:basedOn w:val="1"/>
    <w:qFormat/>
    <w:uiPriority w:val="99"/>
    <w:pPr>
      <w:widowControl w:val="0"/>
      <w:jc w:val="both"/>
    </w:pPr>
    <w:rPr>
      <w:rFonts w:ascii="Times New Roman" w:hAnsi="Times New Roman" w:cs="Times New Roman"/>
      <w:kern w:val="2"/>
      <w:sz w:val="21"/>
    </w:rPr>
  </w:style>
  <w:style w:type="paragraph" w:customStyle="1" w:styleId="1295">
    <w:name w:val="列表 4P"/>
    <w:basedOn w:val="70"/>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296">
    <w:name w:val="样式 标题 1 + 黑体 小三 非加粗"/>
    <w:basedOn w:val="4"/>
    <w:qFormat/>
    <w:uiPriority w:val="99"/>
    <w:pPr>
      <w:keepNext/>
      <w:keepLines/>
      <w:widowControl w:val="0"/>
      <w:tabs>
        <w:tab w:val="left" w:pos="432"/>
      </w:tabs>
      <w:spacing w:before="340" w:after="330" w:line="578" w:lineRule="auto"/>
      <w:ind w:left="432" w:hanging="432"/>
      <w:jc w:val="both"/>
    </w:pPr>
    <w:rPr>
      <w:rFonts w:ascii="黑体" w:hAnsi="黑体"/>
      <w:b/>
      <w:kern w:val="44"/>
      <w:sz w:val="30"/>
      <w:szCs w:val="44"/>
    </w:rPr>
  </w:style>
  <w:style w:type="paragraph" w:customStyle="1" w:styleId="1297">
    <w:name w:val="xl81"/>
    <w:basedOn w:val="1"/>
    <w:qFormat/>
    <w:uiPriority w:val="99"/>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298">
    <w:name w:val="Section Subtitle"/>
    <w:basedOn w:val="1024"/>
    <w:next w:val="1"/>
    <w:qFormat/>
    <w:uiPriority w:val="99"/>
    <w:pPr>
      <w:pBdr>
        <w:top w:val="none" w:color="auto" w:sz="0" w:space="0"/>
      </w:pBdr>
    </w:pPr>
    <w:rPr>
      <w:b w:val="0"/>
      <w:spacing w:val="0"/>
      <w:position w:val="6"/>
    </w:rPr>
  </w:style>
  <w:style w:type="paragraph" w:customStyle="1" w:styleId="1299">
    <w:name w:val="表3.8-1"/>
    <w:basedOn w:val="817"/>
    <w:qFormat/>
    <w:uiPriority w:val="99"/>
    <w:pPr>
      <w:tabs>
        <w:tab w:val="left" w:pos="420"/>
        <w:tab w:val="clear" w:pos="4060"/>
        <w:tab w:val="clear" w:pos="8261"/>
      </w:tabs>
    </w:pPr>
  </w:style>
  <w:style w:type="paragraph" w:customStyle="1" w:styleId="1300">
    <w:name w:val="样式2"/>
    <w:basedOn w:val="8"/>
    <w:qFormat/>
    <w:uiPriority w:val="99"/>
    <w:pPr>
      <w:widowControl w:val="0"/>
      <w:tabs>
        <w:tab w:val="left" w:pos="360"/>
      </w:tabs>
      <w:spacing w:line="360" w:lineRule="auto"/>
      <w:jc w:val="both"/>
    </w:pPr>
    <w:rPr>
      <w:rFonts w:ascii="黑体" w:hAnsi="Arial" w:eastAsia="黑体" w:cs="Times New Roman"/>
      <w:bCs/>
      <w:kern w:val="2"/>
      <w:sz w:val="28"/>
      <w:szCs w:val="28"/>
      <w:lang w:val="en-US"/>
    </w:rPr>
  </w:style>
  <w:style w:type="paragraph" w:customStyle="1" w:styleId="1301">
    <w:name w:val="Char Char Char Char Char Char"/>
    <w:basedOn w:val="1"/>
    <w:qFormat/>
    <w:uiPriority w:val="0"/>
    <w:pPr>
      <w:widowControl w:val="0"/>
      <w:jc w:val="both"/>
    </w:pPr>
    <w:rPr>
      <w:rFonts w:ascii="Times New Roman" w:hAnsi="Times New Roman" w:cs="Times New Roman"/>
      <w:kern w:val="2"/>
      <w:sz w:val="21"/>
      <w:szCs w:val="20"/>
    </w:rPr>
  </w:style>
  <w:style w:type="paragraph" w:customStyle="1" w:styleId="1302">
    <w:name w:val="样式 正文首行缩进 + 首行缩进:  2 字符1"/>
    <w:basedOn w:val="79"/>
    <w:qFormat/>
    <w:uiPriority w:val="99"/>
    <w:pPr>
      <w:widowControl w:val="0"/>
      <w:spacing w:after="0" w:line="360" w:lineRule="auto"/>
      <w:ind w:firstLine="480" w:firstLineChars="200"/>
    </w:pPr>
    <w:rPr>
      <w:rFonts w:ascii="Times New Roman" w:hAnsi="Times New Roman"/>
      <w:sz w:val="24"/>
      <w:szCs w:val="24"/>
    </w:rPr>
  </w:style>
  <w:style w:type="paragraph" w:customStyle="1" w:styleId="1303">
    <w:name w:val="表格文字中"/>
    <w:basedOn w:val="1"/>
    <w:qFormat/>
    <w:uiPriority w:val="99"/>
    <w:pPr>
      <w:widowControl w:val="0"/>
      <w:tabs>
        <w:tab w:val="left" w:pos="1727"/>
        <w:tab w:val="left" w:pos="1884"/>
      </w:tabs>
      <w:adjustRightInd w:val="0"/>
      <w:snapToGrid w:val="0"/>
      <w:jc w:val="center"/>
    </w:pPr>
    <w:rPr>
      <w:rFonts w:cs="Times New Roman"/>
      <w:color w:val="000000"/>
    </w:rPr>
  </w:style>
  <w:style w:type="paragraph" w:customStyle="1" w:styleId="1304">
    <w:name w:val="Char4 Char Char Char Char Char Char1"/>
    <w:basedOn w:val="1"/>
    <w:qFormat/>
    <w:uiPriority w:val="0"/>
    <w:pPr>
      <w:widowControl w:val="0"/>
      <w:spacing w:line="360" w:lineRule="auto"/>
      <w:ind w:firstLine="200" w:firstLineChars="200"/>
      <w:jc w:val="both"/>
    </w:pPr>
    <w:rPr>
      <w:kern w:val="2"/>
    </w:rPr>
  </w:style>
  <w:style w:type="paragraph" w:customStyle="1" w:styleId="1305">
    <w:name w:val="Body Text 22"/>
    <w:basedOn w:val="1"/>
    <w:qFormat/>
    <w:uiPriority w:val="99"/>
    <w:pPr>
      <w:widowControl w:val="0"/>
      <w:adjustRightInd w:val="0"/>
      <w:spacing w:line="440" w:lineRule="atLeast"/>
      <w:ind w:firstLine="480"/>
      <w:jc w:val="both"/>
      <w:textAlignment w:val="baseline"/>
    </w:pPr>
    <w:rPr>
      <w:rFonts w:ascii="Times New Roman" w:hAnsi="Times New Roman" w:eastAsia="仿宋_GB2312" w:cs="Times New Roman"/>
      <w:kern w:val="2"/>
      <w:szCs w:val="20"/>
    </w:rPr>
  </w:style>
  <w:style w:type="paragraph" w:customStyle="1" w:styleId="1306">
    <w:name w:val="表标题7.2"/>
    <w:basedOn w:val="1307"/>
    <w:qFormat/>
    <w:uiPriority w:val="99"/>
    <w:pPr>
      <w:tabs>
        <w:tab w:val="left" w:pos="726"/>
        <w:tab w:val="center" w:pos="4060"/>
        <w:tab w:val="right" w:pos="8261"/>
      </w:tabs>
      <w:ind w:left="2" w:firstLine="4"/>
    </w:pPr>
    <w:rPr>
      <w:szCs w:val="24"/>
    </w:rPr>
  </w:style>
  <w:style w:type="paragraph" w:customStyle="1" w:styleId="1307">
    <w:name w:val="表标题8.3"/>
    <w:basedOn w:val="530"/>
    <w:qFormat/>
    <w:uiPriority w:val="99"/>
    <w:pPr>
      <w:tabs>
        <w:tab w:val="center" w:pos="4060"/>
        <w:tab w:val="right" w:pos="8261"/>
        <w:tab w:val="clear" w:pos="360"/>
        <w:tab w:val="clear" w:pos="726"/>
      </w:tabs>
      <w:suppressAutoHyphens/>
      <w:adjustRightInd w:val="0"/>
      <w:spacing w:beforeLines="100" w:line="0" w:lineRule="atLeast"/>
    </w:pPr>
    <w:rPr>
      <w:rFonts w:ascii="黑体" w:eastAsia="黑体" w:cs="宋体"/>
      <w:b/>
      <w:bCs/>
      <w:spacing w:val="6"/>
      <w:sz w:val="24"/>
      <w:szCs w:val="20"/>
    </w:rPr>
  </w:style>
  <w:style w:type="paragraph" w:customStyle="1" w:styleId="1308">
    <w:name w:val="样式 燕山正文 + 首行缩进:  3.5 字符2"/>
    <w:basedOn w:val="763"/>
    <w:qFormat/>
    <w:uiPriority w:val="99"/>
    <w:pPr>
      <w:shd w:val="clear" w:color="auto" w:fill="auto"/>
      <w:jc w:val="both"/>
    </w:pPr>
    <w:rPr>
      <w:color w:val="000000"/>
      <w:szCs w:val="24"/>
    </w:rPr>
  </w:style>
  <w:style w:type="paragraph" w:customStyle="1" w:styleId="1309">
    <w:name w:val="表格样式1"/>
    <w:basedOn w:val="1"/>
    <w:qFormat/>
    <w:uiPriority w:val="99"/>
    <w:pPr>
      <w:widowControl w:val="0"/>
      <w:spacing w:line="360" w:lineRule="exact"/>
      <w:jc w:val="center"/>
    </w:pPr>
    <w:rPr>
      <w:rFonts w:ascii="Times New Roman" w:hAnsi="Times New Roman" w:eastAsia="仿宋_GB2312" w:cs="Times New Roman"/>
      <w:color w:val="000080"/>
      <w:kern w:val="2"/>
      <w:sz w:val="21"/>
    </w:rPr>
  </w:style>
  <w:style w:type="paragraph" w:customStyle="1" w:styleId="1310">
    <w:name w:val="font17"/>
    <w:basedOn w:val="1"/>
    <w:qFormat/>
    <w:uiPriority w:val="99"/>
    <w:pPr>
      <w:spacing w:before="100" w:beforeAutospacing="1" w:after="100" w:afterAutospacing="1"/>
    </w:pPr>
    <w:rPr>
      <w:rFonts w:ascii="Times New Roman" w:hAnsi="Times New Roman" w:eastAsia="Arial Unicode MS" w:cs="Times New Roman"/>
      <w:sz w:val="20"/>
      <w:szCs w:val="20"/>
      <w:u w:val="single"/>
    </w:rPr>
  </w:style>
  <w:style w:type="paragraph" w:customStyle="1" w:styleId="1311">
    <w:name w:val="我的正文"/>
    <w:basedOn w:val="1"/>
    <w:qFormat/>
    <w:uiPriority w:val="99"/>
    <w:pPr>
      <w:widowControl w:val="0"/>
      <w:jc w:val="both"/>
    </w:pPr>
    <w:rPr>
      <w:rFonts w:ascii="Times New Roman" w:hAnsi="Times New Roman" w:cs="Times New Roman"/>
      <w:kern w:val="2"/>
      <w:szCs w:val="20"/>
    </w:rPr>
  </w:style>
  <w:style w:type="paragraph" w:customStyle="1" w:styleId="1312">
    <w:name w:val="6表格"/>
    <w:basedOn w:val="1"/>
    <w:qFormat/>
    <w:uiPriority w:val="99"/>
    <w:pPr>
      <w:widowControl w:val="0"/>
      <w:adjustRightInd w:val="0"/>
      <w:snapToGrid w:val="0"/>
      <w:spacing w:before="60" w:line="312" w:lineRule="auto"/>
      <w:jc w:val="center"/>
    </w:pPr>
    <w:rPr>
      <w:rFonts w:ascii="Times New Roman" w:hAnsi="Times New Roman" w:cs="Times New Roman"/>
      <w:snapToGrid w:val="0"/>
      <w:sz w:val="21"/>
      <w:szCs w:val="20"/>
    </w:rPr>
  </w:style>
  <w:style w:type="paragraph" w:customStyle="1" w:styleId="1313">
    <w:name w:val="五级条标题"/>
    <w:basedOn w:val="1278"/>
    <w:next w:val="1"/>
    <w:qFormat/>
    <w:uiPriority w:val="99"/>
    <w:pPr>
      <w:tabs>
        <w:tab w:val="left" w:pos="1276"/>
        <w:tab w:val="left" w:pos="2940"/>
        <w:tab w:val="clear" w:pos="1134"/>
        <w:tab w:val="clear" w:pos="1260"/>
        <w:tab w:val="clear" w:pos="2520"/>
      </w:tabs>
      <w:ind w:left="2940"/>
      <w:outlineLvl w:val="6"/>
    </w:pPr>
  </w:style>
  <w:style w:type="paragraph" w:customStyle="1" w:styleId="1314">
    <w:name w:val="CM59"/>
    <w:basedOn w:val="103"/>
    <w:next w:val="103"/>
    <w:qFormat/>
    <w:uiPriority w:val="99"/>
    <w:pPr>
      <w:spacing w:after="498"/>
    </w:pPr>
    <w:rPr>
      <w:color w:val="auto"/>
    </w:rPr>
  </w:style>
  <w:style w:type="paragraph" w:customStyle="1" w:styleId="1315">
    <w:name w:val="列表 5L"/>
    <w:basedOn w:val="64"/>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316">
    <w:name w:val="表内序号"/>
    <w:basedOn w:val="1"/>
    <w:qFormat/>
    <w:uiPriority w:val="99"/>
    <w:pPr>
      <w:tabs>
        <w:tab w:val="left" w:pos="425"/>
      </w:tabs>
      <w:adjustRightInd w:val="0"/>
      <w:snapToGrid w:val="0"/>
      <w:spacing w:line="360" w:lineRule="auto"/>
      <w:ind w:left="425" w:hanging="425"/>
    </w:pPr>
    <w:rPr>
      <w:rFonts w:ascii="Times New Roman" w:hAnsi="Times New Roman" w:cs="Times New Roman"/>
      <w:szCs w:val="20"/>
    </w:rPr>
  </w:style>
  <w:style w:type="paragraph" w:customStyle="1" w:styleId="1317">
    <w:name w:val="样式 标题 41.1.1.1标题 4.1.1.1.1标题 4 Char款1.1.1.1 Char标4段1.1.1..."/>
    <w:basedOn w:val="8"/>
    <w:qFormat/>
    <w:uiPriority w:val="99"/>
    <w:pPr>
      <w:widowControl w:val="0"/>
      <w:tabs>
        <w:tab w:val="left" w:pos="0"/>
        <w:tab w:val="left" w:pos="360"/>
      </w:tabs>
      <w:spacing w:before="120" w:after="120" w:line="312" w:lineRule="auto"/>
      <w:ind w:left="284" w:hanging="284"/>
      <w:jc w:val="both"/>
    </w:pPr>
    <w:rPr>
      <w:rFonts w:ascii="Arial" w:hAnsi="Arial" w:eastAsia="黑体"/>
      <w:b/>
      <w:bCs/>
      <w:kern w:val="2"/>
      <w:lang w:val="en-US"/>
    </w:rPr>
  </w:style>
  <w:style w:type="paragraph" w:customStyle="1" w:styleId="1318">
    <w:name w:val="样式6"/>
    <w:basedOn w:val="1"/>
    <w:link w:val="1319"/>
    <w:qFormat/>
    <w:uiPriority w:val="99"/>
    <w:pPr>
      <w:widowControl w:val="0"/>
      <w:adjustRightInd w:val="0"/>
      <w:snapToGrid w:val="0"/>
      <w:spacing w:line="360" w:lineRule="auto"/>
      <w:ind w:firstLine="200" w:firstLineChars="200"/>
      <w:textAlignment w:val="baseline"/>
    </w:pPr>
    <w:rPr>
      <w:rFonts w:hAnsi="Times New Roman" w:cs="Times New Roman"/>
    </w:rPr>
  </w:style>
  <w:style w:type="character" w:customStyle="1" w:styleId="1319">
    <w:name w:val="样式6 Char"/>
    <w:link w:val="1318"/>
    <w:qFormat/>
    <w:uiPriority w:val="99"/>
    <w:rPr>
      <w:rFonts w:ascii="宋体"/>
      <w:sz w:val="24"/>
      <w:szCs w:val="24"/>
    </w:rPr>
  </w:style>
  <w:style w:type="paragraph" w:customStyle="1" w:styleId="1320">
    <w:name w:val="Char4 Char Char Char Char Char Char12"/>
    <w:basedOn w:val="1"/>
    <w:qFormat/>
    <w:uiPriority w:val="99"/>
    <w:pPr>
      <w:widowControl w:val="0"/>
      <w:spacing w:line="360" w:lineRule="auto"/>
      <w:ind w:firstLine="200" w:firstLineChars="200"/>
      <w:jc w:val="both"/>
    </w:pPr>
    <w:rPr>
      <w:kern w:val="2"/>
    </w:rPr>
  </w:style>
  <w:style w:type="paragraph" w:customStyle="1" w:styleId="1321">
    <w:name w:val="源代码"/>
    <w:basedOn w:val="1"/>
    <w:qFormat/>
    <w:uiPriority w:val="0"/>
    <w:pPr>
      <w:kinsoku w:val="0"/>
      <w:overflowPunct w:val="0"/>
      <w:autoSpaceDE w:val="0"/>
      <w:autoSpaceDN w:val="0"/>
      <w:adjustRightInd w:val="0"/>
      <w:snapToGrid w:val="0"/>
    </w:pPr>
    <w:rPr>
      <w:rFonts w:ascii="Courier New" w:hAnsi="Courier New" w:cs="Times New Roman"/>
      <w:b/>
      <w:snapToGrid w:val="0"/>
    </w:rPr>
  </w:style>
  <w:style w:type="paragraph" w:customStyle="1" w:styleId="1322">
    <w:name w:val="德胜二级标题"/>
    <w:basedOn w:val="1"/>
    <w:qFormat/>
    <w:uiPriority w:val="99"/>
    <w:pPr>
      <w:keepNext/>
      <w:keepLines/>
      <w:widowControl w:val="0"/>
      <w:adjustRightInd w:val="0"/>
      <w:snapToGrid w:val="0"/>
      <w:spacing w:line="360" w:lineRule="auto"/>
      <w:outlineLvl w:val="1"/>
    </w:pPr>
    <w:rPr>
      <w:rFonts w:ascii="Times New Roman" w:hAnsi="Times New Roman" w:cs="Times New Roman"/>
      <w:b/>
      <w:bCs/>
      <w:snapToGrid w:val="0"/>
      <w:color w:val="0000FF"/>
      <w:sz w:val="28"/>
      <w:szCs w:val="28"/>
    </w:rPr>
  </w:style>
  <w:style w:type="paragraph" w:customStyle="1" w:styleId="1323">
    <w:name w:val="City/State"/>
    <w:basedOn w:val="32"/>
    <w:next w:val="32"/>
    <w:qFormat/>
    <w:uiPriority w:val="99"/>
    <w:pPr>
      <w:keepNext/>
      <w:spacing w:after="220" w:line="220" w:lineRule="atLeast"/>
      <w:ind w:right="-360"/>
    </w:pPr>
    <w:rPr>
      <w:rFonts w:ascii="Times New Roman" w:hAnsi="Times New Roman"/>
      <w:color w:val="auto"/>
      <w:kern w:val="0"/>
      <w:sz w:val="20"/>
      <w:szCs w:val="20"/>
    </w:rPr>
  </w:style>
  <w:style w:type="paragraph" w:customStyle="1" w:styleId="1324">
    <w:name w:val="BG1"/>
    <w:basedOn w:val="1"/>
    <w:qFormat/>
    <w:uiPriority w:val="99"/>
    <w:pPr>
      <w:widowControl w:val="0"/>
      <w:adjustRightInd w:val="0"/>
      <w:jc w:val="center"/>
    </w:pPr>
    <w:rPr>
      <w:rFonts w:ascii="Times New Roman" w:hAnsi="Times New Roman" w:cs="Times New Roman"/>
      <w:spacing w:val="20"/>
      <w:kern w:val="2"/>
      <w:sz w:val="21"/>
      <w:szCs w:val="20"/>
    </w:rPr>
  </w:style>
  <w:style w:type="paragraph" w:customStyle="1" w:styleId="1325">
    <w:name w:val="Char Char Char Char Char Char Char Char Char Char Char Char Char Char Char Char Char1"/>
    <w:basedOn w:val="1"/>
    <w:qFormat/>
    <w:uiPriority w:val="99"/>
    <w:pPr>
      <w:widowControl w:val="0"/>
      <w:jc w:val="both"/>
    </w:pPr>
    <w:rPr>
      <w:rFonts w:ascii="Times New Roman" w:hAnsi="Times New Roman" w:eastAsia="仿宋_GB2312" w:cs="Times New Roman"/>
      <w:kern w:val="2"/>
      <w:sz w:val="21"/>
      <w:szCs w:val="21"/>
    </w:rPr>
  </w:style>
  <w:style w:type="paragraph" w:customStyle="1" w:styleId="1326">
    <w:name w:val="列表 3E"/>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327">
    <w:name w:val="规划正文样式"/>
    <w:basedOn w:val="1"/>
    <w:qFormat/>
    <w:uiPriority w:val="99"/>
    <w:pPr>
      <w:widowControl w:val="0"/>
      <w:spacing w:line="400" w:lineRule="exact"/>
      <w:ind w:firstLine="480" w:firstLineChars="200"/>
      <w:jc w:val="both"/>
    </w:pPr>
    <w:rPr>
      <w:rFonts w:ascii="Times New Roman" w:hAnsi="Times New Roman" w:cs="Times New Roman"/>
      <w:kern w:val="2"/>
    </w:rPr>
  </w:style>
  <w:style w:type="paragraph" w:customStyle="1" w:styleId="1328">
    <w:name w:val="xl28"/>
    <w:basedOn w:val="1"/>
    <w:qFormat/>
    <w:uiPriority w:val="99"/>
    <w:pPr>
      <w:pBdr>
        <w:left w:val="single" w:color="auto" w:sz="4" w:space="0"/>
        <w:bottom w:val="single" w:color="auto" w:sz="4" w:space="0"/>
        <w:right w:val="single" w:color="auto" w:sz="4" w:space="0"/>
      </w:pBdr>
      <w:spacing w:before="100" w:beforeAutospacing="1" w:after="100" w:afterAutospacing="1"/>
      <w:jc w:val="center"/>
      <w:textAlignment w:val="top"/>
    </w:pPr>
    <w:rPr>
      <w:rFonts w:cs="Times New Roman"/>
      <w:szCs w:val="20"/>
    </w:rPr>
  </w:style>
  <w:style w:type="paragraph" w:customStyle="1" w:styleId="1329">
    <w:name w:val="图题7"/>
    <w:basedOn w:val="1"/>
    <w:qFormat/>
    <w:uiPriority w:val="99"/>
    <w:pPr>
      <w:widowControl w:val="0"/>
      <w:adjustRightInd w:val="0"/>
      <w:snapToGrid w:val="0"/>
      <w:spacing w:line="360" w:lineRule="auto"/>
      <w:jc w:val="center"/>
    </w:pPr>
    <w:rPr>
      <w:rFonts w:ascii="Times New Roman" w:hAnsi="Times New Roman" w:eastAsia="仿宋_GB2312" w:cs="Times New Roman"/>
      <w:b/>
      <w:snapToGrid w:val="0"/>
    </w:rPr>
  </w:style>
  <w:style w:type="paragraph" w:customStyle="1" w:styleId="1330">
    <w:name w:val="Address 2"/>
    <w:basedOn w:val="1"/>
    <w:qFormat/>
    <w:uiPriority w:val="99"/>
    <w:pPr>
      <w:spacing w:line="200" w:lineRule="atLeast"/>
    </w:pPr>
    <w:rPr>
      <w:rFonts w:ascii="Times New Roman" w:hAnsi="Times New Roman" w:cs="Times New Roman"/>
      <w:sz w:val="16"/>
      <w:szCs w:val="20"/>
    </w:rPr>
  </w:style>
  <w:style w:type="paragraph" w:customStyle="1" w:styleId="1331">
    <w:name w:val="xl107"/>
    <w:basedOn w:val="1"/>
    <w:qFormat/>
    <w:uiPriority w:val="99"/>
    <w:pPr>
      <w:pBdr>
        <w:top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332">
    <w:name w:val="列表 3B"/>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333">
    <w:name w:val="样式 (符号) 宋体 首行缩进:  2 字符1"/>
    <w:basedOn w:val="1"/>
    <w:qFormat/>
    <w:uiPriority w:val="99"/>
    <w:pPr>
      <w:widowControl w:val="0"/>
      <w:ind w:firstLine="567" w:firstLineChars="200"/>
      <w:jc w:val="both"/>
    </w:pPr>
    <w:rPr>
      <w:kern w:val="2"/>
      <w:sz w:val="27"/>
      <w:szCs w:val="20"/>
    </w:rPr>
  </w:style>
  <w:style w:type="paragraph" w:customStyle="1" w:styleId="1334">
    <w:name w:val="表中文字 + 居中"/>
    <w:basedOn w:val="1022"/>
    <w:qFormat/>
    <w:uiPriority w:val="99"/>
  </w:style>
  <w:style w:type="paragraph" w:customStyle="1" w:styleId="1335">
    <w:name w:val="列表 2K"/>
    <w:basedOn w:val="35"/>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336">
    <w:name w:val="Objective"/>
    <w:basedOn w:val="1"/>
    <w:next w:val="32"/>
    <w:qFormat/>
    <w:uiPriority w:val="99"/>
    <w:pPr>
      <w:spacing w:before="220" w:after="220" w:line="220" w:lineRule="atLeast"/>
    </w:pPr>
    <w:rPr>
      <w:rFonts w:ascii="Times New Roman" w:hAnsi="Times New Roman" w:cs="Times New Roman"/>
      <w:sz w:val="20"/>
      <w:szCs w:val="20"/>
    </w:rPr>
  </w:style>
  <w:style w:type="paragraph" w:customStyle="1" w:styleId="1337">
    <w:name w:val="居中"/>
    <w:basedOn w:val="1"/>
    <w:qFormat/>
    <w:uiPriority w:val="99"/>
    <w:pPr>
      <w:widowControl w:val="0"/>
      <w:spacing w:before="40" w:after="40" w:line="480" w:lineRule="exact"/>
      <w:jc w:val="center"/>
    </w:pPr>
    <w:rPr>
      <w:rFonts w:ascii="Arial" w:hAnsi="Arial" w:cs="Times New Roman"/>
      <w:kern w:val="2"/>
      <w:szCs w:val="20"/>
    </w:rPr>
  </w:style>
  <w:style w:type="paragraph" w:customStyle="1" w:styleId="1338">
    <w:name w:val="CM15"/>
    <w:basedOn w:val="1"/>
    <w:next w:val="1"/>
    <w:qFormat/>
    <w:uiPriority w:val="99"/>
    <w:pPr>
      <w:widowControl w:val="0"/>
      <w:autoSpaceDE w:val="0"/>
      <w:autoSpaceDN w:val="0"/>
      <w:adjustRightInd w:val="0"/>
      <w:spacing w:line="456" w:lineRule="atLeast"/>
    </w:pPr>
    <w:rPr>
      <w:rFonts w:hAnsi="Times New Roman"/>
    </w:rPr>
  </w:style>
  <w:style w:type="paragraph" w:customStyle="1" w:styleId="1339">
    <w:name w:val="样式 标题 2 + Times New Roman"/>
    <w:basedOn w:val="5"/>
    <w:qFormat/>
    <w:uiPriority w:val="99"/>
    <w:pPr>
      <w:spacing w:before="260" w:after="260" w:line="415" w:lineRule="auto"/>
      <w:ind w:firstLine="538" w:firstLineChars="192"/>
    </w:pPr>
    <w:rPr>
      <w:rFonts w:ascii="Times New Roman" w:hAnsi="Times New Roman"/>
      <w:b/>
      <w:bCs w:val="0"/>
      <w:sz w:val="32"/>
    </w:rPr>
  </w:style>
  <w:style w:type="paragraph" w:customStyle="1" w:styleId="1340">
    <w:name w:val="表标"/>
    <w:next w:val="1"/>
    <w:link w:val="1341"/>
    <w:qFormat/>
    <w:uiPriority w:val="99"/>
    <w:pPr>
      <w:widowControl w:val="0"/>
      <w:tabs>
        <w:tab w:val="left" w:pos="280"/>
      </w:tabs>
      <w:adjustRightInd w:val="0"/>
      <w:snapToGrid w:val="0"/>
      <w:jc w:val="center"/>
    </w:pPr>
    <w:rPr>
      <w:rFonts w:ascii="Times New Roman" w:hAnsi="Times New Roman" w:eastAsia="宋体" w:cs="Times New Roman"/>
      <w:b/>
      <w:kern w:val="2"/>
      <w:sz w:val="24"/>
      <w:szCs w:val="24"/>
      <w:lang w:val="en-US" w:eastAsia="zh-CN" w:bidi="ar-SA"/>
    </w:rPr>
  </w:style>
  <w:style w:type="character" w:customStyle="1" w:styleId="1341">
    <w:name w:val="表标 Char Char"/>
    <w:link w:val="1340"/>
    <w:qFormat/>
    <w:uiPriority w:val="99"/>
    <w:rPr>
      <w:b/>
      <w:kern w:val="2"/>
      <w:sz w:val="24"/>
      <w:szCs w:val="24"/>
    </w:rPr>
  </w:style>
  <w:style w:type="paragraph" w:customStyle="1" w:styleId="1342">
    <w:name w:val="pl正文"/>
    <w:basedOn w:val="1"/>
    <w:qFormat/>
    <w:uiPriority w:val="99"/>
    <w:pPr>
      <w:widowControl w:val="0"/>
      <w:snapToGrid w:val="0"/>
      <w:spacing w:line="360" w:lineRule="auto"/>
      <w:ind w:firstLine="492"/>
      <w:jc w:val="both"/>
    </w:pPr>
    <w:rPr>
      <w:rFonts w:cs="Times New Roman"/>
      <w:color w:val="000000"/>
      <w:spacing w:val="6"/>
      <w:kern w:val="2"/>
      <w:sz w:val="28"/>
    </w:rPr>
  </w:style>
  <w:style w:type="paragraph" w:customStyle="1" w:styleId="1343">
    <w:name w:val="样式 (西文) Times New Roman 五号 居中"/>
    <w:basedOn w:val="1"/>
    <w:qFormat/>
    <w:uiPriority w:val="0"/>
    <w:pPr>
      <w:widowControl w:val="0"/>
      <w:jc w:val="center"/>
    </w:pPr>
    <w:rPr>
      <w:rFonts w:ascii="Times New Roman" w:hAnsi="Times New Roman"/>
      <w:sz w:val="21"/>
      <w:szCs w:val="20"/>
    </w:rPr>
  </w:style>
  <w:style w:type="paragraph" w:customStyle="1" w:styleId="1344">
    <w:name w:val="样式 正文首行缩进 + 黑体 四号 黑色"/>
    <w:basedOn w:val="1"/>
    <w:next w:val="1"/>
    <w:qFormat/>
    <w:uiPriority w:val="99"/>
    <w:pPr>
      <w:widowControl w:val="0"/>
      <w:tabs>
        <w:tab w:val="left" w:pos="2514"/>
      </w:tabs>
      <w:spacing w:line="360" w:lineRule="auto"/>
      <w:ind w:left="864" w:right="-132" w:rightChars="-47" w:hanging="864"/>
      <w:jc w:val="both"/>
      <w:outlineLvl w:val="3"/>
    </w:pPr>
    <w:rPr>
      <w:rFonts w:ascii="黑体" w:hAnsi="Arial" w:eastAsia="黑体"/>
      <w:color w:val="000000"/>
      <w:kern w:val="2"/>
      <w:sz w:val="28"/>
      <w:szCs w:val="20"/>
    </w:rPr>
  </w:style>
  <w:style w:type="paragraph" w:customStyle="1" w:styleId="1345">
    <w:name w:val="xl40"/>
    <w:basedOn w:val="1"/>
    <w:qFormat/>
    <w:uiPriority w:val="99"/>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346">
    <w:name w:val="日期1"/>
    <w:basedOn w:val="1"/>
    <w:next w:val="1"/>
    <w:qFormat/>
    <w:uiPriority w:val="99"/>
    <w:pPr>
      <w:widowControl w:val="0"/>
      <w:adjustRightInd w:val="0"/>
      <w:spacing w:line="360" w:lineRule="atLeast"/>
      <w:jc w:val="both"/>
      <w:textAlignment w:val="baseline"/>
    </w:pPr>
    <w:rPr>
      <w:rFonts w:hAnsi="Times New Roman" w:cs="Times New Roman"/>
      <w:spacing w:val="20"/>
      <w:sz w:val="28"/>
      <w:szCs w:val="20"/>
    </w:rPr>
  </w:style>
  <w:style w:type="paragraph" w:customStyle="1" w:styleId="1347">
    <w:name w:val="xl88"/>
    <w:basedOn w:val="1"/>
    <w:qFormat/>
    <w:uiPriority w:val="99"/>
    <w:pPr>
      <w:pBdr>
        <w:top w:val="single" w:color="auto" w:sz="4" w:space="0"/>
        <w:left w:val="single" w:color="auto" w:sz="8" w:space="0"/>
        <w:bottom w:val="single" w:color="auto" w:sz="4" w:space="0"/>
      </w:pBdr>
      <w:spacing w:before="100" w:beforeAutospacing="1" w:after="100" w:afterAutospacing="1"/>
    </w:pPr>
    <w:rPr>
      <w:rFonts w:ascii="Times New Roman" w:hAnsi="Times New Roman" w:eastAsia="Arial Unicode MS" w:cs="Times New Roman"/>
      <w:sz w:val="16"/>
      <w:szCs w:val="16"/>
    </w:rPr>
  </w:style>
  <w:style w:type="paragraph" w:customStyle="1" w:styleId="1348">
    <w:name w:val="Char Char Char"/>
    <w:basedOn w:val="1"/>
    <w:qFormat/>
    <w:uiPriority w:val="0"/>
    <w:pPr>
      <w:widowControl w:val="0"/>
      <w:jc w:val="both"/>
    </w:pPr>
    <w:rPr>
      <w:rFonts w:ascii="Times New Roman" w:hAnsi="Times New Roman" w:cs="Times New Roman"/>
      <w:kern w:val="2"/>
    </w:rPr>
  </w:style>
  <w:style w:type="paragraph" w:customStyle="1" w:styleId="1349">
    <w:name w:val="!Texte courant"/>
    <w:qFormat/>
    <w:uiPriority w:val="99"/>
    <w:pPr>
      <w:spacing w:before="120" w:line="280" w:lineRule="atLeast"/>
      <w:jc w:val="both"/>
    </w:pPr>
    <w:rPr>
      <w:rFonts w:ascii="Times New Roman" w:hAnsi="Times New Roman" w:eastAsia="宋体" w:cs="Times New Roman"/>
      <w:sz w:val="24"/>
      <w:lang w:val="fr-FR" w:eastAsia="en-US" w:bidi="ar-SA"/>
    </w:rPr>
  </w:style>
  <w:style w:type="paragraph" w:customStyle="1" w:styleId="1350">
    <w:name w:val="xl31"/>
    <w:basedOn w:val="1"/>
    <w:qFormat/>
    <w:uiPriority w:val="99"/>
    <w:pPr>
      <w:spacing w:before="100" w:beforeAutospacing="1" w:after="100" w:afterAutospacing="1"/>
      <w:jc w:val="center"/>
    </w:pPr>
    <w:rPr>
      <w:rFonts w:ascii="Times New Roman" w:hAnsi="Times New Roman" w:cs="Times New Roman"/>
    </w:rPr>
  </w:style>
  <w:style w:type="paragraph" w:customStyle="1" w:styleId="1351">
    <w:name w:val="章(一级)"/>
    <w:basedOn w:val="4"/>
    <w:next w:val="925"/>
    <w:qFormat/>
    <w:uiPriority w:val="99"/>
    <w:pPr>
      <w:widowControl w:val="0"/>
      <w:tabs>
        <w:tab w:val="left" w:pos="360"/>
        <w:tab w:val="left" w:pos="915"/>
      </w:tabs>
      <w:adjustRightInd w:val="0"/>
      <w:spacing w:beforeLines="100" w:afterLines="100" w:line="700" w:lineRule="exact"/>
      <w:ind w:left="915" w:hanging="435"/>
      <w:textAlignment w:val="baseline"/>
      <w:outlineLvl w:val="9"/>
    </w:pPr>
    <w:rPr>
      <w:rFonts w:ascii="宋体" w:hAnsi="宋体" w:eastAsia="宋体"/>
      <w:kern w:val="24"/>
      <w:sz w:val="24"/>
      <w:szCs w:val="20"/>
    </w:rPr>
  </w:style>
  <w:style w:type="paragraph" w:customStyle="1" w:styleId="1352">
    <w:name w:val="表题74"/>
    <w:basedOn w:val="33"/>
    <w:qFormat/>
    <w:uiPriority w:val="99"/>
    <w:pPr>
      <w:widowControl w:val="0"/>
      <w:tabs>
        <w:tab w:val="left" w:pos="4305"/>
      </w:tabs>
      <w:adjustRightInd w:val="0"/>
      <w:snapToGrid w:val="0"/>
      <w:spacing w:after="0"/>
      <w:ind w:left="0" w:leftChars="0"/>
      <w:jc w:val="center"/>
    </w:pPr>
    <w:rPr>
      <w:rFonts w:ascii="黑体" w:hAnsi="宋体" w:eastAsia="黑体"/>
      <w:spacing w:val="0"/>
      <w:sz w:val="24"/>
      <w:szCs w:val="24"/>
    </w:rPr>
  </w:style>
  <w:style w:type="paragraph" w:customStyle="1" w:styleId="1353">
    <w:name w:val="xl85"/>
    <w:basedOn w:val="1"/>
    <w:qFormat/>
    <w:uiPriority w:val="99"/>
    <w:pPr>
      <w:spacing w:before="100" w:beforeAutospacing="1" w:after="100" w:afterAutospacing="1"/>
      <w:textAlignment w:val="center"/>
    </w:pPr>
    <w:rPr>
      <w:rFonts w:ascii="Arial Unicode MS" w:hAnsi="Arial Unicode MS" w:eastAsia="Arial Unicode MS" w:cs="Arial Unicode MS"/>
      <w:sz w:val="20"/>
      <w:szCs w:val="20"/>
    </w:rPr>
  </w:style>
  <w:style w:type="paragraph" w:customStyle="1" w:styleId="1354">
    <w:name w:val="brdrw15brsp20 tqctx4153t"/>
    <w:qFormat/>
    <w:uiPriority w:val="99"/>
    <w:pPr>
      <w:widowControl w:val="0"/>
      <w:pBdr>
        <w:bottom w:val="single" w:color="auto" w:sz="6" w:space="0"/>
      </w:pBdr>
      <w:adjustRightInd w:val="0"/>
      <w:spacing w:line="312" w:lineRule="atLeast"/>
      <w:jc w:val="center"/>
    </w:pPr>
    <w:rPr>
      <w:rFonts w:ascii="Times New Roman" w:hAnsi="Times New Roman" w:eastAsia="宋体" w:cs="Times New Roman"/>
      <w:sz w:val="21"/>
      <w:lang w:val="en-US" w:eastAsia="zh-CN" w:bidi="ar-SA"/>
    </w:rPr>
  </w:style>
  <w:style w:type="paragraph" w:customStyle="1" w:styleId="1355">
    <w:name w:val="Char Char10"/>
    <w:basedOn w:val="1"/>
    <w:qFormat/>
    <w:uiPriority w:val="0"/>
    <w:pPr>
      <w:widowControl w:val="0"/>
      <w:jc w:val="both"/>
    </w:pPr>
    <w:rPr>
      <w:rFonts w:ascii="Times New Roman" w:hAnsi="Times New Roman" w:cs="Times New Roman"/>
      <w:kern w:val="2"/>
      <w:sz w:val="21"/>
    </w:rPr>
  </w:style>
  <w:style w:type="paragraph" w:customStyle="1" w:styleId="1356">
    <w:name w:val="2 Char Char Char"/>
    <w:basedOn w:val="1"/>
    <w:qFormat/>
    <w:uiPriority w:val="0"/>
    <w:pPr>
      <w:widowControl w:val="0"/>
      <w:jc w:val="both"/>
    </w:pPr>
    <w:rPr>
      <w:rFonts w:ascii="Times New Roman" w:hAnsi="Times New Roman" w:cs="Times New Roman"/>
      <w:kern w:val="2"/>
      <w:sz w:val="21"/>
    </w:rPr>
  </w:style>
  <w:style w:type="paragraph" w:customStyle="1" w:styleId="1357">
    <w:name w:val="表格内容"/>
    <w:basedOn w:val="1"/>
    <w:qFormat/>
    <w:uiPriority w:val="0"/>
    <w:pPr>
      <w:widowControl w:val="0"/>
      <w:tabs>
        <w:tab w:val="left" w:pos="1800"/>
        <w:tab w:val="left" w:pos="2805"/>
      </w:tabs>
      <w:overflowPunct w:val="0"/>
      <w:adjustRightInd w:val="0"/>
      <w:snapToGrid w:val="0"/>
      <w:spacing w:before="40" w:after="60" w:line="200" w:lineRule="atLeast"/>
      <w:ind w:firstLine="200" w:firstLineChars="200"/>
      <w:jc w:val="both"/>
      <w:textAlignment w:val="baseline"/>
    </w:pPr>
    <w:rPr>
      <w:rFonts w:ascii="Arial" w:hAnsi="Arial" w:eastAsia="仿宋_GB2312" w:cs="Arial"/>
    </w:rPr>
  </w:style>
  <w:style w:type="paragraph" w:customStyle="1" w:styleId="1358">
    <w:name w:val="MTDisplayEquation"/>
    <w:basedOn w:val="1"/>
    <w:next w:val="1"/>
    <w:qFormat/>
    <w:uiPriority w:val="0"/>
    <w:pPr>
      <w:widowControl w:val="0"/>
      <w:tabs>
        <w:tab w:val="center" w:pos="4080"/>
        <w:tab w:val="right" w:pos="8160"/>
      </w:tabs>
      <w:spacing w:line="360" w:lineRule="auto"/>
      <w:ind w:firstLine="480" w:firstLineChars="200"/>
      <w:jc w:val="both"/>
    </w:pPr>
    <w:rPr>
      <w:rFonts w:ascii="Times New Roman" w:hAnsi="Times New Roman" w:cs="Times New Roman"/>
      <w:kern w:val="2"/>
    </w:rPr>
  </w:style>
  <w:style w:type="paragraph" w:customStyle="1" w:styleId="1359">
    <w:name w:val="表标题3.7"/>
    <w:basedOn w:val="1"/>
    <w:qFormat/>
    <w:uiPriority w:val="99"/>
    <w:pPr>
      <w:widowControl w:val="0"/>
      <w:tabs>
        <w:tab w:val="left" w:pos="2444"/>
        <w:tab w:val="center" w:pos="4060"/>
        <w:tab w:val="right" w:pos="8261"/>
      </w:tabs>
      <w:suppressAutoHyphens/>
      <w:adjustRightInd w:val="0"/>
      <w:spacing w:before="240" w:line="0" w:lineRule="atLeast"/>
      <w:ind w:left="1720" w:firstLine="4"/>
      <w:jc w:val="both"/>
    </w:pPr>
    <w:rPr>
      <w:rFonts w:ascii="黑体" w:hAnsi="Times New Roman" w:eastAsia="黑体" w:cs="Times New Roman"/>
      <w:b/>
      <w:spacing w:val="6"/>
      <w:sz w:val="26"/>
      <w:szCs w:val="26"/>
    </w:rPr>
  </w:style>
  <w:style w:type="paragraph" w:customStyle="1" w:styleId="1360">
    <w:name w:val="页号"/>
    <w:basedOn w:val="51"/>
    <w:qFormat/>
    <w:uiPriority w:val="99"/>
    <w:pPr>
      <w:widowControl w:val="0"/>
      <w:tabs>
        <w:tab w:val="center" w:pos="4320"/>
        <w:tab w:val="right" w:pos="8640"/>
        <w:tab w:val="clear" w:pos="4153"/>
        <w:tab w:val="clear" w:pos="8306"/>
      </w:tabs>
      <w:adjustRightInd w:val="0"/>
      <w:jc w:val="center"/>
      <w:textAlignment w:val="baseline"/>
    </w:pPr>
    <w:rPr>
      <w:rFonts w:ascii="宋体" w:hAnsi="Arial"/>
      <w:spacing w:val="3"/>
      <w:kern w:val="24"/>
      <w:sz w:val="24"/>
      <w:szCs w:val="20"/>
    </w:rPr>
  </w:style>
  <w:style w:type="paragraph" w:customStyle="1" w:styleId="1361">
    <w:name w:val="reader-word-layer"/>
    <w:basedOn w:val="1"/>
    <w:qFormat/>
    <w:uiPriority w:val="0"/>
    <w:pPr>
      <w:spacing w:before="100" w:beforeAutospacing="1" w:after="100" w:afterAutospacing="1"/>
    </w:pPr>
  </w:style>
  <w:style w:type="paragraph" w:customStyle="1" w:styleId="1362">
    <w:name w:val="Char1 Char Char Char Char Char1 Char2"/>
    <w:basedOn w:val="1"/>
    <w:qFormat/>
    <w:uiPriority w:val="99"/>
    <w:pPr>
      <w:widowControl w:val="0"/>
      <w:jc w:val="both"/>
    </w:pPr>
    <w:rPr>
      <w:rFonts w:ascii="Tahoma" w:hAnsi="Tahoma" w:cs="Times New Roman"/>
      <w:kern w:val="2"/>
      <w:szCs w:val="20"/>
    </w:rPr>
  </w:style>
  <w:style w:type="paragraph" w:customStyle="1" w:styleId="1363">
    <w:name w:val="页脚1"/>
    <w:basedOn w:val="164"/>
    <w:qFormat/>
    <w:uiPriority w:val="99"/>
    <w:pPr>
      <w:tabs>
        <w:tab w:val="center" w:pos="4153"/>
        <w:tab w:val="right" w:pos="8306"/>
      </w:tabs>
      <w:spacing w:line="240" w:lineRule="atLeast"/>
    </w:pPr>
    <w:rPr>
      <w:rFonts w:eastAsia="Times New Roman"/>
      <w:sz w:val="18"/>
      <w:szCs w:val="22"/>
    </w:rPr>
  </w:style>
  <w:style w:type="paragraph" w:customStyle="1" w:styleId="1364">
    <w:name w:val="正文21"/>
    <w:basedOn w:val="1"/>
    <w:next w:val="1"/>
    <w:qFormat/>
    <w:uiPriority w:val="99"/>
    <w:pPr>
      <w:widowControl w:val="0"/>
      <w:spacing w:line="360" w:lineRule="auto"/>
      <w:jc w:val="both"/>
    </w:pPr>
    <w:rPr>
      <w:rFonts w:ascii="仿宋_GB2312" w:hAnsi="Times New Roman" w:eastAsia="仿宋_GB2312" w:cs="Times New Roman"/>
      <w:kern w:val="2"/>
      <w:sz w:val="28"/>
      <w:szCs w:val="28"/>
    </w:rPr>
  </w:style>
  <w:style w:type="paragraph" w:customStyle="1" w:styleId="1365">
    <w:name w:val="基准标题"/>
    <w:basedOn w:val="32"/>
    <w:next w:val="32"/>
    <w:qFormat/>
    <w:uiPriority w:val="99"/>
    <w:pPr>
      <w:keepNext/>
      <w:keepLines/>
      <w:spacing w:line="280" w:lineRule="exact"/>
    </w:pPr>
    <w:rPr>
      <w:rFonts w:ascii="Arial Black" w:hAnsi="Arial Black"/>
      <w:color w:val="auto"/>
      <w:spacing w:val="-10"/>
      <w:kern w:val="28"/>
      <w:sz w:val="30"/>
      <w:szCs w:val="20"/>
    </w:rPr>
  </w:style>
  <w:style w:type="paragraph" w:customStyle="1" w:styleId="1366">
    <w:name w:val="样式 表内5 + 首行缩进:  2 字符"/>
    <w:basedOn w:val="998"/>
    <w:qFormat/>
    <w:uiPriority w:val="99"/>
    <w:pPr>
      <w:ind w:firstLine="420"/>
    </w:pPr>
    <w:rPr>
      <w:szCs w:val="20"/>
    </w:rPr>
  </w:style>
  <w:style w:type="paragraph" w:customStyle="1" w:styleId="1367">
    <w:name w:val="标题16.1.1.1"/>
    <w:basedOn w:val="8"/>
    <w:qFormat/>
    <w:uiPriority w:val="99"/>
    <w:pPr>
      <w:widowControl w:val="0"/>
      <w:tabs>
        <w:tab w:val="left" w:pos="360"/>
        <w:tab w:val="left" w:pos="1680"/>
      </w:tabs>
      <w:spacing w:before="120" w:after="120" w:line="312" w:lineRule="auto"/>
      <w:ind w:left="1680" w:hanging="420"/>
      <w:jc w:val="both"/>
    </w:pPr>
    <w:rPr>
      <w:rFonts w:ascii="Arial" w:hAnsi="Arial" w:eastAsia="黑体" w:cs="Times New Roman"/>
      <w:b/>
      <w:bCs/>
      <w:kern w:val="2"/>
      <w:szCs w:val="24"/>
      <w:lang w:val="en-US"/>
    </w:rPr>
  </w:style>
  <w:style w:type="paragraph" w:customStyle="1" w:styleId="1368">
    <w:name w:val="xl79"/>
    <w:basedOn w:val="1"/>
    <w:qFormat/>
    <w:uiPriority w:val="99"/>
    <w:pPr>
      <w:pBdr>
        <w:top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369">
    <w:name w:val="CM138"/>
    <w:basedOn w:val="1"/>
    <w:next w:val="1"/>
    <w:qFormat/>
    <w:uiPriority w:val="99"/>
    <w:pPr>
      <w:widowControl w:val="0"/>
      <w:autoSpaceDE w:val="0"/>
      <w:autoSpaceDN w:val="0"/>
      <w:adjustRightInd w:val="0"/>
      <w:spacing w:after="130"/>
    </w:pPr>
    <w:rPr>
      <w:rFonts w:hAnsi="Times New Roman"/>
    </w:rPr>
  </w:style>
  <w:style w:type="paragraph" w:customStyle="1" w:styleId="1370">
    <w:name w:val="xl45"/>
    <w:basedOn w:val="1"/>
    <w:qFormat/>
    <w:uiPriority w:val="99"/>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371">
    <w:name w:val="样式 宋体 四号 黑色 行距: 1.5 倍行距"/>
    <w:basedOn w:val="1"/>
    <w:qFormat/>
    <w:uiPriority w:val="99"/>
    <w:pPr>
      <w:widowControl w:val="0"/>
      <w:autoSpaceDE w:val="0"/>
      <w:autoSpaceDN w:val="0"/>
      <w:spacing w:line="360" w:lineRule="auto"/>
      <w:ind w:firstLine="200" w:firstLineChars="200"/>
      <w:jc w:val="both"/>
    </w:pPr>
    <w:rPr>
      <w:color w:val="000000"/>
      <w:kern w:val="2"/>
      <w:sz w:val="28"/>
      <w:szCs w:val="20"/>
    </w:rPr>
  </w:style>
  <w:style w:type="paragraph" w:customStyle="1" w:styleId="1372">
    <w:name w:val="表标题2"/>
    <w:basedOn w:val="1"/>
    <w:qFormat/>
    <w:uiPriority w:val="0"/>
    <w:pPr>
      <w:keepNext/>
      <w:widowControl w:val="0"/>
      <w:adjustRightInd w:val="0"/>
      <w:spacing w:before="60" w:after="60" w:line="397" w:lineRule="atLeast"/>
      <w:jc w:val="center"/>
      <w:textAlignment w:val="baseline"/>
    </w:pPr>
    <w:rPr>
      <w:rFonts w:ascii="Times New Roman" w:hAnsi="Times New Roman" w:cs="Times New Roman"/>
      <w:b/>
      <w:szCs w:val="20"/>
    </w:rPr>
  </w:style>
  <w:style w:type="paragraph" w:customStyle="1" w:styleId="1373">
    <w:name w:val="CM63"/>
    <w:basedOn w:val="103"/>
    <w:next w:val="103"/>
    <w:qFormat/>
    <w:uiPriority w:val="99"/>
    <w:pPr>
      <w:spacing w:after="270"/>
    </w:pPr>
    <w:rPr>
      <w:color w:val="auto"/>
    </w:rPr>
  </w:style>
  <w:style w:type="paragraph" w:customStyle="1" w:styleId="1374">
    <w:name w:val="CM16"/>
    <w:basedOn w:val="103"/>
    <w:next w:val="103"/>
    <w:qFormat/>
    <w:uiPriority w:val="99"/>
    <w:pPr>
      <w:spacing w:line="468" w:lineRule="atLeast"/>
    </w:pPr>
    <w:rPr>
      <w:color w:val="auto"/>
    </w:rPr>
  </w:style>
  <w:style w:type="paragraph" w:customStyle="1" w:styleId="1375">
    <w:name w:val="Char Char1 Char"/>
    <w:basedOn w:val="1"/>
    <w:qFormat/>
    <w:uiPriority w:val="0"/>
    <w:pPr>
      <w:widowControl w:val="0"/>
      <w:jc w:val="both"/>
    </w:pPr>
    <w:rPr>
      <w:rFonts w:ascii="Times New Roman" w:hAnsi="Times New Roman" w:cs="Times New Roman"/>
      <w:kern w:val="2"/>
      <w:sz w:val="21"/>
    </w:rPr>
  </w:style>
  <w:style w:type="paragraph" w:customStyle="1" w:styleId="1376">
    <w:name w:val="样式 样式 样式 标题 4款标题1.1.1.1 南陵标题 4标题 4 CharH4PIM 4h4First Subheadin...."/>
    <w:basedOn w:val="1"/>
    <w:qFormat/>
    <w:uiPriority w:val="0"/>
    <w:pPr>
      <w:widowControl w:val="0"/>
      <w:spacing w:line="360" w:lineRule="auto"/>
      <w:jc w:val="both"/>
      <w:outlineLvl w:val="3"/>
    </w:pPr>
    <w:rPr>
      <w:rFonts w:ascii="黑体" w:hAnsi="Times New Roman" w:eastAsia="黑体" w:cs="Times New Roman"/>
    </w:rPr>
  </w:style>
  <w:style w:type="paragraph" w:customStyle="1" w:styleId="1377">
    <w:name w:val="char"/>
    <w:basedOn w:val="1"/>
    <w:qFormat/>
    <w:uiPriority w:val="99"/>
    <w:pPr>
      <w:spacing w:after="160" w:line="240" w:lineRule="exact"/>
    </w:pPr>
    <w:rPr>
      <w:rFonts w:ascii="Verdana" w:hAnsi="Verdana" w:eastAsia="仿宋_GB2312" w:cs="”“Times New Roman”“"/>
      <w:szCs w:val="20"/>
      <w:lang w:eastAsia="en-US"/>
    </w:rPr>
  </w:style>
  <w:style w:type="paragraph" w:customStyle="1" w:styleId="1378">
    <w:name w:val="kk"/>
    <w:basedOn w:val="32"/>
    <w:qFormat/>
    <w:uiPriority w:val="99"/>
    <w:pPr>
      <w:widowControl w:val="0"/>
      <w:autoSpaceDE w:val="0"/>
      <w:autoSpaceDN w:val="0"/>
      <w:adjustRightInd w:val="0"/>
      <w:spacing w:line="360" w:lineRule="auto"/>
      <w:jc w:val="both"/>
      <w:textAlignment w:val="baseline"/>
    </w:pPr>
    <w:rPr>
      <w:rFonts w:ascii="Times New Roman" w:hAnsi="Times New Roman"/>
      <w:color w:val="auto"/>
      <w:spacing w:val="10"/>
      <w:kern w:val="0"/>
      <w:szCs w:val="20"/>
    </w:rPr>
  </w:style>
  <w:style w:type="paragraph" w:customStyle="1" w:styleId="1379">
    <w:name w:val="样式 标题 2标题 21标题 121节H2SeHead wsa2标题 1.1 + 黑体 四号 非加粗"/>
    <w:basedOn w:val="5"/>
    <w:qFormat/>
    <w:uiPriority w:val="99"/>
    <w:pPr>
      <w:widowControl w:val="0"/>
      <w:tabs>
        <w:tab w:val="left" w:pos="576"/>
      </w:tabs>
      <w:spacing w:before="260" w:after="260" w:line="416" w:lineRule="auto"/>
      <w:ind w:left="576" w:hanging="576"/>
      <w:jc w:val="both"/>
    </w:pPr>
    <w:rPr>
      <w:rFonts w:ascii="黑体" w:hAnsi="黑体"/>
      <w:bCs w:val="0"/>
    </w:rPr>
  </w:style>
  <w:style w:type="paragraph" w:customStyle="1" w:styleId="1380">
    <w:name w:val="样式3wf"/>
    <w:basedOn w:val="1300"/>
    <w:qFormat/>
    <w:uiPriority w:val="99"/>
    <w:pPr>
      <w:keepNext w:val="0"/>
      <w:keepLines w:val="0"/>
      <w:autoSpaceDE w:val="0"/>
      <w:autoSpaceDN w:val="0"/>
      <w:adjustRightInd w:val="0"/>
      <w:snapToGrid w:val="0"/>
      <w:spacing w:before="120" w:line="240" w:lineRule="auto"/>
      <w:jc w:val="center"/>
      <w:textAlignment w:val="baseline"/>
      <w:outlineLvl w:val="9"/>
    </w:pPr>
    <w:rPr>
      <w:rFonts w:ascii="Times New Roman" w:hAnsi="Times New Roman" w:eastAsia="宋体"/>
      <w:bCs w:val="0"/>
      <w:sz w:val="21"/>
      <w:szCs w:val="21"/>
    </w:rPr>
  </w:style>
  <w:style w:type="paragraph" w:customStyle="1" w:styleId="1381">
    <w:name w:val="样式 表格文字居中 + 五号"/>
    <w:basedOn w:val="564"/>
    <w:qFormat/>
    <w:uiPriority w:val="99"/>
    <w:pPr>
      <w:spacing w:line="240" w:lineRule="exact"/>
    </w:pPr>
    <w:rPr>
      <w:rFonts w:hAnsi="Times New Roman"/>
      <w:snapToGrid w:val="0"/>
      <w:color w:val="000000"/>
      <w:spacing w:val="-6"/>
    </w:rPr>
  </w:style>
  <w:style w:type="paragraph" w:customStyle="1" w:styleId="1382">
    <w:name w:val="Address 1"/>
    <w:basedOn w:val="1"/>
    <w:qFormat/>
    <w:uiPriority w:val="99"/>
    <w:pPr>
      <w:spacing w:line="200" w:lineRule="atLeast"/>
    </w:pPr>
    <w:rPr>
      <w:rFonts w:ascii="Times New Roman" w:hAnsi="Times New Roman" w:cs="Times New Roman"/>
      <w:sz w:val="16"/>
      <w:szCs w:val="20"/>
    </w:rPr>
  </w:style>
  <w:style w:type="paragraph" w:customStyle="1" w:styleId="1383">
    <w:name w:val="font15"/>
    <w:basedOn w:val="1"/>
    <w:qFormat/>
    <w:uiPriority w:val="99"/>
    <w:pPr>
      <w:spacing w:before="100" w:beforeAutospacing="1" w:after="100" w:afterAutospacing="1"/>
    </w:pPr>
    <w:rPr>
      <w:rFonts w:ascii="Times New Roman" w:hAnsi="Times New Roman" w:eastAsia="Arial Unicode MS" w:cs="Times New Roman"/>
      <w:b/>
      <w:bCs/>
      <w:sz w:val="16"/>
      <w:szCs w:val="16"/>
    </w:rPr>
  </w:style>
  <w:style w:type="paragraph" w:customStyle="1" w:styleId="1384">
    <w:name w:val="xl93"/>
    <w:basedOn w:val="1"/>
    <w:qFormat/>
    <w:uiPriority w:val="99"/>
    <w:pPr>
      <w:pBdr>
        <w:top w:val="single" w:color="auto" w:sz="4" w:space="0"/>
        <w:bottom w:val="single" w:color="auto" w:sz="8" w:space="0"/>
        <w:right w:val="single" w:color="auto" w:sz="8" w:space="0"/>
      </w:pBdr>
      <w:spacing w:before="100" w:beforeAutospacing="1" w:after="100" w:afterAutospacing="1"/>
    </w:pPr>
    <w:rPr>
      <w:rFonts w:ascii="Arial Unicode MS" w:hAnsi="Arial Unicode MS" w:eastAsia="Arial Unicode MS" w:cs="Arial Unicode MS"/>
    </w:rPr>
  </w:style>
  <w:style w:type="paragraph" w:customStyle="1" w:styleId="1385">
    <w:name w:val="列表 4C"/>
    <w:basedOn w:val="70"/>
    <w:next w:val="70"/>
    <w:qFormat/>
    <w:uiPriority w:val="99"/>
    <w:pPr>
      <w:tabs>
        <w:tab w:val="left" w:pos="562"/>
      </w:tabs>
      <w:topLinePunct w:val="0"/>
      <w:spacing w:beforeLines="20" w:afterLines="20" w:line="288" w:lineRule="auto"/>
      <w:ind w:left="562" w:leftChars="0" w:hanging="420" w:firstLineChars="0"/>
      <w:jc w:val="both"/>
    </w:pPr>
    <w:rPr>
      <w:rFonts w:ascii="Arial" w:hAnsi="Arial" w:eastAsia="宋体"/>
      <w:color w:val="CCFFFF"/>
      <w:sz w:val="24"/>
    </w:rPr>
  </w:style>
  <w:style w:type="paragraph" w:customStyle="1" w:styleId="1386">
    <w:name w:val="xl47"/>
    <w:basedOn w:val="1"/>
    <w:qFormat/>
    <w:uiPriority w:val="99"/>
    <w:pPr>
      <w:pBdr>
        <w:left w:val="single" w:color="auto" w:sz="4" w:space="0"/>
        <w:bottom w:val="single" w:color="auto" w:sz="4" w:space="0"/>
        <w:right w:val="single" w:color="auto" w:sz="4" w:space="0"/>
      </w:pBdr>
      <w:spacing w:before="100" w:beforeAutospacing="1" w:after="100" w:afterAutospacing="1"/>
      <w:jc w:val="both"/>
    </w:pPr>
    <w:rPr>
      <w:rFonts w:ascii="Arial Unicode MS" w:hAnsi="Arial Unicode MS" w:eastAsia="Arial Unicode MS" w:cs="Times New Roman"/>
      <w:sz w:val="21"/>
      <w:szCs w:val="21"/>
    </w:rPr>
  </w:style>
  <w:style w:type="paragraph" w:customStyle="1" w:styleId="1387">
    <w:name w:val="CM21"/>
    <w:basedOn w:val="103"/>
    <w:next w:val="103"/>
    <w:qFormat/>
    <w:uiPriority w:val="99"/>
    <w:pPr>
      <w:spacing w:line="468" w:lineRule="atLeast"/>
    </w:pPr>
    <w:rPr>
      <w:color w:val="auto"/>
    </w:rPr>
  </w:style>
  <w:style w:type="paragraph" w:customStyle="1" w:styleId="1388">
    <w:name w:val="列表 4V"/>
    <w:basedOn w:val="70"/>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389">
    <w:name w:val="样式9"/>
    <w:basedOn w:val="7"/>
    <w:link w:val="1390"/>
    <w:qFormat/>
    <w:uiPriority w:val="99"/>
    <w:pPr>
      <w:keepNext w:val="0"/>
      <w:keepLines w:val="0"/>
      <w:adjustRightInd w:val="0"/>
      <w:snapToGrid w:val="0"/>
      <w:spacing w:beforeLines="50" w:afterLines="50" w:line="360" w:lineRule="auto"/>
      <w:textAlignment w:val="baseline"/>
    </w:pPr>
    <w:rPr>
      <w:rFonts w:ascii="宋体" w:eastAsia="宋体"/>
      <w:b/>
      <w:bCs w:val="0"/>
      <w:sz w:val="24"/>
      <w:szCs w:val="20"/>
    </w:rPr>
  </w:style>
  <w:style w:type="character" w:customStyle="1" w:styleId="1390">
    <w:name w:val="样式9 Char"/>
    <w:link w:val="1389"/>
    <w:qFormat/>
    <w:uiPriority w:val="99"/>
    <w:rPr>
      <w:rFonts w:ascii="宋体"/>
      <w:b/>
      <w:sz w:val="24"/>
    </w:rPr>
  </w:style>
  <w:style w:type="paragraph" w:customStyle="1" w:styleId="1391">
    <w:name w:val="xl54"/>
    <w:basedOn w:val="1"/>
    <w:qFormat/>
    <w:uiPriority w:val="99"/>
    <w:pPr>
      <w:pBdr>
        <w:top w:val="single" w:color="auto" w:sz="8" w:space="0"/>
        <w:bottom w:val="single" w:color="auto" w:sz="8" w:space="0"/>
        <w:right w:val="single" w:color="auto" w:sz="4" w:space="0"/>
      </w:pBdr>
      <w:spacing w:before="100" w:beforeAutospacing="1" w:after="100" w:afterAutospacing="1"/>
      <w:jc w:val="center"/>
      <w:textAlignment w:val="top"/>
    </w:pPr>
    <w:rPr>
      <w:rFonts w:eastAsia="仿宋_GB2312" w:cs="Times New Roman"/>
      <w:position w:val="-6"/>
      <w:szCs w:val="21"/>
    </w:rPr>
  </w:style>
  <w:style w:type="paragraph" w:customStyle="1" w:styleId="1392">
    <w:name w:val="表中居中文字"/>
    <w:basedOn w:val="1"/>
    <w:qFormat/>
    <w:uiPriority w:val="99"/>
    <w:pPr>
      <w:widowControl w:val="0"/>
      <w:jc w:val="both"/>
    </w:pPr>
    <w:rPr>
      <w:rFonts w:cs="Arial"/>
      <w:bCs/>
      <w:color w:val="FF0000"/>
      <w:kern w:val="2"/>
      <w:szCs w:val="18"/>
    </w:rPr>
  </w:style>
  <w:style w:type="paragraph" w:customStyle="1" w:styleId="1393">
    <w:name w:val="备注"/>
    <w:basedOn w:val="79"/>
    <w:qFormat/>
    <w:uiPriority w:val="99"/>
    <w:pPr>
      <w:keepNext/>
      <w:tabs>
        <w:tab w:val="left" w:pos="628"/>
        <w:tab w:val="left" w:pos="1727"/>
        <w:tab w:val="left" w:pos="1884"/>
        <w:tab w:val="left" w:pos="4900"/>
      </w:tabs>
      <w:adjustRightInd w:val="0"/>
      <w:snapToGrid w:val="0"/>
      <w:spacing w:after="0" w:line="0" w:lineRule="atLeast"/>
      <w:ind w:firstLine="0" w:firstLineChars="0"/>
    </w:pPr>
    <w:rPr>
      <w:rFonts w:cs="Arial"/>
      <w:sz w:val="18"/>
      <w:szCs w:val="18"/>
    </w:rPr>
  </w:style>
  <w:style w:type="paragraph" w:customStyle="1" w:styleId="1394">
    <w:name w:val="列表 5M"/>
    <w:basedOn w:val="64"/>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395">
    <w:name w:val="Char Char Char2 Char Char Char Char Char Char Char Char Char Char1"/>
    <w:basedOn w:val="1"/>
    <w:qFormat/>
    <w:uiPriority w:val="0"/>
    <w:pPr>
      <w:widowControl w:val="0"/>
      <w:jc w:val="both"/>
    </w:pPr>
    <w:rPr>
      <w:rFonts w:ascii="Times New Roman" w:hAnsi="Times New Roman" w:cs="Times New Roman"/>
      <w:kern w:val="2"/>
      <w:sz w:val="21"/>
    </w:rPr>
  </w:style>
  <w:style w:type="paragraph" w:customStyle="1" w:styleId="1396">
    <w:name w:val="表标16.6"/>
    <w:next w:val="173"/>
    <w:qFormat/>
    <w:uiPriority w:val="99"/>
    <w:pPr>
      <w:tabs>
        <w:tab w:val="left" w:pos="1560"/>
        <w:tab w:val="left" w:pos="2160"/>
      </w:tabs>
      <w:adjustRightInd w:val="0"/>
      <w:snapToGrid w:val="0"/>
      <w:spacing w:line="360" w:lineRule="auto"/>
      <w:jc w:val="center"/>
      <w:textAlignment w:val="baseline"/>
    </w:pPr>
    <w:rPr>
      <w:rFonts w:ascii="Times New Roman" w:hAnsi="Times New Roman" w:eastAsia="仿宋_GB2312" w:cs="Times New Roman"/>
      <w:b/>
      <w:color w:val="000000"/>
      <w:kern w:val="2"/>
      <w:sz w:val="24"/>
      <w:szCs w:val="24"/>
      <w:lang w:val="en-US" w:eastAsia="zh-CN" w:bidi="ar-SA"/>
    </w:rPr>
  </w:style>
  <w:style w:type="paragraph" w:customStyle="1" w:styleId="1397">
    <w:name w:val="表3.3"/>
    <w:basedOn w:val="1"/>
    <w:qFormat/>
    <w:uiPriority w:val="99"/>
    <w:pPr>
      <w:widowControl w:val="0"/>
      <w:tabs>
        <w:tab w:val="left" w:pos="726"/>
        <w:tab w:val="center" w:pos="4060"/>
        <w:tab w:val="right" w:pos="8261"/>
      </w:tabs>
      <w:suppressAutoHyphens/>
      <w:adjustRightInd w:val="0"/>
      <w:spacing w:before="240" w:line="0" w:lineRule="atLeast"/>
      <w:ind w:left="2" w:firstLine="4"/>
      <w:jc w:val="both"/>
    </w:pPr>
    <w:rPr>
      <w:rFonts w:ascii="黑体" w:hAnsi="Times New Roman" w:eastAsia="黑体" w:cs="Times New Roman"/>
      <w:b/>
      <w:spacing w:val="6"/>
      <w:sz w:val="26"/>
      <w:szCs w:val="26"/>
    </w:rPr>
  </w:style>
  <w:style w:type="paragraph" w:customStyle="1" w:styleId="1398">
    <w:name w:val="表格内容（OPCC宋体）"/>
    <w:basedOn w:val="1"/>
    <w:qFormat/>
    <w:uiPriority w:val="99"/>
    <w:pPr>
      <w:widowControl w:val="0"/>
      <w:adjustRightInd w:val="0"/>
      <w:snapToGrid w:val="0"/>
      <w:jc w:val="center"/>
    </w:pPr>
    <w:rPr>
      <w:rFonts w:ascii="Times New Roman" w:hAnsi="Times New Roman" w:eastAsia="仿宋_GB2312"/>
      <w:snapToGrid w:val="0"/>
      <w:sz w:val="21"/>
      <w:szCs w:val="21"/>
    </w:rPr>
  </w:style>
  <w:style w:type="paragraph" w:customStyle="1" w:styleId="1399">
    <w:name w:val="样式 表标题4.9 + 居中"/>
    <w:basedOn w:val="1230"/>
    <w:qFormat/>
    <w:uiPriority w:val="99"/>
    <w:pPr>
      <w:tabs>
        <w:tab w:val="left" w:pos="726"/>
        <w:tab w:val="clear" w:pos="4060"/>
        <w:tab w:val="clear" w:pos="8261"/>
      </w:tabs>
      <w:ind w:left="2" w:firstLine="4"/>
      <w:jc w:val="center"/>
    </w:pPr>
    <w:rPr>
      <w:rFonts w:cs="宋体"/>
      <w:bCs/>
      <w:szCs w:val="20"/>
    </w:rPr>
  </w:style>
  <w:style w:type="paragraph" w:customStyle="1" w:styleId="1400">
    <w:name w:val="威顿报告正文"/>
    <w:basedOn w:val="1"/>
    <w:qFormat/>
    <w:uiPriority w:val="99"/>
    <w:pPr>
      <w:widowControl w:val="0"/>
      <w:adjustRightInd w:val="0"/>
      <w:snapToGrid w:val="0"/>
      <w:spacing w:beforeLines="25" w:line="440" w:lineRule="exact"/>
      <w:ind w:firstLine="200" w:firstLineChars="200"/>
      <w:jc w:val="both"/>
    </w:pPr>
    <w:rPr>
      <w:rFonts w:ascii="Times New Roman" w:hAnsi="Times New Roman" w:cs="Times New Roman"/>
      <w:color w:val="000000"/>
      <w:kern w:val="2"/>
    </w:rPr>
  </w:style>
  <w:style w:type="paragraph" w:customStyle="1" w:styleId="1401">
    <w:name w:val="字元 字元 Char Char 字元 字元1 Char Char Char"/>
    <w:basedOn w:val="1"/>
    <w:qFormat/>
    <w:uiPriority w:val="0"/>
    <w:pPr>
      <w:widowControl w:val="0"/>
      <w:jc w:val="both"/>
    </w:pPr>
    <w:rPr>
      <w:rFonts w:ascii="Times New Roman" w:hAnsi="Times New Roman" w:cs="Times New Roman"/>
      <w:kern w:val="2"/>
    </w:rPr>
  </w:style>
  <w:style w:type="paragraph" w:customStyle="1" w:styleId="1402">
    <w:name w:val="样式 样式 样式 方正宋三简体 14 磅 行距: 1.5 倍行距1 + 首行缩进:  2 字符 + 首行缩进:  2 字符"/>
    <w:basedOn w:val="1"/>
    <w:qFormat/>
    <w:uiPriority w:val="99"/>
    <w:pPr>
      <w:widowControl w:val="0"/>
      <w:ind w:firstLine="574" w:firstLineChars="200"/>
      <w:jc w:val="both"/>
    </w:pPr>
    <w:rPr>
      <w:rFonts w:hAnsi="方正宋三简体" w:cs="Times New Roman"/>
      <w:kern w:val="2"/>
      <w:sz w:val="27"/>
      <w:szCs w:val="20"/>
    </w:rPr>
  </w:style>
  <w:style w:type="paragraph" w:customStyle="1" w:styleId="1403">
    <w:name w:val="001"/>
    <w:basedOn w:val="1"/>
    <w:qFormat/>
    <w:uiPriority w:val="0"/>
    <w:pPr>
      <w:widowControl w:val="0"/>
      <w:ind w:firstLine="200" w:firstLineChars="200"/>
      <w:jc w:val="both"/>
    </w:pPr>
    <w:rPr>
      <w:rFonts w:ascii="Times New Roman" w:hAnsi="Times New Roman" w:eastAsia="黑体" w:cs="Times New Roman"/>
      <w:kern w:val="2"/>
      <w:sz w:val="28"/>
      <w:szCs w:val="20"/>
    </w:rPr>
  </w:style>
  <w:style w:type="paragraph" w:customStyle="1" w:styleId="1404">
    <w:name w:val="样式 标题 3 + 五号 非加粗 段前: 0 磅 段后: 0 磅 行距: 最小值 0 磅"/>
    <w:basedOn w:val="7"/>
    <w:qFormat/>
    <w:uiPriority w:val="99"/>
    <w:pPr>
      <w:keepNext w:val="0"/>
      <w:tabs>
        <w:tab w:val="left" w:pos="1260"/>
      </w:tabs>
      <w:spacing w:beforeLines="50" w:afterLines="50" w:line="0" w:lineRule="atLeast"/>
      <w:jc w:val="center"/>
    </w:pPr>
    <w:rPr>
      <w:b/>
      <w:bCs w:val="0"/>
      <w:snapToGrid w:val="0"/>
      <w:sz w:val="21"/>
      <w:szCs w:val="20"/>
    </w:rPr>
  </w:style>
  <w:style w:type="paragraph" w:customStyle="1" w:styleId="1405">
    <w:name w:val="表格王"/>
    <w:basedOn w:val="1"/>
    <w:qFormat/>
    <w:uiPriority w:val="99"/>
    <w:pPr>
      <w:widowControl w:val="0"/>
      <w:spacing w:line="360" w:lineRule="exact"/>
      <w:jc w:val="center"/>
    </w:pPr>
    <w:rPr>
      <w:rFonts w:ascii="Times New Roman" w:hAnsi="Times New Roman" w:cs="Times New Roman"/>
      <w:kern w:val="2"/>
      <w:sz w:val="21"/>
    </w:rPr>
  </w:style>
  <w:style w:type="paragraph" w:customStyle="1" w:styleId="1406">
    <w:name w:val="Qzy样式1"/>
    <w:basedOn w:val="4"/>
    <w:qFormat/>
    <w:uiPriority w:val="99"/>
    <w:pPr>
      <w:keepLines/>
      <w:spacing w:line="240" w:lineRule="atLeast"/>
      <w:jc w:val="both"/>
    </w:pPr>
    <w:rPr>
      <w:rFonts w:ascii="Times New Roman" w:hAnsi="Times New Roman" w:eastAsia="宋体"/>
      <w:kern w:val="44"/>
      <w:sz w:val="36"/>
      <w:szCs w:val="20"/>
    </w:rPr>
  </w:style>
  <w:style w:type="paragraph" w:customStyle="1" w:styleId="1407">
    <w:name w:val="样式"/>
    <w:qFormat/>
    <w:uiPriority w:val="99"/>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1408">
    <w:name w:val="标题 1 + 段前: 0.5 行 段后: 0.5 行1"/>
    <w:basedOn w:val="1"/>
    <w:qFormat/>
    <w:uiPriority w:val="99"/>
    <w:pPr>
      <w:widowControl w:val="0"/>
      <w:tabs>
        <w:tab w:val="left" w:pos="3480"/>
      </w:tabs>
      <w:spacing w:before="120" w:after="120"/>
      <w:ind w:left="2820" w:hanging="420"/>
      <w:outlineLvl w:val="0"/>
    </w:pPr>
    <w:rPr>
      <w:rFonts w:ascii="Times New Roman" w:hAnsi="Times New Roman" w:eastAsia="黑体"/>
      <w:kern w:val="2"/>
      <w:sz w:val="28"/>
      <w:szCs w:val="20"/>
    </w:rPr>
  </w:style>
  <w:style w:type="paragraph" w:customStyle="1" w:styleId="1409">
    <w:name w:val="CM20"/>
    <w:basedOn w:val="103"/>
    <w:next w:val="103"/>
    <w:qFormat/>
    <w:uiPriority w:val="99"/>
    <w:rPr>
      <w:color w:val="auto"/>
    </w:rPr>
  </w:style>
  <w:style w:type="paragraph" w:customStyle="1" w:styleId="1410">
    <w:name w:val="Char Char Char Char12"/>
    <w:basedOn w:val="1"/>
    <w:qFormat/>
    <w:uiPriority w:val="99"/>
    <w:pPr>
      <w:widowControl w:val="0"/>
      <w:snapToGrid w:val="0"/>
      <w:spacing w:line="440" w:lineRule="atLeast"/>
      <w:jc w:val="both"/>
    </w:pPr>
    <w:rPr>
      <w:rFonts w:hAnsi="Times New Roman" w:cs="Times New Roman"/>
      <w:kern w:val="2"/>
    </w:rPr>
  </w:style>
  <w:style w:type="paragraph" w:customStyle="1" w:styleId="1411">
    <w:name w:val="CM64"/>
    <w:basedOn w:val="103"/>
    <w:next w:val="103"/>
    <w:qFormat/>
    <w:uiPriority w:val="99"/>
    <w:pPr>
      <w:spacing w:after="583"/>
    </w:pPr>
    <w:rPr>
      <w:color w:val="auto"/>
    </w:rPr>
  </w:style>
  <w:style w:type="paragraph" w:customStyle="1" w:styleId="1412">
    <w:name w:val="Char Char Char1 Char Char Char Char Char Char Char Char Char Char1"/>
    <w:basedOn w:val="1"/>
    <w:qFormat/>
    <w:uiPriority w:val="0"/>
    <w:pPr>
      <w:widowControl w:val="0"/>
      <w:jc w:val="both"/>
    </w:pPr>
    <w:rPr>
      <w:rFonts w:ascii="Times New Roman" w:hAnsi="Times New Roman" w:cs="Times New Roman"/>
      <w:kern w:val="2"/>
      <w:sz w:val="21"/>
    </w:rPr>
  </w:style>
  <w:style w:type="paragraph" w:customStyle="1" w:styleId="1413">
    <w:name w:val="样式 样式 标题 2 + 左侧:  2 字符1 + 左侧:  2 字符"/>
    <w:basedOn w:val="1"/>
    <w:qFormat/>
    <w:uiPriority w:val="99"/>
    <w:pPr>
      <w:keepNext/>
      <w:keepLines/>
      <w:widowControl w:val="0"/>
      <w:tabs>
        <w:tab w:val="left" w:pos="840"/>
      </w:tabs>
      <w:spacing w:beforeLines="50" w:afterLines="50"/>
      <w:ind w:left="210" w:right="210" w:rightChars="100"/>
      <w:jc w:val="both"/>
      <w:outlineLvl w:val="1"/>
    </w:pPr>
    <w:rPr>
      <w:rFonts w:ascii="黑体" w:hAnsi="Arial" w:eastAsia="黑体" w:cs="Times New Roman"/>
      <w:kern w:val="2"/>
      <w:sz w:val="52"/>
      <w:szCs w:val="20"/>
    </w:rPr>
  </w:style>
  <w:style w:type="paragraph" w:customStyle="1" w:styleId="1414">
    <w:name w:val="自定义正文 Char Char Char"/>
    <w:qFormat/>
    <w:uiPriority w:val="99"/>
    <w:pPr>
      <w:widowControl w:val="0"/>
      <w:adjustRightInd w:val="0"/>
      <w:snapToGrid w:val="0"/>
      <w:spacing w:line="360" w:lineRule="auto"/>
      <w:ind w:firstLine="510"/>
      <w:jc w:val="both"/>
    </w:pPr>
    <w:rPr>
      <w:rFonts w:ascii="Times New Roman" w:hAnsi="Times New Roman" w:eastAsia="宋体" w:cs="Times New Roman"/>
      <w:spacing w:val="-2"/>
      <w:kern w:val="2"/>
      <w:sz w:val="28"/>
      <w:szCs w:val="24"/>
      <w:lang w:val="en-US" w:eastAsia="zh-CN" w:bidi="ar-SA"/>
    </w:rPr>
  </w:style>
  <w:style w:type="paragraph" w:customStyle="1" w:styleId="1415">
    <w:name w:val="表格文字小四"/>
    <w:basedOn w:val="1"/>
    <w:next w:val="32"/>
    <w:qFormat/>
    <w:uiPriority w:val="99"/>
    <w:pPr>
      <w:widowControl w:val="0"/>
      <w:adjustRightInd w:val="0"/>
      <w:snapToGrid w:val="0"/>
      <w:ind w:left="-593"/>
      <w:jc w:val="center"/>
    </w:pPr>
    <w:rPr>
      <w:rFonts w:cs="Times New Roman"/>
      <w:kern w:val="2"/>
    </w:rPr>
  </w:style>
  <w:style w:type="paragraph" w:customStyle="1" w:styleId="1416">
    <w:name w:val="WW-Body Text Indent 3"/>
    <w:basedOn w:val="1"/>
    <w:qFormat/>
    <w:uiPriority w:val="99"/>
    <w:pPr>
      <w:widowControl w:val="0"/>
      <w:suppressAutoHyphens/>
      <w:spacing w:after="120" w:line="360" w:lineRule="auto"/>
      <w:ind w:firstLine="420"/>
      <w:jc w:val="both"/>
    </w:pPr>
    <w:rPr>
      <w:rFonts w:ascii="Arial" w:hAnsi="Arial" w:cs="Times New Roman"/>
      <w:kern w:val="20481"/>
      <w:szCs w:val="20"/>
    </w:rPr>
  </w:style>
  <w:style w:type="paragraph" w:customStyle="1" w:styleId="1417">
    <w:name w:val="Char Char Char Char Char Char1 Char Char Char Char2"/>
    <w:basedOn w:val="1"/>
    <w:qFormat/>
    <w:uiPriority w:val="0"/>
    <w:pPr>
      <w:widowControl w:val="0"/>
      <w:jc w:val="both"/>
    </w:pPr>
    <w:rPr>
      <w:rFonts w:ascii="Times New Roman" w:hAnsi="Times New Roman" w:cs="Times New Roman"/>
      <w:kern w:val="2"/>
      <w:sz w:val="21"/>
    </w:rPr>
  </w:style>
  <w:style w:type="paragraph" w:customStyle="1" w:styleId="1418">
    <w:name w:val="xl84"/>
    <w:basedOn w:val="1"/>
    <w:qFormat/>
    <w:uiPriority w:val="99"/>
    <w:pPr>
      <w:pBdr>
        <w:bottom w:val="single" w:color="auto" w:sz="4"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419">
    <w:name w:val="表标题5.7"/>
    <w:basedOn w:val="1"/>
    <w:qFormat/>
    <w:uiPriority w:val="99"/>
    <w:pPr>
      <w:widowControl w:val="0"/>
      <w:tabs>
        <w:tab w:val="left" w:pos="726"/>
      </w:tabs>
      <w:spacing w:beforeLines="100" w:line="0" w:lineRule="atLeast"/>
      <w:ind w:left="2" w:firstLine="4"/>
      <w:jc w:val="center"/>
    </w:pPr>
    <w:rPr>
      <w:rFonts w:ascii="Times New Roman" w:hAnsi="Times New Roman" w:eastAsia="黑体" w:cs="Times New Roman"/>
      <w:b/>
      <w:kern w:val="2"/>
    </w:rPr>
  </w:style>
  <w:style w:type="paragraph" w:customStyle="1" w:styleId="1420">
    <w:name w:val="列表 3J"/>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421">
    <w:name w:val="列表 5C"/>
    <w:basedOn w:val="64"/>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22">
    <w:name w:val="样式 标题 3 + Arial"/>
    <w:basedOn w:val="1"/>
    <w:qFormat/>
    <w:uiPriority w:val="99"/>
    <w:pPr>
      <w:widowControl w:val="0"/>
      <w:jc w:val="both"/>
    </w:pPr>
    <w:rPr>
      <w:rFonts w:ascii="Times New Roman" w:hAnsi="Times New Roman" w:cs="Times New Roman"/>
      <w:kern w:val="2"/>
      <w:sz w:val="21"/>
      <w:szCs w:val="20"/>
    </w:rPr>
  </w:style>
  <w:style w:type="paragraph" w:customStyle="1" w:styleId="1423">
    <w:name w:val="样式 标题 3样式　标题 3　自动设置标题 3 Char章 + Times New 表题3"/>
    <w:basedOn w:val="7"/>
    <w:qFormat/>
    <w:uiPriority w:val="99"/>
    <w:pPr>
      <w:widowControl w:val="0"/>
      <w:tabs>
        <w:tab w:val="left" w:pos="3800"/>
        <w:tab w:val="left" w:pos="5200"/>
      </w:tabs>
      <w:autoSpaceDE w:val="0"/>
      <w:autoSpaceDN w:val="0"/>
      <w:adjustRightInd w:val="0"/>
      <w:snapToGrid w:val="0"/>
      <w:spacing w:beforeLines="50" w:afterLines="50" w:line="240" w:lineRule="auto"/>
      <w:ind w:left="-1523" w:firstLine="1523"/>
      <w:jc w:val="both"/>
    </w:pPr>
    <w:rPr>
      <w:rFonts w:eastAsia="宋体" w:cs="宋体"/>
      <w:b/>
      <w:sz w:val="28"/>
      <w:szCs w:val="28"/>
    </w:rPr>
  </w:style>
  <w:style w:type="paragraph" w:customStyle="1" w:styleId="1424">
    <w:name w:val="环标3"/>
    <w:basedOn w:val="1151"/>
    <w:next w:val="1151"/>
    <w:qFormat/>
    <w:uiPriority w:val="0"/>
    <w:pPr>
      <w:keepNext/>
      <w:keepLines/>
      <w:spacing w:line="360" w:lineRule="auto"/>
      <w:ind w:right="-11" w:firstLine="0" w:firstLineChars="0"/>
      <w:jc w:val="left"/>
      <w:outlineLvl w:val="2"/>
    </w:pPr>
    <w:rPr>
      <w:rFonts w:ascii="黑体" w:eastAsia="黑体"/>
      <w:color w:val="auto"/>
      <w:spacing w:val="0"/>
      <w:kern w:val="2"/>
    </w:rPr>
  </w:style>
  <w:style w:type="paragraph" w:customStyle="1" w:styleId="1425">
    <w:name w:val="默认段落字体 Para Char"/>
    <w:basedOn w:val="1"/>
    <w:qFormat/>
    <w:uiPriority w:val="99"/>
    <w:pPr>
      <w:widowControl w:val="0"/>
      <w:spacing w:line="360" w:lineRule="auto"/>
      <w:ind w:firstLine="200" w:firstLineChars="200"/>
      <w:jc w:val="both"/>
    </w:pPr>
    <w:rPr>
      <w:kern w:val="2"/>
    </w:rPr>
  </w:style>
  <w:style w:type="paragraph" w:customStyle="1" w:styleId="1426">
    <w:name w:val="样式 正文缩进 + 小四 首行缩进:  2 字符1"/>
    <w:basedOn w:val="6"/>
    <w:qFormat/>
    <w:uiPriority w:val="99"/>
    <w:pPr>
      <w:keepNext/>
      <w:widowControl w:val="0"/>
      <w:tabs>
        <w:tab w:val="left" w:pos="1727"/>
        <w:tab w:val="left" w:pos="1884"/>
      </w:tabs>
      <w:spacing w:line="360" w:lineRule="auto"/>
      <w:ind w:firstLine="480" w:firstLineChars="200"/>
      <w:outlineLvl w:val="0"/>
    </w:pPr>
    <w:rPr>
      <w:rFonts w:ascii="宋体" w:hAnsi="宋体" w:cs="宋体"/>
      <w:snapToGrid w:val="0"/>
      <w:color w:val="000000"/>
    </w:rPr>
  </w:style>
  <w:style w:type="paragraph" w:customStyle="1" w:styleId="1427">
    <w:name w:val="表内小5"/>
    <w:basedOn w:val="1"/>
    <w:qFormat/>
    <w:uiPriority w:val="99"/>
    <w:pPr>
      <w:widowControl w:val="0"/>
      <w:adjustRightInd w:val="0"/>
      <w:snapToGrid w:val="0"/>
      <w:spacing w:line="300" w:lineRule="auto"/>
      <w:ind w:left="176"/>
      <w:jc w:val="both"/>
    </w:pPr>
    <w:rPr>
      <w:rFonts w:cs="Times New Roman"/>
      <w:kern w:val="2"/>
      <w:sz w:val="18"/>
    </w:rPr>
  </w:style>
  <w:style w:type="paragraph" w:customStyle="1" w:styleId="1428">
    <w:name w:val="正文文本缩进 311"/>
    <w:basedOn w:val="1"/>
    <w:qFormat/>
    <w:uiPriority w:val="99"/>
    <w:pPr>
      <w:widowControl w:val="0"/>
      <w:adjustRightInd w:val="0"/>
      <w:spacing w:line="360" w:lineRule="atLeast"/>
      <w:ind w:firstLine="480"/>
      <w:jc w:val="both"/>
      <w:textAlignment w:val="baseline"/>
    </w:pPr>
    <w:rPr>
      <w:rFonts w:hAnsi="Times New Roman" w:cs="Times New Roman"/>
      <w:szCs w:val="20"/>
    </w:rPr>
  </w:style>
  <w:style w:type="paragraph" w:customStyle="1" w:styleId="1429">
    <w:name w:val="列表 3F"/>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430">
    <w:name w:val="列表 5Q"/>
    <w:basedOn w:val="64"/>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31">
    <w:name w:val="样式 正文首行缩进 + 四号 段后: 0 磅 行距: 1.5 倍行距"/>
    <w:basedOn w:val="79"/>
    <w:qFormat/>
    <w:uiPriority w:val="99"/>
    <w:pPr>
      <w:widowControl w:val="0"/>
      <w:spacing w:after="0" w:line="360" w:lineRule="auto"/>
      <w:ind w:firstLine="560" w:firstLineChars="200"/>
    </w:pPr>
    <w:rPr>
      <w:rFonts w:hAnsi="Times New Roman"/>
      <w:sz w:val="28"/>
    </w:rPr>
  </w:style>
  <w:style w:type="paragraph" w:customStyle="1" w:styleId="1432">
    <w:name w:val="TOC 标题1"/>
    <w:basedOn w:val="4"/>
    <w:next w:val="1"/>
    <w:qFormat/>
    <w:uiPriority w:val="39"/>
    <w:pPr>
      <w:keepNext/>
      <w:keepLines/>
      <w:spacing w:before="480" w:line="276" w:lineRule="auto"/>
      <w:outlineLvl w:val="9"/>
    </w:pPr>
    <w:rPr>
      <w:rFonts w:ascii="Cambria" w:hAnsi="Cambria" w:eastAsia="宋体"/>
      <w:bCs/>
      <w:color w:val="365F91"/>
      <w:kern w:val="0"/>
      <w:szCs w:val="32"/>
    </w:rPr>
  </w:style>
  <w:style w:type="paragraph" w:customStyle="1" w:styleId="1433">
    <w:name w:val="TY"/>
    <w:basedOn w:val="1"/>
    <w:qFormat/>
    <w:uiPriority w:val="99"/>
    <w:pPr>
      <w:widowControl w:val="0"/>
      <w:adjustRightInd w:val="0"/>
      <w:snapToGrid w:val="0"/>
      <w:spacing w:before="40" w:after="40"/>
      <w:jc w:val="both"/>
    </w:pPr>
    <w:rPr>
      <w:rFonts w:cs="Times New Roman"/>
      <w:kern w:val="2"/>
      <w:szCs w:val="20"/>
    </w:rPr>
  </w:style>
  <w:style w:type="paragraph" w:customStyle="1" w:styleId="1434">
    <w:name w:val="样式 正文首行缩进 + 首行缩进:  0 字符"/>
    <w:basedOn w:val="79"/>
    <w:qFormat/>
    <w:uiPriority w:val="99"/>
    <w:pPr>
      <w:widowControl w:val="0"/>
      <w:adjustRightInd w:val="0"/>
      <w:snapToGrid w:val="0"/>
      <w:spacing w:after="0" w:line="360" w:lineRule="auto"/>
      <w:ind w:firstLine="567" w:firstLineChars="0"/>
    </w:pPr>
    <w:rPr>
      <w:rFonts w:hAnsi="Times New Roman"/>
      <w:sz w:val="24"/>
      <w:szCs w:val="28"/>
    </w:rPr>
  </w:style>
  <w:style w:type="paragraph" w:customStyle="1" w:styleId="1435">
    <w:name w:val="列表 4B"/>
    <w:basedOn w:val="70"/>
    <w:qFormat/>
    <w:uiPriority w:val="99"/>
    <w:pPr>
      <w:tabs>
        <w:tab w:val="left" w:pos="360"/>
      </w:tabs>
      <w:topLinePunct w:val="0"/>
      <w:spacing w:beforeLines="50" w:afterLines="30" w:line="288" w:lineRule="auto"/>
      <w:ind w:left="360" w:leftChars="0" w:hanging="360" w:firstLineChars="0"/>
      <w:jc w:val="both"/>
    </w:pPr>
    <w:rPr>
      <w:rFonts w:ascii="Arial" w:hAnsi="Arial" w:eastAsia="宋体"/>
      <w:color w:val="CCFFFF"/>
      <w:sz w:val="24"/>
    </w:rPr>
  </w:style>
  <w:style w:type="paragraph" w:customStyle="1" w:styleId="1436">
    <w:name w:val="附图编号"/>
    <w:basedOn w:val="1"/>
    <w:qFormat/>
    <w:uiPriority w:val="99"/>
    <w:pPr>
      <w:widowControl w:val="0"/>
      <w:tabs>
        <w:tab w:val="left" w:pos="1760"/>
      </w:tabs>
      <w:spacing w:line="288" w:lineRule="auto"/>
      <w:ind w:left="1021" w:hanging="341"/>
      <w:jc w:val="both"/>
    </w:pPr>
    <w:rPr>
      <w:rFonts w:ascii="Arial" w:hAnsi="Arial" w:cs="Times New Roman"/>
      <w:color w:val="CC99FF"/>
      <w:kern w:val="2"/>
      <w:szCs w:val="20"/>
    </w:rPr>
  </w:style>
  <w:style w:type="paragraph" w:customStyle="1" w:styleId="1437">
    <w:name w:val="列表 4I"/>
    <w:basedOn w:val="70"/>
    <w:qFormat/>
    <w:uiPriority w:val="99"/>
    <w:pPr>
      <w:tabs>
        <w:tab w:val="left" w:pos="785"/>
      </w:tabs>
      <w:topLinePunct w:val="0"/>
      <w:spacing w:beforeLines="50" w:afterLines="30" w:line="288" w:lineRule="auto"/>
      <w:ind w:left="0" w:leftChars="0" w:firstLine="425" w:firstLineChars="0"/>
      <w:jc w:val="both"/>
    </w:pPr>
    <w:rPr>
      <w:rFonts w:ascii="Arial" w:hAnsi="Arial" w:eastAsia="宋体"/>
      <w:color w:val="CCFFFF"/>
      <w:sz w:val="24"/>
    </w:rPr>
  </w:style>
  <w:style w:type="paragraph" w:customStyle="1" w:styleId="1438">
    <w:name w:val="font8"/>
    <w:basedOn w:val="1"/>
    <w:qFormat/>
    <w:uiPriority w:val="99"/>
    <w:pPr>
      <w:spacing w:before="100" w:beforeAutospacing="1" w:after="100" w:afterAutospacing="1"/>
    </w:pPr>
    <w:rPr>
      <w:rFonts w:ascii="Times New Roman" w:hAnsi="Times New Roman" w:eastAsia="Arial Unicode MS" w:cs="Times New Roman"/>
      <w:b/>
      <w:bCs/>
      <w:sz w:val="44"/>
      <w:szCs w:val="44"/>
    </w:rPr>
  </w:style>
  <w:style w:type="paragraph" w:customStyle="1" w:styleId="1439">
    <w:name w:val="222"/>
    <w:basedOn w:val="1"/>
    <w:qFormat/>
    <w:uiPriority w:val="99"/>
    <w:pPr>
      <w:spacing w:line="360" w:lineRule="auto"/>
    </w:pPr>
    <w:rPr>
      <w:rFonts w:ascii="Times New Roman" w:hAnsi="Times New Roman" w:cs="Times New Roman"/>
      <w:b/>
      <w:sz w:val="28"/>
      <w:szCs w:val="20"/>
      <w:lang w:eastAsia="zh-TW"/>
    </w:rPr>
  </w:style>
  <w:style w:type="paragraph" w:customStyle="1" w:styleId="1440">
    <w:name w:val="二级无标题条"/>
    <w:basedOn w:val="1"/>
    <w:qFormat/>
    <w:uiPriority w:val="99"/>
    <w:pPr>
      <w:widowControl w:val="0"/>
      <w:jc w:val="both"/>
    </w:pPr>
    <w:rPr>
      <w:rFonts w:ascii="Times New Roman" w:hAnsi="Times New Roman" w:cs="Times New Roman"/>
      <w:kern w:val="2"/>
      <w:sz w:val="21"/>
    </w:rPr>
  </w:style>
  <w:style w:type="paragraph" w:customStyle="1" w:styleId="1441">
    <w:name w:val="Char Char1 Char1"/>
    <w:basedOn w:val="1"/>
    <w:qFormat/>
    <w:uiPriority w:val="0"/>
    <w:pPr>
      <w:widowControl w:val="0"/>
      <w:jc w:val="both"/>
    </w:pPr>
    <w:rPr>
      <w:rFonts w:ascii="Times New Roman" w:hAnsi="Times New Roman" w:cs="Times New Roman"/>
      <w:kern w:val="2"/>
      <w:sz w:val="21"/>
    </w:rPr>
  </w:style>
  <w:style w:type="paragraph" w:customStyle="1" w:styleId="1442">
    <w:name w:val="xl36"/>
    <w:basedOn w:val="1"/>
    <w:qFormat/>
    <w:uiPriority w:val="0"/>
    <w:pPr>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szCs w:val="20"/>
    </w:rPr>
  </w:style>
  <w:style w:type="paragraph" w:customStyle="1" w:styleId="1443">
    <w:name w:val="列表 4L"/>
    <w:basedOn w:val="70"/>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444">
    <w:name w:val="xl50"/>
    <w:basedOn w:val="1"/>
    <w:qFormat/>
    <w:uiPriority w:val="99"/>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445">
    <w:name w:val="Char Char Char Char Char Char Char Char Char1"/>
    <w:basedOn w:val="1"/>
    <w:qFormat/>
    <w:uiPriority w:val="0"/>
    <w:pPr>
      <w:widowControl w:val="0"/>
      <w:jc w:val="both"/>
    </w:pPr>
    <w:rPr>
      <w:rFonts w:ascii="Times New Roman" w:hAnsi="Times New Roman" w:cs="Times New Roman"/>
      <w:kern w:val="2"/>
      <w:sz w:val="21"/>
    </w:rPr>
  </w:style>
  <w:style w:type="paragraph" w:customStyle="1" w:styleId="1446">
    <w:name w:val="正文文字缩进2"/>
    <w:basedOn w:val="33"/>
    <w:qFormat/>
    <w:uiPriority w:val="0"/>
    <w:pPr>
      <w:widowControl w:val="0"/>
      <w:spacing w:after="0" w:line="360" w:lineRule="auto"/>
      <w:ind w:left="0" w:leftChars="0" w:firstLine="600"/>
      <w:jc w:val="both"/>
    </w:pPr>
    <w:rPr>
      <w:rFonts w:ascii="黑体" w:hAnsi="宋体" w:eastAsia="黑体"/>
      <w:b/>
      <w:bCs/>
      <w:spacing w:val="0"/>
      <w:sz w:val="28"/>
    </w:rPr>
  </w:style>
  <w:style w:type="paragraph" w:customStyle="1" w:styleId="1447">
    <w:name w:val="Heading Base"/>
    <w:basedOn w:val="32"/>
    <w:next w:val="32"/>
    <w:qFormat/>
    <w:uiPriority w:val="99"/>
    <w:pPr>
      <w:keepNext/>
      <w:keepLines/>
      <w:spacing w:line="220" w:lineRule="atLeast"/>
      <w:ind w:right="-360"/>
    </w:pPr>
    <w:rPr>
      <w:rFonts w:ascii="Arial" w:hAnsi="Arial"/>
      <w:color w:val="auto"/>
      <w:spacing w:val="-4"/>
      <w:kern w:val="0"/>
      <w:sz w:val="18"/>
      <w:szCs w:val="20"/>
    </w:rPr>
  </w:style>
  <w:style w:type="paragraph" w:customStyle="1" w:styleId="1448">
    <w:name w:val="Char Char Char Char3"/>
    <w:basedOn w:val="1"/>
    <w:qFormat/>
    <w:uiPriority w:val="0"/>
    <w:pPr>
      <w:widowControl w:val="0"/>
      <w:jc w:val="both"/>
    </w:pPr>
    <w:rPr>
      <w:rFonts w:ascii="Times New Roman" w:hAnsi="Times New Roman" w:cs="Times New Roman"/>
      <w:kern w:val="2"/>
      <w:sz w:val="21"/>
    </w:rPr>
  </w:style>
  <w:style w:type="paragraph" w:customStyle="1" w:styleId="1449">
    <w:name w:val="正文（1）"/>
    <w:basedOn w:val="6"/>
    <w:next w:val="79"/>
    <w:qFormat/>
    <w:uiPriority w:val="99"/>
    <w:pPr>
      <w:adjustRightInd w:val="0"/>
      <w:snapToGrid w:val="0"/>
      <w:spacing w:line="480" w:lineRule="exact"/>
      <w:ind w:firstLine="480" w:firstLineChars="200"/>
      <w:jc w:val="both"/>
    </w:pPr>
    <w:rPr>
      <w:rFonts w:ascii="Times New Roman" w:hAnsi="Times New Roman"/>
      <w:sz w:val="24"/>
      <w:szCs w:val="24"/>
    </w:rPr>
  </w:style>
  <w:style w:type="paragraph" w:customStyle="1" w:styleId="1450">
    <w:name w:val="Char Char Char Char Char Char Char Char Char Char Char Char Char Char Char Char Char Char Char Char Char Char Char Char"/>
    <w:basedOn w:val="1"/>
    <w:qFormat/>
    <w:uiPriority w:val="0"/>
    <w:pPr>
      <w:widowControl w:val="0"/>
      <w:jc w:val="both"/>
    </w:pPr>
    <w:rPr>
      <w:rFonts w:ascii="Times New Roman" w:hAnsi="Times New Roman" w:cs="Times New Roman"/>
      <w:kern w:val="2"/>
      <w:sz w:val="21"/>
    </w:rPr>
  </w:style>
  <w:style w:type="paragraph" w:customStyle="1" w:styleId="1451">
    <w:name w:val="图"/>
    <w:basedOn w:val="32"/>
    <w:qFormat/>
    <w:uiPriority w:val="99"/>
    <w:pPr>
      <w:widowControl w:val="0"/>
      <w:adjustRightInd w:val="0"/>
      <w:spacing w:line="288" w:lineRule="auto"/>
      <w:jc w:val="center"/>
      <w:textAlignment w:val="baseline"/>
    </w:pPr>
    <w:rPr>
      <w:rFonts w:ascii="黑体" w:hAnsi="Times New Roman" w:eastAsia="黑体"/>
      <w:b/>
      <w:color w:val="auto"/>
      <w:kern w:val="0"/>
      <w:sz w:val="20"/>
      <w:szCs w:val="20"/>
    </w:rPr>
  </w:style>
  <w:style w:type="paragraph" w:customStyle="1" w:styleId="1452">
    <w:name w:val="副标题3"/>
    <w:basedOn w:val="1"/>
    <w:qFormat/>
    <w:uiPriority w:val="0"/>
    <w:pPr>
      <w:keepLines/>
      <w:widowControl w:val="0"/>
      <w:tabs>
        <w:tab w:val="left" w:pos="672"/>
        <w:tab w:val="left" w:pos="720"/>
      </w:tabs>
      <w:adjustRightInd w:val="0"/>
      <w:snapToGrid w:val="0"/>
      <w:spacing w:line="400" w:lineRule="atLeast"/>
      <w:ind w:left="672" w:hanging="348"/>
      <w:jc w:val="both"/>
      <w:outlineLvl w:val="3"/>
    </w:pPr>
    <w:rPr>
      <w:rFonts w:hAnsi="Times New Roman" w:cs="Times New Roman"/>
      <w:snapToGrid w:val="0"/>
    </w:rPr>
  </w:style>
  <w:style w:type="paragraph" w:customStyle="1" w:styleId="1453">
    <w:name w:val="列表 5J"/>
    <w:basedOn w:val="64"/>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54">
    <w:name w:val="2-标准-表头"/>
    <w:basedOn w:val="1"/>
    <w:qFormat/>
    <w:uiPriority w:val="0"/>
    <w:pPr>
      <w:topLinePunct/>
      <w:adjustRightInd w:val="0"/>
      <w:snapToGrid w:val="0"/>
      <w:spacing w:beforeLines="50"/>
      <w:jc w:val="center"/>
    </w:pPr>
    <w:rPr>
      <w:rFonts w:ascii="Times New Roman" w:hAnsi="Times New Roman" w:eastAsia="黑体" w:cs="Times New Roman"/>
      <w:b/>
      <w:szCs w:val="20"/>
      <w:lang w:val="zh-CN"/>
    </w:rPr>
  </w:style>
  <w:style w:type="paragraph" w:customStyle="1" w:styleId="1455">
    <w:name w:val="列表 5D"/>
    <w:basedOn w:val="64"/>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56">
    <w:name w:val="Char Char Char Char Char Char Char Char Char Char Char Char1 Char1"/>
    <w:basedOn w:val="1"/>
    <w:next w:val="1"/>
    <w:qFormat/>
    <w:uiPriority w:val="99"/>
    <w:pPr>
      <w:widowControl w:val="0"/>
      <w:spacing w:line="336" w:lineRule="auto"/>
      <w:ind w:firstLine="200" w:firstLineChars="200"/>
      <w:jc w:val="both"/>
    </w:pPr>
    <w:rPr>
      <w:rFonts w:eastAsia="汉鼎简书宋"/>
      <w:kern w:val="2"/>
    </w:rPr>
  </w:style>
  <w:style w:type="paragraph" w:customStyle="1" w:styleId="1457">
    <w:name w:val="表内文"/>
    <w:qFormat/>
    <w:uiPriority w:val="0"/>
    <w:pPr>
      <w:spacing w:line="360" w:lineRule="exact"/>
      <w:jc w:val="center"/>
    </w:pPr>
    <w:rPr>
      <w:rFonts w:ascii="Times New Roman" w:hAnsi="Times New Roman" w:eastAsia="仿宋_GB2312" w:cs="Times New Roman"/>
      <w:bCs/>
      <w:kern w:val="20"/>
      <w:sz w:val="21"/>
      <w:lang w:val="en-US" w:eastAsia="zh-CN" w:bidi="ar-SA"/>
    </w:rPr>
  </w:style>
  <w:style w:type="paragraph" w:customStyle="1" w:styleId="1458">
    <w:name w:val="样式 正文文本缩进 + 首行缩进:  2.25 字符"/>
    <w:basedOn w:val="33"/>
    <w:qFormat/>
    <w:uiPriority w:val="99"/>
    <w:pPr>
      <w:widowControl w:val="0"/>
      <w:jc w:val="both"/>
    </w:pPr>
    <w:rPr>
      <w:rFonts w:ascii="Times New Roman" w:hAnsi="Times New Roman" w:eastAsia="宋体"/>
      <w:spacing w:val="0"/>
      <w:szCs w:val="24"/>
    </w:rPr>
  </w:style>
  <w:style w:type="paragraph" w:customStyle="1" w:styleId="1459">
    <w:name w:val="xl41"/>
    <w:basedOn w:val="1"/>
    <w:qFormat/>
    <w:uiPriority w:val="0"/>
    <w:pPr>
      <w:spacing w:before="100" w:beforeAutospacing="1" w:after="100" w:afterAutospacing="1"/>
      <w:textAlignment w:val="center"/>
    </w:pPr>
    <w:rPr>
      <w:rFonts w:ascii="Arial Unicode MS" w:hAnsi="Arial Unicode MS" w:eastAsia="Arial Unicode MS" w:cs="Arial Unicode MS"/>
      <w:b/>
      <w:bCs/>
      <w:sz w:val="36"/>
      <w:szCs w:val="36"/>
    </w:rPr>
  </w:style>
  <w:style w:type="paragraph" w:customStyle="1" w:styleId="1460">
    <w:name w:val="xl39"/>
    <w:basedOn w:val="1"/>
    <w:qFormat/>
    <w:uiPriority w:val="99"/>
    <w:pPr>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461">
    <w:name w:val="段落2"/>
    <w:basedOn w:val="1"/>
    <w:qFormat/>
    <w:uiPriority w:val="99"/>
    <w:pPr>
      <w:widowControl w:val="0"/>
      <w:adjustRightInd w:val="0"/>
      <w:spacing w:line="440" w:lineRule="atLeast"/>
      <w:jc w:val="both"/>
    </w:pPr>
    <w:rPr>
      <w:rFonts w:ascii="Times New Roman" w:hAnsi="Times New Roman" w:cs="Times New Roman"/>
      <w:spacing w:val="6"/>
      <w:kern w:val="2"/>
      <w:sz w:val="28"/>
      <w:szCs w:val="20"/>
    </w:rPr>
  </w:style>
  <w:style w:type="paragraph" w:customStyle="1" w:styleId="1462">
    <w:name w:val="预测表格"/>
    <w:basedOn w:val="433"/>
    <w:next w:val="1"/>
    <w:qFormat/>
    <w:uiPriority w:val="99"/>
    <w:pPr>
      <w:topLinePunct w:val="0"/>
      <w:ind w:left="-15" w:leftChars="-15" w:right="-15" w:rightChars="-15"/>
    </w:pPr>
    <w:rPr>
      <w:rFonts w:eastAsia="宋体"/>
      <w:bCs/>
      <w:spacing w:val="-10"/>
      <w:sz w:val="18"/>
      <w:szCs w:val="15"/>
    </w:rPr>
  </w:style>
  <w:style w:type="paragraph" w:customStyle="1" w:styleId="1463">
    <w:name w:val="列表 5B"/>
    <w:basedOn w:val="64"/>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64">
    <w:name w:val="Document Label"/>
    <w:basedOn w:val="1"/>
    <w:next w:val="1"/>
    <w:qFormat/>
    <w:uiPriority w:val="99"/>
    <w:pPr>
      <w:spacing w:after="220"/>
      <w:ind w:right="-360"/>
    </w:pPr>
    <w:rPr>
      <w:rFonts w:ascii="Times New Roman" w:hAnsi="Times New Roman" w:cs="Times New Roman"/>
      <w:spacing w:val="-20"/>
      <w:sz w:val="48"/>
      <w:szCs w:val="20"/>
    </w:rPr>
  </w:style>
  <w:style w:type="paragraph" w:customStyle="1" w:styleId="1465">
    <w:name w:val="18"/>
    <w:basedOn w:val="1"/>
    <w:qFormat/>
    <w:uiPriority w:val="99"/>
    <w:pPr>
      <w:snapToGrid w:val="0"/>
      <w:spacing w:before="120" w:after="100" w:afterAutospacing="1" w:line="240" w:lineRule="atLeast"/>
      <w:jc w:val="center"/>
    </w:pPr>
    <w:rPr>
      <w:rFonts w:ascii="Times New Roman" w:hAnsi="Times New Roman" w:cs="Times New Roman"/>
      <w:b/>
      <w:bCs/>
    </w:rPr>
  </w:style>
  <w:style w:type="paragraph" w:customStyle="1" w:styleId="1466">
    <w:name w:val="正文（首行缩进）"/>
    <w:basedOn w:val="1"/>
    <w:qFormat/>
    <w:uiPriority w:val="0"/>
    <w:pPr>
      <w:spacing w:line="360" w:lineRule="auto"/>
      <w:ind w:firstLine="480" w:firstLineChars="200"/>
    </w:pPr>
    <w:rPr>
      <w:rFonts w:cs="Times New Roman"/>
      <w:color w:val="000000"/>
      <w:kern w:val="2"/>
      <w:szCs w:val="20"/>
    </w:rPr>
  </w:style>
  <w:style w:type="paragraph" w:customStyle="1" w:styleId="1467">
    <w:name w:val="列表 3H"/>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468">
    <w:name w:val="表格正文"/>
    <w:qFormat/>
    <w:uiPriority w:val="0"/>
    <w:pPr>
      <w:spacing w:before="60" w:after="60"/>
      <w:ind w:left="32"/>
      <w:jc w:val="center"/>
    </w:pPr>
    <w:rPr>
      <w:rFonts w:ascii="Times New Roman" w:hAnsi="Times New Roman" w:eastAsia="宋体" w:cs="Times New Roman"/>
      <w:color w:val="FF0000"/>
      <w:sz w:val="21"/>
      <w:lang w:val="en-US" w:eastAsia="zh-CN" w:bidi="ar-SA"/>
    </w:rPr>
  </w:style>
  <w:style w:type="paragraph" w:customStyle="1" w:styleId="1469">
    <w:name w:val="列表 5E"/>
    <w:basedOn w:val="64"/>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70">
    <w:name w:val="列表 4D"/>
    <w:basedOn w:val="70"/>
    <w:qFormat/>
    <w:uiPriority w:val="99"/>
    <w:pPr>
      <w:tabs>
        <w:tab w:val="left" w:pos="360"/>
      </w:tabs>
      <w:topLinePunct w:val="0"/>
      <w:spacing w:beforeLines="50" w:afterLines="30" w:line="288" w:lineRule="auto"/>
      <w:ind w:left="360" w:leftChars="0" w:hanging="360" w:firstLineChars="0"/>
      <w:jc w:val="both"/>
    </w:pPr>
    <w:rPr>
      <w:rFonts w:ascii="Arial" w:hAnsi="Arial" w:eastAsia="宋体"/>
      <w:color w:val="CCFFFF"/>
      <w:sz w:val="24"/>
    </w:rPr>
  </w:style>
  <w:style w:type="paragraph" w:customStyle="1" w:styleId="1471">
    <w:name w:val="档案号"/>
    <w:basedOn w:val="53"/>
    <w:qFormat/>
    <w:uiPriority w:val="99"/>
    <w:pPr>
      <w:widowControl w:val="0"/>
      <w:pBdr>
        <w:bottom w:val="none" w:color="auto" w:sz="0" w:space="0"/>
      </w:pBdr>
      <w:tabs>
        <w:tab w:val="center" w:pos="4320"/>
        <w:tab w:val="right" w:pos="8640"/>
        <w:tab w:val="clear" w:pos="4153"/>
        <w:tab w:val="clear" w:pos="8306"/>
      </w:tabs>
      <w:adjustRightInd w:val="0"/>
      <w:spacing w:line="460" w:lineRule="exact"/>
      <w:jc w:val="right"/>
      <w:textAlignment w:val="baseline"/>
    </w:pPr>
    <w:rPr>
      <w:rFonts w:ascii="宋体" w:hAnsi="Arial"/>
      <w:spacing w:val="3"/>
      <w:kern w:val="24"/>
      <w:sz w:val="24"/>
      <w:szCs w:val="20"/>
    </w:rPr>
  </w:style>
  <w:style w:type="paragraph" w:customStyle="1" w:styleId="1472">
    <w:name w:val="样式 (中文) 仿宋_GB2312 四号 行距: 1.5 倍行距 Char"/>
    <w:basedOn w:val="1"/>
    <w:qFormat/>
    <w:uiPriority w:val="0"/>
    <w:pPr>
      <w:widowControl w:val="0"/>
      <w:jc w:val="center"/>
    </w:pPr>
    <w:rPr>
      <w:rFonts w:ascii="Times New Roman" w:hAnsi="Times New Roman" w:cs="Times New Roman"/>
      <w:kern w:val="2"/>
      <w:szCs w:val="28"/>
    </w:rPr>
  </w:style>
  <w:style w:type="paragraph" w:customStyle="1" w:styleId="1473">
    <w:name w:val="Header Base"/>
    <w:basedOn w:val="1"/>
    <w:qFormat/>
    <w:uiPriority w:val="99"/>
    <w:pPr>
      <w:ind w:right="-360"/>
    </w:pPr>
    <w:rPr>
      <w:rFonts w:ascii="Times New Roman" w:hAnsi="Times New Roman" w:cs="Times New Roman"/>
      <w:sz w:val="20"/>
      <w:szCs w:val="20"/>
    </w:rPr>
  </w:style>
  <w:style w:type="paragraph" w:customStyle="1" w:styleId="1474">
    <w:name w:val="列表 C"/>
    <w:basedOn w:val="60"/>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475">
    <w:name w:val="xl92"/>
    <w:basedOn w:val="1"/>
    <w:qFormat/>
    <w:uiPriority w:val="99"/>
    <w:pPr>
      <w:pBdr>
        <w:top w:val="single" w:color="auto" w:sz="4" w:space="0"/>
        <w:left w:val="single" w:color="auto" w:sz="4" w:space="0"/>
        <w:bottom w:val="single" w:color="auto" w:sz="8" w:space="0"/>
      </w:pBdr>
      <w:spacing w:before="100" w:beforeAutospacing="1" w:after="100" w:afterAutospacing="1"/>
      <w:jc w:val="center"/>
    </w:pPr>
    <w:rPr>
      <w:rFonts w:ascii="Arial Unicode MS" w:hAnsi="Arial Unicode MS" w:eastAsia="Arial Unicode MS" w:cs="Arial Unicode MS"/>
      <w:sz w:val="16"/>
      <w:szCs w:val="16"/>
    </w:rPr>
  </w:style>
  <w:style w:type="paragraph" w:customStyle="1" w:styleId="1476">
    <w:name w:val="样式－表"/>
    <w:basedOn w:val="1"/>
    <w:qFormat/>
    <w:uiPriority w:val="99"/>
    <w:pPr>
      <w:widowControl w:val="0"/>
      <w:adjustRightInd w:val="0"/>
      <w:snapToGrid w:val="0"/>
      <w:spacing w:before="62"/>
      <w:jc w:val="center"/>
    </w:pPr>
    <w:rPr>
      <w:rFonts w:ascii="Times New Roman" w:hAnsi="Times New Roman" w:cs="Times New Roman"/>
      <w:snapToGrid w:val="0"/>
      <w:color w:val="000000"/>
      <w:szCs w:val="20"/>
    </w:rPr>
  </w:style>
  <w:style w:type="paragraph" w:customStyle="1" w:styleId="1477">
    <w:name w:val="font1"/>
    <w:basedOn w:val="1"/>
    <w:qFormat/>
    <w:uiPriority w:val="99"/>
    <w:pPr>
      <w:spacing w:before="100" w:beforeAutospacing="1" w:after="100" w:afterAutospacing="1"/>
    </w:pPr>
    <w:rPr>
      <w:rFonts w:hint="eastAsia" w:cs="Times New Roman"/>
    </w:rPr>
  </w:style>
  <w:style w:type="paragraph" w:customStyle="1" w:styleId="1478">
    <w:name w:val="列表 2S"/>
    <w:basedOn w:val="35"/>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479">
    <w:name w:val="蒲表头"/>
    <w:basedOn w:val="1"/>
    <w:qFormat/>
    <w:uiPriority w:val="99"/>
    <w:pPr>
      <w:widowControl w:val="0"/>
      <w:adjustRightInd w:val="0"/>
      <w:snapToGrid w:val="0"/>
      <w:spacing w:beforeLines="20"/>
      <w:ind w:firstLine="480" w:firstLineChars="200"/>
      <w:jc w:val="both"/>
    </w:pPr>
    <w:rPr>
      <w:rFonts w:ascii="Times New Roman" w:hAnsi="Times New Roman" w:cs="Times New Roman"/>
      <w:b/>
      <w:kern w:val="2"/>
    </w:rPr>
  </w:style>
  <w:style w:type="paragraph" w:customStyle="1" w:styleId="1480">
    <w:name w:val="CM67"/>
    <w:basedOn w:val="103"/>
    <w:next w:val="103"/>
    <w:qFormat/>
    <w:uiPriority w:val="99"/>
    <w:pPr>
      <w:spacing w:after="142"/>
    </w:pPr>
    <w:rPr>
      <w:color w:val="auto"/>
    </w:rPr>
  </w:style>
  <w:style w:type="paragraph" w:customStyle="1" w:styleId="1481">
    <w:name w:val="样式 正文缩进正文缩进 Char + 首行缩进:  2 字符"/>
    <w:basedOn w:val="6"/>
    <w:qFormat/>
    <w:uiPriority w:val="99"/>
    <w:pPr>
      <w:widowControl w:val="0"/>
      <w:adjustRightInd w:val="0"/>
      <w:snapToGrid w:val="0"/>
      <w:spacing w:line="360" w:lineRule="auto"/>
      <w:ind w:firstLine="480" w:firstLineChars="200"/>
      <w:jc w:val="both"/>
    </w:pPr>
    <w:rPr>
      <w:rFonts w:ascii="Times New Roman" w:hAnsi="Times New Roman"/>
      <w:snapToGrid w:val="0"/>
      <w:sz w:val="24"/>
      <w:szCs w:val="24"/>
    </w:rPr>
  </w:style>
  <w:style w:type="paragraph" w:customStyle="1" w:styleId="1482">
    <w:name w:val="正文(a)"/>
    <w:basedOn w:val="32"/>
    <w:qFormat/>
    <w:uiPriority w:val="99"/>
    <w:pPr>
      <w:tabs>
        <w:tab w:val="left" w:pos="1139"/>
      </w:tabs>
      <w:spacing w:line="351" w:lineRule="atLeast"/>
      <w:ind w:left="-141" w:firstLine="566"/>
      <w:jc w:val="both"/>
      <w:textAlignment w:val="baseline"/>
    </w:pPr>
    <w:rPr>
      <w:rFonts w:ascii="宋体" w:hAnsi="Times New Roman" w:cs="宋体"/>
      <w:bCs/>
      <w:spacing w:val="5"/>
      <w:kern w:val="0"/>
      <w:sz w:val="20"/>
      <w:szCs w:val="21"/>
    </w:rPr>
  </w:style>
  <w:style w:type="paragraph" w:customStyle="1" w:styleId="1483">
    <w:name w:val="尾注文本1"/>
    <w:basedOn w:val="164"/>
    <w:qFormat/>
    <w:uiPriority w:val="99"/>
    <w:rPr>
      <w:rFonts w:eastAsia="Times New Roman"/>
      <w:sz w:val="21"/>
      <w:szCs w:val="22"/>
    </w:rPr>
  </w:style>
  <w:style w:type="paragraph" w:customStyle="1" w:styleId="1484">
    <w:name w:val="列表 G"/>
    <w:basedOn w:val="60"/>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485">
    <w:name w:val="CM69"/>
    <w:basedOn w:val="103"/>
    <w:next w:val="103"/>
    <w:qFormat/>
    <w:uiPriority w:val="99"/>
    <w:pPr>
      <w:spacing w:after="67"/>
    </w:pPr>
    <w:rPr>
      <w:color w:val="auto"/>
    </w:rPr>
  </w:style>
  <w:style w:type="paragraph" w:customStyle="1" w:styleId="1486">
    <w:name w:val="样式 样式2 + 段前: 6 磅 行距: 单倍行距2"/>
    <w:basedOn w:val="1300"/>
    <w:qFormat/>
    <w:uiPriority w:val="99"/>
    <w:pPr>
      <w:keepNext w:val="0"/>
      <w:keepLines w:val="0"/>
      <w:autoSpaceDE w:val="0"/>
      <w:autoSpaceDN w:val="0"/>
      <w:adjustRightInd w:val="0"/>
      <w:snapToGrid w:val="0"/>
      <w:spacing w:before="120" w:line="240" w:lineRule="auto"/>
      <w:jc w:val="center"/>
      <w:textAlignment w:val="baseline"/>
      <w:outlineLvl w:val="9"/>
    </w:pPr>
    <w:rPr>
      <w:rFonts w:ascii="Times New Roman" w:hAnsi="Times New Roman" w:eastAsia="宋体"/>
      <w:bCs w:val="0"/>
      <w:spacing w:val="-16"/>
      <w:sz w:val="21"/>
      <w:szCs w:val="21"/>
    </w:rPr>
  </w:style>
  <w:style w:type="paragraph" w:customStyle="1" w:styleId="1487">
    <w:name w:val="列表 4F"/>
    <w:basedOn w:val="70"/>
    <w:qFormat/>
    <w:uiPriority w:val="99"/>
    <w:pPr>
      <w:tabs>
        <w:tab w:val="left" w:pos="980"/>
      </w:tabs>
      <w:topLinePunct w:val="0"/>
      <w:spacing w:beforeLines="50" w:afterLines="30" w:line="288" w:lineRule="auto"/>
      <w:ind w:left="980" w:leftChars="0" w:hanging="420" w:firstLineChars="0"/>
      <w:jc w:val="both"/>
    </w:pPr>
    <w:rPr>
      <w:rFonts w:ascii="Arial" w:hAnsi="Arial" w:eastAsia="宋体"/>
      <w:color w:val="CCFFFF"/>
      <w:sz w:val="24"/>
    </w:rPr>
  </w:style>
  <w:style w:type="paragraph" w:customStyle="1" w:styleId="1488">
    <w:name w:val="Table Body"/>
    <w:basedOn w:val="1"/>
    <w:qFormat/>
    <w:uiPriority w:val="99"/>
    <w:pPr>
      <w:spacing w:before="80" w:after="80"/>
    </w:pPr>
    <w:rPr>
      <w:rFonts w:ascii="Arial" w:hAnsi="Arial" w:eastAsia="Batang" w:cs="Times New Roman"/>
      <w:sz w:val="18"/>
      <w:szCs w:val="20"/>
      <w:lang w:eastAsia="ko-KR"/>
    </w:rPr>
  </w:style>
  <w:style w:type="paragraph" w:customStyle="1" w:styleId="1489">
    <w:name w:val="CM6"/>
    <w:basedOn w:val="103"/>
    <w:next w:val="103"/>
    <w:qFormat/>
    <w:uiPriority w:val="99"/>
    <w:rPr>
      <w:color w:val="auto"/>
    </w:rPr>
  </w:style>
  <w:style w:type="paragraph" w:customStyle="1" w:styleId="1490">
    <w:name w:val="Body Text First Indent3"/>
    <w:basedOn w:val="32"/>
    <w:qFormat/>
    <w:uiPriority w:val="99"/>
    <w:pPr>
      <w:widowControl w:val="0"/>
      <w:adjustRightInd w:val="0"/>
      <w:spacing w:line="312" w:lineRule="auto"/>
      <w:ind w:firstLine="567"/>
      <w:jc w:val="both"/>
      <w:textAlignment w:val="baseline"/>
    </w:pPr>
    <w:rPr>
      <w:rFonts w:ascii="Times New Roman" w:hAnsi="Times New Roman"/>
      <w:color w:val="auto"/>
      <w:kern w:val="0"/>
      <w:sz w:val="28"/>
      <w:szCs w:val="20"/>
    </w:rPr>
  </w:style>
  <w:style w:type="paragraph" w:customStyle="1" w:styleId="1491">
    <w:name w:val="样式 题注 + 五号 加粗 居中"/>
    <w:basedOn w:val="1"/>
    <w:qFormat/>
    <w:uiPriority w:val="99"/>
    <w:pPr>
      <w:widowControl w:val="0"/>
      <w:spacing w:beforeLines="20" w:afterLines="20" w:line="360" w:lineRule="auto"/>
      <w:jc w:val="center"/>
    </w:pPr>
    <w:rPr>
      <w:rFonts w:ascii="Arial" w:hAnsi="Arial" w:eastAsia="黑体" w:cs="Times New Roman"/>
      <w:b/>
      <w:bCs/>
      <w:kern w:val="2"/>
      <w:szCs w:val="21"/>
    </w:rPr>
  </w:style>
  <w:style w:type="paragraph" w:customStyle="1" w:styleId="1492">
    <w:name w:val="列表 L"/>
    <w:basedOn w:val="60"/>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493">
    <w:name w:val="列表 K"/>
    <w:basedOn w:val="60"/>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494">
    <w:name w:val="Char Char Char Char Char Char Char Char Char Char Char Char1 Char Char Char Char Char Char Char Char Char Char Char Char1 Char"/>
    <w:basedOn w:val="1"/>
    <w:next w:val="1"/>
    <w:qFormat/>
    <w:uiPriority w:val="99"/>
    <w:pPr>
      <w:widowControl w:val="0"/>
      <w:spacing w:line="336" w:lineRule="auto"/>
      <w:ind w:firstLine="200" w:firstLineChars="200"/>
      <w:jc w:val="both"/>
    </w:pPr>
    <w:rPr>
      <w:rFonts w:eastAsia="汉鼎简书宋"/>
      <w:kern w:val="2"/>
    </w:rPr>
  </w:style>
  <w:style w:type="paragraph" w:customStyle="1" w:styleId="1495">
    <w:name w:val="列表 2Q"/>
    <w:basedOn w:val="35"/>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496">
    <w:name w:val="列表 5H"/>
    <w:basedOn w:val="64"/>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97">
    <w:name w:val="列表 2Y"/>
    <w:basedOn w:val="35"/>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498">
    <w:name w:val="Char Char Char Char2"/>
    <w:basedOn w:val="1"/>
    <w:qFormat/>
    <w:uiPriority w:val="99"/>
    <w:pPr>
      <w:spacing w:after="160" w:line="240" w:lineRule="exact"/>
    </w:pPr>
    <w:rPr>
      <w:rFonts w:ascii="Verdana" w:hAnsi="Verdana" w:cs="Times New Roman"/>
      <w:sz w:val="20"/>
      <w:szCs w:val="20"/>
      <w:lang w:eastAsia="en-US"/>
    </w:rPr>
  </w:style>
  <w:style w:type="paragraph" w:customStyle="1" w:styleId="1499">
    <w:name w:val="Char Char Char Char Char Char1"/>
    <w:basedOn w:val="1"/>
    <w:qFormat/>
    <w:uiPriority w:val="0"/>
    <w:pPr>
      <w:jc w:val="both"/>
    </w:pPr>
    <w:rPr>
      <w:rFonts w:ascii="Times New Roman" w:hAnsi="Times New Roman" w:cs="Times New Roman"/>
    </w:rPr>
  </w:style>
  <w:style w:type="paragraph" w:customStyle="1" w:styleId="1500">
    <w:name w:val="6"/>
    <w:basedOn w:val="1"/>
    <w:next w:val="33"/>
    <w:qFormat/>
    <w:uiPriority w:val="99"/>
    <w:pPr>
      <w:widowControl w:val="0"/>
      <w:spacing w:line="300" w:lineRule="auto"/>
      <w:ind w:firstLine="480" w:firstLineChars="200"/>
      <w:jc w:val="both"/>
    </w:pPr>
    <w:rPr>
      <w:rFonts w:ascii="Times New Roman" w:hAnsi="Times New Roman" w:cs="Times New Roman"/>
      <w:kern w:val="2"/>
    </w:rPr>
  </w:style>
  <w:style w:type="paragraph" w:customStyle="1" w:styleId="1501">
    <w:name w:val="标题 3 + Arial 小四 非加粗 段前: 0 磅 段后: 6 磅 行距: 固定值 22 磅"/>
    <w:basedOn w:val="7"/>
    <w:next w:val="1"/>
    <w:qFormat/>
    <w:uiPriority w:val="99"/>
    <w:pPr>
      <w:widowControl w:val="0"/>
      <w:adjustRightInd w:val="0"/>
      <w:snapToGrid w:val="0"/>
      <w:spacing w:line="360" w:lineRule="auto"/>
      <w:jc w:val="both"/>
    </w:pPr>
    <w:rPr>
      <w:rFonts w:ascii="黑体" w:hAnsi="Arial"/>
      <w:bCs w:val="0"/>
      <w:color w:val="000000"/>
      <w:sz w:val="24"/>
      <w:szCs w:val="20"/>
    </w:rPr>
  </w:style>
  <w:style w:type="paragraph" w:customStyle="1" w:styleId="1502">
    <w:name w:val="表内文字"/>
    <w:basedOn w:val="1"/>
    <w:qFormat/>
    <w:uiPriority w:val="99"/>
    <w:pPr>
      <w:ind w:left="57" w:right="57"/>
      <w:jc w:val="center"/>
    </w:pPr>
    <w:rPr>
      <w:rFonts w:ascii="Times" w:hAnsi="Times" w:cs="Times"/>
      <w:snapToGrid w:val="0"/>
      <w:spacing w:val="-20"/>
      <w:sz w:val="21"/>
      <w:szCs w:val="21"/>
    </w:rPr>
  </w:style>
  <w:style w:type="paragraph" w:customStyle="1" w:styleId="1503">
    <w:name w:val="正文文本 小4"/>
    <w:qFormat/>
    <w:uiPriority w:val="99"/>
    <w:pPr>
      <w:widowControl w:val="0"/>
      <w:autoSpaceDE w:val="0"/>
      <w:autoSpaceDN w:val="0"/>
      <w:adjustRightInd w:val="0"/>
      <w:snapToGrid w:val="0"/>
      <w:spacing w:line="360" w:lineRule="auto"/>
      <w:ind w:firstLine="480" w:firstLineChars="200"/>
      <w:jc w:val="both"/>
    </w:pPr>
    <w:rPr>
      <w:rFonts w:ascii="仿宋_GB2312" w:hAnsi="Arial" w:eastAsia="仿宋_GB2312" w:cs="Times New Roman"/>
      <w:snapToGrid w:val="0"/>
      <w:color w:val="000000"/>
      <w:sz w:val="24"/>
      <w:lang w:val="en-US" w:eastAsia="zh-CN" w:bidi="ar-SA"/>
    </w:rPr>
  </w:style>
  <w:style w:type="paragraph" w:customStyle="1" w:styleId="1504">
    <w:name w:val="Char Char Char Char Char Char Char Char Char Char2"/>
    <w:basedOn w:val="1"/>
    <w:qFormat/>
    <w:uiPriority w:val="99"/>
    <w:pPr>
      <w:widowControl w:val="0"/>
      <w:jc w:val="both"/>
    </w:pPr>
    <w:rPr>
      <w:color w:val="000000"/>
      <w:kern w:val="2"/>
      <w:sz w:val="21"/>
      <w:szCs w:val="21"/>
    </w:rPr>
  </w:style>
  <w:style w:type="paragraph" w:customStyle="1" w:styleId="1505">
    <w:name w:val="表标题16.8－1"/>
    <w:basedOn w:val="1"/>
    <w:qFormat/>
    <w:uiPriority w:val="99"/>
    <w:pPr>
      <w:tabs>
        <w:tab w:val="left" w:pos="1560"/>
        <w:tab w:val="left" w:pos="2160"/>
        <w:tab w:val="left" w:pos="3060"/>
      </w:tabs>
      <w:adjustRightInd w:val="0"/>
      <w:snapToGrid w:val="0"/>
      <w:spacing w:line="0" w:lineRule="atLeast"/>
      <w:ind w:left="2400" w:hanging="420"/>
      <w:jc w:val="center"/>
      <w:textAlignment w:val="baseline"/>
    </w:pPr>
    <w:rPr>
      <w:rFonts w:ascii="Times New Roman" w:hAnsi="Times New Roman" w:eastAsia="黑体" w:cs="Times New Roman"/>
      <w:b/>
      <w:color w:val="000000"/>
      <w:kern w:val="2"/>
    </w:rPr>
  </w:style>
  <w:style w:type="paragraph" w:customStyle="1" w:styleId="1506">
    <w:name w:val="p15"/>
    <w:basedOn w:val="1"/>
    <w:qFormat/>
    <w:uiPriority w:val="99"/>
    <w:pPr>
      <w:snapToGrid w:val="0"/>
    </w:pPr>
    <w:rPr>
      <w:rFonts w:ascii="Times New Roman" w:hAnsi="Times New Roman" w:cs="Times New Roman"/>
      <w:color w:val="0000FF"/>
      <w:sz w:val="21"/>
      <w:szCs w:val="20"/>
    </w:rPr>
  </w:style>
  <w:style w:type="paragraph" w:customStyle="1" w:styleId="1507">
    <w:name w:val="表左"/>
    <w:basedOn w:val="1059"/>
    <w:qFormat/>
    <w:uiPriority w:val="99"/>
    <w:pPr>
      <w:tabs>
        <w:tab w:val="clear" w:pos="2190"/>
      </w:tabs>
      <w:ind w:right="0" w:rightChars="0"/>
      <w:jc w:val="both"/>
    </w:pPr>
  </w:style>
  <w:style w:type="paragraph" w:customStyle="1" w:styleId="1508">
    <w:name w:val="样式 样式 样式 样式 正文 首行缩进 + 首行缩进:  2 字符 行距: 单倍行距 + 首行缩进:  2 字符 + 小四 首行...2"/>
    <w:basedOn w:val="1"/>
    <w:qFormat/>
    <w:uiPriority w:val="99"/>
    <w:pPr>
      <w:widowControl w:val="0"/>
      <w:spacing w:line="312" w:lineRule="auto"/>
      <w:ind w:firstLine="480" w:firstLineChars="200"/>
      <w:jc w:val="both"/>
    </w:pPr>
    <w:rPr>
      <w:rFonts w:ascii="Arial" w:hAnsi="Arial"/>
      <w:kern w:val="2"/>
      <w:szCs w:val="20"/>
    </w:rPr>
  </w:style>
  <w:style w:type="paragraph" w:customStyle="1" w:styleId="1509">
    <w:name w:val="Char Char Char Char Char Char Char Char Char Char Char Char Char Char Char1"/>
    <w:basedOn w:val="1"/>
    <w:qFormat/>
    <w:uiPriority w:val="0"/>
    <w:pPr>
      <w:widowControl w:val="0"/>
      <w:jc w:val="both"/>
    </w:pPr>
    <w:rPr>
      <w:rFonts w:ascii="Times New Roman" w:hAnsi="Times New Roman" w:cs="Times New Roman"/>
      <w:kern w:val="2"/>
      <w:sz w:val="21"/>
    </w:rPr>
  </w:style>
  <w:style w:type="paragraph" w:customStyle="1" w:styleId="1510">
    <w:name w:val="xl83"/>
    <w:basedOn w:val="1"/>
    <w:qFormat/>
    <w:uiPriority w:val="99"/>
    <w:pPr>
      <w:pBdr>
        <w:top w:val="single" w:color="auto" w:sz="4"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511">
    <w:name w:val="xl103"/>
    <w:basedOn w:val="1"/>
    <w:qFormat/>
    <w:uiPriority w:val="99"/>
    <w:pPr>
      <w:pBdr>
        <w:top w:val="single" w:color="auto" w:sz="4" w:space="0"/>
        <w:left w:val="single" w:color="auto" w:sz="8" w:space="0"/>
      </w:pBdr>
      <w:spacing w:before="100" w:beforeAutospacing="1" w:after="100" w:afterAutospacing="1"/>
      <w:textAlignment w:val="center"/>
    </w:pPr>
    <w:rPr>
      <w:rFonts w:ascii="Arial Unicode MS" w:hAnsi="Arial Unicode MS" w:eastAsia="Arial Unicode MS" w:cs="Arial Unicode MS"/>
      <w:sz w:val="16"/>
      <w:szCs w:val="16"/>
    </w:rPr>
  </w:style>
  <w:style w:type="paragraph" w:customStyle="1" w:styleId="1512">
    <w:name w:val="列表 I"/>
    <w:basedOn w:val="60"/>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513">
    <w:name w:val="样式 标题 2节标题2H2h2第一层条二级 标题 2标题 2 Char节标题1MVA21.1Headin..."/>
    <w:basedOn w:val="5"/>
    <w:qFormat/>
    <w:uiPriority w:val="99"/>
    <w:pPr>
      <w:keepNext w:val="0"/>
      <w:keepLines w:val="0"/>
      <w:widowControl w:val="0"/>
      <w:tabs>
        <w:tab w:val="left" w:pos="786"/>
      </w:tabs>
      <w:adjustRightInd w:val="0"/>
      <w:snapToGrid w:val="0"/>
      <w:spacing w:line="360" w:lineRule="auto"/>
      <w:ind w:left="786" w:hanging="786"/>
    </w:pPr>
    <w:rPr>
      <w:rFonts w:ascii="Times New Roman" w:hAnsi="宋体" w:eastAsia="宋体"/>
      <w:b/>
      <w:sz w:val="24"/>
      <w:szCs w:val="20"/>
    </w:rPr>
  </w:style>
  <w:style w:type="paragraph" w:customStyle="1" w:styleId="1514">
    <w:name w:val="xl110"/>
    <w:basedOn w:val="1"/>
    <w:qFormat/>
    <w:uiPriority w:val="99"/>
    <w:pPr>
      <w:pBdr>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515">
    <w:name w:val="列表 1A"/>
    <w:basedOn w:val="810"/>
    <w:qFormat/>
    <w:uiPriority w:val="99"/>
    <w:pPr>
      <w:tabs>
        <w:tab w:val="left" w:pos="907"/>
        <w:tab w:val="clear" w:pos="432"/>
      </w:tabs>
      <w:ind w:left="907" w:hanging="567"/>
    </w:pPr>
  </w:style>
  <w:style w:type="paragraph" w:customStyle="1" w:styleId="1516">
    <w:name w:val="公司名"/>
    <w:basedOn w:val="1"/>
    <w:qFormat/>
    <w:uiPriority w:val="99"/>
    <w:pPr>
      <w:keepNext/>
      <w:keepLines/>
      <w:spacing w:beforeLines="50" w:afterLines="50" w:line="320" w:lineRule="atLeast"/>
      <w:jc w:val="center"/>
    </w:pPr>
    <w:rPr>
      <w:rFonts w:ascii="Arial" w:hAnsi="Arial" w:eastAsia="楷体_GB2312" w:cs="Times New Roman"/>
      <w:b/>
      <w:bCs/>
      <w:color w:val="CCFFCC"/>
      <w:kern w:val="28"/>
      <w:sz w:val="32"/>
      <w:szCs w:val="20"/>
      <w:lang w:bidi="he-IL"/>
    </w:rPr>
  </w:style>
  <w:style w:type="paragraph" w:customStyle="1" w:styleId="1517">
    <w:name w:val="样式 标题 2 + Times New Roman 小三 居中"/>
    <w:basedOn w:val="5"/>
    <w:qFormat/>
    <w:uiPriority w:val="99"/>
    <w:pPr>
      <w:spacing w:before="260" w:after="260" w:line="415" w:lineRule="auto"/>
      <w:ind w:firstLine="538" w:firstLineChars="192"/>
    </w:pPr>
    <w:rPr>
      <w:rFonts w:ascii="Times New Roman" w:hAnsi="Times New Roman" w:cs="宋体"/>
      <w:b/>
      <w:bCs w:val="0"/>
      <w:sz w:val="30"/>
      <w:szCs w:val="20"/>
    </w:rPr>
  </w:style>
  <w:style w:type="paragraph" w:customStyle="1" w:styleId="1518">
    <w:name w:val="列表 F"/>
    <w:basedOn w:val="60"/>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519">
    <w:name w:val="样式 段前: 0.5 行 首行缩进:  2 字符"/>
    <w:basedOn w:val="1"/>
    <w:qFormat/>
    <w:uiPriority w:val="99"/>
    <w:pPr>
      <w:widowControl w:val="0"/>
      <w:adjustRightInd w:val="0"/>
      <w:snapToGrid w:val="0"/>
      <w:spacing w:before="156" w:line="360" w:lineRule="auto"/>
      <w:ind w:firstLine="480" w:firstLineChars="200"/>
      <w:jc w:val="both"/>
    </w:pPr>
    <w:rPr>
      <w:rFonts w:ascii="Times New Roman" w:hAnsi="Times New Roman"/>
      <w:kern w:val="2"/>
      <w:szCs w:val="20"/>
    </w:rPr>
  </w:style>
  <w:style w:type="paragraph" w:customStyle="1" w:styleId="1520">
    <w:name w:val="悬挂式正文"/>
    <w:basedOn w:val="1"/>
    <w:qFormat/>
    <w:uiPriority w:val="99"/>
    <w:pPr>
      <w:widowControl w:val="0"/>
      <w:tabs>
        <w:tab w:val="center" w:pos="6804"/>
        <w:tab w:val="right" w:pos="7371"/>
      </w:tabs>
      <w:overflowPunct w:val="0"/>
      <w:adjustRightInd w:val="0"/>
      <w:spacing w:line="360" w:lineRule="auto"/>
      <w:ind w:left="1701" w:hanging="1134"/>
      <w:jc w:val="both"/>
      <w:textAlignment w:val="baseline"/>
    </w:pPr>
    <w:rPr>
      <w:rFonts w:ascii="Times New Roman" w:hAnsi="Times New Roman" w:cs="Times New Roman"/>
      <w:sz w:val="28"/>
      <w:szCs w:val="20"/>
    </w:rPr>
  </w:style>
  <w:style w:type="paragraph" w:customStyle="1" w:styleId="1521">
    <w:name w:val="xl86"/>
    <w:basedOn w:val="1"/>
    <w:qFormat/>
    <w:uiPriority w:val="99"/>
    <w:pPr>
      <w:pBdr>
        <w:top w:val="single" w:color="auto" w:sz="8" w:space="0"/>
        <w:left w:val="single" w:color="auto" w:sz="8" w:space="0"/>
        <w:bottom w:val="single" w:color="auto" w:sz="4" w:space="0"/>
      </w:pBdr>
      <w:spacing w:before="100" w:beforeAutospacing="1" w:after="100" w:afterAutospacing="1"/>
    </w:pPr>
    <w:rPr>
      <w:rFonts w:ascii="Times New Roman" w:hAnsi="Times New Roman" w:eastAsia="Arial Unicode MS" w:cs="Times New Roman"/>
      <w:sz w:val="16"/>
      <w:szCs w:val="16"/>
    </w:rPr>
  </w:style>
  <w:style w:type="paragraph" w:customStyle="1" w:styleId="1522">
    <w:name w:val="样式1－表头"/>
    <w:basedOn w:val="1"/>
    <w:qFormat/>
    <w:uiPriority w:val="99"/>
    <w:pPr>
      <w:widowControl w:val="0"/>
      <w:adjustRightInd w:val="0"/>
      <w:snapToGrid w:val="0"/>
      <w:spacing w:beforeLines="50" w:afterLines="50" w:line="336" w:lineRule="auto"/>
      <w:jc w:val="center"/>
    </w:pPr>
    <w:rPr>
      <w:rFonts w:ascii="Times New Roman" w:hAnsi="Times New Roman" w:eastAsia="黑体" w:cs="Times New Roman"/>
      <w:spacing w:val="6"/>
      <w:kern w:val="2"/>
      <w:szCs w:val="20"/>
    </w:rPr>
  </w:style>
  <w:style w:type="paragraph" w:customStyle="1" w:styleId="1523">
    <w:name w:val="xl104"/>
    <w:basedOn w:val="1"/>
    <w:qFormat/>
    <w:uiPriority w:val="99"/>
    <w:pPr>
      <w:pBdr>
        <w:left w:val="single" w:color="auto" w:sz="8" w:space="0"/>
      </w:pBdr>
      <w:spacing w:before="100" w:beforeAutospacing="1" w:after="100" w:afterAutospacing="1"/>
      <w:textAlignment w:val="center"/>
    </w:pPr>
    <w:rPr>
      <w:rFonts w:ascii="Arial Unicode MS" w:hAnsi="Arial Unicode MS" w:eastAsia="Arial Unicode MS" w:cs="Arial Unicode MS"/>
      <w:sz w:val="16"/>
      <w:szCs w:val="16"/>
    </w:rPr>
  </w:style>
  <w:style w:type="paragraph" w:customStyle="1" w:styleId="1524">
    <w:name w:val="列表 A"/>
    <w:basedOn w:val="60"/>
    <w:qFormat/>
    <w:uiPriority w:val="99"/>
    <w:pPr>
      <w:tabs>
        <w:tab w:val="left" w:pos="1021"/>
      </w:tabs>
      <w:spacing w:beforeLines="100" w:afterLines="50" w:line="288" w:lineRule="auto"/>
      <w:ind w:left="1021" w:hanging="454"/>
    </w:pPr>
    <w:rPr>
      <w:rFonts w:hint="default" w:ascii="Arial" w:hAnsi="Arial" w:eastAsia="宋体"/>
      <w:b/>
      <w:bCs/>
      <w:color w:val="FF99CC"/>
      <w:kern w:val="0"/>
      <w:szCs w:val="20"/>
    </w:rPr>
  </w:style>
  <w:style w:type="paragraph" w:customStyle="1" w:styleId="1525">
    <w:name w:val="04"/>
    <w:basedOn w:val="1"/>
    <w:qFormat/>
    <w:uiPriority w:val="99"/>
    <w:pPr>
      <w:widowControl w:val="0"/>
      <w:spacing w:line="312" w:lineRule="auto"/>
      <w:jc w:val="both"/>
    </w:pPr>
    <w:rPr>
      <w:rFonts w:ascii="Times New Roman" w:hAnsi="Times New Roman" w:eastAsia="华文仿宋" w:cs="Times New Roman"/>
      <w:kern w:val="2"/>
      <w:szCs w:val="30"/>
    </w:rPr>
  </w:style>
  <w:style w:type="paragraph" w:customStyle="1" w:styleId="1526">
    <w:name w:val="列表 5K"/>
    <w:basedOn w:val="64"/>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527">
    <w:name w:val="正文文字进缩"/>
    <w:basedOn w:val="1"/>
    <w:qFormat/>
    <w:uiPriority w:val="0"/>
    <w:pPr>
      <w:widowControl w:val="0"/>
      <w:spacing w:line="360" w:lineRule="auto"/>
      <w:ind w:firstLine="539"/>
      <w:jc w:val="both"/>
    </w:pPr>
    <w:rPr>
      <w:rFonts w:hAnsi="Arial Black" w:cs="Times New Roman"/>
      <w:bCs/>
      <w:iCs/>
      <w:kern w:val="2"/>
      <w:sz w:val="28"/>
    </w:rPr>
  </w:style>
  <w:style w:type="paragraph" w:customStyle="1" w:styleId="1528">
    <w:name w:val="xl102"/>
    <w:basedOn w:val="1"/>
    <w:qFormat/>
    <w:uiPriority w:val="99"/>
    <w:pPr>
      <w:pBdr>
        <w:top w:val="single" w:color="auto" w:sz="4" w:space="0"/>
        <w:bottom w:val="single" w:color="auto" w:sz="4" w:space="0"/>
        <w:right w:val="single" w:color="auto" w:sz="8" w:space="0"/>
      </w:pBdr>
      <w:spacing w:before="100" w:beforeAutospacing="1" w:after="100" w:afterAutospacing="1"/>
    </w:pPr>
    <w:rPr>
      <w:rFonts w:ascii="Arial Unicode MS" w:hAnsi="Arial Unicode MS" w:eastAsia="Arial Unicode MS" w:cs="Arial Unicode MS"/>
    </w:rPr>
  </w:style>
  <w:style w:type="paragraph" w:customStyle="1" w:styleId="1529">
    <w:name w:val="列表 4J"/>
    <w:basedOn w:val="70"/>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530">
    <w:name w:val="奉读大示，心折殊深。"/>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1531">
    <w:name w:val="16"/>
    <w:basedOn w:val="1"/>
    <w:qFormat/>
    <w:uiPriority w:val="0"/>
    <w:pPr>
      <w:spacing w:before="100" w:beforeAutospacing="1" w:after="100" w:afterAutospacing="1"/>
    </w:pPr>
  </w:style>
  <w:style w:type="paragraph" w:customStyle="1" w:styleId="1532">
    <w:name w:val="acee正文"/>
    <w:basedOn w:val="1"/>
    <w:qFormat/>
    <w:uiPriority w:val="99"/>
    <w:pPr>
      <w:widowControl w:val="0"/>
      <w:adjustRightInd w:val="0"/>
      <w:snapToGrid w:val="0"/>
      <w:spacing w:line="480" w:lineRule="exact"/>
      <w:ind w:firstLine="640" w:firstLineChars="200"/>
      <w:jc w:val="both"/>
    </w:pPr>
    <w:rPr>
      <w:rFonts w:ascii="仿宋_GB2312" w:eastAsia="仿宋_GB2312" w:cs="Times New Roman"/>
      <w:kern w:val="2"/>
      <w:sz w:val="32"/>
    </w:rPr>
  </w:style>
  <w:style w:type="paragraph" w:customStyle="1" w:styleId="1533">
    <w:name w:val="列表 2C"/>
    <w:basedOn w:val="35"/>
    <w:qFormat/>
    <w:uiPriority w:val="99"/>
    <w:pPr>
      <w:tabs>
        <w:tab w:val="left" w:pos="1275"/>
      </w:tabs>
      <w:snapToGrid/>
      <w:spacing w:before="100" w:beforeAutospacing="1" w:after="100" w:afterAutospacing="1" w:line="288" w:lineRule="auto"/>
      <w:ind w:left="1275" w:hanging="705"/>
      <w:jc w:val="both"/>
    </w:pPr>
    <w:rPr>
      <w:rFonts w:ascii="Arial" w:hAnsi="Arial"/>
      <w:color w:val="FFFF99"/>
      <w:sz w:val="24"/>
    </w:rPr>
  </w:style>
  <w:style w:type="paragraph" w:customStyle="1" w:styleId="1534">
    <w:name w:val="xl99"/>
    <w:basedOn w:val="1"/>
    <w:qFormat/>
    <w:uiPriority w:val="99"/>
    <w:pPr>
      <w:pBdr>
        <w:top w:val="single" w:color="auto" w:sz="8" w:space="0"/>
        <w:left w:val="single" w:color="auto" w:sz="8" w:space="0"/>
        <w:bottom w:val="single" w:color="auto" w:sz="4" w:space="0"/>
      </w:pBdr>
      <w:spacing w:before="100" w:beforeAutospacing="1" w:after="100" w:afterAutospacing="1"/>
      <w:jc w:val="center"/>
    </w:pPr>
    <w:rPr>
      <w:rFonts w:ascii="Arial Unicode MS" w:hAnsi="Arial Unicode MS" w:eastAsia="Arial Unicode MS" w:cs="Arial Unicode MS"/>
      <w:sz w:val="16"/>
      <w:szCs w:val="16"/>
    </w:rPr>
  </w:style>
  <w:style w:type="paragraph" w:customStyle="1" w:styleId="1535">
    <w:name w:val="图目"/>
    <w:basedOn w:val="1"/>
    <w:qFormat/>
    <w:uiPriority w:val="99"/>
    <w:pPr>
      <w:widowControl w:val="0"/>
      <w:adjustRightInd w:val="0"/>
      <w:spacing w:line="0" w:lineRule="atLeast"/>
      <w:jc w:val="center"/>
      <w:textAlignment w:val="baseline"/>
    </w:pPr>
    <w:rPr>
      <w:rFonts w:ascii="Arial" w:hAnsi="Arial" w:cs="Arial"/>
      <w:kern w:val="2"/>
      <w:sz w:val="21"/>
      <w:szCs w:val="20"/>
    </w:rPr>
  </w:style>
  <w:style w:type="paragraph" w:customStyle="1" w:styleId="1536">
    <w:name w:val="样式 黑体 居中 行距: 1.5 倍行距"/>
    <w:basedOn w:val="1"/>
    <w:qFormat/>
    <w:uiPriority w:val="0"/>
    <w:pPr>
      <w:widowControl w:val="0"/>
      <w:spacing w:line="360" w:lineRule="auto"/>
      <w:jc w:val="center"/>
    </w:pPr>
    <w:rPr>
      <w:rFonts w:ascii="黑体" w:hAnsi="黑体" w:eastAsia="黑体"/>
      <w:szCs w:val="20"/>
    </w:rPr>
  </w:style>
  <w:style w:type="paragraph" w:customStyle="1" w:styleId="1537">
    <w:name w:val="Char Char Char Char Char Char Char Char Char Char Char Char1 Char2"/>
    <w:basedOn w:val="1"/>
    <w:next w:val="1"/>
    <w:qFormat/>
    <w:uiPriority w:val="99"/>
    <w:pPr>
      <w:widowControl w:val="0"/>
      <w:spacing w:line="336" w:lineRule="auto"/>
      <w:ind w:firstLine="200" w:firstLineChars="200"/>
      <w:jc w:val="both"/>
    </w:pPr>
    <w:rPr>
      <w:rFonts w:eastAsia="汉鼎简书宋"/>
      <w:kern w:val="2"/>
    </w:rPr>
  </w:style>
  <w:style w:type="paragraph" w:customStyle="1" w:styleId="1538">
    <w:name w:val="内蒙3"/>
    <w:basedOn w:val="7"/>
    <w:qFormat/>
    <w:uiPriority w:val="99"/>
    <w:pPr>
      <w:widowControl w:val="0"/>
      <w:adjustRightInd w:val="0"/>
      <w:snapToGrid w:val="0"/>
      <w:spacing w:line="480" w:lineRule="exact"/>
      <w:jc w:val="both"/>
    </w:pPr>
    <w:rPr>
      <w:b/>
      <w:color w:val="FF0000"/>
      <w:spacing w:val="20"/>
      <w:sz w:val="24"/>
    </w:rPr>
  </w:style>
  <w:style w:type="paragraph" w:customStyle="1" w:styleId="1539">
    <w:name w:val="样式 标题 1 + (中文) 黑体 三号 居中 行距: 单倍行距"/>
    <w:basedOn w:val="4"/>
    <w:qFormat/>
    <w:uiPriority w:val="99"/>
    <w:pPr>
      <w:keepNext/>
      <w:keepLines/>
      <w:topLinePunct/>
      <w:autoSpaceDE w:val="0"/>
      <w:autoSpaceDN w:val="0"/>
      <w:adjustRightInd w:val="0"/>
      <w:snapToGrid w:val="0"/>
      <w:spacing w:before="340" w:after="330"/>
      <w:ind w:firstLine="538" w:firstLineChars="224"/>
    </w:pPr>
    <w:rPr>
      <w:rFonts w:ascii="宋体" w:hAnsi="Times New Roman" w:cs="宋体"/>
      <w:b/>
      <w:snapToGrid w:val="0"/>
      <w:kern w:val="44"/>
      <w:szCs w:val="20"/>
    </w:rPr>
  </w:style>
  <w:style w:type="paragraph" w:customStyle="1" w:styleId="1540">
    <w:name w:val="t12"/>
    <w:basedOn w:val="1"/>
    <w:qFormat/>
    <w:uiPriority w:val="99"/>
    <w:pPr>
      <w:spacing w:before="100" w:beforeAutospacing="1" w:after="100" w:afterAutospacing="1"/>
    </w:pPr>
  </w:style>
  <w:style w:type="paragraph" w:customStyle="1" w:styleId="1541">
    <w:name w:val="列表 2X"/>
    <w:basedOn w:val="35"/>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542">
    <w:name w:val="文字表格"/>
    <w:basedOn w:val="181"/>
    <w:qFormat/>
    <w:uiPriority w:val="99"/>
    <w:pPr>
      <w:widowControl w:val="0"/>
      <w:tabs>
        <w:tab w:val="clear" w:pos="146"/>
      </w:tabs>
      <w:autoSpaceDE w:val="0"/>
      <w:autoSpaceDN w:val="0"/>
      <w:adjustRightInd w:val="0"/>
      <w:snapToGrid w:val="0"/>
      <w:spacing w:line="360" w:lineRule="atLeast"/>
      <w:ind w:right="0" w:rightChars="0" w:firstLine="0"/>
    </w:pPr>
    <w:rPr>
      <w:rFonts w:ascii="Times New Roman" w:hAnsi="Times New Roman" w:cs="宋体"/>
      <w:snapToGrid w:val="0"/>
      <w:color w:val="000000"/>
      <w:spacing w:val="0"/>
      <w:sz w:val="20"/>
      <w:szCs w:val="21"/>
      <w:lang w:val="zh-CN"/>
    </w:rPr>
  </w:style>
  <w:style w:type="paragraph" w:customStyle="1" w:styleId="1543">
    <w:name w:val="xl77"/>
    <w:basedOn w:val="1"/>
    <w:qFormat/>
    <w:uiPriority w:val="99"/>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544">
    <w:name w:val="s0"/>
    <w:qFormat/>
    <w:uiPriority w:val="99"/>
    <w:pPr>
      <w:widowControl w:val="0"/>
      <w:autoSpaceDE w:val="0"/>
      <w:autoSpaceDN w:val="0"/>
      <w:adjustRightInd w:val="0"/>
    </w:pPr>
    <w:rPr>
      <w:rFonts w:ascii="????" w:hAnsi="Times New Roman" w:eastAsia="????" w:cs="Times New Roman"/>
      <w:lang w:val="en-US" w:eastAsia="zh-CN" w:bidi="ar-SA"/>
    </w:rPr>
  </w:style>
  <w:style w:type="paragraph" w:customStyle="1" w:styleId="1545">
    <w:name w:val="xl108"/>
    <w:basedOn w:val="1"/>
    <w:qFormat/>
    <w:uiPriority w:val="99"/>
    <w:pPr>
      <w:pBdr>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546">
    <w:name w:val="列表 3M"/>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547">
    <w:name w:val="正文文本缩进 31"/>
    <w:basedOn w:val="1"/>
    <w:qFormat/>
    <w:uiPriority w:val="99"/>
    <w:pPr>
      <w:widowControl w:val="0"/>
      <w:adjustRightInd w:val="0"/>
      <w:spacing w:line="360" w:lineRule="atLeast"/>
      <w:ind w:firstLine="480"/>
      <w:jc w:val="both"/>
      <w:textAlignment w:val="baseline"/>
    </w:pPr>
    <w:rPr>
      <w:rFonts w:hAnsi="Times New Roman" w:cs="Times New Roman"/>
      <w:szCs w:val="20"/>
    </w:rPr>
  </w:style>
  <w:style w:type="paragraph" w:customStyle="1" w:styleId="1548">
    <w:name w:val="列表 2M"/>
    <w:basedOn w:val="35"/>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549">
    <w:name w:val="表样式"/>
    <w:basedOn w:val="1038"/>
    <w:qFormat/>
    <w:uiPriority w:val="99"/>
    <w:pPr>
      <w:keepNext w:val="0"/>
      <w:widowControl w:val="0"/>
      <w:spacing w:beforeLines="0" w:line="240" w:lineRule="auto"/>
    </w:pPr>
    <w:rPr>
      <w:rFonts w:ascii="仿宋_GB2312" w:eastAsia="黑体"/>
      <w:sz w:val="21"/>
    </w:rPr>
  </w:style>
  <w:style w:type="paragraph" w:customStyle="1" w:styleId="1550">
    <w:name w:val="列表 3G"/>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551">
    <w:name w:val="默认段落字体 Para Char Char Char Char Char Char Char"/>
    <w:basedOn w:val="1"/>
    <w:qFormat/>
    <w:uiPriority w:val="99"/>
    <w:pPr>
      <w:widowControl w:val="0"/>
      <w:jc w:val="both"/>
    </w:pPr>
    <w:rPr>
      <w:rFonts w:ascii="Times New Roman" w:hAnsi="Times New Roman" w:cs="Times New Roman"/>
      <w:kern w:val="2"/>
      <w:sz w:val="21"/>
    </w:rPr>
  </w:style>
  <w:style w:type="paragraph" w:customStyle="1" w:styleId="1552">
    <w:name w:val="Char Char Char Char Char Char Char Char Char Char Char Char Char Char Char Char Char Char Char"/>
    <w:basedOn w:val="1"/>
    <w:qFormat/>
    <w:uiPriority w:val="99"/>
    <w:pPr>
      <w:widowControl w:val="0"/>
      <w:jc w:val="both"/>
    </w:pPr>
    <w:rPr>
      <w:rFonts w:ascii="Times New Roman" w:hAnsi="Times New Roman" w:eastAsia="仿宋_GB2312" w:cs="Times New Roman"/>
      <w:kern w:val="2"/>
      <w:sz w:val="21"/>
      <w:szCs w:val="21"/>
    </w:rPr>
  </w:style>
  <w:style w:type="paragraph" w:customStyle="1" w:styleId="1553">
    <w:name w:val="样式 标题 1 + 黑体 三号 居中 行距: 固定值 20 磅"/>
    <w:basedOn w:val="4"/>
    <w:qFormat/>
    <w:uiPriority w:val="99"/>
    <w:pPr>
      <w:keepNext/>
      <w:keepLines/>
      <w:topLinePunct/>
      <w:autoSpaceDE w:val="0"/>
      <w:autoSpaceDN w:val="0"/>
      <w:adjustRightInd w:val="0"/>
      <w:snapToGrid w:val="0"/>
      <w:spacing w:before="340" w:after="330" w:line="400" w:lineRule="exact"/>
      <w:ind w:firstLine="538" w:firstLineChars="224"/>
    </w:pPr>
    <w:rPr>
      <w:rFonts w:ascii="黑体" w:hAnsi="黑体" w:cs="宋体"/>
      <w:b/>
      <w:snapToGrid w:val="0"/>
      <w:kern w:val="44"/>
      <w:szCs w:val="20"/>
    </w:rPr>
  </w:style>
  <w:style w:type="paragraph" w:customStyle="1" w:styleId="1554">
    <w:name w:val="论文正文"/>
    <w:basedOn w:val="1"/>
    <w:qFormat/>
    <w:uiPriority w:val="0"/>
    <w:pPr>
      <w:widowControl w:val="0"/>
      <w:ind w:firstLine="567"/>
      <w:jc w:val="both"/>
    </w:pPr>
    <w:rPr>
      <w:rFonts w:ascii="Times New Roman" w:hAnsi="Times New Roman" w:cs="Times New Roman"/>
      <w:kern w:val="2"/>
      <w:sz w:val="28"/>
      <w:szCs w:val="20"/>
    </w:rPr>
  </w:style>
  <w:style w:type="paragraph" w:customStyle="1" w:styleId="1555">
    <w:name w:val="样式 标题2　自动设置"/>
    <w:basedOn w:val="5"/>
    <w:qFormat/>
    <w:uiPriority w:val="99"/>
    <w:pPr>
      <w:widowControl w:val="0"/>
      <w:tabs>
        <w:tab w:val="left" w:pos="576"/>
      </w:tabs>
      <w:spacing w:beforeLines="50" w:afterLines="50" w:line="240" w:lineRule="auto"/>
      <w:ind w:left="576" w:hanging="576"/>
      <w:jc w:val="both"/>
    </w:pPr>
    <w:rPr>
      <w:rFonts w:ascii="宋体" w:hAnsi="宋体" w:eastAsia="宋体" w:cs="宋体"/>
      <w:b/>
      <w:szCs w:val="20"/>
    </w:rPr>
  </w:style>
  <w:style w:type="paragraph" w:customStyle="1" w:styleId="1556">
    <w:name w:val="标题样式4"/>
    <w:basedOn w:val="8"/>
    <w:qFormat/>
    <w:uiPriority w:val="99"/>
    <w:pPr>
      <w:keepNext w:val="0"/>
      <w:keepLines w:val="0"/>
      <w:widowControl w:val="0"/>
      <w:tabs>
        <w:tab w:val="left" w:pos="360"/>
      </w:tabs>
      <w:spacing w:line="360" w:lineRule="auto"/>
      <w:jc w:val="both"/>
    </w:pPr>
    <w:rPr>
      <w:rFonts w:ascii="黑体" w:eastAsia="黑体" w:cs="Times New Roman"/>
      <w:b/>
      <w:bCs/>
      <w:sz w:val="28"/>
      <w:szCs w:val="24"/>
    </w:rPr>
  </w:style>
  <w:style w:type="paragraph" w:customStyle="1" w:styleId="1557">
    <w:name w:val="列表 3D"/>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558">
    <w:name w:val="font14"/>
    <w:basedOn w:val="1"/>
    <w:qFormat/>
    <w:uiPriority w:val="99"/>
    <w:pPr>
      <w:spacing w:before="100" w:beforeAutospacing="1" w:after="100" w:afterAutospacing="1"/>
    </w:pPr>
    <w:rPr>
      <w:rFonts w:hint="eastAsia" w:cs="Arial Unicode MS"/>
      <w:b/>
      <w:bCs/>
      <w:sz w:val="16"/>
      <w:szCs w:val="16"/>
    </w:rPr>
  </w:style>
  <w:style w:type="paragraph" w:customStyle="1" w:styleId="1559">
    <w:name w:val="正文文本最新 Char Char Char1 Char Char Char Char Char"/>
    <w:qFormat/>
    <w:uiPriority w:val="99"/>
    <w:pPr>
      <w:spacing w:line="360" w:lineRule="auto"/>
      <w:ind w:firstLine="200" w:firstLineChars="200"/>
      <w:jc w:val="both"/>
    </w:pPr>
    <w:rPr>
      <w:rFonts w:ascii="Times New Roman" w:hAnsi="Times New Roman" w:eastAsia="宋体" w:cs="Times New Roman"/>
      <w:bCs/>
      <w:kern w:val="2"/>
      <w:sz w:val="28"/>
      <w:szCs w:val="24"/>
      <w:lang w:val="en-US" w:eastAsia="zh-CN" w:bidi="ar-SA"/>
    </w:rPr>
  </w:style>
  <w:style w:type="paragraph" w:customStyle="1" w:styleId="1560">
    <w:name w:val="正文文本缩进 21"/>
    <w:basedOn w:val="1"/>
    <w:qFormat/>
    <w:uiPriority w:val="99"/>
    <w:pPr>
      <w:widowControl w:val="0"/>
      <w:adjustRightInd w:val="0"/>
      <w:spacing w:line="360" w:lineRule="auto"/>
      <w:ind w:firstLine="510"/>
      <w:jc w:val="both"/>
      <w:textAlignment w:val="baseline"/>
    </w:pPr>
    <w:rPr>
      <w:rFonts w:cs="Times New Roman"/>
      <w:kern w:val="2"/>
      <w:sz w:val="28"/>
      <w:szCs w:val="20"/>
    </w:rPr>
  </w:style>
  <w:style w:type="paragraph" w:customStyle="1" w:styleId="1561">
    <w:name w:val="列表 5P"/>
    <w:basedOn w:val="64"/>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562">
    <w:name w:val="Char22"/>
    <w:basedOn w:val="1"/>
    <w:qFormat/>
    <w:uiPriority w:val="99"/>
    <w:pPr>
      <w:widowControl w:val="0"/>
      <w:spacing w:line="360" w:lineRule="auto"/>
      <w:ind w:firstLine="200" w:firstLineChars="200"/>
      <w:jc w:val="both"/>
    </w:pPr>
    <w:rPr>
      <w:kern w:val="2"/>
    </w:rPr>
  </w:style>
  <w:style w:type="paragraph" w:customStyle="1" w:styleId="1563">
    <w:name w:val="列表 4E"/>
    <w:basedOn w:val="70"/>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564">
    <w:name w:val="样式 标题 1章1.标题 1章节H1一、标题标题 1PartHeading 1pHeading 1p1Hea..."/>
    <w:basedOn w:val="4"/>
    <w:qFormat/>
    <w:uiPriority w:val="99"/>
    <w:pPr>
      <w:keepNext/>
      <w:keepLines/>
      <w:tabs>
        <w:tab w:val="left" w:pos="0"/>
        <w:tab w:val="left" w:pos="1260"/>
      </w:tabs>
      <w:adjustRightInd w:val="0"/>
      <w:spacing w:line="240" w:lineRule="atLeast"/>
      <w:ind w:left="896" w:hanging="420"/>
      <w:textAlignment w:val="baseline"/>
    </w:pPr>
    <w:rPr>
      <w:rFonts w:ascii="Times New Roman" w:hAnsi="Times New Roman"/>
      <w:bCs/>
      <w:color w:val="000000"/>
      <w:kern w:val="44"/>
      <w:sz w:val="30"/>
      <w:szCs w:val="30"/>
    </w:rPr>
  </w:style>
  <w:style w:type="paragraph" w:customStyle="1" w:styleId="1565">
    <w:name w:val="Char3"/>
    <w:basedOn w:val="1"/>
    <w:qFormat/>
    <w:uiPriority w:val="99"/>
    <w:pPr>
      <w:widowControl w:val="0"/>
      <w:jc w:val="both"/>
    </w:pPr>
    <w:rPr>
      <w:rFonts w:ascii="Times New Roman" w:hAnsi="Times New Roman" w:cs="Times New Roman"/>
      <w:kern w:val="2"/>
      <w:sz w:val="21"/>
    </w:rPr>
  </w:style>
  <w:style w:type="paragraph" w:customStyle="1" w:styleId="1566">
    <w:name w:val="列表 2A"/>
    <w:basedOn w:val="35"/>
    <w:qFormat/>
    <w:uiPriority w:val="99"/>
    <w:pPr>
      <w:tabs>
        <w:tab w:val="left" w:pos="1335"/>
      </w:tabs>
      <w:snapToGrid/>
      <w:spacing w:before="100" w:beforeAutospacing="1" w:after="100" w:afterAutospacing="1" w:line="288" w:lineRule="auto"/>
      <w:ind w:left="1335" w:hanging="705"/>
      <w:jc w:val="both"/>
    </w:pPr>
    <w:rPr>
      <w:rFonts w:ascii="Arial" w:hAnsi="Arial"/>
      <w:color w:val="FFFF99"/>
      <w:sz w:val="24"/>
    </w:rPr>
  </w:style>
  <w:style w:type="paragraph" w:customStyle="1" w:styleId="1567">
    <w:name w:val="hb3"/>
    <w:basedOn w:val="7"/>
    <w:qFormat/>
    <w:uiPriority w:val="99"/>
    <w:pPr>
      <w:widowControl w:val="0"/>
      <w:adjustRightInd w:val="0"/>
      <w:spacing w:before="260" w:after="260"/>
      <w:textAlignment w:val="baseline"/>
    </w:pPr>
    <w:rPr>
      <w:rFonts w:eastAsia="宋体"/>
      <w:b/>
      <w:bCs w:val="0"/>
      <w:sz w:val="28"/>
      <w:szCs w:val="28"/>
    </w:rPr>
  </w:style>
  <w:style w:type="paragraph" w:customStyle="1" w:styleId="1568">
    <w:name w:val="列表 4Y"/>
    <w:basedOn w:val="70"/>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569">
    <w:name w:val="列表 2P"/>
    <w:basedOn w:val="35"/>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570">
    <w:name w:val="样式 标题 1一、1.标题 1标题 1 Char标1章节标题-*+章标题 1文章标题h11st level..."/>
    <w:basedOn w:val="4"/>
    <w:qFormat/>
    <w:uiPriority w:val="99"/>
    <w:pPr>
      <w:widowControl w:val="0"/>
      <w:tabs>
        <w:tab w:val="left" w:pos="57"/>
      </w:tabs>
      <w:adjustRightInd w:val="0"/>
      <w:snapToGrid w:val="0"/>
      <w:spacing w:before="240" w:afterLines="50" w:line="312" w:lineRule="auto"/>
      <w:ind w:right="227"/>
      <w:jc w:val="both"/>
      <w:textAlignment w:val="baseline"/>
    </w:pPr>
    <w:rPr>
      <w:rFonts w:ascii="Times New Roman" w:hAnsi="Times New Roman"/>
      <w:bCs/>
      <w:snapToGrid w:val="0"/>
      <w:kern w:val="0"/>
      <w:sz w:val="36"/>
      <w:szCs w:val="20"/>
    </w:rPr>
  </w:style>
  <w:style w:type="paragraph" w:customStyle="1" w:styleId="1571">
    <w:name w:val="环保表内字（五号）"/>
    <w:basedOn w:val="1"/>
    <w:link w:val="1572"/>
    <w:qFormat/>
    <w:uiPriority w:val="0"/>
    <w:pPr>
      <w:widowControl w:val="0"/>
      <w:jc w:val="both"/>
    </w:pPr>
    <w:rPr>
      <w:rFonts w:ascii="Times New Roman" w:hAnsi="Times New Roman"/>
      <w:kern w:val="2"/>
      <w:sz w:val="21"/>
      <w:szCs w:val="21"/>
    </w:rPr>
  </w:style>
  <w:style w:type="character" w:customStyle="1" w:styleId="1572">
    <w:name w:val="环保表内字（五号） Char Char"/>
    <w:link w:val="1571"/>
    <w:qFormat/>
    <w:uiPriority w:val="0"/>
    <w:rPr>
      <w:rFonts w:cs="宋体"/>
      <w:kern w:val="2"/>
      <w:sz w:val="21"/>
      <w:szCs w:val="21"/>
    </w:rPr>
  </w:style>
  <w:style w:type="paragraph" w:customStyle="1" w:styleId="1573">
    <w:name w:val="目录"/>
    <w:basedOn w:val="55"/>
    <w:qFormat/>
    <w:uiPriority w:val="99"/>
    <w:pPr>
      <w:widowControl w:val="0"/>
      <w:tabs>
        <w:tab w:val="right" w:leader="dot" w:pos="9060"/>
      </w:tabs>
      <w:spacing w:line="420" w:lineRule="atLeast"/>
      <w:jc w:val="center"/>
    </w:pPr>
    <w:rPr>
      <w:rFonts w:ascii="黑体" w:hAnsi="Times New Roman"/>
      <w:b w:val="0"/>
      <w:caps w:val="0"/>
      <w:spacing w:val="12"/>
      <w:kern w:val="44"/>
      <w:sz w:val="44"/>
    </w:rPr>
  </w:style>
  <w:style w:type="paragraph" w:customStyle="1" w:styleId="1574">
    <w:name w:val="赵文本"/>
    <w:basedOn w:val="1"/>
    <w:qFormat/>
    <w:uiPriority w:val="0"/>
    <w:pPr>
      <w:widowControl w:val="0"/>
      <w:ind w:firstLine="480" w:firstLineChars="200"/>
    </w:pPr>
    <w:rPr>
      <w:rFonts w:ascii="Times New Roman" w:hAnsi="Times New Roman" w:eastAsia="仿宋_GB2312" w:cs="Times New Roman"/>
      <w:kern w:val="2"/>
      <w:szCs w:val="32"/>
    </w:rPr>
  </w:style>
  <w:style w:type="paragraph" w:customStyle="1" w:styleId="1575">
    <w:name w:val="正文11 Char Char"/>
    <w:basedOn w:val="1"/>
    <w:qFormat/>
    <w:uiPriority w:val="99"/>
    <w:pPr>
      <w:widowControl w:val="0"/>
      <w:adjustRightInd w:val="0"/>
      <w:spacing w:line="360" w:lineRule="auto"/>
      <w:ind w:left="6" w:firstLine="474"/>
      <w:textAlignment w:val="baseline"/>
    </w:pPr>
    <w:rPr>
      <w:rFonts w:eastAsia="仿宋_GB2312" w:cs="Times New Roman"/>
      <w:snapToGrid w:val="0"/>
    </w:rPr>
  </w:style>
  <w:style w:type="paragraph" w:customStyle="1" w:styleId="1576">
    <w:name w:val="列表 5F"/>
    <w:basedOn w:val="64"/>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577">
    <w:name w:val="样式 黑色 首行缩进:  2 字符"/>
    <w:basedOn w:val="1"/>
    <w:qFormat/>
    <w:uiPriority w:val="99"/>
    <w:pPr>
      <w:widowControl w:val="0"/>
      <w:spacing w:line="360" w:lineRule="auto"/>
      <w:ind w:firstLine="560" w:firstLineChars="200"/>
      <w:jc w:val="both"/>
    </w:pPr>
    <w:rPr>
      <w:rFonts w:hAnsi="Times New Roman"/>
      <w:color w:val="000000"/>
      <w:kern w:val="2"/>
      <w:sz w:val="28"/>
      <w:szCs w:val="28"/>
    </w:rPr>
  </w:style>
  <w:style w:type="paragraph" w:customStyle="1" w:styleId="1578">
    <w:name w:val="列出段落1"/>
    <w:basedOn w:val="1"/>
    <w:qFormat/>
    <w:uiPriority w:val="99"/>
    <w:pPr>
      <w:widowControl w:val="0"/>
      <w:ind w:firstLine="420" w:firstLineChars="200"/>
      <w:jc w:val="both"/>
    </w:pPr>
    <w:rPr>
      <w:rFonts w:ascii="Calibri" w:hAnsi="Calibri" w:cs="Times New Roman"/>
      <w:kern w:val="2"/>
      <w:sz w:val="21"/>
      <w:szCs w:val="20"/>
    </w:rPr>
  </w:style>
  <w:style w:type="paragraph" w:customStyle="1" w:styleId="1579">
    <w:name w:val="列表 4H"/>
    <w:basedOn w:val="70"/>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580">
    <w:name w:val="表头1"/>
    <w:basedOn w:val="1"/>
    <w:qFormat/>
    <w:uiPriority w:val="0"/>
    <w:pPr>
      <w:widowControl w:val="0"/>
      <w:jc w:val="center"/>
    </w:pPr>
    <w:rPr>
      <w:rFonts w:ascii="Times New Roman" w:hAnsi="Times New Roman" w:cs="Times New Roman"/>
      <w:bCs/>
      <w:kern w:val="2"/>
      <w:sz w:val="18"/>
    </w:rPr>
  </w:style>
  <w:style w:type="paragraph" w:customStyle="1" w:styleId="1581">
    <w:name w:val="列表 2F"/>
    <w:basedOn w:val="35"/>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582">
    <w:name w:val="基准页眉样式"/>
    <w:basedOn w:val="32"/>
    <w:qFormat/>
    <w:uiPriority w:val="99"/>
    <w:pPr>
      <w:keepLines/>
      <w:tabs>
        <w:tab w:val="center" w:pos="4320"/>
        <w:tab w:val="right" w:pos="8640"/>
      </w:tabs>
      <w:spacing w:line="280" w:lineRule="exact"/>
      <w:jc w:val="center"/>
    </w:pPr>
    <w:rPr>
      <w:rFonts w:ascii="Times New Roman" w:hAnsi="Times New Roman"/>
      <w:color w:val="auto"/>
      <w:kern w:val="0"/>
      <w:sz w:val="30"/>
      <w:szCs w:val="20"/>
    </w:rPr>
  </w:style>
  <w:style w:type="paragraph" w:customStyle="1" w:styleId="1583">
    <w:name w:val="Char Char Char Char Char Char1 Char2"/>
    <w:basedOn w:val="1"/>
    <w:qFormat/>
    <w:uiPriority w:val="99"/>
    <w:pPr>
      <w:widowControl w:val="0"/>
      <w:jc w:val="both"/>
    </w:pPr>
    <w:rPr>
      <w:rFonts w:ascii="Times New Roman" w:hAnsi="Times New Roman" w:cs="Times New Roman"/>
      <w:kern w:val="2"/>
      <w:sz w:val="21"/>
    </w:rPr>
  </w:style>
  <w:style w:type="paragraph" w:customStyle="1" w:styleId="1584">
    <w:name w:val="正文文本 21"/>
    <w:basedOn w:val="1"/>
    <w:qFormat/>
    <w:uiPriority w:val="99"/>
    <w:pPr>
      <w:widowControl w:val="0"/>
      <w:adjustRightInd w:val="0"/>
      <w:ind w:left="425"/>
      <w:textAlignment w:val="baseline"/>
    </w:pPr>
    <w:rPr>
      <w:rFonts w:hAnsi="Times New Roman" w:cs="Times New Roman"/>
      <w:szCs w:val="20"/>
    </w:rPr>
  </w:style>
  <w:style w:type="paragraph" w:customStyle="1" w:styleId="1585">
    <w:name w:val="Pa0"/>
    <w:basedOn w:val="1"/>
    <w:next w:val="1"/>
    <w:qFormat/>
    <w:uiPriority w:val="99"/>
    <w:pPr>
      <w:widowControl w:val="0"/>
      <w:autoSpaceDE w:val="0"/>
      <w:autoSpaceDN w:val="0"/>
      <w:adjustRightInd w:val="0"/>
      <w:spacing w:line="241" w:lineRule="atLeast"/>
    </w:pPr>
    <w:rPr>
      <w:rFonts w:ascii="黑体" w:hAnsi="Times New Roman" w:eastAsia="黑体" w:cs="Times New Roman"/>
    </w:rPr>
  </w:style>
  <w:style w:type="paragraph" w:customStyle="1" w:styleId="1586">
    <w:name w:val="列表 2I"/>
    <w:basedOn w:val="35"/>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587">
    <w:name w:val="图表目录2"/>
    <w:basedOn w:val="300"/>
    <w:next w:val="300"/>
    <w:qFormat/>
    <w:uiPriority w:val="99"/>
    <w:pPr>
      <w:tabs>
        <w:tab w:val="right" w:leader="dot" w:pos="8051"/>
      </w:tabs>
      <w:ind w:left="840" w:hanging="840"/>
    </w:pPr>
    <w:rPr>
      <w:sz w:val="24"/>
    </w:rPr>
  </w:style>
  <w:style w:type="paragraph" w:customStyle="1" w:styleId="1588">
    <w:name w:val="sec（1）"/>
    <w:basedOn w:val="1"/>
    <w:qFormat/>
    <w:uiPriority w:val="99"/>
    <w:pPr>
      <w:widowControl w:val="0"/>
      <w:tabs>
        <w:tab w:val="left" w:pos="1134"/>
      </w:tabs>
      <w:spacing w:beforeLines="20" w:afterLines="20"/>
      <w:ind w:left="1134" w:hanging="964"/>
      <w:jc w:val="both"/>
    </w:pPr>
    <w:rPr>
      <w:rFonts w:cs="Times New Roman"/>
      <w:color w:val="000000"/>
      <w:kern w:val="2"/>
      <w:szCs w:val="20"/>
    </w:rPr>
  </w:style>
  <w:style w:type="paragraph" w:customStyle="1" w:styleId="1589">
    <w:name w:val="列表 3I"/>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590">
    <w:name w:val="样式 行距: 1.5 倍行距"/>
    <w:basedOn w:val="1"/>
    <w:qFormat/>
    <w:uiPriority w:val="99"/>
    <w:pPr>
      <w:widowControl w:val="0"/>
      <w:spacing w:line="360" w:lineRule="auto"/>
      <w:ind w:firstLine="200" w:firstLineChars="200"/>
      <w:jc w:val="both"/>
    </w:pPr>
    <w:rPr>
      <w:rFonts w:ascii="Times New Roman" w:hAnsi="Times New Roman"/>
      <w:kern w:val="2"/>
    </w:rPr>
  </w:style>
  <w:style w:type="paragraph" w:customStyle="1" w:styleId="1591">
    <w:name w:val="图1-1"/>
    <w:basedOn w:val="328"/>
    <w:qFormat/>
    <w:uiPriority w:val="99"/>
    <w:pPr>
      <w:keepLines/>
      <w:tabs>
        <w:tab w:val="clear" w:pos="0"/>
      </w:tabs>
      <w:spacing w:line="240" w:lineRule="auto"/>
      <w:ind w:firstLine="0" w:firstLineChars="0"/>
      <w:jc w:val="center"/>
    </w:pPr>
    <w:rPr>
      <w:rFonts w:ascii="Times New Roman"/>
      <w:b w:val="0"/>
      <w:sz w:val="21"/>
      <w:szCs w:val="24"/>
    </w:rPr>
  </w:style>
  <w:style w:type="paragraph" w:customStyle="1" w:styleId="1592">
    <w:name w:val="列表 3N"/>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593">
    <w:name w:val="列表 4T"/>
    <w:basedOn w:val="70"/>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594">
    <w:name w:val="列表 3C"/>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595">
    <w:name w:val="正文5"/>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596">
    <w:name w:val="样式 样式 标题 3H3H31H32H33u3条标题1.1.1Heading 3 - oldBold Headbh... + 非..."/>
    <w:basedOn w:val="1240"/>
    <w:next w:val="1240"/>
    <w:qFormat/>
    <w:uiPriority w:val="99"/>
    <w:rPr>
      <w:b w:val="0"/>
      <w:bCs w:val="0"/>
    </w:rPr>
  </w:style>
  <w:style w:type="paragraph" w:customStyle="1" w:styleId="1597">
    <w:name w:val="列表 N"/>
    <w:basedOn w:val="60"/>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598">
    <w:name w:val="样式 湛江钢铁正文 +"/>
    <w:basedOn w:val="1"/>
    <w:qFormat/>
    <w:uiPriority w:val="99"/>
    <w:pPr>
      <w:widowControl w:val="0"/>
      <w:adjustRightInd w:val="0"/>
      <w:spacing w:afterLines="25" w:line="360" w:lineRule="auto"/>
      <w:ind w:firstLine="480" w:firstLineChars="200"/>
      <w:textAlignment w:val="baseline"/>
    </w:pPr>
    <w:rPr>
      <w:rFonts w:ascii="Times New Roman" w:hAnsi="Times New Roman" w:eastAsia="仿宋_GB2312" w:cs="Times New Roman"/>
      <w:color w:val="000000"/>
    </w:rPr>
  </w:style>
  <w:style w:type="paragraph" w:customStyle="1" w:styleId="1599">
    <w:name w:val="列表 2O"/>
    <w:basedOn w:val="35"/>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600">
    <w:name w:val="a4"/>
    <w:basedOn w:val="1"/>
    <w:qFormat/>
    <w:uiPriority w:val="99"/>
    <w:pPr>
      <w:spacing w:before="100" w:beforeAutospacing="1" w:after="100" w:afterAutospacing="1"/>
    </w:pPr>
    <w:rPr>
      <w:rFonts w:ascii="Arial Unicode MS" w:hAnsi="Arial Unicode MS" w:eastAsia="Arial Unicode MS" w:cs="Arial Unicode MS"/>
    </w:rPr>
  </w:style>
  <w:style w:type="paragraph" w:customStyle="1" w:styleId="1601">
    <w:name w:val="日期11"/>
    <w:basedOn w:val="1"/>
    <w:next w:val="1"/>
    <w:qFormat/>
    <w:uiPriority w:val="99"/>
    <w:pPr>
      <w:widowControl w:val="0"/>
      <w:adjustRightInd w:val="0"/>
      <w:spacing w:line="360" w:lineRule="atLeast"/>
      <w:jc w:val="both"/>
      <w:textAlignment w:val="baseline"/>
    </w:pPr>
    <w:rPr>
      <w:rFonts w:hAnsi="Times New Roman" w:cs="Times New Roman"/>
      <w:spacing w:val="20"/>
      <w:sz w:val="28"/>
      <w:szCs w:val="20"/>
    </w:rPr>
  </w:style>
  <w:style w:type="paragraph" w:customStyle="1" w:styleId="1602">
    <w:name w:val="Char Char Char1 Char2"/>
    <w:basedOn w:val="1"/>
    <w:qFormat/>
    <w:uiPriority w:val="99"/>
    <w:pPr>
      <w:widowControl w:val="0"/>
      <w:jc w:val="both"/>
    </w:pPr>
    <w:rPr>
      <w:rFonts w:ascii="Times New Roman" w:hAnsi="Times New Roman" w:cs="Times New Roman"/>
      <w:kern w:val="2"/>
      <w:sz w:val="21"/>
    </w:rPr>
  </w:style>
  <w:style w:type="paragraph" w:customStyle="1" w:styleId="1603">
    <w:name w:val="表体"/>
    <w:basedOn w:val="1"/>
    <w:qFormat/>
    <w:uiPriority w:val="99"/>
    <w:pPr>
      <w:widowControl w:val="0"/>
      <w:adjustRightInd w:val="0"/>
      <w:snapToGrid w:val="0"/>
      <w:spacing w:beforeLines="20" w:afterLines="20"/>
      <w:jc w:val="center"/>
    </w:pPr>
    <w:rPr>
      <w:rFonts w:ascii="Times New Roman" w:hAnsi="Times New Roman" w:cs="Times New Roman"/>
      <w:kern w:val="2"/>
      <w:sz w:val="21"/>
    </w:rPr>
  </w:style>
  <w:style w:type="paragraph" w:customStyle="1" w:styleId="1604">
    <w:name w:val="reader-word-layer reader-word-s1-2"/>
    <w:basedOn w:val="1"/>
    <w:qFormat/>
    <w:uiPriority w:val="99"/>
    <w:pPr>
      <w:spacing w:before="100" w:beforeAutospacing="1" w:after="100" w:afterAutospacing="1"/>
    </w:pPr>
  </w:style>
  <w:style w:type="paragraph" w:customStyle="1" w:styleId="1605">
    <w:name w:val="样式 标题 2H2节标题 1.1节标题 1.1 Char1.1  标题 2  节标题 1.1第一章 标题 2Head..."/>
    <w:basedOn w:val="5"/>
    <w:qFormat/>
    <w:uiPriority w:val="99"/>
    <w:pPr>
      <w:widowControl w:val="0"/>
      <w:spacing w:line="360" w:lineRule="auto"/>
      <w:jc w:val="both"/>
    </w:pPr>
    <w:rPr>
      <w:rFonts w:ascii="Times New Roman" w:hAnsi="Times New Roman" w:eastAsia="宋体" w:cs="宋体"/>
      <w:b/>
      <w:sz w:val="24"/>
      <w:szCs w:val="20"/>
    </w:rPr>
  </w:style>
  <w:style w:type="paragraph" w:customStyle="1" w:styleId="1606">
    <w:name w:val="a"/>
    <w:basedOn w:val="1"/>
    <w:qFormat/>
    <w:uiPriority w:val="99"/>
    <w:pPr>
      <w:spacing w:before="100" w:beforeAutospacing="1" w:after="100" w:afterAutospacing="1"/>
    </w:pPr>
    <w:rPr>
      <w:rFonts w:ascii="Arial Unicode MS" w:hAnsi="Arial Unicode MS" w:eastAsia="Arial Unicode MS" w:cs="Arial Unicode MS"/>
    </w:rPr>
  </w:style>
  <w:style w:type="paragraph" w:customStyle="1" w:styleId="1607">
    <w:name w:val="样式 目录 2 + 左侧:  2 字符 首行缩进:  2 字符"/>
    <w:basedOn w:val="67"/>
    <w:qFormat/>
    <w:uiPriority w:val="99"/>
    <w:pPr>
      <w:tabs>
        <w:tab w:val="right" w:leader="dot" w:pos="8296"/>
        <w:tab w:val="right" w:leader="dot" w:pos="9060"/>
      </w:tabs>
      <w:snapToGrid w:val="0"/>
      <w:spacing w:after="40" w:line="360" w:lineRule="auto"/>
      <w:ind w:left="0" w:firstLine="476"/>
      <w:jc w:val="both"/>
    </w:pPr>
    <w:rPr>
      <w:rFonts w:ascii="Times New Roman" w:eastAsia="黑体" w:cs="宋体"/>
      <w:spacing w:val="20"/>
      <w:sz w:val="24"/>
    </w:rPr>
  </w:style>
  <w:style w:type="paragraph" w:customStyle="1" w:styleId="1608">
    <w:name w:val="样式 标题 2H2H21b2h2l22nd levelTitre22Header 2sect 1.2DO ..."/>
    <w:basedOn w:val="5"/>
    <w:qFormat/>
    <w:uiPriority w:val="99"/>
    <w:pPr>
      <w:widowControl w:val="0"/>
      <w:spacing w:before="240" w:after="240" w:line="240" w:lineRule="auto"/>
      <w:jc w:val="both"/>
    </w:pPr>
    <w:rPr>
      <w:rFonts w:ascii="Times New Roman" w:hAnsi="Times New Roman"/>
      <w:color w:val="FF0000"/>
      <w:spacing w:val="20"/>
      <w:szCs w:val="20"/>
    </w:rPr>
  </w:style>
  <w:style w:type="paragraph" w:customStyle="1" w:styleId="1609">
    <w:name w:val="Char Char Char Char Char Char1 Char Char Char Char1"/>
    <w:basedOn w:val="1"/>
    <w:qFormat/>
    <w:uiPriority w:val="99"/>
    <w:pPr>
      <w:widowControl w:val="0"/>
      <w:jc w:val="both"/>
    </w:pPr>
    <w:rPr>
      <w:rFonts w:ascii="Times New Roman" w:hAnsi="Times New Roman" w:cs="Times New Roman"/>
      <w:kern w:val="2"/>
      <w:sz w:val="21"/>
    </w:rPr>
  </w:style>
  <w:style w:type="paragraph" w:customStyle="1" w:styleId="1610">
    <w:name w:val="报告书"/>
    <w:basedOn w:val="1"/>
    <w:qFormat/>
    <w:uiPriority w:val="99"/>
    <w:pPr>
      <w:widowControl w:val="0"/>
      <w:autoSpaceDE w:val="0"/>
      <w:autoSpaceDN w:val="0"/>
      <w:adjustRightInd w:val="0"/>
      <w:spacing w:line="360" w:lineRule="auto"/>
      <w:ind w:firstLine="505"/>
      <w:textAlignment w:val="bottom"/>
    </w:pPr>
    <w:rPr>
      <w:rFonts w:ascii="Times New Roman" w:hAnsi="Times New Roman" w:cs="Times New Roman"/>
      <w:szCs w:val="20"/>
    </w:rPr>
  </w:style>
  <w:style w:type="paragraph" w:customStyle="1" w:styleId="1611">
    <w:name w:val="lyh 0.0.0.0"/>
    <w:next w:val="1"/>
    <w:qFormat/>
    <w:uiPriority w:val="0"/>
    <w:pPr>
      <w:adjustRightInd w:val="0"/>
      <w:snapToGrid w:val="0"/>
      <w:spacing w:line="360" w:lineRule="auto"/>
      <w:outlineLvl w:val="3"/>
    </w:pPr>
    <w:rPr>
      <w:rFonts w:ascii="宋体" w:hAnsi="宋体" w:eastAsia="宋体" w:cs="Times New Roman"/>
      <w:sz w:val="28"/>
      <w:szCs w:val="24"/>
      <w:lang w:val="en-US" w:eastAsia="zh-CN" w:bidi="ar-SA"/>
    </w:rPr>
  </w:style>
  <w:style w:type="paragraph" w:customStyle="1" w:styleId="1612">
    <w:name w:val="样式 (符号) 宋体 首行缩进:  0.93 厘米 段前: 6 磅 段后: 6 磅 行距: 固定值 18 磅1"/>
    <w:basedOn w:val="1"/>
    <w:qFormat/>
    <w:uiPriority w:val="0"/>
    <w:pPr>
      <w:widowControl w:val="0"/>
      <w:spacing w:before="160" w:after="160" w:line="320" w:lineRule="exact"/>
      <w:ind w:firstLine="527"/>
      <w:jc w:val="both"/>
    </w:pPr>
    <w:rPr>
      <w:rFonts w:ascii="Times New Roman" w:cs="Times New Roman"/>
      <w:kern w:val="2"/>
      <w:szCs w:val="20"/>
    </w:rPr>
  </w:style>
  <w:style w:type="paragraph" w:customStyle="1" w:styleId="1613">
    <w:name w:val="二级标题"/>
    <w:basedOn w:val="1"/>
    <w:next w:val="1"/>
    <w:qFormat/>
    <w:uiPriority w:val="0"/>
    <w:pPr>
      <w:keepNext/>
      <w:widowControl w:val="0"/>
      <w:adjustRightInd w:val="0"/>
      <w:spacing w:before="240" w:after="240" w:line="312" w:lineRule="atLeast"/>
      <w:jc w:val="center"/>
    </w:pPr>
    <w:rPr>
      <w:rFonts w:ascii="Times New Roman" w:hAnsi="Times New Roman" w:cs="Times New Roman"/>
      <w:sz w:val="28"/>
      <w:szCs w:val="20"/>
    </w:rPr>
  </w:style>
  <w:style w:type="paragraph" w:customStyle="1" w:styleId="1614">
    <w:name w:val="尾注文本11"/>
    <w:basedOn w:val="254"/>
    <w:qFormat/>
    <w:uiPriority w:val="99"/>
    <w:rPr>
      <w:sz w:val="21"/>
    </w:rPr>
  </w:style>
  <w:style w:type="paragraph" w:customStyle="1" w:styleId="1615">
    <w:name w:val="Char Char Char Char Char Char Char Char Char Char Char Char1 Char Char Char Char Char Char Char Char Char Char Char Char1 Char2"/>
    <w:basedOn w:val="1"/>
    <w:next w:val="1"/>
    <w:qFormat/>
    <w:uiPriority w:val="0"/>
    <w:pPr>
      <w:widowControl w:val="0"/>
      <w:spacing w:line="336" w:lineRule="auto"/>
      <w:ind w:firstLine="200" w:firstLineChars="200"/>
      <w:jc w:val="both"/>
    </w:pPr>
    <w:rPr>
      <w:rFonts w:eastAsia="汉鼎简书宋"/>
      <w:kern w:val="2"/>
    </w:rPr>
  </w:style>
  <w:style w:type="paragraph" w:customStyle="1" w:styleId="1616">
    <w:name w:val="正文文本缩进 32"/>
    <w:basedOn w:val="1"/>
    <w:qFormat/>
    <w:uiPriority w:val="99"/>
    <w:pPr>
      <w:widowControl w:val="0"/>
      <w:adjustRightInd w:val="0"/>
      <w:spacing w:line="360" w:lineRule="atLeast"/>
      <w:ind w:firstLine="480"/>
      <w:jc w:val="both"/>
      <w:textAlignment w:val="baseline"/>
    </w:pPr>
    <w:rPr>
      <w:rFonts w:hAnsi="Times New Roman" w:cs="Times New Roman"/>
      <w:szCs w:val="20"/>
    </w:rPr>
  </w:style>
  <w:style w:type="paragraph" w:customStyle="1" w:styleId="1617">
    <w:name w:val="正文文本缩进 211"/>
    <w:basedOn w:val="1"/>
    <w:qFormat/>
    <w:uiPriority w:val="99"/>
    <w:pPr>
      <w:widowControl w:val="0"/>
      <w:adjustRightInd w:val="0"/>
      <w:spacing w:line="360" w:lineRule="auto"/>
      <w:ind w:firstLine="510"/>
      <w:jc w:val="both"/>
      <w:textAlignment w:val="baseline"/>
    </w:pPr>
    <w:rPr>
      <w:rFonts w:cs="Times New Roman"/>
      <w:kern w:val="2"/>
      <w:sz w:val="28"/>
      <w:szCs w:val="20"/>
    </w:rPr>
  </w:style>
  <w:style w:type="paragraph" w:customStyle="1" w:styleId="1618">
    <w:name w:val="内蒙图"/>
    <w:basedOn w:val="1154"/>
    <w:qFormat/>
    <w:uiPriority w:val="99"/>
    <w:pPr>
      <w:jc w:val="center"/>
    </w:pPr>
    <w:rPr>
      <w:rFonts w:eastAsia="黑体"/>
    </w:rPr>
  </w:style>
  <w:style w:type="paragraph" w:customStyle="1" w:styleId="1619">
    <w:name w:val="Char4 Char Char Char Char Char Char11"/>
    <w:basedOn w:val="1"/>
    <w:qFormat/>
    <w:uiPriority w:val="99"/>
    <w:pPr>
      <w:widowControl w:val="0"/>
      <w:spacing w:line="360" w:lineRule="auto"/>
      <w:ind w:firstLine="200" w:firstLineChars="200"/>
      <w:jc w:val="both"/>
    </w:pPr>
    <w:rPr>
      <w:kern w:val="2"/>
    </w:rPr>
  </w:style>
  <w:style w:type="paragraph" w:customStyle="1" w:styleId="1620">
    <w:name w:val="xl123"/>
    <w:basedOn w:val="1"/>
    <w:qFormat/>
    <w:uiPriority w:val="99"/>
    <w:pPr>
      <w:pBdr>
        <w:left w:val="single" w:color="auto" w:sz="4" w:space="0"/>
        <w:bottom w:val="single" w:color="auto" w:sz="4" w:space="0"/>
        <w:right w:val="single" w:color="auto" w:sz="8" w:space="0"/>
      </w:pBdr>
      <w:spacing w:before="100" w:beforeAutospacing="1" w:after="100" w:afterAutospacing="1"/>
      <w:jc w:val="right"/>
    </w:pPr>
    <w:rPr>
      <w:rFonts w:ascii="Arial Unicode MS" w:hAnsi="Arial Unicode MS" w:eastAsia="Arial Unicode MS" w:cs="Arial Unicode MS"/>
    </w:rPr>
  </w:style>
  <w:style w:type="paragraph" w:customStyle="1" w:styleId="1621">
    <w:name w:val="表的格式（小四）"/>
    <w:basedOn w:val="1"/>
    <w:qFormat/>
    <w:uiPriority w:val="99"/>
    <w:pPr>
      <w:widowControl w:val="0"/>
      <w:adjustRightInd w:val="0"/>
      <w:spacing w:line="360" w:lineRule="atLeast"/>
      <w:jc w:val="center"/>
    </w:pPr>
    <w:rPr>
      <w:rFonts w:ascii="Times New Roman" w:hAnsi="Times New Roman" w:cs="Times New Roman"/>
      <w:szCs w:val="20"/>
    </w:rPr>
  </w:style>
  <w:style w:type="paragraph" w:customStyle="1" w:styleId="1622">
    <w:name w:val="项目符号2"/>
    <w:basedOn w:val="1623"/>
    <w:qFormat/>
    <w:uiPriority w:val="0"/>
    <w:pPr>
      <w:tabs>
        <w:tab w:val="left" w:pos="1146"/>
      </w:tabs>
      <w:spacing w:line="312" w:lineRule="auto"/>
      <w:ind w:left="850" w:hanging="720"/>
    </w:pPr>
    <w:rPr>
      <w:b/>
    </w:rPr>
  </w:style>
  <w:style w:type="paragraph" w:customStyle="1" w:styleId="1623">
    <w:name w:val="项目符号1"/>
    <w:basedOn w:val="1"/>
    <w:qFormat/>
    <w:uiPriority w:val="0"/>
    <w:pPr>
      <w:widowControl w:val="0"/>
      <w:spacing w:line="336" w:lineRule="auto"/>
      <w:jc w:val="both"/>
    </w:pPr>
    <w:rPr>
      <w:rFonts w:ascii="Times New Roman" w:hAnsi="Times New Roman" w:cs="Times New Roman"/>
      <w:kern w:val="2"/>
      <w:szCs w:val="20"/>
    </w:rPr>
  </w:style>
  <w:style w:type="paragraph" w:customStyle="1" w:styleId="1624">
    <w:name w:val="正文4"/>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625">
    <w:name w:val="公式样式1"/>
    <w:basedOn w:val="1"/>
    <w:qFormat/>
    <w:uiPriority w:val="99"/>
    <w:pPr>
      <w:widowControl w:val="0"/>
      <w:jc w:val="center"/>
    </w:pPr>
    <w:rPr>
      <w:rFonts w:ascii="Times New Roman" w:hAnsi="Times New Roman" w:cs="Times New Roman"/>
      <w:kern w:val="2"/>
      <w:sz w:val="21"/>
      <w:szCs w:val="21"/>
    </w:rPr>
  </w:style>
  <w:style w:type="paragraph" w:customStyle="1" w:styleId="1626">
    <w:name w:val="列出段落2"/>
    <w:basedOn w:val="1"/>
    <w:qFormat/>
    <w:uiPriority w:val="99"/>
    <w:pPr>
      <w:widowControl w:val="0"/>
      <w:ind w:firstLine="420" w:firstLineChars="200"/>
      <w:jc w:val="both"/>
    </w:pPr>
    <w:rPr>
      <w:rFonts w:ascii="Calibri" w:hAnsi="Calibri" w:cs="Times New Roman"/>
      <w:kern w:val="2"/>
      <w:sz w:val="21"/>
      <w:szCs w:val="20"/>
    </w:rPr>
  </w:style>
  <w:style w:type="paragraph" w:customStyle="1" w:styleId="1627">
    <w:name w:val="页脚3"/>
    <w:basedOn w:val="300"/>
    <w:qFormat/>
    <w:uiPriority w:val="99"/>
    <w:pPr>
      <w:tabs>
        <w:tab w:val="center" w:pos="4153"/>
        <w:tab w:val="right" w:pos="8306"/>
      </w:tabs>
      <w:spacing w:line="240" w:lineRule="atLeast"/>
    </w:pPr>
    <w:rPr>
      <w:sz w:val="18"/>
    </w:rPr>
  </w:style>
  <w:style w:type="paragraph" w:customStyle="1" w:styleId="1628">
    <w:name w:val="尾注文本2"/>
    <w:basedOn w:val="300"/>
    <w:qFormat/>
    <w:uiPriority w:val="99"/>
    <w:rPr>
      <w:sz w:val="21"/>
    </w:rPr>
  </w:style>
  <w:style w:type="paragraph" w:customStyle="1" w:styleId="1629">
    <w:name w:val="正文文本缩进 22"/>
    <w:basedOn w:val="1"/>
    <w:qFormat/>
    <w:uiPriority w:val="99"/>
    <w:pPr>
      <w:widowControl w:val="0"/>
      <w:adjustRightInd w:val="0"/>
      <w:spacing w:line="360" w:lineRule="auto"/>
      <w:ind w:firstLine="510"/>
      <w:jc w:val="both"/>
      <w:textAlignment w:val="baseline"/>
    </w:pPr>
    <w:rPr>
      <w:rFonts w:cs="Times New Roman"/>
      <w:kern w:val="2"/>
      <w:sz w:val="28"/>
      <w:szCs w:val="20"/>
    </w:rPr>
  </w:style>
  <w:style w:type="paragraph" w:customStyle="1" w:styleId="1630">
    <w:name w:val="Char Char Char Char Char Char Char Char Char Char Char11"/>
    <w:basedOn w:val="1"/>
    <w:qFormat/>
    <w:uiPriority w:val="0"/>
    <w:pPr>
      <w:widowControl w:val="0"/>
      <w:jc w:val="both"/>
    </w:pPr>
    <w:rPr>
      <w:rFonts w:ascii="Times New Roman" w:hAnsi="Times New Roman" w:cs="Times New Roman"/>
      <w:kern w:val="2"/>
      <w:sz w:val="21"/>
    </w:rPr>
  </w:style>
  <w:style w:type="paragraph" w:customStyle="1" w:styleId="1631">
    <w:name w:val="样式 样式 标题 4款标题1.1.1.1 南陵标题 4标题 4 CharH4PIM 4h4First Subheadin... ..."/>
    <w:basedOn w:val="1045"/>
    <w:qFormat/>
    <w:uiPriority w:val="0"/>
    <w:pPr>
      <w:jc w:val="left"/>
    </w:pPr>
    <w:rPr>
      <w:kern w:val="2"/>
    </w:rPr>
  </w:style>
  <w:style w:type="paragraph" w:customStyle="1" w:styleId="1632">
    <w:name w:val="reader-word-layer reader-word-s33-6"/>
    <w:basedOn w:val="1"/>
    <w:qFormat/>
    <w:uiPriority w:val="99"/>
    <w:pPr>
      <w:spacing w:before="100" w:beforeAutospacing="1" w:after="100" w:afterAutospacing="1"/>
    </w:pPr>
  </w:style>
  <w:style w:type="paragraph" w:customStyle="1" w:styleId="1633">
    <w:name w:val="CSI  Body 2"/>
    <w:basedOn w:val="1"/>
    <w:qFormat/>
    <w:uiPriority w:val="99"/>
    <w:pPr>
      <w:spacing w:after="240"/>
      <w:ind w:left="1440"/>
    </w:pPr>
    <w:rPr>
      <w:rFonts w:ascii="Arial" w:hAnsi="Arial" w:eastAsia="Batang" w:cs="Times New Roman"/>
      <w:lang w:eastAsia="ko-KR"/>
    </w:rPr>
  </w:style>
  <w:style w:type="paragraph" w:customStyle="1" w:styleId="1634">
    <w:name w:val="表格文字2wj"/>
    <w:qFormat/>
    <w:uiPriority w:val="99"/>
    <w:pPr>
      <w:adjustRightInd w:val="0"/>
      <w:snapToGrid w:val="0"/>
      <w:jc w:val="center"/>
    </w:pPr>
    <w:rPr>
      <w:rFonts w:ascii="Times New Roman" w:hAnsi="Times New Roman" w:eastAsia="宋体" w:cs="Times New Roman"/>
      <w:sz w:val="21"/>
      <w:szCs w:val="21"/>
      <w:lang w:val="en-US" w:eastAsia="zh-CN" w:bidi="ar-SA"/>
    </w:rPr>
  </w:style>
  <w:style w:type="paragraph" w:customStyle="1" w:styleId="1635">
    <w:name w:val="正文编号"/>
    <w:basedOn w:val="1"/>
    <w:qFormat/>
    <w:uiPriority w:val="99"/>
    <w:pPr>
      <w:widowControl w:val="0"/>
      <w:tabs>
        <w:tab w:val="left" w:pos="726"/>
      </w:tabs>
      <w:adjustRightInd w:val="0"/>
      <w:spacing w:line="300" w:lineRule="auto"/>
      <w:ind w:left="2" w:firstLine="4"/>
      <w:textAlignment w:val="baseline"/>
    </w:pPr>
    <w:rPr>
      <w:rFonts w:eastAsia="仿宋_GB2312" w:cs="Times New Roman"/>
      <w:snapToGrid w:val="0"/>
    </w:rPr>
  </w:style>
  <w:style w:type="paragraph" w:customStyle="1" w:styleId="1636">
    <w:name w:val="样式 样式 标题 3 + 段前: 1 行 段后: 1 行 + 段前: 0.5 行1"/>
    <w:basedOn w:val="1"/>
    <w:qFormat/>
    <w:uiPriority w:val="99"/>
    <w:pPr>
      <w:keepNext/>
      <w:tabs>
        <w:tab w:val="left" w:pos="1931"/>
      </w:tabs>
      <w:overflowPunct w:val="0"/>
      <w:autoSpaceDE w:val="0"/>
      <w:autoSpaceDN w:val="0"/>
      <w:adjustRightInd w:val="0"/>
      <w:snapToGrid w:val="0"/>
      <w:spacing w:beforeLines="50" w:after="240"/>
      <w:ind w:left="1418" w:hanging="567"/>
      <w:textAlignment w:val="baseline"/>
      <w:outlineLvl w:val="2"/>
    </w:pPr>
    <w:rPr>
      <w:rFonts w:ascii="Times New Roman" w:hAnsi="Times New Roman" w:eastAsia="黑体"/>
      <w:bCs/>
      <w:color w:val="000000"/>
      <w:kern w:val="10"/>
      <w:sz w:val="28"/>
      <w:szCs w:val="28"/>
    </w:rPr>
  </w:style>
  <w:style w:type="paragraph" w:customStyle="1" w:styleId="1637">
    <w:name w:val="修订1"/>
    <w:qFormat/>
    <w:uiPriority w:val="99"/>
    <w:rPr>
      <w:rFonts w:ascii="Calibri" w:hAnsi="Calibri" w:eastAsia="宋体" w:cs="Times New Roman"/>
      <w:kern w:val="2"/>
      <w:sz w:val="21"/>
      <w:szCs w:val="22"/>
      <w:lang w:val="en-US" w:eastAsia="zh-CN" w:bidi="ar-SA"/>
    </w:rPr>
  </w:style>
  <w:style w:type="paragraph" w:customStyle="1" w:styleId="1638">
    <w:name w:val="正文（英）"/>
    <w:basedOn w:val="1"/>
    <w:qFormat/>
    <w:uiPriority w:val="99"/>
    <w:pPr>
      <w:widowControl w:val="0"/>
      <w:adjustRightInd w:val="0"/>
      <w:jc w:val="both"/>
      <w:textAlignment w:val="baseline"/>
    </w:pPr>
    <w:rPr>
      <w:rFonts w:ascii="Arial" w:hAnsi="Arial" w:eastAsia="仿宋_GB2312" w:cs="Times New Roman"/>
      <w:color w:val="FF0000"/>
    </w:rPr>
  </w:style>
  <w:style w:type="paragraph" w:customStyle="1" w:styleId="1639">
    <w:name w:val="样式 楷体_GB2312 居中"/>
    <w:basedOn w:val="1"/>
    <w:qFormat/>
    <w:uiPriority w:val="99"/>
    <w:pPr>
      <w:widowControl w:val="0"/>
      <w:spacing w:line="360" w:lineRule="auto"/>
      <w:jc w:val="center"/>
    </w:pPr>
    <w:rPr>
      <w:rFonts w:ascii="楷体_GB2312" w:hAnsi="Times New Roman" w:eastAsia="楷体_GB2312" w:cs="Times New Roman"/>
      <w:kern w:val="2"/>
      <w:sz w:val="21"/>
      <w:szCs w:val="20"/>
    </w:rPr>
  </w:style>
  <w:style w:type="paragraph" w:customStyle="1" w:styleId="1640">
    <w:name w:val="表格单位"/>
    <w:basedOn w:val="1"/>
    <w:qFormat/>
    <w:uiPriority w:val="99"/>
    <w:pPr>
      <w:widowControl w:val="0"/>
      <w:spacing w:line="240" w:lineRule="atLeast"/>
      <w:jc w:val="right"/>
    </w:pPr>
    <w:rPr>
      <w:rFonts w:ascii="Times New Roman" w:hAnsi="Times New Roman" w:eastAsia="仿宋_GB2312" w:cs="Times New Roman"/>
      <w:kern w:val="2"/>
      <w:sz w:val="18"/>
    </w:rPr>
  </w:style>
  <w:style w:type="paragraph" w:customStyle="1" w:styleId="1641">
    <w:name w:val="SCIDI章标题"/>
    <w:basedOn w:val="5"/>
    <w:next w:val="1"/>
    <w:qFormat/>
    <w:uiPriority w:val="99"/>
    <w:pPr>
      <w:widowControl w:val="0"/>
      <w:adjustRightInd w:val="0"/>
      <w:snapToGrid w:val="0"/>
      <w:spacing w:after="260" w:line="360" w:lineRule="auto"/>
      <w:jc w:val="center"/>
    </w:pPr>
    <w:rPr>
      <w:rFonts w:ascii="Times New Roman" w:hAnsi="Times New Roman" w:eastAsia="宋体"/>
      <w:sz w:val="32"/>
    </w:rPr>
  </w:style>
  <w:style w:type="paragraph" w:customStyle="1" w:styleId="1642">
    <w:name w:val="style3"/>
    <w:basedOn w:val="1"/>
    <w:qFormat/>
    <w:uiPriority w:val="99"/>
    <w:pPr>
      <w:spacing w:before="100" w:beforeAutospacing="1" w:after="100" w:afterAutospacing="1"/>
    </w:pPr>
    <w:rPr>
      <w:rFonts w:eastAsia="仿宋_GB2312"/>
    </w:rPr>
  </w:style>
  <w:style w:type="paragraph" w:customStyle="1" w:styleId="1643">
    <w:name w:val="Char1 Char Char"/>
    <w:basedOn w:val="1"/>
    <w:qFormat/>
    <w:uiPriority w:val="99"/>
    <w:pPr>
      <w:widowControl w:val="0"/>
      <w:jc w:val="both"/>
    </w:pPr>
    <w:rPr>
      <w:rFonts w:ascii="Times New Roman" w:hAnsi="Times New Roman" w:eastAsia="仿宋_GB2312" w:cs="Times New Roman"/>
      <w:kern w:val="2"/>
      <w:sz w:val="21"/>
      <w:szCs w:val="21"/>
    </w:rPr>
  </w:style>
  <w:style w:type="paragraph" w:customStyle="1" w:styleId="1644">
    <w:name w:val="style4"/>
    <w:basedOn w:val="1"/>
    <w:qFormat/>
    <w:uiPriority w:val="99"/>
    <w:pPr>
      <w:spacing w:before="100" w:beforeAutospacing="1" w:after="100" w:afterAutospacing="1"/>
    </w:pPr>
    <w:rPr>
      <w:rFonts w:cs="Times New Roman"/>
      <w:szCs w:val="20"/>
    </w:rPr>
  </w:style>
  <w:style w:type="paragraph" w:customStyle="1" w:styleId="1645">
    <w:name w:val="Char Char Char Char Char Char Char Char Char1 Char Char Char Char Char Char Char Char Char Char Char Char Char Char Char Char Char"/>
    <w:basedOn w:val="1"/>
    <w:qFormat/>
    <w:uiPriority w:val="99"/>
    <w:pPr>
      <w:widowControl w:val="0"/>
      <w:jc w:val="both"/>
    </w:pPr>
    <w:rPr>
      <w:rFonts w:ascii="Times New Roman" w:hAnsi="Times New Roman" w:eastAsia="仿宋_GB2312" w:cs="Times New Roman"/>
      <w:kern w:val="2"/>
      <w:sz w:val="21"/>
      <w:szCs w:val="21"/>
    </w:rPr>
  </w:style>
  <w:style w:type="paragraph" w:customStyle="1" w:styleId="1646">
    <w:name w:val="Char Char Char2"/>
    <w:basedOn w:val="1"/>
    <w:qFormat/>
    <w:uiPriority w:val="0"/>
    <w:pPr>
      <w:widowControl w:val="0"/>
      <w:jc w:val="both"/>
    </w:pPr>
    <w:rPr>
      <w:rFonts w:ascii="Tahoma" w:hAnsi="Tahoma" w:eastAsia="黑体" w:cs="Times New Roman"/>
      <w:kern w:val="2"/>
      <w:sz w:val="28"/>
      <w:szCs w:val="28"/>
    </w:rPr>
  </w:style>
  <w:style w:type="paragraph" w:customStyle="1" w:styleId="1647">
    <w:name w:val="字元 字元 Char Char 字元 字元1 Char Char Char1"/>
    <w:basedOn w:val="1"/>
    <w:qFormat/>
    <w:uiPriority w:val="99"/>
    <w:pPr>
      <w:widowControl w:val="0"/>
      <w:jc w:val="both"/>
    </w:pPr>
    <w:rPr>
      <w:rFonts w:ascii="Times New Roman" w:hAnsi="Times New Roman" w:cs="Times New Roman"/>
      <w:kern w:val="2"/>
    </w:rPr>
  </w:style>
  <w:style w:type="paragraph" w:customStyle="1" w:styleId="1648">
    <w:name w:val="Char1 Char Char Char Char Char Char2 Char Char Char Char Char Char Char Char Char Char Char Char Char Char Char Char Char Char1"/>
    <w:basedOn w:val="1"/>
    <w:qFormat/>
    <w:uiPriority w:val="99"/>
    <w:pPr>
      <w:widowControl w:val="0"/>
      <w:jc w:val="both"/>
    </w:pPr>
    <w:rPr>
      <w:rFonts w:ascii="Times New Roman" w:hAnsi="Times New Roman" w:cs="Times New Roman"/>
      <w:kern w:val="2"/>
      <w:sz w:val="21"/>
    </w:rPr>
  </w:style>
  <w:style w:type="paragraph" w:customStyle="1" w:styleId="1649">
    <w:name w:val="Char Char Char Char Char Char Char Char Char Char Char1 Char Char Char Char1"/>
    <w:basedOn w:val="1"/>
    <w:qFormat/>
    <w:uiPriority w:val="0"/>
    <w:pPr>
      <w:widowControl w:val="0"/>
      <w:jc w:val="both"/>
    </w:pPr>
    <w:rPr>
      <w:rFonts w:ascii="Times New Roman" w:hAnsi="Times New Roman" w:cs="Times New Roman"/>
      <w:kern w:val="2"/>
      <w:sz w:val="21"/>
    </w:rPr>
  </w:style>
  <w:style w:type="paragraph" w:customStyle="1" w:styleId="1650">
    <w:name w:val="lyh 0.0.0"/>
    <w:next w:val="1"/>
    <w:qFormat/>
    <w:uiPriority w:val="0"/>
    <w:pPr>
      <w:adjustRightInd w:val="0"/>
      <w:snapToGrid w:val="0"/>
      <w:spacing w:line="360" w:lineRule="auto"/>
      <w:outlineLvl w:val="2"/>
    </w:pPr>
    <w:rPr>
      <w:rFonts w:ascii="宋体" w:hAnsi="宋体" w:eastAsia="宋体" w:cs="Times New Roman"/>
      <w:b/>
      <w:sz w:val="28"/>
      <w:szCs w:val="24"/>
      <w:lang w:val="en-US" w:eastAsia="zh-CN" w:bidi="ar-SA"/>
    </w:rPr>
  </w:style>
  <w:style w:type="paragraph" w:customStyle="1" w:styleId="1651">
    <w:name w:val="Char Char Char Char Char Char Char Char Char Char Char"/>
    <w:basedOn w:val="1"/>
    <w:qFormat/>
    <w:uiPriority w:val="0"/>
    <w:pPr>
      <w:widowControl w:val="0"/>
      <w:jc w:val="both"/>
    </w:pPr>
    <w:rPr>
      <w:rFonts w:ascii="Times New Roman" w:hAnsi="Times New Roman" w:cs="Times New Roman"/>
      <w:kern w:val="2"/>
      <w:sz w:val="21"/>
    </w:rPr>
  </w:style>
  <w:style w:type="paragraph" w:customStyle="1" w:styleId="1652">
    <w:name w:val="小标题@"/>
    <w:basedOn w:val="1"/>
    <w:qFormat/>
    <w:uiPriority w:val="0"/>
    <w:pPr>
      <w:widowControl w:val="0"/>
      <w:tabs>
        <w:tab w:val="left" w:pos="840"/>
      </w:tabs>
      <w:adjustRightInd w:val="0"/>
      <w:spacing w:before="60" w:after="60"/>
      <w:ind w:left="828" w:hanging="348"/>
      <w:jc w:val="both"/>
      <w:textAlignment w:val="baseline"/>
    </w:pPr>
    <w:rPr>
      <w:rFonts w:ascii="Times New Roman" w:hAnsi="Times New Roman" w:cs="Times New Roman"/>
      <w:kern w:val="2"/>
      <w:szCs w:val="20"/>
    </w:rPr>
  </w:style>
  <w:style w:type="paragraph" w:customStyle="1" w:styleId="1653">
    <w:name w:val="4"/>
    <w:basedOn w:val="1"/>
    <w:next w:val="1"/>
    <w:qFormat/>
    <w:uiPriority w:val="0"/>
    <w:pPr>
      <w:widowControl w:val="0"/>
      <w:jc w:val="both"/>
    </w:pPr>
    <w:rPr>
      <w:rFonts w:hAnsi="Courier New" w:cs="Times New Roman"/>
      <w:kern w:val="2"/>
      <w:sz w:val="21"/>
      <w:szCs w:val="20"/>
    </w:rPr>
  </w:style>
  <w:style w:type="paragraph" w:customStyle="1" w:styleId="1654">
    <w:name w:val="样式 标题 1 + 左侧:  0 厘米 首行缩进:  0 厘米"/>
    <w:basedOn w:val="4"/>
    <w:qFormat/>
    <w:uiPriority w:val="0"/>
    <w:pPr>
      <w:keepNext/>
      <w:keepLines/>
      <w:widowControl w:val="0"/>
      <w:tabs>
        <w:tab w:val="left" w:pos="425"/>
        <w:tab w:val="left" w:pos="720"/>
        <w:tab w:val="left" w:pos="1200"/>
      </w:tabs>
      <w:spacing w:before="120" w:after="120"/>
      <w:ind w:left="720"/>
    </w:pPr>
    <w:rPr>
      <w:rFonts w:ascii="Times New Roman" w:hAnsi="Times New Roman"/>
      <w:b/>
      <w:bCs/>
      <w:color w:val="000000"/>
      <w:kern w:val="44"/>
      <w:sz w:val="28"/>
      <w:szCs w:val="28"/>
    </w:rPr>
  </w:style>
  <w:style w:type="paragraph" w:customStyle="1" w:styleId="1655">
    <w:name w:val="Char Char Char Char Char Char Char Char Char Char Char2"/>
    <w:basedOn w:val="1"/>
    <w:qFormat/>
    <w:uiPriority w:val="0"/>
    <w:pPr>
      <w:widowControl w:val="0"/>
      <w:jc w:val="both"/>
    </w:pPr>
    <w:rPr>
      <w:rFonts w:ascii="Times New Roman" w:hAnsi="Times New Roman" w:cs="Times New Roman"/>
      <w:kern w:val="2"/>
      <w:sz w:val="21"/>
    </w:rPr>
  </w:style>
  <w:style w:type="paragraph" w:customStyle="1" w:styleId="1656">
    <w:name w:val="副标题4"/>
    <w:basedOn w:val="1452"/>
    <w:qFormat/>
    <w:uiPriority w:val="0"/>
    <w:pPr>
      <w:tabs>
        <w:tab w:val="left" w:pos="1275"/>
        <w:tab w:val="left" w:pos="1575"/>
        <w:tab w:val="left" w:pos="2100"/>
        <w:tab w:val="clear" w:pos="672"/>
        <w:tab w:val="clear" w:pos="720"/>
      </w:tabs>
      <w:ind w:left="1275" w:hanging="705"/>
      <w:outlineLvl w:val="4"/>
    </w:pPr>
  </w:style>
  <w:style w:type="paragraph" w:customStyle="1" w:styleId="1657">
    <w:name w:val="样式 标题 1 + 首行缩进:  2 字符"/>
    <w:basedOn w:val="4"/>
    <w:next w:val="1159"/>
    <w:qFormat/>
    <w:uiPriority w:val="0"/>
    <w:pPr>
      <w:keepNext/>
      <w:widowControl w:val="0"/>
      <w:spacing w:line="720" w:lineRule="auto"/>
      <w:ind w:firstLine="200" w:firstLineChars="200"/>
      <w:jc w:val="center"/>
    </w:pPr>
    <w:rPr>
      <w:rFonts w:ascii="黑体" w:hAnsi="Times New Roman" w:cs="宋体"/>
      <w:b/>
      <w:sz w:val="36"/>
      <w:szCs w:val="20"/>
    </w:rPr>
  </w:style>
  <w:style w:type="paragraph" w:customStyle="1" w:styleId="1658">
    <w:name w:val="样式 Times New Roman 五号 居中"/>
    <w:basedOn w:val="1"/>
    <w:qFormat/>
    <w:uiPriority w:val="0"/>
    <w:pPr>
      <w:widowControl w:val="0"/>
      <w:jc w:val="center"/>
    </w:pPr>
    <w:rPr>
      <w:rFonts w:ascii="Times New Roman" w:hAnsi="Times New Roman"/>
      <w:kern w:val="2"/>
      <w:sz w:val="21"/>
      <w:szCs w:val="20"/>
    </w:rPr>
  </w:style>
  <w:style w:type="paragraph" w:customStyle="1" w:styleId="1659">
    <w:name w:val="Char Char Char Char Char Char Char Char Char Char Char1 Char Char Char Char Char Char Char1"/>
    <w:basedOn w:val="1"/>
    <w:qFormat/>
    <w:uiPriority w:val="0"/>
    <w:pPr>
      <w:widowControl w:val="0"/>
      <w:jc w:val="both"/>
    </w:pPr>
    <w:rPr>
      <w:rFonts w:ascii="Times New Roman" w:hAnsi="Times New Roman" w:cs="Times New Roman"/>
      <w:kern w:val="2"/>
      <w:sz w:val="21"/>
    </w:rPr>
  </w:style>
  <w:style w:type="paragraph" w:customStyle="1" w:styleId="1660">
    <w:name w:val="Char2 Char Char Char Char Char Char Char Char Char1"/>
    <w:basedOn w:val="1"/>
    <w:qFormat/>
    <w:uiPriority w:val="0"/>
    <w:pPr>
      <w:widowControl w:val="0"/>
      <w:spacing w:line="360" w:lineRule="auto"/>
      <w:ind w:firstLine="200" w:firstLineChars="200"/>
      <w:jc w:val="both"/>
    </w:pPr>
    <w:rPr>
      <w:kern w:val="2"/>
    </w:rPr>
  </w:style>
  <w:style w:type="paragraph" w:customStyle="1" w:styleId="1661">
    <w:name w:val="Char Char Char Char Char Char Char Char Char Char Char Char Char Char Char Char Char Char Char Char Char Char Char Char1"/>
    <w:basedOn w:val="1"/>
    <w:qFormat/>
    <w:uiPriority w:val="0"/>
    <w:pPr>
      <w:widowControl w:val="0"/>
      <w:jc w:val="both"/>
    </w:pPr>
    <w:rPr>
      <w:rFonts w:ascii="Times New Roman" w:hAnsi="Times New Roman" w:cs="Times New Roman"/>
      <w:kern w:val="2"/>
      <w:sz w:val="21"/>
    </w:rPr>
  </w:style>
  <w:style w:type="table" w:customStyle="1" w:styleId="1662">
    <w:name w:val="Table Normal"/>
    <w:unhideWhenUsed/>
    <w:qFormat/>
    <w:uiPriority w:val="0"/>
    <w:pPr>
      <w:widowControl w:val="0"/>
    </w:pPr>
    <w:rPr>
      <w:sz w:val="22"/>
      <w:szCs w:val="22"/>
      <w:lang w:eastAsia="en-US"/>
    </w:rPr>
    <w:tblPr>
      <w:tblCellMar>
        <w:top w:w="0" w:type="dxa"/>
        <w:left w:w="0" w:type="dxa"/>
        <w:bottom w:w="0" w:type="dxa"/>
        <w:right w:w="0" w:type="dxa"/>
      </w:tblCellMar>
    </w:tblPr>
  </w:style>
  <w:style w:type="table" w:customStyle="1" w:styleId="1663">
    <w:name w:val="HIT-EIA"/>
    <w:basedOn w:val="83"/>
    <w:qFormat/>
    <w:uiPriority w:val="0"/>
    <w:pPr>
      <w:jc w:val="center"/>
    </w:pPr>
    <w:rPr>
      <w:sz w:val="21"/>
      <w:szCs w:val="21"/>
    </w:rPr>
    <w:tblPr>
      <w:tblBorders>
        <w:insideH w:val="single" w:color="auto" w:sz="4" w:space="0"/>
        <w:insideV w:val="single" w:color="auto" w:sz="4" w:space="0"/>
      </w:tblBorders>
    </w:tblPr>
    <w:tcPr>
      <w:vAlign w:val="center"/>
    </w:tcPr>
    <w:tblStylePr w:type="firstRow">
      <w:rPr>
        <w:i/>
        <w:iCs/>
      </w:rPr>
      <w:tcPr>
        <w:tcBorders>
          <w:top w:val="nil"/>
          <w:left w:val="nil"/>
          <w:bottom w:val="single" w:color="000000" w:sz="6" w:space="0"/>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tcPr>
        <w:tcBorders>
          <w:top w:val="nil"/>
          <w:left w:val="nil"/>
          <w:bottom w:val="nil"/>
          <w:right w:val="single" w:color="000000" w:sz="6" w:space="0"/>
          <w:insideH w:val="nil"/>
          <w:insideV w:val="nil"/>
          <w:tl2br w:val="nil"/>
          <w:tr2bl w:val="nil"/>
        </w:tcBorders>
      </w:tcPr>
    </w:tblStylePr>
    <w:tblStylePr w:type="neCell">
      <w:rPr>
        <w:b/>
        <w:bCs/>
        <w:i w:val="0"/>
        <w:iCs w:val="0"/>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paragraph" w:customStyle="1" w:styleId="1664">
    <w:name w:val="Char Char Char Char Char Char Char9"/>
    <w:basedOn w:val="1"/>
    <w:qFormat/>
    <w:uiPriority w:val="0"/>
    <w:pPr>
      <w:widowControl w:val="0"/>
      <w:spacing w:line="360" w:lineRule="auto"/>
      <w:ind w:firstLine="200" w:firstLineChars="200"/>
      <w:jc w:val="both"/>
    </w:pPr>
    <w:rPr>
      <w:kern w:val="2"/>
      <w:szCs w:val="21"/>
    </w:rPr>
  </w:style>
  <w:style w:type="paragraph" w:customStyle="1" w:styleId="1665">
    <w:name w:val="环保表内字（小五）"/>
    <w:basedOn w:val="1571"/>
    <w:qFormat/>
    <w:uiPriority w:val="0"/>
    <w:pPr>
      <w:tabs>
        <w:tab w:val="left" w:pos="540"/>
        <w:tab w:val="left" w:pos="4095"/>
      </w:tabs>
      <w:topLinePunct/>
      <w:spacing w:line="240" w:lineRule="atLeast"/>
    </w:pPr>
    <w:rPr>
      <w:snapToGrid w:val="0"/>
      <w:sz w:val="18"/>
      <w:szCs w:val="20"/>
    </w:rPr>
  </w:style>
  <w:style w:type="paragraph" w:customStyle="1" w:styleId="1666">
    <w:name w:val="R-表中文字"/>
    <w:basedOn w:val="1"/>
    <w:qFormat/>
    <w:uiPriority w:val="6"/>
    <w:pPr>
      <w:jc w:val="center"/>
    </w:pPr>
  </w:style>
  <w:style w:type="paragraph" w:customStyle="1" w:styleId="1667">
    <w:name w:val="正文缩进2"/>
    <w:basedOn w:val="1"/>
    <w:qFormat/>
    <w:uiPriority w:val="0"/>
    <w:pPr>
      <w:widowControl w:val="0"/>
      <w:spacing w:line="520" w:lineRule="exact"/>
      <w:ind w:firstLine="624"/>
      <w:jc w:val="both"/>
    </w:pPr>
    <w:rPr>
      <w:rFonts w:ascii="Times New Roman" w:hAnsi="Times New Roman" w:cs="Times New Roman"/>
      <w:kern w:val="2"/>
      <w:sz w:val="28"/>
      <w:szCs w:val="20"/>
    </w:rPr>
  </w:style>
  <w:style w:type="paragraph" w:customStyle="1" w:styleId="1668">
    <w:name w:val="列出段落3"/>
    <w:basedOn w:val="1"/>
    <w:qFormat/>
    <w:uiPriority w:val="34"/>
    <w:pPr>
      <w:adjustRightInd w:val="0"/>
      <w:snapToGrid w:val="0"/>
      <w:spacing w:after="200"/>
      <w:ind w:firstLine="420" w:firstLineChars="200"/>
    </w:pPr>
    <w:rPr>
      <w:rFonts w:ascii="Tahoma" w:hAnsi="Tahoma" w:eastAsia="微软雅黑" w:cs="Times New Roman"/>
      <w:sz w:val="22"/>
      <w:szCs w:val="22"/>
    </w:rPr>
  </w:style>
  <w:style w:type="character" w:customStyle="1" w:styleId="1669">
    <w:name w:val="summary"/>
    <w:qFormat/>
    <w:uiPriority w:val="0"/>
    <w:rPr>
      <w:color w:val="999999"/>
      <w:sz w:val="18"/>
      <w:szCs w:val="18"/>
    </w:rPr>
  </w:style>
  <w:style w:type="character" w:customStyle="1" w:styleId="1670">
    <w:name w:val="answer-title2"/>
    <w:qFormat/>
    <w:uiPriority w:val="0"/>
  </w:style>
  <w:style w:type="character" w:customStyle="1" w:styleId="1671">
    <w:name w:val="field-label10"/>
    <w:qFormat/>
    <w:uiPriority w:val="0"/>
    <w:rPr>
      <w:b/>
    </w:rPr>
  </w:style>
  <w:style w:type="character" w:customStyle="1" w:styleId="1672">
    <w:name w:val="bg"/>
    <w:qFormat/>
    <w:uiPriority w:val="0"/>
    <w:rPr>
      <w:shd w:val="clear" w:color="auto" w:fill="000000"/>
    </w:rPr>
  </w:style>
  <w:style w:type="character" w:customStyle="1" w:styleId="1673">
    <w:name w:val="bsharetext"/>
    <w:qFormat/>
    <w:uiPriority w:val="0"/>
  </w:style>
  <w:style w:type="character" w:customStyle="1" w:styleId="1674">
    <w:name w:val="fontstyle01"/>
    <w:qFormat/>
    <w:uiPriority w:val="0"/>
    <w:rPr>
      <w:rFonts w:hint="eastAsia" w:ascii="宋体" w:hAnsi="宋体" w:eastAsia="宋体"/>
      <w:color w:val="000000"/>
      <w:sz w:val="24"/>
      <w:szCs w:val="24"/>
    </w:rPr>
  </w:style>
  <w:style w:type="character" w:customStyle="1" w:styleId="1675">
    <w:name w:val="hover27"/>
    <w:qFormat/>
    <w:uiPriority w:val="0"/>
  </w:style>
  <w:style w:type="character" w:customStyle="1" w:styleId="1676">
    <w:name w:val="fontstyle21"/>
    <w:qFormat/>
    <w:uiPriority w:val="0"/>
    <w:rPr>
      <w:rFonts w:hint="default" w:ascii="TimesNewRomanPSMT" w:hAnsi="TimesNewRomanPSMT"/>
      <w:color w:val="000000"/>
      <w:sz w:val="18"/>
      <w:szCs w:val="18"/>
    </w:rPr>
  </w:style>
  <w:style w:type="character" w:customStyle="1" w:styleId="1677">
    <w:name w:val="del-btn1"/>
    <w:qFormat/>
    <w:uiPriority w:val="0"/>
    <w:rPr>
      <w:shd w:val="clear" w:color="auto" w:fill="000000"/>
    </w:rPr>
  </w:style>
  <w:style w:type="character" w:customStyle="1" w:styleId="1678">
    <w:name w:val="环保-正文内容 Char"/>
    <w:link w:val="1679"/>
    <w:qFormat/>
    <w:uiPriority w:val="0"/>
    <w:rPr>
      <w:sz w:val="24"/>
    </w:rPr>
  </w:style>
  <w:style w:type="paragraph" w:customStyle="1" w:styleId="1679">
    <w:name w:val="环保-正文内容"/>
    <w:basedOn w:val="1"/>
    <w:link w:val="1678"/>
    <w:qFormat/>
    <w:uiPriority w:val="0"/>
    <w:pPr>
      <w:adjustRightInd w:val="0"/>
      <w:snapToGrid w:val="0"/>
      <w:spacing w:after="200"/>
      <w:ind w:firstLine="200" w:firstLineChars="200"/>
    </w:pPr>
    <w:rPr>
      <w:rFonts w:ascii="Times New Roman" w:hAnsi="Times New Roman" w:cs="Times New Roman"/>
      <w:szCs w:val="20"/>
    </w:rPr>
  </w:style>
  <w:style w:type="character" w:customStyle="1" w:styleId="1680">
    <w:name w:val="del-btn"/>
    <w:qFormat/>
    <w:uiPriority w:val="0"/>
  </w:style>
  <w:style w:type="character" w:customStyle="1" w:styleId="1681">
    <w:name w:val="标题 2 Char11"/>
    <w:qFormat/>
    <w:uiPriority w:val="0"/>
    <w:rPr>
      <w:kern w:val="2"/>
      <w:sz w:val="24"/>
    </w:rPr>
  </w:style>
  <w:style w:type="paragraph" w:customStyle="1" w:styleId="1682">
    <w:name w:val="LY-表头"/>
    <w:next w:val="1"/>
    <w:qFormat/>
    <w:uiPriority w:val="0"/>
    <w:pPr>
      <w:jc w:val="center"/>
    </w:pPr>
    <w:rPr>
      <w:rFonts w:ascii="Times New Roman" w:hAnsi="Times New Roman" w:eastAsia="黑体" w:cs="Times New Roman"/>
      <w:b/>
      <w:sz w:val="24"/>
      <w:lang w:val="en-US" w:eastAsia="zh-CN" w:bidi="ar-SA"/>
    </w:rPr>
  </w:style>
  <w:style w:type="paragraph" w:customStyle="1" w:styleId="1683">
    <w:name w:val="副标题2"/>
    <w:basedOn w:val="1"/>
    <w:qFormat/>
    <w:uiPriority w:val="0"/>
    <w:pPr>
      <w:adjustRightInd w:val="0"/>
      <w:snapToGrid w:val="0"/>
      <w:spacing w:after="200"/>
      <w:ind w:firstLine="200" w:firstLineChars="200"/>
    </w:pPr>
    <w:rPr>
      <w:rFonts w:ascii="Tahoma" w:hAnsi="Tahoma" w:eastAsia="微软雅黑" w:cs="Times New Roman"/>
      <w:b/>
      <w:sz w:val="22"/>
    </w:rPr>
  </w:style>
  <w:style w:type="paragraph" w:customStyle="1" w:styleId="1684">
    <w:name w:val="列出段落4"/>
    <w:basedOn w:val="1"/>
    <w:qFormat/>
    <w:uiPriority w:val="34"/>
    <w:pPr>
      <w:adjustRightInd w:val="0"/>
      <w:snapToGrid w:val="0"/>
      <w:spacing w:after="200"/>
      <w:ind w:firstLine="420" w:firstLineChars="200"/>
    </w:pPr>
    <w:rPr>
      <w:rFonts w:ascii="Tahoma" w:hAnsi="Tahoma" w:eastAsia="微软雅黑" w:cs="Times New Roman"/>
      <w:sz w:val="22"/>
      <w:szCs w:val="22"/>
    </w:rPr>
  </w:style>
  <w:style w:type="paragraph" w:customStyle="1" w:styleId="1685">
    <w:name w:val="正文文本 22"/>
    <w:basedOn w:val="1"/>
    <w:qFormat/>
    <w:uiPriority w:val="0"/>
    <w:pPr>
      <w:widowControl w:val="0"/>
      <w:adjustRightInd w:val="0"/>
      <w:snapToGrid w:val="0"/>
      <w:spacing w:after="200"/>
      <w:jc w:val="center"/>
      <w:textAlignment w:val="baseline"/>
    </w:pPr>
    <w:rPr>
      <w:rFonts w:ascii="Arial" w:hAnsi="Arial" w:eastAsia="微软雅黑" w:cs="Times New Roman"/>
      <w:kern w:val="2"/>
      <w:sz w:val="21"/>
      <w:szCs w:val="22"/>
    </w:rPr>
  </w:style>
  <w:style w:type="paragraph" w:customStyle="1" w:styleId="1686">
    <w:name w:val="OK 1.1.1"/>
    <w:basedOn w:val="1687"/>
    <w:next w:val="1"/>
    <w:link w:val="1689"/>
    <w:qFormat/>
    <w:uiPriority w:val="0"/>
    <w:pPr>
      <w:spacing w:line="360" w:lineRule="auto"/>
      <w:outlineLvl w:val="2"/>
    </w:pPr>
  </w:style>
  <w:style w:type="paragraph" w:customStyle="1" w:styleId="1687">
    <w:name w:val="OK 1.1"/>
    <w:basedOn w:val="1688"/>
    <w:next w:val="74"/>
    <w:qFormat/>
    <w:uiPriority w:val="0"/>
    <w:rPr>
      <w:rFonts w:ascii="Calibri" w:hAnsi="Calibri" w:eastAsia="微软雅黑" w:cs="Times New Roman"/>
      <w:sz w:val="22"/>
      <w:lang w:val="zh-CN"/>
    </w:rPr>
  </w:style>
  <w:style w:type="paragraph" w:customStyle="1" w:styleId="1688">
    <w:name w:val="标题 2环保 + 段前: 0.5 行"/>
    <w:basedOn w:val="5"/>
    <w:next w:val="1"/>
    <w:qFormat/>
    <w:uiPriority w:val="0"/>
    <w:pPr>
      <w:keepLines w:val="0"/>
      <w:adjustRightInd w:val="0"/>
      <w:snapToGrid w:val="0"/>
      <w:spacing w:after="200" w:line="240" w:lineRule="auto"/>
      <w:ind w:left="40" w:firstLine="200" w:firstLineChars="200"/>
    </w:pPr>
    <w:rPr>
      <w:rFonts w:ascii="Times New Roman" w:hAnsi="Times New Roman" w:cs="宋体"/>
      <w:b/>
      <w:szCs w:val="28"/>
    </w:rPr>
  </w:style>
  <w:style w:type="character" w:customStyle="1" w:styleId="1689">
    <w:name w:val="OK 1.1.1 Char"/>
    <w:link w:val="1686"/>
    <w:qFormat/>
    <w:uiPriority w:val="0"/>
    <w:rPr>
      <w:rFonts w:ascii="Calibri" w:hAnsi="Calibri" w:eastAsia="微软雅黑"/>
      <w:b/>
      <w:sz w:val="22"/>
      <w:szCs w:val="24"/>
      <w:lang w:val="zh-CN"/>
    </w:rPr>
  </w:style>
  <w:style w:type="paragraph" w:customStyle="1" w:styleId="1690">
    <w:name w:val="正文-报告表"/>
    <w:basedOn w:val="1"/>
    <w:qFormat/>
    <w:uiPriority w:val="0"/>
    <w:pPr>
      <w:adjustRightInd w:val="0"/>
      <w:snapToGrid w:val="0"/>
      <w:spacing w:after="200"/>
      <w:ind w:firstLine="482"/>
    </w:pPr>
    <w:rPr>
      <w:rFonts w:ascii="Tahoma" w:hAnsi="Tahoma" w:eastAsia="微软雅黑" w:cs="Times New Roman"/>
      <w:szCs w:val="20"/>
    </w:rPr>
  </w:style>
  <w:style w:type="paragraph" w:customStyle="1" w:styleId="1691">
    <w:name w:val="副标题1"/>
    <w:basedOn w:val="4"/>
    <w:next w:val="1690"/>
    <w:qFormat/>
    <w:uiPriority w:val="0"/>
    <w:pPr>
      <w:keepNext/>
      <w:keepLines/>
      <w:widowControl w:val="0"/>
      <w:wordWrap w:val="0"/>
      <w:adjustRightInd w:val="0"/>
      <w:snapToGrid w:val="0"/>
      <w:spacing w:before="340" w:after="330" w:line="360" w:lineRule="auto"/>
      <w:ind w:firstLine="482" w:firstLineChars="200"/>
      <w:outlineLvl w:val="1"/>
    </w:pPr>
    <w:rPr>
      <w:rFonts w:ascii="Times New Roman" w:hAnsi="Times New Roman" w:eastAsia="宋体"/>
      <w:b/>
      <w:bCs/>
      <w:snapToGrid w:val="0"/>
      <w:kern w:val="44"/>
      <w:sz w:val="24"/>
      <w:szCs w:val="44"/>
    </w:rPr>
  </w:style>
  <w:style w:type="paragraph" w:customStyle="1" w:styleId="1692">
    <w:name w:val="Char"/>
    <w:basedOn w:val="1"/>
    <w:qFormat/>
    <w:uiPriority w:val="0"/>
    <w:pPr>
      <w:adjustRightInd w:val="0"/>
      <w:snapToGrid w:val="0"/>
      <w:spacing w:after="200"/>
    </w:pPr>
    <w:rPr>
      <w:rFonts w:ascii="Tahoma" w:hAnsi="Tahoma" w:eastAsia="微软雅黑" w:cs="Times New Roman"/>
      <w:sz w:val="22"/>
      <w:szCs w:val="22"/>
    </w:rPr>
  </w:style>
  <w:style w:type="paragraph" w:customStyle="1" w:styleId="1693">
    <w:name w:val="正文内容"/>
    <w:basedOn w:val="1"/>
    <w:qFormat/>
    <w:uiPriority w:val="0"/>
    <w:pPr>
      <w:adjustRightInd w:val="0"/>
      <w:snapToGrid w:val="0"/>
      <w:spacing w:after="200"/>
      <w:ind w:firstLine="200" w:firstLineChars="200"/>
    </w:pPr>
    <w:rPr>
      <w:rFonts w:ascii="Tahoma" w:hAnsi="Tahoma" w:eastAsia="微软雅黑" w:cs="Times New Roman"/>
      <w:szCs w:val="20"/>
    </w:rPr>
  </w:style>
  <w:style w:type="paragraph" w:customStyle="1" w:styleId="1694">
    <w:name w:val="WPSOffice手动目录 1"/>
    <w:qFormat/>
    <w:uiPriority w:val="0"/>
    <w:rPr>
      <w:rFonts w:ascii="Times New Roman" w:hAnsi="Times New Roman" w:eastAsia="宋体" w:cs="Times New Roman"/>
      <w:lang w:val="en-US" w:eastAsia="zh-CN" w:bidi="ar-SA"/>
    </w:rPr>
  </w:style>
  <w:style w:type="paragraph" w:customStyle="1" w:styleId="1695">
    <w:name w:val="Char4"/>
    <w:basedOn w:val="1"/>
    <w:qFormat/>
    <w:uiPriority w:val="0"/>
    <w:pPr>
      <w:widowControl w:val="0"/>
      <w:adjustRightInd w:val="0"/>
      <w:snapToGrid w:val="0"/>
      <w:spacing w:line="480" w:lineRule="exact"/>
      <w:ind w:firstLine="200" w:firstLineChars="200"/>
      <w:jc w:val="both"/>
    </w:pPr>
    <w:rPr>
      <w:rFonts w:ascii="Times New Roman" w:hAnsi="Times New Roman" w:cs="Times New Roman"/>
      <w:snapToGrid w:val="0"/>
      <w:sz w:val="28"/>
    </w:rPr>
  </w:style>
  <w:style w:type="paragraph" w:customStyle="1" w:styleId="1696">
    <w:name w:val="L表格文字"/>
    <w:basedOn w:val="79"/>
    <w:qFormat/>
    <w:uiPriority w:val="0"/>
    <w:pPr>
      <w:adjustRightInd w:val="0"/>
      <w:snapToGrid w:val="0"/>
      <w:spacing w:line="0" w:lineRule="atLeast"/>
      <w:ind w:firstLine="0" w:firstLineChars="0"/>
      <w:jc w:val="center"/>
    </w:pPr>
    <w:rPr>
      <w:rFonts w:ascii="Tahoma" w:hAnsi="Tahoma" w:eastAsia="微软雅黑"/>
      <w:sz w:val="21"/>
      <w:szCs w:val="22"/>
    </w:rPr>
  </w:style>
  <w:style w:type="paragraph" w:customStyle="1" w:styleId="1697">
    <w:name w:val="OK 表头"/>
    <w:basedOn w:val="6"/>
    <w:link w:val="1698"/>
    <w:qFormat/>
    <w:uiPriority w:val="0"/>
    <w:pPr>
      <w:widowControl w:val="0"/>
      <w:adjustRightInd w:val="0"/>
      <w:snapToGrid w:val="0"/>
      <w:spacing w:after="200" w:line="240" w:lineRule="auto"/>
      <w:ind w:firstLine="0"/>
      <w:jc w:val="center"/>
      <w:textAlignment w:val="baseline"/>
    </w:pPr>
    <w:rPr>
      <w:rFonts w:ascii="Times New Roman" w:hAnsi="Times New Roman" w:eastAsia="微软雅黑"/>
      <w:b/>
      <w:spacing w:val="-10"/>
      <w:kern w:val="2"/>
      <w:sz w:val="21"/>
      <w:szCs w:val="21"/>
    </w:rPr>
  </w:style>
  <w:style w:type="character" w:customStyle="1" w:styleId="1698">
    <w:name w:val="OK 表头 Char Char"/>
    <w:link w:val="1697"/>
    <w:qFormat/>
    <w:uiPriority w:val="0"/>
    <w:rPr>
      <w:rFonts w:eastAsia="微软雅黑"/>
      <w:b/>
      <w:spacing w:val="-10"/>
      <w:kern w:val="2"/>
      <w:sz w:val="21"/>
      <w:szCs w:val="21"/>
    </w:rPr>
  </w:style>
  <w:style w:type="paragraph" w:customStyle="1" w:styleId="1699">
    <w:name w:val="标题 3环保 + 段前: 0.5 行"/>
    <w:basedOn w:val="7"/>
    <w:next w:val="1"/>
    <w:qFormat/>
    <w:uiPriority w:val="0"/>
    <w:pPr>
      <w:keepNext w:val="0"/>
      <w:keepLines w:val="0"/>
      <w:adjustRightInd w:val="0"/>
      <w:snapToGrid w:val="0"/>
      <w:spacing w:before="100" w:beforeAutospacing="1" w:after="100" w:afterAutospacing="1" w:line="240" w:lineRule="auto"/>
    </w:pPr>
    <w:rPr>
      <w:rFonts w:hint="eastAsia" w:eastAsia="宋体" w:cs="宋体"/>
      <w:b/>
      <w:bCs w:val="0"/>
      <w:sz w:val="27"/>
      <w:szCs w:val="27"/>
    </w:rPr>
  </w:style>
  <w:style w:type="paragraph" w:customStyle="1" w:styleId="1700">
    <w:name w:val="11111表头"/>
    <w:basedOn w:val="1697"/>
    <w:qFormat/>
    <w:uiPriority w:val="0"/>
    <w:rPr>
      <w:rFonts w:eastAsia="黑体" w:cs="Calibri"/>
      <w:bCs/>
      <w:kern w:val="0"/>
      <w:sz w:val="24"/>
      <w:szCs w:val="24"/>
    </w:rPr>
  </w:style>
  <w:style w:type="paragraph" w:customStyle="1" w:styleId="1701">
    <w:name w:val="0报告书正文"/>
    <w:basedOn w:val="1"/>
    <w:qFormat/>
    <w:uiPriority w:val="0"/>
    <w:pPr>
      <w:adjustRightInd w:val="0"/>
      <w:snapToGrid w:val="0"/>
      <w:spacing w:after="200"/>
      <w:ind w:firstLine="480" w:firstLineChars="200"/>
    </w:pPr>
    <w:rPr>
      <w:rFonts w:ascii="Tahoma" w:hAnsi="Tahoma" w:eastAsia="微软雅黑" w:cs="Times New Roman"/>
      <w:szCs w:val="20"/>
    </w:rPr>
  </w:style>
  <w:style w:type="paragraph" w:customStyle="1" w:styleId="1702">
    <w:name w:val="正文内容（环科院）"/>
    <w:basedOn w:val="1"/>
    <w:qFormat/>
    <w:uiPriority w:val="0"/>
    <w:pPr>
      <w:adjustRightInd w:val="0"/>
      <w:snapToGrid w:val="0"/>
      <w:spacing w:after="200"/>
      <w:ind w:firstLine="200" w:firstLineChars="200"/>
    </w:pPr>
    <w:rPr>
      <w:rFonts w:ascii="Tahoma" w:hAnsi="Tahoma" w:eastAsia="微软雅黑" w:cs="Times New Roman"/>
      <w:szCs w:val="20"/>
    </w:rPr>
  </w:style>
  <w:style w:type="paragraph" w:customStyle="1" w:styleId="1703">
    <w:name w:val="样式45"/>
    <w:basedOn w:val="102"/>
    <w:qFormat/>
    <w:uiPriority w:val="0"/>
    <w:pPr>
      <w:widowControl/>
      <w:adjustRightInd w:val="0"/>
      <w:spacing w:after="200"/>
    </w:pPr>
    <w:rPr>
      <w:rFonts w:ascii="Tahoma" w:hAnsi="Tahoma" w:eastAsia="微软雅黑"/>
      <w:kern w:val="0"/>
    </w:rPr>
  </w:style>
  <w:style w:type="paragraph" w:customStyle="1" w:styleId="1704">
    <w:name w:val="图片-报告表"/>
    <w:basedOn w:val="1690"/>
    <w:qFormat/>
    <w:uiPriority w:val="0"/>
    <w:pPr>
      <w:ind w:firstLine="0"/>
      <w:jc w:val="center"/>
    </w:pPr>
  </w:style>
  <w:style w:type="paragraph" w:customStyle="1" w:styleId="1705">
    <w:name w:val="正文内容（环科院报告书）"/>
    <w:basedOn w:val="1"/>
    <w:link w:val="1706"/>
    <w:qFormat/>
    <w:uiPriority w:val="0"/>
    <w:pPr>
      <w:adjustRightInd w:val="0"/>
      <w:snapToGrid w:val="0"/>
      <w:spacing w:after="200"/>
      <w:ind w:firstLine="480" w:firstLineChars="200"/>
    </w:pPr>
    <w:rPr>
      <w:rFonts w:ascii="Tahoma" w:hAnsi="Tahoma" w:eastAsia="微软雅黑" w:cs="Times New Roman"/>
      <w:szCs w:val="20"/>
    </w:rPr>
  </w:style>
  <w:style w:type="character" w:customStyle="1" w:styleId="1706">
    <w:name w:val="正文内容（环科院报告书） Char Char"/>
    <w:link w:val="1705"/>
    <w:qFormat/>
    <w:uiPriority w:val="0"/>
    <w:rPr>
      <w:rFonts w:ascii="Tahoma" w:hAnsi="Tahoma" w:eastAsia="微软雅黑"/>
      <w:sz w:val="24"/>
    </w:rPr>
  </w:style>
  <w:style w:type="paragraph" w:customStyle="1" w:styleId="1707">
    <w:name w:val="表格格式"/>
    <w:basedOn w:val="1"/>
    <w:qFormat/>
    <w:uiPriority w:val="0"/>
    <w:pPr>
      <w:adjustRightInd w:val="0"/>
      <w:snapToGrid w:val="0"/>
      <w:spacing w:after="200" w:line="280" w:lineRule="exact"/>
      <w:jc w:val="center"/>
    </w:pPr>
    <w:rPr>
      <w:rFonts w:ascii="Tahoma" w:hAnsi="Tahoma" w:eastAsia="微软雅黑" w:cs="Times New Roman"/>
      <w:sz w:val="18"/>
      <w:szCs w:val="22"/>
    </w:rPr>
  </w:style>
  <w:style w:type="paragraph" w:customStyle="1" w:styleId="1708">
    <w:name w:val="AP-正文无级"/>
    <w:basedOn w:val="1"/>
    <w:qFormat/>
    <w:uiPriority w:val="0"/>
    <w:pPr>
      <w:adjustRightInd w:val="0"/>
      <w:snapToGrid w:val="0"/>
      <w:spacing w:after="200" w:line="360" w:lineRule="auto"/>
      <w:ind w:firstLine="480" w:firstLineChars="200"/>
    </w:pPr>
    <w:rPr>
      <w:rFonts w:ascii="Tahoma" w:hAnsi="Tahoma" w:eastAsia="微软雅黑" w:cs="Times New Roman"/>
      <w:szCs w:val="20"/>
    </w:rPr>
  </w:style>
  <w:style w:type="paragraph" w:customStyle="1" w:styleId="1709">
    <w:name w:val="O.K.表格内容"/>
    <w:basedOn w:val="1"/>
    <w:link w:val="1710"/>
    <w:qFormat/>
    <w:uiPriority w:val="0"/>
    <w:pPr>
      <w:adjustRightInd w:val="0"/>
      <w:snapToGrid w:val="0"/>
      <w:spacing w:after="200"/>
    </w:pPr>
    <w:rPr>
      <w:rFonts w:ascii="Tahoma" w:hAnsi="Tahoma" w:eastAsia="微软雅黑" w:cs="Times New Roman"/>
    </w:rPr>
  </w:style>
  <w:style w:type="character" w:customStyle="1" w:styleId="1710">
    <w:name w:val="O.K.表格内容 Char Char"/>
    <w:link w:val="1709"/>
    <w:qFormat/>
    <w:uiPriority w:val="0"/>
    <w:rPr>
      <w:rFonts w:ascii="Tahoma" w:hAnsi="Tahoma" w:eastAsia="微软雅黑"/>
      <w:sz w:val="24"/>
      <w:szCs w:val="24"/>
    </w:rPr>
  </w:style>
  <w:style w:type="paragraph" w:customStyle="1" w:styleId="1711">
    <w:name w:val="R-正文文本"/>
    <w:basedOn w:val="1"/>
    <w:qFormat/>
    <w:uiPriority w:val="4"/>
    <w:pPr>
      <w:spacing w:line="360" w:lineRule="auto"/>
      <w:ind w:firstLine="200" w:firstLineChars="200"/>
      <w:jc w:val="both"/>
    </w:pPr>
    <w:rPr>
      <w:rFonts w:ascii="Times New Roman" w:hAnsi="Times New Roman" w:cs="Times New Roman"/>
      <w:szCs w:val="20"/>
    </w:rPr>
  </w:style>
  <w:style w:type="table" w:customStyle="1" w:styleId="1712">
    <w:name w:val="网格型1"/>
    <w:basedOn w:val="8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13">
    <w:name w:val="List Paragraph1"/>
    <w:basedOn w:val="1"/>
    <w:qFormat/>
    <w:uiPriority w:val="34"/>
    <w:pPr>
      <w:adjustRightInd w:val="0"/>
      <w:snapToGrid w:val="0"/>
      <w:spacing w:after="200"/>
      <w:ind w:firstLine="420" w:firstLineChars="200"/>
    </w:pPr>
    <w:rPr>
      <w:rFonts w:ascii="Tahoma" w:hAnsi="Tahoma" w:eastAsia="微软雅黑" w:cs="Times New Roman"/>
      <w:sz w:val="22"/>
      <w:szCs w:val="22"/>
    </w:rPr>
  </w:style>
  <w:style w:type="paragraph" w:customStyle="1" w:styleId="1714">
    <w:name w:val="正文文本 23"/>
    <w:basedOn w:val="1"/>
    <w:qFormat/>
    <w:uiPriority w:val="0"/>
    <w:pPr>
      <w:widowControl w:val="0"/>
      <w:adjustRightInd w:val="0"/>
      <w:snapToGrid w:val="0"/>
      <w:spacing w:after="200"/>
      <w:jc w:val="center"/>
      <w:textAlignment w:val="baseline"/>
    </w:pPr>
    <w:rPr>
      <w:rFonts w:ascii="Arial" w:hAnsi="Arial" w:eastAsia="微软雅黑" w:cs="Times New Roman"/>
      <w:kern w:val="2"/>
      <w:sz w:val="21"/>
      <w:szCs w:val="22"/>
    </w:rPr>
  </w:style>
  <w:style w:type="paragraph" w:customStyle="1" w:styleId="1715">
    <w:name w:val="Char5"/>
    <w:basedOn w:val="1"/>
    <w:qFormat/>
    <w:uiPriority w:val="0"/>
    <w:pPr>
      <w:adjustRightInd w:val="0"/>
      <w:snapToGrid w:val="0"/>
      <w:spacing w:after="200"/>
    </w:pPr>
    <w:rPr>
      <w:rFonts w:ascii="Tahoma" w:hAnsi="Tahoma" w:eastAsia="微软雅黑" w:cs="Times New Roman"/>
      <w:sz w:val="22"/>
      <w:szCs w:val="22"/>
    </w:rPr>
  </w:style>
  <w:style w:type="paragraph" w:customStyle="1" w:styleId="1716">
    <w:name w:val="环保表头"/>
    <w:link w:val="1717"/>
    <w:qFormat/>
    <w:uiPriority w:val="0"/>
    <w:pPr>
      <w:spacing w:beforeLines="50"/>
      <w:jc w:val="center"/>
    </w:pPr>
    <w:rPr>
      <w:rFonts w:ascii="宋体" w:hAnsi="宋体" w:eastAsia="黑体" w:cs="Times New Roman"/>
      <w:sz w:val="24"/>
      <w:lang w:val="en-US" w:eastAsia="zh-CN" w:bidi="ar-SA"/>
    </w:rPr>
  </w:style>
  <w:style w:type="character" w:customStyle="1" w:styleId="1717">
    <w:name w:val="环保表头 Char"/>
    <w:link w:val="1716"/>
    <w:qFormat/>
    <w:uiPriority w:val="0"/>
    <w:rPr>
      <w:rFonts w:ascii="宋体" w:hAnsi="宋体" w:eastAsia="黑体"/>
      <w:sz w:val="24"/>
    </w:rPr>
  </w:style>
  <w:style w:type="character" w:customStyle="1" w:styleId="1718">
    <w:name w:val="表头 Char1"/>
    <w:qFormat/>
    <w:uiPriority w:val="0"/>
    <w:rPr>
      <w:rFonts w:eastAsia="宋体"/>
      <w:snapToGrid w:val="0"/>
      <w:sz w:val="28"/>
      <w:szCs w:val="24"/>
    </w:rPr>
  </w:style>
  <w:style w:type="paragraph" w:customStyle="1" w:styleId="1719">
    <w:name w:val="自定表格"/>
    <w:basedOn w:val="1"/>
    <w:qFormat/>
    <w:uiPriority w:val="0"/>
    <w:pPr>
      <w:spacing w:line="360" w:lineRule="exact"/>
      <w:jc w:val="center"/>
    </w:pPr>
    <w:rPr>
      <w:rFonts w:ascii="Times New Roman" w:cs="Times New Roman"/>
      <w:color w:val="000000"/>
      <w:kern w:val="2"/>
      <w:sz w:val="21"/>
      <w:szCs w:val="21"/>
    </w:rPr>
  </w:style>
  <w:style w:type="character" w:customStyle="1" w:styleId="1720">
    <w:name w:val="表格 Char Char Char Char Char Char"/>
    <w:qFormat/>
    <w:uiPriority w:val="0"/>
    <w:rPr>
      <w:rFonts w:hint="eastAsia" w:ascii="Times New Roman" w:hAnsi="Times New Roman" w:eastAsia="宋体"/>
      <w:sz w:val="21"/>
    </w:rPr>
  </w:style>
  <w:style w:type="character" w:customStyle="1" w:styleId="1721">
    <w:name w:val="纯文本 字符"/>
    <w:qFormat/>
    <w:uiPriority w:val="0"/>
    <w:rPr>
      <w:rFonts w:ascii="宋体" w:hAnsi="Courier New" w:eastAsia="宋体"/>
      <w:kern w:val="2"/>
      <w:sz w:val="24"/>
      <w:lang w:val="en-US" w:eastAsia="zh-CN" w:bidi="ar-SA"/>
    </w:rPr>
  </w:style>
  <w:style w:type="paragraph" w:customStyle="1" w:styleId="1722">
    <w:name w:val="标题04"/>
    <w:basedOn w:val="8"/>
    <w:qFormat/>
    <w:uiPriority w:val="0"/>
    <w:pPr>
      <w:widowControl w:val="0"/>
      <w:adjustRightInd w:val="0"/>
      <w:snapToGrid w:val="0"/>
      <w:spacing w:before="200" w:after="200" w:line="480" w:lineRule="exact"/>
      <w:jc w:val="both"/>
    </w:pPr>
    <w:rPr>
      <w:rFonts w:ascii="Arial" w:hAnsi="Arial" w:eastAsia="黑体"/>
      <w:snapToGrid w:val="0"/>
      <w:kern w:val="28"/>
      <w:sz w:val="28"/>
      <w:szCs w:val="28"/>
      <w:lang w:val="en-US"/>
    </w:rPr>
  </w:style>
  <w:style w:type="character" w:customStyle="1" w:styleId="1723">
    <w:name w:val="标题 7 Char Char"/>
    <w:qFormat/>
    <w:uiPriority w:val="0"/>
    <w:rPr>
      <w:b/>
      <w:bCs/>
      <w:kern w:val="2"/>
      <w:sz w:val="24"/>
      <w:szCs w:val="24"/>
    </w:rPr>
  </w:style>
  <w:style w:type="character" w:customStyle="1" w:styleId="1724">
    <w:name w:val="样式 列表 + 黑色 Char"/>
    <w:qFormat/>
    <w:uiPriority w:val="0"/>
    <w:rPr>
      <w:rFonts w:ascii="黑体" w:eastAsia="黑体"/>
      <w:color w:val="000000"/>
      <w:kern w:val="2"/>
      <w:sz w:val="24"/>
      <w:szCs w:val="24"/>
      <w:lang w:val="en-US" w:eastAsia="zh-CN" w:bidi="ar-SA"/>
    </w:rPr>
  </w:style>
  <w:style w:type="character" w:customStyle="1" w:styleId="1725">
    <w:name w:val="王　正文 Char Char Char"/>
    <w:qFormat/>
    <w:uiPriority w:val="0"/>
    <w:rPr>
      <w:rFonts w:hAnsi="宋体"/>
      <w:kern w:val="24"/>
      <w:sz w:val="28"/>
      <w:szCs w:val="28"/>
    </w:rPr>
  </w:style>
  <w:style w:type="character" w:customStyle="1" w:styleId="1726">
    <w:name w:val="正文文本 3 字符"/>
    <w:qFormat/>
    <w:uiPriority w:val="0"/>
    <w:rPr>
      <w:rFonts w:ascii="Arial" w:hAnsi="Arial" w:eastAsia="宋体"/>
      <w:kern w:val="2"/>
      <w:sz w:val="24"/>
      <w:lang w:val="en-US" w:eastAsia="zh-CN" w:bidi="ar-SA"/>
    </w:rPr>
  </w:style>
  <w:style w:type="character" w:customStyle="1" w:styleId="1727">
    <w:name w:val="标2 Char"/>
    <w:link w:val="1728"/>
    <w:qFormat/>
    <w:uiPriority w:val="0"/>
    <w:rPr>
      <w:rFonts w:ascii="黑体" w:hAnsi="Arial" w:eastAsia="黑体"/>
      <w:b/>
      <w:color w:val="000000"/>
      <w:position w:val="-6"/>
      <w:sz w:val="24"/>
      <w:szCs w:val="24"/>
    </w:rPr>
  </w:style>
  <w:style w:type="paragraph" w:customStyle="1" w:styleId="1728">
    <w:name w:val="标2"/>
    <w:basedOn w:val="5"/>
    <w:link w:val="1727"/>
    <w:qFormat/>
    <w:uiPriority w:val="0"/>
    <w:pPr>
      <w:widowControl w:val="0"/>
      <w:adjustRightInd w:val="0"/>
      <w:spacing w:before="120" w:after="120" w:line="520" w:lineRule="exact"/>
      <w:textAlignment w:val="baseline"/>
    </w:pPr>
    <w:rPr>
      <w:rFonts w:ascii="黑体" w:hAnsi="Arial"/>
      <w:b/>
      <w:bCs w:val="0"/>
      <w:color w:val="000000"/>
      <w:position w:val="-6"/>
      <w:sz w:val="24"/>
      <w:szCs w:val="24"/>
    </w:rPr>
  </w:style>
  <w:style w:type="character" w:customStyle="1" w:styleId="1729">
    <w:name w:val="表格 Char"/>
    <w:qFormat/>
    <w:uiPriority w:val="0"/>
    <w:rPr>
      <w:kern w:val="2"/>
      <w:sz w:val="21"/>
      <w:szCs w:val="24"/>
    </w:rPr>
  </w:style>
  <w:style w:type="character" w:customStyle="1" w:styleId="1730">
    <w:name w:val="标题2T Char1"/>
    <w:link w:val="1731"/>
    <w:qFormat/>
    <w:uiPriority w:val="0"/>
    <w:rPr>
      <w:kern w:val="2"/>
      <w:sz w:val="28"/>
      <w:szCs w:val="24"/>
    </w:rPr>
  </w:style>
  <w:style w:type="paragraph" w:customStyle="1" w:styleId="1731">
    <w:name w:val="标题2T"/>
    <w:basedOn w:val="1"/>
    <w:next w:val="1"/>
    <w:link w:val="1730"/>
    <w:qFormat/>
    <w:uiPriority w:val="0"/>
    <w:pPr>
      <w:keepNext/>
      <w:keepLines/>
      <w:widowControl w:val="0"/>
      <w:adjustRightInd w:val="0"/>
      <w:snapToGrid w:val="0"/>
      <w:spacing w:beforeLines="50" w:afterLines="50" w:line="440" w:lineRule="exact"/>
      <w:jc w:val="center"/>
      <w:outlineLvl w:val="0"/>
    </w:pPr>
    <w:rPr>
      <w:rFonts w:ascii="Times New Roman" w:hAnsi="Times New Roman" w:cs="Times New Roman"/>
      <w:kern w:val="2"/>
      <w:sz w:val="28"/>
    </w:rPr>
  </w:style>
  <w:style w:type="character" w:customStyle="1" w:styleId="1732">
    <w:name w:val="标题 9 字符1"/>
    <w:qFormat/>
    <w:uiPriority w:val="0"/>
    <w:rPr>
      <w:rFonts w:ascii="Arial" w:hAnsi="Arial" w:eastAsia="黑体"/>
      <w:kern w:val="2"/>
      <w:sz w:val="21"/>
      <w:szCs w:val="21"/>
    </w:rPr>
  </w:style>
  <w:style w:type="character" w:customStyle="1" w:styleId="1733">
    <w:name w:val="simjour"/>
    <w:qFormat/>
    <w:uiPriority w:val="0"/>
  </w:style>
  <w:style w:type="character" w:customStyle="1" w:styleId="1734">
    <w:name w:val="样式正文 Char Char"/>
    <w:qFormat/>
    <w:uiPriority w:val="0"/>
    <w:rPr>
      <w:rFonts w:eastAsia="宋体"/>
      <w:kern w:val="2"/>
      <w:sz w:val="28"/>
      <w:lang w:val="en-US" w:eastAsia="zh-CN" w:bidi="ar-SA"/>
    </w:rPr>
  </w:style>
  <w:style w:type="character" w:customStyle="1" w:styleId="1735">
    <w:name w:val="设计正文 Char Char"/>
    <w:link w:val="1736"/>
    <w:qFormat/>
    <w:uiPriority w:val="0"/>
    <w:rPr>
      <w:rFonts w:ascii="宋体"/>
      <w:kern w:val="2"/>
      <w:sz w:val="24"/>
    </w:rPr>
  </w:style>
  <w:style w:type="paragraph" w:customStyle="1" w:styleId="1736">
    <w:name w:val="设计正文 Char"/>
    <w:basedOn w:val="1"/>
    <w:link w:val="1735"/>
    <w:qFormat/>
    <w:uiPriority w:val="0"/>
    <w:pPr>
      <w:widowControl w:val="0"/>
      <w:spacing w:line="420" w:lineRule="exact"/>
      <w:ind w:firstLine="200" w:firstLineChars="200"/>
      <w:jc w:val="both"/>
    </w:pPr>
    <w:rPr>
      <w:rFonts w:hAnsi="Times New Roman" w:cs="Times New Roman"/>
      <w:kern w:val="2"/>
      <w:szCs w:val="20"/>
    </w:rPr>
  </w:style>
  <w:style w:type="character" w:customStyle="1" w:styleId="1737">
    <w:name w:val="脚注文本 字符1"/>
    <w:qFormat/>
    <w:uiPriority w:val="0"/>
    <w:rPr>
      <w:sz w:val="18"/>
      <w:szCs w:val="18"/>
    </w:rPr>
  </w:style>
  <w:style w:type="character" w:customStyle="1" w:styleId="1738">
    <w:name w:val="emtidy-1"/>
    <w:qFormat/>
    <w:uiPriority w:val="0"/>
  </w:style>
  <w:style w:type="character" w:customStyle="1" w:styleId="1739">
    <w:name w:val="图标注 Char Char"/>
    <w:qFormat/>
    <w:uiPriority w:val="0"/>
    <w:rPr>
      <w:b/>
      <w:kern w:val="24"/>
      <w:sz w:val="24"/>
      <w:szCs w:val="22"/>
      <w:lang w:bidi="ar-SA"/>
    </w:rPr>
  </w:style>
  <w:style w:type="character" w:customStyle="1" w:styleId="1740">
    <w:name w:val="报告正文 Char"/>
    <w:qFormat/>
    <w:uiPriority w:val="0"/>
    <w:rPr>
      <w:rFonts w:ascii="宋体" w:eastAsia="宋体"/>
      <w:kern w:val="2"/>
      <w:sz w:val="28"/>
      <w:lang w:val="en-US" w:eastAsia="zh-CN" w:bidi="ar-SA"/>
    </w:rPr>
  </w:style>
  <w:style w:type="character" w:customStyle="1" w:styleId="1741">
    <w:name w:val="正文文字缩进 Char"/>
    <w:qFormat/>
    <w:uiPriority w:val="0"/>
    <w:rPr>
      <w:rFonts w:ascii="宋体" w:hAnsi="Arial"/>
      <w:kern w:val="2"/>
      <w:sz w:val="24"/>
    </w:rPr>
  </w:style>
  <w:style w:type="character" w:customStyle="1" w:styleId="1742">
    <w:name w:val="页码1"/>
    <w:qFormat/>
    <w:uiPriority w:val="0"/>
  </w:style>
  <w:style w:type="character" w:customStyle="1" w:styleId="1743">
    <w:name w:val="批注文字 字符3"/>
    <w:qFormat/>
    <w:uiPriority w:val="0"/>
    <w:rPr>
      <w:kern w:val="2"/>
      <w:sz w:val="24"/>
    </w:rPr>
  </w:style>
  <w:style w:type="character" w:customStyle="1" w:styleId="1744">
    <w:name w:val="标题 3 字符1"/>
    <w:qFormat/>
    <w:uiPriority w:val="0"/>
    <w:rPr>
      <w:b/>
      <w:bCs/>
      <w:kern w:val="2"/>
      <w:sz w:val="32"/>
      <w:szCs w:val="32"/>
    </w:rPr>
  </w:style>
  <w:style w:type="character" w:customStyle="1" w:styleId="1745">
    <w:name w:val="电子邮件签名 字符1"/>
    <w:qFormat/>
    <w:uiPriority w:val="0"/>
    <w:rPr>
      <w:kern w:val="2"/>
      <w:sz w:val="24"/>
    </w:rPr>
  </w:style>
  <w:style w:type="character" w:customStyle="1" w:styleId="1746">
    <w:name w:val="0正文 Char Char"/>
    <w:qFormat/>
    <w:uiPriority w:val="0"/>
    <w:rPr>
      <w:rFonts w:ascii="宋体" w:hAnsi="宋体"/>
      <w:snapToGrid/>
      <w:kern w:val="44"/>
      <w:sz w:val="28"/>
      <w:szCs w:val="24"/>
      <w:lang w:val="zh-CN"/>
    </w:rPr>
  </w:style>
  <w:style w:type="character" w:customStyle="1" w:styleId="1747">
    <w:name w:val="页码11"/>
    <w:qFormat/>
    <w:uiPriority w:val="0"/>
  </w:style>
  <w:style w:type="character" w:customStyle="1" w:styleId="1748">
    <w:name w:val="表格文字居中 Char"/>
    <w:qFormat/>
    <w:locked/>
    <w:uiPriority w:val="0"/>
    <w:rPr>
      <w:rFonts w:eastAsia="宋体"/>
      <w:kern w:val="2"/>
      <w:sz w:val="21"/>
      <w:szCs w:val="24"/>
      <w:lang w:val="en-US" w:eastAsia="zh-CN" w:bidi="ar-SA"/>
    </w:rPr>
  </w:style>
  <w:style w:type="character" w:customStyle="1" w:styleId="1749">
    <w:name w:val="标题2，， Char Char"/>
    <w:qFormat/>
    <w:uiPriority w:val="0"/>
    <w:rPr>
      <w:rFonts w:ascii="黑体" w:eastAsia="黑体"/>
      <w:bCs/>
      <w:kern w:val="44"/>
      <w:sz w:val="32"/>
      <w:szCs w:val="32"/>
      <w:lang w:bidi="ar-SA"/>
    </w:rPr>
  </w:style>
  <w:style w:type="character" w:customStyle="1" w:styleId="1750">
    <w:name w:val="HTML 预设格式 字符"/>
    <w:qFormat/>
    <w:uiPriority w:val="0"/>
    <w:rPr>
      <w:rFonts w:ascii="宋体" w:hAnsi="宋体" w:eastAsia="宋体"/>
      <w:color w:val="000000"/>
      <w:sz w:val="24"/>
      <w:szCs w:val="24"/>
      <w:lang w:bidi="ar-SA"/>
    </w:rPr>
  </w:style>
  <w:style w:type="character" w:customStyle="1" w:styleId="1751">
    <w:name w:val="正文1111111 Char Char"/>
    <w:link w:val="1752"/>
    <w:qFormat/>
    <w:uiPriority w:val="0"/>
    <w:rPr>
      <w:rFonts w:ascii="宋体" w:hAnsi="Arial Narrow"/>
      <w:kern w:val="2"/>
      <w:sz w:val="24"/>
      <w:szCs w:val="24"/>
    </w:rPr>
  </w:style>
  <w:style w:type="paragraph" w:customStyle="1" w:styleId="1752">
    <w:name w:val="正文1111111"/>
    <w:basedOn w:val="1"/>
    <w:link w:val="1751"/>
    <w:qFormat/>
    <w:uiPriority w:val="0"/>
    <w:pPr>
      <w:widowControl w:val="0"/>
      <w:spacing w:line="460" w:lineRule="exact"/>
      <w:ind w:firstLine="200" w:firstLineChars="200"/>
      <w:jc w:val="both"/>
    </w:pPr>
    <w:rPr>
      <w:rFonts w:hAnsi="Arial Narrow" w:cs="Times New Roman"/>
      <w:kern w:val="2"/>
    </w:rPr>
  </w:style>
  <w:style w:type="character" w:customStyle="1" w:styleId="1753">
    <w:name w:val="表头 + 居中 Char"/>
    <w:qFormat/>
    <w:uiPriority w:val="0"/>
    <w:rPr>
      <w:rFonts w:ascii="Arial" w:hAnsi="Arial" w:eastAsia="黑体"/>
      <w:kern w:val="2"/>
      <w:sz w:val="21"/>
      <w:szCs w:val="21"/>
      <w:lang w:val="en-US" w:eastAsia="zh-CN" w:bidi="ar-SA"/>
    </w:rPr>
  </w:style>
  <w:style w:type="character" w:customStyle="1" w:styleId="1754">
    <w:name w:val="正文样式 Char1"/>
    <w:qFormat/>
    <w:locked/>
    <w:uiPriority w:val="0"/>
    <w:rPr>
      <w:rFonts w:ascii="宋体" w:hAnsi="宋体" w:eastAsia="宋体"/>
      <w:kern w:val="2"/>
      <w:sz w:val="24"/>
      <w:szCs w:val="24"/>
      <w:lang w:val="en-US" w:eastAsia="zh-CN" w:bidi="ar-SA"/>
    </w:rPr>
  </w:style>
  <w:style w:type="character" w:customStyle="1" w:styleId="1755">
    <w:name w:val="样式 宋体 四号 行距: 1.5 倍行距 Char Char Char"/>
    <w:link w:val="1756"/>
    <w:qFormat/>
    <w:uiPriority w:val="0"/>
    <w:rPr>
      <w:rFonts w:ascii="宋体" w:hAnsi="宋体"/>
      <w:kern w:val="2"/>
      <w:sz w:val="28"/>
      <w:szCs w:val="24"/>
    </w:rPr>
  </w:style>
  <w:style w:type="paragraph" w:customStyle="1" w:styleId="1756">
    <w:name w:val="样式 宋体 四号 行距: 1.5 倍行距 Char Char"/>
    <w:basedOn w:val="1"/>
    <w:link w:val="1755"/>
    <w:qFormat/>
    <w:uiPriority w:val="0"/>
    <w:pPr>
      <w:widowControl w:val="0"/>
      <w:spacing w:line="360" w:lineRule="auto"/>
      <w:ind w:firstLine="560" w:firstLineChars="200"/>
      <w:jc w:val="both"/>
    </w:pPr>
    <w:rPr>
      <w:rFonts w:cs="Times New Roman"/>
      <w:kern w:val="2"/>
      <w:sz w:val="28"/>
    </w:rPr>
  </w:style>
  <w:style w:type="character" w:customStyle="1" w:styleId="1757">
    <w:name w:val="标题标题 Char"/>
    <w:qFormat/>
    <w:uiPriority w:val="0"/>
    <w:rPr>
      <w:rFonts w:eastAsia="黑体"/>
      <w:kern w:val="11"/>
      <w:sz w:val="21"/>
      <w:szCs w:val="28"/>
      <w:lang w:val="en-US" w:eastAsia="zh-CN" w:bidi="ar-SA"/>
    </w:rPr>
  </w:style>
  <w:style w:type="character" w:customStyle="1" w:styleId="1758">
    <w:name w:val="表格头 Char Char"/>
    <w:qFormat/>
    <w:uiPriority w:val="0"/>
    <w:rPr>
      <w:rFonts w:ascii="Arial" w:hAnsi="Arial" w:eastAsia="黑体"/>
      <w:snapToGrid w:val="0"/>
      <w:color w:val="000000"/>
      <w:sz w:val="21"/>
      <w:szCs w:val="24"/>
    </w:rPr>
  </w:style>
  <w:style w:type="character" w:customStyle="1" w:styleId="1759">
    <w:name w:val="批注文字 字符6"/>
    <w:qFormat/>
    <w:uiPriority w:val="99"/>
    <w:rPr>
      <w:kern w:val="2"/>
      <w:sz w:val="21"/>
      <w:szCs w:val="24"/>
    </w:rPr>
  </w:style>
  <w:style w:type="character" w:customStyle="1" w:styleId="1760">
    <w:name w:val="样式3 Char"/>
    <w:qFormat/>
    <w:uiPriority w:val="0"/>
    <w:rPr>
      <w:rFonts w:ascii="黑体" w:eastAsia="黑体"/>
      <w:sz w:val="28"/>
      <w:lang w:val="en-US" w:eastAsia="zh-CN" w:bidi="ar-SA"/>
    </w:rPr>
  </w:style>
  <w:style w:type="character" w:customStyle="1" w:styleId="1761">
    <w:name w:val="表格 文字 Char Char"/>
    <w:link w:val="1762"/>
    <w:qFormat/>
    <w:uiPriority w:val="0"/>
    <w:rPr>
      <w:bCs/>
      <w:kern w:val="2"/>
      <w:sz w:val="21"/>
      <w:szCs w:val="21"/>
    </w:rPr>
  </w:style>
  <w:style w:type="paragraph" w:customStyle="1" w:styleId="1762">
    <w:name w:val="表格 文字"/>
    <w:basedOn w:val="79"/>
    <w:link w:val="1761"/>
    <w:qFormat/>
    <w:uiPriority w:val="0"/>
    <w:pPr>
      <w:widowControl w:val="0"/>
      <w:tabs>
        <w:tab w:val="left" w:pos="628"/>
        <w:tab w:val="left" w:pos="1727"/>
        <w:tab w:val="left" w:pos="1884"/>
      </w:tabs>
      <w:snapToGrid w:val="0"/>
      <w:spacing w:after="0" w:line="312" w:lineRule="auto"/>
      <w:ind w:firstLine="0" w:firstLineChars="0"/>
    </w:pPr>
    <w:rPr>
      <w:rFonts w:ascii="Times New Roman" w:hAnsi="Times New Roman"/>
      <w:bCs/>
      <w:sz w:val="21"/>
      <w:szCs w:val="21"/>
    </w:rPr>
  </w:style>
  <w:style w:type="character" w:customStyle="1" w:styleId="1763">
    <w:name w:val="H2 Char Char"/>
    <w:qFormat/>
    <w:uiPriority w:val="0"/>
    <w:rPr>
      <w:rFonts w:ascii="宋体" w:hAnsi="Arial" w:eastAsia="宋体"/>
      <w:kern w:val="2"/>
      <w:sz w:val="28"/>
      <w:lang w:val="en-US" w:eastAsia="zh-CN" w:bidi="ar-SA"/>
    </w:rPr>
  </w:style>
  <w:style w:type="character" w:customStyle="1" w:styleId="1764">
    <w:name w:val="正文样式 Char"/>
    <w:qFormat/>
    <w:uiPriority w:val="0"/>
    <w:rPr>
      <w:rFonts w:ascii="宋体" w:hAnsi="宋体" w:eastAsia="宋体"/>
      <w:kern w:val="2"/>
      <w:sz w:val="24"/>
      <w:szCs w:val="24"/>
      <w:lang w:val="en-US" w:eastAsia="zh-CN" w:bidi="ar-SA"/>
    </w:rPr>
  </w:style>
  <w:style w:type="character" w:customStyle="1" w:styleId="1765">
    <w:name w:val="text"/>
    <w:qFormat/>
    <w:uiPriority w:val="0"/>
  </w:style>
  <w:style w:type="character" w:customStyle="1" w:styleId="1766">
    <w:name w:val="Char Char142"/>
    <w:qFormat/>
    <w:uiPriority w:val="0"/>
    <w:rPr>
      <w:rFonts w:eastAsia="宋体"/>
      <w:kern w:val="2"/>
      <w:sz w:val="21"/>
      <w:szCs w:val="24"/>
      <w:lang w:val="en-US" w:eastAsia="zh-CN" w:bidi="ar-SA"/>
    </w:rPr>
  </w:style>
  <w:style w:type="character" w:customStyle="1" w:styleId="1767">
    <w:name w:val="标题4，， Char"/>
    <w:link w:val="1768"/>
    <w:qFormat/>
    <w:locked/>
    <w:uiPriority w:val="0"/>
    <w:rPr>
      <w:rFonts w:ascii="宋体" w:hAnsi="宋体"/>
      <w:kern w:val="2"/>
      <w:sz w:val="24"/>
    </w:rPr>
  </w:style>
  <w:style w:type="paragraph" w:customStyle="1" w:styleId="1768">
    <w:name w:val="标题4，，"/>
    <w:basedOn w:val="8"/>
    <w:link w:val="1767"/>
    <w:qFormat/>
    <w:uiPriority w:val="0"/>
    <w:pPr>
      <w:widowControl w:val="0"/>
      <w:spacing w:line="360" w:lineRule="auto"/>
    </w:pPr>
    <w:rPr>
      <w:rFonts w:ascii="宋体" w:hAnsi="宋体" w:cs="Times New Roman"/>
      <w:kern w:val="2"/>
      <w:lang w:val="en-US"/>
    </w:rPr>
  </w:style>
  <w:style w:type="character" w:customStyle="1" w:styleId="1769">
    <w:name w:val="titlebig"/>
    <w:qFormat/>
    <w:uiPriority w:val="0"/>
  </w:style>
  <w:style w:type="character" w:customStyle="1" w:styleId="1770">
    <w:name w:val="标3 Char"/>
    <w:link w:val="1771"/>
    <w:qFormat/>
    <w:uiPriority w:val="0"/>
    <w:rPr>
      <w:rFonts w:ascii="黑体" w:hAnsi="宋体" w:eastAsia="黑体"/>
      <w:b/>
      <w:bCs/>
      <w:color w:val="000000"/>
      <w:sz w:val="24"/>
      <w:szCs w:val="24"/>
    </w:rPr>
  </w:style>
  <w:style w:type="paragraph" w:customStyle="1" w:styleId="1771">
    <w:name w:val="标3"/>
    <w:basedOn w:val="7"/>
    <w:link w:val="1770"/>
    <w:qFormat/>
    <w:uiPriority w:val="0"/>
    <w:pPr>
      <w:widowControl w:val="0"/>
      <w:adjustRightInd w:val="0"/>
      <w:spacing w:before="120" w:after="120" w:line="520" w:lineRule="exact"/>
      <w:textAlignment w:val="baseline"/>
    </w:pPr>
    <w:rPr>
      <w:rFonts w:ascii="黑体" w:hAnsi="宋体"/>
      <w:b/>
      <w:color w:val="000000"/>
      <w:sz w:val="24"/>
      <w:szCs w:val="24"/>
    </w:rPr>
  </w:style>
  <w:style w:type="character" w:customStyle="1" w:styleId="1772">
    <w:name w:val="正文升平 Char"/>
    <w:link w:val="1773"/>
    <w:qFormat/>
    <w:uiPriority w:val="0"/>
    <w:rPr>
      <w:rFonts w:ascii="楷体_GB2312" w:hAnsi="宋体" w:eastAsia="楷体_GB2312"/>
      <w:bCs/>
      <w:color w:val="000000"/>
      <w:sz w:val="28"/>
      <w:szCs w:val="28"/>
      <w:lang w:val="zh-CN"/>
    </w:rPr>
  </w:style>
  <w:style w:type="paragraph" w:customStyle="1" w:styleId="1773">
    <w:name w:val="正文升平"/>
    <w:basedOn w:val="1"/>
    <w:link w:val="1772"/>
    <w:qFormat/>
    <w:uiPriority w:val="0"/>
    <w:pPr>
      <w:widowControl w:val="0"/>
      <w:tabs>
        <w:tab w:val="left" w:pos="5040"/>
      </w:tabs>
      <w:spacing w:line="500" w:lineRule="exact"/>
      <w:ind w:firstLine="560" w:firstLineChars="200"/>
      <w:jc w:val="both"/>
    </w:pPr>
    <w:rPr>
      <w:rFonts w:ascii="楷体_GB2312" w:eastAsia="楷体_GB2312" w:cs="Times New Roman"/>
      <w:bCs/>
      <w:color w:val="000000"/>
      <w:sz w:val="28"/>
      <w:szCs w:val="28"/>
      <w:lang w:val="zh-CN"/>
    </w:rPr>
  </w:style>
  <w:style w:type="character" w:customStyle="1" w:styleId="1774">
    <w:name w:val="样式14 Char Char"/>
    <w:qFormat/>
    <w:uiPriority w:val="0"/>
    <w:rPr>
      <w:rFonts w:ascii="方正黑体简体" w:eastAsia="方正黑体简体"/>
      <w:sz w:val="24"/>
      <w:szCs w:val="21"/>
    </w:rPr>
  </w:style>
  <w:style w:type="character" w:customStyle="1" w:styleId="1775">
    <w:name w:val="页脚 字符"/>
    <w:qFormat/>
    <w:uiPriority w:val="99"/>
    <w:rPr>
      <w:kern w:val="2"/>
      <w:sz w:val="18"/>
    </w:rPr>
  </w:style>
  <w:style w:type="character" w:customStyle="1" w:styleId="1776">
    <w:name w:val="正文文字缩进 Char2"/>
    <w:qFormat/>
    <w:uiPriority w:val="0"/>
    <w:rPr>
      <w:kern w:val="2"/>
      <w:sz w:val="24"/>
    </w:rPr>
  </w:style>
  <w:style w:type="character" w:customStyle="1" w:styleId="1777">
    <w:name w:val="正文首行缩进 2 Char Char"/>
    <w:link w:val="1778"/>
    <w:qFormat/>
    <w:uiPriority w:val="0"/>
    <w:rPr>
      <w:rFonts w:ascii="楷体_GB2312" w:eastAsia="楷体_GB2312"/>
      <w:sz w:val="28"/>
      <w:szCs w:val="24"/>
    </w:rPr>
  </w:style>
  <w:style w:type="paragraph" w:customStyle="1" w:styleId="1778">
    <w:name w:val="正文首行缩进 21"/>
    <w:basedOn w:val="1779"/>
    <w:link w:val="1777"/>
    <w:qFormat/>
    <w:uiPriority w:val="0"/>
    <w:pPr>
      <w:widowControl w:val="0"/>
      <w:snapToGrid w:val="0"/>
      <w:spacing w:after="120" w:line="480" w:lineRule="exact"/>
      <w:ind w:left="420" w:leftChars="200" w:firstLine="420" w:firstLineChars="200"/>
      <w:jc w:val="both"/>
      <w:textAlignment w:val="auto"/>
    </w:pPr>
    <w:rPr>
      <w:rFonts w:ascii="楷体_GB2312" w:hAnsi="Times New Roman" w:eastAsia="楷体_GB2312" w:cs="Times New Roman"/>
      <w:sz w:val="28"/>
    </w:rPr>
  </w:style>
  <w:style w:type="paragraph" w:customStyle="1" w:styleId="1779">
    <w:name w:val="正文文本缩进2"/>
    <w:basedOn w:val="1"/>
    <w:qFormat/>
    <w:uiPriority w:val="0"/>
    <w:pPr>
      <w:adjustRightInd w:val="0"/>
      <w:spacing w:line="360" w:lineRule="atLeast"/>
      <w:ind w:left="280" w:firstLine="560"/>
      <w:textAlignment w:val="baseline"/>
    </w:pPr>
  </w:style>
  <w:style w:type="character" w:customStyle="1" w:styleId="1780">
    <w:name w:val="标题3 Char"/>
    <w:qFormat/>
    <w:uiPriority w:val="0"/>
    <w:rPr>
      <w:rFonts w:eastAsia="黑体" w:cs="宋体"/>
      <w:kern w:val="2"/>
      <w:sz w:val="28"/>
      <w:szCs w:val="32"/>
      <w:lang w:val="en-US" w:eastAsia="zh-CN" w:bidi="ar-SA"/>
    </w:rPr>
  </w:style>
  <w:style w:type="character" w:customStyle="1" w:styleId="1781">
    <w:name w:val="报告名称副标题 Char Char"/>
    <w:link w:val="1782"/>
    <w:qFormat/>
    <w:uiPriority w:val="0"/>
    <w:rPr>
      <w:rFonts w:eastAsia="黑体"/>
      <w:kern w:val="2"/>
      <w:sz w:val="44"/>
    </w:rPr>
  </w:style>
  <w:style w:type="paragraph" w:customStyle="1" w:styleId="1782">
    <w:name w:val="报告名称副标题"/>
    <w:basedOn w:val="1"/>
    <w:next w:val="1"/>
    <w:link w:val="1781"/>
    <w:qFormat/>
    <w:uiPriority w:val="0"/>
    <w:pPr>
      <w:adjustRightInd w:val="0"/>
      <w:snapToGrid w:val="0"/>
      <w:spacing w:before="140" w:after="120" w:line="700" w:lineRule="exact"/>
      <w:jc w:val="center"/>
    </w:pPr>
    <w:rPr>
      <w:rFonts w:ascii="Times New Roman" w:hAnsi="Times New Roman" w:eastAsia="黑体" w:cs="Times New Roman"/>
      <w:kern w:val="2"/>
      <w:sz w:val="44"/>
      <w:szCs w:val="20"/>
    </w:rPr>
  </w:style>
  <w:style w:type="character" w:customStyle="1" w:styleId="1783">
    <w:name w:val="表格内 Char Char"/>
    <w:qFormat/>
    <w:uiPriority w:val="0"/>
    <w:rPr>
      <w:snapToGrid w:val="0"/>
      <w:sz w:val="21"/>
      <w:szCs w:val="21"/>
    </w:rPr>
  </w:style>
  <w:style w:type="character" w:customStyle="1" w:styleId="1784">
    <w:name w:val="正文文本 2 字符"/>
    <w:qFormat/>
    <w:uiPriority w:val="0"/>
    <w:rPr>
      <w:rFonts w:eastAsia="宋体"/>
      <w:snapToGrid w:val="0"/>
      <w:kern w:val="28"/>
      <w:sz w:val="24"/>
      <w:lang w:val="en-US" w:eastAsia="zh-CN" w:bidi="ar-SA"/>
    </w:rPr>
  </w:style>
  <w:style w:type="character" w:customStyle="1" w:styleId="1785">
    <w:name w:val="王　正文 Char"/>
    <w:link w:val="1786"/>
    <w:qFormat/>
    <w:uiPriority w:val="0"/>
    <w:rPr>
      <w:rFonts w:hAnsi="宋体" w:cs="宋体"/>
      <w:kern w:val="24"/>
      <w:sz w:val="28"/>
      <w:szCs w:val="28"/>
    </w:rPr>
  </w:style>
  <w:style w:type="paragraph" w:customStyle="1" w:styleId="1786">
    <w:name w:val="王　正文"/>
    <w:basedOn w:val="1"/>
    <w:link w:val="1785"/>
    <w:qFormat/>
    <w:uiPriority w:val="0"/>
    <w:pPr>
      <w:widowControl w:val="0"/>
      <w:spacing w:line="480" w:lineRule="exact"/>
      <w:ind w:firstLine="560" w:firstLineChars="200"/>
      <w:jc w:val="both"/>
    </w:pPr>
    <w:rPr>
      <w:rFonts w:ascii="Times New Roman"/>
      <w:kern w:val="24"/>
      <w:sz w:val="28"/>
      <w:szCs w:val="28"/>
    </w:rPr>
  </w:style>
  <w:style w:type="character" w:customStyle="1" w:styleId="1787">
    <w:name w:val="日期 字符"/>
    <w:qFormat/>
    <w:uiPriority w:val="0"/>
    <w:rPr>
      <w:rFonts w:ascii="宋体" w:eastAsia="宋体"/>
      <w:kern w:val="2"/>
      <w:sz w:val="21"/>
      <w:lang w:val="en-US" w:eastAsia="zh-CN" w:bidi="ar-SA"/>
    </w:rPr>
  </w:style>
  <w:style w:type="character" w:customStyle="1" w:styleId="1788">
    <w:name w:val="普通(网站) 字符"/>
    <w:qFormat/>
    <w:uiPriority w:val="0"/>
    <w:rPr>
      <w:rFonts w:eastAsia="宋体"/>
      <w:kern w:val="2"/>
      <w:sz w:val="24"/>
      <w:szCs w:val="24"/>
      <w:lang w:val="en-US" w:eastAsia="zh-CN" w:bidi="ar-SA"/>
    </w:rPr>
  </w:style>
  <w:style w:type="character" w:customStyle="1" w:styleId="1789">
    <w:name w:val="cucd-0 Char"/>
    <w:qFormat/>
    <w:uiPriority w:val="0"/>
    <w:rPr>
      <w:kern w:val="2"/>
      <w:sz w:val="24"/>
      <w:szCs w:val="24"/>
      <w:lang w:val="en-US" w:eastAsia="zh-CN" w:bidi="ar-SA"/>
    </w:rPr>
  </w:style>
  <w:style w:type="character" w:customStyle="1" w:styleId="1790">
    <w:name w:val="正文新 Char"/>
    <w:link w:val="1791"/>
    <w:qFormat/>
    <w:uiPriority w:val="0"/>
    <w:rPr>
      <w:rFonts w:ascii="宋体" w:hAnsi="宋体"/>
      <w:kern w:val="2"/>
      <w:sz w:val="24"/>
      <w:szCs w:val="24"/>
    </w:rPr>
  </w:style>
  <w:style w:type="paragraph" w:customStyle="1" w:styleId="1791">
    <w:name w:val="正文新"/>
    <w:basedOn w:val="1"/>
    <w:link w:val="1790"/>
    <w:qFormat/>
    <w:uiPriority w:val="0"/>
    <w:pPr>
      <w:widowControl w:val="0"/>
      <w:spacing w:line="460" w:lineRule="exact"/>
      <w:ind w:firstLine="482"/>
      <w:jc w:val="both"/>
    </w:pPr>
    <w:rPr>
      <w:rFonts w:cs="Times New Roman"/>
      <w:kern w:val="2"/>
    </w:rPr>
  </w:style>
  <w:style w:type="character" w:customStyle="1" w:styleId="1792">
    <w:name w:val="样式 标题 2 Char + Times New Roman Char Char"/>
    <w:qFormat/>
    <w:uiPriority w:val="0"/>
    <w:rPr>
      <w:rFonts w:eastAsia="黑体"/>
      <w:kern w:val="2"/>
      <w:sz w:val="28"/>
    </w:rPr>
  </w:style>
  <w:style w:type="character" w:customStyle="1" w:styleId="1793">
    <w:name w:val="样式 标题 2 + 四号 Char Char Char"/>
    <w:qFormat/>
    <w:uiPriority w:val="0"/>
    <w:rPr>
      <w:rFonts w:eastAsia="黑体"/>
      <w:bCs/>
      <w:snapToGrid/>
      <w:sz w:val="28"/>
      <w:szCs w:val="32"/>
      <w:lang w:bidi="ar-SA"/>
    </w:rPr>
  </w:style>
  <w:style w:type="character" w:customStyle="1" w:styleId="1794">
    <w:name w:val="宏文本 Char1"/>
    <w:qFormat/>
    <w:uiPriority w:val="0"/>
    <w:rPr>
      <w:rFonts w:ascii="Courier New" w:hAnsi="Courier New" w:cs="Courier New"/>
      <w:sz w:val="24"/>
      <w:szCs w:val="24"/>
    </w:rPr>
  </w:style>
  <w:style w:type="character" w:customStyle="1" w:styleId="1795">
    <w:name w:val="表格sms Char"/>
    <w:link w:val="1796"/>
    <w:qFormat/>
    <w:uiPriority w:val="0"/>
    <w:rPr>
      <w:snapToGrid w:val="0"/>
      <w:w w:val="99"/>
      <w:sz w:val="21"/>
      <w:szCs w:val="21"/>
    </w:rPr>
  </w:style>
  <w:style w:type="paragraph" w:customStyle="1" w:styleId="1796">
    <w:name w:val="表格sms"/>
    <w:link w:val="1795"/>
    <w:qFormat/>
    <w:uiPriority w:val="0"/>
    <w:pPr>
      <w:spacing w:line="360" w:lineRule="exact"/>
      <w:jc w:val="center"/>
    </w:pPr>
    <w:rPr>
      <w:rFonts w:ascii="Times New Roman" w:hAnsi="Times New Roman" w:eastAsia="宋体" w:cs="Times New Roman"/>
      <w:snapToGrid w:val="0"/>
      <w:w w:val="99"/>
      <w:sz w:val="21"/>
      <w:szCs w:val="21"/>
      <w:lang w:val="en-US" w:eastAsia="zh-CN" w:bidi="ar-SA"/>
    </w:rPr>
  </w:style>
  <w:style w:type="character" w:customStyle="1" w:styleId="1797">
    <w:name w:val="emtidy-5"/>
    <w:qFormat/>
    <w:uiPriority w:val="0"/>
  </w:style>
  <w:style w:type="character" w:customStyle="1" w:styleId="1798">
    <w:name w:val="正文首行缩进-修改 Char"/>
    <w:qFormat/>
    <w:uiPriority w:val="0"/>
    <w:rPr>
      <w:rFonts w:eastAsia="宋体"/>
      <w:kern w:val="2"/>
      <w:sz w:val="24"/>
      <w:szCs w:val="24"/>
      <w:lang w:val="en-US" w:eastAsia="zh-CN" w:bidi="ar-SA"/>
    </w:rPr>
  </w:style>
  <w:style w:type="character" w:customStyle="1" w:styleId="1799">
    <w:name w:val="emtidy-7"/>
    <w:qFormat/>
    <w:uiPriority w:val="0"/>
  </w:style>
  <w:style w:type="character" w:customStyle="1" w:styleId="1800">
    <w:name w:val="脚注文本 字符"/>
    <w:qFormat/>
    <w:uiPriority w:val="0"/>
    <w:rPr>
      <w:kern w:val="2"/>
      <w:sz w:val="18"/>
      <w:szCs w:val="18"/>
    </w:rPr>
  </w:style>
  <w:style w:type="character" w:customStyle="1" w:styleId="1801">
    <w:name w:val="批注框文本 Char2"/>
    <w:qFormat/>
    <w:uiPriority w:val="0"/>
    <w:rPr>
      <w:kern w:val="2"/>
      <w:sz w:val="18"/>
      <w:szCs w:val="18"/>
    </w:rPr>
  </w:style>
  <w:style w:type="character" w:customStyle="1" w:styleId="1802">
    <w:name w:val="正文－图表内文字 Char"/>
    <w:link w:val="1803"/>
    <w:qFormat/>
    <w:uiPriority w:val="0"/>
    <w:rPr>
      <w:color w:val="000000"/>
      <w:kern w:val="2"/>
      <w:sz w:val="21"/>
      <w:szCs w:val="24"/>
    </w:rPr>
  </w:style>
  <w:style w:type="paragraph" w:customStyle="1" w:styleId="1803">
    <w:name w:val="正文－图表内文字"/>
    <w:basedOn w:val="1"/>
    <w:next w:val="1"/>
    <w:link w:val="1802"/>
    <w:qFormat/>
    <w:uiPriority w:val="0"/>
    <w:pPr>
      <w:widowControl w:val="0"/>
      <w:adjustRightInd w:val="0"/>
      <w:snapToGrid w:val="0"/>
      <w:jc w:val="center"/>
    </w:pPr>
    <w:rPr>
      <w:rFonts w:ascii="Times New Roman" w:hAnsi="Times New Roman" w:cs="Times New Roman"/>
      <w:color w:val="000000"/>
      <w:kern w:val="2"/>
      <w:sz w:val="21"/>
    </w:rPr>
  </w:style>
  <w:style w:type="character" w:customStyle="1" w:styleId="1804">
    <w:name w:val="书籍标题2"/>
    <w:qFormat/>
    <w:uiPriority w:val="0"/>
    <w:rPr>
      <w:b/>
      <w:bCs/>
      <w:smallCaps/>
      <w:spacing w:val="5"/>
    </w:rPr>
  </w:style>
  <w:style w:type="character" w:customStyle="1" w:styleId="1805">
    <w:name w:val="内容1 Char"/>
    <w:link w:val="1806"/>
    <w:qFormat/>
    <w:uiPriority w:val="0"/>
    <w:rPr>
      <w:rFonts w:hAnsi="宋体"/>
      <w:sz w:val="28"/>
      <w:szCs w:val="28"/>
    </w:rPr>
  </w:style>
  <w:style w:type="paragraph" w:customStyle="1" w:styleId="1806">
    <w:name w:val="内容1"/>
    <w:basedOn w:val="1"/>
    <w:link w:val="1805"/>
    <w:qFormat/>
    <w:uiPriority w:val="0"/>
    <w:pPr>
      <w:spacing w:line="500" w:lineRule="exact"/>
      <w:ind w:firstLine="538" w:firstLineChars="192"/>
    </w:pPr>
    <w:rPr>
      <w:rFonts w:ascii="Times New Roman" w:cs="Times New Roman"/>
      <w:sz w:val="28"/>
      <w:szCs w:val="28"/>
    </w:rPr>
  </w:style>
  <w:style w:type="character" w:customStyle="1" w:styleId="1807">
    <w:name w:val="样式 标题 1一级标题(章)标题 1 Char封面标题封皮 + (中文) 仿宋_GB2312 四号 左 左侧:  ... Char Char Char Char"/>
    <w:qFormat/>
    <w:uiPriority w:val="0"/>
    <w:rPr>
      <w:rFonts w:eastAsia="黑体" w:cs="宋体"/>
      <w:bCs/>
      <w:snapToGrid w:val="0"/>
      <w:kern w:val="44"/>
      <w:sz w:val="32"/>
      <w:szCs w:val="32"/>
    </w:rPr>
  </w:style>
  <w:style w:type="character" w:customStyle="1" w:styleId="1808">
    <w:name w:val="说明书正文 Char Char"/>
    <w:qFormat/>
    <w:uiPriority w:val="0"/>
    <w:rPr>
      <w:rFonts w:eastAsia="宋体"/>
      <w:sz w:val="24"/>
      <w:szCs w:val="24"/>
      <w:lang w:val="en-US" w:eastAsia="zh-CN" w:bidi="ar-SA"/>
    </w:rPr>
  </w:style>
  <w:style w:type="character" w:customStyle="1" w:styleId="1809">
    <w:name w:val="正文 首行缩进:  2 字符 Char Char"/>
    <w:qFormat/>
    <w:uiPriority w:val="0"/>
    <w:rPr>
      <w:rFonts w:cs="宋体"/>
      <w:kern w:val="2"/>
      <w:sz w:val="24"/>
    </w:rPr>
  </w:style>
  <w:style w:type="character" w:customStyle="1" w:styleId="1810">
    <w:name w:val="样式13 Char Char"/>
    <w:qFormat/>
    <w:uiPriority w:val="0"/>
    <w:rPr>
      <w:rFonts w:ascii="方正书宋简体" w:eastAsia="方正书宋简体"/>
      <w:b/>
      <w:color w:val="000000"/>
      <w:kern w:val="2"/>
      <w:sz w:val="28"/>
      <w:szCs w:val="28"/>
      <w:lang w:val="en-US" w:eastAsia="zh-CN" w:bidi="ar-SA"/>
    </w:rPr>
  </w:style>
  <w:style w:type="character" w:customStyle="1" w:styleId="1811">
    <w:name w:val="样式6 Char Char"/>
    <w:qFormat/>
    <w:uiPriority w:val="0"/>
    <w:rPr>
      <w:kern w:val="2"/>
      <w:sz w:val="21"/>
      <w:szCs w:val="21"/>
    </w:rPr>
  </w:style>
  <w:style w:type="character" w:customStyle="1" w:styleId="1812">
    <w:name w:val="正文－图表内文字 Char Char"/>
    <w:qFormat/>
    <w:uiPriority w:val="0"/>
    <w:rPr>
      <w:color w:val="000000"/>
      <w:kern w:val="2"/>
      <w:sz w:val="21"/>
      <w:szCs w:val="28"/>
    </w:rPr>
  </w:style>
  <w:style w:type="character" w:customStyle="1" w:styleId="1813">
    <w:name w:val="font5 Char Char"/>
    <w:qFormat/>
    <w:uiPriority w:val="0"/>
    <w:rPr>
      <w:rFonts w:ascii="宋体" w:hAnsi="宋体" w:eastAsia="宋体"/>
      <w:sz w:val="18"/>
      <w:szCs w:val="18"/>
      <w:lang w:val="en-US" w:eastAsia="zh-CN" w:bidi="ar-SA"/>
    </w:rPr>
  </w:style>
  <w:style w:type="character" w:customStyle="1" w:styleId="1814">
    <w:name w:val="keyword1"/>
    <w:qFormat/>
    <w:uiPriority w:val="0"/>
    <w:rPr>
      <w:color w:val="FF0000"/>
    </w:rPr>
  </w:style>
  <w:style w:type="character" w:customStyle="1" w:styleId="1815">
    <w:name w:val="emtidy-3"/>
    <w:qFormat/>
    <w:uiPriority w:val="0"/>
  </w:style>
  <w:style w:type="character" w:customStyle="1" w:styleId="1816">
    <w:name w:val="新正文 Char"/>
    <w:link w:val="1817"/>
    <w:qFormat/>
    <w:uiPriority w:val="0"/>
    <w:rPr>
      <w:rFonts w:ascii="宋体"/>
      <w:kern w:val="2"/>
      <w:sz w:val="24"/>
      <w:szCs w:val="24"/>
    </w:rPr>
  </w:style>
  <w:style w:type="paragraph" w:customStyle="1" w:styleId="1817">
    <w:name w:val="新正文"/>
    <w:basedOn w:val="1"/>
    <w:link w:val="1816"/>
    <w:qFormat/>
    <w:uiPriority w:val="0"/>
    <w:pPr>
      <w:widowControl w:val="0"/>
      <w:tabs>
        <w:tab w:val="left" w:pos="8295"/>
      </w:tabs>
      <w:spacing w:line="460" w:lineRule="exact"/>
      <w:ind w:firstLine="200" w:firstLineChars="200"/>
      <w:jc w:val="both"/>
    </w:pPr>
    <w:rPr>
      <w:rFonts w:hAnsi="Times New Roman" w:cs="Times New Roman"/>
      <w:kern w:val="2"/>
    </w:rPr>
  </w:style>
  <w:style w:type="character" w:customStyle="1" w:styleId="1818">
    <w:name w:val="样式正文 Char Char1"/>
    <w:qFormat/>
    <w:uiPriority w:val="0"/>
    <w:rPr>
      <w:rFonts w:eastAsia="宋体"/>
      <w:kern w:val="2"/>
      <w:sz w:val="28"/>
      <w:szCs w:val="24"/>
      <w:lang w:val="en-US" w:eastAsia="zh-CN" w:bidi="ar-SA"/>
    </w:rPr>
  </w:style>
  <w:style w:type="character" w:customStyle="1" w:styleId="1819">
    <w:name w:val="zt41"/>
    <w:qFormat/>
    <w:uiPriority w:val="0"/>
    <w:rPr>
      <w:sz w:val="18"/>
      <w:szCs w:val="18"/>
    </w:rPr>
  </w:style>
  <w:style w:type="character" w:customStyle="1" w:styleId="1820">
    <w:name w:val="表头-文字 Char"/>
    <w:link w:val="1821"/>
    <w:qFormat/>
    <w:locked/>
    <w:uiPriority w:val="0"/>
    <w:rPr>
      <w:b/>
      <w:kern w:val="24"/>
      <w:sz w:val="24"/>
      <w:szCs w:val="22"/>
    </w:rPr>
  </w:style>
  <w:style w:type="paragraph" w:customStyle="1" w:styleId="1821">
    <w:name w:val="表头-文字"/>
    <w:basedOn w:val="1"/>
    <w:link w:val="1820"/>
    <w:qFormat/>
    <w:uiPriority w:val="0"/>
    <w:pPr>
      <w:widowControl w:val="0"/>
      <w:adjustRightInd w:val="0"/>
      <w:snapToGrid w:val="0"/>
      <w:spacing w:beforeLines="50"/>
      <w:jc w:val="center"/>
    </w:pPr>
    <w:rPr>
      <w:rFonts w:ascii="Times New Roman" w:hAnsi="Times New Roman" w:cs="Times New Roman"/>
      <w:b/>
      <w:kern w:val="24"/>
      <w:szCs w:val="22"/>
    </w:rPr>
  </w:style>
  <w:style w:type="character" w:customStyle="1" w:styleId="1822">
    <w:name w:val="电子邮件签名 字符3"/>
    <w:qFormat/>
    <w:uiPriority w:val="0"/>
    <w:rPr>
      <w:kern w:val="2"/>
      <w:sz w:val="24"/>
    </w:rPr>
  </w:style>
  <w:style w:type="character" w:customStyle="1" w:styleId="1823">
    <w:name w:val="正文首行缩进 2 字符1"/>
    <w:qFormat/>
    <w:uiPriority w:val="0"/>
  </w:style>
  <w:style w:type="character" w:customStyle="1" w:styleId="1824">
    <w:name w:val="正文文本 2 字符4"/>
    <w:qFormat/>
    <w:uiPriority w:val="0"/>
    <w:rPr>
      <w:kern w:val="2"/>
      <w:sz w:val="24"/>
    </w:rPr>
  </w:style>
  <w:style w:type="character" w:customStyle="1" w:styleId="1825">
    <w:name w:val="标题 6 字符2"/>
    <w:qFormat/>
    <w:uiPriority w:val="0"/>
    <w:rPr>
      <w:rFonts w:ascii="Arial" w:hAnsi="Arial" w:eastAsia="黑体"/>
      <w:b/>
      <w:bCs/>
      <w:kern w:val="2"/>
      <w:sz w:val="24"/>
      <w:szCs w:val="24"/>
    </w:rPr>
  </w:style>
  <w:style w:type="character" w:customStyle="1" w:styleId="1826">
    <w:name w:val="正文 New New Char Char"/>
    <w:qFormat/>
    <w:uiPriority w:val="0"/>
    <w:rPr>
      <w:kern w:val="2"/>
      <w:sz w:val="21"/>
      <w:szCs w:val="24"/>
      <w:lang w:bidi="ar-SA"/>
    </w:rPr>
  </w:style>
  <w:style w:type="character" w:customStyle="1" w:styleId="1827">
    <w:name w:val="标题 3 字符2"/>
    <w:qFormat/>
    <w:uiPriority w:val="0"/>
    <w:rPr>
      <w:b/>
      <w:bCs/>
      <w:kern w:val="2"/>
      <w:sz w:val="32"/>
      <w:szCs w:val="32"/>
    </w:rPr>
  </w:style>
  <w:style w:type="character" w:customStyle="1" w:styleId="1828">
    <w:name w:val="正文文字缩进 2 Char2"/>
    <w:qFormat/>
    <w:uiPriority w:val="0"/>
    <w:rPr>
      <w:kern w:val="2"/>
      <w:sz w:val="24"/>
    </w:rPr>
  </w:style>
  <w:style w:type="character" w:customStyle="1" w:styleId="1829">
    <w:name w:val="正文文字 Char1"/>
    <w:qFormat/>
    <w:uiPriority w:val="0"/>
    <w:rPr>
      <w:rFonts w:eastAsia="宋体"/>
      <w:b/>
      <w:kern w:val="2"/>
      <w:sz w:val="24"/>
      <w:lang w:val="en-US" w:eastAsia="zh-CN" w:bidi="ar-SA"/>
    </w:rPr>
  </w:style>
  <w:style w:type="character" w:customStyle="1" w:styleId="1830">
    <w:name w:val="表格1 Char"/>
    <w:qFormat/>
    <w:uiPriority w:val="0"/>
    <w:rPr>
      <w:rFonts w:ascii="宋体" w:hAnsi="宋体" w:eastAsia="宋体" w:cs="Arial"/>
      <w:color w:val="000000"/>
      <w:sz w:val="21"/>
      <w:szCs w:val="21"/>
      <w:lang w:val="en-US" w:eastAsia="zh-CN" w:bidi="ar-SA"/>
    </w:rPr>
  </w:style>
  <w:style w:type="character" w:customStyle="1" w:styleId="1831">
    <w:name w:val="正文缩进 字符"/>
    <w:qFormat/>
    <w:uiPriority w:val="0"/>
    <w:rPr>
      <w:rFonts w:eastAsia="宋体"/>
      <w:kern w:val="2"/>
      <w:sz w:val="21"/>
      <w:lang w:val="en-US" w:eastAsia="zh-CN" w:bidi="ar-SA"/>
    </w:rPr>
  </w:style>
  <w:style w:type="character" w:customStyle="1" w:styleId="1832">
    <w:name w:val="标题标题 Char Char Char"/>
    <w:qFormat/>
    <w:uiPriority w:val="0"/>
    <w:rPr>
      <w:rFonts w:eastAsia="黑体"/>
      <w:kern w:val="11"/>
      <w:sz w:val="21"/>
      <w:szCs w:val="28"/>
      <w:lang w:val="en-US" w:eastAsia="zh-CN" w:bidi="ar-SA"/>
    </w:rPr>
  </w:style>
  <w:style w:type="character" w:customStyle="1" w:styleId="1833">
    <w:name w:val="纯文本1 Char"/>
    <w:link w:val="1834"/>
    <w:qFormat/>
    <w:uiPriority w:val="0"/>
    <w:rPr>
      <w:rFonts w:ascii="宋体" w:hAnsi="Courier New"/>
      <w:kern w:val="2"/>
      <w:sz w:val="21"/>
    </w:rPr>
  </w:style>
  <w:style w:type="paragraph" w:customStyle="1" w:styleId="1834">
    <w:name w:val="纯文本1"/>
    <w:basedOn w:val="1"/>
    <w:link w:val="1833"/>
    <w:qFormat/>
    <w:uiPriority w:val="0"/>
    <w:pPr>
      <w:widowControl w:val="0"/>
      <w:jc w:val="both"/>
    </w:pPr>
    <w:rPr>
      <w:rFonts w:hAnsi="Courier New" w:cs="Times New Roman"/>
      <w:kern w:val="2"/>
      <w:sz w:val="21"/>
      <w:szCs w:val="20"/>
    </w:rPr>
  </w:style>
  <w:style w:type="character" w:customStyle="1" w:styleId="1835">
    <w:name w:val="页码2"/>
    <w:qFormat/>
    <w:uiPriority w:val="0"/>
  </w:style>
  <w:style w:type="character" w:customStyle="1" w:styleId="1836">
    <w:name w:val="页脚 字符1"/>
    <w:qFormat/>
    <w:uiPriority w:val="0"/>
    <w:rPr>
      <w:sz w:val="18"/>
    </w:rPr>
  </w:style>
  <w:style w:type="character" w:customStyle="1" w:styleId="1837">
    <w:name w:val="OK 1.1.1 Char Char"/>
    <w:qFormat/>
    <w:uiPriority w:val="0"/>
    <w:rPr>
      <w:rFonts w:ascii="Calibri" w:hAnsi="Calibri" w:cs="Calibri"/>
      <w:b/>
      <w:sz w:val="24"/>
      <w:szCs w:val="24"/>
    </w:rPr>
  </w:style>
  <w:style w:type="character" w:customStyle="1" w:styleId="1838">
    <w:name w:val="正文文字 2 Char Char"/>
    <w:qFormat/>
    <w:uiPriority w:val="0"/>
    <w:rPr>
      <w:snapToGrid/>
      <w:kern w:val="28"/>
      <w:sz w:val="24"/>
    </w:rPr>
  </w:style>
  <w:style w:type="character" w:customStyle="1" w:styleId="1839">
    <w:name w:val="日期 字符3"/>
    <w:qFormat/>
    <w:uiPriority w:val="0"/>
    <w:rPr>
      <w:kern w:val="2"/>
      <w:sz w:val="21"/>
    </w:rPr>
  </w:style>
  <w:style w:type="character" w:customStyle="1" w:styleId="1840">
    <w:name w:val="标题 9 字符3"/>
    <w:qFormat/>
    <w:uiPriority w:val="0"/>
    <w:rPr>
      <w:rFonts w:ascii="Arial" w:hAnsi="Arial" w:eastAsia="黑体"/>
      <w:sz w:val="24"/>
      <w:szCs w:val="21"/>
      <w:lang w:bidi="ar-SA"/>
    </w:rPr>
  </w:style>
  <w:style w:type="character" w:customStyle="1" w:styleId="1841">
    <w:name w:val="正文文本 2 字符5"/>
    <w:qFormat/>
    <w:uiPriority w:val="0"/>
    <w:rPr>
      <w:rFonts w:eastAsia="宋体"/>
      <w:kern w:val="2"/>
      <w:sz w:val="18"/>
      <w:lang w:val="en-US" w:eastAsia="zh-CN" w:bidi="ar-SA"/>
    </w:rPr>
  </w:style>
  <w:style w:type="character" w:customStyle="1" w:styleId="1842">
    <w:name w:val="标题 3 字符4"/>
    <w:qFormat/>
    <w:uiPriority w:val="0"/>
    <w:rPr>
      <w:b/>
      <w:bCs/>
      <w:kern w:val="2"/>
      <w:sz w:val="32"/>
      <w:szCs w:val="32"/>
    </w:rPr>
  </w:style>
  <w:style w:type="character" w:customStyle="1" w:styleId="1843">
    <w:name w:val="页眉 Char2"/>
    <w:qFormat/>
    <w:uiPriority w:val="0"/>
    <w:rPr>
      <w:kern w:val="2"/>
      <w:sz w:val="18"/>
      <w:szCs w:val="18"/>
    </w:rPr>
  </w:style>
  <w:style w:type="character" w:customStyle="1" w:styleId="1844">
    <w:name w:val="标题 8 字符3"/>
    <w:qFormat/>
    <w:uiPriority w:val="0"/>
    <w:rPr>
      <w:rFonts w:ascii="Arial" w:hAnsi="Arial" w:eastAsia="黑体"/>
      <w:sz w:val="24"/>
      <w:szCs w:val="24"/>
      <w:lang w:bidi="ar-SA"/>
    </w:rPr>
  </w:style>
  <w:style w:type="character" w:customStyle="1" w:styleId="1845">
    <w:name w:val="正文缩进 字符2"/>
    <w:qFormat/>
    <w:uiPriority w:val="0"/>
    <w:rPr>
      <w:rFonts w:eastAsia="宋体"/>
      <w:kern w:val="2"/>
      <w:sz w:val="24"/>
      <w:lang w:val="en-US" w:eastAsia="zh-CN" w:bidi="ar-SA"/>
    </w:rPr>
  </w:style>
  <w:style w:type="character" w:customStyle="1" w:styleId="1846">
    <w:name w:val="标题 9 Char Char"/>
    <w:qFormat/>
    <w:uiPriority w:val="0"/>
    <w:rPr>
      <w:rFonts w:ascii="Cambria" w:hAnsi="Cambria" w:eastAsia="宋体" w:cs="Times New Roman"/>
      <w:kern w:val="2"/>
      <w:sz w:val="21"/>
      <w:szCs w:val="21"/>
    </w:rPr>
  </w:style>
  <w:style w:type="character" w:customStyle="1" w:styleId="1847">
    <w:name w:val="正文文本首行缩进 字符"/>
    <w:qFormat/>
    <w:uiPriority w:val="0"/>
    <w:rPr>
      <w:rFonts w:eastAsia="宋体"/>
      <w:b/>
      <w:kern w:val="2"/>
      <w:sz w:val="24"/>
      <w:lang w:val="en-US" w:eastAsia="zh-CN" w:bidi="ar-SA"/>
    </w:rPr>
  </w:style>
  <w:style w:type="character" w:customStyle="1" w:styleId="1848">
    <w:name w:val="614表格样式 Char Char"/>
    <w:link w:val="1849"/>
    <w:qFormat/>
    <w:uiPriority w:val="0"/>
    <w:rPr>
      <w:rFonts w:hAnsi="宋体"/>
      <w:kern w:val="2"/>
      <w:sz w:val="21"/>
      <w:szCs w:val="21"/>
    </w:rPr>
  </w:style>
  <w:style w:type="paragraph" w:customStyle="1" w:styleId="1849">
    <w:name w:val="614表格样式"/>
    <w:basedOn w:val="1"/>
    <w:link w:val="1848"/>
    <w:qFormat/>
    <w:uiPriority w:val="0"/>
    <w:pPr>
      <w:widowControl w:val="0"/>
      <w:spacing w:line="320" w:lineRule="exact"/>
      <w:jc w:val="center"/>
    </w:pPr>
    <w:rPr>
      <w:rFonts w:ascii="Times New Roman" w:cs="Times New Roman"/>
      <w:kern w:val="2"/>
      <w:sz w:val="21"/>
      <w:szCs w:val="21"/>
    </w:rPr>
  </w:style>
  <w:style w:type="character" w:customStyle="1" w:styleId="1850">
    <w:name w:val="标题 4 字符3"/>
    <w:qFormat/>
    <w:uiPriority w:val="0"/>
    <w:rPr>
      <w:rFonts w:ascii="Arial" w:hAnsi="Arial" w:eastAsia="黑体"/>
      <w:b/>
      <w:bCs/>
      <w:kern w:val="2"/>
      <w:sz w:val="28"/>
      <w:szCs w:val="28"/>
    </w:rPr>
  </w:style>
  <w:style w:type="character" w:customStyle="1" w:styleId="1851">
    <w:name w:val="标题 5 Char Char"/>
    <w:qFormat/>
    <w:uiPriority w:val="0"/>
    <w:rPr>
      <w:b/>
      <w:bCs/>
      <w:kern w:val="2"/>
      <w:sz w:val="28"/>
      <w:szCs w:val="28"/>
    </w:rPr>
  </w:style>
  <w:style w:type="character" w:customStyle="1" w:styleId="1852">
    <w:name w:val="正文 + Char"/>
    <w:link w:val="1853"/>
    <w:qFormat/>
    <w:uiPriority w:val="0"/>
    <w:rPr>
      <w:rFonts w:eastAsia="Times New Roman"/>
      <w:snapToGrid w:val="0"/>
      <w:kern w:val="24"/>
      <w:sz w:val="24"/>
      <w:szCs w:val="24"/>
    </w:rPr>
  </w:style>
  <w:style w:type="paragraph" w:customStyle="1" w:styleId="1853">
    <w:name w:val="正文 +"/>
    <w:link w:val="1852"/>
    <w:qFormat/>
    <w:uiPriority w:val="0"/>
    <w:pPr>
      <w:adjustRightInd w:val="0"/>
      <w:snapToGrid w:val="0"/>
      <w:spacing w:line="360" w:lineRule="auto"/>
      <w:ind w:firstLine="480" w:firstLineChars="200"/>
    </w:pPr>
    <w:rPr>
      <w:rFonts w:ascii="Times New Roman" w:hAnsi="Times New Roman" w:eastAsia="Times New Roman" w:cs="Times New Roman"/>
      <w:snapToGrid w:val="0"/>
      <w:kern w:val="24"/>
      <w:sz w:val="24"/>
      <w:szCs w:val="24"/>
      <w:lang w:val="en-US" w:eastAsia="zh-CN" w:bidi="ar-SA"/>
    </w:rPr>
  </w:style>
  <w:style w:type="character" w:customStyle="1" w:styleId="1854">
    <w:name w:val="Char Char161"/>
    <w:qFormat/>
    <w:uiPriority w:val="0"/>
    <w:rPr>
      <w:kern w:val="2"/>
      <w:sz w:val="18"/>
      <w:szCs w:val="18"/>
    </w:rPr>
  </w:style>
  <w:style w:type="character" w:customStyle="1" w:styleId="1855">
    <w:name w:val="y正 文 Char Char"/>
    <w:link w:val="1856"/>
    <w:qFormat/>
    <w:uiPriority w:val="0"/>
    <w:rPr>
      <w:rFonts w:ascii="宋体" w:hAnsi="宋体"/>
      <w:bCs/>
      <w:kern w:val="2"/>
      <w:sz w:val="24"/>
      <w:szCs w:val="24"/>
    </w:rPr>
  </w:style>
  <w:style w:type="paragraph" w:customStyle="1" w:styleId="1856">
    <w:name w:val="y正 文"/>
    <w:basedOn w:val="1"/>
    <w:link w:val="1855"/>
    <w:qFormat/>
    <w:uiPriority w:val="0"/>
    <w:pPr>
      <w:adjustRightInd w:val="0"/>
      <w:spacing w:line="360" w:lineRule="auto"/>
      <w:ind w:firstLine="200" w:firstLineChars="200"/>
    </w:pPr>
    <w:rPr>
      <w:rFonts w:cs="Times New Roman"/>
      <w:bCs/>
      <w:kern w:val="2"/>
    </w:rPr>
  </w:style>
  <w:style w:type="character" w:customStyle="1" w:styleId="1857">
    <w:name w:val="h Char Char1"/>
    <w:qFormat/>
    <w:uiPriority w:val="0"/>
    <w:rPr>
      <w:kern w:val="2"/>
      <w:sz w:val="18"/>
      <w:szCs w:val="18"/>
    </w:rPr>
  </w:style>
  <w:style w:type="character" w:customStyle="1" w:styleId="1858">
    <w:name w:val="尾注文本 字符"/>
    <w:qFormat/>
    <w:uiPriority w:val="0"/>
    <w:rPr>
      <w:rFonts w:eastAsia="宋体"/>
      <w:kern w:val="2"/>
      <w:sz w:val="21"/>
      <w:szCs w:val="24"/>
      <w:lang w:bidi="ar-SA"/>
    </w:rPr>
  </w:style>
  <w:style w:type="character" w:customStyle="1" w:styleId="1859">
    <w:name w:val="韩要点1 Char Char Char"/>
    <w:qFormat/>
    <w:uiPriority w:val="0"/>
    <w:rPr>
      <w:sz w:val="28"/>
      <w:lang w:bidi="ar-SA"/>
    </w:rPr>
  </w:style>
  <w:style w:type="character" w:customStyle="1" w:styleId="1860">
    <w:name w:val="设计正文 Char Char Char"/>
    <w:qFormat/>
    <w:uiPriority w:val="0"/>
    <w:rPr>
      <w:rFonts w:ascii="宋体"/>
      <w:kern w:val="2"/>
      <w:sz w:val="24"/>
      <w:lang w:bidi="ar-SA"/>
    </w:rPr>
  </w:style>
  <w:style w:type="character" w:customStyle="1" w:styleId="1861">
    <w:name w:val="正文文字 3 Char Char1"/>
    <w:qFormat/>
    <w:uiPriority w:val="0"/>
    <w:rPr>
      <w:kern w:val="2"/>
      <w:sz w:val="18"/>
    </w:rPr>
  </w:style>
  <w:style w:type="character" w:customStyle="1" w:styleId="1862">
    <w:name w:val="5m5"/>
    <w:qFormat/>
    <w:uiPriority w:val="0"/>
  </w:style>
  <w:style w:type="character" w:customStyle="1" w:styleId="1863">
    <w:name w:val="Char Char102"/>
    <w:qFormat/>
    <w:uiPriority w:val="0"/>
    <w:rPr>
      <w:kern w:val="2"/>
      <w:sz w:val="21"/>
    </w:rPr>
  </w:style>
  <w:style w:type="character" w:customStyle="1" w:styleId="1864">
    <w:name w:val="页眉 字符3"/>
    <w:qFormat/>
    <w:uiPriority w:val="99"/>
    <w:rPr>
      <w:kern w:val="2"/>
      <w:sz w:val="18"/>
      <w:szCs w:val="18"/>
    </w:rPr>
  </w:style>
  <w:style w:type="character" w:customStyle="1" w:styleId="1865">
    <w:name w:val="正文首行缩进2字符 Char Char Char"/>
    <w:qFormat/>
    <w:uiPriority w:val="0"/>
    <w:rPr>
      <w:rFonts w:ascii="仿宋_GB2312" w:eastAsia="仿宋_GB2312"/>
      <w:kern w:val="2"/>
      <w:sz w:val="28"/>
      <w:szCs w:val="24"/>
      <w:lang w:bidi="ar-SA"/>
    </w:rPr>
  </w:style>
  <w:style w:type="character" w:customStyle="1" w:styleId="1866">
    <w:name w:val="样式 宋体 四号 行距: 1.5 倍行距 Char Char Char Char Char"/>
    <w:qFormat/>
    <w:uiPriority w:val="0"/>
    <w:rPr>
      <w:rFonts w:ascii="宋体" w:hAnsi="宋体"/>
      <w:kern w:val="2"/>
      <w:sz w:val="28"/>
      <w:szCs w:val="24"/>
      <w:lang w:bidi="ar-SA"/>
    </w:rPr>
  </w:style>
  <w:style w:type="character" w:customStyle="1" w:styleId="1867">
    <w:name w:val="HTML 预设格式 字符3"/>
    <w:qFormat/>
    <w:uiPriority w:val="0"/>
    <w:rPr>
      <w:rFonts w:ascii="宋体" w:hAnsi="宋体" w:cs="宋体"/>
      <w:color w:val="000000"/>
      <w:sz w:val="24"/>
      <w:szCs w:val="24"/>
    </w:rPr>
  </w:style>
  <w:style w:type="character" w:customStyle="1" w:styleId="1868">
    <w:name w:val="标题 5 字符3"/>
    <w:qFormat/>
    <w:uiPriority w:val="0"/>
    <w:rPr>
      <w:rFonts w:ascii="楷体_GB2312" w:eastAsia="楷体_GB2312"/>
      <w:b/>
      <w:spacing w:val="20"/>
      <w:kern w:val="2"/>
      <w:sz w:val="28"/>
    </w:rPr>
  </w:style>
  <w:style w:type="character" w:customStyle="1" w:styleId="1869">
    <w:name w:val="王　正文 Char Char"/>
    <w:qFormat/>
    <w:uiPriority w:val="0"/>
    <w:rPr>
      <w:rFonts w:hAnsi="宋体" w:eastAsia="宋体"/>
      <w:kern w:val="24"/>
      <w:sz w:val="28"/>
      <w:szCs w:val="28"/>
      <w:lang w:bidi="ar-SA"/>
    </w:rPr>
  </w:style>
  <w:style w:type="character" w:customStyle="1" w:styleId="1870">
    <w:name w:val="批注文字 字符5"/>
    <w:qFormat/>
    <w:uiPriority w:val="0"/>
    <w:rPr>
      <w:kern w:val="2"/>
      <w:sz w:val="24"/>
    </w:rPr>
  </w:style>
  <w:style w:type="character" w:customStyle="1" w:styleId="1871">
    <w:name w:val="宏文本 Char Char"/>
    <w:link w:val="1872"/>
    <w:qFormat/>
    <w:uiPriority w:val="0"/>
    <w:rPr>
      <w:rFonts w:ascii="Courier New" w:hAnsi="Courier New" w:eastAsia="Times New Roman" w:cs="Courier New"/>
      <w:kern w:val="2"/>
      <w:sz w:val="24"/>
      <w:szCs w:val="24"/>
    </w:rPr>
  </w:style>
  <w:style w:type="paragraph" w:customStyle="1" w:styleId="1872">
    <w:name w:val="宏文本2"/>
    <w:link w:val="1871"/>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imes New Roman" w:cs="Courier New"/>
      <w:kern w:val="2"/>
      <w:sz w:val="24"/>
      <w:szCs w:val="24"/>
      <w:lang w:val="en-US" w:eastAsia="zh-CN" w:bidi="ar-SA"/>
    </w:rPr>
  </w:style>
  <w:style w:type="character" w:customStyle="1" w:styleId="1873">
    <w:name w:val="批注框文本 字符1"/>
    <w:qFormat/>
    <w:uiPriority w:val="0"/>
    <w:rPr>
      <w:rFonts w:ascii="Times New Roman" w:hAnsi="Times New Roman" w:eastAsia="宋体" w:cs="Times New Roman"/>
      <w:sz w:val="18"/>
      <w:szCs w:val="18"/>
    </w:rPr>
  </w:style>
  <w:style w:type="character" w:customStyle="1" w:styleId="1874">
    <w:name w:val="尾注文本 字符3"/>
    <w:qFormat/>
    <w:uiPriority w:val="0"/>
    <w:rPr>
      <w:kern w:val="2"/>
      <w:sz w:val="21"/>
      <w:szCs w:val="24"/>
    </w:rPr>
  </w:style>
  <w:style w:type="character" w:customStyle="1" w:styleId="1875">
    <w:name w:val="标2 Char Char"/>
    <w:qFormat/>
    <w:uiPriority w:val="0"/>
    <w:rPr>
      <w:rFonts w:ascii="黑体" w:hAnsi="Arial" w:eastAsia="黑体"/>
      <w:b/>
      <w:color w:val="000000"/>
      <w:position w:val="-6"/>
      <w:sz w:val="24"/>
      <w:szCs w:val="24"/>
      <w:lang w:val="en-US" w:eastAsia="zh-CN" w:bidi="ar-SA"/>
    </w:rPr>
  </w:style>
  <w:style w:type="character" w:customStyle="1" w:styleId="1876">
    <w:name w:val="样式 列表 + 黑色 Char Char"/>
    <w:qFormat/>
    <w:uiPriority w:val="0"/>
    <w:rPr>
      <w:rFonts w:ascii="黑体" w:eastAsia="黑体"/>
      <w:color w:val="000000"/>
      <w:kern w:val="2"/>
      <w:sz w:val="24"/>
      <w:szCs w:val="24"/>
      <w:lang w:val="en-US" w:eastAsia="zh-CN" w:bidi="ar-SA"/>
    </w:rPr>
  </w:style>
  <w:style w:type="character" w:customStyle="1" w:styleId="1877">
    <w:name w:val="已访问的超链接 Char"/>
    <w:qFormat/>
    <w:uiPriority w:val="0"/>
    <w:rPr>
      <w:color w:val="800080"/>
      <w:u w:val="single"/>
    </w:rPr>
  </w:style>
  <w:style w:type="character" w:customStyle="1" w:styleId="1878">
    <w:name w:val="批注文字 字符2"/>
    <w:qFormat/>
    <w:uiPriority w:val="0"/>
    <w:rPr>
      <w:kern w:val="2"/>
      <w:sz w:val="24"/>
    </w:rPr>
  </w:style>
  <w:style w:type="character" w:customStyle="1" w:styleId="1879">
    <w:name w:val="标题 4 字符1"/>
    <w:qFormat/>
    <w:uiPriority w:val="0"/>
    <w:rPr>
      <w:rFonts w:ascii="Arial" w:hAnsi="Arial" w:eastAsia="黑体"/>
      <w:b/>
      <w:bCs/>
      <w:kern w:val="2"/>
      <w:sz w:val="28"/>
      <w:szCs w:val="28"/>
    </w:rPr>
  </w:style>
  <w:style w:type="character" w:customStyle="1" w:styleId="1880">
    <w:name w:val="表格sms Char Char"/>
    <w:qFormat/>
    <w:uiPriority w:val="0"/>
    <w:rPr>
      <w:rFonts w:eastAsia="Times New Roman"/>
      <w:w w:val="99"/>
      <w:sz w:val="21"/>
      <w:szCs w:val="21"/>
      <w:lang w:val="en-US" w:eastAsia="zh-CN" w:bidi="ar-SA"/>
    </w:rPr>
  </w:style>
  <w:style w:type="character" w:customStyle="1" w:styleId="1881">
    <w:name w:val="页脚 Char2"/>
    <w:qFormat/>
    <w:uiPriority w:val="0"/>
    <w:rPr>
      <w:rFonts w:hint="eastAsia" w:ascii="宋体" w:hAnsi="宋体" w:eastAsia="宋体"/>
      <w:kern w:val="2"/>
      <w:sz w:val="18"/>
      <w:lang w:val="en-US" w:eastAsia="zh-CN" w:bidi="ar-SA"/>
    </w:rPr>
  </w:style>
  <w:style w:type="character" w:customStyle="1" w:styleId="1882">
    <w:name w:val="电子邮件签名 字符"/>
    <w:qFormat/>
    <w:uiPriority w:val="0"/>
    <w:rPr>
      <w:kern w:val="2"/>
      <w:sz w:val="24"/>
    </w:rPr>
  </w:style>
  <w:style w:type="character" w:customStyle="1" w:styleId="1883">
    <w:name w:val="正文 首行缩进:  2 字符 SL CON Char Char"/>
    <w:link w:val="1884"/>
    <w:qFormat/>
    <w:uiPriority w:val="0"/>
    <w:rPr>
      <w:rFonts w:ascii="宋体" w:hAnsi="宋体"/>
      <w:sz w:val="24"/>
      <w:szCs w:val="24"/>
    </w:rPr>
  </w:style>
  <w:style w:type="paragraph" w:customStyle="1" w:styleId="1884">
    <w:name w:val="正文 首行缩进:  2 字符 SL CON"/>
    <w:basedOn w:val="1"/>
    <w:link w:val="1883"/>
    <w:qFormat/>
    <w:uiPriority w:val="0"/>
    <w:pPr>
      <w:tabs>
        <w:tab w:val="left" w:pos="377"/>
      </w:tabs>
      <w:spacing w:line="360" w:lineRule="auto"/>
      <w:ind w:firstLine="200" w:firstLineChars="200"/>
      <w:jc w:val="both"/>
    </w:pPr>
    <w:rPr>
      <w:rFonts w:cs="Times New Roman"/>
    </w:rPr>
  </w:style>
  <w:style w:type="character" w:customStyle="1" w:styleId="1885">
    <w:name w:val="批注框文本 字符"/>
    <w:qFormat/>
    <w:uiPriority w:val="0"/>
    <w:rPr>
      <w:kern w:val="2"/>
      <w:sz w:val="18"/>
      <w:szCs w:val="18"/>
    </w:rPr>
  </w:style>
  <w:style w:type="character" w:customStyle="1" w:styleId="1886">
    <w:name w:val="aa1 l01 style8"/>
    <w:qFormat/>
    <w:uiPriority w:val="0"/>
  </w:style>
  <w:style w:type="character" w:customStyle="1" w:styleId="1887">
    <w:name w:val="普通(网站) Char Char"/>
    <w:qFormat/>
    <w:uiPriority w:val="0"/>
    <w:rPr>
      <w:rFonts w:ascii="宋体" w:hAnsi="宋体" w:cs="宋体"/>
      <w:sz w:val="24"/>
      <w:szCs w:val="24"/>
    </w:rPr>
  </w:style>
  <w:style w:type="character" w:customStyle="1" w:styleId="1888">
    <w:name w:val="标题 字符1"/>
    <w:qFormat/>
    <w:uiPriority w:val="0"/>
    <w:rPr>
      <w:rFonts w:hint="eastAsia" w:ascii="等线 Light" w:hAnsi="等线 Light" w:eastAsia="等线 Light" w:cs="Times New Roman"/>
      <w:b/>
      <w:bCs/>
      <w:kern w:val="2"/>
      <w:sz w:val="32"/>
      <w:szCs w:val="32"/>
    </w:rPr>
  </w:style>
  <w:style w:type="character" w:customStyle="1" w:styleId="1889">
    <w:name w:val="HTML 预设格式 字符1"/>
    <w:qFormat/>
    <w:uiPriority w:val="0"/>
    <w:rPr>
      <w:rFonts w:ascii="Courier New" w:hAnsi="Courier New" w:eastAsia="宋体" w:cs="Times New Roman"/>
      <w:sz w:val="20"/>
      <w:szCs w:val="20"/>
    </w:rPr>
  </w:style>
  <w:style w:type="character" w:customStyle="1" w:styleId="1890">
    <w:name w:val="批注文字 Char Char Char"/>
    <w:qFormat/>
    <w:uiPriority w:val="0"/>
    <w:rPr>
      <w:kern w:val="2"/>
      <w:sz w:val="24"/>
    </w:rPr>
  </w:style>
  <w:style w:type="character" w:customStyle="1" w:styleId="1891">
    <w:name w:val="宏文本 Char"/>
    <w:qFormat/>
    <w:uiPriority w:val="0"/>
    <w:rPr>
      <w:rFonts w:ascii="Courier New" w:hAnsi="Courier New" w:eastAsia="Times New Roman" w:cs="Courier New"/>
      <w:kern w:val="2"/>
      <w:sz w:val="24"/>
      <w:szCs w:val="24"/>
      <w:lang w:val="en-US" w:eastAsia="zh-CN" w:bidi="ar-SA"/>
    </w:rPr>
  </w:style>
  <w:style w:type="character" w:customStyle="1" w:styleId="1892">
    <w:name w:val="纯文本 字符2"/>
    <w:qFormat/>
    <w:uiPriority w:val="0"/>
    <w:rPr>
      <w:rFonts w:ascii="宋体" w:hAnsi="Courier New" w:eastAsia="宋体"/>
      <w:kern w:val="2"/>
      <w:sz w:val="24"/>
      <w:lang w:val="en-US" w:eastAsia="zh-CN" w:bidi="ar-SA"/>
    </w:rPr>
  </w:style>
  <w:style w:type="character" w:customStyle="1" w:styleId="1893">
    <w:name w:val="标题 2 字符3"/>
    <w:qFormat/>
    <w:uiPriority w:val="0"/>
    <w:rPr>
      <w:rFonts w:ascii="Arial" w:hAnsi="Arial" w:eastAsia="黑体"/>
      <w:b/>
      <w:bCs/>
      <w:kern w:val="2"/>
      <w:sz w:val="32"/>
      <w:szCs w:val="32"/>
    </w:rPr>
  </w:style>
  <w:style w:type="character" w:customStyle="1" w:styleId="1894">
    <w:name w:val="页码21"/>
    <w:qFormat/>
    <w:uiPriority w:val="0"/>
  </w:style>
  <w:style w:type="character" w:customStyle="1" w:styleId="1895">
    <w:name w:val="正文文本缩进 字符2"/>
    <w:qFormat/>
    <w:uiPriority w:val="0"/>
    <w:rPr>
      <w:kern w:val="2"/>
      <w:sz w:val="24"/>
    </w:rPr>
  </w:style>
  <w:style w:type="character" w:customStyle="1" w:styleId="1896">
    <w:name w:val="批注主题 字符2"/>
    <w:qFormat/>
    <w:uiPriority w:val="0"/>
    <w:rPr>
      <w:b/>
      <w:bCs/>
      <w:kern w:val="2"/>
      <w:sz w:val="24"/>
    </w:rPr>
  </w:style>
  <w:style w:type="character" w:customStyle="1" w:styleId="1897">
    <w:name w:val="正文文本缩进 2 字符2"/>
    <w:qFormat/>
    <w:uiPriority w:val="0"/>
    <w:rPr>
      <w:kern w:val="2"/>
      <w:sz w:val="24"/>
    </w:rPr>
  </w:style>
  <w:style w:type="character" w:customStyle="1" w:styleId="1898">
    <w:name w:val="正文文本 字符2"/>
    <w:qFormat/>
    <w:uiPriority w:val="0"/>
    <w:rPr>
      <w:rFonts w:eastAsia="宋体"/>
      <w:b/>
      <w:kern w:val="2"/>
      <w:sz w:val="24"/>
      <w:lang w:val="en-US" w:eastAsia="zh-CN" w:bidi="ar-SA"/>
    </w:rPr>
  </w:style>
  <w:style w:type="character" w:customStyle="1" w:styleId="1899">
    <w:name w:val="正文文本缩进 3 字符3"/>
    <w:qFormat/>
    <w:uiPriority w:val="0"/>
    <w:rPr>
      <w:kern w:val="2"/>
      <w:sz w:val="16"/>
      <w:szCs w:val="16"/>
    </w:rPr>
  </w:style>
  <w:style w:type="character" w:customStyle="1" w:styleId="1900">
    <w:name w:val="表中文字 Char Char Char"/>
    <w:qFormat/>
    <w:uiPriority w:val="0"/>
    <w:rPr>
      <w:rFonts w:eastAsia="宋体"/>
      <w:sz w:val="21"/>
      <w:lang w:val="en-US" w:eastAsia="zh-CN" w:bidi="ar-SA"/>
    </w:rPr>
  </w:style>
  <w:style w:type="character" w:customStyle="1" w:styleId="1901">
    <w:name w:val="正文文本缩进 3 字符2"/>
    <w:qFormat/>
    <w:uiPriority w:val="0"/>
    <w:rPr>
      <w:kern w:val="2"/>
      <w:sz w:val="16"/>
      <w:szCs w:val="16"/>
    </w:rPr>
  </w:style>
  <w:style w:type="character" w:customStyle="1" w:styleId="1902">
    <w:name w:val="正文文本 2 字符3"/>
    <w:qFormat/>
    <w:uiPriority w:val="0"/>
    <w:rPr>
      <w:kern w:val="28"/>
      <w:sz w:val="24"/>
    </w:rPr>
  </w:style>
  <w:style w:type="character" w:customStyle="1" w:styleId="1903">
    <w:name w:val="表格内 Char Char Char"/>
    <w:qFormat/>
    <w:uiPriority w:val="0"/>
    <w:rPr>
      <w:rFonts w:eastAsia="宋体"/>
      <w:snapToGrid/>
      <w:sz w:val="21"/>
      <w:szCs w:val="21"/>
      <w:lang w:bidi="ar-SA"/>
    </w:rPr>
  </w:style>
  <w:style w:type="character" w:customStyle="1" w:styleId="1904">
    <w:name w:val="尾注文本 字符2"/>
    <w:qFormat/>
    <w:uiPriority w:val="0"/>
    <w:rPr>
      <w:kern w:val="2"/>
      <w:sz w:val="21"/>
      <w:szCs w:val="24"/>
    </w:rPr>
  </w:style>
  <w:style w:type="character" w:customStyle="1" w:styleId="1905">
    <w:name w:val="HTML 预设格式 Char Char"/>
    <w:link w:val="1906"/>
    <w:qFormat/>
    <w:uiPriority w:val="0"/>
    <w:rPr>
      <w:rFonts w:ascii="宋体" w:hAnsi="宋体"/>
      <w:color w:val="000000"/>
      <w:sz w:val="24"/>
      <w:szCs w:val="24"/>
    </w:rPr>
  </w:style>
  <w:style w:type="paragraph" w:customStyle="1" w:styleId="1906">
    <w:name w:val="HTML 预设格式1"/>
    <w:basedOn w:val="1"/>
    <w:link w:val="1905"/>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cs="Times New Roman"/>
      <w:color w:val="000000"/>
    </w:rPr>
  </w:style>
  <w:style w:type="character" w:customStyle="1" w:styleId="1907">
    <w:name w:val="标题 7 字符2"/>
    <w:qFormat/>
    <w:uiPriority w:val="0"/>
    <w:rPr>
      <w:b/>
      <w:bCs/>
      <w:kern w:val="2"/>
      <w:sz w:val="24"/>
      <w:szCs w:val="24"/>
    </w:rPr>
  </w:style>
  <w:style w:type="character" w:customStyle="1" w:styleId="1908">
    <w:name w:val="页眉 字符2"/>
    <w:qFormat/>
    <w:uiPriority w:val="0"/>
    <w:rPr>
      <w:kern w:val="2"/>
      <w:sz w:val="18"/>
      <w:szCs w:val="18"/>
    </w:rPr>
  </w:style>
  <w:style w:type="character" w:customStyle="1" w:styleId="1909">
    <w:name w:val="标题 1 Char1"/>
    <w:qFormat/>
    <w:uiPriority w:val="0"/>
    <w:rPr>
      <w:b/>
      <w:bCs/>
      <w:kern w:val="44"/>
      <w:sz w:val="44"/>
      <w:szCs w:val="44"/>
    </w:rPr>
  </w:style>
  <w:style w:type="character" w:customStyle="1" w:styleId="1910">
    <w:name w:val="标题 1 字符"/>
    <w:qFormat/>
    <w:uiPriority w:val="0"/>
    <w:rPr>
      <w:rFonts w:eastAsia="宋体"/>
      <w:b/>
      <w:bCs/>
      <w:kern w:val="44"/>
      <w:sz w:val="44"/>
      <w:szCs w:val="44"/>
      <w:lang w:val="en-US" w:eastAsia="zh-CN" w:bidi="ar-SA"/>
    </w:rPr>
  </w:style>
  <w:style w:type="character" w:customStyle="1" w:styleId="1911">
    <w:name w:val="标题 2 字符"/>
    <w:qFormat/>
    <w:uiPriority w:val="0"/>
    <w:rPr>
      <w:rFonts w:ascii="Arial" w:hAnsi="Arial" w:eastAsia="黑体"/>
      <w:b/>
      <w:bCs/>
      <w:kern w:val="2"/>
      <w:sz w:val="32"/>
      <w:szCs w:val="32"/>
    </w:rPr>
  </w:style>
  <w:style w:type="character" w:customStyle="1" w:styleId="1912">
    <w:name w:val="标题 3 字符"/>
    <w:qFormat/>
    <w:uiPriority w:val="0"/>
    <w:rPr>
      <w:rFonts w:eastAsia="宋体"/>
      <w:b/>
      <w:bCs/>
      <w:kern w:val="2"/>
      <w:sz w:val="32"/>
      <w:szCs w:val="32"/>
      <w:lang w:val="en-US" w:eastAsia="zh-CN" w:bidi="ar-SA"/>
    </w:rPr>
  </w:style>
  <w:style w:type="character" w:customStyle="1" w:styleId="1913">
    <w:name w:val="标题 4 字符"/>
    <w:qFormat/>
    <w:uiPriority w:val="0"/>
    <w:rPr>
      <w:rFonts w:ascii="Arial" w:hAnsi="Arial" w:eastAsia="黑体"/>
      <w:b/>
      <w:bCs/>
      <w:kern w:val="2"/>
      <w:sz w:val="28"/>
      <w:szCs w:val="28"/>
    </w:rPr>
  </w:style>
  <w:style w:type="character" w:customStyle="1" w:styleId="1914">
    <w:name w:val="标题 5 字符"/>
    <w:qFormat/>
    <w:uiPriority w:val="0"/>
    <w:rPr>
      <w:rFonts w:eastAsia="宋体"/>
      <w:b/>
      <w:bCs/>
      <w:kern w:val="2"/>
      <w:sz w:val="28"/>
      <w:szCs w:val="28"/>
      <w:lang w:val="en-US" w:eastAsia="zh-CN" w:bidi="ar-SA"/>
    </w:rPr>
  </w:style>
  <w:style w:type="character" w:customStyle="1" w:styleId="1915">
    <w:name w:val="标题 7 字符"/>
    <w:qFormat/>
    <w:uiPriority w:val="0"/>
    <w:rPr>
      <w:rFonts w:eastAsia="宋体"/>
      <w:b/>
      <w:bCs/>
      <w:kern w:val="2"/>
      <w:sz w:val="24"/>
      <w:szCs w:val="24"/>
      <w:lang w:val="en-US" w:eastAsia="zh-CN" w:bidi="ar-SA"/>
    </w:rPr>
  </w:style>
  <w:style w:type="character" w:customStyle="1" w:styleId="1916">
    <w:name w:val="标题 8 字符"/>
    <w:qFormat/>
    <w:uiPriority w:val="0"/>
    <w:rPr>
      <w:rFonts w:ascii="Arial" w:hAnsi="Arial" w:eastAsia="黑体"/>
      <w:kern w:val="2"/>
      <w:sz w:val="24"/>
      <w:szCs w:val="24"/>
      <w:lang w:val="en-US" w:eastAsia="zh-CN" w:bidi="ar-SA"/>
    </w:rPr>
  </w:style>
  <w:style w:type="character" w:customStyle="1" w:styleId="1917">
    <w:name w:val="标题 9 字符"/>
    <w:qFormat/>
    <w:uiPriority w:val="0"/>
    <w:rPr>
      <w:rFonts w:ascii="Arial" w:hAnsi="Arial" w:eastAsia="黑体"/>
      <w:kern w:val="2"/>
      <w:sz w:val="21"/>
      <w:szCs w:val="21"/>
      <w:lang w:val="en-US" w:eastAsia="zh-CN" w:bidi="ar-SA"/>
    </w:rPr>
  </w:style>
  <w:style w:type="character" w:customStyle="1" w:styleId="1918">
    <w:name w:val="正文文本缩进 2 字符"/>
    <w:qFormat/>
    <w:uiPriority w:val="0"/>
    <w:rPr>
      <w:rFonts w:ascii="宋体" w:eastAsia="宋体"/>
      <w:kern w:val="2"/>
      <w:sz w:val="24"/>
      <w:lang w:val="en-US" w:eastAsia="zh-CN" w:bidi="ar-SA"/>
    </w:rPr>
  </w:style>
  <w:style w:type="character" w:customStyle="1" w:styleId="1919">
    <w:name w:val="正文文本缩进 字符"/>
    <w:qFormat/>
    <w:uiPriority w:val="0"/>
    <w:rPr>
      <w:rFonts w:ascii="宋体" w:hAnsi="Arial"/>
      <w:kern w:val="2"/>
      <w:sz w:val="24"/>
    </w:rPr>
  </w:style>
  <w:style w:type="character" w:customStyle="1" w:styleId="1920">
    <w:name w:val="正文文本 字符"/>
    <w:qFormat/>
    <w:uiPriority w:val="0"/>
    <w:rPr>
      <w:kern w:val="2"/>
      <w:sz w:val="28"/>
      <w:szCs w:val="24"/>
    </w:rPr>
  </w:style>
  <w:style w:type="character" w:customStyle="1" w:styleId="1921">
    <w:name w:val="HTML 预设格式 字符2"/>
    <w:qFormat/>
    <w:uiPriority w:val="0"/>
    <w:rPr>
      <w:rFonts w:ascii="Courier New" w:hAnsi="Courier New" w:cs="Courier New"/>
      <w:kern w:val="2"/>
    </w:rPr>
  </w:style>
  <w:style w:type="character" w:customStyle="1" w:styleId="1922">
    <w:name w:val="页眉 字符"/>
    <w:qFormat/>
    <w:uiPriority w:val="99"/>
    <w:rPr>
      <w:kern w:val="2"/>
      <w:sz w:val="18"/>
      <w:szCs w:val="18"/>
    </w:rPr>
  </w:style>
  <w:style w:type="character" w:customStyle="1" w:styleId="1923">
    <w:name w:val="正文（首行缩进两字） Char"/>
    <w:qFormat/>
    <w:uiPriority w:val="0"/>
    <w:rPr>
      <w:rFonts w:eastAsia="宋体"/>
      <w:kern w:val="2"/>
      <w:sz w:val="28"/>
      <w:lang w:val="en-US" w:eastAsia="zh-CN" w:bidi="ar-SA"/>
    </w:rPr>
  </w:style>
  <w:style w:type="character" w:customStyle="1" w:styleId="1924">
    <w:name w:val="样式正文 Char"/>
    <w:qFormat/>
    <w:uiPriority w:val="0"/>
    <w:rPr>
      <w:rFonts w:eastAsia="宋体"/>
      <w:kern w:val="2"/>
      <w:sz w:val="28"/>
      <w:lang w:val="en-US" w:eastAsia="zh-CN" w:bidi="ar-SA"/>
    </w:rPr>
  </w:style>
  <w:style w:type="character" w:customStyle="1" w:styleId="1925">
    <w:name w:val="正文文本缩进 3 字符"/>
    <w:qFormat/>
    <w:uiPriority w:val="0"/>
    <w:rPr>
      <w:rFonts w:eastAsia="宋体"/>
      <w:kern w:val="2"/>
      <w:sz w:val="16"/>
      <w:szCs w:val="16"/>
      <w:lang w:val="en-US" w:eastAsia="zh-CN" w:bidi="ar-SA"/>
    </w:rPr>
  </w:style>
  <w:style w:type="character" w:customStyle="1" w:styleId="1926">
    <w:name w:val="正文缩进 字符1"/>
    <w:qFormat/>
    <w:uiPriority w:val="0"/>
    <w:rPr>
      <w:kern w:val="2"/>
      <w:sz w:val="21"/>
    </w:rPr>
  </w:style>
  <w:style w:type="character" w:customStyle="1" w:styleId="1927">
    <w:name w:val="文档结构图 字符"/>
    <w:qFormat/>
    <w:uiPriority w:val="0"/>
    <w:rPr>
      <w:rFonts w:eastAsia="宋体"/>
      <w:kern w:val="2"/>
      <w:sz w:val="21"/>
      <w:szCs w:val="24"/>
      <w:lang w:val="en-US" w:eastAsia="zh-CN" w:bidi="ar-SA"/>
    </w:rPr>
  </w:style>
  <w:style w:type="character" w:customStyle="1" w:styleId="1928">
    <w:name w:val="正5 Char"/>
    <w:link w:val="1929"/>
    <w:qFormat/>
    <w:uiPriority w:val="0"/>
    <w:rPr>
      <w:rFonts w:ascii="宋体"/>
      <w:color w:val="000000"/>
      <w:kern w:val="2"/>
      <w:sz w:val="24"/>
      <w:szCs w:val="24"/>
    </w:rPr>
  </w:style>
  <w:style w:type="paragraph" w:customStyle="1" w:styleId="1929">
    <w:name w:val="正5"/>
    <w:basedOn w:val="1"/>
    <w:link w:val="1928"/>
    <w:qFormat/>
    <w:uiPriority w:val="0"/>
    <w:pPr>
      <w:widowControl w:val="0"/>
      <w:spacing w:line="460" w:lineRule="exact"/>
      <w:ind w:firstLine="200" w:firstLineChars="200"/>
      <w:jc w:val="both"/>
    </w:pPr>
    <w:rPr>
      <w:rFonts w:hAnsi="Times New Roman" w:cs="Times New Roman"/>
      <w:color w:val="000000"/>
      <w:kern w:val="2"/>
    </w:rPr>
  </w:style>
  <w:style w:type="character" w:customStyle="1" w:styleId="1930">
    <w:name w:val="正文首行缩进 2 字符"/>
    <w:qFormat/>
    <w:uiPriority w:val="0"/>
    <w:rPr>
      <w:rFonts w:ascii="宋体" w:hAnsi="Arial"/>
      <w:snapToGrid/>
      <w:kern w:val="2"/>
      <w:sz w:val="28"/>
      <w:szCs w:val="24"/>
    </w:rPr>
  </w:style>
  <w:style w:type="character" w:customStyle="1" w:styleId="1931">
    <w:name w:val="emtidy-2"/>
    <w:qFormat/>
    <w:uiPriority w:val="0"/>
  </w:style>
  <w:style w:type="character" w:customStyle="1" w:styleId="1932">
    <w:name w:val="emtidy-4"/>
    <w:qFormat/>
    <w:uiPriority w:val="0"/>
  </w:style>
  <w:style w:type="character" w:customStyle="1" w:styleId="1933">
    <w:name w:val="emtidy-6"/>
    <w:qFormat/>
    <w:uiPriority w:val="0"/>
  </w:style>
  <w:style w:type="character" w:customStyle="1" w:styleId="1934">
    <w:name w:val="emtidy-8"/>
    <w:qFormat/>
    <w:uiPriority w:val="0"/>
  </w:style>
  <w:style w:type="character" w:customStyle="1" w:styleId="1935">
    <w:name w:val="正文（首行缩进两字）1 Char3"/>
    <w:qFormat/>
    <w:uiPriority w:val="0"/>
    <w:rPr>
      <w:rFonts w:eastAsia="宋体"/>
      <w:kern w:val="2"/>
      <w:sz w:val="21"/>
      <w:lang w:val="en-US" w:eastAsia="zh-CN" w:bidi="ar-SA"/>
    </w:rPr>
  </w:style>
  <w:style w:type="character" w:customStyle="1" w:styleId="1936">
    <w:name w:val="图标注 Char"/>
    <w:link w:val="1937"/>
    <w:qFormat/>
    <w:locked/>
    <w:uiPriority w:val="0"/>
    <w:rPr>
      <w:b/>
      <w:kern w:val="24"/>
      <w:sz w:val="24"/>
      <w:szCs w:val="22"/>
    </w:rPr>
  </w:style>
  <w:style w:type="paragraph" w:customStyle="1" w:styleId="1937">
    <w:name w:val="图标注"/>
    <w:basedOn w:val="1"/>
    <w:link w:val="1936"/>
    <w:qFormat/>
    <w:uiPriority w:val="0"/>
    <w:pPr>
      <w:widowControl w:val="0"/>
      <w:adjustRightInd w:val="0"/>
      <w:snapToGrid w:val="0"/>
      <w:spacing w:before="100" w:line="360" w:lineRule="auto"/>
      <w:jc w:val="center"/>
    </w:pPr>
    <w:rPr>
      <w:rFonts w:ascii="Times New Roman" w:hAnsi="Times New Roman" w:cs="Times New Roman"/>
      <w:b/>
      <w:kern w:val="24"/>
      <w:szCs w:val="22"/>
    </w:rPr>
  </w:style>
  <w:style w:type="character" w:customStyle="1" w:styleId="1938">
    <w:name w:val="Char Char72"/>
    <w:qFormat/>
    <w:uiPriority w:val="0"/>
    <w:rPr>
      <w:kern w:val="2"/>
      <w:sz w:val="18"/>
    </w:rPr>
  </w:style>
  <w:style w:type="character" w:customStyle="1" w:styleId="1939">
    <w:name w:val="无间隔 字符"/>
    <w:qFormat/>
    <w:uiPriority w:val="0"/>
    <w:rPr>
      <w:rFonts w:ascii="Calibri" w:hAnsi="Calibri"/>
      <w:sz w:val="22"/>
      <w:szCs w:val="22"/>
      <w:lang w:val="en-US" w:eastAsia="zh-CN" w:bidi="ar-SA"/>
    </w:rPr>
  </w:style>
  <w:style w:type="character" w:customStyle="1" w:styleId="1940">
    <w:name w:val="样式 楷体_GB2312 四号 加粗"/>
    <w:qFormat/>
    <w:uiPriority w:val="0"/>
    <w:rPr>
      <w:rFonts w:ascii="楷体_GB2312" w:hAnsi="楷体_GB2312" w:eastAsia="宋体"/>
      <w:b/>
      <w:bCs/>
      <w:sz w:val="28"/>
    </w:rPr>
  </w:style>
  <w:style w:type="character" w:customStyle="1" w:styleId="1941">
    <w:name w:val="Char Char153"/>
    <w:qFormat/>
    <w:uiPriority w:val="0"/>
    <w:rPr>
      <w:rFonts w:ascii="宋体" w:hAnsi="宋体" w:eastAsia="宋体" w:cs="宋体"/>
      <w:sz w:val="18"/>
      <w:lang w:val="en-US" w:eastAsia="zh-CN" w:bidi="ar-SA"/>
    </w:rPr>
  </w:style>
  <w:style w:type="character" w:customStyle="1" w:styleId="1942">
    <w:name w:val="样式12 Char"/>
    <w:link w:val="1943"/>
    <w:qFormat/>
    <w:uiPriority w:val="0"/>
    <w:rPr>
      <w:rFonts w:eastAsia="方正楷体简体"/>
      <w:kern w:val="2"/>
      <w:sz w:val="28"/>
      <w:szCs w:val="28"/>
    </w:rPr>
  </w:style>
  <w:style w:type="paragraph" w:customStyle="1" w:styleId="1943">
    <w:name w:val="样式12"/>
    <w:basedOn w:val="1"/>
    <w:link w:val="1942"/>
    <w:qFormat/>
    <w:uiPriority w:val="0"/>
    <w:pPr>
      <w:topLinePunct/>
      <w:spacing w:line="460" w:lineRule="exact"/>
      <w:ind w:firstLine="561"/>
    </w:pPr>
    <w:rPr>
      <w:rFonts w:ascii="Times New Roman" w:hAnsi="Times New Roman" w:eastAsia="方正楷体简体" w:cs="Times New Roman"/>
      <w:kern w:val="2"/>
      <w:sz w:val="28"/>
      <w:szCs w:val="28"/>
    </w:rPr>
  </w:style>
  <w:style w:type="character" w:customStyle="1" w:styleId="1944">
    <w:name w:val="标题 8 Char Char"/>
    <w:qFormat/>
    <w:uiPriority w:val="0"/>
    <w:rPr>
      <w:rFonts w:ascii="Cambria" w:hAnsi="Cambria" w:eastAsia="宋体" w:cs="Times New Roman"/>
      <w:kern w:val="2"/>
      <w:sz w:val="24"/>
      <w:szCs w:val="24"/>
    </w:rPr>
  </w:style>
  <w:style w:type="character" w:customStyle="1" w:styleId="1945">
    <w:name w:val="材料正文 Char Char"/>
    <w:qFormat/>
    <w:uiPriority w:val="0"/>
    <w:rPr>
      <w:rFonts w:eastAsia="方正仿宋简体"/>
      <w:kern w:val="2"/>
      <w:sz w:val="24"/>
    </w:rPr>
  </w:style>
  <w:style w:type="character" w:customStyle="1" w:styleId="1946">
    <w:name w:val="样式正文 Char Char Char"/>
    <w:qFormat/>
    <w:uiPriority w:val="0"/>
    <w:rPr>
      <w:kern w:val="2"/>
      <w:sz w:val="28"/>
    </w:rPr>
  </w:style>
  <w:style w:type="character" w:customStyle="1" w:styleId="1947">
    <w:name w:val="正文文本 3 字符2"/>
    <w:qFormat/>
    <w:uiPriority w:val="0"/>
    <w:rPr>
      <w:kern w:val="2"/>
      <w:sz w:val="16"/>
      <w:szCs w:val="16"/>
    </w:rPr>
  </w:style>
  <w:style w:type="character" w:customStyle="1" w:styleId="1948">
    <w:name w:val="正文文字缩进2字符 Char Char Char"/>
    <w:qFormat/>
    <w:uiPriority w:val="0"/>
    <w:rPr>
      <w:rFonts w:ascii="宋体" w:eastAsia="宋体"/>
      <w:spacing w:val="6"/>
      <w:kern w:val="2"/>
      <w:sz w:val="28"/>
      <w:lang w:val="en-US" w:eastAsia="zh-CN" w:bidi="ar-SA"/>
    </w:rPr>
  </w:style>
  <w:style w:type="character" w:customStyle="1" w:styleId="1949">
    <w:name w:val="批注主题 Char Char"/>
    <w:link w:val="1950"/>
    <w:qFormat/>
    <w:uiPriority w:val="0"/>
    <w:rPr>
      <w:rFonts w:ascii="Calibri" w:hAnsi="Calibri"/>
      <w:b/>
      <w:bCs/>
      <w:sz w:val="24"/>
    </w:rPr>
  </w:style>
  <w:style w:type="paragraph" w:customStyle="1" w:styleId="1950">
    <w:name w:val="批注主题11"/>
    <w:basedOn w:val="27"/>
    <w:next w:val="27"/>
    <w:link w:val="1949"/>
    <w:qFormat/>
    <w:uiPriority w:val="0"/>
    <w:pPr>
      <w:widowControl w:val="0"/>
    </w:pPr>
    <w:rPr>
      <w:b/>
      <w:bCs/>
      <w:szCs w:val="20"/>
    </w:rPr>
  </w:style>
  <w:style w:type="character" w:customStyle="1" w:styleId="1951">
    <w:name w:val="标题 字符2"/>
    <w:qFormat/>
    <w:uiPriority w:val="0"/>
    <w:rPr>
      <w:rFonts w:hint="eastAsia" w:ascii="宋体" w:hAnsi="Courier New" w:eastAsia="宋体"/>
      <w:kern w:val="2"/>
      <w:sz w:val="21"/>
    </w:rPr>
  </w:style>
  <w:style w:type="character" w:customStyle="1" w:styleId="1952">
    <w:name w:val="正文文字缩进 3 Char Char"/>
    <w:qFormat/>
    <w:uiPriority w:val="0"/>
    <w:rPr>
      <w:rFonts w:ascii="宋体" w:hAnsi="宋体" w:cs="宋体"/>
      <w:sz w:val="16"/>
      <w:szCs w:val="16"/>
    </w:rPr>
  </w:style>
  <w:style w:type="character" w:customStyle="1" w:styleId="1953">
    <w:name w:val="标题 6 Char Char"/>
    <w:qFormat/>
    <w:uiPriority w:val="0"/>
    <w:rPr>
      <w:rFonts w:ascii="Cambria" w:hAnsi="Cambria" w:eastAsia="宋体" w:cs="Times New Roman"/>
      <w:b/>
      <w:bCs/>
      <w:kern w:val="2"/>
      <w:sz w:val="24"/>
      <w:szCs w:val="24"/>
    </w:rPr>
  </w:style>
  <w:style w:type="character" w:customStyle="1" w:styleId="1954">
    <w:name w:val="font61"/>
    <w:qFormat/>
    <w:uiPriority w:val="0"/>
    <w:rPr>
      <w:rFonts w:hint="eastAsia" w:ascii="宋体" w:hAnsi="宋体" w:eastAsia="宋体"/>
      <w:color w:val="000000"/>
      <w:sz w:val="21"/>
      <w:szCs w:val="21"/>
      <w:u w:val="none"/>
    </w:rPr>
  </w:style>
  <w:style w:type="character" w:customStyle="1" w:styleId="1955">
    <w:name w:val="日期 字符2"/>
    <w:qFormat/>
    <w:uiPriority w:val="0"/>
    <w:rPr>
      <w:rFonts w:ascii="宋体"/>
      <w:kern w:val="2"/>
      <w:sz w:val="21"/>
    </w:rPr>
  </w:style>
  <w:style w:type="character" w:customStyle="1" w:styleId="1956">
    <w:name w:val="脚注文本 字符2"/>
    <w:qFormat/>
    <w:uiPriority w:val="0"/>
    <w:rPr>
      <w:kern w:val="2"/>
      <w:sz w:val="18"/>
      <w:szCs w:val="18"/>
    </w:rPr>
  </w:style>
  <w:style w:type="character" w:customStyle="1" w:styleId="1957">
    <w:name w:val="标题 2 字符2"/>
    <w:qFormat/>
    <w:uiPriority w:val="0"/>
    <w:rPr>
      <w:rFonts w:ascii="Arial" w:hAnsi="Arial" w:eastAsia="黑体"/>
      <w:b/>
      <w:bCs/>
      <w:kern w:val="2"/>
      <w:sz w:val="32"/>
      <w:szCs w:val="32"/>
    </w:rPr>
  </w:style>
  <w:style w:type="character" w:customStyle="1" w:styleId="1958">
    <w:name w:val="报告名称"/>
    <w:qFormat/>
    <w:uiPriority w:val="0"/>
    <w:rPr>
      <w:rFonts w:eastAsia="黑体"/>
      <w:kern w:val="2"/>
      <w:sz w:val="52"/>
    </w:rPr>
  </w:style>
  <w:style w:type="character" w:customStyle="1" w:styleId="1959">
    <w:name w:val="标题 3 字符3"/>
    <w:qFormat/>
    <w:uiPriority w:val="0"/>
    <w:rPr>
      <w:b/>
      <w:bCs/>
      <w:kern w:val="2"/>
      <w:sz w:val="32"/>
      <w:szCs w:val="32"/>
    </w:rPr>
  </w:style>
  <w:style w:type="character" w:customStyle="1" w:styleId="1960">
    <w:name w:val="标题标题 Char Char"/>
    <w:qFormat/>
    <w:uiPriority w:val="0"/>
    <w:rPr>
      <w:rFonts w:eastAsia="黑体"/>
      <w:color w:val="000000"/>
      <w:kern w:val="11"/>
      <w:sz w:val="21"/>
      <w:lang w:val="en-US" w:eastAsia="zh-CN" w:bidi="ar-SA"/>
    </w:rPr>
  </w:style>
  <w:style w:type="character" w:customStyle="1" w:styleId="1961">
    <w:name w:val="标题 8 字符2"/>
    <w:qFormat/>
    <w:uiPriority w:val="0"/>
    <w:rPr>
      <w:rFonts w:ascii="Arial" w:hAnsi="Arial" w:eastAsia="黑体"/>
      <w:kern w:val="2"/>
      <w:sz w:val="24"/>
      <w:szCs w:val="24"/>
    </w:rPr>
  </w:style>
  <w:style w:type="character" w:customStyle="1" w:styleId="1962">
    <w:name w:val="样式9 Char Char"/>
    <w:qFormat/>
    <w:uiPriority w:val="0"/>
    <w:rPr>
      <w:rFonts w:eastAsia="方正黑体简体"/>
      <w:color w:val="000000"/>
      <w:sz w:val="24"/>
      <w:szCs w:val="24"/>
    </w:rPr>
  </w:style>
  <w:style w:type="character" w:customStyle="1" w:styleId="1963">
    <w:name w:val="Char Char61"/>
    <w:qFormat/>
    <w:uiPriority w:val="0"/>
    <w:rPr>
      <w:rFonts w:ascii="宋体" w:hAnsi="宋体" w:eastAsia="宋体"/>
      <w:kern w:val="2"/>
      <w:sz w:val="18"/>
      <w:szCs w:val="18"/>
      <w:lang w:val="en-US" w:eastAsia="zh-CN" w:bidi="ar-SA"/>
    </w:rPr>
  </w:style>
  <w:style w:type="character" w:customStyle="1" w:styleId="1964">
    <w:name w:val="电子邮件签名 字符2"/>
    <w:qFormat/>
    <w:uiPriority w:val="0"/>
    <w:rPr>
      <w:sz w:val="24"/>
      <w:szCs w:val="28"/>
    </w:rPr>
  </w:style>
  <w:style w:type="character" w:customStyle="1" w:styleId="1965">
    <w:name w:val="韩要点1 Char Char"/>
    <w:qFormat/>
    <w:uiPriority w:val="0"/>
    <w:rPr>
      <w:sz w:val="28"/>
    </w:rPr>
  </w:style>
  <w:style w:type="character" w:customStyle="1" w:styleId="1966">
    <w:name w:val="电子邮件签名 Char Char"/>
    <w:qFormat/>
    <w:uiPriority w:val="0"/>
    <w:rPr>
      <w:kern w:val="2"/>
      <w:sz w:val="24"/>
    </w:rPr>
  </w:style>
  <w:style w:type="character" w:customStyle="1" w:styleId="1967">
    <w:name w:val="样式13 Char"/>
    <w:link w:val="1968"/>
    <w:qFormat/>
    <w:uiPriority w:val="0"/>
    <w:rPr>
      <w:rFonts w:ascii="黑体" w:eastAsia="黑体"/>
      <w:sz w:val="28"/>
    </w:rPr>
  </w:style>
  <w:style w:type="paragraph" w:customStyle="1" w:styleId="1968">
    <w:name w:val="样式13"/>
    <w:basedOn w:val="465"/>
    <w:link w:val="1967"/>
    <w:qFormat/>
    <w:uiPriority w:val="0"/>
    <w:pPr>
      <w:snapToGrid/>
      <w:spacing w:before="240" w:line="460" w:lineRule="exact"/>
      <w:ind w:firstLine="0"/>
    </w:pPr>
    <w:rPr>
      <w:rFonts w:ascii="黑体" w:eastAsia="黑体"/>
      <w:sz w:val="28"/>
    </w:rPr>
  </w:style>
  <w:style w:type="character" w:customStyle="1" w:styleId="1969">
    <w:name w:val="标题 1 字符3"/>
    <w:qFormat/>
    <w:uiPriority w:val="0"/>
    <w:rPr>
      <w:b/>
      <w:bCs/>
      <w:kern w:val="44"/>
      <w:sz w:val="44"/>
      <w:szCs w:val="44"/>
    </w:rPr>
  </w:style>
  <w:style w:type="character" w:customStyle="1" w:styleId="1970">
    <w:name w:val="样式14 Char"/>
    <w:link w:val="1971"/>
    <w:qFormat/>
    <w:uiPriority w:val="0"/>
    <w:rPr>
      <w:rFonts w:ascii="方正黑体简体" w:eastAsia="方正黑体简体"/>
      <w:sz w:val="24"/>
      <w:szCs w:val="21"/>
    </w:rPr>
  </w:style>
  <w:style w:type="paragraph" w:customStyle="1" w:styleId="1971">
    <w:name w:val="样式14"/>
    <w:basedOn w:val="1"/>
    <w:link w:val="1970"/>
    <w:qFormat/>
    <w:uiPriority w:val="0"/>
    <w:pPr>
      <w:widowControl w:val="0"/>
      <w:topLinePunct/>
      <w:snapToGrid w:val="0"/>
      <w:spacing w:beforeLines="100" w:line="480" w:lineRule="exact"/>
      <w:jc w:val="center"/>
    </w:pPr>
    <w:rPr>
      <w:rFonts w:ascii="方正黑体简体" w:hAnsi="Times New Roman" w:eastAsia="方正黑体简体" w:cs="Times New Roman"/>
      <w:szCs w:val="21"/>
    </w:rPr>
  </w:style>
  <w:style w:type="character" w:customStyle="1" w:styleId="1972">
    <w:name w:val="正文首行缩进2字符 Char Char"/>
    <w:qFormat/>
    <w:uiPriority w:val="0"/>
    <w:rPr>
      <w:rFonts w:ascii="仿宋_GB2312" w:eastAsia="仿宋_GB2312"/>
      <w:kern w:val="2"/>
      <w:sz w:val="28"/>
      <w:szCs w:val="24"/>
    </w:rPr>
  </w:style>
  <w:style w:type="character" w:customStyle="1" w:styleId="1973">
    <w:name w:val="纯文本 字符3"/>
    <w:qFormat/>
    <w:uiPriority w:val="0"/>
    <w:rPr>
      <w:rFonts w:ascii="宋体" w:hAnsi="Courier New" w:eastAsia="宋体"/>
      <w:kern w:val="2"/>
      <w:sz w:val="24"/>
      <w:lang w:val="en-US" w:eastAsia="zh-CN" w:bidi="ar-SA"/>
    </w:rPr>
  </w:style>
  <w:style w:type="character" w:customStyle="1" w:styleId="1974">
    <w:name w:val="图表标题 Char Char Char1"/>
    <w:qFormat/>
    <w:uiPriority w:val="0"/>
    <w:rPr>
      <w:rFonts w:ascii="黑体" w:eastAsia="黑体"/>
      <w:kern w:val="2"/>
      <w:sz w:val="24"/>
      <w:szCs w:val="24"/>
      <w:lang w:val="en-US" w:eastAsia="zh-CN" w:bidi="ar-SA"/>
    </w:rPr>
  </w:style>
  <w:style w:type="character" w:customStyle="1" w:styleId="1975">
    <w:name w:val="正文首行缩进 字符2"/>
    <w:qFormat/>
    <w:uiPriority w:val="0"/>
    <w:rPr>
      <w:b/>
      <w:kern w:val="2"/>
      <w:sz w:val="24"/>
    </w:rPr>
  </w:style>
  <w:style w:type="character" w:customStyle="1" w:styleId="1976">
    <w:name w:val="图表标题 Char Char Char Char Char Char Char"/>
    <w:qFormat/>
    <w:uiPriority w:val="0"/>
    <w:rPr>
      <w:rFonts w:ascii="黑体" w:eastAsia="黑体"/>
      <w:kern w:val="2"/>
      <w:sz w:val="24"/>
      <w:szCs w:val="24"/>
      <w:lang w:val="en-US" w:eastAsia="zh-CN" w:bidi="ar-SA"/>
    </w:rPr>
  </w:style>
  <w:style w:type="character" w:customStyle="1" w:styleId="1977">
    <w:name w:val="Char Char101"/>
    <w:qFormat/>
    <w:uiPriority w:val="0"/>
    <w:rPr>
      <w:rFonts w:ascii="Cambria" w:hAnsi="Cambria" w:eastAsia="宋体"/>
      <w:b/>
      <w:bCs/>
      <w:kern w:val="2"/>
      <w:sz w:val="30"/>
      <w:szCs w:val="32"/>
      <w:lang w:val="en-US" w:eastAsia="zh-CN" w:bidi="ar-SA"/>
    </w:rPr>
  </w:style>
  <w:style w:type="character" w:customStyle="1" w:styleId="1978">
    <w:name w:val="表头 + 居中 Char Char Char"/>
    <w:qFormat/>
    <w:uiPriority w:val="0"/>
    <w:rPr>
      <w:rFonts w:ascii="Arial" w:hAnsi="Arial" w:eastAsia="黑体"/>
      <w:kern w:val="2"/>
      <w:sz w:val="21"/>
      <w:szCs w:val="21"/>
      <w:lang w:val="en-US" w:eastAsia="zh-CN" w:bidi="ar-SA"/>
    </w:rPr>
  </w:style>
  <w:style w:type="character" w:customStyle="1" w:styleId="1979">
    <w:name w:val="样式 标题 2 Char + Times New Roman Char"/>
    <w:link w:val="1980"/>
    <w:qFormat/>
    <w:uiPriority w:val="0"/>
    <w:rPr>
      <w:rFonts w:eastAsia="黑体"/>
      <w:kern w:val="2"/>
      <w:sz w:val="28"/>
    </w:rPr>
  </w:style>
  <w:style w:type="paragraph" w:customStyle="1" w:styleId="1980">
    <w:name w:val="样式 标题 2 Char + Times New Roman"/>
    <w:basedOn w:val="5"/>
    <w:link w:val="1979"/>
    <w:qFormat/>
    <w:uiPriority w:val="0"/>
    <w:pPr>
      <w:widowControl w:val="0"/>
      <w:spacing w:beforeLines="50" w:afterLines="50" w:line="480" w:lineRule="exact"/>
      <w:jc w:val="both"/>
    </w:pPr>
    <w:rPr>
      <w:rFonts w:ascii="Times New Roman" w:hAnsi="Times New Roman"/>
      <w:bCs w:val="0"/>
      <w:kern w:val="2"/>
      <w:szCs w:val="20"/>
    </w:rPr>
  </w:style>
  <w:style w:type="character" w:customStyle="1" w:styleId="1981">
    <w:name w:val="表格sms Char Char Char"/>
    <w:qFormat/>
    <w:uiPriority w:val="0"/>
    <w:rPr>
      <w:snapToGrid/>
      <w:w w:val="99"/>
      <w:sz w:val="21"/>
      <w:szCs w:val="21"/>
      <w:lang w:val="en-US" w:eastAsia="zh-CN" w:bidi="ar-SA"/>
    </w:rPr>
  </w:style>
  <w:style w:type="character" w:customStyle="1" w:styleId="1982">
    <w:name w:val="页脚 字符2"/>
    <w:qFormat/>
    <w:uiPriority w:val="0"/>
    <w:rPr>
      <w:kern w:val="2"/>
      <w:sz w:val="18"/>
    </w:rPr>
  </w:style>
  <w:style w:type="character" w:customStyle="1" w:styleId="1983">
    <w:name w:val="样式 宋体 四号 行距: 1.5 倍行距 Char Char Char Char"/>
    <w:qFormat/>
    <w:uiPriority w:val="0"/>
    <w:rPr>
      <w:rFonts w:ascii="宋体" w:hAnsi="宋体" w:cs="宋体"/>
      <w:kern w:val="2"/>
      <w:sz w:val="28"/>
      <w:szCs w:val="28"/>
    </w:rPr>
  </w:style>
  <w:style w:type="character" w:customStyle="1" w:styleId="1984">
    <w:name w:val="标题 9 字符2"/>
    <w:qFormat/>
    <w:uiPriority w:val="0"/>
    <w:rPr>
      <w:rFonts w:ascii="Arial" w:hAnsi="Arial" w:eastAsia="黑体"/>
      <w:kern w:val="2"/>
      <w:sz w:val="21"/>
      <w:szCs w:val="21"/>
    </w:rPr>
  </w:style>
  <w:style w:type="character" w:customStyle="1" w:styleId="1985">
    <w:name w:val="正文首行缩进2字符 Char"/>
    <w:qFormat/>
    <w:uiPriority w:val="0"/>
    <w:rPr>
      <w:rFonts w:ascii="仿宋_GB2312" w:eastAsia="仿宋_GB2312"/>
      <w:kern w:val="2"/>
      <w:sz w:val="28"/>
      <w:szCs w:val="24"/>
      <w:lang w:bidi="ar-SA"/>
    </w:rPr>
  </w:style>
  <w:style w:type="character" w:customStyle="1" w:styleId="1986">
    <w:name w:val="标题 4 字符2"/>
    <w:qFormat/>
    <w:uiPriority w:val="0"/>
    <w:rPr>
      <w:rFonts w:ascii="Arial" w:hAnsi="Arial" w:eastAsia="黑体"/>
      <w:b/>
      <w:bCs/>
      <w:kern w:val="2"/>
      <w:sz w:val="28"/>
      <w:szCs w:val="28"/>
    </w:rPr>
  </w:style>
  <w:style w:type="character" w:customStyle="1" w:styleId="1987">
    <w:name w:val="样式 标题 1一级标题(章)标题 1 Char封面标题封皮 + (中文) 仿宋_GB2312 四号 左 左侧:  ... Char"/>
    <w:link w:val="1988"/>
    <w:qFormat/>
    <w:uiPriority w:val="0"/>
    <w:rPr>
      <w:rFonts w:eastAsia="黑体"/>
      <w:bCs/>
      <w:snapToGrid w:val="0"/>
      <w:kern w:val="44"/>
      <w:sz w:val="32"/>
      <w:szCs w:val="32"/>
    </w:rPr>
  </w:style>
  <w:style w:type="paragraph" w:customStyle="1" w:styleId="1988">
    <w:name w:val="样式 标题 1一级标题(章)标题 1 Char封面标题封皮 + (中文) 仿宋_GB2312 四号 左 左侧:  ..."/>
    <w:basedOn w:val="4"/>
    <w:link w:val="1987"/>
    <w:qFormat/>
    <w:uiPriority w:val="0"/>
    <w:pPr>
      <w:keepNext/>
      <w:keepLines/>
      <w:widowControl w:val="0"/>
      <w:tabs>
        <w:tab w:val="left" w:pos="720"/>
      </w:tabs>
      <w:adjustRightInd w:val="0"/>
      <w:snapToGrid w:val="0"/>
      <w:spacing w:before="240" w:after="240" w:line="460" w:lineRule="exact"/>
      <w:jc w:val="center"/>
    </w:pPr>
    <w:rPr>
      <w:rFonts w:ascii="Times New Roman" w:hAnsi="Times New Roman"/>
      <w:bCs/>
      <w:snapToGrid w:val="0"/>
      <w:kern w:val="44"/>
      <w:szCs w:val="32"/>
    </w:rPr>
  </w:style>
  <w:style w:type="character" w:customStyle="1" w:styleId="1989">
    <w:name w:val="无间隔 Char Char"/>
    <w:link w:val="1990"/>
    <w:qFormat/>
    <w:uiPriority w:val="0"/>
    <w:rPr>
      <w:rFonts w:ascii="Calibri" w:hAnsi="Calibri" w:eastAsia="Times New Roman"/>
      <w:sz w:val="22"/>
      <w:szCs w:val="22"/>
    </w:rPr>
  </w:style>
  <w:style w:type="paragraph" w:customStyle="1" w:styleId="1990">
    <w:name w:val="无间隔2"/>
    <w:link w:val="1989"/>
    <w:qFormat/>
    <w:uiPriority w:val="0"/>
    <w:rPr>
      <w:rFonts w:ascii="Calibri" w:hAnsi="Calibri" w:eastAsia="Times New Roman" w:cs="Times New Roman"/>
      <w:sz w:val="22"/>
      <w:szCs w:val="22"/>
      <w:lang w:val="en-US" w:eastAsia="zh-CN" w:bidi="ar-SA"/>
    </w:rPr>
  </w:style>
  <w:style w:type="character" w:customStyle="1" w:styleId="1991">
    <w:name w:val="标题3T Char"/>
    <w:link w:val="1992"/>
    <w:qFormat/>
    <w:uiPriority w:val="0"/>
    <w:rPr>
      <w:snapToGrid w:val="0"/>
      <w:color w:val="000000"/>
      <w:sz w:val="24"/>
      <w:szCs w:val="24"/>
    </w:rPr>
  </w:style>
  <w:style w:type="paragraph" w:customStyle="1" w:styleId="1992">
    <w:name w:val="标题3T"/>
    <w:basedOn w:val="1"/>
    <w:next w:val="7"/>
    <w:link w:val="1991"/>
    <w:qFormat/>
    <w:uiPriority w:val="0"/>
    <w:pPr>
      <w:widowControl w:val="0"/>
      <w:adjustRightInd w:val="0"/>
      <w:spacing w:line="440" w:lineRule="exact"/>
      <w:jc w:val="center"/>
      <w:textAlignment w:val="baseline"/>
    </w:pPr>
    <w:rPr>
      <w:rFonts w:ascii="Times New Roman" w:hAnsi="Times New Roman" w:cs="Times New Roman"/>
      <w:snapToGrid w:val="0"/>
      <w:color w:val="000000"/>
    </w:rPr>
  </w:style>
  <w:style w:type="character" w:customStyle="1" w:styleId="1993">
    <w:name w:val="正文首行缩进-修改 Char Char Char"/>
    <w:qFormat/>
    <w:uiPriority w:val="0"/>
    <w:rPr>
      <w:rFonts w:ascii="宋体" w:hAnsi="宋体" w:eastAsia="宋体"/>
      <w:kern w:val="2"/>
      <w:sz w:val="24"/>
      <w:szCs w:val="24"/>
      <w:lang w:val="en-US" w:eastAsia="zh-CN" w:bidi="ar-SA"/>
    </w:rPr>
  </w:style>
  <w:style w:type="character" w:customStyle="1" w:styleId="1994">
    <w:name w:val="正文 + 四号 Char"/>
    <w:qFormat/>
    <w:uiPriority w:val="0"/>
    <w:rPr>
      <w:rFonts w:eastAsia="宋体"/>
      <w:kern w:val="2"/>
      <w:sz w:val="28"/>
      <w:szCs w:val="28"/>
      <w:lang w:val="en-US" w:eastAsia="zh-CN" w:bidi="ar-SA"/>
    </w:rPr>
  </w:style>
  <w:style w:type="character" w:customStyle="1" w:styleId="1995">
    <w:name w:val="标题 5 字符2"/>
    <w:qFormat/>
    <w:uiPriority w:val="0"/>
    <w:rPr>
      <w:b/>
      <w:bCs/>
      <w:kern w:val="2"/>
      <w:sz w:val="28"/>
      <w:szCs w:val="28"/>
    </w:rPr>
  </w:style>
  <w:style w:type="character" w:customStyle="1" w:styleId="1996">
    <w:name w:val="样式 标题 1一级标题(章)标题 1 Char封面标题封皮 + (中文) 仿宋_GB2312 四号 左 左侧:  ... Char Char"/>
    <w:qFormat/>
    <w:uiPriority w:val="0"/>
    <w:rPr>
      <w:rFonts w:eastAsia="黑体" w:cs="宋体"/>
      <w:bCs/>
      <w:snapToGrid w:val="0"/>
      <w:kern w:val="44"/>
      <w:sz w:val="32"/>
      <w:szCs w:val="32"/>
      <w:lang w:val="en-US" w:eastAsia="zh-CN" w:bidi="ar-SA"/>
    </w:rPr>
  </w:style>
  <w:style w:type="character" w:customStyle="1" w:styleId="1997">
    <w:name w:val="正文首行缩进 2 Char Char Char"/>
    <w:qFormat/>
    <w:uiPriority w:val="0"/>
  </w:style>
  <w:style w:type="character" w:customStyle="1" w:styleId="1998">
    <w:name w:val="表格头 Char"/>
    <w:link w:val="1999"/>
    <w:qFormat/>
    <w:uiPriority w:val="0"/>
    <w:rPr>
      <w:rFonts w:ascii="Arial" w:hAnsi="Arial" w:eastAsia="黑体"/>
      <w:snapToGrid w:val="0"/>
      <w:color w:val="000000"/>
      <w:sz w:val="21"/>
      <w:szCs w:val="24"/>
    </w:rPr>
  </w:style>
  <w:style w:type="paragraph" w:customStyle="1" w:styleId="1999">
    <w:name w:val="表格头"/>
    <w:basedOn w:val="1"/>
    <w:link w:val="1998"/>
    <w:qFormat/>
    <w:uiPriority w:val="0"/>
    <w:pPr>
      <w:keepNext/>
      <w:keepLines/>
      <w:widowControl w:val="0"/>
      <w:adjustRightInd w:val="0"/>
      <w:snapToGrid w:val="0"/>
      <w:spacing w:beforeLines="50" w:line="400" w:lineRule="exact"/>
      <w:jc w:val="center"/>
    </w:pPr>
    <w:rPr>
      <w:rFonts w:ascii="Arial" w:hAnsi="Arial" w:eastAsia="黑体" w:cs="Times New Roman"/>
      <w:snapToGrid w:val="0"/>
      <w:color w:val="000000"/>
      <w:sz w:val="21"/>
    </w:rPr>
  </w:style>
  <w:style w:type="character" w:customStyle="1" w:styleId="2000">
    <w:name w:val="表内5号正文 字符"/>
    <w:link w:val="2001"/>
    <w:qFormat/>
    <w:uiPriority w:val="0"/>
    <w:rPr>
      <w:color w:val="FF0000"/>
      <w:sz w:val="21"/>
      <w:szCs w:val="21"/>
    </w:rPr>
  </w:style>
  <w:style w:type="paragraph" w:customStyle="1" w:styleId="2001">
    <w:name w:val="表内5号正文"/>
    <w:basedOn w:val="1"/>
    <w:link w:val="2000"/>
    <w:qFormat/>
    <w:uiPriority w:val="0"/>
    <w:pPr>
      <w:widowControl w:val="0"/>
      <w:spacing w:line="240" w:lineRule="exact"/>
    </w:pPr>
    <w:rPr>
      <w:rFonts w:ascii="Times New Roman" w:hAnsi="Times New Roman" w:cs="Times New Roman"/>
      <w:color w:val="FF0000"/>
      <w:sz w:val="21"/>
      <w:szCs w:val="21"/>
    </w:rPr>
  </w:style>
  <w:style w:type="character" w:customStyle="1" w:styleId="2002">
    <w:name w:val="正文 首行缩进:  2 字符 Char"/>
    <w:link w:val="2003"/>
    <w:qFormat/>
    <w:uiPriority w:val="0"/>
    <w:rPr>
      <w:kern w:val="2"/>
      <w:sz w:val="24"/>
    </w:rPr>
  </w:style>
  <w:style w:type="paragraph" w:customStyle="1" w:styleId="2003">
    <w:name w:val="正文 首行缩进:  2 字符"/>
    <w:basedOn w:val="1"/>
    <w:link w:val="2002"/>
    <w:qFormat/>
    <w:uiPriority w:val="0"/>
    <w:pPr>
      <w:widowControl w:val="0"/>
      <w:spacing w:line="312" w:lineRule="auto"/>
      <w:ind w:firstLine="200" w:firstLineChars="200"/>
      <w:jc w:val="both"/>
    </w:pPr>
    <w:rPr>
      <w:rFonts w:ascii="Times New Roman" w:hAnsi="Times New Roman" w:cs="Times New Roman"/>
      <w:kern w:val="2"/>
      <w:szCs w:val="20"/>
    </w:rPr>
  </w:style>
  <w:style w:type="character" w:customStyle="1" w:styleId="2004">
    <w:name w:val="datatitle1"/>
    <w:qFormat/>
    <w:uiPriority w:val="0"/>
    <w:rPr>
      <w:b/>
      <w:bCs/>
      <w:color w:val="10619F"/>
      <w:sz w:val="21"/>
      <w:szCs w:val="21"/>
    </w:rPr>
  </w:style>
  <w:style w:type="character" w:customStyle="1" w:styleId="2005">
    <w:name w:val="fontstyle31"/>
    <w:qFormat/>
    <w:uiPriority w:val="0"/>
    <w:rPr>
      <w:rFonts w:hint="default" w:ascii="TimesNewRomanPSMT" w:hAnsi="TimesNewRomanPSMT"/>
      <w:color w:val="000000"/>
      <w:sz w:val="22"/>
      <w:szCs w:val="22"/>
    </w:rPr>
  </w:style>
  <w:style w:type="character" w:customStyle="1" w:styleId="2006">
    <w:name w:val="font5 Char"/>
    <w:qFormat/>
    <w:uiPriority w:val="0"/>
    <w:rPr>
      <w:rFonts w:ascii="宋体" w:hAnsi="宋体" w:eastAsia="宋体"/>
      <w:sz w:val="18"/>
      <w:szCs w:val="18"/>
      <w:lang w:val="en-US" w:eastAsia="zh-CN" w:bidi="ar-SA"/>
    </w:rPr>
  </w:style>
  <w:style w:type="character" w:customStyle="1" w:styleId="2007">
    <w:name w:val="样式 标题 2 + 四号 Char Char"/>
    <w:qFormat/>
    <w:uiPriority w:val="0"/>
    <w:rPr>
      <w:rFonts w:eastAsia="黑体"/>
      <w:snapToGrid w:val="0"/>
      <w:sz w:val="28"/>
      <w:szCs w:val="32"/>
    </w:rPr>
  </w:style>
  <w:style w:type="character" w:customStyle="1" w:styleId="2008">
    <w:name w:val="批注文字 字符1"/>
    <w:qFormat/>
    <w:uiPriority w:val="0"/>
    <w:rPr>
      <w:kern w:val="2"/>
      <w:sz w:val="21"/>
      <w:szCs w:val="24"/>
    </w:rPr>
  </w:style>
  <w:style w:type="character" w:customStyle="1" w:styleId="2009">
    <w:name w:val="韩要点1 Char"/>
    <w:link w:val="2010"/>
    <w:qFormat/>
    <w:uiPriority w:val="0"/>
    <w:rPr>
      <w:sz w:val="28"/>
    </w:rPr>
  </w:style>
  <w:style w:type="paragraph" w:customStyle="1" w:styleId="2010">
    <w:name w:val="韩要点1"/>
    <w:basedOn w:val="20"/>
    <w:link w:val="2009"/>
    <w:qFormat/>
    <w:uiPriority w:val="0"/>
    <w:pPr>
      <w:topLinePunct w:val="0"/>
      <w:spacing w:line="240" w:lineRule="auto"/>
      <w:ind w:left="560" w:firstLine="0" w:firstLineChars="0"/>
      <w:jc w:val="both"/>
    </w:pPr>
    <w:rPr>
      <w:rFonts w:ascii="Times New Roman" w:eastAsia="宋体"/>
    </w:rPr>
  </w:style>
  <w:style w:type="character" w:customStyle="1" w:styleId="2011">
    <w:name w:val="标题2T Char"/>
    <w:qFormat/>
    <w:uiPriority w:val="0"/>
    <w:rPr>
      <w:rFonts w:ascii="宋体" w:hAnsi="宋体"/>
      <w:kern w:val="2"/>
      <w:sz w:val="21"/>
      <w:szCs w:val="21"/>
      <w:lang w:bidi="ar-SA"/>
    </w:rPr>
  </w:style>
  <w:style w:type="character" w:customStyle="1" w:styleId="2012">
    <w:name w:val="图表说明 Char Char"/>
    <w:qFormat/>
    <w:locked/>
    <w:uiPriority w:val="0"/>
    <w:rPr>
      <w:rFonts w:ascii="宋体" w:hAnsi="Courier New" w:eastAsia="宋体"/>
      <w:kern w:val="2"/>
      <w:sz w:val="21"/>
      <w:lang w:val="en-US" w:eastAsia="zh-CN" w:bidi="ar-SA"/>
    </w:rPr>
  </w:style>
  <w:style w:type="character" w:customStyle="1" w:styleId="2013">
    <w:name w:val="普通文字 Char3"/>
    <w:qFormat/>
    <w:locked/>
    <w:uiPriority w:val="0"/>
    <w:rPr>
      <w:rFonts w:ascii="宋体" w:hAnsi="Courier New" w:eastAsia="宋体"/>
      <w:kern w:val="2"/>
      <w:sz w:val="21"/>
      <w:lang w:val="en-US" w:eastAsia="zh-CN" w:bidi="ar-SA"/>
    </w:rPr>
  </w:style>
  <w:style w:type="character" w:customStyle="1" w:styleId="2014">
    <w:name w:val="样式15 Char"/>
    <w:link w:val="2015"/>
    <w:qFormat/>
    <w:uiPriority w:val="0"/>
    <w:rPr>
      <w:rFonts w:ascii="黑体" w:eastAsia="黑体"/>
      <w:sz w:val="28"/>
    </w:rPr>
  </w:style>
  <w:style w:type="paragraph" w:customStyle="1" w:styleId="2015">
    <w:name w:val="样式15"/>
    <w:basedOn w:val="465"/>
    <w:link w:val="2014"/>
    <w:qFormat/>
    <w:uiPriority w:val="0"/>
    <w:pPr>
      <w:snapToGrid/>
      <w:spacing w:before="240" w:line="460" w:lineRule="exact"/>
      <w:ind w:firstLine="0"/>
    </w:pPr>
    <w:rPr>
      <w:rFonts w:ascii="黑体" w:eastAsia="黑体"/>
      <w:sz w:val="28"/>
    </w:rPr>
  </w:style>
  <w:style w:type="character" w:customStyle="1" w:styleId="2016">
    <w:name w:val="样式 样式9 + (中文) 方正黑体简体 非加粗 段后: 0.8 行 Char"/>
    <w:link w:val="2017"/>
    <w:qFormat/>
    <w:uiPriority w:val="0"/>
    <w:rPr>
      <w:rFonts w:eastAsia="方正黑体简体"/>
      <w:kern w:val="2"/>
      <w:sz w:val="32"/>
    </w:rPr>
  </w:style>
  <w:style w:type="paragraph" w:customStyle="1" w:styleId="2017">
    <w:name w:val="样式 样式9 + (中文) 方正黑体简体 非加粗 段后: 0.8 行"/>
    <w:basedOn w:val="1389"/>
    <w:link w:val="2016"/>
    <w:qFormat/>
    <w:uiPriority w:val="0"/>
    <w:pPr>
      <w:widowControl w:val="0"/>
      <w:topLinePunct/>
      <w:adjustRightInd/>
      <w:snapToGrid/>
      <w:spacing w:beforeLines="0" w:afterLines="80" w:line="460" w:lineRule="exact"/>
      <w:jc w:val="both"/>
      <w:textAlignment w:val="auto"/>
      <w:outlineLvl w:val="9"/>
    </w:pPr>
    <w:rPr>
      <w:rFonts w:ascii="Times New Roman" w:eastAsia="方正黑体简体"/>
      <w:b w:val="0"/>
      <w:kern w:val="2"/>
      <w:sz w:val="32"/>
    </w:rPr>
  </w:style>
  <w:style w:type="character" w:customStyle="1" w:styleId="2018">
    <w:name w:val="图表标题 Char Char Char"/>
    <w:qFormat/>
    <w:uiPriority w:val="0"/>
    <w:rPr>
      <w:rFonts w:ascii="黑体" w:eastAsia="黑体"/>
      <w:kern w:val="2"/>
      <w:sz w:val="24"/>
      <w:szCs w:val="24"/>
      <w:lang w:val="en-US" w:eastAsia="zh-CN" w:bidi="ar-SA"/>
    </w:rPr>
  </w:style>
  <w:style w:type="character" w:customStyle="1" w:styleId="2019">
    <w:name w:val="图表标题 Char Char Char Char"/>
    <w:qFormat/>
    <w:uiPriority w:val="0"/>
    <w:rPr>
      <w:rFonts w:eastAsia="黑体"/>
      <w:kern w:val="2"/>
      <w:sz w:val="21"/>
      <w:szCs w:val="24"/>
      <w:lang w:val="en-US" w:eastAsia="zh-CN" w:bidi="ar-SA"/>
    </w:rPr>
  </w:style>
  <w:style w:type="character" w:customStyle="1" w:styleId="2020">
    <w:name w:val="正文－首行缩进:2 字符 Char"/>
    <w:qFormat/>
    <w:uiPriority w:val="0"/>
    <w:rPr>
      <w:rFonts w:eastAsia="宋体" w:cs="宋体"/>
      <w:kern w:val="2"/>
      <w:sz w:val="28"/>
      <w:lang w:val="en-US" w:eastAsia="zh-CN" w:bidi="ar-SA"/>
    </w:rPr>
  </w:style>
  <w:style w:type="character" w:customStyle="1" w:styleId="2021">
    <w:name w:val="11 Char"/>
    <w:qFormat/>
    <w:uiPriority w:val="0"/>
    <w:rPr>
      <w:sz w:val="24"/>
      <w:szCs w:val="28"/>
      <w:lang w:bidi="ar-SA"/>
    </w:rPr>
  </w:style>
  <w:style w:type="character" w:customStyle="1" w:styleId="2022">
    <w:name w:val="WW-Absatz-Standardschriftart"/>
    <w:qFormat/>
    <w:uiPriority w:val="0"/>
  </w:style>
  <w:style w:type="character" w:customStyle="1" w:styleId="2023">
    <w:name w:val="正文缩进2字符 Char"/>
    <w:qFormat/>
    <w:uiPriority w:val="0"/>
    <w:rPr>
      <w:rFonts w:eastAsia="宋体"/>
      <w:kern w:val="2"/>
      <w:sz w:val="28"/>
      <w:szCs w:val="24"/>
      <w:lang w:val="en-US" w:eastAsia="zh-CN" w:bidi="ar-SA"/>
    </w:rPr>
  </w:style>
  <w:style w:type="character" w:customStyle="1" w:styleId="2024">
    <w:name w:val="正文－图表标题 Char"/>
    <w:link w:val="2025"/>
    <w:qFormat/>
    <w:uiPriority w:val="0"/>
    <w:rPr>
      <w:rFonts w:eastAsia="黑体"/>
      <w:color w:val="000000"/>
      <w:kern w:val="2"/>
      <w:sz w:val="21"/>
      <w:szCs w:val="24"/>
    </w:rPr>
  </w:style>
  <w:style w:type="paragraph" w:customStyle="1" w:styleId="2025">
    <w:name w:val="正文－图表标题"/>
    <w:basedOn w:val="1"/>
    <w:next w:val="1"/>
    <w:link w:val="2024"/>
    <w:qFormat/>
    <w:uiPriority w:val="0"/>
    <w:pPr>
      <w:widowControl w:val="0"/>
      <w:adjustRightInd w:val="0"/>
      <w:snapToGrid w:val="0"/>
      <w:spacing w:beforeLines="50" w:afterLines="50"/>
      <w:jc w:val="center"/>
    </w:pPr>
    <w:rPr>
      <w:rFonts w:ascii="Times New Roman" w:hAnsi="Times New Roman" w:eastAsia="黑体" w:cs="Times New Roman"/>
      <w:color w:val="000000"/>
      <w:kern w:val="2"/>
      <w:sz w:val="21"/>
    </w:rPr>
  </w:style>
  <w:style w:type="character" w:customStyle="1" w:styleId="2026">
    <w:name w:val="样式 标题 2 + 四号 Char"/>
    <w:link w:val="2027"/>
    <w:qFormat/>
    <w:uiPriority w:val="0"/>
    <w:rPr>
      <w:rFonts w:eastAsia="黑体"/>
      <w:bCs/>
      <w:snapToGrid w:val="0"/>
      <w:sz w:val="28"/>
      <w:szCs w:val="32"/>
    </w:rPr>
  </w:style>
  <w:style w:type="paragraph" w:customStyle="1" w:styleId="2027">
    <w:name w:val="样式 标题 2 + 四号"/>
    <w:basedOn w:val="5"/>
    <w:link w:val="2026"/>
    <w:qFormat/>
    <w:uiPriority w:val="0"/>
    <w:pPr>
      <w:widowControl w:val="0"/>
      <w:adjustRightInd w:val="0"/>
      <w:snapToGrid w:val="0"/>
      <w:spacing w:before="240" w:after="120" w:line="240" w:lineRule="auto"/>
      <w:jc w:val="both"/>
    </w:pPr>
    <w:rPr>
      <w:rFonts w:ascii="Times New Roman" w:hAnsi="Times New Roman"/>
      <w:snapToGrid w:val="0"/>
    </w:rPr>
  </w:style>
  <w:style w:type="character" w:customStyle="1" w:styleId="2028">
    <w:name w:val="Char Char71"/>
    <w:qFormat/>
    <w:uiPriority w:val="0"/>
    <w:rPr>
      <w:rFonts w:eastAsia="宋体"/>
      <w:b/>
      <w:bCs/>
      <w:kern w:val="2"/>
      <w:sz w:val="32"/>
      <w:szCs w:val="32"/>
      <w:lang w:val="en-US" w:eastAsia="zh-CN" w:bidi="ar-SA"/>
    </w:rPr>
  </w:style>
  <w:style w:type="character" w:customStyle="1" w:styleId="2029">
    <w:name w:val="lmj题注 + 居中 + 黑体 Char Char"/>
    <w:link w:val="2030"/>
    <w:qFormat/>
    <w:uiPriority w:val="0"/>
    <w:rPr>
      <w:rFonts w:ascii="黑体" w:hAnsi="黑体" w:eastAsia="黑体"/>
      <w:kern w:val="2"/>
      <w:sz w:val="21"/>
    </w:rPr>
  </w:style>
  <w:style w:type="paragraph" w:customStyle="1" w:styleId="2030">
    <w:name w:val="lmj题注 + 居中 + 黑体"/>
    <w:basedOn w:val="1"/>
    <w:next w:val="1"/>
    <w:link w:val="2029"/>
    <w:qFormat/>
    <w:uiPriority w:val="0"/>
    <w:pPr>
      <w:widowControl w:val="0"/>
      <w:spacing w:line="240" w:lineRule="exact"/>
      <w:ind w:left="560"/>
      <w:jc w:val="center"/>
    </w:pPr>
    <w:rPr>
      <w:rFonts w:ascii="黑体" w:hAnsi="黑体" w:eastAsia="黑体" w:cs="Times New Roman"/>
      <w:kern w:val="2"/>
      <w:sz w:val="21"/>
      <w:szCs w:val="20"/>
    </w:rPr>
  </w:style>
  <w:style w:type="character" w:customStyle="1" w:styleId="2031">
    <w:name w:val="cucd-0 Char Char"/>
    <w:qFormat/>
    <w:uiPriority w:val="0"/>
    <w:rPr>
      <w:kern w:val="2"/>
      <w:sz w:val="24"/>
      <w:szCs w:val="24"/>
      <w:lang w:val="en-US" w:eastAsia="zh-CN" w:bidi="ar-SA"/>
    </w:rPr>
  </w:style>
  <w:style w:type="character" w:customStyle="1" w:styleId="2032">
    <w:name w:val="正文－首行缩进:2 字符 Char Char"/>
    <w:qFormat/>
    <w:uiPriority w:val="0"/>
    <w:rPr>
      <w:rFonts w:eastAsia="宋体" w:cs="宋体"/>
      <w:kern w:val="2"/>
      <w:sz w:val="28"/>
      <w:lang w:val="en-US" w:eastAsia="zh-CN" w:bidi="ar-SA"/>
    </w:rPr>
  </w:style>
  <w:style w:type="character" w:customStyle="1" w:styleId="2033">
    <w:name w:val="标题2T Char Char"/>
    <w:qFormat/>
    <w:uiPriority w:val="0"/>
    <w:rPr>
      <w:rFonts w:eastAsia="方正黑体简体"/>
      <w:kern w:val="2"/>
      <w:sz w:val="32"/>
      <w:szCs w:val="32"/>
      <w:lang w:val="en-US" w:eastAsia="zh-CN" w:bidi="ar-SA"/>
    </w:rPr>
  </w:style>
  <w:style w:type="character" w:customStyle="1" w:styleId="2034">
    <w:name w:val="样式 样式9 + (中文) 方正黑体简体 非加粗 段后: 0.8 行 Char Char"/>
    <w:qFormat/>
    <w:uiPriority w:val="0"/>
    <w:rPr>
      <w:rFonts w:eastAsia="方正黑体简体" w:cs="宋体"/>
      <w:kern w:val="2"/>
      <w:sz w:val="32"/>
    </w:rPr>
  </w:style>
  <w:style w:type="character" w:customStyle="1" w:styleId="2035">
    <w:name w:val="图表标题 Char Char Char Char Char Char Char Char"/>
    <w:qFormat/>
    <w:uiPriority w:val="0"/>
    <w:rPr>
      <w:rFonts w:ascii="黑体" w:eastAsia="黑体"/>
      <w:kern w:val="2"/>
      <w:sz w:val="24"/>
      <w:szCs w:val="24"/>
      <w:lang w:val="en-US" w:eastAsia="zh-CN" w:bidi="ar-SA"/>
    </w:rPr>
  </w:style>
  <w:style w:type="character" w:customStyle="1" w:styleId="2036">
    <w:name w:val="批注文字 Char Char"/>
    <w:qFormat/>
    <w:uiPriority w:val="0"/>
    <w:rPr>
      <w:rFonts w:ascii="Times New Roman" w:hAnsi="Times New Roman"/>
      <w:kern w:val="2"/>
      <w:sz w:val="21"/>
      <w:szCs w:val="24"/>
    </w:rPr>
  </w:style>
  <w:style w:type="character" w:customStyle="1" w:styleId="2037">
    <w:name w:val="样式5 Char Char"/>
    <w:qFormat/>
    <w:uiPriority w:val="0"/>
    <w:rPr>
      <w:rFonts w:eastAsia="黑体"/>
      <w:bCs/>
      <w:snapToGrid w:val="0"/>
      <w:sz w:val="28"/>
      <w:szCs w:val="28"/>
    </w:rPr>
  </w:style>
  <w:style w:type="character" w:customStyle="1" w:styleId="2038">
    <w:name w:val="样式15 Char Char"/>
    <w:qFormat/>
    <w:uiPriority w:val="0"/>
    <w:rPr>
      <w:rFonts w:ascii="方正黑体简体" w:eastAsia="方正黑体简体"/>
      <w:color w:val="000000"/>
      <w:kern w:val="2"/>
      <w:sz w:val="21"/>
      <w:szCs w:val="21"/>
      <w:lang w:val="en-US" w:eastAsia="zh-CN" w:bidi="ar-SA"/>
    </w:rPr>
  </w:style>
  <w:style w:type="character" w:customStyle="1" w:styleId="2039">
    <w:name w:val="样式12 Char Char"/>
    <w:qFormat/>
    <w:uiPriority w:val="0"/>
    <w:rPr>
      <w:rFonts w:eastAsia="方正楷体简体"/>
      <w:kern w:val="2"/>
      <w:sz w:val="28"/>
      <w:szCs w:val="28"/>
    </w:rPr>
  </w:style>
  <w:style w:type="character" w:customStyle="1" w:styleId="2040">
    <w:name w:val="正文缩进2字符 Char Char"/>
    <w:qFormat/>
    <w:uiPriority w:val="0"/>
    <w:rPr>
      <w:rFonts w:eastAsia="宋体"/>
      <w:kern w:val="2"/>
      <w:sz w:val="28"/>
      <w:szCs w:val="24"/>
      <w:lang w:val="en-US" w:eastAsia="zh-CN" w:bidi="ar-SA"/>
    </w:rPr>
  </w:style>
  <w:style w:type="character" w:customStyle="1" w:styleId="2041">
    <w:name w:val="正文－图表标题 Char Char"/>
    <w:qFormat/>
    <w:uiPriority w:val="0"/>
    <w:rPr>
      <w:rFonts w:eastAsia="黑体"/>
      <w:color w:val="000000"/>
      <w:kern w:val="2"/>
      <w:sz w:val="21"/>
      <w:szCs w:val="28"/>
    </w:rPr>
  </w:style>
  <w:style w:type="character" w:customStyle="1" w:styleId="2042">
    <w:name w:val="样式 报告名称 + 26 磅 Char"/>
    <w:qFormat/>
    <w:uiPriority w:val="0"/>
    <w:rPr>
      <w:rFonts w:eastAsia="黑体"/>
      <w:kern w:val="2"/>
      <w:sz w:val="52"/>
    </w:rPr>
  </w:style>
  <w:style w:type="character" w:customStyle="1" w:styleId="2043">
    <w:name w:val="Char Char91"/>
    <w:qFormat/>
    <w:uiPriority w:val="0"/>
    <w:rPr>
      <w:snapToGrid w:val="0"/>
      <w:sz w:val="28"/>
      <w:szCs w:val="24"/>
    </w:rPr>
  </w:style>
  <w:style w:type="character" w:customStyle="1" w:styleId="2044">
    <w:name w:val="t_tag"/>
    <w:qFormat/>
    <w:uiPriority w:val="0"/>
  </w:style>
  <w:style w:type="character" w:customStyle="1" w:styleId="2045">
    <w:name w:val="报告正文 Char1"/>
    <w:qFormat/>
    <w:uiPriority w:val="0"/>
    <w:rPr>
      <w:rFonts w:ascii="宋体" w:eastAsia="宋体"/>
      <w:kern w:val="2"/>
      <w:sz w:val="28"/>
      <w:szCs w:val="28"/>
      <w:lang w:val="en-US" w:eastAsia="zh-CN" w:bidi="ar-SA"/>
    </w:rPr>
  </w:style>
  <w:style w:type="character" w:customStyle="1" w:styleId="2046">
    <w:name w:val="标题 字符"/>
    <w:qFormat/>
    <w:uiPriority w:val="0"/>
    <w:rPr>
      <w:rFonts w:ascii="宋体" w:hAnsi="Courier New"/>
    </w:rPr>
  </w:style>
  <w:style w:type="character" w:customStyle="1" w:styleId="2047">
    <w:name w:val="my标题1 Char"/>
    <w:qFormat/>
    <w:uiPriority w:val="0"/>
    <w:rPr>
      <w:rFonts w:eastAsia="宋体"/>
      <w:bCs/>
      <w:kern w:val="44"/>
      <w:sz w:val="30"/>
      <w:szCs w:val="30"/>
      <w:lang w:val="en-US" w:eastAsia="zh-CN" w:bidi="ar-SA"/>
    </w:rPr>
  </w:style>
  <w:style w:type="character" w:customStyle="1" w:styleId="2048">
    <w:name w:val="批注文字 字符4"/>
    <w:qFormat/>
    <w:uiPriority w:val="0"/>
    <w:rPr>
      <w:rFonts w:eastAsia="宋体"/>
      <w:kern w:val="2"/>
      <w:sz w:val="21"/>
      <w:szCs w:val="24"/>
      <w:lang w:bidi="ar-SA"/>
    </w:rPr>
  </w:style>
  <w:style w:type="character" w:customStyle="1" w:styleId="2049">
    <w:name w:val="正文首行缩进 Char3"/>
    <w:qFormat/>
    <w:uiPriority w:val="0"/>
    <w:rPr>
      <w:rFonts w:ascii="Times New Roman" w:hAnsi="Times New Roman" w:eastAsia="宋体" w:cs="Times New Roman"/>
      <w:sz w:val="24"/>
      <w:szCs w:val="20"/>
    </w:rPr>
  </w:style>
  <w:style w:type="character" w:customStyle="1" w:styleId="2050">
    <w:name w:val="标题2，， Char"/>
    <w:link w:val="2051"/>
    <w:qFormat/>
    <w:locked/>
    <w:uiPriority w:val="0"/>
    <w:rPr>
      <w:rFonts w:ascii="黑体" w:eastAsia="黑体"/>
      <w:bCs/>
      <w:kern w:val="44"/>
      <w:sz w:val="32"/>
      <w:szCs w:val="32"/>
    </w:rPr>
  </w:style>
  <w:style w:type="paragraph" w:customStyle="1" w:styleId="2051">
    <w:name w:val="标题2，，"/>
    <w:basedOn w:val="5"/>
    <w:link w:val="2050"/>
    <w:qFormat/>
    <w:uiPriority w:val="0"/>
    <w:pPr>
      <w:widowControl w:val="0"/>
      <w:adjustRightInd w:val="0"/>
      <w:spacing w:line="360" w:lineRule="auto"/>
    </w:pPr>
    <w:rPr>
      <w:rFonts w:ascii="黑体" w:hAnsi="Times New Roman"/>
      <w:kern w:val="44"/>
      <w:sz w:val="32"/>
    </w:rPr>
  </w:style>
  <w:style w:type="character" w:customStyle="1" w:styleId="2052">
    <w:name w:val="二级标题 Char2"/>
    <w:qFormat/>
    <w:uiPriority w:val="0"/>
    <w:rPr>
      <w:rFonts w:eastAsia="黑体"/>
      <w:bCs/>
      <w:snapToGrid w:val="0"/>
      <w:sz w:val="32"/>
      <w:szCs w:val="32"/>
      <w:lang w:val="en-US" w:eastAsia="zh-CN"/>
    </w:rPr>
  </w:style>
  <w:style w:type="character" w:customStyle="1" w:styleId="2053">
    <w:name w:val="报告正文 Char Char Char"/>
    <w:qFormat/>
    <w:uiPriority w:val="0"/>
    <w:rPr>
      <w:rFonts w:ascii="宋体" w:hAnsi="Times New Roman" w:eastAsia="宋体" w:cs="Times New Roman"/>
      <w:snapToGrid w:val="0"/>
      <w:kern w:val="0"/>
      <w:sz w:val="28"/>
      <w:szCs w:val="24"/>
    </w:rPr>
  </w:style>
  <w:style w:type="character" w:customStyle="1" w:styleId="2054">
    <w:name w:val="0正文 Char"/>
    <w:link w:val="2055"/>
    <w:qFormat/>
    <w:uiPriority w:val="0"/>
    <w:rPr>
      <w:rFonts w:ascii="宋体" w:hAnsi="宋体"/>
      <w:snapToGrid w:val="0"/>
      <w:kern w:val="44"/>
      <w:sz w:val="28"/>
      <w:szCs w:val="24"/>
      <w:lang w:val="zh-CN"/>
    </w:rPr>
  </w:style>
  <w:style w:type="paragraph" w:customStyle="1" w:styleId="2055">
    <w:name w:val="0正文"/>
    <w:basedOn w:val="1"/>
    <w:link w:val="2054"/>
    <w:qFormat/>
    <w:uiPriority w:val="0"/>
    <w:pPr>
      <w:widowControl w:val="0"/>
      <w:adjustRightInd w:val="0"/>
      <w:snapToGrid w:val="0"/>
      <w:spacing w:line="360" w:lineRule="auto"/>
      <w:ind w:firstLine="200" w:firstLineChars="200"/>
      <w:jc w:val="both"/>
      <w:textAlignment w:val="baseline"/>
    </w:pPr>
    <w:rPr>
      <w:rFonts w:cs="Times New Roman"/>
      <w:snapToGrid w:val="0"/>
      <w:kern w:val="44"/>
      <w:sz w:val="28"/>
      <w:lang w:val="zh-CN"/>
    </w:rPr>
  </w:style>
  <w:style w:type="character" w:customStyle="1" w:styleId="2056">
    <w:name w:val="正文文字 Char2"/>
    <w:qFormat/>
    <w:uiPriority w:val="0"/>
    <w:rPr>
      <w:b/>
      <w:kern w:val="2"/>
      <w:sz w:val="24"/>
    </w:rPr>
  </w:style>
  <w:style w:type="character" w:customStyle="1" w:styleId="2057">
    <w:name w:val="h Char Char"/>
    <w:qFormat/>
    <w:uiPriority w:val="0"/>
    <w:rPr>
      <w:kern w:val="2"/>
      <w:sz w:val="18"/>
      <w:szCs w:val="18"/>
    </w:rPr>
  </w:style>
  <w:style w:type="character" w:customStyle="1" w:styleId="2058">
    <w:name w:val="批注引用1"/>
    <w:qFormat/>
    <w:uiPriority w:val="0"/>
    <w:rPr>
      <w:sz w:val="21"/>
      <w:szCs w:val="21"/>
    </w:rPr>
  </w:style>
  <w:style w:type="character" w:customStyle="1" w:styleId="2059">
    <w:name w:val="批注文字 字符"/>
    <w:qFormat/>
    <w:uiPriority w:val="0"/>
    <w:rPr>
      <w:kern w:val="2"/>
      <w:sz w:val="24"/>
    </w:rPr>
  </w:style>
  <w:style w:type="character" w:customStyle="1" w:styleId="2060">
    <w:name w:val="Char Char92"/>
    <w:qFormat/>
    <w:uiPriority w:val="0"/>
    <w:rPr>
      <w:rFonts w:ascii="Arial" w:hAnsi="Arial" w:eastAsia="黑体"/>
      <w:sz w:val="24"/>
      <w:szCs w:val="21"/>
      <w:lang w:bidi="ar-SA"/>
    </w:rPr>
  </w:style>
  <w:style w:type="character" w:customStyle="1" w:styleId="2061">
    <w:name w:val="正文格式 Char"/>
    <w:qFormat/>
    <w:locked/>
    <w:uiPriority w:val="0"/>
    <w:rPr>
      <w:rFonts w:eastAsia="宋体"/>
      <w:kern w:val="2"/>
      <w:sz w:val="24"/>
      <w:szCs w:val="24"/>
      <w:lang w:bidi="ar-SA"/>
    </w:rPr>
  </w:style>
  <w:style w:type="character" w:customStyle="1" w:styleId="2062">
    <w:name w:val="fontstyle11"/>
    <w:qFormat/>
    <w:uiPriority w:val="0"/>
    <w:rPr>
      <w:rFonts w:hint="eastAsia" w:ascii="宋体" w:hAnsi="宋体" w:eastAsia="宋体"/>
      <w:color w:val="000000"/>
      <w:sz w:val="22"/>
      <w:szCs w:val="22"/>
    </w:rPr>
  </w:style>
  <w:style w:type="character" w:customStyle="1" w:styleId="2063">
    <w:name w:val="批注引用2"/>
    <w:qFormat/>
    <w:uiPriority w:val="0"/>
    <w:rPr>
      <w:sz w:val="21"/>
      <w:szCs w:val="21"/>
    </w:rPr>
  </w:style>
  <w:style w:type="character" w:customStyle="1" w:styleId="2064">
    <w:name w:val="正文文本 2 字符2"/>
    <w:qFormat/>
    <w:uiPriority w:val="0"/>
    <w:rPr>
      <w:kern w:val="28"/>
      <w:sz w:val="24"/>
    </w:rPr>
  </w:style>
  <w:style w:type="character" w:customStyle="1" w:styleId="2065">
    <w:name w:val="正文 + Char Char"/>
    <w:qFormat/>
    <w:uiPriority w:val="0"/>
    <w:rPr>
      <w:rFonts w:eastAsia="Times New Roman"/>
      <w:snapToGrid/>
      <w:kern w:val="24"/>
      <w:sz w:val="24"/>
      <w:szCs w:val="24"/>
      <w:lang w:val="en-US" w:eastAsia="zh-CN" w:bidi="ar-SA"/>
    </w:rPr>
  </w:style>
  <w:style w:type="character" w:customStyle="1" w:styleId="2066">
    <w:name w:val="正文首行缩进 2 字符2"/>
    <w:qFormat/>
    <w:uiPriority w:val="0"/>
    <w:rPr>
      <w:kern w:val="2"/>
      <w:sz w:val="24"/>
    </w:rPr>
  </w:style>
  <w:style w:type="character" w:customStyle="1" w:styleId="2067">
    <w:name w:val="正文文本 字符1"/>
    <w:qFormat/>
    <w:uiPriority w:val="0"/>
    <w:rPr>
      <w:rFonts w:ascii="Times New Roman" w:hAnsi="Times New Roman" w:eastAsia="宋体" w:cs="Times New Roman"/>
      <w:b/>
      <w:sz w:val="24"/>
      <w:szCs w:val="20"/>
    </w:rPr>
  </w:style>
  <w:style w:type="character" w:customStyle="1" w:styleId="2068">
    <w:name w:val="正文升平 Char Char"/>
    <w:qFormat/>
    <w:uiPriority w:val="0"/>
    <w:rPr>
      <w:rFonts w:ascii="楷体_GB2312" w:hAnsi="宋体" w:eastAsia="楷体_GB2312" w:cs="楷体_GB2312"/>
      <w:bCs/>
      <w:color w:val="000000"/>
      <w:sz w:val="28"/>
      <w:szCs w:val="28"/>
      <w:lang w:val="zh-CN"/>
    </w:rPr>
  </w:style>
  <w:style w:type="character" w:customStyle="1" w:styleId="2069">
    <w:name w:val="批注主题 字符1"/>
    <w:qFormat/>
    <w:uiPriority w:val="0"/>
    <w:rPr>
      <w:rFonts w:ascii="Times New Roman" w:hAnsi="Times New Roman" w:eastAsia="宋体" w:cs="Times New Roman"/>
      <w:b/>
      <w:bCs/>
      <w:sz w:val="24"/>
      <w:szCs w:val="20"/>
    </w:rPr>
  </w:style>
  <w:style w:type="character" w:customStyle="1" w:styleId="2070">
    <w:name w:val="批注框文本 字符2"/>
    <w:qFormat/>
    <w:uiPriority w:val="0"/>
    <w:rPr>
      <w:kern w:val="2"/>
      <w:sz w:val="18"/>
      <w:szCs w:val="18"/>
    </w:rPr>
  </w:style>
  <w:style w:type="character" w:customStyle="1" w:styleId="2071">
    <w:name w:val="f24"/>
    <w:qFormat/>
    <w:uiPriority w:val="0"/>
  </w:style>
  <w:style w:type="character" w:customStyle="1" w:styleId="2072">
    <w:name w:val="正文文本缩进 字符3"/>
    <w:qFormat/>
    <w:uiPriority w:val="0"/>
    <w:rPr>
      <w:kern w:val="2"/>
      <w:sz w:val="24"/>
    </w:rPr>
  </w:style>
  <w:style w:type="character" w:customStyle="1" w:styleId="2073">
    <w:name w:val="标题 2 字符4"/>
    <w:qFormat/>
    <w:uiPriority w:val="0"/>
    <w:rPr>
      <w:rFonts w:ascii="宋体" w:hAnsi="Arial"/>
      <w:kern w:val="2"/>
      <w:sz w:val="28"/>
    </w:rPr>
  </w:style>
  <w:style w:type="character" w:customStyle="1" w:styleId="2074">
    <w:name w:val="批注主题 字符3"/>
    <w:qFormat/>
    <w:uiPriority w:val="0"/>
    <w:rPr>
      <w:b/>
      <w:bCs/>
      <w:kern w:val="2"/>
      <w:sz w:val="21"/>
      <w:szCs w:val="24"/>
    </w:rPr>
  </w:style>
  <w:style w:type="character" w:customStyle="1" w:styleId="2075">
    <w:name w:val="正文文本 3 字符3"/>
    <w:qFormat/>
    <w:uiPriority w:val="0"/>
    <w:rPr>
      <w:rFonts w:eastAsia="宋体"/>
      <w:kern w:val="2"/>
      <w:sz w:val="18"/>
      <w:lang w:val="en-US" w:eastAsia="zh-CN" w:bidi="ar-SA"/>
    </w:rPr>
  </w:style>
  <w:style w:type="character" w:customStyle="1" w:styleId="2076">
    <w:name w:val="文档结构图 字符1"/>
    <w:qFormat/>
    <w:uiPriority w:val="0"/>
    <w:rPr>
      <w:rFonts w:ascii="宋体"/>
      <w:kern w:val="2"/>
      <w:sz w:val="18"/>
      <w:szCs w:val="18"/>
    </w:rPr>
  </w:style>
  <w:style w:type="character" w:customStyle="1" w:styleId="2077">
    <w:name w:val="脚注文本 字符3"/>
    <w:qFormat/>
    <w:uiPriority w:val="0"/>
    <w:rPr>
      <w:kern w:val="2"/>
      <w:sz w:val="18"/>
      <w:szCs w:val="18"/>
    </w:rPr>
  </w:style>
  <w:style w:type="character" w:customStyle="1" w:styleId="2078">
    <w:name w:val="正文首行缩进 字符3"/>
    <w:qFormat/>
    <w:uiPriority w:val="0"/>
    <w:rPr>
      <w:kern w:val="2"/>
      <w:sz w:val="21"/>
      <w:szCs w:val="24"/>
    </w:rPr>
  </w:style>
  <w:style w:type="character" w:customStyle="1" w:styleId="2079">
    <w:name w:val="正文文本 字符4"/>
    <w:qFormat/>
    <w:uiPriority w:val="0"/>
    <w:rPr>
      <w:rFonts w:eastAsia="宋体"/>
      <w:b/>
      <w:kern w:val="2"/>
      <w:sz w:val="24"/>
      <w:lang w:val="en-US" w:eastAsia="zh-CN" w:bidi="ar-SA"/>
    </w:rPr>
  </w:style>
  <w:style w:type="character" w:customStyle="1" w:styleId="2080">
    <w:name w:val="正文文本缩进 2 字符3"/>
    <w:qFormat/>
    <w:uiPriority w:val="0"/>
    <w:rPr>
      <w:kern w:val="2"/>
      <w:sz w:val="24"/>
    </w:rPr>
  </w:style>
  <w:style w:type="character" w:customStyle="1" w:styleId="2081">
    <w:name w:val="页脚 字符3"/>
    <w:qFormat/>
    <w:uiPriority w:val="99"/>
    <w:rPr>
      <w:kern w:val="2"/>
      <w:sz w:val="18"/>
    </w:rPr>
  </w:style>
  <w:style w:type="character" w:customStyle="1" w:styleId="2082">
    <w:name w:val="尾注文本 字符1"/>
    <w:qFormat/>
    <w:uiPriority w:val="0"/>
    <w:rPr>
      <w:szCs w:val="24"/>
    </w:rPr>
  </w:style>
  <w:style w:type="character" w:customStyle="1" w:styleId="2083">
    <w:name w:val="无间隔 字符1"/>
    <w:qFormat/>
    <w:uiPriority w:val="0"/>
    <w:rPr>
      <w:rFonts w:ascii="Calibri" w:hAnsi="Calibri"/>
      <w:sz w:val="22"/>
      <w:szCs w:val="22"/>
      <w:lang w:val="en-US" w:eastAsia="zh-CN" w:bidi="ar-SA"/>
    </w:rPr>
  </w:style>
  <w:style w:type="character" w:customStyle="1" w:styleId="2084">
    <w:name w:val="正5 Char Char"/>
    <w:qFormat/>
    <w:uiPriority w:val="0"/>
    <w:rPr>
      <w:rFonts w:ascii="宋体" w:eastAsia="宋体"/>
      <w:color w:val="000000"/>
      <w:kern w:val="2"/>
      <w:sz w:val="24"/>
      <w:szCs w:val="24"/>
      <w:lang w:val="en-US" w:eastAsia="zh-CN" w:bidi="ar-SA"/>
    </w:rPr>
  </w:style>
  <w:style w:type="character" w:customStyle="1" w:styleId="2085">
    <w:name w:val="表中文字 Char Char"/>
    <w:qFormat/>
    <w:uiPriority w:val="0"/>
    <w:rPr>
      <w:rFonts w:eastAsia="宋体"/>
      <w:sz w:val="21"/>
      <w:lang w:val="en-US" w:eastAsia="zh-CN" w:bidi="ar-SA"/>
    </w:rPr>
  </w:style>
  <w:style w:type="character" w:customStyle="1" w:styleId="2086">
    <w:name w:val="纯文本 字符4"/>
    <w:qFormat/>
    <w:uiPriority w:val="0"/>
    <w:rPr>
      <w:rFonts w:ascii="宋体" w:hAnsi="Courier New" w:eastAsia="宋体"/>
      <w:kern w:val="2"/>
      <w:sz w:val="21"/>
      <w:lang w:val="en-US" w:eastAsia="zh-CN" w:bidi="ar-SA"/>
    </w:rPr>
  </w:style>
  <w:style w:type="character" w:customStyle="1" w:styleId="2087">
    <w:name w:val="正文（首行缩进两字）1 Char2"/>
    <w:qFormat/>
    <w:uiPriority w:val="0"/>
    <w:rPr>
      <w:rFonts w:eastAsia="方正仿宋简体"/>
      <w:kern w:val="2"/>
      <w:sz w:val="28"/>
      <w:szCs w:val="24"/>
      <w:lang w:val="en-US" w:eastAsia="zh-CN" w:bidi="ar-SA"/>
    </w:rPr>
  </w:style>
  <w:style w:type="character" w:customStyle="1" w:styleId="2088">
    <w:name w:val="标题 1 字符4"/>
    <w:qFormat/>
    <w:uiPriority w:val="0"/>
    <w:rPr>
      <w:b/>
      <w:bCs/>
      <w:kern w:val="44"/>
      <w:sz w:val="44"/>
      <w:szCs w:val="44"/>
    </w:rPr>
  </w:style>
  <w:style w:type="character" w:customStyle="1" w:styleId="2089">
    <w:name w:val="标题 7 字符3"/>
    <w:qFormat/>
    <w:uiPriority w:val="0"/>
    <w:rPr>
      <w:b/>
      <w:kern w:val="2"/>
      <w:sz w:val="28"/>
    </w:rPr>
  </w:style>
  <w:style w:type="character" w:customStyle="1" w:styleId="2090">
    <w:name w:val="正文文本缩进 3 字符4"/>
    <w:qFormat/>
    <w:uiPriority w:val="0"/>
    <w:rPr>
      <w:kern w:val="2"/>
      <w:sz w:val="24"/>
    </w:rPr>
  </w:style>
  <w:style w:type="character" w:customStyle="1" w:styleId="2091">
    <w:name w:val="批注引用11"/>
    <w:qFormat/>
    <w:uiPriority w:val="0"/>
    <w:rPr>
      <w:sz w:val="21"/>
      <w:szCs w:val="21"/>
    </w:rPr>
  </w:style>
  <w:style w:type="character" w:customStyle="1" w:styleId="2092">
    <w:name w:val="正文文字 3 Char Char"/>
    <w:qFormat/>
    <w:uiPriority w:val="0"/>
    <w:rPr>
      <w:rFonts w:hint="default" w:ascii="Arial" w:hAnsi="Arial" w:cs="Arial"/>
      <w:kern w:val="2"/>
      <w:sz w:val="24"/>
    </w:rPr>
  </w:style>
  <w:style w:type="character" w:customStyle="1" w:styleId="2093">
    <w:name w:val="正文新 Char Char"/>
    <w:qFormat/>
    <w:uiPriority w:val="0"/>
    <w:rPr>
      <w:rFonts w:ascii="宋体" w:hAnsi="宋体" w:eastAsia="宋体"/>
      <w:kern w:val="2"/>
      <w:sz w:val="24"/>
      <w:szCs w:val="24"/>
      <w:lang w:val="en-US" w:eastAsia="zh-CN" w:bidi="ar-SA"/>
    </w:rPr>
  </w:style>
  <w:style w:type="character" w:customStyle="1" w:styleId="2094">
    <w:name w:val="新正文 Char Char"/>
    <w:qFormat/>
    <w:uiPriority w:val="0"/>
    <w:rPr>
      <w:rFonts w:ascii="宋体" w:eastAsia="宋体"/>
      <w:kern w:val="2"/>
      <w:sz w:val="24"/>
      <w:szCs w:val="24"/>
      <w:lang w:val="en-US" w:eastAsia="zh-CN" w:bidi="ar-SA"/>
    </w:rPr>
  </w:style>
  <w:style w:type="character" w:customStyle="1" w:styleId="2095">
    <w:name w:val="标3 Char Char"/>
    <w:qFormat/>
    <w:uiPriority w:val="0"/>
    <w:rPr>
      <w:rFonts w:hint="eastAsia" w:ascii="黑体" w:hAnsi="宋体" w:eastAsia="黑体"/>
      <w:b/>
      <w:bCs/>
      <w:color w:val="000000"/>
      <w:sz w:val="24"/>
      <w:szCs w:val="24"/>
      <w:lang w:val="en-US" w:eastAsia="zh-CN" w:bidi="ar-SA"/>
    </w:rPr>
  </w:style>
  <w:style w:type="character" w:customStyle="1" w:styleId="2096">
    <w:name w:val="body text Char"/>
    <w:qFormat/>
    <w:uiPriority w:val="0"/>
    <w:rPr>
      <w:rFonts w:ascii="宋体" w:hAnsi="宋体" w:cs="宋体"/>
      <w:sz w:val="28"/>
      <w:szCs w:val="24"/>
    </w:rPr>
  </w:style>
  <w:style w:type="character" w:customStyle="1" w:styleId="2097">
    <w:name w:val="标题3T Char Char"/>
    <w:qFormat/>
    <w:uiPriority w:val="0"/>
    <w:rPr>
      <w:snapToGrid/>
      <w:color w:val="000000"/>
      <w:sz w:val="24"/>
      <w:szCs w:val="24"/>
      <w:lang w:bidi="ar-SA"/>
    </w:rPr>
  </w:style>
  <w:style w:type="character" w:customStyle="1" w:styleId="2098">
    <w:name w:val="材料正文 Char Char Char"/>
    <w:qFormat/>
    <w:uiPriority w:val="0"/>
    <w:rPr>
      <w:rFonts w:eastAsia="方正仿宋简体"/>
      <w:kern w:val="2"/>
      <w:sz w:val="24"/>
      <w:lang w:bidi="ar-SA"/>
    </w:rPr>
  </w:style>
  <w:style w:type="character" w:customStyle="1" w:styleId="2099">
    <w:name w:val="我的样式 字符"/>
    <w:link w:val="2100"/>
    <w:qFormat/>
    <w:uiPriority w:val="0"/>
    <w:rPr>
      <w:color w:val="000000"/>
      <w:kern w:val="2"/>
      <w:sz w:val="24"/>
      <w:szCs w:val="24"/>
    </w:rPr>
  </w:style>
  <w:style w:type="paragraph" w:customStyle="1" w:styleId="2100">
    <w:name w:val="我的样式"/>
    <w:basedOn w:val="1"/>
    <w:link w:val="2099"/>
    <w:qFormat/>
    <w:uiPriority w:val="0"/>
    <w:pPr>
      <w:widowControl w:val="0"/>
      <w:spacing w:line="500" w:lineRule="exact"/>
      <w:ind w:firstLine="200" w:firstLineChars="200"/>
      <w:jc w:val="both"/>
    </w:pPr>
    <w:rPr>
      <w:rFonts w:ascii="Times New Roman" w:hAnsi="Times New Roman" w:cs="Times New Roman"/>
      <w:color w:val="000000"/>
      <w:kern w:val="2"/>
    </w:rPr>
  </w:style>
  <w:style w:type="character" w:customStyle="1" w:styleId="2101">
    <w:name w:val="样式9 Char Char Char"/>
    <w:qFormat/>
    <w:uiPriority w:val="0"/>
    <w:rPr>
      <w:rFonts w:ascii="黑体" w:eastAsia="黑体"/>
      <w:sz w:val="28"/>
      <w:lang w:bidi="ar-SA"/>
    </w:rPr>
  </w:style>
  <w:style w:type="character" w:customStyle="1" w:styleId="2102">
    <w:name w:val="正文首行缩进 字符"/>
    <w:qFormat/>
    <w:uiPriority w:val="0"/>
  </w:style>
  <w:style w:type="character" w:customStyle="1" w:styleId="2103">
    <w:name w:val="内容1 Char Char"/>
    <w:qFormat/>
    <w:uiPriority w:val="0"/>
    <w:rPr>
      <w:rFonts w:hAnsi="宋体"/>
      <w:sz w:val="28"/>
      <w:szCs w:val="28"/>
      <w:lang w:val="en-US" w:eastAsia="zh-CN" w:bidi="ar-SA"/>
    </w:rPr>
  </w:style>
  <w:style w:type="character" w:customStyle="1" w:styleId="2104">
    <w:name w:val="标题 6 字符1"/>
    <w:qFormat/>
    <w:uiPriority w:val="0"/>
    <w:rPr>
      <w:rFonts w:ascii="Arial" w:hAnsi="Arial" w:eastAsia="黑体"/>
      <w:b/>
      <w:bCs/>
      <w:kern w:val="2"/>
      <w:sz w:val="24"/>
      <w:szCs w:val="24"/>
    </w:rPr>
  </w:style>
  <w:style w:type="character" w:customStyle="1" w:styleId="2105">
    <w:name w:val="页脚 Char Char"/>
    <w:qFormat/>
    <w:uiPriority w:val="0"/>
    <w:rPr>
      <w:kern w:val="2"/>
      <w:sz w:val="18"/>
    </w:rPr>
  </w:style>
  <w:style w:type="character" w:customStyle="1" w:styleId="2106">
    <w:name w:val="表头-文字 Char Char"/>
    <w:qFormat/>
    <w:uiPriority w:val="0"/>
    <w:rPr>
      <w:b/>
      <w:kern w:val="24"/>
      <w:sz w:val="24"/>
      <w:szCs w:val="22"/>
      <w:lang w:bidi="ar-SA"/>
    </w:rPr>
  </w:style>
  <w:style w:type="character" w:customStyle="1" w:styleId="2107">
    <w:name w:val="标题4，， Char Char"/>
    <w:qFormat/>
    <w:uiPriority w:val="0"/>
    <w:rPr>
      <w:rFonts w:ascii="宋体" w:hAnsi="宋体" w:eastAsia="宋体"/>
      <w:kern w:val="2"/>
      <w:sz w:val="24"/>
      <w:lang w:bidi="ar-SA"/>
    </w:rPr>
  </w:style>
  <w:style w:type="character" w:customStyle="1" w:styleId="2108">
    <w:name w:val="标题 6 字符"/>
    <w:qFormat/>
    <w:uiPriority w:val="0"/>
    <w:rPr>
      <w:rFonts w:ascii="等线 Light" w:hAnsi="等线 Light" w:eastAsia="等线 Light" w:cs="Times New Roman"/>
      <w:b/>
      <w:bCs/>
      <w:kern w:val="2"/>
      <w:sz w:val="24"/>
      <w:szCs w:val="24"/>
    </w:rPr>
  </w:style>
  <w:style w:type="character" w:customStyle="1" w:styleId="2109">
    <w:name w:val="标题 字符3"/>
    <w:qFormat/>
    <w:uiPriority w:val="0"/>
    <w:rPr>
      <w:rFonts w:ascii="宋体" w:hAnsi="Courier New"/>
    </w:rPr>
  </w:style>
  <w:style w:type="character" w:customStyle="1" w:styleId="2110">
    <w:name w:val="批注主题 字符"/>
    <w:qFormat/>
    <w:uiPriority w:val="0"/>
    <w:rPr>
      <w:b/>
      <w:bCs/>
      <w:kern w:val="2"/>
      <w:sz w:val="24"/>
    </w:rPr>
  </w:style>
  <w:style w:type="character" w:customStyle="1" w:styleId="2111">
    <w:name w:val="标题 Char Char"/>
    <w:qFormat/>
    <w:uiPriority w:val="0"/>
    <w:rPr>
      <w:rFonts w:hint="eastAsia" w:ascii="宋体" w:hAnsi="Courier New" w:eastAsia="宋体"/>
      <w:kern w:val="2"/>
      <w:sz w:val="21"/>
    </w:rPr>
  </w:style>
  <w:style w:type="character" w:customStyle="1" w:styleId="2112">
    <w:name w:val="标题 1 字符1"/>
    <w:qFormat/>
    <w:uiPriority w:val="0"/>
    <w:rPr>
      <w:b/>
      <w:bCs/>
      <w:kern w:val="44"/>
      <w:sz w:val="44"/>
      <w:szCs w:val="44"/>
    </w:rPr>
  </w:style>
  <w:style w:type="character" w:customStyle="1" w:styleId="2113">
    <w:name w:val="批注引用3"/>
    <w:qFormat/>
    <w:uiPriority w:val="0"/>
    <w:rPr>
      <w:sz w:val="21"/>
      <w:szCs w:val="21"/>
    </w:rPr>
  </w:style>
  <w:style w:type="character" w:customStyle="1" w:styleId="2114">
    <w:name w:val="普通文字 Char4"/>
    <w:qFormat/>
    <w:uiPriority w:val="0"/>
    <w:rPr>
      <w:rFonts w:hint="eastAsia" w:ascii="宋体" w:hAnsi="Courier New" w:eastAsia="宋体"/>
      <w:kern w:val="2"/>
      <w:sz w:val="21"/>
      <w:lang w:val="en-US" w:eastAsia="zh-CN"/>
    </w:rPr>
  </w:style>
  <w:style w:type="character" w:customStyle="1" w:styleId="2115">
    <w:name w:val="标题 9 Char1"/>
    <w:qFormat/>
    <w:uiPriority w:val="0"/>
    <w:rPr>
      <w:rFonts w:hint="default" w:ascii="Cambria" w:hAnsi="Cambria" w:eastAsia="宋体" w:cs="Times New Roman"/>
      <w:sz w:val="21"/>
      <w:szCs w:val="21"/>
    </w:rPr>
  </w:style>
  <w:style w:type="character" w:customStyle="1" w:styleId="2116">
    <w:name w:val="正文首行缩进 Char1"/>
    <w:qFormat/>
    <w:uiPriority w:val="0"/>
  </w:style>
  <w:style w:type="character" w:customStyle="1" w:styleId="2117">
    <w:name w:val="电子邮件签名 字符4"/>
    <w:qFormat/>
    <w:uiPriority w:val="0"/>
    <w:rPr>
      <w:snapToGrid/>
      <w:sz w:val="24"/>
      <w:szCs w:val="28"/>
    </w:rPr>
  </w:style>
  <w:style w:type="character" w:customStyle="1" w:styleId="2118">
    <w:name w:val="日期 字符1"/>
    <w:qFormat/>
    <w:uiPriority w:val="0"/>
    <w:rPr>
      <w:rFonts w:ascii="宋体" w:hAnsi="Times New Roman" w:eastAsia="宋体" w:cs="Times New Roman"/>
      <w:szCs w:val="20"/>
    </w:rPr>
  </w:style>
  <w:style w:type="character" w:customStyle="1" w:styleId="2119">
    <w:name w:val="正文首行缩进 字符1"/>
    <w:qFormat/>
    <w:uiPriority w:val="0"/>
    <w:rPr>
      <w:rFonts w:ascii="Times New Roman" w:hAnsi="Times New Roman" w:eastAsia="宋体" w:cs="Times New Roman"/>
      <w:sz w:val="24"/>
      <w:szCs w:val="20"/>
    </w:rPr>
  </w:style>
  <w:style w:type="character" w:customStyle="1" w:styleId="2120">
    <w:name w:val="OK 修改正文 Char Char"/>
    <w:link w:val="2121"/>
    <w:qFormat/>
    <w:uiPriority w:val="0"/>
    <w:rPr>
      <w:rFonts w:ascii="宋体" w:hAnsi="宋体"/>
      <w:sz w:val="24"/>
      <w:u w:val="single"/>
    </w:rPr>
  </w:style>
  <w:style w:type="paragraph" w:customStyle="1" w:styleId="2121">
    <w:name w:val="OK 修改正文"/>
    <w:basedOn w:val="1"/>
    <w:link w:val="2120"/>
    <w:qFormat/>
    <w:uiPriority w:val="0"/>
    <w:pPr>
      <w:widowControl w:val="0"/>
      <w:spacing w:line="300" w:lineRule="auto"/>
      <w:ind w:firstLine="480" w:firstLineChars="200"/>
      <w:jc w:val="both"/>
    </w:pPr>
    <w:rPr>
      <w:rFonts w:cs="Times New Roman"/>
      <w:szCs w:val="20"/>
      <w:u w:val="single"/>
    </w:rPr>
  </w:style>
  <w:style w:type="character" w:customStyle="1" w:styleId="2122">
    <w:name w:val="正文文本 字符3"/>
    <w:qFormat/>
    <w:uiPriority w:val="0"/>
    <w:rPr>
      <w:b/>
      <w:kern w:val="2"/>
      <w:sz w:val="24"/>
    </w:rPr>
  </w:style>
  <w:style w:type="paragraph" w:customStyle="1" w:styleId="2123">
    <w:name w:val="标题标题"/>
    <w:basedOn w:val="1"/>
    <w:next w:val="1"/>
    <w:qFormat/>
    <w:uiPriority w:val="0"/>
    <w:pPr>
      <w:autoSpaceDE w:val="0"/>
      <w:autoSpaceDN w:val="0"/>
      <w:adjustRightInd w:val="0"/>
      <w:snapToGrid w:val="0"/>
      <w:spacing w:beforeLines="50" w:afterLines="50"/>
      <w:jc w:val="center"/>
    </w:pPr>
    <w:rPr>
      <w:rFonts w:cs="Times New Roman"/>
      <w:kern w:val="11"/>
      <w:sz w:val="28"/>
      <w:szCs w:val="28"/>
    </w:rPr>
  </w:style>
  <w:style w:type="paragraph" w:customStyle="1" w:styleId="2124">
    <w:name w:val="引文目录标题2"/>
    <w:basedOn w:val="1"/>
    <w:next w:val="1"/>
    <w:qFormat/>
    <w:uiPriority w:val="0"/>
    <w:pPr>
      <w:widowControl w:val="0"/>
      <w:spacing w:before="120" w:line="480" w:lineRule="exact"/>
      <w:jc w:val="both"/>
    </w:pPr>
    <w:rPr>
      <w:rFonts w:ascii="Arial" w:hAnsi="Arial" w:cs="Arial"/>
      <w:kern w:val="2"/>
    </w:rPr>
  </w:style>
  <w:style w:type="paragraph" w:customStyle="1" w:styleId="2125">
    <w:name w:val="样式 标题 3"/>
    <w:basedOn w:val="7"/>
    <w:qFormat/>
    <w:uiPriority w:val="0"/>
    <w:pPr>
      <w:widowControl w:val="0"/>
      <w:adjustRightInd w:val="0"/>
      <w:snapToGrid w:val="0"/>
      <w:spacing w:before="120" w:after="120" w:line="480" w:lineRule="exact"/>
      <w:jc w:val="both"/>
    </w:pPr>
    <w:rPr>
      <w:rFonts w:eastAsia="方正黑体简体"/>
      <w:b/>
      <w:bCs w:val="0"/>
      <w:kern w:val="2"/>
      <w:sz w:val="30"/>
      <w:szCs w:val="30"/>
    </w:rPr>
  </w:style>
  <w:style w:type="paragraph" w:customStyle="1" w:styleId="2126">
    <w:name w:val="报告名称 +"/>
    <w:basedOn w:val="1782"/>
    <w:qFormat/>
    <w:uiPriority w:val="0"/>
    <w:pPr>
      <w:spacing w:beforeLines="50" w:afterLines="50"/>
    </w:pPr>
    <w:rPr>
      <w:rFonts w:hint="eastAsia" w:ascii="黑体" w:hAnsi="黑体" w:cs="宋体"/>
      <w:sz w:val="52"/>
      <w:szCs w:val="24"/>
    </w:rPr>
  </w:style>
  <w:style w:type="paragraph" w:customStyle="1" w:styleId="2127">
    <w:name w:val="样式31"/>
    <w:basedOn w:val="1"/>
    <w:qFormat/>
    <w:uiPriority w:val="0"/>
    <w:pPr>
      <w:widowControl w:val="0"/>
      <w:adjustRightInd w:val="0"/>
      <w:snapToGrid w:val="0"/>
      <w:spacing w:line="480" w:lineRule="exact"/>
      <w:ind w:firstLine="560" w:firstLineChars="200"/>
      <w:jc w:val="center"/>
    </w:pPr>
    <w:rPr>
      <w:rFonts w:ascii="Times New Roman" w:hAnsi="Times New Roman" w:cs="Times New Roman"/>
      <w:snapToGrid w:val="0"/>
      <w:sz w:val="28"/>
      <w:szCs w:val="28"/>
    </w:rPr>
  </w:style>
  <w:style w:type="paragraph" w:customStyle="1" w:styleId="2128">
    <w:name w:val="样式 样式 样式5 + 段前: 0.5 行 段后: 0.3 行 + 段前: 0.5 行 段后: 0.3 行"/>
    <w:basedOn w:val="2129"/>
    <w:qFormat/>
    <w:uiPriority w:val="0"/>
    <w:pPr>
      <w:spacing w:before="120" w:afterLines="0"/>
    </w:pPr>
  </w:style>
  <w:style w:type="paragraph" w:customStyle="1" w:styleId="2129">
    <w:name w:val="样式 样式5 + 段前: 0.5 行 段后: 0.3 行"/>
    <w:basedOn w:val="1139"/>
    <w:qFormat/>
    <w:uiPriority w:val="0"/>
    <w:pPr>
      <w:topLinePunct/>
      <w:adjustRightInd/>
      <w:snapToGrid/>
      <w:spacing w:before="200" w:afterLines="30" w:line="240" w:lineRule="auto"/>
      <w:ind w:firstLine="0"/>
      <w:jc w:val="center"/>
      <w:textAlignment w:val="auto"/>
    </w:pPr>
    <w:rPr>
      <w:rFonts w:hint="eastAsia" w:ascii="方正黑体简体" w:hAnsi="Arial" w:eastAsia="方正黑体简体"/>
      <w:snapToGrid w:val="0"/>
      <w:szCs w:val="28"/>
    </w:rPr>
  </w:style>
  <w:style w:type="paragraph" w:customStyle="1" w:styleId="2130">
    <w:name w:val="环保表内字（六号）"/>
    <w:basedOn w:val="1665"/>
    <w:qFormat/>
    <w:uiPriority w:val="0"/>
    <w:pPr>
      <w:tabs>
        <w:tab w:val="clear" w:pos="540"/>
        <w:tab w:val="clear" w:pos="4095"/>
      </w:tabs>
      <w:topLinePunct w:val="0"/>
      <w:adjustRightInd w:val="0"/>
      <w:snapToGrid w:val="0"/>
      <w:spacing w:line="0" w:lineRule="atLeast"/>
    </w:pPr>
    <w:rPr>
      <w:rFonts w:ascii="Calibri" w:hAnsi="Calibri" w:cs="Times New Roman"/>
      <w:kern w:val="0"/>
      <w:sz w:val="15"/>
    </w:rPr>
  </w:style>
  <w:style w:type="paragraph" w:customStyle="1" w:styleId="2131">
    <w:name w:val="xl21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2132">
    <w:name w:val="xl1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00"/>
      <w:sz w:val="20"/>
      <w:szCs w:val="20"/>
    </w:rPr>
  </w:style>
  <w:style w:type="paragraph" w:customStyle="1" w:styleId="2133">
    <w:name w:val="Знак Знак12"/>
    <w:basedOn w:val="1"/>
    <w:qFormat/>
    <w:uiPriority w:val="0"/>
    <w:pPr>
      <w:widowControl w:val="0"/>
      <w:jc w:val="both"/>
    </w:pPr>
    <w:rPr>
      <w:rFonts w:ascii="Times New Roman" w:hAnsi="Times New Roman" w:cs="Times New Roman"/>
      <w:kern w:val="2"/>
      <w:sz w:val="21"/>
    </w:rPr>
  </w:style>
  <w:style w:type="paragraph" w:customStyle="1" w:styleId="2134">
    <w:name w:val="样式27"/>
    <w:basedOn w:val="1"/>
    <w:qFormat/>
    <w:uiPriority w:val="0"/>
    <w:pPr>
      <w:widowControl w:val="0"/>
      <w:adjustRightInd w:val="0"/>
      <w:snapToGrid w:val="0"/>
      <w:spacing w:line="480" w:lineRule="exact"/>
      <w:ind w:firstLine="700" w:firstLineChars="250"/>
      <w:jc w:val="both"/>
    </w:pPr>
    <w:rPr>
      <w:rFonts w:ascii="Times New Roman" w:hAnsi="Times New Roman" w:cs="Times New Roman"/>
      <w:snapToGrid w:val="0"/>
      <w:sz w:val="28"/>
      <w:szCs w:val="28"/>
    </w:rPr>
  </w:style>
  <w:style w:type="paragraph" w:customStyle="1" w:styleId="2135">
    <w:name w:val="索引 32"/>
    <w:basedOn w:val="1"/>
    <w:next w:val="1"/>
    <w:qFormat/>
    <w:uiPriority w:val="0"/>
    <w:pPr>
      <w:widowControl w:val="0"/>
      <w:spacing w:line="480" w:lineRule="exact"/>
      <w:ind w:left="400" w:leftChars="400"/>
      <w:jc w:val="both"/>
    </w:pPr>
    <w:rPr>
      <w:rFonts w:ascii="Times New Roman" w:hAnsi="Times New Roman" w:cs="Times New Roman"/>
      <w:kern w:val="2"/>
    </w:rPr>
  </w:style>
  <w:style w:type="paragraph" w:customStyle="1" w:styleId="2136">
    <w:name w:val="表格文字居中（五号）"/>
    <w:basedOn w:val="1178"/>
    <w:qFormat/>
    <w:uiPriority w:val="0"/>
    <w:pPr>
      <w:adjustRightInd w:val="0"/>
      <w:spacing w:line="400" w:lineRule="exact"/>
      <w:ind w:firstLine="480" w:firstLineChars="0"/>
    </w:pPr>
    <w:rPr>
      <w:rFonts w:ascii="Verdana" w:hAnsi="Verdana" w:eastAsia="宋体" w:cs="Times New Roman"/>
      <w:kern w:val="0"/>
      <w:sz w:val="21"/>
      <w:szCs w:val="24"/>
    </w:rPr>
  </w:style>
  <w:style w:type="paragraph" w:customStyle="1" w:styleId="2137">
    <w:name w:val="Char Char Char Char Char Char Char Char Char Char3"/>
    <w:basedOn w:val="1"/>
    <w:qFormat/>
    <w:uiPriority w:val="0"/>
    <w:rPr>
      <w:szCs w:val="21"/>
    </w:rPr>
  </w:style>
  <w:style w:type="paragraph" w:customStyle="1" w:styleId="2138">
    <w:name w:val="Char Char Char Char Char Char Char Char Char Char Char Char Char1"/>
    <w:basedOn w:val="1"/>
    <w:qFormat/>
    <w:uiPriority w:val="0"/>
    <w:pPr>
      <w:widowControl w:val="0"/>
      <w:adjustRightInd w:val="0"/>
      <w:spacing w:line="360" w:lineRule="auto"/>
      <w:jc w:val="both"/>
    </w:pPr>
    <w:rPr>
      <w:rFonts w:ascii="Times New Roman" w:hAnsi="Times New Roman" w:cs="Times New Roman"/>
    </w:rPr>
  </w:style>
  <w:style w:type="paragraph" w:customStyle="1" w:styleId="2139">
    <w:name w:val="样式 样式5 + 段前: 0.5 行 段后: 0.3 行1"/>
    <w:basedOn w:val="1139"/>
    <w:qFormat/>
    <w:uiPriority w:val="0"/>
    <w:pPr>
      <w:topLinePunct/>
      <w:adjustRightInd/>
      <w:snapToGrid/>
      <w:spacing w:beforeLines="20" w:afterLines="30" w:line="240" w:lineRule="auto"/>
      <w:ind w:firstLine="0"/>
      <w:jc w:val="center"/>
      <w:textAlignment w:val="auto"/>
    </w:pPr>
    <w:rPr>
      <w:rFonts w:hint="eastAsia" w:ascii="方正黑体简体" w:hAnsi="Arial" w:eastAsia="方正黑体简体"/>
      <w:snapToGrid w:val="0"/>
      <w:kern w:val="2"/>
      <w:szCs w:val="28"/>
    </w:rPr>
  </w:style>
  <w:style w:type="paragraph" w:customStyle="1" w:styleId="2140">
    <w:name w:val="样式 (中文) 方正黑体简体 居中"/>
    <w:basedOn w:val="1"/>
    <w:qFormat/>
    <w:uiPriority w:val="0"/>
    <w:pPr>
      <w:widowControl w:val="0"/>
      <w:snapToGrid w:val="0"/>
      <w:spacing w:beforeLines="100" w:line="480" w:lineRule="exact"/>
      <w:jc w:val="center"/>
    </w:pPr>
    <w:rPr>
      <w:rFonts w:ascii="Times New Roman" w:hAnsi="Times New Roman" w:eastAsia="方正黑体简体"/>
      <w:szCs w:val="20"/>
    </w:rPr>
  </w:style>
  <w:style w:type="paragraph" w:customStyle="1" w:styleId="2141">
    <w:name w:val="xl179"/>
    <w:basedOn w:val="1"/>
    <w:qFormat/>
    <w:uiPriority w:val="0"/>
    <w:pPr>
      <w:shd w:val="clear" w:color="auto" w:fill="FF8080"/>
      <w:spacing w:before="100" w:beforeAutospacing="1" w:after="100" w:afterAutospacing="1"/>
    </w:pPr>
    <w:rPr>
      <w:rFonts w:ascii="方正综艺简体" w:eastAsia="方正综艺简体"/>
      <w:color w:val="000000"/>
      <w:sz w:val="20"/>
      <w:szCs w:val="20"/>
    </w:rPr>
  </w:style>
  <w:style w:type="paragraph" w:customStyle="1" w:styleId="2142">
    <w:name w:val="xl1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143">
    <w:name w:val="样式 样式 标题 7 + 首行缩进:  2 字符1 + 首行缩进:  2 字符"/>
    <w:basedOn w:val="2144"/>
    <w:qFormat/>
    <w:uiPriority w:val="0"/>
    <w:pPr>
      <w:tabs>
        <w:tab w:val="left" w:pos="425"/>
      </w:tabs>
      <w:spacing w:before="100"/>
    </w:pPr>
  </w:style>
  <w:style w:type="paragraph" w:customStyle="1" w:styleId="2144">
    <w:name w:val="样式 标题 7 + 首行缩进:  2 字符1"/>
    <w:basedOn w:val="11"/>
    <w:qFormat/>
    <w:uiPriority w:val="0"/>
    <w:pPr>
      <w:keepLines/>
      <w:tabs>
        <w:tab w:val="left" w:pos="425"/>
        <w:tab w:val="clear" w:pos="360"/>
      </w:tabs>
      <w:snapToGrid w:val="0"/>
      <w:spacing w:before="60" w:after="64" w:line="360" w:lineRule="auto"/>
      <w:ind w:left="0" w:firstLine="562" w:firstLineChars="200"/>
    </w:pPr>
    <w:rPr>
      <w:rFonts w:ascii="宋体" w:hAnsi="宋体" w:cs="宋体"/>
      <w:color w:val="000000"/>
      <w:kern w:val="0"/>
      <w:szCs w:val="20"/>
    </w:rPr>
  </w:style>
  <w:style w:type="paragraph" w:customStyle="1" w:styleId="2145">
    <w:name w:val="xl165"/>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color w:val="000000"/>
      <w:sz w:val="20"/>
      <w:szCs w:val="20"/>
    </w:rPr>
  </w:style>
  <w:style w:type="paragraph" w:customStyle="1" w:styleId="2146">
    <w:name w:val="xl161"/>
    <w:basedOn w:val="1"/>
    <w:qFormat/>
    <w:uiPriority w:val="0"/>
    <w:pPr>
      <w:spacing w:before="100" w:beforeAutospacing="1" w:after="100" w:afterAutospacing="1"/>
      <w:jc w:val="center"/>
    </w:pPr>
    <w:rPr>
      <w:color w:val="000000"/>
      <w:sz w:val="20"/>
      <w:szCs w:val="20"/>
    </w:rPr>
  </w:style>
  <w:style w:type="paragraph" w:customStyle="1" w:styleId="2147">
    <w:name w:val="xl312"/>
    <w:basedOn w:val="1"/>
    <w:qFormat/>
    <w:uiPriority w:val="0"/>
    <w:pPr>
      <w:pBdr>
        <w:top w:val="single" w:color="auto" w:sz="4" w:space="0"/>
        <w:left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148">
    <w:name w:val="图表标题 Char Char Char Char Char Char"/>
    <w:basedOn w:val="1"/>
    <w:next w:val="1"/>
    <w:qFormat/>
    <w:uiPriority w:val="0"/>
    <w:pPr>
      <w:widowControl w:val="0"/>
      <w:adjustRightInd w:val="0"/>
      <w:snapToGrid w:val="0"/>
      <w:ind w:left="1120"/>
      <w:jc w:val="center"/>
    </w:pPr>
    <w:rPr>
      <w:rFonts w:ascii="黑体" w:hAnsi="Times New Roman" w:eastAsia="黑体" w:cs="Times New Roman"/>
      <w:kern w:val="2"/>
    </w:rPr>
  </w:style>
  <w:style w:type="paragraph" w:customStyle="1" w:styleId="2149">
    <w:name w:val="xl24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150">
    <w:name w:val="xl259"/>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151">
    <w:name w:val="样式49"/>
    <w:basedOn w:val="1"/>
    <w:qFormat/>
    <w:uiPriority w:val="0"/>
    <w:pPr>
      <w:widowControl w:val="0"/>
      <w:adjustRightInd w:val="0"/>
      <w:snapToGrid w:val="0"/>
      <w:spacing w:line="480" w:lineRule="exact"/>
      <w:ind w:left="-140" w:right="31"/>
      <w:jc w:val="center"/>
    </w:pPr>
    <w:rPr>
      <w:rFonts w:ascii="Times New Roman" w:hAnsi="Times New Roman" w:cs="Times New Roman"/>
      <w:snapToGrid w:val="0"/>
      <w:sz w:val="21"/>
      <w:szCs w:val="21"/>
    </w:rPr>
  </w:style>
  <w:style w:type="paragraph" w:customStyle="1" w:styleId="2152">
    <w:name w:val="xl270"/>
    <w:basedOn w:val="1"/>
    <w:qFormat/>
    <w:uiPriority w:val="0"/>
    <w:pPr>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pPr>
    <w:rPr>
      <w:rFonts w:ascii="方正综艺简体" w:eastAsia="方正综艺简体"/>
      <w:color w:val="000000"/>
      <w:sz w:val="20"/>
      <w:szCs w:val="20"/>
    </w:rPr>
  </w:style>
  <w:style w:type="paragraph" w:customStyle="1" w:styleId="2153">
    <w:name w:val="HTML 预设格式2"/>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color w:val="000000"/>
      <w:kern w:val="2"/>
    </w:rPr>
  </w:style>
  <w:style w:type="paragraph" w:customStyle="1" w:styleId="2154">
    <w:name w:val="Char111"/>
    <w:basedOn w:val="1"/>
    <w:qFormat/>
    <w:uiPriority w:val="0"/>
    <w:pPr>
      <w:widowControl w:val="0"/>
      <w:jc w:val="both"/>
    </w:pPr>
    <w:rPr>
      <w:rFonts w:ascii="Times New Roman" w:hAnsi="Times New Roman" w:cs="Times New Roman"/>
      <w:kern w:val="2"/>
      <w:sz w:val="21"/>
    </w:rPr>
  </w:style>
  <w:style w:type="paragraph" w:customStyle="1" w:styleId="2155">
    <w:name w:val="单位名称"/>
    <w:qFormat/>
    <w:uiPriority w:val="0"/>
    <w:pPr>
      <w:spacing w:line="700" w:lineRule="exact"/>
      <w:jc w:val="center"/>
    </w:pPr>
    <w:rPr>
      <w:rFonts w:ascii="Arial" w:hAnsi="Arial" w:eastAsia="楷体_GB2312" w:cs="Arial"/>
      <w:bCs/>
      <w:kern w:val="2"/>
      <w:sz w:val="36"/>
      <w:szCs w:val="36"/>
      <w:lang w:val="en-US" w:eastAsia="zh-CN" w:bidi="ar-SA"/>
    </w:rPr>
  </w:style>
  <w:style w:type="paragraph" w:customStyle="1" w:styleId="2156">
    <w:name w:val="样式46"/>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rPr>
  </w:style>
  <w:style w:type="paragraph" w:customStyle="1" w:styleId="2157">
    <w:name w:val="xl1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158">
    <w:name w:val="xl145"/>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2"/>
      <w:szCs w:val="22"/>
    </w:rPr>
  </w:style>
  <w:style w:type="paragraph" w:customStyle="1" w:styleId="2159">
    <w:name w:val="档案号内容"/>
    <w:basedOn w:val="2160"/>
    <w:qFormat/>
    <w:uiPriority w:val="0"/>
    <w:pPr>
      <w:spacing w:beforeLines="0"/>
    </w:pPr>
    <w:rPr>
      <w:rFonts w:eastAsia="宋体"/>
    </w:rPr>
  </w:style>
  <w:style w:type="paragraph" w:customStyle="1" w:styleId="2160">
    <w:name w:val="封面档案号"/>
    <w:basedOn w:val="2161"/>
    <w:qFormat/>
    <w:uiPriority w:val="0"/>
    <w:pPr>
      <w:spacing w:beforeLines="100" w:line="480" w:lineRule="exact"/>
    </w:pPr>
    <w:rPr>
      <w:sz w:val="32"/>
      <w:szCs w:val="32"/>
    </w:rPr>
  </w:style>
  <w:style w:type="paragraph" w:customStyle="1" w:styleId="2161">
    <w:name w:val="封面题目"/>
    <w:basedOn w:val="1"/>
    <w:qFormat/>
    <w:uiPriority w:val="0"/>
    <w:pPr>
      <w:widowControl w:val="0"/>
      <w:spacing w:beforeLines="700" w:line="700" w:lineRule="exact"/>
      <w:jc w:val="center"/>
    </w:pPr>
    <w:rPr>
      <w:rFonts w:ascii="Times New Roman" w:hAnsi="Times New Roman" w:eastAsia="黑体" w:cs="Times New Roman"/>
      <w:kern w:val="2"/>
      <w:sz w:val="52"/>
      <w:szCs w:val="52"/>
    </w:rPr>
  </w:style>
  <w:style w:type="paragraph" w:customStyle="1" w:styleId="2162">
    <w:name w:val="标题4+"/>
    <w:basedOn w:val="8"/>
    <w:qFormat/>
    <w:uiPriority w:val="0"/>
    <w:pPr>
      <w:widowControl w:val="0"/>
      <w:adjustRightInd w:val="0"/>
      <w:snapToGrid w:val="0"/>
      <w:spacing w:before="120" w:after="120" w:line="600" w:lineRule="exact"/>
    </w:pPr>
    <w:rPr>
      <w:rFonts w:eastAsia="黑体" w:cs="Times New Roman"/>
      <w:bCs/>
      <w:snapToGrid w:val="0"/>
      <w:sz w:val="28"/>
      <w:szCs w:val="28"/>
      <w:lang w:val="en-US"/>
    </w:rPr>
  </w:style>
  <w:style w:type="paragraph" w:customStyle="1" w:styleId="2163">
    <w:name w:val="样式92"/>
    <w:basedOn w:val="2164"/>
    <w:qFormat/>
    <w:uiPriority w:val="0"/>
    <w:pPr>
      <w:spacing w:before="0" w:after="0" w:line="240" w:lineRule="auto"/>
      <w:ind w:firstLine="420" w:firstLineChars="150"/>
    </w:pPr>
    <w:rPr>
      <w:rFonts w:ascii="宋体" w:hAnsi="宋体" w:eastAsia="宋体"/>
      <w:color w:val="FF0000"/>
      <w:sz w:val="28"/>
      <w:szCs w:val="28"/>
    </w:rPr>
  </w:style>
  <w:style w:type="paragraph" w:customStyle="1" w:styleId="2164">
    <w:name w:val="标题2+"/>
    <w:basedOn w:val="5"/>
    <w:qFormat/>
    <w:uiPriority w:val="0"/>
    <w:pPr>
      <w:widowControl w:val="0"/>
      <w:adjustRightInd w:val="0"/>
      <w:snapToGrid w:val="0"/>
      <w:spacing w:before="240" w:after="120" w:line="480" w:lineRule="exact"/>
    </w:pPr>
    <w:rPr>
      <w:rFonts w:ascii="Times New Roman" w:hAnsi="Times New Roman" w:cs="宋体"/>
      <w:snapToGrid w:val="0"/>
      <w:sz w:val="32"/>
      <w:szCs w:val="20"/>
    </w:rPr>
  </w:style>
  <w:style w:type="paragraph" w:customStyle="1" w:styleId="2165">
    <w:name w:val="样式 正文二级标题 + 首行缩进:  2 字符"/>
    <w:basedOn w:val="2166"/>
    <w:qFormat/>
    <w:uiPriority w:val="0"/>
    <w:pPr>
      <w:spacing w:line="480" w:lineRule="exact"/>
      <w:ind w:firstLine="0" w:firstLineChars="0"/>
      <w:jc w:val="center"/>
    </w:pPr>
    <w:rPr>
      <w:rFonts w:cs="宋体"/>
      <w:sz w:val="44"/>
      <w:szCs w:val="44"/>
    </w:rPr>
  </w:style>
  <w:style w:type="paragraph" w:customStyle="1" w:styleId="2166">
    <w:name w:val="正文二级标题"/>
    <w:basedOn w:val="1"/>
    <w:qFormat/>
    <w:uiPriority w:val="0"/>
    <w:pPr>
      <w:widowControl w:val="0"/>
      <w:spacing w:before="240" w:after="120" w:line="240" w:lineRule="exact"/>
      <w:ind w:firstLine="200" w:firstLineChars="200"/>
      <w:jc w:val="both"/>
      <w:outlineLvl w:val="1"/>
    </w:pPr>
    <w:rPr>
      <w:rFonts w:ascii="Times New Roman" w:hAnsi="Times New Roman" w:eastAsia="黑体" w:cs="Times New Roman"/>
      <w:kern w:val="2"/>
      <w:sz w:val="32"/>
    </w:rPr>
  </w:style>
  <w:style w:type="paragraph" w:customStyle="1" w:styleId="2167">
    <w:name w:val="3"/>
    <w:basedOn w:val="1"/>
    <w:next w:val="32"/>
    <w:qFormat/>
    <w:uiPriority w:val="0"/>
    <w:pPr>
      <w:widowControl w:val="0"/>
      <w:jc w:val="both"/>
    </w:pPr>
    <w:rPr>
      <w:rFonts w:ascii="Times New Roman" w:hAnsi="Times New Roman" w:cs="Times New Roman"/>
      <w:kern w:val="2"/>
      <w:sz w:val="28"/>
    </w:rPr>
  </w:style>
  <w:style w:type="paragraph" w:customStyle="1" w:styleId="2168">
    <w:name w:val="xl308"/>
    <w:basedOn w:val="1"/>
    <w:qFormat/>
    <w:uiPriority w:val="0"/>
    <w:pPr>
      <w:pBdr>
        <w:top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169">
    <w:name w:val="xl1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rPr>
  </w:style>
  <w:style w:type="paragraph" w:customStyle="1" w:styleId="2170">
    <w:name w:val="文字内容"/>
    <w:basedOn w:val="32"/>
    <w:qFormat/>
    <w:uiPriority w:val="0"/>
    <w:pPr>
      <w:adjustRightInd w:val="0"/>
      <w:snapToGrid w:val="0"/>
      <w:spacing w:line="400" w:lineRule="exact"/>
      <w:ind w:firstLine="200" w:firstLineChars="200"/>
      <w:jc w:val="both"/>
    </w:pPr>
    <w:rPr>
      <w:rFonts w:ascii="Arial" w:hAnsi="Arial" w:cs="宋体"/>
      <w:kern w:val="24"/>
      <w:szCs w:val="24"/>
    </w:rPr>
  </w:style>
  <w:style w:type="paragraph" w:customStyle="1" w:styleId="2171">
    <w:name w:val="Char Char1 Char Char Char Char Char Char"/>
    <w:basedOn w:val="1"/>
    <w:qFormat/>
    <w:uiPriority w:val="0"/>
    <w:pPr>
      <w:spacing w:after="160" w:line="240" w:lineRule="exact"/>
    </w:pPr>
    <w:rPr>
      <w:rFonts w:ascii="Verdana" w:hAnsi="Verdana" w:cs="Times New Roman"/>
      <w:b/>
      <w:szCs w:val="20"/>
      <w:lang w:eastAsia="en-US"/>
    </w:rPr>
  </w:style>
  <w:style w:type="paragraph" w:customStyle="1" w:styleId="2172">
    <w:name w:val="xl27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173">
    <w:name w:val="xl2139"/>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sz w:val="22"/>
      <w:szCs w:val="22"/>
    </w:rPr>
  </w:style>
  <w:style w:type="paragraph" w:customStyle="1" w:styleId="2174">
    <w:name w:val="样式36"/>
    <w:basedOn w:val="1"/>
    <w:qFormat/>
    <w:uiPriority w:val="0"/>
    <w:pPr>
      <w:widowControl w:val="0"/>
      <w:adjustRightInd w:val="0"/>
      <w:snapToGrid w:val="0"/>
      <w:spacing w:line="480" w:lineRule="exact"/>
      <w:ind w:firstLine="560" w:firstLineChars="200"/>
      <w:jc w:val="both"/>
    </w:pPr>
    <w:rPr>
      <w:rFonts w:ascii="Times New Roman" w:hAnsi="Times New Roman" w:cs="Times New Roman"/>
      <w:sz w:val="28"/>
    </w:rPr>
  </w:style>
  <w:style w:type="paragraph" w:customStyle="1" w:styleId="2175">
    <w:name w:val="xl144"/>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2"/>
      <w:szCs w:val="22"/>
    </w:rPr>
  </w:style>
  <w:style w:type="paragraph" w:customStyle="1" w:styleId="2176">
    <w:name w:val="样式 居中 行距: 固定值 22 磅"/>
    <w:basedOn w:val="1"/>
    <w:qFormat/>
    <w:uiPriority w:val="0"/>
    <w:pPr>
      <w:widowControl w:val="0"/>
      <w:spacing w:line="480" w:lineRule="exact"/>
      <w:jc w:val="center"/>
    </w:pPr>
    <w:rPr>
      <w:rFonts w:ascii="Times New Roman" w:hAnsi="Times New Roman"/>
      <w:kern w:val="2"/>
      <w:szCs w:val="20"/>
    </w:rPr>
  </w:style>
  <w:style w:type="paragraph" w:customStyle="1" w:styleId="2177">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00"/>
      <w:sz w:val="20"/>
      <w:szCs w:val="20"/>
    </w:rPr>
  </w:style>
  <w:style w:type="paragraph" w:customStyle="1" w:styleId="2178">
    <w:name w:val="xl217"/>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color w:val="000000"/>
      <w:sz w:val="20"/>
      <w:szCs w:val="20"/>
    </w:rPr>
  </w:style>
  <w:style w:type="paragraph" w:customStyle="1" w:styleId="2179">
    <w:name w:val="xl281"/>
    <w:basedOn w:val="1"/>
    <w:qFormat/>
    <w:uiPriority w:val="0"/>
    <w:pPr>
      <w:pBdr>
        <w:top w:val="single" w:color="auto" w:sz="4" w:space="0"/>
        <w:left w:val="single" w:color="auto" w:sz="4" w:space="0"/>
        <w:bottom w:val="single" w:color="auto" w:sz="4" w:space="0"/>
        <w:right w:val="single" w:color="auto" w:sz="4" w:space="0"/>
      </w:pBdr>
      <w:shd w:val="clear" w:color="auto" w:fill="99CC00"/>
      <w:spacing w:before="100" w:beforeAutospacing="1" w:after="100" w:afterAutospacing="1"/>
      <w:jc w:val="center"/>
    </w:pPr>
    <w:rPr>
      <w:rFonts w:ascii="方正综艺简体" w:eastAsia="方正综艺简体"/>
      <w:color w:val="000000"/>
      <w:sz w:val="20"/>
      <w:szCs w:val="20"/>
    </w:rPr>
  </w:style>
  <w:style w:type="paragraph" w:customStyle="1" w:styleId="2180">
    <w:name w:val="样式 标题3 + 段前: 0.5 行 段后: 0.5 行"/>
    <w:basedOn w:val="1"/>
    <w:qFormat/>
    <w:uiPriority w:val="0"/>
    <w:pPr>
      <w:keepNext/>
      <w:keepLines/>
      <w:widowControl w:val="0"/>
      <w:adjustRightInd w:val="0"/>
      <w:snapToGrid w:val="0"/>
      <w:spacing w:beforeLines="50" w:afterLines="50" w:line="480" w:lineRule="exact"/>
      <w:jc w:val="both"/>
      <w:outlineLvl w:val="2"/>
    </w:pPr>
    <w:rPr>
      <w:rFonts w:ascii="Times New Roman" w:hAnsi="Times New Roman" w:eastAsia="黑体"/>
      <w:kern w:val="2"/>
      <w:sz w:val="28"/>
      <w:szCs w:val="20"/>
    </w:rPr>
  </w:style>
  <w:style w:type="paragraph" w:customStyle="1" w:styleId="2181">
    <w:name w:val="xl2132"/>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Times New Roman" w:hAnsi="Times New Roman" w:cs="Times New Roman"/>
      <w:b/>
      <w:bCs/>
      <w:sz w:val="21"/>
      <w:szCs w:val="21"/>
    </w:rPr>
  </w:style>
  <w:style w:type="paragraph" w:customStyle="1" w:styleId="2182">
    <w:name w:val="样式32"/>
    <w:basedOn w:val="1"/>
    <w:qFormat/>
    <w:uiPriority w:val="0"/>
    <w:pPr>
      <w:widowControl w:val="0"/>
      <w:adjustRightInd w:val="0"/>
      <w:snapToGrid w:val="0"/>
      <w:spacing w:line="480" w:lineRule="exact"/>
      <w:ind w:firstLine="1680" w:firstLineChars="600"/>
      <w:jc w:val="both"/>
    </w:pPr>
    <w:rPr>
      <w:rFonts w:ascii="Times New Roman" w:hAnsi="Times New Roman" w:cs="Times New Roman"/>
      <w:snapToGrid w:val="0"/>
      <w:sz w:val="28"/>
      <w:szCs w:val="28"/>
    </w:rPr>
  </w:style>
  <w:style w:type="paragraph" w:customStyle="1" w:styleId="2183">
    <w:name w:val="寄信人地址1"/>
    <w:basedOn w:val="1"/>
    <w:qFormat/>
    <w:uiPriority w:val="0"/>
    <w:pPr>
      <w:widowControl w:val="0"/>
      <w:snapToGrid w:val="0"/>
      <w:jc w:val="both"/>
    </w:pPr>
    <w:rPr>
      <w:rFonts w:ascii="Arial" w:hAnsi="Arial" w:cs="Arial"/>
      <w:kern w:val="2"/>
      <w:sz w:val="21"/>
      <w:szCs w:val="20"/>
    </w:rPr>
  </w:style>
  <w:style w:type="paragraph" w:customStyle="1" w:styleId="2184">
    <w:name w:val="框图"/>
    <w:basedOn w:val="1"/>
    <w:qFormat/>
    <w:uiPriority w:val="0"/>
    <w:pPr>
      <w:widowControl w:val="0"/>
      <w:jc w:val="center"/>
    </w:pPr>
    <w:rPr>
      <w:rFonts w:ascii="Times New Roman" w:hAnsi="Times New Roman" w:cs="Times New Roman"/>
      <w:kern w:val="2"/>
      <w:sz w:val="18"/>
    </w:rPr>
  </w:style>
  <w:style w:type="paragraph" w:customStyle="1" w:styleId="2185">
    <w:name w:val="正文文本缩进13"/>
    <w:basedOn w:val="1"/>
    <w:qFormat/>
    <w:uiPriority w:val="0"/>
    <w:pPr>
      <w:widowControl w:val="0"/>
      <w:adjustRightInd w:val="0"/>
      <w:spacing w:line="360" w:lineRule="atLeast"/>
      <w:ind w:left="280" w:firstLine="560"/>
      <w:textAlignment w:val="baseline"/>
    </w:pPr>
    <w:rPr>
      <w:rFonts w:ascii="Times New Roman" w:hAnsi="Times New Roman" w:cs="Times New Roman"/>
    </w:rPr>
  </w:style>
  <w:style w:type="paragraph" w:customStyle="1" w:styleId="2186">
    <w:name w:val="样式84"/>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rPr>
  </w:style>
  <w:style w:type="paragraph" w:customStyle="1" w:styleId="2187">
    <w:name w:val="样式86"/>
    <w:basedOn w:val="1"/>
    <w:qFormat/>
    <w:uiPriority w:val="0"/>
    <w:pPr>
      <w:widowControl w:val="0"/>
      <w:adjustRightInd w:val="0"/>
      <w:snapToGrid w:val="0"/>
      <w:spacing w:line="480" w:lineRule="exact"/>
      <w:jc w:val="both"/>
    </w:pPr>
    <w:rPr>
      <w:rFonts w:ascii="Times New Roman" w:hAnsi="Times New Roman" w:cs="Times New Roman"/>
      <w:snapToGrid w:val="0"/>
      <w:color w:val="000000"/>
      <w:sz w:val="28"/>
      <w:szCs w:val="21"/>
    </w:rPr>
  </w:style>
  <w:style w:type="paragraph" w:customStyle="1" w:styleId="2188">
    <w:name w:val="批注主题1"/>
    <w:basedOn w:val="27"/>
    <w:next w:val="27"/>
    <w:qFormat/>
    <w:uiPriority w:val="0"/>
    <w:pPr>
      <w:widowControl w:val="0"/>
    </w:pPr>
    <w:rPr>
      <w:rFonts w:ascii="Times New Roman" w:hAnsi="Times New Roman"/>
      <w:b/>
      <w:bCs/>
      <w:kern w:val="2"/>
      <w:szCs w:val="20"/>
    </w:rPr>
  </w:style>
  <w:style w:type="paragraph" w:customStyle="1" w:styleId="2189">
    <w:name w:val="样式87"/>
    <w:basedOn w:val="2187"/>
    <w:qFormat/>
    <w:uiPriority w:val="0"/>
    <w:pPr>
      <w:ind w:firstLine="560" w:firstLineChars="200"/>
    </w:pPr>
    <w:rPr>
      <w:rFonts w:ascii="宋体" w:hAnsi="宋体" w:cs="宋体"/>
      <w:szCs w:val="28"/>
    </w:rPr>
  </w:style>
  <w:style w:type="paragraph" w:customStyle="1" w:styleId="2190">
    <w:name w:val="xl19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191">
    <w:name w:val="表格样式"/>
    <w:basedOn w:val="1"/>
    <w:qFormat/>
    <w:uiPriority w:val="0"/>
    <w:pPr>
      <w:widowControl w:val="0"/>
      <w:adjustRightInd w:val="0"/>
      <w:snapToGrid w:val="0"/>
      <w:spacing w:line="0" w:lineRule="atLeast"/>
      <w:jc w:val="center"/>
    </w:pPr>
    <w:rPr>
      <w:rFonts w:ascii="Times New Roman" w:hAnsi="Times New Roman" w:cs="Times New Roman"/>
      <w:kern w:val="2"/>
      <w:sz w:val="21"/>
    </w:rPr>
  </w:style>
  <w:style w:type="paragraph" w:customStyle="1" w:styleId="2192">
    <w:name w:val="xl12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FF0000"/>
      <w:sz w:val="21"/>
      <w:szCs w:val="21"/>
    </w:rPr>
  </w:style>
  <w:style w:type="paragraph" w:customStyle="1" w:styleId="2193">
    <w:name w:val="xl306"/>
    <w:basedOn w:val="1"/>
    <w:qFormat/>
    <w:uiPriority w:val="0"/>
    <w:pPr>
      <w:pBdr>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194">
    <w:name w:val="xl11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b/>
      <w:bCs/>
      <w:sz w:val="21"/>
      <w:szCs w:val="21"/>
    </w:rPr>
  </w:style>
  <w:style w:type="paragraph" w:customStyle="1" w:styleId="2195">
    <w:name w:val="xl1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FF0000"/>
      <w:sz w:val="22"/>
      <w:szCs w:val="22"/>
    </w:rPr>
  </w:style>
  <w:style w:type="paragraph" w:customStyle="1" w:styleId="2196">
    <w:name w:val="样式 (符号) 宋体 右"/>
    <w:basedOn w:val="1"/>
    <w:qFormat/>
    <w:uiPriority w:val="0"/>
    <w:pPr>
      <w:widowControl w:val="0"/>
      <w:adjustRightInd w:val="0"/>
      <w:snapToGrid w:val="0"/>
      <w:spacing w:line="500" w:lineRule="exact"/>
      <w:ind w:firstLine="200" w:firstLineChars="200"/>
      <w:jc w:val="right"/>
    </w:pPr>
    <w:rPr>
      <w:rFonts w:ascii="Times New Roman"/>
      <w:sz w:val="28"/>
      <w:szCs w:val="20"/>
    </w:rPr>
  </w:style>
  <w:style w:type="paragraph" w:customStyle="1" w:styleId="2197">
    <w:name w:val="xl21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2198">
    <w:name w:val="xl255"/>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sz w:val="20"/>
      <w:szCs w:val="20"/>
    </w:rPr>
  </w:style>
  <w:style w:type="paragraph" w:customStyle="1" w:styleId="2199">
    <w:name w:val="样式30"/>
    <w:basedOn w:val="1"/>
    <w:qFormat/>
    <w:uiPriority w:val="0"/>
    <w:pPr>
      <w:widowControl w:val="0"/>
      <w:adjustRightInd w:val="0"/>
      <w:snapToGrid w:val="0"/>
      <w:spacing w:line="480" w:lineRule="exact"/>
      <w:ind w:firstLine="560" w:firstLineChars="200"/>
      <w:jc w:val="center"/>
    </w:pPr>
    <w:rPr>
      <w:rFonts w:ascii="Times New Roman" w:hAnsi="Times New Roman" w:cs="Times New Roman"/>
      <w:snapToGrid w:val="0"/>
      <w:sz w:val="28"/>
    </w:rPr>
  </w:style>
  <w:style w:type="paragraph" w:customStyle="1" w:styleId="2200">
    <w:name w:val="普通(网站)2"/>
    <w:basedOn w:val="1"/>
    <w:qFormat/>
    <w:uiPriority w:val="0"/>
    <w:pPr>
      <w:spacing w:before="100" w:beforeAutospacing="1" w:after="100" w:afterAutospacing="1"/>
    </w:pPr>
  </w:style>
  <w:style w:type="paragraph" w:customStyle="1" w:styleId="2201">
    <w:name w:val="p16"/>
    <w:basedOn w:val="1"/>
    <w:qFormat/>
    <w:uiPriority w:val="0"/>
    <w:pPr>
      <w:spacing w:before="100" w:beforeAutospacing="1" w:after="100" w:afterAutospacing="1"/>
    </w:pPr>
  </w:style>
  <w:style w:type="paragraph" w:customStyle="1" w:styleId="2202">
    <w:name w:val="xl304"/>
    <w:basedOn w:val="1"/>
    <w:qFormat/>
    <w:uiPriority w:val="0"/>
    <w:pPr>
      <w:pBdr>
        <w:top w:val="single" w:color="auto" w:sz="4" w:space="0"/>
        <w:lef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203">
    <w:name w:val="Char Char2 Char Char Char1 Char Char Char Char Char Char Char"/>
    <w:basedOn w:val="1"/>
    <w:qFormat/>
    <w:uiPriority w:val="0"/>
    <w:pPr>
      <w:widowControl w:val="0"/>
      <w:jc w:val="both"/>
    </w:pPr>
    <w:rPr>
      <w:rFonts w:ascii="Times New Roman" w:hAnsi="Times New Roman" w:cs="Times New Roman"/>
      <w:kern w:val="2"/>
      <w:sz w:val="21"/>
    </w:rPr>
  </w:style>
  <w:style w:type="paragraph" w:customStyle="1" w:styleId="2204">
    <w:name w:val="批注主题2"/>
    <w:basedOn w:val="27"/>
    <w:next w:val="27"/>
    <w:qFormat/>
    <w:uiPriority w:val="0"/>
    <w:pPr>
      <w:widowControl w:val="0"/>
      <w:adjustRightInd w:val="0"/>
      <w:snapToGrid w:val="0"/>
      <w:spacing w:line="480" w:lineRule="exact"/>
    </w:pPr>
    <w:rPr>
      <w:rFonts w:ascii="Times New Roman" w:hAnsi="Times New Roman"/>
      <w:b/>
      <w:bCs/>
      <w:kern w:val="2"/>
      <w:szCs w:val="24"/>
    </w:rPr>
  </w:style>
  <w:style w:type="paragraph" w:customStyle="1" w:styleId="2205">
    <w:name w:val="正文缩进5"/>
    <w:basedOn w:val="1"/>
    <w:qFormat/>
    <w:uiPriority w:val="0"/>
    <w:pPr>
      <w:spacing w:line="360" w:lineRule="exact"/>
      <w:ind w:firstLine="510"/>
    </w:pPr>
    <w:rPr>
      <w:szCs w:val="20"/>
    </w:rPr>
  </w:style>
  <w:style w:type="paragraph" w:customStyle="1" w:styleId="2206">
    <w:name w:val="样式41"/>
    <w:basedOn w:val="102"/>
    <w:qFormat/>
    <w:uiPriority w:val="0"/>
    <w:pPr>
      <w:adjustRightInd w:val="0"/>
      <w:spacing w:line="300" w:lineRule="exact"/>
      <w:ind w:left="-140" w:leftChars="-50" w:right="-140" w:rightChars="-50" w:firstLine="0"/>
    </w:pPr>
    <w:rPr>
      <w:rFonts w:hint="default" w:ascii="Times New Roman" w:hAnsi="Times New Roman" w:eastAsia="宋体"/>
      <w:color w:val="000000"/>
      <w:kern w:val="0"/>
      <w:szCs w:val="28"/>
    </w:rPr>
  </w:style>
  <w:style w:type="paragraph" w:customStyle="1" w:styleId="2207">
    <w:name w:val="xl17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208">
    <w:name w:val="正文－表格两端对齐"/>
    <w:basedOn w:val="1"/>
    <w:qFormat/>
    <w:uiPriority w:val="0"/>
    <w:pPr>
      <w:widowControl w:val="0"/>
      <w:adjustRightInd w:val="0"/>
      <w:snapToGrid w:val="0"/>
      <w:jc w:val="both"/>
    </w:pPr>
    <w:rPr>
      <w:rFonts w:ascii="Times New Roman" w:hAnsi="Times New Roman" w:cs="Times New Roman"/>
      <w:kern w:val="2"/>
      <w:sz w:val="21"/>
    </w:rPr>
  </w:style>
  <w:style w:type="paragraph" w:customStyle="1" w:styleId="2209">
    <w:name w:val="引文目录1"/>
    <w:basedOn w:val="1"/>
    <w:next w:val="1"/>
    <w:qFormat/>
    <w:uiPriority w:val="0"/>
    <w:pPr>
      <w:widowControl w:val="0"/>
      <w:spacing w:line="480" w:lineRule="exact"/>
      <w:ind w:left="420" w:leftChars="200"/>
      <w:jc w:val="both"/>
    </w:pPr>
    <w:rPr>
      <w:rFonts w:ascii="Times New Roman" w:hAnsi="Times New Roman" w:cs="Times New Roman"/>
      <w:kern w:val="2"/>
    </w:rPr>
  </w:style>
  <w:style w:type="paragraph" w:customStyle="1" w:styleId="2210">
    <w:name w:val="0L表"/>
    <w:basedOn w:val="1"/>
    <w:qFormat/>
    <w:uiPriority w:val="0"/>
    <w:pPr>
      <w:widowControl w:val="0"/>
      <w:adjustRightInd w:val="0"/>
      <w:spacing w:line="360" w:lineRule="auto"/>
      <w:jc w:val="center"/>
      <w:textAlignment w:val="baseline"/>
    </w:pPr>
    <w:rPr>
      <w:rFonts w:cs="Times New Roman"/>
    </w:rPr>
  </w:style>
  <w:style w:type="paragraph" w:customStyle="1" w:styleId="2211">
    <w:name w:val="正文（首行缩进两字）"/>
    <w:basedOn w:val="1"/>
    <w:qFormat/>
    <w:uiPriority w:val="0"/>
    <w:pPr>
      <w:widowControl w:val="0"/>
      <w:adjustRightInd w:val="0"/>
      <w:snapToGrid w:val="0"/>
      <w:spacing w:line="480" w:lineRule="atLeast"/>
      <w:ind w:firstLine="420"/>
      <w:jc w:val="both"/>
    </w:pPr>
    <w:rPr>
      <w:rFonts w:ascii="Times New Roman" w:hAnsi="Times New Roman" w:cs="Times New Roman"/>
      <w:kern w:val="2"/>
      <w:sz w:val="28"/>
      <w:szCs w:val="20"/>
    </w:rPr>
  </w:style>
  <w:style w:type="paragraph" w:customStyle="1" w:styleId="2212">
    <w:name w:val="1"/>
    <w:basedOn w:val="1"/>
    <w:next w:val="74"/>
    <w:qFormat/>
    <w:uiPriority w:val="0"/>
    <w:pPr>
      <w:spacing w:before="100" w:beforeAutospacing="1" w:after="100" w:afterAutospacing="1"/>
    </w:pPr>
    <w:rPr>
      <w:rFonts w:cs="Times New Roman"/>
    </w:rPr>
  </w:style>
  <w:style w:type="paragraph" w:customStyle="1" w:styleId="2213">
    <w:name w:val="xl16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214">
    <w:name w:val="签署页"/>
    <w:basedOn w:val="2155"/>
    <w:qFormat/>
    <w:uiPriority w:val="0"/>
    <w:pPr>
      <w:spacing w:line="900" w:lineRule="exact"/>
      <w:ind w:left="500" w:leftChars="500"/>
      <w:jc w:val="left"/>
    </w:pPr>
    <w:rPr>
      <w:rFonts w:eastAsia="黑体" w:cs="Times New Roman"/>
      <w:sz w:val="32"/>
    </w:rPr>
  </w:style>
  <w:style w:type="paragraph" w:customStyle="1" w:styleId="2215">
    <w:name w:val="寄信人地址11"/>
    <w:basedOn w:val="1"/>
    <w:qFormat/>
    <w:uiPriority w:val="0"/>
    <w:pPr>
      <w:widowControl w:val="0"/>
      <w:snapToGrid w:val="0"/>
      <w:jc w:val="both"/>
    </w:pPr>
    <w:rPr>
      <w:rFonts w:ascii="Arial" w:hAnsi="Arial" w:cs="Arial"/>
      <w:kern w:val="2"/>
      <w:sz w:val="21"/>
      <w:szCs w:val="20"/>
    </w:rPr>
  </w:style>
  <w:style w:type="paragraph" w:customStyle="1" w:styleId="2216">
    <w:name w:val="xl1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color w:val="000000"/>
      <w:sz w:val="20"/>
      <w:szCs w:val="20"/>
    </w:rPr>
  </w:style>
  <w:style w:type="paragraph" w:customStyle="1" w:styleId="2217">
    <w:name w:val="样式82"/>
    <w:basedOn w:val="2218"/>
    <w:qFormat/>
    <w:uiPriority w:val="0"/>
    <w:pPr>
      <w:keepNext w:val="0"/>
      <w:keepLines w:val="0"/>
      <w:widowControl/>
      <w:spacing w:line="480" w:lineRule="exact"/>
      <w:ind w:firstLine="450" w:firstLineChars="150"/>
    </w:pPr>
    <w:rPr>
      <w:rFonts w:hAnsi="宋体"/>
      <w:color w:val="000000"/>
      <w:sz w:val="28"/>
      <w:szCs w:val="28"/>
    </w:rPr>
  </w:style>
  <w:style w:type="paragraph" w:customStyle="1" w:styleId="2218">
    <w:name w:val="标题3+"/>
    <w:basedOn w:val="7"/>
    <w:qFormat/>
    <w:uiPriority w:val="0"/>
    <w:pPr>
      <w:widowControl w:val="0"/>
      <w:adjustRightInd w:val="0"/>
      <w:snapToGrid w:val="0"/>
      <w:spacing w:before="120" w:after="120" w:line="600" w:lineRule="exact"/>
      <w:jc w:val="both"/>
    </w:pPr>
    <w:rPr>
      <w:bCs w:val="0"/>
      <w:snapToGrid w:val="0"/>
      <w:sz w:val="30"/>
    </w:rPr>
  </w:style>
  <w:style w:type="paragraph" w:customStyle="1" w:styleId="2219">
    <w:name w:val="引文目录标题1"/>
    <w:basedOn w:val="1"/>
    <w:next w:val="1"/>
    <w:qFormat/>
    <w:uiPriority w:val="0"/>
    <w:pPr>
      <w:widowControl w:val="0"/>
      <w:spacing w:before="120" w:line="480" w:lineRule="exact"/>
      <w:jc w:val="both"/>
    </w:pPr>
    <w:rPr>
      <w:rFonts w:ascii="Arial" w:hAnsi="Arial" w:cs="Arial"/>
      <w:kern w:val="2"/>
    </w:rPr>
  </w:style>
  <w:style w:type="paragraph" w:customStyle="1" w:styleId="2220">
    <w:name w:val="xl158"/>
    <w:basedOn w:val="1"/>
    <w:qFormat/>
    <w:uiPriority w:val="0"/>
    <w:pPr>
      <w:spacing w:before="100" w:beforeAutospacing="1" w:after="100" w:afterAutospacing="1"/>
    </w:pPr>
    <w:rPr>
      <w:color w:val="000000"/>
      <w:sz w:val="20"/>
      <w:szCs w:val="20"/>
    </w:rPr>
  </w:style>
  <w:style w:type="paragraph" w:customStyle="1" w:styleId="2221">
    <w:name w:val="样式57"/>
    <w:basedOn w:val="2222"/>
    <w:qFormat/>
    <w:uiPriority w:val="0"/>
    <w:pPr>
      <w:spacing w:line="500" w:lineRule="exact"/>
      <w:ind w:firstLine="560"/>
    </w:pPr>
    <w:rPr>
      <w:b w:val="0"/>
    </w:rPr>
  </w:style>
  <w:style w:type="paragraph" w:customStyle="1" w:styleId="2222">
    <w:name w:val="样式55"/>
    <w:basedOn w:val="6"/>
    <w:qFormat/>
    <w:uiPriority w:val="0"/>
    <w:pPr>
      <w:widowControl w:val="0"/>
      <w:spacing w:line="360" w:lineRule="auto"/>
      <w:ind w:firstLine="562" w:firstLineChars="200"/>
      <w:jc w:val="both"/>
    </w:pPr>
    <w:rPr>
      <w:rFonts w:ascii="宋体" w:hAnsi="宋体"/>
      <w:b/>
      <w:kern w:val="2"/>
      <w:szCs w:val="28"/>
    </w:rPr>
  </w:style>
  <w:style w:type="paragraph" w:customStyle="1" w:styleId="2223">
    <w:name w:val="宏文本1"/>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imes New Roman" w:cs="Courier New"/>
      <w:kern w:val="2"/>
      <w:sz w:val="24"/>
      <w:szCs w:val="24"/>
      <w:lang w:val="en-US" w:eastAsia="zh-CN" w:bidi="ar-SA"/>
    </w:rPr>
  </w:style>
  <w:style w:type="paragraph" w:customStyle="1" w:styleId="2224">
    <w:name w:val="正文6"/>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2225">
    <w:name w:val="xl260"/>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226">
    <w:name w:val="Char Char1 Char Char Char Char Char Char Char Char Char Char Char Char Char Char Char Char Char Char"/>
    <w:basedOn w:val="1"/>
    <w:qFormat/>
    <w:uiPriority w:val="0"/>
    <w:pPr>
      <w:widowControl w:val="0"/>
      <w:adjustRightInd w:val="0"/>
      <w:spacing w:line="360" w:lineRule="auto"/>
      <w:jc w:val="both"/>
      <w:textAlignment w:val="baseline"/>
    </w:pPr>
    <w:rPr>
      <w:rFonts w:ascii="Times New Roman" w:hAnsi="Times New Roman" w:cs="Times New Roman"/>
    </w:rPr>
  </w:style>
  <w:style w:type="paragraph" w:customStyle="1" w:styleId="2227">
    <w:name w:val="项目号"/>
    <w:basedOn w:val="1"/>
    <w:qFormat/>
    <w:uiPriority w:val="0"/>
    <w:pPr>
      <w:widowControl w:val="0"/>
      <w:spacing w:afterLines="50" w:line="480" w:lineRule="exact"/>
      <w:ind w:firstLine="560" w:firstLineChars="200"/>
      <w:jc w:val="both"/>
    </w:pPr>
    <w:rPr>
      <w:rFonts w:cs="Times New Roman"/>
      <w:sz w:val="28"/>
      <w:szCs w:val="28"/>
    </w:rPr>
  </w:style>
  <w:style w:type="paragraph" w:customStyle="1" w:styleId="2228">
    <w:name w:val="样式80"/>
    <w:basedOn w:val="1178"/>
    <w:qFormat/>
    <w:uiPriority w:val="0"/>
    <w:pPr>
      <w:adjustRightInd w:val="0"/>
      <w:spacing w:line="480" w:lineRule="exact"/>
      <w:ind w:firstLine="420"/>
      <w:jc w:val="center"/>
      <w:textAlignment w:val="baseline"/>
    </w:pPr>
    <w:rPr>
      <w:rFonts w:ascii="Times New Roman" w:hAnsi="Times New Roman" w:eastAsia="宋体" w:cs="Times New Roman"/>
      <w:snapToGrid w:val="0"/>
      <w:color w:val="000000"/>
      <w:kern w:val="0"/>
      <w:sz w:val="21"/>
      <w:szCs w:val="21"/>
    </w:rPr>
  </w:style>
  <w:style w:type="paragraph" w:customStyle="1" w:styleId="2229">
    <w:name w:val="样式 非加粗 行距: 固定值 22 磅"/>
    <w:basedOn w:val="1"/>
    <w:qFormat/>
    <w:uiPriority w:val="0"/>
    <w:pPr>
      <w:widowControl w:val="0"/>
      <w:spacing w:line="360" w:lineRule="auto"/>
      <w:ind w:firstLine="544" w:firstLineChars="200"/>
      <w:jc w:val="both"/>
    </w:pPr>
    <w:rPr>
      <w:rFonts w:cs="Times New Roman"/>
      <w:color w:val="000000"/>
      <w:spacing w:val="-4"/>
      <w:kern w:val="2"/>
      <w:sz w:val="28"/>
      <w:szCs w:val="28"/>
    </w:rPr>
  </w:style>
  <w:style w:type="paragraph" w:customStyle="1" w:styleId="2230">
    <w:name w:val="参考文献、索引标题"/>
    <w:basedOn w:val="1"/>
    <w:next w:val="1"/>
    <w:qFormat/>
    <w:uiPriority w:val="0"/>
    <w:pPr>
      <w:shd w:val="clear" w:color="FFFFFF" w:fill="FFFFFF"/>
      <w:spacing w:before="640" w:after="200"/>
      <w:jc w:val="center"/>
      <w:outlineLvl w:val="0"/>
    </w:pPr>
    <w:rPr>
      <w:rFonts w:ascii="黑体" w:hAnsi="Times New Roman" w:eastAsia="黑体" w:cs="Times New Roman"/>
      <w:sz w:val="21"/>
      <w:szCs w:val="20"/>
    </w:rPr>
  </w:style>
  <w:style w:type="paragraph" w:customStyle="1" w:styleId="2231">
    <w:name w:val="Char1 Char Char Char3"/>
    <w:basedOn w:val="1"/>
    <w:qFormat/>
    <w:uiPriority w:val="0"/>
    <w:pPr>
      <w:widowControl w:val="0"/>
      <w:jc w:val="both"/>
    </w:pPr>
    <w:rPr>
      <w:rFonts w:ascii="Times New Roman" w:hAnsi="Times New Roman" w:cs="Times New Roman"/>
      <w:kern w:val="2"/>
      <w:sz w:val="21"/>
    </w:rPr>
  </w:style>
  <w:style w:type="paragraph" w:customStyle="1" w:styleId="2232">
    <w:name w:val="xl311"/>
    <w:basedOn w:val="1"/>
    <w:qFormat/>
    <w:uiPriority w:val="0"/>
    <w:pPr>
      <w:pBdr>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233">
    <w:name w:val="样式 样式 (符号) 宋体 右 + 首行缩进:  2 字符"/>
    <w:basedOn w:val="2196"/>
    <w:qFormat/>
    <w:uiPriority w:val="0"/>
    <w:pPr>
      <w:ind w:firstLine="560"/>
      <w:jc w:val="both"/>
    </w:pPr>
  </w:style>
  <w:style w:type="paragraph" w:customStyle="1" w:styleId="2234">
    <w:name w:val="样式81"/>
    <w:basedOn w:val="1178"/>
    <w:qFormat/>
    <w:uiPriority w:val="0"/>
    <w:pPr>
      <w:adjustRightInd w:val="0"/>
      <w:spacing w:line="480" w:lineRule="exact"/>
      <w:ind w:firstLine="560"/>
      <w:textAlignment w:val="baseline"/>
    </w:pPr>
    <w:rPr>
      <w:rFonts w:ascii="Times New Roman" w:hAnsi="Times New Roman" w:eastAsia="宋体" w:cs="Times New Roman"/>
      <w:snapToGrid w:val="0"/>
      <w:color w:val="000000"/>
      <w:kern w:val="0"/>
      <w:sz w:val="28"/>
    </w:rPr>
  </w:style>
  <w:style w:type="paragraph" w:customStyle="1" w:styleId="2235">
    <w:name w:val="_Style 77"/>
    <w:basedOn w:val="1"/>
    <w:qFormat/>
    <w:uiPriority w:val="0"/>
    <w:pPr>
      <w:widowControl w:val="0"/>
      <w:jc w:val="both"/>
    </w:pPr>
    <w:rPr>
      <w:rFonts w:ascii="Times New Roman" w:hAnsi="Times New Roman" w:cs="Times New Roman"/>
      <w:kern w:val="2"/>
      <w:sz w:val="21"/>
    </w:rPr>
  </w:style>
  <w:style w:type="paragraph" w:customStyle="1" w:styleId="2236">
    <w:name w:val="索引 51"/>
    <w:basedOn w:val="1"/>
    <w:next w:val="1"/>
    <w:qFormat/>
    <w:uiPriority w:val="0"/>
    <w:pPr>
      <w:widowControl w:val="0"/>
      <w:spacing w:line="480" w:lineRule="exact"/>
      <w:ind w:left="800" w:leftChars="800"/>
      <w:jc w:val="both"/>
    </w:pPr>
    <w:rPr>
      <w:rFonts w:ascii="Times New Roman" w:hAnsi="Times New Roman" w:cs="Times New Roman"/>
      <w:kern w:val="2"/>
    </w:rPr>
  </w:style>
  <w:style w:type="paragraph" w:customStyle="1" w:styleId="2237">
    <w:name w:val="索引 21"/>
    <w:basedOn w:val="1"/>
    <w:next w:val="1"/>
    <w:qFormat/>
    <w:uiPriority w:val="0"/>
    <w:pPr>
      <w:widowControl w:val="0"/>
      <w:spacing w:line="480" w:lineRule="exact"/>
      <w:ind w:left="200" w:leftChars="200"/>
      <w:jc w:val="both"/>
    </w:pPr>
    <w:rPr>
      <w:rFonts w:ascii="Times New Roman" w:hAnsi="Times New Roman" w:cs="Times New Roman"/>
      <w:kern w:val="2"/>
    </w:rPr>
  </w:style>
  <w:style w:type="paragraph" w:customStyle="1" w:styleId="2238">
    <w:name w:val="xl258"/>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239">
    <w:name w:val="表格内的文字"/>
    <w:basedOn w:val="1178"/>
    <w:qFormat/>
    <w:uiPriority w:val="0"/>
    <w:pPr>
      <w:adjustRightInd w:val="0"/>
      <w:spacing w:line="360" w:lineRule="exact"/>
      <w:ind w:firstLine="0" w:firstLineChars="0"/>
      <w:jc w:val="center"/>
      <w:textAlignment w:val="baseline"/>
    </w:pPr>
    <w:rPr>
      <w:rFonts w:ascii="Times New Roman" w:hAnsi="Times New Roman" w:eastAsia="宋体" w:cs="Times New Roman"/>
      <w:kern w:val="0"/>
      <w:sz w:val="21"/>
      <w:szCs w:val="21"/>
    </w:rPr>
  </w:style>
  <w:style w:type="paragraph" w:customStyle="1" w:styleId="2240">
    <w:name w:val="样式 标题 2 + (符号) 宋体 四号 两端对齐 段前: 10 磅 段后: 10 磅"/>
    <w:basedOn w:val="5"/>
    <w:qFormat/>
    <w:uiPriority w:val="0"/>
    <w:pPr>
      <w:keepLines w:val="0"/>
      <w:widowControl w:val="0"/>
      <w:adjustRightInd w:val="0"/>
      <w:snapToGrid w:val="0"/>
      <w:spacing w:before="200" w:after="200" w:line="600" w:lineRule="exact"/>
      <w:jc w:val="both"/>
    </w:pPr>
    <w:rPr>
      <w:rFonts w:ascii="Times New Roman" w:hAnsi="宋体" w:cs="宋体"/>
      <w:b/>
      <w:kern w:val="2"/>
      <w:sz w:val="30"/>
      <w:szCs w:val="20"/>
    </w:rPr>
  </w:style>
  <w:style w:type="paragraph" w:customStyle="1" w:styleId="2241">
    <w:name w:val="xl21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242">
    <w:name w:val="reader-word-layer reader-word-s4-3"/>
    <w:basedOn w:val="1"/>
    <w:qFormat/>
    <w:uiPriority w:val="0"/>
    <w:pPr>
      <w:spacing w:before="100" w:beforeAutospacing="1" w:after="100" w:afterAutospacing="1"/>
    </w:pPr>
  </w:style>
  <w:style w:type="paragraph" w:customStyle="1" w:styleId="2243">
    <w:name w:val="xl1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2244">
    <w:name w:val="文档结构图2"/>
    <w:basedOn w:val="1"/>
    <w:qFormat/>
    <w:uiPriority w:val="0"/>
    <w:pPr>
      <w:widowControl w:val="0"/>
      <w:jc w:val="both"/>
    </w:pPr>
    <w:rPr>
      <w:rFonts w:hAnsi="Times New Roman" w:cs="Times New Roman"/>
      <w:kern w:val="2"/>
      <w:sz w:val="18"/>
      <w:szCs w:val="18"/>
    </w:rPr>
  </w:style>
  <w:style w:type="paragraph" w:customStyle="1" w:styleId="2245">
    <w:name w:val="xl2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246">
    <w:name w:val="xl291"/>
    <w:basedOn w:val="1"/>
    <w:qFormat/>
    <w:uiPriority w:val="0"/>
    <w:pPr>
      <w:pBdr>
        <w:top w:val="single" w:color="auto" w:sz="4" w:space="0"/>
        <w:left w:val="single" w:color="auto" w:sz="4" w:space="0"/>
        <w:right w:val="single" w:color="auto" w:sz="4" w:space="0"/>
      </w:pBdr>
      <w:shd w:val="clear" w:color="auto" w:fill="FF8080"/>
      <w:spacing w:before="100" w:beforeAutospacing="1" w:after="100" w:afterAutospacing="1"/>
      <w:jc w:val="center"/>
    </w:pPr>
    <w:rPr>
      <w:rFonts w:ascii="方正综艺简体" w:eastAsia="方正综艺简体"/>
      <w:color w:val="000000"/>
      <w:sz w:val="20"/>
      <w:szCs w:val="20"/>
    </w:rPr>
  </w:style>
  <w:style w:type="paragraph" w:customStyle="1" w:styleId="2247">
    <w:name w:val="xl21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248">
    <w:name w:val="xl284"/>
    <w:basedOn w:val="1"/>
    <w:qFormat/>
    <w:uiPriority w:val="0"/>
    <w:pPr>
      <w:pBdr>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249">
    <w:name w:val="目录目次"/>
    <w:basedOn w:val="2214"/>
    <w:qFormat/>
    <w:uiPriority w:val="0"/>
    <w:pPr>
      <w:spacing w:beforeLines="100" w:afterLines="100" w:line="480" w:lineRule="exact"/>
      <w:ind w:left="0" w:leftChars="0"/>
      <w:jc w:val="center"/>
    </w:pPr>
  </w:style>
  <w:style w:type="paragraph" w:customStyle="1" w:styleId="2250">
    <w:name w:val="时间"/>
    <w:qFormat/>
    <w:uiPriority w:val="0"/>
    <w:pPr>
      <w:spacing w:before="240" w:line="480" w:lineRule="exact"/>
      <w:jc w:val="center"/>
    </w:pPr>
    <w:rPr>
      <w:rFonts w:ascii="Times New Roman" w:hAnsi="Times New Roman" w:eastAsia="楷体_GB2312" w:cs="Arial"/>
      <w:bCs/>
      <w:kern w:val="2"/>
      <w:sz w:val="36"/>
      <w:szCs w:val="36"/>
      <w:lang w:val="en-US" w:eastAsia="zh-CN" w:bidi="ar-SA"/>
    </w:rPr>
  </w:style>
  <w:style w:type="paragraph" w:customStyle="1" w:styleId="2251">
    <w:name w:val="样式29"/>
    <w:basedOn w:val="1"/>
    <w:qFormat/>
    <w:uiPriority w:val="0"/>
    <w:pPr>
      <w:widowControl w:val="0"/>
      <w:adjustRightInd w:val="0"/>
      <w:snapToGrid w:val="0"/>
      <w:spacing w:line="480" w:lineRule="exact"/>
      <w:ind w:firstLine="560" w:firstLineChars="200"/>
      <w:jc w:val="center"/>
    </w:pPr>
    <w:rPr>
      <w:rFonts w:ascii="Times New Roman" w:hAnsi="Times New Roman" w:cs="Times New Roman"/>
      <w:snapToGrid w:val="0"/>
      <w:sz w:val="28"/>
      <w:szCs w:val="28"/>
    </w:rPr>
  </w:style>
  <w:style w:type="paragraph" w:customStyle="1" w:styleId="2252">
    <w:name w:val="xl2130"/>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style>
  <w:style w:type="paragraph" w:customStyle="1" w:styleId="2253">
    <w:name w:val="正文文本 24"/>
    <w:basedOn w:val="1"/>
    <w:qFormat/>
    <w:uiPriority w:val="0"/>
    <w:pPr>
      <w:widowControl w:val="0"/>
      <w:adjustRightInd w:val="0"/>
      <w:jc w:val="center"/>
      <w:textAlignment w:val="baseline"/>
    </w:pPr>
    <w:rPr>
      <w:rFonts w:ascii="Arial" w:hAnsi="Arial" w:eastAsia="Arial" w:cs="Times New Roman"/>
      <w:kern w:val="2"/>
      <w:sz w:val="21"/>
      <w:szCs w:val="20"/>
    </w:rPr>
  </w:style>
  <w:style w:type="paragraph" w:customStyle="1" w:styleId="2254">
    <w:name w:val="正文－首行缩进2字符"/>
    <w:basedOn w:val="1"/>
    <w:qFormat/>
    <w:uiPriority w:val="0"/>
    <w:pPr>
      <w:widowControl w:val="0"/>
      <w:adjustRightInd w:val="0"/>
      <w:snapToGrid w:val="0"/>
      <w:spacing w:line="480" w:lineRule="exact"/>
      <w:ind w:firstLine="560" w:firstLineChars="200"/>
      <w:jc w:val="both"/>
    </w:pPr>
    <w:rPr>
      <w:rFonts w:ascii="Times New Roman" w:hAnsi="Times New Roman" w:cs="Times New Roman"/>
      <w:kern w:val="2"/>
    </w:rPr>
  </w:style>
  <w:style w:type="paragraph" w:customStyle="1" w:styleId="2255">
    <w:name w:val="签署及档案号"/>
    <w:basedOn w:val="1"/>
    <w:next w:val="1"/>
    <w:qFormat/>
    <w:uiPriority w:val="0"/>
    <w:pPr>
      <w:widowControl w:val="0"/>
      <w:adjustRightInd w:val="0"/>
      <w:snapToGrid w:val="0"/>
      <w:spacing w:line="480" w:lineRule="exact"/>
      <w:jc w:val="center"/>
    </w:pPr>
    <w:rPr>
      <w:rFonts w:ascii="Times New Roman" w:hAnsi="Times New Roman" w:cs="Times New Roman"/>
      <w:sz w:val="21"/>
      <w:szCs w:val="21"/>
    </w:rPr>
  </w:style>
  <w:style w:type="paragraph" w:customStyle="1" w:styleId="2256">
    <w:name w:val="xl2140"/>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b/>
      <w:bCs/>
    </w:rPr>
  </w:style>
  <w:style w:type="paragraph" w:customStyle="1" w:styleId="2257">
    <w:name w:val="Char Char Char Char Char Char Char Char2"/>
    <w:basedOn w:val="1"/>
    <w:qFormat/>
    <w:uiPriority w:val="0"/>
    <w:pPr>
      <w:spacing w:after="160" w:line="240" w:lineRule="exact"/>
    </w:pPr>
    <w:rPr>
      <w:rFonts w:ascii="Verdana" w:hAnsi="Verdana" w:cs="Times New Roman"/>
      <w:sz w:val="20"/>
      <w:szCs w:val="20"/>
      <w:lang w:eastAsia="en-US"/>
    </w:rPr>
  </w:style>
  <w:style w:type="paragraph" w:customStyle="1" w:styleId="2258">
    <w:name w:val="文本块1"/>
    <w:basedOn w:val="1"/>
    <w:qFormat/>
    <w:uiPriority w:val="0"/>
    <w:pPr>
      <w:widowControl w:val="0"/>
      <w:ind w:left="144" w:right="90" w:firstLine="645"/>
      <w:jc w:val="both"/>
    </w:pPr>
    <w:rPr>
      <w:rFonts w:ascii="Times New Roman" w:hAnsi="Times New Roman" w:eastAsia="楷体_GB2312" w:cs="Times New Roman"/>
      <w:kern w:val="2"/>
      <w:szCs w:val="20"/>
    </w:rPr>
  </w:style>
  <w:style w:type="paragraph" w:customStyle="1" w:styleId="2259">
    <w:name w:val="xl309"/>
    <w:basedOn w:val="1"/>
    <w:qFormat/>
    <w:uiPriority w:val="0"/>
    <w:pPr>
      <w:pBdr>
        <w:left w:val="single" w:color="auto" w:sz="4" w:space="0"/>
        <w:bottom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260">
    <w:name w:val="样式26"/>
    <w:basedOn w:val="1"/>
    <w:qFormat/>
    <w:uiPriority w:val="0"/>
    <w:pPr>
      <w:widowControl w:val="0"/>
      <w:adjustRightInd w:val="0"/>
      <w:snapToGrid w:val="0"/>
      <w:spacing w:line="480" w:lineRule="exact"/>
      <w:ind w:firstLine="700" w:firstLineChars="250"/>
      <w:jc w:val="both"/>
    </w:pPr>
    <w:rPr>
      <w:rFonts w:ascii="Times New Roman" w:hAnsi="Times New Roman" w:cs="Times New Roman"/>
      <w:snapToGrid w:val="0"/>
      <w:sz w:val="28"/>
      <w:szCs w:val="28"/>
    </w:rPr>
  </w:style>
  <w:style w:type="paragraph" w:customStyle="1" w:styleId="2261">
    <w:name w:val="样式78"/>
    <w:basedOn w:val="1"/>
    <w:qFormat/>
    <w:uiPriority w:val="0"/>
    <w:pPr>
      <w:widowControl w:val="0"/>
      <w:adjustRightInd w:val="0"/>
      <w:snapToGrid w:val="0"/>
      <w:spacing w:line="500" w:lineRule="exact"/>
      <w:ind w:firstLine="480" w:firstLineChars="200"/>
      <w:jc w:val="both"/>
    </w:pPr>
    <w:rPr>
      <w:rFonts w:ascii="Times New Roman" w:hAnsi="Times New Roman" w:cs="Times New Roman"/>
      <w:snapToGrid w:val="0"/>
    </w:rPr>
  </w:style>
  <w:style w:type="paragraph" w:customStyle="1" w:styleId="2262">
    <w:name w:val="列表 21"/>
    <w:basedOn w:val="1"/>
    <w:qFormat/>
    <w:uiPriority w:val="0"/>
    <w:pPr>
      <w:widowControl w:val="0"/>
      <w:spacing w:line="480" w:lineRule="exact"/>
      <w:ind w:left="840" w:hanging="420"/>
      <w:jc w:val="both"/>
    </w:pPr>
    <w:rPr>
      <w:rFonts w:ascii="Times New Roman" w:hAnsi="Times New Roman" w:cs="Times New Roman"/>
      <w:kern w:val="2"/>
      <w:szCs w:val="20"/>
    </w:rPr>
  </w:style>
  <w:style w:type="paragraph" w:customStyle="1" w:styleId="2263">
    <w:name w:val="lxb正文 Char Char Char"/>
    <w:basedOn w:val="1"/>
    <w:next w:val="47"/>
    <w:qFormat/>
    <w:uiPriority w:val="0"/>
    <w:pPr>
      <w:widowControl w:val="0"/>
      <w:spacing w:line="360" w:lineRule="auto"/>
      <w:ind w:firstLine="480" w:firstLineChars="200"/>
      <w:jc w:val="both"/>
    </w:pPr>
    <w:rPr>
      <w:rFonts w:ascii="Times New Roman" w:hAnsi="Times New Roman" w:cs="Times New Roman"/>
    </w:rPr>
  </w:style>
  <w:style w:type="paragraph" w:customStyle="1" w:styleId="2264">
    <w:name w:val="样式54"/>
    <w:basedOn w:val="1"/>
    <w:qFormat/>
    <w:uiPriority w:val="0"/>
    <w:pPr>
      <w:widowControl w:val="0"/>
      <w:adjustRightInd w:val="0"/>
      <w:snapToGrid w:val="0"/>
      <w:spacing w:line="480" w:lineRule="exact"/>
      <w:ind w:firstLine="538" w:firstLineChars="192"/>
      <w:jc w:val="both"/>
    </w:pPr>
    <w:rPr>
      <w:rFonts w:ascii="Times New Roman" w:hAnsi="Times New Roman" w:cs="Times New Roman"/>
      <w:snapToGrid w:val="0"/>
      <w:sz w:val="28"/>
    </w:rPr>
  </w:style>
  <w:style w:type="paragraph" w:customStyle="1" w:styleId="2265">
    <w:name w:val="索引 41"/>
    <w:basedOn w:val="1"/>
    <w:next w:val="1"/>
    <w:qFormat/>
    <w:uiPriority w:val="0"/>
    <w:pPr>
      <w:widowControl w:val="0"/>
      <w:spacing w:line="480" w:lineRule="exact"/>
      <w:ind w:left="600" w:leftChars="600"/>
      <w:jc w:val="both"/>
    </w:pPr>
    <w:rPr>
      <w:rFonts w:ascii="Times New Roman" w:hAnsi="Times New Roman" w:cs="Times New Roman"/>
      <w:kern w:val="2"/>
    </w:rPr>
  </w:style>
  <w:style w:type="paragraph" w:customStyle="1" w:styleId="2266">
    <w:name w:val="Знак Знак1"/>
    <w:basedOn w:val="1"/>
    <w:qFormat/>
    <w:uiPriority w:val="0"/>
    <w:pPr>
      <w:widowControl w:val="0"/>
      <w:jc w:val="both"/>
    </w:pPr>
    <w:rPr>
      <w:rFonts w:ascii="Times New Roman" w:hAnsi="Times New Roman" w:cs="Times New Roman"/>
      <w:kern w:val="2"/>
      <w:sz w:val="21"/>
    </w:rPr>
  </w:style>
  <w:style w:type="paragraph" w:customStyle="1" w:styleId="2267">
    <w:name w:val="表中正文"/>
    <w:basedOn w:val="1"/>
    <w:qFormat/>
    <w:uiPriority w:val="0"/>
    <w:pPr>
      <w:widowControl w:val="0"/>
      <w:spacing w:before="60" w:after="60" w:line="240" w:lineRule="exact"/>
      <w:jc w:val="center"/>
    </w:pPr>
    <w:rPr>
      <w:rFonts w:cs="Times New Roman"/>
      <w:spacing w:val="-8"/>
      <w:kern w:val="2"/>
      <w:sz w:val="21"/>
    </w:rPr>
  </w:style>
  <w:style w:type="paragraph" w:customStyle="1" w:styleId="2268">
    <w:name w:val="正文文本 241"/>
    <w:basedOn w:val="1"/>
    <w:qFormat/>
    <w:uiPriority w:val="0"/>
    <w:pPr>
      <w:widowControl w:val="0"/>
      <w:adjustRightInd w:val="0"/>
      <w:jc w:val="center"/>
      <w:textAlignment w:val="baseline"/>
    </w:pPr>
    <w:rPr>
      <w:rFonts w:ascii="Arial" w:hAnsi="Arial" w:cs="Times New Roman"/>
      <w:kern w:val="2"/>
      <w:sz w:val="21"/>
      <w:szCs w:val="20"/>
    </w:rPr>
  </w:style>
  <w:style w:type="paragraph" w:customStyle="1" w:styleId="2269">
    <w:name w:val="lsw表格文字"/>
    <w:basedOn w:val="1"/>
    <w:qFormat/>
    <w:uiPriority w:val="0"/>
    <w:pPr>
      <w:widowControl w:val="0"/>
      <w:spacing w:line="320" w:lineRule="exact"/>
      <w:ind w:left="-10" w:leftChars="-32" w:hanging="67" w:hangingChars="32"/>
      <w:jc w:val="center"/>
    </w:pPr>
    <w:rPr>
      <w:rFonts w:ascii="Times New Roman" w:hAnsi="Times New Roman" w:cs="Times New Roman"/>
      <w:kern w:val="2"/>
      <w:sz w:val="21"/>
    </w:rPr>
  </w:style>
  <w:style w:type="paragraph" w:customStyle="1" w:styleId="2270">
    <w:name w:val="正文缩进4"/>
    <w:basedOn w:val="1"/>
    <w:qFormat/>
    <w:uiPriority w:val="0"/>
    <w:pPr>
      <w:widowControl w:val="0"/>
      <w:adjustRightInd w:val="0"/>
      <w:ind w:firstLine="420"/>
      <w:jc w:val="both"/>
      <w:textAlignment w:val="baseline"/>
    </w:pPr>
    <w:rPr>
      <w:rFonts w:ascii="Times New Roman" w:hAnsi="Times New Roman" w:cs="Times New Roman"/>
      <w:kern w:val="2"/>
      <w:szCs w:val="20"/>
    </w:rPr>
  </w:style>
  <w:style w:type="paragraph" w:customStyle="1" w:styleId="2271">
    <w:name w:val="索引 52"/>
    <w:basedOn w:val="1"/>
    <w:next w:val="1"/>
    <w:qFormat/>
    <w:uiPriority w:val="0"/>
    <w:pPr>
      <w:widowControl w:val="0"/>
      <w:spacing w:line="480" w:lineRule="exact"/>
      <w:ind w:left="800" w:leftChars="800"/>
      <w:jc w:val="both"/>
    </w:pPr>
    <w:rPr>
      <w:rFonts w:ascii="Times New Roman" w:hAnsi="Times New Roman" w:cs="Times New Roman"/>
      <w:kern w:val="2"/>
    </w:rPr>
  </w:style>
  <w:style w:type="paragraph" w:customStyle="1" w:styleId="2272">
    <w:name w:val="默认段落字体 Para Char Char Char1 Char Char Char Char"/>
    <w:basedOn w:val="1"/>
    <w:qFormat/>
    <w:uiPriority w:val="0"/>
    <w:pPr>
      <w:widowControl w:val="0"/>
      <w:spacing w:line="360" w:lineRule="auto"/>
      <w:jc w:val="both"/>
    </w:pPr>
    <w:rPr>
      <w:rFonts w:hAnsi="Times New Roman" w:eastAsia="方正仿宋简体" w:cs="Times New Roman"/>
      <w:color w:val="000000"/>
      <w:kern w:val="2"/>
      <w:szCs w:val="32"/>
    </w:rPr>
  </w:style>
  <w:style w:type="paragraph" w:customStyle="1" w:styleId="2273">
    <w:name w:val="小表格"/>
    <w:basedOn w:val="1"/>
    <w:qFormat/>
    <w:uiPriority w:val="0"/>
    <w:pPr>
      <w:widowControl w:val="0"/>
      <w:jc w:val="center"/>
    </w:pPr>
    <w:rPr>
      <w:rFonts w:cs="Times New Roman"/>
      <w:kern w:val="2"/>
      <w:sz w:val="18"/>
      <w:szCs w:val="20"/>
    </w:rPr>
  </w:style>
  <w:style w:type="paragraph" w:customStyle="1" w:styleId="2274">
    <w:name w:val="样式56"/>
    <w:basedOn w:val="2222"/>
    <w:qFormat/>
    <w:uiPriority w:val="0"/>
    <w:pPr>
      <w:spacing w:line="500" w:lineRule="exact"/>
      <w:ind w:firstLine="560"/>
    </w:pPr>
    <w:rPr>
      <w:b w:val="0"/>
    </w:rPr>
  </w:style>
  <w:style w:type="paragraph" w:customStyle="1" w:styleId="2275">
    <w:name w:val="正文表格头"/>
    <w:basedOn w:val="1"/>
    <w:qFormat/>
    <w:uiPriority w:val="0"/>
    <w:pPr>
      <w:widowControl w:val="0"/>
      <w:jc w:val="center"/>
    </w:pPr>
    <w:rPr>
      <w:rFonts w:ascii="Times New Roman" w:hAnsi="Times New Roman" w:eastAsia="黑体" w:cs="Times New Roman"/>
      <w:kern w:val="2"/>
      <w:sz w:val="28"/>
    </w:rPr>
  </w:style>
  <w:style w:type="paragraph" w:customStyle="1" w:styleId="2276">
    <w:name w:val="样式75"/>
    <w:basedOn w:val="1"/>
    <w:qFormat/>
    <w:uiPriority w:val="0"/>
    <w:pPr>
      <w:widowControl w:val="0"/>
      <w:adjustRightInd w:val="0"/>
      <w:snapToGrid w:val="0"/>
      <w:spacing w:line="480" w:lineRule="exact"/>
      <w:ind w:firstLine="560" w:firstLineChars="200"/>
      <w:jc w:val="center"/>
    </w:pPr>
    <w:rPr>
      <w:rFonts w:ascii="Times New Roman" w:hAnsi="Times New Roman" w:cs="Times New Roman"/>
      <w:snapToGrid w:val="0"/>
      <w:color w:val="000000"/>
      <w:sz w:val="28"/>
      <w:szCs w:val="21"/>
    </w:rPr>
  </w:style>
  <w:style w:type="paragraph" w:customStyle="1" w:styleId="2277">
    <w:name w:val="样式17"/>
    <w:basedOn w:val="1"/>
    <w:qFormat/>
    <w:uiPriority w:val="0"/>
    <w:pPr>
      <w:widowControl w:val="0"/>
      <w:tabs>
        <w:tab w:val="left" w:pos="0"/>
      </w:tabs>
      <w:adjustRightInd w:val="0"/>
      <w:snapToGrid w:val="0"/>
      <w:spacing w:line="500" w:lineRule="exact"/>
      <w:ind w:firstLine="560" w:firstLineChars="200"/>
      <w:jc w:val="center"/>
    </w:pPr>
    <w:rPr>
      <w:rFonts w:ascii="Times New Roman" w:hAnsi="Times New Roman" w:eastAsia="黑体" w:cs="Times New Roman"/>
      <w:snapToGrid w:val="0"/>
      <w:sz w:val="28"/>
      <w:szCs w:val="28"/>
    </w:rPr>
  </w:style>
  <w:style w:type="paragraph" w:customStyle="1" w:styleId="2278">
    <w:name w:val="报告标3"/>
    <w:basedOn w:val="1"/>
    <w:qFormat/>
    <w:uiPriority w:val="0"/>
    <w:pPr>
      <w:widowControl w:val="0"/>
      <w:adjustRightInd w:val="0"/>
      <w:snapToGrid w:val="0"/>
      <w:spacing w:line="300" w:lineRule="auto"/>
      <w:jc w:val="both"/>
    </w:pPr>
    <w:rPr>
      <w:rFonts w:hAnsi="Times New Roman" w:cs="Times New Roman"/>
      <w:kern w:val="2"/>
      <w:szCs w:val="20"/>
    </w:rPr>
  </w:style>
  <w:style w:type="paragraph" w:customStyle="1" w:styleId="2279">
    <w:name w:val="样式 标题 6 + 首行缩进:  2 字符"/>
    <w:basedOn w:val="10"/>
    <w:qFormat/>
    <w:uiPriority w:val="0"/>
    <w:pPr>
      <w:keepLines/>
      <w:tabs>
        <w:tab w:val="left" w:pos="1372"/>
        <w:tab w:val="clear" w:pos="360"/>
      </w:tabs>
      <w:adjustRightInd w:val="0"/>
      <w:snapToGrid w:val="0"/>
      <w:spacing w:beforeLines="50" w:line="460" w:lineRule="exact"/>
      <w:ind w:left="0" w:firstLine="200" w:firstLineChars="200"/>
    </w:pPr>
    <w:rPr>
      <w:rFonts w:cs="宋体"/>
      <w:sz w:val="28"/>
      <w:lang w:val="zh-CN"/>
    </w:rPr>
  </w:style>
  <w:style w:type="paragraph" w:customStyle="1" w:styleId="2280">
    <w:name w:val="样式24"/>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rPr>
  </w:style>
  <w:style w:type="paragraph" w:customStyle="1" w:styleId="2281">
    <w:name w:val="Char Char Char Char Char Char Char Char Char Char Char Char Char"/>
    <w:basedOn w:val="1"/>
    <w:qFormat/>
    <w:uiPriority w:val="0"/>
    <w:pPr>
      <w:widowControl w:val="0"/>
      <w:adjustRightInd w:val="0"/>
      <w:spacing w:line="360" w:lineRule="auto"/>
      <w:jc w:val="both"/>
    </w:pPr>
    <w:rPr>
      <w:rFonts w:ascii="Times New Roman" w:hAnsi="Times New Roman" w:cs="Times New Roman"/>
    </w:rPr>
  </w:style>
  <w:style w:type="paragraph" w:customStyle="1" w:styleId="2282">
    <w:name w:val="样式91"/>
    <w:basedOn w:val="1"/>
    <w:qFormat/>
    <w:uiPriority w:val="0"/>
    <w:pPr>
      <w:widowControl w:val="0"/>
      <w:adjustRightInd w:val="0"/>
      <w:snapToGrid w:val="0"/>
      <w:spacing w:line="480" w:lineRule="exact"/>
      <w:ind w:left="-77" w:firstLine="560" w:firstLineChars="200"/>
      <w:jc w:val="both"/>
    </w:pPr>
    <w:rPr>
      <w:rFonts w:ascii="Times New Roman" w:hAnsi="Times New Roman" w:cs="Times New Roman"/>
      <w:snapToGrid w:val="0"/>
      <w:color w:val="FF0000"/>
      <w:sz w:val="28"/>
      <w:szCs w:val="28"/>
    </w:rPr>
  </w:style>
  <w:style w:type="paragraph" w:customStyle="1" w:styleId="2283">
    <w:name w:val="样式77"/>
    <w:basedOn w:val="2284"/>
    <w:qFormat/>
    <w:uiPriority w:val="0"/>
    <w:pPr>
      <w:spacing w:line="320" w:lineRule="exact"/>
      <w:ind w:firstLine="0" w:firstLineChars="0"/>
      <w:jc w:val="left"/>
    </w:pPr>
    <w:rPr>
      <w:rFonts w:hAnsi="宋体"/>
      <w:sz w:val="21"/>
      <w:szCs w:val="21"/>
    </w:rPr>
  </w:style>
  <w:style w:type="paragraph" w:customStyle="1" w:styleId="2284">
    <w:name w:val="样式47"/>
    <w:basedOn w:val="2156"/>
    <w:qFormat/>
    <w:uiPriority w:val="0"/>
  </w:style>
  <w:style w:type="paragraph" w:customStyle="1" w:styleId="2285">
    <w:name w:val="流程图"/>
    <w:basedOn w:val="1"/>
    <w:qFormat/>
    <w:uiPriority w:val="0"/>
    <w:pPr>
      <w:widowControl w:val="0"/>
      <w:tabs>
        <w:tab w:val="left" w:pos="0"/>
      </w:tabs>
      <w:autoSpaceDE w:val="0"/>
      <w:autoSpaceDN w:val="0"/>
      <w:adjustRightInd w:val="0"/>
      <w:spacing w:line="240" w:lineRule="atLeast"/>
      <w:jc w:val="center"/>
      <w:textAlignment w:val="bottom"/>
    </w:pPr>
    <w:rPr>
      <w:rFonts w:hAnsi="Times New Roman" w:cs="Times New Roman"/>
      <w:kern w:val="2"/>
      <w:sz w:val="21"/>
      <w:szCs w:val="20"/>
    </w:rPr>
  </w:style>
  <w:style w:type="paragraph" w:customStyle="1" w:styleId="2286">
    <w:name w:val="样式65"/>
    <w:basedOn w:val="6"/>
    <w:qFormat/>
    <w:uiPriority w:val="0"/>
    <w:pPr>
      <w:widowControl w:val="0"/>
      <w:spacing w:line="480" w:lineRule="exact"/>
      <w:ind w:firstLine="560" w:firstLineChars="200"/>
      <w:jc w:val="both"/>
    </w:pPr>
    <w:rPr>
      <w:rFonts w:ascii="Times New Roman" w:hAnsi="宋体"/>
      <w:kern w:val="2"/>
      <w:szCs w:val="28"/>
    </w:rPr>
  </w:style>
  <w:style w:type="paragraph" w:customStyle="1" w:styleId="2287">
    <w:name w:val="Char Char Char Char Char Char Char Char Char Char Char Char Char Char Char Char Char Char Char Char Char Char Char Char Char Char Char Char Char Char Char Char Char Char Char Char Char Char Char Char Char Char Char Char Char Char Char Char Char"/>
    <w:basedOn w:val="1"/>
    <w:qFormat/>
    <w:uiPriority w:val="0"/>
    <w:pPr>
      <w:spacing w:after="160" w:line="240" w:lineRule="exact"/>
    </w:pPr>
    <w:rPr>
      <w:rFonts w:ascii="Verdana" w:hAnsi="Verdana" w:cs="Times New Roman"/>
      <w:sz w:val="20"/>
      <w:szCs w:val="20"/>
      <w:lang w:eastAsia="en-US"/>
    </w:rPr>
  </w:style>
  <w:style w:type="paragraph" w:customStyle="1" w:styleId="2288">
    <w:name w:val="样式33"/>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szCs w:val="28"/>
    </w:rPr>
  </w:style>
  <w:style w:type="paragraph" w:customStyle="1" w:styleId="2289">
    <w:name w:val="表格式 Char Char"/>
    <w:basedOn w:val="60"/>
    <w:qFormat/>
    <w:uiPriority w:val="0"/>
    <w:pPr>
      <w:spacing w:before="60" w:after="60"/>
      <w:ind w:left="0" w:firstLine="0"/>
      <w:jc w:val="center"/>
    </w:pPr>
    <w:rPr>
      <w:rFonts w:hint="default" w:ascii="宋体" w:hAnsi="宋体" w:eastAsia="宋体"/>
      <w:color w:val="000000"/>
      <w:sz w:val="21"/>
      <w:szCs w:val="20"/>
    </w:rPr>
  </w:style>
  <w:style w:type="paragraph" w:customStyle="1" w:styleId="2290">
    <w:name w:val="样式40"/>
    <w:basedOn w:val="1"/>
    <w:qFormat/>
    <w:uiPriority w:val="0"/>
    <w:pPr>
      <w:widowControl w:val="0"/>
      <w:adjustRightInd w:val="0"/>
      <w:snapToGrid w:val="0"/>
      <w:spacing w:line="480" w:lineRule="exact"/>
      <w:ind w:firstLine="420" w:firstLineChars="200"/>
      <w:jc w:val="both"/>
    </w:pPr>
    <w:rPr>
      <w:rFonts w:ascii="Times New Roman" w:hAnsi="Times New Roman" w:cs="Times New Roman"/>
      <w:snapToGrid w:val="0"/>
      <w:sz w:val="21"/>
      <w:szCs w:val="21"/>
    </w:rPr>
  </w:style>
  <w:style w:type="paragraph" w:customStyle="1" w:styleId="2291">
    <w:name w:val="样式58"/>
    <w:basedOn w:val="2292"/>
    <w:qFormat/>
    <w:uiPriority w:val="0"/>
    <w:pPr>
      <w:tabs>
        <w:tab w:val="left" w:pos="0"/>
      </w:tabs>
    </w:pPr>
  </w:style>
  <w:style w:type="paragraph" w:customStyle="1" w:styleId="2292">
    <w:name w:val="样式20"/>
    <w:basedOn w:val="1"/>
    <w:qFormat/>
    <w:uiPriority w:val="0"/>
    <w:pPr>
      <w:widowControl w:val="0"/>
      <w:tabs>
        <w:tab w:val="left" w:pos="0"/>
      </w:tabs>
      <w:adjustRightInd w:val="0"/>
      <w:snapToGrid w:val="0"/>
      <w:spacing w:line="500" w:lineRule="exact"/>
      <w:ind w:firstLine="560" w:firstLineChars="200"/>
      <w:jc w:val="center"/>
    </w:pPr>
    <w:rPr>
      <w:rFonts w:ascii="Times New Roman" w:hAnsi="Times New Roman" w:eastAsia="黑体" w:cs="Times New Roman"/>
      <w:snapToGrid w:val="0"/>
      <w:sz w:val="28"/>
      <w:szCs w:val="28"/>
    </w:rPr>
  </w:style>
  <w:style w:type="paragraph" w:customStyle="1" w:styleId="2293">
    <w:name w:val="BIG BOLD"/>
    <w:basedOn w:val="1"/>
    <w:qFormat/>
    <w:uiPriority w:val="0"/>
    <w:pPr>
      <w:widowControl w:val="0"/>
      <w:tabs>
        <w:tab w:val="left" w:leader="underscore" w:pos="1134"/>
      </w:tabs>
      <w:jc w:val="both"/>
    </w:pPr>
    <w:rPr>
      <w:rFonts w:ascii="Times New Roman" w:hAnsi="Times New Roman" w:cs="Times New Roman"/>
      <w:kern w:val="2"/>
      <w:sz w:val="21"/>
      <w:szCs w:val="20"/>
    </w:rPr>
  </w:style>
  <w:style w:type="paragraph" w:customStyle="1" w:styleId="2294">
    <w:name w:val="正文－首行缩进:2 字符"/>
    <w:basedOn w:val="1"/>
    <w:qFormat/>
    <w:uiPriority w:val="0"/>
    <w:pPr>
      <w:widowControl w:val="0"/>
      <w:spacing w:line="440" w:lineRule="exact"/>
      <w:ind w:firstLine="560" w:firstLineChars="200"/>
      <w:jc w:val="both"/>
    </w:pPr>
    <w:rPr>
      <w:rFonts w:ascii="Times New Roman" w:hAnsi="Times New Roman"/>
      <w:kern w:val="2"/>
      <w:sz w:val="28"/>
      <w:szCs w:val="20"/>
    </w:rPr>
  </w:style>
  <w:style w:type="paragraph" w:customStyle="1" w:styleId="2295">
    <w:name w:val="Char Char Char Char Char Char Char Char Char Char4"/>
    <w:basedOn w:val="1"/>
    <w:qFormat/>
    <w:uiPriority w:val="0"/>
    <w:pPr>
      <w:widowControl w:val="0"/>
      <w:jc w:val="both"/>
    </w:pPr>
    <w:rPr>
      <w:rFonts w:ascii="Times New Roman" w:hAnsi="Times New Roman" w:cs="Times New Roman"/>
      <w:kern w:val="2"/>
      <w:sz w:val="21"/>
    </w:rPr>
  </w:style>
  <w:style w:type="paragraph" w:customStyle="1" w:styleId="2296">
    <w:name w:val="样式 样式 标题 3标题4标题 3 Char1标题 3 Char Char标题 3 Char + (中文) 仿宋_GB2312...."/>
    <w:basedOn w:val="1"/>
    <w:qFormat/>
    <w:uiPriority w:val="0"/>
    <w:pPr>
      <w:keepNext/>
      <w:keepLines/>
      <w:widowControl w:val="0"/>
      <w:adjustRightInd w:val="0"/>
      <w:snapToGrid w:val="0"/>
      <w:spacing w:line="460" w:lineRule="exact"/>
      <w:ind w:firstLine="480" w:firstLineChars="200"/>
      <w:outlineLvl w:val="2"/>
    </w:pPr>
    <w:rPr>
      <w:rFonts w:ascii="Times New Roman" w:hAnsi="Times New Roman"/>
      <w:sz w:val="28"/>
      <w:szCs w:val="28"/>
    </w:rPr>
  </w:style>
  <w:style w:type="paragraph" w:customStyle="1" w:styleId="2297">
    <w:name w:val="xl286"/>
    <w:basedOn w:val="1"/>
    <w:qFormat/>
    <w:uiPriority w:val="0"/>
    <w:pPr>
      <w:pBdr>
        <w:top w:val="single" w:color="auto" w:sz="4" w:space="0"/>
        <w:left w:val="single" w:color="auto" w:sz="4" w:space="0"/>
        <w:bottom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298">
    <w:name w:val="样式 表文字 + 字符缩放: 90%"/>
    <w:basedOn w:val="1"/>
    <w:qFormat/>
    <w:uiPriority w:val="0"/>
    <w:pPr>
      <w:keepNext/>
      <w:adjustRightInd w:val="0"/>
      <w:spacing w:line="240" w:lineRule="exact"/>
      <w:ind w:left="-50" w:leftChars="-50" w:right="-50" w:rightChars="-50"/>
      <w:jc w:val="center"/>
      <w:textAlignment w:val="baseline"/>
    </w:pPr>
    <w:rPr>
      <w:snapToGrid w:val="0"/>
      <w:sz w:val="18"/>
      <w:szCs w:val="18"/>
    </w:rPr>
  </w:style>
  <w:style w:type="paragraph" w:customStyle="1" w:styleId="2299">
    <w:name w:val="样式50"/>
    <w:basedOn w:val="102"/>
    <w:qFormat/>
    <w:uiPriority w:val="0"/>
    <w:pPr>
      <w:adjustRightInd w:val="0"/>
      <w:spacing w:line="240" w:lineRule="exact"/>
      <w:ind w:left="-140" w:leftChars="-50" w:right="-140" w:rightChars="-50" w:firstLine="0"/>
    </w:pPr>
    <w:rPr>
      <w:rFonts w:hint="default" w:ascii="Times New Roman" w:hAnsi="Times New Roman" w:eastAsia="宋体"/>
      <w:color w:val="000000"/>
      <w:kern w:val="0"/>
      <w:szCs w:val="28"/>
    </w:rPr>
  </w:style>
  <w:style w:type="paragraph" w:customStyle="1" w:styleId="2300">
    <w:name w:val="正文文本缩进 23"/>
    <w:basedOn w:val="1"/>
    <w:qFormat/>
    <w:uiPriority w:val="0"/>
    <w:pPr>
      <w:widowControl w:val="0"/>
      <w:spacing w:line="300" w:lineRule="auto"/>
      <w:ind w:firstLine="482" w:firstLineChars="200"/>
      <w:jc w:val="both"/>
    </w:pPr>
    <w:rPr>
      <w:rFonts w:ascii="Times New Roman" w:hAnsi="Times New Roman" w:cs="Times New Roman"/>
      <w:kern w:val="2"/>
      <w:szCs w:val="20"/>
    </w:rPr>
  </w:style>
  <w:style w:type="paragraph" w:customStyle="1" w:styleId="2301">
    <w:name w:val="样式 样式4 +"/>
    <w:basedOn w:val="990"/>
    <w:qFormat/>
    <w:uiPriority w:val="0"/>
    <w:pPr>
      <w:spacing w:line="480" w:lineRule="exact"/>
      <w:ind w:firstLine="200" w:firstLineChars="200"/>
      <w:jc w:val="both"/>
      <w:textAlignment w:val="auto"/>
      <w:outlineLvl w:val="3"/>
    </w:pPr>
    <w:rPr>
      <w:rFonts w:eastAsia="楷体_GB2312" w:cs="宋体"/>
      <w:b/>
      <w:bCs/>
      <w:snapToGrid w:val="0"/>
      <w:sz w:val="30"/>
    </w:rPr>
  </w:style>
  <w:style w:type="paragraph" w:customStyle="1" w:styleId="2302">
    <w:name w:val="xl24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303">
    <w:name w:val="样式10"/>
    <w:basedOn w:val="1056"/>
    <w:qFormat/>
    <w:uiPriority w:val="0"/>
    <w:pPr>
      <w:widowControl w:val="0"/>
      <w:topLinePunct/>
      <w:adjustRightInd/>
      <w:snapToGrid/>
      <w:spacing w:beforeLines="0" w:afterLines="0" w:line="240" w:lineRule="auto"/>
      <w:jc w:val="center"/>
      <w:textAlignment w:val="auto"/>
      <w:outlineLvl w:val="9"/>
    </w:pPr>
    <w:rPr>
      <w:rFonts w:ascii="Times New Roman" w:hAnsi="Times New Roman" w:cs="宋体"/>
      <w:b w:val="0"/>
      <w:sz w:val="21"/>
      <w:szCs w:val="21"/>
    </w:rPr>
  </w:style>
  <w:style w:type="paragraph" w:customStyle="1" w:styleId="2304">
    <w:name w:val="表格内部"/>
    <w:basedOn w:val="1"/>
    <w:qFormat/>
    <w:uiPriority w:val="0"/>
    <w:pPr>
      <w:widowControl w:val="0"/>
      <w:adjustRightInd w:val="0"/>
      <w:snapToGrid w:val="0"/>
      <w:spacing w:line="300" w:lineRule="auto"/>
      <w:jc w:val="center"/>
    </w:pPr>
    <w:rPr>
      <w:rFonts w:ascii="Arial" w:hAnsi="Arial" w:eastAsia="仿宋_GB2312" w:cs="Times New Roman"/>
      <w:kern w:val="2"/>
      <w:sz w:val="21"/>
    </w:rPr>
  </w:style>
  <w:style w:type="paragraph" w:customStyle="1" w:styleId="2305">
    <w:name w:val="xl21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306">
    <w:name w:val="Char1 Char Char Char5"/>
    <w:basedOn w:val="1"/>
    <w:qFormat/>
    <w:uiPriority w:val="0"/>
    <w:pPr>
      <w:widowControl w:val="0"/>
      <w:jc w:val="both"/>
    </w:pPr>
    <w:rPr>
      <w:rFonts w:ascii="Times New Roman" w:hAnsi="Times New Roman" w:cs="Times New Roman"/>
      <w:kern w:val="2"/>
      <w:sz w:val="21"/>
    </w:rPr>
  </w:style>
  <w:style w:type="paragraph" w:customStyle="1" w:styleId="2307">
    <w:name w:val="报告标题2"/>
    <w:basedOn w:val="5"/>
    <w:qFormat/>
    <w:uiPriority w:val="0"/>
    <w:pPr>
      <w:keepNext w:val="0"/>
      <w:keepLines w:val="0"/>
      <w:widowControl w:val="0"/>
      <w:spacing w:line="240" w:lineRule="auto"/>
      <w:jc w:val="center"/>
      <w:outlineLvl w:val="9"/>
    </w:pPr>
    <w:rPr>
      <w:rFonts w:ascii="方正书宋简体" w:hAnsi="Times New Roman" w:eastAsia="方正书宋简体"/>
      <w:bCs w:val="0"/>
      <w:kern w:val="2"/>
      <w:sz w:val="21"/>
      <w:szCs w:val="24"/>
    </w:rPr>
  </w:style>
  <w:style w:type="paragraph" w:customStyle="1" w:styleId="2308">
    <w:name w:val="样式 仿宋_GB2312 四号"/>
    <w:basedOn w:val="1"/>
    <w:qFormat/>
    <w:uiPriority w:val="0"/>
    <w:pPr>
      <w:widowControl w:val="0"/>
      <w:adjustRightInd w:val="0"/>
      <w:snapToGrid w:val="0"/>
      <w:spacing w:beforeLines="50" w:line="480" w:lineRule="exact"/>
      <w:ind w:firstLine="560" w:firstLineChars="200"/>
      <w:jc w:val="both"/>
    </w:pPr>
    <w:rPr>
      <w:rFonts w:cs="Times New Roman"/>
      <w:sz w:val="28"/>
      <w:szCs w:val="28"/>
    </w:rPr>
  </w:style>
  <w:style w:type="paragraph" w:customStyle="1" w:styleId="2309">
    <w:name w:val="Char7"/>
    <w:basedOn w:val="1"/>
    <w:next w:val="1560"/>
    <w:qFormat/>
    <w:uiPriority w:val="0"/>
    <w:pPr>
      <w:widowControl w:val="0"/>
      <w:spacing w:line="360" w:lineRule="auto"/>
      <w:ind w:firstLine="480" w:firstLineChars="200"/>
      <w:jc w:val="both"/>
    </w:pPr>
    <w:rPr>
      <w:rFonts w:ascii="Times New Roman" w:hAnsi="Times New Roman" w:cs="Times New Roman"/>
    </w:rPr>
  </w:style>
  <w:style w:type="paragraph" w:customStyle="1" w:styleId="2310">
    <w:name w:val="xl1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2"/>
      <w:szCs w:val="22"/>
    </w:rPr>
  </w:style>
  <w:style w:type="paragraph" w:customStyle="1" w:styleId="2311">
    <w:name w:val="样式64"/>
    <w:basedOn w:val="2218"/>
    <w:qFormat/>
    <w:uiPriority w:val="0"/>
    <w:pPr>
      <w:keepNext w:val="0"/>
      <w:keepLines w:val="0"/>
      <w:widowControl/>
      <w:spacing w:line="480" w:lineRule="exact"/>
      <w:ind w:left="-140" w:right="31" w:firstLine="450" w:firstLineChars="150"/>
    </w:pPr>
  </w:style>
  <w:style w:type="paragraph" w:customStyle="1" w:styleId="2312">
    <w:name w:val="标题 4环保 + 段前: 0.3 行"/>
    <w:basedOn w:val="8"/>
    <w:next w:val="1"/>
    <w:qFormat/>
    <w:uiPriority w:val="0"/>
    <w:pPr>
      <w:keepNext w:val="0"/>
      <w:keepLines w:val="0"/>
      <w:widowControl w:val="0"/>
      <w:tabs>
        <w:tab w:val="left" w:pos="780"/>
      </w:tabs>
      <w:spacing w:beforeLines="30" w:line="300" w:lineRule="auto"/>
      <w:ind w:left="780" w:leftChars="200" w:hanging="360" w:hangingChars="200"/>
      <w:jc w:val="both"/>
    </w:pPr>
    <w:rPr>
      <w:rFonts w:eastAsia="黑体"/>
      <w:lang w:val="en-US"/>
    </w:rPr>
  </w:style>
  <w:style w:type="paragraph" w:customStyle="1" w:styleId="2313">
    <w:name w:val="图表内文字"/>
    <w:basedOn w:val="1"/>
    <w:next w:val="1"/>
    <w:qFormat/>
    <w:uiPriority w:val="0"/>
    <w:pPr>
      <w:widowControl w:val="0"/>
      <w:adjustRightInd w:val="0"/>
      <w:snapToGrid w:val="0"/>
      <w:spacing w:line="240" w:lineRule="atLeast"/>
      <w:jc w:val="center"/>
    </w:pPr>
    <w:rPr>
      <w:rFonts w:ascii="黑体" w:hAnsi="Times New Roman" w:cs="Times New Roman"/>
      <w:kern w:val="2"/>
      <w:sz w:val="21"/>
      <w:szCs w:val="21"/>
    </w:rPr>
  </w:style>
  <w:style w:type="paragraph" w:customStyle="1" w:styleId="2314">
    <w:name w:val="图表内文字（居中）"/>
    <w:basedOn w:val="1"/>
    <w:qFormat/>
    <w:uiPriority w:val="0"/>
    <w:pPr>
      <w:adjustRightInd w:val="0"/>
      <w:snapToGrid w:val="0"/>
      <w:jc w:val="center"/>
    </w:pPr>
    <w:rPr>
      <w:rFonts w:cs="Times New Roman"/>
      <w:kern w:val="2"/>
      <w:sz w:val="21"/>
    </w:rPr>
  </w:style>
  <w:style w:type="paragraph" w:customStyle="1" w:styleId="2315">
    <w:name w:val="目录二级"/>
    <w:basedOn w:val="1"/>
    <w:qFormat/>
    <w:uiPriority w:val="0"/>
    <w:pPr>
      <w:spacing w:line="480" w:lineRule="exact"/>
      <w:jc w:val="center"/>
    </w:pPr>
    <w:rPr>
      <w:rFonts w:ascii="Times New Roman" w:hAnsi="Times New Roman" w:cs="Times New Roman"/>
      <w:bCs/>
      <w:kern w:val="2"/>
      <w:sz w:val="21"/>
      <w:szCs w:val="21"/>
    </w:rPr>
  </w:style>
  <w:style w:type="paragraph" w:customStyle="1" w:styleId="2316">
    <w:name w:val="正文六级标题"/>
    <w:basedOn w:val="1"/>
    <w:qFormat/>
    <w:uiPriority w:val="0"/>
    <w:pPr>
      <w:widowControl w:val="0"/>
      <w:spacing w:line="480" w:lineRule="exact"/>
      <w:ind w:firstLine="200" w:firstLineChars="200"/>
      <w:jc w:val="both"/>
      <w:outlineLvl w:val="5"/>
    </w:pPr>
    <w:rPr>
      <w:rFonts w:ascii="Times New Roman" w:hAnsi="Times New Roman" w:cs="Times New Roman"/>
      <w:b/>
      <w:kern w:val="2"/>
      <w:sz w:val="28"/>
    </w:rPr>
  </w:style>
  <w:style w:type="paragraph" w:customStyle="1" w:styleId="2317">
    <w:name w:val="5正文"/>
    <w:basedOn w:val="1"/>
    <w:qFormat/>
    <w:uiPriority w:val="0"/>
    <w:pPr>
      <w:snapToGrid w:val="0"/>
      <w:spacing w:line="400" w:lineRule="exact"/>
      <w:ind w:firstLine="200" w:firstLineChars="200"/>
    </w:pPr>
    <w:rPr>
      <w:color w:val="000000"/>
      <w:szCs w:val="18"/>
    </w:rPr>
  </w:style>
  <w:style w:type="paragraph" w:customStyle="1" w:styleId="2318">
    <w:name w:val="样式 四号 首行缩进:  2 字符 字符缩放: 90% 行距: 固定值 28 磅"/>
    <w:basedOn w:val="1"/>
    <w:qFormat/>
    <w:uiPriority w:val="0"/>
    <w:pPr>
      <w:widowControl w:val="0"/>
      <w:spacing w:line="480" w:lineRule="exact"/>
      <w:ind w:firstLine="200" w:firstLineChars="200"/>
      <w:jc w:val="both"/>
    </w:pPr>
    <w:rPr>
      <w:rFonts w:ascii="Times New Roman" w:hAnsi="Times New Roman" w:eastAsia="方正书宋简体" w:cs="Times New Roman"/>
      <w:w w:val="90"/>
      <w:kern w:val="2"/>
      <w:sz w:val="28"/>
      <w:szCs w:val="20"/>
    </w:rPr>
  </w:style>
  <w:style w:type="paragraph" w:customStyle="1" w:styleId="2319">
    <w:name w:val="样式 标题 4标题 4 Char + 宋体 段前: 5 磅 段后: 5 磅 行距: 1.5 倍行距"/>
    <w:basedOn w:val="8"/>
    <w:qFormat/>
    <w:uiPriority w:val="0"/>
    <w:pPr>
      <w:widowControl w:val="0"/>
      <w:adjustRightInd w:val="0"/>
      <w:snapToGrid w:val="0"/>
      <w:spacing w:line="360" w:lineRule="auto"/>
      <w:jc w:val="both"/>
    </w:pPr>
    <w:rPr>
      <w:rFonts w:cs="Times New Roman"/>
      <w:bCs/>
      <w:kern w:val="2"/>
      <w:sz w:val="28"/>
      <w:lang w:val="en-US"/>
    </w:rPr>
  </w:style>
  <w:style w:type="paragraph" w:customStyle="1" w:styleId="2320">
    <w:name w:val="样式37"/>
    <w:basedOn w:val="6"/>
    <w:qFormat/>
    <w:uiPriority w:val="0"/>
    <w:pPr>
      <w:widowControl w:val="0"/>
      <w:spacing w:line="480" w:lineRule="exact"/>
      <w:ind w:firstLine="560" w:firstLineChars="200"/>
      <w:jc w:val="both"/>
    </w:pPr>
    <w:rPr>
      <w:rFonts w:ascii="Times New Roman" w:hAnsi="Times New Roman"/>
      <w:kern w:val="2"/>
      <w:szCs w:val="28"/>
    </w:rPr>
  </w:style>
  <w:style w:type="paragraph" w:customStyle="1" w:styleId="2321">
    <w:name w:val="样式正文"/>
    <w:basedOn w:val="2211"/>
    <w:qFormat/>
    <w:uiPriority w:val="0"/>
    <w:pPr>
      <w:spacing w:line="360" w:lineRule="auto"/>
      <w:ind w:firstLine="624"/>
    </w:pPr>
  </w:style>
  <w:style w:type="paragraph" w:customStyle="1" w:styleId="2322">
    <w:name w:val="xl285"/>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323">
    <w:name w:val="5正文 + 两端对齐"/>
    <w:basedOn w:val="1"/>
    <w:qFormat/>
    <w:uiPriority w:val="0"/>
    <w:pPr>
      <w:snapToGrid w:val="0"/>
      <w:spacing w:line="480" w:lineRule="exact"/>
      <w:ind w:firstLine="200" w:firstLineChars="200"/>
      <w:jc w:val="both"/>
    </w:pPr>
    <w:rPr>
      <w:color w:val="000000"/>
      <w:szCs w:val="18"/>
    </w:rPr>
  </w:style>
  <w:style w:type="paragraph" w:customStyle="1" w:styleId="2324">
    <w:name w:val="样式28"/>
    <w:basedOn w:val="2134"/>
    <w:qFormat/>
    <w:uiPriority w:val="0"/>
    <w:pPr>
      <w:spacing w:line="500" w:lineRule="exact"/>
      <w:ind w:firstLine="560" w:firstLineChars="200"/>
    </w:pPr>
  </w:style>
  <w:style w:type="paragraph" w:customStyle="1" w:styleId="2325">
    <w:name w:val="样式88"/>
    <w:basedOn w:val="2162"/>
    <w:qFormat/>
    <w:uiPriority w:val="0"/>
    <w:pPr>
      <w:spacing w:before="0" w:after="0"/>
      <w:ind w:firstLine="560" w:firstLineChars="200"/>
    </w:pPr>
    <w:rPr>
      <w:rFonts w:eastAsia="仿宋_GB2312"/>
      <w:bCs w:val="0"/>
    </w:rPr>
  </w:style>
  <w:style w:type="paragraph" w:customStyle="1" w:styleId="2326">
    <w:name w:val="xl283"/>
    <w:basedOn w:val="1"/>
    <w:qFormat/>
    <w:uiPriority w:val="0"/>
    <w:pPr>
      <w:pBdr>
        <w:top w:val="single" w:color="auto" w:sz="4" w:space="0"/>
        <w:left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327">
    <w:name w:val="xl296"/>
    <w:basedOn w:val="1"/>
    <w:qFormat/>
    <w:uiPriority w:val="0"/>
    <w:pPr>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pPr>
    <w:rPr>
      <w:rFonts w:ascii="方正综艺简体" w:eastAsia="方正综艺简体"/>
      <w:color w:val="000000"/>
      <w:sz w:val="20"/>
      <w:szCs w:val="20"/>
    </w:rPr>
  </w:style>
  <w:style w:type="paragraph" w:customStyle="1" w:styleId="2328">
    <w:name w:val="样式71"/>
    <w:basedOn w:val="1"/>
    <w:qFormat/>
    <w:uiPriority w:val="0"/>
    <w:pPr>
      <w:widowControl w:val="0"/>
      <w:adjustRightInd w:val="0"/>
      <w:snapToGrid w:val="0"/>
      <w:spacing w:line="480" w:lineRule="exact"/>
      <w:ind w:firstLine="560" w:firstLineChars="200"/>
      <w:jc w:val="both"/>
    </w:pPr>
    <w:rPr>
      <w:rFonts w:cs="Times New Roman"/>
      <w:snapToGrid w:val="0"/>
      <w:color w:val="FF0000"/>
      <w:sz w:val="28"/>
      <w:szCs w:val="28"/>
    </w:rPr>
  </w:style>
  <w:style w:type="paragraph" w:customStyle="1" w:styleId="2329">
    <w:name w:val="样式 标题 1一级标题(章)标题 1 Char封皮名1h11st levelSection Headl1my标..."/>
    <w:basedOn w:val="4"/>
    <w:qFormat/>
    <w:uiPriority w:val="0"/>
    <w:pPr>
      <w:keepNext/>
      <w:keepLines/>
      <w:widowControl w:val="0"/>
      <w:adjustRightInd w:val="0"/>
      <w:snapToGrid w:val="0"/>
      <w:spacing w:before="360" w:after="240"/>
      <w:jc w:val="center"/>
    </w:pPr>
    <w:rPr>
      <w:rFonts w:ascii="Times New Roman" w:hAnsi="Times New Roman" w:eastAsia="宋体" w:cs="宋体"/>
      <w:kern w:val="44"/>
      <w:sz w:val="36"/>
      <w:szCs w:val="20"/>
    </w:rPr>
  </w:style>
  <w:style w:type="paragraph" w:customStyle="1" w:styleId="2330">
    <w:name w:val="xl254"/>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331">
    <w:name w:val="xl146"/>
    <w:basedOn w:val="1"/>
    <w:qFormat/>
    <w:uiPriority w:val="0"/>
    <w:pPr>
      <w:pBdr>
        <w:top w:val="single" w:color="auto" w:sz="4" w:space="0"/>
        <w:left w:val="single" w:color="auto" w:sz="4" w:space="0"/>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2332">
    <w:name w:val="xl142"/>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sz w:val="22"/>
      <w:szCs w:val="22"/>
    </w:rPr>
  </w:style>
  <w:style w:type="paragraph" w:customStyle="1" w:styleId="2333">
    <w:name w:val="xl267"/>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334">
    <w:name w:val="标题 1+"/>
    <w:basedOn w:val="4"/>
    <w:qFormat/>
    <w:uiPriority w:val="0"/>
    <w:pPr>
      <w:keepNext/>
      <w:keepLines/>
      <w:widowControl w:val="0"/>
      <w:adjustRightInd w:val="0"/>
      <w:snapToGrid w:val="0"/>
      <w:spacing w:before="400" w:after="240" w:line="480" w:lineRule="exact"/>
      <w:jc w:val="center"/>
    </w:pPr>
    <w:rPr>
      <w:rFonts w:ascii="Times New Roman" w:hAnsi="Times New Roman" w:eastAsia="楷体_GB2312"/>
      <w:bCs/>
      <w:kern w:val="44"/>
      <w:sz w:val="36"/>
      <w:szCs w:val="36"/>
    </w:rPr>
  </w:style>
  <w:style w:type="paragraph" w:customStyle="1" w:styleId="2335">
    <w:name w:val="正文表格内容"/>
    <w:basedOn w:val="1"/>
    <w:qFormat/>
    <w:uiPriority w:val="0"/>
    <w:pPr>
      <w:widowControl w:val="0"/>
      <w:jc w:val="center"/>
    </w:pPr>
    <w:rPr>
      <w:rFonts w:ascii="Times New Roman" w:hAnsi="Times New Roman" w:cs="Times New Roman"/>
      <w:kern w:val="2"/>
      <w:sz w:val="21"/>
    </w:rPr>
  </w:style>
  <w:style w:type="paragraph" w:customStyle="1" w:styleId="2336">
    <w:name w:val="表格文字两端对齐"/>
    <w:basedOn w:val="1"/>
    <w:qFormat/>
    <w:uiPriority w:val="0"/>
    <w:pPr>
      <w:widowControl w:val="0"/>
      <w:spacing w:line="300" w:lineRule="auto"/>
      <w:jc w:val="both"/>
    </w:pPr>
    <w:rPr>
      <w:rFonts w:ascii="Times New Roman" w:hAnsi="Times New Roman" w:cs="Times New Roman"/>
      <w:kern w:val="2"/>
      <w:sz w:val="21"/>
    </w:rPr>
  </w:style>
  <w:style w:type="paragraph" w:customStyle="1" w:styleId="2337">
    <w:name w:val="xl21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333399"/>
      <w:sz w:val="20"/>
      <w:szCs w:val="20"/>
    </w:rPr>
  </w:style>
  <w:style w:type="paragraph" w:customStyle="1" w:styleId="2338">
    <w:name w:val="xl14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b/>
      <w:bCs/>
      <w:sz w:val="22"/>
      <w:szCs w:val="22"/>
    </w:rPr>
  </w:style>
  <w:style w:type="paragraph" w:customStyle="1" w:styleId="2339">
    <w:name w:val="xl277"/>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color w:val="FF0000"/>
      <w:sz w:val="20"/>
      <w:szCs w:val="20"/>
    </w:rPr>
  </w:style>
  <w:style w:type="paragraph" w:customStyle="1" w:styleId="2340">
    <w:name w:val="xl164"/>
    <w:basedOn w:val="1"/>
    <w:qFormat/>
    <w:uiPriority w:val="0"/>
    <w:pPr>
      <w:shd w:val="clear" w:color="auto" w:fill="FFFFFF"/>
      <w:spacing w:before="100" w:beforeAutospacing="1" w:after="100" w:afterAutospacing="1"/>
    </w:pPr>
    <w:rPr>
      <w:color w:val="000000"/>
      <w:sz w:val="20"/>
      <w:szCs w:val="20"/>
    </w:rPr>
  </w:style>
  <w:style w:type="paragraph" w:customStyle="1" w:styleId="2341">
    <w:name w:val="样式66"/>
    <w:basedOn w:val="6"/>
    <w:qFormat/>
    <w:uiPriority w:val="0"/>
    <w:pPr>
      <w:widowControl w:val="0"/>
      <w:spacing w:line="480" w:lineRule="exact"/>
      <w:ind w:left="-140" w:right="31" w:firstLine="560" w:firstLineChars="200"/>
      <w:jc w:val="both"/>
    </w:pPr>
    <w:rPr>
      <w:rFonts w:ascii="Times New Roman" w:hAnsi="宋体"/>
      <w:kern w:val="2"/>
      <w:szCs w:val="28"/>
    </w:rPr>
  </w:style>
  <w:style w:type="paragraph" w:customStyle="1" w:styleId="2342">
    <w:name w:val="样式 样式 标题 1 + 黑体 二号 段前: 20 磅 段后: 20 磅 行距: 固定值 28 磅 + 非加粗 段前: 1 行..."/>
    <w:basedOn w:val="1"/>
    <w:qFormat/>
    <w:uiPriority w:val="0"/>
    <w:pPr>
      <w:keepNext/>
      <w:widowControl w:val="0"/>
      <w:adjustRightInd w:val="0"/>
      <w:snapToGrid w:val="0"/>
      <w:spacing w:beforeLines="100" w:afterLines="100" w:line="480" w:lineRule="auto"/>
      <w:jc w:val="center"/>
      <w:outlineLvl w:val="0"/>
    </w:pPr>
    <w:rPr>
      <w:rFonts w:ascii="黑体" w:hAnsi="黑体" w:eastAsia="黑体"/>
      <w:kern w:val="2"/>
      <w:sz w:val="44"/>
      <w:szCs w:val="20"/>
    </w:rPr>
  </w:style>
  <w:style w:type="paragraph" w:customStyle="1" w:styleId="2343">
    <w:name w:val="格式"/>
    <w:basedOn w:val="1"/>
    <w:qFormat/>
    <w:uiPriority w:val="0"/>
    <w:pPr>
      <w:widowControl w:val="0"/>
      <w:spacing w:line="360" w:lineRule="auto"/>
      <w:ind w:firstLine="200" w:firstLineChars="200"/>
      <w:jc w:val="both"/>
    </w:pPr>
    <w:rPr>
      <w:rFonts w:ascii="Times New Roman" w:hAnsi="Times New Roman" w:cs="Times New Roman"/>
      <w:kern w:val="2"/>
    </w:rPr>
  </w:style>
  <w:style w:type="paragraph" w:customStyle="1" w:styleId="2344">
    <w:name w:val="Char1 Char Char Char2"/>
    <w:basedOn w:val="1"/>
    <w:qFormat/>
    <w:uiPriority w:val="0"/>
    <w:pPr>
      <w:widowControl w:val="0"/>
      <w:jc w:val="both"/>
    </w:pPr>
    <w:rPr>
      <w:rFonts w:ascii="Times New Roman" w:hAnsi="Times New Roman" w:cs="Times New Roman"/>
      <w:kern w:val="2"/>
      <w:sz w:val="21"/>
      <w:szCs w:val="28"/>
    </w:rPr>
  </w:style>
  <w:style w:type="paragraph" w:customStyle="1" w:styleId="2345">
    <w:name w:val="样式73"/>
    <w:basedOn w:val="1"/>
    <w:qFormat/>
    <w:uiPriority w:val="0"/>
    <w:pPr>
      <w:widowControl w:val="0"/>
      <w:adjustRightInd w:val="0"/>
      <w:snapToGrid w:val="0"/>
      <w:spacing w:line="480" w:lineRule="exact"/>
      <w:ind w:firstLine="560" w:firstLineChars="200"/>
      <w:jc w:val="both"/>
    </w:pPr>
    <w:rPr>
      <w:rFonts w:cs="Times New Roman"/>
      <w:snapToGrid w:val="0"/>
      <w:color w:val="FF0000"/>
      <w:sz w:val="28"/>
      <w:szCs w:val="28"/>
    </w:rPr>
  </w:style>
  <w:style w:type="paragraph" w:customStyle="1" w:styleId="2346">
    <w:name w:val="样式83"/>
    <w:basedOn w:val="2218"/>
    <w:qFormat/>
    <w:uiPriority w:val="0"/>
    <w:pPr>
      <w:keepNext w:val="0"/>
      <w:keepLines w:val="0"/>
      <w:widowControl/>
      <w:spacing w:line="480" w:lineRule="exact"/>
      <w:ind w:firstLine="450" w:firstLineChars="150"/>
    </w:pPr>
  </w:style>
  <w:style w:type="paragraph" w:customStyle="1" w:styleId="2347">
    <w:name w:val="样式68"/>
    <w:basedOn w:val="1"/>
    <w:qFormat/>
    <w:uiPriority w:val="0"/>
    <w:pPr>
      <w:widowControl w:val="0"/>
      <w:adjustRightInd w:val="0"/>
      <w:snapToGrid w:val="0"/>
      <w:spacing w:line="480" w:lineRule="exact"/>
      <w:ind w:firstLine="560" w:firstLineChars="200"/>
      <w:jc w:val="both"/>
    </w:pPr>
    <w:rPr>
      <w:rFonts w:cs="Times New Roman"/>
      <w:snapToGrid w:val="0"/>
      <w:color w:val="FF0000"/>
      <w:sz w:val="28"/>
      <w:szCs w:val="28"/>
    </w:rPr>
  </w:style>
  <w:style w:type="paragraph" w:customStyle="1" w:styleId="2348">
    <w:name w:val="索引 91"/>
    <w:basedOn w:val="1"/>
    <w:next w:val="1"/>
    <w:qFormat/>
    <w:uiPriority w:val="0"/>
    <w:pPr>
      <w:widowControl w:val="0"/>
      <w:ind w:left="1600" w:leftChars="1600"/>
      <w:jc w:val="both"/>
    </w:pPr>
    <w:rPr>
      <w:rFonts w:ascii="Times New Roman" w:hAnsi="Times New Roman" w:cs="Times New Roman"/>
      <w:kern w:val="2"/>
      <w:sz w:val="21"/>
    </w:rPr>
  </w:style>
  <w:style w:type="paragraph" w:customStyle="1" w:styleId="2349">
    <w:name w:val="修订2"/>
    <w:qFormat/>
    <w:uiPriority w:val="99"/>
    <w:rPr>
      <w:rFonts w:ascii="Times New Roman" w:hAnsi="Times New Roman" w:eastAsia="宋体" w:cs="Times New Roman"/>
      <w:kern w:val="2"/>
      <w:sz w:val="21"/>
      <w:szCs w:val="24"/>
      <w:lang w:val="en-US" w:eastAsia="zh-CN" w:bidi="ar-SA"/>
    </w:rPr>
  </w:style>
  <w:style w:type="paragraph" w:customStyle="1" w:styleId="2350">
    <w:name w:val="reader-word-layer reader-word-s11-14"/>
    <w:basedOn w:val="1"/>
    <w:qFormat/>
    <w:uiPriority w:val="0"/>
    <w:pPr>
      <w:spacing w:before="100" w:beforeAutospacing="1" w:after="100" w:afterAutospacing="1"/>
    </w:pPr>
  </w:style>
  <w:style w:type="paragraph" w:customStyle="1" w:styleId="2351">
    <w:name w:val="样式53"/>
    <w:basedOn w:val="102"/>
    <w:qFormat/>
    <w:uiPriority w:val="0"/>
    <w:pPr>
      <w:adjustRightInd w:val="0"/>
      <w:spacing w:line="240" w:lineRule="exact"/>
      <w:ind w:left="-140" w:leftChars="-50" w:right="-140" w:rightChars="-50" w:firstLine="0"/>
    </w:pPr>
    <w:rPr>
      <w:rFonts w:hint="default" w:ascii="Times New Roman" w:hAnsi="Times New Roman" w:eastAsia="宋体"/>
      <w:color w:val="000000"/>
      <w:kern w:val="0"/>
      <w:szCs w:val="28"/>
    </w:rPr>
  </w:style>
  <w:style w:type="paragraph" w:customStyle="1" w:styleId="2352">
    <w:name w:val="样式79"/>
    <w:basedOn w:val="2261"/>
    <w:qFormat/>
    <w:uiPriority w:val="0"/>
    <w:pPr>
      <w:ind w:firstLine="562"/>
    </w:pPr>
    <w:rPr>
      <w:rFonts w:hAnsi="宋体"/>
      <w:b/>
      <w:bCs/>
      <w:sz w:val="28"/>
      <w:szCs w:val="28"/>
    </w:rPr>
  </w:style>
  <w:style w:type="paragraph" w:customStyle="1" w:styleId="2353">
    <w:name w:val="xl14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2354">
    <w:name w:val="xl119"/>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rFonts w:ascii="Times New Roman" w:hAnsi="Times New Roman" w:cs="Times New Roman"/>
      <w:b/>
      <w:bCs/>
      <w:sz w:val="21"/>
      <w:szCs w:val="21"/>
    </w:rPr>
  </w:style>
  <w:style w:type="paragraph" w:customStyle="1" w:styleId="2355">
    <w:name w:val="样式89"/>
    <w:basedOn w:val="1"/>
    <w:qFormat/>
    <w:uiPriority w:val="0"/>
    <w:pPr>
      <w:widowControl w:val="0"/>
      <w:adjustRightInd w:val="0"/>
      <w:snapToGrid w:val="0"/>
      <w:spacing w:line="480" w:lineRule="exact"/>
      <w:ind w:firstLine="560" w:firstLineChars="200"/>
      <w:jc w:val="both"/>
    </w:pPr>
    <w:rPr>
      <w:snapToGrid w:val="0"/>
      <w:sz w:val="28"/>
      <w:szCs w:val="28"/>
    </w:rPr>
  </w:style>
  <w:style w:type="paragraph" w:customStyle="1" w:styleId="2356">
    <w:name w:val="样式59"/>
    <w:basedOn w:val="104"/>
    <w:qFormat/>
    <w:uiPriority w:val="0"/>
    <w:pPr>
      <w:spacing w:line="480" w:lineRule="exact"/>
      <w:ind w:left="-140" w:leftChars="-6" w:right="31" w:hanging="8" w:hangingChars="8"/>
    </w:pPr>
    <w:rPr>
      <w:rFonts w:ascii="方正黑体简体" w:eastAsia="方正黑体简体"/>
      <w:sz w:val="30"/>
    </w:rPr>
  </w:style>
  <w:style w:type="paragraph" w:customStyle="1" w:styleId="2357">
    <w:name w:val="样式72"/>
    <w:basedOn w:val="1"/>
    <w:qFormat/>
    <w:uiPriority w:val="0"/>
    <w:pPr>
      <w:widowControl w:val="0"/>
      <w:adjustRightInd w:val="0"/>
      <w:snapToGrid w:val="0"/>
      <w:spacing w:line="480" w:lineRule="exact"/>
      <w:ind w:firstLine="560" w:firstLineChars="200"/>
      <w:jc w:val="both"/>
    </w:pPr>
    <w:rPr>
      <w:rFonts w:cs="Times New Roman"/>
      <w:snapToGrid w:val="0"/>
      <w:color w:val="FF0000"/>
      <w:sz w:val="28"/>
      <w:szCs w:val="28"/>
    </w:rPr>
  </w:style>
  <w:style w:type="paragraph" w:customStyle="1" w:styleId="2358">
    <w:name w:val="正文首行缩进 22"/>
    <w:basedOn w:val="311"/>
    <w:qFormat/>
    <w:uiPriority w:val="0"/>
    <w:pPr>
      <w:spacing w:after="120"/>
      <w:ind w:left="420" w:firstLine="420"/>
    </w:pPr>
  </w:style>
  <w:style w:type="paragraph" w:customStyle="1" w:styleId="2359">
    <w:name w:val="样式25"/>
    <w:basedOn w:val="1"/>
    <w:qFormat/>
    <w:uiPriority w:val="0"/>
    <w:pPr>
      <w:widowControl w:val="0"/>
      <w:adjustRightInd w:val="0"/>
      <w:snapToGrid w:val="0"/>
      <w:spacing w:line="500" w:lineRule="exact"/>
      <w:ind w:firstLine="560" w:firstLineChars="200"/>
      <w:jc w:val="both"/>
    </w:pPr>
    <w:rPr>
      <w:rFonts w:ascii="Times New Roman" w:hAnsi="Times New Roman" w:cs="Times New Roman"/>
      <w:snapToGrid w:val="0"/>
      <w:sz w:val="28"/>
      <w:szCs w:val="28"/>
    </w:rPr>
  </w:style>
  <w:style w:type="paragraph" w:customStyle="1" w:styleId="2360">
    <w:name w:val="xl195"/>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color w:val="000000"/>
      <w:sz w:val="20"/>
      <w:szCs w:val="20"/>
    </w:rPr>
  </w:style>
  <w:style w:type="paragraph" w:customStyle="1" w:styleId="2361">
    <w:name w:val="样式43"/>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rPr>
  </w:style>
  <w:style w:type="paragraph" w:customStyle="1" w:styleId="2362">
    <w:name w:val="样式 标题 1 + 黑体 二号 段前: 20 磅 段后: 20 磅 行距: 固定值 28 磅"/>
    <w:basedOn w:val="4"/>
    <w:qFormat/>
    <w:uiPriority w:val="0"/>
    <w:pPr>
      <w:keepNext/>
      <w:widowControl w:val="0"/>
      <w:adjustRightInd w:val="0"/>
      <w:snapToGrid w:val="0"/>
      <w:spacing w:beforeLines="100" w:afterLines="100" w:line="480" w:lineRule="auto"/>
      <w:jc w:val="center"/>
    </w:pPr>
    <w:rPr>
      <w:rFonts w:ascii="黑体" w:hAnsi="黑体" w:cs="宋体"/>
      <w:b/>
      <w:bCs/>
      <w:sz w:val="44"/>
      <w:szCs w:val="20"/>
    </w:rPr>
  </w:style>
  <w:style w:type="paragraph" w:customStyle="1" w:styleId="2363">
    <w:name w:val="样式69"/>
    <w:basedOn w:val="1"/>
    <w:qFormat/>
    <w:uiPriority w:val="0"/>
    <w:pPr>
      <w:widowControl w:val="0"/>
      <w:adjustRightInd w:val="0"/>
      <w:snapToGrid w:val="0"/>
      <w:spacing w:line="480" w:lineRule="exact"/>
      <w:ind w:firstLine="560" w:firstLineChars="200"/>
      <w:jc w:val="both"/>
    </w:pPr>
    <w:rPr>
      <w:rFonts w:cs="Times New Roman"/>
      <w:snapToGrid w:val="0"/>
      <w:color w:val="FF0000"/>
      <w:sz w:val="28"/>
      <w:szCs w:val="28"/>
    </w:rPr>
  </w:style>
  <w:style w:type="paragraph" w:customStyle="1" w:styleId="2364">
    <w:name w:val="标题1T"/>
    <w:next w:val="4"/>
    <w:qFormat/>
    <w:uiPriority w:val="0"/>
    <w:pPr>
      <w:spacing w:beforeLines="100" w:afterLines="100" w:line="480" w:lineRule="exact"/>
      <w:jc w:val="center"/>
    </w:pPr>
    <w:rPr>
      <w:rFonts w:ascii="Times New Roman" w:hAnsi="Times New Roman" w:eastAsia="楷体_GB2312" w:cs="Times New Roman"/>
      <w:kern w:val="2"/>
      <w:sz w:val="32"/>
      <w:szCs w:val="32"/>
      <w:lang w:val="en-US" w:eastAsia="zh-CN" w:bidi="ar-SA"/>
    </w:rPr>
  </w:style>
  <w:style w:type="paragraph" w:customStyle="1" w:styleId="2365">
    <w:name w:val="xl2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366">
    <w:name w:val="正文五级标题"/>
    <w:basedOn w:val="1"/>
    <w:qFormat/>
    <w:uiPriority w:val="0"/>
    <w:pPr>
      <w:widowControl w:val="0"/>
      <w:spacing w:line="480" w:lineRule="exact"/>
      <w:ind w:firstLine="200" w:firstLineChars="200"/>
      <w:jc w:val="both"/>
      <w:outlineLvl w:val="4"/>
    </w:pPr>
    <w:rPr>
      <w:rFonts w:ascii="Times New Roman" w:hAnsi="Times New Roman" w:eastAsia="仿宋_GB2312" w:cs="Times New Roman"/>
      <w:b/>
      <w:kern w:val="2"/>
      <w:sz w:val="30"/>
    </w:rPr>
  </w:style>
  <w:style w:type="paragraph" w:customStyle="1" w:styleId="2367">
    <w:name w:val="正文一级"/>
    <w:qFormat/>
    <w:uiPriority w:val="0"/>
    <w:pPr>
      <w:tabs>
        <w:tab w:val="left" w:pos="200"/>
      </w:tabs>
      <w:spacing w:before="360" w:after="240"/>
      <w:ind w:left="200"/>
      <w:jc w:val="center"/>
      <w:outlineLvl w:val="0"/>
    </w:pPr>
    <w:rPr>
      <w:rFonts w:ascii="Times New Roman" w:hAnsi="Times New Roman" w:eastAsia="黑体" w:cs="Times New Roman"/>
      <w:bCs/>
      <w:kern w:val="44"/>
      <w:sz w:val="36"/>
      <w:szCs w:val="36"/>
      <w:lang w:val="en-US" w:eastAsia="zh-CN" w:bidi="ar-SA"/>
    </w:rPr>
  </w:style>
  <w:style w:type="paragraph" w:customStyle="1" w:styleId="2368">
    <w:name w:val="注"/>
    <w:basedOn w:val="1"/>
    <w:qFormat/>
    <w:uiPriority w:val="0"/>
    <w:pPr>
      <w:widowControl w:val="0"/>
      <w:ind w:firstLine="57"/>
      <w:jc w:val="both"/>
    </w:pPr>
    <w:rPr>
      <w:rFonts w:hAnsi="Times New Roman" w:cs="Times New Roman"/>
      <w:kern w:val="2"/>
      <w:sz w:val="21"/>
      <w:szCs w:val="20"/>
    </w:rPr>
  </w:style>
  <w:style w:type="paragraph" w:customStyle="1" w:styleId="2369">
    <w:name w:val="正文+"/>
    <w:basedOn w:val="1"/>
    <w:qFormat/>
    <w:uiPriority w:val="0"/>
    <w:pPr>
      <w:adjustRightInd w:val="0"/>
      <w:snapToGrid w:val="0"/>
      <w:spacing w:line="480" w:lineRule="exact"/>
      <w:ind w:firstLine="560" w:firstLineChars="200"/>
    </w:pPr>
    <w:rPr>
      <w:snapToGrid w:val="0"/>
      <w:sz w:val="28"/>
      <w:szCs w:val="20"/>
    </w:rPr>
  </w:style>
  <w:style w:type="paragraph" w:customStyle="1" w:styleId="2370">
    <w:name w:val="样式39"/>
    <w:basedOn w:val="102"/>
    <w:qFormat/>
    <w:uiPriority w:val="0"/>
    <w:pPr>
      <w:adjustRightInd w:val="0"/>
      <w:spacing w:line="300" w:lineRule="exact"/>
      <w:ind w:left="-140" w:leftChars="-50" w:right="-140" w:rightChars="-50" w:firstLine="0"/>
    </w:pPr>
    <w:rPr>
      <w:rFonts w:hint="default" w:ascii="Times New Roman" w:hAnsi="Times New Roman" w:eastAsia="宋体"/>
      <w:color w:val="000000"/>
      <w:kern w:val="0"/>
      <w:szCs w:val="28"/>
    </w:rPr>
  </w:style>
  <w:style w:type="paragraph" w:customStyle="1" w:styleId="2371">
    <w:name w:val="xl19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372">
    <w:name w:val="样式85"/>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color w:val="000000"/>
      <w:sz w:val="28"/>
      <w:szCs w:val="21"/>
    </w:rPr>
  </w:style>
  <w:style w:type="paragraph" w:customStyle="1" w:styleId="2373">
    <w:name w:val="xl24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374">
    <w:name w:val="正文文本缩进 33"/>
    <w:basedOn w:val="1"/>
    <w:qFormat/>
    <w:uiPriority w:val="0"/>
    <w:pPr>
      <w:widowControl w:val="0"/>
      <w:spacing w:line="300" w:lineRule="auto"/>
      <w:ind w:firstLine="525"/>
      <w:jc w:val="both"/>
    </w:pPr>
    <w:rPr>
      <w:rFonts w:ascii="Times New Roman" w:hAnsi="Times New Roman" w:cs="Times New Roman"/>
      <w:kern w:val="2"/>
      <w:szCs w:val="20"/>
    </w:rPr>
  </w:style>
  <w:style w:type="paragraph" w:customStyle="1" w:styleId="2375">
    <w:name w:val="xl318"/>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sz w:val="20"/>
      <w:szCs w:val="20"/>
    </w:rPr>
  </w:style>
  <w:style w:type="paragraph" w:customStyle="1" w:styleId="2376">
    <w:name w:val="样式42"/>
    <w:basedOn w:val="104"/>
    <w:qFormat/>
    <w:uiPriority w:val="0"/>
    <w:pPr>
      <w:spacing w:line="480" w:lineRule="exact"/>
      <w:ind w:left="-6" w:leftChars="-6" w:hanging="17" w:hangingChars="8"/>
    </w:pPr>
    <w:rPr>
      <w:rFonts w:ascii="方正黑体简体" w:eastAsia="方正黑体简体"/>
      <w:snapToGrid w:val="0"/>
      <w:sz w:val="30"/>
    </w:rPr>
  </w:style>
  <w:style w:type="paragraph" w:customStyle="1" w:styleId="2377">
    <w:name w:val="日期2"/>
    <w:basedOn w:val="1"/>
    <w:next w:val="1"/>
    <w:qFormat/>
    <w:uiPriority w:val="0"/>
    <w:pPr>
      <w:widowControl w:val="0"/>
      <w:jc w:val="both"/>
    </w:pPr>
    <w:rPr>
      <w:rFonts w:ascii="Times New Roman" w:hAnsi="Times New Roman" w:cs="Times New Roman"/>
      <w:kern w:val="2"/>
      <w:sz w:val="21"/>
      <w:szCs w:val="20"/>
    </w:rPr>
  </w:style>
  <w:style w:type="paragraph" w:customStyle="1" w:styleId="2378">
    <w:name w:val="正文题目"/>
    <w:basedOn w:val="1"/>
    <w:qFormat/>
    <w:uiPriority w:val="0"/>
    <w:pPr>
      <w:widowControl w:val="0"/>
      <w:spacing w:beforeLines="50" w:afterLines="100" w:line="700" w:lineRule="exact"/>
      <w:jc w:val="center"/>
    </w:pPr>
    <w:rPr>
      <w:rFonts w:ascii="Times New Roman" w:hAnsi="Times New Roman" w:eastAsia="黑体" w:cs="Times New Roman"/>
      <w:kern w:val="2"/>
      <w:sz w:val="44"/>
    </w:rPr>
  </w:style>
  <w:style w:type="paragraph" w:customStyle="1" w:styleId="2379">
    <w:name w:val="样式63"/>
    <w:basedOn w:val="2380"/>
    <w:qFormat/>
    <w:uiPriority w:val="0"/>
    <w:pPr>
      <w:spacing w:line="500" w:lineRule="exact"/>
      <w:ind w:left="0" w:leftChars="0" w:right="0" w:rightChars="0"/>
    </w:pPr>
    <w:rPr>
      <w:rFonts w:ascii="Times New Roman" w:hAnsi="Times New Roman" w:cs="Times New Roman"/>
      <w:color w:val="auto"/>
    </w:rPr>
  </w:style>
  <w:style w:type="paragraph" w:customStyle="1" w:styleId="2380">
    <w:name w:val="样式62"/>
    <w:basedOn w:val="1"/>
    <w:qFormat/>
    <w:uiPriority w:val="0"/>
    <w:pPr>
      <w:widowControl w:val="0"/>
      <w:adjustRightInd w:val="0"/>
      <w:snapToGrid w:val="0"/>
      <w:spacing w:line="480" w:lineRule="exact"/>
      <w:ind w:left="140" w:leftChars="50" w:right="140" w:rightChars="50" w:firstLine="560" w:firstLineChars="200"/>
      <w:jc w:val="both"/>
    </w:pPr>
    <w:rPr>
      <w:bCs/>
      <w:snapToGrid w:val="0"/>
      <w:color w:val="FF0000"/>
      <w:sz w:val="28"/>
      <w:szCs w:val="28"/>
    </w:rPr>
  </w:style>
  <w:style w:type="paragraph" w:customStyle="1" w:styleId="2381">
    <w:name w:val="索引 31"/>
    <w:basedOn w:val="1"/>
    <w:next w:val="1"/>
    <w:qFormat/>
    <w:uiPriority w:val="0"/>
    <w:pPr>
      <w:widowControl w:val="0"/>
      <w:spacing w:line="480" w:lineRule="exact"/>
      <w:ind w:left="400" w:leftChars="400"/>
      <w:jc w:val="both"/>
    </w:pPr>
    <w:rPr>
      <w:rFonts w:ascii="Times New Roman" w:hAnsi="Times New Roman" w:cs="Times New Roman"/>
      <w:kern w:val="2"/>
    </w:rPr>
  </w:style>
  <w:style w:type="paragraph" w:customStyle="1" w:styleId="2382">
    <w:name w:val="设料表居中"/>
    <w:basedOn w:val="1"/>
    <w:qFormat/>
    <w:uiPriority w:val="0"/>
    <w:pPr>
      <w:widowControl w:val="0"/>
      <w:adjustRightInd w:val="0"/>
      <w:ind w:left="-101" w:leftChars="-48"/>
      <w:jc w:val="center"/>
    </w:pPr>
    <w:rPr>
      <w:rFonts w:ascii="Times New Roman" w:hAnsi="Times New Roman" w:eastAsia="仿宋_GB2312" w:cs="Times New Roman"/>
      <w:kern w:val="2"/>
      <w:sz w:val="18"/>
      <w:szCs w:val="20"/>
    </w:rPr>
  </w:style>
  <w:style w:type="paragraph" w:customStyle="1" w:styleId="2383">
    <w:name w:val="xl263"/>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384">
    <w:name w:val="正文四级"/>
    <w:basedOn w:val="1"/>
    <w:qFormat/>
    <w:uiPriority w:val="0"/>
    <w:pPr>
      <w:widowControl w:val="0"/>
      <w:tabs>
        <w:tab w:val="left" w:pos="1022"/>
      </w:tabs>
      <w:ind w:left="1022" w:hanging="420"/>
      <w:outlineLvl w:val="3"/>
    </w:pPr>
    <w:rPr>
      <w:rFonts w:ascii="Times New Roman" w:hAnsi="Times New Roman" w:cs="Times New Roman"/>
      <w:b/>
      <w:kern w:val="2"/>
      <w:sz w:val="30"/>
    </w:rPr>
  </w:style>
  <w:style w:type="paragraph" w:customStyle="1" w:styleId="2385">
    <w:name w:val="Char Char Char Char Char Char Char Char Char Char Char Char Char Char Char Char Char Char Char Char Char Char"/>
    <w:basedOn w:val="1"/>
    <w:qFormat/>
    <w:uiPriority w:val="0"/>
    <w:pPr>
      <w:widowControl w:val="0"/>
      <w:jc w:val="both"/>
    </w:pPr>
    <w:rPr>
      <w:rFonts w:ascii="Times New Roman" w:hAnsi="Times New Roman" w:cs="Times New Roman"/>
      <w:kern w:val="2"/>
      <w:sz w:val="21"/>
    </w:rPr>
  </w:style>
  <w:style w:type="paragraph" w:customStyle="1" w:styleId="2386">
    <w:name w:val="Char Char Char Char Char Char Char Char Char Char Char Char Char Char Char Char Char Char Char Char Char Char1"/>
    <w:basedOn w:val="1"/>
    <w:qFormat/>
    <w:uiPriority w:val="0"/>
    <w:pPr>
      <w:widowControl w:val="0"/>
      <w:jc w:val="both"/>
    </w:pPr>
    <w:rPr>
      <w:rFonts w:ascii="Times New Roman" w:hAnsi="Times New Roman" w:cs="Times New Roman"/>
      <w:kern w:val="2"/>
      <w:sz w:val="21"/>
    </w:rPr>
  </w:style>
  <w:style w:type="paragraph" w:customStyle="1" w:styleId="2387">
    <w:name w:val="TOC 标题2"/>
    <w:basedOn w:val="4"/>
    <w:next w:val="1"/>
    <w:qFormat/>
    <w:uiPriority w:val="0"/>
    <w:pPr>
      <w:keepNext/>
      <w:keepLines/>
      <w:spacing w:before="480" w:line="276" w:lineRule="auto"/>
      <w:outlineLvl w:val="9"/>
    </w:pPr>
    <w:rPr>
      <w:rFonts w:ascii="Cambria" w:hAnsi="Cambria" w:eastAsia="宋体"/>
      <w:b/>
      <w:bCs/>
      <w:color w:val="365F91"/>
      <w:kern w:val="0"/>
      <w:sz w:val="28"/>
      <w:szCs w:val="28"/>
    </w:rPr>
  </w:style>
  <w:style w:type="paragraph" w:customStyle="1" w:styleId="2388">
    <w:name w:val="cucd-2"/>
    <w:next w:val="1"/>
    <w:qFormat/>
    <w:uiPriority w:val="0"/>
    <w:pPr>
      <w:tabs>
        <w:tab w:val="left" w:pos="567"/>
      </w:tabs>
      <w:spacing w:line="360" w:lineRule="auto"/>
      <w:ind w:left="567" w:hanging="567"/>
      <w:outlineLvl w:val="1"/>
    </w:pPr>
    <w:rPr>
      <w:rFonts w:ascii="Times New Roman" w:hAnsi="Times New Roman" w:eastAsia="黑体" w:cs="Times New Roman"/>
      <w:b/>
      <w:kern w:val="2"/>
      <w:sz w:val="30"/>
      <w:szCs w:val="24"/>
      <w:lang w:val="en-US" w:eastAsia="zh-CN" w:bidi="ar-SA"/>
    </w:rPr>
  </w:style>
  <w:style w:type="paragraph" w:customStyle="1" w:styleId="2389">
    <w:name w:val="样式52"/>
    <w:basedOn w:val="1"/>
    <w:qFormat/>
    <w:uiPriority w:val="0"/>
    <w:pPr>
      <w:widowControl w:val="0"/>
      <w:adjustRightInd w:val="0"/>
      <w:snapToGrid w:val="0"/>
      <w:spacing w:line="480" w:lineRule="exact"/>
      <w:ind w:left="-140" w:right="31"/>
      <w:jc w:val="center"/>
    </w:pPr>
    <w:rPr>
      <w:rFonts w:ascii="Times New Roman" w:hAnsi="Times New Roman" w:cs="Times New Roman"/>
      <w:snapToGrid w:val="0"/>
      <w:sz w:val="21"/>
      <w:szCs w:val="21"/>
    </w:rPr>
  </w:style>
  <w:style w:type="paragraph" w:customStyle="1" w:styleId="2390">
    <w:name w:val="样式 zw + Times New Roman"/>
    <w:basedOn w:val="1"/>
    <w:qFormat/>
    <w:uiPriority w:val="0"/>
    <w:pPr>
      <w:widowControl w:val="0"/>
      <w:snapToGrid w:val="0"/>
      <w:spacing w:line="300" w:lineRule="auto"/>
      <w:ind w:firstLine="200" w:firstLineChars="200"/>
      <w:jc w:val="both"/>
    </w:pPr>
    <w:rPr>
      <w:rFonts w:ascii="Times New Roman" w:hAnsi="Times New Roman" w:eastAsia="楷体_GB2312" w:cs="Times New Roman"/>
      <w:kern w:val="2"/>
      <w:sz w:val="28"/>
      <w:szCs w:val="20"/>
    </w:rPr>
  </w:style>
  <w:style w:type="paragraph" w:customStyle="1" w:styleId="2391">
    <w:name w:val="xl214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rPr>
  </w:style>
  <w:style w:type="paragraph" w:customStyle="1" w:styleId="2392">
    <w:name w:val="样式 小四 黑色 首行缩进:  0.77 厘米 行距: 1.5 倍行距"/>
    <w:basedOn w:val="1"/>
    <w:qFormat/>
    <w:uiPriority w:val="0"/>
    <w:pPr>
      <w:widowControl w:val="0"/>
      <w:spacing w:line="360" w:lineRule="auto"/>
      <w:ind w:firstLine="437"/>
      <w:jc w:val="both"/>
    </w:pPr>
    <w:rPr>
      <w:rFonts w:ascii="Times New Roman" w:hAnsi="Times New Roman" w:cs="Times New Roman"/>
      <w:color w:val="000000"/>
      <w:kern w:val="2"/>
    </w:rPr>
  </w:style>
  <w:style w:type="paragraph" w:customStyle="1" w:styleId="2393">
    <w:name w:val="样式70"/>
    <w:basedOn w:val="1"/>
    <w:qFormat/>
    <w:uiPriority w:val="0"/>
    <w:pPr>
      <w:widowControl w:val="0"/>
      <w:adjustRightInd w:val="0"/>
      <w:snapToGrid w:val="0"/>
      <w:spacing w:line="480" w:lineRule="exact"/>
      <w:ind w:firstLine="560" w:firstLineChars="200"/>
      <w:jc w:val="both"/>
    </w:pPr>
    <w:rPr>
      <w:rFonts w:cs="Times New Roman"/>
      <w:snapToGrid w:val="0"/>
      <w:color w:val="FF0000"/>
      <w:sz w:val="28"/>
      <w:szCs w:val="28"/>
    </w:rPr>
  </w:style>
  <w:style w:type="paragraph" w:customStyle="1" w:styleId="2394">
    <w:name w:val="xl18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395">
    <w:name w:val="样式90"/>
    <w:basedOn w:val="1"/>
    <w:qFormat/>
    <w:uiPriority w:val="0"/>
    <w:pPr>
      <w:widowControl w:val="0"/>
      <w:adjustRightInd w:val="0"/>
      <w:snapToGrid w:val="0"/>
      <w:spacing w:line="320" w:lineRule="exact"/>
      <w:jc w:val="both"/>
    </w:pPr>
    <w:rPr>
      <w:rFonts w:ascii="Times New Roman" w:cs="Times New Roman"/>
      <w:snapToGrid w:val="0"/>
      <w:color w:val="000000"/>
      <w:sz w:val="21"/>
      <w:szCs w:val="21"/>
    </w:rPr>
  </w:style>
  <w:style w:type="paragraph" w:customStyle="1" w:styleId="2396">
    <w:name w:val="样式 表格标注 + 首行缩进:  2 字符"/>
    <w:basedOn w:val="1"/>
    <w:qFormat/>
    <w:uiPriority w:val="0"/>
    <w:pPr>
      <w:widowControl w:val="0"/>
      <w:spacing w:beforeLines="50" w:afterLines="50"/>
      <w:ind w:firstLine="420" w:firstLineChars="200"/>
      <w:jc w:val="both"/>
    </w:pPr>
    <w:rPr>
      <w:rFonts w:ascii="Times New Roman" w:hAnsi="Times New Roman"/>
      <w:kern w:val="2"/>
      <w:sz w:val="21"/>
      <w:szCs w:val="20"/>
    </w:rPr>
  </w:style>
  <w:style w:type="paragraph" w:customStyle="1" w:styleId="2397">
    <w:name w:val="xl26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398">
    <w:name w:val="样式76"/>
    <w:basedOn w:val="102"/>
    <w:qFormat/>
    <w:uiPriority w:val="0"/>
    <w:pPr>
      <w:adjustRightInd w:val="0"/>
      <w:spacing w:line="300" w:lineRule="exact"/>
      <w:ind w:left="-140" w:leftChars="-50" w:right="-140" w:rightChars="-50" w:firstLine="420"/>
    </w:pPr>
    <w:rPr>
      <w:rFonts w:hint="default" w:ascii="Times New Roman" w:hAnsi="Times New Roman" w:eastAsia="宋体"/>
      <w:color w:val="000000"/>
      <w:kern w:val="0"/>
      <w:szCs w:val="28"/>
    </w:rPr>
  </w:style>
  <w:style w:type="paragraph" w:customStyle="1" w:styleId="2399">
    <w:name w:val="样式 表格头 + (符号) 宋体 段前: 0.5 行"/>
    <w:basedOn w:val="1"/>
    <w:qFormat/>
    <w:uiPriority w:val="0"/>
    <w:pPr>
      <w:keepNext/>
      <w:keepLines/>
      <w:adjustRightInd w:val="0"/>
      <w:snapToGrid w:val="0"/>
      <w:spacing w:beforeLines="50" w:line="400" w:lineRule="exact"/>
      <w:jc w:val="center"/>
    </w:pPr>
    <w:rPr>
      <w:rFonts w:ascii="Arial"/>
      <w:snapToGrid w:val="0"/>
      <w:color w:val="000000"/>
      <w:sz w:val="28"/>
      <w:szCs w:val="20"/>
    </w:rPr>
  </w:style>
  <w:style w:type="paragraph" w:customStyle="1" w:styleId="2400">
    <w:name w:val="xl303"/>
    <w:basedOn w:val="1"/>
    <w:qFormat/>
    <w:uiPriority w:val="0"/>
    <w:pPr>
      <w:pBdr>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401">
    <w:name w:val="123"/>
    <w:basedOn w:val="1"/>
    <w:qFormat/>
    <w:uiPriority w:val="0"/>
    <w:pPr>
      <w:widowControl w:val="0"/>
      <w:spacing w:line="360" w:lineRule="auto"/>
      <w:ind w:firstLine="420"/>
      <w:jc w:val="both"/>
    </w:pPr>
    <w:rPr>
      <w:rFonts w:ascii="Times New Roman" w:hAnsi="Times New Roman" w:cs="Times New Roman"/>
      <w:kern w:val="2"/>
    </w:rPr>
  </w:style>
  <w:style w:type="paragraph" w:customStyle="1" w:styleId="2402">
    <w:name w:val="xl215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FF0000"/>
      <w:sz w:val="22"/>
      <w:szCs w:val="22"/>
    </w:rPr>
  </w:style>
  <w:style w:type="paragraph" w:customStyle="1" w:styleId="2403">
    <w:name w:val="标题 4 + 四号"/>
    <w:basedOn w:val="7"/>
    <w:qFormat/>
    <w:uiPriority w:val="0"/>
    <w:pPr>
      <w:widowControl w:val="0"/>
      <w:spacing w:beforeLines="50" w:afterLines="50" w:line="480" w:lineRule="exact"/>
      <w:jc w:val="both"/>
    </w:pPr>
    <w:rPr>
      <w:sz w:val="28"/>
      <w:szCs w:val="28"/>
    </w:rPr>
  </w:style>
  <w:style w:type="paragraph" w:customStyle="1" w:styleId="2404">
    <w:name w:val="正文缩进3"/>
    <w:basedOn w:val="1"/>
    <w:qFormat/>
    <w:uiPriority w:val="0"/>
    <w:pPr>
      <w:widowControl w:val="0"/>
      <w:adjustRightInd w:val="0"/>
      <w:snapToGrid w:val="0"/>
      <w:spacing w:line="480" w:lineRule="exact"/>
      <w:ind w:firstLine="200" w:firstLineChars="200"/>
      <w:jc w:val="both"/>
    </w:pPr>
    <w:rPr>
      <w:rFonts w:ascii="Times New Roman" w:hAnsi="Times New Roman" w:eastAsia="方正仿宋简体" w:cs="Times New Roman"/>
      <w:kern w:val="2"/>
      <w:sz w:val="28"/>
      <w:szCs w:val="20"/>
    </w:rPr>
  </w:style>
  <w:style w:type="paragraph" w:customStyle="1" w:styleId="2405">
    <w:name w:val="样式 标题2 + 行距: 固定值 23 磅"/>
    <w:basedOn w:val="1"/>
    <w:qFormat/>
    <w:uiPriority w:val="0"/>
    <w:pPr>
      <w:keepNext/>
      <w:keepLines/>
      <w:widowControl w:val="0"/>
      <w:adjustRightInd w:val="0"/>
      <w:spacing w:line="460" w:lineRule="exact"/>
      <w:jc w:val="both"/>
      <w:outlineLvl w:val="1"/>
    </w:pPr>
    <w:rPr>
      <w:rFonts w:ascii="黑体" w:hAnsi="Times New Roman" w:eastAsia="黑体"/>
      <w:bCs/>
      <w:color w:val="000000"/>
      <w:sz w:val="28"/>
      <w:szCs w:val="20"/>
    </w:rPr>
  </w:style>
  <w:style w:type="paragraph" w:customStyle="1" w:styleId="2406">
    <w:name w:val="正文文本 31"/>
    <w:basedOn w:val="1"/>
    <w:qFormat/>
    <w:uiPriority w:val="0"/>
    <w:pPr>
      <w:widowControl w:val="0"/>
      <w:adjustRightInd w:val="0"/>
      <w:snapToGrid w:val="0"/>
      <w:spacing w:after="120" w:line="480" w:lineRule="exact"/>
      <w:ind w:firstLine="200" w:firstLineChars="200"/>
      <w:jc w:val="both"/>
    </w:pPr>
    <w:rPr>
      <w:rFonts w:ascii="Times New Roman" w:hAnsi="Times New Roman" w:cs="Times New Roman"/>
      <w:sz w:val="16"/>
      <w:szCs w:val="16"/>
    </w:rPr>
  </w:style>
  <w:style w:type="paragraph" w:customStyle="1" w:styleId="2407">
    <w:name w:val="样式 标题 3条标题1.1.1BSH-3H3h33rd levell3CT段二级节名条 1二级节名1二级...1"/>
    <w:basedOn w:val="7"/>
    <w:qFormat/>
    <w:uiPriority w:val="0"/>
    <w:pPr>
      <w:widowControl w:val="0"/>
      <w:adjustRightInd w:val="0"/>
      <w:spacing w:line="360" w:lineRule="auto"/>
      <w:jc w:val="both"/>
    </w:pPr>
    <w:rPr>
      <w:rFonts w:eastAsia="宋体" w:cs="宋体"/>
      <w:b/>
      <w:sz w:val="28"/>
      <w:szCs w:val="20"/>
    </w:rPr>
  </w:style>
  <w:style w:type="paragraph" w:customStyle="1" w:styleId="2408">
    <w:name w:val="样式21"/>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szCs w:val="28"/>
    </w:rPr>
  </w:style>
  <w:style w:type="paragraph" w:customStyle="1" w:styleId="2409">
    <w:name w:val="文本框文字"/>
    <w:basedOn w:val="42"/>
    <w:next w:val="42"/>
    <w:qFormat/>
    <w:uiPriority w:val="0"/>
    <w:pPr>
      <w:widowControl w:val="0"/>
      <w:spacing w:line="360" w:lineRule="exact"/>
      <w:jc w:val="both"/>
    </w:pPr>
    <w:rPr>
      <w:sz w:val="24"/>
      <w:szCs w:val="20"/>
    </w:rPr>
  </w:style>
  <w:style w:type="paragraph" w:customStyle="1" w:styleId="2410">
    <w:name w:val="封面落款"/>
    <w:basedOn w:val="1"/>
    <w:next w:val="1"/>
    <w:qFormat/>
    <w:uiPriority w:val="0"/>
    <w:pPr>
      <w:widowControl w:val="0"/>
      <w:spacing w:line="460" w:lineRule="exact"/>
      <w:ind w:firstLine="200" w:firstLineChars="200"/>
      <w:jc w:val="center"/>
    </w:pPr>
    <w:rPr>
      <w:rFonts w:ascii="Times New Roman" w:hAnsi="Times New Roman" w:cs="Times New Roman"/>
      <w:kern w:val="2"/>
      <w:sz w:val="28"/>
    </w:rPr>
  </w:style>
  <w:style w:type="paragraph" w:customStyle="1" w:styleId="2411">
    <w:name w:val="列出段落5"/>
    <w:basedOn w:val="1"/>
    <w:qFormat/>
    <w:uiPriority w:val="34"/>
    <w:pPr>
      <w:widowControl w:val="0"/>
      <w:ind w:firstLine="420" w:firstLineChars="200"/>
      <w:jc w:val="both"/>
    </w:pPr>
    <w:rPr>
      <w:rFonts w:ascii="Times New Roman" w:hAnsi="Times New Roman" w:cs="Times New Roman"/>
      <w:kern w:val="2"/>
      <w:szCs w:val="20"/>
    </w:rPr>
  </w:style>
  <w:style w:type="paragraph" w:customStyle="1" w:styleId="2412">
    <w:name w:val="正文-表格居中"/>
    <w:basedOn w:val="1225"/>
    <w:qFormat/>
    <w:uiPriority w:val="0"/>
    <w:pPr>
      <w:adjustRightInd w:val="0"/>
      <w:snapToGrid w:val="0"/>
      <w:spacing w:line="240" w:lineRule="auto"/>
      <w:ind w:firstLine="0"/>
      <w:jc w:val="center"/>
    </w:pPr>
    <w:rPr>
      <w:sz w:val="21"/>
      <w:szCs w:val="24"/>
    </w:rPr>
  </w:style>
  <w:style w:type="paragraph" w:customStyle="1" w:styleId="2413">
    <w:name w:val="图形标题"/>
    <w:basedOn w:val="6"/>
    <w:next w:val="1"/>
    <w:qFormat/>
    <w:uiPriority w:val="0"/>
    <w:pPr>
      <w:widowControl w:val="0"/>
      <w:tabs>
        <w:tab w:val="left" w:pos="1120"/>
      </w:tabs>
      <w:spacing w:before="120" w:after="120" w:line="290" w:lineRule="auto"/>
      <w:ind w:right="-108" w:firstLine="0"/>
      <w:jc w:val="center"/>
    </w:pPr>
    <w:rPr>
      <w:rFonts w:ascii="Times New Roman" w:hAnsi="Times New Roman"/>
      <w:kern w:val="24"/>
      <w:sz w:val="24"/>
    </w:rPr>
  </w:style>
  <w:style w:type="paragraph" w:customStyle="1" w:styleId="2414">
    <w:name w:val="样式  表头"/>
    <w:basedOn w:val="104"/>
    <w:qFormat/>
    <w:uiPriority w:val="0"/>
    <w:pPr>
      <w:spacing w:line="520" w:lineRule="exact"/>
    </w:pPr>
    <w:rPr>
      <w:snapToGrid w:val="0"/>
    </w:rPr>
  </w:style>
  <w:style w:type="paragraph" w:customStyle="1" w:styleId="2415">
    <w:name w:val="xl273"/>
    <w:basedOn w:val="1"/>
    <w:qFormat/>
    <w:uiPriority w:val="0"/>
    <w:pPr>
      <w:pBdr>
        <w:top w:val="single" w:color="auto" w:sz="4" w:space="0"/>
        <w:left w:val="single" w:color="auto" w:sz="4" w:space="0"/>
        <w:bottom w:val="single" w:color="auto" w:sz="4" w:space="0"/>
        <w:right w:val="single" w:color="auto" w:sz="4" w:space="0"/>
      </w:pBdr>
      <w:shd w:val="clear" w:color="auto" w:fill="800080"/>
      <w:spacing w:before="100" w:beforeAutospacing="1" w:after="100" w:afterAutospacing="1"/>
    </w:pPr>
    <w:rPr>
      <w:b/>
      <w:bCs/>
      <w:sz w:val="20"/>
      <w:szCs w:val="20"/>
    </w:rPr>
  </w:style>
  <w:style w:type="paragraph" w:customStyle="1" w:styleId="2416">
    <w:name w:val="样式23"/>
    <w:basedOn w:val="1"/>
    <w:qFormat/>
    <w:uiPriority w:val="0"/>
    <w:pPr>
      <w:spacing w:line="240" w:lineRule="exact"/>
      <w:jc w:val="center"/>
    </w:pPr>
    <w:rPr>
      <w:rFonts w:ascii="Times New Roman" w:cs="Times New Roman"/>
      <w:sz w:val="18"/>
      <w:szCs w:val="18"/>
    </w:rPr>
  </w:style>
  <w:style w:type="paragraph" w:customStyle="1" w:styleId="2417">
    <w:name w:val="样式60"/>
    <w:basedOn w:val="2222"/>
    <w:qFormat/>
    <w:uiPriority w:val="0"/>
    <w:pPr>
      <w:spacing w:line="500" w:lineRule="exact"/>
      <w:ind w:firstLine="560"/>
    </w:pPr>
    <w:rPr>
      <w:b w:val="0"/>
      <w:color w:val="FF0000"/>
    </w:rPr>
  </w:style>
  <w:style w:type="paragraph" w:customStyle="1" w:styleId="2418">
    <w:name w:val="17"/>
    <w:basedOn w:val="1"/>
    <w:next w:val="33"/>
    <w:qFormat/>
    <w:uiPriority w:val="0"/>
    <w:pPr>
      <w:widowControl w:val="0"/>
      <w:adjustRightInd w:val="0"/>
      <w:snapToGrid w:val="0"/>
      <w:ind w:firstLine="645"/>
      <w:jc w:val="both"/>
    </w:pPr>
    <w:rPr>
      <w:rFonts w:hAnsi="Times New Roman" w:cs="Times New Roman"/>
      <w:kern w:val="2"/>
      <w:sz w:val="28"/>
      <w:szCs w:val="20"/>
    </w:rPr>
  </w:style>
  <w:style w:type="paragraph" w:customStyle="1" w:styleId="2419">
    <w:name w:val="Char Char Char Char Char Char Char2"/>
    <w:basedOn w:val="1"/>
    <w:qFormat/>
    <w:uiPriority w:val="0"/>
    <w:pPr>
      <w:spacing w:after="160" w:line="240" w:lineRule="exact"/>
    </w:pPr>
    <w:rPr>
      <w:rFonts w:ascii="Verdana" w:hAnsi="Verdana" w:cs="Times New Roman"/>
      <w:sz w:val="20"/>
      <w:szCs w:val="20"/>
      <w:lang w:eastAsia="en-US"/>
    </w:rPr>
  </w:style>
  <w:style w:type="paragraph" w:customStyle="1" w:styleId="2420">
    <w:name w:val="xl19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21">
    <w:name w:val="样式34"/>
    <w:basedOn w:val="2288"/>
    <w:qFormat/>
    <w:uiPriority w:val="0"/>
    <w:pPr>
      <w:spacing w:line="500" w:lineRule="exact"/>
    </w:pPr>
  </w:style>
  <w:style w:type="paragraph" w:customStyle="1" w:styleId="2422">
    <w:name w:val="Char Char Char1 Char Char Char Char Char Char Char Char Char Char Char Char Char Char Char Char Char Char Char Char Char Char"/>
    <w:basedOn w:val="1"/>
    <w:qFormat/>
    <w:uiPriority w:val="0"/>
    <w:pPr>
      <w:widowControl w:val="0"/>
      <w:adjustRightInd w:val="0"/>
      <w:snapToGrid w:val="0"/>
      <w:spacing w:line="360" w:lineRule="auto"/>
      <w:ind w:firstLine="200" w:firstLineChars="200"/>
      <w:jc w:val="both"/>
    </w:pPr>
    <w:rPr>
      <w:kern w:val="2"/>
      <w:szCs w:val="26"/>
    </w:rPr>
  </w:style>
  <w:style w:type="paragraph" w:customStyle="1" w:styleId="2423">
    <w:name w:val="xl1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1"/>
      <w:szCs w:val="21"/>
    </w:rPr>
  </w:style>
  <w:style w:type="paragraph" w:customStyle="1" w:styleId="2424">
    <w:name w:val="样式44"/>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rPr>
  </w:style>
  <w:style w:type="paragraph" w:customStyle="1" w:styleId="2425">
    <w:name w:val="样式67"/>
    <w:basedOn w:val="1"/>
    <w:qFormat/>
    <w:uiPriority w:val="0"/>
    <w:pPr>
      <w:widowControl w:val="0"/>
      <w:tabs>
        <w:tab w:val="left" w:pos="720"/>
      </w:tabs>
      <w:adjustRightInd w:val="0"/>
      <w:snapToGrid w:val="0"/>
      <w:spacing w:afterLines="50" w:line="480" w:lineRule="exact"/>
      <w:ind w:firstLine="560" w:firstLineChars="200"/>
      <w:jc w:val="both"/>
    </w:pPr>
    <w:rPr>
      <w:rFonts w:ascii="Times New Roman" w:hAnsi="Times New Roman" w:cs="Times New Roman"/>
      <w:snapToGrid w:val="0"/>
      <w:color w:val="FF0000"/>
      <w:sz w:val="28"/>
      <w:szCs w:val="28"/>
    </w:rPr>
  </w:style>
  <w:style w:type="paragraph" w:customStyle="1" w:styleId="2426">
    <w:name w:val="样式48"/>
    <w:basedOn w:val="1"/>
    <w:qFormat/>
    <w:uiPriority w:val="0"/>
    <w:pPr>
      <w:widowControl w:val="0"/>
      <w:adjustRightInd w:val="0"/>
      <w:snapToGrid w:val="0"/>
      <w:spacing w:line="480" w:lineRule="exact"/>
      <w:ind w:firstLine="480" w:firstLineChars="200"/>
      <w:jc w:val="both"/>
    </w:pPr>
    <w:rPr>
      <w:rFonts w:ascii="Times New Roman" w:hAnsi="Times New Roman" w:cs="Times New Roman"/>
      <w:snapToGrid w:val="0"/>
    </w:rPr>
  </w:style>
  <w:style w:type="paragraph" w:customStyle="1" w:styleId="2427">
    <w:name w:val="文本块2"/>
    <w:basedOn w:val="1"/>
    <w:qFormat/>
    <w:uiPriority w:val="0"/>
    <w:pPr>
      <w:widowControl w:val="0"/>
      <w:spacing w:line="480" w:lineRule="exact"/>
      <w:ind w:left="-143" w:leftChars="-68" w:right="-120" w:rightChars="-57"/>
      <w:jc w:val="center"/>
    </w:pPr>
    <w:rPr>
      <w:rFonts w:cs="Times New Roman"/>
      <w:color w:val="000000"/>
      <w:kern w:val="2"/>
    </w:rPr>
  </w:style>
  <w:style w:type="paragraph" w:customStyle="1" w:styleId="2428">
    <w:name w:val="多"/>
    <w:basedOn w:val="1"/>
    <w:qFormat/>
    <w:uiPriority w:val="0"/>
    <w:pPr>
      <w:widowControl w:val="0"/>
      <w:spacing w:line="300" w:lineRule="auto"/>
      <w:ind w:firstLine="200" w:firstLineChars="200"/>
      <w:jc w:val="both"/>
    </w:pPr>
    <w:rPr>
      <w:kern w:val="2"/>
    </w:rPr>
  </w:style>
  <w:style w:type="paragraph" w:customStyle="1" w:styleId="2429">
    <w:name w:val="标题 5 + 四号"/>
    <w:basedOn w:val="2403"/>
    <w:qFormat/>
    <w:uiPriority w:val="0"/>
    <w:pPr>
      <w:spacing w:line="415" w:lineRule="auto"/>
    </w:pPr>
    <w:rPr>
      <w:rFonts w:eastAsia="宋体"/>
      <w:b/>
      <w:kern w:val="2"/>
    </w:rPr>
  </w:style>
  <w:style w:type="paragraph" w:customStyle="1" w:styleId="2430">
    <w:name w:val="样式 标题 1 + (中文) 黑体 二号"/>
    <w:basedOn w:val="4"/>
    <w:qFormat/>
    <w:uiPriority w:val="0"/>
    <w:pPr>
      <w:keepNext/>
      <w:widowControl w:val="0"/>
      <w:adjustRightInd w:val="0"/>
      <w:snapToGrid w:val="0"/>
      <w:spacing w:beforeLines="100" w:afterLines="100" w:line="480" w:lineRule="auto"/>
      <w:jc w:val="center"/>
    </w:pPr>
    <w:rPr>
      <w:rFonts w:ascii="Times New Roman" w:hAnsi="Times New Roman"/>
      <w:b/>
      <w:bCs/>
      <w:sz w:val="44"/>
      <w:szCs w:val="20"/>
    </w:rPr>
  </w:style>
  <w:style w:type="paragraph" w:customStyle="1" w:styleId="2431">
    <w:name w:val="xl21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color w:val="FF0000"/>
      <w:sz w:val="21"/>
      <w:szCs w:val="21"/>
    </w:rPr>
  </w:style>
  <w:style w:type="paragraph" w:customStyle="1" w:styleId="2432">
    <w:name w:val="样式 列表 + 黑色"/>
    <w:basedOn w:val="60"/>
    <w:qFormat/>
    <w:uiPriority w:val="0"/>
    <w:pPr>
      <w:spacing w:afterLines="150"/>
      <w:ind w:left="0" w:firstLine="0"/>
      <w:jc w:val="right"/>
    </w:pPr>
    <w:rPr>
      <w:rFonts w:hint="default"/>
      <w:b/>
      <w:color w:val="000000"/>
    </w:rPr>
  </w:style>
  <w:style w:type="paragraph" w:customStyle="1" w:styleId="2433">
    <w:name w:val="Char Char Char1 Char41"/>
    <w:basedOn w:val="1"/>
    <w:qFormat/>
    <w:uiPriority w:val="0"/>
    <w:pPr>
      <w:widowControl w:val="0"/>
      <w:adjustRightInd w:val="0"/>
      <w:spacing w:line="360" w:lineRule="auto"/>
      <w:jc w:val="both"/>
      <w:textAlignment w:val="baseline"/>
    </w:pPr>
    <w:rPr>
      <w:rFonts w:ascii="Times New Roman" w:hAnsi="Times New Roman" w:cs="Times New Roman"/>
    </w:rPr>
  </w:style>
  <w:style w:type="paragraph" w:customStyle="1" w:styleId="2434">
    <w:name w:val="xl111"/>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hAnsi="Times New Roman" w:cs="Times New Roman"/>
      <w:color w:val="FF0000"/>
      <w:sz w:val="20"/>
      <w:szCs w:val="20"/>
    </w:rPr>
  </w:style>
  <w:style w:type="paragraph" w:customStyle="1" w:styleId="2435">
    <w:name w:val="样式 首行缩进:  2 字符1"/>
    <w:basedOn w:val="1"/>
    <w:qFormat/>
    <w:uiPriority w:val="0"/>
    <w:pPr>
      <w:widowControl w:val="0"/>
      <w:adjustRightInd w:val="0"/>
      <w:snapToGrid w:val="0"/>
      <w:spacing w:line="480" w:lineRule="exact"/>
      <w:ind w:firstLine="620" w:firstLineChars="200"/>
      <w:jc w:val="both"/>
    </w:pPr>
    <w:rPr>
      <w:rFonts w:ascii="Times New Roman" w:hAnsi="Times New Roman" w:eastAsia="楷体_GB2312"/>
      <w:sz w:val="28"/>
      <w:szCs w:val="20"/>
    </w:rPr>
  </w:style>
  <w:style w:type="paragraph" w:customStyle="1" w:styleId="2436">
    <w:name w:val="正文文本 32"/>
    <w:basedOn w:val="1"/>
    <w:qFormat/>
    <w:uiPriority w:val="0"/>
    <w:pPr>
      <w:widowControl w:val="0"/>
      <w:spacing w:line="240" w:lineRule="exact"/>
      <w:jc w:val="both"/>
    </w:pPr>
    <w:rPr>
      <w:rFonts w:ascii="Times New Roman" w:hAnsi="Times New Roman" w:cs="Times New Roman"/>
      <w:kern w:val="2"/>
      <w:sz w:val="18"/>
      <w:szCs w:val="20"/>
    </w:rPr>
  </w:style>
  <w:style w:type="paragraph" w:customStyle="1" w:styleId="2437">
    <w:name w:val="样式 列表 + 段前: 0.5 行"/>
    <w:basedOn w:val="1"/>
    <w:qFormat/>
    <w:uiPriority w:val="0"/>
    <w:pPr>
      <w:widowControl w:val="0"/>
      <w:spacing w:line="480" w:lineRule="exact"/>
      <w:ind w:firstLine="480" w:firstLineChars="200"/>
      <w:jc w:val="both"/>
    </w:pPr>
    <w:rPr>
      <w:rFonts w:ascii="黑体" w:eastAsia="黑体" w:cs="Times New Roman"/>
      <w:szCs w:val="32"/>
    </w:rPr>
  </w:style>
  <w:style w:type="paragraph" w:customStyle="1" w:styleId="2438">
    <w:name w:val="样式 样式 5正文 + 两端对齐 + 首行缩进:  2 字符 + 首行缩进:  2 字符"/>
    <w:basedOn w:val="2439"/>
    <w:qFormat/>
    <w:uiPriority w:val="0"/>
  </w:style>
  <w:style w:type="paragraph" w:customStyle="1" w:styleId="2439">
    <w:name w:val="样式 5正文 + 两端对齐 + 首行缩进:  2 字符"/>
    <w:basedOn w:val="2323"/>
    <w:qFormat/>
    <w:uiPriority w:val="0"/>
  </w:style>
  <w:style w:type="paragraph" w:customStyle="1" w:styleId="2440">
    <w:name w:val="xl112"/>
    <w:basedOn w:val="1"/>
    <w:qFormat/>
    <w:uiPriority w:val="0"/>
    <w:pPr>
      <w:pBdr>
        <w:top w:val="single" w:color="auto" w:sz="4" w:space="0"/>
        <w:left w:val="single" w:color="auto" w:sz="4" w:space="0"/>
        <w:right w:val="single" w:color="auto" w:sz="4" w:space="0"/>
      </w:pBdr>
      <w:spacing w:before="100" w:beforeAutospacing="1" w:after="100" w:afterAutospacing="1"/>
      <w:jc w:val="center"/>
    </w:pPr>
    <w:rPr>
      <w:b/>
      <w:bCs/>
      <w:color w:val="000000"/>
      <w:sz w:val="20"/>
      <w:szCs w:val="20"/>
    </w:rPr>
  </w:style>
  <w:style w:type="paragraph" w:customStyle="1" w:styleId="2441">
    <w:name w:val="文本块11"/>
    <w:basedOn w:val="1"/>
    <w:qFormat/>
    <w:uiPriority w:val="0"/>
    <w:pPr>
      <w:widowControl w:val="0"/>
      <w:ind w:left="144" w:right="90" w:firstLine="645"/>
      <w:jc w:val="both"/>
    </w:pPr>
    <w:rPr>
      <w:rFonts w:ascii="Times New Roman" w:hAnsi="Times New Roman" w:eastAsia="楷体_GB2312" w:cs="Times New Roman"/>
      <w:kern w:val="2"/>
      <w:szCs w:val="20"/>
    </w:rPr>
  </w:style>
  <w:style w:type="paragraph" w:customStyle="1" w:styleId="2442">
    <w:name w:val="图标"/>
    <w:basedOn w:val="1"/>
    <w:qFormat/>
    <w:uiPriority w:val="0"/>
    <w:pPr>
      <w:widowControl w:val="0"/>
      <w:tabs>
        <w:tab w:val="left" w:pos="6395"/>
      </w:tabs>
      <w:spacing w:line="480" w:lineRule="exact"/>
      <w:jc w:val="center"/>
      <w:outlineLvl w:val="5"/>
    </w:pPr>
    <w:rPr>
      <w:rFonts w:cs="Times New Roman"/>
      <w:b/>
      <w:bCs/>
      <w:kern w:val="2"/>
      <w:sz w:val="36"/>
      <w:szCs w:val="20"/>
    </w:rPr>
  </w:style>
  <w:style w:type="paragraph" w:customStyle="1" w:styleId="2443">
    <w:name w:val="Char Char2 Char Char Char1 Char Char Char Char Char Char Char2"/>
    <w:basedOn w:val="1"/>
    <w:qFormat/>
    <w:uiPriority w:val="0"/>
    <w:pPr>
      <w:widowControl w:val="0"/>
      <w:jc w:val="both"/>
    </w:pPr>
    <w:rPr>
      <w:rFonts w:ascii="Times New Roman" w:hAnsi="Times New Roman" w:cs="Times New Roman"/>
      <w:kern w:val="2"/>
      <w:sz w:val="21"/>
    </w:rPr>
  </w:style>
  <w:style w:type="paragraph" w:customStyle="1" w:styleId="2444">
    <w:name w:val="xl313"/>
    <w:basedOn w:val="1"/>
    <w:qFormat/>
    <w:uiPriority w:val="0"/>
    <w:pPr>
      <w:pBdr>
        <w:left w:val="single" w:color="auto" w:sz="4" w:space="0"/>
        <w:bottom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445">
    <w:name w:val="索引 11"/>
    <w:basedOn w:val="1"/>
    <w:next w:val="1"/>
    <w:qFormat/>
    <w:uiPriority w:val="0"/>
    <w:pPr>
      <w:widowControl w:val="0"/>
      <w:spacing w:line="360" w:lineRule="exact"/>
      <w:jc w:val="center"/>
    </w:pPr>
    <w:rPr>
      <w:rFonts w:cs="Times New Roman"/>
      <w:kern w:val="2"/>
      <w:sz w:val="21"/>
    </w:rPr>
  </w:style>
  <w:style w:type="paragraph" w:customStyle="1" w:styleId="2446">
    <w:name w:val="xl253"/>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447">
    <w:name w:val="样式74"/>
    <w:basedOn w:val="2345"/>
    <w:qFormat/>
    <w:uiPriority w:val="0"/>
    <w:pPr>
      <w:ind w:firstLine="480"/>
    </w:pPr>
    <w:rPr>
      <w:color w:val="000000"/>
      <w:sz w:val="24"/>
      <w:szCs w:val="24"/>
    </w:rPr>
  </w:style>
  <w:style w:type="paragraph" w:customStyle="1" w:styleId="2448">
    <w:name w:val="缩进正文"/>
    <w:basedOn w:val="1779"/>
    <w:qFormat/>
    <w:uiPriority w:val="0"/>
    <w:pPr>
      <w:widowControl w:val="0"/>
      <w:spacing w:line="310" w:lineRule="atLeast"/>
      <w:ind w:left="0" w:firstLine="525"/>
      <w:jc w:val="both"/>
      <w:textAlignment w:val="auto"/>
    </w:pPr>
    <w:rPr>
      <w:rFonts w:ascii="楷体_GB2312" w:hAnsi="Times New Roman" w:eastAsia="楷体_GB2312" w:cs="Times New Roman"/>
      <w:sz w:val="28"/>
      <w:szCs w:val="20"/>
    </w:rPr>
  </w:style>
  <w:style w:type="paragraph" w:customStyle="1" w:styleId="2449">
    <w:name w:val="样式61"/>
    <w:basedOn w:val="1"/>
    <w:qFormat/>
    <w:uiPriority w:val="0"/>
    <w:pPr>
      <w:widowControl w:val="0"/>
      <w:spacing w:line="500" w:lineRule="exact"/>
      <w:ind w:firstLine="560" w:firstLineChars="200"/>
      <w:jc w:val="both"/>
    </w:pPr>
    <w:rPr>
      <w:rFonts w:cs="Times New Roman"/>
      <w:color w:val="000000"/>
      <w:kern w:val="2"/>
      <w:sz w:val="28"/>
      <w:szCs w:val="28"/>
    </w:rPr>
  </w:style>
  <w:style w:type="paragraph" w:customStyle="1" w:styleId="2450">
    <w:name w:val="正文三级"/>
    <w:qFormat/>
    <w:uiPriority w:val="0"/>
    <w:pPr>
      <w:tabs>
        <w:tab w:val="left" w:pos="1204"/>
      </w:tabs>
      <w:spacing w:before="120" w:after="120" w:line="480" w:lineRule="exact"/>
      <w:ind w:left="1204"/>
      <w:jc w:val="both"/>
      <w:outlineLvl w:val="2"/>
    </w:pPr>
    <w:rPr>
      <w:rFonts w:ascii="Times New Roman" w:hAnsi="Times New Roman" w:eastAsia="黑体" w:cs="Times New Roman"/>
      <w:bCs/>
      <w:kern w:val="44"/>
      <w:sz w:val="30"/>
      <w:szCs w:val="30"/>
      <w:lang w:val="en-US" w:eastAsia="zh-CN" w:bidi="ar-SA"/>
    </w:rPr>
  </w:style>
  <w:style w:type="paragraph" w:customStyle="1" w:styleId="2451">
    <w:name w:val="标题4"/>
    <w:basedOn w:val="1"/>
    <w:qFormat/>
    <w:uiPriority w:val="0"/>
    <w:pPr>
      <w:widowControl w:val="0"/>
      <w:adjustRightInd w:val="0"/>
      <w:snapToGrid w:val="0"/>
      <w:spacing w:line="480" w:lineRule="atLeast"/>
      <w:jc w:val="both"/>
    </w:pPr>
    <w:rPr>
      <w:rFonts w:ascii="Times New Roman" w:hAnsi="Times New Roman" w:cs="Times New Roman"/>
      <w:b/>
      <w:snapToGrid w:val="0"/>
      <w:kern w:val="28"/>
      <w:sz w:val="30"/>
      <w:szCs w:val="20"/>
    </w:rPr>
  </w:style>
  <w:style w:type="paragraph" w:customStyle="1" w:styleId="2452">
    <w:name w:val="xl264"/>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453">
    <w:name w:val="样式 5正文"/>
    <w:basedOn w:val="2317"/>
    <w:qFormat/>
    <w:uiPriority w:val="0"/>
    <w:pPr>
      <w:spacing w:line="440" w:lineRule="exact"/>
      <w:ind w:firstLine="480"/>
    </w:pPr>
  </w:style>
  <w:style w:type="paragraph" w:customStyle="1" w:styleId="2454">
    <w:name w:val="表中正文居中"/>
    <w:qFormat/>
    <w:uiPriority w:val="0"/>
    <w:pPr>
      <w:spacing w:before="120" w:after="120" w:line="240" w:lineRule="atLeast"/>
      <w:jc w:val="center"/>
    </w:pPr>
    <w:rPr>
      <w:rFonts w:ascii="宋体" w:hAnsi="Times New Roman" w:eastAsia="宋体" w:cs="Times New Roman"/>
      <w:kern w:val="2"/>
      <w:sz w:val="21"/>
      <w:lang w:val="en-US" w:eastAsia="zh-CN" w:bidi="ar-SA"/>
    </w:rPr>
  </w:style>
  <w:style w:type="paragraph" w:customStyle="1" w:styleId="2455">
    <w:name w:val="Char31"/>
    <w:basedOn w:val="1"/>
    <w:next w:val="47"/>
    <w:qFormat/>
    <w:uiPriority w:val="0"/>
    <w:pPr>
      <w:widowControl w:val="0"/>
      <w:spacing w:line="360" w:lineRule="auto"/>
      <w:ind w:firstLine="480" w:firstLineChars="200"/>
      <w:jc w:val="both"/>
    </w:pPr>
    <w:rPr>
      <w:rFonts w:ascii="Times New Roman" w:hAnsi="Times New Roman" w:cs="Times New Roman"/>
    </w:rPr>
  </w:style>
  <w:style w:type="paragraph" w:customStyle="1" w:styleId="2456">
    <w:name w:val="样式51"/>
    <w:basedOn w:val="102"/>
    <w:qFormat/>
    <w:uiPriority w:val="0"/>
    <w:pPr>
      <w:adjustRightInd w:val="0"/>
      <w:spacing w:line="240" w:lineRule="exact"/>
      <w:ind w:left="-140" w:leftChars="-50" w:right="-140" w:rightChars="-50" w:firstLine="0"/>
    </w:pPr>
    <w:rPr>
      <w:rFonts w:hint="default" w:ascii="Times New Roman" w:hAnsi="Times New Roman" w:eastAsia="宋体"/>
      <w:color w:val="000000"/>
      <w:kern w:val="0"/>
      <w:szCs w:val="28"/>
    </w:rPr>
  </w:style>
  <w:style w:type="paragraph" w:customStyle="1" w:styleId="2457">
    <w:name w:val="样式22"/>
    <w:basedOn w:val="1"/>
    <w:qFormat/>
    <w:uiPriority w:val="0"/>
    <w:pPr>
      <w:widowControl w:val="0"/>
      <w:adjustRightInd w:val="0"/>
      <w:snapToGrid w:val="0"/>
      <w:spacing w:line="500" w:lineRule="exact"/>
      <w:ind w:firstLine="560" w:firstLineChars="200"/>
      <w:jc w:val="both"/>
    </w:pPr>
    <w:rPr>
      <w:rFonts w:ascii="Times New Roman" w:hAnsi="Times New Roman" w:cs="Times New Roman"/>
      <w:snapToGrid w:val="0"/>
      <w:sz w:val="28"/>
    </w:rPr>
  </w:style>
  <w:style w:type="paragraph" w:customStyle="1" w:styleId="2458">
    <w:name w:val="Char Char Char Char Char Char Char Char Char Char Char Char Char Char Char Char Char Char Char Char Char Char11"/>
    <w:basedOn w:val="1"/>
    <w:qFormat/>
    <w:uiPriority w:val="0"/>
    <w:pPr>
      <w:widowControl w:val="0"/>
      <w:jc w:val="both"/>
    </w:pPr>
    <w:rPr>
      <w:rFonts w:ascii="Times New Roman" w:hAnsi="Times New Roman" w:cs="Times New Roman"/>
      <w:kern w:val="2"/>
      <w:sz w:val="21"/>
    </w:rPr>
  </w:style>
  <w:style w:type="paragraph" w:customStyle="1" w:styleId="2459">
    <w:name w:val="列表 31"/>
    <w:basedOn w:val="1"/>
    <w:qFormat/>
    <w:uiPriority w:val="0"/>
    <w:pPr>
      <w:widowControl w:val="0"/>
      <w:ind w:left="1260" w:hanging="420"/>
      <w:jc w:val="both"/>
    </w:pPr>
    <w:rPr>
      <w:rFonts w:ascii="Times New Roman" w:hAnsi="Times New Roman" w:cs="Times New Roman"/>
      <w:kern w:val="2"/>
      <w:sz w:val="21"/>
    </w:rPr>
  </w:style>
  <w:style w:type="paragraph" w:customStyle="1" w:styleId="2460">
    <w:name w:val="列表2"/>
    <w:basedOn w:val="1"/>
    <w:qFormat/>
    <w:uiPriority w:val="0"/>
    <w:pPr>
      <w:widowControl w:val="0"/>
      <w:jc w:val="center"/>
    </w:pPr>
    <w:rPr>
      <w:rFonts w:ascii="Times New Roman" w:hAnsi="Times New Roman" w:cs="Times New Roman"/>
      <w:sz w:val="21"/>
      <w:szCs w:val="20"/>
    </w:rPr>
  </w:style>
  <w:style w:type="paragraph" w:customStyle="1" w:styleId="2461">
    <w:name w:val="样式35"/>
    <w:basedOn w:val="2164"/>
    <w:qFormat/>
    <w:uiPriority w:val="0"/>
    <w:pPr>
      <w:spacing w:before="0" w:after="0" w:line="240" w:lineRule="auto"/>
      <w:ind w:firstLine="1366" w:firstLineChars="427"/>
    </w:pPr>
    <w:rPr>
      <w:rFonts w:ascii="方正黑体简体" w:eastAsia="方正黑体简体"/>
      <w:sz w:val="28"/>
      <w:szCs w:val="28"/>
    </w:rPr>
  </w:style>
  <w:style w:type="paragraph" w:customStyle="1" w:styleId="2462">
    <w:name w:val="无间隔1"/>
    <w:qFormat/>
    <w:uiPriority w:val="0"/>
    <w:rPr>
      <w:rFonts w:ascii="Calibri" w:hAnsi="Calibri" w:eastAsia="Times New Roman" w:cs="Times New Roman"/>
      <w:kern w:val="2"/>
      <w:sz w:val="22"/>
      <w:szCs w:val="22"/>
      <w:lang w:val="en-US" w:eastAsia="zh-CN" w:bidi="ar-SA"/>
    </w:rPr>
  </w:style>
  <w:style w:type="paragraph" w:customStyle="1" w:styleId="2463">
    <w:name w:val="xl18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64">
    <w:name w:val="样式38"/>
    <w:basedOn w:val="6"/>
    <w:qFormat/>
    <w:uiPriority w:val="0"/>
    <w:pPr>
      <w:widowControl w:val="0"/>
      <w:spacing w:line="480" w:lineRule="exact"/>
      <w:ind w:firstLine="560" w:firstLineChars="200"/>
      <w:jc w:val="both"/>
    </w:pPr>
    <w:rPr>
      <w:rFonts w:ascii="Times New Roman" w:hAnsi="Times New Roman"/>
      <w:kern w:val="2"/>
      <w:szCs w:val="28"/>
    </w:rPr>
  </w:style>
  <w:style w:type="paragraph" w:customStyle="1" w:styleId="2465">
    <w:name w:val="xl2129"/>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style>
  <w:style w:type="paragraph" w:customStyle="1" w:styleId="2466">
    <w:name w:val="HTML 预设格式3"/>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cs="Times New Roman"/>
      <w:color w:val="000000"/>
    </w:rPr>
  </w:style>
  <w:style w:type="paragraph" w:customStyle="1" w:styleId="2467">
    <w:name w:val="正文首行缩进 221"/>
    <w:basedOn w:val="2468"/>
    <w:qFormat/>
    <w:uiPriority w:val="0"/>
    <w:pPr>
      <w:widowControl w:val="0"/>
      <w:snapToGrid w:val="0"/>
      <w:spacing w:after="120" w:line="480" w:lineRule="exact"/>
      <w:ind w:left="420" w:leftChars="200" w:firstLine="420" w:firstLineChars="200"/>
      <w:jc w:val="both"/>
      <w:textAlignment w:val="auto"/>
    </w:pPr>
    <w:rPr>
      <w:rFonts w:ascii="楷体_GB2312" w:hAnsi="等线" w:eastAsia="楷体_GB2312" w:cs="Times New Roman"/>
      <w:kern w:val="2"/>
      <w:sz w:val="28"/>
    </w:rPr>
  </w:style>
  <w:style w:type="paragraph" w:customStyle="1" w:styleId="2468">
    <w:name w:val="正文文本缩进21"/>
    <w:basedOn w:val="1"/>
    <w:qFormat/>
    <w:uiPriority w:val="0"/>
    <w:pPr>
      <w:adjustRightInd w:val="0"/>
      <w:spacing w:line="360" w:lineRule="atLeast"/>
      <w:ind w:left="280" w:firstLine="560"/>
      <w:textAlignment w:val="baseline"/>
    </w:pPr>
  </w:style>
  <w:style w:type="paragraph" w:customStyle="1" w:styleId="2469">
    <w:name w:val="xl305"/>
    <w:basedOn w:val="1"/>
    <w:qFormat/>
    <w:uiPriority w:val="0"/>
    <w:pPr>
      <w:pBdr>
        <w:top w:val="single" w:color="auto" w:sz="4" w:space="0"/>
        <w:left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470">
    <w:name w:val="xl238"/>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color w:val="000000"/>
      <w:sz w:val="20"/>
      <w:szCs w:val="20"/>
    </w:rPr>
  </w:style>
  <w:style w:type="paragraph" w:customStyle="1" w:styleId="2471">
    <w:name w:val="xl25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sz w:val="20"/>
      <w:szCs w:val="20"/>
    </w:rPr>
  </w:style>
  <w:style w:type="paragraph" w:customStyle="1" w:styleId="2472">
    <w:name w:val="xl22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473">
    <w:name w:val="样式 样式6 + 居中"/>
    <w:basedOn w:val="1318"/>
    <w:qFormat/>
    <w:uiPriority w:val="0"/>
    <w:pPr>
      <w:topLinePunct/>
      <w:adjustRightInd/>
      <w:snapToGrid/>
      <w:spacing w:line="240" w:lineRule="auto"/>
      <w:ind w:firstLine="360" w:firstLineChars="0"/>
      <w:jc w:val="center"/>
      <w:textAlignment w:val="auto"/>
    </w:pPr>
    <w:rPr>
      <w:rFonts w:ascii="Times New Roman"/>
      <w:sz w:val="18"/>
      <w:szCs w:val="20"/>
    </w:rPr>
  </w:style>
  <w:style w:type="paragraph" w:customStyle="1" w:styleId="2474">
    <w:name w:val="xl2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75">
    <w:name w:val="xl1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2"/>
      <w:szCs w:val="22"/>
    </w:rPr>
  </w:style>
  <w:style w:type="paragraph" w:customStyle="1" w:styleId="2476">
    <w:name w:val="xl20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77">
    <w:name w:val="xl128"/>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rPr>
  </w:style>
  <w:style w:type="paragraph" w:customStyle="1" w:styleId="2478">
    <w:name w:val="xl214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style>
  <w:style w:type="paragraph" w:customStyle="1" w:styleId="2479">
    <w:name w:val="xl16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80">
    <w:name w:val="Знак Знак13"/>
    <w:basedOn w:val="1"/>
    <w:qFormat/>
    <w:uiPriority w:val="0"/>
    <w:pPr>
      <w:widowControl w:val="0"/>
      <w:jc w:val="both"/>
    </w:pPr>
    <w:rPr>
      <w:rFonts w:ascii="Times New Roman" w:hAnsi="Times New Roman" w:cs="Times New Roman"/>
      <w:kern w:val="2"/>
      <w:sz w:val="21"/>
    </w:rPr>
  </w:style>
  <w:style w:type="paragraph" w:customStyle="1" w:styleId="2481">
    <w:name w:val="xl18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FF0000"/>
      <w:sz w:val="20"/>
      <w:szCs w:val="20"/>
    </w:rPr>
  </w:style>
  <w:style w:type="paragraph" w:customStyle="1" w:styleId="2482">
    <w:name w:val="xl15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2483">
    <w:name w:val="xl194"/>
    <w:basedOn w:val="1"/>
    <w:qFormat/>
    <w:uiPriority w:val="0"/>
    <w:pPr>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pPr>
    <w:rPr>
      <w:rFonts w:ascii="方正综艺简体" w:eastAsia="方正综艺简体"/>
      <w:color w:val="000000"/>
      <w:sz w:val="20"/>
      <w:szCs w:val="20"/>
    </w:rPr>
  </w:style>
  <w:style w:type="paragraph" w:customStyle="1" w:styleId="2484">
    <w:name w:val="xl18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85">
    <w:name w:val="xl24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86">
    <w:name w:val="文本"/>
    <w:basedOn w:val="1"/>
    <w:next w:val="32"/>
    <w:qFormat/>
    <w:uiPriority w:val="0"/>
    <w:pPr>
      <w:widowControl w:val="0"/>
      <w:jc w:val="both"/>
    </w:pPr>
    <w:rPr>
      <w:rFonts w:ascii="Times New Roman" w:hAnsi="Times New Roman" w:cs="Times New Roman"/>
      <w:kern w:val="2"/>
      <w:sz w:val="28"/>
    </w:rPr>
  </w:style>
  <w:style w:type="paragraph" w:customStyle="1" w:styleId="2487">
    <w:name w:val="A标题2"/>
    <w:basedOn w:val="5"/>
    <w:qFormat/>
    <w:uiPriority w:val="0"/>
    <w:pPr>
      <w:widowControl w:val="0"/>
      <w:adjustRightInd w:val="0"/>
      <w:snapToGrid w:val="0"/>
      <w:spacing w:before="240" w:after="240" w:line="480" w:lineRule="exact"/>
      <w:ind w:firstLine="480" w:firstLineChars="200"/>
      <w:jc w:val="both"/>
    </w:pPr>
    <w:rPr>
      <w:rFonts w:ascii="Times New Roman" w:hAnsi="Times New Roman" w:eastAsia="方正黑体简体"/>
      <w:bCs w:val="0"/>
      <w:kern w:val="2"/>
      <w:sz w:val="24"/>
      <w:szCs w:val="24"/>
    </w:rPr>
  </w:style>
  <w:style w:type="paragraph" w:customStyle="1" w:styleId="2488">
    <w:name w:val="xl2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89">
    <w:name w:val="索引 211"/>
    <w:basedOn w:val="1"/>
    <w:next w:val="1"/>
    <w:qFormat/>
    <w:uiPriority w:val="0"/>
    <w:pPr>
      <w:widowControl w:val="0"/>
      <w:spacing w:line="480" w:lineRule="exact"/>
      <w:ind w:left="200" w:leftChars="200"/>
      <w:jc w:val="both"/>
    </w:pPr>
    <w:rPr>
      <w:rFonts w:ascii="Times New Roman" w:hAnsi="Times New Roman" w:cs="Times New Roman"/>
      <w:kern w:val="2"/>
    </w:rPr>
  </w:style>
  <w:style w:type="paragraph" w:customStyle="1" w:styleId="2490">
    <w:name w:val="Char Char2 Char Char Char1 Char Char Char Char Char Char Char1"/>
    <w:basedOn w:val="1"/>
    <w:qFormat/>
    <w:uiPriority w:val="0"/>
    <w:pPr>
      <w:widowControl w:val="0"/>
      <w:jc w:val="both"/>
    </w:pPr>
    <w:rPr>
      <w:rFonts w:ascii="Times New Roman" w:hAnsi="Times New Roman" w:cs="Times New Roman"/>
      <w:kern w:val="2"/>
      <w:sz w:val="21"/>
    </w:rPr>
  </w:style>
  <w:style w:type="paragraph" w:customStyle="1" w:styleId="2491">
    <w:name w:val="样式 非加粗"/>
    <w:basedOn w:val="1"/>
    <w:qFormat/>
    <w:uiPriority w:val="0"/>
    <w:pPr>
      <w:widowControl w:val="0"/>
      <w:spacing w:line="440" w:lineRule="exact"/>
      <w:ind w:firstLine="480" w:firstLineChars="200"/>
      <w:jc w:val="both"/>
    </w:pPr>
    <w:rPr>
      <w:rFonts w:ascii="Times New Roman" w:hAnsi="Times New Roman" w:cs="Times New Roman"/>
      <w:kern w:val="2"/>
    </w:rPr>
  </w:style>
  <w:style w:type="paragraph" w:customStyle="1" w:styleId="2492">
    <w:name w:val="xl2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93">
    <w:name w:val="xl143"/>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sz w:val="21"/>
      <w:szCs w:val="21"/>
    </w:rPr>
  </w:style>
  <w:style w:type="paragraph" w:customStyle="1" w:styleId="2494">
    <w:name w:val="列出段落11"/>
    <w:basedOn w:val="1"/>
    <w:qFormat/>
    <w:uiPriority w:val="99"/>
    <w:pPr>
      <w:widowControl w:val="0"/>
      <w:ind w:firstLine="420" w:firstLineChars="200"/>
      <w:jc w:val="both"/>
    </w:pPr>
    <w:rPr>
      <w:rFonts w:ascii="Calibri" w:hAnsi="Calibri" w:cs="Times New Roman"/>
      <w:kern w:val="2"/>
      <w:sz w:val="21"/>
      <w:szCs w:val="22"/>
    </w:rPr>
  </w:style>
  <w:style w:type="paragraph" w:customStyle="1" w:styleId="2495">
    <w:name w:val="xl278"/>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496">
    <w:name w:val="xl20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97">
    <w:name w:val="xl11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color w:val="FF0000"/>
      <w:sz w:val="21"/>
      <w:szCs w:val="21"/>
    </w:rPr>
  </w:style>
  <w:style w:type="paragraph" w:customStyle="1" w:styleId="2498">
    <w:name w:val="xl19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99">
    <w:name w:val="正文三级标题"/>
    <w:basedOn w:val="1"/>
    <w:qFormat/>
    <w:uiPriority w:val="0"/>
    <w:pPr>
      <w:widowControl w:val="0"/>
      <w:spacing w:before="120" w:after="120" w:line="480" w:lineRule="exact"/>
      <w:ind w:firstLine="600" w:firstLineChars="200"/>
      <w:jc w:val="both"/>
      <w:outlineLvl w:val="2"/>
    </w:pPr>
    <w:rPr>
      <w:rFonts w:ascii="Times New Roman" w:hAnsi="Times New Roman" w:eastAsia="黑体" w:cs="Times New Roman"/>
      <w:kern w:val="2"/>
      <w:sz w:val="30"/>
    </w:rPr>
  </w:style>
  <w:style w:type="paragraph" w:customStyle="1" w:styleId="2500">
    <w:name w:val="xl261"/>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501">
    <w:name w:val="样式 表头 + 左侧:  0.99 字符"/>
    <w:basedOn w:val="104"/>
    <w:qFormat/>
    <w:uiPriority w:val="0"/>
    <w:pPr>
      <w:ind w:left="277" w:leftChars="350" w:firstLine="480"/>
      <w:jc w:val="left"/>
    </w:pPr>
    <w:rPr>
      <w:rFonts w:eastAsia="宋体" w:cs="宋体"/>
      <w:b/>
      <w:bCs/>
      <w:snapToGrid w:val="0"/>
      <w:sz w:val="28"/>
      <w:lang w:val="zh-CN"/>
    </w:rPr>
  </w:style>
  <w:style w:type="paragraph" w:customStyle="1" w:styleId="2502">
    <w:name w:val="xl16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03">
    <w:name w:val="xl2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04">
    <w:name w:val="正文文本 25"/>
    <w:basedOn w:val="1"/>
    <w:qFormat/>
    <w:uiPriority w:val="0"/>
    <w:pPr>
      <w:widowControl w:val="0"/>
      <w:adjustRightInd w:val="0"/>
      <w:jc w:val="center"/>
      <w:textAlignment w:val="baseline"/>
    </w:pPr>
    <w:rPr>
      <w:rFonts w:ascii="Arial" w:hAnsi="Arial" w:eastAsia="Arial" w:cs="Times New Roman"/>
      <w:kern w:val="2"/>
      <w:sz w:val="21"/>
      <w:szCs w:val="20"/>
    </w:rPr>
  </w:style>
  <w:style w:type="paragraph" w:customStyle="1" w:styleId="2505">
    <w:name w:val="xl12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00"/>
      <w:sz w:val="21"/>
      <w:szCs w:val="21"/>
    </w:rPr>
  </w:style>
  <w:style w:type="paragraph" w:customStyle="1" w:styleId="2506">
    <w:name w:val="xl19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sz w:val="20"/>
      <w:szCs w:val="20"/>
    </w:rPr>
  </w:style>
  <w:style w:type="paragraph" w:customStyle="1" w:styleId="2507">
    <w:name w:val="xl265"/>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508">
    <w:name w:val="xl11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color w:val="FF0000"/>
      <w:sz w:val="21"/>
      <w:szCs w:val="21"/>
    </w:rPr>
  </w:style>
  <w:style w:type="paragraph" w:customStyle="1" w:styleId="2509">
    <w:name w:val="xl214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rPr>
  </w:style>
  <w:style w:type="paragraph" w:customStyle="1" w:styleId="2510">
    <w:name w:val="xl125"/>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sz w:val="22"/>
      <w:szCs w:val="22"/>
    </w:rPr>
  </w:style>
  <w:style w:type="paragraph" w:customStyle="1" w:styleId="2511">
    <w:name w:val="xl20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12">
    <w:name w:val="标题0"/>
    <w:basedOn w:val="1"/>
    <w:qFormat/>
    <w:uiPriority w:val="0"/>
    <w:pPr>
      <w:widowControl w:val="0"/>
      <w:adjustRightInd w:val="0"/>
      <w:snapToGrid w:val="0"/>
      <w:spacing w:beforeLines="50" w:afterLines="100" w:line="700" w:lineRule="exact"/>
      <w:jc w:val="center"/>
    </w:pPr>
    <w:rPr>
      <w:rFonts w:ascii="黑体" w:hAnsi="Times New Roman" w:eastAsia="黑体" w:cs="Times New Roman"/>
      <w:sz w:val="44"/>
      <w:szCs w:val="44"/>
    </w:rPr>
  </w:style>
  <w:style w:type="paragraph" w:customStyle="1" w:styleId="2513">
    <w:name w:val="索引标题1"/>
    <w:basedOn w:val="1"/>
    <w:next w:val="2445"/>
    <w:qFormat/>
    <w:uiPriority w:val="0"/>
    <w:pPr>
      <w:widowControl w:val="0"/>
      <w:spacing w:line="480" w:lineRule="exact"/>
      <w:jc w:val="both"/>
    </w:pPr>
    <w:rPr>
      <w:rFonts w:ascii="Arial" w:hAnsi="Arial" w:cs="Arial"/>
      <w:b/>
      <w:bCs/>
      <w:kern w:val="2"/>
    </w:rPr>
  </w:style>
  <w:style w:type="paragraph" w:customStyle="1" w:styleId="2514">
    <w:name w:val="样式 样式5 + 段前: 0.5 行 段后: 0.3 行2"/>
    <w:basedOn w:val="1139"/>
    <w:qFormat/>
    <w:uiPriority w:val="0"/>
    <w:pPr>
      <w:topLinePunct/>
      <w:adjustRightInd/>
      <w:snapToGrid/>
      <w:spacing w:before="200" w:afterLines="30" w:line="240" w:lineRule="auto"/>
      <w:ind w:firstLine="0"/>
      <w:jc w:val="center"/>
      <w:textAlignment w:val="auto"/>
    </w:pPr>
    <w:rPr>
      <w:rFonts w:hint="eastAsia" w:ascii="方正黑体简体" w:hAnsi="Arial" w:eastAsia="方正黑体简体"/>
      <w:snapToGrid w:val="0"/>
      <w:kern w:val="2"/>
      <w:szCs w:val="28"/>
    </w:rPr>
  </w:style>
  <w:style w:type="paragraph" w:customStyle="1" w:styleId="2515">
    <w:name w:val="xl16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color w:val="000000"/>
      <w:sz w:val="20"/>
      <w:szCs w:val="20"/>
    </w:rPr>
  </w:style>
  <w:style w:type="paragraph" w:customStyle="1" w:styleId="2516">
    <w:name w:val="Char81"/>
    <w:basedOn w:val="1"/>
    <w:next w:val="1560"/>
    <w:qFormat/>
    <w:uiPriority w:val="0"/>
    <w:pPr>
      <w:widowControl w:val="0"/>
      <w:spacing w:line="360" w:lineRule="auto"/>
      <w:ind w:firstLine="480" w:firstLineChars="200"/>
      <w:jc w:val="both"/>
    </w:pPr>
    <w:rPr>
      <w:rFonts w:ascii="Times New Roman" w:hAnsi="Times New Roman" w:cs="Times New Roman"/>
    </w:rPr>
  </w:style>
  <w:style w:type="paragraph" w:customStyle="1" w:styleId="2517">
    <w:name w:val="xl252"/>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518">
    <w:name w:val="xl214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2"/>
      <w:szCs w:val="22"/>
    </w:rPr>
  </w:style>
  <w:style w:type="paragraph" w:customStyle="1" w:styleId="2519">
    <w:name w:val="正文五级"/>
    <w:basedOn w:val="1"/>
    <w:qFormat/>
    <w:uiPriority w:val="0"/>
    <w:pPr>
      <w:widowControl w:val="0"/>
      <w:tabs>
        <w:tab w:val="left" w:pos="840"/>
      </w:tabs>
      <w:spacing w:line="480" w:lineRule="exact"/>
      <w:ind w:left="840" w:hanging="420"/>
      <w:outlineLvl w:val="4"/>
    </w:pPr>
    <w:rPr>
      <w:rFonts w:ascii="Times New Roman" w:hAnsi="Times New Roman" w:eastAsia="仿宋_GB2312" w:cs="Times New Roman"/>
      <w:b/>
      <w:kern w:val="2"/>
      <w:sz w:val="30"/>
      <w:szCs w:val="30"/>
    </w:rPr>
  </w:style>
  <w:style w:type="paragraph" w:customStyle="1" w:styleId="2520">
    <w:name w:val="xl275"/>
    <w:basedOn w:val="1"/>
    <w:qFormat/>
    <w:uiPriority w:val="0"/>
    <w:pPr>
      <w:pBdr>
        <w:top w:val="single" w:color="auto" w:sz="4" w:space="0"/>
        <w:left w:val="single" w:color="auto" w:sz="4" w:space="0"/>
        <w:bottom w:val="single" w:color="auto" w:sz="4" w:space="0"/>
        <w:right w:val="single" w:color="auto" w:sz="4" w:space="0"/>
      </w:pBdr>
      <w:shd w:val="clear" w:color="auto" w:fill="00FFFF"/>
      <w:spacing w:before="100" w:beforeAutospacing="1" w:after="100" w:afterAutospacing="1"/>
    </w:pPr>
    <w:rPr>
      <w:b/>
      <w:bCs/>
      <w:sz w:val="20"/>
      <w:szCs w:val="20"/>
    </w:rPr>
  </w:style>
  <w:style w:type="paragraph" w:customStyle="1" w:styleId="2521">
    <w:name w:val="xl292"/>
    <w:basedOn w:val="1"/>
    <w:qFormat/>
    <w:uiPriority w:val="0"/>
    <w:pPr>
      <w:pBdr>
        <w:left w:val="single" w:color="auto" w:sz="4" w:space="0"/>
        <w:right w:val="single" w:color="auto" w:sz="4" w:space="0"/>
      </w:pBdr>
      <w:shd w:val="clear" w:color="auto" w:fill="FF8080"/>
      <w:spacing w:before="100" w:beforeAutospacing="1" w:after="100" w:afterAutospacing="1"/>
      <w:jc w:val="center"/>
    </w:pPr>
    <w:rPr>
      <w:rFonts w:ascii="方正综艺简体" w:eastAsia="方正综艺简体"/>
      <w:color w:val="000000"/>
      <w:sz w:val="20"/>
      <w:szCs w:val="20"/>
    </w:rPr>
  </w:style>
  <w:style w:type="paragraph" w:customStyle="1" w:styleId="2522">
    <w:name w:val="样式11"/>
    <w:basedOn w:val="4"/>
    <w:qFormat/>
    <w:uiPriority w:val="0"/>
    <w:pPr>
      <w:keepNext/>
      <w:keepLines/>
      <w:widowControl w:val="0"/>
      <w:spacing w:before="340" w:after="330" w:line="520" w:lineRule="exact"/>
      <w:jc w:val="both"/>
    </w:pPr>
    <w:rPr>
      <w:rFonts w:ascii="Times New Roman" w:hAnsi="Times New Roman" w:eastAsia="仿宋_GB2312"/>
      <w:bCs/>
      <w:kern w:val="44"/>
      <w:sz w:val="28"/>
      <w:szCs w:val="28"/>
    </w:rPr>
  </w:style>
  <w:style w:type="paragraph" w:customStyle="1" w:styleId="2523">
    <w:name w:val="样式 首行缩进:  2 字符2"/>
    <w:basedOn w:val="1"/>
    <w:qFormat/>
    <w:uiPriority w:val="0"/>
    <w:pPr>
      <w:widowControl w:val="0"/>
      <w:adjustRightInd w:val="0"/>
      <w:snapToGrid w:val="0"/>
      <w:spacing w:line="400" w:lineRule="exact"/>
      <w:ind w:firstLine="200" w:firstLineChars="200"/>
      <w:jc w:val="both"/>
    </w:pPr>
    <w:rPr>
      <w:rFonts w:ascii="Times New Roman" w:hAnsi="Times New Roman"/>
      <w:szCs w:val="28"/>
    </w:rPr>
  </w:style>
  <w:style w:type="paragraph" w:customStyle="1" w:styleId="2524">
    <w:name w:val="xl301"/>
    <w:basedOn w:val="1"/>
    <w:qFormat/>
    <w:uiPriority w:val="0"/>
    <w:pPr>
      <w:pBdr>
        <w:bottom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525">
    <w:name w:val="xl214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2"/>
      <w:szCs w:val="22"/>
    </w:rPr>
  </w:style>
  <w:style w:type="paragraph" w:customStyle="1" w:styleId="2526">
    <w:name w:val="xl140"/>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sz w:val="22"/>
      <w:szCs w:val="22"/>
    </w:rPr>
  </w:style>
  <w:style w:type="paragraph" w:customStyle="1" w:styleId="2527">
    <w:name w:val="xl215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color w:val="FF0000"/>
      <w:sz w:val="21"/>
      <w:szCs w:val="21"/>
    </w:rPr>
  </w:style>
  <w:style w:type="paragraph" w:customStyle="1" w:styleId="2528">
    <w:name w:val="xl17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29">
    <w:name w:val="xl1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30">
    <w:name w:val="xl2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531">
    <w:name w:val="xl21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32">
    <w:name w:val="xl314"/>
    <w:basedOn w:val="1"/>
    <w:qFormat/>
    <w:uiPriority w:val="0"/>
    <w:pPr>
      <w:pBdr>
        <w:top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533">
    <w:name w:val="xl12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FF0000"/>
      <w:sz w:val="21"/>
      <w:szCs w:val="21"/>
    </w:rPr>
  </w:style>
  <w:style w:type="paragraph" w:customStyle="1" w:styleId="2534">
    <w:name w:val="Char Char Char Char Char Char Char11"/>
    <w:basedOn w:val="1"/>
    <w:qFormat/>
    <w:uiPriority w:val="0"/>
    <w:pPr>
      <w:spacing w:after="160" w:line="240" w:lineRule="exact"/>
    </w:pPr>
    <w:rPr>
      <w:rFonts w:ascii="Verdana" w:hAnsi="Verdana" w:cs="Times New Roman"/>
      <w:sz w:val="20"/>
      <w:szCs w:val="20"/>
      <w:lang w:eastAsia="en-US"/>
    </w:rPr>
  </w:style>
  <w:style w:type="paragraph" w:customStyle="1" w:styleId="2535">
    <w:name w:val="样式 黑体 小二 居中 段前: 140 磅 行距: 固定值 35 磅"/>
    <w:basedOn w:val="1"/>
    <w:qFormat/>
    <w:uiPriority w:val="0"/>
    <w:pPr>
      <w:widowControl w:val="0"/>
      <w:adjustRightInd w:val="0"/>
      <w:snapToGrid w:val="0"/>
      <w:spacing w:before="2000" w:line="700" w:lineRule="exact"/>
      <w:jc w:val="center"/>
    </w:pPr>
    <w:rPr>
      <w:rFonts w:ascii="黑体" w:hAnsi="Times New Roman" w:eastAsia="黑体"/>
      <w:sz w:val="36"/>
      <w:szCs w:val="20"/>
    </w:rPr>
  </w:style>
  <w:style w:type="paragraph" w:customStyle="1" w:styleId="2536">
    <w:name w:val="xl2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37">
    <w:name w:val="xl2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38">
    <w:name w:val="WPSOffice手动目录 2"/>
    <w:qFormat/>
    <w:uiPriority w:val="0"/>
    <w:pPr>
      <w:ind w:left="200" w:leftChars="200"/>
    </w:pPr>
    <w:rPr>
      <w:rFonts w:ascii="Calibri" w:hAnsi="Calibri" w:eastAsia="宋体" w:cs="Times New Roman"/>
      <w:lang w:val="en-US" w:eastAsia="zh-CN" w:bidi="ar-SA"/>
    </w:rPr>
  </w:style>
  <w:style w:type="paragraph" w:customStyle="1" w:styleId="2539">
    <w:name w:val="xl214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rPr>
  </w:style>
  <w:style w:type="paragraph" w:customStyle="1" w:styleId="2540">
    <w:name w:val="正文首行缩进 211"/>
    <w:basedOn w:val="1"/>
    <w:qFormat/>
    <w:uiPriority w:val="0"/>
    <w:pPr>
      <w:widowControl w:val="0"/>
      <w:spacing w:after="120"/>
      <w:ind w:left="420" w:firstLine="420"/>
      <w:jc w:val="both"/>
    </w:pPr>
    <w:rPr>
      <w:rFonts w:ascii="Times New Roman" w:hAnsi="Times New Roman" w:cs="Times New Roman"/>
      <w:kern w:val="2"/>
      <w:szCs w:val="20"/>
    </w:rPr>
  </w:style>
  <w:style w:type="paragraph" w:customStyle="1" w:styleId="2541">
    <w:name w:val="Знак Знак11"/>
    <w:basedOn w:val="1"/>
    <w:qFormat/>
    <w:uiPriority w:val="0"/>
    <w:pPr>
      <w:widowControl w:val="0"/>
      <w:jc w:val="both"/>
    </w:pPr>
    <w:rPr>
      <w:rFonts w:ascii="Times New Roman" w:hAnsi="Times New Roman" w:cs="Times New Roman"/>
      <w:kern w:val="2"/>
      <w:sz w:val="21"/>
    </w:rPr>
  </w:style>
  <w:style w:type="paragraph" w:customStyle="1" w:styleId="2542">
    <w:name w:val="xl20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43">
    <w:name w:val="xl22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44">
    <w:name w:val="xl21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45">
    <w:name w:val="xl1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b/>
      <w:bCs/>
      <w:sz w:val="21"/>
      <w:szCs w:val="21"/>
    </w:rPr>
  </w:style>
  <w:style w:type="paragraph" w:customStyle="1" w:styleId="2546">
    <w:name w:val="样式 宋体 10 磅 左 行距: 单倍行距"/>
    <w:basedOn w:val="1"/>
    <w:qFormat/>
    <w:uiPriority w:val="0"/>
    <w:pPr>
      <w:widowControl w:val="0"/>
      <w:adjustRightInd w:val="0"/>
      <w:snapToGrid w:val="0"/>
      <w:jc w:val="center"/>
    </w:pPr>
    <w:rPr>
      <w:rFonts w:hAnsi="Times New Roman"/>
      <w:sz w:val="20"/>
      <w:szCs w:val="20"/>
    </w:rPr>
  </w:style>
  <w:style w:type="paragraph" w:customStyle="1" w:styleId="2547">
    <w:name w:val="日期3"/>
    <w:basedOn w:val="1"/>
    <w:next w:val="1"/>
    <w:qFormat/>
    <w:uiPriority w:val="0"/>
    <w:pPr>
      <w:widowControl w:val="0"/>
      <w:jc w:val="both"/>
    </w:pPr>
    <w:rPr>
      <w:rFonts w:hAnsi="Times New Roman" w:cs="Times New Roman"/>
      <w:kern w:val="2"/>
      <w:sz w:val="28"/>
      <w:szCs w:val="20"/>
    </w:rPr>
  </w:style>
  <w:style w:type="paragraph" w:customStyle="1" w:styleId="2548">
    <w:name w:val="zw"/>
    <w:basedOn w:val="1"/>
    <w:qFormat/>
    <w:uiPriority w:val="0"/>
    <w:pPr>
      <w:widowControl w:val="0"/>
      <w:snapToGrid w:val="0"/>
      <w:spacing w:line="400" w:lineRule="exact"/>
      <w:jc w:val="both"/>
      <w:outlineLvl w:val="0"/>
    </w:pPr>
    <w:rPr>
      <w:rFonts w:ascii="Times New Roman" w:hAnsi="Times New Roman" w:eastAsia="楷体_GB2312" w:cs="Times New Roman"/>
      <w:kern w:val="2"/>
      <w:sz w:val="28"/>
      <w:szCs w:val="20"/>
    </w:rPr>
  </w:style>
  <w:style w:type="paragraph" w:customStyle="1" w:styleId="2549">
    <w:name w:val="普通(网站)21"/>
    <w:basedOn w:val="1"/>
    <w:qFormat/>
    <w:uiPriority w:val="0"/>
    <w:pPr>
      <w:spacing w:before="100" w:beforeAutospacing="1" w:after="100" w:afterAutospacing="1"/>
    </w:pPr>
  </w:style>
  <w:style w:type="paragraph" w:customStyle="1" w:styleId="2550">
    <w:name w:val="标题 5 + 首行缩进:  2 字符"/>
    <w:basedOn w:val="9"/>
    <w:next w:val="1"/>
    <w:qFormat/>
    <w:uiPriority w:val="0"/>
    <w:pPr>
      <w:tabs>
        <w:tab w:val="left" w:pos="1260"/>
      </w:tabs>
      <w:topLinePunct w:val="0"/>
      <w:spacing w:before="0" w:after="0" w:line="440" w:lineRule="exact"/>
      <w:ind w:firstLine="562"/>
      <w:jc w:val="both"/>
    </w:pPr>
    <w:rPr>
      <w:rFonts w:ascii="Times New Roman" w:eastAsia="宋体" w:cs="宋体"/>
      <w:kern w:val="2"/>
      <w:szCs w:val="20"/>
    </w:rPr>
  </w:style>
  <w:style w:type="paragraph" w:customStyle="1" w:styleId="2551">
    <w:name w:val="xl139"/>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rPr>
  </w:style>
  <w:style w:type="paragraph" w:customStyle="1" w:styleId="2552">
    <w:name w:val="Char Char2 Char Char Char Char Char Char Char Char Char Char Char Char Char Char"/>
    <w:basedOn w:val="1"/>
    <w:qFormat/>
    <w:uiPriority w:val="0"/>
    <w:pPr>
      <w:widowControl w:val="0"/>
      <w:spacing w:beforeLines="20" w:afterLines="20" w:line="300" w:lineRule="auto"/>
      <w:jc w:val="both"/>
    </w:pPr>
    <w:rPr>
      <w:rFonts w:ascii="Times New Roman" w:hAnsi="Times New Roman" w:cs="Times New Roman"/>
      <w:kern w:val="2"/>
      <w:sz w:val="28"/>
    </w:rPr>
  </w:style>
  <w:style w:type="paragraph" w:customStyle="1" w:styleId="2553">
    <w:name w:val="目录一级标题"/>
    <w:basedOn w:val="2249"/>
    <w:qFormat/>
    <w:uiPriority w:val="0"/>
    <w:pPr>
      <w:jc w:val="left"/>
    </w:pPr>
    <w:rPr>
      <w:rFonts w:eastAsia="宋体"/>
      <w:sz w:val="28"/>
    </w:rPr>
  </w:style>
  <w:style w:type="paragraph" w:customStyle="1" w:styleId="2554">
    <w:name w:val="xl17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55">
    <w:name w:val="xl25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56">
    <w:name w:val="正文二级"/>
    <w:basedOn w:val="1"/>
    <w:qFormat/>
    <w:uiPriority w:val="0"/>
    <w:pPr>
      <w:widowControl w:val="0"/>
      <w:tabs>
        <w:tab w:val="left" w:pos="0"/>
      </w:tabs>
      <w:spacing w:before="240" w:after="120"/>
      <w:jc w:val="both"/>
      <w:outlineLvl w:val="1"/>
    </w:pPr>
    <w:rPr>
      <w:rFonts w:ascii="Times New Roman" w:hAnsi="Times New Roman" w:eastAsia="黑体" w:cs="Times New Roman"/>
      <w:bCs/>
      <w:kern w:val="44"/>
      <w:sz w:val="32"/>
      <w:szCs w:val="36"/>
    </w:rPr>
  </w:style>
  <w:style w:type="paragraph" w:customStyle="1" w:styleId="2557">
    <w:name w:val="样式 表头 + 左侧:  0.99 字符 首行缩进:  3.19 厘米"/>
    <w:basedOn w:val="104"/>
    <w:qFormat/>
    <w:uiPriority w:val="0"/>
    <w:pPr>
      <w:ind w:left="1120" w:leftChars="400" w:firstLine="480"/>
      <w:jc w:val="left"/>
    </w:pPr>
    <w:rPr>
      <w:rFonts w:eastAsia="宋体" w:cs="宋体"/>
      <w:b/>
      <w:bCs/>
      <w:snapToGrid w:val="0"/>
      <w:sz w:val="28"/>
      <w:lang w:val="zh-CN"/>
    </w:rPr>
  </w:style>
  <w:style w:type="paragraph" w:customStyle="1" w:styleId="2558">
    <w:name w:val="批注主题12"/>
    <w:basedOn w:val="27"/>
    <w:next w:val="27"/>
    <w:qFormat/>
    <w:uiPriority w:val="0"/>
    <w:pPr>
      <w:widowControl w:val="0"/>
      <w:adjustRightInd w:val="0"/>
      <w:snapToGrid w:val="0"/>
      <w:spacing w:line="480" w:lineRule="exact"/>
    </w:pPr>
    <w:rPr>
      <w:rFonts w:ascii="Times New Roman" w:hAnsi="Times New Roman"/>
      <w:b/>
      <w:bCs/>
      <w:kern w:val="2"/>
      <w:szCs w:val="24"/>
    </w:rPr>
  </w:style>
  <w:style w:type="paragraph" w:customStyle="1" w:styleId="2559">
    <w:name w:val="xl316"/>
    <w:basedOn w:val="1"/>
    <w:qFormat/>
    <w:uiPriority w:val="0"/>
    <w:pPr>
      <w:pBdr>
        <w:top w:val="single" w:color="auto" w:sz="4" w:space="0"/>
        <w:right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560">
    <w:name w:val="xl1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1"/>
      <w:szCs w:val="21"/>
    </w:rPr>
  </w:style>
  <w:style w:type="paragraph" w:customStyle="1" w:styleId="2561">
    <w:name w:val="xl2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62">
    <w:name w:val="样式 标题 2节标题 + 小三 加粗 段前: 6 磅 行距: 1.5 倍行距"/>
    <w:basedOn w:val="5"/>
    <w:qFormat/>
    <w:uiPriority w:val="0"/>
    <w:pPr>
      <w:widowControl w:val="0"/>
      <w:adjustRightInd w:val="0"/>
      <w:snapToGrid w:val="0"/>
      <w:spacing w:before="240" w:after="240" w:line="240" w:lineRule="auto"/>
      <w:jc w:val="center"/>
    </w:pPr>
    <w:rPr>
      <w:rFonts w:ascii="Times New Roman" w:hAnsi="Times New Roman" w:cs="宋体"/>
      <w:b/>
      <w:kern w:val="2"/>
      <w:sz w:val="30"/>
      <w:szCs w:val="20"/>
    </w:rPr>
  </w:style>
  <w:style w:type="paragraph" w:customStyle="1" w:styleId="2563">
    <w:name w:val="样式 标题3 + 黑体 行距: 固定值 23 磅"/>
    <w:basedOn w:val="1"/>
    <w:qFormat/>
    <w:uiPriority w:val="0"/>
    <w:pPr>
      <w:keepNext/>
      <w:keepLines/>
      <w:widowControl w:val="0"/>
      <w:topLinePunct/>
      <w:adjustRightInd w:val="0"/>
      <w:spacing w:line="460" w:lineRule="exact"/>
      <w:jc w:val="both"/>
      <w:outlineLvl w:val="2"/>
    </w:pPr>
    <w:rPr>
      <w:rFonts w:ascii="Times New Roman" w:hAnsi="Times New Roman" w:eastAsia="楷体_GB2312"/>
      <w:b/>
      <w:color w:val="000000"/>
      <w:sz w:val="28"/>
      <w:szCs w:val="20"/>
    </w:rPr>
  </w:style>
  <w:style w:type="paragraph" w:customStyle="1" w:styleId="2564">
    <w:name w:val="xl2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65">
    <w:name w:val="xl280"/>
    <w:basedOn w:val="1"/>
    <w:qFormat/>
    <w:uiPriority w:val="0"/>
    <w:pPr>
      <w:pBdr>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566">
    <w:name w:val="正文居中"/>
    <w:basedOn w:val="1"/>
    <w:qFormat/>
    <w:uiPriority w:val="0"/>
    <w:pPr>
      <w:widowControl w:val="0"/>
      <w:jc w:val="center"/>
    </w:pPr>
    <w:rPr>
      <w:rFonts w:ascii="Times New Roman" w:hAnsi="Times New Roman" w:cs="Times New Roman"/>
      <w:kern w:val="2"/>
      <w:sz w:val="21"/>
      <w:szCs w:val="20"/>
    </w:rPr>
  </w:style>
  <w:style w:type="paragraph" w:customStyle="1" w:styleId="2567">
    <w:name w:val="正文文本 311"/>
    <w:basedOn w:val="1"/>
    <w:qFormat/>
    <w:uiPriority w:val="0"/>
    <w:pPr>
      <w:widowControl w:val="0"/>
      <w:spacing w:line="240" w:lineRule="exact"/>
      <w:jc w:val="both"/>
    </w:pPr>
    <w:rPr>
      <w:rFonts w:ascii="Times New Roman" w:hAnsi="Times New Roman" w:cs="Times New Roman"/>
      <w:kern w:val="2"/>
      <w:sz w:val="18"/>
      <w:szCs w:val="20"/>
    </w:rPr>
  </w:style>
  <w:style w:type="paragraph" w:customStyle="1" w:styleId="2568">
    <w:name w:val="索引 12"/>
    <w:basedOn w:val="1"/>
    <w:next w:val="1"/>
    <w:qFormat/>
    <w:uiPriority w:val="0"/>
    <w:pPr>
      <w:widowControl w:val="0"/>
      <w:spacing w:line="360" w:lineRule="exact"/>
      <w:jc w:val="center"/>
    </w:pPr>
    <w:rPr>
      <w:rFonts w:cs="Times New Roman"/>
      <w:kern w:val="2"/>
      <w:sz w:val="21"/>
    </w:rPr>
  </w:style>
  <w:style w:type="paragraph" w:customStyle="1" w:styleId="2569">
    <w:name w:val="121"/>
    <w:basedOn w:val="1"/>
    <w:qFormat/>
    <w:uiPriority w:val="0"/>
    <w:pPr>
      <w:widowControl w:val="0"/>
      <w:adjustRightInd w:val="0"/>
      <w:spacing w:before="120" w:line="460" w:lineRule="exact"/>
      <w:jc w:val="center"/>
      <w:outlineLvl w:val="3"/>
    </w:pPr>
    <w:rPr>
      <w:rFonts w:ascii="Times New Roman" w:hAnsi="Times New Roman" w:eastAsia="黑体" w:cs="Times New Roman"/>
    </w:rPr>
  </w:style>
  <w:style w:type="paragraph" w:customStyle="1" w:styleId="2570">
    <w:name w:val="xl1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71">
    <w:name w:val="日期21"/>
    <w:basedOn w:val="1"/>
    <w:next w:val="1"/>
    <w:qFormat/>
    <w:uiPriority w:val="0"/>
    <w:pPr>
      <w:widowControl w:val="0"/>
      <w:jc w:val="both"/>
    </w:pPr>
    <w:rPr>
      <w:rFonts w:hAnsi="Times New Roman" w:cs="Times New Roman"/>
      <w:kern w:val="2"/>
      <w:sz w:val="28"/>
      <w:szCs w:val="20"/>
    </w:rPr>
  </w:style>
  <w:style w:type="paragraph" w:customStyle="1" w:styleId="2572">
    <w:name w:val="xl2133"/>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rFonts w:ascii="Times New Roman" w:hAnsi="Times New Roman" w:cs="Times New Roman"/>
      <w:b/>
      <w:bCs/>
      <w:sz w:val="21"/>
      <w:szCs w:val="21"/>
    </w:rPr>
  </w:style>
  <w:style w:type="paragraph" w:customStyle="1" w:styleId="2573">
    <w:name w:val="xl310"/>
    <w:basedOn w:val="1"/>
    <w:qFormat/>
    <w:uiPriority w:val="0"/>
    <w:pPr>
      <w:pBdr>
        <w:bottom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574">
    <w:name w:val="xl2142"/>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b/>
      <w:bCs/>
    </w:rPr>
  </w:style>
  <w:style w:type="paragraph" w:customStyle="1" w:styleId="2575">
    <w:name w:val="xl23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76">
    <w:name w:val="Char Char Char Char Char Char Char Char Char Char11"/>
    <w:basedOn w:val="1"/>
    <w:qFormat/>
    <w:uiPriority w:val="0"/>
    <w:pPr>
      <w:widowControl w:val="0"/>
      <w:jc w:val="both"/>
    </w:pPr>
    <w:rPr>
      <w:rFonts w:ascii="Times New Roman" w:hAnsi="Times New Roman" w:cs="Times New Roman"/>
      <w:kern w:val="2"/>
      <w:sz w:val="21"/>
    </w:rPr>
  </w:style>
  <w:style w:type="paragraph" w:customStyle="1" w:styleId="2577">
    <w:name w:val="xl298"/>
    <w:basedOn w:val="1"/>
    <w:qFormat/>
    <w:uiPriority w:val="0"/>
    <w:pPr>
      <w:pBdr>
        <w:lef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578">
    <w:name w:val="正文四级标题"/>
    <w:basedOn w:val="1"/>
    <w:qFormat/>
    <w:uiPriority w:val="0"/>
    <w:pPr>
      <w:widowControl w:val="0"/>
      <w:adjustRightInd w:val="0"/>
      <w:snapToGrid w:val="0"/>
      <w:spacing w:line="480" w:lineRule="exact"/>
      <w:ind w:firstLine="560" w:firstLineChars="200"/>
      <w:jc w:val="both"/>
    </w:pPr>
    <w:rPr>
      <w:rFonts w:cs="Times New Roman"/>
      <w:bCs/>
      <w:sz w:val="28"/>
      <w:szCs w:val="28"/>
    </w:rPr>
  </w:style>
  <w:style w:type="paragraph" w:customStyle="1" w:styleId="2579">
    <w:name w:val="xl21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FF0000"/>
      <w:sz w:val="21"/>
      <w:szCs w:val="21"/>
    </w:rPr>
  </w:style>
  <w:style w:type="paragraph" w:customStyle="1" w:styleId="2580">
    <w:name w:val="索引 61"/>
    <w:basedOn w:val="1"/>
    <w:next w:val="1"/>
    <w:qFormat/>
    <w:uiPriority w:val="0"/>
    <w:pPr>
      <w:widowControl w:val="0"/>
      <w:spacing w:line="480" w:lineRule="exact"/>
      <w:ind w:left="1000" w:leftChars="1000"/>
      <w:jc w:val="both"/>
    </w:pPr>
    <w:rPr>
      <w:rFonts w:ascii="Times New Roman" w:hAnsi="Times New Roman" w:cs="Times New Roman"/>
      <w:kern w:val="2"/>
    </w:rPr>
  </w:style>
  <w:style w:type="paragraph" w:customStyle="1" w:styleId="2581">
    <w:name w:val="xl24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582">
    <w:name w:val="xl2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83">
    <w:name w:val="xl25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84">
    <w:name w:val="普通(网站)3"/>
    <w:basedOn w:val="1"/>
    <w:qFormat/>
    <w:uiPriority w:val="0"/>
    <w:pPr>
      <w:spacing w:before="100" w:beforeAutospacing="1" w:after="100" w:afterAutospacing="1"/>
    </w:pPr>
  </w:style>
  <w:style w:type="paragraph" w:customStyle="1" w:styleId="2585">
    <w:name w:val="xl18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color w:val="000000"/>
      <w:sz w:val="20"/>
      <w:szCs w:val="20"/>
    </w:rPr>
  </w:style>
  <w:style w:type="paragraph" w:customStyle="1" w:styleId="2586">
    <w:name w:val="四级"/>
    <w:basedOn w:val="1560"/>
    <w:qFormat/>
    <w:uiPriority w:val="0"/>
    <w:pPr>
      <w:adjustRightInd/>
      <w:snapToGrid w:val="0"/>
      <w:ind w:firstLine="0"/>
      <w:textAlignment w:val="auto"/>
    </w:pPr>
    <w:rPr>
      <w:rFonts w:ascii="Times New Roman" w:hAnsi="Times New Roman" w:eastAsia="楷体_GB2312"/>
    </w:rPr>
  </w:style>
  <w:style w:type="paragraph" w:customStyle="1" w:styleId="2587">
    <w:name w:val="正文缩进11"/>
    <w:basedOn w:val="1"/>
    <w:qFormat/>
    <w:uiPriority w:val="0"/>
    <w:pPr>
      <w:widowControl w:val="0"/>
      <w:adjustRightInd w:val="0"/>
      <w:snapToGrid w:val="0"/>
      <w:spacing w:line="480" w:lineRule="exact"/>
      <w:ind w:firstLine="200" w:firstLineChars="200"/>
      <w:jc w:val="both"/>
    </w:pPr>
    <w:rPr>
      <w:rFonts w:ascii="Times New Roman" w:hAnsi="Times New Roman" w:eastAsia="方正仿宋简体" w:cs="Times New Roman"/>
      <w:kern w:val="2"/>
      <w:sz w:val="28"/>
    </w:rPr>
  </w:style>
  <w:style w:type="paragraph" w:customStyle="1" w:styleId="2588">
    <w:name w:val="xl18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89">
    <w:name w:val="xl215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style>
  <w:style w:type="paragraph" w:customStyle="1" w:styleId="2590">
    <w:name w:val="xl24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91">
    <w:name w:val="xl288"/>
    <w:basedOn w:val="1"/>
    <w:qFormat/>
    <w:uiPriority w:val="0"/>
    <w:pPr>
      <w:pBdr>
        <w:top w:val="single" w:color="auto" w:sz="4" w:space="0"/>
        <w:left w:val="single" w:color="auto" w:sz="4" w:space="0"/>
        <w:right w:val="single" w:color="auto" w:sz="4" w:space="0"/>
      </w:pBdr>
      <w:spacing w:before="100" w:beforeAutospacing="1" w:after="100" w:afterAutospacing="1"/>
    </w:pPr>
    <w:rPr>
      <w:color w:val="0000FF"/>
      <w:sz w:val="20"/>
      <w:szCs w:val="20"/>
    </w:rPr>
  </w:style>
  <w:style w:type="paragraph" w:customStyle="1" w:styleId="2592">
    <w:name w:val="xl1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93">
    <w:name w:val="列表 311"/>
    <w:basedOn w:val="1"/>
    <w:qFormat/>
    <w:uiPriority w:val="0"/>
    <w:pPr>
      <w:widowControl w:val="0"/>
      <w:ind w:left="1260" w:hanging="420"/>
      <w:jc w:val="both"/>
    </w:pPr>
    <w:rPr>
      <w:rFonts w:ascii="Times New Roman" w:hAnsi="Times New Roman" w:cs="Times New Roman"/>
      <w:kern w:val="2"/>
      <w:sz w:val="21"/>
    </w:rPr>
  </w:style>
  <w:style w:type="paragraph" w:customStyle="1" w:styleId="2594">
    <w:name w:val="样式 样式 标题 3 + 首行缩进:  2 字符 + 首行缩进:  2 字符"/>
    <w:basedOn w:val="1"/>
    <w:qFormat/>
    <w:uiPriority w:val="0"/>
    <w:pPr>
      <w:keepNext/>
      <w:keepLines/>
      <w:widowControl w:val="0"/>
      <w:tabs>
        <w:tab w:val="left" w:pos="3900"/>
      </w:tabs>
      <w:adjustRightInd w:val="0"/>
      <w:snapToGrid w:val="0"/>
      <w:spacing w:beforeLines="50" w:line="480" w:lineRule="exact"/>
      <w:ind w:firstLine="620" w:firstLineChars="200"/>
      <w:jc w:val="both"/>
      <w:outlineLvl w:val="2"/>
    </w:pPr>
    <w:rPr>
      <w:rFonts w:ascii="Times New Roman" w:hAnsi="Times New Roman" w:eastAsia="黑体"/>
      <w:bCs/>
      <w:color w:val="000000"/>
      <w:szCs w:val="20"/>
    </w:rPr>
  </w:style>
  <w:style w:type="paragraph" w:customStyle="1" w:styleId="2595">
    <w:name w:val="xl294"/>
    <w:basedOn w:val="1"/>
    <w:qFormat/>
    <w:uiPriority w:val="0"/>
    <w:pPr>
      <w:pBdr>
        <w:top w:val="single" w:color="auto" w:sz="4" w:space="0"/>
        <w:lef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596">
    <w:name w:val="文本块3"/>
    <w:basedOn w:val="1"/>
    <w:qFormat/>
    <w:uiPriority w:val="0"/>
    <w:pPr>
      <w:widowControl w:val="0"/>
      <w:spacing w:line="480" w:lineRule="exact"/>
      <w:ind w:left="-143" w:leftChars="-68" w:right="-120" w:rightChars="-57"/>
      <w:jc w:val="center"/>
    </w:pPr>
    <w:rPr>
      <w:rFonts w:cs="Times New Roman"/>
      <w:color w:val="000000"/>
      <w:kern w:val="2"/>
    </w:rPr>
  </w:style>
  <w:style w:type="paragraph" w:customStyle="1" w:styleId="2597">
    <w:name w:val="索引 71"/>
    <w:basedOn w:val="1"/>
    <w:next w:val="1"/>
    <w:qFormat/>
    <w:uiPriority w:val="0"/>
    <w:pPr>
      <w:widowControl w:val="0"/>
      <w:spacing w:line="480" w:lineRule="exact"/>
      <w:ind w:left="1200" w:leftChars="1200"/>
      <w:jc w:val="both"/>
    </w:pPr>
    <w:rPr>
      <w:rFonts w:ascii="Times New Roman" w:hAnsi="Times New Roman" w:cs="Times New Roman"/>
      <w:kern w:val="2"/>
    </w:rPr>
  </w:style>
  <w:style w:type="paragraph" w:customStyle="1" w:styleId="2598">
    <w:name w:val="封面副标题"/>
    <w:basedOn w:val="2161"/>
    <w:qFormat/>
    <w:uiPriority w:val="0"/>
    <w:pPr>
      <w:spacing w:line="1100" w:lineRule="exact"/>
    </w:pPr>
    <w:rPr>
      <w:sz w:val="44"/>
    </w:rPr>
  </w:style>
  <w:style w:type="paragraph" w:customStyle="1" w:styleId="2599">
    <w:name w:val="xl19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00">
    <w:name w:val="文档结构图22"/>
    <w:basedOn w:val="1"/>
    <w:qFormat/>
    <w:uiPriority w:val="0"/>
    <w:pPr>
      <w:widowControl w:val="0"/>
      <w:shd w:val="clear" w:color="auto" w:fill="000080"/>
      <w:adjustRightInd w:val="0"/>
      <w:snapToGrid w:val="0"/>
      <w:spacing w:line="480" w:lineRule="exact"/>
      <w:ind w:firstLine="560" w:firstLineChars="200"/>
      <w:jc w:val="both"/>
    </w:pPr>
    <w:rPr>
      <w:rFonts w:ascii="Times New Roman" w:hAnsi="Times New Roman" w:cs="Times New Roman"/>
      <w:sz w:val="28"/>
    </w:rPr>
  </w:style>
  <w:style w:type="paragraph" w:customStyle="1" w:styleId="2601">
    <w:name w:val="样式 正文缩进 + 仿宋_GB2312 行距: 固定值 20 磅"/>
    <w:basedOn w:val="6"/>
    <w:qFormat/>
    <w:uiPriority w:val="0"/>
    <w:pPr>
      <w:widowControl w:val="0"/>
      <w:topLinePunct/>
      <w:adjustRightInd w:val="0"/>
      <w:spacing w:line="400" w:lineRule="exact"/>
      <w:ind w:firstLine="560" w:firstLineChars="200"/>
      <w:jc w:val="both"/>
    </w:pPr>
    <w:rPr>
      <w:rFonts w:ascii="仿宋_GB2312" w:hAnsi="Times New Roman" w:eastAsia="仿宋_GB2312" w:cs="宋体"/>
      <w:kern w:val="2"/>
      <w:sz w:val="24"/>
    </w:rPr>
  </w:style>
  <w:style w:type="paragraph" w:customStyle="1" w:styleId="2602">
    <w:name w:val="xl180"/>
    <w:basedOn w:val="1"/>
    <w:qFormat/>
    <w:uiPriority w:val="0"/>
    <w:pPr>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jc w:val="center"/>
    </w:pPr>
    <w:rPr>
      <w:rFonts w:ascii="方正综艺简体" w:eastAsia="方正综艺简体"/>
      <w:color w:val="000000"/>
      <w:sz w:val="20"/>
      <w:szCs w:val="20"/>
    </w:rPr>
  </w:style>
  <w:style w:type="paragraph" w:customStyle="1" w:styleId="2603">
    <w:name w:val="样式 标题 4图标题1.1.1.1标题 4 Char + 首行缩进:  2 字符"/>
    <w:basedOn w:val="8"/>
    <w:qFormat/>
    <w:uiPriority w:val="0"/>
    <w:pPr>
      <w:keepNext w:val="0"/>
      <w:keepLines w:val="0"/>
      <w:widowControl w:val="0"/>
      <w:adjustRightInd w:val="0"/>
      <w:snapToGrid w:val="0"/>
      <w:spacing w:line="460" w:lineRule="exact"/>
      <w:ind w:firstLine="602" w:firstLineChars="200"/>
      <w:jc w:val="both"/>
    </w:pPr>
    <w:rPr>
      <w:rFonts w:eastAsia="楷体_GB2312"/>
      <w:b/>
      <w:bCs/>
      <w:sz w:val="30"/>
      <w:lang w:val="en-US"/>
    </w:rPr>
  </w:style>
  <w:style w:type="paragraph" w:customStyle="1" w:styleId="2604">
    <w:name w:val="xl24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FF"/>
      <w:sz w:val="20"/>
      <w:szCs w:val="20"/>
    </w:rPr>
  </w:style>
  <w:style w:type="paragraph" w:customStyle="1" w:styleId="2605">
    <w:name w:val="xl2138"/>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b/>
      <w:bCs/>
      <w:sz w:val="22"/>
      <w:szCs w:val="22"/>
    </w:rPr>
  </w:style>
  <w:style w:type="paragraph" w:customStyle="1" w:styleId="2606">
    <w:name w:val="正文一级标题"/>
    <w:basedOn w:val="1"/>
    <w:qFormat/>
    <w:uiPriority w:val="0"/>
    <w:pPr>
      <w:widowControl w:val="0"/>
      <w:spacing w:before="360" w:after="240"/>
      <w:jc w:val="center"/>
      <w:outlineLvl w:val="0"/>
    </w:pPr>
    <w:rPr>
      <w:rFonts w:ascii="Times New Roman" w:hAnsi="Times New Roman" w:eastAsia="楷体_GB2312" w:cs="Times New Roman"/>
      <w:kern w:val="2"/>
      <w:sz w:val="36"/>
    </w:rPr>
  </w:style>
  <w:style w:type="paragraph" w:customStyle="1" w:styleId="2607">
    <w:name w:val="xl21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FF0000"/>
      <w:sz w:val="21"/>
      <w:szCs w:val="21"/>
    </w:rPr>
  </w:style>
  <w:style w:type="paragraph" w:customStyle="1" w:styleId="2608">
    <w:name w:val="Char9"/>
    <w:basedOn w:val="1"/>
    <w:qFormat/>
    <w:uiPriority w:val="0"/>
    <w:pPr>
      <w:widowControl w:val="0"/>
      <w:jc w:val="both"/>
    </w:pPr>
    <w:rPr>
      <w:rFonts w:ascii="Times New Roman" w:hAnsi="Times New Roman" w:cs="Times New Roman"/>
      <w:kern w:val="2"/>
      <w:sz w:val="21"/>
    </w:rPr>
  </w:style>
  <w:style w:type="paragraph" w:customStyle="1" w:styleId="2609">
    <w:name w:val="xl162"/>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color w:val="000000"/>
      <w:sz w:val="20"/>
      <w:szCs w:val="20"/>
    </w:rPr>
  </w:style>
  <w:style w:type="paragraph" w:customStyle="1" w:styleId="2610">
    <w:name w:val="xl1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1"/>
      <w:szCs w:val="21"/>
    </w:rPr>
  </w:style>
  <w:style w:type="paragraph" w:customStyle="1" w:styleId="2611">
    <w:name w:val="xl1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12">
    <w:name w:val="xl237"/>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color w:val="000000"/>
      <w:sz w:val="20"/>
      <w:szCs w:val="20"/>
    </w:rPr>
  </w:style>
  <w:style w:type="paragraph" w:customStyle="1" w:styleId="2613">
    <w:name w:val="xl215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FF0000"/>
      <w:sz w:val="21"/>
      <w:szCs w:val="21"/>
    </w:rPr>
  </w:style>
  <w:style w:type="paragraph" w:customStyle="1" w:styleId="2614">
    <w:name w:val="xl215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color w:val="FF0000"/>
    </w:rPr>
  </w:style>
  <w:style w:type="paragraph" w:customStyle="1" w:styleId="2615">
    <w:name w:val="xl21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style>
  <w:style w:type="paragraph" w:customStyle="1" w:styleId="2616">
    <w:name w:val="xl268"/>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617">
    <w:name w:val="xl1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sz w:val="21"/>
      <w:szCs w:val="21"/>
    </w:rPr>
  </w:style>
  <w:style w:type="paragraph" w:customStyle="1" w:styleId="2618">
    <w:name w:val="xl22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19">
    <w:name w:val="xl274"/>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2620">
    <w:name w:val="xl2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21">
    <w:name w:val="样式19"/>
    <w:basedOn w:val="2622"/>
    <w:qFormat/>
    <w:uiPriority w:val="0"/>
    <w:pPr>
      <w:spacing w:afterLines="50"/>
    </w:pPr>
  </w:style>
  <w:style w:type="paragraph" w:customStyle="1" w:styleId="2622">
    <w:name w:val="样式18"/>
    <w:basedOn w:val="1"/>
    <w:qFormat/>
    <w:uiPriority w:val="0"/>
    <w:pPr>
      <w:widowControl w:val="0"/>
      <w:snapToGrid w:val="0"/>
      <w:spacing w:line="480" w:lineRule="exact"/>
      <w:jc w:val="center"/>
    </w:pPr>
    <w:rPr>
      <w:rFonts w:ascii="Times New Roman" w:hAnsi="Times New Roman"/>
      <w:szCs w:val="21"/>
    </w:rPr>
  </w:style>
  <w:style w:type="paragraph" w:customStyle="1" w:styleId="2623">
    <w:name w:val="签署"/>
    <w:basedOn w:val="1"/>
    <w:qFormat/>
    <w:uiPriority w:val="0"/>
    <w:pPr>
      <w:widowControl w:val="0"/>
      <w:adjustRightInd w:val="0"/>
      <w:snapToGrid w:val="0"/>
      <w:spacing w:line="900" w:lineRule="exact"/>
      <w:ind w:firstLine="1280" w:firstLineChars="400"/>
    </w:pPr>
    <w:rPr>
      <w:rFonts w:ascii="Times New Roman" w:hAnsi="Times New Roman" w:eastAsia="黑体"/>
      <w:kern w:val="2"/>
      <w:sz w:val="32"/>
      <w:szCs w:val="20"/>
    </w:rPr>
  </w:style>
  <w:style w:type="paragraph" w:customStyle="1" w:styleId="2624">
    <w:name w:val="xl17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25">
    <w:name w:val="Char Char1 Char Char Char Char Char Char Char Char"/>
    <w:basedOn w:val="1"/>
    <w:next w:val="47"/>
    <w:qFormat/>
    <w:uiPriority w:val="0"/>
    <w:pPr>
      <w:widowControl w:val="0"/>
      <w:spacing w:line="360" w:lineRule="auto"/>
      <w:ind w:firstLine="480" w:firstLineChars="200"/>
      <w:jc w:val="both"/>
    </w:pPr>
    <w:rPr>
      <w:rFonts w:ascii="Times New Roman" w:hAnsi="Times New Roman" w:cs="Times New Roman"/>
    </w:rPr>
  </w:style>
  <w:style w:type="paragraph" w:customStyle="1" w:styleId="2626">
    <w:name w:val="修订21"/>
    <w:qFormat/>
    <w:uiPriority w:val="0"/>
    <w:rPr>
      <w:rFonts w:ascii="Times New Roman" w:hAnsi="Times New Roman" w:eastAsia="宋体" w:cs="Times New Roman"/>
      <w:kern w:val="2"/>
      <w:sz w:val="21"/>
      <w:szCs w:val="24"/>
      <w:lang w:val="en-US" w:eastAsia="zh-CN" w:bidi="ar-SA"/>
    </w:rPr>
  </w:style>
  <w:style w:type="paragraph" w:customStyle="1" w:styleId="2627">
    <w:name w:val="正文缩进2字符"/>
    <w:basedOn w:val="1"/>
    <w:next w:val="1"/>
    <w:qFormat/>
    <w:uiPriority w:val="0"/>
    <w:pPr>
      <w:adjustRightInd w:val="0"/>
      <w:snapToGrid w:val="0"/>
      <w:spacing w:line="288" w:lineRule="auto"/>
      <w:ind w:firstLine="200" w:firstLineChars="200"/>
    </w:pPr>
    <w:rPr>
      <w:rFonts w:cs="Times New Roman"/>
      <w:kern w:val="2"/>
    </w:rPr>
  </w:style>
  <w:style w:type="paragraph" w:customStyle="1" w:styleId="2628">
    <w:name w:val="xl192"/>
    <w:basedOn w:val="1"/>
    <w:qFormat/>
    <w:uiPriority w:val="0"/>
    <w:pPr>
      <w:spacing w:before="100" w:beforeAutospacing="1" w:after="100" w:afterAutospacing="1"/>
    </w:pPr>
    <w:rPr>
      <w:color w:val="000000"/>
      <w:sz w:val="20"/>
      <w:szCs w:val="20"/>
    </w:rPr>
  </w:style>
  <w:style w:type="paragraph" w:customStyle="1" w:styleId="2629">
    <w:name w:val="样式 首行缩进:  2 字符 右侧:  -0.27 厘米"/>
    <w:basedOn w:val="1"/>
    <w:qFormat/>
    <w:uiPriority w:val="0"/>
    <w:pPr>
      <w:widowControl w:val="0"/>
      <w:adjustRightInd w:val="0"/>
      <w:snapToGrid w:val="0"/>
      <w:spacing w:line="460" w:lineRule="exact"/>
      <w:ind w:right="-155" w:firstLine="560" w:firstLineChars="200"/>
      <w:jc w:val="both"/>
    </w:pPr>
    <w:rPr>
      <w:rFonts w:ascii="Times New Roman" w:hAnsi="Times New Roman"/>
      <w:sz w:val="28"/>
      <w:szCs w:val="28"/>
    </w:rPr>
  </w:style>
  <w:style w:type="paragraph" w:customStyle="1" w:styleId="2630">
    <w:name w:val="xl279"/>
    <w:basedOn w:val="1"/>
    <w:qFormat/>
    <w:uiPriority w:val="0"/>
    <w:pPr>
      <w:pBdr>
        <w:top w:val="single" w:color="auto" w:sz="4" w:space="0"/>
        <w:left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631">
    <w:name w:val="索引 81"/>
    <w:basedOn w:val="1"/>
    <w:next w:val="1"/>
    <w:qFormat/>
    <w:uiPriority w:val="0"/>
    <w:pPr>
      <w:widowControl w:val="0"/>
      <w:spacing w:line="480" w:lineRule="exact"/>
      <w:ind w:left="1400" w:leftChars="1400"/>
      <w:jc w:val="both"/>
    </w:pPr>
    <w:rPr>
      <w:rFonts w:ascii="Times New Roman" w:hAnsi="Times New Roman" w:cs="Times New Roman"/>
      <w:kern w:val="2"/>
    </w:rPr>
  </w:style>
  <w:style w:type="paragraph" w:customStyle="1" w:styleId="2632">
    <w:name w:val="Char Char Char Char4"/>
    <w:basedOn w:val="1"/>
    <w:qFormat/>
    <w:uiPriority w:val="0"/>
    <w:pPr>
      <w:widowControl w:val="0"/>
      <w:jc w:val="both"/>
    </w:pPr>
    <w:rPr>
      <w:rFonts w:ascii="Times New Roman" w:hAnsi="Times New Roman" w:cs="Times New Roman"/>
      <w:kern w:val="2"/>
      <w:sz w:val="21"/>
    </w:rPr>
  </w:style>
  <w:style w:type="paragraph" w:customStyle="1" w:styleId="2633">
    <w:name w:val="xl282"/>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color w:val="000000"/>
      <w:sz w:val="20"/>
      <w:szCs w:val="20"/>
    </w:rPr>
  </w:style>
  <w:style w:type="paragraph" w:customStyle="1" w:styleId="2634">
    <w:name w:val="d"/>
    <w:basedOn w:val="1560"/>
    <w:qFormat/>
    <w:uiPriority w:val="0"/>
    <w:pPr>
      <w:adjustRightInd/>
      <w:spacing w:line="420" w:lineRule="exact"/>
      <w:ind w:firstLine="480"/>
      <w:textAlignment w:val="auto"/>
    </w:pPr>
    <w:rPr>
      <w:rFonts w:ascii="Times New Roman" w:hAnsi="Times New Roman"/>
      <w:sz w:val="24"/>
    </w:rPr>
  </w:style>
  <w:style w:type="paragraph" w:customStyle="1" w:styleId="2635">
    <w:name w:val="xl315"/>
    <w:basedOn w:val="1"/>
    <w:qFormat/>
    <w:uiPriority w:val="0"/>
    <w:pPr>
      <w:pBdr>
        <w:bottom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636">
    <w:name w:val="xl1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37">
    <w:name w:val="xl16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00"/>
      <w:sz w:val="20"/>
      <w:szCs w:val="20"/>
    </w:rPr>
  </w:style>
  <w:style w:type="paragraph" w:customStyle="1" w:styleId="2638">
    <w:name w:val="xl2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39">
    <w:name w:val="正文文本 321"/>
    <w:basedOn w:val="1"/>
    <w:qFormat/>
    <w:uiPriority w:val="0"/>
    <w:pPr>
      <w:widowControl w:val="0"/>
      <w:adjustRightInd w:val="0"/>
      <w:snapToGrid w:val="0"/>
      <w:spacing w:after="120" w:line="480" w:lineRule="exact"/>
      <w:ind w:firstLine="200" w:firstLineChars="200"/>
      <w:jc w:val="both"/>
    </w:pPr>
    <w:rPr>
      <w:rFonts w:ascii="Times New Roman" w:hAnsi="Times New Roman" w:cs="Times New Roman"/>
      <w:sz w:val="16"/>
      <w:szCs w:val="16"/>
    </w:rPr>
  </w:style>
  <w:style w:type="paragraph" w:customStyle="1" w:styleId="2640">
    <w:name w:val="封面－报告名称"/>
    <w:basedOn w:val="1"/>
    <w:next w:val="1"/>
    <w:qFormat/>
    <w:uiPriority w:val="0"/>
    <w:pPr>
      <w:widowControl w:val="0"/>
      <w:adjustRightInd w:val="0"/>
      <w:snapToGrid w:val="0"/>
      <w:spacing w:before="240" w:after="240" w:line="480" w:lineRule="exact"/>
      <w:ind w:firstLine="560" w:firstLineChars="200"/>
      <w:jc w:val="center"/>
    </w:pPr>
    <w:rPr>
      <w:rFonts w:ascii="Times New Roman" w:hAnsi="Times New Roman" w:eastAsia="黑体" w:cs="Times New Roman"/>
      <w:sz w:val="44"/>
      <w:szCs w:val="20"/>
    </w:rPr>
  </w:style>
  <w:style w:type="paragraph" w:customStyle="1" w:styleId="2641">
    <w:name w:val="正文文本缩进12"/>
    <w:basedOn w:val="1"/>
    <w:qFormat/>
    <w:uiPriority w:val="0"/>
    <w:pPr>
      <w:widowControl w:val="0"/>
      <w:adjustRightInd w:val="0"/>
      <w:spacing w:line="360" w:lineRule="atLeast"/>
      <w:ind w:left="280" w:firstLine="560"/>
    </w:pPr>
    <w:rPr>
      <w:rFonts w:ascii="Times New Roman" w:hAnsi="Times New Roman" w:cs="Times New Roman"/>
    </w:rPr>
  </w:style>
  <w:style w:type="paragraph" w:customStyle="1" w:styleId="2642">
    <w:name w:val="样式 标题 7 + 首行缩进:  2 字符"/>
    <w:basedOn w:val="11"/>
    <w:qFormat/>
    <w:uiPriority w:val="0"/>
    <w:pPr>
      <w:keepLines/>
      <w:tabs>
        <w:tab w:val="left" w:pos="425"/>
        <w:tab w:val="clear" w:pos="360"/>
      </w:tabs>
      <w:snapToGrid w:val="0"/>
      <w:spacing w:before="40" w:after="64" w:line="360" w:lineRule="auto"/>
      <w:ind w:left="0" w:firstLine="200" w:firstLineChars="200"/>
    </w:pPr>
    <w:rPr>
      <w:rFonts w:ascii="宋体" w:hAnsi="宋体" w:cs="宋体"/>
      <w:color w:val="000000"/>
      <w:kern w:val="0"/>
      <w:szCs w:val="20"/>
    </w:rPr>
  </w:style>
  <w:style w:type="paragraph" w:customStyle="1" w:styleId="2643">
    <w:name w:val="表格标注"/>
    <w:basedOn w:val="2335"/>
    <w:qFormat/>
    <w:uiPriority w:val="0"/>
    <w:pPr>
      <w:ind w:firstLine="200" w:firstLineChars="200"/>
      <w:jc w:val="both"/>
    </w:pPr>
  </w:style>
  <w:style w:type="paragraph" w:customStyle="1" w:styleId="2644">
    <w:name w:val="xl293"/>
    <w:basedOn w:val="1"/>
    <w:qFormat/>
    <w:uiPriority w:val="0"/>
    <w:pPr>
      <w:pBdr>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color w:val="000000"/>
      <w:sz w:val="20"/>
      <w:szCs w:val="20"/>
    </w:rPr>
  </w:style>
  <w:style w:type="paragraph" w:customStyle="1" w:styleId="2645">
    <w:name w:val="xl214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FF0000"/>
    </w:rPr>
  </w:style>
  <w:style w:type="paragraph" w:customStyle="1" w:styleId="2646">
    <w:name w:val="xl20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47">
    <w:name w:val="Char8"/>
    <w:basedOn w:val="1"/>
    <w:next w:val="1560"/>
    <w:qFormat/>
    <w:uiPriority w:val="0"/>
    <w:pPr>
      <w:widowControl w:val="0"/>
      <w:spacing w:line="360" w:lineRule="auto"/>
      <w:ind w:firstLine="480" w:firstLineChars="200"/>
      <w:jc w:val="both"/>
    </w:pPr>
    <w:rPr>
      <w:rFonts w:ascii="Times New Roman" w:hAnsi="Times New Roman" w:cs="Times New Roman"/>
    </w:rPr>
  </w:style>
  <w:style w:type="paragraph" w:customStyle="1" w:styleId="2648">
    <w:name w:val="xl11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b/>
      <w:bCs/>
      <w:color w:val="FF0000"/>
      <w:sz w:val="21"/>
      <w:szCs w:val="21"/>
    </w:rPr>
  </w:style>
  <w:style w:type="paragraph" w:customStyle="1" w:styleId="2649">
    <w:name w:val="列表11"/>
    <w:basedOn w:val="1"/>
    <w:qFormat/>
    <w:uiPriority w:val="0"/>
    <w:pPr>
      <w:widowControl w:val="0"/>
      <w:jc w:val="center"/>
    </w:pPr>
    <w:rPr>
      <w:rFonts w:ascii="Times New Roman" w:hAnsi="Times New Roman" w:cs="Times New Roman"/>
      <w:sz w:val="21"/>
      <w:szCs w:val="20"/>
    </w:rPr>
  </w:style>
  <w:style w:type="paragraph" w:customStyle="1" w:styleId="2650">
    <w:name w:val="xl21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51">
    <w:name w:val="xl20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52">
    <w:name w:val="xl276"/>
    <w:basedOn w:val="1"/>
    <w:qFormat/>
    <w:uiPriority w:val="0"/>
    <w:pPr>
      <w:pBdr>
        <w:top w:val="single" w:color="auto" w:sz="4" w:space="0"/>
        <w:left w:val="single" w:color="auto" w:sz="4" w:space="0"/>
        <w:bottom w:val="single" w:color="auto" w:sz="4" w:space="0"/>
        <w:right w:val="single" w:color="auto" w:sz="4" w:space="0"/>
      </w:pBdr>
      <w:shd w:val="clear" w:color="auto" w:fill="00FFFF"/>
      <w:spacing w:before="100" w:beforeAutospacing="1" w:after="100" w:afterAutospacing="1"/>
    </w:pPr>
    <w:rPr>
      <w:sz w:val="20"/>
      <w:szCs w:val="20"/>
    </w:rPr>
  </w:style>
  <w:style w:type="paragraph" w:customStyle="1" w:styleId="2653">
    <w:name w:val="xl2137"/>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sz w:val="21"/>
      <w:szCs w:val="21"/>
    </w:rPr>
  </w:style>
  <w:style w:type="paragraph" w:customStyle="1" w:styleId="2654">
    <w:name w:val="xl24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55">
    <w:name w:val="样式 样式 首行缩进:  2 字符3 + 行距: 固定值 24 磅"/>
    <w:basedOn w:val="2656"/>
    <w:qFormat/>
    <w:uiPriority w:val="0"/>
    <w:pPr>
      <w:ind w:firstLine="560"/>
    </w:pPr>
  </w:style>
  <w:style w:type="paragraph" w:customStyle="1" w:styleId="2656">
    <w:name w:val="样式 首行缩进:  2 字符3"/>
    <w:basedOn w:val="1"/>
    <w:qFormat/>
    <w:uiPriority w:val="0"/>
    <w:pPr>
      <w:widowControl w:val="0"/>
      <w:adjustRightInd w:val="0"/>
      <w:snapToGrid w:val="0"/>
      <w:spacing w:line="500" w:lineRule="exact"/>
      <w:ind w:firstLine="200" w:firstLineChars="200"/>
      <w:jc w:val="both"/>
    </w:pPr>
    <w:rPr>
      <w:rFonts w:ascii="Times New Roman" w:hAnsi="Times New Roman"/>
      <w:sz w:val="28"/>
      <w:szCs w:val="20"/>
    </w:rPr>
  </w:style>
  <w:style w:type="paragraph" w:customStyle="1" w:styleId="2657">
    <w:name w:val="Char Char Char1 Char4"/>
    <w:basedOn w:val="1"/>
    <w:qFormat/>
    <w:uiPriority w:val="0"/>
    <w:pPr>
      <w:widowControl w:val="0"/>
      <w:adjustRightInd w:val="0"/>
      <w:spacing w:line="360" w:lineRule="auto"/>
      <w:jc w:val="both"/>
      <w:textAlignment w:val="baseline"/>
    </w:pPr>
    <w:rPr>
      <w:rFonts w:ascii="Times New Roman" w:hAnsi="Times New Roman" w:cs="Times New Roman"/>
    </w:rPr>
  </w:style>
  <w:style w:type="paragraph" w:customStyle="1" w:styleId="2658">
    <w:name w:val="索引 92"/>
    <w:basedOn w:val="1"/>
    <w:next w:val="1"/>
    <w:qFormat/>
    <w:uiPriority w:val="0"/>
    <w:pPr>
      <w:widowControl w:val="0"/>
      <w:ind w:left="1600" w:leftChars="1600"/>
      <w:jc w:val="both"/>
    </w:pPr>
    <w:rPr>
      <w:rFonts w:ascii="Times New Roman" w:hAnsi="Times New Roman" w:cs="Times New Roman"/>
      <w:kern w:val="2"/>
      <w:sz w:val="21"/>
    </w:rPr>
  </w:style>
  <w:style w:type="paragraph" w:customStyle="1" w:styleId="2659">
    <w:name w:val="bb"/>
    <w:basedOn w:val="1"/>
    <w:qFormat/>
    <w:uiPriority w:val="0"/>
    <w:pPr>
      <w:widowControl w:val="0"/>
      <w:adjustRightInd w:val="0"/>
      <w:spacing w:line="300" w:lineRule="auto"/>
      <w:jc w:val="both"/>
    </w:pPr>
    <w:rPr>
      <w:rFonts w:ascii="Times New Roman" w:hAnsi="Times New Roman" w:cs="Times New Roman"/>
      <w:kern w:val="2"/>
      <w:sz w:val="21"/>
    </w:rPr>
  </w:style>
  <w:style w:type="paragraph" w:customStyle="1" w:styleId="2660">
    <w:name w:val="xl1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61">
    <w:name w:val="xl295"/>
    <w:basedOn w:val="1"/>
    <w:qFormat/>
    <w:uiPriority w:val="0"/>
    <w:pPr>
      <w:pBdr>
        <w:left w:val="single" w:color="auto" w:sz="4" w:space="0"/>
        <w:bottom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662">
    <w:name w:val="xl2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63">
    <w:name w:val="xl2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64">
    <w:name w:val="xl266"/>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sz w:val="20"/>
      <w:szCs w:val="20"/>
    </w:rPr>
  </w:style>
  <w:style w:type="paragraph" w:customStyle="1" w:styleId="2665">
    <w:name w:val="xl20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66">
    <w:name w:val="表内文字（两端对齐）"/>
    <w:basedOn w:val="1"/>
    <w:next w:val="42"/>
    <w:qFormat/>
    <w:uiPriority w:val="0"/>
    <w:pPr>
      <w:widowControl w:val="0"/>
      <w:adjustRightInd w:val="0"/>
      <w:snapToGrid w:val="0"/>
      <w:jc w:val="both"/>
    </w:pPr>
    <w:rPr>
      <w:rFonts w:ascii="Times New Roman" w:hAnsi="Times New Roman" w:cs="Times New Roman"/>
      <w:sz w:val="21"/>
    </w:rPr>
  </w:style>
  <w:style w:type="paragraph" w:customStyle="1" w:styleId="2667">
    <w:name w:val="样式16"/>
    <w:basedOn w:val="465"/>
    <w:qFormat/>
    <w:uiPriority w:val="0"/>
    <w:pPr>
      <w:topLinePunct/>
      <w:adjustRightInd/>
      <w:spacing w:beforeLines="50" w:afterLines="30" w:line="240" w:lineRule="auto"/>
      <w:ind w:firstLine="0"/>
      <w:jc w:val="both"/>
      <w:textAlignment w:val="auto"/>
    </w:pPr>
    <w:rPr>
      <w:rFonts w:hint="eastAsia" w:hAnsi="黑体" w:eastAsia="方正楷体简体"/>
      <w:b/>
      <w:color w:val="000000"/>
      <w:kern w:val="2"/>
      <w:sz w:val="21"/>
      <w:szCs w:val="28"/>
    </w:rPr>
  </w:style>
  <w:style w:type="paragraph" w:customStyle="1" w:styleId="2668">
    <w:name w:val="msonormal"/>
    <w:basedOn w:val="1"/>
    <w:qFormat/>
    <w:uiPriority w:val="0"/>
    <w:pPr>
      <w:spacing w:before="100" w:beforeAutospacing="1" w:after="100" w:afterAutospacing="1"/>
    </w:pPr>
  </w:style>
  <w:style w:type="paragraph" w:customStyle="1" w:styleId="2669">
    <w:name w:val="文档结构图21"/>
    <w:basedOn w:val="1"/>
    <w:qFormat/>
    <w:uiPriority w:val="0"/>
    <w:pPr>
      <w:widowControl w:val="0"/>
      <w:shd w:val="clear" w:color="auto" w:fill="000080"/>
      <w:adjustRightInd w:val="0"/>
      <w:snapToGrid w:val="0"/>
      <w:spacing w:line="480" w:lineRule="exact"/>
      <w:ind w:firstLine="560" w:firstLineChars="200"/>
      <w:jc w:val="both"/>
    </w:pPr>
    <w:rPr>
      <w:rFonts w:ascii="Times New Roman" w:hAnsi="Times New Roman" w:cs="Times New Roman"/>
      <w:sz w:val="28"/>
    </w:rPr>
  </w:style>
  <w:style w:type="paragraph" w:customStyle="1" w:styleId="2670">
    <w:name w:val="标题4  1）"/>
    <w:basedOn w:val="42"/>
    <w:qFormat/>
    <w:uiPriority w:val="0"/>
    <w:pPr>
      <w:widowControl w:val="0"/>
      <w:spacing w:line="360" w:lineRule="auto"/>
      <w:jc w:val="both"/>
    </w:pPr>
    <w:rPr>
      <w:rFonts w:eastAsia="楷体_GB2312"/>
      <w:sz w:val="24"/>
      <w:szCs w:val="20"/>
    </w:rPr>
  </w:style>
  <w:style w:type="paragraph" w:customStyle="1" w:styleId="2671">
    <w:name w:val="列表21"/>
    <w:basedOn w:val="1"/>
    <w:qFormat/>
    <w:uiPriority w:val="0"/>
    <w:pPr>
      <w:widowControl w:val="0"/>
      <w:spacing w:beforeLines="50"/>
      <w:jc w:val="right"/>
    </w:pPr>
    <w:rPr>
      <w:rFonts w:ascii="Times New Roman" w:hAnsi="Times New Roman" w:eastAsia="黑体" w:cs="Times New Roman"/>
      <w:kern w:val="2"/>
    </w:rPr>
  </w:style>
  <w:style w:type="paragraph" w:customStyle="1" w:styleId="2672">
    <w:name w:val="xl20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73">
    <w:name w:val="xl188"/>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sz w:val="20"/>
      <w:szCs w:val="20"/>
    </w:rPr>
  </w:style>
  <w:style w:type="paragraph" w:customStyle="1" w:styleId="2674">
    <w:name w:val="索引 611"/>
    <w:basedOn w:val="1"/>
    <w:next w:val="1"/>
    <w:qFormat/>
    <w:uiPriority w:val="0"/>
    <w:pPr>
      <w:widowControl w:val="0"/>
      <w:spacing w:line="480" w:lineRule="exact"/>
      <w:ind w:left="1000" w:leftChars="1000"/>
      <w:jc w:val="both"/>
    </w:pPr>
    <w:rPr>
      <w:rFonts w:ascii="Times New Roman" w:hAnsi="Times New Roman" w:cs="Times New Roman"/>
      <w:kern w:val="2"/>
    </w:rPr>
  </w:style>
  <w:style w:type="paragraph" w:customStyle="1" w:styleId="2675">
    <w:name w:val="索引 811"/>
    <w:basedOn w:val="1"/>
    <w:next w:val="1"/>
    <w:qFormat/>
    <w:uiPriority w:val="0"/>
    <w:pPr>
      <w:widowControl w:val="0"/>
      <w:spacing w:line="480" w:lineRule="exact"/>
      <w:ind w:left="1400" w:leftChars="1400"/>
      <w:jc w:val="both"/>
    </w:pPr>
    <w:rPr>
      <w:rFonts w:ascii="Times New Roman" w:hAnsi="Times New Roman" w:cs="Times New Roman"/>
      <w:kern w:val="2"/>
    </w:rPr>
  </w:style>
  <w:style w:type="paragraph" w:customStyle="1" w:styleId="2676">
    <w:name w:val="xl317"/>
    <w:basedOn w:val="1"/>
    <w:qFormat/>
    <w:uiPriority w:val="0"/>
    <w:pPr>
      <w:pBdr>
        <w:bottom w:val="single" w:color="auto" w:sz="4" w:space="0"/>
        <w:right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677">
    <w:name w:val="xl2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78">
    <w:name w:val="xl29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CC"/>
      <w:sz w:val="20"/>
      <w:szCs w:val="20"/>
    </w:rPr>
  </w:style>
  <w:style w:type="paragraph" w:customStyle="1" w:styleId="2679">
    <w:name w:val="样式 标题 5 + 首行缩进:  2 字符1"/>
    <w:basedOn w:val="9"/>
    <w:qFormat/>
    <w:uiPriority w:val="0"/>
    <w:pPr>
      <w:keepNext w:val="0"/>
      <w:keepLines w:val="0"/>
      <w:tabs>
        <w:tab w:val="left" w:pos="1260"/>
      </w:tabs>
      <w:topLinePunct w:val="0"/>
      <w:adjustRightInd w:val="0"/>
      <w:snapToGrid w:val="0"/>
      <w:spacing w:before="0" w:after="0" w:line="480" w:lineRule="exact"/>
      <w:ind w:firstLine="562"/>
      <w:jc w:val="both"/>
    </w:pPr>
    <w:rPr>
      <w:rFonts w:ascii="Times New Roman" w:cs="宋体"/>
      <w:color w:val="000000"/>
      <w:szCs w:val="20"/>
    </w:rPr>
  </w:style>
  <w:style w:type="paragraph" w:customStyle="1" w:styleId="2680">
    <w:name w:val="WPSOffice手动目录 3"/>
    <w:qFormat/>
    <w:uiPriority w:val="0"/>
    <w:pPr>
      <w:ind w:left="400" w:leftChars="400"/>
    </w:pPr>
    <w:rPr>
      <w:rFonts w:ascii="Calibri" w:hAnsi="Calibri" w:eastAsia="宋体" w:cs="Times New Roman"/>
      <w:lang w:val="en-US" w:eastAsia="zh-CN" w:bidi="ar-SA"/>
    </w:rPr>
  </w:style>
  <w:style w:type="paragraph" w:customStyle="1" w:styleId="2681">
    <w:name w:val="xl256"/>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682">
    <w:name w:val="xl24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83">
    <w:name w:val="xl269"/>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sz w:val="20"/>
      <w:szCs w:val="20"/>
    </w:rPr>
  </w:style>
  <w:style w:type="paragraph" w:customStyle="1" w:styleId="2684">
    <w:name w:val="xl2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85">
    <w:name w:val="xl2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86">
    <w:name w:val="样式 非加粗 首行缩进:  1.01 厘米"/>
    <w:basedOn w:val="1"/>
    <w:qFormat/>
    <w:uiPriority w:val="0"/>
    <w:pPr>
      <w:widowControl w:val="0"/>
      <w:spacing w:line="440" w:lineRule="exact"/>
      <w:ind w:firstLine="560" w:firstLineChars="200"/>
      <w:jc w:val="center"/>
    </w:pPr>
    <w:rPr>
      <w:color w:val="000000"/>
      <w:kern w:val="2"/>
      <w:sz w:val="28"/>
      <w:szCs w:val="20"/>
    </w:rPr>
  </w:style>
  <w:style w:type="paragraph" w:customStyle="1" w:styleId="2687">
    <w:name w:val="xl299"/>
    <w:basedOn w:val="1"/>
    <w:qFormat/>
    <w:uiPriority w:val="0"/>
    <w:pPr>
      <w:pBdr>
        <w:left w:val="single" w:color="auto" w:sz="4" w:space="0"/>
        <w:bottom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688">
    <w:name w:val="xl300"/>
    <w:basedOn w:val="1"/>
    <w:qFormat/>
    <w:uiPriority w:val="0"/>
    <w:pPr>
      <w:shd w:val="clear" w:color="auto" w:fill="FF8080"/>
      <w:spacing w:before="100" w:beforeAutospacing="1" w:after="100" w:afterAutospacing="1"/>
      <w:jc w:val="center"/>
    </w:pPr>
    <w:rPr>
      <w:rFonts w:ascii="方正综艺简体" w:eastAsia="方正综艺简体"/>
      <w:sz w:val="20"/>
      <w:szCs w:val="20"/>
    </w:rPr>
  </w:style>
  <w:style w:type="paragraph" w:customStyle="1" w:styleId="2689">
    <w:name w:val="列表 211"/>
    <w:basedOn w:val="1"/>
    <w:qFormat/>
    <w:uiPriority w:val="0"/>
    <w:pPr>
      <w:widowControl w:val="0"/>
      <w:spacing w:line="480" w:lineRule="exact"/>
      <w:ind w:left="840" w:hanging="420"/>
      <w:jc w:val="both"/>
    </w:pPr>
    <w:rPr>
      <w:rFonts w:ascii="Times New Roman" w:hAnsi="Times New Roman" w:cs="Times New Roman"/>
      <w:kern w:val="2"/>
      <w:szCs w:val="20"/>
    </w:rPr>
  </w:style>
  <w:style w:type="paragraph" w:customStyle="1" w:styleId="2690">
    <w:name w:val="xl287"/>
    <w:basedOn w:val="1"/>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691">
    <w:name w:val="索引 411"/>
    <w:basedOn w:val="1"/>
    <w:next w:val="1"/>
    <w:qFormat/>
    <w:uiPriority w:val="0"/>
    <w:pPr>
      <w:widowControl w:val="0"/>
      <w:spacing w:line="480" w:lineRule="exact"/>
      <w:ind w:left="600" w:leftChars="600"/>
      <w:jc w:val="both"/>
    </w:pPr>
    <w:rPr>
      <w:rFonts w:ascii="Times New Roman" w:hAnsi="Times New Roman" w:cs="Times New Roman"/>
      <w:kern w:val="2"/>
    </w:rPr>
  </w:style>
  <w:style w:type="paragraph" w:customStyle="1" w:styleId="2692">
    <w:name w:val="xl302"/>
    <w:basedOn w:val="1"/>
    <w:qFormat/>
    <w:uiPriority w:val="0"/>
    <w:pPr>
      <w:pBdr>
        <w:top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693">
    <w:name w:val="xl289"/>
    <w:basedOn w:val="1"/>
    <w:qFormat/>
    <w:uiPriority w:val="0"/>
    <w:pPr>
      <w:pBdr>
        <w:left w:val="single" w:color="auto" w:sz="4" w:space="0"/>
        <w:bottom w:val="single" w:color="auto" w:sz="4" w:space="0"/>
        <w:right w:val="single" w:color="auto" w:sz="4" w:space="0"/>
      </w:pBdr>
      <w:spacing w:before="100" w:beforeAutospacing="1" w:after="100" w:afterAutospacing="1"/>
    </w:pPr>
    <w:rPr>
      <w:color w:val="0000FF"/>
      <w:sz w:val="20"/>
      <w:szCs w:val="20"/>
    </w:rPr>
  </w:style>
  <w:style w:type="paragraph" w:customStyle="1" w:styleId="2694">
    <w:name w:val="xl290"/>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695">
    <w:name w:val="xl307"/>
    <w:basedOn w:val="1"/>
    <w:qFormat/>
    <w:uiPriority w:val="0"/>
    <w:pPr>
      <w:pBdr>
        <w:top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696">
    <w:name w:val="封面项目名称"/>
    <w:basedOn w:val="1"/>
    <w:next w:val="1"/>
    <w:qFormat/>
    <w:uiPriority w:val="0"/>
    <w:pPr>
      <w:widowControl w:val="0"/>
      <w:adjustRightInd w:val="0"/>
      <w:snapToGrid w:val="0"/>
      <w:spacing w:line="360" w:lineRule="auto"/>
      <w:jc w:val="center"/>
    </w:pPr>
    <w:rPr>
      <w:rFonts w:ascii="Times New Roman" w:hAnsi="Times New Roman" w:eastAsia="黑体" w:cs="Times New Roman"/>
      <w:kern w:val="2"/>
      <w:sz w:val="36"/>
      <w:szCs w:val="20"/>
    </w:rPr>
  </w:style>
  <w:style w:type="paragraph" w:customStyle="1" w:styleId="2697">
    <w:name w:val="公司名称及日期"/>
    <w:basedOn w:val="1"/>
    <w:next w:val="1"/>
    <w:qFormat/>
    <w:uiPriority w:val="0"/>
    <w:pPr>
      <w:widowControl w:val="0"/>
      <w:adjustRightInd w:val="0"/>
      <w:snapToGrid w:val="0"/>
      <w:spacing w:line="360" w:lineRule="auto"/>
      <w:ind w:left="567"/>
      <w:jc w:val="center"/>
    </w:pPr>
    <w:rPr>
      <w:rFonts w:ascii="Times New Roman" w:hAnsi="Times New Roman" w:eastAsia="楷体_GB2312" w:cs="Times New Roman"/>
      <w:kern w:val="2"/>
      <w:sz w:val="32"/>
      <w:szCs w:val="20"/>
    </w:rPr>
  </w:style>
  <w:style w:type="paragraph" w:customStyle="1" w:styleId="2698">
    <w:name w:val="Char Char2 Char Char Char Char Char Char Char Char Char Char Char Char Char Char Char Char Char Char Char Char Char Char Char Char Char Char Char"/>
    <w:basedOn w:val="1"/>
    <w:qFormat/>
    <w:uiPriority w:val="0"/>
    <w:pPr>
      <w:widowControl w:val="0"/>
      <w:jc w:val="both"/>
    </w:pPr>
    <w:rPr>
      <w:rFonts w:ascii="Times New Roman" w:hAnsi="Times New Roman" w:cs="Times New Roman"/>
      <w:kern w:val="2"/>
    </w:rPr>
  </w:style>
  <w:style w:type="paragraph" w:customStyle="1" w:styleId="2699">
    <w:name w:val="Char Char2 Char Char Char Char Char Char Char Char Char Char Char Char Char Char Char Char Char Char Char Char Char Char Char Char Char Char Char1"/>
    <w:basedOn w:val="1"/>
    <w:qFormat/>
    <w:uiPriority w:val="0"/>
    <w:pPr>
      <w:widowControl w:val="0"/>
      <w:jc w:val="both"/>
    </w:pPr>
    <w:rPr>
      <w:rFonts w:ascii="Times New Roman" w:hAnsi="Times New Roman" w:eastAsia="Arial" w:cs="Times New Roman"/>
      <w:kern w:val="2"/>
      <w:sz w:val="21"/>
    </w:rPr>
  </w:style>
  <w:style w:type="paragraph" w:customStyle="1" w:styleId="2700">
    <w:name w:val="Char1 Char Char Char4"/>
    <w:basedOn w:val="1"/>
    <w:qFormat/>
    <w:uiPriority w:val="0"/>
    <w:pPr>
      <w:widowControl w:val="0"/>
      <w:jc w:val="both"/>
    </w:pPr>
    <w:rPr>
      <w:rFonts w:ascii="Times New Roman" w:hAnsi="Times New Roman" w:cs="Times New Roman"/>
      <w:kern w:val="2"/>
      <w:sz w:val="21"/>
    </w:rPr>
  </w:style>
  <w:style w:type="paragraph" w:customStyle="1" w:styleId="2701">
    <w:name w:val="正文六级"/>
    <w:basedOn w:val="1"/>
    <w:qFormat/>
    <w:uiPriority w:val="0"/>
    <w:pPr>
      <w:widowControl w:val="0"/>
      <w:tabs>
        <w:tab w:val="left" w:pos="620"/>
      </w:tabs>
      <w:spacing w:line="480" w:lineRule="exact"/>
      <w:ind w:left="620" w:hanging="420"/>
      <w:outlineLvl w:val="5"/>
    </w:pPr>
    <w:rPr>
      <w:rFonts w:ascii="Times New Roman" w:hAnsi="Times New Roman" w:cs="Times New Roman"/>
      <w:b/>
      <w:kern w:val="2"/>
      <w:sz w:val="28"/>
      <w:szCs w:val="28"/>
    </w:rPr>
  </w:style>
  <w:style w:type="paragraph" w:customStyle="1" w:styleId="2702">
    <w:name w:val="样式 样式 首行缩进:  2 字符3 + 首行缩进:  2 字符"/>
    <w:basedOn w:val="1"/>
    <w:qFormat/>
    <w:uiPriority w:val="0"/>
    <w:pPr>
      <w:adjustRightInd w:val="0"/>
      <w:snapToGrid w:val="0"/>
      <w:spacing w:line="480" w:lineRule="exact"/>
      <w:ind w:firstLine="560" w:firstLineChars="200"/>
      <w:jc w:val="both"/>
    </w:pPr>
    <w:rPr>
      <w:rFonts w:ascii="Times New Roman" w:hAnsi="Times New Roman" w:cs="Times New Roman"/>
      <w:sz w:val="28"/>
      <w:szCs w:val="20"/>
    </w:rPr>
  </w:style>
  <w:style w:type="paragraph" w:customStyle="1" w:styleId="2703">
    <w:name w:val="0表内字"/>
    <w:basedOn w:val="1"/>
    <w:qFormat/>
    <w:uiPriority w:val="0"/>
    <w:pPr>
      <w:widowControl w:val="0"/>
      <w:adjustRightInd w:val="0"/>
      <w:snapToGrid w:val="0"/>
    </w:pPr>
    <w:rPr>
      <w:kern w:val="2"/>
      <w:sz w:val="21"/>
    </w:rPr>
  </w:style>
  <w:style w:type="paragraph" w:customStyle="1" w:styleId="2704">
    <w:name w:val="样式 Times 四号 行距: 固定值 22 磅"/>
    <w:basedOn w:val="1"/>
    <w:qFormat/>
    <w:uiPriority w:val="0"/>
    <w:pPr>
      <w:widowControl w:val="0"/>
      <w:spacing w:line="520" w:lineRule="exact"/>
      <w:ind w:firstLine="538" w:firstLineChars="192"/>
      <w:jc w:val="both"/>
    </w:pPr>
    <w:rPr>
      <w:rFonts w:ascii="Times" w:hAnsi="Times" w:cs="Times New Roman"/>
      <w:color w:val="000000"/>
      <w:kern w:val="2"/>
      <w:sz w:val="28"/>
      <w:szCs w:val="28"/>
    </w:rPr>
  </w:style>
  <w:style w:type="paragraph" w:customStyle="1" w:styleId="2705">
    <w:name w:val="Char6"/>
    <w:basedOn w:val="1"/>
    <w:next w:val="1560"/>
    <w:qFormat/>
    <w:uiPriority w:val="0"/>
    <w:pPr>
      <w:widowControl w:val="0"/>
      <w:spacing w:line="360" w:lineRule="auto"/>
      <w:ind w:firstLine="480" w:firstLineChars="200"/>
      <w:jc w:val="both"/>
    </w:pPr>
    <w:rPr>
      <w:rFonts w:ascii="Times New Roman" w:hAnsi="Times New Roman" w:cs="Times New Roman"/>
    </w:rPr>
  </w:style>
  <w:style w:type="paragraph" w:customStyle="1" w:styleId="2706">
    <w:name w:val="样式 标题 3 + 首行缩进:  2 字符"/>
    <w:basedOn w:val="7"/>
    <w:qFormat/>
    <w:uiPriority w:val="0"/>
    <w:pPr>
      <w:widowControl w:val="0"/>
      <w:spacing w:before="260" w:after="260" w:line="240" w:lineRule="auto"/>
      <w:ind w:left="358" w:leftChars="75" w:hanging="178" w:hangingChars="74"/>
    </w:pPr>
    <w:rPr>
      <w:rFonts w:eastAsia="宋体" w:cs="宋体"/>
      <w:b/>
      <w:kern w:val="2"/>
      <w:sz w:val="24"/>
      <w:szCs w:val="20"/>
    </w:rPr>
  </w:style>
  <w:style w:type="paragraph" w:customStyle="1" w:styleId="2707">
    <w:name w:val="b"/>
    <w:basedOn w:val="1"/>
    <w:qFormat/>
    <w:uiPriority w:val="0"/>
    <w:pPr>
      <w:widowControl w:val="0"/>
      <w:spacing w:line="360" w:lineRule="auto"/>
      <w:jc w:val="center"/>
      <w:outlineLvl w:val="0"/>
    </w:pPr>
    <w:rPr>
      <w:rFonts w:ascii="Times New Roman" w:hAnsi="Times New Roman" w:eastAsia="黑体" w:cs="Times New Roman"/>
      <w:kern w:val="10"/>
      <w:szCs w:val="20"/>
    </w:rPr>
  </w:style>
  <w:style w:type="paragraph" w:customStyle="1" w:styleId="2708">
    <w:name w:val="索引 72"/>
    <w:basedOn w:val="1"/>
    <w:next w:val="1"/>
    <w:qFormat/>
    <w:uiPriority w:val="0"/>
    <w:pPr>
      <w:widowControl w:val="0"/>
      <w:spacing w:line="480" w:lineRule="exact"/>
      <w:ind w:left="1200" w:leftChars="1200"/>
      <w:jc w:val="both"/>
    </w:pPr>
    <w:rPr>
      <w:rFonts w:ascii="Times New Roman" w:hAnsi="Times New Roman" w:cs="Times New Roman"/>
      <w:kern w:val="2"/>
    </w:rPr>
  </w:style>
  <w:style w:type="paragraph" w:customStyle="1" w:styleId="2709">
    <w:name w:val="索引标题2"/>
    <w:basedOn w:val="1"/>
    <w:next w:val="2568"/>
    <w:qFormat/>
    <w:uiPriority w:val="0"/>
    <w:pPr>
      <w:widowControl w:val="0"/>
      <w:spacing w:line="480" w:lineRule="exact"/>
      <w:jc w:val="both"/>
    </w:pPr>
    <w:rPr>
      <w:rFonts w:ascii="Arial" w:hAnsi="Arial" w:cs="Arial"/>
      <w:b/>
      <w:bCs/>
      <w:kern w:val="2"/>
    </w:rPr>
  </w:style>
  <w:style w:type="paragraph" w:customStyle="1" w:styleId="2710">
    <w:name w:val="引文目录2"/>
    <w:basedOn w:val="1"/>
    <w:next w:val="1"/>
    <w:qFormat/>
    <w:uiPriority w:val="0"/>
    <w:pPr>
      <w:widowControl w:val="0"/>
      <w:spacing w:line="480" w:lineRule="exact"/>
      <w:ind w:left="420" w:leftChars="200"/>
      <w:jc w:val="both"/>
    </w:pPr>
    <w:rPr>
      <w:rFonts w:ascii="Times New Roman" w:hAnsi="Times New Roman" w:cs="Times New Roman"/>
      <w:kern w:val="2"/>
    </w:rPr>
  </w:style>
  <w:style w:type="paragraph" w:customStyle="1" w:styleId="2711">
    <w:name w:val="样式 样式 表头 + 左侧:  0.99 字符 + 首行缩进:  3.19 厘米"/>
    <w:basedOn w:val="2501"/>
    <w:qFormat/>
    <w:uiPriority w:val="0"/>
    <w:pPr>
      <w:ind w:left="200" w:leftChars="200"/>
    </w:pPr>
  </w:style>
  <w:style w:type="paragraph" w:customStyle="1" w:styleId="2712">
    <w:name w:val="xl126"/>
    <w:basedOn w:val="1"/>
    <w:qFormat/>
    <w:uiPriority w:val="0"/>
    <w:pPr>
      <w:spacing w:before="100" w:beforeAutospacing="1" w:after="100" w:afterAutospacing="1"/>
    </w:pPr>
  </w:style>
  <w:style w:type="paragraph" w:customStyle="1" w:styleId="2713">
    <w:name w:val="xl1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000000"/>
      <w:sz w:val="21"/>
      <w:szCs w:val="21"/>
    </w:rPr>
  </w:style>
  <w:style w:type="paragraph" w:customStyle="1" w:styleId="2714">
    <w:name w:val="xl1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2"/>
      <w:szCs w:val="22"/>
    </w:rPr>
  </w:style>
  <w:style w:type="paragraph" w:customStyle="1" w:styleId="2715">
    <w:name w:val="xl2127"/>
    <w:basedOn w:val="1"/>
    <w:qFormat/>
    <w:uiPriority w:val="0"/>
    <w:pPr>
      <w:spacing w:before="100" w:beforeAutospacing="1" w:after="100" w:afterAutospacing="1"/>
      <w:jc w:val="center"/>
    </w:pPr>
  </w:style>
  <w:style w:type="paragraph" w:customStyle="1" w:styleId="2716">
    <w:name w:val="xl2150"/>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rPr>
  </w:style>
  <w:style w:type="paragraph" w:customStyle="1" w:styleId="2717">
    <w:name w:val="正文-表头"/>
    <w:basedOn w:val="1"/>
    <w:qFormat/>
    <w:uiPriority w:val="0"/>
    <w:pPr>
      <w:widowControl w:val="0"/>
      <w:adjustRightInd w:val="0"/>
      <w:snapToGrid w:val="0"/>
      <w:spacing w:beforeLines="50" w:afterLines="50"/>
      <w:jc w:val="center"/>
    </w:pPr>
    <w:rPr>
      <w:rFonts w:ascii="黑体" w:hAnsi="Times New Roman" w:eastAsia="黑体" w:cs="Times New Roman"/>
      <w:kern w:val="2"/>
      <w:sz w:val="21"/>
    </w:rPr>
  </w:style>
  <w:style w:type="paragraph" w:customStyle="1" w:styleId="2718">
    <w:name w:val="xl2149"/>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right"/>
    </w:pPr>
  </w:style>
  <w:style w:type="paragraph" w:customStyle="1" w:styleId="2719">
    <w:name w:val="xl215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sz w:val="21"/>
      <w:szCs w:val="21"/>
    </w:rPr>
  </w:style>
  <w:style w:type="paragraph" w:customStyle="1" w:styleId="2720">
    <w:name w:val="xl215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color w:val="FF0000"/>
      <w:sz w:val="21"/>
      <w:szCs w:val="21"/>
    </w:rPr>
  </w:style>
  <w:style w:type="paragraph" w:customStyle="1" w:styleId="2721">
    <w:name w:val="样式 标题 5 + 首行缩进:  2 字符"/>
    <w:basedOn w:val="9"/>
    <w:qFormat/>
    <w:uiPriority w:val="0"/>
    <w:pPr>
      <w:keepNext w:val="0"/>
      <w:keepLines w:val="0"/>
      <w:tabs>
        <w:tab w:val="left" w:pos="1260"/>
      </w:tabs>
      <w:topLinePunct w:val="0"/>
      <w:adjustRightInd w:val="0"/>
      <w:snapToGrid w:val="0"/>
      <w:spacing w:before="0" w:after="0" w:line="480" w:lineRule="exact"/>
      <w:ind w:firstLine="560"/>
      <w:jc w:val="both"/>
      <w:outlineLvl w:val="9"/>
    </w:pPr>
    <w:rPr>
      <w:rFonts w:ascii="宋体" w:hAnsi="宋体" w:eastAsia="宋体" w:cs="宋体"/>
      <w:b w:val="0"/>
    </w:rPr>
  </w:style>
  <w:style w:type="paragraph" w:customStyle="1" w:styleId="2722">
    <w:name w:val="图片，环保"/>
    <w:basedOn w:val="1"/>
    <w:qFormat/>
    <w:uiPriority w:val="0"/>
    <w:pPr>
      <w:widowControl w:val="0"/>
      <w:jc w:val="center"/>
    </w:pPr>
    <w:rPr>
      <w:rFonts w:cs="Times New Roman"/>
      <w:szCs w:val="20"/>
    </w:rPr>
  </w:style>
  <w:style w:type="paragraph" w:customStyle="1" w:styleId="2723">
    <w:name w:val="图名，环保"/>
    <w:basedOn w:val="1"/>
    <w:next w:val="1"/>
    <w:qFormat/>
    <w:uiPriority w:val="0"/>
    <w:pPr>
      <w:widowControl w:val="0"/>
      <w:spacing w:line="300" w:lineRule="auto"/>
      <w:jc w:val="center"/>
    </w:pPr>
    <w:rPr>
      <w:rFonts w:cs="Times New Roman"/>
      <w:b/>
      <w:szCs w:val="20"/>
    </w:rPr>
  </w:style>
  <w:style w:type="paragraph" w:customStyle="1" w:styleId="2724">
    <w:name w:val="Char Char Char Char Char Char Char Char1"/>
    <w:basedOn w:val="1"/>
    <w:qFormat/>
    <w:uiPriority w:val="0"/>
    <w:pPr>
      <w:spacing w:after="160" w:line="240" w:lineRule="exact"/>
    </w:pPr>
    <w:rPr>
      <w:rFonts w:ascii="Verdana" w:hAnsi="Verdana" w:cs="Times New Roman"/>
      <w:sz w:val="20"/>
      <w:szCs w:val="20"/>
      <w:lang w:eastAsia="en-US"/>
    </w:rPr>
  </w:style>
  <w:style w:type="paragraph" w:customStyle="1" w:styleId="2725">
    <w:name w:val="纯文本11"/>
    <w:basedOn w:val="1"/>
    <w:qFormat/>
    <w:uiPriority w:val="0"/>
    <w:pPr>
      <w:widowControl w:val="0"/>
      <w:jc w:val="both"/>
    </w:pPr>
    <w:rPr>
      <w:rFonts w:hAnsi="Courier New" w:cs="Times New Roman"/>
      <w:kern w:val="2"/>
      <w:sz w:val="21"/>
      <w:szCs w:val="20"/>
    </w:rPr>
  </w:style>
  <w:style w:type="paragraph" w:customStyle="1" w:styleId="2726">
    <w:name w:val="WW-纯文本"/>
    <w:basedOn w:val="1"/>
    <w:qFormat/>
    <w:uiPriority w:val="0"/>
    <w:pPr>
      <w:widowControl w:val="0"/>
      <w:suppressAutoHyphens/>
      <w:spacing w:line="312" w:lineRule="atLeast"/>
      <w:jc w:val="both"/>
      <w:textAlignment w:val="baseline"/>
    </w:pPr>
    <w:rPr>
      <w:rFonts w:eastAsia="楷体_GB2312" w:cs="Courier New"/>
      <w:kern w:val="2"/>
      <w:sz w:val="21"/>
      <w:szCs w:val="21"/>
    </w:rPr>
  </w:style>
  <w:style w:type="character" w:customStyle="1" w:styleId="2727">
    <w:name w:val="批注文字 Char3"/>
    <w:qFormat/>
    <w:uiPriority w:val="99"/>
    <w:rPr>
      <w:kern w:val="2"/>
      <w:sz w:val="21"/>
      <w:szCs w:val="24"/>
    </w:rPr>
  </w:style>
  <w:style w:type="character" w:customStyle="1" w:styleId="2728">
    <w:name w:val="正文文本首行缩进 2 字符"/>
    <w:qFormat/>
    <w:uiPriority w:val="0"/>
    <w:rPr>
      <w:rFonts w:ascii="宋体" w:hAnsi="Arial"/>
      <w:snapToGrid/>
      <w:kern w:val="2"/>
      <w:sz w:val="28"/>
      <w:szCs w:val="24"/>
    </w:rPr>
  </w:style>
  <w:style w:type="character" w:customStyle="1" w:styleId="2729">
    <w:name w:val="正文文本首行缩进 字符1"/>
    <w:qFormat/>
    <w:uiPriority w:val="0"/>
    <w:rPr>
      <w:kern w:val="2"/>
      <w:sz w:val="21"/>
      <w:szCs w:val="24"/>
    </w:rPr>
  </w:style>
  <w:style w:type="paragraph" w:customStyle="1" w:styleId="2730">
    <w:name w:val="正文文本 26"/>
    <w:basedOn w:val="1"/>
    <w:qFormat/>
    <w:uiPriority w:val="0"/>
    <w:pPr>
      <w:widowControl w:val="0"/>
      <w:adjustRightInd w:val="0"/>
      <w:jc w:val="center"/>
      <w:textAlignment w:val="baseline"/>
    </w:pPr>
    <w:rPr>
      <w:rFonts w:ascii="Arial" w:hAnsi="Arial" w:eastAsia="Arial" w:cs="Times New Roman"/>
      <w:kern w:val="2"/>
      <w:sz w:val="21"/>
      <w:szCs w:val="20"/>
    </w:rPr>
  </w:style>
  <w:style w:type="character" w:customStyle="1" w:styleId="2731">
    <w:name w:val="环保表内字（五号） Char"/>
    <w:qFormat/>
    <w:uiPriority w:val="0"/>
    <w:rPr>
      <w:rFonts w:hint="default" w:ascii="Times New Roman" w:hAnsi="Times New Roman" w:cs="Times New Roman"/>
      <w:snapToGrid/>
      <w:sz w:val="21"/>
    </w:rPr>
  </w:style>
  <w:style w:type="paragraph" w:customStyle="1" w:styleId="2732">
    <w:name w:val="Char Char Char3"/>
    <w:basedOn w:val="1"/>
    <w:qFormat/>
    <w:uiPriority w:val="0"/>
    <w:pPr>
      <w:widowControl w:val="0"/>
      <w:jc w:val="both"/>
    </w:pPr>
    <w:rPr>
      <w:rFonts w:ascii="Tahoma" w:hAnsi="Tahoma" w:eastAsia="黑体" w:cs="Times New Roman"/>
      <w:kern w:val="2"/>
      <w:sz w:val="28"/>
      <w:szCs w:val="28"/>
    </w:rPr>
  </w:style>
  <w:style w:type="paragraph" w:customStyle="1" w:styleId="2733">
    <w:name w:val="O.K. 表格内"/>
    <w:basedOn w:val="42"/>
    <w:qFormat/>
    <w:uiPriority w:val="0"/>
    <w:pPr>
      <w:adjustRightInd w:val="0"/>
      <w:snapToGrid w:val="0"/>
      <w:jc w:val="center"/>
    </w:pPr>
  </w:style>
  <w:style w:type="paragraph" w:customStyle="1" w:styleId="2734">
    <w:name w:val="样式 样式 样式 样式 样式 正文文本 + (中文) 宋体 + 首行缩进:  2 字符 + 首行缩进:  2 字符 + (中文)..."/>
    <w:basedOn w:val="1"/>
    <w:qFormat/>
    <w:uiPriority w:val="0"/>
    <w:pPr>
      <w:adjustRightInd w:val="0"/>
      <w:snapToGrid w:val="0"/>
      <w:spacing w:line="360" w:lineRule="auto"/>
      <w:ind w:firstLine="560" w:firstLineChars="200"/>
    </w:pPr>
    <w:rPr>
      <w:sz w:val="28"/>
      <w:szCs w:val="28"/>
    </w:rPr>
  </w:style>
  <w:style w:type="paragraph" w:customStyle="1" w:styleId="2735">
    <w:name w:val="样式 正文文本 + (中文) 宋体"/>
    <w:qFormat/>
    <w:uiPriority w:val="0"/>
    <w:pPr>
      <w:adjustRightInd w:val="0"/>
      <w:snapToGrid w:val="0"/>
      <w:spacing w:line="360" w:lineRule="auto"/>
      <w:ind w:firstLine="200" w:firstLineChars="200"/>
      <w:jc w:val="both"/>
    </w:pPr>
    <w:rPr>
      <w:rFonts w:ascii="宋体" w:hAnsi="宋体" w:eastAsia="宋体" w:cs="宋体"/>
      <w:sz w:val="28"/>
      <w:szCs w:val="28"/>
      <w:lang w:val="en-US" w:eastAsia="zh-CN" w:bidi="ar-SA"/>
    </w:rPr>
  </w:style>
  <w:style w:type="paragraph" w:customStyle="1" w:styleId="2736">
    <w:name w:val="样式 正文11 + 首行缩进:  2 字符"/>
    <w:basedOn w:val="2737"/>
    <w:qFormat/>
    <w:uiPriority w:val="0"/>
    <w:pPr>
      <w:ind w:firstLine="560" w:firstLineChars="200"/>
    </w:pPr>
    <w:rPr>
      <w:color w:val="FF0000"/>
      <w:szCs w:val="20"/>
    </w:rPr>
  </w:style>
  <w:style w:type="paragraph" w:customStyle="1" w:styleId="2737">
    <w:name w:val="O.K.1"/>
    <w:basedOn w:val="5"/>
    <w:qFormat/>
    <w:uiPriority w:val="0"/>
    <w:pPr>
      <w:ind w:firstLine="482"/>
    </w:pPr>
  </w:style>
  <w:style w:type="paragraph" w:customStyle="1" w:styleId="2738">
    <w:name w:val="Body text|1"/>
    <w:basedOn w:val="1"/>
    <w:qFormat/>
    <w:uiPriority w:val="0"/>
    <w:pPr>
      <w:widowControl w:val="0"/>
      <w:spacing w:line="449" w:lineRule="auto"/>
      <w:ind w:firstLine="400"/>
    </w:pPr>
    <w:rPr>
      <w:sz w:val="22"/>
      <w:szCs w:val="22"/>
      <w:lang w:val="zh-TW" w:eastAsia="zh-TW" w:bidi="zh-TW"/>
    </w:rPr>
  </w:style>
  <w:style w:type="paragraph" w:customStyle="1" w:styleId="2739">
    <w:name w:val="正文文本 27"/>
    <w:basedOn w:val="1"/>
    <w:qFormat/>
    <w:uiPriority w:val="0"/>
    <w:pPr>
      <w:widowControl w:val="0"/>
      <w:adjustRightInd w:val="0"/>
      <w:jc w:val="center"/>
      <w:textAlignment w:val="baseline"/>
    </w:pPr>
    <w:rPr>
      <w:rFonts w:ascii="Arial" w:hAnsi="Arial" w:eastAsia="Arial" w:cs="Times New Roman"/>
      <w:kern w:val="2"/>
      <w:sz w:val="21"/>
      <w:szCs w:val="20"/>
    </w:rPr>
  </w:style>
  <w:style w:type="paragraph" w:customStyle="1" w:styleId="2740">
    <w:name w:val="Char41"/>
    <w:basedOn w:val="1"/>
    <w:qFormat/>
    <w:uiPriority w:val="0"/>
    <w:pPr>
      <w:widowControl w:val="0"/>
      <w:adjustRightInd w:val="0"/>
      <w:snapToGrid w:val="0"/>
      <w:spacing w:line="480" w:lineRule="exact"/>
      <w:ind w:firstLine="200" w:firstLineChars="200"/>
      <w:jc w:val="both"/>
    </w:pPr>
    <w:rPr>
      <w:rFonts w:ascii="Times New Roman" w:hAnsi="Times New Roman" w:cs="Times New Roman"/>
      <w:snapToGrid w:val="0"/>
      <w:sz w:val="28"/>
    </w:rPr>
  </w:style>
  <w:style w:type="paragraph" w:customStyle="1" w:styleId="2741">
    <w:name w:val="Char51"/>
    <w:basedOn w:val="1"/>
    <w:qFormat/>
    <w:uiPriority w:val="0"/>
    <w:pPr>
      <w:adjustRightInd w:val="0"/>
      <w:snapToGrid w:val="0"/>
      <w:spacing w:after="200"/>
    </w:pPr>
    <w:rPr>
      <w:rFonts w:ascii="Tahoma" w:hAnsi="Tahoma" w:eastAsia="微软雅黑" w:cs="Times New Roman"/>
      <w:sz w:val="22"/>
      <w:szCs w:val="22"/>
    </w:rPr>
  </w:style>
  <w:style w:type="paragraph" w:customStyle="1" w:styleId="2742">
    <w:name w:val="Normal (Web)1"/>
    <w:basedOn w:val="1"/>
    <w:next w:val="2743"/>
    <w:qFormat/>
    <w:uiPriority w:val="0"/>
    <w:rPr>
      <w:szCs w:val="21"/>
    </w:rPr>
  </w:style>
  <w:style w:type="paragraph" w:customStyle="1" w:styleId="2743">
    <w:name w:val="Date1"/>
    <w:basedOn w:val="1"/>
    <w:next w:val="1"/>
    <w:qFormat/>
    <w:uiPriority w:val="0"/>
    <w:pPr>
      <w:ind w:left="2500" w:leftChars="2500"/>
    </w:pPr>
  </w:style>
  <w:style w:type="paragraph" w:customStyle="1" w:styleId="2744">
    <w:name w:val="Char Char Char Char Char Char Char3"/>
    <w:basedOn w:val="1"/>
    <w:qFormat/>
    <w:uiPriority w:val="0"/>
    <w:pPr>
      <w:spacing w:line="360" w:lineRule="auto"/>
      <w:ind w:firstLine="200" w:firstLineChars="200"/>
    </w:pPr>
    <w:rPr>
      <w:kern w:val="2"/>
    </w:rPr>
  </w:style>
  <w:style w:type="paragraph" w:customStyle="1" w:styleId="2745">
    <w:name w:val="Char Char Char4"/>
    <w:basedOn w:val="1"/>
    <w:qFormat/>
    <w:uiPriority w:val="0"/>
    <w:pPr>
      <w:widowControl w:val="0"/>
      <w:jc w:val="both"/>
    </w:pPr>
    <w:rPr>
      <w:rFonts w:ascii="Tahoma" w:hAnsi="Tahoma" w:eastAsia="黑体" w:cs="Times New Roman"/>
      <w:kern w:val="2"/>
      <w:sz w:val="28"/>
      <w:szCs w:val="28"/>
    </w:rPr>
  </w:style>
  <w:style w:type="paragraph" w:customStyle="1" w:styleId="2746">
    <w:name w:val="lmj表格"/>
    <w:basedOn w:val="1"/>
    <w:next w:val="1"/>
    <w:qFormat/>
    <w:uiPriority w:val="0"/>
    <w:pPr>
      <w:widowControl w:val="0"/>
      <w:jc w:val="both"/>
    </w:pPr>
    <w:rPr>
      <w:rFonts w:ascii="黑体" w:hAnsi="Times New Roman" w:cs="Times New Roman"/>
      <w:sz w:val="21"/>
      <w:szCs w:val="36"/>
    </w:rPr>
  </w:style>
  <w:style w:type="paragraph" w:customStyle="1" w:styleId="2747">
    <w:name w:val="5表格"/>
    <w:basedOn w:val="1"/>
    <w:link w:val="2748"/>
    <w:qFormat/>
    <w:uiPriority w:val="0"/>
    <w:pPr>
      <w:jc w:val="center"/>
    </w:pPr>
    <w:rPr>
      <w:rFonts w:ascii="Times New Roman" w:hAnsi="Times New Roman" w:cs="Times New Roman"/>
      <w:bCs/>
      <w:iCs/>
      <w:color w:val="000000"/>
      <w:sz w:val="18"/>
    </w:rPr>
  </w:style>
  <w:style w:type="character" w:customStyle="1" w:styleId="2748">
    <w:name w:val="5表格 Char"/>
    <w:link w:val="2747"/>
    <w:qFormat/>
    <w:uiPriority w:val="0"/>
    <w:rPr>
      <w:bCs/>
      <w:iCs/>
      <w:color w:val="000000"/>
      <w:sz w:val="18"/>
      <w:szCs w:val="24"/>
    </w:rPr>
  </w:style>
  <w:style w:type="paragraph" w:customStyle="1" w:styleId="2749">
    <w:name w:val="_Style 3"/>
    <w:basedOn w:val="1"/>
    <w:qFormat/>
    <w:uiPriority w:val="0"/>
    <w:pPr>
      <w:widowControl w:val="0"/>
      <w:jc w:val="center"/>
    </w:pPr>
    <w:rPr>
      <w:rFonts w:hAnsi="Calibri"/>
      <w:sz w:val="21"/>
      <w:szCs w:val="21"/>
    </w:rPr>
  </w:style>
  <w:style w:type="paragraph" w:customStyle="1" w:styleId="2750">
    <w:name w:val="书表格"/>
    <w:basedOn w:val="1"/>
    <w:next w:val="1"/>
    <w:qFormat/>
    <w:uiPriority w:val="0"/>
    <w:pPr>
      <w:widowControl w:val="0"/>
      <w:autoSpaceDE w:val="0"/>
      <w:autoSpaceDN w:val="0"/>
      <w:adjustRightInd w:val="0"/>
      <w:jc w:val="center"/>
      <w:textAlignment w:val="bottom"/>
    </w:pPr>
    <w:rPr>
      <w:rFonts w:ascii="Times New Roman" w:hAnsi="Times New Roman" w:cs="Times New Roman"/>
      <w:sz w:val="21"/>
      <w:szCs w:val="20"/>
    </w:rPr>
  </w:style>
  <w:style w:type="paragraph" w:customStyle="1" w:styleId="2751">
    <w:name w:val="_Style 6"/>
    <w:basedOn w:val="1"/>
    <w:qFormat/>
    <w:uiPriority w:val="0"/>
    <w:pPr>
      <w:widowControl w:val="0"/>
      <w:jc w:val="center"/>
    </w:pPr>
    <w:rPr>
      <w:rFonts w:cs="Times New Roman"/>
      <w:kern w:val="2"/>
      <w:sz w:val="21"/>
      <w:szCs w:val="20"/>
    </w:rPr>
  </w:style>
  <w:style w:type="table" w:customStyle="1" w:styleId="2752">
    <w:name w:val="网格型2"/>
    <w:basedOn w:val="81"/>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2753">
    <w:name w:val="SSEC 正文"/>
    <w:link w:val="2754"/>
    <w:qFormat/>
    <w:uiPriority w:val="0"/>
    <w:pPr>
      <w:widowControl w:val="0"/>
      <w:adjustRightInd w:val="0"/>
      <w:snapToGrid w:val="0"/>
      <w:spacing w:line="331" w:lineRule="auto"/>
      <w:ind w:firstLine="200" w:firstLineChars="200"/>
      <w:jc w:val="both"/>
    </w:pPr>
    <w:rPr>
      <w:rFonts w:ascii="宋体" w:hAnsi="宋体" w:eastAsia="宋体" w:cs="Times New Roman"/>
      <w:kern w:val="2"/>
      <w:sz w:val="24"/>
      <w:szCs w:val="24"/>
      <w:lang w:val="en-US" w:eastAsia="zh-CN" w:bidi="ar-SA"/>
    </w:rPr>
  </w:style>
  <w:style w:type="character" w:customStyle="1" w:styleId="2754">
    <w:name w:val="SSEC 正文 字符"/>
    <w:basedOn w:val="84"/>
    <w:link w:val="2753"/>
    <w:qFormat/>
    <w:uiPriority w:val="99"/>
    <w:rPr>
      <w:rFonts w:ascii="宋体" w:hAnsi="宋体"/>
      <w:kern w:val="2"/>
      <w:sz w:val="24"/>
      <w:szCs w:val="24"/>
    </w:rPr>
  </w:style>
  <w:style w:type="character" w:customStyle="1" w:styleId="2755">
    <w:name w:val="题注 Char2"/>
    <w:qFormat/>
    <w:locked/>
    <w:uiPriority w:val="0"/>
    <w:rPr>
      <w:rFonts w:ascii="宋体" w:hAnsi="Cambria" w:eastAsia="宋体" w:cs="Times New Roman"/>
      <w:kern w:val="2"/>
      <w:sz w:val="21"/>
    </w:rPr>
  </w:style>
  <w:style w:type="character" w:customStyle="1" w:styleId="2756">
    <w:name w:val="TOC 1 字符"/>
    <w:basedOn w:val="84"/>
    <w:link w:val="55"/>
    <w:qFormat/>
    <w:uiPriority w:val="39"/>
    <w:rPr>
      <w:rFonts w:ascii="宋体" w:hAnsi="宋体"/>
      <w:b/>
      <w:caps/>
    </w:rPr>
  </w:style>
  <w:style w:type="character" w:customStyle="1" w:styleId="2757">
    <w:name w:val="TOC 2 字符"/>
    <w:basedOn w:val="84"/>
    <w:link w:val="67"/>
    <w:qFormat/>
    <w:uiPriority w:val="39"/>
    <w:rPr>
      <w:rFonts w:ascii="Calibri" w:hAnsi="Calibri"/>
      <w:smallCaps/>
      <w:kern w:val="2"/>
    </w:rPr>
  </w:style>
  <w:style w:type="table" w:customStyle="1" w:styleId="2758">
    <w:name w:val="网格型3"/>
    <w:basedOn w:val="81"/>
    <w:qFormat/>
    <w:locked/>
    <w:uiPriority w:val="0"/>
    <w:rPr>
      <w:rFonts w:ascii="Calibri" w:hAnsi="Calibr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759">
    <w:name w:val="附表"/>
    <w:basedOn w:val="1"/>
    <w:link w:val="2760"/>
    <w:qFormat/>
    <w:uiPriority w:val="0"/>
    <w:pPr>
      <w:keepNext/>
      <w:widowControl w:val="0"/>
      <w:numPr>
        <w:ilvl w:val="0"/>
        <w:numId w:val="1"/>
      </w:numPr>
      <w:jc w:val="both"/>
      <w:outlineLvl w:val="1"/>
    </w:pPr>
    <w:rPr>
      <w:rFonts w:ascii="黑体" w:hAnsi="黑体" w:eastAsia="黑体" w:cs="Times New Roman"/>
      <w:kern w:val="2"/>
      <w:sz w:val="28"/>
      <w:szCs w:val="28"/>
    </w:rPr>
  </w:style>
  <w:style w:type="character" w:customStyle="1" w:styleId="2760">
    <w:name w:val="附表 Char"/>
    <w:basedOn w:val="84"/>
    <w:link w:val="2759"/>
    <w:qFormat/>
    <w:uiPriority w:val="0"/>
    <w:rPr>
      <w:rFonts w:ascii="黑体" w:hAnsi="黑体" w:eastAsia="黑体"/>
      <w:kern w:val="2"/>
      <w:sz w:val="28"/>
      <w:szCs w:val="28"/>
    </w:rPr>
  </w:style>
  <w:style w:type="paragraph" w:customStyle="1" w:styleId="2761">
    <w:name w:val="附件"/>
    <w:basedOn w:val="5"/>
    <w:link w:val="2762"/>
    <w:qFormat/>
    <w:uiPriority w:val="0"/>
    <w:pPr>
      <w:keepLines w:val="0"/>
      <w:widowControl w:val="0"/>
      <w:numPr>
        <w:ilvl w:val="0"/>
        <w:numId w:val="2"/>
      </w:numPr>
      <w:spacing w:line="240" w:lineRule="auto"/>
    </w:pPr>
    <w:rPr>
      <w:rFonts w:ascii="宋体" w:hAnsi="宋体"/>
      <w:color w:val="000000"/>
      <w:kern w:val="2"/>
    </w:rPr>
  </w:style>
  <w:style w:type="character" w:customStyle="1" w:styleId="2762">
    <w:name w:val="附件 Char"/>
    <w:basedOn w:val="109"/>
    <w:link w:val="2761"/>
    <w:qFormat/>
    <w:uiPriority w:val="0"/>
    <w:rPr>
      <w:rFonts w:ascii="宋体" w:hAnsi="宋体" w:eastAsia="黑体"/>
      <w:color w:val="000000"/>
      <w:kern w:val="2"/>
      <w:sz w:val="28"/>
      <w:szCs w:val="32"/>
    </w:rPr>
  </w:style>
  <w:style w:type="paragraph" w:customStyle="1" w:styleId="2763">
    <w:name w:val="附图"/>
    <w:link w:val="2764"/>
    <w:qFormat/>
    <w:uiPriority w:val="0"/>
    <w:pPr>
      <w:keepNext/>
      <w:numPr>
        <w:ilvl w:val="0"/>
        <w:numId w:val="3"/>
      </w:numPr>
      <w:outlineLvl w:val="1"/>
    </w:pPr>
    <w:rPr>
      <w:rFonts w:ascii="黑体" w:hAnsi="黑体" w:eastAsia="黑体" w:cs="Times New Roman"/>
      <w:kern w:val="2"/>
      <w:sz w:val="28"/>
      <w:szCs w:val="28"/>
      <w:lang w:val="en-US" w:eastAsia="zh-CN" w:bidi="ar-SA"/>
    </w:rPr>
  </w:style>
  <w:style w:type="character" w:customStyle="1" w:styleId="2764">
    <w:name w:val="附图 Char"/>
    <w:basedOn w:val="84"/>
    <w:link w:val="2763"/>
    <w:qFormat/>
    <w:uiPriority w:val="0"/>
    <w:rPr>
      <w:rFonts w:ascii="黑体" w:hAnsi="黑体" w:eastAsia="黑体"/>
      <w:kern w:val="2"/>
      <w:sz w:val="28"/>
      <w:szCs w:val="28"/>
    </w:rPr>
  </w:style>
  <w:style w:type="paragraph" w:customStyle="1" w:styleId="2765">
    <w:name w:val="SSEC 表内序号"/>
    <w:link w:val="2766"/>
    <w:qFormat/>
    <w:uiPriority w:val="0"/>
    <w:pPr>
      <w:widowControl w:val="0"/>
      <w:numPr>
        <w:ilvl w:val="0"/>
        <w:numId w:val="4"/>
      </w:numPr>
      <w:adjustRightInd w:val="0"/>
      <w:snapToGrid w:val="0"/>
      <w:jc w:val="center"/>
      <w:textAlignment w:val="center"/>
    </w:pPr>
    <w:rPr>
      <w:rFonts w:ascii="宋体" w:hAnsi="Times New Roman" w:eastAsia="宋体" w:cs="Times New Roman"/>
      <w:kern w:val="2"/>
      <w:sz w:val="21"/>
      <w:szCs w:val="21"/>
      <w:lang w:val="en-US" w:eastAsia="zh-CN" w:bidi="ar-SA"/>
    </w:rPr>
  </w:style>
  <w:style w:type="character" w:customStyle="1" w:styleId="2766">
    <w:name w:val="SSEC 表内序号 字符"/>
    <w:basedOn w:val="84"/>
    <w:link w:val="2765"/>
    <w:qFormat/>
    <w:uiPriority w:val="0"/>
    <w:rPr>
      <w:rFonts w:ascii="宋体"/>
      <w:kern w:val="2"/>
      <w:sz w:val="21"/>
      <w:szCs w:val="21"/>
    </w:rPr>
  </w:style>
  <w:style w:type="paragraph" w:customStyle="1" w:styleId="2767">
    <w:name w:val="SSEC 目录名"/>
    <w:link w:val="2768"/>
    <w:qFormat/>
    <w:uiPriority w:val="0"/>
    <w:pPr>
      <w:widowControl w:val="0"/>
      <w:adjustRightInd w:val="0"/>
      <w:snapToGrid w:val="0"/>
      <w:spacing w:before="100" w:beforeAutospacing="1" w:line="360" w:lineRule="auto"/>
      <w:jc w:val="center"/>
    </w:pPr>
    <w:rPr>
      <w:rFonts w:ascii="黑体" w:hAnsi="黑体" w:eastAsia="黑体" w:cs="Times New Roman"/>
      <w:kern w:val="2"/>
      <w:sz w:val="32"/>
      <w:szCs w:val="30"/>
      <w:lang w:val="en-US" w:eastAsia="zh-CN" w:bidi="ar-SA"/>
    </w:rPr>
  </w:style>
  <w:style w:type="character" w:customStyle="1" w:styleId="2768">
    <w:name w:val="SSEC 目录名 字符"/>
    <w:basedOn w:val="84"/>
    <w:link w:val="2767"/>
    <w:qFormat/>
    <w:uiPriority w:val="0"/>
    <w:rPr>
      <w:rFonts w:ascii="黑体" w:hAnsi="黑体" w:eastAsia="黑体"/>
      <w:kern w:val="2"/>
      <w:sz w:val="32"/>
      <w:szCs w:val="30"/>
    </w:rPr>
  </w:style>
  <w:style w:type="paragraph" w:customStyle="1" w:styleId="2769">
    <w:name w:val="SSEC 表字居左"/>
    <w:link w:val="2770"/>
    <w:qFormat/>
    <w:uiPriority w:val="0"/>
    <w:pPr>
      <w:keepNext/>
      <w:widowControl w:val="0"/>
      <w:adjustRightInd w:val="0"/>
      <w:snapToGrid w:val="0"/>
      <w:jc w:val="right"/>
    </w:pPr>
    <w:rPr>
      <w:rFonts w:ascii="宋体" w:hAnsi="Calibri" w:eastAsia="宋体" w:cs="Times New Roman"/>
      <w:kern w:val="2"/>
      <w:sz w:val="21"/>
      <w:szCs w:val="21"/>
      <w:lang w:val="en-US" w:eastAsia="zh-CN" w:bidi="ar-SA"/>
    </w:rPr>
  </w:style>
  <w:style w:type="character" w:customStyle="1" w:styleId="2770">
    <w:name w:val="SSEC 表字居左 字符"/>
    <w:basedOn w:val="84"/>
    <w:link w:val="2769"/>
    <w:qFormat/>
    <w:uiPriority w:val="0"/>
    <w:rPr>
      <w:rFonts w:ascii="宋体" w:hAnsi="Calibri"/>
      <w:kern w:val="2"/>
      <w:sz w:val="21"/>
      <w:szCs w:val="21"/>
    </w:rPr>
  </w:style>
  <w:style w:type="paragraph" w:customStyle="1" w:styleId="2771">
    <w:name w:val="SSEC 表字居中"/>
    <w:link w:val="2772"/>
    <w:qFormat/>
    <w:uiPriority w:val="0"/>
    <w:pPr>
      <w:widowControl w:val="0"/>
      <w:adjustRightInd w:val="0"/>
      <w:snapToGrid w:val="0"/>
      <w:jc w:val="center"/>
      <w:textAlignment w:val="center"/>
    </w:pPr>
    <w:rPr>
      <w:rFonts w:ascii="宋体" w:hAnsi="Times New Roman" w:eastAsia="宋体" w:cs="Times New Roman"/>
      <w:kern w:val="2"/>
      <w:sz w:val="21"/>
      <w:szCs w:val="21"/>
      <w:lang w:val="en-US" w:eastAsia="zh-CN" w:bidi="ar-SA"/>
    </w:rPr>
  </w:style>
  <w:style w:type="character" w:customStyle="1" w:styleId="2772">
    <w:name w:val="SSEC 表字居中 字符"/>
    <w:basedOn w:val="84"/>
    <w:link w:val="2771"/>
    <w:qFormat/>
    <w:uiPriority w:val="0"/>
    <w:rPr>
      <w:rFonts w:ascii="宋体"/>
      <w:kern w:val="2"/>
      <w:sz w:val="21"/>
      <w:szCs w:val="21"/>
    </w:rPr>
  </w:style>
  <w:style w:type="table" w:customStyle="1" w:styleId="2773">
    <w:name w:val="SSEC表格样式"/>
    <w:basedOn w:val="81"/>
    <w:qFormat/>
    <w:uiPriority w:val="99"/>
    <w:pPr>
      <w:adjustRightInd w:val="0"/>
      <w:snapToGrid w:val="0"/>
    </w:pPr>
    <w:rPr>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center"/>
    </w:tcPr>
  </w:style>
  <w:style w:type="paragraph" w:customStyle="1" w:styleId="2774">
    <w:name w:val="SSEC 1级序号"/>
    <w:link w:val="2775"/>
    <w:qFormat/>
    <w:uiPriority w:val="0"/>
    <w:pPr>
      <w:widowControl w:val="0"/>
      <w:numPr>
        <w:ilvl w:val="1"/>
        <w:numId w:val="5"/>
      </w:numPr>
      <w:adjustRightInd w:val="0"/>
      <w:snapToGrid w:val="0"/>
      <w:spacing w:line="331" w:lineRule="auto"/>
      <w:jc w:val="both"/>
    </w:pPr>
    <w:rPr>
      <w:rFonts w:ascii="宋体" w:hAnsi="宋体" w:eastAsia="宋体" w:cs="Times New Roman"/>
      <w:kern w:val="2"/>
      <w:sz w:val="24"/>
      <w:szCs w:val="24"/>
      <w:lang w:val="en-US" w:eastAsia="zh-CN" w:bidi="ar-SA"/>
    </w:rPr>
  </w:style>
  <w:style w:type="character" w:customStyle="1" w:styleId="2775">
    <w:name w:val="SSEC 1级序号 字符"/>
    <w:basedOn w:val="2754"/>
    <w:link w:val="2774"/>
    <w:qFormat/>
    <w:uiPriority w:val="0"/>
    <w:rPr>
      <w:rFonts w:ascii="宋体" w:hAnsi="宋体"/>
      <w:kern w:val="2"/>
      <w:sz w:val="24"/>
      <w:szCs w:val="24"/>
    </w:rPr>
  </w:style>
  <w:style w:type="paragraph" w:customStyle="1" w:styleId="2776">
    <w:name w:val="SSEC 2级序号"/>
    <w:basedOn w:val="2774"/>
    <w:link w:val="2777"/>
    <w:qFormat/>
    <w:uiPriority w:val="0"/>
    <w:pPr>
      <w:numPr>
        <w:ilvl w:val="2"/>
      </w:numPr>
    </w:pPr>
  </w:style>
  <w:style w:type="character" w:customStyle="1" w:styleId="2777">
    <w:name w:val="SSEC 2级序号 字符"/>
    <w:basedOn w:val="2775"/>
    <w:link w:val="2776"/>
    <w:qFormat/>
    <w:uiPriority w:val="0"/>
    <w:rPr>
      <w:rFonts w:ascii="宋体" w:hAnsi="宋体"/>
      <w:kern w:val="2"/>
      <w:sz w:val="24"/>
      <w:szCs w:val="24"/>
    </w:rPr>
  </w:style>
  <w:style w:type="paragraph" w:customStyle="1" w:styleId="2778">
    <w:name w:val="SSEC 3级序号"/>
    <w:basedOn w:val="2774"/>
    <w:link w:val="2779"/>
    <w:qFormat/>
    <w:uiPriority w:val="0"/>
    <w:pPr>
      <w:numPr>
        <w:ilvl w:val="0"/>
        <w:numId w:val="0"/>
      </w:numPr>
      <w:ind w:firstLine="476"/>
    </w:pPr>
  </w:style>
  <w:style w:type="character" w:customStyle="1" w:styleId="2779">
    <w:name w:val="SSEC 3级序号 字符"/>
    <w:basedOn w:val="2775"/>
    <w:link w:val="2778"/>
    <w:qFormat/>
    <w:uiPriority w:val="0"/>
    <w:rPr>
      <w:rFonts w:ascii="宋体" w:hAnsi="宋体"/>
      <w:kern w:val="2"/>
      <w:sz w:val="24"/>
      <w:szCs w:val="24"/>
    </w:rPr>
  </w:style>
  <w:style w:type="paragraph" w:customStyle="1" w:styleId="2780">
    <w:name w:val="SSEC 4级序号"/>
    <w:basedOn w:val="2774"/>
    <w:link w:val="2781"/>
    <w:qFormat/>
    <w:uiPriority w:val="0"/>
    <w:pPr>
      <w:numPr>
        <w:ilvl w:val="0"/>
        <w:numId w:val="0"/>
      </w:numPr>
      <w:ind w:firstLine="476"/>
    </w:pPr>
  </w:style>
  <w:style w:type="character" w:customStyle="1" w:styleId="2781">
    <w:name w:val="SSEC 4级序号 字符"/>
    <w:basedOn w:val="2779"/>
    <w:link w:val="2780"/>
    <w:qFormat/>
    <w:uiPriority w:val="0"/>
    <w:rPr>
      <w:rFonts w:ascii="宋体" w:hAnsi="宋体"/>
      <w:kern w:val="2"/>
      <w:sz w:val="24"/>
      <w:szCs w:val="24"/>
    </w:rPr>
  </w:style>
  <w:style w:type="paragraph" w:customStyle="1" w:styleId="2782">
    <w:name w:val="SSEC 5级序号"/>
    <w:basedOn w:val="2774"/>
    <w:link w:val="2783"/>
    <w:qFormat/>
    <w:uiPriority w:val="0"/>
    <w:pPr>
      <w:numPr>
        <w:ilvl w:val="0"/>
        <w:numId w:val="0"/>
      </w:numPr>
      <w:ind w:firstLine="476"/>
    </w:pPr>
  </w:style>
  <w:style w:type="character" w:customStyle="1" w:styleId="2783">
    <w:name w:val="SSEC 5级序号 字符"/>
    <w:basedOn w:val="2775"/>
    <w:link w:val="2782"/>
    <w:qFormat/>
    <w:uiPriority w:val="0"/>
    <w:rPr>
      <w:rFonts w:ascii="宋体" w:hAnsi="宋体"/>
      <w:kern w:val="2"/>
      <w:sz w:val="24"/>
      <w:szCs w:val="24"/>
    </w:rPr>
  </w:style>
  <w:style w:type="paragraph" w:customStyle="1" w:styleId="2784">
    <w:name w:val="SSEC 6级序号"/>
    <w:basedOn w:val="2774"/>
    <w:link w:val="2785"/>
    <w:qFormat/>
    <w:uiPriority w:val="0"/>
    <w:pPr>
      <w:numPr>
        <w:ilvl w:val="0"/>
        <w:numId w:val="0"/>
      </w:numPr>
      <w:ind w:firstLine="476"/>
    </w:pPr>
  </w:style>
  <w:style w:type="character" w:customStyle="1" w:styleId="2785">
    <w:name w:val="SSEC 6级序号 字符"/>
    <w:basedOn w:val="2783"/>
    <w:link w:val="2784"/>
    <w:qFormat/>
    <w:uiPriority w:val="0"/>
    <w:rPr>
      <w:rFonts w:ascii="宋体" w:hAnsi="宋体"/>
      <w:kern w:val="2"/>
      <w:sz w:val="24"/>
      <w:szCs w:val="24"/>
    </w:rPr>
  </w:style>
  <w:style w:type="paragraph" w:customStyle="1" w:styleId="2786">
    <w:name w:val="SSEC 7级序号"/>
    <w:basedOn w:val="2774"/>
    <w:link w:val="2787"/>
    <w:qFormat/>
    <w:uiPriority w:val="0"/>
    <w:pPr>
      <w:numPr>
        <w:ilvl w:val="0"/>
        <w:numId w:val="0"/>
      </w:numPr>
      <w:ind w:firstLine="476"/>
    </w:pPr>
  </w:style>
  <w:style w:type="character" w:customStyle="1" w:styleId="2787">
    <w:name w:val="SSEC 7级序号 字符"/>
    <w:basedOn w:val="2785"/>
    <w:link w:val="2786"/>
    <w:qFormat/>
    <w:uiPriority w:val="0"/>
    <w:rPr>
      <w:rFonts w:ascii="宋体" w:hAnsi="宋体"/>
      <w:kern w:val="2"/>
      <w:sz w:val="24"/>
      <w:szCs w:val="24"/>
    </w:rPr>
  </w:style>
  <w:style w:type="paragraph" w:customStyle="1" w:styleId="2788">
    <w:name w:val="修订11"/>
    <w:hidden/>
    <w:qFormat/>
    <w:uiPriority w:val="99"/>
    <w:rPr>
      <w:rFonts w:ascii="Times New Roman" w:hAnsi="Times New Roman" w:eastAsia="宋体" w:cs="Times New Roman"/>
      <w:kern w:val="2"/>
      <w:sz w:val="21"/>
      <w:szCs w:val="24"/>
      <w:lang w:val="en-US" w:eastAsia="zh-CN" w:bidi="ar-SA"/>
    </w:rPr>
  </w:style>
  <w:style w:type="paragraph" w:customStyle="1" w:styleId="2789">
    <w:name w:val="修订3"/>
    <w:hidden/>
    <w:qFormat/>
    <w:uiPriority w:val="99"/>
    <w:rPr>
      <w:rFonts w:ascii="Times New Roman" w:hAnsi="Times New Roman" w:eastAsia="宋体" w:cs="Times New Roman"/>
      <w:kern w:val="2"/>
      <w:sz w:val="21"/>
      <w:szCs w:val="24"/>
      <w:lang w:val="en-US" w:eastAsia="zh-CN" w:bidi="ar-SA"/>
    </w:rPr>
  </w:style>
  <w:style w:type="paragraph" w:customStyle="1" w:styleId="2790">
    <w:name w:val="z-窗体底端2"/>
    <w:basedOn w:val="1"/>
    <w:next w:val="1"/>
    <w:hidden/>
    <w:semiHidden/>
    <w:unhideWhenUsed/>
    <w:qFormat/>
    <w:uiPriority w:val="0"/>
    <w:pPr>
      <w:widowControl w:val="0"/>
      <w:pBdr>
        <w:top w:val="single" w:color="auto" w:sz="6" w:space="1"/>
      </w:pBdr>
      <w:jc w:val="center"/>
    </w:pPr>
    <w:rPr>
      <w:rFonts w:ascii="Arial" w:hAnsi="Arial" w:cs="Arial"/>
      <w:vanish/>
      <w:kern w:val="2"/>
      <w:sz w:val="16"/>
      <w:szCs w:val="16"/>
    </w:rPr>
  </w:style>
  <w:style w:type="character" w:customStyle="1" w:styleId="2791">
    <w:name w:val="z-窗体底端 字符"/>
    <w:basedOn w:val="84"/>
    <w:semiHidden/>
    <w:qFormat/>
    <w:uiPriority w:val="0"/>
    <w:rPr>
      <w:rFonts w:ascii="Arial" w:hAnsi="Arial" w:cs="Arial"/>
      <w:vanish/>
      <w:kern w:val="2"/>
      <w:sz w:val="16"/>
      <w:szCs w:val="16"/>
    </w:rPr>
  </w:style>
  <w:style w:type="character" w:customStyle="1" w:styleId="2792">
    <w:name w:val="z-窗体顶端 字符"/>
    <w:basedOn w:val="84"/>
    <w:semiHidden/>
    <w:qFormat/>
    <w:uiPriority w:val="0"/>
    <w:rPr>
      <w:rFonts w:ascii="Arial" w:hAnsi="Arial" w:cs="Arial"/>
      <w:vanish/>
      <w:kern w:val="2"/>
      <w:sz w:val="16"/>
      <w:szCs w:val="16"/>
    </w:rPr>
  </w:style>
  <w:style w:type="character" w:customStyle="1" w:styleId="2793">
    <w:name w:val="列表段落 字符"/>
    <w:link w:val="185"/>
    <w:qFormat/>
    <w:uiPriority w:val="34"/>
    <w:rPr>
      <w:rFonts w:ascii="宋体" w:hAnsi="宋体" w:cs="宋体"/>
      <w:sz w:val="24"/>
      <w:szCs w:val="24"/>
      <w:lang w:val="zh-CN" w:bidi="zh-CN"/>
    </w:rPr>
  </w:style>
  <w:style w:type="table" w:customStyle="1" w:styleId="2794">
    <w:name w:val="网格型11"/>
    <w:basedOn w:val="81"/>
    <w:qFormat/>
    <w:locked/>
    <w:uiPriority w:val="59"/>
    <w:rPr>
      <w:rFonts w:ascii="Calibri" w:hAnsi="Calibr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795">
    <w:name w:val="STC表格 字符"/>
    <w:basedOn w:val="84"/>
    <w:link w:val="2796"/>
    <w:qFormat/>
    <w:locked/>
    <w:uiPriority w:val="0"/>
  </w:style>
  <w:style w:type="paragraph" w:customStyle="1" w:styleId="2796">
    <w:name w:val="STC表格"/>
    <w:link w:val="2795"/>
    <w:qFormat/>
    <w:uiPriority w:val="0"/>
    <w:pPr>
      <w:widowControl w:val="0"/>
      <w:adjustRightInd w:val="0"/>
      <w:snapToGrid w:val="0"/>
      <w:jc w:val="center"/>
    </w:pPr>
    <w:rPr>
      <w:rFonts w:ascii="Times New Roman" w:hAnsi="Times New Roman" w:eastAsia="宋体" w:cs="Times New Roman"/>
      <w:lang w:val="en-US" w:eastAsia="zh-CN" w:bidi="ar-SA"/>
    </w:rPr>
  </w:style>
  <w:style w:type="table" w:customStyle="1" w:styleId="2797">
    <w:name w:val="灰度表格1211"/>
    <w:basedOn w:val="81"/>
    <w:qFormat/>
    <w:uiPriority w:val="59"/>
    <w:rPr>
      <w:rFonts w:ascii="Calibri" w:hAnsi="Calibri" w:eastAsia="Times New Roman"/>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8">
    <w:name w:val="网格型21"/>
    <w:basedOn w:val="81"/>
    <w:qFormat/>
    <w:locked/>
    <w:uiPriority w:val="0"/>
    <w:rPr>
      <w:rFonts w:ascii="Calibri" w:hAnsi="Calibr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9">
    <w:name w:val="Table Normal1"/>
    <w:qFormat/>
    <w:uiPriority w:val="0"/>
    <w:pPr>
      <w:widowControl w:val="0"/>
      <w:autoSpaceDE w:val="0"/>
      <w:autoSpaceDN w:val="0"/>
    </w:pPr>
    <w:rPr>
      <w:rFonts w:ascii="Calibri" w:hAnsi="Calibri" w:eastAsia="Times New Roman"/>
      <w:sz w:val="22"/>
      <w:szCs w:val="22"/>
      <w:lang w:eastAsia="en-US"/>
    </w:rPr>
    <w:tblPr>
      <w:tblCellMar>
        <w:top w:w="0" w:type="dxa"/>
        <w:left w:w="0" w:type="dxa"/>
        <w:bottom w:w="0" w:type="dxa"/>
        <w:right w:w="0" w:type="dxa"/>
      </w:tblCellMar>
    </w:tblPr>
  </w:style>
  <w:style w:type="table" w:customStyle="1" w:styleId="2800">
    <w:name w:val="SSEC表格样式1"/>
    <w:basedOn w:val="81"/>
    <w:qFormat/>
    <w:uiPriority w:val="99"/>
    <w:pPr>
      <w:adjustRightInd w:val="0"/>
      <w:snapToGrid w:val="0"/>
    </w:pPr>
    <w:rPr>
      <w:kern w:val="2"/>
      <w:sz w:val="21"/>
      <w:szCs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table" w:customStyle="1" w:styleId="2801">
    <w:name w:val="Table Normal11"/>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2802">
    <w:name w:val="Table Normal2"/>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2803">
    <w:name w:val="STC表头 字符"/>
    <w:basedOn w:val="84"/>
    <w:link w:val="2804"/>
    <w:qFormat/>
    <w:locked/>
    <w:uiPriority w:val="0"/>
    <w:rPr>
      <w:rFonts w:ascii="宋体" w:hAnsi="宋体" w:cs="宋体"/>
      <w:kern w:val="2"/>
      <w:sz w:val="21"/>
    </w:rPr>
  </w:style>
  <w:style w:type="paragraph" w:customStyle="1" w:styleId="2804">
    <w:name w:val="STC表头"/>
    <w:basedOn w:val="1"/>
    <w:link w:val="2803"/>
    <w:qFormat/>
    <w:uiPriority w:val="0"/>
    <w:pPr>
      <w:widowControl w:val="0"/>
      <w:adjustRightInd w:val="0"/>
      <w:snapToGrid w:val="0"/>
      <w:spacing w:beforeLines="50" w:line="360" w:lineRule="auto"/>
      <w:jc w:val="center"/>
    </w:pPr>
    <w:rPr>
      <w:kern w:val="2"/>
      <w:sz w:val="21"/>
      <w:szCs w:val="20"/>
    </w:rPr>
  </w:style>
  <w:style w:type="character" w:customStyle="1" w:styleId="2805">
    <w:name w:val="STC 正文 字符"/>
    <w:basedOn w:val="84"/>
    <w:link w:val="2806"/>
    <w:qFormat/>
    <w:locked/>
    <w:uiPriority w:val="0"/>
    <w:rPr>
      <w:rFonts w:ascii="宋体" w:hAnsi="宋体"/>
      <w:kern w:val="2"/>
      <w:sz w:val="24"/>
      <w:szCs w:val="21"/>
    </w:rPr>
  </w:style>
  <w:style w:type="paragraph" w:customStyle="1" w:styleId="2806">
    <w:name w:val="STC 正文"/>
    <w:link w:val="2805"/>
    <w:qFormat/>
    <w:uiPriority w:val="0"/>
    <w:pPr>
      <w:widowControl w:val="0"/>
      <w:adjustRightInd w:val="0"/>
      <w:snapToGrid w:val="0"/>
      <w:spacing w:line="328" w:lineRule="auto"/>
      <w:ind w:firstLine="200" w:firstLineChars="200"/>
      <w:jc w:val="both"/>
    </w:pPr>
    <w:rPr>
      <w:rFonts w:ascii="宋体" w:hAnsi="宋体" w:eastAsia="宋体" w:cs="Times New Roman"/>
      <w:kern w:val="2"/>
      <w:sz w:val="24"/>
      <w:szCs w:val="21"/>
      <w:lang w:val="en-US" w:eastAsia="zh-CN" w:bidi="ar-SA"/>
    </w:rPr>
  </w:style>
  <w:style w:type="character" w:customStyle="1" w:styleId="2807">
    <w:name w:val="STC 表格 字符"/>
    <w:link w:val="2808"/>
    <w:autoRedefine/>
    <w:qFormat/>
    <w:locked/>
    <w:uiPriority w:val="0"/>
    <w:rPr>
      <w:rFonts w:ascii="宋体" w:hAnsi="宋体" w:cs="宋体"/>
      <w:sz w:val="21"/>
      <w:szCs w:val="21"/>
      <w:lang w:eastAsia="en-US"/>
    </w:rPr>
  </w:style>
  <w:style w:type="paragraph" w:customStyle="1" w:styleId="2808">
    <w:name w:val="STC 表格"/>
    <w:basedOn w:val="1"/>
    <w:link w:val="2807"/>
    <w:qFormat/>
    <w:uiPriority w:val="0"/>
    <w:pPr>
      <w:widowControl w:val="0"/>
      <w:adjustRightInd w:val="0"/>
      <w:snapToGrid w:val="0"/>
      <w:jc w:val="center"/>
    </w:pPr>
    <w:rPr>
      <w:sz w:val="21"/>
      <w:szCs w:val="21"/>
      <w:lang w:eastAsia="en-US"/>
    </w:rPr>
  </w:style>
  <w:style w:type="table" w:customStyle="1" w:styleId="2809">
    <w:name w:val="SSEC表格样式2"/>
    <w:basedOn w:val="81"/>
    <w:qFormat/>
    <w:uiPriority w:val="99"/>
    <w:pPr>
      <w:adjustRightInd w:val="0"/>
      <w:snapToGrid w:val="0"/>
    </w:pPr>
    <w:rPr>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center"/>
    </w:tcPr>
  </w:style>
  <w:style w:type="character" w:customStyle="1" w:styleId="2810">
    <w:name w:val="插图 Char"/>
    <w:link w:val="2811"/>
    <w:qFormat/>
    <w:locked/>
    <w:uiPriority w:val="0"/>
  </w:style>
  <w:style w:type="paragraph" w:customStyle="1" w:styleId="2811">
    <w:name w:val="插图"/>
    <w:link w:val="2810"/>
    <w:qFormat/>
    <w:uiPriority w:val="0"/>
    <w:pPr>
      <w:jc w:val="center"/>
    </w:pPr>
    <w:rPr>
      <w:rFonts w:ascii="Times New Roman" w:hAnsi="Times New Roman" w:eastAsia="宋体" w:cs="Times New Roman"/>
      <w:lang w:val="en-US" w:eastAsia="zh-CN" w:bidi="ar-SA"/>
    </w:rPr>
  </w:style>
  <w:style w:type="character" w:customStyle="1" w:styleId="2812">
    <w:name w:val="SSEC正文 20150323 Char"/>
    <w:basedOn w:val="84"/>
    <w:link w:val="2813"/>
    <w:qFormat/>
    <w:locked/>
    <w:uiPriority w:val="0"/>
    <w:rPr>
      <w:rFonts w:ascii="宋体" w:hAnsi="宋体"/>
      <w:sz w:val="24"/>
      <w:szCs w:val="24"/>
    </w:rPr>
  </w:style>
  <w:style w:type="paragraph" w:customStyle="1" w:styleId="2813">
    <w:name w:val="SSEC正文 20150323"/>
    <w:link w:val="2812"/>
    <w:qFormat/>
    <w:uiPriority w:val="0"/>
    <w:pPr>
      <w:adjustRightInd w:val="0"/>
      <w:snapToGrid w:val="0"/>
      <w:spacing w:line="326" w:lineRule="auto"/>
      <w:ind w:firstLine="200" w:firstLineChars="200"/>
      <w:jc w:val="both"/>
    </w:pPr>
    <w:rPr>
      <w:rFonts w:ascii="宋体" w:hAnsi="宋体" w:eastAsia="宋体" w:cs="Times New Roman"/>
      <w:sz w:val="24"/>
      <w:szCs w:val="24"/>
      <w:lang w:val="en-US" w:eastAsia="zh-CN" w:bidi="ar-SA"/>
    </w:rPr>
  </w:style>
  <w:style w:type="table" w:customStyle="1" w:styleId="2814">
    <w:name w:val="Table Normal3"/>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2815">
    <w:name w:val="Table Normal4"/>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2816">
    <w:name w:val="Table Normal5"/>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2817">
    <w:name w:val="AF-表中表 字符"/>
    <w:link w:val="2818"/>
    <w:qFormat/>
    <w:uiPriority w:val="0"/>
    <w:rPr>
      <w:sz w:val="18"/>
      <w:szCs w:val="21"/>
    </w:rPr>
  </w:style>
  <w:style w:type="paragraph" w:customStyle="1" w:styleId="2818">
    <w:name w:val="AF-表中表"/>
    <w:basedOn w:val="1"/>
    <w:link w:val="2817"/>
    <w:qFormat/>
    <w:uiPriority w:val="0"/>
    <w:pPr>
      <w:adjustRightInd w:val="0"/>
      <w:snapToGrid w:val="0"/>
      <w:jc w:val="center"/>
    </w:pPr>
    <w:rPr>
      <w:rFonts w:ascii="Times New Roman" w:hAnsi="Times New Roman" w:cs="Times New Roman"/>
      <w:sz w:val="18"/>
      <w:szCs w:val="21"/>
    </w:rPr>
  </w:style>
  <w:style w:type="paragraph" w:customStyle="1" w:styleId="2819">
    <w:name w:val="A报告正文"/>
    <w:link w:val="2820"/>
    <w:qFormat/>
    <w:uiPriority w:val="0"/>
    <w:pPr>
      <w:widowControl w:val="0"/>
      <w:spacing w:line="360" w:lineRule="auto"/>
      <w:ind w:firstLine="480" w:firstLineChars="200"/>
      <w:jc w:val="both"/>
    </w:pPr>
    <w:rPr>
      <w:rFonts w:ascii="Times New Roman" w:hAnsi="Times New Roman" w:eastAsia="宋体" w:cs="微软雅黑"/>
      <w:kern w:val="2"/>
      <w:sz w:val="24"/>
      <w:szCs w:val="22"/>
      <w:lang w:val="en-US" w:eastAsia="zh-CN" w:bidi="ar-SA"/>
    </w:rPr>
  </w:style>
  <w:style w:type="character" w:customStyle="1" w:styleId="2820">
    <w:name w:val="A报告正文 Char"/>
    <w:link w:val="2819"/>
    <w:qFormat/>
    <w:uiPriority w:val="0"/>
    <w:rPr>
      <w:rFonts w:cs="微软雅黑"/>
      <w:kern w:val="2"/>
      <w:sz w:val="24"/>
      <w:szCs w:val="22"/>
    </w:rPr>
  </w:style>
  <w:style w:type="paragraph" w:customStyle="1" w:styleId="2821">
    <w:name w:val="A图表名"/>
    <w:link w:val="2822"/>
    <w:qFormat/>
    <w:uiPriority w:val="0"/>
    <w:pPr>
      <w:widowControl w:val="0"/>
      <w:spacing w:line="360" w:lineRule="auto"/>
      <w:jc w:val="center"/>
    </w:pPr>
    <w:rPr>
      <w:rFonts w:ascii="Times New Roman" w:hAnsi="Times New Roman" w:eastAsia="黑体" w:cs="微软雅黑"/>
      <w:kern w:val="21"/>
      <w:sz w:val="24"/>
      <w:lang w:val="en-US" w:eastAsia="zh-CN" w:bidi="ar-SA"/>
    </w:rPr>
  </w:style>
  <w:style w:type="character" w:customStyle="1" w:styleId="2822">
    <w:name w:val="A图表名 Char"/>
    <w:link w:val="2821"/>
    <w:qFormat/>
    <w:uiPriority w:val="0"/>
    <w:rPr>
      <w:rFonts w:eastAsia="黑体" w:cs="微软雅黑"/>
      <w:kern w:val="21"/>
      <w:sz w:val="24"/>
    </w:rPr>
  </w:style>
  <w:style w:type="paragraph" w:customStyle="1" w:styleId="2823">
    <w:name w:val="A表内"/>
    <w:link w:val="2824"/>
    <w:qFormat/>
    <w:uiPriority w:val="0"/>
    <w:pPr>
      <w:widowControl w:val="0"/>
      <w:jc w:val="center"/>
    </w:pPr>
    <w:rPr>
      <w:rFonts w:ascii="Times New Roman" w:hAnsi="Times New Roman" w:eastAsia="宋体" w:cs="微软雅黑"/>
      <w:kern w:val="2"/>
      <w:sz w:val="21"/>
      <w:szCs w:val="21"/>
      <w:lang w:val="en-US" w:eastAsia="zh-CN" w:bidi="ar-SA"/>
    </w:rPr>
  </w:style>
  <w:style w:type="character" w:customStyle="1" w:styleId="2824">
    <w:name w:val="A表内 Char"/>
    <w:link w:val="2823"/>
    <w:qFormat/>
    <w:uiPriority w:val="0"/>
    <w:rPr>
      <w:rFonts w:cs="微软雅黑"/>
      <w:kern w:val="2"/>
      <w:sz w:val="21"/>
      <w:szCs w:val="21"/>
    </w:rPr>
  </w:style>
  <w:style w:type="table" w:customStyle="1" w:styleId="2825">
    <w:name w:val="Table Normal6"/>
    <w:basedOn w:val="81"/>
    <w:qFormat/>
    <w:uiPriority w:val="0"/>
    <w:rPr>
      <w:rFonts w:eastAsia="Times New Roman"/>
    </w:rPr>
    <w:tblPr>
      <w:tblCellMar>
        <w:left w:w="0" w:type="dxa"/>
        <w:right w:w="0" w:type="dxa"/>
      </w:tblCellMar>
    </w:tblPr>
  </w:style>
  <w:style w:type="table" w:customStyle="1" w:styleId="2826">
    <w:name w:val="Table Normal7"/>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2827">
    <w:name w:val="Table Normal8"/>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2828">
    <w:name w:val="未处理的提及1"/>
    <w:basedOn w:val="84"/>
    <w:semiHidden/>
    <w:unhideWhenUsed/>
    <w:qFormat/>
    <w:uiPriority w:val="99"/>
    <w:rPr>
      <w:color w:val="605E5C"/>
      <w:shd w:val="clear" w:color="auto" w:fill="E1DFDD"/>
    </w:rPr>
  </w:style>
  <w:style w:type="character" w:customStyle="1" w:styleId="2829">
    <w:name w:val="AG-表 标题 字符"/>
    <w:link w:val="2830"/>
    <w:qFormat/>
    <w:locked/>
    <w:uiPriority w:val="0"/>
    <w:rPr>
      <w:rFonts w:ascii="黑体" w:hAnsi="黑体" w:eastAsia="黑体"/>
      <w:sz w:val="21"/>
      <w:szCs w:val="24"/>
    </w:rPr>
  </w:style>
  <w:style w:type="paragraph" w:customStyle="1" w:styleId="2830">
    <w:name w:val="AG-表 标题"/>
    <w:basedOn w:val="1"/>
    <w:link w:val="2829"/>
    <w:qFormat/>
    <w:uiPriority w:val="0"/>
    <w:pPr>
      <w:tabs>
        <w:tab w:val="center" w:pos="4200"/>
        <w:tab w:val="right" w:pos="8400"/>
      </w:tabs>
      <w:adjustRightInd w:val="0"/>
      <w:snapToGrid w:val="0"/>
      <w:spacing w:line="360" w:lineRule="auto"/>
      <w:jc w:val="center"/>
    </w:pPr>
    <w:rPr>
      <w:rFonts w:ascii="黑体" w:hAnsi="黑体" w:eastAsia="黑体" w:cs="Times New Roman"/>
      <w:sz w:val="21"/>
    </w:rPr>
  </w:style>
  <w:style w:type="table" w:customStyle="1" w:styleId="2831">
    <w:name w:val="网格型31"/>
    <w:basedOn w:val="8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32">
    <w:name w:val="网格型4"/>
    <w:basedOn w:val="8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33">
    <w:name w:val="Table Normal9"/>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2834">
    <w:name w:val="Table Normal10"/>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2835">
    <w:name w:val="text_qs7xs"/>
    <w:basedOn w:val="84"/>
    <w:qFormat/>
    <w:uiPriority w:val="0"/>
  </w:style>
  <w:style w:type="character" w:customStyle="1" w:styleId="2836">
    <w:name w:val="正文文本 字符5"/>
    <w:qFormat/>
    <w:uiPriority w:val="1"/>
    <w:rPr>
      <w:color w:val="000000"/>
      <w:kern w:val="2"/>
      <w:sz w:val="24"/>
      <w:szCs w:val="22"/>
    </w:rPr>
  </w:style>
  <w:style w:type="character" w:customStyle="1" w:styleId="2837">
    <w:name w:val="标题 1 字符2"/>
    <w:qFormat/>
    <w:uiPriority w:val="0"/>
    <w:rPr>
      <w:rFonts w:ascii="Calibri" w:hAnsi="Calibri" w:eastAsia="黑体"/>
      <w:kern w:val="2"/>
      <w:sz w:val="32"/>
      <w:szCs w:val="22"/>
    </w:rPr>
  </w:style>
  <w:style w:type="character" w:customStyle="1" w:styleId="2838">
    <w:name w:val="标题 2 字符1"/>
    <w:qFormat/>
    <w:uiPriority w:val="0"/>
    <w:rPr>
      <w:rFonts w:ascii="Calibri" w:hAnsi="Calibri" w:eastAsia="黑体"/>
      <w:bCs/>
      <w:sz w:val="28"/>
      <w:szCs w:val="32"/>
    </w:rPr>
  </w:style>
  <w:style w:type="character" w:customStyle="1" w:styleId="2839">
    <w:name w:val="标题 3 字符5"/>
    <w:qFormat/>
    <w:uiPriority w:val="9"/>
    <w:rPr>
      <w:rFonts w:ascii="Times New Roman" w:hAnsi="Times New Roman" w:eastAsia="黑体"/>
      <w:bCs/>
      <w:szCs w:val="32"/>
    </w:rPr>
  </w:style>
  <w:style w:type="character" w:customStyle="1" w:styleId="2840">
    <w:name w:val="标题 4 字符4"/>
    <w:qFormat/>
    <w:uiPriority w:val="9"/>
    <w:rPr>
      <w:rFonts w:ascii="Times New Roman" w:hAnsi="Times New Roman" w:cs="宋体"/>
      <w:sz w:val="24"/>
      <w:lang w:val="zh-CN"/>
    </w:rPr>
  </w:style>
  <w:style w:type="character" w:customStyle="1" w:styleId="2841">
    <w:name w:val="标题 5 字符1"/>
    <w:basedOn w:val="84"/>
    <w:qFormat/>
    <w:uiPriority w:val="9"/>
    <w:rPr>
      <w:rFonts w:ascii="仿宋_GB2312" w:hAnsi="Times New Roman" w:eastAsia="仿宋_GB2312"/>
      <w:b/>
      <w:bCs/>
      <w:sz w:val="28"/>
      <w:szCs w:val="28"/>
    </w:rPr>
  </w:style>
  <w:style w:type="character" w:customStyle="1" w:styleId="2842">
    <w:name w:val="标题 6 字符3"/>
    <w:basedOn w:val="84"/>
    <w:qFormat/>
    <w:uiPriority w:val="9"/>
    <w:rPr>
      <w:rFonts w:ascii="Times New Roman" w:hAnsi="Times New Roman"/>
      <w:b/>
      <w:bCs/>
      <w:kern w:val="2"/>
      <w:sz w:val="24"/>
    </w:rPr>
  </w:style>
  <w:style w:type="character" w:customStyle="1" w:styleId="2843">
    <w:name w:val="标题 7 字符1"/>
    <w:basedOn w:val="84"/>
    <w:qFormat/>
    <w:uiPriority w:val="9"/>
    <w:rPr>
      <w:rFonts w:ascii="Times New Roman" w:hAnsi="Times New Roman"/>
      <w:b/>
      <w:bCs/>
      <w:kern w:val="2"/>
      <w:sz w:val="28"/>
      <w:szCs w:val="28"/>
    </w:rPr>
  </w:style>
  <w:style w:type="character" w:customStyle="1" w:styleId="2844">
    <w:name w:val="标题 8 字符1"/>
    <w:qFormat/>
    <w:uiPriority w:val="99"/>
    <w:rPr>
      <w:rFonts w:ascii="Times New Roman" w:hAnsi="Times New Roman"/>
      <w:b/>
      <w:bCs/>
      <w:kern w:val="2"/>
      <w:sz w:val="28"/>
      <w:szCs w:val="28"/>
    </w:rPr>
  </w:style>
  <w:style w:type="character" w:customStyle="1" w:styleId="2845">
    <w:name w:val="标题 9 字符4"/>
    <w:basedOn w:val="84"/>
    <w:qFormat/>
    <w:uiPriority w:val="9"/>
    <w:rPr>
      <w:rFonts w:ascii="Arial" w:hAnsi="Arial" w:eastAsia="黑体"/>
      <w:sz w:val="28"/>
      <w:szCs w:val="21"/>
    </w:rPr>
  </w:style>
  <w:style w:type="character" w:customStyle="1" w:styleId="2846">
    <w:name w:val="批注文字 字符7"/>
    <w:basedOn w:val="84"/>
    <w:qFormat/>
    <w:uiPriority w:val="0"/>
    <w:rPr>
      <w:sz w:val="24"/>
      <w:szCs w:val="22"/>
    </w:rPr>
  </w:style>
  <w:style w:type="character" w:customStyle="1" w:styleId="2847">
    <w:name w:val="正文文本缩进 字符1"/>
    <w:basedOn w:val="84"/>
    <w:qFormat/>
    <w:uiPriority w:val="0"/>
    <w:rPr>
      <w:rFonts w:ascii="仿宋_GB2312" w:eastAsia="仿宋_GB2312"/>
      <w:spacing w:val="-2"/>
    </w:rPr>
  </w:style>
  <w:style w:type="character" w:customStyle="1" w:styleId="2848">
    <w:name w:val="纯文本 字符1"/>
    <w:qFormat/>
    <w:uiPriority w:val="0"/>
    <w:rPr>
      <w:rFonts w:ascii="宋体" w:hAnsi="Courier New"/>
      <w:kern w:val="2"/>
      <w:sz w:val="21"/>
      <w:szCs w:val="22"/>
    </w:rPr>
  </w:style>
  <w:style w:type="character" w:customStyle="1" w:styleId="2849">
    <w:name w:val="正文文本缩进 2 字符1"/>
    <w:qFormat/>
    <w:uiPriority w:val="0"/>
    <w:rPr>
      <w:rFonts w:ascii="Times New Roman" w:hAnsi="Times New Roman"/>
      <w:szCs w:val="24"/>
    </w:rPr>
  </w:style>
  <w:style w:type="character" w:customStyle="1" w:styleId="2850">
    <w:name w:val="批注框文本 字符3"/>
    <w:basedOn w:val="84"/>
    <w:qFormat/>
    <w:uiPriority w:val="0"/>
    <w:rPr>
      <w:rFonts w:ascii="宋体" w:hAnsi="宋体" w:cs="宋体"/>
      <w:sz w:val="18"/>
      <w:szCs w:val="18"/>
    </w:rPr>
  </w:style>
  <w:style w:type="character" w:customStyle="1" w:styleId="2851">
    <w:name w:val="页脚 字符4"/>
    <w:qFormat/>
    <w:uiPriority w:val="0"/>
    <w:rPr>
      <w:kern w:val="2"/>
      <w:sz w:val="18"/>
      <w:szCs w:val="18"/>
    </w:rPr>
  </w:style>
  <w:style w:type="character" w:customStyle="1" w:styleId="2852">
    <w:name w:val="页眉 字符1"/>
    <w:qFormat/>
    <w:uiPriority w:val="0"/>
    <w:rPr>
      <w:kern w:val="2"/>
      <w:sz w:val="18"/>
      <w:szCs w:val="18"/>
    </w:rPr>
  </w:style>
  <w:style w:type="character" w:customStyle="1" w:styleId="2853">
    <w:name w:val="普通(网站) 字符1"/>
    <w:qFormat/>
    <w:uiPriority w:val="99"/>
    <w:rPr>
      <w:rFonts w:ascii="宋体" w:hAnsi="宋体" w:cs="宋体"/>
      <w:sz w:val="24"/>
      <w:szCs w:val="24"/>
    </w:rPr>
  </w:style>
  <w:style w:type="character" w:customStyle="1" w:styleId="2854">
    <w:name w:val="标题 字符4"/>
    <w:qFormat/>
    <w:uiPriority w:val="0"/>
    <w:rPr>
      <w:rFonts w:ascii="Arial" w:hAnsi="Arial"/>
      <w:b/>
      <w:sz w:val="32"/>
    </w:rPr>
  </w:style>
  <w:style w:type="character" w:customStyle="1" w:styleId="2855">
    <w:name w:val="批注主题 字符4"/>
    <w:basedOn w:val="2846"/>
    <w:qFormat/>
    <w:uiPriority w:val="0"/>
    <w:rPr>
      <w:rFonts w:ascii="宋体" w:hAnsi="宋体" w:cs="宋体"/>
      <w:b/>
      <w:bCs/>
      <w:sz w:val="24"/>
      <w:szCs w:val="24"/>
    </w:rPr>
  </w:style>
  <w:style w:type="character" w:customStyle="1" w:styleId="2856">
    <w:name w:val="正文文本首行缩进 2 字符1"/>
    <w:qFormat/>
    <w:uiPriority w:val="0"/>
    <w:rPr>
      <w:rFonts w:ascii="仿宋_GB2312" w:hAnsi="Times New Roman" w:eastAsia="仿宋_GB2312"/>
      <w:sz w:val="28"/>
    </w:rPr>
  </w:style>
  <w:style w:type="paragraph" w:customStyle="1" w:styleId="2857">
    <w:name w:val="Table Text"/>
    <w:basedOn w:val="1"/>
    <w:semiHidden/>
    <w:qFormat/>
    <w:uiPriority w:val="0"/>
    <w:rPr>
      <w:sz w:val="20"/>
      <w:szCs w:val="20"/>
      <w:lang w:eastAsia="en-US"/>
    </w:rPr>
  </w:style>
  <w:style w:type="paragraph" w:customStyle="1" w:styleId="2858">
    <w:name w:val="00正文"/>
    <w:basedOn w:val="1"/>
    <w:qFormat/>
    <w:uiPriority w:val="0"/>
    <w:pPr>
      <w:snapToGrid w:val="0"/>
      <w:spacing w:line="460" w:lineRule="exact"/>
      <w:ind w:firstLine="560" w:firstLineChars="200"/>
      <w:jc w:val="both"/>
    </w:pPr>
    <w:rPr>
      <w:rFonts w:ascii="方正楷体简体" w:eastAsia="方正楷体简体" w:cs="Arial"/>
      <w:snapToGrid w:val="0"/>
      <w:szCs w:val="28"/>
    </w:rPr>
  </w:style>
  <w:style w:type="paragraph" w:customStyle="1" w:styleId="2859">
    <w:name w:val="标题12025"/>
    <w:basedOn w:val="4"/>
    <w:link w:val="2860"/>
    <w:qFormat/>
    <w:uiPriority w:val="0"/>
    <w:pPr>
      <w:numPr>
        <w:ilvl w:val="0"/>
        <w:numId w:val="6"/>
      </w:numPr>
    </w:pPr>
    <w:rPr>
      <w:b/>
    </w:rPr>
  </w:style>
  <w:style w:type="character" w:customStyle="1" w:styleId="2860">
    <w:name w:val="标题12025 字符"/>
    <w:basedOn w:val="2837"/>
    <w:link w:val="2859"/>
    <w:qFormat/>
    <w:uiPriority w:val="0"/>
    <w:rPr>
      <w:rFonts w:ascii="Calibri" w:hAnsi="Calibri" w:eastAsia="黑体"/>
      <w:b/>
      <w:kern w:val="2"/>
      <w:sz w:val="32"/>
      <w:szCs w:val="22"/>
    </w:rPr>
  </w:style>
  <w:style w:type="table" w:customStyle="1" w:styleId="2861">
    <w:name w:val="网格型5"/>
    <w:basedOn w:val="81"/>
    <w:qFormat/>
    <w:locked/>
    <w:uiPriority w:val="0"/>
    <w:rPr>
      <w:rFonts w:ascii="Calibri" w:hAnsi="Calibr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862">
    <w:name w:val="修订4"/>
    <w:hidden/>
    <w:semiHidden/>
    <w:qFormat/>
    <w:uiPriority w:val="99"/>
    <w:rPr>
      <w:rFonts w:ascii="宋体" w:hAnsi="宋体" w:eastAsia="宋体" w:cs="宋体"/>
      <w:sz w:val="24"/>
      <w:szCs w:val="24"/>
      <w:lang w:val="en-US" w:eastAsia="zh-CN" w:bidi="ar-SA"/>
    </w:rPr>
  </w:style>
  <w:style w:type="table" w:customStyle="1" w:styleId="2863">
    <w:name w:val="SSEC表格样式3"/>
    <w:basedOn w:val="81"/>
    <w:qFormat/>
    <w:uiPriority w:val="99"/>
    <w:pPr>
      <w:adjustRightInd w:val="0"/>
      <w:snapToGrid w:val="0"/>
    </w:pPr>
    <w:rPr>
      <w:kern w:val="2"/>
      <w:sz w:val="21"/>
      <w:szCs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paragraph" w:customStyle="1" w:styleId="2864">
    <w:name w:val="AAP-正文"/>
    <w:autoRedefine/>
    <w:qFormat/>
    <w:uiPriority w:val="0"/>
    <w:pPr>
      <w:widowControl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customStyle="1" w:styleId="2865">
    <w:name w:val="标题 44"/>
    <w:basedOn w:val="7"/>
    <w:qFormat/>
    <w:uiPriority w:val="0"/>
    <w:pPr>
      <w:adjustRightInd w:val="0"/>
      <w:snapToGrid w:val="0"/>
      <w:spacing w:line="360" w:lineRule="auto"/>
      <w:outlineLvl w:val="3"/>
    </w:pPr>
    <w:rPr>
      <w:rFonts w:ascii="Arial" w:hAnsi="Arial" w:cs="Arial"/>
      <w:sz w:val="24"/>
    </w:rPr>
  </w:style>
  <w:style w:type="paragraph" w:customStyle="1" w:styleId="2866">
    <w:name w:val="可研表格"/>
    <w:qFormat/>
    <w:uiPriority w:val="0"/>
    <w:pPr>
      <w:spacing w:line="360" w:lineRule="exact"/>
      <w:jc w:val="center"/>
    </w:pPr>
    <w:rPr>
      <w:rFonts w:ascii="宋体" w:hAnsi="宋体" w:eastAsia="宋体" w:cs="Times New Roman"/>
      <w:kern w:val="2"/>
      <w:sz w:val="21"/>
      <w:szCs w:val="24"/>
      <w:lang w:val="en-US" w:eastAsia="zh-CN" w:bidi="ar-SA"/>
    </w:rPr>
  </w:style>
  <w:style w:type="paragraph" w:customStyle="1" w:styleId="2867">
    <w:name w:val="0正文缩进"/>
    <w:basedOn w:val="6"/>
    <w:autoRedefine/>
    <w:qFormat/>
    <w:uiPriority w:val="0"/>
    <w:pPr>
      <w:spacing w:line="360" w:lineRule="auto"/>
    </w:pPr>
    <w:rPr>
      <w:rFonts w:eastAsiaTheme="minorEastAsia" w:cstheme="minorBidi"/>
      <w:kern w:val="2"/>
      <w:sz w:val="24"/>
    </w:rPr>
  </w:style>
  <w:style w:type="paragraph" w:customStyle="1" w:styleId="2868">
    <w:name w:val="A表格"/>
    <w:qFormat/>
    <w:uiPriority w:val="0"/>
    <w:pPr>
      <w:adjustRightInd w:val="0"/>
      <w:jc w:val="center"/>
      <w:textAlignment w:val="baseline"/>
    </w:pPr>
    <w:rPr>
      <w:rFonts w:ascii="Times New Roman" w:hAnsi="Times New Roman" w:eastAsia="宋体" w:cs="宋体"/>
      <w:kern w:val="28"/>
      <w:sz w:val="21"/>
      <w:szCs w:val="21"/>
      <w:lang w:val="en-US" w:eastAsia="zh-CN" w:bidi="ar-SA"/>
    </w:rPr>
  </w:style>
  <w:style w:type="paragraph" w:customStyle="1" w:styleId="2869">
    <w:name w:val="A正文"/>
    <w:basedOn w:val="1"/>
    <w:qFormat/>
    <w:uiPriority w:val="0"/>
    <w:pPr>
      <w:overflowPunct w:val="0"/>
      <w:autoSpaceDE w:val="0"/>
      <w:autoSpaceDN w:val="0"/>
      <w:adjustRightInd w:val="0"/>
      <w:snapToGrid w:val="0"/>
      <w:textAlignment w:val="baseline"/>
    </w:pPr>
    <w:rPr>
      <w:rFonts w:cs="Times New Roman"/>
      <w:color w:val="000000"/>
    </w:rPr>
  </w:style>
  <w:style w:type="table" w:customStyle="1" w:styleId="2870">
    <w:name w:val="验收"/>
    <w:basedOn w:val="81"/>
    <w:qFormat/>
    <w:uiPriority w:val="99"/>
    <w:pPr>
      <w:widowControl w:val="0"/>
      <w:jc w:val="center"/>
    </w:pPr>
    <w:tblPr>
      <w:tblBorders>
        <w:top w:val="single" w:color="auto" w:sz="4" w:space="0"/>
        <w:bottom w:val="single" w:color="auto" w:sz="4" w:space="0"/>
        <w:insideH w:val="single" w:color="auto" w:sz="4" w:space="0"/>
        <w:insideV w:val="single" w:color="auto" w:sz="4" w:space="0"/>
      </w:tblBorders>
    </w:tblPr>
    <w:tcPr>
      <w:vAlign w:val="center"/>
    </w:tc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9" Type="http://schemas.openxmlformats.org/officeDocument/2006/relationships/fontTable" Target="fontTable.xml"/><Relationship Id="rId78" Type="http://schemas.openxmlformats.org/officeDocument/2006/relationships/customXml" Target="../customXml/item3.xml"/><Relationship Id="rId77" Type="http://schemas.openxmlformats.org/officeDocument/2006/relationships/customXml" Target="../customXml/item2.xml"/><Relationship Id="rId76" Type="http://schemas.openxmlformats.org/officeDocument/2006/relationships/numbering" Target="numbering.xml"/><Relationship Id="rId75" Type="http://schemas.openxmlformats.org/officeDocument/2006/relationships/customXml" Target="../customXml/item1.xml"/><Relationship Id="rId74" Type="http://schemas.openxmlformats.org/officeDocument/2006/relationships/image" Target="media/image59.png"/><Relationship Id="rId73" Type="http://schemas.openxmlformats.org/officeDocument/2006/relationships/image" Target="media/image58.png"/><Relationship Id="rId72" Type="http://schemas.openxmlformats.org/officeDocument/2006/relationships/image" Target="media/image57.png"/><Relationship Id="rId71" Type="http://schemas.openxmlformats.org/officeDocument/2006/relationships/image" Target="media/image56.png"/><Relationship Id="rId70" Type="http://schemas.openxmlformats.org/officeDocument/2006/relationships/image" Target="media/image55.jpeg"/><Relationship Id="rId7" Type="http://schemas.openxmlformats.org/officeDocument/2006/relationships/header" Target="header3.xml"/><Relationship Id="rId69" Type="http://schemas.openxmlformats.org/officeDocument/2006/relationships/image" Target="media/image54.jpeg"/><Relationship Id="rId68" Type="http://schemas.openxmlformats.org/officeDocument/2006/relationships/image" Target="media/image53.png"/><Relationship Id="rId67" Type="http://schemas.openxmlformats.org/officeDocument/2006/relationships/image" Target="media/image52.png"/><Relationship Id="rId66" Type="http://schemas.openxmlformats.org/officeDocument/2006/relationships/image" Target="media/image51.png"/><Relationship Id="rId65" Type="http://schemas.openxmlformats.org/officeDocument/2006/relationships/image" Target="media/image50.png"/><Relationship Id="rId64" Type="http://schemas.openxmlformats.org/officeDocument/2006/relationships/image" Target="media/image49.png"/><Relationship Id="rId63" Type="http://schemas.openxmlformats.org/officeDocument/2006/relationships/image" Target="media/image48.png"/><Relationship Id="rId62" Type="http://schemas.openxmlformats.org/officeDocument/2006/relationships/image" Target="media/image47.png"/><Relationship Id="rId61" Type="http://schemas.openxmlformats.org/officeDocument/2006/relationships/image" Target="media/image46.png"/><Relationship Id="rId60" Type="http://schemas.openxmlformats.org/officeDocument/2006/relationships/image" Target="media/image45.png"/><Relationship Id="rId6" Type="http://schemas.openxmlformats.org/officeDocument/2006/relationships/footer" Target="footer2.xml"/><Relationship Id="rId59" Type="http://schemas.openxmlformats.org/officeDocument/2006/relationships/image" Target="media/image44.png"/><Relationship Id="rId58" Type="http://schemas.openxmlformats.org/officeDocument/2006/relationships/image" Target="media/image43.png"/><Relationship Id="rId57" Type="http://schemas.openxmlformats.org/officeDocument/2006/relationships/image" Target="media/image42.jpeg"/><Relationship Id="rId56" Type="http://schemas.openxmlformats.org/officeDocument/2006/relationships/image" Target="media/image41.png"/><Relationship Id="rId55" Type="http://schemas.openxmlformats.org/officeDocument/2006/relationships/image" Target="media/image40.png"/><Relationship Id="rId54" Type="http://schemas.openxmlformats.org/officeDocument/2006/relationships/image" Target="media/image39.jpeg"/><Relationship Id="rId53" Type="http://schemas.openxmlformats.org/officeDocument/2006/relationships/image" Target="media/image38.jpeg"/><Relationship Id="rId52" Type="http://schemas.openxmlformats.org/officeDocument/2006/relationships/image" Target="media/image37.jpeg"/><Relationship Id="rId51" Type="http://schemas.openxmlformats.org/officeDocument/2006/relationships/image" Target="media/image36.jpeg"/><Relationship Id="rId50" Type="http://schemas.openxmlformats.org/officeDocument/2006/relationships/image" Target="media/image35.jpeg"/><Relationship Id="rId5" Type="http://schemas.openxmlformats.org/officeDocument/2006/relationships/header" Target="header2.xml"/><Relationship Id="rId49" Type="http://schemas.openxmlformats.org/officeDocument/2006/relationships/image" Target="media/image34.wmf"/><Relationship Id="rId48" Type="http://schemas.openxmlformats.org/officeDocument/2006/relationships/image" Target="media/image33.wmf"/><Relationship Id="rId47" Type="http://schemas.openxmlformats.org/officeDocument/2006/relationships/image" Target="media/image32.wmf"/><Relationship Id="rId46" Type="http://schemas.openxmlformats.org/officeDocument/2006/relationships/image" Target="media/image31.png"/><Relationship Id="rId45" Type="http://schemas.openxmlformats.org/officeDocument/2006/relationships/image" Target="media/image30.png"/><Relationship Id="rId44" Type="http://schemas.openxmlformats.org/officeDocument/2006/relationships/image" Target="media/image29.png"/><Relationship Id="rId43" Type="http://schemas.openxmlformats.org/officeDocument/2006/relationships/image" Target="media/image28.jpeg"/><Relationship Id="rId42" Type="http://schemas.openxmlformats.org/officeDocument/2006/relationships/image" Target="media/image27.png"/><Relationship Id="rId41" Type="http://schemas.openxmlformats.org/officeDocument/2006/relationships/image" Target="media/image26.png"/><Relationship Id="rId40" Type="http://schemas.openxmlformats.org/officeDocument/2006/relationships/image" Target="media/image25.png"/><Relationship Id="rId4" Type="http://schemas.openxmlformats.org/officeDocument/2006/relationships/footer" Target="footer1.xml"/><Relationship Id="rId39" Type="http://schemas.openxmlformats.org/officeDocument/2006/relationships/image" Target="media/image24.png"/><Relationship Id="rId38" Type="http://schemas.openxmlformats.org/officeDocument/2006/relationships/image" Target="media/image23.png"/><Relationship Id="rId37" Type="http://schemas.openxmlformats.org/officeDocument/2006/relationships/image" Target="media/image22.wmf"/><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wmf"/><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jpeg"/><Relationship Id="rId30" Type="http://schemas.openxmlformats.org/officeDocument/2006/relationships/image" Target="media/image15.png"/><Relationship Id="rId3" Type="http://schemas.openxmlformats.org/officeDocument/2006/relationships/header" Target="header1.xml"/><Relationship Id="rId29" Type="http://schemas.openxmlformats.org/officeDocument/2006/relationships/image" Target="media/image14.jpeg"/><Relationship Id="rId28" Type="http://schemas.openxmlformats.org/officeDocument/2006/relationships/image" Target="media/image13.jpeg"/><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image" Target="media/image2.png"/><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26d75945-b7ae-4381-90b3-b72fb15be3f0</errorID>
      <errorWord>二零二</errorWord>
      <group>L1_Word</group>
      <groupName>字词问题</groupName>
      <ability>L2_Alias</ability>
      <abilityName>也作/曾用词</abilityName>
      <candidateList>
        <item>二○二</item>
      </candidateList>
      <explain>词汇[二零二]为不规范表述或旧称，其规范书面表述为[二○二]。</explain>
      <paraID> 46EFE1A</paraID>
      <start>5</start>
      <end>8</end>
      <status>unmodified</status>
      <modifiedWord/>
      <trackRevisions>false</trackRevisions>
    </reviewItem>
    <reviewItem>
      <errorID>88b67211-9de7-410c-98fb-1205f4d82471</errorID>
      <errorWord>加</errorWord>
      <group>L1_Word</group>
      <groupName>字词问题</groupName>
      <ability>L2_Typo</ability>
      <abilityName>字词错误</abilityName>
      <candidateList>
        <item>加大</item>
      </candidateList>
      <explain/>
      <paraID>1803EDC6</paraID>
      <start>18</start>
      <end>19</end>
      <status>unmodified</status>
      <modifiedWord/>
      <trackRevisions>false</trackRevisions>
    </reviewItem>
    <reviewItem>
      <errorID>1f1faa52-3311-4641-a205-80d658d824a7</errorID>
      <errorWord>１</errorWord>
      <group>L1_Format</group>
      <groupName>格式问题</groupName>
      <ability>L2_HalfPunc</ability>
      <abilityName>全半角检查</abilityName>
      <candidateList>
        <item>1</item>
      </candidateList>
      <explain>文本全半角错误。</explain>
      <paraID>1803EDC6</paraID>
      <start>165</start>
      <end>166</end>
      <status>ignored</status>
      <modifiedWord/>
      <trackRevisions>false</trackRevisions>
    </reviewItem>
    <reviewItem>
      <errorID>f817c7de-59c8-478a-99dc-8ce84bdf2a53</errorID>
      <errorWord>１</errorWord>
      <group>L1_Format</group>
      <groupName>格式问题</groupName>
      <ability>L2_HalfPunc</ability>
      <abilityName>全半角检查</abilityName>
      <candidateList>
        <item>1</item>
      </candidateList>
      <explain>文本全半角错误。</explain>
      <paraID>1803EDC6</paraID>
      <start>202</start>
      <end>203</end>
      <status>ignored</status>
      <modifiedWord/>
      <trackRevisions>false</trackRevisions>
    </reviewItem>
    <reviewItem>
      <errorID>1fbacab6-6412-4731-b187-0357d19dc7d7</errorID>
      <errorWord>、以及</errorWord>
      <group>L1_Punc</group>
      <groupName>标点问题</groupName>
      <ability>L2_Punc</ability>
      <abilityName>标点符号检查</abilityName>
      <candidateList>
        <item>，以及</item>
      </candidateList>
      <explain>连接词前后不宜使用顿号，建议使用逗号。</explain>
      <paraID>402FFE3A</paraID>
      <start>151</start>
      <end>154</end>
      <status>unmodified</status>
      <modifiedWord/>
      <trackRevisions>false</trackRevisions>
    </reviewItem>
    <reviewItem>
      <errorID>b41d1c2d-bdcc-4092-a7c9-773a89a5d242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77B2DC2F</paraID>
      <start>18</start>
      <end>19</end>
      <status>ignored</status>
      <modifiedWord/>
      <trackRevisions>false</trackRevisions>
    </reviewItem>
    <reviewItem>
      <errorID>c466f2bd-bd25-4864-868e-341c26ef12d4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77B2DC2F</paraID>
      <start>42</start>
      <end>43</end>
      <status>ignored</status>
      <modifiedWord/>
      <trackRevisions>false</trackRevisions>
    </reviewItem>
    <reviewItem>
      <errorID>01bdc5bd-ba0d-43bf-a8c3-7b6cec15a523</errorID>
      <errorWord>[2018]第24号</errorWord>
      <group>L1_Knowledge</group>
      <groupName>知识性问题</groupName>
      <ability>L2_Knowledge</ability>
      <abilityName>其他知识</abilityName>
      <candidateList>
        <item>〔2018〕24号</item>
      </candidateList>
      <explain>发文字号格式错误。</explain>
      <paraID>62C78023</paraID>
      <start>77</start>
      <end>87</end>
      <status>unmodified</status>
      <modifiedWord/>
      <trackRevisions>false</trackRevisions>
    </reviewItem>
    <reviewItem>
      <errorID>0726863c-1247-4c28-bc5e-33e2e8e8795e</errorID>
      <errorWord>[2019]910号</errorWord>
      <group>L1_Knowledge</group>
      <groupName>知识性问题</groupName>
      <ability>L2_Knowledge</ability>
      <abilityName>其他知识</abilityName>
      <candidateList>
        <item>〔2019〕910号</item>
      </candidateList>
      <explain>发文字号格式错误。</explain>
      <paraID>62C78023</paraID>
      <start>171</start>
      <end>181</end>
      <status>unmodified</status>
      <modifiedWord/>
      <trackRevisions>false</trackRevisions>
    </reviewItem>
    <reviewItem>
      <errorID>dea82ec9-37bf-45f1-914d-8a93ef748dde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1EC72DEE</paraID>
      <start>21</start>
      <end>22</end>
      <status>ignored</status>
      <modifiedWord/>
      <trackRevisions>false</trackRevisions>
    </reviewItem>
    <reviewItem>
      <errorID>c310054a-05f1-4823-b270-a13244ad4449</errorID>
      <errorWord>位于位于</errorWord>
      <group>L1_Word</group>
      <groupName>字词问题</groupName>
      <ability>L2_Typo</ability>
      <abilityName>字词错误</abilityName>
      <candidateList>
        <item>位于</item>
      </candidateList>
      <explain/>
      <paraID>4B7C6DFB</paraID>
      <start>3</start>
      <end>7</end>
      <status>unmodified</status>
      <modifiedWord/>
      <trackRevisions>false</trackRevisions>
    </reviewItem>
    <reviewItem>
      <errorID>c4a6086e-02d4-4e4a-b9ae-75a0b6c68e40</errorID>
      <errorWord>期</errorWord>
      <group>L1_Word</group>
      <groupName>字词问题</groupName>
      <ability>L2_Typo</ability>
      <abilityName>字词错误</abilityName>
      <candidateList>
        <item>期间</item>
      </candidateList>
      <explain>〈名〉某个时期里面：农忙～｜春节～｜抗战～。</explain>
      <paraID>40E1599F</paraID>
      <start>2</start>
      <end>3</end>
      <status>ignored</status>
      <modifiedWord/>
      <trackRevisions>false</trackRevisions>
    </reviewItem>
    <reviewItem>
      <errorID>19263428-e90a-45db-b210-ac9faddf2724</errorID>
      <errorWord>座井</errorWord>
      <group>L1_Knowledge</group>
      <groupName>知识性问题</groupName>
      <ability>L2_Knowledge</ability>
      <abilityName>其他知识</abilityName>
      <candidateList>
        <item>井井</item>
      </candidateList>
      <explain/>
      <paraID>40E1599F</paraID>
      <start>28</start>
      <end>30</end>
      <status>unmodified</status>
      <modifiedWord/>
      <trackRevisions>false</trackRevisions>
    </reviewItem>
    <reviewItem>
      <errorID>82bee43f-3fd4-4dde-8a37-30639686e4ca</errorID>
      <errorWord>１</errorWord>
      <group>L1_Format</group>
      <groupName>格式问题</groupName>
      <ability>L2_HalfPunc</ability>
      <abilityName>全半角检查</abilityName>
      <candidateList>
        <item>1</item>
      </candidateList>
      <explain>文本全半角错误。</explain>
      <paraID>40E1599F</paraID>
      <start>41</start>
      <end>42</end>
      <status>ignored</status>
      <modifiedWord/>
      <trackRevisions>false</trackRevisions>
    </reviewItem>
    <reviewItem>
      <errorID>a5c85850-753c-4a72-8f07-34e751a1b98c</errorID>
      <errorWord>１</errorWord>
      <group>L1_Format</group>
      <groupName>格式问题</groupName>
      <ability>L2_HalfPunc</ability>
      <abilityName>全半角检查</abilityName>
      <candidateList>
        <item>1</item>
      </candidateList>
      <explain>文本全半角错误。</explain>
      <paraID>40E1599F</paraID>
      <start>65</start>
      <end>66</end>
      <status>ignored</status>
      <modifiedWord/>
      <trackRevisions>false</trackRevisions>
    </reviewItem>
    <reviewItem>
      <errorID>7fe0318e-5cd7-4952-a01b-769397f463a3</errorID>
      <errorWord>期</errorWord>
      <group>L1_Word</group>
      <groupName>字词问题</groupName>
      <ability>L2_Typo</ability>
      <abilityName>字词错误</abilityName>
      <candidateList>
        <item>期间</item>
      </candidateList>
      <explain>〈名〉某个时期里面：农忙～｜春节～｜抗战～。</explain>
      <paraID>6873C178</paraID>
      <start>2</start>
      <end>3</end>
      <status>ignored</status>
      <modifiedWord/>
      <trackRevisions>false</trackRevisions>
    </reviewItem>
    <reviewItem>
      <errorID>f1272039-6ba8-40c2-bf93-aa6f6758b978</errorID>
      <errorWord>噪音</errorWord>
      <group>L1_Word</group>
      <groupName>字词问题</groupName>
      <ability>L2_Alias</ability>
      <abilityName>也作/曾用词</abilityName>
      <candidateList>
        <item>噪声</item>
      </candidateList>
      <explain>词汇[噪音]为不规范表述或旧称，其规范书面表述为[噪声]。</explain>
      <paraID>675B086F</paraID>
      <start>71</start>
      <end>73</end>
      <status>unmodified</status>
      <modifiedWord/>
      <trackRevisions>false</trackRevisions>
    </reviewItem>
    <reviewItem>
      <errorID>09c67981-0b46-4f32-a657-1815c7ed64d0</errorID>
      <errorWord>期</errorWord>
      <group>L1_Word</group>
      <groupName>字词问题</groupName>
      <ability>L2_Typo</ability>
      <abilityName>字词错误</abilityName>
      <candidateList>
        <item>期间</item>
      </candidateList>
      <explain>〈名〉某个时期里面：农忙～｜春节～｜抗战～。</explain>
      <paraID>23808EE6</paraID>
      <start>2</start>
      <end>3</end>
      <status>ignored</status>
      <modifiedWord/>
      <trackRevisions>false</trackRevisions>
    </reviewItem>
    <reviewItem>
      <errorID>ac8d798f-0931-422e-a5f1-c51d6a3d0b70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23808EE6</paraID>
      <start>110</start>
      <end>111</end>
      <status>ignored</status>
      <modifiedWord/>
      <trackRevisions>false</trackRevisions>
    </reviewItem>
    <reviewItem>
      <errorID>0c13a536-fd86-4ee4-a352-bb67aaf91b66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23808EE6</paraID>
      <start>223</start>
      <end>224</end>
      <status>ignored</status>
      <modifiedWord/>
      <trackRevisions>false</trackRevisions>
    </reviewItem>
    <reviewItem>
      <errorID>4eb4a12e-767c-4183-9d50-5e8be008f5ff</errorID>
      <errorWord>期</errorWord>
      <group>L1_Word</group>
      <groupName>字词问题</groupName>
      <ability>L2_Typo</ability>
      <abilityName>字词错误</abilityName>
      <candidateList>
        <item>期间</item>
      </candidateList>
      <explain>〈名〉某个时期里面：农忙～｜春节～｜抗战～。</explain>
      <paraID>23808EE6</paraID>
      <start>262</start>
      <end>263</end>
      <status>ignored</status>
      <modifiedWord/>
      <trackRevisions>false</trackRevisions>
    </reviewItem>
    <reviewItem>
      <errorID>b845c65c-b53e-4359-9a3f-87bddfd6712a</errorID>
      <errorWord>灌</errorWord>
      <group>L1_Word</group>
      <groupName>字词问题</groupName>
      <ability>L2_Typo</ability>
      <abilityName>字词错误</abilityName>
      <candidateList>
        <item>罐</item>
      </candidateList>
      <explain>存在发音相同字词的误用。</explain>
      <paraID>23808EE6</paraID>
      <start>278</start>
      <end>279</end>
      <status>unmodified</status>
      <modifiedWord/>
      <trackRevisions>false</trackRevisions>
    </reviewItem>
    <reviewItem>
      <errorID>c60fa604-a2f3-442e-9c7e-16daf40e8490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1A0C6F40</paraID>
      <start>81</start>
      <end>82</end>
      <status>ignored</status>
      <modifiedWord/>
      <trackRevisions>false</trackRevisions>
    </reviewItem>
    <reviewItem>
      <errorID>90ab79d5-bce4-4ecb-adf7-850f22f6bfb1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1A0C6F40</paraID>
      <start>148</start>
      <end>149</end>
      <status>ignored</status>
      <modifiedWord/>
      <trackRevisions>false</trackRevisions>
    </reviewItem>
    <reviewItem>
      <errorID>a78fd4b8-17e6-4cfa-8590-961791a102ea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3A79DAD2</paraID>
      <start>114</start>
      <end>115</end>
      <status>ignored</status>
      <modifiedWord/>
      <trackRevisions>false</trackRevisions>
    </reviewItem>
    <reviewItem>
      <errorID>71c84b00-d518-4376-babb-798f43aef512</errorID>
      <errorWord>设</errorWord>
      <group>L1_Word</group>
      <groupName>字词问题</groupName>
      <ability>L2_Typo</ability>
      <abilityName>字词错误</abilityName>
      <candidateList>
        <item>设置</item>
      </candidateList>
      <explain>〈动〉❶设立：这座剧院是为儿童～的。❷安放；安装：～障碍。</explain>
      <paraID>3A79DAD2</paraID>
      <start>128</start>
      <end>129</end>
      <status>unmodified</status>
      <modifiedWord/>
      <trackRevisions>false</trackRevisions>
    </reviewItem>
    <reviewItem>
      <errorID>545605dc-9888-4959-8190-63421b0a5b1e</errorID>
      <errorWord>燃气中</errorWord>
      <group>L1_Word</group>
      <groupName>字词问题</groupName>
      <ability>L2_Typo</ability>
      <abilityName>字词错误</abilityName>
      <candidateList>
        <item>燃气</item>
      </candidateList>
      <explain/>
      <paraID>6C7A13B7</paraID>
      <start>178</start>
      <end>181</end>
      <status>unmodified</status>
      <modifiedWord/>
      <trackRevisions>false</trackRevisions>
    </reviewItem>
    <reviewItem>
      <errorID>6dc5108c-bb50-4026-a62d-41e7b04e26cb</errorID>
      <errorWord>(</errorWord>
      <group>L1_Format</group>
      <groupName>格式问题</groupName>
      <ability>L2_HalfPunc</ability>
      <abilityName>全半角检查</abilityName>
      <candidateList>
        <item>（</item>
      </candidateList>
      <explain>文本全半角错误。</explain>
      <paraID>6C7A13B7</paraID>
      <start>350</start>
      <end>351</end>
      <status>ignored</status>
      <modifiedWord/>
      <trackRevisions>false</trackRevisions>
    </reviewItem>
    <reviewItem>
      <errorID>91a69a15-20ed-4a12-bef8-5a3b5204f7ae</errorID>
      <errorWord>)</errorWord>
      <group>L1_Format</group>
      <groupName>格式问题</groupName>
      <ability>L2_HalfPunc</ability>
      <abilityName>全半角检查</abilityName>
      <candidateList>
        <item>）</item>
      </candidateList>
      <explain>文本全半角错误。</explain>
      <paraID>6C7A13B7</paraID>
      <start>364</start>
      <end>365</end>
      <status>ignored</status>
      <modifiedWord/>
      <trackRevisions>false</trackRevisions>
    </reviewItem>
    <reviewItem>
      <errorID>d3fac9d3-a371-482d-ad59-ffa5b8b6d496</errorID>
      <errorWord>(</errorWord>
      <group>L1_Format</group>
      <groupName>格式问题</groupName>
      <ability>L2_HalfPunc</ability>
      <abilityName>全半角检查</abilityName>
      <candidateList>
        <item>（</item>
      </candidateList>
      <explain>文本全半角错误。</explain>
      <paraID>4E074A54</paraID>
      <start>202</start>
      <end>203</end>
      <status>ignored</status>
      <modifiedWord/>
      <trackRevisions>false</trackRevisions>
    </reviewItem>
    <reviewItem>
      <errorID>a667798a-0765-4aee-8e70-2a4bb743e02c</errorID>
      <errorWord>)</errorWord>
      <group>L1_Format</group>
      <groupName>格式问题</groupName>
      <ability>L2_HalfPunc</ability>
      <abilityName>全半角检查</abilityName>
      <candidateList>
        <item>）</item>
      </candidateList>
      <explain>文本全半角错误。</explain>
      <paraID>4E074A54</paraID>
      <start>216</start>
      <end>217</end>
      <status>ignored</status>
      <modifiedWord/>
      <trackRevisions>false</trackRevisions>
    </reviewItem>
    <reviewItem>
      <errorID>10210c75-f940-48a9-9b9c-14ea1745de92</errorID>
      <errorWord>减震</errorWord>
      <group>L1_Word</group>
      <groupName>字词问题</groupName>
      <ability>L2_Typo</ability>
      <abilityName>字词错误</abilityName>
      <candidateList>
        <item>减振</item>
      </candidateList>
      <explain>存在发音相同字词的误用。</explain>
      <paraID> FC5AC10</paraID>
      <start>63</start>
      <end>65</end>
      <status>unmodified</status>
      <modifiedWord/>
      <trackRevisions>false</trackRevisions>
    </reviewItem>
    <reviewItem>
      <errorID>bb841ebf-bf15-4bfb-b9e4-fb0425a82324</errorID>
      <errorWord>期</errorWord>
      <group>L1_Word</group>
      <groupName>字词问题</groupName>
      <ability>L2_Typo</ability>
      <abilityName>字词错误</abilityName>
      <candidateList>
        <item>期间</item>
      </candidateList>
      <explain>〈名〉某个时期里面：农忙～｜春节～｜抗战～。</explain>
      <paraID>26A39C4B</paraID>
      <start>73</start>
      <end>74</end>
      <status>ignored</status>
      <modifiedWord/>
      <trackRevisions>false</trackRevisions>
    </reviewItem>
    <reviewItem>
      <errorID>d623d116-152d-417b-bc81-bf3cc04796db</errorID>
      <errorWord>[2018]第24号</errorWord>
      <group>L1_Knowledge</group>
      <groupName>知识性问题</groupName>
      <ability>L2_Knowledge</ability>
      <abilityName>其他知识</abilityName>
      <candidateList>
        <item>〔2018〕24号</item>
      </candidateList>
      <explain>发文字号格式错误。</explain>
      <paraID>3F53FF4A</paraID>
      <start>123</start>
      <end>133</end>
      <status>unmodified</status>
      <modifiedWord/>
      <trackRevisions>false</trackRevisions>
    </reviewItem>
    <reviewItem>
      <errorID>68570ed0-23e2-433e-80b5-0ae3ac8755f8</errorID>
      <errorWord>〔2018〕第4号</errorWord>
      <group>L1_Knowledge</group>
      <groupName>知识性问题</groupName>
      <ability>L2_Knowledge</ability>
      <abilityName>其他知识</abilityName>
      <candidateList>
        <item>〔2018〕4号</item>
      </candidateList>
      <explain>发文字号格式错误。</explain>
      <paraID>3F53FF4A</paraID>
      <start>166</start>
      <end>175</end>
      <status>unmodified</status>
      <modifiedWord/>
      <trackRevisions>false</trackRevisions>
    </reviewItem>
    <reviewItem>
      <errorID>8e318688-561c-46a9-8e41-d6839c72ae5a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3F53FF4A</paraID>
      <start>315</start>
      <end>316</end>
      <status>unmodified</status>
      <modifiedWord/>
      <trackRevisions>false</trackRevisions>
    </reviewItem>
    <reviewItem>
      <errorID>24d531ce-d0b5-435f-bee8-f16b8a612976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3F53FF4A</paraID>
      <start>412</start>
      <end>413</end>
      <status>unmodified</status>
      <modifiedWord/>
      <trackRevisions>false</trackRevisions>
    </reviewItem>
    <reviewItem>
      <errorID>af98a6a6-951f-4832-819e-6b0493b44a57</errorID>
      <errorWord>，</errorWord>
      <group>L1_Word</group>
      <groupName>字词问题</groupName>
      <ability>L2_Typo</ability>
      <abilityName>字词错误</abilityName>
      <candidateList>
        <item>，在</item>
      </candidateList>
      <explain/>
      <paraID>3F53FF4A</paraID>
      <start>568</start>
      <end>569</end>
      <status>unmodified</status>
      <modifiedWord/>
      <trackRevisions>false</trackRevisions>
    </reviewItem>
    <reviewItem>
      <errorID>b9d71558-3944-4ee2-bf65-6f71b57b4ccb</errorID>
      <errorWord>[2023]第7号</errorWord>
      <group>L1_Knowledge</group>
      <groupName>知识性问题</groupName>
      <ability>L2_Knowledge</ability>
      <abilityName>其他知识</abilityName>
      <candidateList>
        <item>〔2023〕7号</item>
      </candidateList>
      <explain>发文字号格式错误。</explain>
      <paraID>3EEE8FDB</paraID>
      <start>46</start>
      <end>55</end>
      <status>unmodified</status>
      <modifiedWord/>
      <trackRevisions>false</trackRevisions>
    </reviewItem>
    <reviewItem>
      <errorID>452c899c-2420-4356-8a24-65a516dc8959</errorID>
      <errorWord>…等</errorWord>
      <group>L1_Punc</group>
      <groupName>标点问题</groupName>
      <ability>L2_Punc</ability>
      <abilityName>标点符号检查</abilityName>
      <candidateList>
        <item>等</item>
      </candidateList>
      <explain>〈助〉❶〈书〉用在人称代词或指人的名词后面，表示复数：我～｜彼～。❷表示列举未尽（可以叠用）：北京、天津～地｜纸张文具～～。❸列举后煞尾：长江、黄河、黑龙江、珠江～四大河流。</explain>
      <paraID>554EB484</paraID>
      <start>76</start>
      <end>78</end>
      <status>unmodified</status>
      <modifiedWord/>
      <trackRevisions>false</trackRevisions>
    </reviewItem>
    <reviewItem>
      <errorID>4c7b5774-2081-4732-ab7e-3d0b3920a006</errorID>
      <errorWord>-</errorWord>
      <group>L1_Format</group>
      <groupName>格式问题</groupName>
      <ability>L2_HalfPunc</ability>
      <abilityName>全半角检查</abilityName>
      <candidateList>
        <item>－</item>
      </candidateList>
      <explain>文本全半角错误。</explain>
      <paraID> 17B6B40</paraID>
      <start>80</start>
      <end>81</end>
      <status>unmodified</status>
      <modifiedWord/>
      <trackRevisions>false</trackRevisions>
    </reviewItem>
    <reviewItem>
      <errorID>47fdda48-07fd-498d-8fde-78bb560bf470</errorID>
      <errorWord>-</errorWord>
      <group>L1_Format</group>
      <groupName>格式问题</groupName>
      <ability>L2_HalfPunc</ability>
      <abilityName>全半角检查</abilityName>
      <candidateList>
        <item>－</item>
      </candidateList>
      <explain>文本全半角错误。</explain>
      <paraID> 17B6B40</paraID>
      <start>83</start>
      <end>84</end>
      <status>unmodified</status>
      <modifiedWord/>
      <trackRevisions>false</trackRevisions>
    </reviewItem>
    <reviewItem>
      <errorID>63cc9290-9e71-4309-8f67-21b2b4269d28</errorID>
      <errorWord>〔2019〕第32号</errorWord>
      <group>L1_Knowledge</group>
      <groupName>知识性问题</groupName>
      <ability>L2_Knowledge</ability>
      <abilityName>其他知识</abilityName>
      <candidateList>
        <item>〔2019〕32号</item>
      </candidateList>
      <explain>发文字号格式错误。</explain>
      <paraID> C9C5EC9</paraID>
      <start>284</start>
      <end>294</end>
      <status>unmodified</status>
      <modifiedWord/>
      <trackRevisions>false</trackRevisions>
    </reviewItem>
    <reviewItem>
      <errorID>a8d9786a-3e34-4073-9c60-1a2b35b4a073</errorID>
      <errorWord>符合的</errorWord>
      <group>L1_Word</group>
      <groupName>字词问题</groupName>
      <ability>L2_Typo</ability>
      <abilityName>字词错误</abilityName>
      <candidateList>
        <item>符合</item>
      </candidateList>
      <explain>〈动〉（数量、形状、情节等）相合：～事实｜这些产品不～质量标准。</explain>
      <paraID> C9C5EC9</paraID>
      <start>462</start>
      <end>465</end>
      <status>unmodified</status>
      <modifiedWord/>
      <trackRevisions>false</trackRevisions>
    </reviewItem>
    <reviewItem>
      <errorID>33f0d04a-b1ca-45b6-9ef1-c0030e2b95f8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27FE9256</paraID>
      <start>79</start>
      <end>80</end>
      <status>ignored</status>
      <modifiedWord/>
      <trackRevisions>false</trackRevisions>
    </reviewItem>
    <reviewItem>
      <errorID>1a425431-de3d-436c-b9c8-7f67a563950c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27FE9256</paraID>
      <start>119</start>
      <end>120</end>
      <status>ignored</status>
      <modifiedWord/>
      <trackRevisions>false</trackRevisions>
    </reviewItem>
    <reviewItem>
      <errorID>fc2037e9-8c01-4609-ae14-1906fef375fb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27FE9256</paraID>
      <start>249</start>
      <end>250</end>
      <status>ignored</status>
      <modifiedWord/>
      <trackRevisions>false</trackRevisions>
    </reviewItem>
    <reviewItem>
      <errorID>ddfe7642-e1e2-4b63-b3c3-87b66fd3f64e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27FE9256</paraID>
      <start>289</start>
      <end>290</end>
      <status>ignored</status>
      <modifiedWord/>
      <trackRevisions>false</trackRevisions>
    </reviewItem>
    <reviewItem>
      <errorID>c33b4205-8c6b-46b9-a305-ed5db723f8e9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22999033</paraID>
      <start>21</start>
      <end>22</end>
      <status>ignored</status>
      <modifiedWord/>
      <trackRevisions>false</trackRevisions>
    </reviewItem>
    <reviewItem>
      <errorID>14b0f245-9e48-4e57-9fa9-5f6733aac8e0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783DB9E8</paraID>
      <start>19</start>
      <end>20</end>
      <status>ignored</status>
      <modifiedWord/>
      <trackRevisions>false</trackRevisions>
    </reviewItem>
    <reviewItem>
      <errorID>3d886b0d-8aea-42e3-895d-655591b4d91a</errorID>
      <errorWord>，</errorWord>
      <group>L1_Word</group>
      <groupName>字词问题</groupName>
      <ability>L2_Typo</ability>
      <abilityName>字词错误</abilityName>
      <candidateList>
        <item>，根</item>
      </candidateList>
      <explain/>
      <paraID>783DB9E8</paraID>
      <start>157</start>
      <end>158</end>
      <status>unmodified</status>
      <modifiedWord/>
      <trackRevisions>false</trackRevisions>
    </reviewItem>
    <reviewItem>
      <errorID>1b7d5c50-1cb7-4a96-95e1-9c1e121dd483</errorID>
      <errorWord>地址</errorWord>
      <group>L1_Word</group>
      <groupName>字词问题</groupName>
      <ability>L2_Typo</ability>
      <abilityName>字词错误</abilityName>
      <candidateList>
        <item>地质</item>
      </candidateList>
      <explain/>
      <paraID>783DB9E8</paraID>
      <start>161</start>
      <end>163</end>
      <status>unmodified</status>
      <modifiedWord/>
      <trackRevisions>false</trackRevisions>
    </reviewItem>
    <reviewItem>
      <errorID>5854c1b4-6ee6-4eff-900d-2753d6e4a96b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783DB9E8</paraID>
      <start>504</start>
      <end>505</end>
      <status>ignored</status>
      <modifiedWord/>
      <trackRevisions>false</trackRevisions>
    </reviewItem>
    <reviewItem>
      <errorID>2e644ac4-7ff0-485d-b08e-80351e4c6f26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7AD7B822</paraID>
      <start>21</start>
      <end>22</end>
      <status>ignored</status>
      <modifiedWord/>
      <trackRevisions>false</trackRevisions>
    </reviewItem>
    <reviewItem>
      <errorID>41408c4b-1341-4036-ace2-f24211e88b1d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73120120</paraID>
      <start>19</start>
      <end>20</end>
      <status>ignored</status>
      <modifiedWord/>
      <trackRevisions>false</trackRevisions>
    </reviewItem>
    <reviewItem>
      <errorID>841f4d48-03b6-46d1-84e3-9f671aae7b7c</errorID>
      <errorWord>占地在</errorWord>
      <group>L1_Word</group>
      <groupName>字词问题</groupName>
      <ability>L2_Typo</ability>
      <abilityName>字词错误</abilityName>
      <candidateList>
        <item>占地</item>
      </candidateList>
      <explain/>
      <paraID>73120120</paraID>
      <start>325</start>
      <end>328</end>
      <status>unmodified</status>
      <modifiedWord/>
      <trackRevisions>false</trackRevisions>
    </reviewItem>
    <reviewItem>
      <errorID>c83993fd-577a-4c81-9254-c371d9852be7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73120120</paraID>
      <start>393</start>
      <end>394</end>
      <status>ignored</status>
      <modifiedWord/>
      <trackRevisions>false</trackRevisions>
    </reviewItem>
    <reviewItem>
      <errorID>ffbe9876-b752-43be-8adf-a4435d471890</errorID>
      <errorWord>二O三五</errorWord>
      <group>L1_Knowledge</group>
      <groupName>知识性问题</groupName>
      <ability>L2_Knowledge</ability>
      <abilityName>其他知识</abilityName>
      <candidateList>
        <item>二〇三五</item>
      </candidateList>
      <explain/>
      <paraID>2E00A1F2</paraID>
      <start>22</start>
      <end>26</end>
      <status>unmodified</status>
      <modifiedWord/>
      <trackRevisions>false</trackRevisions>
    </reviewItem>
    <reviewItem>
      <errorID>081e3194-f9fd-40f7-96fa-0b378a11a175</errorID>
      <errorWord>二O三五</errorWord>
      <group>L1_Knowledge</group>
      <groupName>知识性问题</groupName>
      <ability>L2_Knowledge</ability>
      <abilityName>其他知识</abilityName>
      <candidateList>
        <item>二〇三五</item>
      </candidateList>
      <explain/>
      <paraID>10BA2A87</paraID>
      <start>107</start>
      <end>111</end>
      <status>unmodified</status>
      <modifiedWord/>
      <trackRevisions>false</trackRevisions>
    </reviewItem>
    <reviewItem>
      <errorID>dab6a35b-38ff-493f-b72b-b7b8dbf537c4</errorID>
      <errorWord>城乡结合部</errorWord>
      <group>L1_Knowledge</group>
      <groupName>知识性问题</groupName>
      <ability>L2_Knowledge</ability>
      <abilityName>其他知识</abilityName>
      <candidateList>
        <item>城乡接合部</item>
      </candidateList>
      <explain/>
      <paraID>7075422C</paraID>
      <start>67</start>
      <end>72</end>
      <status>unmodified</status>
      <modifiedWord/>
      <trackRevisions>false</trackRevisions>
    </reviewItem>
    <reviewItem>
      <errorID>014dbaf9-eb15-4470-bc72-5b9b468a0263</errorID>
      <errorWord>，</errorWord>
      <group>L1_Word</group>
      <groupName>字词问题</groupName>
      <ability>L2_Typo</ability>
      <abilityName>字词错误</abilityName>
      <candidateList>
        <item>，对</item>
      </candidateList>
      <explain/>
      <paraID>7075422C</paraID>
      <start>83</start>
      <end>84</end>
      <status>unmodified</status>
      <modifiedWord/>
      <trackRevisions>false</trackRevisions>
    </reviewItem>
    <reviewItem>
      <errorID>23dd9fd0-4a09-41e5-be6f-84014a11623f</errorID>
      <errorWord>（</errorWord>
      <group>L1_Punc</group>
      <groupName>标点问题</groupName>
      <ability>L2_Punc</ability>
      <abilityName>标点符号检查</abilityName>
      <candidateList/>
      <explain>同一形式括号套用。</explain>
      <paraID>290EAE16</paraID>
      <start>82</start>
      <end>83</end>
      <status>ignored</status>
      <modifiedWord/>
      <trackRevisions>false</trackRevisions>
    </reviewItem>
    <reviewItem>
      <errorID>feb0ed02-8cb6-4910-80eb-64e204d0057f</errorID>
      <errorWord>）</errorWord>
      <group>L1_Punc</group>
      <groupName>标点问题</groupName>
      <ability>L2_Punc</ability>
      <abilityName>标点符号检查</abilityName>
      <candidateList/>
      <explain>同一形式括号套用。</explain>
      <paraID>290EAE16</paraID>
      <start>84</start>
      <end>85</end>
      <status>ignored</status>
      <modifiedWord/>
      <trackRevisions>false</trackRevisions>
    </reviewItem>
    <reviewItem>
      <errorID>52afba28-2480-4f11-9edd-6686a1c6e72e</errorID>
      <errorWord>（</errorWord>
      <group>L1_Punc</group>
      <groupName>标点问题</groupName>
      <ability>L2_Punc</ability>
      <abilityName>标点符号检查</abilityName>
      <candidateList/>
      <explain>同一形式括号套用。</explain>
      <paraID>290EAE16</paraID>
      <start>92</start>
      <end>93</end>
      <status>ignored</status>
      <modifiedWord/>
      <trackRevisions>false</trackRevisions>
    </reviewItem>
    <reviewItem>
      <errorID>6ba6f41f-0979-47e4-b123-59be796b504b</errorID>
      <errorWord>）</errorWord>
      <group>L1_Punc</group>
      <groupName>标点问题</groupName>
      <ability>L2_Punc</ability>
      <abilityName>标点符号检查</abilityName>
      <candidateList/>
      <explain>同一形式括号套用。</explain>
      <paraID>290EAE16</paraID>
      <start>94</start>
      <end>95</end>
      <status>ignored</status>
      <modifiedWord/>
      <trackRevisions>false</trackRevisions>
    </reviewItem>
    <reviewItem>
      <errorID>b88ab1fa-b900-4eb3-ad01-65367699bdf4</errorID>
      <errorWord>划</errorWord>
      <group>L1_Word</group>
      <groupName>字词问题</groupName>
      <ability>L2_Typo</ability>
      <abilityName>字词错误</abilityName>
      <candidateList>
        <item>划规</item>
      </candidateList>
      <explain/>
      <paraID>40DB6DEE</paraID>
      <start>36</start>
      <end>37</end>
      <status>unmodified</status>
      <modifiedWord/>
      <trackRevisions>false</trackRevisions>
    </reviewItem>
    <reviewItem>
      <errorID>54570819-0455-4086-a73f-6a55b214f0ea</errorID>
      <errorWord>城乡结合部</errorWord>
      <group>L1_Knowledge</group>
      <groupName>知识性问题</groupName>
      <ability>L2_Knowledge</ability>
      <abilityName>其他知识</abilityName>
      <candidateList>
        <item>城乡接合部</item>
      </candidateList>
      <explain/>
      <paraID> F53DDFF</paraID>
      <start>67</start>
      <end>72</end>
      <status>unmodified</status>
      <modifiedWord/>
      <trackRevisions>false</trackRevisions>
    </reviewItem>
    <reviewItem>
      <errorID>65d292a7-49ce-4ebf-8887-3d0e534c8729</errorID>
      <errorWord>，</errorWord>
      <group>L1_Word</group>
      <groupName>字词问题</groupName>
      <ability>L2_Typo</ability>
      <abilityName>字词错误</abilityName>
      <candidateList>
        <item>，对</item>
      </candidateList>
      <explain/>
      <paraID> F53DDFF</paraID>
      <start>83</start>
      <end>84</end>
      <status>unmodified</status>
      <modifiedWord/>
      <trackRevisions>false</trackRevisions>
    </reviewItem>
    <reviewItem>
      <errorID>198e92fa-1a4d-4715-b8ac-ac8cefab3f8a</errorID>
      <errorWord>（</errorWord>
      <group>L1_Punc</group>
      <groupName>标点问题</groupName>
      <ability>L2_Punc</ability>
      <abilityName>标点符号检查</abilityName>
      <candidateList/>
      <explain>同一形式括号套用。</explain>
      <paraID>1CB07B9A</paraID>
      <start>82</start>
      <end>83</end>
      <status>ignored</status>
      <modifiedWord/>
      <trackRevisions>false</trackRevisions>
    </reviewItem>
    <reviewItem>
      <errorID>e5a2ddca-2a95-42b7-afbf-8d6be38763a3</errorID>
      <errorWord>）</errorWord>
      <group>L1_Punc</group>
      <groupName>标点问题</groupName>
      <ability>L2_Punc</ability>
      <abilityName>标点符号检查</abilityName>
      <candidateList/>
      <explain>同一形式括号套用。</explain>
      <paraID>1CB07B9A</paraID>
      <start>84</start>
      <end>85</end>
      <status>ignored</status>
      <modifiedWord/>
      <trackRevisions>false</trackRevisions>
    </reviewItem>
    <reviewItem>
      <errorID>5afbed53-0715-4d08-b38f-af2be5677743</errorID>
      <errorWord>（</errorWord>
      <group>L1_Punc</group>
      <groupName>标点问题</groupName>
      <ability>L2_Punc</ability>
      <abilityName>标点符号检查</abilityName>
      <candidateList/>
      <explain>同一形式括号套用。</explain>
      <paraID>1CB07B9A</paraID>
      <start>92</start>
      <end>93</end>
      <status>ignored</status>
      <modifiedWord/>
      <trackRevisions>false</trackRevisions>
    </reviewItem>
    <reviewItem>
      <errorID>fc1755e5-1502-473a-a519-89a273e83644</errorID>
      <errorWord>）</errorWord>
      <group>L1_Punc</group>
      <groupName>标点问题</groupName>
      <ability>L2_Punc</ability>
      <abilityName>标点符号检查</abilityName>
      <candidateList/>
      <explain>同一形式括号套用。</explain>
      <paraID>1CB07B9A</paraID>
      <start>94</start>
      <end>95</end>
      <status>ignored</status>
      <modifiedWord/>
      <trackRevisions>false</trackRevisions>
    </reviewItem>
    <reviewItem>
      <errorID>bdee3553-d8e1-4566-9d6c-d3ecdca0cb96</errorID>
      <errorWord>土</errorWord>
      <group>L1_Word</group>
      <groupName>字词问题</groupName>
      <ability>L2_Typo</ability>
      <abilityName>字词错误</abilityName>
      <candidateList>
        <item>土地</item>
      </candidateList>
      <explain/>
      <paraID>381200AF</paraID>
      <start>3</start>
      <end>4</end>
      <status>unmodified</status>
      <modifiedWord/>
      <trackRevisions>false</trackRevisions>
    </reviewItem>
    <reviewItem>
      <errorID>234b1f49-aece-4dff-bdcb-16036205a72f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78C4BC41</paraID>
      <start>33</start>
      <end>34</end>
      <status>ignored</status>
      <modifiedWord/>
      <trackRevisions>false</trackRevisions>
    </reviewItem>
    <reviewItem>
      <errorID>9a8b927a-2258-4e96-b0f4-0b33dc1fe53b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78C4BC41</paraID>
      <start>57</start>
      <end>58</end>
      <status>ignored</status>
      <modifiedWord/>
      <trackRevisions>false</trackRevisions>
    </reviewItem>
    <reviewItem>
      <errorID>fc325c80-14d4-4508-a855-35d8fc150b2a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181524E0</paraID>
      <start>20</start>
      <end>21</end>
      <status>ignored</status>
      <modifiedWord/>
      <trackRevisions>false</trackRevisions>
    </reviewItem>
    <reviewItem>
      <errorID>36cc1f1d-9df7-4a2b-a7a5-8e54fc116383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67517B1D</paraID>
      <start>18</start>
      <end>19</end>
      <status>ignored</status>
      <modifiedWord/>
      <trackRevisions>false</trackRevisions>
    </reviewItem>
    <reviewItem>
      <errorID>01d7c773-b6f1-41fe-9d08-38638c2a95c6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EF87337</paraID>
      <start>27</start>
      <end>28</end>
      <status>ignored</status>
      <modifiedWord/>
      <trackRevisions>false</trackRevisions>
    </reviewItem>
    <reviewItem>
      <errorID>0a020132-db8a-458d-bafb-dc380b57372a</errorID>
      <errorWord>免加</errorWord>
      <group>L1_Word</group>
      <groupName>字词问题</groupName>
      <ability>L2_Typo</ability>
      <abilityName>字词错误</abilityName>
      <candidateList>
        <item>免强</item>
      </candidateList>
      <explain/>
      <paraID>425CE383</paraID>
      <start>178</start>
      <end>180</end>
      <status>unmodified</status>
      <modifiedWord/>
      <trackRevisions>false</trackRevisions>
    </reviewItem>
    <reviewItem>
      <errorID>be6227ab-71ca-4832-b9b9-09a9839f2ceb</errorID>
      <errorWord>回覆</errorWord>
      <group>L1_Word</group>
      <groupName>字词问题</groupName>
      <ability>L2_Fanti</ability>
      <abilityName>繁转简</abilityName>
      <candidateList>
        <item>回复</item>
      </candidateList>
      <explain/>
      <paraID>2B2417A9</paraID>
      <start>56</start>
      <end>58</end>
      <status>unmodified</status>
      <modifiedWord/>
      <trackRevisions>false</trackRevisions>
    </reviewItem>
    <reviewItem>
      <errorID>d37ee7b8-7ca5-4c22-824d-ee5fb75b3b4d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47132AD1</paraID>
      <start>162</start>
      <end>163</end>
      <status>ignored</status>
      <modifiedWord/>
      <trackRevisions>false</trackRevisions>
    </reviewItem>
    <reviewItem>
      <errorID>7c7fde28-93a1-4e72-9e52-974ae229e40d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3ADB64AE</paraID>
      <start>20</start>
      <end>21</end>
      <status>ignored</status>
      <modifiedWord/>
      <trackRevisions>false</trackRevisions>
    </reviewItem>
    <reviewItem>
      <errorID>3c807478-c6cc-41ce-bc2c-e9ddedf67555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500EE797</paraID>
      <start>18</start>
      <end>19</end>
      <status>ignored</status>
      <modifiedWord/>
      <trackRevisions>false</trackRevisions>
    </reviewItem>
    <reviewItem>
      <errorID>022913c4-723d-4549-af1a-9d966645ec82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352A81E1</paraID>
      <start>32</start>
      <end>33</end>
      <status>ignored</status>
      <modifiedWord/>
      <trackRevisions>false</trackRevisions>
    </reviewItem>
    <reviewItem>
      <errorID>8f063b6b-b6b5-4c0a-982f-57e40ff60377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352A81E1</paraID>
      <start>56</start>
      <end>57</end>
      <status>unmodified</status>
      <modifiedWord/>
      <trackRevisions>false</trackRevisions>
    </reviewItem>
    <reviewItem>
      <errorID>1f9726e1-110b-4ec9-8410-68c669c19866</errorID>
      <errorWord>[2019]910号</errorWord>
      <group>L1_Knowledge</group>
      <groupName>知识性问题</groupName>
      <ability>L2_Knowledge</ability>
      <abilityName>其他知识</abilityName>
      <candidateList>
        <item>〔2019〕910号</item>
      </candidateList>
      <explain>发文字号格式错误。</explain>
      <paraID>3FAD6A8C</paraID>
      <start>41</start>
      <end>51</end>
      <status>unmodified</status>
      <modifiedWord/>
      <trackRevisions>false</trackRevisions>
    </reviewItem>
    <reviewItem>
      <errorID>ebbc1e7c-bf63-4a91-965a-8428611b5af1</errorID>
      <errorWord>[2019]910号</errorWord>
      <group>L1_Knowledge</group>
      <groupName>知识性问题</groupName>
      <ability>L2_Knowledge</ability>
      <abilityName>其他知识</abilityName>
      <candidateList>
        <item>〔2019〕910号</item>
      </candidateList>
      <explain>发文字号格式错误。</explain>
      <paraID>7ADD6202</paraID>
      <start>37</start>
      <end>47</end>
      <status>unmodified</status>
      <modifiedWord/>
      <trackRevisions>false</trackRevisions>
    </reviewItem>
    <reviewItem>
      <errorID>3d9453e9-fa73-4fd6-ae3b-7ecb20e9eb08</errorID>
      <errorWord>[2019]910号</errorWord>
      <group>L1_Knowledge</group>
      <groupName>知识性问题</groupName>
      <ability>L2_Knowledge</ability>
      <abilityName>其他知识</abilityName>
      <candidateList>
        <item>〔2019〕910号</item>
      </candidateList>
      <explain>发文字号格式错误。</explain>
      <paraID>1A05EF2C</paraID>
      <start>14</start>
      <end>24</end>
      <status>unmodified</status>
      <modifiedWord/>
      <trackRevisions>false</trackRevisions>
    </reviewItem>
    <reviewItem>
      <errorID>81332bbb-e59d-41cf-8c05-a2a9818f3c21</errorID>
      <errorWord>设施的</errorWord>
      <group>L1_Word</group>
      <groupName>字词问题</groupName>
      <ability>L2_Typo</ability>
      <abilityName>字词错误</abilityName>
      <candidateList>
        <item>设施</item>
      </candidateList>
      <explain/>
      <paraID>22CCEED4</paraID>
      <start>214</start>
      <end>217</end>
      <status>unmodified</status>
      <modifiedWord/>
      <trackRevisions>false</trackRevisions>
    </reviewItem>
    <reviewItem>
      <errorID>a83ea1c3-760c-4394-b6a5-c7ade79afec8</errorID>
      <errorWord>)</errorWord>
      <group>L1_Format</group>
      <groupName>格式问题</groupName>
      <ability>L2_HalfPunc</ability>
      <abilityName>全半角检查</abilityName>
      <candidateList>
        <item>）</item>
      </candidateList>
      <explain>文本全半角错误。</explain>
      <paraID>2FDF2DB2</paraID>
      <start>372</start>
      <end>373</end>
      <status>ignored</status>
      <modifiedWord/>
      <trackRevisions>false</trackRevisions>
    </reviewItem>
    <reviewItem>
      <errorID>d1509c79-d8f4-41e8-be91-fecadf83bfc1</errorID>
      <errorWord>集气站集气站</errorWord>
      <group>L1_Word</group>
      <groupName>字词问题</groupName>
      <ability>L2_Typo</ability>
      <abilityName>字词错误</abilityName>
      <candidateList>
        <item>集气站</item>
      </candidateList>
      <explain/>
      <paraID>1E26755D</paraID>
      <start>9</start>
      <end>15</end>
      <status>unmodified</status>
      <modifiedWord/>
      <trackRevisions>false</trackRevisions>
    </reviewItem>
    <reviewItem>
      <errorID>4246d071-1f5e-4b54-bde5-aabb1730fb4f</errorID>
      <errorWord>[2019]910号</errorWord>
      <group>L1_Knowledge</group>
      <groupName>知识性问题</groupName>
      <ability>L2_Knowledge</ability>
      <abilityName>其他知识</abilityName>
      <candidateList>
        <item>〔2019〕910号</item>
      </candidateList>
      <explain>发文字号格式错误。</explain>
      <paraID>303A215A</paraID>
      <start>44</start>
      <end>54</end>
      <status>unmodified</status>
      <modifiedWord/>
      <trackRevisions>false</trackRevisions>
    </reviewItem>
    <reviewItem>
      <errorID>6e442e1b-de0d-4d7d-9046-8eb6499b7277</errorID>
      <errorWord>(</errorWord>
      <group>L1_Format</group>
      <groupName>格式问题</groupName>
      <ability>L2_HalfPunc</ability>
      <abilityName>全半角检查</abilityName>
      <candidateList>
        <item>（</item>
      </candidateList>
      <explain>文本全半角错误。</explain>
      <paraID>4C62EBBD</paraID>
      <start>142</start>
      <end>143</end>
      <status>ignored</status>
      <modifiedWord/>
      <trackRevisions>false</trackRevisions>
    </reviewItem>
    <reviewItem>
      <errorID>95178cb3-ea34-42ce-bc95-66f0eb81bfc3</errorID>
      <errorWord>)</errorWord>
      <group>L1_Format</group>
      <groupName>格式问题</groupName>
      <ability>L2_HalfPunc</ability>
      <abilityName>全半角检查</abilityName>
      <candidateList>
        <item>）</item>
      </candidateList>
      <explain>文本全半角错误。</explain>
      <paraID>4C62EBBD</paraID>
      <start>156</start>
      <end>157</end>
      <status>ignored</status>
      <modifiedWord/>
      <trackRevisions>false</trackRevisions>
    </reviewItem>
    <reviewItem>
      <errorID>082c46ba-acc1-4247-962e-ecf35407f988</errorID>
      <errorWord>期</errorWord>
      <group>L1_Word</group>
      <groupName>字词问题</groupName>
      <ability>L2_Typo</ability>
      <abilityName>字词错误</abilityName>
      <candidateList>
        <item>期间</item>
      </candidateList>
      <explain>〈名〉某个时期里面：农忙～｜春节～｜抗战～。</explain>
      <paraID>132D097B</paraID>
      <start>119</start>
      <end>120</end>
      <status>ignored</status>
      <modifiedWord/>
      <trackRevisions>false</trackRevisions>
    </reviewItem>
    <reviewItem>
      <errorID>8555fdff-de66-456d-befa-9d945374e3d4</errorID>
      <errorWord>(</errorWord>
      <group>L1_Format</group>
      <groupName>格式问题</groupName>
      <ability>L2_HalfPunc</ability>
      <abilityName>全半角检查</abilityName>
      <candidateList>
        <item>（</item>
      </candidateList>
      <explain>文本全半角错误。</explain>
      <paraID> 6811D25</paraID>
      <start>141</start>
      <end>142</end>
      <status>ignored</status>
      <modifiedWord/>
      <trackRevisions>false</trackRevisions>
    </reviewItem>
    <reviewItem>
      <errorID>c8c8bbac-c25c-4a1b-b827-0856a8605093</errorID>
      <errorWord>)</errorWord>
      <group>L1_Format</group>
      <groupName>格式问题</groupName>
      <ability>L2_HalfPunc</ability>
      <abilityName>全半角检查</abilityName>
      <candidateList>
        <item>）</item>
      </candidateList>
      <explain>文本全半角错误。</explain>
      <paraID> 6811D25</paraID>
      <start>155</start>
      <end>156</end>
      <status>ignored</status>
      <modifiedWord/>
      <trackRevisions>false</trackRevisions>
    </reviewItem>
    <reviewItem>
      <errorID>dacdeb24-7541-45c2-af73-ca202e4462d6</errorID>
      <errorWord>）中</errorWord>
      <group>L1_Word</group>
      <groupName>字词问题</groupName>
      <ability>L2_Typo</ability>
      <abilityName>字词错误</abilityName>
      <candidateList>
        <item>）</item>
      </candidateList>
      <explain/>
      <paraID>63E85045</paraID>
      <start>66</start>
      <end>68</end>
      <status>unmodified</status>
      <modifiedWord/>
      <trackRevisions>false</trackRevisions>
    </reviewItem>
    <reviewItem>
      <errorID>c00926f5-e015-40be-bb1f-17f96de09496</errorID>
      <errorWord>法律、法规</errorWord>
      <group>L1_Word</group>
      <groupName>字词问题</groupName>
      <ability>L2_Typo</ability>
      <abilityName>字词错误</abilityName>
      <candidateList>
        <item>法律法规</item>
      </candidateList>
      <explain/>
      <paraID>74A53456</paraID>
      <start>53</start>
      <end>58</end>
      <status>unmodified</status>
      <modifiedWord/>
      <trackRevisions>false</trackRevisions>
    </reviewItem>
    <reviewItem>
      <errorID>d96c0b09-12fb-41eb-8f0e-13fa40365dc9</errorID>
      <errorWord>完善建设用地增减挂钩</errorWord>
      <group>L1_Word</group>
      <groupName>字词问题</groupName>
      <ability>L2_Typo</ability>
      <abilityName>字词错误</abilityName>
      <candidateList>
        <item>完善城乡建设用地增减挂钩</item>
      </candidateList>
      <explain/>
      <paraID>459839BF</paraID>
      <start>3</start>
      <end>13</end>
      <status>unmodified</status>
      <modifiedWord/>
      <trackRevisions>false</trackRevisions>
    </reviewItem>
    <reviewItem>
      <errorID>fd52f7bb-2464-4296-9af6-fa0492d64110</errorID>
      <errorWord>）中</errorWord>
      <group>L1_Word</group>
      <groupName>字词问题</groupName>
      <ability>L2_Typo</ability>
      <abilityName>字词错误</abilityName>
      <candidateList>
        <item>）</item>
      </candidateList>
      <explain/>
      <paraID>77946464</paraID>
      <start>40</start>
      <end>42</end>
      <status>unmodified</status>
      <modifiedWord/>
      <trackRevisions>false</trackRevisions>
    </reviewItem>
    <reviewItem>
      <errorID>4732e1ba-0155-46c5-8767-6ffe9fb57efb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12DC363C</paraID>
      <start>29</start>
      <end>30</end>
      <status>ignored</status>
      <modifiedWord/>
      <trackRevisions>false</trackRevisions>
    </reviewItem>
    <reviewItem>
      <errorID>dbf5e3a6-feb8-4525-aa24-24dc0361bd06</errorID>
      <errorWord>,</errorWord>
      <group>L1_Format</group>
      <groupName>格式问题</groupName>
      <ability>L2_HalfPunc</ability>
      <abilityName>全半角检查</abilityName>
      <candidateList>
        <item>，</item>
      </candidateList>
      <explain>文本全半角错误。</explain>
      <paraID>25195079</paraID>
      <start>131</start>
      <end>132</end>
      <status>unmodified</status>
      <modifiedWord/>
      <trackRevisions>false</trackRevisions>
    </reviewItem>
    <reviewItem>
      <errorID>4b1039c1-3bb4-4402-92cc-6ebc5aa78b82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29117B37</paraID>
      <start>35</start>
      <end>36</end>
      <status>ignored</status>
      <modifiedWord/>
      <trackRevisions>false</trackRevisions>
    </reviewItem>
    <reviewItem>
      <errorID>4660b8d4-fb4e-4d1a-8db0-84f02f4b7f06</errorID>
      <errorWord>拌合站</errorWord>
      <group>L1_Word</group>
      <groupName>字词问题</groupName>
      <ability>L2_Typo</ability>
      <abilityName>字词错误</abilityName>
      <candidateList>
        <item>拌和站</item>
      </candidateList>
      <explain>存在发音相同字词的误用。</explain>
      <paraID>489F510D</paraID>
      <start>4</start>
      <end>7</end>
      <status>unmodified</status>
      <modifiedWord/>
      <trackRevisions>false</trackRevisions>
    </reviewItem>
    <reviewItem>
      <errorID>4a725cea-e06b-456c-837d-1ef82df224a0</errorID>
      <errorWord>拌合站</errorWord>
      <group>L1_Word</group>
      <groupName>字词问题</groupName>
      <ability>L2_Typo</ability>
      <abilityName>字词错误</abilityName>
      <candidateList>
        <item>拌和站</item>
      </candidateList>
      <explain>存在发音相同字词的误用。</explain>
      <paraID>22F5306C</paraID>
      <start>12</start>
      <end>15</end>
      <status>unmodified</status>
      <modifiedWord/>
      <trackRevisions>false</trackRevisions>
    </reviewItem>
    <reviewItem>
      <errorID>d1f7165b-5cc3-4393-a228-801745c80ddb</errorID>
      <errorWord>〔2019〕第32号</errorWord>
      <group>L1_Knowledge</group>
      <groupName>知识性问题</groupName>
      <ability>L2_Knowledge</ability>
      <abilityName>其他知识</abilityName>
      <candidateList>
        <item>〔2019〕32号</item>
      </candidateList>
      <explain>发文字号格式错误。</explain>
      <paraID>48732992</paraID>
      <start>173</start>
      <end>183</end>
      <status>unmodified</status>
      <modifiedWord/>
      <trackRevisions>false</trackRevisions>
    </reviewItem>
    <reviewItem>
      <errorID>f9c2ca30-55f1-489a-83c2-9bd315c0ea99</errorID>
      <errorWord>占地在</errorWord>
      <group>L1_Word</group>
      <groupName>字词问题</groupName>
      <ability>L2_Typo</ability>
      <abilityName>字词错误</abilityName>
      <candidateList>
        <item>占地</item>
      </candidateList>
      <explain/>
      <paraID>4D7EBC4A</paraID>
      <start>225</start>
      <end>228</end>
      <status>unmodified</status>
      <modifiedWord/>
      <trackRevisions>false</trackRevisions>
    </reviewItem>
    <reviewItem>
      <errorID>c1a8c763-c4fc-437b-9e54-bcabc6cefe52</errorID>
      <errorWord>占地在</errorWord>
      <group>L1_Word</group>
      <groupName>字词问题</groupName>
      <ability>L2_Typo</ability>
      <abilityName>字词错误</abilityName>
      <candidateList>
        <item>占地</item>
      </candidateList>
      <explain/>
      <paraID>32EBCEC4</paraID>
      <start>269</start>
      <end>272</end>
      <status>unmodified</status>
      <modifiedWord/>
      <trackRevisions>false</trackRevisions>
    </reviewItem>
    <reviewItem>
      <errorID>29177900-6d41-4828-b898-6b3cdfe2fc6c</errorID>
      <errorWord>部</errorWord>
      <group>L1_Word</group>
      <groupName>字词问题</groupName>
      <ability>L2_Typo</ability>
      <abilityName>字词错误</abilityName>
      <candidateList>
        <item>不</item>
      </candidateList>
      <explain>存在发音相同字词的误用。</explain>
      <paraID>70FF341F</paraID>
      <start>136</start>
      <end>137</end>
      <status>unmodified</status>
      <modifiedWord/>
      <trackRevisions>false</trackRevisions>
    </reviewItem>
    <reviewItem>
      <errorID>53cb51dd-20dc-46a7-a4a5-600ac521c0a1</errorID>
      <errorWord>）中</errorWord>
      <group>L1_Word</group>
      <groupName>字词问题</groupName>
      <ability>L2_Typo</ability>
      <abilityName>字词错误</abilityName>
      <candidateList>
        <item>）</item>
      </candidateList>
      <explain/>
      <paraID>7BDF670F</paraID>
      <start>48</start>
      <end>50</end>
      <status>unmodified</status>
      <modifiedWord/>
      <trackRevisions>false</trackRevisions>
    </reviewItem>
    <reviewItem>
      <errorID>c4f01ffe-9adc-4499-9d68-4f8c16b6a00c</errorID>
      <errorWord>三线一单</errorWord>
      <group>L1_Political</group>
      <groupName>政治性问题</groupName>
      <ability>L2_Keyword</ability>
      <abilityName>固定表述</abilityName>
      <candidateList>
        <item>“三线一单”</item>
      </candidateList>
      <explain>注意检查当前固定表述标点是否使用规范。</explain>
      <paraID> 2C29A4D</paraID>
      <start>29</start>
      <end>33</end>
      <status>unmodified</status>
      <modifiedWord/>
      <trackRevisions>false</trackRevisions>
    </reviewItem>
    <reviewItem>
      <errorID>03687c56-2478-49ef-9a28-367ebd63e372</errorID>
      <errorWord>）中</errorWord>
      <group>L1_Word</group>
      <groupName>字词问题</groupName>
      <ability>L2_Typo</ability>
      <abilityName>字词错误</abilityName>
      <candidateList>
        <item>）</item>
      </candidateList>
      <explain/>
      <paraID>6752EF4F</paraID>
      <start>29</start>
      <end>31</end>
      <status>unmodified</status>
      <modifiedWord/>
      <trackRevisions>false</trackRevisions>
    </reviewItem>
    <reviewItem>
      <errorID>7447aaa9-a501-4aa2-ae2d-514caee0ee50</errorID>
      <errorWord>占地在</errorWord>
      <group>L1_Word</group>
      <groupName>字词问题</groupName>
      <ability>L2_Typo</ability>
      <abilityName>字词错误</abilityName>
      <candidateList>
        <item>占地</item>
      </candidateList>
      <explain/>
      <paraID>5F0E1D31</paraID>
      <start>189</start>
      <end>192</end>
      <status>unmodified</status>
      <modifiedWord/>
      <trackRevisions>false</trackRevisions>
    </reviewItem>
    <reviewItem>
      <errorID>d2775270-4dad-4b89-b353-fe6b56e4d79c</errorID>
      <errorWord>摆放至</errorWord>
      <group>L1_Word</group>
      <groupName>字词问题</groupName>
      <ability>L2_Typo</ability>
      <abilityName>字词错误</abilityName>
      <candidateList>
        <item>摆放在</item>
      </candidateList>
      <explain/>
      <paraID>28FF0541</paraID>
      <start>46</start>
      <end>49</end>
      <status>unmodified</status>
      <modifiedWord/>
      <trackRevisions>false</trackRevisions>
    </reviewItem>
    <reviewItem>
      <errorID>f6af988f-a11d-48a2-9dab-fb6bb358232b</errorID>
      <errorWord>放</errorWord>
      <group>L1_Word</group>
      <groupName>字词问题</groupName>
      <ability>L2_Typo</ability>
      <abilityName>字词错误</abilityName>
      <candidateList>
        <item>防</item>
      </candidateList>
      <explain/>
      <paraID>68C3BDB1</paraID>
      <start>5</start>
      <end>6</end>
      <status>unmodified</status>
      <modifiedWord/>
      <trackRevisions>false</trackRevisions>
    </reviewItem>
    <reviewItem>
      <errorID>aea04410-e6b0-4af3-86d7-b018fd3dd7ec</errorID>
      <errorWord>利</errorWord>
      <group>L1_Word</group>
      <groupName>字词问题</groupName>
      <ability>L2_Typo</ability>
      <abilityName>字词错误</abilityName>
      <candidateList>
        <item>利于</item>
      </candidateList>
      <explain/>
      <paraID>1C7A3372</paraID>
      <start>1</start>
      <end>2</end>
      <status>unmodified</status>
      <modifiedWord/>
      <trackRevisions>false</trackRevisions>
    </reviewItem>
    <reviewItem>
      <errorID>914c26ac-2316-46e2-a6bc-12fbb54e2079</errorID>
      <errorWord>(</errorWord>
      <group>L1_Format</group>
      <groupName>格式问题</groupName>
      <ability>L2_HalfPunc</ability>
      <abilityName>全半角检查</abilityName>
      <candidateList>
        <item>（</item>
      </candidateList>
      <explain>文本全半角错误。</explain>
      <paraID>5F4F4374</paraID>
      <start>173</start>
      <end>174</end>
      <status>ignored</status>
      <modifiedWord/>
      <trackRevisions>false</trackRevisions>
    </reviewItem>
    <reviewItem>
      <errorID>0a66491c-74fe-4587-a5ba-c96244877388</errorID>
      <errorWord>)</errorWord>
      <group>L1_Format</group>
      <groupName>格式问题</groupName>
      <ability>L2_HalfPunc</ability>
      <abilityName>全半角检查</abilityName>
      <candidateList>
        <item>）</item>
      </candidateList>
      <explain>文本全半角错误。</explain>
      <paraID>5F4F4374</paraID>
      <start>187</start>
      <end>188</end>
      <status>ignored</status>
      <modifiedWord/>
      <trackRevisions>false</trackRevisions>
    </reviewItem>
    <reviewItem>
      <errorID>e4294455-96ef-4f73-bf29-19703b204c50</errorID>
      <errorWord>）中</errorWord>
      <group>L1_Word</group>
      <groupName>字词问题</groupName>
      <ability>L2_Typo</ability>
      <abilityName>字词错误</abilityName>
      <candidateList>
        <item>）</item>
      </candidateList>
      <explain/>
      <paraID>43D13E1C</paraID>
      <start>47</start>
      <end>49</end>
      <status>unmodified</status>
      <modifiedWord/>
      <trackRevisions>false</trackRevisions>
    </reviewItem>
    <reviewItem>
      <errorID>9c259534-6838-4b30-8f46-88c179b05f9c</errorID>
      <errorWord>[2010]第30号</errorWord>
      <group>L1_Knowledge</group>
      <groupName>知识性问题</groupName>
      <ability>L2_Knowledge</ability>
      <abilityName>其他知识</abilityName>
      <candidateList>
        <item>〔2010〕30号</item>
      </candidateList>
      <explain>发文字号格式错误。</explain>
      <paraID>19DC6BE3</paraID>
      <start>32</start>
      <end>42</end>
      <status>unmodified</status>
      <modifiedWord/>
      <trackRevisions>false</trackRevisions>
    </reviewItem>
    <reviewItem>
      <errorID>987372fa-d413-4c74-9125-dbc9f40af19f</errorID>
      <errorWord>[2010]第30号</errorWord>
      <group>L1_Knowledge</group>
      <groupName>知识性问题</groupName>
      <ability>L2_Knowledge</ability>
      <abilityName>其他知识</abilityName>
      <candidateList>
        <item>〔2010〕30号</item>
      </candidateList>
      <explain>发文字号格式错误。</explain>
      <paraID>3823A57A</paraID>
      <start>27</start>
      <end>37</end>
      <status>unmodified</status>
      <modifiedWord/>
      <trackRevisions>false</trackRevisions>
    </reviewItem>
    <reviewItem>
      <errorID>694c3fa8-5816-4cee-af0b-ef5f33bcb33f</errorID>
      <errorWord>[2010]第30号</errorWord>
      <group>L1_Knowledge</group>
      <groupName>知识性问题</groupName>
      <ability>L2_Knowledge</ability>
      <abilityName>其他知识</abilityName>
      <candidateList>
        <item>〔2010〕30号</item>
      </candidateList>
      <explain>发文字号格式错误。</explain>
      <paraID>4A901422</paraID>
      <start>18</start>
      <end>28</end>
      <status>unmodified</status>
      <modifiedWord/>
      <trackRevisions>false</trackRevisions>
    </reviewItem>
    <reviewItem>
      <errorID>d3847ead-6ebd-4851-a22a-08f0ad4e44ed</errorID>
      <errorWord>后回注油层后回注油层</errorWord>
      <group>L1_Word</group>
      <groupName>字词问题</groupName>
      <ability>L2_Typo</ability>
      <abilityName>字词错误</abilityName>
      <candidateList>
        <item>后回注油层</item>
      </candidateList>
      <explain/>
      <paraID>31A868E8</paraID>
      <start>189</start>
      <end>199</end>
      <status>unmodified</status>
      <modifiedWord/>
      <trackRevisions>false</trackRevisions>
    </reviewItem>
    <reviewItem>
      <errorID>c725ec76-d940-46a3-81c0-207d346a7615</errorID>
      <errorWord>大庆市市</errorWord>
      <group>L1_Word</group>
      <groupName>字词问题</groupName>
      <ability>L2_Typo</ability>
      <abilityName>字词错误</abilityName>
      <candidateList>
        <item>大庆市</item>
      </candidateList>
      <explain/>
      <paraID>3B0C200E</paraID>
      <start>146</start>
      <end>150</end>
      <status>unmodified</status>
      <modifiedWord/>
      <trackRevisions>false</trackRevisions>
    </reviewItem>
    <reviewItem>
      <errorID>f512c28d-3472-4dfd-bfc6-343af0ff2636</errorID>
      <errorWord>III类</errorWord>
      <group>L1_Knowledge</group>
      <groupName>知识性问题</groupName>
      <ability>L2_Knowledge</ability>
      <abilityName>其他知识</abilityName>
      <candidateList>
        <item>Ⅲ类</item>
      </candidateList>
      <explain/>
      <paraID>4CC225D1</paraID>
      <start>366</start>
      <end>370</end>
      <status>unmodified</status>
      <modifiedWord/>
      <trackRevisions>false</trackRevisions>
    </reviewItem>
    <reviewItem>
      <errorID>e7e2a0c7-628a-49d7-aa8d-4145073843c5</errorID>
      <errorWord>II类</errorWord>
      <group>L1_Knowledge</group>
      <groupName>知识性问题</groupName>
      <ability>L2_Knowledge</ability>
      <abilityName>其他知识</abilityName>
      <candidateList>
        <item>Ⅱ类</item>
      </candidateList>
      <explain/>
      <paraID>4CC225D1</paraID>
      <start>428</start>
      <end>431</end>
      <status>unmodified</status>
      <modifiedWord/>
      <trackRevisions>false</trackRevisions>
    </reviewItem>
    <reviewItem>
      <errorID>61c1f3c0-7634-4f3e-8ed3-142a96fcd1bf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3FCDF946</paraID>
      <start>0</start>
      <end>2</end>
      <status>unmodified</status>
      <modifiedWord/>
      <trackRevisions>false</trackRevisions>
    </reviewItem>
    <reviewItem>
      <errorID>1fefc13f-f7d9-4ab4-90dc-529c17104d4e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3684BF01</paraID>
      <start>0</start>
      <end>2</end>
      <status>unmodified</status>
      <modifiedWord/>
      <trackRevisions>false</trackRevisions>
    </reviewItem>
    <reviewItem>
      <errorID>bee310fb-48bf-4e2f-b044-78c3d8ca2dcf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6E139D86</paraID>
      <start>0</start>
      <end>3</end>
      <status>unmodified</status>
      <modifiedWord/>
      <trackRevisions>false</trackRevisions>
    </reviewItem>
    <reviewItem>
      <errorID>8c770cc7-0ace-4ca9-af93-cadbecd05739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476B8438</paraID>
      <start>0</start>
      <end>2</end>
      <status>unmodified</status>
      <modifiedWord/>
      <trackRevisions>false</trackRevisions>
    </reviewItem>
    <reviewItem>
      <errorID>18d964cb-d147-49cd-8450-2bfe4ea24014</errorID>
      <errorWord>上线</errorWord>
      <group>L1_Word</group>
      <groupName>字词问题</groupName>
      <ability>L2_Typo</ability>
      <abilityName>字词错误</abilityName>
      <candidateList>
        <item>上限</item>
      </candidateList>
      <explain/>
      <paraID> D5BB723</paraID>
      <start>19</start>
      <end>21</end>
      <status>unmodified</status>
      <modifiedWord/>
      <trackRevisions>false</trackRevisions>
    </reviewItem>
    <reviewItem>
      <errorID>236045bf-ea6c-4298-9ee0-76bee7a50b92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128D634E</paraID>
      <start>0</start>
      <end>2</end>
      <status>unmodified</status>
      <modifiedWord/>
      <trackRevisions>false</trackRevisions>
    </reviewItem>
    <reviewItem>
      <errorID>2802f3c3-c169-4d45-9b9e-c383722ae191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66024DBE</paraID>
      <start>18</start>
      <end>19</end>
      <status>ignored</status>
      <modifiedWord/>
      <trackRevisions>false</trackRevisions>
    </reviewItem>
    <reviewItem>
      <errorID>abf855f6-92d5-4298-8955-b7b33d9bf710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66024DBE</paraID>
      <start>25</start>
      <end>28</end>
      <status>unmodified</status>
      <modifiedWord/>
      <trackRevisions>false</trackRevisions>
    </reviewItem>
    <reviewItem>
      <errorID>407cba20-3643-4b04-bb20-536531e70f2c</errorID>
      <errorWord>市市</errorWord>
      <group>L1_Word</group>
      <groupName>字词问题</groupName>
      <ability>L2_Typo</ability>
      <abilityName>字词错误</abilityName>
      <candidateList>
        <item>市</item>
      </candidateList>
      <explain/>
      <paraID>66024DBE</paraID>
      <start>30</start>
      <end>32</end>
      <status>unmodified</status>
      <modifiedWord/>
      <trackRevisions>false</trackRevisions>
    </reviewItem>
    <reviewItem>
      <errorID>c2d5bc8e-a763-4ddb-afea-606d1f2719dc</errorID>
      <errorWord>、以及</errorWord>
      <group>L1_Punc</group>
      <groupName>标点问题</groupName>
      <ability>L2_Punc</ability>
      <abilityName>标点符号检查</abilityName>
      <candidateList>
        <item>，以及</item>
      </candidateList>
      <explain>连接词前后不宜使用顿号，建议使用逗号。</explain>
      <paraID>66024DBE</paraID>
      <start>229</start>
      <end>232</end>
      <status>unmodified</status>
      <modifiedWord/>
      <trackRevisions>false</trackRevisions>
    </reviewItem>
    <reviewItem>
      <errorID>0b77758a-f2a8-4d06-980c-dd090b42a587</errorID>
      <errorWord>，</errorWord>
      <group>L1_Word</group>
      <groupName>字词问题</groupName>
      <ability>L2_Typo</ability>
      <abilityName>字词错误</abilityName>
      <candidateList>
        <item>，在</item>
      </candidateList>
      <explain/>
      <paraID> 16D6E2F</paraID>
      <start>703</start>
      <end>704</end>
      <status>unmodified</status>
      <modifiedWord/>
      <trackRevisions>false</trackRevisions>
    </reviewItem>
    <reviewItem>
      <errorID>76fce67d-8f1a-45ad-a6a6-397fdf91aecf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5E28B3B9</paraID>
      <start>18</start>
      <end>19</end>
      <status>ignored</status>
      <modifiedWord/>
      <trackRevisions>false</trackRevisions>
    </reviewItem>
    <reviewItem>
      <errorID>471cffa2-1310-44ee-a667-dda63374b42f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5E28B3B9</paraID>
      <start>42</start>
      <end>43</end>
      <status>ignored</status>
      <modifiedWord/>
      <trackRevisions>false</trackRevisions>
    </reviewItem>
    <reviewItem>
      <errorID>d913e587-a84d-4de7-b2bd-06cbe1bd8ec8</errorID>
      <errorWord>免加</errorWord>
      <group>L1_Word</group>
      <groupName>字词问题</groupName>
      <ability>L2_Typo</ability>
      <abilityName>字词错误</abilityName>
      <candidateList>
        <item>免强</item>
      </candidateList>
      <explain/>
      <paraID>5E28B3B9</paraID>
      <start>292</start>
      <end>294</end>
      <status>unmodified</status>
      <modifiedWord/>
      <trackRevisions>false</trackRevisions>
    </reviewItem>
    <reviewItem>
      <errorID>9d03858e-11f9-4512-81e7-3144701b5d9b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5E28B3B9</paraID>
      <start>556</start>
      <end>557</end>
      <status>ignored</status>
      <modifiedWord/>
      <trackRevisions>false</trackRevisions>
    </reviewItem>
    <reviewItem>
      <errorID>7ee44f33-9331-4ac0-924e-57f1148d88a6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5E28B3B9</paraID>
      <start>580</start>
      <end>581</end>
      <status>ignored</status>
      <modifiedWord/>
      <trackRevisions>false</trackRevisions>
    </reviewItem>
    <reviewItem>
      <errorID>083a9215-e05a-4d4f-bad1-e480bd35cf63</errorID>
      <errorWord>&lt;</errorWord>
      <group>L1_Format</group>
      <groupName>格式问题</groupName>
      <ability>L2_HalfPunc</ability>
      <abilityName>全半角检查</abilityName>
      <candidateList>
        <item>〈</item>
      </candidateList>
      <explain>文本全半角错误。</explain>
      <paraID>5A83B851</paraID>
      <start>21</start>
      <end>22</end>
      <status>unmodified</status>
      <modifiedWord/>
      <trackRevisions>false</trackRevisions>
    </reviewItem>
    <reviewItem>
      <errorID>6f1c7660-3411-45ec-9fab-2d79db55901e</errorID>
      <errorWord>《</errorWord>
      <group>L1_Punc</group>
      <groupName>标点问题</groupName>
      <ability>L2_Punc</ability>
      <abilityName>标点符号检查</abilityName>
      <candidateList/>
      <explain>同一形式括号套用。</explain>
      <paraID>5A83B851</paraID>
      <start>28</start>
      <end>29</end>
      <status>unmodified</status>
      <modifiedWord/>
      <trackRevisions>false</trackRevisions>
    </reviewItem>
    <reviewItem>
      <errorID>e676e2b6-eb49-4311-89f2-f536dc257865</errorID>
      <errorWord>》</errorWord>
      <group>L1_Punc</group>
      <groupName>标点问题</groupName>
      <ability>L2_Punc</ability>
      <abilityName>标点符号检查</abilityName>
      <candidateList/>
      <explain>同一形式括号套用。</explain>
      <paraID>5A83B851</paraID>
      <start>43</start>
      <end>44</end>
      <status>unmodified</status>
      <modifiedWord/>
      <trackRevisions>false</trackRevisions>
    </reviewItem>
    <reviewItem>
      <errorID>68aa1c7b-d3f6-48ce-8c06-42a97b194867</errorID>
      <errorWord>&gt;的通知》</errorWord>
      <group>L1_Punc</group>
      <groupName>标点问题</groupName>
      <ability>L2_Punc</ability>
      <abilityName>标点符号检查</abilityName>
      <candidateList>
        <item>〉的通知》</item>
      </candidateList>
      <explain/>
      <paraID>5A83B851</paraID>
      <start>49</start>
      <end>54</end>
      <status>unmodified</status>
      <modifiedWord/>
      <trackRevisions>false</trackRevisions>
    </reviewItem>
    <reviewItem>
      <errorID>a6520617-8bc5-4d1c-ae02-07c6b1954d76</errorID>
      <errorWord>，</errorWord>
      <group>L1_Word</group>
      <groupName>字词问题</groupName>
      <ability>L2_Typo</ability>
      <abilityName>字词错误</abilityName>
      <candidateList>
        <item>，有</item>
      </candidateList>
      <explain/>
      <paraID>5A83B851</paraID>
      <start>120</start>
      <end>121</end>
      <status>unmodified</status>
      <modifiedWord/>
      <trackRevisions>false</trackRevisions>
    </reviewItem>
    <reviewItem>
      <errorID>eb00b326-58ae-4efa-b5e7-24ae2e0a8e38</errorID>
      <errorWord>尽量避绕</errorWord>
      <group>L1_Word</group>
      <groupName>字词问题</groupName>
      <ability>L2_Typo</ability>
      <abilityName>字词错误</abilityName>
      <candidateList>
        <item>尽量避免</item>
      </candidateList>
      <explain/>
      <paraID>43AE4456</paraID>
      <start>28</start>
      <end>32</end>
      <status>unmodified</status>
      <modifiedWord/>
      <trackRevisions>false</trackRevisions>
    </reviewItem>
    <reviewItem>
      <errorID>d64fbc93-d039-4876-b9d4-dc0d1690504a</errorID>
      <errorWord>程</errorWord>
      <group>L1_Word</group>
      <groupName>字词问题</groupName>
      <ability>L2_Typo</ability>
      <abilityName>字词错误</abilityName>
      <candidateList>
        <item>程中</item>
      </candidateList>
      <explain/>
      <paraID> 12B7BA8</paraID>
      <start>39</start>
      <end>40</end>
      <status>unmodified</status>
      <modifiedWord/>
      <trackRevisions>false</trackRevisions>
    </reviewItem>
    <reviewItem>
      <errorID>4455ba71-bce4-4196-a200-2364653ac240</errorID>
      <errorWord>(</errorWord>
      <group>L1_Format</group>
      <groupName>格式问题</groupName>
      <ability>L2_HalfPunc</ability>
      <abilityName>全半角检查</abilityName>
      <candidateList>
        <item>（</item>
      </candidateList>
      <explain>文本全半角错误。</explain>
      <paraID> 12B7BA8</paraID>
      <start>635</start>
      <end>636</end>
      <status>ignored</status>
      <modifiedWord/>
      <trackRevisions>false</trackRevisions>
    </reviewItem>
    <reviewItem>
      <errorID>9bacd84f-8320-4e7c-b3a6-b3ef3543e1b6</errorID>
      <errorWord>)</errorWord>
      <group>L1_Format</group>
      <groupName>格式问题</groupName>
      <ability>L2_HalfPunc</ability>
      <abilityName>全半角检查</abilityName>
      <candidateList>
        <item>）</item>
      </candidateList>
      <explain>文本全半角错误。</explain>
      <paraID> 12B7BA8</paraID>
      <start>649</start>
      <end>650</end>
      <status>ignored</status>
      <modifiedWord/>
      <trackRevisions>false</trackRevisions>
    </reviewItem>
    <reviewItem>
      <errorID>a2c62ba4-2c49-4119-ae7f-6c3fd19104f9</errorID>
      <errorWord>)</errorWord>
      <group>L1_Format</group>
      <groupName>格式问题</groupName>
      <ability>L2_HalfPunc</ability>
      <abilityName>全半角检查</abilityName>
      <candidateList>
        <item>）</item>
      </candidateList>
      <explain>文本全半角错误。</explain>
      <paraID>3CF385A6</paraID>
      <start>198</start>
      <end>199</end>
      <status>ignored</status>
      <modifiedWord/>
      <trackRevisions>false</trackRevisions>
    </reviewItem>
    <reviewItem>
      <errorID>6a6f1ea1-3736-4c11-9b88-96f81925aa2f</errorID>
      <errorWord>、以及</errorWord>
      <group>L1_Punc</group>
      <groupName>标点问题</groupName>
      <ability>L2_Punc</ability>
      <abilityName>标点符号检查</abilityName>
      <candidateList>
        <item>，以及</item>
      </candidateList>
      <explain>连接词前后不宜使用顿号，建议使用逗号。</explain>
      <paraID>608B7B86</paraID>
      <start>26</start>
      <end>29</end>
      <status>unmodified</status>
      <modifiedWord/>
      <trackRevisions>false</trackRevisions>
    </reviewItem>
    <reviewItem>
      <errorID>4b35d711-a513-40cf-ab3d-782978e58ac2</errorID>
      <errorWord>程</errorWord>
      <group>L1_Word</group>
      <groupName>字词问题</groupName>
      <ability>L2_Typo</ability>
      <abilityName>字词错误</abilityName>
      <candidateList>
        <item>程中</item>
      </candidateList>
      <explain/>
      <paraID>36425419</paraID>
      <start>17</start>
      <end>18</end>
      <status>unmodified</status>
      <modifiedWord/>
      <trackRevisions>false</trackRevisions>
    </reviewItem>
    <reviewItem>
      <errorID>55ae32b4-4106-4514-9c39-684f201e6535</errorID>
      <errorWord>[2023]第7号</errorWord>
      <group>L1_Knowledge</group>
      <groupName>知识性问题</groupName>
      <ability>L2_Knowledge</ability>
      <abilityName>其他知识</abilityName>
      <candidateList>
        <item>〔2023〕7号</item>
      </candidateList>
      <explain>发文字号格式错误。</explain>
      <paraID>10A0CA5E</paraID>
      <start>35</start>
      <end>44</end>
      <status>unmodified</status>
      <modifiedWord/>
      <trackRevisions>false</trackRevisions>
    </reviewItem>
    <reviewItem>
      <errorID>152341da-7ba9-4263-ace7-0c467a38231a</errorID>
      <errorWord>》中</errorWord>
      <group>L1_Word</group>
      <groupName>字词问题</groupName>
      <ability>L2_Typo</ability>
      <abilityName>字词错误</abilityName>
      <candidateList>
        <item>》</item>
      </candidateList>
      <explain/>
      <paraID>10A0CA5E</paraID>
      <start>131</start>
      <end>133</end>
      <status>unmodified</status>
      <modifiedWord/>
      <trackRevisions>false</trackRevisions>
    </reviewItem>
    <reviewItem>
      <errorID>569bc283-b558-454e-a80d-d24624b4eb6e</errorID>
      <errorWord>〔2018〕第4号</errorWord>
      <group>L1_Knowledge</group>
      <groupName>知识性问题</groupName>
      <ability>L2_Knowledge</ability>
      <abilityName>其他知识</abilityName>
      <candidateList>
        <item>〔2018〕4号</item>
      </candidateList>
      <explain>发文字号格式错误。</explain>
      <paraID>10A0CA5E</paraID>
      <start>159</start>
      <end>168</end>
      <status>unmodified</status>
      <modifiedWord/>
      <trackRevisions>false</trackRevisions>
    </reviewItem>
    <reviewItem>
      <errorID>d12dd3f5-ae83-4d1e-b461-005c4b516992</errorID>
      <errorWord>[2014]第9号</errorWord>
      <group>L1_Knowledge</group>
      <groupName>知识性问题</groupName>
      <ability>L2_Knowledge</ability>
      <abilityName>其他知识</abilityName>
      <candidateList>
        <item>〔2014〕9号</item>
      </candidateList>
      <explain>发文字号格式错误。</explain>
      <paraID>4E2FDA46</paraID>
      <start>21</start>
      <end>30</end>
      <status>unmodified</status>
      <modifiedWord/>
      <trackRevisions>false</trackRevisions>
    </reviewItem>
    <reviewItem>
      <errorID>b62c2f08-fc92-4689-948a-36f212d95324</errorID>
      <errorWord>[2018]第24号</errorWord>
      <group>L1_Knowledge</group>
      <groupName>知识性问题</groupName>
      <ability>L2_Knowledge</ability>
      <abilityName>其他知识</abilityName>
      <candidateList>
        <item>〔2018〕24号</item>
      </candidateList>
      <explain>发文字号格式错误。</explain>
      <paraID>1CD57F61</paraID>
      <start>23</start>
      <end>33</end>
      <status>unmodified</status>
      <modifiedWord/>
      <trackRevisions>false</trackRevisions>
    </reviewItem>
    <reviewItem>
      <errorID>7c8c754e-2eac-4b6a-a7be-716b7841f6d5</errorID>
      <errorWord>[2018]第16号</errorWord>
      <group>L1_Knowledge</group>
      <groupName>知识性问题</groupName>
      <ability>L2_Knowledge</ability>
      <abilityName>其他知识</abilityName>
      <candidateList>
        <item>〔2018〕16号</item>
      </candidateList>
      <explain>发文字号格式错误。</explain>
      <paraID>45847ECF</paraID>
      <start>23</start>
      <end>33</end>
      <status>unmodified</status>
      <modifiedWord/>
      <trackRevisions>false</trackRevisions>
    </reviewItem>
    <reviewItem>
      <errorID>42c5e3ad-22c4-48fe-92c4-eea54d1d11e8</errorID>
      <errorWord>[2017]第70号</errorWord>
      <group>L1_Knowledge</group>
      <groupName>知识性问题</groupName>
      <ability>L2_Knowledge</ability>
      <abilityName>其他知识</abilityName>
      <candidateList>
        <item>〔2017〕70号</item>
      </candidateList>
      <explain>发文字号格式错误。</explain>
      <paraID> 701AB7C</paraID>
      <start>22</start>
      <end>32</end>
      <status>unmodified</status>
      <modifiedWord/>
      <trackRevisions>false</trackRevisions>
    </reviewItem>
    <reviewItem>
      <errorID>e966d525-9690-42c1-b305-1f55642b2fb9</errorID>
      <errorWord>届</errorWord>
      <group>L1_Knowledge</group>
      <groupName>知识性问题</groupName>
      <ability>L2_Knowledge</ability>
      <abilityName>其他知识</abilityName>
      <candidateList>
        <item>号</item>
      </candidateList>
      <explain>请检查“届”是否为量词使用错误，建议修改为“号”。</explain>
      <paraID>6D151652</paraID>
      <start>33</start>
      <end>34</end>
      <status>unmodified</status>
      <modifiedWord/>
      <trackRevisions>false</trackRevisions>
    </reviewItem>
    <reviewItem>
      <errorID>8f8bce0b-bf79-4e9e-bcde-a32e79383333</errorID>
      <errorWord>[2020]第43号</errorWord>
      <group>L1_Knowledge</group>
      <groupName>知识性问题</groupName>
      <ability>L2_Knowledge</ability>
      <abilityName>其他知识</abilityName>
      <candidateList>
        <item>〔2020〕43号</item>
      </candidateList>
      <explain>发文字号格式错误。</explain>
      <paraID>5D06363B</paraID>
      <start>27</start>
      <end>37</end>
      <status>unmodified</status>
      <modifiedWord/>
      <trackRevisions>false</trackRevisions>
    </reviewItem>
    <reviewItem>
      <errorID>3dc4c804-fd6e-4030-aaf1-5e6a9754f24d</errorID>
      <errorWord>[2010]第39号</errorWord>
      <group>L1_Knowledge</group>
      <groupName>知识性问题</groupName>
      <ability>L2_Knowledge</ability>
      <abilityName>其他知识</abilityName>
      <candidateList>
        <item>〔2010〕39号</item>
      </candidateList>
      <explain>发文字号格式错误。</explain>
      <paraID>184150F6</paraID>
      <start>21</start>
      <end>31</end>
      <status>unmodified</status>
      <modifiedWord/>
      <trackRevisions>false</trackRevisions>
    </reviewItem>
    <reviewItem>
      <errorID>522e42d9-0e0a-4aaf-87c9-9f2b5ed34144</errorID>
      <errorWord>[2012]第54号</errorWord>
      <group>L1_Knowledge</group>
      <groupName>知识性问题</groupName>
      <ability>L2_Knowledge</ability>
      <abilityName>其他知识</abilityName>
      <candidateList>
        <item>〔2012〕54号</item>
      </candidateList>
      <explain>发文字号格式错误。</explain>
      <paraID>1CCBA74A</paraID>
      <start>24</start>
      <end>34</end>
      <status>unmodified</status>
      <modifiedWord/>
      <trackRevisions>false</trackRevisions>
    </reviewItem>
    <reviewItem>
      <errorID>4db0b998-ae95-4db1-8bc4-61d6dd357ff2</errorID>
      <errorWord>[2010]第30号</errorWord>
      <group>L1_Knowledge</group>
      <groupName>知识性问题</groupName>
      <ability>L2_Knowledge</ability>
      <abilityName>其他知识</abilityName>
      <candidateList>
        <item>〔2010〕30号</item>
      </candidateList>
      <explain>发文字号格式错误。</explain>
      <paraID>132B439D</paraID>
      <start>27</start>
      <end>37</end>
      <status>unmodified</status>
      <modifiedWord/>
      <trackRevisions>false</trackRevisions>
    </reviewItem>
    <reviewItem>
      <errorID>c3d74510-be5b-4047-8014-b57019a8c838</errorID>
      <errorWord>〔2019〕第32号</errorWord>
      <group>L1_Knowledge</group>
      <groupName>知识性问题</groupName>
      <ability>L2_Knowledge</ability>
      <abilityName>其他知识</abilityName>
      <candidateList>
        <item>〔2019〕32号</item>
      </candidateList>
      <explain>发文字号格式错误。</explain>
      <paraID>488B1E83</paraID>
      <start>22</start>
      <end>32</end>
      <status>unmodified</status>
      <modifiedWord/>
      <trackRevisions>false</trackRevisions>
    </reviewItem>
    <reviewItem>
      <errorID>cc6f02db-214a-4b20-ac08-834becceefe0</errorID>
      <errorWord>[2023]第7号</errorWord>
      <group>L1_Knowledge</group>
      <groupName>知识性问题</groupName>
      <ability>L2_Knowledge</ability>
      <abilityName>其他知识</abilityName>
      <candidateList>
        <item>〔2023〕7号</item>
      </candidateList>
      <explain>发文字号格式错误。</explain>
      <paraID>64FC2112</paraID>
      <start>35</start>
      <end>44</end>
      <status>unmodified</status>
      <modifiedWord/>
      <trackRevisions>false</trackRevisions>
    </reviewItem>
    <reviewItem>
      <errorID>7817edf3-e274-4bd3-b9a9-c3b81d77af62</errorID>
      <errorWord>〔2018〕第4号</errorWord>
      <group>L1_Knowledge</group>
      <groupName>知识性问题</groupName>
      <ability>L2_Knowledge</ability>
      <abilityName>其他知识</abilityName>
      <candidateList>
        <item>〔2018〕4号</item>
      </candidateList>
      <explain>发文字号格式错误。</explain>
      <paraID>41C90D42</paraID>
      <start>25</start>
      <end>34</end>
      <status>unmodified</status>
      <modifiedWord/>
      <trackRevisions>false</trackRevisions>
    </reviewItem>
    <reviewItem>
      <errorID>db332f2f-d1f0-4d8f-9cfc-c8bd0d0aa394</errorID>
      <errorWord>&lt;</errorWord>
      <group>L1_Format</group>
      <groupName>格式问题</groupName>
      <ability>L2_HalfPunc</ability>
      <abilityName>全半角检查</abilityName>
      <candidateList>
        <item>〈</item>
      </candidateList>
      <explain>文本全半角错误。</explain>
      <paraID>34545337</paraID>
      <start>9</start>
      <end>10</end>
      <status>unmodified</status>
      <modifiedWord/>
      <trackRevisions>false</trackRevisions>
    </reviewItem>
    <reviewItem>
      <errorID>e1722415-e38a-4ec9-8d7a-05b6d79d0e82</errorID>
      <errorWord>《</errorWord>
      <group>L1_Punc</group>
      <groupName>标点问题</groupName>
      <ability>L2_Punc</ability>
      <abilityName>标点符号检查</abilityName>
      <candidateList/>
      <explain>同一形式括号套用。</explain>
      <paraID>34545337</paraID>
      <start>16</start>
      <end>17</end>
      <status>unmodified</status>
      <modifiedWord/>
      <trackRevisions>false</trackRevisions>
    </reviewItem>
    <reviewItem>
      <errorID>639332d7-1f81-4c20-b5d0-0123694c8ca4</errorID>
      <errorWord>》</errorWord>
      <group>L1_Punc</group>
      <groupName>标点问题</groupName>
      <ability>L2_Punc</ability>
      <abilityName>标点符号检查</abilityName>
      <candidateList/>
      <explain>同一形式括号套用。</explain>
      <paraID>34545337</paraID>
      <start>31</start>
      <end>32</end>
      <status>unmodified</status>
      <modifiedWord/>
      <trackRevisions>false</trackRevisions>
    </reviewItem>
    <reviewItem>
      <errorID>9033549c-8fb8-4356-bb05-d84010b07261</errorID>
      <errorWord>&gt;的通知》</errorWord>
      <group>L1_Punc</group>
      <groupName>标点问题</groupName>
      <ability>L2_Punc</ability>
      <abilityName>标点符号检查</abilityName>
      <candidateList>
        <item>〉的通知》</item>
      </candidateList>
      <explain/>
      <paraID>34545337</paraID>
      <start>37</start>
      <end>42</end>
      <status>unmodified</status>
      <modifiedWord/>
      <trackRevisions>false</trackRevisions>
    </reviewItem>
    <reviewItem>
      <errorID>3963ac3c-39a3-4737-8e59-068bbdd74f5f</errorID>
      <errorWord>《</errorWord>
      <group>L1_Punc</group>
      <groupName>标点问题</groupName>
      <ability>L2_Punc</ability>
      <abilityName>标点符号检查</abilityName>
      <candidateList/>
      <explain>同一形式括号套用。</explain>
      <paraID>46FE1C2C</paraID>
      <start>9</start>
      <end>10</end>
      <status>unmodified</status>
      <modifiedWord/>
      <trackRevisions>false</trackRevisions>
    </reviewItem>
    <reviewItem>
      <errorID>6d8b8ce3-dcd8-4086-bc1c-68fe14ee7db3</errorID>
      <errorWord>》</errorWord>
      <group>L1_Punc</group>
      <groupName>标点问题</groupName>
      <ability>L2_Punc</ability>
      <abilityName>标点符号检查</abilityName>
      <candidateList/>
      <explain>同一形式括号套用。</explain>
      <paraID>46FE1C2C</paraID>
      <start>22</start>
      <end>23</end>
      <status>unmodified</status>
      <modifiedWord/>
      <trackRevisions>false</trackRevisions>
    </reviewItem>
    <reviewItem>
      <errorID>50e5588b-f40d-4071-8391-1a716256879b</errorID>
      <errorWord>（</errorWord>
      <group>L1_Punc</group>
      <groupName>标点问题</groupName>
      <ability>L2_Punc</ability>
      <abilityName>标点符号检查</abilityName>
      <candidateList/>
      <explain>同一形式括号套用。</explain>
      <paraID>5B545EF3</paraID>
      <start>35</start>
      <end>36</end>
      <status>ignored</status>
      <modifiedWord/>
      <trackRevisions>false</trackRevisions>
    </reviewItem>
    <reviewItem>
      <errorID>6000668b-fca9-4f27-920d-b9290610cc21</errorID>
      <errorWord>）</errorWord>
      <group>L1_Punc</group>
      <groupName>标点问题</groupName>
      <ability>L2_Punc</ability>
      <abilityName>标点符号检查</abilityName>
      <candidateList/>
      <explain>同一形式括号套用。</explain>
      <paraID>5B545EF3</paraID>
      <start>49</start>
      <end>50</end>
      <status>ignored</status>
      <modifiedWord/>
      <trackRevisions>false</trackRevisions>
    </reviewItem>
    <reviewItem>
      <errorID>3426f11a-c8a5-47c8-9b3e-41fb61f299ea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16EEE643</paraID>
      <start>21</start>
      <end>22</end>
      <status>ignored</status>
      <modifiedWord/>
      <trackRevisions>false</trackRevisions>
    </reviewItem>
    <reviewItem>
      <errorID>16e80bef-f6c4-4216-8541-b9212b7d0062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B4BF835</paraID>
      <start>21</start>
      <end>22</end>
      <status>ignored</status>
      <modifiedWord/>
      <trackRevisions>false</trackRevisions>
    </reviewItem>
    <reviewItem>
      <errorID>6dee8059-314e-4eff-96bd-87147c3f0399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6E8B2CCE</paraID>
      <start>20</start>
      <end>21</end>
      <status>ignored</status>
      <modifiedWord/>
      <trackRevisions>false</trackRevisions>
    </reviewItem>
    <reviewItem>
      <errorID>d2f15c18-d562-417d-85e7-923b76c3f413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E3F76DC</paraID>
      <start>20</start>
      <end>21</end>
      <status>ignored</status>
      <modifiedWord/>
      <trackRevisions>false</trackRevisions>
    </reviewItem>
    <reviewItem>
      <errorID>981fdc30-6e90-4342-ba1d-f802ae129f7a</errorID>
      <errorWord>作法</errorWord>
      <group>L1_Word</group>
      <groupName>字词问题</groupName>
      <ability>L2_Typo</ability>
      <abilityName>字词错误</abilityName>
      <candidateList>
        <item>做法</item>
      </candidateList>
      <explain>存在发音相同字词的误用。</explain>
      <paraID>1C422CF7</paraID>
      <start>20</start>
      <end>22</end>
      <status>unmodified</status>
      <modifiedWord/>
      <trackRevisions>false</trackRevisions>
    </reviewItem>
    <reviewItem>
      <errorID>ba9685b9-f427-4fce-9569-e5fedfd92559</errorID>
      <errorWord>其它</errorWord>
      <group>L1_Word</group>
      <groupName>字词问题</groupName>
      <ability>L2_Alias</ability>
      <abilityName>也作/曾用词</abilityName>
      <candidateList>
        <item>其他</item>
      </candidateList>
      <explain>词汇[其它]为不规范表述或旧称，其规范书面表述为[其他]。</explain>
      <paraID>34AA79F1</paraID>
      <start>5</start>
      <end>7</end>
      <status>unmodified</status>
      <modifiedWord/>
      <trackRevisions>false</trackRevisions>
    </reviewItem>
    <reviewItem>
      <errorID>5f3f3dd6-6af4-43f0-83a1-83e966f7f84f</errorID>
      <errorWord>井井</errorWord>
      <group>L1_Word</group>
      <groupName>字词问题</groupName>
      <ability>L2_Typo</ability>
      <abilityName>字词错误</abilityName>
      <candidateList>
        <item>井</item>
      </candidateList>
      <explain/>
      <paraID>43A1177A</paraID>
      <start>11</start>
      <end>13</end>
      <status>ignored</status>
      <modifiedWord/>
      <trackRevisions>false</trackRevisions>
    </reviewItem>
    <reviewItem>
      <errorID>a0716688-6dd3-4f08-b8b3-ae2d74a95fb8</errorID>
      <errorWord>井井</errorWord>
      <group>L1_Word</group>
      <groupName>字词问题</groupName>
      <ability>L2_Typo</ability>
      <abilityName>字词错误</abilityName>
      <candidateList>
        <item>井</item>
      </candidateList>
      <explain/>
      <paraID>1364CCBD</paraID>
      <start>11</start>
      <end>13</end>
      <status>ignored</status>
      <modifiedWord/>
      <trackRevisions>false</trackRevisions>
    </reviewItem>
    <reviewItem>
      <errorID>250b73cf-7649-4054-90eb-06deb8a002ae</errorID>
      <errorWord>井井</errorWord>
      <group>L1_Word</group>
      <groupName>字词问题</groupName>
      <ability>L2_Typo</ability>
      <abilityName>字词错误</abilityName>
      <candidateList>
        <item>井</item>
      </candidateList>
      <explain/>
      <paraID>407FA56F</paraID>
      <start>12</start>
      <end>14</end>
      <status>ignored</status>
      <modifiedWord/>
      <trackRevisions>false</trackRevisions>
    </reviewItem>
    <reviewItem>
      <errorID>5dc0656a-d124-4b5c-a86c-f7d2cb273e40</errorID>
      <errorWord>井井</errorWord>
      <group>L1_Word</group>
      <groupName>字词问题</groupName>
      <ability>L2_Typo</ability>
      <abilityName>字词错误</abilityName>
      <candidateList>
        <item>井</item>
      </candidateList>
      <explain/>
      <paraID>1E115CCC</paraID>
      <start>13</start>
      <end>15</end>
      <status>ignored</status>
      <modifiedWord/>
      <trackRevisions>false</trackRevisions>
    </reviewItem>
    <reviewItem>
      <errorID>52e0bc13-76ac-4d97-a11a-85a42195b957</errorID>
      <errorWord>期</errorWord>
      <group>L1_Word</group>
      <groupName>字词问题</groupName>
      <ability>L2_Typo</ability>
      <abilityName>字词错误</abilityName>
      <candidateList>
        <item>期间</item>
      </candidateList>
      <explain>〈名〉某个时期里面：农忙～｜春节～｜抗战～。</explain>
      <paraID>159D984A</paraID>
      <start>46</start>
      <end>47</end>
      <status>ignored</status>
      <modifiedWord/>
      <trackRevisions>false</trackRevisions>
    </reviewItem>
    <reviewItem>
      <errorID>08482958-5f11-488b-85c1-2db6e36b135f</errorID>
      <errorWord>占地土壤</errorWord>
      <group>L1_Knowledge</group>
      <groupName>知识性问题</groupName>
      <ability>L2_Term</ability>
      <abilityName>专业术语</abilityName>
      <candidateList>
        <item>迹地土壤</item>
      </candidateList>
      <explain/>
      <paraID>5CD3BC86</paraID>
      <start>87</start>
      <end>91</end>
      <status>unmodified</status>
      <modifiedWord/>
      <trackRevisions>false</trackRevisions>
    </reviewItem>
    <reviewItem>
      <errorID>c2de9c23-f35c-4bb1-b2e7-3486135f54ff</errorID>
      <errorWord>泄露</errorWord>
      <group>L1_Word</group>
      <groupName>字词问题</groupName>
      <ability>L2_Typo</ability>
      <abilityName>字词错误</abilityName>
      <candidateList>
        <item>泄漏</item>
      </candidateList>
      <explain>存在发音相同字词的误用。</explain>
      <paraID>57B45BA5</paraID>
      <start>18</start>
      <end>20</end>
      <status>unmodified</status>
      <modifiedWord/>
      <trackRevisions>false</trackRevisions>
    </reviewItem>
    <reviewItem>
      <errorID>9f53adfb-3bc0-4c2e-a016-41909e06d582</errorID>
      <errorWord>-</errorWord>
      <group>L1_Format</group>
      <groupName>格式问题</groupName>
      <ability>L2_HalfPunc</ability>
      <abilityName>全半角检查</abilityName>
      <candidateList>
        <item>－</item>
      </candidateList>
      <explain>文本全半角错误。</explain>
      <paraID>54DDF42A</paraID>
      <start>2</start>
      <end>3</end>
      <status>unmodified</status>
      <modifiedWord/>
      <trackRevisions>false</trackRevisions>
    </reviewItem>
    <reviewItem>
      <errorID>39e6f772-deaa-45a0-b624-dc2a236c0a04</errorID>
      <errorWord>/：</errorWord>
      <group>L1_Punc</group>
      <groupName>标点问题</groupName>
      <ability>L2_Punc</ability>
      <abilityName>标点符号检查</abilityName>
      <candidateList>
        <item>/</item>
      </candidateList>
      <explain/>
      <paraID>54DDF42A</paraID>
      <start>48</start>
      <end>50</end>
      <status>unmodified</status>
      <modifiedWord/>
      <trackRevisions>false</trackRevisions>
    </reviewItem>
    <reviewItem>
      <errorID>d00fd014-8591-4a40-802b-57acb7c44533</errorID>
      <errorWord>-</errorWord>
      <group>L1_Format</group>
      <groupName>格式问题</groupName>
      <ability>L2_HalfPunc</ability>
      <abilityName>全半角检查</abilityName>
      <candidateList>
        <item>－</item>
      </candidateList>
      <explain>文本全半角错误。</explain>
      <paraID>1E17B085</paraID>
      <start>2</start>
      <end>3</end>
      <status>unmodified</status>
      <modifiedWord/>
      <trackRevisions>false</trackRevisions>
    </reviewItem>
    <reviewItem>
      <errorID>d3a3de05-b1a6-40af-b0ba-5b75002e29b4</errorID>
      <errorWord>/：</errorWord>
      <group>L1_Punc</group>
      <groupName>标点问题</groupName>
      <ability>L2_Punc</ability>
      <abilityName>标点符号检查</abilityName>
      <candidateList>
        <item>/</item>
      </candidateList>
      <explain/>
      <paraID>1E17B085</paraID>
      <start>48</start>
      <end>50</end>
      <status>unmodified</status>
      <modifiedWord/>
      <trackRevisions>false</trackRevisions>
    </reviewItem>
    <reviewItem>
      <errorID>e8e7e734-2164-4135-8b5f-db20b291f7cd</errorID>
      <errorWord>产生污染物</errorWord>
      <group>L1_Knowledge</group>
      <groupName>知识性问题</groupName>
      <ability>L2_Term</ability>
      <abilityName>专业术语</abilityName>
      <candidateList>
        <item>次生污染物</item>
      </candidateList>
      <explain/>
      <paraID>2195C19E</paraID>
      <start>5</start>
      <end>10</end>
      <status>unmodified</status>
      <modifiedWord/>
      <trackRevisions>false</trackRevisions>
    </reviewItem>
    <reviewItem>
      <errorID>ef11fd14-2ce0-46a4-8519-045cb23a6d5b</errorID>
      <errorWord>~</errorWord>
      <group>L1_Format</group>
      <groupName>格式问题</groupName>
      <ability>L2_HalfPunc</ability>
      <abilityName>全半角检查</abilityName>
      <candidateList>
        <item>～</item>
      </candidateList>
      <explain>文本全半角错误。</explain>
      <paraID>2195C19E</paraID>
      <start>47</start>
      <end>48</end>
      <status>unmodified</status>
      <modifiedWord/>
      <trackRevisions>false</trackRevisions>
    </reviewItem>
    <reviewItem>
      <errorID>b54f71fb-28a4-4b96-bdec-67aa74c01738</errorID>
      <errorWord>(</errorWord>
      <group>L1_Format</group>
      <groupName>格式问题</groupName>
      <ability>L2_HalfPunc</ability>
      <abilityName>全半角检查</abilityName>
      <candidateList>
        <item>（</item>
      </candidateList>
      <explain>文本全半角错误。</explain>
      <paraID>45F58925</paraID>
      <start>269</start>
      <end>270</end>
      <status>ignored</status>
      <modifiedWord/>
      <trackRevisions>false</trackRevisions>
    </reviewItem>
    <reviewItem>
      <errorID>16d099f5-41c6-47f5-b8e1-216a47e58f39</errorID>
      <errorWord>)</errorWord>
      <group>L1_Format</group>
      <groupName>格式问题</groupName>
      <ability>L2_HalfPunc</ability>
      <abilityName>全半角检查</abilityName>
      <candidateList>
        <item>）</item>
      </candidateList>
      <explain>文本全半角错误。</explain>
      <paraID>45F58925</paraID>
      <start>271</start>
      <end>272</end>
      <status>ignored</status>
      <modifiedWord/>
      <trackRevisions>false</trackRevisions>
    </reviewItem>
    <reviewItem>
      <errorID>e50ce225-1043-4948-8968-f72faa7cb9b1</errorID>
      <errorWord>覆盖率等</errorWord>
      <group>L1_Word</group>
      <groupName>字词问题</groupName>
      <ability>L2_Typo</ability>
      <abilityName>字词错误</abilityName>
      <candidateList>
        <item>覆盖率</item>
      </candidateList>
      <explain/>
      <paraID>14CA978A</paraID>
      <start>24</start>
      <end>28</end>
      <status>unmodified</status>
      <modifiedWord/>
      <trackRevisions>false</trackRevisions>
    </reviewItem>
    <reviewItem>
      <errorID>c5d71a67-16f5-45a1-b685-edc15e0db306</errorID>
      <errorWord>泄露</errorWord>
      <group>L1_Word</group>
      <groupName>字词问题</groupName>
      <ability>L2_Typo</ability>
      <abilityName>字词错误</abilityName>
      <candidateList>
        <item>泄漏</item>
      </candidateList>
      <explain>存在发音相同字词的误用。</explain>
      <paraID>6FB8551B</paraID>
      <start>8</start>
      <end>10</end>
      <status>unmodified</status>
      <modifiedWord/>
      <trackRevisions>false</trackRevisions>
    </reviewItem>
    <reviewItem>
      <errorID>ef4918cb-087c-40ac-ae07-b68f0568d4d2</errorID>
      <errorWord>、</errorWord>
      <group>L1_Punc</group>
      <groupName>标点问题</groupName>
      <ability>L2_Punc</ability>
      <abilityName>标点符号检查</abilityName>
      <candidateList/>
      <explain/>
      <paraID>470525C4</paraID>
      <start>0</start>
      <end>1</end>
      <status>unmodified</status>
      <modifiedWord/>
      <trackRevisions>false</trackRevisions>
    </reviewItem>
    <reviewItem>
      <errorID>e5914f41-75ae-4f9b-887d-49518a0cbac4</errorID>
      <errorWord>[2019]11号</errorWord>
      <group>L1_Knowledge</group>
      <groupName>知识性问题</groupName>
      <ability>L2_Knowledge</ability>
      <abilityName>其他知识</abilityName>
      <candidateList>
        <item>〔2019〕11号</item>
      </candidateList>
      <explain>发文字号格式错误。</explain>
      <paraID>6C84A228</paraID>
      <start>62</start>
      <end>71</end>
      <status>unmodified</status>
      <modifiedWord/>
      <trackRevisions>false</trackRevisions>
    </reviewItem>
    <reviewItem>
      <errorID>ca807fa5-25cb-4e99-b998-f4fa84a36132</errorID>
      <errorWord>其它</errorWord>
      <group>L1_Word</group>
      <groupName>字词问题</groupName>
      <ability>L2_Alias</ability>
      <abilityName>也作/曾用词</abilityName>
      <candidateList>
        <item>其他</item>
      </candidateList>
      <explain>词汇[其它]为不规范表述或旧称，其规范书面表述为[其他]。</explain>
      <paraID>6C84A228</paraID>
      <start>111</start>
      <end>113</end>
      <status>unmodified</status>
      <modifiedWord/>
      <trackRevisions>false</trackRevisions>
    </reviewItem>
    <reviewItem>
      <errorID>a2f1bfeb-3e5c-4b0e-9a47-da189733ade8</errorID>
      <errorWord>(</errorWord>
      <group>L1_Format</group>
      <groupName>格式问题</groupName>
      <ability>L2_HalfPunc</ability>
      <abilityName>全半角检查</abilityName>
      <candidateList>
        <item>（</item>
      </candidateList>
      <explain>文本全半角错误。</explain>
      <paraID>6C84A228</paraID>
      <start>272</start>
      <end>273</end>
      <status>ignored</status>
      <modifiedWord/>
      <trackRevisions>false</trackRevisions>
    </reviewItem>
    <reviewItem>
      <errorID>65563e93-2369-4f3f-ab3c-9d8b4e851240</errorID>
      <errorWord>III类</errorWord>
      <group>L1_Knowledge</group>
      <groupName>知识性问题</groupName>
      <ability>L2_Knowledge</ability>
      <abilityName>其他知识</abilityName>
      <candidateList>
        <item>Ⅲ类</item>
      </candidateList>
      <explain/>
      <paraID>33853D27</paraID>
      <start>67</start>
      <end>71</end>
      <status>unmodified</status>
      <modifiedWord/>
      <trackRevisions>false</trackRevisions>
    </reviewItem>
    <reviewItem>
      <errorID>2461a3bd-a63d-4a4e-9b22-c3898a784d85</errorID>
      <errorWord>II类</errorWord>
      <group>L1_Knowledge</group>
      <groupName>知识性问题</groupName>
      <ability>L2_Knowledge</ability>
      <abilityName>其他知识</abilityName>
      <candidateList>
        <item>Ⅱ类</item>
      </candidateList>
      <explain/>
      <paraID>33853D27</paraID>
      <start>109</start>
      <end>112</end>
      <status>unmodified</status>
      <modifiedWord/>
      <trackRevisions>false</trackRevisions>
    </reviewItem>
    <reviewItem>
      <errorID>287b403d-e84e-4f32-8a4e-fbf309f90f8e</errorID>
      <errorWord>～</errorWord>
      <group>L1_Format</group>
      <groupName>格式问题</groupName>
      <ability>L2_HalfPunc</ability>
      <abilityName>全半角检查</abilityName>
      <candidateList>
        <item>~</item>
      </candidateList>
      <explain>文本全半角错误。</explain>
      <paraID>3046B9F2</paraID>
      <start>3</start>
      <end>4</end>
      <status>unmodified</status>
      <modifiedWord/>
      <trackRevisions>false</trackRevisions>
    </reviewItem>
    <reviewItem>
      <errorID>2bfe70d6-90e0-48fc-b690-8f1d96b02688</errorID>
      <errorWord>(</errorWord>
      <group>L1_Format</group>
      <groupName>格式问题</groupName>
      <ability>L2_HalfPunc</ability>
      <abilityName>全半角检查</abilityName>
      <candidateList>
        <item>（</item>
      </candidateList>
      <explain>文本全半角错误。</explain>
      <paraID> A645ADF</paraID>
      <start>3</start>
      <end>4</end>
      <status>ignored</status>
      <modifiedWord/>
      <trackRevisions>false</trackRevisions>
    </reviewItem>
    <reviewItem>
      <errorID>0b9fc88c-80d3-466b-97f7-571fa4db217e</errorID>
      <errorWord>)</errorWord>
      <group>L1_Format</group>
      <groupName>格式问题</groupName>
      <ability>L2_HalfPunc</ability>
      <abilityName>全半角检查</abilityName>
      <candidateList>
        <item>）</item>
      </candidateList>
      <explain>文本全半角错误。</explain>
      <paraID> A645ADF</paraID>
      <start>7</start>
      <end>8</end>
      <status>ignored</status>
      <modifiedWord/>
      <trackRevisions>false</trackRevisions>
    </reviewItem>
    <reviewItem>
      <errorID>f52d67a5-0c81-4478-bb66-df89cee543bc</errorID>
      <errorWord>(</errorWord>
      <group>L1_Format</group>
      <groupName>格式问题</groupName>
      <ability>L2_HalfPunc</ability>
      <abilityName>全半角检查</abilityName>
      <candidateList>
        <item>（</item>
      </candidateList>
      <explain>文本全半角错误。</explain>
      <paraID>23576846</paraID>
      <start>4</start>
      <end>5</end>
      <status>ignored</status>
      <modifiedWord/>
      <trackRevisions>false</trackRevisions>
    </reviewItem>
    <reviewItem>
      <errorID>70825dd8-9c28-4b89-8576-abb9dbdab6df</errorID>
      <errorWord>)</errorWord>
      <group>L1_Format</group>
      <groupName>格式问题</groupName>
      <ability>L2_HalfPunc</ability>
      <abilityName>全半角检查</abilityName>
      <candidateList>
        <item>）</item>
      </candidateList>
      <explain>文本全半角错误。</explain>
      <paraID>23576846</paraID>
      <start>8</start>
      <end>9</end>
      <status>ignored</status>
      <modifiedWord/>
      <trackRevisions>false</trackRevisions>
    </reviewItem>
    <reviewItem>
      <errorID>a71fdfd8-77e6-4e68-acbe-c14c2c434411</errorID>
      <errorWord>II类</errorWord>
      <group>L1_Knowledge</group>
      <groupName>知识性问题</groupName>
      <ability>L2_Knowledge</ability>
      <abilityName>其他知识</abilityName>
      <candidateList>
        <item>Ⅱ类</item>
      </candidateList>
      <explain/>
      <paraID>7E5727E9</paraID>
      <start>28</start>
      <end>31</end>
      <status>unmodified</status>
      <modifiedWord/>
      <trackRevisions>false</trackRevisions>
    </reviewItem>
    <reviewItem>
      <errorID>b6eb1357-edb2-4809-9e09-14a468fa0ebd</errorID>
      <errorWord>[2019]11号</errorWord>
      <group>L1_Knowledge</group>
      <groupName>知识性问题</groupName>
      <ability>L2_Knowledge</ability>
      <abilityName>其他知识</abilityName>
      <candidateList>
        <item>〔2019〕11号</item>
      </candidateList>
      <explain>发文字号格式错误。</explain>
      <paraID>335C3B49</paraID>
      <start>62</start>
      <end>71</end>
      <status>unmodified</status>
      <modifiedWord/>
      <trackRevisions>false</trackRevisions>
    </reviewItem>
    <reviewItem>
      <errorID>309cd964-cc9a-47ab-9657-cd9dc5577756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2CBBA936</paraID>
      <start>0</start>
      <end>2</end>
      <status>unmodified</status>
      <modifiedWord/>
      <trackRevisions>false</trackRevisions>
    </reviewItem>
    <reviewItem>
      <errorID>4353e681-a903-4f87-bd46-c0a97e0d809d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35F6A056</paraID>
      <start>0</start>
      <end>2</end>
      <status>unmodified</status>
      <modifiedWord/>
      <trackRevisions>false</trackRevisions>
    </reviewItem>
    <reviewItem>
      <errorID>a7d282d6-8238-4cea-8805-cd34960eafdd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5E8E0D36</paraID>
      <start>0</start>
      <end>2</end>
      <status>unmodified</status>
      <modifiedWord/>
      <trackRevisions>false</trackRevisions>
    </reviewItem>
    <reviewItem>
      <errorID>1d871d09-8750-4d3f-a35e-1be4d6e4f959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474561A0</paraID>
      <start>0</start>
      <end>2</end>
      <status>unmodified</status>
      <modifiedWord/>
      <trackRevisions>false</trackRevisions>
    </reviewItem>
    <reviewItem>
      <errorID>665e5535-ee98-4e31-b4f2-4ab0108d0aa2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15CE6223</paraID>
      <start>0</start>
      <end>2</end>
      <status>unmodified</status>
      <modifiedWord/>
      <trackRevisions>false</trackRevisions>
    </reviewItem>
    <reviewItem>
      <errorID>7ba9bdd0-14f2-4992-b261-44d84011c79a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79032B4F</paraID>
      <start>0</start>
      <end>2</end>
      <status>unmodified</status>
      <modifiedWord/>
      <trackRevisions>false</trackRevisions>
    </reviewItem>
    <reviewItem>
      <errorID>7ca43c64-1430-40f9-afe6-fcbde37477d0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7AB0E941</paraID>
      <start>0</start>
      <end>2</end>
      <status>unmodified</status>
      <modifiedWord/>
      <trackRevisions>false</trackRevisions>
    </reviewItem>
    <reviewItem>
      <errorID>47873b29-0bdb-4ca1-a946-940f2e50b31f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6AE3F0B8</paraID>
      <start>0</start>
      <end>2</end>
      <status>unmodified</status>
      <modifiedWord/>
      <trackRevisions>false</trackRevisions>
    </reviewItem>
    <reviewItem>
      <errorID>9f3d1989-e2f4-481a-ac41-1c263d7551b0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2186AA3A</paraID>
      <start>0</start>
      <end>2</end>
      <status>unmodified</status>
      <modifiedWord/>
      <trackRevisions>false</trackRevisions>
    </reviewItem>
    <reviewItem>
      <errorID>a8dfd73a-e4c6-4348-a750-b9a237e57015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9367FB7</paraID>
      <start>0</start>
      <end>2</end>
      <status>unmodified</status>
      <modifiedWord/>
      <trackRevisions>false</trackRevisions>
    </reviewItem>
    <reviewItem>
      <errorID>675eb5a6-8ef4-4c58-8186-796aa9bc618a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4CE1D980</paraID>
      <start>0</start>
      <end>2</end>
      <status>unmodified</status>
      <modifiedWord/>
      <trackRevisions>false</trackRevisions>
    </reviewItem>
    <reviewItem>
      <errorID>66eae184-a35a-41f9-b95e-752bbf5d63bc</errorID>
      <errorWord>其它</errorWord>
      <group>L1_Word</group>
      <groupName>字词问题</groupName>
      <ability>L2_Alias</ability>
      <abilityName>也作/曾用词</abilityName>
      <candidateList>
        <item>其他</item>
      </candidateList>
      <explain>词汇[其它]为不规范表述或旧称，其规范书面表述为[其他]。</explain>
      <paraID>2685F390</paraID>
      <start>0</start>
      <end>2</end>
      <status>unmodified</status>
      <modifiedWord/>
      <trackRevisions>false</trackRevisions>
    </reviewItem>
    <reviewItem>
      <errorID>7470954a-68de-4912-b042-922ae1d71f4e</errorID>
      <errorWord>其它</errorWord>
      <group>L1_Word</group>
      <groupName>字词问题</groupName>
      <ability>L2_Alias</ability>
      <abilityName>也作/曾用词</abilityName>
      <candidateList>
        <item>其他</item>
      </candidateList>
      <explain>词汇[其它]为不规范表述或旧称，其规范书面表述为[其他]。</explain>
      <paraID>3AD9339E</paraID>
      <start>0</start>
      <end>2</end>
      <status>unmodified</status>
      <modifiedWord/>
      <trackRevisions>false</trackRevisions>
    </reviewItem>
    <reviewItem>
      <errorID>aa1fcb66-dc9b-4d0a-81d7-62ece07324e6</errorID>
      <errorWord>其它</errorWord>
      <group>L1_Word</group>
      <groupName>字词问题</groupName>
      <ability>L2_Alias</ability>
      <abilityName>也作/曾用词</abilityName>
      <candidateList>
        <item>其他</item>
      </candidateList>
      <explain>词汇[其它]为不规范表述或旧称，其规范书面表述为[其他]。</explain>
      <paraID>7D3BEC8B</paraID>
      <start>0</start>
      <end>2</end>
      <status>unmodified</status>
      <modifiedWord/>
      <trackRevisions>false</trackRevisions>
    </reviewItem>
    <reviewItem>
      <errorID>3482da0f-2191-4575-bafa-acf6b4991d73</errorID>
      <errorWord>其它</errorWord>
      <group>L1_Word</group>
      <groupName>字词问题</groupName>
      <ability>L2_Alias</ability>
      <abilityName>也作/曾用词</abilityName>
      <candidateList>
        <item>其他</item>
      </candidateList>
      <explain>词汇[其它]为不规范表述或旧称，其规范书面表述为[其他]。</explain>
      <paraID>6026964B</paraID>
      <start>0</start>
      <end>2</end>
      <status>unmodified</status>
      <modifiedWord/>
      <trackRevisions>false</trackRevisions>
    </reviewItem>
    <reviewItem>
      <errorID>0917da97-6be7-4a10-8a32-e864000e5f47</errorID>
      <errorWord>其它</errorWord>
      <group>L1_Word</group>
      <groupName>字词问题</groupName>
      <ability>L2_Alias</ability>
      <abilityName>也作/曾用词</abilityName>
      <candidateList>
        <item>其他</item>
      </candidateList>
      <explain>词汇[其它]为不规范表述或旧称，其规范书面表述为[其他]。</explain>
      <paraID>5ADC4AF5</paraID>
      <start>0</start>
      <end>2</end>
      <status>unmodified</status>
      <modifiedWord/>
      <trackRevisions>false</trackRevisions>
    </reviewItem>
    <reviewItem>
      <errorID>b2a8b7f3-e967-4883-aac2-e484bb32659e</errorID>
      <errorWord>其它</errorWord>
      <group>L1_Word</group>
      <groupName>字词问题</groupName>
      <ability>L2_Alias</ability>
      <abilityName>也作/曾用词</abilityName>
      <candidateList>
        <item>其他</item>
      </candidateList>
      <explain>词汇[其它]为不规范表述或旧称，其规范书面表述为[其他]。</explain>
      <paraID>5B6F29E5</paraID>
      <start>0</start>
      <end>2</end>
      <status>unmodified</status>
      <modifiedWord/>
      <trackRevisions>false</trackRevisions>
    </reviewItem>
    <reviewItem>
      <errorID>efcea36f-0a03-46b9-beee-bcfdf4374604</errorID>
      <errorWord>（</errorWord>
      <group>L1_Format</group>
      <groupName>格式问题</groupName>
      <ability>L2_HalfPunc</ability>
      <abilityName>全半角检查</abilityName>
      <candidateList>
        <item>(</item>
      </candidateList>
      <explain>文本全半角错误。</explain>
      <paraID>14A77D11</paraID>
      <start>0</start>
      <end>1</end>
      <status>unmodified</status>
      <modifiedWord/>
      <trackRevisions>false</trackRevisions>
    </reviewItem>
    <reviewItem>
      <errorID>f6c4f826-8deb-4b4a-898a-22984267943d</errorID>
      <errorWord>）（</errorWord>
      <group>L1_Format</group>
      <groupName>格式问题</groupName>
      <ability>L2_HalfPunc</ability>
      <abilityName>全半角检查</abilityName>
      <candidateList>
        <item>)(</item>
      </candidateList>
      <explain>文本全半角错误。</explain>
      <paraID>14A77D11</paraID>
      <start>4</start>
      <end>6</end>
      <status>unmodified</status>
      <modifiedWord/>
      <trackRevisions>false</trackRevisions>
    </reviewItem>
    <reviewItem>
      <errorID>2fd23087-ea47-4598-bc2f-c0fb1ed35479</errorID>
      <errorWord>）</errorWord>
      <group>L1_Format</group>
      <groupName>格式问题</groupName>
      <ability>L2_HalfPunc</ability>
      <abilityName>全半角检查</abilityName>
      <candidateList>
        <item>)</item>
      </candidateList>
      <explain>文本全半角错误。</explain>
      <paraID>14A77D11</paraID>
      <start>8</start>
      <end>9</end>
      <status>unmodified</status>
      <modifiedWord/>
      <trackRevisions>false</trackRevisions>
    </reviewItem>
    <reviewItem>
      <errorID>de3cbb20-0910-43cc-8eac-9c3cac61146d</errorID>
      <errorWord>＞</errorWord>
      <group>L1_Format</group>
      <groupName>格式问题</groupName>
      <ability>L2_HalfPunc</ability>
      <abilityName>全半角检查</abilityName>
      <candidateList>
        <item>&gt;</item>
      </candidateList>
      <explain>文本全半角错误。</explain>
      <paraID>38689A43</paraID>
      <start>4</start>
      <end>5</end>
      <status>unmodified</status>
      <modifiedWord/>
      <trackRevisions>false</trackRevisions>
    </reviewItem>
    <reviewItem>
      <errorID>900ef0eb-ae6c-4404-9bbd-d09ab37f817e</errorID>
      <errorWord>＜</errorWord>
      <group>L1_Format</group>
      <groupName>格式问题</groupName>
      <ability>L2_HalfPunc</ability>
      <abilityName>全半角检查</abilityName>
      <candidateList>
        <item>&lt;</item>
      </candidateList>
      <explain>文本全半角错误。</explain>
      <paraID>109BF4DC</paraID>
      <start>7</start>
      <end>8</end>
      <status>unmodified</status>
      <modifiedWord/>
      <trackRevisions>false</trackRevisions>
    </reviewItem>
    <reviewItem>
      <errorID>6af5cc73-adf9-4fc7-9f96-6a84332baede</errorID>
      <errorWord>＜</errorWord>
      <group>L1_Format</group>
      <groupName>格式问题</groupName>
      <ability>L2_HalfPunc</ability>
      <abilityName>全半角检查</abilityName>
      <candidateList>
        <item>&lt;</item>
      </candidateList>
      <explain>文本全半角错误。</explain>
      <paraID>123C1902</paraID>
      <start>7</start>
      <end>8</end>
      <status>unmodified</status>
      <modifiedWord/>
      <trackRevisions>false</trackRevisions>
    </reviewItem>
    <reviewItem>
      <errorID>3c50a5da-d67e-4a2b-9c7a-bd9641cc538c</errorID>
      <errorWord>＜</errorWord>
      <group>L1_Format</group>
      <groupName>格式问题</groupName>
      <ability>L2_HalfPunc</ability>
      <abilityName>全半角检查</abilityName>
      <candidateList>
        <item>&lt;</item>
      </candidateList>
      <explain>文本全半角错误。</explain>
      <paraID>39582589</paraID>
      <start>4</start>
      <end>5</end>
      <status>unmodified</status>
      <modifiedWord/>
      <trackRevisions>false</trackRevisions>
    </reviewItem>
    <reviewItem>
      <errorID>e82935d1-8682-407f-b8bf-55550997c38a</errorID>
      <errorWord>＜</errorWord>
      <group>L1_Format</group>
      <groupName>格式问题</groupName>
      <ability>L2_HalfPunc</ability>
      <abilityName>全半角检查</abilityName>
      <candidateList>
        <item>&lt;</item>
      </candidateList>
      <explain>文本全半角错误。</explain>
      <paraID>72178EF7</paraID>
      <start>4</start>
      <end>5</end>
      <status>unmodified</status>
      <modifiedWord/>
      <trackRevisions>false</trackRevisions>
    </reviewItem>
    <reviewItem>
      <errorID>27f5288a-a7c9-4500-8e3e-407f51c8f45c</errorID>
      <errorWord>＜</errorWord>
      <group>L1_Format</group>
      <groupName>格式问题</groupName>
      <ability>L2_HalfPunc</ability>
      <abilityName>全半角检查</abilityName>
      <candidateList>
        <item>&lt;</item>
      </candidateList>
      <explain>文本全半角错误。</explain>
      <paraID>7F9445EB</paraID>
      <start>7</start>
      <end>8</end>
      <status>unmodified</status>
      <modifiedWord/>
      <trackRevisions>false</trackRevisions>
    </reviewItem>
    <reviewItem>
      <errorID>dd24f455-debc-485c-b03d-7ff4fda77c31</errorID>
      <errorWord>后回注油层后回注油层</errorWord>
      <group>L1_Word</group>
      <groupName>字词问题</groupName>
      <ability>L2_Typo</ability>
      <abilityName>字词错误</abilityName>
      <candidateList>
        <item>后回注油层</item>
      </candidateList>
      <explain/>
      <paraID>5B1F684B</paraID>
      <start>185</start>
      <end>195</end>
      <status>unmodified</status>
      <modifiedWord/>
      <trackRevisions>false</trackRevisions>
    </reviewItem>
    <reviewItem>
      <errorID>bf509829-a669-473d-83bc-844a042ac2d7</errorID>
      <errorWord>＜</errorWord>
      <group>L1_Format</group>
      <groupName>格式问题</groupName>
      <ability>L2_HalfPunc</ability>
      <abilityName>全半角检查</abilityName>
      <candidateList>
        <item>&lt;</item>
      </candidateList>
      <explain>文本全半角错误。</explain>
      <paraID>1FCDEC91</paraID>
      <start>0</start>
      <end>1</end>
      <status>unmodified</status>
      <modifiedWord/>
      <trackRevisions>false</trackRevisions>
    </reviewItem>
    <reviewItem>
      <errorID>f63fe2ea-64d4-4595-b19e-670b05cb3f86</errorID>
      <errorWord>＞</errorWord>
      <group>L1_Format</group>
      <groupName>格式问题</groupName>
      <ability>L2_HalfPunc</ability>
      <abilityName>全半角检查</abilityName>
      <candidateList>
        <item>&gt;</item>
      </candidateList>
      <explain>文本全半角错误。</explain>
      <paraID> ED71422</paraID>
      <start>0</start>
      <end>1</end>
      <status>unmodified</status>
      <modifiedWord/>
      <trackRevisions>false</trackRevisions>
    </reviewItem>
    <reviewItem>
      <errorID>a475c1f6-5f5a-45a8-9dea-b8f59e05d947</errorID>
      <errorWord>＜</errorWord>
      <group>L1_Format</group>
      <groupName>格式问题</groupName>
      <ability>L2_HalfPunc</ability>
      <abilityName>全半角检查</abilityName>
      <candidateList>
        <item>&lt;</item>
      </candidateList>
      <explain>文本全半角错误。</explain>
      <paraID>7F96AFC7</paraID>
      <start>0</start>
      <end>1</end>
      <status>unmodified</status>
      <modifiedWord/>
      <trackRevisions>false</trackRevisions>
    </reviewItem>
    <reviewItem>
      <errorID>49f8176c-2c98-4a85-9c00-f54ca074797d</errorID>
      <errorWord>[</errorWord>
      <group>L1_Punc</group>
      <groupName>标点问题</groupName>
      <ability>L2_Punc</ability>
      <abilityName>标点符号检查</abilityName>
      <candidateList/>
      <explain/>
      <paraID>52E27455</paraID>
      <start>0</start>
      <end>1</end>
      <status>unmodified</status>
      <modifiedWord/>
      <trackRevisions>false</trackRevisions>
    </reviewItem>
    <reviewItem>
      <errorID>af2b28d2-16bd-4860-be6b-0694ee474e49</errorID>
      <errorWord>）</errorWord>
      <group>L1_Format</group>
      <groupName>格式问题</groupName>
      <ability>L2_HalfPunc</ability>
      <abilityName>全半角检查</abilityName>
      <candidateList>
        <item>)</item>
      </candidateList>
      <explain>文本全半角错误。</explain>
      <paraID>52E27455</paraID>
      <start>10</start>
      <end>11</end>
      <status>unmodified</status>
      <modifiedWord/>
      <trackRevisions>false</trackRevisions>
    </reviewItem>
    <reviewItem>
      <errorID>52210b91-9931-4b1a-8952-726f198d0457</errorID>
      <errorWord>[</errorWord>
      <group>L1_Punc</group>
      <groupName>标点问题</groupName>
      <ability>L2_Punc</ability>
      <abilityName>标点符号检查</abilityName>
      <candidateList/>
      <explain/>
      <paraID>5495B147</paraID>
      <start>0</start>
      <end>1</end>
      <status>unmodified</status>
      <modifiedWord/>
      <trackRevisions>false</trackRevisions>
    </reviewItem>
    <reviewItem>
      <errorID>605752a5-b416-4368-9501-26850c16615e</errorID>
      <errorWord>）</errorWord>
      <group>L1_Format</group>
      <groupName>格式问题</groupName>
      <ability>L2_HalfPunc</ability>
      <abilityName>全半角检查</abilityName>
      <candidateList>
        <item>)</item>
      </candidateList>
      <explain>文本全半角错误。</explain>
      <paraID>5495B147</paraID>
      <start>9</start>
      <end>10</end>
      <status>unmodified</status>
      <modifiedWord/>
      <trackRevisions>false</trackRevisions>
    </reviewItem>
    <reviewItem>
      <errorID>a6d484ef-82de-488c-a66f-d133782e4ca9</errorID>
      <errorWord>[</errorWord>
      <group>L1_Punc</group>
      <groupName>标点问题</groupName>
      <ability>L2_Punc</ability>
      <abilityName>标点符号检查</abilityName>
      <candidateList/>
      <explain/>
      <paraID> DBEC6D0</paraID>
      <start>0</start>
      <end>1</end>
      <status>unmodified</status>
      <modifiedWord/>
      <trackRevisions>false</trackRevisions>
    </reviewItem>
    <reviewItem>
      <errorID>f2cc4e9c-b2bf-405f-b2a2-c1808b094d47</errorID>
      <errorWord>）</errorWord>
      <group>L1_Format</group>
      <groupName>格式问题</groupName>
      <ability>L2_HalfPunc</ability>
      <abilityName>全半角检查</abilityName>
      <candidateList>
        <item>)</item>
      </candidateList>
      <explain>文本全半角错误。</explain>
      <paraID> DBEC6D0</paraID>
      <start>8</start>
      <end>9</end>
      <status>unmodified</status>
      <modifiedWord/>
      <trackRevisions>false</trackRevisions>
    </reviewItem>
    <reviewItem>
      <errorID>32caa240-f72c-46dd-b512-d66970efc122</errorID>
      <errorWord>主要以运营期为主</errorWord>
      <group>L1_Grammar</group>
      <groupName>语法问题</groupName>
      <ability>L2_Grammar</ability>
      <abilityName>语法错误</abilityName>
      <candidateList>
        <item>以运营期为主</item>
      </candidateList>
      <explain/>
      <paraID>69940E4A</paraID>
      <start>153</start>
      <end>161</end>
      <status>unmodified</status>
      <modifiedWord/>
      <trackRevisions>false</trackRevisions>
    </reviewItem>
    <reviewItem>
      <errorID>488fb431-3c96-4355-bd34-9137a830b204</errorID>
      <errorWord>海拔高度</errorWord>
      <group>L1_Word</group>
      <groupName>字词问题</groupName>
      <ability>L2_Typo</ability>
      <abilityName>字词错误</abilityName>
      <candidateList>
        <item>海拔</item>
      </candidateList>
      <explain>〈名〉从平均海平面起算的高度。</explain>
      <paraID>53B2C53E</paraID>
      <start>0</start>
      <end>4</end>
      <status>unmodified</status>
      <modifiedWord/>
      <trackRevisions>false</trackRevisions>
    </reviewItem>
    <reviewItem>
      <errorID>7c7818a7-3ff7-460c-80f5-fbb1618670b5</errorID>
      <errorWord>-</errorWord>
      <group>L1_Format</group>
      <groupName>格式问题</groupName>
      <ability>L2_HalfPunc</ability>
      <abilityName>全半角检查</abilityName>
      <candidateList>
        <item>－</item>
      </candidateList>
      <explain>文本全半角错误。</explain>
      <paraID>1B0B0191</paraID>
      <start>3</start>
      <end>4</end>
      <status>unmodified</status>
      <modifiedWord/>
      <trackRevisions>false</trackRevisions>
    </reviewItem>
    <reviewItem>
      <errorID>4d57fde8-d8cc-4416-bcb6-a4af0b9f288d</errorID>
      <errorWord>(</errorWord>
      <group>L1_Format</group>
      <groupName>格式问题</groupName>
      <ability>L2_HalfPunc</ability>
      <abilityName>全半角检查</abilityName>
      <candidateList>
        <item>（</item>
      </candidateList>
      <explain>文本全半角错误。</explain>
      <paraID>5668418A</paraID>
      <start>4</start>
      <end>5</end>
      <status>ignored</status>
      <modifiedWord/>
      <trackRevisions>false</trackRevisions>
    </reviewItem>
    <reviewItem>
      <errorID>551c1b67-f324-4f0b-aeeb-4ff5540a2c07</errorID>
      <errorWord>)</errorWord>
      <group>L1_Format</group>
      <groupName>格式问题</groupName>
      <ability>L2_HalfPunc</ability>
      <abilityName>全半角检查</abilityName>
      <candidateList>
        <item>）</item>
      </candidateList>
      <explain>文本全半角错误。</explain>
      <paraID>5668418A</paraID>
      <start>10</start>
      <end>11</end>
      <status>ignored</status>
      <modifiedWord/>
      <trackRevisions>false</trackRevisions>
    </reviewItem>
    <reviewItem>
      <errorID>06175b37-7b1c-47f3-8b30-d045f472fea6</errorID>
      <errorWord>-</errorWord>
      <group>L1_Format</group>
      <groupName>格式问题</groupName>
      <ability>L2_HalfPunc</ability>
      <abilityName>全半角检查</abilityName>
      <candidateList>
        <item>－</item>
      </candidateList>
      <explain>文本全半角错误。</explain>
      <paraID> 4C106D2</paraID>
      <start>3</start>
      <end>4</end>
      <status>unmodified</status>
      <modifiedWord/>
      <trackRevisions>false</trackRevisions>
    </reviewItem>
    <reviewItem>
      <errorID>f0bddf1e-d15d-4c85-a733-2267f1573d51</errorID>
      <errorWord>＜</errorWord>
      <group>L1_Format</group>
      <groupName>格式问题</groupName>
      <ability>L2_HalfPunc</ability>
      <abilityName>全半角检查</abilityName>
      <candidateList>
        <item>&lt;</item>
      </candidateList>
      <explain>文本全半角错误。</explain>
      <paraID> 50A28C1</paraID>
      <start>7</start>
      <end>8</end>
      <status>unmodified</status>
      <modifiedWord/>
      <trackRevisions>false</trackRevisions>
    </reviewItem>
    <reviewItem>
      <errorID>37d44ef5-67f4-461a-a9cd-97a611914d1a</errorID>
      <errorWord>＜</errorWord>
      <group>L1_Format</group>
      <groupName>格式问题</groupName>
      <ability>L2_HalfPunc</ability>
      <abilityName>全半角检查</abilityName>
      <candidateList>
        <item>&lt;</item>
      </candidateList>
      <explain>文本全半角错误。</explain>
      <paraID>63BC7164</paraID>
      <start>4</start>
      <end>5</end>
      <status>unmodified</status>
      <modifiedWord/>
      <trackRevisions>false</trackRevisions>
    </reviewItem>
    <reviewItem>
      <errorID>4e2925dc-d849-48f3-8428-13727bd59699</errorID>
      <errorWord>;</errorWord>
      <group>L1_Format</group>
      <groupName>格式问题</groupName>
      <ability>L2_HalfPunc</ability>
      <abilityName>全半角检查</abilityName>
      <candidateList>
        <item>；</item>
      </candidateList>
      <explain>文本全半角错误。</explain>
      <paraID>280BA0EB</paraID>
      <start>13</start>
      <end>14</end>
      <status>unmodified</status>
      <modifiedWord/>
      <trackRevisions>false</trackRevisions>
    </reviewItem>
    <reviewItem>
      <errorID>9f5b4fb6-9aa0-4dce-ac1f-219b6d938840</errorID>
      <errorWord>期</errorWord>
      <group>L1_Word</group>
      <groupName>字词问题</groupName>
      <ability>L2_Typo</ability>
      <abilityName>字词错误</abilityName>
      <candidateList>
        <item>期间</item>
      </candidateList>
      <explain>〈名〉某个时期里面：农忙～｜春节～｜抗战～。</explain>
      <paraID>75F328DD</paraID>
      <start>9</start>
      <end>10</end>
      <status>ignored</status>
      <modifiedWord/>
      <trackRevisions>false</trackRevisions>
    </reviewItem>
    <reviewItem>
      <errorID>55c1ec56-3813-40ba-aeb6-2b871f9c5683</errorID>
      <errorWord>措</errorWord>
      <group>L1_Word</group>
      <groupName>字词问题</groupName>
      <ability>L2_Typo</ability>
      <abilityName>字词错误</abilityName>
      <candidateList>
        <item>措施</item>
      </candidateList>
      <explain>〈名〉针对某种情况而采取的处理办法（用于较大的事情）：计划已经订出，～应该跟上。</explain>
      <paraID>75F328DD</paraID>
      <start>29</start>
      <end>30</end>
      <status>unmodified</status>
      <modifiedWord/>
      <trackRevisions>false</trackRevisions>
    </reviewItem>
    <reviewItem>
      <errorID>6092a2d9-8a61-4b3a-8bcd-a2b3b82fd409</errorID>
      <errorWord>设施</errorWord>
      <group>L1_Word</group>
      <groupName>字词问题</groupName>
      <ability>L2_Typo</ability>
      <abilityName>字词错误</abilityName>
      <candidateList>
        <item>施</item>
      </candidateList>
      <explain/>
      <paraID>75F328DD</paraID>
      <start>30</start>
      <end>32</end>
      <status>unmodified</status>
      <modifiedWord/>
      <trackRevisions>false</trackRevisions>
    </reviewItem>
    <reviewItem>
      <errorID>7b66cddc-07b8-40c1-b4e7-34ae69bd59ed</errorID>
      <errorWord>天然天然</errorWord>
      <group>L1_Word</group>
      <groupName>字词问题</groupName>
      <ability>L2_Typo</ability>
      <abilityName>字词错误</abilityName>
      <candidateList>
        <item>天然</item>
      </candidateList>
      <explain/>
      <paraID>6CAD43F5</paraID>
      <start>56</start>
      <end>60</end>
      <status>unmodified</status>
      <modifiedWord/>
      <trackRevisions>false</trackRevisions>
    </reviewItem>
    <reviewItem>
      <errorID>8079e606-1727-470d-b98d-946c2aa9a771</errorID>
      <errorWord>II类</errorWord>
      <group>L1_Knowledge</group>
      <groupName>知识性问题</groupName>
      <ability>L2_Knowledge</ability>
      <abilityName>其他知识</abilityName>
      <candidateList>
        <item>Ⅱ类</item>
      </candidateList>
      <explain/>
      <paraID>6CAD43F5</paraID>
      <start>82</start>
      <end>85</end>
      <status>unmodified</status>
      <modifiedWord/>
      <trackRevisions>false</trackRevisions>
    </reviewItem>
    <reviewItem>
      <errorID>9f1f9870-6a2a-4c97-8dd4-535ec5cb6bed</errorID>
      <errorWord>III类</errorWord>
      <group>L1_Knowledge</group>
      <groupName>知识性问题</groupName>
      <ability>L2_Knowledge</ability>
      <abilityName>其他知识</abilityName>
      <candidateList>
        <item>Ⅲ类</item>
      </candidateList>
      <explain/>
      <paraID>6CAD43F5</paraID>
      <start>124</start>
      <end>128</end>
      <status>unmodified</status>
      <modifiedWord/>
      <trackRevisions>false</trackRevisions>
    </reviewItem>
    <reviewItem>
      <errorID>f73eb488-6d2b-4b3a-b86a-ac28704ff66b</errorID>
      <errorWord>III类</errorWord>
      <group>L1_Knowledge</group>
      <groupName>知识性问题</groupName>
      <ability>L2_Knowledge</ability>
      <abilityName>其他知识</abilityName>
      <candidateList>
        <item>Ⅲ类</item>
      </candidateList>
      <explain/>
      <paraID>6CAD43F5</paraID>
      <start>248</start>
      <end>252</end>
      <status>unmodified</status>
      <modifiedWord/>
      <trackRevisions>false</trackRevisions>
    </reviewItem>
    <reviewItem>
      <errorID>79ec534b-88fa-436f-b8dd-721fb75fb937</errorID>
      <errorWord>相关的其它</errorWord>
      <group>L1_Word</group>
      <groupName>字词问题</groupName>
      <ability>L2_Alias</ability>
      <abilityName>也作/曾用词</abilityName>
      <candidateList>
        <item>相关的其他</item>
      </candidateList>
      <explain>词汇[相关的其它]为不规范表述或旧称，其规范书面表述为[相关的其他]。</explain>
      <paraID>67B39F9D</paraID>
      <start>71</start>
      <end>76</end>
      <status>unmodified</status>
      <modifiedWord/>
      <trackRevisions>false</trackRevisions>
    </reviewItem>
    <reviewItem>
      <errorID>2ad5d370-d89d-4d03-a46a-70e8ed51599f</errorID>
      <errorWord>,</errorWord>
      <group>L1_Format</group>
      <groupName>格式问题</groupName>
      <ability>L2_HalfPunc</ability>
      <abilityName>全半角检查</abilityName>
      <candidateList>
        <item>，</item>
      </candidateList>
      <explain>文本全半角错误。</explain>
      <paraID> B2F23B1</paraID>
      <start>108</start>
      <end>109</end>
      <status>unmodified</status>
      <modifiedWord/>
      <trackRevisions>false</trackRevisions>
    </reviewItem>
    <reviewItem>
      <errorID>1f013128-b2a2-484e-a8ba-a9c37b5ef748</errorID>
      <errorWord>半经</errorWord>
      <group>L1_Word</group>
      <groupName>字词问题</groupName>
      <ability>L2_Typo</ability>
      <abilityName>字词错误</abilityName>
      <candidateList>
        <item>半径</item>
      </candidateList>
      <explain/>
      <paraID> B2F23B1</paraID>
      <start>433</start>
      <end>435</end>
      <status>unmodified</status>
      <modifiedWord/>
      <trackRevisions>false</trackRevisions>
    </reviewItem>
    <reviewItem>
      <errorID>0f91db61-8dec-4ced-a396-33402dea1b6a</errorID>
      <errorWord>半经</errorWord>
      <group>L1_Word</group>
      <groupName>字词问题</groupName>
      <ability>L2_Typo</ability>
      <abilityName>字词错误</abilityName>
      <candidateList>
        <item>半径</item>
      </candidateList>
      <explain/>
      <paraID>46F89307</paraID>
      <start>16</start>
      <end>18</end>
      <status>unmodified</status>
      <modifiedWord/>
      <trackRevisions>false</trackRevisions>
    </reviewItem>
    <reviewItem>
      <errorID>af8198ce-6fed-4d9c-9566-7ec031621628</errorID>
      <errorWord>水</errorWord>
      <group>L1_Word</group>
      <groupName>字词问题</groupName>
      <ability>L2_Typo</ability>
      <abilityName>字词错误</abilityName>
      <candidateList>
        <item>水资</item>
      </candidateList>
      <explain/>
      <paraID>561A0429</paraID>
      <start>0</start>
      <end>1</end>
      <status>unmodified</status>
      <modifiedWord/>
      <trackRevisions>false</trackRevisions>
    </reviewItem>
    <reviewItem>
      <errorID>96493a02-5fc6-4958-9fee-4356c7a45ae4</errorID>
      <errorWord>)</errorWord>
      <group>L1_Format</group>
      <groupName>格式问题</groupName>
      <ability>L2_HalfPunc</ability>
      <abilityName>全半角检查</abilityName>
      <candidateList>
        <item>）</item>
      </candidateList>
      <explain>文本全半角错误。</explain>
      <paraID>28985628</paraID>
      <start>121</start>
      <end>122</end>
      <status>ignored</status>
      <modifiedWord/>
      <trackRevisions>false</trackRevisions>
    </reviewItem>
    <reviewItem>
      <errorID>6db5f2bb-e1e2-485f-926a-513c82c92b2f</errorID>
      <errorWord>为是</errorWord>
      <group>L1_Word</group>
      <groupName>字词问题</groupName>
      <ability>L2_Typo</ability>
      <abilityName>字词错误</abilityName>
      <candidateList>
        <item>为</item>
      </candidateList>
      <explain>（爲、為）wèi❶〈书〉帮助；卫护：～吕氏者右袒，～刘氏者左袒。❷〈介〉表示行为的对象；替：～你庆幸｜～人民服务｜～这本书写一篇序。❸〈介〉表示原因、目的：大家都～这件事高兴｜～建设伟大祖国而奋斗。❹〈书〉〈介〉对；向：不足～外人道。</explain>
      <paraID>772E086E</paraID>
      <start>81</start>
      <end>83</end>
      <status>unmodified</status>
      <modifiedWord/>
      <trackRevisions>false</trackRevisions>
    </reviewItem>
    <reviewItem>
      <errorID>f58b4f11-85a7-4f7f-b4af-aba2f55e659b</errorID>
      <errorWord>)</errorWord>
      <group>L1_Format</group>
      <groupName>格式问题</groupName>
      <ability>L2_HalfPunc</ability>
      <abilityName>全半角检查</abilityName>
      <candidateList>
        <item>）</item>
      </candidateList>
      <explain>文本全半角错误。</explain>
      <paraID>772E086E</paraID>
      <start>169</start>
      <end>170</end>
      <status>ignored</status>
      <modifiedWord/>
      <trackRevisions>false</trackRevisions>
    </reviewItem>
    <reviewItem>
      <errorID>ad82ece3-3d20-461a-b547-10c3da5555e0</errorID>
      <errorWord>~</errorWord>
      <group>L1_Format</group>
      <groupName>格式问题</groupName>
      <ability>L2_HalfPunc</ability>
      <abilityName>全半角检查</abilityName>
      <candidateList>
        <item>～</item>
      </candidateList>
      <explain>文本全半角错误。</explain>
      <paraID>2AE8AE08</paraID>
      <start>163</start>
      <end>164</end>
      <status>unmodified</status>
      <modifiedWord/>
      <trackRevisions>false</trackRevisions>
    </reviewItem>
    <reviewItem>
      <errorID>82ada594-23e4-47e8-bdf7-cb10f1400498</errorID>
      <errorWord>根据本项目监测及大庆地区水位埋深调查资料显示</errorWord>
      <group>L1_Grammar</group>
      <groupName>语法问题</groupName>
      <ability>L2_Grammar</ability>
      <abilityName>语法错误</abilityName>
      <candidateList>
        <item>根据本项目监测及大庆地区水位埋深调查资料</item>
      </candidateList>
      <explain/>
      <paraID>2AE8AE08</paraID>
      <start>213</start>
      <end>235</end>
      <status>unmodified</status>
      <modifiedWord/>
      <trackRevisions>false</trackRevisions>
    </reviewItem>
    <reviewItem>
      <errorID>f8530e32-1877-4a2b-8264-f8a60243a2ab</errorID>
      <errorWord>影响型</errorWord>
      <group>L1_Word</group>
      <groupName>字词问题</groupName>
      <ability>L2_Typo</ability>
      <abilityName>字词错误</abilityName>
      <candidateList>
        <item>影响</item>
      </candidateList>
      <explain>❶〈动〉对别人的思想或行动起作用（如影之随形，响之应声）：父母应该用自己的模范行动去～孩子。❷〈名〉对人或事物所起的作用：这件事造成很大的～。❸〈书〉〈形〉传闻的；无根据的：模糊～之谈。</explain>
      <paraID>2AE8AE08</paraID>
      <start>255</start>
      <end>258</end>
      <status>unmodified</status>
      <modifiedWord/>
      <trackRevisions>false</trackRevisions>
    </reviewItem>
    <reviewItem>
      <errorID>8c7b4171-ca8c-439f-b36b-f9825b7d1f73</errorID>
      <errorWord>;</errorWord>
      <group>L1_Format</group>
      <groupName>格式问题</groupName>
      <ability>L2_HalfPunc</ability>
      <abilityName>全半角检查</abilityName>
      <candidateList>
        <item>；</item>
      </candidateList>
      <explain>文本全半角错误。</explain>
      <paraID>2AE8AE08</paraID>
      <start>386</start>
      <end>387</end>
      <status>unmodified</status>
      <modifiedWord/>
      <trackRevisions>false</trackRevisions>
    </reviewItem>
    <reviewItem>
      <errorID>0e749308-89f4-4745-9f60-bfd684b49743</errorID>
      <errorWord>;</errorWord>
      <group>L1_Format</group>
      <groupName>格式问题</groupName>
      <ability>L2_HalfPunc</ability>
      <abilityName>全半角检查</abilityName>
      <candidateList>
        <item>；</item>
      </candidateList>
      <explain>文本全半角错误。</explain>
      <paraID>2AE8AE08</paraID>
      <start>422</start>
      <end>423</end>
      <status>unmodified</status>
      <modifiedWord/>
      <trackRevisions>false</trackRevisions>
    </reviewItem>
    <reviewItem>
      <errorID>1147e41b-5292-49ea-8d39-44405b498eff</errorID>
      <errorWord>)</errorWord>
      <group>L1_Format</group>
      <groupName>格式问题</groupName>
      <ability>L2_HalfPunc</ability>
      <abilityName>全半角检查</abilityName>
      <candidateList>
        <item>）</item>
      </candidateList>
      <explain>文本全半角错误。</explain>
      <paraID>43199F53</paraID>
      <start>34</start>
      <end>35</end>
      <status>ignored</status>
      <modifiedWord/>
      <trackRevisions>false</trackRevisions>
    </reviewItem>
    <reviewItem>
      <errorID>424dd3b9-8a1b-4611-9736-cf701c3796f2</errorID>
      <errorWord>(</errorWord>
      <group>L1_Format</group>
      <groupName>格式问题</groupName>
      <ability>L2_HalfPunc</ability>
      <abilityName>全半角检查</abilityName>
      <candidateList>
        <item>（</item>
      </candidateList>
      <explain>文本全半角错误。</explain>
      <paraID>43199F53</paraID>
      <start>92</start>
      <end>93</end>
      <status>ignored</status>
      <modifiedWord/>
      <trackRevisions>false</trackRevisions>
    </reviewItem>
    <reviewItem>
      <errorID>2dd03d31-792e-433a-86d5-fb04a215ccf1</errorID>
      <errorWord>)</errorWord>
      <group>L1_Format</group>
      <groupName>格式问题</groupName>
      <ability>L2_HalfPunc</ability>
      <abilityName>全半角检查</abilityName>
      <candidateList>
        <item>）</item>
      </candidateList>
      <explain>文本全半角错误。</explain>
      <paraID>43199F53</paraID>
      <start>103</start>
      <end>104</end>
      <status>ignored</status>
      <modifiedWord/>
      <trackRevisions>false</trackRevisions>
    </reviewItem>
    <reviewItem>
      <errorID>57393b7f-de0b-4da3-a57b-73aa51bbaa09</errorID>
      <errorWord>(</errorWord>
      <group>L1_Format</group>
      <groupName>格式问题</groupName>
      <ability>L2_HalfPunc</ability>
      <abilityName>全半角检查</abilityName>
      <candidateList>
        <item>（</item>
      </candidateList>
      <explain>文本全半角错误。</explain>
      <paraID>43199F53</paraID>
      <start>195</start>
      <end>196</end>
      <status>ignored</status>
      <modifiedWord/>
      <trackRevisions>false</trackRevisions>
    </reviewItem>
    <reviewItem>
      <errorID>7071c075-3644-4bd0-bb84-3b0af249149a</errorID>
      <errorWord>)</errorWord>
      <group>L1_Format</group>
      <groupName>格式问题</groupName>
      <ability>L2_HalfPunc</ability>
      <abilityName>全半角检查</abilityName>
      <candidateList>
        <item>）</item>
      </candidateList>
      <explain>文本全半角错误。</explain>
      <paraID>43199F53</paraID>
      <start>203</start>
      <end>204</end>
      <status>ignored</status>
      <modifiedWord/>
      <trackRevisions>false</trackRevisions>
    </reviewItem>
    <reviewItem>
      <errorID>c57e24c4-ed4c-44ad-b06a-737d57cbef5b</errorID>
      <errorWord>IV类</errorWord>
      <group>L1_Knowledge</group>
      <groupName>知识性问题</groupName>
      <ability>L2_Knowledge</ability>
      <abilityName>其他知识</abilityName>
      <candidateList>
        <item>Ⅳ类</item>
      </candidateList>
      <explain/>
      <paraID>43199F53</paraID>
      <start>247</start>
      <end>250</end>
      <status>unmodified</status>
      <modifiedWord/>
      <trackRevisions>false</trackRevisions>
    </reviewItem>
    <reviewItem>
      <errorID>530ff62d-de8f-42c9-b495-3c386478654d</errorID>
      <errorWord>IV类</errorWord>
      <group>L1_Knowledge</group>
      <groupName>知识性问题</groupName>
      <ability>L2_Knowledge</ability>
      <abilityName>其他知识</abilityName>
      <candidateList>
        <item>Ⅳ类</item>
      </candidateList>
      <explain/>
      <paraID>43199F53</paraID>
      <start>301</start>
      <end>304</end>
      <status>unmodified</status>
      <modifiedWord/>
      <trackRevisions>false</trackRevisions>
    </reviewItem>
    <reviewItem>
      <errorID>822a5442-5c3c-4b27-98db-623fced18ec3</errorID>
      <errorWord>型</errorWord>
      <group>L1_Word</group>
      <groupName>字词问题</groupName>
      <ability>L2_Typo</ability>
      <abilityName>字词错误</abilityName>
      <candidateList>
        <item>性</item>
      </candidateList>
      <explain>存在发音相同字词的误用。</explain>
      <paraID>6DA4F7F4</paraID>
      <start>37</start>
      <end>38</end>
      <status>unmodified</status>
      <modifiedWord/>
      <trackRevisions>false</trackRevisions>
    </reviewItem>
    <reviewItem>
      <errorID>8dd6a718-5053-4c7b-af70-8f6e8a20c980</errorID>
      <errorWord>-</errorWord>
      <group>L1_Format</group>
      <groupName>格式问题</groupName>
      <ability>L2_HalfPunc</ability>
      <abilityName>全半角检查</abilityName>
      <candidateList>
        <item>－</item>
      </candidateList>
      <explain>文本全半角错误。</explain>
      <paraID>40526CCE</paraID>
      <start>3</start>
      <end>4</end>
      <status>unmodified</status>
      <modifiedWord/>
      <trackRevisions>false</trackRevisions>
    </reviewItem>
    <reviewItem>
      <errorID>9097d429-b1c0-43f5-92d9-4517d5518681</errorID>
      <errorWord>II类</errorWord>
      <group>L1_Knowledge</group>
      <groupName>知识性问题</groupName>
      <ability>L2_Knowledge</ability>
      <abilityName>其他知识</abilityName>
      <candidateList>
        <item>Ⅱ类</item>
      </candidateList>
      <explain/>
      <paraID>7AF0DDC0</paraID>
      <start>84</start>
      <end>87</end>
      <status>unmodified</status>
      <modifiedWord/>
      <trackRevisions>false</trackRevisions>
    </reviewItem>
    <reviewItem>
      <errorID>4616d5aa-7dfc-405f-a06b-7667e05287db</errorID>
      <errorWord>(</errorWord>
      <group>L1_Format</group>
      <groupName>格式问题</groupName>
      <ability>L2_HalfPunc</ability>
      <abilityName>全半角检查</abilityName>
      <candidateList>
        <item>（</item>
      </candidateList>
      <explain>文本全半角错误。</explain>
      <paraID>78250391</paraID>
      <start>18</start>
      <end>19</end>
      <status>ignored</status>
      <modifiedWord/>
      <trackRevisions>false</trackRevisions>
    </reviewItem>
    <reviewItem>
      <errorID>183cabb2-7636-4fb2-97f7-8390a4eac1f7</errorID>
      <errorWord>)</errorWord>
      <group>L1_Format</group>
      <groupName>格式问题</groupName>
      <ability>L2_HalfPunc</ability>
      <abilityName>全半角检查</abilityName>
      <candidateList>
        <item>）</item>
      </candidateList>
      <explain>文本全半角错误。</explain>
      <paraID>78250391</paraID>
      <start>29</start>
      <end>30</end>
      <status>ignored</status>
      <modifiedWord/>
      <trackRevisions>false</trackRevisions>
    </reviewItem>
    <reviewItem>
      <errorID>5c5f4964-652a-49fc-9edf-b928a71be033</errorID>
      <errorWord>、以及</errorWord>
      <group>L1_Punc</group>
      <groupName>标点问题</groupName>
      <ability>L2_Punc</ability>
      <abilityName>标点符号检查</abilityName>
      <candidateList>
        <item>，以及</item>
      </candidateList>
      <explain>连接词前后不宜使用顿号，建议使用逗号。</explain>
      <paraID>78250391</paraID>
      <start>174</start>
      <end>177</end>
      <status>unmodified</status>
      <modifiedWord/>
      <trackRevisions>false</trackRevisions>
    </reviewItem>
    <reviewItem>
      <errorID>5da99124-c1c7-467e-aae3-fa7a1daccee6</errorID>
      <errorWord>-</errorWord>
      <group>L1_Format</group>
      <groupName>格式问题</groupName>
      <ability>L2_HalfPunc</ability>
      <abilityName>全半角检查</abilityName>
      <candidateList>
        <item>－</item>
      </candidateList>
      <explain>文本全半角错误。</explain>
      <paraID>2440B4A6</paraID>
      <start>3</start>
      <end>4</end>
      <status>unmodified</status>
      <modifiedWord/>
      <trackRevisions>false</trackRevisions>
    </reviewItem>
    <reviewItem>
      <errorID>f17a48ca-6184-4295-ac75-b18dae73045a</errorID>
      <errorWord>-</errorWord>
      <group>L1_Format</group>
      <groupName>格式问题</groupName>
      <ability>L2_HalfPunc</ability>
      <abilityName>全半角检查</abilityName>
      <candidateList>
        <item>－</item>
      </candidateList>
      <explain>文本全半角错误。</explain>
      <paraID>3FBF87C1</paraID>
      <start>3</start>
      <end>4</end>
      <status>unmodified</status>
      <modifiedWord/>
      <trackRevisions>false</trackRevisions>
    </reviewItem>
    <reviewItem>
      <errorID>cf3acd73-5348-4606-9690-9d3a1d614e7d</errorID>
      <errorWord>(</errorWord>
      <group>L1_Format</group>
      <groupName>格式问题</groupName>
      <ability>L2_HalfPunc</ability>
      <abilityName>全半角检查</abilityName>
      <candidateList>
        <item>（</item>
      </candidateList>
      <explain>文本全半角错误。</explain>
      <paraID>5A2B63BA</paraID>
      <start>44</start>
      <end>45</end>
      <status>ignored</status>
      <modifiedWord/>
      <trackRevisions>false</trackRevisions>
    </reviewItem>
    <reviewItem>
      <errorID>ce0e0267-3695-4682-9374-08fa48f38d2f</errorID>
      <errorWord>)</errorWord>
      <group>L1_Format</group>
      <groupName>格式问题</groupName>
      <ability>L2_HalfPunc</ability>
      <abilityName>全半角检查</abilityName>
      <candidateList>
        <item>）</item>
      </candidateList>
      <explain>文本全半角错误。</explain>
      <paraID>5A2B63BA</paraID>
      <start>55</start>
      <end>56</end>
      <status>ignored</status>
      <modifiedWord/>
      <trackRevisions>false</trackRevisions>
    </reviewItem>
    <reviewItem>
      <errorID>f30bee1a-fa16-4620-9c8e-6bc424b07eab</errorID>
      <errorWord>-</errorWord>
      <group>L1_Format</group>
      <groupName>格式问题</groupName>
      <ability>L2_HalfPunc</ability>
      <abilityName>全半角检查</abilityName>
      <candidateList>
        <item>－</item>
      </candidateList>
      <explain>文本全半角错误。</explain>
      <paraID>53EF0843</paraID>
      <start>3</start>
      <end>4</end>
      <status>unmodified</status>
      <modifiedWord/>
      <trackRevisions>false</trackRevisions>
    </reviewItem>
    <reviewItem>
      <errorID>ab052ae9-06ad-4f7b-a679-2db938d8da75</errorID>
      <errorWord>-</errorWord>
      <group>L1_Format</group>
      <groupName>格式问题</groupName>
      <ability>L2_HalfPunc</ability>
      <abilityName>全半角检查</abilityName>
      <candidateList>
        <item>－</item>
      </candidateList>
      <explain>文本全半角错误。</explain>
      <paraID>4FB4E1C1</paraID>
      <start>3</start>
      <end>4</end>
      <status>unmodified</status>
      <modifiedWord/>
      <trackRevisions>false</trackRevisions>
    </reviewItem>
    <reviewItem>
      <errorID>144708be-2699-47e9-b437-1665b47d42d4</errorID>
      <errorWord>-</errorWord>
      <group>L1_Format</group>
      <groupName>格式问题</groupName>
      <ability>L2_HalfPunc</ability>
      <abilityName>全半角检查</abilityName>
      <candidateList>
        <item>－</item>
      </candidateList>
      <explain>文本全半角错误。</explain>
      <paraID> 38A9DDA</paraID>
      <start>3</start>
      <end>4</end>
      <status>unmodified</status>
      <modifiedWord/>
      <trackRevisions>false</trackRevisions>
    </reviewItem>
    <reviewItem>
      <errorID>0e4bf965-3acb-486b-9955-c5a714a56fbc</errorID>
      <errorWord>-</errorWord>
      <group>L1_Format</group>
      <groupName>格式问题</groupName>
      <ability>L2_HalfPunc</ability>
      <abilityName>全半角检查</abilityName>
      <candidateList>
        <item>－</item>
      </candidateList>
      <explain>文本全半角错误。</explain>
      <paraID>35F23F1D</paraID>
      <start>3</start>
      <end>4</end>
      <status>unmodified</status>
      <modifiedWord/>
      <trackRevisions>false</trackRevisions>
    </reviewItem>
    <reviewItem>
      <errorID>bee2d114-262b-4982-acd9-68478db80f52</errorID>
      <errorWord>-</errorWord>
      <group>L1_Format</group>
      <groupName>格式问题</groupName>
      <ability>L2_HalfPunc</ability>
      <abilityName>全半角检查</abilityName>
      <candidateList>
        <item>－</item>
      </candidateList>
      <explain>文本全半角错误。</explain>
      <paraID>46B0F704</paraID>
      <start>3</start>
      <end>4</end>
      <status>unmodified</status>
      <modifiedWord/>
      <trackRevisions>false</trackRevisions>
    </reviewItem>
    <reviewItem>
      <errorID>2fadc8ed-7c77-45b8-873c-3faac13cdf93</errorID>
      <errorWord>-</errorWord>
      <group>L1_Format</group>
      <groupName>格式问题</groupName>
      <ability>L2_HalfPunc</ability>
      <abilityName>全半角检查</abilityName>
      <candidateList>
        <item>－</item>
      </candidateList>
      <explain>文本全半角错误。</explain>
      <paraID>22FDA91E</paraID>
      <start>3</start>
      <end>4</end>
      <status>unmodified</status>
      <modifiedWord/>
      <trackRevisions>false</trackRevisions>
    </reviewItem>
    <reviewItem>
      <errorID>9b3be66d-b992-4ac5-89e7-5bec9c4d73d6</errorID>
      <errorWord>III类</errorWord>
      <group>L1_Knowledge</group>
      <groupName>知识性问题</groupName>
      <ability>L2_Knowledge</ability>
      <abilityName>其他知识</abilityName>
      <candidateList>
        <item>Ⅲ类</item>
      </candidateList>
      <explain/>
      <paraID>719B1DA7</paraID>
      <start>25</start>
      <end>29</end>
      <status>unmodified</status>
      <modifiedWord/>
      <trackRevisions>false</trackRevisions>
    </reviewItem>
    <reviewItem>
      <errorID>683a7a23-375b-4d5b-b386-3319a0b77e30</errorID>
      <errorWord>II类</errorWord>
      <group>L1_Knowledge</group>
      <groupName>知识性问题</groupName>
      <ability>L2_Knowledge</ability>
      <abilityName>其他知识</abilityName>
      <candidateList>
        <item>Ⅱ类</item>
      </candidateList>
      <explain/>
      <paraID>719B1DA7</paraID>
      <start>65</start>
      <end>68</end>
      <status>unmodified</status>
      <modifiedWord/>
      <trackRevisions>false</trackRevisions>
    </reviewItem>
    <reviewItem>
      <errorID>56576445-e7de-4680-8ec9-5578ddce77b5</errorID>
      <errorWord>为为</errorWord>
      <group>L1_Word</group>
      <groupName>字词问题</groupName>
      <ability>L2_Typo</ability>
      <abilityName>字词错误</abilityName>
      <candidateList>
        <item>为</item>
      </candidateList>
      <explain>（爲、為）wèi❶〈书〉帮助；卫护：～吕氏者右袒，～刘氏者左袒。❷〈介〉表示行为的对象；替：～你庆幸｜～人民服务｜～这本书写一篇序。❸〈介〉表示原因、目的：大家都～这件事高兴｜～建设伟大祖国而奋斗。❹〈书〉〈介〉对；向：不足～外人道。</explain>
      <paraID>193D4149</paraID>
      <start>42</start>
      <end>44</end>
      <status>unmodified</status>
      <modifiedWord/>
      <trackRevisions>false</trackRevisions>
    </reviewItem>
    <reviewItem>
      <errorID>b56900c6-000b-4641-9114-9f20ea2b59ce</errorID>
      <errorWord>-</errorWord>
      <group>L1_Format</group>
      <groupName>格式问题</groupName>
      <ability>L2_HalfPunc</ability>
      <abilityName>全半角检查</abilityName>
      <candidateList>
        <item>－</item>
      </candidateList>
      <explain>文本全半角错误。</explain>
      <paraID> 4397FE9</paraID>
      <start>3</start>
      <end>4</end>
      <status>unmodified</status>
      <modifiedWord/>
      <trackRevisions>false</trackRevisions>
    </reviewItem>
    <reviewItem>
      <errorID>d6c0a2c8-3efb-4ed7-b26b-8fe137201ba3</errorID>
      <errorWord>-</errorWord>
      <group>L1_Format</group>
      <groupName>格式问题</groupName>
      <ability>L2_HalfPunc</ability>
      <abilityName>全半角检查</abilityName>
      <candidateList>
        <item>－</item>
      </candidateList>
      <explain>文本全半角错误。</explain>
      <paraID> 82B09AF</paraID>
      <start>3</start>
      <end>4</end>
      <status>unmodified</status>
      <modifiedWord/>
      <trackRevisions>false</trackRevisions>
    </reviewItem>
    <reviewItem>
      <errorID>d0acb929-6a11-4618-989a-2066139e1b95</errorID>
      <errorWord>-</errorWord>
      <group>L1_Format</group>
      <groupName>格式问题</groupName>
      <ability>L2_HalfPunc</ability>
      <abilityName>全半角检查</abilityName>
      <candidateList>
        <item>－</item>
      </candidateList>
      <explain>文本全半角错误。</explain>
      <paraID>796D7771</paraID>
      <start>3</start>
      <end>4</end>
      <status>unmodified</status>
      <modifiedWord/>
      <trackRevisions>false</trackRevisions>
    </reviewItem>
    <reviewItem>
      <errorID>4bd3f51e-f525-4f97-a29a-a081b17d7924</errorID>
      <errorWord>-</errorWord>
      <group>L1_Format</group>
      <groupName>格式问题</groupName>
      <ability>L2_HalfPunc</ability>
      <abilityName>全半角检查</abilityName>
      <candidateList>
        <item>－</item>
      </candidateList>
      <explain>文本全半角错误。</explain>
      <paraID>3C47B692</paraID>
      <start>3</start>
      <end>4</end>
      <status>unmodified</status>
      <modifiedWord/>
      <trackRevisions>false</trackRevisions>
    </reviewItem>
    <reviewItem>
      <errorID>4e9ef006-89b6-4e0e-a3a4-b713d4ddf8f3</errorID>
      <errorWord>-</errorWord>
      <group>L1_Format</group>
      <groupName>格式问题</groupName>
      <ability>L2_HalfPunc</ability>
      <abilityName>全半角检查</abilityName>
      <candidateList>
        <item>－</item>
      </candidateList>
      <explain>文本全半角错误。</explain>
      <paraID> EB0F13B</paraID>
      <start>3</start>
      <end>4</end>
      <status>unmodified</status>
      <modifiedWord/>
      <trackRevisions>false</trackRevisions>
    </reviewItem>
    <reviewItem>
      <errorID>1123bd3c-cce1-4d66-8cc0-91ab321685a2</errorID>
      <errorWord>-</errorWord>
      <group>L1_Format</group>
      <groupName>格式问题</groupName>
      <ability>L2_HalfPunc</ability>
      <abilityName>全半角检查</abilityName>
      <candidateList>
        <item>－</item>
      </candidateList>
      <explain>文本全半角错误。</explain>
      <paraID>7B55BEC9</paraID>
      <start>3</start>
      <end>4</end>
      <status>unmodified</status>
      <modifiedWord/>
      <trackRevisions>false</trackRevisions>
    </reviewItem>
    <reviewItem>
      <errorID>d3976f88-1bfa-4810-895b-13b58eeaf37c</errorID>
      <errorWord>为为</errorWord>
      <group>L1_Word</group>
      <groupName>字词问题</groupName>
      <ability>L2_Typo</ability>
      <abilityName>字词错误</abilityName>
      <candidateList>
        <item>为</item>
      </candidateList>
      <explain>（爲、為）wèi❶〈书〉帮助；卫护：～吕氏者右袒，～刘氏者左袒。❷〈介〉表示行为的对象；替：～你庆幸｜～人民服务｜～这本书写一篇序。❸〈介〉表示原因、目的：大家都～这件事高兴｜～建设伟大祖国而奋斗。❹〈书〉〈介〉对；向：不足～外人道。</explain>
      <paraID>15D113B9</paraID>
      <start>12</start>
      <end>14</end>
      <status>unmodified</status>
      <modifiedWord/>
      <trackRevisions>false</trackRevisions>
    </reviewItem>
    <reviewItem>
      <errorID>02a8d527-802e-4899-977a-fd88ed47bb37</errorID>
      <errorWord>为为</errorWord>
      <group>L1_Word</group>
      <groupName>字词问题</groupName>
      <ability>L2_Typo</ability>
      <abilityName>字词错误</abilityName>
      <candidateList>
        <item>为</item>
      </candidateList>
      <explain>（爲、為）wèi❶〈书〉帮助；卫护：～吕氏者右袒，～刘氏者左袒。❷〈介〉表示行为的对象；替：～你庆幸｜～人民服务｜～这本书写一篇序。❸〈介〉表示原因、目的：大家都～这件事高兴｜～建设伟大祖国而奋斗。❹〈书〉〈介〉对；向：不足～外人道。</explain>
      <paraID>7A18FBC9</paraID>
      <start>42</start>
      <end>44</end>
      <status>unmodified</status>
      <modifiedWord/>
      <trackRevisions>false</trackRevisions>
    </reviewItem>
    <reviewItem>
      <errorID>90685480-392d-4e7b-a830-d1238b4e5299</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34BC9F6C</paraID>
      <start>64</start>
      <end>65</end>
      <status>unmodified</status>
      <modifiedWord/>
      <trackRevisions>false</trackRevisions>
    </reviewItem>
    <reviewItem>
      <errorID>74aa5c19-05e1-4e20-8e32-3e0e5f0cadd1</errorID>
      <errorWord>。。</errorWord>
      <group>L1_Punc</group>
      <groupName>标点问题</groupName>
      <ability>L2_Punc</ability>
      <abilityName>标点符号检查</abilityName>
      <candidateList>
        <item>。</item>
      </candidateList>
      <explain/>
      <paraID>68F55A83</paraID>
      <start>64</start>
      <end>66</end>
      <status>unmodified</status>
      <modifiedWord/>
      <trackRevisions>false</trackRevisions>
    </reviewItem>
    <reviewItem>
      <errorID>da58d981-f05b-4872-ac74-3bce6fc877d0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72E212DB</paraID>
      <start>79</start>
      <end>82</end>
      <status>unmodified</status>
      <modifiedWord/>
      <trackRevisions>false</trackRevisions>
    </reviewItem>
    <reviewItem>
      <errorID>2c22429e-e79c-456b-982c-b24a06c3f0ff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72E212DB</paraID>
      <start>104</start>
      <end>107</end>
      <status>unmodified</status>
      <modifiedWord/>
      <trackRevisions>false</trackRevisions>
    </reviewItem>
    <reviewItem>
      <errorID>63a03c81-701e-40df-8a76-71106d3a17bc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72E212DB</paraID>
      <start>122</start>
      <end>125</end>
      <status>unmodified</status>
      <modifiedWord/>
      <trackRevisions>false</trackRevisions>
    </reviewItem>
    <reviewItem>
      <errorID>40cf07c1-5cf1-405b-b03b-0e691733155a</errorID>
      <errorWord>〕</errorWord>
      <group>L1_Punc</group>
      <groupName>标点问题</groupName>
      <ability>L2_Punc</ability>
      <abilityName>标点符号检查</abilityName>
      <candidateList/>
      <explain/>
      <paraID>317B29CE</paraID>
      <start>9</start>
      <end>10</end>
      <status>unmodified</status>
      <modifiedWord/>
      <trackRevisions>false</trackRevisions>
    </reviewItem>
    <reviewItem>
      <errorID>8f401375-6b40-497a-ae51-add2f52f681a</errorID>
      <errorWord>井</errorWord>
      <group>L1_Word</group>
      <groupName>字词问题</groupName>
      <ability>L2_Typo</ability>
      <abilityName>字词错误</abilityName>
      <candidateList>
        <item>井工</item>
      </candidateList>
      <explain/>
      <paraID> B05593D</paraID>
      <start>16</start>
      <end>17</end>
      <status>unmodified</status>
      <modifiedWord/>
      <trackRevisions>false</trackRevisions>
    </reviewItem>
    <reviewItem>
      <errorID>8477a257-0c6b-43d2-90dc-8b2c942685c0</errorID>
      <errorWord>(</errorWord>
      <group>L1_Format</group>
      <groupName>格式问题</groupName>
      <ability>L2_HalfPunc</ability>
      <abilityName>全半角检查</abilityName>
      <candidateList>
        <item>（</item>
      </candidateList>
      <explain>文本全半角错误。</explain>
      <paraID>2FDC2657</paraID>
      <start>3</start>
      <end>4</end>
      <status>ignored</status>
      <modifiedWord/>
      <trackRevisions>false</trackRevisions>
    </reviewItem>
    <reviewItem>
      <errorID>ff65c5ec-3f8a-4724-a24f-04688e4c57b6</errorID>
      <errorWord>)</errorWord>
      <group>L1_Format</group>
      <groupName>格式问题</groupName>
      <ability>L2_HalfPunc</ability>
      <abilityName>全半角检查</abilityName>
      <candidateList>
        <item>）</item>
      </candidateList>
      <explain>文本全半角错误。</explain>
      <paraID>2FDC2657</paraID>
      <start>9</start>
      <end>10</end>
      <status>ignored</status>
      <modifiedWord/>
      <trackRevisions>false</trackRevisions>
    </reviewItem>
    <reviewItem>
      <errorID>9a896c8b-412c-41b2-a9a4-7b90a46776c5</errorID>
      <errorWord>(</errorWord>
      <group>L1_Format</group>
      <groupName>格式问题</groupName>
      <ability>L2_HalfPunc</ability>
      <abilityName>全半角检查</abilityName>
      <candidateList>
        <item>（</item>
      </candidateList>
      <explain>文本全半角错误。</explain>
      <paraID>59C59792</paraID>
      <start>3</start>
      <end>4</end>
      <status>ignored</status>
      <modifiedWord/>
      <trackRevisions>false</trackRevisions>
    </reviewItem>
    <reviewItem>
      <errorID>9525d86c-8742-40d7-a794-1ef814d428b0</errorID>
      <errorWord>)</errorWord>
      <group>L1_Format</group>
      <groupName>格式问题</groupName>
      <ability>L2_HalfPunc</ability>
      <abilityName>全半角检查</abilityName>
      <candidateList>
        <item>）</item>
      </candidateList>
      <explain>文本全半角错误。</explain>
      <paraID>59C59792</paraID>
      <start>9</start>
      <end>10</end>
      <status>ignored</status>
      <modifiedWord/>
      <trackRevisions>false</trackRevisions>
    </reviewItem>
    <reviewItem>
      <errorID>d884616e-1d6e-475b-b32b-29ef69d6fc4e</errorID>
      <errorWord>（</errorWord>
      <group>L1_Punc</group>
      <groupName>标点问题</groupName>
      <ability>L2_Punc</ability>
      <abilityName>标点符号检查</abilityName>
      <candidateList>
        <item/>
      </candidateList>
      <explain>同一形式括号套用。</explain>
      <paraID>47D6C1AF</paraID>
      <start>165</start>
      <end>166</end>
      <status>ignored</status>
      <modifiedWord/>
      <trackRevisions>false</trackRevisions>
    </reviewItem>
    <reviewItem>
      <errorID>2e09a491-94ba-46c3-aae6-85c96212b0c5</errorID>
      <errorWord>（</errorWord>
      <group>L1_Punc</group>
      <groupName>标点问题</groupName>
      <ability>L2_Punc</ability>
      <abilityName>标点符号检查</abilityName>
      <candidateList/>
      <explain>同一形式括号套用。</explain>
      <paraID>47D6C1AF</paraID>
      <start>208</start>
      <end>209</end>
      <status>ignored</status>
      <modifiedWord/>
      <trackRevisions>false</trackRevisions>
    </reviewItem>
    <reviewItem>
      <errorID>43994af9-8c0f-4b7e-9b62-4aac529a2da5</errorID>
      <errorWord>(</errorWord>
      <group>L1_Punc</group>
      <groupName>标点问题</groupName>
      <ability>L2_Punc</ability>
      <abilityName>标点符号检查</abilityName>
      <candidateList/>
      <explain>同一形式括号套用。</explain>
      <paraID>47D6C1AF</paraID>
      <start>211</start>
      <end>212</end>
      <status>unmodified</status>
      <modifiedWord/>
      <trackRevisions>false</trackRevisions>
    </reviewItem>
    <reviewItem>
      <errorID>59612ed7-a9ac-40af-b89e-697fb668061f</errorID>
      <errorWord>)</errorWord>
      <group>L1_Punc</group>
      <groupName>标点问题</groupName>
      <ability>L2_Punc</ability>
      <abilityName>标点符号检查</abilityName>
      <candidateList/>
      <explain>同一形式括号套用。</explain>
      <paraID>47D6C1AF</paraID>
      <start>213</start>
      <end>214</end>
      <status>unmodified</status>
      <modifiedWord/>
      <trackRevisions>false</trackRevisions>
    </reviewItem>
    <reviewItem>
      <errorID>3c534179-f7cb-4edb-bd58-1a0537a8d085</errorID>
      <errorWord>）</errorWord>
      <group>L1_Punc</group>
      <groupName>标点问题</groupName>
      <ability>L2_Punc</ability>
      <abilityName>标点符号检查</abilityName>
      <candidateList/>
      <explain>同一形式括号套用。</explain>
      <paraID>47D6C1AF</paraID>
      <start>228</start>
      <end>229</end>
      <status>ignored</status>
      <modifiedWord/>
      <trackRevisions>false</trackRevisions>
    </reviewItem>
    <reviewItem>
      <errorID>3054d0f4-254c-473c-94e7-13ecfda1a976</errorID>
      <errorWord>(</errorWord>
      <group>L1_Format</group>
      <groupName>格式问题</groupName>
      <ability>L2_HalfPunc</ability>
      <abilityName>全半角检查</abilityName>
      <candidateList>
        <item>（</item>
      </candidateList>
      <explain>文本全半角错误。</explain>
      <paraID>6EA11134</paraID>
      <start>421</start>
      <end>422</end>
      <status>ignored</status>
      <modifiedWord/>
      <trackRevisions>false</trackRevisions>
    </reviewItem>
    <reviewItem>
      <errorID>e2cfbd6f-1e42-4a00-9697-fc13cd805f5e</errorID>
      <errorWord>)</errorWord>
      <group>L1_Format</group>
      <groupName>格式问题</groupName>
      <ability>L2_HalfPunc</ability>
      <abilityName>全半角检查</abilityName>
      <candidateList>
        <item>）</item>
      </candidateList>
      <explain>文本全半角错误。</explain>
      <paraID>6EA11134</paraID>
      <start>484</start>
      <end>485</end>
      <status>ignored</status>
      <modifiedWord/>
      <trackRevisions>false</trackRevisions>
    </reviewItem>
    <reviewItem>
      <errorID>aad82219-12e6-4111-ac42-30c2cf31a3e5</errorID>
      <errorWord>(</errorWord>
      <group>L1_Format</group>
      <groupName>格式问题</groupName>
      <ability>L2_HalfPunc</ability>
      <abilityName>全半角检查</abilityName>
      <candidateList>
        <item>（</item>
      </candidateList>
      <explain>文本全半角错误。</explain>
      <paraID>6EA11134</paraID>
      <start>551</start>
      <end>552</end>
      <status>ignored</status>
      <modifiedWord/>
      <trackRevisions>false</trackRevisions>
    </reviewItem>
    <reviewItem>
      <errorID>741b4578-3dab-4f1e-99ff-8569c6601f44</errorID>
      <errorWord>)</errorWord>
      <group>L1_Format</group>
      <groupName>格式问题</groupName>
      <ability>L2_HalfPunc</ability>
      <abilityName>全半角检查</abilityName>
      <candidateList>
        <item>）</item>
      </candidateList>
      <explain>文本全半角错误。</explain>
      <paraID>6EA11134</paraID>
      <start>588</start>
      <end>589</end>
      <status>ignored</status>
      <modifiedWord/>
      <trackRevisions>false</trackRevisions>
    </reviewItem>
    <reviewItem>
      <errorID>ada46854-705d-4d57-a691-0b310b3aef72</errorID>
      <errorWord>，</errorWord>
      <group>L1_Word</group>
      <groupName>字词问题</groupName>
      <ability>L2_Typo</ability>
      <abilityName>字词错误</abilityName>
      <candidateList>
        <item>，对</item>
      </candidateList>
      <explain/>
      <paraID>5CBA1714</paraID>
      <start>19</start>
      <end>20</end>
      <status>unmodified</status>
      <modifiedWord/>
      <trackRevisions>false</trackRevisions>
    </reviewItem>
    <reviewItem>
      <errorID>49f4a153-188b-4bb2-b7b2-d65632c759db</errorID>
      <errorWord>(</errorWord>
      <group>L1_Format</group>
      <groupName>格式问题</groupName>
      <ability>L2_HalfPunc</ability>
      <abilityName>全半角检查</abilityName>
      <candidateList>
        <item>（</item>
      </candidateList>
      <explain>文本全半角错误。</explain>
      <paraID>5CBA1714</paraID>
      <start>434</start>
      <end>435</end>
      <status>ignored</status>
      <modifiedWord/>
      <trackRevisions>false</trackRevisions>
    </reviewItem>
    <reviewItem>
      <errorID>84515492-9386-4181-a617-fc50dafd0e8c</errorID>
      <errorWord>)</errorWord>
      <group>L1_Format</group>
      <groupName>格式问题</groupName>
      <ability>L2_HalfPunc</ability>
      <abilityName>全半角检查</abilityName>
      <candidateList>
        <item>）</item>
      </candidateList>
      <explain>文本全半角错误。</explain>
      <paraID>5CBA1714</paraID>
      <start>448</start>
      <end>449</end>
      <status>ignored</status>
      <modifiedWord/>
      <trackRevisions>false</trackRevisions>
    </reviewItem>
    <reviewItem>
      <errorID>844f4539-bc14-4dae-b7e6-b15c2fc6a333</errorID>
      <errorWord>钢制</errorWord>
      <group>L1_Word</group>
      <groupName>字词问题</groupName>
      <ability>L2_Typo</ability>
      <abilityName>字词错误</abilityName>
      <candidateList>
        <item>钢质</item>
      </candidateList>
      <explain/>
      <paraID>5CBA1714</paraID>
      <start>465</start>
      <end>467</end>
      <status>unmodified</status>
      <modifiedWord/>
      <trackRevisions>false</trackRevisions>
    </reviewItem>
    <reviewItem>
      <errorID>fc36e84b-f57b-4200-9944-6f7195e3a530</errorID>
      <errorWord>(</errorWord>
      <group>L1_Format</group>
      <groupName>格式问题</groupName>
      <ability>L2_HalfPunc</ability>
      <abilityName>全半角检查</abilityName>
      <candidateList>
        <item>（</item>
      </candidateList>
      <explain>文本全半角错误。</explain>
      <paraID>1E23AE5A</paraID>
      <start>3</start>
      <end>4</end>
      <status>ignored</status>
      <modifiedWord/>
      <trackRevisions>false</trackRevisions>
    </reviewItem>
    <reviewItem>
      <errorID>c28da31c-a206-4146-94de-97dba5d42d26</errorID>
      <errorWord>)</errorWord>
      <group>L1_Format</group>
      <groupName>格式问题</groupName>
      <ability>L2_HalfPunc</ability>
      <abilityName>全半角检查</abilityName>
      <candidateList>
        <item>）</item>
      </candidateList>
      <explain>文本全半角错误。</explain>
      <paraID>1E23AE5A</paraID>
      <start>15</start>
      <end>16</end>
      <status>ignored</status>
      <modifiedWord/>
      <trackRevisions>false</trackRevisions>
    </reviewItem>
    <reviewItem>
      <errorID>b929fdc8-30b5-4f1c-a2cc-6dd4e0497a94</errorID>
      <errorWord>(</errorWord>
      <group>L1_Format</group>
      <groupName>格式问题</groupName>
      <ability>L2_HalfPunc</ability>
      <abilityName>全半角检查</abilityName>
      <candidateList>
        <item>（</item>
      </candidateList>
      <explain>文本全半角错误。</explain>
      <paraID>5E564211</paraID>
      <start>3</start>
      <end>4</end>
      <status>ignored</status>
      <modifiedWord/>
      <trackRevisions>false</trackRevisions>
    </reviewItem>
    <reviewItem>
      <errorID>dce13c7f-e988-4e09-9f1c-863a5a027d2a</errorID>
      <errorWord>)</errorWord>
      <group>L1_Format</group>
      <groupName>格式问题</groupName>
      <ability>L2_HalfPunc</ability>
      <abilityName>全半角检查</abilityName>
      <candidateList>
        <item>）</item>
      </candidateList>
      <explain>文本全半角错误。</explain>
      <paraID>5E564211</paraID>
      <start>7</start>
      <end>8</end>
      <status>ignored</status>
      <modifiedWord/>
      <trackRevisions>false</trackRevisions>
    </reviewItem>
    <reviewItem>
      <errorID>f9221a9b-e171-4460-a82d-d27f419b8663</errorID>
      <errorWord>(</errorWord>
      <group>L1_Format</group>
      <groupName>格式问题</groupName>
      <ability>L2_HalfPunc</ability>
      <abilityName>全半角检查</abilityName>
      <candidateList>
        <item>（</item>
      </candidateList>
      <explain>文本全半角错误。</explain>
      <paraID>485C0E76</paraID>
      <start>4</start>
      <end>5</end>
      <status>ignored</status>
      <modifiedWord/>
      <trackRevisions>false</trackRevisions>
    </reviewItem>
    <reviewItem>
      <errorID>1a882ceb-799a-4fff-afee-9aa7daa3fb57</errorID>
      <errorWord>)</errorWord>
      <group>L1_Format</group>
      <groupName>格式问题</groupName>
      <ability>L2_HalfPunc</ability>
      <abilityName>全半角检查</abilityName>
      <candidateList>
        <item>）</item>
      </candidateList>
      <explain>文本全半角错误。</explain>
      <paraID>485C0E76</paraID>
      <start>8</start>
      <end>9</end>
      <status>ignored</status>
      <modifiedWord/>
      <trackRevisions>false</trackRevisions>
    </reviewItem>
    <reviewItem>
      <errorID>c2099059-4d12-4ef4-b52f-45a422a9dd57</errorID>
      <errorWord>(</errorWord>
      <group>L1_Format</group>
      <groupName>格式问题</groupName>
      <ability>L2_HalfPunc</ability>
      <abilityName>全半角检查</abilityName>
      <candidateList>
        <item>（</item>
      </candidateList>
      <explain>文本全半角错误。</explain>
      <paraID>5B63AA9D</paraID>
      <start>6</start>
      <end>7</end>
      <status>ignored</status>
      <modifiedWord/>
      <trackRevisions>false</trackRevisions>
    </reviewItem>
    <reviewItem>
      <errorID>1cb0d460-7b7e-4ff8-b53e-24f72668b96e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4FF42314</paraID>
      <start>0</start>
      <end>2</end>
      <status>unmodified</status>
      <modifiedWord/>
      <trackRevisions>false</trackRevisions>
    </reviewItem>
    <reviewItem>
      <errorID>6c1905fb-7766-4f23-b874-edb3c3d547e6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65BDEBAD</paraID>
      <start>0</start>
      <end>2</end>
      <status>unmodified</status>
      <modifiedWord/>
      <trackRevisions>false</trackRevisions>
    </reviewItem>
    <reviewItem>
      <errorID>e8c965a6-15b7-4577-a60d-af683aaf4413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1074E8FC</paraID>
      <start>0</start>
      <end>2</end>
      <status>unmodified</status>
      <modifiedWord/>
      <trackRevisions>false</trackRevisions>
    </reviewItem>
    <reviewItem>
      <errorID>7d0f1cde-1ea0-4b4a-98a3-1ebe8f2628bc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28B35117</paraID>
      <start>0</start>
      <end>2</end>
      <status>unmodified</status>
      <modifiedWord/>
      <trackRevisions>false</trackRevisions>
    </reviewItem>
    <reviewItem>
      <errorID>16c99039-e489-4a1e-ac05-9e4e8d6ed6b3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4FDF2CDE</paraID>
      <start>0</start>
      <end>2</end>
      <status>unmodified</status>
      <modifiedWord/>
      <trackRevisions>false</trackRevisions>
    </reviewItem>
    <reviewItem>
      <errorID>b49ae836-d2f5-4429-944b-cfc0cb55eadc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2D5A26EF</paraID>
      <start>0</start>
      <end>2</end>
      <status>unmodified</status>
      <modifiedWord/>
      <trackRevisions>false</trackRevisions>
    </reviewItem>
    <reviewItem>
      <errorID>ffefd484-b1d3-4f31-9c21-651f5506b9ab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F7D3FDD</paraID>
      <start>0</start>
      <end>2</end>
      <status>unmodified</status>
      <modifiedWord/>
      <trackRevisions>false</trackRevisions>
    </reviewItem>
    <reviewItem>
      <errorID>3642747f-0867-4809-b0d1-f4bd5aca7652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3906ED64</paraID>
      <start>0</start>
      <end>2</end>
      <status>unmodified</status>
      <modifiedWord/>
      <trackRevisions>false</trackRevisions>
    </reviewItem>
    <reviewItem>
      <errorID>df9b97e1-4ad1-4fca-862f-3657a5cfe5a8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3F862B8E</paraID>
      <start>0</start>
      <end>2</end>
      <status>unmodified</status>
      <modifiedWord/>
      <trackRevisions>false</trackRevisions>
    </reviewItem>
    <reviewItem>
      <errorID>988b9f74-a1d1-4f32-8627-d72eb8458387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5171054D</paraID>
      <start>0</start>
      <end>2</end>
      <status>unmodified</status>
      <modifiedWord/>
      <trackRevisions>false</trackRevisions>
    </reviewItem>
    <reviewItem>
      <errorID>cde375d4-5e84-457c-90ce-67162e7999df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4FFCB3DF</paraID>
      <start>0</start>
      <end>2</end>
      <status>unmodified</status>
      <modifiedWord/>
      <trackRevisions>false</trackRevisions>
    </reviewItem>
    <reviewItem>
      <errorID>071adc44-4823-449b-8c61-e5ca0425a619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5F0E77A</paraID>
      <start>0</start>
      <end>2</end>
      <status>unmodified</status>
      <modifiedWord/>
      <trackRevisions>false</trackRevisions>
    </reviewItem>
    <reviewItem>
      <errorID>7fd043cb-ed18-4cc8-93e7-6772288328fe</errorID>
      <errorWord>监测监测</errorWord>
      <group>L1_Word</group>
      <groupName>字词问题</groupName>
      <ability>L2_Typo</ability>
      <abilityName>字词错误</abilityName>
      <candidateList>
        <item>监测</item>
      </candidateList>
      <explain/>
      <paraID>6BB9F7A3</paraID>
      <start>16</start>
      <end>20</end>
      <status>unmodified</status>
      <modifiedWord/>
      <trackRevisions>false</trackRevisions>
    </reviewItem>
    <reviewItem>
      <errorID>7024db4b-2584-4db5-8a2f-cc5c400d1e59</errorID>
      <errorWord>:</errorWord>
      <group>L1_Format</group>
      <groupName>格式问题</groupName>
      <ability>L2_HalfPunc</ability>
      <abilityName>全半角检查</abilityName>
      <candidateList>
        <item>：</item>
      </candidateList>
      <explain>文本全半角错误。</explain>
      <paraID>6BB9F7A3</paraID>
      <start>27</start>
      <end>28</end>
      <status>unmodified</status>
      <modifiedWord/>
      <trackRevisions>false</trackRevisions>
    </reviewItem>
    <reviewItem>
      <errorID>8bd53b04-0eae-48a6-9020-9f81740da2a1</errorID>
      <errorWord>(</errorWord>
      <group>L1_Format</group>
      <groupName>格式问题</groupName>
      <ability>L2_HalfPunc</ability>
      <abilityName>全半角检查</abilityName>
      <candidateList>
        <item>（</item>
      </candidateList>
      <explain>文本全半角错误。</explain>
      <paraID>6BB9F7A3</paraID>
      <start>33</start>
      <end>34</end>
      <status>ignored</status>
      <modifiedWord/>
      <trackRevisions>false</trackRevisions>
    </reviewItem>
    <reviewItem>
      <errorID>1b020dc9-3c1e-4412-91a1-94fdbb064d7f</errorID>
      <errorWord>-</errorWord>
      <group>L1_Format</group>
      <groupName>格式问题</groupName>
      <ability>L2_HalfPunc</ability>
      <abilityName>全半角检查</abilityName>
      <candidateList>
        <item>－</item>
      </candidateList>
      <explain>文本全半角错误。</explain>
      <paraID>10D9462F</paraID>
      <start>4</start>
      <end>5</end>
      <status>unmodified</status>
      <modifiedWord/>
      <trackRevisions>false</trackRevisions>
    </reviewItem>
    <reviewItem>
      <errorID>1a306052-2599-40ab-b73c-ad15c3afaa6c</errorID>
      <errorWord>II</errorWord>
      <group>L1_Knowledge</group>
      <groupName>知识性问题</groupName>
      <ability>L2_Knowledge</ability>
      <abilityName>其他知识</abilityName>
      <candidateList>
        <item>Ⅱ</item>
      </candidateList>
      <explain/>
      <paraID>6F77C96A</paraID>
      <start>54</start>
      <end>56</end>
      <status>unmodified</status>
      <modifiedWord/>
      <trackRevisions>false</trackRevisions>
    </reviewItem>
    <reviewItem>
      <errorID>8c2bba85-6f19-42b2-b752-54e7808cfc80</errorID>
      <errorWord>其它</errorWord>
      <group>L1_Word</group>
      <groupName>字词问题</groupName>
      <ability>L2_Alias</ability>
      <abilityName>也作/曾用词</abilityName>
      <candidateList>
        <item>其他</item>
      </candidateList>
      <explain>词汇[其它]为不规范表述或旧称，其规范书面表述为[其他]。</explain>
      <paraID>6F77C96A</paraID>
      <start>110</start>
      <end>112</end>
      <status>unmodified</status>
      <modifiedWord/>
      <trackRevisions>false</trackRevisions>
    </reviewItem>
    <reviewItem>
      <errorID>6142cd7d-425f-4084-87e7-129cc2fd2d45</errorID>
      <errorWord>占地耕地</errorWord>
      <group>L1_Political</group>
      <groupName>政治性问题</groupName>
      <ability>L2_Unpolitical</ability>
      <abilityName>政治敏感错误</abilityName>
      <candidateList>
        <item>占用耕地</item>
      </candidateList>
      <explain/>
      <paraID>53E8B15E</paraID>
      <start>89</start>
      <end>93</end>
      <status>unmodified</status>
      <modifiedWord/>
      <trackRevisions>false</trackRevisions>
    </reviewItem>
    <reviewItem>
      <errorID>676fb4cd-af99-40bc-ac96-495b74d833f1</errorID>
      <errorWord>类在</errorWord>
      <group>L1_Word</group>
      <groupName>字词问题</groupName>
      <ability>L2_Typo</ability>
      <abilityName>字词错误</abilityName>
      <candidateList>
        <item>类</item>
      </candidateList>
      <explain/>
      <paraID>7B48D9F6</paraID>
      <start>45</start>
      <end>47</end>
      <status>unmodified</status>
      <modifiedWord/>
      <trackRevisions>false</trackRevisions>
    </reviewItem>
    <reviewItem>
      <errorID>b917e376-c8fe-4016-9883-9bb8b049b74d</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5F1BCAED</paraID>
      <start>77</start>
      <end>78</end>
      <status>unmodified</status>
      <modifiedWord/>
      <trackRevisions>false</trackRevisions>
    </reviewItem>
    <reviewItem>
      <errorID>986098a0-e6cc-43e6-a52e-1a61885b46bd</errorID>
      <errorWord>减震</errorWord>
      <group>L1_Word</group>
      <groupName>字词问题</groupName>
      <ability>L2_Typo</ability>
      <abilityName>字词错误</abilityName>
      <candidateList>
        <item>减振</item>
      </candidateList>
      <explain>存在发音相同字词的误用。</explain>
      <paraID>666E4936</paraID>
      <start>13</start>
      <end>15</end>
      <status>unmodified</status>
      <modifiedWord/>
      <trackRevisions>false</trackRevisions>
    </reviewItem>
    <reviewItem>
      <errorID>a6085bcd-3c73-4a54-8c91-febc098bc3fa</errorID>
      <errorWord>～</errorWord>
      <group>L1_Format</group>
      <groupName>格式问题</groupName>
      <ability>L2_HalfPunc</ability>
      <abilityName>全半角检查</abilityName>
      <candidateList>
        <item>~</item>
      </candidateList>
      <explain>文本全半角错误。</explain>
      <paraID> 3DE8332</paraID>
      <start>2</start>
      <end>3</end>
      <status>unmodified</status>
      <modifiedWord/>
      <trackRevisions>false</trackRevisions>
    </reviewItem>
    <reviewItem>
      <errorID>38399f37-9aae-4b47-a305-9d387d0ca5c1</errorID>
      <errorWord>～</errorWord>
      <group>L1_Format</group>
      <groupName>格式问题</groupName>
      <ability>L2_HalfPunc</ability>
      <abilityName>全半角检查</abilityName>
      <candidateList>
        <item>~</item>
      </candidateList>
      <explain>文本全半角错误。</explain>
      <paraID>3AF6B7D9</paraID>
      <start>2</start>
      <end>3</end>
      <status>unmodified</status>
      <modifiedWord/>
      <trackRevisions>false</trackRevisions>
    </reviewItem>
    <reviewItem>
      <errorID>c8e5f966-12ef-46cd-b55f-8b4a795020e7</errorID>
      <errorWord>)</errorWord>
      <group>L1_Format</group>
      <groupName>格式问题</groupName>
      <ability>L2_HalfPunc</ability>
      <abilityName>全半角检查</abilityName>
      <candidateList>
        <item>）</item>
      </candidateList>
      <explain>文本全半角错误。</explain>
      <paraID>3DEB48E8</paraID>
      <start>14</start>
      <end>15</end>
      <status>ignored</status>
      <modifiedWord/>
      <trackRevisions>false</trackRevisions>
    </reviewItem>
    <reviewItem>
      <errorID>12b67dbd-106a-4353-991c-fb02a3051684</errorID>
      <errorWord>钢制</errorWord>
      <group>L1_Word</group>
      <groupName>字词问题</groupName>
      <ability>L2_Typo</ability>
      <abilityName>字词错误</abilityName>
      <candidateList>
        <item>钢质</item>
      </candidateList>
      <explain/>
      <paraID>7A3410C7</paraID>
      <start>10</start>
      <end>12</end>
      <status>unmodified</status>
      <modifiedWord/>
      <trackRevisions>false</trackRevisions>
    </reviewItem>
    <reviewItem>
      <errorID>ac09f81d-6e9a-4071-bdac-cf4752613d47</errorID>
      <errorWord>处</errorWord>
      <group>L1_Word</group>
      <groupName>字词问题</groupName>
      <ability>L2_Typo</ability>
      <abilityName>字词错误</abilityName>
      <candidateList>
        <item>处理</item>
      </candidateList>
      <explain/>
      <paraID>1F9ADCF0</paraID>
      <start>16</start>
      <end>17</end>
      <status>unmodified</status>
      <modifiedWord/>
      <trackRevisions>false</trackRevisions>
    </reviewItem>
    <reviewItem>
      <errorID>d6cf2709-3ea5-45fd-83b6-71b6608f49af</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 3EC5215</paraID>
      <start>124</start>
      <end>125</end>
      <status>unmodified</status>
      <modifiedWord/>
      <trackRevisions>false</trackRevisions>
    </reviewItem>
    <reviewItem>
      <errorID>386764d9-a163-4847-80ad-607d4923e320</errorID>
      <errorWord>程</errorWord>
      <group>L1_Word</group>
      <groupName>字词问题</groupName>
      <ability>L2_Typo</ability>
      <abilityName>字词错误</abilityName>
      <candidateList>
        <item>程中</item>
      </candidateList>
      <explain/>
      <paraID> 3EC5215</paraID>
      <start>172</start>
      <end>173</end>
      <status>unmodified</status>
      <modifiedWord/>
      <trackRevisions>false</trackRevisions>
    </reviewItem>
    <reviewItem>
      <errorID>4dbf8eac-9e45-4325-85aa-f4cf061bb9df</errorID>
      <errorWord>对对</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170B98C5</paraID>
      <start>44</start>
      <end>46</end>
      <status>unmodified</status>
      <modifiedWord/>
      <trackRevisions>false</trackRevisions>
    </reviewItem>
    <reviewItem>
      <errorID>bdaf513e-27aa-412b-9125-3bb16d25b8d8</errorID>
      <errorWord>~</errorWord>
      <group>L1_Format</group>
      <groupName>格式问题</groupName>
      <ability>L2_HalfPunc</ability>
      <abilityName>全半角检查</abilityName>
      <candidateList>
        <item>～</item>
      </candidateList>
      <explain>文本全半角错误。</explain>
      <paraID>545C7334</paraID>
      <start>45</start>
      <end>46</end>
      <status>unmodified</status>
      <modifiedWord/>
      <trackRevisions>false</trackRevisions>
    </reviewItem>
    <reviewItem>
      <errorID>9ad8ff5e-1072-4e07-8850-924c2be948f3</errorID>
      <errorWord>~</errorWord>
      <group>L1_Format</group>
      <groupName>格式问题</groupName>
      <ability>L2_HalfPunc</ability>
      <abilityName>全半角检查</abilityName>
      <candidateList>
        <item>～</item>
      </candidateList>
      <explain>文本全半角错误。</explain>
      <paraID>618F15F4</paraID>
      <start>66</start>
      <end>67</end>
      <status>unmodified</status>
      <modifiedWord/>
      <trackRevisions>false</trackRevisions>
    </reviewItem>
    <reviewItem>
      <errorID>48498d15-0146-4697-a38a-e9477694e061</errorID>
      <errorWord>~</errorWord>
      <group>L1_Format</group>
      <groupName>格式问题</groupName>
      <ability>L2_HalfPunc</ability>
      <abilityName>全半角检查</abilityName>
      <candidateList>
        <item>～</item>
      </candidateList>
      <explain>文本全半角错误。</explain>
      <paraID>618F15F4</paraID>
      <start>124</start>
      <end>125</end>
      <status>unmodified</status>
      <modifiedWord/>
      <trackRevisions>false</trackRevisions>
    </reviewItem>
    <reviewItem>
      <errorID>353e98cb-8d76-4402-a809-716affadfa0a</errorID>
      <errorWord>~</errorWord>
      <group>L1_Format</group>
      <groupName>格式问题</groupName>
      <ability>L2_HalfPunc</ability>
      <abilityName>全半角检查</abilityName>
      <candidateList>
        <item>～</item>
      </candidateList>
      <explain>文本全半角错误。</explain>
      <paraID>618F15F4</paraID>
      <start>140</start>
      <end>141</end>
      <status>unmodified</status>
      <modifiedWord/>
      <trackRevisions>false</trackRevisions>
    </reviewItem>
    <reviewItem>
      <errorID>33473f43-bca6-4d65-8fc6-d9daf0ae9d04</errorID>
      <errorWord>~</errorWord>
      <group>L1_Format</group>
      <groupName>格式问题</groupName>
      <ability>L2_HalfPunc</ability>
      <abilityName>全半角检查</abilityName>
      <candidateList>
        <item>～</item>
      </candidateList>
      <explain>文本全半角错误。</explain>
      <paraID>618F15F4</paraID>
      <start>196</start>
      <end>197</end>
      <status>unmodified</status>
      <modifiedWord/>
      <trackRevisions>false</trackRevisions>
    </reviewItem>
    <reviewItem>
      <errorID>9de6f47f-28c7-490a-8601-d01a14355d04</errorID>
      <errorWord>~</errorWord>
      <group>L1_Format</group>
      <groupName>格式问题</groupName>
      <ability>L2_HalfPunc</ability>
      <abilityName>全半角检查</abilityName>
      <candidateList>
        <item>～</item>
      </candidateList>
      <explain>文本全半角错误。</explain>
      <paraID>15941F3B</paraID>
      <start>60</start>
      <end>61</end>
      <status>unmodified</status>
      <modifiedWord/>
      <trackRevisions>false</trackRevisions>
    </reviewItem>
    <reviewItem>
      <errorID>eac0f7fe-ae91-4964-8853-03a5861375d0</errorID>
      <errorWord>“S”型</errorWord>
      <group>L1_Word</group>
      <groupName>字词问题</groupName>
      <ability>L2_Typo</ability>
      <abilityName>字词错误</abilityName>
      <candidateList>
        <item>“S”形</item>
      </candidateList>
      <explain/>
      <paraID>2FE3E4AD</paraID>
      <start>91</start>
      <end>95</end>
      <status>unmodified</status>
      <modifiedWord/>
      <trackRevisions>false</trackRevisions>
    </reviewItem>
    <reviewItem>
      <errorID>6847266a-909e-4431-ad17-df5e35a9c695</errorID>
      <errorWord>-</errorWord>
      <group>L1_Format</group>
      <groupName>格式问题</groupName>
      <ability>L2_HalfPunc</ability>
      <abilityName>全半角检查</abilityName>
      <candidateList>
        <item>－</item>
      </candidateList>
      <explain>文本全半角错误。</explain>
      <paraID>332DDCF7</paraID>
      <start>14</start>
      <end>15</end>
      <status>unmodified</status>
      <modifiedWord/>
      <trackRevisions>false</trackRevisions>
    </reviewItem>
    <reviewItem>
      <errorID>37719156-c5c7-4d03-8340-6c27e4275fa6</errorID>
      <errorWord>~</errorWord>
      <group>L1_Format</group>
      <groupName>格式问题</groupName>
      <ability>L2_HalfPunc</ability>
      <abilityName>全半角检查</abilityName>
      <candidateList>
        <item>～</item>
      </candidateList>
      <explain>文本全半角错误。</explain>
      <paraID>332DDCF7</paraID>
      <start>105</start>
      <end>106</end>
      <status>unmodified</status>
      <modifiedWord/>
      <trackRevisions>false</trackRevisions>
    </reviewItem>
    <reviewItem>
      <errorID>a4fdf080-e1db-40c7-afef-b9009a38764b</errorID>
      <errorWord>~</errorWord>
      <group>L1_Format</group>
      <groupName>格式问题</groupName>
      <ability>L2_HalfPunc</ability>
      <abilityName>全半角检查</abilityName>
      <candidateList>
        <item>～</item>
      </candidateList>
      <explain>文本全半角错误。</explain>
      <paraID>332DDCF7</paraID>
      <start>156</start>
      <end>157</end>
      <status>unmodified</status>
      <modifiedWord/>
      <trackRevisions>false</trackRevisions>
    </reviewItem>
    <reviewItem>
      <errorID>fef7f18d-85cf-4f08-b558-b2522285f735</errorID>
      <errorWord>~</errorWord>
      <group>L1_Format</group>
      <groupName>格式问题</groupName>
      <ability>L2_HalfPunc</ability>
      <abilityName>全半角检查</abilityName>
      <candidateList>
        <item>～</item>
      </candidateList>
      <explain>文本全半角错误。</explain>
      <paraID>332DDCF7</paraID>
      <start>204</start>
      <end>205</end>
      <status>unmodified</status>
      <modifiedWord/>
      <trackRevisions>false</trackRevisions>
    </reviewItem>
    <reviewItem>
      <errorID>c38853aa-cc77-435f-8a69-8dd3e5acd27a</errorID>
      <errorWord>~</errorWord>
      <group>L1_Format</group>
      <groupName>格式问题</groupName>
      <ability>L2_HalfPunc</ability>
      <abilityName>全半角检查</abilityName>
      <candidateList>
        <item>～</item>
      </candidateList>
      <explain>文本全半角错误。</explain>
      <paraID>332DDCF7</paraID>
      <start>224</start>
      <end>225</end>
      <status>unmodified</status>
      <modifiedWord/>
      <trackRevisions>false</trackRevisions>
    </reviewItem>
    <reviewItem>
      <errorID>3475912b-136f-47bf-ba25-a8eaa128daaa</errorID>
      <errorWord>~</errorWord>
      <group>L1_Format</group>
      <groupName>格式问题</groupName>
      <ability>L2_HalfPunc</ability>
      <abilityName>全半角检查</abilityName>
      <candidateList>
        <item>～</item>
      </candidateList>
      <explain>文本全半角错误。</explain>
      <paraID>332DDCF7</paraID>
      <start>255</start>
      <end>256</end>
      <status>unmodified</status>
      <modifiedWord/>
      <trackRevisions>false</trackRevisions>
    </reviewItem>
    <reviewItem>
      <errorID>154bb13e-c5b4-448e-b8d8-16f55da26fca</errorID>
      <errorWord>~</errorWord>
      <group>L1_Format</group>
      <groupName>格式问题</groupName>
      <ability>L2_HalfPunc</ability>
      <abilityName>全半角检查</abilityName>
      <candidateList>
        <item>～</item>
      </candidateList>
      <explain>文本全半角错误。</explain>
      <paraID>41A35234</paraID>
      <start>268</start>
      <end>269</end>
      <status>unmodified</status>
      <modifiedWord/>
      <trackRevisions>false</trackRevisions>
    </reviewItem>
    <reviewItem>
      <errorID>9ecee017-b618-4273-b224-3c0a30b5a307</errorID>
      <errorWord>6%~10%</errorWord>
      <group>L1_Knowledge</group>
      <groupName>知识性问题</groupName>
      <ability>L2_Knowledge</ability>
      <abilityName>其他知识</abilityName>
      <candidateList>
        <item>6%～10%</item>
      </candidateList>
      <explain>1. “6%~10%”中的单位“%”仅出现在后一个数字上，容易引起歧义；根据《现代汉语标点符号数字用法规范手册》，数字表示范围两边需要使用统一的格式。2. 根据标点国标 4.13 中的规则，数字、时间或地域连接符应使用（视觉上更长的）“—”或“～”。</explain>
      <paraID> BBAB89B</paraID>
      <start>42</start>
      <end>48</end>
      <status>unmodified</status>
      <modifiedWord/>
      <trackRevisions>false</trackRevisions>
    </reviewItem>
    <reviewItem>
      <errorID>09c0b7cb-1d45-4371-a6c5-ff771fdc833c</errorID>
      <errorWord>6%~10%</errorWord>
      <group>L1_Knowledge</group>
      <groupName>知识性问题</groupName>
      <ability>L2_Knowledge</ability>
      <abilityName>其他知识</abilityName>
      <candidateList>
        <item>6%～10%</item>
      </candidateList>
      <explain>1. “6%~10%”中的单位“%”仅出现在后一个数字上，容易引起歧义；根据《现代汉语标点符号数字用法规范手册》，数字表示范围两边需要使用统一的格式。2. 根据标点国标 4.13 中的规则，数字、时间或地域连接符应使用（视觉上更长的）“—”或“～”。</explain>
      <paraID> BBAB89B</paraID>
      <start>107</start>
      <end>113</end>
      <status>unmodified</status>
      <modifiedWord/>
      <trackRevisions>false</trackRevisions>
    </reviewItem>
    <reviewItem>
      <errorID>e7671b4f-64c5-4325-984c-841e263e6237</errorID>
      <errorWord>6%~10%</errorWord>
      <group>L1_Knowledge</group>
      <groupName>知识性问题</groupName>
      <ability>L2_Knowledge</ability>
      <abilityName>其他知识</abilityName>
      <candidateList>
        <item>6%～10%</item>
      </candidateList>
      <explain>1. “6%~10%”中的单位“%”仅出现在后一个数字上，容易引起歧义；根据《现代汉语标点符号数字用法规范手册》，数字表示范围两边需要使用统一的格式。2. 根据标点国标 4.13 中的规则，数字、时间或地域连接符应使用（视觉上更长的）“—”或“～”。</explain>
      <paraID>722DA8C2</paraID>
      <start>42</start>
      <end>48</end>
      <status>unmodified</status>
      <modifiedWord/>
      <trackRevisions>false</trackRevisions>
    </reviewItem>
    <reviewItem>
      <errorID>ae86cd5e-acf6-40c9-9fbb-7c6193617365</errorID>
      <errorWord>6%~10%</errorWord>
      <group>L1_Knowledge</group>
      <groupName>知识性问题</groupName>
      <ability>L2_Knowledge</ability>
      <abilityName>其他知识</abilityName>
      <candidateList>
        <item>6%～10%</item>
      </candidateList>
      <explain>1. “6%~10%”中的单位“%”仅出现在后一个数字上，容易引起歧义；根据《现代汉语标点符号数字用法规范手册》，数字表示范围两边需要使用统一的格式。2. 根据标点国标 4.13 中的规则，数字、时间或地域连接符应使用（视觉上更长的）“—”或“～”。</explain>
      <paraID>722DA8C2</paraID>
      <start>106</start>
      <end>112</end>
      <status>unmodified</status>
      <modifiedWord/>
      <trackRevisions>false</trackRevisions>
    </reviewItem>
    <reviewItem>
      <errorID>f79cf412-a6d3-4a7f-8fe4-d7d3a99819ec</errorID>
      <errorWord>孔渗</errorWord>
      <group>L1_Word</group>
      <groupName>字词问题</groupName>
      <ability>L2_Typo</ability>
      <abilityName>字词错误</abilityName>
      <candidateList>
        <item>孔隙</item>
      </candidateList>
      <explain/>
      <paraID> CEEDB41</paraID>
      <start>68</start>
      <end>70</end>
      <status>unmodified</status>
      <modifiedWord/>
      <trackRevisions>false</trackRevisions>
    </reviewItem>
    <reviewItem>
      <errorID>dadcfb8a-6440-4968-b9d0-75c9193dd5b4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1944ACE6</paraID>
      <start>0</start>
      <end>2</end>
      <status>unmodified</status>
      <modifiedWord/>
      <trackRevisions>false</trackRevisions>
    </reviewItem>
    <reviewItem>
      <errorID>51ed1aa3-3d77-4178-ae42-1fd388aeb76c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6421E205</paraID>
      <start>0</start>
      <end>2</end>
      <status>unmodified</status>
      <modifiedWord/>
      <trackRevisions>false</trackRevisions>
    </reviewItem>
    <reviewItem>
      <errorID>ef68f84f-0472-44d9-a306-a489f950c4aa</errorID>
      <errorWord>-</errorWord>
      <group>L1_Format</group>
      <groupName>格式问题</groupName>
      <ability>L2_HalfPunc</ability>
      <abilityName>全半角检查</abilityName>
      <candidateList>
        <item>－</item>
      </candidateList>
      <explain>文本全半角错误。</explain>
      <paraID>6A454760</paraID>
      <start>150</start>
      <end>151</end>
      <status>unmodified</status>
      <modifiedWord/>
      <trackRevisions>false</trackRevisions>
    </reviewItem>
    <reviewItem>
      <errorID>516794d7-2448-49e3-9e98-6bdd4235a6dd</errorID>
      <errorWord>-</errorWord>
      <group>L1_Format</group>
      <groupName>格式问题</groupName>
      <ability>L2_HalfPunc</ability>
      <abilityName>全半角检查</abilityName>
      <candidateList>
        <item>－</item>
      </candidateList>
      <explain>文本全半角错误。</explain>
      <paraID>2ED1593D</paraID>
      <start>6</start>
      <end>7</end>
      <status>unmodified</status>
      <modifiedWord/>
      <trackRevisions>false</trackRevisions>
    </reviewItem>
    <reviewItem>
      <errorID>81519423-9d7a-4c10-8802-95ad7e35114c</errorID>
      <errorWord>~</errorWord>
      <group>L1_Format</group>
      <groupName>格式问题</groupName>
      <ability>L2_HalfPunc</ability>
      <abilityName>全半角检查</abilityName>
      <candidateList>
        <item>～</item>
      </candidateList>
      <explain>文本全半角错误。</explain>
      <paraID>2ED1593D</paraID>
      <start>60</start>
      <end>61</end>
      <status>unmodified</status>
      <modifiedWord/>
      <trackRevisions>false</trackRevisions>
    </reviewItem>
    <reviewItem>
      <errorID>408722f2-2f47-44f4-8f17-fdf4a56d0e68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6933471C</paraID>
      <start>0</start>
      <end>2</end>
      <status>unmodified</status>
      <modifiedWord/>
      <trackRevisions>false</trackRevisions>
    </reviewItem>
    <reviewItem>
      <errorID>b0128614-1243-4026-b767-e6e9dfa04686</errorID>
      <errorWord>95.080%~96.436%</errorWord>
      <group>L1_Knowledge</group>
      <groupName>知识性问题</groupName>
      <ability>L2_Knowledge</ability>
      <abilityName>其他知识</abilityName>
      <candidateList>
        <item>95.080%～96.436%</item>
      </candidateList>
      <explain>1. “95.080%~96.436%”中的单位“%”仅出现在后一个数字上，容易引起歧义；根据《现代汉语标点符号数字用法规范手册》，数字表示范围两边需要使用统一的格式。2. 根据标点国标 4.13 中的规则，数字、时间或地域连接符应使用（视觉上更长的）“—”或“～”。</explain>
      <paraID>3230649E</paraID>
      <start>44</start>
      <end>59</end>
      <status>unmodified</status>
      <modifiedWord/>
      <trackRevisions>false</trackRevisions>
    </reviewItem>
    <reviewItem>
      <errorID>9b983fdf-6e61-4cc3-9146-beec30d85f67</errorID>
      <errorWord>1.917%~2.595%</errorWord>
      <group>L1_Knowledge</group>
      <groupName>知识性问题</groupName>
      <ability>L2_Knowledge</ability>
      <abilityName>其他知识</abilityName>
      <candidateList>
        <item>1.917%～2.595%</item>
      </candidateList>
      <explain>1. “1.917%~2.595%”中的单位“%”仅出现在后一个数字上，容易引起歧义；根据《现代汉语标点符号数字用法规范手册》，数字表示范围两边需要使用统一的格式。2. 根据标点国标 4.13 中的规则，数字、时间或地域连接符应使用（视觉上更长的）“—”或“～”。</explain>
      <paraID>3230649E</paraID>
      <start>76</start>
      <end>89</end>
      <status>unmodified</status>
      <modifiedWord/>
      <trackRevisions>false</trackRevisions>
    </reviewItem>
    <reviewItem>
      <errorID>5d153a83-a427-42b9-867e-b9605beef881</errorID>
      <errorWord>0.216%~0.424%</errorWord>
      <group>L1_Knowledge</group>
      <groupName>知识性问题</groupName>
      <ability>L2_Knowledge</ability>
      <abilityName>其他知识</abilityName>
      <candidateList>
        <item>0.216%～0.424%</item>
      </candidateList>
      <explain>1. “0.216%~0.424%”中的单位“%”仅出现在后一个数字上，容易引起歧义；根据《现代汉语标点符号数字用法规范手册》，数字表示范围两边需要使用统一的格式。2. 根据标点国标 4.13 中的规则，数字、时间或地域连接符应使用（视觉上更长的）“—”或“～”。</explain>
      <paraID>3230649E</paraID>
      <start>105</start>
      <end>118</end>
      <status>unmodified</status>
      <modifiedWord/>
      <trackRevisions>false</trackRevisions>
    </reviewItem>
    <reviewItem>
      <errorID>86181e9f-c813-4d18-8660-efbc0b190df1</errorID>
      <errorWord>0.143%~1.091%</errorWord>
      <group>L1_Knowledge</group>
      <groupName>知识性问题</groupName>
      <ability>L2_Knowledge</ability>
      <abilityName>其他知识</abilityName>
      <candidateList>
        <item>0.143%～1.091%</item>
      </candidateList>
      <explain>1. “0.143%~1.091%”中的单位“%”仅出现在后一个数字上，容易引起歧义；根据《现代汉语标点符号数字用法规范手册》，数字表示范围两边需要使用统一的格式。2. 根据标点国标 4.13 中的规则，数字、时间或地域连接符应使用（视觉上更长的）“—”或“～”。</explain>
      <paraID>3230649E</paraID>
      <start>136</start>
      <end>149</end>
      <status>unmodified</status>
      <modifiedWord/>
      <trackRevisions>false</trackRevisions>
    </reviewItem>
    <reviewItem>
      <errorID>75c296ca-fcde-462d-b3c1-781e9c765984</errorID>
      <errorWord>88.356%~96.859%</errorWord>
      <group>L1_Knowledge</group>
      <groupName>知识性问题</groupName>
      <ability>L2_Knowledge</ability>
      <abilityName>其他知识</abilityName>
      <candidateList>
        <item>88.356%～96.859%</item>
      </candidateList>
      <explain>1. “88.356%~96.859%”中的单位“%”仅出现在后一个数字上，容易引起歧义；根据《现代汉语标点符号数字用法规范手册》，数字表示范围两边需要使用统一的格式。2. 根据标点国标 4.13 中的规则，数字、时间或地域连接符应使用（视觉上更长的）“—”或“～”。</explain>
      <paraID>418853E7</paraID>
      <start>42</start>
      <end>57</end>
      <status>unmodified</status>
      <modifiedWord/>
      <trackRevisions>false</trackRevisions>
    </reviewItem>
    <reviewItem>
      <errorID>74b832ea-be0e-4b68-a735-d297498aa872</errorID>
      <errorWord>1.853%~2.887%</errorWord>
      <group>L1_Knowledge</group>
      <groupName>知识性问题</groupName>
      <ability>L2_Knowledge</ability>
      <abilityName>其他知识</abilityName>
      <candidateList>
        <item>1.853%～2.887%</item>
      </candidateList>
      <explain>1. “1.853%~2.887%”中的单位“%”仅出现在后一个数字上，容易引起歧义；根据《现代汉语标点符号数字用法规范手册》，数字表示范围两边需要使用统一的格式。2. 根据标点国标 4.13 中的规则，数字、时间或地域连接符应使用（视觉上更长的）“—”或“～”。</explain>
      <paraID>418853E7</paraID>
      <start>74</start>
      <end>87</end>
      <status>unmodified</status>
      <modifiedWord/>
      <trackRevisions>false</trackRevisions>
    </reviewItem>
    <reviewItem>
      <errorID>44de3fa4-f14a-4f10-827f-27e5e750f93b</errorID>
      <errorWord>0.168%~0.809%</errorWord>
      <group>L1_Knowledge</group>
      <groupName>知识性问题</groupName>
      <ability>L2_Knowledge</ability>
      <abilityName>其他知识</abilityName>
      <candidateList>
        <item>0.168%～0.809%</item>
      </candidateList>
      <explain>1. “0.168%~0.809%”中的单位“%”仅出现在后一个数字上，容易引起歧义；根据《现代汉语标点符号数字用法规范手册》，数字表示范围两边需要使用统一的格式。2. 根据标点国标 4.13 中的规则，数字、时间或地域连接符应使用（视觉上更长的）“—”或“～”。</explain>
      <paraID>418853E7</paraID>
      <start>103</start>
      <end>116</end>
      <status>unmodified</status>
      <modifiedWord/>
      <trackRevisions>false</trackRevisions>
    </reviewItem>
    <reviewItem>
      <errorID>7e84fd83-db70-4e5b-abe5-7cc3c0b9fcf5</errorID>
      <errorWord>0.063%~5.465%</errorWord>
      <group>L1_Knowledge</group>
      <groupName>知识性问题</groupName>
      <ability>L2_Knowledge</ability>
      <abilityName>其他知识</abilityName>
      <candidateList>
        <item>0.063%～5.465%</item>
      </candidateList>
      <explain>1. “0.063%~5.465%”中的单位“%”仅出现在后一个数字上，容易引起歧义；根据《现代汉语标点符号数字用法规范手册》，数字表示范围两边需要使用统一的格式。2. 根据标点国标 4.13 中的规则，数字、时间或地域连接符应使用（视觉上更长的）“—”或“～”。</explain>
      <paraID>418853E7</paraID>
      <start>134</start>
      <end>147</end>
      <status>unmodified</status>
      <modifiedWord/>
      <trackRevisions>false</trackRevisions>
    </reviewItem>
    <reviewItem>
      <errorID>f386968b-4357-4992-8c9c-882e3c96223f</errorID>
      <errorWord>重碳酸钠</errorWord>
      <group>L1_Knowledge</group>
      <groupName>知识性问题</groupName>
      <ability>L2_Term</ability>
      <abilityName>专业术语</abilityName>
      <candidateList>
        <item>碳酸氢钠</item>
      </candidateList>
      <explain>医学名词[重碳酸钠]为不规范表述或旧称，其规范书面表述为[碳酸氢钠]。</explain>
      <paraID>474FF8F2</paraID>
      <start>93</start>
      <end>97</end>
      <status>unmodified</status>
      <modifiedWord/>
      <trackRevisions>false</trackRevisions>
    </reviewItem>
    <reviewItem>
      <errorID>9c2e14bc-6d72-4b20-ba80-164e03c69d2d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36D8337B</paraID>
      <start>0</start>
      <end>2</end>
      <status>unmodified</status>
      <modifiedWord/>
      <trackRevisions>false</trackRevisions>
    </reviewItem>
    <reviewItem>
      <errorID>2d9ecbd3-8046-43c7-8cda-d587c0a06f7c</errorID>
      <errorWord>0.143%~1.091%</errorWord>
      <group>L1_Knowledge</group>
      <groupName>知识性问题</groupName>
      <ability>L2_Knowledge</ability>
      <abilityName>其他知识</abilityName>
      <candidateList>
        <item>0.143%～1.091%</item>
      </candidateList>
      <explain>1. “0.143%~1.091%”中的单位“%”仅出现在后一个数字上，容易引起歧义；根据《现代汉语标点符号数字用法规范手册》，数字表示范围两边需要使用统一的格式。2. 根据标点国标 4.13 中的规则，数字、时间或地域连接符应使用（视觉上更长的）“—”或“～”。</explain>
      <paraID>2E02887D</paraID>
      <start>38</start>
      <end>51</end>
      <status>unmodified</status>
      <modifiedWord/>
      <trackRevisions>false</trackRevisions>
    </reviewItem>
    <reviewItem>
      <errorID>bc24926e-d268-4302-abbd-e33f5227f2db</errorID>
      <errorWord>0.063%~5.465%</errorWord>
      <group>L1_Knowledge</group>
      <groupName>知识性问题</groupName>
      <ability>L2_Knowledge</ability>
      <abilityName>其他知识</abilityName>
      <candidateList>
        <item>0.063%～5.465%</item>
      </candidateList>
      <explain>1. “0.063%~5.465%”中的单位“%”仅出现在后一个数字上，容易引起歧义；根据《现代汉语标点符号数字用法规范手册》，数字表示范围两边需要使用统一的格式。2. 根据标点国标 4.13 中的规则，数字、时间或地域连接符应使用（视觉上更长的）“—”或“～”。</explain>
      <paraID>2E02887D</paraID>
      <start>93</start>
      <end>106</end>
      <status>unmodified</status>
      <modifiedWord/>
      <trackRevisions>false</trackRevisions>
    </reviewItem>
    <reviewItem>
      <errorID>ff5652e5-dfe2-49ef-b1cc-0a49a3e754b9</errorID>
      <errorWord>~</errorWord>
      <group>L1_Format</group>
      <groupName>格式问题</groupName>
      <ability>L2_HalfPunc</ability>
      <abilityName>全半角检查</abilityName>
      <candidateList>
        <item>～</item>
      </candidateList>
      <explain>文本全半角错误。</explain>
      <paraID> BCED835</paraID>
      <start>30</start>
      <end>31</end>
      <status>unmodified</status>
      <modifiedWord/>
      <trackRevisions>false</trackRevisions>
    </reviewItem>
    <reviewItem>
      <errorID>e213a8a1-a495-4c5a-a18c-faa3d47687cf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52E5CB1B</paraID>
      <start>22</start>
      <end>23</end>
      <status>ignored</status>
      <modifiedWord/>
      <trackRevisions>false</trackRevisions>
    </reviewItem>
    <reviewItem>
      <errorID>1fd47beb-6b82-42a8-8766-ad88d0bce63e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52E5CB1B</paraID>
      <start>52</start>
      <end>53</end>
      <status>ignored</status>
      <modifiedWord/>
      <trackRevisions>false</trackRevisions>
    </reviewItem>
    <reviewItem>
      <errorID>c972ff14-67cd-42a8-a0dc-31b3d257fdb2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73D12C44</paraID>
      <start>22</start>
      <end>23</end>
      <status>ignored</status>
      <modifiedWord/>
      <trackRevisions>false</trackRevisions>
    </reviewItem>
    <reviewItem>
      <errorID>0beb7b5c-22a3-46fe-9147-7e0624f3c2eb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73D12C44</paraID>
      <start>50</start>
      <end>51</end>
      <status>ignored</status>
      <modifiedWord/>
      <trackRevisions>false</trackRevisions>
    </reviewItem>
    <reviewItem>
      <errorID>099d15bf-d96e-4ac4-bf6b-64802ca65cf2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73D12C44</paraID>
      <start>68</start>
      <end>69</end>
      <status>ignored</status>
      <modifiedWord/>
      <trackRevisions>false</trackRevisions>
    </reviewItem>
    <reviewItem>
      <errorID>ae17a8ce-0354-4199-9ab2-1af076b09b99</errorID>
      <errorWord>包被</errorWord>
      <group>L1_Word</group>
      <groupName>字词问题</groupName>
      <ability>L2_Typo</ability>
      <abilityName>字词错误</abilityName>
      <candidateList>
        <item>包覆</item>
      </candidateList>
      <explain/>
      <paraID>19EC78FD</paraID>
      <start>33</start>
      <end>35</end>
      <status>unmodified</status>
      <modifiedWord/>
      <trackRevisions>false</trackRevisions>
    </reviewItem>
    <reviewItem>
      <errorID>66559421-7393-484c-b44c-2bb8478cdfc8</errorID>
      <errorWord>包被</errorWord>
      <group>L1_Word</group>
      <groupName>字词问题</groupName>
      <ability>L2_Typo</ability>
      <abilityName>字词错误</abilityName>
      <candidateList>
        <item>包覆</item>
      </candidateList>
      <explain/>
      <paraID>19EC78FD</paraID>
      <start>96</start>
      <end>98</end>
      <status>unmodified</status>
      <modifiedWord/>
      <trackRevisions>false</trackRevisions>
    </reviewItem>
    <reviewItem>
      <errorID>74fc58ed-e9d0-4553-a6ba-ca96fc93b059</errorID>
      <errorWord>胺基</errorWord>
      <group>L1_Word</group>
      <groupName>字词问题</groupName>
      <ability>L2_Typo</ability>
      <abilityName>字词错误</abilityName>
      <candidateList>
        <item>氨基</item>
      </candidateList>
      <explain/>
      <paraID>19EC78FD</paraID>
      <start>100</start>
      <end>102</end>
      <status>unmodified</status>
      <modifiedWord/>
      <trackRevisions>false</trackRevisions>
    </reviewItem>
    <reviewItem>
      <errorID>5e17aa8f-9763-454c-9930-cbd68824a1fc</errorID>
      <errorWord>包被</errorWord>
      <group>L1_Word</group>
      <groupName>字词问题</groupName>
      <ability>L2_Typo</ability>
      <abilityName>字词错误</abilityName>
      <candidateList>
        <item>包覆</item>
      </candidateList>
      <explain/>
      <paraID>12FB945E</paraID>
      <start>158</start>
      <end>160</end>
      <status>unmodified</status>
      <modifiedWord/>
      <trackRevisions>false</trackRevisions>
    </reviewItem>
    <reviewItem>
      <errorID>6c0949fb-015c-423a-a752-a99c705ed9d6</errorID>
      <errorWord>胺基</errorWord>
      <group>L1_Word</group>
      <groupName>字词问题</groupName>
      <ability>L2_Typo</ability>
      <abilityName>字词错误</abilityName>
      <candidateList>
        <item>氨基</item>
      </candidateList>
      <explain/>
      <paraID>12FB945E</paraID>
      <start>162</start>
      <end>164</end>
      <status>unmodified</status>
      <modifiedWord/>
      <trackRevisions>false</trackRevisions>
    </reviewItem>
    <reviewItem>
      <errorID>bb8cf986-7e20-43f3-9ae5-19dd7289f33f</errorID>
      <errorWord>粘度</errorWord>
      <group>L1_Word</group>
      <groupName>字词问题</groupName>
      <ability>L2_Alias</ability>
      <abilityName>也作/曾用词</abilityName>
      <candidateList>
        <item>黏度</item>
      </candidateList>
      <explain>词汇[粘度]为不规范表述或旧称，其规范书面表述为[黏度]。</explain>
      <paraID>1BE22EF8</paraID>
      <start>57</start>
      <end>59</end>
      <status>unmodified</status>
      <modifiedWord/>
      <trackRevisions>false</trackRevisions>
    </reviewItem>
    <reviewItem>
      <errorID>0c1e54ad-8fbc-4367-afaf-80bd8c270867</errorID>
      <errorWord>，</errorWord>
      <group>L1_Word</group>
      <groupName>字词问题</groupName>
      <ability>L2_Typo</ability>
      <abilityName>字词错误</abilityName>
      <candidateList>
        <item>，在</item>
      </candidateList>
      <explain/>
      <paraID>1541D9C4</paraID>
      <start>51</start>
      <end>52</end>
      <status>unmodified</status>
      <modifiedWord/>
      <trackRevisions>false</trackRevisions>
    </reviewItem>
    <reviewItem>
      <errorID>0ebe13cb-72db-421c-bd10-c29ef37d4084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1541D9C4</paraID>
      <start>91</start>
      <end>92</end>
      <status>ignored</status>
      <modifiedWord/>
      <trackRevisions>false</trackRevisions>
    </reviewItem>
    <reviewItem>
      <errorID>b557d400-cacd-4c54-99cf-bfff0e81c80f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6619E5BF</paraID>
      <start>68</start>
      <end>69</end>
      <status>ignored</status>
      <modifiedWord/>
      <trackRevisions>false</trackRevisions>
    </reviewItem>
    <reviewItem>
      <errorID>cb627c85-a387-4b33-84f0-ab5ee38505b9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6619E5BF</paraID>
      <start>156</start>
      <end>157</end>
      <status>ignored</status>
      <modifiedWord/>
      <trackRevisions>false</trackRevisions>
    </reviewItem>
    <reviewItem>
      <errorID>ccc91262-8925-4f08-a6bd-50650f14da39</errorID>
      <errorWord>(</errorWord>
      <group>L1_Format</group>
      <groupName>格式问题</groupName>
      <ability>L2_HalfPunc</ability>
      <abilityName>全半角检查</abilityName>
      <candidateList>
        <item>（</item>
      </candidateList>
      <explain>文本全半角错误。</explain>
      <paraID>606BEF98</paraID>
      <start>135</start>
      <end>136</end>
      <status>ignored</status>
      <modifiedWord/>
      <trackRevisions>false</trackRevisions>
    </reviewItem>
    <reviewItem>
      <errorID>571f4884-8b9c-4ccb-b742-e86fb02f9265</errorID>
      <errorWord>)</errorWord>
      <group>L1_Format</group>
      <groupName>格式问题</groupName>
      <ability>L2_HalfPunc</ability>
      <abilityName>全半角检查</abilityName>
      <candidateList>
        <item>）</item>
      </candidateList>
      <explain>文本全半角错误。</explain>
      <paraID>606BEF98</paraID>
      <start>149</start>
      <end>150</end>
      <status>ignored</status>
      <modifiedWord/>
      <trackRevisions>false</trackRevisions>
    </reviewItem>
    <reviewItem>
      <errorID>b6208356-7f24-4535-8241-bfdf9f9f320f</errorID>
      <errorWord>(</errorWord>
      <group>L1_Format</group>
      <groupName>格式问题</groupName>
      <ability>L2_HalfPunc</ability>
      <abilityName>全半角检查</abilityName>
      <candidateList>
        <item>（</item>
      </candidateList>
      <explain>文本全半角错误。</explain>
      <paraID> C3B59A5</paraID>
      <start>197</start>
      <end>198</end>
      <status>ignored</status>
      <modifiedWord/>
      <trackRevisions>false</trackRevisions>
    </reviewItem>
    <reviewItem>
      <errorID>d17e18df-0084-4201-a6bb-960c8525ce6d</errorID>
      <errorWord>)</errorWord>
      <group>L1_Format</group>
      <groupName>格式问题</groupName>
      <ability>L2_HalfPunc</ability>
      <abilityName>全半角检查</abilityName>
      <candidateList>
        <item>）</item>
      </candidateList>
      <explain>文本全半角错误。</explain>
      <paraID> C3B59A5</paraID>
      <start>211</start>
      <end>212</end>
      <status>ignored</status>
      <modifiedWord/>
      <trackRevisions>false</trackRevisions>
    </reviewItem>
    <reviewItem>
      <errorID>91380b2d-7e5e-4050-9d0a-02e848b0fc34</errorID>
      <errorWord>-</errorWord>
      <group>L1_Format</group>
      <groupName>格式问题</groupName>
      <ability>L2_HalfPunc</ability>
      <abilityName>全半角检查</abilityName>
      <candidateList>
        <item>－</item>
      </candidateList>
      <explain>文本全半角错误。</explain>
      <paraID> F8608DE</paraID>
      <start>15</start>
      <end>16</end>
      <status>unmodified</status>
      <modifiedWord/>
      <trackRevisions>false</trackRevisions>
    </reviewItem>
    <reviewItem>
      <errorID>c295ffae-4e09-4549-8292-18ff32887da5</errorID>
      <errorWord>-</errorWord>
      <group>L1_Format</group>
      <groupName>格式问题</groupName>
      <ability>L2_HalfPunc</ability>
      <abilityName>全半角检查</abilityName>
      <candidateList>
        <item>－</item>
      </candidateList>
      <explain>文本全半角错误。</explain>
      <paraID>65985F03</paraID>
      <start>28</start>
      <end>29</end>
      <status>unmodified</status>
      <modifiedWord/>
      <trackRevisions>false</trackRevisions>
    </reviewItem>
    <reviewItem>
      <errorID>2bdb773a-db77-4941-8812-ae15138a1099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64E8D96D</paraID>
      <start>112</start>
      <end>113</end>
      <status>ignored</status>
      <modifiedWord/>
      <trackRevisions>false</trackRevisions>
    </reviewItem>
    <reviewItem>
      <errorID>c3a043d8-2f31-4d0c-ad4d-bd29ed6ee35a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6787BEDD</paraID>
      <start>55</start>
      <end>56</end>
      <status>ignored</status>
      <modifiedWord/>
      <trackRevisions>false</trackRevisions>
    </reviewItem>
    <reviewItem>
      <errorID>8e306d0f-e4cf-4c72-9378-a64a5c93111c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3BC2A8EF</paraID>
      <start>29</start>
      <end>30</end>
      <status>ignored</status>
      <modifiedWord/>
      <trackRevisions>false</trackRevisions>
    </reviewItem>
    <reviewItem>
      <errorID>05019f2a-31d2-470c-9b07-d1ecc09d6444</errorID>
      <errorWord>其它</errorWord>
      <group>L1_Word</group>
      <groupName>字词问题</groupName>
      <ability>L2_Alias</ability>
      <abilityName>也作/曾用词</abilityName>
      <candidateList>
        <item>其他</item>
      </candidateList>
      <explain>词汇[其它]为不规范表述或旧称，其规范书面表述为[其他]。</explain>
      <paraID>77D59C56</paraID>
      <start>79</start>
      <end>81</end>
      <status>unmodified</status>
      <modifiedWord/>
      <trackRevisions>false</trackRevisions>
    </reviewItem>
    <reviewItem>
      <errorID>ec2380ad-44db-4f8c-9f22-b28e40d52105</errorID>
      <errorWord>，，</errorWord>
      <group>L1_Punc</group>
      <groupName>标点问题</groupName>
      <ability>L2_Punc</ability>
      <abilityName>标点符号检查</abilityName>
      <candidateList>
        <item>，</item>
      </candidateList>
      <explain/>
      <paraID>71581E8E</paraID>
      <start>80</start>
      <end>82</end>
      <status>unmodified</status>
      <modifiedWord/>
      <trackRevisions>false</trackRevisions>
    </reviewItem>
    <reviewItem>
      <errorID>ba159424-654a-4c53-b551-6884f581a963</errorID>
      <errorWord>-</errorWord>
      <group>L1_Format</group>
      <groupName>格式问题</groupName>
      <ability>L2_HalfPunc</ability>
      <abilityName>全半角检查</abilityName>
      <candidateList>
        <item>－</item>
      </candidateList>
      <explain>文本全半角错误。</explain>
      <paraID>14E8DDAA</paraID>
      <start>14</start>
      <end>15</end>
      <status>unmodified</status>
      <modifiedWord/>
      <trackRevisions>false</trackRevisions>
    </reviewItem>
    <reviewItem>
      <errorID>251b9108-fc27-48d1-94a0-31fe95668b05</errorID>
      <errorWord>-</errorWord>
      <group>L1_Format</group>
      <groupName>格式问题</groupName>
      <ability>L2_HalfPunc</ability>
      <abilityName>全半角检查</abilityName>
      <candidateList>
        <item>－</item>
      </candidateList>
      <explain>文本全半角错误。</explain>
      <paraID>14E8DDAA</paraID>
      <start>19</start>
      <end>20</end>
      <status>unmodified</status>
      <modifiedWord/>
      <trackRevisions>false</trackRevisions>
    </reviewItem>
    <reviewItem>
      <errorID>1c2cc5f7-2bcb-4623-a37f-1911b34b2821</errorID>
      <errorWord>程</errorWord>
      <group>L1_Word</group>
      <groupName>字词问题</groupName>
      <ability>L2_Typo</ability>
      <abilityName>字词错误</abilityName>
      <candidateList>
        <item>程中</item>
      </candidateList>
      <explain/>
      <paraID> 6AE5C31</paraID>
      <start>5</start>
      <end>6</end>
      <status>unmodified</status>
      <modifiedWord/>
      <trackRevisions>false</trackRevisions>
    </reviewItem>
    <reviewItem>
      <errorID>fc203275-13a7-4d6f-8b4c-b0e7dc028cbc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242B8C0</paraID>
      <start>125</start>
      <end>126</end>
      <status>ignored</status>
      <modifiedWord/>
      <trackRevisions>false</trackRevisions>
    </reviewItem>
    <reviewItem>
      <errorID>faa095f3-9122-4951-a1b2-3cbdeef390e7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242B8C0</paraID>
      <start>245</start>
      <end>246</end>
      <status>ignored</status>
      <modifiedWord/>
      <trackRevisions>false</trackRevisions>
    </reviewItem>
    <reviewItem>
      <errorID>d0caa6cf-97bf-42af-9cb1-5b87377e0931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14C25B2F</paraID>
      <start>148</start>
      <end>149</end>
      <status>ignored</status>
      <modifiedWord/>
      <trackRevisions>false</trackRevisions>
    </reviewItem>
    <reviewItem>
      <errorID>e122add8-e9ae-4d7c-90f2-6975fd6cf5dc</errorID>
      <errorWord>设</errorWord>
      <group>L1_Word</group>
      <groupName>字词问题</groupName>
      <ability>L2_Typo</ability>
      <abilityName>字词错误</abilityName>
      <candidateList>
        <item>设置</item>
      </candidateList>
      <explain>〈动〉❶设立：这座剧院是为儿童～的。❷安放；安装：～障碍。</explain>
      <paraID>6894E00F</paraID>
      <start>58</start>
      <end>59</end>
      <status>unmodified</status>
      <modifiedWord/>
      <trackRevisions>false</trackRevisions>
    </reviewItem>
    <reviewItem>
      <errorID>f6cf4bc1-9968-4975-a1a7-b175fa456af8</errorID>
      <errorWord>(</errorWord>
      <group>L1_Format</group>
      <groupName>格式问题</groupName>
      <ability>L2_HalfPunc</ability>
      <abilityName>全半角检查</abilityName>
      <candidateList>
        <item>（</item>
      </candidateList>
      <explain>文本全半角错误。</explain>
      <paraID>45227743</paraID>
      <start>178</start>
      <end>179</end>
      <status>ignored</status>
      <modifiedWord/>
      <trackRevisions>false</trackRevisions>
    </reviewItem>
    <reviewItem>
      <errorID>c58abaad-2034-40c4-9cf0-5e52641cde86</errorID>
      <errorWord>)</errorWord>
      <group>L1_Format</group>
      <groupName>格式问题</groupName>
      <ability>L2_HalfPunc</ability>
      <abilityName>全半角检查</abilityName>
      <candidateList>
        <item>）</item>
      </candidateList>
      <explain>文本全半角错误。</explain>
      <paraID>45227743</paraID>
      <start>192</start>
      <end>193</end>
      <status>ignored</status>
      <modifiedWord/>
      <trackRevisions>false</trackRevisions>
    </reviewItem>
    <reviewItem>
      <errorID>4cecfc95-b9f7-48e5-99e0-55fb756f2b98</errorID>
      <errorWord>期</errorWord>
      <group>L1_Word</group>
      <groupName>字词问题</groupName>
      <ability>L2_Typo</ability>
      <abilityName>字词错误</abilityName>
      <candidateList>
        <item>期间</item>
      </candidateList>
      <explain>〈名〉某个时期里面：农忙～｜春节～｜抗战～。</explain>
      <paraID>20E58484</paraID>
      <start>2</start>
      <end>3</end>
      <status>ignored</status>
      <modifiedWord/>
      <trackRevisions>false</trackRevisions>
    </reviewItem>
    <reviewItem>
      <errorID>ef0259ec-5684-411b-8ab1-4f5a23140a12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47F175B6</paraID>
      <start>208</start>
      <end>209</end>
      <status>ignored</status>
      <modifiedWord/>
      <trackRevisions>false</trackRevisions>
    </reviewItem>
    <reviewItem>
      <errorID>c388d81d-b07b-461b-9bce-2c589f651975</errorID>
      <errorWord>布设个</errorWord>
      <group>L1_Word</group>
      <groupName>字词问题</groupName>
      <ability>L2_Typo</ability>
      <abilityName>字词错误</abilityName>
      <candidateList>
        <item>布设</item>
      </candidateList>
      <explain/>
      <paraID>7F8EA03E</paraID>
      <start>13</start>
      <end>16</end>
      <status>unmodified</status>
      <modifiedWord/>
      <trackRevisions>false</trackRevisions>
    </reviewItem>
    <reviewItem>
      <errorID>31eb79e6-deda-4eb7-8a6c-6b2461951d0f</errorID>
      <errorWord>，</errorWord>
      <group>L1_Word</group>
      <groupName>字词问题</groupName>
      <ability>L2_Typo</ability>
      <abilityName>字词错误</abilityName>
      <candidateList>
        <item>，在</item>
      </candidateList>
      <explain/>
      <paraID>7F8EA03E</paraID>
      <start>24</start>
      <end>25</end>
      <status>unmodified</status>
      <modifiedWord/>
      <trackRevisions>false</trackRevisions>
    </reviewItem>
    <reviewItem>
      <errorID>ccf1e0e9-d7dc-4518-bec8-a3426a5032bd</errorID>
      <errorWord>】</errorWord>
      <group>L1_Punc</group>
      <groupName>标点问题</groupName>
      <ability>L2_Punc</ability>
      <abilityName>标点符号检查</abilityName>
      <candidateList/>
      <explain/>
      <paraID>6A9864C9</paraID>
      <start>0</start>
      <end>1</end>
      <status>unmodified</status>
      <modifiedWord/>
      <trackRevisions>false</trackRevisions>
    </reviewItem>
    <reviewItem>
      <errorID>48e9eef7-24d1-4c92-829d-393e55ecd59a</errorID>
      <errorWord>处理处理</errorWord>
      <group>L1_Word</group>
      <groupName>字词问题</groupName>
      <ability>L2_Typo</ability>
      <abilityName>字词错误</abilityName>
      <candidateList>
        <item>处理</item>
      </candidateList>
      <explain/>
      <paraID>4054439F</paraID>
      <start>26</start>
      <end>30</end>
      <status>unmodified</status>
      <modifiedWord/>
      <trackRevisions>false</trackRevisions>
    </reviewItem>
    <reviewItem>
      <errorID>1790e154-10d9-4959-bd9b-6593f42350b7</errorID>
      <errorWord>~</errorWord>
      <group>L1_Format</group>
      <groupName>格式问题</groupName>
      <ability>L2_HalfPunc</ability>
      <abilityName>全半角检查</abilityName>
      <candidateList>
        <item>～</item>
      </candidateList>
      <explain>文本全半角错误。</explain>
      <paraID> 4C3B042</paraID>
      <start>29</start>
      <end>30</end>
      <status>unmodified</status>
      <modifiedWord/>
      <trackRevisions>false</trackRevisions>
    </reviewItem>
    <reviewItem>
      <errorID>d1c9607b-ba92-4571-ac42-1708cfeab62c</errorID>
      <errorWord>井别</errorWord>
      <group>L1_Word</group>
      <groupName>字词问题</groupName>
      <ability>L2_Typo</ability>
      <abilityName>字词错误</abilityName>
      <candidateList>
        <item>特别</item>
      </candidateList>
      <explain>❶〈形〉与众不同；不普通：～的式样｜他的脾气很～。❷〈副〉格外：火车跑得～快｜这个节目～吸引观众。❸〈副〉特地：散会的时候，厂长～把他留下来研究技术上的问题。❹〈副〉尤其：他喜欢郊游，～是骑自行车郊游。</explain>
      <paraID>35DEC104</paraID>
      <start>0</start>
      <end>2</end>
      <status>unmodified</status>
      <modifiedWord/>
      <trackRevisions>false</trackRevisions>
    </reviewItem>
    <reviewItem>
      <errorID>458da0f4-c020-4c23-864f-f7d4c4a7aa3c</errorID>
      <errorWord>型</errorWord>
      <group>L1_Word</group>
      <groupName>字词问题</groupName>
      <ability>L2_Typo</ability>
      <abilityName>字词错误</abilityName>
      <candidateList>
        <item>形</item>
      </candidateList>
      <explain>存在发音相同字词的误用。</explain>
      <paraID>4519802F</paraID>
      <start>1</start>
      <end>2</end>
      <status>unmodified</status>
      <modifiedWord/>
      <trackRevisions>false</trackRevisions>
    </reviewItem>
    <reviewItem>
      <errorID>979eb97a-9fe9-428d-892d-83cd92dcbbb7</errorID>
      <errorWord>-</errorWord>
      <group>L1_Format</group>
      <groupName>格式问题</groupName>
      <ability>L2_HalfPunc</ability>
      <abilityName>全半角检查</abilityName>
      <candidateList>
        <item>－</item>
      </candidateList>
      <explain>文本全半角错误。</explain>
      <paraID>59011D7D</paraID>
      <start>3</start>
      <end>4</end>
      <status>unmodified</status>
      <modifiedWord/>
      <trackRevisions>false</trackRevisions>
    </reviewItem>
    <reviewItem>
      <errorID>46825f71-e609-4fc7-a667-e246703ed264</errorID>
      <errorWord>0.37％~1.86%</errorWord>
      <group>L1_Knowledge</group>
      <groupName>知识性问题</groupName>
      <ability>L2_Knowledge</ability>
      <abilityName>其他知识</abilityName>
      <candidateList>
        <item>0.37%～1.86%</item>
      </candidateList>
      <explain>1. “0.37％~1.86%”中的单位“%”仅出现在后一个数字上，容易引起歧义；根据《现代汉语标点符号数字用法规范手册》，数字表示范围两边需要使用统一的格式。2. 根据标点国标 4.13 中的规则，数字、时间或地域连接符应使用（视觉上更长的）“—”或“～”。</explain>
      <paraID>7ED992CE</paraID>
      <start>23</start>
      <end>34</end>
      <status>unmodified</status>
      <modifiedWord/>
      <trackRevisions>false</trackRevisions>
    </reviewItem>
    <reviewItem>
      <errorID>ba0cefe7-e2f9-42d4-b15d-36b0bc2435c8</errorID>
      <errorWord>（</errorWord>
      <group>L1_Format</group>
      <groupName>格式问题</groupName>
      <ability>L2_HalfPunc</ability>
      <abilityName>全半角检查</abilityName>
      <candidateList>
        <item>(</item>
      </candidateList>
      <explain>文本全半角错误。</explain>
      <paraID>62AD88BA</paraID>
      <start>0</start>
      <end>1</end>
      <status>unmodified</status>
      <modifiedWord/>
      <trackRevisions>false</trackRevisions>
    </reviewItem>
    <reviewItem>
      <errorID>82d589ce-0e7e-42e0-a5cb-3dcad290f259</errorID>
      <errorWord>）</errorWord>
      <group>L1_Format</group>
      <groupName>格式问题</groupName>
      <ability>L2_HalfPunc</ability>
      <abilityName>全半角检查</abilityName>
      <candidateList>
        <item>)</item>
      </candidateList>
      <explain>文本全半角错误。</explain>
      <paraID>62AD88BA</paraID>
      <start>6</start>
      <end>7</end>
      <status>unmodified</status>
      <modifiedWord/>
      <trackRevisions>false</trackRevisions>
    </reviewItem>
    <reviewItem>
      <errorID>f747c2e1-6914-4b7c-a1a2-722bafb4d8bb</errorID>
      <errorWord>井气</errorWord>
      <group>L1_Word</group>
      <groupName>字词问题</groupName>
      <ability>L2_Typo</ability>
      <abilityName>字词错误</abilityName>
      <candidateList>
        <item>井</item>
      </candidateList>
      <explain/>
      <paraID>79555E1E</paraID>
      <start>7</start>
      <end>9</end>
      <status>unmodified</status>
      <modifiedWord/>
      <trackRevisions>false</trackRevisions>
    </reviewItem>
    <reviewItem>
      <errorID>5e2e0e2d-90a4-492d-a790-1eec8f03fd72</errorID>
      <errorWord>~</errorWord>
      <group>L1_Format</group>
      <groupName>格式问题</groupName>
      <ability>L2_HalfPunc</ability>
      <abilityName>全半角检查</abilityName>
      <candidateList>
        <item>～</item>
      </candidateList>
      <explain>文本全半角错误。</explain>
      <paraID>52FEF85D</paraID>
      <start>37</start>
      <end>38</end>
      <status>unmodified</status>
      <modifiedWord/>
      <trackRevisions>false</trackRevisions>
    </reviewItem>
    <reviewItem>
      <errorID>96a8f54f-cf76-43d4-884c-7f57a1404feb</errorID>
      <errorWord>钻进</errorWord>
      <group>L1_Word</group>
      <groupName>字词问题</groupName>
      <ability>L2_Typo</ability>
      <abilityName>字词错误</abilityName>
      <candidateList>
        <item>钻井</item>
      </candidateList>
      <explain>存在发音相近字词的误用。</explain>
      <paraID>604BA2C6</paraID>
      <start>39</start>
      <end>41</end>
      <status>unmodified</status>
      <modifiedWord/>
      <trackRevisions>false</trackRevisions>
    </reviewItem>
    <reviewItem>
      <errorID>5a548221-0601-45fa-825c-23cf6de01e68</errorID>
      <errorWord>后并</errorWord>
      <group>L1_Word</group>
      <groupName>字词问题</groupName>
      <ability>L2_Typo</ability>
      <abilityName>字词错误</abilityName>
      <candidateList>
        <item>后</item>
      </candidateList>
      <explain>❶君主的妻子：皇～｜～妃。❷古代称君主：商之先～。❸（Hòu）〈名〉姓。</explain>
      <paraID> DD12CA0</paraID>
      <start>35</start>
      <end>37</end>
      <status>unmodified</status>
      <modifiedWord/>
      <trackRevisions>false</trackRevisions>
    </reviewItem>
    <reviewItem>
      <errorID>180f3509-a144-4fdd-b581-57f6d2b6d3c1</errorID>
      <errorWord>~</errorWord>
      <group>L1_Format</group>
      <groupName>格式问题</groupName>
      <ability>L2_HalfPunc</ability>
      <abilityName>全半角检查</abilityName>
      <candidateList>
        <item>～</item>
      </candidateList>
      <explain>文本全半角错误。</explain>
      <paraID> DD12CA0</paraID>
      <start>77</start>
      <end>78</end>
      <status>unmodified</status>
      <modifiedWord/>
      <trackRevisions>false</trackRevisions>
    </reviewItem>
    <reviewItem>
      <errorID>6d5e2323-0bd4-420f-a0e5-56b04feeb39d</errorID>
      <errorWord>井别</errorWord>
      <group>L1_Word</group>
      <groupName>字词问题</groupName>
      <ability>L2_Typo</ability>
      <abilityName>字词错误</abilityName>
      <candidateList>
        <item>特别</item>
      </candidateList>
      <explain>❶〈形〉与众不同；不普通：～的式样｜他的脾气很～。❷〈副〉格外：火车跑得～快｜这个节目～吸引观众。❸〈副〉特地：散会的时候，厂长～把他留下来研究技术上的问题。❹〈副〉尤其：他喜欢郊游，～是骑自行车郊游。</explain>
      <paraID>27939527</paraID>
      <start>0</start>
      <end>2</end>
      <status>unmodified</status>
      <modifiedWord/>
      <trackRevisions>false</trackRevisions>
    </reviewItem>
    <reviewItem>
      <errorID>52ffcfe7-568e-4d59-b1ab-6dc8335a51f7</errorID>
      <errorWord>型</errorWord>
      <group>L1_Word</group>
      <groupName>字词问题</groupName>
      <ability>L2_Typo</ability>
      <abilityName>字词错误</abilityName>
      <candidateList>
        <item>形</item>
      </candidateList>
      <explain>存在发音相同字词的误用。</explain>
      <paraID>63CDAE97</paraID>
      <start>1</start>
      <end>2</end>
      <status>unmodified</status>
      <modifiedWord/>
      <trackRevisions>false</trackRevisions>
    </reviewItem>
    <reviewItem>
      <errorID>fff99289-41c9-4471-8591-f896c9fe092d</errorID>
      <errorWord>-</errorWord>
      <group>L1_Format</group>
      <groupName>格式问题</groupName>
      <ability>L2_HalfPunc</ability>
      <abilityName>全半角检查</abilityName>
      <candidateList>
        <item>－</item>
      </candidateList>
      <explain>文本全半角错误。</explain>
      <paraID>483181AA</paraID>
      <start>3</start>
      <end>4</end>
      <status>unmodified</status>
      <modifiedWord/>
      <trackRevisions>false</trackRevisions>
    </reviewItem>
    <reviewItem>
      <errorID>8607ab96-afe7-4166-9c64-a564702e7217</errorID>
      <errorWord>-</errorWord>
      <group>L1_Format</group>
      <groupName>格式问题</groupName>
      <ability>L2_HalfPunc</ability>
      <abilityName>全半角检查</abilityName>
      <candidateList>
        <item>－</item>
      </candidateList>
      <explain>文本全半角错误。</explain>
      <paraID>798CCAC2</paraID>
      <start>11</start>
      <end>12</end>
      <status>unmodified</status>
      <modifiedWord/>
      <trackRevisions>false</trackRevisions>
    </reviewItem>
    <reviewItem>
      <errorID>7bff1d74-c1dc-439d-a735-363df1c069fd</errorID>
      <errorWord>(</errorWord>
      <group>L1_Format</group>
      <groupName>格式问题</groupName>
      <ability>L2_HalfPunc</ability>
      <abilityName>全半角检查</abilityName>
      <candidateList>
        <item>（</item>
      </candidateList>
      <explain>文本全半角错误。</explain>
      <paraID>20730D07</paraID>
      <start>5</start>
      <end>6</end>
      <status>ignored</status>
      <modifiedWord/>
      <trackRevisions>false</trackRevisions>
    </reviewItem>
    <reviewItem>
      <errorID>4bce4c47-b193-42fb-8fbd-16f3449f1d2e</errorID>
      <errorWord>)</errorWord>
      <group>L1_Format</group>
      <groupName>格式问题</groupName>
      <ability>L2_HalfPunc</ability>
      <abilityName>全半角检查</abilityName>
      <candidateList>
        <item>）</item>
      </candidateList>
      <explain>文本全半角错误。</explain>
      <paraID>20730D07</paraID>
      <start>9</start>
      <end>10</end>
      <status>ignored</status>
      <modifiedWord/>
      <trackRevisions>false</trackRevisions>
    </reviewItem>
    <reviewItem>
      <errorID>c8911a14-ab16-45e4-91aa-f1473edef4e6</errorID>
      <errorWord>5.0%~7.0%</errorWord>
      <group>L1_Knowledge</group>
      <groupName>知识性问题</groupName>
      <ability>L2_Knowledge</ability>
      <abilityName>其他知识</abilityName>
      <candidateList>
        <item>5.0%～7.0%</item>
      </candidateList>
      <explain>1. “5.0%~7.0%”中的单位“%”仅出现在后一个数字上，容易引起歧义；根据《现代汉语标点符号数字用法规范手册》，数字表示范围两边需要使用统一的格式。2. 根据标点国标 4.13 中的规则，数字、时间或地域连接符应使用（视觉上更长的）“—”或“～”。</explain>
      <paraID>348AA0B0</paraID>
      <start>8</start>
      <end>17</end>
      <status>unmodified</status>
      <modifiedWord/>
      <trackRevisions>false</trackRevisions>
    </reviewItem>
    <reviewItem>
      <errorID>8446a0bc-76c8-4481-a8a4-9f8688c9a1e5</errorID>
      <errorWord>0.2%~0.5%</errorWord>
      <group>L1_Knowledge</group>
      <groupName>知识性问题</groupName>
      <ability>L2_Knowledge</ability>
      <abilityName>其他知识</abilityName>
      <candidateList>
        <item>0.2%～0.5%</item>
      </candidateList>
      <explain>1. “0.2%~0.5%”中的单位“%”仅出现在后一个数字上，容易引起歧义；根据《现代汉语标点符号数字用法规范手册》，数字表示范围两边需要使用统一的格式。2. 根据标点国标 4.13 中的规则，数字、时间或地域连接符应使用（视觉上更长的）“—”或“～”。</explain>
      <paraID>348AA0B0</paraID>
      <start>22</start>
      <end>31</end>
      <status>unmodified</status>
      <modifiedWord/>
      <trackRevisions>false</trackRevisions>
    </reviewItem>
    <reviewItem>
      <errorID>ea6c70f3-9c5f-40d6-afb1-8fa1b7d48858</errorID>
      <errorWord>包被</errorWord>
      <group>L1_Word</group>
      <groupName>字词问题</groupName>
      <ability>L2_Typo</ability>
      <abilityName>字词错误</abilityName>
      <candidateList>
        <item>包覆</item>
      </candidateList>
      <explain/>
      <paraID>348AA0B0</paraID>
      <start>33</start>
      <end>35</end>
      <status>unmodified</status>
      <modifiedWord/>
      <trackRevisions>false</trackRevisions>
    </reviewItem>
    <reviewItem>
      <errorID>cc46ae46-42fb-4bb6-9759-503ca5059b4e</errorID>
      <errorWord>0.4%~0.6%</errorWord>
      <group>L1_Knowledge</group>
      <groupName>知识性问题</groupName>
      <ability>L2_Knowledge</ability>
      <abilityName>其他知识</abilityName>
      <candidateList>
        <item>0.4%～0.6%</item>
      </candidateList>
      <explain>1. “0.4%~0.6%”中的单位“%”仅出现在后一个数字上，容易引起歧义；根据《现代汉语标点符号数字用法规范手册》，数字表示范围两边需要使用统一的格式。2. 根据标点国标 4.13 中的规则，数字、时间或地域连接符应使用（视觉上更长的）“—”或“～”。</explain>
      <paraID>348AA0B0</paraID>
      <start>37</start>
      <end>46</end>
      <status>unmodified</status>
      <modifiedWord/>
      <trackRevisions>false</trackRevisions>
    </reviewItem>
    <reviewItem>
      <errorID>baa9d0ea-3f85-4752-ae8b-f88c71cec82e</errorID>
      <errorWord>0.5%~1.0%</errorWord>
      <group>L1_Knowledge</group>
      <groupName>知识性问题</groupName>
      <ability>L2_Knowledge</ability>
      <abilityName>其他知识</abilityName>
      <candidateList>
        <item>0.5%～1.0%</item>
      </candidateList>
      <explain>1. “0.5%~1.0%”中的单位“%”仅出现在后一个数字上，容易引起歧义；根据《现代汉语标点符号数字用法规范手册》，数字表示范围两边需要使用统一的格式。2. 根据标点国标 4.13 中的规则，数字、时间或地域连接符应使用（视觉上更长的）“—”或“～”。</explain>
      <paraID>348AA0B0</paraID>
      <start>53</start>
      <end>62</end>
      <status>unmodified</status>
      <modifiedWord/>
      <trackRevisions>false</trackRevisions>
    </reviewItem>
    <reviewItem>
      <errorID>288e7b9b-8e3d-4fa5-b97c-4d320479dfbd</errorID>
      <errorWord>0.2%~0.5%</errorWord>
      <group>L1_Knowledge</group>
      <groupName>知识性问题</groupName>
      <ability>L2_Knowledge</ability>
      <abilityName>其他知识</abilityName>
      <candidateList>
        <item>0.2%～0.5%</item>
      </candidateList>
      <explain>1. “0.2%~0.5%”中的单位“%”仅出现在后一个数字上，容易引起歧义；根据《现代汉语标点符号数字用法规范手册》，数字表示范围两边需要使用统一的格式。2. 根据标点国标 4.13 中的规则，数字、时间或地域连接符应使用（视觉上更长的）“—”或“～”。</explain>
      <paraID>348AA0B0</paraID>
      <start>67</start>
      <end>76</end>
      <status>unmodified</status>
      <modifiedWord/>
      <trackRevisions>false</trackRevisions>
    </reviewItem>
    <reviewItem>
      <errorID>62003a29-9f08-4ee3-809d-5ed6864e62b9</errorID>
      <errorWord>0.2%~0.4%</errorWord>
      <group>L1_Knowledge</group>
      <groupName>知识性问题</groupName>
      <ability>L2_Knowledge</ability>
      <abilityName>其他知识</abilityName>
      <candidateList>
        <item>0.2%～0.4%</item>
      </candidateList>
      <explain>1. “0.2%~0.4%”中的单位“%”仅出现在后一个数字上，容易引起歧义；根据《现代汉语标点符号数字用法规范手册》，数字表示范围两边需要使用统一的格式。2. 根据标点国标 4.13 中的规则，数字、时间或地域连接符应使用（视觉上更长的）“—”或“～”。</explain>
      <paraID>348AA0B0</paraID>
      <start>82</start>
      <end>91</end>
      <status>unmodified</status>
      <modifiedWord/>
      <trackRevisions>false</trackRevisions>
    </reviewItem>
    <reviewItem>
      <errorID>c148857f-77fc-4d97-902c-90cf3d4b7e9c</errorID>
      <errorWord>3.0%~5.0%</errorWord>
      <group>L1_Knowledge</group>
      <groupName>知识性问题</groupName>
      <ability>L2_Knowledge</ability>
      <abilityName>其他知识</abilityName>
      <candidateList>
        <item>3.0%～5.0%</item>
      </candidateList>
      <explain>1. “3.0%~5.0%”中的单位“%”仅出现在后一个数字上，容易引起歧义；根据《现代汉语标点符号数字用法规范手册》，数字表示范围两边需要使用统一的格式。2.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18</start>
      <end>27</end>
      <status>unmodified</status>
      <modifiedWord/>
      <trackRevisions>false</trackRevisions>
    </reviewItem>
    <reviewItem>
      <errorID>cbc16a37-90de-4669-bee1-10c8d8bbd0cb</errorID>
      <errorWord>0.5%~1.0%</errorWord>
      <group>L1_Knowledge</group>
      <groupName>知识性问题</groupName>
      <ability>L2_Knowledge</ability>
      <abilityName>其他知识</abilityName>
      <candidateList>
        <item>0.5%～1.0%</item>
      </candidateList>
      <explain>1. “0.5%~1.0%”中的单位“%”仅出现在后一个数字上，容易引起歧义；根据《现代汉语标点符号数字用法规范手册》，数字表示范围两边需要使用统一的格式。2.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32</start>
      <end>41</end>
      <status>unmodified</status>
      <modifiedWord/>
      <trackRevisions>false</trackRevisions>
    </reviewItem>
    <reviewItem>
      <errorID>3030a960-73bf-4df3-a814-b8f875d297e2</errorID>
      <errorWord>0.2%~0.4%</errorWord>
      <group>L1_Knowledge</group>
      <groupName>知识性问题</groupName>
      <ability>L2_Knowledge</ability>
      <abilityName>其他知识</abilityName>
      <candidateList>
        <item>0.2%～0.4%</item>
      </candidateList>
      <explain>1. “0.2%~0.4%”中的单位“%”仅出现在后一个数字上，容易引起歧义；根据《现代汉语标点符号数字用法规范手册》，数字表示范围两边需要使用统一的格式。2.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48</start>
      <end>57</end>
      <status>unmodified</status>
      <modifiedWord/>
      <trackRevisions>false</trackRevisions>
    </reviewItem>
    <reviewItem>
      <errorID>2ac7c9b8-afaf-45a2-aeca-c898f0047bfb</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68</start>
      <end>77</end>
      <status>unmodified</status>
      <modifiedWord/>
      <trackRevisions>false</trackRevisions>
    </reviewItem>
    <reviewItem>
      <errorID>6acfe6ff-dec1-4c2f-b717-c3a1fc55b71c</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88</start>
      <end>97</end>
      <status>unmodified</status>
      <modifiedWord/>
      <trackRevisions>false</trackRevisions>
    </reviewItem>
    <reviewItem>
      <errorID>6625860d-7ea8-4992-a6a3-1520286f691e</errorID>
      <errorWord>0.2%~0.6%</errorWord>
      <group>L1_Knowledge</group>
      <groupName>知识性问题</groupName>
      <ability>L2_Knowledge</ability>
      <abilityName>其他知识</abilityName>
      <candidateList>
        <item>0.2%～0.6%</item>
      </candidateList>
      <explain>1. “0.2%~0.6%”中的单位“%”仅出现在后一个数字上，容易引起歧义；根据《现代汉语标点符号数字用法规范手册》，数字表示范围两边需要使用统一的格式。2.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104</start>
      <end>113</end>
      <status>unmodified</status>
      <modifiedWord/>
      <trackRevisions>false</trackRevisions>
    </reviewItem>
    <reviewItem>
      <errorID>bcf5080e-949e-491c-88fc-2de8c088b67a</errorID>
      <errorWord>0.2%~1.0%</errorWord>
      <group>L1_Knowledge</group>
      <groupName>知识性问题</groupName>
      <ability>L2_Knowledge</ability>
      <abilityName>其他知识</abilityName>
      <candidateList>
        <item>0.2%～1.0%</item>
      </candidateList>
      <explain>1. “0.2%~1.0%”中的单位“%”仅出现在后一个数字上，容易引起歧义；根据《现代汉语标点符号数字用法规范手册》，数字表示范围两边需要使用统一的格式。2.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121</start>
      <end>130</end>
      <status>unmodified</status>
      <modifiedWord/>
      <trackRevisions>false</trackRevisions>
    </reviewItem>
    <reviewItem>
      <errorID>91326a5d-7381-4265-a6f0-2a95de425f6c</errorID>
      <errorWord>1.0%~4.0%</errorWord>
      <group>L1_Knowledge</group>
      <groupName>知识性问题</groupName>
      <ability>L2_Knowledge</ability>
      <abilityName>其他知识</abilityName>
      <candidateList>
        <item>1.0%～4.0%</item>
      </candidateList>
      <explain>1. “1.0%~4.0%”中的单位“%”仅出现在后一个数字上，容易引起歧义；根据《现代汉语标点符号数字用法规范手册》，数字表示范围两边需要使用统一的格式。2.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137</start>
      <end>146</end>
      <status>unmodified</status>
      <modifiedWord/>
      <trackRevisions>false</trackRevisions>
    </reviewItem>
    <reviewItem>
      <errorID>643f1b21-bf9c-41df-8711-c45aed049dd5</errorID>
      <errorWord>1.0%~4.0%</errorWord>
      <group>L1_Knowledge</group>
      <groupName>知识性问题</groupName>
      <ability>L2_Knowledge</ability>
      <abilityName>其他知识</abilityName>
      <candidateList>
        <item>1.0%～4.0%</item>
      </candidateList>
      <explain>1. “1.0%~4.0%”中的单位“%”仅出现在后一个数字上，容易引起歧义；根据《现代汉语标点符号数字用法规范手册》，数字表示范围两边需要使用统一的格式。2.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153</start>
      <end>162</end>
      <status>unmodified</status>
      <modifiedWord/>
      <trackRevisions>false</trackRevisions>
    </reviewItem>
    <reviewItem>
      <errorID>ad73d005-ff97-4660-9ced-50ade90a2249</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170</start>
      <end>179</end>
      <status>unmodified</status>
      <modifiedWord/>
      <trackRevisions>false</trackRevisions>
    </reviewItem>
    <reviewItem>
      <errorID>27e36a1d-b2ef-498b-8af6-1153a7b58c7a</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185</start>
      <end>194</end>
      <status>unmodified</status>
      <modifiedWord/>
      <trackRevisions>false</trackRevisions>
    </reviewItem>
    <reviewItem>
      <errorID>c6b2e7ae-458b-497c-9105-ccee5cf6e114</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204</start>
      <end>213</end>
      <status>unmodified</status>
      <modifiedWord/>
      <trackRevisions>false</trackRevisions>
    </reviewItem>
    <reviewItem>
      <errorID>fca732f7-08ab-44df-b1b0-8c22f69288dc</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221</start>
      <end>230</end>
      <status>unmodified</status>
      <modifiedWord/>
      <trackRevisions>false</trackRevisions>
    </reviewItem>
    <reviewItem>
      <errorID>6fc126b8-9893-4bd7-974c-04a4be6aea93</errorID>
      <errorWord>4.0%~5.0%</errorWord>
      <group>L1_Knowledge</group>
      <groupName>知识性问题</groupName>
      <ability>L2_Knowledge</ability>
      <abilityName>其他知识</abilityName>
      <candidateList>
        <item>4.0%～5.0%</item>
      </candidateList>
      <explain>1. “4.0%~5.0%”中的单位“%”仅出现在后一个数字上，容易引起歧义；根据《现代汉语标点符号数字用法规范手册》，数字表示范围两边需要使用统一的格式。2. 根据标点国标 4.13 中的规则，数字、时间或地域连接符应使用（视觉上更长的）“—”或“～”。</explain>
      <paraID> 8991AE7</paraID>
      <start>8</start>
      <end>17</end>
      <status>unmodified</status>
      <modifiedWord/>
      <trackRevisions>false</trackRevisions>
    </reviewItem>
    <reviewItem>
      <errorID>2be4a20b-d320-4a74-a90e-55051d9ac8c6</errorID>
      <errorWord>0.2%~0.4%</errorWord>
      <group>L1_Knowledge</group>
      <groupName>知识性问题</groupName>
      <ability>L2_Knowledge</ability>
      <abilityName>其他知识</abilityName>
      <candidateList>
        <item>0.2%～0.4%</item>
      </candidateList>
      <explain>1. “0.2%~0.4%”中的单位“%”仅出现在后一个数字上，容易引起歧义；根据《现代汉语标点符号数字用法规范手册》，数字表示范围两边需要使用统一的格式。2. 根据标点国标 4.13 中的规则，数字、时间或地域连接符应使用（视觉上更长的）“—”或“～”。</explain>
      <paraID> 8991AE7</paraID>
      <start>22</start>
      <end>31</end>
      <status>unmodified</status>
      <modifiedWord/>
      <trackRevisions>false</trackRevisions>
    </reviewItem>
    <reviewItem>
      <errorID>d9094bcd-6384-48e4-87a7-1b0f55cf9d48</errorID>
      <errorWord>4.5%~5.5%</errorWord>
      <group>L1_Knowledge</group>
      <groupName>知识性问题</groupName>
      <ability>L2_Knowledge</ability>
      <abilityName>其他知识</abilityName>
      <candidateList>
        <item>4.5%～5.5%</item>
      </candidateList>
      <explain>1. “4.5%~5.5%”中的单位“%”仅出现在后一个数字上，容易引起歧义；根据《现代汉语标点符号数字用法规范手册》，数字表示范围两边需要使用统一的格式。2. 根据标点国标 4.13 中的规则，数字、时间或地域连接符应使用（视觉上更长的）“—”或“～”。</explain>
      <paraID>3DE979C8</paraID>
      <start>8</start>
      <end>17</end>
      <status>unmodified</status>
      <modifiedWord/>
      <trackRevisions>false</trackRevisions>
    </reviewItem>
    <reviewItem>
      <errorID>515b711c-4034-43d1-9515-baaee0b903c9</errorID>
      <errorWord>4.5%~5.0%</errorWord>
      <group>L1_Knowledge</group>
      <groupName>知识性问题</groupName>
      <ability>L2_Knowledge</ability>
      <abilityName>其他知识</abilityName>
      <candidateList>
        <item>4.5%～5.0%</item>
      </candidateList>
      <explain>1. “4.5%~5.0%”中的单位“%”仅出现在后一个数字上，容易引起歧义；根据《现代汉语标点符号数字用法规范手册》，数字表示范围两边需要使用统一的格式。2. 根据标点国标 4.13 中的规则，数字、时间或地域连接符应使用（视觉上更长的）“—”或“～”。</explain>
      <paraID>3DE979C8</paraID>
      <start>22</start>
      <end>31</end>
      <status>unmodified</status>
      <modifiedWord/>
      <trackRevisions>false</trackRevisions>
    </reviewItem>
    <reviewItem>
      <errorID>fb753793-f7c4-46d8-8bda-048edf01af88</errorID>
      <errorWord>0.04%~0.10%</errorWord>
      <group>L1_Knowledge</group>
      <groupName>知识性问题</groupName>
      <ability>L2_Knowledge</ability>
      <abilityName>其他知识</abilityName>
      <candidateList>
        <item>0.04%～0.10%</item>
      </candidateList>
      <explain>1. “0.04%~0.10%”中的单位“%”仅出现在后一个数字上，容易引起歧义；根据《现代汉语标点符号数字用法规范手册》，数字表示范围两边需要使用统一的格式。2. 根据标点国标 4.13 中的规则，数字、时间或地域连接符应使用（视觉上更长的）“—”或“～”。</explain>
      <paraID>3DE979C8</paraID>
      <start>37</start>
      <end>48</end>
      <status>unmodified</status>
      <modifiedWord/>
      <trackRevisions>false</trackRevisions>
    </reviewItem>
    <reviewItem>
      <errorID>b266708a-6a17-415f-b50d-b7a8dcac4bf8</errorID>
      <errorWord>0.3%~0.4%</errorWord>
      <group>L1_Knowledge</group>
      <groupName>知识性问题</groupName>
      <ability>L2_Knowledge</ability>
      <abilityName>其他知识</abilityName>
      <candidateList>
        <item>0.3%～0.4%</item>
      </candidateList>
      <explain>1. “0.3%~0.4%”中的单位“%”仅出现在后一个数字上，容易引起歧义；根据《现代汉语标点符号数字用法规范手册》，数字表示范围两边需要使用统一的格式。2. 根据标点国标 4.13 中的规则，数字、时间或地域连接符应使用（视觉上更长的）“—”或“～”。</explain>
      <paraID>3DE979C8</paraID>
      <start>57</start>
      <end>66</end>
      <status>unmodified</status>
      <modifiedWord/>
      <trackRevisions>false</trackRevisions>
    </reviewItem>
    <reviewItem>
      <errorID>4fd37e69-4f64-41c4-b9dd-9c1d573a46b7</errorID>
      <errorWord>0.3%~0.4%</errorWord>
      <group>L1_Knowledge</group>
      <groupName>知识性问题</groupName>
      <ability>L2_Knowledge</ability>
      <abilityName>其他知识</abilityName>
      <candidateList>
        <item>0.3%～0.4%</item>
      </candidateList>
      <explain>1. “0.3%~0.4%”中的单位“%”仅出现在后一个数字上，容易引起歧义；根据《现代汉语标点符号数字用法规范手册》，数字表示范围两边需要使用统一的格式。2. 根据标点国标 4.13 中的规则，数字、时间或地域连接符应使用（视觉上更长的）“—”或“～”。</explain>
      <paraID>3DE979C8</paraID>
      <start>73</start>
      <end>82</end>
      <status>unmodified</status>
      <modifiedWord/>
      <trackRevisions>false</trackRevisions>
    </reviewItem>
    <reviewItem>
      <errorID>100f498e-2cbc-4212-808f-c6b16efc5f77</errorID>
      <errorWord>0.7%~1.3%</errorWord>
      <group>L1_Knowledge</group>
      <groupName>知识性问题</groupName>
      <ability>L2_Knowledge</ability>
      <abilityName>其他知识</abilityName>
      <candidateList>
        <item>0.7%～1.3%</item>
      </candidateList>
      <explain>1. “0.7%~1.3%”中的单位“%”仅出现在后一个数字上，容易引起歧义；根据《现代汉语标点符号数字用法规范手册》，数字表示范围两边需要使用统一的格式。2. 根据标点国标 4.13 中的规则，数字、时间或地域连接符应使用（视觉上更长的）“—”或“～”。</explain>
      <paraID>3DE979C8</paraID>
      <start>95</start>
      <end>104</end>
      <status>unmodified</status>
      <modifiedWord/>
      <trackRevisions>false</trackRevisions>
    </reviewItem>
    <reviewItem>
      <errorID>1fa2cc8e-5a80-4224-89f6-a9b895069e37</errorID>
      <errorWord>0.8%~1.2%</errorWord>
      <group>L1_Knowledge</group>
      <groupName>知识性问题</groupName>
      <ability>L2_Knowledge</ability>
      <abilityName>其他知识</abilityName>
      <candidateList>
        <item>0.8%～1.2%</item>
      </candidateList>
      <explain>1. “0.8%~1.2%”中的单位“%”仅出现在后一个数字上，容易引起歧义；根据《现代汉语标点符号数字用法规范手册》，数字表示范围两边需要使用统一的格式。2. 根据标点国标 4.13 中的规则，数字、时间或地域连接符应使用（视觉上更长的）“—”或“～”。</explain>
      <paraID>3DE979C8</paraID>
      <start>111</start>
      <end>120</end>
      <status>unmodified</status>
      <modifiedWord/>
      <trackRevisions>false</trackRevisions>
    </reviewItem>
    <reviewItem>
      <errorID>73349d77-f991-42a1-82d1-5f4e4833b815</errorID>
      <errorWord>1.2%~1.5%</errorWord>
      <group>L1_Knowledge</group>
      <groupName>知识性问题</groupName>
      <ability>L2_Knowledge</ability>
      <abilityName>其他知识</abilityName>
      <candidateList>
        <item>1.2%～1.5%</item>
      </candidateList>
      <explain>1. “1.2%~1.5%”中的单位“%”仅出现在后一个数字上，容易引起歧义；根据《现代汉语标点符号数字用法规范手册》，数字表示范围两边需要使用统一的格式。2. 根据标点国标 4.13 中的规则，数字、时间或地域连接符应使用（视觉上更长的）“—”或“～”。</explain>
      <paraID>3DE979C8</paraID>
      <start>127</start>
      <end>136</end>
      <status>unmodified</status>
      <modifiedWord/>
      <trackRevisions>false</trackRevisions>
    </reviewItem>
    <reviewItem>
      <errorID>0d0c1e7d-3849-4714-bacf-359609083991</errorID>
      <errorWord>1.0%~1.5%</errorWord>
      <group>L1_Knowledge</group>
      <groupName>知识性问题</groupName>
      <ability>L2_Knowledge</ability>
      <abilityName>其他知识</abilityName>
      <candidateList>
        <item>1.0%～1.5%</item>
      </candidateList>
      <explain>1. “1.0%~1.5%”中的单位“%”仅出现在后一个数字上，容易引起歧义；根据《现代汉语标点符号数字用法规范手册》，数字表示范围两边需要使用统一的格式。2. 根据标点国标 4.13 中的规则，数字、时间或地域连接符应使用（视觉上更长的）“—”或“～”。</explain>
      <paraID>3DE979C8</paraID>
      <start>143</start>
      <end>152</end>
      <status>unmodified</status>
      <modifiedWord/>
      <trackRevisions>false</trackRevisions>
    </reviewItem>
    <reviewItem>
      <errorID>8bbb0ed8-cf0a-42ae-91d0-17f3c4daf85d</errorID>
      <errorWord>1.0%~1.2%</errorWord>
      <group>L1_Knowledge</group>
      <groupName>知识性问题</groupName>
      <ability>L2_Knowledge</ability>
      <abilityName>其他知识</abilityName>
      <candidateList>
        <item>1.0%～1.2%</item>
      </candidateList>
      <explain>1. “1.0%~1.2%”中的单位“%”仅出现在后一个数字上，容易引起歧义；根据《现代汉语标点符号数字用法规范手册》，数字表示范围两边需要使用统一的格式。2. 根据标点国标 4.13 中的规则，数字、时间或地域连接符应使用（视觉上更长的）“—”或“～”。</explain>
      <paraID>3DE979C8</paraID>
      <start>159</start>
      <end>168</end>
      <status>ignored</status>
      <modifiedWord/>
      <trackRevisions>false</trackRevisions>
    </reviewItem>
    <reviewItem>
      <errorID>be7728db-c420-4f1e-b9c7-061eb6ddd2e8</errorID>
      <errorWord>3.0%~5.0%</errorWord>
      <group>L1_Knowledge</group>
      <groupName>知识性问题</groupName>
      <ability>L2_Knowledge</ability>
      <abilityName>其他知识</abilityName>
      <candidateList>
        <item>3.0%～5.0%</item>
      </candidateList>
      <explain>1. “3.0%~5.0%”中的单位“%”仅出现在后一个数字上，容易引起歧义；根据《现代汉语标点符号数字用法规范手册》，数字表示范围两边需要使用统一的格式。2.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18</start>
      <end>27</end>
      <status>unmodified</status>
      <modifiedWord/>
      <trackRevisions>false</trackRevisions>
    </reviewItem>
    <reviewItem>
      <errorID>fcea7ba5-aee6-4b6b-a37f-57cd524c1f26</errorID>
      <errorWord>0.5%~1.0%</errorWord>
      <group>L1_Knowledge</group>
      <groupName>知识性问题</groupName>
      <ability>L2_Knowledge</ability>
      <abilityName>其他知识</abilityName>
      <candidateList>
        <item>0.5%～1.0%</item>
      </candidateList>
      <explain>1. “0.5%~1.0%”中的单位“%”仅出现在后一个数字上，容易引起歧义；根据《现代汉语标点符号数字用法规范手册》，数字表示范围两边需要使用统一的格式。2.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32</start>
      <end>41</end>
      <status>unmodified</status>
      <modifiedWord/>
      <trackRevisions>false</trackRevisions>
    </reviewItem>
    <reviewItem>
      <errorID>6a756bd0-6b7c-4637-88be-a201d47e270b</errorID>
      <errorWord>0.2%~0.4%</errorWord>
      <group>L1_Knowledge</group>
      <groupName>知识性问题</groupName>
      <ability>L2_Knowledge</ability>
      <abilityName>其他知识</abilityName>
      <candidateList>
        <item>0.2%～0.4%</item>
      </candidateList>
      <explain>1. “0.2%~0.4%”中的单位“%”仅出现在后一个数字上，容易引起歧义；根据《现代汉语标点符号数字用法规范手册》，数字表示范围两边需要使用统一的格式。2.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48</start>
      <end>57</end>
      <status>unmodified</status>
      <modifiedWord/>
      <trackRevisions>false</trackRevisions>
    </reviewItem>
    <reviewItem>
      <errorID>4917bdc6-c7e5-40a6-a71b-66d958d4bbec</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68</start>
      <end>77</end>
      <status>unmodified</status>
      <modifiedWord/>
      <trackRevisions>false</trackRevisions>
    </reviewItem>
    <reviewItem>
      <errorID>018237af-ba7b-4c13-95a4-72e38dbeaa07</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88</start>
      <end>97</end>
      <status>unmodified</status>
      <modifiedWord/>
      <trackRevisions>false</trackRevisions>
    </reviewItem>
    <reviewItem>
      <errorID>f28c2e2b-3254-4e40-8bef-9d3d488de87f</errorID>
      <errorWord>0.2%~0.6%</errorWord>
      <group>L1_Knowledge</group>
      <groupName>知识性问题</groupName>
      <ability>L2_Knowledge</ability>
      <abilityName>其他知识</abilityName>
      <candidateList>
        <item>0.2%～0.6%</item>
      </candidateList>
      <explain>1. “0.2%~0.6%”中的单位“%”仅出现在后一个数字上，容易引起歧义；根据《现代汉语标点符号数字用法规范手册》，数字表示范围两边需要使用统一的格式。2.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104</start>
      <end>113</end>
      <status>unmodified</status>
      <modifiedWord/>
      <trackRevisions>false</trackRevisions>
    </reviewItem>
    <reviewItem>
      <errorID>3bfcd16f-93ab-4ae3-945f-1bb5332763d1</errorID>
      <errorWord>0.2%~1.0%</errorWord>
      <group>L1_Knowledge</group>
      <groupName>知识性问题</groupName>
      <ability>L2_Knowledge</ability>
      <abilityName>其他知识</abilityName>
      <candidateList>
        <item>0.2%～1.0%</item>
      </candidateList>
      <explain>1. “0.2%~1.0%”中的单位“%”仅出现在后一个数字上，容易引起歧义；根据《现代汉语标点符号数字用法规范手册》，数字表示范围两边需要使用统一的格式。2.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121</start>
      <end>130</end>
      <status>unmodified</status>
      <modifiedWord/>
      <trackRevisions>false</trackRevisions>
    </reviewItem>
    <reviewItem>
      <errorID>471c59db-a930-4157-a955-1ddc962dd444</errorID>
      <errorWord>1.0%~4.0%</errorWord>
      <group>L1_Knowledge</group>
      <groupName>知识性问题</groupName>
      <ability>L2_Knowledge</ability>
      <abilityName>其他知识</abilityName>
      <candidateList>
        <item>1.0%～4.0%</item>
      </candidateList>
      <explain>1. “1.0%~4.0%”中的单位“%”仅出现在后一个数字上，容易引起歧义；根据《现代汉语标点符号数字用法规范手册》，数字表示范围两边需要使用统一的格式。2.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137</start>
      <end>146</end>
      <status>unmodified</status>
      <modifiedWord/>
      <trackRevisions>false</trackRevisions>
    </reviewItem>
    <reviewItem>
      <errorID>e34e9cc0-5709-4b97-90f6-d400361404cb</errorID>
      <errorWord>1.0%~4.0%</errorWord>
      <group>L1_Knowledge</group>
      <groupName>知识性问题</groupName>
      <ability>L2_Knowledge</ability>
      <abilityName>其他知识</abilityName>
      <candidateList>
        <item>1.0%～4.0%</item>
      </candidateList>
      <explain>1. “1.0%~4.0%”中的单位“%”仅出现在后一个数字上，容易引起歧义；根据《现代汉语标点符号数字用法规范手册》，数字表示范围两边需要使用统一的格式。2.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153</start>
      <end>162</end>
      <status>unmodified</status>
      <modifiedWord/>
      <trackRevisions>false</trackRevisions>
    </reviewItem>
    <reviewItem>
      <errorID>53c28f50-ce97-45ad-8c8d-5093c7fd5962</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170</start>
      <end>179</end>
      <status>unmodified</status>
      <modifiedWord/>
      <trackRevisions>false</trackRevisions>
    </reviewItem>
    <reviewItem>
      <errorID>76f2aeae-cad9-420d-a9f0-83746450c35d</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185</start>
      <end>194</end>
      <status>unmodified</status>
      <modifiedWord/>
      <trackRevisions>false</trackRevisions>
    </reviewItem>
    <reviewItem>
      <errorID>36e54a2d-bc41-4fb5-9429-adf0435ab93c</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204</start>
      <end>213</end>
      <status>unmodified</status>
      <modifiedWord/>
      <trackRevisions>false</trackRevisions>
    </reviewItem>
    <reviewItem>
      <errorID>48219d59-8af4-4765-8205-6406af349bc7</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221</start>
      <end>230</end>
      <status>unmodified</status>
      <modifiedWord/>
      <trackRevisions>false</trackRevisions>
    </reviewItem>
    <reviewItem>
      <errorID>66d15baa-d1fb-47a8-a552-ebc111948aea</errorID>
      <errorWord>（</errorWord>
      <group>L1_Format</group>
      <groupName>格式问题</groupName>
      <ability>L2_HalfPunc</ability>
      <abilityName>全半角检查</abilityName>
      <candidateList>
        <item>(</item>
      </candidateList>
      <explain>文本全半角错误。</explain>
      <paraID>2C6494DB</paraID>
      <start>3</start>
      <end>4</end>
      <status>unmodified</status>
      <modifiedWord/>
      <trackRevisions>false</trackRevisions>
    </reviewItem>
    <reviewItem>
      <errorID>e0b542a5-7916-4b26-9164-d1dbb88f945a</errorID>
      <errorWord>）</errorWord>
      <group>L1_Format</group>
      <groupName>格式问题</groupName>
      <ability>L2_HalfPunc</ability>
      <abilityName>全半角检查</abilityName>
      <candidateList>
        <item>)</item>
      </candidateList>
      <explain>文本全半角错误。</explain>
      <paraID>2C6494DB</paraID>
      <start>13</start>
      <end>14</end>
      <status>unmodified</status>
      <modifiedWord/>
      <trackRevisions>false</trackRevisions>
    </reviewItem>
    <reviewItem>
      <errorID>8d4fba9b-2639-4d21-a018-332e81c2416b</errorID>
      <errorWord>胺基</errorWord>
      <group>L1_Word</group>
      <groupName>字词问题</groupName>
      <ability>L2_Typo</ability>
      <abilityName>字词错误</abilityName>
      <candidateList>
        <item>氨基</item>
      </candidateList>
      <explain>存在发音相同字词的误用。</explain>
      <paraID>32FAA1CC</paraID>
      <start>0</start>
      <end>2</end>
      <status>unmodified</status>
      <modifiedWord/>
      <trackRevisions>false</trackRevisions>
    </reviewItem>
    <reviewItem>
      <errorID>6ff67afe-5c29-4dd1-abf4-cafe1dfee588</errorID>
      <errorWord>~</errorWord>
      <group>L1_Format</group>
      <groupName>格式问题</groupName>
      <ability>L2_HalfPunc</ability>
      <abilityName>全半角检查</abilityName>
      <candidateList>
        <item>～</item>
      </candidateList>
      <explain>文本全半角错误。</explain>
      <paraID>2B144D9A</paraID>
      <start>14</start>
      <end>15</end>
      <status>unmodified</status>
      <modifiedWord/>
      <trackRevisions>false</trackRevisions>
    </reviewItem>
    <reviewItem>
      <errorID>85e07751-08ce-458c-9db4-161b1a926ea0</errorID>
      <errorWord>（</errorWord>
      <group>L1_Format</group>
      <groupName>格式问题</groupName>
      <ability>L2_HalfPunc</ability>
      <abilityName>全半角检查</abilityName>
      <candidateList>
        <item>(</item>
      </candidateList>
      <explain>文本全半角错误。</explain>
      <paraID>4070D56A</paraID>
      <start>3</start>
      <end>4</end>
      <status>unmodified</status>
      <modifiedWord/>
      <trackRevisions>false</trackRevisions>
    </reviewItem>
    <reviewItem>
      <errorID>b8630aa9-299c-4803-99bb-7afe8072ca05</errorID>
      <errorWord>）</errorWord>
      <group>L1_Format</group>
      <groupName>格式问题</groupName>
      <ability>L2_HalfPunc</ability>
      <abilityName>全半角检查</abilityName>
      <candidateList>
        <item>)</item>
      </candidateList>
      <explain>文本全半角错误。</explain>
      <paraID>4070D56A</paraID>
      <start>13</start>
      <end>14</end>
      <status>unmodified</status>
      <modifiedWord/>
      <trackRevisions>false</trackRevisions>
    </reviewItem>
    <reviewItem>
      <errorID>4c7533a4-6a56-4e4a-80ba-d323ecac763c</errorID>
      <errorWord>胺基</errorWord>
      <group>L1_Word</group>
      <groupName>字词问题</groupName>
      <ability>L2_Typo</ability>
      <abilityName>字词错误</abilityName>
      <candidateList>
        <item>氨基</item>
      </candidateList>
      <explain>存在发音相同字词的误用。</explain>
      <paraID>54350B68</paraID>
      <start>0</start>
      <end>2</end>
      <status>unmodified</status>
      <modifiedWord/>
      <trackRevisions>false</trackRevisions>
    </reviewItem>
    <reviewItem>
      <errorID>69dc6b96-9fc0-4f40-8092-da4d2173e68f</errorID>
      <errorWord>~</errorWord>
      <group>L1_Format</group>
      <groupName>格式问题</groupName>
      <ability>L2_HalfPunc</ability>
      <abilityName>全半角检查</abilityName>
      <candidateList>
        <item>～</item>
      </candidateList>
      <explain>文本全半角错误。</explain>
      <paraID>5048C130</paraID>
      <start>14</start>
      <end>15</end>
      <status>unmodified</status>
      <modifiedWord/>
      <trackRevisions>false</trackRevisions>
    </reviewItem>
    <reviewItem>
      <errorID>d192c376-ce33-4bc7-a2ab-b555861e1daa</errorID>
      <errorWord>提供有</errorWord>
      <group>L1_Word</group>
      <groupName>字词问题</groupName>
      <ability>L2_Typo</ability>
      <abilityName>字词错误</abilityName>
      <candidateList>
        <item>提供</item>
      </candidateList>
      <explain/>
      <paraID>3F5789A9</paraID>
      <start>42</start>
      <end>45</end>
      <status>unmodified</status>
      <modifiedWord/>
      <trackRevisions>false</trackRevisions>
    </reviewItem>
    <reviewItem>
      <errorID>629b3db9-d5b8-4987-b0db-636a7ccf0d45</errorID>
      <errorWord>（</errorWord>
      <group>L1_Format</group>
      <groupName>格式问题</groupName>
      <ability>L2_HalfPunc</ability>
      <abilityName>全半角检查</abilityName>
      <candidateList>
        <item>(</item>
      </candidateList>
      <explain>文本全半角错误。</explain>
      <paraID>34EC009F</paraID>
      <start>3</start>
      <end>4</end>
      <status>unmodified</status>
      <modifiedWord/>
      <trackRevisions>false</trackRevisions>
    </reviewItem>
    <reviewItem>
      <errorID>491b1c8b-8f0e-446f-abbe-b7de521e4358</errorID>
      <errorWord>）</errorWord>
      <group>L1_Format</group>
      <groupName>格式问题</groupName>
      <ability>L2_HalfPunc</ability>
      <abilityName>全半角检查</abilityName>
      <candidateList>
        <item>)</item>
      </candidateList>
      <explain>文本全半角错误。</explain>
      <paraID>34EC009F</paraID>
      <start>12</start>
      <end>13</end>
      <status>unmodified</status>
      <modifiedWord/>
      <trackRevisions>false</trackRevisions>
    </reviewItem>
    <reviewItem>
      <errorID>fe81d5f9-a583-45c8-9c2f-0e6790f00f58</errorID>
      <errorWord>胺基</errorWord>
      <group>L1_Word</group>
      <groupName>字词问题</groupName>
      <ability>L2_Typo</ability>
      <abilityName>字词错误</abilityName>
      <candidateList>
        <item>氨基</item>
      </candidateList>
      <explain>存在发音相同字词的误用。</explain>
      <paraID>6CB7F21A</paraID>
      <start>0</start>
      <end>2</end>
      <status>unmodified</status>
      <modifiedWord/>
      <trackRevisions>false</trackRevisions>
    </reviewItem>
    <reviewItem>
      <errorID>0ef32230-42fa-4000-9833-1c01f4f7972c</errorID>
      <errorWord>~</errorWord>
      <group>L1_Format</group>
      <groupName>格式问题</groupName>
      <ability>L2_HalfPunc</ability>
      <abilityName>全半角检查</abilityName>
      <candidateList>
        <item>～</item>
      </candidateList>
      <explain>文本全半角错误。</explain>
      <paraID>5D870C3B</paraID>
      <start>14</start>
      <end>15</end>
      <status>unmodified</status>
      <modifiedWord/>
      <trackRevisions>false</trackRevisions>
    </reviewItem>
    <reviewItem>
      <errorID>f121b2a5-12b0-40fa-9866-fc11a302ed6c</errorID>
      <errorWord>提供有</errorWord>
      <group>L1_Word</group>
      <groupName>字词问题</groupName>
      <ability>L2_Typo</ability>
      <abilityName>字词错误</abilityName>
      <candidateList>
        <item>提供</item>
      </candidateList>
      <explain/>
      <paraID>1B630DC6</paraID>
      <start>42</start>
      <end>45</end>
      <status>unmodified</status>
      <modifiedWord/>
      <trackRevisions>false</trackRevisions>
    </reviewItem>
    <reviewItem>
      <errorID>0cc7641a-a74e-4e5c-af8b-3f5bc1141933</errorID>
      <errorWord>（</errorWord>
      <group>L1_Format</group>
      <groupName>格式问题</groupName>
      <ability>L2_HalfPunc</ability>
      <abilityName>全半角检查</abilityName>
      <candidateList>
        <item>(</item>
      </candidateList>
      <explain>文本全半角错误。</explain>
      <paraID>30925E3C</paraID>
      <start>3</start>
      <end>4</end>
      <status>unmodified</status>
      <modifiedWord/>
      <trackRevisions>false</trackRevisions>
    </reviewItem>
    <reviewItem>
      <errorID>3263d781-a3f0-4ed4-b5fc-db9ded634b3c</errorID>
      <errorWord>）</errorWord>
      <group>L1_Format</group>
      <groupName>格式问题</groupName>
      <ability>L2_HalfPunc</ability>
      <abilityName>全半角检查</abilityName>
      <candidateList>
        <item>)</item>
      </candidateList>
      <explain>文本全半角错误。</explain>
      <paraID>30925E3C</paraID>
      <start>13</start>
      <end>14</end>
      <status>unmodified</status>
      <modifiedWord/>
      <trackRevisions>false</trackRevisions>
    </reviewItem>
    <reviewItem>
      <errorID>5ac01ad6-147c-4a0c-a591-1a4efff4ad5f</errorID>
      <errorWord>胺基</errorWord>
      <group>L1_Word</group>
      <groupName>字词问题</groupName>
      <ability>L2_Typo</ability>
      <abilityName>字词错误</abilityName>
      <candidateList>
        <item>氨基</item>
      </candidateList>
      <explain>存在发音相同字词的误用。</explain>
      <paraID>12F53364</paraID>
      <start>0</start>
      <end>2</end>
      <status>unmodified</status>
      <modifiedWord/>
      <trackRevisions>false</trackRevisions>
    </reviewItem>
    <reviewItem>
      <errorID>3710c384-2e3e-48e1-83a0-24456cc0415a</errorID>
      <errorWord>~</errorWord>
      <group>L1_Format</group>
      <groupName>格式问题</groupName>
      <ability>L2_HalfPunc</ability>
      <abilityName>全半角检查</abilityName>
      <candidateList>
        <item>～</item>
      </candidateList>
      <explain>文本全半角错误。</explain>
      <paraID>4F49FE45</paraID>
      <start>14</start>
      <end>15</end>
      <status>unmodified</status>
      <modifiedWord/>
      <trackRevisions>false</trackRevisions>
    </reviewItem>
    <reviewItem>
      <errorID>2c9032a2-d93d-4c4a-ba5a-1170b2e88c33</errorID>
      <errorWord>提供有</errorWord>
      <group>L1_Word</group>
      <groupName>字词问题</groupName>
      <ability>L2_Typo</ability>
      <abilityName>字词错误</abilityName>
      <candidateList>
        <item>提供</item>
      </candidateList>
      <explain/>
      <paraID>24F91704</paraID>
      <start>42</start>
      <end>45</end>
      <status>unmodified</status>
      <modifiedWord/>
      <trackRevisions>false</trackRevisions>
    </reviewItem>
    <reviewItem>
      <errorID>6cc7ec94-f94c-4cde-9488-bfbb0cc3193d</errorID>
      <errorWord>（</errorWord>
      <group>L1_Format</group>
      <groupName>格式问题</groupName>
      <ability>L2_HalfPunc</ability>
      <abilityName>全半角检查</abilityName>
      <candidateList>
        <item>(</item>
      </candidateList>
      <explain>文本全半角错误。</explain>
      <paraID>7F5900C6</paraID>
      <start>3</start>
      <end>4</end>
      <status>unmodified</status>
      <modifiedWord/>
      <trackRevisions>false</trackRevisions>
    </reviewItem>
    <reviewItem>
      <errorID>c20b081a-ac73-4cfb-9bb4-519a33881863</errorID>
      <errorWord>）</errorWord>
      <group>L1_Format</group>
      <groupName>格式问题</groupName>
      <ability>L2_HalfPunc</ability>
      <abilityName>全半角检查</abilityName>
      <candidateList>
        <item>)</item>
      </candidateList>
      <explain>文本全半角错误。</explain>
      <paraID>7F5900C6</paraID>
      <start>13</start>
      <end>14</end>
      <status>unmodified</status>
      <modifiedWord/>
      <trackRevisions>false</trackRevisions>
    </reviewItem>
    <reviewItem>
      <errorID>8de82bf9-1dfd-4d90-9f27-eea9e243e035</errorID>
      <errorWord>胺基</errorWord>
      <group>L1_Word</group>
      <groupName>字词问题</groupName>
      <ability>L2_Typo</ability>
      <abilityName>字词错误</abilityName>
      <candidateList>
        <item>氨基</item>
      </candidateList>
      <explain>存在发音相同字词的误用。</explain>
      <paraID>41FECF85</paraID>
      <start>0</start>
      <end>2</end>
      <status>unmodified</status>
      <modifiedWord/>
      <trackRevisions>false</trackRevisions>
    </reviewItem>
    <reviewItem>
      <errorID>e5bfd14e-3277-4b7f-b6d3-4f23870f0af9</errorID>
      <errorWord>~</errorWord>
      <group>L1_Format</group>
      <groupName>格式问题</groupName>
      <ability>L2_HalfPunc</ability>
      <abilityName>全半角检查</abilityName>
      <candidateList>
        <item>～</item>
      </candidateList>
      <explain>文本全半角错误。</explain>
      <paraID>2F043EB8</paraID>
      <start>14</start>
      <end>15</end>
      <status>unmodified</status>
      <modifiedWord/>
      <trackRevisions>false</trackRevisions>
    </reviewItem>
    <reviewItem>
      <errorID>b3b8314a-c7c2-4d15-a489-61f5cb8c6216</errorID>
      <errorWord>提供有</errorWord>
      <group>L1_Word</group>
      <groupName>字词问题</groupName>
      <ability>L2_Typo</ability>
      <abilityName>字词错误</abilityName>
      <candidateList>
        <item>提供</item>
      </candidateList>
      <explain/>
      <paraID>29C4FBE0</paraID>
      <start>42</start>
      <end>45</end>
      <status>unmodified</status>
      <modifiedWord/>
      <trackRevisions>false</trackRevisions>
    </reviewItem>
    <reviewItem>
      <errorID>b51240df-db07-43b8-acfa-e1105ce65b55</errorID>
      <errorWord>具</errorWord>
      <group>L1_Word</group>
      <groupName>字词问题</groupName>
      <ability>L2_Typo</ability>
      <abilityName>字词错误</abilityName>
      <candidateList>
        <item>具有</item>
      </candidateList>
      <explain>〈动〉有（多用于抽象事物）：～信心｜～伟大的意义。</explain>
      <paraID>60B1B379</paraID>
      <start>46</start>
      <end>47</end>
      <status>unmodified</status>
      <modifiedWord/>
      <trackRevisions>false</trackRevisions>
    </reviewItem>
    <reviewItem>
      <errorID>a47ff9ef-ae7e-485e-b6b9-d3eaee0f853a</errorID>
      <errorWord>开成</errorWord>
      <group>L1_Word</group>
      <groupName>字词问题</groupName>
      <ability>L2_Typo</ability>
      <abilityName>字词错误</abilityName>
      <candidateList>
        <item>形成</item>
      </candidateList>
      <explain>〈动〉通过发展变化而成为具有某种特点的事物，或者出现某种情形或局面：销售网已经～｜～鲜明的对比｜～难以打破的僵局。</explain>
      <paraID>63EE79DA</paraID>
      <start>127</start>
      <end>129</end>
      <status>unmodified</status>
      <modifiedWord/>
      <trackRevisions>false</trackRevisions>
    </reviewItem>
    <reviewItem>
      <errorID>4aab8b8e-d9df-4da0-910a-e18535fd14e8</errorID>
      <errorWord>失剂</errorWord>
      <group>L1_Word</group>
      <groupName>字词问题</groupName>
      <ability>L2_Typo</ability>
      <abilityName>字词错误</abilityName>
      <candidateList>
        <item>试剂</item>
      </candidateList>
      <explain/>
      <paraID> B7D6311</paraID>
      <start>22</start>
      <end>24</end>
      <status>unmodified</status>
      <modifiedWord/>
      <trackRevisions>false</trackRevisions>
    </reviewItem>
    <reviewItem>
      <errorID>6a750b39-45d8-454a-a946-304514977925</errorID>
      <errorWord>II型</errorWord>
      <group>L1_Knowledge</group>
      <groupName>知识性问题</groupName>
      <ability>L2_Knowledge</ability>
      <abilityName>其他知识</abilityName>
      <candidateList>
        <item>Ⅱ型</item>
      </candidateList>
      <explain/>
      <paraID>6B441513</paraID>
      <start>6</start>
      <end>9</end>
      <status>unmodified</status>
      <modifiedWord/>
      <trackRevisions>false</trackRevisions>
    </reviewItem>
    <reviewItem>
      <errorID>55885222-af4c-4406-8a7b-c59a3ded378b</errorID>
      <errorWord>II型</errorWord>
      <group>L1_Knowledge</group>
      <groupName>知识性问题</groupName>
      <ability>L2_Knowledge</ability>
      <abilityName>其他知识</abilityName>
      <candidateList>
        <item>Ⅱ型</item>
      </candidateList>
      <explain/>
      <paraID>31B7E355</paraID>
      <start>6</start>
      <end>9</end>
      <status>unmodified</status>
      <modifiedWord/>
      <trackRevisions>false</trackRevisions>
    </reviewItem>
    <reviewItem>
      <errorID>195b8386-7a26-4674-b836-c5dd901083bc</errorID>
      <errorWord>（</errorWord>
      <group>L1_Format</group>
      <groupName>格式问题</groupName>
      <ability>L2_HalfPunc</ability>
      <abilityName>全半角检查</abilityName>
      <candidateList>
        <item>(</item>
      </candidateList>
      <explain>文本全半角错误。</explain>
      <paraID>27E5B653</paraID>
      <start>0</start>
      <end>1</end>
      <status>unmodified</status>
      <modifiedWord/>
      <trackRevisions>false</trackRevisions>
    </reviewItem>
    <reviewItem>
      <errorID>9a0dc1ff-0794-4e82-adeb-81f13ab048d7</errorID>
      <errorWord>）</errorWord>
      <group>L1_Format</group>
      <groupName>格式问题</groupName>
      <ability>L2_HalfPunc</ability>
      <abilityName>全半角检查</abilityName>
      <candidateList>
        <item>)</item>
      </candidateList>
      <explain>文本全半角错误。</explain>
      <paraID>27E5B653</paraID>
      <start>11</start>
      <end>12</end>
      <status>unmodified</status>
      <modifiedWord/>
      <trackRevisions>false</trackRevisions>
    </reviewItem>
    <reviewItem>
      <errorID>af4b8525-b4f3-4197-8f78-76ef495b6e26</errorID>
      <errorWord>(</errorWord>
      <group>L1_Format</group>
      <groupName>格式问题</groupName>
      <ability>L2_HalfPunc</ability>
      <abilityName>全半角检查</abilityName>
      <candidateList>
        <item>（</item>
      </candidateList>
      <explain>文本全半角错误。</explain>
      <paraID>6B15F5A8</paraID>
      <start>4</start>
      <end>5</end>
      <status>ignored</status>
      <modifiedWord/>
      <trackRevisions>false</trackRevisions>
    </reviewItem>
    <reviewItem>
      <errorID>94ab5b0a-499a-49e3-8923-6dffc7d3dc10</errorID>
      <errorWord>)</errorWord>
      <group>L1_Format</group>
      <groupName>格式问题</groupName>
      <ability>L2_HalfPunc</ability>
      <abilityName>全半角检查</abilityName>
      <candidateList>
        <item>）</item>
      </candidateList>
      <explain>文本全半角错误。</explain>
      <paraID>6B15F5A8</paraID>
      <start>15</start>
      <end>16</end>
      <status>ignored</status>
      <modifiedWord/>
      <trackRevisions>false</trackRevisions>
    </reviewItem>
    <reviewItem>
      <errorID>2ccd1d8f-8619-4d12-8ef5-d5f9b5e3cb8d</errorID>
      <errorWord>沙岩</errorWord>
      <group>L1_Word</group>
      <groupName>字词问题</groupName>
      <ability>L2_Typo</ability>
      <abilityName>字词错误</abilityName>
      <candidateList>
        <item>砂岩</item>
      </candidateList>
      <explain>存在发音相同字词的误用。</explain>
      <paraID> DCAE1E3</paraID>
      <start>113</start>
      <end>115</end>
      <status>unmodified</status>
      <modifiedWord/>
      <trackRevisions>false</trackRevisions>
    </reviewItem>
    <reviewItem>
      <errorID>eaf8e28b-2a85-49ab-b70d-64a13607369a</errorID>
      <errorWord>~</errorWord>
      <group>L1_Format</group>
      <groupName>格式问题</groupName>
      <ability>L2_HalfPunc</ability>
      <abilityName>全半角检查</abilityName>
      <candidateList>
        <item>～</item>
      </candidateList>
      <explain>文本全半角错误。</explain>
      <paraID>2D0DB2AC</paraID>
      <start>8</start>
      <end>9</end>
      <status>unmodified</status>
      <modifiedWord/>
      <trackRevisions>false</trackRevisions>
    </reviewItem>
    <reviewItem>
      <errorID>d711ee13-f7c1-43bb-b900-03a29c6126b4</errorID>
      <errorWord>~</errorWord>
      <group>L1_Format</group>
      <groupName>格式问题</groupName>
      <ability>L2_HalfPunc</ability>
      <abilityName>全半角检查</abilityName>
      <candidateList>
        <item>～</item>
      </candidateList>
      <explain>文本全半角错误。</explain>
      <paraID> E7E05A5</paraID>
      <start>8</start>
      <end>9</end>
      <status>unmodified</status>
      <modifiedWord/>
      <trackRevisions>false</trackRevisions>
    </reviewItem>
    <reviewItem>
      <errorID>2200cb21-75d9-4ae2-ab14-3d2c30a57538</errorID>
      <errorWord>检测工作</errorWord>
      <group>L1_Word</group>
      <groupName>字词问题</groupName>
      <ability>L2_Typo</ability>
      <abilityName>字词错误</abilityName>
      <candidateList>
        <item>监测工作</item>
      </candidateList>
      <explain/>
      <paraID> CB179E7</paraID>
      <start>32</start>
      <end>36</end>
      <status>unmodified</status>
      <modifiedWord/>
      <trackRevisions>false</trackRevisions>
    </reviewItem>
    <reviewItem>
      <errorID>ca3a022d-e799-4dc1-9d6e-74c2cb6faade</errorID>
      <errorWord>环空</errorWord>
      <group>L1_Word</group>
      <groupName>字词问题</groupName>
      <ability>L2_Typo</ability>
      <abilityName>字词错误</abilityName>
      <candidateList>
        <item>环孔</item>
      </candidateList>
      <explain>存在发音相同字词的误用。</explain>
      <paraID> 57C009F</paraID>
      <start>39</start>
      <end>41</end>
      <status>unmodified</status>
      <modifiedWord/>
      <trackRevisions>false</trackRevisions>
    </reviewItem>
    <reviewItem>
      <errorID>c15eb8d7-a228-4df7-bebf-ac724ce965e5</errorID>
      <errorWord>注入到</errorWord>
      <group>L1_Word</group>
      <groupName>字词问题</groupName>
      <ability>L2_Typo</ability>
      <abilityName>字词错误</abilityName>
      <candidateList>
        <item>注入</item>
      </candidateList>
      <explain/>
      <paraID> 57C009F</paraID>
      <start>162</start>
      <end>165</end>
      <status>unmodified</status>
      <modifiedWord/>
      <trackRevisions>false</trackRevisions>
    </reviewItem>
    <reviewItem>
      <errorID>b01c2cd3-d85b-4116-ad55-26f81218807f</errorID>
      <errorWord>~</errorWord>
      <group>L1_Format</group>
      <groupName>格式问题</groupName>
      <ability>L2_HalfPunc</ability>
      <abilityName>全半角检查</abilityName>
      <candidateList>
        <item>～</item>
      </candidateList>
      <explain>文本全半角错误。</explain>
      <paraID> 98003DE</paraID>
      <start>2</start>
      <end>3</end>
      <status>unmodified</status>
      <modifiedWord/>
      <trackRevisions>false</trackRevisions>
    </reviewItem>
    <reviewItem>
      <errorID>5b2e9f0f-6620-4aba-a9dd-1a5ba2aaf694</errorID>
      <errorWord>~</errorWord>
      <group>L1_Format</group>
      <groupName>格式问题</groupName>
      <ability>L2_HalfPunc</ability>
      <abilityName>全半角检查</abilityName>
      <candidateList>
        <item>～</item>
      </candidateList>
      <explain>文本全半角错误。</explain>
      <paraID>49AE54AE</paraID>
      <start>2</start>
      <end>3</end>
      <status>unmodified</status>
      <modifiedWord/>
      <trackRevisions>false</trackRevisions>
    </reviewItem>
    <reviewItem>
      <errorID>6464a77a-22f8-42f8-a884-7de9c8874d86</errorID>
      <errorWord>~</errorWord>
      <group>L1_Format</group>
      <groupName>格式问题</groupName>
      <ability>L2_HalfPunc</ability>
      <abilityName>全半角检查</abilityName>
      <candidateList>
        <item>～</item>
      </candidateList>
      <explain>文本全半角错误。</explain>
      <paraID>287918B9</paraID>
      <start>2</start>
      <end>3</end>
      <status>unmodified</status>
      <modifiedWord/>
      <trackRevisions>false</trackRevisions>
    </reviewItem>
    <reviewItem>
      <errorID>73c8995b-7569-4752-8673-b31c5689fd2b</errorID>
      <errorWord>~</errorWord>
      <group>L1_Format</group>
      <groupName>格式问题</groupName>
      <ability>L2_HalfPunc</ability>
      <abilityName>全半角检查</abilityName>
      <candidateList>
        <item>～</item>
      </candidateList>
      <explain>文本全半角错误。</explain>
      <paraID>6FA8A378</paraID>
      <start>2</start>
      <end>3</end>
      <status>unmodified</status>
      <modifiedWord/>
      <trackRevisions>false</trackRevisions>
    </reviewItem>
    <reviewItem>
      <errorID>8c385c25-632f-4e7f-ba63-49dd4f496425</errorID>
      <errorWord>~</errorWord>
      <group>L1_Format</group>
      <groupName>格式问题</groupName>
      <ability>L2_HalfPunc</ability>
      <abilityName>全半角检查</abilityName>
      <candidateList>
        <item>～</item>
      </candidateList>
      <explain>文本全半角错误。</explain>
      <paraID>44EB1265</paraID>
      <start>2</start>
      <end>3</end>
      <status>unmodified</status>
      <modifiedWord/>
      <trackRevisions>false</trackRevisions>
    </reviewItem>
    <reviewItem>
      <errorID>32c7ea02-c054-45a7-abdb-e30c8cc93987</errorID>
      <errorWord>~</errorWord>
      <group>L1_Format</group>
      <groupName>格式问题</groupName>
      <ability>L2_HalfPunc</ability>
      <abilityName>全半角检查</abilityName>
      <candidateList>
        <item>～</item>
      </candidateList>
      <explain>文本全半角错误。</explain>
      <paraID>640DDA75</paraID>
      <start>2</start>
      <end>3</end>
      <status>unmodified</status>
      <modifiedWord/>
      <trackRevisions>false</trackRevisions>
    </reviewItem>
    <reviewItem>
      <errorID>2af7a387-7c7a-4807-b8b0-de23c7b9c1ac</errorID>
      <errorWord>~</errorWord>
      <group>L1_Format</group>
      <groupName>格式问题</groupName>
      <ability>L2_HalfPunc</ability>
      <abilityName>全半角检查</abilityName>
      <candidateList>
        <item>～</item>
      </candidateList>
      <explain>文本全半角错误。</explain>
      <paraID>6BCB2768</paraID>
      <start>2</start>
      <end>3</end>
      <status>unmodified</status>
      <modifiedWord/>
      <trackRevisions>false</trackRevisions>
    </reviewItem>
    <reviewItem>
      <errorID>d173e8cd-6beb-4a4e-af43-4927a51822a2</errorID>
      <errorWord>~</errorWord>
      <group>L1_Format</group>
      <groupName>格式问题</groupName>
      <ability>L2_HalfPunc</ability>
      <abilityName>全半角检查</abilityName>
      <candidateList>
        <item>～</item>
      </candidateList>
      <explain>文本全半角错误。</explain>
      <paraID>427DD3E1</paraID>
      <start>2</start>
      <end>3</end>
      <status>unmodified</status>
      <modifiedWord/>
      <trackRevisions>false</trackRevisions>
    </reviewItem>
    <reviewItem>
      <errorID>439a3852-e3d5-4e0a-9adf-67116224a76c</errorID>
      <errorWord>~</errorWord>
      <group>L1_Format</group>
      <groupName>格式问题</groupName>
      <ability>L2_HalfPunc</ability>
      <abilityName>全半角检查</abilityName>
      <candidateList>
        <item>～</item>
      </candidateList>
      <explain>文本全半角错误。</explain>
      <paraID>73A8C086</paraID>
      <start>2</start>
      <end>3</end>
      <status>unmodified</status>
      <modifiedWord/>
      <trackRevisions>false</trackRevisions>
    </reviewItem>
    <reviewItem>
      <errorID>bc8e1168-16e0-4396-b5fc-3fb6b36f11ad</errorID>
      <errorWord>~</errorWord>
      <group>L1_Format</group>
      <groupName>格式问题</groupName>
      <ability>L2_HalfPunc</ability>
      <abilityName>全半角检查</abilityName>
      <candidateList>
        <item>～</item>
      </candidateList>
      <explain>文本全半角错误。</explain>
      <paraID>53AA8FAE</paraID>
      <start>2</start>
      <end>3</end>
      <status>unmodified</status>
      <modifiedWord/>
      <trackRevisions>false</trackRevisions>
    </reviewItem>
    <reviewItem>
      <errorID>6e494766-d6dd-46de-a0ec-83fa2f07f57f</errorID>
      <errorWord>~</errorWord>
      <group>L1_Format</group>
      <groupName>格式问题</groupName>
      <ability>L2_HalfPunc</ability>
      <abilityName>全半角检查</abilityName>
      <candidateList>
        <item>～</item>
      </candidateList>
      <explain>文本全半角错误。</explain>
      <paraID>6084CD26</paraID>
      <start>2</start>
      <end>3</end>
      <status>unmodified</status>
      <modifiedWord/>
      <trackRevisions>false</trackRevisions>
    </reviewItem>
    <reviewItem>
      <errorID>6720a25d-8e0a-4e56-b2d0-81b6d8c061d9</errorID>
      <errorWord>~</errorWord>
      <group>L1_Format</group>
      <groupName>格式问题</groupName>
      <ability>L2_HalfPunc</ability>
      <abilityName>全半角检查</abilityName>
      <candidateList>
        <item>～</item>
      </candidateList>
      <explain>文本全半角错误。</explain>
      <paraID>4E3738AD</paraID>
      <start>2</start>
      <end>3</end>
      <status>unmodified</status>
      <modifiedWord/>
      <trackRevisions>false</trackRevisions>
    </reviewItem>
    <reviewItem>
      <errorID>02d33dce-0020-43c8-9523-5ca360e013b2</errorID>
      <errorWord>~</errorWord>
      <group>L1_Format</group>
      <groupName>格式问题</groupName>
      <ability>L2_HalfPunc</ability>
      <abilityName>全半角检查</abilityName>
      <candidateList>
        <item>～</item>
      </candidateList>
      <explain>文本全半角错误。</explain>
      <paraID> 176B573</paraID>
      <start>2</start>
      <end>3</end>
      <status>unmodified</status>
      <modifiedWord/>
      <trackRevisions>false</trackRevisions>
    </reviewItem>
    <reviewItem>
      <errorID>1ba82e4e-d64a-4588-ae22-9b436324f23b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54E8C44D</paraID>
      <start>246</start>
      <end>247</end>
      <status>ignored</status>
      <modifiedWord/>
      <trackRevisions>false</trackRevisions>
    </reviewItem>
    <reviewItem>
      <errorID>0bef2e3c-e68b-4a84-8c90-4843018f98c8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54E8C44D</paraID>
      <start>265</start>
      <end>266</end>
      <status>ignored</status>
      <modifiedWord/>
      <trackRevisions>false</trackRevisions>
    </reviewItem>
    <reviewItem>
      <errorID>402041ce-7e96-49a1-b638-9e23bba99f02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54E8C44D</paraID>
      <start>282</start>
      <end>283</end>
      <status>ignored</status>
      <modifiedWord/>
      <trackRevisions>false</trackRevisions>
    </reviewItem>
    <reviewItem>
      <errorID>e84b448a-1b9f-4c09-ad91-c3cb857006a2</errorID>
      <errorWord>粘度</errorWord>
      <group>L1_Word</group>
      <groupName>字词问题</groupName>
      <ability>L2_Alias</ability>
      <abilityName>也作/曾用词</abilityName>
      <candidateList>
        <item>黏度</item>
      </candidateList>
      <explain>词汇[粘度]为不规范表述或旧称，其规范书面表述为[黏度]。</explain>
      <paraID> B03CE6D</paraID>
      <start>98</start>
      <end>100</end>
      <status>unmodified</status>
      <modifiedWord/>
      <trackRevisions>false</trackRevisions>
    </reviewItem>
    <reviewItem>
      <errorID>512fc107-cdbe-4b4a-9497-1052432df201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1193CE48</paraID>
      <start>109</start>
      <end>110</end>
      <status>ignored</status>
      <modifiedWord/>
      <trackRevisions>false</trackRevisions>
    </reviewItem>
    <reviewItem>
      <errorID>a2209195-d77c-4c98-aa8b-ba21e06d21d1</errorID>
      <errorWord>配置</errorWord>
      <group>L1_Word</group>
      <groupName>字词问题</groupName>
      <ability>L2_Typo</ability>
      <abilityName>字词错误</abilityName>
      <candidateList>
        <item>配制</item>
      </candidateList>
      <explain/>
      <paraID>17207D73</paraID>
      <start>77</start>
      <end>79</end>
      <status>unmodified</status>
      <modifiedWord/>
      <trackRevisions>false</trackRevisions>
    </reviewItem>
    <reviewItem>
      <errorID>31b4d1fd-3054-4c00-9181-9e2b2f4d372f</errorID>
      <errorWord>胍胶</errorWord>
      <group>L1_Word</group>
      <groupName>字词问题</groupName>
      <ability>L2_Typo</ability>
      <abilityName>字词错误</abilityName>
      <candidateList>
        <item>橡胶</item>
      </candidateList>
      <explain/>
      <paraID>4D66125B</paraID>
      <start>0</start>
      <end>2</end>
      <status>unmodified</status>
      <modifiedWord/>
      <trackRevisions>false</trackRevisions>
    </reviewItem>
    <reviewItem>
      <errorID>18465d26-e0b7-4ed8-905a-4a69e8a53298</errorID>
      <errorWord>亲合力</errorWord>
      <group>L1_Word</group>
      <groupName>字词问题</groupName>
      <ability>L2_Typo</ability>
      <abilityName>字词错误</abilityName>
      <candidateList>
        <item>亲和力</item>
      </candidateList>
      <explain>〈名〉❶两种或两种以上的物质结合成化合物时互相作用的力。❷比喻使人亲近、愿意接触的力量：她平易近人，很具～。</explain>
      <paraID>7BD2F104</paraID>
      <start>26</start>
      <end>29</end>
      <status>unmodified</status>
      <modifiedWord/>
      <trackRevisions>false</trackRevisions>
    </reviewItem>
    <reviewItem>
      <errorID>b4392620-d7dd-4fc4-8d55-986117855eff</errorID>
      <errorWord>粘稠</errorWord>
      <group>L1_Word</group>
      <groupName>字词问题</groupName>
      <ability>L2_Typo</ability>
      <abilityName>字词错误</abilityName>
      <candidateList>
        <item>黏稠</item>
      </candidateList>
      <explain>存在发音相同字词的误用。</explain>
      <paraID>7BD2F104</paraID>
      <start>107</start>
      <end>109</end>
      <status>unmodified</status>
      <modifiedWord/>
      <trackRevisions>false</trackRevisions>
    </reviewItem>
    <reviewItem>
      <errorID>06ea5d8a-06d7-4ae3-95a0-184eec53f055</errorID>
      <errorWord>粘度</errorWord>
      <group>L1_Word</group>
      <groupName>字词问题</groupName>
      <ability>L2_Alias</ability>
      <abilityName>也作/曾用词</abilityName>
      <candidateList>
        <item>黏度</item>
      </candidateList>
      <explain>词汇[粘度]为不规范表述或旧称，其规范书面表述为[黏度]。</explain>
      <paraID> CB3C9F2</paraID>
      <start>92</start>
      <end>94</end>
      <status>unmodified</status>
      <modifiedWord/>
      <trackRevisions>false</trackRevisions>
    </reviewItem>
    <reviewItem>
      <errorID>0e8b8567-2384-4004-84d6-d4591efa1b32</errorID>
      <errorWord>15%~50%</errorWord>
      <group>L1_Knowledge</group>
      <groupName>知识性问题</groupName>
      <ability>L2_Knowledge</ability>
      <abilityName>其他知识</abilityName>
      <candidateList>
        <item>15%～50%</item>
      </candidateList>
      <explain>1. “15%~50%”中的单位“%”仅出现在后一个数字上，容易引起歧义；根据《现代汉语标点符号数字用法规范手册》，数字表示范围两边需要使用统一的格式。2. 根据标点国标 4.13 中的规则，数字、时间或地域连接符应使用（视觉上更长的）“—”或“～”。</explain>
      <paraID>46870788</paraID>
      <start>27</start>
      <end>34</end>
      <status>unmodified</status>
      <modifiedWord/>
      <trackRevisions>false</trackRevisions>
    </reviewItem>
    <reviewItem>
      <errorID>ff1ea4cb-d62d-4520-909c-071cd3160471</errorID>
      <errorWord>１</errorWord>
      <group>L1_Format</group>
      <groupName>格式问题</groupName>
      <ability>L2_HalfPunc</ability>
      <abilityName>全半角检查</abilityName>
      <candidateList>
        <item>1</item>
      </candidateList>
      <explain>文本全半角错误。</explain>
      <paraID>42B6BE9D</paraID>
      <start>26</start>
      <end>27</end>
      <status>ignored</status>
      <modifiedWord/>
      <trackRevisions>false</trackRevisions>
    </reviewItem>
    <reviewItem>
      <errorID>9ccb8a9f-7560-481a-bf91-1dd0bbbdd56e</errorID>
      <errorWord>１</errorWord>
      <group>L1_Format</group>
      <groupName>格式问题</groupName>
      <ability>L2_HalfPunc</ability>
      <abilityName>全半角检查</abilityName>
      <candidateList>
        <item>1</item>
      </candidateList>
      <explain>文本全半角错误。</explain>
      <paraID>62777487</paraID>
      <start>24</start>
      <end>25</end>
      <status>ignored</status>
      <modifiedWord/>
      <trackRevisions>false</trackRevisions>
    </reviewItem>
    <reviewItem>
      <errorID>08403ab6-62e6-4e58-b5a2-12d02a127cfd</errorID>
      <errorWord>１</errorWord>
      <group>L1_Format</group>
      <groupName>格式问题</groupName>
      <ability>L2_HalfPunc</ability>
      <abilityName>全半角检查</abilityName>
      <candidateList>
        <item>1</item>
      </candidateList>
      <explain>文本全半角错误。</explain>
      <paraID> 7553A29</paraID>
      <start>32</start>
      <end>33</end>
      <status>ignored</status>
      <modifiedWord/>
      <trackRevisions>false</trackRevisions>
    </reviewItem>
    <reviewItem>
      <errorID>d1825709-1d67-43fd-a0da-95e866b770a4</errorID>
      <errorWord>钢开</errorWord>
      <group>L1_Word</group>
      <groupName>字词问题</groupName>
      <ability>L2_Typo</ability>
      <abilityName>字词错误</abilityName>
      <candidateList>
        <item>钢筋</item>
      </candidateList>
      <explain/>
      <paraID>6569FA00</paraID>
      <start>4</start>
      <end>6</end>
      <status>unmodified</status>
      <modifiedWord/>
      <trackRevisions>false</trackRevisions>
    </reviewItem>
    <reviewItem>
      <errorID>781b06d3-0dde-4598-897b-8aa4242fe821</errorID>
      <errorWord>（</errorWord>
      <group>L1_Format</group>
      <groupName>格式问题</groupName>
      <ability>L2_HalfPunc</ability>
      <abilityName>全半角检查</abilityName>
      <candidateList>
        <item>(</item>
      </candidateList>
      <explain>文本全半角错误。</explain>
      <paraID> E88F8DA</paraID>
      <start>0</start>
      <end>1</end>
      <status>unmodified</status>
      <modifiedWord/>
      <trackRevisions>false</trackRevisions>
    </reviewItem>
    <reviewItem>
      <errorID>634bfe04-766d-4c24-9300-415e07a24c6a</errorID>
      <errorWord>）</errorWord>
      <group>L1_Format</group>
      <groupName>格式问题</groupName>
      <ability>L2_HalfPunc</ability>
      <abilityName>全半角检查</abilityName>
      <candidateList>
        <item>)</item>
      </candidateList>
      <explain>文本全半角错误。</explain>
      <paraID> E88F8DA</paraID>
      <start>3</start>
      <end>4</end>
      <status>unmodified</status>
      <modifiedWord/>
      <trackRevisions>false</trackRevisions>
    </reviewItem>
    <reviewItem>
      <errorID>0d82c4b8-7561-4061-83a2-6820a750fc50</errorID>
      <errorWord>（</errorWord>
      <group>L1_Format</group>
      <groupName>格式问题</groupName>
      <ability>L2_HalfPunc</ability>
      <abilityName>全半角检查</abilityName>
      <candidateList>
        <item>(</item>
      </candidateList>
      <explain>文本全半角错误。</explain>
      <paraID>1314D38C</paraID>
      <start>0</start>
      <end>1</end>
      <status>unmodified</status>
      <modifiedWord/>
      <trackRevisions>false</trackRevisions>
    </reviewItem>
    <reviewItem>
      <errorID>4b348fb4-2024-427a-b845-f6558f336be7</errorID>
      <errorWord>）</errorWord>
      <group>L1_Format</group>
      <groupName>格式问题</groupName>
      <ability>L2_HalfPunc</ability>
      <abilityName>全半角检查</abilityName>
      <candidateList>
        <item>)</item>
      </candidateList>
      <explain>文本全半角错误。</explain>
      <paraID>1314D38C</paraID>
      <start>2</start>
      <end>3</end>
      <status>unmodified</status>
      <modifiedWord/>
      <trackRevisions>false</trackRevisions>
    </reviewItem>
    <reviewItem>
      <errorID>f7acb6a2-6478-4575-8454-39f6f1d96eee</errorID>
      <errorWord>（</errorWord>
      <group>L1_Format</group>
      <groupName>格式问题</groupName>
      <ability>L2_HalfPunc</ability>
      <abilityName>全半角检查</abilityName>
      <candidateList>
        <item>(</item>
      </candidateList>
      <explain>文本全半角错误。</explain>
      <paraID>21A0D856</paraID>
      <start>0</start>
      <end>1</end>
      <status>unmodified</status>
      <modifiedWord/>
      <trackRevisions>false</trackRevisions>
    </reviewItem>
    <reviewItem>
      <errorID>d6a51bf6-9cc0-4caa-9c67-a0323ab434fd</errorID>
      <errorWord>）</errorWord>
      <group>L1_Format</group>
      <groupName>格式问题</groupName>
      <ability>L2_HalfPunc</ability>
      <abilityName>全半角检查</abilityName>
      <candidateList>
        <item>)</item>
      </candidateList>
      <explain>文本全半角错误。</explain>
      <paraID>21A0D856</paraID>
      <start>2</start>
      <end>3</end>
      <status>unmodified</status>
      <modifiedWord/>
      <trackRevisions>false</trackRevisions>
    </reviewItem>
    <reviewItem>
      <errorID>47061dad-1f15-4b50-ab85-7e084647fc77</errorID>
      <errorWord>计</errorWord>
      <group>L1_Word</group>
      <groupName>字词问题</groupName>
      <ability>L2_Typo</ability>
      <abilityName>字词错误</abilityName>
      <candidateList>
        <item>计算</item>
      </candidateList>
      <explain/>
      <paraID>21B5728E</paraID>
      <start>154</start>
      <end>155</end>
      <status>unmodified</status>
      <modifiedWord/>
      <trackRevisions>false</trackRevisions>
    </reviewItem>
    <reviewItem>
      <errorID>caf52051-a552-48cc-a708-f3078a50484a</errorID>
      <errorWord>，则</errorWord>
      <group>L1_Word</group>
      <groupName>字词问题</groupName>
      <ability>L2_Typo</ability>
      <abilityName>字词错误</abilityName>
      <candidateList>
        <item>，</item>
      </candidateList>
      <explain/>
      <paraID> F2F5410</paraID>
      <start>20</start>
      <end>22</end>
      <status>unmodified</status>
      <modifiedWord/>
      <trackRevisions>false</trackRevisions>
    </reviewItem>
    <reviewItem>
      <errorID>b5d96513-4087-4da8-856a-16fcd6984665</errorID>
      <errorWord>升</errorWord>
      <group>L1_Word</group>
      <groupName>字词问题</groupName>
      <ability>L2_Typo</ability>
      <abilityName>字词错误</abilityName>
      <candidateList>
        <item>至</item>
      </candidateList>
      <explain>❶〈动〉到：～今｜自始～终｜～死不屈。❷至于：甚～。❸〈副〉极；最：为感谢～｜你要早来，～迟下星期内一定赶到。</explain>
      <paraID> CCD95BC</paraID>
      <start>113</start>
      <end>114</end>
      <status>unmodified</status>
      <modifiedWord/>
      <trackRevisions>false</trackRevisions>
    </reviewItem>
    <reviewItem>
      <errorID>af22bf44-1675-4063-8fe7-2095f8ae6ff5</errorID>
      <errorWord>(</errorWord>
      <group>L1_Format</group>
      <groupName>格式问题</groupName>
      <ability>L2_HalfPunc</ability>
      <abilityName>全半角检查</abilityName>
      <candidateList>
        <item>（</item>
      </candidateList>
      <explain>文本全半角错误。</explain>
      <paraID>75F6C3EA</paraID>
      <start>208</start>
      <end>209</end>
      <status>ignored</status>
      <modifiedWord/>
      <trackRevisions>false</trackRevisions>
    </reviewItem>
    <reviewItem>
      <errorID>fcb80eff-7070-4675-8a0b-128f7fd2041d</errorID>
      <errorWord>)</errorWord>
      <group>L1_Format</group>
      <groupName>格式问题</groupName>
      <ability>L2_HalfPunc</ability>
      <abilityName>全半角检查</abilityName>
      <candidateList>
        <item>）</item>
      </candidateList>
      <explain>文本全半角错误。</explain>
      <paraID>75F6C3EA</paraID>
      <start>222</start>
      <end>223</end>
      <status>ignored</status>
      <modifiedWord/>
      <trackRevisions>false</trackRevisions>
    </reviewItem>
    <reviewItem>
      <errorID>7e84d6bb-8521-4cff-8f96-844ac94f1c67</errorID>
      <errorWord>）</errorWord>
      <group>L1_Format</group>
      <groupName>格式问题</groupName>
      <ability>L2_HalfPunc</ability>
      <abilityName>全半角检查</abilityName>
      <candidateList>
        <item>)</item>
      </candidateList>
      <explain>文本全半角错误。</explain>
      <paraID>6553BB59</paraID>
      <start>1</start>
      <end>2</end>
      <status>unmodified</status>
      <modifiedWord/>
      <trackRevisions>false</trackRevisions>
    </reviewItem>
    <reviewItem>
      <errorID>53f25576-259f-429a-9140-3b6fe2930afc</errorID>
      <errorWord>）</errorWord>
      <group>L1_Format</group>
      <groupName>格式问题</groupName>
      <ability>L2_HalfPunc</ability>
      <abilityName>全半角检查</abilityName>
      <candidateList>
        <item>)</item>
      </candidateList>
      <explain>文本全半角错误。</explain>
      <paraID>3D989778</paraID>
      <start>1</start>
      <end>2</end>
      <status>unmodified</status>
      <modifiedWord/>
      <trackRevisions>false</trackRevisions>
    </reviewItem>
    <reviewItem>
      <errorID>61173b13-a655-4764-9679-aa3765356b11</errorID>
      <errorWord>）</errorWord>
      <group>L1_Format</group>
      <groupName>格式问题</groupName>
      <ability>L2_HalfPunc</ability>
      <abilityName>全半角检查</abilityName>
      <candidateList>
        <item>)</item>
      </candidateList>
      <explain>文本全半角错误。</explain>
      <paraID> E532BE7</paraID>
      <start>1</start>
      <end>2</end>
      <status>unmodified</status>
      <modifiedWord/>
      <trackRevisions>false</trackRevisions>
    </reviewItem>
    <reviewItem>
      <errorID>b188862b-4c5c-4b57-bc0a-1276cd8faf94</errorID>
      <errorWord>油</errorWord>
      <group>L1_Word</group>
      <groupName>字词问题</groupName>
      <ability>L2_Typo</ability>
      <abilityName>字词错误</abilityName>
      <candidateList>
        <item>由</item>
      </candidateList>
      <explain>❶缘由：因～｜事～｜理～。❷〈介〉由于▲：咎～自取｜～感冒引起了肺炎。❸经过：必～之路。❹〈介〉表示经由：～南门入场。❺〈动〉顺随；听从：事不～己｜～着性子。❻〈介〉归（某人去做）：准备工作～我负责｜队长～你担任。❼〈介〉表示凭借：～此可知｜人体是～各种细胞组成的。❽〈介〉表示起点：～表及里｜～北京出发。</explain>
      <paraID>4140C790</paraID>
      <start>0</start>
      <end>1</end>
      <status>unmodified</status>
      <modifiedWord/>
      <trackRevisions>false</trackRevisions>
    </reviewItem>
    <reviewItem>
      <errorID>8cdef91f-f3ad-408e-9e78-673370a6f5f3</errorID>
      <errorWord>,</errorWord>
      <group>L1_Format</group>
      <groupName>格式问题</groupName>
      <ability>L2_HalfPunc</ability>
      <abilityName>全半角检查</abilityName>
      <candidateList>
        <item>，</item>
      </candidateList>
      <explain>文本全半角错误。</explain>
      <paraID> 47F4599</paraID>
      <start>17</start>
      <end>18</end>
      <status>unmodified</status>
      <modifiedWord/>
      <trackRevisions>false</trackRevisions>
    </reviewItem>
    <reviewItem>
      <errorID>15711772-ea20-4820-8a05-900576efa08f</errorID>
      <errorWord>主</errorWord>
      <group>L1_Word</group>
      <groupName>字词问题</groupName>
      <ability>L2_Typo</ability>
      <abilityName>字词错误</abilityName>
      <candidateList>
        <item>主要</item>
      </candidateList>
      <explain>〈形〉属性词。有关事物中最重要的；起决定作用的：～原因｜～目的｜～人物。</explain>
      <paraID>774E14F3</paraID>
      <start>127</start>
      <end>128</end>
      <status>unmodified</status>
      <modifiedWord/>
      <trackRevisions>false</trackRevisions>
    </reviewItem>
    <reviewItem>
      <errorID>f2bfd5e9-3a66-4f0f-ad16-080163ae0432</errorID>
      <errorWord>铺垫</errorWord>
      <group>L1_Word</group>
      <groupName>字词问题</groupName>
      <ability>L2_Typo</ability>
      <abilityName>字词错误</abilityName>
      <candidateList>
        <item>铺设</item>
      </candidateList>
      <explain/>
      <paraID>774E14F3</paraID>
      <start>301</start>
      <end>303</end>
      <status>unmodified</status>
      <modifiedWord/>
      <trackRevisions>false</trackRevisions>
    </reviewItem>
    <reviewItem>
      <errorID>6792c0f3-2583-400e-b42c-9f2ab730ec87</errorID>
      <errorWord>座</errorWord>
      <group>L1_Knowledge</group>
      <groupName>知识性问题</groupName>
      <ability>L2_Knowledge</ability>
      <abilityName>其他知识</abilityName>
      <candidateList>
        <item>口</item>
      </candidateList>
      <explain/>
      <paraID>   B0FAF</paraID>
      <start>1</start>
      <end>2</end>
      <status>unmodified</status>
      <modifiedWord/>
      <trackRevisions>false</trackRevisions>
    </reviewItem>
    <reviewItem>
      <errorID>f452a5df-a077-4f33-a6a9-ae4d69c0ba79</errorID>
      <errorWord>[2016]14号</errorWord>
      <group>L1_Knowledge</group>
      <groupName>知识性问题</groupName>
      <ability>L2_Knowledge</ability>
      <abilityName>其他知识</abilityName>
      <candidateList>
        <item>〔2016〕14号</item>
      </candidateList>
      <explain>发文字号格式错误。</explain>
      <paraID>3916D27C</paraID>
      <start>87</start>
      <end>96</end>
      <status>unmodified</status>
      <modifiedWord/>
      <trackRevisions>false</trackRevisions>
    </reviewItem>
    <reviewItem>
      <errorID>ea428e5f-dc02-4f1c-8900-bbdfa19f44ce</errorID>
      <errorWord>施工占</errorWord>
      <group>L1_Word</group>
      <groupName>字词问题</groupName>
      <ability>L2_Typo</ability>
      <abilityName>字词错误</abilityName>
      <candidateList>
        <item>施工场</item>
      </candidateList>
      <explain/>
      <paraID>31084D2D</paraID>
      <start>27</start>
      <end>30</end>
      <status>unmodified</status>
      <modifiedWord/>
      <trackRevisions>false</trackRevisions>
    </reviewItem>
    <reviewItem>
      <errorID>c7460fd7-f376-4f3c-945d-a80c558a49f0</errorID>
      <errorWord>场</errorWord>
      <group>L1_Word</group>
      <groupName>字词问题</groupName>
      <ability>L2_Typo</ability>
      <abilityName>字词错误</abilityName>
      <candidateList>
        <item>场地</item>
      </candidateList>
      <explain/>
      <paraID>31084D2D</paraID>
      <start>51</start>
      <end>52</end>
      <status>unmodified</status>
      <modifiedWord/>
      <trackRevisions>false</trackRevisions>
    </reviewItem>
    <reviewItem>
      <errorID>ed609103-0bde-448e-adf4-7776666a40bf</errorID>
      <errorWord>易地</errorWord>
      <group>L1_Word</group>
      <groupName>字词问题</groupName>
      <ability>L2_Typo</ability>
      <abilityName>字词错误</abilityName>
      <candidateList>
        <item>异地</item>
      </candidateList>
      <explain/>
      <paraID>17907CFE</paraID>
      <start>156</start>
      <end>158</end>
      <status>unmodified</status>
      <modifiedWord/>
      <trackRevisions>false</trackRevisions>
    </reviewItem>
    <reviewItem>
      <errorID>4ab1d765-eea6-45b7-9bd4-81dd79bf3cb4</errorID>
      <errorWord>为先</errorWord>
      <group>L1_Word</group>
      <groupName>字词问题</groupName>
      <ability>L2_Typo</ability>
      <abilityName>字词错误</abilityName>
      <candidateList>
        <item>先</item>
      </candidateList>
      <explain>❶〈名〉时间或次序在前的（跟“后”相对）：～进｜～例｜事～｜领～｜争～恐后｜有言在～。❷〈副〉表示某一行为或事件发生在前：他比我～到｜我～说几句。❸〈副〉暂时：这件事情～放一放，以后再考虑。❹祖先；上代：～人。❺尊称死去的人：～父｜～烈｜～哲。❻〈口〉〈名〉先前：小王的技术比～强多了｜你～怎么不告诉我？❼（Xiān）〈名〉姓。</explain>
      <paraID>433B0027</paraID>
      <start>6</start>
      <end>8</end>
      <status>unmodified</status>
      <modifiedWord/>
      <trackRevisions>false</trackRevisions>
    </reviewItem>
    <reviewItem>
      <errorID>e1106dd8-964a-4b81-a3aa-4cdad6da802b</errorID>
      <errorWord>(</errorWord>
      <group>L1_Format</group>
      <groupName>格式问题</groupName>
      <ability>L2_HalfPunc</ability>
      <abilityName>全半角检查</abilityName>
      <candidateList>
        <item>（</item>
      </candidateList>
      <explain>文本全半角错误。</explain>
      <paraID>11B60FF5</paraID>
      <start>33</start>
      <end>34</end>
      <status>ignored</status>
      <modifiedWord/>
      <trackRevisions>false</trackRevisions>
    </reviewItem>
    <reviewItem>
      <errorID>c8e149e2-9849-49c4-a88e-cbe29b95c2da</errorID>
      <errorWord>)</errorWord>
      <group>L1_Format</group>
      <groupName>格式问题</groupName>
      <ability>L2_HalfPunc</ability>
      <abilityName>全半角检查</abilityName>
      <candidateList>
        <item>）</item>
      </candidateList>
      <explain>文本全半角错误。</explain>
      <paraID>11B60FF5</paraID>
      <start>46</start>
      <end>47</end>
      <status>ignored</status>
      <modifiedWord/>
      <trackRevisions>false</trackRevisions>
    </reviewItem>
    <reviewItem>
      <errorID>13e1ce1b-1736-4d38-8ef3-c9a8eff6211d</errorID>
      <errorWord>钢开</errorWord>
      <group>L1_Word</group>
      <groupName>字词问题</groupName>
      <ability>L2_Typo</ability>
      <abilityName>字词错误</abilityName>
      <candidateList>
        <item>钢筋</item>
      </candidateList>
      <explain/>
      <paraID>26FF6582</paraID>
      <start>9</start>
      <end>11</end>
      <status>unmodified</status>
      <modifiedWord/>
      <trackRevisions>false</trackRevisions>
    </reviewItem>
    <reviewItem>
      <errorID>9b572fec-891e-44cb-b385-65db394fa338</errorID>
      <errorWord>钢开</errorWord>
      <group>L1_Word</group>
      <groupName>字词问题</groupName>
      <ability>L2_Typo</ability>
      <abilityName>字词错误</abilityName>
      <candidateList>
        <item>钢筋</item>
      </candidateList>
      <explain/>
      <paraID>6916DD9F</paraID>
      <start>9</start>
      <end>11</end>
      <status>unmodified</status>
      <modifiedWord/>
      <trackRevisions>false</trackRevisions>
    </reviewItem>
    <reviewItem>
      <errorID>33aa805e-3ac0-4e70-b018-456e29fec4d3</errorID>
      <errorWord>托滚</errorWord>
      <group>L1_Word</group>
      <groupName>字词问题</groupName>
      <ability>L2_Typo</ability>
      <abilityName>字词错误</abilityName>
      <candidateList>
        <item>托管</item>
      </candidateList>
      <explain>存在发音相近字词的误用。</explain>
      <paraID>743F7DE3</paraID>
      <start>123</start>
      <end>125</end>
      <status>unmodified</status>
      <modifiedWord/>
      <trackRevisions>false</trackRevisions>
    </reviewItem>
    <reviewItem>
      <errorID>9f24d034-0462-4411-a322-444c80718b9e</errorID>
      <errorWord>成份</errorWord>
      <group>L1_Knowledge</group>
      <groupName>知识性问题</groupName>
      <ability>L2_Knowledge</ability>
      <abilityName>其他知识</abilityName>
      <candidateList>
        <item>成分</item>
      </candidateList>
      <explain>（成份）chénɡ•fèn〈名〉❶指构成事物的各种不同的物质或因素：化学～｜营养～｜减轻了心里不安的～。❷指个人早先的主要经历或职业：工人～｜他的个人～是学生。</explain>
      <paraID>7E748AB2</paraID>
      <start>307</start>
      <end>309</end>
      <status>unmodified</status>
      <modifiedWord/>
      <trackRevisions>false</trackRevisions>
    </reviewItem>
    <reviewItem>
      <errorID>17195707-2f8c-4b4b-9b1a-b17f594e1e70</errorID>
      <errorWord>程</errorWord>
      <group>L1_Word</group>
      <groupName>字词问题</groupName>
      <ability>L2_Typo</ability>
      <abilityName>字词错误</abilityName>
      <candidateList>
        <item>程中</item>
      </candidateList>
      <explain/>
      <paraID>145AAB00</paraID>
      <start>56</start>
      <end>57</end>
      <status>unmodified</status>
      <modifiedWord/>
      <trackRevisions>false</trackRevisions>
    </reviewItem>
    <reviewItem>
      <errorID>18da69ac-a642-406f-a466-7a47d8f8f833</errorID>
      <errorWord>(</errorWord>
      <group>L1_Format</group>
      <groupName>格式问题</groupName>
      <ability>L2_HalfPunc</ability>
      <abilityName>全半角检查</abilityName>
      <candidateList>
        <item>（</item>
      </candidateList>
      <explain>文本全半角错误。</explain>
      <paraID>1650F2A7</paraID>
      <start>36</start>
      <end>37</end>
      <status>ignored</status>
      <modifiedWord/>
      <trackRevisions>false</trackRevisions>
    </reviewItem>
    <reviewItem>
      <errorID>a7bac1fc-ead8-4e03-8d9a-673cf947b104</errorID>
      <errorWord>)</errorWord>
      <group>L1_Format</group>
      <groupName>格式问题</groupName>
      <ability>L2_HalfPunc</ability>
      <abilityName>全半角检查</abilityName>
      <candidateList>
        <item>）</item>
      </candidateList>
      <explain>文本全半角错误。</explain>
      <paraID>1650F2A7</paraID>
      <start>49</start>
      <end>50</end>
      <status>ignored</status>
      <modifiedWord/>
      <trackRevisions>false</trackRevisions>
    </reviewItem>
    <reviewItem>
      <errorID>d0696cc8-7b57-4cec-a56e-88b30caf208e</errorID>
      <errorWord>)</errorWord>
      <group>L1_Format</group>
      <groupName>格式问题</groupName>
      <ability>L2_HalfPunc</ability>
      <abilityName>全半角检查</abilityName>
      <candidateList>
        <item>）</item>
      </candidateList>
      <explain>文本全半角错误。</explain>
      <paraID>1650F2A7</paraID>
      <start>86</start>
      <end>87</end>
      <status>ignored</status>
      <modifiedWord/>
      <trackRevisions>false</trackRevisions>
    </reviewItem>
    <reviewItem>
      <errorID>afe24e05-3ef7-43af-9606-2f91d7f4f0d3</errorID>
      <errorWord>)</errorWord>
      <group>L1_Format</group>
      <groupName>格式问题</groupName>
      <ability>L2_HalfPunc</ability>
      <abilityName>全半角检查</abilityName>
      <candidateList>
        <item>）</item>
      </candidateList>
      <explain>文本全半角错误。</explain>
      <paraID>1650F2A7</paraID>
      <start>118</start>
      <end>119</end>
      <status>ignored</status>
      <modifiedWord/>
      <trackRevisions>false</trackRevisions>
    </reviewItem>
    <reviewItem>
      <errorID>70c4765a-0e61-4a24-a0fb-9e5326d433d1</errorID>
      <errorWord>座</errorWord>
      <group>L1_Knowledge</group>
      <groupName>知识性问题</groupName>
      <ability>L2_Knowledge</ability>
      <abilityName>其他知识</abilityName>
      <candidateList>
        <item>口</item>
      </candidateList>
      <explain/>
      <paraID> 31B35CD</paraID>
      <start>6</start>
      <end>7</end>
      <status>unmodified</status>
      <modifiedWord/>
      <trackRevisions>false</trackRevisions>
    </reviewItem>
    <reviewItem>
      <errorID>8279b21d-4ee3-42a1-a5b9-f10ee29440b6</errorID>
      <errorWord>项目项目</errorWord>
      <group>L1_Word</group>
      <groupName>字词问题</groupName>
      <ability>L2_Typo</ability>
      <abilityName>字词错误</abilityName>
      <candidateList>
        <item>项目</item>
      </candidateList>
      <explain>〈名〉事物分成的门类：服务～｜体育～｜建设～。</explain>
      <paraID>3D77E01F</paraID>
      <start>1</start>
      <end>5</end>
      <status>unmodified</status>
      <modifiedWord/>
      <trackRevisions>false</trackRevisions>
    </reviewItem>
    <reviewItem>
      <errorID>c217c928-8c18-46f5-bcfd-f966331b6904</errorID>
      <errorWord>~</errorWord>
      <group>L1_Format</group>
      <groupName>格式问题</groupName>
      <ability>L2_HalfPunc</ability>
      <abilityName>全半角检查</abilityName>
      <candidateList>
        <item>～</item>
      </candidateList>
      <explain>文本全半角错误。</explain>
      <paraID>3D77E01F</paraID>
      <start>19</start>
      <end>20</end>
      <status>unmodified</status>
      <modifiedWord/>
      <trackRevisions>false</trackRevisions>
    </reviewItem>
    <reviewItem>
      <errorID>47f57ffa-b9b5-449a-8f32-ad051f2a6426</errorID>
      <errorWord>。；</errorWord>
      <group>L1_Punc</group>
      <groupName>标点问题</groupName>
      <ability>L2_Punc</ability>
      <abilityName>标点符号检查</abilityName>
      <candidateList>
        <item>。</item>
      </candidateList>
      <explain/>
      <paraID> EA6EE45</paraID>
      <start>79</start>
      <end>81</end>
      <status>unmodified</status>
      <modifiedWord/>
      <trackRevisions>false</trackRevisions>
    </reviewItem>
    <reviewItem>
      <errorID>74a14d62-0b5a-45c3-9e11-c94682f3736f</errorID>
      <errorWord>~</errorWord>
      <group>L1_Format</group>
      <groupName>格式问题</groupName>
      <ability>L2_HalfPunc</ability>
      <abilityName>全半角检查</abilityName>
      <candidateList>
        <item>～</item>
      </candidateList>
      <explain>文本全半角错误。</explain>
      <paraID>5FFDC863</paraID>
      <start>12</start>
      <end>13</end>
      <status>unmodified</status>
      <modifiedWord/>
      <trackRevisions>false</trackRevisions>
    </reviewItem>
    <reviewItem>
      <errorID>045d3861-da6f-4ba8-a685-6e0d6e6ab324</errorID>
      <errorWord>做为</errorWord>
      <group>L1_Word</group>
      <groupName>字词问题</groupName>
      <ability>L2_Typo</ability>
      <abilityName>字词错误</abilityName>
      <candidateList>
        <item>作为</item>
      </candidateList>
      <explain>❶〈动〉当做：～罢论｜～无效｜我把游泳～锻炼身体的方法。❷〈介〉就人的某种身份或事物的某种性质来说：～一个学生，首先得把学习搞好｜～一部词典，必须有明确的编写宗旨。</explain>
      <paraID>182E2C26</paraID>
      <start>22</start>
      <end>24</end>
      <status>unmodified</status>
      <modifiedWord/>
      <trackRevisions>false</trackRevisions>
    </reviewItem>
    <reviewItem>
      <errorID>24d36a8a-3f84-405d-8ce4-c6ca9e056c61</errorID>
      <errorWord>新新</errorWord>
      <group>L1_Word</group>
      <groupName>字词问题</groupName>
      <ability>L2_Typo</ability>
      <abilityName>字词错误</abilityName>
      <candidateList>
        <item>新</item>
      </candidateList>
      <explain/>
      <paraID>418D4120</paraID>
      <start>6</start>
      <end>8</end>
      <status>unmodified</status>
      <modifiedWord/>
      <trackRevisions>false</trackRevisions>
    </reviewItem>
    <reviewItem>
      <errorID>7aeeb6e5-91bc-4749-a7d2-6df2c8a5d084</errorID>
      <errorWord>（</errorWord>
      <group>L1_Punc</group>
      <groupName>标点问题</groupName>
      <ability>L2_Punc</ability>
      <abilityName>标点符号检查</abilityName>
      <candidateList/>
      <explain/>
      <paraID>4524CBCE</paraID>
      <start>0</start>
      <end>1</end>
      <status>ignored</status>
      <modifiedWord/>
      <trackRevisions>false</trackRevisions>
    </reviewItem>
    <reviewItem>
      <errorID>e1ce6e9f-838f-472e-8eb2-48a6ded3b4a4</errorID>
      <errorWord>[2021]6号</errorWord>
      <group>L1_Knowledge</group>
      <groupName>知识性问题</groupName>
      <ability>L2_Knowledge</ability>
      <abilityName>其他知识</abilityName>
      <candidateList>
        <item>〔2021〕6号</item>
      </candidateList>
      <explain>发文字号格式错误。</explain>
      <paraID> E8049EF</paraID>
      <start>4</start>
      <end>12</end>
      <status>unmodified</status>
      <modifiedWord/>
      <trackRevisions>false</trackRevisions>
    </reviewItem>
    <reviewItem>
      <errorID>fc275891-fac3-4bdb-935f-313aecfb06c8</errorID>
      <errorWord>-</errorWord>
      <group>L1_Format</group>
      <groupName>格式问题</groupName>
      <ability>L2_HalfPunc</ability>
      <abilityName>全半角检查</abilityName>
      <candidateList>
        <item>－</item>
      </candidateList>
      <explain>文本全半角错误。</explain>
      <paraID>719BBE41</paraID>
      <start>28</start>
      <end>29</end>
      <status>unmodified</status>
      <modifiedWord/>
      <trackRevisions>false</trackRevisions>
    </reviewItem>
    <reviewItem>
      <errorID>d8bccb86-4734-45a5-99ca-b298692041e7</errorID>
      <errorWord>-</errorWord>
      <group>L1_Format</group>
      <groupName>格式问题</groupName>
      <ability>L2_HalfPunc</ability>
      <abilityName>全半角检查</abilityName>
      <candidateList>
        <item>－</item>
      </candidateList>
      <explain>文本全半角错误。</explain>
      <paraID> 8634454</paraID>
      <start>65</start>
      <end>66</end>
      <status>unmodified</status>
      <modifiedWord/>
      <trackRevisions>false</trackRevisions>
    </reviewItem>
    <reviewItem>
      <errorID>242218df-983d-4a79-9ae0-bdb5f24a42b2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8634454</paraID>
      <start>148</start>
      <end>149</end>
      <status>ignored</status>
      <modifiedWord/>
      <trackRevisions>false</trackRevisions>
    </reviewItem>
    <reviewItem>
      <errorID>59aa24d7-a891-4d56-a1aa-796ccb14a855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512196C9</paraID>
      <start>29</start>
      <end>30</end>
      <status>ignored</status>
      <modifiedWord/>
      <trackRevisions>false</trackRevisions>
    </reviewItem>
    <reviewItem>
      <errorID>875aa040-f5ee-46d2-a491-17333f387ecb</errorID>
      <errorWord>其它</errorWord>
      <group>L1_Word</group>
      <groupName>字词问题</groupName>
      <ability>L2_Alias</ability>
      <abilityName>也作/曾用词</abilityName>
      <candidateList>
        <item>其他</item>
      </candidateList>
      <explain>词汇[其它]为不规范表述或旧称，其规范书面表述为[其他]。</explain>
      <paraID>31CAE8AF</paraID>
      <start>79</start>
      <end>81</end>
      <status>unmodified</status>
      <modifiedWord/>
      <trackRevisions>false</trackRevisions>
    </reviewItem>
    <reviewItem>
      <errorID>89991267-6469-410c-9ca2-b57173f206e1</errorID>
      <errorWord>共为</errorWord>
      <group>L1_Word</group>
      <groupName>字词问题</groupName>
      <ability>L2_Typo</ability>
      <abilityName>字词错误</abilityName>
      <candidateList>
        <item>共</item>
      </candidateList>
      <explain/>
      <paraID>175A154F</paraID>
      <start>65</start>
      <end>67</end>
      <status>unmodified</status>
      <modifiedWord/>
      <trackRevisions>false</trackRevisions>
    </reviewItem>
    <reviewItem>
      <errorID>f4235101-c447-4d47-a5c0-60d1e44c1508</errorID>
      <errorWord>(</errorWord>
      <group>L1_Format</group>
      <groupName>格式问题</groupName>
      <ability>L2_HalfPunc</ability>
      <abilityName>全半角检查</abilityName>
      <candidateList>
        <item>（</item>
      </candidateList>
      <explain>文本全半角错误。</explain>
      <paraID>58DA57B0</paraID>
      <start>329</start>
      <end>330</end>
      <status>ignored</status>
      <modifiedWord/>
      <trackRevisions>false</trackRevisions>
    </reviewItem>
    <reviewItem>
      <errorID>cf740f34-c21b-43ea-a3d8-0dbdc51a17d6</errorID>
      <errorWord>)</errorWord>
      <group>L1_Format</group>
      <groupName>格式问题</groupName>
      <ability>L2_HalfPunc</ability>
      <abilityName>全半角检查</abilityName>
      <candidateList>
        <item>）</item>
      </candidateList>
      <explain>文本全半角错误。</explain>
      <paraID>58DA57B0</paraID>
      <start>332</start>
      <end>333</end>
      <status>ignored</status>
      <modifiedWord/>
      <trackRevisions>false</trackRevisions>
    </reviewItem>
    <reviewItem>
      <errorID>8d545a46-0d60-45aa-932f-5b135987098f</errorID>
      <errorWord>与</errorWord>
      <group>L1_Word</group>
      <groupName>字词问题</groupName>
      <ability>L2_Typo</ability>
      <abilityName>字词错误</abilityName>
      <candidateList>
        <item>于</item>
      </candidateList>
      <explain>（於）yú❶〈介〉a）在：她生～1949年｜来信已～日前收到｜黄河发源～青海。b）向：问道～盲｜告慰～知己｜求救～人。c）给：嫁祸～人｜献身～科学事业。d）对；对于：忠～祖国｜有益～人民｜形势～我们有利。e）自；从：青出～蓝｜出～自愿。f）表示比较：大～｜少～｜高～｜低～。g）表示被动：见笑～大方之家。</explain>
      <paraID>34B95279</paraID>
      <start>54</start>
      <end>55</end>
      <status>unmodified</status>
      <modifiedWord/>
      <trackRevisions>false</trackRevisions>
    </reviewItem>
    <reviewItem>
      <errorID>82d5c8c9-6eec-446d-9b50-7aea30acfcd5</errorID>
      <errorWord>(</errorWord>
      <group>L1_Format</group>
      <groupName>格式问题</groupName>
      <ability>L2_HalfPunc</ability>
      <abilityName>全半角检查</abilityName>
      <candidateList>
        <item>（</item>
      </candidateList>
      <explain>文本全半角错误。</explain>
      <paraID>79B237DD</paraID>
      <start>147</start>
      <end>148</end>
      <status>ignored</status>
      <modifiedWord/>
      <trackRevisions>false</trackRevisions>
    </reviewItem>
    <reviewItem>
      <errorID>a684a8ac-e03c-4670-841d-5011bf53d4b0</errorID>
      <errorWord>)</errorWord>
      <group>L1_Format</group>
      <groupName>格式问题</groupName>
      <ability>L2_HalfPunc</ability>
      <abilityName>全半角检查</abilityName>
      <candidateList>
        <item>）</item>
      </candidateList>
      <explain>文本全半角错误。</explain>
      <paraID>79B237DD</paraID>
      <start>161</start>
      <end>162</end>
      <status>ignored</status>
      <modifiedWord/>
      <trackRevisions>false</trackRevisions>
    </reviewItem>
    <reviewItem>
      <errorID>64e7a218-9d7b-4540-aff7-72ec47e93780</errorID>
      <errorWord>-</errorWord>
      <group>L1_Format</group>
      <groupName>格式问题</groupName>
      <ability>L2_HalfPunc</ability>
      <abilityName>全半角检查</abilityName>
      <candidateList>
        <item>－</item>
      </candidateList>
      <explain>文本全半角错误。</explain>
      <paraID>64E18C09</paraID>
      <start>14</start>
      <end>15</end>
      <status>unmodified</status>
      <modifiedWord/>
      <trackRevisions>false</trackRevisions>
    </reviewItem>
    <reviewItem>
      <errorID>b6a62ee9-ef82-41b5-abce-d3c02b496728</errorID>
      <errorWord>-</errorWord>
      <group>L1_Format</group>
      <groupName>格式问题</groupName>
      <ability>L2_HalfPunc</ability>
      <abilityName>全半角检查</abilityName>
      <candidateList>
        <item>－</item>
      </candidateList>
      <explain>文本全半角错误。</explain>
      <paraID>64E18C09</paraID>
      <start>19</start>
      <end>20</end>
      <status>unmodified</status>
      <modifiedWord/>
      <trackRevisions>false</trackRevisions>
    </reviewItem>
    <reviewItem>
      <errorID>56865d88-8f9d-4758-bdb0-2a987621dae5</errorID>
      <errorWord>(</errorWord>
      <group>L1_Format</group>
      <groupName>格式问题</groupName>
      <ability>L2_HalfPunc</ability>
      <abilityName>全半角检查</abilityName>
      <candidateList>
        <item>（</item>
      </candidateList>
      <explain>文本全半角错误。</explain>
      <paraID>  2E2BC4</paraID>
      <start>187</start>
      <end>188</end>
      <status>ignored</status>
      <modifiedWord/>
      <trackRevisions>false</trackRevisions>
    </reviewItem>
    <reviewItem>
      <errorID>bb6880e2-99c3-47a5-aacc-3025c5ebd5b7</errorID>
      <errorWord>)</errorWord>
      <group>L1_Format</group>
      <groupName>格式问题</groupName>
      <ability>L2_HalfPunc</ability>
      <abilityName>全半角检查</abilityName>
      <candidateList>
        <item>）</item>
      </candidateList>
      <explain>文本全半角错误。</explain>
      <paraID>  2E2BC4</paraID>
      <start>202</start>
      <end>203</end>
      <status>ignored</status>
      <modifiedWord/>
      <trackRevisions>false</trackRevisions>
    </reviewItem>
    <reviewItem>
      <errorID>cfbabcb6-d159-4cab-80fe-9f114120bbf0</errorID>
      <errorWord>钻进</errorWord>
      <group>L1_Word</group>
      <groupName>字词问题</groupName>
      <ability>L2_Typo</ability>
      <abilityName>字词错误</abilityName>
      <candidateList>
        <item>钻井</item>
      </candidateList>
      <explain>存在发音相近字词的误用。</explain>
      <paraID>3495FC0F</paraID>
      <start>16</start>
      <end>18</end>
      <status>unmodified</status>
      <modifiedWord/>
      <trackRevisions>false</trackRevisions>
    </reviewItem>
    <reviewItem>
      <errorID>4d2a51c4-3b27-4c75-b30e-09a6ab2a3c93</errorID>
      <errorWord>后并</errorWord>
      <group>L1_Word</group>
      <groupName>字词问题</groupName>
      <ability>L2_Typo</ability>
      <abilityName>字词错误</abilityName>
      <candidateList>
        <item>后</item>
      </candidateList>
      <explain>❶君主的妻子：皇～｜～妃。❷古代称君主：商之先～。❸（Hòu）〈名〉姓。</explain>
      <paraID>368EB441</paraID>
      <start>39</start>
      <end>41</end>
      <status>unmodified</status>
      <modifiedWord/>
      <trackRevisions>false</trackRevisions>
    </reviewItem>
    <reviewItem>
      <errorID>364e3892-1e6c-4cb4-8686-7a75ae9d48c2</errorID>
      <errorWord>检测工作</errorWord>
      <group>L1_Word</group>
      <groupName>字词问题</groupName>
      <ability>L2_Typo</ability>
      <abilityName>字词错误</abilityName>
      <candidateList>
        <item>监测工作</item>
      </candidateList>
      <explain/>
      <paraID>58A4967B</paraID>
      <start>33</start>
      <end>37</end>
      <status>unmodified</status>
      <modifiedWord/>
      <trackRevisions>false</trackRevisions>
    </reviewItem>
    <reviewItem>
      <errorID>94be4de8-8264-4b63-aefe-1d116485e2fe</errorID>
      <errorWord>环空</errorWord>
      <group>L1_Word</group>
      <groupName>字词问题</groupName>
      <ability>L2_Typo</ability>
      <abilityName>字词错误</abilityName>
      <candidateList>
        <item>环孔</item>
      </candidateList>
      <explain>存在发音相同字词的误用。</explain>
      <paraID>54344DF2</paraID>
      <start>40</start>
      <end>42</end>
      <status>unmodified</status>
      <modifiedWord/>
      <trackRevisions>false</trackRevisions>
    </reviewItem>
    <reviewItem>
      <errorID>9bac07b8-d4b2-4b5e-8400-c904ebf1ee89</errorID>
      <errorWord>注入到</errorWord>
      <group>L1_Word</group>
      <groupName>字词问题</groupName>
      <ability>L2_Typo</ability>
      <abilityName>字词错误</abilityName>
      <candidateList>
        <item>注入</item>
      </candidateList>
      <explain/>
      <paraID>54344DF2</paraID>
      <start>166</start>
      <end>169</end>
      <status>unmodified</status>
      <modifiedWord/>
      <trackRevisions>false</trackRevisions>
    </reviewItem>
    <reviewItem>
      <errorID>11a08720-3ff5-4ee3-ba44-f9016a79ca1c</errorID>
      <errorWord>座</errorWord>
      <group>L1_Knowledge</group>
      <groupName>知识性问题</groupName>
      <ability>L2_Knowledge</ability>
      <abilityName>其他知识</abilityName>
      <candidateList>
        <item>口</item>
      </candidateList>
      <explain/>
      <paraID>54474985</paraID>
      <start>6</start>
      <end>7</end>
      <status>unmodified</status>
      <modifiedWord/>
      <trackRevisions>false</trackRevisions>
    </reviewItem>
    <reviewItem>
      <errorID>792ac658-8a0d-4289-acfd-26e6f2596b51</errorID>
      <errorWord>作好</errorWord>
      <group>L1_Word</group>
      <groupName>字词问题</groupName>
      <ability>L2_Typo</ability>
      <abilityName>字词错误</abilityName>
      <candidateList>
        <item>做好</item>
      </candidateList>
      <explain/>
      <paraID>7323D9CF</paraID>
      <start>145</start>
      <end>147</end>
      <status>unmodified</status>
      <modifiedWord/>
      <trackRevisions>false</trackRevisions>
    </reviewItem>
    <reviewItem>
      <errorID>f340568e-3de7-421a-9990-f0df287175d1</errorID>
      <errorWord>钢开</errorWord>
      <group>L1_Word</group>
      <groupName>字词问题</groupName>
      <ability>L2_Typo</ability>
      <abilityName>字词错误</abilityName>
      <candidateList>
        <item>钢筋</item>
      </candidateList>
      <explain/>
      <paraID>1987EF15</paraID>
      <start>1</start>
      <end>3</end>
      <status>unmodified</status>
      <modifiedWord/>
      <trackRevisions>false</trackRevisions>
    </reviewItem>
    <reviewItem>
      <errorID>a84335c4-50ff-4e85-8408-281039276071</errorID>
      <errorWord>钢开</errorWord>
      <group>L1_Word</group>
      <groupName>字词问题</groupName>
      <ability>L2_Typo</ability>
      <abilityName>字词错误</abilityName>
      <candidateList>
        <item>钢筋</item>
      </candidateList>
      <explain/>
      <paraID>6CBAA47F</paraID>
      <start>9</start>
      <end>11</end>
      <status>unmodified</status>
      <modifiedWord/>
      <trackRevisions>false</trackRevisions>
    </reviewItem>
    <reviewItem>
      <errorID>d78a0fa3-99b0-4721-b198-b527d342901c</errorID>
      <errorWord>托滚</errorWord>
      <group>L1_Word</group>
      <groupName>字词问题</groupName>
      <ability>L2_Typo</ability>
      <abilityName>字词错误</abilityName>
      <candidateList>
        <item>托管</item>
      </candidateList>
      <explain>存在发音相近字词的误用。</explain>
      <paraID> C11D3D7</paraID>
      <start>149</start>
      <end>151</end>
      <status>unmodified</status>
      <modifiedWord/>
      <trackRevisions>false</trackRevisions>
    </reviewItem>
    <reviewItem>
      <errorID>dd5b74d7-18b0-460e-80d7-f0a103e33569</errorID>
      <errorWord>成份</errorWord>
      <group>L1_Knowledge</group>
      <groupName>知识性问题</groupName>
      <ability>L2_Knowledge</ability>
      <abilityName>其他知识</abilityName>
      <candidateList>
        <item>成分</item>
      </candidateList>
      <explain>（成份）chénɡ•fèn〈名〉❶指构成事物的各种不同的物质或因素：化学～｜营养～｜减轻了心里不安的～。❷指个人早先的主要经历或职业：工人～｜他的个人～是学生。</explain>
      <paraID>7EDE7D36</paraID>
      <start>307</start>
      <end>309</end>
      <status>unmodified</status>
      <modifiedWord/>
      <trackRevisions>false</trackRevisions>
    </reviewItem>
    <reviewItem>
      <errorID>08349f76-dea7-4f7b-9582-6f75891e995c</errorID>
      <errorWord>程</errorWord>
      <group>L1_Word</group>
      <groupName>字词问题</groupName>
      <ability>L2_Typo</ability>
      <abilityName>字词错误</abilityName>
      <candidateList>
        <item>程中</item>
      </candidateList>
      <explain/>
      <paraID>62E11AF8</paraID>
      <start>56</start>
      <end>57</end>
      <status>unmodified</status>
      <modifiedWord/>
      <trackRevisions>false</trackRevisions>
    </reviewItem>
    <reviewItem>
      <errorID>cb8ac389-846d-4ffe-83ba-990997b2128b</errorID>
      <errorWord>(</errorWord>
      <group>L1_Format</group>
      <groupName>格式问题</groupName>
      <ability>L2_HalfPunc</ability>
      <abilityName>全半角检查</abilityName>
      <candidateList>
        <item>（</item>
      </candidateList>
      <explain>文本全半角错误。</explain>
      <paraID> 7DC8FA1</paraID>
      <start>36</start>
      <end>37</end>
      <status>ignored</status>
      <modifiedWord/>
      <trackRevisions>false</trackRevisions>
    </reviewItem>
    <reviewItem>
      <errorID>d350b496-b798-4679-80c6-5aaa2ad3d356</errorID>
      <errorWord>)</errorWord>
      <group>L1_Format</group>
      <groupName>格式问题</groupName>
      <ability>L2_HalfPunc</ability>
      <abilityName>全半角检查</abilityName>
      <candidateList>
        <item>）</item>
      </candidateList>
      <explain>文本全半角错误。</explain>
      <paraID> 7DC8FA1</paraID>
      <start>49</start>
      <end>50</end>
      <status>ignored</status>
      <modifiedWord/>
      <trackRevisions>false</trackRevisions>
    </reviewItem>
    <reviewItem>
      <errorID>2d04b7c4-80ed-4889-ac95-a345af3a870c</errorID>
      <errorWord>)</errorWord>
      <group>L1_Format</group>
      <groupName>格式问题</groupName>
      <ability>L2_HalfPunc</ability>
      <abilityName>全半角检查</abilityName>
      <candidateList>
        <item>）</item>
      </candidateList>
      <explain>文本全半角错误。</explain>
      <paraID> 7DC8FA1</paraID>
      <start>88</start>
      <end>89</end>
      <status>ignored</status>
      <modifiedWord/>
      <trackRevisions>false</trackRevisions>
    </reviewItem>
    <reviewItem>
      <errorID>e9826200-ac20-40d3-b073-4aca3536bc62</errorID>
      <errorWord>)</errorWord>
      <group>L1_Format</group>
      <groupName>格式问题</groupName>
      <ability>L2_HalfPunc</ability>
      <abilityName>全半角检查</abilityName>
      <candidateList>
        <item>）</item>
      </candidateList>
      <explain>文本全半角错误。</explain>
      <paraID> 7DC8FA1</paraID>
      <start>120</start>
      <end>121</end>
      <status>ignored</status>
      <modifiedWord/>
      <trackRevisions>false</trackRevisions>
    </reviewItem>
    <reviewItem>
      <errorID>82dc636f-c3e7-4190-b35a-ca99ca26d515</errorID>
      <errorWord>并且</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 5695FA8</paraID>
      <start>27</start>
      <end>29</end>
      <status>unmodified</status>
      <modifiedWord/>
      <trackRevisions>false</trackRevisions>
    </reviewItem>
    <reviewItem>
      <errorID>e22c7134-749d-4303-970f-cf35e477ba52</errorID>
      <errorWord>推放</errorWord>
      <group>L1_Word</group>
      <groupName>字词问题</groupName>
      <ability>L2_Typo</ability>
      <abilityName>字词错误</abilityName>
      <candidateList>
        <item>堆放</item>
      </candidateList>
      <explain/>
      <paraID>3FF903B2</paraID>
      <start>47</start>
      <end>49</end>
      <status>unmodified</status>
      <modifiedWord/>
      <trackRevisions>false</trackRevisions>
    </reviewItem>
    <reviewItem>
      <errorID>bed93c4d-133d-4a0d-ac6b-95d1eb38e44f</errorID>
      <errorWord>其它</errorWord>
      <group>L1_Word</group>
      <groupName>字词问题</groupName>
      <ability>L2_Alias</ability>
      <abilityName>也作/曾用词</abilityName>
      <candidateList>
        <item>其他</item>
      </candidateList>
      <explain>词汇[其它]为不规范表述或旧称，其规范书面表述为[其他]。</explain>
      <paraID>3FF903B2</paraID>
      <start>107</start>
      <end>109</end>
      <status>unmodified</status>
      <modifiedWord/>
      <trackRevisions>false</trackRevisions>
    </reviewItem>
    <reviewItem>
      <errorID>6fbdfe17-29f6-4fac-a55d-694c373e385c</errorID>
      <errorWord>推放</errorWord>
      <group>L1_Word</group>
      <groupName>字词问题</groupName>
      <ability>L2_Typo</ability>
      <abilityName>字词错误</abilityName>
      <candidateList>
        <item>堆放</item>
      </candidateList>
      <explain/>
      <paraID>3FF903B2</paraID>
      <start>171</start>
      <end>173</end>
      <status>unmodified</status>
      <modifiedWord/>
      <trackRevisions>false</trackRevisions>
    </reviewItem>
    <reviewItem>
      <errorID>802ec6fa-7262-4a86-80cd-4053fd0c7e7f</errorID>
      <errorWord>推放</errorWord>
      <group>L1_Word</group>
      <groupName>字词问题</groupName>
      <ability>L2_Typo</ability>
      <abilityName>字词错误</abilityName>
      <candidateList>
        <item>堆放</item>
      </candidateList>
      <explain/>
      <paraID>3FF903B2</paraID>
      <start>198</start>
      <end>200</end>
      <status>unmodified</status>
      <modifiedWord/>
      <trackRevisions>false</trackRevisions>
    </reviewItem>
    <reviewItem>
      <errorID>7ff7691b-b725-455a-914d-cd91540b29c9</errorID>
      <errorWord>业</errorWord>
      <group>L1_Word</group>
      <groupName>字词问题</groupName>
      <ability>L2_Typo</ability>
      <abilityName>字词错误</abilityName>
      <candidateList>
        <item>业是</item>
      </candidateList>
      <explain/>
      <paraID>3EC54EF1</paraID>
      <start>149</start>
      <end>150</end>
      <status>unmodified</status>
      <modifiedWord/>
      <trackRevisions>false</trackRevisions>
    </reviewItem>
    <reviewItem>
      <errorID>9eb179b5-3ecc-4560-b686-2d87b658d9b4</errorID>
      <errorWord>期</errorWord>
      <group>L1_Word</group>
      <groupName>字词问题</groupName>
      <ability>L2_Typo</ability>
      <abilityName>字词错误</abilityName>
      <candidateList>
        <item>期间</item>
      </candidateList>
      <explain>〈名〉某个时期里面：农忙～｜春节～｜抗战～。</explain>
      <paraID>3BB1F7A9</paraID>
      <start>432</start>
      <end>433</end>
      <status>ignored</status>
      <modifiedWord/>
      <trackRevisions>false</trackRevisions>
    </reviewItem>
    <reviewItem>
      <errorID>4f343379-f889-46b4-98e4-0d047715e6cd</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29BCFDEF</paraID>
      <start>11</start>
      <end>12</end>
      <status>unmodified</status>
      <modifiedWord/>
      <trackRevisions>false</trackRevisions>
    </reviewItem>
    <reviewItem>
      <errorID>fff370c8-97af-443d-8482-ccc665178aa0</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1EE35354</paraID>
      <start>15</start>
      <end>16</end>
      <status>unmodified</status>
      <modifiedWord/>
      <trackRevisions>false</trackRevisions>
    </reviewItem>
    <reviewItem>
      <errorID>f6d73803-f45b-4350-9f30-67e7c792a94a</errorID>
      <errorWord>试过</errorWord>
      <group>L1_Word</group>
      <groupName>字词问题</groupName>
      <ability>L2_Typo</ability>
      <abilityName>字词错误</abilityName>
      <candidateList>
        <item>试工</item>
      </candidateList>
      <explain/>
      <paraID>7027A45B</paraID>
      <start>117</start>
      <end>119</end>
      <status>unmodified</status>
      <modifiedWord/>
      <trackRevisions>false</trackRevisions>
    </reviewItem>
    <reviewItem>
      <errorID>44dc12fd-75c6-4834-809a-c1cc23a09de5</errorID>
      <errorWord>面等</errorWord>
      <group>L1_Word</group>
      <groupName>字词问题</groupName>
      <ability>L2_Typo</ability>
      <abilityName>字词错误</abilityName>
      <candidateList>
        <item>面</item>
      </candidateList>
      <explain/>
      <paraID>3F3C382B</paraID>
      <start>14</start>
      <end>16</end>
      <status>unmodified</status>
      <modifiedWord/>
      <trackRevisions>false</trackRevisions>
    </reviewItem>
    <reviewItem>
      <errorID>f7b7841f-b0d3-4129-a2a7-5845740cf60c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3F3C382B</paraID>
      <start>60</start>
      <end>61</end>
      <status>ignored</status>
      <modifiedWord/>
      <trackRevisions>false</trackRevisions>
    </reviewItem>
    <reviewItem>
      <errorID>731eeb92-2611-4c04-9897-e4d82184ea57</errorID>
      <errorWord>做为</errorWord>
      <group>L1_Word</group>
      <groupName>字词问题</groupName>
      <ability>L2_Typo</ability>
      <abilityName>字词错误</abilityName>
      <candidateList>
        <item>作为</item>
      </candidateList>
      <explain>❶〈动〉当做：～罢论｜～无效｜我把游泳～锻炼身体的方法。❷〈介〉就人的某种身份或事物的某种性质来说：～一个学生，首先得把学习搞好｜～一部词典，必须有明确的编写宗旨。</explain>
      <paraID> 16F6A08</paraID>
      <start>46</start>
      <end>48</end>
      <status>unmodified</status>
      <modifiedWord/>
      <trackRevisions>false</trackRevisions>
    </reviewItem>
    <reviewItem>
      <errorID>582db39c-dbc5-44aa-a3a9-3a838977687c</errorID>
      <errorWord>：</errorWord>
      <group>L1_Format</group>
      <groupName>格式问题</groupName>
      <ability>L2_HalfPunc</ability>
      <abilityName>全半角检查</abilityName>
      <candidateList>
        <item>:</item>
      </candidateList>
      <explain>文本全半角错误。</explain>
      <paraID>39B928C9</paraID>
      <start>160</start>
      <end>161</end>
      <status>unmodified</status>
      <modifiedWord/>
      <trackRevisions>false</trackRevisions>
    </reviewItem>
    <reviewItem>
      <errorID>44f16338-7b1f-416b-bb74-257ff05ce939</errorID>
      <errorWord>：</errorWord>
      <group>L1_Format</group>
      <groupName>格式问题</groupName>
      <ability>L2_HalfPunc</ability>
      <abilityName>全半角检查</abilityName>
      <candidateList>
        <item>:</item>
      </candidateList>
      <explain>文本全半角错误。</explain>
      <paraID>39B928C9</paraID>
      <start>214</start>
      <end>215</end>
      <status>unmodified</status>
      <modifiedWord/>
      <trackRevisions>false</trackRevisions>
    </reviewItem>
    <reviewItem>
      <errorID>38e24e84-50b6-47fc-8d93-d54ea0ab8642</errorID>
      <errorWord>后回注油层后回注油层</errorWord>
      <group>L1_Word</group>
      <groupName>字词问题</groupName>
      <ability>L2_Typo</ability>
      <abilityName>字词错误</abilityName>
      <candidateList>
        <item>后回注油层</item>
      </candidateList>
      <explain/>
      <paraID>17DA9C7B</paraID>
      <start>293</start>
      <end>303</end>
      <status>unmodified</status>
      <modifiedWord/>
      <trackRevisions>false</trackRevisions>
    </reviewItem>
    <reviewItem>
      <errorID>00df4d47-f07c-49dc-80e1-e98a1a7d6602</errorID>
      <errorWord>计</errorWord>
      <group>L1_Word</group>
      <groupName>字词问题</groupName>
      <ability>L2_Typo</ability>
      <abilityName>字词错误</abilityName>
      <candidateList>
        <item>计算</item>
      </candidateList>
      <explain/>
      <paraID>5CC5B4A0</paraID>
      <start>153</start>
      <end>154</end>
      <status>unmodified</status>
      <modifiedWord/>
      <trackRevisions>false</trackRevisions>
    </reviewItem>
    <reviewItem>
      <errorID>233ac5ed-1d1a-43d2-833d-00d09268d599</errorID>
      <errorWord>，则</errorWord>
      <group>L1_Word</group>
      <groupName>字词问题</groupName>
      <ability>L2_Typo</ability>
      <abilityName>字词错误</abilityName>
      <candidateList>
        <item>，</item>
      </candidateList>
      <explain/>
      <paraID>3BF32A67</paraID>
      <start>20</start>
      <end>22</end>
      <status>unmodified</status>
      <modifiedWord/>
      <trackRevisions>false</trackRevisions>
    </reviewItem>
    <reviewItem>
      <errorID>61492867-38a7-437e-9e09-3aa9df18c7ab</errorID>
      <errorWord>后回注油层后回注油层</errorWord>
      <group>L1_Word</group>
      <groupName>字词问题</groupName>
      <ability>L2_Typo</ability>
      <abilityName>字词错误</abilityName>
      <candidateList>
        <item>后回注油层</item>
      </candidateList>
      <explain/>
      <paraID>7C089EB4</paraID>
      <start>172</start>
      <end>182</end>
      <status>unmodified</status>
      <modifiedWord/>
      <trackRevisions>false</trackRevisions>
    </reviewItem>
    <reviewItem>
      <errorID>b77b4e60-502f-4c4d-b795-5b5ad306c6cf</errorID>
      <errorWord>要</errorWord>
      <group>L1_Word</group>
      <groupName>字词问题</groupName>
      <ability>L2_Typo</ability>
      <abilityName>字词错误</abilityName>
      <candidateList>
        <item>要是</item>
      </candidateList>
      <explain/>
      <paraID> 43125E3</paraID>
      <start>9</start>
      <end>10</end>
      <status>unmodified</status>
      <modifiedWord/>
      <trackRevisions>false</trackRevisions>
    </reviewItem>
    <reviewItem>
      <errorID>a536135f-a2ce-4ad1-a22c-56ceb206265e</errorID>
      <errorWord>～</errorWord>
      <group>L1_Format</group>
      <groupName>格式问题</groupName>
      <ability>L2_HalfPunc</ability>
      <abilityName>全半角检查</abilityName>
      <candidateList>
        <item>~</item>
      </candidateList>
      <explain>文本全半角错误。</explain>
      <paraID>5C6C8936</paraID>
      <start>2</start>
      <end>3</end>
      <status>unmodified</status>
      <modifiedWord/>
      <trackRevisions>false</trackRevisions>
    </reviewItem>
    <reviewItem>
      <errorID>cb6eabd2-5c57-45de-8e16-95b2bc054516</errorID>
      <errorWord>～</errorWord>
      <group>L1_Format</group>
      <groupName>格式问题</groupName>
      <ability>L2_HalfPunc</ability>
      <abilityName>全半角检查</abilityName>
      <candidateList>
        <item>~</item>
      </candidateList>
      <explain>文本全半角错误。</explain>
      <paraID> C798653</paraID>
      <start>2</start>
      <end>3</end>
      <status>unmodified</status>
      <modifiedWord/>
      <trackRevisions>false</trackRevisions>
    </reviewItem>
    <reviewItem>
      <errorID>3361934c-343e-43e9-a2e8-77c1c5f2b285</errorID>
      <errorWord>～</errorWord>
      <group>L1_Format</group>
      <groupName>格式问题</groupName>
      <ability>L2_HalfPunc</ability>
      <abilityName>全半角检查</abilityName>
      <candidateList>
        <item>~</item>
      </candidateList>
      <explain>文本全半角错误。</explain>
      <paraID>56863732</paraID>
      <start>2</start>
      <end>3</end>
      <status>unmodified</status>
      <modifiedWord/>
      <trackRevisions>false</trackRevisions>
    </reviewItem>
    <reviewItem>
      <errorID>7eb3cae1-dddd-48bb-85d8-2039c00d9a30</errorID>
      <errorWord>～</errorWord>
      <group>L1_Format</group>
      <groupName>格式问题</groupName>
      <ability>L2_HalfPunc</ability>
      <abilityName>全半角检查</abilityName>
      <candidateList>
        <item>~</item>
      </candidateList>
      <explain>文本全半角错误。</explain>
      <paraID>4E9DB145</paraID>
      <start>2</start>
      <end>3</end>
      <status>unmodified</status>
      <modifiedWord/>
      <trackRevisions>false</trackRevisions>
    </reviewItem>
    <reviewItem>
      <errorID>8e0ea77e-f0a2-4035-bffb-b005352c2808</errorID>
      <errorWord>风镐</errorWord>
      <group>L1_Word</group>
      <groupName>字词问题</groupName>
      <ability>L2_Typo</ability>
      <abilityName>字词错误</abilityName>
      <candidateList>
        <item>风雹</item>
      </candidateList>
      <explain/>
      <paraID>241A927F</paraID>
      <start>2</start>
      <end>4</end>
      <status>unmodified</status>
      <modifiedWord/>
      <trackRevisions>false</trackRevisions>
    </reviewItem>
    <reviewItem>
      <errorID>217b8ebc-54c1-4163-8809-4b1f58b04523</errorID>
      <errorWord>～</errorWord>
      <group>L1_Format</group>
      <groupName>格式问题</groupName>
      <ability>L2_HalfPunc</ability>
      <abilityName>全半角检查</abilityName>
      <candidateList>
        <item>~</item>
      </candidateList>
      <explain>文本全半角错误。</explain>
      <paraID>218EB5E5</paraID>
      <start>2</start>
      <end>3</end>
      <status>unmodified</status>
      <modifiedWord/>
      <trackRevisions>false</trackRevisions>
    </reviewItem>
    <reviewItem>
      <errorID>4d330f49-920a-4563-bde5-60ed9b6ce309</errorID>
      <errorWord>～</errorWord>
      <group>L1_Format</group>
      <groupName>格式问题</groupName>
      <ability>L2_HalfPunc</ability>
      <abilityName>全半角检查</abilityName>
      <candidateList>
        <item>~</item>
      </candidateList>
      <explain>文本全半角错误。</explain>
      <paraID>74E3341C</paraID>
      <start>2</start>
      <end>3</end>
      <status>unmodified</status>
      <modifiedWord/>
      <trackRevisions>false</trackRevisions>
    </reviewItem>
    <reviewItem>
      <errorID>e27a5824-ae1a-4f82-aac8-b3284c53a7db</errorID>
      <errorWord>～</errorWord>
      <group>L1_Format</group>
      <groupName>格式问题</groupName>
      <ability>L2_HalfPunc</ability>
      <abilityName>全半角检查</abilityName>
      <candidateList>
        <item>~</item>
      </candidateList>
      <explain>文本全半角错误。</explain>
      <paraID>31BB0F93</paraID>
      <start>2</start>
      <end>3</end>
      <status>unmodified</status>
      <modifiedWord/>
      <trackRevisions>false</trackRevisions>
    </reviewItem>
    <reviewItem>
      <errorID>4ca2760f-8fb6-4487-a332-f895a4c0b416</errorID>
      <errorWord>～</errorWord>
      <group>L1_Format</group>
      <groupName>格式问题</groupName>
      <ability>L2_HalfPunc</ability>
      <abilityName>全半角检查</abilityName>
      <candidateList>
        <item>~</item>
      </candidateList>
      <explain>文本全半角错误。</explain>
      <paraID>2E2BEA64</paraID>
      <start>2</start>
      <end>3</end>
      <status>unmodified</status>
      <modifiedWord/>
      <trackRevisions>false</trackRevisions>
    </reviewItem>
    <reviewItem>
      <errorID>d3cd1876-7875-4a6a-9ada-53c0b4b6a218</errorID>
      <errorWord>～</errorWord>
      <group>L1_Format</group>
      <groupName>格式问题</groupName>
      <ability>L2_HalfPunc</ability>
      <abilityName>全半角检查</abilityName>
      <candidateList>
        <item>~</item>
      </candidateList>
      <explain>文本全半角错误。</explain>
      <paraID>18D02B8C</paraID>
      <start>2</start>
      <end>3</end>
      <status>unmodified</status>
      <modifiedWord/>
      <trackRevisions>false</trackRevisions>
    </reviewItem>
    <reviewItem>
      <errorID>8c48d263-39a2-43da-806f-0cc35a17e8d6</errorID>
      <errorWord>～</errorWord>
      <group>L1_Format</group>
      <groupName>格式问题</groupName>
      <ability>L2_HalfPunc</ability>
      <abilityName>全半角检查</abilityName>
      <candidateList>
        <item>~</item>
      </candidateList>
      <explain>文本全半角错误。</explain>
      <paraID>575C9AD2</paraID>
      <start>2</start>
      <end>3</end>
      <status>unmodified</status>
      <modifiedWord/>
      <trackRevisions>false</trackRevisions>
    </reviewItem>
    <reviewItem>
      <errorID>88ee318e-8c56-4837-a503-abe12074a0bd</errorID>
      <errorWord>的</errorWord>
      <group>L1_Word</group>
      <groupName>字词问题</groupName>
      <ability>L2_Typo</ability>
      <abilityName>字词错误</abilityName>
      <candidateList>
        <item>的用</item>
      </candidateList>
      <explain/>
      <paraID>6D9EF280</paraID>
      <start>128</start>
      <end>129</end>
      <status>unmodified</status>
      <modifiedWord/>
      <trackRevisions>false</trackRevisions>
    </reviewItem>
    <reviewItem>
      <errorID>5a1b2e80-e522-4e0d-996b-c350a146de2d</errorID>
      <errorWord>，在</errorWord>
      <group>L1_Word</group>
      <groupName>字词问题</groupName>
      <ability>L2_Typo</ability>
      <abilityName>字词错误</abilityName>
      <candidateList>
        <item>，</item>
      </candidateList>
      <explain/>
      <paraID>7D2BAA6D</paraID>
      <start>154</start>
      <end>156</end>
      <status>unmodified</status>
      <modifiedWord/>
      <trackRevisions>false</trackRevisions>
    </reviewItem>
    <reviewItem>
      <errorID>db9bd79f-1a22-4321-8de3-53ebdc88e5c9</errorID>
      <errorWord>平</errorWord>
      <group>L1_Word</group>
      <groupName>字词问题</groupName>
      <ability>L2_Typo</ability>
      <abilityName>字词错误</abilityName>
      <candidateList>
        <item>平方</item>
      </candidateList>
      <explain/>
      <paraID>7D2BAA6D</paraID>
      <start>166</start>
      <end>167</end>
      <status>unmodified</status>
      <modifiedWord/>
      <trackRevisions>false</trackRevisions>
    </reviewItem>
    <reviewItem>
      <errorID>a540d503-7d04-4260-889a-d870d55199dd</errorID>
      <errorWord>程</errorWord>
      <group>L1_Word</group>
      <groupName>字词问题</groupName>
      <ability>L2_Typo</ability>
      <abilityName>字词错误</abilityName>
      <candidateList>
        <item>程中</item>
      </candidateList>
      <explain/>
      <paraID>5F35F330</paraID>
      <start>18</start>
      <end>19</end>
      <status>unmodified</status>
      <modifiedWord/>
      <trackRevisions>false</trackRevisions>
    </reviewItem>
    <reviewItem>
      <errorID>b350a256-d0ee-4506-b0d9-274d23494506</errorID>
      <errorWord>(</errorWord>
      <group>L1_Format</group>
      <groupName>格式问题</groupName>
      <ability>L2_HalfPunc</ability>
      <abilityName>全半角检查</abilityName>
      <candidateList>
        <item>（</item>
      </candidateList>
      <explain>文本全半角错误。</explain>
      <paraID>3982D593</paraID>
      <start>278</start>
      <end>279</end>
      <status>ignored</status>
      <modifiedWord/>
      <trackRevisions>false</trackRevisions>
    </reviewItem>
    <reviewItem>
      <errorID>f37d0f74-1d52-4a4b-91da-edbbcc8e4247</errorID>
      <errorWord>)</errorWord>
      <group>L1_Format</group>
      <groupName>格式问题</groupName>
      <ability>L2_HalfPunc</ability>
      <abilityName>全半角检查</abilityName>
      <candidateList>
        <item>）</item>
      </candidateList>
      <explain>文本全半角错误。</explain>
      <paraID>3982D593</paraID>
      <start>281</start>
      <end>282</end>
      <status>ignored</status>
      <modifiedWord/>
      <trackRevisions>false</trackRevisions>
    </reviewItem>
    <reviewItem>
      <errorID>78c6b71d-15c7-49bf-b33e-bfe9b10c8c8e</errorID>
      <errorWord>、以及</errorWord>
      <group>L1_Punc</group>
      <groupName>标点问题</groupName>
      <ability>L2_Punc</ability>
      <abilityName>标点符号检查</abilityName>
      <candidateList>
        <item>，以及</item>
      </candidateList>
      <explain>连接词前后不宜使用顿号，建议使用逗号。</explain>
      <paraID>68AD1E14</paraID>
      <start>46</start>
      <end>49</end>
      <status>unmodified</status>
      <modifiedWord/>
      <trackRevisions>false</trackRevisions>
    </reviewItem>
    <reviewItem>
      <errorID>eef47f9c-b672-4e1a-a6dc-184a036cbb9d</errorID>
      <errorWord>(</errorWord>
      <group>L1_Format</group>
      <groupName>格式问题</groupName>
      <ability>L2_HalfPunc</ability>
      <abilityName>全半角检查</abilityName>
      <candidateList>
        <item>（</item>
      </candidateList>
      <explain>文本全半角错误。</explain>
      <paraID>424D68D0</paraID>
      <start>19</start>
      <end>20</end>
      <status>ignored</status>
      <modifiedWord/>
      <trackRevisions>false</trackRevisions>
    </reviewItem>
    <reviewItem>
      <errorID>0f9be536-4e68-4a6c-b107-9747b4e6e19c</errorID>
      <errorWord>)</errorWord>
      <group>L1_Format</group>
      <groupName>格式问题</groupName>
      <ability>L2_HalfPunc</ability>
      <abilityName>全半角检查</abilityName>
      <candidateList>
        <item>）</item>
      </candidateList>
      <explain>文本全半角错误。</explain>
      <paraID>424D68D0</paraID>
      <start>26</start>
      <end>27</end>
      <status>ignored</status>
      <modifiedWord/>
      <trackRevisions>false</trackRevisions>
    </reviewItem>
    <reviewItem>
      <errorID>17b680d5-7e87-4b3f-8d61-c9c3e5fe8640</errorID>
      <errorWord>)</errorWord>
      <group>L1_Format</group>
      <groupName>格式问题</groupName>
      <ability>L2_HalfPunc</ability>
      <abilityName>全半角检查</abilityName>
      <candidateList>
        <item>）</item>
      </candidateList>
      <explain>文本全半角错误。</explain>
      <paraID>211A0309</paraID>
      <start>21</start>
      <end>22</end>
      <status>ignored</status>
      <modifiedWord/>
      <trackRevisions>false</trackRevisions>
    </reviewItem>
    <reviewItem>
      <errorID>ce29912d-fb4d-4434-a3ad-8c58711e61fb</errorID>
      <errorWord>-</errorWord>
      <group>L1_Format</group>
      <groupName>格式问题</groupName>
      <ability>L2_HalfPunc</ability>
      <abilityName>全半角检查</abilityName>
      <candidateList>
        <item>－</item>
      </candidateList>
      <explain>文本全半角错误。</explain>
      <paraID>1F6A5DB0</paraID>
      <start>3</start>
      <end>4</end>
      <status>unmodified</status>
      <modifiedWord/>
      <trackRevisions>false</trackRevisions>
    </reviewItem>
    <reviewItem>
      <errorID>0900ad52-3a30-4f0f-9dc5-5d4689a81059</errorID>
      <errorWord>中</errorWord>
      <group>L1_Knowledge</group>
      <groupName>知识性问题</groupName>
      <ability>L2_Knowledge</ability>
      <abilityName>其他知识</abilityName>
      <candidateList>
        <item>台</item>
      </candidateList>
      <explain/>
      <paraID>3C7B3560</paraID>
      <start>51</start>
      <end>52</end>
      <status>unmodified</status>
      <modifiedWord/>
      <trackRevisions>false</trackRevisions>
    </reviewItem>
    <reviewItem>
      <errorID>68995e94-b55b-4cc1-916a-67cac46273db</errorID>
      <errorWord>-</errorWord>
      <group>L1_Format</group>
      <groupName>格式问题</groupName>
      <ability>L2_HalfPunc</ability>
      <abilityName>全半角检查</abilityName>
      <candidateList>
        <item>－</item>
      </candidateList>
      <explain>文本全半角错误。</explain>
      <paraID>3C7B3560</paraID>
      <start>80</start>
      <end>81</end>
      <status>unmodified</status>
      <modifiedWord/>
      <trackRevisions>false</trackRevisions>
    </reviewItem>
    <reviewItem>
      <errorID>31769b7c-e624-41d9-9f4b-a39ade59f9f0</errorID>
      <errorWord>涉及到</errorWord>
      <group>L1_Grammar</group>
      <groupName>语法问题</groupName>
      <ability>L2_Grammar</ability>
      <abilityName>语法错误</abilityName>
      <candidateList>
        <item>涉及</item>
      </candidateList>
      <explain>〈动〉牵涉到；关联到：案子～好几个人｜这个问题～面很广。</explain>
      <paraID>5085165C</paraID>
      <start>9</start>
      <end>12</end>
      <status>unmodified</status>
      <modifiedWord/>
      <trackRevisions>false</trackRevisions>
    </reviewItem>
    <reviewItem>
      <errorID>33bad8db-1e8e-4ebe-8d70-2482385a3fb7</errorID>
      <errorWord>&lt;</errorWord>
      <group>L1_Format</group>
      <groupName>格式问题</groupName>
      <ability>L2_HalfPunc</ability>
      <abilityName>全半角检查</abilityName>
      <candidateList>
        <item>〈</item>
      </candidateList>
      <explain>文本全半角错误。</explain>
      <paraID>53A0B697</paraID>
      <start>2</start>
      <end>3</end>
      <status>unmodified</status>
      <modifiedWord/>
      <trackRevisions>false</trackRevisions>
    </reviewItem>
    <reviewItem>
      <errorID>0adcb4eb-799d-49cd-a60a-bf8148917c90</errorID>
      <errorWord>&gt;&gt;，</errorWord>
      <group>L1_Punc</group>
      <groupName>标点问题</groupName>
      <ability>L2_Punc</ability>
      <abilityName>标点符号检查</abilityName>
      <candidateList>
        <item>&gt;</item>
      </candidateList>
      <explain/>
      <paraID>53A0B697</paraID>
      <start>13</start>
      <end>16</end>
      <status>unmodified</status>
      <modifiedWord/>
      <trackRevisions>false</trackRevisions>
    </reviewItem>
    <reviewItem>
      <errorID>bebad00b-7687-4a11-97c3-cb8dadacdb6d</errorID>
      <errorWord>:</errorWord>
      <group>L1_Format</group>
      <groupName>格式问题</groupName>
      <ability>L2_HalfPunc</ability>
      <abilityName>全半角检查</abilityName>
      <candidateList>
        <item>：</item>
      </candidateList>
      <explain>文本全半角错误。</explain>
      <paraID>53A0B697</paraID>
      <start>33</start>
      <end>34</end>
      <status>unmodified</status>
      <modifiedWord/>
      <trackRevisions>false</trackRevisions>
    </reviewItem>
    <reviewItem>
      <errorID>900785a5-9890-469b-bfab-639852aac328</errorID>
      <errorWord>:</errorWord>
      <group>L1_Format</group>
      <groupName>格式问题</groupName>
      <ability>L2_HalfPunc</ability>
      <abilityName>全半角检查</abilityName>
      <candidateList>
        <item>：</item>
      </candidateList>
      <explain>文本全半角错误。</explain>
      <paraID>53A0B697</paraID>
      <start>38</start>
      <end>39</end>
      <status>unmodified</status>
      <modifiedWord/>
      <trackRevisions>false</trackRevisions>
    </reviewItem>
    <reviewItem>
      <errorID>62d6c865-eefe-4480-941f-80977f9497ad</errorID>
      <errorWord>（</errorWord>
      <group>L1_Format</group>
      <groupName>格式问题</groupName>
      <ability>L2_HalfPunc</ability>
      <abilityName>全半角检查</abilityName>
      <candidateList>
        <item>(</item>
      </candidateList>
      <explain>文本全半角错误。</explain>
      <paraID>3500D6C4</paraID>
      <start>11</start>
      <end>12</end>
      <status>unmodified</status>
      <modifiedWord/>
      <trackRevisions>false</trackRevisions>
    </reviewItem>
    <reviewItem>
      <errorID>64797fb2-fd21-4719-b35c-e5b2beb5cebf</errorID>
      <errorWord>（</errorWord>
      <group>L1_Format</group>
      <groupName>格式问题</groupName>
      <ability>L2_HalfPunc</ability>
      <abilityName>全半角检查</abilityName>
      <candidateList>
        <item>(</item>
      </candidateList>
      <explain>文本全半角错误。</explain>
      <paraID>3500D6C4</paraID>
      <start>14</start>
      <end>15</end>
      <status>unmodified</status>
      <modifiedWord/>
      <trackRevisions>false</trackRevisions>
    </reviewItem>
    <reviewItem>
      <errorID>15bf75f7-ad1a-4d79-a96a-a6b243dd279b</errorID>
      <errorWord>））</errorWord>
      <group>L1_Format</group>
      <groupName>格式问题</groupName>
      <ability>L2_HalfPunc</ability>
      <abilityName>全半角检查</abilityName>
      <candidateList>
        <item>))</item>
      </candidateList>
      <explain>文本全半角错误。</explain>
      <paraID>3500D6C4</paraID>
      <start>23</start>
      <end>25</end>
      <status>unmodified</status>
      <modifiedWord/>
      <trackRevisions>false</trackRevisions>
    </reviewItem>
    <reviewItem>
      <errorID>cf9efaa0-59a9-4703-8084-5baa547f8585</errorID>
      <errorWord>。</errorWord>
      <group>L1_Format</group>
      <groupName>格式问题</groupName>
      <ability>L2_HalfPunc</ability>
      <abilityName>全半角检查</abilityName>
      <candidateList>
        <item>.</item>
      </candidateList>
      <explain>文本全半角错误。</explain>
      <paraID>3500D6C4</paraID>
      <start>54</start>
      <end>55</end>
      <status>unmodified</status>
      <modifiedWord/>
      <trackRevisions>false</trackRevisions>
    </reviewItem>
    <reviewItem>
      <errorID>27741c6b-d257-40c2-8dec-c4c4c315b9a1</errorID>
      <errorWord>Kg</errorWord>
      <group>L1_Word</group>
      <groupName>字词问题</groupName>
      <ability>L2_Typo</ability>
      <abilityName>字词错误</abilityName>
      <candidateList>
        <item>kg</item>
      </candidateList>
      <explain/>
      <paraID>4924BA76</paraID>
      <start>17</start>
      <end>19</end>
      <status>unmodified</status>
      <modifiedWord/>
      <trackRevisions>false</trackRevisions>
    </reviewItem>
    <reviewItem>
      <errorID>7da72bac-fe4f-42e8-88c5-fffdd8bc5d85</errorID>
      <errorWord>蒸气</errorWord>
      <group>L1_Word</group>
      <groupName>字词问题</groupName>
      <ability>L2_Typo</ability>
      <abilityName>字词错误</abilityName>
      <candidateList>
        <item>蒸汽</item>
      </candidateList>
      <explain/>
      <paraID>769D91C1</paraID>
      <start>5</start>
      <end>7</end>
      <status>unmodified</status>
      <modifiedWord/>
      <trackRevisions>false</trackRevisions>
    </reviewItem>
    <reviewItem>
      <errorID>1ef1e274-7d54-40a8-8835-61e345dc583e</errorID>
      <errorWord>蒸气压力</errorWord>
      <group>L1_Word</group>
      <groupName>字词问题</groupName>
      <ability>L2_Typo</ability>
      <abilityName>字词错误</abilityName>
      <candidateList>
        <item>蒸汽压力</item>
      </candidateList>
      <explain/>
      <paraID>354D142F</paraID>
      <start>4</start>
      <end>8</end>
      <status>unmodified</status>
      <modifiedWord/>
      <trackRevisions>false</trackRevisions>
    </reviewItem>
    <reviewItem>
      <errorID>217c4378-8e2b-40c3-831b-7e959f8d223c</errorID>
      <errorWord>Kg</errorWord>
      <group>L1_Word</group>
      <groupName>字词问题</groupName>
      <ability>L2_Typo</ability>
      <abilityName>字词错误</abilityName>
      <candidateList>
        <item>kg</item>
      </candidateList>
      <explain/>
      <paraID>761072B2</paraID>
      <start>85</start>
      <end>87</end>
      <status>unmodified</status>
      <modifiedWord/>
      <trackRevisions>false</trackRevisions>
    </reviewItem>
    <reviewItem>
      <errorID>ad0f349e-1dfb-4229-b0bf-a84fd1f252aa</errorID>
      <errorWord>公示</errorWord>
      <group>L1_Word</group>
      <groupName>字词问题</groupName>
      <ability>L2_Typo</ability>
      <abilityName>字词错误</abilityName>
      <candidateList>
        <item>公式</item>
      </candidateList>
      <explain/>
      <paraID>6AC3CDBC</paraID>
      <start>5</start>
      <end>7</end>
      <status>unmodified</status>
      <modifiedWord/>
      <trackRevisions>false</trackRevisions>
    </reviewItem>
    <reviewItem>
      <errorID>5c1f8a05-25a2-41af-bbf8-f5cf5175d0f8</errorID>
      <errorWord>。</errorWord>
      <group>L1_Format</group>
      <groupName>格式问题</groupName>
      <ability>L2_HalfPunc</ability>
      <abilityName>全半角检查</abilityName>
      <candidateList>
        <item>.</item>
      </candidateList>
      <explain>文本全半角错误。</explain>
      <paraID>7C7F173D</paraID>
      <start>20</start>
      <end>21</end>
      <status>unmodified</status>
      <modifiedWord/>
      <trackRevisions>false</trackRevisions>
    </reviewItem>
    <reviewItem>
      <errorID>af5a1af7-3609-4ea2-a05b-923f0db825a2</errorID>
      <errorWord>Kg</errorWord>
      <group>L1_Word</group>
      <groupName>字词问题</groupName>
      <ability>L2_Typo</ability>
      <abilityName>字词错误</abilityName>
      <candidateList>
        <item>kg</item>
      </candidateList>
      <explain/>
      <paraID>18A77202</paraID>
      <start>18</start>
      <end>20</end>
      <status>unmodified</status>
      <modifiedWord/>
      <trackRevisions>false</trackRevisions>
    </reviewItem>
    <reviewItem>
      <errorID>04fb6098-781f-45a0-8a22-2800ba5c05bc</errorID>
      <errorWord>。</errorWord>
      <group>L1_Format</group>
      <groupName>格式问题</groupName>
      <ability>L2_HalfPunc</ability>
      <abilityName>全半角检查</abilityName>
      <candidateList>
        <item>.</item>
      </candidateList>
      <explain>文本全半角错误。</explain>
      <paraID>18A77202</paraID>
      <start>22</start>
      <end>23</end>
      <status>unmodified</status>
      <modifiedWord/>
      <trackRevisions>false</trackRevisions>
    </reviewItem>
    <reviewItem>
      <errorID>6ea2ef60-0b9e-449d-97a5-6179dfc1f75e</errorID>
      <errorWord>)</errorWord>
      <group>L1_Format</group>
      <groupName>格式问题</groupName>
      <ability>L2_HalfPunc</ability>
      <abilityName>全半角检查</abilityName>
      <candidateList>
        <item>）</item>
      </candidateList>
      <explain>文本全半角错误。</explain>
      <paraID>5F9AA5E6</paraID>
      <start>12</start>
      <end>13</end>
      <status>ignored</status>
      <modifiedWord/>
      <trackRevisions>false</trackRevisions>
    </reviewItem>
    <reviewItem>
      <errorID>06ee54be-ed3b-402a-a20a-3c2c45948d10</errorID>
      <errorWord>～</errorWord>
      <group>L1_Format</group>
      <groupName>格式问题</groupName>
      <ability>L2_HalfPunc</ability>
      <abilityName>全半角检查</abilityName>
      <candidateList>
        <item>~</item>
      </candidateList>
      <explain>文本全半角错误。</explain>
      <paraID> BC1B649</paraID>
      <start>2</start>
      <end>3</end>
      <status>unmodified</status>
      <modifiedWord/>
      <trackRevisions>false</trackRevisions>
    </reviewItem>
    <reviewItem>
      <errorID>53cbde97-a05c-48b3-a335-d487ef342897</errorID>
      <errorWord>～</errorWord>
      <group>L1_Format</group>
      <groupName>格式问题</groupName>
      <ability>L2_HalfPunc</ability>
      <abilityName>全半角检查</abilityName>
      <candidateList>
        <item>~</item>
      </candidateList>
      <explain>文本全半角错误。</explain>
      <paraID>54C94343</paraID>
      <start>2</start>
      <end>3</end>
      <status>unmodified</status>
      <modifiedWord/>
      <trackRevisions>false</trackRevisions>
    </reviewItem>
    <reviewItem>
      <errorID>f0fd73b0-e6c9-4b2f-bdb3-6a599d654430</errorID>
      <errorWord>中的中的</errorWord>
      <group>L1_Word</group>
      <groupName>字词问题</groupName>
      <ability>L2_Typo</ability>
      <abilityName>字词错误</abilityName>
      <candidateList>
        <item>中的</item>
      </candidateList>
      <explain>〈动〉射中靶心，比喻点明要害：一语～。</explain>
      <paraID>5AC25D5D</paraID>
      <start>202</start>
      <end>206</end>
      <status>unmodified</status>
      <modifiedWord/>
      <trackRevisions>false</trackRevisions>
    </reviewItem>
    <reviewItem>
      <errorID>8a8afb20-e747-4c15-98fe-40ac4de3d97a</errorID>
      <errorWord>中的中的</errorWord>
      <group>L1_Word</group>
      <groupName>字词问题</groupName>
      <ability>L2_Typo</ability>
      <abilityName>字词错误</abilityName>
      <candidateList>
        <item>中的</item>
      </candidateList>
      <explain>〈动〉射中靶心，比喻点明要害：一语～。</explain>
      <paraID>7DB187F1</paraID>
      <start>331</start>
      <end>335</end>
      <status>unmodified</status>
      <modifiedWord/>
      <trackRevisions>false</trackRevisions>
    </reviewItem>
    <reviewItem>
      <errorID>f34dbf63-a64c-4e62-a22b-9c4ce106f9a6</errorID>
      <errorWord>、</errorWord>
      <group>L1_Punc</group>
      <groupName>标点问题</groupName>
      <ability>L2_Punc</ability>
      <abilityName>标点符号检查</abilityName>
      <candidateList>
        <item>.</item>
      </candidateList>
      <explain/>
      <paraID>3960241A</paraID>
      <start>1</start>
      <end>2</end>
      <status>unmodified</status>
      <modifiedWord/>
      <trackRevisions>false</trackRevisions>
    </reviewItem>
    <reviewItem>
      <errorID>00e7aef7-3ad4-4619-b08e-7e9031e97a90</errorID>
      <errorWord>~</errorWord>
      <group>L1_Format</group>
      <groupName>格式问题</groupName>
      <ability>L2_HalfPunc</ability>
      <abilityName>全半角检查</abilityName>
      <candidateList>
        <item>～</item>
      </candidateList>
      <explain>文本全半角错误。</explain>
      <paraID>32B45B00</paraID>
      <start>74</start>
      <end>75</end>
      <status>unmodified</status>
      <modifiedWord/>
      <trackRevisions>false</trackRevisions>
    </reviewItem>
    <reviewItem>
      <errorID>3bb63577-e346-44ed-aa2f-9aa8dab07fea</errorID>
      <errorWord>：</errorWord>
      <group>L1_Format</group>
      <groupName>格式问题</groupName>
      <ability>L2_HalfPunc</ability>
      <abilityName>全半角检查</abilityName>
      <candidateList>
        <item>:</item>
      </candidateList>
      <explain>文本全半角错误。</explain>
      <paraID>32B45B00</paraID>
      <start>211</start>
      <end>212</end>
      <status>unmodified</status>
      <modifiedWord/>
      <trackRevisions>false</trackRevisions>
    </reviewItem>
    <reviewItem>
      <errorID>713cda98-accc-48da-b53a-4c368d0405a5</errorID>
      <errorWord>：</errorWord>
      <group>L1_Format</group>
      <groupName>格式问题</groupName>
      <ability>L2_HalfPunc</ability>
      <abilityName>全半角检查</abilityName>
      <candidateList>
        <item>:</item>
      </candidateList>
      <explain>文本全半角错误。</explain>
      <paraID>32B45B00</paraID>
      <start>266</start>
      <end>267</end>
      <status>unmodified</status>
      <modifiedWord/>
      <trackRevisions>false</trackRevisions>
    </reviewItem>
    <reviewItem>
      <errorID>922a61f1-df05-4825-98f1-af9826fad47c</errorID>
      <errorWord>)</errorWord>
      <group>L1_Format</group>
      <groupName>格式问题</groupName>
      <ability>L2_HalfPunc</ability>
      <abilityName>全半角检查</abilityName>
      <candidateList>
        <item>）</item>
      </candidateList>
      <explain>文本全半角错误。</explain>
      <paraID>58FE904F</paraID>
      <start>12</start>
      <end>13</end>
      <status>ignored</status>
      <modifiedWord/>
      <trackRevisions>false</trackRevisions>
    </reviewItem>
    <reviewItem>
      <errorID>d93ca284-9bf6-4633-925a-9403e3dbe77d</errorID>
      <errorWord>～</errorWord>
      <group>L1_Format</group>
      <groupName>格式问题</groupName>
      <ability>L2_HalfPunc</ability>
      <abilityName>全半角检查</abilityName>
      <candidateList>
        <item>~</item>
      </candidateList>
      <explain>文本全半角错误。</explain>
      <paraID>7F8EE824</paraID>
      <start>2</start>
      <end>3</end>
      <status>unmodified</status>
      <modifiedWord/>
      <trackRevisions>false</trackRevisions>
    </reviewItem>
    <reviewItem>
      <errorID>1ef45fd4-3c9c-4a5b-b7c3-622f0a181ef1</errorID>
      <errorWord>～</errorWord>
      <group>L1_Format</group>
      <groupName>格式问题</groupName>
      <ability>L2_HalfPunc</ability>
      <abilityName>全半角检查</abilityName>
      <candidateList>
        <item>~</item>
      </candidateList>
      <explain>文本全半角错误。</explain>
      <paraID>4E30EA36</paraID>
      <start>2</start>
      <end>3</end>
      <status>unmodified</status>
      <modifiedWord/>
      <trackRevisions>false</trackRevisions>
    </reviewItem>
    <reviewItem>
      <errorID>ea5b8a4f-6d59-42a7-9059-664db00f09ec</errorID>
      <errorWord>～</errorWord>
      <group>L1_Format</group>
      <groupName>格式问题</groupName>
      <ability>L2_HalfPunc</ability>
      <abilityName>全半角检查</abilityName>
      <candidateList>
        <item>~</item>
      </candidateList>
      <explain>文本全半角错误。</explain>
      <paraID>3A02F773</paraID>
      <start>2</start>
      <end>3</end>
      <status>unmodified</status>
      <modifiedWord/>
      <trackRevisions>false</trackRevisions>
    </reviewItem>
    <reviewItem>
      <errorID>ccdf7c56-39a8-40ff-a047-5ef946341743</errorID>
      <errorWord>尾气在</errorWord>
      <group>L1_Word</group>
      <groupName>字词问题</groupName>
      <ability>L2_Typo</ability>
      <abilityName>字词错误</abilityName>
      <candidateList>
        <item>尾气</item>
      </candidateList>
      <explain/>
      <paraID>433877A6</paraID>
      <start>32</start>
      <end>35</end>
      <status>unmodified</status>
      <modifiedWord/>
      <trackRevisions>false</trackRevisions>
    </reviewItem>
    <reviewItem>
      <errorID>87d8ae8c-b802-436b-ae59-c13046bbb2f0</errorID>
      <errorWord>~</errorWord>
      <group>L1_Format</group>
      <groupName>格式问题</groupName>
      <ability>L2_HalfPunc</ability>
      <abilityName>全半角检查</abilityName>
      <candidateList>
        <item>～</item>
      </candidateList>
      <explain>文本全半角错误。</explain>
      <paraID>689386C2</paraID>
      <start>31</start>
      <end>32</end>
      <status>unmodified</status>
      <modifiedWord/>
      <trackRevisions>false</trackRevisions>
    </reviewItem>
    <reviewItem>
      <errorID>2a2416d0-a6ee-4568-aba6-4c16089f2c48</errorID>
      <errorWord>~</errorWord>
      <group>L1_Format</group>
      <groupName>格式问题</groupName>
      <ability>L2_HalfPunc</ability>
      <abilityName>全半角检查</abilityName>
      <candidateList>
        <item>～</item>
      </candidateList>
      <explain>文本全半角错误。</explain>
      <paraID>689386C2</paraID>
      <start>69</start>
      <end>70</end>
      <status>unmodified</status>
      <modifiedWord/>
      <trackRevisions>false</trackRevisions>
    </reviewItem>
    <reviewItem>
      <errorID>5ae4edd9-4131-450c-b77a-54a1f63775ed</errorID>
      <errorWord>~</errorWord>
      <group>L1_Format</group>
      <groupName>格式问题</groupName>
      <ability>L2_HalfPunc</ability>
      <abilityName>全半角检查</abilityName>
      <candidateList>
        <item>～</item>
      </candidateList>
      <explain>文本全半角错误。</explain>
      <paraID>689386C2</paraID>
      <start>107</start>
      <end>108</end>
      <status>unmodified</status>
      <modifiedWord/>
      <trackRevisions>false</trackRevisions>
    </reviewItem>
    <reviewItem>
      <errorID>3de5595a-d3b9-438f-963f-6b2550069d82</errorID>
      <errorWord>固</errorWord>
      <group>L1_Word</group>
      <groupName>字词问题</groupName>
      <ability>L2_Typo</ability>
      <abilityName>字词错误</abilityName>
      <candidateList>
        <item>故</item>
      </candidateList>
      <explain/>
      <paraID>76794484</paraID>
      <start>21</start>
      <end>22</end>
      <status>unmodified</status>
      <modifiedWord/>
      <trackRevisions>false</trackRevisions>
    </reviewItem>
    <reviewItem>
      <errorID>5d3008c1-1d73-4539-8223-6c409781d2f1</errorID>
      <errorWord>试压</errorWord>
      <group>L1_Word</group>
      <groupName>字词问题</groupName>
      <ability>L2_Typo</ability>
      <abilityName>字词错误</abilityName>
      <candidateList>
        <item>试验</item>
      </candidateList>
      <explain/>
      <paraID>78522411</paraID>
      <start>0</start>
      <end>2</end>
      <status>unmodified</status>
      <modifiedWord/>
      <trackRevisions>false</trackRevisions>
    </reviewItem>
    <reviewItem>
      <errorID>fb3c86bb-4a27-402f-9eaa-c46ff8e2111b</errorID>
      <errorWord>（</errorWord>
      <group>L1_Format</group>
      <groupName>格式问题</groupName>
      <ability>L2_HalfPunc</ability>
      <abilityName>全半角检查</abilityName>
      <candidateList>
        <item>(</item>
      </candidateList>
      <explain>文本全半角错误。</explain>
      <paraID>6990ABCB</paraID>
      <start>2</start>
      <end>3</end>
      <status>unmodified</status>
      <modifiedWord/>
      <trackRevisions>false</trackRevisions>
    </reviewItem>
    <reviewItem>
      <errorID>54f2b470-e366-4b1a-be88-0c1c229b6cb8</errorID>
      <errorWord>）</errorWord>
      <group>L1_Format</group>
      <groupName>格式问题</groupName>
      <ability>L2_HalfPunc</ability>
      <abilityName>全半角检查</abilityName>
      <candidateList>
        <item>)</item>
      </candidateList>
      <explain>文本全半角错误。</explain>
      <paraID>6990ABCB</paraID>
      <start>4</start>
      <end>5</end>
      <status>unmodified</status>
      <modifiedWord/>
      <trackRevisions>false</trackRevisions>
    </reviewItem>
    <reviewItem>
      <errorID>e991e3e2-15e2-4e10-b8c8-9f660f78fab3</errorID>
      <errorWord>（</errorWord>
      <group>L1_Format</group>
      <groupName>格式问题</groupName>
      <ability>L2_HalfPunc</ability>
      <abilityName>全半角检查</abilityName>
      <candidateList>
        <item>(</item>
      </candidateList>
      <explain>文本全半角错误。</explain>
      <paraID>42495F71</paraID>
      <start>2</start>
      <end>3</end>
      <status>unmodified</status>
      <modifiedWord/>
      <trackRevisions>false</trackRevisions>
    </reviewItem>
    <reviewItem>
      <errorID>fdc87288-61f2-4ad8-aba9-f21409b506fb</errorID>
      <errorWord>）</errorWord>
      <group>L1_Format</group>
      <groupName>格式问题</groupName>
      <ability>L2_HalfPunc</ability>
      <abilityName>全半角检查</abilityName>
      <candidateList>
        <item>)</item>
      </candidateList>
      <explain>文本全半角错误。</explain>
      <paraID>42495F71</paraID>
      <start>4</start>
      <end>5</end>
      <status>unmodified</status>
      <modifiedWord/>
      <trackRevisions>false</trackRevisions>
    </reviewItem>
    <reviewItem>
      <errorID>c996be93-df9c-4415-a73a-10bc6444a7fa</errorID>
      <errorWord>措</errorWord>
      <group>L1_Word</group>
      <groupName>字词问题</groupName>
      <ability>L2_Typo</ability>
      <abilityName>字词错误</abilityName>
      <candidateList>
        <item>措施</item>
      </candidateList>
      <explain>〈名〉针对某种情况而采取的处理办法（用于较大的事情）：计划已经订出，～应该跟上。</explain>
      <paraID>5C2998D1</paraID>
      <start>18</start>
      <end>19</end>
      <status>unmodified</status>
      <modifiedWord/>
      <trackRevisions>false</trackRevisions>
    </reviewItem>
    <reviewItem>
      <errorID>ed4fd274-db93-48d4-bce3-d1b7bb6dea4f</errorID>
      <errorWord>～</errorWord>
      <group>L1_Format</group>
      <groupName>格式问题</groupName>
      <ability>L2_HalfPunc</ability>
      <abilityName>全半角检查</abilityName>
      <candidateList>
        <item>~</item>
      </candidateList>
      <explain>文本全半角错误。</explain>
      <paraID>1C3B88D9</paraID>
      <start>2</start>
      <end>3</end>
      <status>unmodified</status>
      <modifiedWord/>
      <trackRevisions>false</trackRevisions>
    </reviewItem>
    <reviewItem>
      <errorID>9b14e98c-bef0-4217-a695-9ae5a1938956</errorID>
      <errorWord>～</errorWord>
      <group>L1_Format</group>
      <groupName>格式问题</groupName>
      <ability>L2_HalfPunc</ability>
      <abilityName>全半角检查</abilityName>
      <candidateList>
        <item>~</item>
      </candidateList>
      <explain>文本全半角错误。</explain>
      <paraID>1615C24E</paraID>
      <start>2</start>
      <end>3</end>
      <status>unmodified</status>
      <modifiedWord/>
      <trackRevisions>false</trackRevisions>
    </reviewItem>
    <reviewItem>
      <errorID>5a9494a7-66be-4216-bb22-82039bb3bf51</errorID>
      <errorWord>～</errorWord>
      <group>L1_Format</group>
      <groupName>格式问题</groupName>
      <ability>L2_HalfPunc</ability>
      <abilityName>全半角检查</abilityName>
      <candidateList>
        <item>~</item>
      </candidateList>
      <explain>文本全半角错误。</explain>
      <paraID>1B35D6D2</paraID>
      <start>2</start>
      <end>3</end>
      <status>unmodified</status>
      <modifiedWord/>
      <trackRevisions>false</trackRevisions>
    </reviewItem>
    <reviewItem>
      <errorID>4c4d56ed-7558-4171-9c2e-191261cd164d</errorID>
      <errorWord>～</errorWord>
      <group>L1_Format</group>
      <groupName>格式问题</groupName>
      <ability>L2_HalfPunc</ability>
      <abilityName>全半角检查</abilityName>
      <candidateList>
        <item>~</item>
      </candidateList>
      <explain>文本全半角错误。</explain>
      <paraID>2AEB5E56</paraID>
      <start>2</start>
      <end>3</end>
      <status>unmodified</status>
      <modifiedWord/>
      <trackRevisions>false</trackRevisions>
    </reviewItem>
    <reviewItem>
      <errorID>71233796-13b1-4ee4-b661-f80bd9419dee</errorID>
      <errorWord>./</errorWord>
      <group>L1_Punc</group>
      <groupName>标点问题</groupName>
      <ability>L2_Punc</ability>
      <abilityName>标点符号检查</abilityName>
      <candidateList>
        <item>.</item>
      </candidateList>
      <explain/>
      <paraID>11D6526A</paraID>
      <start>0</start>
      <end>2</end>
      <status>unmodified</status>
      <modifiedWord/>
      <trackRevisions>false</trackRevisions>
    </reviewItem>
    <reviewItem>
      <errorID>2cc53561-6767-40b6-bacb-7c1610fcda35</errorID>
      <errorWord>～</errorWord>
      <group>L1_Format</group>
      <groupName>格式问题</groupName>
      <ability>L2_HalfPunc</ability>
      <abilityName>全半角检查</abilityName>
      <candidateList>
        <item>~</item>
      </candidateList>
      <explain>文本全半角错误。</explain>
      <paraID>565BFC74</paraID>
      <start>2</start>
      <end>3</end>
      <status>unmodified</status>
      <modifiedWord/>
      <trackRevisions>false</trackRevisions>
    </reviewItem>
    <reviewItem>
      <errorID>aa763531-3e3e-4919-9ac0-7b72c97a8e61</errorID>
      <errorWord>～</errorWord>
      <group>L1_Format</group>
      <groupName>格式问题</groupName>
      <ability>L2_HalfPunc</ability>
      <abilityName>全半角检查</abilityName>
      <candidateList>
        <item>~</item>
      </candidateList>
      <explain>文本全半角错误。</explain>
      <paraID> 712487C</paraID>
      <start>2</start>
      <end>3</end>
      <status>unmodified</status>
      <modifiedWord/>
      <trackRevisions>false</trackRevisions>
    </reviewItem>
    <reviewItem>
      <errorID>555de7a5-a43a-433f-ab6f-c124eb100bb6</errorID>
      <errorWord>～</errorWord>
      <group>L1_Format</group>
      <groupName>格式问题</groupName>
      <ability>L2_HalfPunc</ability>
      <abilityName>全半角检查</abilityName>
      <candidateList>
        <item>~</item>
      </candidateList>
      <explain>文本全半角错误。</explain>
      <paraID>7F8FBFAC</paraID>
      <start>2</start>
      <end>3</end>
      <status>unmodified</status>
      <modifiedWord/>
      <trackRevisions>false</trackRevisions>
    </reviewItem>
    <reviewItem>
      <errorID>1449ce98-2ff3-4c16-884f-b36fdedca01b</errorID>
      <errorWord>～</errorWord>
      <group>L1_Format</group>
      <groupName>格式问题</groupName>
      <ability>L2_HalfPunc</ability>
      <abilityName>全半角检查</abilityName>
      <candidateList>
        <item>~</item>
      </candidateList>
      <explain>文本全半角错误。</explain>
      <paraID>5E683514</paraID>
      <start>2</start>
      <end>3</end>
      <status>unmodified</status>
      <modifiedWord/>
      <trackRevisions>false</trackRevisions>
    </reviewItem>
    <reviewItem>
      <errorID>6e134cba-b227-410b-be85-f075ba2893d3</errorID>
      <errorWord>～</errorWord>
      <group>L1_Format</group>
      <groupName>格式问题</groupName>
      <ability>L2_HalfPunc</ability>
      <abilityName>全半角检查</abilityName>
      <candidateList>
        <item>~</item>
      </candidateList>
      <explain>文本全半角错误。</explain>
      <paraID>77BD1085</paraID>
      <start>2</start>
      <end>3</end>
      <status>unmodified</status>
      <modifiedWord/>
      <trackRevisions>false</trackRevisions>
    </reviewItem>
    <reviewItem>
      <errorID>e62ae946-1a79-4242-ba98-edfdb109282c</errorID>
      <errorWord>～</errorWord>
      <group>L1_Format</group>
      <groupName>格式问题</groupName>
      <ability>L2_HalfPunc</ability>
      <abilityName>全半角检查</abilityName>
      <candidateList>
        <item>~</item>
      </candidateList>
      <explain>文本全半角错误。</explain>
      <paraID>59C0CE64</paraID>
      <start>2</start>
      <end>3</end>
      <status>unmodified</status>
      <modifiedWord/>
      <trackRevisions>false</trackRevisions>
    </reviewItem>
    <reviewItem>
      <errorID>9560f2c2-4220-46e8-b531-11d55b12b4af</errorID>
      <errorWord>～</errorWord>
      <group>L1_Format</group>
      <groupName>格式问题</groupName>
      <ability>L2_HalfPunc</ability>
      <abilityName>全半角检查</abilityName>
      <candidateList>
        <item>~</item>
      </candidateList>
      <explain>文本全半角错误。</explain>
      <paraID>7328CA23</paraID>
      <start>2</start>
      <end>3</end>
      <status>unmodified</status>
      <modifiedWord/>
      <trackRevisions>false</trackRevisions>
    </reviewItem>
    <reviewItem>
      <errorID>7dd9b5f8-b072-4162-86e4-0f316c2510eb</errorID>
      <errorWord>～</errorWord>
      <group>L1_Format</group>
      <groupName>格式问题</groupName>
      <ability>L2_HalfPunc</ability>
      <abilityName>全半角检查</abilityName>
      <candidateList>
        <item>~</item>
      </candidateList>
      <explain>文本全半角错误。</explain>
      <paraID>6425A56A</paraID>
      <start>2</start>
      <end>3</end>
      <status>unmodified</status>
      <modifiedWord/>
      <trackRevisions>false</trackRevisions>
    </reviewItem>
    <reviewItem>
      <errorID>8753dc21-8ef5-4302-a100-35ff21cc3b60</errorID>
      <errorWord>三本帐</errorWord>
      <group>L1_Word</group>
      <groupName>字词问题</groupName>
      <ability>L2_Alias</ability>
      <abilityName>也作/曾用词</abilityName>
      <candidateList>
        <item>三本账</item>
      </candidateList>
      <explain>词汇[三本帐]为不规范表述或旧称，其规范书面表述为[三本账]。</explain>
      <paraID> 9F910B3</paraID>
      <start>10</start>
      <end>13</end>
      <status>unmodified</status>
      <modifiedWord/>
      <trackRevisions>false</trackRevisions>
    </reviewItem>
    <reviewItem>
      <errorID>48c2d5c1-91c3-4f12-b6d5-155da6642632</errorID>
      <errorWord>三本帐</errorWord>
      <group>L1_Word</group>
      <groupName>字词问题</groupName>
      <ability>L2_Alias</ability>
      <abilityName>也作/曾用词</abilityName>
      <candidateList>
        <item>三本账</item>
      </candidateList>
      <explain>词汇[三本帐]为不规范表述或旧称，其规范书面表述为[三本账]。</explain>
      <paraID>330250F6</paraID>
      <start>86</start>
      <end>89</end>
      <status>unmodified</status>
      <modifiedWord/>
      <trackRevisions>false</trackRevisions>
    </reviewItem>
    <reviewItem>
      <errorID>fd570716-2041-470b-958d-5b5274411075</errorID>
      <errorWord>、</errorWord>
      <group>L1_Word</group>
      <groupName>字词问题</groupName>
      <ability>L2_Typo</ability>
      <abilityName>字词错误</abilityName>
      <candidateList>
        <item>、使</item>
      </candidateList>
      <explain/>
      <paraID>42A4B889</paraID>
      <start>47</start>
      <end>48</end>
      <status>unmodified</status>
      <modifiedWord/>
      <trackRevisions>false</trackRevisions>
    </reviewItem>
    <reviewItem>
      <errorID>d506f239-de14-4317-ba46-8681a8e4cf22</errorID>
      <errorWord>节能和</errorWord>
      <group>L1_Word</group>
      <groupName>字词问题</groupName>
      <ability>L2_Typo</ability>
      <abilityName>字词错误</abilityName>
      <candidateList>
        <item>节能</item>
      </candidateList>
      <explain/>
      <paraID> 45AF2A6</paraID>
      <start>6</start>
      <end>9</end>
      <status>unmodified</status>
      <modifiedWord/>
      <trackRevisions>false</trackRevisions>
    </reviewItem>
    <reviewItem>
      <errorID>92d04e4e-e065-46c4-be76-0e54c37a2a9f</errorID>
      <errorWord>，</errorWord>
      <group>L1_Word</group>
      <groupName>字词问题</groupName>
      <ability>L2_Typo</ability>
      <abilityName>字词错误</abilityName>
      <candidateList>
        <item>，在</item>
      </candidateList>
      <explain/>
      <paraID>4D7E7DAE</paraID>
      <start>22</start>
      <end>23</end>
      <status>unmodified</status>
      <modifiedWord/>
      <trackRevisions>false</trackRevisions>
    </reviewItem>
    <reviewItem>
      <errorID>99b2bdec-1f0f-4c80-a03e-73d56410796d</errorID>
      <errorWord>海拔高度</errorWord>
      <group>L1_Word</group>
      <groupName>字词问题</groupName>
      <ability>L2_Typo</ability>
      <abilityName>字词错误</abilityName>
      <candidateList>
        <item>海拔</item>
      </candidateList>
      <explain>〈名〉从平均海平面起算的高度。</explain>
      <paraID>72D49341</paraID>
      <start>37</start>
      <end>41</end>
      <status>unmodified</status>
      <modifiedWord/>
      <trackRevisions>false</trackRevisions>
    </reviewItem>
    <reviewItem>
      <errorID>43f642b6-38c2-492b-93b9-09e84290213c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72D49341</paraID>
      <start>45</start>
      <end>46</end>
      <status>ignored</status>
      <modifiedWord/>
      <trackRevisions>false</trackRevisions>
    </reviewItem>
    <reviewItem>
      <errorID>95f94c84-cc19-4bff-9839-c9d689eeb50b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32DD279E</paraID>
      <start>88</start>
      <end>89</end>
      <status>ignored</status>
      <modifiedWord/>
      <trackRevisions>false</trackRevisions>
    </reviewItem>
    <reviewItem>
      <errorID>246cac4c-67d9-46dc-ad63-0776f1f3e72e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5677BBF8</paraID>
      <start>148</start>
      <end>149</end>
      <status>ignored</status>
      <modifiedWord/>
      <trackRevisions>false</trackRevisions>
    </reviewItem>
    <reviewItem>
      <errorID>0653ccc3-1704-4afd-b098-97c244b9aa63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5677BBF8</paraID>
      <start>160</start>
      <end>161</end>
      <status>ignored</status>
      <modifiedWord/>
      <trackRevisions>false</trackRevisions>
    </reviewItem>
    <reviewItem>
      <errorID>20c3f95c-6028-47cf-838e-2f0ea93fcf80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3D1FB677</paraID>
      <start>105</start>
      <end>106</end>
      <status>ignored</status>
      <modifiedWord/>
      <trackRevisions>false</trackRevisions>
    </reviewItem>
    <reviewItem>
      <errorID>acd8ed25-8d33-493f-b464-557813f34713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3D1FB677</paraID>
      <start>115</start>
      <end>116</end>
      <status>ignored</status>
      <modifiedWord/>
      <trackRevisions>false</trackRevisions>
    </reviewItem>
    <reviewItem>
      <errorID>8295789a-280b-4c0b-ba3b-19ed1eca499d</errorID>
      <errorWord>-</errorWord>
      <group>L1_Format</group>
      <groupName>格式问题</groupName>
      <ability>L2_HalfPunc</ability>
      <abilityName>全半角检查</abilityName>
      <candidateList>
        <item>－</item>
      </candidateList>
      <explain>文本全半角错误。</explain>
      <paraID>5F394B4C</paraID>
      <start>26</start>
      <end>27</end>
      <status>unmodified</status>
      <modifiedWord/>
      <trackRevisions>false</trackRevisions>
    </reviewItem>
    <reviewItem>
      <errorID>578ec90b-dd45-4c03-97ed-cc80d1f9d368</errorID>
      <errorWord>上</errorWord>
      <group>L1_Word</group>
      <groupName>字词问题</groupName>
      <ability>L2_Typo</ability>
      <abilityName>字词错误</abilityName>
      <candidateList>
        <item>上部</item>
      </candidateList>
      <explain/>
      <paraID>3089166A</paraID>
      <start>86</start>
      <end>87</end>
      <status>unmodified</status>
      <modifiedWord/>
      <trackRevisions>false</trackRevisions>
    </reviewItem>
    <reviewItem>
      <errorID>20db89e2-faaf-4741-b25e-b857ef99fd20</errorID>
      <errorWord>治</errorWord>
      <group>L1_Word</group>
      <groupName>字词问题</groupName>
      <ability>L2_Typo</ability>
      <abilityName>字词错误</abilityName>
      <candidateList>
        <item>质</item>
      </candidateList>
      <explain>存在发音相同字词的误用。</explain>
      <paraID>3089166A</paraID>
      <start>105</start>
      <end>106</end>
      <status>unmodified</status>
      <modifiedWord/>
      <trackRevisions>false</trackRevisions>
    </reviewItem>
    <reviewItem>
      <errorID>f058be5f-b4ef-46bc-84ab-fdc6888bd189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3938F63A</paraID>
      <start>92</start>
      <end>93</end>
      <status>ignored</status>
      <modifiedWord/>
      <trackRevisions>false</trackRevisions>
    </reviewItem>
    <reviewItem>
      <errorID>b26657da-36f5-4dab-a5ce-7ebb8d9dd61e</errorID>
      <errorWord>区城</errorWord>
      <group>L1_Word</group>
      <groupName>字词问题</groupName>
      <ability>L2_Typo</ability>
      <abilityName>字词错误</abilityName>
      <candidateList>
        <item>区域</item>
      </candidateList>
      <explain/>
      <paraID>3938F63A</paraID>
      <start>179</start>
      <end>181</end>
      <status>unmodified</status>
      <modifiedWord/>
      <trackRevisions>false</trackRevisions>
    </reviewItem>
    <reviewItem>
      <errorID>b95e8e7c-9916-4980-9652-a8215dd53de5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3938F63A</paraID>
      <start>249</start>
      <end>250</end>
      <status>ignored</status>
      <modifiedWord/>
      <trackRevisions>false</trackRevisions>
    </reviewItem>
    <reviewItem>
      <errorID>df692f5b-0014-4bd2-9616-b00f84feebdb</errorID>
      <errorWord>含含</errorWord>
      <group>L1_Word</group>
      <groupName>字词问题</groupName>
      <ability>L2_Typo</ability>
      <abilityName>字词错误</abilityName>
      <candidateList>
        <item>含</item>
      </candidateList>
      <explain/>
      <paraID>71500794</paraID>
      <start>0</start>
      <end>2</end>
      <status>unmodified</status>
      <modifiedWord/>
      <trackRevisions>false</trackRevisions>
    </reviewItem>
    <reviewItem>
      <errorID>a95c4795-9ef2-4bc5-a024-e33a4948b3a7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552E37A9</paraID>
      <start>48</start>
      <end>49</end>
      <status>ignored</status>
      <modifiedWord/>
      <trackRevisions>false</trackRevisions>
    </reviewItem>
    <reviewItem>
      <errorID>e1a91ddb-f283-4673-8568-61f931b25c53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552E37A9</paraID>
      <start>61</start>
      <end>62</end>
      <status>ignored</status>
      <modifiedWord/>
      <trackRevisions>false</trackRevisions>
    </reviewItem>
    <reviewItem>
      <errorID>ed4e12e4-7ff3-49f0-96f2-6e126a5352a5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552E37A9</paraID>
      <start>79</start>
      <end>80</end>
      <status>ignored</status>
      <modifiedWord/>
      <trackRevisions>false</trackRevisions>
    </reviewItem>
    <reviewItem>
      <errorID>b3993709-dc0b-4f6b-b10c-5758fd0524bd</errorID>
      <errorWord>想</errorWord>
      <group>L1_Word</group>
      <groupName>字词问题</groupName>
      <ability>L2_Typo</ability>
      <abilityName>字词错误</abilityName>
      <candidateList>
        <item>细</item>
      </candidateList>
      <explain/>
      <paraID>552E37A9</paraID>
      <start>91</start>
      <end>92</end>
      <status>unmodified</status>
      <modifiedWord/>
      <trackRevisions>false</trackRevisions>
    </reviewItem>
    <reviewItem>
      <errorID>d3e87317-5b62-4a5d-a516-87b526fcac08</errorID>
      <errorWord>地下水流</errorWord>
      <group>L1_Word</group>
      <groupName>字词问题</groupName>
      <ability>L2_Typo</ability>
      <abilityName>字词错误</abilityName>
      <candidateList>
        <item>地下水</item>
      </candidateList>
      <explain/>
      <paraID>44F0469A</paraID>
      <start>44</start>
      <end>48</end>
      <status>unmodified</status>
      <modifiedWord/>
      <trackRevisions>false</trackRevisions>
    </reviewItem>
    <reviewItem>
      <errorID>846c5786-efdb-4449-8e8a-97346e857b9a</errorID>
      <errorWord>。。</errorWord>
      <group>L1_Punc</group>
      <groupName>标点问题</groupName>
      <ability>L2_Punc</ability>
      <abilityName>标点符号检查</abilityName>
      <candidateList>
        <item>。</item>
      </candidateList>
      <explain/>
      <paraID> F24EE29</paraID>
      <start>60</start>
      <end>62</end>
      <status>unmodified</status>
      <modifiedWord/>
      <trackRevisions>false</trackRevisions>
    </reviewItem>
    <reviewItem>
      <errorID>f71429b4-2ae7-486e-8ae3-13fb7cb3ad5c</errorID>
      <errorWord>（</errorWord>
      <group>L1_Format</group>
      <groupName>格式问题</groupName>
      <ability>L2_HalfPunc</ability>
      <abilityName>全半角检查</abilityName>
      <candidateList>
        <item>(</item>
      </candidateList>
      <explain>文本全半角错误。</explain>
      <paraID>43B74C07</paraID>
      <start>0</start>
      <end>1</end>
      <status>unmodified</status>
      <modifiedWord/>
      <trackRevisions>false</trackRevisions>
    </reviewItem>
    <reviewItem>
      <errorID>9b80ffdf-fd41-4cb6-8f1c-2023272e4ff1</errorID>
      <errorWord>）</errorWord>
      <group>L1_Format</group>
      <groupName>格式问题</groupName>
      <ability>L2_HalfPunc</ability>
      <abilityName>全半角检查</abilityName>
      <candidateList>
        <item>)</item>
      </candidateList>
      <explain>文本全半角错误。</explain>
      <paraID>43B74C07</paraID>
      <start>2</start>
      <end>3</end>
      <status>unmodified</status>
      <modifiedWord/>
      <trackRevisions>false</trackRevisions>
    </reviewItem>
    <reviewItem>
      <errorID>d5235837-0dc3-4045-8a9c-3b99c58a4d16</errorID>
      <errorWord>（</errorWord>
      <group>L1_Format</group>
      <groupName>格式问题</groupName>
      <ability>L2_HalfPunc</ability>
      <abilityName>全半角检查</abilityName>
      <candidateList>
        <item>(</item>
      </candidateList>
      <explain>文本全半角错误。</explain>
      <paraID>69EC90B1</paraID>
      <start>0</start>
      <end>1</end>
      <status>unmodified</status>
      <modifiedWord/>
      <trackRevisions>false</trackRevisions>
    </reviewItem>
    <reviewItem>
      <errorID>c05ae0de-7d82-4a09-b079-bf79527456fa</errorID>
      <errorWord>）</errorWord>
      <group>L1_Format</group>
      <groupName>格式问题</groupName>
      <ability>L2_HalfPunc</ability>
      <abilityName>全半角检查</abilityName>
      <candidateList>
        <item>)</item>
      </candidateList>
      <explain>文本全半角错误。</explain>
      <paraID>69EC90B1</paraID>
      <start>2</start>
      <end>3</end>
      <status>unmodified</status>
      <modifiedWord/>
      <trackRevisions>false</trackRevisions>
    </reviewItem>
    <reviewItem>
      <errorID>525b44d6-2110-40fb-b31c-b3c511ba886d</errorID>
      <errorWord>（</errorWord>
      <group>L1_Format</group>
      <groupName>格式问题</groupName>
      <ability>L2_HalfPunc</ability>
      <abilityName>全半角检查</abilityName>
      <candidateList>
        <item>(</item>
      </candidateList>
      <explain>文本全半角错误。</explain>
      <paraID>3377C293</paraID>
      <start>0</start>
      <end>1</end>
      <status>unmodified</status>
      <modifiedWord/>
      <trackRevisions>false</trackRevisions>
    </reviewItem>
    <reviewItem>
      <errorID>6beca771-8eaf-45c5-95d0-f75866a89102</errorID>
      <errorWord>）</errorWord>
      <group>L1_Format</group>
      <groupName>格式问题</groupName>
      <ability>L2_HalfPunc</ability>
      <abilityName>全半角检查</abilityName>
      <candidateList>
        <item>)</item>
      </candidateList>
      <explain>文本全半角错误。</explain>
      <paraID>3377C293</paraID>
      <start>2</start>
      <end>3</end>
      <status>unmodified</status>
      <modifiedWord/>
      <trackRevisions>false</trackRevisions>
    </reviewItem>
    <reviewItem>
      <errorID>3a59ca8b-3281-4151-b3cc-7a611ca7385e</errorID>
      <errorWord>（</errorWord>
      <group>L1_Format</group>
      <groupName>格式问题</groupName>
      <ability>L2_HalfPunc</ability>
      <abilityName>全半角检查</abilityName>
      <candidateList>
        <item>(</item>
      </candidateList>
      <explain>文本全半角错误。</explain>
      <paraID>147046F0</paraID>
      <start>0</start>
      <end>1</end>
      <status>unmodified</status>
      <modifiedWord/>
      <trackRevisions>false</trackRevisions>
    </reviewItem>
    <reviewItem>
      <errorID>9dd43351-7300-42dd-ac7d-46ff13b27f6f</errorID>
      <errorWord>）</errorWord>
      <group>L1_Format</group>
      <groupName>格式问题</groupName>
      <ability>L2_HalfPunc</ability>
      <abilityName>全半角检查</abilityName>
      <candidateList>
        <item>)</item>
      </candidateList>
      <explain>文本全半角错误。</explain>
      <paraID>147046F0</paraID>
      <start>2</start>
      <end>3</end>
      <status>unmodified</status>
      <modifiedWord/>
      <trackRevisions>false</trackRevisions>
    </reviewItem>
    <reviewItem>
      <errorID>6b921bcd-dc4d-4803-a337-38cb4b087a45</errorID>
      <errorWord>~</errorWord>
      <group>L1_Format</group>
      <groupName>格式问题</groupName>
      <ability>L2_HalfPunc</ability>
      <abilityName>全半角检查</abilityName>
      <candidateList>
        <item>～</item>
      </candidateList>
      <explain>文本全半角错误。</explain>
      <paraID>29860D71</paraID>
      <start>53</start>
      <end>54</end>
      <status>unmodified</status>
      <modifiedWord/>
      <trackRevisions>false</trackRevisions>
    </reviewItem>
    <reviewItem>
      <errorID>9d86a713-4850-4d07-8173-bc1cec801a6b</errorID>
      <errorWord>~</errorWord>
      <group>L1_Format</group>
      <groupName>格式问题</groupName>
      <ability>L2_HalfPunc</ability>
      <abilityName>全半角检查</abilityName>
      <candidateList>
        <item>～</item>
      </candidateList>
      <explain>文本全半角错误。</explain>
      <paraID>1C62108C</paraID>
      <start>18</start>
      <end>19</end>
      <status>unmodified</status>
      <modifiedWord/>
      <trackRevisions>false</trackRevisions>
    </reviewItem>
    <reviewItem>
      <errorID>c3a9f0b5-72db-4aac-b6f0-4b505dca6ef6</errorID>
      <errorWord>-</errorWord>
      <group>L1_Format</group>
      <groupName>格式问题</groupName>
      <ability>L2_HalfPunc</ability>
      <abilityName>全半角检查</abilityName>
      <candidateList>
        <item>－</item>
      </candidateList>
      <explain>文本全半角错误。</explain>
      <paraID>7921878C</paraID>
      <start>9</start>
      <end>10</end>
      <status>unmodified</status>
      <modifiedWord/>
      <trackRevisions>false</trackRevisions>
    </reviewItem>
    <reviewItem>
      <errorID>19d7a950-e592-4d04-8c8f-f431b2bd64ec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7921878C</paraID>
      <start>78</start>
      <end>79</end>
      <status>ignored</status>
      <modifiedWord/>
      <trackRevisions>false</trackRevisions>
    </reviewItem>
    <reviewItem>
      <errorID>0ee619e0-41f6-4474-a5a9-945105c35ad9</errorID>
      <errorWord>成份</errorWord>
      <group>L1_Knowledge</group>
      <groupName>知识性问题</groupName>
      <ability>L2_Knowledge</ability>
      <abilityName>其他知识</abilityName>
      <candidateList>
        <item>成分</item>
      </candidateList>
      <explain>（成份）chénɡ•fèn〈名〉❶指构成事物的各种不同的物质或因素：化学～｜营养～｜减轻了心里不安的～。❷指个人早先的主要经历或职业：工人～｜他的个人～是学生。</explain>
      <paraID>4B8CEAEC</paraID>
      <start>27</start>
      <end>29</end>
      <status>unmodified</status>
      <modifiedWord/>
      <trackRevisions>false</trackRevisions>
    </reviewItem>
    <reviewItem>
      <errorID>34168412-152e-452c-b9b7-93897521985d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4B8CEAEC</paraID>
      <start>61</start>
      <end>62</end>
      <status>ignored</status>
      <modifiedWord/>
      <trackRevisions>false</trackRevisions>
    </reviewItem>
    <reviewItem>
      <errorID>4d1e0e7c-f35b-4d15-b367-2a89e3702137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10590012</paraID>
      <start>25</start>
      <end>26</end>
      <status>ignored</status>
      <modifiedWord/>
      <trackRevisions>false</trackRevisions>
    </reviewItem>
    <reviewItem>
      <errorID>010d77f0-2c99-44ab-80fc-85eedbd048e1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7802B39B</paraID>
      <start>30</start>
      <end>31</end>
      <status>ignored</status>
      <modifiedWord/>
      <trackRevisions>false</trackRevisions>
    </reviewItem>
    <reviewItem>
      <errorID>1eb9109e-9519-4abb-8957-7d7581c2d5bb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7802B39B</paraID>
      <start>71</start>
      <end>72</end>
      <status>ignored</status>
      <modifiedWord/>
      <trackRevisions>false</trackRevisions>
    </reviewItem>
    <reviewItem>
      <errorID>c41734ea-3e77-4353-bccd-e3eb01aaef3c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7802B39B</paraID>
      <start>84</start>
      <end>85</end>
      <status>ignored</status>
      <modifiedWord/>
      <trackRevisions>false</trackRevisions>
    </reviewItem>
    <reviewItem>
      <errorID>747c721b-1122-4ff3-9d90-0467094b9b4a</errorID>
      <errorWord>~</errorWord>
      <group>L1_Format</group>
      <groupName>格式问题</groupName>
      <ability>L2_HalfPunc</ability>
      <abilityName>全半角检查</abilityName>
      <candidateList>
        <item>～</item>
      </candidateList>
      <explain>文本全半角错误。</explain>
      <paraID>52994472</paraID>
      <start>11</start>
      <end>12</end>
      <status>unmodified</status>
      <modifiedWord/>
      <trackRevisions>false</trackRevisions>
    </reviewItem>
    <reviewItem>
      <errorID>a63d04bd-cac4-4f59-a501-e75428e235f6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52994472</paraID>
      <start>100</start>
      <end>101</end>
      <status>ignored</status>
      <modifiedWord/>
      <trackRevisions>false</trackRevisions>
    </reviewItem>
    <reviewItem>
      <errorID>30b9ff57-786e-4da0-8e4f-75470fa9ffc8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52994472</paraID>
      <start>113</start>
      <end>114</end>
      <status>ignored</status>
      <modifiedWord/>
      <trackRevisions>false</trackRevisions>
    </reviewItem>
    <reviewItem>
      <errorID>ee2cb981-8c45-48f6-aaa3-8071501cf217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71C7C7EE</paraID>
      <start>3</start>
      <end>4</end>
      <status>ignored</status>
      <modifiedWord/>
      <trackRevisions>false</trackRevisions>
    </reviewItem>
    <reviewItem>
      <errorID>5aa75a07-0099-43db-a182-510afe09c87a</errorID>
      <errorWord>＜</errorWord>
      <group>L1_Format</group>
      <groupName>格式问题</groupName>
      <ability>L2_HalfPunc</ability>
      <abilityName>全半角检查</abilityName>
      <candidateList>
        <item>&lt;</item>
      </candidateList>
      <explain>文本全半角错误。</explain>
      <paraID>30196A08</paraID>
      <start>0</start>
      <end>1</end>
      <status>unmodified</status>
      <modifiedWord/>
      <trackRevisions>false</trackRevisions>
    </reviewItem>
    <reviewItem>
      <errorID>5552272f-d4c8-4bdc-b48b-c47cdfe41557</errorID>
      <errorWord>~</errorWord>
      <group>L1_Format</group>
      <groupName>格式问题</groupName>
      <ability>L2_HalfPunc</ability>
      <abilityName>全半角检查</abilityName>
      <candidateList>
        <item>～</item>
      </candidateList>
      <explain>文本全半角错误。</explain>
      <paraID>483DB038</paraID>
      <start>100</start>
      <end>101</end>
      <status>unmodified</status>
      <modifiedWord/>
      <trackRevisions>false</trackRevisions>
    </reviewItem>
    <reviewItem>
      <errorID>13d732fd-3c56-4bf8-874b-cc7ab0215999</errorID>
      <errorWord>2%~4%</errorWord>
      <group>L1_Knowledge</group>
      <groupName>知识性问题</groupName>
      <ability>L2_Knowledge</ability>
      <abilityName>其他知识</abilityName>
      <candidateList>
        <item>2%～4%</item>
      </candidateList>
      <explain>1. “2%~4%”中的单位“%”仅出现在后一个数字上，容易引起歧义；根据《现代汉语标点符号数字用法规范手册》，数字表示范围两边需要使用统一的格式。2. 根据标点国标 4.13 中的规则，数字、时间或地域连接符应使用（视觉上更长的）“—”或“～”。</explain>
      <paraID>483DB038</paraID>
      <start>112</start>
      <end>117</end>
      <status>unmodified</status>
      <modifiedWord/>
      <trackRevisions>false</trackRevisions>
    </reviewItem>
    <reviewItem>
      <errorID>4e5db974-6db5-4c8b-900a-359a1e814351</errorID>
      <errorWord>-</errorWord>
      <group>L1_Format</group>
      <groupName>格式问题</groupName>
      <ability>L2_HalfPunc</ability>
      <abilityName>全半角检查</abilityName>
      <candidateList>
        <item>－</item>
      </candidateList>
      <explain>文本全半角错误。</explain>
      <paraID>4155A9EF</paraID>
      <start>199</start>
      <end>200</end>
      <status>unmodified</status>
      <modifiedWord/>
      <trackRevisions>false</trackRevisions>
    </reviewItem>
    <reviewItem>
      <errorID>8d3a8b58-7285-4ef9-999c-a4cc1d78e04d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24B71182</paraID>
      <start>279</start>
      <end>280</end>
      <status>ignored</status>
      <modifiedWord/>
      <trackRevisions>false</trackRevisions>
    </reviewItem>
    <reviewItem>
      <errorID>c4534b1c-1bbe-42e8-a8ed-80f5b09fea97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24B71182</paraID>
      <start>303</start>
      <end>304</end>
      <status>ignored</status>
      <modifiedWord/>
      <trackRevisions>false</trackRevisions>
    </reviewItem>
    <reviewItem>
      <errorID>a02c5fb9-c110-432f-a3c8-3dbb02686cd2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278A9567</paraID>
      <start>37</start>
      <end>38</end>
      <status>ignored</status>
      <modifiedWord/>
      <trackRevisions>false</trackRevisions>
    </reviewItem>
    <reviewItem>
      <errorID>4835a0ae-a6bc-480a-a1d8-98002c3a8e36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278A9567</paraID>
      <start>61</start>
      <end>62</end>
      <status>ignored</status>
      <modifiedWord/>
      <trackRevisions>false</trackRevisions>
    </reviewItem>
    <reviewItem>
      <errorID>02f4d2fc-be10-4275-901b-da72a63572c7</errorID>
      <errorWord>[2019]11号</errorWord>
      <group>L1_Knowledge</group>
      <groupName>知识性问题</groupName>
      <ability>L2_Knowledge</ability>
      <abilityName>其他知识</abilityName>
      <candidateList>
        <item>〔2019〕11号</item>
      </candidateList>
      <explain>发文字号格式错误。</explain>
      <paraID>64548A00</paraID>
      <start>109</start>
      <end>118</end>
      <status>unmodified</status>
      <modifiedWord/>
      <trackRevisions>false</trackRevisions>
    </reviewItem>
    <reviewItem>
      <errorID>8fdfc7b6-7121-45f6-ab94-33eaaba093c2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7CD5A768</paraID>
      <start>26</start>
      <end>27</end>
      <status>ignored</status>
      <modifiedWord/>
      <trackRevisions>false</trackRevisions>
    </reviewItem>
    <reviewItem>
      <errorID>922e5bc7-8ccd-44de-a2b3-b748f263f1fe</errorID>
      <errorWord>12月03日</errorWord>
      <group>L1_Knowledge</group>
      <groupName>知识性问题</groupName>
      <ability>L2_Time</ability>
      <abilityName>日期时间</abilityName>
      <candidateList>
        <item>12月3日</item>
      </candidateList>
      <explain>根据日常书写习惯，日期一般会省略前导零。</explain>
      <paraID>7CD5A768</paraID>
      <start>27</start>
      <end>33</end>
      <status>unmodified</status>
      <modifiedWord/>
      <trackRevisions>false</trackRevisions>
    </reviewItem>
    <reviewItem>
      <errorID>4c55e4f1-678c-47c8-9d45-6e97bc0fed72</errorID>
      <errorWord>年</errorWord>
      <group>L1_Word</group>
      <groupName>字词问题</groupName>
      <ability>L2_Typo</ability>
      <abilityName>字词错误</abilityName>
      <candidateList>
        <item>年度</item>
      </candidateList>
      <explain/>
      <paraID>2BFC68DE</paraID>
      <start>0</start>
      <end>1</end>
      <status>unmodified</status>
      <modifiedWord/>
      <trackRevisions>false</trackRevisions>
    </reviewItem>
    <reviewItem>
      <errorID>4b49d249-38bd-4cbe-885b-4138d8f063fb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70942447</paraID>
      <start>29</start>
      <end>30</end>
      <status>ignored</status>
      <modifiedWord/>
      <trackRevisions>false</trackRevisions>
    </reviewItem>
    <reviewItem>
      <errorID>ff5553f0-dab3-42cb-84e7-cd6ee9ac5873</errorID>
      <errorWord>12月03日</errorWord>
      <group>L1_Knowledge</group>
      <groupName>知识性问题</groupName>
      <ability>L2_Time</ability>
      <abilityName>日期时间</abilityName>
      <candidateList>
        <item>12月3日</item>
      </candidateList>
      <explain>根据日常书写习惯，日期一般会省略前导零。</explain>
      <paraID>70942447</paraID>
      <start>30</start>
      <end>36</end>
      <status>unmodified</status>
      <modifiedWord/>
      <trackRevisions>false</trackRevisions>
    </reviewItem>
    <reviewItem>
      <errorID>4713087b-1937-4478-9423-c36a99f0b9e0</errorID>
      <errorWord>＝</errorWord>
      <group>L1_Format</group>
      <groupName>格式问题</groupName>
      <ability>L2_HalfPunc</ability>
      <abilityName>全半角检查</abilityName>
      <candidateList>
        <item>=</item>
      </candidateList>
      <explain>文本全半角错误。</explain>
      <paraID>535041C9</paraID>
      <start>2</start>
      <end>3</end>
      <status>unmodified</status>
      <modifiedWord/>
      <trackRevisions>false</trackRevisions>
    </reviewItem>
    <reviewItem>
      <errorID>7652a331-b8d6-4f59-a249-b011f30b97aa</errorID>
      <errorWord>(</errorWord>
      <group>L1_Format</group>
      <groupName>格式问题</groupName>
      <ability>L2_HalfPunc</ability>
      <abilityName>全半角检查</abilityName>
      <candidateList>
        <item>（</item>
      </candidateList>
      <explain>文本全半角错误。</explain>
      <paraID>18D321DD</paraID>
      <start>60</start>
      <end>61</end>
      <status>ignored</status>
      <modifiedWord/>
      <trackRevisions>false</trackRevisions>
    </reviewItem>
    <reviewItem>
      <errorID>fb21c43d-f430-4a7a-b963-3b5ef954b09a</errorID>
      <errorWord>(</errorWord>
      <group>L1_Format</group>
      <groupName>格式问题</groupName>
      <ability>L2_HalfPunc</ability>
      <abilityName>全半角检查</abilityName>
      <candidateList>
        <item>（</item>
      </candidateList>
      <explain>文本全半角错误。</explain>
      <paraID>33CA4787</paraID>
      <start>76</start>
      <end>77</end>
      <status>ignored</status>
      <modifiedWord/>
      <trackRevisions>false</trackRevisions>
    </reviewItem>
    <reviewItem>
      <errorID>2c972d24-1591-428f-a80b-048bc1bc85b0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5F9526C4</paraID>
      <start>69</start>
      <end>72</end>
      <status>unmodified</status>
      <modifiedWord/>
      <trackRevisions>false</trackRevisions>
    </reviewItem>
    <reviewItem>
      <errorID>7ef55c78-439e-40af-ad24-bc35b83c4769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5F9526C4</paraID>
      <start>88</start>
      <end>91</end>
      <status>unmodified</status>
      <modifiedWord/>
      <trackRevisions>false</trackRevisions>
    </reviewItem>
    <reviewItem>
      <errorID>37f3897d-2c92-4f04-a95d-348b687b3e9f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5F9526C4</paraID>
      <start>107</start>
      <end>110</end>
      <status>unmodified</status>
      <modifiedWord/>
      <trackRevisions>false</trackRevisions>
    </reviewItem>
    <reviewItem>
      <errorID>9dd7e1e5-ba9b-414a-92fe-7f2c67426731</errorID>
      <errorWord>（</errorWord>
      <group>L1_Format</group>
      <groupName>格式问题</groupName>
      <ability>L2_HalfPunc</ability>
      <abilityName>全半角检查</abilityName>
      <candidateList>
        <item>(</item>
      </candidateList>
      <explain>文本全半角错误。</explain>
      <paraID> 40D7295</paraID>
      <start>0</start>
      <end>1</end>
      <status>unmodified</status>
      <modifiedWord/>
      <trackRevisions>false</trackRevisions>
    </reviewItem>
    <reviewItem>
      <errorID>90233ea9-fc14-405a-9285-ed0486695518</errorID>
      <errorWord>）</errorWord>
      <group>L1_Format</group>
      <groupName>格式问题</groupName>
      <ability>L2_HalfPunc</ability>
      <abilityName>全半角检查</abilityName>
      <candidateList>
        <item>)</item>
      </candidateList>
      <explain>文本全半角错误。</explain>
      <paraID> 40D7295</paraID>
      <start>6</start>
      <end>7</end>
      <status>unmodified</status>
      <modifiedWord/>
      <trackRevisions>false</trackRevisions>
    </reviewItem>
    <reviewItem>
      <errorID>3fec6f8b-1569-4e1f-8ad4-3827bcbc8773</errorID>
      <errorWord>（</errorWord>
      <group>L1_Format</group>
      <groupName>格式问题</groupName>
      <ability>L2_HalfPunc</ability>
      <abilityName>全半角检查</abilityName>
      <candidateList>
        <item>(</item>
      </candidateList>
      <explain>文本全半角错误。</explain>
      <paraID>671D2715</paraID>
      <start>0</start>
      <end>1</end>
      <status>unmodified</status>
      <modifiedWord/>
      <trackRevisions>false</trackRevisions>
    </reviewItem>
    <reviewItem>
      <errorID>8e9f5d58-b0c4-4180-b985-113f30eef1b0</errorID>
      <errorWord>）</errorWord>
      <group>L1_Format</group>
      <groupName>格式问题</groupName>
      <ability>L2_HalfPunc</ability>
      <abilityName>全半角检查</abilityName>
      <candidateList>
        <item>)</item>
      </candidateList>
      <explain>文本全半角错误。</explain>
      <paraID>671D2715</paraID>
      <start>6</start>
      <end>7</end>
      <status>unmodified</status>
      <modifiedWord/>
      <trackRevisions>false</trackRevisions>
    </reviewItem>
    <reviewItem>
      <errorID>211e0ac5-d71e-4a86-b249-92880e9da5e1</errorID>
      <errorWord>（</errorWord>
      <group>L1_Format</group>
      <groupName>格式问题</groupName>
      <ability>L2_HalfPunc</ability>
      <abilityName>全半角检查</abilityName>
      <candidateList>
        <item>(</item>
      </candidateList>
      <explain>文本全半角错误。</explain>
      <paraID>30F527B9</paraID>
      <start>0</start>
      <end>1</end>
      <status>unmodified</status>
      <modifiedWord/>
      <trackRevisions>false</trackRevisions>
    </reviewItem>
    <reviewItem>
      <errorID>591e9c49-fc12-47e4-b33c-2614b38447ec</errorID>
      <errorWord>）</errorWord>
      <group>L1_Format</group>
      <groupName>格式问题</groupName>
      <ability>L2_HalfPunc</ability>
      <abilityName>全半角检查</abilityName>
      <candidateList>
        <item>)</item>
      </candidateList>
      <explain>文本全半角错误。</explain>
      <paraID>30F527B9</paraID>
      <start>6</start>
      <end>7</end>
      <status>unmodified</status>
      <modifiedWord/>
      <trackRevisions>false</trackRevisions>
    </reviewItem>
    <reviewItem>
      <errorID>a1014c85-bdb1-4a62-b0b6-a20edacf867a</errorID>
      <errorWord>（</errorWord>
      <group>L1_Format</group>
      <groupName>格式问题</groupName>
      <ability>L2_HalfPunc</ability>
      <abilityName>全半角检查</abilityName>
      <candidateList>
        <item>(</item>
      </candidateList>
      <explain>文本全半角错误。</explain>
      <paraID>29A91714</paraID>
      <start>0</start>
      <end>1</end>
      <status>unmodified</status>
      <modifiedWord/>
      <trackRevisions>false</trackRevisions>
    </reviewItem>
    <reviewItem>
      <errorID>652e3eb1-4065-4967-b652-f61b76190480</errorID>
      <errorWord>）</errorWord>
      <group>L1_Format</group>
      <groupName>格式问题</groupName>
      <ability>L2_HalfPunc</ability>
      <abilityName>全半角检查</abilityName>
      <candidateList>
        <item>)</item>
      </candidateList>
      <explain>文本全半角错误。</explain>
      <paraID>29A91714</paraID>
      <start>6</start>
      <end>7</end>
      <status>unmodified</status>
      <modifiedWord/>
      <trackRevisions>false</trackRevisions>
    </reviewItem>
    <reviewItem>
      <errorID>79012157-d50d-472b-8cb1-e1c0644a5914</errorID>
      <errorWord>（</errorWord>
      <group>L1_Format</group>
      <groupName>格式问题</groupName>
      <ability>L2_HalfPunc</ability>
      <abilityName>全半角检查</abilityName>
      <candidateList>
        <item>(</item>
      </candidateList>
      <explain>文本全半角错误。</explain>
      <paraID>7A9AF104</paraID>
      <start>0</start>
      <end>1</end>
      <status>unmodified</status>
      <modifiedWord/>
      <trackRevisions>false</trackRevisions>
    </reviewItem>
    <reviewItem>
      <errorID>45f2765b-7aee-41f5-9e39-941b0da436c2</errorID>
      <errorWord>）</errorWord>
      <group>L1_Format</group>
      <groupName>格式问题</groupName>
      <ability>L2_HalfPunc</ability>
      <abilityName>全半角检查</abilityName>
      <candidateList>
        <item>)</item>
      </candidateList>
      <explain>文本全半角错误。</explain>
      <paraID>7A9AF104</paraID>
      <start>6</start>
      <end>7</end>
      <status>unmodified</status>
      <modifiedWord/>
      <trackRevisions>false</trackRevisions>
    </reviewItem>
    <reviewItem>
      <errorID>13c63b87-b4b5-4a45-b44f-0cce88f6bdf1</errorID>
      <errorWord>（</errorWord>
      <group>L1_Format</group>
      <groupName>格式问题</groupName>
      <ability>L2_HalfPunc</ability>
      <abilityName>全半角检查</abilityName>
      <candidateList>
        <item>(</item>
      </candidateList>
      <explain>文本全半角错误。</explain>
      <paraID>561CDF1D</paraID>
      <start>0</start>
      <end>1</end>
      <status>unmodified</status>
      <modifiedWord/>
      <trackRevisions>false</trackRevisions>
    </reviewItem>
    <reviewItem>
      <errorID>fd2ac054-6e59-444f-a5df-4b40956e63da</errorID>
      <errorWord>）</errorWord>
      <group>L1_Format</group>
      <groupName>格式问题</groupName>
      <ability>L2_HalfPunc</ability>
      <abilityName>全半角检查</abilityName>
      <candidateList>
        <item>)</item>
      </candidateList>
      <explain>文本全半角错误。</explain>
      <paraID>561CDF1D</paraID>
      <start>6</start>
      <end>7</end>
      <status>unmodified</status>
      <modifiedWord/>
      <trackRevisions>false</trackRevisions>
    </reviewItem>
    <reviewItem>
      <errorID>21312faa-04b4-4571-9396-7d0074718d7c</errorID>
      <errorWord>~</errorWord>
      <group>L1_Format</group>
      <groupName>格式问题</groupName>
      <ability>L2_HalfPunc</ability>
      <abilityName>全半角检查</abilityName>
      <candidateList>
        <item>～</item>
      </candidateList>
      <explain>文本全半角错误。</explain>
      <paraID>6247B0C4</paraID>
      <start>97</start>
      <end>98</end>
      <status>unmodified</status>
      <modifiedWord/>
      <trackRevisions>false</trackRevisions>
    </reviewItem>
    <reviewItem>
      <errorID>67f89aab-554b-4f7e-ab92-ee99f973efb1</errorID>
      <errorWord>地下水水位监测</errorWord>
      <group>L1_Knowledge</group>
      <groupName>知识性问题</groupName>
      <ability>L2_Term</ability>
      <abilityName>专业术语</abilityName>
      <candidateList>
        <item>地下水水质监测</item>
      </candidateList>
      <explain/>
      <paraID>6247B0C4</paraID>
      <start>141</start>
      <end>148</end>
      <status>unmodified</status>
      <modifiedWord/>
      <trackRevisions>false</trackRevisions>
    </reviewItem>
    <reviewItem>
      <errorID>3f322243-f7e5-4544-9511-9b25c520cf78</errorID>
      <errorWord>（</errorWord>
      <group>L1_Format</group>
      <groupName>格式问题</groupName>
      <ability>L2_HalfPunc</ability>
      <abilityName>全半角检查</abilityName>
      <candidateList>
        <item>(</item>
      </candidateList>
      <explain>文本全半角错误。</explain>
      <paraID>5BAF2135</paraID>
      <start>0</start>
      <end>1</end>
      <status>unmodified</status>
      <modifiedWord/>
      <trackRevisions>false</trackRevisions>
    </reviewItem>
    <reviewItem>
      <errorID>e1b0bc64-afdf-4637-8980-1a55bfa0b21d</errorID>
      <errorWord>）</errorWord>
      <group>L1_Format</group>
      <groupName>格式问题</groupName>
      <ability>L2_HalfPunc</ability>
      <abilityName>全半角检查</abilityName>
      <candidateList>
        <item>)</item>
      </candidateList>
      <explain>文本全半角错误。</explain>
      <paraID>5BAF2135</paraID>
      <start>2</start>
      <end>3</end>
      <status>unmodified</status>
      <modifiedWord/>
      <trackRevisions>false</trackRevisions>
    </reviewItem>
    <reviewItem>
      <errorID>427456b6-92d7-4f58-a0ee-9d2f38ea6560</errorID>
      <errorWord>（</errorWord>
      <group>L1_Format</group>
      <groupName>格式问题</groupName>
      <ability>L2_HalfPunc</ability>
      <abilityName>全半角检查</abilityName>
      <candidateList>
        <item>(</item>
      </candidateList>
      <explain>文本全半角错误。</explain>
      <paraID>131DC9CE</paraID>
      <start>0</start>
      <end>1</end>
      <status>unmodified</status>
      <modifiedWord/>
      <trackRevisions>false</trackRevisions>
    </reviewItem>
    <reviewItem>
      <errorID>97339104-d8fd-4f8c-8f91-a3f7705754ae</errorID>
      <errorWord>）</errorWord>
      <group>L1_Format</group>
      <groupName>格式问题</groupName>
      <ability>L2_HalfPunc</ability>
      <abilityName>全半角检查</abilityName>
      <candidateList>
        <item>)</item>
      </candidateList>
      <explain>文本全半角错误。</explain>
      <paraID>131DC9CE</paraID>
      <start>2</start>
      <end>3</end>
      <status>unmodified</status>
      <modifiedWord/>
      <trackRevisions>false</trackRevisions>
    </reviewItem>
    <reviewItem>
      <errorID>1310ebe9-bc1a-473c-aaf9-ff8c6d9306ca</errorID>
      <errorWord>（</errorWord>
      <group>L1_Format</group>
      <groupName>格式问题</groupName>
      <ability>L2_HalfPunc</ability>
      <abilityName>全半角检查</abilityName>
      <candidateList>
        <item>(</item>
      </candidateList>
      <explain>文本全半角错误。</explain>
      <paraID>51F02851</paraID>
      <start>0</start>
      <end>1</end>
      <status>unmodified</status>
      <modifiedWord/>
      <trackRevisions>false</trackRevisions>
    </reviewItem>
    <reviewItem>
      <errorID>8c1f95bd-99e4-4fb7-b933-19e145bfc328</errorID>
      <errorWord>）</errorWord>
      <group>L1_Format</group>
      <groupName>格式问题</groupName>
      <ability>L2_HalfPunc</ability>
      <abilityName>全半角检查</abilityName>
      <candidateList>
        <item>)</item>
      </candidateList>
      <explain>文本全半角错误。</explain>
      <paraID>51F02851</paraID>
      <start>2</start>
      <end>3</end>
      <status>unmodified</status>
      <modifiedWord/>
      <trackRevisions>false</trackRevisions>
    </reviewItem>
    <reviewItem>
      <errorID>4b37a180-2b27-492e-a33b-ef031db2edb4</errorID>
      <errorWord>（</errorWord>
      <group>L1_Format</group>
      <groupName>格式问题</groupName>
      <ability>L2_HalfPunc</ability>
      <abilityName>全半角检查</abilityName>
      <candidateList>
        <item>(</item>
      </candidateList>
      <explain>文本全半角错误。</explain>
      <paraID>6FAEABC4</paraID>
      <start>0</start>
      <end>1</end>
      <status>unmodified</status>
      <modifiedWord/>
      <trackRevisions>false</trackRevisions>
    </reviewItem>
    <reviewItem>
      <errorID>a1ed7179-f7e2-446c-8906-e2e5c1578c68</errorID>
      <errorWord>）</errorWord>
      <group>L1_Format</group>
      <groupName>格式问题</groupName>
      <ability>L2_HalfPunc</ability>
      <abilityName>全半角检查</abilityName>
      <candidateList>
        <item>)</item>
      </candidateList>
      <explain>文本全半角错误。</explain>
      <paraID>6FAEABC4</paraID>
      <start>2</start>
      <end>3</end>
      <status>unmodified</status>
      <modifiedWord/>
      <trackRevisions>false</trackRevisions>
    </reviewItem>
    <reviewItem>
      <errorID>7f8083bd-9a08-4a80-b7a0-d127d570bc12</errorID>
      <errorWord>，</errorWord>
      <group>L1_Format</group>
      <groupName>格式问题</groupName>
      <ability>L2_HalfPunc</ability>
      <abilityName>全半角检查</abilityName>
      <candidateList>
        <item>,</item>
      </candidateList>
      <explain>文本全半角错误。</explain>
      <paraID> 7DFA979</paraID>
      <start>9</start>
      <end>10</end>
      <status>unmodified</status>
      <modifiedWord/>
      <trackRevisions>false</trackRevisions>
    </reviewItem>
    <reviewItem>
      <errorID>c02c2ded-12be-437b-8f79-8f4fce4168c4</errorID>
      <errorWord>，</errorWord>
      <group>L1_Format</group>
      <groupName>格式问题</groupName>
      <ability>L2_HalfPunc</ability>
      <abilityName>全半角检查</abilityName>
      <candidateList>
        <item>,</item>
      </candidateList>
      <explain>文本全半角错误。</explain>
      <paraID>29BB4D03</paraID>
      <start>9</start>
      <end>10</end>
      <status>unmodified</status>
      <modifiedWord/>
      <trackRevisions>false</trackRevisions>
    </reviewItem>
    <reviewItem>
      <errorID>ff8b9d9b-7b3b-4e0e-9527-c508cf64ffc4</errorID>
      <errorWord>-</errorWord>
      <group>L1_Format</group>
      <groupName>格式问题</groupName>
      <ability>L2_HalfPunc</ability>
      <abilityName>全半角检查</abilityName>
      <candidateList>
        <item>－</item>
      </candidateList>
      <explain>文本全半角错误。</explain>
      <paraID>70A44D48</paraID>
      <start>3</start>
      <end>4</end>
      <status>unmodified</status>
      <modifiedWord/>
      <trackRevisions>false</trackRevisions>
    </reviewItem>
    <reviewItem>
      <errorID>e44356b9-fae5-4743-973b-04f4a8f85ab9</errorID>
      <errorWord>，</errorWord>
      <group>L1_Format</group>
      <groupName>格式问题</groupName>
      <ability>L2_HalfPunc</ability>
      <abilityName>全半角检查</abilityName>
      <candidateList>
        <item>,</item>
      </candidateList>
      <explain>文本全半角错误。</explain>
      <paraID>5A2F5BCC</paraID>
      <start>9</start>
      <end>10</end>
      <status>unmodified</status>
      <modifiedWord/>
      <trackRevisions>false</trackRevisions>
    </reviewItem>
    <reviewItem>
      <errorID>d26712b9-ff2f-4702-a217-14c0bbf40caa</errorID>
      <errorWord>-</errorWord>
      <group>L1_Format</group>
      <groupName>格式问题</groupName>
      <ability>L2_HalfPunc</ability>
      <abilityName>全半角检查</abilityName>
      <candidateList>
        <item>－</item>
      </candidateList>
      <explain>文本全半角错误。</explain>
      <paraID>65E1812A</paraID>
      <start>3</start>
      <end>4</end>
      <status>unmodified</status>
      <modifiedWord/>
      <trackRevisions>false</trackRevisions>
    </reviewItem>
    <reviewItem>
      <errorID>050adc0a-4c5a-4c5a-94b5-e33335c3c8ee</errorID>
      <errorWord>，</errorWord>
      <group>L1_Format</group>
      <groupName>格式问题</groupName>
      <ability>L2_HalfPunc</ability>
      <abilityName>全半角检查</abilityName>
      <candidateList>
        <item>,</item>
      </candidateList>
      <explain>文本全半角错误。</explain>
      <paraID>522FB778</paraID>
      <start>9</start>
      <end>10</end>
      <status>unmodified</status>
      <modifiedWord/>
      <trackRevisions>false</trackRevisions>
    </reviewItem>
    <reviewItem>
      <errorID>a1aee3e9-5c12-4c05-94cb-4dc1c24d1046</errorID>
      <errorWord>，</errorWord>
      <group>L1_Format</group>
      <groupName>格式问题</groupName>
      <ability>L2_HalfPunc</ability>
      <abilityName>全半角检查</abilityName>
      <candidateList>
        <item>,</item>
      </candidateList>
      <explain>文本全半角错误。</explain>
      <paraID> 92B21EF</paraID>
      <start>9</start>
      <end>10</end>
      <status>unmodified</status>
      <modifiedWord/>
      <trackRevisions>false</trackRevisions>
    </reviewItem>
    <reviewItem>
      <errorID>5e4ea19d-75e9-465a-8d57-9e709465128f</errorID>
      <errorWord>容量法</errorWord>
      <group>L1_Knowledge</group>
      <groupName>知识性问题</groupName>
      <ability>L2_Term</ability>
      <abilityName>专业术语</abilityName>
      <candidateList>
        <item>滴定法</item>
      </candidateList>
      <explain>医学名词[容量法]为不规范表述或旧称，其规范书面表述为[滴定法]。</explain>
      <paraID> 25FE5C0</paraID>
      <start>10</start>
      <end>13</end>
      <status>unmodified</status>
      <modifiedWord/>
      <trackRevisions>false</trackRevisions>
    </reviewItem>
    <reviewItem>
      <errorID>b3a57bda-9068-466b-a129-add9451de3e4</errorID>
      <errorWord>~</errorWord>
      <group>L1_Format</group>
      <groupName>格式问题</groupName>
      <ability>L2_HalfPunc</ability>
      <abilityName>全半角检查</abilityName>
      <candidateList>
        <item>～</item>
      </candidateList>
      <explain>文本全半角错误。</explain>
      <paraID>4013127C</paraID>
      <start>18</start>
      <end>19</end>
      <status>unmodified</status>
      <modifiedWord/>
      <trackRevisions>false</trackRevisions>
    </reviewItem>
    <reviewItem>
      <errorID>c8d73716-62a5-4aea-90a7-2b70400b6479</errorID>
      <errorWord>（</errorWord>
      <group>L1_Format</group>
      <groupName>格式问题</groupName>
      <ability>L2_HalfPunc</ability>
      <abilityName>全半角检查</abilityName>
      <candidateList>
        <item>(</item>
      </candidateList>
      <explain>文本全半角错误。</explain>
      <paraID>6C703B15</paraID>
      <start>2</start>
      <end>3</end>
      <status>unmodified</status>
      <modifiedWord/>
      <trackRevisions>false</trackRevisions>
    </reviewItem>
    <reviewItem>
      <errorID>18d6de6d-d44c-49e8-919b-9159a20cefbe</errorID>
      <errorWord>）</errorWord>
      <group>L1_Format</group>
      <groupName>格式问题</groupName>
      <ability>L2_HalfPunc</ability>
      <abilityName>全半角检查</abilityName>
      <candidateList>
        <item>)</item>
      </candidateList>
      <explain>文本全半角错误。</explain>
      <paraID>6C703B15</paraID>
      <start>7</start>
      <end>8</end>
      <status>unmodified</status>
      <modifiedWord/>
      <trackRevisions>false</trackRevisions>
    </reviewItem>
    <reviewItem>
      <errorID>1eb71c6a-1b66-4659-95b8-680069f8c7ca</errorID>
      <errorWord>（</errorWord>
      <group>L1_Format</group>
      <groupName>格式问题</groupName>
      <ability>L2_HalfPunc</ability>
      <abilityName>全半角检查</abilityName>
      <candidateList>
        <item>(</item>
      </candidateList>
      <explain>文本全半角错误。</explain>
      <paraID>7CEEC2B8</paraID>
      <start>3</start>
      <end>4</end>
      <status>unmodified</status>
      <modifiedWord/>
      <trackRevisions>false</trackRevisions>
    </reviewItem>
    <reviewItem>
      <errorID>4d5a783b-6266-4ba3-8c57-e979e2208cf2</errorID>
      <errorWord>）</errorWord>
      <group>L1_Format</group>
      <groupName>格式问题</groupName>
      <ability>L2_HalfPunc</ability>
      <abilityName>全半角检查</abilityName>
      <candidateList>
        <item>)</item>
      </candidateList>
      <explain>文本全半角错误。</explain>
      <paraID>7CEEC2B8</paraID>
      <start>8</start>
      <end>9</end>
      <status>unmodified</status>
      <modifiedWord/>
      <trackRevisions>false</trackRevisions>
    </reviewItem>
    <reviewItem>
      <errorID>4ad6d360-5ffb-4360-80a8-b86bba09cbc5</errorID>
      <errorWord>（</errorWord>
      <group>L1_Format</group>
      <groupName>格式问题</groupName>
      <ability>L2_HalfPunc</ability>
      <abilityName>全半角检查</abilityName>
      <candidateList>
        <item>(</item>
      </candidateList>
      <explain>文本全半角错误。</explain>
      <paraID>7DDE489C</paraID>
      <start>4</start>
      <end>5</end>
      <status>unmodified</status>
      <modifiedWord/>
      <trackRevisions>false</trackRevisions>
    </reviewItem>
    <reviewItem>
      <errorID>0e52a6f0-2cc9-4f18-aab0-dc9e343eb88a</errorID>
      <errorWord>）</errorWord>
      <group>L1_Format</group>
      <groupName>格式问题</groupName>
      <ability>L2_HalfPunc</ability>
      <abilityName>全半角检查</abilityName>
      <candidateList>
        <item>)</item>
      </candidateList>
      <explain>文本全半角错误。</explain>
      <paraID>7DDE489C</paraID>
      <start>9</start>
      <end>10</end>
      <status>unmodified</status>
      <modifiedWord/>
      <trackRevisions>false</trackRevisions>
    </reviewItem>
    <reviewItem>
      <errorID>62a46375-8244-448c-a29c-fc09a5837815</errorID>
      <errorWord>（</errorWord>
      <group>L1_Format</group>
      <groupName>格式问题</groupName>
      <ability>L2_HalfPunc</ability>
      <abilityName>全半角检查</abilityName>
      <candidateList>
        <item>(</item>
      </candidateList>
      <explain>文本全半角错误。</explain>
      <paraID>68F166E7</paraID>
      <start>4</start>
      <end>5</end>
      <status>unmodified</status>
      <modifiedWord/>
      <trackRevisions>false</trackRevisions>
    </reviewItem>
    <reviewItem>
      <errorID>d74a729a-739e-45dc-a1fb-6b5a7ed91ba0</errorID>
      <errorWord>）</errorWord>
      <group>L1_Format</group>
      <groupName>格式问题</groupName>
      <ability>L2_HalfPunc</ability>
      <abilityName>全半角检查</abilityName>
      <candidateList>
        <item>)</item>
      </candidateList>
      <explain>文本全半角错误。</explain>
      <paraID>68F166E7</paraID>
      <start>9</start>
      <end>10</end>
      <status>unmodified</status>
      <modifiedWord/>
      <trackRevisions>false</trackRevisions>
    </reviewItem>
    <reviewItem>
      <errorID>0b8faf2e-1cf0-48ae-9f1c-3edc9a3e90ca</errorID>
      <errorWord>（</errorWord>
      <group>L1_Format</group>
      <groupName>格式问题</groupName>
      <ability>L2_HalfPunc</ability>
      <abilityName>全半角检查</abilityName>
      <candidateList>
        <item>(</item>
      </candidateList>
      <explain>文本全半角错误。</explain>
      <paraID>1D4D903D</paraID>
      <start>5</start>
      <end>6</end>
      <status>unmodified</status>
      <modifiedWord/>
      <trackRevisions>false</trackRevisions>
    </reviewItem>
    <reviewItem>
      <errorID>27fd0c1b-3db2-4180-9a86-4ee431b53082</errorID>
      <errorWord>）</errorWord>
      <group>L1_Format</group>
      <groupName>格式问题</groupName>
      <ability>L2_HalfPunc</ability>
      <abilityName>全半角检查</abilityName>
      <candidateList>
        <item>)</item>
      </candidateList>
      <explain>文本全半角错误。</explain>
      <paraID>1D4D903D</paraID>
      <start>10</start>
      <end>11</end>
      <status>unmodified</status>
      <modifiedWord/>
      <trackRevisions>false</trackRevisions>
    </reviewItem>
    <reviewItem>
      <errorID>0d3c4425-642b-4f7e-96e6-9ffc3ea3515c</errorID>
      <errorWord>（</errorWord>
      <group>L1_Format</group>
      <groupName>格式问题</groupName>
      <ability>L2_HalfPunc</ability>
      <abilityName>全半角检查</abilityName>
      <candidateList>
        <item>(</item>
      </candidateList>
      <explain>文本全半角错误。</explain>
      <paraID>56DD66F8</paraID>
      <start>5</start>
      <end>6</end>
      <status>unmodified</status>
      <modifiedWord/>
      <trackRevisions>false</trackRevisions>
    </reviewItem>
    <reviewItem>
      <errorID>e2f297c1-fbf1-4450-ba67-21f61abecc8d</errorID>
      <errorWord>）</errorWord>
      <group>L1_Format</group>
      <groupName>格式问题</groupName>
      <ability>L2_HalfPunc</ability>
      <abilityName>全半角检查</abilityName>
      <candidateList>
        <item>)</item>
      </candidateList>
      <explain>文本全半角错误。</explain>
      <paraID>56DD66F8</paraID>
      <start>10</start>
      <end>11</end>
      <status>unmodified</status>
      <modifiedWord/>
      <trackRevisions>false</trackRevisions>
    </reviewItem>
    <reviewItem>
      <errorID>bdd22ff8-b9b8-4b5b-aae7-c1d025bd727f</errorID>
      <errorWord>（</errorWord>
      <group>L1_Format</group>
      <groupName>格式问题</groupName>
      <ability>L2_HalfPunc</ability>
      <abilityName>全半角检查</abilityName>
      <candidateList>
        <item>(</item>
      </candidateList>
      <explain>文本全半角错误。</explain>
      <paraID> 7A63C22</paraID>
      <start>3</start>
      <end>4</end>
      <status>unmodified</status>
      <modifiedWord/>
      <trackRevisions>false</trackRevisions>
    </reviewItem>
    <reviewItem>
      <errorID>75783f27-0e2d-4e38-96ea-1c3c9053fd0e</errorID>
      <errorWord>）</errorWord>
      <group>L1_Format</group>
      <groupName>格式问题</groupName>
      <ability>L2_HalfPunc</ability>
      <abilityName>全半角检查</abilityName>
      <candidateList>
        <item>)</item>
      </candidateList>
      <explain>文本全半角错误。</explain>
      <paraID> 7A63C22</paraID>
      <start>8</start>
      <end>9</end>
      <status>unmodified</status>
      <modifiedWord/>
      <trackRevisions>false</trackRevisions>
    </reviewItem>
    <reviewItem>
      <errorID>bdd2a51d-16f3-4d93-80be-e69f08d1ae3c</errorID>
      <errorWord>（</errorWord>
      <group>L1_Format</group>
      <groupName>格式问题</groupName>
      <ability>L2_HalfPunc</ability>
      <abilityName>全半角检查</abilityName>
      <candidateList>
        <item>(</item>
      </candidateList>
      <explain>文本全半角错误。</explain>
      <paraID>534A294A</paraID>
      <start>5</start>
      <end>6</end>
      <status>unmodified</status>
      <modifiedWord/>
      <trackRevisions>false</trackRevisions>
    </reviewItem>
    <reviewItem>
      <errorID>e9e2d173-2557-4507-93d3-795609b52c11</errorID>
      <errorWord>）</errorWord>
      <group>L1_Format</group>
      <groupName>格式问题</groupName>
      <ability>L2_HalfPunc</ability>
      <abilityName>全半角检查</abilityName>
      <candidateList>
        <item>)</item>
      </candidateList>
      <explain>文本全半角错误。</explain>
      <paraID>534A294A</paraID>
      <start>10</start>
      <end>11</end>
      <status>unmodified</status>
      <modifiedWord/>
      <trackRevisions>false</trackRevisions>
    </reviewItem>
    <reviewItem>
      <errorID>d6a49184-e85b-4ff4-8020-9aa0f9530a06</errorID>
      <errorWord>～</errorWord>
      <group>L1_Format</group>
      <groupName>格式问题</groupName>
      <ability>L2_HalfPunc</ability>
      <abilityName>全半角检查</abilityName>
      <candidateList>
        <item>~</item>
      </candidateList>
      <explain>文本全半角错误。</explain>
      <paraID>1430E7C0</paraID>
      <start>3</start>
      <end>4</end>
      <status>unmodified</status>
      <modifiedWord/>
      <trackRevisions>false</trackRevisions>
    </reviewItem>
    <reviewItem>
      <errorID>1f2c904f-f718-4c23-b127-519ad0b42b37</errorID>
      <errorWord>II类</errorWord>
      <group>L1_Knowledge</group>
      <groupName>知识性问题</groupName>
      <ability>L2_Knowledge</ability>
      <abilityName>其他知识</abilityName>
      <candidateList>
        <item>Ⅱ类</item>
      </candidateList>
      <explain/>
      <paraID>136D0179</paraID>
      <start>116</start>
      <end>119</end>
      <status>unmodified</status>
      <modifiedWord/>
      <trackRevisions>false</trackRevisions>
    </reviewItem>
    <reviewItem>
      <errorID>513a65ad-bd1d-49bb-a9ae-c2b7334b1977</errorID>
      <errorWord>，</errorWord>
      <group>L1_Word</group>
      <groupName>字词问题</groupName>
      <ability>L2_Typo</ability>
      <abilityName>字词错误</abilityName>
      <candidateList>
        <item>，在</item>
      </candidateList>
      <explain/>
      <paraID>136D0179</paraID>
      <start>157</start>
      <end>158</end>
      <status>unmodified</status>
      <modifiedWord/>
      <trackRevisions>false</trackRevisions>
    </reviewItem>
    <reviewItem>
      <errorID>5a758176-14d2-4bd7-8a63-432776cd329a</errorID>
      <errorWord>&lt;</errorWord>
      <group>L1_Format</group>
      <groupName>格式问题</groupName>
      <ability>L2_HalfPunc</ability>
      <abilityName>全半角检查</abilityName>
      <candidateList>
        <item>〈</item>
      </candidateList>
      <explain>文本全半角错误。</explain>
      <paraID>73F66A50</paraID>
      <start>15</start>
      <end>16</end>
      <status>unmodified</status>
      <modifiedWord/>
      <trackRevisions>false</trackRevisions>
    </reviewItem>
    <reviewItem>
      <errorID>94239c8d-e8e9-4c21-95dd-0490b7958dfe</errorID>
      <errorWord>&gt;</errorWord>
      <group>L1_Format</group>
      <groupName>格式问题</groupName>
      <ability>L2_HalfPunc</ability>
      <abilityName>全半角检查</abilityName>
      <candidateList>
        <item>〉</item>
      </candidateList>
      <explain>文本全半角错误。</explain>
      <paraID>73F66A50</paraID>
      <start>49</start>
      <end>50</end>
      <status>unmodified</status>
      <modifiedWord/>
      <trackRevisions>false</trackRevisions>
    </reviewItem>
    <reviewItem>
      <errorID>db06f921-3e4e-48ca-aa36-d793c102d6dc</errorID>
      <errorWord>于</errorWord>
      <group>L1_Word</group>
      <groupName>字词问题</groupName>
      <ability>L2_Typo</ability>
      <abilityName>字词错误</abilityName>
      <candidateList>
        <item>与</item>
      </candidateList>
      <explain>存在发音相同字词的误用。</explain>
      <paraID>73F66A50</paraID>
      <start>161</start>
      <end>162</end>
      <status>unmodified</status>
      <modifiedWord/>
      <trackRevisions>false</trackRevisions>
    </reviewItem>
    <reviewItem>
      <errorID>9f11c90d-5000-405a-90ec-76f9dd5b2a17</errorID>
      <errorWord>重碳酸盐</errorWord>
      <group>L1_Knowledge</group>
      <groupName>知识性问题</groupName>
      <ability>L2_Term</ability>
      <abilityName>专业术语</abilityName>
      <candidateList>
        <item>碳酸氢盐</item>
      </candidateList>
      <explain>医学名词[重碳酸盐]为不规范表述或旧称，其规范书面表述为[碳酸氢盐]。</explain>
      <paraID>55394BCE</paraID>
      <start>115</start>
      <end>119</end>
      <status>unmodified</status>
      <modifiedWord/>
      <trackRevisions>false</trackRevisions>
    </reviewItem>
    <reviewItem>
      <errorID>3337385c-b66e-45cc-aa3b-cb4e723165e2</errorID>
      <errorWord>，</errorWord>
      <group>L1_Word</group>
      <groupName>字词问题</groupName>
      <ability>L2_Typo</ability>
      <abilityName>字词错误</abilityName>
      <candidateList>
        <item>，在</item>
      </candidateList>
      <explain/>
      <paraID>6940FA39</paraID>
      <start>105</start>
      <end>106</end>
      <status>unmodified</status>
      <modifiedWord/>
      <trackRevisions>false</trackRevisions>
    </reviewItem>
    <reviewItem>
      <errorID>8b3f7264-287d-4102-a803-7029c81e64b2</errorID>
      <errorWord>~</errorWord>
      <group>L1_Format</group>
      <groupName>格式问题</groupName>
      <ability>L2_HalfPunc</ability>
      <abilityName>全半角检查</abilityName>
      <candidateList>
        <item>～</item>
      </candidateList>
      <explain>文本全半角错误。</explain>
      <paraID>378D6765</paraID>
      <start>63</start>
      <end>64</end>
      <status>unmodified</status>
      <modifiedWord/>
      <trackRevisions>false</trackRevisions>
    </reviewItem>
    <reviewItem>
      <errorID>0d565833-0782-4b70-a016-e9121c2a0721</errorID>
      <errorWord>，</errorWord>
      <group>L1_Format</group>
      <groupName>格式问题</groupName>
      <ability>L2_HalfPunc</ability>
      <abilityName>全半角检查</abilityName>
      <candidateList>
        <item>,</item>
      </candidateList>
      <explain>文本全半角错误。</explain>
      <paraID>581868B6</paraID>
      <start>9</start>
      <end>10</end>
      <status>unmodified</status>
      <modifiedWord/>
      <trackRevisions>false</trackRevisions>
    </reviewItem>
    <reviewItem>
      <errorID>959ad101-432c-49ed-bb40-c2bbfb28f227</errorID>
      <errorWord>，</errorWord>
      <group>L1_Format</group>
      <groupName>格式问题</groupName>
      <ability>L2_HalfPunc</ability>
      <abilityName>全半角检查</abilityName>
      <candidateList>
        <item>,</item>
      </candidateList>
      <explain>文本全半角错误。</explain>
      <paraID>102C97CC</paraID>
      <start>9</start>
      <end>10</end>
      <status>unmodified</status>
      <modifiedWord/>
      <trackRevisions>false</trackRevisions>
    </reviewItem>
    <reviewItem>
      <errorID>c8d4bb91-7660-41fc-8bc4-27833de0cdb2</errorID>
      <errorWord>-</errorWord>
      <group>L1_Format</group>
      <groupName>格式问题</groupName>
      <ability>L2_HalfPunc</ability>
      <abilityName>全半角检查</abilityName>
      <candidateList>
        <item>－</item>
      </candidateList>
      <explain>文本全半角错误。</explain>
      <paraID>50EAC189</paraID>
      <start>5</start>
      <end>6</end>
      <status>unmodified</status>
      <modifiedWord/>
      <trackRevisions>false</trackRevisions>
    </reviewItem>
    <reviewItem>
      <errorID>a381a378-6fe6-4958-a2b4-387136e84b6a</errorID>
      <errorWord>，</errorWord>
      <group>L1_Format</group>
      <groupName>格式问题</groupName>
      <ability>L2_HalfPunc</ability>
      <abilityName>全半角检查</abilityName>
      <candidateList>
        <item>,</item>
      </candidateList>
      <explain>文本全半角错误。</explain>
      <paraID>590F7637</paraID>
      <start>9</start>
      <end>10</end>
      <status>unmodified</status>
      <modifiedWord/>
      <trackRevisions>false</trackRevisions>
    </reviewItem>
    <reviewItem>
      <errorID>fb296705-f42c-4486-a745-702af8aae445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2D49F225</paraID>
      <start>12</start>
      <end>13</end>
      <status>unmodified</status>
      <modifiedWord/>
      <trackRevisions>false</trackRevisions>
    </reviewItem>
    <reviewItem>
      <errorID>b5dc2500-3648-4996-99a7-9973b9d26a4a</errorID>
      <errorWord>-</errorWord>
      <group>L1_Format</group>
      <groupName>格式问题</groupName>
      <ability>L2_HalfPunc</ability>
      <abilityName>全半角检查</abilityName>
      <candidateList>
        <item>－</item>
      </candidateList>
      <explain>文本全半角错误。</explain>
      <paraID>26A2E051</paraID>
      <start>5</start>
      <end>6</end>
      <status>unmodified</status>
      <modifiedWord/>
      <trackRevisions>false</trackRevisions>
    </reviewItem>
    <reviewItem>
      <errorID>2c0699f6-30b5-4b14-b49d-193d32c4f84a</errorID>
      <errorWord>来</errorWord>
      <group>L1_Word</group>
      <groupName>字词问题</groupName>
      <ability>L2_Typo</ability>
      <abilityName>字词错误</abilityName>
      <candidateList>
        <item>来自</item>
      </candidateList>
      <explain/>
      <paraID>3421444C</paraID>
      <start>13</start>
      <end>14</end>
      <status>unmodified</status>
      <modifiedWord/>
      <trackRevisions>false</trackRevisions>
    </reviewItem>
    <reviewItem>
      <errorID>5828db94-a547-49dd-9f52-68e0394e434e</errorID>
      <errorWord>)</errorWord>
      <group>L1_Format</group>
      <groupName>格式问题</groupName>
      <ability>L2_HalfPunc</ability>
      <abilityName>全半角检查</abilityName>
      <candidateList>
        <item>）</item>
      </candidateList>
      <explain>文本全半角错误。</explain>
      <paraID>3421444C</paraID>
      <start>53</start>
      <end>54</end>
      <status>ignored</status>
      <modifiedWord/>
      <trackRevisions>false</trackRevisions>
    </reviewItem>
    <reviewItem>
      <errorID>2bb4413d-4108-4e48-a60c-7a12ef89848b</errorID>
      <errorWord>)</errorWord>
      <group>L1_Format</group>
      <groupName>格式问题</groupName>
      <ability>L2_HalfPunc</ability>
      <abilityName>全半角检查</abilityName>
      <candidateList>
        <item>）</item>
      </candidateList>
      <explain>文本全半角错误。</explain>
      <paraID>3421444C</paraID>
      <start>81</start>
      <end>82</end>
      <status>ignored</status>
      <modifiedWord/>
      <trackRevisions>false</trackRevisions>
    </reviewItem>
    <reviewItem>
      <errorID>28510b18-99df-41b8-b926-b3bbf4f358a3</errorID>
      <errorWord>-</errorWord>
      <group>L1_Format</group>
      <groupName>格式问题</groupName>
      <ability>L2_HalfPunc</ability>
      <abilityName>全半角检查</abilityName>
      <candidateList>
        <item>－</item>
      </candidateList>
      <explain>文本全半角错误。</explain>
      <paraID>403245EF</paraID>
      <start>5</start>
      <end>6</end>
      <status>unmodified</status>
      <modifiedWord/>
      <trackRevisions>false</trackRevisions>
    </reviewItem>
    <reviewItem>
      <errorID>2a5c2d39-c954-4be0-be6e-db77600be270</errorID>
      <errorWord>，</errorWord>
      <group>L1_Format</group>
      <groupName>格式问题</groupName>
      <ability>L2_HalfPunc</ability>
      <abilityName>全半角检查</abilityName>
      <candidateList>
        <item>,</item>
      </candidateList>
      <explain>文本全半角错误。</explain>
      <paraID>1BA0A604</paraID>
      <start>10</start>
      <end>11</end>
      <status>unmodified</status>
      <modifiedWord/>
      <trackRevisions>false</trackRevisions>
    </reviewItem>
    <reviewItem>
      <errorID>4a9bd0c0-28a9-441c-ab0c-4e1fdc408239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5AF84BEE</paraID>
      <start>2</start>
      <end>3</end>
      <status>ignored</status>
      <modifiedWord/>
      <trackRevisions>false</trackRevisions>
    </reviewItem>
    <reviewItem>
      <errorID>4b343df1-0bf0-40b7-9f2c-e74795485a54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3CC7FC4</paraID>
      <start>3</start>
      <end>4</end>
      <status>ignored</status>
      <modifiedWord/>
      <trackRevisions>false</trackRevisions>
    </reviewItem>
    <reviewItem>
      <errorID>f867d4f4-53da-41c6-913f-4cc40b41b93b</errorID>
      <errorWord>25～45%</errorWord>
      <group>L1_Knowledge</group>
      <groupName>知识性问题</groupName>
      <ability>L2_Knowledge</ability>
      <abilityName>其他知识</abilityName>
      <candidateList>
        <item>25%～45%</item>
      </candidateList>
      <explain>1. “25～45%”中的单位“%”仅出现在后一个数字上，容易引起歧义；根据《现代汉语标点符号数字用法规范手册》，数字表示范围两边需要使用统一的格式。2. 根据标点国标 4.13 中的规则，数字、时间或地域连接符应使用（视觉上更长的）“—”或“～”。</explain>
      <paraID>37B1C99C</paraID>
      <start>0</start>
      <end>6</end>
      <status>unmodified</status>
      <modifiedWord/>
      <trackRevisions>false</trackRevisions>
    </reviewItem>
    <reviewItem>
      <errorID>da96d6a9-37e7-41ee-a5de-b4a10233d79b</errorID>
      <errorWord>25～45%</errorWord>
      <group>L1_Knowledge</group>
      <groupName>知识性问题</groupName>
      <ability>L2_Knowledge</ability>
      <abilityName>其他知识</abilityName>
      <candidateList>
        <item>25%～45%</item>
      </candidateList>
      <explain>1. “25～45%”中的单位“%”仅出现在后一个数字上，容易引起歧义；根据《现代汉语标点符号数字用法规范手册》，数字表示范围两边需要使用统一的格式。2. 根据标点国标 4.13 中的规则，数字、时间或地域连接符应使用（视觉上更长的）“—”或“～”。</explain>
      <paraID>2EEC5F9E</paraID>
      <start>0</start>
      <end>6</end>
      <status>unmodified</status>
      <modifiedWord/>
      <trackRevisions>false</trackRevisions>
    </reviewItem>
    <reviewItem>
      <errorID>21627f0c-87eb-481f-b4f9-8a6d807445fd</errorID>
      <errorWord>25～45%</errorWord>
      <group>L1_Knowledge</group>
      <groupName>知识性问题</groupName>
      <ability>L2_Knowledge</ability>
      <abilityName>其他知识</abilityName>
      <candidateList>
        <item>25%～45%</item>
      </candidateList>
      <explain>1. “25～45%”中的单位“%”仅出现在后一个数字上，容易引起歧义；根据《现代汉语标点符号数字用法规范手册》，数字表示范围两边需要使用统一的格式。2. 根据标点国标 4.13 中的规则，数字、时间或地域连接符应使用（视觉上更长的）“—”或“～”。</explain>
      <paraID>7B21BAC9</paraID>
      <start>0</start>
      <end>6</end>
      <status>unmodified</status>
      <modifiedWord/>
      <trackRevisions>false</trackRevisions>
    </reviewItem>
    <reviewItem>
      <errorID>e0c35778-947d-4062-ad82-35c8ca8d9498</errorID>
      <errorWord>(</errorWord>
      <group>L1_Format</group>
      <groupName>格式问题</groupName>
      <ability>L2_HalfPunc</ability>
      <abilityName>全半角检查</abilityName>
      <candidateList>
        <item>（</item>
      </candidateList>
      <explain>文本全半角错误。</explain>
      <paraID> BEF3156</paraID>
      <start>6</start>
      <end>7</end>
      <status>ignored</status>
      <modifiedWord/>
      <trackRevisions>false</trackRevisions>
    </reviewItem>
    <reviewItem>
      <errorID>a1d16ca6-1347-4f77-b56c-096a2bd68a66</errorID>
      <errorWord>)</errorWord>
      <group>L1_Format</group>
      <groupName>格式问题</groupName>
      <ability>L2_HalfPunc</ability>
      <abilityName>全半角检查</abilityName>
      <candidateList>
        <item>）</item>
      </candidateList>
      <explain>文本全半角错误。</explain>
      <paraID> BEF3156</paraID>
      <start>15</start>
      <end>16</end>
      <status>ignored</status>
      <modifiedWord/>
      <trackRevisions>false</trackRevisions>
    </reviewItem>
    <reviewItem>
      <errorID>6fa87cef-4a48-4ecf-a800-2ecca163a86f</errorID>
      <errorWord>(</errorWord>
      <group>L1_Format</group>
      <groupName>格式问题</groupName>
      <ability>L2_HalfPunc</ability>
      <abilityName>全半角检查</abilityName>
      <candidateList>
        <item>（</item>
      </candidateList>
      <explain>文本全半角错误。</explain>
      <paraID> 21C8FFF</paraID>
      <start>5</start>
      <end>6</end>
      <status>ignored</status>
      <modifiedWord/>
      <trackRevisions>false</trackRevisions>
    </reviewItem>
    <reviewItem>
      <errorID>293b3841-1e18-48af-9ae7-bc04753cfe39</errorID>
      <errorWord>)</errorWord>
      <group>L1_Format</group>
      <groupName>格式问题</groupName>
      <ability>L2_HalfPunc</ability>
      <abilityName>全半角检查</abilityName>
      <candidateList>
        <item>）</item>
      </candidateList>
      <explain>文本全半角错误。</explain>
      <paraID> 21C8FFF</paraID>
      <start>12</start>
      <end>13</end>
      <status>ignored</status>
      <modifiedWord/>
      <trackRevisions>false</trackRevisions>
    </reviewItem>
    <reviewItem>
      <errorID>758a5726-d67d-40b1-9317-6b23005c0195</errorID>
      <errorWord>(</errorWord>
      <group>L1_Format</group>
      <groupName>格式问题</groupName>
      <ability>L2_HalfPunc</ability>
      <abilityName>全半角检查</abilityName>
      <candidateList>
        <item>（</item>
      </candidateList>
      <explain>文本全半角错误。</explain>
      <paraID>7957B75E</paraID>
      <start>3</start>
      <end>4</end>
      <status>ignored</status>
      <modifiedWord/>
      <trackRevisions>false</trackRevisions>
    </reviewItem>
    <reviewItem>
      <errorID>21dad131-ae16-4ce5-9ac1-708684245a83</errorID>
      <errorWord>)</errorWord>
      <group>L1_Format</group>
      <groupName>格式问题</groupName>
      <ability>L2_HalfPunc</ability>
      <abilityName>全半角检查</abilityName>
      <candidateList>
        <item>）</item>
      </candidateList>
      <explain>文本全半角错误。</explain>
      <paraID>7957B75E</paraID>
      <start>5</start>
      <end>6</end>
      <status>ignored</status>
      <modifiedWord/>
      <trackRevisions>false</trackRevisions>
    </reviewItem>
    <reviewItem>
      <errorID>f75b7fc3-20c9-4bda-ad62-99168cb43c56</errorID>
      <errorWord>，</errorWord>
      <group>L1_Format</group>
      <groupName>格式问题</groupName>
      <ability>L2_HalfPunc</ability>
      <abilityName>全半角检查</abilityName>
      <candidateList>
        <item>,</item>
      </candidateList>
      <explain>文本全半角错误。</explain>
      <paraID>2A736681</paraID>
      <start>10</start>
      <end>11</end>
      <status>unmodified</status>
      <modifiedWord/>
      <trackRevisions>false</trackRevisions>
    </reviewItem>
    <reviewItem>
      <errorID>7f653452-0464-4f1c-b1a2-c7a5a93ef818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728248D2</paraID>
      <start>2</start>
      <end>3</end>
      <status>ignored</status>
      <modifiedWord/>
      <trackRevisions>false</trackRevisions>
    </reviewItem>
    <reviewItem>
      <errorID>1b5dc48d-2086-4fc8-9fe5-f0eb8a8d3824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C8904D9</paraID>
      <start>3</start>
      <end>4</end>
      <status>ignored</status>
      <modifiedWord/>
      <trackRevisions>false</trackRevisions>
    </reviewItem>
    <reviewItem>
      <errorID>6082003d-dd28-4b50-9613-7c3c133d2a15</errorID>
      <errorWord>25～45%</errorWord>
      <group>L1_Knowledge</group>
      <groupName>知识性问题</groupName>
      <ability>L2_Knowledge</ability>
      <abilityName>其他知识</abilityName>
      <candidateList>
        <item>25%～45%</item>
      </candidateList>
      <explain>1. “25～45%”中的单位“%”仅出现在后一个数字上，容易引起歧义；根据《现代汉语标点符号数字用法规范手册》，数字表示范围两边需要使用统一的格式。2. 根据标点国标 4.13 中的规则，数字、时间或地域连接符应使用（视觉上更长的）“—”或“～”。</explain>
      <paraID>584ABF3A</paraID>
      <start>0</start>
      <end>6</end>
      <status>unmodified</status>
      <modifiedWord/>
      <trackRevisions>false</trackRevisions>
    </reviewItem>
    <reviewItem>
      <errorID>67451d96-8dd6-4231-9881-e1e3f32bb5dc</errorID>
      <errorWord>25～45%</errorWord>
      <group>L1_Knowledge</group>
      <groupName>知识性问题</groupName>
      <ability>L2_Knowledge</ability>
      <abilityName>其他知识</abilityName>
      <candidateList>
        <item>25%～45%</item>
      </candidateList>
      <explain>1. “25～45%”中的单位“%”仅出现在后一个数字上，容易引起歧义；根据《现代汉语标点符号数字用法规范手册》，数字表示范围两边需要使用统一的格式。2. 根据标点国标 4.13 中的规则，数字、时间或地域连接符应使用（视觉上更长的）“—”或“～”。</explain>
      <paraID>11CCBFC4</paraID>
      <start>0</start>
      <end>6</end>
      <status>unmodified</status>
      <modifiedWord/>
      <trackRevisions>false</trackRevisions>
    </reviewItem>
    <reviewItem>
      <errorID>323c444f-068e-493d-9a7a-10b753684581</errorID>
      <errorWord>25～45%</errorWord>
      <group>L1_Knowledge</group>
      <groupName>知识性问题</groupName>
      <ability>L2_Knowledge</ability>
      <abilityName>其他知识</abilityName>
      <candidateList>
        <item>25%～45%</item>
      </candidateList>
      <explain>1. “25～45%”中的单位“%”仅出现在后一个数字上，容易引起歧义；根据《现代汉语标点符号数字用法规范手册》，数字表示范围两边需要使用统一的格式。2. 根据标点国标 4.13 中的规则，数字、时间或地域连接符应使用（视觉上更长的）“—”或“～”。</explain>
      <paraID>5C9442D5</paraID>
      <start>0</start>
      <end>6</end>
      <status>unmodified</status>
      <modifiedWord/>
      <trackRevisions>false</trackRevisions>
    </reviewItem>
    <reviewItem>
      <errorID>8b0160d8-e49e-4a71-8931-887df486f18f</errorID>
      <errorWord>(</errorWord>
      <group>L1_Format</group>
      <groupName>格式问题</groupName>
      <ability>L2_HalfPunc</ability>
      <abilityName>全半角检查</abilityName>
      <candidateList>
        <item>（</item>
      </candidateList>
      <explain>文本全半角错误。</explain>
      <paraID>1DF9C97E</paraID>
      <start>6</start>
      <end>7</end>
      <status>ignored</status>
      <modifiedWord/>
      <trackRevisions>false</trackRevisions>
    </reviewItem>
    <reviewItem>
      <errorID>620b1f9e-b735-4e69-ac7d-7c174512ec2f</errorID>
      <errorWord>)</errorWord>
      <group>L1_Format</group>
      <groupName>格式问题</groupName>
      <ability>L2_HalfPunc</ability>
      <abilityName>全半角检查</abilityName>
      <candidateList>
        <item>）</item>
      </candidateList>
      <explain>文本全半角错误。</explain>
      <paraID>1DF9C97E</paraID>
      <start>15</start>
      <end>16</end>
      <status>ignored</status>
      <modifiedWord/>
      <trackRevisions>false</trackRevisions>
    </reviewItem>
    <reviewItem>
      <errorID>f01b2d2d-ce1d-442a-a47e-75e5f89b74b5</errorID>
      <errorWord>(</errorWord>
      <group>L1_Format</group>
      <groupName>格式问题</groupName>
      <ability>L2_HalfPunc</ability>
      <abilityName>全半角检查</abilityName>
      <candidateList>
        <item>（</item>
      </candidateList>
      <explain>文本全半角错误。</explain>
      <paraID>3B861738</paraID>
      <start>5</start>
      <end>6</end>
      <status>ignored</status>
      <modifiedWord/>
      <trackRevisions>false</trackRevisions>
    </reviewItem>
    <reviewItem>
      <errorID>3f186643-b93b-4144-aeb9-b91cf3c22ab9</errorID>
      <errorWord>)</errorWord>
      <group>L1_Format</group>
      <groupName>格式问题</groupName>
      <ability>L2_HalfPunc</ability>
      <abilityName>全半角检查</abilityName>
      <candidateList>
        <item>）</item>
      </candidateList>
      <explain>文本全半角错误。</explain>
      <paraID>3B861738</paraID>
      <start>12</start>
      <end>13</end>
      <status>ignored</status>
      <modifiedWord/>
      <trackRevisions>false</trackRevisions>
    </reviewItem>
    <reviewItem>
      <errorID>37d92f42-25f8-43a9-9216-925ebde190d8</errorID>
      <errorWord>(</errorWord>
      <group>L1_Format</group>
      <groupName>格式问题</groupName>
      <ability>L2_HalfPunc</ability>
      <abilityName>全半角检查</abilityName>
      <candidateList>
        <item>（</item>
      </candidateList>
      <explain>文本全半角错误。</explain>
      <paraID>7896E122</paraID>
      <start>3</start>
      <end>4</end>
      <status>ignored</status>
      <modifiedWord/>
      <trackRevisions>false</trackRevisions>
    </reviewItem>
    <reviewItem>
      <errorID>0eac9a53-2c46-4e83-9c60-7c93e074cfef</errorID>
      <errorWord>)</errorWord>
      <group>L1_Format</group>
      <groupName>格式问题</groupName>
      <ability>L2_HalfPunc</ability>
      <abilityName>全半角检查</abilityName>
      <candidateList>
        <item>）</item>
      </candidateList>
      <explain>文本全半角错误。</explain>
      <paraID>7896E122</paraID>
      <start>5</start>
      <end>6</end>
      <status>ignored</status>
      <modifiedWord/>
      <trackRevisions>false</trackRevisions>
    </reviewItem>
    <reviewItem>
      <errorID>19f1f08b-b069-4850-ac87-24d7ffdc1a4f</errorID>
      <errorWord>-</errorWord>
      <group>L1_Format</group>
      <groupName>格式问题</groupName>
      <ability>L2_HalfPunc</ability>
      <abilityName>全半角检查</abilityName>
      <candidateList>
        <item>－</item>
      </candidateList>
      <explain>文本全半角错误。</explain>
      <paraID>1AB0A945</paraID>
      <start>5</start>
      <end>6</end>
      <status>unmodified</status>
      <modifiedWord/>
      <trackRevisions>false</trackRevisions>
    </reviewItem>
    <reviewItem>
      <errorID>f79287b2-7f9a-41d1-8b40-49fa71632a5b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3550148D</paraID>
      <start>3</start>
      <end>4</end>
      <status>ignored</status>
      <modifiedWord/>
      <trackRevisions>false</trackRevisions>
    </reviewItem>
    <reviewItem>
      <errorID>7375b5d2-10f2-4791-bec7-5ad5853cebcc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3FBB169</paraID>
      <start>3</start>
      <end>4</end>
      <status>ignored</status>
      <modifiedWord/>
      <trackRevisions>false</trackRevisions>
    </reviewItem>
    <reviewItem>
      <errorID>f540361a-c758-4281-8f19-ebb0434e8353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6A4CA980</paraID>
      <start>3</start>
      <end>4</end>
      <status>ignored</status>
      <modifiedWord/>
      <trackRevisions>false</trackRevisions>
    </reviewItem>
    <reviewItem>
      <errorID>9a602609-7f3f-4ac1-aca6-35b3249d594e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39F8AA1C</paraID>
      <start>3</start>
      <end>4</end>
      <status>ignored</status>
      <modifiedWord/>
      <trackRevisions>false</trackRevisions>
    </reviewItem>
    <reviewItem>
      <errorID>4443f260-a53f-4787-8238-fb688d1ef057</errorID>
      <errorWord>及其</errorWord>
      <group>L1_Word</group>
      <groupName>字词问题</groupName>
      <ability>L2_Typo</ability>
      <abilityName>字词错误</abilityName>
      <candidateList>
        <item>及</item>
      </candidateList>
      <explain>〈连〉连接并列的名词或名词性词组：图书、仪器、标本～其他。注意用“及”连接的成分多在意义上有主次之分，主要的成分放在“及”的前面。</explain>
      <paraID> E0C872A</paraID>
      <start>15</start>
      <end>17</end>
      <status>unmodified</status>
      <modifiedWord/>
      <trackRevisions>false</trackRevisions>
    </reviewItem>
    <reviewItem>
      <errorID>624ba50f-f046-4d3d-948f-11a60105fe0b</errorID>
      <errorWord>-</errorWord>
      <group>L1_Format</group>
      <groupName>格式问题</groupName>
      <ability>L2_HalfPunc</ability>
      <abilityName>全半角检查</abilityName>
      <candidateList>
        <item>－</item>
      </candidateList>
      <explain>文本全半角错误。</explain>
      <paraID>4D474C46</paraID>
      <start>5</start>
      <end>6</end>
      <status>unmodified</status>
      <modifiedWord/>
      <trackRevisions>false</trackRevisions>
    </reviewItem>
    <reviewItem>
      <errorID>e0437063-b53c-43af-90e9-97752bd7eb68</errorID>
      <errorWord>，</errorWord>
      <group>L1_Format</group>
      <groupName>格式问题</groupName>
      <ability>L2_HalfPunc</ability>
      <abilityName>全半角检查</abilityName>
      <candidateList>
        <item>,</item>
      </candidateList>
      <explain>文本全半角错误。</explain>
      <paraID>434608A0</paraID>
      <start>9</start>
      <end>10</end>
      <status>unmodified</status>
      <modifiedWord/>
      <trackRevisions>false</trackRevisions>
    </reviewItem>
    <reviewItem>
      <errorID>4adbebce-5140-41c5-858d-5cea250b925b</errorID>
      <errorWord>，</errorWord>
      <group>L1_Format</group>
      <groupName>格式问题</groupName>
      <ability>L2_HalfPunc</ability>
      <abilityName>全半角检查</abilityName>
      <candidateList>
        <item>,</item>
      </candidateList>
      <explain>文本全半角错误。</explain>
      <paraID>41F49EE3</paraID>
      <start>9</start>
      <end>10</end>
      <status>unmodified</status>
      <modifiedWord/>
      <trackRevisions>false</trackRevisions>
    </reviewItem>
    <reviewItem>
      <errorID>a19554c6-46d3-45de-82bb-4d876a01f6bf</errorID>
      <errorWord>-</errorWord>
      <group>L1_Format</group>
      <groupName>格式问题</groupName>
      <ability>L2_HalfPunc</ability>
      <abilityName>全半角检查</abilityName>
      <candidateList>
        <item>－</item>
      </candidateList>
      <explain>文本全半角错误。</explain>
      <paraID>7AC30441</paraID>
      <start>5</start>
      <end>6</end>
      <status>unmodified</status>
      <modifiedWord/>
      <trackRevisions>false</trackRevisions>
    </reviewItem>
    <reviewItem>
      <errorID>97c502d8-feab-4f7f-8d91-1aab907105d7</errorID>
      <errorWord>，</errorWord>
      <group>L1_Format</group>
      <groupName>格式问题</groupName>
      <ability>L2_HalfPunc</ability>
      <abilityName>全半角检查</abilityName>
      <candidateList>
        <item>,</item>
      </candidateList>
      <explain>文本全半角错误。</explain>
      <paraID>26873677</paraID>
      <start>9</start>
      <end>10</end>
      <status>unmodified</status>
      <modifiedWord/>
      <trackRevisions>false</trackRevisions>
    </reviewItem>
    <reviewItem>
      <errorID>b63b38b4-72ba-47e8-b7ea-b799ff0b7b8c</errorID>
      <errorWord>~</errorWord>
      <group>L1_Format</group>
      <groupName>格式问题</groupName>
      <ability>L2_HalfPunc</ability>
      <abilityName>全半角检查</abilityName>
      <candidateList>
        <item>～</item>
      </candidateList>
      <explain>文本全半角错误。</explain>
      <paraID>4BC15325</paraID>
      <start>17</start>
      <end>18</end>
      <status>unmodified</status>
      <modifiedWord/>
      <trackRevisions>false</trackRevisions>
    </reviewItem>
    <reviewItem>
      <errorID>76f41fb9-cf5d-4181-834f-10d1ff7d10bb</errorID>
      <errorWord>~</errorWord>
      <group>L1_Format</group>
      <groupName>格式问题</groupName>
      <ability>L2_HalfPunc</ability>
      <abilityName>全半角检查</abilityName>
      <candidateList>
        <item>～</item>
      </candidateList>
      <explain>文本全半角错误。</explain>
      <paraID>4BC15325</paraID>
      <start>26</start>
      <end>27</end>
      <status>unmodified</status>
      <modifiedWord/>
      <trackRevisions>false</trackRevisions>
    </reviewItem>
    <reviewItem>
      <errorID>00b1eb58-3c74-493f-8f35-daa7cc6f3e69</errorID>
      <errorWord>，</errorWord>
      <group>L1_Format</group>
      <groupName>格式问题</groupName>
      <ability>L2_HalfPunc</ability>
      <abilityName>全半角检查</abilityName>
      <candidateList>
        <item>,</item>
      </candidateList>
      <explain>文本全半角错误。</explain>
      <paraID>45C763F0</paraID>
      <start>9</start>
      <end>10</end>
      <status>unmodified</status>
      <modifiedWord/>
      <trackRevisions>false</trackRevisions>
    </reviewItem>
    <reviewItem>
      <errorID>03298295-8c48-48c5-b700-1f87dfd85873</errorID>
      <errorWord>~</errorWord>
      <group>L1_Format</group>
      <groupName>格式问题</groupName>
      <ability>L2_HalfPunc</ability>
      <abilityName>全半角检查</abilityName>
      <candidateList>
        <item>～</item>
      </candidateList>
      <explain>文本全半角错误。</explain>
      <paraID>1BC3776B</paraID>
      <start>17</start>
      <end>18</end>
      <status>unmodified</status>
      <modifiedWord/>
      <trackRevisions>false</trackRevisions>
    </reviewItem>
    <reviewItem>
      <errorID>f2a07cb9-320b-43c9-93e1-29100cc21cda</errorID>
      <errorWord>~</errorWord>
      <group>L1_Format</group>
      <groupName>格式问题</groupName>
      <ability>L2_HalfPunc</ability>
      <abilityName>全半角检查</abilityName>
      <candidateList>
        <item>～</item>
      </candidateList>
      <explain>文本全半角错误。</explain>
      <paraID>1BC3776B</paraID>
      <start>26</start>
      <end>27</end>
      <status>unmodified</status>
      <modifiedWord/>
      <trackRevisions>false</trackRevisions>
    </reviewItem>
    <reviewItem>
      <errorID>54bb4204-9dca-45e0-80dc-802ea350ab70</errorID>
      <errorWord>-</errorWord>
      <group>L1_Format</group>
      <groupName>格式问题</groupName>
      <ability>L2_HalfPunc</ability>
      <abilityName>全半角检查</abilityName>
      <candidateList>
        <item>－</item>
      </candidateList>
      <explain>文本全半角错误。</explain>
      <paraID> 5F19BF3</paraID>
      <start>5</start>
      <end>6</end>
      <status>unmodified</status>
      <modifiedWord/>
      <trackRevisions>false</trackRevisions>
    </reviewItem>
    <reviewItem>
      <errorID>4dd7e18c-240b-42de-9d55-4479e469b9e9</errorID>
      <errorWord>，</errorWord>
      <group>L1_Format</group>
      <groupName>格式问题</groupName>
      <ability>L2_HalfPunc</ability>
      <abilityName>全半角检查</abilityName>
      <candidateList>
        <item>,</item>
      </candidateList>
      <explain>文本全半角错误。</explain>
      <paraID>20F87B37</paraID>
      <start>9</start>
      <end>10</end>
      <status>unmodified</status>
      <modifiedWord/>
      <trackRevisions>false</trackRevisions>
    </reviewItem>
    <reviewItem>
      <errorID>88f2fe43-fe16-4820-893b-25c6167b3911</errorID>
      <errorWord>~</errorWord>
      <group>L1_Format</group>
      <groupName>格式问题</groupName>
      <ability>L2_HalfPunc</ability>
      <abilityName>全半角检查</abilityName>
      <candidateList>
        <item>～</item>
      </candidateList>
      <explain>文本全半角错误。</explain>
      <paraID>3B999AA7</paraID>
      <start>17</start>
      <end>18</end>
      <status>unmodified</status>
      <modifiedWord/>
      <trackRevisions>false</trackRevisions>
    </reviewItem>
    <reviewItem>
      <errorID>ca9f47fc-8e94-4b51-84da-22023161a9b6</errorID>
      <errorWord>~</errorWord>
      <group>L1_Format</group>
      <groupName>格式问题</groupName>
      <ability>L2_HalfPunc</ability>
      <abilityName>全半角检查</abilityName>
      <candidateList>
        <item>～</item>
      </candidateList>
      <explain>文本全半角错误。</explain>
      <paraID>3B999AA7</paraID>
      <start>26</start>
      <end>27</end>
      <status>unmodified</status>
      <modifiedWord/>
      <trackRevisions>false</trackRevisions>
    </reviewItem>
    <reviewItem>
      <errorID>b326e69a-94b3-4773-8580-6200270eb565</errorID>
      <errorWord>，</errorWord>
      <group>L1_Format</group>
      <groupName>格式问题</groupName>
      <ability>L2_HalfPunc</ability>
      <abilityName>全半角检查</abilityName>
      <candidateList>
        <item>,</item>
      </candidateList>
      <explain>文本全半角错误。</explain>
      <paraID>2573B523</paraID>
      <start>9</start>
      <end>10</end>
      <status>unmodified</status>
      <modifiedWord/>
      <trackRevisions>false</trackRevisions>
    </reviewItem>
    <reviewItem>
      <errorID>dcc3fb7f-c32a-4a49-9a37-6fa8d35c4080</errorID>
      <errorWord>-</errorWord>
      <group>L1_Format</group>
      <groupName>格式问题</groupName>
      <ability>L2_HalfPunc</ability>
      <abilityName>全半角检查</abilityName>
      <candidateList>
        <item>－</item>
      </candidateList>
      <explain>文本全半角错误。</explain>
      <paraID>1CF58623</paraID>
      <start>5</start>
      <end>6</end>
      <status>unmodified</status>
      <modifiedWord/>
      <trackRevisions>false</trackRevisions>
    </reviewItem>
    <reviewItem>
      <errorID>5db97aa2-0fa6-4215-93e3-e91dd78b6e0d</errorID>
      <errorWord>，</errorWord>
      <group>L1_Format</group>
      <groupName>格式问题</groupName>
      <ability>L2_HalfPunc</ability>
      <abilityName>全半角检查</abilityName>
      <candidateList>
        <item>,</item>
      </candidateList>
      <explain>文本全半角错误。</explain>
      <paraID>1227C00A</paraID>
      <start>9</start>
      <end>10</end>
      <status>unmodified</status>
      <modifiedWord/>
      <trackRevisions>false</trackRevisions>
    </reviewItem>
    <reviewItem>
      <errorID>1c54ee7c-6acd-4837-9ea1-968a3ee5da9d</errorID>
      <errorWord>，</errorWord>
      <group>L1_Format</group>
      <groupName>格式问题</groupName>
      <ability>L2_HalfPunc</ability>
      <abilityName>全半角检查</abilityName>
      <candidateList>
        <item>,</item>
      </candidateList>
      <explain>文本全半角错误。</explain>
      <paraID>202584BF</paraID>
      <start>9</start>
      <end>10</end>
      <status>unmodified</status>
      <modifiedWord/>
      <trackRevisions>false</trackRevisions>
    </reviewItem>
    <reviewItem>
      <errorID>d8e43401-c64d-402a-9178-7655518eb896</errorID>
      <errorWord>(</errorWord>
      <group>L1_Format</group>
      <groupName>格式问题</groupName>
      <ability>L2_HalfPunc</ability>
      <abilityName>全半角检查</abilityName>
      <candidateList>
        <item>（</item>
      </candidateList>
      <explain>文本全半角错误。</explain>
      <paraID>3DB48194</paraID>
      <start>276</start>
      <end>277</end>
      <status>ignored</status>
      <modifiedWord/>
      <trackRevisions>false</trackRevisions>
    </reviewItem>
    <reviewItem>
      <errorID>fd3fd04f-8f2b-4608-b314-9ea982e73038</errorID>
      <errorWord>)</errorWord>
      <group>L1_Format</group>
      <groupName>格式问题</groupName>
      <ability>L2_HalfPunc</ability>
      <abilityName>全半角检查</abilityName>
      <candidateList>
        <item>）</item>
      </candidateList>
      <explain>文本全半角错误。</explain>
      <paraID>3DB48194</paraID>
      <start>278</start>
      <end>279</end>
      <status>ignored</status>
      <modifiedWord/>
      <trackRevisions>false</trackRevisions>
    </reviewItem>
    <reviewItem>
      <errorID>5448cd9b-513b-4710-b406-951b8b4dab08</errorID>
      <errorWord>-</errorWord>
      <group>L1_Format</group>
      <groupName>格式问题</groupName>
      <ability>L2_HalfPunc</ability>
      <abilityName>全半角检查</abilityName>
      <candidateList>
        <item>－</item>
      </candidateList>
      <explain>文本全半角错误。</explain>
      <paraID>75A678D2</paraID>
      <start>5</start>
      <end>6</end>
      <status>unmodified</status>
      <modifiedWord/>
      <trackRevisions>false</trackRevisions>
    </reviewItem>
    <reviewItem>
      <errorID>9476ed04-e3d0-4e76-be66-ab6aa0bc73ec</errorID>
      <errorWord>-</errorWord>
      <group>L1_Format</group>
      <groupName>格式问题</groupName>
      <ability>L2_HalfPunc</ability>
      <abilityName>全半角检查</abilityName>
      <candidateList>
        <item>－</item>
      </candidateList>
      <explain>文本全半角错误。</explain>
      <paraID> 91EFFE8</paraID>
      <start>5</start>
      <end>6</end>
      <status>unmodified</status>
      <modifiedWord/>
      <trackRevisions>false</trackRevisions>
    </reviewItem>
    <reviewItem>
      <errorID>299452c7-cf03-48a0-9b35-a1de84fc08d6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300CB8F7</paraID>
      <start>2</start>
      <end>3</end>
      <status>ignored</status>
      <modifiedWord/>
      <trackRevisions>false</trackRevisions>
    </reviewItem>
    <reviewItem>
      <errorID>09cd3274-bd05-4a8c-be69-b51dc6b1f740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323B30F5</paraID>
      <start>3</start>
      <end>4</end>
      <status>ignored</status>
      <modifiedWord/>
      <trackRevisions>false</trackRevisions>
    </reviewItem>
    <reviewItem>
      <errorID>75328feb-0975-417a-a389-d62ed2ef184f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3722B38E</paraID>
      <start>2</start>
      <end>3</end>
      <status>ignored</status>
      <modifiedWord/>
      <trackRevisions>false</trackRevisions>
    </reviewItem>
    <reviewItem>
      <errorID>7cbf8665-b370-451a-9ea1-b2c950cda37a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3581346B</paraID>
      <start>3</start>
      <end>4</end>
      <status>ignored</status>
      <modifiedWord/>
      <trackRevisions>false</trackRevisions>
    </reviewItem>
    <reviewItem>
      <errorID>effa9a13-aca4-499c-bb71-60991427817d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7C68543E</paraID>
      <start>2</start>
      <end>3</end>
      <status>ignored</status>
      <modifiedWord/>
      <trackRevisions>false</trackRevisions>
    </reviewItem>
    <reviewItem>
      <errorID>c87d018a-48c5-46ff-85bf-117e61730a00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A25EE27</paraID>
      <start>3</start>
      <end>4</end>
      <status>ignored</status>
      <modifiedWord/>
      <trackRevisions>false</trackRevisions>
    </reviewItem>
    <reviewItem>
      <errorID>d6b5b49e-b80f-4565-87ae-bf54715259f4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F9FAEFD</paraID>
      <start>0</start>
      <end>2</end>
      <status>unmodified</status>
      <modifiedWord/>
      <trackRevisions>false</trackRevisions>
    </reviewItem>
    <reviewItem>
      <errorID>f81f3702-6547-438a-9df5-454bc88b0bce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28828C61</paraID>
      <start>0</start>
      <end>2</end>
      <status>unmodified</status>
      <modifiedWord/>
      <trackRevisions>false</trackRevisions>
    </reviewItem>
    <reviewItem>
      <errorID>52f2f8de-f17f-4ec1-a4d1-ab5d8342a23a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7DAE72C2</paraID>
      <start>0</start>
      <end>2</end>
      <status>unmodified</status>
      <modifiedWord/>
      <trackRevisions>false</trackRevisions>
    </reviewItem>
    <reviewItem>
      <errorID>74e6e0a8-dd1c-414c-9490-4574195f59c0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B7FF707</paraID>
      <start>0</start>
      <end>2</end>
      <status>unmodified</status>
      <modifiedWord/>
      <trackRevisions>false</trackRevisions>
    </reviewItem>
    <reviewItem>
      <errorID>f27d50fa-f86e-432c-8032-de280150a1a3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7C296AD0</paraID>
      <start>0</start>
      <end>2</end>
      <status>unmodified</status>
      <modifiedWord/>
      <trackRevisions>false</trackRevisions>
    </reviewItem>
    <reviewItem>
      <errorID>138d7034-bb63-42d9-a604-1801ea584fe8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4B49DE84</paraID>
      <start>0</start>
      <end>2</end>
      <status>unmodified</status>
      <modifiedWord/>
      <trackRevisions>false</trackRevisions>
    </reviewItem>
    <reviewItem>
      <errorID>810e5523-fd45-4b95-a90c-62b765f903ad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11447958</paraID>
      <start>0</start>
      <end>2</end>
      <status>unmodified</status>
      <modifiedWord/>
      <trackRevisions>false</trackRevisions>
    </reviewItem>
    <reviewItem>
      <errorID>08ea1f62-59f5-402a-8fd6-e56270a90ee2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4E2AD761</paraID>
      <start>0</start>
      <end>2</end>
      <status>unmodified</status>
      <modifiedWord/>
      <trackRevisions>false</trackRevisions>
    </reviewItem>
    <reviewItem>
      <errorID>acbabfb5-2f1f-4cfa-a9d6-93c71f357339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1D24B874</paraID>
      <start>0</start>
      <end>2</end>
      <status>unmodified</status>
      <modifiedWord/>
      <trackRevisions>false</trackRevisions>
    </reviewItem>
    <reviewItem>
      <errorID>df6cb54a-2eca-4c76-8623-d9225c607d52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3B5A7092</paraID>
      <start>0</start>
      <end>2</end>
      <status>unmodified</status>
      <modifiedWord/>
      <trackRevisions>false</trackRevisions>
    </reviewItem>
    <reviewItem>
      <errorID>b6ab5e77-fe3f-4d8e-9bdf-95a4406f9f36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47E09D2C</paraID>
      <start>0</start>
      <end>2</end>
      <status>unmodified</status>
      <modifiedWord/>
      <trackRevisions>false</trackRevisions>
    </reviewItem>
    <reviewItem>
      <errorID>bd435fcc-cf99-4531-86b4-c69f5b06511b</errorID>
      <errorWord>-</errorWord>
      <group>L1_Format</group>
      <groupName>格式问题</groupName>
      <ability>L2_HalfPunc</ability>
      <abilityName>全半角检查</abilityName>
      <candidateList>
        <item>－</item>
      </candidateList>
      <explain>文本全半角错误。</explain>
      <paraID> 17FFEB2</paraID>
      <start>5</start>
      <end>6</end>
      <status>unmodified</status>
      <modifiedWord/>
      <trackRevisions>false</trackRevisions>
    </reviewItem>
    <reviewItem>
      <errorID>d7a91822-2d99-4165-b5cc-8d4316f6a042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66F92E3D</paraID>
      <start>0</start>
      <end>2</end>
      <status>unmodified</status>
      <modifiedWord/>
      <trackRevisions>false</trackRevisions>
    </reviewItem>
    <reviewItem>
      <errorID>fd53183f-6c53-48a2-9a6f-93c94e9e08f5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7DFDCBFD</paraID>
      <start>0</start>
      <end>2</end>
      <status>unmodified</status>
      <modifiedWord/>
      <trackRevisions>false</trackRevisions>
    </reviewItem>
    <reviewItem>
      <errorID>1cead7b7-64f5-430c-b3e3-0d6a56fca370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7B3AF66D</paraID>
      <start>0</start>
      <end>2</end>
      <status>unmodified</status>
      <modifiedWord/>
      <trackRevisions>false</trackRevisions>
    </reviewItem>
    <reviewItem>
      <errorID>af0ade85-40cf-47fe-a377-730652c01807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72C34B9D</paraID>
      <start>0</start>
      <end>2</end>
      <status>unmodified</status>
      <modifiedWord/>
      <trackRevisions>false</trackRevisions>
    </reviewItem>
    <reviewItem>
      <errorID>2eff4326-f86c-4c65-9c60-cea0b3afcc44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1256B96B</paraID>
      <start>0</start>
      <end>2</end>
      <status>unmodified</status>
      <modifiedWord/>
      <trackRevisions>false</trackRevisions>
    </reviewItem>
    <reviewItem>
      <errorID>4ef1226d-4c29-487d-a5af-9a34b6dc41f9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72133DEE</paraID>
      <start>0</start>
      <end>2</end>
      <status>unmodified</status>
      <modifiedWord/>
      <trackRevisions>false</trackRevisions>
    </reviewItem>
    <reviewItem>
      <errorID>d62a4b33-c02c-4b46-8515-2dcb943058e4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B1F5981</paraID>
      <start>0</start>
      <end>2</end>
      <status>unmodified</status>
      <modifiedWord/>
      <trackRevisions>false</trackRevisions>
    </reviewItem>
    <reviewItem>
      <errorID>545fef50-7b5e-4ec9-b176-150fb1e3e1d8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5235D680</paraID>
      <start>0</start>
      <end>2</end>
      <status>unmodified</status>
      <modifiedWord/>
      <trackRevisions>false</trackRevisions>
    </reviewItem>
    <reviewItem>
      <errorID>b2f1cdb2-20dd-47e6-a76a-c71fc8590a91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9795B70</paraID>
      <start>0</start>
      <end>2</end>
      <status>unmodified</status>
      <modifiedWord/>
      <trackRevisions>false</trackRevisions>
    </reviewItem>
    <reviewItem>
      <errorID>4b46e18b-14c3-4020-916b-8efe8c6328c1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42EBBB32</paraID>
      <start>0</start>
      <end>2</end>
      <status>unmodified</status>
      <modifiedWord/>
      <trackRevisions>false</trackRevisions>
    </reviewItem>
    <reviewItem>
      <errorID>19fab04b-1436-4c11-9781-aff56fe02fab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49B810E0</paraID>
      <start>0</start>
      <end>2</end>
      <status>unmodified</status>
      <modifiedWord/>
      <trackRevisions>false</trackRevisions>
    </reviewItem>
    <reviewItem>
      <errorID>307968be-4c89-413f-ab67-13504495169b</errorID>
      <errorWord>-</errorWord>
      <group>L1_Format</group>
      <groupName>格式问题</groupName>
      <ability>L2_HalfPunc</ability>
      <abilityName>全半角检查</abilityName>
      <candidateList>
        <item>－</item>
      </candidateList>
      <explain>文本全半角错误。</explain>
      <paraID> 959B565</paraID>
      <start>5</start>
      <end>6</end>
      <status>unmodified</status>
      <modifiedWord/>
      <trackRevisions>false</trackRevisions>
    </reviewItem>
    <reviewItem>
      <errorID>8b537972-2673-4075-8f1f-8187cadf7e38</errorID>
      <errorWord>反应</errorWord>
      <group>L1_Word</group>
      <groupName>字词问题</groupName>
      <ability>L2_Typo</ability>
      <abilityName>字词错误</abilityName>
      <candidateList>
        <item>反映</item>
      </candidateList>
      <explain>〈动〉❶反照，比喻把客观事物的实质表现出来：这部小说～了现实的生活和斗争。❷把情况、意见等告诉上级或有关部门：把情况～到县里｜他～的意见值得重视。❸通常指机体接受和回答客观事物影响的活动过程。</explain>
      <paraID> 23199DF</paraID>
      <start>32</start>
      <end>34</end>
      <status>unmodified</status>
      <modifiedWord/>
      <trackRevisions>false</trackRevisions>
    </reviewItem>
    <reviewItem>
      <errorID>def991e2-f4d3-4b3d-9d85-fcdecb2a360e</errorID>
      <errorWord>＝</errorWord>
      <group>L1_Format</group>
      <groupName>格式问题</groupName>
      <ability>L2_HalfPunc</ability>
      <abilityName>全半角检查</abilityName>
      <candidateList>
        <item>=</item>
      </candidateList>
      <explain>文本全半角错误。</explain>
      <paraID>43E8B583</paraID>
      <start>2</start>
      <end>3</end>
      <status>unmodified</status>
      <modifiedWord/>
      <trackRevisions>false</trackRevisions>
    </reviewItem>
    <reviewItem>
      <errorID>d23e646f-9001-491f-85c0-5102545690bf</errorID>
      <errorWord>其它</errorWord>
      <group>L1_Word</group>
      <groupName>字词问题</groupName>
      <ability>L2_Alias</ability>
      <abilityName>也作/曾用词</abilityName>
      <candidateList>
        <item>其他</item>
      </candidateList>
      <explain>词汇[其它]为不规范表述或旧称，其规范书面表述为[其他]。</explain>
      <paraID>72E2E830</paraID>
      <start>185</start>
      <end>187</end>
      <status>unmodified</status>
      <modifiedWord/>
      <trackRevisions>false</trackRevisions>
    </reviewItem>
    <reviewItem>
      <errorID>2e94ccb7-cb0e-46f6-813c-819002091872</errorID>
      <errorWord>-</errorWord>
      <group>L1_Format</group>
      <groupName>格式问题</groupName>
      <ability>L2_HalfPunc</ability>
      <abilityName>全半角检查</abilityName>
      <candidateList>
        <item>－</item>
      </candidateList>
      <explain>文本全半角错误。</explain>
      <paraID>1E287FB3</paraID>
      <start>5</start>
      <end>6</end>
      <status>unmodified</status>
      <modifiedWord/>
      <trackRevisions>false</trackRevisions>
    </reviewItem>
    <reviewItem>
      <errorID>f5751366-0aa3-44fe-8c17-93cb27d9f203</errorID>
      <errorWord>-</errorWord>
      <group>L1_Format</group>
      <groupName>格式问题</groupName>
      <ability>L2_HalfPunc</ability>
      <abilityName>全半角检查</abilityName>
      <candidateList>
        <item>－</item>
      </candidateList>
      <explain>文本全半角错误。</explain>
      <paraID>13DED108</paraID>
      <start>5</start>
      <end>6</end>
      <status>unmodified</status>
      <modifiedWord/>
      <trackRevisions>false</trackRevisions>
    </reviewItem>
    <reviewItem>
      <errorID>4409ccd9-8080-440b-b0d8-d3bcc8cc1870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42B2410</paraID>
      <start>2</start>
      <end>3</end>
      <status>ignored</status>
      <modifiedWord/>
      <trackRevisions>false</trackRevisions>
    </reviewItem>
    <reviewItem>
      <errorID>20298ed9-18a2-4c6c-a83a-4b004c25c97a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733B86BB</paraID>
      <start>3</start>
      <end>4</end>
      <status>ignored</status>
      <modifiedWord/>
      <trackRevisions>false</trackRevisions>
    </reviewItem>
    <reviewItem>
      <errorID>563bd655-01f9-4cfd-af5c-7f03ffbb68cc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39038704</paraID>
      <start>2</start>
      <end>3</end>
      <status>ignored</status>
      <modifiedWord/>
      <trackRevisions>false</trackRevisions>
    </reviewItem>
    <reviewItem>
      <errorID>c31d2306-1a75-4bde-8ed2-76b9570f2f1e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78EA57B5</paraID>
      <start>3</start>
      <end>4</end>
      <status>ignored</status>
      <modifiedWord/>
      <trackRevisions>false</trackRevisions>
    </reviewItem>
    <reviewItem>
      <errorID>04e80781-04e1-4546-b8c1-81ceac21df3f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3A0A211</paraID>
      <start>2</start>
      <end>3</end>
      <status>ignored</status>
      <modifiedWord/>
      <trackRevisions>false</trackRevisions>
    </reviewItem>
    <reviewItem>
      <errorID>8cd53786-5d98-4814-acec-67a70a3ff801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C445F27</paraID>
      <start>3</start>
      <end>4</end>
      <status>ignored</status>
      <modifiedWord/>
      <trackRevisions>false</trackRevisions>
    </reviewItem>
    <reviewItem>
      <errorID>5a677ce9-f29c-4a5b-90c4-081cff5587a2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23D4608A</paraID>
      <start>0</start>
      <end>2</end>
      <status>unmodified</status>
      <modifiedWord/>
      <trackRevisions>false</trackRevisions>
    </reviewItem>
    <reviewItem>
      <errorID>59f03dac-c267-4117-bd58-8c43c305c4dc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3BE62453</paraID>
      <start>0</start>
      <end>2</end>
      <status>unmodified</status>
      <modifiedWord/>
      <trackRevisions>false</trackRevisions>
    </reviewItem>
    <reviewItem>
      <errorID>a7d7ce8c-4d6e-4693-ba9a-679cdfe40986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57AF9305</paraID>
      <start>0</start>
      <end>2</end>
      <status>unmodified</status>
      <modifiedWord/>
      <trackRevisions>false</trackRevisions>
    </reviewItem>
    <reviewItem>
      <errorID>3c8e6e5e-738e-4f7b-8b34-e80cd37a389b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1EFF4344</paraID>
      <start>0</start>
      <end>2</end>
      <status>unmodified</status>
      <modifiedWord/>
      <trackRevisions>false</trackRevisions>
    </reviewItem>
    <reviewItem>
      <errorID>e9aa4156-bc99-43c3-b06c-28d96ff7add7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5149F914</paraID>
      <start>0</start>
      <end>2</end>
      <status>unmodified</status>
      <modifiedWord/>
      <trackRevisions>false</trackRevisions>
    </reviewItem>
    <reviewItem>
      <errorID>e18f846c-def3-458a-9a74-11280f88104b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604B0C20</paraID>
      <start>0</start>
      <end>2</end>
      <status>unmodified</status>
      <modifiedWord/>
      <trackRevisions>false</trackRevisions>
    </reviewItem>
    <reviewItem>
      <errorID>8c364020-8355-4729-ba25-44af454d5924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47B9B3E7</paraID>
      <start>0</start>
      <end>2</end>
      <status>unmodified</status>
      <modifiedWord/>
      <trackRevisions>false</trackRevisions>
    </reviewItem>
    <reviewItem>
      <errorID>e6e25ce1-5720-48c4-a7f9-a27f7668d77e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36330002</paraID>
      <start>0</start>
      <end>2</end>
      <status>unmodified</status>
      <modifiedWord/>
      <trackRevisions>false</trackRevisions>
    </reviewItem>
    <reviewItem>
      <errorID>0c64c938-60aa-4647-9fd5-c09de54fdb4d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260B4FF0</paraID>
      <start>0</start>
      <end>2</end>
      <status>unmodified</status>
      <modifiedWord/>
      <trackRevisions>false</trackRevisions>
    </reviewItem>
    <reviewItem>
      <errorID>29bfd305-bb93-466e-8894-eba311869132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5C9717D4</paraID>
      <start>0</start>
      <end>2</end>
      <status>unmodified</status>
      <modifiedWord/>
      <trackRevisions>false</trackRevisions>
    </reviewItem>
    <reviewItem>
      <errorID>10c9906b-59cf-4a81-8030-a221d0ea5f2b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4D112336</paraID>
      <start>0</start>
      <end>2</end>
      <status>unmodified</status>
      <modifiedWord/>
      <trackRevisions>false</trackRevisions>
    </reviewItem>
    <reviewItem>
      <errorID>8234d86a-bee5-4c17-877a-70553c14ee87</errorID>
      <errorWord>-</errorWord>
      <group>L1_Format</group>
      <groupName>格式问题</groupName>
      <ability>L2_HalfPunc</ability>
      <abilityName>全半角检查</abilityName>
      <candidateList>
        <item>－</item>
      </candidateList>
      <explain>文本全半角错误。</explain>
      <paraID>7D51512D</paraID>
      <start>5</start>
      <end>6</end>
      <status>unmodified</status>
      <modifiedWord/>
      <trackRevisions>false</trackRevisions>
    </reviewItem>
    <reviewItem>
      <errorID>4c34ea70-7500-4d48-9453-dfcbea6aa95b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25EF58F1</paraID>
      <start>0</start>
      <end>2</end>
      <status>unmodified</status>
      <modifiedWord/>
      <trackRevisions>false</trackRevisions>
    </reviewItem>
    <reviewItem>
      <errorID>fb014f9b-2fb5-4d9a-8ac0-b08e8064abeb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5EA2CC30</paraID>
      <start>0</start>
      <end>2</end>
      <status>unmodified</status>
      <modifiedWord/>
      <trackRevisions>false</trackRevisions>
    </reviewItem>
    <reviewItem>
      <errorID>b8342266-f58f-4797-aa90-abe6a5053c15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1191CD6E</paraID>
      <start>0</start>
      <end>2</end>
      <status>unmodified</status>
      <modifiedWord/>
      <trackRevisions>false</trackRevisions>
    </reviewItem>
    <reviewItem>
      <errorID>eca45938-f28b-4820-8cbe-c9a67629004c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4D561515</paraID>
      <start>0</start>
      <end>2</end>
      <status>unmodified</status>
      <modifiedWord/>
      <trackRevisions>false</trackRevisions>
    </reviewItem>
    <reviewItem>
      <errorID>42fca0c1-7321-442c-9480-f73b0a08e0c6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6C1598FF</paraID>
      <start>0</start>
      <end>2</end>
      <status>unmodified</status>
      <modifiedWord/>
      <trackRevisions>false</trackRevisions>
    </reviewItem>
    <reviewItem>
      <errorID>b63e1058-e017-4b0a-b813-a660cfbc3aca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5782165A</paraID>
      <start>0</start>
      <end>2</end>
      <status>unmodified</status>
      <modifiedWord/>
      <trackRevisions>false</trackRevisions>
    </reviewItem>
    <reviewItem>
      <errorID>f3ca9f58-4a29-4dd7-9d22-b3845a9d2199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48EA370C</paraID>
      <start>0</start>
      <end>2</end>
      <status>unmodified</status>
      <modifiedWord/>
      <trackRevisions>false</trackRevisions>
    </reviewItem>
    <reviewItem>
      <errorID>8503bc29-fba3-434e-addb-32c4c7e0d8d0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7032E78E</paraID>
      <start>0</start>
      <end>2</end>
      <status>unmodified</status>
      <modifiedWord/>
      <trackRevisions>false</trackRevisions>
    </reviewItem>
    <reviewItem>
      <errorID>68b0f45b-0980-4d31-9baa-4b79183ad7c6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28BFE49E</paraID>
      <start>0</start>
      <end>2</end>
      <status>unmodified</status>
      <modifiedWord/>
      <trackRevisions>false</trackRevisions>
    </reviewItem>
    <reviewItem>
      <errorID>72bebcf9-fdc6-4ef9-b3d4-fcb25fb97ba3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5067BCC9</paraID>
      <start>0</start>
      <end>2</end>
      <status>unmodified</status>
      <modifiedWord/>
      <trackRevisions>false</trackRevisions>
    </reviewItem>
    <reviewItem>
      <errorID>3a2f0d4e-6d01-4813-942e-75f71fab044d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17275649</paraID>
      <start>0</start>
      <end>2</end>
      <status>unmodified</status>
      <modifiedWord/>
      <trackRevisions>false</trackRevisions>
    </reviewItem>
    <reviewItem>
      <errorID>60801888-f561-4386-8c2b-211b2d204530</errorID>
      <errorWord>-</errorWord>
      <group>L1_Format</group>
      <groupName>格式问题</groupName>
      <ability>L2_HalfPunc</ability>
      <abilityName>全半角检查</abilityName>
      <candidateList>
        <item>－</item>
      </candidateList>
      <explain>文本全半角错误。</explain>
      <paraID>72A58A83</paraID>
      <start>5</start>
      <end>6</end>
      <status>unmodified</status>
      <modifiedWord/>
      <trackRevisions>false</trackRevisions>
    </reviewItem>
    <reviewItem>
      <errorID>e030aeb1-3417-443f-9180-91ba39e60edd</errorID>
      <errorWord>其它</errorWord>
      <group>L1_Word</group>
      <groupName>字词问题</groupName>
      <ability>L2_Alias</ability>
      <abilityName>也作/曾用词</abilityName>
      <candidateList>
        <item>其他</item>
      </candidateList>
      <explain>词汇[其它]为不规范表述或旧称，其规范书面表述为[其他]。</explain>
      <paraID>7A5AC2F0</paraID>
      <start>228</start>
      <end>230</end>
      <status>unmodified</status>
      <modifiedWord/>
      <trackRevisions>false</trackRevisions>
    </reviewItem>
    <reviewItem>
      <errorID>760dc7e3-4d67-4380-8350-b21ec3afb2dd</errorID>
      <errorWord>最大力度</errorWord>
      <group>L1_Word</group>
      <groupName>字词问题</groupName>
      <ability>L2_Typo</ability>
      <abilityName>字词错误</abilityName>
      <candidateList>
        <item>最大限度</item>
      </candidateList>
      <explain/>
      <paraID>392C6E3E</paraID>
      <start>310</start>
      <end>314</end>
      <status>unmodified</status>
      <modifiedWord/>
      <trackRevisions>false</trackRevisions>
    </reviewItem>
    <reviewItem>
      <errorID>95b9e888-6625-4fa5-8359-4ab1ddffea7b</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392C6E3E</paraID>
      <start>314</start>
      <end>315</end>
      <status>unmodified</status>
      <modifiedWord/>
      <trackRevisions>false</trackRevisions>
    </reviewItem>
    <reviewItem>
      <errorID>0b6bf505-4de8-4abd-99e4-971ddb67964f</errorID>
      <errorWord>(</errorWord>
      <group>L1_Format</group>
      <groupName>格式问题</groupName>
      <ability>L2_HalfPunc</ability>
      <abilityName>全半角检查</abilityName>
      <candidateList>
        <item>（</item>
      </candidateList>
      <explain>文本全半角错误。</explain>
      <paraID>5508C3A1</paraID>
      <start>75</start>
      <end>76</end>
      <status>ignored</status>
      <modifiedWord/>
      <trackRevisions>false</trackRevisions>
    </reviewItem>
    <reviewItem>
      <errorID>3716f361-8a6c-4ac7-ba56-9af9ec65dd70</errorID>
      <errorWord>)</errorWord>
      <group>L1_Format</group>
      <groupName>格式问题</groupName>
      <ability>L2_HalfPunc</ability>
      <abilityName>全半角检查</abilityName>
      <candidateList>
        <item>）</item>
      </candidateList>
      <explain>文本全半角错误。</explain>
      <paraID>5508C3A1</paraID>
      <start>88</start>
      <end>89</end>
      <status>ignored</status>
      <modifiedWord/>
      <trackRevisions>false</trackRevisions>
    </reviewItem>
    <reviewItem>
      <errorID>3a4281ef-02cb-4903-9710-969a967cae8e</errorID>
      <errorWord>-</errorWord>
      <group>L1_Format</group>
      <groupName>格式问题</groupName>
      <ability>L2_HalfPunc</ability>
      <abilityName>全半角检查</abilityName>
      <candidateList>
        <item>－</item>
      </candidateList>
      <explain>文本全半角错误。</explain>
      <paraID>5508C3A1</paraID>
      <start>133</start>
      <end>134</end>
      <status>unmodified</status>
      <modifiedWord/>
      <trackRevisions>false</trackRevisions>
    </reviewItem>
    <reviewItem>
      <errorID>0e515aa1-0afc-4f60-9dfd-f3c2e6876dbd</errorID>
      <errorWord>-</errorWord>
      <group>L1_Format</group>
      <groupName>格式问题</groupName>
      <ability>L2_HalfPunc</ability>
      <abilityName>全半角检查</abilityName>
      <candidateList>
        <item>－</item>
      </candidateList>
      <explain>文本全半角错误。</explain>
      <paraID>5508C3A1</paraID>
      <start>136</start>
      <end>137</end>
      <status>unmodified</status>
      <modifiedWord/>
      <trackRevisions>false</trackRevisions>
    </reviewItem>
    <reviewItem>
      <errorID>45c2c961-2f8b-4136-9b19-08a09b154caf</errorID>
      <errorWord>分</errorWord>
      <group>L1_Word</group>
      <groupName>字词问题</groupName>
      <ability>L2_Typo</ability>
      <abilityName>字词错误</abilityName>
      <candidateList>
        <item>分为</item>
      </candidateList>
      <explain/>
      <paraID>2221C2A5</paraID>
      <start>80</start>
      <end>81</end>
      <status>unmodified</status>
      <modifiedWord/>
      <trackRevisions>false</trackRevisions>
    </reviewItem>
    <reviewItem>
      <errorID>f94551cf-b598-46c8-8107-fc9a69db9d32</errorID>
      <errorWord>见图</errorWord>
      <group>L1_Word</group>
      <groupName>字词问题</groupName>
      <ability>L2_Typo</ability>
      <abilityName>字词错误</abilityName>
      <candidateList>
        <item>见</item>
      </candidateList>
      <explain/>
      <paraID>1DC70A69</paraID>
      <start>16</start>
      <end>18</end>
      <status>unmodified</status>
      <modifiedWord/>
      <trackRevisions>false</trackRevisions>
    </reviewItem>
    <reviewItem>
      <errorID>eb9cc571-829d-4c8e-8ed9-a3dd9687b803</errorID>
      <errorWord>主要以玉米为主</errorWord>
      <group>L1_Grammar</group>
      <groupName>语法问题</groupName>
      <ability>L2_Grammar</ability>
      <abilityName>语法错误</abilityName>
      <candidateList>
        <item>以玉米为主</item>
      </candidateList>
      <explain/>
      <paraID>67282575</paraID>
      <start>50</start>
      <end>57</end>
      <status>unmodified</status>
      <modifiedWord/>
      <trackRevisions>false</trackRevisions>
    </reviewItem>
    <reviewItem>
      <errorID>f84e073f-535c-4f97-821e-36f0fd11228d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427712AE</paraID>
      <start>33</start>
      <end>34</end>
      <status>ignored</status>
      <modifiedWord/>
      <trackRevisions>false</trackRevisions>
    </reviewItem>
    <reviewItem>
      <errorID>92fdf7e7-f724-49e6-9352-1a3661d3ba96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427712AE</paraID>
      <start>57</start>
      <end>58</end>
      <status>ignored</status>
      <modifiedWord/>
      <trackRevisions>false</trackRevisions>
    </reviewItem>
    <reviewItem>
      <errorID>a1bb9b60-f9ff-409a-8d07-bfce1f461501</errorID>
      <errorWord>法制化</errorWord>
      <group>L1_Word</group>
      <groupName>字词问题</groupName>
      <ability>L2_Typo</ability>
      <abilityName>字词错误</abilityName>
      <candidateList>
        <item>法治化</item>
      </candidateList>
      <explain/>
      <paraID>5ED988DB</paraID>
      <start>54</start>
      <end>57</end>
      <status>unmodified</status>
      <modifiedWord/>
      <trackRevisions>false</trackRevisions>
    </reviewItem>
    <reviewItem>
      <errorID>6eb010be-dc5f-4f07-bd1c-b0a89f467178</errorID>
      <errorWord>&lt;</errorWord>
      <group>L1_Format</group>
      <groupName>格式问题</groupName>
      <ability>L2_HalfPunc</ability>
      <abilityName>全半角检查</abilityName>
      <candidateList>
        <item>〈</item>
      </candidateList>
      <explain>文本全半角错误。</explain>
      <paraID> D81FB60</paraID>
      <start>36</start>
      <end>37</end>
      <status>unmodified</status>
      <modifiedWord/>
      <trackRevisions>false</trackRevisions>
    </reviewItem>
    <reviewItem>
      <errorID>b1bfe54d-e46a-4e94-9304-826fb7dcb714</errorID>
      <errorWord>&gt;的通知》</errorWord>
      <group>L1_Punc</group>
      <groupName>标点问题</groupName>
      <ability>L2_Punc</ability>
      <abilityName>标点符号检查</abilityName>
      <candidateList>
        <item>〉的通知》</item>
      </candidateList>
      <explain/>
      <paraID> D81FB60</paraID>
      <start>64</start>
      <end>69</end>
      <status>unmodified</status>
      <modifiedWord/>
      <trackRevisions>false</trackRevisions>
    </reviewItem>
    <reviewItem>
      <errorID>270acc2b-02f3-4865-9379-5da5f95059bb</errorID>
      <errorWord>控制控制</errorWord>
      <group>L1_Word</group>
      <groupName>字词问题</groupName>
      <ability>L2_Typo</ability>
      <abilityName>字词错误</abilityName>
      <candidateList>
        <item>控制</item>
      </candidateList>
      <explain/>
      <paraID> 7C0C03B</paraID>
      <start>56</start>
      <end>60</end>
      <status>unmodified</status>
      <modifiedWord/>
      <trackRevisions>false</trackRevisions>
    </reviewItem>
    <reviewItem>
      <errorID>3a1bb667-d3e7-40a5-9803-2a05de696575</errorID>
      <errorWord>尽量减小</errorWord>
      <group>L1_Word</group>
      <groupName>字词问题</groupName>
      <ability>L2_Typo</ability>
      <abilityName>字词错误</abilityName>
      <candidateList>
        <item>尽量减少</item>
      </candidateList>
      <explain>存在字形相近字词的误用。</explain>
      <paraID> 7C0C03B</paraID>
      <start>70</start>
      <end>74</end>
      <status>unmodified</status>
      <modifiedWord/>
      <trackRevisions>false</trackRevisions>
    </reviewItem>
    <reviewItem>
      <errorID>4566fde5-8f03-41a4-a1ef-7474e559f865</errorID>
      <errorWord>主要土壤类型以草甸土为主</errorWord>
      <group>L1_Grammar</group>
      <groupName>语法问题</groupName>
      <ability>L2_Grammar</ability>
      <abilityName>语法错误</abilityName>
      <candidateList>
        <item>土壤类型以草甸土为主</item>
      </candidateList>
      <explain/>
      <paraID>5E9F9054</paraID>
      <start>54</start>
      <end>66</end>
      <status>unmodified</status>
      <modifiedWord/>
      <trackRevisions>false</trackRevisions>
    </reviewItem>
    <reviewItem>
      <errorID>22e2cbae-50f8-4a5b-8bc0-6e9541387ed4</errorID>
      <errorWord>送</errorWord>
      <group>L1_Word</group>
      <groupName>字词问题</groupName>
      <ability>L2_Typo</ability>
      <abilityName>字词错误</abilityName>
      <candidateList>
        <item>送到</item>
      </candidateList>
      <explain/>
      <paraID>6CDB6A83</paraID>
      <start>66</start>
      <end>67</end>
      <status>unmodified</status>
      <modifiedWord/>
      <trackRevisions>false</trackRevisions>
    </reviewItem>
    <reviewItem>
      <errorID>93442642-f79b-4b6f-9a13-18a0877c07d5</errorID>
      <errorWord>程</errorWord>
      <group>L1_Word</group>
      <groupName>字词问题</groupName>
      <ability>L2_Typo</ability>
      <abilityName>字词错误</abilityName>
      <candidateList>
        <item>程中</item>
      </candidateList>
      <explain/>
      <paraID>6CDB6A83</paraID>
      <start>157</start>
      <end>158</end>
      <status>unmodified</status>
      <modifiedWord/>
      <trackRevisions>false</trackRevisions>
    </reviewItem>
    <reviewItem>
      <errorID>c0502dd9-5e5c-48f3-b1ba-7b750ebdcaf0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32F194E0</paraID>
      <start>71</start>
      <end>72</end>
      <status>ignored</status>
      <modifiedWord/>
      <trackRevisions>false</trackRevisions>
    </reviewItem>
    <reviewItem>
      <errorID>2f9726a5-678c-46ec-81c0-85ea422009bd</errorID>
      <errorWord>环境的</errorWord>
      <group>L1_Word</group>
      <groupName>字词问题</groupName>
      <ability>L2_Typo</ability>
      <abilityName>字词错误</abilityName>
      <candidateList>
        <item>环境</item>
      </candidateList>
      <explain>〈名〉❶周围的地方：～优美｜～卫生。❷周围的情况和条件：客观～｜工作～。</explain>
      <paraID>131EB34C</paraID>
      <start>131</start>
      <end>134</end>
      <status>unmodified</status>
      <modifiedWord/>
      <trackRevisions>false</trackRevisions>
    </reviewItem>
    <reviewItem>
      <errorID>146a89e6-2835-4070-8555-355995bd4dff</errorID>
      <errorWord>的成份</errorWord>
      <group>L1_Word</group>
      <groupName>字词问题</groupName>
      <ability>L2_Variant</ability>
      <abilityName>异形词</abilityName>
      <candidateList>
        <item>的成分</item>
      </candidateList>
      <explain>词汇[的成份]的规范词形写作[的成分]。</explain>
      <paraID> 7F360A8</paraID>
      <start>40</start>
      <end>43</end>
      <status>unmodified</status>
      <modifiedWord/>
      <trackRevisions>false</trackRevisions>
    </reviewItem>
    <reviewItem>
      <errorID>05814798-377c-40dd-9a24-8026d31fe42f</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7A793F2A</paraID>
      <start>32</start>
      <end>34</end>
      <status>unmodified</status>
      <modifiedWord/>
      <trackRevisions>false</trackRevisions>
    </reviewItem>
    <reviewItem>
      <errorID>ceef5b7f-5a5d-4fca-932c-6136e5d0f65e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76426652</paraID>
      <start>56</start>
      <end>57</end>
      <status>ignored</status>
      <modifiedWord/>
      <trackRevisions>false</trackRevisions>
    </reviewItem>
    <reviewItem>
      <errorID>a9ad9e0e-5635-4de5-9b48-198fd2356eaf</errorID>
      <errorWord>程</errorWord>
      <group>L1_Word</group>
      <groupName>字词问题</groupName>
      <ability>L2_Typo</ability>
      <abilityName>字词错误</abilityName>
      <candidateList>
        <item>程中</item>
      </candidateList>
      <explain/>
      <paraID>76426652</paraID>
      <start>177</start>
      <end>178</end>
      <status>unmodified</status>
      <modifiedWord/>
      <trackRevisions>false</trackRevisions>
    </reviewItem>
    <reviewItem>
      <errorID>2bc9bf35-600a-4c95-bc71-d6485f8592e4</errorID>
      <errorWord>环境的</errorWord>
      <group>L1_Word</group>
      <groupName>字词问题</groupName>
      <ability>L2_Typo</ability>
      <abilityName>字词错误</abilityName>
      <candidateList>
        <item>环境</item>
      </candidateList>
      <explain>〈名〉❶周围的地方：～优美｜～卫生。❷周围的情况和条件：客观～｜工作～。</explain>
      <paraID>553FEEAD</paraID>
      <start>123</start>
      <end>126</end>
      <status>unmodified</status>
      <modifiedWord/>
      <trackRevisions>false</trackRevisions>
    </reviewItem>
    <reviewItem>
      <errorID>ef832cd4-ba97-4b46-89f1-8dc918f8a8d7</errorID>
      <errorWord>个</errorWord>
      <group>L1_Knowledge</group>
      <groupName>知识性问题</groupName>
      <ability>L2_Knowledge</ability>
      <abilityName>其他知识</abilityName>
      <candidateList>
        <item>处</item>
      </candidateList>
      <explain>请检查“个”是否为量词使用错误，建议修改为“处”。</explain>
      <paraID>6DB13BCC</paraID>
      <start>15</start>
      <end>16</end>
      <status>unmodified</status>
      <modifiedWord/>
      <trackRevisions>false</trackRevisions>
    </reviewItem>
    <reviewItem>
      <errorID>b0d64dd1-c3a1-42d6-9db2-ecf34a24ce32</errorID>
      <errorWord>泄露</errorWord>
      <group>L1_Word</group>
      <groupName>字词问题</groupName>
      <ability>L2_Typo</ability>
      <abilityName>字词错误</abilityName>
      <candidateList>
        <item>泄漏</item>
      </candidateList>
      <explain/>
      <paraID>679AAD8E</paraID>
      <start>21</start>
      <end>23</end>
      <status>unmodified</status>
      <modifiedWord/>
      <trackRevisions>false</trackRevisions>
    </reviewItem>
    <reviewItem>
      <errorID>5cefdbd5-d69a-442c-95a6-8b05859a8421</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50767347</paraID>
      <start>20</start>
      <end>21</end>
      <status>unmodified</status>
      <modifiedWord/>
      <trackRevisions>false</trackRevisions>
    </reviewItem>
    <reviewItem>
      <errorID>2bf49fd5-8011-4572-b468-0ded25c3bae7</errorID>
      <errorWord>(</errorWord>
      <group>L1_Format</group>
      <groupName>格式问题</groupName>
      <ability>L2_HalfPunc</ability>
      <abilityName>全半角检查</abilityName>
      <candidateList>
        <item>（</item>
      </candidateList>
      <explain>文本全半角错误。</explain>
      <paraID>5466FB1C</paraID>
      <start>178</start>
      <end>179</end>
      <status>ignored</status>
      <modifiedWord/>
      <trackRevisions>false</trackRevisions>
    </reviewItem>
    <reviewItem>
      <errorID>c6dbd4e8-a829-4c8b-baf2-e14635ac8096</errorID>
      <errorWord>)</errorWord>
      <group>L1_Format</group>
      <groupName>格式问题</groupName>
      <ability>L2_HalfPunc</ability>
      <abilityName>全半角检查</abilityName>
      <candidateList>
        <item>）</item>
      </candidateList>
      <explain>文本全半角错误。</explain>
      <paraID>5466FB1C</paraID>
      <start>192</start>
      <end>193</end>
      <status>ignored</status>
      <modifiedWord/>
      <trackRevisions>false</trackRevisions>
    </reviewItem>
    <reviewItem>
      <errorID>6ed6c4a3-222d-4c2d-8dcc-5126848eca21</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5466FB1C</paraID>
      <start>224</start>
      <end>225</end>
      <status>unmodified</status>
      <modifiedWord/>
      <trackRevisions>false</trackRevisions>
    </reviewItem>
    <reviewItem>
      <errorID>637d6229-ac3d-41c6-a8fa-ca6291e5f699</errorID>
      <errorWord>，</errorWord>
      <group>L1_Word</group>
      <groupName>字词问题</groupName>
      <ability>L2_Typo</ability>
      <abilityName>字词错误</abilityName>
      <candidateList>
        <item>，以</item>
      </candidateList>
      <explain/>
      <paraID> DBC4B0D</paraID>
      <start>81</start>
      <end>82</end>
      <status>unmodified</status>
      <modifiedWord/>
      <trackRevisions>false</trackRevisions>
    </reviewItem>
    <reviewItem>
      <errorID>49b78178-7269-45aa-9732-eb39afae65bf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684E1242</paraID>
      <start>25</start>
      <end>26</end>
      <status>ignored</status>
      <modifiedWord/>
      <trackRevisions>false</trackRevisions>
    </reviewItem>
    <reviewItem>
      <errorID>f8817b46-7101-4064-aec4-170268067ca2</errorID>
      <errorWord>~</errorWord>
      <group>L1_Format</group>
      <groupName>格式问题</groupName>
      <ability>L2_HalfPunc</ability>
      <abilityName>全半角检查</abilityName>
      <candidateList>
        <item>～</item>
      </candidateList>
      <explain>文本全半角错误。</explain>
      <paraID>684E1242</paraID>
      <start>84</start>
      <end>85</end>
      <status>unmodified</status>
      <modifiedWord/>
      <trackRevisions>false</trackRevisions>
    </reviewItem>
    <reviewItem>
      <errorID>d1bad277-75f1-4b6f-aac7-ee0f72abda4d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684E1242</paraID>
      <start>102</start>
      <end>103</end>
      <status>ignored</status>
      <modifiedWord/>
      <trackRevisions>false</trackRevisions>
    </reviewItem>
    <reviewItem>
      <errorID>a449d1d9-0fb4-4618-bb72-caf8416661ef</errorID>
      <errorWord>污水水质</errorWord>
      <group>L1_Knowledge</group>
      <groupName>知识性问题</groupName>
      <ability>L2_Term</ability>
      <abilityName>专业术语</abilityName>
      <candidateList>
        <item>出水水质</item>
      </candidateList>
      <explain/>
      <paraID>684E1242</paraID>
      <start>127</start>
      <end>131</end>
      <status>unmodified</status>
      <modifiedWord/>
      <trackRevisions>false</trackRevisions>
    </reviewItem>
    <reviewItem>
      <errorID>8180e82b-d8b8-440f-9fdd-175b6d0f76b2</errorID>
      <errorWord>期正</errorWord>
      <group>L1_Word</group>
      <groupName>字词问题</groupName>
      <ability>L2_Typo</ability>
      <abilityName>字词错误</abilityName>
      <candidateList>
        <item>期</item>
      </candidateList>
      <explain/>
      <paraID>4A3BBAF0</paraID>
      <start>10</start>
      <end>12</end>
      <status>unmodified</status>
      <modifiedWord/>
      <trackRevisions>false</trackRevisions>
    </reviewItem>
    <reviewItem>
      <errorID>0ef56aa1-0f25-4dd9-b36e-78bf63c81d2e</errorID>
      <errorWord>粘度</errorWord>
      <group>L1_Word</group>
      <groupName>字词问题</groupName>
      <ability>L2_Alias</ability>
      <abilityName>也作/曾用词</abilityName>
      <candidateList>
        <item>黏度</item>
      </candidateList>
      <explain>词汇[粘度]为不规范表述或旧称，其规范书面表述为[黏度]。</explain>
      <paraID>7F42E167</paraID>
      <start>23</start>
      <end>25</end>
      <status>unmodified</status>
      <modifiedWord/>
      <trackRevisions>false</trackRevisions>
    </reviewItem>
    <reviewItem>
      <errorID>1b3c8c78-ab18-4c86-83ee-f68e45f10cd5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3D39BFE8</paraID>
      <start>67</start>
      <end>68</end>
      <status>ignored</status>
      <modifiedWord/>
      <trackRevisions>false</trackRevisions>
    </reviewItem>
    <reviewItem>
      <errorID>cb19ae07-7719-4c07-ba43-ce0bcb4cc17c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3D39BFE8</paraID>
      <start>133</start>
      <end>134</end>
      <status>ignored</status>
      <modifiedWord/>
      <trackRevisions>false</trackRevisions>
    </reviewItem>
    <reviewItem>
      <errorID>00120805-691d-4772-a596-353b4a08e36d</errorID>
      <errorWord>后回注油层后回注油层</errorWord>
      <group>L1_Word</group>
      <groupName>字词问题</groupName>
      <ability>L2_Typo</ability>
      <abilityName>字词错误</abilityName>
      <candidateList>
        <item>后回注油层</item>
      </candidateList>
      <explain/>
      <paraID>6B83FBDF</paraID>
      <start>190</start>
      <end>200</end>
      <status>unmodified</status>
      <modifiedWord/>
      <trackRevisions>false</trackRevisions>
    </reviewItem>
    <reviewItem>
      <errorID>2971cc83-15a9-49e3-a061-e9472a2e50d2</errorID>
      <errorWord>处理处理</errorWord>
      <group>L1_Word</group>
      <groupName>字词问题</groupName>
      <ability>L2_Typo</ability>
      <abilityName>字词错误</abilityName>
      <candidateList>
        <item>处理</item>
      </candidateList>
      <explain/>
      <paraID>63F760C6</paraID>
      <start>44</start>
      <end>48</end>
      <status>unmodified</status>
      <modifiedWord/>
      <trackRevisions>false</trackRevisions>
    </reviewItem>
    <reviewItem>
      <errorID>79e4d72d-c060-405c-bc1b-31b2aa166279</errorID>
      <errorWord>(</errorWord>
      <group>L1_Format</group>
      <groupName>格式问题</groupName>
      <ability>L2_HalfPunc</ability>
      <abilityName>全半角检查</abilityName>
      <candidateList>
        <item>（</item>
      </candidateList>
      <explain>文本全半角错误。</explain>
      <paraID>63F760C6</paraID>
      <start>158</start>
      <end>159</end>
      <status>ignored</status>
      <modifiedWord/>
      <trackRevisions>false</trackRevisions>
    </reviewItem>
    <reviewItem>
      <errorID>d29edf87-af88-46ee-8dcf-29258739fb07</errorID>
      <errorWord>)</errorWord>
      <group>L1_Format</group>
      <groupName>格式问题</groupName>
      <ability>L2_HalfPunc</ability>
      <abilityName>全半角检查</abilityName>
      <candidateList>
        <item>）</item>
      </candidateList>
      <explain>文本全半角错误。</explain>
      <paraID>63F760C6</paraID>
      <start>172</start>
      <end>173</end>
      <status>ignored</status>
      <modifiedWord/>
      <trackRevisions>false</trackRevisions>
    </reviewItem>
    <reviewItem>
      <errorID>d605a263-246b-4317-8404-f343f0471635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7E55353A</paraID>
      <start>120</start>
      <end>121</end>
      <status>ignored</status>
      <modifiedWord/>
      <trackRevisions>false</trackRevisions>
    </reviewItem>
    <reviewItem>
      <errorID>270f3863-612a-4285-9746-266dfaf28f0c</errorID>
      <errorWord>污染到</errorWord>
      <group>L1_Word</group>
      <groupName>字词问题</groupName>
      <ability>L2_Typo</ability>
      <abilityName>字词错误</abilityName>
      <candidateList>
        <item>污染</item>
      </candidateList>
      <explain/>
      <paraID>72AB5D2D</paraID>
      <start>63</start>
      <end>66</end>
      <status>unmodified</status>
      <modifiedWord/>
      <trackRevisions>false</trackRevisions>
    </reviewItem>
    <reviewItem>
      <errorID>27d08bec-55d9-4ee7-9f5c-922d37c21788</errorID>
      <errorWord>钢制</errorWord>
      <group>L1_Word</group>
      <groupName>字词问题</groupName>
      <ability>L2_Typo</ability>
      <abilityName>字词错误</abilityName>
      <candidateList>
        <item>钢质</item>
      </candidateList>
      <explain/>
      <paraID>18D45A70</paraID>
      <start>24</start>
      <end>26</end>
      <status>unmodified</status>
      <modifiedWord/>
      <trackRevisions>false</trackRevisions>
    </reviewItem>
    <reviewItem>
      <errorID>00d7873f-db09-47f8-86f2-aab9f28b5d36</errorID>
      <errorWord>束</errorWord>
      <group>L1_Word</group>
      <groupName>字词问题</groupName>
      <ability>L2_Typo</ability>
      <abilityName>字词错误</abilityName>
      <candidateList>
        <item>束后</item>
      </candidateList>
      <explain/>
      <paraID>18D45A70</paraID>
      <start>128</start>
      <end>129</end>
      <status>unmodified</status>
      <modifiedWord/>
      <trackRevisions>false</trackRevisions>
    </reviewItem>
    <reviewItem>
      <errorID>7f2d3cf0-1583-44b4-8537-abb5310d8118</errorID>
      <errorWord>泄漏预测</errorWord>
      <group>L1_Knowledge</group>
      <groupName>知识性问题</groupName>
      <ability>L2_Term</ability>
      <abilityName>专业术语</abilityName>
      <candidateList>
        <item>泄漏检测</item>
      </candidateList>
      <explain/>
      <paraID>18D45A70</paraID>
      <start>145</start>
      <end>149</end>
      <status>unmodified</status>
      <modifiedWord/>
      <trackRevisions>false</trackRevisions>
    </reviewItem>
    <reviewItem>
      <errorID>3844f04e-b53c-443c-bba6-fba4d605a724</errorID>
      <errorWord>井漏</errorWord>
      <group>L1_Word</group>
      <groupName>字词问题</groupName>
      <ability>L2_Typo</ability>
      <abilityName>字词错误</abilityName>
      <candidateList>
        <item>渗漏</item>
      </candidateList>
      <explain/>
      <paraID>3DF216E8</paraID>
      <start>41</start>
      <end>43</end>
      <status>unmodified</status>
      <modifiedWord/>
      <trackRevisions>false</trackRevisions>
    </reviewItem>
    <reviewItem>
      <errorID>37018f43-de4a-404a-bd79-224e605ae5a0</errorID>
      <errorWord>本次</errorWord>
      <group>L1_Word</group>
      <groupName>字词问题</groupName>
      <ability>L2_Typo</ability>
      <abilityName>字词错误</abilityName>
      <candidateList>
        <item>本文</item>
      </candidateList>
      <explain/>
      <paraID>1A109F3D</paraID>
      <start>52</start>
      <end>54</end>
      <status>unmodified</status>
      <modifiedWord/>
      <trackRevisions>false</trackRevisions>
    </reviewItem>
    <reviewItem>
      <errorID>df6fcbbd-32c2-49fa-b12f-7d4c2f1eba9d</errorID>
      <errorWord>类</errorWord>
      <group>L1_Knowledge</group>
      <groupName>知识性问题</groupName>
      <ability>L2_Knowledge</ability>
      <abilityName>其他知识</abilityName>
      <candidateList>
        <item>起</item>
      </candidateList>
      <explain>〈动〉趋向动词。❶用在动词后，表示向上：抬～箱子往外走。❷用在动词后，表示力量够得上或够不上：经得～考验｜太贵了，买不～。注意动词和“起”之间常有“得”字或“不”字。❸用在动词后，表示事物随动作出现：乐队奏～迎宾曲｜会场响～热烈掌声。❹用在动词后，表示动作涉及人或事：他多次问～过你｜想～一件事。</explain>
      <paraID>1A109F3D</paraID>
      <start>56</start>
      <end>57</end>
      <status>unmodified</status>
      <modifiedWord/>
      <trackRevisions>false</trackRevisions>
    </reviewItem>
    <reviewItem>
      <errorID>dca89f72-223b-472f-b762-a3b303506959</errorID>
      <errorWord>承压水</errorWord>
      <group>L1_Word</group>
      <groupName>字词问题</groupName>
      <ability>L2_Typo</ability>
      <abilityName>字词错误</abilityName>
      <candidateList>
        <item>承压</item>
      </candidateList>
      <explain/>
      <paraID> 1DD4EA7</paraID>
      <start>22</start>
      <end>25</end>
      <status>unmodified</status>
      <modifiedWord/>
      <trackRevisions>false</trackRevisions>
    </reviewItem>
    <reviewItem>
      <errorID>fe8b3088-781e-412f-b05a-90d49add0a90</errorID>
      <errorWord>由</errorWord>
      <group>L1_Word</group>
      <groupName>字词问题</groupName>
      <ability>L2_Typo</ability>
      <abilityName>字词错误</abilityName>
      <candidateList>
        <item>由于</item>
      </candidateList>
      <explain>❶〈介〉表示原因或理由：～老师傅的耐心教导，他很快就掌握了这门技术。❷〈连〉表示原因，多与“所以”、“因此”等配合：～他工作成绩显著，因此受到了领导的表扬。</explain>
      <paraID> 1DD4EA7</paraID>
      <start>71</start>
      <end>72</end>
      <status>unmodified</status>
      <modifiedWord/>
      <trackRevisions>false</trackRevisions>
    </reviewItem>
    <reviewItem>
      <errorID>03870578-3932-4d14-91d2-49ae47702ab9</errorID>
      <errorWord>泄露</errorWord>
      <group>L1_Word</group>
      <groupName>字词问题</groupName>
      <ability>L2_Typo</ability>
      <abilityName>字词错误</abilityName>
      <candidateList>
        <item>泄漏</item>
      </candidateList>
      <explain>存在发音相同字词的误用。</explain>
      <paraID> 1DD4EA7</paraID>
      <start>97</start>
      <end>99</end>
      <status>unmodified</status>
      <modifiedWord/>
      <trackRevisions>false</trackRevisions>
    </reviewItem>
    <reviewItem>
      <errorID>89401523-ed45-43ae-a2ce-43501d406a13</errorID>
      <errorWord>本次</errorWord>
      <group>L1_Word</group>
      <groupName>字词问题</groupName>
      <ability>L2_Typo</ability>
      <abilityName>字词错误</abilityName>
      <candidateList>
        <item>本文</item>
      </candidateList>
      <explain/>
      <paraID> 1DD4EA7</paraID>
      <start>131</start>
      <end>133</end>
      <status>unmodified</status>
      <modifiedWord/>
      <trackRevisions>false</trackRevisions>
    </reviewItem>
    <reviewItem>
      <errorID>b067ab56-7619-409a-a557-4d40da66e15d</errorID>
      <errorWord>类</errorWord>
      <group>L1_Knowledge</group>
      <groupName>知识性问题</groupName>
      <ability>L2_Knowledge</ability>
      <abilityName>其他知识</abilityName>
      <candidateList>
        <item>起</item>
      </candidateList>
      <explain>〈动〉趋向动词。❶用在动词后，表示向上：抬～箱子往外走。❷用在动词后，表示力量够得上或够不上：经得～考验｜太贵了，买不～。注意动词和“起”之间常有“得”字或“不”字。❸用在动词后，表示事物随动作出现：乐队奏～迎宾曲｜会场响～热烈掌声。❹用在动词后，表示动作涉及人或事：他多次问～过你｜想～一件事。</explain>
      <paraID> 1DD4EA7</paraID>
      <start>135</start>
      <end>136</end>
      <status>unmodified</status>
      <modifiedWord/>
      <trackRevisions>false</trackRevisions>
    </reviewItem>
    <reviewItem>
      <errorID>5bb21412-852b-4488-8a7e-a9b6fe0aa69a</errorID>
      <errorWord>~</errorWord>
      <group>L1_Format</group>
      <groupName>格式问题</groupName>
      <ability>L2_HalfPunc</ability>
      <abilityName>全半角检查</abilityName>
      <candidateList>
        <item>～</item>
      </candidateList>
      <explain>文本全半角错误。</explain>
      <paraID>419C919B</paraID>
      <start>248</start>
      <end>249</end>
      <status>unmodified</status>
      <modifiedWord/>
      <trackRevisions>false</trackRevisions>
    </reviewItem>
    <reviewItem>
      <errorID>af7b28ab-a489-46ec-921d-3d6cb06658a1</errorID>
      <errorWord>目的</errorWord>
      <group>L1_Word</group>
      <groupName>字词问题</groupName>
      <ability>L2_Typo</ability>
      <abilityName>字词错误</abilityName>
      <candidateList>
        <item>的</item>
      </candidateList>
      <explain>“的”常用于连接修饰语与名词性中心语，表示属性、所属或描述。</explain>
      <paraID>3432C738</paraID>
      <start>4</start>
      <end>6</end>
      <status>unmodified</status>
      <modifiedWord/>
      <trackRevisions>false</trackRevisions>
    </reviewItem>
    <reviewItem>
      <errorID>54323ff3-97d8-4351-9847-201f560fd64d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3432C738</paraID>
      <start>48</start>
      <end>49</end>
      <status>ignored</status>
      <modifiedWord/>
      <trackRevisions>false</trackRevisions>
    </reviewItem>
    <reviewItem>
      <errorID>1dba6c22-1e3d-48ee-bd23-ab1a4b6de8b5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3432C738</paraID>
      <start>66</start>
      <end>67</end>
      <status>ignored</status>
      <modifiedWord/>
      <trackRevisions>false</trackRevisions>
    </reviewItem>
    <reviewItem>
      <errorID>b7728b77-46db-4d5e-865f-bbf59b51671f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3432C738</paraID>
      <start>95</start>
      <end>96</end>
      <status>ignored</status>
      <modifiedWord/>
      <trackRevisions>false</trackRevisions>
    </reviewItem>
    <reviewItem>
      <errorID>6c7bbcf8-172b-4b2d-b608-bd6ac873ccb3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3432C738</paraID>
      <start>112</start>
      <end>113</end>
      <status>ignored</status>
      <modifiedWord/>
      <trackRevisions>false</trackRevisions>
    </reviewItem>
    <reviewItem>
      <errorID>ab8c4e9c-8e1d-426b-9b01-bf36c197f560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3432C738</paraID>
      <start>130</start>
      <end>131</end>
      <status>ignored</status>
      <modifiedWord/>
      <trackRevisions>false</trackRevisions>
    </reviewItem>
    <reviewItem>
      <errorID>653b2bbb-8461-471c-8d57-1ee91f54dbfd</errorID>
      <errorWord>影</errorWord>
      <group>L1_Word</group>
      <groupName>字词问题</groupName>
      <ability>L2_Typo</ability>
      <abilityName>字词错误</abilityName>
      <candidateList>
        <item>影响</item>
      </candidateList>
      <explain>❶〈动〉对别人的思想或行动起作用（如影之随形，响之应声）：父母应该用自己的模范行动去～孩子。❷〈名〉对人或事物所起的作用：这件事造成很大的～。❸〈书〉〈形〉传闻的；无根据的：模糊～之谈。</explain>
      <paraID>3432C738</paraID>
      <start>193</start>
      <end>194</end>
      <status>unmodified</status>
      <modifiedWord/>
      <trackRevisions>false</trackRevisions>
    </reviewItem>
    <reviewItem>
      <errorID>9eaef7b7-1440-4c3f-a4d9-b79801acf45a</errorID>
      <errorWord>-</errorWord>
      <group>L1_Format</group>
      <groupName>格式问题</groupName>
      <ability>L2_HalfPunc</ability>
      <abilityName>全半角检查</abilityName>
      <candidateList>
        <item>－</item>
      </candidateList>
      <explain>文本全半角错误。</explain>
      <paraID>106DE15A</paraID>
      <start>7</start>
      <end>8</end>
      <status>unmodified</status>
      <modifiedWord/>
      <trackRevisions>false</trackRevisions>
    </reviewItem>
    <reviewItem>
      <errorID>02516b32-b7c6-4d4e-8ee1-4d11a0b8beeb</errorID>
      <errorWord>~</errorWord>
      <group>L1_Format</group>
      <groupName>格式问题</groupName>
      <ability>L2_HalfPunc</ability>
      <abilityName>全半角检查</abilityName>
      <candidateList>
        <item>～</item>
      </candidateList>
      <explain>文本全半角错误。</explain>
      <paraID>3B469D62</paraID>
      <start>60</start>
      <end>61</end>
      <status>unmodified</status>
      <modifiedWord/>
      <trackRevisions>false</trackRevisions>
    </reviewItem>
    <reviewItem>
      <errorID>6da5419a-113a-40cb-b788-9bcec4d4f4f3</errorID>
      <errorWord>~</errorWord>
      <group>L1_Format</group>
      <groupName>格式问题</groupName>
      <ability>L2_HalfPunc</ability>
      <abilityName>全半角检查</abilityName>
      <candidateList>
        <item>～</item>
      </candidateList>
      <explain>文本全半角错误。</explain>
      <paraID>73F236CF</paraID>
      <start>41</start>
      <end>42</end>
      <status>unmodified</status>
      <modifiedWord/>
      <trackRevisions>false</trackRevisions>
    </reviewItem>
    <reviewItem>
      <errorID>605bd23a-e5a6-4728-a722-4517d693125b</errorID>
      <errorWord>II类</errorWord>
      <group>L1_Knowledge</group>
      <groupName>知识性问题</groupName>
      <ability>L2_Knowledge</ability>
      <abilityName>其他知识</abilityName>
      <candidateList>
        <item>Ⅱ类</item>
      </candidateList>
      <explain/>
      <paraID>32245375</paraID>
      <start>33</start>
      <end>36</end>
      <status>unmodified</status>
      <modifiedWord/>
      <trackRevisions>false</trackRevisions>
    </reviewItem>
    <reviewItem>
      <errorID>4903ea14-4c7a-40ac-9d0e-11baafe0a82d</errorID>
      <errorWord>~</errorWord>
      <group>L1_Format</group>
      <groupName>格式问题</groupName>
      <ability>L2_HalfPunc</ability>
      <abilityName>全半角检查</abilityName>
      <candidateList>
        <item>～</item>
      </candidateList>
      <explain>文本全半角错误。</explain>
      <paraID>7FFC31ED</paraID>
      <start>63</start>
      <end>64</end>
      <status>unmodified</status>
      <modifiedWord/>
      <trackRevisions>false</trackRevisions>
    </reviewItem>
    <reviewItem>
      <errorID>ae9dbc20-9ef7-4879-a58d-d41ea205a5f7</errorID>
      <errorWord>-</errorWord>
      <group>L1_Format</group>
      <groupName>格式问题</groupName>
      <ability>L2_HalfPunc</ability>
      <abilityName>全半角检查</abilityName>
      <candidateList>
        <item>－</item>
      </candidateList>
      <explain>文本全半角错误。</explain>
      <paraID>58ECFBB6</paraID>
      <start>149</start>
      <end>150</end>
      <status>unmodified</status>
      <modifiedWord/>
      <trackRevisions>false</trackRevisions>
    </reviewItem>
    <reviewItem>
      <errorID>761bde17-3991-4e2d-a8e8-0ffb526c961d</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2F788FB8</paraID>
      <start>6</start>
      <end>8</end>
      <status>unmodified</status>
      <modifiedWord/>
      <trackRevisions>false</trackRevisions>
    </reviewItem>
    <reviewItem>
      <errorID>f6c1637d-3a15-4094-a216-622757ad5423</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255EB766</paraID>
      <start>6</start>
      <end>8</end>
      <status>unmodified</status>
      <modifiedWord/>
      <trackRevisions>false</trackRevisions>
    </reviewItem>
    <reviewItem>
      <errorID>66706e55-d2ad-44fd-ab7d-1ab584c75dfd</errorID>
      <errorWord>泄漏预测</errorWord>
      <group>L1_Knowledge</group>
      <groupName>知识性问题</groupName>
      <ability>L2_Term</ability>
      <abilityName>专业术语</abilityName>
      <candidateList>
        <item>泄漏检测</item>
      </candidateList>
      <explain/>
      <paraID>314EBA7C</paraID>
      <start>113</start>
      <end>117</end>
      <status>unmodified</status>
      <modifiedWord/>
      <trackRevisions>false</trackRevisions>
    </reviewItem>
    <reviewItem>
      <errorID>1f83be58-26c0-4116-88df-e9049d5d824c</errorID>
      <errorWord>x，</errorWord>
      <group>L1_Format</group>
      <groupName>格式问题</groupName>
      <ability>L2_Ordinal</ability>
      <abilityName>序号格式</abilityName>
      <candidateList>
        <item>x.</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7CC7F7BD</paraID>
      <start>0</start>
      <end>2</end>
      <status>unmodified</status>
      <modifiedWord/>
      <trackRevisions>false</trackRevisions>
    </reviewItem>
    <reviewItem>
      <errorID>4141eea4-a761-4a63-a3bf-043d2588ffd3</errorID>
      <errorWord>水水</errorWord>
      <group>L1_Word</group>
      <groupName>字词问题</groupName>
      <ability>L2_Typo</ability>
      <abilityName>字词错误</abilityName>
      <candidateList>
        <item>水</item>
      </candidateList>
      <explain/>
      <paraID> C984347</paraID>
      <start>10</start>
      <end>12</end>
      <status>unmodified</status>
      <modifiedWord/>
      <trackRevisions>false</trackRevisions>
    </reviewItem>
    <reviewItem>
      <errorID>6427b027-c826-4388-86d6-1f4dde24f08f</errorID>
      <errorWord>~</errorWord>
      <group>L1_Format</group>
      <groupName>格式问题</groupName>
      <ability>L2_HalfPunc</ability>
      <abilityName>全半角检查</abilityName>
      <candidateList>
        <item>～</item>
      </candidateList>
      <explain>文本全半角错误。</explain>
      <paraID> C984347</paraID>
      <start>52</start>
      <end>53</end>
      <status>unmodified</status>
      <modifiedWord/>
      <trackRevisions>false</trackRevisions>
    </reviewItem>
    <reviewItem>
      <errorID>ea382104-b5fa-4d70-9dbd-3e9d03cbf1c8</errorID>
      <errorWord>II</errorWord>
      <group>L1_Knowledge</group>
      <groupName>知识性问题</groupName>
      <ability>L2_Knowledge</ability>
      <abilityName>其他知识</abilityName>
      <candidateList>
        <item>Ⅱ</item>
      </candidateList>
      <explain/>
      <paraID>5AF335F7</paraID>
      <start>35</start>
      <end>37</end>
      <status>unmodified</status>
      <modifiedWord/>
      <trackRevisions>false</trackRevisions>
    </reviewItem>
    <reviewItem>
      <errorID>7c24a46b-85ed-4331-9e90-953c2e1a4090</errorID>
      <errorWord>~</errorWord>
      <group>L1_Format</group>
      <groupName>格式问题</groupName>
      <ability>L2_HalfPunc</ability>
      <abilityName>全半角检查</abilityName>
      <candidateList>
        <item>～</item>
      </candidateList>
      <explain>文本全半角错误。</explain>
      <paraID>3C741737</paraID>
      <start>63</start>
      <end>64</end>
      <status>unmodified</status>
      <modifiedWord/>
      <trackRevisions>false</trackRevisions>
    </reviewItem>
    <reviewItem>
      <errorID>239e8629-7b23-4954-9b3f-4d1a26383223</errorID>
      <errorWord>-</errorWord>
      <group>L1_Format</group>
      <groupName>格式问题</groupName>
      <ability>L2_HalfPunc</ability>
      <abilityName>全半角检查</abilityName>
      <candidateList>
        <item>－</item>
      </candidateList>
      <explain>文本全半角错误。</explain>
      <paraID>4F789203</paraID>
      <start>175</start>
      <end>176</end>
      <status>unmodified</status>
      <modifiedWord/>
      <trackRevisions>false</trackRevisions>
    </reviewItem>
    <reviewItem>
      <errorID>10467260-305c-4944-849b-04bfced8c1ee</errorID>
      <errorWord>~</errorWord>
      <group>L1_Format</group>
      <groupName>格式问题</groupName>
      <ability>L2_HalfPunc</ability>
      <abilityName>全半角检查</abilityName>
      <candidateList>
        <item>～</item>
      </candidateList>
      <explain>文本全半角错误。</explain>
      <paraID>6E24B556</paraID>
      <start>39</start>
      <end>40</end>
      <status>unmodified</status>
      <modifiedWord/>
      <trackRevisions>false</trackRevisions>
    </reviewItem>
    <reviewItem>
      <errorID>66a9ab81-8da0-4544-93cb-3ab09c691e29</errorID>
      <errorWord>x，</errorWord>
      <group>L1_Format</group>
      <groupName>格式问题</groupName>
      <ability>L2_Ordinal</ability>
      <abilityName>序号格式</abilityName>
      <candidateList>
        <item>x.</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555EC730</paraID>
      <start>0</start>
      <end>2</end>
      <status>unmodified</status>
      <modifiedWord/>
      <trackRevisions>false</trackRevisions>
    </reviewItem>
    <reviewItem>
      <errorID>aa183e09-e089-40e9-9fa4-958e78793832</errorID>
      <errorWord>水水</errorWord>
      <group>L1_Word</group>
      <groupName>字词问题</groupName>
      <ability>L2_Typo</ability>
      <abilityName>字词错误</abilityName>
      <candidateList>
        <item>水</item>
      </candidateList>
      <explain/>
      <paraID>2FDE5A24</paraID>
      <start>10</start>
      <end>12</end>
      <status>unmodified</status>
      <modifiedWord/>
      <trackRevisions>false</trackRevisions>
    </reviewItem>
    <reviewItem>
      <errorID>a7b0a992-22dc-4ca1-af8f-76da1158ef3e</errorID>
      <errorWord>~</errorWord>
      <group>L1_Format</group>
      <groupName>格式问题</groupName>
      <ability>L2_HalfPunc</ability>
      <abilityName>全半角检查</abilityName>
      <candidateList>
        <item>～</item>
      </candidateList>
      <explain>文本全半角错误。</explain>
      <paraID>2FDE5A24</paraID>
      <start>52</start>
      <end>53</end>
      <status>unmodified</status>
      <modifiedWord/>
      <trackRevisions>false</trackRevisions>
    </reviewItem>
    <reviewItem>
      <errorID>77c40bac-4e51-49ba-a5bd-03f465ea0267</errorID>
      <errorWord>II</errorWord>
      <group>L1_Knowledge</group>
      <groupName>知识性问题</groupName>
      <ability>L2_Knowledge</ability>
      <abilityName>其他知识</abilityName>
      <candidateList>
        <item>Ⅱ</item>
      </candidateList>
      <explain/>
      <paraID>6ADFE848</paraID>
      <start>35</start>
      <end>37</end>
      <status>unmodified</status>
      <modifiedWord/>
      <trackRevisions>false</trackRevisions>
    </reviewItem>
    <reviewItem>
      <errorID>c533ab10-a938-43b7-9642-4e618d41b5ba</errorID>
      <errorWord>~</errorWord>
      <group>L1_Format</group>
      <groupName>格式问题</groupName>
      <ability>L2_HalfPunc</ability>
      <abilityName>全半角检查</abilityName>
      <candidateList>
        <item>～</item>
      </candidateList>
      <explain>文本全半角错误。</explain>
      <paraID> 7619B4C</paraID>
      <start>62</start>
      <end>63</end>
      <status>unmodified</status>
      <modifiedWord/>
      <trackRevisions>false</trackRevisions>
    </reviewItem>
    <reviewItem>
      <errorID>95f655c8-b58e-4077-9452-e9a774a97b6a</errorID>
      <errorWord>-</errorWord>
      <group>L1_Format</group>
      <groupName>格式问题</groupName>
      <ability>L2_HalfPunc</ability>
      <abilityName>全半角检查</abilityName>
      <candidateList>
        <item>－</item>
      </candidateList>
      <explain>文本全半角错误。</explain>
      <paraID> 7B13EA9</paraID>
      <start>22</start>
      <end>23</end>
      <status>unmodified</status>
      <modifiedWord/>
      <trackRevisions>false</trackRevisions>
    </reviewItem>
    <reviewItem>
      <errorID>79fdf025-26bd-4e98-a7c2-1af5c96a56e7</errorID>
      <errorWord>泄漏预测</errorWord>
      <group>L1_Knowledge</group>
      <groupName>知识性问题</groupName>
      <ability>L2_Term</ability>
      <abilityName>专业术语</abilityName>
      <candidateList>
        <item>泄漏检测</item>
      </candidateList>
      <explain/>
      <paraID>6DDBA08E</paraID>
      <start>99</start>
      <end>103</end>
      <status>unmodified</status>
      <modifiedWord/>
      <trackRevisions>false</trackRevisions>
    </reviewItem>
    <reviewItem>
      <errorID>6c70a40b-d269-4b12-a0bd-84ffc77a47c0</errorID>
      <errorWord>~</errorWord>
      <group>L1_Format</group>
      <groupName>格式问题</groupName>
      <ability>L2_HalfPunc</ability>
      <abilityName>全半角检查</abilityName>
      <candidateList>
        <item>～</item>
      </candidateList>
      <explain>文本全半角错误。</explain>
      <paraID>61140476</paraID>
      <start>62</start>
      <end>63</end>
      <status>unmodified</status>
      <modifiedWord/>
      <trackRevisions>false</trackRevisions>
    </reviewItem>
    <reviewItem>
      <errorID>3222b009-d47f-454b-819d-de9ae7afde03</errorID>
      <errorWord>~</errorWord>
      <group>L1_Format</group>
      <groupName>格式问题</groupName>
      <ability>L2_HalfPunc</ability>
      <abilityName>全半角检查</abilityName>
      <candidateList>
        <item>～</item>
      </candidateList>
      <explain>文本全半角错误。</explain>
      <paraID>1FA04F9C</paraID>
      <start>40</start>
      <end>41</end>
      <status>unmodified</status>
      <modifiedWord/>
      <trackRevisions>false</trackRevisions>
    </reviewItem>
    <reviewItem>
      <errorID>f4440043-250f-4a17-a227-51158b55dd4d</errorID>
      <errorWord>II</errorWord>
      <group>L1_Knowledge</group>
      <groupName>知识性问题</groupName>
      <ability>L2_Knowledge</ability>
      <abilityName>其他知识</abilityName>
      <candidateList>
        <item>Ⅱ</item>
      </candidateList>
      <explain/>
      <paraID>35E47233</paraID>
      <start>32</start>
      <end>34</end>
      <status>unmodified</status>
      <modifiedWord/>
      <trackRevisions>false</trackRevisions>
    </reviewItem>
    <reviewItem>
      <errorID>757ad88e-815c-4eea-82b4-a4610ae13a7a</errorID>
      <errorWord>~</errorWord>
      <group>L1_Format</group>
      <groupName>格式问题</groupName>
      <ability>L2_HalfPunc</ability>
      <abilityName>全半角检查</abilityName>
      <candidateList>
        <item>～</item>
      </candidateList>
      <explain>文本全半角错误。</explain>
      <paraID>7D38DD1A</paraID>
      <start>70</start>
      <end>71</end>
      <status>unmodified</status>
      <modifiedWord/>
      <trackRevisions>false</trackRevisions>
    </reviewItem>
    <reviewItem>
      <errorID>d75e9c0a-deaa-441c-83cf-9283ec3980c5</errorID>
      <errorWord>-</errorWord>
      <group>L1_Format</group>
      <groupName>格式问题</groupName>
      <ability>L2_HalfPunc</ability>
      <abilityName>全半角检查</abilityName>
      <candidateList>
        <item>－</item>
      </candidateList>
      <explain>文本全半角错误。</explain>
      <paraID>2A9C7FD6</paraID>
      <start>26</start>
      <end>27</end>
      <status>unmodified</status>
      <modifiedWord/>
      <trackRevisions>false</trackRevisions>
    </reviewItem>
    <reviewItem>
      <errorID>2c2d4d76-7992-4b73-a443-d4806f5615d0</errorID>
      <errorWord>不在不在</errorWord>
      <group>L1_Word</group>
      <groupName>字词问题</groupName>
      <ability>L2_Typo</ability>
      <abilityName>字词错误</abilityName>
      <candidateList>
        <item>不在</item>
      </candidateList>
      <explain/>
      <paraID>2A9C7FD6</paraID>
      <start>81</start>
      <end>85</end>
      <status>unmodified</status>
      <modifiedWord/>
      <trackRevisions>false</trackRevisions>
    </reviewItem>
    <reviewItem>
      <errorID>a57376b1-6d71-4cb9-8f5c-a28943dd6e06</errorID>
      <errorWord>II类</errorWord>
      <group>L1_Knowledge</group>
      <groupName>知识性问题</groupName>
      <ability>L2_Knowledge</ability>
      <abilityName>其他知识</abilityName>
      <candidateList>
        <item>Ⅱ类</item>
      </candidateList>
      <explain/>
      <paraID>56110111</paraID>
      <start>83</start>
      <end>86</end>
      <status>unmodified</status>
      <modifiedWord/>
      <trackRevisions>false</trackRevisions>
    </reviewItem>
    <reviewItem>
      <errorID>30f82423-6df4-4f60-9ef6-04befdd5fa58</errorID>
      <errorWord>在环境影响评价</errorWord>
      <group>L1_Knowledge</group>
      <groupName>知识性问题</groupName>
      <ability>L2_Term</ability>
      <abilityName>专业术语</abilityName>
      <candidateList>
        <item>声环境影响评价</item>
      </candidateList>
      <explain/>
      <paraID>7D47CEBE</paraID>
      <start>0</start>
      <end>7</end>
      <status>unmodified</status>
      <modifiedWord/>
      <trackRevisions>false</trackRevisions>
    </reviewItem>
    <reviewItem>
      <errorID>a46c3ed5-c7c0-4458-bbb8-bd53fd956718</errorID>
      <errorWord>＝</errorWord>
      <group>L1_Format</group>
      <groupName>格式问题</groupName>
      <ability>L2_HalfPunc</ability>
      <abilityName>全半角检查</abilityName>
      <candidateList>
        <item>=</item>
      </candidateList>
      <explain>文本全半角错误。</explain>
      <paraID> BB450CF</paraID>
      <start>5</start>
      <end>6</end>
      <status>unmodified</status>
      <modifiedWord/>
      <trackRevisions>false</trackRevisions>
    </reviewItem>
    <reviewItem>
      <errorID>1f865a42-4485-4ccb-850a-b10b4c7f942f</errorID>
      <errorWord>－</errorWord>
      <group>L1_Format</group>
      <groupName>格式问题</groupName>
      <ability>L2_HalfPunc</ability>
      <abilityName>全半角检查</abilityName>
      <candidateList>
        <item>-</item>
      </candidateList>
      <explain>文本全半角错误。</explain>
      <paraID> BB450CF</paraID>
      <start>11</start>
      <end>12</end>
      <status>unmodified</status>
      <modifiedWord/>
      <trackRevisions>false</trackRevisions>
    </reviewItem>
    <reviewItem>
      <errorID>79b4d9ef-a533-4b62-8984-332161333819</errorID>
      <errorWord>(</errorWord>
      <group>L1_Format</group>
      <groupName>格式问题</groupName>
      <ability>L2_HalfPunc</ability>
      <abilityName>全半角检查</abilityName>
      <candidateList>
        <item>（</item>
      </candidateList>
      <explain>文本全半角错误。</explain>
      <paraID> BB450CF</paraID>
      <start>12</start>
      <end>13</end>
      <status>ignored</status>
      <modifiedWord/>
      <trackRevisions>false</trackRevisions>
    </reviewItem>
    <reviewItem>
      <errorID>8f09a312-3163-43df-9340-3d1bd30fd47c</errorID>
      <errorWord>＋</errorWord>
      <group>L1_Format</group>
      <groupName>格式问题</groupName>
      <ability>L2_HalfPunc</ability>
      <abilityName>全半角检查</abilityName>
      <candidateList>
        <item>+</item>
      </candidateList>
      <explain>文本全半角错误。</explain>
      <paraID> BB450CF</paraID>
      <start>17</start>
      <end>18</end>
      <status>unmodified</status>
      <modifiedWord/>
      <trackRevisions>false</trackRevisions>
    </reviewItem>
    <reviewItem>
      <errorID>fb470a10-9588-425f-86ab-596826c279bd</errorID>
      <errorWord>＋</errorWord>
      <group>L1_Format</group>
      <groupName>格式问题</groupName>
      <ability>L2_HalfPunc</ability>
      <abilityName>全半角检查</abilityName>
      <candidateList>
        <item>+</item>
      </candidateList>
      <explain>文本全半角错误。</explain>
      <paraID> BB450CF</paraID>
      <start>22</start>
      <end>23</end>
      <status>unmodified</status>
      <modifiedWord/>
      <trackRevisions>false</trackRevisions>
    </reviewItem>
    <reviewItem>
      <errorID>f19daac4-185a-4b98-b581-9ec36f1ae68d</errorID>
      <errorWord>＋</errorWord>
      <group>L1_Format</group>
      <groupName>格式问题</groupName>
      <ability>L2_HalfPunc</ability>
      <abilityName>全半角检查</abilityName>
      <candidateList>
        <item>+</item>
      </candidateList>
      <explain>文本全半角错误。</explain>
      <paraID> BB450CF</paraID>
      <start>26</start>
      <end>27</end>
      <status>unmodified</status>
      <modifiedWord/>
      <trackRevisions>false</trackRevisions>
    </reviewItem>
    <reviewItem>
      <errorID>4165bc52-837c-4da3-885a-9fe17e8b8d4e</errorID>
      <errorWord>＋</errorWord>
      <group>L1_Format</group>
      <groupName>格式问题</groupName>
      <ability>L2_HalfPunc</ability>
      <abilityName>全半角检查</abilityName>
      <candidateList>
        <item>+</item>
      </candidateList>
      <explain>文本全半角错误。</explain>
      <paraID> BB450CF</paraID>
      <start>31</start>
      <end>32</end>
      <status>unmodified</status>
      <modifiedWord/>
      <trackRevisions>false</trackRevisions>
    </reviewItem>
    <reviewItem>
      <errorID>ddebf61c-5bd5-42db-924e-c32ecc43eee3</errorID>
      <errorWord>)</errorWord>
      <group>L1_Format</group>
      <groupName>格式问题</groupName>
      <ability>L2_HalfPunc</ability>
      <abilityName>全半角检查</abilityName>
      <candidateList>
        <item>）</item>
      </candidateList>
      <explain>文本全半角错误。</explain>
      <paraID> BB450CF</paraID>
      <start>37</start>
      <end>38</end>
      <status>ignored</status>
      <modifiedWord/>
      <trackRevisions>false</trackRevisions>
    </reviewItem>
    <reviewItem>
      <errorID>369b6937-e333-4db0-be77-5450d9f4daa4</errorID>
      <errorWord>源源</errorWord>
      <group>L1_Word</group>
      <groupName>字词问题</groupName>
      <ability>L2_Typo</ability>
      <abilityName>字词错误</abilityName>
      <candidateList>
        <item>源</item>
      </candidateList>
      <explain/>
      <paraID> E689D21</paraID>
      <start>6</start>
      <end>8</end>
      <status>unmodified</status>
      <modifiedWord/>
      <trackRevisions>false</trackRevisions>
    </reviewItem>
    <reviewItem>
      <errorID>01d174f8-c9a8-4030-bc5d-314aa895f0ba</errorID>
      <errorWord>-</errorWord>
      <group>L1_Format</group>
      <groupName>格式问题</groupName>
      <ability>L2_HalfPunc</ability>
      <abilityName>全半角检查</abilityName>
      <candidateList>
        <item>－</item>
      </candidateList>
      <explain>文本全半角错误。</explain>
      <paraID>5F15BD2B</paraID>
      <start>3</start>
      <end>4</end>
      <status>unmodified</status>
      <modifiedWord/>
      <trackRevisions>false</trackRevisions>
    </reviewItem>
    <reviewItem>
      <errorID>56f4724c-7b2a-4686-9dbe-894a20850e25</errorID>
      <errorWord>-</errorWord>
      <group>L1_Format</group>
      <groupName>格式问题</groupName>
      <ability>L2_HalfPunc</ability>
      <abilityName>全半角检查</abilityName>
      <candidateList>
        <item>－</item>
      </candidateList>
      <explain>文本全半角错误。</explain>
      <paraID>5F15BD2B</paraID>
      <start>61</start>
      <end>62</end>
      <status>unmodified</status>
      <modifiedWord/>
      <trackRevisions>false</trackRevisions>
    </reviewItem>
    <reviewItem>
      <errorID>f938ef2c-80b1-4bd7-a035-21c6125f3083</errorID>
      <errorWord>-</errorWord>
      <group>L1_Format</group>
      <groupName>格式问题</groupName>
      <ability>L2_HalfPunc</ability>
      <abilityName>全半角检查</abilityName>
      <candidateList>
        <item>－</item>
      </candidateList>
      <explain>文本全半角错误。</explain>
      <paraID>2868C850</paraID>
      <start>12</start>
      <end>13</end>
      <status>unmodified</status>
      <modifiedWord/>
      <trackRevisions>false</trackRevisions>
    </reviewItem>
    <reviewItem>
      <errorID>891b59a7-9432-4d6d-a360-a51275599ea3</errorID>
      <errorWord>-</errorWord>
      <group>L1_Format</group>
      <groupName>格式问题</groupName>
      <ability>L2_HalfPunc</ability>
      <abilityName>全半角检查</abilityName>
      <candidateList>
        <item>－</item>
      </candidateList>
      <explain>文本全半角错误。</explain>
      <paraID> E7FC24A</paraID>
      <start>3</start>
      <end>4</end>
      <status>unmodified</status>
      <modifiedWord/>
      <trackRevisions>false</trackRevisions>
    </reviewItem>
    <reviewItem>
      <errorID>2c78c0a3-8e15-4a1d-b9ab-42ba80e46727</errorID>
      <errorWord>周</errorWord>
      <group>L1_Word</group>
      <groupName>字词问题</groupName>
      <ability>L2_Typo</ability>
      <abilityName>字词错误</abilityName>
      <candidateList>
        <item>周边</item>
      </candidateList>
      <explain/>
      <paraID>730C80E9</paraID>
      <start>93</start>
      <end>94</end>
      <status>unmodified</status>
      <modifiedWord/>
      <trackRevisions>false</trackRevisions>
    </reviewItem>
    <reviewItem>
      <errorID>2ae7077e-3c71-444a-bb48-6103c31601f0</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730C80E9</paraID>
      <start>103</start>
      <end>104</end>
      <status>unmodified</status>
      <modifiedWord/>
      <trackRevisions>false</trackRevisions>
    </reviewItem>
    <reviewItem>
      <errorID>1bf17b22-0c3b-4207-8021-d3151ed70818</errorID>
      <errorWord>屯屯</errorWord>
      <group>L1_Word</group>
      <groupName>字词问题</groupName>
      <ability>L2_Typo</ability>
      <abilityName>字词错误</abilityName>
      <candidateList>
        <item>屯</item>
      </candidateList>
      <explain/>
      <paraID>2ADB1CE3</paraID>
      <start>45</start>
      <end>47</end>
      <status>unmodified</status>
      <modifiedWord/>
      <trackRevisions>false</trackRevisions>
    </reviewItem>
    <reviewItem>
      <errorID>6adbe139-04db-4912-a14b-3826f0f6f831</errorID>
      <errorWord>)</errorWord>
      <group>L1_Format</group>
      <groupName>格式问题</groupName>
      <ability>L2_HalfPunc</ability>
      <abilityName>全半角检查</abilityName>
      <candidateList>
        <item>）</item>
      </candidateList>
      <explain>文本全半角错误。</explain>
      <paraID>2C0F6A77</paraID>
      <start>33</start>
      <end>34</end>
      <status>ignored</status>
      <modifiedWord/>
      <trackRevisions>false</trackRevisions>
    </reviewItem>
    <reviewItem>
      <errorID>7c733574-b896-4579-8cb2-05670c63d30b</errorID>
      <errorWord>周</errorWord>
      <group>L1_Word</group>
      <groupName>字词问题</groupName>
      <ability>L2_Typo</ability>
      <abilityName>字词错误</abilityName>
      <candidateList>
        <item>周边</item>
      </candidateList>
      <explain/>
      <paraID>1C4B9DF7</paraID>
      <start>100</start>
      <end>101</end>
      <status>unmodified</status>
      <modifiedWord/>
      <trackRevisions>false</trackRevisions>
    </reviewItem>
    <reviewItem>
      <errorID>8d420145-be46-4c13-8c5c-d00d2376c95c</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1C4B9DF7</paraID>
      <start>110</start>
      <end>111</end>
      <status>unmodified</status>
      <modifiedWord/>
      <trackRevisions>false</trackRevisions>
    </reviewItem>
    <reviewItem>
      <errorID>f1c7d64d-4194-4cbc-a487-83d6aeae63ef</errorID>
      <errorWord>~</errorWord>
      <group>L1_Format</group>
      <groupName>格式问题</groupName>
      <ability>L2_HalfPunc</ability>
      <abilityName>全半角检查</abilityName>
      <candidateList>
        <item>～</item>
      </candidateList>
      <explain>文本全半角错误。</explain>
      <paraID>5F725BB9</paraID>
      <start>31</start>
      <end>32</end>
      <status>unmodified</status>
      <modifiedWord/>
      <trackRevisions>false</trackRevisions>
    </reviewItem>
    <reviewItem>
      <errorID>aa39ccff-6ca2-4d5f-bda3-8b8ad2c8e6aa</errorID>
      <errorWord>靠进</errorWord>
      <group>L1_Word</group>
      <groupName>字词问题</groupName>
      <ability>L2_Typo</ability>
      <abilityName>字词错误</abilityName>
      <candidateList>
        <item>靠近</item>
      </candidateList>
      <explain/>
      <paraID>35D60371</paraID>
      <start>26</start>
      <end>28</end>
      <status>unmodified</status>
      <modifiedWord/>
      <trackRevisions>false</trackRevisions>
    </reviewItem>
    <reviewItem>
      <errorID>c77fd798-ed6a-41b8-8f8b-12c4e7d9d42f</errorID>
      <errorWord>(</errorWord>
      <group>L1_Format</group>
      <groupName>格式问题</groupName>
      <ability>L2_HalfPunc</ability>
      <abilityName>全半角检查</abilityName>
      <candidateList>
        <item>（</item>
      </candidateList>
      <explain>文本全半角错误。</explain>
      <paraID>20963869</paraID>
      <start>42</start>
      <end>43</end>
      <status>ignored</status>
      <modifiedWord/>
      <trackRevisions>false</trackRevisions>
    </reviewItem>
    <reviewItem>
      <errorID>02f6e912-139f-46a6-9e9a-6a78d50223b6</errorID>
      <errorWord>)</errorWord>
      <group>L1_Format</group>
      <groupName>格式问题</groupName>
      <ability>L2_HalfPunc</ability>
      <abilityName>全半角检查</abilityName>
      <candidateList>
        <item>）</item>
      </candidateList>
      <explain>文本全半角错误。</explain>
      <paraID>20963869</paraID>
      <start>55</start>
      <end>56</end>
      <status>ignored</status>
      <modifiedWord/>
      <trackRevisions>false</trackRevisions>
    </reviewItem>
    <reviewItem>
      <errorID>e54b9d37-78dc-4f39-b289-65f0804d40e7</errorID>
      <errorWord>源源</errorWord>
      <group>L1_Word</group>
      <groupName>字词问题</groupName>
      <ability>L2_Typo</ability>
      <abilityName>字词错误</abilityName>
      <candidateList>
        <item>源</item>
      </candidateList>
      <explain/>
      <paraID>2913A19B</paraID>
      <start>1</start>
      <end>3</end>
      <status>unmodified</status>
      <modifiedWord/>
      <trackRevisions>false</trackRevisions>
    </reviewItem>
    <reviewItem>
      <errorID>8df1b919-034b-42eb-baba-39a16be05e84</errorID>
      <errorWord>-</errorWord>
      <group>L1_Format</group>
      <groupName>格式问题</groupName>
      <ability>L2_HalfPunc</ability>
      <abilityName>全半角检查</abilityName>
      <candidateList>
        <item>－</item>
      </candidateList>
      <explain>文本全半角错误。</explain>
      <paraID>55AFD918</paraID>
      <start>108</start>
      <end>109</end>
      <status>unmodified</status>
      <modifiedWord/>
      <trackRevisions>false</trackRevisions>
    </reviewItem>
    <reviewItem>
      <errorID>0cc1ced4-e6f6-49c7-a513-ec976b2c61fb</errorID>
      <errorWord>，；</errorWord>
      <group>L1_Punc</group>
      <groupName>标点问题</groupName>
      <ability>L2_Punc</ability>
      <abilityName>标点符号检查</abilityName>
      <candidateList>
        <item>，</item>
      </candidateList>
      <explain/>
      <paraID> 9982C27</paraID>
      <start>142</start>
      <end>144</end>
      <status>unmodified</status>
      <modifiedWord/>
      <trackRevisions>false</trackRevisions>
    </reviewItem>
    <reviewItem>
      <errorID>6166c5e9-59a1-4333-add6-7ad935de12ae</errorID>
      <errorWord>程</errorWord>
      <group>L1_Word</group>
      <groupName>字词问题</groupName>
      <ability>L2_Typo</ability>
      <abilityName>字词错误</abilityName>
      <candidateList>
        <item>程中</item>
      </candidateList>
      <explain/>
      <paraID>13850E09</paraID>
      <start>18</start>
      <end>19</end>
      <status>unmodified</status>
      <modifiedWord/>
      <trackRevisions>false</trackRevisions>
    </reviewItem>
    <reviewItem>
      <errorID>f53204b2-36c7-4dcd-8e8f-70209cb14e48</errorID>
      <errorWord>钢制</errorWord>
      <group>L1_Word</group>
      <groupName>字词问题</groupName>
      <ability>L2_Typo</ability>
      <abilityName>字词错误</abilityName>
      <candidateList>
        <item>钢质</item>
      </candidateList>
      <explain/>
      <paraID>376559F7</paraID>
      <start>33</start>
      <end>35</end>
      <status>unmodified</status>
      <modifiedWord/>
      <trackRevisions>false</trackRevisions>
    </reviewItem>
    <reviewItem>
      <errorID>0be1e1b0-9daf-46e3-aba2-bfe8ab7484bc</errorID>
      <errorWord>针对</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   51632</paraID>
      <start>34</start>
      <end>36</end>
      <status>unmodified</status>
      <modifiedWord/>
      <trackRevisions>false</trackRevisions>
    </reviewItem>
    <reviewItem>
      <errorID>38b377e3-6b38-4c2c-815c-f8b6ebafa982</errorID>
      <errorWord>形影</errorWord>
      <group>L1_Word</group>
      <groupName>字词问题</groupName>
      <ability>L2_Typo</ability>
      <abilityName>字词错误</abilityName>
      <candidateList>
        <item>形象</item>
      </candidateList>
      <explain>❶〈名〉能引起人的思想或感情活动的具体形状或姿态：图画教学是通过～来发展儿童认识事物的能力。❷〈名〉文艺作品中创造出来的生动具体的、激发人们思想感情的生活图景，通常指文学作品中人物的神情面貌和性格特征：～逼真｜英雄～。❸〈形〉指描绘或表达具体、生动：语言精练而～。</explain>
      <paraID>1D9EF38B</paraID>
      <start>34</start>
      <end>36</end>
      <status>unmodified</status>
      <modifiedWord/>
      <trackRevisions>false</trackRevisions>
    </reviewItem>
    <reviewItem>
      <errorID>07bc3c2a-a0eb-49ff-8468-c81c1ac3587b</errorID>
      <errorWord>；</errorWord>
      <group>L1_Word</group>
      <groupName>字词问题</groupName>
      <ability>L2_Typo</ability>
      <abilityName>字词错误</abilityName>
      <candidateList>
        <item>；在</item>
      </candidateList>
      <explain/>
      <paraID>52402541</paraID>
      <start>177</start>
      <end>178</end>
      <status>unmodified</status>
      <modifiedWord/>
      <trackRevisions>false</trackRevisions>
    </reviewItem>
    <reviewItem>
      <errorID>785a21f0-15f3-43d6-93e2-23251ea2a941</errorID>
      <errorWord>[2011]第17号</errorWord>
      <group>L1_Knowledge</group>
      <groupName>知识性问题</groupName>
      <ability>L2_Knowledge</ability>
      <abilityName>其他知识</abilityName>
      <candidateList>
        <item>〔2011〕17号</item>
      </candidateList>
      <explain>发文字号格式错误。</explain>
      <paraID>5AB835CA</paraID>
      <start>41</start>
      <end>51</end>
      <status>unmodified</status>
      <modifiedWord/>
      <trackRevisions>false</trackRevisions>
    </reviewItem>
    <reviewItem>
      <errorID>a0c795b2-a970-417a-bf51-f874d3dfa429</errorID>
      <errorWord>相</errorWord>
      <group>L1_Word</group>
      <groupName>字词问题</groupName>
      <ability>L2_Typo</ability>
      <abilityName>字词错误</abilityName>
      <candidateList>
        <item>相应</item>
      </candidateList>
      <explain>〈动〉互相呼应或照应；相适应：这篇文章前后不～｜环境改变了，工作方法也要～地改变。</explain>
      <paraID>2772387C</paraID>
      <start>26</start>
      <end>27</end>
      <status>unmodified</status>
      <modifiedWord/>
      <trackRevisions>false</trackRevisions>
    </reviewItem>
    <reviewItem>
      <errorID>8ab2b1bf-baeb-476d-b135-5c19698c47f3</errorID>
      <errorWord>作复</errorWord>
      <group>L1_Word</group>
      <groupName>字词问题</groupName>
      <ability>L2_Typo</ability>
      <abilityName>字词错误</abilityName>
      <candidateList>
        <item>修复</item>
      </candidateList>
      <explain/>
      <paraID>2772387C</paraID>
      <start>31</start>
      <end>33</end>
      <status>unmodified</status>
      <modifiedWord/>
      <trackRevisions>false</trackRevisions>
    </reviewItem>
    <reviewItem>
      <errorID>fe09a769-7101-4961-bef1-d635321c4c7d</errorID>
      <errorWord>含油废防</errorWord>
      <group>L1_Knowledge</group>
      <groupName>知识性问题</groupName>
      <ability>L2_Term</ability>
      <abilityName>专业术语</abilityName>
      <candidateList>
        <item>含油废水</item>
      </candidateList>
      <explain/>
      <paraID>77293577</paraID>
      <start>37</start>
      <end>41</end>
      <status>unmodified</status>
      <modifiedWord/>
      <trackRevisions>false</trackRevisions>
    </reviewItem>
    <reviewItem>
      <errorID>327de57e-338e-447b-a5a8-72461ef5cc6c</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2AA97535</paraID>
      <start>39</start>
      <end>40</end>
      <status>unmodified</status>
      <modifiedWord/>
      <trackRevisions>false</trackRevisions>
    </reviewItem>
    <reviewItem>
      <errorID>08c2ab15-4d17-4c2c-9521-37aba6eda7ea</errorID>
      <errorWord>干扰能</errorWord>
      <group>L1_Knowledge</group>
      <groupName>知识性问题</groupName>
      <ability>L2_Term</ability>
      <abilityName>专业术语</abilityName>
      <candidateList>
        <item>干扰素</item>
      </candidateList>
      <explain>医学名词[干扰能]为不规范表述或旧称，其规范书面表述为[干扰素]。</explain>
      <paraID>2FBBC26A</paraID>
      <start>131</start>
      <end>134</end>
      <status>unmodified</status>
      <modifiedWord/>
      <trackRevisions>false</trackRevisions>
    </reviewItem>
    <reviewItem>
      <errorID>24288454-44a7-471d-82da-02783fcf84ac</errorID>
      <errorWord>开挖上方</errorWord>
      <group>L1_Word</group>
      <groupName>字词问题</groupName>
      <ability>L2_Typo</ability>
      <abilityName>字词错误</abilityName>
      <candidateList>
        <item>开挖土方</item>
      </candidateList>
      <explain/>
      <paraID>7E8FFDBB</paraID>
      <start>121</start>
      <end>125</end>
      <status>unmodified</status>
      <modifiedWord/>
      <trackRevisions>false</trackRevisions>
    </reviewItem>
    <reviewItem>
      <errorID>3ae9f71e-d23a-4728-99d6-1a7592638ebc</errorID>
      <errorWord>工程在</errorWord>
      <group>L1_Word</group>
      <groupName>字词问题</groupName>
      <ability>L2_Typo</ability>
      <abilityName>字词错误</abilityName>
      <candidateList>
        <item>工程</item>
      </candidateList>
      <explain/>
      <paraID> 1A24D39</paraID>
      <start>63</start>
      <end>66</end>
      <status>unmodified</status>
      <modifiedWord/>
      <trackRevisions>false</trackRevisions>
    </reviewItem>
    <reviewItem>
      <errorID>6f8dd3c1-95ba-4a18-9abc-2fcd31b89477</errorID>
      <errorWord>程</errorWord>
      <group>L1_Word</group>
      <groupName>字词问题</groupName>
      <ability>L2_Typo</ability>
      <abilityName>字词错误</abilityName>
      <candidateList>
        <item>程中</item>
      </candidateList>
      <explain/>
      <paraID>20C88C5A</paraID>
      <start>17</start>
      <end>18</end>
      <status>unmodified</status>
      <modifiedWord/>
      <trackRevisions>false</trackRevisions>
    </reviewItem>
    <reviewItem>
      <errorID>8e18e02f-0e33-4649-bae6-edbd443a8d07</errorID>
      <errorWord>最少</errorWord>
      <group>L1_Word</group>
      <groupName>字词问题</groupName>
      <ability>L2_Typo</ability>
      <abilityName>字词错误</abilityName>
      <candidateList>
        <item>最小</item>
      </candidateList>
      <explain/>
      <paraID>20C88C5A</paraID>
      <start>270</start>
      <end>272</end>
      <status>unmodified</status>
      <modifiedWord/>
      <trackRevisions>false</trackRevisions>
    </reviewItem>
    <reviewItem>
      <errorID>323f944a-d1db-414b-9f8d-122fd28cabe4</errorID>
      <errorWord>根据现场调查显示</errorWord>
      <group>L1_Grammar</group>
      <groupName>语法问题</groupName>
      <ability>L2_Grammar</ability>
      <abilityName>语法错误</abilityName>
      <candidateList>
        <item>根据现场调查</item>
      </candidateList>
      <explain/>
      <paraID>48BD22B9</paraID>
      <start>23</start>
      <end>31</end>
      <status>unmodified</status>
      <modifiedWord/>
      <trackRevisions>false</trackRevisions>
    </reviewItem>
    <reviewItem>
      <errorID>de6c6b53-a0fe-40b4-957f-ba874615e3c6</errorID>
      <errorWord>井井</errorWord>
      <group>L1_Word</group>
      <groupName>字词问题</groupName>
      <ability>L2_Typo</ability>
      <abilityName>字词错误</abilityName>
      <candidateList>
        <item>井</item>
      </candidateList>
      <explain/>
      <paraID> D7FB09D</paraID>
      <start>38</start>
      <end>40</end>
      <status>ignored</status>
      <modifiedWord/>
      <trackRevisions>false</trackRevisions>
    </reviewItem>
    <reviewItem>
      <errorID>0b38d309-2963-4608-8b5a-ab65aa63cfe9</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 C39F6EC</paraID>
      <start>39</start>
      <end>40</end>
      <status>unmodified</status>
      <modifiedWord/>
      <trackRevisions>false</trackRevisions>
    </reviewItem>
    <reviewItem>
      <errorID>7b1c1cbd-a9f2-42c6-9d9c-731401dae5ac</errorID>
      <errorWord>抛撒</errorWord>
      <group>L1_Word</group>
      <groupName>字词问题</groupName>
      <ability>L2_Typo</ability>
      <abilityName>字词错误</abilityName>
      <candidateList>
        <item>抛洒</item>
      </candidateList>
      <explain>存在发音相同字词的误用。</explain>
      <paraID> E000779</paraID>
      <start>95</start>
      <end>97</end>
      <status>unmodified</status>
      <modifiedWord/>
      <trackRevisions>false</trackRevisions>
    </reviewItem>
    <reviewItem>
      <errorID>9ae4e815-79e1-4d53-b634-dd564ba669e8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2CFCD502</paraID>
      <start>35</start>
      <end>36</end>
      <status>ignored</status>
      <modifiedWord/>
      <trackRevisions>false</trackRevisions>
    </reviewItem>
    <reviewItem>
      <errorID>a735a686-69db-40f3-8f89-543438b720a4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2CFCD502</paraID>
      <start>59</start>
      <end>60</end>
      <status>ignored</status>
      <modifiedWord/>
      <trackRevisions>false</trackRevisions>
    </reviewItem>
    <reviewItem>
      <errorID>ba027ccc-d6ff-469a-b3e9-ba5f7c2c9e72</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7A847E1F</paraID>
      <start>173</start>
      <end>174</end>
      <status>unmodified</status>
      <modifiedWord/>
      <trackRevisions>false</trackRevisions>
    </reviewItem>
    <reviewItem>
      <errorID>f7abe571-753c-4c46-b6e1-ab76415aebd5</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 8885296</paraID>
      <start>23</start>
      <end>24</end>
      <status>unmodified</status>
      <modifiedWord/>
      <trackRevisions>false</trackRevisions>
    </reviewItem>
    <reviewItem>
      <errorID>464eea2b-9d39-48a8-aed7-153023cc9381</errorID>
      <errorWord>践踏</errorWord>
      <group>L1_Word</group>
      <groupName>字词问题</groupName>
      <ability>L2_Typo</ability>
      <abilityName>字词错误</abilityName>
      <candidateList>
        <item>踩踏</item>
      </candidateList>
      <explain/>
      <paraID>17E98A78</paraID>
      <start>65</start>
      <end>67</end>
      <status>unmodified</status>
      <modifiedWord/>
      <trackRevisions>false</trackRevisions>
    </reviewItem>
    <reviewItem>
      <errorID>81d20fe9-d891-4a9c-9690-97429c92ec9e</errorID>
      <errorWord>在</errorWord>
      <group>L1_Word</group>
      <groupName>字词问题</groupName>
      <ability>L2_Typo</ability>
      <abilityName>字词错误</abilityName>
      <candidateList>
        <item>再</item>
      </candidateList>
      <explain>存在发音相同字词的误用。</explain>
      <paraID>4D3F8440</paraID>
      <start>150</start>
      <end>151</end>
      <status>unmodified</status>
      <modifiedWord/>
      <trackRevisions>false</trackRevisions>
    </reviewItem>
    <reviewItem>
      <errorID>4b47217a-80ba-4688-8909-38d8e9a68ced</errorID>
      <errorWord>过度</errorWord>
      <group>L1_Word</group>
      <groupName>字词问题</groupName>
      <ability>L2_Typo</ability>
      <abilityName>字词错误</abilityName>
      <candidateList>
        <item>过渡</item>
      </candidateList>
      <explain>〈动〉事物由一个阶段或一种状态逐渐发展变化而转入另一个阶段或另一种状态：～时期｜～地带。</explain>
      <paraID>4D3F8440</paraID>
      <start>277</start>
      <end>279</end>
      <status>unmodified</status>
      <modifiedWord/>
      <trackRevisions>false</trackRevisions>
    </reviewItem>
    <reviewItem>
      <errorID>1525e4d3-a52d-4736-8099-9a9bd481801a</errorID>
      <errorWord>土地和</errorWord>
      <group>L1_Word</group>
      <groupName>字词问题</groupName>
      <ability>L2_Typo</ability>
      <abilityName>字词错误</abilityName>
      <candidateList>
        <item>土地</item>
      </candidateList>
      <explain/>
      <paraID>35DFBA85</paraID>
      <start>22</start>
      <end>25</end>
      <status>unmodified</status>
      <modifiedWord/>
      <trackRevisions>false</trackRevisions>
    </reviewItem>
    <reviewItem>
      <errorID>29f776c2-19cf-4263-a2dd-06d66cf1e5d0</errorID>
      <errorWord>,</errorWord>
      <group>L1_Format</group>
      <groupName>格式问题</groupName>
      <ability>L2_HalfPunc</ability>
      <abilityName>全半角检查</abilityName>
      <candidateList>
        <item>，</item>
      </candidateList>
      <explain>文本全半角错误。</explain>
      <paraID>349DEC66</paraID>
      <start>8</start>
      <end>9</end>
      <status>unmodified</status>
      <modifiedWord/>
      <trackRevisions>false</trackRevisions>
    </reviewItem>
    <reviewItem>
      <errorID>02c42383-deee-47cd-b47b-e2a18352a02b</errorID>
      <errorWord>可</errorWord>
      <group>L1_Word</group>
      <groupName>字词问题</groupName>
      <ability>L2_Typo</ability>
      <abilityName>字词错误</abilityName>
      <candidateList>
        <item>可能</item>
      </candidateList>
      <explain/>
      <paraID>6947731D</paraID>
      <start>87</start>
      <end>88</end>
      <status>unmodified</status>
      <modifiedWord/>
      <trackRevisions>false</trackRevisions>
    </reviewItem>
    <reviewItem>
      <errorID>8fb839b0-b8e2-4d26-b076-b8248b2cf270</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6947731D</paraID>
      <start>112</start>
      <end>113</end>
      <status>unmodified</status>
      <modifiedWord/>
      <trackRevisions>false</trackRevisions>
    </reviewItem>
    <reviewItem>
      <errorID>8825721e-da5d-43f6-abdf-019ca02dd49a</errorID>
      <errorWord>，</errorWord>
      <group>L1_Word</group>
      <groupName>字词问题</groupName>
      <ability>L2_Typo</ability>
      <abilityName>字词错误</abilityName>
      <candidateList>
        <item>，根</item>
      </candidateList>
      <explain/>
      <paraID>54857F82</paraID>
      <start>216</start>
      <end>217</end>
      <status>unmodified</status>
      <modifiedWord/>
      <trackRevisions>false</trackRevisions>
    </reviewItem>
    <reviewItem>
      <errorID>f2c91b39-85cd-4eb5-b543-5b94274d1a35</errorID>
      <errorWord>退役期</errorWord>
      <group>L1_Word</group>
      <groupName>字词问题</groupName>
      <ability>L2_Typo</ability>
      <abilityName>字词错误</abilityName>
      <candidateList>
        <item>退役</item>
      </candidateList>
      <explain/>
      <paraID>27F30901</paraID>
      <start>206</start>
      <end>209</end>
      <status>unmodified</status>
      <modifiedWord/>
      <trackRevisions>false</trackRevisions>
    </reviewItem>
    <reviewItem>
      <errorID>5f287053-140e-43dd-9965-5fd12dba7f36</errorID>
      <errorWord>包括包括</errorWord>
      <group>L1_Word</group>
      <groupName>字词问题</groupName>
      <ability>L2_Typo</ability>
      <abilityName>字词错误</abilityName>
      <candidateList>
        <item>包括</item>
      </candidateList>
      <explain/>
      <paraID>14470DCD</paraID>
      <start>3</start>
      <end>7</end>
      <status>unmodified</status>
      <modifiedWord/>
      <trackRevisions>false</trackRevisions>
    </reviewItem>
    <reviewItem>
      <errorID>236fca68-6803-445e-bff6-9a48870f5fe2</errorID>
      <errorWord>产生</errorWord>
      <group>L1_Grammar</group>
      <groupName>语法问题</groupName>
      <ability>L2_Grammar</ability>
      <abilityName>语法错误</abilityName>
      <candidateList>
        <item>带来</item>
      </candidateList>
      <explain>“构型～产生”搭配不当，建议修改为“构型～带来”。</explain>
      <paraID>5B576CE7</paraID>
      <start>70</start>
      <end>72</end>
      <status>unmodified</status>
      <modifiedWord/>
      <trackRevisions>false</trackRevisions>
    </reviewItem>
    <reviewItem>
      <errorID>eaf24533-2b56-42be-92fa-d3f4ae2e6aac</errorID>
      <errorWord>的机率较</errorWord>
      <group>L1_Word</group>
      <groupName>字词问题</groupName>
      <ability>L2_Typo</ability>
      <abilityName>字词错误</abilityName>
      <candidateList>
        <item>的概率较</item>
      </candidateList>
      <explain/>
      <paraID>78E01A5B</paraID>
      <start>259</start>
      <end>263</end>
      <status>unmodified</status>
      <modifiedWord/>
      <trackRevisions>false</trackRevisions>
    </reviewItem>
    <reviewItem>
      <errorID>c21a3e35-b903-45b3-ab87-e5a8ba7e0817</errorID>
      <errorWord>除此以外</errorWord>
      <group>L1_Word</group>
      <groupName>字词问题</groupName>
      <ability>L2_Typo</ability>
      <abilityName>字词错误</abilityName>
      <candidateList>
        <item>除此之外</item>
      </candidateList>
      <explain>存在字形相近字词的误用。</explain>
      <paraID>78E01A5B</paraID>
      <start>265</start>
      <end>269</end>
      <status>unmodified</status>
      <modifiedWord/>
      <trackRevisions>false</trackRevisions>
    </reviewItem>
    <reviewItem>
      <errorID>ff617bdc-fe33-4fbe-af69-18eb026b91e5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5606E49F</paraID>
      <start>0</start>
      <end>3</end>
      <status>unmodified</status>
      <modifiedWord/>
      <trackRevisions>false</trackRevisions>
    </reviewItem>
    <reviewItem>
      <errorID>a8550d29-e076-44c3-8dd1-db6a84d786dd</errorID>
      <errorWord>(2018)182号</errorWord>
      <group>L1_Knowledge</group>
      <groupName>知识性问题</groupName>
      <ability>L2_Knowledge</ability>
      <abilityName>其他知识</abilityName>
      <candidateList>
        <item>〔2018〕182号</item>
      </candidateList>
      <explain>发文字号格式错误。</explain>
      <paraID>5606E49F</paraID>
      <start>77</start>
      <end>87</end>
      <status>unmodified</status>
      <modifiedWord/>
      <trackRevisions>false</trackRevisions>
    </reviewItem>
    <reviewItem>
      <errorID>2f871456-13c7-417d-bf8e-3ecd7c16e6e0</errorID>
      <errorWord>-</errorWord>
      <group>L1_Format</group>
      <groupName>格式问题</groupName>
      <ability>L2_HalfPunc</ability>
      <abilityName>全半角检查</abilityName>
      <candidateList>
        <item>－</item>
      </candidateList>
      <explain>文本全半角错误。</explain>
      <paraID>78BDEFB9</paraID>
      <start>6</start>
      <end>7</end>
      <status>unmodified</status>
      <modifiedWord/>
      <trackRevisions>false</trackRevisions>
    </reviewItem>
    <reviewItem>
      <errorID>d13b1926-d159-4d54-8eac-8da24e8c6548</errorID>
      <errorWord>)</errorWord>
      <group>L1_Format</group>
      <groupName>格式问题</groupName>
      <ability>L2_HalfPunc</ability>
      <abilityName>全半角检查</abilityName>
      <candidateList>
        <item>）</item>
      </candidateList>
      <explain>文本全半角错误。</explain>
      <paraID>41A96A5C</paraID>
      <start>18</start>
      <end>19</end>
      <status>ignored</status>
      <modifiedWord/>
      <trackRevisions>false</trackRevisions>
    </reviewItem>
    <reviewItem>
      <errorID>15bf4375-a4a6-4d71-99e0-b63605f98e44</errorID>
      <errorWord>)</errorWord>
      <group>L1_Format</group>
      <groupName>格式问题</groupName>
      <ability>L2_HalfPunc</ability>
      <abilityName>全半角检查</abilityName>
      <candidateList>
        <item>）</item>
      </candidateList>
      <explain>文本全半角错误。</explain>
      <paraID>49FEA4FB</paraID>
      <start>11</start>
      <end>12</end>
      <status>ignored</status>
      <modifiedWord/>
      <trackRevisions>false</trackRevisions>
    </reviewItem>
    <reviewItem>
      <errorID>681ed748-fbc5-4b71-9803-77080405cd34</errorID>
      <errorWord>-</errorWord>
      <group>L1_Format</group>
      <groupName>格式问题</groupName>
      <ability>L2_HalfPunc</ability>
      <abilityName>全半角检查</abilityName>
      <candidateList>
        <item>－</item>
      </candidateList>
      <explain>文本全半角错误。</explain>
      <paraID>7761C961</paraID>
      <start>18</start>
      <end>19</end>
      <status>unmodified</status>
      <modifiedWord/>
      <trackRevisions>false</trackRevisions>
    </reviewItem>
    <reviewItem>
      <errorID>ac148b92-d309-4667-9388-7b786392f607</errorID>
      <errorWord>-</errorWord>
      <group>L1_Format</group>
      <groupName>格式问题</groupName>
      <ability>L2_HalfPunc</ability>
      <abilityName>全半角检查</abilityName>
      <candidateList>
        <item>－</item>
      </candidateList>
      <explain>文本全半角错误。</explain>
      <paraID>4A25D37F</paraID>
      <start>9</start>
      <end>10</end>
      <status>unmodified</status>
      <modifiedWord/>
      <trackRevisions>false</trackRevisions>
    </reviewItem>
    <reviewItem>
      <errorID>0764a64e-b9b5-4ab4-afec-0dc642e65494</errorID>
      <errorWord>束</errorWord>
      <group>L1_Word</group>
      <groupName>字词问题</groupName>
      <ability>L2_Typo</ability>
      <abilityName>字词错误</abilityName>
      <candidateList>
        <item>束后</item>
      </candidateList>
      <explain/>
      <paraID>462A84A1</paraID>
      <start>153</start>
      <end>154</end>
      <status>unmodified</status>
      <modifiedWord/>
      <trackRevisions>false</trackRevisions>
    </reviewItem>
    <reviewItem>
      <errorID>4d06b4a0-994f-47e4-814a-0415383dcf83</errorID>
      <errorWord>-</errorWord>
      <group>L1_Format</group>
      <groupName>格式问题</groupName>
      <ability>L2_HalfPunc</ability>
      <abilityName>全半角检查</abilityName>
      <candidateList>
        <item>－</item>
      </candidateList>
      <explain>文本全半角错误。</explain>
      <paraID> 4751BE1</paraID>
      <start>3</start>
      <end>4</end>
      <status>unmodified</status>
      <modifiedWord/>
      <trackRevisions>false</trackRevisions>
    </reviewItem>
    <reviewItem>
      <errorID>398fe1b6-f219-4a4f-aef8-81b0dc781288</errorID>
      <errorWord>-</errorWord>
      <group>L1_Format</group>
      <groupName>格式问题</groupName>
      <ability>L2_HalfPunc</ability>
      <abilityName>全半角检查</abilityName>
      <candidateList>
        <item>－</item>
      </candidateList>
      <explain>文本全半角错误。</explain>
      <paraID>28ABA43E</paraID>
      <start>3</start>
      <end>4</end>
      <status>unmodified</status>
      <modifiedWord/>
      <trackRevisions>false</trackRevisions>
    </reviewItem>
    <reviewItem>
      <errorID>f81ac01f-6acb-40ec-82bd-3e2c8e153e94</errorID>
      <errorWord>-</errorWord>
      <group>L1_Format</group>
      <groupName>格式问题</groupName>
      <ability>L2_HalfPunc</ability>
      <abilityName>全半角检查</abilityName>
      <candidateList>
        <item>－</item>
      </candidateList>
      <explain>文本全半角错误。</explain>
      <paraID>76642F83</paraID>
      <start>3</start>
      <end>4</end>
      <status>unmodified</status>
      <modifiedWord/>
      <trackRevisions>false</trackRevisions>
    </reviewItem>
    <reviewItem>
      <errorID>bfddc12c-ece8-46c1-a510-5b25c39b4189</errorID>
      <errorWord>、以及</errorWord>
      <group>L1_Punc</group>
      <groupName>标点问题</groupName>
      <ability>L2_Punc</ability>
      <abilityName>标点符号检查</abilityName>
      <candidateList>
        <item>，以及</item>
      </candidateList>
      <explain>连接词前后不宜使用顿号，建议使用逗号。</explain>
      <paraID>5B30B829</paraID>
      <start>23</start>
      <end>26</end>
      <status>unmodified</status>
      <modifiedWord/>
      <trackRevisions>false</trackRevisions>
    </reviewItem>
    <reviewItem>
      <errorID>ace0435f-8dbe-4212-8e26-d6929aa35ffa</errorID>
      <errorWord>处理处理</errorWord>
      <group>L1_Word</group>
      <groupName>字词问题</groupName>
      <ability>L2_Typo</ability>
      <abilityName>字词错误</abilityName>
      <candidateList>
        <item>处理</item>
      </candidateList>
      <explain/>
      <paraID>208D45EA</paraID>
      <start>60</start>
      <end>64</end>
      <status>unmodified</status>
      <modifiedWord/>
      <trackRevisions>false</trackRevisions>
    </reviewItem>
    <reviewItem>
      <errorID>5131e62a-bf33-44fe-9e32-1ad2f3689b82</errorID>
      <errorWord>涉及到</errorWord>
      <group>L1_Grammar</group>
      <groupName>语法问题</groupName>
      <ability>L2_Grammar</ability>
      <abilityName>语法错误</abilityName>
      <candidateList>
        <item>涉及</item>
      </candidateList>
      <explain>〈动〉牵涉到；关联到：案子～好几个人｜这个问题～面很广。</explain>
      <paraID>45ED9100</paraID>
      <start>6</start>
      <end>9</end>
      <status>unmodified</status>
      <modifiedWord/>
      <trackRevisions>false</trackRevisions>
    </reviewItem>
    <reviewItem>
      <errorID>927bb97e-4638-4329-b7c6-55e2b8c336e6</errorID>
      <errorWord>-</errorWord>
      <group>L1_Format</group>
      <groupName>格式问题</groupName>
      <ability>L2_HalfPunc</ability>
      <abilityName>全半角检查</abilityName>
      <candidateList>
        <item>－</item>
      </candidateList>
      <explain>文本全半角错误。</explain>
      <paraID>399D7064</paraID>
      <start>4</start>
      <end>5</end>
      <status>unmodified</status>
      <modifiedWord/>
      <trackRevisions>false</trackRevisions>
    </reviewItem>
    <reviewItem>
      <errorID>cfc139ff-a84c-41fd-81e6-d9da7425cfbf</errorID>
      <errorWord>饱和蒸气</errorWord>
      <group>L1_Word</group>
      <groupName>字词问题</groupName>
      <ability>L2_Typo</ability>
      <abilityName>字词错误</abilityName>
      <candidateList>
        <item>饱和蒸汽</item>
      </candidateList>
      <explain/>
      <paraID>2A6BC7D3</paraID>
      <start>0</start>
      <end>4</end>
      <status>unmodified</status>
      <modifiedWord/>
      <trackRevisions>false</trackRevisions>
    </reviewItem>
    <reviewItem>
      <errorID>416bbc3d-82c1-43b1-97ce-37341ae642a8</errorID>
      <errorWord>：＞</errorWord>
      <group>L1_Format</group>
      <groupName>格式问题</groupName>
      <ability>L2_HalfPunc</ability>
      <abilityName>全半角检查</abilityName>
      <candidateList>
        <item>:&gt;</item>
      </candidateList>
      <explain>文本全半角错误。</explain>
      <paraID>1F9FBB89</paraID>
      <start>4</start>
      <end>6</end>
      <status>unmodified</status>
      <modifiedWord/>
      <trackRevisions>false</trackRevisions>
    </reviewItem>
    <reviewItem>
      <errorID>64ea329e-309c-43fb-9645-0c80cd61aa20</errorID>
      <errorWord>：</errorWord>
      <group>L1_Format</group>
      <groupName>格式问题</groupName>
      <ability>L2_HalfPunc</ability>
      <abilityName>全半角检查</abilityName>
      <candidateList>
        <item>:</item>
      </candidateList>
      <explain>文本全半角错误。</explain>
      <paraID>4DEA2B12</paraID>
      <start>4</start>
      <end>5</end>
      <status>unmodified</status>
      <modifiedWord/>
      <trackRevisions>false</trackRevisions>
    </reviewItem>
    <reviewItem>
      <errorID>3aea49e1-08f7-4fc7-88ec-c74f76da4e7f</errorID>
      <errorWord>给于</errorWord>
      <group>L1_Word</group>
      <groupName>字词问题</groupName>
      <ability>L2_Typo</ability>
      <abilityName>字词错误</abilityName>
      <candidateList>
        <item>给予</item>
      </candidateList>
      <explain>〈书〉〈动〉给（ɡěi）：～帮助｜～同情｜～亲切的关怀。也作给与。</explain>
      <paraID>45EB9135</paraID>
      <start>30</start>
      <end>32</end>
      <status>unmodified</status>
      <modifiedWord/>
      <trackRevisions>false</trackRevisions>
    </reviewItem>
    <reviewItem>
      <errorID>621a2b1f-24c8-4154-be16-a86cae20aa43</errorID>
      <errorWord>曝晒</errorWord>
      <group>L1_Word</group>
      <groupName>字词问题</groupName>
      <ability>L2_Typo</ability>
      <abilityName>字词错误</abilityName>
      <candidateList>
        <item>暴晒</item>
      </candidateList>
      <explain>〈动〉在强烈的阳光下久晒：烈日～｜洗好的丝绸衣服不宜～。</explain>
      <paraID>5481FF7A</paraID>
      <start>42</start>
      <end>44</end>
      <status>unmodified</status>
      <modifiedWord/>
      <trackRevisions>false</trackRevisions>
    </reviewItem>
    <reviewItem>
      <errorID>71b5f71d-cf07-45a3-b2fc-d96c458789b3</errorID>
      <errorWord>震荡</errorWord>
      <group>L1_Word</group>
      <groupName>字词问题</groupName>
      <ability>L2_Typo</ability>
      <abilityName>字词错误</abilityName>
      <candidateList>
        <item>振荡</item>
      </candidateList>
      <explain/>
      <paraID>5481FF7A</paraID>
      <start>79</start>
      <end>81</end>
      <status>unmodified</status>
      <modifiedWord/>
      <trackRevisions>false</trackRevisions>
    </reviewItem>
    <reviewItem>
      <errorID>36aeb75b-c768-4f98-b750-15d784c831b9</errorID>
      <errorWord>饱和蒸气</errorWord>
      <group>L1_Word</group>
      <groupName>字词问题</groupName>
      <ability>L2_Typo</ability>
      <abilityName>字词错误</abilityName>
      <candidateList>
        <item>饱和蒸汽</item>
      </candidateList>
      <explain/>
      <paraID>22D14BA0</paraID>
      <start>0</start>
      <end>4</end>
      <status>unmodified</status>
      <modifiedWord/>
      <trackRevisions>false</trackRevisions>
    </reviewItem>
    <reviewItem>
      <errorID>e81e9ae0-9764-4e2f-b99b-7a1744d2caf0</errorID>
      <errorWord>：</errorWord>
      <group>L1_Format</group>
      <groupName>格式问题</groupName>
      <ability>L2_HalfPunc</ability>
      <abilityName>全半角检查</abilityName>
      <candidateList>
        <item>:</item>
      </candidateList>
      <explain>文本全半角错误。</explain>
      <paraID>56FDC0E4</paraID>
      <start>4</start>
      <end>5</end>
      <status>unmodified</status>
      <modifiedWord/>
      <trackRevisions>false</trackRevisions>
    </reviewItem>
    <reviewItem>
      <errorID>5eb6432c-ccc5-417c-8512-03be0837e4e4</errorID>
      <errorWord>和粘膜</errorWord>
      <group>L1_Word</group>
      <groupName>字词问题</groupName>
      <ability>L2_Alias</ability>
      <abilityName>也作/曾用词</abilityName>
      <candidateList>
        <item>和黏膜</item>
      </candidateList>
      <explain>词汇[和粘膜]为不规范表述或旧称，其规范书面表述为[和黏膜]。</explain>
      <paraID> 71B79D6</paraID>
      <start>26</start>
      <end>29</end>
      <status>unmodified</status>
      <modifiedWord/>
      <trackRevisions>false</trackRevisions>
    </reviewItem>
    <reviewItem>
      <errorID>7509b1ea-d717-43a9-99f4-d58d1762ca58</errorID>
      <errorWord>给于</errorWord>
      <group>L1_Word</group>
      <groupName>字词问题</groupName>
      <ability>L2_Typo</ability>
      <abilityName>字词错误</abilityName>
      <candidateList>
        <item>给予</item>
      </candidateList>
      <explain>〈书〉〈动〉给（ɡěi）：～帮助｜～同情｜～亲切的关怀。也作给与。</explain>
      <paraID>7987AC2F</paraID>
      <start>27</start>
      <end>29</end>
      <status>unmodified</status>
      <modifiedWord/>
      <trackRevisions>false</trackRevisions>
    </reviewItem>
    <reviewItem>
      <errorID>ff7bdb55-95b8-4088-a12e-2b49f2ec2c3d</errorID>
      <errorWord>风尘</errorWord>
      <group>L1_Word</group>
      <groupName>字词问题</groupName>
      <ability>L2_Typo</ability>
      <abilityName>字词错误</abilityName>
      <candidateList>
        <item>粉尘</item>
      </candidateList>
      <explain/>
      <paraID>497A419E</paraID>
      <start>49</start>
      <end>51</end>
      <status>unmodified</status>
      <modifiedWord/>
      <trackRevisions>false</trackRevisions>
    </reviewItem>
    <reviewItem>
      <errorID>bbeb885f-d5d4-4f7e-9c8a-7708f5c01594</errorID>
      <errorWord>5.3～15％</errorWord>
      <group>L1_Knowledge</group>
      <groupName>知识性问题</groupName>
      <ability>L2_Knowledge</ability>
      <abilityName>其他知识</abilityName>
      <candidateList>
        <item>5.3％～15％</item>
      </candidateList>
      <explain>1. “5.3～15％”中的单位“％”仅出现在后一个数字上，容易引起歧义；根据《现代汉语标点符号数字用法规范手册》，数字表示范围两边需要使用统一的格式。2. 根据标点国标 4.13 中的规则，数字、时间或地域连接符应使用（视觉上更长的）“—”或“～”。</explain>
      <paraID>7F844921</paraID>
      <start>3</start>
      <end>10</end>
      <status>unmodified</status>
      <modifiedWord/>
      <trackRevisions>false</trackRevisions>
    </reviewItem>
    <reviewItem>
      <errorID>db12a6b1-2540-4939-b71a-3858d1e2672b</errorID>
      <errorWord>佩带</errorWord>
      <group>L1_Word</group>
      <groupName>字词问题</groupName>
      <ability>L2_Typo</ability>
      <abilityName>字词错误</abilityName>
      <candidateList>
        <item>佩戴</item>
      </candidateList>
      <explain>〈动〉（把徽章、符号等）挂在胸前、臂上、肩上等部位：～校徽｜～肩章。也作佩带。</explain>
      <paraID>638901DF</paraID>
      <start>26</start>
      <end>28</end>
      <status>unmodified</status>
      <modifiedWord/>
      <trackRevisions>false</trackRevisions>
    </reviewItem>
    <reviewItem>
      <errorID>50471e5c-43ee-4e09-9b68-5f13da11781f</errorID>
      <errorWord>其它</errorWord>
      <group>L1_Word</group>
      <groupName>字词问题</groupName>
      <ability>L2_Alias</ability>
      <abilityName>也作/曾用词</abilityName>
      <candidateList>
        <item>其他</item>
      </candidateList>
      <explain>词汇[其它]为不规范表述或旧称，其规范书面表述为[其他]。</explain>
      <paraID>638901DF</paraID>
      <start>100</start>
      <end>102</end>
      <status>unmodified</status>
      <modifiedWord/>
      <trackRevisions>false</trackRevisions>
    </reviewItem>
    <reviewItem>
      <errorID>465c0b85-94b4-4fdd-af01-32acc6f5cc3c</errorID>
      <errorWord>其它</errorWord>
      <group>L1_Word</group>
      <groupName>字词问题</groupName>
      <ability>L2_Alias</ability>
      <abilityName>也作/曾用词</abilityName>
      <candidateList>
        <item>其他</item>
      </candidateList>
      <explain>词汇[其它]为不规范表述或旧称，其规范书面表述为[其他]。</explain>
      <paraID>638901DF</paraID>
      <start>131</start>
      <end>133</end>
      <status>unmodified</status>
      <modifiedWord/>
      <trackRevisions>false</trackRevisions>
    </reviewItem>
    <reviewItem>
      <errorID>1ca5014f-0cba-4310-93dc-234fc115c3ae</errorID>
      <errorWord>是是</errorWord>
      <group>L1_Word</group>
      <groupName>字词问题</groupName>
      <ability>L2_Typo</ability>
      <abilityName>字词错误</abilityName>
      <candidateList>
        <item>是</item>
      </candidateList>
      <explain>〈动〉❶联系两种事物，表明两者同一或后者说明前者的种类、属性：《阿Q正传》的作者～鲁迅｜节约～不浪费的意思。❷与“的”字配合使用，有分类的作用：这张桌子～石头的｜那瓶墨水～红的｜我～来看他的。❸联系两种事物，表示陈述的对象属于“是”后面所说的情况：他～一片好心｜咱们～好汉一言，快马一鞭｜院子里～冬天，屋子里～春天。</explain>
      <paraID>3CF705FF</paraID>
      <start>2</start>
      <end>4</end>
      <status>unmodified</status>
      <modifiedWord/>
      <trackRevisions>false</trackRevisions>
    </reviewItem>
    <reviewItem>
      <errorID>2fe81aa5-ca84-425c-aa62-c9fcc1bbcdde</errorID>
      <errorWord>嗳收</errorWord>
      <group>L1_Word</group>
      <groupName>字词问题</groupName>
      <ability>L2_Typo</ability>
      <abilityName>字词错误</abilityName>
      <candidateList>
        <item>吸收</item>
      </candidateList>
      <explain/>
      <paraID> F143BA9</paraID>
      <start>8</start>
      <end>10</end>
      <status>unmodified</status>
      <modifiedWord/>
      <trackRevisions>false</trackRevisions>
    </reviewItem>
    <reviewItem>
      <errorID>1bc87d82-1fa5-44a4-b609-caeb30a25b03</errorID>
      <errorWord>(</errorWord>
      <group>L1_Punc</group>
      <groupName>标点问题</groupName>
      <ability>L2_Punc</ability>
      <abilityName>标点符号检查</abilityName>
      <candidateList/>
      <explain/>
      <paraID>285A0FEC</paraID>
      <start>18</start>
      <end>19</end>
      <status>unmodified</status>
      <modifiedWord/>
      <trackRevisions>false</trackRevisions>
    </reviewItem>
    <reviewItem>
      <errorID>8b50f56e-2572-43ff-b3b8-fa0ae1a5c763</errorID>
      <errorWord>:</errorWord>
      <group>L1_Format</group>
      <groupName>格式问题</groupName>
      <ability>L2_HalfPunc</ability>
      <abilityName>全半角检查</abilityName>
      <candidateList>
        <item>：</item>
      </candidateList>
      <explain>文本全半角错误。</explain>
      <paraID>285A0FEC</paraID>
      <start>23</start>
      <end>24</end>
      <status>unmodified</status>
      <modifiedWord/>
      <trackRevisions>false</trackRevisions>
    </reviewItem>
    <reviewItem>
      <errorID>a8d0a46c-9406-4e3c-b2a9-58803c61044b</errorID>
      <errorWord>(</errorWord>
      <group>L1_Format</group>
      <groupName>格式问题</groupName>
      <ability>L2_HalfPunc</ability>
      <abilityName>全半角检查</abilityName>
      <candidateList>
        <item>（</item>
      </candidateList>
      <explain>文本全半角错误。</explain>
      <paraID>285A0FEC</paraID>
      <start>34</start>
      <end>35</end>
      <status>ignored</status>
      <modifiedWord/>
      <trackRevisions>false</trackRevisions>
    </reviewItem>
    <reviewItem>
      <errorID>d681ae08-dcbd-4882-8cd5-f0fc4a1243e7</errorID>
      <errorWord>)</errorWord>
      <group>L1_Format</group>
      <groupName>格式问题</groupName>
      <ability>L2_HalfPunc</ability>
      <abilityName>全半角检查</abilityName>
      <candidateList>
        <item>）</item>
      </candidateList>
      <explain>文本全半角错误。</explain>
      <paraID>285A0FEC</paraID>
      <start>38</start>
      <end>39</end>
      <status>ignored</status>
      <modifiedWord/>
      <trackRevisions>false</trackRevisions>
    </reviewItem>
    <reviewItem>
      <errorID>8990ba08-48a6-4a82-b505-569bb403942a</errorID>
      <errorWord>(</errorWord>
      <group>L1_Format</group>
      <groupName>格式问题</groupName>
      <ability>L2_HalfPunc</ability>
      <abilityName>全半角检查</abilityName>
      <candidateList>
        <item>（</item>
      </candidateList>
      <explain>文本全半角错误。</explain>
      <paraID>285A0FEC</paraID>
      <start>60</start>
      <end>61</end>
      <status>ignored</status>
      <modifiedWord/>
      <trackRevisions>false</trackRevisions>
    </reviewItem>
    <reviewItem>
      <errorID>4fb0c6d1-396a-4af6-9797-64ef1d366375</errorID>
      <errorWord>)</errorWord>
      <group>L1_Format</group>
      <groupName>格式问题</groupName>
      <ability>L2_HalfPunc</ability>
      <abilityName>全半角检查</abilityName>
      <candidateList>
        <item>）</item>
      </candidateList>
      <explain>文本全半角错误。</explain>
      <paraID>285A0FEC</paraID>
      <start>65</start>
      <end>66</end>
      <status>ignored</status>
      <modifiedWord/>
      <trackRevisions>false</trackRevisions>
    </reviewItem>
    <reviewItem>
      <errorID>12d36faf-fd54-4f04-9927-0c495443b1cc</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 7F0861A</paraID>
      <start>64</start>
      <end>67</end>
      <status>unmodified</status>
      <modifiedWord/>
      <trackRevisions>false</trackRevisions>
    </reviewItem>
    <reviewItem>
      <errorID>f641a870-974c-4ef8-a7b2-6a3166d7c05b</errorID>
      <errorWord>(</errorWord>
      <group>L1_Format</group>
      <groupName>格式问题</groupName>
      <ability>L2_HalfPunc</ability>
      <abilityName>全半角检查</abilityName>
      <candidateList>
        <item>（</item>
      </candidateList>
      <explain>文本全半角错误。</explain>
      <paraID> 7F0861A</paraID>
      <start>68</start>
      <end>69</end>
      <status>ignored</status>
      <modifiedWord/>
      <trackRevisions>false</trackRevisions>
    </reviewItem>
    <reviewItem>
      <errorID>031fd93b-cbe6-4546-a13d-0f9623c4cd50</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 7F0861A</paraID>
      <start>75</start>
      <end>78</end>
      <status>unmodified</status>
      <modifiedWord/>
      <trackRevisions>false</trackRevisions>
    </reviewItem>
    <reviewItem>
      <errorID>b6c5242e-bd72-4b2b-92bd-e27939d64506</errorID>
      <errorWord>)</errorWord>
      <group>L1_Format</group>
      <groupName>格式问题</groupName>
      <ability>L2_HalfPunc</ability>
      <abilityName>全半角检查</abilityName>
      <candidateList>
        <item>）</item>
      </candidateList>
      <explain>文本全半角错误。</explain>
      <paraID> 7F0861A</paraID>
      <start>79</start>
      <end>80</end>
      <status>ignored</status>
      <modifiedWord/>
      <trackRevisions>false</trackRevisions>
    </reviewItem>
    <reviewItem>
      <errorID>c706903b-c9b2-498a-919f-2ce230f7d9a4</errorID>
      <errorWord>头录</errorWord>
      <group>L1_Word</group>
      <groupName>字词问题</groupName>
      <ability>L2_Typo</ability>
      <abilityName>字词错误</abilityName>
      <candidateList>
        <item>头颅</item>
      </candidateList>
      <explain/>
      <paraID> 7F0861A</paraID>
      <start>95</start>
      <end>97</end>
      <status>unmodified</status>
      <modifiedWord/>
      <trackRevisions>false</trackRevisions>
    </reviewItem>
    <reviewItem>
      <errorID>810d696f-2a33-4f4d-b1cf-18c1bbf21258</errorID>
      <errorWord>眩录</errorWord>
      <group>L1_Word</group>
      <groupName>字词问题</groupName>
      <ability>L2_Typo</ability>
      <abilityName>字词错误</abilityName>
      <candidateList>
        <item>眩晕</item>
      </candidateList>
      <explain/>
      <paraID> 7F0861A</paraID>
      <start>101</start>
      <end>103</end>
      <status>unmodified</status>
      <modifiedWord/>
      <trackRevisions>false</trackRevisions>
    </reviewItem>
    <reviewItem>
      <errorID>71956be8-6b04-4d5c-abb4-afc49f72896f</errorID>
      <errorWord>谢妄</errorWord>
      <group>L1_Word</group>
      <groupName>字词问题</groupName>
      <ability>L2_Typo</ability>
      <abilityName>字词错误</abilityName>
      <candidateList>
        <item>虚妄</item>
      </candidateList>
      <explain/>
      <paraID> 7F0861A</paraID>
      <start>113</start>
      <end>115</end>
      <status>unmodified</status>
      <modifiedWord/>
      <trackRevisions>false</trackRevisions>
    </reviewItem>
    <reviewItem>
      <errorID>ffe66930-1f5f-4411-821d-8085669dc0a5</errorID>
      <errorWord>植物神经</errorWord>
      <group>L1_Knowledge</group>
      <groupName>知识性问题</groupName>
      <ability>L2_Term</ability>
      <abilityName>专业术语</abilityName>
      <candidateList>
        <item>自主神经</item>
      </candidateList>
      <explain>医学名词[植物神经]为不规范表述或旧称，其规范书面表述为[自主神经]。</explain>
      <paraID> 7F0861A</paraID>
      <start>185</start>
      <end>189</end>
      <status>unmodified</status>
      <modifiedWord/>
      <trackRevisions>false</trackRevisions>
    </reviewItem>
    <reviewItem>
      <errorID>a5ca9186-a3d3-4c3d-8f4d-de33ce3a82c8</errorID>
      <errorWord>静止时间</errorWord>
      <group>L1_Knowledge</group>
      <groupName>知识性问题</groupName>
      <ability>L2_Term</ability>
      <abilityName>专业术语</abilityName>
      <candidateList>
        <item>静置时间</item>
      </candidateList>
      <explain/>
      <paraID>72A53380</paraID>
      <start>39</start>
      <end>43</end>
      <status>unmodified</status>
      <modifiedWord/>
      <trackRevisions>false</trackRevisions>
    </reviewItem>
    <reviewItem>
      <errorID>3d74604b-4065-465a-81f9-f35ae21687f5</errorID>
      <errorWord>事故中</errorWord>
      <group>L1_Word</group>
      <groupName>字词问题</groupName>
      <ability>L2_Typo</ability>
      <abilityName>字词错误</abilityName>
      <candidateList>
        <item>事故</item>
      </candidateList>
      <explain/>
      <paraID>43171700</paraID>
      <start>25</start>
      <end>28</end>
      <status>unmodified</status>
      <modifiedWord/>
      <trackRevisions>false</trackRevisions>
    </reviewItem>
    <reviewItem>
      <errorID>653c7dc3-3b35-4913-be41-810cd0db5f76</errorID>
      <errorWord>)</errorWord>
      <group>L1_Format</group>
      <groupName>格式问题</groupName>
      <ability>L2_HalfPunc</ability>
      <abilityName>全半角检查</abilityName>
      <candidateList>
        <item>）</item>
      </candidateList>
      <explain>文本全半角错误。</explain>
      <paraID>79F944BD</paraID>
      <start>57</start>
      <end>58</end>
      <status>ignored</status>
      <modifiedWord/>
      <trackRevisions>false</trackRevisions>
    </reviewItem>
    <reviewItem>
      <errorID>18c87e30-1888-4c5b-ba63-4883b4fcdef3</errorID>
      <errorWord>井深结构</errorWord>
      <group>L1_Knowledge</group>
      <groupName>知识性问题</groupName>
      <ability>L2_Term</ability>
      <abilityName>专业术语</abilityName>
      <candidateList>
        <item>井身结构</item>
      </candidateList>
      <explain/>
      <paraID>5A8E7137</paraID>
      <start>16</start>
      <end>20</end>
      <status>unmodified</status>
      <modifiedWord/>
      <trackRevisions>false</trackRevisions>
    </reviewItem>
    <reviewItem>
      <errorID>4897c286-ceac-4bf9-aafa-552caa7aed14</errorID>
      <errorWord>婿变</errorWord>
      <group>L1_Word</group>
      <groupName>字词问题</groupName>
      <ability>L2_Typo</ability>
      <abilityName>字词错误</abilityName>
      <candidateList>
        <item>蠕变</item>
      </candidateList>
      <explain/>
      <paraID>5A8E7137</paraID>
      <start>30</start>
      <end>32</end>
      <status>unmodified</status>
      <modifiedWord/>
      <trackRevisions>false</trackRevisions>
    </reviewItem>
    <reviewItem>
      <errorID>bf8dab3a-ac89-483e-a8f4-c4ac33fc888e</errorID>
      <errorWord>水</errorWord>
      <group>L1_Word</group>
      <groupName>字词问题</groupName>
      <ability>L2_Typo</ability>
      <abilityName>字词错误</abilityName>
      <candidateList>
        <item>水自</item>
      </candidateList>
      <explain/>
      <paraID> F995D12</paraID>
      <start>195</start>
      <end>196</end>
      <status>unmodified</status>
      <modifiedWord/>
      <trackRevisions>false</trackRevisions>
    </reviewItem>
    <reviewItem>
      <errorID>7c2900e8-6263-4584-aae9-9d207868cca8</errorID>
      <errorWord>然</errorWord>
      <group>L1_Word</group>
      <groupName>字词问题</groupName>
      <ability>L2_Typo</ability>
      <abilityName>字词错误</abilityName>
      <candidateList>
        <item>自然</item>
      </candidateList>
      <explain>〈形〉不勉强；不局促；不呆板：态度很～｜他是初次演出，但演得挺～。</explain>
      <paraID> F995D12</paraID>
      <start>196</start>
      <end>197</end>
      <status>unmodified</status>
      <modifiedWord/>
      <trackRevisions>false</trackRevisions>
    </reviewItem>
    <reviewItem>
      <errorID>e2be81bf-04eb-4453-b4a0-6f7cfaf367a0</errorID>
      <errorWord>侵蚀</errorWord>
      <group>L1_Word</group>
      <groupName>字词问题</groupName>
      <ability>L2_Typo</ability>
      <abilityName>字词错误</abilityName>
      <candidateList>
        <item>浸蚀</item>
      </candidateList>
      <explain/>
      <paraID>76192013</paraID>
      <start>85</start>
      <end>87</end>
      <status>unmodified</status>
      <modifiedWord/>
      <trackRevisions>false</trackRevisions>
    </reviewItem>
    <reviewItem>
      <errorID>86a76681-0acf-4c8a-aa1d-08ee73ff7a51</errorID>
      <errorWord>侵蚀</errorWord>
      <group>L1_Word</group>
      <groupName>字词问题</groupName>
      <ability>L2_Typo</ability>
      <abilityName>字词错误</abilityName>
      <candidateList>
        <item>浸蚀</item>
      </candidateList>
      <explain/>
      <paraID>105FCC16</paraID>
      <start>27</start>
      <end>29</end>
      <status>unmodified</status>
      <modifiedWord/>
      <trackRevisions>false</trackRevisions>
    </reviewItem>
    <reviewItem>
      <errorID>e0795f56-a291-4669-8155-872746aa8b68</errorID>
      <errorWord>泄露</errorWord>
      <group>L1_Word</group>
      <groupName>字词问题</groupName>
      <ability>L2_Typo</ability>
      <abilityName>字词错误</abilityName>
      <candidateList>
        <item>泄漏</item>
      </candidateList>
      <explain/>
      <paraID>10F75826</paraID>
      <start>14</start>
      <end>16</end>
      <status>unmodified</status>
      <modifiedWord/>
      <trackRevisions>false</trackRevisions>
    </reviewItem>
    <reviewItem>
      <errorID>19f2a4e1-f04b-4047-bb6c-f258f345aaae</errorID>
      <errorWord>自动点火装置</errorWord>
      <group>L1_Knowledge</group>
      <groupName>知识性问题</groupName>
      <ability>L2_Term</ability>
      <abilityName>专业术语</abilityName>
      <candidateList>
        <item>自动灭火装置</item>
      </candidateList>
      <explain/>
      <paraID>2DAC751B</paraID>
      <start>206</start>
      <end>212</end>
      <status>unmodified</status>
      <modifiedWord/>
      <trackRevisions>false</trackRevisions>
    </reviewItem>
    <reviewItem>
      <errorID>7b685474-a095-4d08-b1cc-5ae5c913b059</errorID>
      <errorWord>程</errorWord>
      <group>L1_Word</group>
      <groupName>字词问题</groupName>
      <ability>L2_Typo</ability>
      <abilityName>字词错误</abilityName>
      <candidateList>
        <item>程中</item>
      </candidateList>
      <explain/>
      <paraID>2DAC751B</paraID>
      <start>283</start>
      <end>284</end>
      <status>unmodified</status>
      <modifiedWord/>
      <trackRevisions>false</trackRevisions>
    </reviewItem>
    <reviewItem>
      <errorID>c19d64ae-223a-458b-81a3-7c6096d888eb</errorID>
      <errorWord>，如</errorWord>
      <group>L1_Word</group>
      <groupName>字词问题</groupName>
      <ability>L2_Typo</ability>
      <abilityName>字词错误</abilityName>
      <candidateList>
        <item>，</item>
      </candidateList>
      <explain/>
      <paraID>2DAC751B</paraID>
      <start>388</start>
      <end>390</end>
      <status>unmodified</status>
      <modifiedWord/>
      <trackRevisions>false</trackRevisions>
    </reviewItem>
    <reviewItem>
      <errorID>43144994-563d-442c-8002-584a4103f95b</errorID>
      <errorWord>(</errorWord>
      <group>L1_Format</group>
      <groupName>格式问题</groupName>
      <ability>L2_HalfPunc</ability>
      <abilityName>全半角检查</abilityName>
      <candidateList>
        <item>（</item>
      </candidateList>
      <explain>文本全半角错误。</explain>
      <paraID>7C85963E</paraID>
      <start>145</start>
      <end>146</end>
      <status>ignored</status>
      <modifiedWord/>
      <trackRevisions>false</trackRevisions>
    </reviewItem>
    <reviewItem>
      <errorID>0b00e7de-8d6c-45a8-a988-3af50b278102</errorID>
      <errorWord>)</errorWord>
      <group>L1_Format</group>
      <groupName>格式问题</groupName>
      <ability>L2_HalfPunc</ability>
      <abilityName>全半角检查</abilityName>
      <candidateList>
        <item>）</item>
      </candidateList>
      <explain>文本全半角错误。</explain>
      <paraID>7C85963E</paraID>
      <start>159</start>
      <end>160</end>
      <status>ignored</status>
      <modifiedWord/>
      <trackRevisions>false</trackRevisions>
    </reviewItem>
    <reviewItem>
      <errorID>8e1acc40-7d50-444e-8507-b734d8f3256e</errorID>
      <errorWord>（</errorWord>
      <group>L1_Punc</group>
      <groupName>标点问题</groupName>
      <ability>L2_Punc</ability>
      <abilityName>标点符号检查</abilityName>
      <candidateList/>
      <explain/>
      <paraID>5387B3DE</paraID>
      <start>27</start>
      <end>28</end>
      <status>ignored</status>
      <modifiedWord/>
      <trackRevisions>false</trackRevisions>
    </reviewItem>
    <reviewItem>
      <errorID>fc023520-1fff-4ed9-ab42-3a7caa6104e6</errorID>
      <errorWord>进入到</errorWord>
      <group>L1_Word</group>
      <groupName>字词问题</groupName>
      <ability>L2_Typo</ability>
      <abilityName>字词错误</abilityName>
      <candidateList>
        <item>进入</item>
      </candidateList>
      <explain>〈动〉支进到某个范围或某个时期里：～学校｜～新阶段◇～角色。</explain>
      <paraID>5387B3DE</paraID>
      <start>353</start>
      <end>356</end>
      <status>unmodified</status>
      <modifiedWord/>
      <trackRevisions>false</trackRevisions>
    </reviewItem>
    <reviewItem>
      <errorID>08f01584-7aaf-461d-b63d-627cf0383250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3D98CF75</paraID>
      <start>231</start>
      <end>232</end>
      <status>ignored</status>
      <modifiedWord/>
      <trackRevisions>false</trackRevisions>
    </reviewItem>
    <reviewItem>
      <errorID>ef085743-0a0e-45a2-ac98-7dba3d9054e3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3D98CF75</paraID>
      <start>293</start>
      <end>294</end>
      <status>ignored</status>
      <modifiedWord/>
      <trackRevisions>false</trackRevisions>
    </reviewItem>
    <reviewItem>
      <errorID>9b8f7555-16ae-4118-8e65-5df799c38b70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3D98CF75</paraID>
      <start>351</start>
      <end>352</end>
      <status>ignored</status>
      <modifiedWord/>
      <trackRevisions>false</trackRevisions>
    </reviewItem>
    <reviewItem>
      <errorID>1bf8f374-d359-4d8a-835c-73bff07992c9</errorID>
      <errorWord>程</errorWord>
      <group>L1_Word</group>
      <groupName>字词问题</groupName>
      <ability>L2_Typo</ability>
      <abilityName>字词错误</abilityName>
      <candidateList>
        <item>程中</item>
      </candidateList>
      <explain/>
      <paraID>4E99A957</paraID>
      <start>199</start>
      <end>200</end>
      <status>unmodified</status>
      <modifiedWord/>
      <trackRevisions>false</trackRevisions>
    </reviewItem>
    <reviewItem>
      <errorID>3164f374-e3cd-43d2-91fd-9c248c4f4dc4</errorID>
      <errorWord>机率</errorWord>
      <group>L1_Word</group>
      <groupName>字词问题</groupName>
      <ability>L2_Typo</ability>
      <abilityName>字词错误</abilityName>
      <candidateList>
        <item>几率</item>
      </candidateList>
      <explain>存在发音相同字词的误用。</explain>
      <paraID>6C2CA66B</paraID>
      <start>50</start>
      <end>52</end>
      <status>unmodified</status>
      <modifiedWord/>
      <trackRevisions>false</trackRevisions>
    </reviewItem>
    <reviewItem>
      <errorID>1bd99b41-8b48-40e1-b187-752a8004f025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75ECB0CB</paraID>
      <start>122</start>
      <end>123</end>
      <status>ignored</status>
      <modifiedWord/>
      <trackRevisions>false</trackRevisions>
    </reviewItem>
    <reviewItem>
      <errorID>a6ddcef8-9170-4f8a-a9ab-f0a33c50518b</errorID>
      <errorWord>粘附</errorWord>
      <group>L1_Word</group>
      <groupName>字词问题</groupName>
      <ability>L2_Alias</ability>
      <abilityName>也作/曾用词</abilityName>
      <candidateList>
        <item>黏附</item>
      </candidateList>
      <explain>词汇[粘附]为不规范表述或旧称，其规范书面表述为[黏附]。</explain>
      <paraID>74366179</paraID>
      <start>126</start>
      <end>128</end>
      <status>unmodified</status>
      <modifiedWord/>
      <trackRevisions>false</trackRevisions>
    </reviewItem>
    <reviewItem>
      <errorID>38b86a04-93e7-4794-8bb4-66876336bb3e</errorID>
      <errorWord>下</errorWord>
      <group>L1_Word</group>
      <groupName>字词问题</groupName>
      <ability>L2_Typo</ability>
      <abilityName>字词错误</abilityName>
      <candidateList>
        <item>时</item>
      </candidateList>
      <explain>存在字形相近字词的误用。</explain>
      <paraID>6087D3D9</paraID>
      <start>23</start>
      <end>24</end>
      <status>unmodified</status>
      <modifiedWord/>
      <trackRevisions>false</trackRevisions>
    </reviewItem>
    <reviewItem>
      <errorID>24f0be5d-24f0-4aad-9cdf-77c883e4f120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54C1883F</paraID>
      <start>0</start>
      <end>2</end>
      <status>unmodified</status>
      <modifiedWord/>
      <trackRevisions>false</trackRevisions>
    </reviewItem>
    <reviewItem>
      <errorID>8790f010-3202-440c-8917-7c8ffcd7eb5e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D7843AF</paraID>
      <start>0</start>
      <end>2</end>
      <status>unmodified</status>
      <modifiedWord/>
      <trackRevisions>false</trackRevisions>
    </reviewItem>
    <reviewItem>
      <errorID>ede80d57-9771-4f47-b636-a131b3a6448c</errorID>
      <errorWord>（</errorWord>
      <group>L1_Punc</group>
      <groupName>标点问题</groupName>
      <ability>L2_Punc</ability>
      <abilityName>标点符号检查</abilityName>
      <candidateList/>
      <explain/>
      <paraID>266D17A9</paraID>
      <start>27</start>
      <end>28</end>
      <status>ignored</status>
      <modifiedWord/>
      <trackRevisions>false</trackRevisions>
    </reviewItem>
    <reviewItem>
      <errorID>4ef180d0-13d9-4d53-bb08-08b625161fed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6B93806C</paraID>
      <start>0</start>
      <end>2</end>
      <status>unmodified</status>
      <modifiedWord/>
      <trackRevisions>false</trackRevisions>
    </reviewItem>
    <reviewItem>
      <errorID>3d68b485-2c76-453d-8226-e1d9bb75cda1</errorID>
      <errorWord>洒落</errorWord>
      <group>L1_Word</group>
      <groupName>字词问题</groupName>
      <ability>L2_Typo</ability>
      <abilityName>字词错误</abilityName>
      <candidateList>
        <item>撒落</item>
      </candidateList>
      <explain/>
      <paraID>1F889EE0</paraID>
      <start>45</start>
      <end>47</end>
      <status>unmodified</status>
      <modifiedWord/>
      <trackRevisions>false</trackRevisions>
    </reviewItem>
    <reviewItem>
      <errorID>c9539477-7844-4107-97f8-82acda746c0d</errorID>
      <errorWord>野外作业区</errorWord>
      <group>L1_Word</group>
      <groupName>字词问题</groupName>
      <ability>L2_Typo</ability>
      <abilityName>字词错误</abilityName>
      <candidateList>
        <item>野外作业</item>
      </candidateList>
      <explain/>
      <paraID>779B8944</paraID>
      <start>63</start>
      <end>68</end>
      <status>unmodified</status>
      <modifiedWord/>
      <trackRevisions>false</trackRevisions>
    </reviewItem>
    <reviewItem>
      <errorID>84d467f5-c5f7-4c9b-9296-8e408378abe5</errorID>
      <errorWord>期</errorWord>
      <group>L1_Word</group>
      <groupName>字词问题</groupName>
      <ability>L2_Typo</ability>
      <abilityName>字词错误</abilityName>
      <candidateList>
        <item>期间</item>
      </candidateList>
      <explain>〈名〉某个时期里面：农忙～｜春节～｜抗战～。</explain>
      <paraID>61749C07</paraID>
      <start>9</start>
      <end>10</end>
      <status>ignored</status>
      <modifiedWord/>
      <trackRevisions>false</trackRevisions>
    </reviewItem>
    <reviewItem>
      <errorID>37ed2b7f-af12-4b27-8a7d-3005f89a1c84</errorID>
      <errorWord>无泄露</errorWord>
      <group>L1_Word</group>
      <groupName>字词问题</groupName>
      <ability>L2_Typo</ability>
      <abilityName>字词错误</abilityName>
      <candidateList>
        <item>无泄漏</item>
      </candidateList>
      <explain/>
      <paraID>673CF076</paraID>
      <start>37</start>
      <end>40</end>
      <status>unmodified</status>
      <modifiedWord/>
      <trackRevisions>false</trackRevisions>
    </reviewItem>
    <reviewItem>
      <errorID>0b339354-3674-47ea-bb0e-c7008d6c442d</errorID>
      <errorWord>低</errorWord>
      <group>L1_Word</group>
      <groupName>字词问题</groupName>
      <ability>L2_Typo</ability>
      <abilityName>字词错误</abilityName>
      <candidateList>
        <item>低于</item>
      </candidateList>
      <explain/>
      <paraID>1DB1B330</paraID>
      <start>21</start>
      <end>22</end>
      <status>unmodified</status>
      <modifiedWord/>
      <trackRevisions>false</trackRevisions>
    </reviewItem>
    <reviewItem>
      <errorID>2165152a-7165-499e-b04d-3cf87c54849a</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170E21DB</paraID>
      <start>33</start>
      <end>34</end>
      <status>unmodified</status>
      <modifiedWord/>
      <trackRevisions>false</trackRevisions>
    </reviewItem>
    <reviewItem>
      <errorID>18699b9d-b1c3-438a-a555-4114c8d54160</errorID>
      <errorWord>保证均</errorWord>
      <group>L1_Word</group>
      <groupName>字词问题</groupName>
      <ability>L2_Typo</ability>
      <abilityName>字词错误</abilityName>
      <candidateList>
        <item>保证</item>
      </candidateList>
      <explain/>
      <paraID> 870F1A9</paraID>
      <start>27</start>
      <end>30</end>
      <status>unmodified</status>
      <modifiedWord/>
      <trackRevisions>false</trackRevisions>
    </reviewItem>
    <reviewItem>
      <errorID>cc20dafe-4c84-4b9b-935c-df9284fa332d</errorID>
      <errorWord>建立健全的</errorWord>
      <group>L1_Word</group>
      <groupName>字词问题</groupName>
      <ability>L2_Typo</ability>
      <abilityName>字词错误</abilityName>
      <candidateList>
        <item>建立健全</item>
      </candidateList>
      <explain/>
      <paraID>47B5582C</paraID>
      <start>3</start>
      <end>8</end>
      <status>unmodified</status>
      <modifiedWord/>
      <trackRevisions>false</trackRevisions>
    </reviewItem>
    <reviewItem>
      <errorID>3498309e-219a-487f-bf4c-104b4867bea2</errorID>
      <errorWord>最小</errorWord>
      <group>L1_Word</group>
      <groupName>字词问题</groupName>
      <ability>L2_Typo</ability>
      <abilityName>字词错误</abilityName>
      <candidateList>
        <item>最低</item>
      </candidateList>
      <explain/>
      <paraID>13047943</paraID>
      <start>27</start>
      <end>29</end>
      <status>unmodified</status>
      <modifiedWord/>
      <trackRevisions>false</trackRevisions>
    </reviewItem>
    <reviewItem>
      <errorID>7f96d5d5-c7aa-4e35-8227-0b36abd40c9e</errorID>
      <errorWord>泥将</errorWord>
      <group>L1_Word</group>
      <groupName>字词问题</groupName>
      <ability>L2_Typo</ability>
      <abilityName>字词错误</abilityName>
      <candidateList>
        <item>泥浆</item>
      </candidateList>
      <explain/>
      <paraID>15CB5D42</paraID>
      <start>10</start>
      <end>12</end>
      <status>unmodified</status>
      <modifiedWord/>
      <trackRevisions>false</trackRevisions>
    </reviewItem>
    <reviewItem>
      <errorID>ed9ebdc9-517b-40c0-8f12-39341bb1a2c5</errorID>
      <errorWord>由罐车拉运至由罐车拉运至</errorWord>
      <group>L1_Word</group>
      <groupName>字词问题</groupName>
      <ability>L2_Typo</ability>
      <abilityName>字词错误</abilityName>
      <candidateList>
        <item>由罐车拉运至</item>
      </candidateList>
      <explain/>
      <paraID>7F181C96</paraID>
      <start>14</start>
      <end>26</end>
      <status>unmodified</status>
      <modifiedWord/>
      <trackRevisions>false</trackRevisions>
    </reviewItem>
    <reviewItem>
      <errorID>17d5cf18-bbce-414a-b9f0-1a7c360d80d7</errorID>
      <errorWord>防治</errorWord>
      <group>L1_Word</group>
      <groupName>字词问题</groupName>
      <ability>L2_Typo</ability>
      <abilityName>字词错误</abilityName>
      <candidateList>
        <item>防止</item>
      </candidateList>
      <explain>〈动〉预先设法制止（坏事发生）：～煤气中毒｜～交通事故。</explain>
      <paraID>2265B409</paraID>
      <start>133</start>
      <end>135</end>
      <status>unmodified</status>
      <modifiedWord/>
      <trackRevisions>false</trackRevisions>
    </reviewItem>
    <reviewItem>
      <errorID>608aa214-97a4-4280-8f1b-08cf77ff2423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121932A</paraID>
      <start>25</start>
      <end>26</end>
      <status>ignored</status>
      <modifiedWord/>
      <trackRevisions>false</trackRevisions>
    </reviewItem>
    <reviewItem>
      <errorID>44c6e6fa-bb0a-4297-9b29-6f53f33b9137</errorID>
      <errorWord>~</errorWord>
      <group>L1_Format</group>
      <groupName>格式问题</groupName>
      <ability>L2_HalfPunc</ability>
      <abilityName>全半角检查</abilityName>
      <candidateList>
        <item>～</item>
      </candidateList>
      <explain>文本全半角错误。</explain>
      <paraID> 121932A</paraID>
      <start>84</start>
      <end>85</end>
      <status>unmodified</status>
      <modifiedWord/>
      <trackRevisions>false</trackRevisions>
    </reviewItem>
    <reviewItem>
      <errorID>ba095f53-f49d-4d20-81a8-cfc0a9e37451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121932A</paraID>
      <start>102</start>
      <end>103</end>
      <status>ignored</status>
      <modifiedWord/>
      <trackRevisions>false</trackRevisions>
    </reviewItem>
    <reviewItem>
      <errorID>2ded3221-7be9-46ce-9d00-8ec352e5cc7d</errorID>
      <errorWord>污水水质</errorWord>
      <group>L1_Knowledge</group>
      <groupName>知识性问题</groupName>
      <ability>L2_Term</ability>
      <abilityName>专业术语</abilityName>
      <candidateList>
        <item>出水水质</item>
      </candidateList>
      <explain/>
      <paraID> 121932A</paraID>
      <start>127</start>
      <end>131</end>
      <status>unmodified</status>
      <modifiedWord/>
      <trackRevisions>false</trackRevisions>
    </reviewItem>
    <reviewItem>
      <errorID>31684759-6b13-4230-9c02-252e2353740b</errorID>
      <errorWord>(</errorWord>
      <group>L1_Format</group>
      <groupName>格式问题</groupName>
      <ability>L2_HalfPunc</ability>
      <abilityName>全半角检查</abilityName>
      <candidateList>
        <item>（</item>
      </candidateList>
      <explain>文本全半角错误。</explain>
      <paraID>3B743E87</paraID>
      <start>200</start>
      <end>201</end>
      <status>ignored</status>
      <modifiedWord/>
      <trackRevisions>false</trackRevisions>
    </reviewItem>
    <reviewItem>
      <errorID>e9d26432-4582-4076-94e7-242c185e3e36</errorID>
      <errorWord>)</errorWord>
      <group>L1_Format</group>
      <groupName>格式问题</groupName>
      <ability>L2_HalfPunc</ability>
      <abilityName>全半角检查</abilityName>
      <candidateList>
        <item>）</item>
      </candidateList>
      <explain>文本全半角错误。</explain>
      <paraID>3B743E87</paraID>
      <start>214</start>
      <end>215</end>
      <status>ignored</status>
      <modifiedWord/>
      <trackRevisions>false</trackRevisions>
    </reviewItem>
    <reviewItem>
      <errorID>bcee166f-6115-485a-9bc8-54b1f1a85b37</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3B743E87</paraID>
      <start>246</start>
      <end>247</end>
      <status>unmodified</status>
      <modifiedWord/>
      <trackRevisions>false</trackRevisions>
    </reviewItem>
    <reviewItem>
      <errorID>394e443a-c09d-4cce-8ffe-062d1c14a20e</errorID>
      <errorWord>回考虑</errorWord>
      <group>L1_Word</group>
      <groupName>字词问题</groupName>
      <ability>L2_Typo</ability>
      <abilityName>字词错误</abilityName>
      <candidateList>
        <item>考虑</item>
      </candidateList>
      <explain/>
      <paraID>12B19FFA</paraID>
      <start>46</start>
      <end>49</end>
      <status>unmodified</status>
      <modifiedWord/>
      <trackRevisions>false</trackRevisions>
    </reviewItem>
    <reviewItem>
      <errorID>935e86be-dd04-4b75-933c-7143f286f958</errorID>
      <errorWord>排入排入</errorWord>
      <group>L1_Word</group>
      <groupName>字词问题</groupName>
      <ability>L2_Typo</ability>
      <abilityName>字词错误</abilityName>
      <candidateList>
        <item>排入</item>
      </candidateList>
      <explain/>
      <paraID>5DA0CA6D</paraID>
      <start>8</start>
      <end>12</end>
      <status>unmodified</status>
      <modifiedWord/>
      <trackRevisions>false</trackRevisions>
    </reviewItem>
    <reviewItem>
      <errorID>eb065ee8-c2ab-4bc7-80a6-cc70c00f1460</errorID>
      <errorWord>棚布</errorWord>
      <group>L1_Word</group>
      <groupName>字词问题</groupName>
      <ability>L2_Typo</ability>
      <abilityName>字词错误</abilityName>
      <candidateList>
        <item>篷布</item>
      </candidateList>
      <explain>存在发音相同字词的误用。</explain>
      <paraID>2EAA1532</paraID>
      <start>77</start>
      <end>79</end>
      <status>unmodified</status>
      <modifiedWord/>
      <trackRevisions>false</trackRevisions>
    </reviewItem>
    <reviewItem>
      <errorID>1ff706b1-1e14-4acd-bf1c-065cbd736cb2</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5361D181</paraID>
      <start>52</start>
      <end>53</end>
      <status>unmodified</status>
      <modifiedWord/>
      <trackRevisions>false</trackRevisions>
    </reviewItem>
    <reviewItem>
      <errorID>5cb3379b-301c-4483-a0f1-7e3002f159b4</errorID>
      <errorWord>程</errorWord>
      <group>L1_Word</group>
      <groupName>字词问题</groupName>
      <ability>L2_Typo</ability>
      <abilityName>字词错误</abilityName>
      <candidateList>
        <item>程中</item>
      </candidateList>
      <explain/>
      <paraID> F41761A</paraID>
      <start>14</start>
      <end>15</end>
      <status>unmodified</status>
      <modifiedWord/>
      <trackRevisions>false</trackRevisions>
    </reviewItem>
    <reviewItem>
      <errorID>cc8c6cc7-8e25-43c2-a80e-708612f438c7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570236C4</paraID>
      <start>64</start>
      <end>65</end>
      <status>ignored</status>
      <modifiedWord/>
      <trackRevisions>false</trackRevisions>
    </reviewItem>
    <reviewItem>
      <errorID>c069ea75-579a-4977-b704-4581154c55cf</errorID>
      <errorWord>期</errorWord>
      <group>L1_Word</group>
      <groupName>字词问题</groupName>
      <ability>L2_Typo</ability>
      <abilityName>字词错误</abilityName>
      <candidateList>
        <item>期间</item>
      </candidateList>
      <explain>〈名〉某个时期里面：农忙～｜春节～｜抗战～。</explain>
      <paraID>140B7788</paraID>
      <start>3</start>
      <end>4</end>
      <status>ignored</status>
      <modifiedWord/>
      <trackRevisions>false</trackRevisions>
    </reviewItem>
    <reviewItem>
      <errorID>57614a52-2b54-431c-8f23-ccee7d875c84</errorID>
      <errorWord>程</errorWord>
      <group>L1_Word</group>
      <groupName>字词问题</groupName>
      <ability>L2_Typo</ability>
      <abilityName>字词错误</abilityName>
      <candidateList>
        <item>程中</item>
      </candidateList>
      <explain/>
      <paraID>388464BC</paraID>
      <start>4</start>
      <end>5</end>
      <status>unmodified</status>
      <modifiedWord/>
      <trackRevisions>false</trackRevisions>
    </reviewItem>
    <reviewItem>
      <errorID>72124b30-f620-4324-a0d8-4a67160293b3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58AAD10B</paraID>
      <start>38</start>
      <end>39</end>
      <status>ignored</status>
      <modifiedWord/>
      <trackRevisions>false</trackRevisions>
    </reviewItem>
    <reviewItem>
      <errorID>93c9c692-258d-465a-be96-8dd525127e1c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148DEC73</paraID>
      <start>61</start>
      <end>62</end>
      <status>ignored</status>
      <modifiedWord/>
      <trackRevisions>false</trackRevisions>
    </reviewItem>
    <reviewItem>
      <errorID>b3ed4350-a216-4c12-924a-f154478ba055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19DA291B</paraID>
      <start>31</start>
      <end>32</end>
      <status>ignored</status>
      <modifiedWord/>
      <trackRevisions>false</trackRevisions>
    </reviewItem>
    <reviewItem>
      <errorID>3127bbdb-1823-4103-897b-f653356130b9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797D14C8</paraID>
      <start>61</start>
      <end>62</end>
      <status>ignored</status>
      <modifiedWord/>
      <trackRevisions>false</trackRevisions>
    </reviewItem>
    <reviewItem>
      <errorID>a5d6bac4-d855-40e3-939d-f8205a38440e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3769C88</paraID>
      <start>61</start>
      <end>62</end>
      <status>ignored</status>
      <modifiedWord/>
      <trackRevisions>false</trackRevisions>
    </reviewItem>
    <reviewItem>
      <errorID>05251b04-d33b-499b-9c5a-248839781d1e</errorID>
      <errorWord>（</errorWord>
      <group>L1_Punc</group>
      <groupName>标点问题</groupName>
      <ability>L2_Punc</ability>
      <abilityName>标点符号检查</abilityName>
      <candidateList/>
      <explain/>
      <paraID>1654EE82</paraID>
      <start>5</start>
      <end>6</end>
      <status>ignored</status>
      <modifiedWord/>
      <trackRevisions>false</trackRevisions>
    </reviewItem>
    <reviewItem>
      <errorID>bf75e51b-6a84-4395-911c-3b780a8faa08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1654EE82</paraID>
      <start>45</start>
      <end>46</end>
      <status>ignored</status>
      <modifiedWord/>
      <trackRevisions>false</trackRevisions>
    </reviewItem>
    <reviewItem>
      <errorID>25935c33-f87d-4e99-b3ae-77a1517db595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7B8D3EE6</paraID>
      <start>61</start>
      <end>62</end>
      <status>ignored</status>
      <modifiedWord/>
      <trackRevisions>false</trackRevisions>
    </reviewItem>
    <reviewItem>
      <errorID>49ea5deb-67a9-4393-ab98-87439b7b5f56</errorID>
      <errorWord>布设个</errorWord>
      <group>L1_Word</group>
      <groupName>字词问题</groupName>
      <ability>L2_Typo</ability>
      <abilityName>字词错误</abilityName>
      <candidateList>
        <item>布设</item>
      </candidateList>
      <explain/>
      <paraID>3AC8746B</paraID>
      <start>42</start>
      <end>45</end>
      <status>unmodified</status>
      <modifiedWord/>
      <trackRevisions>false</trackRevisions>
    </reviewItem>
    <reviewItem>
      <errorID>36657a31-6131-4d9e-be25-dc5ce835b17f</errorID>
      <errorWord>，</errorWord>
      <group>L1_Format</group>
      <groupName>格式问题</groupName>
      <ability>L2_HalfPunc</ability>
      <abilityName>全半角检查</abilityName>
      <candidateList>
        <item>,</item>
      </candidateList>
      <explain>文本全半角错误。</explain>
      <paraID>46F496B2</paraID>
      <start>9</start>
      <end>10</end>
      <status>unmodified</status>
      <modifiedWord/>
      <trackRevisions>false</trackRevisions>
    </reviewItem>
    <reviewItem>
      <errorID>f21970d2-0d8a-4680-9d14-31e76fd45350</errorID>
      <errorWord>，</errorWord>
      <group>L1_Format</group>
      <groupName>格式问题</groupName>
      <ability>L2_HalfPunc</ability>
      <abilityName>全半角检查</abilityName>
      <candidateList>
        <item>,</item>
      </candidateList>
      <explain>文本全半角错误。</explain>
      <paraID>2EC05804</paraID>
      <start>9</start>
      <end>10</end>
      <status>unmodified</status>
      <modifiedWord/>
      <trackRevisions>false</trackRevisions>
    </reviewItem>
    <reviewItem>
      <errorID>8031a103-04bd-4159-8c8e-102a2ca30de0</errorID>
      <errorWord>-</errorWord>
      <group>L1_Format</group>
      <groupName>格式问题</groupName>
      <ability>L2_HalfPunc</ability>
      <abilityName>全半角检查</abilityName>
      <candidateList>
        <item>－</item>
      </candidateList>
      <explain>文本全半角错误。</explain>
      <paraID>23FD5DF5</paraID>
      <start>3</start>
      <end>4</end>
      <status>unmodified</status>
      <modifiedWord/>
      <trackRevisions>false</trackRevisions>
    </reviewItem>
    <reviewItem>
      <errorID>7babfb8b-0fe2-4f45-93f7-76f32cd668c0</errorID>
      <errorWord>检测</errorWord>
      <group>L1_Word</group>
      <groupName>字词问题</groupName>
      <ability>L2_Typo</ability>
      <abilityName>字词错误</abilityName>
      <candidateList>
        <item>监测</item>
      </candidateList>
      <explain/>
      <paraID>3507E474</paraID>
      <start>21</start>
      <end>23</end>
      <status>unmodified</status>
      <modifiedWord/>
      <trackRevisions>false</trackRevisions>
    </reviewItem>
    <reviewItem>
      <errorID>e50d5493-5fc1-450d-bf7f-d12e96a5a6b9</errorID>
      <errorWord>作法</errorWord>
      <group>L1_Word</group>
      <groupName>字词问题</groupName>
      <ability>L2_Typo</ability>
      <abilityName>字词错误</abilityName>
      <candidateList>
        <item>做法</item>
      </candidateList>
      <explain>存在发音相同字词的误用。</explain>
      <paraID>398A69AC</paraID>
      <start>29</start>
      <end>31</end>
      <status>unmodified</status>
      <modifiedWord/>
      <trackRevisions>false</trackRevisions>
    </reviewItem>
    <reviewItem>
      <errorID>548f8626-8f25-4ba6-ab5b-d57ae3fc2f30</errorID>
      <errorWord>其它施工</errorWord>
      <group>L1_Word</group>
      <groupName>字词问题</groupName>
      <ability>L2_Alias</ability>
      <abilityName>也作/曾用词</abilityName>
      <candidateList>
        <item>其他施工</item>
      </candidateList>
      <explain>词汇[其它施工]为不规范表述或旧称，其规范书面表述为[其他施工]。</explain>
      <paraID>52121B21</paraID>
      <start>8</start>
      <end>12</end>
      <status>unmodified</status>
      <modifiedWord/>
      <trackRevisions>false</trackRevisions>
    </reviewItem>
    <reviewItem>
      <errorID>51749627-cae9-4784-8720-7ce480d1f1db</errorID>
      <errorWord>减震</errorWord>
      <group>L1_Word</group>
      <groupName>字词问题</groupName>
      <ability>L2_Typo</ability>
      <abilityName>字词错误</abilityName>
      <candidateList>
        <item>减振</item>
      </candidateList>
      <explain/>
      <paraID>2AA04E50</paraID>
      <start>19</start>
      <end>21</end>
      <status>unmodified</status>
      <modifiedWord/>
      <trackRevisions>false</trackRevisions>
    </reviewItem>
    <reviewItem>
      <errorID>c8c5dc5e-b50c-455c-96d2-92bee92730c2</errorID>
      <errorWord>践踏</errorWord>
      <group>L1_Word</group>
      <groupName>字词问题</groupName>
      <ability>L2_Typo</ability>
      <abilityName>字词错误</abilityName>
      <candidateList>
        <item>踩踏</item>
      </candidateList>
      <explain/>
      <paraID>373E9528</paraID>
      <start>14</start>
      <end>16</end>
      <status>unmodified</status>
      <modifiedWord/>
      <trackRevisions>false</trackRevisions>
    </reviewItem>
    <reviewItem>
      <errorID>02c5def9-859c-4938-98e8-950ce870e662</errorID>
      <errorWord>免加</errorWord>
      <group>L1_Word</group>
      <groupName>字词问题</groupName>
      <ability>L2_Typo</ability>
      <abilityName>字词错误</abilityName>
      <candidateList>
        <item>免强</item>
      </candidateList>
      <explain/>
      <paraID>7E556D8D</paraID>
      <start>66</start>
      <end>68</end>
      <status>unmodified</status>
      <modifiedWord/>
      <trackRevisions>false</trackRevisions>
    </reviewItem>
    <reviewItem>
      <errorID>4bf4308a-2de9-487b-965d-517aa596d4c1</errorID>
      <errorWord>作到</errorWord>
      <group>L1_Word</group>
      <groupName>字词问题</groupName>
      <ability>L2_Typo</ability>
      <abilityName>字词错误</abilityName>
      <candidateList>
        <item>做到</item>
      </candidateList>
      <explain/>
      <paraID>2E58AD50</paraID>
      <start>12</start>
      <end>14</end>
      <status>unmodified</status>
      <modifiedWord/>
      <trackRevisions>false</trackRevisions>
    </reviewItem>
    <reviewItem>
      <errorID>e5926f9e-debe-40ae-946e-e1d39f407be0</errorID>
      <errorWord>[2023]2号</errorWord>
      <group>L1_Knowledge</group>
      <groupName>知识性问题</groupName>
      <ability>L2_Knowledge</ability>
      <abilityName>其他知识</abilityName>
      <candidateList>
        <item>〔2023〕2号</item>
      </candidateList>
      <explain>发文字号格式错误。</explain>
      <paraID>41CEC5D0</paraID>
      <start>44</start>
      <end>52</end>
      <status>unmodified</status>
      <modifiedWord/>
      <trackRevisions>false</trackRevisions>
    </reviewItem>
    <reviewItem>
      <errorID>2210f9b1-a014-438e-bd50-f4433cc6cd14</errorID>
      <errorWord>提高</errorWord>
      <group>L1_Grammar</group>
      <groupName>语法问题</groupName>
      <ability>L2_Grammar</ability>
      <abilityName>语法错误</abilityName>
      <candidateList>
        <item>增强</item>
      </candidateList>
      <explain>“提高～意识”搭配不当，建议修改为“增强～意识”。</explain>
      <paraID>  8F9462</paraID>
      <start>3</start>
      <end>5</end>
      <status>unmodified</status>
      <modifiedWord/>
      <trackRevisions>false</trackRevisions>
    </reviewItem>
    <reviewItem>
      <errorID>d28da619-c928-4042-a3b9-d2083679d7d3</errorID>
      <errorWord>加强对</errorWord>
      <group>L1_Word</group>
      <groupName>字词问题</groupName>
      <ability>L2_Typo</ability>
      <abilityName>字词错误</abilityName>
      <candidateList>
        <item>加强</item>
      </candidateList>
      <explain/>
      <paraID>50FD2D7D</paraID>
      <start>3</start>
      <end>6</end>
      <status>unmodified</status>
      <modifiedWord/>
      <trackRevisions>false</trackRevisions>
    </reviewItem>
    <reviewItem>
      <errorID>941cef2b-42ba-402e-b0bf-b8ce6c8d92e0</errorID>
      <errorWord>目前现状</errorWord>
      <group>L1_Word</group>
      <groupName>字词问题</groupName>
      <ability>L2_Typo</ability>
      <abilityName>字词错误</abilityName>
      <candidateList>
        <item>现状</item>
      </candidateList>
      <explain/>
      <paraID>29B4A22D</paraID>
      <start>39</start>
      <end>43</end>
      <status>unmodified</status>
      <modifiedWord/>
      <trackRevisions>false</trackRevisions>
    </reviewItem>
    <reviewItem>
      <errorID>ec98688b-4d0b-439e-bbd3-60012d30e99c</errorID>
      <errorWord>提高</errorWord>
      <group>L1_Grammar</group>
      <groupName>语法问题</groupName>
      <ability>L2_Grammar</ability>
      <abilityName>语法错误</abilityName>
      <candidateList>
        <item>增强</item>
      </candidateList>
      <explain>“提高～意识”搭配不当，建议修改为“增强～意识”。</explain>
      <paraID>2AB9CE89</paraID>
      <start>18</start>
      <end>20</end>
      <status>unmodified</status>
      <modifiedWord/>
      <trackRevisions>false</trackRevisions>
    </reviewItem>
    <reviewItem>
      <errorID>b97f1193-132b-4837-8262-f01425967fdf</errorID>
      <errorWord>。；</errorWord>
      <group>L1_Punc</group>
      <groupName>标点问题</groupName>
      <ability>L2_Punc</ability>
      <abilityName>标点符号检查</abilityName>
      <candidateList>
        <item>。</item>
      </candidateList>
      <explain/>
      <paraID>2AB9CE89</paraID>
      <start>55</start>
      <end>57</end>
      <status>unmodified</status>
      <modifiedWord/>
      <trackRevisions>false</trackRevisions>
    </reviewItem>
    <reviewItem>
      <errorID>affde989-964f-4827-a00f-63cdfaaf9860</errorID>
      <errorWord>符合的</errorWord>
      <group>L1_Word</group>
      <groupName>字词问题</groupName>
      <ability>L2_Typo</ability>
      <abilityName>字词错误</abilityName>
      <candidateList>
        <item>符合</item>
      </candidateList>
      <explain>〈动〉（数量、形状、情节等）相合：～事实｜这些产品不～质量标准。</explain>
      <paraID>56F87635</paraID>
      <start>224</start>
      <end>227</end>
      <status>unmodified</status>
      <modifiedWord/>
      <trackRevisions>false</trackRevisions>
    </reviewItem>
    <reviewItem>
      <errorID>91d568e7-d6ea-49aa-a380-fb479c19f4ec</errorID>
      <errorWord>，</errorWord>
      <group>L1_Word</group>
      <groupName>字词问题</groupName>
      <ability>L2_Typo</ability>
      <abilityName>字词错误</abilityName>
      <candidateList>
        <item>，在</item>
      </candidateList>
      <explain/>
      <paraID>6771A6F7</paraID>
      <start>440</start>
      <end>441</end>
      <status>unmodified</status>
      <modifiedWord/>
      <trackRevisions>false</trackRevisions>
    </reviewItem>
    <reviewItem>
      <errorID>cff0188c-1c54-4aa6-96b9-c6f62f4267d7</errorID>
      <errorWord>耕地按</errorWord>
      <group>L1_Word</group>
      <groupName>字词问题</groupName>
      <ability>L2_Typo</ability>
      <abilityName>字词错误</abilityName>
      <candidateList>
        <item>耕地</item>
      </candidateList>
      <explain/>
      <paraID> E1F4C51</paraID>
      <start>90</start>
      <end>93</end>
      <status>unmodified</status>
      <modifiedWord/>
      <trackRevisions>false</trackRevisions>
    </reviewItem>
    <reviewItem>
      <errorID>01f58765-aa0f-4b01-a599-0fee918a7b67</errorID>
      <errorWord>占地在</errorWord>
      <group>L1_Word</group>
      <groupName>字词问题</groupName>
      <ability>L2_Typo</ability>
      <abilityName>字词错误</abilityName>
      <candidateList>
        <item>占地</item>
      </candidateList>
      <explain/>
      <paraID>758AED13</paraID>
      <start>181</start>
      <end>184</end>
      <status>unmodified</status>
      <modifiedWord/>
      <trackRevisions>false</trackRevisions>
    </reviewItem>
    <reviewItem>
      <errorID>9c66804a-9125-47ac-94eb-80acfe92abac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709B0512</paraID>
      <start>18</start>
      <end>19</end>
      <status>ignored</status>
      <modifiedWord/>
      <trackRevisions>false</trackRevisions>
    </reviewItem>
    <reviewItem>
      <errorID>cd7d252c-31dc-4a25-98ea-886e3d8cd019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709B0512</paraID>
      <start>42</start>
      <end>43</end>
      <status>ignored</status>
      <modifiedWord/>
      <trackRevisions>false</trackRevisions>
    </reviewItem>
    <reviewItem>
      <errorID>52bdaf7b-d487-4764-8b44-ebcf0e0b41f8</errorID>
      <errorWord>弃方</errorWord>
      <group>L1_Word</group>
      <groupName>字词问题</groupName>
      <ability>L2_Typo</ability>
      <abilityName>字词错误</abilityName>
      <candidateList>
        <item>弃物</item>
      </candidateList>
      <explain/>
      <paraID>484F3A80</paraID>
      <start>129</start>
      <end>131</end>
      <status>unmodified</status>
      <modifiedWord/>
      <trackRevisions>false</trackRevisions>
    </reviewItem>
    <reviewItem>
      <errorID>ec083a57-1f4d-44f1-8add-24c4ec783a77</errorID>
      <errorWord>作好</errorWord>
      <group>L1_Word</group>
      <groupName>字词问题</groupName>
      <ability>L2_Typo</ability>
      <abilityName>字词错误</abilityName>
      <candidateList>
        <item>做好</item>
      </candidateList>
      <explain/>
      <paraID>3FB9FB60</paraID>
      <start>129</start>
      <end>131</end>
      <status>unmodified</status>
      <modifiedWord/>
      <trackRevisions>false</trackRevisions>
    </reviewItem>
    <reviewItem>
      <errorID>d52bace0-f5e5-4c99-8af2-1094e45ee839</errorID>
      <errorWord>免加</errorWord>
      <group>L1_Word</group>
      <groupName>字词问题</groupName>
      <ability>L2_Typo</ability>
      <abilityName>字词错误</abilityName>
      <candidateList>
        <item>免强</item>
      </candidateList>
      <explain/>
      <paraID>198C9133</paraID>
      <start>77</start>
      <end>79</end>
      <status>unmodified</status>
      <modifiedWord/>
      <trackRevisions>false</trackRevisions>
    </reviewItem>
    <reviewItem>
      <errorID>8d0f3000-c2e7-461a-bd74-d1b33f9e1bec</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7F97BEBE</paraID>
      <start>106</start>
      <end>107</end>
      <status>unmodified</status>
      <modifiedWord/>
      <trackRevisions>false</trackRevisions>
    </reviewItem>
    <reviewItem>
      <errorID>18bf7b13-7b5f-4d89-95c7-c5ab5da7ed1e</errorID>
      <errorWord>践踏</errorWord>
      <group>L1_Word</group>
      <groupName>字词问题</groupName>
      <ability>L2_Typo</ability>
      <abilityName>字词错误</abilityName>
      <candidateList>
        <item>踩踏</item>
      </candidateList>
      <explain/>
      <paraID>6B09E540</paraID>
      <start>64</start>
      <end>66</end>
      <status>unmodified</status>
      <modifiedWord/>
      <trackRevisions>false</trackRevisions>
    </reviewItem>
    <reviewItem>
      <errorID>d0463123-bafa-47d0-aa15-b0046baceb53</errorID>
      <errorWord>沟埋</errorWord>
      <group>L1_Word</group>
      <groupName>字词问题</groupName>
      <ability>L2_Typo</ability>
      <abilityName>字词错误</abilityName>
      <candidateList>
        <item>预埋</item>
      </candidateList>
      <explain/>
      <paraID>4404D50A</paraID>
      <start>7</start>
      <end>9</end>
      <status>unmodified</status>
      <modifiedWord/>
      <trackRevisions>false</trackRevisions>
    </reviewItem>
    <reviewItem>
      <errorID>3f67d8a2-b276-43ee-8554-80a9de6d2f4a</errorID>
      <errorWord>〔2019〕第32号</errorWord>
      <group>L1_Knowledge</group>
      <groupName>知识性问题</groupName>
      <ability>L2_Knowledge</ability>
      <abilityName>其他知识</abilityName>
      <candidateList>
        <item>〔2019〕32号</item>
      </candidateList>
      <explain>发文字号格式错误。</explain>
      <paraID>46FFE88A</paraID>
      <start>34</start>
      <end>44</end>
      <status>unmodified</status>
      <modifiedWord/>
      <trackRevisions>false</trackRevisions>
    </reviewItem>
    <reviewItem>
      <errorID>04131f14-424e-457e-be8e-eb50f1e529a1</errorID>
      <errorWord>区域但</errorWord>
      <group>L1_Word</group>
      <groupName>字词问题</groupName>
      <ability>L2_Typo</ability>
      <abilityName>字词错误</abilityName>
      <candidateList>
        <item>区域</item>
      </candidateList>
      <explain/>
      <paraID>185AB27E</paraID>
      <start>13</start>
      <end>16</end>
      <status>unmodified</status>
      <modifiedWord/>
      <trackRevisions>false</trackRevisions>
    </reviewItem>
    <reviewItem>
      <errorID>5411262c-552a-46f2-8655-d669aca6eccd</errorID>
      <errorWord>5～10%</errorWord>
      <group>L1_Knowledge</group>
      <groupName>知识性问题</groupName>
      <ability>L2_Knowledge</ability>
      <abilityName>其他知识</abilityName>
      <candidateList>
        <item>5%～10%</item>
      </candidateList>
      <explain>1. “5～10%”中的单位“%”仅出现在后一个数字上，容易引起歧义；根据《现代汉语标点符号数字用法规范手册》，数字表示范围两边需要使用统一的格式。2. 根据标点国标 4.13 中的规则，数字、时间或地域连接符应使用（视觉上更长的）“—”或“～”。</explain>
      <paraID>185AB27E</paraID>
      <start>18</start>
      <end>23</end>
      <status>unmodified</status>
      <modifiedWord/>
      <trackRevisions>false</trackRevisions>
    </reviewItem>
    <reviewItem>
      <errorID>281f26b3-a0b1-41d1-b918-e36a36eb34de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2474992B</paraID>
      <start>0</start>
      <end>2</end>
      <status>unmodified</status>
      <modifiedWord/>
      <trackRevisions>false</trackRevisions>
    </reviewItem>
    <reviewItem>
      <errorID>d9e38135-1179-4b08-8aeb-021fb8db9869</errorID>
      <errorWord>利用利用</errorWord>
      <group>L1_Word</group>
      <groupName>字词问题</groupName>
      <ability>L2_Typo</ability>
      <abilityName>字词错误</abilityName>
      <candidateList>
        <item>利用</item>
      </candidateList>
      <explain/>
      <paraID>70C55728</paraID>
      <start>46</start>
      <end>50</end>
      <status>unmodified</status>
      <modifiedWord/>
      <trackRevisions>false</trackRevisions>
    </reviewItem>
    <reviewItem>
      <errorID>9bc978f8-e924-4923-ad25-4520b5a4413e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2911959D</paraID>
      <start>0</start>
      <end>2</end>
      <status>unmodified</status>
      <modifiedWord/>
      <trackRevisions>false</trackRevisions>
    </reviewItem>
    <reviewItem>
      <errorID>d42869b6-91c5-4ca7-ba23-40ca3771fc39</errorID>
      <errorWord>盐碱的</errorWord>
      <group>L1_Political</group>
      <groupName>政治性问题</groupName>
      <ability>L2_Keyword</ability>
      <abilityName>固定表述</abilityName>
      <candidateList>
        <item>盐碱地</item>
      </candidateList>
      <explain>词汇“盐碱地”在特定场景下为固定表述形式，请确认此处的“盐碱的”是否存在不当。</explain>
      <paraID>22A58147</paraID>
      <start>52</start>
      <end>55</end>
      <status>unmodified</status>
      <modifiedWord/>
      <trackRevisions>false</trackRevisions>
    </reviewItem>
    <reviewItem>
      <errorID>8dfffb6d-c904-44ec-a210-38966e4dbf04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77ADBB9E</paraID>
      <start>0</start>
      <end>2</end>
      <status>unmodified</status>
      <modifiedWord/>
      <trackRevisions>false</trackRevisions>
    </reviewItem>
    <reviewItem>
      <errorID>a31c66f5-ad0d-4369-bc60-51f79ad6a93a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283CB609</paraID>
      <start>0</start>
      <end>2</end>
      <status>unmodified</status>
      <modifiedWord/>
      <trackRevisions>false</trackRevisions>
    </reviewItem>
    <reviewItem>
      <errorID>e77e7251-e737-4fdc-ac7a-6207765f62f5</errorID>
      <errorWord>施工期时</errorWord>
      <group>L1_Word</group>
      <groupName>字词问题</groupName>
      <ability>L2_Typo</ability>
      <abilityName>字词错误</abilityName>
      <candidateList>
        <item>施工期</item>
      </candidateList>
      <explain/>
      <paraID>3C204D23</paraID>
      <start>49</start>
      <end>53</end>
      <status>unmodified</status>
      <modifiedWord/>
      <trackRevisions>false</trackRevisions>
    </reviewItem>
    <reviewItem>
      <errorID>8f5aa14d-e1e8-4028-8ec4-3f05db4d3f50</errorID>
      <errorWord>期</errorWord>
      <group>L1_Word</group>
      <groupName>字词问题</groupName>
      <ability>L2_Typo</ability>
      <abilityName>字词错误</abilityName>
      <candidateList>
        <item>期间</item>
      </candidateList>
      <explain>〈名〉某个时期里面：农忙～｜春节～｜抗战～。</explain>
      <paraID>31FB38F0</paraID>
      <start>139</start>
      <end>140</end>
      <status>ignored</status>
      <modifiedWord/>
      <trackRevisions>false</trackRevisions>
    </reviewItem>
    <reviewItem>
      <errorID>dad7924b-bb74-4383-beb2-b241499cd843</errorID>
      <errorWord>作严格</errorWord>
      <group>L1_Word</group>
      <groupName>字词问题</groupName>
      <ability>L2_Typo</ability>
      <abilityName>字词错误</abilityName>
      <candidateList>
        <item>做严格</item>
      </candidateList>
      <explain/>
      <paraID>37A1AED4</paraID>
      <start>41</start>
      <end>44</end>
      <status>unmodified</status>
      <modifiedWord/>
      <trackRevisions>false</trackRevisions>
    </reviewItem>
    <reviewItem>
      <errorID>abeae8cf-c265-41cd-a700-a0d634f2f66b</errorID>
      <errorWord>注人</errorWord>
      <group>L1_Word</group>
      <groupName>字词问题</groupName>
      <ability>L2_Typo</ability>
      <abilityName>字词错误</abilityName>
      <candidateList>
        <item>注入</item>
      </candidateList>
      <explain/>
      <paraID>7C6D86F5</paraID>
      <start>84</start>
      <end>86</end>
      <status>unmodified</status>
      <modifiedWord/>
      <trackRevisions>false</trackRevisions>
    </reviewItem>
    <reviewItem>
      <errorID>f26b5354-c225-4dfc-ae17-7cfdd45c0d84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BE2C927</paraID>
      <start>77</start>
      <end>78</end>
      <status>ignored</status>
      <modifiedWord/>
      <trackRevisions>false</trackRevisions>
    </reviewItem>
    <reviewItem>
      <errorID>b4a046ae-d5be-4efb-88df-02e818884a0b</errorID>
      <errorWord>粘度</errorWord>
      <group>L1_Word</group>
      <groupName>字词问题</groupName>
      <ability>L2_Alias</ability>
      <abilityName>也作/曾用词</abilityName>
      <candidateList>
        <item>黏度</item>
      </candidateList>
      <explain>词汇[粘度]为不规范表述或旧称，其规范书面表述为[黏度]。</explain>
      <paraID>436BB0F3</paraID>
      <start>21</start>
      <end>23</end>
      <status>unmodified</status>
      <modifiedWord/>
      <trackRevisions>false</trackRevisions>
    </reviewItem>
    <reviewItem>
      <errorID>7159e95c-205b-4d25-8dfb-9558d298a5da</errorID>
      <errorWord>证</errorWord>
      <group>L1_Word</group>
      <groupName>字词问题</groupName>
      <ability>L2_Typo</ability>
      <abilityName>字词错误</abilityName>
      <candidateList>
        <item>证监</item>
      </candidateList>
      <explain/>
      <paraID>233551D7</paraID>
      <start>15</start>
      <end>16</end>
      <status>unmodified</status>
      <modifiedWord/>
      <trackRevisions>false</trackRevisions>
    </reviewItem>
    <reviewItem>
      <errorID>47952fa2-ccd0-4769-b37d-4d6c7b15aa83</errorID>
      <errorWord>措施目</errorWord>
      <group>L1_Word</group>
      <groupName>字词问题</groupName>
      <ability>L2_Typo</ability>
      <abilityName>字词错误</abilityName>
      <candidateList>
        <item>措施</item>
      </candidateList>
      <explain>〈名〉针对某种情况而采取的处理办法（用于较大的事情）：计划已经订出，～应该跟上。</explain>
      <paraID>233551D7</paraID>
      <start>54</start>
      <end>57</end>
      <status>unmodified</status>
      <modifiedWord/>
      <trackRevisions>false</trackRevisions>
    </reviewItem>
    <reviewItem>
      <errorID>49b576c6-0714-4b7c-8ecc-651a173dfd1e</errorID>
      <errorWord>的的</errorWord>
      <group>L1_Word</group>
      <groupName>字词问题</groupName>
      <ability>L2_Typo</ability>
      <abilityName>字词错误</abilityName>
      <candidateList>
        <item>的</item>
      </candidateList>
      <explain>“的”常用于连接修饰语与名词性中心语，表示属性、所属或描述。</explain>
      <paraID> CAFFC50</paraID>
      <start>34</start>
      <end>36</end>
      <status>unmodified</status>
      <modifiedWord/>
      <trackRevisions>false</trackRevisions>
    </reviewItem>
    <reviewItem>
      <errorID>e9d37a97-2c27-45cf-a9ec-d0531889d180</errorID>
      <errorWord>其它设备</errorWord>
      <group>L1_Word</group>
      <groupName>字词问题</groupName>
      <ability>L2_Alias</ability>
      <abilityName>也作/曾用词</abilityName>
      <candidateList>
        <item>其他设备</item>
      </candidateList>
      <explain>词汇[其它设备]为不规范表述或旧称，其规范书面表述为[其他设备]。</explain>
      <paraID> 89FD0F0</paraID>
      <start>1</start>
      <end>5</end>
      <status>unmodified</status>
      <modifiedWord/>
      <trackRevisions>false</trackRevisions>
    </reviewItem>
    <reviewItem>
      <errorID>851257cd-a2d2-4a68-8517-2d18efcc5c02</errorID>
      <errorWord>其它安全</errorWord>
      <group>L1_Word</group>
      <groupName>字词问题</groupName>
      <ability>L2_Alias</ability>
      <abilityName>也作/曾用词</abilityName>
      <candidateList>
        <item>其他安全</item>
      </candidateList>
      <explain>词汇[其它安全]为不规范表述或旧称，其规范书面表述为[其他安全]。</explain>
      <paraID>75DD6DCE</paraID>
      <start>76</start>
      <end>80</end>
      <status>unmodified</status>
      <modifiedWord/>
      <trackRevisions>false</trackRevisions>
    </reviewItem>
    <reviewItem>
      <errorID>68224015-3b10-433e-842a-f12ca0948242</errorID>
      <errorWord>随</errorWord>
      <group>L1_Word</group>
      <groupName>字词问题</groupName>
      <ability>L2_Typo</ability>
      <abilityName>字词错误</abilityName>
      <candidateList>
        <item>视</item>
      </candidateList>
      <explain>存在发音相近字词的误用。</explain>
      <paraID> 905BEE6</paraID>
      <start>27</start>
      <end>28</end>
      <status>unmodified</status>
      <modifiedWord/>
      <trackRevisions>false</trackRevisions>
    </reviewItem>
    <reviewItem>
      <errorID>0b6a5ec3-d6f4-4eea-9a18-0de54dcd3e17</errorID>
      <errorWord>通讯畅通</errorWord>
      <group>L1_Word</group>
      <groupName>字词问题</groupName>
      <ability>L2_Typo</ability>
      <abilityName>字词错误</abilityName>
      <candidateList>
        <item>通信畅通</item>
      </candidateList>
      <explain/>
      <paraID>4A006181</paraID>
      <start>28</start>
      <end>32</end>
      <status>unmodified</status>
      <modifiedWord/>
      <trackRevisions>false</trackRevisions>
    </reviewItem>
    <reviewItem>
      <errorID>03279e55-c7c7-43b5-a928-1650fea60d9f</errorID>
      <errorWord>超声波检查</errorWord>
      <group>L1_Knowledge</group>
      <groupName>知识性问题</groupName>
      <ability>L2_Term</ability>
      <abilityName>专业术语</abilityName>
      <candidateList>
        <item>超声检查</item>
      </candidateList>
      <explain>医学名词[超声波检查]为不规范表述或旧称，其规范书面表述为[超声检查]。</explain>
      <paraID>680436EF</paraID>
      <start>16</start>
      <end>21</end>
      <status>unmodified</status>
      <modifiedWord/>
      <trackRevisions>false</trackRevisions>
    </reviewItem>
    <reviewItem>
      <errorID>21fa84a9-162e-4c1b-80c2-c39c60350f09</errorID>
      <errorWord>通讯畅通</errorWord>
      <group>L1_Word</group>
      <groupName>字词问题</groupName>
      <ability>L2_Typo</ability>
      <abilityName>字词错误</abilityName>
      <candidateList>
        <item>通信畅通</item>
      </candidateList>
      <explain/>
      <paraID>5EF18146</paraID>
      <start>60</start>
      <end>64</end>
      <status>unmodified</status>
      <modifiedWord/>
      <trackRevisions>false</trackRevisions>
    </reviewItem>
    <reviewItem>
      <errorID>63e726dd-758c-4dae-a706-abdef0ec055e</errorID>
      <errorWord>)</errorWord>
      <group>L1_Format</group>
      <groupName>格式问题</groupName>
      <ability>L2_HalfPunc</ability>
      <abilityName>全半角检查</abilityName>
      <candidateList>
        <item>）</item>
      </candidateList>
      <explain>文本全半角错误。</explain>
      <paraID>35EC93C5</paraID>
      <start>29</start>
      <end>30</end>
      <status>ignored</status>
      <modifiedWord/>
      <trackRevisions>false</trackRevisions>
    </reviewItem>
    <reviewItem>
      <errorID>cd0e70d4-0984-497d-878e-10c15c19a0e1</errorID>
      <errorWord>期</errorWord>
      <group>L1_Word</group>
      <groupName>字词问题</groupName>
      <ability>L2_Typo</ability>
      <abilityName>字词错误</abilityName>
      <candidateList>
        <item>期间</item>
      </candidateList>
      <explain>〈名〉某个时期里面：农忙～｜春节～｜抗战～。</explain>
      <paraID>20558E19</paraID>
      <start>3</start>
      <end>4</end>
      <status>ignored</status>
      <modifiedWord/>
      <trackRevisions>false</trackRevisions>
    </reviewItem>
    <reviewItem>
      <errorID>221eeacb-87dd-4b85-8af1-025490b6d784</errorID>
      <errorWord>随</errorWord>
      <group>L1_Word</group>
      <groupName>字词问题</groupName>
      <ability>L2_Typo</ability>
      <abilityName>字词错误</abilityName>
      <candidateList>
        <item>视</item>
      </candidateList>
      <explain>存在发音相近字词的误用。</explain>
      <paraID>34AF84DC</paraID>
      <start>52</start>
      <end>53</end>
      <status>unmodified</status>
      <modifiedWord/>
      <trackRevisions>false</trackRevisions>
    </reviewItem>
    <reviewItem>
      <errorID>4290de94-4b6c-47d6-8841-ec86f81bafa4</errorID>
      <errorWord>检测仪表</errorWord>
      <group>L1_Word</group>
      <groupName>字词问题</groupName>
      <ability>L2_Typo</ability>
      <abilityName>字词错误</abilityName>
      <candidateList>
        <item>监测仪表</item>
      </candidateList>
      <explain/>
      <paraID>28211475</paraID>
      <start>7</start>
      <end>11</end>
      <status>unmodified</status>
      <modifiedWord/>
      <trackRevisions>false</trackRevisions>
    </reviewItem>
    <reviewItem>
      <errorID>f8e918c4-c471-42d9-a5c7-31e7761adc34</errorID>
      <errorWord>(</errorWord>
      <group>L1_Format</group>
      <groupName>格式问题</groupName>
      <ability>L2_HalfPunc</ability>
      <abilityName>全半角检查</abilityName>
      <candidateList>
        <item>（</item>
      </candidateList>
      <explain>文本全半角错误。</explain>
      <paraID>7474814C</paraID>
      <start>40</start>
      <end>41</end>
      <status>ignored</status>
      <modifiedWord/>
      <trackRevisions>false</trackRevisions>
    </reviewItem>
    <reviewItem>
      <errorID>810e6d47-1eb5-4673-a0f1-efe925ef792d</errorID>
      <errorWord>)</errorWord>
      <group>L1_Format</group>
      <groupName>格式问题</groupName>
      <ability>L2_HalfPunc</ability>
      <abilityName>全半角检查</abilityName>
      <candidateList>
        <item>）</item>
      </candidateList>
      <explain>文本全半角错误。</explain>
      <paraID>7474814C</paraID>
      <start>55</start>
      <end>56</end>
      <status>ignored</status>
      <modifiedWord/>
      <trackRevisions>false</trackRevisions>
    </reviewItem>
    <reviewItem>
      <errorID>077ec151-ff46-4e8c-b5f4-5912286857e8</errorID>
      <errorWord>改</errorWord>
      <group>L1_Word</group>
      <groupName>字词问题</groupName>
      <ability>L2_Typo</ability>
      <abilityName>字词错误</abilityName>
      <candidateList>
        <item>该</item>
      </candidateList>
      <explain>（該）ɡāi同“赅”。</explain>
      <paraID>6E334AC2</paraID>
      <start>93</start>
      <end>94</end>
      <status>unmodified</status>
      <modifiedWord/>
      <trackRevisions>false</trackRevisions>
    </reviewItem>
    <reviewItem>
      <errorID>37636de9-6e5c-44cb-8e0d-0d43da70a88b</errorID>
      <errorWord>；</errorWord>
      <group>L1_Word</group>
      <groupName>字词问题</groupName>
      <ability>L2_Typo</ability>
      <abilityName>字词错误</abilityName>
      <candidateList>
        <item>；对</item>
      </candidateList>
      <explain/>
      <paraID>4E4833E5</paraID>
      <start>41</start>
      <end>42</end>
      <status>unmodified</status>
      <modifiedWord/>
      <trackRevisions>false</trackRevisions>
    </reviewItem>
    <reviewItem>
      <errorID>ba7bd503-0bb0-4a38-b14c-f579c709e7c3</errorID>
      <errorWord>步步</errorWord>
      <group>L1_Word</group>
      <groupName>字词问题</groupName>
      <ability>L2_Typo</ability>
      <abilityName>字词错误</abilityName>
      <candidateList>
        <item>步</item>
      </candidateList>
      <explain/>
      <paraID>42FBABA9</paraID>
      <start>116</start>
      <end>118</end>
      <status>unmodified</status>
      <modifiedWord/>
      <trackRevisions>false</trackRevisions>
    </reviewItem>
    <reviewItem>
      <errorID>e4e96372-648d-4014-9fbe-ff8bdc21cb9d</errorID>
      <errorWord>队</errorWord>
      <group>L1_Word</group>
      <groupName>字词问题</groupName>
      <ability>L2_Typo</ability>
      <abilityName>字词错误</abilityName>
      <candidateList>
        <item>队伍</item>
      </candidateList>
      <explain/>
      <paraID>36996F5D</paraID>
      <start>95</start>
      <end>96</end>
      <status>unmodified</status>
      <modifiedWord/>
      <trackRevisions>false</trackRevisions>
    </reviewItem>
    <reviewItem>
      <errorID>acd89233-3e74-48d1-934a-6cbac6b79bcd</errorID>
      <errorWord>发</errorWord>
      <group>L1_Word</group>
      <groupName>字词问题</groupName>
      <ability>L2_Typo</ability>
      <abilityName>字词错误</abilityName>
      <candidateList>
        <item>发生</item>
      </candidateList>
      <explain>〈动〉❶原来没有的事出现了；产生：～变化｜～事故｜～关系。❷卵子受精后逐渐生长。</explain>
      <paraID>36996F5D</paraID>
      <start>103</start>
      <end>104</end>
      <status>unmodified</status>
      <modifiedWord/>
      <trackRevisions>false</trackRevisions>
    </reviewItem>
    <reviewItem>
      <errorID>6c67a37d-e6b7-4431-a41d-80490edf4ced</errorID>
      <errorWord>队</errorWord>
      <group>L1_Word</group>
      <groupName>字词问题</groupName>
      <ability>L2_Typo</ability>
      <abilityName>字词错误</abilityName>
      <candidateList>
        <item>队伍</item>
      </candidateList>
      <explain/>
      <paraID>36996F5D</paraID>
      <start>146</start>
      <end>147</end>
      <status>unmodified</status>
      <modifiedWord/>
      <trackRevisions>false</trackRevisions>
    </reviewItem>
    <reviewItem>
      <errorID>e8fc4dd6-a01f-4f51-a236-3808f95cb948</errorID>
      <errorWord>期</errorWord>
      <group>L1_Word</group>
      <groupName>字词问题</groupName>
      <ability>L2_Typo</ability>
      <abilityName>字词错误</abilityName>
      <candidateList>
        <item>期间</item>
      </candidateList>
      <explain>〈名〉某个时期里面：农忙～｜春节～｜抗战～。</explain>
      <paraID>37521DE6</paraID>
      <start>191</start>
      <end>192</end>
      <status>ignored</status>
      <modifiedWord/>
      <trackRevisions>false</trackRevisions>
    </reviewItem>
    <reviewItem>
      <errorID>fa11203a-f841-4961-bad9-3f4f1cb00581</errorID>
      <errorWord>不需</errorWord>
      <group>L1_Word</group>
      <groupName>字词问题</groupName>
      <ability>L2_Typo</ability>
      <abilityName>字词错误</abilityName>
      <candidateList>
        <item>不须</item>
      </candidateList>
      <explain>存在发音相同字词的误用。</explain>
      <paraID>327C2EA4</paraID>
      <start>37</start>
      <end>39</end>
      <status>unmodified</status>
      <modifiedWord/>
      <trackRevisions>false</trackRevisions>
    </reviewItem>
    <reviewItem>
      <errorID>c5c1d846-0f66-4ace-bb06-c04011b3d4f2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61161E2C</paraID>
      <start>0</start>
      <end>2</end>
      <status>unmodified</status>
      <modifiedWord/>
      <trackRevisions>false</trackRevisions>
    </reviewItem>
    <reviewItem>
      <errorID>36d53b54-9e1c-408d-a8fa-7a7fc55449ba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559A967F</paraID>
      <start>0</start>
      <end>2</end>
      <status>unmodified</status>
      <modifiedWord/>
      <trackRevisions>false</trackRevisions>
    </reviewItem>
    <reviewItem>
      <errorID>03738093-a668-400a-826b-5f2bc3b6e0a5</errorID>
      <errorWord>向向</errorWord>
      <group>L1_Word</group>
      <groupName>字词问题</groupName>
      <ability>L2_Typo</ability>
      <abilityName>字词错误</abilityName>
      <candidateList>
        <item>向</item>
      </candidateList>
      <explain>〈副〉向来：～有研究｜～无此例。</explain>
      <paraID>268C623A</paraID>
      <start>158</start>
      <end>160</end>
      <status>unmodified</status>
      <modifiedWord/>
      <trackRevisions>false</trackRevisions>
    </reviewItem>
    <reviewItem>
      <errorID>cc386db2-a195-439a-8c39-ae6d70122434</errorID>
      <errorWord>市政府报告</errorWord>
      <group>L1_Political</group>
      <groupName>政治性问题</groupName>
      <ability>L2_Unpolitical</ability>
      <abilityName>政治敏感错误</abilityName>
      <candidateList>
        <item>市政府工作报告</item>
      </candidateList>
      <explain/>
      <paraID>268C623A</paraID>
      <start>191</start>
      <end>196</end>
      <status>unmodified</status>
      <modifiedWord/>
      <trackRevisions>false</trackRevisions>
    </reviewItem>
    <reviewItem>
      <errorID>6ba4985d-e6af-4f27-bdd5-f64e6403eeb0</errorID>
      <errorWord>求援</errorWord>
      <group>L1_Word</group>
      <groupName>字词问题</groupName>
      <ability>L2_Typo</ability>
      <abilityName>字词错误</abilityName>
      <candidateList>
        <item>救援</item>
      </candidateList>
      <explain>〈动〉援救：请求～｜～人员。</explain>
      <paraID>268C623A</paraID>
      <start>199</start>
      <end>201</end>
      <status>unmodified</status>
      <modifiedWord/>
      <trackRevisions>false</trackRevisions>
    </reviewItem>
    <reviewItem>
      <errorID>9878d1f4-6fad-4949-a4da-003298c4da76</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46A85CBD</paraID>
      <start>37</start>
      <end>38</end>
      <status>unmodified</status>
      <modifiedWord/>
      <trackRevisions>false</trackRevisions>
    </reviewItem>
    <reviewItem>
      <errorID>40046927-4952-4220-8d39-2d65966e1e4f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5AFC1DE5</paraID>
      <start>0</start>
      <end>2</end>
      <status>unmodified</status>
      <modifiedWord/>
      <trackRevisions>false</trackRevisions>
    </reviewItem>
    <reviewItem>
      <errorID>3e496309-ef7f-4e02-b8dc-2da778e1ebad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2F152798</paraID>
      <start>0</start>
      <end>2</end>
      <status>unmodified</status>
      <modifiedWord/>
      <trackRevisions>false</trackRevisions>
    </reviewItem>
    <reviewItem>
      <errorID>f9f68252-b3fd-4695-bcb9-aacc9eaae967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599CBEF2</paraID>
      <start>95</start>
      <end>98</end>
      <status>unmodified</status>
      <modifiedWord/>
      <trackRevisions>false</trackRevisions>
    </reviewItem>
    <reviewItem>
      <errorID>159dc2f3-1009-4e5f-b8d5-add1c1584ca0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599CBEF2</paraID>
      <start>120</start>
      <end>123</end>
      <status>unmodified</status>
      <modifiedWord/>
      <trackRevisions>false</trackRevisions>
    </reviewItem>
    <reviewItem>
      <errorID>5295d5d2-cd01-4905-b806-70941d5709a2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599CBEF2</paraID>
      <start>138</start>
      <end>141</end>
      <status>unmodified</status>
      <modifiedWord/>
      <trackRevisions>false</trackRevisions>
    </reviewItem>
    <reviewItem>
      <errorID>42e40563-b872-4741-a322-4c50dd5be8ea</errorID>
      <errorWord>迅捷地</errorWord>
      <group>L1_Word</group>
      <groupName>字词问题</groupName>
      <ability>L2_Typo</ability>
      <abilityName>字词错误</abilityName>
      <candidateList>
        <item>迅捷</item>
      </candidateList>
      <explain/>
      <paraID>599CBEF2</paraID>
      <start>257</start>
      <end>260</end>
      <status>unmodified</status>
      <modifiedWord/>
      <trackRevisions>false</trackRevisions>
    </reviewItem>
    <reviewItem>
      <errorID>1780b5c7-5b9a-410e-81c8-113d0507119f</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2D67D661</paraID>
      <start>57</start>
      <end>58</end>
      <status>unmodified</status>
      <modifiedWord/>
      <trackRevisions>false</trackRevisions>
    </reviewItem>
    <reviewItem>
      <errorID>eb99cf21-0c3f-4db0-8549-0a717a3a196b</errorID>
      <errorWord>提高</errorWord>
      <group>L1_Grammar</group>
      <groupName>语法问题</groupName>
      <ability>L2_Grammar</ability>
      <abilityName>语法错误</abilityName>
      <candidateList>
        <item>增强</item>
      </candidateList>
      <explain>“提高～意识”搭配不当，建议修改为“增强～意识”。</explain>
      <paraID>6A0630A0</paraID>
      <start>8</start>
      <end>10</end>
      <status>unmodified</status>
      <modifiedWord/>
      <trackRevisions>false</trackRevisions>
    </reviewItem>
    <reviewItem>
      <errorID>16eb9a83-21fc-44b0-b385-7133bdbebbae</errorID>
      <errorWord>践踏</errorWord>
      <group>L1_Word</group>
      <groupName>字词问题</groupName>
      <ability>L2_Typo</ability>
      <abilityName>字词错误</abilityName>
      <candidateList>
        <item>踩踏</item>
      </candidateList>
      <explain/>
      <paraID>6A0630A0</paraID>
      <start>33</start>
      <end>35</end>
      <status>unmodified</status>
      <modifiedWord/>
      <trackRevisions>false</trackRevisions>
    </reviewItem>
    <reviewItem>
      <errorID>15bd1c6c-6894-4551-97b0-69377d6ab1c8</errorID>
      <errorWord>采气管道</errorWord>
      <group>L1_Knowledge</group>
      <groupName>知识性问题</groupName>
      <ability>L2_Term</ability>
      <abilityName>专业术语</abilityName>
      <candidateList>
        <item>采气管线</item>
      </candidateList>
      <explain/>
      <paraID>12B92066</paraID>
      <start>8</start>
      <end>12</end>
      <status>unmodified</status>
      <modifiedWord/>
      <trackRevisions>false</trackRevisions>
    </reviewItem>
    <reviewItem>
      <errorID>4b10c96d-7a6c-482c-808c-9c96724ac86a</errorID>
      <errorWord>）</errorWord>
      <group>L1_Word</group>
      <groupName>字词问题</groupName>
      <ability>L2_Typo</ability>
      <abilityName>字词错误</abilityName>
      <candidateList>
        <item>）等</item>
      </candidateList>
      <explain/>
      <paraID>53976190</paraID>
      <start>147</start>
      <end>148</end>
      <status>unmodified</status>
      <modifiedWord/>
      <trackRevisions>false</trackRevisions>
    </reviewItem>
    <reviewItem>
      <errorID>fded37f4-2246-4b34-b6a4-72494d38d24f</errorID>
      <errorWord>-</errorWord>
      <group>L1_Format</group>
      <groupName>格式问题</groupName>
      <ability>L2_HalfPunc</ability>
      <abilityName>全半角检查</abilityName>
      <candidateList>
        <item>－</item>
      </candidateList>
      <explain>文本全半角错误。</explain>
      <paraID>2142EBDA</paraID>
      <start>3</start>
      <end>4</end>
      <status>unmodified</status>
      <modifiedWord/>
      <trackRevisions>false</trackRevisions>
    </reviewItem>
    <reviewItem>
      <errorID>cd7b0c04-842c-4280-a9d5-a2dd8ed4397e</errorID>
      <errorWord>，</errorWord>
      <group>L1_Format</group>
      <groupName>格式问题</groupName>
      <ability>L2_HalfPunc</ability>
      <abilityName>全半角检查</abilityName>
      <candidateList>
        <item>,</item>
      </candidateList>
      <explain>文本全半角错误。</explain>
      <paraID>1F5EBD00</paraID>
      <start>9</start>
      <end>10</end>
      <status>unmodified</status>
      <modifiedWord/>
      <trackRevisions>false</trackRevisions>
    </reviewItem>
    <reviewItem>
      <errorID>3596b9de-3504-44f3-8611-da2e61832663</errorID>
      <errorWord>-</errorWord>
      <group>L1_Format</group>
      <groupName>格式问题</groupName>
      <ability>L2_HalfPunc</ability>
      <abilityName>全半角检查</abilityName>
      <candidateList>
        <item>－</item>
      </candidateList>
      <explain>文本全半角错误。</explain>
      <paraID>176C0077</paraID>
      <start>3</start>
      <end>4</end>
      <status>unmodified</status>
      <modifiedWord/>
      <trackRevisions>false</trackRevisions>
    </reviewItem>
    <reviewItem>
      <errorID>677d2e62-6c95-4eba-ab9f-922de508b95c</errorID>
      <errorWord>，</errorWord>
      <group>L1_Format</group>
      <groupName>格式问题</groupName>
      <ability>L2_HalfPunc</ability>
      <abilityName>全半角检查</abilityName>
      <candidateList>
        <item>,</item>
      </candidateList>
      <explain>文本全半角错误。</explain>
      <paraID>69153E84</paraID>
      <start>9</start>
      <end>10</end>
      <status>unmodified</status>
      <modifiedWord/>
      <trackRevisions>false</trackRevisions>
    </reviewItem>
    <reviewItem>
      <errorID>5d0dab99-ccd0-4ebd-8483-c90d511e483f</errorID>
      <errorWord>影响</errorWord>
      <group>L1_Word</group>
      <groupName>字词问题</groupName>
      <ability>L2_Typo</ability>
      <abilityName>字词错误</abilityName>
      <candidateList>
        <item>影像</item>
      </candidateList>
      <explain>〈名〉❶肖像；画像。❷〈形〉象：他的～时刻在我眼前浮现。❸物体通过光学装置、电子装置等呈现出来的形状。</explain>
      <paraID> 226E37D</paraID>
      <start>64</start>
      <end>66</end>
      <status>unmodified</status>
      <modifiedWord/>
      <trackRevisions>false</trackRevisions>
    </reviewItem>
    <reviewItem>
      <errorID>5dc4c351-9f51-4377-807c-d5ccca542ca2</errorID>
      <errorWord>)</errorWord>
      <group>L1_Format</group>
      <groupName>格式问题</groupName>
      <ability>L2_HalfPunc</ability>
      <abilityName>全半角检查</abilityName>
      <candidateList>
        <item>）</item>
      </candidateList>
      <explain>文本全半角错误。</explain>
      <paraID>61BF9624</paraID>
      <start>24</start>
      <end>25</end>
      <status>ignored</status>
      <modifiedWord/>
      <trackRevisions>false</trackRevisions>
    </reviewItem>
    <reviewItem>
      <errorID>5382392b-e62b-4c9e-877c-1016c8e1831c</errorID>
      <errorWord>期扬</errorWord>
      <group>L1_Word</group>
      <groupName>字词问题</groupName>
      <ability>L2_Typo</ability>
      <abilityName>字词错误</abilityName>
      <candidateList>
        <item>期间</item>
      </candidateList>
      <explain>〈名〉某个时期里面：农忙～｜春节～｜抗战～。</explain>
      <paraID>48278EF2</paraID>
      <start>2</start>
      <end>4</end>
      <status>unmodified</status>
      <modifiedWord/>
      <trackRevisions>false</trackRevisions>
    </reviewItem>
    <reviewItem>
      <errorID>f7decabb-87e3-4e85-99c5-b2358ff7f1f1</errorID>
      <errorWord>（</errorWord>
      <group>L1_Format</group>
      <groupName>格式问题</groupName>
      <ability>L2_HalfPunc</ability>
      <abilityName>全半角检查</abilityName>
      <candidateList>
        <item>(</item>
      </candidateList>
      <explain>文本全半角错误。</explain>
      <paraID>7BE763A4</paraID>
      <start>0</start>
      <end>1</end>
      <status>unmodified</status>
      <modifiedWord/>
      <trackRevisions>false</trackRevisions>
    </reviewItem>
    <reviewItem>
      <errorID>2be1d966-ce1d-4c8b-aa42-a9478529588c</errorID>
      <errorWord>(</errorWord>
      <group>L1_Format</group>
      <groupName>格式问题</groupName>
      <ability>L2_HalfPunc</ability>
      <abilityName>全半角检查</abilityName>
      <candidateList>
        <item>（</item>
      </candidateList>
      <explain>文本全半角错误。</explain>
      <paraID>2B8FA36E</paraID>
      <start>43</start>
      <end>44</end>
      <status>ignored</status>
      <modifiedWord/>
      <trackRevisions>false</trackRevisions>
    </reviewItem>
    <reviewItem>
      <errorID>9a5f39bb-5cf7-4f19-9167-20857244c5d1</errorID>
      <errorWord>)</errorWord>
      <group>L1_Format</group>
      <groupName>格式问题</groupName>
      <ability>L2_HalfPunc</ability>
      <abilityName>全半角检查</abilityName>
      <candidateList>
        <item>）</item>
      </candidateList>
      <explain>文本全半角错误。</explain>
      <paraID>2B8FA36E</paraID>
      <start>56</start>
      <end>57</end>
      <status>ignored</status>
      <modifiedWord/>
      <trackRevisions>false</trackRevisions>
    </reviewItem>
    <reviewItem>
      <errorID>bdd99bae-8397-4fac-b89e-5fc963afa4ac</errorID>
      <errorWord>(</errorWord>
      <group>L1_Format</group>
      <groupName>格式问题</groupName>
      <ability>L2_HalfPunc</ability>
      <abilityName>全半角检查</abilityName>
      <candidateList>
        <item>（</item>
      </candidateList>
      <explain>文本全半角错误。</explain>
      <paraID> F1B7DE1</paraID>
      <start>121</start>
      <end>122</end>
      <status>ignored</status>
      <modifiedWord/>
      <trackRevisions>false</trackRevisions>
    </reviewItem>
    <reviewItem>
      <errorID>ce8bb6ad-336f-4ff8-a2d3-380b4d03b897</errorID>
      <errorWord>)</errorWord>
      <group>L1_Format</group>
      <groupName>格式问题</groupName>
      <ability>L2_HalfPunc</ability>
      <abilityName>全半角检查</abilityName>
      <candidateList>
        <item>）</item>
      </candidateList>
      <explain>文本全半角错误。</explain>
      <paraID> F1B7DE1</paraID>
      <start>135</start>
      <end>136</end>
      <status>ignored</status>
      <modifiedWord/>
      <trackRevisions>false</trackRevisions>
    </reviewItem>
    <reviewItem>
      <errorID>9d32c5af-2da7-4368-80fd-3eb2c4e91921</errorID>
      <errorWord>(</errorWord>
      <group>L1_Format</group>
      <groupName>格式问题</groupName>
      <ability>L2_HalfPunc</ability>
      <abilityName>全半角检查</abilityName>
      <candidateList>
        <item>（</item>
      </candidateList>
      <explain>文本全半角错误。</explain>
      <paraID>4456E436</paraID>
      <start>121</start>
      <end>122</end>
      <status>ignored</status>
      <modifiedWord/>
      <trackRevisions>false</trackRevisions>
    </reviewItem>
    <reviewItem>
      <errorID>1f423b89-a511-4784-91aa-b6ebe9cb2285</errorID>
      <errorWord>)</errorWord>
      <group>L1_Format</group>
      <groupName>格式问题</groupName>
      <ability>L2_HalfPunc</ability>
      <abilityName>全半角检查</abilityName>
      <candidateList>
        <item>）</item>
      </candidateList>
      <explain>文本全半角错误。</explain>
      <paraID>4456E436</paraID>
      <start>135</start>
      <end>136</end>
      <status>ignored</status>
      <modifiedWord/>
      <trackRevisions>false</trackRevisions>
    </reviewItem>
    <reviewItem>
      <errorID>c50e65b9-6496-4243-a271-c126bfda5d71</errorID>
      <errorWord>减震</errorWord>
      <group>L1_Word</group>
      <groupName>字词问题</groupName>
      <ability>L2_Typo</ability>
      <abilityName>字词错误</abilityName>
      <candidateList>
        <item>减振</item>
      </candidateList>
      <explain>存在发音相同字词的误用。</explain>
      <paraID>4603072D</paraID>
      <start>13</start>
      <end>15</end>
      <status>unmodified</status>
      <modifiedWord/>
      <trackRevisions>false</trackRevisions>
    </reviewItem>
    <reviewItem>
      <errorID>e0a0c660-9d18-4a31-afb1-5b94615974ab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3AA77CB0</paraID>
      <start>6</start>
      <end>7</end>
      <status>ignored</status>
      <modifiedWord/>
      <trackRevisions>false</trackRevisions>
    </reviewItem>
    <reviewItem>
      <errorID>4df766ff-4e18-44a8-a92c-12a088942ff3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1C66D4B6</paraID>
      <start>6</start>
      <end>7</end>
      <status>ignored</status>
      <modifiedWord/>
      <trackRevisions>false</trackRevisions>
    </reviewItem>
    <reviewItem>
      <errorID>d1c0df21-3435-4269-8c5d-2c1988f3fd2b</errorID>
      <errorWord>）</errorWord>
      <group>L1_Format</group>
      <groupName>格式问题</groupName>
      <ability>L2_HalfPunc</ability>
      <abilityName>全半角检查</abilityName>
      <candidateList>
        <item>)</item>
      </candidateList>
      <explain>文本全半角错误。</explain>
      <paraID>1C66D4B6</paraID>
      <start>12</start>
      <end>13</end>
      <status>unmodified</status>
      <modifiedWord/>
      <trackRevisions>false</trackRevisions>
    </reviewItem>
    <reviewItem>
      <errorID>c8a7bc69-484e-4526-9c2c-9b32f8621fa1</errorID>
      <errorWord>III</errorWord>
      <group>L1_Knowledge</group>
      <groupName>知识性问题</groupName>
      <ability>L2_Knowledge</ability>
      <abilityName>其他知识</abilityName>
      <candidateList>
        <item>Ⅲ</item>
      </candidateList>
      <explain/>
      <paraID> CF562D7</paraID>
      <start>50</start>
      <end>53</end>
      <status>unmodified</status>
      <modifiedWord/>
      <trackRevisions>false</trackRevisions>
    </reviewItem>
    <reviewItem>
      <errorID>6146ad49-322c-4f77-a5a7-d77fccf1568b</errorID>
      <errorWord>II</errorWord>
      <group>L1_Knowledge</group>
      <groupName>知识性问题</groupName>
      <ability>L2_Knowledge</ability>
      <abilityName>其他知识</abilityName>
      <candidateList>
        <item>Ⅱ</item>
      </candidateList>
      <explain/>
      <paraID> CF562D7</paraID>
      <start>89</start>
      <end>91</end>
      <status>unmodified</status>
      <modifiedWord/>
      <trackRevisions>false</trackRevisions>
    </reviewItem>
    <reviewItem>
      <errorID>3844396d-8d5b-420d-b096-6b10daa71897</errorID>
      <errorWord>-</errorWord>
      <group>L1_Format</group>
      <groupName>格式问题</groupName>
      <ability>L2_HalfPunc</ability>
      <abilityName>全半角检查</abilityName>
      <candidateList>
        <item>－</item>
      </candidateList>
      <explain>文本全半角错误。</explain>
      <paraID>118E9115</paraID>
      <start>3</start>
      <end>4</end>
      <status>unmodified</status>
      <modifiedWord/>
      <trackRevisions>false</trackRevisions>
    </reviewItem>
    <reviewItem>
      <errorID>dc546a11-fb9f-4f95-96ea-7b48a297be31</errorID>
      <errorWord>-</errorWord>
      <group>L1_Format</group>
      <groupName>格式问题</groupName>
      <ability>L2_HalfPunc</ability>
      <abilityName>全半角检查</abilityName>
      <candidateList>
        <item>－</item>
      </candidateList>
      <explain>文本全半角错误。</explain>
      <paraID>118E9115</paraID>
      <start>20</start>
      <end>21</end>
      <status>unmodified</status>
      <modifiedWord/>
      <trackRevisions>false</trackRevisions>
    </reviewItem>
    <reviewItem>
      <errorID>2b678269-5e9c-4355-9d68-619086b459d8</errorID>
      <errorWord>影响</errorWord>
      <group>L1_Word</group>
      <groupName>字词问题</groupName>
      <ability>L2_Typo</ability>
      <abilityName>字词错误</abilityName>
      <candidateList>
        <item>影像</item>
      </candidateList>
      <explain>〈名〉❶肖像；画像。❷〈形〉象：他的～时刻在我眼前浮现。❸物体通过光学装置、电子装置等呈现出来的形状。</explain>
      <paraID>4278280C</paraID>
      <start>22</start>
      <end>24</end>
      <status>unmodified</status>
      <modifiedWord/>
      <trackRevisions>false</trackRevisions>
    </reviewItem>
    <reviewItem>
      <errorID>f572a3a3-fa9e-40bd-8075-1c5dde81cb99</errorID>
      <errorWord>影响</errorWord>
      <group>L1_Word</group>
      <groupName>字词问题</groupName>
      <ability>L2_Typo</ability>
      <abilityName>字词错误</abilityName>
      <candidateList>
        <item>影像</item>
      </candidateList>
      <explain>〈名〉❶肖像；画像。❷〈形〉象：他的～时刻在我眼前浮现。❸物体通过光学装置、电子装置等呈现出来的形状。</explain>
      <paraID>49AFDEE5</paraID>
      <start>20</start>
      <end>22</end>
      <status>unmodified</status>
      <modifiedWord/>
      <trackRevisions>false</trackRevisions>
    </reviewItem>
    <reviewItem>
      <errorID>67877f96-6c28-4458-b52c-35400c57b16a</errorID>
      <errorWord>法律、法规</errorWord>
      <group>L1_Word</group>
      <groupName>字词问题</groupName>
      <ability>L2_Typo</ability>
      <abilityName>字词错误</abilityName>
      <candidateList>
        <item>法律法规</item>
      </candidateList>
      <explain/>
      <paraID>52323571</paraID>
      <start>9</start>
      <end>14</end>
      <status>unmodified</status>
      <modifiedWord/>
      <trackRevisions>false</trackRevisions>
    </reviewItem>
    <reviewItem>
      <errorID>d901f8af-edb5-4862-8580-f18b48514265</errorID>
      <errorWord>物质</errorWord>
      <group>L1_Word</group>
      <groupName>字词问题</groupName>
      <ability>L2_Typo</ability>
      <abilityName>字词错误</abilityName>
      <candidateList>
        <item>物资</item>
      </candidateList>
      <explain/>
      <paraID>63FB00CB</paraID>
      <start>17</start>
      <end>19</end>
      <status>unmodified</status>
      <modifiedWord/>
      <trackRevisions>false</trackRevisions>
    </reviewItem>
    <reviewItem>
      <errorID>efaab9e0-2d8e-4730-83b0-9a8f9f3a97fd</errorID>
      <errorWord>噪声声</errorWord>
      <group>L1_Word</group>
      <groupName>字词问题</groupName>
      <ability>L2_Typo</ability>
      <abilityName>字词错误</abilityName>
      <candidateList>
        <item>噪声</item>
      </candidateList>
      <explain/>
      <paraID>73B32962</paraID>
      <start>2</start>
      <end>5</end>
      <status>unmodified</status>
      <modifiedWord/>
      <trackRevisions>false</trackRevisions>
    </reviewItem>
    <reviewItem>
      <errorID>100a6950-92ba-4019-af73-a08481ae1905</errorID>
      <errorWord>本</errorWord>
      <group>L1_Word</group>
      <groupName>字词问题</groupName>
      <ability>L2_Typo</ability>
      <abilityName>字词错误</abilityName>
      <candidateList>
        <item>本次</item>
      </candidateList>
      <explain/>
      <paraID>7A0ABDAA</paraID>
      <start>50</start>
      <end>51</end>
      <status>unmodified</status>
      <modifiedWord/>
      <trackRevisions>false</trackRevisions>
    </reviewItem>
    <reviewItem>
      <errorID>577bfbda-ff11-4c5f-8eb0-a446067f7935</errorID>
      <errorWord>20%-40%</errorWord>
      <group>L1_Knowledge</group>
      <groupName>知识性问题</groupName>
      <ability>L2_Knowledge</ability>
      <abilityName>其他知识</abilityName>
      <candidateList>
        <item>20%—40%</item>
      </candidateList>
      <explain>1. “20%-40%”中的单位“%”仅出现在后一个数字上，容易引起歧义；根据《现代汉语标点符号数字用法规范手册》，数字表示范围两边需要使用统一的格式。2. 根据标点国标 4.13 中的规则，数字、时间或地域连接符应使用（视觉上更长的）“—”或“～”。</explain>
      <paraID>54E50AE4</paraID>
      <start>130</start>
      <end>137</end>
      <status>unmodified</status>
      <modifiedWord/>
      <trackRevisions>false</trackRevisions>
    </reviewItem>
    <reviewItem>
      <errorID>3e6c31c5-61f5-43de-8a00-6f55fa50b58b</errorID>
      <errorWord>期</errorWord>
      <group>L1_Word</group>
      <groupName>字词问题</groupName>
      <ability>L2_Typo</ability>
      <abilityName>字词错误</abilityName>
      <candidateList>
        <item>期间</item>
      </candidateList>
      <explain>〈名〉某个时期里面：农忙～｜春节～｜抗战～。</explain>
      <paraID>3453B9EF</paraID>
      <start>4</start>
      <end>5</end>
      <status>ignored</status>
      <modifiedWord/>
      <trackRevisions>false</trackRevisions>
    </reviewItem>
    <reviewItem>
      <errorID>298eaf55-8564-4348-80dd-7f822f649f06</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1AD6C29A</paraID>
      <start>0</start>
      <end>2</end>
      <status>unmodified</status>
      <modifiedWord/>
      <trackRevisions>false</trackRevisions>
    </reviewItem>
    <reviewItem>
      <errorID>85d5ca20-7c06-4313-ae6d-eb2b2c275ac6</errorID>
      <errorWord>[2023]2号</errorWord>
      <group>L1_Knowledge</group>
      <groupName>知识性问题</groupName>
      <ability>L2_Knowledge</ability>
      <abilityName>其他知识</abilityName>
      <candidateList>
        <item>〔2023〕2号</item>
      </candidateList>
      <explain>发文字号格式错误。</explain>
      <paraID>3BF45F9E</paraID>
      <start>36</start>
      <end>44</end>
      <status>unmodified</status>
      <modifiedWord/>
      <trackRevisions>false</trackRevisions>
    </reviewItem>
    <reviewItem>
      <errorID>1849385c-bfc1-4ffb-8916-f1f392c70289</errorID>
      <errorWord>法律、法规</errorWord>
      <group>L1_Word</group>
      <groupName>字词问题</groupName>
      <ability>L2_Typo</ability>
      <abilityName>字词错误</abilityName>
      <candidateList>
        <item>法律法规</item>
      </candidateList>
      <explain/>
      <paraID>17711F1B</paraID>
      <start>12</start>
      <end>17</end>
      <status>unmodified</status>
      <modifiedWord/>
      <trackRevisions>false</trackRevisions>
    </reviewItem>
    <reviewItem>
      <errorID>cc96747e-a994-4733-a294-c079bb24a481</errorID>
      <errorWord>主要应</errorWord>
      <group>L1_Word</group>
      <groupName>字词问题</groupName>
      <ability>L2_Typo</ability>
      <abilityName>字词错误</abilityName>
      <candidateList>
        <item>主要</item>
      </candidateList>
      <explain>〈形〉属性词。有关事物中最重要的；起决定作用的：～原因｜～目的｜～人物。</explain>
      <paraID>40476C18</paraID>
      <start>54</start>
      <end>57</end>
      <status>unmodified</status>
      <modifiedWord/>
      <trackRevisions>false</trackRevisions>
    </reviewItem>
    <reviewItem>
      <errorID>049cba2d-7d1c-4917-9ef0-8591bf6b3347</errorID>
      <errorWord>产生的</errorWord>
      <group>L1_Word</group>
      <groupName>字词问题</groupName>
      <ability>L2_Typo</ability>
      <abilityName>字词错误</abilityName>
      <candidateList>
        <item>产生</item>
      </candidateList>
      <explain/>
      <paraID>510148ED</paraID>
      <start>33</start>
      <end>36</end>
      <status>unmodified</status>
      <modifiedWord/>
      <trackRevisions>false</trackRevisions>
    </reviewItem>
    <reviewItem>
      <errorID>be27801f-d136-497d-b1c2-ef2be267c62b</errorID>
      <errorWord>影响后</errorWord>
      <group>L1_Word</group>
      <groupName>字词问题</groupName>
      <ability>L2_Typo</ability>
      <abilityName>字词错误</abilityName>
      <candidateList>
        <item>影响</item>
      </candidateList>
      <explain>❶〈动〉对别人的思想或行动起作用（如影之随形，响之应声）：父母应该用自己的模范行动去～孩子。❷〈名〉对人或事物所起的作用：这件事造成很大的～。❸〈书〉〈形〉传闻的；无根据的：模糊～之谈。</explain>
      <paraID>510148ED</paraID>
      <start>36</start>
      <end>39</end>
      <status>unmodified</status>
      <modifiedWord/>
      <trackRevisions>false</trackRevisions>
    </reviewItem>
    <reviewItem>
      <errorID>965bcb9a-ba75-4064-82d6-14a526277f4a</errorID>
      <errorWord>事故等事故</errorWord>
      <group>L1_Word</group>
      <groupName>字词问题</groupName>
      <ability>L2_Typo</ability>
      <abilityName>字词错误</abilityName>
      <candidateList>
        <item>事故等</item>
      </candidateList>
      <explain/>
      <paraID>52156FC7</paraID>
      <start>97</start>
      <end>102</end>
      <status>unmodified</status>
      <modifiedWord/>
      <trackRevisions>false</trackRevisions>
    </reviewItem>
    <reviewItem>
      <errorID>a72d63d9-7db5-4363-a896-dff3658d72bc</errorID>
      <errorWord>处理上</errorWord>
      <group>L1_Word</group>
      <groupName>字词问题</groupName>
      <ability>L2_Typo</ability>
      <abilityName>字词错误</abilityName>
      <candidateList>
        <item>处理</item>
      </candidateList>
      <explain/>
      <paraID>52156FC7</paraID>
      <start>106</start>
      <end>109</end>
      <status>unmodified</status>
      <modifiedWord/>
      <trackRevisions>false</trackRevisions>
    </reviewItem>
    <reviewItem>
      <errorID>1d4ac6ed-2177-4381-b987-6b9e833a3212</errorID>
      <errorWord>，</errorWord>
      <group>L1_Word</group>
      <groupName>字词问题</groupName>
      <ability>L2_Typo</ability>
      <abilityName>字词错误</abilityName>
      <candidateList>
        <item>，对</item>
      </candidateList>
      <explain/>
      <paraID>56733EE6</paraID>
      <start>26</start>
      <end>27</end>
      <status>unmodified</status>
      <modifiedWord/>
      <trackRevisions>false</trackRevisions>
    </reviewItem>
    <reviewItem>
      <errorID>e0ba8890-45ab-4a26-9877-677b8703012c</errorID>
      <errorWord>(</errorWord>
      <group>L1_Format</group>
      <groupName>格式问题</groupName>
      <ability>L2_HalfPunc</ability>
      <abilityName>全半角检查</abilityName>
      <candidateList>
        <item>（</item>
      </candidateList>
      <explain>文本全半角错误。</explain>
      <paraID> A1E851B</paraID>
      <start>24</start>
      <end>25</end>
      <status>ignored</status>
      <modifiedWord/>
      <trackRevisions>false</trackRevisions>
    </reviewItem>
    <reviewItem>
      <errorID>2a0b60b5-5a4b-448d-9b0d-655b7a3aae89</errorID>
      <errorWord>)</errorWord>
      <group>L1_Format</group>
      <groupName>格式问题</groupName>
      <ability>L2_HalfPunc</ability>
      <abilityName>全半角检查</abilityName>
      <candidateList>
        <item>）</item>
      </candidateList>
      <explain>文本全半角错误。</explain>
      <paraID> A1E851B</paraID>
      <start>40</start>
      <end>41</end>
      <status>ignored</status>
      <modifiedWord/>
      <trackRevisions>false</trackRevisions>
    </reviewItem>
    <reviewItem>
      <errorID>dc5736a8-53fb-46a9-87c0-a62e4d2fa9b6</errorID>
      <errorWord>(</errorWord>
      <group>L1_Format</group>
      <groupName>格式问题</groupName>
      <ability>L2_HalfPunc</ability>
      <abilityName>全半角检查</abilityName>
      <candidateList>
        <item>（</item>
      </candidateList>
      <explain>文本全半角错误。</explain>
      <paraID> A1E851B</paraID>
      <start>64</start>
      <end>65</end>
      <status>ignored</status>
      <modifiedWord/>
      <trackRevisions>false</trackRevisions>
    </reviewItem>
    <reviewItem>
      <errorID>cfc194b7-15e7-4285-88e3-3e3d4d568158</errorID>
      <errorWord>)</errorWord>
      <group>L1_Format</group>
      <groupName>格式问题</groupName>
      <ability>L2_HalfPunc</ability>
      <abilityName>全半角检查</abilityName>
      <candidateList>
        <item>）</item>
      </candidateList>
      <explain>文本全半角错误。</explain>
      <paraID> A1E851B</paraID>
      <start>78</start>
      <end>79</end>
      <status>ignored</status>
      <modifiedWord/>
      <trackRevisions>false</trackRevisions>
    </reviewItem>
    <reviewItem>
      <errorID>7d219748-629f-4527-a521-ef5af91b381e</errorID>
      <errorWord>～</errorWord>
      <group>L1_Format</group>
      <groupName>格式问题</groupName>
      <ability>L2_HalfPunc</ability>
      <abilityName>全半角检查</abilityName>
      <candidateList>
        <item>~</item>
      </candidateList>
      <explain>文本全半角错误。</explain>
      <paraID>617A4BC8</paraID>
      <start>2</start>
      <end>3</end>
      <status>unmodified</status>
      <modifiedWord/>
      <trackRevisions>false</trackRevisions>
    </reviewItem>
    <reviewItem>
      <errorID>5189dd50-b964-4ff9-98d4-5307aeaa620e</errorID>
      <errorWord>签定</errorWord>
      <group>L1_Word</group>
      <groupName>字词问题</groupName>
      <ability>L2_Typo</ability>
      <abilityName>字词错误</abilityName>
      <candidateList>
        <item>签订</item>
      </candidateList>
      <explain>〈动〉订立条约或合同并签字：两国～了贸易议定书和支付协定。</explain>
      <paraID>55A4F7E0</paraID>
      <start>15</start>
      <end>17</end>
      <status>unmodified</status>
      <modifiedWord/>
      <trackRevisions>false</trackRevisions>
    </reviewItem>
    <reviewItem>
      <errorID>e2beceee-c58f-464a-af4a-96a4694e03f5</errorID>
      <errorWord>法律、法规</errorWord>
      <group>L1_Word</group>
      <groupName>字词问题</groupName>
      <ability>L2_Typo</ability>
      <abilityName>字词错误</abilityName>
      <candidateList>
        <item>法律法规</item>
      </candidateList>
      <explain/>
      <paraID>7ADA287B</paraID>
      <start>100</start>
      <end>105</end>
      <status>unmodified</status>
      <modifiedWord/>
      <trackRevisions>false</trackRevisions>
    </reviewItem>
    <reviewItem>
      <errorID>7428af77-3b03-4e58-86fd-79e62795fc7f</errorID>
      <errorWord>环境监测可</errorWord>
      <group>L1_Word</group>
      <groupName>字词问题</groupName>
      <ability>L2_Typo</ability>
      <abilityName>字词错误</abilityName>
      <candidateList>
        <item>环境监测</item>
      </candidateList>
      <explain/>
      <paraID> AEC802A</paraID>
      <start>4</start>
      <end>9</end>
      <status>unmodified</status>
      <modifiedWord/>
      <trackRevisions>false</trackRevisions>
    </reviewItem>
    <reviewItem>
      <errorID>c7b54558-b28e-4274-9b2e-1abc346e156d</errorID>
      <errorWord>，</errorWord>
      <group>L1_Format</group>
      <groupName>格式问题</groupName>
      <ability>L2_HalfPunc</ability>
      <abilityName>全半角检查</abilityName>
      <candidateList>
        <item>,</item>
      </candidateList>
      <explain>文本全半角错误。</explain>
      <paraID>5F3E9F1B</paraID>
      <start>9</start>
      <end>10</end>
      <status>unmodified</status>
      <modifiedWord/>
      <trackRevisions>false</trackRevisions>
    </reviewItem>
    <reviewItem>
      <errorID>9f5778d1-a074-4be0-a9a4-09e89b4541eb</errorID>
      <errorWord>，</errorWord>
      <group>L1_Format</group>
      <groupName>格式问题</groupName>
      <ability>L2_HalfPunc</ability>
      <abilityName>全半角检查</abilityName>
      <candidateList>
        <item>,</item>
      </candidateList>
      <explain>文本全半角错误。</explain>
      <paraID>28D6C346</paraID>
      <start>9</start>
      <end>10</end>
      <status>unmodified</status>
      <modifiedWord/>
      <trackRevisions>false</trackRevisions>
    </reviewItem>
    <reviewItem>
      <errorID>be298d75-c184-40f5-a15e-f3c66e3dc92d</errorID>
      <errorWord>，</errorWord>
      <group>L1_Format</group>
      <groupName>格式问题</groupName>
      <ability>L2_HalfPunc</ability>
      <abilityName>全半角检查</abilityName>
      <candidateList>
        <item>,</item>
      </candidateList>
      <explain>文本全半角错误。</explain>
      <paraID>272626BB</paraID>
      <start>9</start>
      <end>10</end>
      <status>unmodified</status>
      <modifiedWord/>
      <trackRevisions>false</trackRevisions>
    </reviewItem>
    <reviewItem>
      <errorID>66032b86-95cf-440e-b852-e8f3d65d3eb3</errorID>
      <errorWord>-</errorWord>
      <group>L1_Format</group>
      <groupName>格式问题</groupName>
      <ability>L2_HalfPunc</ability>
      <abilityName>全半角检查</abilityName>
      <candidateList>
        <item>－</item>
      </candidateList>
      <explain>文本全半角错误。</explain>
      <paraID>460EF255</paraID>
      <start>3</start>
      <end>4</end>
      <status>unmodified</status>
      <modifiedWord/>
      <trackRevisions>false</trackRevisions>
    </reviewItem>
    <reviewItem>
      <errorID>6feeb2b7-f35e-4aa1-bddf-1114e9be7e4d</errorID>
      <errorWord>-</errorWord>
      <group>L1_Format</group>
      <groupName>格式问题</groupName>
      <ability>L2_HalfPunc</ability>
      <abilityName>全半角检查</abilityName>
      <candidateList>
        <item>－</item>
      </candidateList>
      <explain>文本全半角错误。</explain>
      <paraID>693CBFD8</paraID>
      <start>3</start>
      <end>4</end>
      <status>unmodified</status>
      <modifiedWord/>
      <trackRevisions>false</trackRevisions>
    </reviewItem>
    <reviewItem>
      <errorID>62b0a237-0f59-43a3-814a-47d524ca636f</errorID>
      <errorWord>，</errorWord>
      <group>L1_Format</group>
      <groupName>格式问题</groupName>
      <ability>L2_HalfPunc</ability>
      <abilityName>全半角检查</abilityName>
      <candidateList>
        <item>,</item>
      </candidateList>
      <explain>文本全半角错误。</explain>
      <paraID>66C2D1F3</paraID>
      <start>9</start>
      <end>10</end>
      <status>unmodified</status>
      <modifiedWord/>
      <trackRevisions>false</trackRevisions>
    </reviewItem>
    <reviewItem>
      <errorID>3116d4b5-9aff-4952-a462-0871efdc4f67</errorID>
      <errorWord>-</errorWord>
      <group>L1_Format</group>
      <groupName>格式问题</groupName>
      <ability>L2_HalfPunc</ability>
      <abilityName>全半角检查</abilityName>
      <candidateList>
        <item>－</item>
      </candidateList>
      <explain>文本全半角错误。</explain>
      <paraID>3A247C00</paraID>
      <start>3</start>
      <end>4</end>
      <status>unmodified</status>
      <modifiedWord/>
      <trackRevisions>false</trackRevisions>
    </reviewItem>
    <reviewItem>
      <errorID>6fbfbc55-1d3b-42f9-8ca6-352eab738253</errorID>
      <errorWord>，</errorWord>
      <group>L1_Format</group>
      <groupName>格式问题</groupName>
      <ability>L2_HalfPunc</ability>
      <abilityName>全半角检查</abilityName>
      <candidateList>
        <item>,</item>
      </candidateList>
      <explain>文本全半角错误。</explain>
      <paraID>70C36716</paraID>
      <start>9</start>
      <end>10</end>
      <status>unmodified</status>
      <modifiedWord/>
      <trackRevisions>false</trackRevisions>
    </reviewItem>
    <reviewItem>
      <errorID>f965109a-6b96-4ac1-9506-359d3a41bb61</errorID>
      <errorWord>，</errorWord>
      <group>L1_Format</group>
      <groupName>格式问题</groupName>
      <ability>L2_HalfPunc</ability>
      <abilityName>全半角检查</abilityName>
      <candidateList>
        <item>,</item>
      </candidateList>
      <explain>文本全半角错误。</explain>
      <paraID>4B3E915A</paraID>
      <start>9</start>
      <end>10</end>
      <status>unmodified</status>
      <modifiedWord/>
      <trackRevisions>false</trackRevisions>
    </reviewItem>
    <reviewItem>
      <errorID>9c1f5c90-e774-4a64-8d20-597d9e1404c3</errorID>
      <errorWord>，</errorWord>
      <group>L1_Format</group>
      <groupName>格式问题</groupName>
      <ability>L2_HalfPunc</ability>
      <abilityName>全半角检查</abilityName>
      <candidateList>
        <item>,</item>
      </candidateList>
      <explain>文本全半角错误。</explain>
      <paraID>1C0CD951</paraID>
      <start>9</start>
      <end>10</end>
      <status>unmodified</status>
      <modifiedWord/>
      <trackRevisions>false</trackRevisions>
    </reviewItem>
    <reviewItem>
      <errorID>f6d26e1e-03be-428b-ada0-0181f9b2d13e</errorID>
      <errorWord>，</errorWord>
      <group>L1_Format</group>
      <groupName>格式问题</groupName>
      <ability>L2_HalfPunc</ability>
      <abilityName>全半角检查</abilityName>
      <candidateList>
        <item>,</item>
      </candidateList>
      <explain>文本全半角错误。</explain>
      <paraID>7C36DB70</paraID>
      <start>9</start>
      <end>10</end>
      <status>unmodified</status>
      <modifiedWord/>
      <trackRevisions>false</trackRevisions>
    </reviewItem>
    <reviewItem>
      <errorID>60521b41-65cb-4b77-9e45-7e51045d0a1a</errorID>
      <errorWord>-</errorWord>
      <group>L1_Format</group>
      <groupName>格式问题</groupName>
      <ability>L2_HalfPunc</ability>
      <abilityName>全半角检查</abilityName>
      <candidateList>
        <item>－</item>
      </candidateList>
      <explain>文本全半角错误。</explain>
      <paraID>5F8D4874</paraID>
      <start>3</start>
      <end>4</end>
      <status>unmodified</status>
      <modifiedWord/>
      <trackRevisions>false</trackRevisions>
    </reviewItem>
    <reviewItem>
      <errorID>bb432ede-3678-47b9-a135-1cdf0cc44666</errorID>
      <errorWord>-</errorWord>
      <group>L1_Format</group>
      <groupName>格式问题</groupName>
      <ability>L2_HalfPunc</ability>
      <abilityName>全半角检查</abilityName>
      <candidateList>
        <item>－</item>
      </candidateList>
      <explain>文本全半角错误。</explain>
      <paraID>66F3F8FC</paraID>
      <start>3</start>
      <end>4</end>
      <status>unmodified</status>
      <modifiedWord/>
      <trackRevisions>false</trackRevisions>
    </reviewItem>
    <reviewItem>
      <errorID>35526507-b9f7-4379-a74c-250b9176ed0c</errorID>
      <errorWord>，</errorWord>
      <group>L1_Format</group>
      <groupName>格式问题</groupName>
      <ability>L2_HalfPunc</ability>
      <abilityName>全半角检查</abilityName>
      <candidateList>
        <item>,</item>
      </candidateList>
      <explain>文本全半角错误。</explain>
      <paraID>38A3DB9A</paraID>
      <start>9</start>
      <end>10</end>
      <status>unmodified</status>
      <modifiedWord/>
      <trackRevisions>false</trackRevisions>
    </reviewItem>
    <reviewItem>
      <errorID>152a1a26-6676-4e1e-8988-c0e88976c620</errorID>
      <errorWord>-</errorWord>
      <group>L1_Format</group>
      <groupName>格式问题</groupName>
      <ability>L2_HalfPunc</ability>
      <abilityName>全半角检查</abilityName>
      <candidateList>
        <item>－</item>
      </candidateList>
      <explain>文本全半角错误。</explain>
      <paraID>5454316F</paraID>
      <start>3</start>
      <end>4</end>
      <status>unmodified</status>
      <modifiedWord/>
      <trackRevisions>false</trackRevisions>
    </reviewItem>
    <reviewItem>
      <errorID>9db0fc23-bc2f-489f-8511-7417e799cc7a</errorID>
      <errorWord>，</errorWord>
      <group>L1_Format</group>
      <groupName>格式问题</groupName>
      <ability>L2_HalfPunc</ability>
      <abilityName>全半角检查</abilityName>
      <candidateList>
        <item>,</item>
      </candidateList>
      <explain>文本全半角错误。</explain>
      <paraID>3CF94FB8</paraID>
      <start>9</start>
      <end>10</end>
      <status>unmodified</status>
      <modifiedWord/>
      <trackRevisions>false</trackRevisions>
    </reviewItem>
    <reviewItem>
      <errorID>06be590c-07c9-46fc-959d-4f2b1fe4fac7</errorID>
      <errorWord>-</errorWord>
      <group>L1_Format</group>
      <groupName>格式问题</groupName>
      <ability>L2_HalfPunc</ability>
      <abilityName>全半角检查</abilityName>
      <candidateList>
        <item>－</item>
      </candidateList>
      <explain>文本全半角错误。</explain>
      <paraID>437426A7</paraID>
      <start>3</start>
      <end>4</end>
      <status>unmodified</status>
      <modifiedWord/>
      <trackRevisions>false</trackRevisions>
    </reviewItem>
    <reviewItem>
      <errorID>2bdce34c-6d06-4d78-b473-be790e586403</errorID>
      <errorWord>部部</errorWord>
      <group>L1_Word</group>
      <groupName>字词问题</groupName>
      <ability>L2_Typo</ability>
      <abilityName>字词错误</abilityName>
      <candidateList>
        <item>部</item>
      </candidateList>
      <explain>❶部分；部位：内～｜上～｜胸～｜局～。❷〈名〉中央政府按业务划分的单位（级别比局、厅高）：外交～｜商务～。❸一般机关企业按业务划分的单位：编辑～｜门市～。❹军队（连以上）等的领导机构或其所在地：连～｜司令～。❺〈名〉指部队：率～突围。❻〈书〉统辖；统率；所～｜～领。❼〈量〉a）用于书籍、影片等：两～字典｜一～纪录片｜三～电视剧。</explain>
      <paraID>64456007</paraID>
      <start>6</start>
      <end>8</end>
      <status>unmodified</status>
      <modifiedWord/>
      <trackRevisions>false</trackRevisions>
    </reviewItem>
    <reviewItem>
      <errorID>4125d482-5872-4e85-bf7f-d6097f314061</errorID>
      <errorWord>探勘</errorWord>
      <group>L1_Word</group>
      <groupName>字词问题</groupName>
      <ability>L2_Typo</ability>
      <abilityName>字词错误</abilityName>
      <candidateList>
        <item>勘探</item>
      </candidateList>
      <explain/>
      <paraID>3491C7E3</paraID>
      <start>72</start>
      <end>74</end>
      <status>unmodified</status>
      <modifiedWord/>
      <trackRevisions>false</trackRevisions>
    </reviewItem>
    <reviewItem>
      <errorID>47ccd8c2-915e-410c-badd-f86a785ef2b4</errorID>
      <errorWord>~</errorWord>
      <group>L1_Format</group>
      <groupName>格式问题</groupName>
      <ability>L2_HalfPunc</ability>
      <abilityName>全半角检查</abilityName>
      <candidateList>
        <item>～</item>
      </candidateList>
      <explain>文本全半角错误。</explain>
      <paraID>14DB76A1</paraID>
      <start>37</start>
      <end>38</end>
      <status>unmodified</status>
      <modifiedWord/>
      <trackRevisions>false</trackRevisions>
    </reviewItem>
    <reviewItem>
      <errorID>bf563e6b-d089-41ee-bda1-304bd1d19156</errorID>
      <errorWord>（</errorWord>
      <group>L1_Punc</group>
      <groupName>标点问题</groupName>
      <ability>L2_Punc</ability>
      <abilityName>标点符号检查</abilityName>
      <candidateList/>
      <explain/>
      <paraID>634A5F3B</paraID>
      <start>65</start>
      <end>66</end>
      <status>ignored</status>
      <modifiedWord/>
      <trackRevisions>false</trackRevisions>
    </reviewItem>
    <reviewItem>
      <errorID>1ebb1b4d-6540-4017-92df-6dce6a9c61f3</errorID>
      <errorWord>，</errorWord>
      <group>L1_Word</group>
      <groupName>字词问题</groupName>
      <ability>L2_Typo</ability>
      <abilityName>字词错误</abilityName>
      <candidateList>
        <item>，在</item>
      </candidateList>
      <explain/>
      <paraID>66981986</paraID>
      <start>87</start>
      <end>88</end>
      <status>unmodified</status>
      <modifiedWord/>
      <trackRevisions>false</trackRevisions>
    </reviewItem>
    <reviewItem>
      <errorID>968a2f8f-fd8a-46e2-98d6-bf6152567662</errorID>
      <errorWord>主要土壤类型以黑钙土为主</errorWord>
      <group>L1_Grammar</group>
      <groupName>语法问题</groupName>
      <ability>L2_Grammar</ability>
      <abilityName>语法错误</abilityName>
      <candidateList>
        <item>土壤类型以黑钙土为主</item>
      </candidateList>
      <explain/>
      <paraID>343EFBAB</paraID>
      <start>54</start>
      <end>66</end>
      <status>unmodified</status>
      <modifiedWord/>
      <trackRevisions>false</trackRevisions>
    </reviewItem>
    <reviewItem>
      <errorID>72c8dac1-8ff8-407c-9b61-669a9b746dd2</errorID>
      <errorWord>期</errorWord>
      <group>L1_Word</group>
      <groupName>字词问题</groupName>
      <ability>L2_Typo</ability>
      <abilityName>字词错误</abilityName>
      <candidateList>
        <item>期间</item>
      </candidateList>
      <explain>〈名〉某个时期里面：农忙～｜春节～｜抗战～。</explain>
      <paraID>29B426CA</paraID>
      <start>106</start>
      <end>107</end>
      <status>ignored</status>
      <modifiedWord/>
      <trackRevisions>false</trackRevisions>
    </reviewItem>
    <reviewItem>
      <errorID>180a2562-6fb8-45ff-9baf-a09fd71c6049</errorID>
      <errorWord>、及</errorWord>
      <group>L1_Word</group>
      <groupName>字词问题</groupName>
      <ability>L2_Typo</ability>
      <abilityName>字词错误</abilityName>
      <candidateList>
        <item>及</item>
      </candidateList>
      <explain>〈连〉连接并列的名词或名词性词组：图书、仪器、标本～其他。注意用“及”连接的成分多在意义上有主次之分，主要的成分放在“及”的前面。</explain>
      <paraID>1766C982</paraID>
      <start>97</start>
      <end>99</end>
      <status>unmodified</status>
      <modifiedWord/>
      <trackRevisions>false</trackRevisions>
    </reviewItem>
    <reviewItem>
      <errorID>e9a4aede-7e3c-45c4-aa72-9a1a8700299a</errorID>
      <errorWord>种类</errorWord>
      <group>L1_Word</group>
      <groupName>字词问题</groupName>
      <ability>L2_Typo</ability>
      <abilityName>字词错误</abilityName>
      <candidateList>
        <item>各类</item>
      </candidateList>
      <explain/>
      <paraID>5D4D3F17</paraID>
      <start>6</start>
      <end>8</end>
      <status>unmodified</status>
      <modifiedWord/>
      <trackRevisions>false</trackRevisions>
    </reviewItem>
    <reviewItem>
      <errorID>2ebc7af3-62a0-4559-a584-ed5e0b0d7ac2</errorID>
      <errorWord>水</errorWord>
      <group>L1_Word</group>
      <groupName>字词问题</groupName>
      <ability>L2_Typo</ability>
      <abilityName>字词错误</abilityName>
      <candidateList>
        <item>水环</item>
      </candidateList>
      <explain/>
      <paraID>777A3E67</paraID>
      <start>7</start>
      <end>8</end>
      <status>unmodified</status>
      <modifiedWord/>
      <trackRevisions>false</trackRevisions>
    </reviewItem>
    <reviewItem>
      <errorID>be7120be-47b9-44e3-897e-6fc25fd6e00d</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32A146B2</paraID>
      <start>27</start>
      <end>28</end>
      <status>unmodified</status>
      <modifiedWord/>
      <trackRevisions>false</trackRevisions>
    </reviewItem>
    <reviewItem>
      <errorID>13a6aeb8-5bd5-4648-8e91-841a517e959a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9ABD8C6</paraID>
      <start>19</start>
      <end>20</end>
      <status>unmodified</status>
      <modifiedWord/>
      <trackRevisions>false</trackRevisions>
    </reviewItem>
    <reviewItem>
      <errorID>260c7238-86de-48c1-85f4-9219e040d276</errorID>
      <errorWord>-</errorWord>
      <group>L1_Format</group>
      <groupName>格式问题</groupName>
      <ability>L2_HalfPunc</ability>
      <abilityName>全半角检查</abilityName>
      <candidateList>
        <item>－</item>
      </candidateList>
      <explain>文本全半角错误。</explain>
      <paraID> 9ABD8C6</paraID>
      <start>134</start>
      <end>135</end>
      <status>unmodified</status>
      <modifiedWord/>
      <trackRevisions>false</trackRevisions>
    </reviewItem>
    <reviewItem>
      <errorID>4df4de01-9d19-4a3a-9e7b-af6ed4e9f01b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18EBB8A6</paraID>
      <start>18</start>
      <end>19</end>
      <status>unmodified</status>
      <modifiedWord/>
      <trackRevisions>false</trackRevisions>
    </reviewItem>
    <reviewItem>
      <errorID>27b4e9a7-8b2f-4e25-8e38-fd9297c48023</errorID>
      <errorWord>求</errorWord>
      <group>L1_Word</group>
      <groupName>字词问题</groupName>
      <ability>L2_Typo</ability>
      <abilityName>字词错误</abilityName>
      <candidateList>
        <item>求和</item>
      </candidateList>
      <explain/>
      <paraID>2831A4B2</paraID>
      <start>114</start>
      <end>115</end>
      <status>unmodified</status>
      <modifiedWord/>
      <trackRevisions>false</trackRevisions>
    </reviewItem>
    <reviewItem>
      <errorID>e0379a57-ce7a-418d-9fda-c404900e5bca</errorID>
      <errorWord>~</errorWord>
      <group>L1_Format</group>
      <groupName>格式问题</groupName>
      <ability>L2_HalfPunc</ability>
      <abilityName>全半角检查</abilityName>
      <candidateList>
        <item>～</item>
      </candidateList>
      <explain>文本全半角错误。</explain>
      <paraID>138B8CCC</paraID>
      <start>3</start>
      <end>4</end>
      <status>unmodified</status>
      <modifiedWord/>
      <trackRevisions>false</trackRevisions>
    </reviewItem>
    <reviewItem>
      <errorID>120caf42-7119-42a4-9d35-cccfa0545107</errorID>
      <errorWord>~</errorWord>
      <group>L1_Format</group>
      <groupName>格式问题</groupName>
      <ability>L2_HalfPunc</ability>
      <abilityName>全半角检查</abilityName>
      <candidateList>
        <item>～</item>
      </candidateList>
      <explain>文本全半角错误。</explain>
      <paraID> DCCEA29</paraID>
      <start>3</start>
      <end>4</end>
      <status>unmodified</status>
      <modifiedWord/>
      <trackRevisions>false</trackRevisions>
    </reviewItem>
    <reviewItem>
      <errorID>c0133cb5-7f5e-48e4-bd72-e8c077346c7f</errorID>
      <errorWord>~</errorWord>
      <group>L1_Format</group>
      <groupName>格式问题</groupName>
      <ability>L2_HalfPunc</ability>
      <abilityName>全半角检查</abilityName>
      <candidateList>
        <item>～</item>
      </candidateList>
      <explain>文本全半角错误。</explain>
      <paraID>1E373D8E</paraID>
      <start>3</start>
      <end>4</end>
      <status>unmodified</status>
      <modifiedWord/>
      <trackRevisions>false</trackRevisions>
    </reviewItem>
    <reviewItem>
      <errorID>ad0aca6d-8572-4261-9204-196ce54e1fa6</errorID>
      <errorWord>：（）</errorWord>
      <group>L1_Format</group>
      <groupName>格式问题</groupName>
      <ability>L2_HalfPunc</ability>
      <abilityName>全半角检查</abilityName>
      <candidateList>
        <item>:()</item>
      </candidateList>
      <explain>文本全半角错误。</explain>
      <paraID>62051C87</paraID>
      <start>3</start>
      <end>6</end>
      <status>unmodified</status>
      <modifiedWord/>
      <trackRevisions>false</trackRevisions>
    </reviewItem>
    <reviewItem>
      <errorID>f2d4dcaf-746d-4d72-a601-77a464cb985d</errorID>
      <errorWord>：（</errorWord>
      <group>L1_Format</group>
      <groupName>格式问题</groupName>
      <ability>L2_HalfPunc</ability>
      <abilityName>全半角检查</abilityName>
      <candidateList>
        <item>:(</item>
      </candidateList>
      <explain>文本全半角错误。</explain>
      <paraID>79244812</paraID>
      <start>3</start>
      <end>5</end>
      <status>unmodified</status>
      <modifiedWord/>
      <trackRevisions>false</trackRevisions>
    </reviewItem>
    <reviewItem>
      <errorID>42999a86-1fa6-4ef5-a5b8-b8fc6c62b9b0</errorID>
      <errorWord>）</errorWord>
      <group>L1_Format</group>
      <groupName>格式问题</groupName>
      <ability>L2_HalfPunc</ability>
      <abilityName>全半角检查</abilityName>
      <candidateList>
        <item>)</item>
      </candidateList>
      <explain>文本全半角错误。</explain>
      <paraID>79244812</paraID>
      <start>6</start>
      <end>7</end>
      <status>unmodified</status>
      <modifiedWord/>
      <trackRevisions>false</trackRevisions>
    </reviewItem>
    <reviewItem>
      <errorID>31764fe3-02c6-44f0-9f56-8f43a0ee9641</errorID>
      <errorWord>：（）</errorWord>
      <group>L1_Format</group>
      <groupName>格式问题</groupName>
      <ability>L2_HalfPunc</ability>
      <abilityName>全半角检查</abilityName>
      <candidateList>
        <item>:()</item>
      </candidateList>
      <explain>文本全半角错误。</explain>
      <paraID>64380DF9</paraID>
      <start>4</start>
      <end>7</end>
      <status>unmodified</status>
      <modifiedWord/>
      <trackRevisions>false</trackRevisions>
    </reviewItem>
    <reviewItem>
      <errorID>5ca29fdf-37bf-44b2-8aea-a31fd4eb9328</errorID>
      <errorWord>＜</errorWord>
      <group>L1_Format</group>
      <groupName>格式问题</groupName>
      <ability>L2_HalfPunc</ability>
      <abilityName>全半角检查</abilityName>
      <candidateList>
        <item>&lt;</item>
      </candidateList>
      <explain>文本全半角错误。</explain>
      <paraID> 47FB075</paraID>
      <start>1</start>
      <end>2</end>
      <status>unmodified</status>
      <modifiedWord/>
      <trackRevisions>false</trackRevisions>
    </reviewItem>
    <reviewItem>
      <errorID>0afd5525-9a43-42c3-b053-5559ee313455</errorID>
      <errorWord>＜</errorWord>
      <group>L1_Format</group>
      <groupName>格式问题</groupName>
      <ability>L2_HalfPunc</ability>
      <abilityName>全半角检查</abilityName>
      <candidateList>
        <item>&lt;</item>
      </candidateList>
      <explain>文本全半角错误。</explain>
      <paraID>31A12CCE</paraID>
      <start>3</start>
      <end>4</end>
      <status>unmodified</status>
      <modifiedWord/>
      <trackRevisions>false</trackRevisions>
    </reviewItem>
    <reviewItem>
      <errorID>a3df8f2e-e1b0-4ad3-a52c-f07dc46ccd9a</errorID>
      <errorWord>＜</errorWord>
      <group>L1_Format</group>
      <groupName>格式问题</groupName>
      <ability>L2_HalfPunc</ability>
      <abilityName>全半角检查</abilityName>
      <candidateList>
        <item>&lt;</item>
      </candidateList>
      <explain>文本全半角错误。</explain>
      <paraID> F40AC70</paraID>
      <start>4</start>
      <end>5</end>
      <status>unmodified</status>
      <modifiedWord/>
      <trackRevisions>false</trackRevisions>
    </reviewItem>
    <reviewItem>
      <errorID>31a00ab6-79e1-4460-9bf6-08aeaac8a94b</errorID>
      <errorWord>＞</errorWord>
      <group>L1_Format</group>
      <groupName>格式问题</groupName>
      <ability>L2_HalfPunc</ability>
      <abilityName>全半角检查</abilityName>
      <candidateList>
        <item>&gt;</item>
      </candidateList>
      <explain>文本全半角错误。</explain>
      <paraID>3F23F0BF</paraID>
      <start>1</start>
      <end>2</end>
      <status>unmodified</status>
      <modifiedWord/>
      <trackRevisions>false</trackRevisions>
    </reviewItem>
    <reviewItem>
      <errorID>28442da5-d8cf-458b-af91-2146a19f3e2d</errorID>
      <errorWord>情况下</errorWord>
      <group>L1_Word</group>
      <groupName>字词问题</groupName>
      <ability>L2_Typo</ability>
      <abilityName>字词错误</abilityName>
      <candidateList>
        <item>情况</item>
      </candidateList>
      <explain>〈名〉❶情形：思想～｜工作～｜～特殊。❷指军事上的变化，泛指事情的变化、动向：这两天前线没有什么～｜他俩的关系最近又有了新的～。</explain>
      <paraID>4267BE5A</paraID>
      <start>85</start>
      <end>88</end>
      <status>unmodified</status>
      <modifiedWord/>
      <trackRevisions>false</trackRevisions>
    </reviewItem>
    <reviewItem>
      <errorID>79f1bed4-e882-41e9-a134-30d2c7b1c496</errorID>
      <errorWord>（</errorWord>
      <group>L1_Format</group>
      <groupName>格式问题</groupName>
      <ability>L2_HalfPunc</ability>
      <abilityName>全半角检查</abilityName>
      <candidateList>
        <item>(</item>
      </candidateList>
      <explain>文本全半角错误。</explain>
      <paraID>31BF77C8</paraID>
      <start>0</start>
      <end>1</end>
      <status>unmodified</status>
      <modifiedWord/>
      <trackRevisions>false</trackRevisions>
    </reviewItem>
    <reviewItem>
      <errorID>3ab61fe5-7d37-4038-9ca7-8442504fe8b7</errorID>
      <errorWord>）</errorWord>
      <group>L1_Format</group>
      <groupName>格式问题</groupName>
      <ability>L2_HalfPunc</ability>
      <abilityName>全半角检查</abilityName>
      <candidateList>
        <item>)</item>
      </candidateList>
      <explain>文本全半角错误。</explain>
      <paraID>31BF77C8</paraID>
      <start>6</start>
      <end>7</end>
      <status>unmodified</status>
      <modifiedWord/>
      <trackRevisions>false</trackRevisions>
    </reviewItem>
    <reviewItem>
      <errorID>fbbabd51-538f-4163-a5c8-0319ed33f1ca</errorID>
      <errorWord>）</errorWord>
      <group>L1_Format</group>
      <groupName>格式问题</groupName>
      <ability>L2_HalfPunc</ability>
      <abilityName>全半角检查</abilityName>
      <candidateList>
        <item>)</item>
      </candidateList>
      <explain>文本全半角错误。</explain>
      <paraID>23854278</paraID>
      <start>1</start>
      <end>2</end>
      <status>unmodified</status>
      <modifiedWord/>
      <trackRevisions>false</trackRevisions>
    </reviewItem>
    <reviewItem>
      <errorID>19acdd6b-22e4-4f24-aff3-598ff039564a</errorID>
      <errorWord>；</errorWord>
      <group>L1_Format</group>
      <groupName>格式问题</groupName>
      <ability>L2_HalfPunc</ability>
      <abilityName>全半角检查</abilityName>
      <candidateList>
        <item>; </item>
      </candidateList>
      <explain>文本全半角错误。</explain>
      <paraID>23854278</paraID>
      <start>3</start>
      <end>4</end>
      <status>unmodified</status>
      <modifiedWord/>
      <trackRevisions>false</trackRevisions>
    </reviewItem>
    <reviewItem>
      <errorID>4abf11df-e097-4f57-b403-2cde47fa13d8</errorID>
      <errorWord>）</errorWord>
      <group>L1_Format</group>
      <groupName>格式问题</groupName>
      <ability>L2_HalfPunc</ability>
      <abilityName>全半角检查</abilityName>
      <candidateList>
        <item>)</item>
      </candidateList>
      <explain>文本全半角错误。</explain>
      <paraID>23854278</paraID>
      <start>5</start>
      <end>6</end>
      <status>unmodified</status>
      <modifiedWord/>
      <trackRevisions>false</trackRevisions>
    </reviewItem>
    <reviewItem>
      <errorID>46d08392-4b6a-4213-950c-d54d59e21943</errorID>
      <errorWord>；</errorWord>
      <group>L1_Format</group>
      <groupName>格式问题</groupName>
      <ability>L2_HalfPunc</ability>
      <abilityName>全半角检查</abilityName>
      <candidateList>
        <item>; </item>
      </candidateList>
      <explain>文本全半角错误。</explain>
      <paraID>23854278</paraID>
      <start>7</start>
      <end>8</end>
      <status>unmodified</status>
      <modifiedWord/>
      <trackRevisions>false</trackRevisions>
    </reviewItem>
    <reviewItem>
      <errorID>79fe56bc-5031-4a46-8c6b-81cb359f833d</errorID>
      <errorWord>）</errorWord>
      <group>L1_Format</group>
      <groupName>格式问题</groupName>
      <ability>L2_HalfPunc</ability>
      <abilityName>全半角检查</abilityName>
      <candidateList>
        <item>)</item>
      </candidateList>
      <explain>文本全半角错误。</explain>
      <paraID>23854278</paraID>
      <start>9</start>
      <end>10</end>
      <status>unmodified</status>
      <modifiedWord/>
      <trackRevisions>false</trackRevisions>
    </reviewItem>
    <reviewItem>
      <errorID>894c5bc2-d971-4f10-a895-82dab5044f5f</errorID>
      <errorWord>；</errorWord>
      <group>L1_Format</group>
      <groupName>格式问题</groupName>
      <ability>L2_HalfPunc</ability>
      <abilityName>全半角检查</abilityName>
      <candidateList>
        <item>; </item>
      </candidateList>
      <explain>文本全半角错误。</explain>
      <paraID>23854278</paraID>
      <start>11</start>
      <end>12</end>
      <status>unmodified</status>
      <modifiedWord/>
      <trackRevisions>false</trackRevisions>
    </reviewItem>
    <reviewItem>
      <errorID>208ee9c9-8464-416d-af40-5fc84c7da91e</errorID>
      <errorWord>）</errorWord>
      <group>L1_Format</group>
      <groupName>格式问题</groupName>
      <ability>L2_HalfPunc</ability>
      <abilityName>全半角检查</abilityName>
      <candidateList>
        <item>)</item>
      </candidateList>
      <explain>文本全半角错误。</explain>
      <paraID>23854278</paraID>
      <start>13</start>
      <end>14</end>
      <status>unmodified</status>
      <modifiedWord/>
      <trackRevisions>false</trackRevisions>
    </reviewItem>
    <reviewItem>
      <errorID>eb0260d8-6f5b-4568-b1f8-81088fa9ef86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221EE1A2</paraID>
      <start>2</start>
      <end>3</end>
      <status>ignored</status>
      <modifiedWord/>
      <trackRevisions>false</trackRevisions>
    </reviewItem>
    <reviewItem>
      <errorID>c919a42f-894d-4901-85f0-0d1c87662f3d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15C2C604</paraID>
      <start>3</start>
      <end>4</end>
      <status>ignored</status>
      <modifiedWord/>
      <trackRevisions>false</trackRevisions>
    </reviewItem>
    <reviewItem>
      <errorID>699bb475-aad2-470d-b9ca-c350caae0687</errorID>
      <errorWord>测</errorWord>
      <group>L1_Word</group>
      <groupName>字词问题</groupName>
      <ability>L2_Typo</ability>
      <abilityName>字词错误</abilityName>
      <candidateList>
        <item>的</item>
      </candidateList>
      <explain>“的”常用于连接修饰语与名词性中心语，表示属性、所属或描述。</explain>
      <paraID>4AAE2E80</paraID>
      <start>0</start>
      <end>1</end>
      <status>unmodified</status>
      <modifiedWord/>
      <trackRevisions>false</trackRevisions>
    </reviewItem>
    <reviewItem>
      <errorID>1939ff55-399b-4d56-aa19-216947a13a1e</errorID>
      <errorWord>环境影响评级</errorWord>
      <group>L1_Knowledge</group>
      <groupName>知识性问题</groupName>
      <ability>L2_Term</ability>
      <abilityName>专业术语</abilityName>
      <candidateList>
        <item>环境影响评价</item>
      </candidateList>
      <explain/>
      <paraID>3D1BE144</paraID>
      <start>11</start>
      <end>17</end>
      <status>unmodified</status>
      <modifiedWord/>
      <trackRevisions>false</trackRevisions>
    </reviewItem>
    <reviewItem>
      <errorID>0d80175f-5bbb-44bd-b181-20b832e678a5</errorID>
      <errorWord>年</errorWord>
      <group>L1_Word</group>
      <groupName>字词问题</groupName>
      <ability>L2_Typo</ability>
      <abilityName>字词错误</abilityName>
      <candidateList>
        <item>年度</item>
      </candidateList>
      <explain/>
      <paraID>49B58C93</paraID>
      <start>2</start>
      <end>3</end>
      <status>unmodified</status>
      <modifiedWord/>
      <trackRevisions>false</trackRevisions>
    </reviewItem>
    <reviewItem>
      <errorID>921215e9-fa12-476d-96b9-a260fd5a86d8</errorID>
      <errorWord>（</errorWord>
      <group>L1_Word</group>
      <groupName>字词问题</groupName>
      <ability>L2_Typo</ability>
      <abilityName>字词错误</abilityName>
      <candidateList>
        <item>（一</item>
      </candidateList>
      <explain/>
      <paraID>49B58C93</paraID>
      <start>7</start>
      <end>8</end>
      <status>unmodified</status>
      <modifiedWord/>
      <trackRevisions>false</trackRevisions>
    </reviewItem>
    <reviewItem>
      <errorID>6656533e-701c-454c-a38e-03c35c1142b3</errorID>
      <errorWord>测</errorWord>
      <group>L1_Word</group>
      <groupName>字词问题</groupName>
      <ability>L2_Typo</ability>
      <abilityName>字词错误</abilityName>
      <candidateList>
        <item>的</item>
      </candidateList>
      <explain>“的”常用于连接修饰语与名词性中心语，表示属性、所属或描述。</explain>
      <paraID>55B7AA7F</paraID>
      <start>0</start>
      <end>1</end>
      <status>unmodified</status>
      <modifiedWord/>
      <trackRevisions>false</trackRevisions>
    </reviewItem>
    <reviewItem>
      <errorID>cc8ef049-1a6e-4d95-9e3d-a7c2173b6812</errorID>
      <errorWord>上线</errorWord>
      <group>L1_Word</group>
      <groupName>字词问题</groupName>
      <ability>L2_Typo</ability>
      <abilityName>字词错误</abilityName>
      <candidateList>
        <item>上限</item>
      </candidateList>
      <explain/>
      <paraID>39775366</paraID>
      <start>21</start>
      <end>23</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5A1331-F84F-449E-92DF-24042E28BABF}">
  <ds:schemaRefs/>
</ds:datastoreItem>
</file>

<file path=customXml/itemProps3.xml><?xml version="1.0" encoding="utf-8"?>
<ds:datastoreItem xmlns:ds="http://schemas.openxmlformats.org/officeDocument/2006/customXml" ds:itemID="{F2D24101-164D-4981-933B-D441BE524233}">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284</Pages>
  <Words>9048</Words>
  <Characters>9932</Characters>
  <Lines>1786</Lines>
  <Paragraphs>503</Paragraphs>
  <TotalTime>15</TotalTime>
  <ScaleCrop>false</ScaleCrop>
  <LinksUpToDate>false</LinksUpToDate>
  <CharactersWithSpaces>10040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2021-08-02T07:49:00Z</dcterms:created>
  <dc:creator>木兰珊珊</dc:creator>
  <cp:lastModifiedBy>123</cp:lastModifiedBy>
  <cp:lastPrinted>2026-04-29T08:25:00Z</cp:lastPrinted>
  <dcterms:modified xsi:type="dcterms:W3CDTF">2026-07-10T01:41:17Z</dcterms:modified>
  <cp:revision>321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DFB1385944FA422E8BA35818CBE493A6_13</vt:lpwstr>
  </property>
  <property fmtid="{D5CDD505-2E9C-101B-9397-08002B2CF9AE}" pid="4" name="KSOTemplateDocerSaveRecord">
    <vt:lpwstr>eyJoZGlkIjoiNjFlNDQ1Y2RlN2QwYTY4ZDE0YjFlNTdmYjUwMTRhNGYiLCJ1c2VySWQiOiIyNjQ0MzQ0MTAifQ==</vt:lpwstr>
  </property>
</Properties>
</file>